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D0B7" w14:textId="77777777" w:rsidR="0088338B" w:rsidRPr="00B44B19" w:rsidRDefault="00833290" w:rsidP="0086695C">
      <w:pPr>
        <w:spacing w:after="0" w:line="240" w:lineRule="auto"/>
        <w:ind w:firstLine="567"/>
        <w:jc w:val="center"/>
        <w:rPr>
          <w:rFonts w:cs="Times New Roman"/>
          <w:b/>
          <w:sz w:val="32"/>
          <w:szCs w:val="32"/>
          <w:lang w:bidi="lt-LT"/>
        </w:rPr>
      </w:pPr>
      <w:r w:rsidRPr="00B44B19">
        <w:rPr>
          <w:rFonts w:cs="Times New Roman"/>
          <w:b/>
          <w:sz w:val="32"/>
          <w:szCs w:val="32"/>
          <w:lang w:bidi="lt-LT"/>
        </w:rPr>
        <w:t>2021–2027 METŲ EUROPOS SĄJUNGOS FONDŲ INVESTICIJŲ PROGRAMA</w:t>
      </w:r>
    </w:p>
    <w:p w14:paraId="0402AC4A" w14:textId="77777777" w:rsidR="0088338B" w:rsidRPr="00B44B19" w:rsidRDefault="0088338B" w:rsidP="0088338B">
      <w:pPr>
        <w:spacing w:after="0" w:line="240" w:lineRule="auto"/>
        <w:ind w:firstLine="567"/>
        <w:jc w:val="both"/>
        <w:rPr>
          <w:rFonts w:cs="Times New Roman"/>
          <w:b/>
          <w:szCs w:val="24"/>
          <w:lang w:bidi="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4775"/>
      </w:tblGrid>
      <w:tr w:rsidR="0088338B" w:rsidRPr="00B44B19" w14:paraId="6505B973" w14:textId="77777777" w:rsidTr="00D91AE9">
        <w:trPr>
          <w:trHeight w:val="222"/>
          <w:jc w:val="center"/>
        </w:trPr>
        <w:tc>
          <w:tcPr>
            <w:tcW w:w="3643" w:type="dxa"/>
          </w:tcPr>
          <w:p w14:paraId="75984203"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CCI</w:t>
            </w:r>
            <w:r w:rsidR="00833290" w:rsidRPr="00B44B19">
              <w:rPr>
                <w:rFonts w:cs="Times New Roman"/>
                <w:b/>
                <w:szCs w:val="24"/>
                <w:lang w:bidi="lt-LT"/>
              </w:rPr>
              <w:t xml:space="preserve"> kodas</w:t>
            </w:r>
          </w:p>
        </w:tc>
        <w:tc>
          <w:tcPr>
            <w:tcW w:w="4775" w:type="dxa"/>
          </w:tcPr>
          <w:p w14:paraId="6D295098" w14:textId="77777777" w:rsidR="0088338B" w:rsidRPr="00B44B19" w:rsidRDefault="00DF0BC9" w:rsidP="0088338B">
            <w:pPr>
              <w:spacing w:after="0" w:line="240" w:lineRule="auto"/>
              <w:ind w:firstLine="567"/>
              <w:jc w:val="both"/>
              <w:rPr>
                <w:rFonts w:cs="Times New Roman"/>
                <w:b/>
                <w:szCs w:val="24"/>
                <w:lang w:bidi="lt-LT"/>
              </w:rPr>
            </w:pPr>
            <w:r w:rsidRPr="00B44B19">
              <w:rPr>
                <w:rFonts w:cs="Times New Roman"/>
                <w:b/>
                <w:szCs w:val="24"/>
                <w:lang w:bidi="lt-LT"/>
              </w:rPr>
              <w:t>2021LT</w:t>
            </w:r>
            <w:r w:rsidR="00BD5E86" w:rsidRPr="00B44B19">
              <w:rPr>
                <w:rFonts w:cs="Times New Roman"/>
                <w:b/>
                <w:szCs w:val="24"/>
                <w:lang w:bidi="lt-LT"/>
              </w:rPr>
              <w:t>16FFPR001</w:t>
            </w:r>
          </w:p>
        </w:tc>
      </w:tr>
      <w:tr w:rsidR="0088338B" w:rsidRPr="00B44B19" w14:paraId="44A3E97E" w14:textId="77777777" w:rsidTr="00D91AE9">
        <w:trPr>
          <w:trHeight w:val="269"/>
          <w:jc w:val="center"/>
        </w:trPr>
        <w:tc>
          <w:tcPr>
            <w:tcW w:w="3643" w:type="dxa"/>
          </w:tcPr>
          <w:p w14:paraId="27A84FB7"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Pavadinimas anglų k.</w:t>
            </w:r>
          </w:p>
        </w:tc>
        <w:tc>
          <w:tcPr>
            <w:tcW w:w="4775" w:type="dxa"/>
          </w:tcPr>
          <w:p w14:paraId="7F06D846" w14:textId="77777777" w:rsidR="0088338B" w:rsidRPr="00B44B19" w:rsidRDefault="0088338B" w:rsidP="00E34C7B">
            <w:pPr>
              <w:spacing w:after="0" w:line="240" w:lineRule="auto"/>
              <w:jc w:val="both"/>
              <w:rPr>
                <w:rFonts w:cs="Times New Roman"/>
                <w:b/>
                <w:i/>
                <w:szCs w:val="24"/>
                <w:lang w:val="en-GB" w:bidi="lt-LT"/>
              </w:rPr>
            </w:pPr>
            <w:r w:rsidRPr="00B44B19">
              <w:rPr>
                <w:rFonts w:cs="Times New Roman"/>
                <w:b/>
                <w:i/>
                <w:szCs w:val="24"/>
                <w:lang w:val="en-GB" w:bidi="lt-LT"/>
              </w:rPr>
              <w:t>Programme for the E</w:t>
            </w:r>
            <w:r w:rsidR="00DF0BC9" w:rsidRPr="00B44B19">
              <w:rPr>
                <w:rFonts w:cs="Times New Roman"/>
                <w:b/>
                <w:i/>
                <w:szCs w:val="24"/>
                <w:lang w:val="en-GB" w:bidi="lt-LT"/>
              </w:rPr>
              <w:t xml:space="preserve">uropean </w:t>
            </w:r>
            <w:r w:rsidRPr="00B44B19">
              <w:rPr>
                <w:rFonts w:cs="Times New Roman"/>
                <w:b/>
                <w:i/>
                <w:szCs w:val="24"/>
                <w:lang w:val="en-GB" w:bidi="lt-LT"/>
              </w:rPr>
              <w:t>U</w:t>
            </w:r>
            <w:r w:rsidR="00DF0BC9" w:rsidRPr="00B44B19">
              <w:rPr>
                <w:rFonts w:cs="Times New Roman"/>
                <w:b/>
                <w:i/>
                <w:szCs w:val="24"/>
                <w:lang w:val="en-GB" w:bidi="lt-LT"/>
              </w:rPr>
              <w:t>nion</w:t>
            </w:r>
            <w:r w:rsidRPr="00B44B19">
              <w:rPr>
                <w:rFonts w:cs="Times New Roman"/>
                <w:b/>
                <w:i/>
                <w:szCs w:val="24"/>
                <w:lang w:val="en-GB" w:bidi="lt-LT"/>
              </w:rPr>
              <w:t xml:space="preserve"> funds’ investments in 2021</w:t>
            </w:r>
            <w:r w:rsidR="0086695C" w:rsidRPr="00B44B19">
              <w:rPr>
                <w:rFonts w:cs="Times New Roman"/>
                <w:b/>
                <w:i/>
                <w:szCs w:val="24"/>
                <w:lang w:val="en-GB" w:bidi="lt-LT"/>
              </w:rPr>
              <w:t>–</w:t>
            </w:r>
            <w:r w:rsidRPr="00B44B19">
              <w:rPr>
                <w:rFonts w:cs="Times New Roman"/>
                <w:b/>
                <w:i/>
                <w:szCs w:val="24"/>
                <w:lang w:val="en-GB" w:bidi="lt-LT"/>
              </w:rPr>
              <w:t>2027</w:t>
            </w:r>
          </w:p>
        </w:tc>
      </w:tr>
      <w:tr w:rsidR="0088338B" w:rsidRPr="00B44B19" w14:paraId="29C940CF" w14:textId="77777777" w:rsidTr="00D91AE9">
        <w:trPr>
          <w:trHeight w:val="138"/>
          <w:jc w:val="center"/>
        </w:trPr>
        <w:tc>
          <w:tcPr>
            <w:tcW w:w="3643" w:type="dxa"/>
          </w:tcPr>
          <w:p w14:paraId="5F416E8C" w14:textId="77777777" w:rsidR="0088338B" w:rsidRPr="00B44B19" w:rsidRDefault="0088338B" w:rsidP="00D91AE9">
            <w:pPr>
              <w:spacing w:after="0" w:line="240" w:lineRule="auto"/>
              <w:jc w:val="both"/>
              <w:rPr>
                <w:rFonts w:cs="Times New Roman"/>
                <w:b/>
                <w:szCs w:val="24"/>
                <w:lang w:bidi="lt-LT"/>
              </w:rPr>
            </w:pPr>
            <w:r w:rsidRPr="00B44B19">
              <w:rPr>
                <w:rFonts w:cs="Times New Roman"/>
                <w:b/>
                <w:szCs w:val="24"/>
                <w:lang w:bidi="lt-LT"/>
              </w:rPr>
              <w:t>Pavadinimas nacionaline</w:t>
            </w:r>
            <w:r w:rsidR="00D91AE9" w:rsidRPr="00B44B19">
              <w:rPr>
                <w:rFonts w:cs="Times New Roman"/>
                <w:b/>
                <w:szCs w:val="24"/>
                <w:lang w:bidi="lt-LT"/>
              </w:rPr>
              <w:t xml:space="preserve"> </w:t>
            </w:r>
            <w:r w:rsidRPr="00B44B19">
              <w:rPr>
                <w:rFonts w:cs="Times New Roman"/>
                <w:b/>
                <w:szCs w:val="24"/>
                <w:lang w:bidi="lt-LT"/>
              </w:rPr>
              <w:t>(-ėmis) kalba (-omis)</w:t>
            </w:r>
          </w:p>
        </w:tc>
        <w:tc>
          <w:tcPr>
            <w:tcW w:w="4775" w:type="dxa"/>
          </w:tcPr>
          <w:p w14:paraId="6C3AE0A6"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2021</w:t>
            </w:r>
            <w:r w:rsidR="0086695C" w:rsidRPr="00B44B19">
              <w:rPr>
                <w:rFonts w:cs="Times New Roman"/>
                <w:b/>
                <w:szCs w:val="24"/>
                <w:lang w:bidi="lt-LT"/>
              </w:rPr>
              <w:t>–</w:t>
            </w:r>
            <w:r w:rsidR="00DF0BC9" w:rsidRPr="00B44B19">
              <w:rPr>
                <w:rFonts w:cs="Times New Roman"/>
                <w:b/>
                <w:szCs w:val="24"/>
                <w:lang w:bidi="lt-LT"/>
              </w:rPr>
              <w:t>2027 metų</w:t>
            </w:r>
            <w:r w:rsidRPr="00B44B19">
              <w:rPr>
                <w:rFonts w:cs="Times New Roman"/>
                <w:b/>
                <w:szCs w:val="24"/>
                <w:lang w:bidi="lt-LT"/>
              </w:rPr>
              <w:t xml:space="preserve"> E</w:t>
            </w:r>
            <w:r w:rsidR="00DF0BC9" w:rsidRPr="00B44B19">
              <w:rPr>
                <w:rFonts w:cs="Times New Roman"/>
                <w:b/>
                <w:szCs w:val="24"/>
                <w:lang w:bidi="lt-LT"/>
              </w:rPr>
              <w:t xml:space="preserve">uropos </w:t>
            </w:r>
            <w:r w:rsidRPr="00B44B19">
              <w:rPr>
                <w:rFonts w:cs="Times New Roman"/>
                <w:b/>
                <w:szCs w:val="24"/>
                <w:lang w:bidi="lt-LT"/>
              </w:rPr>
              <w:t>S</w:t>
            </w:r>
            <w:r w:rsidR="00DF0BC9" w:rsidRPr="00B44B19">
              <w:rPr>
                <w:rFonts w:cs="Times New Roman"/>
                <w:b/>
                <w:szCs w:val="24"/>
                <w:lang w:bidi="lt-LT"/>
              </w:rPr>
              <w:t>ąjungos</w:t>
            </w:r>
            <w:r w:rsidRPr="00B44B19">
              <w:rPr>
                <w:rFonts w:cs="Times New Roman"/>
                <w:b/>
                <w:szCs w:val="24"/>
                <w:lang w:bidi="lt-LT"/>
              </w:rPr>
              <w:t xml:space="preserve"> fondų investicijų programa</w:t>
            </w:r>
          </w:p>
        </w:tc>
      </w:tr>
      <w:tr w:rsidR="0088338B" w:rsidRPr="00B44B19" w14:paraId="201EB8D8" w14:textId="77777777" w:rsidTr="00D91AE9">
        <w:trPr>
          <w:trHeight w:val="138"/>
          <w:jc w:val="center"/>
        </w:trPr>
        <w:tc>
          <w:tcPr>
            <w:tcW w:w="3643" w:type="dxa"/>
          </w:tcPr>
          <w:p w14:paraId="28C80C75"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Redakcija</w:t>
            </w:r>
          </w:p>
        </w:tc>
        <w:tc>
          <w:tcPr>
            <w:tcW w:w="4775" w:type="dxa"/>
          </w:tcPr>
          <w:p w14:paraId="1D92B461" w14:textId="516856AC" w:rsidR="0088338B" w:rsidRPr="00B44B19" w:rsidRDefault="00CE27A8" w:rsidP="00417E37">
            <w:pPr>
              <w:spacing w:after="0" w:line="240" w:lineRule="auto"/>
              <w:jc w:val="both"/>
              <w:rPr>
                <w:rFonts w:cs="Times New Roman"/>
                <w:b/>
                <w:szCs w:val="24"/>
                <w:lang w:bidi="lt-LT"/>
              </w:rPr>
            </w:pPr>
            <w:r w:rsidRPr="00097E97">
              <w:rPr>
                <w:rFonts w:cs="Times New Roman"/>
                <w:b/>
                <w:i/>
                <w:szCs w:val="24"/>
                <w:lang w:bidi="lt-LT"/>
              </w:rPr>
              <w:t>202</w:t>
            </w:r>
            <w:r w:rsidR="006B5D31" w:rsidRPr="00097E97">
              <w:rPr>
                <w:rFonts w:cs="Times New Roman"/>
                <w:b/>
                <w:i/>
                <w:szCs w:val="24"/>
                <w:lang w:bidi="lt-LT"/>
              </w:rPr>
              <w:t>6</w:t>
            </w:r>
            <w:r w:rsidRPr="00097E97">
              <w:rPr>
                <w:rFonts w:cs="Times New Roman"/>
                <w:b/>
                <w:i/>
                <w:szCs w:val="24"/>
                <w:lang w:bidi="lt-LT"/>
              </w:rPr>
              <w:t>.</w:t>
            </w:r>
            <w:r w:rsidR="00A460A1" w:rsidRPr="00097E97">
              <w:rPr>
                <w:rFonts w:cs="Times New Roman"/>
                <w:b/>
                <w:i/>
                <w:szCs w:val="24"/>
                <w:lang w:bidi="lt-LT"/>
              </w:rPr>
              <w:t>0</w:t>
            </w:r>
            <w:r w:rsidR="00D27D25" w:rsidRPr="00097E97">
              <w:rPr>
                <w:rFonts w:cs="Times New Roman"/>
                <w:b/>
                <w:i/>
                <w:szCs w:val="24"/>
                <w:lang w:bidi="lt-LT"/>
              </w:rPr>
              <w:t>2</w:t>
            </w:r>
            <w:r w:rsidRPr="00097E97">
              <w:rPr>
                <w:rFonts w:cs="Times New Roman"/>
                <w:b/>
                <w:i/>
                <w:szCs w:val="24"/>
                <w:lang w:bidi="lt-LT"/>
              </w:rPr>
              <w:t>.</w:t>
            </w:r>
            <w:r w:rsidR="00D27D25" w:rsidRPr="00097E97">
              <w:rPr>
                <w:rFonts w:cs="Times New Roman"/>
                <w:b/>
                <w:i/>
                <w:szCs w:val="24"/>
                <w:lang w:bidi="lt-LT"/>
              </w:rPr>
              <w:t>25</w:t>
            </w:r>
            <w:r w:rsidRPr="00097E97">
              <w:rPr>
                <w:rFonts w:cs="Times New Roman"/>
                <w:b/>
                <w:i/>
                <w:szCs w:val="24"/>
                <w:lang w:bidi="lt-LT"/>
              </w:rPr>
              <w:t xml:space="preserve"> Nr. C(202</w:t>
            </w:r>
            <w:r w:rsidR="006B5D31" w:rsidRPr="00097E97">
              <w:rPr>
                <w:rFonts w:cs="Times New Roman"/>
                <w:b/>
                <w:i/>
                <w:szCs w:val="24"/>
                <w:lang w:bidi="lt-LT"/>
              </w:rPr>
              <w:t>6</w:t>
            </w:r>
            <w:r w:rsidRPr="00097E97">
              <w:rPr>
                <w:rFonts w:cs="Times New Roman"/>
                <w:b/>
                <w:i/>
                <w:szCs w:val="24"/>
                <w:lang w:bidi="lt-LT"/>
              </w:rPr>
              <w:t>)</w:t>
            </w:r>
            <w:r w:rsidR="005259AB" w:rsidRPr="00097E97">
              <w:rPr>
                <w:rFonts w:cs="Times New Roman"/>
                <w:b/>
                <w:i/>
                <w:szCs w:val="24"/>
                <w:lang w:bidi="lt-LT"/>
              </w:rPr>
              <w:t xml:space="preserve"> 1397</w:t>
            </w:r>
          </w:p>
        </w:tc>
      </w:tr>
      <w:tr w:rsidR="0088338B" w:rsidRPr="00B44B19" w14:paraId="15273878" w14:textId="77777777" w:rsidTr="00D91AE9">
        <w:trPr>
          <w:jc w:val="center"/>
        </w:trPr>
        <w:tc>
          <w:tcPr>
            <w:tcW w:w="3643" w:type="dxa"/>
          </w:tcPr>
          <w:p w14:paraId="55A5F482"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Pirmieji metai</w:t>
            </w:r>
          </w:p>
        </w:tc>
        <w:tc>
          <w:tcPr>
            <w:tcW w:w="4775" w:type="dxa"/>
          </w:tcPr>
          <w:p w14:paraId="5AA2085A"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2021</w:t>
            </w:r>
          </w:p>
        </w:tc>
      </w:tr>
      <w:tr w:rsidR="0088338B" w:rsidRPr="00B44B19" w14:paraId="54921BDA" w14:textId="77777777" w:rsidTr="00D91AE9">
        <w:trPr>
          <w:jc w:val="center"/>
        </w:trPr>
        <w:tc>
          <w:tcPr>
            <w:tcW w:w="3643" w:type="dxa"/>
          </w:tcPr>
          <w:p w14:paraId="1CAE09EB"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Paskutiniai metai</w:t>
            </w:r>
          </w:p>
        </w:tc>
        <w:tc>
          <w:tcPr>
            <w:tcW w:w="4775" w:type="dxa"/>
          </w:tcPr>
          <w:p w14:paraId="5BBF4A4C"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2027</w:t>
            </w:r>
          </w:p>
        </w:tc>
      </w:tr>
      <w:tr w:rsidR="0088338B" w:rsidRPr="00B44B19" w14:paraId="5713A71D" w14:textId="77777777" w:rsidTr="00D91AE9">
        <w:trPr>
          <w:jc w:val="center"/>
        </w:trPr>
        <w:tc>
          <w:tcPr>
            <w:tcW w:w="3643" w:type="dxa"/>
          </w:tcPr>
          <w:p w14:paraId="044356A9"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Tinkama finansuoti nuo</w:t>
            </w:r>
          </w:p>
        </w:tc>
        <w:tc>
          <w:tcPr>
            <w:tcW w:w="4775" w:type="dxa"/>
          </w:tcPr>
          <w:p w14:paraId="26604A6B"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2021</w:t>
            </w:r>
          </w:p>
        </w:tc>
      </w:tr>
      <w:tr w:rsidR="0088338B" w:rsidRPr="00B44B19" w14:paraId="0E808311" w14:textId="77777777" w:rsidTr="00D91AE9">
        <w:trPr>
          <w:jc w:val="center"/>
        </w:trPr>
        <w:tc>
          <w:tcPr>
            <w:tcW w:w="3643" w:type="dxa"/>
          </w:tcPr>
          <w:p w14:paraId="27FEDEE0"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Tinkama finansuoti iki</w:t>
            </w:r>
          </w:p>
        </w:tc>
        <w:tc>
          <w:tcPr>
            <w:tcW w:w="4775" w:type="dxa"/>
          </w:tcPr>
          <w:p w14:paraId="77B8FAF5" w14:textId="4FCC7541"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20</w:t>
            </w:r>
            <w:r w:rsidR="00861ECD" w:rsidRPr="00B44B19">
              <w:rPr>
                <w:rFonts w:cs="Times New Roman"/>
                <w:b/>
                <w:szCs w:val="24"/>
                <w:lang w:bidi="lt-LT"/>
              </w:rPr>
              <w:t>30</w:t>
            </w:r>
          </w:p>
        </w:tc>
      </w:tr>
      <w:tr w:rsidR="0088338B" w:rsidRPr="00B44B19" w14:paraId="7C650AE5" w14:textId="77777777" w:rsidTr="00D91AE9">
        <w:trPr>
          <w:jc w:val="center"/>
        </w:trPr>
        <w:tc>
          <w:tcPr>
            <w:tcW w:w="3643" w:type="dxa"/>
          </w:tcPr>
          <w:p w14:paraId="7330D29A"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Komisijos sprendimo numeris</w:t>
            </w:r>
          </w:p>
        </w:tc>
        <w:tc>
          <w:tcPr>
            <w:tcW w:w="4775" w:type="dxa"/>
          </w:tcPr>
          <w:p w14:paraId="330C5D53" w14:textId="7413F60F" w:rsidR="0088338B" w:rsidRPr="00B44B19" w:rsidRDefault="00CE27A8" w:rsidP="00CE27A8">
            <w:pPr>
              <w:spacing w:after="0" w:line="240" w:lineRule="auto"/>
              <w:jc w:val="both"/>
              <w:rPr>
                <w:rFonts w:cs="Times New Roman"/>
                <w:b/>
                <w:i/>
                <w:szCs w:val="24"/>
                <w:lang w:bidi="lt-LT"/>
              </w:rPr>
            </w:pPr>
            <w:r w:rsidRPr="00B44B19">
              <w:rPr>
                <w:rFonts w:cs="Times New Roman"/>
                <w:b/>
                <w:i/>
                <w:szCs w:val="24"/>
                <w:lang w:bidi="lt-LT"/>
              </w:rPr>
              <w:t>C(2022)5742</w:t>
            </w:r>
          </w:p>
        </w:tc>
      </w:tr>
      <w:tr w:rsidR="0088338B" w:rsidRPr="00B44B19" w14:paraId="662AF467" w14:textId="77777777" w:rsidTr="00D91AE9">
        <w:trPr>
          <w:jc w:val="center"/>
        </w:trPr>
        <w:tc>
          <w:tcPr>
            <w:tcW w:w="3643" w:type="dxa"/>
          </w:tcPr>
          <w:p w14:paraId="4B5FF9EA"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Komisijos sprendimo data</w:t>
            </w:r>
          </w:p>
        </w:tc>
        <w:tc>
          <w:tcPr>
            <w:tcW w:w="4775" w:type="dxa"/>
          </w:tcPr>
          <w:p w14:paraId="3C035043" w14:textId="577F8CFC" w:rsidR="0088338B" w:rsidRPr="00B44B19" w:rsidRDefault="00CE27A8" w:rsidP="00E34C7B">
            <w:pPr>
              <w:spacing w:after="0" w:line="240" w:lineRule="auto"/>
              <w:jc w:val="both"/>
              <w:rPr>
                <w:rFonts w:cs="Times New Roman"/>
                <w:b/>
                <w:i/>
                <w:szCs w:val="24"/>
                <w:lang w:bidi="lt-LT"/>
              </w:rPr>
            </w:pPr>
            <w:r w:rsidRPr="00B44B19">
              <w:rPr>
                <w:rFonts w:cs="Times New Roman"/>
                <w:b/>
                <w:i/>
                <w:szCs w:val="24"/>
                <w:lang w:bidi="lt-LT"/>
              </w:rPr>
              <w:t>2022.08.03</w:t>
            </w:r>
          </w:p>
        </w:tc>
      </w:tr>
      <w:tr w:rsidR="0088338B" w:rsidRPr="00B44B19" w14:paraId="5796E11B" w14:textId="77777777" w:rsidTr="00D91AE9">
        <w:trPr>
          <w:trHeight w:val="163"/>
          <w:jc w:val="center"/>
        </w:trPr>
        <w:tc>
          <w:tcPr>
            <w:tcW w:w="3643" w:type="dxa"/>
          </w:tcPr>
          <w:p w14:paraId="18EEF9FF"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Valstybės narės sprendimo dėl keitimo numeris</w:t>
            </w:r>
          </w:p>
        </w:tc>
        <w:tc>
          <w:tcPr>
            <w:tcW w:w="4775" w:type="dxa"/>
          </w:tcPr>
          <w:p w14:paraId="22F978AA" w14:textId="77777777" w:rsidR="0088338B" w:rsidRPr="00B44B19" w:rsidRDefault="0088338B" w:rsidP="00E34C7B">
            <w:pPr>
              <w:spacing w:after="0" w:line="240" w:lineRule="auto"/>
              <w:jc w:val="both"/>
              <w:rPr>
                <w:rFonts w:cs="Times New Roman"/>
                <w:b/>
                <w:i/>
                <w:szCs w:val="24"/>
                <w:lang w:bidi="lt-LT"/>
              </w:rPr>
            </w:pPr>
          </w:p>
        </w:tc>
      </w:tr>
      <w:tr w:rsidR="0088338B" w:rsidRPr="00B44B19" w14:paraId="018E8135" w14:textId="77777777" w:rsidTr="00D91AE9">
        <w:trPr>
          <w:trHeight w:val="163"/>
          <w:jc w:val="center"/>
        </w:trPr>
        <w:tc>
          <w:tcPr>
            <w:tcW w:w="3643" w:type="dxa"/>
          </w:tcPr>
          <w:p w14:paraId="5246B05C"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Valstybės narės sprendimo dėl keitimo įsigaliojimo data</w:t>
            </w:r>
          </w:p>
        </w:tc>
        <w:tc>
          <w:tcPr>
            <w:tcW w:w="4775" w:type="dxa"/>
          </w:tcPr>
          <w:p w14:paraId="7CE8944E" w14:textId="77777777" w:rsidR="0088338B" w:rsidRPr="00B44B19" w:rsidRDefault="0088338B" w:rsidP="00E34C7B">
            <w:pPr>
              <w:spacing w:after="0" w:line="240" w:lineRule="auto"/>
              <w:jc w:val="both"/>
              <w:rPr>
                <w:rFonts w:cs="Times New Roman"/>
                <w:b/>
                <w:i/>
                <w:szCs w:val="24"/>
                <w:lang w:bidi="lt-LT"/>
              </w:rPr>
            </w:pPr>
          </w:p>
        </w:tc>
      </w:tr>
      <w:tr w:rsidR="0088338B" w:rsidRPr="00B44B19" w14:paraId="5EAAF2EF" w14:textId="77777777" w:rsidTr="00D91AE9">
        <w:trPr>
          <w:trHeight w:val="163"/>
          <w:jc w:val="center"/>
        </w:trPr>
        <w:tc>
          <w:tcPr>
            <w:tcW w:w="3643" w:type="dxa"/>
          </w:tcPr>
          <w:p w14:paraId="52FF6DF3" w14:textId="77777777" w:rsidR="00AB66ED" w:rsidRPr="00B44B19" w:rsidRDefault="0088338B" w:rsidP="00E34C7B">
            <w:pPr>
              <w:spacing w:after="0" w:line="240" w:lineRule="auto"/>
              <w:jc w:val="both"/>
              <w:rPr>
                <w:rFonts w:cs="Times New Roman"/>
                <w:b/>
                <w:szCs w:val="24"/>
                <w:lang w:bidi="lt-LT"/>
              </w:rPr>
            </w:pPr>
            <w:r w:rsidRPr="00B44B19">
              <w:rPr>
                <w:rFonts w:cs="Times New Roman"/>
                <w:b/>
                <w:szCs w:val="24"/>
                <w:lang w:bidi="lt-LT"/>
              </w:rPr>
              <w:t>Nedidelis lėšų perkėlimas</w:t>
            </w:r>
          </w:p>
          <w:p w14:paraId="2C29D6C0"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(19 straipsnio 5 dalis)</w:t>
            </w:r>
          </w:p>
        </w:tc>
        <w:tc>
          <w:tcPr>
            <w:tcW w:w="4775" w:type="dxa"/>
          </w:tcPr>
          <w:p w14:paraId="5C205007" w14:textId="77777777" w:rsidR="0088338B" w:rsidRPr="00B44B19" w:rsidRDefault="0088338B" w:rsidP="00E34C7B">
            <w:pPr>
              <w:spacing w:after="0" w:line="240" w:lineRule="auto"/>
              <w:jc w:val="both"/>
              <w:rPr>
                <w:rFonts w:cs="Times New Roman"/>
                <w:b/>
                <w:i/>
                <w:szCs w:val="24"/>
                <w:lang w:bidi="lt-LT"/>
              </w:rPr>
            </w:pPr>
            <w:r w:rsidRPr="00B44B19">
              <w:rPr>
                <w:rFonts w:cs="Times New Roman"/>
                <w:b/>
                <w:szCs w:val="24"/>
                <w:lang w:bidi="lt-LT"/>
              </w:rPr>
              <w:t>Taip / Ne</w:t>
            </w:r>
          </w:p>
        </w:tc>
      </w:tr>
      <w:tr w:rsidR="0088338B" w:rsidRPr="00B44B19" w14:paraId="2F622FBC" w14:textId="77777777" w:rsidTr="00D91AE9">
        <w:trPr>
          <w:trHeight w:val="163"/>
          <w:jc w:val="center"/>
        </w:trPr>
        <w:tc>
          <w:tcPr>
            <w:tcW w:w="3643" w:type="dxa"/>
          </w:tcPr>
          <w:p w14:paraId="5F36A539"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NUTS regionai, kuriuose vykdoma programa (netaikoma EJRŽ</w:t>
            </w:r>
            <w:r w:rsidR="00545923" w:rsidRPr="00B44B19">
              <w:rPr>
                <w:rFonts w:cs="Times New Roman"/>
                <w:b/>
                <w:szCs w:val="24"/>
                <w:lang w:bidi="lt-LT"/>
              </w:rPr>
              <w:t>A</w:t>
            </w:r>
            <w:r w:rsidRPr="00B44B19">
              <w:rPr>
                <w:rFonts w:cs="Times New Roman"/>
                <w:b/>
                <w:szCs w:val="24"/>
                <w:lang w:bidi="lt-LT"/>
              </w:rPr>
              <w:t>F)</w:t>
            </w:r>
          </w:p>
        </w:tc>
        <w:tc>
          <w:tcPr>
            <w:tcW w:w="4775" w:type="dxa"/>
          </w:tcPr>
          <w:p w14:paraId="4E6D52D9" w14:textId="77777777" w:rsidR="0088338B" w:rsidRPr="00B44B19" w:rsidRDefault="0088338B" w:rsidP="00E34C7B">
            <w:pPr>
              <w:spacing w:after="0" w:line="240" w:lineRule="auto"/>
              <w:jc w:val="both"/>
              <w:rPr>
                <w:rFonts w:cs="Times New Roman"/>
                <w:szCs w:val="24"/>
                <w:lang w:bidi="lt-LT"/>
              </w:rPr>
            </w:pPr>
            <w:r w:rsidRPr="00B44B19">
              <w:rPr>
                <w:rFonts w:cs="Times New Roman"/>
                <w:szCs w:val="24"/>
                <w:lang w:bidi="lt-LT"/>
              </w:rPr>
              <w:t>Sostinės regionas</w:t>
            </w:r>
          </w:p>
          <w:p w14:paraId="53103230" w14:textId="77777777" w:rsidR="0088338B" w:rsidRPr="00B44B19" w:rsidRDefault="00947A7E" w:rsidP="00E34C7B">
            <w:pPr>
              <w:spacing w:after="0" w:line="240" w:lineRule="auto"/>
              <w:jc w:val="both"/>
              <w:rPr>
                <w:rFonts w:cs="Times New Roman"/>
                <w:szCs w:val="24"/>
                <w:lang w:bidi="lt-LT"/>
              </w:rPr>
            </w:pPr>
            <w:r w:rsidRPr="00B44B19">
              <w:rPr>
                <w:rFonts w:cs="Times New Roman"/>
                <w:szCs w:val="24"/>
                <w:lang w:bidi="lt-LT"/>
              </w:rPr>
              <w:t>V</w:t>
            </w:r>
            <w:r w:rsidR="00767901" w:rsidRPr="00B44B19">
              <w:rPr>
                <w:rFonts w:cs="Times New Roman"/>
                <w:szCs w:val="24"/>
                <w:lang w:bidi="lt-LT"/>
              </w:rPr>
              <w:t>idurio ir Vakarų Lietuvos</w:t>
            </w:r>
            <w:r w:rsidR="0088338B" w:rsidRPr="00B44B19">
              <w:rPr>
                <w:rFonts w:cs="Times New Roman"/>
                <w:szCs w:val="24"/>
                <w:lang w:bidi="lt-LT"/>
              </w:rPr>
              <w:t xml:space="preserve"> regionas</w:t>
            </w:r>
          </w:p>
        </w:tc>
      </w:tr>
      <w:tr w:rsidR="0088338B" w:rsidRPr="00B44B19" w14:paraId="462D8EFB" w14:textId="77777777" w:rsidTr="00D91AE9">
        <w:trPr>
          <w:trHeight w:val="163"/>
          <w:jc w:val="center"/>
        </w:trPr>
        <w:tc>
          <w:tcPr>
            <w:tcW w:w="3643" w:type="dxa"/>
            <w:vMerge w:val="restart"/>
          </w:tcPr>
          <w:p w14:paraId="64CE0008"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t>Susijęs fondas</w:t>
            </w:r>
          </w:p>
        </w:tc>
        <w:tc>
          <w:tcPr>
            <w:tcW w:w="4775" w:type="dxa"/>
          </w:tcPr>
          <w:p w14:paraId="4DE430B6"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fldChar w:fldCharType="begin">
                <w:ffData>
                  <w:name w:val="Check1"/>
                  <w:enabled/>
                  <w:calcOnExit w:val="0"/>
                  <w:checkBox>
                    <w:sizeAuto/>
                    <w:default w:val="1"/>
                  </w:checkBox>
                </w:ffData>
              </w:fldChar>
            </w:r>
            <w:bookmarkStart w:id="0" w:name="Check1"/>
            <w:r w:rsidRPr="00B44B19">
              <w:rPr>
                <w:rFonts w:cs="Times New Roman"/>
                <w:b/>
                <w:szCs w:val="24"/>
                <w:lang w:bidi="lt-LT"/>
              </w:rPr>
              <w:instrText xml:space="preserve"> FORMCHECKBOX </w:instrText>
            </w:r>
            <w:r w:rsidRPr="00B44B19">
              <w:rPr>
                <w:rFonts w:cs="Times New Roman"/>
                <w:b/>
                <w:szCs w:val="24"/>
                <w:lang w:bidi="lt-LT"/>
              </w:rPr>
            </w:r>
            <w:r w:rsidRPr="00B44B19">
              <w:rPr>
                <w:rFonts w:cs="Times New Roman"/>
                <w:b/>
                <w:szCs w:val="24"/>
                <w:lang w:bidi="lt-LT"/>
              </w:rPr>
              <w:fldChar w:fldCharType="separate"/>
            </w:r>
            <w:r w:rsidRPr="00B44B19">
              <w:rPr>
                <w:rFonts w:cs="Times New Roman"/>
                <w:b/>
                <w:szCs w:val="24"/>
                <w:lang w:bidi="lt-LT"/>
              </w:rPr>
              <w:fldChar w:fldCharType="end"/>
            </w:r>
            <w:bookmarkEnd w:id="0"/>
            <w:r w:rsidRPr="00B44B19">
              <w:rPr>
                <w:rFonts w:cs="Times New Roman"/>
                <w:b/>
                <w:szCs w:val="24"/>
                <w:lang w:bidi="lt-LT"/>
              </w:rPr>
              <w:t xml:space="preserve"> ERPF</w:t>
            </w:r>
          </w:p>
        </w:tc>
      </w:tr>
      <w:tr w:rsidR="0088338B" w:rsidRPr="00B44B19" w14:paraId="459760C0" w14:textId="77777777" w:rsidTr="00D91AE9">
        <w:trPr>
          <w:trHeight w:val="163"/>
          <w:jc w:val="center"/>
        </w:trPr>
        <w:tc>
          <w:tcPr>
            <w:tcW w:w="3643" w:type="dxa"/>
            <w:vMerge/>
          </w:tcPr>
          <w:p w14:paraId="5CD31D5B" w14:textId="77777777" w:rsidR="0088338B" w:rsidRPr="00B44B19" w:rsidRDefault="0088338B" w:rsidP="0088338B">
            <w:pPr>
              <w:spacing w:after="0" w:line="240" w:lineRule="auto"/>
              <w:ind w:firstLine="567"/>
              <w:jc w:val="both"/>
              <w:rPr>
                <w:rFonts w:cs="Times New Roman"/>
                <w:b/>
                <w:szCs w:val="24"/>
                <w:lang w:bidi="lt-LT"/>
              </w:rPr>
            </w:pPr>
          </w:p>
        </w:tc>
        <w:tc>
          <w:tcPr>
            <w:tcW w:w="4775" w:type="dxa"/>
          </w:tcPr>
          <w:p w14:paraId="2A1A14A9" w14:textId="77777777" w:rsidR="0088338B" w:rsidRPr="00B44B19" w:rsidRDefault="0088338B" w:rsidP="00E34C7B">
            <w:pPr>
              <w:spacing w:after="0" w:line="240" w:lineRule="auto"/>
              <w:jc w:val="both"/>
              <w:rPr>
                <w:rFonts w:cs="Times New Roman"/>
                <w:b/>
                <w:szCs w:val="24"/>
                <w:lang w:bidi="lt-LT"/>
              </w:rPr>
            </w:pPr>
            <w:r w:rsidRPr="00B44B19">
              <w:rPr>
                <w:rFonts w:cs="Times New Roman"/>
                <w:b/>
                <w:szCs w:val="24"/>
                <w:lang w:bidi="lt-LT"/>
              </w:rPr>
              <w:fldChar w:fldCharType="begin">
                <w:ffData>
                  <w:name w:val=""/>
                  <w:enabled/>
                  <w:calcOnExit w:val="0"/>
                  <w:checkBox>
                    <w:sizeAuto/>
                    <w:default w:val="1"/>
                  </w:checkBox>
                </w:ffData>
              </w:fldChar>
            </w:r>
            <w:r w:rsidRPr="00B44B19">
              <w:rPr>
                <w:rFonts w:cs="Times New Roman"/>
                <w:b/>
                <w:szCs w:val="24"/>
                <w:lang w:bidi="lt-LT"/>
              </w:rPr>
              <w:instrText xml:space="preserve"> FORMCHECKBOX </w:instrText>
            </w:r>
            <w:r w:rsidRPr="00B44B19">
              <w:rPr>
                <w:rFonts w:cs="Times New Roman"/>
                <w:b/>
                <w:szCs w:val="24"/>
                <w:lang w:bidi="lt-LT"/>
              </w:rPr>
            </w:r>
            <w:r w:rsidRPr="00B44B19">
              <w:rPr>
                <w:rFonts w:cs="Times New Roman"/>
                <w:b/>
                <w:szCs w:val="24"/>
                <w:lang w:bidi="lt-LT"/>
              </w:rPr>
              <w:fldChar w:fldCharType="separate"/>
            </w:r>
            <w:r w:rsidRPr="00B44B19">
              <w:rPr>
                <w:rFonts w:cs="Times New Roman"/>
                <w:b/>
                <w:szCs w:val="24"/>
                <w:lang w:bidi="lt-LT"/>
              </w:rPr>
              <w:fldChar w:fldCharType="end"/>
            </w:r>
            <w:r w:rsidRPr="00B44B19">
              <w:rPr>
                <w:rFonts w:cs="Times New Roman"/>
                <w:b/>
                <w:szCs w:val="24"/>
                <w:lang w:bidi="lt-LT"/>
              </w:rPr>
              <w:t xml:space="preserve"> Sanglaudos fondas</w:t>
            </w:r>
          </w:p>
        </w:tc>
      </w:tr>
      <w:tr w:rsidR="0088338B" w:rsidRPr="00B44B19" w14:paraId="5178652A" w14:textId="77777777" w:rsidTr="00D91AE9">
        <w:trPr>
          <w:trHeight w:val="163"/>
          <w:jc w:val="center"/>
        </w:trPr>
        <w:tc>
          <w:tcPr>
            <w:tcW w:w="3643" w:type="dxa"/>
            <w:vMerge/>
          </w:tcPr>
          <w:p w14:paraId="5B6778EB" w14:textId="77777777" w:rsidR="0088338B" w:rsidRPr="00B44B19" w:rsidRDefault="0088338B" w:rsidP="0088338B">
            <w:pPr>
              <w:spacing w:after="0" w:line="240" w:lineRule="auto"/>
              <w:ind w:firstLine="567"/>
              <w:jc w:val="both"/>
              <w:rPr>
                <w:rFonts w:cs="Times New Roman"/>
                <w:b/>
                <w:szCs w:val="24"/>
                <w:lang w:bidi="lt-LT"/>
              </w:rPr>
            </w:pPr>
          </w:p>
        </w:tc>
        <w:tc>
          <w:tcPr>
            <w:tcW w:w="4775" w:type="dxa"/>
          </w:tcPr>
          <w:p w14:paraId="2B96C10A" w14:textId="77777777" w:rsidR="0088338B" w:rsidRPr="00B44B19" w:rsidRDefault="0088338B" w:rsidP="00E34C7B">
            <w:pPr>
              <w:spacing w:after="0" w:line="240" w:lineRule="auto"/>
              <w:jc w:val="both"/>
              <w:rPr>
                <w:rFonts w:cs="Times New Roman"/>
                <w:b/>
                <w:i/>
                <w:szCs w:val="24"/>
                <w:lang w:bidi="lt-LT"/>
              </w:rPr>
            </w:pPr>
            <w:r w:rsidRPr="00B44B19">
              <w:rPr>
                <w:rFonts w:cs="Times New Roman"/>
                <w:b/>
                <w:szCs w:val="24"/>
                <w:lang w:bidi="lt-LT"/>
              </w:rPr>
              <w:fldChar w:fldCharType="begin">
                <w:ffData>
                  <w:name w:val=""/>
                  <w:enabled/>
                  <w:calcOnExit w:val="0"/>
                  <w:checkBox>
                    <w:sizeAuto/>
                    <w:default w:val="1"/>
                  </w:checkBox>
                </w:ffData>
              </w:fldChar>
            </w:r>
            <w:r w:rsidRPr="00B44B19">
              <w:rPr>
                <w:rFonts w:cs="Times New Roman"/>
                <w:b/>
                <w:szCs w:val="24"/>
                <w:lang w:bidi="lt-LT"/>
              </w:rPr>
              <w:instrText xml:space="preserve"> FORMCHECKBOX </w:instrText>
            </w:r>
            <w:r w:rsidRPr="00B44B19">
              <w:rPr>
                <w:rFonts w:cs="Times New Roman"/>
                <w:b/>
                <w:szCs w:val="24"/>
                <w:lang w:bidi="lt-LT"/>
              </w:rPr>
            </w:r>
            <w:r w:rsidRPr="00B44B19">
              <w:rPr>
                <w:rFonts w:cs="Times New Roman"/>
                <w:b/>
                <w:szCs w:val="24"/>
                <w:lang w:bidi="lt-LT"/>
              </w:rPr>
              <w:fldChar w:fldCharType="separate"/>
            </w:r>
            <w:r w:rsidRPr="00B44B19">
              <w:rPr>
                <w:rFonts w:cs="Times New Roman"/>
                <w:b/>
                <w:szCs w:val="24"/>
                <w:lang w:bidi="lt-LT"/>
              </w:rPr>
              <w:fldChar w:fldCharType="end"/>
            </w:r>
            <w:r w:rsidRPr="00B44B19">
              <w:rPr>
                <w:rFonts w:cs="Times New Roman"/>
                <w:b/>
                <w:szCs w:val="24"/>
                <w:lang w:bidi="lt-LT"/>
              </w:rPr>
              <w:t xml:space="preserve"> ESF+</w:t>
            </w:r>
          </w:p>
        </w:tc>
      </w:tr>
      <w:tr w:rsidR="00C941FB" w:rsidRPr="00B44B19" w14:paraId="61F4B51F" w14:textId="77777777" w:rsidTr="00D91AE9">
        <w:trPr>
          <w:trHeight w:val="163"/>
          <w:jc w:val="center"/>
        </w:trPr>
        <w:tc>
          <w:tcPr>
            <w:tcW w:w="3643" w:type="dxa"/>
            <w:vMerge/>
          </w:tcPr>
          <w:p w14:paraId="12CDCF82" w14:textId="77777777" w:rsidR="00C941FB" w:rsidRPr="00B44B19" w:rsidRDefault="00C941FB" w:rsidP="0088338B">
            <w:pPr>
              <w:spacing w:after="0" w:line="240" w:lineRule="auto"/>
              <w:ind w:firstLine="567"/>
              <w:jc w:val="both"/>
              <w:rPr>
                <w:rFonts w:cs="Times New Roman"/>
                <w:b/>
                <w:szCs w:val="24"/>
                <w:lang w:bidi="lt-LT"/>
              </w:rPr>
            </w:pPr>
          </w:p>
        </w:tc>
        <w:tc>
          <w:tcPr>
            <w:tcW w:w="4775" w:type="dxa"/>
          </w:tcPr>
          <w:p w14:paraId="7C9E5A22" w14:textId="0DEC7F00" w:rsidR="00C941FB" w:rsidRPr="00B44B19" w:rsidRDefault="00051BD4" w:rsidP="00E34C7B">
            <w:pPr>
              <w:spacing w:after="0" w:line="240" w:lineRule="auto"/>
              <w:jc w:val="both"/>
              <w:rPr>
                <w:rFonts w:cs="Times New Roman"/>
                <w:b/>
                <w:szCs w:val="24"/>
                <w:lang w:bidi="lt-LT"/>
              </w:rPr>
            </w:pPr>
            <w:r w:rsidRPr="00B44B19">
              <w:rPr>
                <w:rFonts w:cs="Times New Roman"/>
                <w:b/>
                <w:szCs w:val="24"/>
                <w:lang w:bidi="lt-LT"/>
              </w:rPr>
              <w:fldChar w:fldCharType="begin">
                <w:ffData>
                  <w:name w:val=""/>
                  <w:enabled/>
                  <w:calcOnExit w:val="0"/>
                  <w:checkBox>
                    <w:sizeAuto/>
                    <w:default w:val="1"/>
                  </w:checkBox>
                </w:ffData>
              </w:fldChar>
            </w:r>
            <w:r w:rsidRPr="00B44B19">
              <w:rPr>
                <w:rFonts w:cs="Times New Roman"/>
                <w:b/>
                <w:szCs w:val="24"/>
                <w:lang w:bidi="lt-LT"/>
              </w:rPr>
              <w:instrText xml:space="preserve"> FORMCHECKBOX </w:instrText>
            </w:r>
            <w:r w:rsidRPr="00B44B19">
              <w:rPr>
                <w:rFonts w:cs="Times New Roman"/>
                <w:b/>
                <w:szCs w:val="24"/>
                <w:lang w:bidi="lt-LT"/>
              </w:rPr>
            </w:r>
            <w:r w:rsidRPr="00B44B19">
              <w:rPr>
                <w:rFonts w:cs="Times New Roman"/>
                <w:b/>
                <w:szCs w:val="24"/>
                <w:lang w:bidi="lt-LT"/>
              </w:rPr>
              <w:fldChar w:fldCharType="separate"/>
            </w:r>
            <w:r w:rsidRPr="00B44B19">
              <w:rPr>
                <w:rFonts w:cs="Times New Roman"/>
                <w:b/>
                <w:szCs w:val="24"/>
                <w:lang w:bidi="lt-LT"/>
              </w:rPr>
              <w:fldChar w:fldCharType="end"/>
            </w:r>
            <w:r w:rsidR="00C941FB" w:rsidRPr="00B44B19">
              <w:rPr>
                <w:rFonts w:cs="Times New Roman"/>
                <w:b/>
                <w:szCs w:val="24"/>
                <w:lang w:bidi="lt-LT"/>
              </w:rPr>
              <w:t xml:space="preserve"> TPF</w:t>
            </w:r>
          </w:p>
        </w:tc>
      </w:tr>
      <w:tr w:rsidR="0088338B" w:rsidRPr="00B44B19" w14:paraId="5842F046" w14:textId="77777777" w:rsidTr="00D91AE9">
        <w:trPr>
          <w:trHeight w:val="163"/>
          <w:jc w:val="center"/>
        </w:trPr>
        <w:tc>
          <w:tcPr>
            <w:tcW w:w="3643" w:type="dxa"/>
            <w:vMerge/>
          </w:tcPr>
          <w:p w14:paraId="03D56053" w14:textId="77777777" w:rsidR="0088338B" w:rsidRPr="00B44B19" w:rsidRDefault="0088338B" w:rsidP="0088338B">
            <w:pPr>
              <w:spacing w:after="0" w:line="240" w:lineRule="auto"/>
              <w:ind w:firstLine="567"/>
              <w:jc w:val="both"/>
              <w:rPr>
                <w:rFonts w:cs="Times New Roman"/>
                <w:b/>
                <w:szCs w:val="24"/>
                <w:lang w:bidi="lt-LT"/>
              </w:rPr>
            </w:pPr>
          </w:p>
        </w:tc>
        <w:tc>
          <w:tcPr>
            <w:tcW w:w="4775" w:type="dxa"/>
          </w:tcPr>
          <w:p w14:paraId="2BDCFF82" w14:textId="77777777" w:rsidR="0088338B" w:rsidRPr="00B44B19" w:rsidRDefault="0088338B" w:rsidP="00E34C7B">
            <w:pPr>
              <w:spacing w:after="0" w:line="240" w:lineRule="auto"/>
              <w:jc w:val="both"/>
              <w:rPr>
                <w:rFonts w:cs="Times New Roman"/>
                <w:b/>
                <w:i/>
                <w:szCs w:val="24"/>
                <w:lang w:bidi="lt-LT"/>
              </w:rPr>
            </w:pPr>
            <w:r w:rsidRPr="00B44B19">
              <w:rPr>
                <w:rFonts w:cs="Times New Roman"/>
                <w:b/>
                <w:szCs w:val="24"/>
                <w:lang w:bidi="lt-LT"/>
              </w:rPr>
              <w:fldChar w:fldCharType="begin">
                <w:ffData>
                  <w:name w:val="Check1"/>
                  <w:enabled/>
                  <w:calcOnExit w:val="0"/>
                  <w:checkBox>
                    <w:sizeAuto/>
                    <w:default w:val="0"/>
                  </w:checkBox>
                </w:ffData>
              </w:fldChar>
            </w:r>
            <w:r w:rsidRPr="00B44B19">
              <w:rPr>
                <w:rFonts w:cs="Times New Roman"/>
                <w:b/>
                <w:szCs w:val="24"/>
                <w:lang w:bidi="lt-LT"/>
              </w:rPr>
              <w:instrText xml:space="preserve"> FORMCHECKBOX </w:instrText>
            </w:r>
            <w:r w:rsidRPr="00B44B19">
              <w:rPr>
                <w:rFonts w:cs="Times New Roman"/>
                <w:b/>
                <w:szCs w:val="24"/>
                <w:lang w:bidi="lt-LT"/>
              </w:rPr>
            </w:r>
            <w:r w:rsidRPr="00B44B19">
              <w:rPr>
                <w:rFonts w:cs="Times New Roman"/>
                <w:b/>
                <w:szCs w:val="24"/>
                <w:lang w:bidi="lt-LT"/>
              </w:rPr>
              <w:fldChar w:fldCharType="separate"/>
            </w:r>
            <w:r w:rsidRPr="00B44B19">
              <w:rPr>
                <w:rFonts w:cs="Times New Roman"/>
                <w:b/>
                <w:szCs w:val="24"/>
                <w:lang w:bidi="lt-LT"/>
              </w:rPr>
              <w:fldChar w:fldCharType="end"/>
            </w:r>
            <w:r w:rsidRPr="00B44B19">
              <w:rPr>
                <w:rFonts w:cs="Times New Roman"/>
                <w:b/>
                <w:szCs w:val="24"/>
                <w:lang w:bidi="lt-LT"/>
              </w:rPr>
              <w:t xml:space="preserve"> EJRŽ</w:t>
            </w:r>
            <w:r w:rsidR="00E64265" w:rsidRPr="00B44B19">
              <w:rPr>
                <w:rFonts w:cs="Times New Roman"/>
                <w:b/>
                <w:szCs w:val="24"/>
                <w:lang w:bidi="lt-LT"/>
              </w:rPr>
              <w:t>A</w:t>
            </w:r>
            <w:r w:rsidRPr="00B44B19">
              <w:rPr>
                <w:rFonts w:cs="Times New Roman"/>
                <w:b/>
                <w:szCs w:val="24"/>
                <w:lang w:bidi="lt-LT"/>
              </w:rPr>
              <w:t>F</w:t>
            </w:r>
          </w:p>
        </w:tc>
      </w:tr>
    </w:tbl>
    <w:p w14:paraId="1B08834D" w14:textId="77777777" w:rsidR="00A04BCA" w:rsidRPr="00B44B19" w:rsidRDefault="00A04BCA" w:rsidP="0088338B">
      <w:pPr>
        <w:spacing w:after="0" w:line="240" w:lineRule="auto"/>
        <w:ind w:firstLine="567"/>
        <w:jc w:val="both"/>
        <w:rPr>
          <w:rFonts w:cs="Times New Roman"/>
          <w:b/>
          <w:iCs/>
          <w:szCs w:val="24"/>
          <w:lang w:bidi="lt-LT"/>
        </w:rPr>
      </w:pPr>
      <w:r w:rsidRPr="00B44B19">
        <w:rPr>
          <w:rFonts w:cs="Times New Roman"/>
          <w:b/>
          <w:iCs/>
          <w:szCs w:val="24"/>
          <w:lang w:bidi="lt-LT"/>
        </w:rPr>
        <w:br w:type="page"/>
      </w:r>
    </w:p>
    <w:sdt>
      <w:sdtPr>
        <w:rPr>
          <w:rFonts w:ascii="Times New Roman" w:eastAsiaTheme="minorHAnsi" w:hAnsi="Times New Roman"/>
          <w:b w:val="0"/>
          <w:bCs w:val="0"/>
          <w:caps w:val="0"/>
          <w:noProof/>
          <w:color w:val="auto"/>
          <w:sz w:val="24"/>
          <w:szCs w:val="22"/>
          <w:lang w:eastAsia="en-US"/>
        </w:rPr>
        <w:id w:val="960221715"/>
        <w:docPartObj>
          <w:docPartGallery w:val="Table of Contents"/>
          <w:docPartUnique/>
        </w:docPartObj>
      </w:sdtPr>
      <w:sdtEndPr>
        <w:rPr>
          <w:rFonts w:eastAsia="Times New Roman"/>
          <w:sz w:val="22"/>
        </w:rPr>
      </w:sdtEndPr>
      <w:sdtContent>
        <w:p w14:paraId="30A1DA98" w14:textId="77777777" w:rsidR="00636181" w:rsidRPr="00B44B19" w:rsidRDefault="00636181" w:rsidP="00D456C1">
          <w:pPr>
            <w:pStyle w:val="Turinioantrat"/>
          </w:pPr>
          <w:r w:rsidRPr="00B44B19">
            <w:t>Turinys</w:t>
          </w:r>
        </w:p>
        <w:p w14:paraId="7B103E25" w14:textId="20A0D23A" w:rsidR="004A7504" w:rsidRPr="00B44B19" w:rsidRDefault="00636181">
          <w:pPr>
            <w:pStyle w:val="Turinys1"/>
            <w:rPr>
              <w:rFonts w:eastAsiaTheme="minorEastAsia"/>
              <w:kern w:val="2"/>
              <w:sz w:val="24"/>
              <w:szCs w:val="24"/>
              <w:lang w:eastAsia="lt-LT"/>
              <w14:ligatures w14:val="standardContextual"/>
            </w:rPr>
          </w:pPr>
          <w:r w:rsidRPr="00B44B19">
            <w:fldChar w:fldCharType="begin"/>
          </w:r>
          <w:r w:rsidRPr="00B44B19">
            <w:instrText xml:space="preserve"> TOC \o "1-3" \h \z \u </w:instrText>
          </w:r>
          <w:r w:rsidRPr="00B44B19">
            <w:fldChar w:fldCharType="separate"/>
          </w:r>
          <w:hyperlink w:anchor="_Toc223435407" w:history="1">
            <w:r w:rsidR="004A7504" w:rsidRPr="00B44B19">
              <w:rPr>
                <w:rStyle w:val="Hipersaitas"/>
              </w:rPr>
              <w:t>1.</w:t>
            </w:r>
            <w:r w:rsidR="004A7504" w:rsidRPr="00B44B19">
              <w:rPr>
                <w:rFonts w:eastAsiaTheme="minorEastAsia"/>
                <w:kern w:val="2"/>
                <w:sz w:val="24"/>
                <w:szCs w:val="24"/>
                <w:lang w:eastAsia="lt-LT"/>
                <w14:ligatures w14:val="standardContextual"/>
              </w:rPr>
              <w:tab/>
            </w:r>
            <w:r w:rsidR="004A7504" w:rsidRPr="00B44B19">
              <w:rPr>
                <w:rStyle w:val="Hipersaitas"/>
              </w:rPr>
              <w:t>PROGRAMOS STRATEGIJA: PAGRINDINIAI PLĖTROS UŽDAVINIAI IR PRIEMONĖS</w:t>
            </w:r>
            <w:r w:rsidR="004A7504" w:rsidRPr="00B44B19">
              <w:rPr>
                <w:webHidden/>
              </w:rPr>
              <w:tab/>
            </w:r>
            <w:r w:rsidR="004A7504" w:rsidRPr="00B44B19">
              <w:rPr>
                <w:webHidden/>
              </w:rPr>
              <w:fldChar w:fldCharType="begin"/>
            </w:r>
            <w:r w:rsidR="004A7504" w:rsidRPr="00B44B19">
              <w:rPr>
                <w:webHidden/>
              </w:rPr>
              <w:instrText xml:space="preserve"> PAGEREF _Toc223435407 \h </w:instrText>
            </w:r>
            <w:r w:rsidR="004A7504" w:rsidRPr="00B44B19">
              <w:rPr>
                <w:webHidden/>
              </w:rPr>
            </w:r>
            <w:r w:rsidR="004A7504" w:rsidRPr="00B44B19">
              <w:rPr>
                <w:webHidden/>
              </w:rPr>
              <w:fldChar w:fldCharType="separate"/>
            </w:r>
            <w:r w:rsidR="00EA2E59">
              <w:rPr>
                <w:webHidden/>
              </w:rPr>
              <w:t>7</w:t>
            </w:r>
            <w:r w:rsidR="004A7504" w:rsidRPr="00B44B19">
              <w:rPr>
                <w:webHidden/>
              </w:rPr>
              <w:fldChar w:fldCharType="end"/>
            </w:r>
          </w:hyperlink>
        </w:p>
        <w:p w14:paraId="392D1697" w14:textId="4592DF10" w:rsidR="004A7504" w:rsidRPr="00B44B19" w:rsidRDefault="004A7504">
          <w:pPr>
            <w:pStyle w:val="Turinys1"/>
            <w:rPr>
              <w:rFonts w:eastAsiaTheme="minorEastAsia"/>
              <w:kern w:val="2"/>
              <w:sz w:val="24"/>
              <w:szCs w:val="24"/>
              <w:lang w:eastAsia="lt-LT"/>
              <w14:ligatures w14:val="standardContextual"/>
            </w:rPr>
          </w:pPr>
          <w:hyperlink w:anchor="_Toc223435408" w:history="1">
            <w:r w:rsidRPr="00B44B19">
              <w:rPr>
                <w:rStyle w:val="Hipersaitas"/>
              </w:rPr>
              <w:t>2.</w:t>
            </w:r>
            <w:r w:rsidRPr="00B44B19">
              <w:rPr>
                <w:rFonts w:eastAsiaTheme="minorEastAsia"/>
                <w:kern w:val="2"/>
                <w:sz w:val="24"/>
                <w:szCs w:val="24"/>
                <w:lang w:eastAsia="lt-LT"/>
                <w14:ligatures w14:val="standardContextual"/>
              </w:rPr>
              <w:tab/>
            </w:r>
            <w:r w:rsidRPr="00B44B19">
              <w:rPr>
                <w:rStyle w:val="Hipersaitas"/>
              </w:rPr>
              <w:t>PRIORITETŲ APRAŠYMAS</w:t>
            </w:r>
            <w:r w:rsidRPr="00B44B19">
              <w:rPr>
                <w:webHidden/>
              </w:rPr>
              <w:tab/>
            </w:r>
            <w:r w:rsidRPr="00B44B19">
              <w:rPr>
                <w:webHidden/>
              </w:rPr>
              <w:fldChar w:fldCharType="begin"/>
            </w:r>
            <w:r w:rsidRPr="00B44B19">
              <w:rPr>
                <w:webHidden/>
              </w:rPr>
              <w:instrText xml:space="preserve"> PAGEREF _Toc223435408 \h </w:instrText>
            </w:r>
            <w:r w:rsidRPr="00B44B19">
              <w:rPr>
                <w:webHidden/>
              </w:rPr>
            </w:r>
            <w:r w:rsidRPr="00B44B19">
              <w:rPr>
                <w:webHidden/>
              </w:rPr>
              <w:fldChar w:fldCharType="separate"/>
            </w:r>
            <w:r w:rsidR="00EA2E59">
              <w:rPr>
                <w:webHidden/>
              </w:rPr>
              <w:t>42</w:t>
            </w:r>
            <w:r w:rsidRPr="00B44B19">
              <w:rPr>
                <w:webHidden/>
              </w:rPr>
              <w:fldChar w:fldCharType="end"/>
            </w:r>
          </w:hyperlink>
        </w:p>
        <w:p w14:paraId="11C87028" w14:textId="777522E3" w:rsidR="004A7504" w:rsidRPr="00B44B19" w:rsidRDefault="004A7504">
          <w:pPr>
            <w:pStyle w:val="Turinys1"/>
            <w:rPr>
              <w:rFonts w:eastAsiaTheme="minorEastAsia"/>
              <w:kern w:val="2"/>
              <w:sz w:val="24"/>
              <w:szCs w:val="24"/>
              <w:lang w:eastAsia="lt-LT"/>
              <w14:ligatures w14:val="standardContextual"/>
            </w:rPr>
          </w:pPr>
          <w:hyperlink w:anchor="_Toc223435409" w:history="1">
            <w:r w:rsidRPr="00B44B19">
              <w:rPr>
                <w:rStyle w:val="Hipersaitas"/>
              </w:rPr>
              <w:t>1 Prioritetas. Pažangesnė Lietuva</w:t>
            </w:r>
            <w:r w:rsidRPr="00B44B19">
              <w:rPr>
                <w:webHidden/>
              </w:rPr>
              <w:tab/>
            </w:r>
            <w:r w:rsidRPr="00B44B19">
              <w:rPr>
                <w:webHidden/>
              </w:rPr>
              <w:fldChar w:fldCharType="begin"/>
            </w:r>
            <w:r w:rsidRPr="00B44B19">
              <w:rPr>
                <w:webHidden/>
              </w:rPr>
              <w:instrText xml:space="preserve"> PAGEREF _Toc223435409 \h </w:instrText>
            </w:r>
            <w:r w:rsidRPr="00B44B19">
              <w:rPr>
                <w:webHidden/>
              </w:rPr>
            </w:r>
            <w:r w:rsidRPr="00B44B19">
              <w:rPr>
                <w:webHidden/>
              </w:rPr>
              <w:fldChar w:fldCharType="separate"/>
            </w:r>
            <w:r w:rsidR="00EA2E59">
              <w:rPr>
                <w:webHidden/>
              </w:rPr>
              <w:t>42</w:t>
            </w:r>
            <w:r w:rsidRPr="00B44B19">
              <w:rPr>
                <w:webHidden/>
              </w:rPr>
              <w:fldChar w:fldCharType="end"/>
            </w:r>
          </w:hyperlink>
        </w:p>
        <w:p w14:paraId="51836514" w14:textId="6ABE5939" w:rsidR="004A7504" w:rsidRPr="00B44B19" w:rsidRDefault="004A7504">
          <w:pPr>
            <w:pStyle w:val="Turinys2"/>
            <w:rPr>
              <w:rFonts w:eastAsiaTheme="minorEastAsia" w:cs="Times New Roman"/>
              <w:kern w:val="2"/>
              <w:sz w:val="24"/>
              <w:szCs w:val="24"/>
              <w:lang w:eastAsia="lt-LT"/>
              <w14:ligatures w14:val="standardContextual"/>
            </w:rPr>
          </w:pPr>
          <w:hyperlink w:anchor="_Toc223435410" w:history="1">
            <w:r w:rsidRPr="00B44B19">
              <w:rPr>
                <w:rStyle w:val="Hipersaitas"/>
                <w:rFonts w:eastAsia="Calibri" w:cs="Times New Roman"/>
                <w:lang w:eastAsia="lt-LT" w:bidi="lt-LT"/>
              </w:rPr>
              <w:t xml:space="preserve">Konkretus uždavinys – 1.1. </w:t>
            </w:r>
            <w:r w:rsidRPr="00B44B19">
              <w:rPr>
                <w:rStyle w:val="Hipersaitas"/>
                <w:rFonts w:cs="Times New Roman"/>
                <w:iCs/>
                <w:lang w:bidi="lt-LT"/>
              </w:rPr>
              <w:t>Plėtoti ir stiprinti mokslinių tyrimų ir inovacinius pajėgumus ir diegti pažangiąsias technologijas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_Toc223435410 \h </w:instrText>
            </w:r>
            <w:r w:rsidRPr="00B44B19">
              <w:rPr>
                <w:rFonts w:cs="Times New Roman"/>
                <w:webHidden/>
              </w:rPr>
            </w:r>
            <w:r w:rsidRPr="00B44B19">
              <w:rPr>
                <w:rFonts w:cs="Times New Roman"/>
                <w:webHidden/>
              </w:rPr>
              <w:fldChar w:fldCharType="separate"/>
            </w:r>
            <w:r w:rsidR="00EA2E59">
              <w:rPr>
                <w:rFonts w:cs="Times New Roman"/>
                <w:webHidden/>
              </w:rPr>
              <w:t>42</w:t>
            </w:r>
            <w:r w:rsidRPr="00B44B19">
              <w:rPr>
                <w:rFonts w:cs="Times New Roman"/>
                <w:webHidden/>
              </w:rPr>
              <w:fldChar w:fldCharType="end"/>
            </w:r>
          </w:hyperlink>
        </w:p>
        <w:p w14:paraId="38C99319" w14:textId="433AD7D1" w:rsidR="004A7504" w:rsidRPr="00B44B19" w:rsidRDefault="004A7504">
          <w:pPr>
            <w:pStyle w:val="Turinys2"/>
            <w:rPr>
              <w:rFonts w:eastAsiaTheme="minorEastAsia" w:cs="Times New Roman"/>
              <w:kern w:val="2"/>
              <w:sz w:val="24"/>
              <w:szCs w:val="24"/>
              <w:lang w:eastAsia="lt-LT"/>
              <w14:ligatures w14:val="standardContextual"/>
            </w:rPr>
          </w:pPr>
          <w:hyperlink w:anchor="_Toc223435411" w:history="1">
            <w:r w:rsidRPr="00B44B19">
              <w:rPr>
                <w:rStyle w:val="Hipersaitas"/>
                <w:rFonts w:cs="Times New Roman"/>
              </w:rPr>
              <w:t xml:space="preserve">Konkretus uždavinys – 1.2. </w:t>
            </w:r>
            <w:r w:rsidRPr="00B44B19">
              <w:rPr>
                <w:rStyle w:val="Hipersaitas"/>
                <w:rFonts w:cs="Times New Roman"/>
                <w:iCs/>
                <w:lang w:bidi="lt-LT"/>
              </w:rPr>
              <w:t>Pasinaudoti skaitmeninimo teikiama nauda piliečiams, įmonėms, mokslinių tyrimų organizacijoms ir valdžios institucijoms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_Toc223435411 \h </w:instrText>
            </w:r>
            <w:r w:rsidRPr="00B44B19">
              <w:rPr>
                <w:rFonts w:cs="Times New Roman"/>
                <w:webHidden/>
              </w:rPr>
            </w:r>
            <w:r w:rsidRPr="00B44B19">
              <w:rPr>
                <w:rFonts w:cs="Times New Roman"/>
                <w:webHidden/>
              </w:rPr>
              <w:fldChar w:fldCharType="separate"/>
            </w:r>
            <w:r w:rsidR="00EA2E59">
              <w:rPr>
                <w:rFonts w:cs="Times New Roman"/>
                <w:webHidden/>
              </w:rPr>
              <w:t>50</w:t>
            </w:r>
            <w:r w:rsidRPr="00B44B19">
              <w:rPr>
                <w:rFonts w:cs="Times New Roman"/>
                <w:webHidden/>
              </w:rPr>
              <w:fldChar w:fldCharType="end"/>
            </w:r>
          </w:hyperlink>
        </w:p>
        <w:p w14:paraId="281CEFF7" w14:textId="6A48FBC0" w:rsidR="004A7504" w:rsidRPr="00B44B19" w:rsidRDefault="004A7504">
          <w:pPr>
            <w:pStyle w:val="Turinys2"/>
            <w:rPr>
              <w:rFonts w:eastAsiaTheme="minorEastAsia" w:cs="Times New Roman"/>
              <w:kern w:val="2"/>
              <w:sz w:val="24"/>
              <w:szCs w:val="24"/>
              <w:lang w:eastAsia="lt-LT"/>
              <w14:ligatures w14:val="standardContextual"/>
            </w:rPr>
          </w:pPr>
          <w:hyperlink w:anchor="_Toc223435412" w:history="1">
            <w:r w:rsidRPr="00B44B19">
              <w:rPr>
                <w:rStyle w:val="Hipersaitas"/>
                <w:rFonts w:cs="Times New Roman"/>
              </w:rPr>
              <w:t xml:space="preserve">Konkretus uždavinys – 1.3. </w:t>
            </w:r>
            <w:r w:rsidRPr="00B44B19">
              <w:rPr>
                <w:rStyle w:val="Hipersaitas"/>
                <w:rFonts w:cs="Times New Roman"/>
                <w:iCs/>
                <w:lang w:bidi="lt-LT"/>
              </w:rPr>
              <w:t>Stiprinti tvarų MVĮ augimą bei konkurencingumą ir darbo vietų kūrimą MVĮ, be kita ko pasitelkiant gamybines investicijas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_Toc223435412 \h </w:instrText>
            </w:r>
            <w:r w:rsidRPr="00B44B19">
              <w:rPr>
                <w:rFonts w:cs="Times New Roman"/>
                <w:webHidden/>
              </w:rPr>
            </w:r>
            <w:r w:rsidRPr="00B44B19">
              <w:rPr>
                <w:rFonts w:cs="Times New Roman"/>
                <w:webHidden/>
              </w:rPr>
              <w:fldChar w:fldCharType="separate"/>
            </w:r>
            <w:r w:rsidR="00EA2E59">
              <w:rPr>
                <w:rFonts w:cs="Times New Roman"/>
                <w:webHidden/>
              </w:rPr>
              <w:t>55</w:t>
            </w:r>
            <w:r w:rsidRPr="00B44B19">
              <w:rPr>
                <w:rFonts w:cs="Times New Roman"/>
                <w:webHidden/>
              </w:rPr>
              <w:fldChar w:fldCharType="end"/>
            </w:r>
          </w:hyperlink>
        </w:p>
        <w:p w14:paraId="792E8DF3" w14:textId="5279F953" w:rsidR="004A7504" w:rsidRPr="00B44B19" w:rsidRDefault="004A7504">
          <w:pPr>
            <w:pStyle w:val="Turinys2"/>
            <w:rPr>
              <w:rFonts w:eastAsiaTheme="minorEastAsia" w:cs="Times New Roman"/>
              <w:kern w:val="2"/>
              <w:sz w:val="24"/>
              <w:szCs w:val="24"/>
              <w:lang w:eastAsia="lt-LT"/>
              <w14:ligatures w14:val="standardContextual"/>
            </w:rPr>
          </w:pPr>
          <w:hyperlink w:anchor="_Toc223435413" w:history="1">
            <w:r w:rsidRPr="00B44B19">
              <w:rPr>
                <w:rStyle w:val="Hipersaitas"/>
                <w:rFonts w:eastAsia="Calibri" w:cs="Times New Roman"/>
                <w:lang w:eastAsia="lt-LT" w:bidi="lt-LT"/>
              </w:rPr>
              <w:t xml:space="preserve">Konkretus uždavinys – 1.4. </w:t>
            </w:r>
            <w:r w:rsidRPr="00B44B19">
              <w:rPr>
                <w:rStyle w:val="Hipersaitas"/>
                <w:rFonts w:eastAsia="Calibri" w:cs="Times New Roman"/>
                <w:iCs/>
                <w:lang w:eastAsia="lt-LT" w:bidi="lt-LT"/>
              </w:rPr>
              <w:t>Ugdyti pažangiajai specializacijai, pramonės pertvarkai ir verslumui reikalingus įgūdžius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_Toc223435413 \h </w:instrText>
            </w:r>
            <w:r w:rsidRPr="00B44B19">
              <w:rPr>
                <w:rFonts w:cs="Times New Roman"/>
                <w:webHidden/>
              </w:rPr>
            </w:r>
            <w:r w:rsidRPr="00B44B19">
              <w:rPr>
                <w:rFonts w:cs="Times New Roman"/>
                <w:webHidden/>
              </w:rPr>
              <w:fldChar w:fldCharType="separate"/>
            </w:r>
            <w:r w:rsidR="00EA2E59">
              <w:rPr>
                <w:rFonts w:cs="Times New Roman"/>
                <w:webHidden/>
              </w:rPr>
              <w:t>61</w:t>
            </w:r>
            <w:r w:rsidRPr="00B44B19">
              <w:rPr>
                <w:rFonts w:cs="Times New Roman"/>
                <w:webHidden/>
              </w:rPr>
              <w:fldChar w:fldCharType="end"/>
            </w:r>
          </w:hyperlink>
        </w:p>
        <w:p w14:paraId="0A089E77" w14:textId="0EA346F4" w:rsidR="004A7504" w:rsidRPr="00B44B19" w:rsidRDefault="004A7504">
          <w:pPr>
            <w:pStyle w:val="Turinys1"/>
            <w:rPr>
              <w:rFonts w:eastAsiaTheme="minorEastAsia"/>
              <w:kern w:val="2"/>
              <w:sz w:val="24"/>
              <w:szCs w:val="24"/>
              <w:lang w:eastAsia="lt-LT"/>
              <w14:ligatures w14:val="standardContextual"/>
            </w:rPr>
          </w:pPr>
          <w:hyperlink w:anchor="_Toc223435414" w:history="1">
            <w:r w:rsidRPr="00B44B19">
              <w:rPr>
                <w:rStyle w:val="Hipersaitas"/>
              </w:rPr>
              <w:t>2 Prioritetas. Žalesnė Lietuva</w:t>
            </w:r>
            <w:r w:rsidRPr="00B44B19">
              <w:rPr>
                <w:webHidden/>
              </w:rPr>
              <w:tab/>
            </w:r>
            <w:r w:rsidRPr="00B44B19">
              <w:rPr>
                <w:webHidden/>
              </w:rPr>
              <w:fldChar w:fldCharType="begin"/>
            </w:r>
            <w:r w:rsidRPr="00B44B19">
              <w:rPr>
                <w:webHidden/>
              </w:rPr>
              <w:instrText xml:space="preserve"> PAGEREF _Toc223435414 \h </w:instrText>
            </w:r>
            <w:r w:rsidRPr="00B44B19">
              <w:rPr>
                <w:webHidden/>
              </w:rPr>
            </w:r>
            <w:r w:rsidRPr="00B44B19">
              <w:rPr>
                <w:webHidden/>
              </w:rPr>
              <w:fldChar w:fldCharType="separate"/>
            </w:r>
            <w:r w:rsidR="00EA2E59">
              <w:rPr>
                <w:webHidden/>
              </w:rPr>
              <w:t>67</w:t>
            </w:r>
            <w:r w:rsidRPr="00B44B19">
              <w:rPr>
                <w:webHidden/>
              </w:rPr>
              <w:fldChar w:fldCharType="end"/>
            </w:r>
          </w:hyperlink>
        </w:p>
        <w:p w14:paraId="07B3E006" w14:textId="53EF3729" w:rsidR="004A7504" w:rsidRPr="00B44B19" w:rsidRDefault="004A7504">
          <w:pPr>
            <w:pStyle w:val="Turinys2"/>
            <w:rPr>
              <w:rFonts w:eastAsiaTheme="minorEastAsia" w:cs="Times New Roman"/>
              <w:kern w:val="2"/>
              <w:sz w:val="24"/>
              <w:szCs w:val="24"/>
              <w:lang w:eastAsia="lt-LT"/>
              <w14:ligatures w14:val="standardContextual"/>
            </w:rPr>
          </w:pPr>
          <w:hyperlink w:anchor="_Toc223435415" w:history="1">
            <w:r w:rsidRPr="00B44B19">
              <w:rPr>
                <w:rStyle w:val="Hipersaitas"/>
                <w:rFonts w:cs="Times New Roman"/>
              </w:rPr>
              <w:t xml:space="preserve">Konkretus uždavinys – 2.1. </w:t>
            </w:r>
            <w:r w:rsidRPr="00B44B19">
              <w:rPr>
                <w:rStyle w:val="Hipersaitas"/>
                <w:rFonts w:cs="Times New Roman"/>
                <w:iCs/>
                <w:lang w:bidi="lt-LT"/>
              </w:rPr>
              <w:t>Skatinti energijos vartojimo efektyvumą ir mažinti išmetamų šiltnamio efektą sukeliančių dujų kiekį</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_Toc223435415 \h </w:instrText>
            </w:r>
            <w:r w:rsidRPr="00B44B19">
              <w:rPr>
                <w:rFonts w:cs="Times New Roman"/>
                <w:webHidden/>
              </w:rPr>
            </w:r>
            <w:r w:rsidRPr="00B44B19">
              <w:rPr>
                <w:rFonts w:cs="Times New Roman"/>
                <w:webHidden/>
              </w:rPr>
              <w:fldChar w:fldCharType="separate"/>
            </w:r>
            <w:r w:rsidR="00EA2E59">
              <w:rPr>
                <w:rFonts w:cs="Times New Roman"/>
                <w:webHidden/>
              </w:rPr>
              <w:t>67</w:t>
            </w:r>
            <w:r w:rsidRPr="00B44B19">
              <w:rPr>
                <w:rFonts w:cs="Times New Roman"/>
                <w:webHidden/>
              </w:rPr>
              <w:fldChar w:fldCharType="end"/>
            </w:r>
          </w:hyperlink>
        </w:p>
        <w:p w14:paraId="1AA600C7" w14:textId="1760B2A2" w:rsidR="004A7504" w:rsidRPr="00B44B19" w:rsidRDefault="004A7504">
          <w:pPr>
            <w:pStyle w:val="Turinys2"/>
            <w:rPr>
              <w:rFonts w:eastAsiaTheme="minorEastAsia" w:cs="Times New Roman"/>
              <w:kern w:val="2"/>
              <w:sz w:val="24"/>
              <w:szCs w:val="24"/>
              <w:lang w:eastAsia="lt-LT"/>
              <w14:ligatures w14:val="standardContextual"/>
            </w:rPr>
          </w:pPr>
          <w:hyperlink w:anchor="_Toc223435416" w:history="1">
            <w:r w:rsidRPr="00B44B19">
              <w:rPr>
                <w:rStyle w:val="Hipersaitas"/>
                <w:rFonts w:cs="Times New Roman"/>
              </w:rPr>
              <w:t xml:space="preserve">Konkretus uždavinys – 2.2. </w:t>
            </w:r>
            <w:r w:rsidRPr="00B44B19">
              <w:rPr>
                <w:rStyle w:val="Hipersaitas"/>
                <w:rFonts w:cs="Times New Roman"/>
                <w:iCs/>
                <w:lang w:bidi="lt-LT"/>
              </w:rPr>
              <w:t>Skatinti atsinaujinančiąją energiją pagal Direktyvą (ES) 2018/2001, įskaitant joje nustatytus tvarumo kriterijus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_Toc223435416 \h </w:instrText>
            </w:r>
            <w:r w:rsidRPr="00B44B19">
              <w:rPr>
                <w:rFonts w:cs="Times New Roman"/>
                <w:webHidden/>
              </w:rPr>
            </w:r>
            <w:r w:rsidRPr="00B44B19">
              <w:rPr>
                <w:rFonts w:cs="Times New Roman"/>
                <w:webHidden/>
              </w:rPr>
              <w:fldChar w:fldCharType="separate"/>
            </w:r>
            <w:r w:rsidR="00EA2E59">
              <w:rPr>
                <w:rFonts w:cs="Times New Roman"/>
                <w:webHidden/>
              </w:rPr>
              <w:t>73</w:t>
            </w:r>
            <w:r w:rsidRPr="00B44B19">
              <w:rPr>
                <w:rFonts w:cs="Times New Roman"/>
                <w:webHidden/>
              </w:rPr>
              <w:fldChar w:fldCharType="end"/>
            </w:r>
          </w:hyperlink>
        </w:p>
        <w:p w14:paraId="6D78876A" w14:textId="6636F203" w:rsidR="004A7504" w:rsidRPr="00B44B19" w:rsidRDefault="004A7504">
          <w:pPr>
            <w:pStyle w:val="Turinys2"/>
            <w:rPr>
              <w:rFonts w:eastAsiaTheme="minorEastAsia" w:cs="Times New Roman"/>
              <w:kern w:val="2"/>
              <w:sz w:val="24"/>
              <w:szCs w:val="24"/>
              <w:lang w:eastAsia="lt-LT"/>
              <w14:ligatures w14:val="standardContextual"/>
            </w:rPr>
          </w:pPr>
          <w:hyperlink w:anchor="_Toc223435417" w:history="1">
            <w:r w:rsidRPr="00B44B19">
              <w:rPr>
                <w:rStyle w:val="Hipersaitas"/>
                <w:rFonts w:cs="Times New Roman"/>
              </w:rPr>
              <w:t xml:space="preserve">Konkretus uždavinys – 2.3. </w:t>
            </w:r>
            <w:r w:rsidRPr="00B44B19">
              <w:rPr>
                <w:rStyle w:val="Hipersaitas"/>
                <w:rFonts w:cs="Times New Roman"/>
                <w:iCs/>
                <w:lang w:bidi="lt-LT"/>
              </w:rPr>
              <w:t>Plėtoti pažangiąsias elektros energijos sistemas, tinklus ir energijos kaupimo ne transeuropiniame energetikos tinkle (TEN-E) sprendimus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_Toc223435417 \h </w:instrText>
            </w:r>
            <w:r w:rsidRPr="00B44B19">
              <w:rPr>
                <w:rFonts w:cs="Times New Roman"/>
                <w:webHidden/>
              </w:rPr>
            </w:r>
            <w:r w:rsidRPr="00B44B19">
              <w:rPr>
                <w:rFonts w:cs="Times New Roman"/>
                <w:webHidden/>
              </w:rPr>
              <w:fldChar w:fldCharType="separate"/>
            </w:r>
            <w:r w:rsidR="00EA2E59">
              <w:rPr>
                <w:rFonts w:cs="Times New Roman"/>
                <w:webHidden/>
              </w:rPr>
              <w:t>77</w:t>
            </w:r>
            <w:r w:rsidRPr="00B44B19">
              <w:rPr>
                <w:rFonts w:cs="Times New Roman"/>
                <w:webHidden/>
              </w:rPr>
              <w:fldChar w:fldCharType="end"/>
            </w:r>
          </w:hyperlink>
        </w:p>
        <w:p w14:paraId="43EFE565" w14:textId="0D0D5B86" w:rsidR="004A7504" w:rsidRPr="00B44B19" w:rsidRDefault="004A7504">
          <w:pPr>
            <w:pStyle w:val="Turinys2"/>
            <w:rPr>
              <w:rFonts w:eastAsiaTheme="minorEastAsia" w:cs="Times New Roman"/>
              <w:kern w:val="2"/>
              <w:sz w:val="24"/>
              <w:szCs w:val="24"/>
              <w:lang w:eastAsia="lt-LT"/>
              <w14:ligatures w14:val="standardContextual"/>
            </w:rPr>
          </w:pPr>
          <w:hyperlink w:anchor="_Toc223435418" w:history="1">
            <w:r w:rsidRPr="00B44B19">
              <w:rPr>
                <w:rStyle w:val="Hipersaitas"/>
                <w:rFonts w:cs="Times New Roman"/>
              </w:rPr>
              <w:t xml:space="preserve">Konkretus uždavinys – 2.4. </w:t>
            </w:r>
            <w:r w:rsidRPr="00B44B19">
              <w:rPr>
                <w:rStyle w:val="Hipersaitas"/>
                <w:rFonts w:cs="Times New Roman"/>
                <w:iCs/>
                <w:lang w:bidi="lt-LT"/>
              </w:rPr>
              <w:t>Skatinti prisitaikymą prie klimato kaitos ir nelaimių rizikos prevenciją, atsparumą, atsižvelgiant į ekosisteminius metodus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_Toc223435418 \h </w:instrText>
            </w:r>
            <w:r w:rsidRPr="00B44B19">
              <w:rPr>
                <w:rFonts w:cs="Times New Roman"/>
                <w:webHidden/>
              </w:rPr>
            </w:r>
            <w:r w:rsidRPr="00B44B19">
              <w:rPr>
                <w:rFonts w:cs="Times New Roman"/>
                <w:webHidden/>
              </w:rPr>
              <w:fldChar w:fldCharType="separate"/>
            </w:r>
            <w:r w:rsidR="00EA2E59">
              <w:rPr>
                <w:rFonts w:cs="Times New Roman"/>
                <w:webHidden/>
              </w:rPr>
              <w:t>81</w:t>
            </w:r>
            <w:r w:rsidRPr="00B44B19">
              <w:rPr>
                <w:rFonts w:cs="Times New Roman"/>
                <w:webHidden/>
              </w:rPr>
              <w:fldChar w:fldCharType="end"/>
            </w:r>
          </w:hyperlink>
        </w:p>
        <w:p w14:paraId="65401F24" w14:textId="68ADD98E" w:rsidR="004A7504" w:rsidRPr="00B44B19" w:rsidRDefault="004A7504">
          <w:pPr>
            <w:pStyle w:val="Turinys2"/>
            <w:rPr>
              <w:rFonts w:eastAsiaTheme="minorEastAsia" w:cs="Times New Roman"/>
              <w:kern w:val="2"/>
              <w:sz w:val="24"/>
              <w:szCs w:val="24"/>
              <w:lang w:eastAsia="lt-LT"/>
              <w14:ligatures w14:val="standardContextual"/>
            </w:rPr>
          </w:pPr>
          <w:hyperlink w:anchor="_Toc223435419" w:history="1">
            <w:r w:rsidRPr="00B44B19">
              <w:rPr>
                <w:rStyle w:val="Hipersaitas"/>
                <w:rFonts w:cs="Times New Roman"/>
              </w:rPr>
              <w:t xml:space="preserve">Konkretus uždavinys – 2.5. </w:t>
            </w:r>
            <w:r w:rsidRPr="00B44B19">
              <w:rPr>
                <w:rStyle w:val="Hipersaitas"/>
                <w:rFonts w:cs="Times New Roman"/>
                <w:iCs/>
                <w:lang w:bidi="lt-LT"/>
              </w:rPr>
              <w:t>Skatinti saugią prieigą prie vandens, tvarios vandentvarkos, įskaitant integruotą vandentvarką, ir vandens išteklių atsparumą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_Toc223435419 \h </w:instrText>
            </w:r>
            <w:r w:rsidRPr="00B44B19">
              <w:rPr>
                <w:rFonts w:cs="Times New Roman"/>
                <w:webHidden/>
              </w:rPr>
            </w:r>
            <w:r w:rsidRPr="00B44B19">
              <w:rPr>
                <w:rFonts w:cs="Times New Roman"/>
                <w:webHidden/>
              </w:rPr>
              <w:fldChar w:fldCharType="separate"/>
            </w:r>
            <w:r w:rsidR="00EA2E59">
              <w:rPr>
                <w:rFonts w:cs="Times New Roman"/>
                <w:webHidden/>
              </w:rPr>
              <w:t>87</w:t>
            </w:r>
            <w:r w:rsidRPr="00B44B19">
              <w:rPr>
                <w:rFonts w:cs="Times New Roman"/>
                <w:webHidden/>
              </w:rPr>
              <w:fldChar w:fldCharType="end"/>
            </w:r>
          </w:hyperlink>
        </w:p>
        <w:p w14:paraId="67F7A4E8" w14:textId="47556B82" w:rsidR="004A7504" w:rsidRPr="00B44B19" w:rsidRDefault="004A7504">
          <w:pPr>
            <w:pStyle w:val="Turinys2"/>
            <w:rPr>
              <w:rFonts w:eastAsiaTheme="minorEastAsia" w:cs="Times New Roman"/>
              <w:kern w:val="2"/>
              <w:sz w:val="24"/>
              <w:szCs w:val="24"/>
              <w:lang w:eastAsia="lt-LT"/>
              <w14:ligatures w14:val="standardContextual"/>
            </w:rPr>
          </w:pPr>
          <w:hyperlink w:anchor="_Toc223435420" w:history="1">
            <w:r w:rsidRPr="00B44B19">
              <w:rPr>
                <w:rStyle w:val="Hipersaitas"/>
                <w:rFonts w:cs="Times New Roman"/>
              </w:rPr>
              <w:t xml:space="preserve">Konkretus uždavinys – 2.6. </w:t>
            </w:r>
            <w:r w:rsidRPr="00B44B19">
              <w:rPr>
                <w:rStyle w:val="Hipersaitas"/>
                <w:rFonts w:cs="Times New Roman"/>
                <w:iCs/>
                <w:lang w:bidi="lt-LT"/>
              </w:rPr>
              <w:t>Skatinti perėjimą prie žiedinės ir efektyvaus išteklių naudojimo ekonomikos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_Toc223435420 \h </w:instrText>
            </w:r>
            <w:r w:rsidRPr="00B44B19">
              <w:rPr>
                <w:rFonts w:cs="Times New Roman"/>
                <w:webHidden/>
              </w:rPr>
            </w:r>
            <w:r w:rsidRPr="00B44B19">
              <w:rPr>
                <w:rFonts w:cs="Times New Roman"/>
                <w:webHidden/>
              </w:rPr>
              <w:fldChar w:fldCharType="separate"/>
            </w:r>
            <w:r w:rsidR="00EA2E59">
              <w:rPr>
                <w:rFonts w:cs="Times New Roman"/>
                <w:webHidden/>
              </w:rPr>
              <w:t>91</w:t>
            </w:r>
            <w:r w:rsidRPr="00B44B19">
              <w:rPr>
                <w:rFonts w:cs="Times New Roman"/>
                <w:webHidden/>
              </w:rPr>
              <w:fldChar w:fldCharType="end"/>
            </w:r>
          </w:hyperlink>
        </w:p>
        <w:p w14:paraId="227E49A6" w14:textId="414ED34E" w:rsidR="004A7504" w:rsidRPr="00B44B19" w:rsidRDefault="004A7504">
          <w:pPr>
            <w:pStyle w:val="Turinys2"/>
            <w:rPr>
              <w:rFonts w:eastAsiaTheme="minorEastAsia" w:cs="Times New Roman"/>
              <w:kern w:val="2"/>
              <w:sz w:val="24"/>
              <w:szCs w:val="24"/>
              <w:lang w:eastAsia="lt-LT"/>
              <w14:ligatures w14:val="standardContextual"/>
            </w:rPr>
          </w:pPr>
          <w:hyperlink w:anchor="_Toc223435421" w:history="1">
            <w:r w:rsidRPr="00B44B19">
              <w:rPr>
                <w:rStyle w:val="Hipersaitas"/>
                <w:rFonts w:cs="Times New Roman"/>
              </w:rPr>
              <w:t xml:space="preserve">Konkretus uždavinys – 2.7. </w:t>
            </w:r>
            <w:r w:rsidRPr="00B44B19">
              <w:rPr>
                <w:rStyle w:val="Hipersaitas"/>
                <w:rFonts w:cs="Times New Roman"/>
                <w:iCs/>
                <w:lang w:bidi="lt-LT"/>
              </w:rPr>
              <w:t>Stiprinti gamtos, biologinės įvairovės ir žaliosios infrastruktūros apsaugą ir išsaugojimą, be kita ko, miestų teritorijose ir mažinti visų rūšių taršą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_Toc223435421 \h </w:instrText>
            </w:r>
            <w:r w:rsidRPr="00B44B19">
              <w:rPr>
                <w:rFonts w:cs="Times New Roman"/>
                <w:webHidden/>
              </w:rPr>
            </w:r>
            <w:r w:rsidRPr="00B44B19">
              <w:rPr>
                <w:rFonts w:cs="Times New Roman"/>
                <w:webHidden/>
              </w:rPr>
              <w:fldChar w:fldCharType="separate"/>
            </w:r>
            <w:r w:rsidR="00EA2E59">
              <w:rPr>
                <w:rFonts w:cs="Times New Roman"/>
                <w:webHidden/>
              </w:rPr>
              <w:t>95</w:t>
            </w:r>
            <w:r w:rsidRPr="00B44B19">
              <w:rPr>
                <w:rFonts w:cs="Times New Roman"/>
                <w:webHidden/>
              </w:rPr>
              <w:fldChar w:fldCharType="end"/>
            </w:r>
          </w:hyperlink>
        </w:p>
        <w:p w14:paraId="61DC3853" w14:textId="069BE26C" w:rsidR="004A7504" w:rsidRPr="00B44B19" w:rsidRDefault="004A7504">
          <w:pPr>
            <w:pStyle w:val="Turinys1"/>
            <w:rPr>
              <w:rFonts w:eastAsiaTheme="minorEastAsia"/>
              <w:kern w:val="2"/>
              <w:sz w:val="24"/>
              <w:szCs w:val="24"/>
              <w:lang w:eastAsia="lt-LT"/>
              <w14:ligatures w14:val="standardContextual"/>
            </w:rPr>
          </w:pPr>
          <w:hyperlink w:anchor="_Toc223435422" w:history="1">
            <w:r w:rsidRPr="00B44B19">
              <w:rPr>
                <w:rStyle w:val="Hipersaitas"/>
              </w:rPr>
              <w:t>3 Prioritetas. Geriau sujungta Lietuva</w:t>
            </w:r>
            <w:r w:rsidRPr="00B44B19">
              <w:rPr>
                <w:webHidden/>
              </w:rPr>
              <w:tab/>
            </w:r>
            <w:r w:rsidRPr="00B44B19">
              <w:rPr>
                <w:webHidden/>
              </w:rPr>
              <w:fldChar w:fldCharType="begin"/>
            </w:r>
            <w:r w:rsidRPr="00B44B19">
              <w:rPr>
                <w:webHidden/>
              </w:rPr>
              <w:instrText xml:space="preserve"> PAGEREF _Toc223435422 \h </w:instrText>
            </w:r>
            <w:r w:rsidRPr="00B44B19">
              <w:rPr>
                <w:webHidden/>
              </w:rPr>
            </w:r>
            <w:r w:rsidRPr="00B44B19">
              <w:rPr>
                <w:webHidden/>
              </w:rPr>
              <w:fldChar w:fldCharType="separate"/>
            </w:r>
            <w:r w:rsidR="00EA2E59">
              <w:rPr>
                <w:webHidden/>
              </w:rPr>
              <w:t>101</w:t>
            </w:r>
            <w:r w:rsidRPr="00B44B19">
              <w:rPr>
                <w:webHidden/>
              </w:rPr>
              <w:fldChar w:fldCharType="end"/>
            </w:r>
          </w:hyperlink>
        </w:p>
        <w:p w14:paraId="5869ABE1" w14:textId="74867ED7" w:rsidR="004A7504" w:rsidRPr="00B44B19" w:rsidRDefault="004A7504">
          <w:pPr>
            <w:pStyle w:val="Turinys2"/>
            <w:rPr>
              <w:rFonts w:eastAsiaTheme="minorEastAsia" w:cs="Times New Roman"/>
              <w:kern w:val="2"/>
              <w:sz w:val="24"/>
              <w:szCs w:val="24"/>
              <w:lang w:eastAsia="lt-LT"/>
              <w14:ligatures w14:val="standardContextual"/>
            </w:rPr>
          </w:pPr>
          <w:hyperlink w:anchor="_Toc223435423" w:history="1">
            <w:r w:rsidRPr="00B44B19">
              <w:rPr>
                <w:rStyle w:val="Hipersaitas"/>
                <w:rFonts w:cs="Times New Roman"/>
              </w:rPr>
              <w:t xml:space="preserve">Konkretus uždavinys – 3.1. </w:t>
            </w:r>
            <w:r w:rsidRPr="00B44B19">
              <w:rPr>
                <w:rStyle w:val="Hipersaitas"/>
                <w:rFonts w:cs="Times New Roman"/>
                <w:iCs/>
                <w:lang w:bidi="lt-LT"/>
              </w:rPr>
              <w:t>Plėtoti klimato kaitai atsparų, pažangų, saugų, tvarų ir įvairiarūšį TEN-T</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_Toc223435423 \h </w:instrText>
            </w:r>
            <w:r w:rsidRPr="00B44B19">
              <w:rPr>
                <w:rFonts w:cs="Times New Roman"/>
                <w:webHidden/>
              </w:rPr>
            </w:r>
            <w:r w:rsidRPr="00B44B19">
              <w:rPr>
                <w:rFonts w:cs="Times New Roman"/>
                <w:webHidden/>
              </w:rPr>
              <w:fldChar w:fldCharType="separate"/>
            </w:r>
            <w:r w:rsidR="00EA2E59">
              <w:rPr>
                <w:rFonts w:cs="Times New Roman"/>
                <w:webHidden/>
              </w:rPr>
              <w:t>101</w:t>
            </w:r>
            <w:r w:rsidRPr="00B44B19">
              <w:rPr>
                <w:rFonts w:cs="Times New Roman"/>
                <w:webHidden/>
              </w:rPr>
              <w:fldChar w:fldCharType="end"/>
            </w:r>
          </w:hyperlink>
        </w:p>
        <w:p w14:paraId="68F3CDDF" w14:textId="480B5ED8" w:rsidR="004A7504" w:rsidRPr="00B44B19" w:rsidRDefault="004A7504">
          <w:pPr>
            <w:pStyle w:val="Turinys2"/>
            <w:rPr>
              <w:rFonts w:eastAsiaTheme="minorEastAsia" w:cs="Times New Roman"/>
              <w:kern w:val="2"/>
              <w:sz w:val="24"/>
              <w:szCs w:val="24"/>
              <w:lang w:eastAsia="lt-LT"/>
              <w14:ligatures w14:val="standardContextual"/>
            </w:rPr>
          </w:pPr>
          <w:hyperlink w:anchor="_Toc223435424" w:history="1">
            <w:r w:rsidRPr="00B44B19">
              <w:rPr>
                <w:rStyle w:val="Hipersaitas"/>
                <w:rFonts w:cs="Times New Roman"/>
              </w:rPr>
              <w:t xml:space="preserve">Konkretus uždavinys – 3.2. </w:t>
            </w:r>
            <w:r w:rsidRPr="00B44B19">
              <w:rPr>
                <w:rStyle w:val="Hipersaitas"/>
                <w:rFonts w:cs="Times New Roman"/>
                <w:iCs/>
                <w:lang w:bidi="lt-LT"/>
              </w:rPr>
              <w:t>Plėtoti ir stiprinti tvarų, klimato kaitai atsparų, pažangų ir įvairiarūšį nacionalinį, regioninį ir vietos judumą, įskaitant geresnes galimybes naudotis TEN-T ir tarpvalstybinį judumą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_Toc223435424 \h </w:instrText>
            </w:r>
            <w:r w:rsidRPr="00B44B19">
              <w:rPr>
                <w:rFonts w:cs="Times New Roman"/>
                <w:webHidden/>
              </w:rPr>
            </w:r>
            <w:r w:rsidRPr="00B44B19">
              <w:rPr>
                <w:rFonts w:cs="Times New Roman"/>
                <w:webHidden/>
              </w:rPr>
              <w:fldChar w:fldCharType="separate"/>
            </w:r>
            <w:r w:rsidR="00EA2E59">
              <w:rPr>
                <w:rFonts w:cs="Times New Roman"/>
                <w:webHidden/>
              </w:rPr>
              <w:t>105</w:t>
            </w:r>
            <w:r w:rsidRPr="00B44B19">
              <w:rPr>
                <w:rFonts w:cs="Times New Roman"/>
                <w:webHidden/>
              </w:rPr>
              <w:fldChar w:fldCharType="end"/>
            </w:r>
          </w:hyperlink>
        </w:p>
        <w:p w14:paraId="6C2DDCDE" w14:textId="5C5BB242" w:rsidR="004A7504" w:rsidRPr="00B44B19" w:rsidRDefault="004A7504">
          <w:pPr>
            <w:pStyle w:val="Turinys1"/>
            <w:rPr>
              <w:rFonts w:eastAsiaTheme="minorEastAsia"/>
              <w:kern w:val="2"/>
              <w:sz w:val="24"/>
              <w:szCs w:val="24"/>
              <w:lang w:eastAsia="lt-LT"/>
              <w14:ligatures w14:val="standardContextual"/>
            </w:rPr>
          </w:pPr>
          <w:hyperlink w:anchor="_Toc223435425" w:history="1">
            <w:r w:rsidRPr="00B44B19">
              <w:rPr>
                <w:rStyle w:val="Hipersaitas"/>
              </w:rPr>
              <w:t>4 Prioritetas. Socialiai atsakingesnė Lietuva</w:t>
            </w:r>
            <w:r w:rsidRPr="00B44B19">
              <w:rPr>
                <w:webHidden/>
              </w:rPr>
              <w:tab/>
            </w:r>
            <w:r w:rsidRPr="00B44B19">
              <w:rPr>
                <w:webHidden/>
              </w:rPr>
              <w:fldChar w:fldCharType="begin"/>
            </w:r>
            <w:r w:rsidRPr="00B44B19">
              <w:rPr>
                <w:webHidden/>
              </w:rPr>
              <w:instrText xml:space="preserve"> PAGEREF _Toc223435425 \h </w:instrText>
            </w:r>
            <w:r w:rsidRPr="00B44B19">
              <w:rPr>
                <w:webHidden/>
              </w:rPr>
            </w:r>
            <w:r w:rsidRPr="00B44B19">
              <w:rPr>
                <w:webHidden/>
              </w:rPr>
              <w:fldChar w:fldCharType="separate"/>
            </w:r>
            <w:r w:rsidR="00EA2E59">
              <w:rPr>
                <w:webHidden/>
              </w:rPr>
              <w:t>110</w:t>
            </w:r>
            <w:r w:rsidRPr="00B44B19">
              <w:rPr>
                <w:webHidden/>
              </w:rPr>
              <w:fldChar w:fldCharType="end"/>
            </w:r>
          </w:hyperlink>
        </w:p>
        <w:p w14:paraId="367F3054" w14:textId="4513C840" w:rsidR="004A7504" w:rsidRPr="00B44B19" w:rsidRDefault="004A7504">
          <w:pPr>
            <w:pStyle w:val="Turinys2"/>
            <w:rPr>
              <w:rFonts w:eastAsiaTheme="minorEastAsia" w:cs="Times New Roman"/>
              <w:kern w:val="2"/>
              <w:sz w:val="24"/>
              <w:szCs w:val="24"/>
              <w:lang w:eastAsia="lt-LT"/>
              <w14:ligatures w14:val="standardContextual"/>
            </w:rPr>
          </w:pPr>
          <w:hyperlink w:anchor="_Toc223435426" w:history="1">
            <w:r w:rsidRPr="00B44B19">
              <w:rPr>
                <w:rStyle w:val="Hipersaitas"/>
                <w:rFonts w:cs="Times New Roman"/>
              </w:rPr>
              <w:t xml:space="preserve">Konkretus uždavinys – 4.1. </w:t>
            </w:r>
            <w:r w:rsidRPr="00B44B19">
              <w:rPr>
                <w:rStyle w:val="Hipersaitas"/>
                <w:rFonts w:cs="Times New Roman"/>
                <w:iCs/>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_Toc223435426 \h </w:instrText>
            </w:r>
            <w:r w:rsidRPr="00B44B19">
              <w:rPr>
                <w:rFonts w:cs="Times New Roman"/>
                <w:webHidden/>
              </w:rPr>
            </w:r>
            <w:r w:rsidRPr="00B44B19">
              <w:rPr>
                <w:rFonts w:cs="Times New Roman"/>
                <w:webHidden/>
              </w:rPr>
              <w:fldChar w:fldCharType="separate"/>
            </w:r>
            <w:r w:rsidR="00EA2E59">
              <w:rPr>
                <w:rFonts w:cs="Times New Roman"/>
                <w:webHidden/>
              </w:rPr>
              <w:t>110</w:t>
            </w:r>
            <w:r w:rsidRPr="00B44B19">
              <w:rPr>
                <w:rFonts w:cs="Times New Roman"/>
                <w:webHidden/>
              </w:rPr>
              <w:fldChar w:fldCharType="end"/>
            </w:r>
          </w:hyperlink>
        </w:p>
        <w:p w14:paraId="486DCDC6" w14:textId="4A001579" w:rsidR="004A7504" w:rsidRPr="00B44B19" w:rsidRDefault="004A7504">
          <w:pPr>
            <w:pStyle w:val="Turinys2"/>
            <w:rPr>
              <w:rFonts w:eastAsiaTheme="minorEastAsia" w:cs="Times New Roman"/>
              <w:kern w:val="2"/>
              <w:sz w:val="24"/>
              <w:szCs w:val="24"/>
              <w:lang w:eastAsia="lt-LT"/>
              <w14:ligatures w14:val="standardContextual"/>
            </w:rPr>
          </w:pPr>
          <w:hyperlink w:anchor="_Toc223435427" w:history="1">
            <w:r w:rsidRPr="00B44B19">
              <w:rPr>
                <w:rStyle w:val="Hipersaitas"/>
                <w:rFonts w:cs="Times New Roman"/>
              </w:rPr>
              <w:t xml:space="preserve">Konkretus uždavinys – 4.2. </w:t>
            </w:r>
            <w:r w:rsidRPr="00B44B19">
              <w:rPr>
                <w:rStyle w:val="Hipersaitas"/>
                <w:rFonts w:cs="Times New Roman"/>
                <w:iCs/>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_Toc223435427 \h </w:instrText>
            </w:r>
            <w:r w:rsidRPr="00B44B19">
              <w:rPr>
                <w:rFonts w:cs="Times New Roman"/>
                <w:webHidden/>
              </w:rPr>
            </w:r>
            <w:r w:rsidRPr="00B44B19">
              <w:rPr>
                <w:rFonts w:cs="Times New Roman"/>
                <w:webHidden/>
              </w:rPr>
              <w:fldChar w:fldCharType="separate"/>
            </w:r>
            <w:r w:rsidR="00EA2E59">
              <w:rPr>
                <w:rFonts w:cs="Times New Roman"/>
                <w:webHidden/>
              </w:rPr>
              <w:t>116</w:t>
            </w:r>
            <w:r w:rsidRPr="00B44B19">
              <w:rPr>
                <w:rFonts w:cs="Times New Roman"/>
                <w:webHidden/>
              </w:rPr>
              <w:fldChar w:fldCharType="end"/>
            </w:r>
          </w:hyperlink>
        </w:p>
        <w:p w14:paraId="377BF4CE" w14:textId="040A8624" w:rsidR="004A7504" w:rsidRPr="00B44B19" w:rsidRDefault="004A7504">
          <w:pPr>
            <w:pStyle w:val="Turinys2"/>
            <w:rPr>
              <w:rFonts w:eastAsiaTheme="minorEastAsia" w:cs="Times New Roman"/>
              <w:kern w:val="2"/>
              <w:sz w:val="24"/>
              <w:szCs w:val="24"/>
              <w:lang w:eastAsia="lt-LT"/>
              <w14:ligatures w14:val="standardContextual"/>
            </w:rPr>
          </w:pPr>
          <w:hyperlink w:anchor="_Toc223435428" w:history="1">
            <w:r w:rsidRPr="00B44B19">
              <w:rPr>
                <w:rStyle w:val="Hipersaitas"/>
                <w:rFonts w:cs="Times New Roman"/>
              </w:rPr>
              <w:t xml:space="preserve">Konkretus uždavinys – 4.3. </w:t>
            </w:r>
            <w:r w:rsidRPr="00B44B19">
              <w:rPr>
                <w:rStyle w:val="Hipersaitas"/>
                <w:rFonts w:cs="Times New Roman"/>
                <w:iCs/>
                <w:lang w:bidi="lt-LT"/>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_Toc223435428 \h </w:instrText>
            </w:r>
            <w:r w:rsidRPr="00B44B19">
              <w:rPr>
                <w:rFonts w:cs="Times New Roman"/>
                <w:webHidden/>
              </w:rPr>
            </w:r>
            <w:r w:rsidRPr="00B44B19">
              <w:rPr>
                <w:rFonts w:cs="Times New Roman"/>
                <w:webHidden/>
              </w:rPr>
              <w:fldChar w:fldCharType="separate"/>
            </w:r>
            <w:r w:rsidR="00EA2E59">
              <w:rPr>
                <w:rFonts w:cs="Times New Roman"/>
                <w:webHidden/>
              </w:rPr>
              <w:t>119</w:t>
            </w:r>
            <w:r w:rsidRPr="00B44B19">
              <w:rPr>
                <w:rFonts w:cs="Times New Roman"/>
                <w:webHidden/>
              </w:rPr>
              <w:fldChar w:fldCharType="end"/>
            </w:r>
          </w:hyperlink>
        </w:p>
        <w:p w14:paraId="296B4E71" w14:textId="2E420C60" w:rsidR="004A7504" w:rsidRPr="00B44B19" w:rsidRDefault="004A7504">
          <w:pPr>
            <w:pStyle w:val="Turinys2"/>
            <w:rPr>
              <w:rFonts w:eastAsiaTheme="minorEastAsia" w:cs="Times New Roman"/>
              <w:kern w:val="2"/>
              <w:sz w:val="24"/>
              <w:szCs w:val="24"/>
              <w:lang w:eastAsia="lt-LT"/>
              <w14:ligatures w14:val="standardContextual"/>
            </w:rPr>
          </w:pPr>
          <w:hyperlink w:anchor="_Toc223435429" w:history="1">
            <w:r w:rsidRPr="00B44B19">
              <w:rPr>
                <w:rStyle w:val="Hipersaitas"/>
                <w:rFonts w:cs="Times New Roman"/>
              </w:rPr>
              <w:t xml:space="preserve">Konkretus uždavinys – 4.4. </w:t>
            </w:r>
            <w:r w:rsidRPr="00B44B19">
              <w:rPr>
                <w:rStyle w:val="Hipersaitas"/>
                <w:rFonts w:cs="Times New Roman"/>
                <w:iCs/>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_Toc223435429 \h </w:instrText>
            </w:r>
            <w:r w:rsidRPr="00B44B19">
              <w:rPr>
                <w:rFonts w:cs="Times New Roman"/>
                <w:webHidden/>
              </w:rPr>
            </w:r>
            <w:r w:rsidRPr="00B44B19">
              <w:rPr>
                <w:rFonts w:cs="Times New Roman"/>
                <w:webHidden/>
              </w:rPr>
              <w:fldChar w:fldCharType="separate"/>
            </w:r>
            <w:r w:rsidR="00EA2E59">
              <w:rPr>
                <w:rFonts w:cs="Times New Roman"/>
                <w:webHidden/>
              </w:rPr>
              <w:t>124</w:t>
            </w:r>
            <w:r w:rsidRPr="00B44B19">
              <w:rPr>
                <w:rFonts w:cs="Times New Roman"/>
                <w:webHidden/>
              </w:rPr>
              <w:fldChar w:fldCharType="end"/>
            </w:r>
          </w:hyperlink>
        </w:p>
        <w:p w14:paraId="14AD0318" w14:textId="2EAE490E" w:rsidR="004A7504" w:rsidRPr="00B44B19" w:rsidRDefault="004A7504">
          <w:pPr>
            <w:pStyle w:val="Turinys2"/>
            <w:rPr>
              <w:rFonts w:eastAsiaTheme="minorEastAsia" w:cs="Times New Roman"/>
              <w:kern w:val="2"/>
              <w:sz w:val="24"/>
              <w:szCs w:val="24"/>
              <w:lang w:eastAsia="lt-LT"/>
              <w14:ligatures w14:val="standardContextual"/>
            </w:rPr>
          </w:pPr>
          <w:hyperlink w:anchor="_Toc223435430" w:history="1">
            <w:r w:rsidRPr="00B44B19">
              <w:rPr>
                <w:rStyle w:val="Hipersaitas"/>
                <w:rFonts w:cs="Times New Roman"/>
              </w:rPr>
              <w:t xml:space="preserve">Konkretus uždavinys – 4.5. </w:t>
            </w:r>
            <w:r w:rsidRPr="00B44B19">
              <w:rPr>
                <w:rStyle w:val="Hipersaitas"/>
                <w:rFonts w:cs="Times New Roman"/>
                <w:iCs/>
                <w:lang w:bidi="lt-LT"/>
              </w:rPr>
              <w:t>Gerinti vienodas galimybes naudotis įtraukiomis ir kokybiškomis švietimo, mokymo ir mokymosi visą gyvenimą paslaugomis plėtojant prieinamą infrastruktūrą, be kita ko, didint atsparumą naudojantis nuotoliniu ir internetiniu švietimu bei mokymu (ERPF)</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_Toc223435430 \h </w:instrText>
            </w:r>
            <w:r w:rsidRPr="00B44B19">
              <w:rPr>
                <w:rFonts w:cs="Times New Roman"/>
                <w:webHidden/>
              </w:rPr>
            </w:r>
            <w:r w:rsidRPr="00B44B19">
              <w:rPr>
                <w:rFonts w:cs="Times New Roman"/>
                <w:webHidden/>
              </w:rPr>
              <w:fldChar w:fldCharType="separate"/>
            </w:r>
            <w:r w:rsidR="00EA2E59">
              <w:rPr>
                <w:rFonts w:cs="Times New Roman"/>
                <w:webHidden/>
              </w:rPr>
              <w:t>128</w:t>
            </w:r>
            <w:r w:rsidRPr="00B44B19">
              <w:rPr>
                <w:rFonts w:cs="Times New Roman"/>
                <w:webHidden/>
              </w:rPr>
              <w:fldChar w:fldCharType="end"/>
            </w:r>
          </w:hyperlink>
        </w:p>
        <w:p w14:paraId="4C5C727B" w14:textId="42030C41" w:rsidR="004A7504" w:rsidRPr="00B44B19" w:rsidRDefault="004A7504">
          <w:pPr>
            <w:pStyle w:val="Turinys2"/>
            <w:rPr>
              <w:rFonts w:eastAsiaTheme="minorEastAsia" w:cs="Times New Roman"/>
              <w:kern w:val="2"/>
              <w:sz w:val="24"/>
              <w:szCs w:val="24"/>
              <w:lang w:eastAsia="lt-LT"/>
              <w14:ligatures w14:val="standardContextual"/>
            </w:rPr>
          </w:pPr>
          <w:hyperlink w:anchor="_Toc223435431" w:history="1">
            <w:r w:rsidRPr="00B44B19">
              <w:rPr>
                <w:rStyle w:val="Hipersaitas"/>
                <w:rFonts w:cs="Times New Roman"/>
              </w:rPr>
              <w:t xml:space="preserve">Konkretus uždavinys – 4.6. </w:t>
            </w:r>
            <w:r w:rsidRPr="00B44B19">
              <w:rPr>
                <w:rStyle w:val="Hipersaitas"/>
                <w:rFonts w:cs="Times New Roman"/>
                <w:iCs/>
                <w:lang w:bidi="lt-LT"/>
              </w:rPr>
              <w:t xml:space="preserve">Stiprinti </w:t>
            </w:r>
            <w:r w:rsidRPr="00B44B19">
              <w:rPr>
                <w:rStyle w:val="Hipersaitas"/>
                <w:rFonts w:cs="Times New Roman"/>
              </w:rPr>
              <w:t>kultūros ir darnaus turizmo vaidmenį ekonominės plėtros, socialinės įtraukties ir socialinių inovacijų srityse (ERPF)</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_Toc223435431 \h </w:instrText>
            </w:r>
            <w:r w:rsidRPr="00B44B19">
              <w:rPr>
                <w:rFonts w:cs="Times New Roman"/>
                <w:webHidden/>
              </w:rPr>
            </w:r>
            <w:r w:rsidRPr="00B44B19">
              <w:rPr>
                <w:rFonts w:cs="Times New Roman"/>
                <w:webHidden/>
              </w:rPr>
              <w:fldChar w:fldCharType="separate"/>
            </w:r>
            <w:r w:rsidR="00EA2E59">
              <w:rPr>
                <w:rFonts w:cs="Times New Roman"/>
                <w:webHidden/>
              </w:rPr>
              <w:t>135</w:t>
            </w:r>
            <w:r w:rsidRPr="00B44B19">
              <w:rPr>
                <w:rFonts w:cs="Times New Roman"/>
                <w:webHidden/>
              </w:rPr>
              <w:fldChar w:fldCharType="end"/>
            </w:r>
          </w:hyperlink>
        </w:p>
        <w:p w14:paraId="11A0AC75" w14:textId="6250DCD8" w:rsidR="004A7504" w:rsidRPr="00B44B19" w:rsidRDefault="004A7504">
          <w:pPr>
            <w:pStyle w:val="Turinys2"/>
            <w:rPr>
              <w:rFonts w:eastAsiaTheme="minorEastAsia" w:cs="Times New Roman"/>
              <w:kern w:val="2"/>
              <w:sz w:val="24"/>
              <w:szCs w:val="24"/>
              <w:lang w:eastAsia="lt-LT"/>
              <w14:ligatures w14:val="standardContextual"/>
            </w:rPr>
          </w:pPr>
          <w:hyperlink w:anchor="_Toc223435432" w:history="1">
            <w:r w:rsidRPr="00B44B19">
              <w:rPr>
                <w:rStyle w:val="Hipersaitas"/>
                <w:rFonts w:cs="Times New Roman"/>
              </w:rPr>
              <w:t xml:space="preserve">Konkretus uždavinys – 4.7. </w:t>
            </w:r>
            <w:r w:rsidRPr="00B44B19">
              <w:rPr>
                <w:rStyle w:val="Hipersaitas"/>
                <w:rFonts w:cs="Times New Roman"/>
                <w:iCs/>
                <w:lang w:bidi="lt-LT"/>
              </w:rPr>
              <w:t>Skatinti aktyvią įtrauktį, siekiant propaguoti lygias galimybes, nediskriminavimą ir aktyvų dalyvavimą, ir gerinti įsidarbinamumą, ypač palankių sąlygų neturinčių grupių</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_Toc223435432 \h </w:instrText>
            </w:r>
            <w:r w:rsidRPr="00B44B19">
              <w:rPr>
                <w:rFonts w:cs="Times New Roman"/>
                <w:webHidden/>
              </w:rPr>
            </w:r>
            <w:r w:rsidRPr="00B44B19">
              <w:rPr>
                <w:rFonts w:cs="Times New Roman"/>
                <w:webHidden/>
              </w:rPr>
              <w:fldChar w:fldCharType="separate"/>
            </w:r>
            <w:r w:rsidR="00EA2E59">
              <w:rPr>
                <w:rFonts w:cs="Times New Roman"/>
                <w:webHidden/>
              </w:rPr>
              <w:t>139</w:t>
            </w:r>
            <w:r w:rsidRPr="00B44B19">
              <w:rPr>
                <w:rFonts w:cs="Times New Roman"/>
                <w:webHidden/>
              </w:rPr>
              <w:fldChar w:fldCharType="end"/>
            </w:r>
          </w:hyperlink>
        </w:p>
        <w:p w14:paraId="5C04BAD3" w14:textId="71BB94FE" w:rsidR="004A7504" w:rsidRPr="00B44B19" w:rsidRDefault="004A7504">
          <w:pPr>
            <w:pStyle w:val="Turinys2"/>
            <w:rPr>
              <w:rFonts w:eastAsiaTheme="minorEastAsia" w:cs="Times New Roman"/>
              <w:kern w:val="2"/>
              <w:sz w:val="24"/>
              <w:szCs w:val="24"/>
              <w:lang w:eastAsia="lt-LT"/>
              <w14:ligatures w14:val="standardContextual"/>
            </w:rPr>
          </w:pPr>
          <w:hyperlink w:anchor="_Toc223435433" w:history="1">
            <w:r w:rsidRPr="00B44B19">
              <w:rPr>
                <w:rStyle w:val="Hipersaitas"/>
                <w:rFonts w:cs="Times New Roman"/>
              </w:rPr>
              <w:t xml:space="preserve">Konkretus uždavinys – 4.8. </w:t>
            </w:r>
            <w:r w:rsidRPr="00B44B19">
              <w:rPr>
                <w:rStyle w:val="Hipersaitas"/>
                <w:rFonts w:cs="Times New Roman"/>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_Toc223435433 \h </w:instrText>
            </w:r>
            <w:r w:rsidRPr="00B44B19">
              <w:rPr>
                <w:rFonts w:cs="Times New Roman"/>
                <w:webHidden/>
              </w:rPr>
            </w:r>
            <w:r w:rsidRPr="00B44B19">
              <w:rPr>
                <w:rFonts w:cs="Times New Roman"/>
                <w:webHidden/>
              </w:rPr>
              <w:fldChar w:fldCharType="separate"/>
            </w:r>
            <w:r w:rsidR="00EA2E59">
              <w:rPr>
                <w:rFonts w:cs="Times New Roman"/>
                <w:webHidden/>
              </w:rPr>
              <w:t>144</w:t>
            </w:r>
            <w:r w:rsidRPr="00B44B19">
              <w:rPr>
                <w:rFonts w:cs="Times New Roman"/>
                <w:webHidden/>
              </w:rPr>
              <w:fldChar w:fldCharType="end"/>
            </w:r>
          </w:hyperlink>
        </w:p>
        <w:p w14:paraId="3C8024F1" w14:textId="34BD870E" w:rsidR="004A7504" w:rsidRPr="00B44B19" w:rsidRDefault="004A7504">
          <w:pPr>
            <w:pStyle w:val="Turinys2"/>
            <w:rPr>
              <w:rFonts w:eastAsiaTheme="minorEastAsia" w:cs="Times New Roman"/>
              <w:kern w:val="2"/>
              <w:sz w:val="24"/>
              <w:szCs w:val="24"/>
              <w:lang w:eastAsia="lt-LT"/>
              <w14:ligatures w14:val="standardContextual"/>
            </w:rPr>
          </w:pPr>
          <w:hyperlink w:anchor="_Toc223435434" w:history="1">
            <w:r w:rsidRPr="00B44B19">
              <w:rPr>
                <w:rStyle w:val="Hipersaitas"/>
                <w:rFonts w:cs="Times New Roman"/>
              </w:rPr>
              <w:t xml:space="preserve">Konkretus uždavinys – 4.9. </w:t>
            </w:r>
            <w:r w:rsidRPr="00B44B19">
              <w:rPr>
                <w:rStyle w:val="Hipersaitas"/>
                <w:rFonts w:cs="Times New Roman"/>
                <w:iCs/>
                <w:lang w:bidi="lt-LT"/>
              </w:rPr>
              <w:t xml:space="preserve">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Pr="00B44B19">
              <w:rPr>
                <w:rStyle w:val="Hipersaitas"/>
                <w:rFonts w:cs="Times New Roman"/>
              </w:rPr>
              <w:t>(ERPF)</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_Toc223435434 \h </w:instrText>
            </w:r>
            <w:r w:rsidRPr="00B44B19">
              <w:rPr>
                <w:rFonts w:cs="Times New Roman"/>
                <w:webHidden/>
              </w:rPr>
            </w:r>
            <w:r w:rsidRPr="00B44B19">
              <w:rPr>
                <w:rFonts w:cs="Times New Roman"/>
                <w:webHidden/>
              </w:rPr>
              <w:fldChar w:fldCharType="separate"/>
            </w:r>
            <w:r w:rsidR="00EA2E59">
              <w:rPr>
                <w:rFonts w:cs="Times New Roman"/>
                <w:webHidden/>
              </w:rPr>
              <w:t>153</w:t>
            </w:r>
            <w:r w:rsidRPr="00B44B19">
              <w:rPr>
                <w:rFonts w:cs="Times New Roman"/>
                <w:webHidden/>
              </w:rPr>
              <w:fldChar w:fldCharType="end"/>
            </w:r>
          </w:hyperlink>
        </w:p>
        <w:p w14:paraId="1B1607CC" w14:textId="3296247E" w:rsidR="004A7504" w:rsidRPr="00B44B19" w:rsidRDefault="004A7504">
          <w:pPr>
            <w:pStyle w:val="Turinys2"/>
            <w:rPr>
              <w:rFonts w:eastAsiaTheme="minorEastAsia" w:cs="Times New Roman"/>
              <w:kern w:val="2"/>
              <w:sz w:val="24"/>
              <w:szCs w:val="24"/>
              <w:lang w:eastAsia="lt-LT"/>
              <w14:ligatures w14:val="standardContextual"/>
            </w:rPr>
          </w:pPr>
          <w:hyperlink w:anchor="_Toc223435435" w:history="1">
            <w:r w:rsidRPr="00B44B19">
              <w:rPr>
                <w:rStyle w:val="Hipersaitas"/>
                <w:rFonts w:cs="Times New Roman"/>
              </w:rPr>
              <w:t xml:space="preserve">Konkretus uždavinys – 4.10. </w:t>
            </w:r>
            <w:r w:rsidRPr="00B44B19">
              <w:rPr>
                <w:rStyle w:val="Hipersaitas"/>
                <w:rFonts w:cs="Times New Roman"/>
                <w:iCs/>
                <w:lang w:bidi="lt-LT"/>
              </w:rPr>
              <w:t xml:space="preserve">Užtikrinti vienodas galimybes naudotis sveikatos priežiūros paslaugomis, didinti sveikatos priežiūros sistemų, įskaitant pirminę sveikatos priežiūrą, atsparumą, ir skatinti perėjimą nuo institucinės globos prie globos šeimoje ir bendruomeninės globos </w:t>
            </w:r>
            <w:r w:rsidRPr="00B44B19">
              <w:rPr>
                <w:rStyle w:val="Hipersaitas"/>
                <w:rFonts w:cs="Times New Roman"/>
              </w:rPr>
              <w:t>(ERPF)</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_Toc223435435 \h </w:instrText>
            </w:r>
            <w:r w:rsidRPr="00B44B19">
              <w:rPr>
                <w:rFonts w:cs="Times New Roman"/>
                <w:webHidden/>
              </w:rPr>
            </w:r>
            <w:r w:rsidRPr="00B44B19">
              <w:rPr>
                <w:rFonts w:cs="Times New Roman"/>
                <w:webHidden/>
              </w:rPr>
              <w:fldChar w:fldCharType="separate"/>
            </w:r>
            <w:r w:rsidR="00EA2E59">
              <w:rPr>
                <w:rFonts w:cs="Times New Roman"/>
                <w:webHidden/>
              </w:rPr>
              <w:t>159</w:t>
            </w:r>
            <w:r w:rsidRPr="00B44B19">
              <w:rPr>
                <w:rFonts w:cs="Times New Roman"/>
                <w:webHidden/>
              </w:rPr>
              <w:fldChar w:fldCharType="end"/>
            </w:r>
          </w:hyperlink>
        </w:p>
        <w:p w14:paraId="3735D335" w14:textId="38F927EA" w:rsidR="004A7504" w:rsidRPr="00B44B19" w:rsidRDefault="004A7504">
          <w:pPr>
            <w:pStyle w:val="Turinys1"/>
            <w:rPr>
              <w:rFonts w:eastAsiaTheme="minorEastAsia"/>
              <w:kern w:val="2"/>
              <w:sz w:val="24"/>
              <w:szCs w:val="24"/>
              <w:lang w:eastAsia="lt-LT"/>
              <w14:ligatures w14:val="standardContextual"/>
            </w:rPr>
          </w:pPr>
          <w:hyperlink w:anchor="_Toc223435436" w:history="1">
            <w:r w:rsidRPr="00B44B19">
              <w:rPr>
                <w:rStyle w:val="Hipersaitas"/>
              </w:rPr>
              <w:t xml:space="preserve">5 Prioritetas. </w:t>
            </w:r>
            <w:r w:rsidRPr="00B44B19">
              <w:rPr>
                <w:rStyle w:val="Hipersaitas"/>
                <w:lang w:bidi="lt-LT"/>
              </w:rPr>
              <w:t>Piliečiams artimesnė Lietuva</w:t>
            </w:r>
            <w:r w:rsidRPr="00B44B19">
              <w:rPr>
                <w:webHidden/>
              </w:rPr>
              <w:tab/>
            </w:r>
            <w:r w:rsidRPr="00B44B19">
              <w:rPr>
                <w:webHidden/>
              </w:rPr>
              <w:fldChar w:fldCharType="begin"/>
            </w:r>
            <w:r w:rsidRPr="00B44B19">
              <w:rPr>
                <w:webHidden/>
              </w:rPr>
              <w:instrText xml:space="preserve"> PAGEREF _Toc223435436 \h </w:instrText>
            </w:r>
            <w:r w:rsidRPr="00B44B19">
              <w:rPr>
                <w:webHidden/>
              </w:rPr>
            </w:r>
            <w:r w:rsidRPr="00B44B19">
              <w:rPr>
                <w:webHidden/>
              </w:rPr>
              <w:fldChar w:fldCharType="separate"/>
            </w:r>
            <w:r w:rsidR="00EA2E59">
              <w:rPr>
                <w:webHidden/>
              </w:rPr>
              <w:t>165</w:t>
            </w:r>
            <w:r w:rsidRPr="00B44B19">
              <w:rPr>
                <w:webHidden/>
              </w:rPr>
              <w:fldChar w:fldCharType="end"/>
            </w:r>
          </w:hyperlink>
        </w:p>
        <w:p w14:paraId="26F477A4" w14:textId="17F5DF0E" w:rsidR="004A7504" w:rsidRPr="00B44B19" w:rsidRDefault="004A7504">
          <w:pPr>
            <w:pStyle w:val="Turinys2"/>
            <w:rPr>
              <w:rFonts w:eastAsiaTheme="minorEastAsia" w:cs="Times New Roman"/>
              <w:kern w:val="2"/>
              <w:sz w:val="24"/>
              <w:szCs w:val="24"/>
              <w:lang w:eastAsia="lt-LT"/>
              <w14:ligatures w14:val="standardContextual"/>
            </w:rPr>
          </w:pPr>
          <w:hyperlink w:anchor="_Toc223435437" w:history="1">
            <w:r w:rsidRPr="00B44B19">
              <w:rPr>
                <w:rStyle w:val="Hipersaitas"/>
                <w:rFonts w:cs="Times New Roman"/>
              </w:rPr>
              <w:t xml:space="preserve">Konkretus uždavinys – 5.1. </w:t>
            </w:r>
            <w:r w:rsidRPr="00B44B19">
              <w:rPr>
                <w:rStyle w:val="Hipersaitas"/>
                <w:rFonts w:cs="Times New Roman"/>
                <w:iCs/>
                <w:lang w:bidi="lt-LT"/>
              </w:rPr>
              <w:t>Skatinti integruotą ir įtraukią socialinę, ekonominę ir aplinkosaugos plėtrą, puoselėti kultūrą, gamtos paveldą, darnų turizmą ir saugumą miestų teritorijose</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_Toc223435437 \h </w:instrText>
            </w:r>
            <w:r w:rsidRPr="00B44B19">
              <w:rPr>
                <w:rFonts w:cs="Times New Roman"/>
                <w:webHidden/>
              </w:rPr>
            </w:r>
            <w:r w:rsidRPr="00B44B19">
              <w:rPr>
                <w:rFonts w:cs="Times New Roman"/>
                <w:webHidden/>
              </w:rPr>
              <w:fldChar w:fldCharType="separate"/>
            </w:r>
            <w:r w:rsidR="00EA2E59">
              <w:rPr>
                <w:rFonts w:cs="Times New Roman"/>
                <w:webHidden/>
              </w:rPr>
              <w:t>165</w:t>
            </w:r>
            <w:r w:rsidRPr="00B44B19">
              <w:rPr>
                <w:rFonts w:cs="Times New Roman"/>
                <w:webHidden/>
              </w:rPr>
              <w:fldChar w:fldCharType="end"/>
            </w:r>
          </w:hyperlink>
        </w:p>
        <w:p w14:paraId="0B9E8AD3" w14:textId="589094BF" w:rsidR="004A7504" w:rsidRPr="00B44B19" w:rsidRDefault="004A7504">
          <w:pPr>
            <w:pStyle w:val="Turinys2"/>
            <w:rPr>
              <w:rFonts w:eastAsiaTheme="minorEastAsia" w:cs="Times New Roman"/>
              <w:kern w:val="2"/>
              <w:sz w:val="24"/>
              <w:szCs w:val="24"/>
              <w:lang w:eastAsia="lt-LT"/>
              <w14:ligatures w14:val="standardContextual"/>
            </w:rPr>
          </w:pPr>
          <w:hyperlink w:anchor="_Toc223435438" w:history="1">
            <w:r w:rsidRPr="00B44B19">
              <w:rPr>
                <w:rStyle w:val="Hipersaitas"/>
                <w:rFonts w:cs="Times New Roman"/>
              </w:rPr>
              <w:t xml:space="preserve">Konkretus uždavinys – 5.2. </w:t>
            </w:r>
            <w:r w:rsidRPr="00B44B19">
              <w:rPr>
                <w:rStyle w:val="Hipersaitas"/>
                <w:rFonts w:cs="Times New Roman"/>
                <w:iCs/>
                <w:lang w:bidi="lt-LT"/>
              </w:rPr>
              <w:t>Skatinti integruotą ir įtraukią socialinę, ekonominę ir aplinkosaugos plėtrą vietos lygmeniu, puoselėti kultūrą, gamtos paveldą, darnų turizmą ir saugumą kitose nei miestų teritorijose</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_Toc223435438 \h </w:instrText>
            </w:r>
            <w:r w:rsidRPr="00B44B19">
              <w:rPr>
                <w:rFonts w:cs="Times New Roman"/>
                <w:webHidden/>
              </w:rPr>
            </w:r>
            <w:r w:rsidRPr="00B44B19">
              <w:rPr>
                <w:rFonts w:cs="Times New Roman"/>
                <w:webHidden/>
              </w:rPr>
              <w:fldChar w:fldCharType="separate"/>
            </w:r>
            <w:r w:rsidR="00EA2E59">
              <w:rPr>
                <w:rFonts w:cs="Times New Roman"/>
                <w:webHidden/>
              </w:rPr>
              <w:t>170</w:t>
            </w:r>
            <w:r w:rsidRPr="00B44B19">
              <w:rPr>
                <w:rFonts w:cs="Times New Roman"/>
                <w:webHidden/>
              </w:rPr>
              <w:fldChar w:fldCharType="end"/>
            </w:r>
          </w:hyperlink>
        </w:p>
        <w:p w14:paraId="5C4075A0" w14:textId="49A81AFD" w:rsidR="004A7504" w:rsidRPr="00B44B19" w:rsidRDefault="004A7504">
          <w:pPr>
            <w:pStyle w:val="Turinys1"/>
            <w:rPr>
              <w:rFonts w:eastAsiaTheme="minorEastAsia"/>
              <w:kern w:val="2"/>
              <w:sz w:val="24"/>
              <w:szCs w:val="24"/>
              <w:lang w:eastAsia="lt-LT"/>
              <w14:ligatures w14:val="standardContextual"/>
            </w:rPr>
          </w:pPr>
          <w:hyperlink w:anchor="_Toc223435439" w:history="1">
            <w:r w:rsidRPr="00B44B19">
              <w:rPr>
                <w:rStyle w:val="Hipersaitas"/>
              </w:rPr>
              <w:t xml:space="preserve">6. Specialus prioritetas. </w:t>
            </w:r>
            <w:r w:rsidRPr="00B44B19">
              <w:rPr>
                <w:rStyle w:val="Hipersaitas"/>
                <w:lang w:bidi="lt-LT"/>
              </w:rPr>
              <w:t>Inovatyvūs sprendimai</w:t>
            </w:r>
            <w:r w:rsidRPr="00B44B19">
              <w:rPr>
                <w:webHidden/>
              </w:rPr>
              <w:tab/>
            </w:r>
            <w:r w:rsidRPr="00B44B19">
              <w:rPr>
                <w:webHidden/>
              </w:rPr>
              <w:fldChar w:fldCharType="begin"/>
            </w:r>
            <w:r w:rsidRPr="00B44B19">
              <w:rPr>
                <w:webHidden/>
              </w:rPr>
              <w:instrText xml:space="preserve"> PAGEREF _Toc223435439 \h </w:instrText>
            </w:r>
            <w:r w:rsidRPr="00B44B19">
              <w:rPr>
                <w:webHidden/>
              </w:rPr>
            </w:r>
            <w:r w:rsidRPr="00B44B19">
              <w:rPr>
                <w:webHidden/>
              </w:rPr>
              <w:fldChar w:fldCharType="separate"/>
            </w:r>
            <w:r w:rsidR="00EA2E59">
              <w:rPr>
                <w:webHidden/>
              </w:rPr>
              <w:t>177</w:t>
            </w:r>
            <w:r w:rsidRPr="00B44B19">
              <w:rPr>
                <w:webHidden/>
              </w:rPr>
              <w:fldChar w:fldCharType="end"/>
            </w:r>
          </w:hyperlink>
        </w:p>
        <w:p w14:paraId="2FED6513" w14:textId="21E174DE" w:rsidR="004A7504" w:rsidRPr="00B44B19" w:rsidRDefault="004A7504">
          <w:pPr>
            <w:pStyle w:val="Turinys2"/>
            <w:rPr>
              <w:rFonts w:eastAsiaTheme="minorEastAsia" w:cs="Times New Roman"/>
              <w:kern w:val="2"/>
              <w:sz w:val="24"/>
              <w:szCs w:val="24"/>
              <w:lang w:eastAsia="lt-LT"/>
              <w14:ligatures w14:val="standardContextual"/>
            </w:rPr>
          </w:pPr>
          <w:hyperlink w:anchor="_Toc223435440" w:history="1">
            <w:r w:rsidRPr="00B44B19">
              <w:rPr>
                <w:rStyle w:val="Hipersaitas"/>
                <w:rFonts w:cs="Times New Roman"/>
              </w:rPr>
              <w:t xml:space="preserve">Konkretus uždavinys – 6.1. </w:t>
            </w:r>
            <w:r w:rsidRPr="00B44B19">
              <w:rPr>
                <w:rStyle w:val="Hipersaitas"/>
                <w:rFonts w:cs="Times New Roman"/>
                <w:iCs/>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_Toc223435440 \h </w:instrText>
            </w:r>
            <w:r w:rsidRPr="00B44B19">
              <w:rPr>
                <w:rFonts w:cs="Times New Roman"/>
                <w:webHidden/>
              </w:rPr>
            </w:r>
            <w:r w:rsidRPr="00B44B19">
              <w:rPr>
                <w:rFonts w:cs="Times New Roman"/>
                <w:webHidden/>
              </w:rPr>
              <w:fldChar w:fldCharType="separate"/>
            </w:r>
            <w:r w:rsidR="00EA2E59">
              <w:rPr>
                <w:rFonts w:cs="Times New Roman"/>
                <w:webHidden/>
              </w:rPr>
              <w:t>177</w:t>
            </w:r>
            <w:r w:rsidRPr="00B44B19">
              <w:rPr>
                <w:rFonts w:cs="Times New Roman"/>
                <w:webHidden/>
              </w:rPr>
              <w:fldChar w:fldCharType="end"/>
            </w:r>
          </w:hyperlink>
        </w:p>
        <w:p w14:paraId="414B5D99" w14:textId="4273A09D" w:rsidR="004A7504" w:rsidRPr="00B44B19" w:rsidRDefault="004A7504">
          <w:pPr>
            <w:pStyle w:val="Turinys1"/>
            <w:rPr>
              <w:rFonts w:eastAsiaTheme="minorEastAsia"/>
              <w:kern w:val="2"/>
              <w:sz w:val="24"/>
              <w:szCs w:val="24"/>
              <w:lang w:eastAsia="lt-LT"/>
              <w14:ligatures w14:val="standardContextual"/>
            </w:rPr>
          </w:pPr>
          <w:hyperlink w:anchor="_Toc223435441" w:history="1">
            <w:r w:rsidRPr="00B44B19">
              <w:rPr>
                <w:rStyle w:val="Hipersaitas"/>
              </w:rPr>
              <w:t>7. Specialus prioritetas. Gerinti skaitmeninį junglumą</w:t>
            </w:r>
            <w:r w:rsidRPr="00B44B19">
              <w:rPr>
                <w:webHidden/>
              </w:rPr>
              <w:tab/>
            </w:r>
            <w:r w:rsidRPr="00B44B19">
              <w:rPr>
                <w:webHidden/>
              </w:rPr>
              <w:fldChar w:fldCharType="begin"/>
            </w:r>
            <w:r w:rsidRPr="00B44B19">
              <w:rPr>
                <w:webHidden/>
              </w:rPr>
              <w:instrText xml:space="preserve"> PAGEREF _Toc223435441 \h </w:instrText>
            </w:r>
            <w:r w:rsidRPr="00B44B19">
              <w:rPr>
                <w:webHidden/>
              </w:rPr>
            </w:r>
            <w:r w:rsidRPr="00B44B19">
              <w:rPr>
                <w:webHidden/>
              </w:rPr>
              <w:fldChar w:fldCharType="separate"/>
            </w:r>
            <w:r w:rsidR="00EA2E59">
              <w:rPr>
                <w:webHidden/>
              </w:rPr>
              <w:t>181</w:t>
            </w:r>
            <w:r w:rsidRPr="00B44B19">
              <w:rPr>
                <w:webHidden/>
              </w:rPr>
              <w:fldChar w:fldCharType="end"/>
            </w:r>
          </w:hyperlink>
        </w:p>
        <w:p w14:paraId="03528C4E" w14:textId="7DCD8193" w:rsidR="004A7504" w:rsidRPr="00B44B19" w:rsidRDefault="004A7504">
          <w:pPr>
            <w:pStyle w:val="Turinys2"/>
            <w:rPr>
              <w:rFonts w:eastAsiaTheme="minorEastAsia" w:cs="Times New Roman"/>
              <w:kern w:val="2"/>
              <w:sz w:val="24"/>
              <w:szCs w:val="24"/>
              <w:lang w:eastAsia="lt-LT"/>
              <w14:ligatures w14:val="standardContextual"/>
            </w:rPr>
          </w:pPr>
          <w:hyperlink w:anchor="_Toc223435442" w:history="1">
            <w:r w:rsidRPr="00B44B19">
              <w:rPr>
                <w:rStyle w:val="Hipersaitas"/>
                <w:rFonts w:cs="Times New Roman"/>
              </w:rPr>
              <w:t xml:space="preserve">Konkretus uždavinys – 7.1. </w:t>
            </w:r>
            <w:r w:rsidRPr="00B44B19">
              <w:rPr>
                <w:rStyle w:val="Hipersaitas"/>
                <w:rFonts w:cs="Times New Roman"/>
                <w:iCs/>
                <w:lang w:bidi="lt-LT"/>
              </w:rPr>
              <w:t>Skaitmeninis ryšys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_Toc223435442 \h </w:instrText>
            </w:r>
            <w:r w:rsidRPr="00B44B19">
              <w:rPr>
                <w:rFonts w:cs="Times New Roman"/>
                <w:webHidden/>
              </w:rPr>
            </w:r>
            <w:r w:rsidRPr="00B44B19">
              <w:rPr>
                <w:rFonts w:cs="Times New Roman"/>
                <w:webHidden/>
              </w:rPr>
              <w:fldChar w:fldCharType="separate"/>
            </w:r>
            <w:r w:rsidR="00EA2E59">
              <w:rPr>
                <w:rFonts w:cs="Times New Roman"/>
                <w:webHidden/>
              </w:rPr>
              <w:t>181</w:t>
            </w:r>
            <w:r w:rsidRPr="00B44B19">
              <w:rPr>
                <w:rFonts w:cs="Times New Roman"/>
                <w:webHidden/>
              </w:rPr>
              <w:fldChar w:fldCharType="end"/>
            </w:r>
          </w:hyperlink>
        </w:p>
        <w:p w14:paraId="10DD3806" w14:textId="462FEA3E" w:rsidR="004A7504" w:rsidRPr="00B44B19" w:rsidRDefault="004A7504">
          <w:pPr>
            <w:pStyle w:val="Turinys1"/>
            <w:rPr>
              <w:rFonts w:eastAsiaTheme="minorEastAsia"/>
              <w:kern w:val="2"/>
              <w:sz w:val="24"/>
              <w:szCs w:val="24"/>
              <w:lang w:eastAsia="lt-LT"/>
              <w14:ligatures w14:val="standardContextual"/>
            </w:rPr>
          </w:pPr>
          <w:hyperlink w:anchor="_Toc223435443" w:history="1">
            <w:r w:rsidRPr="00B44B19">
              <w:rPr>
                <w:rStyle w:val="Hipersaitas"/>
              </w:rPr>
              <w:t>8. Specialus prioritetas. Tvarus judumas miestuose</w:t>
            </w:r>
            <w:r w:rsidRPr="00B44B19">
              <w:rPr>
                <w:webHidden/>
              </w:rPr>
              <w:tab/>
            </w:r>
            <w:r w:rsidRPr="00B44B19">
              <w:rPr>
                <w:webHidden/>
              </w:rPr>
              <w:fldChar w:fldCharType="begin"/>
            </w:r>
            <w:r w:rsidRPr="00B44B19">
              <w:rPr>
                <w:webHidden/>
              </w:rPr>
              <w:instrText xml:space="preserve"> PAGEREF _Toc223435443 \h </w:instrText>
            </w:r>
            <w:r w:rsidRPr="00B44B19">
              <w:rPr>
                <w:webHidden/>
              </w:rPr>
            </w:r>
            <w:r w:rsidRPr="00B44B19">
              <w:rPr>
                <w:webHidden/>
              </w:rPr>
              <w:fldChar w:fldCharType="separate"/>
            </w:r>
            <w:r w:rsidR="00EA2E59">
              <w:rPr>
                <w:webHidden/>
              </w:rPr>
              <w:t>185</w:t>
            </w:r>
            <w:r w:rsidRPr="00B44B19">
              <w:rPr>
                <w:webHidden/>
              </w:rPr>
              <w:fldChar w:fldCharType="end"/>
            </w:r>
          </w:hyperlink>
        </w:p>
        <w:p w14:paraId="11BAEDB1" w14:textId="7375C632" w:rsidR="004A7504" w:rsidRPr="00B44B19" w:rsidRDefault="004A7504">
          <w:pPr>
            <w:pStyle w:val="Turinys2"/>
            <w:rPr>
              <w:rFonts w:eastAsiaTheme="minorEastAsia" w:cs="Times New Roman"/>
              <w:kern w:val="2"/>
              <w:sz w:val="24"/>
              <w:szCs w:val="24"/>
              <w:lang w:eastAsia="lt-LT"/>
              <w14:ligatures w14:val="standardContextual"/>
            </w:rPr>
          </w:pPr>
          <w:hyperlink w:anchor="_Toc223435444" w:history="1">
            <w:r w:rsidRPr="00B44B19">
              <w:rPr>
                <w:rStyle w:val="Hipersaitas"/>
                <w:rFonts w:cs="Times New Roman"/>
              </w:rPr>
              <w:t xml:space="preserve">Konkretus uždavinys – 8.1. </w:t>
            </w:r>
            <w:r w:rsidRPr="00B44B19">
              <w:rPr>
                <w:rStyle w:val="Hipersaitas"/>
                <w:rFonts w:cs="Times New Roman"/>
                <w:iCs/>
                <w:lang w:bidi="lt-LT"/>
              </w:rPr>
              <w:t>Skatinti tvarų daugiarūšį judumą miestuose kaip vieną iš perėjimo prie nulinio anglies dioksido kiekio technologijų ekonomikos dalių</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_Toc223435444 \h </w:instrText>
            </w:r>
            <w:r w:rsidRPr="00B44B19">
              <w:rPr>
                <w:rFonts w:cs="Times New Roman"/>
                <w:webHidden/>
              </w:rPr>
            </w:r>
            <w:r w:rsidRPr="00B44B19">
              <w:rPr>
                <w:rFonts w:cs="Times New Roman"/>
                <w:webHidden/>
              </w:rPr>
              <w:fldChar w:fldCharType="separate"/>
            </w:r>
            <w:r w:rsidR="00EA2E59">
              <w:rPr>
                <w:rFonts w:cs="Times New Roman"/>
                <w:webHidden/>
              </w:rPr>
              <w:t>185</w:t>
            </w:r>
            <w:r w:rsidRPr="00B44B19">
              <w:rPr>
                <w:rFonts w:cs="Times New Roman"/>
                <w:webHidden/>
              </w:rPr>
              <w:fldChar w:fldCharType="end"/>
            </w:r>
          </w:hyperlink>
        </w:p>
        <w:p w14:paraId="4B3D498F" w14:textId="311BCA82" w:rsidR="004A7504" w:rsidRPr="00B44B19" w:rsidRDefault="004A7504">
          <w:pPr>
            <w:pStyle w:val="Turinys1"/>
            <w:rPr>
              <w:rFonts w:eastAsiaTheme="minorEastAsia"/>
              <w:kern w:val="2"/>
              <w:sz w:val="24"/>
              <w:szCs w:val="24"/>
              <w:lang w:eastAsia="lt-LT"/>
              <w14:ligatures w14:val="standardContextual"/>
            </w:rPr>
          </w:pPr>
          <w:hyperlink w:anchor="_Toc223435445" w:history="1">
            <w:r w:rsidRPr="00B44B19">
              <w:rPr>
                <w:rStyle w:val="Hipersaitas"/>
              </w:rPr>
              <w:t xml:space="preserve">9. Specialus prioritetas. </w:t>
            </w:r>
            <w:r w:rsidR="00B44B19" w:rsidRPr="00B44B19">
              <w:rPr>
                <w:rStyle w:val="Hipersaitas"/>
                <w:lang w:bidi="lt-LT"/>
              </w:rPr>
              <w:t>Teisingos pertvarkos fondas</w:t>
            </w:r>
            <w:r w:rsidRPr="00B44B19">
              <w:rPr>
                <w:webHidden/>
              </w:rPr>
              <w:tab/>
            </w:r>
            <w:r w:rsidRPr="00B44B19">
              <w:rPr>
                <w:webHidden/>
              </w:rPr>
              <w:fldChar w:fldCharType="begin"/>
            </w:r>
            <w:r w:rsidRPr="00B44B19">
              <w:rPr>
                <w:webHidden/>
              </w:rPr>
              <w:instrText xml:space="preserve"> PAGEREF _Toc223435445 \h </w:instrText>
            </w:r>
            <w:r w:rsidRPr="00B44B19">
              <w:rPr>
                <w:webHidden/>
              </w:rPr>
            </w:r>
            <w:r w:rsidRPr="00B44B19">
              <w:rPr>
                <w:webHidden/>
              </w:rPr>
              <w:fldChar w:fldCharType="separate"/>
            </w:r>
            <w:r w:rsidR="00EA2E59">
              <w:rPr>
                <w:webHidden/>
              </w:rPr>
              <w:t>191</w:t>
            </w:r>
            <w:r w:rsidRPr="00B44B19">
              <w:rPr>
                <w:webHidden/>
              </w:rPr>
              <w:fldChar w:fldCharType="end"/>
            </w:r>
          </w:hyperlink>
        </w:p>
        <w:p w14:paraId="093BDDE0" w14:textId="13F50F9E" w:rsidR="004A7504" w:rsidRPr="00B44B19" w:rsidRDefault="004A7504">
          <w:pPr>
            <w:pStyle w:val="Turinys2"/>
            <w:rPr>
              <w:rFonts w:eastAsiaTheme="minorEastAsia" w:cs="Times New Roman"/>
              <w:kern w:val="2"/>
              <w:sz w:val="24"/>
              <w:szCs w:val="24"/>
              <w:lang w:eastAsia="lt-LT"/>
              <w14:ligatures w14:val="standardContextual"/>
            </w:rPr>
          </w:pPr>
          <w:hyperlink w:anchor="_Toc223435446" w:history="1">
            <w:r w:rsidRPr="00B44B19">
              <w:rPr>
                <w:rStyle w:val="Hipersaitas"/>
                <w:rFonts w:cs="Times New Roman"/>
              </w:rPr>
              <w:t>Konkretus uždavinys –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_Toc223435446 \h </w:instrText>
            </w:r>
            <w:r w:rsidRPr="00B44B19">
              <w:rPr>
                <w:rFonts w:cs="Times New Roman"/>
                <w:webHidden/>
              </w:rPr>
            </w:r>
            <w:r w:rsidRPr="00B44B19">
              <w:rPr>
                <w:rFonts w:cs="Times New Roman"/>
                <w:webHidden/>
              </w:rPr>
              <w:fldChar w:fldCharType="separate"/>
            </w:r>
            <w:r w:rsidR="00EA2E59">
              <w:rPr>
                <w:rFonts w:cs="Times New Roman"/>
                <w:webHidden/>
              </w:rPr>
              <w:t>191</w:t>
            </w:r>
            <w:r w:rsidRPr="00B44B19">
              <w:rPr>
                <w:rFonts w:cs="Times New Roman"/>
                <w:webHidden/>
              </w:rPr>
              <w:fldChar w:fldCharType="end"/>
            </w:r>
          </w:hyperlink>
        </w:p>
        <w:p w14:paraId="58BB9591" w14:textId="298312D9" w:rsidR="004A7504" w:rsidRPr="00B44B19" w:rsidRDefault="004A7504">
          <w:pPr>
            <w:pStyle w:val="Turinys1"/>
            <w:rPr>
              <w:rFonts w:eastAsiaTheme="minorEastAsia"/>
              <w:kern w:val="2"/>
              <w:sz w:val="24"/>
              <w:szCs w:val="24"/>
              <w:lang w:eastAsia="lt-LT"/>
              <w14:ligatures w14:val="standardContextual"/>
            </w:rPr>
          </w:pPr>
          <w:hyperlink w:anchor="_Toc223435447" w:history="1">
            <w:r w:rsidRPr="00B44B19">
              <w:rPr>
                <w:rStyle w:val="Hipersaitas"/>
              </w:rPr>
              <w:t>10. Specialus prioritetas. Europos strateginių technologijų platforma (STEP)</w:t>
            </w:r>
            <w:r w:rsidRPr="00B44B19">
              <w:rPr>
                <w:webHidden/>
              </w:rPr>
              <w:tab/>
            </w:r>
            <w:r w:rsidRPr="00B44B19">
              <w:rPr>
                <w:webHidden/>
              </w:rPr>
              <w:fldChar w:fldCharType="begin"/>
            </w:r>
            <w:r w:rsidRPr="00B44B19">
              <w:rPr>
                <w:webHidden/>
              </w:rPr>
              <w:instrText xml:space="preserve"> PAGEREF _Toc223435447 \h </w:instrText>
            </w:r>
            <w:r w:rsidRPr="00B44B19">
              <w:rPr>
                <w:webHidden/>
              </w:rPr>
            </w:r>
            <w:r w:rsidRPr="00B44B19">
              <w:rPr>
                <w:webHidden/>
              </w:rPr>
              <w:fldChar w:fldCharType="separate"/>
            </w:r>
            <w:r w:rsidR="00EA2E59">
              <w:rPr>
                <w:webHidden/>
              </w:rPr>
              <w:t>196</w:t>
            </w:r>
            <w:r w:rsidRPr="00B44B19">
              <w:rPr>
                <w:webHidden/>
              </w:rPr>
              <w:fldChar w:fldCharType="end"/>
            </w:r>
          </w:hyperlink>
        </w:p>
        <w:p w14:paraId="2F65C88C" w14:textId="6297E151" w:rsidR="004A7504" w:rsidRPr="00B44B19" w:rsidRDefault="004A7504">
          <w:pPr>
            <w:pStyle w:val="Turinys2"/>
            <w:rPr>
              <w:rFonts w:eastAsiaTheme="minorEastAsia" w:cs="Times New Roman"/>
              <w:kern w:val="2"/>
              <w:sz w:val="24"/>
              <w:szCs w:val="24"/>
              <w:lang w:eastAsia="lt-LT"/>
              <w14:ligatures w14:val="standardContextual"/>
            </w:rPr>
          </w:pPr>
          <w:hyperlink w:anchor="_Toc223435448" w:history="1">
            <w:r w:rsidRPr="00B44B19">
              <w:rPr>
                <w:rStyle w:val="Hipersaitas"/>
                <w:rFonts w:eastAsia="Times New Roman" w:cs="Times New Roman"/>
              </w:rPr>
              <w:t xml:space="preserve">Konkretus uždavinys – 10.1 </w:t>
            </w:r>
            <w:r w:rsidR="00B44B19" w:rsidRPr="00B44B19">
              <w:rPr>
                <w:rStyle w:val="Hipersaitas"/>
                <w:rFonts w:eastAsia="Times New Roman" w:cs="Times New Roman"/>
              </w:rPr>
              <w:t>S</w:t>
            </w:r>
            <w:r w:rsidRPr="00B44B19">
              <w:rPr>
                <w:rStyle w:val="Hipersaitas"/>
                <w:rFonts w:eastAsia="Times New Roman" w:cs="Times New Roman"/>
              </w:rPr>
              <w:t>udaryti sąlygas lietuvos įmonėms kurti ir gaminti europos sąjungos ypatingos svarbos technologijas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_Toc223435448 \h </w:instrText>
            </w:r>
            <w:r w:rsidRPr="00B44B19">
              <w:rPr>
                <w:rFonts w:cs="Times New Roman"/>
                <w:webHidden/>
              </w:rPr>
            </w:r>
            <w:r w:rsidRPr="00B44B19">
              <w:rPr>
                <w:rFonts w:cs="Times New Roman"/>
                <w:webHidden/>
              </w:rPr>
              <w:fldChar w:fldCharType="separate"/>
            </w:r>
            <w:r w:rsidR="00EA2E59">
              <w:rPr>
                <w:rFonts w:cs="Times New Roman"/>
                <w:webHidden/>
              </w:rPr>
              <w:t>196</w:t>
            </w:r>
            <w:r w:rsidRPr="00B44B19">
              <w:rPr>
                <w:rFonts w:cs="Times New Roman"/>
                <w:webHidden/>
              </w:rPr>
              <w:fldChar w:fldCharType="end"/>
            </w:r>
          </w:hyperlink>
        </w:p>
        <w:p w14:paraId="6ECB79C6" w14:textId="68BE6B0E" w:rsidR="004A7504" w:rsidRPr="00B44B19" w:rsidRDefault="004A7504">
          <w:pPr>
            <w:pStyle w:val="Turinys1"/>
            <w:rPr>
              <w:rFonts w:eastAsiaTheme="minorEastAsia"/>
              <w:kern w:val="2"/>
              <w:sz w:val="24"/>
              <w:szCs w:val="24"/>
              <w:lang w:eastAsia="lt-LT"/>
              <w14:ligatures w14:val="standardContextual"/>
            </w:rPr>
          </w:pPr>
          <w:hyperlink w:anchor="_Toc223435449" w:history="1">
            <w:r w:rsidRPr="00B44B19">
              <w:rPr>
                <w:rStyle w:val="Hipersaitas"/>
                <w:rFonts w:eastAsiaTheme="majorEastAsia"/>
              </w:rPr>
              <w:t>11. Specialus prioritetas. Gynybos ir saugumo pramonės stiprinimas</w:t>
            </w:r>
            <w:r w:rsidRPr="00B44B19">
              <w:rPr>
                <w:webHidden/>
              </w:rPr>
              <w:tab/>
            </w:r>
            <w:r w:rsidRPr="00B44B19">
              <w:rPr>
                <w:webHidden/>
              </w:rPr>
              <w:fldChar w:fldCharType="begin"/>
            </w:r>
            <w:r w:rsidRPr="00B44B19">
              <w:rPr>
                <w:webHidden/>
              </w:rPr>
              <w:instrText xml:space="preserve"> PAGEREF _Toc223435449 \h </w:instrText>
            </w:r>
            <w:r w:rsidRPr="00B44B19">
              <w:rPr>
                <w:webHidden/>
              </w:rPr>
            </w:r>
            <w:r w:rsidRPr="00B44B19">
              <w:rPr>
                <w:webHidden/>
              </w:rPr>
              <w:fldChar w:fldCharType="separate"/>
            </w:r>
            <w:r w:rsidR="00EA2E59">
              <w:rPr>
                <w:webHidden/>
              </w:rPr>
              <w:t>202</w:t>
            </w:r>
            <w:r w:rsidRPr="00B44B19">
              <w:rPr>
                <w:webHidden/>
              </w:rPr>
              <w:fldChar w:fldCharType="end"/>
            </w:r>
          </w:hyperlink>
        </w:p>
        <w:p w14:paraId="0F0B95BF" w14:textId="60C9CBA4" w:rsidR="004A7504" w:rsidRPr="00B44B19" w:rsidRDefault="004A7504">
          <w:pPr>
            <w:pStyle w:val="Turinys2"/>
            <w:rPr>
              <w:rFonts w:eastAsiaTheme="minorEastAsia" w:cs="Times New Roman"/>
              <w:kern w:val="2"/>
              <w:sz w:val="24"/>
              <w:szCs w:val="24"/>
              <w:lang w:eastAsia="lt-LT"/>
              <w14:ligatures w14:val="standardContextual"/>
            </w:rPr>
          </w:pPr>
          <w:hyperlink w:anchor="_Toc223435450" w:history="1">
            <w:r w:rsidRPr="00B44B19">
              <w:rPr>
                <w:rStyle w:val="Hipersaitas"/>
                <w:rFonts w:eastAsiaTheme="majorEastAsia" w:cs="Times New Roman"/>
              </w:rPr>
              <w:t xml:space="preserve">Konkretus uždavinys – </w:t>
            </w:r>
            <w:r w:rsidRPr="00B44B19">
              <w:rPr>
                <w:rStyle w:val="Hipersaitas"/>
                <w:rFonts w:eastAsiaTheme="majorEastAsia" w:cs="Times New Roman"/>
                <w:lang w:val="en-US"/>
              </w:rPr>
              <w:t xml:space="preserve">11.1 </w:t>
            </w:r>
            <w:r w:rsidR="00B44B19" w:rsidRPr="00B44B19">
              <w:rPr>
                <w:rStyle w:val="Hipersaitas"/>
                <w:rFonts w:eastAsiaTheme="majorEastAsia" w:cs="Times New Roman"/>
              </w:rPr>
              <w:t>D</w:t>
            </w:r>
            <w:r w:rsidRPr="00B44B19">
              <w:rPr>
                <w:rStyle w:val="Hipersaitas"/>
                <w:rFonts w:eastAsiaTheme="majorEastAsia" w:cs="Times New Roman"/>
              </w:rPr>
              <w:t>idinti pramonės pajėgumus, siekiant skatinti gynybos pajėgumų didinimą, pirmenybę teikiant dvejopo naudojimo pajėgumams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_Toc223435450 \h </w:instrText>
            </w:r>
            <w:r w:rsidRPr="00B44B19">
              <w:rPr>
                <w:rFonts w:cs="Times New Roman"/>
                <w:webHidden/>
              </w:rPr>
            </w:r>
            <w:r w:rsidRPr="00B44B19">
              <w:rPr>
                <w:rFonts w:cs="Times New Roman"/>
                <w:webHidden/>
              </w:rPr>
              <w:fldChar w:fldCharType="separate"/>
            </w:r>
            <w:r w:rsidR="00EA2E59">
              <w:rPr>
                <w:rFonts w:cs="Times New Roman"/>
                <w:webHidden/>
              </w:rPr>
              <w:t>202</w:t>
            </w:r>
            <w:r w:rsidRPr="00B44B19">
              <w:rPr>
                <w:rFonts w:cs="Times New Roman"/>
                <w:webHidden/>
              </w:rPr>
              <w:fldChar w:fldCharType="end"/>
            </w:r>
          </w:hyperlink>
        </w:p>
        <w:p w14:paraId="4A7C7AC1" w14:textId="2C3924E7" w:rsidR="004A7504" w:rsidRPr="00B44B19" w:rsidRDefault="004A7504">
          <w:pPr>
            <w:pStyle w:val="Turinys1"/>
            <w:rPr>
              <w:rFonts w:eastAsiaTheme="minorEastAsia"/>
              <w:kern w:val="2"/>
              <w:sz w:val="24"/>
              <w:szCs w:val="24"/>
              <w:lang w:eastAsia="lt-LT"/>
              <w14:ligatures w14:val="standardContextual"/>
            </w:rPr>
          </w:pPr>
          <w:hyperlink w:anchor="_Toc223435451" w:history="1">
            <w:r w:rsidRPr="00B44B19">
              <w:rPr>
                <w:rStyle w:val="Hipersaitas"/>
                <w:rFonts w:eastAsiaTheme="majorEastAsia"/>
              </w:rPr>
              <w:t>12. Specialus prioritetas.  Geriamojo vandens tiekimo infrastruktūros apsaugos, viešųjų vandens tiekėjų ir nuotekų tvarkytojų valdymo centrų atsparumo didinimas</w:t>
            </w:r>
            <w:r w:rsidRPr="00B44B19">
              <w:rPr>
                <w:webHidden/>
              </w:rPr>
              <w:tab/>
            </w:r>
            <w:r w:rsidRPr="00B44B19">
              <w:rPr>
                <w:webHidden/>
              </w:rPr>
              <w:fldChar w:fldCharType="begin"/>
            </w:r>
            <w:r w:rsidRPr="00B44B19">
              <w:rPr>
                <w:webHidden/>
              </w:rPr>
              <w:instrText xml:space="preserve"> PAGEREF _Toc223435451 \h </w:instrText>
            </w:r>
            <w:r w:rsidRPr="00B44B19">
              <w:rPr>
                <w:webHidden/>
              </w:rPr>
            </w:r>
            <w:r w:rsidRPr="00B44B19">
              <w:rPr>
                <w:webHidden/>
              </w:rPr>
              <w:fldChar w:fldCharType="separate"/>
            </w:r>
            <w:r w:rsidR="00EA2E59">
              <w:rPr>
                <w:webHidden/>
              </w:rPr>
              <w:t>207</w:t>
            </w:r>
            <w:r w:rsidRPr="00B44B19">
              <w:rPr>
                <w:webHidden/>
              </w:rPr>
              <w:fldChar w:fldCharType="end"/>
            </w:r>
          </w:hyperlink>
        </w:p>
        <w:p w14:paraId="247E2B10" w14:textId="6F7EF13A" w:rsidR="004A7504" w:rsidRPr="00B44B19" w:rsidRDefault="004A7504">
          <w:pPr>
            <w:pStyle w:val="Turinys2"/>
            <w:rPr>
              <w:rFonts w:eastAsiaTheme="minorEastAsia" w:cs="Times New Roman"/>
              <w:kern w:val="2"/>
              <w:sz w:val="24"/>
              <w:szCs w:val="24"/>
              <w:lang w:eastAsia="lt-LT"/>
              <w14:ligatures w14:val="standardContextual"/>
            </w:rPr>
          </w:pPr>
          <w:hyperlink w:anchor="_Toc223435452" w:history="1">
            <w:r w:rsidRPr="00B44B19">
              <w:rPr>
                <w:rStyle w:val="Hipersaitas"/>
                <w:rFonts w:eastAsiaTheme="majorEastAsia" w:cs="Times New Roman"/>
              </w:rPr>
              <w:t>Konkretus uždavinys – 12.1 Skatinti saugią prieigą prie vandens, tvarios vandentvarkos, įskaitant integruotą vandentvarką, ir vandens išteklių atsparumą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_Toc223435452 \h </w:instrText>
            </w:r>
            <w:r w:rsidRPr="00B44B19">
              <w:rPr>
                <w:rFonts w:cs="Times New Roman"/>
                <w:webHidden/>
              </w:rPr>
            </w:r>
            <w:r w:rsidRPr="00B44B19">
              <w:rPr>
                <w:rFonts w:cs="Times New Roman"/>
                <w:webHidden/>
              </w:rPr>
              <w:fldChar w:fldCharType="separate"/>
            </w:r>
            <w:r w:rsidR="00EA2E59">
              <w:rPr>
                <w:rFonts w:cs="Times New Roman"/>
                <w:webHidden/>
              </w:rPr>
              <w:t>207</w:t>
            </w:r>
            <w:r w:rsidRPr="00B44B19">
              <w:rPr>
                <w:rFonts w:cs="Times New Roman"/>
                <w:webHidden/>
              </w:rPr>
              <w:fldChar w:fldCharType="end"/>
            </w:r>
          </w:hyperlink>
        </w:p>
        <w:p w14:paraId="1746BC56" w14:textId="00AB1862" w:rsidR="004A7504" w:rsidRPr="00B44B19" w:rsidRDefault="004A7504">
          <w:pPr>
            <w:pStyle w:val="Turinys1"/>
            <w:rPr>
              <w:rFonts w:eastAsiaTheme="minorEastAsia"/>
              <w:kern w:val="2"/>
              <w:sz w:val="24"/>
              <w:szCs w:val="24"/>
              <w:lang w:eastAsia="lt-LT"/>
              <w14:ligatures w14:val="standardContextual"/>
            </w:rPr>
          </w:pPr>
          <w:hyperlink w:anchor="_Toc223435453" w:history="1">
            <w:r w:rsidRPr="00B44B19">
              <w:rPr>
                <w:rStyle w:val="Hipersaitas"/>
                <w:rFonts w:eastAsiaTheme="majorEastAsia"/>
              </w:rPr>
              <w:t>13. Specialus prioritetas.  Energetinės infrastruktūros atsparumo didinimas</w:t>
            </w:r>
            <w:r w:rsidRPr="00B44B19">
              <w:rPr>
                <w:webHidden/>
              </w:rPr>
              <w:tab/>
            </w:r>
            <w:r w:rsidRPr="00B44B19">
              <w:rPr>
                <w:webHidden/>
              </w:rPr>
              <w:fldChar w:fldCharType="begin"/>
            </w:r>
            <w:r w:rsidRPr="00B44B19">
              <w:rPr>
                <w:webHidden/>
              </w:rPr>
              <w:instrText xml:space="preserve"> PAGEREF _Toc223435453 \h </w:instrText>
            </w:r>
            <w:r w:rsidRPr="00B44B19">
              <w:rPr>
                <w:webHidden/>
              </w:rPr>
            </w:r>
            <w:r w:rsidRPr="00B44B19">
              <w:rPr>
                <w:webHidden/>
              </w:rPr>
              <w:fldChar w:fldCharType="separate"/>
            </w:r>
            <w:r w:rsidR="00EA2E59">
              <w:rPr>
                <w:webHidden/>
              </w:rPr>
              <w:t>211</w:t>
            </w:r>
            <w:r w:rsidRPr="00B44B19">
              <w:rPr>
                <w:webHidden/>
              </w:rPr>
              <w:fldChar w:fldCharType="end"/>
            </w:r>
          </w:hyperlink>
        </w:p>
        <w:p w14:paraId="0FB3F993" w14:textId="6C53B269" w:rsidR="004A7504" w:rsidRPr="00B44B19" w:rsidRDefault="004A7504">
          <w:pPr>
            <w:pStyle w:val="Turinys2"/>
            <w:rPr>
              <w:rFonts w:eastAsiaTheme="minorEastAsia" w:cs="Times New Roman"/>
              <w:kern w:val="2"/>
              <w:sz w:val="24"/>
              <w:szCs w:val="24"/>
              <w:lang w:eastAsia="lt-LT"/>
              <w14:ligatures w14:val="standardContextual"/>
            </w:rPr>
          </w:pPr>
          <w:hyperlink w:anchor="_Toc223435454" w:history="1">
            <w:r w:rsidRPr="00B44B19">
              <w:rPr>
                <w:rStyle w:val="Hipersaitas"/>
                <w:rFonts w:eastAsiaTheme="majorEastAsia" w:cs="Times New Roman"/>
              </w:rPr>
              <w:t>Konkretus uždavinys – 13.1. Skatinti energetikos jungčių ir susijusios perdavimo, paskirstymo ir pagalbinės infrastruktūros, taip pat kritinės energetinės infrastruktūros apsaugą bei įkrovimo infrastruktūros diegimą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_Toc223435454 \h </w:instrText>
            </w:r>
            <w:r w:rsidRPr="00B44B19">
              <w:rPr>
                <w:rFonts w:cs="Times New Roman"/>
                <w:webHidden/>
              </w:rPr>
            </w:r>
            <w:r w:rsidRPr="00B44B19">
              <w:rPr>
                <w:rFonts w:cs="Times New Roman"/>
                <w:webHidden/>
              </w:rPr>
              <w:fldChar w:fldCharType="separate"/>
            </w:r>
            <w:r w:rsidR="00EA2E59">
              <w:rPr>
                <w:rFonts w:cs="Times New Roman"/>
                <w:webHidden/>
              </w:rPr>
              <w:t>211</w:t>
            </w:r>
            <w:r w:rsidRPr="00B44B19">
              <w:rPr>
                <w:rFonts w:cs="Times New Roman"/>
                <w:webHidden/>
              </w:rPr>
              <w:fldChar w:fldCharType="end"/>
            </w:r>
          </w:hyperlink>
        </w:p>
        <w:p w14:paraId="067A3713" w14:textId="789B5DBE" w:rsidR="004A7504" w:rsidRPr="00B44B19" w:rsidRDefault="004A7504">
          <w:pPr>
            <w:pStyle w:val="Turinys1"/>
            <w:rPr>
              <w:rFonts w:eastAsiaTheme="minorEastAsia"/>
              <w:kern w:val="2"/>
              <w:sz w:val="24"/>
              <w:szCs w:val="24"/>
              <w:lang w:eastAsia="lt-LT"/>
              <w14:ligatures w14:val="standardContextual"/>
            </w:rPr>
          </w:pPr>
          <w:hyperlink w:anchor="_Toc223435455" w:history="1">
            <w:r w:rsidRPr="00B44B19">
              <w:rPr>
                <w:rStyle w:val="Hipersaitas"/>
                <w:rFonts w:eastAsiaTheme="majorEastAsia"/>
              </w:rPr>
              <w:t>14. Specialus prioritetas. Karinio mobilumo stiprinimas</w:t>
            </w:r>
            <w:r w:rsidRPr="00B44B19">
              <w:rPr>
                <w:webHidden/>
              </w:rPr>
              <w:tab/>
            </w:r>
            <w:r w:rsidRPr="00B44B19">
              <w:rPr>
                <w:webHidden/>
              </w:rPr>
              <w:fldChar w:fldCharType="begin"/>
            </w:r>
            <w:r w:rsidRPr="00B44B19">
              <w:rPr>
                <w:webHidden/>
              </w:rPr>
              <w:instrText xml:space="preserve"> PAGEREF _Toc223435455 \h </w:instrText>
            </w:r>
            <w:r w:rsidRPr="00B44B19">
              <w:rPr>
                <w:webHidden/>
              </w:rPr>
            </w:r>
            <w:r w:rsidRPr="00B44B19">
              <w:rPr>
                <w:webHidden/>
              </w:rPr>
              <w:fldChar w:fldCharType="separate"/>
            </w:r>
            <w:r w:rsidR="00EA2E59">
              <w:rPr>
                <w:webHidden/>
              </w:rPr>
              <w:t>215</w:t>
            </w:r>
            <w:r w:rsidRPr="00B44B19">
              <w:rPr>
                <w:webHidden/>
              </w:rPr>
              <w:fldChar w:fldCharType="end"/>
            </w:r>
          </w:hyperlink>
        </w:p>
        <w:p w14:paraId="199F8FFF" w14:textId="7C6799F7" w:rsidR="004A7504" w:rsidRPr="00B44B19" w:rsidRDefault="004A7504">
          <w:pPr>
            <w:pStyle w:val="Turinys2"/>
            <w:rPr>
              <w:rFonts w:eastAsiaTheme="minorEastAsia" w:cs="Times New Roman"/>
              <w:kern w:val="2"/>
              <w:sz w:val="24"/>
              <w:szCs w:val="24"/>
              <w:lang w:eastAsia="lt-LT"/>
              <w14:ligatures w14:val="standardContextual"/>
            </w:rPr>
          </w:pPr>
          <w:hyperlink w:anchor="_Toc223435456" w:history="1">
            <w:r w:rsidRPr="00B44B19">
              <w:rPr>
                <w:rStyle w:val="Hipersaitas"/>
                <w:rFonts w:eastAsiaTheme="majorEastAsia" w:cs="Times New Roman"/>
              </w:rPr>
              <w:t>Konkretus uždavinys – 14.1 Sukurti atsparią gynybos infrastruktūrą, pirmenybę teikiant dvejopo naudojimo infrastruktūrai, taip pat, siekti skatinti karinį mobilumą ES ir gerinti civilinę parengtį</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_Toc223435456 \h </w:instrText>
            </w:r>
            <w:r w:rsidRPr="00B44B19">
              <w:rPr>
                <w:rFonts w:cs="Times New Roman"/>
                <w:webHidden/>
              </w:rPr>
            </w:r>
            <w:r w:rsidRPr="00B44B19">
              <w:rPr>
                <w:rFonts w:cs="Times New Roman"/>
                <w:webHidden/>
              </w:rPr>
              <w:fldChar w:fldCharType="separate"/>
            </w:r>
            <w:r w:rsidR="00EA2E59">
              <w:rPr>
                <w:rFonts w:cs="Times New Roman"/>
                <w:webHidden/>
              </w:rPr>
              <w:t>215</w:t>
            </w:r>
            <w:r w:rsidRPr="00B44B19">
              <w:rPr>
                <w:rFonts w:cs="Times New Roman"/>
                <w:webHidden/>
              </w:rPr>
              <w:fldChar w:fldCharType="end"/>
            </w:r>
          </w:hyperlink>
        </w:p>
        <w:p w14:paraId="1963F70A" w14:textId="090C97BB" w:rsidR="004A7504" w:rsidRPr="00B44B19" w:rsidRDefault="004A7504">
          <w:pPr>
            <w:pStyle w:val="Turinys1"/>
            <w:rPr>
              <w:rFonts w:eastAsiaTheme="minorEastAsia"/>
              <w:kern w:val="2"/>
              <w:sz w:val="24"/>
              <w:szCs w:val="24"/>
              <w:lang w:eastAsia="lt-LT"/>
              <w14:ligatures w14:val="standardContextual"/>
            </w:rPr>
          </w:pPr>
          <w:hyperlink w:anchor="_Toc223435457" w:history="1">
            <w:r w:rsidRPr="00B44B19">
              <w:rPr>
                <w:rStyle w:val="Hipersaitas"/>
                <w:rFonts w:eastAsiaTheme="majorEastAsia"/>
              </w:rPr>
              <w:t>15. Specialus prioritetas. Civilinės infrastruktūros atsparumo ir civilinės parengties stiprinimas</w:t>
            </w:r>
            <w:r w:rsidRPr="00B44B19">
              <w:rPr>
                <w:webHidden/>
              </w:rPr>
              <w:tab/>
            </w:r>
            <w:r w:rsidRPr="00B44B19">
              <w:rPr>
                <w:webHidden/>
              </w:rPr>
              <w:fldChar w:fldCharType="begin"/>
            </w:r>
            <w:r w:rsidRPr="00B44B19">
              <w:rPr>
                <w:webHidden/>
              </w:rPr>
              <w:instrText xml:space="preserve"> PAGEREF _Toc223435457 \h </w:instrText>
            </w:r>
            <w:r w:rsidRPr="00B44B19">
              <w:rPr>
                <w:webHidden/>
              </w:rPr>
            </w:r>
            <w:r w:rsidRPr="00B44B19">
              <w:rPr>
                <w:webHidden/>
              </w:rPr>
              <w:fldChar w:fldCharType="separate"/>
            </w:r>
            <w:r w:rsidR="00EA2E59">
              <w:rPr>
                <w:webHidden/>
              </w:rPr>
              <w:t>219</w:t>
            </w:r>
            <w:r w:rsidRPr="00B44B19">
              <w:rPr>
                <w:webHidden/>
              </w:rPr>
              <w:fldChar w:fldCharType="end"/>
            </w:r>
          </w:hyperlink>
        </w:p>
        <w:p w14:paraId="2B090676" w14:textId="10591F17" w:rsidR="004A7504" w:rsidRPr="00B44B19" w:rsidRDefault="004A7504">
          <w:pPr>
            <w:pStyle w:val="Turinys2"/>
            <w:rPr>
              <w:rFonts w:eastAsiaTheme="minorEastAsia" w:cs="Times New Roman"/>
              <w:kern w:val="2"/>
              <w:sz w:val="24"/>
              <w:szCs w:val="24"/>
              <w:lang w:eastAsia="lt-LT"/>
              <w14:ligatures w14:val="standardContextual"/>
            </w:rPr>
          </w:pPr>
          <w:hyperlink w:anchor="_Toc223435458" w:history="1">
            <w:r w:rsidRPr="00B44B19">
              <w:rPr>
                <w:rStyle w:val="Hipersaitas"/>
                <w:rFonts w:eastAsiaTheme="majorEastAsia" w:cs="Times New Roman"/>
              </w:rPr>
              <w:t>Konkretus uždavinys – 15.1 Sukurti atsparią gynybos infrastruktūrą, pirmenybę teikiant dvejopo naudojimo infrastruktūrai, taip pat, siekti skatinti karinį mobilumą ES ir gerinti civilinę parengtį</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_Toc223435458 \h </w:instrText>
            </w:r>
            <w:r w:rsidRPr="00B44B19">
              <w:rPr>
                <w:rFonts w:cs="Times New Roman"/>
                <w:webHidden/>
              </w:rPr>
            </w:r>
            <w:r w:rsidRPr="00B44B19">
              <w:rPr>
                <w:rFonts w:cs="Times New Roman"/>
                <w:webHidden/>
              </w:rPr>
              <w:fldChar w:fldCharType="separate"/>
            </w:r>
            <w:r w:rsidR="00EA2E59">
              <w:rPr>
                <w:rFonts w:cs="Times New Roman"/>
                <w:webHidden/>
              </w:rPr>
              <w:t>219</w:t>
            </w:r>
            <w:r w:rsidRPr="00B44B19">
              <w:rPr>
                <w:rFonts w:cs="Times New Roman"/>
                <w:webHidden/>
              </w:rPr>
              <w:fldChar w:fldCharType="end"/>
            </w:r>
          </w:hyperlink>
        </w:p>
        <w:p w14:paraId="1449AFD1" w14:textId="114C4419" w:rsidR="004A7504" w:rsidRPr="00B44B19" w:rsidRDefault="004A7504">
          <w:pPr>
            <w:pStyle w:val="Turinys1"/>
            <w:rPr>
              <w:rFonts w:eastAsiaTheme="minorEastAsia"/>
              <w:kern w:val="2"/>
              <w:sz w:val="24"/>
              <w:szCs w:val="24"/>
              <w:lang w:eastAsia="lt-LT"/>
              <w14:ligatures w14:val="standardContextual"/>
            </w:rPr>
          </w:pPr>
          <w:hyperlink w:anchor="_Toc223435459" w:history="1">
            <w:r w:rsidRPr="00B44B19">
              <w:rPr>
                <w:rStyle w:val="Hipersaitas"/>
                <w:rFonts w:eastAsiaTheme="majorEastAsia"/>
              </w:rPr>
              <w:t>16. Specialus prioritetas. Civilinės parengties įgūdžių, rengiantis ekstremaliosioms situacijoms ir grėsmėms, stiprinimas</w:t>
            </w:r>
            <w:r w:rsidRPr="00B44B19">
              <w:rPr>
                <w:webHidden/>
              </w:rPr>
              <w:tab/>
            </w:r>
            <w:r w:rsidRPr="00B44B19">
              <w:rPr>
                <w:webHidden/>
              </w:rPr>
              <w:fldChar w:fldCharType="begin"/>
            </w:r>
            <w:r w:rsidRPr="00B44B19">
              <w:rPr>
                <w:webHidden/>
              </w:rPr>
              <w:instrText xml:space="preserve"> PAGEREF _Toc223435459 \h </w:instrText>
            </w:r>
            <w:r w:rsidRPr="00B44B19">
              <w:rPr>
                <w:webHidden/>
              </w:rPr>
            </w:r>
            <w:r w:rsidRPr="00B44B19">
              <w:rPr>
                <w:webHidden/>
              </w:rPr>
              <w:fldChar w:fldCharType="separate"/>
            </w:r>
            <w:r w:rsidR="00EA2E59">
              <w:rPr>
                <w:webHidden/>
              </w:rPr>
              <w:t>225</w:t>
            </w:r>
            <w:r w:rsidRPr="00B44B19">
              <w:rPr>
                <w:webHidden/>
              </w:rPr>
              <w:fldChar w:fldCharType="end"/>
            </w:r>
          </w:hyperlink>
        </w:p>
        <w:p w14:paraId="69EA9B52" w14:textId="2647251E" w:rsidR="004A7504" w:rsidRPr="00B44B19" w:rsidRDefault="004A7504">
          <w:pPr>
            <w:pStyle w:val="Turinys2"/>
            <w:rPr>
              <w:rFonts w:eastAsiaTheme="minorEastAsia" w:cs="Times New Roman"/>
              <w:kern w:val="2"/>
              <w:sz w:val="24"/>
              <w:szCs w:val="24"/>
              <w:lang w:eastAsia="lt-LT"/>
              <w14:ligatures w14:val="standardContextual"/>
            </w:rPr>
          </w:pPr>
          <w:hyperlink w:anchor="_Toc223435460" w:history="1">
            <w:r w:rsidRPr="00B44B19">
              <w:rPr>
                <w:rStyle w:val="Hipersaitas"/>
                <w:rFonts w:eastAsiaTheme="majorEastAsia" w:cs="Times New Roman"/>
              </w:rPr>
              <w:t>Konkretus uždavinys – 16.1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_Toc223435460 \h </w:instrText>
            </w:r>
            <w:r w:rsidRPr="00B44B19">
              <w:rPr>
                <w:rFonts w:cs="Times New Roman"/>
                <w:webHidden/>
              </w:rPr>
            </w:r>
            <w:r w:rsidRPr="00B44B19">
              <w:rPr>
                <w:rFonts w:cs="Times New Roman"/>
                <w:webHidden/>
              </w:rPr>
              <w:fldChar w:fldCharType="separate"/>
            </w:r>
            <w:r w:rsidR="00EA2E59">
              <w:rPr>
                <w:rFonts w:cs="Times New Roman"/>
                <w:webHidden/>
              </w:rPr>
              <w:t>225</w:t>
            </w:r>
            <w:r w:rsidRPr="00B44B19">
              <w:rPr>
                <w:rFonts w:cs="Times New Roman"/>
                <w:webHidden/>
              </w:rPr>
              <w:fldChar w:fldCharType="end"/>
            </w:r>
          </w:hyperlink>
        </w:p>
        <w:p w14:paraId="6855940B" w14:textId="4D3E73CB" w:rsidR="004A7504" w:rsidRPr="00B44B19" w:rsidRDefault="004A7504">
          <w:pPr>
            <w:pStyle w:val="Turinys1"/>
            <w:rPr>
              <w:rFonts w:eastAsiaTheme="minorEastAsia"/>
              <w:kern w:val="2"/>
              <w:sz w:val="24"/>
              <w:szCs w:val="24"/>
              <w:lang w:eastAsia="lt-LT"/>
              <w14:ligatures w14:val="standardContextual"/>
            </w:rPr>
          </w:pPr>
          <w:hyperlink w:anchor="_Toc223435461" w:history="1">
            <w:r w:rsidRPr="00B44B19">
              <w:rPr>
                <w:rStyle w:val="Hipersaitas"/>
                <w:rFonts w:eastAsiaTheme="majorEastAsia"/>
              </w:rPr>
              <w:t>17. Specialus prioritetas. Socialinio būsto fondo plėtra</w:t>
            </w:r>
            <w:r w:rsidRPr="00B44B19">
              <w:rPr>
                <w:webHidden/>
              </w:rPr>
              <w:tab/>
            </w:r>
            <w:r w:rsidRPr="00B44B19">
              <w:rPr>
                <w:webHidden/>
              </w:rPr>
              <w:fldChar w:fldCharType="begin"/>
            </w:r>
            <w:r w:rsidRPr="00B44B19">
              <w:rPr>
                <w:webHidden/>
              </w:rPr>
              <w:instrText xml:space="preserve"> PAGEREF _Toc223435461 \h </w:instrText>
            </w:r>
            <w:r w:rsidRPr="00B44B19">
              <w:rPr>
                <w:webHidden/>
              </w:rPr>
            </w:r>
            <w:r w:rsidRPr="00B44B19">
              <w:rPr>
                <w:webHidden/>
              </w:rPr>
              <w:fldChar w:fldCharType="separate"/>
            </w:r>
            <w:r w:rsidR="00EA2E59">
              <w:rPr>
                <w:webHidden/>
              </w:rPr>
              <w:t>230</w:t>
            </w:r>
            <w:r w:rsidRPr="00B44B19">
              <w:rPr>
                <w:webHidden/>
              </w:rPr>
              <w:fldChar w:fldCharType="end"/>
            </w:r>
          </w:hyperlink>
        </w:p>
        <w:p w14:paraId="361D627B" w14:textId="1FE8C263" w:rsidR="004A7504" w:rsidRPr="00B44B19" w:rsidRDefault="004A7504">
          <w:pPr>
            <w:pStyle w:val="Turinys2"/>
            <w:rPr>
              <w:rFonts w:eastAsiaTheme="minorEastAsia" w:cs="Times New Roman"/>
              <w:kern w:val="2"/>
              <w:sz w:val="24"/>
              <w:szCs w:val="24"/>
              <w:lang w:eastAsia="lt-LT"/>
              <w14:ligatures w14:val="standardContextual"/>
            </w:rPr>
          </w:pPr>
          <w:hyperlink w:anchor="_Toc223435462" w:history="1">
            <w:r w:rsidRPr="00B44B19">
              <w:rPr>
                <w:rStyle w:val="Hipersaitas"/>
                <w:rFonts w:eastAsiaTheme="majorEastAsia" w:cs="Times New Roman"/>
              </w:rPr>
              <w:t>Konkretus uždavinys – 17.1. Skatinti galimybes gauti prieinamą ir tvarų būstą</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_Toc223435462 \h </w:instrText>
            </w:r>
            <w:r w:rsidRPr="00B44B19">
              <w:rPr>
                <w:rFonts w:cs="Times New Roman"/>
                <w:webHidden/>
              </w:rPr>
            </w:r>
            <w:r w:rsidRPr="00B44B19">
              <w:rPr>
                <w:rFonts w:cs="Times New Roman"/>
                <w:webHidden/>
              </w:rPr>
              <w:fldChar w:fldCharType="separate"/>
            </w:r>
            <w:r w:rsidR="00EA2E59">
              <w:rPr>
                <w:rFonts w:cs="Times New Roman"/>
                <w:webHidden/>
              </w:rPr>
              <w:t>230</w:t>
            </w:r>
            <w:r w:rsidRPr="00B44B19">
              <w:rPr>
                <w:rFonts w:cs="Times New Roman"/>
                <w:webHidden/>
              </w:rPr>
              <w:fldChar w:fldCharType="end"/>
            </w:r>
          </w:hyperlink>
        </w:p>
        <w:p w14:paraId="2057E586" w14:textId="3EAEF1FD" w:rsidR="004A7504" w:rsidRPr="00B44B19" w:rsidRDefault="004A7504">
          <w:pPr>
            <w:pStyle w:val="Turinys1"/>
            <w:rPr>
              <w:rFonts w:eastAsiaTheme="minorEastAsia"/>
              <w:kern w:val="2"/>
              <w:sz w:val="24"/>
              <w:szCs w:val="24"/>
              <w:lang w:eastAsia="lt-LT"/>
              <w14:ligatures w14:val="standardContextual"/>
            </w:rPr>
          </w:pPr>
          <w:hyperlink w:anchor="_Toc223435463" w:history="1">
            <w:r w:rsidRPr="00B44B19">
              <w:rPr>
                <w:rStyle w:val="Hipersaitas"/>
                <w:rFonts w:eastAsia="Calibri"/>
                <w:lang w:eastAsia="lt-LT" w:bidi="lt-LT"/>
              </w:rPr>
              <w:t>3.</w:t>
            </w:r>
            <w:r w:rsidRPr="00B44B19">
              <w:rPr>
                <w:rFonts w:eastAsiaTheme="minorEastAsia"/>
                <w:kern w:val="2"/>
                <w:sz w:val="24"/>
                <w:szCs w:val="24"/>
                <w:lang w:eastAsia="lt-LT"/>
                <w14:ligatures w14:val="standardContextual"/>
              </w:rPr>
              <w:tab/>
            </w:r>
            <w:r w:rsidRPr="00B44B19">
              <w:rPr>
                <w:rStyle w:val="Hipersaitas"/>
                <w:rFonts w:eastAsia="Calibri"/>
              </w:rPr>
              <w:t>FINANSAVIMO PLANAS</w:t>
            </w:r>
            <w:r w:rsidRPr="00B44B19">
              <w:rPr>
                <w:webHidden/>
              </w:rPr>
              <w:tab/>
            </w:r>
            <w:r w:rsidRPr="00B44B19">
              <w:rPr>
                <w:webHidden/>
              </w:rPr>
              <w:fldChar w:fldCharType="begin"/>
            </w:r>
            <w:r w:rsidRPr="00B44B19">
              <w:rPr>
                <w:webHidden/>
              </w:rPr>
              <w:instrText xml:space="preserve"> PAGEREF _Toc223435463 \h </w:instrText>
            </w:r>
            <w:r w:rsidRPr="00B44B19">
              <w:rPr>
                <w:webHidden/>
              </w:rPr>
            </w:r>
            <w:r w:rsidRPr="00B44B19">
              <w:rPr>
                <w:webHidden/>
              </w:rPr>
              <w:fldChar w:fldCharType="separate"/>
            </w:r>
            <w:r w:rsidR="00EA2E59">
              <w:rPr>
                <w:webHidden/>
              </w:rPr>
              <w:t>234</w:t>
            </w:r>
            <w:r w:rsidRPr="00B44B19">
              <w:rPr>
                <w:webHidden/>
              </w:rPr>
              <w:fldChar w:fldCharType="end"/>
            </w:r>
          </w:hyperlink>
        </w:p>
        <w:p w14:paraId="670CFB2D" w14:textId="5A293CAD" w:rsidR="004A7504" w:rsidRPr="00B44B19" w:rsidRDefault="004A7504">
          <w:pPr>
            <w:pStyle w:val="Turinys2"/>
            <w:tabs>
              <w:tab w:val="left" w:pos="960"/>
            </w:tabs>
            <w:rPr>
              <w:rFonts w:eastAsiaTheme="minorEastAsia" w:cs="Times New Roman"/>
              <w:kern w:val="2"/>
              <w:sz w:val="24"/>
              <w:szCs w:val="24"/>
              <w:lang w:eastAsia="lt-LT"/>
              <w14:ligatures w14:val="standardContextual"/>
            </w:rPr>
          </w:pPr>
          <w:hyperlink w:anchor="_Toc223435464" w:history="1">
            <w:r w:rsidRPr="00B44B19">
              <w:rPr>
                <w:rStyle w:val="Hipersaitas"/>
                <w:rFonts w:eastAsia="Calibri" w:cs="Times New Roman"/>
              </w:rPr>
              <w:t>3.1</w:t>
            </w:r>
            <w:r w:rsidRPr="00B44B19">
              <w:rPr>
                <w:rFonts w:eastAsiaTheme="minorEastAsia" w:cs="Times New Roman"/>
                <w:kern w:val="2"/>
                <w:sz w:val="24"/>
                <w:szCs w:val="24"/>
                <w:lang w:eastAsia="lt-LT"/>
                <w14:ligatures w14:val="standardContextual"/>
              </w:rPr>
              <w:tab/>
            </w:r>
            <w:r w:rsidRPr="00B44B19">
              <w:rPr>
                <w:rStyle w:val="Hipersaitas"/>
                <w:rFonts w:eastAsia="Calibri" w:cs="Times New Roman"/>
              </w:rPr>
              <w:t>Perkėlimai ir įnašai</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_Toc223435464 \h </w:instrText>
            </w:r>
            <w:r w:rsidRPr="00B44B19">
              <w:rPr>
                <w:rFonts w:cs="Times New Roman"/>
                <w:webHidden/>
              </w:rPr>
            </w:r>
            <w:r w:rsidRPr="00B44B19">
              <w:rPr>
                <w:rFonts w:cs="Times New Roman"/>
                <w:webHidden/>
              </w:rPr>
              <w:fldChar w:fldCharType="separate"/>
            </w:r>
            <w:r w:rsidR="00EA2E59">
              <w:rPr>
                <w:rFonts w:cs="Times New Roman"/>
                <w:webHidden/>
              </w:rPr>
              <w:t>234</w:t>
            </w:r>
            <w:r w:rsidRPr="00B44B19">
              <w:rPr>
                <w:rFonts w:cs="Times New Roman"/>
                <w:webHidden/>
              </w:rPr>
              <w:fldChar w:fldCharType="end"/>
            </w:r>
          </w:hyperlink>
        </w:p>
        <w:p w14:paraId="780CE1B5" w14:textId="0C6A6B2E" w:rsidR="004A7504" w:rsidRPr="00B44B19" w:rsidRDefault="004A7504">
          <w:pPr>
            <w:pStyle w:val="Turinys2"/>
            <w:tabs>
              <w:tab w:val="left" w:pos="960"/>
            </w:tabs>
            <w:rPr>
              <w:rFonts w:eastAsiaTheme="minorEastAsia" w:cs="Times New Roman"/>
              <w:kern w:val="2"/>
              <w:sz w:val="24"/>
              <w:szCs w:val="24"/>
              <w:lang w:eastAsia="lt-LT"/>
              <w14:ligatures w14:val="standardContextual"/>
            </w:rPr>
          </w:pPr>
          <w:hyperlink w:anchor="_Toc223435465" w:history="1">
            <w:r w:rsidRPr="00B44B19">
              <w:rPr>
                <w:rStyle w:val="Hipersaitas"/>
                <w:rFonts w:cs="Times New Roman"/>
              </w:rPr>
              <w:t>3.2</w:t>
            </w:r>
            <w:r w:rsidRPr="00B44B19">
              <w:rPr>
                <w:rFonts w:eastAsiaTheme="minorEastAsia" w:cs="Times New Roman"/>
                <w:kern w:val="2"/>
                <w:sz w:val="24"/>
                <w:szCs w:val="24"/>
                <w:lang w:eastAsia="lt-LT"/>
                <w14:ligatures w14:val="standardContextual"/>
              </w:rPr>
              <w:tab/>
            </w:r>
            <w:r w:rsidRPr="00B44B19">
              <w:rPr>
                <w:rStyle w:val="Hipersaitas"/>
                <w:rFonts w:cs="Times New Roman"/>
              </w:rPr>
              <w:t>Teisingos pertvarkos fondas: asignavimas programoje ir perkėlimai</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_Toc223435465 \h </w:instrText>
            </w:r>
            <w:r w:rsidRPr="00B44B19">
              <w:rPr>
                <w:rFonts w:cs="Times New Roman"/>
                <w:webHidden/>
              </w:rPr>
            </w:r>
            <w:r w:rsidRPr="00B44B19">
              <w:rPr>
                <w:rFonts w:cs="Times New Roman"/>
                <w:webHidden/>
              </w:rPr>
              <w:fldChar w:fldCharType="separate"/>
            </w:r>
            <w:r w:rsidR="00EA2E59">
              <w:rPr>
                <w:rFonts w:cs="Times New Roman"/>
                <w:webHidden/>
              </w:rPr>
              <w:t>237</w:t>
            </w:r>
            <w:r w:rsidRPr="00B44B19">
              <w:rPr>
                <w:rFonts w:cs="Times New Roman"/>
                <w:webHidden/>
              </w:rPr>
              <w:fldChar w:fldCharType="end"/>
            </w:r>
          </w:hyperlink>
        </w:p>
        <w:p w14:paraId="213BE055" w14:textId="43BCF0D4" w:rsidR="004A7504" w:rsidRPr="00B44B19" w:rsidRDefault="004A7504">
          <w:pPr>
            <w:pStyle w:val="Turinys2"/>
            <w:tabs>
              <w:tab w:val="left" w:pos="960"/>
            </w:tabs>
            <w:rPr>
              <w:rFonts w:eastAsiaTheme="minorEastAsia" w:cs="Times New Roman"/>
              <w:kern w:val="2"/>
              <w:sz w:val="24"/>
              <w:szCs w:val="24"/>
              <w:lang w:eastAsia="lt-LT"/>
              <w14:ligatures w14:val="standardContextual"/>
            </w:rPr>
          </w:pPr>
          <w:hyperlink w:anchor="_Toc223435466" w:history="1">
            <w:r w:rsidRPr="00B44B19">
              <w:rPr>
                <w:rStyle w:val="Hipersaitas"/>
                <w:rFonts w:cs="Times New Roman"/>
              </w:rPr>
              <w:t>3.3</w:t>
            </w:r>
            <w:r w:rsidRPr="00B44B19">
              <w:rPr>
                <w:rFonts w:eastAsiaTheme="minorEastAsia" w:cs="Times New Roman"/>
                <w:kern w:val="2"/>
                <w:sz w:val="24"/>
                <w:szCs w:val="24"/>
                <w:lang w:eastAsia="lt-LT"/>
                <w14:ligatures w14:val="standardContextual"/>
              </w:rPr>
              <w:tab/>
            </w:r>
            <w:r w:rsidRPr="00B44B19">
              <w:rPr>
                <w:rStyle w:val="Hipersaitas"/>
                <w:rFonts w:cs="Times New Roman"/>
              </w:rPr>
              <w:t>Finansiniai asignavimai pagal metus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_Toc223435466 \h </w:instrText>
            </w:r>
            <w:r w:rsidRPr="00B44B19">
              <w:rPr>
                <w:rFonts w:cs="Times New Roman"/>
                <w:webHidden/>
              </w:rPr>
            </w:r>
            <w:r w:rsidRPr="00B44B19">
              <w:rPr>
                <w:rFonts w:cs="Times New Roman"/>
                <w:webHidden/>
              </w:rPr>
              <w:fldChar w:fldCharType="separate"/>
            </w:r>
            <w:r w:rsidR="00EA2E59">
              <w:rPr>
                <w:rFonts w:cs="Times New Roman"/>
                <w:webHidden/>
              </w:rPr>
              <w:t>237</w:t>
            </w:r>
            <w:r w:rsidRPr="00B44B19">
              <w:rPr>
                <w:rFonts w:cs="Times New Roman"/>
                <w:webHidden/>
              </w:rPr>
              <w:fldChar w:fldCharType="end"/>
            </w:r>
          </w:hyperlink>
        </w:p>
        <w:p w14:paraId="1119CEDC" w14:textId="7BB6A93F" w:rsidR="004A7504" w:rsidRPr="00B44B19" w:rsidRDefault="004A7504">
          <w:pPr>
            <w:pStyle w:val="Turinys2"/>
            <w:tabs>
              <w:tab w:val="left" w:pos="960"/>
            </w:tabs>
            <w:rPr>
              <w:rFonts w:eastAsiaTheme="minorEastAsia" w:cs="Times New Roman"/>
              <w:kern w:val="2"/>
              <w:sz w:val="24"/>
              <w:szCs w:val="24"/>
              <w:lang w:eastAsia="lt-LT"/>
              <w14:ligatures w14:val="standardContextual"/>
            </w:rPr>
          </w:pPr>
          <w:hyperlink w:anchor="_Toc223435467" w:history="1">
            <w:r w:rsidRPr="00B44B19">
              <w:rPr>
                <w:rStyle w:val="Hipersaitas"/>
                <w:rFonts w:eastAsia="Calibri" w:cs="Times New Roman"/>
                <w:lang w:eastAsia="lt-LT" w:bidi="lt-LT"/>
              </w:rPr>
              <w:t>3.4</w:t>
            </w:r>
            <w:r w:rsidRPr="00B44B19">
              <w:rPr>
                <w:rFonts w:eastAsiaTheme="minorEastAsia" w:cs="Times New Roman"/>
                <w:kern w:val="2"/>
                <w:sz w:val="24"/>
                <w:szCs w:val="24"/>
                <w:lang w:eastAsia="lt-LT"/>
                <w14:ligatures w14:val="standardContextual"/>
              </w:rPr>
              <w:tab/>
            </w:r>
            <w:r w:rsidRPr="00B44B19">
              <w:rPr>
                <w:rStyle w:val="Hipersaitas"/>
                <w:rFonts w:eastAsia="Calibri" w:cs="Times New Roman"/>
                <w:lang w:eastAsia="lt-LT" w:bidi="lt-LT"/>
              </w:rPr>
              <w:t>Visi finansiniai asignavimai pagal fondą ir nacionalinis bendras finansavimas</w:t>
            </w:r>
            <w:r w:rsidRPr="00B44B19">
              <w:rPr>
                <w:rFonts w:cs="Times New Roman"/>
                <w:webHidden/>
              </w:rPr>
              <w:tab/>
            </w:r>
            <w:r w:rsidRPr="00B44B19">
              <w:rPr>
                <w:rFonts w:cs="Times New Roman"/>
                <w:webHidden/>
              </w:rPr>
              <w:fldChar w:fldCharType="begin"/>
            </w:r>
            <w:r w:rsidRPr="00B44B19">
              <w:rPr>
                <w:rFonts w:cs="Times New Roman"/>
                <w:webHidden/>
              </w:rPr>
              <w:instrText xml:space="preserve"> PAGEREF _Toc223435467 \h </w:instrText>
            </w:r>
            <w:r w:rsidRPr="00B44B19">
              <w:rPr>
                <w:rFonts w:cs="Times New Roman"/>
                <w:webHidden/>
              </w:rPr>
            </w:r>
            <w:r w:rsidRPr="00B44B19">
              <w:rPr>
                <w:rFonts w:cs="Times New Roman"/>
                <w:webHidden/>
              </w:rPr>
              <w:fldChar w:fldCharType="separate"/>
            </w:r>
            <w:r w:rsidR="00EA2E59">
              <w:rPr>
                <w:rFonts w:cs="Times New Roman"/>
                <w:webHidden/>
              </w:rPr>
              <w:t>238</w:t>
            </w:r>
            <w:r w:rsidRPr="00B44B19">
              <w:rPr>
                <w:rFonts w:cs="Times New Roman"/>
                <w:webHidden/>
              </w:rPr>
              <w:fldChar w:fldCharType="end"/>
            </w:r>
          </w:hyperlink>
        </w:p>
        <w:p w14:paraId="26218752" w14:textId="4042BEC5" w:rsidR="004A7504" w:rsidRPr="00B44B19" w:rsidRDefault="00115C36">
          <w:pPr>
            <w:pStyle w:val="Turinys1"/>
            <w:rPr>
              <w:rFonts w:eastAsiaTheme="minorEastAsia"/>
              <w:kern w:val="2"/>
              <w:sz w:val="24"/>
              <w:szCs w:val="24"/>
              <w:lang w:eastAsia="lt-LT"/>
              <w14:ligatures w14:val="standardContextual"/>
            </w:rPr>
          </w:pPr>
          <w:hyperlink w:anchor="_Toc223435468" w:history="1">
            <w:r w:rsidRPr="00B44B19">
              <w:rPr>
                <w:rStyle w:val="Hipersaitas"/>
              </w:rPr>
              <w:t>4.</w:t>
            </w:r>
            <w:r w:rsidRPr="00B44B19">
              <w:rPr>
                <w:rFonts w:eastAsiaTheme="minorEastAsia"/>
                <w:kern w:val="2"/>
                <w:sz w:val="24"/>
                <w:szCs w:val="24"/>
                <w:lang w:eastAsia="lt-LT"/>
                <w14:ligatures w14:val="standardContextual"/>
              </w:rPr>
              <w:tab/>
            </w:r>
            <w:r w:rsidRPr="00B44B19">
              <w:rPr>
                <w:rStyle w:val="Hipersaitas"/>
              </w:rPr>
              <w:t>PROGRAMOS INSTITUCIJOS</w:t>
            </w:r>
            <w:r w:rsidRPr="00B44B19">
              <w:rPr>
                <w:webHidden/>
              </w:rPr>
              <w:tab/>
            </w:r>
            <w:r w:rsidR="004A7504" w:rsidRPr="00B44B19">
              <w:rPr>
                <w:webHidden/>
              </w:rPr>
              <w:fldChar w:fldCharType="begin"/>
            </w:r>
            <w:r w:rsidR="004A7504" w:rsidRPr="00B44B19">
              <w:rPr>
                <w:webHidden/>
              </w:rPr>
              <w:instrText xml:space="preserve"> PAGEREF _Toc223435468 \h </w:instrText>
            </w:r>
            <w:r w:rsidR="004A7504" w:rsidRPr="00B44B19">
              <w:rPr>
                <w:webHidden/>
              </w:rPr>
            </w:r>
            <w:r w:rsidR="004A7504" w:rsidRPr="00B44B19">
              <w:rPr>
                <w:webHidden/>
              </w:rPr>
              <w:fldChar w:fldCharType="separate"/>
            </w:r>
            <w:r w:rsidR="00EA2E59">
              <w:rPr>
                <w:webHidden/>
              </w:rPr>
              <w:t>243</w:t>
            </w:r>
            <w:r w:rsidR="004A7504" w:rsidRPr="00B44B19">
              <w:rPr>
                <w:webHidden/>
              </w:rPr>
              <w:fldChar w:fldCharType="end"/>
            </w:r>
          </w:hyperlink>
        </w:p>
        <w:p w14:paraId="6F510D82" w14:textId="6E576C24" w:rsidR="004A7504" w:rsidRPr="00B44B19" w:rsidRDefault="00115C36">
          <w:pPr>
            <w:pStyle w:val="Turinys1"/>
            <w:rPr>
              <w:rFonts w:eastAsiaTheme="minorEastAsia"/>
              <w:kern w:val="2"/>
              <w:sz w:val="24"/>
              <w:szCs w:val="24"/>
              <w:lang w:eastAsia="lt-LT"/>
              <w14:ligatures w14:val="standardContextual"/>
            </w:rPr>
          </w:pPr>
          <w:hyperlink w:anchor="_Toc223435469" w:history="1">
            <w:r w:rsidRPr="00B44B19">
              <w:rPr>
                <w:rStyle w:val="Hipersaitas"/>
              </w:rPr>
              <w:t>5.</w:t>
            </w:r>
            <w:r w:rsidRPr="00B44B19">
              <w:rPr>
                <w:rFonts w:eastAsiaTheme="minorEastAsia"/>
                <w:kern w:val="2"/>
                <w:sz w:val="24"/>
                <w:szCs w:val="24"/>
                <w:lang w:eastAsia="lt-LT"/>
                <w14:ligatures w14:val="standardContextual"/>
              </w:rPr>
              <w:tab/>
            </w:r>
            <w:r w:rsidRPr="00B44B19">
              <w:rPr>
                <w:rStyle w:val="Hipersaitas"/>
              </w:rPr>
              <w:t>PARTNERYSTĖ</w:t>
            </w:r>
            <w:r w:rsidRPr="00B44B19">
              <w:rPr>
                <w:webHidden/>
              </w:rPr>
              <w:tab/>
            </w:r>
            <w:r w:rsidR="004A7504" w:rsidRPr="00B44B19">
              <w:rPr>
                <w:webHidden/>
              </w:rPr>
              <w:fldChar w:fldCharType="begin"/>
            </w:r>
            <w:r w:rsidR="004A7504" w:rsidRPr="00B44B19">
              <w:rPr>
                <w:webHidden/>
              </w:rPr>
              <w:instrText xml:space="preserve"> PAGEREF _Toc223435469 \h </w:instrText>
            </w:r>
            <w:r w:rsidR="004A7504" w:rsidRPr="00B44B19">
              <w:rPr>
                <w:webHidden/>
              </w:rPr>
            </w:r>
            <w:r w:rsidR="004A7504" w:rsidRPr="00B44B19">
              <w:rPr>
                <w:webHidden/>
              </w:rPr>
              <w:fldChar w:fldCharType="separate"/>
            </w:r>
            <w:r w:rsidR="00EA2E59">
              <w:rPr>
                <w:webHidden/>
              </w:rPr>
              <w:t>243</w:t>
            </w:r>
            <w:r w:rsidR="004A7504" w:rsidRPr="00B44B19">
              <w:rPr>
                <w:webHidden/>
              </w:rPr>
              <w:fldChar w:fldCharType="end"/>
            </w:r>
          </w:hyperlink>
        </w:p>
        <w:p w14:paraId="13802153" w14:textId="0A788DDD" w:rsidR="004A7504" w:rsidRPr="00B44B19" w:rsidRDefault="00115C36">
          <w:pPr>
            <w:pStyle w:val="Turinys1"/>
            <w:rPr>
              <w:rFonts w:eastAsiaTheme="minorEastAsia"/>
              <w:kern w:val="2"/>
              <w:sz w:val="24"/>
              <w:szCs w:val="24"/>
              <w:lang w:eastAsia="lt-LT"/>
              <w14:ligatures w14:val="standardContextual"/>
            </w:rPr>
          </w:pPr>
          <w:hyperlink w:anchor="_Toc223435470" w:history="1">
            <w:r w:rsidRPr="00B44B19">
              <w:rPr>
                <w:rStyle w:val="Hipersaitas"/>
              </w:rPr>
              <w:t>6.</w:t>
            </w:r>
            <w:r w:rsidRPr="00B44B19">
              <w:rPr>
                <w:rFonts w:eastAsiaTheme="minorEastAsia"/>
                <w:kern w:val="2"/>
                <w:sz w:val="24"/>
                <w:szCs w:val="24"/>
                <w:lang w:eastAsia="lt-LT"/>
                <w14:ligatures w14:val="standardContextual"/>
              </w:rPr>
              <w:tab/>
            </w:r>
            <w:r w:rsidRPr="00B44B19">
              <w:rPr>
                <w:rStyle w:val="Hipersaitas"/>
              </w:rPr>
              <w:t>KOMUNIKACIJA IR MATOMUMAS</w:t>
            </w:r>
            <w:r w:rsidRPr="00B44B19">
              <w:rPr>
                <w:webHidden/>
              </w:rPr>
              <w:tab/>
            </w:r>
            <w:r w:rsidR="004A7504" w:rsidRPr="00B44B19">
              <w:rPr>
                <w:webHidden/>
              </w:rPr>
              <w:fldChar w:fldCharType="begin"/>
            </w:r>
            <w:r w:rsidR="004A7504" w:rsidRPr="00B44B19">
              <w:rPr>
                <w:webHidden/>
              </w:rPr>
              <w:instrText xml:space="preserve"> PAGEREF _Toc223435470 \h </w:instrText>
            </w:r>
            <w:r w:rsidR="004A7504" w:rsidRPr="00B44B19">
              <w:rPr>
                <w:webHidden/>
              </w:rPr>
            </w:r>
            <w:r w:rsidR="004A7504" w:rsidRPr="00B44B19">
              <w:rPr>
                <w:webHidden/>
              </w:rPr>
              <w:fldChar w:fldCharType="separate"/>
            </w:r>
            <w:r w:rsidR="00EA2E59">
              <w:rPr>
                <w:webHidden/>
              </w:rPr>
              <w:t>245</w:t>
            </w:r>
            <w:r w:rsidR="004A7504" w:rsidRPr="00B44B19">
              <w:rPr>
                <w:webHidden/>
              </w:rPr>
              <w:fldChar w:fldCharType="end"/>
            </w:r>
          </w:hyperlink>
        </w:p>
        <w:p w14:paraId="7C74338E" w14:textId="358B329D" w:rsidR="00636181" w:rsidRPr="00B44B19" w:rsidRDefault="00636181" w:rsidP="00942309">
          <w:pPr>
            <w:pStyle w:val="Turinys1"/>
          </w:pPr>
          <w:r w:rsidRPr="00B44B19">
            <w:rPr>
              <w:b/>
              <w:bCs/>
            </w:rPr>
            <w:fldChar w:fldCharType="end"/>
          </w:r>
        </w:p>
      </w:sdtContent>
    </w:sdt>
    <w:p w14:paraId="4F03D826" w14:textId="77777777" w:rsidR="004E1900" w:rsidRPr="00B44B19" w:rsidRDefault="004E1900" w:rsidP="007F518C">
      <w:pPr>
        <w:jc w:val="center"/>
        <w:rPr>
          <w:rFonts w:eastAsia="Calibri" w:cs="Times New Roman"/>
          <w:caps/>
          <w:szCs w:val="24"/>
        </w:rPr>
      </w:pPr>
    </w:p>
    <w:p w14:paraId="1A739410" w14:textId="496BFE33" w:rsidR="007F518C" w:rsidRPr="006D2701" w:rsidRDefault="0099711F" w:rsidP="007F518C">
      <w:pPr>
        <w:jc w:val="center"/>
        <w:rPr>
          <w:rFonts w:eastAsia="Calibri" w:cs="Times New Roman"/>
          <w:b/>
          <w:bCs/>
          <w:caps/>
          <w:szCs w:val="24"/>
        </w:rPr>
      </w:pPr>
      <w:r w:rsidRPr="006D2701">
        <w:rPr>
          <w:rFonts w:eastAsia="Calibri" w:cs="Times New Roman"/>
          <w:b/>
          <w:bCs/>
          <w:caps/>
          <w:szCs w:val="24"/>
        </w:rPr>
        <w:t xml:space="preserve">VARTOJAMOS </w:t>
      </w:r>
      <w:r w:rsidR="007F518C" w:rsidRPr="006D2701">
        <w:rPr>
          <w:rFonts w:eastAsia="Calibri" w:cs="Times New Roman"/>
          <w:b/>
          <w:bCs/>
          <w:caps/>
          <w:szCs w:val="24"/>
        </w:rPr>
        <w:t>santrumpos ir terminai</w:t>
      </w:r>
    </w:p>
    <w:tbl>
      <w:tblPr>
        <w:tblStyle w:val="Lentelstinklelis"/>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8"/>
        <w:gridCol w:w="236"/>
        <w:gridCol w:w="7911"/>
      </w:tblGrid>
      <w:tr w:rsidR="00840751" w:rsidRPr="00B44B19" w14:paraId="5DFB92B5" w14:textId="77777777" w:rsidTr="00F8763F">
        <w:tc>
          <w:tcPr>
            <w:tcW w:w="1758" w:type="dxa"/>
          </w:tcPr>
          <w:p w14:paraId="5F03DF03" w14:textId="77777777" w:rsidR="00840751" w:rsidRPr="00B44B19" w:rsidRDefault="00840751" w:rsidP="008F33A0">
            <w:pPr>
              <w:rPr>
                <w:rFonts w:eastAsia="Calibri" w:cs="Times New Roman"/>
                <w:caps/>
                <w:sz w:val="22"/>
              </w:rPr>
            </w:pPr>
            <w:r w:rsidRPr="00B44B19">
              <w:rPr>
                <w:rFonts w:eastAsia="Calibri" w:cs="Times New Roman"/>
                <w:caps/>
                <w:sz w:val="22"/>
                <w:lang w:val="fr-BE"/>
              </w:rPr>
              <w:t>%</w:t>
            </w:r>
          </w:p>
        </w:tc>
        <w:tc>
          <w:tcPr>
            <w:tcW w:w="236" w:type="dxa"/>
          </w:tcPr>
          <w:p w14:paraId="328F4E95" w14:textId="77777777" w:rsidR="00840751" w:rsidRPr="00B44B19" w:rsidRDefault="00840751" w:rsidP="00840751">
            <w:pPr>
              <w:rPr>
                <w:rFonts w:eastAsia="Calibri" w:cs="Times New Roman"/>
                <w:caps/>
                <w:sz w:val="22"/>
              </w:rPr>
            </w:pPr>
            <w:r w:rsidRPr="00B44B19">
              <w:rPr>
                <w:rFonts w:eastAsia="Calibri" w:cs="Times New Roman"/>
                <w:caps/>
                <w:sz w:val="22"/>
              </w:rPr>
              <w:t>–</w:t>
            </w:r>
          </w:p>
        </w:tc>
        <w:tc>
          <w:tcPr>
            <w:tcW w:w="7911" w:type="dxa"/>
          </w:tcPr>
          <w:p w14:paraId="3EC67176" w14:textId="77777777" w:rsidR="00840751" w:rsidRPr="00B44B19" w:rsidRDefault="00840751" w:rsidP="008F33A0">
            <w:pPr>
              <w:rPr>
                <w:rFonts w:eastAsia="Calibri" w:cs="Times New Roman"/>
                <w:caps/>
                <w:sz w:val="22"/>
              </w:rPr>
            </w:pPr>
            <w:r w:rsidRPr="00B44B19">
              <w:rPr>
                <w:rFonts w:eastAsia="Calibri" w:cs="Times New Roman"/>
                <w:sz w:val="22"/>
                <w:lang w:val="fr-BE"/>
              </w:rPr>
              <w:t>procentai</w:t>
            </w:r>
          </w:p>
        </w:tc>
      </w:tr>
      <w:tr w:rsidR="00840751" w:rsidRPr="00B44B19" w14:paraId="13F3B3B6" w14:textId="77777777" w:rsidTr="00F8763F">
        <w:tc>
          <w:tcPr>
            <w:tcW w:w="1758" w:type="dxa"/>
          </w:tcPr>
          <w:p w14:paraId="1738179A" w14:textId="77777777" w:rsidR="00840751" w:rsidRPr="00B44B19" w:rsidRDefault="00840751" w:rsidP="008F33A0">
            <w:pPr>
              <w:rPr>
                <w:rFonts w:eastAsia="Calibri" w:cs="Times New Roman"/>
                <w:caps/>
                <w:sz w:val="22"/>
                <w:lang w:val="fr-BE"/>
              </w:rPr>
            </w:pPr>
            <w:r w:rsidRPr="00B44B19">
              <w:rPr>
                <w:rFonts w:eastAsia="Calibri" w:cs="Times New Roman"/>
                <w:sz w:val="22"/>
                <w:lang w:val="fr-BE"/>
              </w:rPr>
              <w:t>Eur</w:t>
            </w:r>
          </w:p>
        </w:tc>
        <w:tc>
          <w:tcPr>
            <w:tcW w:w="236" w:type="dxa"/>
          </w:tcPr>
          <w:p w14:paraId="5DEE2D5C" w14:textId="77777777" w:rsidR="00840751" w:rsidRPr="00B44B19" w:rsidRDefault="00840751" w:rsidP="00840751">
            <w:pPr>
              <w:rPr>
                <w:rFonts w:eastAsia="Calibri" w:cs="Times New Roman"/>
                <w:caps/>
                <w:sz w:val="22"/>
                <w:lang w:val="fr-BE"/>
              </w:rPr>
            </w:pPr>
            <w:r w:rsidRPr="00B44B19">
              <w:rPr>
                <w:rFonts w:eastAsia="Calibri" w:cs="Times New Roman"/>
                <w:caps/>
                <w:sz w:val="22"/>
                <w:lang w:val="fr-BE"/>
              </w:rPr>
              <w:t>–</w:t>
            </w:r>
          </w:p>
        </w:tc>
        <w:tc>
          <w:tcPr>
            <w:tcW w:w="7911" w:type="dxa"/>
          </w:tcPr>
          <w:p w14:paraId="154F0807" w14:textId="77777777" w:rsidR="00840751" w:rsidRPr="00B44B19" w:rsidRDefault="00840751" w:rsidP="008F33A0">
            <w:pPr>
              <w:rPr>
                <w:rFonts w:eastAsia="Calibri" w:cs="Times New Roman"/>
                <w:sz w:val="22"/>
                <w:lang w:val="fr-BE"/>
              </w:rPr>
            </w:pPr>
            <w:r w:rsidRPr="00B44B19">
              <w:rPr>
                <w:rFonts w:eastAsia="Calibri" w:cs="Times New Roman"/>
                <w:sz w:val="22"/>
                <w:lang w:val="fr-BE"/>
              </w:rPr>
              <w:t>euras</w:t>
            </w:r>
          </w:p>
        </w:tc>
      </w:tr>
      <w:tr w:rsidR="00840751" w:rsidRPr="00B44B19" w14:paraId="77FDBB57" w14:textId="77777777" w:rsidTr="00F8763F">
        <w:tc>
          <w:tcPr>
            <w:tcW w:w="1758" w:type="dxa"/>
          </w:tcPr>
          <w:p w14:paraId="07420551" w14:textId="77777777" w:rsidR="00840751" w:rsidRPr="00B44B19" w:rsidRDefault="00840751" w:rsidP="008F33A0">
            <w:pPr>
              <w:rPr>
                <w:rFonts w:eastAsia="Calibri" w:cs="Times New Roman"/>
                <w:sz w:val="22"/>
                <w:lang w:val="fr-BE"/>
              </w:rPr>
            </w:pPr>
            <w:r w:rsidRPr="00B44B19">
              <w:rPr>
                <w:rFonts w:eastAsia="Calibri" w:cs="Times New Roman"/>
                <w:sz w:val="22"/>
              </w:rPr>
              <w:t>ADRP</w:t>
            </w:r>
          </w:p>
        </w:tc>
        <w:tc>
          <w:tcPr>
            <w:tcW w:w="236" w:type="dxa"/>
          </w:tcPr>
          <w:p w14:paraId="0AD2B0BF" w14:textId="77777777" w:rsidR="00840751" w:rsidRPr="00B44B19" w:rsidRDefault="00840751" w:rsidP="00840751">
            <w:pPr>
              <w:rPr>
                <w:rFonts w:eastAsia="Calibri" w:cs="Times New Roman"/>
                <w:sz w:val="22"/>
                <w:lang w:val="fr-BE"/>
              </w:rPr>
            </w:pPr>
            <w:r w:rsidRPr="00B44B19">
              <w:rPr>
                <w:rFonts w:eastAsia="Calibri" w:cs="Times New Roman"/>
                <w:sz w:val="22"/>
                <w:lang w:val="fr-BE"/>
              </w:rPr>
              <w:t>–</w:t>
            </w:r>
          </w:p>
        </w:tc>
        <w:tc>
          <w:tcPr>
            <w:tcW w:w="7911" w:type="dxa"/>
          </w:tcPr>
          <w:p w14:paraId="4FD34B54" w14:textId="77777777" w:rsidR="00840751" w:rsidRPr="00B44B19" w:rsidRDefault="00840751" w:rsidP="008F33A0">
            <w:pPr>
              <w:rPr>
                <w:rFonts w:eastAsia="Calibri" w:cs="Times New Roman"/>
                <w:sz w:val="22"/>
                <w:lang w:val="fr-BE"/>
              </w:rPr>
            </w:pPr>
            <w:r w:rsidRPr="00B44B19">
              <w:rPr>
                <w:rFonts w:eastAsia="Calibri" w:cs="Times New Roman"/>
                <w:sz w:val="22"/>
              </w:rPr>
              <w:t>aktyvios darbo rinkos politika</w:t>
            </w:r>
          </w:p>
        </w:tc>
      </w:tr>
      <w:tr w:rsidR="00840751" w:rsidRPr="00B44B19" w14:paraId="49F183D0" w14:textId="77777777" w:rsidTr="00F8763F">
        <w:tc>
          <w:tcPr>
            <w:tcW w:w="1758" w:type="dxa"/>
          </w:tcPr>
          <w:p w14:paraId="5C08F309" w14:textId="77777777" w:rsidR="00840751" w:rsidRPr="00B44B19" w:rsidRDefault="00840751" w:rsidP="008F33A0">
            <w:pPr>
              <w:rPr>
                <w:rFonts w:eastAsia="Calibri" w:cs="Times New Roman"/>
                <w:sz w:val="22"/>
              </w:rPr>
            </w:pPr>
            <w:r w:rsidRPr="00B44B19">
              <w:rPr>
                <w:rFonts w:eastAsia="Calibri" w:cs="Times New Roman"/>
                <w:sz w:val="22"/>
              </w:rPr>
              <w:t>AEI</w:t>
            </w:r>
          </w:p>
        </w:tc>
        <w:tc>
          <w:tcPr>
            <w:tcW w:w="236" w:type="dxa"/>
          </w:tcPr>
          <w:p w14:paraId="5E6098FA" w14:textId="77777777" w:rsidR="00840751" w:rsidRPr="00B44B19" w:rsidRDefault="00840751" w:rsidP="00840751">
            <w:pPr>
              <w:rPr>
                <w:rFonts w:eastAsia="Calibri" w:cs="Times New Roman"/>
                <w:sz w:val="22"/>
              </w:rPr>
            </w:pPr>
            <w:r w:rsidRPr="00B44B19">
              <w:rPr>
                <w:rFonts w:eastAsia="Calibri" w:cs="Times New Roman"/>
                <w:sz w:val="22"/>
              </w:rPr>
              <w:t>–</w:t>
            </w:r>
          </w:p>
        </w:tc>
        <w:tc>
          <w:tcPr>
            <w:tcW w:w="7911" w:type="dxa"/>
          </w:tcPr>
          <w:p w14:paraId="3AD9A090" w14:textId="77777777" w:rsidR="00840751" w:rsidRPr="00B44B19" w:rsidRDefault="00840751" w:rsidP="008F33A0">
            <w:pPr>
              <w:rPr>
                <w:rFonts w:eastAsia="Calibri" w:cs="Times New Roman"/>
                <w:sz w:val="22"/>
              </w:rPr>
            </w:pPr>
            <w:r w:rsidRPr="00B44B19">
              <w:rPr>
                <w:rFonts w:eastAsia="Calibri" w:cs="Times New Roman"/>
                <w:sz w:val="22"/>
              </w:rPr>
              <w:t>atsinaujinantys energijos ištekliai</w:t>
            </w:r>
          </w:p>
        </w:tc>
      </w:tr>
      <w:tr w:rsidR="00840751" w:rsidRPr="00B44B19" w14:paraId="1C66F49E" w14:textId="77777777" w:rsidTr="00F8763F">
        <w:tc>
          <w:tcPr>
            <w:tcW w:w="1758" w:type="dxa"/>
          </w:tcPr>
          <w:p w14:paraId="515A91B0" w14:textId="77777777" w:rsidR="00840751" w:rsidRPr="00B44B19" w:rsidRDefault="00840751" w:rsidP="008F33A0">
            <w:pPr>
              <w:rPr>
                <w:rFonts w:eastAsia="Calibri" w:cs="Times New Roman"/>
                <w:sz w:val="22"/>
              </w:rPr>
            </w:pPr>
            <w:r w:rsidRPr="00B44B19">
              <w:rPr>
                <w:rFonts w:eastAsia="Calibri" w:cs="Times New Roman"/>
                <w:sz w:val="22"/>
              </w:rPr>
              <w:t>APV</w:t>
            </w:r>
          </w:p>
        </w:tc>
        <w:tc>
          <w:tcPr>
            <w:tcW w:w="236" w:type="dxa"/>
          </w:tcPr>
          <w:p w14:paraId="1A93DF96" w14:textId="77777777" w:rsidR="00840751" w:rsidRPr="00B44B19" w:rsidRDefault="00840751" w:rsidP="00840751">
            <w:pPr>
              <w:rPr>
                <w:rFonts w:eastAsia="Calibri" w:cs="Times New Roman"/>
                <w:sz w:val="22"/>
              </w:rPr>
            </w:pPr>
            <w:r w:rsidRPr="00B44B19">
              <w:rPr>
                <w:rFonts w:eastAsia="Calibri" w:cs="Times New Roman"/>
                <w:sz w:val="22"/>
              </w:rPr>
              <w:t>–</w:t>
            </w:r>
          </w:p>
        </w:tc>
        <w:tc>
          <w:tcPr>
            <w:tcW w:w="7911" w:type="dxa"/>
          </w:tcPr>
          <w:p w14:paraId="35F53E62" w14:textId="77777777" w:rsidR="00840751" w:rsidRPr="00B44B19" w:rsidRDefault="00840751" w:rsidP="008F33A0">
            <w:pPr>
              <w:rPr>
                <w:rFonts w:eastAsia="Calibri" w:cs="Times New Roman"/>
                <w:sz w:val="22"/>
              </w:rPr>
            </w:pPr>
            <w:r w:rsidRPr="00B44B19">
              <w:rPr>
                <w:rFonts w:eastAsia="Calibri" w:cs="Times New Roman"/>
                <w:sz w:val="22"/>
              </w:rPr>
              <w:t>aukšta pridėtinė vertė</w:t>
            </w:r>
          </w:p>
        </w:tc>
      </w:tr>
      <w:tr w:rsidR="00840751" w:rsidRPr="00B44B19" w14:paraId="416132DA" w14:textId="77777777" w:rsidTr="00F8763F">
        <w:tc>
          <w:tcPr>
            <w:tcW w:w="1758" w:type="dxa"/>
          </w:tcPr>
          <w:p w14:paraId="34C32206" w14:textId="77777777" w:rsidR="00840751" w:rsidRPr="00B44B19" w:rsidRDefault="00840751" w:rsidP="008F33A0">
            <w:pPr>
              <w:rPr>
                <w:rFonts w:eastAsia="Calibri" w:cs="Times New Roman"/>
                <w:sz w:val="22"/>
              </w:rPr>
            </w:pPr>
            <w:r w:rsidRPr="00B44B19">
              <w:rPr>
                <w:rFonts w:eastAsia="Calibri" w:cs="Times New Roman"/>
                <w:sz w:val="22"/>
              </w:rPr>
              <w:t>ASPĮ</w:t>
            </w:r>
          </w:p>
        </w:tc>
        <w:tc>
          <w:tcPr>
            <w:tcW w:w="236" w:type="dxa"/>
          </w:tcPr>
          <w:p w14:paraId="3CFD04BD" w14:textId="77777777" w:rsidR="00840751" w:rsidRPr="00B44B19" w:rsidRDefault="00840751" w:rsidP="00840751">
            <w:pPr>
              <w:rPr>
                <w:rFonts w:eastAsia="Calibri" w:cs="Times New Roman"/>
                <w:sz w:val="22"/>
              </w:rPr>
            </w:pPr>
            <w:r w:rsidRPr="00B44B19">
              <w:rPr>
                <w:rFonts w:eastAsia="Calibri" w:cs="Times New Roman"/>
                <w:sz w:val="22"/>
              </w:rPr>
              <w:t>–</w:t>
            </w:r>
          </w:p>
        </w:tc>
        <w:tc>
          <w:tcPr>
            <w:tcW w:w="7911" w:type="dxa"/>
          </w:tcPr>
          <w:p w14:paraId="51ABA837" w14:textId="77777777" w:rsidR="00840751" w:rsidRPr="00B44B19" w:rsidRDefault="00840751" w:rsidP="008F33A0">
            <w:pPr>
              <w:rPr>
                <w:rFonts w:eastAsia="Calibri" w:cs="Times New Roman"/>
                <w:sz w:val="22"/>
              </w:rPr>
            </w:pPr>
            <w:r w:rsidRPr="00B44B19">
              <w:rPr>
                <w:rFonts w:eastAsia="Calibri" w:cs="Times New Roman"/>
                <w:sz w:val="22"/>
              </w:rPr>
              <w:t>asmens sveikatos priežiūros įstaigos</w:t>
            </w:r>
          </w:p>
        </w:tc>
      </w:tr>
      <w:tr w:rsidR="00404851" w:rsidRPr="00B44B19" w14:paraId="69C6D701" w14:textId="77777777" w:rsidTr="00F8763F">
        <w:tc>
          <w:tcPr>
            <w:tcW w:w="1758" w:type="dxa"/>
          </w:tcPr>
          <w:p w14:paraId="6C651EE4" w14:textId="344AA3C8" w:rsidR="00404851" w:rsidRPr="00B44B19" w:rsidRDefault="00404851" w:rsidP="00404851">
            <w:pPr>
              <w:rPr>
                <w:rFonts w:eastAsia="Calibri" w:cs="Times New Roman"/>
                <w:sz w:val="22"/>
              </w:rPr>
            </w:pPr>
            <w:r w:rsidRPr="00B44B19">
              <w:rPr>
                <w:rFonts w:eastAsia="Calibri" w:cs="Times New Roman"/>
                <w:sz w:val="22"/>
              </w:rPr>
              <w:t>ATLPS</w:t>
            </w:r>
          </w:p>
        </w:tc>
        <w:tc>
          <w:tcPr>
            <w:tcW w:w="236" w:type="dxa"/>
          </w:tcPr>
          <w:p w14:paraId="7E5F11C7" w14:textId="2E79EED2"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2039F05D" w14:textId="16CBCCDA" w:rsidR="00404851" w:rsidRPr="00B44B19" w:rsidRDefault="00404851" w:rsidP="00404851">
            <w:pPr>
              <w:rPr>
                <w:rFonts w:eastAsia="Calibri" w:cs="Times New Roman"/>
                <w:sz w:val="22"/>
              </w:rPr>
            </w:pPr>
            <w:r w:rsidRPr="00B44B19">
              <w:rPr>
                <w:rFonts w:eastAsia="Calibri" w:cs="Times New Roman"/>
                <w:sz w:val="22"/>
              </w:rPr>
              <w:t>ES Apyvartinių taršos leidimų (ATL) prekybos sistema</w:t>
            </w:r>
          </w:p>
        </w:tc>
      </w:tr>
      <w:tr w:rsidR="00404851" w:rsidRPr="00B44B19" w14:paraId="3B4276DE" w14:textId="77777777" w:rsidTr="00F8763F">
        <w:tc>
          <w:tcPr>
            <w:tcW w:w="1758" w:type="dxa"/>
          </w:tcPr>
          <w:p w14:paraId="48E8AC1D" w14:textId="77777777" w:rsidR="00404851" w:rsidRPr="00B44B19" w:rsidRDefault="00404851" w:rsidP="00404851">
            <w:pPr>
              <w:rPr>
                <w:rFonts w:eastAsia="Calibri" w:cs="Times New Roman"/>
                <w:sz w:val="22"/>
              </w:rPr>
            </w:pPr>
            <w:r w:rsidRPr="00B44B19">
              <w:rPr>
                <w:rFonts w:eastAsia="Calibri" w:cs="Times New Roman"/>
                <w:sz w:val="22"/>
              </w:rPr>
              <w:t>BIVP</w:t>
            </w:r>
          </w:p>
        </w:tc>
        <w:tc>
          <w:tcPr>
            <w:tcW w:w="236" w:type="dxa"/>
          </w:tcPr>
          <w:p w14:paraId="211FA2FD"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55BC7E34" w14:textId="77777777" w:rsidR="00404851" w:rsidRPr="00B44B19" w:rsidRDefault="00404851" w:rsidP="00404851">
            <w:pPr>
              <w:rPr>
                <w:rFonts w:eastAsia="Calibri" w:cs="Times New Roman"/>
                <w:sz w:val="22"/>
              </w:rPr>
            </w:pPr>
            <w:r w:rsidRPr="00B44B19">
              <w:rPr>
                <w:rFonts w:eastAsia="Calibri" w:cs="Times New Roman"/>
                <w:sz w:val="22"/>
              </w:rPr>
              <w:t>bendruomenės inicijuota vietos plėtra</w:t>
            </w:r>
          </w:p>
        </w:tc>
      </w:tr>
      <w:tr w:rsidR="00404851" w:rsidRPr="00B44B19" w14:paraId="2929D817" w14:textId="77777777" w:rsidTr="00F8763F">
        <w:tc>
          <w:tcPr>
            <w:tcW w:w="1758" w:type="dxa"/>
          </w:tcPr>
          <w:p w14:paraId="7FD704A7" w14:textId="77777777" w:rsidR="00404851" w:rsidRPr="00B44B19" w:rsidRDefault="00404851" w:rsidP="00404851">
            <w:pPr>
              <w:rPr>
                <w:rFonts w:eastAsia="Calibri" w:cs="Times New Roman"/>
                <w:sz w:val="22"/>
              </w:rPr>
            </w:pPr>
            <w:r w:rsidRPr="00B44B19">
              <w:rPr>
                <w:rFonts w:eastAsia="Calibri" w:cs="Times New Roman"/>
                <w:sz w:val="22"/>
              </w:rPr>
              <w:t>BJR</w:t>
            </w:r>
          </w:p>
        </w:tc>
        <w:tc>
          <w:tcPr>
            <w:tcW w:w="236" w:type="dxa"/>
          </w:tcPr>
          <w:p w14:paraId="76DA6AFC"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34472A2D" w14:textId="77777777" w:rsidR="00404851" w:rsidRPr="00B44B19" w:rsidRDefault="00404851" w:rsidP="00404851">
            <w:pPr>
              <w:rPr>
                <w:rFonts w:eastAsia="Calibri" w:cs="Times New Roman"/>
                <w:sz w:val="22"/>
              </w:rPr>
            </w:pPr>
            <w:r w:rsidRPr="00B44B19">
              <w:rPr>
                <w:rFonts w:eastAsia="Calibri" w:cs="Times New Roman"/>
                <w:sz w:val="22"/>
              </w:rPr>
              <w:t>Baltijos jūros regionas</w:t>
            </w:r>
          </w:p>
        </w:tc>
      </w:tr>
      <w:tr w:rsidR="00404851" w:rsidRPr="00B44B19" w14:paraId="36B1318E" w14:textId="77777777" w:rsidTr="00F8763F">
        <w:tc>
          <w:tcPr>
            <w:tcW w:w="1758" w:type="dxa"/>
          </w:tcPr>
          <w:p w14:paraId="4553B8BB" w14:textId="77777777" w:rsidR="00404851" w:rsidRPr="00B44B19" w:rsidRDefault="00404851" w:rsidP="00404851">
            <w:pPr>
              <w:rPr>
                <w:rFonts w:eastAsia="Calibri" w:cs="Times New Roman"/>
                <w:sz w:val="22"/>
              </w:rPr>
            </w:pPr>
            <w:r w:rsidRPr="00B44B19">
              <w:rPr>
                <w:rFonts w:eastAsia="Calibri" w:cs="Times New Roman"/>
                <w:sz w:val="22"/>
              </w:rPr>
              <w:t>BJRS</w:t>
            </w:r>
          </w:p>
        </w:tc>
        <w:tc>
          <w:tcPr>
            <w:tcW w:w="236" w:type="dxa"/>
          </w:tcPr>
          <w:p w14:paraId="37E2B7A0"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0FAB38DD" w14:textId="77777777" w:rsidR="00404851" w:rsidRPr="00B44B19" w:rsidRDefault="00404851" w:rsidP="00404851">
            <w:pPr>
              <w:rPr>
                <w:rFonts w:eastAsia="Calibri" w:cs="Times New Roman"/>
                <w:sz w:val="22"/>
              </w:rPr>
            </w:pPr>
            <w:r w:rsidRPr="00B44B19">
              <w:rPr>
                <w:rFonts w:eastAsia="Calibri" w:cs="Times New Roman"/>
                <w:sz w:val="22"/>
              </w:rPr>
              <w:t>ES Baltijos jūros regiono strategija</w:t>
            </w:r>
          </w:p>
        </w:tc>
      </w:tr>
      <w:tr w:rsidR="00404851" w:rsidRPr="00B44B19" w14:paraId="21FC5A46" w14:textId="77777777" w:rsidTr="00F8763F">
        <w:tc>
          <w:tcPr>
            <w:tcW w:w="1758" w:type="dxa"/>
          </w:tcPr>
          <w:p w14:paraId="46C6E210" w14:textId="77777777" w:rsidR="00404851" w:rsidRPr="00B44B19" w:rsidRDefault="00404851" w:rsidP="00404851">
            <w:pPr>
              <w:rPr>
                <w:rFonts w:eastAsia="Calibri" w:cs="Times New Roman"/>
                <w:sz w:val="22"/>
              </w:rPr>
            </w:pPr>
            <w:r w:rsidRPr="00B44B19">
              <w:rPr>
                <w:rFonts w:eastAsia="Calibri" w:cs="Times New Roman"/>
                <w:sz w:val="22"/>
              </w:rPr>
              <w:t>BNR</w:t>
            </w:r>
          </w:p>
        </w:tc>
        <w:tc>
          <w:tcPr>
            <w:tcW w:w="236" w:type="dxa"/>
          </w:tcPr>
          <w:p w14:paraId="56DB529B"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36FCF97F" w14:textId="77777777" w:rsidR="00404851" w:rsidRPr="00B44B19" w:rsidRDefault="00404851" w:rsidP="00404851">
            <w:pPr>
              <w:rPr>
                <w:rFonts w:eastAsia="Calibri" w:cs="Times New Roman"/>
                <w:sz w:val="22"/>
              </w:rPr>
            </w:pPr>
            <w:r w:rsidRPr="00B44B19">
              <w:rPr>
                <w:rFonts w:eastAsia="Calibri" w:cs="Times New Roman"/>
                <w:sz w:val="22"/>
              </w:rPr>
              <w:t>Europos Sąjungos Bendrųjų nuostatų reglamentas</w:t>
            </w:r>
          </w:p>
        </w:tc>
      </w:tr>
      <w:tr w:rsidR="00404851" w:rsidRPr="00B44B19" w14:paraId="6A01E6C1" w14:textId="77777777" w:rsidTr="00F8763F">
        <w:tc>
          <w:tcPr>
            <w:tcW w:w="1758" w:type="dxa"/>
          </w:tcPr>
          <w:p w14:paraId="692000CD" w14:textId="77777777" w:rsidR="00404851" w:rsidRPr="00B44B19" w:rsidRDefault="00404851" w:rsidP="00404851">
            <w:pPr>
              <w:rPr>
                <w:rFonts w:eastAsia="Calibri" w:cs="Times New Roman"/>
                <w:sz w:val="22"/>
              </w:rPr>
            </w:pPr>
            <w:r w:rsidRPr="00B44B19">
              <w:rPr>
                <w:rFonts w:eastAsia="Calibri" w:cs="Times New Roman"/>
                <w:sz w:val="22"/>
              </w:rPr>
              <w:t>BNR politikos tikslai</w:t>
            </w:r>
          </w:p>
        </w:tc>
        <w:tc>
          <w:tcPr>
            <w:tcW w:w="236" w:type="dxa"/>
          </w:tcPr>
          <w:p w14:paraId="0BCB9C5B"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1D3A0768" w14:textId="77777777" w:rsidR="00404851" w:rsidRPr="00B44B19" w:rsidRDefault="00404851" w:rsidP="00404851">
            <w:pPr>
              <w:rPr>
                <w:rFonts w:eastAsia="Calibri" w:cs="Times New Roman"/>
                <w:bCs/>
                <w:sz w:val="22"/>
                <w:lang w:bidi="lt-LT"/>
              </w:rPr>
            </w:pPr>
            <w:r w:rsidRPr="00B44B19">
              <w:rPr>
                <w:rFonts w:eastAsia="Calibri" w:cs="Times New Roman"/>
                <w:bCs/>
                <w:i/>
                <w:sz w:val="22"/>
                <w:lang w:bidi="lt-LT"/>
              </w:rPr>
              <w:t>Konkurencingesnė ir pažangesnė Europa</w:t>
            </w:r>
            <w:r w:rsidRPr="00B44B19">
              <w:rPr>
                <w:rFonts w:eastAsia="Calibri" w:cs="Times New Roman"/>
                <w:bCs/>
                <w:sz w:val="22"/>
                <w:lang w:bidi="lt-LT"/>
              </w:rPr>
              <w:t xml:space="preserve"> – konkurencingesnė ir pažangesnė Europa skatinant novatorišką ir pažangią ekonomikos pertvarką ir regionų IRT jungtis;</w:t>
            </w:r>
          </w:p>
          <w:p w14:paraId="563AEB09" w14:textId="77777777" w:rsidR="00404851" w:rsidRPr="00B44B19" w:rsidRDefault="00404851" w:rsidP="00404851">
            <w:pPr>
              <w:rPr>
                <w:rFonts w:eastAsia="Calibri" w:cs="Times New Roman"/>
                <w:bCs/>
                <w:sz w:val="22"/>
                <w:lang w:bidi="lt-LT"/>
              </w:rPr>
            </w:pPr>
            <w:r w:rsidRPr="00B44B19">
              <w:rPr>
                <w:rFonts w:eastAsia="Calibri" w:cs="Times New Roman"/>
                <w:bCs/>
                <w:i/>
                <w:sz w:val="22"/>
                <w:lang w:bidi="lt-LT"/>
              </w:rPr>
              <w:t>Žalesnė Europa</w:t>
            </w:r>
            <w:r w:rsidRPr="00B44B19">
              <w:rPr>
                <w:rFonts w:eastAsia="Calibri" w:cs="Times New Roman"/>
                <w:bCs/>
                <w:sz w:val="22"/>
                <w:lang w:bidi="lt-LT"/>
              </w:rPr>
              <w:t xml:space="preserve"> – žalesnė, mažo anglies dioksido kiekio ir prie nulinio anglies dioksido kiekio technologijų pereinanti ekonomika ir atspari</w:t>
            </w:r>
            <w:r w:rsidRPr="00B44B19">
              <w:rPr>
                <w:rFonts w:eastAsia="Calibri" w:cs="Times New Roman"/>
                <w:b/>
                <w:bCs/>
                <w:sz w:val="22"/>
                <w:lang w:bidi="lt-LT"/>
              </w:rPr>
              <w:t xml:space="preserve"> </w:t>
            </w:r>
            <w:r w:rsidRPr="00B44B19">
              <w:rPr>
                <w:rFonts w:eastAsia="Calibri" w:cs="Times New Roman"/>
                <w:bCs/>
                <w:sz w:val="22"/>
                <w:lang w:bidi="lt-LT"/>
              </w:rPr>
              <w:t>Europa, skatinant perėjimą prie švarios ir teisingos energetikos, žaliąsias ir mėlynąsias</w:t>
            </w:r>
            <w:r w:rsidRPr="00B44B19">
              <w:rPr>
                <w:rFonts w:eastAsia="Calibri" w:cs="Times New Roman"/>
                <w:b/>
                <w:bCs/>
                <w:sz w:val="22"/>
                <w:lang w:bidi="lt-LT"/>
              </w:rPr>
              <w:t xml:space="preserve"> </w:t>
            </w:r>
            <w:r w:rsidRPr="00B44B19">
              <w:rPr>
                <w:rFonts w:eastAsia="Calibri" w:cs="Times New Roman"/>
                <w:bCs/>
                <w:sz w:val="22"/>
                <w:lang w:bidi="lt-LT"/>
              </w:rPr>
              <w:t>investicijas, žiedinę ekonomiką, klimato kaitos švelninimą bei prisitaikymą prie klimato kaitos, rizikos prevenciją bei valdymą ir tvarų judumą mieste;</w:t>
            </w:r>
          </w:p>
          <w:p w14:paraId="2D579256" w14:textId="77777777" w:rsidR="00404851" w:rsidRPr="00B44B19" w:rsidRDefault="00404851" w:rsidP="00404851">
            <w:pPr>
              <w:rPr>
                <w:rFonts w:eastAsia="Calibri" w:cs="Times New Roman"/>
                <w:bCs/>
                <w:sz w:val="22"/>
                <w:lang w:bidi="lt-LT"/>
              </w:rPr>
            </w:pPr>
            <w:r w:rsidRPr="00B44B19">
              <w:rPr>
                <w:rFonts w:eastAsia="Calibri" w:cs="Times New Roman"/>
                <w:bCs/>
                <w:i/>
                <w:sz w:val="22"/>
                <w:lang w:bidi="lt-LT"/>
              </w:rPr>
              <w:t>Geriau sujungta Europa</w:t>
            </w:r>
            <w:r w:rsidRPr="00B44B19">
              <w:rPr>
                <w:rFonts w:eastAsia="Calibri" w:cs="Times New Roman"/>
                <w:bCs/>
                <w:sz w:val="22"/>
                <w:lang w:bidi="lt-LT"/>
              </w:rPr>
              <w:t xml:space="preserve"> – geriau sujungta Europa, skatinant judumą;</w:t>
            </w:r>
          </w:p>
          <w:p w14:paraId="1395AD75" w14:textId="77777777" w:rsidR="00404851" w:rsidRPr="00B44B19" w:rsidRDefault="00404851" w:rsidP="00404851">
            <w:pPr>
              <w:rPr>
                <w:rFonts w:eastAsia="Calibri" w:cs="Times New Roman"/>
                <w:bCs/>
                <w:sz w:val="22"/>
                <w:lang w:bidi="lt-LT"/>
              </w:rPr>
            </w:pPr>
            <w:r w:rsidRPr="00B44B19">
              <w:rPr>
                <w:rFonts w:eastAsia="Calibri" w:cs="Times New Roman"/>
                <w:bCs/>
                <w:i/>
                <w:sz w:val="22"/>
                <w:lang w:bidi="lt-LT"/>
              </w:rPr>
              <w:lastRenderedPageBreak/>
              <w:t>Socialiai atsakingesnė ir įtraukesnė Europa</w:t>
            </w:r>
            <w:r w:rsidRPr="00B44B19">
              <w:rPr>
                <w:rFonts w:eastAsia="Calibri" w:cs="Times New Roman"/>
                <w:bCs/>
                <w:sz w:val="22"/>
                <w:lang w:bidi="lt-LT"/>
              </w:rPr>
              <w:t xml:space="preserve"> – socialiai atsakingesnė ir įtraukesnė Europa, įgyvendinant Europos socialinių teisių ramstį;</w:t>
            </w:r>
          </w:p>
          <w:p w14:paraId="702C2E87" w14:textId="77777777" w:rsidR="00404851" w:rsidRPr="00B44B19" w:rsidRDefault="00404851" w:rsidP="00404851">
            <w:pPr>
              <w:rPr>
                <w:rFonts w:eastAsia="Calibri" w:cs="Times New Roman"/>
                <w:sz w:val="22"/>
              </w:rPr>
            </w:pPr>
            <w:r w:rsidRPr="00B44B19">
              <w:rPr>
                <w:rFonts w:eastAsia="Calibri" w:cs="Times New Roman"/>
                <w:bCs/>
                <w:i/>
                <w:sz w:val="22"/>
                <w:lang w:bidi="lt-LT"/>
              </w:rPr>
              <w:t>Piliečiams artimesnė Europa</w:t>
            </w:r>
            <w:r w:rsidRPr="00B44B19">
              <w:rPr>
                <w:rFonts w:eastAsia="Calibri" w:cs="Times New Roman"/>
                <w:bCs/>
                <w:sz w:val="22"/>
                <w:lang w:bidi="lt-LT"/>
              </w:rPr>
              <w:t xml:space="preserve"> – piliečiams artimesnė Europa, skatinant tvarią ir integruotą visų rūšių vietovių ir vietos iniciatyvų plėtrą.</w:t>
            </w:r>
          </w:p>
        </w:tc>
      </w:tr>
      <w:tr w:rsidR="00404851" w:rsidRPr="00B44B19" w14:paraId="06B124C1" w14:textId="77777777" w:rsidTr="00F8763F">
        <w:tc>
          <w:tcPr>
            <w:tcW w:w="1758" w:type="dxa"/>
          </w:tcPr>
          <w:p w14:paraId="65FE61BD" w14:textId="77777777" w:rsidR="00404851" w:rsidRPr="00B44B19" w:rsidRDefault="00404851" w:rsidP="00404851">
            <w:pPr>
              <w:rPr>
                <w:rFonts w:eastAsia="Calibri" w:cs="Times New Roman"/>
                <w:sz w:val="22"/>
              </w:rPr>
            </w:pPr>
            <w:r w:rsidRPr="00B44B19">
              <w:rPr>
                <w:rFonts w:eastAsia="Calibri" w:cs="Times New Roman"/>
                <w:sz w:val="22"/>
              </w:rPr>
              <w:lastRenderedPageBreak/>
              <w:t>BU</w:t>
            </w:r>
          </w:p>
        </w:tc>
        <w:tc>
          <w:tcPr>
            <w:tcW w:w="236" w:type="dxa"/>
          </w:tcPr>
          <w:p w14:paraId="6AF87184"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5827B755" w14:textId="77777777" w:rsidR="00404851" w:rsidRPr="00B44B19" w:rsidRDefault="00404851" w:rsidP="00404851">
            <w:pPr>
              <w:rPr>
                <w:rFonts w:eastAsia="Calibri" w:cs="Times New Roman"/>
                <w:sz w:val="22"/>
              </w:rPr>
            </w:pPr>
            <w:r w:rsidRPr="00B44B19">
              <w:rPr>
                <w:rFonts w:eastAsia="Calibri" w:cs="Times New Roman"/>
                <w:sz w:val="22"/>
              </w:rPr>
              <w:t>bendrasis ugdymas</w:t>
            </w:r>
          </w:p>
        </w:tc>
      </w:tr>
      <w:tr w:rsidR="00404851" w:rsidRPr="00B44B19" w14:paraId="3B9A7DA4" w14:textId="77777777" w:rsidTr="00F8763F">
        <w:tc>
          <w:tcPr>
            <w:tcW w:w="1758" w:type="dxa"/>
          </w:tcPr>
          <w:p w14:paraId="54DBB0AA" w14:textId="77777777" w:rsidR="00404851" w:rsidRPr="00B44B19" w:rsidRDefault="00404851" w:rsidP="00404851">
            <w:pPr>
              <w:rPr>
                <w:rFonts w:eastAsia="Calibri" w:cs="Times New Roman"/>
                <w:sz w:val="22"/>
              </w:rPr>
            </w:pPr>
            <w:r w:rsidRPr="00B44B19">
              <w:rPr>
                <w:rFonts w:eastAsia="Calibri" w:cs="Times New Roman"/>
                <w:sz w:val="22"/>
              </w:rPr>
              <w:t>BVP</w:t>
            </w:r>
          </w:p>
        </w:tc>
        <w:tc>
          <w:tcPr>
            <w:tcW w:w="236" w:type="dxa"/>
          </w:tcPr>
          <w:p w14:paraId="0B155E93"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4DD9E7B2" w14:textId="77777777" w:rsidR="00404851" w:rsidRPr="00B44B19" w:rsidRDefault="00404851" w:rsidP="00404851">
            <w:pPr>
              <w:rPr>
                <w:rFonts w:eastAsia="Calibri" w:cs="Times New Roman"/>
                <w:sz w:val="22"/>
              </w:rPr>
            </w:pPr>
            <w:r w:rsidRPr="00B44B19">
              <w:rPr>
                <w:rFonts w:eastAsia="Calibri" w:cs="Times New Roman"/>
                <w:sz w:val="22"/>
              </w:rPr>
              <w:t>bendrasis vidaus produktas</w:t>
            </w:r>
          </w:p>
        </w:tc>
      </w:tr>
      <w:tr w:rsidR="00404851" w:rsidRPr="00B44B19" w14:paraId="170F2E62" w14:textId="77777777" w:rsidTr="00F8763F">
        <w:tc>
          <w:tcPr>
            <w:tcW w:w="1758" w:type="dxa"/>
          </w:tcPr>
          <w:p w14:paraId="2D6E69D1" w14:textId="21573237" w:rsidR="00404851" w:rsidRPr="00B44B19" w:rsidRDefault="00404851" w:rsidP="00404851">
            <w:pPr>
              <w:rPr>
                <w:rFonts w:eastAsia="Calibri" w:cs="Times New Roman"/>
                <w:sz w:val="22"/>
              </w:rPr>
            </w:pPr>
            <w:r w:rsidRPr="00B44B19">
              <w:rPr>
                <w:rFonts w:eastAsia="Calibri" w:cs="Times New Roman"/>
                <w:sz w:val="22"/>
              </w:rPr>
              <w:t>CCS ir CCU</w:t>
            </w:r>
          </w:p>
        </w:tc>
        <w:tc>
          <w:tcPr>
            <w:tcW w:w="236" w:type="dxa"/>
          </w:tcPr>
          <w:p w14:paraId="7FDE4200" w14:textId="292E2A72"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0C96FA5B" w14:textId="6B1F0F4F" w:rsidR="00404851" w:rsidRPr="00B44B19" w:rsidRDefault="00404851" w:rsidP="00404851">
            <w:pPr>
              <w:rPr>
                <w:rFonts w:eastAsia="Calibri" w:cs="Times New Roman"/>
                <w:sz w:val="22"/>
              </w:rPr>
            </w:pPr>
            <w:r w:rsidRPr="00B44B19">
              <w:rPr>
                <w:rFonts w:eastAsia="Calibri" w:cs="Times New Roman"/>
                <w:sz w:val="22"/>
              </w:rPr>
              <w:t>anglies surinkimo, panaudojimo ir saugojimo technologijos</w:t>
            </w:r>
          </w:p>
        </w:tc>
      </w:tr>
      <w:tr w:rsidR="00404851" w:rsidRPr="00B44B19" w14:paraId="277E29CB" w14:textId="77777777" w:rsidTr="00F8763F">
        <w:tc>
          <w:tcPr>
            <w:tcW w:w="1758" w:type="dxa"/>
          </w:tcPr>
          <w:p w14:paraId="30D2DE96" w14:textId="77777777" w:rsidR="00404851" w:rsidRPr="00B44B19" w:rsidRDefault="00404851" w:rsidP="00404851">
            <w:pPr>
              <w:rPr>
                <w:rFonts w:eastAsia="Calibri" w:cs="Times New Roman"/>
                <w:sz w:val="22"/>
              </w:rPr>
            </w:pPr>
            <w:r w:rsidRPr="00B44B19">
              <w:rPr>
                <w:rFonts w:eastAsia="Calibri" w:cs="Times New Roman"/>
                <w:sz w:val="22"/>
              </w:rPr>
              <w:t>CŠT</w:t>
            </w:r>
          </w:p>
        </w:tc>
        <w:tc>
          <w:tcPr>
            <w:tcW w:w="236" w:type="dxa"/>
          </w:tcPr>
          <w:p w14:paraId="24B1EA73"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587BFBF7" w14:textId="77777777" w:rsidR="00404851" w:rsidRPr="00B44B19" w:rsidRDefault="00404851" w:rsidP="00404851">
            <w:pPr>
              <w:rPr>
                <w:rFonts w:eastAsia="Calibri" w:cs="Times New Roman"/>
                <w:sz w:val="22"/>
              </w:rPr>
            </w:pPr>
            <w:r w:rsidRPr="00B44B19">
              <w:rPr>
                <w:rFonts w:eastAsia="Calibri" w:cs="Times New Roman"/>
                <w:sz w:val="22"/>
              </w:rPr>
              <w:t>centralizuotas šilumos tiekimas</w:t>
            </w:r>
          </w:p>
        </w:tc>
      </w:tr>
      <w:tr w:rsidR="00404851" w:rsidRPr="00B44B19" w14:paraId="399369CD" w14:textId="77777777" w:rsidTr="00F8763F">
        <w:tc>
          <w:tcPr>
            <w:tcW w:w="1758" w:type="dxa"/>
          </w:tcPr>
          <w:p w14:paraId="2E161C46" w14:textId="77777777" w:rsidR="00404851" w:rsidRPr="00B44B19" w:rsidRDefault="00404851" w:rsidP="00404851">
            <w:pPr>
              <w:rPr>
                <w:rFonts w:eastAsia="Calibri" w:cs="Times New Roman"/>
                <w:sz w:val="22"/>
              </w:rPr>
            </w:pPr>
            <w:r w:rsidRPr="00B44B19">
              <w:rPr>
                <w:rFonts w:eastAsia="Calibri" w:cs="Times New Roman"/>
                <w:sz w:val="22"/>
              </w:rPr>
              <w:t>CŠVT</w:t>
            </w:r>
          </w:p>
        </w:tc>
        <w:tc>
          <w:tcPr>
            <w:tcW w:w="236" w:type="dxa"/>
          </w:tcPr>
          <w:p w14:paraId="214786DE"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500DB988" w14:textId="77777777" w:rsidR="00404851" w:rsidRPr="00B44B19" w:rsidRDefault="00404851" w:rsidP="00404851">
            <w:pPr>
              <w:rPr>
                <w:rFonts w:eastAsia="Calibri" w:cs="Times New Roman"/>
                <w:sz w:val="22"/>
              </w:rPr>
            </w:pPr>
            <w:r w:rsidRPr="00B44B19">
              <w:rPr>
                <w:rFonts w:eastAsia="Calibri" w:cs="Times New Roman"/>
                <w:sz w:val="22"/>
              </w:rPr>
              <w:t>centralizuotos šilumos ir vėsumos tiekimas</w:t>
            </w:r>
          </w:p>
        </w:tc>
      </w:tr>
      <w:tr w:rsidR="00404851" w:rsidRPr="00B44B19" w14:paraId="4933F166" w14:textId="77777777" w:rsidTr="00F8763F">
        <w:tc>
          <w:tcPr>
            <w:tcW w:w="1758" w:type="dxa"/>
          </w:tcPr>
          <w:p w14:paraId="674EBDAE" w14:textId="77777777" w:rsidR="00404851" w:rsidRPr="00B44B19" w:rsidRDefault="00404851" w:rsidP="00404851">
            <w:pPr>
              <w:rPr>
                <w:rFonts w:eastAsia="Calibri" w:cs="Times New Roman"/>
                <w:sz w:val="22"/>
              </w:rPr>
            </w:pPr>
            <w:r w:rsidRPr="00B44B19">
              <w:rPr>
                <w:rFonts w:eastAsia="Calibri" w:cs="Times New Roman"/>
                <w:sz w:val="22"/>
              </w:rPr>
              <w:t>DESI</w:t>
            </w:r>
          </w:p>
        </w:tc>
        <w:tc>
          <w:tcPr>
            <w:tcW w:w="236" w:type="dxa"/>
          </w:tcPr>
          <w:p w14:paraId="52CF9EBE"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0209B366" w14:textId="77777777" w:rsidR="00404851" w:rsidRPr="00B44B19" w:rsidRDefault="00404851" w:rsidP="00404851">
            <w:pPr>
              <w:rPr>
                <w:rFonts w:eastAsia="Calibri" w:cs="Times New Roman"/>
                <w:sz w:val="22"/>
              </w:rPr>
            </w:pPr>
            <w:r w:rsidRPr="00B44B19">
              <w:rPr>
                <w:rFonts w:eastAsia="Calibri" w:cs="Times New Roman"/>
                <w:sz w:val="22"/>
              </w:rPr>
              <w:t>skaitmeninės ekonomikos ir visuomenės indeksas (</w:t>
            </w:r>
            <w:r w:rsidRPr="00B44B19">
              <w:rPr>
                <w:rFonts w:eastAsia="Calibri" w:cs="Times New Roman"/>
                <w:i/>
                <w:sz w:val="22"/>
              </w:rPr>
              <w:t>angl. Digital Economy and Society Index</w:t>
            </w:r>
            <w:r w:rsidRPr="00B44B19">
              <w:rPr>
                <w:rFonts w:eastAsia="Calibri" w:cs="Times New Roman"/>
                <w:sz w:val="22"/>
              </w:rPr>
              <w:t>)</w:t>
            </w:r>
          </w:p>
        </w:tc>
      </w:tr>
      <w:tr w:rsidR="00404851" w:rsidRPr="00B44B19" w14:paraId="409C4DDE" w14:textId="77777777" w:rsidTr="00F8763F">
        <w:tc>
          <w:tcPr>
            <w:tcW w:w="1758" w:type="dxa"/>
          </w:tcPr>
          <w:p w14:paraId="68C0A960" w14:textId="77777777" w:rsidR="00404851" w:rsidRPr="00B44B19" w:rsidRDefault="00404851" w:rsidP="00404851">
            <w:pPr>
              <w:rPr>
                <w:rFonts w:eastAsia="Calibri" w:cs="Times New Roman"/>
                <w:sz w:val="22"/>
              </w:rPr>
            </w:pPr>
            <w:r w:rsidRPr="00B44B19">
              <w:rPr>
                <w:rFonts w:eastAsia="Calibri" w:cs="Times New Roman"/>
                <w:sz w:val="22"/>
              </w:rPr>
              <w:t>DJMP</w:t>
            </w:r>
          </w:p>
        </w:tc>
        <w:tc>
          <w:tcPr>
            <w:tcW w:w="236" w:type="dxa"/>
          </w:tcPr>
          <w:p w14:paraId="422EB81E"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155A347D" w14:textId="77777777" w:rsidR="00404851" w:rsidRPr="00B44B19" w:rsidRDefault="00404851" w:rsidP="00404851">
            <w:pPr>
              <w:rPr>
                <w:rFonts w:eastAsia="Calibri" w:cs="Times New Roman"/>
                <w:sz w:val="22"/>
              </w:rPr>
            </w:pPr>
            <w:r w:rsidRPr="00B44B19">
              <w:rPr>
                <w:rFonts w:eastAsia="Calibri" w:cs="Times New Roman"/>
                <w:sz w:val="22"/>
              </w:rPr>
              <w:t>darnaus judumo mieste planas (-ai)</w:t>
            </w:r>
          </w:p>
        </w:tc>
      </w:tr>
      <w:tr w:rsidR="00404851" w:rsidRPr="00B44B19" w14:paraId="1F14F14D" w14:textId="77777777" w:rsidTr="00F8763F">
        <w:tc>
          <w:tcPr>
            <w:tcW w:w="1758" w:type="dxa"/>
          </w:tcPr>
          <w:p w14:paraId="476408CD" w14:textId="77777777" w:rsidR="00404851" w:rsidRPr="00B44B19" w:rsidRDefault="00404851" w:rsidP="00404851">
            <w:pPr>
              <w:rPr>
                <w:rFonts w:eastAsia="Calibri" w:cs="Times New Roman"/>
                <w:sz w:val="22"/>
              </w:rPr>
            </w:pPr>
            <w:r w:rsidRPr="00B44B19">
              <w:rPr>
                <w:rFonts w:eastAsia="Calibri" w:cs="Times New Roman"/>
                <w:sz w:val="22"/>
              </w:rPr>
              <w:t>DR</w:t>
            </w:r>
          </w:p>
        </w:tc>
        <w:tc>
          <w:tcPr>
            <w:tcW w:w="236" w:type="dxa"/>
          </w:tcPr>
          <w:p w14:paraId="63B2816E"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521C3473" w14:textId="77777777" w:rsidR="00404851" w:rsidRPr="00B44B19" w:rsidRDefault="00404851" w:rsidP="00404851">
            <w:pPr>
              <w:rPr>
                <w:rFonts w:eastAsia="Calibri" w:cs="Times New Roman"/>
                <w:sz w:val="22"/>
              </w:rPr>
            </w:pPr>
            <w:r w:rsidRPr="00B44B19">
              <w:rPr>
                <w:rFonts w:eastAsia="Calibri" w:cs="Times New Roman"/>
                <w:sz w:val="22"/>
              </w:rPr>
              <w:t>darbo rinka</w:t>
            </w:r>
          </w:p>
        </w:tc>
      </w:tr>
      <w:tr w:rsidR="00404851" w:rsidRPr="00B44B19" w14:paraId="63E55432" w14:textId="77777777" w:rsidTr="00F8763F">
        <w:tc>
          <w:tcPr>
            <w:tcW w:w="1758" w:type="dxa"/>
          </w:tcPr>
          <w:p w14:paraId="0179E26E" w14:textId="77777777" w:rsidR="00404851" w:rsidRPr="00B44B19" w:rsidRDefault="00404851" w:rsidP="00404851">
            <w:pPr>
              <w:rPr>
                <w:rFonts w:eastAsia="Calibri" w:cs="Times New Roman"/>
                <w:sz w:val="22"/>
              </w:rPr>
            </w:pPr>
            <w:r w:rsidRPr="00B44B19">
              <w:rPr>
                <w:rFonts w:eastAsia="Calibri" w:cs="Times New Roman"/>
                <w:sz w:val="22"/>
              </w:rPr>
              <w:t>EGADP</w:t>
            </w:r>
          </w:p>
        </w:tc>
        <w:tc>
          <w:tcPr>
            <w:tcW w:w="236" w:type="dxa"/>
          </w:tcPr>
          <w:p w14:paraId="3BF04611"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0BBCC52F" w14:textId="77777777" w:rsidR="00404851" w:rsidRPr="00B44B19" w:rsidRDefault="00404851" w:rsidP="00404851">
            <w:pPr>
              <w:rPr>
                <w:rFonts w:eastAsia="Calibri" w:cs="Times New Roman"/>
                <w:sz w:val="22"/>
              </w:rPr>
            </w:pPr>
            <w:r w:rsidRPr="00B44B19">
              <w:rPr>
                <w:rFonts w:eastAsia="Calibri" w:cs="Times New Roman"/>
                <w:sz w:val="22"/>
              </w:rPr>
              <w:t>Europos ekonomikos gaivinimo ir atsparumo didinimo priemonės (</w:t>
            </w:r>
            <w:r w:rsidRPr="00B44B19">
              <w:rPr>
                <w:rFonts w:eastAsia="Calibri" w:cs="Times New Roman"/>
                <w:i/>
                <w:sz w:val="22"/>
              </w:rPr>
              <w:t>angl. Recovery and Resilience Facility</w:t>
            </w:r>
            <w:r w:rsidRPr="00B44B19">
              <w:rPr>
                <w:rFonts w:eastAsia="Calibri" w:cs="Times New Roman"/>
                <w:sz w:val="22"/>
              </w:rPr>
              <w:t>)</w:t>
            </w:r>
          </w:p>
        </w:tc>
      </w:tr>
      <w:tr w:rsidR="00404851" w:rsidRPr="00B44B19" w14:paraId="7CA3048E" w14:textId="77777777" w:rsidTr="00F8763F">
        <w:tc>
          <w:tcPr>
            <w:tcW w:w="1758" w:type="dxa"/>
          </w:tcPr>
          <w:p w14:paraId="6FDBDDE0" w14:textId="77777777" w:rsidR="00404851" w:rsidRPr="00B44B19" w:rsidRDefault="00404851" w:rsidP="00404851">
            <w:pPr>
              <w:rPr>
                <w:rFonts w:eastAsia="Calibri" w:cs="Times New Roman"/>
                <w:sz w:val="22"/>
              </w:rPr>
            </w:pPr>
            <w:r w:rsidRPr="00B44B19">
              <w:rPr>
                <w:rFonts w:eastAsia="Calibri" w:cs="Times New Roman"/>
                <w:sz w:val="22"/>
              </w:rPr>
              <w:t>EBPO</w:t>
            </w:r>
          </w:p>
        </w:tc>
        <w:tc>
          <w:tcPr>
            <w:tcW w:w="236" w:type="dxa"/>
          </w:tcPr>
          <w:p w14:paraId="60DBC0CD"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69805E00" w14:textId="77777777" w:rsidR="00404851" w:rsidRPr="00B44B19" w:rsidRDefault="00404851" w:rsidP="00404851">
            <w:pPr>
              <w:rPr>
                <w:rFonts w:eastAsia="Calibri" w:cs="Times New Roman"/>
                <w:sz w:val="22"/>
              </w:rPr>
            </w:pPr>
            <w:r w:rsidRPr="00B44B19">
              <w:rPr>
                <w:rFonts w:eastAsia="Calibri" w:cs="Times New Roman"/>
                <w:sz w:val="22"/>
              </w:rPr>
              <w:t>Ekonominio bendradarbiavimo ir plėtros organizacija (</w:t>
            </w:r>
            <w:r w:rsidRPr="00B44B19">
              <w:rPr>
                <w:rFonts w:eastAsia="Calibri" w:cs="Times New Roman"/>
                <w:i/>
                <w:sz w:val="22"/>
              </w:rPr>
              <w:t>angl.</w:t>
            </w:r>
            <w:r w:rsidRPr="00B44B19">
              <w:rPr>
                <w:rFonts w:eastAsia="Calibri" w:cs="Times New Roman"/>
                <w:sz w:val="22"/>
              </w:rPr>
              <w:t xml:space="preserve"> </w:t>
            </w:r>
            <w:r w:rsidRPr="00B44B19">
              <w:rPr>
                <w:rFonts w:eastAsia="Calibri" w:cs="Times New Roman"/>
                <w:i/>
                <w:sz w:val="22"/>
              </w:rPr>
              <w:t>OECD – Organisation for Economic Co-operation and Development</w:t>
            </w:r>
            <w:r w:rsidRPr="00B44B19">
              <w:rPr>
                <w:rFonts w:eastAsia="Calibri" w:cs="Times New Roman"/>
                <w:sz w:val="22"/>
              </w:rPr>
              <w:t>)</w:t>
            </w:r>
          </w:p>
        </w:tc>
      </w:tr>
      <w:tr w:rsidR="00404851" w:rsidRPr="00B44B19" w14:paraId="1492185E" w14:textId="77777777" w:rsidTr="00F8763F">
        <w:tc>
          <w:tcPr>
            <w:tcW w:w="1758" w:type="dxa"/>
          </w:tcPr>
          <w:p w14:paraId="14F2C4A2" w14:textId="77777777" w:rsidR="00404851" w:rsidRPr="00B44B19" w:rsidRDefault="00404851" w:rsidP="00404851">
            <w:pPr>
              <w:rPr>
                <w:rFonts w:eastAsia="Calibri" w:cs="Times New Roman"/>
                <w:sz w:val="22"/>
              </w:rPr>
            </w:pPr>
            <w:r w:rsidRPr="00B44B19">
              <w:rPr>
                <w:rFonts w:eastAsia="Calibri" w:cs="Times New Roman"/>
                <w:sz w:val="22"/>
              </w:rPr>
              <w:t>EJRŽAF</w:t>
            </w:r>
          </w:p>
        </w:tc>
        <w:tc>
          <w:tcPr>
            <w:tcW w:w="236" w:type="dxa"/>
          </w:tcPr>
          <w:p w14:paraId="406E36DF"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5F3BCF71" w14:textId="77777777" w:rsidR="00404851" w:rsidRPr="00B44B19" w:rsidRDefault="00404851" w:rsidP="00404851">
            <w:pPr>
              <w:rPr>
                <w:rFonts w:eastAsia="Calibri" w:cs="Times New Roman"/>
                <w:sz w:val="22"/>
              </w:rPr>
            </w:pPr>
            <w:r w:rsidRPr="00B44B19">
              <w:rPr>
                <w:rFonts w:eastAsia="Calibri" w:cs="Times New Roman"/>
                <w:sz w:val="22"/>
              </w:rPr>
              <w:t>Eur</w:t>
            </w:r>
            <w:r w:rsidRPr="00B44B19">
              <w:rPr>
                <w:rFonts w:eastAsia="Calibri" w:cs="Times New Roman"/>
                <w:bCs/>
                <w:sz w:val="22"/>
              </w:rPr>
              <w:t>opos jūrų reikalų, žvejybos ir akvakultūros fondas</w:t>
            </w:r>
          </w:p>
        </w:tc>
      </w:tr>
      <w:tr w:rsidR="00404851" w:rsidRPr="00B44B19" w14:paraId="4D1B600E" w14:textId="77777777" w:rsidTr="00F8763F">
        <w:tc>
          <w:tcPr>
            <w:tcW w:w="1758" w:type="dxa"/>
          </w:tcPr>
          <w:p w14:paraId="43BD7A5B" w14:textId="77777777" w:rsidR="00404851" w:rsidRPr="00B44B19" w:rsidRDefault="00404851" w:rsidP="00404851">
            <w:pPr>
              <w:rPr>
                <w:rFonts w:eastAsia="Calibri" w:cs="Times New Roman"/>
                <w:sz w:val="22"/>
              </w:rPr>
            </w:pPr>
            <w:r w:rsidRPr="00B44B19">
              <w:rPr>
                <w:rFonts w:eastAsia="Calibri" w:cs="Times New Roman"/>
                <w:sz w:val="22"/>
              </w:rPr>
              <w:t>EH</w:t>
            </w:r>
          </w:p>
        </w:tc>
        <w:tc>
          <w:tcPr>
            <w:tcW w:w="236" w:type="dxa"/>
          </w:tcPr>
          <w:p w14:paraId="570BD557"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7C04541A" w14:textId="77777777" w:rsidR="00404851" w:rsidRPr="00B44B19" w:rsidRDefault="00404851" w:rsidP="00404851">
            <w:pPr>
              <w:rPr>
                <w:rFonts w:eastAsia="Calibri" w:cs="Times New Roman"/>
                <w:sz w:val="22"/>
              </w:rPr>
            </w:pPr>
            <w:r w:rsidRPr="00B44B19">
              <w:rPr>
                <w:rFonts w:eastAsia="Calibri" w:cs="Times New Roman"/>
                <w:sz w:val="22"/>
              </w:rPr>
              <w:t>programa „Europos horizontas“</w:t>
            </w:r>
          </w:p>
        </w:tc>
      </w:tr>
      <w:tr w:rsidR="00404851" w:rsidRPr="00B44B19" w14:paraId="65D7FA31" w14:textId="77777777" w:rsidTr="00F8763F">
        <w:tc>
          <w:tcPr>
            <w:tcW w:w="1758" w:type="dxa"/>
          </w:tcPr>
          <w:p w14:paraId="2E40E79B" w14:textId="77777777" w:rsidR="00404851" w:rsidRPr="00B44B19" w:rsidRDefault="00404851" w:rsidP="00404851">
            <w:pPr>
              <w:rPr>
                <w:rFonts w:eastAsia="Calibri" w:cs="Times New Roman"/>
                <w:sz w:val="22"/>
              </w:rPr>
            </w:pPr>
            <w:r w:rsidRPr="00B44B19">
              <w:rPr>
                <w:rFonts w:eastAsia="Calibri" w:cs="Times New Roman"/>
                <w:sz w:val="22"/>
              </w:rPr>
              <w:t>EIB</w:t>
            </w:r>
          </w:p>
        </w:tc>
        <w:tc>
          <w:tcPr>
            <w:tcW w:w="236" w:type="dxa"/>
          </w:tcPr>
          <w:p w14:paraId="0B01FC14"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66304BC7" w14:textId="77777777" w:rsidR="00404851" w:rsidRPr="00B44B19" w:rsidRDefault="00404851" w:rsidP="00404851">
            <w:pPr>
              <w:rPr>
                <w:rFonts w:eastAsia="Calibri" w:cs="Times New Roman"/>
                <w:sz w:val="22"/>
              </w:rPr>
            </w:pPr>
            <w:r w:rsidRPr="00B44B19">
              <w:rPr>
                <w:rFonts w:eastAsia="Calibri" w:cs="Times New Roman"/>
                <w:sz w:val="22"/>
              </w:rPr>
              <w:t>Europos investicijų bankas</w:t>
            </w:r>
          </w:p>
        </w:tc>
      </w:tr>
      <w:tr w:rsidR="00404851" w:rsidRPr="00B44B19" w14:paraId="7EBF0C9F" w14:textId="77777777" w:rsidTr="00F8763F">
        <w:tc>
          <w:tcPr>
            <w:tcW w:w="1758" w:type="dxa"/>
          </w:tcPr>
          <w:p w14:paraId="29A60F08" w14:textId="77777777" w:rsidR="00404851" w:rsidRPr="00B44B19" w:rsidRDefault="00404851" w:rsidP="00404851">
            <w:pPr>
              <w:rPr>
                <w:rFonts w:eastAsia="Calibri" w:cs="Times New Roman"/>
                <w:sz w:val="22"/>
              </w:rPr>
            </w:pPr>
            <w:r w:rsidRPr="00B44B19">
              <w:rPr>
                <w:rFonts w:eastAsia="Calibri" w:cs="Times New Roman"/>
                <w:sz w:val="22"/>
              </w:rPr>
              <w:t>EITP2</w:t>
            </w:r>
          </w:p>
        </w:tc>
        <w:tc>
          <w:tcPr>
            <w:tcW w:w="236" w:type="dxa"/>
          </w:tcPr>
          <w:p w14:paraId="629B6897"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7F085C04" w14:textId="77777777" w:rsidR="00404851" w:rsidRPr="00B44B19" w:rsidRDefault="00404851" w:rsidP="00404851">
            <w:pPr>
              <w:rPr>
                <w:rFonts w:eastAsia="Calibri" w:cs="Times New Roman"/>
                <w:sz w:val="22"/>
              </w:rPr>
            </w:pPr>
            <w:r w:rsidRPr="00B44B19">
              <w:rPr>
                <w:rFonts w:eastAsia="Calibri" w:cs="Times New Roman"/>
                <w:sz w:val="22"/>
              </w:rPr>
              <w:t>Europos infrastruktūros tinklų priemonė 2.0. (</w:t>
            </w:r>
            <w:r w:rsidRPr="00B44B19">
              <w:rPr>
                <w:rFonts w:eastAsia="Calibri" w:cs="Times New Roman"/>
                <w:i/>
                <w:iCs/>
                <w:sz w:val="22"/>
              </w:rPr>
              <w:t>angl</w:t>
            </w:r>
            <w:r w:rsidRPr="00B44B19">
              <w:rPr>
                <w:rFonts w:eastAsia="Calibri" w:cs="Times New Roman"/>
                <w:sz w:val="22"/>
              </w:rPr>
              <w:t xml:space="preserve">. </w:t>
            </w:r>
            <w:r w:rsidRPr="00B44B19">
              <w:rPr>
                <w:rFonts w:cs="Times New Roman"/>
                <w:i/>
                <w:iCs/>
                <w:spacing w:val="2"/>
                <w:sz w:val="22"/>
                <w:shd w:val="clear" w:color="auto" w:fill="FFFFFF"/>
              </w:rPr>
              <w:t>Connecting Europe Facility, CEF</w:t>
            </w:r>
            <w:r w:rsidRPr="00B44B19">
              <w:rPr>
                <w:rFonts w:cs="Times New Roman"/>
                <w:color w:val="444444"/>
                <w:spacing w:val="2"/>
                <w:sz w:val="22"/>
                <w:shd w:val="clear" w:color="auto" w:fill="FFFFFF"/>
              </w:rPr>
              <w:t>)</w:t>
            </w:r>
          </w:p>
        </w:tc>
      </w:tr>
      <w:tr w:rsidR="00404851" w:rsidRPr="00B44B19" w14:paraId="15434324" w14:textId="77777777" w:rsidTr="00F8763F">
        <w:tc>
          <w:tcPr>
            <w:tcW w:w="1758" w:type="dxa"/>
          </w:tcPr>
          <w:p w14:paraId="025423AE" w14:textId="77777777" w:rsidR="00404851" w:rsidRPr="00B44B19" w:rsidRDefault="00404851" w:rsidP="00404851">
            <w:pPr>
              <w:rPr>
                <w:rFonts w:eastAsia="Calibri" w:cs="Times New Roman"/>
                <w:sz w:val="22"/>
              </w:rPr>
            </w:pPr>
            <w:r w:rsidRPr="00B44B19">
              <w:rPr>
                <w:rFonts w:eastAsia="Calibri" w:cs="Times New Roman"/>
                <w:sz w:val="22"/>
              </w:rPr>
              <w:t>EK</w:t>
            </w:r>
          </w:p>
        </w:tc>
        <w:tc>
          <w:tcPr>
            <w:tcW w:w="236" w:type="dxa"/>
          </w:tcPr>
          <w:p w14:paraId="70E97DAF"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48879A9D" w14:textId="77777777" w:rsidR="00404851" w:rsidRPr="00B44B19" w:rsidRDefault="00404851" w:rsidP="00404851">
            <w:pPr>
              <w:rPr>
                <w:rFonts w:eastAsia="Calibri" w:cs="Times New Roman"/>
                <w:sz w:val="22"/>
              </w:rPr>
            </w:pPr>
            <w:r w:rsidRPr="00B44B19">
              <w:rPr>
                <w:rFonts w:eastAsia="Calibri" w:cs="Times New Roman"/>
                <w:sz w:val="22"/>
              </w:rPr>
              <w:t>Europos Komisija</w:t>
            </w:r>
          </w:p>
        </w:tc>
      </w:tr>
      <w:tr w:rsidR="00404851" w:rsidRPr="00B44B19" w14:paraId="6EB26C3B" w14:textId="77777777" w:rsidTr="00F8763F">
        <w:tc>
          <w:tcPr>
            <w:tcW w:w="1758" w:type="dxa"/>
          </w:tcPr>
          <w:p w14:paraId="50738834" w14:textId="77777777" w:rsidR="00404851" w:rsidRPr="00B44B19" w:rsidRDefault="00404851" w:rsidP="00404851">
            <w:pPr>
              <w:rPr>
                <w:rFonts w:eastAsia="Calibri" w:cs="Times New Roman"/>
                <w:sz w:val="22"/>
              </w:rPr>
            </w:pPr>
            <w:r w:rsidRPr="00B44B19">
              <w:rPr>
                <w:rFonts w:eastAsia="Calibri" w:cs="Times New Roman"/>
                <w:sz w:val="22"/>
              </w:rPr>
              <w:t>ES</w:t>
            </w:r>
          </w:p>
        </w:tc>
        <w:tc>
          <w:tcPr>
            <w:tcW w:w="236" w:type="dxa"/>
          </w:tcPr>
          <w:p w14:paraId="7B3D21B5"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73430F64" w14:textId="77777777" w:rsidR="00404851" w:rsidRPr="00B44B19" w:rsidRDefault="00404851" w:rsidP="00404851">
            <w:pPr>
              <w:rPr>
                <w:rFonts w:eastAsia="Calibri" w:cs="Times New Roman"/>
                <w:sz w:val="22"/>
              </w:rPr>
            </w:pPr>
            <w:r w:rsidRPr="00B44B19">
              <w:rPr>
                <w:rFonts w:eastAsia="Calibri" w:cs="Times New Roman"/>
                <w:sz w:val="22"/>
              </w:rPr>
              <w:t>Europos Sąjunga</w:t>
            </w:r>
          </w:p>
        </w:tc>
      </w:tr>
      <w:tr w:rsidR="00404851" w:rsidRPr="00B44B19" w14:paraId="0DCECA97" w14:textId="77777777" w:rsidTr="00F8763F">
        <w:tc>
          <w:tcPr>
            <w:tcW w:w="1758" w:type="dxa"/>
          </w:tcPr>
          <w:p w14:paraId="4DEF0BD8" w14:textId="77777777" w:rsidR="00404851" w:rsidRPr="00B44B19" w:rsidRDefault="00404851" w:rsidP="00404851">
            <w:pPr>
              <w:rPr>
                <w:rFonts w:eastAsia="Calibri" w:cs="Times New Roman"/>
                <w:sz w:val="22"/>
              </w:rPr>
            </w:pPr>
            <w:r w:rsidRPr="00B44B19">
              <w:rPr>
                <w:rFonts w:eastAsia="Calibri" w:cs="Times New Roman"/>
                <w:sz w:val="22"/>
              </w:rPr>
              <w:t>ESF+</w:t>
            </w:r>
          </w:p>
        </w:tc>
        <w:tc>
          <w:tcPr>
            <w:tcW w:w="236" w:type="dxa"/>
          </w:tcPr>
          <w:p w14:paraId="66A63369"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110F2A19" w14:textId="77777777" w:rsidR="00404851" w:rsidRPr="00B44B19" w:rsidRDefault="00404851" w:rsidP="00404851">
            <w:pPr>
              <w:rPr>
                <w:rFonts w:eastAsia="Calibri" w:cs="Times New Roman"/>
                <w:sz w:val="22"/>
              </w:rPr>
            </w:pPr>
            <w:r w:rsidRPr="00B44B19">
              <w:rPr>
                <w:rFonts w:eastAsia="Calibri" w:cs="Times New Roman"/>
                <w:sz w:val="22"/>
              </w:rPr>
              <w:t>Europos socialinis fondas+</w:t>
            </w:r>
          </w:p>
        </w:tc>
      </w:tr>
      <w:tr w:rsidR="00404851" w:rsidRPr="00B44B19" w14:paraId="6ED29713" w14:textId="77777777" w:rsidTr="00F8763F">
        <w:tc>
          <w:tcPr>
            <w:tcW w:w="1758" w:type="dxa"/>
          </w:tcPr>
          <w:p w14:paraId="513EBD99" w14:textId="77777777" w:rsidR="00404851" w:rsidRPr="00B44B19" w:rsidRDefault="00404851" w:rsidP="00404851">
            <w:pPr>
              <w:rPr>
                <w:rFonts w:eastAsia="Calibri" w:cs="Times New Roman"/>
                <w:sz w:val="22"/>
              </w:rPr>
            </w:pPr>
            <w:r w:rsidRPr="00B44B19">
              <w:rPr>
                <w:rFonts w:eastAsia="Calibri" w:cs="Times New Roman"/>
                <w:sz w:val="22"/>
              </w:rPr>
              <w:t>ES fondai</w:t>
            </w:r>
          </w:p>
        </w:tc>
        <w:tc>
          <w:tcPr>
            <w:tcW w:w="236" w:type="dxa"/>
          </w:tcPr>
          <w:p w14:paraId="6EFC8001"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67C79601" w14:textId="77777777" w:rsidR="00404851" w:rsidRPr="00B44B19" w:rsidRDefault="00404851" w:rsidP="00404851">
            <w:pPr>
              <w:rPr>
                <w:rFonts w:eastAsia="Calibri" w:cs="Times New Roman"/>
                <w:sz w:val="22"/>
              </w:rPr>
            </w:pPr>
            <w:r w:rsidRPr="00B44B19">
              <w:rPr>
                <w:rFonts w:eastAsia="Calibri" w:cs="Times New Roman"/>
                <w:sz w:val="22"/>
              </w:rPr>
              <w:t>ESF+, ERPF, SaF ir TPF</w:t>
            </w:r>
          </w:p>
        </w:tc>
      </w:tr>
      <w:tr w:rsidR="00404851" w:rsidRPr="00B44B19" w14:paraId="00986598" w14:textId="77777777" w:rsidTr="00F8763F">
        <w:tc>
          <w:tcPr>
            <w:tcW w:w="1758" w:type="dxa"/>
          </w:tcPr>
          <w:p w14:paraId="1FFAB7A1" w14:textId="77777777" w:rsidR="00404851" w:rsidRPr="00B44B19" w:rsidRDefault="00404851" w:rsidP="00404851">
            <w:pPr>
              <w:rPr>
                <w:rFonts w:eastAsia="Calibri" w:cs="Times New Roman"/>
                <w:sz w:val="22"/>
              </w:rPr>
            </w:pPr>
            <w:r w:rsidRPr="00B44B19">
              <w:rPr>
                <w:rFonts w:eastAsia="Calibri" w:cs="Times New Roman"/>
                <w:sz w:val="22"/>
              </w:rPr>
              <w:t>ERPF</w:t>
            </w:r>
          </w:p>
        </w:tc>
        <w:tc>
          <w:tcPr>
            <w:tcW w:w="236" w:type="dxa"/>
          </w:tcPr>
          <w:p w14:paraId="70635B8D"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2EBC15AD" w14:textId="77777777" w:rsidR="00404851" w:rsidRPr="00B44B19" w:rsidRDefault="00404851" w:rsidP="00404851">
            <w:pPr>
              <w:rPr>
                <w:rFonts w:eastAsia="Calibri" w:cs="Times New Roman"/>
                <w:sz w:val="22"/>
              </w:rPr>
            </w:pPr>
            <w:r w:rsidRPr="00B44B19">
              <w:rPr>
                <w:rFonts w:eastAsia="Calibri" w:cs="Times New Roman"/>
                <w:sz w:val="22"/>
              </w:rPr>
              <w:t>Europos regioninės plėtros fondas</w:t>
            </w:r>
          </w:p>
        </w:tc>
      </w:tr>
      <w:tr w:rsidR="00404851" w:rsidRPr="00B44B19" w14:paraId="049EC303" w14:textId="77777777" w:rsidTr="00F8763F">
        <w:tc>
          <w:tcPr>
            <w:tcW w:w="1758" w:type="dxa"/>
          </w:tcPr>
          <w:p w14:paraId="717E203A" w14:textId="77777777" w:rsidR="00404851" w:rsidRPr="00B44B19" w:rsidRDefault="00404851" w:rsidP="00404851">
            <w:pPr>
              <w:rPr>
                <w:rFonts w:eastAsia="Calibri" w:cs="Times New Roman"/>
                <w:sz w:val="22"/>
              </w:rPr>
            </w:pPr>
            <w:r w:rsidRPr="00B44B19">
              <w:rPr>
                <w:rFonts w:eastAsia="Calibri" w:cs="Times New Roman"/>
                <w:sz w:val="22"/>
              </w:rPr>
              <w:t>ETBT</w:t>
            </w:r>
          </w:p>
        </w:tc>
        <w:tc>
          <w:tcPr>
            <w:tcW w:w="236" w:type="dxa"/>
          </w:tcPr>
          <w:p w14:paraId="0EA75121"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43E007F9" w14:textId="77777777" w:rsidR="00404851" w:rsidRPr="00B44B19" w:rsidRDefault="00404851" w:rsidP="00404851">
            <w:pPr>
              <w:rPr>
                <w:rFonts w:eastAsia="Calibri" w:cs="Times New Roman"/>
                <w:sz w:val="22"/>
              </w:rPr>
            </w:pPr>
            <w:r w:rsidRPr="00B44B19">
              <w:rPr>
                <w:rFonts w:eastAsia="Calibri" w:cs="Times New Roman"/>
                <w:sz w:val="22"/>
              </w:rPr>
              <w:t>Europos teritorinis bendradarbiavimas</w:t>
            </w:r>
          </w:p>
        </w:tc>
      </w:tr>
      <w:tr w:rsidR="00404851" w:rsidRPr="00B44B19" w14:paraId="6D51DA45" w14:textId="77777777" w:rsidTr="00F8763F">
        <w:tc>
          <w:tcPr>
            <w:tcW w:w="1758" w:type="dxa"/>
          </w:tcPr>
          <w:p w14:paraId="59ABFE9D" w14:textId="77777777" w:rsidR="00404851" w:rsidRPr="00B44B19" w:rsidRDefault="00404851" w:rsidP="00404851">
            <w:pPr>
              <w:rPr>
                <w:rFonts w:eastAsia="Calibri" w:cs="Times New Roman"/>
                <w:sz w:val="22"/>
              </w:rPr>
            </w:pPr>
            <w:r w:rsidRPr="00B44B19">
              <w:rPr>
                <w:rFonts w:eastAsia="Calibri" w:cs="Times New Roman"/>
                <w:sz w:val="22"/>
              </w:rPr>
              <w:t>EVE</w:t>
            </w:r>
          </w:p>
        </w:tc>
        <w:tc>
          <w:tcPr>
            <w:tcW w:w="236" w:type="dxa"/>
          </w:tcPr>
          <w:p w14:paraId="3653B38A"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441B7B31" w14:textId="77777777" w:rsidR="00404851" w:rsidRPr="00B44B19" w:rsidRDefault="00404851" w:rsidP="00404851">
            <w:pPr>
              <w:rPr>
                <w:rFonts w:eastAsia="Calibri" w:cs="Times New Roman"/>
                <w:sz w:val="22"/>
              </w:rPr>
            </w:pPr>
            <w:r w:rsidRPr="00B44B19">
              <w:rPr>
                <w:rFonts w:eastAsia="Calibri" w:cs="Times New Roman"/>
                <w:sz w:val="22"/>
              </w:rPr>
              <w:t>energijos vartojimo efektyvumas</w:t>
            </w:r>
          </w:p>
        </w:tc>
      </w:tr>
      <w:tr w:rsidR="00404851" w:rsidRPr="00B44B19" w14:paraId="52F077FC" w14:textId="77777777" w:rsidTr="00F65785">
        <w:tc>
          <w:tcPr>
            <w:tcW w:w="1758" w:type="dxa"/>
          </w:tcPr>
          <w:p w14:paraId="782F703D" w14:textId="77777777" w:rsidR="00404851" w:rsidRPr="00B44B19" w:rsidRDefault="00404851" w:rsidP="00404851">
            <w:pPr>
              <w:rPr>
                <w:rFonts w:eastAsia="Calibri" w:cs="Times New Roman"/>
                <w:sz w:val="22"/>
              </w:rPr>
            </w:pPr>
            <w:r w:rsidRPr="00B44B19">
              <w:rPr>
                <w:rFonts w:eastAsia="Times New Roman" w:cs="Times New Roman"/>
                <w:sz w:val="22"/>
              </w:rPr>
              <w:t>EŽŪFKP</w:t>
            </w:r>
          </w:p>
        </w:tc>
        <w:tc>
          <w:tcPr>
            <w:tcW w:w="236" w:type="dxa"/>
          </w:tcPr>
          <w:p w14:paraId="4EF1D902"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2F1EFD84" w14:textId="77777777" w:rsidR="00404851" w:rsidRPr="00B44B19" w:rsidRDefault="00404851" w:rsidP="00404851">
            <w:pPr>
              <w:rPr>
                <w:rFonts w:eastAsia="Calibri" w:cs="Times New Roman"/>
                <w:sz w:val="22"/>
              </w:rPr>
            </w:pPr>
            <w:r w:rsidRPr="00B44B19">
              <w:rPr>
                <w:rFonts w:eastAsia="Times New Roman" w:cs="Times New Roman"/>
                <w:sz w:val="22"/>
              </w:rPr>
              <w:t>Europos žemės ūkio fondas kaimo plėtrai</w:t>
            </w:r>
          </w:p>
        </w:tc>
      </w:tr>
      <w:tr w:rsidR="00404851" w:rsidRPr="00B44B19" w14:paraId="65BFE1A0" w14:textId="77777777" w:rsidTr="00F8763F">
        <w:tc>
          <w:tcPr>
            <w:tcW w:w="1758" w:type="dxa"/>
          </w:tcPr>
          <w:p w14:paraId="6E37DFE0" w14:textId="77777777" w:rsidR="00404851" w:rsidRPr="00B44B19" w:rsidRDefault="00404851" w:rsidP="00404851">
            <w:pPr>
              <w:rPr>
                <w:rFonts w:eastAsia="Calibri" w:cs="Times New Roman"/>
                <w:sz w:val="22"/>
              </w:rPr>
            </w:pPr>
            <w:r w:rsidRPr="00B44B19">
              <w:rPr>
                <w:rFonts w:eastAsia="Calibri" w:cs="Times New Roman"/>
                <w:sz w:val="22"/>
              </w:rPr>
              <w:t>FZ</w:t>
            </w:r>
          </w:p>
        </w:tc>
        <w:tc>
          <w:tcPr>
            <w:tcW w:w="236" w:type="dxa"/>
          </w:tcPr>
          <w:p w14:paraId="709492B4"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0ECCE6D3" w14:textId="77777777" w:rsidR="00404851" w:rsidRPr="00B44B19" w:rsidRDefault="00404851" w:rsidP="00404851">
            <w:pPr>
              <w:rPr>
                <w:rFonts w:eastAsia="Calibri" w:cs="Times New Roman"/>
                <w:sz w:val="22"/>
              </w:rPr>
            </w:pPr>
            <w:r w:rsidRPr="00B44B19">
              <w:rPr>
                <w:rFonts w:eastAsia="Calibri" w:cs="Times New Roman"/>
                <w:sz w:val="22"/>
              </w:rPr>
              <w:t>funkcinė zona</w:t>
            </w:r>
          </w:p>
        </w:tc>
      </w:tr>
      <w:tr w:rsidR="00404851" w:rsidRPr="00B44B19" w14:paraId="16586406" w14:textId="77777777" w:rsidTr="00F8763F">
        <w:tc>
          <w:tcPr>
            <w:tcW w:w="1758" w:type="dxa"/>
          </w:tcPr>
          <w:p w14:paraId="0D3FA114" w14:textId="77777777" w:rsidR="00404851" w:rsidRPr="00B44B19" w:rsidRDefault="00404851" w:rsidP="00404851">
            <w:pPr>
              <w:rPr>
                <w:rFonts w:eastAsia="Calibri" w:cs="Times New Roman"/>
                <w:bCs/>
                <w:sz w:val="22"/>
                <w:lang w:bidi="lt-LT"/>
              </w:rPr>
            </w:pPr>
            <w:r w:rsidRPr="00B44B19">
              <w:rPr>
                <w:rFonts w:eastAsia="Calibri" w:cs="Times New Roman"/>
                <w:sz w:val="22"/>
              </w:rPr>
              <w:t>GMP</w:t>
            </w:r>
          </w:p>
        </w:tc>
        <w:tc>
          <w:tcPr>
            <w:tcW w:w="236" w:type="dxa"/>
          </w:tcPr>
          <w:p w14:paraId="5D132999"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432FA84D" w14:textId="77777777" w:rsidR="00404851" w:rsidRPr="00B44B19" w:rsidRDefault="00404851" w:rsidP="00404851">
            <w:pPr>
              <w:rPr>
                <w:rFonts w:eastAsia="Calibri" w:cs="Times New Roman"/>
                <w:bCs/>
                <w:sz w:val="22"/>
                <w:lang w:bidi="lt-LT"/>
              </w:rPr>
            </w:pPr>
            <w:r w:rsidRPr="00B44B19">
              <w:rPr>
                <w:rFonts w:eastAsia="Calibri" w:cs="Times New Roman"/>
                <w:sz w:val="22"/>
              </w:rPr>
              <w:t>greitosios medicinos pagalba</w:t>
            </w:r>
          </w:p>
        </w:tc>
      </w:tr>
      <w:tr w:rsidR="00404851" w:rsidRPr="00B44B19" w14:paraId="228D8523" w14:textId="77777777" w:rsidTr="00F8763F">
        <w:tc>
          <w:tcPr>
            <w:tcW w:w="1758" w:type="dxa"/>
          </w:tcPr>
          <w:p w14:paraId="5801E9AF" w14:textId="77777777" w:rsidR="00404851" w:rsidRPr="00B44B19" w:rsidRDefault="00404851" w:rsidP="00404851">
            <w:pPr>
              <w:rPr>
                <w:rFonts w:eastAsia="Calibri" w:cs="Times New Roman"/>
                <w:sz w:val="22"/>
              </w:rPr>
            </w:pPr>
            <w:r w:rsidRPr="00B44B19">
              <w:rPr>
                <w:rFonts w:eastAsia="Calibri" w:cs="Times New Roman"/>
                <w:sz w:val="22"/>
              </w:rPr>
              <w:t>IN</w:t>
            </w:r>
          </w:p>
        </w:tc>
        <w:tc>
          <w:tcPr>
            <w:tcW w:w="236" w:type="dxa"/>
          </w:tcPr>
          <w:p w14:paraId="5C6EBE8E"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1F914194" w14:textId="77777777" w:rsidR="00404851" w:rsidRPr="00B44B19" w:rsidRDefault="00404851" w:rsidP="00404851">
            <w:pPr>
              <w:rPr>
                <w:rFonts w:eastAsia="Calibri" w:cs="Times New Roman"/>
                <w:sz w:val="22"/>
              </w:rPr>
            </w:pPr>
            <w:r w:rsidRPr="00B44B19">
              <w:rPr>
                <w:rFonts w:eastAsia="Calibri" w:cs="Times New Roman"/>
                <w:sz w:val="22"/>
              </w:rPr>
              <w:t>intelektinė nuosavybė</w:t>
            </w:r>
          </w:p>
        </w:tc>
      </w:tr>
      <w:tr w:rsidR="00404851" w:rsidRPr="00B44B19" w14:paraId="5C30B743" w14:textId="77777777" w:rsidTr="00F8763F">
        <w:tc>
          <w:tcPr>
            <w:tcW w:w="1758" w:type="dxa"/>
          </w:tcPr>
          <w:p w14:paraId="2A39564D" w14:textId="77777777" w:rsidR="00404851" w:rsidRPr="00B44B19" w:rsidRDefault="00404851" w:rsidP="00404851">
            <w:pPr>
              <w:rPr>
                <w:rFonts w:eastAsia="Calibri" w:cs="Times New Roman"/>
                <w:sz w:val="22"/>
              </w:rPr>
            </w:pPr>
            <w:r w:rsidRPr="00B44B19">
              <w:rPr>
                <w:rFonts w:eastAsia="Calibri" w:cs="Times New Roman"/>
                <w:sz w:val="22"/>
              </w:rPr>
              <w:t>INVESTIS</w:t>
            </w:r>
          </w:p>
        </w:tc>
        <w:tc>
          <w:tcPr>
            <w:tcW w:w="236" w:type="dxa"/>
          </w:tcPr>
          <w:p w14:paraId="74B07F7E" w14:textId="77777777" w:rsidR="00404851" w:rsidRPr="00B44B19" w:rsidRDefault="00404851" w:rsidP="00404851">
            <w:pPr>
              <w:rPr>
                <w:rFonts w:eastAsia="Calibri" w:cs="Times New Roman"/>
                <w:sz w:val="22"/>
              </w:rPr>
            </w:pPr>
            <w:r w:rsidRPr="00B44B19">
              <w:rPr>
                <w:rFonts w:eastAsia="Calibri" w:cs="Times New Roman"/>
                <w:sz w:val="22"/>
              </w:rPr>
              <w:t>–</w:t>
            </w:r>
          </w:p>
        </w:tc>
        <w:tc>
          <w:tcPr>
            <w:tcW w:w="7911" w:type="dxa"/>
          </w:tcPr>
          <w:p w14:paraId="3217F577" w14:textId="77777777" w:rsidR="00404851" w:rsidRPr="00B44B19" w:rsidRDefault="00404851" w:rsidP="00404851">
            <w:pPr>
              <w:rPr>
                <w:rFonts w:eastAsia="Calibri" w:cs="Times New Roman"/>
                <w:sz w:val="22"/>
              </w:rPr>
            </w:pPr>
            <w:r w:rsidRPr="00B44B19">
              <w:rPr>
                <w:rFonts w:eastAsia="Calibri" w:cs="Times New Roman"/>
                <w:sz w:val="22"/>
              </w:rPr>
              <w:t>Europos Sąjungos investicijų administravimo informacinė sistema</w:t>
            </w:r>
          </w:p>
        </w:tc>
      </w:tr>
      <w:tr w:rsidR="00595C25" w:rsidRPr="00B44B19" w14:paraId="33A57078" w14:textId="77777777" w:rsidTr="00F8763F">
        <w:tc>
          <w:tcPr>
            <w:tcW w:w="1758" w:type="dxa"/>
          </w:tcPr>
          <w:p w14:paraId="76C011E6" w14:textId="58F34F1A" w:rsidR="00595C25" w:rsidRPr="00B44B19" w:rsidRDefault="00595C25" w:rsidP="00595C25">
            <w:pPr>
              <w:rPr>
                <w:rFonts w:eastAsia="Calibri" w:cs="Times New Roman"/>
                <w:sz w:val="22"/>
              </w:rPr>
            </w:pPr>
            <w:r w:rsidRPr="00B44B19">
              <w:rPr>
                <w:rFonts w:eastAsia="Calibri" w:cs="Times New Roman"/>
                <w:sz w:val="22"/>
              </w:rPr>
              <w:t>IPCEI</w:t>
            </w:r>
          </w:p>
        </w:tc>
        <w:tc>
          <w:tcPr>
            <w:tcW w:w="236" w:type="dxa"/>
          </w:tcPr>
          <w:p w14:paraId="417B9E50" w14:textId="25FF6E71"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E754359" w14:textId="5C7ACE12" w:rsidR="00595C25" w:rsidRPr="00B44B19" w:rsidRDefault="00595C25" w:rsidP="00595C25">
            <w:pPr>
              <w:rPr>
                <w:rFonts w:eastAsia="Calibri" w:cs="Times New Roman"/>
                <w:sz w:val="22"/>
              </w:rPr>
            </w:pPr>
            <w:r w:rsidRPr="00B44B19">
              <w:rPr>
                <w:rFonts w:eastAsia="Calibri" w:cs="Times New Roman"/>
                <w:sz w:val="22"/>
              </w:rPr>
              <w:t>Europos interesams svarbūs projektai (</w:t>
            </w:r>
            <w:r w:rsidRPr="00B44B19">
              <w:rPr>
                <w:rFonts w:eastAsia="Calibri" w:cs="Times New Roman"/>
                <w:i/>
                <w:iCs/>
                <w:sz w:val="22"/>
              </w:rPr>
              <w:t>angl. Important Projects of Common European Interest</w:t>
            </w:r>
            <w:r w:rsidR="003A660F" w:rsidRPr="00B44B19">
              <w:rPr>
                <w:rFonts w:eastAsia="Calibri" w:cs="Times New Roman"/>
                <w:i/>
                <w:iCs/>
                <w:sz w:val="22"/>
              </w:rPr>
              <w:t>)</w:t>
            </w:r>
          </w:p>
        </w:tc>
      </w:tr>
      <w:tr w:rsidR="00E66E25" w:rsidRPr="00B44B19" w14:paraId="33136DC9" w14:textId="77777777" w:rsidTr="00F8763F">
        <w:tc>
          <w:tcPr>
            <w:tcW w:w="1758" w:type="dxa"/>
          </w:tcPr>
          <w:p w14:paraId="7AFA9C99" w14:textId="7E74FA16" w:rsidR="00E66E25" w:rsidRPr="00B44B19" w:rsidRDefault="00E66E25" w:rsidP="00595C25">
            <w:pPr>
              <w:rPr>
                <w:rFonts w:eastAsia="Calibri" w:cs="Times New Roman"/>
                <w:sz w:val="22"/>
              </w:rPr>
            </w:pPr>
            <w:r w:rsidRPr="00B44B19">
              <w:rPr>
                <w:rFonts w:eastAsia="Calibri" w:cs="Times New Roman"/>
                <w:sz w:val="22"/>
              </w:rPr>
              <w:t>IPCEI CAM</w:t>
            </w:r>
          </w:p>
        </w:tc>
        <w:tc>
          <w:tcPr>
            <w:tcW w:w="236" w:type="dxa"/>
          </w:tcPr>
          <w:p w14:paraId="7B56888C" w14:textId="77777777" w:rsidR="00E66E25" w:rsidRPr="00B44B19" w:rsidRDefault="00E66E25" w:rsidP="00595C25">
            <w:pPr>
              <w:rPr>
                <w:rFonts w:eastAsia="Calibri" w:cs="Times New Roman"/>
                <w:sz w:val="22"/>
              </w:rPr>
            </w:pPr>
          </w:p>
        </w:tc>
        <w:tc>
          <w:tcPr>
            <w:tcW w:w="7911" w:type="dxa"/>
          </w:tcPr>
          <w:p w14:paraId="41C16383" w14:textId="6331332A" w:rsidR="00E66E25" w:rsidRPr="00B44B19" w:rsidRDefault="00E66E25" w:rsidP="00595C25">
            <w:pPr>
              <w:rPr>
                <w:rFonts w:eastAsia="Calibri" w:cs="Times New Roman"/>
                <w:sz w:val="22"/>
              </w:rPr>
            </w:pPr>
            <w:r w:rsidRPr="00B44B19">
              <w:rPr>
                <w:rFonts w:eastAsia="Calibri" w:cs="Times New Roman"/>
                <w:sz w:val="22"/>
              </w:rPr>
              <w:t xml:space="preserve">Europos interesams svarbūs projektai pažangiųjų medžiagų švariosioms technologijoms srityje </w:t>
            </w:r>
            <w:r w:rsidRPr="00B44B19">
              <w:rPr>
                <w:rFonts w:eastAsia="Calibri" w:cs="Times New Roman"/>
                <w:i/>
                <w:iCs/>
                <w:sz w:val="22"/>
              </w:rPr>
              <w:t>(angl. Important Project of Common European Interest on Clean Advanced Materials)</w:t>
            </w:r>
          </w:p>
        </w:tc>
      </w:tr>
      <w:tr w:rsidR="00595C25" w:rsidRPr="00B44B19" w14:paraId="327C0ED1" w14:textId="77777777" w:rsidTr="00F8763F">
        <w:tc>
          <w:tcPr>
            <w:tcW w:w="1758" w:type="dxa"/>
          </w:tcPr>
          <w:p w14:paraId="53F367CB" w14:textId="77777777" w:rsidR="00595C25" w:rsidRPr="00B44B19" w:rsidRDefault="00595C25" w:rsidP="00595C25">
            <w:pPr>
              <w:rPr>
                <w:rFonts w:eastAsia="Calibri" w:cs="Times New Roman"/>
                <w:sz w:val="22"/>
              </w:rPr>
            </w:pPr>
            <w:r w:rsidRPr="00B44B19">
              <w:rPr>
                <w:rFonts w:eastAsia="Calibri" w:cs="Times New Roman"/>
                <w:sz w:val="22"/>
              </w:rPr>
              <w:t>IPP</w:t>
            </w:r>
          </w:p>
        </w:tc>
        <w:tc>
          <w:tcPr>
            <w:tcW w:w="236" w:type="dxa"/>
          </w:tcPr>
          <w:p w14:paraId="3BE1CA8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022CF6A" w14:textId="77777777" w:rsidR="00595C25" w:rsidRPr="00B44B19" w:rsidRDefault="00595C25" w:rsidP="00595C25">
            <w:pPr>
              <w:rPr>
                <w:rFonts w:eastAsia="Calibri" w:cs="Times New Roman"/>
                <w:sz w:val="22"/>
              </w:rPr>
            </w:pPr>
            <w:r w:rsidRPr="00B44B19">
              <w:rPr>
                <w:rFonts w:eastAsia="Calibri" w:cs="Times New Roman"/>
                <w:sz w:val="22"/>
              </w:rPr>
              <w:t>ilgalaikės priežiūros paslaugos</w:t>
            </w:r>
          </w:p>
        </w:tc>
      </w:tr>
      <w:tr w:rsidR="00595C25" w:rsidRPr="00B44B19" w14:paraId="0450DC57" w14:textId="77777777" w:rsidTr="00F8763F">
        <w:tc>
          <w:tcPr>
            <w:tcW w:w="1758" w:type="dxa"/>
          </w:tcPr>
          <w:p w14:paraId="5C5144B0" w14:textId="77777777" w:rsidR="00595C25" w:rsidRPr="00B44B19" w:rsidRDefault="00595C25" w:rsidP="00595C25">
            <w:pPr>
              <w:rPr>
                <w:rFonts w:eastAsia="Calibri" w:cs="Times New Roman"/>
                <w:sz w:val="22"/>
              </w:rPr>
            </w:pPr>
            <w:r w:rsidRPr="00B44B19">
              <w:rPr>
                <w:rFonts w:eastAsia="Calibri" w:cs="Times New Roman"/>
                <w:sz w:val="22"/>
              </w:rPr>
              <w:t>IRS</w:t>
            </w:r>
          </w:p>
        </w:tc>
        <w:tc>
          <w:tcPr>
            <w:tcW w:w="236" w:type="dxa"/>
          </w:tcPr>
          <w:p w14:paraId="34C4E8D5"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01250581" w14:textId="77777777" w:rsidR="00595C25" w:rsidRPr="00B44B19" w:rsidRDefault="00595C25" w:rsidP="00595C25">
            <w:pPr>
              <w:rPr>
                <w:rFonts w:eastAsia="Calibri" w:cs="Times New Roman"/>
                <w:sz w:val="22"/>
              </w:rPr>
            </w:pPr>
            <w:r w:rsidRPr="00B44B19">
              <w:rPr>
                <w:rFonts w:eastAsia="Calibri" w:cs="Times New Roman"/>
                <w:sz w:val="22"/>
              </w:rPr>
              <w:t>ilgalaikė renovacijos strategija</w:t>
            </w:r>
          </w:p>
        </w:tc>
      </w:tr>
      <w:tr w:rsidR="00595C25" w:rsidRPr="00B44B19" w14:paraId="4D9CF425" w14:textId="77777777" w:rsidTr="00F8763F">
        <w:tc>
          <w:tcPr>
            <w:tcW w:w="1758" w:type="dxa"/>
          </w:tcPr>
          <w:p w14:paraId="2D21AB1B" w14:textId="77777777" w:rsidR="00595C25" w:rsidRPr="00B44B19" w:rsidRDefault="00595C25" w:rsidP="00595C25">
            <w:pPr>
              <w:rPr>
                <w:rFonts w:eastAsia="Calibri" w:cs="Times New Roman"/>
                <w:sz w:val="22"/>
              </w:rPr>
            </w:pPr>
            <w:r w:rsidRPr="00B44B19">
              <w:rPr>
                <w:rFonts w:eastAsia="Calibri" w:cs="Times New Roman"/>
                <w:sz w:val="22"/>
              </w:rPr>
              <w:t>IRT</w:t>
            </w:r>
          </w:p>
        </w:tc>
        <w:tc>
          <w:tcPr>
            <w:tcW w:w="236" w:type="dxa"/>
          </w:tcPr>
          <w:p w14:paraId="7FAE044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51E8088D" w14:textId="77777777" w:rsidR="00595C25" w:rsidRPr="00B44B19" w:rsidRDefault="00595C25" w:rsidP="00595C25">
            <w:pPr>
              <w:rPr>
                <w:rFonts w:eastAsia="Calibri" w:cs="Times New Roman"/>
                <w:sz w:val="22"/>
              </w:rPr>
            </w:pPr>
            <w:r w:rsidRPr="00B44B19">
              <w:rPr>
                <w:rFonts w:eastAsia="Calibri" w:cs="Times New Roman"/>
                <w:sz w:val="22"/>
              </w:rPr>
              <w:t>informacinės ir ryšių technologijos</w:t>
            </w:r>
          </w:p>
        </w:tc>
      </w:tr>
      <w:tr w:rsidR="00595C25" w:rsidRPr="00B44B19" w14:paraId="6E04EEE4" w14:textId="77777777" w:rsidTr="00F8763F">
        <w:tc>
          <w:tcPr>
            <w:tcW w:w="1758" w:type="dxa"/>
          </w:tcPr>
          <w:p w14:paraId="194F1100" w14:textId="77777777" w:rsidR="00595C25" w:rsidRPr="00B44B19" w:rsidRDefault="00595C25" w:rsidP="00595C25">
            <w:pPr>
              <w:rPr>
                <w:rFonts w:eastAsia="Calibri" w:cs="Times New Roman"/>
                <w:sz w:val="22"/>
              </w:rPr>
            </w:pPr>
            <w:r w:rsidRPr="00B44B19">
              <w:rPr>
                <w:rFonts w:eastAsia="AngsanaUPC" w:cs="Times New Roman"/>
                <w:bCs/>
                <w:sz w:val="22"/>
                <w:lang w:eastAsia="lt-LT"/>
              </w:rPr>
              <w:t>IT</w:t>
            </w:r>
          </w:p>
        </w:tc>
        <w:tc>
          <w:tcPr>
            <w:tcW w:w="236" w:type="dxa"/>
          </w:tcPr>
          <w:p w14:paraId="094BF38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1C99925" w14:textId="77777777" w:rsidR="00595C25" w:rsidRPr="00B44B19" w:rsidRDefault="00595C25" w:rsidP="00595C25">
            <w:pPr>
              <w:rPr>
                <w:rFonts w:eastAsia="Calibri" w:cs="Times New Roman"/>
                <w:sz w:val="22"/>
              </w:rPr>
            </w:pPr>
            <w:r w:rsidRPr="00B44B19">
              <w:rPr>
                <w:rFonts w:eastAsia="AngsanaUPC" w:cs="Times New Roman"/>
                <w:bCs/>
                <w:sz w:val="22"/>
                <w:lang w:eastAsia="lt-LT"/>
              </w:rPr>
              <w:t>informacinės technologijos</w:t>
            </w:r>
          </w:p>
        </w:tc>
      </w:tr>
      <w:tr w:rsidR="00595C25" w:rsidRPr="00B44B19" w14:paraId="0D248F2D" w14:textId="77777777" w:rsidTr="00F8763F">
        <w:tc>
          <w:tcPr>
            <w:tcW w:w="1758" w:type="dxa"/>
          </w:tcPr>
          <w:p w14:paraId="4E4D817C" w14:textId="77777777" w:rsidR="00595C25" w:rsidRPr="00B44B19" w:rsidRDefault="00595C25" w:rsidP="00595C25">
            <w:pPr>
              <w:rPr>
                <w:rFonts w:eastAsia="AngsanaUPC" w:cs="Times New Roman"/>
                <w:bCs/>
                <w:sz w:val="22"/>
                <w:lang w:eastAsia="lt-LT"/>
              </w:rPr>
            </w:pPr>
            <w:r w:rsidRPr="00B44B19">
              <w:rPr>
                <w:rFonts w:eastAsia="Calibri" w:cs="Times New Roman"/>
                <w:sz w:val="22"/>
              </w:rPr>
              <w:t>ITI</w:t>
            </w:r>
          </w:p>
        </w:tc>
        <w:tc>
          <w:tcPr>
            <w:tcW w:w="236" w:type="dxa"/>
          </w:tcPr>
          <w:p w14:paraId="0E6D582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3DC7FEE" w14:textId="77777777" w:rsidR="00595C25" w:rsidRPr="00B44B19" w:rsidRDefault="00595C25" w:rsidP="00595C25">
            <w:pPr>
              <w:rPr>
                <w:rFonts w:eastAsia="AngsanaUPC" w:cs="Times New Roman"/>
                <w:bCs/>
                <w:sz w:val="22"/>
                <w:lang w:eastAsia="lt-LT"/>
              </w:rPr>
            </w:pPr>
            <w:r w:rsidRPr="00B44B19">
              <w:rPr>
                <w:rFonts w:eastAsia="Calibri" w:cs="Times New Roman"/>
                <w:sz w:val="22"/>
              </w:rPr>
              <w:t>integruotos teritorinės investicijos</w:t>
            </w:r>
          </w:p>
        </w:tc>
      </w:tr>
      <w:tr w:rsidR="00595C25" w:rsidRPr="00B44B19" w14:paraId="0C61FABF" w14:textId="77777777" w:rsidTr="00F8763F">
        <w:tc>
          <w:tcPr>
            <w:tcW w:w="1758" w:type="dxa"/>
          </w:tcPr>
          <w:p w14:paraId="4E957049" w14:textId="77777777" w:rsidR="00595C25" w:rsidRPr="00B44B19" w:rsidRDefault="00595C25" w:rsidP="00595C25">
            <w:pPr>
              <w:rPr>
                <w:rFonts w:eastAsia="Calibri" w:cs="Times New Roman"/>
                <w:sz w:val="22"/>
              </w:rPr>
            </w:pPr>
            <w:r w:rsidRPr="00B44B19">
              <w:rPr>
                <w:rFonts w:eastAsia="Calibri" w:cs="Times New Roman"/>
                <w:sz w:val="22"/>
              </w:rPr>
              <w:t>ITP</w:t>
            </w:r>
          </w:p>
        </w:tc>
        <w:tc>
          <w:tcPr>
            <w:tcW w:w="236" w:type="dxa"/>
          </w:tcPr>
          <w:p w14:paraId="56019089"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512C6D1" w14:textId="77777777" w:rsidR="00595C25" w:rsidRPr="00B44B19" w:rsidRDefault="00595C25" w:rsidP="00595C25">
            <w:pPr>
              <w:rPr>
                <w:rFonts w:eastAsia="Calibri" w:cs="Times New Roman"/>
                <w:sz w:val="22"/>
              </w:rPr>
            </w:pPr>
            <w:r w:rsidRPr="00B44B19">
              <w:rPr>
                <w:rFonts w:eastAsia="Calibri" w:cs="Times New Roman"/>
                <w:sz w:val="22"/>
              </w:rPr>
              <w:t>integruota teritorinė plėtra</w:t>
            </w:r>
          </w:p>
        </w:tc>
      </w:tr>
      <w:tr w:rsidR="00595C25" w:rsidRPr="00B44B19" w14:paraId="772CE8F2" w14:textId="77777777" w:rsidTr="00F8763F">
        <w:tc>
          <w:tcPr>
            <w:tcW w:w="1758" w:type="dxa"/>
          </w:tcPr>
          <w:p w14:paraId="25DD3B6B" w14:textId="77777777" w:rsidR="00595C25" w:rsidRPr="00B44B19" w:rsidRDefault="00595C25" w:rsidP="00595C25">
            <w:pPr>
              <w:rPr>
                <w:rFonts w:eastAsia="Calibri" w:cs="Times New Roman"/>
                <w:sz w:val="22"/>
              </w:rPr>
            </w:pPr>
            <w:r w:rsidRPr="00B44B19">
              <w:rPr>
                <w:rFonts w:eastAsia="Calibri" w:cs="Times New Roman"/>
                <w:sz w:val="22"/>
              </w:rPr>
              <w:t>ITS</w:t>
            </w:r>
          </w:p>
        </w:tc>
        <w:tc>
          <w:tcPr>
            <w:tcW w:w="236" w:type="dxa"/>
          </w:tcPr>
          <w:p w14:paraId="333D3D08"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F5B287B" w14:textId="77777777" w:rsidR="00595C25" w:rsidRPr="00B44B19" w:rsidRDefault="00595C25" w:rsidP="00595C25">
            <w:pPr>
              <w:rPr>
                <w:rFonts w:eastAsia="Calibri" w:cs="Times New Roman"/>
                <w:sz w:val="22"/>
              </w:rPr>
            </w:pPr>
            <w:r w:rsidRPr="00B44B19">
              <w:rPr>
                <w:rFonts w:eastAsia="Calibri" w:cs="Times New Roman"/>
                <w:bCs/>
                <w:sz w:val="22"/>
              </w:rPr>
              <w:t>intelektinės transporto sistemos</w:t>
            </w:r>
          </w:p>
        </w:tc>
      </w:tr>
      <w:tr w:rsidR="00595C25" w:rsidRPr="00B44B19" w14:paraId="4862B863" w14:textId="77777777" w:rsidTr="00F65785">
        <w:tc>
          <w:tcPr>
            <w:tcW w:w="1758" w:type="dxa"/>
          </w:tcPr>
          <w:p w14:paraId="10F18C32" w14:textId="77777777" w:rsidR="00595C25" w:rsidRPr="00B44B19" w:rsidRDefault="00595C25" w:rsidP="00595C25">
            <w:pPr>
              <w:rPr>
                <w:rFonts w:eastAsia="Calibri" w:cs="Times New Roman"/>
                <w:sz w:val="22"/>
              </w:rPr>
            </w:pPr>
            <w:r w:rsidRPr="00B44B19">
              <w:rPr>
                <w:rFonts w:cs="Times New Roman"/>
                <w:bCs/>
                <w:szCs w:val="24"/>
              </w:rPr>
              <w:t>JTNTK</w:t>
            </w:r>
          </w:p>
        </w:tc>
        <w:tc>
          <w:tcPr>
            <w:tcW w:w="236" w:type="dxa"/>
          </w:tcPr>
          <w:p w14:paraId="1D9C0C72"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06962053" w14:textId="77777777" w:rsidR="00595C25" w:rsidRPr="00B44B19" w:rsidRDefault="00595C25" w:rsidP="00595C25">
            <w:pPr>
              <w:rPr>
                <w:rFonts w:eastAsia="Calibri" w:cs="Times New Roman"/>
                <w:bCs/>
                <w:sz w:val="22"/>
              </w:rPr>
            </w:pPr>
            <w:r w:rsidRPr="00B44B19">
              <w:rPr>
                <w:rFonts w:eastAsia="Calibri" w:cs="Times New Roman"/>
                <w:bCs/>
                <w:sz w:val="22"/>
              </w:rPr>
              <w:t>Jungtinių Tautų neįgaliųjų teisių konvencija</w:t>
            </w:r>
          </w:p>
        </w:tc>
      </w:tr>
      <w:tr w:rsidR="00595C25" w:rsidRPr="00B44B19" w14:paraId="700D9ACA" w14:textId="77777777" w:rsidTr="00F8763F">
        <w:tc>
          <w:tcPr>
            <w:tcW w:w="1758" w:type="dxa"/>
          </w:tcPr>
          <w:p w14:paraId="0E489C90" w14:textId="77777777" w:rsidR="00595C25" w:rsidRPr="00B44B19" w:rsidRDefault="00595C25" w:rsidP="00595C25">
            <w:pPr>
              <w:rPr>
                <w:rFonts w:eastAsia="Calibri" w:cs="Times New Roman"/>
                <w:sz w:val="22"/>
              </w:rPr>
            </w:pPr>
            <w:r w:rsidRPr="00B44B19">
              <w:rPr>
                <w:rFonts w:eastAsia="Calibri" w:cs="Times New Roman"/>
                <w:sz w:val="22"/>
              </w:rPr>
              <w:t>KKI</w:t>
            </w:r>
          </w:p>
        </w:tc>
        <w:tc>
          <w:tcPr>
            <w:tcW w:w="236" w:type="dxa"/>
          </w:tcPr>
          <w:p w14:paraId="12AAF7B0"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3ECD754" w14:textId="77777777" w:rsidR="00595C25" w:rsidRPr="00B44B19" w:rsidRDefault="00595C25" w:rsidP="00595C25">
            <w:pPr>
              <w:rPr>
                <w:rFonts w:eastAsia="Calibri" w:cs="Times New Roman"/>
                <w:sz w:val="22"/>
              </w:rPr>
            </w:pPr>
            <w:r w:rsidRPr="00B44B19">
              <w:rPr>
                <w:rFonts w:eastAsia="Times New Roman" w:cs="Times New Roman"/>
                <w:bCs/>
                <w:sz w:val="22"/>
              </w:rPr>
              <w:t>kultūros ir kūrybinės industrijos</w:t>
            </w:r>
          </w:p>
        </w:tc>
      </w:tr>
      <w:tr w:rsidR="00595C25" w:rsidRPr="00B44B19" w14:paraId="04C1FF02" w14:textId="77777777" w:rsidTr="00F8763F">
        <w:tc>
          <w:tcPr>
            <w:tcW w:w="1758" w:type="dxa"/>
          </w:tcPr>
          <w:p w14:paraId="54F81917" w14:textId="77777777" w:rsidR="00595C25" w:rsidRPr="00B44B19" w:rsidRDefault="00595C25" w:rsidP="00595C25">
            <w:pPr>
              <w:rPr>
                <w:rFonts w:eastAsia="Calibri" w:cs="Times New Roman"/>
                <w:bCs/>
                <w:sz w:val="22"/>
                <w:lang w:bidi="lt-LT"/>
              </w:rPr>
            </w:pPr>
            <w:r w:rsidRPr="00B44B19">
              <w:rPr>
                <w:rFonts w:eastAsia="Calibri" w:cs="Times New Roman"/>
                <w:sz w:val="22"/>
              </w:rPr>
              <w:t>LSD</w:t>
            </w:r>
          </w:p>
        </w:tc>
        <w:tc>
          <w:tcPr>
            <w:tcW w:w="236" w:type="dxa"/>
          </w:tcPr>
          <w:p w14:paraId="4CE75BC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2B99625" w14:textId="77777777" w:rsidR="00595C25" w:rsidRPr="00B44B19" w:rsidRDefault="00595C25" w:rsidP="00595C25">
            <w:pPr>
              <w:rPr>
                <w:rFonts w:eastAsia="Calibri" w:cs="Times New Roman"/>
                <w:bCs/>
                <w:sz w:val="22"/>
                <w:lang w:bidi="lt-LT"/>
              </w:rPr>
            </w:pPr>
            <w:r w:rsidRPr="00B44B19">
              <w:rPr>
                <w:rFonts w:eastAsia="Calibri" w:cs="Times New Roman"/>
                <w:sz w:val="22"/>
              </w:rPr>
              <w:t>Lietuvos statistikos departamentas</w:t>
            </w:r>
          </w:p>
        </w:tc>
      </w:tr>
      <w:tr w:rsidR="00595C25" w:rsidRPr="00B44B19" w14:paraId="66881B01" w14:textId="77777777" w:rsidTr="00F8763F">
        <w:tc>
          <w:tcPr>
            <w:tcW w:w="1758" w:type="dxa"/>
          </w:tcPr>
          <w:p w14:paraId="2160A2FB" w14:textId="77777777" w:rsidR="00595C25" w:rsidRPr="00B44B19" w:rsidRDefault="00595C25" w:rsidP="00595C25">
            <w:pPr>
              <w:rPr>
                <w:rFonts w:eastAsia="Calibri" w:cs="Times New Roman"/>
                <w:sz w:val="22"/>
              </w:rPr>
            </w:pPr>
            <w:r w:rsidRPr="00B44B19">
              <w:rPr>
                <w:rFonts w:eastAsia="Calibri" w:cs="Times New Roman"/>
                <w:sz w:val="22"/>
              </w:rPr>
              <w:t>LTIPP</w:t>
            </w:r>
          </w:p>
        </w:tc>
        <w:tc>
          <w:tcPr>
            <w:tcW w:w="236" w:type="dxa"/>
          </w:tcPr>
          <w:p w14:paraId="135933F4"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02AD707" w14:textId="77777777" w:rsidR="00595C25" w:rsidRPr="00B44B19" w:rsidRDefault="00595C25" w:rsidP="00595C25">
            <w:pPr>
              <w:rPr>
                <w:rFonts w:eastAsia="Calibri" w:cs="Times New Roman"/>
                <w:sz w:val="22"/>
              </w:rPr>
            </w:pPr>
            <w:r w:rsidRPr="00B44B19">
              <w:rPr>
                <w:rFonts w:eastAsia="Calibri" w:cs="Times New Roman"/>
                <w:sz w:val="22"/>
              </w:rPr>
              <w:t>Lietuvos transporto infrastruktūros plėtros iki 2030 m. planas</w:t>
            </w:r>
          </w:p>
        </w:tc>
      </w:tr>
      <w:tr w:rsidR="00595C25" w:rsidRPr="00B44B19" w14:paraId="760B95E6" w14:textId="77777777" w:rsidTr="00F8763F">
        <w:tc>
          <w:tcPr>
            <w:tcW w:w="1758" w:type="dxa"/>
          </w:tcPr>
          <w:p w14:paraId="0E80F20C" w14:textId="77777777" w:rsidR="00595C25" w:rsidRPr="00B44B19" w:rsidRDefault="00595C25" w:rsidP="00595C25">
            <w:pPr>
              <w:rPr>
                <w:rFonts w:eastAsia="Calibri" w:cs="Times New Roman"/>
                <w:sz w:val="22"/>
              </w:rPr>
            </w:pPr>
            <w:r w:rsidRPr="00B44B19">
              <w:rPr>
                <w:rFonts w:eastAsia="Calibri" w:cs="Times New Roman"/>
                <w:sz w:val="22"/>
              </w:rPr>
              <w:t>MSI</w:t>
            </w:r>
          </w:p>
        </w:tc>
        <w:tc>
          <w:tcPr>
            <w:tcW w:w="236" w:type="dxa"/>
          </w:tcPr>
          <w:p w14:paraId="03D2736E"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BA2F7DC" w14:textId="77777777" w:rsidR="00595C25" w:rsidRPr="00B44B19" w:rsidRDefault="00595C25" w:rsidP="00595C25">
            <w:pPr>
              <w:rPr>
                <w:rFonts w:eastAsia="Calibri" w:cs="Times New Roman"/>
                <w:sz w:val="22"/>
              </w:rPr>
            </w:pPr>
            <w:r w:rsidRPr="00B44B19">
              <w:rPr>
                <w:rFonts w:eastAsia="Calibri" w:cs="Times New Roman"/>
                <w:sz w:val="22"/>
              </w:rPr>
              <w:t>mokslo ir studijų institucijos</w:t>
            </w:r>
          </w:p>
        </w:tc>
      </w:tr>
      <w:tr w:rsidR="00595C25" w:rsidRPr="00B44B19" w14:paraId="0FEB5211" w14:textId="77777777" w:rsidTr="00F8763F">
        <w:tc>
          <w:tcPr>
            <w:tcW w:w="1758" w:type="dxa"/>
          </w:tcPr>
          <w:p w14:paraId="358296BC" w14:textId="77777777" w:rsidR="00595C25" w:rsidRPr="00B44B19" w:rsidRDefault="00595C25" w:rsidP="00595C25">
            <w:pPr>
              <w:rPr>
                <w:rFonts w:eastAsia="Calibri" w:cs="Times New Roman"/>
                <w:sz w:val="22"/>
              </w:rPr>
            </w:pPr>
            <w:r w:rsidRPr="00B44B19">
              <w:rPr>
                <w:rFonts w:eastAsia="Calibri" w:cs="Times New Roman"/>
                <w:sz w:val="22"/>
              </w:rPr>
              <w:t>MTEP</w:t>
            </w:r>
          </w:p>
        </w:tc>
        <w:tc>
          <w:tcPr>
            <w:tcW w:w="236" w:type="dxa"/>
          </w:tcPr>
          <w:p w14:paraId="6DDD7FA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5768C25" w14:textId="77777777" w:rsidR="00595C25" w:rsidRPr="00B44B19" w:rsidRDefault="00595C25" w:rsidP="00595C25">
            <w:pPr>
              <w:rPr>
                <w:rFonts w:eastAsia="Calibri" w:cs="Times New Roman"/>
                <w:sz w:val="22"/>
              </w:rPr>
            </w:pPr>
            <w:r w:rsidRPr="00B44B19">
              <w:rPr>
                <w:rFonts w:eastAsia="Calibri" w:cs="Times New Roman"/>
                <w:sz w:val="22"/>
              </w:rPr>
              <w:t>moksliniai tyrimai ir eksperimentinė plėtra</w:t>
            </w:r>
          </w:p>
        </w:tc>
      </w:tr>
      <w:tr w:rsidR="00595C25" w:rsidRPr="00B44B19" w14:paraId="20650523" w14:textId="77777777" w:rsidTr="00F8763F">
        <w:tc>
          <w:tcPr>
            <w:tcW w:w="1758" w:type="dxa"/>
          </w:tcPr>
          <w:p w14:paraId="51B81BDC" w14:textId="77777777" w:rsidR="00595C25" w:rsidRPr="00B44B19" w:rsidRDefault="00595C25" w:rsidP="00595C25">
            <w:pPr>
              <w:rPr>
                <w:rFonts w:eastAsia="Calibri" w:cs="Times New Roman"/>
                <w:sz w:val="22"/>
              </w:rPr>
            </w:pPr>
            <w:r w:rsidRPr="00B44B19">
              <w:rPr>
                <w:rFonts w:eastAsia="Calibri" w:cs="Times New Roman"/>
                <w:sz w:val="22"/>
              </w:rPr>
              <w:t>MTEPI</w:t>
            </w:r>
          </w:p>
        </w:tc>
        <w:tc>
          <w:tcPr>
            <w:tcW w:w="236" w:type="dxa"/>
          </w:tcPr>
          <w:p w14:paraId="1F119DEA"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01E3EF6E" w14:textId="77777777" w:rsidR="00595C25" w:rsidRPr="00B44B19" w:rsidRDefault="00595C25" w:rsidP="00595C25">
            <w:pPr>
              <w:rPr>
                <w:rFonts w:eastAsia="Calibri" w:cs="Times New Roman"/>
                <w:sz w:val="22"/>
              </w:rPr>
            </w:pPr>
            <w:r w:rsidRPr="00B44B19">
              <w:rPr>
                <w:rFonts w:eastAsia="Calibri" w:cs="Times New Roman"/>
                <w:sz w:val="22"/>
              </w:rPr>
              <w:t>moksliniai tyrimai, eksperimentinė plėtra ir inovacijos</w:t>
            </w:r>
          </w:p>
        </w:tc>
      </w:tr>
      <w:tr w:rsidR="00595C25" w:rsidRPr="00B44B19" w14:paraId="69D5A1DA" w14:textId="77777777" w:rsidTr="00F8763F">
        <w:tc>
          <w:tcPr>
            <w:tcW w:w="1758" w:type="dxa"/>
          </w:tcPr>
          <w:p w14:paraId="5E82CFB4" w14:textId="77777777" w:rsidR="00595C25" w:rsidRPr="00B44B19" w:rsidRDefault="00595C25" w:rsidP="00595C25">
            <w:pPr>
              <w:rPr>
                <w:rFonts w:eastAsia="Calibri" w:cs="Times New Roman"/>
                <w:sz w:val="22"/>
              </w:rPr>
            </w:pPr>
            <w:r w:rsidRPr="00B44B19">
              <w:rPr>
                <w:rFonts w:eastAsia="Calibri" w:cs="Times New Roman"/>
                <w:sz w:val="22"/>
              </w:rPr>
              <w:t>MTI</w:t>
            </w:r>
          </w:p>
        </w:tc>
        <w:tc>
          <w:tcPr>
            <w:tcW w:w="236" w:type="dxa"/>
          </w:tcPr>
          <w:p w14:paraId="5B6721E0"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E8B8763" w14:textId="77777777" w:rsidR="00595C25" w:rsidRPr="00B44B19" w:rsidRDefault="00595C25" w:rsidP="00595C25">
            <w:pPr>
              <w:rPr>
                <w:rFonts w:eastAsia="Calibri" w:cs="Times New Roman"/>
                <w:sz w:val="22"/>
              </w:rPr>
            </w:pPr>
            <w:r w:rsidRPr="00B44B19">
              <w:rPr>
                <w:rFonts w:eastAsia="Calibri" w:cs="Times New Roman"/>
                <w:sz w:val="22"/>
              </w:rPr>
              <w:t>mokslas, technologijos ir inovacijos</w:t>
            </w:r>
          </w:p>
        </w:tc>
      </w:tr>
      <w:tr w:rsidR="00595C25" w:rsidRPr="00B44B19" w14:paraId="77828D00" w14:textId="77777777" w:rsidTr="00F8763F">
        <w:tc>
          <w:tcPr>
            <w:tcW w:w="1758" w:type="dxa"/>
          </w:tcPr>
          <w:p w14:paraId="43AF0D93" w14:textId="77777777" w:rsidR="00595C25" w:rsidRPr="00B44B19" w:rsidRDefault="00595C25" w:rsidP="00595C25">
            <w:pPr>
              <w:rPr>
                <w:rFonts w:eastAsia="Calibri" w:cs="Times New Roman"/>
                <w:sz w:val="22"/>
              </w:rPr>
            </w:pPr>
            <w:r w:rsidRPr="00B44B19">
              <w:rPr>
                <w:rFonts w:eastAsia="Calibri" w:cs="Times New Roman"/>
                <w:sz w:val="22"/>
              </w:rPr>
              <w:t>MVĮ</w:t>
            </w:r>
          </w:p>
        </w:tc>
        <w:tc>
          <w:tcPr>
            <w:tcW w:w="236" w:type="dxa"/>
          </w:tcPr>
          <w:p w14:paraId="2DA89107"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6D07E1A" w14:textId="77777777" w:rsidR="00595C25" w:rsidRPr="00B44B19" w:rsidRDefault="00595C25" w:rsidP="00595C25">
            <w:pPr>
              <w:rPr>
                <w:rFonts w:eastAsia="Calibri" w:cs="Times New Roman"/>
                <w:sz w:val="22"/>
              </w:rPr>
            </w:pPr>
            <w:r w:rsidRPr="00B44B19">
              <w:rPr>
                <w:rFonts w:eastAsia="Calibri" w:cs="Times New Roman"/>
                <w:sz w:val="22"/>
              </w:rPr>
              <w:t>mažos ir vidutinės įmonės</w:t>
            </w:r>
          </w:p>
        </w:tc>
      </w:tr>
      <w:tr w:rsidR="00595C25" w:rsidRPr="00B44B19" w14:paraId="74208F31" w14:textId="77777777" w:rsidTr="00F8763F">
        <w:tc>
          <w:tcPr>
            <w:tcW w:w="1758" w:type="dxa"/>
          </w:tcPr>
          <w:p w14:paraId="666825DE" w14:textId="77777777" w:rsidR="00595C25" w:rsidRPr="00B44B19" w:rsidRDefault="00595C25" w:rsidP="00595C25">
            <w:pPr>
              <w:rPr>
                <w:rFonts w:eastAsia="Calibri" w:cs="Times New Roman"/>
                <w:sz w:val="22"/>
              </w:rPr>
            </w:pPr>
            <w:r w:rsidRPr="00B44B19">
              <w:rPr>
                <w:rFonts w:eastAsia="Calibri" w:cs="Times New Roman"/>
                <w:sz w:val="22"/>
              </w:rPr>
              <w:t>MVG</w:t>
            </w:r>
          </w:p>
        </w:tc>
        <w:tc>
          <w:tcPr>
            <w:tcW w:w="236" w:type="dxa"/>
          </w:tcPr>
          <w:p w14:paraId="4481B301"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EBD02C8" w14:textId="77777777" w:rsidR="00595C25" w:rsidRPr="00B44B19" w:rsidRDefault="00595C25" w:rsidP="00595C25">
            <w:pPr>
              <w:rPr>
                <w:rFonts w:eastAsia="Calibri" w:cs="Times New Roman"/>
                <w:sz w:val="22"/>
              </w:rPr>
            </w:pPr>
            <w:r w:rsidRPr="00B44B19">
              <w:rPr>
                <w:rFonts w:eastAsia="Calibri" w:cs="Times New Roman"/>
                <w:sz w:val="22"/>
              </w:rPr>
              <w:t>mokymasis visą gyvenimą</w:t>
            </w:r>
          </w:p>
        </w:tc>
      </w:tr>
      <w:tr w:rsidR="00595C25" w:rsidRPr="00B44B19" w14:paraId="09F93873" w14:textId="77777777" w:rsidTr="00F8763F">
        <w:tc>
          <w:tcPr>
            <w:tcW w:w="1758" w:type="dxa"/>
          </w:tcPr>
          <w:p w14:paraId="20223128" w14:textId="77777777" w:rsidR="00595C25" w:rsidRPr="00B44B19" w:rsidRDefault="00595C25" w:rsidP="00595C25">
            <w:pPr>
              <w:rPr>
                <w:rFonts w:eastAsia="Calibri" w:cs="Times New Roman"/>
                <w:sz w:val="22"/>
              </w:rPr>
            </w:pPr>
            <w:r w:rsidRPr="00B44B19">
              <w:rPr>
                <w:rFonts w:eastAsia="Calibri" w:cs="Times New Roman"/>
                <w:bCs/>
                <w:sz w:val="22"/>
              </w:rPr>
              <w:t>NEET jaunimas</w:t>
            </w:r>
          </w:p>
        </w:tc>
        <w:tc>
          <w:tcPr>
            <w:tcW w:w="236" w:type="dxa"/>
          </w:tcPr>
          <w:p w14:paraId="5AC483C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001391F" w14:textId="77777777" w:rsidR="00595C25" w:rsidRPr="00B44B19" w:rsidRDefault="00595C25" w:rsidP="00595C25">
            <w:pPr>
              <w:rPr>
                <w:rFonts w:eastAsia="Calibri" w:cs="Times New Roman"/>
                <w:sz w:val="22"/>
              </w:rPr>
            </w:pPr>
            <w:r w:rsidRPr="00B44B19">
              <w:rPr>
                <w:rFonts w:eastAsia="Calibri" w:cs="Times New Roman"/>
                <w:bCs/>
                <w:sz w:val="22"/>
              </w:rPr>
              <w:t>nedirbantis, nesimokantis ir praktikos neatliekantis jaunimas</w:t>
            </w:r>
          </w:p>
        </w:tc>
      </w:tr>
      <w:tr w:rsidR="00595C25" w:rsidRPr="00B44B19" w14:paraId="096F1955" w14:textId="77777777" w:rsidTr="00F8763F">
        <w:tc>
          <w:tcPr>
            <w:tcW w:w="1758" w:type="dxa"/>
          </w:tcPr>
          <w:p w14:paraId="38F7539E" w14:textId="77777777" w:rsidR="00595C25" w:rsidRPr="00B44B19" w:rsidRDefault="00595C25" w:rsidP="00595C25">
            <w:pPr>
              <w:rPr>
                <w:rFonts w:eastAsia="Calibri" w:cs="Times New Roman"/>
                <w:bCs/>
                <w:sz w:val="22"/>
              </w:rPr>
            </w:pPr>
            <w:r w:rsidRPr="00B44B19">
              <w:rPr>
                <w:rFonts w:eastAsia="Calibri" w:cs="Times New Roman"/>
                <w:bCs/>
                <w:sz w:val="22"/>
              </w:rPr>
              <w:lastRenderedPageBreak/>
              <w:t>NENS</w:t>
            </w:r>
          </w:p>
        </w:tc>
        <w:tc>
          <w:tcPr>
            <w:tcW w:w="236" w:type="dxa"/>
          </w:tcPr>
          <w:p w14:paraId="034FA4F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2177BBDF" w14:textId="77777777" w:rsidR="00595C25" w:rsidRPr="00B44B19" w:rsidRDefault="00595C25" w:rsidP="00595C25">
            <w:pPr>
              <w:rPr>
                <w:rFonts w:eastAsia="Calibri" w:cs="Times New Roman"/>
                <w:bCs/>
                <w:sz w:val="22"/>
              </w:rPr>
            </w:pPr>
            <w:r w:rsidRPr="00B44B19">
              <w:rPr>
                <w:rFonts w:eastAsia="AngsanaUPC" w:cs="Times New Roman"/>
                <w:bCs/>
                <w:sz w:val="22"/>
                <w:lang w:eastAsia="lt-LT"/>
              </w:rPr>
              <w:t>Nacionalinė energetinės nepriklausomybės strategija</w:t>
            </w:r>
          </w:p>
        </w:tc>
      </w:tr>
      <w:tr w:rsidR="00595C25" w:rsidRPr="00B44B19" w14:paraId="3454B74D" w14:textId="77777777" w:rsidTr="00F8763F">
        <w:tc>
          <w:tcPr>
            <w:tcW w:w="1758" w:type="dxa"/>
          </w:tcPr>
          <w:p w14:paraId="062B88A8" w14:textId="77777777" w:rsidR="00595C25" w:rsidRPr="00B44B19" w:rsidRDefault="00595C25" w:rsidP="00595C25">
            <w:pPr>
              <w:rPr>
                <w:rFonts w:eastAsia="Calibri" w:cs="Times New Roman"/>
                <w:bCs/>
                <w:sz w:val="22"/>
              </w:rPr>
            </w:pPr>
            <w:r w:rsidRPr="00B44B19">
              <w:rPr>
                <w:rFonts w:eastAsia="AngsanaUPC" w:cs="Times New Roman"/>
                <w:bCs/>
                <w:sz w:val="22"/>
                <w:lang w:eastAsia="lt-LT"/>
              </w:rPr>
              <w:t>NEKSVP</w:t>
            </w:r>
          </w:p>
        </w:tc>
        <w:tc>
          <w:tcPr>
            <w:tcW w:w="236" w:type="dxa"/>
          </w:tcPr>
          <w:p w14:paraId="4F26400A"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0973A384"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Nacionalinis energetikos ir klimato srities veiksmų planas</w:t>
            </w:r>
          </w:p>
        </w:tc>
      </w:tr>
      <w:tr w:rsidR="00595C25" w:rsidRPr="00B44B19" w14:paraId="70DAEB7C" w14:textId="77777777" w:rsidTr="00F8763F">
        <w:tc>
          <w:tcPr>
            <w:tcW w:w="1758" w:type="dxa"/>
          </w:tcPr>
          <w:p w14:paraId="3108CF3A"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NKL</w:t>
            </w:r>
          </w:p>
        </w:tc>
        <w:tc>
          <w:tcPr>
            <w:tcW w:w="236" w:type="dxa"/>
          </w:tcPr>
          <w:p w14:paraId="3A02BE2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64504EE"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Ekonomikos gaivinimo ir atsparumo didinimo priemonės planas „Naujos kartos Lietuva“</w:t>
            </w:r>
          </w:p>
        </w:tc>
      </w:tr>
      <w:tr w:rsidR="00595C25" w:rsidRPr="00B44B19" w14:paraId="45F68E5A" w14:textId="77777777" w:rsidTr="00F8763F">
        <w:tc>
          <w:tcPr>
            <w:tcW w:w="1758" w:type="dxa"/>
          </w:tcPr>
          <w:p w14:paraId="1988E9C3"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NPP</w:t>
            </w:r>
          </w:p>
        </w:tc>
        <w:tc>
          <w:tcPr>
            <w:tcW w:w="236" w:type="dxa"/>
          </w:tcPr>
          <w:p w14:paraId="347C9F1A"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2BF08A4E" w14:textId="77777777" w:rsidR="00595C25" w:rsidRPr="00B44B19" w:rsidRDefault="00595C25" w:rsidP="00595C25">
            <w:pPr>
              <w:rPr>
                <w:rFonts w:eastAsia="AngsanaUPC" w:cs="Times New Roman"/>
                <w:bCs/>
                <w:sz w:val="22"/>
                <w:lang w:eastAsia="lt-LT"/>
              </w:rPr>
            </w:pPr>
            <w:r w:rsidRPr="00B44B19">
              <w:rPr>
                <w:rFonts w:eastAsia="Calibri" w:cs="Times New Roman"/>
                <w:sz w:val="22"/>
              </w:rPr>
              <w:t>2021–2030 metų nacionalinis pažangos planas</w:t>
            </w:r>
          </w:p>
        </w:tc>
      </w:tr>
      <w:tr w:rsidR="00595C25" w:rsidRPr="00B44B19" w14:paraId="040E2594" w14:textId="77777777" w:rsidTr="00F8763F">
        <w:tc>
          <w:tcPr>
            <w:tcW w:w="1758" w:type="dxa"/>
          </w:tcPr>
          <w:p w14:paraId="1EBFFF7E"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NRŽ</w:t>
            </w:r>
          </w:p>
        </w:tc>
        <w:tc>
          <w:tcPr>
            <w:tcW w:w="236" w:type="dxa"/>
          </w:tcPr>
          <w:p w14:paraId="46B954B9"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EF40FC7" w14:textId="77777777" w:rsidR="00595C25" w:rsidRPr="00B44B19" w:rsidRDefault="00595C25" w:rsidP="00595C25">
            <w:pPr>
              <w:rPr>
                <w:rFonts w:eastAsia="Calibri" w:cs="Times New Roman"/>
                <w:sz w:val="22"/>
              </w:rPr>
            </w:pPr>
            <w:r w:rsidRPr="00B44B19">
              <w:rPr>
                <w:rFonts w:eastAsia="Calibri" w:cs="Times New Roman"/>
                <w:sz w:val="22"/>
              </w:rPr>
              <w:t xml:space="preserve">„Nedarome reikšmingos žalos“ principas (angl. </w:t>
            </w:r>
            <w:r w:rsidRPr="00B44B19">
              <w:rPr>
                <w:rFonts w:eastAsia="Times New Roman" w:cs="Times New Roman"/>
                <w:i/>
                <w:sz w:val="22"/>
                <w:lang w:val="en-IE"/>
              </w:rPr>
              <w:t>Do-No-Significant Harm</w:t>
            </w:r>
            <w:r w:rsidRPr="00B44B19">
              <w:rPr>
                <w:rFonts w:eastAsia="Times New Roman" w:cs="Times New Roman"/>
                <w:sz w:val="22"/>
                <w:lang w:val="en-IE"/>
              </w:rPr>
              <w:t>)</w:t>
            </w:r>
          </w:p>
        </w:tc>
      </w:tr>
      <w:tr w:rsidR="00595C25" w:rsidRPr="00B44B19" w14:paraId="7DAAC130" w14:textId="77777777" w:rsidTr="00F8763F">
        <w:tc>
          <w:tcPr>
            <w:tcW w:w="1758" w:type="dxa"/>
          </w:tcPr>
          <w:p w14:paraId="2DC461E7"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NUTS</w:t>
            </w:r>
          </w:p>
        </w:tc>
        <w:tc>
          <w:tcPr>
            <w:tcW w:w="236" w:type="dxa"/>
          </w:tcPr>
          <w:p w14:paraId="61ECAB2A"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F6F58B4" w14:textId="3780B8D4" w:rsidR="00595C25" w:rsidRPr="00B44B19" w:rsidRDefault="00595C25" w:rsidP="00595C25">
            <w:pPr>
              <w:rPr>
                <w:rFonts w:eastAsia="Calibri" w:cs="Times New Roman"/>
                <w:sz w:val="22"/>
              </w:rPr>
            </w:pPr>
            <w:r w:rsidRPr="00B44B19">
              <w:rPr>
                <w:rFonts w:eastAsia="Calibri" w:cs="Times New Roman"/>
                <w:sz w:val="22"/>
              </w:rPr>
              <w:t>bendras teritorinių statistinių vienetų klasifikatorius (</w:t>
            </w:r>
            <w:r w:rsidRPr="00B44B19">
              <w:rPr>
                <w:rFonts w:cs="Times New Roman"/>
                <w:i/>
                <w:iCs/>
              </w:rPr>
              <w:t>pranc.</w:t>
            </w:r>
            <w:r w:rsidRPr="00B44B19">
              <w:rPr>
                <w:rFonts w:eastAsia="Calibri" w:cs="Times New Roman"/>
                <w:sz w:val="22"/>
              </w:rPr>
              <w:t> </w:t>
            </w:r>
            <w:r w:rsidRPr="00B44B19">
              <w:rPr>
                <w:rFonts w:eastAsia="Calibri" w:cs="Times New Roman"/>
                <w:i/>
                <w:iCs/>
                <w:sz w:val="22"/>
              </w:rPr>
              <w:t>Nomenclature des Unités Territoriales Statistiques</w:t>
            </w:r>
            <w:r w:rsidRPr="00B44B19">
              <w:rPr>
                <w:rFonts w:eastAsia="Calibri" w:cs="Times New Roman"/>
                <w:iCs/>
                <w:sz w:val="22"/>
              </w:rPr>
              <w:t>)</w:t>
            </w:r>
          </w:p>
        </w:tc>
      </w:tr>
      <w:tr w:rsidR="00595C25" w:rsidRPr="00B44B19" w14:paraId="05383B6D" w14:textId="77777777" w:rsidTr="00F8763F">
        <w:tc>
          <w:tcPr>
            <w:tcW w:w="1758" w:type="dxa"/>
          </w:tcPr>
          <w:p w14:paraId="1AC23970" w14:textId="77777777" w:rsidR="00595C25" w:rsidRPr="00B44B19" w:rsidRDefault="00595C25" w:rsidP="00595C25">
            <w:pPr>
              <w:rPr>
                <w:rFonts w:eastAsia="AngsanaUPC" w:cs="Times New Roman"/>
                <w:bCs/>
                <w:sz w:val="22"/>
                <w:lang w:eastAsia="lt-LT"/>
              </w:rPr>
            </w:pPr>
            <w:r w:rsidRPr="00B44B19">
              <w:rPr>
                <w:rFonts w:eastAsia="AngsanaUPC" w:cs="Times New Roman"/>
                <w:bCs/>
                <w:sz w:val="22"/>
                <w:lang w:eastAsia="lt-LT"/>
              </w:rPr>
              <w:t>NVO</w:t>
            </w:r>
          </w:p>
        </w:tc>
        <w:tc>
          <w:tcPr>
            <w:tcW w:w="236" w:type="dxa"/>
          </w:tcPr>
          <w:p w14:paraId="28223FDA"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4F85095" w14:textId="77777777" w:rsidR="00595C25" w:rsidRPr="00B44B19" w:rsidRDefault="00595C25" w:rsidP="00595C25">
            <w:pPr>
              <w:rPr>
                <w:rFonts w:eastAsia="Calibri" w:cs="Times New Roman"/>
                <w:sz w:val="22"/>
              </w:rPr>
            </w:pPr>
            <w:r w:rsidRPr="00B44B19">
              <w:rPr>
                <w:rFonts w:eastAsia="Calibri" w:cs="Times New Roman"/>
                <w:sz w:val="22"/>
              </w:rPr>
              <w:t>nevyriausybinės organizacijos</w:t>
            </w:r>
          </w:p>
        </w:tc>
      </w:tr>
      <w:tr w:rsidR="00595C25" w:rsidRPr="00B44B19" w14:paraId="1DD113A0" w14:textId="77777777" w:rsidTr="00F8763F">
        <w:tc>
          <w:tcPr>
            <w:tcW w:w="1758" w:type="dxa"/>
          </w:tcPr>
          <w:p w14:paraId="594C6929" w14:textId="77777777" w:rsidR="00595C25" w:rsidRPr="00B44B19" w:rsidRDefault="00595C25" w:rsidP="00595C25">
            <w:pPr>
              <w:rPr>
                <w:rFonts w:eastAsia="AngsanaUPC" w:cs="Times New Roman"/>
                <w:bCs/>
                <w:sz w:val="22"/>
                <w:lang w:eastAsia="lt-LT"/>
              </w:rPr>
            </w:pPr>
            <w:r w:rsidRPr="00B44B19">
              <w:rPr>
                <w:rFonts w:eastAsia="Calibri" w:cs="Times New Roman"/>
                <w:sz w:val="22"/>
              </w:rPr>
              <w:t>Pandemija</w:t>
            </w:r>
          </w:p>
        </w:tc>
        <w:tc>
          <w:tcPr>
            <w:tcW w:w="236" w:type="dxa"/>
          </w:tcPr>
          <w:p w14:paraId="636B3C4F"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23F58A8D" w14:textId="77777777" w:rsidR="00595C25" w:rsidRPr="00B44B19" w:rsidRDefault="00595C25" w:rsidP="00595C25">
            <w:pPr>
              <w:rPr>
                <w:rFonts w:eastAsia="Calibri" w:cs="Times New Roman"/>
                <w:sz w:val="22"/>
              </w:rPr>
            </w:pPr>
            <w:r w:rsidRPr="00B44B19">
              <w:rPr>
                <w:rFonts w:eastAsia="Calibri" w:cs="Times New Roman"/>
                <w:sz w:val="22"/>
              </w:rPr>
              <w:t>pasaulinė COVID-19 pandemija, prasidėjusi 2019 m. ir besitęsianti Programos rengimo metu</w:t>
            </w:r>
          </w:p>
        </w:tc>
      </w:tr>
      <w:tr w:rsidR="00595C25" w:rsidRPr="00B44B19" w14:paraId="01975824" w14:textId="77777777" w:rsidTr="00F8763F">
        <w:tc>
          <w:tcPr>
            <w:tcW w:w="1758" w:type="dxa"/>
          </w:tcPr>
          <w:p w14:paraId="78EA90C7" w14:textId="77777777" w:rsidR="00595C25" w:rsidRPr="00B44B19" w:rsidRDefault="00595C25" w:rsidP="00595C25">
            <w:pPr>
              <w:rPr>
                <w:rFonts w:eastAsia="Calibri" w:cs="Times New Roman"/>
                <w:sz w:val="22"/>
              </w:rPr>
            </w:pPr>
            <w:r w:rsidRPr="00B44B19">
              <w:rPr>
                <w:rFonts w:eastAsia="Calibri" w:cs="Times New Roman"/>
                <w:sz w:val="22"/>
              </w:rPr>
              <w:t>Partneriai</w:t>
            </w:r>
          </w:p>
        </w:tc>
        <w:tc>
          <w:tcPr>
            <w:tcW w:w="236" w:type="dxa"/>
          </w:tcPr>
          <w:p w14:paraId="59C11036"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5E97D370" w14:textId="77777777" w:rsidR="00595C25" w:rsidRPr="00B44B19" w:rsidRDefault="00595C25" w:rsidP="00595C25">
            <w:pPr>
              <w:rPr>
                <w:rFonts w:eastAsia="Calibri" w:cs="Times New Roman"/>
                <w:sz w:val="22"/>
              </w:rPr>
            </w:pPr>
            <w:r w:rsidRPr="00B44B19">
              <w:rPr>
                <w:rFonts w:eastAsia="Calibri" w:cs="Times New Roman"/>
                <w:sz w:val="22"/>
              </w:rPr>
              <w:t>regionų ir vietos lygmens miestų ir kitų viešojo sektoriaus institucijų, ekonominių ir socialinių partnerių bei atitinkamų įstaigų, atstovaujančių pilietinei visuomenei, aplinkos apsaugos srities partnerių ir subjektų, atsakingų už socialinės įtraukties, pagrindinių teisių, neįgaliųjų teisių, lyčių lygybės ir nediskriminavimo skatinimą, mokslo ir universitetų atstovai</w:t>
            </w:r>
          </w:p>
        </w:tc>
      </w:tr>
      <w:tr w:rsidR="00595C25" w:rsidRPr="00B44B19" w14:paraId="7609F00D" w14:textId="77777777" w:rsidTr="00F8763F">
        <w:tc>
          <w:tcPr>
            <w:tcW w:w="1758" w:type="dxa"/>
          </w:tcPr>
          <w:p w14:paraId="261D1880"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PISA</w:t>
            </w:r>
          </w:p>
        </w:tc>
        <w:tc>
          <w:tcPr>
            <w:tcW w:w="236" w:type="dxa"/>
          </w:tcPr>
          <w:p w14:paraId="45419B8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00F94648"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EBPO atliekamas tarptautinis penkiolikmečių skaitymo, matematinių ir mokslinių žinių ir įgūdžių tyrimas (</w:t>
            </w:r>
            <w:r w:rsidRPr="00B44B19">
              <w:rPr>
                <w:rFonts w:eastAsia="Calibri" w:cs="Times New Roman"/>
                <w:bCs/>
                <w:i/>
                <w:sz w:val="22"/>
                <w:lang w:bidi="lt-LT"/>
              </w:rPr>
              <w:t>angl. Programme for International Student Assessment</w:t>
            </w:r>
            <w:r w:rsidRPr="00B44B19">
              <w:rPr>
                <w:rFonts w:eastAsia="Calibri" w:cs="Times New Roman"/>
                <w:bCs/>
                <w:sz w:val="22"/>
                <w:lang w:bidi="lt-LT"/>
              </w:rPr>
              <w:t>)</w:t>
            </w:r>
          </w:p>
        </w:tc>
      </w:tr>
      <w:tr w:rsidR="00595C25" w:rsidRPr="00B44B19" w14:paraId="3D327BA6" w14:textId="77777777" w:rsidTr="00F8763F">
        <w:tc>
          <w:tcPr>
            <w:tcW w:w="1758" w:type="dxa"/>
          </w:tcPr>
          <w:p w14:paraId="764B0FE4"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PO</w:t>
            </w:r>
          </w:p>
        </w:tc>
        <w:tc>
          <w:tcPr>
            <w:tcW w:w="236" w:type="dxa"/>
          </w:tcPr>
          <w:p w14:paraId="38AD9C3C"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774F6DC1"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perkančioji (-sios) organizacija (-os)</w:t>
            </w:r>
          </w:p>
        </w:tc>
      </w:tr>
      <w:tr w:rsidR="00595C25" w:rsidRPr="00B44B19" w14:paraId="0462D6A3" w14:textId="77777777" w:rsidTr="00F8763F">
        <w:tc>
          <w:tcPr>
            <w:tcW w:w="1758" w:type="dxa"/>
          </w:tcPr>
          <w:p w14:paraId="54BE76EE"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PRC</w:t>
            </w:r>
          </w:p>
        </w:tc>
        <w:tc>
          <w:tcPr>
            <w:tcW w:w="236" w:type="dxa"/>
          </w:tcPr>
          <w:p w14:paraId="29E56A52"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12C87CE"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Pedagogų rengimo centras</w:t>
            </w:r>
          </w:p>
        </w:tc>
      </w:tr>
      <w:tr w:rsidR="00595C25" w:rsidRPr="00B44B19" w14:paraId="02C5824C" w14:textId="77777777" w:rsidTr="00F8763F">
        <w:tc>
          <w:tcPr>
            <w:tcW w:w="1758" w:type="dxa"/>
          </w:tcPr>
          <w:p w14:paraId="5ED0D4CC"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Programa</w:t>
            </w:r>
          </w:p>
        </w:tc>
        <w:tc>
          <w:tcPr>
            <w:tcW w:w="236" w:type="dxa"/>
          </w:tcPr>
          <w:p w14:paraId="0C808F0C"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AFC7948"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2021–2027 metų Europos Sąjungos fondų investicijų programa</w:t>
            </w:r>
          </w:p>
        </w:tc>
      </w:tr>
      <w:tr w:rsidR="00595C25" w:rsidRPr="00B44B19" w14:paraId="16AB3F3F" w14:textId="77777777" w:rsidTr="00F8763F">
        <w:tc>
          <w:tcPr>
            <w:tcW w:w="1758" w:type="dxa"/>
          </w:tcPr>
          <w:p w14:paraId="6E24477E"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PSO</w:t>
            </w:r>
          </w:p>
        </w:tc>
        <w:tc>
          <w:tcPr>
            <w:tcW w:w="236" w:type="dxa"/>
          </w:tcPr>
          <w:p w14:paraId="00D79B39"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A6A9A38"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Pasaulio sveikatos organizacija</w:t>
            </w:r>
          </w:p>
        </w:tc>
      </w:tr>
      <w:tr w:rsidR="00595C25" w:rsidRPr="00B44B19" w14:paraId="34BE9669" w14:textId="77777777" w:rsidTr="00F8763F">
        <w:tc>
          <w:tcPr>
            <w:tcW w:w="1758" w:type="dxa"/>
          </w:tcPr>
          <w:p w14:paraId="42A61E37"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PSP</w:t>
            </w:r>
          </w:p>
        </w:tc>
        <w:tc>
          <w:tcPr>
            <w:tcW w:w="236" w:type="dxa"/>
          </w:tcPr>
          <w:p w14:paraId="79E20502"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EE7268B"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pirminė sveikatos priežiūra</w:t>
            </w:r>
          </w:p>
        </w:tc>
      </w:tr>
      <w:tr w:rsidR="00595C25" w:rsidRPr="00B44B19" w14:paraId="1F8F7F86" w14:textId="77777777" w:rsidTr="00F8763F">
        <w:tc>
          <w:tcPr>
            <w:tcW w:w="1758" w:type="dxa"/>
          </w:tcPr>
          <w:p w14:paraId="0E9D13FD"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RPT</w:t>
            </w:r>
          </w:p>
        </w:tc>
        <w:tc>
          <w:tcPr>
            <w:tcW w:w="236" w:type="dxa"/>
          </w:tcPr>
          <w:p w14:paraId="3B147C38"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BEE49BC"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regiono(-ų) plėtros taryba(-os)</w:t>
            </w:r>
          </w:p>
        </w:tc>
      </w:tr>
      <w:tr w:rsidR="00595C25" w:rsidRPr="00B44B19" w14:paraId="5FFD9513" w14:textId="77777777" w:rsidTr="00F8763F">
        <w:tc>
          <w:tcPr>
            <w:tcW w:w="1758" w:type="dxa"/>
          </w:tcPr>
          <w:p w14:paraId="5F1C036E"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SaF</w:t>
            </w:r>
          </w:p>
        </w:tc>
        <w:tc>
          <w:tcPr>
            <w:tcW w:w="236" w:type="dxa"/>
          </w:tcPr>
          <w:p w14:paraId="50BC854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6B52BBDA" w14:textId="77777777" w:rsidR="00595C25" w:rsidRPr="00B44B19" w:rsidRDefault="00595C25" w:rsidP="00595C25">
            <w:pPr>
              <w:rPr>
                <w:rFonts w:eastAsia="Calibri" w:cs="Times New Roman"/>
                <w:bCs/>
                <w:sz w:val="22"/>
                <w:lang w:bidi="lt-LT"/>
              </w:rPr>
            </w:pPr>
            <w:r w:rsidRPr="00B44B19">
              <w:rPr>
                <w:rFonts w:eastAsia="Calibri" w:cs="Times New Roman"/>
                <w:sz w:val="22"/>
              </w:rPr>
              <w:t>Sanglaudos fondas</w:t>
            </w:r>
          </w:p>
        </w:tc>
      </w:tr>
      <w:tr w:rsidR="00595C25" w:rsidRPr="00B44B19" w14:paraId="40A2AAC6" w14:textId="77777777" w:rsidTr="00F8763F">
        <w:tc>
          <w:tcPr>
            <w:tcW w:w="1758" w:type="dxa"/>
          </w:tcPr>
          <w:p w14:paraId="1E4CF5E9"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SPP</w:t>
            </w:r>
          </w:p>
        </w:tc>
        <w:tc>
          <w:tcPr>
            <w:tcW w:w="236" w:type="dxa"/>
          </w:tcPr>
          <w:p w14:paraId="0982B6BA"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76A8B131"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2022–2030 m. programos valdytojos Lietuvos Respublikos susisiekimo ministerijos susisiekimo plėtros programa</w:t>
            </w:r>
          </w:p>
        </w:tc>
      </w:tr>
      <w:tr w:rsidR="00595C25" w:rsidRPr="00B44B19" w14:paraId="0C813301" w14:textId="77777777" w:rsidTr="00F8763F">
        <w:tc>
          <w:tcPr>
            <w:tcW w:w="1758" w:type="dxa"/>
          </w:tcPr>
          <w:p w14:paraId="3DFD7067"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S4</w:t>
            </w:r>
          </w:p>
          <w:p w14:paraId="3B7E3F14" w14:textId="40AC4153" w:rsidR="00595C25" w:rsidRPr="00B44B19" w:rsidRDefault="00595C25" w:rsidP="00595C25">
            <w:pPr>
              <w:rPr>
                <w:rFonts w:eastAsia="Calibri" w:cs="Times New Roman"/>
                <w:bCs/>
                <w:sz w:val="22"/>
                <w:lang w:bidi="lt-LT"/>
              </w:rPr>
            </w:pPr>
            <w:r w:rsidRPr="00B44B19">
              <w:rPr>
                <w:rFonts w:eastAsia="Calibri" w:cs="Times New Roman"/>
                <w:bCs/>
                <w:sz w:val="22"/>
                <w:lang w:bidi="lt-LT"/>
              </w:rPr>
              <w:t>STEP</w:t>
            </w:r>
          </w:p>
        </w:tc>
        <w:tc>
          <w:tcPr>
            <w:tcW w:w="236" w:type="dxa"/>
          </w:tcPr>
          <w:p w14:paraId="038E9A7C" w14:textId="77777777" w:rsidR="00595C25" w:rsidRPr="00B44B19" w:rsidRDefault="00595C25" w:rsidP="00595C25">
            <w:pPr>
              <w:rPr>
                <w:rFonts w:eastAsia="Calibri" w:cs="Times New Roman"/>
                <w:sz w:val="22"/>
              </w:rPr>
            </w:pPr>
            <w:r w:rsidRPr="00B44B19">
              <w:rPr>
                <w:rFonts w:eastAsia="Calibri" w:cs="Times New Roman"/>
                <w:sz w:val="22"/>
              </w:rPr>
              <w:t>–</w:t>
            </w:r>
          </w:p>
          <w:p w14:paraId="7546B13D" w14:textId="22275796"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2D7E99A6"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sumanioji specializacija</w:t>
            </w:r>
          </w:p>
          <w:p w14:paraId="340A5C3C" w14:textId="7EB124C6" w:rsidR="00595C25" w:rsidRPr="00B44B19" w:rsidRDefault="00595C25" w:rsidP="00595C25">
            <w:pPr>
              <w:rPr>
                <w:rFonts w:eastAsia="Calibri" w:cs="Times New Roman"/>
                <w:bCs/>
                <w:sz w:val="22"/>
                <w:lang w:bidi="lt-LT"/>
              </w:rPr>
            </w:pPr>
            <w:r w:rsidRPr="00B44B19">
              <w:rPr>
                <w:rFonts w:eastAsia="Calibri" w:cs="Times New Roman"/>
                <w:bCs/>
                <w:sz w:val="22"/>
                <w:lang w:bidi="lt-LT"/>
              </w:rPr>
              <w:t>strateginių technologijų Europai platforma</w:t>
            </w:r>
          </w:p>
        </w:tc>
      </w:tr>
      <w:tr w:rsidR="00595C25" w:rsidRPr="00B44B19" w14:paraId="267857DB" w14:textId="77777777" w:rsidTr="00F8763F">
        <w:tc>
          <w:tcPr>
            <w:tcW w:w="1758" w:type="dxa"/>
          </w:tcPr>
          <w:p w14:paraId="538E7299"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SUP</w:t>
            </w:r>
          </w:p>
        </w:tc>
        <w:tc>
          <w:tcPr>
            <w:tcW w:w="236" w:type="dxa"/>
          </w:tcPr>
          <w:p w14:paraId="1ACF2B21"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8B658C6"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specialieji ugdymosi poreikiai</w:t>
            </w:r>
          </w:p>
        </w:tc>
      </w:tr>
      <w:tr w:rsidR="00595C25" w:rsidRPr="00B44B19" w14:paraId="7C866EAF" w14:textId="77777777" w:rsidTr="00F8763F">
        <w:tc>
          <w:tcPr>
            <w:tcW w:w="1758" w:type="dxa"/>
          </w:tcPr>
          <w:p w14:paraId="71CF41AD"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SVV</w:t>
            </w:r>
          </w:p>
        </w:tc>
        <w:tc>
          <w:tcPr>
            <w:tcW w:w="236" w:type="dxa"/>
          </w:tcPr>
          <w:p w14:paraId="371770E0"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95211ED" w14:textId="77777777" w:rsidR="00595C25" w:rsidRPr="00B44B19" w:rsidRDefault="00595C25" w:rsidP="00595C25">
            <w:pPr>
              <w:jc w:val="both"/>
              <w:rPr>
                <w:rFonts w:eastAsia="Calibri" w:cs="Times New Roman"/>
                <w:sz w:val="22"/>
              </w:rPr>
            </w:pPr>
            <w:r w:rsidRPr="00B44B19">
              <w:rPr>
                <w:rFonts w:eastAsia="Calibri" w:cs="Times New Roman"/>
                <w:sz w:val="22"/>
              </w:rPr>
              <w:t>smulkusis ir vidutinis verslas</w:t>
            </w:r>
          </w:p>
        </w:tc>
      </w:tr>
      <w:tr w:rsidR="00595C25" w:rsidRPr="00B44B19" w14:paraId="6D7B8C6A" w14:textId="77777777" w:rsidTr="00F8763F">
        <w:tc>
          <w:tcPr>
            <w:tcW w:w="1758" w:type="dxa"/>
          </w:tcPr>
          <w:p w14:paraId="4C513B9D"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ŠESD</w:t>
            </w:r>
          </w:p>
        </w:tc>
        <w:tc>
          <w:tcPr>
            <w:tcW w:w="236" w:type="dxa"/>
          </w:tcPr>
          <w:p w14:paraId="6368E29B"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9CA35B7" w14:textId="77777777" w:rsidR="00595C25" w:rsidRPr="00B44B19" w:rsidRDefault="00595C25" w:rsidP="00595C25">
            <w:pPr>
              <w:jc w:val="both"/>
              <w:rPr>
                <w:rFonts w:eastAsia="Calibri" w:cs="Times New Roman"/>
                <w:sz w:val="22"/>
              </w:rPr>
            </w:pPr>
            <w:r w:rsidRPr="00B44B19">
              <w:rPr>
                <w:rFonts w:eastAsia="Calibri" w:cs="Times New Roman"/>
                <w:sz w:val="22"/>
              </w:rPr>
              <w:t>šiltnamio efektą sukeliančios dujos</w:t>
            </w:r>
          </w:p>
        </w:tc>
      </w:tr>
      <w:tr w:rsidR="00595C25" w:rsidRPr="00B44B19" w14:paraId="1825CF85" w14:textId="77777777" w:rsidTr="00F8763F">
        <w:tc>
          <w:tcPr>
            <w:tcW w:w="1758" w:type="dxa"/>
          </w:tcPr>
          <w:p w14:paraId="37C69DAB"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TEN-T</w:t>
            </w:r>
          </w:p>
        </w:tc>
        <w:tc>
          <w:tcPr>
            <w:tcW w:w="236" w:type="dxa"/>
          </w:tcPr>
          <w:p w14:paraId="599B76F8"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C2FFDBB" w14:textId="77777777" w:rsidR="00595C25" w:rsidRPr="00B44B19" w:rsidRDefault="00595C25" w:rsidP="00595C25">
            <w:pPr>
              <w:jc w:val="both"/>
              <w:rPr>
                <w:rFonts w:eastAsia="Calibri" w:cs="Times New Roman"/>
                <w:sz w:val="22"/>
              </w:rPr>
            </w:pPr>
            <w:r w:rsidRPr="00B44B19">
              <w:rPr>
                <w:rFonts w:eastAsia="Calibri" w:cs="Times New Roman"/>
                <w:sz w:val="22"/>
              </w:rPr>
              <w:t>transeuropinis transporto tinklas</w:t>
            </w:r>
          </w:p>
        </w:tc>
      </w:tr>
      <w:tr w:rsidR="00595C25" w:rsidRPr="00B44B19" w14:paraId="6B43796D" w14:textId="77777777" w:rsidTr="00F8763F">
        <w:tc>
          <w:tcPr>
            <w:tcW w:w="1758" w:type="dxa"/>
          </w:tcPr>
          <w:p w14:paraId="7D96D9F5"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TPF</w:t>
            </w:r>
          </w:p>
        </w:tc>
        <w:tc>
          <w:tcPr>
            <w:tcW w:w="236" w:type="dxa"/>
          </w:tcPr>
          <w:p w14:paraId="1F34987F"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3FCB09CB" w14:textId="77777777" w:rsidR="00595C25" w:rsidRPr="00B44B19" w:rsidRDefault="00595C25" w:rsidP="00595C25">
            <w:pPr>
              <w:jc w:val="both"/>
              <w:rPr>
                <w:rFonts w:eastAsia="Calibri" w:cs="Times New Roman"/>
                <w:sz w:val="22"/>
              </w:rPr>
            </w:pPr>
            <w:r w:rsidRPr="00B44B19">
              <w:rPr>
                <w:rFonts w:eastAsia="Calibri" w:cs="Times New Roman"/>
                <w:sz w:val="22"/>
              </w:rPr>
              <w:t>Teisingos pertvarkos fondas</w:t>
            </w:r>
          </w:p>
        </w:tc>
      </w:tr>
      <w:tr w:rsidR="00595C25" w:rsidRPr="00B44B19" w14:paraId="0D608F8E" w14:textId="77777777" w:rsidTr="00F8763F">
        <w:tc>
          <w:tcPr>
            <w:tcW w:w="1758" w:type="dxa"/>
          </w:tcPr>
          <w:p w14:paraId="16962BC8"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TR’2019</w:t>
            </w:r>
          </w:p>
        </w:tc>
        <w:tc>
          <w:tcPr>
            <w:tcW w:w="236" w:type="dxa"/>
          </w:tcPr>
          <w:p w14:paraId="1A1A61C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012541F9" w14:textId="77777777" w:rsidR="00595C25" w:rsidRPr="00B44B19" w:rsidRDefault="00595C25" w:rsidP="00595C25">
            <w:pPr>
              <w:rPr>
                <w:rFonts w:cs="Times New Roman"/>
                <w:sz w:val="22"/>
              </w:rPr>
            </w:pPr>
            <w:hyperlink r:id="rId8" w:history="1">
              <w:r w:rsidRPr="00B44B19">
                <w:rPr>
                  <w:rStyle w:val="Hipersaitas"/>
                  <w:rFonts w:cs="Times New Roman"/>
                  <w:color w:val="auto"/>
                  <w:sz w:val="22"/>
                  <w:u w:val="none"/>
                </w:rPr>
                <w:t>Tarybos rekomendacija dėl 2019 m. Lietuvos nacionalinės reformų programos su Tarybos nuomone dėl 2019 m. Lietuvos stabilumo programos (2019/C 301/15)</w:t>
              </w:r>
            </w:hyperlink>
          </w:p>
        </w:tc>
      </w:tr>
      <w:tr w:rsidR="00595C25" w:rsidRPr="00B44B19" w14:paraId="07CE9B5E" w14:textId="77777777" w:rsidTr="00F8763F">
        <w:tc>
          <w:tcPr>
            <w:tcW w:w="1758" w:type="dxa"/>
          </w:tcPr>
          <w:p w14:paraId="4C6FE080"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TR’2020</w:t>
            </w:r>
          </w:p>
        </w:tc>
        <w:tc>
          <w:tcPr>
            <w:tcW w:w="236" w:type="dxa"/>
          </w:tcPr>
          <w:p w14:paraId="7B047064"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7458A569" w14:textId="77777777" w:rsidR="00595C25" w:rsidRPr="00B44B19" w:rsidRDefault="00595C25" w:rsidP="00595C25">
            <w:pPr>
              <w:rPr>
                <w:rFonts w:cs="Times New Roman"/>
                <w:sz w:val="22"/>
              </w:rPr>
            </w:pPr>
            <w:hyperlink r:id="rId9" w:history="1">
              <w:r w:rsidRPr="00B44B19">
                <w:rPr>
                  <w:rStyle w:val="Hipersaitas"/>
                  <w:rFonts w:eastAsia="Calibri" w:cs="Times New Roman"/>
                  <w:color w:val="auto"/>
                  <w:sz w:val="22"/>
                  <w:u w:val="none"/>
                </w:rPr>
                <w:t>Tarybos rekomendacija dėl 2020 m. Lietuvos nacionalinės reformų darbotvarkės su Tarybos nuomone dėl 2020 m. Lietuvos stabilumo programos (COM/2020/515 final)</w:t>
              </w:r>
            </w:hyperlink>
          </w:p>
        </w:tc>
      </w:tr>
      <w:tr w:rsidR="00595C25" w:rsidRPr="00B44B19" w14:paraId="0BA2BC8A" w14:textId="77777777" w:rsidTr="00F8763F">
        <w:tc>
          <w:tcPr>
            <w:tcW w:w="1758" w:type="dxa"/>
          </w:tcPr>
          <w:p w14:paraId="5DE2B5C1" w14:textId="7B20B402" w:rsidR="00595C25" w:rsidRPr="00B44B19" w:rsidRDefault="00595C25" w:rsidP="00595C25">
            <w:pPr>
              <w:rPr>
                <w:rFonts w:eastAsia="Calibri" w:cs="Times New Roman"/>
                <w:bCs/>
                <w:sz w:val="22"/>
                <w:lang w:bidi="lt-LT"/>
              </w:rPr>
            </w:pPr>
            <w:r w:rsidRPr="00B44B19">
              <w:rPr>
                <w:rFonts w:eastAsia="Calibri" w:cs="Times New Roman"/>
                <w:bCs/>
                <w:sz w:val="22"/>
                <w:lang w:bidi="lt-LT"/>
              </w:rPr>
              <w:t>TTPP</w:t>
            </w:r>
          </w:p>
        </w:tc>
        <w:tc>
          <w:tcPr>
            <w:tcW w:w="236" w:type="dxa"/>
          </w:tcPr>
          <w:p w14:paraId="5D638F1E" w14:textId="30A6BB1F"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F766237" w14:textId="07655AA0" w:rsidR="00595C25" w:rsidRPr="00B44B19" w:rsidRDefault="00595C25" w:rsidP="00595C25">
            <w:pPr>
              <w:rPr>
                <w:rFonts w:cs="Times New Roman"/>
                <w:sz w:val="22"/>
              </w:rPr>
            </w:pPr>
            <w:r w:rsidRPr="00B44B19">
              <w:rPr>
                <w:rFonts w:cs="Times New Roman"/>
                <w:sz w:val="22"/>
              </w:rPr>
              <w:t>Teritorinis teisingos pertvarkos planas</w:t>
            </w:r>
          </w:p>
        </w:tc>
      </w:tr>
      <w:tr w:rsidR="00595C25" w:rsidRPr="00B44B19" w14:paraId="23F10B01" w14:textId="77777777" w:rsidTr="00F8763F">
        <w:tc>
          <w:tcPr>
            <w:tcW w:w="1758" w:type="dxa"/>
          </w:tcPr>
          <w:p w14:paraId="1C2B201F"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TUI</w:t>
            </w:r>
          </w:p>
        </w:tc>
        <w:tc>
          <w:tcPr>
            <w:tcW w:w="236" w:type="dxa"/>
          </w:tcPr>
          <w:p w14:paraId="3D7BF6DD"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57BA5F90" w14:textId="77777777" w:rsidR="00595C25" w:rsidRPr="00B44B19" w:rsidRDefault="00595C25" w:rsidP="00595C25">
            <w:pPr>
              <w:rPr>
                <w:rFonts w:cs="Times New Roman"/>
                <w:sz w:val="22"/>
              </w:rPr>
            </w:pPr>
            <w:r w:rsidRPr="00B44B19">
              <w:rPr>
                <w:rFonts w:cs="Times New Roman"/>
                <w:sz w:val="22"/>
              </w:rPr>
              <w:t>tiesioginės užsienio investicijos</w:t>
            </w:r>
          </w:p>
        </w:tc>
      </w:tr>
      <w:tr w:rsidR="00595C25" w:rsidRPr="00B44B19" w14:paraId="3837DE95" w14:textId="77777777" w:rsidTr="00F8763F">
        <w:tc>
          <w:tcPr>
            <w:tcW w:w="1758" w:type="dxa"/>
          </w:tcPr>
          <w:p w14:paraId="713FEA38"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TVG</w:t>
            </w:r>
          </w:p>
        </w:tc>
        <w:tc>
          <w:tcPr>
            <w:tcW w:w="236" w:type="dxa"/>
          </w:tcPr>
          <w:p w14:paraId="3C0963C6"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F457F77" w14:textId="77777777" w:rsidR="00595C25" w:rsidRPr="00B44B19" w:rsidRDefault="00595C25" w:rsidP="00595C25">
            <w:pPr>
              <w:rPr>
                <w:rFonts w:cs="Times New Roman"/>
                <w:sz w:val="22"/>
              </w:rPr>
            </w:pPr>
            <w:r w:rsidRPr="00B44B19">
              <w:rPr>
                <w:rFonts w:cs="Times New Roman"/>
                <w:sz w:val="22"/>
              </w:rPr>
              <w:t>tarptautinės vertės grandinės</w:t>
            </w:r>
          </w:p>
        </w:tc>
      </w:tr>
      <w:tr w:rsidR="00595C25" w:rsidRPr="00B44B19" w14:paraId="49988C04" w14:textId="77777777" w:rsidTr="00F8763F">
        <w:tc>
          <w:tcPr>
            <w:tcW w:w="1758" w:type="dxa"/>
          </w:tcPr>
          <w:p w14:paraId="5262D89D"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Veiksmų programa</w:t>
            </w:r>
          </w:p>
        </w:tc>
        <w:tc>
          <w:tcPr>
            <w:tcW w:w="236" w:type="dxa"/>
          </w:tcPr>
          <w:p w14:paraId="351CDAC0"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2F00B7D1" w14:textId="77777777" w:rsidR="00595C25" w:rsidRPr="00B44B19" w:rsidRDefault="00595C25" w:rsidP="00595C25">
            <w:pPr>
              <w:rPr>
                <w:rFonts w:cs="Times New Roman"/>
                <w:sz w:val="22"/>
              </w:rPr>
            </w:pPr>
            <w:r w:rsidRPr="00B44B19">
              <w:rPr>
                <w:rFonts w:cs="Times New Roman"/>
                <w:sz w:val="22"/>
              </w:rPr>
              <w:t>2014–2020 metų Europos Sąjungos fondų investicijų veiksmų programa</w:t>
            </w:r>
          </w:p>
        </w:tc>
      </w:tr>
      <w:tr w:rsidR="00595C25" w:rsidRPr="00B44B19" w14:paraId="7D40F9FB" w14:textId="77777777" w:rsidTr="00F8763F">
        <w:tc>
          <w:tcPr>
            <w:tcW w:w="1758" w:type="dxa"/>
          </w:tcPr>
          <w:p w14:paraId="7C404D0A"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VGPP</w:t>
            </w:r>
          </w:p>
        </w:tc>
        <w:tc>
          <w:tcPr>
            <w:tcW w:w="236" w:type="dxa"/>
          </w:tcPr>
          <w:p w14:paraId="49D885CC"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291C50B" w14:textId="77777777" w:rsidR="00595C25" w:rsidRPr="00B44B19" w:rsidRDefault="00595C25" w:rsidP="00595C25">
            <w:pPr>
              <w:rPr>
                <w:rFonts w:cs="Times New Roman"/>
                <w:sz w:val="22"/>
              </w:rPr>
            </w:pPr>
            <w:r w:rsidRPr="00B44B19">
              <w:rPr>
                <w:rFonts w:cs="Times New Roman"/>
                <w:sz w:val="22"/>
              </w:rPr>
              <w:t>verslumo galimybių paieškos procesas (</w:t>
            </w:r>
            <w:r w:rsidRPr="00B44B19">
              <w:rPr>
                <w:rFonts w:cs="Times New Roman"/>
                <w:i/>
                <w:iCs/>
                <w:sz w:val="22"/>
              </w:rPr>
              <w:t>angl.</w:t>
            </w:r>
            <w:r w:rsidRPr="00B44B19">
              <w:rPr>
                <w:rFonts w:cs="Times New Roman"/>
                <w:sz w:val="22"/>
              </w:rPr>
              <w:t xml:space="preserve"> </w:t>
            </w:r>
            <w:r w:rsidRPr="00B44B19">
              <w:rPr>
                <w:rFonts w:cs="Times New Roman"/>
                <w:i/>
                <w:sz w:val="22"/>
              </w:rPr>
              <w:t>Entrepreneurship Development process</w:t>
            </w:r>
            <w:r w:rsidRPr="00B44B19">
              <w:rPr>
                <w:rFonts w:cs="Times New Roman"/>
                <w:sz w:val="22"/>
              </w:rPr>
              <w:t>)</w:t>
            </w:r>
          </w:p>
        </w:tc>
      </w:tr>
      <w:tr w:rsidR="00595C25" w:rsidRPr="00B44B19" w14:paraId="2E9EF9C2" w14:textId="77777777" w:rsidTr="00F8763F">
        <w:tc>
          <w:tcPr>
            <w:tcW w:w="1758" w:type="dxa"/>
          </w:tcPr>
          <w:p w14:paraId="40C2FADC"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VKS</w:t>
            </w:r>
          </w:p>
        </w:tc>
        <w:tc>
          <w:tcPr>
            <w:tcW w:w="236" w:type="dxa"/>
          </w:tcPr>
          <w:p w14:paraId="131E9A53"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181311CF" w14:textId="77777777" w:rsidR="00595C25" w:rsidRPr="00B44B19" w:rsidRDefault="00595C25" w:rsidP="00595C25">
            <w:pPr>
              <w:rPr>
                <w:rFonts w:cs="Times New Roman"/>
                <w:sz w:val="22"/>
              </w:rPr>
            </w:pPr>
            <w:r w:rsidRPr="00B44B19">
              <w:rPr>
                <w:rFonts w:cs="Times New Roman"/>
                <w:sz w:val="22"/>
              </w:rPr>
              <w:t>valdymo ir kontrolės sistema</w:t>
            </w:r>
          </w:p>
        </w:tc>
      </w:tr>
      <w:tr w:rsidR="00595C25" w:rsidRPr="00B44B19" w14:paraId="52F7E2D3" w14:textId="77777777" w:rsidTr="00F8763F">
        <w:tc>
          <w:tcPr>
            <w:tcW w:w="1758" w:type="dxa"/>
          </w:tcPr>
          <w:p w14:paraId="23E04CDD"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VVG</w:t>
            </w:r>
          </w:p>
        </w:tc>
        <w:tc>
          <w:tcPr>
            <w:tcW w:w="236" w:type="dxa"/>
          </w:tcPr>
          <w:p w14:paraId="6EF17567"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4031D652" w14:textId="77777777" w:rsidR="00595C25" w:rsidRPr="00B44B19" w:rsidRDefault="00595C25" w:rsidP="00595C25">
            <w:pPr>
              <w:rPr>
                <w:rFonts w:cs="Times New Roman"/>
                <w:sz w:val="22"/>
              </w:rPr>
            </w:pPr>
            <w:r w:rsidRPr="00B44B19">
              <w:rPr>
                <w:rFonts w:cs="Times New Roman"/>
                <w:sz w:val="22"/>
              </w:rPr>
              <w:t>vietos veiklos grupės</w:t>
            </w:r>
          </w:p>
        </w:tc>
      </w:tr>
      <w:tr w:rsidR="00595C25" w:rsidRPr="00B44B19" w14:paraId="1F28C00C" w14:textId="77777777" w:rsidTr="00F8763F">
        <w:tc>
          <w:tcPr>
            <w:tcW w:w="1758" w:type="dxa"/>
          </w:tcPr>
          <w:p w14:paraId="0AC5AD18" w14:textId="77777777" w:rsidR="00595C25" w:rsidRPr="00B44B19" w:rsidRDefault="00595C25" w:rsidP="00595C25">
            <w:pPr>
              <w:rPr>
                <w:rFonts w:eastAsia="Calibri" w:cs="Times New Roman"/>
                <w:bCs/>
                <w:sz w:val="22"/>
                <w:lang w:bidi="lt-LT"/>
              </w:rPr>
            </w:pPr>
            <w:r w:rsidRPr="00B44B19">
              <w:rPr>
                <w:rFonts w:eastAsia="Calibri" w:cs="Times New Roman"/>
                <w:bCs/>
                <w:sz w:val="22"/>
                <w:lang w:bidi="lt-LT"/>
              </w:rPr>
              <w:t>VVL</w:t>
            </w:r>
          </w:p>
        </w:tc>
        <w:tc>
          <w:tcPr>
            <w:tcW w:w="236" w:type="dxa"/>
          </w:tcPr>
          <w:p w14:paraId="5C8E2F88" w14:textId="77777777" w:rsidR="00595C25" w:rsidRPr="00B44B19" w:rsidRDefault="00595C25" w:rsidP="00595C25">
            <w:pPr>
              <w:rPr>
                <w:rFonts w:eastAsia="Calibri" w:cs="Times New Roman"/>
                <w:sz w:val="22"/>
              </w:rPr>
            </w:pPr>
            <w:r w:rsidRPr="00B44B19">
              <w:rPr>
                <w:rFonts w:eastAsia="Calibri" w:cs="Times New Roman"/>
                <w:sz w:val="22"/>
              </w:rPr>
              <w:t>–</w:t>
            </w:r>
          </w:p>
        </w:tc>
        <w:tc>
          <w:tcPr>
            <w:tcW w:w="7911" w:type="dxa"/>
          </w:tcPr>
          <w:p w14:paraId="55C26EFD" w14:textId="77777777" w:rsidR="00595C25" w:rsidRPr="00B44B19" w:rsidRDefault="00595C25" w:rsidP="00595C25">
            <w:pPr>
              <w:rPr>
                <w:rFonts w:cs="Times New Roman"/>
                <w:sz w:val="22"/>
              </w:rPr>
            </w:pPr>
            <w:r w:rsidRPr="00B44B19">
              <w:rPr>
                <w:rFonts w:cs="Times New Roman"/>
                <w:sz w:val="22"/>
              </w:rPr>
              <w:t>Vidurio ir vakarų Lietuva</w:t>
            </w:r>
          </w:p>
        </w:tc>
      </w:tr>
    </w:tbl>
    <w:p w14:paraId="795C418E" w14:textId="77777777" w:rsidR="00F2589F" w:rsidRPr="00B44B19" w:rsidRDefault="0088338B" w:rsidP="00D456C1">
      <w:pPr>
        <w:pStyle w:val="Antrat1"/>
        <w:numPr>
          <w:ilvl w:val="0"/>
          <w:numId w:val="10"/>
        </w:numPr>
      </w:pPr>
      <w:r w:rsidRPr="00B44B19">
        <w:rPr>
          <w:iCs/>
          <w:lang w:bidi="lt-LT"/>
        </w:rPr>
        <w:br w:type="page"/>
      </w:r>
      <w:bookmarkStart w:id="1" w:name="_Toc223435407"/>
      <w:r w:rsidR="001C6FEB" w:rsidRPr="00B44B19">
        <w:lastRenderedPageBreak/>
        <w:t>PROGRAMOS STRATEGIJA: PAGRINDINIAI PLĖTROS UŽDAVINIAI IR PRIEMONĖS</w:t>
      </w:r>
      <w:bookmarkEnd w:id="1"/>
    </w:p>
    <w:p w14:paraId="634BE370" w14:textId="77777777" w:rsidR="00C43D5D" w:rsidRPr="00B44B19" w:rsidRDefault="00C43D5D" w:rsidP="00F8763F">
      <w:pPr>
        <w:spacing w:before="60" w:after="60" w:line="240" w:lineRule="auto"/>
        <w:jc w:val="both"/>
        <w:rPr>
          <w:rFonts w:eastAsia="Times New Roman" w:cs="Times New Roman"/>
          <w:bCs/>
          <w:szCs w:val="24"/>
          <w:lang w:eastAsia="lt-LT"/>
        </w:rPr>
      </w:pPr>
      <w:r w:rsidRPr="00B44B19">
        <w:rPr>
          <w:rFonts w:eastAsia="Times New Roman" w:cs="Times New Roman"/>
          <w:bCs/>
          <w:szCs w:val="24"/>
          <w:lang w:eastAsia="lt-LT"/>
        </w:rPr>
        <w:t xml:space="preserve">Sanglaudos politika laikoma vienu pagrindinių Lietuvos narystės ES privalumų, o ES fondų investicijos </w:t>
      </w:r>
      <w:r w:rsidR="00850640" w:rsidRPr="00B44B19">
        <w:rPr>
          <w:rFonts w:eastAsia="Times New Roman" w:cs="Times New Roman"/>
          <w:bCs/>
          <w:szCs w:val="24"/>
          <w:lang w:eastAsia="lt-LT"/>
        </w:rPr>
        <w:t xml:space="preserve">– </w:t>
      </w:r>
      <w:r w:rsidRPr="00B44B19">
        <w:rPr>
          <w:rFonts w:eastAsia="Times New Roman" w:cs="Times New Roman"/>
          <w:bCs/>
          <w:szCs w:val="24"/>
          <w:lang w:eastAsia="lt-LT"/>
        </w:rPr>
        <w:t>svarbu</w:t>
      </w:r>
      <w:r w:rsidR="00850640" w:rsidRPr="00B44B19">
        <w:rPr>
          <w:rFonts w:eastAsia="Times New Roman" w:cs="Times New Roman"/>
          <w:bCs/>
          <w:szCs w:val="24"/>
          <w:lang w:eastAsia="lt-LT"/>
        </w:rPr>
        <w:t>s</w:t>
      </w:r>
      <w:r w:rsidRPr="00B44B19">
        <w:rPr>
          <w:rFonts w:eastAsia="Times New Roman" w:cs="Times New Roman"/>
          <w:bCs/>
          <w:szCs w:val="24"/>
          <w:lang w:eastAsia="lt-LT"/>
        </w:rPr>
        <w:t xml:space="preserve"> Lietuvos ekonomikos </w:t>
      </w:r>
      <w:r w:rsidR="00850640" w:rsidRPr="00B44B19">
        <w:rPr>
          <w:rFonts w:eastAsia="Times New Roman" w:cs="Times New Roman"/>
          <w:bCs/>
          <w:szCs w:val="24"/>
          <w:lang w:eastAsia="lt-LT"/>
        </w:rPr>
        <w:t>variklis</w:t>
      </w:r>
      <w:r w:rsidRPr="00B44B19">
        <w:rPr>
          <w:rFonts w:eastAsia="Times New Roman" w:cs="Times New Roman"/>
          <w:bCs/>
          <w:szCs w:val="24"/>
          <w:lang w:eastAsia="lt-LT"/>
        </w:rPr>
        <w:t xml:space="preserve">. </w:t>
      </w:r>
    </w:p>
    <w:p w14:paraId="06307F98" w14:textId="77777777" w:rsidR="00F815B9" w:rsidRPr="00B44B19" w:rsidRDefault="00F815B9" w:rsidP="00F815B9">
      <w:pPr>
        <w:spacing w:before="60" w:after="60" w:line="240" w:lineRule="auto"/>
        <w:jc w:val="both"/>
        <w:rPr>
          <w:rFonts w:eastAsia="Times New Roman" w:cs="Times New Roman"/>
          <w:bCs/>
          <w:szCs w:val="24"/>
          <w:lang w:eastAsia="lt-LT"/>
        </w:rPr>
      </w:pPr>
      <w:bookmarkStart w:id="2" w:name="_Hlk212630265"/>
      <w:r w:rsidRPr="00B44B19">
        <w:rPr>
          <w:rFonts w:eastAsia="Times New Roman" w:cs="Times New Roman"/>
          <w:b/>
          <w:bCs/>
          <w:szCs w:val="24"/>
          <w:lang w:eastAsia="lt-LT"/>
        </w:rPr>
        <w:t>Svarbiausi iššūkiai Lietuvai:</w:t>
      </w:r>
      <w:r w:rsidRPr="00B44B19">
        <w:rPr>
          <w:rFonts w:eastAsia="Times New Roman" w:cs="Times New Roman"/>
          <w:bCs/>
          <w:szCs w:val="24"/>
          <w:lang w:eastAsia="lt-LT"/>
        </w:rPr>
        <w:t xml:space="preserve"> </w:t>
      </w:r>
      <w:bookmarkStart w:id="3" w:name="_Hlk212629493"/>
      <w:r w:rsidRPr="00B44B19">
        <w:rPr>
          <w:rFonts w:eastAsia="Times New Roman" w:cs="Times New Roman"/>
        </w:rPr>
        <w:t xml:space="preserve">grėsmė nacionaliniam saugumui dėl bendros sienos su Rusija ir Baltarusija bei jų nuolat vykdomų hibridinių atakų prieš Lietuvą ir ES; </w:t>
      </w:r>
      <w:bookmarkEnd w:id="3"/>
      <w:r w:rsidRPr="00B44B19">
        <w:rPr>
          <w:rFonts w:eastAsia="Times New Roman" w:cs="Times New Roman"/>
        </w:rPr>
        <w:t>Lietuvos ir ES strateginės priklausomybės mažinimas nuo trečiųjų valstybių</w:t>
      </w:r>
      <w:r w:rsidRPr="00B44B19">
        <w:rPr>
          <w:rFonts w:eastAsia="Times New Roman" w:cs="Times New Roman"/>
          <w:bCs/>
          <w:szCs w:val="24"/>
          <w:lang w:eastAsia="lt-LT"/>
        </w:rPr>
        <w:t>, netikėtai kilusios krizės dėl pandemijos pasekmių šalinimas,</w:t>
      </w:r>
      <w:r w:rsidRPr="00B44B19">
        <w:rPr>
          <w:rFonts w:cs="Times New Roman"/>
        </w:rPr>
        <w:t xml:space="preserve"> </w:t>
      </w:r>
      <w:r w:rsidRPr="00B44B19">
        <w:rPr>
          <w:rFonts w:eastAsia="Times New Roman" w:cs="Times New Roman"/>
          <w:bCs/>
          <w:szCs w:val="24"/>
          <w:lang w:eastAsia="lt-LT"/>
        </w:rPr>
        <w:t>migracijos srautai bei ekonomikos ir socialinių sistemų,</w:t>
      </w:r>
      <w:r w:rsidRPr="00B44B19">
        <w:rPr>
          <w:rFonts w:cs="Times New Roman"/>
        </w:rPr>
        <w:t xml:space="preserve"> </w:t>
      </w:r>
      <w:r w:rsidRPr="00B44B19">
        <w:rPr>
          <w:rFonts w:eastAsia="Times New Roman" w:cs="Times New Roman"/>
          <w:bCs/>
          <w:szCs w:val="24"/>
          <w:lang w:eastAsia="lt-LT"/>
        </w:rPr>
        <w:t xml:space="preserve">kritinės ir civilinės saugos infrastruktūros atsparumo krizėms didinimas; lėta šalies ekonomikos transformacija į APV ekonomiką; </w:t>
      </w:r>
      <w:bookmarkEnd w:id="2"/>
      <w:r w:rsidRPr="00B44B19">
        <w:rPr>
          <w:rFonts w:eastAsia="Times New Roman" w:cs="Times New Roman"/>
          <w:bCs/>
          <w:szCs w:val="24"/>
          <w:lang w:eastAsia="lt-LT"/>
        </w:rPr>
        <w:t>demografiniai pokyčiai, socialinė atskirtis ir nelygybė; švietimo kokybė ir ugdymo netolygumai; prasti gyventojų bendros sveikatos rodikliai; ekonominiai ir socialiniai regioniniai skirtumai; nepakankamas TEN-T junglumas ir saugumas; spartėjanti klimato kaita ir prastėjanti aplinkos būklė</w:t>
      </w:r>
      <w:r w:rsidRPr="00B44B19">
        <w:rPr>
          <w:rFonts w:eastAsia="Times New Roman" w:cs="Times New Roman"/>
          <w:color w:val="000000"/>
        </w:rPr>
        <w:t>.</w:t>
      </w:r>
    </w:p>
    <w:p w14:paraId="0D9B8D5D" w14:textId="77777777" w:rsidR="00F815B9" w:rsidRPr="00B44B19" w:rsidRDefault="00F815B9" w:rsidP="00F815B9">
      <w:pPr>
        <w:autoSpaceDE w:val="0"/>
        <w:autoSpaceDN w:val="0"/>
        <w:adjustRightInd w:val="0"/>
        <w:spacing w:before="60" w:after="60" w:line="240" w:lineRule="auto"/>
        <w:jc w:val="both"/>
        <w:rPr>
          <w:rFonts w:eastAsia="Times New Roman" w:cs="Times New Roman"/>
          <w:szCs w:val="24"/>
        </w:rPr>
      </w:pPr>
      <w:r w:rsidRPr="00B44B19">
        <w:rPr>
          <w:rFonts w:eastAsia="Times New Roman" w:cs="Times New Roman"/>
          <w:bCs/>
          <w:szCs w:val="24"/>
          <w:lang w:eastAsia="lt-LT"/>
        </w:rPr>
        <w:t xml:space="preserve">Išryškėjo Sostinės regiono ir likusios Lietuvos regioniniai skirtumai. Sostinės regione 2019 m. sukurta 42 % Lietuvos BVP, skirtumai ypač ryškūs inovacijų kūrimo ir diegimo, verslo produktyvumo didinimo, sveikatos paslaugų teikimo, kokybiško švietimo prieinamumo srityse, nemaža skaitmeninė atskirtis. Lietuvą padalinus į </w:t>
      </w:r>
      <w:r w:rsidRPr="00B44B19">
        <w:rPr>
          <w:rFonts w:eastAsia="Times New Roman" w:cs="Times New Roman"/>
          <w:szCs w:val="24"/>
        </w:rPr>
        <w:t xml:space="preserve">Sostinės regioną, kuriame BVP/gyv. </w:t>
      </w:r>
      <w:r w:rsidRPr="00B44B19">
        <w:rPr>
          <w:rFonts w:cs="Times New Roman"/>
        </w:rPr>
        <w:t>pasiekė 122 % ES vidurkio</w:t>
      </w:r>
      <w:r w:rsidRPr="00B44B19">
        <w:rPr>
          <w:rFonts w:eastAsia="Times New Roman" w:cs="Times New Roman"/>
          <w:szCs w:val="24"/>
        </w:rPr>
        <w:t xml:space="preserve">, ir VVL regioną, kuriame BVP/gyv. apskrityse svyruoja nuo </w:t>
      </w:r>
      <w:r w:rsidRPr="00B44B19">
        <w:rPr>
          <w:rFonts w:cs="Times New Roman"/>
        </w:rPr>
        <w:t>46 % iki 84 %</w:t>
      </w:r>
      <w:r w:rsidRPr="00B44B19">
        <w:rPr>
          <w:rFonts w:eastAsia="Times New Roman" w:cs="Times New Roman"/>
          <w:szCs w:val="24"/>
        </w:rPr>
        <w:t>, siekiama nukreipti daugiau investicijų į VVL, sumažinti ekonominius ir socialinius netolygumus, užtikrinti regioninės politikos įgyvendinimo priemonių ilgalaikį poveikį tolygiai ir tvariai plėtrai.</w:t>
      </w:r>
    </w:p>
    <w:p w14:paraId="238AE388" w14:textId="77777777" w:rsidR="00F815B9" w:rsidRPr="00B44B19" w:rsidRDefault="00F815B9" w:rsidP="00F815B9">
      <w:pPr>
        <w:autoSpaceDE w:val="0"/>
        <w:autoSpaceDN w:val="0"/>
        <w:adjustRightInd w:val="0"/>
        <w:spacing w:before="60" w:after="60" w:line="240" w:lineRule="auto"/>
        <w:jc w:val="both"/>
        <w:rPr>
          <w:rFonts w:eastAsia="Times New Roman" w:cs="Times New Roman"/>
          <w:szCs w:val="24"/>
        </w:rPr>
      </w:pPr>
      <w:r w:rsidRPr="00B44B19">
        <w:rPr>
          <w:rFonts w:eastAsia="Times New Roman" w:cs="Times New Roman"/>
          <w:b/>
          <w:szCs w:val="24"/>
        </w:rPr>
        <w:t xml:space="preserve">Sostinės regiono iššūkis – sukauptą potencialą nukreipti į šalies pažangos, tarptautinio konkurencingumo ir integracijos į TVG didinimą, jį perduoti VVL bei mažinti Sostinės regiono vidinius skirtumus. </w:t>
      </w:r>
      <w:r w:rsidRPr="00B44B19">
        <w:rPr>
          <w:rFonts w:eastAsia="Times New Roman" w:cs="Times New Roman"/>
          <w:szCs w:val="24"/>
        </w:rPr>
        <w:t xml:space="preserve">Regione bus investuojama į įmones, kuriančias ir gaminančias APV bei gynybos ir saugumo pramonės produktus, į dalyvavimą tarptautinėse S4 atitinkančiose MTEPI iniciatyvose. Mokslo koncentracijos potencialas bus pasitelktas inovacijoms diegti, žinioms imliems produktams kurti ir mokslo tarptautiškumui didinti. </w:t>
      </w:r>
      <w:r w:rsidRPr="00B44B19">
        <w:rPr>
          <w:rFonts w:eastAsia="Times New Roman" w:cs="Times New Roman"/>
          <w:b/>
          <w:szCs w:val="24"/>
        </w:rPr>
        <w:t xml:space="preserve">VVL regiono iššūkis – mažinti socialinius ir ekonominius skirtumus bei atotrūkį nuo Sostinės regiono. Išimtinai VVL regione, siekiant didinti jo patrauklumą, bus investuojama </w:t>
      </w:r>
      <w:r w:rsidRPr="00B44B19">
        <w:rPr>
          <w:rFonts w:eastAsia="Times New Roman" w:cs="Times New Roman"/>
          <w:szCs w:val="24"/>
        </w:rPr>
        <w:t xml:space="preserve">į pramonės MVĮ transformaciją, netechnologinių inovacijų plėtrą, startuolių vystymą, TUI pritraukimą ir MVĮ naujų eksporto rinkų paiešką. Bus skatinamos inovacijos, MTEP rezultatų diegimas bei tarptautiškumas, įmonių perorientavimas į APV gamybą. Abejuose regionuose bus skatinamas pradedančiųjų SVV subjektų kūrimasis ir plėtra, MVĮ </w:t>
      </w:r>
      <w:r w:rsidRPr="00B44B19">
        <w:rPr>
          <w:rFonts w:eastAsia="Times New Roman" w:cs="Times New Roman"/>
          <w:bCs/>
          <w:noProof/>
          <w:szCs w:val="24"/>
        </w:rPr>
        <w:t xml:space="preserve">trumpų vertės kūrimo grandinių formavimasis ir plėtra, </w:t>
      </w:r>
      <w:r w:rsidRPr="00B44B19">
        <w:rPr>
          <w:rFonts w:eastAsia="Times New Roman" w:cs="Times New Roman"/>
          <w:szCs w:val="24"/>
        </w:rPr>
        <w:t>pramonės įmonių gamybos ir verslo procesų skaitmeninimas, naudojant finansines priemones.</w:t>
      </w:r>
    </w:p>
    <w:p w14:paraId="22479B78" w14:textId="77777777" w:rsidR="00F815B9" w:rsidRPr="00B44B19" w:rsidRDefault="00F815B9" w:rsidP="00F815B9">
      <w:pPr>
        <w:autoSpaceDE w:val="0"/>
        <w:autoSpaceDN w:val="0"/>
        <w:adjustRightInd w:val="0"/>
        <w:spacing w:before="60" w:after="60" w:line="240" w:lineRule="auto"/>
        <w:jc w:val="both"/>
        <w:rPr>
          <w:rFonts w:eastAsia="Times New Roman" w:cs="Times New Roman"/>
          <w:szCs w:val="24"/>
        </w:rPr>
      </w:pPr>
      <w:r w:rsidRPr="00B44B19">
        <w:rPr>
          <w:rFonts w:eastAsia="Times New Roman" w:cs="Times New Roman"/>
          <w:b/>
          <w:szCs w:val="24"/>
        </w:rPr>
        <w:t>Abu regionai susiduria su socialinės atskirties, nelygybės bei kokybiškų viešųjų paslaugų prieinamumo problemomis</w:t>
      </w:r>
      <w:r w:rsidRPr="00B44B19">
        <w:rPr>
          <w:rFonts w:eastAsia="Times New Roman" w:cs="Times New Roman"/>
          <w:szCs w:val="24"/>
        </w:rPr>
        <w:t>. Sostinės regione darbuotojo sukuriama pridėtinė vertė jo savivaldybėse skiriasi iki 2 kartų, 2020 m. skurdo rizikos dydis regione (25,5 %) buvo didesnis už visos Lietuvos (22,3 %), registruoti bedarbiai sudaro beveik trečdalį visų Lietuvoje registruotų bedarbių, didesnis jaunimo nedarbas. Pagal Programą bus skatinama aktyvi įtrauktis, didinamos įsidarbinimo galimybės, gerinamas socialinių, švietimo, sveikatos, kultūros paslaugų prieinamumas ir kokybė, laikantis siekio mažinti skirtumus (ypač žemiausius vystymosi rodiklius turinčiose apskrityse), pasirenkant optimaliausią sprendimą, įvertinant potencialą bei reaguojant į demografines tendencijas. Regionų plėtros iššūkiai kaimo vietovėse bus sprendžiami pasitelkiant EŽŪFKP investicijas.</w:t>
      </w:r>
    </w:p>
    <w:p w14:paraId="302413E0" w14:textId="77777777" w:rsidR="00F815B9" w:rsidRPr="00B44B19" w:rsidRDefault="00F815B9" w:rsidP="00F815B9">
      <w:pPr>
        <w:spacing w:before="60" w:after="60" w:line="240" w:lineRule="auto"/>
        <w:jc w:val="both"/>
        <w:rPr>
          <w:rFonts w:eastAsia="Times New Roman" w:cs="Times New Roman"/>
          <w:szCs w:val="24"/>
        </w:rPr>
      </w:pPr>
      <w:r w:rsidRPr="00B44B19">
        <w:rPr>
          <w:rFonts w:eastAsia="Times New Roman" w:cs="Times New Roman"/>
          <w:szCs w:val="24"/>
        </w:rPr>
        <w:t xml:space="preserve">Atsižvelgiant į išvardytus iššūkius, ES fondų investicijos po 2021 m. koncentruojamos į BNR nustatytus </w:t>
      </w:r>
      <w:r w:rsidRPr="00B44B19">
        <w:rPr>
          <w:rFonts w:eastAsia="Times New Roman" w:cs="Times New Roman"/>
          <w:b/>
          <w:szCs w:val="24"/>
        </w:rPr>
        <w:t>5 politikos tikslus</w:t>
      </w:r>
      <w:r w:rsidRPr="00B44B19">
        <w:rPr>
          <w:rFonts w:eastAsia="Times New Roman" w:cs="Times New Roman"/>
          <w:szCs w:val="24"/>
        </w:rPr>
        <w:t xml:space="preserve">. Rengiant Programą įvertintos Lietuvai skirtos Tarybos rekomendacijos, Šalies ataskaitos D ir Dbis priedai, atsižvelgta į NPP, NEKSVP, Europos socialinių teisių ramsčio principus, Europos iniciatyvas „Green Deal“ ir „Digital Strategy“, regioninius iššūkius ir kitus ES bei nacionalinius strateginius dokumentus. </w:t>
      </w:r>
    </w:p>
    <w:p w14:paraId="731B4493" w14:textId="77777777" w:rsidR="00F815B9" w:rsidRPr="00B44B19" w:rsidRDefault="00F815B9" w:rsidP="00F815B9">
      <w:pPr>
        <w:spacing w:before="60" w:after="60" w:line="240" w:lineRule="auto"/>
        <w:jc w:val="both"/>
        <w:rPr>
          <w:rFonts w:cs="Times New Roman"/>
          <w:bCs/>
          <w:szCs w:val="24"/>
        </w:rPr>
      </w:pPr>
      <w:r w:rsidRPr="00B44B19">
        <w:rPr>
          <w:rFonts w:eastAsia="Times New Roman" w:cs="Times New Roman"/>
          <w:bCs/>
          <w:szCs w:val="24"/>
          <w:lang w:eastAsia="lt-LT"/>
        </w:rPr>
        <w:lastRenderedPageBreak/>
        <w:t xml:space="preserve">Lietuva siekia užtikrinti ES fondų ir kitų finansavimo šaltinių </w:t>
      </w:r>
      <w:r w:rsidRPr="00B44B19">
        <w:rPr>
          <w:rFonts w:eastAsia="Times New Roman" w:cs="Times New Roman"/>
          <w:b/>
          <w:bCs/>
          <w:szCs w:val="24"/>
          <w:lang w:eastAsia="lt-LT"/>
        </w:rPr>
        <w:t>veiklos koordinavimą</w:t>
      </w:r>
      <w:r w:rsidRPr="00B44B19">
        <w:rPr>
          <w:rFonts w:eastAsia="Times New Roman" w:cs="Times New Roman"/>
          <w:bCs/>
          <w:szCs w:val="24"/>
          <w:lang w:eastAsia="lt-LT"/>
        </w:rPr>
        <w:t xml:space="preserve">, </w:t>
      </w:r>
      <w:r w:rsidRPr="00B44B19">
        <w:rPr>
          <w:rFonts w:eastAsia="Times New Roman" w:cs="Times New Roman"/>
          <w:b/>
          <w:bCs/>
          <w:szCs w:val="24"/>
          <w:lang w:eastAsia="lt-LT"/>
        </w:rPr>
        <w:t>papildomumą ir suderinamumą</w:t>
      </w:r>
      <w:r w:rsidRPr="00B44B19">
        <w:rPr>
          <w:rFonts w:eastAsia="Times New Roman" w:cs="Times New Roman"/>
          <w:bCs/>
          <w:szCs w:val="24"/>
          <w:lang w:eastAsia="lt-LT"/>
        </w:rPr>
        <w:t xml:space="preserve">, </w:t>
      </w:r>
      <w:r w:rsidRPr="00B44B19">
        <w:rPr>
          <w:rFonts w:eastAsia="Times New Roman" w:cs="Times New Roman"/>
          <w:noProof/>
        </w:rPr>
        <w:t xml:space="preserve">kad būtų išvengta veiklos dubliavimo planavimo ir įgyvendinimo etapuose. Investicijos derinamos su </w:t>
      </w:r>
      <w:r w:rsidRPr="00B44B19">
        <w:rPr>
          <w:rFonts w:eastAsia="Times New Roman" w:cs="Times New Roman"/>
          <w:b/>
          <w:bCs/>
          <w:szCs w:val="24"/>
          <w:lang w:eastAsia="lt-LT"/>
        </w:rPr>
        <w:t>REACT–EU</w:t>
      </w:r>
      <w:r w:rsidRPr="00B44B19">
        <w:rPr>
          <w:rFonts w:eastAsia="Times New Roman" w:cs="Times New Roman"/>
          <w:bCs/>
          <w:szCs w:val="24"/>
          <w:lang w:eastAsia="lt-LT"/>
        </w:rPr>
        <w:t xml:space="preserve"> iniciatyva,</w:t>
      </w:r>
      <w:r w:rsidRPr="00B44B19">
        <w:rPr>
          <w:rFonts w:eastAsia="Times New Roman" w:cs="Times New Roman"/>
          <w:noProof/>
        </w:rPr>
        <w:t xml:space="preserve"> </w:t>
      </w:r>
      <w:r w:rsidRPr="00B44B19">
        <w:rPr>
          <w:rFonts w:eastAsia="Times New Roman" w:cs="Times New Roman"/>
          <w:b/>
          <w:noProof/>
        </w:rPr>
        <w:t>NKL,</w:t>
      </w:r>
      <w:r w:rsidRPr="00B44B19">
        <w:rPr>
          <w:rFonts w:eastAsia="Times New Roman" w:cs="Times New Roman"/>
          <w:noProof/>
        </w:rPr>
        <w:t xml:space="preserve"> siekiama sinergijos su EŽŪFKP investicijomis</w:t>
      </w:r>
      <w:r w:rsidRPr="00B44B19">
        <w:rPr>
          <w:rFonts w:eastAsia="Times New Roman" w:cs="Times New Roman"/>
          <w:bCs/>
          <w:szCs w:val="24"/>
          <w:lang w:eastAsia="lt-LT"/>
        </w:rPr>
        <w:t xml:space="preserve">. Numatoma ES fondų ir kitų finansavimo šaltinių veiklą koordinuoti siejant su ETBT programomis, vidaus saugumo fondais, EIB ir nacionaliniais finansavimo šaltiniais. </w:t>
      </w:r>
    </w:p>
    <w:p w14:paraId="7822B130" w14:textId="77777777" w:rsidR="00F815B9" w:rsidRPr="00B44B19" w:rsidRDefault="00F815B9" w:rsidP="00F815B9">
      <w:pPr>
        <w:spacing w:before="60" w:after="60" w:line="240" w:lineRule="auto"/>
        <w:jc w:val="both"/>
        <w:rPr>
          <w:rFonts w:cs="Times New Roman"/>
          <w:bCs/>
          <w:szCs w:val="24"/>
        </w:rPr>
      </w:pPr>
      <w:r w:rsidRPr="00B44B19">
        <w:rPr>
          <w:rFonts w:cs="Times New Roman"/>
          <w:bCs/>
          <w:szCs w:val="24"/>
        </w:rPr>
        <w:t>Bus laikomasi ES Pagrindinių teisių chartijos nuostatų, lyčių lygybės, nediskriminavimo (dėl lyties, rasinės ar etninės kilmės, religijos ar tikėjimo, negalios, amžiaus ar seksualinės orientacijos) principų ir JTNTK nuostatų visuose programavimo ir įgyvendinimo etapuose. Investicijos pagal visus susijusius politikos tikslus atitiks JTNTK reikalavimus (įskaitant 5 bendrąją pastabą ir NTK komiteto baigiamąsias išvadas), atitinkamą ES politiką ir teisines sistemas, skirtas žmogaus teisių įsipareigojimams laikytis, ir deinstitucionalizacijos strategiją.</w:t>
      </w:r>
    </w:p>
    <w:p w14:paraId="65F46CF4" w14:textId="77777777" w:rsidR="00F815B9" w:rsidRPr="00B44B19" w:rsidRDefault="00F815B9" w:rsidP="00F815B9">
      <w:pPr>
        <w:spacing w:before="60" w:after="60" w:line="240" w:lineRule="auto"/>
        <w:jc w:val="both"/>
        <w:rPr>
          <w:rFonts w:eastAsia="Times New Roman" w:cs="Times New Roman"/>
          <w:bCs/>
          <w:szCs w:val="24"/>
          <w:lang w:eastAsia="lt-LT"/>
        </w:rPr>
      </w:pPr>
      <w:r w:rsidRPr="00B44B19">
        <w:rPr>
          <w:rFonts w:eastAsia="Times New Roman" w:cs="Times New Roman"/>
          <w:bCs/>
          <w:szCs w:val="24"/>
          <w:lang w:eastAsia="lt-LT"/>
        </w:rPr>
        <w:t>Programos investicijomis, prioretizuojant projektų atrankos kriterijus, bus skatinamos vienodos galimybės marginalizuotoms grupėms gauti pagrindines paslaugas ir sieks sumažinti esamą socialinę ir ekonominę nelygybę atitinkamose teritorijose. Nebus investuojama į paslaugas konkrečioms grupėms, kurios gali išlaikyti arba sukelti atskirtį.</w:t>
      </w:r>
    </w:p>
    <w:p w14:paraId="6D04C9D8" w14:textId="77777777" w:rsidR="00F815B9" w:rsidRPr="00B44B19" w:rsidRDefault="00F815B9" w:rsidP="00F815B9">
      <w:pPr>
        <w:spacing w:before="60" w:after="60" w:line="240" w:lineRule="auto"/>
        <w:jc w:val="both"/>
        <w:rPr>
          <w:rFonts w:eastAsia="Times New Roman" w:cs="Times New Roman"/>
          <w:bCs/>
          <w:szCs w:val="24"/>
          <w:lang w:eastAsia="lt-LT"/>
        </w:rPr>
      </w:pPr>
      <w:r w:rsidRPr="00B44B19">
        <w:rPr>
          <w:rFonts w:eastAsia="Times New Roman" w:cs="Times New Roman"/>
          <w:bCs/>
          <w:szCs w:val="24"/>
          <w:lang w:eastAsia="lt-LT"/>
        </w:rPr>
        <w:t xml:space="preserve">Siekiant BNR politikos tikslo </w:t>
      </w:r>
      <w:r w:rsidRPr="00B44B19">
        <w:rPr>
          <w:rFonts w:eastAsia="Times New Roman" w:cs="Times New Roman"/>
          <w:b/>
          <w:bCs/>
          <w:szCs w:val="24"/>
          <w:lang w:eastAsia="lt-LT"/>
        </w:rPr>
        <w:t>„Konkurencingesnė ir pažangesnė Europa“</w:t>
      </w:r>
      <w:r w:rsidRPr="00B44B19">
        <w:rPr>
          <w:rFonts w:eastAsia="Times New Roman" w:cs="Times New Roman"/>
          <w:bCs/>
          <w:szCs w:val="24"/>
          <w:lang w:eastAsia="lt-LT"/>
        </w:rPr>
        <w:t xml:space="preserve">, bus investuojama į </w:t>
      </w:r>
      <w:r w:rsidRPr="00B44B19">
        <w:rPr>
          <w:rFonts w:eastAsia="Times New Roman" w:cs="Times New Roman"/>
          <w:b/>
          <w:szCs w:val="24"/>
          <w:lang w:eastAsia="lt-LT"/>
        </w:rPr>
        <w:t>gynybos ir saugumo pramonę</w:t>
      </w:r>
      <w:r w:rsidRPr="00B44B19">
        <w:rPr>
          <w:rFonts w:eastAsia="Times New Roman" w:cs="Times New Roman"/>
          <w:bCs/>
          <w:szCs w:val="24"/>
          <w:lang w:eastAsia="lt-LT"/>
        </w:rPr>
        <w:t xml:space="preserve">, skatinama </w:t>
      </w:r>
      <w:r w:rsidRPr="00B44B19">
        <w:rPr>
          <w:rFonts w:eastAsia="Times New Roman" w:cs="Times New Roman"/>
          <w:b/>
          <w:bCs/>
          <w:szCs w:val="24"/>
          <w:lang w:eastAsia="lt-LT"/>
        </w:rPr>
        <w:t>Lietuvos ekonomikos transformacija į APV ekonomiką, jos konkurencingumas ir skaitmeninis junglumas</w:t>
      </w:r>
      <w:r w:rsidRPr="00B44B19">
        <w:rPr>
          <w:rFonts w:eastAsia="Times New Roman" w:cs="Times New Roman"/>
          <w:bCs/>
          <w:szCs w:val="24"/>
          <w:lang w:eastAsia="lt-LT"/>
        </w:rPr>
        <w:t xml:space="preserve">. </w:t>
      </w:r>
      <w:r w:rsidRPr="00B44B19">
        <w:rPr>
          <w:rFonts w:eastAsia="Times New Roman" w:cs="Times New Roman"/>
          <w:b/>
          <w:bCs/>
          <w:szCs w:val="24"/>
          <w:lang w:eastAsia="lt-LT"/>
        </w:rPr>
        <w:t>Siekiama</w:t>
      </w:r>
      <w:r w:rsidRPr="00B44B19">
        <w:rPr>
          <w:rFonts w:eastAsia="Times New Roman" w:cs="Times New Roman"/>
          <w:bCs/>
          <w:szCs w:val="24"/>
          <w:lang w:eastAsia="lt-LT"/>
        </w:rPr>
        <w:t xml:space="preserve"> </w:t>
      </w:r>
      <w:r w:rsidRPr="00B44B19">
        <w:rPr>
          <w:rFonts w:eastAsia="Times New Roman" w:cs="Times New Roman"/>
          <w:b/>
          <w:bCs/>
          <w:szCs w:val="24"/>
          <w:lang w:eastAsia="lt-LT"/>
        </w:rPr>
        <w:t>NPP nurodytų</w:t>
      </w:r>
      <w:r w:rsidRPr="00B44B19">
        <w:rPr>
          <w:rFonts w:eastAsia="Times New Roman" w:cs="Times New Roman"/>
          <w:bCs/>
          <w:szCs w:val="24"/>
          <w:lang w:eastAsia="lt-LT"/>
        </w:rPr>
        <w:t xml:space="preserve"> </w:t>
      </w:r>
      <w:r w:rsidRPr="00B44B19">
        <w:rPr>
          <w:rFonts w:eastAsia="Times New Roman" w:cs="Times New Roman"/>
          <w:b/>
          <w:bCs/>
          <w:szCs w:val="24"/>
          <w:lang w:eastAsia="lt-LT"/>
        </w:rPr>
        <w:t>tikslų, kad iki 2030 m.</w:t>
      </w:r>
      <w:r w:rsidRPr="00B44B19">
        <w:rPr>
          <w:rFonts w:eastAsia="Times New Roman" w:cs="Times New Roman"/>
          <w:bCs/>
          <w:szCs w:val="24"/>
          <w:lang w:eastAsia="lt-LT"/>
        </w:rPr>
        <w:t xml:space="preserve"> pagal </w:t>
      </w:r>
      <w:r w:rsidRPr="00B44B19">
        <w:rPr>
          <w:rFonts w:eastAsia="Times New Roman" w:cs="Times New Roman"/>
          <w:bCs/>
        </w:rPr>
        <w:t xml:space="preserve">Pasaulinį inovacijų indeksą Lietuva pakiltų į 20 vietą (2019 m. užėmė 40 vietą), o </w:t>
      </w:r>
      <w:r w:rsidRPr="00B44B19">
        <w:rPr>
          <w:rFonts w:eastAsia="Times New Roman" w:cs="Times New Roman"/>
          <w:bCs/>
          <w:szCs w:val="24"/>
        </w:rPr>
        <w:t>pagal DESI – į 7 vietą (2020 m. buvo 14).</w:t>
      </w:r>
      <w:r w:rsidRPr="00B44B19">
        <w:rPr>
          <w:rFonts w:eastAsia="Times New Roman" w:cs="Times New Roman"/>
          <w:bCs/>
          <w:szCs w:val="24"/>
          <w:lang w:eastAsia="lt-LT"/>
        </w:rPr>
        <w:t xml:space="preserve"> Šios investicijos turi būti grindžiamos S4.</w:t>
      </w:r>
    </w:p>
    <w:p w14:paraId="2F65D418" w14:textId="77777777" w:rsidR="00BE1006" w:rsidRPr="00B44B19" w:rsidRDefault="0096595F" w:rsidP="00F8763F">
      <w:pPr>
        <w:spacing w:before="60" w:after="60" w:line="240" w:lineRule="auto"/>
        <w:jc w:val="both"/>
        <w:rPr>
          <w:rFonts w:eastAsia="Times New Roman" w:cs="Times New Roman"/>
          <w:bCs/>
          <w:szCs w:val="24"/>
          <w:lang w:eastAsia="lt-LT"/>
        </w:rPr>
      </w:pPr>
      <w:r w:rsidRPr="00B44B19">
        <w:rPr>
          <w:rFonts w:eastAsia="Times New Roman" w:cs="Times New Roman"/>
          <w:bCs/>
          <w:szCs w:val="24"/>
          <w:lang w:eastAsia="lt-LT"/>
        </w:rPr>
        <w:t>Šalies proveržį stabdo 3 esminiai inovacijų sklaidos iššūkiai: žemi MVĮ</w:t>
      </w:r>
      <w:r w:rsidR="00AC7FE3" w:rsidRPr="00B44B19">
        <w:rPr>
          <w:rFonts w:eastAsia="Times New Roman" w:cs="Times New Roman"/>
          <w:bCs/>
          <w:szCs w:val="24"/>
          <w:lang w:eastAsia="lt-LT"/>
        </w:rPr>
        <w:t xml:space="preserve"> pajėgumai absorbuoti inovacijas</w:t>
      </w:r>
      <w:r w:rsidRPr="00B44B19">
        <w:rPr>
          <w:rFonts w:eastAsia="Times New Roman" w:cs="Times New Roman"/>
          <w:bCs/>
          <w:szCs w:val="24"/>
          <w:lang w:eastAsia="lt-LT"/>
        </w:rPr>
        <w:t xml:space="preserve"> (</w:t>
      </w:r>
      <w:r w:rsidR="0008790D" w:rsidRPr="00B44B19">
        <w:rPr>
          <w:rFonts w:eastAsia="Times New Roman" w:cs="Times New Roman"/>
          <w:bCs/>
          <w:szCs w:val="24"/>
          <w:lang w:eastAsia="lt-LT"/>
        </w:rPr>
        <w:t>ypač VVL</w:t>
      </w:r>
      <w:r w:rsidRPr="00B44B19">
        <w:rPr>
          <w:rFonts w:eastAsia="Times New Roman" w:cs="Times New Roman"/>
          <w:bCs/>
          <w:szCs w:val="24"/>
          <w:lang w:eastAsia="lt-LT"/>
        </w:rPr>
        <w:t>); nedidelis skaičius APV kuriančių įmonių ir žemas verslo investicijų į MTEP santykis, palyginti su BVP; žemas verslo ir mokslo tarptautiškumo (dalyvavimo tarptautiniuose projektuose, tinkluose) lygis.</w:t>
      </w:r>
    </w:p>
    <w:p w14:paraId="708673C8" w14:textId="77777777" w:rsidR="00C43D5D" w:rsidRPr="00B44B19" w:rsidRDefault="0096595F" w:rsidP="00F8763F">
      <w:pPr>
        <w:spacing w:before="60" w:after="60" w:line="240" w:lineRule="auto"/>
        <w:jc w:val="both"/>
        <w:rPr>
          <w:rFonts w:eastAsia="Times New Roman" w:cs="Times New Roman"/>
        </w:rPr>
      </w:pPr>
      <w:r w:rsidRPr="00B44B19">
        <w:rPr>
          <w:rFonts w:eastAsia="Times New Roman" w:cs="Times New Roman"/>
          <w:b/>
          <w:bCs/>
          <w:lang w:eastAsia="lt-LT"/>
        </w:rPr>
        <w:t>Lėtą Lietuvos ekonomikos transformaciją į APV ekonomiką</w:t>
      </w:r>
      <w:r w:rsidRPr="00B44B19">
        <w:rPr>
          <w:rFonts w:eastAsia="Times New Roman" w:cs="Times New Roman"/>
          <w:b/>
          <w:bCs/>
        </w:rPr>
        <w:t xml:space="preserve"> lemia struktūrinės ūkio problemos</w:t>
      </w:r>
      <w:r w:rsidRPr="00B44B19">
        <w:rPr>
          <w:rFonts w:eastAsia="Times New Roman" w:cs="Times New Roman"/>
        </w:rPr>
        <w:t>. Pirma, didelė dalis šalies ekonomikos remiasi tradiciniais ūkio sektoriais, o augimas grindžiamas santykinai pigia darbo jėga. Trūksta paskatų pagrindiniams ekonomikos veikėjams persiorientuoti į inovacijomis grįstą augimą, o jaunoms inovatyvioms įmonėms – steigtis. Brangstant esminiams gamybos veiksniams (technologijoms, žaliavoms, darbo jėgai) mažėja tokių įmonių konkurencingumas. Antra, Lietuvos inovatoriai santykinai maži, silpnai bendradarbiaujantys, todėl jų potencialas sukurti didelio poveikio inovacijas yra palyginti žemas dėl</w:t>
      </w:r>
      <w:r w:rsidRPr="00B44B19">
        <w:rPr>
          <w:rFonts w:eastAsia="Times New Roman" w:cs="Times New Roman"/>
          <w:sz w:val="20"/>
          <w:szCs w:val="20"/>
        </w:rPr>
        <w:t xml:space="preserve"> </w:t>
      </w:r>
      <w:r w:rsidRPr="00B44B19">
        <w:rPr>
          <w:rFonts w:eastAsia="Times New Roman" w:cs="Times New Roman"/>
        </w:rPr>
        <w:t>kritinės investicijų masės stokos. Todėl svarbu stiprinti inovatorių bendradarbiavimą ir jų kritinę masę. Trečia, silpni gebėjimai MSI komercinti kuriamas žinias ir jas perduoti privačiam sektoriui.</w:t>
      </w:r>
    </w:p>
    <w:p w14:paraId="7114C267" w14:textId="77777777" w:rsidR="00C43D5D" w:rsidRPr="00B44B19" w:rsidRDefault="00C43D5D" w:rsidP="00F8763F">
      <w:pPr>
        <w:spacing w:before="60" w:after="60" w:line="240" w:lineRule="auto"/>
        <w:jc w:val="both"/>
        <w:rPr>
          <w:rFonts w:eastAsia="Times New Roman" w:cs="Times New Roman"/>
        </w:rPr>
      </w:pPr>
      <w:r w:rsidRPr="00B44B19">
        <w:rPr>
          <w:rFonts w:eastAsia="Times New Roman" w:cs="Times New Roman"/>
          <w:bCs/>
        </w:rPr>
        <w:t xml:space="preserve">Situaciją apsunkina ir nepakankamai išvystyta IRT infrastruktūra. Nors </w:t>
      </w:r>
      <w:r w:rsidR="00277908" w:rsidRPr="00B44B19">
        <w:rPr>
          <w:rFonts w:eastAsia="Times New Roman" w:cs="Times New Roman"/>
          <w:bCs/>
        </w:rPr>
        <w:t xml:space="preserve">pasiekta aukšta </w:t>
      </w:r>
      <w:r w:rsidRPr="00B44B19">
        <w:rPr>
          <w:rFonts w:eastAsia="Times New Roman" w:cs="Times New Roman"/>
          <w:bCs/>
        </w:rPr>
        <w:t xml:space="preserve">4G </w:t>
      </w:r>
      <w:r w:rsidR="00277908" w:rsidRPr="00B44B19">
        <w:rPr>
          <w:rFonts w:eastAsia="Times New Roman" w:cs="Times New Roman"/>
          <w:bCs/>
        </w:rPr>
        <w:t xml:space="preserve">aprėptis </w:t>
      </w:r>
      <w:r w:rsidRPr="00B44B19">
        <w:rPr>
          <w:rFonts w:eastAsia="Times New Roman" w:cs="Times New Roman"/>
          <w:bCs/>
        </w:rPr>
        <w:t xml:space="preserve">(100 % namų ūkių), o judriojo plačiajuosčio ryšio skverbtis (abonentų skaičius 100 gyventojų) Lietuvoje siekia 103 % </w:t>
      </w:r>
      <w:r w:rsidR="00277908" w:rsidRPr="00B44B19">
        <w:rPr>
          <w:rFonts w:eastAsia="Times New Roman" w:cs="Times New Roman"/>
          <w:bCs/>
        </w:rPr>
        <w:t>(</w:t>
      </w:r>
      <w:r w:rsidRPr="00B44B19">
        <w:rPr>
          <w:rFonts w:eastAsia="Times New Roman" w:cs="Times New Roman"/>
          <w:bCs/>
        </w:rPr>
        <w:t>didesnė nei visoje ES</w:t>
      </w:r>
      <w:r w:rsidR="00277908" w:rsidRPr="00B44B19">
        <w:rPr>
          <w:rFonts w:eastAsia="Times New Roman" w:cs="Times New Roman"/>
          <w:bCs/>
        </w:rPr>
        <w:t>)</w:t>
      </w:r>
      <w:r w:rsidRPr="00B44B19">
        <w:rPr>
          <w:rFonts w:eastAsia="Times New Roman" w:cs="Times New Roman"/>
          <w:bCs/>
        </w:rPr>
        <w:t xml:space="preserve">, </w:t>
      </w:r>
      <w:r w:rsidR="0096595F" w:rsidRPr="00B44B19">
        <w:rPr>
          <w:rFonts w:eastAsia="Times New Roman" w:cs="Times New Roman"/>
          <w:bCs/>
        </w:rPr>
        <w:t>pastebima reikšminga fiksuotojo plačiajuosčio ryšio aprėpties stagnacija, ypač kaimo vietovėse.</w:t>
      </w:r>
    </w:p>
    <w:p w14:paraId="4472E846" w14:textId="572C6E85" w:rsidR="00C64305" w:rsidRPr="00B44B19" w:rsidRDefault="0096595F" w:rsidP="00F8763F">
      <w:pPr>
        <w:spacing w:before="60" w:after="60" w:line="240" w:lineRule="auto"/>
        <w:jc w:val="both"/>
        <w:rPr>
          <w:rFonts w:cs="Times New Roman"/>
        </w:rPr>
      </w:pPr>
      <w:r w:rsidRPr="00B44B19">
        <w:rPr>
          <w:rFonts w:cs="Times New Roman"/>
          <w:bCs/>
          <w:lang w:eastAsia="lt-LT"/>
        </w:rPr>
        <w:t xml:space="preserve">Siekiant Lietuvos </w:t>
      </w:r>
      <w:r w:rsidRPr="00B44B19">
        <w:rPr>
          <w:rFonts w:cs="Times New Roman"/>
        </w:rPr>
        <w:t xml:space="preserve">ūkio </w:t>
      </w:r>
      <w:r w:rsidRPr="00B44B19">
        <w:rPr>
          <w:rFonts w:cs="Times New Roman"/>
          <w:b/>
        </w:rPr>
        <w:t>transformacijos į APV ekonomiką</w:t>
      </w:r>
      <w:r w:rsidRPr="00B44B19">
        <w:rPr>
          <w:rFonts w:cs="Times New Roman"/>
        </w:rPr>
        <w:t>,</w:t>
      </w:r>
      <w:r w:rsidRPr="00B44B19">
        <w:rPr>
          <w:rFonts w:cs="Times New Roman"/>
          <w:bCs/>
          <w:lang w:eastAsia="lt-LT"/>
        </w:rPr>
        <w:t xml:space="preserve"> bus investuojama į MSI skatinimą kurti ir komercinti žinias</w:t>
      </w:r>
      <w:r w:rsidRPr="00B44B19">
        <w:rPr>
          <w:rFonts w:cs="Times New Roman"/>
          <w:bCs/>
          <w:sz w:val="18"/>
          <w:szCs w:val="18"/>
        </w:rPr>
        <w:t>,</w:t>
      </w:r>
      <w:r w:rsidRPr="00B44B19">
        <w:rPr>
          <w:rFonts w:cs="Times New Roman"/>
          <w:b/>
          <w:bCs/>
          <w:sz w:val="18"/>
          <w:szCs w:val="18"/>
        </w:rPr>
        <w:t xml:space="preserve"> </w:t>
      </w:r>
      <w:r w:rsidRPr="00B44B19">
        <w:rPr>
          <w:rFonts w:cs="Times New Roman"/>
          <w:bCs/>
          <w:lang w:eastAsia="lt-LT"/>
        </w:rPr>
        <w:t>inovacijų diegimą ir skaitmenizavimą įmonėse</w:t>
      </w:r>
      <w:r w:rsidR="0017363D" w:rsidRPr="00B44B19">
        <w:rPr>
          <w:rFonts w:cs="Times New Roman"/>
          <w:bCs/>
          <w:lang w:eastAsia="lt-LT"/>
        </w:rPr>
        <w:t xml:space="preserve">, </w:t>
      </w:r>
      <w:r w:rsidRPr="00B44B19">
        <w:rPr>
          <w:rFonts w:cs="Times New Roman"/>
          <w:bCs/>
          <w:lang w:eastAsia="lt-LT"/>
        </w:rPr>
        <w:t xml:space="preserve">viešajame sektoriuje. </w:t>
      </w:r>
      <w:r w:rsidRPr="00B44B19">
        <w:rPr>
          <w:rFonts w:cs="Times New Roman"/>
          <w:bCs/>
        </w:rPr>
        <w:t xml:space="preserve">Siekiant </w:t>
      </w:r>
      <w:r w:rsidRPr="00B44B19">
        <w:rPr>
          <w:rFonts w:cs="Times New Roman"/>
          <w:b/>
          <w:bCs/>
        </w:rPr>
        <w:t>didinti ekonomikos konkurencingumą,</w:t>
      </w:r>
      <w:r w:rsidR="0017363D" w:rsidRPr="00B44B19">
        <w:rPr>
          <w:rFonts w:cs="Times New Roman"/>
          <w:b/>
          <w:bCs/>
        </w:rPr>
        <w:t xml:space="preserve"> strateginį savarankiškumą,</w:t>
      </w:r>
      <w:r w:rsidRPr="00B44B19">
        <w:rPr>
          <w:rFonts w:cs="Times New Roman"/>
          <w:bCs/>
        </w:rPr>
        <w:t xml:space="preserve"> bus investuojama į verslo tarptautiškumą, pažangiausių technologijų, </w:t>
      </w:r>
      <w:r w:rsidR="0017363D" w:rsidRPr="00B44B19">
        <w:rPr>
          <w:rFonts w:eastAsia="Times New Roman" w:cs="Times New Roman"/>
          <w:color w:val="000000"/>
        </w:rPr>
        <w:t xml:space="preserve">įskaitant STEP technologijas, kūrimą ir gamybą, </w:t>
      </w:r>
      <w:r w:rsidRPr="00B44B19">
        <w:rPr>
          <w:rFonts w:cs="Times New Roman"/>
          <w:bCs/>
        </w:rPr>
        <w:t>pasaulinio lygmens procesų ir vadybos diegimą</w:t>
      </w:r>
      <w:r w:rsidR="0017363D" w:rsidRPr="00B44B19">
        <w:rPr>
          <w:rFonts w:cs="Times New Roman"/>
          <w:bCs/>
        </w:rPr>
        <w:t xml:space="preserve">, </w:t>
      </w:r>
      <w:r w:rsidR="004003AA" w:rsidRPr="00B44B19">
        <w:rPr>
          <w:rFonts w:cs="Times New Roman"/>
          <w:b/>
        </w:rPr>
        <w:t>S4,</w:t>
      </w:r>
      <w:r w:rsidRPr="00B44B19">
        <w:rPr>
          <w:rFonts w:cs="Times New Roman"/>
          <w:b/>
        </w:rPr>
        <w:t xml:space="preserve"> pramonės pertvarkai ir verslumui reikalingus įgūdžius, nustatytus nuolatinio VGPP metu</w:t>
      </w:r>
      <w:r w:rsidRPr="00B44B19">
        <w:rPr>
          <w:rFonts w:cs="Times New Roman"/>
        </w:rPr>
        <w:t>.</w:t>
      </w:r>
    </w:p>
    <w:p w14:paraId="07458CD7" w14:textId="5E98C6FF" w:rsidR="0096595F" w:rsidRPr="00B44B19" w:rsidRDefault="00AF49FD" w:rsidP="00F8763F">
      <w:pPr>
        <w:spacing w:before="60" w:after="60" w:line="240" w:lineRule="auto"/>
        <w:jc w:val="both"/>
        <w:rPr>
          <w:rFonts w:eastAsia="Times New Roman" w:cs="Times New Roman"/>
          <w:bCs/>
          <w:szCs w:val="24"/>
        </w:rPr>
      </w:pPr>
      <w:r w:rsidRPr="00B44B19">
        <w:rPr>
          <w:rFonts w:cs="Times New Roman"/>
        </w:rPr>
        <w:t>M</w:t>
      </w:r>
      <w:r w:rsidR="009873ED" w:rsidRPr="00B44B19">
        <w:rPr>
          <w:rFonts w:eastAsia="Times New Roman" w:cs="Times New Roman"/>
        </w:rPr>
        <w:t xml:space="preserve">okslinių tyrimų sistemos fragmentacija lemia žemą </w:t>
      </w:r>
      <w:r w:rsidR="00F41970" w:rsidRPr="00B44B19">
        <w:rPr>
          <w:rFonts w:eastAsia="Times New Roman" w:cs="Times New Roman"/>
        </w:rPr>
        <w:t>j</w:t>
      </w:r>
      <w:r w:rsidR="009873ED" w:rsidRPr="00B44B19">
        <w:rPr>
          <w:rFonts w:eastAsia="Times New Roman" w:cs="Times New Roman"/>
        </w:rPr>
        <w:t xml:space="preserve">ų kokybę, </w:t>
      </w:r>
      <w:r w:rsidRPr="00B44B19">
        <w:rPr>
          <w:rFonts w:eastAsia="Times New Roman" w:cs="Times New Roman"/>
        </w:rPr>
        <w:t xml:space="preserve">todėl </w:t>
      </w:r>
      <w:r w:rsidR="009873ED" w:rsidRPr="00B44B19">
        <w:rPr>
          <w:rFonts w:eastAsia="Times New Roman" w:cs="Times New Roman"/>
        </w:rPr>
        <w:t>ES lėšos bus investuojamos tik įgyvendinus švietimo ir mokslo reformą (apims aukštųjų mokyklų misijų išgryninimą, doktorantūros studijų vykdymo</w:t>
      </w:r>
      <w:r w:rsidR="0017363D" w:rsidRPr="00B44B19">
        <w:rPr>
          <w:rFonts w:eastAsia="Times New Roman" w:cs="Times New Roman"/>
        </w:rPr>
        <w:t xml:space="preserve">, </w:t>
      </w:r>
      <w:r w:rsidR="009873ED" w:rsidRPr="00B44B19">
        <w:rPr>
          <w:rFonts w:eastAsia="Times New Roman" w:cs="Times New Roman"/>
        </w:rPr>
        <w:t xml:space="preserve">valstybės finansuojamų studijų vietų planavimo modelio sukūrimą, universitetinių studijų (siekiant jų tarptautiškumo, technologinių inovacijų diegimo, studentų mobilumo) atnaujinimą, dalyvavimą tarptautinėse programose, kt.). </w:t>
      </w:r>
      <w:r w:rsidR="0096595F" w:rsidRPr="00B44B19">
        <w:rPr>
          <w:rFonts w:cs="Times New Roman"/>
        </w:rPr>
        <w:t>R</w:t>
      </w:r>
      <w:r w:rsidR="0096595F" w:rsidRPr="00B44B19">
        <w:rPr>
          <w:rFonts w:eastAsia="Times New Roman" w:cs="Times New Roman"/>
          <w:bCs/>
          <w:szCs w:val="24"/>
        </w:rPr>
        <w:t>eaguojant į prastus Lietuvos dalyvavimo EH rodiklius, bus stiprinamos mokslininkų ir tyrėjų kompetencijos dalyvauti tarptautinėse programose</w:t>
      </w:r>
      <w:r w:rsidR="00EF1DC8" w:rsidRPr="00B44B19">
        <w:rPr>
          <w:rFonts w:eastAsia="Times New Roman" w:cs="Times New Roman"/>
          <w:bCs/>
          <w:szCs w:val="24"/>
        </w:rPr>
        <w:t>,</w:t>
      </w:r>
      <w:r w:rsidR="0096595F" w:rsidRPr="00B44B19">
        <w:rPr>
          <w:rFonts w:eastAsia="Times New Roman" w:cs="Times New Roman"/>
          <w:bCs/>
          <w:szCs w:val="24"/>
        </w:rPr>
        <w:t xml:space="preserve"> skiriant </w:t>
      </w:r>
      <w:r w:rsidR="00C058C6" w:rsidRPr="00B44B19">
        <w:rPr>
          <w:rFonts w:eastAsia="Times New Roman" w:cs="Times New Roman"/>
          <w:bCs/>
          <w:szCs w:val="24"/>
        </w:rPr>
        <w:t xml:space="preserve">papildomai ir </w:t>
      </w:r>
      <w:r w:rsidR="0096595F" w:rsidRPr="00B44B19">
        <w:rPr>
          <w:rFonts w:eastAsia="Times New Roman" w:cs="Times New Roman"/>
          <w:bCs/>
          <w:szCs w:val="24"/>
        </w:rPr>
        <w:t>EGADP finansavimą.</w:t>
      </w:r>
    </w:p>
    <w:p w14:paraId="1238CB8E" w14:textId="77777777" w:rsidR="00C43D5D" w:rsidRPr="00B44B19" w:rsidRDefault="00C43D5D" w:rsidP="00F8763F">
      <w:pPr>
        <w:spacing w:before="60" w:after="60" w:line="240" w:lineRule="auto"/>
        <w:jc w:val="both"/>
        <w:rPr>
          <w:rFonts w:eastAsia="Times New Roman" w:cs="Times New Roman"/>
          <w:color w:val="000000"/>
          <w:szCs w:val="24"/>
        </w:rPr>
      </w:pPr>
      <w:r w:rsidRPr="00B44B19">
        <w:rPr>
          <w:rFonts w:eastAsia="Times New Roman" w:cs="Times New Roman"/>
          <w:lang w:eastAsia="lt-LT"/>
        </w:rPr>
        <w:lastRenderedPageBreak/>
        <w:t xml:space="preserve">Šio tikslo investicijos prisidės prie </w:t>
      </w:r>
      <w:r w:rsidR="00B90231" w:rsidRPr="00B44B19">
        <w:rPr>
          <w:rFonts w:eastAsia="Times New Roman" w:cs="Times New Roman"/>
          <w:b/>
          <w:lang w:eastAsia="lt-LT"/>
        </w:rPr>
        <w:t>TR’2019</w:t>
      </w:r>
      <w:r w:rsidR="004B5C48" w:rsidRPr="00B44B19">
        <w:rPr>
          <w:rFonts w:eastAsia="Times New Roman" w:cs="Times New Roman"/>
          <w:b/>
          <w:lang w:eastAsia="lt-LT"/>
        </w:rPr>
        <w:t xml:space="preserve"> ir </w:t>
      </w:r>
      <w:r w:rsidR="00B90231" w:rsidRPr="00B44B19">
        <w:rPr>
          <w:rFonts w:eastAsia="Times New Roman" w:cs="Times New Roman"/>
          <w:b/>
          <w:lang w:eastAsia="lt-LT"/>
        </w:rPr>
        <w:t>TR’</w:t>
      </w:r>
      <w:r w:rsidR="004B5C48" w:rsidRPr="00B44B19">
        <w:rPr>
          <w:rFonts w:eastAsia="Times New Roman" w:cs="Times New Roman"/>
          <w:b/>
          <w:lang w:eastAsia="lt-LT"/>
        </w:rPr>
        <w:t xml:space="preserve">2020 </w:t>
      </w:r>
      <w:r w:rsidRPr="00B44B19">
        <w:rPr>
          <w:rFonts w:eastAsia="Times New Roman" w:cs="Times New Roman"/>
          <w:b/>
          <w:bCs/>
          <w:lang w:eastAsia="lt-LT"/>
        </w:rPr>
        <w:t>dėl inovacijų skatinimo įgyvendinimo</w:t>
      </w:r>
      <w:r w:rsidRPr="00B44B19">
        <w:rPr>
          <w:rFonts w:eastAsia="Times New Roman" w:cs="Times New Roman"/>
          <w:lang w:eastAsia="lt-LT"/>
        </w:rPr>
        <w:t xml:space="preserve">. Siekiant pagerinti Lietuvos inovacijų ekosistemos veikimą, </w:t>
      </w:r>
      <w:r w:rsidRPr="00B44B19">
        <w:rPr>
          <w:rFonts w:eastAsia="Times New Roman" w:cs="Times New Roman"/>
        </w:rPr>
        <w:t>planuojama įsteigti</w:t>
      </w:r>
      <w:r w:rsidRPr="00B44B19">
        <w:rPr>
          <w:rFonts w:eastAsia="Times New Roman" w:cs="Times New Roman"/>
          <w:lang w:eastAsia="lt-LT"/>
        </w:rPr>
        <w:t xml:space="preserve"> inovacijų agentūrą, joje konsoliduojant inovacinės veiklos skatinimo funkcijas. </w:t>
      </w:r>
      <w:r w:rsidRPr="00B44B19">
        <w:rPr>
          <w:rFonts w:eastAsia="Times New Roman" w:cs="Times New Roman"/>
          <w:b/>
          <w:bCs/>
          <w:lang w:eastAsia="lt-LT"/>
        </w:rPr>
        <w:t xml:space="preserve">Įgyvendinant </w:t>
      </w:r>
      <w:r w:rsidR="00B90231" w:rsidRPr="00B44B19">
        <w:rPr>
          <w:rFonts w:eastAsia="Times New Roman" w:cs="Times New Roman"/>
          <w:b/>
          <w:bCs/>
          <w:lang w:eastAsia="lt-LT"/>
        </w:rPr>
        <w:t>TR’2019</w:t>
      </w:r>
      <w:r w:rsidR="004B5C48" w:rsidRPr="00B44B19">
        <w:rPr>
          <w:rFonts w:eastAsia="Times New Roman" w:cs="Times New Roman"/>
          <w:b/>
          <w:bCs/>
          <w:lang w:eastAsia="lt-LT"/>
        </w:rPr>
        <w:t xml:space="preserve"> </w:t>
      </w:r>
      <w:r w:rsidRPr="00B44B19">
        <w:rPr>
          <w:rFonts w:eastAsia="Times New Roman" w:cs="Times New Roman"/>
          <w:b/>
          <w:bCs/>
          <w:lang w:eastAsia="lt-LT"/>
        </w:rPr>
        <w:t>dėl nuoseklios mokslo ir verslo bendradarbiavimo sistemos sukūrimo,</w:t>
      </w:r>
      <w:r w:rsidRPr="00B44B19">
        <w:rPr>
          <w:rFonts w:eastAsia="Times New Roman" w:cs="Times New Roman"/>
          <w:lang w:eastAsia="lt-LT"/>
        </w:rPr>
        <w:t xml:space="preserve"> bus remiamos </w:t>
      </w:r>
      <w:r w:rsidRPr="00B44B19">
        <w:rPr>
          <w:rFonts w:eastAsia="Times New Roman" w:cs="Times New Roman"/>
        </w:rPr>
        <w:t>sisteminės paskatos</w:t>
      </w:r>
      <w:r w:rsidR="005A71CF" w:rsidRPr="00B44B19">
        <w:rPr>
          <w:rFonts w:eastAsia="Times New Roman" w:cs="Times New Roman"/>
        </w:rPr>
        <w:t>,</w:t>
      </w:r>
      <w:r w:rsidRPr="00B44B19">
        <w:rPr>
          <w:rFonts w:eastAsia="Times New Roman" w:cs="Times New Roman"/>
        </w:rPr>
        <w:t xml:space="preserve"> skatinančios mokslininkus kurti daugiau komercinamų žinių</w:t>
      </w:r>
      <w:r w:rsidR="00F41970" w:rsidRPr="00B44B19">
        <w:rPr>
          <w:rFonts w:eastAsia="Times New Roman" w:cs="Times New Roman"/>
        </w:rPr>
        <w:t xml:space="preserve"> ir technologijų</w:t>
      </w:r>
      <w:r w:rsidRPr="00B44B19">
        <w:rPr>
          <w:rFonts w:eastAsia="Times New Roman" w:cs="Times New Roman"/>
        </w:rPr>
        <w:t xml:space="preserve">, o taikomųjų mokslinių tyrimų </w:t>
      </w:r>
      <w:r w:rsidR="00F41970" w:rsidRPr="00B44B19">
        <w:rPr>
          <w:rFonts w:eastAsia="Times New Roman" w:cs="Times New Roman"/>
        </w:rPr>
        <w:t xml:space="preserve">darbotvarkių nukreipimas į rinkos poreikius, jų </w:t>
      </w:r>
      <w:r w:rsidRPr="00B44B19">
        <w:rPr>
          <w:rFonts w:eastAsia="Times New Roman" w:cs="Times New Roman"/>
        </w:rPr>
        <w:t xml:space="preserve">vykdymas kartu su įmonėmis, pritraukiant jų kapitalą, prisidės prie ekonomikos transformacijos sukuriant ir realizuojant tarptautinėje rinkoje konkurencingus produktus. </w:t>
      </w:r>
      <w:r w:rsidR="0096595F" w:rsidRPr="00B44B19">
        <w:rPr>
          <w:rFonts w:eastAsia="Times New Roman" w:cs="Times New Roman"/>
          <w:b/>
        </w:rPr>
        <w:t>Atsižvelgiant į TR’2020 dėl investicijų į labai didelio pajėgumo plačiajuosčio ryšio aprėptį ir skverbtį sutelkimo</w:t>
      </w:r>
      <w:r w:rsidR="0096595F" w:rsidRPr="00B44B19">
        <w:rPr>
          <w:rFonts w:eastAsia="Times New Roman" w:cs="Times New Roman"/>
        </w:rPr>
        <w:t>, numatoma plėtoti itin didelio pralaidumo plačiajuosčio ryšio tinklus.</w:t>
      </w:r>
      <w:r w:rsidRPr="00B44B19">
        <w:rPr>
          <w:rFonts w:eastAsia="Times New Roman" w:cs="Times New Roman"/>
        </w:rPr>
        <w:t xml:space="preserve"> </w:t>
      </w:r>
      <w:r w:rsidRPr="00B44B19">
        <w:rPr>
          <w:rFonts w:eastAsia="Times New Roman" w:cs="Times New Roman"/>
          <w:color w:val="000000"/>
          <w:szCs w:val="24"/>
        </w:rPr>
        <w:t xml:space="preserve">Siekiant įgyvendinti </w:t>
      </w:r>
      <w:r w:rsidR="00B90231" w:rsidRPr="00B44B19">
        <w:rPr>
          <w:rFonts w:eastAsia="Times New Roman" w:cs="Times New Roman"/>
          <w:b/>
          <w:color w:val="000000"/>
          <w:szCs w:val="24"/>
        </w:rPr>
        <w:t>TR’</w:t>
      </w:r>
      <w:r w:rsidR="002A3DF2" w:rsidRPr="00B44B19">
        <w:rPr>
          <w:rFonts w:eastAsia="Times New Roman" w:cs="Times New Roman"/>
          <w:b/>
          <w:color w:val="000000"/>
          <w:szCs w:val="24"/>
        </w:rPr>
        <w:t xml:space="preserve">2020 </w:t>
      </w:r>
      <w:r w:rsidRPr="00B44B19">
        <w:rPr>
          <w:rFonts w:eastAsia="Times New Roman" w:cs="Times New Roman"/>
          <w:b/>
          <w:bCs/>
          <w:color w:val="000000"/>
          <w:szCs w:val="24"/>
        </w:rPr>
        <w:t>dėl skaitmeninės ekonomikos transformacijos skatinimo</w:t>
      </w:r>
      <w:r w:rsidRPr="00B44B19">
        <w:rPr>
          <w:rFonts w:eastAsia="Times New Roman" w:cs="Times New Roman"/>
          <w:color w:val="000000"/>
          <w:szCs w:val="24"/>
        </w:rPr>
        <w:t xml:space="preserve"> ypatingas dėmesys skiriamas MVĮ skaitmeninimui.</w:t>
      </w:r>
    </w:p>
    <w:p w14:paraId="1F31A0C3" w14:textId="77777777" w:rsidR="00F815B9" w:rsidRPr="00B44B19" w:rsidRDefault="00F815B9" w:rsidP="00F815B9">
      <w:pPr>
        <w:spacing w:before="60" w:after="60" w:line="240" w:lineRule="auto"/>
        <w:jc w:val="both"/>
        <w:rPr>
          <w:rFonts w:eastAsia="Times New Roman" w:cs="Times New Roman"/>
          <w:szCs w:val="24"/>
        </w:rPr>
      </w:pPr>
      <w:r w:rsidRPr="00B44B19">
        <w:rPr>
          <w:rFonts w:eastAsia="Times New Roman" w:cs="Times New Roman"/>
          <w:szCs w:val="24"/>
        </w:rPr>
        <w:t xml:space="preserve">Siekiant BNR politikos tikslo </w:t>
      </w:r>
      <w:r w:rsidRPr="00B44B19">
        <w:rPr>
          <w:rFonts w:eastAsia="Times New Roman" w:cs="Times New Roman"/>
          <w:b/>
          <w:szCs w:val="24"/>
        </w:rPr>
        <w:t>„Žalesnė Europa“</w:t>
      </w:r>
      <w:r w:rsidRPr="00B44B19">
        <w:rPr>
          <w:rFonts w:eastAsia="Times New Roman" w:cs="Times New Roman"/>
          <w:szCs w:val="24"/>
        </w:rPr>
        <w:t>, bus skatinamas perėjimas prie švarios ir teisingos energetikos, finansuojamos žaliosios investicijos, žiedinė ekonomika, prisitaikymas prie klimato kaitos</w:t>
      </w:r>
      <w:r w:rsidRPr="00B44B19">
        <w:rPr>
          <w:rFonts w:eastAsia="Times New Roman" w:cs="Times New Roman"/>
          <w:color w:val="EE0000"/>
          <w:szCs w:val="24"/>
        </w:rPr>
        <w:t xml:space="preserve">, </w:t>
      </w:r>
      <w:r w:rsidRPr="00B44B19">
        <w:rPr>
          <w:rFonts w:eastAsia="Times New Roman" w:cs="Times New Roman"/>
          <w:szCs w:val="24"/>
        </w:rPr>
        <w:t>ekstremalių klimato reiškinių rizikos prevencija ir rizikos valdymas</w:t>
      </w:r>
      <w:r w:rsidRPr="00B44B19">
        <w:rPr>
          <w:rFonts w:eastAsia="Times New Roman" w:cs="Times New Roman"/>
          <w:color w:val="EE0000"/>
          <w:szCs w:val="24"/>
        </w:rPr>
        <w:t>,</w:t>
      </w:r>
      <w:r w:rsidRPr="00B44B19">
        <w:rPr>
          <w:rFonts w:eastAsia="Times New Roman" w:cs="Times New Roman"/>
          <w:szCs w:val="24"/>
        </w:rPr>
        <w:t xml:space="preserve"> skatinamas darnus judumas miestuose bei finansuojama strateginės svarbos vandens ir energetinės infrastruktūros apsauga.</w:t>
      </w:r>
    </w:p>
    <w:p w14:paraId="35812E11" w14:textId="77777777" w:rsidR="00C43D5D" w:rsidRPr="00B44B19" w:rsidRDefault="0096595F" w:rsidP="00F8763F">
      <w:pPr>
        <w:spacing w:before="60" w:after="60" w:line="240" w:lineRule="auto"/>
        <w:jc w:val="both"/>
        <w:rPr>
          <w:rFonts w:eastAsia="Times New Roman" w:cs="Times New Roman"/>
          <w:szCs w:val="24"/>
        </w:rPr>
      </w:pPr>
      <w:r w:rsidRPr="00B44B19">
        <w:rPr>
          <w:rFonts w:eastAsia="Times New Roman" w:cs="Times New Roman"/>
          <w:szCs w:val="24"/>
        </w:rPr>
        <w:t xml:space="preserve">Lietuva pasižymi neefektyviu išteklių naudojimu ir dideliu energijos intensyvumu. </w:t>
      </w:r>
      <w:r w:rsidR="005733C2" w:rsidRPr="00B44B19">
        <w:rPr>
          <w:rFonts w:eastAsia="Times New Roman" w:cs="Times New Roman"/>
          <w:szCs w:val="24"/>
        </w:rPr>
        <w:t>E</w:t>
      </w:r>
      <w:r w:rsidRPr="00B44B19">
        <w:rPr>
          <w:rFonts w:eastAsia="Times New Roman" w:cs="Times New Roman"/>
          <w:szCs w:val="24"/>
        </w:rPr>
        <w:t>nergijos produktyvumo rodiklis 2019 m. gerėjo ir siekė 4,897 Eur/kgne, tačiau vis dar reikšmingai atsilieka nuo ES vidurkio ‒ 8,358 Eur/kgne. Išteklių našumas tebėra mažas – 2019 m. rodiklis siekė 0,92 Eur/kg, t. y. gerokai mažesnis už 2 Eur/kg ES vidurkį, o ekologinių inovacijų indeksas vis dar išlieka žemesnis už ES vidurkį: Lietuvos rodiklis 2021 m. – 88, ES vidurkis – 121.</w:t>
      </w:r>
    </w:p>
    <w:p w14:paraId="37D12442" w14:textId="77777777" w:rsidR="00C43D5D" w:rsidRPr="00B44B19" w:rsidRDefault="0096595F" w:rsidP="00F8763F">
      <w:pPr>
        <w:spacing w:before="60" w:after="60" w:line="240" w:lineRule="auto"/>
        <w:jc w:val="both"/>
        <w:rPr>
          <w:rFonts w:eastAsia="Times New Roman" w:cs="Times New Roman"/>
          <w:szCs w:val="24"/>
        </w:rPr>
      </w:pPr>
      <w:r w:rsidRPr="00B44B19">
        <w:rPr>
          <w:rFonts w:eastAsia="Times New Roman" w:cs="Times New Roman"/>
          <w:szCs w:val="24"/>
        </w:rPr>
        <w:t xml:space="preserve">Programa reikšmingai prisidės prie NEKSVP tikslų įgyvendinimo </w:t>
      </w:r>
      <w:r w:rsidR="00B86786" w:rsidRPr="00B44B19">
        <w:rPr>
          <w:rFonts w:eastAsia="Times New Roman" w:cs="Times New Roman"/>
          <w:szCs w:val="24"/>
        </w:rPr>
        <w:t>EVE</w:t>
      </w:r>
      <w:r w:rsidRPr="00B44B19">
        <w:rPr>
          <w:rFonts w:eastAsia="Times New Roman" w:cs="Times New Roman"/>
          <w:szCs w:val="24"/>
        </w:rPr>
        <w:t xml:space="preserve"> didinimo srityje, kuriais siekiama iki 2030 m. pirminės ir galutinės energijos intensyvumą sumažinti 1,5 karto, palyginti su 2017 m. Lietuvoje atnaujinimo laukia apie </w:t>
      </w:r>
      <w:r w:rsidR="004C54F5" w:rsidRPr="00B44B19">
        <w:rPr>
          <w:rFonts w:eastAsia="Times New Roman" w:cs="Times New Roman"/>
          <w:szCs w:val="24"/>
        </w:rPr>
        <w:t xml:space="preserve">30 060 </w:t>
      </w:r>
      <w:r w:rsidRPr="00B44B19">
        <w:rPr>
          <w:rFonts w:eastAsia="Times New Roman" w:cs="Times New Roman"/>
          <w:szCs w:val="24"/>
        </w:rPr>
        <w:t xml:space="preserve">neefektyvių </w:t>
      </w:r>
      <w:r w:rsidR="0008790D" w:rsidRPr="00B44B19">
        <w:rPr>
          <w:rFonts w:eastAsia="Times New Roman" w:cs="Times New Roman"/>
          <w:szCs w:val="24"/>
        </w:rPr>
        <w:t xml:space="preserve">daugiabučių ir apie </w:t>
      </w:r>
      <w:r w:rsidRPr="00B44B19">
        <w:rPr>
          <w:rFonts w:eastAsia="Times New Roman" w:cs="Times New Roman"/>
          <w:szCs w:val="24"/>
        </w:rPr>
        <w:t xml:space="preserve">700 viešųjų pastatų. Taip pat numatoma didinti </w:t>
      </w:r>
      <w:r w:rsidR="00B86786" w:rsidRPr="00B44B19">
        <w:rPr>
          <w:rFonts w:eastAsia="Times New Roman" w:cs="Times New Roman"/>
          <w:szCs w:val="24"/>
        </w:rPr>
        <w:t>EVE</w:t>
      </w:r>
      <w:r w:rsidRPr="00B44B19">
        <w:rPr>
          <w:rFonts w:eastAsia="Times New Roman" w:cs="Times New Roman"/>
          <w:szCs w:val="24"/>
        </w:rPr>
        <w:t xml:space="preserve"> CŠT ir pramonės </w:t>
      </w:r>
      <w:r w:rsidR="00D13F80" w:rsidRPr="00B44B19">
        <w:rPr>
          <w:rFonts w:eastAsia="Times New Roman" w:cs="Times New Roman"/>
          <w:szCs w:val="24"/>
        </w:rPr>
        <w:t>įmonėse</w:t>
      </w:r>
      <w:r w:rsidRPr="00B44B19">
        <w:rPr>
          <w:rFonts w:eastAsia="Times New Roman" w:cs="Times New Roman"/>
          <w:szCs w:val="24"/>
        </w:rPr>
        <w:t xml:space="preserve">. Nuo 2020 m. iki 2030 m. siekiama sutaupyti 27,28 TWh suminės galutinės energijos. Šie veiksmai prisidės įgyvendinant </w:t>
      </w:r>
      <w:r w:rsidRPr="00B44B19">
        <w:rPr>
          <w:rFonts w:eastAsia="Times New Roman" w:cs="Times New Roman"/>
          <w:b/>
          <w:szCs w:val="24"/>
        </w:rPr>
        <w:t>TR’2019 ir TR’2020</w:t>
      </w:r>
      <w:r w:rsidRPr="00B44B19">
        <w:rPr>
          <w:rFonts w:eastAsia="Times New Roman" w:cs="Times New Roman"/>
          <w:szCs w:val="24"/>
        </w:rPr>
        <w:t xml:space="preserve"> </w:t>
      </w:r>
      <w:r w:rsidRPr="00B44B19">
        <w:rPr>
          <w:rFonts w:eastAsia="Times New Roman" w:cs="Times New Roman"/>
          <w:b/>
          <w:szCs w:val="24"/>
        </w:rPr>
        <w:t xml:space="preserve">dėl energijos ir išteklių naudojimo efektyvumo </w:t>
      </w:r>
      <w:r w:rsidRPr="00B44B19">
        <w:rPr>
          <w:rFonts w:eastAsia="Times New Roman" w:cs="Times New Roman"/>
          <w:szCs w:val="24"/>
        </w:rPr>
        <w:t>didinimo.</w:t>
      </w:r>
    </w:p>
    <w:p w14:paraId="6D68C8E6" w14:textId="77777777" w:rsidR="00C43D5D" w:rsidRPr="00B44B19" w:rsidRDefault="0096595F" w:rsidP="00F8763F">
      <w:pPr>
        <w:spacing w:before="60" w:after="60" w:line="240" w:lineRule="auto"/>
        <w:jc w:val="both"/>
        <w:rPr>
          <w:rFonts w:eastAsia="Times New Roman" w:cs="Times New Roman"/>
          <w:szCs w:val="24"/>
        </w:rPr>
      </w:pPr>
      <w:r w:rsidRPr="00B44B19">
        <w:rPr>
          <w:rFonts w:eastAsia="Times New Roman" w:cs="Times New Roman"/>
          <w:szCs w:val="24"/>
        </w:rPr>
        <w:t xml:space="preserve">Energetikoje yra </w:t>
      </w:r>
      <w:r w:rsidRPr="00B44B19">
        <w:rPr>
          <w:rFonts w:eastAsia="Times New Roman" w:cs="Times New Roman"/>
          <w:b/>
          <w:szCs w:val="24"/>
        </w:rPr>
        <w:t>neišnaudotas Lietuvos AEI potencialas</w:t>
      </w:r>
      <w:r w:rsidRPr="00B44B19">
        <w:rPr>
          <w:rFonts w:eastAsia="Times New Roman" w:cs="Times New Roman"/>
          <w:szCs w:val="24"/>
        </w:rPr>
        <w:t xml:space="preserve"> energijos poreikiams tenkinti. Lietuva ir toliau išlieka priklausoma nuo importuojamos energijos. AEI dalis galutinio energijos vartojimo balanse sudaro 25,5 </w:t>
      </w:r>
      <w:r w:rsidR="00DD1FF9" w:rsidRPr="00B44B19">
        <w:rPr>
          <w:rFonts w:eastAsia="Times New Roman" w:cs="Times New Roman"/>
          <w:szCs w:val="24"/>
        </w:rPr>
        <w:t>%</w:t>
      </w:r>
      <w:r w:rsidRPr="00B44B19">
        <w:rPr>
          <w:rFonts w:eastAsia="Times New Roman" w:cs="Times New Roman"/>
          <w:szCs w:val="24"/>
        </w:rPr>
        <w:t xml:space="preserve"> (2019 m.), o </w:t>
      </w:r>
      <w:r w:rsidR="004F1E17" w:rsidRPr="00B44B19">
        <w:rPr>
          <w:rFonts w:eastAsia="Times New Roman" w:cs="Times New Roman"/>
          <w:szCs w:val="24"/>
        </w:rPr>
        <w:t>CŠT</w:t>
      </w:r>
      <w:r w:rsidRPr="00B44B19">
        <w:rPr>
          <w:rFonts w:eastAsia="Times New Roman" w:cs="Times New Roman"/>
          <w:szCs w:val="24"/>
        </w:rPr>
        <w:t xml:space="preserve"> gamyboje ‒ apie 72 %. Didinant šalies energetinę nepriklausomybę svarbios išlieka investicijos, didinančios energijos</w:t>
      </w:r>
      <w:r w:rsidRPr="00B44B19">
        <w:rPr>
          <w:rFonts w:eastAsia="Times New Roman" w:cs="Times New Roman"/>
          <w:bCs/>
          <w:szCs w:val="24"/>
        </w:rPr>
        <w:t xml:space="preserve">, pagamintos iš </w:t>
      </w:r>
      <w:r w:rsidRPr="00B44B19">
        <w:rPr>
          <w:rFonts w:eastAsia="Times New Roman" w:cs="Times New Roman"/>
          <w:szCs w:val="24"/>
        </w:rPr>
        <w:t>AEI</w:t>
      </w:r>
      <w:r w:rsidRPr="00B44B19">
        <w:rPr>
          <w:rFonts w:eastAsia="Times New Roman" w:cs="Times New Roman"/>
          <w:bCs/>
          <w:szCs w:val="24"/>
        </w:rPr>
        <w:t xml:space="preserve">, dalį elektros ir </w:t>
      </w:r>
      <w:r w:rsidR="004F1E17" w:rsidRPr="00B44B19">
        <w:rPr>
          <w:rFonts w:eastAsia="Times New Roman" w:cs="Times New Roman"/>
          <w:bCs/>
          <w:szCs w:val="24"/>
        </w:rPr>
        <w:t>CŠT</w:t>
      </w:r>
      <w:r w:rsidRPr="00B44B19">
        <w:rPr>
          <w:rFonts w:eastAsia="Times New Roman" w:cs="Times New Roman"/>
          <w:bCs/>
          <w:szCs w:val="24"/>
        </w:rPr>
        <w:t xml:space="preserve"> gamyboje bei visame energijos vartojimo balanse ir </w:t>
      </w:r>
      <w:r w:rsidRPr="00B44B19">
        <w:rPr>
          <w:rFonts w:cs="Times New Roman"/>
          <w:szCs w:val="24"/>
        </w:rPr>
        <w:t xml:space="preserve">pramonės </w:t>
      </w:r>
      <w:r w:rsidR="00160172" w:rsidRPr="00B44B19">
        <w:rPr>
          <w:rFonts w:cs="Times New Roman"/>
          <w:szCs w:val="24"/>
        </w:rPr>
        <w:t>įmonėse</w:t>
      </w:r>
      <w:r w:rsidRPr="00B44B19">
        <w:rPr>
          <w:rFonts w:eastAsia="Times New Roman" w:cs="Times New Roman"/>
          <w:bCs/>
          <w:szCs w:val="24"/>
        </w:rPr>
        <w:t>. Siekiant užtikrinti AEI plėtrą, būtinas skirstomojo tinklo modernizavimas diegiant išmaniuosius sprendimus.</w:t>
      </w:r>
      <w:r w:rsidRPr="00B44B19">
        <w:rPr>
          <w:rFonts w:eastAsia="Times New Roman" w:cs="Times New Roman"/>
          <w:szCs w:val="24"/>
        </w:rPr>
        <w:t xml:space="preserve"> Siekiama, kad iki 2030 m. šilumos ir vėsinimo tinkluose AEI dalis siektų 67 %, o visame galutin</w:t>
      </w:r>
      <w:r w:rsidR="00AC7FE3" w:rsidRPr="00B44B19">
        <w:rPr>
          <w:rFonts w:eastAsia="Times New Roman" w:cs="Times New Roman"/>
          <w:szCs w:val="24"/>
        </w:rPr>
        <w:t>ės</w:t>
      </w:r>
      <w:r w:rsidR="0050004A" w:rsidRPr="00B44B19">
        <w:rPr>
          <w:rFonts w:eastAsia="Times New Roman" w:cs="Times New Roman"/>
          <w:szCs w:val="24"/>
        </w:rPr>
        <w:t xml:space="preserve"> </w:t>
      </w:r>
      <w:r w:rsidRPr="00B44B19">
        <w:rPr>
          <w:rFonts w:eastAsia="Times New Roman" w:cs="Times New Roman"/>
          <w:szCs w:val="24"/>
        </w:rPr>
        <w:t>energijos vartojimo balanse AEI sudarytų 50 %.</w:t>
      </w:r>
    </w:p>
    <w:p w14:paraId="67EFFFFC" w14:textId="545FD39D" w:rsidR="00C43D5D" w:rsidRPr="00B44B19" w:rsidRDefault="00C43D5D" w:rsidP="00F8763F">
      <w:pPr>
        <w:spacing w:before="60" w:after="60" w:line="240" w:lineRule="auto"/>
        <w:jc w:val="both"/>
        <w:rPr>
          <w:rFonts w:eastAsia="Times New Roman" w:cs="Times New Roman"/>
          <w:szCs w:val="24"/>
        </w:rPr>
      </w:pPr>
      <w:r w:rsidRPr="00B44B19">
        <w:rPr>
          <w:rFonts w:eastAsia="Times New Roman" w:cs="Times New Roman"/>
          <w:szCs w:val="24"/>
        </w:rPr>
        <w:t xml:space="preserve">Pereinant prie neutralaus poveikio klimatui ekonomikos, pramonės </w:t>
      </w:r>
      <w:r w:rsidR="00FC0B79" w:rsidRPr="00B44B19">
        <w:rPr>
          <w:rFonts w:eastAsia="Times New Roman" w:cs="Times New Roman"/>
          <w:szCs w:val="24"/>
        </w:rPr>
        <w:t xml:space="preserve">įmonių </w:t>
      </w:r>
      <w:r w:rsidR="00DE5824" w:rsidRPr="00B44B19">
        <w:rPr>
          <w:rFonts w:eastAsia="Times New Roman" w:cs="Times New Roman"/>
          <w:szCs w:val="24"/>
        </w:rPr>
        <w:t xml:space="preserve">dekarbonizaciją, mažinant </w:t>
      </w:r>
      <w:r w:rsidRPr="00B44B19">
        <w:rPr>
          <w:rFonts w:eastAsia="Times New Roman" w:cs="Times New Roman"/>
          <w:szCs w:val="24"/>
        </w:rPr>
        <w:t>išmetamą ŠESD kiekį</w:t>
      </w:r>
      <w:r w:rsidR="00DE5824" w:rsidRPr="00B44B19">
        <w:rPr>
          <w:rFonts w:eastAsia="Times New Roman" w:cs="Times New Roman"/>
          <w:szCs w:val="24"/>
        </w:rPr>
        <w:t>,</w:t>
      </w:r>
      <w:r w:rsidRPr="00B44B19">
        <w:rPr>
          <w:rFonts w:eastAsia="Times New Roman" w:cs="Times New Roman"/>
          <w:szCs w:val="24"/>
        </w:rPr>
        <w:t xml:space="preserve"> numatoma </w:t>
      </w:r>
      <w:r w:rsidR="00DE5824" w:rsidRPr="00B44B19">
        <w:rPr>
          <w:rFonts w:eastAsia="Times New Roman" w:cs="Times New Roman"/>
          <w:szCs w:val="24"/>
        </w:rPr>
        <w:t xml:space="preserve">vykdyti </w:t>
      </w:r>
      <w:r w:rsidR="00B2585A" w:rsidRPr="00B44B19">
        <w:rPr>
          <w:rFonts w:eastAsia="Times New Roman" w:cs="Times New Roman"/>
          <w:b/>
          <w:szCs w:val="24"/>
        </w:rPr>
        <w:t>TPF</w:t>
      </w:r>
      <w:r w:rsidRPr="00B44B19">
        <w:rPr>
          <w:rFonts w:eastAsia="Times New Roman" w:cs="Times New Roman"/>
          <w:szCs w:val="24"/>
        </w:rPr>
        <w:t xml:space="preserve"> lėšomis. </w:t>
      </w:r>
      <w:r w:rsidR="00DE5824" w:rsidRPr="00B44B19">
        <w:rPr>
          <w:rFonts w:eastAsia="Times New Roman" w:cs="Times New Roman"/>
          <w:color w:val="000000"/>
        </w:rPr>
        <w:t xml:space="preserve">Pereinant prie klimatui neutralių technologijų taikymo, </w:t>
      </w:r>
      <w:r w:rsidR="00DD1FF9" w:rsidRPr="00B44B19">
        <w:rPr>
          <w:rFonts w:eastAsia="Times New Roman" w:cs="Times New Roman"/>
          <w:szCs w:val="24"/>
        </w:rPr>
        <w:t xml:space="preserve">tuo pačiu metu reikės sušvelninti galimą neigiamą socialinį ir ekonominį šios pertvarkos poveikį. </w:t>
      </w:r>
      <w:r w:rsidR="00461D02" w:rsidRPr="00B44B19">
        <w:rPr>
          <w:rFonts w:eastAsia="Times New Roman" w:cs="Times New Roman"/>
          <w:szCs w:val="24"/>
        </w:rPr>
        <w:t>Lietuva parengė Teritorinį teisingos pertvarkos planą, kuris apima Kauno, Telšių ir Šiaulių apskritis.</w:t>
      </w:r>
    </w:p>
    <w:p w14:paraId="7D3C5E0E" w14:textId="77777777" w:rsidR="0060607F" w:rsidRPr="00B44B19" w:rsidRDefault="00DD1FF9" w:rsidP="00F8763F">
      <w:pPr>
        <w:spacing w:before="60" w:after="60" w:line="240" w:lineRule="auto"/>
        <w:jc w:val="both"/>
        <w:rPr>
          <w:rFonts w:eastAsia="Times New Roman" w:cs="Times New Roman"/>
          <w:szCs w:val="24"/>
        </w:rPr>
      </w:pPr>
      <w:r w:rsidRPr="00B44B19">
        <w:rPr>
          <w:rFonts w:eastAsia="Times New Roman" w:cs="Times New Roman"/>
          <w:szCs w:val="24"/>
        </w:rPr>
        <w:t>Įgyvendinant</w:t>
      </w:r>
      <w:r w:rsidR="00A36810" w:rsidRPr="00B44B19">
        <w:rPr>
          <w:rFonts w:eastAsia="Times New Roman" w:cs="Times New Roman"/>
          <w:szCs w:val="24"/>
        </w:rPr>
        <w:t xml:space="preserve"> Žmonėms skirto</w:t>
      </w:r>
      <w:r w:rsidR="00B74169" w:rsidRPr="00B44B19">
        <w:rPr>
          <w:rFonts w:eastAsia="Times New Roman" w:cs="Times New Roman"/>
        </w:rPr>
        <w:t xml:space="preserve"> vandens</w:t>
      </w:r>
      <w:r w:rsidR="00A36810" w:rsidRPr="00B44B19">
        <w:rPr>
          <w:rFonts w:eastAsia="Times New Roman" w:cs="Times New Roman"/>
        </w:rPr>
        <w:t xml:space="preserve"> kokybės</w:t>
      </w:r>
      <w:r w:rsidR="00B74169" w:rsidRPr="00B44B19">
        <w:rPr>
          <w:rFonts w:eastAsia="Times New Roman" w:cs="Times New Roman"/>
        </w:rPr>
        <w:t xml:space="preserve"> direktyvą</w:t>
      </w:r>
      <w:r w:rsidRPr="00B44B19">
        <w:rPr>
          <w:rFonts w:eastAsia="Times New Roman" w:cs="Times New Roman"/>
          <w:szCs w:val="24"/>
        </w:rPr>
        <w:t xml:space="preserve"> siekiama apsaugoti žmonių sveikatą nuo neigiamo poveikio, kylančio dėl vartoti skirto vandens užterštumo, ir pagerinti prieigą prie sveiko ir švaraus vandens. Tik 83,02 % (2020 m.) gyventojų prisijungę prie centralizuotų geriamojo vandens tiekimo sistemų.</w:t>
      </w:r>
      <w:r w:rsidRPr="00B44B19">
        <w:rPr>
          <w:rFonts w:cs="Times New Roman"/>
        </w:rPr>
        <w:t xml:space="preserve"> </w:t>
      </w:r>
      <w:r w:rsidRPr="00B44B19">
        <w:rPr>
          <w:rFonts w:eastAsia="Times New Roman" w:cs="Times New Roman"/>
          <w:szCs w:val="24"/>
        </w:rPr>
        <w:t>Siekiama, kad iki 2030 m. vandens tiekimo paslaugos būtų prieinamos 90 % gyventojų.</w:t>
      </w:r>
    </w:p>
    <w:p w14:paraId="0FF1346D" w14:textId="77777777" w:rsidR="0060607F" w:rsidRPr="00B44B19" w:rsidRDefault="0060607F" w:rsidP="00F8763F">
      <w:pPr>
        <w:spacing w:before="60" w:after="60" w:line="240" w:lineRule="auto"/>
        <w:jc w:val="both"/>
        <w:rPr>
          <w:rFonts w:eastAsia="Times New Roman" w:cs="Times New Roman"/>
          <w:szCs w:val="24"/>
        </w:rPr>
      </w:pPr>
      <w:r w:rsidRPr="00B44B19">
        <w:rPr>
          <w:rFonts w:eastAsia="Times New Roman" w:cs="Times New Roman"/>
          <w:szCs w:val="24"/>
        </w:rPr>
        <w:t>Įgyvendinant Bendrąją vandens pagrindų direktyvą siekiama užtikrinti, kad visi Lietuvos vandens telkiniai taptų geros būklės. Tačiau Lietuvoje tik 53 % (2016 m.) paviršinių vandens telkinių yra geros ar labai geros būklės, o upėmis į Baltijos jūrą atplukdomas teršalų kiekis nuo 2001 m.</w:t>
      </w:r>
      <w:r w:rsidR="006C7D3D" w:rsidRPr="00B44B19">
        <w:rPr>
          <w:rFonts w:eastAsia="Times New Roman" w:cs="Times New Roman"/>
          <w:szCs w:val="24"/>
        </w:rPr>
        <w:t xml:space="preserve"> </w:t>
      </w:r>
      <w:r w:rsidRPr="00B44B19">
        <w:rPr>
          <w:rFonts w:eastAsia="Times New Roman" w:cs="Times New Roman"/>
          <w:szCs w:val="24"/>
        </w:rPr>
        <w:t xml:space="preserve">auga. </w:t>
      </w:r>
      <w:r w:rsidR="00DD1FF9" w:rsidRPr="00B44B19">
        <w:rPr>
          <w:rFonts w:eastAsia="Times New Roman" w:cs="Times New Roman"/>
          <w:szCs w:val="24"/>
        </w:rPr>
        <w:t xml:space="preserve">Didžiausią neigiamą poveikį vandens telkiniams daro pasklidoji tarša iš žemės ūkio ir iš kitų </w:t>
      </w:r>
      <w:r w:rsidR="00DD1FF9" w:rsidRPr="00B44B19">
        <w:rPr>
          <w:rFonts w:eastAsia="Times New Roman" w:cs="Times New Roman"/>
          <w:szCs w:val="24"/>
        </w:rPr>
        <w:lastRenderedPageBreak/>
        <w:t>nenustatytų taršos šaltinių, pvz., netinkamai tvarkomų individualių nuotekų. Tik 76,97 % (2020 m.) Lietuvos gyventojų nuotekų tvarkomos centralizuotai.</w:t>
      </w:r>
    </w:p>
    <w:p w14:paraId="3374FE75" w14:textId="7B4607B9" w:rsidR="00C43D5D" w:rsidRPr="00B44B19" w:rsidRDefault="00DD1FF9" w:rsidP="00F8763F">
      <w:pPr>
        <w:spacing w:before="60" w:after="60" w:line="240" w:lineRule="auto"/>
        <w:jc w:val="both"/>
        <w:rPr>
          <w:rFonts w:eastAsia="Times New Roman" w:cs="Times New Roman"/>
          <w:bCs/>
          <w:iCs/>
          <w:szCs w:val="24"/>
        </w:rPr>
      </w:pPr>
      <w:r w:rsidRPr="00B44B19">
        <w:rPr>
          <w:rFonts w:eastAsia="Times New Roman" w:cs="Times New Roman"/>
          <w:szCs w:val="24"/>
        </w:rPr>
        <w:t xml:space="preserve">Lietuvoje sąvartynuose šalinamų komunalinių atliekų kiekis mažėja: 2015 m. jis buvo 54 %, o 2019 m. – 21,5 %. Komunalinių atliekų paruošimas pakartotinai naudoti ir perdirbimas 2019 m. siekė 49,7 % (2015 m. – 45,5 %). Siekiama, kad iki 2030 m. sąvartynuose šalinamų atliekų kiekis sudarytų 5 %, o paruoštų pakartotinai naudoti ir perdirbtų komunalinių atliekų dalis </w:t>
      </w:r>
      <w:r w:rsidR="00362A2C" w:rsidRPr="00B44B19">
        <w:rPr>
          <w:rFonts w:eastAsia="Times New Roman" w:cs="Times New Roman"/>
          <w:szCs w:val="24"/>
        </w:rPr>
        <w:t xml:space="preserve">– </w:t>
      </w:r>
      <w:r w:rsidRPr="00B44B19">
        <w:rPr>
          <w:rFonts w:eastAsia="Times New Roman" w:cs="Times New Roman"/>
          <w:szCs w:val="24"/>
        </w:rPr>
        <w:t xml:space="preserve">60 %. </w:t>
      </w:r>
      <w:r w:rsidRPr="00B44B19">
        <w:rPr>
          <w:rFonts w:eastAsia="Times New Roman" w:cs="Times New Roman"/>
          <w:bCs/>
          <w:iCs/>
          <w:szCs w:val="24"/>
        </w:rPr>
        <w:t>Ekologinių inovacijų indeksą iki 2030 m. siekiama pagerinti iki 133 balų. 2018 m. tik 28 % gyventojų prisidėjo prie aplinkos saugojimo, todėl bus siekiama, kad iki 2030 m. pusė Lietuvos visuomenės (50 %) sąmoningai prisidėtų prie geros aplinkos kokybės.</w:t>
      </w:r>
    </w:p>
    <w:p w14:paraId="2A52A592" w14:textId="77777777" w:rsidR="009C33A5" w:rsidRPr="00B44B19" w:rsidRDefault="00DD1FF9" w:rsidP="00F8763F">
      <w:pPr>
        <w:spacing w:before="60" w:after="60" w:line="240" w:lineRule="auto"/>
        <w:jc w:val="both"/>
        <w:rPr>
          <w:rFonts w:eastAsia="Times New Roman" w:cs="Times New Roman"/>
        </w:rPr>
      </w:pPr>
      <w:r w:rsidRPr="00B44B19">
        <w:rPr>
          <w:rFonts w:eastAsia="Times New Roman" w:cs="Times New Roman"/>
        </w:rPr>
        <w:t xml:space="preserve">Pristatant </w:t>
      </w:r>
      <w:r w:rsidRPr="00B44B19">
        <w:rPr>
          <w:rFonts w:eastAsia="Times New Roman" w:cs="Times New Roman"/>
          <w:bCs/>
        </w:rPr>
        <w:t>klimato kaitos nulemtus pavojus, Lietuvai</w:t>
      </w:r>
      <w:r w:rsidRPr="00B44B19">
        <w:rPr>
          <w:rFonts w:eastAsia="Times New Roman" w:cs="Times New Roman"/>
        </w:rPr>
        <w:t xml:space="preserve"> aktualūs potvyniai ir jų daroma žala ekonomikai ir infrastruktūrai, taip pat pakrančių erozija. </w:t>
      </w:r>
      <w:r w:rsidR="0050004A" w:rsidRPr="00B44B19">
        <w:rPr>
          <w:rFonts w:eastAsia="Times New Roman" w:cs="Times New Roman"/>
        </w:rPr>
        <w:t xml:space="preserve">Šaliai </w:t>
      </w:r>
      <w:r w:rsidRPr="00B44B19">
        <w:rPr>
          <w:rFonts w:eastAsia="Times New Roman" w:cs="Times New Roman"/>
        </w:rPr>
        <w:t>svarbu prisitaikyti prie klimato kaitos, dėmesį sutelkiant į prevenciją ir atsparumo nelaimėms didinimą. 2021 m. Nacionalinių rizikų analizės išvadose įvertintos įvairios pavojų perspektyvos ir pabrėžiama, kad klimato aspektu valstybei labai didelė rizika kyla dėl miškų ir durpynų gaisrų, hidrologinių ir meteorologinių reiškinių, potvynių ir įvykių jūroje.</w:t>
      </w:r>
    </w:p>
    <w:p w14:paraId="3FA6AE6D" w14:textId="77777777" w:rsidR="009C33A5" w:rsidRPr="00B44B19" w:rsidRDefault="00DD1FF9" w:rsidP="00F8763F">
      <w:pPr>
        <w:spacing w:before="60" w:after="60" w:line="240" w:lineRule="auto"/>
        <w:jc w:val="both"/>
        <w:rPr>
          <w:rFonts w:eastAsia="Times New Roman" w:cs="Times New Roman"/>
          <w:szCs w:val="24"/>
        </w:rPr>
      </w:pPr>
      <w:r w:rsidRPr="00B44B19" w:rsidDel="00173596">
        <w:rPr>
          <w:rFonts w:eastAsia="Times New Roman" w:cs="Times New Roman"/>
          <w:szCs w:val="24"/>
        </w:rPr>
        <w:t>Ekosistemos ir biologinė įvairovė šalyje yra nestabili, nes trūksta priemonių buveinių apsaugai užtikrinti, invazin</w:t>
      </w:r>
      <w:r w:rsidRPr="00B44B19">
        <w:rPr>
          <w:rFonts w:eastAsia="Times New Roman" w:cs="Times New Roman"/>
          <w:szCs w:val="24"/>
        </w:rPr>
        <w:t>ėms</w:t>
      </w:r>
      <w:r w:rsidRPr="00B44B19" w:rsidDel="00173596">
        <w:rPr>
          <w:rFonts w:eastAsia="Times New Roman" w:cs="Times New Roman"/>
          <w:szCs w:val="24"/>
        </w:rPr>
        <w:t xml:space="preserve"> rūši</w:t>
      </w:r>
      <w:r w:rsidRPr="00B44B19">
        <w:rPr>
          <w:rFonts w:eastAsia="Times New Roman" w:cs="Times New Roman"/>
          <w:szCs w:val="24"/>
        </w:rPr>
        <w:t>ms</w:t>
      </w:r>
      <w:r w:rsidRPr="00B44B19" w:rsidDel="00173596">
        <w:rPr>
          <w:rFonts w:eastAsia="Times New Roman" w:cs="Times New Roman"/>
          <w:szCs w:val="24"/>
        </w:rPr>
        <w:t xml:space="preserve"> valdy</w:t>
      </w:r>
      <w:r w:rsidRPr="00B44B19">
        <w:rPr>
          <w:rFonts w:eastAsia="Times New Roman" w:cs="Times New Roman"/>
          <w:szCs w:val="24"/>
        </w:rPr>
        <w:t>ti</w:t>
      </w:r>
      <w:r w:rsidRPr="00B44B19" w:rsidDel="00173596">
        <w:rPr>
          <w:rFonts w:eastAsia="Times New Roman" w:cs="Times New Roman"/>
          <w:szCs w:val="24"/>
        </w:rPr>
        <w:t>, taikom</w:t>
      </w:r>
      <w:r w:rsidRPr="00B44B19">
        <w:rPr>
          <w:rFonts w:eastAsia="Times New Roman" w:cs="Times New Roman"/>
          <w:szCs w:val="24"/>
        </w:rPr>
        <w:t>iesiems</w:t>
      </w:r>
      <w:r w:rsidRPr="00B44B19" w:rsidDel="00173596">
        <w:rPr>
          <w:rFonts w:eastAsia="Times New Roman" w:cs="Times New Roman"/>
          <w:szCs w:val="24"/>
        </w:rPr>
        <w:t xml:space="preserve"> tyrim</w:t>
      </w:r>
      <w:r w:rsidRPr="00B44B19">
        <w:rPr>
          <w:rFonts w:eastAsia="Times New Roman" w:cs="Times New Roman"/>
          <w:szCs w:val="24"/>
        </w:rPr>
        <w:t>ams</w:t>
      </w:r>
      <w:r w:rsidRPr="00B44B19" w:rsidDel="00173596">
        <w:rPr>
          <w:rFonts w:eastAsia="Times New Roman" w:cs="Times New Roman"/>
          <w:szCs w:val="24"/>
        </w:rPr>
        <w:t xml:space="preserve"> ir efektyvi</w:t>
      </w:r>
      <w:r w:rsidRPr="00B44B19">
        <w:rPr>
          <w:rFonts w:eastAsia="Times New Roman" w:cs="Times New Roman"/>
          <w:szCs w:val="24"/>
        </w:rPr>
        <w:t>ai</w:t>
      </w:r>
      <w:r w:rsidRPr="00B44B19" w:rsidDel="00173596">
        <w:rPr>
          <w:rFonts w:eastAsia="Times New Roman" w:cs="Times New Roman"/>
          <w:szCs w:val="24"/>
        </w:rPr>
        <w:t xml:space="preserve"> stebėsen</w:t>
      </w:r>
      <w:r w:rsidRPr="00B44B19">
        <w:rPr>
          <w:rFonts w:eastAsia="Times New Roman" w:cs="Times New Roman"/>
          <w:szCs w:val="24"/>
        </w:rPr>
        <w:t>ai</w:t>
      </w:r>
      <w:r w:rsidRPr="00B44B19" w:rsidDel="00173596">
        <w:rPr>
          <w:rFonts w:eastAsia="Times New Roman" w:cs="Times New Roman"/>
          <w:szCs w:val="24"/>
        </w:rPr>
        <w:t xml:space="preserve"> vykdy</w:t>
      </w:r>
      <w:r w:rsidRPr="00B44B19">
        <w:rPr>
          <w:rFonts w:eastAsia="Times New Roman" w:cs="Times New Roman"/>
          <w:szCs w:val="24"/>
        </w:rPr>
        <w:t>ti</w:t>
      </w:r>
      <w:r w:rsidRPr="00B44B19" w:rsidDel="00173596">
        <w:rPr>
          <w:rFonts w:eastAsia="Times New Roman" w:cs="Times New Roman"/>
          <w:szCs w:val="24"/>
        </w:rPr>
        <w:t>.</w:t>
      </w:r>
      <w:r w:rsidRPr="00B44B19">
        <w:rPr>
          <w:rFonts w:eastAsia="Times New Roman" w:cs="Times New Roman"/>
          <w:szCs w:val="24"/>
        </w:rPr>
        <w:t xml:space="preserve"> Siekiama iki 2030 m. pagerinti 30 % buveinių ir rūšių būklę, prioritetą teikiant kompleksiniams taikomiesiems tyrimams ir efektyviai stebėsenai.</w:t>
      </w:r>
    </w:p>
    <w:p w14:paraId="787E6403" w14:textId="77777777" w:rsidR="009351A6" w:rsidRPr="00B44B19" w:rsidRDefault="00DD1FF9" w:rsidP="00F8763F">
      <w:pPr>
        <w:spacing w:before="60" w:after="60" w:line="240" w:lineRule="auto"/>
        <w:jc w:val="both"/>
        <w:rPr>
          <w:rFonts w:eastAsia="Times New Roman" w:cs="Times New Roman"/>
          <w:szCs w:val="24"/>
        </w:rPr>
      </w:pPr>
      <w:r w:rsidRPr="00B44B19">
        <w:rPr>
          <w:rFonts w:eastAsia="Times New Roman" w:cs="Times New Roman"/>
          <w:szCs w:val="24"/>
        </w:rPr>
        <w:t>Išmetamų į aplinkos orą teršalų kiekis iki 2020 m. neviršijo nacionalinių ribų, tačiau yra reali grėsmė neužtikrinti Lietuvai nustatytų oro taršos mažinimo tikslų 2020–2029 m. ir 2030 m.</w:t>
      </w:r>
      <w:r w:rsidR="00DB46DB" w:rsidRPr="00B44B19">
        <w:rPr>
          <w:rFonts w:eastAsia="Times New Roman" w:cs="Times New Roman"/>
          <w:szCs w:val="24"/>
        </w:rPr>
        <w:t xml:space="preserve"> O</w:t>
      </w:r>
      <w:r w:rsidRPr="00B44B19">
        <w:rPr>
          <w:rFonts w:eastAsia="Times New Roman" w:cs="Times New Roman"/>
          <w:szCs w:val="24"/>
        </w:rPr>
        <w:t xml:space="preserve">ro kokybė Lietuvoje nėra gera – vos penktadalyje miestų neviršijamos PSO kietųjų dalelių normos. Siekiama, kad 2030 m. 40 % </w:t>
      </w:r>
      <w:r w:rsidRPr="00B44B19">
        <w:rPr>
          <w:rFonts w:eastAsia="Times New Roman" w:cs="Times New Roman"/>
          <w:iCs/>
          <w:szCs w:val="24"/>
        </w:rPr>
        <w:t>miestų nebūtų viršijama PSO rekomenduojama kietųjų dalelių KD</w:t>
      </w:r>
      <w:r w:rsidRPr="00B44B19">
        <w:rPr>
          <w:rFonts w:eastAsia="Times New Roman" w:cs="Times New Roman"/>
          <w:iCs/>
          <w:szCs w:val="24"/>
          <w:vertAlign w:val="subscript"/>
        </w:rPr>
        <w:t>10</w:t>
      </w:r>
      <w:r w:rsidRPr="00B44B19">
        <w:rPr>
          <w:rFonts w:eastAsia="Times New Roman" w:cs="Times New Roman"/>
          <w:iCs/>
          <w:szCs w:val="24"/>
        </w:rPr>
        <w:t xml:space="preserve"> koncentracija. </w:t>
      </w:r>
      <w:r w:rsidRPr="00B44B19">
        <w:rPr>
          <w:rFonts w:eastAsia="Times New Roman" w:cs="Times New Roman"/>
          <w:bCs/>
          <w:szCs w:val="24"/>
        </w:rPr>
        <w:t xml:space="preserve">Lietuvoje didžiausiomis taršaus transporto problemomis išlieka neefektyvus ir senas automobilių parkas, nepatrauklus viešasis transportas, nepakankamos paskatos gyventojams naudoti mažataršius automobilius. </w:t>
      </w:r>
      <w:r w:rsidR="00090CFD" w:rsidRPr="00B44B19">
        <w:rPr>
          <w:rFonts w:eastAsia="Times New Roman" w:cs="Times New Roman"/>
          <w:bCs/>
          <w:szCs w:val="24"/>
        </w:rPr>
        <w:t xml:space="preserve">Numatoma </w:t>
      </w:r>
      <w:r w:rsidRPr="00B44B19">
        <w:rPr>
          <w:rFonts w:eastAsia="Times New Roman" w:cs="Times New Roman"/>
          <w:szCs w:val="24"/>
        </w:rPr>
        <w:t xml:space="preserve">įgyvendinti DJMP numatytas darnaus judumo priemones miestuose ir jų </w:t>
      </w:r>
      <w:r w:rsidR="00C24373" w:rsidRPr="00B44B19">
        <w:rPr>
          <w:rFonts w:eastAsia="Times New Roman" w:cs="Times New Roman"/>
          <w:szCs w:val="24"/>
        </w:rPr>
        <w:t>FZ</w:t>
      </w:r>
      <w:r w:rsidRPr="00B44B19">
        <w:rPr>
          <w:rFonts w:eastAsia="Times New Roman" w:cs="Times New Roman"/>
          <w:szCs w:val="24"/>
        </w:rPr>
        <w:t xml:space="preserve">. Įgyvendinant </w:t>
      </w:r>
      <w:r w:rsidRPr="00B44B19">
        <w:rPr>
          <w:rFonts w:eastAsia="Times New Roman" w:cs="Times New Roman"/>
          <w:b/>
          <w:szCs w:val="24"/>
        </w:rPr>
        <w:t>TR’2019 ir TR’2020</w:t>
      </w:r>
      <w:r w:rsidRPr="00B44B19">
        <w:rPr>
          <w:rFonts w:eastAsia="Times New Roman" w:cs="Times New Roman"/>
          <w:szCs w:val="24"/>
        </w:rPr>
        <w:t xml:space="preserve"> </w:t>
      </w:r>
      <w:r w:rsidRPr="00B44B19">
        <w:rPr>
          <w:rFonts w:eastAsia="Times New Roman" w:cs="Times New Roman"/>
          <w:b/>
          <w:szCs w:val="24"/>
        </w:rPr>
        <w:t xml:space="preserve">dėl darnaus transporto plėtros, </w:t>
      </w:r>
      <w:r w:rsidRPr="00B44B19">
        <w:rPr>
          <w:rFonts w:eastAsia="Times New Roman" w:cs="Times New Roman"/>
          <w:szCs w:val="24"/>
        </w:rPr>
        <w:t xml:space="preserve">numatytos priemonės transporto sektoriaus tvarumui didinti. </w:t>
      </w:r>
      <w:r w:rsidR="00A36810" w:rsidRPr="00B44B19">
        <w:rPr>
          <w:rFonts w:eastAsia="Times New Roman" w:cs="Times New Roman"/>
          <w:szCs w:val="24"/>
        </w:rPr>
        <w:t>Planuojama</w:t>
      </w:r>
      <w:r w:rsidRPr="00B44B19">
        <w:rPr>
          <w:rFonts w:eastAsia="Times New Roman" w:cs="Times New Roman"/>
          <w:szCs w:val="24"/>
        </w:rPr>
        <w:t xml:space="preserve"> padidinti transporto priemonių parko ir transporto sistemos efektyvumą, elektrinio mobilumo ir alternatyvių</w:t>
      </w:r>
      <w:r w:rsidR="00B00CB9" w:rsidRPr="00B44B19">
        <w:rPr>
          <w:rFonts w:eastAsia="Times New Roman" w:cs="Times New Roman"/>
          <w:szCs w:val="24"/>
        </w:rPr>
        <w:t>jų</w:t>
      </w:r>
      <w:r w:rsidRPr="00B44B19">
        <w:rPr>
          <w:rFonts w:eastAsia="Times New Roman" w:cs="Times New Roman"/>
          <w:szCs w:val="24"/>
        </w:rPr>
        <w:t xml:space="preserve"> degalų naudojimą, novatoriškas transporto technologijas, taip pat komercinio transporto apmokestinimą pagal principą „teršėjas moka“. Siekiama, jog AEI dalis transporto sektoriuje 2030 m. sudarytų 15 %, o ŠESD kiekis iki 2030 m. būtų 14 % mažesnis nei 2005 m.</w:t>
      </w:r>
    </w:p>
    <w:p w14:paraId="75C3D966" w14:textId="77777777" w:rsidR="00F815B9" w:rsidRPr="00B44B19" w:rsidRDefault="00F815B9" w:rsidP="00F815B9">
      <w:pPr>
        <w:spacing w:before="60" w:after="60" w:line="240" w:lineRule="auto"/>
        <w:jc w:val="both"/>
        <w:rPr>
          <w:rFonts w:eastAsia="Times New Roman" w:cs="Times New Roman"/>
          <w:bCs/>
          <w:szCs w:val="24"/>
        </w:rPr>
      </w:pPr>
      <w:r w:rsidRPr="00B44B19">
        <w:rPr>
          <w:rFonts w:eastAsia="Times New Roman" w:cs="Times New Roman"/>
          <w:bCs/>
          <w:szCs w:val="24"/>
        </w:rPr>
        <w:t xml:space="preserve">Siekiant BNR politikos tikslo </w:t>
      </w:r>
      <w:r w:rsidRPr="00B44B19">
        <w:rPr>
          <w:rFonts w:eastAsia="Times New Roman" w:cs="Times New Roman"/>
          <w:b/>
          <w:bCs/>
          <w:szCs w:val="24"/>
        </w:rPr>
        <w:t>„Geriau sujungta Europa“,</w:t>
      </w:r>
      <w:r w:rsidRPr="00B44B19">
        <w:rPr>
          <w:rFonts w:eastAsia="Times New Roman" w:cs="Times New Roman"/>
          <w:bCs/>
          <w:szCs w:val="24"/>
        </w:rPr>
        <w:t xml:space="preserve"> bus kuriamas </w:t>
      </w:r>
      <w:r w:rsidRPr="00B44B19">
        <w:rPr>
          <w:rFonts w:eastAsia="Times New Roman" w:cs="Times New Roman"/>
          <w:b/>
          <w:bCs/>
          <w:szCs w:val="24"/>
        </w:rPr>
        <w:t>tvarus, atsparus klimato kaitai, pažangus, saugus ir įvairiarūšis TEN-T</w:t>
      </w:r>
      <w:r w:rsidRPr="00B44B19">
        <w:rPr>
          <w:rFonts w:eastAsia="Times New Roman" w:cs="Times New Roman"/>
          <w:bCs/>
          <w:szCs w:val="24"/>
        </w:rPr>
        <w:t xml:space="preserve">, įskaitant pritaikytą dvejopo naudojimo reikmėms, taip pat gerinamas </w:t>
      </w:r>
      <w:r w:rsidRPr="00B44B19">
        <w:rPr>
          <w:rFonts w:eastAsia="Times New Roman" w:cs="Times New Roman"/>
          <w:b/>
          <w:bCs/>
          <w:szCs w:val="24"/>
        </w:rPr>
        <w:t>nacionalinis, regiono ir vietos judumas</w:t>
      </w:r>
      <w:r w:rsidRPr="00B44B19">
        <w:rPr>
          <w:rFonts w:eastAsia="Times New Roman" w:cs="Times New Roman"/>
          <w:bCs/>
          <w:szCs w:val="24"/>
        </w:rPr>
        <w:t xml:space="preserve">, įskaitant geresnes galimybes naudotis TEN-T, ir </w:t>
      </w:r>
      <w:r w:rsidRPr="00B44B19">
        <w:rPr>
          <w:rFonts w:eastAsia="Times New Roman" w:cs="Times New Roman"/>
          <w:b/>
          <w:bCs/>
          <w:szCs w:val="24"/>
        </w:rPr>
        <w:t>tarpvalstybinis judumas</w:t>
      </w:r>
      <w:r w:rsidRPr="00B44B19">
        <w:rPr>
          <w:rFonts w:eastAsia="Times New Roman" w:cs="Times New Roman"/>
          <w:bCs/>
          <w:szCs w:val="24"/>
        </w:rPr>
        <w:t>. Siekiant užtikrinti valstybės atsparumą grėsmėms bus stiprinama civilinė parengtis ir didinamas gynybos infrastruktūros atsparumas.</w:t>
      </w:r>
    </w:p>
    <w:p w14:paraId="714C05F6" w14:textId="47A2EBCF" w:rsidR="00C43D5D" w:rsidRPr="00B44B19" w:rsidRDefault="00C43D5D" w:rsidP="00F8763F">
      <w:pPr>
        <w:spacing w:before="60" w:after="60" w:line="240" w:lineRule="auto"/>
        <w:jc w:val="both"/>
        <w:rPr>
          <w:rFonts w:eastAsia="Times New Roman" w:cs="Times New Roman"/>
          <w:bCs/>
          <w:szCs w:val="24"/>
        </w:rPr>
      </w:pPr>
      <w:r w:rsidRPr="00B44B19">
        <w:rPr>
          <w:rFonts w:eastAsia="Times New Roman" w:cs="Times New Roman"/>
          <w:bCs/>
          <w:szCs w:val="24"/>
        </w:rPr>
        <w:t>2020 m. Lietuvoje elektrifikuotų geležinkelių dalis nuo viso geležinkelių tinklo padidėjo iki 8 %, tačiau yra viena</w:t>
      </w:r>
      <w:r w:rsidR="00B2585A" w:rsidRPr="00B44B19">
        <w:rPr>
          <w:rFonts w:eastAsia="Times New Roman" w:cs="Times New Roman"/>
          <w:bCs/>
          <w:szCs w:val="24"/>
        </w:rPr>
        <w:t>s</w:t>
      </w:r>
      <w:r w:rsidRPr="00B44B19">
        <w:rPr>
          <w:rFonts w:eastAsia="Times New Roman" w:cs="Times New Roman"/>
          <w:bCs/>
          <w:szCs w:val="24"/>
        </w:rPr>
        <w:t xml:space="preserve"> žemiausių ES</w:t>
      </w:r>
      <w:r w:rsidR="00B00CB9" w:rsidRPr="00B44B19">
        <w:rPr>
          <w:rFonts w:eastAsia="Times New Roman" w:cs="Times New Roman"/>
          <w:bCs/>
          <w:szCs w:val="24"/>
        </w:rPr>
        <w:t xml:space="preserve">, o esami elektrifikuoti ruožai nėra pritaikyti krovininių traukinių, </w:t>
      </w:r>
      <w:r w:rsidR="00C7705B" w:rsidRPr="00B44B19">
        <w:rPr>
          <w:rFonts w:eastAsia="Times New Roman" w:cs="Times New Roman"/>
          <w:bCs/>
          <w:szCs w:val="24"/>
        </w:rPr>
        <w:t>traukiamų</w:t>
      </w:r>
      <w:r w:rsidR="00B00CB9" w:rsidRPr="00B44B19">
        <w:rPr>
          <w:rFonts w:eastAsia="Times New Roman" w:cs="Times New Roman"/>
          <w:bCs/>
          <w:szCs w:val="24"/>
        </w:rPr>
        <w:t xml:space="preserve"> elektrine trauka, eismui.</w:t>
      </w:r>
      <w:r w:rsidRPr="00B44B19">
        <w:rPr>
          <w:rFonts w:eastAsia="Times New Roman" w:cs="Times New Roman"/>
          <w:bCs/>
          <w:szCs w:val="24"/>
        </w:rPr>
        <w:t xml:space="preserve"> Lėtą geležinkelių elektrifikaciją lemia laikui itin imlus elektrifikacijos darbų procesas. Nemaža dalis TEN-T </w:t>
      </w:r>
      <w:r w:rsidR="00090CFD" w:rsidRPr="00B44B19">
        <w:rPr>
          <w:rFonts w:eastAsia="Times New Roman" w:cs="Times New Roman"/>
          <w:bCs/>
          <w:szCs w:val="24"/>
        </w:rPr>
        <w:t xml:space="preserve">geležinkelių </w:t>
      </w:r>
      <w:r w:rsidRPr="00B44B19">
        <w:rPr>
          <w:rFonts w:eastAsia="Times New Roman" w:cs="Times New Roman"/>
          <w:bCs/>
          <w:szCs w:val="24"/>
        </w:rPr>
        <w:t xml:space="preserve">tinklo neatitinka jam keliamų reikalavimų, trūksta geležinkelių transporto infrastruktūros suderinamumo su kitomis transporto rūšimis, didžioji dalis keleivinių geležinkelių stočių ir peronų nėra </w:t>
      </w:r>
      <w:r w:rsidR="007F4828" w:rsidRPr="00B44B19">
        <w:rPr>
          <w:rFonts w:eastAsia="Times New Roman" w:cs="Times New Roman"/>
          <w:bCs/>
          <w:szCs w:val="24"/>
        </w:rPr>
        <w:t xml:space="preserve">pritaikyti individualių poreikių </w:t>
      </w:r>
      <w:r w:rsidRPr="00B44B19">
        <w:rPr>
          <w:rFonts w:eastAsia="Times New Roman" w:cs="Times New Roman"/>
          <w:bCs/>
          <w:szCs w:val="24"/>
        </w:rPr>
        <w:t>turintiems asmenims, neatitinka saugos parametrų. Viešojo transporto dalis, palyginti su ES vidurkiu (17,</w:t>
      </w:r>
      <w:r w:rsidR="009351A6" w:rsidRPr="00B44B19">
        <w:rPr>
          <w:rFonts w:eastAsia="Times New Roman" w:cs="Times New Roman"/>
          <w:bCs/>
          <w:szCs w:val="24"/>
        </w:rPr>
        <w:t>2 </w:t>
      </w:r>
      <w:r w:rsidRPr="00B44B19">
        <w:rPr>
          <w:rFonts w:eastAsia="Times New Roman" w:cs="Times New Roman"/>
          <w:bCs/>
          <w:szCs w:val="24"/>
        </w:rPr>
        <w:t>%), yra labai maža (</w:t>
      </w:r>
      <w:r w:rsidR="009351A6" w:rsidRPr="00B44B19">
        <w:rPr>
          <w:rFonts w:eastAsia="Times New Roman" w:cs="Times New Roman"/>
          <w:bCs/>
          <w:szCs w:val="24"/>
        </w:rPr>
        <w:t>9,4</w:t>
      </w:r>
      <w:r w:rsidRPr="00B44B19">
        <w:rPr>
          <w:rFonts w:eastAsia="Times New Roman" w:cs="Times New Roman"/>
          <w:bCs/>
          <w:szCs w:val="24"/>
        </w:rPr>
        <w:t> %),</w:t>
      </w:r>
      <w:r w:rsidR="00287035" w:rsidRPr="00B44B19">
        <w:rPr>
          <w:rFonts w:eastAsia="Times New Roman" w:cs="Times New Roman"/>
          <w:bCs/>
          <w:szCs w:val="24"/>
        </w:rPr>
        <w:t xml:space="preserve"> nėra vienos</w:t>
      </w:r>
      <w:r w:rsidRPr="00B44B19">
        <w:rPr>
          <w:rFonts w:eastAsia="Times New Roman" w:cs="Times New Roman"/>
          <w:bCs/>
          <w:szCs w:val="24"/>
        </w:rPr>
        <w:t xml:space="preserve"> viešojo transporto organizavimo sistemos, o naudojimasis lengvaisiais automobiliais vis dar didžiausias ES. </w:t>
      </w:r>
      <w:r w:rsidR="00DB46DB" w:rsidRPr="00B44B19">
        <w:rPr>
          <w:rFonts w:eastAsia="Times New Roman" w:cs="Times New Roman"/>
          <w:bCs/>
          <w:szCs w:val="24"/>
        </w:rPr>
        <w:t>P</w:t>
      </w:r>
      <w:r w:rsidRPr="00B44B19">
        <w:rPr>
          <w:rFonts w:eastAsia="Times New Roman" w:cs="Times New Roman"/>
          <w:bCs/>
          <w:szCs w:val="24"/>
        </w:rPr>
        <w:t xml:space="preserve">agrindinis TEN-T kelių tinklas vis dar neatitinka jam reglamentuose nustatytų reikalavimų, trūksta aplinkkelių, prasti kelio dangos rodikliai. </w:t>
      </w:r>
      <w:r w:rsidR="00DB46DB" w:rsidRPr="00B44B19">
        <w:rPr>
          <w:rFonts w:eastAsia="Times New Roman" w:cs="Times New Roman"/>
          <w:bCs/>
          <w:szCs w:val="24"/>
        </w:rPr>
        <w:t>N</w:t>
      </w:r>
      <w:r w:rsidRPr="00B44B19">
        <w:rPr>
          <w:rFonts w:eastAsia="Times New Roman" w:cs="Times New Roman"/>
          <w:bCs/>
          <w:szCs w:val="24"/>
        </w:rPr>
        <w:t>etolygiai išvystytas kelių tinklas regionuose, apsunkina vietos gyventojų susisiekimą su pagrindiniais socialiniais</w:t>
      </w:r>
      <w:r w:rsidR="00287035" w:rsidRPr="00B44B19">
        <w:rPr>
          <w:rFonts w:eastAsia="Times New Roman" w:cs="Times New Roman"/>
          <w:bCs/>
          <w:szCs w:val="24"/>
        </w:rPr>
        <w:t xml:space="preserve"> ir </w:t>
      </w:r>
      <w:r w:rsidRPr="00B44B19">
        <w:rPr>
          <w:rFonts w:eastAsia="Times New Roman" w:cs="Times New Roman"/>
          <w:bCs/>
          <w:szCs w:val="24"/>
        </w:rPr>
        <w:t xml:space="preserve">ekonominiais centrais. </w:t>
      </w:r>
      <w:r w:rsidR="002F4119" w:rsidRPr="00B44B19">
        <w:rPr>
          <w:rFonts w:eastAsia="Times New Roman" w:cs="Times New Roman"/>
          <w:bCs/>
          <w:szCs w:val="24"/>
        </w:rPr>
        <w:t>Ž</w:t>
      </w:r>
      <w:r w:rsidRPr="00B44B19">
        <w:rPr>
          <w:rFonts w:eastAsia="Times New Roman" w:cs="Times New Roman"/>
          <w:bCs/>
          <w:szCs w:val="24"/>
        </w:rPr>
        <w:t xml:space="preserve">uvusiųjų keliuose skaičius vienam gyventojui yra vienas didžiausių </w:t>
      </w:r>
      <w:r w:rsidR="00B2585A" w:rsidRPr="00B44B19">
        <w:rPr>
          <w:rFonts w:eastAsia="Times New Roman" w:cs="Times New Roman"/>
          <w:bCs/>
          <w:szCs w:val="24"/>
        </w:rPr>
        <w:t>ES</w:t>
      </w:r>
      <w:r w:rsidRPr="00B44B19">
        <w:rPr>
          <w:rFonts w:eastAsia="Times New Roman" w:cs="Times New Roman"/>
          <w:bCs/>
          <w:szCs w:val="24"/>
        </w:rPr>
        <w:t xml:space="preserve">. Atitinkamai, būtina </w:t>
      </w:r>
      <w:r w:rsidRPr="00B44B19">
        <w:rPr>
          <w:rFonts w:eastAsia="Times New Roman" w:cs="Times New Roman"/>
          <w:b/>
          <w:bCs/>
          <w:szCs w:val="24"/>
        </w:rPr>
        <w:t>kurti ir gerinti</w:t>
      </w:r>
      <w:r w:rsidRPr="00B44B19">
        <w:rPr>
          <w:rFonts w:eastAsia="Times New Roman" w:cs="Times New Roman"/>
          <w:b/>
          <w:bCs/>
          <w:i/>
          <w:szCs w:val="24"/>
        </w:rPr>
        <w:t xml:space="preserve"> </w:t>
      </w:r>
      <w:r w:rsidRPr="00B44B19">
        <w:rPr>
          <w:rFonts w:eastAsia="Times New Roman" w:cs="Times New Roman"/>
          <w:b/>
          <w:bCs/>
          <w:szCs w:val="24"/>
        </w:rPr>
        <w:t xml:space="preserve">multimodalinę transporto </w:t>
      </w:r>
      <w:r w:rsidRPr="00B44B19">
        <w:rPr>
          <w:rFonts w:eastAsia="Times New Roman" w:cs="Times New Roman"/>
          <w:b/>
          <w:bCs/>
          <w:szCs w:val="24"/>
        </w:rPr>
        <w:lastRenderedPageBreak/>
        <w:t>infrastruktūrą</w:t>
      </w:r>
      <w:r w:rsidRPr="00B44B19">
        <w:rPr>
          <w:rFonts w:eastAsia="Times New Roman" w:cs="Times New Roman"/>
          <w:bCs/>
          <w:szCs w:val="24"/>
        </w:rPr>
        <w:t xml:space="preserve">, </w:t>
      </w:r>
      <w:r w:rsidR="00287035" w:rsidRPr="00B44B19">
        <w:rPr>
          <w:rFonts w:eastAsia="Times New Roman" w:cs="Times New Roman"/>
          <w:bCs/>
          <w:szCs w:val="24"/>
        </w:rPr>
        <w:t xml:space="preserve">ją </w:t>
      </w:r>
      <w:r w:rsidRPr="00B44B19">
        <w:rPr>
          <w:rFonts w:eastAsia="Times New Roman" w:cs="Times New Roman"/>
          <w:bCs/>
          <w:szCs w:val="24"/>
        </w:rPr>
        <w:t>integruot</w:t>
      </w:r>
      <w:r w:rsidR="006B123F" w:rsidRPr="00B44B19">
        <w:rPr>
          <w:rFonts w:eastAsia="Times New Roman" w:cs="Times New Roman"/>
          <w:bCs/>
          <w:szCs w:val="24"/>
        </w:rPr>
        <w:t>i</w:t>
      </w:r>
      <w:r w:rsidRPr="00B44B19">
        <w:rPr>
          <w:rFonts w:eastAsia="Times New Roman" w:cs="Times New Roman"/>
          <w:bCs/>
          <w:szCs w:val="24"/>
        </w:rPr>
        <w:t xml:space="preserve"> į ES transporto tinklą </w:t>
      </w:r>
      <w:r w:rsidR="00287035" w:rsidRPr="00B44B19">
        <w:rPr>
          <w:rFonts w:eastAsia="Times New Roman" w:cs="Times New Roman"/>
          <w:bCs/>
          <w:szCs w:val="24"/>
        </w:rPr>
        <w:t xml:space="preserve">ir </w:t>
      </w:r>
      <w:r w:rsidRPr="00B44B19">
        <w:rPr>
          <w:rFonts w:eastAsia="Times New Roman" w:cs="Times New Roman"/>
          <w:bCs/>
          <w:szCs w:val="24"/>
        </w:rPr>
        <w:t>tolygiai išdėstyt</w:t>
      </w:r>
      <w:r w:rsidR="006B123F" w:rsidRPr="00B44B19">
        <w:rPr>
          <w:rFonts w:eastAsia="Times New Roman" w:cs="Times New Roman"/>
          <w:bCs/>
          <w:szCs w:val="24"/>
        </w:rPr>
        <w:t>i</w:t>
      </w:r>
      <w:r w:rsidRPr="00B44B19">
        <w:rPr>
          <w:rFonts w:eastAsia="Times New Roman" w:cs="Times New Roman"/>
          <w:bCs/>
          <w:szCs w:val="24"/>
        </w:rPr>
        <w:t xml:space="preserve"> Lietuvos teritorijoje, taip sudarant sąlygas </w:t>
      </w:r>
      <w:r w:rsidRPr="00B44B19">
        <w:rPr>
          <w:rFonts w:eastAsia="Times New Roman" w:cs="Times New Roman"/>
          <w:b/>
          <w:bCs/>
          <w:szCs w:val="24"/>
        </w:rPr>
        <w:t>subalansuotai</w:t>
      </w:r>
      <w:r w:rsidRPr="00B44B19">
        <w:rPr>
          <w:rFonts w:eastAsia="Times New Roman" w:cs="Times New Roman"/>
          <w:bCs/>
          <w:szCs w:val="24"/>
        </w:rPr>
        <w:t xml:space="preserve"> šalies </w:t>
      </w:r>
      <w:r w:rsidRPr="00B44B19">
        <w:rPr>
          <w:rFonts w:eastAsia="Times New Roman" w:cs="Times New Roman"/>
          <w:b/>
          <w:bCs/>
          <w:szCs w:val="24"/>
        </w:rPr>
        <w:t>regionų plėtrai</w:t>
      </w:r>
      <w:r w:rsidR="003A660F" w:rsidRPr="00B44B19">
        <w:rPr>
          <w:rFonts w:eastAsia="Times New Roman" w:cs="Times New Roman"/>
          <w:bCs/>
          <w:szCs w:val="24"/>
        </w:rPr>
        <w:t xml:space="preserve">, </w:t>
      </w:r>
      <w:r w:rsidRPr="00B44B19">
        <w:rPr>
          <w:rFonts w:eastAsia="Times New Roman" w:cs="Times New Roman"/>
          <w:bCs/>
          <w:szCs w:val="24"/>
        </w:rPr>
        <w:t>bei stiprin</w:t>
      </w:r>
      <w:r w:rsidR="002520C6" w:rsidRPr="00B44B19">
        <w:rPr>
          <w:rFonts w:eastAsia="Times New Roman" w:cs="Times New Roman"/>
          <w:bCs/>
          <w:szCs w:val="24"/>
        </w:rPr>
        <w:t>ti</w:t>
      </w:r>
      <w:r w:rsidRPr="00B44B19">
        <w:rPr>
          <w:rFonts w:eastAsia="Times New Roman" w:cs="Times New Roman"/>
          <w:bCs/>
          <w:szCs w:val="24"/>
        </w:rPr>
        <w:t xml:space="preserve"> Lietuvos transporto infrastruktūros </w:t>
      </w:r>
      <w:r w:rsidRPr="00B44B19">
        <w:rPr>
          <w:rFonts w:eastAsia="Times New Roman" w:cs="Times New Roman"/>
          <w:b/>
          <w:bCs/>
          <w:szCs w:val="24"/>
        </w:rPr>
        <w:t>tarpvalstybinį ir regioninį sujungiamumą</w:t>
      </w:r>
      <w:r w:rsidRPr="00B44B19">
        <w:rPr>
          <w:rFonts w:eastAsia="Times New Roman" w:cs="Times New Roman"/>
          <w:bCs/>
          <w:szCs w:val="24"/>
        </w:rPr>
        <w:t>, toliau plėsti geležinkelių elektrifikaciją</w:t>
      </w:r>
      <w:r w:rsidRPr="00B44B19">
        <w:rPr>
          <w:rFonts w:eastAsia="Times New Roman" w:cs="Times New Roman"/>
          <w:bCs/>
          <w:i/>
          <w:szCs w:val="24"/>
        </w:rPr>
        <w:t xml:space="preserve">. </w:t>
      </w:r>
      <w:r w:rsidRPr="00B44B19">
        <w:rPr>
          <w:rFonts w:eastAsia="Times New Roman" w:cs="Times New Roman"/>
          <w:bCs/>
          <w:szCs w:val="24"/>
        </w:rPr>
        <w:t xml:space="preserve">Siekiant užtikrinti </w:t>
      </w:r>
      <w:r w:rsidRPr="00B44B19">
        <w:rPr>
          <w:rFonts w:eastAsia="Times New Roman" w:cs="Times New Roman"/>
          <w:b/>
          <w:bCs/>
          <w:szCs w:val="24"/>
        </w:rPr>
        <w:t>avaringumo mažinimą ir darnų judumą</w:t>
      </w:r>
      <w:r w:rsidRPr="00B44B19">
        <w:rPr>
          <w:rFonts w:eastAsia="Times New Roman" w:cs="Times New Roman"/>
          <w:bCs/>
          <w:szCs w:val="24"/>
        </w:rPr>
        <w:t xml:space="preserve">, </w:t>
      </w:r>
      <w:r w:rsidR="00287035" w:rsidRPr="00B44B19">
        <w:rPr>
          <w:rFonts w:eastAsia="Times New Roman" w:cs="Times New Roman"/>
          <w:bCs/>
          <w:szCs w:val="24"/>
        </w:rPr>
        <w:t xml:space="preserve">būtina tęsti investicijas į kelių techninių parametrų pagerinimą, eismo saugos ir aplinkosaugos priemonių, </w:t>
      </w:r>
      <w:r w:rsidR="007633AE" w:rsidRPr="00B44B19">
        <w:rPr>
          <w:rFonts w:eastAsia="Times New Roman" w:cs="Times New Roman"/>
          <w:bCs/>
          <w:szCs w:val="24"/>
        </w:rPr>
        <w:t>ITS</w:t>
      </w:r>
      <w:r w:rsidR="00287035" w:rsidRPr="00B44B19">
        <w:rPr>
          <w:rFonts w:eastAsia="Times New Roman" w:cs="Times New Roman"/>
          <w:bCs/>
          <w:szCs w:val="24"/>
        </w:rPr>
        <w:t xml:space="preserve"> diegimą.</w:t>
      </w:r>
    </w:p>
    <w:p w14:paraId="0C8DA2CF" w14:textId="77777777" w:rsidR="00C43D5D" w:rsidRPr="00B44B19" w:rsidRDefault="00287035" w:rsidP="00F8763F">
      <w:pPr>
        <w:spacing w:before="60" w:after="60" w:line="240" w:lineRule="auto"/>
        <w:jc w:val="both"/>
        <w:rPr>
          <w:rFonts w:eastAsia="Times New Roman" w:cs="Times New Roman"/>
          <w:bCs/>
          <w:szCs w:val="24"/>
        </w:rPr>
      </w:pPr>
      <w:r w:rsidRPr="00B44B19">
        <w:rPr>
          <w:rFonts w:eastAsia="Times New Roman" w:cs="Times New Roman"/>
          <w:szCs w:val="24"/>
        </w:rPr>
        <w:t>Programa reikšmingai prisidės prie išvardytų problemų sprendimo</w:t>
      </w:r>
      <w:r w:rsidRPr="00B44B19">
        <w:rPr>
          <w:rFonts w:eastAsia="Times New Roman" w:cs="Times New Roman"/>
          <w:bCs/>
          <w:iCs/>
          <w:szCs w:val="24"/>
        </w:rPr>
        <w:t xml:space="preserve"> ir NPP </w:t>
      </w:r>
      <w:r w:rsidRPr="00B44B19">
        <w:rPr>
          <w:rFonts w:eastAsia="Times New Roman" w:cs="Times New Roman"/>
          <w:b/>
          <w:iCs/>
          <w:szCs w:val="24"/>
        </w:rPr>
        <w:t>tikslų</w:t>
      </w:r>
      <w:r w:rsidRPr="00B44B19">
        <w:rPr>
          <w:rFonts w:eastAsia="Times New Roman" w:cs="Times New Roman"/>
          <w:bCs/>
          <w:iCs/>
          <w:szCs w:val="24"/>
        </w:rPr>
        <w:t xml:space="preserve">, </w:t>
      </w:r>
      <w:r w:rsidR="007F4828" w:rsidRPr="00B44B19">
        <w:rPr>
          <w:rFonts w:eastAsia="Times New Roman" w:cs="Times New Roman"/>
          <w:bCs/>
          <w:iCs/>
          <w:szCs w:val="24"/>
        </w:rPr>
        <w:t xml:space="preserve">kad </w:t>
      </w:r>
      <w:r w:rsidR="007F4828" w:rsidRPr="00B44B19">
        <w:rPr>
          <w:rFonts w:eastAsia="Times New Roman" w:cs="Times New Roman"/>
          <w:b/>
          <w:iCs/>
          <w:szCs w:val="24"/>
        </w:rPr>
        <w:t>2030 m</w:t>
      </w:r>
      <w:r w:rsidR="007F4828" w:rsidRPr="00B44B19">
        <w:rPr>
          <w:rFonts w:eastAsia="Times New Roman" w:cs="Times New Roman"/>
          <w:bCs/>
          <w:iCs/>
          <w:szCs w:val="24"/>
        </w:rPr>
        <w:t xml:space="preserve">. TEN-T pagrindinio tinklo dalis, atitinkanti ES reikalavimus, siektų 100 %, o </w:t>
      </w:r>
      <w:r w:rsidRPr="00B44B19">
        <w:rPr>
          <w:rFonts w:eastAsia="Times New Roman" w:cs="Times New Roman"/>
          <w:bCs/>
          <w:iCs/>
          <w:szCs w:val="24"/>
        </w:rPr>
        <w:t xml:space="preserve">žuvusiųjų keliuose skaičius nuo 63 sumažėtų iki 30 žuvusiųjų, tenkančių 1 mln. gyventojų, </w:t>
      </w:r>
      <w:r w:rsidRPr="00B44B19">
        <w:rPr>
          <w:rFonts w:eastAsia="Times New Roman" w:cs="Times New Roman"/>
          <w:b/>
          <w:iCs/>
          <w:szCs w:val="24"/>
        </w:rPr>
        <w:t>pasiekimo</w:t>
      </w:r>
      <w:r w:rsidRPr="00B44B19">
        <w:rPr>
          <w:rFonts w:eastAsia="Times New Roman" w:cs="Times New Roman"/>
          <w:bCs/>
          <w:iCs/>
          <w:szCs w:val="24"/>
        </w:rPr>
        <w:t>.</w:t>
      </w:r>
    </w:p>
    <w:p w14:paraId="30AB9D2B" w14:textId="77777777" w:rsidR="00C43D5D" w:rsidRPr="00B44B19" w:rsidRDefault="00C43D5D" w:rsidP="00F8763F">
      <w:pPr>
        <w:spacing w:before="60" w:after="60" w:line="240" w:lineRule="auto"/>
        <w:jc w:val="both"/>
        <w:rPr>
          <w:rFonts w:eastAsia="Times New Roman" w:cs="Times New Roman"/>
          <w:bCs/>
          <w:szCs w:val="24"/>
        </w:rPr>
      </w:pPr>
      <w:r w:rsidRPr="00B44B19">
        <w:rPr>
          <w:rFonts w:eastAsia="Times New Roman" w:cs="Times New Roman"/>
          <w:bCs/>
          <w:szCs w:val="24"/>
        </w:rPr>
        <w:t>Siekiant užtikrinti investicijų papildomumo principą, Programos lėšomis nebus finansuojamos veiklos, kurios finansuojamos iš kitų finansavimo šalinių. ES transporto TEN-T tinklo prioritetin</w:t>
      </w:r>
      <w:r w:rsidR="00BD4ADA" w:rsidRPr="00B44B19">
        <w:rPr>
          <w:rFonts w:eastAsia="Times New Roman" w:cs="Times New Roman"/>
          <w:bCs/>
          <w:szCs w:val="24"/>
        </w:rPr>
        <w:t>į</w:t>
      </w:r>
      <w:r w:rsidRPr="00B44B19">
        <w:rPr>
          <w:rFonts w:eastAsia="Times New Roman" w:cs="Times New Roman"/>
          <w:bCs/>
          <w:szCs w:val="24"/>
        </w:rPr>
        <w:t xml:space="preserve"> projekt</w:t>
      </w:r>
      <w:r w:rsidR="00BD4ADA" w:rsidRPr="00B44B19">
        <w:rPr>
          <w:rFonts w:eastAsia="Times New Roman" w:cs="Times New Roman"/>
          <w:bCs/>
          <w:szCs w:val="24"/>
        </w:rPr>
        <w:t>ą</w:t>
      </w:r>
      <w:r w:rsidRPr="00B44B19">
        <w:rPr>
          <w:rFonts w:eastAsia="Times New Roman" w:cs="Times New Roman"/>
          <w:bCs/>
          <w:szCs w:val="24"/>
        </w:rPr>
        <w:t xml:space="preserve"> </w:t>
      </w:r>
      <w:r w:rsidRPr="00B44B19">
        <w:rPr>
          <w:rFonts w:eastAsia="Times New Roman" w:cs="Times New Roman"/>
          <w:bCs/>
          <w:i/>
          <w:szCs w:val="24"/>
        </w:rPr>
        <w:t>Rail Baltica</w:t>
      </w:r>
      <w:r w:rsidRPr="00B44B19">
        <w:rPr>
          <w:rFonts w:eastAsia="Times New Roman" w:cs="Times New Roman"/>
          <w:bCs/>
          <w:szCs w:val="24"/>
        </w:rPr>
        <w:t xml:space="preserve"> numatoma finansuoti </w:t>
      </w:r>
      <w:r w:rsidR="00164369" w:rsidRPr="00B44B19">
        <w:rPr>
          <w:rFonts w:eastAsia="Times New Roman" w:cs="Times New Roman"/>
          <w:bCs/>
          <w:szCs w:val="24"/>
        </w:rPr>
        <w:t>EITP2</w:t>
      </w:r>
      <w:r w:rsidR="007649DC" w:rsidRPr="00B44B19">
        <w:rPr>
          <w:rFonts w:eastAsia="Times New Roman" w:cs="Times New Roman"/>
          <w:bCs/>
          <w:szCs w:val="24"/>
        </w:rPr>
        <w:t xml:space="preserve"> </w:t>
      </w:r>
      <w:r w:rsidRPr="00B44B19">
        <w:rPr>
          <w:rFonts w:eastAsia="Times New Roman" w:cs="Times New Roman"/>
          <w:bCs/>
          <w:szCs w:val="24"/>
        </w:rPr>
        <w:t xml:space="preserve">lėšomis. EGADP investicijomis skatinama viešojo sektoriaus ir verslo kelių transporto priemones </w:t>
      </w:r>
      <w:r w:rsidR="00EF74EE" w:rsidRPr="00B44B19">
        <w:rPr>
          <w:rFonts w:eastAsia="Times New Roman" w:cs="Times New Roman"/>
          <w:bCs/>
          <w:szCs w:val="24"/>
        </w:rPr>
        <w:t xml:space="preserve">keisti </w:t>
      </w:r>
      <w:r w:rsidRPr="00B44B19">
        <w:rPr>
          <w:rFonts w:eastAsia="Times New Roman" w:cs="Times New Roman"/>
          <w:bCs/>
          <w:szCs w:val="24"/>
        </w:rPr>
        <w:t>į netaršias; gerinti netaršaus viešojo transporto paslaugų kokybę ir patrauklumą</w:t>
      </w:r>
      <w:r w:rsidR="00BD4ADA" w:rsidRPr="00B44B19">
        <w:rPr>
          <w:rFonts w:eastAsia="Times New Roman" w:cs="Times New Roman"/>
          <w:bCs/>
          <w:szCs w:val="24"/>
        </w:rPr>
        <w:t>,</w:t>
      </w:r>
      <w:r w:rsidRPr="00B44B19">
        <w:rPr>
          <w:rFonts w:eastAsia="Times New Roman" w:cs="Times New Roman"/>
          <w:bCs/>
          <w:szCs w:val="24"/>
        </w:rPr>
        <w:t xml:space="preserve"> atnaujinant viešojo transporto priemones verslui savivaldybėse</w:t>
      </w:r>
      <w:r w:rsidR="00EF74EE" w:rsidRPr="00B44B19">
        <w:rPr>
          <w:rFonts w:eastAsia="Times New Roman" w:cs="Times New Roman"/>
          <w:bCs/>
          <w:szCs w:val="24"/>
        </w:rPr>
        <w:t>, nerengusiose DJMP finansuojamų Veiksmų</w:t>
      </w:r>
      <w:r w:rsidRPr="00B44B19">
        <w:rPr>
          <w:rFonts w:eastAsia="Times New Roman" w:cs="Times New Roman"/>
          <w:bCs/>
          <w:szCs w:val="24"/>
        </w:rPr>
        <w:t xml:space="preserve"> </w:t>
      </w:r>
      <w:r w:rsidR="00EF74EE" w:rsidRPr="00B44B19">
        <w:rPr>
          <w:rFonts w:eastAsia="Times New Roman" w:cs="Times New Roman"/>
          <w:bCs/>
          <w:szCs w:val="24"/>
        </w:rPr>
        <w:t>p</w:t>
      </w:r>
      <w:r w:rsidRPr="00B44B19">
        <w:rPr>
          <w:rFonts w:eastAsia="Times New Roman" w:cs="Times New Roman"/>
          <w:bCs/>
          <w:szCs w:val="24"/>
        </w:rPr>
        <w:t xml:space="preserve">rogramos </w:t>
      </w:r>
      <w:r w:rsidR="00EF74EE" w:rsidRPr="00B44B19">
        <w:rPr>
          <w:rFonts w:eastAsia="Times New Roman" w:cs="Times New Roman"/>
          <w:bCs/>
          <w:szCs w:val="24"/>
        </w:rPr>
        <w:t>lėšomis</w:t>
      </w:r>
      <w:r w:rsidRPr="00B44B19">
        <w:rPr>
          <w:rFonts w:eastAsia="Times New Roman" w:cs="Times New Roman"/>
          <w:bCs/>
          <w:szCs w:val="24"/>
        </w:rPr>
        <w:t xml:space="preserve">; kurti transporto priemonių įkrovimo </w:t>
      </w:r>
      <w:r w:rsidR="00EF74EE" w:rsidRPr="00B44B19">
        <w:rPr>
          <w:rFonts w:eastAsia="Times New Roman" w:cs="Times New Roman"/>
          <w:bCs/>
          <w:szCs w:val="24"/>
        </w:rPr>
        <w:t>ar</w:t>
      </w:r>
      <w:r w:rsidRPr="00B44B19">
        <w:rPr>
          <w:rFonts w:eastAsia="Times New Roman" w:cs="Times New Roman"/>
          <w:bCs/>
          <w:szCs w:val="24"/>
        </w:rPr>
        <w:t xml:space="preserve"> pildymo infrastruktūrą visoje Lietuvoje, išskyrus </w:t>
      </w:r>
      <w:r w:rsidR="00A370C6" w:rsidRPr="00B44B19">
        <w:rPr>
          <w:rFonts w:eastAsia="Times New Roman" w:cs="Times New Roman"/>
          <w:bCs/>
          <w:szCs w:val="24"/>
        </w:rPr>
        <w:t xml:space="preserve">savivaldybes </w:t>
      </w:r>
      <w:r w:rsidR="00EF74EE" w:rsidRPr="00B44B19">
        <w:rPr>
          <w:rFonts w:eastAsia="Times New Roman" w:cs="Times New Roman"/>
          <w:bCs/>
          <w:szCs w:val="24"/>
        </w:rPr>
        <w:t>parengusias iš Veiksmų</w:t>
      </w:r>
      <w:r w:rsidRPr="00B44B19">
        <w:rPr>
          <w:rFonts w:eastAsia="Times New Roman" w:cs="Times New Roman"/>
          <w:bCs/>
          <w:szCs w:val="24"/>
        </w:rPr>
        <w:t xml:space="preserve"> </w:t>
      </w:r>
      <w:r w:rsidR="00EF74EE" w:rsidRPr="00B44B19">
        <w:rPr>
          <w:rFonts w:eastAsia="Times New Roman" w:cs="Times New Roman"/>
          <w:bCs/>
          <w:szCs w:val="24"/>
        </w:rPr>
        <w:t>p</w:t>
      </w:r>
      <w:r w:rsidRPr="00B44B19">
        <w:rPr>
          <w:rFonts w:eastAsia="Times New Roman" w:cs="Times New Roman"/>
          <w:bCs/>
          <w:szCs w:val="24"/>
        </w:rPr>
        <w:t xml:space="preserve">rogramos </w:t>
      </w:r>
      <w:r w:rsidR="00EF74EE" w:rsidRPr="00B44B19">
        <w:rPr>
          <w:rFonts w:eastAsia="Times New Roman" w:cs="Times New Roman"/>
          <w:bCs/>
          <w:szCs w:val="24"/>
        </w:rPr>
        <w:t xml:space="preserve">lėšų </w:t>
      </w:r>
      <w:r w:rsidRPr="00B44B19">
        <w:rPr>
          <w:rFonts w:eastAsia="Times New Roman" w:cs="Times New Roman"/>
          <w:bCs/>
          <w:szCs w:val="24"/>
        </w:rPr>
        <w:t xml:space="preserve">DJMP. </w:t>
      </w:r>
    </w:p>
    <w:p w14:paraId="42B9366A" w14:textId="3FA999F8" w:rsidR="00EF74EE" w:rsidRPr="00B44B19" w:rsidRDefault="00EF74EE" w:rsidP="00F8763F">
      <w:pPr>
        <w:spacing w:before="60" w:after="60" w:line="240" w:lineRule="auto"/>
        <w:jc w:val="both"/>
        <w:rPr>
          <w:rFonts w:eastAsia="Times New Roman" w:cs="Times New Roman"/>
          <w:szCs w:val="24"/>
        </w:rPr>
      </w:pPr>
      <w:r w:rsidRPr="00B44B19">
        <w:rPr>
          <w:rFonts w:eastAsia="Times New Roman" w:cs="Times New Roman"/>
          <w:szCs w:val="24"/>
        </w:rPr>
        <w:t xml:space="preserve">Siekiant BNR politikos </w:t>
      </w:r>
      <w:r w:rsidR="002E261E" w:rsidRPr="00B44B19">
        <w:rPr>
          <w:rFonts w:cs="Times New Roman"/>
        </w:rPr>
        <w:t xml:space="preserve">tikslo </w:t>
      </w:r>
      <w:r w:rsidR="002E261E" w:rsidRPr="00B44B19">
        <w:rPr>
          <w:rFonts w:cs="Times New Roman"/>
          <w:b/>
          <w:bCs/>
        </w:rPr>
        <w:t>„Socialiai atsakingesnė ir įtraukesnė Europa“,</w:t>
      </w:r>
      <w:r w:rsidR="002E261E" w:rsidRPr="00B44B19">
        <w:rPr>
          <w:rFonts w:cs="Times New Roman"/>
        </w:rPr>
        <w:t xml:space="preserve"> ES</w:t>
      </w:r>
      <w:r w:rsidRPr="00B44B19">
        <w:rPr>
          <w:rFonts w:eastAsia="Times New Roman" w:cs="Times New Roman"/>
          <w:szCs w:val="24"/>
        </w:rPr>
        <w:t xml:space="preserve"> fondų investicijomis bus įgyvendinami Europos socialinių teisių ramsčio principai atsižvelgiant į </w:t>
      </w:r>
      <w:r w:rsidR="00090CFD" w:rsidRPr="00B44B19">
        <w:rPr>
          <w:rFonts w:eastAsia="Times New Roman" w:cs="Times New Roman"/>
          <w:szCs w:val="24"/>
        </w:rPr>
        <w:t>jo</w:t>
      </w:r>
      <w:r w:rsidRPr="00B44B19">
        <w:rPr>
          <w:rFonts w:eastAsia="Times New Roman" w:cs="Times New Roman"/>
          <w:szCs w:val="24"/>
        </w:rPr>
        <w:t xml:space="preserve"> veiksmų planą ir 2021‒2030 m. neįgaliųjų teisių strategiją, skatinant </w:t>
      </w:r>
      <w:r w:rsidRPr="00B44B19">
        <w:rPr>
          <w:rFonts w:eastAsia="Times New Roman" w:cs="Times New Roman"/>
          <w:b/>
          <w:szCs w:val="24"/>
        </w:rPr>
        <w:t>užimtumo, švietimo ir socialinės įtraukties politikos sričių investicijas į žmones ir sistemas</w:t>
      </w:r>
      <w:r w:rsidRPr="00B44B19">
        <w:rPr>
          <w:rFonts w:eastAsia="Times New Roman" w:cs="Times New Roman"/>
          <w:szCs w:val="24"/>
        </w:rPr>
        <w:t>.</w:t>
      </w:r>
      <w:r w:rsidR="00560BC3" w:rsidRPr="00B44B19">
        <w:rPr>
          <w:rFonts w:eastAsia="Times New Roman" w:cs="Times New Roman"/>
          <w:szCs w:val="24"/>
        </w:rPr>
        <w:t xml:space="preserve"> Investuojant bus atsižvelgiama į, visų</w:t>
      </w:r>
      <w:r w:rsidR="00A71656" w:rsidRPr="00B44B19">
        <w:rPr>
          <w:rFonts w:eastAsia="Times New Roman" w:cs="Times New Roman"/>
          <w:szCs w:val="24"/>
        </w:rPr>
        <w:t xml:space="preserve"> visuomenės grupių (ypač marginalizuotų</w:t>
      </w:r>
      <w:r w:rsidR="00560BC3" w:rsidRPr="00B44B19">
        <w:rPr>
          <w:rFonts w:eastAsia="Times New Roman" w:cs="Times New Roman"/>
          <w:szCs w:val="24"/>
        </w:rPr>
        <w:t>) teises</w:t>
      </w:r>
      <w:r w:rsidR="007C2077" w:rsidRPr="00B44B19">
        <w:rPr>
          <w:rFonts w:eastAsia="Times New Roman" w:cs="Times New Roman"/>
          <w:szCs w:val="24"/>
        </w:rPr>
        <w:t xml:space="preserve"> ir</w:t>
      </w:r>
      <w:r w:rsidR="00560BC3" w:rsidRPr="00B44B19">
        <w:rPr>
          <w:rFonts w:eastAsia="Times New Roman" w:cs="Times New Roman"/>
          <w:szCs w:val="24"/>
        </w:rPr>
        <w:t xml:space="preserve"> </w:t>
      </w:r>
      <w:r w:rsidR="007C2077" w:rsidRPr="00B44B19">
        <w:rPr>
          <w:rFonts w:eastAsia="Times New Roman" w:cs="Times New Roman"/>
          <w:szCs w:val="24"/>
        </w:rPr>
        <w:t>siekiama užk</w:t>
      </w:r>
      <w:r w:rsidR="00362A2C" w:rsidRPr="00B44B19">
        <w:rPr>
          <w:rFonts w:eastAsia="Times New Roman" w:cs="Times New Roman"/>
          <w:szCs w:val="24"/>
        </w:rPr>
        <w:t>i</w:t>
      </w:r>
      <w:r w:rsidR="007C2077" w:rsidRPr="00B44B19">
        <w:rPr>
          <w:rFonts w:eastAsia="Times New Roman" w:cs="Times New Roman"/>
          <w:szCs w:val="24"/>
        </w:rPr>
        <w:t>rsti</w:t>
      </w:r>
      <w:r w:rsidR="00560BC3" w:rsidRPr="00B44B19">
        <w:rPr>
          <w:rFonts w:eastAsia="Times New Roman" w:cs="Times New Roman"/>
          <w:szCs w:val="24"/>
        </w:rPr>
        <w:t xml:space="preserve"> kelią bet kokios formos atskirčiai – švietim</w:t>
      </w:r>
      <w:r w:rsidR="004415D4" w:rsidRPr="00B44B19">
        <w:rPr>
          <w:rFonts w:eastAsia="Times New Roman" w:cs="Times New Roman"/>
          <w:szCs w:val="24"/>
        </w:rPr>
        <w:t>o (visuose lygmenyse),</w:t>
      </w:r>
      <w:r w:rsidR="00560BC3" w:rsidRPr="00B44B19">
        <w:rPr>
          <w:rFonts w:eastAsia="Times New Roman" w:cs="Times New Roman"/>
          <w:szCs w:val="24"/>
        </w:rPr>
        <w:t xml:space="preserve"> būsto, užimtumo, sveikatos, socialinės ir ilgalaikės priežiūros paslaugų teikime ir kur taikoma </w:t>
      </w:r>
      <w:r w:rsidR="007C2077" w:rsidRPr="00B44B19">
        <w:rPr>
          <w:rFonts w:eastAsia="Times New Roman" w:cs="Times New Roman"/>
          <w:szCs w:val="24"/>
        </w:rPr>
        <w:t>vadovaujamasi atlikta investicijų poreikių analize</w:t>
      </w:r>
      <w:r w:rsidR="00560BC3" w:rsidRPr="00B44B19">
        <w:rPr>
          <w:rFonts w:eastAsia="Times New Roman" w:cs="Times New Roman"/>
          <w:szCs w:val="24"/>
        </w:rPr>
        <w:t xml:space="preserve"> (ang</w:t>
      </w:r>
      <w:r w:rsidR="00A71656" w:rsidRPr="00B44B19">
        <w:rPr>
          <w:rFonts w:eastAsia="Times New Roman" w:cs="Times New Roman"/>
          <w:szCs w:val="24"/>
        </w:rPr>
        <w:t>l</w:t>
      </w:r>
      <w:r w:rsidR="00560BC3" w:rsidRPr="00B44B19">
        <w:rPr>
          <w:rFonts w:eastAsia="Times New Roman" w:cs="Times New Roman"/>
          <w:szCs w:val="24"/>
        </w:rPr>
        <w:t>. „mapping“).</w:t>
      </w:r>
      <w:r w:rsidR="00F815B9" w:rsidRPr="00B44B19">
        <w:rPr>
          <w:rFonts w:eastAsia="Times New Roman" w:cs="Times New Roman"/>
          <w:szCs w:val="24"/>
        </w:rPr>
        <w:t xml:space="preserve"> Taip pat bus stiprinamas sveikatos specialistų ir gyventojų pasirengimas ekstremaliosioms situacijoms ir grėsmėms.</w:t>
      </w:r>
    </w:p>
    <w:p w14:paraId="56695866" w14:textId="77777777" w:rsidR="00C43D5D" w:rsidRPr="00B44B19" w:rsidRDefault="00C43D5D" w:rsidP="00F8763F">
      <w:pPr>
        <w:spacing w:before="60" w:after="60" w:line="240" w:lineRule="auto"/>
        <w:jc w:val="both"/>
        <w:rPr>
          <w:rFonts w:eastAsia="Times New Roman" w:cs="Times New Roman"/>
          <w:szCs w:val="24"/>
        </w:rPr>
      </w:pPr>
      <w:r w:rsidRPr="00B44B19">
        <w:rPr>
          <w:rFonts w:eastAsia="Times New Roman" w:cs="Times New Roman"/>
          <w:szCs w:val="24"/>
        </w:rPr>
        <w:t>Nepaisant aukšto bendro užimtumo lygio, išliko da</w:t>
      </w:r>
      <w:r w:rsidR="00EF74EE" w:rsidRPr="00B44B19">
        <w:rPr>
          <w:rFonts w:eastAsia="Times New Roman" w:cs="Times New Roman"/>
          <w:szCs w:val="24"/>
        </w:rPr>
        <w:t xml:space="preserve">lyvavimo </w:t>
      </w:r>
      <w:r w:rsidR="00774786" w:rsidRPr="00B44B19">
        <w:rPr>
          <w:rFonts w:eastAsia="Times New Roman" w:cs="Times New Roman"/>
          <w:szCs w:val="24"/>
        </w:rPr>
        <w:t>DR</w:t>
      </w:r>
      <w:r w:rsidR="00EF74EE" w:rsidRPr="00B44B19">
        <w:rPr>
          <w:rFonts w:eastAsia="Times New Roman" w:cs="Times New Roman"/>
          <w:szCs w:val="24"/>
        </w:rPr>
        <w:t xml:space="preserve"> skirtumų</w:t>
      </w:r>
      <w:r w:rsidRPr="00B44B19">
        <w:rPr>
          <w:rFonts w:eastAsia="Times New Roman" w:cs="Times New Roman"/>
          <w:szCs w:val="24"/>
        </w:rPr>
        <w:t xml:space="preserve"> tarp regionų ir atskirų socialinių grupių. Sostinės regione nedarbo lygis (6,8 %) 2020 m. buvo mažesnis nei VVL regione </w:t>
      </w:r>
      <w:r w:rsidR="0008790D" w:rsidRPr="00B44B19">
        <w:rPr>
          <w:rFonts w:eastAsia="Times New Roman" w:cs="Times New Roman"/>
          <w:szCs w:val="24"/>
        </w:rPr>
        <w:t>(9,3 %). Dėl</w:t>
      </w:r>
      <w:r w:rsidRPr="00B44B19">
        <w:rPr>
          <w:rFonts w:eastAsia="Times New Roman" w:cs="Times New Roman"/>
          <w:szCs w:val="24"/>
        </w:rPr>
        <w:t xml:space="preserve"> </w:t>
      </w:r>
      <w:r w:rsidR="00EF74EE" w:rsidRPr="00B44B19">
        <w:rPr>
          <w:rFonts w:eastAsia="Times New Roman" w:cs="Times New Roman"/>
          <w:szCs w:val="24"/>
        </w:rPr>
        <w:t xml:space="preserve">pandemijos sukeltos </w:t>
      </w:r>
      <w:r w:rsidRPr="00B44B19">
        <w:rPr>
          <w:rFonts w:eastAsia="Times New Roman" w:cs="Times New Roman"/>
          <w:szCs w:val="24"/>
        </w:rPr>
        <w:t xml:space="preserve">krizės </w:t>
      </w:r>
      <w:r w:rsidR="00BD4ADA" w:rsidRPr="00B44B19">
        <w:rPr>
          <w:rFonts w:eastAsia="Times New Roman" w:cs="Times New Roman"/>
          <w:szCs w:val="24"/>
        </w:rPr>
        <w:t>DR</w:t>
      </w:r>
      <w:r w:rsidRPr="00B44B19">
        <w:rPr>
          <w:rFonts w:eastAsia="Times New Roman" w:cs="Times New Roman"/>
          <w:szCs w:val="24"/>
        </w:rPr>
        <w:t xml:space="preserve"> pradėjo smarkiai trauktis. 2020 m. liepos 1 d. bedarbių buvo 208 tūkst., t.</w:t>
      </w:r>
      <w:r w:rsidR="00EF74EE" w:rsidRPr="00B44B19">
        <w:rPr>
          <w:rFonts w:eastAsia="Times New Roman" w:cs="Times New Roman"/>
          <w:szCs w:val="24"/>
        </w:rPr>
        <w:t xml:space="preserve"> </w:t>
      </w:r>
      <w:r w:rsidRPr="00B44B19">
        <w:rPr>
          <w:rFonts w:eastAsia="Times New Roman" w:cs="Times New Roman"/>
          <w:szCs w:val="24"/>
        </w:rPr>
        <w:t>y. beveik trečdaliu daugiau nei 2020 m. sausio 1 d. (151,5 tūkst.).</w:t>
      </w:r>
    </w:p>
    <w:p w14:paraId="22711D5E" w14:textId="77777777" w:rsidR="00C43D5D" w:rsidRPr="00B44B19" w:rsidRDefault="00EF74EE" w:rsidP="00F8763F">
      <w:pPr>
        <w:spacing w:before="60" w:after="60" w:line="240" w:lineRule="auto"/>
        <w:jc w:val="both"/>
        <w:rPr>
          <w:rFonts w:eastAsia="Times New Roman" w:cs="Times New Roman"/>
          <w:szCs w:val="24"/>
        </w:rPr>
      </w:pPr>
      <w:r w:rsidRPr="00B44B19">
        <w:rPr>
          <w:rFonts w:eastAsia="Times New Roman" w:cs="Times New Roman"/>
          <w:szCs w:val="24"/>
        </w:rPr>
        <w:t xml:space="preserve">Mažėjant vietinių žmogiškųjų išteklių pasiūlai, svarbu sukurti palankias sąlygas visiems darbingo amžiaus žmonėms įsitraukti į </w:t>
      </w:r>
      <w:r w:rsidR="00774786" w:rsidRPr="00B44B19">
        <w:rPr>
          <w:rFonts w:eastAsia="Times New Roman" w:cs="Times New Roman"/>
          <w:szCs w:val="24"/>
        </w:rPr>
        <w:t>DR</w:t>
      </w:r>
      <w:r w:rsidRPr="00B44B19">
        <w:rPr>
          <w:rFonts w:eastAsia="Times New Roman" w:cs="Times New Roman"/>
          <w:szCs w:val="24"/>
        </w:rPr>
        <w:t xml:space="preserve">. Šiems pokyčiams būtina </w:t>
      </w:r>
      <w:r w:rsidRPr="00B44B19">
        <w:rPr>
          <w:rFonts w:eastAsia="Times New Roman" w:cs="Times New Roman"/>
          <w:b/>
          <w:szCs w:val="24"/>
        </w:rPr>
        <w:t xml:space="preserve">lankstesnė </w:t>
      </w:r>
      <w:r w:rsidR="00774786" w:rsidRPr="00B44B19">
        <w:rPr>
          <w:rFonts w:eastAsia="Times New Roman" w:cs="Times New Roman"/>
          <w:b/>
          <w:szCs w:val="24"/>
        </w:rPr>
        <w:t>DR</w:t>
      </w:r>
      <w:r w:rsidRPr="00B44B19">
        <w:rPr>
          <w:rFonts w:eastAsia="Times New Roman" w:cs="Times New Roman"/>
          <w:szCs w:val="24"/>
        </w:rPr>
        <w:t>: dirbančių asmenų gebėjimas prisitaikyti prie naujų sąlygų (žinių ekonomikos, skaitmenizavimo) ir darbdavių lankstumas. Žemos kvalifikacijos darbuotojai turi mažiau galimybių įsidarbinti nei kitose ES valstybėse.</w:t>
      </w:r>
      <w:r w:rsidR="00C43D5D" w:rsidRPr="00B44B19">
        <w:rPr>
          <w:rFonts w:eastAsia="Times New Roman" w:cs="Times New Roman"/>
          <w:szCs w:val="24"/>
        </w:rPr>
        <w:t xml:space="preserve"> </w:t>
      </w:r>
      <w:r w:rsidR="002520C6" w:rsidRPr="00B44B19">
        <w:rPr>
          <w:rFonts w:eastAsia="Times New Roman" w:cs="Times New Roman"/>
          <w:szCs w:val="24"/>
        </w:rPr>
        <w:t>A</w:t>
      </w:r>
      <w:r w:rsidR="00C43D5D" w:rsidRPr="00B44B19">
        <w:rPr>
          <w:rFonts w:eastAsia="Times New Roman" w:cs="Times New Roman"/>
          <w:szCs w:val="24"/>
        </w:rPr>
        <w:t xml:space="preserve">smenų įgyjamo išsilavinimo ir specializacijos pobūdis neatliepia </w:t>
      </w:r>
      <w:r w:rsidR="00774786" w:rsidRPr="00B44B19">
        <w:rPr>
          <w:rFonts w:eastAsia="Times New Roman" w:cs="Times New Roman"/>
          <w:szCs w:val="24"/>
        </w:rPr>
        <w:t>DR</w:t>
      </w:r>
      <w:r w:rsidR="00C43D5D" w:rsidRPr="00B44B19">
        <w:rPr>
          <w:rFonts w:eastAsia="Times New Roman" w:cs="Times New Roman"/>
          <w:szCs w:val="24"/>
        </w:rPr>
        <w:t xml:space="preserve"> poreikių. Todėl toliau bus </w:t>
      </w:r>
      <w:r w:rsidR="00C43D5D" w:rsidRPr="00B44B19">
        <w:rPr>
          <w:rFonts w:eastAsia="Times New Roman" w:cs="Times New Roman"/>
          <w:iCs/>
          <w:szCs w:val="24"/>
        </w:rPr>
        <w:t xml:space="preserve">didinama individualizuotų ADRP priemonių aprėptis, </w:t>
      </w:r>
      <w:r w:rsidR="00D118A5" w:rsidRPr="00B44B19">
        <w:rPr>
          <w:rFonts w:eastAsia="Times New Roman" w:cs="Times New Roman"/>
          <w:iCs/>
          <w:szCs w:val="24"/>
        </w:rPr>
        <w:t xml:space="preserve">įgyvendinamos karjeros planavimo ir konsultavimo priemonės, sprendžiamos struktūrinio nedarbo problemos, </w:t>
      </w:r>
      <w:r w:rsidR="00C43D5D" w:rsidRPr="00B44B19">
        <w:rPr>
          <w:rFonts w:eastAsia="Times New Roman" w:cs="Times New Roman"/>
          <w:szCs w:val="24"/>
        </w:rPr>
        <w:t xml:space="preserve">skatinamas savarankiškas darbas, verslo steigimas, atsakingų institucijų tarpusavio ir išorės bendradarbiavimas su verslo struktūromis bei socialinio dialogo plėtojimas. Šiomis investicijomis bus prisidedama prie </w:t>
      </w:r>
      <w:r w:rsidR="00014C4D" w:rsidRPr="00B44B19">
        <w:rPr>
          <w:rFonts w:eastAsia="Times New Roman" w:cs="Times New Roman"/>
          <w:b/>
          <w:szCs w:val="24"/>
        </w:rPr>
        <w:t>TR’</w:t>
      </w:r>
      <w:r w:rsidR="007123BB" w:rsidRPr="00B44B19">
        <w:rPr>
          <w:rFonts w:eastAsia="Times New Roman" w:cs="Times New Roman"/>
          <w:b/>
          <w:szCs w:val="24"/>
        </w:rPr>
        <w:t>2020</w:t>
      </w:r>
      <w:r w:rsidR="007123BB" w:rsidRPr="00B44B19">
        <w:rPr>
          <w:rFonts w:eastAsia="Times New Roman" w:cs="Times New Roman"/>
          <w:szCs w:val="24"/>
        </w:rPr>
        <w:t xml:space="preserve"> </w:t>
      </w:r>
      <w:r w:rsidR="00C43D5D" w:rsidRPr="00B44B19">
        <w:rPr>
          <w:rFonts w:eastAsia="Times New Roman" w:cs="Times New Roman"/>
          <w:b/>
          <w:szCs w:val="24"/>
        </w:rPr>
        <w:t xml:space="preserve">didinti </w:t>
      </w:r>
      <w:r w:rsidR="00D118A5" w:rsidRPr="00B44B19">
        <w:rPr>
          <w:rFonts w:eastAsia="Times New Roman" w:cs="Times New Roman"/>
          <w:b/>
          <w:szCs w:val="24"/>
        </w:rPr>
        <w:t>ADRP</w:t>
      </w:r>
      <w:r w:rsidR="00C43D5D" w:rsidRPr="00B44B19">
        <w:rPr>
          <w:rFonts w:eastAsia="Times New Roman" w:cs="Times New Roman"/>
          <w:b/>
          <w:szCs w:val="24"/>
        </w:rPr>
        <w:t xml:space="preserve"> priemonių</w:t>
      </w:r>
      <w:r w:rsidR="00C43D5D" w:rsidRPr="00B44B19">
        <w:rPr>
          <w:rFonts w:eastAsia="Times New Roman" w:cs="Times New Roman"/>
          <w:szCs w:val="24"/>
        </w:rPr>
        <w:t xml:space="preserve"> ir kitų priemonių, skirtų darbo jėgos kvalifikacijai keisti ir kelti, aprėptį bei mažinti pajamų nelygybę, skurdą ir socialinę atskirtį.</w:t>
      </w:r>
    </w:p>
    <w:p w14:paraId="68807098" w14:textId="77777777" w:rsidR="00C43D5D" w:rsidRPr="00B44B19" w:rsidRDefault="00EF74EE" w:rsidP="00F8763F">
      <w:pPr>
        <w:spacing w:before="60" w:after="60" w:line="240" w:lineRule="auto"/>
        <w:jc w:val="both"/>
        <w:rPr>
          <w:rFonts w:eastAsia="Times New Roman" w:cs="Times New Roman"/>
          <w:szCs w:val="24"/>
        </w:rPr>
      </w:pPr>
      <w:r w:rsidRPr="00B44B19">
        <w:rPr>
          <w:rFonts w:eastAsia="Times New Roman" w:cs="Times New Roman"/>
          <w:szCs w:val="24"/>
        </w:rPr>
        <w:t xml:space="preserve">Švietimo srityje bus siekiama </w:t>
      </w:r>
      <w:r w:rsidRPr="00B44B19">
        <w:rPr>
          <w:rFonts w:eastAsia="Times New Roman" w:cs="Times New Roman"/>
          <w:b/>
          <w:szCs w:val="24"/>
        </w:rPr>
        <w:t xml:space="preserve">gerinti mokinių pasiekimus ir užtikrinti didesnę įtrauktį į </w:t>
      </w:r>
      <w:r w:rsidR="00D62616" w:rsidRPr="00B44B19">
        <w:rPr>
          <w:rFonts w:eastAsia="Times New Roman" w:cs="Times New Roman"/>
          <w:b/>
          <w:szCs w:val="24"/>
        </w:rPr>
        <w:t>MVG</w:t>
      </w:r>
      <w:r w:rsidRPr="00B44B19">
        <w:rPr>
          <w:rFonts w:eastAsia="Times New Roman" w:cs="Times New Roman"/>
          <w:szCs w:val="24"/>
        </w:rPr>
        <w:t xml:space="preserve">. Numatoma siekti NPP tikslo, kad 2030 m. Lietuvos pozicija tarp Europos ekonominės erdvės valstybių pagal EBPO PISA atliktų mokinių pasiekimų tyrimų rezultatus (visose tarptautinių tyrimų srityse) pakiltų į </w:t>
      </w:r>
      <w:r w:rsidRPr="00B44B19">
        <w:rPr>
          <w:rFonts w:eastAsia="Times New Roman" w:cs="Times New Roman"/>
          <w:b/>
          <w:szCs w:val="24"/>
        </w:rPr>
        <w:t>10 vietą</w:t>
      </w:r>
      <w:r w:rsidRPr="00B44B19">
        <w:rPr>
          <w:rFonts w:eastAsia="Times New Roman" w:cs="Times New Roman"/>
          <w:szCs w:val="24"/>
        </w:rPr>
        <w:t xml:space="preserve"> (2018 m. užėmė 21–27 vietą), taip pat siekiama per pastarąsias 4 savaites besimokiusių asmenų (25‒64 m.) dalies</w:t>
      </w:r>
      <w:r w:rsidR="00C43D5D" w:rsidRPr="00B44B19">
        <w:rPr>
          <w:rFonts w:eastAsia="Times New Roman" w:cs="Times New Roman"/>
          <w:szCs w:val="24"/>
        </w:rPr>
        <w:t xml:space="preserve"> augimo nuo 7,2</w:t>
      </w:r>
      <w:r w:rsidRPr="00B44B19">
        <w:rPr>
          <w:rFonts w:eastAsia="Times New Roman" w:cs="Times New Roman"/>
          <w:szCs w:val="24"/>
        </w:rPr>
        <w:t> %</w:t>
      </w:r>
      <w:r w:rsidR="00C43D5D" w:rsidRPr="00B44B19">
        <w:rPr>
          <w:rFonts w:eastAsia="Times New Roman" w:cs="Times New Roman"/>
          <w:szCs w:val="24"/>
        </w:rPr>
        <w:t xml:space="preserve"> (2020 m.) iki </w:t>
      </w:r>
      <w:r w:rsidR="00C43D5D" w:rsidRPr="00B44B19">
        <w:rPr>
          <w:rFonts w:eastAsia="Times New Roman" w:cs="Times New Roman"/>
          <w:b/>
          <w:szCs w:val="24"/>
        </w:rPr>
        <w:t>15</w:t>
      </w:r>
      <w:r w:rsidR="00C43D5D" w:rsidRPr="00B44B19">
        <w:rPr>
          <w:rFonts w:eastAsia="Times New Roman" w:cs="Times New Roman"/>
          <w:szCs w:val="24"/>
        </w:rPr>
        <w:t> % (2030 m.).</w:t>
      </w:r>
    </w:p>
    <w:p w14:paraId="226C6212" w14:textId="77777777" w:rsidR="00C43D5D" w:rsidRPr="00B44B19" w:rsidRDefault="00C43D5D" w:rsidP="00F8763F">
      <w:pPr>
        <w:spacing w:before="60" w:after="60" w:line="240" w:lineRule="auto"/>
        <w:jc w:val="both"/>
        <w:rPr>
          <w:rFonts w:eastAsia="Times New Roman" w:cs="Times New Roman"/>
          <w:szCs w:val="24"/>
        </w:rPr>
      </w:pPr>
      <w:r w:rsidRPr="00B44B19">
        <w:rPr>
          <w:rFonts w:eastAsia="Times New Roman" w:cs="Times New Roman"/>
          <w:szCs w:val="24"/>
        </w:rPr>
        <w:t xml:space="preserve">Pagrindinis iššūkis – gerinti mokinių pasiekimus, ypač gamtamokslinius gebėjimus ir žemiausius rezultatus demonstruojančių mokinių pasiekimus. Lietuvoje instituciniame ugdyme </w:t>
      </w:r>
      <w:r w:rsidR="000D274F" w:rsidRPr="00B44B19">
        <w:rPr>
          <w:rFonts w:eastAsia="Times New Roman" w:cs="Times New Roman"/>
          <w:szCs w:val="24"/>
        </w:rPr>
        <w:t xml:space="preserve">2020 m. dalyvavo </w:t>
      </w:r>
      <w:r w:rsidRPr="00B44B19">
        <w:rPr>
          <w:rFonts w:eastAsia="Times New Roman" w:cs="Times New Roman"/>
          <w:szCs w:val="24"/>
        </w:rPr>
        <w:t xml:space="preserve">tik apie </w:t>
      </w:r>
      <w:r w:rsidR="0096642F" w:rsidRPr="00B44B19">
        <w:rPr>
          <w:rFonts w:eastAsia="Times New Roman" w:cs="Times New Roman"/>
          <w:szCs w:val="24"/>
        </w:rPr>
        <w:t>44</w:t>
      </w:r>
      <w:r w:rsidR="00244116" w:rsidRPr="00B44B19">
        <w:rPr>
          <w:rFonts w:eastAsia="Times New Roman" w:cs="Times New Roman"/>
          <w:szCs w:val="24"/>
        </w:rPr>
        <w:t>,2</w:t>
      </w:r>
      <w:r w:rsidRPr="00B44B19">
        <w:rPr>
          <w:rFonts w:eastAsia="Times New Roman" w:cs="Times New Roman"/>
          <w:szCs w:val="24"/>
        </w:rPr>
        <w:t xml:space="preserve"> % vaikų </w:t>
      </w:r>
      <w:r w:rsidR="0096642F" w:rsidRPr="00B44B19">
        <w:rPr>
          <w:rFonts w:eastAsia="Times New Roman" w:cs="Times New Roman"/>
          <w:szCs w:val="24"/>
        </w:rPr>
        <w:t>1</w:t>
      </w:r>
      <w:r w:rsidR="00702A92" w:rsidRPr="00B44B19">
        <w:rPr>
          <w:rFonts w:eastAsia="Times New Roman" w:cs="Times New Roman"/>
          <w:szCs w:val="24"/>
        </w:rPr>
        <w:t>–</w:t>
      </w:r>
      <w:r w:rsidR="0096642F" w:rsidRPr="00B44B19">
        <w:rPr>
          <w:rFonts w:eastAsia="Times New Roman" w:cs="Times New Roman"/>
          <w:szCs w:val="24"/>
        </w:rPr>
        <w:t>2</w:t>
      </w:r>
      <w:r w:rsidR="00C6015F" w:rsidRPr="00B44B19">
        <w:rPr>
          <w:rFonts w:eastAsia="Times New Roman" w:cs="Times New Roman"/>
          <w:szCs w:val="24"/>
        </w:rPr>
        <w:t xml:space="preserve"> m.</w:t>
      </w:r>
      <w:r w:rsidR="00EF74EE" w:rsidRPr="00B44B19">
        <w:rPr>
          <w:rFonts w:eastAsia="Times New Roman" w:cs="Times New Roman"/>
          <w:szCs w:val="24"/>
        </w:rPr>
        <w:t xml:space="preserve"> </w:t>
      </w:r>
      <w:r w:rsidRPr="00B44B19">
        <w:rPr>
          <w:rFonts w:eastAsia="Times New Roman" w:cs="Times New Roman"/>
          <w:szCs w:val="24"/>
        </w:rPr>
        <w:t>ir 9</w:t>
      </w:r>
      <w:r w:rsidR="0096642F" w:rsidRPr="00B44B19">
        <w:rPr>
          <w:rFonts w:eastAsia="Times New Roman" w:cs="Times New Roman"/>
          <w:szCs w:val="24"/>
        </w:rPr>
        <w:t>0,3</w:t>
      </w:r>
      <w:r w:rsidRPr="00B44B19">
        <w:rPr>
          <w:rFonts w:eastAsia="Times New Roman" w:cs="Times New Roman"/>
          <w:szCs w:val="24"/>
        </w:rPr>
        <w:t xml:space="preserve"> % vaikų nuo </w:t>
      </w:r>
      <w:r w:rsidR="0096642F" w:rsidRPr="00B44B19">
        <w:rPr>
          <w:rFonts w:eastAsia="Times New Roman" w:cs="Times New Roman"/>
          <w:szCs w:val="24"/>
        </w:rPr>
        <w:t>3</w:t>
      </w:r>
      <w:r w:rsidRPr="00B44B19">
        <w:rPr>
          <w:rFonts w:eastAsia="Times New Roman" w:cs="Times New Roman"/>
          <w:szCs w:val="24"/>
        </w:rPr>
        <w:t xml:space="preserve"> m</w:t>
      </w:r>
      <w:r w:rsidR="002520C6" w:rsidRPr="00B44B19">
        <w:rPr>
          <w:rFonts w:eastAsia="Times New Roman" w:cs="Times New Roman"/>
          <w:szCs w:val="24"/>
        </w:rPr>
        <w:t>.</w:t>
      </w:r>
      <w:r w:rsidRPr="00B44B19">
        <w:rPr>
          <w:rFonts w:eastAsia="Times New Roman" w:cs="Times New Roman"/>
          <w:szCs w:val="24"/>
        </w:rPr>
        <w:t xml:space="preserve"> iki mokyklos lankymo pradžios.</w:t>
      </w:r>
    </w:p>
    <w:p w14:paraId="32FB00C4" w14:textId="77777777" w:rsidR="00C43D5D" w:rsidRPr="00B44B19" w:rsidRDefault="00C43D5D" w:rsidP="00F8763F">
      <w:pPr>
        <w:spacing w:before="60" w:after="60" w:line="240" w:lineRule="auto"/>
        <w:jc w:val="both"/>
        <w:rPr>
          <w:rFonts w:eastAsia="Times New Roman" w:cs="Times New Roman"/>
          <w:szCs w:val="24"/>
        </w:rPr>
      </w:pPr>
      <w:r w:rsidRPr="00B44B19">
        <w:rPr>
          <w:rFonts w:eastAsia="Times New Roman" w:cs="Times New Roman"/>
          <w:szCs w:val="24"/>
        </w:rPr>
        <w:lastRenderedPageBreak/>
        <w:t xml:space="preserve">EBPO nurodė, kad Lietuvoje yra 20 % mokyklų, kuriose </w:t>
      </w:r>
      <w:r w:rsidR="000D274F" w:rsidRPr="00B44B19">
        <w:rPr>
          <w:rFonts w:eastAsia="Times New Roman" w:cs="Times New Roman"/>
          <w:szCs w:val="24"/>
        </w:rPr>
        <w:t xml:space="preserve">mokosi </w:t>
      </w:r>
      <w:r w:rsidRPr="00B44B19">
        <w:rPr>
          <w:rFonts w:eastAsia="Times New Roman" w:cs="Times New Roman"/>
          <w:szCs w:val="24"/>
        </w:rPr>
        <w:t>iki 50 mokinių</w:t>
      </w:r>
      <w:r w:rsidR="000D274F" w:rsidRPr="00B44B19">
        <w:rPr>
          <w:rFonts w:eastAsia="Times New Roman" w:cs="Times New Roman"/>
          <w:szCs w:val="24"/>
        </w:rPr>
        <w:t>. O</w:t>
      </w:r>
      <w:r w:rsidRPr="00B44B19">
        <w:rPr>
          <w:rFonts w:eastAsia="Times New Roman" w:cs="Times New Roman"/>
          <w:szCs w:val="24"/>
        </w:rPr>
        <w:t>ptimizavus mokyklas ir pasiekus, kad nebūtų mokyklų, kuriose yra mažiau nei 200 mokinių, mokinių pasiekimai būtų pagerinti 9 % ir būtų sutaupoma 9,9 mln. Eur.</w:t>
      </w:r>
    </w:p>
    <w:p w14:paraId="625929D4" w14:textId="77777777" w:rsidR="00C43D5D" w:rsidRPr="00B44B19" w:rsidRDefault="00702A92" w:rsidP="00F8763F">
      <w:pPr>
        <w:spacing w:before="60" w:after="60" w:line="240" w:lineRule="auto"/>
        <w:jc w:val="both"/>
        <w:rPr>
          <w:rFonts w:eastAsia="Times New Roman" w:cs="Times New Roman"/>
          <w:bCs/>
          <w:szCs w:val="24"/>
        </w:rPr>
      </w:pPr>
      <w:r w:rsidRPr="00B44B19">
        <w:rPr>
          <w:rFonts w:eastAsia="Times New Roman" w:cs="Times New Roman"/>
          <w:szCs w:val="24"/>
        </w:rPr>
        <w:t xml:space="preserve">2020 m. tik 7,2 %, suaugusiųjų dalyvavo </w:t>
      </w:r>
      <w:r w:rsidRPr="00B44B19">
        <w:rPr>
          <w:rFonts w:eastAsia="Times New Roman" w:cs="Times New Roman"/>
          <w:b/>
          <w:szCs w:val="24"/>
        </w:rPr>
        <w:t>MVG</w:t>
      </w:r>
      <w:r w:rsidRPr="00B44B19">
        <w:rPr>
          <w:rFonts w:eastAsia="Times New Roman" w:cs="Times New Roman"/>
          <w:szCs w:val="24"/>
        </w:rPr>
        <w:t xml:space="preserve"> veiklose, o tai gerokai mažiau nei ES vidurkis – 9,2 %. Suaugusiųjų švietimo sistema nereaguoja į senėjančios visuomenės iššūkius ir reikalingų įgūdžių pokyčius, susijusius su skaitmenizavimu, darbo robotizavimu ir žaliųjų darbo vietų paklausa. </w:t>
      </w:r>
      <w:r w:rsidR="00603716" w:rsidRPr="00B44B19">
        <w:rPr>
          <w:rFonts w:eastAsia="Times New Roman" w:cs="Times New Roman"/>
          <w:szCs w:val="24"/>
        </w:rPr>
        <w:t>S</w:t>
      </w:r>
      <w:r w:rsidRPr="00B44B19">
        <w:rPr>
          <w:rFonts w:eastAsia="Times New Roman" w:cs="Times New Roman"/>
          <w:szCs w:val="24"/>
        </w:rPr>
        <w:t xml:space="preserve">iekiama, kad į MVG ciklą būtų įsitraukta kuo anksčiau (didėjantis ikimokyklinio ugdymo prieinamumas ir dalyvavimas ikimokyklinio ugdymo programose), optimizuotas mokyklų tinklas visiems besimokantiems garantuotų adekvatų pasiekimų lygį ugdant visas esmines kompetencijas. Įgyvendinant </w:t>
      </w:r>
      <w:r w:rsidRPr="00B44B19">
        <w:rPr>
          <w:rFonts w:eastAsia="Times New Roman" w:cs="Times New Roman"/>
          <w:b/>
          <w:szCs w:val="24"/>
        </w:rPr>
        <w:t>TR’2019 dėl</w:t>
      </w:r>
      <w:r w:rsidRPr="00B44B19">
        <w:rPr>
          <w:rFonts w:eastAsia="Times New Roman" w:cs="Times New Roman"/>
          <w:szCs w:val="24"/>
        </w:rPr>
        <w:t xml:space="preserve"> </w:t>
      </w:r>
      <w:r w:rsidRPr="00B44B19">
        <w:rPr>
          <w:rFonts w:eastAsia="Times New Roman" w:cs="Times New Roman"/>
          <w:b/>
          <w:bCs/>
          <w:szCs w:val="24"/>
        </w:rPr>
        <w:t>švietimo ir mokymo sistemos gerinimo</w:t>
      </w:r>
      <w:r w:rsidRPr="00B44B19">
        <w:rPr>
          <w:rFonts w:eastAsia="Times New Roman" w:cs="Times New Roman"/>
          <w:bCs/>
          <w:szCs w:val="24"/>
        </w:rPr>
        <w:t>, numatoma gerinti švietimo ir mokymo sistemos bei suaugusiųjų mokymosi kokybę ir efektyvumą, toliau vykdyti švietimo reformą ir mokymo įstaigų konsolidavimą.</w:t>
      </w:r>
    </w:p>
    <w:p w14:paraId="11A6A6ED" w14:textId="77777777" w:rsidR="007C1013" w:rsidRPr="00B44B19" w:rsidRDefault="00702A92" w:rsidP="00F8763F">
      <w:pPr>
        <w:spacing w:before="60" w:after="60" w:line="240" w:lineRule="auto"/>
        <w:jc w:val="both"/>
        <w:rPr>
          <w:rFonts w:eastAsia="Times New Roman" w:cs="Times New Roman"/>
          <w:bCs/>
          <w:szCs w:val="24"/>
        </w:rPr>
      </w:pPr>
      <w:r w:rsidRPr="00B44B19">
        <w:rPr>
          <w:rFonts w:cs="Times New Roman"/>
          <w:iCs/>
          <w:color w:val="000000"/>
          <w:szCs w:val="24"/>
        </w:rPr>
        <w:t>Atsižvelgiant į vertinimų rekomendacijas, investicijos bus koncentruojamos šiomis kryptimis: naujų pedagogų pritraukimas ir edukologijos išvystymas, privalomojo ugdymo ankstinimas ir ikimokyklinio ugdymo tobulinimas, pagalba mokiniams, turintiems SUP, patiriantiems socialinę atskirtį ar gyvenantiems socialinės rizikos šeimose ir dalyvaujantiems MVG veiklose, suaugusiųjų mokymo sistemos pagal EBPO parengtą Įgūdžių strategiją plėtojimas.</w:t>
      </w:r>
    </w:p>
    <w:p w14:paraId="415E7DB5" w14:textId="77777777" w:rsidR="00C43D5D" w:rsidRPr="00B44B19" w:rsidRDefault="00702A92" w:rsidP="00F8763F">
      <w:pPr>
        <w:spacing w:before="60" w:after="60" w:line="240" w:lineRule="auto"/>
        <w:jc w:val="both"/>
        <w:rPr>
          <w:rFonts w:eastAsia="Times New Roman" w:cs="Times New Roman"/>
          <w:szCs w:val="24"/>
        </w:rPr>
      </w:pPr>
      <w:r w:rsidRPr="00B44B19">
        <w:rPr>
          <w:rFonts w:eastAsia="Times New Roman" w:cs="Times New Roman"/>
          <w:szCs w:val="24"/>
        </w:rPr>
        <w:t xml:space="preserve">Kitas svarbus </w:t>
      </w:r>
      <w:r w:rsidRPr="00B44B19">
        <w:rPr>
          <w:rFonts w:eastAsia="Times New Roman" w:cs="Times New Roman"/>
          <w:b/>
          <w:szCs w:val="24"/>
        </w:rPr>
        <w:t>socialinės sanglaudos</w:t>
      </w:r>
      <w:r w:rsidRPr="00B44B19">
        <w:rPr>
          <w:rFonts w:eastAsia="Times New Roman" w:cs="Times New Roman"/>
          <w:szCs w:val="24"/>
        </w:rPr>
        <w:t xml:space="preserve"> skatinimo aspektas – galimybių gauti įperkamas, tvarias ir aukštos kokybės paslaugas didinimas, įskaitant sveikatos priežiūrą ir visuotinės svarbos socialines paslaugas. 2019 m. Lietuvoje skurdo riziką ar socialinę atskirtį patiriantys asmenys sudarė 26,3 % šalies gyventojų, o 2020 m. 24,8 % (2019 m. ES vidurkis – 21,1 %). Skurdo ir socialinės atskirties riziką dažniausiai patiria </w:t>
      </w:r>
      <w:r w:rsidRPr="00B44B19">
        <w:rPr>
          <w:rFonts w:eastAsia="Times New Roman" w:cs="Times New Roman"/>
          <w:bCs/>
          <w:szCs w:val="24"/>
        </w:rPr>
        <w:t xml:space="preserve">sunkiai integruojami į </w:t>
      </w:r>
      <w:r w:rsidR="00774786" w:rsidRPr="00B44B19">
        <w:rPr>
          <w:rFonts w:eastAsia="Times New Roman" w:cs="Times New Roman"/>
          <w:bCs/>
          <w:szCs w:val="24"/>
        </w:rPr>
        <w:t>DR</w:t>
      </w:r>
      <w:r w:rsidRPr="00B44B19">
        <w:rPr>
          <w:rFonts w:eastAsia="Times New Roman" w:cs="Times New Roman"/>
          <w:bCs/>
          <w:szCs w:val="24"/>
        </w:rPr>
        <w:t xml:space="preserve"> arba joje ilgai neišsilaikantys asmenys.</w:t>
      </w:r>
    </w:p>
    <w:p w14:paraId="610957A7" w14:textId="77777777" w:rsidR="00C43D5D" w:rsidRPr="00B44B19" w:rsidRDefault="00702A92" w:rsidP="00F8763F">
      <w:pPr>
        <w:spacing w:before="60" w:after="60" w:line="240" w:lineRule="auto"/>
        <w:jc w:val="both"/>
        <w:rPr>
          <w:rFonts w:eastAsia="Times New Roman" w:cs="Times New Roman"/>
          <w:szCs w:val="24"/>
        </w:rPr>
      </w:pPr>
      <w:r w:rsidRPr="00B44B19">
        <w:rPr>
          <w:rFonts w:eastAsia="Times New Roman" w:cs="Times New Roman"/>
          <w:szCs w:val="24"/>
        </w:rPr>
        <w:t xml:space="preserve">Mažinant socialinę atskirtį, toliau išlieka poreikis plėtoti socialines paslaugas, skiriant </w:t>
      </w:r>
      <w:r w:rsidR="009F1AA5" w:rsidRPr="00B44B19">
        <w:rPr>
          <w:rFonts w:eastAsia="Times New Roman" w:cs="Times New Roman"/>
          <w:szCs w:val="24"/>
        </w:rPr>
        <w:t xml:space="preserve">investicijas </w:t>
      </w:r>
      <w:r w:rsidRPr="00B44B19">
        <w:rPr>
          <w:rFonts w:eastAsia="Times New Roman" w:cs="Times New Roman"/>
          <w:szCs w:val="24"/>
        </w:rPr>
        <w:t>bendruomenėje ir šeimoje teikiamų paslaugų plėtrai ir institucinės globos pertvarkos įgyvendinimui užtikrinti. Bus įgyvendinamos integruotos veiklos, skirtos socialinei ir ekonominei marginalizuotų bendruomenių, migrantų ir nepalankias sąlygas turinčių grupių integracijai, socialinio būsto prieinamumui gerinti ir vaiko garantijo</w:t>
      </w:r>
      <w:r w:rsidR="008410BC" w:rsidRPr="00B44B19">
        <w:rPr>
          <w:rFonts w:eastAsia="Times New Roman" w:cs="Times New Roman"/>
          <w:szCs w:val="24"/>
        </w:rPr>
        <w:t>m</w:t>
      </w:r>
      <w:r w:rsidRPr="00B44B19">
        <w:rPr>
          <w:rFonts w:eastAsia="Times New Roman" w:cs="Times New Roman"/>
          <w:szCs w:val="24"/>
        </w:rPr>
        <w:t xml:space="preserve">s įgyvendinti. </w:t>
      </w:r>
      <w:r w:rsidR="00CC0CBA" w:rsidRPr="00B44B19">
        <w:rPr>
          <w:rFonts w:eastAsia="Times New Roman" w:cs="Times New Roman"/>
          <w:szCs w:val="24"/>
        </w:rPr>
        <w:t>I</w:t>
      </w:r>
      <w:r w:rsidRPr="00B44B19">
        <w:rPr>
          <w:rFonts w:eastAsia="Times New Roman" w:cs="Times New Roman"/>
          <w:szCs w:val="24"/>
        </w:rPr>
        <w:t xml:space="preserve">nvesticijomis bus prisidedama prie </w:t>
      </w:r>
      <w:r w:rsidRPr="00B44B19">
        <w:rPr>
          <w:rFonts w:eastAsia="Calibri" w:cs="Times New Roman"/>
          <w:b/>
          <w:szCs w:val="24"/>
        </w:rPr>
        <w:t>TR’2019</w:t>
      </w:r>
      <w:r w:rsidRPr="00B44B19">
        <w:rPr>
          <w:rFonts w:eastAsia="Times New Roman" w:cs="Times New Roman"/>
          <w:b/>
          <w:szCs w:val="24"/>
        </w:rPr>
        <w:t xml:space="preserve"> mažinti pajamų nelygybę, skurdą ir socialinę atskirtį </w:t>
      </w:r>
      <w:r w:rsidRPr="00B44B19">
        <w:rPr>
          <w:rFonts w:eastAsia="Times New Roman" w:cs="Times New Roman"/>
          <w:szCs w:val="24"/>
        </w:rPr>
        <w:t>įgyvendinimo.</w:t>
      </w:r>
    </w:p>
    <w:p w14:paraId="3E7485C6" w14:textId="77777777" w:rsidR="002520C6" w:rsidRPr="00B44B19" w:rsidRDefault="00702A92" w:rsidP="00F8763F">
      <w:pPr>
        <w:spacing w:before="60" w:after="60" w:line="240" w:lineRule="auto"/>
        <w:jc w:val="both"/>
        <w:rPr>
          <w:rFonts w:eastAsia="Times New Roman" w:cs="Times New Roman"/>
          <w:szCs w:val="24"/>
        </w:rPr>
      </w:pPr>
      <w:r w:rsidRPr="00B44B19">
        <w:rPr>
          <w:rFonts w:eastAsia="Times New Roman" w:cs="Times New Roman"/>
          <w:szCs w:val="24"/>
        </w:rPr>
        <w:t xml:space="preserve">Atsižvelgus į atliktų vertinimų duomenis siūloma, plėtojant </w:t>
      </w:r>
      <w:r w:rsidR="004264C4" w:rsidRPr="00B44B19">
        <w:rPr>
          <w:rFonts w:eastAsia="Times New Roman" w:cs="Times New Roman"/>
          <w:szCs w:val="24"/>
        </w:rPr>
        <w:t>IPP</w:t>
      </w:r>
      <w:r w:rsidRPr="00B44B19">
        <w:rPr>
          <w:rFonts w:eastAsia="Times New Roman" w:cs="Times New Roman"/>
          <w:szCs w:val="24"/>
        </w:rPr>
        <w:t>, pirmenybę skirti namuose teikiamoms paslaugoms, kurios yra pigesnės nei teikiamos specializuotose įstaigose, įtraukiant bendruomenes.</w:t>
      </w:r>
      <w:r w:rsidR="00C43D5D" w:rsidRPr="00B44B19">
        <w:rPr>
          <w:rFonts w:eastAsia="Times New Roman" w:cs="Times New Roman"/>
          <w:szCs w:val="24"/>
        </w:rPr>
        <w:t xml:space="preserve"> Didėja socialinių inovacijų aktualumas, nes tradicinių sprendimų nepakanka sprendžiant įsisenėjusias socialines problemas ir kintančios visuomenės keliamus iššūkius. Todėl bus ieškoma novatoriškų būdų, kurie skatintų teigiamus pokyčius. </w:t>
      </w:r>
      <w:r w:rsidR="00E473FC" w:rsidRPr="00B44B19">
        <w:rPr>
          <w:rFonts w:eastAsia="Times New Roman" w:cs="Times New Roman"/>
          <w:szCs w:val="24"/>
        </w:rPr>
        <w:t>BIVP metodas pasiteisino, todėl t</w:t>
      </w:r>
      <w:r w:rsidR="00C43D5D" w:rsidRPr="00B44B19">
        <w:rPr>
          <w:rFonts w:eastAsia="Times New Roman" w:cs="Times New Roman"/>
          <w:szCs w:val="24"/>
        </w:rPr>
        <w:t>oliau bus finansuojama</w:t>
      </w:r>
      <w:r w:rsidR="00E473FC" w:rsidRPr="00B44B19">
        <w:rPr>
          <w:rFonts w:eastAsia="Times New Roman" w:cs="Times New Roman"/>
          <w:szCs w:val="24"/>
        </w:rPr>
        <w:t>s</w:t>
      </w:r>
      <w:r w:rsidR="00C43D5D" w:rsidRPr="00B44B19">
        <w:rPr>
          <w:rFonts w:eastAsia="Times New Roman" w:cs="Times New Roman"/>
          <w:szCs w:val="24"/>
        </w:rPr>
        <w:t xml:space="preserve"> </w:t>
      </w:r>
      <w:r w:rsidR="005D597F" w:rsidRPr="00B44B19">
        <w:rPr>
          <w:rFonts w:eastAsia="Times New Roman" w:cs="Times New Roman"/>
          <w:szCs w:val="24"/>
        </w:rPr>
        <w:t>didesne aprėptimi</w:t>
      </w:r>
      <w:r w:rsidR="00C43D5D" w:rsidRPr="00B44B19">
        <w:rPr>
          <w:rFonts w:eastAsia="Times New Roman" w:cs="Times New Roman"/>
          <w:szCs w:val="24"/>
        </w:rPr>
        <w:t>, stiprina</w:t>
      </w:r>
      <w:r w:rsidR="00E473FC" w:rsidRPr="00B44B19">
        <w:rPr>
          <w:rFonts w:eastAsia="Times New Roman" w:cs="Times New Roman"/>
          <w:szCs w:val="24"/>
        </w:rPr>
        <w:t xml:space="preserve">mi partneryste grindžiami </w:t>
      </w:r>
      <w:r w:rsidR="00C43D5D" w:rsidRPr="00B44B19">
        <w:rPr>
          <w:rFonts w:eastAsia="Times New Roman" w:cs="Times New Roman"/>
          <w:szCs w:val="24"/>
        </w:rPr>
        <w:t>planavimo princip</w:t>
      </w:r>
      <w:r w:rsidR="005D597F" w:rsidRPr="00B44B19">
        <w:rPr>
          <w:rFonts w:eastAsia="Times New Roman" w:cs="Times New Roman"/>
          <w:szCs w:val="24"/>
        </w:rPr>
        <w:t xml:space="preserve">ai </w:t>
      </w:r>
      <w:r w:rsidR="00C43D5D" w:rsidRPr="00B44B19">
        <w:rPr>
          <w:rFonts w:eastAsia="Times New Roman" w:cs="Times New Roman"/>
          <w:szCs w:val="24"/>
        </w:rPr>
        <w:t>„iš apačios į viršų“, rengiant ir įgyvendinant BIVP strategijas</w:t>
      </w:r>
      <w:r w:rsidR="005D597F" w:rsidRPr="00B44B19">
        <w:rPr>
          <w:rFonts w:eastAsia="Times New Roman" w:cs="Times New Roman"/>
          <w:szCs w:val="24"/>
        </w:rPr>
        <w:t>, kurios derės su kitomis teritorinėmis strategijomis.</w:t>
      </w:r>
    </w:p>
    <w:p w14:paraId="173CCA2F" w14:textId="77777777" w:rsidR="00BB4111" w:rsidRPr="00B44B19" w:rsidRDefault="005222EB" w:rsidP="00F8763F">
      <w:pPr>
        <w:spacing w:before="60" w:after="60" w:line="240" w:lineRule="auto"/>
        <w:jc w:val="both"/>
        <w:rPr>
          <w:rFonts w:eastAsia="Times New Roman" w:cs="Times New Roman"/>
          <w:bCs/>
          <w:szCs w:val="24"/>
        </w:rPr>
      </w:pPr>
      <w:r w:rsidRPr="00B44B19">
        <w:rPr>
          <w:rFonts w:eastAsia="Times New Roman" w:cs="Times New Roman"/>
          <w:bCs/>
          <w:szCs w:val="24"/>
        </w:rPr>
        <w:t>P</w:t>
      </w:r>
      <w:r w:rsidR="00702A92" w:rsidRPr="00B44B19">
        <w:rPr>
          <w:rFonts w:eastAsia="Times New Roman" w:cs="Times New Roman"/>
          <w:szCs w:val="24"/>
        </w:rPr>
        <w:t xml:space="preserve">andemijos </w:t>
      </w:r>
      <w:r w:rsidR="00C43D5D" w:rsidRPr="00B44B19">
        <w:rPr>
          <w:rFonts w:eastAsia="Times New Roman" w:cs="Times New Roman"/>
          <w:szCs w:val="24"/>
        </w:rPr>
        <w:t>ir karantino akivaizdoje išryškėjo kultūros svarba emocinei visuomenės sveikatai</w:t>
      </w:r>
      <w:r w:rsidR="00F52CE6" w:rsidRPr="00B44B19">
        <w:rPr>
          <w:rFonts w:eastAsia="Times New Roman" w:cs="Times New Roman"/>
          <w:szCs w:val="24"/>
        </w:rPr>
        <w:t>.</w:t>
      </w:r>
      <w:r w:rsidR="00C43D5D" w:rsidRPr="00B44B19">
        <w:rPr>
          <w:rFonts w:eastAsia="Times New Roman" w:cs="Times New Roman"/>
          <w:szCs w:val="24"/>
        </w:rPr>
        <w:t xml:space="preserve"> </w:t>
      </w:r>
      <w:r w:rsidR="00774786" w:rsidRPr="00B44B19">
        <w:rPr>
          <w:rFonts w:eastAsia="Times New Roman" w:cs="Times New Roman"/>
          <w:szCs w:val="24"/>
        </w:rPr>
        <w:t>A</w:t>
      </w:r>
      <w:r w:rsidR="00C43D5D" w:rsidRPr="00B44B19">
        <w:rPr>
          <w:rFonts w:eastAsia="Times New Roman" w:cs="Times New Roman"/>
          <w:szCs w:val="24"/>
        </w:rPr>
        <w:t xml:space="preserve">tsiskleidė netolygus kultūros paslaugų </w:t>
      </w:r>
      <w:r w:rsidR="0008790D" w:rsidRPr="00B44B19">
        <w:rPr>
          <w:rFonts w:eastAsia="Times New Roman" w:cs="Times New Roman"/>
          <w:szCs w:val="24"/>
        </w:rPr>
        <w:t>prieinamumas, tik 16 % gyventojų naudojosi kultūros paslaugomis ir produktais internetu.</w:t>
      </w:r>
      <w:r w:rsidR="0008790D" w:rsidRPr="00B44B19">
        <w:rPr>
          <w:rFonts w:eastAsia="Times New Roman" w:cs="Times New Roman"/>
          <w:bCs/>
          <w:szCs w:val="24"/>
        </w:rPr>
        <w:t xml:space="preserve"> Neįgaliesiems </w:t>
      </w:r>
      <w:r w:rsidR="00702A92" w:rsidRPr="00B44B19">
        <w:rPr>
          <w:rFonts w:eastAsia="Times New Roman" w:cs="Times New Roman"/>
          <w:bCs/>
          <w:szCs w:val="24"/>
        </w:rPr>
        <w:t>įsitraukti į kultūros veiklas labiausiai trukdo kultūros objektų infrastruktūros nepritaikymas ir individualizuotų, specialiesiems poreikiams pritaikytų kultūros paslaugų stoka.</w:t>
      </w:r>
    </w:p>
    <w:p w14:paraId="12252AF8" w14:textId="77777777" w:rsidR="007059D7" w:rsidRPr="00B44B19" w:rsidRDefault="00702A92" w:rsidP="00F8763F">
      <w:pPr>
        <w:spacing w:before="60" w:after="60" w:line="240" w:lineRule="auto"/>
        <w:jc w:val="both"/>
        <w:rPr>
          <w:rFonts w:eastAsia="Times New Roman" w:cs="Times New Roman"/>
          <w:bCs/>
        </w:rPr>
      </w:pPr>
      <w:r w:rsidRPr="00B44B19">
        <w:rPr>
          <w:rFonts w:eastAsia="Times New Roman" w:cs="Times New Roman"/>
          <w:bCs/>
          <w:szCs w:val="24"/>
        </w:rPr>
        <w:t xml:space="preserve">Daugiau </w:t>
      </w:r>
      <w:r w:rsidR="00E47413" w:rsidRPr="00B44B19">
        <w:rPr>
          <w:rFonts w:eastAsia="Times New Roman" w:cs="Times New Roman"/>
          <w:bCs/>
          <w:szCs w:val="24"/>
        </w:rPr>
        <w:t xml:space="preserve">nei </w:t>
      </w:r>
      <w:r w:rsidRPr="00B44B19">
        <w:rPr>
          <w:rFonts w:eastAsia="Times New Roman" w:cs="Times New Roman"/>
          <w:bCs/>
          <w:szCs w:val="24"/>
        </w:rPr>
        <w:t>pusės Lietuvos privačiame ir NVO sektoriuje veikiančių KKI</w:t>
      </w:r>
      <w:r w:rsidR="00AE149A" w:rsidRPr="00B44B19">
        <w:rPr>
          <w:rFonts w:eastAsia="Times New Roman" w:cs="Times New Roman"/>
          <w:bCs/>
          <w:szCs w:val="24"/>
        </w:rPr>
        <w:t xml:space="preserve"> (</w:t>
      </w:r>
      <w:r w:rsidR="00DE1621" w:rsidRPr="00B44B19">
        <w:rPr>
          <w:rFonts w:eastAsia="Times New Roman" w:cs="Times New Roman"/>
          <w:bCs/>
          <w:szCs w:val="24"/>
        </w:rPr>
        <w:t>jose daugiausiai</w:t>
      </w:r>
      <w:r w:rsidRPr="00B44B19">
        <w:rPr>
          <w:rFonts w:eastAsia="Times New Roman" w:cs="Times New Roman"/>
          <w:bCs/>
        </w:rPr>
        <w:t xml:space="preserve"> jaunimo, savarankiškai dirbančių ir mažų įmonių</w:t>
      </w:r>
      <w:r w:rsidR="00DE1621" w:rsidRPr="00B44B19">
        <w:rPr>
          <w:rFonts w:eastAsia="Times New Roman" w:cs="Times New Roman"/>
          <w:bCs/>
        </w:rPr>
        <w:t>)</w:t>
      </w:r>
      <w:r w:rsidRPr="00B44B19">
        <w:rPr>
          <w:rFonts w:eastAsia="Times New Roman" w:cs="Times New Roman"/>
          <w:bCs/>
          <w:szCs w:val="24"/>
        </w:rPr>
        <w:t xml:space="preserve">, </w:t>
      </w:r>
      <w:r w:rsidR="00450C18" w:rsidRPr="00B44B19">
        <w:rPr>
          <w:rFonts w:eastAsia="Times New Roman" w:cs="Times New Roman"/>
          <w:bCs/>
          <w:szCs w:val="24"/>
        </w:rPr>
        <w:t>–</w:t>
      </w:r>
      <w:r w:rsidR="008A640D" w:rsidRPr="00B44B19">
        <w:rPr>
          <w:rFonts w:eastAsia="Times New Roman" w:cs="Times New Roman"/>
          <w:bCs/>
          <w:szCs w:val="24"/>
        </w:rPr>
        <w:t xml:space="preserve"> </w:t>
      </w:r>
      <w:r w:rsidRPr="00B44B19">
        <w:rPr>
          <w:rFonts w:eastAsia="Times New Roman" w:cs="Times New Roman"/>
          <w:bCs/>
          <w:szCs w:val="24"/>
        </w:rPr>
        <w:t>veikla karantino laikotarpiu buvo sustabdyta</w:t>
      </w:r>
      <w:r w:rsidR="00AE149A" w:rsidRPr="00B44B19">
        <w:rPr>
          <w:rFonts w:eastAsia="Times New Roman" w:cs="Times New Roman"/>
          <w:bCs/>
          <w:szCs w:val="24"/>
        </w:rPr>
        <w:t>,</w:t>
      </w:r>
      <w:r w:rsidRPr="00B44B19">
        <w:rPr>
          <w:rFonts w:eastAsia="Times New Roman" w:cs="Times New Roman"/>
          <w:bCs/>
          <w:szCs w:val="24"/>
        </w:rPr>
        <w:t xml:space="preserve"> </w:t>
      </w:r>
      <w:r w:rsidRPr="00B44B19">
        <w:rPr>
          <w:rFonts w:eastAsia="Times New Roman" w:cs="Times New Roman"/>
          <w:szCs w:val="24"/>
        </w:rPr>
        <w:t>susidūrė su veiklos tęstinumo iššūkiais</w:t>
      </w:r>
      <w:r w:rsidRPr="00B44B19">
        <w:rPr>
          <w:rFonts w:eastAsia="Times New Roman" w:cs="Times New Roman"/>
          <w:bCs/>
          <w:szCs w:val="24"/>
        </w:rPr>
        <w:t>.</w:t>
      </w:r>
      <w:r w:rsidRPr="00B44B19">
        <w:rPr>
          <w:rFonts w:cs="Times New Roman"/>
        </w:rPr>
        <w:t xml:space="preserve"> Siekiant kompleksiškai spręsti </w:t>
      </w:r>
      <w:r w:rsidRPr="00B44B19">
        <w:rPr>
          <w:rFonts w:cs="Times New Roman"/>
          <w:b/>
        </w:rPr>
        <w:t xml:space="preserve">TR’2020 </w:t>
      </w:r>
      <w:r w:rsidRPr="00B44B19">
        <w:rPr>
          <w:rFonts w:cs="Times New Roman"/>
        </w:rPr>
        <w:t>nustatytas</w:t>
      </w:r>
      <w:r w:rsidRPr="00B44B19">
        <w:rPr>
          <w:rFonts w:cs="Times New Roman"/>
          <w:b/>
        </w:rPr>
        <w:t xml:space="preserve"> </w:t>
      </w:r>
      <w:r w:rsidRPr="00B44B19">
        <w:rPr>
          <w:rFonts w:cs="Times New Roman"/>
        </w:rPr>
        <w:t>rekomendacijas</w:t>
      </w:r>
      <w:r w:rsidR="008B443B" w:rsidRPr="00B44B19">
        <w:rPr>
          <w:rFonts w:cs="Times New Roman"/>
        </w:rPr>
        <w:t xml:space="preserve"> </w:t>
      </w:r>
      <w:r w:rsidRPr="00B44B19">
        <w:rPr>
          <w:rFonts w:cs="Times New Roman"/>
          <w:bCs/>
        </w:rPr>
        <w:t xml:space="preserve">gerinti galimybes įsidarbinti ir skatinti socialinę ekonomiką, aktyvią įtrauktį ir paslaugų prieinamumą, taip pat </w:t>
      </w:r>
      <w:r w:rsidRPr="00B44B19">
        <w:rPr>
          <w:rFonts w:eastAsia="Times New Roman" w:cs="Times New Roman"/>
          <w:bCs/>
          <w:szCs w:val="24"/>
        </w:rPr>
        <w:t xml:space="preserve">švelninti neigiamus pandemijos sukeltos krizės padarinius </w:t>
      </w:r>
      <w:r w:rsidR="00774786" w:rsidRPr="00B44B19">
        <w:rPr>
          <w:rFonts w:eastAsia="Times New Roman" w:cs="Times New Roman"/>
          <w:bCs/>
          <w:szCs w:val="24"/>
        </w:rPr>
        <w:t>DR</w:t>
      </w:r>
      <w:r w:rsidRPr="00B44B19">
        <w:rPr>
          <w:rFonts w:eastAsia="Times New Roman" w:cs="Times New Roman"/>
          <w:bCs/>
          <w:szCs w:val="24"/>
        </w:rPr>
        <w:t xml:space="preserve">, mažinti socialinę atskirtį, </w:t>
      </w:r>
      <w:r w:rsidR="0008790D" w:rsidRPr="00B44B19">
        <w:rPr>
          <w:rFonts w:eastAsia="Times New Roman" w:cs="Times New Roman"/>
          <w:bCs/>
          <w:szCs w:val="24"/>
        </w:rPr>
        <w:t xml:space="preserve">ypač VVL regione, </w:t>
      </w:r>
      <w:r w:rsidRPr="00B44B19">
        <w:rPr>
          <w:rFonts w:eastAsia="Times New Roman" w:cs="Times New Roman"/>
          <w:bCs/>
          <w:szCs w:val="24"/>
        </w:rPr>
        <w:t xml:space="preserve">reikės </w:t>
      </w:r>
      <w:r w:rsidRPr="00B44B19">
        <w:rPr>
          <w:rFonts w:eastAsia="Times New Roman" w:cs="Times New Roman"/>
          <w:b/>
          <w:bCs/>
          <w:szCs w:val="24"/>
        </w:rPr>
        <w:t>investicijų</w:t>
      </w:r>
      <w:r w:rsidR="009F1AA5" w:rsidRPr="00B44B19">
        <w:rPr>
          <w:rFonts w:eastAsia="Times New Roman" w:cs="Times New Roman"/>
          <w:b/>
          <w:bCs/>
          <w:szCs w:val="24"/>
        </w:rPr>
        <w:t xml:space="preserve"> </w:t>
      </w:r>
      <w:r w:rsidRPr="00B44B19">
        <w:rPr>
          <w:rFonts w:eastAsia="Times New Roman" w:cs="Times New Roman"/>
          <w:b/>
          <w:bCs/>
          <w:szCs w:val="24"/>
        </w:rPr>
        <w:t>į kultūros sritį</w:t>
      </w:r>
      <w:r w:rsidRPr="00B44B19">
        <w:rPr>
          <w:rFonts w:eastAsia="Times New Roman" w:cs="Times New Roman"/>
          <w:bCs/>
          <w:szCs w:val="24"/>
        </w:rPr>
        <w:t>.</w:t>
      </w:r>
    </w:p>
    <w:p w14:paraId="36EE20EB" w14:textId="77777777" w:rsidR="00C43D5D" w:rsidRPr="00B44B19" w:rsidRDefault="00702A92" w:rsidP="00F8763F">
      <w:pPr>
        <w:spacing w:before="60" w:after="60" w:line="240" w:lineRule="auto"/>
        <w:jc w:val="both"/>
        <w:rPr>
          <w:rFonts w:eastAsia="Times New Roman" w:cs="Times New Roman"/>
          <w:szCs w:val="24"/>
        </w:rPr>
      </w:pPr>
      <w:r w:rsidRPr="00B44B19">
        <w:rPr>
          <w:rFonts w:eastAsia="Times New Roman" w:cs="Times New Roman"/>
          <w:szCs w:val="24"/>
        </w:rPr>
        <w:t xml:space="preserve">Sveikatos priežiūros rezultatai Lietuvoje vis dar vieni prasčiausių ES. Vienas pagrindinių NPP tikslų – pasiekti, kad iki 2030 m. pailgėtų šalies gyventojų gyvenimo trukmė, o atotrūkis tarp lyčių sumažėtų nuo 9,5 iki 5,2 m. Tikslui pasiekti ir kartu </w:t>
      </w:r>
      <w:r w:rsidRPr="00B44B19">
        <w:rPr>
          <w:rFonts w:eastAsia="Times New Roman" w:cs="Times New Roman"/>
          <w:b/>
          <w:szCs w:val="24"/>
        </w:rPr>
        <w:t xml:space="preserve">siekiant įgyvendinti TR’2019 ir TR’2020 sveikatos </w:t>
      </w:r>
      <w:r w:rsidRPr="00B44B19">
        <w:rPr>
          <w:rFonts w:eastAsia="Times New Roman" w:cs="Times New Roman"/>
          <w:b/>
          <w:szCs w:val="24"/>
        </w:rPr>
        <w:lastRenderedPageBreak/>
        <w:t>srityje numatytos 5 reformų kryptys</w:t>
      </w:r>
      <w:r w:rsidRPr="00B44B19">
        <w:rPr>
          <w:rFonts w:eastAsia="Times New Roman" w:cs="Times New Roman"/>
          <w:szCs w:val="24"/>
        </w:rPr>
        <w:t xml:space="preserve">, investuojant ES fondų ir EGADP lėšas: visuomenės ir </w:t>
      </w:r>
      <w:r w:rsidR="00EF6116" w:rsidRPr="00B44B19">
        <w:rPr>
          <w:rFonts w:eastAsia="Times New Roman" w:cs="Times New Roman"/>
          <w:szCs w:val="24"/>
        </w:rPr>
        <w:t>ASPĮ</w:t>
      </w:r>
      <w:r w:rsidRPr="00B44B19">
        <w:rPr>
          <w:rFonts w:eastAsia="Times New Roman" w:cs="Times New Roman"/>
          <w:szCs w:val="24"/>
        </w:rPr>
        <w:t xml:space="preserve"> veiklos kokybės gerinimas; sveikatos sistemos atsparumo grėsmėms užtikrinimas; </w:t>
      </w:r>
      <w:r w:rsidR="004264C4" w:rsidRPr="00B44B19">
        <w:rPr>
          <w:rFonts w:eastAsia="Times New Roman" w:cs="Times New Roman"/>
          <w:szCs w:val="24"/>
        </w:rPr>
        <w:t>IPP</w:t>
      </w:r>
      <w:r w:rsidRPr="00B44B19">
        <w:rPr>
          <w:rFonts w:eastAsia="Times New Roman" w:cs="Times New Roman"/>
          <w:szCs w:val="24"/>
        </w:rPr>
        <w:t xml:space="preserve"> teikimo plėtra; sveikatos sistemos skaitmenizavimas; psichikos sveikatos raštingumo ir paslaugų įvairovės didinimas.</w:t>
      </w:r>
    </w:p>
    <w:p w14:paraId="6871B362" w14:textId="77777777" w:rsidR="00D118A5" w:rsidRPr="00B44B19" w:rsidRDefault="005222EB" w:rsidP="00F8763F">
      <w:pPr>
        <w:spacing w:before="60" w:after="60" w:line="240" w:lineRule="auto"/>
        <w:jc w:val="both"/>
        <w:rPr>
          <w:rFonts w:eastAsia="Times New Roman" w:cs="Times New Roman"/>
          <w:szCs w:val="24"/>
        </w:rPr>
      </w:pPr>
      <w:r w:rsidRPr="00B44B19">
        <w:rPr>
          <w:rFonts w:eastAsia="Times New Roman" w:cs="Times New Roman"/>
          <w:szCs w:val="24"/>
        </w:rPr>
        <w:t>P</w:t>
      </w:r>
      <w:r w:rsidR="00702A92" w:rsidRPr="00B44B19">
        <w:rPr>
          <w:rFonts w:eastAsia="Times New Roman" w:cs="Times New Roman"/>
          <w:szCs w:val="24"/>
        </w:rPr>
        <w:t xml:space="preserve">andemijos sukelta </w:t>
      </w:r>
      <w:r w:rsidR="00FB541D" w:rsidRPr="00B44B19">
        <w:rPr>
          <w:rFonts w:eastAsia="Times New Roman" w:cs="Times New Roman"/>
          <w:szCs w:val="24"/>
        </w:rPr>
        <w:t>krizė</w:t>
      </w:r>
      <w:r w:rsidR="00D118A5" w:rsidRPr="00B44B19">
        <w:rPr>
          <w:rFonts w:eastAsia="Times New Roman" w:cs="Times New Roman"/>
          <w:szCs w:val="24"/>
        </w:rPr>
        <w:t xml:space="preserve"> parodė, kad sveikatos sektorius nėra pasir</w:t>
      </w:r>
      <w:r w:rsidR="00702A92" w:rsidRPr="00B44B19">
        <w:rPr>
          <w:rFonts w:eastAsia="Times New Roman" w:cs="Times New Roman"/>
          <w:szCs w:val="24"/>
        </w:rPr>
        <w:t>engęs</w:t>
      </w:r>
      <w:r w:rsidR="00D118A5" w:rsidRPr="00B44B19">
        <w:rPr>
          <w:rFonts w:eastAsia="Times New Roman" w:cs="Times New Roman"/>
          <w:szCs w:val="24"/>
        </w:rPr>
        <w:t xml:space="preserve"> kovoti su pandemijos pasekmėmis, todėl investicijos bus nukreiptos </w:t>
      </w:r>
      <w:r w:rsidR="00702A92" w:rsidRPr="00B44B19">
        <w:rPr>
          <w:rFonts w:eastAsia="Times New Roman" w:cs="Times New Roman"/>
          <w:szCs w:val="24"/>
        </w:rPr>
        <w:t xml:space="preserve">į </w:t>
      </w:r>
      <w:r w:rsidR="00D118A5" w:rsidRPr="00B44B19">
        <w:rPr>
          <w:rFonts w:eastAsia="Times New Roman" w:cs="Times New Roman"/>
          <w:szCs w:val="24"/>
        </w:rPr>
        <w:t>sveikatos priežiūros sistemos pajėgumų ir atsparumo didinim</w:t>
      </w:r>
      <w:r w:rsidR="006C4B9A" w:rsidRPr="00B44B19">
        <w:rPr>
          <w:rFonts w:eastAsia="Times New Roman" w:cs="Times New Roman"/>
          <w:szCs w:val="24"/>
        </w:rPr>
        <w:t>ą</w:t>
      </w:r>
      <w:r w:rsidR="00D118A5" w:rsidRPr="00B44B19">
        <w:rPr>
          <w:rFonts w:eastAsia="Times New Roman" w:cs="Times New Roman"/>
          <w:szCs w:val="24"/>
        </w:rPr>
        <w:t>.</w:t>
      </w:r>
    </w:p>
    <w:p w14:paraId="6CFB9289" w14:textId="77777777" w:rsidR="00C43D5D" w:rsidRPr="00B44B19" w:rsidRDefault="00702A92" w:rsidP="00F8763F">
      <w:pPr>
        <w:spacing w:before="60" w:after="60" w:line="240" w:lineRule="auto"/>
        <w:jc w:val="both"/>
        <w:rPr>
          <w:rFonts w:eastAsia="Times New Roman" w:cs="Times New Roman"/>
          <w:szCs w:val="24"/>
        </w:rPr>
      </w:pPr>
      <w:r w:rsidRPr="00B44B19">
        <w:rPr>
          <w:rFonts w:eastAsia="Times New Roman" w:cs="Times New Roman"/>
          <w:szCs w:val="24"/>
        </w:rPr>
        <w:t xml:space="preserve">Siekiant padidinti kokybiškų sveikatos priežiūros paslaugų prieinamumą, mažinti sveikatos priežiūros netolygumus, įveikti senėjančios visuomenės iššūkius, bus investuojama į PSP stiprinimą ir visuomenės bei psichikos sveikatos paslaugų ir </w:t>
      </w:r>
      <w:r w:rsidR="004264C4" w:rsidRPr="00B44B19">
        <w:rPr>
          <w:rFonts w:eastAsia="Times New Roman" w:cs="Times New Roman"/>
          <w:szCs w:val="24"/>
        </w:rPr>
        <w:t>IPP</w:t>
      </w:r>
      <w:r w:rsidRPr="00B44B19">
        <w:rPr>
          <w:rFonts w:eastAsia="Times New Roman" w:cs="Times New Roman"/>
          <w:szCs w:val="24"/>
        </w:rPr>
        <w:t xml:space="preserve"> plėtrą.</w:t>
      </w:r>
    </w:p>
    <w:p w14:paraId="0A318D1B" w14:textId="77777777" w:rsidR="00C43D5D" w:rsidRPr="00B44B19" w:rsidRDefault="00C43D5D" w:rsidP="00F8763F">
      <w:pPr>
        <w:spacing w:before="60" w:after="60" w:line="240" w:lineRule="auto"/>
        <w:jc w:val="both"/>
        <w:rPr>
          <w:rFonts w:eastAsia="Times New Roman" w:cs="Times New Roman"/>
          <w:szCs w:val="24"/>
        </w:rPr>
      </w:pPr>
      <w:r w:rsidRPr="00B44B19">
        <w:rPr>
          <w:rFonts w:eastAsia="Times New Roman" w:cs="Times New Roman"/>
          <w:szCs w:val="24"/>
        </w:rPr>
        <w:t xml:space="preserve">Šalies ligoninėse esančių lovų skaičius </w:t>
      </w:r>
      <w:r w:rsidR="007167BE" w:rsidRPr="00B44B19">
        <w:rPr>
          <w:rFonts w:eastAsia="Times New Roman" w:cs="Times New Roman"/>
          <w:szCs w:val="24"/>
        </w:rPr>
        <w:t>30 %</w:t>
      </w:r>
      <w:r w:rsidRPr="00B44B19">
        <w:rPr>
          <w:rFonts w:eastAsia="Times New Roman" w:cs="Times New Roman"/>
          <w:szCs w:val="24"/>
        </w:rPr>
        <w:t xml:space="preserve"> </w:t>
      </w:r>
      <w:r w:rsidR="00181705" w:rsidRPr="00B44B19">
        <w:rPr>
          <w:rFonts w:eastAsia="Times New Roman" w:cs="Times New Roman"/>
          <w:szCs w:val="24"/>
        </w:rPr>
        <w:t xml:space="preserve">viršija </w:t>
      </w:r>
      <w:r w:rsidRPr="00B44B19">
        <w:rPr>
          <w:rFonts w:eastAsia="Times New Roman" w:cs="Times New Roman"/>
          <w:szCs w:val="24"/>
        </w:rPr>
        <w:t>ES vidurk</w:t>
      </w:r>
      <w:r w:rsidR="00181705" w:rsidRPr="00B44B19">
        <w:rPr>
          <w:rFonts w:eastAsia="Times New Roman" w:cs="Times New Roman"/>
          <w:szCs w:val="24"/>
        </w:rPr>
        <w:t>į</w:t>
      </w:r>
      <w:r w:rsidRPr="00B44B19">
        <w:rPr>
          <w:rFonts w:eastAsia="Times New Roman" w:cs="Times New Roman"/>
          <w:szCs w:val="24"/>
        </w:rPr>
        <w:t>, tačiau išvengiamo mirtingumo ar hospitalinio mirštamumo rodikliai prasti. Todėl bus plėtojami nauji sveikatos priežiūros įstaigų regioniniai bendradarbiavimo modeliai (ligoninių sistemos reorganizavimas)</w:t>
      </w:r>
      <w:r w:rsidR="00D118A5" w:rsidRPr="00B44B19">
        <w:rPr>
          <w:rFonts w:eastAsia="Times New Roman" w:cs="Times New Roman"/>
          <w:szCs w:val="24"/>
        </w:rPr>
        <w:t>,</w:t>
      </w:r>
      <w:r w:rsidR="00D118A5" w:rsidRPr="00B44B19">
        <w:rPr>
          <w:rFonts w:cs="Times New Roman"/>
        </w:rPr>
        <w:t xml:space="preserve"> </w:t>
      </w:r>
      <w:r w:rsidR="00D118A5" w:rsidRPr="00B44B19">
        <w:rPr>
          <w:rFonts w:eastAsia="Times New Roman" w:cs="Times New Roman"/>
          <w:szCs w:val="24"/>
        </w:rPr>
        <w:t>pritaikant infrastruktūrą pagal pasikeitusį paslaugų profilį, kuriant savivaldybių sveikatos centrus, stiprinant GMP organizavimą bei tinkamai išnaudojant turimus žmogiškuosius išteklius.</w:t>
      </w:r>
    </w:p>
    <w:p w14:paraId="29FEF7B0" w14:textId="77777777" w:rsidR="00C43D5D" w:rsidRPr="00B44B19" w:rsidRDefault="00C43D5D" w:rsidP="00F8763F">
      <w:pPr>
        <w:spacing w:before="60" w:after="60" w:line="240" w:lineRule="auto"/>
        <w:jc w:val="both"/>
        <w:rPr>
          <w:rFonts w:eastAsia="Times New Roman" w:cs="Times New Roman"/>
          <w:szCs w:val="24"/>
        </w:rPr>
      </w:pPr>
      <w:r w:rsidRPr="00B44B19">
        <w:rPr>
          <w:rFonts w:eastAsia="Times New Roman" w:cs="Times New Roman"/>
          <w:szCs w:val="24"/>
        </w:rPr>
        <w:t>Susirūpinimą kelia sveikatos priežiūros specialistų trūkumas, netolygus jų pasiskirstymas ir senėjimas, todėl bus siekiama spręsti sveikatos priežiūros darbuotojų pasiūlos disbalanso problemas.</w:t>
      </w:r>
    </w:p>
    <w:p w14:paraId="3570DB3A" w14:textId="77777777" w:rsidR="0008790D" w:rsidRPr="00B44B19" w:rsidRDefault="00702A92" w:rsidP="00F8763F">
      <w:pPr>
        <w:spacing w:before="60" w:after="60" w:line="240" w:lineRule="auto"/>
        <w:jc w:val="both"/>
        <w:rPr>
          <w:rFonts w:eastAsia="Times New Roman" w:cs="Times New Roman"/>
          <w:szCs w:val="24"/>
        </w:rPr>
      </w:pPr>
      <w:r w:rsidRPr="00B44B19">
        <w:rPr>
          <w:rFonts w:eastAsia="Times New Roman" w:cs="Times New Roman"/>
          <w:szCs w:val="24"/>
        </w:rPr>
        <w:t xml:space="preserve">Siekiant </w:t>
      </w:r>
      <w:r w:rsidR="005222EB" w:rsidRPr="00B44B19">
        <w:rPr>
          <w:rFonts w:eastAsia="Times New Roman" w:cs="Times New Roman"/>
          <w:szCs w:val="24"/>
        </w:rPr>
        <w:t>B</w:t>
      </w:r>
      <w:r w:rsidRPr="00B44B19">
        <w:rPr>
          <w:rFonts w:eastAsia="Times New Roman" w:cs="Times New Roman"/>
          <w:szCs w:val="24"/>
        </w:rPr>
        <w:t xml:space="preserve">NR politikos tikslo </w:t>
      </w:r>
      <w:r w:rsidRPr="00B44B19">
        <w:rPr>
          <w:rFonts w:eastAsia="Times New Roman" w:cs="Times New Roman"/>
          <w:b/>
          <w:szCs w:val="24"/>
        </w:rPr>
        <w:t>„Piliečiams artimesnė Europa“</w:t>
      </w:r>
      <w:r w:rsidRPr="00B44B19">
        <w:rPr>
          <w:rFonts w:eastAsia="Times New Roman" w:cs="Times New Roman"/>
          <w:szCs w:val="24"/>
        </w:rPr>
        <w:t xml:space="preserve">, investicijomis bus įgyvendinama </w:t>
      </w:r>
      <w:r w:rsidRPr="00B44B19">
        <w:rPr>
          <w:rFonts w:eastAsia="Times New Roman" w:cs="Times New Roman"/>
          <w:noProof/>
          <w:szCs w:val="24"/>
        </w:rPr>
        <w:t xml:space="preserve">tvari ir integruota miestų ir </w:t>
      </w:r>
      <w:r w:rsidR="004C2FDD" w:rsidRPr="00B44B19">
        <w:rPr>
          <w:rFonts w:eastAsia="Times New Roman" w:cs="Times New Roman"/>
          <w:noProof/>
          <w:szCs w:val="24"/>
        </w:rPr>
        <w:t>FZ</w:t>
      </w:r>
      <w:r w:rsidRPr="00B44B19">
        <w:rPr>
          <w:rFonts w:eastAsia="Times New Roman" w:cs="Times New Roman"/>
          <w:noProof/>
          <w:szCs w:val="24"/>
        </w:rPr>
        <w:t xml:space="preserve"> plėtra</w:t>
      </w:r>
      <w:r w:rsidRPr="00B44B19">
        <w:rPr>
          <w:rFonts w:eastAsia="Times New Roman" w:cs="Times New Roman"/>
          <w:szCs w:val="24"/>
        </w:rPr>
        <w:t>.</w:t>
      </w:r>
      <w:r w:rsidRPr="00B44B19">
        <w:rPr>
          <w:rFonts w:eastAsia="Times New Roman" w:cs="Times New Roman"/>
          <w:bCs/>
          <w:szCs w:val="24"/>
        </w:rPr>
        <w:t xml:space="preserve"> </w:t>
      </w:r>
      <w:r w:rsidR="006D04CA" w:rsidRPr="00B44B19">
        <w:rPr>
          <w:rFonts w:eastAsia="Times New Roman" w:cs="Times New Roman"/>
          <w:bCs/>
          <w:szCs w:val="24"/>
        </w:rPr>
        <w:t>Numatoma investuoti į</w:t>
      </w:r>
      <w:r w:rsidRPr="00B44B19">
        <w:rPr>
          <w:rFonts w:eastAsia="Times New Roman" w:cs="Times New Roman"/>
          <w:bCs/>
          <w:szCs w:val="24"/>
        </w:rPr>
        <w:t xml:space="preserve"> ITP miestuose, siekiant veiksmingiau spręsti ekonominius, aplinkos, klimato, demografinius ir socialinius uždavinius, </w:t>
      </w:r>
      <w:r w:rsidRPr="00B44B19">
        <w:rPr>
          <w:rFonts w:eastAsia="Times New Roman" w:cs="Times New Roman"/>
          <w:szCs w:val="24"/>
        </w:rPr>
        <w:t xml:space="preserve">kartu atsižvelgiant į savivaldybių poreikius spręsti bendras problemas joms bendradarbiaujant </w:t>
      </w:r>
      <w:r w:rsidR="004C2FDD" w:rsidRPr="00B44B19">
        <w:rPr>
          <w:rFonts w:eastAsia="Times New Roman" w:cs="Times New Roman"/>
          <w:szCs w:val="24"/>
        </w:rPr>
        <w:t>FZ</w:t>
      </w:r>
      <w:r w:rsidR="008410BC" w:rsidRPr="00B44B19">
        <w:rPr>
          <w:rFonts w:eastAsia="Times New Roman" w:cs="Times New Roman"/>
          <w:szCs w:val="24"/>
        </w:rPr>
        <w:t>,</w:t>
      </w:r>
      <w:r w:rsidRPr="00B44B19">
        <w:rPr>
          <w:rFonts w:eastAsia="Times New Roman" w:cs="Times New Roman"/>
          <w:szCs w:val="24"/>
        </w:rPr>
        <w:t xml:space="preserve"> mažinti netolygumus ir prisitaikyti prie demografinių iššūkių.</w:t>
      </w:r>
    </w:p>
    <w:p w14:paraId="45971411" w14:textId="77777777" w:rsidR="00C43D5D" w:rsidRPr="00B44B19" w:rsidRDefault="0008790D" w:rsidP="00F8763F">
      <w:pPr>
        <w:spacing w:before="60" w:after="60" w:line="240" w:lineRule="auto"/>
        <w:jc w:val="both"/>
        <w:rPr>
          <w:rFonts w:eastAsia="Times New Roman" w:cs="Times New Roman"/>
          <w:szCs w:val="24"/>
        </w:rPr>
      </w:pPr>
      <w:r w:rsidRPr="00B44B19">
        <w:rPr>
          <w:rFonts w:eastAsia="Times New Roman" w:cs="Times New Roman"/>
          <w:szCs w:val="24"/>
        </w:rPr>
        <w:t>Opi</w:t>
      </w:r>
      <w:r w:rsidR="00C43D5D" w:rsidRPr="00B44B19">
        <w:rPr>
          <w:rFonts w:eastAsia="Times New Roman" w:cs="Times New Roman"/>
          <w:szCs w:val="24"/>
        </w:rPr>
        <w:t xml:space="preserve"> problema – g</w:t>
      </w:r>
      <w:r w:rsidR="00FB541D" w:rsidRPr="00B44B19">
        <w:rPr>
          <w:rFonts w:eastAsia="Times New Roman" w:cs="Times New Roman"/>
          <w:szCs w:val="24"/>
        </w:rPr>
        <w:t>yventojų skaičiaus mažėjimas (5 </w:t>
      </w:r>
      <w:r w:rsidR="00C43D5D" w:rsidRPr="00B44B19">
        <w:rPr>
          <w:rFonts w:eastAsia="Times New Roman" w:cs="Times New Roman"/>
          <w:szCs w:val="24"/>
        </w:rPr>
        <w:t>% nuo 2014 m</w:t>
      </w:r>
      <w:r w:rsidR="008410BC" w:rsidRPr="00B44B19">
        <w:rPr>
          <w:rFonts w:eastAsia="Times New Roman" w:cs="Times New Roman"/>
          <w:szCs w:val="24"/>
        </w:rPr>
        <w:t>.</w:t>
      </w:r>
      <w:r w:rsidR="00C43D5D" w:rsidRPr="00B44B19">
        <w:rPr>
          <w:rFonts w:eastAsia="Times New Roman" w:cs="Times New Roman"/>
          <w:szCs w:val="24"/>
        </w:rPr>
        <w:t xml:space="preserve"> iki </w:t>
      </w:r>
      <w:r w:rsidRPr="00B44B19">
        <w:rPr>
          <w:rFonts w:eastAsia="Times New Roman" w:cs="Times New Roman"/>
          <w:szCs w:val="24"/>
        </w:rPr>
        <w:t>2021 m.</w:t>
      </w:r>
      <w:r w:rsidR="00C43D5D" w:rsidRPr="00B44B19">
        <w:rPr>
          <w:rFonts w:eastAsia="Times New Roman" w:cs="Times New Roman"/>
          <w:szCs w:val="24"/>
        </w:rPr>
        <w:t xml:space="preserve">). Stabilus gyventojų skaičius išlieka tik Sostinės regione. Tuo tarpu VVL gyventojų skaičiaus mažėjimas ženkliai viršija šalies vidurkį (viršija dvigubai </w:t>
      </w:r>
      <w:r w:rsidR="008F5745" w:rsidRPr="00B44B19">
        <w:rPr>
          <w:rFonts w:eastAsia="Times New Roman" w:cs="Times New Roman"/>
          <w:szCs w:val="24"/>
        </w:rPr>
        <w:t xml:space="preserve">6 </w:t>
      </w:r>
      <w:r w:rsidRPr="00B44B19">
        <w:rPr>
          <w:rFonts w:eastAsia="Times New Roman" w:cs="Times New Roman"/>
          <w:szCs w:val="24"/>
        </w:rPr>
        <w:t>VVL apskrityse</w:t>
      </w:r>
      <w:r w:rsidR="00C43D5D" w:rsidRPr="00B44B19">
        <w:rPr>
          <w:rFonts w:eastAsia="Times New Roman" w:cs="Times New Roman"/>
          <w:szCs w:val="24"/>
        </w:rPr>
        <w:t xml:space="preserve">). Tai sukelia spaudimą ne tik viešosios infrastruktūros ir paslaugų efektyvumui, bet ir </w:t>
      </w:r>
      <w:r w:rsidR="00774786" w:rsidRPr="00B44B19">
        <w:rPr>
          <w:rFonts w:eastAsia="Times New Roman" w:cs="Times New Roman"/>
          <w:szCs w:val="24"/>
        </w:rPr>
        <w:t>DR</w:t>
      </w:r>
      <w:r w:rsidR="00C43D5D" w:rsidRPr="00B44B19">
        <w:rPr>
          <w:rFonts w:eastAsia="Times New Roman" w:cs="Times New Roman"/>
          <w:szCs w:val="24"/>
        </w:rPr>
        <w:t>. Šalies užimtumui įtakos turi amžiaus struktūra: dėl amžiaus struktūros apie 28</w:t>
      </w:r>
      <w:r w:rsidR="00974948" w:rsidRPr="00B44B19">
        <w:rPr>
          <w:rFonts w:eastAsia="Times New Roman" w:cs="Times New Roman"/>
          <w:szCs w:val="24"/>
        </w:rPr>
        <w:t> </w:t>
      </w:r>
      <w:r w:rsidR="00C43D5D" w:rsidRPr="00B44B19">
        <w:rPr>
          <w:rFonts w:eastAsia="Times New Roman" w:cs="Times New Roman"/>
          <w:szCs w:val="24"/>
        </w:rPr>
        <w:t>% visų darbingo amžiaus gyventojų (55–64 m.) per artimiausią dešimtmetį pasieks pensinį amžių.</w:t>
      </w:r>
    </w:p>
    <w:p w14:paraId="4FE99B67" w14:textId="77777777" w:rsidR="00C43D5D" w:rsidRPr="00B44B19" w:rsidRDefault="00C43D5D" w:rsidP="00F8763F">
      <w:pPr>
        <w:spacing w:before="60" w:after="60" w:line="240" w:lineRule="auto"/>
        <w:jc w:val="both"/>
        <w:rPr>
          <w:rFonts w:cs="Times New Roman"/>
          <w:szCs w:val="24"/>
        </w:rPr>
      </w:pPr>
      <w:r w:rsidRPr="00B44B19">
        <w:rPr>
          <w:rFonts w:cs="Times New Roman"/>
          <w:szCs w:val="24"/>
        </w:rPr>
        <w:t xml:space="preserve">Lietuvos ūkio sektorių finansavimo po 2020 m. vertinimas parodė, kad iki šiol skirtos ES fondų investicijos nepaskatino regionų konvergencijos: nors regionų plėtros planai buvo rengiami, tačiau centralizuotu būdu taikytos regionų augimą ir patrauklumą didinančios priemonės, formalus </w:t>
      </w:r>
      <w:r w:rsidR="00603716" w:rsidRPr="00B44B19">
        <w:rPr>
          <w:rFonts w:cs="Times New Roman"/>
          <w:szCs w:val="24"/>
        </w:rPr>
        <w:t>RPT</w:t>
      </w:r>
      <w:r w:rsidR="0008790D" w:rsidRPr="00B44B19">
        <w:rPr>
          <w:rFonts w:cs="Times New Roman"/>
          <w:szCs w:val="24"/>
        </w:rPr>
        <w:t xml:space="preserve"> dalyvavimas</w:t>
      </w:r>
      <w:r w:rsidRPr="00B44B19">
        <w:rPr>
          <w:rFonts w:cs="Times New Roman"/>
          <w:szCs w:val="24"/>
        </w:rPr>
        <w:t xml:space="preserve"> priimant sprendimus neleido įgyvendinti kompleksinių ir individualizuotų sprendimų. Įgyvendinant regionų plėtros planus vykdomos investicijos buvo fragmentuotos ir nepaskatino didesnį poveikį turinčių ir kelių savivaldybių teritorijoms svarbių sprendimų.</w:t>
      </w:r>
    </w:p>
    <w:p w14:paraId="4FFBA658" w14:textId="77777777" w:rsidR="00C43D5D" w:rsidRPr="00B44B19" w:rsidRDefault="00702A92" w:rsidP="00F8763F">
      <w:pPr>
        <w:spacing w:before="60" w:after="60" w:line="240" w:lineRule="auto"/>
        <w:jc w:val="both"/>
        <w:rPr>
          <w:rFonts w:eastAsia="Times New Roman" w:cs="Times New Roman"/>
          <w:bCs/>
          <w:szCs w:val="24"/>
        </w:rPr>
      </w:pPr>
      <w:r w:rsidRPr="00B44B19">
        <w:rPr>
          <w:rFonts w:cs="Times New Roman"/>
          <w:szCs w:val="24"/>
        </w:rPr>
        <w:t xml:space="preserve">Siekiant teritorinės sanglaudos tikslų investicijos </w:t>
      </w:r>
      <w:r w:rsidRPr="00B44B19">
        <w:rPr>
          <w:rFonts w:eastAsia="Times New Roman" w:cs="Times New Roman"/>
          <w:szCs w:val="24"/>
        </w:rPr>
        <w:t xml:space="preserve">bus skirtos </w:t>
      </w:r>
      <w:r w:rsidR="0008790D" w:rsidRPr="00B44B19">
        <w:rPr>
          <w:rFonts w:eastAsia="Times New Roman" w:cs="Times New Roman"/>
          <w:szCs w:val="24"/>
        </w:rPr>
        <w:t xml:space="preserve">visų apskričių </w:t>
      </w:r>
      <w:r w:rsidRPr="00B44B19">
        <w:rPr>
          <w:rFonts w:eastAsia="Times New Roman" w:cs="Times New Roman"/>
          <w:szCs w:val="24"/>
        </w:rPr>
        <w:t xml:space="preserve">miestams, kurie </w:t>
      </w:r>
      <w:r w:rsidRPr="00B44B19">
        <w:rPr>
          <w:rFonts w:eastAsia="Times New Roman" w:cs="Times New Roman"/>
          <w:b/>
          <w:szCs w:val="24"/>
        </w:rPr>
        <w:t>atlieka pagrindinį vaidmenį telkdami gyventojus, investicijas, viešąsias paslaugas ir darbo vietas</w:t>
      </w:r>
      <w:r w:rsidRPr="00B44B19">
        <w:rPr>
          <w:rFonts w:eastAsia="Times New Roman" w:cs="Times New Roman"/>
          <w:szCs w:val="24"/>
        </w:rPr>
        <w:t>. Siekiant vietos lygmeniu spręsti atskirties, viešųjų paslaugų prieinamumo problemas ir</w:t>
      </w:r>
      <w:r w:rsidRPr="00B44B19">
        <w:rPr>
          <w:rFonts w:eastAsia="Times New Roman" w:cs="Times New Roman"/>
          <w:iCs/>
          <w:szCs w:val="24"/>
        </w:rPr>
        <w:t xml:space="preserve"> mažinti </w:t>
      </w:r>
      <w:r w:rsidRPr="00B44B19">
        <w:rPr>
          <w:rFonts w:eastAsia="Times New Roman" w:cs="Times New Roman"/>
          <w:szCs w:val="24"/>
        </w:rPr>
        <w:t xml:space="preserve">regionų vidinius ekonominius netolygumus, investicijos bus koncentruojamos siekiant panaudoti </w:t>
      </w:r>
      <w:r w:rsidR="004C2FDD" w:rsidRPr="00B44B19">
        <w:rPr>
          <w:rFonts w:eastAsia="Times New Roman" w:cs="Times New Roman"/>
          <w:b/>
          <w:szCs w:val="24"/>
        </w:rPr>
        <w:t>FZ</w:t>
      </w:r>
      <w:r w:rsidRPr="00B44B19">
        <w:rPr>
          <w:rFonts w:eastAsia="Times New Roman" w:cs="Times New Roman"/>
          <w:b/>
          <w:szCs w:val="24"/>
        </w:rPr>
        <w:t xml:space="preserve"> sudariusių savivaldybių bendrų veiksmų </w:t>
      </w:r>
      <w:r w:rsidRPr="00B44B19">
        <w:rPr>
          <w:rFonts w:eastAsia="Times New Roman" w:cs="Times New Roman"/>
          <w:szCs w:val="24"/>
        </w:rPr>
        <w:t>potencialą</w:t>
      </w:r>
      <w:r w:rsidR="001538CD" w:rsidRPr="00B44B19">
        <w:rPr>
          <w:rFonts w:eastAsia="Times New Roman" w:cs="Times New Roman"/>
          <w:szCs w:val="24"/>
        </w:rPr>
        <w:t xml:space="preserve">. </w:t>
      </w:r>
      <w:r w:rsidR="00C43D5D" w:rsidRPr="00B44B19">
        <w:rPr>
          <w:rFonts w:eastAsia="Times New Roman" w:cs="Times New Roman"/>
          <w:szCs w:val="24"/>
        </w:rPr>
        <w:t>Siekiant investicijų į regionų plėtrą efektyvumo, integralumo ir tvarumo</w:t>
      </w:r>
      <w:r w:rsidR="008410BC" w:rsidRPr="00B44B19">
        <w:rPr>
          <w:rFonts w:eastAsia="Times New Roman" w:cs="Times New Roman"/>
          <w:szCs w:val="24"/>
        </w:rPr>
        <w:t>,</w:t>
      </w:r>
      <w:r w:rsidR="00C43D5D" w:rsidRPr="00B44B19">
        <w:rPr>
          <w:rFonts w:eastAsia="Times New Roman" w:cs="Times New Roman"/>
          <w:szCs w:val="24"/>
        </w:rPr>
        <w:t xml:space="preserve"> pasitelkiamas patobulintas ITI mechanizmas: koncentruojamos tvarios miestų plėtros, viešųjų paslaugų prieinamumo užtikrinimo </w:t>
      </w:r>
      <w:r w:rsidR="0008790D" w:rsidRPr="00B44B19">
        <w:rPr>
          <w:rFonts w:eastAsia="Times New Roman" w:cs="Times New Roman"/>
          <w:szCs w:val="24"/>
        </w:rPr>
        <w:t>(ypač nutolusiose savivaldybėse, atsižvelgiant į demografinius pokyčius)</w:t>
      </w:r>
      <w:r w:rsidR="00C43D5D" w:rsidRPr="00B44B19">
        <w:rPr>
          <w:rFonts w:eastAsia="Times New Roman" w:cs="Times New Roman"/>
          <w:szCs w:val="24"/>
        </w:rPr>
        <w:t>, regionų ekonominio gyvybingumo didinimo ir šiems veiksmams įgyvendinti reikalingų kompetencijų stiprinimas ir tinklaveika.</w:t>
      </w:r>
    </w:p>
    <w:p w14:paraId="04295557" w14:textId="77777777" w:rsidR="00C43D5D" w:rsidRPr="00B44B19" w:rsidRDefault="00702A92" w:rsidP="00F8763F">
      <w:pPr>
        <w:autoSpaceDE w:val="0"/>
        <w:autoSpaceDN w:val="0"/>
        <w:adjustRightInd w:val="0"/>
        <w:spacing w:before="60" w:after="60" w:line="240" w:lineRule="auto"/>
        <w:jc w:val="both"/>
        <w:rPr>
          <w:rFonts w:cs="Times New Roman"/>
          <w:color w:val="000000"/>
          <w:szCs w:val="24"/>
        </w:rPr>
      </w:pPr>
      <w:r w:rsidRPr="00B44B19">
        <w:rPr>
          <w:rFonts w:cs="Times New Roman"/>
          <w:color w:val="000000"/>
          <w:szCs w:val="24"/>
        </w:rPr>
        <w:t xml:space="preserve">Lietuvoje ir toliau planuojama skatinti </w:t>
      </w:r>
      <w:r w:rsidR="00B86786" w:rsidRPr="00B44B19">
        <w:rPr>
          <w:rFonts w:cs="Times New Roman"/>
          <w:color w:val="000000"/>
          <w:szCs w:val="24"/>
        </w:rPr>
        <w:t>EVE</w:t>
      </w:r>
      <w:r w:rsidRPr="00B44B19">
        <w:rPr>
          <w:rFonts w:cs="Times New Roman"/>
          <w:color w:val="000000"/>
          <w:szCs w:val="24"/>
        </w:rPr>
        <w:t xml:space="preserve"> didinančias priemones pastatų, energetikos bei pramonės (verslo) sektoriuose, taikant </w:t>
      </w:r>
      <w:r w:rsidR="001D6C05" w:rsidRPr="00B44B19">
        <w:rPr>
          <w:rFonts w:cs="Times New Roman"/>
          <w:color w:val="000000"/>
          <w:szCs w:val="24"/>
        </w:rPr>
        <w:t>dotacines</w:t>
      </w:r>
      <w:r w:rsidRPr="00B44B19">
        <w:rPr>
          <w:rFonts w:cs="Times New Roman"/>
          <w:color w:val="000000"/>
          <w:szCs w:val="24"/>
        </w:rPr>
        <w:t xml:space="preserve">, praktikoje išbandytas ir pasiteisinusias </w:t>
      </w:r>
      <w:r w:rsidRPr="00B44B19">
        <w:rPr>
          <w:rFonts w:cs="Times New Roman"/>
          <w:b/>
          <w:bCs/>
          <w:color w:val="000000"/>
          <w:szCs w:val="24"/>
        </w:rPr>
        <w:t>finansines priemones</w:t>
      </w:r>
      <w:r w:rsidRPr="00B44B19">
        <w:rPr>
          <w:rFonts w:cs="Times New Roman"/>
          <w:color w:val="000000"/>
          <w:szCs w:val="24"/>
        </w:rPr>
        <w:t xml:space="preserve"> ar jų derinius, siekiant maksimizuoti </w:t>
      </w:r>
      <w:r w:rsidR="00B86786" w:rsidRPr="00B44B19">
        <w:rPr>
          <w:rFonts w:cs="Times New Roman"/>
          <w:color w:val="000000"/>
          <w:szCs w:val="24"/>
        </w:rPr>
        <w:t>EVE</w:t>
      </w:r>
      <w:r w:rsidRPr="00B44B19">
        <w:rPr>
          <w:rFonts w:cs="Times New Roman"/>
          <w:color w:val="000000"/>
          <w:szCs w:val="24"/>
        </w:rPr>
        <w:t xml:space="preserve"> naud</w:t>
      </w:r>
      <w:r w:rsidR="00C6015F" w:rsidRPr="00B44B19">
        <w:rPr>
          <w:rFonts w:cs="Times New Roman"/>
          <w:color w:val="000000"/>
          <w:szCs w:val="24"/>
        </w:rPr>
        <w:t>ą</w:t>
      </w:r>
      <w:r w:rsidRPr="00B44B19">
        <w:rPr>
          <w:rFonts w:cs="Times New Roman"/>
          <w:color w:val="000000"/>
          <w:szCs w:val="24"/>
        </w:rPr>
        <w:t>, didinti energijos efektyvumo didinimo apimtis, spartinti siekiamų rodiklių pasiekimą. Pažymėtina, kad nustatytas rinkos finansavimo trūkumas SVV finansuoti – 1 044,57 mln. Eur, verslo finansavimo individualių garantijų priemonėms įgyvendinti – 675 mln. Eur, MTEPI veikloms – 756 mln. Eur, socialiniam verslui – 800 tūkst. Eur, pastatų renovacijai – 11 mlrd. Eur.</w:t>
      </w:r>
    </w:p>
    <w:p w14:paraId="40BB9624" w14:textId="77777777" w:rsidR="00C43D5D" w:rsidRPr="00B44B19" w:rsidRDefault="00C43D5D" w:rsidP="00F8763F">
      <w:pPr>
        <w:spacing w:before="60" w:after="60" w:line="240" w:lineRule="auto"/>
        <w:jc w:val="both"/>
        <w:rPr>
          <w:rFonts w:cs="Times New Roman"/>
          <w:szCs w:val="24"/>
        </w:rPr>
      </w:pPr>
      <w:r w:rsidRPr="00B44B19">
        <w:rPr>
          <w:rFonts w:cs="Times New Roman"/>
          <w:szCs w:val="24"/>
        </w:rPr>
        <w:lastRenderedPageBreak/>
        <w:t xml:space="preserve">2014–2020 m. įsteigta </w:t>
      </w:r>
      <w:r w:rsidR="00974948" w:rsidRPr="00B44B19">
        <w:rPr>
          <w:rFonts w:cs="Times New Roman"/>
          <w:szCs w:val="24"/>
        </w:rPr>
        <w:t>10</w:t>
      </w:r>
      <w:r w:rsidRPr="00B44B19">
        <w:rPr>
          <w:rFonts w:cs="Times New Roman"/>
          <w:szCs w:val="24"/>
        </w:rPr>
        <w:t xml:space="preserve"> fo</w:t>
      </w:r>
      <w:r w:rsidR="00974948" w:rsidRPr="00B44B19">
        <w:rPr>
          <w:rFonts w:cs="Times New Roman"/>
          <w:szCs w:val="24"/>
        </w:rPr>
        <w:t>n</w:t>
      </w:r>
      <w:r w:rsidR="00FE5B86" w:rsidRPr="00B44B19">
        <w:rPr>
          <w:rFonts w:cs="Times New Roman"/>
          <w:szCs w:val="24"/>
        </w:rPr>
        <w:t>dų, kuriems skirta 628 mln. Eur</w:t>
      </w:r>
      <w:r w:rsidRPr="00B44B19">
        <w:rPr>
          <w:rFonts w:cs="Times New Roman"/>
          <w:szCs w:val="24"/>
        </w:rPr>
        <w:t xml:space="preserve"> ES lėšų, </w:t>
      </w:r>
      <w:r w:rsidR="00974948" w:rsidRPr="00B44B19">
        <w:rPr>
          <w:rFonts w:cs="Times New Roman"/>
          <w:szCs w:val="24"/>
          <w:lang w:eastAsia="lt-LT"/>
        </w:rPr>
        <w:t>ir tai sudaro apie 10 %</w:t>
      </w:r>
      <w:r w:rsidRPr="00B44B19">
        <w:rPr>
          <w:rFonts w:cs="Times New Roman"/>
          <w:szCs w:val="24"/>
          <w:lang w:eastAsia="lt-LT"/>
        </w:rPr>
        <w:t xml:space="preserve"> visos Lietuvai skirtos 2014–2020 m. ES struktūrinių fondų sumos, pritr</w:t>
      </w:r>
      <w:r w:rsidR="00FE5B86" w:rsidRPr="00B44B19">
        <w:rPr>
          <w:rFonts w:cs="Times New Roman"/>
          <w:szCs w:val="24"/>
          <w:lang w:eastAsia="lt-LT"/>
        </w:rPr>
        <w:t>aukta daugiau nei 1,1 mlrd. Eur</w:t>
      </w:r>
      <w:r w:rsidRPr="00B44B19">
        <w:rPr>
          <w:rFonts w:cs="Times New Roman"/>
          <w:szCs w:val="24"/>
          <w:lang w:eastAsia="lt-LT"/>
        </w:rPr>
        <w:t xml:space="preserve"> privačių lėšų</w:t>
      </w:r>
      <w:r w:rsidRPr="00B44B19">
        <w:rPr>
          <w:rFonts w:cs="Times New Roman"/>
          <w:szCs w:val="24"/>
        </w:rPr>
        <w:t>, pakartotinai investuota už 528 mln. E</w:t>
      </w:r>
      <w:r w:rsidR="00974948" w:rsidRPr="00B44B19">
        <w:rPr>
          <w:rFonts w:cs="Times New Roman"/>
          <w:szCs w:val="24"/>
        </w:rPr>
        <w:t>ur</w:t>
      </w:r>
      <w:r w:rsidRPr="00B44B19">
        <w:rPr>
          <w:rFonts w:cs="Times New Roman"/>
          <w:szCs w:val="24"/>
        </w:rPr>
        <w:t xml:space="preserve">. Be to, 2014–2020 m. jau </w:t>
      </w:r>
      <w:r w:rsidR="00FE5B86" w:rsidRPr="00B44B19">
        <w:rPr>
          <w:rFonts w:cs="Times New Roman"/>
          <w:szCs w:val="24"/>
        </w:rPr>
        <w:t xml:space="preserve">suteikta </w:t>
      </w:r>
      <w:r w:rsidRPr="00B44B19">
        <w:rPr>
          <w:rFonts w:cs="Times New Roman"/>
          <w:szCs w:val="24"/>
        </w:rPr>
        <w:t>daugiau kaip 2</w:t>
      </w:r>
      <w:r w:rsidR="00974948" w:rsidRPr="00B44B19">
        <w:rPr>
          <w:rFonts w:cs="Times New Roman"/>
          <w:szCs w:val="24"/>
        </w:rPr>
        <w:t> </w:t>
      </w:r>
      <w:r w:rsidRPr="00B44B19">
        <w:rPr>
          <w:rFonts w:cs="Times New Roman"/>
          <w:szCs w:val="24"/>
        </w:rPr>
        <w:t>000 paskolų daugiabučių renovacijai, pasirašyta apie 90 paskolų viešųjų pastatų renovacij</w:t>
      </w:r>
      <w:r w:rsidR="00F04DAA" w:rsidRPr="00B44B19">
        <w:rPr>
          <w:rFonts w:cs="Times New Roman"/>
          <w:szCs w:val="24"/>
        </w:rPr>
        <w:t>ai</w:t>
      </w:r>
      <w:r w:rsidRPr="00B44B19">
        <w:rPr>
          <w:rFonts w:cs="Times New Roman"/>
          <w:szCs w:val="24"/>
        </w:rPr>
        <w:t>, 5</w:t>
      </w:r>
      <w:r w:rsidRPr="00B44B19">
        <w:rPr>
          <w:rFonts w:cs="Times New Roman"/>
          <w:szCs w:val="24"/>
          <w:lang w:eastAsia="lt-LT"/>
        </w:rPr>
        <w:t xml:space="preserve"> paskol</w:t>
      </w:r>
      <w:r w:rsidR="008B7309" w:rsidRPr="00B44B19">
        <w:rPr>
          <w:rFonts w:cs="Times New Roman"/>
          <w:szCs w:val="24"/>
          <w:lang w:eastAsia="lt-LT"/>
        </w:rPr>
        <w:t>os</w:t>
      </w:r>
      <w:r w:rsidRPr="00B44B19">
        <w:rPr>
          <w:rFonts w:cs="Times New Roman"/>
          <w:szCs w:val="24"/>
          <w:lang w:eastAsia="lt-LT"/>
        </w:rPr>
        <w:t xml:space="preserve"> kultūros paveldo objekt</w:t>
      </w:r>
      <w:r w:rsidR="00FE5B86" w:rsidRPr="00B44B19">
        <w:rPr>
          <w:rFonts w:cs="Times New Roman"/>
          <w:szCs w:val="24"/>
          <w:lang w:eastAsia="lt-LT"/>
        </w:rPr>
        <w:t>ams</w:t>
      </w:r>
      <w:r w:rsidRPr="00B44B19">
        <w:rPr>
          <w:rFonts w:cs="Times New Roman"/>
          <w:szCs w:val="24"/>
          <w:lang w:eastAsia="lt-LT"/>
        </w:rPr>
        <w:t xml:space="preserve"> aktualiz</w:t>
      </w:r>
      <w:r w:rsidR="00FE5B86" w:rsidRPr="00B44B19">
        <w:rPr>
          <w:rFonts w:cs="Times New Roman"/>
          <w:szCs w:val="24"/>
          <w:lang w:eastAsia="lt-LT"/>
        </w:rPr>
        <w:t>uoti</w:t>
      </w:r>
      <w:r w:rsidRPr="00B44B19">
        <w:rPr>
          <w:rFonts w:cs="Times New Roman"/>
          <w:szCs w:val="24"/>
          <w:lang w:eastAsia="lt-LT"/>
        </w:rPr>
        <w:t>, 20 paskolų vandentvarkos srityje</w:t>
      </w:r>
      <w:r w:rsidR="00F04DAA" w:rsidRPr="00B44B19">
        <w:rPr>
          <w:rFonts w:cs="Times New Roman"/>
          <w:szCs w:val="24"/>
          <w:lang w:eastAsia="lt-LT"/>
        </w:rPr>
        <w:t>.</w:t>
      </w:r>
      <w:r w:rsidRPr="00B44B19">
        <w:rPr>
          <w:rFonts w:cs="Times New Roman"/>
          <w:szCs w:val="24"/>
          <w:lang w:eastAsia="lt-LT"/>
        </w:rPr>
        <w:t xml:space="preserve"> CO</w:t>
      </w:r>
      <w:r w:rsidRPr="00B44B19">
        <w:rPr>
          <w:rFonts w:cs="Times New Roman"/>
          <w:szCs w:val="24"/>
          <w:vertAlign w:val="subscript"/>
          <w:lang w:eastAsia="lt-LT"/>
        </w:rPr>
        <w:t>2</w:t>
      </w:r>
      <w:r w:rsidRPr="00B44B19">
        <w:rPr>
          <w:rFonts w:cs="Times New Roman"/>
          <w:szCs w:val="24"/>
          <w:lang w:eastAsia="lt-LT"/>
        </w:rPr>
        <w:t xml:space="preserve"> sumažinta 143</w:t>
      </w:r>
      <w:r w:rsidR="00974948" w:rsidRPr="00B44B19">
        <w:rPr>
          <w:rFonts w:cs="Times New Roman"/>
          <w:szCs w:val="24"/>
          <w:lang w:eastAsia="lt-LT"/>
        </w:rPr>
        <w:t> </w:t>
      </w:r>
      <w:r w:rsidRPr="00B44B19">
        <w:rPr>
          <w:rFonts w:cs="Times New Roman"/>
          <w:szCs w:val="24"/>
          <w:lang w:eastAsia="lt-LT"/>
        </w:rPr>
        <w:t>667 T, suteikta 2</w:t>
      </w:r>
      <w:r w:rsidR="00974948" w:rsidRPr="00B44B19">
        <w:rPr>
          <w:rFonts w:cs="Times New Roman"/>
          <w:szCs w:val="24"/>
          <w:lang w:eastAsia="lt-LT"/>
        </w:rPr>
        <w:t> </w:t>
      </w:r>
      <w:r w:rsidRPr="00B44B19">
        <w:rPr>
          <w:rFonts w:cs="Times New Roman"/>
          <w:szCs w:val="24"/>
          <w:lang w:eastAsia="lt-LT"/>
        </w:rPr>
        <w:t>659 paskolų</w:t>
      </w:r>
      <w:r w:rsidR="00FE5B86" w:rsidRPr="00B44B19">
        <w:rPr>
          <w:rFonts w:cs="Times New Roman"/>
          <w:szCs w:val="24"/>
          <w:lang w:eastAsia="lt-LT"/>
        </w:rPr>
        <w:t xml:space="preserve"> arba </w:t>
      </w:r>
      <w:r w:rsidRPr="00B44B19">
        <w:rPr>
          <w:rFonts w:cs="Times New Roman"/>
          <w:szCs w:val="24"/>
          <w:lang w:eastAsia="lt-LT"/>
        </w:rPr>
        <w:t>garantijų SVV, atlikta 116 investicijų į rizikos kapitalą.</w:t>
      </w:r>
      <w:r w:rsidRPr="00B44B19">
        <w:rPr>
          <w:rFonts w:cs="Times New Roman"/>
          <w:szCs w:val="24"/>
        </w:rPr>
        <w:t xml:space="preserve"> 2021–2027 m. numatoma finansines priemones pradėti taikyti ir CŠVT sektoriaus efektyvinimui bei didesniam AEI naudojimui CŠVT sektoriuje.</w:t>
      </w:r>
    </w:p>
    <w:p w14:paraId="777BAB02" w14:textId="77777777" w:rsidR="00C43D5D" w:rsidRPr="00B44B19" w:rsidRDefault="002B2A4E" w:rsidP="00F8763F">
      <w:pPr>
        <w:spacing w:before="60" w:after="60" w:line="240" w:lineRule="auto"/>
        <w:jc w:val="both"/>
        <w:rPr>
          <w:rFonts w:eastAsia="Times New Roman" w:cs="Times New Roman"/>
          <w:b/>
        </w:rPr>
      </w:pPr>
      <w:r w:rsidRPr="00B44B19">
        <w:rPr>
          <w:rFonts w:eastAsia="Times New Roman" w:cs="Times New Roman"/>
          <w:bCs/>
          <w:szCs w:val="24"/>
        </w:rPr>
        <w:t>Numatoma</w:t>
      </w:r>
      <w:r w:rsidR="00FE5B86" w:rsidRPr="00B44B19">
        <w:rPr>
          <w:rFonts w:eastAsia="Times New Roman" w:cs="Times New Roman"/>
          <w:bCs/>
          <w:szCs w:val="24"/>
        </w:rPr>
        <w:t xml:space="preserve"> skatin</w:t>
      </w:r>
      <w:r w:rsidRPr="00B44B19">
        <w:rPr>
          <w:rFonts w:eastAsia="Times New Roman" w:cs="Times New Roman"/>
          <w:bCs/>
          <w:szCs w:val="24"/>
        </w:rPr>
        <w:t>ti</w:t>
      </w:r>
      <w:r w:rsidR="00FE5B86" w:rsidRPr="00B44B19">
        <w:rPr>
          <w:rFonts w:eastAsia="Times New Roman" w:cs="Times New Roman"/>
          <w:bCs/>
          <w:szCs w:val="24"/>
        </w:rPr>
        <w:t xml:space="preserve"> strateginį viešųjų pirkimų vykdymą </w:t>
      </w:r>
      <w:r w:rsidR="00D76F61" w:rsidRPr="00B44B19">
        <w:rPr>
          <w:rFonts w:eastAsia="Times New Roman" w:cs="Times New Roman"/>
          <w:bCs/>
          <w:szCs w:val="24"/>
        </w:rPr>
        <w:t>Sanglaudos</w:t>
      </w:r>
      <w:r w:rsidR="00FE5B86" w:rsidRPr="00B44B19">
        <w:rPr>
          <w:rFonts w:eastAsia="Times New Roman" w:cs="Times New Roman"/>
          <w:bCs/>
          <w:szCs w:val="24"/>
        </w:rPr>
        <w:t xml:space="preserve"> politikos tikslams įgyvendinti. Finansavimo gavėjai bus skatinami taikyti daugiau su kokybe ir gyvavimo ciklu susijusių išlaidų kriterijų. Kur įmanoma, aplinkosaugos ir socialiniai aspektai, taip pat naujovių skatinimo priemonės turėtų būti įtraukti į viešųjų pirkimų procedūras.</w:t>
      </w:r>
    </w:p>
    <w:p w14:paraId="5E5C53F3" w14:textId="77777777" w:rsidR="00C43D5D" w:rsidRPr="00B44B19" w:rsidRDefault="00C43D5D" w:rsidP="00F8763F">
      <w:pPr>
        <w:tabs>
          <w:tab w:val="center" w:pos="4819"/>
          <w:tab w:val="right" w:pos="9638"/>
        </w:tabs>
        <w:spacing w:before="60" w:after="60" w:line="240" w:lineRule="auto"/>
        <w:rPr>
          <w:rFonts w:eastAsia="Times New Roman" w:cs="Times New Roman"/>
          <w:b/>
          <w:i/>
          <w:color w:val="1F497D" w:themeColor="text2"/>
        </w:rPr>
      </w:pPr>
      <w:r w:rsidRPr="00B44B19">
        <w:rPr>
          <w:rFonts w:eastAsia="Times New Roman" w:cs="Times New Roman"/>
          <w:b/>
          <w:i/>
          <w:color w:val="1F497D" w:themeColor="text2"/>
        </w:rPr>
        <w:t>Administraciniai gebėjimai ir supaprastinimai</w:t>
      </w:r>
    </w:p>
    <w:p w14:paraId="170D8498" w14:textId="77777777" w:rsidR="00C43D5D" w:rsidRPr="00B44B19" w:rsidRDefault="00C43D5D" w:rsidP="00F8763F">
      <w:pPr>
        <w:autoSpaceDE w:val="0"/>
        <w:autoSpaceDN w:val="0"/>
        <w:adjustRightInd w:val="0"/>
        <w:spacing w:before="60" w:after="60" w:line="240" w:lineRule="auto"/>
        <w:jc w:val="both"/>
        <w:rPr>
          <w:rFonts w:eastAsia="Times New Roman" w:cs="Times New Roman"/>
          <w:color w:val="000000"/>
          <w:szCs w:val="24"/>
        </w:rPr>
      </w:pPr>
      <w:r w:rsidRPr="00B44B19">
        <w:rPr>
          <w:rFonts w:eastAsia="Times New Roman" w:cs="Times New Roman"/>
          <w:color w:val="000000"/>
          <w:szCs w:val="24"/>
        </w:rPr>
        <w:t>Administracinių gebėjimų srityje pagrindiniai iššūkiai 2021–2027 m. kokybiškų ir į pokyčius orientuotų intervencijų stiprinimas, naujų</w:t>
      </w:r>
      <w:r w:rsidR="00D76F61" w:rsidRPr="00B44B19">
        <w:rPr>
          <w:rFonts w:eastAsia="Times New Roman" w:cs="Times New Roman"/>
          <w:color w:val="000000"/>
          <w:szCs w:val="24"/>
        </w:rPr>
        <w:t xml:space="preserve"> VKS </w:t>
      </w:r>
      <w:r w:rsidRPr="00B44B19">
        <w:rPr>
          <w:rFonts w:eastAsia="Times New Roman" w:cs="Times New Roman"/>
          <w:color w:val="000000"/>
          <w:szCs w:val="24"/>
        </w:rPr>
        <w:t>dalyvių savalaikis įtraukimas ir jiems reikalingų gebėjimų užtikrinimas, turimų kompetencijų išlaikymas, naujų pritraukimas, administracinės naštos mažinimas.</w:t>
      </w:r>
    </w:p>
    <w:p w14:paraId="7CA48399" w14:textId="77777777" w:rsidR="00603716" w:rsidRPr="00B44B19" w:rsidRDefault="00FE5B86" w:rsidP="00F8763F">
      <w:pPr>
        <w:autoSpaceDE w:val="0"/>
        <w:autoSpaceDN w:val="0"/>
        <w:adjustRightInd w:val="0"/>
        <w:spacing w:before="60" w:after="60" w:line="240" w:lineRule="auto"/>
        <w:jc w:val="both"/>
        <w:rPr>
          <w:rFonts w:eastAsia="Times New Roman" w:cs="Times New Roman"/>
          <w:color w:val="000000"/>
          <w:szCs w:val="24"/>
        </w:rPr>
      </w:pPr>
      <w:r w:rsidRPr="00B44B19">
        <w:rPr>
          <w:rFonts w:eastAsia="Times New Roman" w:cs="Times New Roman"/>
          <w:color w:val="000000"/>
          <w:szCs w:val="24"/>
        </w:rPr>
        <w:t xml:space="preserve">Siekiant skatinti suinteresuotų šalių įsitraukimą įvairiais Programos rengimo ir įgyvendinimo etapais </w:t>
      </w:r>
      <w:r w:rsidRPr="00B44B19">
        <w:rPr>
          <w:rFonts w:eastAsia="Times New Roman" w:cs="Times New Roman"/>
          <w:b/>
          <w:bCs/>
          <w:color w:val="000000"/>
          <w:szCs w:val="24"/>
        </w:rPr>
        <w:t>partneriai bus aktyviau įtraukiami į planavimo ir stebėsenos procesą</w:t>
      </w:r>
      <w:r w:rsidRPr="00B44B19">
        <w:rPr>
          <w:rFonts w:eastAsia="Times New Roman" w:cs="Times New Roman"/>
          <w:color w:val="000000"/>
          <w:szCs w:val="24"/>
        </w:rPr>
        <w:t xml:space="preserve"> tiek nustatant problemas, tiek ieškant sprendimų ir kuriant priemones joms spręst</w:t>
      </w:r>
      <w:r w:rsidR="0074012F" w:rsidRPr="00B44B19">
        <w:rPr>
          <w:rFonts w:eastAsia="Times New Roman" w:cs="Times New Roman"/>
          <w:color w:val="000000"/>
          <w:szCs w:val="24"/>
        </w:rPr>
        <w:t>i.</w:t>
      </w:r>
    </w:p>
    <w:p w14:paraId="4E597041" w14:textId="77777777" w:rsidR="00FE5B86" w:rsidRPr="00B44B19" w:rsidRDefault="0074012F" w:rsidP="00F8763F">
      <w:pPr>
        <w:autoSpaceDE w:val="0"/>
        <w:autoSpaceDN w:val="0"/>
        <w:adjustRightInd w:val="0"/>
        <w:spacing w:before="60" w:after="60" w:line="240" w:lineRule="auto"/>
        <w:jc w:val="both"/>
        <w:rPr>
          <w:rFonts w:eastAsia="Times New Roman" w:cs="Times New Roman"/>
          <w:color w:val="000000"/>
          <w:szCs w:val="24"/>
        </w:rPr>
      </w:pPr>
      <w:r w:rsidRPr="00B44B19">
        <w:rPr>
          <w:rFonts w:eastAsia="Times New Roman" w:cs="Times New Roman"/>
          <w:color w:val="000000"/>
          <w:szCs w:val="24"/>
        </w:rPr>
        <w:t xml:space="preserve">Pagal </w:t>
      </w:r>
      <w:r w:rsidR="00FE5B86" w:rsidRPr="00B44B19">
        <w:rPr>
          <w:rFonts w:eastAsia="Times New Roman" w:cs="Times New Roman"/>
          <w:color w:val="000000"/>
          <w:szCs w:val="24"/>
        </w:rPr>
        <w:t>administracinių gebėjimų stiprinimo ir žmogiškųjų išteklių valdymo žemėlapyje nusta</w:t>
      </w:r>
      <w:r w:rsidRPr="00B44B19">
        <w:rPr>
          <w:rFonts w:eastAsia="Times New Roman" w:cs="Times New Roman"/>
          <w:color w:val="000000"/>
          <w:szCs w:val="24"/>
        </w:rPr>
        <w:t>tytas</w:t>
      </w:r>
      <w:r w:rsidR="00FE5B86" w:rsidRPr="00B44B19">
        <w:rPr>
          <w:rFonts w:eastAsia="Times New Roman" w:cs="Times New Roman"/>
          <w:color w:val="000000"/>
          <w:szCs w:val="24"/>
        </w:rPr>
        <w:t xml:space="preserve"> tobulintinas sritis, parengtas </w:t>
      </w:r>
      <w:r w:rsidRPr="00B44B19">
        <w:rPr>
          <w:rFonts w:eastAsia="Times New Roman" w:cs="Times New Roman"/>
          <w:color w:val="000000"/>
          <w:szCs w:val="24"/>
        </w:rPr>
        <w:t>priemonių</w:t>
      </w:r>
      <w:r w:rsidR="00FE5B86" w:rsidRPr="00B44B19">
        <w:rPr>
          <w:rFonts w:eastAsia="Times New Roman" w:cs="Times New Roman"/>
          <w:color w:val="000000"/>
          <w:szCs w:val="24"/>
        </w:rPr>
        <w:t xml:space="preserve"> planas ir pradėtos įgyvendinti veiklos, skirtos VKS institucijų ir kitų šalių, dalyvaujančių planuojant ir įgyvendinant investicijas, administraciniams gebėjimams stiprinti.</w:t>
      </w:r>
    </w:p>
    <w:p w14:paraId="58344833" w14:textId="77777777" w:rsidR="00FE5B86" w:rsidRPr="00B44B19" w:rsidRDefault="0074012F" w:rsidP="00F8763F">
      <w:pPr>
        <w:autoSpaceDE w:val="0"/>
        <w:autoSpaceDN w:val="0"/>
        <w:adjustRightInd w:val="0"/>
        <w:spacing w:before="60" w:after="60" w:line="240" w:lineRule="auto"/>
        <w:jc w:val="both"/>
        <w:rPr>
          <w:rFonts w:eastAsia="Times New Roman" w:cs="Times New Roman"/>
          <w:color w:val="000000"/>
          <w:szCs w:val="24"/>
        </w:rPr>
      </w:pPr>
      <w:r w:rsidRPr="00B44B19">
        <w:rPr>
          <w:rFonts w:eastAsia="Times New Roman" w:cs="Times New Roman"/>
          <w:color w:val="000000"/>
          <w:szCs w:val="24"/>
        </w:rPr>
        <w:t>D</w:t>
      </w:r>
      <w:r w:rsidR="00FE5B86" w:rsidRPr="00B44B19">
        <w:rPr>
          <w:rFonts w:eastAsia="Times New Roman" w:cs="Times New Roman"/>
          <w:color w:val="000000"/>
          <w:szCs w:val="24"/>
        </w:rPr>
        <w:t xml:space="preserve">aug dėmesio bus skirta </w:t>
      </w:r>
      <w:r w:rsidR="00FE5B86" w:rsidRPr="00B44B19">
        <w:rPr>
          <w:rFonts w:eastAsia="Times New Roman" w:cs="Times New Roman"/>
          <w:b/>
          <w:bCs/>
          <w:color w:val="000000"/>
          <w:szCs w:val="24"/>
        </w:rPr>
        <w:t>žmogiškųjų išteklių ir organizacijų valdymo tobulinimui</w:t>
      </w:r>
      <w:r w:rsidR="00FE5B86" w:rsidRPr="00B44B19">
        <w:rPr>
          <w:rFonts w:eastAsia="Times New Roman" w:cs="Times New Roman"/>
          <w:color w:val="000000"/>
          <w:szCs w:val="24"/>
        </w:rPr>
        <w:t xml:space="preserve">, </w:t>
      </w:r>
      <w:r w:rsidR="00FE5B86" w:rsidRPr="00B44B19">
        <w:rPr>
          <w:rFonts w:eastAsia="Times New Roman" w:cs="Times New Roman"/>
          <w:b/>
          <w:bCs/>
          <w:color w:val="000000"/>
          <w:szCs w:val="24"/>
        </w:rPr>
        <w:t>vadovų lyderystės</w:t>
      </w:r>
      <w:r w:rsidR="00FE5B86" w:rsidRPr="00B44B19">
        <w:rPr>
          <w:rFonts w:eastAsia="Times New Roman" w:cs="Times New Roman"/>
          <w:color w:val="000000"/>
          <w:szCs w:val="24"/>
        </w:rPr>
        <w:t xml:space="preserve"> stiprinimui, </w:t>
      </w:r>
      <w:r w:rsidR="00FE5B86" w:rsidRPr="00B44B19">
        <w:rPr>
          <w:rFonts w:eastAsia="Times New Roman" w:cs="Times New Roman"/>
          <w:b/>
          <w:bCs/>
          <w:color w:val="000000"/>
          <w:szCs w:val="24"/>
        </w:rPr>
        <w:t>planavimo ir analitinių</w:t>
      </w:r>
      <w:r w:rsidR="00FE5B86" w:rsidRPr="00B44B19">
        <w:rPr>
          <w:rFonts w:eastAsia="Times New Roman" w:cs="Times New Roman"/>
          <w:color w:val="000000"/>
          <w:szCs w:val="24"/>
        </w:rPr>
        <w:t xml:space="preserve"> kompetencijų tobulinimui, mokymosi galimybių gerinimui, metodikų kūrimui, priemonių, padedančių pritraukti ir išlaikyti talentus, paieškai.  </w:t>
      </w:r>
    </w:p>
    <w:p w14:paraId="68C2BD84" w14:textId="77777777" w:rsidR="00FE5B86" w:rsidRPr="00B44B19" w:rsidRDefault="002817CC" w:rsidP="00F8763F">
      <w:pPr>
        <w:autoSpaceDE w:val="0"/>
        <w:autoSpaceDN w:val="0"/>
        <w:adjustRightInd w:val="0"/>
        <w:spacing w:before="60" w:after="60" w:line="240" w:lineRule="auto"/>
        <w:jc w:val="both"/>
        <w:rPr>
          <w:rFonts w:eastAsia="Times New Roman" w:cs="Times New Roman"/>
          <w:color w:val="000000"/>
          <w:szCs w:val="24"/>
        </w:rPr>
      </w:pPr>
      <w:r w:rsidRPr="00B44B19">
        <w:rPr>
          <w:rFonts w:eastAsia="Times New Roman" w:cs="Times New Roman"/>
          <w:color w:val="000000"/>
          <w:szCs w:val="24"/>
        </w:rPr>
        <w:t>RPT</w:t>
      </w:r>
      <w:r w:rsidR="00FE5B86" w:rsidRPr="00B44B19">
        <w:rPr>
          <w:rFonts w:eastAsia="Times New Roman" w:cs="Times New Roman"/>
          <w:color w:val="000000"/>
          <w:szCs w:val="24"/>
        </w:rPr>
        <w:t xml:space="preserve"> bus būtina stiprinti bazinius gebėjimus (žmogiškųjų išteklių ir finansų valdymo, strateginio planavimo) ir gebėjimus, naujiems procesams ir priemonėms pagal pasikeitusią strateginio valdymo sistemą kokybiškai įgyvendinti</w:t>
      </w:r>
      <w:r w:rsidR="0008790D" w:rsidRPr="00B44B19">
        <w:rPr>
          <w:rFonts w:eastAsia="Times New Roman" w:cs="Times New Roman"/>
          <w:color w:val="000000"/>
          <w:szCs w:val="24"/>
        </w:rPr>
        <w:t>.</w:t>
      </w:r>
      <w:r w:rsidR="0008790D" w:rsidRPr="00B44B19">
        <w:rPr>
          <w:rFonts w:cs="Times New Roman"/>
        </w:rPr>
        <w:t xml:space="preserve"> </w:t>
      </w:r>
      <w:r w:rsidR="0008790D" w:rsidRPr="00B44B19">
        <w:rPr>
          <w:rFonts w:eastAsia="Times New Roman" w:cs="Times New Roman"/>
          <w:color w:val="000000"/>
          <w:szCs w:val="24"/>
        </w:rPr>
        <w:t xml:space="preserve">Apskričių centrų </w:t>
      </w:r>
      <w:r w:rsidR="00746AA9" w:rsidRPr="00B44B19">
        <w:rPr>
          <w:rFonts w:eastAsia="Times New Roman" w:cs="Times New Roman"/>
          <w:color w:val="000000"/>
          <w:szCs w:val="24"/>
        </w:rPr>
        <w:t xml:space="preserve">ir kitų savivaldybių gebėjimų, susijusių su darnios miestų plėtros, </w:t>
      </w:r>
      <w:r w:rsidR="004C2FDD" w:rsidRPr="00B44B19">
        <w:rPr>
          <w:rFonts w:eastAsia="Times New Roman" w:cs="Times New Roman"/>
          <w:color w:val="000000"/>
          <w:szCs w:val="24"/>
        </w:rPr>
        <w:t>FZ</w:t>
      </w:r>
      <w:r w:rsidR="00746AA9" w:rsidRPr="00B44B19">
        <w:rPr>
          <w:rFonts w:eastAsia="Times New Roman" w:cs="Times New Roman"/>
          <w:color w:val="000000"/>
          <w:szCs w:val="24"/>
        </w:rPr>
        <w:t xml:space="preserve"> strategijų rengimu, veikla pradėta 2021 m. IV ketv. ir tęsis iki 2023 m. III ketv., o su šių strategijų įgyvendinimu </w:t>
      </w:r>
      <w:r w:rsidR="005952BB" w:rsidRPr="00B44B19">
        <w:rPr>
          <w:rFonts w:eastAsia="Times New Roman" w:cs="Times New Roman"/>
          <w:color w:val="000000"/>
          <w:szCs w:val="24"/>
        </w:rPr>
        <w:t>–</w:t>
      </w:r>
      <w:r w:rsidR="00746AA9" w:rsidRPr="00B44B19">
        <w:rPr>
          <w:rFonts w:eastAsia="Times New Roman" w:cs="Times New Roman"/>
          <w:color w:val="000000"/>
          <w:szCs w:val="24"/>
        </w:rPr>
        <w:t xml:space="preserve"> bus vykdoma visą Programos įgyvendinimo laikotarpį.</w:t>
      </w:r>
      <w:r w:rsidR="00FE5B86" w:rsidRPr="00B44B19">
        <w:rPr>
          <w:rFonts w:eastAsia="Times New Roman" w:cs="Times New Roman"/>
          <w:color w:val="000000"/>
          <w:szCs w:val="24"/>
        </w:rPr>
        <w:t xml:space="preserve"> Projektų vykdytojams bus reikalingos kompetencijos ir specifiniai gebėjimai įgyvendinant naujas veiklas (pvz., poveikio aplinkai vertinimo, bendruomenės įtraukimo, kt.).</w:t>
      </w:r>
    </w:p>
    <w:p w14:paraId="11ED6DDD" w14:textId="77777777" w:rsidR="00FE5B86" w:rsidRPr="00B44B19" w:rsidRDefault="00FE5B86" w:rsidP="00F8763F">
      <w:pPr>
        <w:spacing w:before="60" w:after="60" w:line="240" w:lineRule="auto"/>
        <w:jc w:val="both"/>
        <w:rPr>
          <w:rFonts w:eastAsia="Times New Roman" w:cs="Times New Roman"/>
          <w:color w:val="000000"/>
          <w:szCs w:val="24"/>
        </w:rPr>
      </w:pPr>
      <w:r w:rsidRPr="00B44B19">
        <w:rPr>
          <w:rFonts w:eastAsia="Times New Roman" w:cs="Times New Roman"/>
          <w:bCs/>
          <w:color w:val="000000"/>
          <w:szCs w:val="24"/>
        </w:rPr>
        <w:t>Siekiant efektyviau organizuoti viešuosius pirkimus ir užtikrinti didesnę konkurenciją</w:t>
      </w:r>
      <w:r w:rsidRPr="00B44B19">
        <w:rPr>
          <w:rFonts w:eastAsia="Times New Roman" w:cs="Times New Roman"/>
          <w:color w:val="000000"/>
          <w:szCs w:val="24"/>
        </w:rPr>
        <w:t>, įgyvendinamas Viešųjų pirkimų profesionalumo stiprinimo planas.</w:t>
      </w:r>
    </w:p>
    <w:p w14:paraId="5C9C62E4" w14:textId="77777777" w:rsidR="0074012F" w:rsidRPr="00B44B19" w:rsidRDefault="0074012F" w:rsidP="00F8763F">
      <w:pPr>
        <w:spacing w:before="60" w:after="60" w:line="240" w:lineRule="auto"/>
        <w:jc w:val="both"/>
        <w:rPr>
          <w:rFonts w:cs="Times New Roman"/>
          <w:szCs w:val="24"/>
        </w:rPr>
      </w:pPr>
      <w:r w:rsidRPr="00B44B19">
        <w:rPr>
          <w:rFonts w:cs="Times New Roman"/>
          <w:color w:val="202124"/>
          <w:szCs w:val="24"/>
          <w:shd w:val="clear" w:color="auto" w:fill="FFFFFF"/>
        </w:rPr>
        <w:t>Kuriant 2021–2027 m. ES fondų administravimo sistemą</w:t>
      </w:r>
      <w:r w:rsidR="00696863" w:rsidRPr="00B44B19">
        <w:rPr>
          <w:rFonts w:cs="Times New Roman"/>
          <w:color w:val="202124"/>
          <w:szCs w:val="24"/>
          <w:shd w:val="clear" w:color="auto" w:fill="FFFFFF"/>
        </w:rPr>
        <w:t xml:space="preserve"> supaprastinta VKS institucinė sistema, sumažin</w:t>
      </w:r>
      <w:r w:rsidR="002B2A4E" w:rsidRPr="00B44B19">
        <w:rPr>
          <w:rFonts w:cs="Times New Roman"/>
          <w:color w:val="202124"/>
          <w:szCs w:val="24"/>
          <w:shd w:val="clear" w:color="auto" w:fill="FFFFFF"/>
        </w:rPr>
        <w:t xml:space="preserve">tas </w:t>
      </w:r>
      <w:r w:rsidR="00696863" w:rsidRPr="00B44B19">
        <w:rPr>
          <w:rFonts w:cs="Times New Roman"/>
          <w:color w:val="202124"/>
          <w:szCs w:val="24"/>
          <w:shd w:val="clear" w:color="auto" w:fill="FFFFFF"/>
        </w:rPr>
        <w:t>VKS institucijų skaič</w:t>
      </w:r>
      <w:r w:rsidR="002B2A4E" w:rsidRPr="00B44B19">
        <w:rPr>
          <w:rFonts w:cs="Times New Roman"/>
          <w:color w:val="202124"/>
          <w:szCs w:val="24"/>
          <w:shd w:val="clear" w:color="auto" w:fill="FFFFFF"/>
        </w:rPr>
        <w:t>ius</w:t>
      </w:r>
      <w:r w:rsidR="00696863" w:rsidRPr="00B44B19">
        <w:rPr>
          <w:rFonts w:cs="Times New Roman"/>
          <w:color w:val="202124"/>
          <w:szCs w:val="24"/>
          <w:shd w:val="clear" w:color="auto" w:fill="FFFFFF"/>
        </w:rPr>
        <w:t>, taip užtikr</w:t>
      </w:r>
      <w:r w:rsidR="008B443B" w:rsidRPr="00B44B19">
        <w:rPr>
          <w:rFonts w:cs="Times New Roman"/>
          <w:color w:val="202124"/>
          <w:szCs w:val="24"/>
          <w:shd w:val="clear" w:color="auto" w:fill="FFFFFF"/>
        </w:rPr>
        <w:t>inant mažesnes administravimo są</w:t>
      </w:r>
      <w:r w:rsidR="00696863" w:rsidRPr="00B44B19">
        <w:rPr>
          <w:rFonts w:cs="Times New Roman"/>
          <w:color w:val="202124"/>
          <w:szCs w:val="24"/>
          <w:shd w:val="clear" w:color="auto" w:fill="FFFFFF"/>
        </w:rPr>
        <w:t>naudas bei vieningą VKS</w:t>
      </w:r>
      <w:r w:rsidR="00C5597A" w:rsidRPr="00B44B19">
        <w:rPr>
          <w:rFonts w:cs="Times New Roman"/>
          <w:color w:val="202124"/>
          <w:szCs w:val="24"/>
          <w:shd w:val="clear" w:color="auto" w:fill="FFFFFF"/>
        </w:rPr>
        <w:t xml:space="preserve"> standartą,</w:t>
      </w:r>
      <w:r w:rsidR="00696863" w:rsidRPr="00B44B19">
        <w:rPr>
          <w:rFonts w:cs="Times New Roman"/>
          <w:color w:val="202124"/>
          <w:szCs w:val="24"/>
          <w:shd w:val="clear" w:color="auto" w:fill="FFFFFF"/>
        </w:rPr>
        <w:t xml:space="preserve"> greitesnį projektų</w:t>
      </w:r>
      <w:r w:rsidR="00C5597A" w:rsidRPr="00B44B19">
        <w:rPr>
          <w:rFonts w:cs="Times New Roman"/>
          <w:color w:val="202124"/>
          <w:szCs w:val="24"/>
          <w:shd w:val="clear" w:color="auto" w:fill="FFFFFF"/>
        </w:rPr>
        <w:t xml:space="preserve"> parengimą ir</w:t>
      </w:r>
      <w:r w:rsidR="00696863" w:rsidRPr="00B44B19">
        <w:rPr>
          <w:rFonts w:cs="Times New Roman"/>
          <w:color w:val="202124"/>
          <w:szCs w:val="24"/>
          <w:shd w:val="clear" w:color="auto" w:fill="FFFFFF"/>
        </w:rPr>
        <w:t xml:space="preserve"> įgyvendinimą, taip pat</w:t>
      </w:r>
      <w:r w:rsidRPr="00B44B19">
        <w:rPr>
          <w:rFonts w:cs="Times New Roman"/>
          <w:color w:val="202124"/>
          <w:szCs w:val="24"/>
          <w:shd w:val="clear" w:color="auto" w:fill="FFFFFF"/>
        </w:rPr>
        <w:t xml:space="preserve"> orientuojamasi į paprastų procedūrų, formų nustatymą, atsisakant perteklinių reikalavimų. </w:t>
      </w:r>
      <w:r w:rsidRPr="00B44B19">
        <w:rPr>
          <w:rFonts w:cs="Times New Roman"/>
          <w:noProof/>
          <w:szCs w:val="24"/>
        </w:rPr>
        <w:t xml:space="preserve">Planuojama supaprastinti tam tikrus procesus (pvz. valstybės projektų planavimo ir atrankos, projektų sutarčių sudarymo ir keitimo), kuo daugiau </w:t>
      </w:r>
      <w:r w:rsidRPr="00B44B19">
        <w:rPr>
          <w:rFonts w:eastAsia="+mn-ea" w:cs="Times New Roman"/>
          <w:color w:val="000000"/>
          <w:kern w:val="24"/>
          <w:szCs w:val="24"/>
        </w:rPr>
        <w:t>automatizuoti</w:t>
      </w:r>
      <w:r w:rsidR="00C61692" w:rsidRPr="00B44B19">
        <w:rPr>
          <w:rFonts w:eastAsia="+mn-ea" w:cs="Times New Roman"/>
          <w:color w:val="000000"/>
          <w:kern w:val="24"/>
          <w:szCs w:val="24"/>
        </w:rPr>
        <w:t>.</w:t>
      </w:r>
      <w:r w:rsidRPr="00B44B19">
        <w:rPr>
          <w:rFonts w:eastAsia="+mn-ea" w:cs="Times New Roman"/>
          <w:color w:val="000000"/>
          <w:kern w:val="24"/>
          <w:szCs w:val="24"/>
        </w:rPr>
        <w:t xml:space="preserve"> </w:t>
      </w:r>
      <w:r w:rsidR="00C61692" w:rsidRPr="00B44B19">
        <w:rPr>
          <w:rFonts w:eastAsia="+mn-ea" w:cs="Times New Roman"/>
          <w:color w:val="000000"/>
          <w:kern w:val="24"/>
          <w:szCs w:val="24"/>
        </w:rPr>
        <w:t>S</w:t>
      </w:r>
      <w:r w:rsidRPr="00B44B19">
        <w:rPr>
          <w:rFonts w:eastAsia="+mn-ea" w:cs="Times New Roman"/>
          <w:color w:val="000000"/>
          <w:kern w:val="24"/>
          <w:szCs w:val="24"/>
        </w:rPr>
        <w:t>umažės administracinė našta in</w:t>
      </w:r>
      <w:r w:rsidR="00C61692" w:rsidRPr="00B44B19">
        <w:rPr>
          <w:rFonts w:eastAsia="+mn-ea" w:cs="Times New Roman"/>
          <w:color w:val="000000"/>
          <w:kern w:val="24"/>
          <w:szCs w:val="24"/>
        </w:rPr>
        <w:t xml:space="preserve">stitucijoms vertinant </w:t>
      </w:r>
      <w:r w:rsidRPr="00B44B19">
        <w:rPr>
          <w:rFonts w:eastAsia="+mn-ea" w:cs="Times New Roman"/>
          <w:color w:val="000000"/>
          <w:kern w:val="24"/>
          <w:szCs w:val="24"/>
        </w:rPr>
        <w:t>projektų išlaidas ar atliekant patikras vietose – tikrinimai galės būti atliekami atrankiniu būdu</w:t>
      </w:r>
      <w:r w:rsidR="008B443B" w:rsidRPr="00B44B19">
        <w:rPr>
          <w:rFonts w:eastAsia="+mn-ea" w:cs="Times New Roman"/>
          <w:color w:val="000000"/>
          <w:kern w:val="24"/>
          <w:szCs w:val="24"/>
        </w:rPr>
        <w:t>,</w:t>
      </w:r>
      <w:r w:rsidRPr="00B44B19">
        <w:rPr>
          <w:rFonts w:eastAsia="+mn-ea" w:cs="Times New Roman"/>
          <w:color w:val="000000"/>
          <w:kern w:val="24"/>
          <w:szCs w:val="24"/>
        </w:rPr>
        <w:t xml:space="preserve"> remiantis rizikų valdymu </w:t>
      </w:r>
      <w:r w:rsidRPr="00B44B19">
        <w:rPr>
          <w:rFonts w:cs="Times New Roman"/>
          <w:szCs w:val="24"/>
        </w:rPr>
        <w:t>ir kt. Planuojama plėsti sričių, kurioms bus nustatyti supaprastintai apmokamų išlaidų dydžiai, sąrašą.</w:t>
      </w:r>
    </w:p>
    <w:p w14:paraId="768ABA17" w14:textId="77777777" w:rsidR="00C43D5D" w:rsidRPr="00B44B19" w:rsidRDefault="00C43D5D" w:rsidP="00F8763F">
      <w:pPr>
        <w:tabs>
          <w:tab w:val="center" w:pos="4819"/>
          <w:tab w:val="right" w:pos="9638"/>
        </w:tabs>
        <w:spacing w:before="60" w:after="60" w:line="240" w:lineRule="auto"/>
        <w:rPr>
          <w:rFonts w:eastAsia="Times New Roman" w:cs="Times New Roman"/>
          <w:b/>
          <w:i/>
          <w:color w:val="1F497D" w:themeColor="text2"/>
        </w:rPr>
      </w:pPr>
      <w:r w:rsidRPr="00B44B19">
        <w:rPr>
          <w:rFonts w:eastAsia="Times New Roman" w:cs="Times New Roman"/>
          <w:b/>
          <w:bCs/>
          <w:i/>
          <w:color w:val="1F497D" w:themeColor="text2"/>
        </w:rPr>
        <w:t>ES Baltijos jūros regiono strategijos įgyvendinimas</w:t>
      </w:r>
    </w:p>
    <w:p w14:paraId="4311E876" w14:textId="456D6D5F" w:rsidR="0002726A" w:rsidRDefault="000E6E03" w:rsidP="00F8763F">
      <w:pPr>
        <w:pStyle w:val="Default"/>
        <w:spacing w:before="60" w:after="60"/>
        <w:jc w:val="both"/>
      </w:pPr>
      <w:r w:rsidRPr="00B44B19">
        <w:rPr>
          <w:rFonts w:eastAsia="Times New Roman"/>
          <w:bCs/>
          <w:color w:val="auto"/>
          <w:szCs w:val="22"/>
        </w:rPr>
        <w:t xml:space="preserve">Rengiant Programą įvertintos </w:t>
      </w:r>
      <w:r w:rsidR="008A39AE" w:rsidRPr="00B44B19">
        <w:rPr>
          <w:rFonts w:eastAsia="Times New Roman"/>
          <w:bCs/>
          <w:color w:val="auto"/>
          <w:szCs w:val="22"/>
        </w:rPr>
        <w:t>finansavimo sritys,</w:t>
      </w:r>
      <w:r w:rsidR="008A39AE" w:rsidRPr="00B44B19" w:rsidDel="008A39AE">
        <w:rPr>
          <w:rFonts w:eastAsia="Times New Roman"/>
          <w:bCs/>
          <w:color w:val="auto"/>
          <w:szCs w:val="22"/>
        </w:rPr>
        <w:t xml:space="preserve"> </w:t>
      </w:r>
      <w:r w:rsidR="008A39AE" w:rsidRPr="00B44B19">
        <w:rPr>
          <w:rFonts w:eastAsia="Times New Roman"/>
          <w:bCs/>
          <w:color w:val="auto"/>
          <w:szCs w:val="22"/>
        </w:rPr>
        <w:t xml:space="preserve">kurios gali prisidėti prie BJRS </w:t>
      </w:r>
      <w:r w:rsidRPr="00B44B19">
        <w:rPr>
          <w:rFonts w:eastAsia="Times New Roman"/>
          <w:bCs/>
          <w:color w:val="auto"/>
          <w:szCs w:val="22"/>
        </w:rPr>
        <w:t xml:space="preserve">ir </w:t>
      </w:r>
      <w:r w:rsidR="008A39AE" w:rsidRPr="00B44B19">
        <w:rPr>
          <w:rFonts w:eastAsia="Times New Roman"/>
          <w:bCs/>
          <w:color w:val="auto"/>
          <w:szCs w:val="22"/>
        </w:rPr>
        <w:t xml:space="preserve">2021 m. </w:t>
      </w:r>
      <w:r w:rsidRPr="00B44B19">
        <w:rPr>
          <w:rFonts w:eastAsia="Times New Roman"/>
          <w:bCs/>
          <w:color w:val="auto"/>
          <w:szCs w:val="22"/>
        </w:rPr>
        <w:t>atnaujint</w:t>
      </w:r>
      <w:r w:rsidR="008A39AE" w:rsidRPr="00B44B19">
        <w:rPr>
          <w:rFonts w:eastAsia="Times New Roman"/>
          <w:bCs/>
          <w:color w:val="auto"/>
          <w:szCs w:val="22"/>
        </w:rPr>
        <w:t>o</w:t>
      </w:r>
      <w:r w:rsidRPr="00B44B19">
        <w:rPr>
          <w:rFonts w:eastAsia="Times New Roman"/>
          <w:bCs/>
          <w:color w:val="auto"/>
          <w:szCs w:val="22"/>
        </w:rPr>
        <w:t xml:space="preserve"> veiksmų </w:t>
      </w:r>
      <w:r w:rsidR="008A39AE" w:rsidRPr="00B44B19">
        <w:rPr>
          <w:rFonts w:eastAsia="Times New Roman"/>
          <w:bCs/>
          <w:color w:val="auto"/>
          <w:szCs w:val="22"/>
        </w:rPr>
        <w:t>plano.</w:t>
      </w:r>
      <w:r w:rsidRPr="00B44B19">
        <w:rPr>
          <w:rFonts w:eastAsia="Times New Roman"/>
          <w:bCs/>
          <w:color w:val="auto"/>
          <w:szCs w:val="22"/>
        </w:rPr>
        <w:t xml:space="preserve"> </w:t>
      </w:r>
      <w:r w:rsidR="008A39AE" w:rsidRPr="00B44B19">
        <w:t>INVESTIS apim</w:t>
      </w:r>
      <w:r w:rsidR="00DD74DA" w:rsidRPr="00B44B19">
        <w:t>a</w:t>
      </w:r>
      <w:r w:rsidR="008A39AE" w:rsidRPr="00B44B19">
        <w:t xml:space="preserve"> projektų, prisidedančių prie BJRS tikslų įgyvendinimo, stebėseną. </w:t>
      </w:r>
      <w:r w:rsidRPr="00B44B19">
        <w:rPr>
          <w:rFonts w:eastAsia="Times New Roman"/>
          <w:bCs/>
          <w:color w:val="auto"/>
          <w:szCs w:val="22"/>
        </w:rPr>
        <w:t xml:space="preserve">Lietuva mato didelį potencialą stiprinti MTI pajėgumus ir pažangiųjų technologijų naudojimą, </w:t>
      </w:r>
      <w:r w:rsidRPr="00B44B19">
        <w:rPr>
          <w:rFonts w:eastAsia="Times New Roman"/>
          <w:bCs/>
          <w:color w:val="auto"/>
          <w:szCs w:val="22"/>
        </w:rPr>
        <w:lastRenderedPageBreak/>
        <w:t xml:space="preserve">bendradarbiaudama su kitomis šalimis ir vadovaudamasi BJRS politine kryptimi „Inovacijos“, Kita svarbi bendradarbiavimo sritis </w:t>
      </w:r>
      <w:r w:rsidR="00A46658" w:rsidRPr="00B44B19">
        <w:rPr>
          <w:rFonts w:eastAsia="Times New Roman"/>
          <w:bCs/>
          <w:color w:val="auto"/>
          <w:szCs w:val="22"/>
        </w:rPr>
        <w:t xml:space="preserve">– </w:t>
      </w:r>
      <w:r w:rsidRPr="00B44B19">
        <w:rPr>
          <w:rFonts w:eastAsia="Times New Roman"/>
          <w:bCs/>
          <w:color w:val="auto"/>
          <w:szCs w:val="22"/>
        </w:rPr>
        <w:t>prisitaikymas prie klimato kaitos ir rizikos prevencija.</w:t>
      </w:r>
      <w:r w:rsidR="008A39AE" w:rsidRPr="00B44B19">
        <w:t xml:space="preserve"> </w:t>
      </w:r>
    </w:p>
    <w:p w14:paraId="19F1D1DA" w14:textId="77777777" w:rsidR="000D24D5" w:rsidRPr="00B44B19" w:rsidRDefault="000D24D5" w:rsidP="00F8763F">
      <w:pPr>
        <w:pStyle w:val="Default"/>
        <w:spacing w:before="60" w:after="60"/>
        <w:jc w:val="both"/>
        <w:rPr>
          <w:bCs/>
        </w:rPr>
      </w:pPr>
    </w:p>
    <w:p w14:paraId="210FC41F" w14:textId="77777777" w:rsidR="00A856F4" w:rsidRPr="00B44B19" w:rsidRDefault="0002726A" w:rsidP="00C020ED">
      <w:pPr>
        <w:spacing w:after="0"/>
        <w:jc w:val="right"/>
        <w:rPr>
          <w:rFonts w:cs="Times New Roman"/>
          <w:b/>
          <w:iCs/>
          <w:szCs w:val="24"/>
          <w:lang w:bidi="lt-LT"/>
        </w:rPr>
      </w:pPr>
      <w:r w:rsidRPr="00B44B19">
        <w:rPr>
          <w:rFonts w:cs="Times New Roman"/>
          <w:b/>
          <w:iCs/>
          <w:szCs w:val="24"/>
          <w:lang w:bidi="lt-LT"/>
        </w:rPr>
        <w:t>1 lentelė</w:t>
      </w:r>
    </w:p>
    <w:tbl>
      <w:tblPr>
        <w:tblStyle w:val="Lentelstinklelis"/>
        <w:tblW w:w="5000" w:type="pct"/>
        <w:tblLayout w:type="fixed"/>
        <w:tblLook w:val="04A0" w:firstRow="1" w:lastRow="0" w:firstColumn="1" w:lastColumn="0" w:noHBand="0" w:noVBand="1"/>
      </w:tblPr>
      <w:tblGrid>
        <w:gridCol w:w="2599"/>
        <w:gridCol w:w="2078"/>
        <w:gridCol w:w="4951"/>
      </w:tblGrid>
      <w:tr w:rsidR="009952B9" w:rsidRPr="00B44B19" w14:paraId="0ACC0F5A" w14:textId="77777777" w:rsidTr="00527264">
        <w:trPr>
          <w:tblHeader/>
        </w:trPr>
        <w:tc>
          <w:tcPr>
            <w:tcW w:w="1350" w:type="pct"/>
            <w:vAlign w:val="center"/>
          </w:tcPr>
          <w:p w14:paraId="74E39726" w14:textId="6C4B6673" w:rsidR="009952B9" w:rsidRPr="00B44B19" w:rsidRDefault="009952B9" w:rsidP="00527264">
            <w:pPr>
              <w:jc w:val="center"/>
              <w:rPr>
                <w:rFonts w:cs="Times New Roman"/>
                <w:b/>
                <w:bCs/>
                <w:iCs/>
                <w:sz w:val="22"/>
                <w:lang w:bidi="lt-LT"/>
              </w:rPr>
            </w:pPr>
            <w:r w:rsidRPr="00B44B19">
              <w:rPr>
                <w:rFonts w:cs="Times New Roman"/>
                <w:b/>
                <w:bCs/>
                <w:sz w:val="22"/>
                <w:lang w:bidi="lt-LT"/>
              </w:rPr>
              <w:t>Politikos tikslas</w:t>
            </w:r>
            <w:r w:rsidR="00690324" w:rsidRPr="00B44B19">
              <w:rPr>
                <w:rFonts w:cs="Times New Roman"/>
                <w:b/>
                <w:bCs/>
                <w:sz w:val="22"/>
                <w:lang w:bidi="lt-LT"/>
              </w:rPr>
              <w:t xml:space="preserve"> arba konkretus TPF tikslas</w:t>
            </w:r>
          </w:p>
        </w:tc>
        <w:tc>
          <w:tcPr>
            <w:tcW w:w="1079" w:type="pct"/>
            <w:vAlign w:val="center"/>
          </w:tcPr>
          <w:p w14:paraId="5A2A8E5B" w14:textId="77777777" w:rsidR="009952B9" w:rsidRPr="00B44B19" w:rsidRDefault="009952B9" w:rsidP="00527264">
            <w:pPr>
              <w:jc w:val="center"/>
              <w:rPr>
                <w:rFonts w:cs="Times New Roman"/>
                <w:b/>
                <w:bCs/>
                <w:iCs/>
                <w:sz w:val="22"/>
                <w:lang w:bidi="lt-LT"/>
              </w:rPr>
            </w:pPr>
            <w:r w:rsidRPr="00B44B19">
              <w:rPr>
                <w:rFonts w:cs="Times New Roman"/>
                <w:b/>
                <w:bCs/>
                <w:sz w:val="22"/>
                <w:lang w:bidi="lt-LT"/>
              </w:rPr>
              <w:t>Konkretus uždavinys</w:t>
            </w:r>
            <w:r w:rsidR="002E3EDE" w:rsidRPr="00B44B19">
              <w:rPr>
                <w:rFonts w:cs="Times New Roman"/>
                <w:b/>
                <w:bCs/>
                <w:sz w:val="22"/>
                <w:lang w:bidi="lt-LT"/>
              </w:rPr>
              <w:t xml:space="preserve"> arba specialus prioritetas</w:t>
            </w:r>
          </w:p>
        </w:tc>
        <w:tc>
          <w:tcPr>
            <w:tcW w:w="2571" w:type="pct"/>
            <w:vAlign w:val="center"/>
          </w:tcPr>
          <w:p w14:paraId="2DA41526" w14:textId="77777777" w:rsidR="009952B9" w:rsidRPr="00B44B19" w:rsidRDefault="00A856F4" w:rsidP="00527264">
            <w:pPr>
              <w:ind w:firstLine="567"/>
              <w:jc w:val="center"/>
              <w:rPr>
                <w:rFonts w:cs="Times New Roman"/>
                <w:b/>
                <w:bCs/>
                <w:iCs/>
                <w:sz w:val="22"/>
                <w:lang w:bidi="lt-LT"/>
              </w:rPr>
            </w:pPr>
            <w:r w:rsidRPr="00B44B19">
              <w:rPr>
                <w:rFonts w:cs="Times New Roman"/>
                <w:b/>
                <w:bCs/>
                <w:iCs/>
                <w:sz w:val="22"/>
                <w:lang w:bidi="lt-LT"/>
              </w:rPr>
              <w:t>Pagrindimas (santrauka)</w:t>
            </w:r>
          </w:p>
        </w:tc>
      </w:tr>
      <w:tr w:rsidR="00756732" w:rsidRPr="00B44B19" w14:paraId="489DD4FC" w14:textId="77777777" w:rsidTr="00EB70C3">
        <w:tc>
          <w:tcPr>
            <w:tcW w:w="1350" w:type="pct"/>
            <w:vMerge w:val="restart"/>
          </w:tcPr>
          <w:p w14:paraId="51759A2E" w14:textId="77777777" w:rsidR="00756732" w:rsidRPr="00B44B19" w:rsidRDefault="00756732" w:rsidP="00BF18E1">
            <w:pPr>
              <w:pStyle w:val="Sraopastraipa"/>
              <w:ind w:left="0" w:right="35"/>
              <w:rPr>
                <w:rFonts w:cs="Times New Roman"/>
                <w:b/>
                <w:bCs/>
                <w:iCs/>
                <w:sz w:val="22"/>
                <w:lang w:bidi="lt-LT"/>
              </w:rPr>
            </w:pPr>
            <w:r w:rsidRPr="00B44B19">
              <w:rPr>
                <w:rFonts w:cs="Times New Roman"/>
                <w:b/>
                <w:bCs/>
                <w:iCs/>
                <w:sz w:val="22"/>
                <w:lang w:bidi="lt-LT"/>
              </w:rPr>
              <w:t>1. </w:t>
            </w:r>
            <w:r w:rsidR="00BF18E1" w:rsidRPr="00B44B19">
              <w:rPr>
                <w:rFonts w:cs="Times New Roman"/>
                <w:b/>
                <w:bCs/>
                <w:iCs/>
                <w:sz w:val="22"/>
                <w:lang w:bidi="lt-LT"/>
              </w:rPr>
              <w:t>Konkurencingesnė ir p</w:t>
            </w:r>
            <w:r w:rsidRPr="00B44B19">
              <w:rPr>
                <w:rFonts w:cs="Times New Roman"/>
                <w:b/>
                <w:bCs/>
                <w:iCs/>
                <w:sz w:val="22"/>
                <w:lang w:bidi="lt-LT"/>
              </w:rPr>
              <w:t>ažangesnė Europa</w:t>
            </w:r>
          </w:p>
        </w:tc>
        <w:tc>
          <w:tcPr>
            <w:tcW w:w="1079" w:type="pct"/>
          </w:tcPr>
          <w:p w14:paraId="27A8B02D" w14:textId="77777777" w:rsidR="005C0126" w:rsidRPr="00B44B19" w:rsidRDefault="00756732" w:rsidP="00DC1476">
            <w:pPr>
              <w:rPr>
                <w:rFonts w:cs="Times New Roman"/>
                <w:bCs/>
                <w:iCs/>
                <w:sz w:val="22"/>
                <w:lang w:bidi="lt-LT"/>
              </w:rPr>
            </w:pPr>
            <w:r w:rsidRPr="00B44B19">
              <w:rPr>
                <w:rFonts w:cs="Times New Roman"/>
                <w:bCs/>
                <w:iCs/>
                <w:sz w:val="22"/>
                <w:lang w:bidi="lt-LT"/>
              </w:rPr>
              <w:t xml:space="preserve">1.1. </w:t>
            </w:r>
            <w:r w:rsidR="00DC1476" w:rsidRPr="00B44B19">
              <w:rPr>
                <w:rFonts w:cs="Times New Roman"/>
                <w:bCs/>
                <w:iCs/>
                <w:sz w:val="22"/>
                <w:lang w:bidi="lt-LT"/>
              </w:rPr>
              <w:t>Plėtoti ir s</w:t>
            </w:r>
            <w:r w:rsidRPr="00B44B19">
              <w:rPr>
                <w:rFonts w:cs="Times New Roman"/>
                <w:bCs/>
                <w:iCs/>
                <w:sz w:val="22"/>
                <w:lang w:bidi="lt-LT"/>
              </w:rPr>
              <w:t>tiprinti mokslinių tyrimų ir inovacinius pajėgumus ir diegti pažangiąsias technologijas</w:t>
            </w:r>
          </w:p>
        </w:tc>
        <w:tc>
          <w:tcPr>
            <w:tcW w:w="2571" w:type="pct"/>
          </w:tcPr>
          <w:p w14:paraId="0D7B838B" w14:textId="7EDC146C" w:rsidR="009C6543" w:rsidRPr="00B44B19" w:rsidRDefault="000E6E03" w:rsidP="009C6543">
            <w:pPr>
              <w:jc w:val="both"/>
              <w:rPr>
                <w:rFonts w:eastAsia="Times New Roman" w:cs="Times New Roman"/>
                <w:bCs/>
                <w:iCs/>
                <w:color w:val="000000" w:themeColor="text1"/>
                <w:sz w:val="22"/>
              </w:rPr>
            </w:pPr>
            <w:r w:rsidRPr="00B44B19">
              <w:rPr>
                <w:rFonts w:eastAsia="Times New Roman" w:cs="Times New Roman"/>
                <w:bCs/>
                <w:iCs/>
                <w:color w:val="000000" w:themeColor="text1"/>
                <w:sz w:val="22"/>
              </w:rPr>
              <w:t xml:space="preserve">Vykdant uždavinio veiklas tiesiogiai įgyvendinama </w:t>
            </w:r>
            <w:r w:rsidR="00AD1B33" w:rsidRPr="00B44B19">
              <w:rPr>
                <w:rFonts w:eastAsia="Times New Roman" w:cs="Times New Roman"/>
                <w:b/>
                <w:bCs/>
                <w:iCs/>
                <w:color w:val="000000" w:themeColor="text1"/>
                <w:sz w:val="22"/>
              </w:rPr>
              <w:t>S4</w:t>
            </w:r>
            <w:r w:rsidR="00AD1B33" w:rsidRPr="00B44B19">
              <w:rPr>
                <w:rFonts w:eastAsia="Times New Roman" w:cs="Times New Roman"/>
                <w:bCs/>
                <w:iCs/>
                <w:color w:val="000000" w:themeColor="text1"/>
                <w:sz w:val="22"/>
              </w:rPr>
              <w:t>,</w:t>
            </w:r>
            <w:r w:rsidRPr="00B44B19">
              <w:rPr>
                <w:rFonts w:eastAsia="Times New Roman" w:cs="Times New Roman"/>
                <w:bCs/>
                <w:iCs/>
                <w:color w:val="000000" w:themeColor="text1"/>
                <w:sz w:val="22"/>
              </w:rPr>
              <w:t xml:space="preserve"> kurioje numatyta spręsti šias problemas: </w:t>
            </w:r>
            <w:r w:rsidRPr="00B44B19">
              <w:rPr>
                <w:rFonts w:cs="Times New Roman"/>
                <w:color w:val="000000" w:themeColor="text1"/>
                <w:sz w:val="22"/>
              </w:rPr>
              <w:t>fragmentuota, verslui nepatraukli ir sudėtinga prieiga prie viešųjų MSI paslaugų ir jų infrastruktūros; didelė MTEP veiklų rizika versle ir nepakankama ją mažinančių priemonių visuma</w:t>
            </w:r>
            <w:r w:rsidRPr="00B44B19">
              <w:rPr>
                <w:rFonts w:eastAsia="Times New Roman" w:cs="Times New Roman"/>
                <w:bCs/>
                <w:iCs/>
                <w:color w:val="000000" w:themeColor="text1"/>
                <w:sz w:val="22"/>
              </w:rPr>
              <w:t>.</w:t>
            </w:r>
          </w:p>
          <w:p w14:paraId="56723320" w14:textId="5C0880FF" w:rsidR="009C6543" w:rsidRPr="00B44B19" w:rsidRDefault="00BA77C9" w:rsidP="00C93D8C">
            <w:pPr>
              <w:jc w:val="both"/>
              <w:rPr>
                <w:rFonts w:eastAsia="Times New Roman" w:cs="Times New Roman"/>
                <w:b/>
                <w:bCs/>
                <w:iCs/>
                <w:color w:val="000000" w:themeColor="text1"/>
                <w:sz w:val="22"/>
              </w:rPr>
            </w:pPr>
            <w:r w:rsidRPr="00B44B19">
              <w:rPr>
                <w:rFonts w:cs="Times New Roman"/>
                <w:color w:val="000000" w:themeColor="text1"/>
                <w:sz w:val="22"/>
              </w:rPr>
              <w:t>MVĮ mažai investuoja į inovacijas, yra nedaug APV kuriančių įmonių, mažai į MTEP investuojančių įmonių, be to, susiduriama su verslo ir mokslo bendradarbiavimo ir tarptautiškumo</w:t>
            </w:r>
            <w:r w:rsidR="00D75685" w:rsidRPr="00B44B19">
              <w:rPr>
                <w:rFonts w:cs="Times New Roman"/>
                <w:color w:val="000000" w:themeColor="text1"/>
                <w:sz w:val="22"/>
              </w:rPr>
              <w:t>,</w:t>
            </w:r>
            <w:r w:rsidR="00D75685" w:rsidRPr="00B44B19">
              <w:rPr>
                <w:rFonts w:cs="Times New Roman"/>
                <w:b/>
                <w:bCs/>
                <w:color w:val="000000" w:themeColor="text1"/>
                <w:sz w:val="22"/>
              </w:rPr>
              <w:t xml:space="preserve"> dalyvavimo bendriems Europos interesams svarbiuose projektuose (toliau – IPCEI</w:t>
            </w:r>
            <w:r w:rsidR="00D75685" w:rsidRPr="00B44B19">
              <w:rPr>
                <w:rFonts w:cs="Times New Roman"/>
                <w:color w:val="000000" w:themeColor="text1"/>
                <w:sz w:val="22"/>
              </w:rPr>
              <w:t>)</w:t>
            </w:r>
            <w:r w:rsidRPr="00B44B19">
              <w:rPr>
                <w:rFonts w:cs="Times New Roman"/>
                <w:color w:val="000000" w:themeColor="text1"/>
                <w:sz w:val="22"/>
              </w:rPr>
              <w:t xml:space="preserve"> iššūkiais, </w:t>
            </w:r>
            <w:r w:rsidR="001569EA" w:rsidRPr="00B44B19">
              <w:rPr>
                <w:rFonts w:cs="Times New Roman"/>
                <w:color w:val="000000" w:themeColor="text1"/>
                <w:sz w:val="22"/>
              </w:rPr>
              <w:t xml:space="preserve">todėl </w:t>
            </w:r>
            <w:r w:rsidRPr="00B44B19">
              <w:rPr>
                <w:rFonts w:eastAsia="Times New Roman" w:cs="Times New Roman"/>
                <w:bCs/>
                <w:iCs/>
                <w:color w:val="000000" w:themeColor="text1"/>
                <w:sz w:val="22"/>
              </w:rPr>
              <w:t xml:space="preserve">investicijomis bus prisidedama prie MTEPI didinimo, komercinamų žinių kūrimo ir jų perdavimo. Bus siekiama NPP tikslo, kad visos MTEP išlaidos, palyginti su BVP 2030 m., sudarytų </w:t>
            </w:r>
            <w:r w:rsidRPr="00B44B19">
              <w:rPr>
                <w:rFonts w:eastAsia="Times New Roman" w:cs="Times New Roman"/>
                <w:b/>
                <w:bCs/>
                <w:iCs/>
                <w:color w:val="000000" w:themeColor="text1"/>
                <w:sz w:val="22"/>
              </w:rPr>
              <w:t>2,2 % BVP.</w:t>
            </w:r>
          </w:p>
          <w:p w14:paraId="76204556" w14:textId="5C6261C2" w:rsidR="009C6543" w:rsidRPr="00B44B19" w:rsidRDefault="009C6543" w:rsidP="009C6543">
            <w:pPr>
              <w:jc w:val="both"/>
              <w:rPr>
                <w:rFonts w:eastAsia="Times New Roman" w:cs="Times New Roman"/>
                <w:bCs/>
                <w:iCs/>
                <w:color w:val="000000" w:themeColor="text1"/>
                <w:sz w:val="22"/>
              </w:rPr>
            </w:pPr>
            <w:r w:rsidRPr="00B44B19">
              <w:rPr>
                <w:rFonts w:eastAsia="Times New Roman" w:cs="Times New Roman"/>
                <w:bCs/>
                <w:iCs/>
                <w:color w:val="000000" w:themeColor="text1"/>
                <w:sz w:val="22"/>
              </w:rPr>
              <w:t>Atliktas vertinimas rodo, kad nors 2014–2020 m. investicijos į MTEPI yra tinkamos, tačiau</w:t>
            </w:r>
            <w:r w:rsidR="00D75685" w:rsidRPr="00B44B19">
              <w:rPr>
                <w:rFonts w:eastAsia="Times New Roman" w:cs="Times New Roman"/>
                <w:bCs/>
                <w:iCs/>
                <w:color w:val="000000" w:themeColor="text1"/>
                <w:sz w:val="22"/>
              </w:rPr>
              <w:t xml:space="preserve"> iššūkiai išliko</w:t>
            </w:r>
            <w:r w:rsidRPr="00B44B19">
              <w:rPr>
                <w:rFonts w:eastAsia="Times New Roman" w:cs="Times New Roman"/>
                <w:bCs/>
                <w:iCs/>
                <w:color w:val="000000" w:themeColor="text1"/>
                <w:sz w:val="22"/>
              </w:rPr>
              <w:t xml:space="preserve">. Didelius MTEPI projektus </w:t>
            </w:r>
            <w:r w:rsidR="00C058C6" w:rsidRPr="00B44B19">
              <w:rPr>
                <w:rFonts w:eastAsia="Times New Roman" w:cs="Times New Roman"/>
                <w:bCs/>
                <w:iCs/>
                <w:color w:val="000000" w:themeColor="text1"/>
                <w:sz w:val="22"/>
              </w:rPr>
              <w:t xml:space="preserve">pajėgios </w:t>
            </w:r>
            <w:r w:rsidR="00313783" w:rsidRPr="00B44B19">
              <w:rPr>
                <w:rFonts w:eastAsia="Times New Roman" w:cs="Times New Roman"/>
                <w:bCs/>
                <w:iCs/>
                <w:color w:val="000000" w:themeColor="text1"/>
                <w:sz w:val="22"/>
              </w:rPr>
              <w:t>įgyvendinti labai mažai įmonių</w:t>
            </w:r>
            <w:r w:rsidRPr="00B44B19">
              <w:rPr>
                <w:rFonts w:eastAsia="Times New Roman" w:cs="Times New Roman"/>
                <w:bCs/>
                <w:iCs/>
                <w:color w:val="000000" w:themeColor="text1"/>
                <w:sz w:val="22"/>
              </w:rPr>
              <w:t xml:space="preserve">, </w:t>
            </w:r>
            <w:r w:rsidR="00A4270D" w:rsidRPr="00B44B19">
              <w:rPr>
                <w:rFonts w:eastAsia="Times New Roman" w:cs="Times New Roman"/>
                <w:bCs/>
                <w:iCs/>
                <w:color w:val="000000" w:themeColor="text1"/>
                <w:sz w:val="22"/>
              </w:rPr>
              <w:t xml:space="preserve">jos </w:t>
            </w:r>
            <w:r w:rsidR="00D75685" w:rsidRPr="00B44B19">
              <w:rPr>
                <w:rFonts w:eastAsia="Times New Roman" w:cs="Times New Roman"/>
                <w:bCs/>
                <w:iCs/>
                <w:color w:val="000000" w:themeColor="text1"/>
                <w:sz w:val="22"/>
              </w:rPr>
              <w:t xml:space="preserve">vengia </w:t>
            </w:r>
            <w:r w:rsidRPr="00B44B19">
              <w:rPr>
                <w:rFonts w:eastAsia="Times New Roman" w:cs="Times New Roman"/>
                <w:bCs/>
                <w:iCs/>
                <w:color w:val="000000" w:themeColor="text1"/>
                <w:sz w:val="22"/>
              </w:rPr>
              <w:t>rizikuoti,</w:t>
            </w:r>
            <w:r w:rsidR="00A4270D" w:rsidRPr="00B44B19">
              <w:rPr>
                <w:rFonts w:eastAsia="Times New Roman" w:cs="Times New Roman"/>
                <w:bCs/>
                <w:iCs/>
                <w:color w:val="000000" w:themeColor="text1"/>
                <w:sz w:val="22"/>
              </w:rPr>
              <w:t xml:space="preserve"> </w:t>
            </w:r>
            <w:r w:rsidRPr="00B44B19">
              <w:rPr>
                <w:rFonts w:eastAsia="Times New Roman" w:cs="Times New Roman"/>
                <w:bCs/>
                <w:iCs/>
                <w:color w:val="000000" w:themeColor="text1"/>
                <w:sz w:val="22"/>
              </w:rPr>
              <w:t xml:space="preserve">trūksta idėjų, todėl </w:t>
            </w:r>
            <w:r w:rsidR="00313783" w:rsidRPr="00B44B19">
              <w:rPr>
                <w:rFonts w:eastAsia="Times New Roman" w:cs="Times New Roman"/>
                <w:bCs/>
                <w:iCs/>
                <w:color w:val="000000" w:themeColor="text1"/>
                <w:sz w:val="22"/>
              </w:rPr>
              <w:t>pasiekta</w:t>
            </w:r>
            <w:r w:rsidR="000E6E03" w:rsidRPr="00B44B19">
              <w:rPr>
                <w:rFonts w:eastAsia="Times New Roman" w:cs="Times New Roman"/>
                <w:bCs/>
                <w:iCs/>
                <w:color w:val="000000" w:themeColor="text1"/>
                <w:sz w:val="22"/>
              </w:rPr>
              <w:t xml:space="preserve"> </w:t>
            </w:r>
            <w:r w:rsidRPr="00B44B19">
              <w:rPr>
                <w:rFonts w:eastAsia="Times New Roman" w:cs="Times New Roman"/>
                <w:bCs/>
                <w:iCs/>
                <w:color w:val="000000" w:themeColor="text1"/>
                <w:sz w:val="22"/>
              </w:rPr>
              <w:t xml:space="preserve">mažai inovatyvių įmonių ir paskatinta mažai naujų MTEPI veiklų. 2021–2027 </w:t>
            </w:r>
            <w:r w:rsidR="00313783" w:rsidRPr="00B44B19">
              <w:rPr>
                <w:rFonts w:eastAsia="Times New Roman" w:cs="Times New Roman"/>
                <w:bCs/>
                <w:iCs/>
                <w:color w:val="000000" w:themeColor="text1"/>
                <w:sz w:val="22"/>
              </w:rPr>
              <w:t xml:space="preserve">m. daugiau dėmesio </w:t>
            </w:r>
            <w:r w:rsidRPr="00B44B19">
              <w:rPr>
                <w:rFonts w:eastAsia="Times New Roman" w:cs="Times New Roman"/>
                <w:bCs/>
                <w:iCs/>
                <w:color w:val="000000" w:themeColor="text1"/>
                <w:sz w:val="22"/>
              </w:rPr>
              <w:t>bus skiriama antreprenerystės kultūros ugdymui MSI, stiprinant jų vid</w:t>
            </w:r>
            <w:r w:rsidR="000E6E03" w:rsidRPr="00B44B19">
              <w:rPr>
                <w:rFonts w:eastAsia="Times New Roman" w:cs="Times New Roman"/>
                <w:bCs/>
                <w:iCs/>
                <w:color w:val="000000" w:themeColor="text1"/>
                <w:sz w:val="22"/>
              </w:rPr>
              <w:t>aus</w:t>
            </w:r>
            <w:r w:rsidRPr="00B44B19">
              <w:rPr>
                <w:rFonts w:eastAsia="Times New Roman" w:cs="Times New Roman"/>
                <w:bCs/>
                <w:iCs/>
                <w:color w:val="000000" w:themeColor="text1"/>
                <w:sz w:val="22"/>
              </w:rPr>
              <w:t xml:space="preserve"> padalinių MTEP rezultatų komercinimo vadybos kompetencijas, mokslui imlaus verslo partnerių paieškai, sukurtų MTEP produktų </w:t>
            </w:r>
            <w:r w:rsidR="000E6E03" w:rsidRPr="00B44B19">
              <w:rPr>
                <w:rFonts w:eastAsia="Times New Roman" w:cs="Times New Roman"/>
                <w:bCs/>
                <w:iCs/>
                <w:color w:val="000000" w:themeColor="text1"/>
                <w:sz w:val="22"/>
              </w:rPr>
              <w:t xml:space="preserve">ir </w:t>
            </w:r>
            <w:r w:rsidRPr="00B44B19">
              <w:rPr>
                <w:rFonts w:eastAsia="Times New Roman" w:cs="Times New Roman"/>
                <w:bCs/>
                <w:iCs/>
                <w:color w:val="000000" w:themeColor="text1"/>
                <w:sz w:val="22"/>
              </w:rPr>
              <w:t xml:space="preserve">paslaugų pristatymui, aktyvesniam VGPP įgyvendinimui. </w:t>
            </w:r>
            <w:r w:rsidR="001569EA" w:rsidRPr="00B44B19">
              <w:rPr>
                <w:rFonts w:eastAsia="Times New Roman" w:cs="Times New Roman"/>
                <w:color w:val="000000" w:themeColor="text1"/>
                <w:sz w:val="22"/>
              </w:rPr>
              <w:t>B</w:t>
            </w:r>
            <w:r w:rsidRPr="00B44B19">
              <w:rPr>
                <w:rFonts w:eastAsia="Times New Roman" w:cs="Times New Roman"/>
                <w:color w:val="000000" w:themeColor="text1"/>
                <w:sz w:val="22"/>
              </w:rPr>
              <w:t>us investuojama ne į viešąją infrastruktūrą, o į jos įveiklinimą, MTEPI rezultatų komercinimo veik</w:t>
            </w:r>
            <w:r w:rsidR="00540079" w:rsidRPr="00B44B19">
              <w:rPr>
                <w:rFonts w:eastAsia="Times New Roman" w:cs="Times New Roman"/>
                <w:color w:val="000000" w:themeColor="text1"/>
                <w:sz w:val="22"/>
              </w:rPr>
              <w:t>l</w:t>
            </w:r>
            <w:r w:rsidRPr="00B44B19">
              <w:rPr>
                <w:rFonts w:eastAsia="Times New Roman" w:cs="Times New Roman"/>
                <w:color w:val="000000" w:themeColor="text1"/>
                <w:sz w:val="22"/>
              </w:rPr>
              <w:t xml:space="preserve">oms vykdyti </w:t>
            </w:r>
            <w:r w:rsidR="00D75685" w:rsidRPr="00B44B19">
              <w:rPr>
                <w:rFonts w:eastAsia="Times New Roman" w:cs="Times New Roman"/>
                <w:color w:val="000000" w:themeColor="text1"/>
                <w:sz w:val="22"/>
              </w:rPr>
              <w:t xml:space="preserve">būtinos </w:t>
            </w:r>
            <w:r w:rsidRPr="00B44B19">
              <w:rPr>
                <w:rFonts w:eastAsia="Times New Roman" w:cs="Times New Roman"/>
                <w:color w:val="000000" w:themeColor="text1"/>
                <w:sz w:val="22"/>
              </w:rPr>
              <w:t xml:space="preserve">įrangos įsigijimą MSI, </w:t>
            </w:r>
            <w:r w:rsidR="00540079" w:rsidRPr="00B44B19">
              <w:rPr>
                <w:rFonts w:eastAsia="Times New Roman" w:cs="Times New Roman"/>
                <w:color w:val="000000" w:themeColor="text1"/>
                <w:sz w:val="22"/>
              </w:rPr>
              <w:t xml:space="preserve">į žmogiškųjų išteklių </w:t>
            </w:r>
            <w:r w:rsidRPr="00B44B19">
              <w:rPr>
                <w:rFonts w:eastAsia="Times New Roman" w:cs="Times New Roman"/>
                <w:color w:val="000000" w:themeColor="text1"/>
                <w:sz w:val="22"/>
              </w:rPr>
              <w:t>pritraukimą vykdyti MTEPI, MTEPI tarptautiškumą</w:t>
            </w:r>
            <w:r w:rsidR="00D75685" w:rsidRPr="00B44B19">
              <w:rPr>
                <w:rFonts w:eastAsia="Times New Roman" w:cs="Times New Roman"/>
                <w:color w:val="000000" w:themeColor="text1"/>
                <w:sz w:val="22"/>
              </w:rPr>
              <w:t xml:space="preserve">, MVĮ dalyvavimą </w:t>
            </w:r>
            <w:r w:rsidR="00D75685" w:rsidRPr="00B44B19">
              <w:rPr>
                <w:rFonts w:cs="Times New Roman"/>
                <w:color w:val="000000" w:themeColor="text1"/>
                <w:sz w:val="22"/>
              </w:rPr>
              <w:t>IPCEI</w:t>
            </w:r>
            <w:r w:rsidR="00D75685" w:rsidRPr="00B44B19">
              <w:rPr>
                <w:rFonts w:eastAsia="Times New Roman" w:cs="Times New Roman"/>
                <w:color w:val="000000" w:themeColor="text1"/>
                <w:sz w:val="22"/>
              </w:rPr>
              <w:t xml:space="preserve"> </w:t>
            </w:r>
            <w:r w:rsidRPr="00B44B19">
              <w:rPr>
                <w:rFonts w:eastAsia="Times New Roman" w:cs="Times New Roman"/>
                <w:color w:val="000000" w:themeColor="text1"/>
                <w:sz w:val="22"/>
              </w:rPr>
              <w:t>ir viešojo sektoriaus, vykdančio MTEPI veiklas, gebėjimų komercinti kuriamas žinias stiprinimą.</w:t>
            </w:r>
          </w:p>
          <w:p w14:paraId="4F10F7F7" w14:textId="3C59588C" w:rsidR="00BC6C1A" w:rsidRPr="00B44B19" w:rsidRDefault="00BC6C1A" w:rsidP="00BC6C1A">
            <w:pPr>
              <w:jc w:val="both"/>
              <w:rPr>
                <w:rFonts w:eastAsia="Times New Roman" w:cs="Times New Roman"/>
                <w:bCs/>
                <w:iCs/>
                <w:color w:val="000000" w:themeColor="text1"/>
                <w:sz w:val="22"/>
              </w:rPr>
            </w:pPr>
            <w:bookmarkStart w:id="4" w:name="_Hlk98315862"/>
            <w:r w:rsidRPr="00B44B19">
              <w:rPr>
                <w:rFonts w:eastAsia="Times New Roman" w:cs="Times New Roman"/>
                <w:color w:val="000000" w:themeColor="text1"/>
                <w:sz w:val="22"/>
              </w:rPr>
              <w:t xml:space="preserve">Pasirenkama </w:t>
            </w:r>
            <w:r w:rsidRPr="00B44B19">
              <w:rPr>
                <w:rFonts w:eastAsia="Times New Roman" w:cs="Times New Roman"/>
                <w:b/>
                <w:color w:val="000000" w:themeColor="text1"/>
                <w:sz w:val="22"/>
              </w:rPr>
              <w:t>finansavimo forma</w:t>
            </w:r>
            <w:r w:rsidRPr="00B44B19">
              <w:rPr>
                <w:rFonts w:eastAsia="Times New Roman" w:cs="Times New Roman"/>
                <w:color w:val="000000" w:themeColor="text1"/>
                <w:sz w:val="22"/>
              </w:rPr>
              <w:t xml:space="preserve"> – </w:t>
            </w:r>
            <w:r w:rsidRPr="00B44B19">
              <w:rPr>
                <w:rFonts w:eastAsia="Times New Roman" w:cs="Times New Roman"/>
                <w:bCs/>
                <w:iCs/>
                <w:color w:val="000000" w:themeColor="text1"/>
                <w:sz w:val="22"/>
              </w:rPr>
              <w:t>daliai veiklų</w:t>
            </w:r>
            <w:r w:rsidRPr="00B44B19">
              <w:rPr>
                <w:rFonts w:eastAsia="Times New Roman" w:cs="Times New Roman"/>
                <w:bCs/>
                <w:color w:val="000000" w:themeColor="text1"/>
                <w:sz w:val="22"/>
              </w:rPr>
              <w:t xml:space="preserve"> </w:t>
            </w:r>
            <w:r w:rsidRPr="00B44B19">
              <w:rPr>
                <w:rFonts w:eastAsia="Times New Roman" w:cs="Times New Roman"/>
                <w:bCs/>
                <w:iCs/>
                <w:color w:val="000000" w:themeColor="text1"/>
                <w:sz w:val="22"/>
              </w:rPr>
              <w:t>įgyvendinti planuojama naudoti rizikos kapitalo investicijas į MTEPI</w:t>
            </w:r>
            <w:r w:rsidR="00F82F4E" w:rsidRPr="00B44B19">
              <w:rPr>
                <w:rFonts w:eastAsia="Times New Roman" w:cs="Times New Roman"/>
                <w:bCs/>
                <w:iCs/>
                <w:color w:val="000000" w:themeColor="text1"/>
                <w:sz w:val="22"/>
              </w:rPr>
              <w:t xml:space="preserve"> dėl inovatyvių ir perspektyvių startuolių galimybių pritraukti privataus kapitalo investicijas</w:t>
            </w:r>
            <w:r w:rsidRPr="00B44B19">
              <w:rPr>
                <w:rFonts w:eastAsia="Times New Roman" w:cs="Times New Roman"/>
                <w:bCs/>
                <w:iCs/>
                <w:color w:val="000000" w:themeColor="text1"/>
                <w:sz w:val="22"/>
              </w:rPr>
              <w:t xml:space="preserve">. Kitoms veikloms, pvz., </w:t>
            </w:r>
            <w:r w:rsidRPr="00B44B19">
              <w:rPr>
                <w:rFonts w:eastAsia="Times New Roman" w:cs="Times New Roman"/>
                <w:bCs/>
                <w:color w:val="000000" w:themeColor="text1"/>
                <w:sz w:val="22"/>
              </w:rPr>
              <w:t xml:space="preserve">„Skatinti inovacijų pasiūlą“ Sostinės regione, </w:t>
            </w:r>
            <w:r w:rsidRPr="00B44B19">
              <w:rPr>
                <w:rFonts w:eastAsia="Times New Roman" w:cs="Times New Roman"/>
                <w:bCs/>
                <w:iCs/>
                <w:color w:val="000000" w:themeColor="text1"/>
                <w:sz w:val="22"/>
              </w:rPr>
              <w:t>būtų taikomos arba finansinės priemonės</w:t>
            </w:r>
            <w:r w:rsidR="00F82F4E" w:rsidRPr="00B44B19">
              <w:rPr>
                <w:rFonts w:eastAsia="Times New Roman" w:cs="Times New Roman"/>
                <w:bCs/>
                <w:iCs/>
                <w:color w:val="000000" w:themeColor="text1"/>
                <w:sz w:val="22"/>
              </w:rPr>
              <w:t xml:space="preserve"> dėl generuojamų pajamų</w:t>
            </w:r>
            <w:r w:rsidRPr="00B44B19">
              <w:rPr>
                <w:rFonts w:eastAsia="Times New Roman" w:cs="Times New Roman"/>
                <w:bCs/>
                <w:iCs/>
                <w:color w:val="000000" w:themeColor="text1"/>
                <w:sz w:val="22"/>
              </w:rPr>
              <w:t xml:space="preserve">, arba </w:t>
            </w:r>
            <w:r w:rsidR="00196AD4" w:rsidRPr="00B44B19">
              <w:rPr>
                <w:rFonts w:eastAsia="Times New Roman" w:cs="Times New Roman"/>
                <w:bCs/>
                <w:iCs/>
                <w:color w:val="000000" w:themeColor="text1"/>
                <w:sz w:val="22"/>
              </w:rPr>
              <w:t>dotacija</w:t>
            </w:r>
            <w:r w:rsidRPr="00B44B19">
              <w:rPr>
                <w:rFonts w:eastAsia="Times New Roman" w:cs="Times New Roman"/>
                <w:bCs/>
                <w:iCs/>
                <w:color w:val="000000" w:themeColor="text1"/>
                <w:sz w:val="22"/>
              </w:rPr>
              <w:t xml:space="preserve"> dėl jos skatinamojo poveikio ir veiklų pobūdžio (kai veiklos negeneruoja pajamų</w:t>
            </w:r>
            <w:r w:rsidR="00D75685" w:rsidRPr="00B44B19">
              <w:rPr>
                <w:rFonts w:eastAsia="Times New Roman" w:cs="Times New Roman"/>
                <w:bCs/>
                <w:iCs/>
                <w:color w:val="000000" w:themeColor="text1"/>
                <w:sz w:val="22"/>
              </w:rPr>
              <w:t>, MTEP veiklos</w:t>
            </w:r>
            <w:r w:rsidRPr="00B44B19">
              <w:rPr>
                <w:rFonts w:eastAsia="Times New Roman" w:cs="Times New Roman"/>
                <w:bCs/>
                <w:iCs/>
                <w:color w:val="000000" w:themeColor="text1"/>
                <w:sz w:val="22"/>
              </w:rPr>
              <w:t xml:space="preserve"> pasižymi didele rizika ir MVĮ nebus pajėgi grąžinti paskolos). </w:t>
            </w:r>
          </w:p>
          <w:bookmarkEnd w:id="4"/>
          <w:p w14:paraId="5905A528" w14:textId="77777777" w:rsidR="00756732" w:rsidRPr="00B44B19" w:rsidRDefault="009C6543" w:rsidP="00B84183">
            <w:pPr>
              <w:jc w:val="both"/>
              <w:rPr>
                <w:rFonts w:eastAsia="Times New Roman" w:cs="Times New Roman"/>
                <w:bCs/>
                <w:iCs/>
                <w:color w:val="000000" w:themeColor="text1"/>
                <w:sz w:val="22"/>
              </w:rPr>
            </w:pPr>
            <w:r w:rsidRPr="00B44B19">
              <w:rPr>
                <w:rFonts w:eastAsia="Times New Roman" w:cs="Times New Roman"/>
                <w:bCs/>
                <w:iCs/>
                <w:color w:val="000000" w:themeColor="text1"/>
                <w:sz w:val="22"/>
              </w:rPr>
              <w:lastRenderedPageBreak/>
              <w:t xml:space="preserve">Siekiant </w:t>
            </w:r>
            <w:r w:rsidRPr="00B44B19">
              <w:rPr>
                <w:rFonts w:eastAsia="Times New Roman" w:cs="Times New Roman"/>
                <w:b/>
                <w:bCs/>
                <w:iCs/>
                <w:color w:val="000000" w:themeColor="text1"/>
                <w:sz w:val="22"/>
              </w:rPr>
              <w:t>BJRS</w:t>
            </w:r>
            <w:r w:rsidRPr="00B44B19">
              <w:rPr>
                <w:rFonts w:eastAsia="Times New Roman" w:cs="Times New Roman"/>
                <w:bCs/>
                <w:iCs/>
                <w:color w:val="000000" w:themeColor="text1"/>
                <w:sz w:val="22"/>
              </w:rPr>
              <w:t xml:space="preserve"> politinės srities „Inovacijos“ tikslų, </w:t>
            </w:r>
            <w:r w:rsidR="00540079" w:rsidRPr="00B44B19">
              <w:rPr>
                <w:rFonts w:eastAsia="Times New Roman" w:cs="Times New Roman"/>
                <w:bCs/>
                <w:iCs/>
                <w:color w:val="000000" w:themeColor="text1"/>
                <w:sz w:val="22"/>
              </w:rPr>
              <w:t xml:space="preserve">bus sukurta inovacijų ir verslumo ekosistema, pagrįsta </w:t>
            </w:r>
            <w:r w:rsidR="00AD1B33" w:rsidRPr="00B44B19">
              <w:rPr>
                <w:rFonts w:eastAsia="Times New Roman" w:cs="Times New Roman"/>
                <w:bCs/>
                <w:iCs/>
                <w:color w:val="000000" w:themeColor="text1"/>
                <w:sz w:val="22"/>
              </w:rPr>
              <w:t>S4.</w:t>
            </w:r>
          </w:p>
        </w:tc>
      </w:tr>
      <w:tr w:rsidR="00756732" w:rsidRPr="00B44B19" w14:paraId="050D543E" w14:textId="77777777" w:rsidTr="00EB70C3">
        <w:tc>
          <w:tcPr>
            <w:tcW w:w="1350" w:type="pct"/>
            <w:vMerge/>
          </w:tcPr>
          <w:p w14:paraId="6A009F23" w14:textId="77777777" w:rsidR="00756732" w:rsidRPr="00B44B19" w:rsidRDefault="00756732" w:rsidP="00EB70C3">
            <w:pPr>
              <w:pStyle w:val="Sraopastraipa"/>
              <w:ind w:left="0" w:right="-107"/>
              <w:rPr>
                <w:rFonts w:cs="Times New Roman"/>
                <w:b/>
                <w:bCs/>
                <w:iCs/>
                <w:sz w:val="22"/>
                <w:lang w:bidi="lt-LT"/>
              </w:rPr>
            </w:pPr>
          </w:p>
        </w:tc>
        <w:tc>
          <w:tcPr>
            <w:tcW w:w="1079" w:type="pct"/>
          </w:tcPr>
          <w:p w14:paraId="34E5E884" w14:textId="77777777" w:rsidR="005C0126" w:rsidRPr="00B44B19" w:rsidRDefault="00756732" w:rsidP="00DC1476">
            <w:pPr>
              <w:rPr>
                <w:rFonts w:cs="Times New Roman"/>
                <w:bCs/>
                <w:iCs/>
                <w:sz w:val="22"/>
                <w:lang w:bidi="lt-LT"/>
              </w:rPr>
            </w:pPr>
            <w:r w:rsidRPr="00B44B19">
              <w:rPr>
                <w:rFonts w:cs="Times New Roman"/>
                <w:bCs/>
                <w:iCs/>
                <w:sz w:val="22"/>
                <w:lang w:bidi="lt-LT"/>
              </w:rPr>
              <w:t>1.2. Pasinaudoti skaitmeninimo teikiama nauda piliečiams, įmonėms</w:t>
            </w:r>
            <w:r w:rsidR="00DC1476" w:rsidRPr="00B44B19">
              <w:rPr>
                <w:rFonts w:cs="Times New Roman"/>
                <w:bCs/>
                <w:iCs/>
                <w:sz w:val="22"/>
                <w:lang w:bidi="lt-LT"/>
              </w:rPr>
              <w:t>, mokslinių tyrimų organizacijoms</w:t>
            </w:r>
            <w:r w:rsidRPr="00B44B19">
              <w:rPr>
                <w:rFonts w:cs="Times New Roman"/>
                <w:bCs/>
                <w:iCs/>
                <w:sz w:val="22"/>
                <w:lang w:bidi="lt-LT"/>
              </w:rPr>
              <w:t xml:space="preserve"> ir </w:t>
            </w:r>
            <w:r w:rsidR="00DC1476" w:rsidRPr="00B44B19">
              <w:rPr>
                <w:rFonts w:cs="Times New Roman"/>
                <w:bCs/>
                <w:iCs/>
                <w:sz w:val="22"/>
                <w:lang w:bidi="lt-LT"/>
              </w:rPr>
              <w:t>valdžios institucijoms</w:t>
            </w:r>
          </w:p>
        </w:tc>
        <w:tc>
          <w:tcPr>
            <w:tcW w:w="2571" w:type="pct"/>
          </w:tcPr>
          <w:p w14:paraId="7315F1E2" w14:textId="77777777" w:rsidR="009C6543" w:rsidRPr="00B44B19" w:rsidRDefault="009C6543" w:rsidP="009C6543">
            <w:pPr>
              <w:jc w:val="both"/>
              <w:rPr>
                <w:rFonts w:eastAsia="Calibri" w:cs="Times New Roman"/>
                <w:noProof/>
                <w:sz w:val="22"/>
                <w:lang w:eastAsia="lt-LT" w:bidi="lt-LT"/>
              </w:rPr>
            </w:pPr>
            <w:r w:rsidRPr="00B44B19">
              <w:rPr>
                <w:rFonts w:eastAsia="Times New Roman" w:cs="Times New Roman"/>
                <w:bCs/>
                <w:iCs/>
                <w:sz w:val="22"/>
              </w:rPr>
              <w:t>Šio konkretaus uždavinio veiklos</w:t>
            </w:r>
            <w:r w:rsidRPr="00B44B19">
              <w:rPr>
                <w:rFonts w:eastAsia="Times New Roman" w:cs="Times New Roman"/>
                <w:b/>
                <w:bCs/>
                <w:iCs/>
                <w:sz w:val="22"/>
              </w:rPr>
              <w:t xml:space="preserve"> netiesiogiai prisideda prie </w:t>
            </w:r>
            <w:r w:rsidR="00AD1B33" w:rsidRPr="00B44B19">
              <w:rPr>
                <w:rFonts w:eastAsia="Times New Roman" w:cs="Times New Roman"/>
                <w:b/>
                <w:bCs/>
                <w:iCs/>
                <w:sz w:val="22"/>
              </w:rPr>
              <w:t>S4</w:t>
            </w:r>
            <w:r w:rsidRPr="00B44B19">
              <w:rPr>
                <w:rFonts w:eastAsia="Times New Roman" w:cs="Times New Roman"/>
                <w:bCs/>
                <w:iCs/>
                <w:sz w:val="22"/>
              </w:rPr>
              <w:t xml:space="preserve"> įgyvendinimo.</w:t>
            </w:r>
          </w:p>
          <w:p w14:paraId="2BED5474" w14:textId="69FEC2F4" w:rsidR="009C6543" w:rsidRPr="00B44B19" w:rsidRDefault="009C6543" w:rsidP="009C6543">
            <w:pPr>
              <w:jc w:val="both"/>
              <w:rPr>
                <w:rFonts w:eastAsia="Calibri" w:cs="Times New Roman"/>
                <w:noProof/>
                <w:sz w:val="22"/>
                <w:lang w:eastAsia="lt-LT" w:bidi="lt-LT"/>
              </w:rPr>
            </w:pPr>
            <w:r w:rsidRPr="00B44B19">
              <w:rPr>
                <w:rFonts w:eastAsia="Times New Roman" w:cs="Times New Roman"/>
                <w:bCs/>
                <w:iCs/>
                <w:sz w:val="22"/>
              </w:rPr>
              <w:t>Investicijomis prisidedama prie MVĮ</w:t>
            </w:r>
            <w:r w:rsidR="00D75685" w:rsidRPr="00B44B19">
              <w:rPr>
                <w:rFonts w:eastAsia="Times New Roman" w:cs="Times New Roman"/>
                <w:bCs/>
                <w:iCs/>
                <w:color w:val="000000" w:themeColor="text1"/>
                <w:sz w:val="22"/>
              </w:rPr>
              <w:t xml:space="preserve">, didelių įmonių ir iš dalies </w:t>
            </w:r>
            <w:r w:rsidRPr="00B44B19">
              <w:rPr>
                <w:rFonts w:eastAsia="Times New Roman" w:cs="Times New Roman"/>
                <w:bCs/>
                <w:iCs/>
                <w:color w:val="000000" w:themeColor="text1"/>
                <w:sz w:val="22"/>
              </w:rPr>
              <w:t>viešojo sektoriaus skaitmeninimo</w:t>
            </w:r>
            <w:r w:rsidRPr="00B44B19">
              <w:rPr>
                <w:rFonts w:eastAsia="Times New Roman" w:cs="Times New Roman"/>
                <w:bCs/>
                <w:iCs/>
                <w:sz w:val="22"/>
              </w:rPr>
              <w:t>. Vertinimai rodo, kad n</w:t>
            </w:r>
            <w:r w:rsidRPr="00B44B19">
              <w:rPr>
                <w:rFonts w:eastAsia="Calibri" w:cs="Times New Roman"/>
                <w:noProof/>
                <w:sz w:val="22"/>
                <w:lang w:eastAsia="lt-LT" w:bidi="lt-LT"/>
              </w:rPr>
              <w:t xml:space="preserve">eišnaudojamas atvirų duomenų potencialas kurti pridėtinę vertę versle ir viešajame </w:t>
            </w:r>
            <w:r w:rsidR="00540079" w:rsidRPr="00B44B19">
              <w:rPr>
                <w:rFonts w:eastAsia="Calibri" w:cs="Times New Roman"/>
                <w:noProof/>
                <w:sz w:val="22"/>
                <w:lang w:eastAsia="lt-LT" w:bidi="lt-LT"/>
              </w:rPr>
              <w:t xml:space="preserve">sektoriuje, todėl </w:t>
            </w:r>
            <w:r w:rsidRPr="00B44B19">
              <w:rPr>
                <w:rFonts w:eastAsia="Calibri" w:cs="Times New Roman"/>
                <w:noProof/>
                <w:sz w:val="22"/>
                <w:lang w:eastAsia="lt-LT" w:bidi="lt-LT"/>
              </w:rPr>
              <w:t>2021–2027 m. numatoma ypatingą dėmesį skirti į paklausą orientuotų mokslo duomenų atvėrimui ir atvirųjų viešojo sektoriaus duomenų naudojimui, finansinių paskatų verslui naudotis atvirų duomenų sprendimais kūrimui.</w:t>
            </w:r>
          </w:p>
          <w:p w14:paraId="4ACDA89A" w14:textId="77777777" w:rsidR="009C6543" w:rsidRPr="00B44B19" w:rsidRDefault="009C6543" w:rsidP="00C93D8C">
            <w:pPr>
              <w:jc w:val="both"/>
              <w:rPr>
                <w:rFonts w:eastAsia="Calibri" w:cs="Times New Roman"/>
                <w:noProof/>
                <w:sz w:val="22"/>
                <w:lang w:eastAsia="lt-LT" w:bidi="lt-LT"/>
              </w:rPr>
            </w:pPr>
            <w:r w:rsidRPr="00B44B19">
              <w:rPr>
                <w:rFonts w:eastAsia="Calibri" w:cs="Times New Roman"/>
                <w:noProof/>
                <w:sz w:val="22"/>
                <w:lang w:eastAsia="lt-LT" w:bidi="lt-LT"/>
              </w:rPr>
              <w:t>Tik 25</w:t>
            </w:r>
            <w:r w:rsidR="00C93D8C" w:rsidRPr="00B44B19">
              <w:rPr>
                <w:rFonts w:eastAsia="Calibri" w:cs="Times New Roman"/>
                <w:noProof/>
                <w:sz w:val="22"/>
                <w:lang w:eastAsia="lt-LT" w:bidi="lt-LT"/>
              </w:rPr>
              <w:t> %</w:t>
            </w:r>
            <w:r w:rsidRPr="00B44B19">
              <w:rPr>
                <w:rFonts w:eastAsia="Calibri" w:cs="Times New Roman"/>
                <w:noProof/>
                <w:sz w:val="22"/>
                <w:lang w:eastAsia="lt-LT" w:bidi="lt-LT"/>
              </w:rPr>
              <w:t xml:space="preserve"> įmonių planuoja investicijas </w:t>
            </w:r>
            <w:r w:rsidR="000E6E03" w:rsidRPr="00B44B19">
              <w:rPr>
                <w:rFonts w:eastAsia="Calibri" w:cs="Times New Roman"/>
                <w:noProof/>
                <w:sz w:val="22"/>
                <w:lang w:eastAsia="lt-LT" w:bidi="lt-LT"/>
              </w:rPr>
              <w:t xml:space="preserve">ketvirtosios pramonės revoliucijos </w:t>
            </w:r>
            <w:r w:rsidRPr="00B44B19">
              <w:rPr>
                <w:rFonts w:eastAsia="Calibri" w:cs="Times New Roman"/>
                <w:noProof/>
                <w:sz w:val="22"/>
                <w:lang w:eastAsia="lt-LT" w:bidi="lt-LT"/>
              </w:rPr>
              <w:t>„Pramonė 4.0“ srityse, todėl 2021–2027 m. laikotarpiu dėmesys skiriamas MVĮ e</w:t>
            </w:r>
            <w:r w:rsidR="000E6E03" w:rsidRPr="00B44B19">
              <w:rPr>
                <w:rFonts w:eastAsia="Calibri" w:cs="Times New Roman"/>
                <w:noProof/>
                <w:sz w:val="22"/>
                <w:lang w:eastAsia="lt-LT" w:bidi="lt-LT"/>
              </w:rPr>
              <w:t xml:space="preserve">. </w:t>
            </w:r>
            <w:r w:rsidRPr="00B44B19">
              <w:rPr>
                <w:rFonts w:eastAsia="Calibri" w:cs="Times New Roman"/>
                <w:noProof/>
                <w:sz w:val="22"/>
                <w:lang w:eastAsia="lt-LT" w:bidi="lt-LT"/>
              </w:rPr>
              <w:t>verslo modelio ir produktų skaitmeninimui, diegiant pažangiausias technologijas.</w:t>
            </w:r>
          </w:p>
          <w:p w14:paraId="6A67D520" w14:textId="77777777" w:rsidR="00D75685" w:rsidRPr="00B44B19" w:rsidRDefault="00AD5339" w:rsidP="00362A2C">
            <w:pPr>
              <w:jc w:val="both"/>
              <w:rPr>
                <w:rFonts w:eastAsia="Times New Roman" w:cs="Times New Roman"/>
                <w:bCs/>
                <w:color w:val="000000"/>
                <w:sz w:val="22"/>
              </w:rPr>
            </w:pPr>
            <w:r w:rsidRPr="00B44B19">
              <w:rPr>
                <w:rFonts w:eastAsia="Times New Roman" w:cs="Times New Roman"/>
                <w:bCs/>
                <w:color w:val="000000"/>
                <w:sz w:val="22"/>
              </w:rPr>
              <w:t xml:space="preserve">Kuriant </w:t>
            </w:r>
            <w:r w:rsidR="00362A2C" w:rsidRPr="00B44B19">
              <w:rPr>
                <w:rFonts w:eastAsia="Times New Roman" w:cs="Times New Roman"/>
                <w:bCs/>
                <w:color w:val="000000"/>
                <w:sz w:val="22"/>
              </w:rPr>
              <w:t xml:space="preserve">naujus, inovatyvius dirbtinio intelekto (DI) sprendimus ir produktus, diegiant skaitmenines technologijas, paremtas DI, sudaromos geresnės sąlygos MVĮ pasiekti aukštesnį skaitmeninio intensyvumo lygį, o kuriamos inovacijos padeda spręsti tiek šalies, tiek tarptautiniu lygiu kylančias problemas įvairiose srityse: sveikatos, gynybos, švietimo, aplinkosaugos ir kitose. Investicijomis siekiama užtikrinti MVĮ dalyvavimą suderintoje ES DI vidaus rinkoje, sukuriant teisės aktų reikalavimų apribotą bandomąją DI reglamentavimo aplinką, kurioje skatinamos inovacijos ir sudaromos palankesnės sąlygos MVĮ kurti, mokyti, bandyti ir patvirtinti novatoriškas DI sistemas. </w:t>
            </w:r>
          </w:p>
          <w:p w14:paraId="550415E0" w14:textId="329B76D5" w:rsidR="00D75685" w:rsidRPr="00B44B19" w:rsidRDefault="00D75685" w:rsidP="00362A2C">
            <w:pPr>
              <w:jc w:val="both"/>
              <w:rPr>
                <w:rFonts w:eastAsia="Times New Roman" w:cs="Times New Roman"/>
                <w:color w:val="000000" w:themeColor="text1"/>
                <w:sz w:val="22"/>
              </w:rPr>
            </w:pPr>
            <w:r w:rsidRPr="00B44B19">
              <w:rPr>
                <w:rFonts w:eastAsia="Times New Roman" w:cs="Times New Roman"/>
                <w:color w:val="000000" w:themeColor="text1"/>
                <w:sz w:val="22"/>
              </w:rPr>
              <w:t>Skatinant Europos skaitmeninius inovacijų centrus, teikiant jiems kaupiamąjį finansavimą, sudaromos galimybės įmonės gauti inovacijų konsultacines ir inovacijų paramos paslaugas skaitmeninimo klausimais, tokiu būdu prisidedant prie visų įmonių skaitmeninės transformacijos.</w:t>
            </w:r>
          </w:p>
          <w:p w14:paraId="35908A10" w14:textId="587DBA7B" w:rsidR="00756732" w:rsidRPr="00B44B19" w:rsidRDefault="00362A2C" w:rsidP="00362A2C">
            <w:pPr>
              <w:jc w:val="both"/>
              <w:rPr>
                <w:rFonts w:eastAsia="Calibri" w:cs="Times New Roman"/>
                <w:noProof/>
                <w:sz w:val="22"/>
                <w:lang w:eastAsia="lt-LT" w:bidi="lt-LT"/>
              </w:rPr>
            </w:pPr>
            <w:r w:rsidRPr="00B44B19">
              <w:rPr>
                <w:rFonts w:eastAsia="Times New Roman" w:cs="Times New Roman"/>
                <w:bCs/>
                <w:color w:val="000000"/>
                <w:sz w:val="22"/>
              </w:rPr>
              <w:t xml:space="preserve">Pasirenkama finansavimo forma – dotacija dėl jos skatinamojo poveikio. Planuojamos vykdyti veiklos negeneruoja pajamų trumpuoju laikotarpiu, reikalauja didelių investicijų, </w:t>
            </w:r>
            <w:r w:rsidR="009C6543" w:rsidRPr="00B44B19">
              <w:rPr>
                <w:rFonts w:eastAsia="Times New Roman" w:cs="Times New Roman"/>
                <w:sz w:val="22"/>
                <w:lang w:eastAsia="lt-LT"/>
              </w:rPr>
              <w:t xml:space="preserve">nes numatomos viešųjų institucijų įgyvendinamiems projektams arba skirtos </w:t>
            </w:r>
            <w:r w:rsidR="000E6E03" w:rsidRPr="00B44B19">
              <w:rPr>
                <w:rFonts w:eastAsia="Times New Roman" w:cs="Times New Roman"/>
                <w:sz w:val="22"/>
                <w:lang w:eastAsia="lt-LT"/>
              </w:rPr>
              <w:t xml:space="preserve">MVĮ vadinamosioms minkštoms skaitmeninimo veikloms vykdyti, todėl joms taikyti finansinių priemonių neplanuojama. </w:t>
            </w:r>
            <w:r w:rsidR="000E6E03" w:rsidRPr="00B44B19">
              <w:rPr>
                <w:rFonts w:eastAsia="Calibri" w:cs="Times New Roman"/>
                <w:noProof/>
                <w:sz w:val="22"/>
                <w:lang w:eastAsia="lt-LT" w:bidi="lt-LT"/>
              </w:rPr>
              <w:t xml:space="preserve">Siekiant </w:t>
            </w:r>
            <w:r w:rsidR="000E6E03" w:rsidRPr="00B44B19">
              <w:rPr>
                <w:rFonts w:eastAsia="Calibri" w:cs="Times New Roman"/>
                <w:b/>
                <w:noProof/>
                <w:sz w:val="22"/>
                <w:lang w:eastAsia="lt-LT" w:bidi="lt-LT"/>
              </w:rPr>
              <w:t>BJRS</w:t>
            </w:r>
            <w:r w:rsidR="000E6E03" w:rsidRPr="00B44B19">
              <w:rPr>
                <w:rFonts w:eastAsia="Calibri" w:cs="Times New Roman"/>
                <w:noProof/>
                <w:sz w:val="22"/>
                <w:lang w:eastAsia="lt-LT" w:bidi="lt-LT"/>
              </w:rPr>
              <w:t xml:space="preserve"> politinės srities „Inovacijos“ tikslų ir tobulinant verslo aplinką, būtina visapusiškai išnaudoti skaitmeninės ekonomikos ir inovacijų diegimą, sudarant MVĮ ir vartotojams vienodas priėjimo prie skaitmeninių rinkų galimybes </w:t>
            </w:r>
            <w:r w:rsidR="000E6E03" w:rsidRPr="00B44B19">
              <w:rPr>
                <w:rFonts w:eastAsia="Calibri" w:cs="Times New Roman"/>
                <w:noProof/>
                <w:sz w:val="22"/>
                <w:lang w:eastAsia="lt-LT" w:bidi="lt-LT"/>
              </w:rPr>
              <w:lastRenderedPageBreak/>
              <w:t>visame BJR, ir stiprinti bendradrabiavimą kuriant Europos skaitmeninę ekonomiką.</w:t>
            </w:r>
          </w:p>
        </w:tc>
      </w:tr>
      <w:tr w:rsidR="00756732" w:rsidRPr="00B44B19" w14:paraId="19C0EE75" w14:textId="77777777" w:rsidTr="00EB70C3">
        <w:tc>
          <w:tcPr>
            <w:tcW w:w="1350" w:type="pct"/>
            <w:vMerge/>
          </w:tcPr>
          <w:p w14:paraId="6B658C7D" w14:textId="77777777" w:rsidR="00756732" w:rsidRPr="00B44B19" w:rsidRDefault="00756732" w:rsidP="00EB70C3">
            <w:pPr>
              <w:pStyle w:val="Sraopastraipa"/>
              <w:ind w:left="0"/>
              <w:rPr>
                <w:rFonts w:cs="Times New Roman"/>
                <w:b/>
                <w:bCs/>
                <w:iCs/>
                <w:sz w:val="22"/>
                <w:lang w:bidi="lt-LT"/>
              </w:rPr>
            </w:pPr>
          </w:p>
        </w:tc>
        <w:tc>
          <w:tcPr>
            <w:tcW w:w="1079" w:type="pct"/>
          </w:tcPr>
          <w:p w14:paraId="31CB7991" w14:textId="77777777" w:rsidR="005C0126" w:rsidRPr="00B44B19" w:rsidRDefault="00756732" w:rsidP="00DC1476">
            <w:pPr>
              <w:rPr>
                <w:rFonts w:cs="Times New Roman"/>
                <w:bCs/>
                <w:iCs/>
                <w:sz w:val="22"/>
                <w:lang w:bidi="lt-LT"/>
              </w:rPr>
            </w:pPr>
            <w:r w:rsidRPr="00B44B19">
              <w:rPr>
                <w:rFonts w:cs="Times New Roman"/>
                <w:bCs/>
                <w:iCs/>
                <w:sz w:val="22"/>
                <w:lang w:bidi="lt-LT"/>
              </w:rPr>
              <w:t xml:space="preserve">1.3. Stiprinti </w:t>
            </w:r>
            <w:r w:rsidR="00DC1476" w:rsidRPr="00B44B19">
              <w:rPr>
                <w:rFonts w:cs="Times New Roman"/>
                <w:bCs/>
                <w:iCs/>
                <w:sz w:val="22"/>
                <w:lang w:bidi="lt-LT"/>
              </w:rPr>
              <w:t xml:space="preserve">tvarų </w:t>
            </w:r>
            <w:r w:rsidRPr="00B44B19">
              <w:rPr>
                <w:rFonts w:cs="Times New Roman"/>
                <w:bCs/>
                <w:iCs/>
                <w:sz w:val="22"/>
                <w:lang w:bidi="lt-LT"/>
              </w:rPr>
              <w:t xml:space="preserve">MVĮ augimą </w:t>
            </w:r>
            <w:r w:rsidR="00DC1476" w:rsidRPr="00B44B19">
              <w:rPr>
                <w:rFonts w:cs="Times New Roman"/>
                <w:bCs/>
                <w:iCs/>
                <w:sz w:val="22"/>
                <w:lang w:bidi="lt-LT"/>
              </w:rPr>
              <w:t xml:space="preserve">bei </w:t>
            </w:r>
            <w:r w:rsidRPr="00B44B19">
              <w:rPr>
                <w:rFonts w:cs="Times New Roman"/>
                <w:bCs/>
                <w:iCs/>
                <w:sz w:val="22"/>
                <w:lang w:bidi="lt-LT"/>
              </w:rPr>
              <w:t>konkurencingumą</w:t>
            </w:r>
            <w:r w:rsidR="00DC1476" w:rsidRPr="00B44B19">
              <w:rPr>
                <w:rFonts w:cs="Times New Roman"/>
                <w:bCs/>
                <w:iCs/>
                <w:sz w:val="22"/>
                <w:lang w:bidi="lt-LT"/>
              </w:rPr>
              <w:t xml:space="preserve"> ir darbo vietų kūrimą MVĮ, be kita ko pasitelkiant gamybines investicijas</w:t>
            </w:r>
          </w:p>
        </w:tc>
        <w:tc>
          <w:tcPr>
            <w:tcW w:w="2571" w:type="pct"/>
          </w:tcPr>
          <w:p w14:paraId="660387B7" w14:textId="77777777" w:rsidR="009C6543" w:rsidRPr="00B44B19" w:rsidRDefault="009C6543" w:rsidP="009C6543">
            <w:pPr>
              <w:contextualSpacing/>
              <w:jc w:val="both"/>
              <w:rPr>
                <w:rFonts w:cs="Times New Roman"/>
                <w:sz w:val="22"/>
                <w:szCs w:val="24"/>
                <w:lang w:eastAsia="lt-LT" w:bidi="lt-LT"/>
              </w:rPr>
            </w:pPr>
            <w:r w:rsidRPr="00B44B19">
              <w:rPr>
                <w:rFonts w:cs="Times New Roman"/>
                <w:sz w:val="22"/>
              </w:rPr>
              <w:t xml:space="preserve">Šio konkretaus uždavinio veiklos </w:t>
            </w:r>
            <w:r w:rsidRPr="00B44B19">
              <w:rPr>
                <w:rFonts w:cs="Times New Roman"/>
                <w:b/>
                <w:sz w:val="22"/>
              </w:rPr>
              <w:t xml:space="preserve">netiesiogiai prisideda prie </w:t>
            </w:r>
            <w:r w:rsidR="00AD1B33" w:rsidRPr="00B44B19">
              <w:rPr>
                <w:rFonts w:cs="Times New Roman"/>
                <w:b/>
                <w:sz w:val="22"/>
              </w:rPr>
              <w:t xml:space="preserve">S4 </w:t>
            </w:r>
            <w:r w:rsidRPr="00B44B19">
              <w:rPr>
                <w:rFonts w:cs="Times New Roman"/>
                <w:sz w:val="22"/>
                <w:szCs w:val="24"/>
              </w:rPr>
              <w:t>įgyvendinimo.</w:t>
            </w:r>
            <w:r w:rsidRPr="00B44B19">
              <w:rPr>
                <w:rFonts w:cs="Times New Roman"/>
                <w:szCs w:val="24"/>
              </w:rPr>
              <w:t xml:space="preserve"> </w:t>
            </w:r>
            <w:r w:rsidRPr="00B44B19">
              <w:rPr>
                <w:rFonts w:cs="Times New Roman"/>
                <w:sz w:val="22"/>
                <w:szCs w:val="24"/>
              </w:rPr>
              <w:t>Investicijomis prisidedama prie MVĮ produktyvumo ir konkurencingumo didinimo.</w:t>
            </w:r>
          </w:p>
          <w:p w14:paraId="307A61BB" w14:textId="77777777" w:rsidR="009C6543" w:rsidRPr="00B44B19" w:rsidRDefault="009C6543" w:rsidP="00C93D8C">
            <w:pPr>
              <w:contextualSpacing/>
              <w:jc w:val="both"/>
              <w:rPr>
                <w:rFonts w:eastAsia="Times New Roman" w:cs="Times New Roman"/>
                <w:bCs/>
                <w:iCs/>
                <w:sz w:val="22"/>
              </w:rPr>
            </w:pPr>
            <w:r w:rsidRPr="00B44B19">
              <w:rPr>
                <w:rFonts w:eastAsia="Times New Roman" w:cs="Times New Roman"/>
                <w:sz w:val="22"/>
              </w:rPr>
              <w:t>Darbo našumas Lietuvoje</w:t>
            </w:r>
            <w:r w:rsidRPr="00B44B19" w:rsidDel="00A97B24">
              <w:rPr>
                <w:rFonts w:eastAsia="Times New Roman" w:cs="Times New Roman"/>
                <w:sz w:val="22"/>
              </w:rPr>
              <w:t xml:space="preserve"> </w:t>
            </w:r>
            <w:r w:rsidR="00122134" w:rsidRPr="00B44B19">
              <w:rPr>
                <w:rFonts w:eastAsia="Times New Roman" w:cs="Times New Roman"/>
                <w:sz w:val="22"/>
              </w:rPr>
              <w:t>2020</w:t>
            </w:r>
            <w:r w:rsidR="00957D6F" w:rsidRPr="00B44B19">
              <w:rPr>
                <w:rFonts w:eastAsia="Times New Roman" w:cs="Times New Roman"/>
                <w:sz w:val="22"/>
              </w:rPr>
              <w:t xml:space="preserve"> </w:t>
            </w:r>
            <w:r w:rsidRPr="00B44B19">
              <w:rPr>
                <w:rFonts w:eastAsia="Times New Roman" w:cs="Times New Roman"/>
                <w:sz w:val="22"/>
              </w:rPr>
              <w:t xml:space="preserve">m. siekė tik </w:t>
            </w:r>
            <w:r w:rsidR="00122134" w:rsidRPr="00B44B19">
              <w:rPr>
                <w:rFonts w:eastAsia="Times New Roman" w:cs="Times New Roman"/>
                <w:sz w:val="22"/>
              </w:rPr>
              <w:t>81,5 </w:t>
            </w:r>
            <w:r w:rsidR="00C93D8C" w:rsidRPr="00B44B19">
              <w:rPr>
                <w:rFonts w:eastAsia="Times New Roman" w:cs="Times New Roman"/>
                <w:sz w:val="22"/>
              </w:rPr>
              <w:t>%</w:t>
            </w:r>
            <w:r w:rsidRPr="00B44B19">
              <w:rPr>
                <w:rFonts w:eastAsia="Times New Roman" w:cs="Times New Roman"/>
                <w:sz w:val="22"/>
              </w:rPr>
              <w:t xml:space="preserve"> ES vidurkio. </w:t>
            </w:r>
            <w:r w:rsidRPr="00B44B19">
              <w:rPr>
                <w:rFonts w:cs="Times New Roman"/>
                <w:sz w:val="22"/>
              </w:rPr>
              <w:t>Šalies įmonės daugiausia konkuruoja žemos pridėtinės vertės veiklose.</w:t>
            </w:r>
            <w:r w:rsidRPr="00B44B19">
              <w:rPr>
                <w:rFonts w:eastAsia="Times New Roman" w:cs="Times New Roman"/>
                <w:sz w:val="22"/>
              </w:rPr>
              <w:t xml:space="preserve"> Iššūkį stiprina neigiamos demografinės tendencijos, </w:t>
            </w:r>
            <w:r w:rsidR="00340CB1" w:rsidRPr="00B44B19">
              <w:rPr>
                <w:rFonts w:eastAsia="Times New Roman" w:cs="Times New Roman"/>
                <w:sz w:val="22"/>
              </w:rPr>
              <w:t>kvalifikuotos darbo jėgos, inovacijų ir investicijų stoka, augančios darbo sąnaudos.</w:t>
            </w:r>
            <w:r w:rsidRPr="00B44B19">
              <w:rPr>
                <w:rFonts w:eastAsia="Times New Roman" w:cs="Times New Roman"/>
                <w:sz w:val="22"/>
              </w:rPr>
              <w:t xml:space="preserve"> </w:t>
            </w:r>
            <w:r w:rsidRPr="00B44B19">
              <w:rPr>
                <w:rFonts w:cs="Times New Roman"/>
                <w:sz w:val="22"/>
                <w:szCs w:val="24"/>
              </w:rPr>
              <w:t xml:space="preserve">Finansavimo, reikalingo inovacijoms diegti ir veiklai plėsti, trūkumas yra pagrindinė kliūtis, aktuali 1 iš 8 Lietuvos MVĮ. Toks rodiklis dvigubai didesnis nei vidutiniškai ES. </w:t>
            </w:r>
            <w:r w:rsidRPr="00B44B19">
              <w:rPr>
                <w:rFonts w:eastAsia="Times New Roman" w:cs="Times New Roman"/>
                <w:sz w:val="22"/>
              </w:rPr>
              <w:t xml:space="preserve">Dėl to </w:t>
            </w:r>
            <w:r w:rsidRPr="00B44B19">
              <w:rPr>
                <w:rFonts w:cs="Times New Roman"/>
                <w:sz w:val="22"/>
              </w:rPr>
              <w:t>svarbu investuoti į inovatyvaus verslo plėtrą, skatint</w:t>
            </w:r>
            <w:r w:rsidR="00340CB1" w:rsidRPr="00B44B19">
              <w:rPr>
                <w:rFonts w:cs="Times New Roman"/>
                <w:sz w:val="22"/>
              </w:rPr>
              <w:t>i pradedančiųjų SVV subjektų akc</w:t>
            </w:r>
            <w:r w:rsidRPr="00B44B19">
              <w:rPr>
                <w:rFonts w:cs="Times New Roman"/>
                <w:sz w:val="22"/>
              </w:rPr>
              <w:t>eleravimą ir plėtrą, MVĮ tarptautiškumą bei įsitraukimą į TVG. Š</w:t>
            </w:r>
            <w:r w:rsidRPr="00B44B19">
              <w:rPr>
                <w:rFonts w:eastAsia="Calibri" w:cs="Times New Roman"/>
                <w:noProof/>
                <w:sz w:val="22"/>
                <w:lang w:eastAsia="lt-LT" w:bidi="lt-LT"/>
              </w:rPr>
              <w:t xml:space="preserve">io tikslo investicijomis siekiama, kad </w:t>
            </w:r>
            <w:r w:rsidR="00340CB1" w:rsidRPr="00B44B19">
              <w:rPr>
                <w:rFonts w:eastAsia="Calibri" w:cs="Times New Roman"/>
                <w:noProof/>
                <w:sz w:val="22"/>
                <w:lang w:eastAsia="lt-LT" w:bidi="lt-LT"/>
              </w:rPr>
              <w:t xml:space="preserve">pagal </w:t>
            </w:r>
            <w:r w:rsidRPr="00B44B19">
              <w:rPr>
                <w:rFonts w:eastAsia="Calibri" w:cs="Times New Roman"/>
                <w:noProof/>
                <w:sz w:val="22"/>
                <w:lang w:eastAsia="lt-LT" w:bidi="lt-LT"/>
              </w:rPr>
              <w:t>Pasaulio konkurencingumo indeks</w:t>
            </w:r>
            <w:r w:rsidR="00340CB1" w:rsidRPr="00B44B19">
              <w:rPr>
                <w:rFonts w:eastAsia="Calibri" w:cs="Times New Roman"/>
                <w:noProof/>
                <w:sz w:val="22"/>
                <w:lang w:eastAsia="lt-LT" w:bidi="lt-LT"/>
              </w:rPr>
              <w:t>ą</w:t>
            </w:r>
            <w:r w:rsidRPr="00B44B19">
              <w:rPr>
                <w:rFonts w:eastAsia="Calibri" w:cs="Times New Roman"/>
                <w:noProof/>
                <w:sz w:val="22"/>
                <w:lang w:eastAsia="lt-LT" w:bidi="lt-LT"/>
              </w:rPr>
              <w:t xml:space="preserve"> Lietuva </w:t>
            </w:r>
            <w:r w:rsidRPr="00B44B19">
              <w:rPr>
                <w:rFonts w:eastAsia="Times New Roman" w:cs="Times New Roman"/>
                <w:bCs/>
                <w:iCs/>
                <w:sz w:val="22"/>
              </w:rPr>
              <w:t xml:space="preserve">iki </w:t>
            </w:r>
            <w:r w:rsidRPr="00B44B19">
              <w:rPr>
                <w:rFonts w:eastAsia="Times New Roman" w:cs="Times New Roman"/>
                <w:b/>
                <w:bCs/>
                <w:iCs/>
                <w:sz w:val="22"/>
              </w:rPr>
              <w:t>2030 m.</w:t>
            </w:r>
            <w:r w:rsidRPr="00B44B19">
              <w:rPr>
                <w:rFonts w:eastAsia="Times New Roman" w:cs="Times New Roman"/>
                <w:bCs/>
                <w:iCs/>
                <w:sz w:val="22"/>
              </w:rPr>
              <w:t xml:space="preserve"> pakiltų iš 39 vietos į </w:t>
            </w:r>
            <w:r w:rsidRPr="00B44B19">
              <w:rPr>
                <w:rFonts w:eastAsia="Times New Roman" w:cs="Times New Roman"/>
                <w:b/>
                <w:bCs/>
                <w:iCs/>
                <w:sz w:val="22"/>
              </w:rPr>
              <w:t>30 vietą</w:t>
            </w:r>
            <w:r w:rsidRPr="00B44B19">
              <w:rPr>
                <w:rFonts w:eastAsia="Times New Roman" w:cs="Times New Roman"/>
                <w:bCs/>
                <w:iCs/>
                <w:sz w:val="22"/>
              </w:rPr>
              <w:t>.</w:t>
            </w:r>
          </w:p>
          <w:p w14:paraId="62040C23" w14:textId="77777777" w:rsidR="009C6543" w:rsidRPr="00B44B19" w:rsidRDefault="009C6543" w:rsidP="009C6543">
            <w:pPr>
              <w:jc w:val="both"/>
              <w:rPr>
                <w:rFonts w:eastAsia="Times New Roman" w:cs="Times New Roman"/>
                <w:bCs/>
                <w:iCs/>
                <w:sz w:val="22"/>
              </w:rPr>
            </w:pPr>
            <w:r w:rsidRPr="00B44B19">
              <w:rPr>
                <w:rFonts w:eastAsia="Times New Roman" w:cs="Times New Roman"/>
                <w:sz w:val="22"/>
              </w:rPr>
              <w:t xml:space="preserve">Atsižvelgiant į žemą verslumo lygį VVL regione, investicijos bus telkiamos šiame regione. Taip pat bus investuojama į naujų užsienio rinkų paiešką </w:t>
            </w:r>
            <w:r w:rsidR="00340CB1" w:rsidRPr="00B44B19">
              <w:rPr>
                <w:rFonts w:eastAsia="Times New Roman" w:cs="Times New Roman"/>
                <w:sz w:val="22"/>
              </w:rPr>
              <w:t xml:space="preserve">ir </w:t>
            </w:r>
            <w:r w:rsidRPr="00B44B19">
              <w:rPr>
                <w:rFonts w:eastAsia="Times New Roman" w:cs="Times New Roman"/>
                <w:sz w:val="22"/>
              </w:rPr>
              <w:t xml:space="preserve">esamų plėtrą, įskaitant Sostinės regioną. Įvertinus </w:t>
            </w:r>
            <w:r w:rsidRPr="00B44B19">
              <w:rPr>
                <w:rFonts w:cs="Times New Roman"/>
                <w:sz w:val="22"/>
              </w:rPr>
              <w:t xml:space="preserve">mažo tarptautinio konkurencingumo ir žemo darbo našumo problemas, </w:t>
            </w:r>
            <w:r w:rsidRPr="00B44B19">
              <w:rPr>
                <w:rFonts w:eastAsia="Times New Roman" w:cs="Times New Roman"/>
                <w:bCs/>
                <w:sz w:val="22"/>
              </w:rPr>
              <w:t>MVĮ bus skatinamos investuoti į skaitmeninimo technologijų diegimą</w:t>
            </w:r>
            <w:r w:rsidR="00340CB1" w:rsidRPr="00B44B19">
              <w:rPr>
                <w:rFonts w:eastAsia="Times New Roman" w:cs="Times New Roman"/>
                <w:bCs/>
                <w:sz w:val="22"/>
              </w:rPr>
              <w:t xml:space="preserve"> abiejuose regionuose</w:t>
            </w:r>
            <w:r w:rsidRPr="00B44B19">
              <w:rPr>
                <w:rFonts w:eastAsia="Times New Roman" w:cs="Times New Roman"/>
                <w:bCs/>
                <w:sz w:val="22"/>
              </w:rPr>
              <w:t>.</w:t>
            </w:r>
            <w:r w:rsidRPr="00B44B19">
              <w:rPr>
                <w:rFonts w:eastAsia="Times New Roman" w:cs="Times New Roman"/>
                <w:bCs/>
                <w:iCs/>
                <w:sz w:val="22"/>
              </w:rPr>
              <w:t xml:space="preserve"> </w:t>
            </w:r>
          </w:p>
          <w:p w14:paraId="08F77E9C" w14:textId="69B0417D" w:rsidR="00756732" w:rsidRPr="00B44B19" w:rsidRDefault="009C6543" w:rsidP="00B84183">
            <w:pPr>
              <w:jc w:val="both"/>
              <w:rPr>
                <w:rFonts w:eastAsia="Times New Roman" w:cs="Times New Roman"/>
                <w:bCs/>
                <w:sz w:val="22"/>
              </w:rPr>
            </w:pPr>
            <w:r w:rsidRPr="00B44B19">
              <w:rPr>
                <w:rFonts w:eastAsia="Times New Roman" w:cs="Times New Roman"/>
                <w:sz w:val="22"/>
              </w:rPr>
              <w:t xml:space="preserve">Pasirenkama </w:t>
            </w:r>
            <w:r w:rsidRPr="00B44B19">
              <w:rPr>
                <w:rFonts w:eastAsia="Times New Roman" w:cs="Times New Roman"/>
                <w:b/>
                <w:sz w:val="22"/>
              </w:rPr>
              <w:t>finansavimo forma</w:t>
            </w:r>
            <w:r w:rsidRPr="00B44B19">
              <w:rPr>
                <w:rFonts w:eastAsia="Times New Roman" w:cs="Times New Roman"/>
                <w:sz w:val="22"/>
              </w:rPr>
              <w:t xml:space="preserve"> VVL – </w:t>
            </w:r>
            <w:r w:rsidR="00196AD4" w:rsidRPr="00B44B19">
              <w:rPr>
                <w:rFonts w:eastAsia="Times New Roman" w:cs="Times New Roman"/>
                <w:sz w:val="22"/>
              </w:rPr>
              <w:t>dotacija</w:t>
            </w:r>
            <w:r w:rsidRPr="00B44B19">
              <w:rPr>
                <w:rFonts w:eastAsia="Times New Roman" w:cs="Times New Roman"/>
                <w:sz w:val="22"/>
              </w:rPr>
              <w:t xml:space="preserve"> dėl skatinamojo poveikio ir veiklų, kurios negeneruoja pajamų, pobūdžio. Tačiau bus naudojamos </w:t>
            </w:r>
            <w:r w:rsidR="00E65EDF" w:rsidRPr="00B44B19">
              <w:rPr>
                <w:rFonts w:eastAsia="Times New Roman" w:cs="Times New Roman"/>
                <w:sz w:val="22"/>
              </w:rPr>
              <w:t xml:space="preserve">ir </w:t>
            </w:r>
            <w:r w:rsidRPr="00B44B19">
              <w:rPr>
                <w:rFonts w:eastAsia="Times New Roman" w:cs="Times New Roman"/>
                <w:sz w:val="22"/>
              </w:rPr>
              <w:t xml:space="preserve">finansinės priemonės, skirtos finansinių šaltinių prieinamumui užtikrinti </w:t>
            </w:r>
            <w:r w:rsidR="00540079" w:rsidRPr="00B44B19">
              <w:rPr>
                <w:rFonts w:eastAsia="Times New Roman" w:cs="Times New Roman"/>
                <w:sz w:val="22"/>
              </w:rPr>
              <w:t xml:space="preserve">veiklą </w:t>
            </w:r>
            <w:r w:rsidRPr="00B44B19">
              <w:rPr>
                <w:rFonts w:eastAsia="Times New Roman" w:cs="Times New Roman"/>
                <w:sz w:val="22"/>
              </w:rPr>
              <w:t>pradedantie</w:t>
            </w:r>
            <w:r w:rsidR="00340CB1" w:rsidRPr="00B44B19">
              <w:rPr>
                <w:rFonts w:eastAsia="Times New Roman" w:cs="Times New Roman"/>
                <w:sz w:val="22"/>
              </w:rPr>
              <w:t>sie</w:t>
            </w:r>
            <w:r w:rsidRPr="00B44B19">
              <w:rPr>
                <w:rFonts w:eastAsia="Times New Roman" w:cs="Times New Roman"/>
                <w:sz w:val="22"/>
              </w:rPr>
              <w:t>ms SVV subjektams</w:t>
            </w:r>
            <w:r w:rsidR="00834B44" w:rsidRPr="00B44B19">
              <w:rPr>
                <w:rFonts w:eastAsia="Times New Roman" w:cs="Times New Roman"/>
                <w:sz w:val="22"/>
              </w:rPr>
              <w:t>, įskaitant rizikos kapitalo investicijas bei paskolas</w:t>
            </w:r>
            <w:r w:rsidR="00E10239" w:rsidRPr="00B44B19">
              <w:rPr>
                <w:rFonts w:eastAsia="Times New Roman" w:cs="Times New Roman"/>
                <w:sz w:val="22"/>
              </w:rPr>
              <w:t xml:space="preserve"> </w:t>
            </w:r>
            <w:r w:rsidR="00E10239" w:rsidRPr="00B44B19">
              <w:rPr>
                <w:rFonts w:cs="Times New Roman"/>
                <w:sz w:val="22"/>
              </w:rPr>
              <w:t>dėl perspektyvių ir augančių SVV subjektų galimo pajamų generavimo</w:t>
            </w:r>
            <w:r w:rsidRPr="00B44B19">
              <w:rPr>
                <w:rFonts w:eastAsia="Times New Roman" w:cs="Times New Roman"/>
                <w:sz w:val="22"/>
              </w:rPr>
              <w:t>. V</w:t>
            </w:r>
            <w:r w:rsidRPr="00B44B19">
              <w:rPr>
                <w:rFonts w:cs="Times New Roman"/>
                <w:sz w:val="22"/>
                <w:lang w:eastAsia="lt-LT"/>
              </w:rPr>
              <w:t>eikloms</w:t>
            </w:r>
            <w:r w:rsidR="00E10239" w:rsidRPr="00B44B19">
              <w:rPr>
                <w:rFonts w:cs="Times New Roman"/>
                <w:sz w:val="22"/>
                <w:lang w:eastAsia="lt-LT"/>
              </w:rPr>
              <w:t>, skirtoms</w:t>
            </w:r>
            <w:r w:rsidRPr="00B44B19">
              <w:rPr>
                <w:rFonts w:cs="Times New Roman"/>
                <w:sz w:val="22"/>
                <w:lang w:eastAsia="lt-LT"/>
              </w:rPr>
              <w:t xml:space="preserve"> </w:t>
            </w:r>
            <w:r w:rsidR="00E10239" w:rsidRPr="00B44B19">
              <w:rPr>
                <w:rFonts w:cs="Times New Roman"/>
                <w:sz w:val="22"/>
              </w:rPr>
              <w:t>s</w:t>
            </w:r>
            <w:r w:rsidRPr="00B44B19">
              <w:rPr>
                <w:rFonts w:cs="Times New Roman"/>
                <w:sz w:val="22"/>
              </w:rPr>
              <w:t xml:space="preserve">katinti trumpų vertės kūrimo grandinių formavimąsi ir plėtrą tarp MVĮ </w:t>
            </w:r>
            <w:r w:rsidR="00FA654E" w:rsidRPr="00B44B19">
              <w:rPr>
                <w:rFonts w:cs="Times New Roman"/>
                <w:sz w:val="22"/>
              </w:rPr>
              <w:t>bei gynybos ir saugumo pramonės sektoriaus MVĮ, pramonės įmonių bei gynybos ir saugumo pramonės sektoriaus įmonių gamybos</w:t>
            </w:r>
            <w:r w:rsidR="00C64771" w:rsidRPr="00B44B19">
              <w:rPr>
                <w:rFonts w:cs="Times New Roman"/>
                <w:sz w:val="22"/>
              </w:rPr>
              <w:t xml:space="preserve"> ir verslo</w:t>
            </w:r>
            <w:r w:rsidR="00FA654E" w:rsidRPr="00B44B19">
              <w:rPr>
                <w:rFonts w:cs="Times New Roman"/>
                <w:sz w:val="22"/>
              </w:rPr>
              <w:t xml:space="preserve"> procesų automatizavimą ir skaitmeninimo technologijų diegimą</w:t>
            </w:r>
            <w:r w:rsidR="00FA654E" w:rsidRPr="00B44B19">
              <w:rPr>
                <w:rFonts w:cs="Times New Roman"/>
                <w:color w:val="000000"/>
                <w:sz w:val="22"/>
              </w:rPr>
              <w:t xml:space="preserve">, kurios 2014–2020 m. laikotarpiu buvo įgyvendinamos dotacijos forma, bet pasižymi atsiperkamumu vidutinės trukmės laikotarpiu, taip pat planuojama taikyti finansines priemones, </w:t>
            </w:r>
            <w:r w:rsidR="00FA654E" w:rsidRPr="00B44B19">
              <w:rPr>
                <w:rFonts w:cs="Times New Roman"/>
                <w:sz w:val="22"/>
              </w:rPr>
              <w:t>paskola</w:t>
            </w:r>
            <w:r w:rsidR="00E234BD" w:rsidRPr="00B44B19">
              <w:rPr>
                <w:rFonts w:cs="Times New Roman"/>
                <w:sz w:val="22"/>
              </w:rPr>
              <w:t>s</w:t>
            </w:r>
            <w:r w:rsidR="00FA654E" w:rsidRPr="00B44B19">
              <w:rPr>
                <w:rFonts w:cs="Times New Roman"/>
                <w:sz w:val="22"/>
              </w:rPr>
              <w:t xml:space="preserve"> derinant su dotacijomis</w:t>
            </w:r>
            <w:r w:rsidR="00C64771" w:rsidRPr="00B44B19">
              <w:rPr>
                <w:rFonts w:eastAsia="Times New Roman" w:cs="Times New Roman"/>
                <w:bCs/>
                <w:sz w:val="22"/>
              </w:rPr>
              <w:t>.</w:t>
            </w:r>
          </w:p>
        </w:tc>
      </w:tr>
      <w:tr w:rsidR="00756732" w:rsidRPr="00B44B19" w14:paraId="2A9EDE12" w14:textId="77777777" w:rsidTr="00EB70C3">
        <w:tc>
          <w:tcPr>
            <w:tcW w:w="1350" w:type="pct"/>
            <w:vMerge/>
          </w:tcPr>
          <w:p w14:paraId="1988B26F" w14:textId="77777777" w:rsidR="00756732" w:rsidRPr="00B44B19" w:rsidRDefault="00756732" w:rsidP="00EB70C3">
            <w:pPr>
              <w:pStyle w:val="Sraopastraipa"/>
              <w:ind w:left="0" w:right="35"/>
              <w:rPr>
                <w:rFonts w:cs="Times New Roman"/>
                <w:b/>
                <w:bCs/>
                <w:iCs/>
                <w:sz w:val="22"/>
                <w:lang w:bidi="lt-LT"/>
              </w:rPr>
            </w:pPr>
          </w:p>
        </w:tc>
        <w:tc>
          <w:tcPr>
            <w:tcW w:w="1079" w:type="pct"/>
          </w:tcPr>
          <w:p w14:paraId="2C31FB15" w14:textId="77777777" w:rsidR="005C0126" w:rsidRPr="00B44B19" w:rsidRDefault="00756732" w:rsidP="00A44246">
            <w:pPr>
              <w:rPr>
                <w:rFonts w:cs="Times New Roman"/>
                <w:bCs/>
                <w:iCs/>
                <w:sz w:val="22"/>
                <w:lang w:bidi="lt-LT"/>
              </w:rPr>
            </w:pPr>
            <w:r w:rsidRPr="00B44B19">
              <w:rPr>
                <w:rFonts w:cs="Times New Roman"/>
                <w:bCs/>
                <w:iCs/>
                <w:sz w:val="22"/>
                <w:lang w:bidi="lt-LT"/>
              </w:rPr>
              <w:t xml:space="preserve">1.4. Ugdyti pažangiajai specializacijai, pramonės </w:t>
            </w:r>
            <w:r w:rsidR="00A44246" w:rsidRPr="00B44B19">
              <w:rPr>
                <w:rFonts w:cs="Times New Roman"/>
                <w:bCs/>
                <w:iCs/>
                <w:sz w:val="22"/>
                <w:lang w:bidi="lt-LT"/>
              </w:rPr>
              <w:t>pertvarkai</w:t>
            </w:r>
            <w:r w:rsidRPr="00B44B19">
              <w:rPr>
                <w:rFonts w:cs="Times New Roman"/>
                <w:bCs/>
                <w:iCs/>
                <w:sz w:val="22"/>
                <w:lang w:bidi="lt-LT"/>
              </w:rPr>
              <w:t xml:space="preserve"> </w:t>
            </w:r>
            <w:r w:rsidRPr="00B44B19">
              <w:rPr>
                <w:rFonts w:cs="Times New Roman"/>
                <w:bCs/>
                <w:iCs/>
                <w:sz w:val="22"/>
                <w:lang w:bidi="lt-LT"/>
              </w:rPr>
              <w:lastRenderedPageBreak/>
              <w:t>ir verslumui reikalingus įgūdžius.</w:t>
            </w:r>
          </w:p>
        </w:tc>
        <w:tc>
          <w:tcPr>
            <w:tcW w:w="2571" w:type="pct"/>
          </w:tcPr>
          <w:p w14:paraId="147A154C" w14:textId="77777777" w:rsidR="00340CB1" w:rsidRPr="00B44B19" w:rsidRDefault="00340CB1" w:rsidP="00340CB1">
            <w:pPr>
              <w:jc w:val="both"/>
              <w:rPr>
                <w:rFonts w:cs="Times New Roman"/>
                <w:b/>
                <w:bCs/>
                <w:sz w:val="22"/>
                <w:lang w:bidi="lt-LT"/>
              </w:rPr>
            </w:pPr>
            <w:r w:rsidRPr="00B44B19">
              <w:rPr>
                <w:rFonts w:cs="Times New Roman"/>
                <w:bCs/>
                <w:sz w:val="22"/>
                <w:lang w:bidi="lt-LT"/>
              </w:rPr>
              <w:lastRenderedPageBreak/>
              <w:t>Vykdant šio konkretaus uždavinio veiklas įgyvendinama</w:t>
            </w:r>
            <w:r w:rsidR="00AD1B33" w:rsidRPr="00B44B19">
              <w:rPr>
                <w:rFonts w:cs="Times New Roman"/>
                <w:b/>
                <w:bCs/>
                <w:sz w:val="22"/>
                <w:lang w:bidi="lt-LT"/>
              </w:rPr>
              <w:t xml:space="preserve"> S4.</w:t>
            </w:r>
          </w:p>
          <w:p w14:paraId="2A8FAEB9" w14:textId="77777777" w:rsidR="00340CB1" w:rsidRPr="00B44B19" w:rsidRDefault="00BE77C8" w:rsidP="00340CB1">
            <w:pPr>
              <w:jc w:val="both"/>
              <w:rPr>
                <w:rFonts w:cs="Times New Roman"/>
                <w:bCs/>
                <w:sz w:val="22"/>
                <w:lang w:bidi="lt-LT"/>
              </w:rPr>
            </w:pPr>
            <w:r w:rsidRPr="00B44B19">
              <w:rPr>
                <w:rFonts w:cs="Times New Roman"/>
                <w:bCs/>
                <w:sz w:val="22"/>
                <w:lang w:bidi="lt-LT"/>
              </w:rPr>
              <w:t xml:space="preserve">Siekiant spręsti iššūkius ir problemas, kylančias </w:t>
            </w:r>
            <w:r w:rsidR="00AD1B33" w:rsidRPr="00B44B19">
              <w:rPr>
                <w:rFonts w:cs="Times New Roman"/>
                <w:bCs/>
                <w:sz w:val="22"/>
                <w:lang w:bidi="lt-LT"/>
              </w:rPr>
              <w:t>S4</w:t>
            </w:r>
            <w:r w:rsidRPr="00B44B19">
              <w:rPr>
                <w:rFonts w:cs="Times New Roman"/>
                <w:bCs/>
                <w:sz w:val="22"/>
                <w:lang w:bidi="lt-LT"/>
              </w:rPr>
              <w:t xml:space="preserve"> srityje ir identifikuotas VGPP metu, susijusias su pramonės pertvarka, ypatingas dėmesys skiriamas </w:t>
            </w:r>
            <w:r w:rsidRPr="00B44B19">
              <w:rPr>
                <w:rFonts w:cs="Times New Roman"/>
                <w:bCs/>
                <w:sz w:val="22"/>
                <w:lang w:bidi="lt-LT"/>
              </w:rPr>
              <w:lastRenderedPageBreak/>
              <w:t>skaitmeninių įgūdžių ugdymui ir tobulinimui.</w:t>
            </w:r>
            <w:r w:rsidR="00340CB1" w:rsidRPr="00B44B19">
              <w:rPr>
                <w:rFonts w:cs="Times New Roman"/>
                <w:bCs/>
                <w:sz w:val="22"/>
                <w:lang w:bidi="lt-LT"/>
              </w:rPr>
              <w:t xml:space="preserve"> Tai sudarys sąlygas tvariam, inovacijomis grįstam ekonomikos augimui. </w:t>
            </w:r>
          </w:p>
          <w:p w14:paraId="652EA5D4" w14:textId="77777777" w:rsidR="00340CB1" w:rsidRPr="00B44B19" w:rsidRDefault="00340CB1" w:rsidP="00340CB1">
            <w:pPr>
              <w:jc w:val="both"/>
              <w:rPr>
                <w:rFonts w:cs="Times New Roman"/>
                <w:sz w:val="22"/>
                <w:lang w:bidi="lt-LT"/>
              </w:rPr>
            </w:pPr>
            <w:r w:rsidRPr="00B44B19">
              <w:rPr>
                <w:rFonts w:cs="Times New Roman"/>
                <w:sz w:val="22"/>
                <w:lang w:bidi="lt-LT"/>
              </w:rPr>
              <w:t xml:space="preserve">Siekiant paskatinti perėjimą prie žiniomis grindžiamos ir didesnės pridėtinės vertės ekonomikos, bus investuojama į tas VGPP metu (reikiamų įgūdžių sąrašas parengtas, pasikonsultavus su VGPP dalyviais, prioritetų vadovais, </w:t>
            </w:r>
            <w:r w:rsidR="00BE77C8" w:rsidRPr="00B44B19">
              <w:rPr>
                <w:rFonts w:cs="Times New Roman"/>
                <w:sz w:val="22"/>
                <w:lang w:bidi="lt-LT"/>
              </w:rPr>
              <w:t>per diskusijas</w:t>
            </w:r>
            <w:r w:rsidRPr="00B44B19">
              <w:rPr>
                <w:rFonts w:cs="Times New Roman"/>
                <w:sz w:val="22"/>
                <w:lang w:bidi="lt-LT"/>
              </w:rPr>
              <w:t xml:space="preserve"> grupėse, atlikus rezultatų analizę) nustatytas </w:t>
            </w:r>
            <w:r w:rsidR="00AD1B33" w:rsidRPr="00B44B19">
              <w:rPr>
                <w:rFonts w:cs="Times New Roman"/>
                <w:sz w:val="22"/>
                <w:lang w:bidi="lt-LT"/>
              </w:rPr>
              <w:t xml:space="preserve">S4 </w:t>
            </w:r>
            <w:r w:rsidRPr="00B44B19">
              <w:rPr>
                <w:rFonts w:cs="Times New Roman"/>
                <w:sz w:val="22"/>
                <w:lang w:bidi="lt-LT"/>
              </w:rPr>
              <w:t xml:space="preserve">sričių darbuotojų kompetencijas ir įgūdžius, kurie reikalingi MVĮ (dominuojančioms pramonės srityje). Taip pat bus stiprinami ir kitų VGPP dalyvaujančių subjektų darbuotojų gebėjimai įgyvendinti </w:t>
            </w:r>
            <w:r w:rsidR="00AD1B33" w:rsidRPr="00B44B19">
              <w:rPr>
                <w:rFonts w:cs="Times New Roman"/>
                <w:sz w:val="22"/>
                <w:lang w:bidi="lt-LT"/>
              </w:rPr>
              <w:t>S4.</w:t>
            </w:r>
            <w:r w:rsidRPr="00B44B19">
              <w:rPr>
                <w:rFonts w:cs="Times New Roman"/>
                <w:sz w:val="22"/>
                <w:lang w:bidi="lt-LT"/>
              </w:rPr>
              <w:t xml:space="preserve"> </w:t>
            </w:r>
            <w:r w:rsidR="00BE77C8" w:rsidRPr="00B44B19">
              <w:rPr>
                <w:rFonts w:cs="Times New Roman"/>
                <w:sz w:val="22"/>
                <w:lang w:bidi="lt-LT"/>
              </w:rPr>
              <w:t>Planuojama investuoti į skirtingų įgūdžių, reikalingų viso inovacijų vadybos ciklo metu (nuo planavimo iki kontrolės), lavinimą.</w:t>
            </w:r>
          </w:p>
          <w:p w14:paraId="499C9FD0" w14:textId="77777777" w:rsidR="00340CB1" w:rsidRPr="00B44B19" w:rsidRDefault="00340CB1" w:rsidP="00340CB1">
            <w:pPr>
              <w:jc w:val="both"/>
              <w:rPr>
                <w:rFonts w:eastAsia="Calibri" w:cs="Times New Roman"/>
                <w:sz w:val="22"/>
              </w:rPr>
            </w:pPr>
            <w:r w:rsidRPr="00B44B19">
              <w:rPr>
                <w:rFonts w:eastAsia="Times New Roman" w:cs="Times New Roman"/>
                <w:sz w:val="22"/>
                <w:lang w:val="lt"/>
              </w:rPr>
              <w:t xml:space="preserve">Siekiant stiprinti žinių ir technologijų perdavimo grandį, bus skatinamas MSI atžalinių (angl. </w:t>
            </w:r>
            <w:r w:rsidRPr="00B44B19">
              <w:rPr>
                <w:rFonts w:eastAsia="Times New Roman" w:cs="Times New Roman"/>
                <w:i/>
                <w:iCs/>
                <w:sz w:val="22"/>
                <w:lang w:val="lt"/>
              </w:rPr>
              <w:t>spin-off</w:t>
            </w:r>
            <w:r w:rsidRPr="00B44B19">
              <w:rPr>
                <w:rFonts w:eastAsia="Times New Roman" w:cs="Times New Roman"/>
                <w:sz w:val="22"/>
                <w:lang w:val="lt"/>
              </w:rPr>
              <w:t xml:space="preserve">) įmonių kūrimas: numatomos MSI atžalinių įmonių vystymui skirtos akceleravimo priemonės, pagal kurias teikiama kompleksinė pagalba, mentorystės, preakceleravimo </w:t>
            </w:r>
            <w:r w:rsidR="00BE77C8" w:rsidRPr="00B44B19">
              <w:rPr>
                <w:rFonts w:eastAsia="Times New Roman" w:cs="Times New Roman"/>
                <w:sz w:val="22"/>
                <w:lang w:val="lt"/>
              </w:rPr>
              <w:t>įrankiai, skirti studentų ir tyrėjų idėjoms vystyti.</w:t>
            </w:r>
          </w:p>
          <w:p w14:paraId="18ABDAB0" w14:textId="77777777" w:rsidR="00756732" w:rsidRPr="00B44B19" w:rsidRDefault="009C6543" w:rsidP="009C6543">
            <w:pPr>
              <w:jc w:val="both"/>
              <w:rPr>
                <w:rFonts w:cs="Times New Roman"/>
                <w:bCs/>
                <w:sz w:val="22"/>
                <w:lang w:bidi="lt-LT"/>
              </w:rPr>
            </w:pPr>
            <w:r w:rsidRPr="00B44B19">
              <w:rPr>
                <w:rFonts w:cs="Times New Roman"/>
                <w:bCs/>
                <w:sz w:val="22"/>
                <w:lang w:bidi="lt-LT"/>
              </w:rPr>
              <w:t xml:space="preserve">Pasirenkama </w:t>
            </w:r>
            <w:r w:rsidRPr="00B44B19">
              <w:rPr>
                <w:rFonts w:cs="Times New Roman"/>
                <w:b/>
                <w:bCs/>
                <w:sz w:val="22"/>
                <w:lang w:bidi="lt-LT"/>
              </w:rPr>
              <w:t>finansavimo forma</w:t>
            </w:r>
            <w:r w:rsidR="00340CB1" w:rsidRPr="00B44B19">
              <w:rPr>
                <w:rFonts w:cs="Times New Roman"/>
                <w:bCs/>
                <w:sz w:val="22"/>
                <w:lang w:bidi="lt-LT"/>
              </w:rPr>
              <w:t xml:space="preserve"> – </w:t>
            </w:r>
            <w:r w:rsidR="00196AD4" w:rsidRPr="00B44B19">
              <w:rPr>
                <w:rFonts w:cs="Times New Roman"/>
                <w:bCs/>
                <w:sz w:val="22"/>
                <w:lang w:bidi="lt-LT"/>
              </w:rPr>
              <w:t>dotacija</w:t>
            </w:r>
            <w:r w:rsidRPr="00B44B19">
              <w:rPr>
                <w:rFonts w:cs="Times New Roman"/>
                <w:bCs/>
                <w:sz w:val="22"/>
                <w:lang w:bidi="lt-LT"/>
              </w:rPr>
              <w:t xml:space="preserve"> dėl jos skatinamojo poveikio. Planuojamos vykdyti veiklos dėl savo specifikos nėra tiesiogiai susijusios su ekonomine veikla ir pelno siekimu. Kadangi investicijos nukreipiamos į žmogiškųjų išteklių kompetencijų ugdymo veiklas, kurios negeneruoja tiesioginių pajamų, todėl neplanuojama taikyti finansinių priemonių.</w:t>
            </w:r>
          </w:p>
          <w:p w14:paraId="13F1498A" w14:textId="77777777" w:rsidR="00DE4B12" w:rsidRPr="00B44B19" w:rsidRDefault="00DE4B12" w:rsidP="00DD30AA">
            <w:pPr>
              <w:jc w:val="both"/>
              <w:rPr>
                <w:rFonts w:cs="Times New Roman"/>
                <w:bCs/>
                <w:sz w:val="22"/>
                <w:lang w:bidi="lt-LT"/>
              </w:rPr>
            </w:pPr>
            <w:r w:rsidRPr="00B44B19">
              <w:rPr>
                <w:rFonts w:eastAsia="Times New Roman" w:cs="Times New Roman"/>
                <w:bCs/>
                <w:sz w:val="22"/>
              </w:rPr>
              <w:t>Siekiant</w:t>
            </w:r>
            <w:r w:rsidRPr="00B44B19">
              <w:rPr>
                <w:rFonts w:eastAsia="Times New Roman" w:cs="Times New Roman"/>
                <w:b/>
                <w:bCs/>
                <w:sz w:val="22"/>
              </w:rPr>
              <w:t xml:space="preserve"> BJRS</w:t>
            </w:r>
            <w:r w:rsidRPr="00B44B19">
              <w:rPr>
                <w:rFonts w:eastAsia="Times New Roman" w:cs="Times New Roman"/>
                <w:bCs/>
                <w:sz w:val="22"/>
              </w:rPr>
              <w:t xml:space="preserve"> politinės srities „Inovacijos“ tikslų,  planuojama bendradarb</w:t>
            </w:r>
            <w:r w:rsidR="00DD30AA" w:rsidRPr="00B44B19">
              <w:rPr>
                <w:rFonts w:eastAsia="Times New Roman" w:cs="Times New Roman"/>
                <w:bCs/>
                <w:sz w:val="22"/>
              </w:rPr>
              <w:t>ia</w:t>
            </w:r>
            <w:r w:rsidRPr="00B44B19">
              <w:rPr>
                <w:rFonts w:eastAsia="Times New Roman" w:cs="Times New Roman"/>
                <w:bCs/>
                <w:sz w:val="22"/>
              </w:rPr>
              <w:t xml:space="preserve">uti tarp BJR šalių </w:t>
            </w:r>
            <w:r w:rsidR="00245348" w:rsidRPr="00B44B19">
              <w:rPr>
                <w:rFonts w:eastAsia="Times New Roman" w:cs="Times New Roman"/>
                <w:bCs/>
                <w:sz w:val="22"/>
              </w:rPr>
              <w:t>ir</w:t>
            </w:r>
            <w:r w:rsidRPr="00B44B19">
              <w:rPr>
                <w:rFonts w:eastAsia="Times New Roman" w:cs="Times New Roman"/>
                <w:bCs/>
                <w:sz w:val="22"/>
              </w:rPr>
              <w:t xml:space="preserve"> formuo</w:t>
            </w:r>
            <w:r w:rsidR="00245348" w:rsidRPr="00B44B19">
              <w:rPr>
                <w:rFonts w:eastAsia="Times New Roman" w:cs="Times New Roman"/>
                <w:bCs/>
                <w:sz w:val="22"/>
              </w:rPr>
              <w:t>t</w:t>
            </w:r>
            <w:r w:rsidRPr="00B44B19">
              <w:rPr>
                <w:rFonts w:eastAsia="Times New Roman" w:cs="Times New Roman"/>
                <w:bCs/>
                <w:sz w:val="22"/>
              </w:rPr>
              <w:t>i tam reikaling</w:t>
            </w:r>
            <w:r w:rsidR="00245348" w:rsidRPr="00B44B19">
              <w:rPr>
                <w:rFonts w:eastAsia="Times New Roman" w:cs="Times New Roman"/>
                <w:bCs/>
                <w:sz w:val="22"/>
              </w:rPr>
              <w:t>us</w:t>
            </w:r>
            <w:r w:rsidRPr="00B44B19">
              <w:rPr>
                <w:rFonts w:eastAsia="Times New Roman" w:cs="Times New Roman"/>
                <w:bCs/>
                <w:sz w:val="22"/>
              </w:rPr>
              <w:t xml:space="preserve"> įgūdž</w:t>
            </w:r>
            <w:r w:rsidR="00245348" w:rsidRPr="00B44B19">
              <w:rPr>
                <w:rFonts w:eastAsia="Times New Roman" w:cs="Times New Roman"/>
                <w:bCs/>
                <w:sz w:val="22"/>
              </w:rPr>
              <w:t>ius</w:t>
            </w:r>
            <w:r w:rsidRPr="00B44B19">
              <w:rPr>
                <w:rFonts w:eastAsia="Times New Roman" w:cs="Times New Roman"/>
                <w:bCs/>
                <w:sz w:val="22"/>
              </w:rPr>
              <w:t>.</w:t>
            </w:r>
          </w:p>
        </w:tc>
      </w:tr>
      <w:tr w:rsidR="007F35A0" w:rsidRPr="00B44B19" w14:paraId="792F37A0" w14:textId="77777777" w:rsidTr="00EB70C3">
        <w:tc>
          <w:tcPr>
            <w:tcW w:w="1350" w:type="pct"/>
            <w:vMerge/>
          </w:tcPr>
          <w:p w14:paraId="513B0823" w14:textId="77777777" w:rsidR="007F35A0" w:rsidRPr="00B44B19" w:rsidRDefault="007F35A0" w:rsidP="007F35A0">
            <w:pPr>
              <w:pStyle w:val="Sraopastraipa"/>
              <w:ind w:left="0" w:right="35"/>
              <w:rPr>
                <w:rFonts w:cs="Times New Roman"/>
                <w:b/>
                <w:bCs/>
                <w:iCs/>
                <w:sz w:val="22"/>
                <w:lang w:bidi="lt-LT"/>
              </w:rPr>
            </w:pPr>
          </w:p>
        </w:tc>
        <w:tc>
          <w:tcPr>
            <w:tcW w:w="1079" w:type="pct"/>
          </w:tcPr>
          <w:p w14:paraId="60B3F8D6" w14:textId="47FDE9D1" w:rsidR="007F35A0" w:rsidRPr="00B44B19" w:rsidRDefault="007F35A0" w:rsidP="007F35A0">
            <w:pPr>
              <w:rPr>
                <w:rFonts w:cs="Times New Roman"/>
                <w:bCs/>
                <w:iCs/>
                <w:sz w:val="22"/>
                <w:lang w:bidi="lt-LT"/>
              </w:rPr>
            </w:pPr>
            <w:r w:rsidRPr="00B44B19">
              <w:rPr>
                <w:rFonts w:cs="Times New Roman"/>
                <w:bCs/>
                <w:iCs/>
                <w:sz w:val="22"/>
                <w:lang w:bidi="lt-LT"/>
              </w:rPr>
              <w:t>Specialus prioritetas – gerinti skaitmeninį junglumą</w:t>
            </w:r>
          </w:p>
        </w:tc>
        <w:tc>
          <w:tcPr>
            <w:tcW w:w="2571" w:type="pct"/>
          </w:tcPr>
          <w:p w14:paraId="1242662E" w14:textId="77777777" w:rsidR="007F35A0" w:rsidRPr="00B44B19" w:rsidRDefault="007F35A0" w:rsidP="007F35A0">
            <w:pPr>
              <w:pStyle w:val="Pagrindinispaprastastekstas"/>
              <w:rPr>
                <w:rFonts w:ascii="Times New Roman" w:hAnsi="Times New Roman"/>
                <w:szCs w:val="22"/>
                <w:lang w:bidi="lt-LT"/>
              </w:rPr>
            </w:pPr>
            <w:r w:rsidRPr="00B44B19">
              <w:rPr>
                <w:rFonts w:ascii="Times New Roman" w:hAnsi="Times New Roman"/>
                <w:szCs w:val="22"/>
              </w:rPr>
              <w:t xml:space="preserve">IRT lemia ūkio augimą, inovacijas ir skatina produktyvumą, turintį poveikį visoms Programos investavimo sritims, tačiau </w:t>
            </w:r>
            <w:r w:rsidRPr="00B44B19">
              <w:rPr>
                <w:rFonts w:ascii="Times New Roman" w:hAnsi="Times New Roman"/>
                <w:szCs w:val="22"/>
                <w:lang w:bidi="lt-LT"/>
              </w:rPr>
              <w:t>kai kurie gyventojai vis dar negali pasinaudoti skaitmeninės ir technologinės pertvarkos nauda: remiantis DESI 2020 m. duomenimis, namų ūkių, patenkančių į sparčiojo fiksuotojo plačiajuosčio ryšio aprėptį, procentinė dalis yra mažesnė nei ES vidurkis (atitinkamai 69 % ir 86 %).</w:t>
            </w:r>
            <w:r w:rsidRPr="00B44B19">
              <w:rPr>
                <w:rFonts w:ascii="Times New Roman" w:hAnsi="Times New Roman"/>
                <w:szCs w:val="22"/>
              </w:rPr>
              <w:t xml:space="preserve"> Tik 68 % namų ūkių Lietuvoje yra užsisakę fiksuotojo plačiajuosčio ryšio paslaugą, o ES vidurkis siekia 78 %. </w:t>
            </w:r>
            <w:r w:rsidRPr="00B44B19">
              <w:rPr>
                <w:rFonts w:ascii="Times New Roman" w:hAnsi="Times New Roman"/>
                <w:szCs w:val="22"/>
                <w:lang w:bidi="lt-LT"/>
              </w:rPr>
              <w:t>Miesto ir kaimo atskirtis pagal fiksuotojo plačiajuosčio ryšio įdiegimą didelė: LSD 2021 m. duomenimis, tik 82 % kaimo namų ūkių turi prieigą prie interneto, o ES vidurkis – 92 %.</w:t>
            </w:r>
          </w:p>
          <w:p w14:paraId="1856B4CD" w14:textId="77777777" w:rsidR="007F35A0" w:rsidRPr="00B44B19" w:rsidRDefault="007F35A0" w:rsidP="007F35A0">
            <w:pPr>
              <w:pStyle w:val="Pagrindinispaprastastekstas"/>
              <w:rPr>
                <w:rFonts w:ascii="Times New Roman" w:hAnsi="Times New Roman"/>
                <w:szCs w:val="22"/>
                <w:lang w:bidi="lt-LT"/>
              </w:rPr>
            </w:pPr>
            <w:r w:rsidRPr="00B44B19">
              <w:rPr>
                <w:rFonts w:ascii="Times New Roman" w:hAnsi="Times New Roman"/>
                <w:szCs w:val="22"/>
                <w:lang w:bidi="lt-LT"/>
              </w:rPr>
              <w:t xml:space="preserve">Atsižvelgiant į tai, daugiausia dėmesio skiriama skaitmeninio junglumo gerinimui, investicijas skiriant teritoriniams skirtumams mažinti, kibernetiniam ir fiziniam saugumui užtikrinti ir itin didelio pralaidumo </w:t>
            </w:r>
            <w:r w:rsidRPr="00B44B19">
              <w:rPr>
                <w:rFonts w:ascii="Times New Roman" w:hAnsi="Times New Roman"/>
                <w:szCs w:val="22"/>
                <w:lang w:bidi="lt-LT"/>
              </w:rPr>
              <w:lastRenderedPageBreak/>
              <w:t xml:space="preserve">viešųjų tinklų plėtrai, </w:t>
            </w:r>
            <w:r w:rsidRPr="00B44B19">
              <w:rPr>
                <w:rFonts w:ascii="Times New Roman" w:eastAsia="Calibri" w:hAnsi="Times New Roman"/>
                <w:szCs w:val="22"/>
                <w:lang w:bidi="lt-LT"/>
              </w:rPr>
              <w:t>prioritetą teikiant vietovėms, kuriose tinklų diegimas nėra ekonomiškai naudingas, kad būtų užtikrinta tolygi elektroninių ryšių tinklų plėtra.</w:t>
            </w:r>
          </w:p>
          <w:p w14:paraId="5162D7E4" w14:textId="77777777" w:rsidR="007F35A0" w:rsidRPr="00B44B19" w:rsidRDefault="007F35A0" w:rsidP="007F35A0">
            <w:pPr>
              <w:pStyle w:val="Pagrindinispaprastastekstas"/>
              <w:rPr>
                <w:rFonts w:ascii="Times New Roman" w:hAnsi="Times New Roman"/>
                <w:szCs w:val="22"/>
                <w:lang w:bidi="lt-LT"/>
              </w:rPr>
            </w:pPr>
            <w:r w:rsidRPr="00B44B19">
              <w:rPr>
                <w:rFonts w:ascii="Times New Roman" w:hAnsi="Times New Roman"/>
                <w:szCs w:val="22"/>
                <w:lang w:bidi="lt-LT"/>
              </w:rPr>
              <w:t xml:space="preserve">Svarbu pabrėžti, kad investicijų poreikis Sostinės  regione yra taip pat reikšmingas. </w:t>
            </w:r>
            <w:r w:rsidRPr="00B44B19">
              <w:rPr>
                <w:rFonts w:ascii="Times New Roman" w:hAnsi="Times New Roman"/>
                <w:szCs w:val="22"/>
              </w:rPr>
              <w:t>Naujos kartos interneto prieigos neturinti namų ūkių dalis yra plačiai pasiskirsčiusi didelėje teritorijoje. Nepadengtose, koncentruotose kelių kaimų ar gyvenviečių arba ryšio bokšto teritorijose yra likę ne daugiau kaip po 30–40 namų ūkių, išskyrus Sostinės regioną, kur yra nepadengtų teritorijų, turinčių 100 ir daugiau namų ūkių.</w:t>
            </w:r>
          </w:p>
          <w:p w14:paraId="5801213D" w14:textId="77777777" w:rsidR="007F35A0" w:rsidRPr="00B44B19" w:rsidRDefault="007F35A0" w:rsidP="007F35A0">
            <w:pPr>
              <w:pStyle w:val="Pagrindinispaprastastekstas"/>
              <w:rPr>
                <w:rFonts w:ascii="Times New Roman" w:hAnsi="Times New Roman"/>
                <w:szCs w:val="22"/>
                <w:lang w:bidi="lt-LT"/>
              </w:rPr>
            </w:pPr>
            <w:r w:rsidRPr="00B44B19">
              <w:rPr>
                <w:rFonts w:ascii="Times New Roman" w:hAnsi="Times New Roman"/>
                <w:szCs w:val="22"/>
                <w:lang w:bidi="lt-LT"/>
              </w:rPr>
              <w:t xml:space="preserve">Pasirenkama </w:t>
            </w:r>
            <w:r w:rsidRPr="00B44B19">
              <w:rPr>
                <w:rFonts w:ascii="Times New Roman" w:hAnsi="Times New Roman"/>
                <w:b/>
                <w:szCs w:val="22"/>
                <w:lang w:bidi="lt-LT"/>
              </w:rPr>
              <w:t>finansavimo forma</w:t>
            </w:r>
            <w:r w:rsidRPr="00B44B19">
              <w:rPr>
                <w:rFonts w:ascii="Times New Roman" w:hAnsi="Times New Roman"/>
                <w:szCs w:val="22"/>
                <w:lang w:bidi="lt-LT"/>
              </w:rPr>
              <w:t xml:space="preserve"> – dotacija dėl jos skatinamojo poveikio. </w:t>
            </w:r>
            <w:r w:rsidRPr="00B44B19">
              <w:rPr>
                <w:rFonts w:ascii="Times New Roman" w:hAnsi="Times New Roman"/>
              </w:rPr>
              <w:t>Planuojamos vykdyti veiklos negeneruos pajamų, todėl joms nenumatoma taikyti finansinių priemonių.</w:t>
            </w:r>
          </w:p>
          <w:p w14:paraId="735E0693" w14:textId="3E651214" w:rsidR="007F35A0" w:rsidRPr="00B44B19" w:rsidRDefault="007F35A0" w:rsidP="007F35A0">
            <w:pPr>
              <w:jc w:val="both"/>
              <w:rPr>
                <w:rFonts w:cs="Times New Roman"/>
                <w:bCs/>
                <w:sz w:val="22"/>
                <w:lang w:bidi="lt-LT"/>
              </w:rPr>
            </w:pPr>
            <w:r w:rsidRPr="00B44B19">
              <w:rPr>
                <w:rFonts w:cs="Times New Roman"/>
                <w:bCs/>
                <w:sz w:val="22"/>
                <w:lang w:bidi="lt-LT"/>
              </w:rPr>
              <w:t xml:space="preserve">Siekiant </w:t>
            </w:r>
            <w:r w:rsidRPr="00B44B19">
              <w:rPr>
                <w:rFonts w:cs="Times New Roman"/>
                <w:b/>
                <w:bCs/>
                <w:sz w:val="22"/>
                <w:lang w:bidi="lt-LT"/>
              </w:rPr>
              <w:t>BJRS</w:t>
            </w:r>
            <w:r w:rsidRPr="00B44B19">
              <w:rPr>
                <w:rFonts w:cs="Times New Roman"/>
                <w:bCs/>
                <w:sz w:val="22"/>
                <w:lang w:bidi="lt-LT"/>
              </w:rPr>
              <w:t xml:space="preserve"> politinės srities „Inovacijos“ tikslų, itin svarbus IRT ir bendros skaitmeninės rinkos gerinimas. Prioritetas turėtų būti teikiamas prieigos prie didelės spartos ryšio užtikrinimui, kad visuomenei, verslo ir mokslo organizacijoms būtų sudarytos sklandaus informacijos srauto perdavimo, bendradarbiavimo, mainų, e. paslaugų teikimo sąlygos.</w:t>
            </w:r>
          </w:p>
        </w:tc>
      </w:tr>
      <w:tr w:rsidR="007C1851" w:rsidRPr="00B44B19" w14:paraId="205A9B28" w14:textId="77777777" w:rsidTr="00EB70C3">
        <w:tc>
          <w:tcPr>
            <w:tcW w:w="1350" w:type="pct"/>
            <w:vMerge/>
          </w:tcPr>
          <w:p w14:paraId="2CA4622E" w14:textId="77777777" w:rsidR="007C1851" w:rsidRPr="00B44B19" w:rsidRDefault="007C1851" w:rsidP="007C1851">
            <w:pPr>
              <w:pStyle w:val="Sraopastraipa"/>
              <w:ind w:left="0" w:right="35"/>
              <w:rPr>
                <w:rFonts w:cs="Times New Roman"/>
                <w:b/>
                <w:bCs/>
                <w:iCs/>
                <w:sz w:val="22"/>
                <w:lang w:bidi="lt-LT"/>
              </w:rPr>
            </w:pPr>
          </w:p>
        </w:tc>
        <w:tc>
          <w:tcPr>
            <w:tcW w:w="1079" w:type="pct"/>
          </w:tcPr>
          <w:p w14:paraId="39574FEF" w14:textId="0EF1C9A0" w:rsidR="007C1851" w:rsidRPr="00B44B19" w:rsidRDefault="007C1851" w:rsidP="007C1851">
            <w:pPr>
              <w:rPr>
                <w:rFonts w:cs="Times New Roman"/>
                <w:bCs/>
                <w:iCs/>
                <w:sz w:val="22"/>
                <w:szCs w:val="20"/>
                <w:lang w:bidi="lt-LT"/>
              </w:rPr>
            </w:pPr>
            <w:r w:rsidRPr="00B44B19">
              <w:rPr>
                <w:rFonts w:cs="Times New Roman"/>
                <w:bCs/>
                <w:iCs/>
                <w:sz w:val="22"/>
                <w:szCs w:val="20"/>
                <w:lang w:bidi="lt-LT"/>
              </w:rPr>
              <w:t>Specialus prioritetas – Europos strateginių technologijų platforma (STEP)</w:t>
            </w:r>
          </w:p>
        </w:tc>
        <w:tc>
          <w:tcPr>
            <w:tcW w:w="2571" w:type="pct"/>
          </w:tcPr>
          <w:p w14:paraId="6CD0A6C2" w14:textId="77777777" w:rsidR="007C1851" w:rsidRPr="00B44B19" w:rsidRDefault="007C1851" w:rsidP="007C1851">
            <w:pPr>
              <w:jc w:val="both"/>
              <w:rPr>
                <w:rFonts w:cs="Times New Roman"/>
                <w:sz w:val="22"/>
              </w:rPr>
            </w:pPr>
            <w:r w:rsidRPr="00B44B19">
              <w:rPr>
                <w:rFonts w:cs="Times New Roman"/>
                <w:sz w:val="22"/>
              </w:rPr>
              <w:t xml:space="preserve">2022 m. infliacija (18,9 %, viena didžiausių ES), darbuotojų trūkumas, tiekimo grandinių sutrikimai po COVID-19 pandemijos, Rusijos agresijos karas Ukrainoje, kintančios palūkanų normos, energijos sąnaudų ir žaliavų kainų šuoliai neigiamai paveikė Lietuvos pramonės konkurencingumą. </w:t>
            </w:r>
          </w:p>
          <w:p w14:paraId="1B9A640E" w14:textId="77777777" w:rsidR="007C1851" w:rsidRPr="00B44B19" w:rsidRDefault="007C1851" w:rsidP="007C1851">
            <w:pPr>
              <w:jc w:val="both"/>
              <w:rPr>
                <w:rFonts w:cs="Times New Roman"/>
                <w:sz w:val="22"/>
              </w:rPr>
            </w:pPr>
            <w:r w:rsidRPr="00B44B19">
              <w:rPr>
                <w:rFonts w:eastAsia="Calibri" w:cs="Times New Roman"/>
                <w:bCs/>
                <w:sz w:val="22"/>
                <w:lang w:bidi="lt-LT"/>
              </w:rPr>
              <w:t>Atsižvelgiant į TR’2024</w:t>
            </w:r>
            <w:r w:rsidRPr="00B44B19">
              <w:rPr>
                <w:rFonts w:cs="Times New Roman"/>
                <w:sz w:val="22"/>
              </w:rPr>
              <w:t xml:space="preserve"> rekomendaciją didinti šalies konkurencingumą pasitelkiant STEP technologijas, prioritetu siekiama mažinti šalies strateginę priklausomybę nuo trečiųjų valstybių, išnaudoti žaliosios ir skaitmeninės pertvarkų galimybes. Taip pat svarbu skatinti skaitmeninių technologijų, giliųjų technologijų inovacijų, švarių ir efektyviai išteklius naudojančių technologijų bei biotechnologijų kūrimą ir gamybą. </w:t>
            </w:r>
          </w:p>
          <w:p w14:paraId="0CFD1F11" w14:textId="77777777" w:rsidR="007C1851" w:rsidRPr="00B44B19" w:rsidRDefault="007C1851" w:rsidP="007C1851">
            <w:pPr>
              <w:jc w:val="both"/>
              <w:rPr>
                <w:rFonts w:eastAsia="Times New Roman" w:cs="Times New Roman"/>
                <w:bCs/>
                <w:iCs/>
                <w:sz w:val="22"/>
              </w:rPr>
            </w:pPr>
            <w:r w:rsidRPr="00B44B19">
              <w:rPr>
                <w:rFonts w:cs="Times New Roman"/>
                <w:sz w:val="22"/>
              </w:rPr>
              <w:t xml:space="preserve">Lietuvai, pasižyminčiai maža atvira ekonomika, turinčiai bendrą sieną su Rusija ir Baltarusija, būtina didinti investicijas nacionalinio saugumo užtikrinimui bei ieškoti daugiau galimybių spartesnei technologinei pažangai. </w:t>
            </w:r>
            <w:r w:rsidRPr="00B44B19">
              <w:rPr>
                <w:rFonts w:eastAsia="Times New Roman" w:cs="Times New Roman"/>
                <w:bCs/>
                <w:iCs/>
                <w:sz w:val="22"/>
              </w:rPr>
              <w:t>Saugumui didinti reikia tvirto ekonominio pagrindo. Taigi, gynybos ir saugumo pramonės sektoriaus plėtra</w:t>
            </w:r>
            <w:r w:rsidRPr="00B44B19">
              <w:rPr>
                <w:rFonts w:cs="Times New Roman"/>
                <w:sz w:val="22"/>
              </w:rPr>
              <w:t xml:space="preserve"> tampa </w:t>
            </w:r>
            <w:r w:rsidRPr="00B44B19">
              <w:rPr>
                <w:rFonts w:eastAsia="Times New Roman" w:cs="Times New Roman"/>
                <w:bCs/>
                <w:iCs/>
                <w:sz w:val="22"/>
              </w:rPr>
              <w:t xml:space="preserve">gyvybiškai svarbia.  Atliepiant </w:t>
            </w:r>
            <w:r w:rsidRPr="00B44B19">
              <w:rPr>
                <w:rFonts w:cs="Times New Roman"/>
                <w:sz w:val="22"/>
              </w:rPr>
              <w:t xml:space="preserve">Gynybos ir saugumo pramonės plėtros 2023–2027 m. gairių tikslus, kuriais siekiama didinti šio sektoriaus konkurencingumą, o taip pat paskatinti lietuviškos kilmės produktų eksportą, svarbu investuoti į </w:t>
            </w:r>
            <w:r w:rsidRPr="00B44B19">
              <w:rPr>
                <w:rFonts w:eastAsia="Times New Roman" w:cs="Times New Roman"/>
                <w:bCs/>
                <w:sz w:val="22"/>
              </w:rPr>
              <w:t>STEP technologijų MTEP ir inovacijų projektus</w:t>
            </w:r>
            <w:r w:rsidRPr="00B44B19">
              <w:rPr>
                <w:rFonts w:eastAsia="Times New Roman" w:cs="Times New Roman"/>
                <w:bCs/>
                <w:iCs/>
                <w:sz w:val="22"/>
              </w:rPr>
              <w:t xml:space="preserve"> gynybos ir </w:t>
            </w:r>
            <w:r w:rsidRPr="00B44B19">
              <w:rPr>
                <w:rFonts w:eastAsia="Times New Roman" w:cs="Times New Roman"/>
                <w:bCs/>
                <w:iCs/>
                <w:sz w:val="22"/>
              </w:rPr>
              <w:lastRenderedPageBreak/>
              <w:t xml:space="preserve">saugumo srityje bei specializuotus darbuotojų mokymus. </w:t>
            </w:r>
          </w:p>
          <w:p w14:paraId="659D8892" w14:textId="77777777" w:rsidR="007C1851" w:rsidRPr="00B44B19" w:rsidRDefault="007C1851" w:rsidP="007C1851">
            <w:pPr>
              <w:jc w:val="both"/>
              <w:rPr>
                <w:rFonts w:cs="Times New Roman"/>
              </w:rPr>
            </w:pPr>
            <w:r w:rsidRPr="00B44B19">
              <w:rPr>
                <w:rFonts w:eastAsia="Times New Roman" w:cs="Times New Roman"/>
                <w:bCs/>
                <w:iCs/>
                <w:sz w:val="22"/>
              </w:rPr>
              <w:t>2024–2029 m. ES strateginė darbotvarkė pabrėžia išteklių telkimo ir programų sinergijų svarbą. Prioritetu siekiama paskatinti L</w:t>
            </w:r>
            <w:r w:rsidRPr="00B44B19">
              <w:rPr>
                <w:rFonts w:cs="Times New Roman"/>
                <w:sz w:val="22"/>
              </w:rPr>
              <w:t xml:space="preserve">ietuvoje įsikūrusias įmones kurti proveržio technologijas ir aktyviau dalyvauti ES tiesioginio finansavimo programose, pagal kurias projektams suteiktas suverenumo ženklas, skiriant kaupiamąjį arba alternatyvųjį finansavimą </w:t>
            </w:r>
            <w:r w:rsidRPr="00B44B19">
              <w:rPr>
                <w:rFonts w:eastAsia="Times New Roman" w:cs="Times New Roman"/>
                <w:bCs/>
                <w:iCs/>
                <w:sz w:val="22"/>
              </w:rPr>
              <w:t>pagal Skaitmeninės Europos, EH arba Europos gynybos fondo programas.</w:t>
            </w:r>
          </w:p>
          <w:p w14:paraId="65A259C4" w14:textId="678D281F" w:rsidR="007C1851" w:rsidRPr="00B44B19" w:rsidRDefault="007C1851" w:rsidP="007C1851">
            <w:pPr>
              <w:pStyle w:val="Pagrindinispaprastastekstas"/>
              <w:rPr>
                <w:rFonts w:ascii="Times New Roman" w:hAnsi="Times New Roman"/>
                <w:szCs w:val="22"/>
              </w:rPr>
            </w:pPr>
            <w:r w:rsidRPr="00B44B19">
              <w:rPr>
                <w:rFonts w:ascii="Times New Roman" w:hAnsi="Times New Roman"/>
              </w:rPr>
              <w:t xml:space="preserve">Pasirenkama </w:t>
            </w:r>
            <w:r w:rsidRPr="00B44B19">
              <w:rPr>
                <w:rFonts w:ascii="Times New Roman" w:hAnsi="Times New Roman"/>
                <w:b/>
              </w:rPr>
              <w:t>finansavimo forma</w:t>
            </w:r>
            <w:r w:rsidRPr="00B44B19">
              <w:rPr>
                <w:rFonts w:ascii="Times New Roman" w:hAnsi="Times New Roman"/>
              </w:rPr>
              <w:t xml:space="preserve"> – dotacija dėl jos skatinamojo poveikio ir veiklų pobūdžio. P</w:t>
            </w:r>
            <w:r w:rsidRPr="00B44B19">
              <w:rPr>
                <w:rFonts w:ascii="Times New Roman" w:hAnsi="Times New Roman"/>
                <w:lang w:eastAsia="lt-LT"/>
              </w:rPr>
              <w:t xml:space="preserve">lanuojamos vykdyti veiklos trumpuoju laikotarpiu negeneruoja pajamų, </w:t>
            </w:r>
            <w:r w:rsidRPr="00B44B19">
              <w:rPr>
                <w:rFonts w:ascii="Times New Roman" w:hAnsi="Times New Roman"/>
                <w:bCs/>
                <w:iCs/>
              </w:rPr>
              <w:t xml:space="preserve">pasižymi didele rizika, </w:t>
            </w:r>
            <w:r w:rsidRPr="00B44B19">
              <w:rPr>
                <w:rFonts w:ascii="Times New Roman" w:hAnsi="Times New Roman"/>
                <w:lang w:eastAsia="lt-LT"/>
              </w:rPr>
              <w:t>reikalauja didelių investicijų. Ekspertiniu vertinimu nustatyta, kad šiame etape nėra galimybės taikyti finansinių priemonių. Be to, nėra informacijos, kiek įmonių Lietuvoje yra pajėgios kurti ir gaminti STEP technologijas, taigi nėra galimybės atlikti finansinių priemonių išankstinio vertinimo.</w:t>
            </w:r>
          </w:p>
        </w:tc>
      </w:tr>
      <w:tr w:rsidR="007C1851" w:rsidRPr="00B44B19" w14:paraId="056B1796" w14:textId="77777777" w:rsidTr="00EB70C3">
        <w:tc>
          <w:tcPr>
            <w:tcW w:w="1350" w:type="pct"/>
            <w:vMerge/>
          </w:tcPr>
          <w:p w14:paraId="2BBA0F17" w14:textId="77777777" w:rsidR="007C1851" w:rsidRPr="00B44B19" w:rsidRDefault="007C1851" w:rsidP="007C1851">
            <w:pPr>
              <w:pStyle w:val="Sraopastraipa"/>
              <w:ind w:left="0" w:right="35"/>
              <w:rPr>
                <w:rFonts w:cs="Times New Roman"/>
                <w:b/>
                <w:bCs/>
                <w:iCs/>
                <w:sz w:val="22"/>
                <w:lang w:bidi="lt-LT"/>
              </w:rPr>
            </w:pPr>
          </w:p>
        </w:tc>
        <w:tc>
          <w:tcPr>
            <w:tcW w:w="1079" w:type="pct"/>
          </w:tcPr>
          <w:p w14:paraId="1BE1A1D3" w14:textId="3CBAFE76" w:rsidR="007C1851" w:rsidRPr="00B44B19" w:rsidRDefault="007C1851" w:rsidP="007C1851">
            <w:pPr>
              <w:pStyle w:val="Pagrindinispaprastastekstas"/>
              <w:jc w:val="left"/>
              <w:rPr>
                <w:rFonts w:ascii="Times New Roman" w:hAnsi="Times New Roman"/>
                <w:bCs/>
                <w:iCs/>
                <w:lang w:bidi="lt-LT"/>
              </w:rPr>
            </w:pPr>
            <w:r w:rsidRPr="00B44B19">
              <w:rPr>
                <w:rFonts w:ascii="Times New Roman" w:hAnsi="Times New Roman"/>
                <w:bCs/>
                <w:iCs/>
                <w:lang w:bidi="lt-LT"/>
              </w:rPr>
              <w:t>Specialus prioritetas – Didinti pramonės pajėgumus, siekiant skatinti gynybos pajėgumų didinimą, pirmenybę teikiant dvejopo naudojimo pajėgumams</w:t>
            </w:r>
          </w:p>
        </w:tc>
        <w:tc>
          <w:tcPr>
            <w:tcW w:w="2571" w:type="pct"/>
          </w:tcPr>
          <w:p w14:paraId="543054FB" w14:textId="77777777" w:rsidR="007C1851" w:rsidRPr="00B44B19" w:rsidRDefault="007C1851" w:rsidP="007C1851">
            <w:pPr>
              <w:jc w:val="both"/>
              <w:rPr>
                <w:rFonts w:cs="Times New Roman"/>
                <w:bCs/>
                <w:sz w:val="22"/>
              </w:rPr>
            </w:pPr>
            <w:r w:rsidRPr="00B44B19">
              <w:rPr>
                <w:rFonts w:cs="Times New Roman"/>
                <w:sz w:val="22"/>
              </w:rPr>
              <w:t xml:space="preserve">Nuo Rusijos invazijos į Ukrainą 2022 m. išryškėjo, kaip svarbu didinti saugumą, </w:t>
            </w:r>
            <w:r w:rsidRPr="00B44B19">
              <w:rPr>
                <w:rFonts w:eastAsia="Calibri" w:cs="Times New Roman"/>
                <w:bCs/>
                <w:sz w:val="22"/>
                <w:lang w:bidi="lt-LT"/>
              </w:rPr>
              <w:t xml:space="preserve">kuriant stiprią bei konkurencingą gynybos pramonę. </w:t>
            </w:r>
          </w:p>
          <w:p w14:paraId="5D3911CD" w14:textId="77777777" w:rsidR="007C1851" w:rsidRPr="00B44B19" w:rsidRDefault="007C1851" w:rsidP="007C1851">
            <w:pPr>
              <w:jc w:val="both"/>
              <w:rPr>
                <w:rFonts w:cs="Times New Roman"/>
                <w:bCs/>
                <w:sz w:val="22"/>
              </w:rPr>
            </w:pPr>
            <w:r w:rsidRPr="00B44B19">
              <w:rPr>
                <w:rFonts w:cs="Times New Roman"/>
                <w:bCs/>
                <w:sz w:val="22"/>
              </w:rPr>
              <w:t>Gynybos sektoriaus įmonės 2022–2024 m. laikotarpiu fiksavo bendrą MTEP investicijų augimą. 2022 m. deklaruota 13,4 mln. Eur MTEP išlaidų, o 2024 m. – 15,1 mln. Eur, t. y. 13 proc. daugiau. Šis augimas rodo išlaikomą sektoriaus orientaciją į inovacijų kūrimą.</w:t>
            </w:r>
          </w:p>
          <w:p w14:paraId="716CBF89" w14:textId="77777777" w:rsidR="007C1851" w:rsidRPr="00B44B19" w:rsidRDefault="007C1851" w:rsidP="007C1851">
            <w:pPr>
              <w:jc w:val="both"/>
              <w:rPr>
                <w:rFonts w:cs="Times New Roman"/>
                <w:bCs/>
                <w:sz w:val="22"/>
              </w:rPr>
            </w:pPr>
            <w:r w:rsidRPr="00B44B19">
              <w:rPr>
                <w:rFonts w:cs="Times New Roman"/>
                <w:bCs/>
                <w:sz w:val="22"/>
              </w:rPr>
              <w:t>Vertinant inovatyvumo lygį pagal įmonių aktyvumą, 2022 m. MTEP išlaidas deklaravo 24 proc. gynybos sektoriaus įmonių, o 2024 m. – 19 proc. Mažėjanti dalis rodo silpnėjančią sektoriaus inovatyvią bazę ir gali būti signalas apie nepakankamą finansavimo, testavimo ar mokestinių paskatų veiksmingumą.</w:t>
            </w:r>
          </w:p>
          <w:p w14:paraId="73FCD158" w14:textId="77777777" w:rsidR="007C1851" w:rsidRPr="00B44B19" w:rsidRDefault="007C1851" w:rsidP="007C1851">
            <w:pPr>
              <w:jc w:val="both"/>
              <w:rPr>
                <w:rFonts w:cs="Times New Roman"/>
                <w:bCs/>
                <w:iCs/>
                <w:color w:val="EE0000"/>
                <w:sz w:val="22"/>
              </w:rPr>
            </w:pPr>
            <w:r w:rsidRPr="00B44B19">
              <w:rPr>
                <w:rFonts w:cs="Times New Roman"/>
                <w:sz w:val="22"/>
              </w:rPr>
              <w:t>EK parengtoje</w:t>
            </w:r>
            <w:r w:rsidRPr="00B44B19">
              <w:rPr>
                <w:rFonts w:cs="Times New Roman"/>
                <w:b/>
                <w:bCs/>
                <w:sz w:val="22"/>
              </w:rPr>
              <w:t xml:space="preserve"> Baltojoje knygoje dėl Europos gynybos</w:t>
            </w:r>
            <w:r w:rsidRPr="00B44B19">
              <w:rPr>
                <w:rFonts w:cs="Times New Roman"/>
                <w:bCs/>
                <w:sz w:val="22"/>
              </w:rPr>
              <w:t>: Pasirengimas 2030 pristatytas naujas požiūris į gynybą ir nustatyti investicijų poreikiai. Šio prioriteto investicijos prisidės prie šiame dokumente išskirtų prioritetinių sričių: mokslinių tyrimų ir technologinės plėtros skatinimo ir paramos Europos gynybos pramonės pajėgumų didinimui.</w:t>
            </w:r>
          </w:p>
          <w:p w14:paraId="44F8106F" w14:textId="77777777" w:rsidR="007C1851" w:rsidRPr="00B44B19" w:rsidRDefault="007C1851" w:rsidP="007C1851">
            <w:pPr>
              <w:jc w:val="both"/>
              <w:rPr>
                <w:rFonts w:cs="Times New Roman"/>
                <w:sz w:val="22"/>
              </w:rPr>
            </w:pPr>
            <w:r w:rsidRPr="00B44B19">
              <w:rPr>
                <w:rFonts w:cs="Times New Roman"/>
                <w:sz w:val="22"/>
              </w:rPr>
              <w:t>Lietuvai, kaip ES rytinio pasienio šaliai, pasižyminčiai maža ir atvira ekonomika, būtina suteikti finansinius svertus, skatinant investicijas į gynybos pajėgumus, pirmiausiai nacionaliniam saugumui užtikrinti.</w:t>
            </w:r>
            <w:r w:rsidRPr="00B44B19">
              <w:rPr>
                <w:rFonts w:eastAsia="Times New Roman" w:cs="Times New Roman"/>
                <w:bCs/>
                <w:iCs/>
                <w:sz w:val="22"/>
              </w:rPr>
              <w:t xml:space="preserve">  Atliepiant Lietuvos Respublikos g</w:t>
            </w:r>
            <w:r w:rsidRPr="00B44B19">
              <w:rPr>
                <w:rFonts w:cs="Times New Roman"/>
                <w:sz w:val="22"/>
              </w:rPr>
              <w:t xml:space="preserve">ynybos ir saugumo pramonės plėtros 2023–2027 m. gairių tikslus, kuriais siekiama didinti gynybos ir saugumo pramonės konkurencingumą, skatinti inovacijas ir investicijas į gynybos ir saugumo pramonę, o taip pat paskatinti lietuviškos kilmės produktų eksportą, darbo vietų </w:t>
            </w:r>
            <w:r w:rsidRPr="00B44B19">
              <w:rPr>
                <w:rFonts w:cs="Times New Roman"/>
                <w:sz w:val="22"/>
              </w:rPr>
              <w:lastRenderedPageBreak/>
              <w:t xml:space="preserve">kūrimą itin svarbu investuoti į inovatyvių produktų, skirtų gynybos ir saugumo sektoriui, kūrimą ir vystymą, šio sektoriaus įmonių naujų gamybos pajėgumų sukūrimą, bandymų infrastruktūrą ir inovacijų partnerystės veiklas. </w:t>
            </w:r>
          </w:p>
          <w:p w14:paraId="7B9B48B7" w14:textId="77777777" w:rsidR="007C1851" w:rsidRPr="00B44B19" w:rsidRDefault="007C1851" w:rsidP="007C1851">
            <w:pPr>
              <w:jc w:val="both"/>
              <w:rPr>
                <w:rFonts w:cs="Times New Roman"/>
                <w:sz w:val="22"/>
              </w:rPr>
            </w:pPr>
            <w:r w:rsidRPr="00B44B19">
              <w:rPr>
                <w:rFonts w:cs="Times New Roman"/>
                <w:sz w:val="22"/>
              </w:rPr>
              <w:t>Nors g</w:t>
            </w:r>
            <w:r w:rsidRPr="00B44B19">
              <w:rPr>
                <w:rFonts w:cs="Times New Roman"/>
                <w:bCs/>
                <w:sz w:val="22"/>
              </w:rPr>
              <w:t xml:space="preserve">ynybos sektoriaus įmonės 2022–2024 m. laikotarpiu išlaikė nuosaikų MTEP investicijų augimą, tačiau išryškėjo svarbūs struktūriniai pokyčiai. </w:t>
            </w:r>
            <w:r w:rsidRPr="00B44B19">
              <w:rPr>
                <w:rFonts w:cs="Times New Roman"/>
                <w:sz w:val="22"/>
              </w:rPr>
              <w:t xml:space="preserve">Regioniniu požiūriu būtinas diferencijuotas intervencijos modelis, kryptingai išnaudojant regionų stiprybes taikant individualizuotas intervencijas. </w:t>
            </w:r>
          </w:p>
          <w:p w14:paraId="3F283AF8" w14:textId="0F417EE2" w:rsidR="007C1851" w:rsidRPr="00B44B19" w:rsidRDefault="007C1851" w:rsidP="007C1851">
            <w:pPr>
              <w:jc w:val="both"/>
              <w:rPr>
                <w:rFonts w:eastAsia="Times New Roman" w:cs="Times New Roman"/>
                <w:bCs/>
                <w:sz w:val="22"/>
              </w:rPr>
            </w:pPr>
            <w:r w:rsidRPr="00B44B19">
              <w:rPr>
                <w:rFonts w:eastAsia="Times New Roman" w:cs="Times New Roman"/>
                <w:sz w:val="22"/>
              </w:rPr>
              <w:t xml:space="preserve">Pasirenkama </w:t>
            </w:r>
            <w:r w:rsidRPr="00B44B19">
              <w:rPr>
                <w:rFonts w:eastAsia="Times New Roman" w:cs="Times New Roman"/>
                <w:b/>
                <w:sz w:val="22"/>
              </w:rPr>
              <w:t>finansavimo forma</w:t>
            </w:r>
            <w:r w:rsidRPr="00B44B19">
              <w:rPr>
                <w:rFonts w:eastAsia="Times New Roman" w:cs="Times New Roman"/>
                <w:sz w:val="22"/>
              </w:rPr>
              <w:t xml:space="preserve"> – dotacija dėl jos skatinamojo poveikio ir veiklų pobūdžio. P</w:t>
            </w:r>
            <w:r w:rsidRPr="00B44B19">
              <w:rPr>
                <w:rFonts w:eastAsia="Times New Roman" w:cs="Times New Roman"/>
                <w:sz w:val="22"/>
                <w:lang w:eastAsia="lt-LT"/>
              </w:rPr>
              <w:t xml:space="preserve">lanuojamos vykdyti veiklos trumpuoju laikotarpiu negeneruoja pajamų, </w:t>
            </w:r>
            <w:r w:rsidRPr="00B44B19">
              <w:rPr>
                <w:rFonts w:eastAsia="Times New Roman" w:cs="Times New Roman"/>
                <w:bCs/>
                <w:iCs/>
                <w:sz w:val="22"/>
              </w:rPr>
              <w:t xml:space="preserve">pasižymi didele rizika, </w:t>
            </w:r>
            <w:r w:rsidRPr="00B44B19">
              <w:rPr>
                <w:rFonts w:eastAsia="Times New Roman" w:cs="Times New Roman"/>
                <w:sz w:val="22"/>
                <w:lang w:eastAsia="lt-LT"/>
              </w:rPr>
              <w:t xml:space="preserve">reikalauja didelių investicijų. </w:t>
            </w:r>
          </w:p>
        </w:tc>
      </w:tr>
      <w:tr w:rsidR="007C1851" w:rsidRPr="00B44B19" w14:paraId="0FF76EB1" w14:textId="77777777" w:rsidTr="00EB70C3">
        <w:tc>
          <w:tcPr>
            <w:tcW w:w="1350" w:type="pct"/>
            <w:vMerge w:val="restart"/>
          </w:tcPr>
          <w:p w14:paraId="787480A6" w14:textId="77777777" w:rsidR="007C1851" w:rsidRPr="00B44B19" w:rsidRDefault="007C1851" w:rsidP="007C1851">
            <w:pPr>
              <w:pStyle w:val="Sraopastraipa"/>
              <w:ind w:left="0" w:right="35"/>
              <w:rPr>
                <w:rFonts w:cs="Times New Roman"/>
                <w:b/>
                <w:bCs/>
                <w:iCs/>
                <w:sz w:val="22"/>
                <w:lang w:bidi="lt-LT"/>
              </w:rPr>
            </w:pPr>
            <w:r w:rsidRPr="00B44B19">
              <w:rPr>
                <w:rFonts w:cs="Times New Roman"/>
                <w:b/>
                <w:bCs/>
                <w:iCs/>
                <w:sz w:val="22"/>
                <w:lang w:bidi="lt-LT"/>
              </w:rPr>
              <w:lastRenderedPageBreak/>
              <w:t>2. Žalesnė Europa</w:t>
            </w:r>
          </w:p>
        </w:tc>
        <w:tc>
          <w:tcPr>
            <w:tcW w:w="1079" w:type="pct"/>
          </w:tcPr>
          <w:p w14:paraId="2878521F" w14:textId="77777777" w:rsidR="007C1851" w:rsidRPr="00B44B19" w:rsidRDefault="007C1851" w:rsidP="007C1851">
            <w:pPr>
              <w:rPr>
                <w:rFonts w:cs="Times New Roman"/>
                <w:bCs/>
                <w:iCs/>
                <w:sz w:val="22"/>
                <w:lang w:bidi="lt-LT"/>
              </w:rPr>
            </w:pPr>
            <w:r w:rsidRPr="00B44B19">
              <w:rPr>
                <w:rFonts w:cs="Times New Roman"/>
                <w:bCs/>
                <w:iCs/>
                <w:sz w:val="22"/>
                <w:lang w:bidi="lt-LT"/>
              </w:rPr>
              <w:t>2.1. Skatinti energijos vartojimo efektyvumą ir mažinti išmetamų šiltnamio efektą sukeliančių dujų kiekį</w:t>
            </w:r>
          </w:p>
        </w:tc>
        <w:tc>
          <w:tcPr>
            <w:tcW w:w="2571" w:type="pct"/>
          </w:tcPr>
          <w:p w14:paraId="3A9E1F18" w14:textId="77777777" w:rsidR="007C1851" w:rsidRPr="00B44B19" w:rsidRDefault="007C1851" w:rsidP="007C1851">
            <w:pPr>
              <w:jc w:val="both"/>
              <w:rPr>
                <w:rFonts w:cs="Times New Roman"/>
                <w:bCs/>
                <w:sz w:val="22"/>
              </w:rPr>
            </w:pPr>
            <w:r w:rsidRPr="00B44B19">
              <w:rPr>
                <w:rFonts w:cs="Times New Roman"/>
                <w:bCs/>
                <w:sz w:val="22"/>
              </w:rPr>
              <w:t>Vien</w:t>
            </w:r>
            <w:r w:rsidRPr="00B44B19">
              <w:rPr>
                <w:rFonts w:cs="Times New Roman"/>
                <w:b/>
                <w:bCs/>
                <w:iCs/>
                <w:color w:val="000000" w:themeColor="text1"/>
                <w:sz w:val="22"/>
                <w:lang w:bidi="lt-LT"/>
              </w:rPr>
              <w:t>a</w:t>
            </w:r>
            <w:r w:rsidRPr="00B44B19">
              <w:rPr>
                <w:rFonts w:cs="Times New Roman"/>
                <w:bCs/>
                <w:sz w:val="22"/>
              </w:rPr>
              <w:t xml:space="preserve">s iš </w:t>
            </w:r>
            <w:r w:rsidRPr="00B44B19">
              <w:rPr>
                <w:rFonts w:cs="Times New Roman"/>
                <w:b/>
                <w:bCs/>
                <w:sz w:val="22"/>
              </w:rPr>
              <w:t>Europos žaliojo kurso</w:t>
            </w:r>
            <w:r w:rsidRPr="00B44B19">
              <w:rPr>
                <w:rFonts w:cs="Times New Roman"/>
                <w:bCs/>
                <w:sz w:val="22"/>
              </w:rPr>
              <w:t xml:space="preserve"> tikslų yra siekiamybė apsaugoti, išsaugoti ir sustiprinti ES gamtinį kapitalą bei atkurti natūralią požeminio ir paviršinio vandens būklę. Darnus geriamojo vandens tiekimas ir nuotekų tvarkymas reikšmingai prisideda prie šių siekių įgyvendinimo.</w:t>
            </w:r>
          </w:p>
          <w:p w14:paraId="5F1BB003" w14:textId="77777777" w:rsidR="007C1851" w:rsidRPr="00B44B19" w:rsidRDefault="007C1851" w:rsidP="007C1851">
            <w:pPr>
              <w:jc w:val="both"/>
              <w:rPr>
                <w:rFonts w:cs="Times New Roman"/>
                <w:bCs/>
                <w:sz w:val="22"/>
              </w:rPr>
            </w:pPr>
            <w:r w:rsidRPr="00B44B19">
              <w:rPr>
                <w:rFonts w:cs="Times New Roman"/>
                <w:bCs/>
                <w:iCs/>
                <w:sz w:val="22"/>
              </w:rPr>
              <w:t xml:space="preserve">Didžiausią neigiamą poveikį Lietuvos paviršiniams vandenims daro pasklidoji tarša iš žemės ūkio sektoriaus, taip pat </w:t>
            </w:r>
            <w:r w:rsidRPr="00B44B19">
              <w:rPr>
                <w:rFonts w:cs="Times New Roman"/>
                <w:bCs/>
                <w:sz w:val="22"/>
              </w:rPr>
              <w:t>netinkamai tvarkomos individualios nuotekos. Lietuvos teritorija yra jautri azotui ir fosforui zona. Per didelis maistingųjų medžiagų kiekis neigiamai veikia vandens telkinių būklę ir sukelia eutrofikaciją visuose vandens telkiniuose. Todėl svarbu imtis priemonių nuotekų tvarkymo sistemų plėtrai ir nuotekų valymo įrenginių rekonstrukcijai užtikrinti, siekiant mažinti vandens telkinių taršą ir sudaryti galimybes visiems gyventojams gauti saugos ir kokybės reikalavimus atitinkantį geriamąjį vandenį.</w:t>
            </w:r>
          </w:p>
          <w:p w14:paraId="443C4A31" w14:textId="77777777" w:rsidR="007C1851" w:rsidRPr="00B44B19" w:rsidRDefault="007C1851" w:rsidP="007C1851">
            <w:pPr>
              <w:jc w:val="both"/>
              <w:rPr>
                <w:rFonts w:cs="Times New Roman"/>
                <w:bCs/>
                <w:sz w:val="22"/>
              </w:rPr>
            </w:pPr>
            <w:r w:rsidRPr="00B44B19">
              <w:rPr>
                <w:rFonts w:cs="Times New Roman"/>
                <w:b/>
                <w:bCs/>
                <w:sz w:val="22"/>
              </w:rPr>
              <w:t xml:space="preserve">Pagrindinis NPP tikslas iki 2030 m. </w:t>
            </w:r>
            <w:r w:rsidRPr="00B44B19">
              <w:rPr>
                <w:rFonts w:cs="Times New Roman"/>
                <w:bCs/>
                <w:sz w:val="22"/>
              </w:rPr>
              <w:t>pasiekti, kad visi vandens telkiniai būtų geros būklės ir visos viešosios geriamojo vandens tiekimo ir nuotekų tvarkymo įmonės veiktų efektyviai. Taip pat siekiama padidinti nuotekų tvarkymo paslaugų prieinamumą iki 95 % šalies gyventojų (padidėtų 18 proc. p., palyginti su 2020 m.), o geriamojo vandens srityje – iki 90 % (padidėtų 7 proc. p., palyginti su 2020 m.).</w:t>
            </w:r>
          </w:p>
          <w:p w14:paraId="57F7113E" w14:textId="77777777" w:rsidR="007C1851" w:rsidRPr="00B44B19" w:rsidRDefault="007C1851" w:rsidP="007C1851">
            <w:pPr>
              <w:jc w:val="both"/>
              <w:rPr>
                <w:rFonts w:eastAsia="Times New Roman" w:cs="Times New Roman"/>
                <w:sz w:val="22"/>
              </w:rPr>
            </w:pPr>
            <w:r w:rsidRPr="00B44B19">
              <w:rPr>
                <w:rFonts w:eastAsia="Times New Roman" w:cs="Times New Roman"/>
                <w:sz w:val="22"/>
              </w:rPr>
              <w:t>Kintant geopolitinei situacijai, tampa dar svarbiau užtikrinti saugų ir patikimą geriamojo vandens tiekimą. Tam r</w:t>
            </w:r>
            <w:r w:rsidRPr="00B44B19">
              <w:rPr>
                <w:rFonts w:eastAsia="Times New Roman" w:cs="Times New Roman"/>
                <w:color w:val="000000" w:themeColor="text1"/>
                <w:sz w:val="22"/>
              </w:rPr>
              <w:t>eikalinga didinti centralizuotos</w:t>
            </w:r>
            <w:r w:rsidRPr="00B44B19">
              <w:rPr>
                <w:rFonts w:eastAsia="Times New Roman" w:cs="Times New Roman"/>
                <w:b/>
                <w:bCs/>
                <w:color w:val="000000" w:themeColor="text1"/>
                <w:sz w:val="22"/>
              </w:rPr>
              <w:t xml:space="preserve"> geriamojo vandens tiekimo infrastruktūros apsaugą ir viešųjų vandens tiekėjų ir nuotekų tvarkytojų valdymo centrų atsparumą, </w:t>
            </w:r>
            <w:r w:rsidRPr="00B44B19">
              <w:rPr>
                <w:rFonts w:eastAsia="Times New Roman" w:cs="Times New Roman"/>
                <w:color w:val="000000" w:themeColor="text1"/>
                <w:sz w:val="22"/>
              </w:rPr>
              <w:t>fizinę ir veiklos</w:t>
            </w:r>
            <w:r w:rsidRPr="00B44B19">
              <w:rPr>
                <w:rFonts w:eastAsia="Times New Roman" w:cs="Times New Roman"/>
                <w:b/>
                <w:bCs/>
                <w:color w:val="000000" w:themeColor="text1"/>
                <w:sz w:val="22"/>
              </w:rPr>
              <w:t xml:space="preserve"> </w:t>
            </w:r>
            <w:r w:rsidRPr="00B44B19">
              <w:rPr>
                <w:rFonts w:eastAsia="Times New Roman" w:cs="Times New Roman"/>
                <w:color w:val="000000" w:themeColor="text1"/>
                <w:sz w:val="22"/>
              </w:rPr>
              <w:t xml:space="preserve">apsaugą. Įgyvendinant veiklą, bus siekiama apsaugoti įmones, jų turtą, darbuotojus ir gyventojus nuo neteisėto fizinio poveikio, kad būtų užtikrintas </w:t>
            </w:r>
            <w:r w:rsidRPr="00B44B19">
              <w:rPr>
                <w:rFonts w:eastAsia="Times New Roman" w:cs="Times New Roman"/>
                <w:color w:val="000000" w:themeColor="text1"/>
                <w:sz w:val="22"/>
              </w:rPr>
              <w:lastRenderedPageBreak/>
              <w:t xml:space="preserve">nepertraukiamas saugus vartojimui geriamojo vandens </w:t>
            </w:r>
            <w:r w:rsidRPr="00B44B19">
              <w:rPr>
                <w:rFonts w:eastAsia="Times New Roman" w:cs="Times New Roman"/>
                <w:sz w:val="22"/>
              </w:rPr>
              <w:t xml:space="preserve">tiekimas. Ši veikla atliepia nacionalinius saugumo poreikius bei prisideda prie </w:t>
            </w:r>
            <w:r w:rsidRPr="00B44B19">
              <w:rPr>
                <w:rFonts w:eastAsia="Times New Roman" w:cs="Times New Roman"/>
                <w:b/>
                <w:bCs/>
                <w:sz w:val="22"/>
              </w:rPr>
              <w:t xml:space="preserve">Europos hidrologinio atsparumo strategijos </w:t>
            </w:r>
            <w:r w:rsidRPr="00B44B19">
              <w:rPr>
                <w:rFonts w:eastAsia="Times New Roman" w:cs="Times New Roman"/>
                <w:sz w:val="22"/>
              </w:rPr>
              <w:t>tikslų įgyvendinimo.</w:t>
            </w:r>
          </w:p>
          <w:p w14:paraId="3C5D5064" w14:textId="77777777" w:rsidR="007C1851" w:rsidRPr="00B44B19" w:rsidRDefault="007C1851" w:rsidP="007C1851">
            <w:pPr>
              <w:jc w:val="both"/>
              <w:rPr>
                <w:rFonts w:cs="Times New Roman"/>
                <w:bCs/>
                <w:sz w:val="22"/>
              </w:rPr>
            </w:pPr>
            <w:r w:rsidRPr="00B44B19">
              <w:rPr>
                <w:rFonts w:cs="Times New Roman"/>
                <w:bCs/>
                <w:sz w:val="22"/>
              </w:rPr>
              <w:t xml:space="preserve">Pasirenkama </w:t>
            </w:r>
            <w:r w:rsidRPr="00B44B19">
              <w:rPr>
                <w:rFonts w:cs="Times New Roman"/>
                <w:b/>
                <w:bCs/>
                <w:sz w:val="22"/>
              </w:rPr>
              <w:t>finansavimo forma</w:t>
            </w:r>
            <w:r w:rsidRPr="00B44B19">
              <w:rPr>
                <w:rFonts w:cs="Times New Roman"/>
                <w:bCs/>
                <w:sz w:val="22"/>
              </w:rPr>
              <w:t xml:space="preserve"> – dotacijos. </w:t>
            </w:r>
            <w:r w:rsidRPr="00B44B19">
              <w:rPr>
                <w:rFonts w:cs="Times New Roman"/>
                <w:sz w:val="22"/>
              </w:rPr>
              <w:t>Planuojamos vykdyti veiklos negeneruos pajamų, todėl joms neplanuojama taikyti finansinių priemonių.</w:t>
            </w:r>
          </w:p>
          <w:p w14:paraId="255A3030" w14:textId="62E1D023" w:rsidR="007C1851" w:rsidRPr="00B44B19" w:rsidRDefault="007C1851" w:rsidP="007C1851">
            <w:pPr>
              <w:jc w:val="both"/>
              <w:rPr>
                <w:rFonts w:cs="Times New Roman"/>
                <w:bCs/>
                <w:sz w:val="22"/>
                <w:lang w:bidi="lt-LT"/>
              </w:rPr>
            </w:pPr>
            <w:r w:rsidRPr="00B44B19">
              <w:rPr>
                <w:rFonts w:cs="Times New Roman"/>
                <w:bCs/>
                <w:sz w:val="22"/>
              </w:rPr>
              <w:t xml:space="preserve">Darnios vandentvarkos </w:t>
            </w:r>
            <w:r w:rsidRPr="00B44B19">
              <w:rPr>
                <w:rFonts w:cs="Times New Roman"/>
                <w:color w:val="000000"/>
                <w:sz w:val="22"/>
              </w:rPr>
              <w:t xml:space="preserve">veiklos leis siekti </w:t>
            </w:r>
            <w:r w:rsidRPr="00B44B19">
              <w:rPr>
                <w:rFonts w:cs="Times New Roman"/>
                <w:b/>
                <w:color w:val="000000"/>
                <w:sz w:val="22"/>
              </w:rPr>
              <w:t>BJRS</w:t>
            </w:r>
            <w:r w:rsidRPr="00B44B19">
              <w:rPr>
                <w:rFonts w:cs="Times New Roman"/>
                <w:b/>
                <w:bCs/>
                <w:sz w:val="22"/>
              </w:rPr>
              <w:t xml:space="preserve"> </w:t>
            </w:r>
            <w:r w:rsidRPr="00B44B19">
              <w:rPr>
                <w:rFonts w:cs="Times New Roman"/>
                <w:bCs/>
                <w:sz w:val="22"/>
              </w:rPr>
              <w:t xml:space="preserve">politinės srities </w:t>
            </w:r>
            <w:r w:rsidRPr="00B44B19">
              <w:rPr>
                <w:rFonts w:cs="Times New Roman"/>
                <w:color w:val="000000"/>
                <w:sz w:val="22"/>
              </w:rPr>
              <w:t xml:space="preserve">„Nutri“ tikslų, kuriais </w:t>
            </w:r>
            <w:r w:rsidRPr="00B44B19">
              <w:rPr>
                <w:rFonts w:cs="Times New Roman"/>
                <w:bCs/>
                <w:sz w:val="22"/>
              </w:rPr>
              <w:t>siekiama mažinti taršos patekimą į vandens telkinius, ir turės netiesioginę įtaką sritims „Pavojai“ bei „Sveikata“.</w:t>
            </w:r>
          </w:p>
        </w:tc>
      </w:tr>
      <w:tr w:rsidR="007C1851" w:rsidRPr="00B44B19" w14:paraId="296CA83B" w14:textId="77777777" w:rsidTr="00EB70C3">
        <w:tc>
          <w:tcPr>
            <w:tcW w:w="1350" w:type="pct"/>
            <w:vMerge/>
          </w:tcPr>
          <w:p w14:paraId="225E3A32" w14:textId="77777777" w:rsidR="007C1851" w:rsidRPr="00B44B19" w:rsidRDefault="007C1851" w:rsidP="007C1851">
            <w:pPr>
              <w:pStyle w:val="Sraopastraipa"/>
              <w:ind w:left="0" w:right="-107"/>
              <w:rPr>
                <w:rFonts w:cs="Times New Roman"/>
                <w:b/>
                <w:bCs/>
                <w:iCs/>
                <w:sz w:val="22"/>
                <w:lang w:bidi="lt-LT"/>
              </w:rPr>
            </w:pPr>
          </w:p>
        </w:tc>
        <w:tc>
          <w:tcPr>
            <w:tcW w:w="1079" w:type="pct"/>
          </w:tcPr>
          <w:p w14:paraId="13EB44FE" w14:textId="77777777" w:rsidR="007C1851" w:rsidRPr="00B44B19" w:rsidRDefault="007C1851" w:rsidP="007C1851">
            <w:pPr>
              <w:rPr>
                <w:rFonts w:cs="Times New Roman"/>
                <w:bCs/>
                <w:iCs/>
                <w:sz w:val="22"/>
                <w:lang w:bidi="lt-LT"/>
              </w:rPr>
            </w:pPr>
            <w:r w:rsidRPr="00B44B19">
              <w:rPr>
                <w:rFonts w:cs="Times New Roman"/>
                <w:bCs/>
                <w:iCs/>
                <w:sz w:val="22"/>
                <w:lang w:bidi="lt-LT"/>
              </w:rPr>
              <w:t>2.2. Skatinti atsinaujinančiąją energiją pagal Direktyvą (ES) 2018/2001, įskaitant joje nustatytus tvarumo kriterijus</w:t>
            </w:r>
          </w:p>
        </w:tc>
        <w:tc>
          <w:tcPr>
            <w:tcW w:w="2571" w:type="pct"/>
          </w:tcPr>
          <w:p w14:paraId="43C279EC" w14:textId="77777777" w:rsidR="007C1851" w:rsidRPr="00B44B19" w:rsidRDefault="007C1851" w:rsidP="007C1851">
            <w:pPr>
              <w:jc w:val="both"/>
              <w:rPr>
                <w:rFonts w:cs="Times New Roman"/>
                <w:sz w:val="22"/>
              </w:rPr>
            </w:pPr>
            <w:r w:rsidRPr="00B44B19">
              <w:rPr>
                <w:rFonts w:cs="Times New Roman"/>
                <w:sz w:val="22"/>
              </w:rPr>
              <w:t xml:space="preserve">Uždaviniu labiausiai skatinamas AEI naudojimas decentralizuotai elektros energijos ir šilumos gamybai namų ūkiuose, taip pat bus skatinamas AEI naudojimas pramonės įmonėse. Be to, siekiama ir toliau didinti AEI panaudojimą šilumos ir vėsumos gamybai CŠVT sektoriuje ir užtikrinti išmaniąją elektros energijos skirstymo infrastruktūrą, pritaikytą sparčiai augančio AEI ir kaupimo įrenginių kiekio integracijai bei valdymui. Numatytos AEI plėtros veiklos turės teigiamą įtaką vietinės energijos gamybos padidinimui iki 70 %, t.y. didesnei energetinei nepriklausomybei. </w:t>
            </w:r>
          </w:p>
          <w:p w14:paraId="16CC2EAD" w14:textId="77777777" w:rsidR="007C1851" w:rsidRPr="00B44B19" w:rsidRDefault="007C1851" w:rsidP="007C1851">
            <w:pPr>
              <w:jc w:val="both"/>
              <w:rPr>
                <w:rFonts w:cs="Times New Roman"/>
                <w:sz w:val="22"/>
              </w:rPr>
            </w:pPr>
            <w:r w:rsidRPr="00B44B19">
              <w:rPr>
                <w:rFonts w:cs="Times New Roman"/>
                <w:sz w:val="22"/>
              </w:rPr>
              <w:t>Siekiama iki 2030 m. turėti 30 % vartotojų, kurie patys savo poreikiams gamintų elektros energiją. Todėl lygiagrečiai su AEI plėtra didelis dėmesys bus skiriamas ir iššūkiams, susijusiems su AEI integracija į elektros skirstomuosius tinklus.</w:t>
            </w:r>
          </w:p>
          <w:p w14:paraId="32275174" w14:textId="58091CBC" w:rsidR="007C1851" w:rsidRPr="00B44B19" w:rsidRDefault="007C1851" w:rsidP="007C1851">
            <w:pPr>
              <w:jc w:val="both"/>
              <w:rPr>
                <w:rFonts w:cs="Times New Roman"/>
                <w:bCs/>
                <w:sz w:val="22"/>
              </w:rPr>
            </w:pPr>
            <w:r w:rsidRPr="00B44B19">
              <w:rPr>
                <w:rFonts w:cs="Times New Roman"/>
                <w:sz w:val="22"/>
              </w:rPr>
              <w:t>Veikloms skirtoms pramonės įmonėms, taikomos dotacijos, kadangi veiklos nėra finansiškai gyvybingos. Energijos gamybai iš AEI namų ūkiuose, kaip veiklai prisidedančiai prie energetinio skurdo mažinimo, bus taikoma dotacija.</w:t>
            </w:r>
            <w:r w:rsidRPr="00B44B19">
              <w:rPr>
                <w:rFonts w:cs="Times New Roman"/>
              </w:rPr>
              <w:t xml:space="preserve"> </w:t>
            </w:r>
            <w:r w:rsidRPr="00B44B19">
              <w:rPr>
                <w:rFonts w:cs="Times New Roman"/>
                <w:sz w:val="22"/>
              </w:rPr>
              <w:t>Ex-ante vertinime buvo nustatytas rinkos trūkumas, todėl finansiškai gyvybingoms naujoms veikloms, susijusioms su AEI plėtra CŠVT sektoriuje planuojama taikyti finansines priemones, jas derinant su dotacija, kuri leistų sutrumpinti išlaidų infrastruktūrai atsipirkimo laikotarpį bei paskatinti pažangesnių technologijų naudojimą.</w:t>
            </w:r>
            <w:r w:rsidRPr="00B44B19" w:rsidDel="00C800DC">
              <w:rPr>
                <w:rFonts w:cs="Times New Roman"/>
                <w:sz w:val="22"/>
              </w:rPr>
              <w:t xml:space="preserve"> </w:t>
            </w:r>
            <w:r w:rsidRPr="00B44B19">
              <w:rPr>
                <w:rFonts w:cs="Times New Roman"/>
                <w:sz w:val="22"/>
              </w:rPr>
              <w:t xml:space="preserve">Šis uždavinys prisidės prie </w:t>
            </w:r>
            <w:r w:rsidRPr="00B44B19">
              <w:rPr>
                <w:rFonts w:cs="Times New Roman"/>
                <w:b/>
                <w:bCs/>
                <w:sz w:val="22"/>
              </w:rPr>
              <w:t>BJRS</w:t>
            </w:r>
            <w:r w:rsidRPr="00B44B19">
              <w:rPr>
                <w:rFonts w:cs="Times New Roman"/>
                <w:sz w:val="22"/>
              </w:rPr>
              <w:t xml:space="preserve"> politinės srities „Energetika“ įgyvendinimo – siekiant padidinti AEI dalį BJR valstybėse.</w:t>
            </w:r>
          </w:p>
        </w:tc>
      </w:tr>
      <w:tr w:rsidR="007C1851" w:rsidRPr="00B44B19" w14:paraId="0055D716" w14:textId="77777777" w:rsidTr="00EB70C3">
        <w:tc>
          <w:tcPr>
            <w:tcW w:w="1350" w:type="pct"/>
            <w:vMerge/>
          </w:tcPr>
          <w:p w14:paraId="487EB826" w14:textId="77777777" w:rsidR="007C1851" w:rsidRPr="00B44B19" w:rsidRDefault="007C1851" w:rsidP="007C1851">
            <w:pPr>
              <w:pStyle w:val="Sraopastraipa"/>
              <w:ind w:left="0" w:right="-107"/>
              <w:rPr>
                <w:rFonts w:cs="Times New Roman"/>
                <w:b/>
                <w:bCs/>
                <w:iCs/>
                <w:sz w:val="22"/>
                <w:lang w:bidi="lt-LT"/>
              </w:rPr>
            </w:pPr>
          </w:p>
        </w:tc>
        <w:tc>
          <w:tcPr>
            <w:tcW w:w="1079" w:type="pct"/>
          </w:tcPr>
          <w:p w14:paraId="406B660B" w14:textId="77777777" w:rsidR="007C1851" w:rsidRPr="00B44B19" w:rsidRDefault="007C1851" w:rsidP="007C1851">
            <w:pPr>
              <w:rPr>
                <w:rFonts w:cs="Times New Roman"/>
                <w:bCs/>
                <w:iCs/>
                <w:sz w:val="22"/>
                <w:lang w:bidi="lt-LT"/>
              </w:rPr>
            </w:pPr>
            <w:r w:rsidRPr="00B44B19">
              <w:rPr>
                <w:rFonts w:cs="Times New Roman"/>
                <w:bCs/>
                <w:iCs/>
                <w:sz w:val="22"/>
                <w:lang w:bidi="lt-LT"/>
              </w:rPr>
              <w:t>2.3. Plėtoti pažangiąsias elektros energijos sistemas, tinklus ir energijos kaupimo ne transeuropiniame energetikos tinkle (TEN-E) sprendimus</w:t>
            </w:r>
          </w:p>
        </w:tc>
        <w:tc>
          <w:tcPr>
            <w:tcW w:w="2571" w:type="pct"/>
          </w:tcPr>
          <w:p w14:paraId="73367E79" w14:textId="503D3AE4" w:rsidR="007C1851" w:rsidRPr="00B44B19" w:rsidRDefault="007C1851" w:rsidP="007C1851">
            <w:pPr>
              <w:jc w:val="both"/>
              <w:rPr>
                <w:rFonts w:eastAsia="Times New Roman" w:cs="Times New Roman"/>
                <w:sz w:val="22"/>
              </w:rPr>
            </w:pPr>
            <w:r w:rsidRPr="00B44B19">
              <w:rPr>
                <w:rFonts w:eastAsia="Times New Roman" w:cs="Times New Roman"/>
                <w:b/>
                <w:sz w:val="22"/>
              </w:rPr>
              <w:t>NEKSVP ir NENS</w:t>
            </w:r>
            <w:r w:rsidRPr="00B44B19">
              <w:rPr>
                <w:rFonts w:eastAsia="Times New Roman" w:cs="Times New Roman"/>
                <w:sz w:val="22"/>
              </w:rPr>
              <w:t xml:space="preserve"> nustatytas tikslas – iki 2030 m. pasiekti, kad AEI dalis elektros suvartojimo balanse būtų bent 45 % – reikalauja kompleksinių sprendimų tiek elektros perdavimo, tiek elektros skirstomajame tinkle. Siekiant 2030 tikslų, numatoma, kad AEI bendras galių prieaugis elektros sektoriuje 2021–2030 m. bus daugiau nei 2000 MW. Siekiant 2030 m. Lietuvoje turėti apie 500 tūkst. elektros energiją sau gaminančių vartotojų, skirstomojo tinklo </w:t>
            </w:r>
            <w:r w:rsidRPr="00B44B19">
              <w:rPr>
                <w:rFonts w:eastAsia="Times New Roman" w:cs="Times New Roman"/>
                <w:sz w:val="22"/>
              </w:rPr>
              <w:lastRenderedPageBreak/>
              <w:t xml:space="preserve">modernizavimas, diegiant išmaniuosius sprendimus, yra būtinas. Sėkmingai įgyvendinus uždavinį būtų reikšmingai prisidėta prie AEI tikslo įgyvendinimo, sudarant sąlygas atsirasti naujiems gaminantiems vartotojams, jų ir rinkos teikiamų paslaugų integracijai į elektros skirstomuosius tinklus bei patikimam tinklų valdymui. </w:t>
            </w:r>
          </w:p>
          <w:p w14:paraId="0C9ED6EE" w14:textId="77777777" w:rsidR="007C1851" w:rsidRPr="00B44B19" w:rsidRDefault="007C1851" w:rsidP="007C1851">
            <w:pPr>
              <w:jc w:val="both"/>
              <w:rPr>
                <w:rFonts w:eastAsia="Times New Roman" w:cs="Times New Roman"/>
                <w:sz w:val="22"/>
              </w:rPr>
            </w:pPr>
            <w:r w:rsidRPr="00B44B19">
              <w:rPr>
                <w:rFonts w:eastAsia="Times New Roman" w:cs="Times New Roman"/>
                <w:sz w:val="22"/>
              </w:rPr>
              <w:t xml:space="preserve">Uždavinio veikloms įgyvendinti planuojama taikyti dotaciją. Ši </w:t>
            </w:r>
            <w:r w:rsidRPr="00B44B19">
              <w:rPr>
                <w:rFonts w:eastAsia="Times New Roman" w:cs="Times New Roman"/>
                <w:b/>
                <w:sz w:val="22"/>
              </w:rPr>
              <w:t>finansavimo forma</w:t>
            </w:r>
            <w:r w:rsidRPr="00B44B19">
              <w:rPr>
                <w:rFonts w:eastAsia="Times New Roman" w:cs="Times New Roman"/>
                <w:sz w:val="22"/>
              </w:rPr>
              <w:t xml:space="preserve"> prisidės prie elektros tarifo ir kartu prie energetinio skurdo nedidinimo.</w:t>
            </w:r>
          </w:p>
          <w:p w14:paraId="44A81C63" w14:textId="77777777" w:rsidR="007C1851" w:rsidRPr="00B44B19" w:rsidRDefault="007C1851" w:rsidP="007C1851">
            <w:pPr>
              <w:jc w:val="both"/>
              <w:rPr>
                <w:rFonts w:cs="Times New Roman"/>
                <w:bCs/>
                <w:sz w:val="22"/>
                <w:lang w:bidi="lt-LT"/>
              </w:rPr>
            </w:pPr>
            <w:r w:rsidRPr="00B44B19">
              <w:rPr>
                <w:rFonts w:eastAsia="Times New Roman" w:cs="Times New Roman"/>
                <w:sz w:val="22"/>
              </w:rPr>
              <w:t xml:space="preserve">Veiklos prisidės prie </w:t>
            </w:r>
            <w:r w:rsidRPr="00B44B19">
              <w:rPr>
                <w:rFonts w:eastAsia="Times New Roman" w:cs="Times New Roman"/>
                <w:b/>
                <w:bCs/>
                <w:sz w:val="22"/>
              </w:rPr>
              <w:t>BJRS</w:t>
            </w:r>
            <w:r w:rsidRPr="00B44B19">
              <w:rPr>
                <w:rFonts w:eastAsia="Times New Roman" w:cs="Times New Roman"/>
                <w:sz w:val="22"/>
              </w:rPr>
              <w:t xml:space="preserve"> politinės srities „Energetika“ įgyvendinimo, siekiant, kad tinklo nariai plėstų AEI pajėgumus ir tvariai integruotų juos į rinką bei būtų sudarytos palankesnės techninės sąlygos vartotojams tapti aktyviais energijos rinkos dalyviais.</w:t>
            </w:r>
          </w:p>
        </w:tc>
      </w:tr>
      <w:tr w:rsidR="007C1851" w:rsidRPr="00B44B19" w14:paraId="37D0C067" w14:textId="77777777" w:rsidTr="00EB70C3">
        <w:tc>
          <w:tcPr>
            <w:tcW w:w="1350" w:type="pct"/>
            <w:vMerge/>
          </w:tcPr>
          <w:p w14:paraId="782927A7" w14:textId="77777777" w:rsidR="007C1851" w:rsidRPr="00B44B19" w:rsidRDefault="007C1851" w:rsidP="007C1851">
            <w:pPr>
              <w:pStyle w:val="Sraopastraipa"/>
              <w:ind w:left="0" w:right="-107"/>
              <w:rPr>
                <w:rFonts w:cs="Times New Roman"/>
                <w:b/>
                <w:bCs/>
                <w:iCs/>
                <w:sz w:val="22"/>
                <w:lang w:bidi="lt-LT"/>
              </w:rPr>
            </w:pPr>
          </w:p>
        </w:tc>
        <w:tc>
          <w:tcPr>
            <w:tcW w:w="1079" w:type="pct"/>
          </w:tcPr>
          <w:p w14:paraId="5DE32881" w14:textId="77777777" w:rsidR="007C1851" w:rsidRPr="00B44B19" w:rsidRDefault="007C1851" w:rsidP="007C1851">
            <w:pPr>
              <w:rPr>
                <w:rFonts w:cs="Times New Roman"/>
                <w:bCs/>
                <w:iCs/>
                <w:sz w:val="22"/>
                <w:lang w:bidi="lt-LT"/>
              </w:rPr>
            </w:pPr>
            <w:r w:rsidRPr="00B44B19">
              <w:rPr>
                <w:rFonts w:cs="Times New Roman"/>
                <w:bCs/>
                <w:iCs/>
                <w:sz w:val="22"/>
                <w:lang w:bidi="lt-LT"/>
              </w:rPr>
              <w:t>2.4. Skatinti prisitaikymą prie klimato kaitos ir nelaimių rizikos prevenciją, atsparumą, atsižvelgiant į ekosisteminius metodus</w:t>
            </w:r>
          </w:p>
        </w:tc>
        <w:tc>
          <w:tcPr>
            <w:tcW w:w="2571" w:type="pct"/>
          </w:tcPr>
          <w:p w14:paraId="6E95C83C" w14:textId="77777777" w:rsidR="007C1851" w:rsidRPr="00B44B19" w:rsidRDefault="007C1851" w:rsidP="007C1851">
            <w:pPr>
              <w:jc w:val="both"/>
              <w:rPr>
                <w:rFonts w:cs="Times New Roman"/>
                <w:bCs/>
                <w:sz w:val="22"/>
              </w:rPr>
            </w:pPr>
            <w:r w:rsidRPr="00B44B19">
              <w:rPr>
                <w:rFonts w:cs="Times New Roman"/>
                <w:bCs/>
                <w:sz w:val="22"/>
              </w:rPr>
              <w:t xml:space="preserve">Prognozuojama, kad klimato kaitos poveikis taps vis akivaizdesnis. Klimato kaita Lietuvoje grėsmingiausiai pasireiškia per ekstremalius meteorologinius ir hidrologinius reiškinius, kurie daro poveikį įvairiems ūkio sektorius. </w:t>
            </w:r>
          </w:p>
          <w:p w14:paraId="032F8ACE" w14:textId="77777777" w:rsidR="007C1851" w:rsidRPr="00B44B19" w:rsidRDefault="007C1851" w:rsidP="007C1851">
            <w:pPr>
              <w:jc w:val="both"/>
              <w:rPr>
                <w:rFonts w:cs="Times New Roman"/>
                <w:bCs/>
                <w:sz w:val="22"/>
              </w:rPr>
            </w:pPr>
            <w:r w:rsidRPr="00B44B19">
              <w:rPr>
                <w:rFonts w:cs="Times New Roman"/>
                <w:bCs/>
                <w:sz w:val="22"/>
              </w:rPr>
              <w:t xml:space="preserve">Klimato kaitos sukeliami nuostoliai siekia 0,8 % BVP per metus – pavyzdžiui, 2018 m. tokia suma siektų ~361 mln. Eur. Ypač tą pajaučia prie jautriausių klimato kaitai Lietuvoje priskiriami žemės ūkio, visuomenės sveikatos, energetikos, pramonės, transporto ir komunikacijų, miškininkystės sektoriai. Taip pat klimato kaitai ypač jautrios ekosistemos, biologinė įvairovė, kraštovaizdis ir vandens ištekliai, pajūrio zona ir urbanizuotos teritorijos.  </w:t>
            </w:r>
          </w:p>
          <w:p w14:paraId="51ECAE9E" w14:textId="77777777" w:rsidR="007C1851" w:rsidRPr="00B44B19" w:rsidRDefault="007C1851" w:rsidP="007C1851">
            <w:pPr>
              <w:jc w:val="both"/>
              <w:rPr>
                <w:rFonts w:cs="Times New Roman"/>
                <w:bCs/>
                <w:sz w:val="22"/>
              </w:rPr>
            </w:pPr>
            <w:r w:rsidRPr="00B44B19">
              <w:rPr>
                <w:rFonts w:cs="Times New Roman"/>
                <w:b/>
                <w:bCs/>
                <w:sz w:val="22"/>
              </w:rPr>
              <w:t xml:space="preserve">NEKSVP </w:t>
            </w:r>
            <w:r w:rsidRPr="00B44B19">
              <w:rPr>
                <w:rFonts w:cs="Times New Roman"/>
                <w:bCs/>
                <w:sz w:val="22"/>
              </w:rPr>
              <w:t xml:space="preserve">bei </w:t>
            </w:r>
            <w:r w:rsidRPr="00B44B19">
              <w:rPr>
                <w:rFonts w:cs="Times New Roman"/>
                <w:b/>
                <w:bCs/>
                <w:sz w:val="22"/>
              </w:rPr>
              <w:t xml:space="preserve">NPP </w:t>
            </w:r>
            <w:r w:rsidRPr="00B44B19">
              <w:rPr>
                <w:rFonts w:cs="Times New Roman"/>
                <w:bCs/>
                <w:sz w:val="22"/>
              </w:rPr>
              <w:t>įtvirtintas siekis sumažinti gamtinių ekosistemų ir šalies ūkio sektorių pažeidžiamumą bei sustiprinti jų atsparumą, gebėjimą prisitaikyti ir reagavimą į klimato kaitos pokyčius, kartu siekiant užtikrinti palankias visuomenės gyvenimo ir ūkinės veiklos sąlygas darniam vystymuisi.</w:t>
            </w:r>
          </w:p>
          <w:p w14:paraId="7FF3BC90" w14:textId="77777777" w:rsidR="007C1851" w:rsidRPr="00B44B19" w:rsidRDefault="007C1851" w:rsidP="007C1851">
            <w:pPr>
              <w:jc w:val="both"/>
              <w:rPr>
                <w:rFonts w:cs="Times New Roman"/>
                <w:bCs/>
                <w:sz w:val="22"/>
              </w:rPr>
            </w:pPr>
            <w:r w:rsidRPr="00B44B19">
              <w:rPr>
                <w:rFonts w:cs="Times New Roman"/>
                <w:b/>
                <w:bCs/>
                <w:sz w:val="22"/>
              </w:rPr>
              <w:t>Atlikus Lietuvos nacionalinę rizikų analizę</w:t>
            </w:r>
            <w:r w:rsidRPr="00B44B19">
              <w:rPr>
                <w:rFonts w:cs="Times New Roman"/>
                <w:bCs/>
                <w:sz w:val="22"/>
              </w:rPr>
              <w:t xml:space="preserve"> nustatyta, kad Lietuvos aplinkai, klimatui, ekonomikai ir gyventojų sveikatai bei socialinei gerovei labai didelę riziką kelia stichiniai, katastrofiniai hidrologiniai ir meteorologiniai reiškiniai, miškų gaisrai, epizootijos, potvyniai, epidemijos ir pandemijos ar didelės pramoninės (tarp jų laivų) avarijos tikimybė.</w:t>
            </w:r>
          </w:p>
          <w:p w14:paraId="4495D700" w14:textId="77777777" w:rsidR="007C1851" w:rsidRPr="00B44B19" w:rsidRDefault="007C1851" w:rsidP="007C1851">
            <w:pPr>
              <w:jc w:val="both"/>
              <w:rPr>
                <w:rFonts w:cs="Times New Roman"/>
                <w:bCs/>
                <w:iCs/>
                <w:sz w:val="22"/>
              </w:rPr>
            </w:pPr>
            <w:r w:rsidRPr="00B44B19">
              <w:rPr>
                <w:rFonts w:cs="Times New Roman"/>
                <w:bCs/>
                <w:iCs/>
                <w:sz w:val="22"/>
              </w:rPr>
              <w:t xml:space="preserve">Pasirenkama </w:t>
            </w:r>
            <w:r w:rsidRPr="00B44B19">
              <w:rPr>
                <w:rFonts w:cs="Times New Roman"/>
                <w:b/>
                <w:bCs/>
                <w:iCs/>
                <w:sz w:val="22"/>
              </w:rPr>
              <w:t>finansavimo forma</w:t>
            </w:r>
            <w:r w:rsidRPr="00B44B19">
              <w:rPr>
                <w:rFonts w:cs="Times New Roman"/>
                <w:bCs/>
                <w:iCs/>
                <w:sz w:val="22"/>
              </w:rPr>
              <w:t xml:space="preserve"> – dotacijos. </w:t>
            </w:r>
            <w:r w:rsidRPr="00B44B19">
              <w:rPr>
                <w:rFonts w:cs="Times New Roman"/>
                <w:sz w:val="22"/>
              </w:rPr>
              <w:t>Planuojamos vykdyti veiklos negeneruos pajamų, todėl joms neplanuojama taikyti finansinių priemonių.</w:t>
            </w:r>
          </w:p>
          <w:p w14:paraId="4365EA0D" w14:textId="77777777" w:rsidR="007C1851" w:rsidRPr="00B44B19" w:rsidRDefault="007C1851" w:rsidP="007C1851">
            <w:pPr>
              <w:jc w:val="both"/>
              <w:rPr>
                <w:rFonts w:cs="Times New Roman"/>
                <w:bCs/>
                <w:sz w:val="22"/>
              </w:rPr>
            </w:pPr>
            <w:r w:rsidRPr="00B44B19">
              <w:rPr>
                <w:rFonts w:cs="Times New Roman"/>
                <w:bCs/>
                <w:sz w:val="22"/>
              </w:rPr>
              <w:t xml:space="preserve">Prisitaikymo prie klimato kaitos, rizikos prevencijos ir atsparumo nelaimėms veiklos prisidės prie </w:t>
            </w:r>
            <w:r w:rsidRPr="00B44B19">
              <w:rPr>
                <w:rFonts w:cs="Times New Roman"/>
                <w:b/>
                <w:bCs/>
                <w:sz w:val="22"/>
              </w:rPr>
              <w:t>BJRS</w:t>
            </w:r>
            <w:r w:rsidRPr="00B44B19">
              <w:rPr>
                <w:rFonts w:cs="Times New Roman"/>
                <w:bCs/>
                <w:sz w:val="22"/>
              </w:rPr>
              <w:t xml:space="preserve"> politikos tikslo „Sauga“ ir „Saugumas“, kuria siekiama sustiprinti krizių prevenciją ir valdymą tiek sausumoje, tiek jūroje, įskaitant prevencijai ir </w:t>
            </w:r>
            <w:r w:rsidRPr="00B44B19">
              <w:rPr>
                <w:rFonts w:cs="Times New Roman"/>
                <w:bCs/>
                <w:sz w:val="22"/>
              </w:rPr>
              <w:lastRenderedPageBreak/>
              <w:t>reagavimui reikalingų duomenų rinkimą ir apsikeitimą jais. Taip pat bus prisidedama prie „Nutri“, sprendžiant taršos patekimo į aplinką ir Baltijos jūrą problemas.</w:t>
            </w:r>
          </w:p>
        </w:tc>
      </w:tr>
      <w:tr w:rsidR="007C1851" w:rsidRPr="00B44B19" w14:paraId="7A208545" w14:textId="77777777" w:rsidTr="00EB70C3">
        <w:tc>
          <w:tcPr>
            <w:tcW w:w="1350" w:type="pct"/>
            <w:vMerge/>
          </w:tcPr>
          <w:p w14:paraId="5E71F46D" w14:textId="77777777" w:rsidR="007C1851" w:rsidRPr="00B44B19" w:rsidRDefault="007C1851" w:rsidP="007C1851">
            <w:pPr>
              <w:pStyle w:val="Sraopastraipa"/>
              <w:ind w:left="0" w:right="-107"/>
              <w:rPr>
                <w:rFonts w:cs="Times New Roman"/>
                <w:b/>
                <w:bCs/>
                <w:iCs/>
                <w:sz w:val="22"/>
                <w:lang w:bidi="lt-LT"/>
              </w:rPr>
            </w:pPr>
          </w:p>
        </w:tc>
        <w:tc>
          <w:tcPr>
            <w:tcW w:w="1079" w:type="pct"/>
          </w:tcPr>
          <w:p w14:paraId="54BADE9A" w14:textId="72C8D1A7" w:rsidR="007C1851" w:rsidRPr="00B44B19" w:rsidRDefault="007C1851" w:rsidP="007C1851">
            <w:pPr>
              <w:rPr>
                <w:rFonts w:cs="Times New Roman"/>
                <w:bCs/>
                <w:iCs/>
                <w:sz w:val="22"/>
                <w:lang w:bidi="lt-LT"/>
              </w:rPr>
            </w:pPr>
            <w:r w:rsidRPr="00B44B19">
              <w:rPr>
                <w:rFonts w:cs="Times New Roman"/>
                <w:bCs/>
                <w:iCs/>
                <w:sz w:val="22"/>
                <w:lang w:bidi="lt-LT"/>
              </w:rPr>
              <w:t>2.5.</w:t>
            </w:r>
            <w:r w:rsidR="005E5B42">
              <w:rPr>
                <w:rFonts w:cs="Times New Roman"/>
                <w:bCs/>
                <w:iCs/>
                <w:sz w:val="22"/>
                <w:lang w:bidi="lt-LT"/>
              </w:rPr>
              <w:t>; 12.1.</w:t>
            </w:r>
            <w:r w:rsidRPr="00B44B19">
              <w:rPr>
                <w:rFonts w:cs="Times New Roman"/>
                <w:bCs/>
                <w:iCs/>
                <w:sz w:val="22"/>
                <w:lang w:bidi="lt-LT"/>
              </w:rPr>
              <w:t xml:space="preserve"> </w:t>
            </w:r>
            <w:r w:rsidR="005E5B42" w:rsidRPr="005E5B42">
              <w:rPr>
                <w:sz w:val="22"/>
                <w:szCs w:val="20"/>
              </w:rPr>
              <w:t>Skatinti saugią prieigą prie vandens, tvarios vandentvarkos, įskaitant integruotą vandentvarką, ir vandens išteklių atsparumą</w:t>
            </w:r>
          </w:p>
        </w:tc>
        <w:tc>
          <w:tcPr>
            <w:tcW w:w="2571" w:type="pct"/>
          </w:tcPr>
          <w:p w14:paraId="3B38EB2B" w14:textId="77777777" w:rsidR="007C1851" w:rsidRPr="00B44B19" w:rsidRDefault="007C1851" w:rsidP="007C1851">
            <w:pPr>
              <w:jc w:val="both"/>
              <w:rPr>
                <w:rFonts w:cs="Times New Roman"/>
                <w:bCs/>
                <w:sz w:val="22"/>
              </w:rPr>
            </w:pPr>
            <w:r w:rsidRPr="00B44B19">
              <w:rPr>
                <w:rFonts w:cs="Times New Roman"/>
                <w:bCs/>
                <w:sz w:val="22"/>
              </w:rPr>
              <w:t>Vien</w:t>
            </w:r>
            <w:r w:rsidRPr="00B44B19">
              <w:rPr>
                <w:rFonts w:cs="Times New Roman"/>
                <w:b/>
                <w:bCs/>
                <w:iCs/>
                <w:color w:val="000000" w:themeColor="text1"/>
                <w:sz w:val="22"/>
                <w:lang w:bidi="lt-LT"/>
              </w:rPr>
              <w:t>a</w:t>
            </w:r>
            <w:r w:rsidRPr="00B44B19">
              <w:rPr>
                <w:rFonts w:cs="Times New Roman"/>
                <w:bCs/>
                <w:sz w:val="22"/>
              </w:rPr>
              <w:t xml:space="preserve">s iš </w:t>
            </w:r>
            <w:r w:rsidRPr="00B44B19">
              <w:rPr>
                <w:rFonts w:cs="Times New Roman"/>
                <w:b/>
                <w:bCs/>
                <w:sz w:val="22"/>
              </w:rPr>
              <w:t>Europos žaliojo kurso</w:t>
            </w:r>
            <w:r w:rsidRPr="00B44B19">
              <w:rPr>
                <w:rFonts w:cs="Times New Roman"/>
                <w:bCs/>
                <w:sz w:val="22"/>
              </w:rPr>
              <w:t xml:space="preserve"> tikslų yra siekiamybė apsaugoti, išsaugoti ir sustiprinti ES gamtinį kapitalą bei atkurti natūralią požeminio ir paviršinio vandens būklę. Darnus geriamojo vandens tiekimas ir nuotekų tvarkymas reikšmingai prisideda prie šių siekių įgyvendinimo.</w:t>
            </w:r>
          </w:p>
          <w:p w14:paraId="11A2ADE9" w14:textId="77777777" w:rsidR="007C1851" w:rsidRPr="00B44B19" w:rsidRDefault="007C1851" w:rsidP="007C1851">
            <w:pPr>
              <w:jc w:val="both"/>
              <w:rPr>
                <w:rFonts w:cs="Times New Roman"/>
                <w:bCs/>
                <w:sz w:val="22"/>
              </w:rPr>
            </w:pPr>
            <w:r w:rsidRPr="00B44B19">
              <w:rPr>
                <w:rFonts w:cs="Times New Roman"/>
                <w:bCs/>
                <w:iCs/>
                <w:sz w:val="22"/>
              </w:rPr>
              <w:t xml:space="preserve">Didžiausią neigiamą poveikį Lietuvos paviršiniams vandenims daro pasklidoji tarša iš žemės ūkio sektoriaus, taip pat </w:t>
            </w:r>
            <w:r w:rsidRPr="00B44B19">
              <w:rPr>
                <w:rFonts w:cs="Times New Roman"/>
                <w:bCs/>
                <w:sz w:val="22"/>
              </w:rPr>
              <w:t>netinkamai tvarkomos individualios nuotekos. Lietuvos teritorija yra jautri azotui ir fosforui zona. Per didelis maistingųjų medžiagų kiekis neigiamai veikia vandens telkinių būklę ir sukelia eutrofikaciją visuose vandens telkiniuose. Todėl svarbu imtis priemonių nuotekų tvarkymo sistemų plėtrai ir nuotekų valymo įrenginių rekonstrukcijai užtikrinti, siekiant mažinti vandens telkinių taršą ir sudaryti galimybes visiems gyventojams gauti saugos ir kokybės reikalavimus atitinkantį geriamąjį vandenį.</w:t>
            </w:r>
          </w:p>
          <w:p w14:paraId="28F67C97" w14:textId="77777777" w:rsidR="007C1851" w:rsidRPr="00B44B19" w:rsidRDefault="007C1851" w:rsidP="007C1851">
            <w:pPr>
              <w:jc w:val="both"/>
              <w:rPr>
                <w:rFonts w:cs="Times New Roman"/>
                <w:bCs/>
                <w:sz w:val="22"/>
              </w:rPr>
            </w:pPr>
            <w:r w:rsidRPr="00B44B19">
              <w:rPr>
                <w:rFonts w:cs="Times New Roman"/>
                <w:b/>
                <w:bCs/>
                <w:sz w:val="22"/>
              </w:rPr>
              <w:t xml:space="preserve">Pagrindinis NPP tikslas iki 2030 m. </w:t>
            </w:r>
            <w:r w:rsidRPr="00B44B19">
              <w:rPr>
                <w:rFonts w:cs="Times New Roman"/>
                <w:bCs/>
                <w:sz w:val="22"/>
              </w:rPr>
              <w:t>pasiekti, kad visi vandens telkiniai būtų geros būklės ir visos viešosios geriamojo vandens tiekimo ir nuotekų tvarkymo įmonės veiktų efektyviai. Taip pat siekiama padidinti nuotekų tvarkymo paslaugų prieinamumą iki 95 % šalies gyventojų (padidėtų 18 proc. p., palyginti su 2020 m.), o geriamojo vandens srityje – iki 90 % (padidėtų 7 proc. p., palyginti su 2020 m.).</w:t>
            </w:r>
          </w:p>
          <w:p w14:paraId="1316887F" w14:textId="77777777" w:rsidR="007C1851" w:rsidRPr="00B44B19" w:rsidRDefault="007C1851" w:rsidP="007C1851">
            <w:pPr>
              <w:jc w:val="both"/>
              <w:rPr>
                <w:rFonts w:eastAsia="Times New Roman" w:cs="Times New Roman"/>
                <w:sz w:val="22"/>
              </w:rPr>
            </w:pPr>
            <w:r w:rsidRPr="00B44B19">
              <w:rPr>
                <w:rFonts w:eastAsia="Times New Roman" w:cs="Times New Roman"/>
                <w:sz w:val="22"/>
              </w:rPr>
              <w:t>Kintant geopolitinei situacijai, tampa dar svarbiau užtikrinti saugų ir patikimą geriamojo vandens tiekimą. Tam r</w:t>
            </w:r>
            <w:r w:rsidRPr="00B44B19">
              <w:rPr>
                <w:rFonts w:eastAsia="Times New Roman" w:cs="Times New Roman"/>
                <w:color w:val="000000" w:themeColor="text1"/>
                <w:sz w:val="22"/>
              </w:rPr>
              <w:t>eikalinga didinti centralizuotos</w:t>
            </w:r>
            <w:r w:rsidRPr="00B44B19">
              <w:rPr>
                <w:rFonts w:eastAsia="Times New Roman" w:cs="Times New Roman"/>
                <w:b/>
                <w:bCs/>
                <w:color w:val="000000" w:themeColor="text1"/>
                <w:sz w:val="22"/>
              </w:rPr>
              <w:t xml:space="preserve"> geriamojo vandens tiekimo infrastruktūros apsaugą ir viešųjų vandens tiekėjų ir nuotekų tvarkytojų valdymo centrų atsparumą, </w:t>
            </w:r>
            <w:r w:rsidRPr="00B44B19">
              <w:rPr>
                <w:rFonts w:eastAsia="Times New Roman" w:cs="Times New Roman"/>
                <w:color w:val="000000" w:themeColor="text1"/>
                <w:sz w:val="22"/>
              </w:rPr>
              <w:t>fizinę ir veiklos</w:t>
            </w:r>
            <w:r w:rsidRPr="00B44B19">
              <w:rPr>
                <w:rFonts w:eastAsia="Times New Roman" w:cs="Times New Roman"/>
                <w:b/>
                <w:bCs/>
                <w:color w:val="000000" w:themeColor="text1"/>
                <w:sz w:val="22"/>
              </w:rPr>
              <w:t xml:space="preserve"> </w:t>
            </w:r>
            <w:r w:rsidRPr="00B44B19">
              <w:rPr>
                <w:rFonts w:eastAsia="Times New Roman" w:cs="Times New Roman"/>
                <w:color w:val="000000" w:themeColor="text1"/>
                <w:sz w:val="22"/>
              </w:rPr>
              <w:t xml:space="preserve">apsaugą. Įgyvendinant veiklą, bus siekiama apsaugoti įmones, jų turtą, darbuotojus ir gyventojus nuo neteisėto fizinio poveikio, kad būtų užtikrintas nepertraukiamas saugus vartojimui geriamojo vandens </w:t>
            </w:r>
            <w:r w:rsidRPr="00B44B19">
              <w:rPr>
                <w:rFonts w:eastAsia="Times New Roman" w:cs="Times New Roman"/>
                <w:sz w:val="22"/>
              </w:rPr>
              <w:t xml:space="preserve">tiekimas. Ši veikla atliepia nacionalinius saugumo poreikius bei prisideda prie </w:t>
            </w:r>
            <w:r w:rsidRPr="00B44B19">
              <w:rPr>
                <w:rFonts w:eastAsia="Times New Roman" w:cs="Times New Roman"/>
                <w:b/>
                <w:bCs/>
                <w:sz w:val="22"/>
              </w:rPr>
              <w:t xml:space="preserve">Europos hidrologinio atsparumo strategijos </w:t>
            </w:r>
            <w:r w:rsidRPr="00B44B19">
              <w:rPr>
                <w:rFonts w:eastAsia="Times New Roman" w:cs="Times New Roman"/>
                <w:sz w:val="22"/>
              </w:rPr>
              <w:t>tikslų įgyvendinimo.</w:t>
            </w:r>
          </w:p>
          <w:p w14:paraId="627F293B" w14:textId="77777777" w:rsidR="007C1851" w:rsidRPr="00B44B19" w:rsidRDefault="007C1851" w:rsidP="007C1851">
            <w:pPr>
              <w:jc w:val="both"/>
              <w:rPr>
                <w:rFonts w:cs="Times New Roman"/>
                <w:bCs/>
                <w:sz w:val="22"/>
              </w:rPr>
            </w:pPr>
            <w:r w:rsidRPr="00B44B19">
              <w:rPr>
                <w:rFonts w:cs="Times New Roman"/>
                <w:bCs/>
                <w:sz w:val="22"/>
              </w:rPr>
              <w:t xml:space="preserve">Pasirenkama </w:t>
            </w:r>
            <w:r w:rsidRPr="00B44B19">
              <w:rPr>
                <w:rFonts w:cs="Times New Roman"/>
                <w:b/>
                <w:bCs/>
                <w:sz w:val="22"/>
              </w:rPr>
              <w:t>finansavimo forma</w:t>
            </w:r>
            <w:r w:rsidRPr="00B44B19">
              <w:rPr>
                <w:rFonts w:cs="Times New Roman"/>
                <w:bCs/>
                <w:sz w:val="22"/>
              </w:rPr>
              <w:t xml:space="preserve"> – dotacijos. </w:t>
            </w:r>
            <w:r w:rsidRPr="00B44B19">
              <w:rPr>
                <w:rFonts w:cs="Times New Roman"/>
                <w:sz w:val="22"/>
              </w:rPr>
              <w:t>Planuojamos vykdyti veiklos negeneruos pajamų, todėl joms neplanuojama taikyti finansinių priemonių.</w:t>
            </w:r>
          </w:p>
          <w:p w14:paraId="4B3CE4C0" w14:textId="548BEEC5" w:rsidR="007C1851" w:rsidRPr="00B44B19" w:rsidRDefault="007C1851" w:rsidP="007C1851">
            <w:pPr>
              <w:jc w:val="both"/>
              <w:rPr>
                <w:rFonts w:cs="Times New Roman"/>
                <w:bCs/>
                <w:sz w:val="22"/>
              </w:rPr>
            </w:pPr>
            <w:r w:rsidRPr="00B44B19">
              <w:rPr>
                <w:rFonts w:cs="Times New Roman"/>
                <w:bCs/>
                <w:sz w:val="22"/>
              </w:rPr>
              <w:t xml:space="preserve">Darnios vandentvarkos </w:t>
            </w:r>
            <w:r w:rsidRPr="00B44B19">
              <w:rPr>
                <w:rFonts w:cs="Times New Roman"/>
                <w:color w:val="000000"/>
                <w:sz w:val="22"/>
              </w:rPr>
              <w:t xml:space="preserve">veiklos leis siekti </w:t>
            </w:r>
            <w:r w:rsidRPr="00B44B19">
              <w:rPr>
                <w:rFonts w:cs="Times New Roman"/>
                <w:b/>
                <w:color w:val="000000"/>
                <w:sz w:val="22"/>
              </w:rPr>
              <w:t>BJRS</w:t>
            </w:r>
            <w:r w:rsidRPr="00B44B19">
              <w:rPr>
                <w:rFonts w:cs="Times New Roman"/>
                <w:b/>
                <w:bCs/>
                <w:sz w:val="22"/>
              </w:rPr>
              <w:t xml:space="preserve"> </w:t>
            </w:r>
            <w:r w:rsidRPr="00B44B19">
              <w:rPr>
                <w:rFonts w:cs="Times New Roman"/>
                <w:bCs/>
                <w:sz w:val="22"/>
              </w:rPr>
              <w:t xml:space="preserve">politinės srities </w:t>
            </w:r>
            <w:r w:rsidRPr="00B44B19">
              <w:rPr>
                <w:rFonts w:cs="Times New Roman"/>
                <w:color w:val="000000"/>
                <w:sz w:val="22"/>
              </w:rPr>
              <w:t xml:space="preserve">„Nutri“ tikslų, kuriais </w:t>
            </w:r>
            <w:r w:rsidRPr="00B44B19">
              <w:rPr>
                <w:rFonts w:cs="Times New Roman"/>
                <w:bCs/>
                <w:sz w:val="22"/>
              </w:rPr>
              <w:t>siekiama mažinti taršos patekimą į vandens telkinius, ir turės netiesioginę įtaką sritims „Pavojai“ bei „Sveikata“.</w:t>
            </w:r>
          </w:p>
        </w:tc>
      </w:tr>
      <w:tr w:rsidR="007C1851" w:rsidRPr="00B44B19" w14:paraId="05938731" w14:textId="77777777" w:rsidTr="00EB70C3">
        <w:tc>
          <w:tcPr>
            <w:tcW w:w="1350" w:type="pct"/>
            <w:vMerge/>
          </w:tcPr>
          <w:p w14:paraId="4CA59B02" w14:textId="77777777" w:rsidR="007C1851" w:rsidRPr="00B44B19" w:rsidRDefault="007C1851" w:rsidP="007C1851">
            <w:pPr>
              <w:pStyle w:val="Sraopastraipa"/>
              <w:ind w:left="0" w:right="-107"/>
              <w:rPr>
                <w:rFonts w:cs="Times New Roman"/>
                <w:b/>
                <w:bCs/>
                <w:iCs/>
                <w:sz w:val="22"/>
                <w:lang w:bidi="lt-LT"/>
              </w:rPr>
            </w:pPr>
          </w:p>
        </w:tc>
        <w:tc>
          <w:tcPr>
            <w:tcW w:w="1079" w:type="pct"/>
          </w:tcPr>
          <w:p w14:paraId="083867C8" w14:textId="77777777" w:rsidR="007C1851" w:rsidRPr="00B44B19" w:rsidRDefault="007C1851" w:rsidP="007C1851">
            <w:pPr>
              <w:rPr>
                <w:rFonts w:cs="Times New Roman"/>
                <w:bCs/>
                <w:iCs/>
                <w:sz w:val="22"/>
                <w:lang w:bidi="lt-LT"/>
              </w:rPr>
            </w:pPr>
            <w:r w:rsidRPr="00B44B19">
              <w:rPr>
                <w:rFonts w:cs="Times New Roman"/>
                <w:bCs/>
                <w:iCs/>
                <w:sz w:val="22"/>
                <w:lang w:bidi="lt-LT"/>
              </w:rPr>
              <w:t>2.6. Skatinti perėjimą prie žiedinės ir efektyvaus išteklių naudojimo ekonomikos</w:t>
            </w:r>
          </w:p>
        </w:tc>
        <w:tc>
          <w:tcPr>
            <w:tcW w:w="2571" w:type="pct"/>
          </w:tcPr>
          <w:p w14:paraId="76F22524" w14:textId="77777777" w:rsidR="007C1851" w:rsidRPr="00B44B19" w:rsidRDefault="007C1851" w:rsidP="007C1851">
            <w:pPr>
              <w:jc w:val="both"/>
              <w:rPr>
                <w:rFonts w:eastAsia="Times New Roman" w:cs="Times New Roman"/>
                <w:bCs/>
                <w:sz w:val="22"/>
              </w:rPr>
            </w:pPr>
            <w:r w:rsidRPr="00B44B19">
              <w:rPr>
                <w:rFonts w:eastAsia="Times New Roman" w:cs="Times New Roman"/>
                <w:bCs/>
                <w:sz w:val="22"/>
              </w:rPr>
              <w:t xml:space="preserve">Augant BVP kartu auga ir žaliavų paklausa bei susidarančių atliekų kiekis. </w:t>
            </w:r>
            <w:r w:rsidRPr="00B44B19">
              <w:rPr>
                <w:rFonts w:eastAsia="Times New Roman" w:cs="Times New Roman"/>
                <w:b/>
                <w:bCs/>
                <w:sz w:val="22"/>
              </w:rPr>
              <w:t>Europos žaliajame kurse</w:t>
            </w:r>
            <w:r w:rsidRPr="00B44B19">
              <w:rPr>
                <w:rFonts w:eastAsia="Times New Roman" w:cs="Times New Roman"/>
                <w:bCs/>
                <w:sz w:val="22"/>
              </w:rPr>
              <w:t xml:space="preserve"> įtvirtintas siekis skatinti žiedinę ekonomiką, kurioje stengiamasi kuo ilgiau išlaikyti produktų, medžiagų ir išteklių vertę ekonomikos cikle, atveriant galimybes esamą linijinę ekonomiką visiškai pertvarkyti, padidinti tvarumą ir konkurencingumą.</w:t>
            </w:r>
          </w:p>
          <w:p w14:paraId="4287CCD7" w14:textId="77777777" w:rsidR="007C1851" w:rsidRPr="00B44B19" w:rsidRDefault="007C1851" w:rsidP="007C1851">
            <w:pPr>
              <w:jc w:val="both"/>
              <w:rPr>
                <w:rFonts w:eastAsia="Times New Roman" w:cs="Times New Roman"/>
                <w:bCs/>
                <w:sz w:val="22"/>
              </w:rPr>
            </w:pPr>
            <w:r w:rsidRPr="00B44B19">
              <w:rPr>
                <w:rFonts w:eastAsia="Times New Roman" w:cs="Times New Roman"/>
                <w:b/>
                <w:bCs/>
                <w:sz w:val="22"/>
              </w:rPr>
              <w:t>NPP</w:t>
            </w:r>
            <w:r w:rsidRPr="00B44B19">
              <w:rPr>
                <w:rFonts w:eastAsia="Times New Roman" w:cs="Times New Roman"/>
                <w:bCs/>
                <w:sz w:val="22"/>
              </w:rPr>
              <w:t xml:space="preserve"> nustatytas strateginis tikslas užtikrinti gamtos išteklių naudojimo darną ir švelninti Lietuvos poveikį klimato kaitai ‒ paruoštų pakartotinai naudoti ir perdirbtų atliekų kiekis turėtų siekti 60 % komunalinių atliekų kiekio, o sąvartynuose būtų šalinama ne daugiau kaip 5 % komunalinių atliekų. </w:t>
            </w:r>
          </w:p>
          <w:p w14:paraId="6ECA2A32" w14:textId="77777777" w:rsidR="007C1851" w:rsidRPr="00B44B19" w:rsidRDefault="007C1851" w:rsidP="007C1851">
            <w:pPr>
              <w:jc w:val="both"/>
              <w:rPr>
                <w:rFonts w:eastAsia="Times New Roman" w:cs="Times New Roman"/>
                <w:bCs/>
                <w:sz w:val="22"/>
              </w:rPr>
            </w:pPr>
            <w:r w:rsidRPr="00B44B19">
              <w:rPr>
                <w:rFonts w:eastAsia="Times New Roman" w:cs="Times New Roman"/>
                <w:bCs/>
                <w:sz w:val="22"/>
              </w:rPr>
              <w:t xml:space="preserve">Konkrečios priemonės įtvirtintos </w:t>
            </w:r>
            <w:r w:rsidRPr="00B44B19">
              <w:rPr>
                <w:rFonts w:eastAsia="Times New Roman" w:cs="Times New Roman"/>
                <w:bCs/>
                <w:sz w:val="22"/>
                <w:lang w:eastAsia="lt-LT"/>
              </w:rPr>
              <w:t>Valstybiniame atliekų prevencijos ir tvarkymo 2021–2027 m. plane siekiant strateginių atliekų prevencijos prioritetų, tikslų, uždavinių ir tvarkymo užduočių įgyvendinimo.</w:t>
            </w:r>
          </w:p>
          <w:p w14:paraId="5CC1B50D" w14:textId="77777777" w:rsidR="007C1851" w:rsidRPr="00B44B19" w:rsidRDefault="007C1851" w:rsidP="007C1851">
            <w:pPr>
              <w:jc w:val="both"/>
              <w:rPr>
                <w:rFonts w:eastAsia="Times New Roman" w:cs="Times New Roman"/>
                <w:bCs/>
                <w:sz w:val="22"/>
              </w:rPr>
            </w:pPr>
            <w:r w:rsidRPr="00B44B19">
              <w:rPr>
                <w:rFonts w:eastAsia="Times New Roman" w:cs="Times New Roman"/>
                <w:bCs/>
                <w:sz w:val="22"/>
              </w:rPr>
              <w:t xml:space="preserve">Pasirinkta atliekų prevencijos ir tvarkymo sistemos užtikrinimo veiklų </w:t>
            </w:r>
            <w:r w:rsidRPr="00B44B19">
              <w:rPr>
                <w:rFonts w:eastAsia="Times New Roman" w:cs="Times New Roman"/>
                <w:b/>
                <w:bCs/>
                <w:sz w:val="22"/>
              </w:rPr>
              <w:t>finansavimo forma</w:t>
            </w:r>
            <w:r w:rsidRPr="00B44B19">
              <w:rPr>
                <w:rFonts w:eastAsia="Times New Roman" w:cs="Times New Roman"/>
                <w:bCs/>
                <w:sz w:val="22"/>
              </w:rPr>
              <w:t xml:space="preserve"> – dotacijos.</w:t>
            </w:r>
            <w:r w:rsidRPr="00B44B19">
              <w:rPr>
                <w:rFonts w:cs="Times New Roman"/>
                <w:sz w:val="22"/>
              </w:rPr>
              <w:t xml:space="preserve"> Planuojamos vykdyti veiklos negeneruos pajamų, todėl joms neplanuojama taikyti finansinių priemonių.</w:t>
            </w:r>
          </w:p>
          <w:p w14:paraId="0E4B9B5A" w14:textId="77777777" w:rsidR="007C1851" w:rsidRPr="00B44B19" w:rsidRDefault="007C1851" w:rsidP="007C1851">
            <w:pPr>
              <w:jc w:val="both"/>
              <w:rPr>
                <w:rFonts w:cs="Times New Roman"/>
                <w:bCs/>
                <w:sz w:val="22"/>
                <w:lang w:bidi="lt-LT"/>
              </w:rPr>
            </w:pPr>
            <w:r w:rsidRPr="00B44B19">
              <w:rPr>
                <w:rFonts w:eastAsia="Times New Roman" w:cs="Times New Roman"/>
                <w:bCs/>
                <w:sz w:val="22"/>
              </w:rPr>
              <w:t xml:space="preserve">Įgyvendinamos žiedinės ekonomikos veiklos leis siekti </w:t>
            </w:r>
            <w:r w:rsidRPr="00B44B19">
              <w:rPr>
                <w:rFonts w:eastAsia="Times New Roman" w:cs="Times New Roman"/>
                <w:b/>
                <w:bCs/>
                <w:sz w:val="22"/>
              </w:rPr>
              <w:t xml:space="preserve">BJRS </w:t>
            </w:r>
            <w:r w:rsidRPr="00B44B19">
              <w:rPr>
                <w:rFonts w:eastAsia="Times New Roman" w:cs="Times New Roman"/>
                <w:bCs/>
                <w:sz w:val="22"/>
              </w:rPr>
              <w:t>politinės srities „Inovacijos“, „Pavojai“ ir horizontalios srities „Klimatas“ tikslų, siekiant sąmoningo visuomenės ir verslo prisidėjimo prie atliekų prevencijos ir žiedinio išteklių naudojimo.</w:t>
            </w:r>
          </w:p>
        </w:tc>
      </w:tr>
      <w:tr w:rsidR="007C1851" w:rsidRPr="00B44B19" w14:paraId="2628130A" w14:textId="77777777" w:rsidTr="00EB70C3">
        <w:tc>
          <w:tcPr>
            <w:tcW w:w="1350" w:type="pct"/>
            <w:vMerge/>
          </w:tcPr>
          <w:p w14:paraId="07B61ED2" w14:textId="77777777" w:rsidR="007C1851" w:rsidRPr="00B44B19" w:rsidRDefault="007C1851" w:rsidP="007C1851">
            <w:pPr>
              <w:pStyle w:val="Sraopastraipa"/>
              <w:ind w:left="0" w:right="-107"/>
              <w:rPr>
                <w:rFonts w:cs="Times New Roman"/>
                <w:b/>
                <w:bCs/>
                <w:iCs/>
                <w:sz w:val="22"/>
                <w:lang w:bidi="lt-LT"/>
              </w:rPr>
            </w:pPr>
          </w:p>
        </w:tc>
        <w:tc>
          <w:tcPr>
            <w:tcW w:w="1079" w:type="pct"/>
          </w:tcPr>
          <w:p w14:paraId="70C924B8" w14:textId="77777777" w:rsidR="007C1851" w:rsidRPr="00B44B19" w:rsidRDefault="007C1851" w:rsidP="007C1851">
            <w:pPr>
              <w:rPr>
                <w:rFonts w:cs="Times New Roman"/>
                <w:bCs/>
                <w:iCs/>
                <w:sz w:val="22"/>
                <w:lang w:bidi="lt-LT"/>
              </w:rPr>
            </w:pPr>
            <w:r w:rsidRPr="00B44B19">
              <w:rPr>
                <w:rFonts w:cs="Times New Roman"/>
                <w:bCs/>
                <w:iCs/>
                <w:sz w:val="22"/>
                <w:lang w:bidi="lt-LT"/>
              </w:rPr>
              <w:t>2.7. Stiprinti gamtos, biologinės įvairovės ir žaliosios infrastruktūros apsaugą ir išsaugojimą, be kita ko, miestų teritorijose ir mažinti visų rūšių taršą</w:t>
            </w:r>
          </w:p>
        </w:tc>
        <w:tc>
          <w:tcPr>
            <w:tcW w:w="2571" w:type="pct"/>
          </w:tcPr>
          <w:p w14:paraId="6F929D27" w14:textId="77777777" w:rsidR="007C1851" w:rsidRPr="00B44B19" w:rsidRDefault="007C1851" w:rsidP="007C1851">
            <w:pPr>
              <w:jc w:val="both"/>
              <w:rPr>
                <w:rFonts w:cs="Times New Roman"/>
                <w:bCs/>
                <w:sz w:val="22"/>
                <w:lang w:bidi="lt-LT"/>
              </w:rPr>
            </w:pPr>
            <w:r w:rsidRPr="00B44B19">
              <w:rPr>
                <w:rFonts w:cs="Times New Roman"/>
                <w:bCs/>
                <w:sz w:val="22"/>
                <w:lang w:bidi="lt-LT"/>
              </w:rPr>
              <w:t>Pastaraisiais dešimtmečiais stebima itin intensyvi žmonijos ekonominė ir socialinė raida, lemianti klimato kaitą, taršą, nedarnią urbanizaciją, neefektyvų gamtos išteklių naudojimą ir invazinių rūšių plitimą, kelia grėsmę biologinei įvairovei. Bioįvairovė yra neatsiejama Europos žaliojo kurso dalis, o jos dėka vyksta daug svarbių gamtos procesų, užtikrinančių bendrą žmonijos gerovę ir ateitį.</w:t>
            </w:r>
          </w:p>
          <w:p w14:paraId="66A3DA2D" w14:textId="77777777" w:rsidR="007C1851" w:rsidRPr="00B44B19" w:rsidRDefault="007C1851" w:rsidP="007C1851">
            <w:pPr>
              <w:jc w:val="both"/>
              <w:rPr>
                <w:rFonts w:cs="Times New Roman"/>
                <w:bCs/>
                <w:sz w:val="22"/>
                <w:lang w:bidi="lt-LT"/>
              </w:rPr>
            </w:pPr>
            <w:r w:rsidRPr="00B44B19">
              <w:rPr>
                <w:rFonts w:cs="Times New Roman"/>
                <w:bCs/>
                <w:sz w:val="22"/>
                <w:lang w:bidi="lt-LT"/>
              </w:rPr>
              <w:t>Lietuvoje dėl nedarnios urbanizacijos ir priemiesčių plėtros, aplinkos taršos, neracionalaus gamtos išteklių naudojimo, invazinių rūšių plitimo ir klimato kaitos veiksnių kinta šalies kraštovaizdis, nyksta biologinė įvairovė, didėja buveinių ir rūšių populiacijų fragmentacija ir sutrinka ekosistemų funkcijos bei jų paslaugų teikimas. Tai kelia pavojų ir visuomenės gerovei ir sveikatai, daro žalą ekonomikai.</w:t>
            </w:r>
          </w:p>
          <w:p w14:paraId="36F5D7AD" w14:textId="77777777" w:rsidR="007C1851" w:rsidRPr="00B44B19" w:rsidRDefault="007C1851" w:rsidP="007C1851">
            <w:pPr>
              <w:jc w:val="both"/>
              <w:rPr>
                <w:rFonts w:cs="Times New Roman"/>
                <w:bCs/>
                <w:sz w:val="22"/>
                <w:lang w:bidi="lt-LT"/>
              </w:rPr>
            </w:pPr>
            <w:r w:rsidRPr="00B44B19">
              <w:rPr>
                <w:rFonts w:cs="Times New Roman"/>
                <w:bCs/>
                <w:sz w:val="22"/>
                <w:lang w:bidi="lt-LT"/>
              </w:rPr>
              <w:t xml:space="preserve">NPP siekiama iki 2030 m. pagerinti 30 % buveinių ir rūšių būklę. Šiam tikslui pasiekti planuojama įgyvendinti priemones nustatytas „Natura 2000“ prioritetinių veiksmų programoje. Prioritetas bus skiriamas kompleksiniams taikomiesiems tyrimams ir efektyviai stebėsenai. </w:t>
            </w:r>
          </w:p>
          <w:p w14:paraId="105FCDD5" w14:textId="77777777" w:rsidR="007C1851" w:rsidRPr="00B44B19" w:rsidRDefault="007C1851" w:rsidP="007C1851">
            <w:pPr>
              <w:jc w:val="both"/>
              <w:rPr>
                <w:rFonts w:cs="Times New Roman"/>
                <w:bCs/>
                <w:sz w:val="22"/>
                <w:lang w:bidi="lt-LT"/>
              </w:rPr>
            </w:pPr>
            <w:r w:rsidRPr="00B44B19">
              <w:rPr>
                <w:rFonts w:cs="Times New Roman"/>
                <w:bCs/>
                <w:sz w:val="22"/>
                <w:lang w:bidi="lt-LT"/>
              </w:rPr>
              <w:t xml:space="preserve">Pasirinkta </w:t>
            </w:r>
            <w:r w:rsidRPr="00B44B19">
              <w:rPr>
                <w:rFonts w:cs="Times New Roman"/>
                <w:b/>
                <w:bCs/>
                <w:sz w:val="22"/>
                <w:lang w:bidi="lt-LT"/>
              </w:rPr>
              <w:t>finansavimo forma</w:t>
            </w:r>
            <w:r w:rsidRPr="00B44B19">
              <w:rPr>
                <w:rFonts w:cs="Times New Roman"/>
                <w:bCs/>
                <w:sz w:val="22"/>
                <w:lang w:bidi="lt-LT"/>
              </w:rPr>
              <w:t xml:space="preserve"> – dotacija. </w:t>
            </w:r>
            <w:r w:rsidRPr="00B44B19">
              <w:rPr>
                <w:rFonts w:cs="Times New Roman"/>
                <w:sz w:val="22"/>
              </w:rPr>
              <w:t>Planuojamos vykdyti veiklos negeneruos pajamų, todėl joms neplanuojama taikyti finansinių priemonių.</w:t>
            </w:r>
          </w:p>
          <w:p w14:paraId="466830E1" w14:textId="77777777" w:rsidR="007C1851" w:rsidRPr="00B44B19" w:rsidRDefault="007C1851" w:rsidP="007C1851">
            <w:pPr>
              <w:jc w:val="both"/>
              <w:rPr>
                <w:rFonts w:cs="Times New Roman"/>
                <w:bCs/>
                <w:sz w:val="22"/>
                <w:lang w:bidi="lt-LT"/>
              </w:rPr>
            </w:pPr>
            <w:r w:rsidRPr="00B44B19">
              <w:rPr>
                <w:rFonts w:cs="Times New Roman"/>
                <w:bCs/>
                <w:sz w:val="22"/>
                <w:lang w:bidi="lt-LT"/>
              </w:rPr>
              <w:lastRenderedPageBreak/>
              <w:t xml:space="preserve">Biologinės įvairovės </w:t>
            </w:r>
            <w:r w:rsidRPr="00B44B19">
              <w:rPr>
                <w:rFonts w:cs="Times New Roman"/>
                <w:color w:val="000000"/>
                <w:sz w:val="22"/>
              </w:rPr>
              <w:t xml:space="preserve">veiklos leis siekti </w:t>
            </w:r>
            <w:r w:rsidRPr="00B44B19">
              <w:rPr>
                <w:rFonts w:cs="Times New Roman"/>
                <w:b/>
                <w:color w:val="000000"/>
                <w:sz w:val="22"/>
              </w:rPr>
              <w:t>BJRS</w:t>
            </w:r>
            <w:r w:rsidRPr="00B44B19">
              <w:rPr>
                <w:rFonts w:cs="Times New Roman"/>
                <w:color w:val="000000"/>
                <w:sz w:val="22"/>
              </w:rPr>
              <w:t xml:space="preserve"> </w:t>
            </w:r>
            <w:r w:rsidRPr="00B44B19">
              <w:rPr>
                <w:rFonts w:cs="Times New Roman"/>
                <w:bCs/>
                <w:sz w:val="22"/>
                <w:lang w:bidi="lt-LT"/>
              </w:rPr>
              <w:t>politinės srities „Pavojai“ tikslų įgyvendinimo, siekiant padėti efektyviau kovoti su tarša, ir politinės srities „Bioekonomika“ tikslų įgyvendinimo, atkuriant natūralią žmogaus pažeistos aplinkos struktūrą ir didinant ekosistemų atsparumą klimato kaitai.</w:t>
            </w:r>
          </w:p>
        </w:tc>
      </w:tr>
      <w:tr w:rsidR="007C1851" w:rsidRPr="00B44B19" w14:paraId="0E99DBFE" w14:textId="77777777" w:rsidTr="00EB70C3">
        <w:tc>
          <w:tcPr>
            <w:tcW w:w="1350" w:type="pct"/>
            <w:vMerge/>
          </w:tcPr>
          <w:p w14:paraId="6F0E932F" w14:textId="77777777" w:rsidR="007C1851" w:rsidRPr="00B44B19" w:rsidRDefault="007C1851" w:rsidP="007C1851">
            <w:pPr>
              <w:pStyle w:val="Sraopastraipa"/>
              <w:ind w:left="0" w:right="-107"/>
              <w:rPr>
                <w:rFonts w:cs="Times New Roman"/>
                <w:b/>
                <w:bCs/>
                <w:iCs/>
                <w:sz w:val="22"/>
                <w:lang w:bidi="lt-LT"/>
              </w:rPr>
            </w:pPr>
          </w:p>
        </w:tc>
        <w:tc>
          <w:tcPr>
            <w:tcW w:w="1079" w:type="pct"/>
          </w:tcPr>
          <w:p w14:paraId="1D316B16" w14:textId="4D3F5625" w:rsidR="007C1851" w:rsidRPr="00B44B19" w:rsidRDefault="007C1851" w:rsidP="007C1851">
            <w:pPr>
              <w:rPr>
                <w:rFonts w:cs="Times New Roman"/>
                <w:bCs/>
                <w:iCs/>
                <w:sz w:val="22"/>
                <w:lang w:bidi="lt-LT"/>
              </w:rPr>
            </w:pPr>
            <w:r w:rsidRPr="00B44B19">
              <w:rPr>
                <w:rFonts w:cs="Times New Roman"/>
                <w:bCs/>
                <w:iCs/>
                <w:sz w:val="22"/>
                <w:lang w:bidi="lt-LT"/>
              </w:rPr>
              <w:t>Specialus prioritetas – skatinti tvarų daugiarūšį judumą miestuose kaip vieną iš perėjimo prie nulinio anglies dioksido kiekio technologijų ekonomikos dalių</w:t>
            </w:r>
          </w:p>
        </w:tc>
        <w:tc>
          <w:tcPr>
            <w:tcW w:w="2571" w:type="pct"/>
          </w:tcPr>
          <w:p w14:paraId="11D8B6FD" w14:textId="77777777" w:rsidR="007C1851" w:rsidRPr="00B44B19" w:rsidRDefault="007C1851" w:rsidP="007C1851">
            <w:pPr>
              <w:pStyle w:val="Pagrindinispaprastastekstas"/>
              <w:rPr>
                <w:rFonts w:ascii="Times New Roman" w:hAnsi="Times New Roman"/>
                <w:szCs w:val="22"/>
              </w:rPr>
            </w:pPr>
            <w:r w:rsidRPr="00B44B19">
              <w:rPr>
                <w:rFonts w:ascii="Times New Roman" w:hAnsi="Times New Roman"/>
                <w:szCs w:val="22"/>
              </w:rPr>
              <w:t xml:space="preserve">Atsižvelgiant į didėjančią populiacijos koncentraciją miestuose ir aplinkinėse teritorijose bei atliepiant Europos žaliojo kurso prioritetus, investuojant Programos lėšas prioritetas bus teikiamas aplinką tausojančioms ir efektyvioms miesto transporto sistemoms FZ bei aktyvioms judėjimo rūšims skatinti. Socialinės infrastruktūros trūkumai, nesusietos viešojo transporto sistemos ir judumo sunkumai riboja tiek šalies gyventojų mobilumo galimybes, tiek šalies patrauklumą naujoms investicijoms. </w:t>
            </w:r>
          </w:p>
          <w:p w14:paraId="41F0D0D1" w14:textId="77777777" w:rsidR="007C1851" w:rsidRPr="00B44B19" w:rsidRDefault="007C1851" w:rsidP="007C1851">
            <w:pPr>
              <w:pStyle w:val="Pagrindinispaprastastekstas"/>
              <w:rPr>
                <w:rFonts w:ascii="Times New Roman" w:hAnsi="Times New Roman"/>
                <w:szCs w:val="22"/>
              </w:rPr>
            </w:pPr>
            <w:r w:rsidRPr="00B44B19">
              <w:rPr>
                <w:rFonts w:ascii="Times New Roman" w:hAnsi="Times New Roman"/>
                <w:szCs w:val="22"/>
              </w:rPr>
              <w:t xml:space="preserve">Siekiant spręsti iššūkius, su kuriais susiduria miestų ir priemiesčių gyventojai, taip pat keičiant žmonių keliavimo įpročius ir prisidedant prie nustatytų NEKSVP klimato kaitos tikslų, bus įgyvendinami DJMP, o investicijos kreipiamos į darnų, pažangų, saugų ir atsparų klimato kaitai įvairiarūšį judumą. Taip bus užtikrinama visų transporto rūšių integracija ir subalansuoto judumo sistemų plėtra, kuri apimtų viešąjį ir bevariklį transportą, eismo saugą ir saugumą, modalinį pasiskirstymą, eismo organizavimo valdymą, transporto sistemos visuotinumą, žmonių, turinčių specialiųjų poreikių, įtrauktį, aplinką mažiau teršiantį transportą ir ITS. Taip pat bus toliau investuojama į viešojo transporto priemonių parko atnaujinimą, įsigyjant degalais iš AEI ir elektra varomų transporto priemonių bei plėtojant AEI ir elektros įkrovimo stotelių infrastruktūrą autobusų parkuose, ir į viešąją elektromobilių įkrovimo infrastruktūrą miestuose.  </w:t>
            </w:r>
          </w:p>
          <w:p w14:paraId="0BE5EBF5" w14:textId="4E87B1A6" w:rsidR="007C1851" w:rsidRPr="00B44B19" w:rsidRDefault="007C1851" w:rsidP="007C1851">
            <w:pPr>
              <w:jc w:val="both"/>
              <w:rPr>
                <w:rFonts w:cs="Times New Roman"/>
                <w:bCs/>
                <w:sz w:val="22"/>
                <w:lang w:bidi="lt-LT"/>
              </w:rPr>
            </w:pPr>
            <w:r w:rsidRPr="00B44B19">
              <w:rPr>
                <w:rFonts w:cs="Times New Roman"/>
                <w:bCs/>
                <w:lang w:bidi="lt-LT"/>
              </w:rPr>
              <w:t xml:space="preserve">Atsižvelgiant į išankstinio vertinimo metu nustatytą rinkos trūkumą, siekiant skatinti elektromobilių įkrovimo infrastruktūros plėtrą, planuojama taikyti finansines priemones dėl potencialiai generuojamų veiklos pajamų, jas derinant su dotacija, kuri būtų naudojama kaip paskatinamoji priemonė skatinant elektromobilių įkrovimo infrastruktūros plėtrą. </w:t>
            </w:r>
            <w:r w:rsidRPr="00B44B19">
              <w:rPr>
                <w:rFonts w:cs="Times New Roman"/>
                <w:bCs/>
              </w:rPr>
              <w:t xml:space="preserve">Atsižvelgiant į </w:t>
            </w:r>
            <w:r w:rsidRPr="00B44B19">
              <w:rPr>
                <w:rFonts w:cs="Times New Roman"/>
                <w:b/>
                <w:bCs/>
              </w:rPr>
              <w:t>BJRS</w:t>
            </w:r>
            <w:r w:rsidRPr="00B44B19">
              <w:rPr>
                <w:rFonts w:cs="Times New Roman"/>
                <w:bCs/>
              </w:rPr>
              <w:t xml:space="preserve"> prioritetinės srities „Transportas“ tikslus, turėtų būti siekiama sumažinti transporto poveikį aplinkai, gerinti eismo saugą, optimizuoti infrastruktūros naudojimą, didinti jos atsparumą stichinėms ir žmogaus sukeltoms nelaimėms.</w:t>
            </w:r>
          </w:p>
        </w:tc>
      </w:tr>
      <w:tr w:rsidR="007C1851" w:rsidRPr="00B44B19" w14:paraId="2ECA53B0" w14:textId="77777777" w:rsidTr="00EB70C3">
        <w:tc>
          <w:tcPr>
            <w:tcW w:w="1350" w:type="pct"/>
            <w:vMerge/>
          </w:tcPr>
          <w:p w14:paraId="6A6F1E4D" w14:textId="77777777" w:rsidR="007C1851" w:rsidRPr="00B44B19" w:rsidRDefault="007C1851" w:rsidP="007C1851">
            <w:pPr>
              <w:pStyle w:val="Sraopastraipa"/>
              <w:ind w:left="0" w:right="-107"/>
              <w:rPr>
                <w:rFonts w:cs="Times New Roman"/>
                <w:b/>
                <w:bCs/>
                <w:iCs/>
                <w:sz w:val="22"/>
                <w:lang w:bidi="lt-LT"/>
              </w:rPr>
            </w:pPr>
          </w:p>
        </w:tc>
        <w:tc>
          <w:tcPr>
            <w:tcW w:w="1079" w:type="pct"/>
          </w:tcPr>
          <w:p w14:paraId="43EA6E9A" w14:textId="47B1F6CD" w:rsidR="007C1851" w:rsidRPr="00B44B19" w:rsidRDefault="007C1851" w:rsidP="007C1851">
            <w:pPr>
              <w:rPr>
                <w:rFonts w:cs="Times New Roman"/>
                <w:iCs/>
                <w:sz w:val="22"/>
                <w:lang w:bidi="lt-LT"/>
              </w:rPr>
            </w:pPr>
            <w:r w:rsidRPr="00B44B19">
              <w:rPr>
                <w:rFonts w:cs="Times New Roman"/>
                <w:bCs/>
                <w:iCs/>
                <w:sz w:val="22"/>
                <w:lang w:bidi="lt-LT"/>
              </w:rPr>
              <w:t xml:space="preserve">Specialus prioritetas – </w:t>
            </w:r>
            <w:r w:rsidRPr="00B44B19">
              <w:rPr>
                <w:rFonts w:cs="Times New Roman"/>
                <w:sz w:val="22"/>
              </w:rPr>
              <w:t xml:space="preserve">Skatinti energetikos jungčių </w:t>
            </w:r>
            <w:r w:rsidRPr="00B44B19">
              <w:rPr>
                <w:rFonts w:cs="Times New Roman"/>
                <w:sz w:val="22"/>
              </w:rPr>
              <w:lastRenderedPageBreak/>
              <w:t>ir susijusios perdavimo, paskirstymo ir pagalbinės infrastruktūros, taip pat kritinės energetinės infrastruktūros apsaugą bei įkrovimo infrastruktūros diegimą</w:t>
            </w:r>
          </w:p>
        </w:tc>
        <w:tc>
          <w:tcPr>
            <w:tcW w:w="2571" w:type="pct"/>
          </w:tcPr>
          <w:p w14:paraId="6D319607" w14:textId="77777777" w:rsidR="00CF65A3" w:rsidRPr="00B44B19" w:rsidRDefault="00CF65A3" w:rsidP="00CF65A3">
            <w:pPr>
              <w:jc w:val="both"/>
              <w:rPr>
                <w:rFonts w:eastAsia="Times New Roman" w:cs="Times New Roman"/>
                <w:sz w:val="22"/>
              </w:rPr>
            </w:pPr>
            <w:r w:rsidRPr="00B44B19">
              <w:rPr>
                <w:rFonts w:eastAsia="Times New Roman" w:cs="Times New Roman"/>
                <w:sz w:val="22"/>
              </w:rPr>
              <w:lastRenderedPageBreak/>
              <w:t xml:space="preserve">Energetikos sektorius vis dažniau susiduria su hibridinėmis grėsmėmis – kibernetinėmis atakomis, fiziniu sabotažu ir informacinėmis manipuliacijomis. </w:t>
            </w:r>
            <w:r w:rsidRPr="00B44B19">
              <w:rPr>
                <w:rFonts w:eastAsia="Times New Roman" w:cs="Times New Roman"/>
                <w:sz w:val="22"/>
              </w:rPr>
              <w:lastRenderedPageBreak/>
              <w:t>Šios grėsmės gali destabilizuoti elektros tiekimą, paveikti visuomenės pasitikėjimą ir sukelti plataus masto krizes. O klimato kaita didina ekstremalių oro reiškinių dažnį ir intensyvumą, kelia grėsmę infrastruktūros fiziniam stabilumui.</w:t>
            </w:r>
          </w:p>
          <w:p w14:paraId="22557219" w14:textId="77777777" w:rsidR="00CF65A3" w:rsidRPr="00B44B19" w:rsidRDefault="00CF65A3" w:rsidP="00CF65A3">
            <w:pPr>
              <w:jc w:val="both"/>
              <w:rPr>
                <w:rFonts w:eastAsia="Times New Roman" w:cs="Times New Roman"/>
                <w:sz w:val="22"/>
              </w:rPr>
            </w:pPr>
            <w:r w:rsidRPr="00B44B19">
              <w:rPr>
                <w:rFonts w:eastAsia="Times New Roman" w:cs="Times New Roman"/>
                <w:sz w:val="22"/>
              </w:rPr>
              <w:t>Patikimas elektros tiekimas yra būtinas visų gyvybiškai svarbių paslaugų veikimui – sveikatos apsaugai, ryšiams, vandens tiekimui, transportui. Net trumpalaikiai tiekimo sutrikimai gali sukelti grandininį poveikį visuomenės stabilumui. Atspari infrastruktūra užtikrina valstybės funkcionavimą net ir krizės metu.</w:t>
            </w:r>
          </w:p>
          <w:p w14:paraId="4306DDC2" w14:textId="77777777" w:rsidR="00CF65A3" w:rsidRPr="00B44B19" w:rsidRDefault="00CF65A3" w:rsidP="00CF65A3">
            <w:pPr>
              <w:jc w:val="both"/>
              <w:rPr>
                <w:rFonts w:eastAsia="Times New Roman" w:cs="Times New Roman"/>
                <w:sz w:val="22"/>
              </w:rPr>
            </w:pPr>
            <w:r w:rsidRPr="00B44B19">
              <w:rPr>
                <w:rFonts w:eastAsia="Times New Roman" w:cs="Times New Roman"/>
                <w:sz w:val="22"/>
              </w:rPr>
              <w:t xml:space="preserve">EK komunikate „2025 m. strateginės perspektyvos ataskaita. Atsparumas 2.0: ES įgalinimas klestėti neramumų ir neapibrėžtumo metu” pabrėžiama, kad ypatingas dėmesys turėtų būti skiriamas ES sukurtų strateginių veiksnių, tokių kaip saugi skaitmeninė infrastruktūra, </w:t>
            </w:r>
            <w:r w:rsidRPr="00B44B19">
              <w:rPr>
                <w:rFonts w:eastAsia="Times New Roman" w:cs="Times New Roman"/>
                <w:b/>
                <w:bCs/>
                <w:sz w:val="22"/>
              </w:rPr>
              <w:t>energetikos tinklai</w:t>
            </w:r>
            <w:r w:rsidRPr="00B44B19">
              <w:rPr>
                <w:rFonts w:eastAsia="Times New Roman" w:cs="Times New Roman"/>
                <w:sz w:val="22"/>
              </w:rPr>
              <w:t>, transporto tinklai ir infrastruktūra, kosmoso infrastruktūra ir paslaugos bei informacijos rinkimo ir analizės sistemos, kūrimui ir įgyvendinimui.</w:t>
            </w:r>
          </w:p>
          <w:p w14:paraId="7976298C" w14:textId="77777777" w:rsidR="00CF65A3" w:rsidRPr="00B44B19" w:rsidRDefault="00CF65A3" w:rsidP="00CF65A3">
            <w:pPr>
              <w:jc w:val="both"/>
              <w:rPr>
                <w:rFonts w:eastAsia="Times New Roman" w:cs="Times New Roman"/>
                <w:sz w:val="22"/>
              </w:rPr>
            </w:pPr>
            <w:r w:rsidRPr="00B44B19">
              <w:rPr>
                <w:rFonts w:eastAsia="Times New Roman" w:cs="Times New Roman"/>
                <w:sz w:val="22"/>
              </w:rPr>
              <w:t>Požeminės elektros kabelių linijos užtikrina didesnę infrastruktūros apsaugą hibridinių išpuolių ar karinių operacijų atveju, nes požeminė infrastruktūra yra daug atsparesnė fizinei žalai ir ją sunkiau vizualiai aptikti. Šie aspektai yra ypač aktualūs atsižvelgiant į Lietuvos, kaip ES pasienio valstybės, esančios šalia agresorių šalių, padėtį ir iš to kylančias grėsmes. Ypač kai pastaraisiais metais buvo vykdomos hibridinės atakos prieš ES ypatingos svarbos energetikos infrastruktūrą, o pastaruoju metu buvo atvejų, kai dronai ar kiti skraidantys objektai iš Rusijos ir (arba) Baltarusijos, pažeisdami oro erdvę, sudužo Lietuvos teritorijoje. Todėl elektros oro linijų keitimas požeminėmis kabelių linijomis padidins patikimumą ne tik skirstymo, bet ir perdavimo lygmeniu, prisidėdamas prie sklandaus regioninių energijos rinkų integravimo ir palaikydamas ES energetinio saugumo tikslus.</w:t>
            </w:r>
          </w:p>
          <w:p w14:paraId="4524EA67" w14:textId="77777777" w:rsidR="00CF65A3" w:rsidRPr="00B44B19" w:rsidRDefault="00CF65A3" w:rsidP="00CF65A3">
            <w:pPr>
              <w:jc w:val="both"/>
              <w:rPr>
                <w:rFonts w:cs="Times New Roman"/>
                <w:noProof/>
                <w:sz w:val="22"/>
                <w:lang w:eastAsia="lt-LT"/>
              </w:rPr>
            </w:pPr>
            <w:r w:rsidRPr="00B44B19">
              <w:rPr>
                <w:rFonts w:cs="Times New Roman"/>
                <w:noProof/>
                <w:sz w:val="22"/>
                <w:lang w:eastAsia="lt-LT"/>
              </w:rPr>
              <w:t>Įgyvendinant veiklas, numatoma prisidėti prie BJRS</w:t>
            </w:r>
            <w:r w:rsidRPr="00B44B19">
              <w:rPr>
                <w:rFonts w:cs="Times New Roman"/>
                <w:sz w:val="22"/>
              </w:rPr>
              <w:t xml:space="preserve"> politikos krypties „Energetika“ veiklų</w:t>
            </w:r>
            <w:r w:rsidRPr="00B44B19">
              <w:rPr>
                <w:rFonts w:eastAsia="Calibri" w:cs="Times New Roman"/>
                <w:noProof/>
                <w:sz w:val="22"/>
                <w:lang w:eastAsia="lt-LT" w:bidi="lt-LT"/>
              </w:rPr>
              <w:t xml:space="preserve"> </w:t>
            </w:r>
            <w:r w:rsidRPr="00B44B19">
              <w:rPr>
                <w:rFonts w:cs="Times New Roman"/>
                <w:noProof/>
                <w:sz w:val="22"/>
                <w:lang w:eastAsia="lt-LT"/>
              </w:rPr>
              <w:t>įgyvendinimo.</w:t>
            </w:r>
          </w:p>
          <w:p w14:paraId="1D390039" w14:textId="344145B7" w:rsidR="007C1851" w:rsidRPr="00B44B19" w:rsidRDefault="00CF65A3" w:rsidP="00CF65A3">
            <w:pPr>
              <w:pStyle w:val="Pagrindinispaprastastekstas"/>
              <w:rPr>
                <w:rFonts w:ascii="Times New Roman" w:hAnsi="Times New Roman"/>
                <w:bCs/>
              </w:rPr>
            </w:pPr>
            <w:r w:rsidRPr="00B44B19">
              <w:rPr>
                <w:rFonts w:ascii="Times New Roman" w:hAnsi="Times New Roman"/>
                <w:bCs/>
                <w:iCs/>
              </w:rPr>
              <w:t xml:space="preserve">Pasirenkama </w:t>
            </w:r>
            <w:r w:rsidRPr="00B44B19">
              <w:rPr>
                <w:rFonts w:ascii="Times New Roman" w:hAnsi="Times New Roman"/>
                <w:b/>
                <w:bCs/>
                <w:iCs/>
              </w:rPr>
              <w:t>finansavimo forma</w:t>
            </w:r>
            <w:r w:rsidRPr="00B44B19">
              <w:rPr>
                <w:rFonts w:ascii="Times New Roman" w:hAnsi="Times New Roman"/>
                <w:bCs/>
                <w:iCs/>
              </w:rPr>
              <w:t xml:space="preserve"> – dotacijos. </w:t>
            </w:r>
            <w:r w:rsidRPr="00B44B19">
              <w:rPr>
                <w:rFonts w:ascii="Times New Roman" w:hAnsi="Times New Roman"/>
              </w:rPr>
              <w:t>Planuojamos vykdyti veiklos negeneruos pajamų, todėl joms neplanuojama taikyti finansinių priemonių.</w:t>
            </w:r>
          </w:p>
        </w:tc>
      </w:tr>
      <w:tr w:rsidR="007C1851" w:rsidRPr="00B44B19" w14:paraId="7E1631E0" w14:textId="77777777" w:rsidTr="00EB70C3">
        <w:tc>
          <w:tcPr>
            <w:tcW w:w="1350" w:type="pct"/>
            <w:vMerge w:val="restart"/>
          </w:tcPr>
          <w:p w14:paraId="22F95DA2" w14:textId="77777777" w:rsidR="007C1851" w:rsidRPr="00B44B19" w:rsidRDefault="007C1851" w:rsidP="007C1851">
            <w:pPr>
              <w:pStyle w:val="Sraopastraipa"/>
              <w:ind w:left="0"/>
              <w:rPr>
                <w:rFonts w:cs="Times New Roman"/>
                <w:b/>
                <w:bCs/>
                <w:iCs/>
                <w:sz w:val="22"/>
                <w:lang w:bidi="lt-LT"/>
              </w:rPr>
            </w:pPr>
            <w:r w:rsidRPr="00B44B19">
              <w:rPr>
                <w:rFonts w:cs="Times New Roman"/>
                <w:b/>
                <w:bCs/>
                <w:iCs/>
                <w:sz w:val="22"/>
                <w:lang w:bidi="lt-LT"/>
              </w:rPr>
              <w:lastRenderedPageBreak/>
              <w:t>3. Geriau sujungta Europa</w:t>
            </w:r>
          </w:p>
        </w:tc>
        <w:tc>
          <w:tcPr>
            <w:tcW w:w="1079" w:type="pct"/>
          </w:tcPr>
          <w:p w14:paraId="5389C965" w14:textId="77777777" w:rsidR="007C1851" w:rsidRPr="00B44B19" w:rsidRDefault="007C1851" w:rsidP="007C1851">
            <w:pPr>
              <w:rPr>
                <w:rFonts w:cs="Times New Roman"/>
                <w:bCs/>
                <w:iCs/>
                <w:sz w:val="22"/>
                <w:lang w:bidi="lt-LT"/>
              </w:rPr>
            </w:pPr>
            <w:r w:rsidRPr="00B44B19">
              <w:rPr>
                <w:rFonts w:cs="Times New Roman"/>
                <w:bCs/>
                <w:iCs/>
                <w:sz w:val="22"/>
                <w:lang w:bidi="lt-LT"/>
              </w:rPr>
              <w:t>3.1. Plėtoti klimato kaitai atsparų, pažangų, saugų, tvarų ir įvairiarūšį TEN-T</w:t>
            </w:r>
          </w:p>
        </w:tc>
        <w:tc>
          <w:tcPr>
            <w:tcW w:w="2571" w:type="pct"/>
          </w:tcPr>
          <w:p w14:paraId="680014B6" w14:textId="77777777" w:rsidR="007C1851" w:rsidRPr="00B44B19" w:rsidRDefault="007C1851" w:rsidP="007C1851">
            <w:pPr>
              <w:snapToGrid w:val="0"/>
              <w:jc w:val="both"/>
              <w:rPr>
                <w:rFonts w:cs="Times New Roman"/>
                <w:iCs/>
                <w:sz w:val="22"/>
                <w:szCs w:val="24"/>
              </w:rPr>
            </w:pPr>
            <w:r w:rsidRPr="00B44B19">
              <w:rPr>
                <w:rFonts w:cs="Times New Roman"/>
                <w:sz w:val="22"/>
                <w:szCs w:val="24"/>
              </w:rPr>
              <w:t xml:space="preserve">Nors Lietuva per pastaruosius metus pasiekė reikšmingą pažangą tobulindama pagrindinį TEN-T kelių tinklą Lietuvos teritorijoje, tačiau jo baigtumo rodikliai vis dar yra žemesni negu kitų ES šalių vidurkis ir neatitinka TEN-T techninių parametrų, nes trūksta būtinų infrastruktūros komponentų, tokių kaip aplinkkelių, atskirų TEN-T jungčių su regionais, pagrindiniais miestais ir ekonominiais centrais, o kelių ITS neatitinka ES modernių transporto informacinių </w:t>
            </w:r>
            <w:r w:rsidRPr="00B44B19">
              <w:rPr>
                <w:rFonts w:cs="Times New Roman"/>
                <w:sz w:val="22"/>
                <w:szCs w:val="24"/>
              </w:rPr>
              <w:lastRenderedPageBreak/>
              <w:t>sistemų lygio. 20,35</w:t>
            </w:r>
            <w:r w:rsidRPr="00B44B19">
              <w:rPr>
                <w:rFonts w:cs="Times New Roman"/>
                <w:bCs/>
                <w:sz w:val="22"/>
                <w:szCs w:val="24"/>
              </w:rPr>
              <w:t xml:space="preserve"> % Lietuvos TEN-T magistralinių kelių suminio kelio dangos būklės indekso (DBI) reikšmė viršija leistinas ribas, todėl įgyvendinant </w:t>
            </w:r>
            <w:r w:rsidRPr="00B44B19">
              <w:rPr>
                <w:rFonts w:cs="Times New Roman"/>
                <w:sz w:val="22"/>
                <w:szCs w:val="24"/>
              </w:rPr>
              <w:t>Programą bus tęsiamos investicijos į TEN-T kelių transporto infrastruktūros modernizavimą ir plėtrą, kelių transporto eismo saugos parametrų gerinimą, TEN-T kelių rekonstrukciją ir plėtrą, ITS keliuose diegimą.</w:t>
            </w:r>
          </w:p>
          <w:p w14:paraId="66276EF8" w14:textId="77777777" w:rsidR="007C1851" w:rsidRPr="00B44B19" w:rsidRDefault="007C1851" w:rsidP="007C1851">
            <w:pPr>
              <w:snapToGrid w:val="0"/>
              <w:jc w:val="both"/>
              <w:rPr>
                <w:rFonts w:cs="Times New Roman"/>
                <w:bCs/>
                <w:iCs/>
                <w:sz w:val="22"/>
                <w:szCs w:val="24"/>
              </w:rPr>
            </w:pPr>
            <w:r w:rsidRPr="00B44B19">
              <w:rPr>
                <w:rFonts w:cs="Times New Roman"/>
                <w:bCs/>
                <w:iCs/>
                <w:sz w:val="22"/>
                <w:szCs w:val="24"/>
              </w:rPr>
              <w:t xml:space="preserve">Lietuvos TEN-T geležinkelių sektorius taip pat patiria didelių iššūkių. Geležinkelių elektrifikacijos mastas išlieka labai mažas ir yra vienas menkiausių ES, o esamais elektrifikuotais geležinkelių ruožais vežami tik keleiviai. </w:t>
            </w:r>
          </w:p>
          <w:p w14:paraId="11D90CAB" w14:textId="77777777" w:rsidR="007C1851" w:rsidRPr="00B44B19" w:rsidRDefault="007C1851" w:rsidP="007C1851">
            <w:pPr>
              <w:snapToGrid w:val="0"/>
              <w:jc w:val="both"/>
              <w:rPr>
                <w:rFonts w:cs="Times New Roman"/>
                <w:bCs/>
                <w:sz w:val="22"/>
                <w:szCs w:val="24"/>
              </w:rPr>
            </w:pPr>
            <w:r w:rsidRPr="00B44B19">
              <w:rPr>
                <w:rFonts w:cs="Times New Roman"/>
                <w:bCs/>
                <w:sz w:val="22"/>
                <w:szCs w:val="24"/>
              </w:rPr>
              <w:t xml:space="preserve">TEN-T kelių ir geležinkelių tinklas Lietuvoje yra mažiausiai išplėtotas. ES transporto duomenų suvestinėje Lietuva užima 21-ą vietą. </w:t>
            </w:r>
            <w:r w:rsidRPr="00B44B19">
              <w:rPr>
                <w:rFonts w:cs="Times New Roman"/>
                <w:sz w:val="22"/>
                <w:szCs w:val="24"/>
              </w:rPr>
              <w:t>SPP ir LTIPP pateiktose tarptautinio junglumo problematikos analizės išvadose nurodyti didžiausi TEN-T iššūkiai.</w:t>
            </w:r>
          </w:p>
          <w:p w14:paraId="4EC7B72A" w14:textId="77777777" w:rsidR="007C1851" w:rsidRPr="00B44B19" w:rsidRDefault="007C1851" w:rsidP="007C1851">
            <w:pPr>
              <w:snapToGrid w:val="0"/>
              <w:jc w:val="both"/>
              <w:rPr>
                <w:rFonts w:cs="Times New Roman"/>
                <w:bCs/>
                <w:sz w:val="22"/>
                <w:szCs w:val="24"/>
              </w:rPr>
            </w:pPr>
            <w:r w:rsidRPr="00B44B19">
              <w:rPr>
                <w:rFonts w:cs="Times New Roman"/>
                <w:bCs/>
                <w:sz w:val="22"/>
                <w:szCs w:val="24"/>
              </w:rPr>
              <w:t xml:space="preserve">Investuojant Programos lėšas į TEN-T, bus prisidedama prie siekiamo tikslo, kad TEN-T pagrindinio tinklo dalis, atitinkanti ES reikalavimus, padidėtų nuo 7 % 2016 m. iki </w:t>
            </w:r>
            <w:r w:rsidRPr="00B44B19">
              <w:rPr>
                <w:rFonts w:cs="Times New Roman"/>
                <w:b/>
                <w:bCs/>
                <w:sz w:val="22"/>
                <w:szCs w:val="24"/>
              </w:rPr>
              <w:t xml:space="preserve">100 % 2030 m </w:t>
            </w:r>
            <w:r w:rsidRPr="00B44B19">
              <w:rPr>
                <w:rFonts w:cs="Times New Roman"/>
                <w:bCs/>
                <w:sz w:val="22"/>
                <w:szCs w:val="24"/>
              </w:rPr>
              <w:t xml:space="preserve">siekimo. </w:t>
            </w:r>
          </w:p>
          <w:p w14:paraId="5ECAA531" w14:textId="77777777" w:rsidR="007C1851" w:rsidRPr="00B44B19" w:rsidRDefault="007C1851" w:rsidP="007C1851">
            <w:pPr>
              <w:snapToGrid w:val="0"/>
              <w:jc w:val="both"/>
              <w:rPr>
                <w:rFonts w:cs="Times New Roman"/>
                <w:bCs/>
                <w:sz w:val="22"/>
                <w:szCs w:val="24"/>
              </w:rPr>
            </w:pPr>
            <w:r w:rsidRPr="00B44B19">
              <w:rPr>
                <w:rFonts w:cs="Times New Roman"/>
                <w:bCs/>
                <w:sz w:val="22"/>
                <w:szCs w:val="24"/>
              </w:rPr>
              <w:t>Investicijos į TEN-T Lietuvos tinklo plėtrą yra numatytos SPP ir LTIPP.</w:t>
            </w:r>
          </w:p>
          <w:p w14:paraId="1F3027F6" w14:textId="77777777" w:rsidR="007C1851" w:rsidRPr="00B44B19" w:rsidRDefault="007C1851" w:rsidP="007C1851">
            <w:pPr>
              <w:snapToGrid w:val="0"/>
              <w:jc w:val="both"/>
              <w:rPr>
                <w:rFonts w:cs="Times New Roman"/>
                <w:bCs/>
                <w:iCs/>
                <w:sz w:val="22"/>
              </w:rPr>
            </w:pPr>
            <w:r w:rsidRPr="00B44B19">
              <w:rPr>
                <w:rFonts w:cs="Times New Roman"/>
                <w:sz w:val="22"/>
                <w:szCs w:val="24"/>
              </w:rPr>
              <w:t xml:space="preserve">Pasirenkama </w:t>
            </w:r>
            <w:r w:rsidRPr="00B44B19">
              <w:rPr>
                <w:rFonts w:cs="Times New Roman"/>
                <w:b/>
                <w:sz w:val="22"/>
                <w:szCs w:val="24"/>
              </w:rPr>
              <w:t>finansavimo forma</w:t>
            </w:r>
            <w:r w:rsidRPr="00B44B19">
              <w:rPr>
                <w:rFonts w:cs="Times New Roman"/>
                <w:sz w:val="22"/>
                <w:szCs w:val="24"/>
              </w:rPr>
              <w:t xml:space="preserve"> – </w:t>
            </w:r>
            <w:r w:rsidRPr="00B44B19">
              <w:rPr>
                <w:rFonts w:cs="Times New Roman"/>
                <w:bCs/>
                <w:sz w:val="22"/>
                <w:szCs w:val="24"/>
              </w:rPr>
              <w:t xml:space="preserve">dotacija dėl jos skatinamojo poveikio. Planuojamos vykdyti veiklos negeneruoja pajamų, todėl joms </w:t>
            </w:r>
            <w:r w:rsidRPr="00B44B19">
              <w:rPr>
                <w:rFonts w:cs="Times New Roman"/>
                <w:bCs/>
                <w:sz w:val="22"/>
              </w:rPr>
              <w:t>neplanuojama taikyti finansinių priemonių.</w:t>
            </w:r>
          </w:p>
          <w:p w14:paraId="1579D612" w14:textId="75475228" w:rsidR="007C1851" w:rsidRPr="00B44B19" w:rsidRDefault="007C1851" w:rsidP="007C1851">
            <w:pPr>
              <w:jc w:val="both"/>
              <w:rPr>
                <w:rFonts w:cs="Times New Roman"/>
                <w:bCs/>
                <w:sz w:val="22"/>
              </w:rPr>
            </w:pPr>
            <w:r w:rsidRPr="00B44B19">
              <w:rPr>
                <w:rFonts w:cs="Times New Roman"/>
                <w:bCs/>
                <w:sz w:val="22"/>
              </w:rPr>
              <w:t xml:space="preserve">Siekiant </w:t>
            </w:r>
            <w:r w:rsidRPr="00B44B19">
              <w:rPr>
                <w:rFonts w:cs="Times New Roman"/>
                <w:b/>
                <w:bCs/>
                <w:sz w:val="22"/>
              </w:rPr>
              <w:t>BJRS</w:t>
            </w:r>
            <w:r w:rsidRPr="00B44B19">
              <w:rPr>
                <w:rFonts w:cs="Times New Roman"/>
                <w:bCs/>
                <w:sz w:val="22"/>
              </w:rPr>
              <w:t xml:space="preserve"> politinės srities „Transportas“ tikslų, būtina spręsti šiuos dėl globalizacijos, skaitmeninimo ir didėjančio mobilumo kylančius iššūkius: kelių spūstys, aplinkos tarša, triukšmas, eismo sutrikimai, nepritaikytos mobilumo paslaugos senėjančiai visuomenei.</w:t>
            </w:r>
          </w:p>
        </w:tc>
      </w:tr>
      <w:tr w:rsidR="00CF65A3" w:rsidRPr="00B44B19" w14:paraId="150EC38A" w14:textId="77777777" w:rsidTr="00EB70C3">
        <w:tc>
          <w:tcPr>
            <w:tcW w:w="1350" w:type="pct"/>
            <w:vMerge/>
          </w:tcPr>
          <w:p w14:paraId="3E379726" w14:textId="77777777" w:rsidR="00CF65A3" w:rsidRPr="00B44B19" w:rsidRDefault="00CF65A3" w:rsidP="00CF65A3">
            <w:pPr>
              <w:pStyle w:val="Sraopastraipa"/>
              <w:ind w:left="0"/>
              <w:rPr>
                <w:rFonts w:cs="Times New Roman"/>
                <w:b/>
                <w:bCs/>
                <w:iCs/>
                <w:sz w:val="22"/>
                <w:lang w:bidi="lt-LT"/>
              </w:rPr>
            </w:pPr>
          </w:p>
        </w:tc>
        <w:tc>
          <w:tcPr>
            <w:tcW w:w="1079" w:type="pct"/>
          </w:tcPr>
          <w:p w14:paraId="75AE50B0" w14:textId="1E590553" w:rsidR="00CF65A3" w:rsidRPr="00B44B19" w:rsidRDefault="00CF65A3" w:rsidP="00CF65A3">
            <w:pPr>
              <w:rPr>
                <w:rFonts w:cs="Times New Roman"/>
                <w:bCs/>
                <w:iCs/>
                <w:sz w:val="22"/>
                <w:lang w:bidi="lt-LT"/>
              </w:rPr>
            </w:pPr>
            <w:r w:rsidRPr="00B44B19">
              <w:rPr>
                <w:rFonts w:cs="Times New Roman"/>
                <w:bCs/>
                <w:iCs/>
                <w:sz w:val="22"/>
                <w:lang w:bidi="lt-LT"/>
              </w:rPr>
              <w:t>3.2. Plėtoti ir stiprinti tvarų, klimato kaitai atsparų, pažangų ir įvairiarūšį nacionalinį, regioninį ir vietos judumą, įskaitant geresnes galimybes naudotis TEN-T ir tarpvalstybinį judumą</w:t>
            </w:r>
          </w:p>
        </w:tc>
        <w:tc>
          <w:tcPr>
            <w:tcW w:w="2571" w:type="pct"/>
          </w:tcPr>
          <w:p w14:paraId="582E0663" w14:textId="77777777" w:rsidR="00CF65A3" w:rsidRPr="00B44B19" w:rsidRDefault="00CF65A3" w:rsidP="00CF65A3">
            <w:pPr>
              <w:snapToGrid w:val="0"/>
              <w:jc w:val="both"/>
              <w:rPr>
                <w:rFonts w:cs="Times New Roman"/>
                <w:sz w:val="22"/>
              </w:rPr>
            </w:pPr>
            <w:r w:rsidRPr="00B44B19">
              <w:rPr>
                <w:rFonts w:cs="Times New Roman"/>
                <w:sz w:val="22"/>
              </w:rPr>
              <w:t>Šalies vidaus susisiekimo sistema yra vienas iš esminių veiksnių, lemiančių tvarų regionų centrų ekonomikos augimą ir turinčių didelę reikšmę Lietuvos ekonominei ir socialinei raidai. Darni susisiekimo infrastruktūra yra regioninės plėtros ir junglumo pagrindas.</w:t>
            </w:r>
          </w:p>
          <w:p w14:paraId="78B7D782" w14:textId="77777777" w:rsidR="00CF65A3" w:rsidRPr="00B44B19" w:rsidRDefault="00CF65A3" w:rsidP="00CF65A3">
            <w:pPr>
              <w:snapToGrid w:val="0"/>
              <w:jc w:val="both"/>
              <w:rPr>
                <w:rFonts w:cs="Times New Roman"/>
                <w:sz w:val="22"/>
              </w:rPr>
            </w:pPr>
            <w:r w:rsidRPr="00B44B19">
              <w:rPr>
                <w:rFonts w:cs="Times New Roman"/>
                <w:sz w:val="22"/>
              </w:rPr>
              <w:t xml:space="preserve">Siekiant geresnio miesto ir kaimo vietovių junglumo ir geografiškai subalansuotos regionų ekonominės plėtros, Programos investicijos bus skirtos valstybinės reikšmės kelių plėtrai, gerinant jų techninius parametrus. Taip pat bus plėtojama savivaldybių susisiekimo infrastruktūra, diegiamos ITS ir inovatyvūs sprendimai. Daugiau nei 30 % valstybinės reikšmės krašto kelių suminio kelio dangos būklės indekso (DBI) reikšmė viršija leistinas ribas. Siekiant pagerinti valstybinės reikšmės kelių techninius parametrus, daugeliu atvejų regionuose bus tobulinami ir rekonstruojami keliai, drauge užtikrinant </w:t>
            </w:r>
            <w:r w:rsidRPr="00B44B19">
              <w:rPr>
                <w:rFonts w:cs="Times New Roman"/>
                <w:sz w:val="22"/>
              </w:rPr>
              <w:lastRenderedPageBreak/>
              <w:t>eismo saugą (įrengiant eismo saugos priemones), mažinant juodųjų dėmių skaičių keliuose, užkertant kelią naujoms juodosioms dėmėms atsirasti, įrengiant transporto priemonių ir pėstiesiems skirtą infrastruktūrą, eliminuojant vieno lygio kelių ir pėstiesiems skirtos infrastruktūros susikirtimus su geležinkeliais, taip pat diegiamos aplinkosaugos priemonės (triukšmo mažinimo, gyvūnų apsaugos).</w:t>
            </w:r>
          </w:p>
          <w:p w14:paraId="3FD3845F" w14:textId="77777777" w:rsidR="00CF65A3" w:rsidRPr="00B44B19" w:rsidRDefault="00CF65A3" w:rsidP="00CF65A3">
            <w:pPr>
              <w:snapToGrid w:val="0"/>
              <w:jc w:val="both"/>
              <w:rPr>
                <w:rFonts w:cs="Times New Roman"/>
                <w:sz w:val="22"/>
              </w:rPr>
            </w:pPr>
            <w:r w:rsidRPr="00B44B19">
              <w:rPr>
                <w:rFonts w:cs="Times New Roman"/>
                <w:sz w:val="22"/>
              </w:rPr>
              <w:t xml:space="preserve">Pasirenkama </w:t>
            </w:r>
            <w:r w:rsidRPr="00B44B19">
              <w:rPr>
                <w:rFonts w:cs="Times New Roman"/>
                <w:b/>
                <w:sz w:val="22"/>
              </w:rPr>
              <w:t>finansavimo forma</w:t>
            </w:r>
            <w:r w:rsidRPr="00B44B19">
              <w:rPr>
                <w:rFonts w:cs="Times New Roman"/>
                <w:sz w:val="22"/>
              </w:rPr>
              <w:t xml:space="preserve"> – dotacija dėl jos skatinamojo poveikio. Planuojamos vykdyti veiklos negeneruos pajamų, todėl joms nenumatoma taikyti finansinių priemonių.</w:t>
            </w:r>
          </w:p>
          <w:p w14:paraId="3B5A5F82" w14:textId="308A0AF4" w:rsidR="00CF65A3" w:rsidRPr="00B44B19" w:rsidRDefault="00CF65A3" w:rsidP="00CF65A3">
            <w:pPr>
              <w:snapToGrid w:val="0"/>
              <w:jc w:val="both"/>
              <w:rPr>
                <w:rFonts w:cs="Times New Roman"/>
                <w:sz w:val="22"/>
                <w:szCs w:val="24"/>
              </w:rPr>
            </w:pPr>
            <w:r w:rsidRPr="00B44B19">
              <w:rPr>
                <w:rFonts w:cs="Times New Roman"/>
                <w:sz w:val="22"/>
              </w:rPr>
              <w:t xml:space="preserve">Siekiant </w:t>
            </w:r>
            <w:r w:rsidRPr="00B44B19">
              <w:rPr>
                <w:rFonts w:cs="Times New Roman"/>
                <w:b/>
                <w:sz w:val="22"/>
              </w:rPr>
              <w:t>BJRS</w:t>
            </w:r>
            <w:r w:rsidRPr="00B44B19">
              <w:rPr>
                <w:rFonts w:cs="Times New Roman"/>
                <w:sz w:val="22"/>
              </w:rPr>
              <w:t xml:space="preserve"> prioritetinės srities „Transportas“ tikslų, svarbu ne tik spręsti tvarios plėtros, mobilumo, įvairiarūšio transporto logistikos, miestų mazgų integravimo, ITS diegimo, alternatyviųjų degalų naudojimo skatinimo, saugos didinimo klausimus, bet ir ieškoti bendrų sutartų tarpvalstybinių veiksmų, skirtų veiksmingoms, į ateitį orientuotoms, aukštos kokybės transporto paslaugoms visuomenei teikti.</w:t>
            </w:r>
          </w:p>
        </w:tc>
      </w:tr>
      <w:tr w:rsidR="00CF65A3" w:rsidRPr="00B44B19" w14:paraId="3398976A" w14:textId="77777777" w:rsidTr="00EB70C3">
        <w:tc>
          <w:tcPr>
            <w:tcW w:w="1350" w:type="pct"/>
            <w:vMerge/>
          </w:tcPr>
          <w:p w14:paraId="34844733" w14:textId="77777777" w:rsidR="00CF65A3" w:rsidRPr="00B44B19" w:rsidRDefault="00CF65A3" w:rsidP="00CF65A3">
            <w:pPr>
              <w:pStyle w:val="Sraopastraipa"/>
              <w:ind w:left="0"/>
              <w:rPr>
                <w:rFonts w:cs="Times New Roman"/>
                <w:b/>
                <w:bCs/>
                <w:iCs/>
                <w:sz w:val="22"/>
                <w:lang w:bidi="lt-LT"/>
              </w:rPr>
            </w:pPr>
          </w:p>
        </w:tc>
        <w:tc>
          <w:tcPr>
            <w:tcW w:w="1079" w:type="pct"/>
          </w:tcPr>
          <w:p w14:paraId="51AC4DDC" w14:textId="45B71FF9" w:rsidR="00CF65A3" w:rsidRPr="00B44B19" w:rsidRDefault="00CF65A3" w:rsidP="00CF65A3">
            <w:pPr>
              <w:rPr>
                <w:rFonts w:cs="Times New Roman"/>
                <w:bCs/>
                <w:iCs/>
                <w:sz w:val="22"/>
                <w:lang w:bidi="lt-LT"/>
              </w:rPr>
            </w:pPr>
            <w:r w:rsidRPr="00B44B19">
              <w:rPr>
                <w:rFonts w:cs="Times New Roman"/>
                <w:sz w:val="22"/>
              </w:rPr>
              <w:t xml:space="preserve">3.3 </w:t>
            </w:r>
            <w:bookmarkStart w:id="5" w:name="_Hlk215832701"/>
            <w:r w:rsidRPr="00B44B19">
              <w:rPr>
                <w:rFonts w:cs="Times New Roman"/>
                <w:sz w:val="22"/>
              </w:rPr>
              <w:t>Sukurti atsparią gynybos infrastruktūrą, pirmenybę teikiant dvejopo naudojimo infrastruktūrai, taip pat, siekti skatinti karinį mobilumą ES ir gerinti civilinę parengtį</w:t>
            </w:r>
            <w:bookmarkEnd w:id="5"/>
          </w:p>
        </w:tc>
        <w:tc>
          <w:tcPr>
            <w:tcW w:w="2571" w:type="pct"/>
          </w:tcPr>
          <w:p w14:paraId="1D526B0D" w14:textId="77777777" w:rsidR="00CF65A3" w:rsidRPr="00B44B19" w:rsidRDefault="00CF65A3" w:rsidP="00CF65A3">
            <w:pPr>
              <w:jc w:val="both"/>
              <w:rPr>
                <w:rFonts w:cs="Times New Roman"/>
                <w:bCs/>
                <w:iCs/>
                <w:sz w:val="22"/>
              </w:rPr>
            </w:pPr>
            <w:r w:rsidRPr="00B44B19">
              <w:rPr>
                <w:rFonts w:cs="Times New Roman"/>
                <w:bCs/>
                <w:iCs/>
                <w:sz w:val="22"/>
              </w:rPr>
              <w:t>Pasikeitus geopolitinei situacijai regione ir padidėjus tarptautinei įtampai, iškilo poreikis didinti Europos šalių </w:t>
            </w:r>
            <w:r w:rsidRPr="00B44B19">
              <w:rPr>
                <w:rFonts w:cs="Times New Roman"/>
                <w:b/>
                <w:bCs/>
                <w:iCs/>
                <w:sz w:val="22"/>
              </w:rPr>
              <w:t>karinio mobilumo</w:t>
            </w:r>
            <w:r w:rsidRPr="00B44B19">
              <w:rPr>
                <w:rFonts w:cs="Times New Roman"/>
                <w:bCs/>
                <w:iCs/>
                <w:sz w:val="22"/>
              </w:rPr>
              <w:t> galimybes, įrengti </w:t>
            </w:r>
            <w:r w:rsidRPr="00B44B19">
              <w:rPr>
                <w:rFonts w:cs="Times New Roman"/>
                <w:b/>
                <w:bCs/>
                <w:iCs/>
                <w:sz w:val="22"/>
              </w:rPr>
              <w:t>dvejopo naudojimo infrastruktūrą</w:t>
            </w:r>
            <w:r w:rsidRPr="00B44B19">
              <w:rPr>
                <w:rFonts w:cs="Times New Roman"/>
                <w:bCs/>
                <w:iCs/>
                <w:sz w:val="22"/>
              </w:rPr>
              <w:t> ir stiprinti </w:t>
            </w:r>
            <w:r w:rsidRPr="00B44B19">
              <w:rPr>
                <w:rFonts w:cs="Times New Roman"/>
                <w:b/>
                <w:bCs/>
                <w:iCs/>
                <w:sz w:val="22"/>
              </w:rPr>
              <w:t>civilinę parengtį</w:t>
            </w:r>
            <w:r w:rsidRPr="00B44B19">
              <w:rPr>
                <w:rFonts w:cs="Times New Roman"/>
                <w:bCs/>
                <w:iCs/>
                <w:sz w:val="22"/>
              </w:rPr>
              <w:t>. </w:t>
            </w:r>
          </w:p>
          <w:p w14:paraId="7DE19228" w14:textId="77777777" w:rsidR="00CF65A3" w:rsidRPr="00B44B19" w:rsidRDefault="00CF65A3" w:rsidP="00CF65A3">
            <w:pPr>
              <w:jc w:val="both"/>
              <w:rPr>
                <w:rFonts w:cs="Times New Roman"/>
                <w:bCs/>
                <w:iCs/>
                <w:sz w:val="22"/>
              </w:rPr>
            </w:pPr>
            <w:r w:rsidRPr="00B44B19">
              <w:rPr>
                <w:rFonts w:cs="Times New Roman"/>
                <w:bCs/>
                <w:iCs/>
                <w:sz w:val="22"/>
              </w:rPr>
              <w:t>Auganti grėsmė nuo hibridinių ir konvencinių priešiškų veiksmų verčia užtikrinti, kad </w:t>
            </w:r>
            <w:r w:rsidRPr="00B44B19">
              <w:rPr>
                <w:rFonts w:cs="Times New Roman"/>
                <w:b/>
                <w:bCs/>
                <w:iCs/>
                <w:sz w:val="22"/>
              </w:rPr>
              <w:t>transporto infrastruktūra </w:t>
            </w:r>
            <w:r w:rsidRPr="00B44B19">
              <w:rPr>
                <w:rFonts w:cs="Times New Roman"/>
                <w:bCs/>
                <w:iCs/>
                <w:sz w:val="22"/>
              </w:rPr>
              <w:t>būtų parengta greitai reaguoti, būtų atspari ir pritaikyta tiek kariniams, tiek civiliniams poreikiams, užtikrinant nacionalinį saugumą ir ekonominį stabilumą. Investicijos bus skiriamos modernizuoti transporto infrastruktūrą, kad ji atitiktų ES ir NATO dvejopo naudojimo standartus, apibrėžtus 2021 m. rugpjūčio 10 d. Komisijos įgyvendinimo reglamente (ES) 2021/1328, taip pat, užtikrinant jos tinkamumą ir civiliniam, ir kariniam naudojimui. Investicijos prisidės prie Karinio mobilumo veiksmų plano 2.0, įgyvendinamo kartu su kitomis atsakingomis šalies institucijomis, vykdymo. </w:t>
            </w:r>
          </w:p>
          <w:p w14:paraId="51B110D3" w14:textId="77777777" w:rsidR="00CF65A3" w:rsidRPr="00B44B19" w:rsidRDefault="00CF65A3" w:rsidP="00CF65A3">
            <w:pPr>
              <w:jc w:val="both"/>
              <w:rPr>
                <w:rFonts w:cs="Times New Roman"/>
                <w:bCs/>
                <w:iCs/>
                <w:sz w:val="22"/>
              </w:rPr>
            </w:pPr>
            <w:r w:rsidRPr="00B44B19">
              <w:rPr>
                <w:rFonts w:cs="Times New Roman"/>
                <w:bCs/>
                <w:iCs/>
                <w:sz w:val="22"/>
              </w:rPr>
              <w:t>Praėjusi COVID-19 pandemija ir karas Ukrainoje rodo, kad sveikatos sektoriaus parengtis tampa vienu iš esminių nacionalinio saugumo aspektų. Investicijas numatoma nukreipti į </w:t>
            </w:r>
            <w:r w:rsidRPr="00B44B19">
              <w:rPr>
                <w:rFonts w:cs="Times New Roman"/>
                <w:b/>
                <w:bCs/>
                <w:iCs/>
                <w:sz w:val="22"/>
              </w:rPr>
              <w:t>sveikatos sistemos infrastruktūros</w:t>
            </w:r>
            <w:r w:rsidRPr="00B44B19">
              <w:rPr>
                <w:rFonts w:cs="Times New Roman"/>
                <w:bCs/>
                <w:iCs/>
                <w:sz w:val="22"/>
              </w:rPr>
              <w:t> atsparumo stiprinimą ir jos pritaikymą reaguoti į ekstremaliąsias situacijas, krizes bei karo grėsmes. </w:t>
            </w:r>
          </w:p>
          <w:p w14:paraId="10DF5814" w14:textId="77777777" w:rsidR="00CF65A3" w:rsidRPr="00B44B19" w:rsidRDefault="00CF65A3" w:rsidP="00CF65A3">
            <w:pPr>
              <w:jc w:val="both"/>
              <w:rPr>
                <w:rFonts w:cs="Times New Roman"/>
                <w:bCs/>
                <w:iCs/>
                <w:sz w:val="22"/>
              </w:rPr>
            </w:pPr>
            <w:r w:rsidRPr="00B44B19">
              <w:rPr>
                <w:rFonts w:cs="Times New Roman"/>
                <w:bCs/>
                <w:iCs/>
                <w:sz w:val="22"/>
              </w:rPr>
              <w:t>Kartu, itin svarbu </w:t>
            </w:r>
            <w:r w:rsidRPr="00B44B19">
              <w:rPr>
                <w:rFonts w:cs="Times New Roman"/>
                <w:b/>
                <w:bCs/>
                <w:iCs/>
                <w:sz w:val="22"/>
              </w:rPr>
              <w:t>stiprinti civilinę parengtį</w:t>
            </w:r>
            <w:r w:rsidRPr="00B44B19">
              <w:rPr>
                <w:rFonts w:cs="Times New Roman"/>
                <w:bCs/>
                <w:iCs/>
                <w:sz w:val="22"/>
              </w:rPr>
              <w:t xml:space="preserve">, įgalinančią grėsmių atveju užtikrinti visuomenės saugumą, gyvybiškai svarbių valstybės ir visuomenės funkcijų tęstinumą ir prisidėti prie šalies saugumo ir gynybos. Todėl investicijos bus skiriamos gyventojų </w:t>
            </w:r>
            <w:r w:rsidRPr="00B44B19">
              <w:rPr>
                <w:rFonts w:cs="Times New Roman"/>
                <w:bCs/>
                <w:iCs/>
                <w:sz w:val="22"/>
              </w:rPr>
              <w:lastRenderedPageBreak/>
              <w:t>perspėjimo infrastruktūros tobulinimui ir viešąjį saugumą užtikrinančių institucijų pajėgumų stiprinimui, gyventojų švietimui civilinės saugos klausimais. Taip pat, siekiant pagerinti civilinės saugos sistemos išvystymo lygį, lėšos bus skiriamos priedangų įrengimui ar modernizavimui, ekstremaliųjų situacijų operacijų centrų atnaujinimui. </w:t>
            </w:r>
          </w:p>
          <w:p w14:paraId="6342C08B" w14:textId="77777777" w:rsidR="00CF65A3" w:rsidRPr="00B44B19" w:rsidRDefault="00CF65A3" w:rsidP="00CF65A3">
            <w:pPr>
              <w:jc w:val="both"/>
              <w:rPr>
                <w:rFonts w:cs="Times New Roman"/>
                <w:bCs/>
                <w:iCs/>
                <w:sz w:val="22"/>
              </w:rPr>
            </w:pPr>
            <w:r w:rsidRPr="00B44B19">
              <w:rPr>
                <w:rFonts w:cs="Times New Roman"/>
                <w:bCs/>
                <w:iCs/>
                <w:sz w:val="22"/>
              </w:rPr>
              <w:t>Veiklų įgyvendinimas prisidės prie </w:t>
            </w:r>
            <w:r w:rsidRPr="00B44B19">
              <w:rPr>
                <w:rFonts w:cs="Times New Roman"/>
                <w:b/>
                <w:bCs/>
                <w:iCs/>
                <w:sz w:val="22"/>
              </w:rPr>
              <w:t>BJRS </w:t>
            </w:r>
            <w:r w:rsidRPr="00B44B19">
              <w:rPr>
                <w:rFonts w:cs="Times New Roman"/>
                <w:bCs/>
                <w:iCs/>
                <w:sz w:val="22"/>
              </w:rPr>
              <w:t>politikos tikslų „Sauga“ ir „Saugumas“, ES pasirengimo krizėms strategijos bei 2024–2029 m. strateginėje darbotvarkėje nurodyto ES prioriteto ,,Stipri ir saugi Europa“ tikslų įgyvendinimo. </w:t>
            </w:r>
          </w:p>
          <w:p w14:paraId="57F38094" w14:textId="2F5419FC" w:rsidR="00CF65A3" w:rsidRPr="00B44B19" w:rsidRDefault="00CF65A3" w:rsidP="00CF65A3">
            <w:pPr>
              <w:jc w:val="both"/>
              <w:rPr>
                <w:rFonts w:cs="Times New Roman"/>
                <w:bCs/>
                <w:iCs/>
                <w:sz w:val="22"/>
              </w:rPr>
            </w:pPr>
            <w:r w:rsidRPr="00B44B19">
              <w:rPr>
                <w:rFonts w:cs="Times New Roman"/>
                <w:bCs/>
                <w:iCs/>
                <w:sz w:val="22"/>
              </w:rPr>
              <w:t>Pasirenkama finansavimo forma – </w:t>
            </w:r>
            <w:r w:rsidRPr="00B44B19">
              <w:rPr>
                <w:rFonts w:cs="Times New Roman"/>
                <w:b/>
                <w:bCs/>
                <w:iCs/>
                <w:sz w:val="22"/>
              </w:rPr>
              <w:t xml:space="preserve">dotacija. </w:t>
            </w:r>
            <w:r w:rsidRPr="00B44B19">
              <w:rPr>
                <w:rFonts w:cs="Times New Roman"/>
                <w:bCs/>
                <w:iCs/>
                <w:sz w:val="22"/>
              </w:rPr>
              <w:t>Planuojamos vykdyti veiklos negeneruoja pajamų, todėl joms neplanuojama taikyti finansinių priemonių.</w:t>
            </w:r>
            <w:r w:rsidRPr="00B44B19">
              <w:rPr>
                <w:rFonts w:cs="Times New Roman"/>
                <w:bCs/>
                <w:sz w:val="22"/>
              </w:rPr>
              <w:t xml:space="preserve"> </w:t>
            </w:r>
          </w:p>
        </w:tc>
      </w:tr>
      <w:tr w:rsidR="00CF65A3" w:rsidRPr="00B44B19" w14:paraId="11D73C40" w14:textId="77777777" w:rsidTr="00EB70C3">
        <w:tc>
          <w:tcPr>
            <w:tcW w:w="1350" w:type="pct"/>
            <w:vMerge w:val="restart"/>
          </w:tcPr>
          <w:p w14:paraId="7FF59BB0" w14:textId="77777777" w:rsidR="00CF65A3" w:rsidRPr="00B44B19" w:rsidRDefault="00CF65A3" w:rsidP="00CF65A3">
            <w:pPr>
              <w:pStyle w:val="Sraopastraipa"/>
              <w:ind w:left="0" w:right="35"/>
              <w:rPr>
                <w:rFonts w:cs="Times New Roman"/>
                <w:b/>
                <w:bCs/>
                <w:iCs/>
                <w:sz w:val="22"/>
                <w:lang w:bidi="lt-LT"/>
              </w:rPr>
            </w:pPr>
            <w:r w:rsidRPr="00B44B19">
              <w:rPr>
                <w:rFonts w:cs="Times New Roman"/>
                <w:b/>
                <w:bCs/>
                <w:iCs/>
                <w:sz w:val="22"/>
                <w:lang w:bidi="lt-LT"/>
              </w:rPr>
              <w:lastRenderedPageBreak/>
              <w:t>4. Socialiai atsakingesnė ir įtraukesnė Europa</w:t>
            </w:r>
          </w:p>
        </w:tc>
        <w:tc>
          <w:tcPr>
            <w:tcW w:w="1079" w:type="pct"/>
          </w:tcPr>
          <w:p w14:paraId="0C62BB82" w14:textId="77777777" w:rsidR="00CF65A3" w:rsidRPr="00B44B19" w:rsidRDefault="00CF65A3" w:rsidP="00CF65A3">
            <w:pPr>
              <w:rPr>
                <w:rFonts w:cs="Times New Roman"/>
                <w:bCs/>
                <w:iCs/>
                <w:sz w:val="22"/>
                <w:lang w:bidi="lt-LT"/>
              </w:rPr>
            </w:pPr>
            <w:r w:rsidRPr="00B44B19">
              <w:rPr>
                <w:rFonts w:cs="Times New Roman"/>
                <w:bCs/>
                <w:iCs/>
                <w:sz w:val="22"/>
                <w:lang w:bidi="lt-LT"/>
              </w:rPr>
              <w:t>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tc>
        <w:tc>
          <w:tcPr>
            <w:tcW w:w="2571" w:type="pct"/>
          </w:tcPr>
          <w:p w14:paraId="42C01469"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Prieš pandemiją dalyvavimas darbo rinkoje buvo aktyvus, o nedarbo lygis žemas, tačiau dėl šios pandemijos sukeltos krizės kilo naujų iššūkių.</w:t>
            </w:r>
          </w:p>
          <w:p w14:paraId="5DDBE419" w14:textId="77777777" w:rsidR="00CF65A3" w:rsidRPr="00B44B19" w:rsidRDefault="00CF65A3" w:rsidP="00CF65A3">
            <w:pPr>
              <w:jc w:val="both"/>
              <w:rPr>
                <w:rFonts w:cs="Times New Roman"/>
                <w:sz w:val="22"/>
              </w:rPr>
            </w:pPr>
            <w:r w:rsidRPr="00B44B19">
              <w:rPr>
                <w:rFonts w:cs="Times New Roman"/>
                <w:b/>
                <w:sz w:val="22"/>
              </w:rPr>
              <w:t xml:space="preserve">TR’2020 </w:t>
            </w:r>
            <w:r w:rsidRPr="00B44B19">
              <w:rPr>
                <w:rFonts w:cs="Times New Roman"/>
                <w:sz w:val="22"/>
              </w:rPr>
              <w:t>skatinama švelninti krizės poveikį užimtumui. Didinti ADRP priemonių finansavimą bei aprėptį ir skatinti gerinti įgūdžius.</w:t>
            </w:r>
          </w:p>
          <w:p w14:paraId="57CA78C2"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 xml:space="preserve">Siekiant padėti bedarbiams kuo anksčiau grįžti į DR, reikia </w:t>
            </w:r>
            <w:r w:rsidRPr="00B44B19">
              <w:rPr>
                <w:rFonts w:eastAsia="Calibri" w:cs="Times New Roman"/>
                <w:b/>
                <w:sz w:val="22"/>
                <w:lang w:eastAsia="lt-LT" w:bidi="lt-LT"/>
              </w:rPr>
              <w:t>didinti ADRP priemonių ir kitų priemonių</w:t>
            </w:r>
            <w:r w:rsidRPr="00B44B19">
              <w:rPr>
                <w:rFonts w:eastAsia="Calibri" w:cs="Times New Roman"/>
                <w:sz w:val="22"/>
                <w:lang w:eastAsia="lt-LT" w:bidi="lt-LT"/>
              </w:rPr>
              <w:t>, skirtų darbo jėgos kvalifikacijai keisti ir kelti, aprėptį. Taip pat siekiant užtikrinti prasmingą ir nepavėluotą socialinių partnerių dalyvavimą planuojant išėjimo iš pandemijos ir atsigavimo procesą, svarbu stiprinti jų gebėjimus.</w:t>
            </w:r>
          </w:p>
          <w:p w14:paraId="0D8796FA"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 xml:space="preserve">Investicijos bus skiriamos ADRP priemonių aprėpčiai didinti, galimybėms įsidarbinti gerinti, darbo jėgos pasiūlos atitikčiai DR poreikiams bei naujiems ketvirtosios pramonės revoliucijos „Pramonė 4.0“ iššūkiams įveikti, žaliesiems įgūdžiams ugdyti, savarankiškam užimtumui bei darbo vietų kūrimui skatinti, atskirai skiriant dėmesio neįgaliųjų ir </w:t>
            </w:r>
            <w:r w:rsidRPr="00B44B19">
              <w:rPr>
                <w:rFonts w:eastAsia="Calibri" w:cs="Times New Roman"/>
                <w:sz w:val="22"/>
              </w:rPr>
              <w:t>vyresnio amžiaus asmenų</w:t>
            </w:r>
            <w:r w:rsidRPr="00B44B19">
              <w:rPr>
                <w:rFonts w:eastAsia="Calibri" w:cs="Times New Roman"/>
                <w:sz w:val="22"/>
                <w:lang w:eastAsia="lt-LT" w:bidi="lt-LT"/>
              </w:rPr>
              <w:t xml:space="preserve"> užimtumui. Be to, bus investuojama į darbo vietų kokybės gerinimą, stiprinant socialinį dialogą bei užtikrinant saugią ir sveiką darbo aplinką.</w:t>
            </w:r>
          </w:p>
          <w:p w14:paraId="25B7A8E6" w14:textId="77777777" w:rsidR="00CF65A3" w:rsidRPr="00B44B19" w:rsidRDefault="00CF65A3" w:rsidP="00CF65A3">
            <w:pPr>
              <w:jc w:val="both"/>
              <w:rPr>
                <w:rFonts w:cs="Times New Roman"/>
                <w:sz w:val="22"/>
              </w:rPr>
            </w:pPr>
            <w:r w:rsidRPr="00B44B19">
              <w:rPr>
                <w:rFonts w:cs="Times New Roman"/>
                <w:sz w:val="22"/>
              </w:rPr>
              <w:t xml:space="preserve">Planuojama </w:t>
            </w:r>
            <w:r w:rsidRPr="00B44B19">
              <w:rPr>
                <w:rFonts w:cs="Times New Roman"/>
                <w:b/>
                <w:sz w:val="22"/>
              </w:rPr>
              <w:t>finansavimo forma</w:t>
            </w:r>
            <w:r w:rsidRPr="00B44B19">
              <w:rPr>
                <w:rFonts w:cs="Times New Roman"/>
                <w:sz w:val="22"/>
              </w:rPr>
              <w:t xml:space="preserve"> – dotacija. Planuojamos vykdyti veiklos negeneruos pajamų, todėl joms neplanuojama taikyti finansinių priemonių.</w:t>
            </w:r>
          </w:p>
        </w:tc>
      </w:tr>
      <w:tr w:rsidR="00CF65A3" w:rsidRPr="00B44B19" w14:paraId="2A7EBCD4" w14:textId="77777777" w:rsidTr="00EB70C3">
        <w:tc>
          <w:tcPr>
            <w:tcW w:w="1350" w:type="pct"/>
            <w:vMerge/>
          </w:tcPr>
          <w:p w14:paraId="092F1BAD" w14:textId="77777777" w:rsidR="00CF65A3" w:rsidRPr="00B44B19" w:rsidRDefault="00CF65A3" w:rsidP="00CF65A3">
            <w:pPr>
              <w:pStyle w:val="Sraopastraipa"/>
              <w:ind w:left="0" w:right="35"/>
              <w:rPr>
                <w:rFonts w:cs="Times New Roman"/>
                <w:b/>
                <w:bCs/>
                <w:iCs/>
                <w:sz w:val="22"/>
                <w:lang w:bidi="lt-LT"/>
              </w:rPr>
            </w:pPr>
          </w:p>
        </w:tc>
        <w:tc>
          <w:tcPr>
            <w:tcW w:w="1079" w:type="pct"/>
          </w:tcPr>
          <w:p w14:paraId="6F4566B4" w14:textId="77777777" w:rsidR="00CF65A3" w:rsidRPr="00B44B19" w:rsidRDefault="00CF65A3" w:rsidP="00CF65A3">
            <w:pPr>
              <w:rPr>
                <w:rFonts w:cs="Times New Roman"/>
                <w:bCs/>
                <w:iCs/>
                <w:sz w:val="22"/>
                <w:lang w:bidi="lt-LT"/>
              </w:rPr>
            </w:pPr>
            <w:r w:rsidRPr="00B44B19">
              <w:rPr>
                <w:rFonts w:cs="Times New Roman"/>
                <w:bCs/>
                <w:iCs/>
                <w:sz w:val="22"/>
                <w:lang w:bidi="lt-LT"/>
              </w:rPr>
              <w:t xml:space="preserve">4.2. Gerinti švietimo ir mokymo sistemų kokybę, įtraukumą, veiksmingumą ir jų aktualumą darbo rinkos atžvilgiu, be kita ko pripažįstant neformaliojo ir savaiminio mokymosi </w:t>
            </w:r>
            <w:r w:rsidRPr="00B44B19">
              <w:rPr>
                <w:rFonts w:cs="Times New Roman"/>
                <w:bCs/>
                <w:iCs/>
                <w:sz w:val="22"/>
                <w:lang w:bidi="lt-LT"/>
              </w:rPr>
              <w:lastRenderedPageBreak/>
              <w:t xml:space="preserve">rezultatus, siekiant padėti įgyti bendrąsias kompetencijas verslumo ir skaitmeninius įgūdžius, ir skatinti taikyti dualines švietimo ir profesinio mokymo sistemas </w:t>
            </w:r>
          </w:p>
        </w:tc>
        <w:tc>
          <w:tcPr>
            <w:tcW w:w="2571" w:type="pct"/>
          </w:tcPr>
          <w:p w14:paraId="548203B2" w14:textId="77777777" w:rsidR="00CF65A3" w:rsidRPr="00B44B19" w:rsidRDefault="00CF65A3" w:rsidP="00CF65A3">
            <w:pPr>
              <w:jc w:val="both"/>
              <w:rPr>
                <w:rFonts w:eastAsia="Times New Roman" w:cs="Times New Roman"/>
                <w:noProof/>
                <w:sz w:val="22"/>
                <w:lang w:bidi="lt-LT"/>
              </w:rPr>
            </w:pPr>
            <w:r w:rsidRPr="00B44B19">
              <w:rPr>
                <w:rFonts w:eastAsia="Times New Roman" w:cs="Times New Roman"/>
                <w:noProof/>
                <w:sz w:val="22"/>
              </w:rPr>
              <w:lastRenderedPageBreak/>
              <w:t xml:space="preserve">Žmogiškųjų išteklių trūkumas bei dažnai nepakankama ir šiuolaikinių iššūkių ir dinaminių aplinkos pokyčių neatitinkanti jų kvalifikacija yra vienas pagrindinių veiksnių, darančių neigiamą įtaką švietimo sistemos kokybei ir veiksmingumui. Prie to prisideda ir netolygus ugdymo prieinamumas, lemiantis ir regioninius mokinių pasiekimų skirtumus. </w:t>
            </w:r>
            <w:r w:rsidRPr="00B44B19">
              <w:rPr>
                <w:rFonts w:eastAsia="Times New Roman" w:cs="Times New Roman"/>
                <w:b/>
                <w:bCs/>
                <w:noProof/>
                <w:sz w:val="22"/>
              </w:rPr>
              <w:t xml:space="preserve">TR“19 pabrėžiama, kad būtina gerinti švietimo ir mokymo sistemos, įskaitant suaugusiųjų mokymąsi, kokybę, veiksmingumą ir atitiktį DR </w:t>
            </w:r>
            <w:r w:rsidRPr="00B44B19">
              <w:rPr>
                <w:rFonts w:eastAsia="Times New Roman" w:cs="Times New Roman"/>
                <w:b/>
                <w:bCs/>
                <w:noProof/>
                <w:sz w:val="22"/>
              </w:rPr>
              <w:lastRenderedPageBreak/>
              <w:t>poreikiams</w:t>
            </w:r>
            <w:r w:rsidRPr="00B44B19">
              <w:rPr>
                <w:rFonts w:eastAsia="Times New Roman" w:cs="Times New Roman"/>
                <w:noProof/>
                <w:sz w:val="22"/>
              </w:rPr>
              <w:t>, todėl sprendžiant šias problemas labai svarbu investuoti į žmogiškuosius išteklius švietimo sistemoje ir jų atnaujinimą bei kokybiško ankstyvojo, priešmokyklinio, ikimokyklinio ir BU prieinamumą mažinant regioninius skirtumus. Siekiant pagerinti švietimo kokybę ir sumažinti ugdymosi rezultatų atotrūkį būtinas mokslininkų įsitraukimas, kompleksinių ilgalaikių mokslo tyrimų analize ir mokslinėmis įžvalgomis grindžiamas švietimo politikos formavimas ir sprendimų priėmimas skatinant duomenimis grįstos politikos plėtotę, todėl svarbu stiprinti edukacijos tyrimus ir jų taikymą, gerinti edukologijos doktorantūros studijų kokybę.</w:t>
            </w:r>
          </w:p>
          <w:p w14:paraId="1AD4AAB1" w14:textId="77777777" w:rsidR="00CF65A3" w:rsidRPr="00B44B19" w:rsidRDefault="00CF65A3" w:rsidP="00CF65A3">
            <w:pPr>
              <w:jc w:val="both"/>
              <w:rPr>
                <w:rFonts w:eastAsia="Times New Roman" w:cs="Times New Roman"/>
                <w:noProof/>
                <w:sz w:val="22"/>
                <w:lang w:bidi="lt-LT"/>
              </w:rPr>
            </w:pPr>
            <w:r w:rsidRPr="00B44B19">
              <w:rPr>
                <w:rFonts w:eastAsia="Times New Roman" w:cs="Times New Roman"/>
                <w:noProof/>
                <w:sz w:val="22"/>
                <w:lang w:bidi="lt-LT"/>
              </w:rPr>
              <w:t xml:space="preserve">Numatoma šio tikslo investicijomis siekti, </w:t>
            </w:r>
            <w:r w:rsidRPr="00B44B19">
              <w:rPr>
                <w:rFonts w:eastAsia="Times New Roman" w:cs="Times New Roman"/>
                <w:noProof/>
                <w:sz w:val="22"/>
              </w:rPr>
              <w:t xml:space="preserve">kad vaikų nuo 3 m. iki privalomo ugdymo amžiaus, dalyvaujančių ikimokyklinio ugdymo programose, dalis padidėtų nuo 93.3 % (2021) iki </w:t>
            </w:r>
            <w:r w:rsidRPr="00B44B19">
              <w:rPr>
                <w:rFonts w:eastAsia="Times New Roman" w:cs="Times New Roman"/>
                <w:b/>
                <w:bCs/>
                <w:noProof/>
                <w:sz w:val="22"/>
              </w:rPr>
              <w:t>95 %</w:t>
            </w:r>
            <w:r w:rsidRPr="00B44B19">
              <w:rPr>
                <w:rFonts w:eastAsia="Times New Roman" w:cs="Times New Roman"/>
                <w:noProof/>
                <w:sz w:val="22"/>
              </w:rPr>
              <w:t xml:space="preserve"> (</w:t>
            </w:r>
            <w:r w:rsidRPr="00B44B19">
              <w:rPr>
                <w:rFonts w:eastAsia="Times New Roman" w:cs="Times New Roman"/>
                <w:b/>
                <w:bCs/>
                <w:noProof/>
                <w:sz w:val="22"/>
              </w:rPr>
              <w:t>2030</w:t>
            </w:r>
            <w:r w:rsidRPr="00B44B19">
              <w:rPr>
                <w:rFonts w:eastAsia="Times New Roman" w:cs="Times New Roman"/>
                <w:noProof/>
                <w:sz w:val="22"/>
              </w:rPr>
              <w:t>).</w:t>
            </w:r>
          </w:p>
          <w:p w14:paraId="6BA518C5" w14:textId="77777777" w:rsidR="00CF65A3" w:rsidRPr="00B44B19" w:rsidRDefault="00CF65A3" w:rsidP="00CF65A3">
            <w:pPr>
              <w:jc w:val="both"/>
              <w:rPr>
                <w:rFonts w:eastAsia="Times New Roman" w:cs="Times New Roman"/>
                <w:noProof/>
                <w:sz w:val="22"/>
              </w:rPr>
            </w:pPr>
            <w:r w:rsidRPr="00B44B19">
              <w:rPr>
                <w:rFonts w:eastAsia="Times New Roman" w:cs="Times New Roman"/>
                <w:noProof/>
                <w:sz w:val="22"/>
              </w:rPr>
              <w:t>Visos investicijos planuojamos remiantis atskirties mažinimo principu ir skirtos mažinti teritorinius ir socialinius įtraukties bei švietimo pasiekimų skirtumus visuose švietimo lygmenyse.</w:t>
            </w:r>
          </w:p>
          <w:p w14:paraId="37B440EB" w14:textId="77777777" w:rsidR="00CF65A3" w:rsidRPr="00B44B19" w:rsidRDefault="00CF65A3" w:rsidP="00CF65A3">
            <w:pPr>
              <w:jc w:val="both"/>
              <w:rPr>
                <w:rFonts w:eastAsia="Times New Roman" w:cs="Times New Roman"/>
                <w:noProof/>
                <w:sz w:val="22"/>
              </w:rPr>
            </w:pPr>
            <w:r w:rsidRPr="00B44B19">
              <w:rPr>
                <w:rFonts w:eastAsia="Times New Roman" w:cs="Times New Roman"/>
                <w:noProof/>
                <w:sz w:val="22"/>
              </w:rPr>
              <w:t xml:space="preserve">Pasirenkama </w:t>
            </w:r>
            <w:r w:rsidRPr="00B44B19">
              <w:rPr>
                <w:rFonts w:eastAsia="Times New Roman" w:cs="Times New Roman"/>
                <w:b/>
                <w:noProof/>
                <w:sz w:val="22"/>
              </w:rPr>
              <w:t>finansavimo forma</w:t>
            </w:r>
            <w:r w:rsidRPr="00B44B19">
              <w:rPr>
                <w:rFonts w:eastAsia="Times New Roman" w:cs="Times New Roman"/>
                <w:noProof/>
                <w:sz w:val="22"/>
              </w:rPr>
              <w:t xml:space="preserve"> – dotacija, nes planuojamos vykdyti veiklos susijusios su viešųjų paslaugų, kurios negeneruoja pajamų, teikimu.</w:t>
            </w:r>
          </w:p>
          <w:p w14:paraId="192B3AE2" w14:textId="77777777" w:rsidR="00CF65A3" w:rsidRPr="00B44B19" w:rsidRDefault="00CF65A3" w:rsidP="00CF65A3">
            <w:pPr>
              <w:jc w:val="both"/>
              <w:rPr>
                <w:rFonts w:eastAsia="Times New Roman" w:cs="Times New Roman"/>
                <w:iCs/>
                <w:noProof/>
                <w:sz w:val="22"/>
              </w:rPr>
            </w:pPr>
            <w:r w:rsidRPr="00B44B19">
              <w:rPr>
                <w:rFonts w:cs="Times New Roman"/>
                <w:sz w:val="22"/>
              </w:rPr>
              <w:t xml:space="preserve">Uždavinys prisidės prie </w:t>
            </w:r>
            <w:r w:rsidRPr="00B44B19">
              <w:rPr>
                <w:rFonts w:cs="Times New Roman"/>
                <w:b/>
                <w:bCs/>
                <w:sz w:val="22"/>
              </w:rPr>
              <w:t>BJRS</w:t>
            </w:r>
            <w:r w:rsidRPr="00B44B19">
              <w:rPr>
                <w:rFonts w:cs="Times New Roman"/>
                <w:sz w:val="22"/>
              </w:rPr>
              <w:t xml:space="preserve"> politinės srities „Švietimas“ įgyvendinimo, bus didinama švietimo paslaugų kokybė.</w:t>
            </w:r>
          </w:p>
        </w:tc>
      </w:tr>
      <w:tr w:rsidR="00CF65A3" w:rsidRPr="00B44B19" w14:paraId="7DC84027" w14:textId="77777777" w:rsidTr="00EB70C3">
        <w:tc>
          <w:tcPr>
            <w:tcW w:w="1350" w:type="pct"/>
            <w:vMerge/>
          </w:tcPr>
          <w:p w14:paraId="5B1EEADA" w14:textId="77777777" w:rsidR="00CF65A3" w:rsidRPr="00B44B19" w:rsidRDefault="00CF65A3" w:rsidP="00CF65A3">
            <w:pPr>
              <w:pStyle w:val="Sraopastraipa"/>
              <w:ind w:left="0" w:right="35"/>
              <w:rPr>
                <w:rFonts w:cs="Times New Roman"/>
                <w:b/>
                <w:bCs/>
                <w:iCs/>
                <w:sz w:val="22"/>
                <w:lang w:bidi="lt-LT"/>
              </w:rPr>
            </w:pPr>
          </w:p>
        </w:tc>
        <w:tc>
          <w:tcPr>
            <w:tcW w:w="1079" w:type="pct"/>
          </w:tcPr>
          <w:p w14:paraId="4C24A53B" w14:textId="77777777" w:rsidR="00CF65A3" w:rsidRPr="00B44B19" w:rsidRDefault="00CF65A3" w:rsidP="00CF65A3">
            <w:pPr>
              <w:rPr>
                <w:rFonts w:cs="Times New Roman"/>
                <w:bCs/>
                <w:iCs/>
                <w:sz w:val="22"/>
                <w:lang w:bidi="lt-LT"/>
              </w:rPr>
            </w:pPr>
            <w:r w:rsidRPr="00B44B19">
              <w:rPr>
                <w:rFonts w:cs="Times New Roman"/>
                <w:bCs/>
                <w:iCs/>
                <w:sz w:val="22"/>
                <w:lang w:bidi="lt-LT"/>
              </w:rPr>
              <w:t xml:space="preserve">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w:t>
            </w:r>
            <w:r w:rsidRPr="00B44B19">
              <w:rPr>
                <w:rFonts w:cs="Times New Roman"/>
                <w:bCs/>
                <w:iCs/>
                <w:sz w:val="22"/>
                <w:lang w:bidi="lt-LT"/>
              </w:rPr>
              <w:lastRenderedPageBreak/>
              <w:t>tikslais ir užtikrinant prieinamumą neįgaliesiems</w:t>
            </w:r>
          </w:p>
        </w:tc>
        <w:tc>
          <w:tcPr>
            <w:tcW w:w="2571" w:type="pct"/>
          </w:tcPr>
          <w:p w14:paraId="34E3A1D3" w14:textId="77777777" w:rsidR="00CF65A3" w:rsidRPr="00B44B19" w:rsidRDefault="00CF65A3" w:rsidP="00CF65A3">
            <w:pPr>
              <w:jc w:val="both"/>
              <w:rPr>
                <w:rFonts w:eastAsia="Times New Roman" w:cs="Times New Roman"/>
                <w:noProof/>
                <w:sz w:val="22"/>
              </w:rPr>
            </w:pPr>
            <w:r w:rsidRPr="00B44B19">
              <w:rPr>
                <w:rFonts w:eastAsia="Times New Roman" w:cs="Times New Roman"/>
                <w:noProof/>
                <w:sz w:val="22"/>
              </w:rPr>
              <w:lastRenderedPageBreak/>
              <w:t>Ikimokyklinio ir BU sistemos efektyvumas ir mokinių pasiekimų rezultatai išlieka gana žemi. Miestų ir kaimiškų vietovių švietimo paslaugų prieinamumas ir mokymosi rezultatai skiriasi. Aktuali problema išlieka nepakankama spec. poreikių turinčių vaikų integracija į BU mokyklas bei švietimo pagalbos ir kokybiškų visos dienos mokyklos paslaugų teikimas asmenims patiriantiems atskirtį.</w:t>
            </w:r>
          </w:p>
          <w:p w14:paraId="1BC3E9E1" w14:textId="77777777" w:rsidR="00CF65A3" w:rsidRPr="00B44B19" w:rsidRDefault="00CF65A3" w:rsidP="00CF65A3">
            <w:pPr>
              <w:jc w:val="both"/>
              <w:rPr>
                <w:rFonts w:eastAsia="Times New Roman" w:cs="Times New Roman"/>
                <w:noProof/>
                <w:sz w:val="22"/>
              </w:rPr>
            </w:pPr>
            <w:r w:rsidRPr="00B44B19">
              <w:rPr>
                <w:rFonts w:eastAsia="Times New Roman" w:cs="Times New Roman"/>
                <w:noProof/>
                <w:sz w:val="22"/>
              </w:rPr>
              <w:t>Švietimo įstatymo pakeitimai numato, jog nuo 2024 m. rugsėjo spec. ugdymosi poreikių turintys mokiniai galės lankyti pasirinktą ugdymo įstaigą, taigi investicijos yra planuojamos atskirties mažinimo principu ir bus siekiama kovoti su atskirtimi visuose švietimo lygmenyse, sutelkti dėmesį į tai, kad būtų skatinama galimybė gauti aukštos kokybės įtraukų švietimą visais lygiais.</w:t>
            </w:r>
          </w:p>
          <w:p w14:paraId="45F0287E" w14:textId="77777777" w:rsidR="00CF65A3" w:rsidRPr="00B44B19" w:rsidRDefault="00CF65A3" w:rsidP="00CF65A3">
            <w:pPr>
              <w:spacing w:line="257" w:lineRule="auto"/>
              <w:jc w:val="both"/>
              <w:rPr>
                <w:rFonts w:eastAsia="Times New Roman" w:cs="Times New Roman"/>
                <w:sz w:val="22"/>
              </w:rPr>
            </w:pPr>
            <w:r w:rsidRPr="00B44B19">
              <w:rPr>
                <w:rFonts w:eastAsia="Times New Roman" w:cs="Times New Roman"/>
                <w:noProof/>
                <w:sz w:val="22"/>
              </w:rPr>
              <w:t>Mokymosi ir švietimo pagalbos prieinamumo</w:t>
            </w:r>
            <w:r w:rsidRPr="00B44B19">
              <w:rPr>
                <w:rFonts w:eastAsia="Times New Roman" w:cs="Times New Roman"/>
                <w:b/>
                <w:bCs/>
                <w:noProof/>
                <w:sz w:val="22"/>
              </w:rPr>
              <w:t xml:space="preserve"> </w:t>
            </w:r>
            <w:r w:rsidRPr="00B44B19">
              <w:rPr>
                <w:rFonts w:eastAsia="Times New Roman" w:cs="Times New Roman"/>
                <w:noProof/>
                <w:sz w:val="22"/>
              </w:rPr>
              <w:t>užtikrinimas</w:t>
            </w:r>
            <w:r w:rsidRPr="00B44B19">
              <w:rPr>
                <w:rFonts w:eastAsia="Calibri" w:cs="Times New Roman"/>
                <w:noProof/>
                <w:sz w:val="22"/>
              </w:rPr>
              <w:t xml:space="preserve"> skatins bendrosios paskirties ikimokyklinio ir BU įstaigas kurti įvairių ugdymosi poreikių turintiems mokiniams tinkančias ugdymo organizavimo, mokymosi ir švietimo pagalbos teikimo sąlygas klasės (grupės) lygmeniu. </w:t>
            </w:r>
            <w:r w:rsidRPr="00B44B19">
              <w:rPr>
                <w:rFonts w:eastAsia="Times New Roman" w:cs="Times New Roman"/>
                <w:sz w:val="22"/>
              </w:rPr>
              <w:t xml:space="preserve">Bus siekiama NPP tikslo, kad negalią turinčių mokinių, ugdomų įtraukiuoju būdu bendrosios paskirties švietimo įstaigose, dalis padidėtų nuo 48,6 % (2019 </w:t>
            </w:r>
            <w:r w:rsidRPr="00B44B19">
              <w:rPr>
                <w:rFonts w:eastAsia="Times New Roman" w:cs="Times New Roman"/>
                <w:sz w:val="22"/>
              </w:rPr>
              <w:lastRenderedPageBreak/>
              <w:t xml:space="preserve">m.) iki </w:t>
            </w:r>
            <w:r w:rsidRPr="00B44B19">
              <w:rPr>
                <w:rFonts w:eastAsia="Times New Roman" w:cs="Times New Roman"/>
                <w:b/>
                <w:bCs/>
                <w:sz w:val="22"/>
              </w:rPr>
              <w:t>90 % (2030 m.</w:t>
            </w:r>
            <w:r w:rsidRPr="00B44B19">
              <w:rPr>
                <w:rFonts w:eastAsia="Times New Roman" w:cs="Times New Roman"/>
                <w:sz w:val="22"/>
              </w:rPr>
              <w:t xml:space="preserve">). Taip pat bus prisidedama prie mažiausių (iki 3 000 gyventojų) ir didžiausių (per 15 000) gyvenviečių (didžiausias iš visų PISA tyrimų tiriamų sričių) mokinių pasiekimų skirtumo mažinimo nuo 67,68 taško (2018 m.) iki </w:t>
            </w:r>
            <w:r w:rsidRPr="00B44B19">
              <w:rPr>
                <w:rFonts w:eastAsia="Times New Roman" w:cs="Times New Roman"/>
                <w:b/>
                <w:bCs/>
                <w:sz w:val="22"/>
              </w:rPr>
              <w:t>30 taškų (2030 m.).</w:t>
            </w:r>
          </w:p>
          <w:p w14:paraId="294E35C1" w14:textId="77777777" w:rsidR="00CF65A3" w:rsidRPr="00B44B19" w:rsidRDefault="00CF65A3" w:rsidP="00CF65A3">
            <w:pPr>
              <w:jc w:val="both"/>
              <w:rPr>
                <w:rFonts w:cs="Times New Roman"/>
                <w:sz w:val="22"/>
              </w:rPr>
            </w:pPr>
            <w:r w:rsidRPr="00B44B19">
              <w:rPr>
                <w:rFonts w:eastAsia="Calibri" w:cs="Times New Roman"/>
                <w:sz w:val="22"/>
              </w:rPr>
              <w:t>Socialiai jautrių, socialinės atskirties studentų grupių galimybės studijuoti yra ribotos.</w:t>
            </w:r>
            <w:r w:rsidRPr="00B44B19">
              <w:rPr>
                <w:rFonts w:eastAsia="Calibri" w:cs="Times New Roman"/>
                <w:bCs/>
                <w:sz w:val="22"/>
              </w:rPr>
              <w:t xml:space="preserve"> Studijų prieinamumui reikalingos papildomos priemonės, padedančios aukštosiose mokyklose sukurti specialiųjų poreikių studentams pritaikytas darbo vietas, speciali įranga, taip pat aukštųjų mokyklų atstovų mokymai.</w:t>
            </w:r>
          </w:p>
          <w:p w14:paraId="3870E7A2" w14:textId="70A04551" w:rsidR="00CF65A3" w:rsidRPr="00B44B19" w:rsidRDefault="00CF65A3" w:rsidP="00CF65A3">
            <w:pPr>
              <w:jc w:val="both"/>
              <w:rPr>
                <w:rFonts w:cs="Times New Roman"/>
                <w:sz w:val="22"/>
              </w:rPr>
            </w:pPr>
            <w:r w:rsidRPr="00B44B19">
              <w:rPr>
                <w:rFonts w:eastAsia="Calibri" w:cs="Times New Roman"/>
                <w:sz w:val="22"/>
              </w:rPr>
              <w:t>Mokinių iš nepalankias sąlygas turinčių grupių dalyvavimą profesiniame mokyme riboja nepakankama parama ir aprūpi</w:t>
            </w:r>
            <w:r w:rsidRPr="00B44B19">
              <w:rPr>
                <w:rFonts w:cs="Times New Roman"/>
                <w:sz w:val="22"/>
                <w:shd w:val="clear" w:color="auto" w:fill="FFFFFF"/>
              </w:rPr>
              <w:t>nimas mokymui reikalingomis priemonėmis</w:t>
            </w:r>
            <w:r w:rsidRPr="00B44B19">
              <w:rPr>
                <w:rFonts w:eastAsia="Calibri" w:cs="Times New Roman"/>
                <w:sz w:val="22"/>
              </w:rPr>
              <w:t>. Investicijomis bus</w:t>
            </w:r>
            <w:r w:rsidRPr="00B44B19">
              <w:rPr>
                <w:rFonts w:cs="Times New Roman"/>
                <w:sz w:val="22"/>
                <w:shd w:val="clear" w:color="auto" w:fill="FFFFFF"/>
              </w:rPr>
              <w:t xml:space="preserve"> tobulinamas ugdymo procesas profesinio mokymo įstaigose, remiami socialiai jautrių grupių mokiniai, tobulinama profesinio mokymo įstaigų pedagogų, švietimo pagalbos specialistų kvalifikacija.</w:t>
            </w:r>
          </w:p>
          <w:p w14:paraId="5E73065F" w14:textId="77777777" w:rsidR="00CF65A3" w:rsidRPr="00B44B19" w:rsidRDefault="00CF65A3" w:rsidP="00CF65A3">
            <w:pPr>
              <w:jc w:val="both"/>
              <w:rPr>
                <w:rFonts w:eastAsia="Times New Roman" w:cs="Times New Roman"/>
                <w:iCs/>
                <w:noProof/>
                <w:sz w:val="22"/>
              </w:rPr>
            </w:pPr>
            <w:r w:rsidRPr="00B44B19">
              <w:rPr>
                <w:rFonts w:eastAsia="Times New Roman" w:cs="Times New Roman"/>
                <w:sz w:val="22"/>
              </w:rPr>
              <w:t xml:space="preserve">Pasirenkama </w:t>
            </w:r>
            <w:r w:rsidRPr="00B44B19">
              <w:rPr>
                <w:rFonts w:eastAsia="Times New Roman" w:cs="Times New Roman"/>
                <w:b/>
                <w:sz w:val="22"/>
              </w:rPr>
              <w:t>finansavimo forma</w:t>
            </w:r>
            <w:r w:rsidRPr="00B44B19">
              <w:rPr>
                <w:rFonts w:eastAsia="Times New Roman" w:cs="Times New Roman"/>
                <w:sz w:val="22"/>
              </w:rPr>
              <w:t xml:space="preserve"> – </w:t>
            </w:r>
            <w:r w:rsidRPr="00B44B19">
              <w:rPr>
                <w:rFonts w:cs="Times New Roman"/>
                <w:noProof/>
                <w:sz w:val="22"/>
              </w:rPr>
              <w:t>dotacija, nes p</w:t>
            </w:r>
            <w:r w:rsidRPr="00B44B19">
              <w:rPr>
                <w:rFonts w:eastAsia="Times New Roman" w:cs="Times New Roman"/>
                <w:noProof/>
                <w:sz w:val="22"/>
              </w:rPr>
              <w:t>lanuojamos vykdyti veiklos susijusios su viešųjų paslaugų, kurios negeneruoja pajamų, teikimu.</w:t>
            </w:r>
          </w:p>
        </w:tc>
      </w:tr>
      <w:tr w:rsidR="00CF65A3" w:rsidRPr="00B44B19" w14:paraId="4DCAECA8" w14:textId="77777777" w:rsidTr="00EB70C3">
        <w:tc>
          <w:tcPr>
            <w:tcW w:w="1350" w:type="pct"/>
            <w:vMerge/>
          </w:tcPr>
          <w:p w14:paraId="0652099D" w14:textId="77777777" w:rsidR="00CF65A3" w:rsidRPr="00B44B19" w:rsidRDefault="00CF65A3" w:rsidP="00CF65A3">
            <w:pPr>
              <w:pStyle w:val="Sraopastraipa"/>
              <w:ind w:left="0" w:right="35"/>
              <w:rPr>
                <w:rFonts w:cs="Times New Roman"/>
                <w:b/>
                <w:bCs/>
                <w:iCs/>
                <w:sz w:val="22"/>
                <w:lang w:bidi="lt-LT"/>
              </w:rPr>
            </w:pPr>
          </w:p>
        </w:tc>
        <w:tc>
          <w:tcPr>
            <w:tcW w:w="1079" w:type="pct"/>
          </w:tcPr>
          <w:p w14:paraId="14477FD0" w14:textId="584B583F" w:rsidR="00CF65A3" w:rsidRPr="00B44B19" w:rsidRDefault="00CF65A3" w:rsidP="00CF65A3">
            <w:pPr>
              <w:rPr>
                <w:rFonts w:cs="Times New Roman"/>
                <w:bCs/>
                <w:iCs/>
                <w:sz w:val="22"/>
                <w:lang w:bidi="lt-LT"/>
              </w:rPr>
            </w:pPr>
            <w:r w:rsidRPr="00B44B19">
              <w:rPr>
                <w:rFonts w:cs="Times New Roman"/>
                <w:bCs/>
                <w:iCs/>
                <w:sz w:val="22"/>
                <w:lang w:bidi="lt-LT"/>
              </w:rPr>
              <w:t>4.4.</w:t>
            </w:r>
            <w:r w:rsidR="00710EAA">
              <w:rPr>
                <w:rFonts w:cs="Times New Roman"/>
                <w:bCs/>
                <w:iCs/>
                <w:sz w:val="22"/>
                <w:lang w:bidi="lt-LT"/>
              </w:rPr>
              <w:t>; 16.1.</w:t>
            </w:r>
            <w:r w:rsidRPr="00B44B19">
              <w:rPr>
                <w:rFonts w:cs="Times New Roman"/>
                <w:bCs/>
                <w:iCs/>
                <w:sz w:val="22"/>
                <w:lang w:bidi="lt-LT"/>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tc>
        <w:tc>
          <w:tcPr>
            <w:tcW w:w="2571" w:type="pct"/>
          </w:tcPr>
          <w:p w14:paraId="6EA77922" w14:textId="77777777" w:rsidR="00CF65A3" w:rsidRPr="00B44B19" w:rsidRDefault="00CF65A3" w:rsidP="00CF65A3">
            <w:pPr>
              <w:jc w:val="both"/>
              <w:rPr>
                <w:rFonts w:cs="Times New Roman"/>
                <w:bCs/>
                <w:iCs/>
                <w:sz w:val="22"/>
              </w:rPr>
            </w:pPr>
            <w:r w:rsidRPr="00B44B19">
              <w:rPr>
                <w:rFonts w:cs="Times New Roman"/>
                <w:bCs/>
                <w:iCs/>
                <w:sz w:val="22"/>
              </w:rPr>
              <w:t>Lietuvoje daug iššūkių kelia beveik nedidėjantis MVG rodiklis (2020 m. sudarė 5,9 %, o ES – 10,9 %), kurį lemia nepakankamas suaugusiųjų įsitraukimas į MVG veiklas ir teisingų visuomenės nuostatų MVG srityje nebuvimas. Lietuva yra viena iš 20 % ES valstybių su didžiausiais įgūdžių DR neatitikimais, kas atskleidžia profesinio orientavimo sistemos trūkumus, nepakankamą mokymo paslaugų pritaikymą ateities poreikiams. Demografinė kaita lemia mažėjančius žmogiškuosius išteklius ir tokiu būdu didina poreikį keisti ar lavinti darbingo amžiaus žmonių bei žemos kvalifikacijos suaugusiųjų kompetencijas. </w:t>
            </w:r>
          </w:p>
          <w:p w14:paraId="29DF0CF5" w14:textId="77777777" w:rsidR="00CF65A3" w:rsidRPr="00B44B19" w:rsidRDefault="00CF65A3" w:rsidP="00CF65A3">
            <w:pPr>
              <w:jc w:val="both"/>
              <w:rPr>
                <w:rFonts w:cs="Times New Roman"/>
                <w:bCs/>
                <w:iCs/>
                <w:sz w:val="22"/>
              </w:rPr>
            </w:pPr>
            <w:r w:rsidRPr="00B44B19">
              <w:rPr>
                <w:rFonts w:cs="Times New Roman"/>
                <w:bCs/>
                <w:iCs/>
                <w:sz w:val="22"/>
              </w:rPr>
              <w:t>Atsižvelgiant į iššūkius, numatoma plėtoti inovatyvią ir vieningą MVG sistemą, apimančią įvairias profesinio orientavimo, mokymosi, kompetencijų ir kvalifikacijų pripažinimo galimybes besimokantiems, dirbantiems ir nedirbantiems asmenims. Mokymosi galimybės atlieps šalies ekonominės raidos poreikius (papildomą dėmesį skiriant APV kompetencijų ugdymui), remiantis Žmogiškųjų išteklių sistemos informacija. Planuojama skirti daug dėmesio žemos kvalifikacijos suaugusių asmenų, migrantų, pabėgėlių ir kt. suaugusiųjų įgūdžių tobulinimui, siekiant didesnės jų atitikties aktualiems DR poreikiams, kartu ugdant žaliuosius įgūdžius. </w:t>
            </w:r>
          </w:p>
          <w:p w14:paraId="6D00D35D" w14:textId="77777777" w:rsidR="00CF65A3" w:rsidRPr="00B44B19" w:rsidRDefault="00CF65A3" w:rsidP="00CF65A3">
            <w:pPr>
              <w:jc w:val="both"/>
              <w:rPr>
                <w:rFonts w:cs="Times New Roman"/>
                <w:bCs/>
                <w:iCs/>
                <w:sz w:val="22"/>
              </w:rPr>
            </w:pPr>
            <w:r w:rsidRPr="00B44B19">
              <w:rPr>
                <w:rFonts w:cs="Times New Roman"/>
                <w:bCs/>
                <w:iCs/>
                <w:sz w:val="22"/>
              </w:rPr>
              <w:t xml:space="preserve">Šiais veiksmais siekiama prisidėti prie NPP tikslo, padidinti per pastarąsias 4 savaites </w:t>
            </w:r>
            <w:r w:rsidRPr="00B44B19">
              <w:rPr>
                <w:rFonts w:cs="Times New Roman"/>
                <w:bCs/>
                <w:iCs/>
                <w:sz w:val="22"/>
              </w:rPr>
              <w:lastRenderedPageBreak/>
              <w:t>besimokiusių 25–64 m. asmenų dalį nuo 6,9 % (2019 m.) iki 15 % (2030 m.). </w:t>
            </w:r>
          </w:p>
          <w:p w14:paraId="53B9981C" w14:textId="77777777" w:rsidR="00CF65A3" w:rsidRPr="00B44B19" w:rsidRDefault="00CF65A3" w:rsidP="00CF65A3">
            <w:pPr>
              <w:jc w:val="both"/>
              <w:rPr>
                <w:rFonts w:cs="Times New Roman"/>
                <w:bCs/>
                <w:iCs/>
                <w:sz w:val="22"/>
              </w:rPr>
            </w:pPr>
            <w:r w:rsidRPr="00B44B19">
              <w:rPr>
                <w:rFonts w:cs="Times New Roman"/>
                <w:bCs/>
                <w:iCs/>
                <w:sz w:val="22"/>
              </w:rPr>
              <w:t>Atsižvelgiant į geopolitinės situacijos pokyčius, numatoma stiprinti </w:t>
            </w:r>
            <w:r w:rsidRPr="00B44B19">
              <w:rPr>
                <w:rFonts w:cs="Times New Roman"/>
                <w:b/>
                <w:bCs/>
                <w:iCs/>
                <w:sz w:val="22"/>
              </w:rPr>
              <w:t>sveikatos priežiūros specialistų kompetencijas</w:t>
            </w:r>
            <w:r w:rsidRPr="00B44B19">
              <w:rPr>
                <w:rFonts w:cs="Times New Roman"/>
                <w:bCs/>
                <w:iCs/>
                <w:sz w:val="22"/>
              </w:rPr>
              <w:t>, kad jie galėtų operatyviai ir koordinuotai teikti paslaugas ekstremaliųjų situacijų ar konflikto metu. Taip pat bus organizuojami </w:t>
            </w:r>
            <w:r w:rsidRPr="00B44B19">
              <w:rPr>
                <w:rFonts w:cs="Times New Roman"/>
                <w:b/>
                <w:bCs/>
                <w:iCs/>
                <w:sz w:val="22"/>
              </w:rPr>
              <w:t>gyventojų sveikatos raštingumo ir psichologinio atsparumo didinimo mokymai</w:t>
            </w:r>
            <w:r w:rsidRPr="00B44B19">
              <w:rPr>
                <w:rFonts w:cs="Times New Roman"/>
                <w:bCs/>
                <w:iCs/>
                <w:sz w:val="22"/>
              </w:rPr>
              <w:t>, vykdomas </w:t>
            </w:r>
            <w:r w:rsidRPr="00B44B19">
              <w:rPr>
                <w:rFonts w:cs="Times New Roman"/>
                <w:b/>
                <w:bCs/>
                <w:iCs/>
                <w:sz w:val="22"/>
              </w:rPr>
              <w:t>gyventojų švietimas civilinės saugos klausimais, </w:t>
            </w:r>
            <w:r w:rsidRPr="00B44B19">
              <w:rPr>
                <w:rFonts w:cs="Times New Roman"/>
                <w:bCs/>
                <w:iCs/>
                <w:sz w:val="22"/>
              </w:rPr>
              <w:t>siekiant ugdyti praktinius parengties įgūdžius, stiprinant gebėjimus savarankiškai ir atsakingai veikti įvairių grėsmių metu. Civilinės saugos mokymai bus grindžiami </w:t>
            </w:r>
            <w:r w:rsidRPr="00B44B19">
              <w:rPr>
                <w:rFonts w:cs="Times New Roman"/>
                <w:b/>
                <w:bCs/>
                <w:iCs/>
                <w:sz w:val="22"/>
              </w:rPr>
              <w:t>BIVP metodu</w:t>
            </w:r>
            <w:r w:rsidRPr="00B44B19">
              <w:rPr>
                <w:rFonts w:cs="Times New Roman"/>
                <w:bCs/>
                <w:iCs/>
                <w:sz w:val="22"/>
              </w:rPr>
              <w:t>, užtikrinančiu aktyvų gyventojų įsitraukimą, praktinių gebėjimų formavimą ir bendruomeniškumo stiprinimą. </w:t>
            </w:r>
          </w:p>
          <w:p w14:paraId="120D57CC" w14:textId="77777777" w:rsidR="00CF65A3" w:rsidRPr="00B44B19" w:rsidRDefault="00CF65A3" w:rsidP="00CF65A3">
            <w:pPr>
              <w:jc w:val="both"/>
              <w:rPr>
                <w:rFonts w:cs="Times New Roman"/>
                <w:bCs/>
                <w:iCs/>
                <w:sz w:val="22"/>
              </w:rPr>
            </w:pPr>
            <w:r w:rsidRPr="00B44B19">
              <w:rPr>
                <w:rFonts w:cs="Times New Roman"/>
                <w:bCs/>
                <w:iCs/>
                <w:sz w:val="22"/>
              </w:rPr>
              <w:t>Pasirenkama </w:t>
            </w:r>
            <w:r w:rsidRPr="00B44B19">
              <w:rPr>
                <w:rFonts w:cs="Times New Roman"/>
                <w:b/>
                <w:bCs/>
                <w:iCs/>
                <w:sz w:val="22"/>
              </w:rPr>
              <w:t>finansavimo forma</w:t>
            </w:r>
            <w:r w:rsidRPr="00B44B19">
              <w:rPr>
                <w:rFonts w:cs="Times New Roman"/>
                <w:bCs/>
                <w:iCs/>
                <w:sz w:val="22"/>
              </w:rPr>
              <w:t> – dotacija, nes planuojamos vykdyti veiklos susijusios su viešųjų paslaugų, kurios negeneruoja pajamų, teikimu. </w:t>
            </w:r>
          </w:p>
          <w:p w14:paraId="24EDD69F" w14:textId="77777777" w:rsidR="00CF65A3" w:rsidRPr="00B44B19" w:rsidRDefault="00CF65A3" w:rsidP="00CF65A3">
            <w:pPr>
              <w:jc w:val="both"/>
              <w:rPr>
                <w:rFonts w:cs="Times New Roman"/>
                <w:bCs/>
                <w:iCs/>
                <w:sz w:val="22"/>
              </w:rPr>
            </w:pPr>
            <w:r w:rsidRPr="00B44B19">
              <w:rPr>
                <w:rFonts w:cs="Times New Roman"/>
                <w:bCs/>
                <w:iCs/>
                <w:sz w:val="22"/>
              </w:rPr>
              <w:t>Uždaviniu siekiama </w:t>
            </w:r>
            <w:r w:rsidRPr="00B44B19">
              <w:rPr>
                <w:rFonts w:cs="Times New Roman"/>
                <w:b/>
                <w:bCs/>
                <w:iCs/>
                <w:sz w:val="22"/>
              </w:rPr>
              <w:t>BJRS </w:t>
            </w:r>
            <w:r w:rsidRPr="00B44B19">
              <w:rPr>
                <w:rFonts w:cs="Times New Roman"/>
                <w:bCs/>
                <w:iCs/>
                <w:sz w:val="22"/>
              </w:rPr>
              <w:t>politinės srities „Švietimas“ tikslų, nes juo koncentruojamasi į mokymosi galimybių visiems sistemos tobulinimą. </w:t>
            </w:r>
          </w:p>
          <w:p w14:paraId="34D440E9" w14:textId="54072460" w:rsidR="00CF65A3" w:rsidRPr="00B44B19" w:rsidRDefault="00CF65A3" w:rsidP="00CF65A3">
            <w:pPr>
              <w:jc w:val="both"/>
              <w:rPr>
                <w:rFonts w:eastAsia="Times New Roman" w:cs="Times New Roman"/>
                <w:iCs/>
                <w:noProof/>
                <w:sz w:val="22"/>
              </w:rPr>
            </w:pPr>
          </w:p>
        </w:tc>
      </w:tr>
      <w:tr w:rsidR="00CF65A3" w:rsidRPr="00B44B19" w14:paraId="51077226" w14:textId="77777777" w:rsidTr="00EB70C3">
        <w:tc>
          <w:tcPr>
            <w:tcW w:w="1350" w:type="pct"/>
            <w:vMerge/>
          </w:tcPr>
          <w:p w14:paraId="7CE5C3D7" w14:textId="77777777" w:rsidR="00CF65A3" w:rsidRPr="00B44B19" w:rsidRDefault="00CF65A3" w:rsidP="00CF65A3">
            <w:pPr>
              <w:pStyle w:val="Sraopastraipa"/>
              <w:ind w:left="0" w:right="35"/>
              <w:rPr>
                <w:rFonts w:cs="Times New Roman"/>
                <w:b/>
                <w:bCs/>
                <w:iCs/>
                <w:sz w:val="22"/>
                <w:lang w:bidi="lt-LT"/>
              </w:rPr>
            </w:pPr>
          </w:p>
        </w:tc>
        <w:tc>
          <w:tcPr>
            <w:tcW w:w="1079" w:type="pct"/>
          </w:tcPr>
          <w:p w14:paraId="15971501" w14:textId="77777777" w:rsidR="00CF65A3" w:rsidRPr="00B44B19" w:rsidRDefault="00CF65A3" w:rsidP="00CF65A3">
            <w:pPr>
              <w:rPr>
                <w:rFonts w:cs="Times New Roman"/>
                <w:bCs/>
                <w:iCs/>
                <w:sz w:val="22"/>
                <w:lang w:bidi="lt-LT"/>
              </w:rPr>
            </w:pPr>
            <w:r w:rsidRPr="00B44B19">
              <w:rPr>
                <w:rFonts w:cs="Times New Roman"/>
                <w:bCs/>
                <w:iCs/>
                <w:sz w:val="22"/>
                <w:lang w:bidi="lt-LT"/>
              </w:rPr>
              <w:t>4.5. Gerinti vienodas galimybes naudotis įtraukiomis ir kokybiškomis švietimo, mokymo ir mokymosi visą gyvenimą paslaugomis plėtojant prieinamą infrastruktūrą, be kita ko, didinti atsparumą naudojantis nuotoliniu ir internetiniu švietimu bei mokymu (ERPF)</w:t>
            </w:r>
          </w:p>
        </w:tc>
        <w:tc>
          <w:tcPr>
            <w:tcW w:w="2571" w:type="pct"/>
          </w:tcPr>
          <w:p w14:paraId="600D919E"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Dalis įvairias negalias turinčių vaikų negali gauti kokybiškų ir jų poreikius atitinkančių švietimo paslaugų, nes tik vos pusės švietimo įstaigų aplinka yra pritaikyta ar iš dalies pritaikyta įvairias negalias turintiems asmenims. Numatoma investuoti į efektyviai veikiančių mokyklų aplinkos pritaikymą įvairias fizines negalias turinčių vaikų, jų tėvų ar globėjų, mokyklų personalo poreikiams.</w:t>
            </w:r>
          </w:p>
          <w:p w14:paraId="03983477"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Vaikų dalyvavimo ikimokykliniame ugdyme mastas mieste ir kaime labai skiriasi. Viena iš skirtumų priežasčių yra nutolusios ikimokyklinio ugdymo paslaugos kaimiškose vietovėse. Numatoma siekti didinti vaikų dalyvavimą ikimokykliniame ugdyme gerinant ikimokyklinio ugdymo prieinamumą kaimo vaikams.</w:t>
            </w:r>
          </w:p>
          <w:p w14:paraId="01217973"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Visos dienos mokyklų steigimas siejamas su geresniais mokymosi rezultatais, individualia mokymosi pažanga, socialine įtrauktimi ir lygiomis galimybėmis. Švietimo pagalbos centre būtų koncentruojamos tokios švietimo pagalbos funkcijos, kaip individulių ugdymosi poreikių vertinimas, rekomendacijų mokykloms teikimas, mokyklų konsultavimas, aprūpinimas metodinėmis ir individualiomis mokymosi priemonėmis.</w:t>
            </w:r>
          </w:p>
          <w:p w14:paraId="7C3CD770"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 xml:space="preserve">Lietuvos mokinių skaitymo gebėjimai, matematinis ir gamtamokslinis raštingumas yra statistiškai reikšmingai žemesni už EBPO vidurkį. Pasiekimų patikrinimo rezultatai labai skiriasi pagal </w:t>
            </w:r>
            <w:r w:rsidRPr="00B44B19">
              <w:rPr>
                <w:rFonts w:eastAsia="Calibri" w:cs="Times New Roman"/>
                <w:sz w:val="22"/>
                <w:lang w:eastAsia="lt-LT" w:bidi="lt-LT"/>
              </w:rPr>
              <w:lastRenderedPageBreak/>
              <w:t>gyvenamosios vietovės dydį. Tam didelę įtaką turi ugdymo aplinkos skirtumai. Tik apie trečdalis BU mokyklų turi gamtos ir tiksliųjų mokslų laboratorijas, o dalis esamų laboratorijų yra nešiuolaikiškos.</w:t>
            </w:r>
          </w:p>
          <w:p w14:paraId="4521D967" w14:textId="77777777" w:rsidR="00CF65A3" w:rsidRPr="00B44B19" w:rsidRDefault="00CF65A3" w:rsidP="00CF65A3">
            <w:pPr>
              <w:jc w:val="both"/>
              <w:rPr>
                <w:rFonts w:eastAsia="Calibri" w:cs="Times New Roman"/>
                <w:sz w:val="22"/>
                <w:lang w:eastAsia="lt-LT" w:bidi="lt-LT"/>
              </w:rPr>
            </w:pPr>
            <w:r w:rsidRPr="00B44B19">
              <w:rPr>
                <w:rFonts w:eastAsia="Calibri" w:cs="Times New Roman"/>
                <w:sz w:val="22"/>
                <w:lang w:eastAsia="lt-LT" w:bidi="lt-LT"/>
              </w:rPr>
              <w:t>Nedidėjantis MVG rodiklis (2019 m. sudarė 6,9 %), kuris yra dar mažesnis kaimo vietovėse (3,4 % 2017 m.), nes mažas žemos kvalifikacijos suaugusių asmenų, migrantų, pabėgėlių ir kt. įsitraukimas į DR, žymūs riboto profesinio mobilumo ir kvalifikuotų specialistų trūkumo keliami iššūkiai, todėl reikia aprūpinti praktiniam profesiniam mokymui regionuose reikalinga įranga ir priemonėmis.</w:t>
            </w:r>
          </w:p>
          <w:p w14:paraId="3E9E1138" w14:textId="77777777" w:rsidR="00CF65A3" w:rsidRPr="00B44B19" w:rsidRDefault="00CF65A3" w:rsidP="00CF65A3">
            <w:pPr>
              <w:jc w:val="both"/>
              <w:rPr>
                <w:rFonts w:eastAsia="Times New Roman" w:cs="Times New Roman"/>
                <w:iCs/>
                <w:noProof/>
                <w:sz w:val="22"/>
              </w:rPr>
            </w:pPr>
            <w:r w:rsidRPr="00B44B19">
              <w:rPr>
                <w:rFonts w:eastAsia="Calibri" w:cs="Times New Roman"/>
                <w:sz w:val="22"/>
                <w:lang w:eastAsia="lt-LT" w:bidi="lt-LT"/>
              </w:rPr>
              <w:t xml:space="preserve">Pasirenkama </w:t>
            </w:r>
            <w:r w:rsidRPr="00B44B19">
              <w:rPr>
                <w:rFonts w:eastAsia="Calibri" w:cs="Times New Roman"/>
                <w:b/>
                <w:sz w:val="22"/>
                <w:lang w:eastAsia="lt-LT" w:bidi="lt-LT"/>
              </w:rPr>
              <w:t>finansavimo forma</w:t>
            </w:r>
            <w:r w:rsidRPr="00B44B19">
              <w:rPr>
                <w:rFonts w:eastAsia="Calibri" w:cs="Times New Roman"/>
                <w:sz w:val="22"/>
                <w:lang w:eastAsia="lt-LT" w:bidi="lt-LT"/>
              </w:rPr>
              <w:t xml:space="preserve"> – dotacija, nes planuojamos vykdyti veiklos susijusios su viešųjų paslaugų, kurios negeneruoja pajamų, teikimu.</w:t>
            </w:r>
          </w:p>
        </w:tc>
      </w:tr>
      <w:tr w:rsidR="00CF65A3" w:rsidRPr="00B44B19" w14:paraId="2282BAB6" w14:textId="77777777" w:rsidTr="00EB70C3">
        <w:tc>
          <w:tcPr>
            <w:tcW w:w="1350" w:type="pct"/>
            <w:vMerge/>
          </w:tcPr>
          <w:p w14:paraId="25B30FB8" w14:textId="77777777" w:rsidR="00CF65A3" w:rsidRPr="00B44B19" w:rsidRDefault="00CF65A3" w:rsidP="00CF65A3">
            <w:pPr>
              <w:pStyle w:val="Sraopastraipa"/>
              <w:ind w:left="0" w:right="35"/>
              <w:rPr>
                <w:rFonts w:cs="Times New Roman"/>
                <w:b/>
                <w:bCs/>
                <w:iCs/>
                <w:sz w:val="22"/>
                <w:lang w:bidi="lt-LT"/>
              </w:rPr>
            </w:pPr>
          </w:p>
        </w:tc>
        <w:tc>
          <w:tcPr>
            <w:tcW w:w="1079" w:type="pct"/>
          </w:tcPr>
          <w:p w14:paraId="616EDF9B" w14:textId="77777777" w:rsidR="00CF65A3" w:rsidRPr="00B44B19" w:rsidRDefault="00CF65A3" w:rsidP="00CF65A3">
            <w:pPr>
              <w:rPr>
                <w:rFonts w:eastAsia="Times New Roman" w:cs="Times New Roman"/>
                <w:noProof/>
                <w:sz w:val="22"/>
              </w:rPr>
            </w:pPr>
            <w:r w:rsidRPr="00B44B19">
              <w:rPr>
                <w:rFonts w:cs="Times New Roman"/>
                <w:bCs/>
                <w:iCs/>
                <w:sz w:val="22"/>
                <w:lang w:bidi="lt-LT"/>
              </w:rPr>
              <w:t xml:space="preserve">4.6. Stiprinti </w:t>
            </w:r>
            <w:r w:rsidRPr="00B44B19">
              <w:rPr>
                <w:rFonts w:eastAsia="Times New Roman" w:cs="Times New Roman"/>
                <w:noProof/>
                <w:sz w:val="22"/>
              </w:rPr>
              <w:t>kultūros ir darnaus turizmo vaidmenį ekonominės plėtros, socialinės įtraukties ir socialinių inovacijų srityse</w:t>
            </w:r>
          </w:p>
        </w:tc>
        <w:tc>
          <w:tcPr>
            <w:tcW w:w="2571" w:type="pct"/>
          </w:tcPr>
          <w:p w14:paraId="75852E5F" w14:textId="77777777" w:rsidR="00CF65A3" w:rsidRPr="00B44B19" w:rsidRDefault="00CF65A3" w:rsidP="00CF65A3">
            <w:pPr>
              <w:jc w:val="both"/>
              <w:rPr>
                <w:rFonts w:cs="Times New Roman"/>
                <w:sz w:val="22"/>
              </w:rPr>
            </w:pPr>
            <w:r w:rsidRPr="00B44B19">
              <w:rPr>
                <w:rFonts w:cs="Times New Roman"/>
                <w:sz w:val="22"/>
              </w:rPr>
              <w:t xml:space="preserve">Kultūros sektoriaus kuriama vertė ir potencialas bus </w:t>
            </w:r>
            <w:r w:rsidRPr="00B44B19">
              <w:rPr>
                <w:rFonts w:cs="Times New Roman"/>
                <w:bCs/>
                <w:sz w:val="22"/>
              </w:rPr>
              <w:t xml:space="preserve">panaudojami socialiniams iššūkiams spręsti ir socialiniam ir ekonominiam tvarumui stiprinti, taip pat didinamas ir paties kultūros sektoriaus, įskaitant KKI, gyvybingumas ir atsparumas, gerinant kultūros prieinamumą ir socialinę įtrauktį. </w:t>
            </w:r>
          </w:p>
          <w:p w14:paraId="1150F664" w14:textId="77777777" w:rsidR="00CF65A3" w:rsidRPr="00B44B19" w:rsidRDefault="00CF65A3" w:rsidP="00CF65A3">
            <w:pPr>
              <w:jc w:val="both"/>
              <w:rPr>
                <w:rFonts w:cs="Times New Roman"/>
                <w:sz w:val="22"/>
              </w:rPr>
            </w:pPr>
            <w:r w:rsidRPr="00B44B19">
              <w:rPr>
                <w:rFonts w:cs="Times New Roman"/>
                <w:sz w:val="22"/>
              </w:rPr>
              <w:t xml:space="preserve">Pandemija sustabdė KKI sektoriaus plėtrą, padidino nedarbą, ypač pažeidžiamiausiose grupėse, tokiose kaip jaunimas, savarankiškai dirbantys asmenys ir mažos įmonės, didžioji dalis KKI sektoriaus kūrėjų ir mažų įmonių susidūrė su veiklos tęstinumo iššūkiais (išankstiniai EK skaičiavimai rodo, kad dėl pandemijos 2020 m. kūrybos ir kultūros sektorių ekosistemų apyvarta sumažėjo 50–80 %). </w:t>
            </w:r>
          </w:p>
          <w:p w14:paraId="6A0901D0" w14:textId="77777777" w:rsidR="00CF65A3" w:rsidRPr="00B44B19" w:rsidRDefault="00CF65A3" w:rsidP="00CF65A3">
            <w:pPr>
              <w:jc w:val="both"/>
              <w:rPr>
                <w:rFonts w:cs="Times New Roman"/>
                <w:sz w:val="22"/>
              </w:rPr>
            </w:pPr>
            <w:r w:rsidRPr="00B44B19">
              <w:rPr>
                <w:rFonts w:cs="Times New Roman"/>
                <w:bCs/>
                <w:sz w:val="22"/>
              </w:rPr>
              <w:t xml:space="preserve">Pandeminė situacija itin sumažino kultūros paslaugų prieinamumą (dėl kultūros objektų priklausomybės nuo fizinio lankytojų srauto), </w:t>
            </w:r>
            <w:r w:rsidRPr="00B44B19">
              <w:rPr>
                <w:rFonts w:cs="Times New Roman"/>
                <w:sz w:val="22"/>
              </w:rPr>
              <w:t>ypač pažeidžiamoms gyventojų grupėms, ir išryškino galimybių pasinaudoti paslaugomis iššūkius nepriklausomai nuo gyvenamosios vietos ar turint tam tikrų apribojimų (amžiaus, negalios ir pan.).</w:t>
            </w:r>
          </w:p>
          <w:p w14:paraId="0BB5D708" w14:textId="5E56275D" w:rsidR="00C64771" w:rsidRPr="00B44B19" w:rsidRDefault="00C64771" w:rsidP="00CF65A3">
            <w:pPr>
              <w:jc w:val="both"/>
              <w:rPr>
                <w:rFonts w:cs="Times New Roman"/>
                <w:color w:val="000000" w:themeColor="text1"/>
                <w:sz w:val="22"/>
              </w:rPr>
            </w:pPr>
            <w:r w:rsidRPr="00B44B19">
              <w:rPr>
                <w:rFonts w:cs="Times New Roman"/>
                <w:bCs/>
                <w:color w:val="000000" w:themeColor="text1"/>
                <w:sz w:val="22"/>
              </w:rPr>
              <w:t xml:space="preserve">Pasikeitus geopolitinei situacijai, Lietuvai, kaip pasienio valstybei, besiribojančiai su priešiškai nusiteikusiomis valstybėmis Rusija ir Baltarusija, svarbu finansuoti kultūros vertybių apsaugą. </w:t>
            </w:r>
          </w:p>
          <w:p w14:paraId="76977E32" w14:textId="228D8485" w:rsidR="00CF65A3" w:rsidRPr="00B44B19" w:rsidRDefault="00CF65A3" w:rsidP="00CF65A3">
            <w:pPr>
              <w:jc w:val="both"/>
              <w:rPr>
                <w:rFonts w:cs="Times New Roman"/>
                <w:sz w:val="22"/>
              </w:rPr>
            </w:pPr>
            <w:r w:rsidRPr="00B44B19">
              <w:rPr>
                <w:rFonts w:cs="Times New Roman"/>
                <w:b/>
                <w:sz w:val="22"/>
              </w:rPr>
              <w:t>Atsižvelgiant į nurodytus iššūkius, didžiausias prioritetas teikiamas priemonėms, kuriomis</w:t>
            </w:r>
            <w:r w:rsidRPr="00B44B19">
              <w:rPr>
                <w:rFonts w:cs="Times New Roman"/>
                <w:sz w:val="22"/>
              </w:rPr>
              <w:t xml:space="preserve"> </w:t>
            </w:r>
            <w:r w:rsidRPr="00B44B19">
              <w:rPr>
                <w:rFonts w:cs="Times New Roman"/>
                <w:b/>
                <w:sz w:val="22"/>
              </w:rPr>
              <w:t>siekiama</w:t>
            </w:r>
            <w:r w:rsidRPr="00B44B19">
              <w:rPr>
                <w:rFonts w:cs="Times New Roman"/>
                <w:sz w:val="22"/>
              </w:rPr>
              <w:t>: 1) platesnio kultūros potencialo panaudojimo socialiniams iššūkiams spręsti ir socialiniam, ir ekonominiam tvarumui stiprinti; 2) kultūros sektoriaus, įskaitant KKI, gyvybingumo ir atsparumo didinimo, didinant kultūros prieinamumą ir socialinę įtrauktį, tvarų užimtumą.</w:t>
            </w:r>
          </w:p>
          <w:p w14:paraId="2CD14B1D" w14:textId="34A61683" w:rsidR="00CF65A3" w:rsidRPr="00B44B19" w:rsidRDefault="00CF65A3" w:rsidP="00CF65A3">
            <w:pPr>
              <w:jc w:val="both"/>
              <w:rPr>
                <w:rFonts w:cs="Times New Roman"/>
                <w:bCs/>
                <w:iCs/>
                <w:sz w:val="22"/>
              </w:rPr>
            </w:pPr>
            <w:r w:rsidRPr="00B44B19">
              <w:rPr>
                <w:rFonts w:cs="Times New Roman"/>
                <w:iCs/>
                <w:sz w:val="22"/>
              </w:rPr>
              <w:t xml:space="preserve">Pasirenkama </w:t>
            </w:r>
            <w:r w:rsidRPr="00B44B19">
              <w:rPr>
                <w:rFonts w:cs="Times New Roman"/>
                <w:b/>
                <w:iCs/>
                <w:sz w:val="22"/>
              </w:rPr>
              <w:t>finansavimo forma</w:t>
            </w:r>
            <w:r w:rsidRPr="00B44B19">
              <w:rPr>
                <w:rFonts w:cs="Times New Roman"/>
                <w:iCs/>
                <w:sz w:val="22"/>
              </w:rPr>
              <w:t xml:space="preserve"> – </w:t>
            </w:r>
            <w:r w:rsidRPr="00B44B19">
              <w:rPr>
                <w:rFonts w:cs="Times New Roman"/>
                <w:bCs/>
                <w:iCs/>
                <w:sz w:val="22"/>
              </w:rPr>
              <w:t>daliai veiklų įgyvendinti planuojamos dotacijos</w:t>
            </w:r>
            <w:r w:rsidRPr="00B44B19">
              <w:rPr>
                <w:rFonts w:cs="Times New Roman"/>
                <w:iCs/>
                <w:sz w:val="22"/>
              </w:rPr>
              <w:t xml:space="preserve"> kaip skatinamojo poveikio priemonė, taip pat toms veikloms, kurios susijusios su viešųjų paslaugų teikimu ir negeneruoja </w:t>
            </w:r>
            <w:r w:rsidRPr="00B44B19">
              <w:rPr>
                <w:rFonts w:cs="Times New Roman"/>
                <w:iCs/>
                <w:sz w:val="22"/>
              </w:rPr>
              <w:lastRenderedPageBreak/>
              <w:t>grynųjų pajamų</w:t>
            </w:r>
            <w:r w:rsidRPr="00B44B19">
              <w:rPr>
                <w:rFonts w:cs="Times New Roman"/>
                <w:bCs/>
                <w:iCs/>
                <w:sz w:val="22"/>
              </w:rPr>
              <w:t>; kitai daliai veiklų, kurios pagal išankstinį vertinimą yra laikomos finansiškai gyvybingomis, taikomos finansinės priemonės (paskola).</w:t>
            </w:r>
            <w:r w:rsidRPr="00B44B19">
              <w:rPr>
                <w:rFonts w:cs="Times New Roman"/>
                <w:sz w:val="22"/>
              </w:rPr>
              <w:t xml:space="preserve"> </w:t>
            </w:r>
            <w:r w:rsidRPr="00B44B19">
              <w:rPr>
                <w:rFonts w:cs="Times New Roman"/>
                <w:bCs/>
                <w:iCs/>
                <w:sz w:val="22"/>
              </w:rPr>
              <w:t xml:space="preserve">Veikloje „Kultūros infrastruktūros ir paveldo objektų lankstus pritaikymas </w:t>
            </w:r>
            <w:r w:rsidRPr="00B44B19">
              <w:rPr>
                <w:rFonts w:cs="Times New Roman"/>
                <w:iCs/>
                <w:sz w:val="22"/>
              </w:rPr>
              <w:t>įvairių socialinių grupių poreikiams“</w:t>
            </w:r>
            <w:r w:rsidRPr="00B44B19">
              <w:rPr>
                <w:rFonts w:cs="Times New Roman"/>
                <w:bCs/>
                <w:iCs/>
                <w:sz w:val="22"/>
              </w:rPr>
              <w:t xml:space="preserve"> finansinę priemonę planuojama derinti su dotacija. </w:t>
            </w:r>
          </w:p>
          <w:p w14:paraId="743B5041" w14:textId="77777777" w:rsidR="00CF65A3" w:rsidRPr="00B44B19" w:rsidRDefault="00CF65A3" w:rsidP="00CF65A3">
            <w:pPr>
              <w:jc w:val="both"/>
              <w:rPr>
                <w:rFonts w:eastAsia="Times New Roman" w:cs="Times New Roman"/>
                <w:iCs/>
                <w:noProof/>
                <w:sz w:val="22"/>
              </w:rPr>
            </w:pPr>
            <w:r w:rsidRPr="00B44B19">
              <w:rPr>
                <w:rFonts w:eastAsia="Times New Roman" w:cs="Times New Roman"/>
                <w:bCs/>
                <w:iCs/>
                <w:noProof/>
                <w:sz w:val="22"/>
              </w:rPr>
              <w:t xml:space="preserve">Uždaviniu prisidedama prie </w:t>
            </w:r>
            <w:r w:rsidRPr="00B44B19">
              <w:rPr>
                <w:rFonts w:eastAsia="Times New Roman" w:cs="Times New Roman"/>
                <w:b/>
                <w:iCs/>
                <w:noProof/>
                <w:sz w:val="22"/>
              </w:rPr>
              <w:t>BJRS</w:t>
            </w:r>
            <w:r w:rsidRPr="00B44B19">
              <w:rPr>
                <w:rFonts w:eastAsia="Times New Roman" w:cs="Times New Roman"/>
                <w:bCs/>
                <w:iCs/>
                <w:noProof/>
                <w:sz w:val="22"/>
              </w:rPr>
              <w:t xml:space="preserve"> politinių sričių „Turizmas“ ir „Kultūra“.</w:t>
            </w:r>
          </w:p>
        </w:tc>
      </w:tr>
      <w:tr w:rsidR="00CF65A3" w:rsidRPr="00B44B19" w14:paraId="1816A66C" w14:textId="77777777" w:rsidTr="00EB70C3">
        <w:tc>
          <w:tcPr>
            <w:tcW w:w="1350" w:type="pct"/>
            <w:vMerge/>
          </w:tcPr>
          <w:p w14:paraId="0C419D94" w14:textId="77777777" w:rsidR="00CF65A3" w:rsidRPr="00B44B19" w:rsidRDefault="00CF65A3" w:rsidP="00CF65A3">
            <w:pPr>
              <w:pStyle w:val="Sraopastraipa"/>
              <w:ind w:left="0" w:right="35"/>
              <w:rPr>
                <w:rFonts w:cs="Times New Roman"/>
                <w:b/>
                <w:bCs/>
                <w:iCs/>
                <w:sz w:val="22"/>
                <w:lang w:bidi="lt-LT"/>
              </w:rPr>
            </w:pPr>
          </w:p>
        </w:tc>
        <w:tc>
          <w:tcPr>
            <w:tcW w:w="1079" w:type="pct"/>
          </w:tcPr>
          <w:p w14:paraId="4C46F8DA" w14:textId="77777777" w:rsidR="00CF65A3" w:rsidRPr="00B44B19" w:rsidRDefault="00CF65A3" w:rsidP="00CF65A3">
            <w:pPr>
              <w:rPr>
                <w:rFonts w:cs="Times New Roman"/>
                <w:bCs/>
                <w:iCs/>
                <w:sz w:val="22"/>
                <w:lang w:bidi="lt-LT"/>
              </w:rPr>
            </w:pPr>
            <w:r w:rsidRPr="00B44B19">
              <w:rPr>
                <w:rFonts w:cs="Times New Roman"/>
                <w:bCs/>
                <w:iCs/>
                <w:sz w:val="22"/>
                <w:lang w:bidi="lt-LT"/>
              </w:rPr>
              <w:t>4.7. Skatinti aktyvią įtrauktį, siekiant propaguoti lygias galimybes, nediskriminavimą ir aktyvų dalyvavimą, ir gerinti įsidarbinamumą, ypač palankių sąlygų neturinčių grupių</w:t>
            </w:r>
          </w:p>
        </w:tc>
        <w:tc>
          <w:tcPr>
            <w:tcW w:w="2571" w:type="pct"/>
          </w:tcPr>
          <w:p w14:paraId="59C5A4FA" w14:textId="77777777" w:rsidR="00CF65A3" w:rsidRPr="00B44B19" w:rsidRDefault="00CF65A3" w:rsidP="00CF65A3">
            <w:pPr>
              <w:pStyle w:val="Default"/>
              <w:jc w:val="both"/>
              <w:rPr>
                <w:color w:val="auto"/>
                <w:sz w:val="22"/>
                <w:szCs w:val="22"/>
                <w:lang w:eastAsia="lt-LT"/>
              </w:rPr>
            </w:pPr>
            <w:r w:rsidRPr="00B44B19">
              <w:rPr>
                <w:b/>
                <w:color w:val="auto"/>
                <w:sz w:val="22"/>
                <w:szCs w:val="22"/>
                <w:lang w:eastAsia="lt-LT"/>
              </w:rPr>
              <w:t xml:space="preserve">TR’2019 raginama </w:t>
            </w:r>
            <w:r w:rsidRPr="00B44B19">
              <w:rPr>
                <w:sz w:val="22"/>
                <w:szCs w:val="22"/>
              </w:rPr>
              <w:t>mažinti pajamų nelygybę, skurdą ir socialinę atskirtį, be kita ko, gerinant mokesčių ir socialinių išmokų sistemos struktūrą.</w:t>
            </w:r>
          </w:p>
          <w:p w14:paraId="0E56E63C" w14:textId="77777777" w:rsidR="00CF65A3" w:rsidRPr="00B44B19" w:rsidRDefault="00CF65A3" w:rsidP="00CF65A3">
            <w:pPr>
              <w:pStyle w:val="Default"/>
              <w:jc w:val="both"/>
              <w:rPr>
                <w:color w:val="auto"/>
                <w:sz w:val="22"/>
                <w:szCs w:val="22"/>
                <w:lang w:eastAsia="lt-LT"/>
              </w:rPr>
            </w:pPr>
            <w:r w:rsidRPr="00B44B19">
              <w:rPr>
                <w:color w:val="auto"/>
                <w:sz w:val="22"/>
                <w:szCs w:val="22"/>
                <w:lang w:eastAsia="lt-LT"/>
              </w:rPr>
              <w:t>Lietuvos skurdo rodikliai yra vieni didžiausių ES, todėl turi būti užtikrinama pagalba tiems, kurie yra jautresni socialiniams, ekonominiams iššūkiams bei rizikoms – socialiai pažeidžiamiems, socialinę atskirtį ar riziką patiriantiems asmenims, atskirą dėmesį skiriant mažiau galimybių turintiems jaunuoliams, grįžusiems iš įkalinimo įstaigų asmenims, benamiams.</w:t>
            </w:r>
          </w:p>
          <w:p w14:paraId="36CB565A" w14:textId="77777777" w:rsidR="00CF65A3" w:rsidRPr="00B44B19" w:rsidRDefault="00CF65A3" w:rsidP="00CF65A3">
            <w:pPr>
              <w:pStyle w:val="Default"/>
              <w:jc w:val="both"/>
              <w:rPr>
                <w:rFonts w:eastAsia="Calibri"/>
                <w:bCs/>
                <w:color w:val="auto"/>
                <w:sz w:val="22"/>
                <w:szCs w:val="22"/>
                <w:lang w:eastAsia="lt-LT" w:bidi="lt-LT"/>
              </w:rPr>
            </w:pPr>
            <w:r w:rsidRPr="00B44B19">
              <w:rPr>
                <w:rFonts w:eastAsia="Calibri"/>
                <w:bCs/>
                <w:color w:val="auto"/>
                <w:sz w:val="22"/>
                <w:szCs w:val="22"/>
                <w:lang w:eastAsia="lt-LT" w:bidi="lt-LT"/>
              </w:rPr>
              <w:t>Lyčių lygybės indekso 2020 m. duomenimis, Lietuva ES lyčių lygybės indekse užima 22 vietą (jos rodiklis yra 56,3 iš 100 balų ir jos balas yra 11,6 balo mažesnis nei ES vidurkis). Nuo 2010 m. Lietuvos balas paaugo tik 1,4 balo (nuo 2017 m. 0,8 balo) ir pagal vertinimą šalis nukrito per keturias vietas. Svarbu s</w:t>
            </w:r>
            <w:r w:rsidRPr="00B44B19">
              <w:rPr>
                <w:rFonts w:eastAsia="Calibri"/>
                <w:color w:val="auto"/>
                <w:sz w:val="22"/>
                <w:szCs w:val="22"/>
              </w:rPr>
              <w:t>katinti moterų ir vyrų lygybę ir mažinti smurto apraiška artimoje aplinkoje, siekiant gerinti žmogaus teisių padėtį ir šalinti seksizmo padarinius.</w:t>
            </w:r>
          </w:p>
          <w:p w14:paraId="31BC8A45" w14:textId="77777777" w:rsidR="00CF65A3" w:rsidRPr="00B44B19" w:rsidRDefault="00CF65A3" w:rsidP="00CF65A3">
            <w:pPr>
              <w:pStyle w:val="Default"/>
              <w:jc w:val="both"/>
              <w:rPr>
                <w:rFonts w:eastAsia="Times New Roman"/>
                <w:color w:val="auto"/>
                <w:sz w:val="22"/>
              </w:rPr>
            </w:pPr>
            <w:r w:rsidRPr="00B44B19">
              <w:rPr>
                <w:color w:val="auto"/>
                <w:sz w:val="22"/>
              </w:rPr>
              <w:t>Dalyvavimas savanoriškoje veikloje Lietuvoje yra mažiau paplitęs nei ES. 2019 m. duomenimis, savanoriškoje veikloje dalyvavo 15</w:t>
            </w:r>
            <w:r w:rsidRPr="00B44B19">
              <w:rPr>
                <w:color w:val="auto"/>
              </w:rPr>
              <w:t> %</w:t>
            </w:r>
            <w:r w:rsidRPr="00B44B19">
              <w:rPr>
                <w:color w:val="auto"/>
                <w:sz w:val="22"/>
              </w:rPr>
              <w:t xml:space="preserve"> Lietuvos gyventojų. Todėl svarbu stiprinti savanoriškos veiklos organizavimą ir jos poveikį socialinės rizikos ir atskirties mažinimui, sukuriant savanoriškos tarnybos modelį. </w:t>
            </w:r>
            <w:r w:rsidRPr="00B44B19">
              <w:rPr>
                <w:rFonts w:eastAsia="Times New Roman"/>
                <w:color w:val="auto"/>
                <w:sz w:val="22"/>
              </w:rPr>
              <w:t>Į aktualių gyventojų skurdo ir atskirties problemų sprendimą įtraukti vietos bendruomenes.</w:t>
            </w:r>
          </w:p>
          <w:p w14:paraId="29114F29" w14:textId="77777777" w:rsidR="00CF65A3" w:rsidRPr="00B44B19" w:rsidRDefault="00CF65A3" w:rsidP="00CF65A3">
            <w:pPr>
              <w:jc w:val="both"/>
              <w:rPr>
                <w:rFonts w:cs="Times New Roman"/>
                <w:sz w:val="22"/>
              </w:rPr>
            </w:pPr>
            <w:r w:rsidRPr="00B44B19">
              <w:rPr>
                <w:rFonts w:cs="Times New Roman"/>
                <w:sz w:val="22"/>
              </w:rPr>
              <w:t xml:space="preserve">Planuojama </w:t>
            </w:r>
            <w:r w:rsidRPr="00B44B19">
              <w:rPr>
                <w:rFonts w:cs="Times New Roman"/>
                <w:b/>
                <w:sz w:val="22"/>
              </w:rPr>
              <w:t>finansavimo forma</w:t>
            </w:r>
            <w:r w:rsidRPr="00B44B19">
              <w:rPr>
                <w:rFonts w:cs="Times New Roman"/>
                <w:sz w:val="22"/>
              </w:rPr>
              <w:t xml:space="preserve"> – dotacija.</w:t>
            </w:r>
            <w:r w:rsidRPr="00B44B19">
              <w:rPr>
                <w:rFonts w:cs="Times New Roman"/>
                <w:b/>
                <w:sz w:val="22"/>
              </w:rPr>
              <w:t xml:space="preserve"> </w:t>
            </w:r>
            <w:r w:rsidRPr="00B44B19">
              <w:rPr>
                <w:rFonts w:cs="Times New Roman"/>
                <w:sz w:val="22"/>
              </w:rPr>
              <w:t>Planuojamos vykdyti veiklos negeneruos pajamų, todėl joms neplanuojama taikyti finansinių priemonių.</w:t>
            </w:r>
          </w:p>
        </w:tc>
      </w:tr>
      <w:tr w:rsidR="00CF65A3" w:rsidRPr="00B44B19" w14:paraId="74DF009D" w14:textId="77777777" w:rsidTr="00EB70C3">
        <w:tc>
          <w:tcPr>
            <w:tcW w:w="1350" w:type="pct"/>
            <w:vMerge/>
          </w:tcPr>
          <w:p w14:paraId="37FB3E7F" w14:textId="77777777" w:rsidR="00CF65A3" w:rsidRPr="00B44B19" w:rsidRDefault="00CF65A3" w:rsidP="00CF65A3">
            <w:pPr>
              <w:pStyle w:val="Sraopastraipa"/>
              <w:ind w:left="0" w:right="35"/>
              <w:rPr>
                <w:rFonts w:cs="Times New Roman"/>
                <w:b/>
                <w:bCs/>
                <w:iCs/>
                <w:sz w:val="22"/>
                <w:lang w:bidi="lt-LT"/>
              </w:rPr>
            </w:pPr>
          </w:p>
        </w:tc>
        <w:tc>
          <w:tcPr>
            <w:tcW w:w="1079" w:type="pct"/>
          </w:tcPr>
          <w:p w14:paraId="3C996FFE" w14:textId="77777777" w:rsidR="00CF65A3" w:rsidRPr="00B44B19" w:rsidRDefault="00CF65A3" w:rsidP="00CF65A3">
            <w:pPr>
              <w:rPr>
                <w:rFonts w:cs="Times New Roman"/>
                <w:bCs/>
                <w:iCs/>
                <w:sz w:val="22"/>
                <w:lang w:bidi="lt-LT"/>
              </w:rPr>
            </w:pPr>
            <w:r w:rsidRPr="00B44B19">
              <w:rPr>
                <w:rFonts w:cs="Times New Roman"/>
                <w:bCs/>
                <w:iCs/>
                <w:sz w:val="22"/>
                <w:lang w:bidi="lt-LT"/>
              </w:rPr>
              <w:t xml:space="preserve">4.8. Suteikti daugiau vienodų galimybių už prieinamą kainą laiku gauti kokybiškas ir tvarias paslaugas, įskaitant paslaugas, kuriomis skatinamos galimybės gauti būstą ir į asmenį orientuotą priežiūrą, įskaitant sveikatos priežiūrą; </w:t>
            </w:r>
            <w:r w:rsidRPr="00B44B19">
              <w:rPr>
                <w:rFonts w:cs="Times New Roman"/>
                <w:bCs/>
                <w:iCs/>
                <w:sz w:val="22"/>
                <w:lang w:bidi="lt-LT"/>
              </w:rPr>
              <w:lastRenderedPageBreak/>
              <w:t>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c>
          <w:tcPr>
            <w:tcW w:w="2571" w:type="pct"/>
          </w:tcPr>
          <w:p w14:paraId="656A45A7"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b/>
                <w:noProof/>
                <w:sz w:val="22"/>
                <w:lang w:eastAsia="lt-LT" w:bidi="lt-LT"/>
              </w:rPr>
              <w:lastRenderedPageBreak/>
              <w:t xml:space="preserve">TR’2020 </w:t>
            </w:r>
            <w:r w:rsidRPr="00B44B19">
              <w:rPr>
                <w:rFonts w:eastAsia="Calibri" w:cs="Times New Roman"/>
                <w:noProof/>
                <w:sz w:val="22"/>
                <w:lang w:eastAsia="lt-LT" w:bidi="lt-LT"/>
              </w:rPr>
              <w:t>raginama</w:t>
            </w:r>
            <w:r w:rsidRPr="00B44B19">
              <w:rPr>
                <w:rFonts w:eastAsia="Calibri" w:cs="Times New Roman"/>
                <w:b/>
                <w:noProof/>
                <w:sz w:val="22"/>
                <w:lang w:eastAsia="lt-LT" w:bidi="lt-LT"/>
              </w:rPr>
              <w:t xml:space="preserve"> </w:t>
            </w:r>
            <w:r w:rsidRPr="00B44B19">
              <w:rPr>
                <w:rFonts w:eastAsia="Calibri" w:cs="Times New Roman"/>
                <w:noProof/>
                <w:sz w:val="22"/>
                <w:lang w:eastAsia="lt-LT" w:bidi="lt-LT"/>
              </w:rPr>
              <w:t xml:space="preserve">užtikrinti minimalios socialinės apsaugos sistemos aprėptį bei adekvatumą. </w:t>
            </w:r>
          </w:p>
          <w:p w14:paraId="38FF0477"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Tėvų globos netekusių vaikų bei intelekto ir (ar) psichikos negalią turinčių asmenų institucinės globos pertvarka išlieka iššūkiu. Reikia</w:t>
            </w:r>
            <w:r w:rsidRPr="00B44B19" w:rsidDel="00DC5E3B">
              <w:rPr>
                <w:rFonts w:eastAsia="Calibri" w:cs="Times New Roman"/>
                <w:noProof/>
                <w:sz w:val="22"/>
                <w:lang w:eastAsia="lt-LT" w:bidi="lt-LT"/>
              </w:rPr>
              <w:t xml:space="preserve"> </w:t>
            </w:r>
            <w:r w:rsidRPr="00B44B19">
              <w:rPr>
                <w:rFonts w:eastAsia="Calibri" w:cs="Times New Roman"/>
                <w:b/>
                <w:noProof/>
                <w:sz w:val="22"/>
                <w:lang w:eastAsia="lt-LT" w:bidi="lt-LT"/>
              </w:rPr>
              <w:t xml:space="preserve">plėtoti </w:t>
            </w:r>
            <w:r w:rsidRPr="00B44B19">
              <w:rPr>
                <w:rFonts w:eastAsia="Calibri" w:cs="Times New Roman"/>
                <w:noProof/>
                <w:sz w:val="22"/>
                <w:lang w:eastAsia="lt-LT" w:bidi="lt-LT"/>
              </w:rPr>
              <w:t>šeimoje ir bendruomenėje teikiamas paslaugas ir joms reikalingą infrastruktūrą, skatinti vaikų globą ir įvaikinimą šeimoje.</w:t>
            </w:r>
          </w:p>
          <w:p w14:paraId="2A5B192E"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Vaiko teisių užtikrinimas ir apsauga Lietuvoje yra prioritetinis klausimas. Lietuvoje vaikų, kuriems gresia skurdo ir (ar) socialinės atskirties rizika rodiklis viršija ES27 vidurkį ir 2019 m. siekė 26,5 %. Svarbu </w:t>
            </w:r>
            <w:r w:rsidRPr="00B44B19">
              <w:rPr>
                <w:rFonts w:eastAsia="Calibri" w:cs="Times New Roman"/>
                <w:b/>
                <w:noProof/>
                <w:sz w:val="22"/>
                <w:lang w:eastAsia="lt-LT" w:bidi="lt-LT"/>
              </w:rPr>
              <w:t xml:space="preserve">užtikrinti tinkamą visų vaikų, ypač susiduriančių </w:t>
            </w:r>
            <w:r w:rsidRPr="00B44B19">
              <w:rPr>
                <w:rFonts w:eastAsia="Calibri" w:cs="Times New Roman"/>
                <w:b/>
                <w:noProof/>
                <w:sz w:val="22"/>
                <w:lang w:eastAsia="lt-LT" w:bidi="lt-LT"/>
              </w:rPr>
              <w:lastRenderedPageBreak/>
              <w:t>su skurdo arba socialinės atskirties rizika, teisių įgyvendinimą</w:t>
            </w:r>
            <w:r w:rsidRPr="00B44B19">
              <w:rPr>
                <w:rFonts w:eastAsia="Calibri" w:cs="Times New Roman"/>
                <w:noProof/>
                <w:sz w:val="22"/>
                <w:lang w:eastAsia="lt-LT" w:bidi="lt-LT"/>
              </w:rPr>
              <w:t>, kurti palankią aplinką vaikui ir šeimai.</w:t>
            </w:r>
          </w:p>
          <w:p w14:paraId="03E1CC49"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b/>
                <w:noProof/>
                <w:sz w:val="22"/>
                <w:lang w:eastAsia="lt-LT" w:bidi="lt-LT"/>
              </w:rPr>
              <w:t>Socialinių paslaugų prieinamumas ir kokybė</w:t>
            </w:r>
            <w:r w:rsidRPr="00B44B19">
              <w:rPr>
                <w:rFonts w:eastAsia="Calibri" w:cs="Times New Roman"/>
                <w:noProof/>
                <w:sz w:val="22"/>
                <w:lang w:eastAsia="lt-LT" w:bidi="lt-LT"/>
              </w:rPr>
              <w:t xml:space="preserve"> Lietuvoje išlieka nepakankamas. 2020 m. gauti paslaugas laukė beveik 2,3 tūkst. asmenų, kuriems nuspręsta teikti socialines paslaugas.</w:t>
            </w:r>
          </w:p>
          <w:p w14:paraId="0866C671"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Psichoaktyvių medžiagų vartojimas ir priklausomybių paplitimas yra opi Lietuvos problema.</w:t>
            </w:r>
          </w:p>
          <w:p w14:paraId="69D7A02F" w14:textId="4C27BB9F"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Siekiant padidinti ne viešojo sektoriaus socialinės ekonomikos dalį, numatyta dalį socialinių paslaugų teikimo perduoti NVO ir bendruomeninėms organizacijoms. </w:t>
            </w:r>
            <w:r w:rsidRPr="00B44B19">
              <w:rPr>
                <w:rFonts w:eastAsia="Calibri" w:cs="Times New Roman"/>
                <w:b/>
                <w:noProof/>
                <w:sz w:val="22"/>
                <w:lang w:eastAsia="lt-LT" w:bidi="lt-LT"/>
              </w:rPr>
              <w:t xml:space="preserve">NPP </w:t>
            </w:r>
            <w:r w:rsidRPr="00B44B19">
              <w:rPr>
                <w:rFonts w:eastAsia="Calibri" w:cs="Times New Roman"/>
                <w:noProof/>
                <w:sz w:val="22"/>
                <w:lang w:eastAsia="lt-LT" w:bidi="lt-LT"/>
              </w:rPr>
              <w:t>numatyta iki 2030 m. NVO ir bendruomenėms perduoti 30 % socialinių paslaugų (dabar 7 %).</w:t>
            </w:r>
          </w:p>
          <w:p w14:paraId="102921B0" w14:textId="77777777" w:rsidR="00CF65A3" w:rsidRPr="00B44B19" w:rsidRDefault="00CF65A3" w:rsidP="00CF65A3">
            <w:pPr>
              <w:jc w:val="both"/>
              <w:rPr>
                <w:rFonts w:eastAsia="Times New Roman" w:cs="Times New Roman"/>
                <w:b/>
                <w:iCs/>
                <w:noProof/>
                <w:sz w:val="22"/>
                <w:lang w:eastAsia="lt-LT" w:bidi="lt-LT"/>
              </w:rPr>
            </w:pPr>
            <w:r w:rsidRPr="00B44B19">
              <w:rPr>
                <w:rFonts w:eastAsia="Times New Roman" w:cs="Times New Roman"/>
                <w:b/>
                <w:iCs/>
                <w:noProof/>
                <w:sz w:val="22"/>
                <w:lang w:eastAsia="lt-LT" w:bidi="lt-LT"/>
              </w:rPr>
              <w:t xml:space="preserve">TR’2019 ir </w:t>
            </w:r>
            <w:r w:rsidRPr="00B44B19">
              <w:rPr>
                <w:rFonts w:eastAsia="Calibri" w:cs="Times New Roman"/>
                <w:b/>
                <w:sz w:val="22"/>
              </w:rPr>
              <w:t>TR’</w:t>
            </w:r>
            <w:r w:rsidRPr="00B44B19">
              <w:rPr>
                <w:rFonts w:eastAsia="Times New Roman" w:cs="Times New Roman"/>
                <w:b/>
                <w:iCs/>
                <w:noProof/>
                <w:sz w:val="22"/>
                <w:lang w:eastAsia="lt-LT" w:bidi="lt-LT"/>
              </w:rPr>
              <w:t xml:space="preserve">2020 </w:t>
            </w:r>
            <w:r w:rsidRPr="00B44B19">
              <w:rPr>
                <w:rFonts w:eastAsia="Times New Roman" w:cs="Times New Roman"/>
                <w:bCs/>
                <w:iCs/>
                <w:noProof/>
                <w:sz w:val="22"/>
                <w:lang w:eastAsia="lt-LT" w:bidi="lt-LT"/>
              </w:rPr>
              <w:t>pažymima,</w:t>
            </w:r>
            <w:r w:rsidRPr="00B44B19">
              <w:rPr>
                <w:rFonts w:eastAsia="Times New Roman" w:cs="Times New Roman"/>
                <w:b/>
                <w:iCs/>
                <w:noProof/>
                <w:sz w:val="22"/>
                <w:lang w:eastAsia="lt-LT" w:bidi="lt-LT"/>
              </w:rPr>
              <w:t xml:space="preserve"> </w:t>
            </w:r>
            <w:r w:rsidRPr="00B44B19">
              <w:rPr>
                <w:rFonts w:eastAsia="Times New Roman" w:cs="Times New Roman"/>
                <w:bCs/>
                <w:iCs/>
                <w:noProof/>
                <w:sz w:val="22"/>
                <w:lang w:eastAsia="lt-LT" w:bidi="lt-LT"/>
              </w:rPr>
              <w:t xml:space="preserve">kad Lietuvai reikia sutelkti adekvatų finansavimą, spręsti sveikatos priežiūros darbuotojų ir svarbių medicinos reikmenų trūkumo problemas sveikatos sistemos atsparumui, prieinamumui, efektyvumui ir kokybei gerinti, kad sveikatos sistema galėtų geriau reaguoti į dažnesnių lėtinių sveikatos sutrikimų, visuomenės senėjimo ir įsisenėjusių sveikatos netolygumų iššūkius. Todėl numatoma stiprinti </w:t>
            </w:r>
            <w:r w:rsidRPr="00B44B19">
              <w:rPr>
                <w:rFonts w:eastAsia="Times New Roman" w:cs="Times New Roman"/>
                <w:b/>
                <w:iCs/>
                <w:noProof/>
                <w:sz w:val="22"/>
                <w:lang w:eastAsia="lt-LT" w:bidi="lt-LT"/>
              </w:rPr>
              <w:t>PSP</w:t>
            </w:r>
            <w:r w:rsidRPr="00B44B19">
              <w:rPr>
                <w:rFonts w:eastAsia="Times New Roman" w:cs="Times New Roman"/>
                <w:bCs/>
                <w:iCs/>
                <w:noProof/>
                <w:sz w:val="22"/>
                <w:lang w:eastAsia="lt-LT" w:bidi="lt-LT"/>
              </w:rPr>
              <w:t xml:space="preserve">, </w:t>
            </w:r>
            <w:r w:rsidRPr="00B44B19">
              <w:rPr>
                <w:rFonts w:eastAsia="Times New Roman" w:cs="Times New Roman"/>
                <w:b/>
                <w:iCs/>
                <w:noProof/>
                <w:sz w:val="22"/>
                <w:lang w:eastAsia="lt-LT" w:bidi="lt-LT"/>
              </w:rPr>
              <w:t>plėtoti integruotas visuomenės sveikatos bei psichikos sveikatos paslaugas</w:t>
            </w:r>
            <w:r w:rsidRPr="00B44B19">
              <w:rPr>
                <w:rFonts w:eastAsia="Times New Roman" w:cs="Times New Roman"/>
                <w:bCs/>
                <w:iCs/>
                <w:noProof/>
                <w:sz w:val="22"/>
                <w:lang w:eastAsia="lt-LT" w:bidi="lt-LT"/>
              </w:rPr>
              <w:t xml:space="preserve">, </w:t>
            </w:r>
            <w:r w:rsidRPr="00B44B19">
              <w:rPr>
                <w:rFonts w:eastAsia="Times New Roman" w:cs="Times New Roman"/>
                <w:b/>
                <w:iCs/>
                <w:noProof/>
                <w:sz w:val="22"/>
                <w:lang w:eastAsia="lt-LT" w:bidi="lt-LT"/>
              </w:rPr>
              <w:t>įgyvendinti prevencines programas</w:t>
            </w:r>
            <w:r w:rsidRPr="00B44B19">
              <w:rPr>
                <w:rFonts w:eastAsia="Times New Roman" w:cs="Times New Roman"/>
                <w:bCs/>
                <w:iCs/>
                <w:noProof/>
                <w:sz w:val="22"/>
                <w:lang w:eastAsia="lt-LT" w:bidi="lt-LT"/>
              </w:rPr>
              <w:t xml:space="preserve">, spręsti </w:t>
            </w:r>
            <w:r w:rsidRPr="00B44B19">
              <w:rPr>
                <w:rFonts w:eastAsia="Times New Roman" w:cs="Times New Roman"/>
                <w:b/>
                <w:iCs/>
                <w:noProof/>
                <w:sz w:val="22"/>
                <w:lang w:eastAsia="lt-LT" w:bidi="lt-LT"/>
              </w:rPr>
              <w:t>specialistų poreikio ir pasiūlos</w:t>
            </w:r>
            <w:r w:rsidRPr="00B44B19">
              <w:rPr>
                <w:rFonts w:eastAsia="Times New Roman" w:cs="Times New Roman"/>
                <w:bCs/>
                <w:iCs/>
                <w:noProof/>
                <w:sz w:val="22"/>
                <w:lang w:eastAsia="lt-LT" w:bidi="lt-LT"/>
              </w:rPr>
              <w:t xml:space="preserve"> disbalanso problemą, stiprinti </w:t>
            </w:r>
            <w:r w:rsidRPr="00B44B19">
              <w:rPr>
                <w:rFonts w:eastAsia="Times New Roman" w:cs="Times New Roman"/>
                <w:b/>
                <w:iCs/>
                <w:noProof/>
                <w:sz w:val="22"/>
                <w:lang w:eastAsia="lt-LT" w:bidi="lt-LT"/>
              </w:rPr>
              <w:t>lėtinių ir užkrečiamųjų ligų kontrolę ir gerinti valdymo kokybę</w:t>
            </w:r>
            <w:r w:rsidRPr="00B44B19">
              <w:rPr>
                <w:rFonts w:eastAsia="Times New Roman" w:cs="Times New Roman"/>
                <w:bCs/>
                <w:iCs/>
                <w:noProof/>
                <w:sz w:val="22"/>
                <w:lang w:eastAsia="lt-LT" w:bidi="lt-LT"/>
              </w:rPr>
              <w:t xml:space="preserve">. Senstančios visuomenės poreikiams atliepti bus skatinama slaugos ir socialinių paslaugų integracija, vystoma </w:t>
            </w:r>
            <w:r w:rsidRPr="00B44B19">
              <w:rPr>
                <w:rFonts w:eastAsia="Times New Roman" w:cs="Times New Roman"/>
                <w:b/>
                <w:iCs/>
                <w:noProof/>
                <w:sz w:val="22"/>
                <w:lang w:eastAsia="lt-LT" w:bidi="lt-LT"/>
              </w:rPr>
              <w:t>IPP sistema</w:t>
            </w:r>
            <w:r w:rsidRPr="00B44B19">
              <w:rPr>
                <w:rFonts w:eastAsia="Times New Roman" w:cs="Times New Roman"/>
                <w:bCs/>
                <w:iCs/>
                <w:noProof/>
                <w:sz w:val="22"/>
                <w:lang w:eastAsia="lt-LT" w:bidi="lt-LT"/>
              </w:rPr>
              <w:t>.</w:t>
            </w:r>
          </w:p>
          <w:p w14:paraId="14FE2505" w14:textId="77777777" w:rsidR="00CF65A3" w:rsidRPr="00B44B19" w:rsidRDefault="00CF65A3" w:rsidP="00CF65A3">
            <w:pPr>
              <w:jc w:val="both"/>
              <w:rPr>
                <w:rFonts w:cs="Times New Roman"/>
                <w:sz w:val="22"/>
              </w:rPr>
            </w:pPr>
            <w:r w:rsidRPr="00B44B19">
              <w:rPr>
                <w:rFonts w:eastAsia="Times New Roman" w:cs="Times New Roman"/>
                <w:bCs/>
                <w:iCs/>
                <w:noProof/>
                <w:sz w:val="22"/>
                <w:lang w:eastAsia="lt-LT" w:bidi="lt-LT"/>
              </w:rPr>
              <w:t xml:space="preserve">Planuojama </w:t>
            </w:r>
            <w:r w:rsidRPr="00B44B19">
              <w:rPr>
                <w:rFonts w:eastAsia="Times New Roman" w:cs="Times New Roman"/>
                <w:b/>
                <w:bCs/>
                <w:iCs/>
                <w:noProof/>
                <w:sz w:val="22"/>
                <w:lang w:eastAsia="lt-LT" w:bidi="lt-LT"/>
              </w:rPr>
              <w:t>finansavimo forma</w:t>
            </w:r>
            <w:r w:rsidRPr="00B44B19">
              <w:rPr>
                <w:rFonts w:eastAsia="Times New Roman" w:cs="Times New Roman"/>
                <w:bCs/>
                <w:iCs/>
                <w:noProof/>
                <w:sz w:val="22"/>
                <w:lang w:eastAsia="lt-LT" w:bidi="lt-LT"/>
              </w:rPr>
              <w:t xml:space="preserve"> – dotacija, nes planuojamos vykdyti veiklos negeneruos pajamų, todėl joms neplanuojama taikyti finansinių priemonių.</w:t>
            </w:r>
          </w:p>
        </w:tc>
      </w:tr>
      <w:tr w:rsidR="00CF65A3" w:rsidRPr="00B44B19" w14:paraId="43854101" w14:textId="77777777" w:rsidTr="00EB70C3">
        <w:tc>
          <w:tcPr>
            <w:tcW w:w="1350" w:type="pct"/>
            <w:vMerge/>
          </w:tcPr>
          <w:p w14:paraId="2A277209" w14:textId="77777777" w:rsidR="00CF65A3" w:rsidRPr="00B44B19" w:rsidRDefault="00CF65A3" w:rsidP="00CF65A3">
            <w:pPr>
              <w:pStyle w:val="Sraopastraipa"/>
              <w:ind w:left="0" w:right="35"/>
              <w:rPr>
                <w:rFonts w:cs="Times New Roman"/>
                <w:b/>
                <w:bCs/>
                <w:iCs/>
                <w:sz w:val="22"/>
                <w:lang w:bidi="lt-LT"/>
              </w:rPr>
            </w:pPr>
          </w:p>
        </w:tc>
        <w:tc>
          <w:tcPr>
            <w:tcW w:w="1079" w:type="pct"/>
          </w:tcPr>
          <w:p w14:paraId="464E856E" w14:textId="77777777" w:rsidR="00CF65A3" w:rsidRPr="00B44B19" w:rsidRDefault="00CF65A3" w:rsidP="00CF65A3">
            <w:pPr>
              <w:rPr>
                <w:rFonts w:cs="Times New Roman"/>
                <w:bCs/>
                <w:iCs/>
                <w:sz w:val="22"/>
                <w:lang w:bidi="lt-LT"/>
              </w:rPr>
            </w:pPr>
            <w:r w:rsidRPr="00B44B19">
              <w:rPr>
                <w:rFonts w:cs="Times New Roman"/>
                <w:bCs/>
                <w:iCs/>
                <w:sz w:val="22"/>
                <w:lang w:bidi="lt-LT"/>
              </w:rPr>
              <w:t>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tc>
        <w:tc>
          <w:tcPr>
            <w:tcW w:w="2571" w:type="pct"/>
          </w:tcPr>
          <w:p w14:paraId="4D61B5B6"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Reikia </w:t>
            </w:r>
            <w:r w:rsidRPr="00B44B19">
              <w:rPr>
                <w:rFonts w:eastAsia="Calibri" w:cs="Times New Roman"/>
                <w:b/>
                <w:noProof/>
                <w:sz w:val="22"/>
                <w:lang w:eastAsia="lt-LT" w:bidi="lt-LT"/>
              </w:rPr>
              <w:t>stiprinti pagrindinių socialinių paslaugų teikimo ir aprūpinimo socialiniu būstu pastangas</w:t>
            </w:r>
            <w:r w:rsidRPr="00B44B19">
              <w:rPr>
                <w:rFonts w:eastAsia="Calibri" w:cs="Times New Roman"/>
                <w:noProof/>
                <w:sz w:val="22"/>
                <w:lang w:eastAsia="lt-LT" w:bidi="lt-LT"/>
              </w:rPr>
              <w:t>, kad paramą gautų tie, kuriems jos reikia.</w:t>
            </w:r>
          </w:p>
          <w:p w14:paraId="3884DE69"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Lietuvoje socialinis būstas suteikiamas mažiausiai ekonomiškai pajėgiems asmenims ir šeimoms. Socialinio būsto poreikis išlieka didelis. Investicijos į socialinį būstą prisidės ir prie Vaiko garantijų sistemos įgyvendinimo. Vaiko garantijų sistema tinkamas būsto sąlygas įvardija kaip vieną iš 5 pagrindinių teisių ir su jomis susijusių paslaugų, kurios turėtų būti suteikiamos vaikams, kuriems gresia skurdas arba socialinė atskirtis.</w:t>
            </w:r>
          </w:p>
          <w:p w14:paraId="5C552D12"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Intelekto ir (ar) psichikos negalią turinčių asmenų institucinės globos pertvarka vykdoma šešiuose (iš dešimties) Lietuvos regionuose, tačiau ji nebus baigta, todėl svarbu tęsti institucinės globos pertvarką kuriant infrastruktūrą dešimtyje Lietuvos regionų.</w:t>
            </w:r>
          </w:p>
          <w:p w14:paraId="4AAEFDF4"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lastRenderedPageBreak/>
              <w:t xml:space="preserve">Savivaldybėse </w:t>
            </w:r>
            <w:r w:rsidRPr="00B44B19">
              <w:rPr>
                <w:rFonts w:eastAsia="Calibri" w:cs="Times New Roman"/>
                <w:b/>
                <w:noProof/>
                <w:sz w:val="22"/>
                <w:lang w:eastAsia="lt-LT" w:bidi="lt-LT"/>
              </w:rPr>
              <w:t>nepakankamai išplėtota socialinių paslaugų infrastruktūra</w:t>
            </w:r>
            <w:r w:rsidRPr="00B44B19">
              <w:rPr>
                <w:rFonts w:eastAsia="Calibri" w:cs="Times New Roman"/>
                <w:noProof/>
                <w:sz w:val="22"/>
                <w:lang w:eastAsia="lt-LT" w:bidi="lt-LT"/>
              </w:rPr>
              <w:t xml:space="preserve"> socialinę riziką patiriantiems ir pažeidžiamiems asmenims. Krizių centrai veikia tik apie pusėje savivaldybių. Trūksta infrastruktūros psichologinės ir socialinės reabilitacijos bei pagalbos ir palaikymo paslaugoms priklausomiems nuo psichoaktyviųjų medžiagų asmenims ir iš įkalinimo įstaigų išėjusiems asmenims teikti. Dalis šių asmenų priversti glaustis nakvynės namuose (2020 m. juose gyveno 122 asmenys iš laisvės atėmimo vietų, 49 – po reabilitacijos). Nepakankamai išplėtotas atvirų jaunimo centrų tinklas. Vis dar yra poreikis bendruomeninių ir (arba) nestacionarių paslaugų socialiai pažeidžiamoms asmenų grupėms infrastruktūros plėtrai.</w:t>
            </w:r>
          </w:p>
          <w:p w14:paraId="3651617E"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Planuojama </w:t>
            </w:r>
            <w:r w:rsidRPr="00B44B19">
              <w:rPr>
                <w:rFonts w:eastAsia="Calibri" w:cs="Times New Roman"/>
                <w:b/>
                <w:noProof/>
                <w:sz w:val="22"/>
                <w:lang w:eastAsia="lt-LT" w:bidi="lt-LT"/>
              </w:rPr>
              <w:t>finansavimo forma</w:t>
            </w:r>
            <w:r w:rsidRPr="00B44B19">
              <w:rPr>
                <w:rFonts w:eastAsia="Calibri" w:cs="Times New Roman"/>
                <w:noProof/>
                <w:sz w:val="22"/>
                <w:lang w:eastAsia="lt-LT" w:bidi="lt-LT"/>
              </w:rPr>
              <w:t xml:space="preserve"> – dotacija. Planuojamos vykdyti veiklos negeneruos pajamų, todėl joms neplanuojama taikyti finansinių priemonių.</w:t>
            </w:r>
          </w:p>
          <w:p w14:paraId="6B15EF2B" w14:textId="77777777" w:rsidR="00CF65A3" w:rsidRPr="00B44B19" w:rsidRDefault="00CF65A3" w:rsidP="00CF65A3">
            <w:pPr>
              <w:jc w:val="both"/>
              <w:rPr>
                <w:rFonts w:cs="Times New Roman"/>
                <w:sz w:val="22"/>
              </w:rPr>
            </w:pPr>
            <w:r w:rsidRPr="00B44B19">
              <w:rPr>
                <w:rFonts w:cs="Times New Roman"/>
                <w:color w:val="000000"/>
                <w:sz w:val="22"/>
              </w:rPr>
              <w:t>BJRS požiūriu, uždavinio veiklos leis siekti politikos srities „Sveikata“ tikslų, užtikrinant reikiamą pagalbą pažeidžiamoms asmenų grupėms.</w:t>
            </w:r>
          </w:p>
        </w:tc>
      </w:tr>
      <w:tr w:rsidR="00CF65A3" w:rsidRPr="00B44B19" w14:paraId="30985B54" w14:textId="77777777" w:rsidTr="00EB70C3">
        <w:tc>
          <w:tcPr>
            <w:tcW w:w="1350" w:type="pct"/>
            <w:vMerge/>
          </w:tcPr>
          <w:p w14:paraId="6A1B8AEB" w14:textId="77777777" w:rsidR="00CF65A3" w:rsidRPr="00B44B19" w:rsidRDefault="00CF65A3" w:rsidP="00CF65A3">
            <w:pPr>
              <w:pStyle w:val="Sraopastraipa"/>
              <w:ind w:left="0" w:right="35"/>
              <w:rPr>
                <w:rFonts w:cs="Times New Roman"/>
                <w:b/>
                <w:bCs/>
                <w:iCs/>
                <w:sz w:val="22"/>
                <w:lang w:bidi="lt-LT"/>
              </w:rPr>
            </w:pPr>
          </w:p>
        </w:tc>
        <w:tc>
          <w:tcPr>
            <w:tcW w:w="1079" w:type="pct"/>
          </w:tcPr>
          <w:p w14:paraId="3DAD451E" w14:textId="77777777" w:rsidR="00CF65A3" w:rsidRPr="00B44B19" w:rsidRDefault="00CF65A3" w:rsidP="00CF65A3">
            <w:pPr>
              <w:rPr>
                <w:rFonts w:cs="Times New Roman"/>
                <w:bCs/>
                <w:iCs/>
                <w:sz w:val="22"/>
                <w:lang w:bidi="lt-LT"/>
              </w:rPr>
            </w:pPr>
            <w:r w:rsidRPr="00B44B19">
              <w:rPr>
                <w:rFonts w:cs="Times New Roman"/>
                <w:bCs/>
                <w:iCs/>
                <w:sz w:val="22"/>
                <w:lang w:bidi="lt-LT"/>
              </w:rPr>
              <w:t>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c>
          <w:tcPr>
            <w:tcW w:w="2571" w:type="pct"/>
          </w:tcPr>
          <w:p w14:paraId="3B417161" w14:textId="77777777" w:rsidR="00CF65A3" w:rsidRPr="00B44B19" w:rsidRDefault="00CF65A3" w:rsidP="00CF65A3">
            <w:pPr>
              <w:jc w:val="both"/>
              <w:rPr>
                <w:rFonts w:eastAsia="Times New Roman" w:cs="Times New Roman"/>
                <w:noProof/>
                <w:sz w:val="22"/>
                <w:lang w:eastAsia="lt-LT"/>
              </w:rPr>
            </w:pPr>
            <w:bookmarkStart w:id="6" w:name="_Hlk44575284"/>
            <w:r w:rsidRPr="00B44B19">
              <w:rPr>
                <w:rFonts w:eastAsia="Times New Roman" w:cs="Times New Roman"/>
                <w:b/>
                <w:iCs/>
                <w:noProof/>
                <w:sz w:val="22"/>
                <w:lang w:eastAsia="lt-LT"/>
              </w:rPr>
              <w:t xml:space="preserve">TR’2020 </w:t>
            </w:r>
            <w:r w:rsidRPr="00B44B19">
              <w:rPr>
                <w:rFonts w:eastAsia="Times New Roman" w:cs="Times New Roman"/>
                <w:iCs/>
                <w:noProof/>
                <w:sz w:val="22"/>
                <w:lang w:eastAsia="lt-LT"/>
              </w:rPr>
              <w:t>skatinama didinti sveikatos sistemos atsparumą, be kita ko, sutelkiant adekvatų finansavimą ir sprendžiant sveikatos priežiūros darbuotojų ir svarbių medicinos reikmenų trūkumo problemą, ir gerinti sveikatos priežiūros paslaugų prieinamumą ir kokybę.</w:t>
            </w:r>
          </w:p>
          <w:p w14:paraId="58A77C24"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Higienos instituto duomenimis, Lietuvoje sparčiai augant vyresnio amžiaus žmonių skaičiui, o kartu ir poliligotumo rodikliams (2020 m. duomenys) ‒ daugiau nei dviem lėtinėmis neinfekcinėmis ligomis 50–65 m. amžiaus grupėje sirgo 191,5/1000 gyventojų, o vyresnių kaip 65 m. – 534,5/1000 gyv.), būtina plėsti ekonomiškai efektyvių asmens sveikatos priežiūros paslaugų formų apimtis. </w:t>
            </w:r>
            <w:r w:rsidRPr="00B44B19">
              <w:rPr>
                <w:rFonts w:eastAsia="Times New Roman" w:cs="Times New Roman"/>
                <w:iCs/>
                <w:noProof/>
                <w:sz w:val="22"/>
                <w:lang w:eastAsia="lt-LT" w:bidi="lt-LT"/>
              </w:rPr>
              <w:t xml:space="preserve">Maža pažanga pritaikant ligoninių tinklą, kad jis taptų efektyvesnis ir labiau atitiktų poreikius, todėl </w:t>
            </w:r>
            <w:r w:rsidRPr="00B44B19">
              <w:rPr>
                <w:rFonts w:eastAsia="Calibri" w:cs="Times New Roman"/>
                <w:noProof/>
                <w:sz w:val="22"/>
                <w:lang w:eastAsia="lt-LT" w:bidi="lt-LT"/>
              </w:rPr>
              <w:t xml:space="preserve">reikia tęsti </w:t>
            </w:r>
            <w:r w:rsidRPr="00B44B19">
              <w:rPr>
                <w:rFonts w:eastAsia="Calibri" w:cs="Times New Roman"/>
                <w:b/>
                <w:noProof/>
                <w:sz w:val="22"/>
                <w:lang w:eastAsia="lt-LT" w:bidi="lt-LT"/>
              </w:rPr>
              <w:t>ligoninių pertvarką.</w:t>
            </w:r>
          </w:p>
          <w:p w14:paraId="2C524C1E"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Investicijas numatoma skirti sveikatos sistemos prieinamumui, efektyvumui ir kokybei gerinti, kad sveikatos sistema galėtų geriau reaguoti į dažnesnių lėtinių sveikatos sutrikimų, senėjimo ir įsisenėjusių sveikatos netolygumų iššūkius. Šiuo atžvilgiu itin svarbi </w:t>
            </w:r>
            <w:r w:rsidRPr="00B44B19">
              <w:rPr>
                <w:rFonts w:eastAsia="Calibri" w:cs="Times New Roman"/>
                <w:b/>
                <w:noProof/>
                <w:sz w:val="22"/>
                <w:lang w:eastAsia="lt-LT" w:bidi="lt-LT"/>
              </w:rPr>
              <w:t>PSP ir e. sveikatos plėtra</w:t>
            </w:r>
            <w:r w:rsidRPr="00B44B19">
              <w:rPr>
                <w:rFonts w:eastAsia="Calibri" w:cs="Times New Roman"/>
                <w:noProof/>
                <w:sz w:val="22"/>
                <w:lang w:eastAsia="lt-LT" w:bidi="lt-LT"/>
              </w:rPr>
              <w:t>.</w:t>
            </w:r>
          </w:p>
          <w:bookmarkEnd w:id="6"/>
          <w:p w14:paraId="6C3EE8F9"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2021–2030 m. vykdant </w:t>
            </w:r>
            <w:r w:rsidRPr="00B44B19">
              <w:rPr>
                <w:rFonts w:eastAsia="Calibri" w:cs="Times New Roman"/>
                <w:b/>
                <w:noProof/>
                <w:sz w:val="22"/>
                <w:lang w:eastAsia="lt-LT" w:bidi="lt-LT"/>
              </w:rPr>
              <w:t>stacionariųjų aktyviojo gydymo paslaugų konsolidavimą</w:t>
            </w:r>
            <w:r w:rsidRPr="00B44B19">
              <w:rPr>
                <w:rFonts w:eastAsia="Calibri" w:cs="Times New Roman"/>
                <w:noProof/>
                <w:sz w:val="22"/>
                <w:lang w:eastAsia="lt-LT" w:bidi="lt-LT"/>
              </w:rPr>
              <w:t xml:space="preserve"> GMP tarnybai ir skubiosios medicinos pagalbos skyriams teks didesnis krūvis, siekiant užtikrinti pacientų, kuriems reikalinga skubi stacionarioji priežiūra, transportavimą į šią priežiūrą teikiančias ligonines, tarp jų pacientų su ūmiomis kraujotakos ligomis – į specializuotus centrus, ir skubios pagalbos suteikimą.</w:t>
            </w:r>
          </w:p>
          <w:p w14:paraId="447C7CA3"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lastRenderedPageBreak/>
              <w:t xml:space="preserve">Lietuvoje mirštamumui nuo kraujotakos sistemos bei onkologinių ligų išliekant ženkliai didesniam už ES vidurkį, būtina didinti </w:t>
            </w:r>
            <w:r w:rsidRPr="00B44B19">
              <w:rPr>
                <w:rFonts w:eastAsia="Calibri" w:cs="Times New Roman"/>
                <w:b/>
                <w:noProof/>
                <w:sz w:val="22"/>
                <w:lang w:eastAsia="lt-LT" w:bidi="lt-LT"/>
              </w:rPr>
              <w:t>prevencinių ir gydymo priemonių veiksmingumą bei rezultatus.</w:t>
            </w:r>
            <w:r w:rsidRPr="00B44B19">
              <w:rPr>
                <w:rFonts w:eastAsia="Calibri" w:cs="Times New Roman"/>
                <w:noProof/>
                <w:sz w:val="22"/>
                <w:lang w:eastAsia="lt-LT" w:bidi="lt-LT"/>
              </w:rPr>
              <w:t xml:space="preserve"> Siekiant sukurti ir išplėtoti </w:t>
            </w:r>
            <w:r w:rsidRPr="00B44B19">
              <w:rPr>
                <w:rFonts w:eastAsia="Calibri" w:cs="Times New Roman"/>
                <w:b/>
                <w:noProof/>
                <w:sz w:val="22"/>
                <w:lang w:eastAsia="lt-LT" w:bidi="lt-LT"/>
              </w:rPr>
              <w:t>IPP tinklą</w:t>
            </w:r>
            <w:r w:rsidRPr="00B44B19">
              <w:rPr>
                <w:rFonts w:eastAsia="Calibri" w:cs="Times New Roman"/>
                <w:noProof/>
                <w:sz w:val="22"/>
                <w:lang w:eastAsia="lt-LT" w:bidi="lt-LT"/>
              </w:rPr>
              <w:t>, būtini infrastruktūros pokyčiai, kurie apimtų šias paslaugas teikiančių tarnybų bazių įrengimą, paslaugoms teikti reikalingos infrastruktūros plėtrą, transporto priemonių, skirtų pacientams lankyti namuose, įsigijimą, inovatyvių technologijų diegimą ir plėtrą, mobilios įrangos ir techninės pagalbos priemonių įsigijimą.</w:t>
            </w:r>
          </w:p>
          <w:p w14:paraId="76C64D82" w14:textId="77777777" w:rsidR="00CF65A3" w:rsidRPr="00B44B19" w:rsidRDefault="00CF65A3" w:rsidP="00CF65A3">
            <w:pPr>
              <w:jc w:val="both"/>
              <w:rPr>
                <w:rFonts w:eastAsia="Calibri" w:cs="Times New Roman"/>
                <w:bCs/>
                <w:iCs/>
                <w:noProof/>
                <w:sz w:val="22"/>
                <w:lang w:eastAsia="lt-LT" w:bidi="lt-LT"/>
              </w:rPr>
            </w:pPr>
            <w:r w:rsidRPr="00B44B19">
              <w:rPr>
                <w:rFonts w:eastAsia="Calibri" w:cs="Times New Roman"/>
                <w:bCs/>
                <w:noProof/>
                <w:sz w:val="22"/>
                <w:lang w:eastAsia="lt-LT" w:bidi="lt-LT"/>
              </w:rPr>
              <w:t xml:space="preserve">Planuojama </w:t>
            </w:r>
            <w:r w:rsidRPr="00B44B19">
              <w:rPr>
                <w:rFonts w:eastAsia="Calibri" w:cs="Times New Roman"/>
                <w:b/>
                <w:bCs/>
                <w:noProof/>
                <w:sz w:val="22"/>
                <w:lang w:eastAsia="lt-LT" w:bidi="lt-LT"/>
              </w:rPr>
              <w:t>finansavimo forma</w:t>
            </w:r>
            <w:r w:rsidRPr="00B44B19">
              <w:rPr>
                <w:rFonts w:eastAsia="Calibri" w:cs="Times New Roman"/>
                <w:bCs/>
                <w:noProof/>
                <w:sz w:val="22"/>
                <w:lang w:eastAsia="lt-LT" w:bidi="lt-LT"/>
              </w:rPr>
              <w:t xml:space="preserve"> </w:t>
            </w:r>
            <w:r w:rsidRPr="00B44B19">
              <w:rPr>
                <w:rFonts w:eastAsia="Calibri" w:cs="Times New Roman"/>
                <w:bCs/>
                <w:iCs/>
                <w:noProof/>
                <w:sz w:val="22"/>
                <w:lang w:eastAsia="lt-LT" w:bidi="lt-LT"/>
              </w:rPr>
              <w:t>– dotacija, planuojamos vykdyti veiklos negeneruos pajamų, todėl joms neplanuojama taikyti finansinių priemonių.</w:t>
            </w:r>
          </w:p>
        </w:tc>
      </w:tr>
      <w:tr w:rsidR="00CF65A3" w:rsidRPr="00B44B19" w14:paraId="7834F07B" w14:textId="77777777" w:rsidTr="00EB70C3">
        <w:tc>
          <w:tcPr>
            <w:tcW w:w="1350" w:type="pct"/>
            <w:vMerge/>
          </w:tcPr>
          <w:p w14:paraId="5E03A6AD" w14:textId="77777777" w:rsidR="00CF65A3" w:rsidRPr="00B44B19" w:rsidRDefault="00CF65A3" w:rsidP="00CF65A3">
            <w:pPr>
              <w:pStyle w:val="Sraopastraipa"/>
              <w:ind w:left="0" w:right="35"/>
              <w:rPr>
                <w:rFonts w:cs="Times New Roman"/>
                <w:b/>
                <w:bCs/>
                <w:iCs/>
                <w:sz w:val="22"/>
                <w:lang w:bidi="lt-LT"/>
              </w:rPr>
            </w:pPr>
          </w:p>
        </w:tc>
        <w:tc>
          <w:tcPr>
            <w:tcW w:w="1079" w:type="pct"/>
          </w:tcPr>
          <w:p w14:paraId="4D1E349B" w14:textId="165FDB3D" w:rsidR="00CF65A3" w:rsidRPr="00B44B19" w:rsidRDefault="00CF65A3" w:rsidP="00CF65A3">
            <w:pPr>
              <w:rPr>
                <w:rFonts w:cs="Times New Roman"/>
                <w:bCs/>
                <w:iCs/>
                <w:sz w:val="22"/>
                <w:lang w:bidi="lt-LT"/>
              </w:rPr>
            </w:pPr>
            <w:r w:rsidRPr="00B44B19">
              <w:rPr>
                <w:rFonts w:cs="Times New Roman"/>
                <w:bCs/>
                <w:iCs/>
                <w:sz w:val="22"/>
                <w:lang w:bidi="lt-LT"/>
              </w:rPr>
              <w:t>Specialus prioritetas – inovatyvūs sprendimai:</w:t>
            </w:r>
          </w:p>
        </w:tc>
        <w:tc>
          <w:tcPr>
            <w:tcW w:w="2571" w:type="pct"/>
          </w:tcPr>
          <w:p w14:paraId="766A7F49" w14:textId="77777777" w:rsidR="00CF65A3" w:rsidRPr="00B44B19" w:rsidRDefault="00CF65A3" w:rsidP="00CF65A3">
            <w:pPr>
              <w:jc w:val="both"/>
              <w:rPr>
                <w:rFonts w:eastAsia="Times New Roman" w:cs="Times New Roman"/>
                <w:bCs/>
                <w:iCs/>
                <w:sz w:val="22"/>
              </w:rPr>
            </w:pPr>
            <w:r w:rsidRPr="00B44B19">
              <w:rPr>
                <w:rFonts w:eastAsia="Times New Roman" w:cs="Times New Roman"/>
                <w:bCs/>
                <w:iCs/>
                <w:sz w:val="22"/>
              </w:rPr>
              <w:t>Augantys socialiniai gyventojų poreikiai, paslaugų prieinamumo, įvairovės ir kokybės skirtumai, kylantys nauji iššūkiai socialinėje, švietimo, sveikatos srityse skatina didinti pagalbos (paslaugų) veiksmingumą ir ieškoti naujų problemų sprendimų būdų.</w:t>
            </w:r>
          </w:p>
          <w:p w14:paraId="6EA20256" w14:textId="77777777" w:rsidR="00CF65A3" w:rsidRPr="00B44B19" w:rsidRDefault="00CF65A3" w:rsidP="00CF65A3">
            <w:pPr>
              <w:jc w:val="both"/>
              <w:rPr>
                <w:rFonts w:eastAsia="Times New Roman" w:cs="Times New Roman"/>
                <w:bCs/>
                <w:iCs/>
                <w:sz w:val="22"/>
              </w:rPr>
            </w:pPr>
            <w:r w:rsidRPr="00B44B19">
              <w:rPr>
                <w:rFonts w:eastAsia="Times New Roman" w:cs="Times New Roman"/>
                <w:b/>
                <w:iCs/>
                <w:sz w:val="22"/>
              </w:rPr>
              <w:t xml:space="preserve">Lietuvoje didėja socialinių paslaugų poreikis. </w:t>
            </w:r>
            <w:r w:rsidRPr="00B44B19">
              <w:rPr>
                <w:rFonts w:eastAsia="Times New Roman" w:cs="Times New Roman"/>
                <w:bCs/>
                <w:iCs/>
                <w:sz w:val="22"/>
              </w:rPr>
              <w:t>Siekiant užtikrinti paslaugų kokybės tolygumą plečiantis paslaugų gavėjų ir paslaugų teikėjų ratui bei orientuoti paslaugas į geresnį asmens (šeimos) ar bendruomenės poreikių atliepimą, atsiranda poreikis apibrėžti tam tikrus paslaugų standartus ir kelti kokybės reikalavimus paslaugų teikėjams.</w:t>
            </w:r>
          </w:p>
          <w:p w14:paraId="58408FF5" w14:textId="77777777" w:rsidR="00CF65A3" w:rsidRPr="00B44B19" w:rsidRDefault="00CF65A3" w:rsidP="00CF65A3">
            <w:pPr>
              <w:jc w:val="both"/>
              <w:rPr>
                <w:rFonts w:eastAsia="Times New Roman" w:cs="Times New Roman"/>
                <w:bCs/>
                <w:iCs/>
                <w:sz w:val="22"/>
              </w:rPr>
            </w:pPr>
            <w:r w:rsidRPr="00B44B19">
              <w:rPr>
                <w:rFonts w:eastAsia="Times New Roman" w:cs="Times New Roman"/>
                <w:bCs/>
                <w:iCs/>
                <w:sz w:val="22"/>
              </w:rPr>
              <w:t>Lietuvos inovacijų plėtros 2014–2020 m. programoje teigiama,</w:t>
            </w:r>
            <w:r w:rsidRPr="00B44B19">
              <w:rPr>
                <w:rFonts w:eastAsia="Times New Roman" w:cs="Times New Roman"/>
                <w:b/>
                <w:iCs/>
                <w:sz w:val="22"/>
              </w:rPr>
              <w:t xml:space="preserve"> kad investicijų</w:t>
            </w:r>
            <w:r w:rsidRPr="00B44B19">
              <w:rPr>
                <w:rFonts w:eastAsia="Times New Roman" w:cs="Times New Roman"/>
                <w:color w:val="000000"/>
                <w:sz w:val="22"/>
              </w:rPr>
              <w:t xml:space="preserve">, </w:t>
            </w:r>
            <w:r w:rsidRPr="00B44B19">
              <w:rPr>
                <w:rFonts w:eastAsia="Times New Roman" w:cs="Times New Roman"/>
                <w:b/>
                <w:bCs/>
                <w:color w:val="000000"/>
                <w:sz w:val="22"/>
              </w:rPr>
              <w:t>padedančių spręsti socialinius iššūkius, diegimas viešajame sektoriuje bus viena iš svarbių ateities inovacijų politikos sričių</w:t>
            </w:r>
            <w:r w:rsidRPr="00B44B19">
              <w:rPr>
                <w:rFonts w:eastAsia="Times New Roman" w:cs="Times New Roman"/>
                <w:color w:val="000000"/>
                <w:sz w:val="22"/>
              </w:rPr>
              <w:t xml:space="preserve">. Dėl įsisenėjusių socialinių problemų (pvz., DR poreikius atitinkančio švietimo kokybė, pažeidžiamų grupių integracija į visavertį socialinį gyvenimą, gebėjimas prisitaikyti prie kintančios visuomenės poreikių ir kt.) ir kintančios visuomenės poreikių (pvz., kintantys DR kompetencijų poreikiai, ilgėjantis darbingo amžiaus terminas, globalizacijos pokyčiai visuomenei ir kt.) kyla poreikis </w:t>
            </w:r>
            <w:r w:rsidRPr="00B44B19">
              <w:rPr>
                <w:rFonts w:eastAsia="Times New Roman" w:cs="Times New Roman"/>
                <w:bCs/>
                <w:iCs/>
                <w:sz w:val="22"/>
              </w:rPr>
              <w:t>ieškoti kūrybingų, individualizuotų ar nedidelėms grupėms pritaikomų sprendimų bei derinti tradicines politikos priemones ir socialines inovacijas.</w:t>
            </w:r>
          </w:p>
          <w:p w14:paraId="1AD4FE85" w14:textId="3FDF8771" w:rsidR="00CF65A3" w:rsidRPr="00B44B19" w:rsidRDefault="00CF65A3" w:rsidP="00CF65A3">
            <w:pPr>
              <w:jc w:val="both"/>
              <w:rPr>
                <w:rFonts w:eastAsia="Times New Roman" w:cs="Times New Roman"/>
                <w:b/>
                <w:iCs/>
                <w:noProof/>
                <w:sz w:val="22"/>
                <w:lang w:eastAsia="lt-LT"/>
              </w:rPr>
            </w:pPr>
            <w:r w:rsidRPr="00B44B19">
              <w:rPr>
                <w:rFonts w:eastAsia="Times New Roman" w:cs="Times New Roman"/>
                <w:bCs/>
                <w:iCs/>
                <w:sz w:val="22"/>
              </w:rPr>
              <w:t xml:space="preserve">Pasirenkama </w:t>
            </w:r>
            <w:r w:rsidRPr="00B44B19">
              <w:rPr>
                <w:rFonts w:eastAsia="Times New Roman" w:cs="Times New Roman"/>
                <w:b/>
                <w:bCs/>
                <w:iCs/>
                <w:sz w:val="22"/>
              </w:rPr>
              <w:t>finansavimo forma</w:t>
            </w:r>
            <w:r w:rsidRPr="00B44B19">
              <w:rPr>
                <w:rFonts w:eastAsia="Times New Roman" w:cs="Times New Roman"/>
                <w:bCs/>
                <w:iCs/>
                <w:sz w:val="22"/>
              </w:rPr>
              <w:t xml:space="preserve"> – </w:t>
            </w:r>
            <w:r w:rsidRPr="00B44B19">
              <w:rPr>
                <w:rFonts w:eastAsia="Times New Roman" w:cs="Times New Roman"/>
                <w:iCs/>
                <w:sz w:val="22"/>
              </w:rPr>
              <w:t>dotacija</w:t>
            </w:r>
            <w:r w:rsidRPr="00B44B19">
              <w:rPr>
                <w:rFonts w:eastAsia="Times New Roman" w:cs="Times New Roman"/>
                <w:bCs/>
                <w:iCs/>
                <w:sz w:val="22"/>
              </w:rPr>
              <w:t>, nes planuojamos vykdyti veiklos susijusios su viešųjų paslaugų teikimu, kurios negeneruoja pajamų.</w:t>
            </w:r>
          </w:p>
        </w:tc>
      </w:tr>
      <w:tr w:rsidR="00CF65A3" w:rsidRPr="00B44B19" w14:paraId="7DDC6330" w14:textId="77777777" w:rsidTr="00EB70C3">
        <w:tc>
          <w:tcPr>
            <w:tcW w:w="1350" w:type="pct"/>
            <w:vMerge/>
          </w:tcPr>
          <w:p w14:paraId="5FF47CF5" w14:textId="77777777" w:rsidR="00CF65A3" w:rsidRPr="00B44B19" w:rsidRDefault="00CF65A3" w:rsidP="00CF65A3">
            <w:pPr>
              <w:pStyle w:val="Sraopastraipa"/>
              <w:ind w:left="0" w:right="35"/>
              <w:rPr>
                <w:rFonts w:cs="Times New Roman"/>
                <w:b/>
                <w:bCs/>
                <w:iCs/>
                <w:sz w:val="22"/>
                <w:lang w:bidi="lt-LT"/>
              </w:rPr>
            </w:pPr>
          </w:p>
        </w:tc>
        <w:tc>
          <w:tcPr>
            <w:tcW w:w="1079" w:type="pct"/>
          </w:tcPr>
          <w:p w14:paraId="416A9BDE" w14:textId="2AA7FF95" w:rsidR="00CF65A3" w:rsidRPr="00B44B19" w:rsidRDefault="00CF65A3" w:rsidP="00CF65A3">
            <w:pPr>
              <w:rPr>
                <w:rFonts w:cs="Times New Roman"/>
                <w:bCs/>
                <w:iCs/>
                <w:sz w:val="22"/>
                <w:lang w:bidi="lt-LT"/>
              </w:rPr>
            </w:pPr>
            <w:r w:rsidRPr="00B44B19">
              <w:rPr>
                <w:rFonts w:cs="Times New Roman"/>
                <w:bCs/>
                <w:iCs/>
                <w:sz w:val="22"/>
                <w:lang w:bidi="lt-LT"/>
              </w:rPr>
              <w:t xml:space="preserve">Specialus prioritetas – </w:t>
            </w:r>
            <w:r w:rsidRPr="00B44B19">
              <w:rPr>
                <w:rFonts w:cs="Times New Roman"/>
                <w:sz w:val="22"/>
              </w:rPr>
              <w:t>Skatinti galimybes gauti prieinamą ir tvarų būstą</w:t>
            </w:r>
          </w:p>
        </w:tc>
        <w:tc>
          <w:tcPr>
            <w:tcW w:w="2571" w:type="pct"/>
          </w:tcPr>
          <w:p w14:paraId="570DF53D"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Būtina </w:t>
            </w:r>
            <w:r w:rsidRPr="00B44B19">
              <w:rPr>
                <w:rFonts w:eastAsia="Calibri" w:cs="Times New Roman"/>
                <w:b/>
                <w:noProof/>
                <w:sz w:val="22"/>
                <w:lang w:eastAsia="lt-LT" w:bidi="lt-LT"/>
              </w:rPr>
              <w:t>stiprinti aprūpinimo socialiniu būstu priemones</w:t>
            </w:r>
            <w:r w:rsidRPr="00B44B19">
              <w:rPr>
                <w:rFonts w:eastAsia="Calibri" w:cs="Times New Roman"/>
                <w:noProof/>
                <w:sz w:val="22"/>
                <w:lang w:eastAsia="lt-LT" w:bidi="lt-LT"/>
              </w:rPr>
              <w:t>, kad asmenys (šeimos), kurie dėl nepakankamų pajamų ir (ar) kitų objektyvių priežasčių negali apsirūpinti būstu savarankiškai, gautų atitinkamą paramą.</w:t>
            </w:r>
          </w:p>
          <w:p w14:paraId="4D860A17" w14:textId="77777777" w:rsidR="00CF65A3" w:rsidRPr="00B44B19" w:rsidRDefault="00CF65A3" w:rsidP="00CF65A3">
            <w:pPr>
              <w:jc w:val="both"/>
              <w:rPr>
                <w:rFonts w:eastAsia="Calibri" w:cs="Times New Roman"/>
                <w:noProof/>
                <w:sz w:val="22"/>
                <w:lang w:eastAsia="lt-LT" w:bidi="lt-LT"/>
              </w:rPr>
            </w:pPr>
            <w:r w:rsidRPr="00B44B19">
              <w:rPr>
                <w:rFonts w:eastAsia="Calibri" w:cs="Times New Roman"/>
                <w:noProof/>
                <w:sz w:val="22"/>
                <w:lang w:eastAsia="lt-LT" w:bidi="lt-LT"/>
              </w:rPr>
              <w:t xml:space="preserve">Nepaisant savivaldybių kasmet vykdomos socialinio būsto fondo plėtros, asmenų (šeimų) aprūpinimo </w:t>
            </w:r>
            <w:r w:rsidRPr="00B44B19">
              <w:rPr>
                <w:rFonts w:eastAsia="Calibri" w:cs="Times New Roman"/>
                <w:noProof/>
                <w:sz w:val="22"/>
                <w:lang w:eastAsia="lt-LT" w:bidi="lt-LT"/>
              </w:rPr>
              <w:lastRenderedPageBreak/>
              <w:t xml:space="preserve">socialiniu būstu problema išlieka vis dar aktuali. Investicijos į socialinį būstą taip pat prisidės prie Vaiko garantijų sistemos įgyvendinimo. Vaiko garantijų sistema tinkamas būsto sąlygas įvardija kaip vieną iš 5 pagrindinių teisių ir su jomis susijusių paslaugų, kurios turėtų būti suteikiamos vaikams, kuriems gresia skurdas arba socialinė atskirtis. </w:t>
            </w:r>
            <w:r w:rsidRPr="00B44B19">
              <w:rPr>
                <w:rFonts w:eastAsia="Calibri" w:cs="Times New Roman"/>
                <w:iCs/>
                <w:noProof/>
                <w:sz w:val="22"/>
                <w:lang w:eastAsia="lt-LT" w:bidi="lt-LT"/>
              </w:rPr>
              <w:t>Be to, investicijos į socialinio būsto plėtrą prisidės prie Europos Tarybos rekomendacijų Lietuvai, kuriomis siūloma gerinti socialinio būsto preinamumą ir jo kokybę, įgyvendinimo.</w:t>
            </w:r>
          </w:p>
          <w:p w14:paraId="5E4E533E" w14:textId="2A3DE189" w:rsidR="00CF65A3" w:rsidRPr="00B44B19" w:rsidRDefault="00CF65A3" w:rsidP="00CF65A3">
            <w:pPr>
              <w:pStyle w:val="Sraopastraipa"/>
              <w:ind w:left="0"/>
              <w:jc w:val="both"/>
              <w:rPr>
                <w:rFonts w:eastAsia="Times New Roman" w:cs="Times New Roman"/>
                <w:sz w:val="22"/>
              </w:rPr>
            </w:pPr>
            <w:r w:rsidRPr="00B44B19">
              <w:rPr>
                <w:rFonts w:eastAsia="Calibri" w:cs="Times New Roman"/>
                <w:noProof/>
                <w:sz w:val="22"/>
                <w:lang w:eastAsia="lt-LT" w:bidi="lt-LT"/>
              </w:rPr>
              <w:t xml:space="preserve">Pasirenkama </w:t>
            </w:r>
            <w:r w:rsidRPr="00B44B19">
              <w:rPr>
                <w:rFonts w:eastAsia="Calibri" w:cs="Times New Roman"/>
                <w:b/>
                <w:noProof/>
                <w:sz w:val="22"/>
                <w:lang w:eastAsia="lt-LT" w:bidi="lt-LT"/>
              </w:rPr>
              <w:t>finansavimo forma</w:t>
            </w:r>
            <w:r w:rsidRPr="00B44B19">
              <w:rPr>
                <w:rFonts w:eastAsia="Calibri" w:cs="Times New Roman"/>
                <w:noProof/>
                <w:sz w:val="22"/>
                <w:lang w:eastAsia="lt-LT" w:bidi="lt-LT"/>
              </w:rPr>
              <w:t xml:space="preserve"> – dotacija. Planuojamos vykdyti veiklos negeneruos pajamų, todėl joms neplanuojama taikyti finansinių priemonių.</w:t>
            </w:r>
          </w:p>
        </w:tc>
      </w:tr>
      <w:tr w:rsidR="00CF65A3" w:rsidRPr="00B44B19" w14:paraId="323365D3" w14:textId="77777777" w:rsidTr="00EB70C3">
        <w:tc>
          <w:tcPr>
            <w:tcW w:w="1350" w:type="pct"/>
            <w:vMerge w:val="restart"/>
          </w:tcPr>
          <w:p w14:paraId="0AD61756" w14:textId="77777777" w:rsidR="00CF65A3" w:rsidRPr="00B44B19" w:rsidRDefault="00CF65A3" w:rsidP="00CF65A3">
            <w:pPr>
              <w:pStyle w:val="Sraopastraipa"/>
              <w:ind w:left="0" w:right="35"/>
              <w:rPr>
                <w:rFonts w:cs="Times New Roman"/>
                <w:b/>
                <w:bCs/>
                <w:iCs/>
                <w:sz w:val="22"/>
                <w:lang w:bidi="lt-LT"/>
              </w:rPr>
            </w:pPr>
            <w:r w:rsidRPr="00B44B19">
              <w:rPr>
                <w:rFonts w:cs="Times New Roman"/>
                <w:b/>
                <w:bCs/>
                <w:iCs/>
                <w:sz w:val="22"/>
                <w:lang w:bidi="lt-LT"/>
              </w:rPr>
              <w:lastRenderedPageBreak/>
              <w:t>5. Piliečiams artimesnė Europa</w:t>
            </w:r>
          </w:p>
        </w:tc>
        <w:tc>
          <w:tcPr>
            <w:tcW w:w="1079" w:type="pct"/>
          </w:tcPr>
          <w:p w14:paraId="5249EB20" w14:textId="77777777" w:rsidR="00CF65A3" w:rsidRPr="00B44B19" w:rsidRDefault="00CF65A3" w:rsidP="00CF65A3">
            <w:pPr>
              <w:rPr>
                <w:rFonts w:cs="Times New Roman"/>
                <w:bCs/>
                <w:iCs/>
                <w:sz w:val="22"/>
                <w:lang w:bidi="lt-LT"/>
              </w:rPr>
            </w:pPr>
            <w:r w:rsidRPr="00B44B19">
              <w:rPr>
                <w:rFonts w:cs="Times New Roman"/>
                <w:bCs/>
                <w:iCs/>
                <w:sz w:val="22"/>
                <w:lang w:bidi="lt-LT"/>
              </w:rPr>
              <w:t>5.1. Skatinti integruotą ir įtraukią socialinę, ekonominę ir aplinkosaugos plėtrą, puoselėti kultūrą, gamtos paveldą, darnų turizmą ir saugumą miestų teritorijose</w:t>
            </w:r>
          </w:p>
        </w:tc>
        <w:tc>
          <w:tcPr>
            <w:tcW w:w="2571" w:type="pct"/>
          </w:tcPr>
          <w:p w14:paraId="78CDFCE5" w14:textId="77777777" w:rsidR="00CF65A3" w:rsidRPr="00B44B19" w:rsidRDefault="00CF65A3" w:rsidP="00CF65A3">
            <w:pPr>
              <w:jc w:val="both"/>
              <w:rPr>
                <w:rFonts w:eastAsia="Times New Roman" w:cs="Times New Roman"/>
                <w:sz w:val="22"/>
              </w:rPr>
            </w:pPr>
            <w:bookmarkStart w:id="7" w:name="_Hlk51572539"/>
            <w:bookmarkStart w:id="8" w:name="_Hlk51573608"/>
            <w:r w:rsidRPr="00B44B19">
              <w:rPr>
                <w:rFonts w:eastAsia="Times New Roman" w:cs="Times New Roman"/>
                <w:sz w:val="22"/>
              </w:rPr>
              <w:t xml:space="preserve">Atsižvelgdama į ES ir nacionalinius prioritetus dvi pastarąsias finansines perspektyvas, Lietuva investavo į miestų plėtrą: tvarkytos viešosios erdvės, gerinama gyvenamoji aplinka, plėtojama kultūros paslaugų, transporto, ekonominė infrastruktūra. Šie veiksmai rėmėsi sektoriniais prioritetais, nesudarė sąlygų vietos poreikiais paremtiems sprendimams, kad jie būtų individualūs, kompleksiniai ir integruoti. Siekiant pokyčio, didelis dėmesys skiriamas </w:t>
            </w:r>
            <w:r w:rsidRPr="00B44B19">
              <w:rPr>
                <w:rFonts w:cs="Times New Roman"/>
                <w:color w:val="000000"/>
                <w:sz w:val="22"/>
              </w:rPr>
              <w:t xml:space="preserve">bendradarbiavimui tarp savivaldybių (3 didžiausių miestų ir jų priemiesčių atveju), tinklaveikai ir </w:t>
            </w:r>
            <w:r w:rsidRPr="00B44B19">
              <w:rPr>
                <w:rFonts w:eastAsia="Times New Roman" w:cs="Times New Roman"/>
                <w:sz w:val="22"/>
              </w:rPr>
              <w:t xml:space="preserve">sprendimų decentralizacijai, taikant kūrybinės vietokūros (angl. </w:t>
            </w:r>
            <w:r w:rsidRPr="00B44B19">
              <w:rPr>
                <w:rFonts w:eastAsia="Times New Roman" w:cs="Times New Roman"/>
                <w:i/>
                <w:sz w:val="22"/>
              </w:rPr>
              <w:t>placemaking</w:t>
            </w:r>
            <w:r w:rsidRPr="00B44B19">
              <w:rPr>
                <w:rFonts w:eastAsia="Times New Roman" w:cs="Times New Roman"/>
                <w:sz w:val="22"/>
              </w:rPr>
              <w:t xml:space="preserve">), bendradarbiavimo ir tinklaveikos, tvarumo ir sumanumo, universalaus dizaino principus šio uždavinio ir kitų Programos uždavinių dermei, tam, kad užtikrinti pakankamą viešųjų paslaugų pasiūlą ir miestų teritorijų plėtrą, atitinkančią Naujojo Europos Bauhauzo principus. </w:t>
            </w:r>
          </w:p>
          <w:p w14:paraId="116BC7F8" w14:textId="77777777" w:rsidR="00CF65A3" w:rsidRPr="00B44B19" w:rsidRDefault="00CF65A3" w:rsidP="00CF65A3">
            <w:pPr>
              <w:jc w:val="both"/>
              <w:rPr>
                <w:rFonts w:eastAsia="Times New Roman" w:cs="Times New Roman"/>
                <w:sz w:val="22"/>
              </w:rPr>
            </w:pPr>
            <w:r w:rsidRPr="00B44B19">
              <w:rPr>
                <w:rFonts w:eastAsia="Times New Roman" w:cs="Times New Roman"/>
                <w:sz w:val="22"/>
              </w:rPr>
              <w:t>Užtikrinant tvarią miestų plėtrą, ypač svarbūs yra 10 miestų (regionų centrų – įgyvendinsiančių tvarios miestų plėtros veiksmus), nes jie dėl savo dydžio, ekonominio potencialo ir geografinės padėties funkcionuoja kaip administraciniai, ekonominiai, paslaugų teikimo centrai, peržengiantys savo savivaldybės ribas.</w:t>
            </w:r>
          </w:p>
          <w:p w14:paraId="6EE3226C" w14:textId="77777777" w:rsidR="00CF65A3" w:rsidRPr="00B44B19" w:rsidRDefault="00CF65A3" w:rsidP="00CF65A3">
            <w:pPr>
              <w:jc w:val="both"/>
              <w:rPr>
                <w:rFonts w:eastAsia="Times New Roman" w:cs="Times New Roman"/>
                <w:sz w:val="22"/>
              </w:rPr>
            </w:pPr>
            <w:r w:rsidRPr="00B44B19">
              <w:rPr>
                <w:rFonts w:eastAsia="Times New Roman" w:cs="Times New Roman"/>
                <w:sz w:val="22"/>
              </w:rPr>
              <w:t>Miestų ir jų priemiesčių savivaldybės tampa pagrindiniais veikėjais sprendžiant viešųjų paslaugų prieinamumo, verslo sąlygų, skurdo, atskirties, aplinkos taršos ir saugumo problemas. Tvariai miestų plėtrai reikia bendrų veiksmų visais valdžios lygmenimis, atsižvelgiant į specifinius vietinius iššūkius ir galimybes, todėl bus susitelkta (bet neapsiribota) į miestų ir jų priemiesčių:</w:t>
            </w:r>
            <w:r w:rsidRPr="00B44B19">
              <w:rPr>
                <w:rFonts w:cs="Times New Roman"/>
                <w:color w:val="000000"/>
                <w:sz w:val="22"/>
              </w:rPr>
              <w:t xml:space="preserve"> tvarų judumą, investicinio patrauklumo didinimą, verslo aplinkos gerinimą, gyvenimo kokybės gerinimą, ypač socialiai pažeidžiamoms grupėms (įskaitant taršos mažinimą, saugumo, socialinių, kultūrinių, sveikatinimo ir kt. poreikių geresnį tenkinimą), verslo, gyventojų, VVG, </w:t>
            </w:r>
            <w:r w:rsidRPr="00B44B19">
              <w:rPr>
                <w:rFonts w:cs="Times New Roman"/>
                <w:color w:val="000000"/>
                <w:sz w:val="22"/>
              </w:rPr>
              <w:lastRenderedPageBreak/>
              <w:t>NVO aktyvų įtraukimą nuo planavimo iki įgyvendinimo.</w:t>
            </w:r>
          </w:p>
          <w:p w14:paraId="1AAC8551" w14:textId="77777777" w:rsidR="00CF65A3" w:rsidRPr="00B44B19" w:rsidRDefault="00CF65A3" w:rsidP="00CF65A3">
            <w:pPr>
              <w:jc w:val="both"/>
              <w:rPr>
                <w:rFonts w:eastAsia="Times New Roman" w:cs="Times New Roman"/>
                <w:sz w:val="22"/>
              </w:rPr>
            </w:pPr>
            <w:r w:rsidRPr="00B44B19">
              <w:rPr>
                <w:rFonts w:eastAsia="Times New Roman" w:cs="Times New Roman"/>
                <w:sz w:val="22"/>
              </w:rPr>
              <w:t xml:space="preserve">Uždavinys bus įgyvendinamas kaip </w:t>
            </w:r>
            <w:r w:rsidRPr="00B44B19">
              <w:rPr>
                <w:rFonts w:eastAsia="Times New Roman" w:cs="Times New Roman"/>
                <w:b/>
                <w:sz w:val="22"/>
              </w:rPr>
              <w:t xml:space="preserve">ITI </w:t>
            </w:r>
            <w:r w:rsidRPr="00B44B19">
              <w:rPr>
                <w:rFonts w:eastAsia="Times New Roman" w:cs="Times New Roman"/>
                <w:sz w:val="22"/>
              </w:rPr>
              <w:t xml:space="preserve">dalis, derinant </w:t>
            </w:r>
            <w:r w:rsidRPr="00B44B19">
              <w:rPr>
                <w:rFonts w:eastAsia="Times New Roman" w:cs="Times New Roman"/>
                <w:b/>
                <w:sz w:val="22"/>
              </w:rPr>
              <w:t>tvarios</w:t>
            </w:r>
            <w:r w:rsidRPr="00B44B19">
              <w:rPr>
                <w:rFonts w:eastAsia="Times New Roman" w:cs="Times New Roman"/>
                <w:sz w:val="22"/>
              </w:rPr>
              <w:t xml:space="preserve"> </w:t>
            </w:r>
            <w:r w:rsidRPr="00B44B19">
              <w:rPr>
                <w:rFonts w:eastAsia="Times New Roman" w:cs="Times New Roman"/>
                <w:b/>
                <w:sz w:val="22"/>
              </w:rPr>
              <w:t>miestų plėtros strategijoms</w:t>
            </w:r>
            <w:r w:rsidRPr="00B44B19">
              <w:rPr>
                <w:rFonts w:eastAsia="Times New Roman" w:cs="Times New Roman"/>
                <w:sz w:val="22"/>
              </w:rPr>
              <w:t xml:space="preserve"> skiriamas investicijas ir kitų Programos prioritetų investicijas, užtikrinant jų sinergiją.</w:t>
            </w:r>
          </w:p>
          <w:p w14:paraId="67834678" w14:textId="77777777" w:rsidR="00CF65A3" w:rsidRPr="00B44B19" w:rsidRDefault="00CF65A3" w:rsidP="00CF65A3">
            <w:pPr>
              <w:jc w:val="both"/>
              <w:rPr>
                <w:rFonts w:cs="Times New Roman"/>
                <w:sz w:val="22"/>
              </w:rPr>
            </w:pPr>
            <w:r w:rsidRPr="00B44B19">
              <w:rPr>
                <w:rFonts w:eastAsia="Times New Roman" w:cs="Times New Roman"/>
                <w:iCs/>
                <w:sz w:val="22"/>
              </w:rPr>
              <w:t xml:space="preserve">Pasirenkama </w:t>
            </w:r>
            <w:r w:rsidRPr="00B44B19">
              <w:rPr>
                <w:rFonts w:eastAsia="Times New Roman" w:cs="Times New Roman"/>
                <w:b/>
                <w:iCs/>
                <w:sz w:val="22"/>
              </w:rPr>
              <w:t>finansavimo forma</w:t>
            </w:r>
            <w:r w:rsidRPr="00B44B19">
              <w:rPr>
                <w:rFonts w:eastAsia="Times New Roman" w:cs="Times New Roman"/>
                <w:iCs/>
                <w:sz w:val="22"/>
              </w:rPr>
              <w:t xml:space="preserve"> – dotacija. Planuojamos vykdyti veiklos negeneruoja pajamų, todėl joms neplanuojama taikyti finansinių priemonių.</w:t>
            </w:r>
            <w:bookmarkEnd w:id="7"/>
            <w:bookmarkEnd w:id="8"/>
          </w:p>
        </w:tc>
      </w:tr>
      <w:tr w:rsidR="00CF65A3" w:rsidRPr="00B44B19" w14:paraId="54A47ACF" w14:textId="77777777" w:rsidTr="00EB70C3">
        <w:tc>
          <w:tcPr>
            <w:tcW w:w="1350" w:type="pct"/>
            <w:vMerge/>
          </w:tcPr>
          <w:p w14:paraId="78D62FA2" w14:textId="77777777" w:rsidR="00CF65A3" w:rsidRPr="00B44B19" w:rsidRDefault="00CF65A3" w:rsidP="00CF65A3">
            <w:pPr>
              <w:pStyle w:val="Sraopastraipa"/>
              <w:ind w:left="0" w:right="35"/>
              <w:rPr>
                <w:rFonts w:cs="Times New Roman"/>
                <w:b/>
                <w:bCs/>
                <w:iCs/>
                <w:sz w:val="22"/>
                <w:lang w:bidi="lt-LT"/>
              </w:rPr>
            </w:pPr>
          </w:p>
        </w:tc>
        <w:tc>
          <w:tcPr>
            <w:tcW w:w="1079" w:type="pct"/>
          </w:tcPr>
          <w:p w14:paraId="4BEE4DD7" w14:textId="77777777" w:rsidR="00CF65A3" w:rsidRPr="00B44B19" w:rsidRDefault="00CF65A3" w:rsidP="00CF65A3">
            <w:pPr>
              <w:rPr>
                <w:rFonts w:cs="Times New Roman"/>
                <w:bCs/>
                <w:iCs/>
                <w:sz w:val="22"/>
                <w:lang w:bidi="lt-LT"/>
              </w:rPr>
            </w:pPr>
            <w:r w:rsidRPr="00B44B19">
              <w:rPr>
                <w:rFonts w:cs="Times New Roman"/>
                <w:bCs/>
                <w:iCs/>
                <w:sz w:val="22"/>
                <w:lang w:bidi="lt-LT"/>
              </w:rPr>
              <w:t>5.2. Skatinti integruotą ir įtraukią socialinę, ekonominę ir aplinkosaugos plėtrą vietos lygmeniu, puoselėti kultūrą, gamtos paveldą, darnų turizmą ir saugumą kitose nei miestų teritorijose</w:t>
            </w:r>
          </w:p>
        </w:tc>
        <w:tc>
          <w:tcPr>
            <w:tcW w:w="2571" w:type="pct"/>
          </w:tcPr>
          <w:p w14:paraId="102D11D7" w14:textId="77777777" w:rsidR="00CF65A3" w:rsidRPr="00B44B19" w:rsidRDefault="00CF65A3" w:rsidP="00CF65A3">
            <w:pPr>
              <w:spacing w:before="120"/>
              <w:contextualSpacing/>
              <w:jc w:val="both"/>
              <w:rPr>
                <w:rFonts w:eastAsia="Times New Roman" w:cs="Times New Roman"/>
                <w:color w:val="000000"/>
                <w:spacing w:val="6"/>
                <w:sz w:val="22"/>
                <w:shd w:val="clear" w:color="auto" w:fill="FFFFFF"/>
              </w:rPr>
            </w:pPr>
            <w:r w:rsidRPr="00B44B19">
              <w:rPr>
                <w:rFonts w:eastAsia="Times New Roman" w:cs="Times New Roman"/>
                <w:sz w:val="22"/>
              </w:rPr>
              <w:t xml:space="preserve">Grįžtamoji migracija, išaugusi švytuoklinė migracija, dėl kurios kultūriniai, švietimo ir kiti poreikiai vis dažniau tenkinami kitose nei gyvenamoji vietose, valstybės paskatos įsigyti būstą regionuose, pandemijos poveikis, </w:t>
            </w:r>
            <w:r w:rsidRPr="00B44B19">
              <w:rPr>
                <w:rFonts w:eastAsia="Times New Roman" w:cs="Times New Roman"/>
                <w:color w:val="000000"/>
                <w:sz w:val="22"/>
                <w:shd w:val="clear" w:color="auto" w:fill="FFFFFF"/>
              </w:rPr>
              <w:t>ekonominė transformacija reikalauja kompleksinių sprendimų regionų</w:t>
            </w:r>
            <w:r w:rsidRPr="00B44B19">
              <w:rPr>
                <w:rFonts w:eastAsia="Times New Roman" w:cs="Times New Roman"/>
                <w:sz w:val="22"/>
              </w:rPr>
              <w:t>. Dėl spartaus visuomenės senėjimo būtina ieškoti inovatyvių, kompleksinių viešųjų paslaugų teikimo būdų (kur tinkama – skaitmeninant), racionalaus jau sukurtos infrastruktūros naudojimo ir trūkstamos kūrimo būdų, suvienijant kelių savivaldybių pastangas.</w:t>
            </w:r>
          </w:p>
          <w:p w14:paraId="2C122BB1" w14:textId="77777777" w:rsidR="00CF65A3" w:rsidRPr="00B44B19" w:rsidRDefault="00CF65A3" w:rsidP="00CF65A3">
            <w:pPr>
              <w:contextualSpacing/>
              <w:jc w:val="both"/>
              <w:rPr>
                <w:rFonts w:eastAsia="Times New Roman" w:cs="Times New Roman"/>
                <w:sz w:val="22"/>
              </w:rPr>
            </w:pPr>
            <w:r w:rsidRPr="00B44B19">
              <w:rPr>
                <w:rFonts w:eastAsia="Times New Roman" w:cs="Times New Roman"/>
                <w:sz w:val="22"/>
              </w:rPr>
              <w:t>Įvertinusi vykstančius pokyčius, 2014–2020 m. ES finansiniu laikotarpiu Lietuva įgyvendina metodologinį kompleksinių FZ plėtros projektą („Tauragė+“, arba „Regionas+“). Jį įgyvendinant suformuotas efektyvesnis integruotos teritorinės plėtros metodas – savivaldybių iniciatyva, bendrais iššūkiais, kolegialiu sprendimu paremtas bendrų veiksmų planavimas ir vykdymas FZ iš esmės pagerina veiksmų koordinavimą, visuomenės ir partnerių įtraukimą, vietos valdžios ir partnerių gebėjimų stiprinimą ir užtikrina investicinių išteklių racionalų panaudojimą.</w:t>
            </w:r>
          </w:p>
          <w:p w14:paraId="5022DCD2" w14:textId="77777777" w:rsidR="00CF65A3" w:rsidRPr="00B44B19" w:rsidRDefault="00CF65A3" w:rsidP="00CF65A3">
            <w:pPr>
              <w:jc w:val="both"/>
              <w:rPr>
                <w:rFonts w:eastAsia="Times New Roman" w:cs="Times New Roman"/>
                <w:sz w:val="22"/>
              </w:rPr>
            </w:pPr>
            <w:r w:rsidRPr="00B44B19">
              <w:rPr>
                <w:rFonts w:eastAsia="Times New Roman" w:cs="Times New Roman"/>
                <w:sz w:val="22"/>
              </w:rPr>
              <w:t xml:space="preserve">Siekiant panaudoti </w:t>
            </w:r>
            <w:r w:rsidRPr="00B44B19">
              <w:rPr>
                <w:rFonts w:eastAsia="Times New Roman" w:cs="Times New Roman"/>
                <w:b/>
                <w:sz w:val="22"/>
              </w:rPr>
              <w:t>savivaldybių bendrų veiksmų potencialą,</w:t>
            </w:r>
            <w:r w:rsidRPr="00B44B19">
              <w:rPr>
                <w:rFonts w:eastAsia="Times New Roman" w:cs="Times New Roman"/>
                <w:sz w:val="22"/>
              </w:rPr>
              <w:t xml:space="preserve"> numatoma koncentruotis (bet neapsiriboti) į:</w:t>
            </w:r>
          </w:p>
          <w:p w14:paraId="647E54FB" w14:textId="77777777" w:rsidR="00CF65A3" w:rsidRPr="00B44B19" w:rsidRDefault="00CF65A3" w:rsidP="00CF65A3">
            <w:pPr>
              <w:numPr>
                <w:ilvl w:val="0"/>
                <w:numId w:val="12"/>
              </w:numPr>
              <w:tabs>
                <w:tab w:val="left" w:pos="599"/>
              </w:tabs>
              <w:ind w:left="318" w:firstLine="0"/>
              <w:jc w:val="both"/>
              <w:rPr>
                <w:rFonts w:eastAsia="Times New Roman" w:cs="Times New Roman"/>
                <w:sz w:val="22"/>
              </w:rPr>
            </w:pPr>
            <w:r w:rsidRPr="00B44B19">
              <w:rPr>
                <w:rFonts w:eastAsia="Times New Roman" w:cs="Times New Roman"/>
                <w:bCs/>
                <w:sz w:val="22"/>
              </w:rPr>
              <w:t>tvarų, funkcionalų, integruotą mobilumą;</w:t>
            </w:r>
          </w:p>
          <w:p w14:paraId="5D8F0237" w14:textId="77777777" w:rsidR="00CF65A3" w:rsidRPr="00B44B19" w:rsidRDefault="00CF65A3" w:rsidP="00CF65A3">
            <w:pPr>
              <w:numPr>
                <w:ilvl w:val="0"/>
                <w:numId w:val="12"/>
              </w:numPr>
              <w:tabs>
                <w:tab w:val="left" w:pos="599"/>
              </w:tabs>
              <w:ind w:left="318" w:firstLine="0"/>
              <w:jc w:val="both"/>
              <w:rPr>
                <w:rFonts w:eastAsia="Times New Roman" w:cs="Times New Roman"/>
                <w:sz w:val="22"/>
              </w:rPr>
            </w:pPr>
            <w:r w:rsidRPr="00B44B19">
              <w:rPr>
                <w:rFonts w:eastAsia="Times New Roman" w:cs="Times New Roman"/>
                <w:bCs/>
                <w:sz w:val="22"/>
              </w:rPr>
              <w:t>kokybiškas, inovatyvias ir kompleksines viešąsias paslaugas, efektyvią viešąją infrastruktūrą;</w:t>
            </w:r>
          </w:p>
          <w:p w14:paraId="5254DA6F" w14:textId="77777777" w:rsidR="00CF65A3" w:rsidRPr="00B44B19" w:rsidRDefault="00CF65A3" w:rsidP="00CF65A3">
            <w:pPr>
              <w:numPr>
                <w:ilvl w:val="0"/>
                <w:numId w:val="12"/>
              </w:numPr>
              <w:tabs>
                <w:tab w:val="left" w:pos="599"/>
              </w:tabs>
              <w:ind w:left="318" w:firstLine="0"/>
              <w:jc w:val="both"/>
              <w:rPr>
                <w:rFonts w:eastAsia="Times New Roman" w:cs="Times New Roman"/>
                <w:sz w:val="22"/>
              </w:rPr>
            </w:pPr>
            <w:r w:rsidRPr="00B44B19">
              <w:rPr>
                <w:rFonts w:eastAsia="Times New Roman" w:cs="Times New Roman"/>
                <w:bCs/>
                <w:sz w:val="22"/>
              </w:rPr>
              <w:t>socialinės įtraukties stiprinimą ir bazinių poreikių užtikrinimą;</w:t>
            </w:r>
          </w:p>
          <w:p w14:paraId="1C4CC817" w14:textId="77777777" w:rsidR="00CF65A3" w:rsidRPr="00B44B19" w:rsidRDefault="00CF65A3" w:rsidP="00CF65A3">
            <w:pPr>
              <w:numPr>
                <w:ilvl w:val="0"/>
                <w:numId w:val="12"/>
              </w:numPr>
              <w:tabs>
                <w:tab w:val="left" w:pos="599"/>
              </w:tabs>
              <w:ind w:left="318" w:firstLine="0"/>
              <w:jc w:val="both"/>
              <w:rPr>
                <w:rFonts w:eastAsia="Times New Roman" w:cs="Times New Roman"/>
                <w:sz w:val="22"/>
              </w:rPr>
            </w:pPr>
            <w:r w:rsidRPr="00B44B19">
              <w:rPr>
                <w:rFonts w:eastAsia="Times New Roman" w:cs="Times New Roman"/>
                <w:sz w:val="22"/>
              </w:rPr>
              <w:t>regionų investicinio potencialo stiprinimą ir verslo aplinkos gerinimą;</w:t>
            </w:r>
          </w:p>
          <w:p w14:paraId="48A4E62F" w14:textId="77777777" w:rsidR="00CF65A3" w:rsidRPr="00B44B19" w:rsidRDefault="00CF65A3" w:rsidP="00CF65A3">
            <w:pPr>
              <w:numPr>
                <w:ilvl w:val="0"/>
                <w:numId w:val="12"/>
              </w:numPr>
              <w:tabs>
                <w:tab w:val="left" w:pos="599"/>
              </w:tabs>
              <w:ind w:left="318" w:firstLine="0"/>
              <w:jc w:val="both"/>
              <w:rPr>
                <w:rFonts w:eastAsia="Times New Roman" w:cs="Times New Roman"/>
                <w:sz w:val="22"/>
              </w:rPr>
            </w:pPr>
            <w:r w:rsidRPr="00B44B19">
              <w:rPr>
                <w:rFonts w:eastAsia="Times New Roman" w:cs="Times New Roman"/>
                <w:sz w:val="22"/>
              </w:rPr>
              <w:t>plačią partnerystę, teritorinių problemų sprendimą įtraukiant visuomenę ir partnerius.</w:t>
            </w:r>
          </w:p>
          <w:p w14:paraId="791F6C04" w14:textId="77777777" w:rsidR="00CF65A3" w:rsidRPr="00B44B19" w:rsidRDefault="00CF65A3" w:rsidP="00CF65A3">
            <w:pPr>
              <w:jc w:val="both"/>
              <w:rPr>
                <w:rFonts w:eastAsia="Times New Roman" w:cs="Times New Roman"/>
                <w:sz w:val="22"/>
              </w:rPr>
            </w:pPr>
            <w:r w:rsidRPr="00B44B19">
              <w:rPr>
                <w:rFonts w:eastAsia="Times New Roman" w:cs="Times New Roman"/>
                <w:sz w:val="22"/>
              </w:rPr>
              <w:t>Uždavinys įgyvendinamas kaip</w:t>
            </w:r>
            <w:r w:rsidRPr="00B44B19">
              <w:rPr>
                <w:rFonts w:eastAsia="Times New Roman" w:cs="Times New Roman"/>
                <w:b/>
                <w:sz w:val="22"/>
              </w:rPr>
              <w:t xml:space="preserve"> ITI </w:t>
            </w:r>
            <w:r w:rsidRPr="00B44B19">
              <w:rPr>
                <w:rFonts w:eastAsia="Times New Roman" w:cs="Times New Roman"/>
                <w:sz w:val="22"/>
              </w:rPr>
              <w:t xml:space="preserve">dalis, sudarant galimybę </w:t>
            </w:r>
            <w:r w:rsidRPr="00B44B19">
              <w:rPr>
                <w:rFonts w:eastAsia="Times New Roman" w:cs="Times New Roman"/>
                <w:b/>
                <w:sz w:val="22"/>
              </w:rPr>
              <w:t>FZ plėtrai</w:t>
            </w:r>
            <w:r w:rsidRPr="00B44B19">
              <w:rPr>
                <w:rFonts w:eastAsia="Times New Roman" w:cs="Times New Roman"/>
                <w:sz w:val="22"/>
              </w:rPr>
              <w:t xml:space="preserve"> naudoti ir kitų Programos prioritetų investicijas.</w:t>
            </w:r>
          </w:p>
          <w:p w14:paraId="457FD894" w14:textId="77777777" w:rsidR="00CF65A3" w:rsidRPr="00B44B19" w:rsidRDefault="00CF65A3" w:rsidP="00CF65A3">
            <w:pPr>
              <w:spacing w:after="120"/>
              <w:jc w:val="both"/>
              <w:rPr>
                <w:rFonts w:cs="Times New Roman"/>
                <w:sz w:val="22"/>
              </w:rPr>
            </w:pPr>
            <w:r w:rsidRPr="00B44B19">
              <w:rPr>
                <w:rFonts w:eastAsia="Times New Roman" w:cs="Times New Roman"/>
                <w:iCs/>
                <w:sz w:val="22"/>
              </w:rPr>
              <w:t xml:space="preserve">Pasirenkama </w:t>
            </w:r>
            <w:r w:rsidRPr="00B44B19">
              <w:rPr>
                <w:rFonts w:eastAsia="Times New Roman" w:cs="Times New Roman"/>
                <w:b/>
                <w:iCs/>
                <w:sz w:val="22"/>
              </w:rPr>
              <w:t>finansavimo forma</w:t>
            </w:r>
            <w:r w:rsidRPr="00B44B19">
              <w:rPr>
                <w:rFonts w:eastAsia="Times New Roman" w:cs="Times New Roman"/>
                <w:iCs/>
                <w:sz w:val="22"/>
              </w:rPr>
              <w:t xml:space="preserve"> – dotacija. Planuojamos vykdyti veiklos negeneruoja pajamų, todėl joms neplanuojama taikyti finansinių priemonių.</w:t>
            </w:r>
          </w:p>
        </w:tc>
      </w:tr>
      <w:tr w:rsidR="00CF65A3" w:rsidRPr="00B44B19" w14:paraId="4261808C" w14:textId="77777777" w:rsidTr="00EB70C3">
        <w:tc>
          <w:tcPr>
            <w:tcW w:w="1350" w:type="pct"/>
          </w:tcPr>
          <w:p w14:paraId="53B18972" w14:textId="31621D7B" w:rsidR="00CF65A3" w:rsidRPr="00B44B19" w:rsidRDefault="00CF65A3" w:rsidP="00CF65A3">
            <w:pPr>
              <w:pStyle w:val="Sraopastraipa"/>
              <w:ind w:left="0" w:right="35"/>
              <w:rPr>
                <w:rFonts w:cs="Times New Roman"/>
                <w:b/>
                <w:bCs/>
                <w:iCs/>
                <w:sz w:val="22"/>
                <w:lang w:bidi="lt-LT"/>
              </w:rPr>
            </w:pPr>
            <w:r w:rsidRPr="00B44B19">
              <w:rPr>
                <w:rFonts w:cs="Times New Roman"/>
                <w:b/>
                <w:bCs/>
                <w:iCs/>
                <w:sz w:val="22"/>
                <w:lang w:bidi="lt-LT"/>
              </w:rPr>
              <w:lastRenderedPageBreak/>
              <w:t>9. Konkretus TPF tikslas</w:t>
            </w:r>
          </w:p>
        </w:tc>
        <w:tc>
          <w:tcPr>
            <w:tcW w:w="1079" w:type="pct"/>
          </w:tcPr>
          <w:p w14:paraId="5CF2CA6E" w14:textId="09B8C468" w:rsidR="00CF65A3" w:rsidRPr="00B44B19" w:rsidRDefault="00CF65A3" w:rsidP="00CF65A3">
            <w:pPr>
              <w:rPr>
                <w:rFonts w:cs="Times New Roman"/>
                <w:sz w:val="22"/>
                <w:szCs w:val="20"/>
              </w:rPr>
            </w:pPr>
            <w:r w:rsidRPr="00B44B19">
              <w:rPr>
                <w:rFonts w:cs="Times New Roman"/>
                <w:sz w:val="22"/>
              </w:rPr>
              <w:t>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c>
          <w:tcPr>
            <w:tcW w:w="2571" w:type="pct"/>
          </w:tcPr>
          <w:p w14:paraId="1A10C2DB" w14:textId="2A219BF0" w:rsidR="00CF65A3" w:rsidRPr="00B44B19" w:rsidRDefault="00CF65A3" w:rsidP="00CF65A3">
            <w:pPr>
              <w:tabs>
                <w:tab w:val="left" w:pos="0"/>
              </w:tabs>
              <w:spacing w:line="23" w:lineRule="atLeast"/>
              <w:jc w:val="both"/>
              <w:rPr>
                <w:rFonts w:cs="Times New Roman"/>
                <w:sz w:val="22"/>
              </w:rPr>
            </w:pPr>
            <w:r w:rsidRPr="00B44B19">
              <w:rPr>
                <w:rFonts w:cs="Times New Roman"/>
                <w:sz w:val="22"/>
              </w:rPr>
              <w:t>Lietuvos ekonomikos energijos suvartojimo ir ŠESD intensyvumas, lyginant su sukuriama pridėtine verte, yra vienas didžiausių ES. Taip pat, Kauno, Telšių ir Šiaulių apskrityse veikia trys pramonės įmonės (AB „Achema“, AB „Akmenės Cementas“, AB „ORLEN Lietuva“), kurios išmeta labai daug ŠESD ir be kita ko yra svarbus užimtumo šaltinis regione. Apskaičiuota, kad apie 810 mln. EUR BVP nacionalinėje ekonomikoje (2 % visos BVP) ir apie 25 000 darbo vietų yra tiesiogiai ar netiesiogiai susijusios su šiais trimis pramonės objektais – tai yra bendras šių trijų pramonės įrenginių socialinės ir ekonominės rizikos ekonomikai dydis.</w:t>
            </w:r>
          </w:p>
          <w:p w14:paraId="10101704" w14:textId="77777777" w:rsidR="00CF65A3" w:rsidRPr="00B44B19" w:rsidRDefault="00CF65A3" w:rsidP="00CF65A3">
            <w:pPr>
              <w:tabs>
                <w:tab w:val="left" w:pos="709"/>
              </w:tabs>
              <w:jc w:val="both"/>
              <w:rPr>
                <w:rFonts w:cs="Times New Roman"/>
                <w:sz w:val="22"/>
              </w:rPr>
            </w:pPr>
            <w:r w:rsidRPr="00B44B19">
              <w:rPr>
                <w:rFonts w:cs="Times New Roman"/>
                <w:sz w:val="22"/>
              </w:rPr>
              <w:t>Ekspertų atlikta išsami analizė, atskleidė, jog žaliosios pertvarkos labiausiai veikiami Lietuvos regionai, norėdami tapti visapusiškai atsparesni ir nepriklausomi nuo iškastinio kuro naudojimo, turi diegti ne tik AEI ir energijos vartojimo efektyvumą skatinančias priemones (dekarbonizacija), bet ir įvairinti vietos ekonominę ekosistemą, sudaryti sąlygas naujų verslų ir tvarių darbo vietų kūrimui bei investuoti į vietos žmogiškojo kapitalo įgūdžius. Siūlomos TPF investavimo kryptys atitinka 2020 m. šalies semestro ataskaitos D priede EK rekomenduojamas prioritetines investavimo gaires Lietuvai ir nacionalinės Klimato kaitos ir valdymo darbotvarkės ambicijas.</w:t>
            </w:r>
          </w:p>
          <w:p w14:paraId="544FA48E" w14:textId="658B7FA9" w:rsidR="00CF65A3" w:rsidRPr="00B44B19" w:rsidRDefault="00CF65A3" w:rsidP="00CF65A3">
            <w:pPr>
              <w:widowControl w:val="0"/>
              <w:jc w:val="both"/>
              <w:textAlignment w:val="baseline"/>
              <w:rPr>
                <w:rFonts w:cs="Times New Roman"/>
                <w:sz w:val="22"/>
              </w:rPr>
            </w:pPr>
            <w:r w:rsidRPr="00B44B19">
              <w:rPr>
                <w:rFonts w:cs="Times New Roman"/>
                <w:b/>
                <w:bCs/>
                <w:sz w:val="22"/>
              </w:rPr>
              <w:t>Pasirenkama finansavimo forma</w:t>
            </w:r>
            <w:r w:rsidRPr="00B44B19">
              <w:rPr>
                <w:rFonts w:cs="Times New Roman"/>
                <w:sz w:val="22"/>
              </w:rPr>
              <w:t xml:space="preserve"> – dotacijos, kadangi TPF investicijomis siekiama sparčiausiu įmanomu būdu skatinti žaliųjų investicijų pasiūlą, o trys taršiausi Lietuvos regionai yra mažiau išsivysčiusiame Vidurio ir Vakarų Lietuvos regione. Įvertinus turimą patirtį NUTS2 lygiu, dėl veiklų siauros paskirties, taikomų apribojimų pareiškėjams ir konkrečiai vietovei, jos sunkiai būtų įgyvendinamos NUTS3 lygiu finansinių priemonių forma.</w:t>
            </w:r>
          </w:p>
          <w:p w14:paraId="694CCD01" w14:textId="0E68CCF5" w:rsidR="00CF65A3" w:rsidRPr="00B44B19" w:rsidRDefault="00CF65A3" w:rsidP="00CF65A3">
            <w:pPr>
              <w:contextualSpacing/>
              <w:jc w:val="both"/>
              <w:rPr>
                <w:rFonts w:eastAsia="Times New Roman" w:cs="Times New Roman"/>
                <w:sz w:val="22"/>
              </w:rPr>
            </w:pPr>
            <w:r w:rsidRPr="00B44B19">
              <w:rPr>
                <w:rFonts w:cs="Times New Roman"/>
                <w:sz w:val="22"/>
              </w:rPr>
              <w:t xml:space="preserve">TPF investicijos reikšmingai prisidės prie </w:t>
            </w:r>
            <w:r w:rsidRPr="00B44B19">
              <w:rPr>
                <w:rFonts w:cs="Times New Roman"/>
                <w:b/>
                <w:bCs/>
                <w:sz w:val="22"/>
              </w:rPr>
              <w:t xml:space="preserve">BJRS </w:t>
            </w:r>
            <w:r w:rsidRPr="00B44B19">
              <w:rPr>
                <w:rFonts w:cs="Times New Roman"/>
                <w:sz w:val="22"/>
              </w:rPr>
              <w:t>politinių sričių „Energetika“, „Inovacijos“ ir „Švietimas“,</w:t>
            </w:r>
            <w:r w:rsidRPr="00B44B19">
              <w:rPr>
                <w:rFonts w:cs="Times New Roman"/>
                <w:b/>
                <w:bCs/>
                <w:sz w:val="22"/>
              </w:rPr>
              <w:t xml:space="preserve"> </w:t>
            </w:r>
            <w:r w:rsidRPr="00B44B19">
              <w:rPr>
                <w:rFonts w:cs="Times New Roman"/>
                <w:sz w:val="22"/>
              </w:rPr>
              <w:t>kadangi bus dekarbonizuojamos ATLPS dalyvaujančios įmonės, kuriamos tvarios darbo vietos, o skatinamos inovatyvios CCS ir CCU technologijų plėtra lems platesnes Lietuvos galimybes įgyti tarptautines kompetencijas ir vykdyti mokslinius tyrimus šioje srityje.</w:t>
            </w:r>
          </w:p>
        </w:tc>
      </w:tr>
    </w:tbl>
    <w:p w14:paraId="45083742" w14:textId="77777777" w:rsidR="009952B9" w:rsidRPr="00B44B19" w:rsidRDefault="009952B9">
      <w:pPr>
        <w:rPr>
          <w:rFonts w:cs="Times New Roman"/>
          <w:bCs/>
          <w:szCs w:val="24"/>
        </w:rPr>
      </w:pPr>
      <w:r w:rsidRPr="00B44B19">
        <w:rPr>
          <w:rFonts w:cs="Times New Roman"/>
          <w:bCs/>
          <w:szCs w:val="24"/>
        </w:rPr>
        <w:br w:type="page"/>
      </w:r>
    </w:p>
    <w:p w14:paraId="673CB392" w14:textId="77777777" w:rsidR="008F2AC6" w:rsidRPr="00D456C1" w:rsidRDefault="008F2AC6" w:rsidP="00D456C1">
      <w:pPr>
        <w:pStyle w:val="Antrat1"/>
        <w:numPr>
          <w:ilvl w:val="0"/>
          <w:numId w:val="10"/>
        </w:numPr>
      </w:pPr>
      <w:bookmarkStart w:id="9" w:name="_Toc223435408"/>
      <w:r w:rsidRPr="00D456C1">
        <w:lastRenderedPageBreak/>
        <w:t>PRIORITET</w:t>
      </w:r>
      <w:r w:rsidR="00891CA2" w:rsidRPr="00D456C1">
        <w:t>Ų APRAŠYMAS</w:t>
      </w:r>
      <w:bookmarkEnd w:id="9"/>
    </w:p>
    <w:p w14:paraId="1EC1C4A7" w14:textId="77777777" w:rsidR="00EF291A" w:rsidRPr="00D456C1" w:rsidRDefault="00EF291A" w:rsidP="00D456C1">
      <w:pPr>
        <w:pStyle w:val="Antrat1"/>
      </w:pPr>
      <w:bookmarkStart w:id="10" w:name="_Toc223435409"/>
      <w:r w:rsidRPr="00D456C1">
        <w:t>1 Prioritetas. Pažangesnė Lietuva</w:t>
      </w:r>
      <w:bookmarkEnd w:id="10"/>
    </w:p>
    <w:p w14:paraId="0AA201A1" w14:textId="77777777" w:rsidR="00EF291A" w:rsidRPr="00D456C1" w:rsidRDefault="00EF291A" w:rsidP="00D456C1">
      <w:pPr>
        <w:pStyle w:val="Antrat2"/>
        <w:rPr>
          <w:rFonts w:eastAsia="Calibri"/>
          <w:noProof/>
          <w:lang w:eastAsia="lt-LT" w:bidi="lt-LT"/>
        </w:rPr>
      </w:pPr>
      <w:bookmarkStart w:id="11" w:name="_Toc223435410"/>
      <w:r w:rsidRPr="00D456C1">
        <w:rPr>
          <w:rFonts w:eastAsia="Calibri"/>
          <w:noProof/>
          <w:lang w:eastAsia="lt-LT" w:bidi="lt-LT"/>
        </w:rPr>
        <w:t xml:space="preserve">Konkretus uždavinys – 1.1. </w:t>
      </w:r>
      <w:r w:rsidR="00C659A3" w:rsidRPr="00D456C1">
        <w:rPr>
          <w:lang w:bidi="lt-LT"/>
        </w:rPr>
        <w:t>Plėtoti ir stiprinti mokslinių tyrimų ir inovacinius pajėgumus ir diegti pažangiąsias technologijas</w:t>
      </w:r>
      <w:bookmarkEnd w:id="11"/>
    </w:p>
    <w:p w14:paraId="0425317E"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Įgyvendinamos veiklos</w:t>
      </w:r>
    </w:p>
    <w:tbl>
      <w:tblPr>
        <w:tblStyle w:val="Lentelstinklelis3"/>
        <w:tblW w:w="9889" w:type="dxa"/>
        <w:tblLook w:val="04A0" w:firstRow="1" w:lastRow="0" w:firstColumn="1" w:lastColumn="0" w:noHBand="0" w:noVBand="1"/>
      </w:tblPr>
      <w:tblGrid>
        <w:gridCol w:w="9889"/>
      </w:tblGrid>
      <w:tr w:rsidR="00EF291A" w:rsidRPr="00B44B19" w14:paraId="019646AB" w14:textId="77777777" w:rsidTr="00EB70C3">
        <w:tc>
          <w:tcPr>
            <w:tcW w:w="9889" w:type="dxa"/>
          </w:tcPr>
          <w:p w14:paraId="21E86480" w14:textId="77777777" w:rsidR="009C6543" w:rsidRPr="00B44B19" w:rsidRDefault="009C6543" w:rsidP="00B059CA">
            <w:pPr>
              <w:spacing w:before="60" w:after="60"/>
              <w:jc w:val="both"/>
              <w:rPr>
                <w:rFonts w:ascii="Times New Roman" w:eastAsia="Calibri" w:hAnsi="Times New Roman" w:cs="Times New Roman"/>
              </w:rPr>
            </w:pPr>
            <w:r w:rsidRPr="00B44B19">
              <w:rPr>
                <w:rFonts w:ascii="Times New Roman" w:eastAsia="Calibri" w:hAnsi="Times New Roman" w:cs="Times New Roman"/>
              </w:rPr>
              <w:t xml:space="preserve">Uždavinys įgyvendina </w:t>
            </w:r>
            <w:r w:rsidR="006E0996" w:rsidRPr="00B44B19">
              <w:rPr>
                <w:rFonts w:ascii="Times New Roman" w:eastAsia="Calibri" w:hAnsi="Times New Roman" w:cs="Times New Roman"/>
                <w:b/>
                <w:bCs/>
              </w:rPr>
              <w:t>S4</w:t>
            </w:r>
            <w:r w:rsidR="006E0996" w:rsidRPr="00B44B19">
              <w:rPr>
                <w:rFonts w:ascii="Times New Roman" w:eastAsia="Calibri" w:hAnsi="Times New Roman" w:cs="Times New Roman"/>
              </w:rPr>
              <w:t>.</w:t>
            </w:r>
            <w:r w:rsidRPr="00B44B19">
              <w:rPr>
                <w:rFonts w:ascii="Times New Roman" w:eastAsia="Calibri" w:hAnsi="Times New Roman" w:cs="Times New Roman"/>
              </w:rPr>
              <w:t xml:space="preserve"> Prisideda prie investicijų į MTEPI didinimą, komercinamų žinių kūrimą</w:t>
            </w:r>
            <w:r w:rsidR="008062B2" w:rsidRPr="00B44B19">
              <w:rPr>
                <w:rFonts w:ascii="Times New Roman" w:eastAsia="Calibri" w:hAnsi="Times New Roman" w:cs="Times New Roman"/>
              </w:rPr>
              <w:t>/</w:t>
            </w:r>
            <w:r w:rsidRPr="00B44B19">
              <w:rPr>
                <w:rFonts w:ascii="Times New Roman" w:eastAsia="Calibri" w:hAnsi="Times New Roman" w:cs="Times New Roman"/>
              </w:rPr>
              <w:t xml:space="preserve"> perdavimą, atliepiant visuomenės ir verslo poreikius.</w:t>
            </w:r>
          </w:p>
          <w:p w14:paraId="6B643F0A" w14:textId="4EA87B7D"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Žemas aktyvumas tarptautinėse mokslo iniciatyvose </w:t>
            </w:r>
            <w:r w:rsidR="00BE77C8" w:rsidRPr="00B44B19">
              <w:rPr>
                <w:rFonts w:ascii="Times New Roman" w:eastAsia="Times New Roman" w:hAnsi="Times New Roman" w:cs="Times New Roman"/>
              </w:rPr>
              <w:t>lemia</w:t>
            </w:r>
            <w:r w:rsidRPr="00B44B19">
              <w:rPr>
                <w:rFonts w:ascii="Times New Roman" w:eastAsia="Times New Roman" w:hAnsi="Times New Roman" w:cs="Times New Roman"/>
              </w:rPr>
              <w:t xml:space="preserve"> nepakankamą mokslo tarptautiškumo lygį, todėl bus skatinamas </w:t>
            </w:r>
            <w:r w:rsidR="00BE77C8" w:rsidRPr="00B44B19">
              <w:rPr>
                <w:rFonts w:ascii="Times New Roman" w:eastAsia="Times New Roman" w:hAnsi="Times New Roman" w:cs="Times New Roman"/>
              </w:rPr>
              <w:t>MSI įsitraukimas</w:t>
            </w:r>
            <w:r w:rsidRPr="00B44B19">
              <w:rPr>
                <w:rFonts w:ascii="Times New Roman" w:eastAsia="Times New Roman" w:hAnsi="Times New Roman" w:cs="Times New Roman"/>
              </w:rPr>
              <w:t xml:space="preserve"> į tarptautines mokslinių tyrimų infrastruktūras, tarptautines organizacijas, tinklus, dalyvavimas tarptautinėse MTI programose</w:t>
            </w:r>
            <w:r w:rsidR="007265E0" w:rsidRPr="00B44B19">
              <w:rPr>
                <w:rFonts w:ascii="Times New Roman" w:eastAsia="Times New Roman" w:hAnsi="Times New Roman" w:cs="Times New Roman"/>
              </w:rPr>
              <w:t>,</w:t>
            </w:r>
            <w:r w:rsidRPr="00B44B19">
              <w:rPr>
                <w:rFonts w:ascii="Times New Roman" w:eastAsia="Times New Roman" w:hAnsi="Times New Roman" w:cs="Times New Roman"/>
              </w:rPr>
              <w:t xml:space="preserve"> investuojama į tyrėjų pritraukimą, gebėjimų stiprinimą</w:t>
            </w:r>
            <w:r w:rsidR="007265E0" w:rsidRPr="00B44B19">
              <w:rPr>
                <w:rFonts w:ascii="Times New Roman" w:eastAsia="Times New Roman" w:hAnsi="Times New Roman" w:cs="Times New Roman"/>
              </w:rPr>
              <w:t>,</w:t>
            </w:r>
            <w:r w:rsidR="001525F6"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protų cirkuliaciją, į MSI gebėjimus bendradarbiauti su verslu, teikti žinių </w:t>
            </w:r>
            <w:r w:rsidR="00BE77C8" w:rsidRPr="00B44B19">
              <w:rPr>
                <w:rFonts w:ascii="Times New Roman" w:eastAsia="Times New Roman" w:hAnsi="Times New Roman" w:cs="Times New Roman"/>
              </w:rPr>
              <w:t xml:space="preserve">perdavimo ir (arba) </w:t>
            </w:r>
            <w:r w:rsidRPr="00B44B19">
              <w:rPr>
                <w:rFonts w:ascii="Times New Roman" w:eastAsia="Times New Roman" w:hAnsi="Times New Roman" w:cs="Times New Roman"/>
              </w:rPr>
              <w:t>komercinimo paslaugas.</w:t>
            </w:r>
          </w:p>
          <w:p w14:paraId="7FD359D7" w14:textId="699033C9"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Sprendžiant </w:t>
            </w:r>
            <w:r w:rsidR="00BE77C8" w:rsidRPr="00B44B19">
              <w:rPr>
                <w:rFonts w:ascii="Times New Roman" w:eastAsia="Times New Roman" w:hAnsi="Times New Roman" w:cs="Times New Roman"/>
              </w:rPr>
              <w:t>ūkio poslinkį</w:t>
            </w:r>
            <w:r w:rsidRPr="00B44B19">
              <w:rPr>
                <w:rFonts w:ascii="Times New Roman" w:eastAsia="Times New Roman" w:hAnsi="Times New Roman" w:cs="Times New Roman"/>
              </w:rPr>
              <w:t xml:space="preserve"> link APV produktų gamybos, bus investuojama į palankių sąlygų sudarymą startuoliams kurtis, MVĮ transformaciją į APV VVL regione. Didinant inovacijų pasiūlą, MVĮ </w:t>
            </w:r>
            <w:r w:rsidR="00BE77C8" w:rsidRPr="00B44B19">
              <w:rPr>
                <w:rFonts w:ascii="Times New Roman" w:eastAsia="Times New Roman" w:hAnsi="Times New Roman" w:cs="Times New Roman"/>
              </w:rPr>
              <w:t xml:space="preserve">bus remiamos </w:t>
            </w:r>
            <w:r w:rsidRPr="00B44B19">
              <w:rPr>
                <w:rFonts w:ascii="Times New Roman" w:eastAsia="Times New Roman" w:hAnsi="Times New Roman" w:cs="Times New Roman"/>
              </w:rPr>
              <w:t>iki galutinio produkto komercinimo. Stiprinami viešojo sektoriaus gebėjimai vykdyti ikiprekybinius pirkimus, o MVĮ skatinamos kurti inovatyvius produktus. TUI pritraukimas į MTEPI prisidės prie privačių investicijų į MTEP ir technologijų perdavim</w:t>
            </w:r>
            <w:r w:rsidR="00BB0D1D" w:rsidRPr="00B44B19">
              <w:rPr>
                <w:rFonts w:ascii="Times New Roman" w:eastAsia="Times New Roman" w:hAnsi="Times New Roman" w:cs="Times New Roman"/>
              </w:rPr>
              <w:t>o</w:t>
            </w:r>
            <w:r w:rsidRPr="00B44B19">
              <w:rPr>
                <w:rFonts w:ascii="Times New Roman" w:eastAsia="Times New Roman" w:hAnsi="Times New Roman" w:cs="Times New Roman"/>
              </w:rPr>
              <w:t xml:space="preserve"> mažiau žinioms imlioms </w:t>
            </w:r>
            <w:r w:rsidRPr="00B44B19">
              <w:rPr>
                <w:rFonts w:ascii="Times New Roman" w:eastAsia="Times New Roman" w:hAnsi="Times New Roman" w:cs="Times New Roman"/>
                <w:color w:val="000000" w:themeColor="text1"/>
              </w:rPr>
              <w:t>MVĮ. Stiprinant verslo pozicijas TVG, bus investuojama į MVĮ dalyvavimą tarptautinėse MTEPI iniciatyvose</w:t>
            </w:r>
            <w:r w:rsidR="00D75685" w:rsidRPr="00B44B19">
              <w:rPr>
                <w:rFonts w:ascii="Times New Roman" w:eastAsia="Times New Roman" w:hAnsi="Times New Roman" w:cs="Times New Roman"/>
                <w:b/>
                <w:bCs/>
                <w:color w:val="000000" w:themeColor="text1"/>
              </w:rPr>
              <w:t>, pramonės MVĮ įsitraukimą IPCEI pažangiųjų medžiagų švariosioms technologijoms srityje (toliau – IPCEI CAM)</w:t>
            </w:r>
            <w:r w:rsidRPr="00B44B19">
              <w:rPr>
                <w:rFonts w:ascii="Times New Roman" w:eastAsia="Times New Roman" w:hAnsi="Times New Roman" w:cs="Times New Roman"/>
                <w:color w:val="000000" w:themeColor="text1"/>
              </w:rPr>
              <w:t xml:space="preserve">. </w:t>
            </w:r>
          </w:p>
          <w:p w14:paraId="6A2A8D01" w14:textId="5C1F9A9B" w:rsidR="007B0F82" w:rsidRPr="00B44B19" w:rsidRDefault="007B0F82" w:rsidP="00B059CA">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rPr>
              <w:t xml:space="preserve">Uždavinio tikslams </w:t>
            </w:r>
            <w:r w:rsidR="00AE73CC" w:rsidRPr="00B44B19">
              <w:rPr>
                <w:rFonts w:ascii="Times New Roman" w:eastAsia="Times New Roman" w:hAnsi="Times New Roman" w:cs="Times New Roman"/>
              </w:rPr>
              <w:t xml:space="preserve">pasiekti numatoma </w:t>
            </w:r>
            <w:r w:rsidRPr="00B44B19">
              <w:rPr>
                <w:rFonts w:ascii="Times New Roman" w:eastAsia="Times New Roman" w:hAnsi="Times New Roman" w:cs="Times New Roman"/>
              </w:rPr>
              <w:t xml:space="preserve">pasitelkti EH, InvestEU, EGADP ir EK tiesiogiai finansuojamas programas </w:t>
            </w:r>
            <w:r w:rsidR="00AE73CC" w:rsidRPr="00B44B19">
              <w:rPr>
                <w:rFonts w:ascii="Times New Roman" w:eastAsia="Times New Roman" w:hAnsi="Times New Roman" w:cs="Times New Roman"/>
              </w:rPr>
              <w:t>ir priemones</w:t>
            </w:r>
            <w:r w:rsidRPr="00B44B19">
              <w:rPr>
                <w:rFonts w:ascii="Times New Roman" w:eastAsia="Times New Roman" w:hAnsi="Times New Roman" w:cs="Times New Roman"/>
              </w:rPr>
              <w:t>.</w:t>
            </w:r>
            <w:r w:rsidR="00160172" w:rsidRPr="00B44B19">
              <w:rPr>
                <w:rFonts w:ascii="Times New Roman" w:eastAsia="Times New Roman" w:hAnsi="Times New Roman" w:cs="Times New Roman"/>
              </w:rPr>
              <w:t xml:space="preserve"> Bus siekiama sinergijos tikslų suderinamumo tarp nacionalinio finansavimo ir EH pakopiniam naujų produktų kūrimo ciklui ir komercializavimui užtikrinti.</w:t>
            </w:r>
          </w:p>
          <w:p w14:paraId="7D7061F6" w14:textId="77777777" w:rsidR="007B0F82" w:rsidRPr="00B44B19" w:rsidRDefault="007B0F82" w:rsidP="00B059CA">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noProof/>
              </w:rPr>
              <w:t xml:space="preserve">Veiksmų rūšys, siekiant </w:t>
            </w:r>
            <w:r w:rsidR="006E0996" w:rsidRPr="00B44B19">
              <w:rPr>
                <w:rFonts w:ascii="Times New Roman" w:eastAsia="Times New Roman" w:hAnsi="Times New Roman" w:cs="Times New Roman"/>
                <w:noProof/>
              </w:rPr>
              <w:t>S4</w:t>
            </w:r>
            <w:r w:rsidRPr="00B44B19">
              <w:rPr>
                <w:rFonts w:ascii="Times New Roman" w:eastAsia="Times New Roman" w:hAnsi="Times New Roman" w:cs="Times New Roman"/>
                <w:noProof/>
              </w:rPr>
              <w:t xml:space="preserve"> grįstos ekonomikos</w:t>
            </w:r>
            <w:r w:rsidRPr="00B44B19">
              <w:rPr>
                <w:rFonts w:ascii="Times New Roman" w:eastAsia="Times New Roman" w:hAnsi="Times New Roman" w:cs="Times New Roman"/>
              </w:rPr>
              <w:t xml:space="preserve"> transformacijos į APV</w:t>
            </w:r>
            <w:r w:rsidRPr="00B44B19">
              <w:rPr>
                <w:rFonts w:ascii="Times New Roman" w:eastAsia="Times New Roman" w:hAnsi="Times New Roman" w:cs="Times New Roman"/>
                <w:noProof/>
              </w:rPr>
              <w:t>:</w:t>
            </w:r>
          </w:p>
          <w:p w14:paraId="5B6B0B35" w14:textId="77777777"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 xml:space="preserve">Skatinti vykdyti taikomuosius MTEP </w:t>
            </w:r>
            <w:r w:rsidRPr="00B44B19">
              <w:rPr>
                <w:rFonts w:ascii="Times New Roman" w:eastAsia="Times New Roman" w:hAnsi="Times New Roman" w:cs="Times New Roman"/>
              </w:rPr>
              <w:t>(nuo TRL4), siekiant komercinamų žinių kūrimo: bus skatinamas tarpinstitucinis mokslo ir verslo bei tarptautinis bendradarbiavimas įgyvendinant MTEP veiklas (išimtinais atvejais</w:t>
            </w:r>
            <w:r w:rsidR="00842572"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 ir komercinį potencialą kuriančius fundamentinius mokslinius tyrimus (TRL</w:t>
            </w:r>
            <w:r w:rsidR="00F12F97" w:rsidRPr="00B44B19">
              <w:rPr>
                <w:rFonts w:ascii="Times New Roman" w:eastAsia="Times New Roman" w:hAnsi="Times New Roman" w:cs="Times New Roman"/>
              </w:rPr>
              <w:t>2</w:t>
            </w:r>
            <w:r w:rsidRPr="00B44B19">
              <w:rPr>
                <w:rFonts w:ascii="Times New Roman" w:eastAsia="Times New Roman" w:hAnsi="Times New Roman" w:cs="Times New Roman"/>
              </w:rPr>
              <w:t>-3)</w:t>
            </w:r>
            <w:r w:rsidR="00842572" w:rsidRPr="00B44B19">
              <w:rPr>
                <w:rFonts w:ascii="Times New Roman" w:eastAsia="Times New Roman" w:hAnsi="Times New Roman" w:cs="Times New Roman"/>
              </w:rPr>
              <w:t>,</w:t>
            </w:r>
            <w:r w:rsidRPr="00B44B19">
              <w:rPr>
                <w:rFonts w:ascii="Times New Roman" w:eastAsia="Times New Roman" w:hAnsi="Times New Roman" w:cs="Times New Roman"/>
              </w:rPr>
              <w:t xml:space="preserve"> kai jie atitinka </w:t>
            </w:r>
            <w:r w:rsidR="006E0996" w:rsidRPr="00B44B19">
              <w:rPr>
                <w:rFonts w:ascii="Times New Roman" w:eastAsia="Times New Roman" w:hAnsi="Times New Roman" w:cs="Times New Roman"/>
              </w:rPr>
              <w:t xml:space="preserve">S4 </w:t>
            </w:r>
            <w:r w:rsidRPr="00B44B19">
              <w:rPr>
                <w:rFonts w:ascii="Times New Roman" w:eastAsia="Times New Roman" w:hAnsi="Times New Roman" w:cs="Times New Roman"/>
              </w:rPr>
              <w:t>ir verslo</w:t>
            </w:r>
            <w:r w:rsidR="0085688F" w:rsidRPr="00B44B19">
              <w:rPr>
                <w:rFonts w:ascii="Times New Roman" w:eastAsia="Times New Roman" w:hAnsi="Times New Roman" w:cs="Times New Roman"/>
              </w:rPr>
              <w:t>,</w:t>
            </w:r>
            <w:r w:rsidRPr="00B44B19">
              <w:rPr>
                <w:rFonts w:ascii="Times New Roman" w:eastAsia="Times New Roman" w:hAnsi="Times New Roman" w:cs="Times New Roman"/>
              </w:rPr>
              <w:t xml:space="preserve"> visuomenės poreikius); teikiamos </w:t>
            </w:r>
            <w:r w:rsidR="001067D9" w:rsidRPr="00B44B19">
              <w:rPr>
                <w:rFonts w:ascii="Times New Roman" w:eastAsia="Times New Roman" w:hAnsi="Times New Roman" w:cs="Times New Roman"/>
              </w:rPr>
              <w:t xml:space="preserve">dotacijos </w:t>
            </w:r>
            <w:r w:rsidRPr="00B44B19">
              <w:rPr>
                <w:rFonts w:ascii="Times New Roman" w:eastAsia="Times New Roman" w:hAnsi="Times New Roman" w:cs="Times New Roman"/>
              </w:rPr>
              <w:t xml:space="preserve">MTEP veikloms MSI. Numatoma finansuoti didesnės apimties ir ilgesnės trukmės MTEP veiklų projektus bei skatinti rengti bendras mokslo ir verslo publikacijas. Veiklos vykdomos VVL ir Sostinės regionuose. </w:t>
            </w:r>
          </w:p>
          <w:p w14:paraId="3499DF60" w14:textId="7283E357"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Didinti mokslo tarptautiškumo lygį</w:t>
            </w:r>
            <w:r w:rsidRPr="00B44B19">
              <w:rPr>
                <w:rFonts w:ascii="Times New Roman" w:eastAsia="Times New Roman" w:hAnsi="Times New Roman" w:cs="Times New Roman"/>
                <w:bCs/>
              </w:rPr>
              <w:t xml:space="preserve">: </w:t>
            </w:r>
            <w:r w:rsidRPr="00B44B19">
              <w:rPr>
                <w:rFonts w:ascii="Times New Roman" w:eastAsia="Times New Roman" w:hAnsi="Times New Roman" w:cs="Times New Roman"/>
              </w:rPr>
              <w:t>skatin</w:t>
            </w:r>
            <w:r w:rsidR="009B2E58" w:rsidRPr="00B44B19">
              <w:rPr>
                <w:rFonts w:ascii="Times New Roman" w:eastAsia="Times New Roman" w:hAnsi="Times New Roman" w:cs="Times New Roman"/>
              </w:rPr>
              <w:t>a</w:t>
            </w:r>
            <w:r w:rsidR="00842572" w:rsidRPr="00B44B19">
              <w:rPr>
                <w:rFonts w:ascii="Times New Roman" w:eastAsia="Times New Roman" w:hAnsi="Times New Roman" w:cs="Times New Roman"/>
              </w:rPr>
              <w:t>ma</w:t>
            </w:r>
            <w:r w:rsidRPr="00B44B19">
              <w:rPr>
                <w:rFonts w:ascii="Times New Roman" w:eastAsia="Times New Roman" w:hAnsi="Times New Roman" w:cs="Times New Roman"/>
              </w:rPr>
              <w:t xml:space="preserve"> dalyvauti tarptautinėse MTEP programose, tinkluose</w:t>
            </w:r>
            <w:r w:rsidR="0085688F" w:rsidRPr="00B44B19">
              <w:rPr>
                <w:rFonts w:ascii="Times New Roman" w:eastAsia="Times New Roman" w:hAnsi="Times New Roman" w:cs="Times New Roman"/>
              </w:rPr>
              <w:t>,</w:t>
            </w:r>
            <w:r w:rsidRPr="00B44B19">
              <w:rPr>
                <w:rFonts w:ascii="Times New Roman" w:eastAsia="Times New Roman" w:hAnsi="Times New Roman" w:cs="Times New Roman"/>
              </w:rPr>
              <w:t xml:space="preserve"> iniciatyvose, infrastruktūrose, partnerystėse (</w:t>
            </w:r>
            <w:r w:rsidRPr="00B44B19">
              <w:rPr>
                <w:rFonts w:ascii="Times New Roman" w:eastAsia="Times New Roman" w:hAnsi="Times New Roman" w:cs="Times New Roman"/>
                <w:i/>
              </w:rPr>
              <w:t>Twinning</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i/>
              </w:rPr>
              <w:t>Teaming</w:t>
            </w:r>
            <w:r w:rsidRPr="00B44B19">
              <w:rPr>
                <w:rFonts w:ascii="Times New Roman" w:eastAsia="Times New Roman" w:hAnsi="Times New Roman" w:cs="Times New Roman"/>
              </w:rPr>
              <w:t>, Europos partnerystėse, BJR ir kt.) dengiant išlaidas, susijusias su dalyvavimu (narystės tarptautinėse MTEP infrastruktūrose mokesčiai nefinansuojami), ,,seal of excellence</w:t>
            </w:r>
            <w:r w:rsidR="00842572" w:rsidRPr="00B44B19">
              <w:rPr>
                <w:rFonts w:ascii="Times New Roman" w:eastAsia="Times New Roman" w:hAnsi="Times New Roman" w:cs="Times New Roman"/>
              </w:rPr>
              <w:t>“</w:t>
            </w:r>
            <w:r w:rsidRPr="00B44B19">
              <w:rPr>
                <w:rFonts w:ascii="Times New Roman" w:eastAsia="Times New Roman" w:hAnsi="Times New Roman" w:cs="Times New Roman"/>
              </w:rPr>
              <w:t xml:space="preserve"> projektų finansavimas, tikslinės paskatos dalyvauti tarptautinėse programose, informacijos sklaidos ir atstovavimo </w:t>
            </w:r>
            <w:r w:rsidR="00461B80" w:rsidRPr="00B44B19">
              <w:rPr>
                <w:rFonts w:ascii="Times New Roman" w:eastAsia="Times New Roman" w:hAnsi="Times New Roman" w:cs="Times New Roman"/>
              </w:rPr>
              <w:t xml:space="preserve">interesams </w:t>
            </w:r>
            <w:r w:rsidRPr="00B44B19">
              <w:rPr>
                <w:rFonts w:ascii="Times New Roman" w:eastAsia="Times New Roman" w:hAnsi="Times New Roman" w:cs="Times New Roman"/>
              </w:rPr>
              <w:t>tinklų (pvz., NCP, LINO) stiprinimas. Veiklos vykdomos VVL ir Sostinės regionuose.</w:t>
            </w:r>
          </w:p>
          <w:p w14:paraId="0E1B27AA" w14:textId="77777777"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 xml:space="preserve">Žinių perdavimo ir komercinimo sistemos stiprinimas: </w:t>
            </w:r>
            <w:r w:rsidRPr="00B44B19">
              <w:rPr>
                <w:rFonts w:ascii="Times New Roman" w:eastAsia="Times New Roman" w:hAnsi="Times New Roman" w:cs="Times New Roman"/>
              </w:rPr>
              <w:t xml:space="preserve">MSI kuriamų žinių perdavimo ir komercinimo skatinimas, stiprinant MSI inovacijų ir technologijų perdavimo centrų veiklas valdyti </w:t>
            </w:r>
            <w:r w:rsidR="00BF5FE5" w:rsidRPr="00B44B19">
              <w:rPr>
                <w:rFonts w:ascii="Times New Roman" w:eastAsia="Times New Roman" w:hAnsi="Times New Roman" w:cs="Times New Roman"/>
              </w:rPr>
              <w:t>IN</w:t>
            </w:r>
            <w:r w:rsidRPr="00B44B19">
              <w:rPr>
                <w:rFonts w:ascii="Times New Roman" w:eastAsia="Times New Roman" w:hAnsi="Times New Roman" w:cs="Times New Roman"/>
              </w:rPr>
              <w:t>, teikti paslaugas verslui, identifikuoti ir remti komercinį potencialą turinčių prototipų rengimą ir kt. (per verslumo, žinių perdavimo ir komercinimo fondus ir programas), integracija į tarptautines antreprenerystės ekosistemas. Veiklos vykdomos VVL ir Sostinės regionuose</w:t>
            </w:r>
            <w:r w:rsidR="00461B80"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p>
          <w:p w14:paraId="42CD6AAB" w14:textId="77777777"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Tyrėjų karjeros patrauklumo didinimas ir protų cirkuliacijos skatinimas</w:t>
            </w:r>
            <w:r w:rsidRPr="00B44B19">
              <w:rPr>
                <w:rFonts w:ascii="Times New Roman" w:eastAsia="Times New Roman" w:hAnsi="Times New Roman" w:cs="Times New Roman"/>
              </w:rPr>
              <w:t xml:space="preserve">: podoktorantūra, </w:t>
            </w:r>
            <w:r w:rsidRPr="00B44B19">
              <w:rPr>
                <w:rFonts w:ascii="Times New Roman" w:eastAsia="Times New Roman" w:hAnsi="Times New Roman" w:cs="Times New Roman"/>
                <w:lang w:val="lt"/>
              </w:rPr>
              <w:t>tyrėjų mokslinės išvykos iš Lietuvos</w:t>
            </w:r>
            <w:r w:rsidR="00461B80" w:rsidRPr="00B44B19">
              <w:rPr>
                <w:rFonts w:ascii="Times New Roman" w:eastAsia="Times New Roman" w:hAnsi="Times New Roman" w:cs="Times New Roman"/>
                <w:lang w:val="lt"/>
              </w:rPr>
              <w:t xml:space="preserve"> </w:t>
            </w:r>
            <w:r w:rsidR="0085688F" w:rsidRPr="00B44B19">
              <w:rPr>
                <w:rFonts w:ascii="Times New Roman" w:eastAsia="Times New Roman" w:hAnsi="Times New Roman" w:cs="Times New Roman"/>
                <w:lang w:val="lt"/>
              </w:rPr>
              <w:t>/</w:t>
            </w:r>
            <w:r w:rsidRPr="00B44B19">
              <w:rPr>
                <w:rFonts w:ascii="Times New Roman" w:eastAsia="Times New Roman" w:hAnsi="Times New Roman" w:cs="Times New Roman"/>
                <w:lang w:val="lt"/>
              </w:rPr>
              <w:t xml:space="preserve"> į Lietuvą; </w:t>
            </w:r>
            <w:r w:rsidRPr="00B44B19">
              <w:rPr>
                <w:rFonts w:ascii="Times New Roman" w:eastAsia="Times New Roman" w:hAnsi="Times New Roman" w:cs="Times New Roman"/>
              </w:rPr>
              <w:t>užsienio tyrėjų pritraukimas vykdyti MTEP veiklas, Lietuvos tyrėjų tarptautinio ir tarpsektorinio (doktorantūra su verslu, podoktorantūrinės stažuotės versle) mobilumo iniciatyvos. Siekiant užtikrinti tęstinį investicijų poveikį, užsienio tyrėjus priimančios MSI turi būti pasirengusios juos priimti. Veiklos vykdomos Sostinės ir VVL regionuose</w:t>
            </w:r>
            <w:r w:rsidR="00461B80" w:rsidRPr="00B44B19">
              <w:rPr>
                <w:rFonts w:ascii="Times New Roman" w:eastAsia="Times New Roman" w:hAnsi="Times New Roman" w:cs="Times New Roman"/>
              </w:rPr>
              <w:t>.</w:t>
            </w:r>
          </w:p>
          <w:p w14:paraId="5D81E7A7" w14:textId="3A27C980"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Skatinti startuolių vystymą, akceleravimą ir plėtrą</w:t>
            </w:r>
            <w:r w:rsidRPr="00B44B19">
              <w:rPr>
                <w:rFonts w:ascii="Times New Roman" w:eastAsia="Times New Roman" w:hAnsi="Times New Roman" w:cs="Times New Roman"/>
              </w:rPr>
              <w:t xml:space="preserve">: veiklos </w:t>
            </w:r>
            <w:r w:rsidR="00AE73CC" w:rsidRPr="00B44B19">
              <w:rPr>
                <w:rFonts w:ascii="Times New Roman" w:eastAsia="Times New Roman" w:hAnsi="Times New Roman" w:cs="Times New Roman"/>
              </w:rPr>
              <w:t xml:space="preserve">bus orientuotos </w:t>
            </w:r>
            <w:r w:rsidRPr="00B44B19">
              <w:rPr>
                <w:rFonts w:ascii="Times New Roman" w:eastAsia="Times New Roman" w:hAnsi="Times New Roman" w:cs="Times New Roman"/>
              </w:rPr>
              <w:t xml:space="preserve">į didelio poveikio startuolių ekosistemos plėtrą, sudaromos sąlygos </w:t>
            </w:r>
            <w:r w:rsidRPr="00B44B19">
              <w:rPr>
                <w:rFonts w:ascii="Times New Roman" w:eastAsia="Times New Roman" w:hAnsi="Times New Roman" w:cs="Times New Roman"/>
                <w:color w:val="000000" w:themeColor="text1"/>
              </w:rPr>
              <w:t xml:space="preserve">startuoliams kurtis, akceleruotis ir vykdyti </w:t>
            </w:r>
            <w:r w:rsidR="00AE73CC" w:rsidRPr="00B44B19">
              <w:rPr>
                <w:rFonts w:ascii="Times New Roman" w:eastAsia="Times New Roman" w:hAnsi="Times New Roman" w:cs="Times New Roman"/>
                <w:color w:val="000000" w:themeColor="text1"/>
              </w:rPr>
              <w:t xml:space="preserve">plėtrą (angl. </w:t>
            </w:r>
            <w:r w:rsidR="00AE73CC" w:rsidRPr="00B44B19">
              <w:rPr>
                <w:rFonts w:ascii="Times New Roman" w:eastAsia="Times New Roman" w:hAnsi="Times New Roman" w:cs="Times New Roman"/>
                <w:i/>
                <w:iCs/>
                <w:color w:val="000000" w:themeColor="text1"/>
              </w:rPr>
              <w:t>scale up</w:t>
            </w:r>
            <w:r w:rsidR="00AE73CC" w:rsidRPr="00B44B19">
              <w:rPr>
                <w:rFonts w:ascii="Times New Roman" w:eastAsia="Times New Roman" w:hAnsi="Times New Roman" w:cs="Times New Roman"/>
                <w:color w:val="000000" w:themeColor="text1"/>
              </w:rPr>
              <w:t>)</w:t>
            </w:r>
            <w:r w:rsidRPr="00B44B19">
              <w:rPr>
                <w:rFonts w:ascii="Times New Roman" w:eastAsia="Times New Roman" w:hAnsi="Times New Roman" w:cs="Times New Roman"/>
                <w:color w:val="000000" w:themeColor="text1"/>
              </w:rPr>
              <w:t xml:space="preserve">. Išskirtinis dėmesys – produkto idėjos vystymui (hakatonai, </w:t>
            </w:r>
            <w:r w:rsidR="00D75685" w:rsidRPr="00B44B19">
              <w:rPr>
                <w:rFonts w:ascii="Times New Roman" w:eastAsia="Times New Roman" w:hAnsi="Times New Roman" w:cs="Times New Roman"/>
                <w:color w:val="000000" w:themeColor="text1"/>
              </w:rPr>
              <w:t xml:space="preserve">skirti ir fiziniams asmenims, </w:t>
            </w:r>
            <w:r w:rsidRPr="00B44B19">
              <w:rPr>
                <w:rFonts w:ascii="Times New Roman" w:eastAsia="Times New Roman" w:hAnsi="Times New Roman" w:cs="Times New Roman"/>
                <w:color w:val="000000" w:themeColor="text1"/>
              </w:rPr>
              <w:t>inkubavimo</w:t>
            </w:r>
            <w:r w:rsidR="0085688F" w:rsidRPr="00B44B19">
              <w:rPr>
                <w:rFonts w:ascii="Times New Roman" w:eastAsia="Times New Roman" w:hAnsi="Times New Roman" w:cs="Times New Roman"/>
              </w:rPr>
              <w:t>,</w:t>
            </w:r>
            <w:r w:rsidRPr="00B44B19">
              <w:rPr>
                <w:rFonts w:ascii="Times New Roman" w:eastAsia="Times New Roman" w:hAnsi="Times New Roman" w:cs="Times New Roman"/>
              </w:rPr>
              <w:t xml:space="preserve"> akceleravimo veiklos), verslo modelio ir strategijos rengimui, sąlygų sudarymui investuoti į (ne)materialųjį </w:t>
            </w:r>
            <w:r w:rsidRPr="00B44B19">
              <w:rPr>
                <w:rFonts w:ascii="Times New Roman" w:eastAsia="Times New Roman" w:hAnsi="Times New Roman" w:cs="Times New Roman"/>
              </w:rPr>
              <w:lastRenderedPageBreak/>
              <w:t>turtą, apyvartinį kapitalą</w:t>
            </w:r>
            <w:r w:rsidR="00D3486C" w:rsidRPr="00B44B19">
              <w:rPr>
                <w:rFonts w:ascii="Times New Roman" w:eastAsia="Times New Roman" w:hAnsi="Times New Roman" w:cs="Times New Roman"/>
              </w:rPr>
              <w:t>,</w:t>
            </w:r>
            <w:r w:rsidR="00B80D38" w:rsidRPr="00B44B19">
              <w:rPr>
                <w:rFonts w:ascii="Times New Roman" w:eastAsia="Times New Roman" w:hAnsi="Times New Roman" w:cs="Times New Roman"/>
              </w:rPr>
              <w:t xml:space="preserve"> pastarajam taikant finansines priemones</w:t>
            </w:r>
            <w:r w:rsidR="00D3486C" w:rsidRPr="00B44B19">
              <w:rPr>
                <w:rFonts w:ascii="Times New Roman" w:eastAsia="Times New Roman" w:hAnsi="Times New Roman" w:cs="Times New Roman"/>
              </w:rPr>
              <w:t xml:space="preserve"> pardavimo ir</w:t>
            </w:r>
            <w:r w:rsidR="00AA63DC" w:rsidRPr="00B44B19">
              <w:rPr>
                <w:rFonts w:ascii="Times New Roman" w:eastAsia="Times New Roman" w:hAnsi="Times New Roman" w:cs="Times New Roman"/>
              </w:rPr>
              <w:t xml:space="preserve"> rinkodaros</w:t>
            </w:r>
            <w:r w:rsidRPr="00B44B19">
              <w:rPr>
                <w:rFonts w:ascii="Times New Roman" w:eastAsia="Times New Roman" w:hAnsi="Times New Roman" w:cs="Times New Roman"/>
              </w:rPr>
              <w:t xml:space="preserve"> veiklas pagal startuolių brandos lygį. Prioritetas teikiamas naujų idėjų plėtojimui pasitelkiant mentorius, verslo angelus ir inovacijų paramos tinklą. Bus </w:t>
            </w:r>
            <w:r w:rsidR="00D3486C" w:rsidRPr="00B44B19">
              <w:rPr>
                <w:rFonts w:ascii="Times New Roman" w:eastAsia="Times New Roman" w:hAnsi="Times New Roman" w:cs="Times New Roman"/>
              </w:rPr>
              <w:t>užtikrinta parama startuoliams</w:t>
            </w:r>
            <w:r w:rsidRPr="00B44B19">
              <w:rPr>
                <w:rFonts w:ascii="Times New Roman" w:eastAsia="Times New Roman" w:hAnsi="Times New Roman" w:cs="Times New Roman"/>
              </w:rPr>
              <w:t xml:space="preserve"> nuo idėjos iki </w:t>
            </w:r>
            <w:r w:rsidR="00D3486C" w:rsidRPr="00B44B19">
              <w:rPr>
                <w:rFonts w:ascii="Times New Roman" w:eastAsia="Times New Roman" w:hAnsi="Times New Roman" w:cs="Times New Roman"/>
              </w:rPr>
              <w:t>jos komercinimo</w:t>
            </w:r>
            <w:r w:rsidR="00AA63DC" w:rsidRPr="00B44B19">
              <w:rPr>
                <w:rFonts w:ascii="Times New Roman" w:eastAsia="Times New Roman" w:hAnsi="Times New Roman" w:cs="Times New Roman"/>
              </w:rPr>
              <w:t>.</w:t>
            </w:r>
            <w:r w:rsidR="00D3486C" w:rsidRPr="00B44B19">
              <w:rPr>
                <w:rFonts w:ascii="Times New Roman" w:eastAsia="Times New Roman" w:hAnsi="Times New Roman" w:cs="Times New Roman"/>
              </w:rPr>
              <w:t xml:space="preserve"> Veikla vykdoma VVL regione, tačiau, siekiant pusiausvyros ir įvertinus regiono potencialą, taikant EGADP bus investuojama į startuolių sistemos plėtrą ir tikslinių sričių startuolių akceleravimą Sostinės regione.</w:t>
            </w:r>
          </w:p>
          <w:p w14:paraId="5BA0E116" w14:textId="716CAC34"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Skatinti inovacijų pasiūlą</w:t>
            </w:r>
            <w:r w:rsidRPr="00B44B19">
              <w:rPr>
                <w:rFonts w:ascii="Times New Roman" w:eastAsia="Times New Roman" w:hAnsi="Times New Roman" w:cs="Times New Roman"/>
              </w:rPr>
              <w:t xml:space="preserve">: investuojama į naujų APV produktų kūrimo veiklas (kai produktas kuriamas siekiant MVĮ </w:t>
            </w:r>
            <w:r w:rsidR="00D3486C" w:rsidRPr="00B44B19">
              <w:rPr>
                <w:rFonts w:ascii="Times New Roman" w:eastAsia="Times New Roman" w:hAnsi="Times New Roman" w:cs="Times New Roman"/>
              </w:rPr>
              <w:t>perorientavimo, investuojama</w:t>
            </w:r>
            <w:r w:rsidRPr="00B44B19">
              <w:rPr>
                <w:rFonts w:ascii="Times New Roman" w:eastAsia="Times New Roman" w:hAnsi="Times New Roman" w:cs="Times New Roman"/>
              </w:rPr>
              <w:t xml:space="preserve"> pagal </w:t>
            </w:r>
            <w:r w:rsidR="00AA63DC" w:rsidRPr="00B44B19">
              <w:rPr>
                <w:rFonts w:ascii="Times New Roman" w:eastAsia="Times New Roman" w:hAnsi="Times New Roman" w:cs="Times New Roman"/>
              </w:rPr>
              <w:t xml:space="preserve">tvarios pramonės MVĮ transformacijos </w:t>
            </w:r>
            <w:r w:rsidRPr="00B44B19">
              <w:rPr>
                <w:rFonts w:ascii="Times New Roman" w:eastAsia="Times New Roman" w:hAnsi="Times New Roman" w:cs="Times New Roman"/>
              </w:rPr>
              <w:t>veiklą), apimančias nuo naujo produkto idėjos vystymo, koncepcijos parengimo iki prototipo sukūrimo, komercinimo</w:t>
            </w:r>
            <w:r w:rsidR="00FA654E" w:rsidRPr="00B44B19">
              <w:rPr>
                <w:rFonts w:ascii="Times New Roman" w:eastAsia="Times New Roman" w:hAnsi="Times New Roman" w:cs="Times New Roman"/>
              </w:rPr>
              <w:t>, įskaitant projektų BJR vykdymą</w:t>
            </w:r>
            <w:r w:rsidRPr="00B44B19">
              <w:rPr>
                <w:rFonts w:ascii="Times New Roman" w:eastAsia="Times New Roman" w:hAnsi="Times New Roman" w:cs="Times New Roman"/>
              </w:rPr>
              <w:t xml:space="preserve">. Bus sudarytos </w:t>
            </w:r>
            <w:r w:rsidR="00190FD9" w:rsidRPr="00B44B19">
              <w:rPr>
                <w:rFonts w:ascii="Times New Roman" w:eastAsia="Times New Roman" w:hAnsi="Times New Roman" w:cs="Times New Roman"/>
              </w:rPr>
              <w:t>sąlygos tyrėjams dalyvauti įmonių</w:t>
            </w:r>
            <w:r w:rsidRPr="00B44B19">
              <w:rPr>
                <w:rFonts w:ascii="Times New Roman" w:eastAsia="Times New Roman" w:hAnsi="Times New Roman" w:cs="Times New Roman"/>
              </w:rPr>
              <w:t xml:space="preserve"> MTEP veiklose juos įdarbinant, skatinamas </w:t>
            </w:r>
            <w:r w:rsidR="00BF5FE5" w:rsidRPr="00B44B19">
              <w:rPr>
                <w:rFonts w:ascii="Times New Roman" w:eastAsia="Times New Roman" w:hAnsi="Times New Roman" w:cs="Times New Roman"/>
              </w:rPr>
              <w:t>IN</w:t>
            </w:r>
            <w:r w:rsidRPr="00B44B19">
              <w:rPr>
                <w:rFonts w:ascii="Times New Roman" w:eastAsia="Times New Roman" w:hAnsi="Times New Roman" w:cs="Times New Roman"/>
              </w:rPr>
              <w:t xml:space="preserve"> kūrimas, apsauga ir licencijavimas, </w:t>
            </w:r>
            <w:r w:rsidR="00190FD9" w:rsidRPr="00B44B19">
              <w:rPr>
                <w:rFonts w:ascii="Times New Roman" w:eastAsia="Times New Roman" w:hAnsi="Times New Roman" w:cs="Times New Roman"/>
              </w:rPr>
              <w:t>ankstyvoji sukurtų naujų produktų</w:t>
            </w:r>
            <w:r w:rsidRPr="00B44B19">
              <w:rPr>
                <w:rFonts w:ascii="Times New Roman" w:eastAsia="Times New Roman" w:hAnsi="Times New Roman" w:cs="Times New Roman"/>
              </w:rPr>
              <w:t xml:space="preserve"> bandomoji gamyba, parengimas rinkai. Prioritetas – naujų produktų komercinimo</w:t>
            </w:r>
            <w:r w:rsidR="009A40AC" w:rsidRPr="00B44B19">
              <w:rPr>
                <w:rFonts w:ascii="Times New Roman" w:eastAsia="Times New Roman" w:hAnsi="Times New Roman" w:cs="Times New Roman"/>
              </w:rPr>
              <w:t xml:space="preserve"> veiklai</w:t>
            </w:r>
            <w:r w:rsidRPr="00B44B19">
              <w:rPr>
                <w:rFonts w:ascii="Times New Roman" w:eastAsia="Times New Roman" w:hAnsi="Times New Roman" w:cs="Times New Roman"/>
              </w:rPr>
              <w:t xml:space="preserve">, atsižvelgiant į įmonių vykdomų MTEPI veiklų stadijas, palydint jas iki galutinio produkto komercinimo. Skatinamas bendradarbiavimas </w:t>
            </w:r>
            <w:r w:rsidR="00190FD9" w:rsidRPr="00B44B19">
              <w:rPr>
                <w:rFonts w:ascii="Times New Roman" w:eastAsia="Times New Roman" w:hAnsi="Times New Roman" w:cs="Times New Roman"/>
              </w:rPr>
              <w:t xml:space="preserve">ir (arba) </w:t>
            </w:r>
            <w:r w:rsidRPr="00B44B19">
              <w:rPr>
                <w:rFonts w:ascii="Times New Roman" w:eastAsia="Times New Roman" w:hAnsi="Times New Roman" w:cs="Times New Roman"/>
              </w:rPr>
              <w:t>technologijų perdavimas tarp įmonių (</w:t>
            </w:r>
            <w:r w:rsidR="00906790" w:rsidRPr="00B44B19">
              <w:rPr>
                <w:rFonts w:ascii="Times New Roman" w:eastAsia="Times New Roman" w:hAnsi="Times New Roman" w:cs="Times New Roman"/>
              </w:rPr>
              <w:t>ir</w:t>
            </w:r>
            <w:r w:rsidRPr="00B44B19">
              <w:rPr>
                <w:rFonts w:ascii="Times New Roman" w:eastAsia="Times New Roman" w:hAnsi="Times New Roman" w:cs="Times New Roman"/>
              </w:rPr>
              <w:t xml:space="preserve"> tarp didelių įmonių ir MVĮ) MTEP srityje. Veiklos vykdomos Sostinės ir VVL regionuose. VVL regione papildomai numatoma stiprinti įmonių gebėjimus įgyti MTEPI veikloms reikalingų žinių</w:t>
            </w:r>
            <w:r w:rsidR="009A40AC" w:rsidRPr="00B44B19">
              <w:rPr>
                <w:rFonts w:ascii="Times New Roman" w:eastAsia="Times New Roman" w:hAnsi="Times New Roman" w:cs="Times New Roman"/>
              </w:rPr>
              <w:t>.</w:t>
            </w:r>
            <w:r w:rsidRPr="00B44B19">
              <w:rPr>
                <w:rFonts w:ascii="Times New Roman" w:eastAsia="Times New Roman" w:hAnsi="Times New Roman" w:cs="Times New Roman"/>
              </w:rPr>
              <w:t xml:space="preserve"> Siekiant verslo ir mokslo bendradarbiavimo, papildomai EGADP lėšomis bus finansuojama tik iš MSI ir verslo sudaryto konsorciumo misijoms įg</w:t>
            </w:r>
            <w:r w:rsidR="00190FD9" w:rsidRPr="00B44B19">
              <w:rPr>
                <w:rFonts w:ascii="Times New Roman" w:eastAsia="Times New Roman" w:hAnsi="Times New Roman" w:cs="Times New Roman"/>
              </w:rPr>
              <w:t>yvendinti numatyta MTEPI veikla.</w:t>
            </w:r>
          </w:p>
          <w:p w14:paraId="45E7E6A7" w14:textId="77777777"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Sudaryti sąlygas tvariai pramonės MVĮ transformacijai</w:t>
            </w:r>
            <w:r w:rsidRPr="00B44B19">
              <w:rPr>
                <w:rFonts w:ascii="Times New Roman" w:eastAsia="Times New Roman" w:hAnsi="Times New Roman" w:cs="Times New Roman"/>
                <w:bCs/>
              </w:rPr>
              <w:t xml:space="preserve">: </w:t>
            </w:r>
            <w:r w:rsidR="00190FD9" w:rsidRPr="00B44B19">
              <w:rPr>
                <w:rFonts w:ascii="Times New Roman" w:eastAsia="Times New Roman" w:hAnsi="Times New Roman" w:cs="Times New Roman"/>
              </w:rPr>
              <w:t xml:space="preserve">skatinti </w:t>
            </w:r>
            <w:r w:rsidR="00190FD9" w:rsidRPr="00B44B19">
              <w:rPr>
                <w:rFonts w:ascii="Times New Roman" w:eastAsia="Times New Roman" w:hAnsi="Times New Roman" w:cs="Times New Roman"/>
                <w:noProof/>
              </w:rPr>
              <w:t>inovatyvių aplinkai draugiškų technologijų kūrimą, demonstravimą ir diegimą</w:t>
            </w:r>
            <w:r w:rsidR="00190FD9" w:rsidRPr="00B44B19">
              <w:rPr>
                <w:rFonts w:ascii="Times New Roman" w:eastAsia="Times New Roman" w:hAnsi="Times New Roman" w:cs="Times New Roman"/>
              </w:rPr>
              <w:t xml:space="preserve"> MVĮ</w:t>
            </w:r>
            <w:r w:rsidR="001A38B3" w:rsidRPr="00B44B19">
              <w:rPr>
                <w:rFonts w:ascii="Times New Roman" w:eastAsia="Times New Roman" w:hAnsi="Times New Roman" w:cs="Times New Roman"/>
              </w:rPr>
              <w:t xml:space="preserve"> (di</w:t>
            </w:r>
            <w:r w:rsidR="00AA63DC" w:rsidRPr="00B44B19">
              <w:rPr>
                <w:rFonts w:ascii="Times New Roman" w:eastAsia="Times New Roman" w:hAnsi="Times New Roman" w:cs="Times New Roman"/>
              </w:rPr>
              <w:t>e</w:t>
            </w:r>
            <w:r w:rsidR="001A38B3" w:rsidRPr="00B44B19">
              <w:rPr>
                <w:rFonts w:ascii="Times New Roman" w:eastAsia="Times New Roman" w:hAnsi="Times New Roman" w:cs="Times New Roman"/>
              </w:rPr>
              <w:t>gimo atveju galės dalyvauti</w:t>
            </w:r>
            <w:r w:rsidR="001A38B3" w:rsidRPr="00B44B19">
              <w:rPr>
                <w:rFonts w:ascii="Times New Roman" w:hAnsi="Times New Roman" w:cs="Times New Roman"/>
                <w:color w:val="003300"/>
              </w:rPr>
              <w:t xml:space="preserve"> kitos nei MVĮ įmonės)</w:t>
            </w:r>
            <w:r w:rsidR="00190FD9" w:rsidRPr="00B44B19">
              <w:rPr>
                <w:rFonts w:ascii="Times New Roman" w:eastAsia="Times New Roman" w:hAnsi="Times New Roman" w:cs="Times New Roman"/>
              </w:rPr>
              <w:t xml:space="preserve">, veikiančiose </w:t>
            </w:r>
            <w:r w:rsidR="006E0996" w:rsidRPr="00B44B19">
              <w:rPr>
                <w:rFonts w:ascii="Times New Roman" w:eastAsia="Times New Roman" w:hAnsi="Times New Roman" w:cs="Times New Roman"/>
              </w:rPr>
              <w:t xml:space="preserve">S4 </w:t>
            </w:r>
            <w:r w:rsidR="00190FD9" w:rsidRPr="00B44B19">
              <w:rPr>
                <w:rFonts w:ascii="Times New Roman" w:eastAsia="Times New Roman" w:hAnsi="Times New Roman" w:cs="Times New Roman"/>
              </w:rPr>
              <w:t>srityse.</w:t>
            </w:r>
            <w:r w:rsidRPr="00B44B19">
              <w:rPr>
                <w:rFonts w:ascii="Times New Roman" w:eastAsia="Times New Roman" w:hAnsi="Times New Roman" w:cs="Times New Roman"/>
              </w:rPr>
              <w:t xml:space="preserve"> Prioritetas – investicijoms į ekoinovacijas, tvarių „žiedinių“ produktų kūrimą ir gamybą. </w:t>
            </w:r>
            <w:r w:rsidR="00190FD9" w:rsidRPr="00B44B19">
              <w:rPr>
                <w:rFonts w:ascii="Times New Roman" w:eastAsia="Times New Roman" w:hAnsi="Times New Roman" w:cs="Times New Roman"/>
              </w:rPr>
              <w:t xml:space="preserve">Kuriant </w:t>
            </w:r>
            <w:r w:rsidRPr="00B44B19">
              <w:rPr>
                <w:rFonts w:ascii="Times New Roman" w:eastAsia="Times New Roman" w:hAnsi="Times New Roman" w:cs="Times New Roman"/>
              </w:rPr>
              <w:t xml:space="preserve">paskatas </w:t>
            </w:r>
            <w:r w:rsidR="001A38B3" w:rsidRPr="00B44B19">
              <w:rPr>
                <w:rFonts w:ascii="Times New Roman" w:eastAsia="Times New Roman" w:hAnsi="Times New Roman" w:cs="Times New Roman"/>
              </w:rPr>
              <w:t xml:space="preserve">MVĮ </w:t>
            </w:r>
            <w:r w:rsidRPr="00B44B19">
              <w:rPr>
                <w:rFonts w:ascii="Times New Roman" w:eastAsia="Times New Roman" w:hAnsi="Times New Roman" w:cs="Times New Roman"/>
              </w:rPr>
              <w:t xml:space="preserve">demonstruoti savo sukurtas </w:t>
            </w:r>
            <w:r w:rsidR="00190FD9" w:rsidRPr="00B44B19">
              <w:rPr>
                <w:rFonts w:ascii="Times New Roman" w:eastAsia="Times New Roman" w:hAnsi="Times New Roman" w:cs="Times New Roman"/>
              </w:rPr>
              <w:t xml:space="preserve">aplinkai palankias technologijas </w:t>
            </w:r>
            <w:r w:rsidRPr="00B44B19">
              <w:rPr>
                <w:rFonts w:ascii="Times New Roman" w:eastAsia="Times New Roman" w:hAnsi="Times New Roman" w:cs="Times New Roman"/>
              </w:rPr>
              <w:t xml:space="preserve">jas potencialiai galinčioms įsidiegti </w:t>
            </w:r>
            <w:r w:rsidR="001A38B3" w:rsidRPr="00B44B19">
              <w:rPr>
                <w:rFonts w:ascii="Times New Roman" w:eastAsia="Times New Roman" w:hAnsi="Times New Roman" w:cs="Times New Roman"/>
              </w:rPr>
              <w:t>įmonėms</w:t>
            </w:r>
            <w:r w:rsidRPr="00B44B19">
              <w:rPr>
                <w:rFonts w:ascii="Times New Roman" w:eastAsia="Times New Roman" w:hAnsi="Times New Roman" w:cs="Times New Roman"/>
              </w:rPr>
              <w:t>, sudaromos sąlygos MVĮ susipažinti su šių technologijų nauda. Skaitmeninių technologijų, didinančių darb</w:t>
            </w:r>
            <w:r w:rsidR="00190FD9" w:rsidRPr="00B44B19">
              <w:rPr>
                <w:rFonts w:ascii="Times New Roman" w:eastAsia="Times New Roman" w:hAnsi="Times New Roman" w:cs="Times New Roman"/>
              </w:rPr>
              <w:t xml:space="preserve">o našumą, diegimas pramonės </w:t>
            </w:r>
            <w:r w:rsidR="001A38B3" w:rsidRPr="00B44B19">
              <w:rPr>
                <w:rFonts w:ascii="Times New Roman" w:eastAsia="Times New Roman" w:hAnsi="Times New Roman" w:cs="Times New Roman"/>
              </w:rPr>
              <w:t xml:space="preserve">įmonėse </w:t>
            </w:r>
            <w:r w:rsidRPr="00B44B19">
              <w:rPr>
                <w:rFonts w:ascii="Times New Roman" w:eastAsia="Times New Roman" w:hAnsi="Times New Roman" w:cs="Times New Roman"/>
              </w:rPr>
              <w:t xml:space="preserve">numatomas 1.3 uždavinio pramonės </w:t>
            </w:r>
            <w:r w:rsidR="001A38B3" w:rsidRPr="00B44B19">
              <w:rPr>
                <w:rFonts w:ascii="Times New Roman" w:eastAsia="Times New Roman" w:hAnsi="Times New Roman" w:cs="Times New Roman"/>
              </w:rPr>
              <w:t xml:space="preserve">įmonių </w:t>
            </w:r>
            <w:r w:rsidRPr="00B44B19">
              <w:rPr>
                <w:rFonts w:ascii="Times New Roman" w:eastAsia="Times New Roman" w:hAnsi="Times New Roman" w:cs="Times New Roman"/>
              </w:rPr>
              <w:t>skaitmeninimui skirtomis veiklomis. Veikla vykdoma VVL regione</w:t>
            </w:r>
            <w:r w:rsidR="00190FD9" w:rsidRPr="00B44B19">
              <w:rPr>
                <w:rFonts w:ascii="Times New Roman" w:eastAsia="Times New Roman" w:hAnsi="Times New Roman" w:cs="Times New Roman"/>
              </w:rPr>
              <w:t>. Ši veikla</w:t>
            </w:r>
            <w:r w:rsidRPr="00B44B19">
              <w:rPr>
                <w:rFonts w:ascii="Times New Roman" w:eastAsia="Times New Roman" w:hAnsi="Times New Roman" w:cs="Times New Roman"/>
              </w:rPr>
              <w:t xml:space="preserve"> kartu su </w:t>
            </w:r>
            <w:r w:rsidR="00581D4D" w:rsidRPr="00B44B19">
              <w:rPr>
                <w:rFonts w:ascii="Times New Roman" w:eastAsia="Times New Roman" w:hAnsi="Times New Roman" w:cs="Times New Roman"/>
              </w:rPr>
              <w:t xml:space="preserve">dotacijomis </w:t>
            </w:r>
            <w:r w:rsidRPr="00B44B19">
              <w:rPr>
                <w:rFonts w:ascii="Times New Roman" w:eastAsia="Times New Roman" w:hAnsi="Times New Roman" w:cs="Times New Roman"/>
              </w:rPr>
              <w:t>ne pramonės srityje veiklą vykdantiems SVV subjektams žaliųjų inovacijų vystymui, finansuojamomis EGADP lėšomis, užti</w:t>
            </w:r>
            <w:r w:rsidR="00190FD9" w:rsidRPr="00B44B19">
              <w:rPr>
                <w:rFonts w:ascii="Times New Roman" w:eastAsia="Times New Roman" w:hAnsi="Times New Roman" w:cs="Times New Roman"/>
              </w:rPr>
              <w:t>krins tvarią MVĮ transformaciją.</w:t>
            </w:r>
          </w:p>
          <w:p w14:paraId="6C887074" w14:textId="77777777" w:rsidR="007B0F82" w:rsidRPr="00B44B19" w:rsidRDefault="007B0F82" w:rsidP="00B059CA">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b/>
                <w:noProof/>
              </w:rPr>
              <w:t>Skatinti netechnologinių inovacijų plėtrą</w:t>
            </w:r>
            <w:r w:rsidRPr="00B44B19">
              <w:rPr>
                <w:rFonts w:ascii="Times New Roman" w:eastAsia="Times New Roman" w:hAnsi="Times New Roman" w:cs="Times New Roman"/>
                <w:noProof/>
              </w:rPr>
              <w:t xml:space="preserve">: </w:t>
            </w:r>
            <w:r w:rsidRPr="00B44B19">
              <w:rPr>
                <w:rFonts w:ascii="Times New Roman" w:eastAsia="Times New Roman" w:hAnsi="Times New Roman" w:cs="Times New Roman"/>
              </w:rPr>
              <w:t xml:space="preserve">bus skatinamos investicijos į prekės ženklų, įmonės proceso (išskyrus skaitmeninių technologijų diegimą, nurodytą 1.2 uždavinyje), dizaino ir organizacines inovacijas, </w:t>
            </w:r>
            <w:r w:rsidR="00906790" w:rsidRPr="00B44B19">
              <w:rPr>
                <w:rFonts w:ascii="Times New Roman" w:eastAsia="Times New Roman" w:hAnsi="Times New Roman" w:cs="Times New Roman"/>
              </w:rPr>
              <w:t xml:space="preserve">ypač </w:t>
            </w:r>
            <w:r w:rsidRPr="00B44B19">
              <w:rPr>
                <w:rFonts w:ascii="Times New Roman" w:eastAsia="Times New Roman" w:hAnsi="Times New Roman" w:cs="Times New Roman"/>
              </w:rPr>
              <w:t xml:space="preserve">tvarių ir didinančių integraciją į TVG verslo modelių plėtrą. Veikla vykdoma VVL regione, išskiriant MVĮ, kurias labiausiai paveiks </w:t>
            </w:r>
            <w:r w:rsidR="00190FD9" w:rsidRPr="00B44B19">
              <w:rPr>
                <w:rFonts w:ascii="Times New Roman" w:eastAsia="Times New Roman" w:hAnsi="Times New Roman" w:cs="Times New Roman"/>
              </w:rPr>
              <w:t>pramonės pereinamas laikotarpis.</w:t>
            </w:r>
          </w:p>
          <w:p w14:paraId="494EFF89" w14:textId="77777777" w:rsidR="007B0F82" w:rsidRPr="00B44B19" w:rsidRDefault="007B0F82" w:rsidP="00B059CA">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b/>
              </w:rPr>
              <w:t>Skatinti inovacijas viešajame sektoriuje (ikiprekybinius pirkimus)</w:t>
            </w:r>
            <w:r w:rsidRPr="00B44B19">
              <w:rPr>
                <w:rFonts w:ascii="Times New Roman" w:eastAsia="Times New Roman" w:hAnsi="Times New Roman" w:cs="Times New Roman"/>
              </w:rPr>
              <w:t xml:space="preserve">: bus kuriamos paskatos verslui kurti naujus produktus viešojo sektoriaus poreikiams tenkinti. Bus stiprinami </w:t>
            </w:r>
            <w:r w:rsidR="000C44A0" w:rsidRPr="00B44B19">
              <w:rPr>
                <w:rFonts w:ascii="Times New Roman" w:eastAsia="Times New Roman" w:hAnsi="Times New Roman" w:cs="Times New Roman"/>
              </w:rPr>
              <w:t>PO</w:t>
            </w:r>
            <w:r w:rsidRPr="00B44B19">
              <w:rPr>
                <w:rFonts w:ascii="Times New Roman" w:eastAsia="Times New Roman" w:hAnsi="Times New Roman" w:cs="Times New Roman"/>
              </w:rPr>
              <w:t xml:space="preserve"> gebėjimai inicijuoti ir vykdyti ikiprekybinius pirkimus, sudarytos paskatos (čekiai) verslui dalyvauti ikiprekybiniuose pirkimuose Sostinės ir VVL regionuose. Šios veiklos kartu su inovatyvių viešųjų pirkimų skatinimu EGADP lėšomis (konsultacijos, paskatos </w:t>
            </w:r>
            <w:r w:rsidR="000C44A0" w:rsidRPr="00B44B19">
              <w:rPr>
                <w:rFonts w:ascii="Times New Roman" w:eastAsia="Times New Roman" w:hAnsi="Times New Roman" w:cs="Times New Roman"/>
              </w:rPr>
              <w:t>PO</w:t>
            </w:r>
            <w:r w:rsidRPr="00B44B19">
              <w:rPr>
                <w:rFonts w:ascii="Times New Roman" w:eastAsia="Times New Roman" w:hAnsi="Times New Roman" w:cs="Times New Roman"/>
              </w:rPr>
              <w:t>)</w:t>
            </w:r>
            <w:r w:rsidR="00190FD9" w:rsidRPr="00B44B19">
              <w:rPr>
                <w:rFonts w:ascii="Times New Roman" w:eastAsia="Times New Roman" w:hAnsi="Times New Roman" w:cs="Times New Roman"/>
              </w:rPr>
              <w:t xml:space="preserve"> sinergiškai skatins inovacijas.</w:t>
            </w:r>
          </w:p>
          <w:p w14:paraId="76AE0C19" w14:textId="77777777" w:rsidR="007B0F82" w:rsidRPr="00B44B19" w:rsidRDefault="007B0F82" w:rsidP="00B059CA">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Skatinti MVĮ dalyvavimą tarptautinėse MTEPI iniciatyvose</w:t>
            </w:r>
            <w:r w:rsidRPr="00B44B19">
              <w:rPr>
                <w:rFonts w:ascii="Times New Roman" w:eastAsia="Times New Roman" w:hAnsi="Times New Roman" w:cs="Times New Roman"/>
              </w:rPr>
              <w:t xml:space="preserve">: siekiant stiprinti verslo pozicijas TVG, skatinama </w:t>
            </w:r>
            <w:r w:rsidR="00B80D38" w:rsidRPr="00B44B19">
              <w:rPr>
                <w:rFonts w:ascii="Times New Roman" w:eastAsia="Times New Roman" w:hAnsi="Times New Roman" w:cs="Times New Roman"/>
              </w:rPr>
              <w:t xml:space="preserve">MVĮ </w:t>
            </w:r>
            <w:r w:rsidRPr="00B44B19">
              <w:rPr>
                <w:rFonts w:ascii="Times New Roman" w:eastAsia="Times New Roman" w:hAnsi="Times New Roman" w:cs="Times New Roman"/>
              </w:rPr>
              <w:t>tarptautinė tinklaveika, įsitraukimas į MTEPI partnerystės tinklus, stiprinamas APV paremtų brandžių klasterių augimas, bendrų strategijų ir produktų kūrimas,</w:t>
            </w:r>
            <w:r w:rsidRPr="00B44B19">
              <w:rPr>
                <w:rFonts w:ascii="Times New Roman" w:eastAsia="Times New Roman" w:hAnsi="Times New Roman" w:cs="Times New Roman"/>
                <w:lang w:eastAsia="en-GB"/>
              </w:rPr>
              <w:t xml:space="preserve"> dalyvavimas tarptautinėse programose (išskyrus EH, dalyvavimas joje skatinimas </w:t>
            </w:r>
            <w:r w:rsidRPr="00B44B19">
              <w:rPr>
                <w:rFonts w:ascii="Times New Roman" w:eastAsia="Times New Roman" w:hAnsi="Times New Roman" w:cs="Times New Roman"/>
              </w:rPr>
              <w:t>EGADP</w:t>
            </w:r>
            <w:r w:rsidRPr="00B44B19">
              <w:rPr>
                <w:rFonts w:ascii="Times New Roman" w:eastAsia="Times New Roman" w:hAnsi="Times New Roman" w:cs="Times New Roman"/>
                <w:lang w:eastAsia="en-GB"/>
              </w:rPr>
              <w:t xml:space="preserve"> lėšomis), įsitraukimas į BJR, kitų tarptautinių MTEPI projektų </w:t>
            </w:r>
            <w:r w:rsidR="00190FD9" w:rsidRPr="00B44B19">
              <w:rPr>
                <w:rFonts w:ascii="Times New Roman" w:eastAsia="Times New Roman" w:hAnsi="Times New Roman" w:cs="Times New Roman"/>
                <w:lang w:eastAsia="en-GB"/>
              </w:rPr>
              <w:t>rengimą ir dalyvavimą</w:t>
            </w:r>
            <w:r w:rsidRPr="00B44B19">
              <w:rPr>
                <w:rFonts w:ascii="Times New Roman" w:eastAsia="Times New Roman" w:hAnsi="Times New Roman" w:cs="Times New Roman"/>
                <w:lang w:eastAsia="en-GB"/>
              </w:rPr>
              <w:t xml:space="preserve"> juose. </w:t>
            </w:r>
            <w:r w:rsidRPr="00B44B19">
              <w:rPr>
                <w:rFonts w:ascii="Times New Roman" w:eastAsia="Times New Roman" w:hAnsi="Times New Roman" w:cs="Times New Roman"/>
              </w:rPr>
              <w:t xml:space="preserve">Veiklos vykdomos Sostinės ir VVL regionuose. </w:t>
            </w:r>
            <w:r w:rsidRPr="00B44B19">
              <w:rPr>
                <w:rFonts w:ascii="Times New Roman" w:eastAsia="Times New Roman" w:hAnsi="Times New Roman" w:cs="Times New Roman"/>
                <w:lang w:eastAsia="en-GB"/>
              </w:rPr>
              <w:t>Prioritetas –</w:t>
            </w:r>
            <w:r w:rsidR="00AA63DC"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įsitraukimui į MTEPI klasterius ir TVG, projektų BJR vykdymui, įskaitant įsijungimą į ES strategines </w:t>
            </w:r>
            <w:r w:rsidR="00AA63DC" w:rsidRPr="00B44B19">
              <w:rPr>
                <w:rFonts w:ascii="Times New Roman" w:eastAsia="Times New Roman" w:hAnsi="Times New Roman" w:cs="Times New Roman"/>
              </w:rPr>
              <w:t>TVG</w:t>
            </w:r>
            <w:r w:rsidR="00190FD9" w:rsidRPr="00B44B19">
              <w:rPr>
                <w:rFonts w:ascii="Times New Roman" w:eastAsia="Times New Roman" w:hAnsi="Times New Roman" w:cs="Times New Roman"/>
              </w:rPr>
              <w:t>, ypač šias veiklas skatinant VVL regione.</w:t>
            </w:r>
          </w:p>
          <w:p w14:paraId="0E13196A" w14:textId="77777777" w:rsidR="00900D46" w:rsidRPr="00B44B19" w:rsidRDefault="007B0F82" w:rsidP="00B059CA">
            <w:pPr>
              <w:spacing w:before="60" w:after="60"/>
              <w:jc w:val="both"/>
              <w:rPr>
                <w:rFonts w:ascii="Times New Roman" w:eastAsia="Times New Roman" w:hAnsi="Times New Roman" w:cs="Times New Roman"/>
                <w:lang w:eastAsia="en-US" w:bidi="ar-SA"/>
              </w:rPr>
            </w:pPr>
            <w:r w:rsidRPr="00B44B19">
              <w:rPr>
                <w:rFonts w:ascii="Times New Roman" w:eastAsia="Times New Roman" w:hAnsi="Times New Roman" w:cs="Times New Roman"/>
                <w:b/>
                <w:lang w:eastAsia="en-US" w:bidi="ar-SA"/>
              </w:rPr>
              <w:t>Skatinti TUI pritraukimą</w:t>
            </w:r>
            <w:r w:rsidRPr="00B44B19">
              <w:rPr>
                <w:rFonts w:ascii="Times New Roman" w:eastAsia="Times New Roman" w:hAnsi="Times New Roman" w:cs="Times New Roman"/>
                <w:lang w:eastAsia="en-US" w:bidi="ar-SA"/>
              </w:rPr>
              <w:t xml:space="preserve">: skatinamos APV TUI paieškos ir pritraukimo veiklos, </w:t>
            </w:r>
            <w:r w:rsidR="008A720E" w:rsidRPr="00B44B19">
              <w:rPr>
                <w:rFonts w:ascii="Times New Roman" w:eastAsia="Times New Roman" w:hAnsi="Times New Roman" w:cs="Times New Roman"/>
                <w:lang w:eastAsia="en-US" w:bidi="ar-SA"/>
              </w:rPr>
              <w:t xml:space="preserve">MTEP vykdymas ir </w:t>
            </w:r>
            <w:r w:rsidRPr="00B44B19">
              <w:rPr>
                <w:rFonts w:ascii="Times New Roman" w:eastAsia="Times New Roman" w:hAnsi="Times New Roman" w:cs="Times New Roman"/>
                <w:lang w:eastAsia="en-US" w:bidi="ar-SA"/>
              </w:rPr>
              <w:t xml:space="preserve">bendradarbiavimas </w:t>
            </w:r>
            <w:r w:rsidR="008A720E" w:rsidRPr="00B44B19">
              <w:rPr>
                <w:rFonts w:ascii="Times New Roman" w:eastAsia="Times New Roman" w:hAnsi="Times New Roman" w:cs="Times New Roman"/>
                <w:lang w:eastAsia="en-US" w:bidi="ar-SA"/>
              </w:rPr>
              <w:t>bei</w:t>
            </w:r>
            <w:r w:rsidRPr="00B44B19">
              <w:rPr>
                <w:rFonts w:ascii="Times New Roman" w:eastAsia="Times New Roman" w:hAnsi="Times New Roman" w:cs="Times New Roman"/>
                <w:lang w:eastAsia="en-US" w:bidi="ar-SA"/>
              </w:rPr>
              <w:t xml:space="preserve"> technologijų perdavimas tarp didelių įmonių ir MVĮ technologijų ir inovacijų srityse. Prioritetas – investicijoms, susijusioms su integracija į ES strategines TVG, </w:t>
            </w:r>
            <w:r w:rsidR="00190FD9" w:rsidRPr="00B44B19">
              <w:rPr>
                <w:rFonts w:ascii="Times New Roman" w:eastAsia="Times New Roman" w:hAnsi="Times New Roman" w:cs="Times New Roman"/>
                <w:lang w:eastAsia="en-US" w:bidi="ar-SA"/>
              </w:rPr>
              <w:t xml:space="preserve">tvarių žiedinių </w:t>
            </w:r>
            <w:r w:rsidRPr="00B44B19">
              <w:rPr>
                <w:rFonts w:ascii="Times New Roman" w:eastAsia="Times New Roman" w:hAnsi="Times New Roman" w:cs="Times New Roman"/>
                <w:lang w:eastAsia="en-US" w:bidi="ar-SA"/>
              </w:rPr>
              <w:t>ir didelio poveikio technologijų ir produktų kūrimą. Veikla vykdoma VVL regione.</w:t>
            </w:r>
          </w:p>
          <w:p w14:paraId="6EAC5543" w14:textId="57F1B969" w:rsidR="009A40AC" w:rsidRPr="00B44B19" w:rsidRDefault="009A40AC" w:rsidP="00B059CA">
            <w:pPr>
              <w:spacing w:before="60" w:after="60"/>
              <w:jc w:val="both"/>
              <w:rPr>
                <w:rFonts w:ascii="Times New Roman" w:eastAsia="Times New Roman" w:hAnsi="Times New Roman" w:cs="Times New Roman"/>
                <w:color w:val="000000" w:themeColor="text1"/>
                <w:lang w:eastAsia="en-US" w:bidi="ar-SA"/>
              </w:rPr>
            </w:pPr>
            <w:r w:rsidRPr="00B44B19">
              <w:rPr>
                <w:rFonts w:ascii="Times New Roman" w:eastAsia="Times New Roman" w:hAnsi="Times New Roman" w:cs="Times New Roman"/>
                <w:b/>
                <w:bCs/>
                <w:color w:val="000000" w:themeColor="text1"/>
              </w:rPr>
              <w:t>Skatinti pramonės MVĮ</w:t>
            </w:r>
            <w:r w:rsidRPr="00B44B19">
              <w:rPr>
                <w:rFonts w:ascii="Times New Roman" w:eastAsia="Times New Roman" w:hAnsi="Times New Roman" w:cs="Times New Roman"/>
                <w:color w:val="000000" w:themeColor="text1"/>
              </w:rPr>
              <w:t xml:space="preserve"> </w:t>
            </w:r>
            <w:r w:rsidRPr="00B44B19">
              <w:rPr>
                <w:rFonts w:ascii="Times New Roman" w:eastAsia="Times New Roman" w:hAnsi="Times New Roman" w:cs="Times New Roman"/>
                <w:b/>
                <w:bCs/>
                <w:color w:val="000000" w:themeColor="text1"/>
              </w:rPr>
              <w:t xml:space="preserve">inovatyvių pažangių medžiagų ir (arba) technologijų, skirtų klimato neutralumo didinimui, kūrimo veiklas, </w:t>
            </w:r>
            <w:r w:rsidRPr="00B44B19">
              <w:rPr>
                <w:rFonts w:ascii="Times New Roman" w:eastAsia="Times New Roman" w:hAnsi="Times New Roman" w:cs="Times New Roman"/>
                <w:color w:val="000000" w:themeColor="text1"/>
              </w:rPr>
              <w:t>apimančias ir prototipų kūrimą bei demonstravimą, per pramonės MVĮ įsitraukimą į IPCEI CAM ir pilotinio (bandomojo) projekto įgyvendinimą.</w:t>
            </w:r>
          </w:p>
          <w:p w14:paraId="0DC2B494" w14:textId="77777777" w:rsidR="00DD03B4" w:rsidRPr="00B44B19" w:rsidRDefault="00DD03B4" w:rsidP="00B059CA">
            <w:pPr>
              <w:spacing w:before="60" w:after="60"/>
              <w:jc w:val="both"/>
              <w:rPr>
                <w:rFonts w:ascii="Times New Roman" w:eastAsia="Times New Roman" w:hAnsi="Times New Roman" w:cs="Times New Roman"/>
                <w:noProof/>
                <w:szCs w:val="24"/>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įvertint</w:t>
            </w:r>
            <w:r w:rsidR="00334B0C" w:rsidRPr="00B44B19">
              <w:rPr>
                <w:rFonts w:ascii="Times New Roman" w:eastAsia="Times New Roman" w:hAnsi="Times New Roman" w:cs="Times New Roman"/>
                <w:noProof/>
                <w:szCs w:val="24"/>
              </w:rPr>
              <w:t>os</w:t>
            </w:r>
            <w:r w:rsidRPr="00B44B19">
              <w:rPr>
                <w:rFonts w:ascii="Times New Roman" w:eastAsia="Times New Roman" w:hAnsi="Times New Roman" w:cs="Times New Roman"/>
                <w:noProof/>
                <w:szCs w:val="24"/>
              </w:rPr>
              <w:t xml:space="preserve">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w:t>
            </w:r>
            <w:r w:rsidR="00334B0C" w:rsidRPr="00B44B19">
              <w:rPr>
                <w:rFonts w:ascii="Times New Roman" w:eastAsia="Times New Roman" w:hAnsi="Times New Roman" w:cs="Times New Roman"/>
                <w:noProof/>
                <w:szCs w:val="24"/>
              </w:rPr>
              <w:t>NRŽ</w:t>
            </w:r>
            <w:r w:rsidRPr="00B44B19">
              <w:rPr>
                <w:rFonts w:ascii="Times New Roman" w:eastAsia="Times New Roman" w:hAnsi="Times New Roman" w:cs="Times New Roman"/>
                <w:noProof/>
                <w:szCs w:val="24"/>
              </w:rPr>
              <w:t xml:space="preserve"> gairėmis, todėl laikom</w:t>
            </w:r>
            <w:r w:rsidR="00E94425" w:rsidRPr="00B44B19">
              <w:rPr>
                <w:rFonts w:ascii="Times New Roman" w:eastAsia="Times New Roman" w:hAnsi="Times New Roman" w:cs="Times New Roman"/>
                <w:noProof/>
                <w:szCs w:val="24"/>
              </w:rPr>
              <w:t>a</w:t>
            </w:r>
            <w:r w:rsidRPr="00B44B19">
              <w:rPr>
                <w:rFonts w:ascii="Times New Roman" w:eastAsia="Times New Roman" w:hAnsi="Times New Roman" w:cs="Times New Roman"/>
                <w:noProof/>
                <w:szCs w:val="24"/>
              </w:rPr>
              <w:t xml:space="preserve">, kad  atitinka </w:t>
            </w:r>
            <w:r w:rsidR="00906790" w:rsidRPr="00B44B19">
              <w:rPr>
                <w:rFonts w:ascii="Times New Roman" w:eastAsia="Times New Roman" w:hAnsi="Times New Roman" w:cs="Times New Roman"/>
                <w:noProof/>
                <w:szCs w:val="24"/>
              </w:rPr>
              <w:t>NRŽ</w:t>
            </w:r>
            <w:r w:rsidRPr="00B44B19">
              <w:rPr>
                <w:rFonts w:ascii="Times New Roman" w:eastAsia="Times New Roman" w:hAnsi="Times New Roman" w:cs="Times New Roman"/>
                <w:noProof/>
                <w:szCs w:val="24"/>
              </w:rPr>
              <w:t xml:space="preserve"> principą.</w:t>
            </w:r>
          </w:p>
        </w:tc>
      </w:tr>
    </w:tbl>
    <w:p w14:paraId="7D21CABC"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21047B" w:rsidRPr="00B44B19" w14:paraId="7CF90533" w14:textId="77777777" w:rsidTr="00F52EB5">
        <w:tc>
          <w:tcPr>
            <w:tcW w:w="9854" w:type="dxa"/>
          </w:tcPr>
          <w:p w14:paraId="146B8C7B" w14:textId="3D926B23" w:rsidR="00F52EB5" w:rsidRPr="00B44B19" w:rsidRDefault="004E7994" w:rsidP="00B059CA">
            <w:pPr>
              <w:pStyle w:val="Stilius1"/>
              <w:spacing w:before="60" w:after="60"/>
              <w:rPr>
                <w:rFonts w:cs="Times New Roman"/>
                <w:b w:val="0"/>
                <w:i w:val="0"/>
                <w:noProof/>
                <w:color w:val="auto"/>
                <w:lang w:eastAsia="lt-LT" w:bidi="lt-LT"/>
              </w:rPr>
            </w:pPr>
            <w:r w:rsidRPr="00B44B19">
              <w:rPr>
                <w:rFonts w:eastAsia="Calibri" w:cs="Times New Roman"/>
                <w:b w:val="0"/>
                <w:i w:val="0"/>
                <w:noProof/>
                <w:color w:val="000000" w:themeColor="text1"/>
                <w:sz w:val="22"/>
                <w:lang w:eastAsia="lt-LT" w:bidi="lt-LT"/>
              </w:rPr>
              <w:t xml:space="preserve">Fiziniai asmenys (vykdant hakatonus), </w:t>
            </w:r>
            <w:r w:rsidR="009C6543" w:rsidRPr="00B44B19">
              <w:rPr>
                <w:rFonts w:eastAsia="Calibri" w:cs="Times New Roman"/>
                <w:b w:val="0"/>
                <w:i w:val="0"/>
                <w:noProof/>
                <w:color w:val="000000" w:themeColor="text1"/>
                <w:sz w:val="22"/>
                <w:lang w:eastAsia="lt-LT" w:bidi="lt-LT"/>
              </w:rPr>
              <w:t>MVĮ</w:t>
            </w:r>
            <w:r w:rsidR="009C6543" w:rsidRPr="00B44B19">
              <w:rPr>
                <w:rFonts w:eastAsia="Calibri" w:cs="Times New Roman"/>
                <w:b w:val="0"/>
                <w:i w:val="0"/>
                <w:noProof/>
                <w:color w:val="auto"/>
                <w:sz w:val="22"/>
                <w:lang w:eastAsia="lt-LT" w:bidi="lt-LT"/>
              </w:rPr>
              <w:t xml:space="preserve">, didelės įmonės, kai bendradarbiauja su MVĮ, mokslininkai ir kiti tyrėjai, viešojo sektoriaus specialistai, inovacijų ir technologijų perdavimo centrai, LINO biuro </w:t>
            </w:r>
            <w:r w:rsidR="009C6543" w:rsidRPr="00B44B19">
              <w:rPr>
                <w:rFonts w:eastAsia="Calibri" w:cs="Times New Roman"/>
                <w:b w:val="0"/>
                <w:i w:val="0"/>
                <w:noProof/>
                <w:color w:val="auto"/>
                <w:sz w:val="22"/>
                <w:lang w:eastAsia="lt-LT" w:bidi="lt-LT"/>
              </w:rPr>
              <w:lastRenderedPageBreak/>
              <w:t>personalas, NCP tinklo nariai (nacionaliniai kontaktiniai asmenys).</w:t>
            </w:r>
            <w:r w:rsidR="002702D7" w:rsidRPr="00B44B19">
              <w:rPr>
                <w:rFonts w:eastAsia="Calibri" w:cs="Times New Roman"/>
                <w:b w:val="0"/>
                <w:i w:val="0"/>
                <w:noProof/>
                <w:color w:val="auto"/>
                <w:sz w:val="22"/>
                <w:lang w:eastAsia="lt-LT" w:bidi="lt-LT"/>
              </w:rPr>
              <w:t xml:space="preserve"> Didelės įmonės, kurios atitinka 2021 m. birželio 24 d. Europos Parlamento ir Tarybos reglamento dėl Europos regioninės plėtros fondo ir Sanglaudos fondo Nr. (ES) 2021/1058 5 straipsnio 2 (c) dalies nuostatas.</w:t>
            </w:r>
          </w:p>
        </w:tc>
      </w:tr>
    </w:tbl>
    <w:p w14:paraId="78497068"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52EB5" w:rsidRPr="00B44B19" w14:paraId="6B6AAD89" w14:textId="77777777" w:rsidTr="00F52EB5">
        <w:tc>
          <w:tcPr>
            <w:tcW w:w="9854" w:type="dxa"/>
          </w:tcPr>
          <w:p w14:paraId="346A41CA" w14:textId="77777777" w:rsidR="00F52EB5" w:rsidRPr="00B44B19" w:rsidRDefault="002B5AF3" w:rsidP="00B059CA">
            <w:pPr>
              <w:pStyle w:val="Stilius1"/>
              <w:spacing w:before="60" w:after="60"/>
              <w:jc w:val="both"/>
              <w:rPr>
                <w:rFonts w:cs="Times New Roman"/>
                <w:b w:val="0"/>
                <w:i w:val="0"/>
                <w:noProof/>
                <w:color w:val="auto"/>
                <w:lang w:eastAsia="lt-LT" w:bidi="lt-LT"/>
              </w:rPr>
            </w:pPr>
            <w:r w:rsidRPr="00B44B19">
              <w:rPr>
                <w:rFonts w:eastAsia="Calibri" w:cs="Times New Roman"/>
                <w:b w:val="0"/>
                <w:i w:val="0"/>
                <w:noProof/>
                <w:color w:val="auto"/>
                <w:sz w:val="22"/>
                <w:lang w:eastAsia="lt-LT" w:bidi="lt-LT"/>
              </w:rPr>
              <w:t>Vykdant MTI veiklas</w:t>
            </w:r>
            <w:r w:rsidR="009C6543" w:rsidRPr="00B44B19">
              <w:rPr>
                <w:rFonts w:eastAsia="Calibri" w:cs="Times New Roman"/>
                <w:b w:val="0"/>
                <w:i w:val="0"/>
                <w:noProof/>
                <w:color w:val="auto"/>
                <w:sz w:val="22"/>
                <w:lang w:eastAsia="lt-LT" w:bidi="lt-LT"/>
              </w:rPr>
              <w:t xml:space="preserve"> bus siekiama užtikrinti lygybės, įtraukties ir nediskriminavimo </w:t>
            </w:r>
            <w:r w:rsidR="00190FD9" w:rsidRPr="00B44B19">
              <w:rPr>
                <w:rFonts w:eastAsia="Calibri" w:cs="Times New Roman"/>
                <w:b w:val="0"/>
                <w:i w:val="0"/>
                <w:noProof/>
                <w:color w:val="auto"/>
                <w:sz w:val="22"/>
                <w:lang w:eastAsia="lt-LT" w:bidi="lt-LT"/>
              </w:rPr>
              <w:t>principus.</w:t>
            </w:r>
            <w:r w:rsidR="009C6543" w:rsidRPr="00B44B19">
              <w:rPr>
                <w:rFonts w:eastAsia="Calibri" w:cs="Times New Roman"/>
                <w:b w:val="0"/>
                <w:i w:val="0"/>
                <w:noProof/>
                <w:color w:val="auto"/>
                <w:sz w:val="22"/>
                <w:lang w:eastAsia="lt-LT" w:bidi="lt-LT"/>
              </w:rPr>
              <w:t xml:space="preserve"> Kuriant ar atnaujinant infrastruktūrą bus taikomi universalaus dizaino principai.</w:t>
            </w:r>
          </w:p>
        </w:tc>
      </w:tr>
    </w:tbl>
    <w:p w14:paraId="769041B9" w14:textId="77777777" w:rsidR="00EF291A" w:rsidRPr="00B44B19" w:rsidRDefault="00EF291A" w:rsidP="00F52EB5">
      <w:pPr>
        <w:pStyle w:val="Stilius1"/>
        <w:rPr>
          <w:rFonts w:eastAsia="Times New Roman" w:cs="Times New Roman"/>
          <w:noProof/>
          <w:szCs w:val="24"/>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rsidRPr="00B44B19" w14:paraId="1AE2C8CA" w14:textId="77777777" w:rsidTr="00F52EB5">
        <w:tc>
          <w:tcPr>
            <w:tcW w:w="9854" w:type="dxa"/>
          </w:tcPr>
          <w:p w14:paraId="17365836" w14:textId="77777777" w:rsidR="00F52EB5" w:rsidRPr="00B44B19" w:rsidRDefault="009C6543" w:rsidP="00B059CA">
            <w:pPr>
              <w:pStyle w:val="Stilius1"/>
              <w:spacing w:before="60" w:after="60"/>
              <w:rPr>
                <w:rFonts w:cs="Times New Roman"/>
                <w:b w:val="0"/>
                <w:i w:val="0"/>
                <w:noProof/>
                <w:color w:val="auto"/>
                <w:lang w:eastAsia="lt-LT" w:bidi="lt-LT"/>
              </w:rPr>
            </w:pPr>
            <w:r w:rsidRPr="00B44B19">
              <w:rPr>
                <w:rFonts w:cs="Times New Roman"/>
                <w:b w:val="0"/>
                <w:i w:val="0"/>
                <w:color w:val="auto"/>
                <w:sz w:val="22"/>
              </w:rPr>
              <w:t>VVL regionas, Sostinės regionas</w:t>
            </w:r>
          </w:p>
        </w:tc>
      </w:tr>
    </w:tbl>
    <w:p w14:paraId="093DB791"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F52EB5" w:rsidRPr="00B44B19" w14:paraId="6C759A7A" w14:textId="77777777" w:rsidTr="00F52EB5">
        <w:tc>
          <w:tcPr>
            <w:tcW w:w="9854" w:type="dxa"/>
          </w:tcPr>
          <w:p w14:paraId="1FB7E269" w14:textId="77777777" w:rsidR="00F52EB5" w:rsidRPr="00B44B19" w:rsidRDefault="009C6543" w:rsidP="004952F4">
            <w:pPr>
              <w:pStyle w:val="Stilius1"/>
              <w:spacing w:before="60" w:after="60"/>
              <w:jc w:val="both"/>
              <w:rPr>
                <w:rFonts w:cs="Times New Roman"/>
                <w:b w:val="0"/>
                <w:i w:val="0"/>
                <w:noProof/>
                <w:color w:val="auto"/>
                <w:sz w:val="22"/>
                <w:lang w:eastAsia="lt-LT" w:bidi="lt-LT"/>
              </w:rPr>
            </w:pPr>
            <w:r w:rsidRPr="00B44B19">
              <w:rPr>
                <w:rFonts w:cs="Times New Roman"/>
                <w:b w:val="0"/>
                <w:i w:val="0"/>
                <w:noProof/>
                <w:color w:val="auto"/>
                <w:sz w:val="22"/>
                <w:lang w:eastAsia="lt-LT" w:bidi="lt-LT"/>
              </w:rPr>
              <w:t>Įgyvendinant veiklas numatoma prisidėti prie BJRS įgyvendinimo, inicijuoti bendras BJR šalių programas tam, kad būtų sudarytos sąlygos bendriems BJR MTEPI projektams vystyti ir įgyvendinti. Išskirtinį dėmesį numatom</w:t>
            </w:r>
            <w:r w:rsidR="00134A7A" w:rsidRPr="00B44B19">
              <w:rPr>
                <w:rFonts w:cs="Times New Roman"/>
                <w:b w:val="0"/>
                <w:i w:val="0"/>
                <w:noProof/>
                <w:color w:val="auto"/>
                <w:sz w:val="22"/>
                <w:lang w:eastAsia="lt-LT" w:bidi="lt-LT"/>
              </w:rPr>
              <w:t>a</w:t>
            </w:r>
            <w:r w:rsidRPr="00B44B19">
              <w:rPr>
                <w:rFonts w:cs="Times New Roman"/>
                <w:b w:val="0"/>
                <w:i w:val="0"/>
                <w:noProof/>
                <w:color w:val="auto"/>
                <w:sz w:val="22"/>
                <w:lang w:eastAsia="lt-LT" w:bidi="lt-LT"/>
              </w:rPr>
              <w:t xml:space="preserve"> skirti klasterių bendradarbiavimui BJR. Bus skatinamas tarptautinių projektų </w:t>
            </w:r>
            <w:r w:rsidR="00190FD9" w:rsidRPr="00B44B19">
              <w:rPr>
                <w:rFonts w:cs="Times New Roman"/>
                <w:b w:val="0"/>
                <w:i w:val="0"/>
                <w:noProof/>
                <w:color w:val="auto"/>
                <w:sz w:val="22"/>
                <w:lang w:eastAsia="lt-LT" w:bidi="lt-LT"/>
              </w:rPr>
              <w:t>vykdymas pagal ETBT MTEPI programas.</w:t>
            </w:r>
            <w:r w:rsidRPr="00B44B19">
              <w:rPr>
                <w:rFonts w:cs="Times New Roman"/>
                <w:b w:val="0"/>
                <w:i w:val="0"/>
                <w:noProof/>
                <w:color w:val="auto"/>
                <w:sz w:val="22"/>
                <w:lang w:eastAsia="lt-LT" w:bidi="lt-LT"/>
              </w:rPr>
              <w:t xml:space="preserve"> Siekiant mokslo ir studijų institucijų ir verslo įmonių konkurencingumo augimo, skatinamas šių subjektų dalyvavimas </w:t>
            </w:r>
            <w:r w:rsidR="00DF01E2" w:rsidRPr="00B44B19">
              <w:rPr>
                <w:rFonts w:cs="Times New Roman"/>
                <w:b w:val="0"/>
                <w:i w:val="0"/>
                <w:noProof/>
                <w:color w:val="auto"/>
                <w:sz w:val="22"/>
                <w:lang w:eastAsia="lt-LT" w:bidi="lt-LT"/>
              </w:rPr>
              <w:t>EH</w:t>
            </w:r>
            <w:r w:rsidRPr="00B44B19">
              <w:rPr>
                <w:rFonts w:cs="Times New Roman"/>
                <w:b w:val="0"/>
                <w:i w:val="0"/>
                <w:noProof/>
                <w:color w:val="auto"/>
                <w:sz w:val="22"/>
                <w:lang w:eastAsia="lt-LT" w:bidi="lt-LT"/>
              </w:rPr>
              <w:t xml:space="preserve"> ir kitose EK tiesiogiai finansuojamose programose, bus skatinamas mokslo ir studijų institucijų ir įmonių įsijungimas į TVG, išskirtinį dėmesį skiriant įmonių dalyvavimui ES strateginės vertės grandinėse. Planuojama stipirinti mokslo ir studijų instutucijų gebėjimus dalyvauti tarptautinėse MTEP programose ir vadovauti tarptautiniams konsorciumams, skatinant dalyvavimą </w:t>
            </w:r>
            <w:r w:rsidRPr="00B44B19">
              <w:rPr>
                <w:rFonts w:cs="Times New Roman"/>
                <w:b w:val="0"/>
                <w:noProof/>
                <w:color w:val="auto"/>
                <w:sz w:val="22"/>
                <w:lang w:eastAsia="lt-LT" w:bidi="lt-LT"/>
              </w:rPr>
              <w:t>Twinning, Teaming</w:t>
            </w:r>
            <w:r w:rsidRPr="00B44B19">
              <w:rPr>
                <w:rFonts w:cs="Times New Roman"/>
                <w:b w:val="0"/>
                <w:i w:val="0"/>
                <w:noProof/>
                <w:color w:val="auto"/>
                <w:sz w:val="22"/>
                <w:lang w:eastAsia="lt-LT" w:bidi="lt-LT"/>
              </w:rPr>
              <w:t>, Europo</w:t>
            </w:r>
            <w:r w:rsidR="00DF01E2" w:rsidRPr="00B44B19">
              <w:rPr>
                <w:rFonts w:cs="Times New Roman"/>
                <w:b w:val="0"/>
                <w:i w:val="0"/>
                <w:noProof/>
                <w:color w:val="auto"/>
                <w:sz w:val="22"/>
                <w:lang w:eastAsia="lt-LT" w:bidi="lt-LT"/>
              </w:rPr>
              <w:t>s partnerystė</w:t>
            </w:r>
            <w:r w:rsidRPr="00B44B19">
              <w:rPr>
                <w:rFonts w:cs="Times New Roman"/>
                <w:b w:val="0"/>
                <w:i w:val="0"/>
                <w:noProof/>
                <w:color w:val="auto"/>
                <w:sz w:val="22"/>
                <w:lang w:eastAsia="lt-LT" w:bidi="lt-LT"/>
              </w:rPr>
              <w:t xml:space="preserve"> ir pan. iniciatyvose bei dalyvavimą tarptautinėse MTEP infrastruktūrose.</w:t>
            </w:r>
          </w:p>
        </w:tc>
      </w:tr>
    </w:tbl>
    <w:p w14:paraId="76B42D55"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F52EB5" w:rsidRPr="00B44B19" w14:paraId="13C5891F" w14:textId="77777777" w:rsidTr="00F52EB5">
        <w:tc>
          <w:tcPr>
            <w:tcW w:w="9854" w:type="dxa"/>
          </w:tcPr>
          <w:p w14:paraId="793C0F2F" w14:textId="465B5945" w:rsidR="00215F5B" w:rsidRPr="00B44B19" w:rsidRDefault="00215F5B" w:rsidP="004952F4">
            <w:pPr>
              <w:autoSpaceDE w:val="0"/>
              <w:autoSpaceDN w:val="0"/>
              <w:adjustRightInd w:val="0"/>
              <w:spacing w:before="60" w:after="60"/>
              <w:jc w:val="both"/>
              <w:rPr>
                <w:rFonts w:cs="Times New Roman"/>
                <w:iCs/>
                <w:color w:val="000000"/>
                <w:sz w:val="22"/>
              </w:rPr>
            </w:pPr>
            <w:r w:rsidRPr="00B44B19">
              <w:rPr>
                <w:rFonts w:cs="Times New Roman"/>
                <w:iCs/>
                <w:color w:val="000000"/>
                <w:sz w:val="22"/>
              </w:rPr>
              <w:t xml:space="preserve">Šiam uždaviniui įgyvendinti toliau planuojama taikyti rizikos kapitalo investicijas į MTEP. Taip pat </w:t>
            </w:r>
            <w:r w:rsidR="00DA3E76" w:rsidRPr="00B44B19">
              <w:rPr>
                <w:rFonts w:cs="Times New Roman"/>
                <w:iCs/>
                <w:color w:val="000000"/>
                <w:sz w:val="22"/>
              </w:rPr>
              <w:t>išanalizuotos</w:t>
            </w:r>
            <w:r w:rsidRPr="00B44B19">
              <w:rPr>
                <w:rFonts w:cs="Times New Roman"/>
                <w:iCs/>
                <w:color w:val="000000"/>
                <w:sz w:val="22"/>
              </w:rPr>
              <w:t xml:space="preserve"> galimybės finansines priemones, pirmiausia rizikos kapitalo investicijas ir paskolas, taikyti naujoms veikloms – startuolių vystymo, akceleravimo</w:t>
            </w:r>
            <w:r w:rsidR="00CE29B2" w:rsidRPr="00B44B19">
              <w:rPr>
                <w:rFonts w:cs="Times New Roman"/>
                <w:iCs/>
                <w:color w:val="000000"/>
                <w:sz w:val="22"/>
              </w:rPr>
              <w:t>, jų apyvartiniam kapitalui</w:t>
            </w:r>
            <w:r w:rsidRPr="00B44B19">
              <w:rPr>
                <w:rFonts w:cs="Times New Roman"/>
                <w:iCs/>
                <w:color w:val="000000"/>
                <w:sz w:val="22"/>
              </w:rPr>
              <w:t xml:space="preserve"> ir plėtros bei MVĮ (pramonės) transformacijos skatinimo (technologinių inovacijų diegimo) VVL regione, MTEP vykdymui Sostinės regione dėl šių veiklų generuojamos grąžos.</w:t>
            </w:r>
          </w:p>
          <w:p w14:paraId="101F8147" w14:textId="3D76BBF9" w:rsidR="00215F5B" w:rsidRPr="00B44B19" w:rsidRDefault="00215F5B" w:rsidP="004952F4">
            <w:pPr>
              <w:autoSpaceDE w:val="0"/>
              <w:autoSpaceDN w:val="0"/>
              <w:adjustRightInd w:val="0"/>
              <w:spacing w:before="60" w:after="60"/>
              <w:jc w:val="both"/>
              <w:rPr>
                <w:rFonts w:cs="Times New Roman"/>
                <w:iCs/>
                <w:color w:val="000000"/>
                <w:sz w:val="22"/>
              </w:rPr>
            </w:pPr>
            <w:r w:rsidRPr="00B44B19">
              <w:rPr>
                <w:rFonts w:cs="Times New Roman"/>
                <w:iCs/>
                <w:color w:val="000000"/>
                <w:sz w:val="22"/>
              </w:rPr>
              <w:t>Veikl</w:t>
            </w:r>
            <w:r w:rsidR="00D31F0D" w:rsidRPr="00B44B19">
              <w:rPr>
                <w:rFonts w:cs="Times New Roman"/>
                <w:iCs/>
                <w:color w:val="000000"/>
                <w:sz w:val="22"/>
              </w:rPr>
              <w:t>oms</w:t>
            </w:r>
            <w:r w:rsidRPr="00B44B19">
              <w:rPr>
                <w:rFonts w:cs="Times New Roman"/>
                <w:iCs/>
                <w:color w:val="000000"/>
                <w:sz w:val="22"/>
              </w:rPr>
              <w:t xml:space="preserve"> </w:t>
            </w:r>
            <w:r w:rsidR="00D31F0D" w:rsidRPr="00B44B19">
              <w:rPr>
                <w:rFonts w:cs="Times New Roman"/>
                <w:iCs/>
                <w:color w:val="000000"/>
                <w:sz w:val="22"/>
              </w:rPr>
              <w:t xml:space="preserve">„Skatinti inovacijų pasiūlą“ Sostinės regione ir </w:t>
            </w:r>
            <w:r w:rsidRPr="00B44B19">
              <w:rPr>
                <w:rFonts w:cs="Times New Roman"/>
                <w:iCs/>
                <w:color w:val="000000"/>
                <w:sz w:val="22"/>
              </w:rPr>
              <w:t xml:space="preserve">„Sudaryti sąlygas tvariai pramonės MVĮ transformacijai“ finansuoti planuojama derinti finansines priemones su </w:t>
            </w:r>
            <w:r w:rsidR="00581D4D" w:rsidRPr="00B44B19">
              <w:rPr>
                <w:rFonts w:cs="Times New Roman"/>
                <w:iCs/>
                <w:color w:val="000000"/>
                <w:sz w:val="22"/>
              </w:rPr>
              <w:t>dotacijomis</w:t>
            </w:r>
            <w:r w:rsidRPr="00B44B19">
              <w:rPr>
                <w:rFonts w:cs="Times New Roman"/>
                <w:iCs/>
                <w:color w:val="000000"/>
                <w:sz w:val="22"/>
              </w:rPr>
              <w:t>, kaip nustatyta BNR 58 straipsnio 5 dalyje.</w:t>
            </w:r>
          </w:p>
          <w:p w14:paraId="23AF365E" w14:textId="77777777" w:rsidR="00F52EB5" w:rsidRPr="00B44B19" w:rsidRDefault="00215F5B" w:rsidP="004952F4">
            <w:pPr>
              <w:spacing w:before="60" w:after="60"/>
              <w:jc w:val="both"/>
              <w:rPr>
                <w:rFonts w:eastAsia="Calibri" w:cs="Times New Roman"/>
                <w:b/>
                <w:i/>
                <w:noProof/>
                <w:szCs w:val="20"/>
                <w:lang w:eastAsia="lt-LT" w:bidi="lt-LT"/>
              </w:rPr>
            </w:pPr>
            <w:r w:rsidRPr="00B44B19">
              <w:rPr>
                <w:rFonts w:cs="Times New Roman"/>
                <w:iCs/>
                <w:color w:val="000000"/>
                <w:sz w:val="22"/>
              </w:rPr>
              <w:t>Siekiant užtikrinti finansinių priemonių įgyvendinimo tęstinumą, planuojama numatyti galimybę finansines priemones, pirmiausia rizikos kapitalo finansines priemones, finansuoti ir iš kito programavimo laikotarpio lėšų, kaip nustatyta BNR 68 str. 2 d.</w:t>
            </w:r>
          </w:p>
        </w:tc>
      </w:tr>
    </w:tbl>
    <w:p w14:paraId="1C2A1CFE" w14:textId="77777777" w:rsidR="009750A4" w:rsidRPr="00B44B19" w:rsidRDefault="00992515" w:rsidP="00891CA2">
      <w:pPr>
        <w:pStyle w:val="Stilius1"/>
        <w:rPr>
          <w:rFonts w:cs="Times New Roman"/>
          <w:noProof/>
          <w:lang w:eastAsia="lt-LT" w:bidi="lt-LT"/>
        </w:rPr>
      </w:pPr>
      <w:r w:rsidRPr="00B44B19">
        <w:rPr>
          <w:rFonts w:cs="Times New Roman"/>
          <w:noProof/>
          <w:lang w:eastAsia="lt-LT" w:bidi="lt-LT"/>
        </w:rPr>
        <w:t xml:space="preserve">Rodikliai </w:t>
      </w:r>
    </w:p>
    <w:p w14:paraId="16A6EEA1" w14:textId="77777777" w:rsidR="00992515" w:rsidRPr="00B44B19" w:rsidRDefault="00992515" w:rsidP="009773DC">
      <w:pPr>
        <w:spacing w:before="240" w:after="0" w:line="240" w:lineRule="auto"/>
        <w:jc w:val="both"/>
        <w:rPr>
          <w:rFonts w:cs="Times New Roman"/>
          <w:b/>
          <w:noProof/>
          <w:sz w:val="20"/>
        </w:rPr>
      </w:pPr>
      <w:r w:rsidRPr="00B44B19">
        <w:rPr>
          <w:rFonts w:cs="Times New Roman"/>
          <w:b/>
          <w:noProof/>
          <w:sz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955"/>
        <w:gridCol w:w="830"/>
        <w:gridCol w:w="965"/>
        <w:gridCol w:w="1241"/>
        <w:gridCol w:w="1384"/>
        <w:gridCol w:w="1105"/>
        <w:gridCol w:w="967"/>
        <w:gridCol w:w="1209"/>
      </w:tblGrid>
      <w:tr w:rsidR="00116C5C" w:rsidRPr="00B44B19" w14:paraId="6AACA97E" w14:textId="77777777" w:rsidTr="004952F4">
        <w:trPr>
          <w:trHeight w:val="641"/>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1D4C5D"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Prioritetas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75645"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853750"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A7ABEA"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7AFE28"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7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752FAD"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Rodiklis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B2F64E"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A01535"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6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5A6A4C"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Siek</w:t>
            </w:r>
            <w:r w:rsidR="00526B47" w:rsidRPr="00B44B19">
              <w:rPr>
                <w:rFonts w:cs="Times New Roman"/>
                <w:b/>
                <w:noProof/>
                <w:sz w:val="16"/>
                <w:szCs w:val="16"/>
              </w:rPr>
              <w:t>tina reikšmė</w:t>
            </w:r>
            <w:r w:rsidRPr="00B44B19">
              <w:rPr>
                <w:rFonts w:cs="Times New Roman"/>
                <w:b/>
                <w:noProof/>
                <w:sz w:val="16"/>
                <w:szCs w:val="16"/>
              </w:rPr>
              <w:t xml:space="preserve"> (2029 m.)</w:t>
            </w:r>
          </w:p>
        </w:tc>
      </w:tr>
      <w:tr w:rsidR="00116C5C" w:rsidRPr="00B44B19" w14:paraId="6FEDC519" w14:textId="77777777" w:rsidTr="00116C5C">
        <w:trPr>
          <w:trHeight w:val="591"/>
        </w:trPr>
        <w:tc>
          <w:tcPr>
            <w:tcW w:w="496" w:type="pct"/>
            <w:vMerge w:val="restart"/>
          </w:tcPr>
          <w:p w14:paraId="7CEF3657" w14:textId="77777777" w:rsidR="00116C5C" w:rsidRPr="00B44B19" w:rsidRDefault="00116C5C" w:rsidP="00116C5C">
            <w:pPr>
              <w:spacing w:after="0" w:line="240" w:lineRule="auto"/>
              <w:jc w:val="both"/>
              <w:rPr>
                <w:rFonts w:cs="Times New Roman"/>
                <w:noProof/>
                <w:sz w:val="16"/>
                <w:szCs w:val="16"/>
              </w:rPr>
            </w:pPr>
            <w:r w:rsidRPr="00B44B19">
              <w:rPr>
                <w:rFonts w:cs="Times New Roman"/>
                <w:noProof/>
                <w:sz w:val="16"/>
                <w:szCs w:val="16"/>
              </w:rPr>
              <w:t>1. Pažangesnė Lietuva</w:t>
            </w:r>
          </w:p>
        </w:tc>
        <w:tc>
          <w:tcPr>
            <w:tcW w:w="497" w:type="pct"/>
            <w:vMerge w:val="restart"/>
          </w:tcPr>
          <w:p w14:paraId="00049335" w14:textId="77777777" w:rsidR="00116C5C" w:rsidRPr="00B44B19" w:rsidRDefault="00116C5C" w:rsidP="00116C5C">
            <w:pPr>
              <w:spacing w:after="0" w:line="240" w:lineRule="auto"/>
              <w:rPr>
                <w:rFonts w:cs="Times New Roman"/>
                <w:noProof/>
                <w:sz w:val="16"/>
                <w:szCs w:val="16"/>
              </w:rPr>
            </w:pPr>
            <w:r w:rsidRPr="00B44B19">
              <w:rPr>
                <w:rFonts w:cs="Times New Roman"/>
                <w:noProof/>
                <w:sz w:val="16"/>
                <w:szCs w:val="16"/>
              </w:rPr>
              <w:t>1.1</w:t>
            </w:r>
          </w:p>
        </w:tc>
        <w:tc>
          <w:tcPr>
            <w:tcW w:w="432" w:type="pct"/>
            <w:vMerge w:val="restart"/>
          </w:tcPr>
          <w:p w14:paraId="4A90056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ERPF</w:t>
            </w:r>
          </w:p>
        </w:tc>
        <w:tc>
          <w:tcPr>
            <w:tcW w:w="502" w:type="pct"/>
          </w:tcPr>
          <w:p w14:paraId="122D6179" w14:textId="77777777" w:rsidR="00116C5C" w:rsidRPr="00B44B19" w:rsidRDefault="00116C5C" w:rsidP="00116C5C">
            <w:pPr>
              <w:spacing w:after="0" w:line="240" w:lineRule="auto"/>
              <w:jc w:val="both"/>
              <w:rPr>
                <w:rFonts w:cs="Times New Roman"/>
                <w:noProof/>
                <w:sz w:val="16"/>
                <w:szCs w:val="16"/>
              </w:rPr>
            </w:pPr>
            <w:r w:rsidRPr="00B44B19">
              <w:rPr>
                <w:rFonts w:cs="Times New Roman"/>
                <w:sz w:val="16"/>
                <w:szCs w:val="16"/>
              </w:rPr>
              <w:t>Sostinės regionas</w:t>
            </w:r>
          </w:p>
        </w:tc>
        <w:tc>
          <w:tcPr>
            <w:tcW w:w="646" w:type="pct"/>
          </w:tcPr>
          <w:p w14:paraId="720120BE" w14:textId="77777777" w:rsidR="00116C5C" w:rsidRPr="00B44B19" w:rsidRDefault="00116C5C" w:rsidP="00116C5C">
            <w:pPr>
              <w:spacing w:after="0" w:line="240" w:lineRule="auto"/>
              <w:jc w:val="both"/>
              <w:rPr>
                <w:rFonts w:cs="Times New Roman"/>
                <w:sz w:val="16"/>
                <w:szCs w:val="16"/>
                <w:lang w:eastAsia="en-GB"/>
              </w:rPr>
            </w:pPr>
            <w:r w:rsidRPr="00B44B19">
              <w:rPr>
                <w:rFonts w:cs="Times New Roman"/>
                <w:sz w:val="16"/>
                <w:szCs w:val="16"/>
              </w:rPr>
              <w:t>RCO01</w:t>
            </w:r>
          </w:p>
        </w:tc>
        <w:tc>
          <w:tcPr>
            <w:tcW w:w="720" w:type="pct"/>
          </w:tcPr>
          <w:p w14:paraId="3052054C" w14:textId="77777777" w:rsidR="00116C5C" w:rsidRPr="00B44B19" w:rsidRDefault="00116C5C" w:rsidP="00116C5C">
            <w:pPr>
              <w:tabs>
                <w:tab w:val="left" w:pos="7560"/>
              </w:tabs>
              <w:spacing w:after="0" w:line="240" w:lineRule="auto"/>
              <w:rPr>
                <w:rFonts w:cs="Times New Roman"/>
                <w:sz w:val="16"/>
                <w:szCs w:val="16"/>
                <w:lang w:eastAsia="en-GB"/>
              </w:rPr>
            </w:pPr>
            <w:r w:rsidRPr="00B44B19">
              <w:rPr>
                <w:rFonts w:cs="Times New Roman"/>
                <w:sz w:val="16"/>
                <w:szCs w:val="16"/>
              </w:rPr>
              <w:t>Paramą gavusios įmonės (iš kurių: labai mažos, mažosios</w:t>
            </w:r>
            <w:r w:rsidR="00BA56A5" w:rsidRPr="00B44B19">
              <w:rPr>
                <w:rFonts w:cs="Times New Roman"/>
                <w:sz w:val="16"/>
                <w:szCs w:val="16"/>
              </w:rPr>
              <w:t>,</w:t>
            </w:r>
            <w:r w:rsidRPr="00B44B19">
              <w:rPr>
                <w:rFonts w:cs="Times New Roman"/>
                <w:sz w:val="16"/>
                <w:szCs w:val="16"/>
              </w:rPr>
              <w:t xml:space="preserve"> vidutinės ir didelės) </w:t>
            </w:r>
          </w:p>
        </w:tc>
        <w:tc>
          <w:tcPr>
            <w:tcW w:w="575" w:type="pct"/>
          </w:tcPr>
          <w:p w14:paraId="55A1FA37" w14:textId="77777777" w:rsidR="00116C5C" w:rsidRPr="00B44B19" w:rsidRDefault="00116C5C" w:rsidP="00116C5C">
            <w:pPr>
              <w:spacing w:after="0" w:line="240" w:lineRule="auto"/>
              <w:jc w:val="both"/>
              <w:rPr>
                <w:rFonts w:cs="Times New Roman"/>
                <w:noProof/>
                <w:sz w:val="16"/>
                <w:szCs w:val="16"/>
              </w:rPr>
            </w:pPr>
            <w:r w:rsidRPr="00B44B19">
              <w:rPr>
                <w:rFonts w:cs="Times New Roman"/>
                <w:sz w:val="16"/>
                <w:szCs w:val="16"/>
              </w:rPr>
              <w:t>Įmonės</w:t>
            </w:r>
          </w:p>
        </w:tc>
        <w:tc>
          <w:tcPr>
            <w:tcW w:w="503" w:type="pct"/>
          </w:tcPr>
          <w:p w14:paraId="4209065E" w14:textId="77777777" w:rsidR="00116C5C" w:rsidRPr="00B44B19" w:rsidRDefault="00000BD4" w:rsidP="00116C5C">
            <w:pPr>
              <w:spacing w:after="0" w:line="240" w:lineRule="auto"/>
              <w:jc w:val="center"/>
              <w:rPr>
                <w:rFonts w:cs="Times New Roman"/>
                <w:b/>
                <w:noProof/>
                <w:sz w:val="16"/>
                <w:szCs w:val="16"/>
              </w:rPr>
            </w:pPr>
            <w:r w:rsidRPr="00B44B19">
              <w:rPr>
                <w:rFonts w:cs="Times New Roman"/>
                <w:sz w:val="16"/>
                <w:szCs w:val="16"/>
              </w:rPr>
              <w:t>17</w:t>
            </w:r>
          </w:p>
        </w:tc>
        <w:tc>
          <w:tcPr>
            <w:tcW w:w="630" w:type="pct"/>
          </w:tcPr>
          <w:p w14:paraId="6F461DAF" w14:textId="0B8E4EC1" w:rsidR="00116C5C" w:rsidRPr="00B44B19" w:rsidRDefault="009845FE" w:rsidP="00116C5C">
            <w:pPr>
              <w:spacing w:after="0" w:line="240" w:lineRule="auto"/>
              <w:jc w:val="center"/>
              <w:rPr>
                <w:rFonts w:cs="Times New Roman"/>
                <w:b/>
                <w:noProof/>
                <w:sz w:val="16"/>
                <w:szCs w:val="16"/>
              </w:rPr>
            </w:pPr>
            <w:r w:rsidRPr="00B44B19">
              <w:rPr>
                <w:rFonts w:cs="Times New Roman"/>
                <w:sz w:val="16"/>
                <w:szCs w:val="16"/>
              </w:rPr>
              <w:t>50</w:t>
            </w:r>
          </w:p>
        </w:tc>
      </w:tr>
      <w:tr w:rsidR="00116C5C" w:rsidRPr="00B44B19" w14:paraId="7B823944" w14:textId="77777777" w:rsidTr="00116C5C">
        <w:trPr>
          <w:trHeight w:val="258"/>
        </w:trPr>
        <w:tc>
          <w:tcPr>
            <w:tcW w:w="496" w:type="pct"/>
            <w:vMerge/>
          </w:tcPr>
          <w:p w14:paraId="0FAF3A1C"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5054F88C"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66CFEB6C" w14:textId="77777777" w:rsidR="00116C5C" w:rsidRPr="00B44B19" w:rsidRDefault="00116C5C" w:rsidP="00116C5C">
            <w:pPr>
              <w:spacing w:after="0" w:line="240" w:lineRule="auto"/>
              <w:jc w:val="center"/>
              <w:rPr>
                <w:rFonts w:cs="Times New Roman"/>
                <w:sz w:val="16"/>
                <w:szCs w:val="16"/>
              </w:rPr>
            </w:pPr>
          </w:p>
        </w:tc>
        <w:tc>
          <w:tcPr>
            <w:tcW w:w="502" w:type="pct"/>
          </w:tcPr>
          <w:p w14:paraId="518782E6"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56B58446"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RCO01</w:t>
            </w:r>
          </w:p>
        </w:tc>
        <w:tc>
          <w:tcPr>
            <w:tcW w:w="720" w:type="pct"/>
          </w:tcPr>
          <w:p w14:paraId="0CA05FA7"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Paramą gavusios įmonės (iš kurių: labai mažos, mažosios</w:t>
            </w:r>
            <w:r w:rsidR="00BA56A5" w:rsidRPr="00B44B19">
              <w:rPr>
                <w:rFonts w:cs="Times New Roman"/>
                <w:sz w:val="16"/>
                <w:szCs w:val="16"/>
              </w:rPr>
              <w:t>,</w:t>
            </w:r>
            <w:r w:rsidRPr="00B44B19">
              <w:rPr>
                <w:rFonts w:cs="Times New Roman"/>
                <w:sz w:val="16"/>
                <w:szCs w:val="16"/>
              </w:rPr>
              <w:t xml:space="preserve"> vidutinės ir didelės) </w:t>
            </w:r>
          </w:p>
        </w:tc>
        <w:tc>
          <w:tcPr>
            <w:tcW w:w="575" w:type="pct"/>
          </w:tcPr>
          <w:p w14:paraId="7F82448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438D194F" w14:textId="5FFA5194" w:rsidR="00116C5C" w:rsidRPr="00B44B19" w:rsidRDefault="00D31F0D" w:rsidP="00AE7C55">
            <w:pPr>
              <w:spacing w:after="0" w:line="240" w:lineRule="auto"/>
              <w:jc w:val="center"/>
              <w:rPr>
                <w:rFonts w:cs="Times New Roman"/>
                <w:sz w:val="16"/>
                <w:szCs w:val="16"/>
              </w:rPr>
            </w:pPr>
            <w:r w:rsidRPr="00B44B19">
              <w:rPr>
                <w:rFonts w:cs="Times New Roman"/>
                <w:sz w:val="16"/>
                <w:szCs w:val="16"/>
              </w:rPr>
              <w:t>448</w:t>
            </w:r>
          </w:p>
        </w:tc>
        <w:tc>
          <w:tcPr>
            <w:tcW w:w="630" w:type="pct"/>
          </w:tcPr>
          <w:p w14:paraId="1710D32E" w14:textId="6D6FFB22" w:rsidR="00116C5C" w:rsidRPr="00B44B19" w:rsidRDefault="009845FE" w:rsidP="00AE7C55">
            <w:pPr>
              <w:spacing w:after="0" w:line="240" w:lineRule="auto"/>
              <w:jc w:val="center"/>
              <w:rPr>
                <w:rFonts w:cs="Times New Roman"/>
                <w:sz w:val="16"/>
                <w:szCs w:val="16"/>
              </w:rPr>
            </w:pPr>
            <w:r w:rsidRPr="00B44B19">
              <w:rPr>
                <w:rFonts w:cs="Times New Roman"/>
                <w:sz w:val="16"/>
                <w:szCs w:val="16"/>
              </w:rPr>
              <w:t>1</w:t>
            </w:r>
            <w:r w:rsidR="00745CFC" w:rsidRPr="00B44B19">
              <w:rPr>
                <w:rFonts w:cs="Times New Roman"/>
                <w:sz w:val="16"/>
                <w:szCs w:val="16"/>
              </w:rPr>
              <w:t xml:space="preserve"> </w:t>
            </w:r>
            <w:r w:rsidRPr="00B44B19">
              <w:rPr>
                <w:rFonts w:cs="Times New Roman"/>
                <w:sz w:val="16"/>
                <w:szCs w:val="16"/>
              </w:rPr>
              <w:t>417</w:t>
            </w:r>
          </w:p>
        </w:tc>
      </w:tr>
      <w:tr w:rsidR="00116C5C" w:rsidRPr="00B44B19" w14:paraId="7B0E33D5" w14:textId="77777777" w:rsidTr="00116C5C">
        <w:trPr>
          <w:trHeight w:val="377"/>
        </w:trPr>
        <w:tc>
          <w:tcPr>
            <w:tcW w:w="496" w:type="pct"/>
            <w:vMerge/>
          </w:tcPr>
          <w:p w14:paraId="4DDBD053"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04D3EC47"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511C1764" w14:textId="77777777" w:rsidR="00116C5C" w:rsidRPr="00B44B19" w:rsidRDefault="00116C5C" w:rsidP="00116C5C">
            <w:pPr>
              <w:spacing w:after="0" w:line="240" w:lineRule="auto"/>
              <w:jc w:val="center"/>
              <w:rPr>
                <w:rFonts w:cs="Times New Roman"/>
                <w:sz w:val="16"/>
                <w:szCs w:val="16"/>
              </w:rPr>
            </w:pPr>
          </w:p>
        </w:tc>
        <w:tc>
          <w:tcPr>
            <w:tcW w:w="502" w:type="pct"/>
          </w:tcPr>
          <w:p w14:paraId="3DBA28A0"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29B55F0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RCO02</w:t>
            </w:r>
          </w:p>
        </w:tc>
        <w:tc>
          <w:tcPr>
            <w:tcW w:w="720" w:type="pct"/>
          </w:tcPr>
          <w:p w14:paraId="2E0BBF1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 xml:space="preserve">Paramą dotacijomis gavusios įmonės </w:t>
            </w:r>
          </w:p>
        </w:tc>
        <w:tc>
          <w:tcPr>
            <w:tcW w:w="575" w:type="pct"/>
          </w:tcPr>
          <w:p w14:paraId="13AF1254"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3E5ED7BD" w14:textId="77777777" w:rsidR="00116C5C" w:rsidRPr="00B44B19" w:rsidRDefault="00000BD4" w:rsidP="00116C5C">
            <w:pPr>
              <w:spacing w:after="0" w:line="240" w:lineRule="auto"/>
              <w:jc w:val="center"/>
              <w:rPr>
                <w:rFonts w:cs="Times New Roman"/>
                <w:sz w:val="16"/>
                <w:szCs w:val="16"/>
              </w:rPr>
            </w:pPr>
            <w:r w:rsidRPr="00B44B19">
              <w:rPr>
                <w:rFonts w:cs="Times New Roman"/>
                <w:sz w:val="16"/>
                <w:szCs w:val="16"/>
              </w:rPr>
              <w:t>17</w:t>
            </w:r>
          </w:p>
        </w:tc>
        <w:tc>
          <w:tcPr>
            <w:tcW w:w="630" w:type="pct"/>
          </w:tcPr>
          <w:p w14:paraId="5787427A" w14:textId="7C0229F4" w:rsidR="00116C5C" w:rsidRPr="00B44B19" w:rsidRDefault="009845FE" w:rsidP="00116C5C">
            <w:pPr>
              <w:spacing w:after="0" w:line="240" w:lineRule="auto"/>
              <w:jc w:val="center"/>
              <w:rPr>
                <w:rFonts w:cs="Times New Roman"/>
                <w:sz w:val="16"/>
                <w:szCs w:val="16"/>
              </w:rPr>
            </w:pPr>
            <w:r w:rsidRPr="00B44B19">
              <w:rPr>
                <w:rFonts w:cs="Times New Roman"/>
                <w:sz w:val="16"/>
                <w:szCs w:val="16"/>
              </w:rPr>
              <w:t>29</w:t>
            </w:r>
          </w:p>
        </w:tc>
      </w:tr>
      <w:tr w:rsidR="00116C5C" w:rsidRPr="00B44B19" w14:paraId="1FBE08D1" w14:textId="77777777" w:rsidTr="00116C5C">
        <w:trPr>
          <w:trHeight w:val="505"/>
        </w:trPr>
        <w:tc>
          <w:tcPr>
            <w:tcW w:w="496" w:type="pct"/>
            <w:vMerge/>
          </w:tcPr>
          <w:p w14:paraId="6AE779B2"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4D34A3AA"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7777904A" w14:textId="77777777" w:rsidR="00116C5C" w:rsidRPr="00B44B19" w:rsidRDefault="00116C5C" w:rsidP="00116C5C">
            <w:pPr>
              <w:spacing w:after="0" w:line="240" w:lineRule="auto"/>
              <w:jc w:val="center"/>
              <w:rPr>
                <w:rFonts w:cs="Times New Roman"/>
                <w:sz w:val="16"/>
                <w:szCs w:val="16"/>
              </w:rPr>
            </w:pPr>
          </w:p>
        </w:tc>
        <w:tc>
          <w:tcPr>
            <w:tcW w:w="502" w:type="pct"/>
          </w:tcPr>
          <w:p w14:paraId="40E7576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0611C3D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RCO02</w:t>
            </w:r>
          </w:p>
        </w:tc>
        <w:tc>
          <w:tcPr>
            <w:tcW w:w="720" w:type="pct"/>
          </w:tcPr>
          <w:p w14:paraId="729307B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 xml:space="preserve">Paramą dotacijomis gavusios įmonės </w:t>
            </w:r>
          </w:p>
        </w:tc>
        <w:tc>
          <w:tcPr>
            <w:tcW w:w="575" w:type="pct"/>
          </w:tcPr>
          <w:p w14:paraId="0D9CC870"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52C21E05" w14:textId="11591B7F" w:rsidR="00116C5C" w:rsidRPr="00B44B19" w:rsidRDefault="00D31F0D" w:rsidP="00AE7C55">
            <w:pPr>
              <w:spacing w:after="0" w:line="240" w:lineRule="auto"/>
              <w:jc w:val="center"/>
              <w:rPr>
                <w:rFonts w:cs="Times New Roman"/>
                <w:sz w:val="16"/>
                <w:szCs w:val="16"/>
              </w:rPr>
            </w:pPr>
            <w:r w:rsidRPr="00B44B19">
              <w:rPr>
                <w:rFonts w:cs="Times New Roman"/>
                <w:sz w:val="16"/>
                <w:szCs w:val="16"/>
              </w:rPr>
              <w:t>216</w:t>
            </w:r>
          </w:p>
        </w:tc>
        <w:tc>
          <w:tcPr>
            <w:tcW w:w="630" w:type="pct"/>
          </w:tcPr>
          <w:p w14:paraId="7C067B88" w14:textId="64BF2EA1" w:rsidR="00116C5C" w:rsidRPr="00B44B19" w:rsidRDefault="009845FE" w:rsidP="00AE7C55">
            <w:pPr>
              <w:spacing w:after="0" w:line="240" w:lineRule="auto"/>
              <w:jc w:val="center"/>
              <w:rPr>
                <w:rFonts w:cs="Times New Roman"/>
                <w:sz w:val="16"/>
                <w:szCs w:val="16"/>
              </w:rPr>
            </w:pPr>
            <w:r w:rsidRPr="00B44B19">
              <w:rPr>
                <w:rFonts w:cs="Times New Roman"/>
                <w:sz w:val="16"/>
                <w:szCs w:val="16"/>
              </w:rPr>
              <w:t>823</w:t>
            </w:r>
          </w:p>
        </w:tc>
      </w:tr>
      <w:tr w:rsidR="00116C5C" w:rsidRPr="00B44B19" w14:paraId="51423C8C" w14:textId="77777777" w:rsidTr="00116C5C">
        <w:trPr>
          <w:trHeight w:val="565"/>
        </w:trPr>
        <w:tc>
          <w:tcPr>
            <w:tcW w:w="496" w:type="pct"/>
            <w:vMerge/>
          </w:tcPr>
          <w:p w14:paraId="58650FDE"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381E9E9A"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09B74374" w14:textId="77777777" w:rsidR="00116C5C" w:rsidRPr="00B44B19" w:rsidRDefault="00116C5C" w:rsidP="00116C5C">
            <w:pPr>
              <w:spacing w:after="0" w:line="240" w:lineRule="auto"/>
              <w:jc w:val="center"/>
              <w:rPr>
                <w:rFonts w:cs="Times New Roman"/>
                <w:sz w:val="16"/>
                <w:szCs w:val="16"/>
              </w:rPr>
            </w:pPr>
          </w:p>
        </w:tc>
        <w:tc>
          <w:tcPr>
            <w:tcW w:w="502" w:type="pct"/>
          </w:tcPr>
          <w:p w14:paraId="56A373E2"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57A18E86"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RCO03</w:t>
            </w:r>
          </w:p>
        </w:tc>
        <w:tc>
          <w:tcPr>
            <w:tcW w:w="720" w:type="pct"/>
          </w:tcPr>
          <w:p w14:paraId="6BE59A52" w14:textId="77777777" w:rsidR="00116C5C" w:rsidRPr="00B44B19" w:rsidRDefault="00116C5C" w:rsidP="00B520E6">
            <w:pPr>
              <w:spacing w:after="0" w:line="240" w:lineRule="auto"/>
              <w:rPr>
                <w:rFonts w:cs="Times New Roman"/>
                <w:sz w:val="16"/>
                <w:szCs w:val="16"/>
              </w:rPr>
            </w:pPr>
            <w:r w:rsidRPr="00B44B19">
              <w:rPr>
                <w:rFonts w:cs="Times New Roman"/>
                <w:sz w:val="16"/>
                <w:szCs w:val="16"/>
              </w:rPr>
              <w:t xml:space="preserve">Paramą finansinėmis priemonėmis gavusios įmonės </w:t>
            </w:r>
          </w:p>
        </w:tc>
        <w:tc>
          <w:tcPr>
            <w:tcW w:w="575" w:type="pct"/>
          </w:tcPr>
          <w:p w14:paraId="625E2E5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5225288F" w14:textId="77777777" w:rsidR="00116C5C" w:rsidRPr="00B44B19" w:rsidRDefault="00C17C81" w:rsidP="00116C5C">
            <w:pPr>
              <w:spacing w:after="0" w:line="240" w:lineRule="auto"/>
              <w:jc w:val="center"/>
              <w:rPr>
                <w:rFonts w:cs="Times New Roman"/>
                <w:sz w:val="16"/>
                <w:szCs w:val="16"/>
              </w:rPr>
            </w:pPr>
            <w:r w:rsidRPr="00B44B19">
              <w:rPr>
                <w:rFonts w:cs="Times New Roman"/>
                <w:sz w:val="16"/>
                <w:szCs w:val="16"/>
              </w:rPr>
              <w:t>0</w:t>
            </w:r>
          </w:p>
        </w:tc>
        <w:tc>
          <w:tcPr>
            <w:tcW w:w="630" w:type="pct"/>
          </w:tcPr>
          <w:p w14:paraId="7691C512" w14:textId="156CB13B" w:rsidR="00116C5C" w:rsidRPr="00B44B19" w:rsidRDefault="009845FE" w:rsidP="00116C5C">
            <w:pPr>
              <w:spacing w:after="0" w:line="240" w:lineRule="auto"/>
              <w:jc w:val="center"/>
              <w:rPr>
                <w:rFonts w:cs="Times New Roman"/>
                <w:sz w:val="16"/>
                <w:szCs w:val="16"/>
              </w:rPr>
            </w:pPr>
            <w:r w:rsidRPr="00B44B19">
              <w:rPr>
                <w:rFonts w:cs="Times New Roman"/>
                <w:sz w:val="16"/>
                <w:szCs w:val="16"/>
              </w:rPr>
              <w:t>29</w:t>
            </w:r>
          </w:p>
        </w:tc>
      </w:tr>
      <w:tr w:rsidR="00116C5C" w:rsidRPr="00B44B19" w14:paraId="23BCF3A8" w14:textId="77777777" w:rsidTr="00116C5C">
        <w:trPr>
          <w:trHeight w:val="506"/>
        </w:trPr>
        <w:tc>
          <w:tcPr>
            <w:tcW w:w="496" w:type="pct"/>
            <w:vMerge/>
          </w:tcPr>
          <w:p w14:paraId="7519AE2F"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753C2D6B"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20A754E3" w14:textId="77777777" w:rsidR="00116C5C" w:rsidRPr="00B44B19" w:rsidRDefault="00116C5C" w:rsidP="00116C5C">
            <w:pPr>
              <w:spacing w:after="0" w:line="240" w:lineRule="auto"/>
              <w:rPr>
                <w:rFonts w:cs="Times New Roman"/>
                <w:sz w:val="16"/>
                <w:szCs w:val="16"/>
              </w:rPr>
            </w:pPr>
          </w:p>
        </w:tc>
        <w:tc>
          <w:tcPr>
            <w:tcW w:w="502" w:type="pct"/>
          </w:tcPr>
          <w:p w14:paraId="4E705B6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476FA7E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RCO03</w:t>
            </w:r>
          </w:p>
        </w:tc>
        <w:tc>
          <w:tcPr>
            <w:tcW w:w="720" w:type="pct"/>
          </w:tcPr>
          <w:p w14:paraId="2189442D" w14:textId="77777777" w:rsidR="00116C5C" w:rsidRPr="00B44B19" w:rsidRDefault="00116C5C" w:rsidP="00B520E6">
            <w:pPr>
              <w:spacing w:after="0" w:line="240" w:lineRule="auto"/>
              <w:rPr>
                <w:rFonts w:cs="Times New Roman"/>
                <w:sz w:val="16"/>
                <w:szCs w:val="16"/>
              </w:rPr>
            </w:pPr>
            <w:r w:rsidRPr="00B44B19">
              <w:rPr>
                <w:rFonts w:cs="Times New Roman"/>
                <w:sz w:val="16"/>
                <w:szCs w:val="16"/>
              </w:rPr>
              <w:t xml:space="preserve">Paramą finansinėmis priemonėmis gavusios įmonės </w:t>
            </w:r>
          </w:p>
        </w:tc>
        <w:tc>
          <w:tcPr>
            <w:tcW w:w="575" w:type="pct"/>
          </w:tcPr>
          <w:p w14:paraId="2A09447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40948C6E" w14:textId="77777777" w:rsidR="00116C5C" w:rsidRPr="00B44B19" w:rsidRDefault="00C17C81" w:rsidP="00116C5C">
            <w:pPr>
              <w:spacing w:after="0" w:line="240" w:lineRule="auto"/>
              <w:jc w:val="center"/>
              <w:rPr>
                <w:rFonts w:cs="Times New Roman"/>
                <w:sz w:val="16"/>
                <w:szCs w:val="16"/>
              </w:rPr>
            </w:pPr>
            <w:r w:rsidRPr="00B44B19">
              <w:rPr>
                <w:rFonts w:cs="Times New Roman"/>
                <w:sz w:val="16"/>
                <w:szCs w:val="16"/>
              </w:rPr>
              <w:t>0</w:t>
            </w:r>
          </w:p>
        </w:tc>
        <w:tc>
          <w:tcPr>
            <w:tcW w:w="630" w:type="pct"/>
          </w:tcPr>
          <w:p w14:paraId="1DDC33D3" w14:textId="4451F984" w:rsidR="00116C5C" w:rsidRPr="00B44B19" w:rsidRDefault="009845FE" w:rsidP="00116C5C">
            <w:pPr>
              <w:spacing w:after="0" w:line="240" w:lineRule="auto"/>
              <w:jc w:val="center"/>
              <w:rPr>
                <w:rFonts w:cs="Times New Roman"/>
                <w:sz w:val="16"/>
                <w:szCs w:val="16"/>
              </w:rPr>
            </w:pPr>
            <w:r w:rsidRPr="00B44B19">
              <w:rPr>
                <w:rFonts w:cs="Times New Roman"/>
                <w:sz w:val="16"/>
                <w:szCs w:val="16"/>
              </w:rPr>
              <w:t>128</w:t>
            </w:r>
          </w:p>
        </w:tc>
      </w:tr>
      <w:tr w:rsidR="00116C5C" w:rsidRPr="00B44B19" w14:paraId="74F54100" w14:textId="77777777" w:rsidTr="00116C5C">
        <w:trPr>
          <w:trHeight w:val="565"/>
        </w:trPr>
        <w:tc>
          <w:tcPr>
            <w:tcW w:w="496" w:type="pct"/>
            <w:vMerge/>
          </w:tcPr>
          <w:p w14:paraId="22DC2AE2"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7365D213"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24392907" w14:textId="77777777" w:rsidR="00116C5C" w:rsidRPr="00B44B19" w:rsidRDefault="00116C5C" w:rsidP="00116C5C">
            <w:pPr>
              <w:spacing w:after="0" w:line="240" w:lineRule="auto"/>
              <w:rPr>
                <w:rFonts w:cs="Times New Roman"/>
                <w:sz w:val="16"/>
                <w:szCs w:val="16"/>
              </w:rPr>
            </w:pPr>
          </w:p>
        </w:tc>
        <w:tc>
          <w:tcPr>
            <w:tcW w:w="502" w:type="pct"/>
          </w:tcPr>
          <w:p w14:paraId="3FE7AA6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3581792E"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RCO04</w:t>
            </w:r>
          </w:p>
        </w:tc>
        <w:tc>
          <w:tcPr>
            <w:tcW w:w="720" w:type="pct"/>
          </w:tcPr>
          <w:p w14:paraId="431296E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Nefinansinę paramą gavusios įmonės</w:t>
            </w:r>
          </w:p>
        </w:tc>
        <w:tc>
          <w:tcPr>
            <w:tcW w:w="575" w:type="pct"/>
          </w:tcPr>
          <w:p w14:paraId="3B34EB4C"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 xml:space="preserve">Įmonės </w:t>
            </w:r>
          </w:p>
        </w:tc>
        <w:tc>
          <w:tcPr>
            <w:tcW w:w="503" w:type="pct"/>
          </w:tcPr>
          <w:p w14:paraId="78339D58" w14:textId="1F26372F" w:rsidR="00116C5C" w:rsidRPr="00B44B19" w:rsidRDefault="00D31F0D" w:rsidP="00116C5C">
            <w:pPr>
              <w:spacing w:after="0" w:line="240" w:lineRule="auto"/>
              <w:jc w:val="center"/>
              <w:rPr>
                <w:rFonts w:cs="Times New Roman"/>
                <w:sz w:val="16"/>
                <w:szCs w:val="16"/>
              </w:rPr>
            </w:pPr>
            <w:r w:rsidRPr="00B44B19">
              <w:rPr>
                <w:rFonts w:cs="Times New Roman"/>
                <w:sz w:val="16"/>
                <w:szCs w:val="16"/>
              </w:rPr>
              <w:t>353</w:t>
            </w:r>
          </w:p>
        </w:tc>
        <w:tc>
          <w:tcPr>
            <w:tcW w:w="630" w:type="pct"/>
          </w:tcPr>
          <w:p w14:paraId="6F2837E5" w14:textId="181FCAF0" w:rsidR="00116C5C" w:rsidRPr="00B44B19" w:rsidRDefault="00D31F0D" w:rsidP="00116C5C">
            <w:pPr>
              <w:spacing w:after="0" w:line="240" w:lineRule="auto"/>
              <w:jc w:val="center"/>
              <w:rPr>
                <w:rFonts w:cs="Times New Roman"/>
                <w:sz w:val="16"/>
                <w:szCs w:val="16"/>
              </w:rPr>
            </w:pPr>
            <w:r w:rsidRPr="00B44B19">
              <w:rPr>
                <w:rFonts w:cs="Times New Roman"/>
                <w:sz w:val="16"/>
                <w:szCs w:val="16"/>
              </w:rPr>
              <w:t>802</w:t>
            </w:r>
          </w:p>
        </w:tc>
      </w:tr>
      <w:tr w:rsidR="00116C5C" w:rsidRPr="00B44B19" w14:paraId="0D538B57" w14:textId="77777777" w:rsidTr="00116C5C">
        <w:trPr>
          <w:trHeight w:val="261"/>
        </w:trPr>
        <w:tc>
          <w:tcPr>
            <w:tcW w:w="496" w:type="pct"/>
            <w:vMerge/>
          </w:tcPr>
          <w:p w14:paraId="7FCBA418"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426319BD"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6EDF4C96" w14:textId="77777777" w:rsidR="00116C5C" w:rsidRPr="00B44B19" w:rsidRDefault="00116C5C" w:rsidP="00116C5C">
            <w:pPr>
              <w:spacing w:after="0" w:line="240" w:lineRule="auto"/>
              <w:rPr>
                <w:rFonts w:cs="Times New Roman"/>
                <w:sz w:val="16"/>
                <w:szCs w:val="16"/>
              </w:rPr>
            </w:pPr>
          </w:p>
        </w:tc>
        <w:tc>
          <w:tcPr>
            <w:tcW w:w="502" w:type="pct"/>
          </w:tcPr>
          <w:p w14:paraId="078A0A0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55AFB257"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RCO05</w:t>
            </w:r>
          </w:p>
        </w:tc>
        <w:tc>
          <w:tcPr>
            <w:tcW w:w="720" w:type="pct"/>
          </w:tcPr>
          <w:p w14:paraId="5059A0DA" w14:textId="77777777" w:rsidR="00116C5C" w:rsidRPr="00B44B19" w:rsidRDefault="00B41F2A" w:rsidP="00116C5C">
            <w:pPr>
              <w:spacing w:after="0" w:line="240" w:lineRule="auto"/>
              <w:rPr>
                <w:rFonts w:cs="Times New Roman"/>
                <w:sz w:val="16"/>
                <w:szCs w:val="16"/>
              </w:rPr>
            </w:pPr>
            <w:r w:rsidRPr="00B44B19">
              <w:rPr>
                <w:rFonts w:cs="Times New Roman"/>
                <w:sz w:val="16"/>
                <w:szCs w:val="16"/>
              </w:rPr>
              <w:t>Paramą gavusios naujos įmonės</w:t>
            </w:r>
          </w:p>
        </w:tc>
        <w:tc>
          <w:tcPr>
            <w:tcW w:w="575" w:type="pct"/>
          </w:tcPr>
          <w:p w14:paraId="197C9E9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5CDCE710" w14:textId="16B909E5" w:rsidR="00116C5C" w:rsidRPr="00B44B19" w:rsidRDefault="00D31F0D" w:rsidP="00116C5C">
            <w:pPr>
              <w:spacing w:after="0" w:line="240" w:lineRule="auto"/>
              <w:jc w:val="center"/>
              <w:rPr>
                <w:rFonts w:cs="Times New Roman"/>
                <w:sz w:val="16"/>
                <w:szCs w:val="16"/>
              </w:rPr>
            </w:pPr>
            <w:r w:rsidRPr="00B44B19">
              <w:rPr>
                <w:rFonts w:cs="Times New Roman"/>
                <w:sz w:val="16"/>
                <w:szCs w:val="16"/>
              </w:rPr>
              <w:t>353</w:t>
            </w:r>
          </w:p>
        </w:tc>
        <w:tc>
          <w:tcPr>
            <w:tcW w:w="630" w:type="pct"/>
          </w:tcPr>
          <w:p w14:paraId="21993358" w14:textId="17DE0FAD" w:rsidR="00116C5C" w:rsidRPr="00B44B19" w:rsidRDefault="009845FE" w:rsidP="00116C5C">
            <w:pPr>
              <w:spacing w:after="0" w:line="240" w:lineRule="auto"/>
              <w:jc w:val="center"/>
              <w:rPr>
                <w:rFonts w:cs="Times New Roman"/>
                <w:sz w:val="16"/>
                <w:szCs w:val="16"/>
              </w:rPr>
            </w:pPr>
            <w:r w:rsidRPr="00B44B19">
              <w:rPr>
                <w:rFonts w:cs="Times New Roman"/>
                <w:sz w:val="16"/>
                <w:szCs w:val="16"/>
              </w:rPr>
              <w:t>888</w:t>
            </w:r>
          </w:p>
        </w:tc>
      </w:tr>
      <w:tr w:rsidR="00116C5C" w:rsidRPr="00B44B19" w14:paraId="6BB4BAFE" w14:textId="77777777" w:rsidTr="00116C5C">
        <w:trPr>
          <w:trHeight w:val="261"/>
        </w:trPr>
        <w:tc>
          <w:tcPr>
            <w:tcW w:w="496" w:type="pct"/>
            <w:vMerge/>
          </w:tcPr>
          <w:p w14:paraId="59155050"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21B6E063"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7FCAE8D6" w14:textId="77777777" w:rsidR="00116C5C" w:rsidRPr="00B44B19" w:rsidRDefault="00116C5C" w:rsidP="00116C5C">
            <w:pPr>
              <w:spacing w:after="0" w:line="240" w:lineRule="auto"/>
              <w:rPr>
                <w:rFonts w:cs="Times New Roman"/>
                <w:sz w:val="16"/>
                <w:szCs w:val="16"/>
              </w:rPr>
            </w:pPr>
          </w:p>
        </w:tc>
        <w:tc>
          <w:tcPr>
            <w:tcW w:w="502" w:type="pct"/>
          </w:tcPr>
          <w:p w14:paraId="265366C2"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6899F49E"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RCO06</w:t>
            </w:r>
          </w:p>
        </w:tc>
        <w:tc>
          <w:tcPr>
            <w:tcW w:w="720" w:type="pct"/>
          </w:tcPr>
          <w:p w14:paraId="754A50EC"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Paramą gavusiose mokslinių tyrimų įstaigose dirbantys mokslininkai</w:t>
            </w:r>
          </w:p>
        </w:tc>
        <w:tc>
          <w:tcPr>
            <w:tcW w:w="575" w:type="pct"/>
          </w:tcPr>
          <w:p w14:paraId="3F0F73C8" w14:textId="77777777" w:rsidR="00116C5C" w:rsidRPr="00B44B19" w:rsidRDefault="00FB1B3B" w:rsidP="00116C5C">
            <w:pPr>
              <w:spacing w:after="0" w:line="240" w:lineRule="auto"/>
              <w:rPr>
                <w:rFonts w:cs="Times New Roman"/>
                <w:sz w:val="16"/>
                <w:szCs w:val="16"/>
              </w:rPr>
            </w:pPr>
            <w:r w:rsidRPr="00B44B19">
              <w:rPr>
                <w:rFonts w:cs="Times New Roman"/>
                <w:sz w:val="16"/>
                <w:szCs w:val="16"/>
              </w:rPr>
              <w:t>Vienų metų etato ekvivalentai</w:t>
            </w:r>
          </w:p>
        </w:tc>
        <w:tc>
          <w:tcPr>
            <w:tcW w:w="503" w:type="pct"/>
          </w:tcPr>
          <w:p w14:paraId="4ED997D9" w14:textId="70FD0D99" w:rsidR="00116C5C" w:rsidRPr="00B44B19" w:rsidRDefault="00AE7C55" w:rsidP="00116C5C">
            <w:pPr>
              <w:spacing w:after="0" w:line="240" w:lineRule="auto"/>
              <w:jc w:val="center"/>
              <w:rPr>
                <w:rFonts w:cs="Times New Roman"/>
                <w:sz w:val="16"/>
                <w:szCs w:val="16"/>
              </w:rPr>
            </w:pPr>
            <w:r w:rsidRPr="00B44B19">
              <w:rPr>
                <w:rFonts w:cs="Times New Roman"/>
                <w:sz w:val="16"/>
                <w:szCs w:val="16"/>
              </w:rPr>
              <w:t>47</w:t>
            </w:r>
          </w:p>
        </w:tc>
        <w:tc>
          <w:tcPr>
            <w:tcW w:w="630" w:type="pct"/>
          </w:tcPr>
          <w:p w14:paraId="0CA331A8" w14:textId="3D0C27B4" w:rsidR="00116C5C" w:rsidRPr="00B44B19" w:rsidRDefault="009845FE" w:rsidP="00116C5C">
            <w:pPr>
              <w:spacing w:after="0" w:line="240" w:lineRule="auto"/>
              <w:jc w:val="center"/>
              <w:rPr>
                <w:rFonts w:cs="Times New Roman"/>
                <w:sz w:val="16"/>
                <w:szCs w:val="16"/>
              </w:rPr>
            </w:pPr>
            <w:r w:rsidRPr="00B44B19">
              <w:rPr>
                <w:rFonts w:cs="Times New Roman"/>
                <w:sz w:val="16"/>
                <w:szCs w:val="16"/>
              </w:rPr>
              <w:t>322</w:t>
            </w:r>
          </w:p>
        </w:tc>
      </w:tr>
      <w:tr w:rsidR="00116C5C" w:rsidRPr="00B44B19" w14:paraId="3E753BDC" w14:textId="77777777" w:rsidTr="00116C5C">
        <w:trPr>
          <w:trHeight w:val="261"/>
        </w:trPr>
        <w:tc>
          <w:tcPr>
            <w:tcW w:w="496" w:type="pct"/>
            <w:vMerge/>
          </w:tcPr>
          <w:p w14:paraId="0F768EA0"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524A366A"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04165362" w14:textId="77777777" w:rsidR="00116C5C" w:rsidRPr="00B44B19" w:rsidRDefault="00116C5C" w:rsidP="00116C5C">
            <w:pPr>
              <w:spacing w:after="0" w:line="240" w:lineRule="auto"/>
              <w:rPr>
                <w:rFonts w:cs="Times New Roman"/>
                <w:sz w:val="16"/>
                <w:szCs w:val="16"/>
              </w:rPr>
            </w:pPr>
          </w:p>
        </w:tc>
        <w:tc>
          <w:tcPr>
            <w:tcW w:w="502" w:type="pct"/>
          </w:tcPr>
          <w:p w14:paraId="67898607"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21E7B9EC"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RCO06</w:t>
            </w:r>
          </w:p>
        </w:tc>
        <w:tc>
          <w:tcPr>
            <w:tcW w:w="720" w:type="pct"/>
          </w:tcPr>
          <w:p w14:paraId="51D4647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Paramą gavusiose mokslinių tyrimų įstaigose dirbantys mokslininkai</w:t>
            </w:r>
          </w:p>
        </w:tc>
        <w:tc>
          <w:tcPr>
            <w:tcW w:w="575" w:type="pct"/>
          </w:tcPr>
          <w:p w14:paraId="5C1FA30A" w14:textId="77777777" w:rsidR="00116C5C" w:rsidRPr="00B44B19" w:rsidRDefault="00FB1B3B" w:rsidP="00116C5C">
            <w:pPr>
              <w:spacing w:after="0" w:line="240" w:lineRule="auto"/>
              <w:rPr>
                <w:rFonts w:cs="Times New Roman"/>
                <w:sz w:val="16"/>
                <w:szCs w:val="16"/>
              </w:rPr>
            </w:pPr>
            <w:r w:rsidRPr="00B44B19">
              <w:rPr>
                <w:rFonts w:cs="Times New Roman"/>
                <w:sz w:val="16"/>
                <w:szCs w:val="16"/>
              </w:rPr>
              <w:t>Vienų metų etato ekvivalentai</w:t>
            </w:r>
          </w:p>
        </w:tc>
        <w:tc>
          <w:tcPr>
            <w:tcW w:w="503" w:type="pct"/>
          </w:tcPr>
          <w:p w14:paraId="44BEA71A" w14:textId="77777777" w:rsidR="00116C5C" w:rsidRPr="00B44B19" w:rsidRDefault="00E05039" w:rsidP="00116C5C">
            <w:pPr>
              <w:spacing w:after="0" w:line="240" w:lineRule="auto"/>
              <w:jc w:val="center"/>
              <w:rPr>
                <w:rFonts w:cs="Times New Roman"/>
                <w:sz w:val="16"/>
                <w:szCs w:val="16"/>
              </w:rPr>
            </w:pPr>
            <w:r w:rsidRPr="00B44B19">
              <w:rPr>
                <w:rFonts w:cs="Times New Roman"/>
                <w:sz w:val="16"/>
                <w:szCs w:val="16"/>
              </w:rPr>
              <w:t>76</w:t>
            </w:r>
          </w:p>
        </w:tc>
        <w:tc>
          <w:tcPr>
            <w:tcW w:w="630" w:type="pct"/>
          </w:tcPr>
          <w:p w14:paraId="611D5C92" w14:textId="165C05A7" w:rsidR="00116C5C" w:rsidRPr="00B44B19" w:rsidRDefault="009845FE" w:rsidP="00EE2F78">
            <w:pPr>
              <w:spacing w:after="0" w:line="240" w:lineRule="auto"/>
              <w:jc w:val="center"/>
              <w:rPr>
                <w:rFonts w:cs="Times New Roman"/>
                <w:sz w:val="16"/>
                <w:szCs w:val="16"/>
              </w:rPr>
            </w:pPr>
            <w:r w:rsidRPr="00B44B19">
              <w:rPr>
                <w:rFonts w:cs="Times New Roman"/>
                <w:sz w:val="16"/>
                <w:szCs w:val="16"/>
              </w:rPr>
              <w:t>800</w:t>
            </w:r>
          </w:p>
        </w:tc>
      </w:tr>
      <w:tr w:rsidR="00116C5C" w:rsidRPr="00B44B19" w14:paraId="7EA57A1E" w14:textId="77777777" w:rsidTr="00116C5C">
        <w:trPr>
          <w:trHeight w:val="882"/>
        </w:trPr>
        <w:tc>
          <w:tcPr>
            <w:tcW w:w="496" w:type="pct"/>
            <w:vMerge/>
          </w:tcPr>
          <w:p w14:paraId="32863333"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616701EB"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47C17EC5" w14:textId="77777777" w:rsidR="00116C5C" w:rsidRPr="00B44B19" w:rsidRDefault="00116C5C" w:rsidP="00116C5C">
            <w:pPr>
              <w:spacing w:after="0" w:line="240" w:lineRule="auto"/>
              <w:rPr>
                <w:rFonts w:cs="Times New Roman"/>
                <w:sz w:val="16"/>
                <w:szCs w:val="16"/>
              </w:rPr>
            </w:pPr>
          </w:p>
        </w:tc>
        <w:tc>
          <w:tcPr>
            <w:tcW w:w="502" w:type="pct"/>
          </w:tcPr>
          <w:p w14:paraId="652922B5"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76255D1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RCO07</w:t>
            </w:r>
          </w:p>
        </w:tc>
        <w:tc>
          <w:tcPr>
            <w:tcW w:w="720" w:type="pct"/>
          </w:tcPr>
          <w:p w14:paraId="1271CF78" w14:textId="77777777" w:rsidR="00116C5C" w:rsidRPr="00B44B19" w:rsidRDefault="00A96334" w:rsidP="00116C5C">
            <w:pPr>
              <w:spacing w:after="0" w:line="240" w:lineRule="auto"/>
              <w:rPr>
                <w:rFonts w:cs="Times New Roman"/>
                <w:sz w:val="16"/>
                <w:szCs w:val="16"/>
              </w:rPr>
            </w:pPr>
            <w:r w:rsidRPr="00B44B19">
              <w:rPr>
                <w:rFonts w:cs="Times New Roman"/>
                <w:sz w:val="16"/>
                <w:szCs w:val="16"/>
              </w:rPr>
              <w:t>Bendruose mokslinių tyrimų projektuose dalyvaujančios mokslinių tyrimų organizacijos</w:t>
            </w:r>
          </w:p>
        </w:tc>
        <w:tc>
          <w:tcPr>
            <w:tcW w:w="575" w:type="pct"/>
          </w:tcPr>
          <w:p w14:paraId="3330EF68" w14:textId="77777777" w:rsidR="00116C5C" w:rsidRPr="00B44B19" w:rsidRDefault="00FB1B3B" w:rsidP="00F12F97">
            <w:pPr>
              <w:spacing w:after="0" w:line="240" w:lineRule="auto"/>
              <w:rPr>
                <w:rFonts w:cs="Times New Roman"/>
                <w:sz w:val="16"/>
                <w:szCs w:val="16"/>
              </w:rPr>
            </w:pPr>
            <w:r w:rsidRPr="00B44B19">
              <w:rPr>
                <w:rFonts w:cs="Times New Roman"/>
                <w:sz w:val="16"/>
                <w:szCs w:val="16"/>
              </w:rPr>
              <w:t>Mokslinių tyrimų organizacijos</w:t>
            </w:r>
          </w:p>
        </w:tc>
        <w:tc>
          <w:tcPr>
            <w:tcW w:w="503" w:type="pct"/>
          </w:tcPr>
          <w:p w14:paraId="775D4730" w14:textId="77777777" w:rsidR="00116C5C" w:rsidRPr="00B44B19" w:rsidRDefault="00116C5C" w:rsidP="00116C5C">
            <w:pPr>
              <w:spacing w:after="0" w:line="240" w:lineRule="auto"/>
              <w:jc w:val="center"/>
              <w:rPr>
                <w:rFonts w:cs="Times New Roman"/>
                <w:sz w:val="16"/>
                <w:szCs w:val="16"/>
              </w:rPr>
            </w:pPr>
            <w:r w:rsidRPr="00B44B19">
              <w:rPr>
                <w:rFonts w:cs="Times New Roman"/>
                <w:sz w:val="16"/>
                <w:szCs w:val="16"/>
              </w:rPr>
              <w:t>0</w:t>
            </w:r>
          </w:p>
        </w:tc>
        <w:tc>
          <w:tcPr>
            <w:tcW w:w="630" w:type="pct"/>
          </w:tcPr>
          <w:p w14:paraId="5080F78B" w14:textId="77777777" w:rsidR="00116C5C" w:rsidRPr="00B44B19" w:rsidRDefault="00116C5C" w:rsidP="00116C5C">
            <w:pPr>
              <w:spacing w:after="0" w:line="240" w:lineRule="auto"/>
              <w:jc w:val="center"/>
              <w:rPr>
                <w:rFonts w:cs="Times New Roman"/>
                <w:sz w:val="16"/>
                <w:szCs w:val="16"/>
              </w:rPr>
            </w:pPr>
            <w:r w:rsidRPr="00B44B19">
              <w:rPr>
                <w:rFonts w:cs="Times New Roman"/>
                <w:sz w:val="16"/>
                <w:szCs w:val="16"/>
              </w:rPr>
              <w:t>15</w:t>
            </w:r>
          </w:p>
        </w:tc>
      </w:tr>
      <w:tr w:rsidR="00116C5C" w:rsidRPr="00B44B19" w14:paraId="30BF81CF" w14:textId="77777777" w:rsidTr="00116C5C">
        <w:trPr>
          <w:trHeight w:val="882"/>
        </w:trPr>
        <w:tc>
          <w:tcPr>
            <w:tcW w:w="496" w:type="pct"/>
            <w:vMerge/>
          </w:tcPr>
          <w:p w14:paraId="2D4ABCF2"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273F670F"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46616771" w14:textId="77777777" w:rsidR="00116C5C" w:rsidRPr="00B44B19" w:rsidRDefault="00116C5C" w:rsidP="00116C5C">
            <w:pPr>
              <w:spacing w:after="0" w:line="240" w:lineRule="auto"/>
              <w:rPr>
                <w:rFonts w:cs="Times New Roman"/>
                <w:sz w:val="16"/>
                <w:szCs w:val="16"/>
              </w:rPr>
            </w:pPr>
          </w:p>
        </w:tc>
        <w:tc>
          <w:tcPr>
            <w:tcW w:w="502" w:type="pct"/>
          </w:tcPr>
          <w:p w14:paraId="21CA2E5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6460CD11"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RCO07</w:t>
            </w:r>
          </w:p>
        </w:tc>
        <w:tc>
          <w:tcPr>
            <w:tcW w:w="720" w:type="pct"/>
          </w:tcPr>
          <w:p w14:paraId="70A802FA" w14:textId="77777777" w:rsidR="00116C5C" w:rsidRPr="00B44B19" w:rsidRDefault="00A96334" w:rsidP="00116C5C">
            <w:pPr>
              <w:spacing w:after="0" w:line="240" w:lineRule="auto"/>
              <w:rPr>
                <w:rFonts w:cs="Times New Roman"/>
                <w:sz w:val="16"/>
                <w:szCs w:val="16"/>
              </w:rPr>
            </w:pPr>
            <w:r w:rsidRPr="00B44B19">
              <w:rPr>
                <w:rFonts w:cs="Times New Roman"/>
                <w:sz w:val="16"/>
                <w:szCs w:val="16"/>
              </w:rPr>
              <w:t>Bendruose mokslinių tyrimų projektuose dalyvaujančios mokslinių tyrimų organizacijos</w:t>
            </w:r>
          </w:p>
        </w:tc>
        <w:tc>
          <w:tcPr>
            <w:tcW w:w="575" w:type="pct"/>
          </w:tcPr>
          <w:p w14:paraId="7887300C" w14:textId="77777777" w:rsidR="00116C5C" w:rsidRPr="00B44B19" w:rsidRDefault="00FB1B3B" w:rsidP="00116C5C">
            <w:pPr>
              <w:spacing w:after="0" w:line="240" w:lineRule="auto"/>
              <w:rPr>
                <w:rFonts w:cs="Times New Roman"/>
                <w:sz w:val="16"/>
                <w:szCs w:val="16"/>
              </w:rPr>
            </w:pPr>
            <w:r w:rsidRPr="00B44B19">
              <w:rPr>
                <w:rFonts w:cs="Times New Roman"/>
                <w:sz w:val="16"/>
                <w:szCs w:val="16"/>
              </w:rPr>
              <w:t>Mokslinių tyrimų organizacijos</w:t>
            </w:r>
            <w:r w:rsidRPr="00B44B19" w:rsidDel="00FB1B3B">
              <w:rPr>
                <w:rFonts w:cs="Times New Roman"/>
                <w:sz w:val="16"/>
                <w:szCs w:val="16"/>
              </w:rPr>
              <w:t xml:space="preserve"> </w:t>
            </w:r>
          </w:p>
        </w:tc>
        <w:tc>
          <w:tcPr>
            <w:tcW w:w="503" w:type="pct"/>
          </w:tcPr>
          <w:p w14:paraId="754B26AE" w14:textId="77777777" w:rsidR="00116C5C" w:rsidRPr="00B44B19" w:rsidRDefault="00116C5C" w:rsidP="00116C5C">
            <w:pPr>
              <w:spacing w:after="0" w:line="240" w:lineRule="auto"/>
              <w:jc w:val="center"/>
              <w:rPr>
                <w:rFonts w:cs="Times New Roman"/>
                <w:sz w:val="16"/>
                <w:szCs w:val="16"/>
              </w:rPr>
            </w:pPr>
            <w:r w:rsidRPr="00B44B19">
              <w:rPr>
                <w:rFonts w:cs="Times New Roman"/>
                <w:sz w:val="16"/>
                <w:szCs w:val="16"/>
              </w:rPr>
              <w:t>0</w:t>
            </w:r>
          </w:p>
        </w:tc>
        <w:tc>
          <w:tcPr>
            <w:tcW w:w="630" w:type="pct"/>
          </w:tcPr>
          <w:p w14:paraId="5F17D7D2" w14:textId="77777777" w:rsidR="00116C5C" w:rsidRPr="00B44B19" w:rsidDel="00570F80" w:rsidRDefault="00116C5C" w:rsidP="00116C5C">
            <w:pPr>
              <w:spacing w:after="0" w:line="240" w:lineRule="auto"/>
              <w:jc w:val="center"/>
              <w:rPr>
                <w:rFonts w:cs="Times New Roman"/>
                <w:sz w:val="16"/>
                <w:szCs w:val="16"/>
              </w:rPr>
            </w:pPr>
            <w:r w:rsidRPr="00B44B19">
              <w:rPr>
                <w:rFonts w:cs="Times New Roman"/>
                <w:sz w:val="16"/>
                <w:szCs w:val="16"/>
              </w:rPr>
              <w:t>5</w:t>
            </w:r>
          </w:p>
        </w:tc>
      </w:tr>
      <w:tr w:rsidR="00116C5C" w:rsidRPr="00B44B19" w14:paraId="35B15611" w14:textId="77777777" w:rsidTr="00116C5C">
        <w:trPr>
          <w:trHeight w:val="261"/>
        </w:trPr>
        <w:tc>
          <w:tcPr>
            <w:tcW w:w="496" w:type="pct"/>
            <w:vMerge/>
          </w:tcPr>
          <w:p w14:paraId="3DE3B8F7"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643BC29B"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63A59D35" w14:textId="77777777" w:rsidR="00116C5C" w:rsidRPr="00B44B19" w:rsidRDefault="00116C5C" w:rsidP="00116C5C">
            <w:pPr>
              <w:spacing w:after="0" w:line="240" w:lineRule="auto"/>
              <w:rPr>
                <w:rFonts w:cs="Times New Roman"/>
                <w:sz w:val="16"/>
                <w:szCs w:val="16"/>
              </w:rPr>
            </w:pPr>
          </w:p>
        </w:tc>
        <w:tc>
          <w:tcPr>
            <w:tcW w:w="502" w:type="pct"/>
          </w:tcPr>
          <w:p w14:paraId="638CDF7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2E665ABC"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RCO08</w:t>
            </w:r>
          </w:p>
        </w:tc>
        <w:tc>
          <w:tcPr>
            <w:tcW w:w="720" w:type="pct"/>
          </w:tcPr>
          <w:p w14:paraId="27B3AB1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Nominalioji mokslinių tyrimų ir inovacijų įrangos vertė</w:t>
            </w:r>
          </w:p>
        </w:tc>
        <w:tc>
          <w:tcPr>
            <w:tcW w:w="575" w:type="pct"/>
          </w:tcPr>
          <w:p w14:paraId="32B7BEE4"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Eurai</w:t>
            </w:r>
          </w:p>
        </w:tc>
        <w:tc>
          <w:tcPr>
            <w:tcW w:w="503" w:type="pct"/>
          </w:tcPr>
          <w:p w14:paraId="4E22FE61" w14:textId="2016C7BB" w:rsidR="00116C5C" w:rsidRPr="00B44B19" w:rsidRDefault="00AE7C55" w:rsidP="00AE7C55">
            <w:pPr>
              <w:spacing w:after="0" w:line="240" w:lineRule="auto"/>
              <w:jc w:val="center"/>
              <w:rPr>
                <w:rFonts w:cs="Times New Roman"/>
                <w:sz w:val="16"/>
                <w:szCs w:val="16"/>
                <w:lang w:val="en-US"/>
              </w:rPr>
            </w:pPr>
            <w:r w:rsidRPr="00B44B19">
              <w:rPr>
                <w:rFonts w:cs="Times New Roman"/>
                <w:sz w:val="16"/>
                <w:szCs w:val="16"/>
                <w:lang w:val="en-US"/>
              </w:rPr>
              <w:t>2 545 638</w:t>
            </w:r>
          </w:p>
        </w:tc>
        <w:tc>
          <w:tcPr>
            <w:tcW w:w="630" w:type="pct"/>
          </w:tcPr>
          <w:p w14:paraId="2F85A901" w14:textId="6351824D" w:rsidR="00116C5C" w:rsidRPr="00B44B19" w:rsidRDefault="009845FE" w:rsidP="00AE6895">
            <w:pPr>
              <w:spacing w:after="0" w:line="240" w:lineRule="auto"/>
              <w:jc w:val="center"/>
              <w:rPr>
                <w:rFonts w:cs="Times New Roman"/>
                <w:sz w:val="16"/>
                <w:szCs w:val="16"/>
              </w:rPr>
            </w:pPr>
            <w:r w:rsidRPr="00B44B19">
              <w:rPr>
                <w:rFonts w:cs="Times New Roman"/>
                <w:sz w:val="16"/>
                <w:szCs w:val="16"/>
              </w:rPr>
              <w:t>18 184 020</w:t>
            </w:r>
          </w:p>
        </w:tc>
      </w:tr>
      <w:tr w:rsidR="00116C5C" w:rsidRPr="00B44B19" w14:paraId="5FF65B26" w14:textId="77777777" w:rsidTr="00116C5C">
        <w:trPr>
          <w:trHeight w:val="507"/>
        </w:trPr>
        <w:tc>
          <w:tcPr>
            <w:tcW w:w="496" w:type="pct"/>
            <w:vMerge/>
          </w:tcPr>
          <w:p w14:paraId="6F3FA7AF"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7810D8C9"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39598CBC" w14:textId="77777777" w:rsidR="00116C5C" w:rsidRPr="00B44B19" w:rsidRDefault="00116C5C" w:rsidP="00116C5C">
            <w:pPr>
              <w:spacing w:after="0" w:line="240" w:lineRule="auto"/>
              <w:rPr>
                <w:rFonts w:cs="Times New Roman"/>
                <w:sz w:val="16"/>
                <w:szCs w:val="16"/>
              </w:rPr>
            </w:pPr>
          </w:p>
        </w:tc>
        <w:tc>
          <w:tcPr>
            <w:tcW w:w="502" w:type="pct"/>
          </w:tcPr>
          <w:p w14:paraId="3B78C98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23D954C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RCO08</w:t>
            </w:r>
          </w:p>
        </w:tc>
        <w:tc>
          <w:tcPr>
            <w:tcW w:w="720" w:type="pct"/>
          </w:tcPr>
          <w:p w14:paraId="63974537"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Nominalioji mokslinių tyrimų ir inovacijų įrangos vertė</w:t>
            </w:r>
          </w:p>
        </w:tc>
        <w:tc>
          <w:tcPr>
            <w:tcW w:w="575" w:type="pct"/>
          </w:tcPr>
          <w:p w14:paraId="3D473BC7"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Eurai</w:t>
            </w:r>
          </w:p>
        </w:tc>
        <w:tc>
          <w:tcPr>
            <w:tcW w:w="503" w:type="pct"/>
          </w:tcPr>
          <w:p w14:paraId="70CD113D" w14:textId="77777777" w:rsidR="00116C5C" w:rsidRPr="00B44B19" w:rsidRDefault="008B48E8" w:rsidP="007E2C67">
            <w:pPr>
              <w:spacing w:after="0" w:line="240" w:lineRule="auto"/>
              <w:jc w:val="center"/>
              <w:rPr>
                <w:rFonts w:cs="Times New Roman"/>
                <w:sz w:val="16"/>
                <w:szCs w:val="16"/>
              </w:rPr>
            </w:pPr>
            <w:r w:rsidRPr="00B44B19">
              <w:rPr>
                <w:rFonts w:cs="Times New Roman"/>
                <w:sz w:val="16"/>
                <w:szCs w:val="16"/>
              </w:rPr>
              <w:t>1 114 698</w:t>
            </w:r>
          </w:p>
        </w:tc>
        <w:tc>
          <w:tcPr>
            <w:tcW w:w="630" w:type="pct"/>
          </w:tcPr>
          <w:p w14:paraId="061B4A19" w14:textId="4900AB60" w:rsidR="00116C5C" w:rsidRPr="00B44B19" w:rsidRDefault="009845FE" w:rsidP="003D1E1F">
            <w:pPr>
              <w:spacing w:after="0" w:line="240" w:lineRule="auto"/>
              <w:jc w:val="center"/>
              <w:rPr>
                <w:rFonts w:cs="Times New Roman"/>
                <w:sz w:val="16"/>
                <w:szCs w:val="16"/>
              </w:rPr>
            </w:pPr>
            <w:r w:rsidRPr="00B44B19">
              <w:rPr>
                <w:rFonts w:cs="Times New Roman"/>
                <w:sz w:val="16"/>
                <w:szCs w:val="16"/>
              </w:rPr>
              <w:t>11 633 720</w:t>
            </w:r>
          </w:p>
        </w:tc>
      </w:tr>
      <w:tr w:rsidR="00116C5C" w:rsidRPr="00B44B19" w14:paraId="727E4F07" w14:textId="77777777" w:rsidTr="00116C5C">
        <w:trPr>
          <w:trHeight w:val="732"/>
        </w:trPr>
        <w:tc>
          <w:tcPr>
            <w:tcW w:w="496" w:type="pct"/>
            <w:vMerge/>
          </w:tcPr>
          <w:p w14:paraId="0913B83E"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548FEA87"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30252C3D" w14:textId="77777777" w:rsidR="00116C5C" w:rsidRPr="00B44B19" w:rsidRDefault="00116C5C" w:rsidP="00116C5C">
            <w:pPr>
              <w:spacing w:after="0" w:line="240" w:lineRule="auto"/>
              <w:rPr>
                <w:rFonts w:cs="Times New Roman"/>
                <w:sz w:val="16"/>
                <w:szCs w:val="16"/>
              </w:rPr>
            </w:pPr>
          </w:p>
        </w:tc>
        <w:tc>
          <w:tcPr>
            <w:tcW w:w="502" w:type="pct"/>
          </w:tcPr>
          <w:p w14:paraId="1D1EE8E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45DA412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RCO10</w:t>
            </w:r>
          </w:p>
        </w:tc>
        <w:tc>
          <w:tcPr>
            <w:tcW w:w="720" w:type="pct"/>
          </w:tcPr>
          <w:p w14:paraId="610287CD" w14:textId="77777777" w:rsidR="00116C5C" w:rsidRPr="00B44B19" w:rsidRDefault="007A56FD" w:rsidP="00116C5C">
            <w:pPr>
              <w:spacing w:after="0" w:line="240" w:lineRule="auto"/>
              <w:rPr>
                <w:rFonts w:cs="Times New Roman"/>
                <w:sz w:val="16"/>
                <w:szCs w:val="16"/>
              </w:rPr>
            </w:pPr>
            <w:r w:rsidRPr="00B44B19">
              <w:rPr>
                <w:rFonts w:cs="Times New Roman"/>
                <w:sz w:val="16"/>
                <w:szCs w:val="16"/>
              </w:rPr>
              <w:t>Su mokslinių tyrimų organizacijomis bendradarbiaujančios įmonės</w:t>
            </w:r>
          </w:p>
        </w:tc>
        <w:tc>
          <w:tcPr>
            <w:tcW w:w="575" w:type="pct"/>
          </w:tcPr>
          <w:p w14:paraId="3920AF5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35F49891" w14:textId="77777777" w:rsidR="00116C5C" w:rsidRPr="00B44B19" w:rsidRDefault="001A1E58" w:rsidP="00116C5C">
            <w:pPr>
              <w:spacing w:after="0" w:line="240" w:lineRule="auto"/>
              <w:jc w:val="center"/>
              <w:rPr>
                <w:rFonts w:cs="Times New Roman"/>
                <w:sz w:val="16"/>
                <w:szCs w:val="16"/>
              </w:rPr>
            </w:pPr>
            <w:r w:rsidRPr="00B44B19">
              <w:rPr>
                <w:rFonts w:cs="Times New Roman"/>
                <w:sz w:val="16"/>
                <w:szCs w:val="16"/>
              </w:rPr>
              <w:t>11</w:t>
            </w:r>
          </w:p>
        </w:tc>
        <w:tc>
          <w:tcPr>
            <w:tcW w:w="630" w:type="pct"/>
          </w:tcPr>
          <w:p w14:paraId="038DD057" w14:textId="39BB4ED4" w:rsidR="00116C5C" w:rsidRPr="00B44B19" w:rsidRDefault="009845FE" w:rsidP="00116C5C">
            <w:pPr>
              <w:spacing w:after="0" w:line="240" w:lineRule="auto"/>
              <w:jc w:val="center"/>
              <w:rPr>
                <w:rFonts w:cs="Times New Roman"/>
                <w:sz w:val="16"/>
                <w:szCs w:val="16"/>
              </w:rPr>
            </w:pPr>
            <w:r w:rsidRPr="00B44B19">
              <w:rPr>
                <w:rFonts w:cs="Times New Roman"/>
                <w:sz w:val="16"/>
                <w:szCs w:val="16"/>
              </w:rPr>
              <w:t>44</w:t>
            </w:r>
          </w:p>
        </w:tc>
      </w:tr>
      <w:tr w:rsidR="00116C5C" w:rsidRPr="00B44B19" w14:paraId="435A8E88" w14:textId="77777777" w:rsidTr="00116C5C">
        <w:trPr>
          <w:trHeight w:val="261"/>
        </w:trPr>
        <w:tc>
          <w:tcPr>
            <w:tcW w:w="496" w:type="pct"/>
            <w:vMerge/>
          </w:tcPr>
          <w:p w14:paraId="72AAACEF"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18B95486"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18EC4A5C" w14:textId="77777777" w:rsidR="00116C5C" w:rsidRPr="00B44B19" w:rsidRDefault="00116C5C" w:rsidP="00116C5C">
            <w:pPr>
              <w:spacing w:after="0" w:line="240" w:lineRule="auto"/>
              <w:rPr>
                <w:rFonts w:cs="Times New Roman"/>
                <w:sz w:val="16"/>
                <w:szCs w:val="16"/>
              </w:rPr>
            </w:pPr>
          </w:p>
        </w:tc>
        <w:tc>
          <w:tcPr>
            <w:tcW w:w="502" w:type="pct"/>
          </w:tcPr>
          <w:p w14:paraId="3BED6F4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1ED3F2E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RCO10</w:t>
            </w:r>
          </w:p>
        </w:tc>
        <w:tc>
          <w:tcPr>
            <w:tcW w:w="720" w:type="pct"/>
          </w:tcPr>
          <w:p w14:paraId="441A7384" w14:textId="77777777" w:rsidR="00116C5C" w:rsidRPr="00B44B19" w:rsidRDefault="007A56FD" w:rsidP="00116C5C">
            <w:pPr>
              <w:spacing w:after="0" w:line="240" w:lineRule="auto"/>
              <w:rPr>
                <w:rFonts w:cs="Times New Roman"/>
                <w:sz w:val="16"/>
                <w:szCs w:val="16"/>
              </w:rPr>
            </w:pPr>
            <w:r w:rsidRPr="00B44B19">
              <w:rPr>
                <w:rFonts w:cs="Times New Roman"/>
                <w:sz w:val="16"/>
                <w:szCs w:val="16"/>
              </w:rPr>
              <w:t>Su mokslinių tyrimų organizacijomis bendradarbiaujančios įmonės</w:t>
            </w:r>
          </w:p>
        </w:tc>
        <w:tc>
          <w:tcPr>
            <w:tcW w:w="575" w:type="pct"/>
          </w:tcPr>
          <w:p w14:paraId="45CE6280"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19A59049" w14:textId="77777777" w:rsidR="00116C5C" w:rsidRPr="00B44B19" w:rsidRDefault="00016855" w:rsidP="00116C5C">
            <w:pPr>
              <w:spacing w:after="0" w:line="240" w:lineRule="auto"/>
              <w:jc w:val="center"/>
              <w:rPr>
                <w:rFonts w:cs="Times New Roman"/>
                <w:sz w:val="16"/>
                <w:szCs w:val="16"/>
              </w:rPr>
            </w:pPr>
            <w:r w:rsidRPr="00B44B19">
              <w:rPr>
                <w:rFonts w:cs="Times New Roman"/>
                <w:sz w:val="16"/>
                <w:szCs w:val="16"/>
              </w:rPr>
              <w:t>5</w:t>
            </w:r>
          </w:p>
        </w:tc>
        <w:tc>
          <w:tcPr>
            <w:tcW w:w="630" w:type="pct"/>
          </w:tcPr>
          <w:p w14:paraId="7F9CF471" w14:textId="61CBE365" w:rsidR="00116C5C" w:rsidRPr="00B44B19" w:rsidRDefault="009845FE" w:rsidP="00116C5C">
            <w:pPr>
              <w:spacing w:after="0" w:line="240" w:lineRule="auto"/>
              <w:jc w:val="center"/>
              <w:rPr>
                <w:rFonts w:cs="Times New Roman"/>
                <w:sz w:val="16"/>
                <w:szCs w:val="16"/>
              </w:rPr>
            </w:pPr>
            <w:r w:rsidRPr="00B44B19">
              <w:rPr>
                <w:rFonts w:cs="Times New Roman"/>
                <w:sz w:val="16"/>
                <w:szCs w:val="16"/>
              </w:rPr>
              <w:t>24</w:t>
            </w:r>
          </w:p>
        </w:tc>
      </w:tr>
      <w:tr w:rsidR="00116C5C" w:rsidRPr="00B44B19" w14:paraId="74F6788A" w14:textId="77777777" w:rsidTr="00116C5C">
        <w:trPr>
          <w:trHeight w:val="261"/>
        </w:trPr>
        <w:tc>
          <w:tcPr>
            <w:tcW w:w="496" w:type="pct"/>
            <w:vMerge/>
          </w:tcPr>
          <w:p w14:paraId="041ADE70"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15D418CD"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04C82719" w14:textId="77777777" w:rsidR="00116C5C" w:rsidRPr="00B44B19" w:rsidRDefault="00116C5C" w:rsidP="00116C5C">
            <w:pPr>
              <w:spacing w:after="0" w:line="240" w:lineRule="auto"/>
              <w:rPr>
                <w:rFonts w:cs="Times New Roman"/>
                <w:sz w:val="16"/>
                <w:szCs w:val="16"/>
              </w:rPr>
            </w:pPr>
          </w:p>
        </w:tc>
        <w:tc>
          <w:tcPr>
            <w:tcW w:w="502" w:type="pct"/>
          </w:tcPr>
          <w:p w14:paraId="0D90AD85"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025D8D14"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59F9EFDC" w14:textId="77777777" w:rsidR="00116C5C" w:rsidRPr="00B44B19" w:rsidRDefault="00A34580" w:rsidP="00116C5C">
            <w:pPr>
              <w:spacing w:after="0" w:line="240" w:lineRule="auto"/>
              <w:rPr>
                <w:rFonts w:cs="Times New Roman"/>
                <w:sz w:val="16"/>
                <w:szCs w:val="16"/>
              </w:rPr>
            </w:pPr>
            <w:r w:rsidRPr="00B44B19">
              <w:rPr>
                <w:rFonts w:cs="Times New Roman"/>
                <w:sz w:val="16"/>
                <w:szCs w:val="16"/>
              </w:rPr>
              <w:t>Investicijas gavusių mokslo ir studijų institucijų skaičius</w:t>
            </w:r>
          </w:p>
        </w:tc>
        <w:tc>
          <w:tcPr>
            <w:tcW w:w="575" w:type="pct"/>
          </w:tcPr>
          <w:p w14:paraId="6473C295"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47FCC20B" w14:textId="77777777" w:rsidR="00116C5C" w:rsidRPr="00B44B19" w:rsidRDefault="00122448" w:rsidP="00116C5C">
            <w:pPr>
              <w:spacing w:after="0" w:line="240" w:lineRule="auto"/>
              <w:jc w:val="center"/>
              <w:rPr>
                <w:rFonts w:cs="Times New Roman"/>
                <w:sz w:val="16"/>
                <w:szCs w:val="16"/>
              </w:rPr>
            </w:pPr>
            <w:r w:rsidRPr="00B44B19">
              <w:rPr>
                <w:rFonts w:cs="Times New Roman"/>
                <w:sz w:val="16"/>
                <w:szCs w:val="16"/>
              </w:rPr>
              <w:t>5</w:t>
            </w:r>
          </w:p>
        </w:tc>
        <w:tc>
          <w:tcPr>
            <w:tcW w:w="630" w:type="pct"/>
          </w:tcPr>
          <w:p w14:paraId="46ACF9C3" w14:textId="66154D12" w:rsidR="00116C5C" w:rsidRPr="00B44B19" w:rsidRDefault="00AD09B3" w:rsidP="00116C5C">
            <w:pPr>
              <w:spacing w:after="0" w:line="240" w:lineRule="auto"/>
              <w:jc w:val="center"/>
              <w:rPr>
                <w:rFonts w:cs="Times New Roman"/>
                <w:sz w:val="16"/>
                <w:szCs w:val="16"/>
              </w:rPr>
            </w:pPr>
            <w:r w:rsidRPr="00B44B19">
              <w:rPr>
                <w:rFonts w:cs="Times New Roman"/>
                <w:sz w:val="16"/>
                <w:szCs w:val="16"/>
              </w:rPr>
              <w:t>6</w:t>
            </w:r>
          </w:p>
        </w:tc>
      </w:tr>
      <w:tr w:rsidR="00116C5C" w:rsidRPr="00B44B19" w14:paraId="4CE9A58E" w14:textId="77777777" w:rsidTr="00116C5C">
        <w:trPr>
          <w:trHeight w:val="261"/>
        </w:trPr>
        <w:tc>
          <w:tcPr>
            <w:tcW w:w="496" w:type="pct"/>
            <w:vMerge/>
          </w:tcPr>
          <w:p w14:paraId="2E7B4A02"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4AD2FC94"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1B30890B" w14:textId="77777777" w:rsidR="00116C5C" w:rsidRPr="00B44B19" w:rsidRDefault="00116C5C" w:rsidP="00116C5C">
            <w:pPr>
              <w:spacing w:after="0" w:line="240" w:lineRule="auto"/>
              <w:rPr>
                <w:rFonts w:cs="Times New Roman"/>
                <w:sz w:val="16"/>
                <w:szCs w:val="16"/>
              </w:rPr>
            </w:pPr>
          </w:p>
        </w:tc>
        <w:tc>
          <w:tcPr>
            <w:tcW w:w="502" w:type="pct"/>
          </w:tcPr>
          <w:p w14:paraId="30062537"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76CE8DF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6D2A0909" w14:textId="77777777" w:rsidR="00116C5C" w:rsidRPr="00B44B19" w:rsidRDefault="00A34580" w:rsidP="00116C5C">
            <w:pPr>
              <w:spacing w:after="0" w:line="240" w:lineRule="auto"/>
              <w:rPr>
                <w:rFonts w:cs="Times New Roman"/>
                <w:sz w:val="16"/>
                <w:szCs w:val="16"/>
              </w:rPr>
            </w:pPr>
            <w:r w:rsidRPr="00B44B19">
              <w:rPr>
                <w:rFonts w:cs="Times New Roman"/>
                <w:sz w:val="16"/>
                <w:szCs w:val="16"/>
              </w:rPr>
              <w:t>Investicijas gavusių mokslo ir studijų institucijų skaičius</w:t>
            </w:r>
          </w:p>
        </w:tc>
        <w:tc>
          <w:tcPr>
            <w:tcW w:w="575" w:type="pct"/>
          </w:tcPr>
          <w:p w14:paraId="00A98E4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03C475A4" w14:textId="77777777" w:rsidR="00116C5C" w:rsidRPr="00B44B19" w:rsidRDefault="00122448" w:rsidP="00116C5C">
            <w:pPr>
              <w:spacing w:after="0" w:line="240" w:lineRule="auto"/>
              <w:jc w:val="center"/>
              <w:rPr>
                <w:rFonts w:cs="Times New Roman"/>
                <w:sz w:val="16"/>
                <w:szCs w:val="16"/>
              </w:rPr>
            </w:pPr>
            <w:r w:rsidRPr="00B44B19">
              <w:rPr>
                <w:rFonts w:cs="Times New Roman"/>
                <w:sz w:val="16"/>
                <w:szCs w:val="16"/>
              </w:rPr>
              <w:t>3</w:t>
            </w:r>
          </w:p>
        </w:tc>
        <w:tc>
          <w:tcPr>
            <w:tcW w:w="630" w:type="pct"/>
          </w:tcPr>
          <w:p w14:paraId="22E1D65E" w14:textId="77777777" w:rsidR="00116C5C" w:rsidRPr="00B44B19" w:rsidRDefault="00122448" w:rsidP="00116C5C">
            <w:pPr>
              <w:spacing w:after="0" w:line="240" w:lineRule="auto"/>
              <w:jc w:val="center"/>
              <w:rPr>
                <w:rFonts w:cs="Times New Roman"/>
                <w:sz w:val="16"/>
                <w:szCs w:val="16"/>
              </w:rPr>
            </w:pPr>
            <w:r w:rsidRPr="00B44B19">
              <w:rPr>
                <w:rFonts w:cs="Times New Roman"/>
                <w:sz w:val="16"/>
                <w:szCs w:val="16"/>
              </w:rPr>
              <w:t>6</w:t>
            </w:r>
          </w:p>
        </w:tc>
      </w:tr>
      <w:tr w:rsidR="00116C5C" w:rsidRPr="00B44B19" w14:paraId="3577D1CD" w14:textId="77777777" w:rsidTr="00116C5C">
        <w:trPr>
          <w:trHeight w:val="261"/>
        </w:trPr>
        <w:tc>
          <w:tcPr>
            <w:tcW w:w="496" w:type="pct"/>
            <w:vMerge/>
          </w:tcPr>
          <w:p w14:paraId="3A810520"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02AE7831"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7A45A1ED" w14:textId="77777777" w:rsidR="00116C5C" w:rsidRPr="00B44B19" w:rsidRDefault="00116C5C" w:rsidP="00116C5C">
            <w:pPr>
              <w:spacing w:after="0" w:line="240" w:lineRule="auto"/>
              <w:rPr>
                <w:rFonts w:cs="Times New Roman"/>
                <w:sz w:val="16"/>
                <w:szCs w:val="16"/>
              </w:rPr>
            </w:pPr>
          </w:p>
        </w:tc>
        <w:tc>
          <w:tcPr>
            <w:tcW w:w="502" w:type="pct"/>
          </w:tcPr>
          <w:p w14:paraId="5C61EEC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3412CFA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50B59881"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Įgyvendinti MTEP projektai</w:t>
            </w:r>
          </w:p>
        </w:tc>
        <w:tc>
          <w:tcPr>
            <w:tcW w:w="575" w:type="pct"/>
          </w:tcPr>
          <w:p w14:paraId="61A86E5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159E0BE0" w14:textId="77777777" w:rsidR="00116C5C" w:rsidRPr="00B44B19" w:rsidDel="00570F80" w:rsidRDefault="00116C5C" w:rsidP="00116C5C">
            <w:pPr>
              <w:spacing w:after="0" w:line="240" w:lineRule="auto"/>
              <w:jc w:val="center"/>
              <w:rPr>
                <w:rFonts w:cs="Times New Roman"/>
                <w:sz w:val="16"/>
                <w:szCs w:val="16"/>
              </w:rPr>
            </w:pPr>
            <w:r w:rsidRPr="00B44B19">
              <w:rPr>
                <w:rFonts w:cs="Times New Roman"/>
                <w:sz w:val="16"/>
                <w:szCs w:val="16"/>
              </w:rPr>
              <w:t>0</w:t>
            </w:r>
          </w:p>
        </w:tc>
        <w:tc>
          <w:tcPr>
            <w:tcW w:w="630" w:type="pct"/>
          </w:tcPr>
          <w:p w14:paraId="6B3A450C" w14:textId="65DF855D" w:rsidR="00116C5C" w:rsidRPr="00B44B19" w:rsidDel="00570F80" w:rsidRDefault="009845FE" w:rsidP="00116C5C">
            <w:pPr>
              <w:spacing w:after="0" w:line="240" w:lineRule="auto"/>
              <w:jc w:val="center"/>
              <w:rPr>
                <w:rFonts w:cs="Times New Roman"/>
                <w:sz w:val="16"/>
                <w:szCs w:val="16"/>
                <w:lang w:val="en-US"/>
              </w:rPr>
            </w:pPr>
            <w:r w:rsidRPr="00B44B19">
              <w:rPr>
                <w:rFonts w:cs="Times New Roman"/>
                <w:sz w:val="16"/>
                <w:szCs w:val="16"/>
                <w:lang w:val="en-US"/>
              </w:rPr>
              <w:t>5</w:t>
            </w:r>
          </w:p>
        </w:tc>
      </w:tr>
      <w:tr w:rsidR="00116C5C" w:rsidRPr="00B44B19" w14:paraId="537A9520" w14:textId="77777777" w:rsidTr="00116C5C">
        <w:trPr>
          <w:trHeight w:val="261"/>
        </w:trPr>
        <w:tc>
          <w:tcPr>
            <w:tcW w:w="496" w:type="pct"/>
            <w:vMerge/>
          </w:tcPr>
          <w:p w14:paraId="50B86370"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4CCBA1D8"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3B0CB35C" w14:textId="77777777" w:rsidR="00116C5C" w:rsidRPr="00B44B19" w:rsidRDefault="00116C5C" w:rsidP="00116C5C">
            <w:pPr>
              <w:spacing w:after="0" w:line="240" w:lineRule="auto"/>
              <w:rPr>
                <w:rFonts w:cs="Times New Roman"/>
                <w:sz w:val="16"/>
                <w:szCs w:val="16"/>
              </w:rPr>
            </w:pPr>
          </w:p>
        </w:tc>
        <w:tc>
          <w:tcPr>
            <w:tcW w:w="502" w:type="pct"/>
          </w:tcPr>
          <w:p w14:paraId="7149ACBB"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327479BF"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396F58F2"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Įgyvendinti MTEP projektai</w:t>
            </w:r>
          </w:p>
        </w:tc>
        <w:tc>
          <w:tcPr>
            <w:tcW w:w="575" w:type="pct"/>
          </w:tcPr>
          <w:p w14:paraId="7FB41D7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3BDB7177" w14:textId="77777777" w:rsidR="00116C5C" w:rsidRPr="00B44B19" w:rsidRDefault="00116C5C" w:rsidP="00116C5C">
            <w:pPr>
              <w:spacing w:after="0" w:line="240" w:lineRule="auto"/>
              <w:jc w:val="center"/>
              <w:rPr>
                <w:rFonts w:cs="Times New Roman"/>
                <w:sz w:val="16"/>
                <w:szCs w:val="16"/>
              </w:rPr>
            </w:pPr>
            <w:r w:rsidRPr="00B44B19">
              <w:rPr>
                <w:rFonts w:cs="Times New Roman"/>
                <w:sz w:val="16"/>
                <w:szCs w:val="16"/>
              </w:rPr>
              <w:t>0</w:t>
            </w:r>
          </w:p>
        </w:tc>
        <w:tc>
          <w:tcPr>
            <w:tcW w:w="630" w:type="pct"/>
          </w:tcPr>
          <w:p w14:paraId="6C9CB938" w14:textId="77777777" w:rsidR="00116C5C" w:rsidRPr="00B44B19" w:rsidRDefault="00B80A81" w:rsidP="00116C5C">
            <w:pPr>
              <w:spacing w:after="0" w:line="240" w:lineRule="auto"/>
              <w:jc w:val="center"/>
              <w:rPr>
                <w:rFonts w:cs="Times New Roman"/>
                <w:sz w:val="16"/>
                <w:szCs w:val="16"/>
                <w:lang w:val="en-US"/>
              </w:rPr>
            </w:pPr>
            <w:r w:rsidRPr="00B44B19">
              <w:rPr>
                <w:rFonts w:cs="Times New Roman"/>
                <w:sz w:val="16"/>
                <w:szCs w:val="16"/>
                <w:lang w:val="en-US"/>
              </w:rPr>
              <w:t>35</w:t>
            </w:r>
          </w:p>
        </w:tc>
      </w:tr>
      <w:tr w:rsidR="00116C5C" w:rsidRPr="00B44B19" w14:paraId="2FF6A5E6" w14:textId="77777777" w:rsidTr="00116C5C">
        <w:trPr>
          <w:trHeight w:val="261"/>
        </w:trPr>
        <w:tc>
          <w:tcPr>
            <w:tcW w:w="496" w:type="pct"/>
            <w:vMerge/>
          </w:tcPr>
          <w:p w14:paraId="20B7C92A"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45AD103F"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1B551F60" w14:textId="77777777" w:rsidR="00116C5C" w:rsidRPr="00B44B19" w:rsidRDefault="00116C5C" w:rsidP="00116C5C">
            <w:pPr>
              <w:spacing w:after="0" w:line="240" w:lineRule="auto"/>
              <w:rPr>
                <w:rFonts w:cs="Times New Roman"/>
                <w:sz w:val="16"/>
                <w:szCs w:val="16"/>
              </w:rPr>
            </w:pPr>
          </w:p>
        </w:tc>
        <w:tc>
          <w:tcPr>
            <w:tcW w:w="502" w:type="pct"/>
          </w:tcPr>
          <w:p w14:paraId="2BA15B3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68358022"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67817DC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 Lietuvos mokslo ir studijų institucijas pritraukti tyrėjai iš užsienio</w:t>
            </w:r>
          </w:p>
        </w:tc>
        <w:tc>
          <w:tcPr>
            <w:tcW w:w="575" w:type="pct"/>
          </w:tcPr>
          <w:p w14:paraId="6DC41F6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 xml:space="preserve">Skaičius </w:t>
            </w:r>
          </w:p>
        </w:tc>
        <w:tc>
          <w:tcPr>
            <w:tcW w:w="503" w:type="pct"/>
          </w:tcPr>
          <w:p w14:paraId="17F67F67" w14:textId="77777777" w:rsidR="00116C5C" w:rsidRPr="00B44B19" w:rsidDel="00570F80" w:rsidRDefault="00C03AC4" w:rsidP="00116C5C">
            <w:pPr>
              <w:spacing w:after="0" w:line="240" w:lineRule="auto"/>
              <w:jc w:val="center"/>
              <w:rPr>
                <w:rFonts w:cs="Times New Roman"/>
                <w:sz w:val="16"/>
                <w:szCs w:val="16"/>
              </w:rPr>
            </w:pPr>
            <w:r w:rsidRPr="00B44B19">
              <w:rPr>
                <w:rFonts w:cs="Times New Roman"/>
                <w:sz w:val="16"/>
                <w:szCs w:val="16"/>
              </w:rPr>
              <w:t>37</w:t>
            </w:r>
          </w:p>
        </w:tc>
        <w:tc>
          <w:tcPr>
            <w:tcW w:w="630" w:type="pct"/>
          </w:tcPr>
          <w:p w14:paraId="66824DFC" w14:textId="4B0C1B4C" w:rsidR="00116C5C" w:rsidRPr="00B44B19" w:rsidDel="00570F80" w:rsidRDefault="009845FE" w:rsidP="00116C5C">
            <w:pPr>
              <w:spacing w:after="0" w:line="240" w:lineRule="auto"/>
              <w:jc w:val="center"/>
              <w:rPr>
                <w:rFonts w:cs="Times New Roman"/>
                <w:sz w:val="16"/>
                <w:szCs w:val="16"/>
              </w:rPr>
            </w:pPr>
            <w:r w:rsidRPr="00B44B19">
              <w:rPr>
                <w:rFonts w:cs="Times New Roman"/>
                <w:sz w:val="16"/>
                <w:szCs w:val="16"/>
              </w:rPr>
              <w:t>242</w:t>
            </w:r>
          </w:p>
        </w:tc>
      </w:tr>
      <w:tr w:rsidR="00116C5C" w:rsidRPr="00B44B19" w14:paraId="5BD3EAB6" w14:textId="77777777" w:rsidTr="00116C5C">
        <w:trPr>
          <w:trHeight w:val="261"/>
        </w:trPr>
        <w:tc>
          <w:tcPr>
            <w:tcW w:w="496" w:type="pct"/>
            <w:vMerge/>
          </w:tcPr>
          <w:p w14:paraId="24472ADE"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594456F8"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2DC95D82" w14:textId="77777777" w:rsidR="00116C5C" w:rsidRPr="00B44B19" w:rsidRDefault="00116C5C" w:rsidP="00116C5C">
            <w:pPr>
              <w:spacing w:after="0" w:line="240" w:lineRule="auto"/>
              <w:rPr>
                <w:rFonts w:cs="Times New Roman"/>
                <w:sz w:val="16"/>
                <w:szCs w:val="16"/>
              </w:rPr>
            </w:pPr>
          </w:p>
        </w:tc>
        <w:tc>
          <w:tcPr>
            <w:tcW w:w="502" w:type="pct"/>
          </w:tcPr>
          <w:p w14:paraId="21150FE8"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400FFC4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404E87E3"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 Lietuvos mokslo ir studijų institucijas pritraukti tyrėjai iš užsienio</w:t>
            </w:r>
          </w:p>
        </w:tc>
        <w:tc>
          <w:tcPr>
            <w:tcW w:w="575" w:type="pct"/>
          </w:tcPr>
          <w:p w14:paraId="1FBFE39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1F8BB0D7" w14:textId="77777777" w:rsidR="00116C5C" w:rsidRPr="00B44B19" w:rsidRDefault="005957AE" w:rsidP="00116C5C">
            <w:pPr>
              <w:spacing w:after="0" w:line="240" w:lineRule="auto"/>
              <w:jc w:val="center"/>
              <w:rPr>
                <w:rFonts w:cs="Times New Roman"/>
                <w:sz w:val="16"/>
                <w:szCs w:val="16"/>
              </w:rPr>
            </w:pPr>
            <w:r w:rsidRPr="00B44B19">
              <w:rPr>
                <w:rFonts w:cs="Times New Roman"/>
                <w:sz w:val="16"/>
                <w:szCs w:val="16"/>
              </w:rPr>
              <w:t>6</w:t>
            </w:r>
          </w:p>
        </w:tc>
        <w:tc>
          <w:tcPr>
            <w:tcW w:w="630" w:type="pct"/>
          </w:tcPr>
          <w:p w14:paraId="4D0BE16D" w14:textId="77777777" w:rsidR="00116C5C" w:rsidRPr="00B44B19" w:rsidRDefault="00BC4895" w:rsidP="00116C5C">
            <w:pPr>
              <w:spacing w:after="0" w:line="240" w:lineRule="auto"/>
              <w:jc w:val="center"/>
              <w:rPr>
                <w:rFonts w:cs="Times New Roman"/>
                <w:sz w:val="16"/>
                <w:szCs w:val="16"/>
              </w:rPr>
            </w:pPr>
            <w:r w:rsidRPr="00B44B19">
              <w:rPr>
                <w:rFonts w:cs="Times New Roman"/>
                <w:sz w:val="16"/>
                <w:szCs w:val="16"/>
              </w:rPr>
              <w:t>41</w:t>
            </w:r>
          </w:p>
        </w:tc>
      </w:tr>
      <w:tr w:rsidR="00116C5C" w:rsidRPr="00B44B19" w14:paraId="7170EBE9" w14:textId="77777777" w:rsidTr="00116C5C">
        <w:trPr>
          <w:trHeight w:val="261"/>
        </w:trPr>
        <w:tc>
          <w:tcPr>
            <w:tcW w:w="496" w:type="pct"/>
            <w:vMerge/>
          </w:tcPr>
          <w:p w14:paraId="6BE03955"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14045D54"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067D2547" w14:textId="77777777" w:rsidR="00116C5C" w:rsidRPr="00B44B19" w:rsidRDefault="00116C5C" w:rsidP="00116C5C">
            <w:pPr>
              <w:spacing w:after="0" w:line="240" w:lineRule="auto"/>
              <w:rPr>
                <w:rFonts w:cs="Times New Roman"/>
                <w:sz w:val="16"/>
                <w:szCs w:val="16"/>
              </w:rPr>
            </w:pPr>
          </w:p>
        </w:tc>
        <w:tc>
          <w:tcPr>
            <w:tcW w:w="502" w:type="pct"/>
          </w:tcPr>
          <w:p w14:paraId="0A0BCC65"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Sostinės regionas</w:t>
            </w:r>
          </w:p>
        </w:tc>
        <w:tc>
          <w:tcPr>
            <w:tcW w:w="646" w:type="pct"/>
          </w:tcPr>
          <w:p w14:paraId="01ACE9A1"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618B7C0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 užsienį tobulinti profesinių žinių išvykę tyrėjai</w:t>
            </w:r>
          </w:p>
        </w:tc>
        <w:tc>
          <w:tcPr>
            <w:tcW w:w="575" w:type="pct"/>
          </w:tcPr>
          <w:p w14:paraId="3F22481A"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2134EE54" w14:textId="77777777" w:rsidR="00116C5C" w:rsidRPr="00B44B19" w:rsidDel="00570F80" w:rsidRDefault="00333415" w:rsidP="00116C5C">
            <w:pPr>
              <w:spacing w:after="0" w:line="240" w:lineRule="auto"/>
              <w:jc w:val="center"/>
              <w:rPr>
                <w:rFonts w:cs="Times New Roman"/>
                <w:sz w:val="16"/>
                <w:szCs w:val="16"/>
              </w:rPr>
            </w:pPr>
            <w:r w:rsidRPr="00B44B19">
              <w:rPr>
                <w:rFonts w:cs="Times New Roman"/>
                <w:sz w:val="16"/>
                <w:szCs w:val="16"/>
              </w:rPr>
              <w:t>41</w:t>
            </w:r>
          </w:p>
        </w:tc>
        <w:tc>
          <w:tcPr>
            <w:tcW w:w="630" w:type="pct"/>
          </w:tcPr>
          <w:p w14:paraId="06A7E10A" w14:textId="2A801CA2" w:rsidR="00116C5C" w:rsidRPr="00B44B19" w:rsidDel="00570F80" w:rsidRDefault="009845FE" w:rsidP="00116C5C">
            <w:pPr>
              <w:spacing w:after="0" w:line="240" w:lineRule="auto"/>
              <w:jc w:val="center"/>
              <w:rPr>
                <w:rFonts w:cs="Times New Roman"/>
                <w:sz w:val="16"/>
                <w:szCs w:val="16"/>
              </w:rPr>
            </w:pPr>
            <w:r w:rsidRPr="00B44B19">
              <w:rPr>
                <w:rFonts w:cs="Times New Roman"/>
                <w:sz w:val="16"/>
                <w:szCs w:val="16"/>
              </w:rPr>
              <w:t>50</w:t>
            </w:r>
          </w:p>
        </w:tc>
      </w:tr>
      <w:tr w:rsidR="00116C5C" w:rsidRPr="00B44B19" w14:paraId="49FEAD93" w14:textId="77777777" w:rsidTr="00116C5C">
        <w:trPr>
          <w:trHeight w:val="261"/>
        </w:trPr>
        <w:tc>
          <w:tcPr>
            <w:tcW w:w="496" w:type="pct"/>
            <w:vMerge/>
          </w:tcPr>
          <w:p w14:paraId="14173B17"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5A429521"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47600089" w14:textId="77777777" w:rsidR="00116C5C" w:rsidRPr="00B44B19" w:rsidRDefault="00116C5C" w:rsidP="00116C5C">
            <w:pPr>
              <w:spacing w:after="0" w:line="240" w:lineRule="auto"/>
              <w:rPr>
                <w:rFonts w:cs="Times New Roman"/>
                <w:sz w:val="16"/>
                <w:szCs w:val="16"/>
              </w:rPr>
            </w:pPr>
          </w:p>
        </w:tc>
        <w:tc>
          <w:tcPr>
            <w:tcW w:w="502" w:type="pct"/>
          </w:tcPr>
          <w:p w14:paraId="490150AD"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5280CC92"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Specialusis</w:t>
            </w:r>
          </w:p>
        </w:tc>
        <w:tc>
          <w:tcPr>
            <w:tcW w:w="720" w:type="pct"/>
          </w:tcPr>
          <w:p w14:paraId="3234E112"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 užsienį tobulinti profesinių žinių išvykę tyrėjai</w:t>
            </w:r>
          </w:p>
        </w:tc>
        <w:tc>
          <w:tcPr>
            <w:tcW w:w="575" w:type="pct"/>
          </w:tcPr>
          <w:p w14:paraId="31AB35D3"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Skaičius</w:t>
            </w:r>
          </w:p>
        </w:tc>
        <w:tc>
          <w:tcPr>
            <w:tcW w:w="503" w:type="pct"/>
          </w:tcPr>
          <w:p w14:paraId="103CA1AB" w14:textId="77777777" w:rsidR="00116C5C" w:rsidRPr="00B44B19" w:rsidRDefault="009F26D1" w:rsidP="00116C5C">
            <w:pPr>
              <w:spacing w:after="0" w:line="240" w:lineRule="auto"/>
              <w:jc w:val="center"/>
              <w:rPr>
                <w:rFonts w:cs="Times New Roman"/>
                <w:sz w:val="16"/>
                <w:szCs w:val="16"/>
              </w:rPr>
            </w:pPr>
            <w:r w:rsidRPr="00B44B19">
              <w:rPr>
                <w:rFonts w:cs="Times New Roman"/>
                <w:sz w:val="16"/>
                <w:szCs w:val="16"/>
              </w:rPr>
              <w:t>11</w:t>
            </w:r>
          </w:p>
        </w:tc>
        <w:tc>
          <w:tcPr>
            <w:tcW w:w="630" w:type="pct"/>
          </w:tcPr>
          <w:p w14:paraId="0112D193" w14:textId="77777777" w:rsidR="00116C5C" w:rsidRPr="00B44B19" w:rsidRDefault="009F26D1" w:rsidP="00116C5C">
            <w:pPr>
              <w:spacing w:after="0" w:line="240" w:lineRule="auto"/>
              <w:jc w:val="center"/>
              <w:rPr>
                <w:rFonts w:cs="Times New Roman"/>
                <w:sz w:val="16"/>
                <w:szCs w:val="16"/>
              </w:rPr>
            </w:pPr>
            <w:r w:rsidRPr="00B44B19">
              <w:rPr>
                <w:rFonts w:cs="Times New Roman"/>
                <w:sz w:val="16"/>
                <w:szCs w:val="16"/>
              </w:rPr>
              <w:t>75</w:t>
            </w:r>
          </w:p>
        </w:tc>
      </w:tr>
      <w:tr w:rsidR="00116C5C" w:rsidRPr="00B44B19" w14:paraId="26CC7CA8" w14:textId="77777777" w:rsidTr="00116C5C">
        <w:trPr>
          <w:trHeight w:val="261"/>
        </w:trPr>
        <w:tc>
          <w:tcPr>
            <w:tcW w:w="496" w:type="pct"/>
            <w:vMerge/>
          </w:tcPr>
          <w:p w14:paraId="4A55AA95" w14:textId="77777777" w:rsidR="00116C5C" w:rsidRPr="00B44B19" w:rsidRDefault="00116C5C" w:rsidP="00116C5C">
            <w:pPr>
              <w:spacing w:after="0" w:line="240" w:lineRule="auto"/>
              <w:jc w:val="both"/>
              <w:rPr>
                <w:rFonts w:cs="Times New Roman"/>
                <w:b/>
                <w:noProof/>
                <w:sz w:val="16"/>
                <w:szCs w:val="16"/>
              </w:rPr>
            </w:pPr>
          </w:p>
        </w:tc>
        <w:tc>
          <w:tcPr>
            <w:tcW w:w="497" w:type="pct"/>
            <w:vMerge/>
          </w:tcPr>
          <w:p w14:paraId="537DF4B0" w14:textId="77777777" w:rsidR="00116C5C" w:rsidRPr="00B44B19" w:rsidRDefault="00116C5C" w:rsidP="00116C5C">
            <w:pPr>
              <w:spacing w:after="0" w:line="240" w:lineRule="auto"/>
              <w:jc w:val="both"/>
              <w:rPr>
                <w:rFonts w:cs="Times New Roman"/>
                <w:b/>
                <w:noProof/>
                <w:sz w:val="16"/>
                <w:szCs w:val="16"/>
              </w:rPr>
            </w:pPr>
          </w:p>
        </w:tc>
        <w:tc>
          <w:tcPr>
            <w:tcW w:w="432" w:type="pct"/>
            <w:vMerge/>
          </w:tcPr>
          <w:p w14:paraId="2220E69F" w14:textId="77777777" w:rsidR="00116C5C" w:rsidRPr="00B44B19" w:rsidRDefault="00116C5C" w:rsidP="00116C5C">
            <w:pPr>
              <w:spacing w:after="0" w:line="240" w:lineRule="auto"/>
              <w:rPr>
                <w:rFonts w:cs="Times New Roman"/>
                <w:sz w:val="16"/>
                <w:szCs w:val="16"/>
              </w:rPr>
            </w:pPr>
          </w:p>
        </w:tc>
        <w:tc>
          <w:tcPr>
            <w:tcW w:w="502" w:type="pct"/>
          </w:tcPr>
          <w:p w14:paraId="633C1DB4"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VVL regionas</w:t>
            </w:r>
          </w:p>
        </w:tc>
        <w:tc>
          <w:tcPr>
            <w:tcW w:w="646" w:type="pct"/>
          </w:tcPr>
          <w:p w14:paraId="144C6839"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RCO103</w:t>
            </w:r>
          </w:p>
        </w:tc>
        <w:tc>
          <w:tcPr>
            <w:tcW w:w="720" w:type="pct"/>
          </w:tcPr>
          <w:p w14:paraId="5247006A" w14:textId="77777777" w:rsidR="00116C5C" w:rsidRPr="00B44B19" w:rsidRDefault="003F7123" w:rsidP="00116C5C">
            <w:pPr>
              <w:spacing w:after="0" w:line="240" w:lineRule="auto"/>
              <w:rPr>
                <w:rFonts w:cs="Times New Roman"/>
                <w:sz w:val="16"/>
                <w:szCs w:val="16"/>
              </w:rPr>
            </w:pPr>
            <w:r w:rsidRPr="00B44B19">
              <w:rPr>
                <w:rFonts w:cs="Times New Roman"/>
                <w:sz w:val="16"/>
                <w:szCs w:val="16"/>
              </w:rPr>
              <w:t>Paramą gavusios sparčiai augančios įmonės</w:t>
            </w:r>
          </w:p>
        </w:tc>
        <w:tc>
          <w:tcPr>
            <w:tcW w:w="575" w:type="pct"/>
          </w:tcPr>
          <w:p w14:paraId="08E7B4B5" w14:textId="77777777" w:rsidR="00116C5C" w:rsidRPr="00B44B19" w:rsidRDefault="00116C5C" w:rsidP="00116C5C">
            <w:pPr>
              <w:spacing w:after="0" w:line="240" w:lineRule="auto"/>
              <w:rPr>
                <w:rFonts w:cs="Times New Roman"/>
                <w:sz w:val="16"/>
                <w:szCs w:val="16"/>
              </w:rPr>
            </w:pPr>
            <w:r w:rsidRPr="00B44B19">
              <w:rPr>
                <w:rFonts w:cs="Times New Roman"/>
                <w:sz w:val="16"/>
                <w:szCs w:val="16"/>
              </w:rPr>
              <w:t>Įmonės</w:t>
            </w:r>
          </w:p>
        </w:tc>
        <w:tc>
          <w:tcPr>
            <w:tcW w:w="503" w:type="pct"/>
          </w:tcPr>
          <w:p w14:paraId="3C0C4132" w14:textId="2021B266" w:rsidR="00116C5C" w:rsidRPr="00B44B19" w:rsidRDefault="00D31F0D" w:rsidP="00116C5C">
            <w:pPr>
              <w:spacing w:after="0" w:line="240" w:lineRule="auto"/>
              <w:jc w:val="center"/>
              <w:rPr>
                <w:rFonts w:cs="Times New Roman"/>
                <w:sz w:val="16"/>
                <w:szCs w:val="16"/>
              </w:rPr>
            </w:pPr>
            <w:r w:rsidRPr="00B44B19">
              <w:rPr>
                <w:rFonts w:cs="Times New Roman"/>
                <w:sz w:val="16"/>
                <w:szCs w:val="16"/>
              </w:rPr>
              <w:t>353</w:t>
            </w:r>
          </w:p>
        </w:tc>
        <w:tc>
          <w:tcPr>
            <w:tcW w:w="630" w:type="pct"/>
          </w:tcPr>
          <w:p w14:paraId="3D2DF2E8" w14:textId="0FD74D85" w:rsidR="00116C5C" w:rsidRPr="00B44B19" w:rsidRDefault="009845FE" w:rsidP="00116C5C">
            <w:pPr>
              <w:spacing w:after="0" w:line="240" w:lineRule="auto"/>
              <w:jc w:val="center"/>
              <w:rPr>
                <w:rFonts w:cs="Times New Roman"/>
                <w:sz w:val="16"/>
                <w:szCs w:val="16"/>
              </w:rPr>
            </w:pPr>
            <w:r w:rsidRPr="00B44B19">
              <w:rPr>
                <w:rFonts w:cs="Times New Roman"/>
                <w:sz w:val="16"/>
                <w:szCs w:val="16"/>
              </w:rPr>
              <w:t>888</w:t>
            </w:r>
          </w:p>
        </w:tc>
      </w:tr>
    </w:tbl>
    <w:p w14:paraId="0DD712B9" w14:textId="77777777" w:rsidR="00306CD6" w:rsidRPr="00B44B19" w:rsidRDefault="00306CD6" w:rsidP="00992515">
      <w:pPr>
        <w:spacing w:before="120" w:after="0" w:line="240" w:lineRule="auto"/>
        <w:jc w:val="both"/>
        <w:rPr>
          <w:rFonts w:cs="Times New Roman"/>
          <w:b/>
          <w:noProof/>
          <w:sz w:val="20"/>
        </w:rPr>
        <w:sectPr w:rsidR="00306CD6" w:rsidRPr="00B44B19" w:rsidSect="00F538D0">
          <w:headerReference w:type="default" r:id="rId10"/>
          <w:footerReference w:type="default" r:id="rId11"/>
          <w:footerReference w:type="first" r:id="rId12"/>
          <w:pgSz w:w="11906" w:h="16838"/>
          <w:pgMar w:top="1276" w:right="567" w:bottom="1134" w:left="1701" w:header="567" w:footer="567" w:gutter="0"/>
          <w:cols w:space="1296"/>
          <w:titlePg/>
          <w:docGrid w:linePitch="360"/>
        </w:sectPr>
      </w:pPr>
    </w:p>
    <w:p w14:paraId="0EF606F2" w14:textId="77777777" w:rsidR="00992515" w:rsidRPr="00B44B19" w:rsidRDefault="00992515" w:rsidP="00992515">
      <w:pPr>
        <w:spacing w:before="120" w:after="0" w:line="240" w:lineRule="auto"/>
        <w:jc w:val="both"/>
        <w:rPr>
          <w:rFonts w:eastAsia="Times New Roman" w:cs="Times New Roman"/>
          <w:b/>
          <w:iCs/>
          <w:noProof/>
          <w:szCs w:val="24"/>
          <w:lang w:eastAsia="lt-LT" w:bidi="lt-LT"/>
        </w:rPr>
      </w:pPr>
      <w:r w:rsidRPr="00B44B19">
        <w:rPr>
          <w:rFonts w:cs="Times New Roman"/>
          <w:b/>
          <w:noProof/>
          <w:sz w:val="20"/>
        </w:rPr>
        <w:lastRenderedPageBreak/>
        <w:t>3 lentelė. Rezultato rodikliai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1134"/>
        <w:gridCol w:w="1276"/>
        <w:gridCol w:w="2977"/>
        <w:gridCol w:w="1134"/>
        <w:gridCol w:w="992"/>
        <w:gridCol w:w="1134"/>
        <w:gridCol w:w="1276"/>
        <w:gridCol w:w="992"/>
        <w:gridCol w:w="992"/>
      </w:tblGrid>
      <w:tr w:rsidR="00116C5C" w:rsidRPr="00B44B19" w14:paraId="4E425FEA" w14:textId="77777777" w:rsidTr="00116C5C">
        <w:trPr>
          <w:cantSplit/>
          <w:trHeight w:val="1029"/>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752D30"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53318D"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A0C105"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19ABA5"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DA8FB7"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29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C830DA"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70A89"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2C26F9"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E00C60"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47AAB3"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Siek</w:t>
            </w:r>
            <w:r w:rsidR="00095039" w:rsidRPr="00B44B19">
              <w:rPr>
                <w:rFonts w:cs="Times New Roman"/>
                <w:b/>
                <w:noProof/>
                <w:sz w:val="16"/>
                <w:szCs w:val="16"/>
              </w:rPr>
              <w:t>tina reikšmė</w:t>
            </w:r>
            <w:r w:rsidRPr="00B44B19">
              <w:rPr>
                <w:rFonts w:cs="Times New Roman"/>
                <w:b/>
                <w:noProof/>
                <w:sz w:val="16"/>
                <w:szCs w:val="16"/>
              </w:rPr>
              <w:t xml:space="preserve"> (2029 m.)</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C571D"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56D550" w14:textId="77777777" w:rsidR="00116C5C" w:rsidRPr="00B44B19" w:rsidRDefault="00116C5C" w:rsidP="00116C5C">
            <w:pPr>
              <w:tabs>
                <w:tab w:val="left" w:pos="394"/>
              </w:tabs>
              <w:spacing w:after="0" w:line="240" w:lineRule="auto"/>
              <w:jc w:val="center"/>
              <w:rPr>
                <w:rFonts w:cs="Times New Roman"/>
                <w:b/>
                <w:noProof/>
                <w:sz w:val="16"/>
                <w:szCs w:val="16"/>
              </w:rPr>
            </w:pPr>
            <w:r w:rsidRPr="00B44B19">
              <w:rPr>
                <w:rFonts w:cs="Times New Roman"/>
                <w:b/>
                <w:noProof/>
                <w:sz w:val="16"/>
                <w:szCs w:val="16"/>
              </w:rPr>
              <w:t>Pastabos</w:t>
            </w:r>
          </w:p>
        </w:tc>
      </w:tr>
      <w:tr w:rsidR="0073689C" w:rsidRPr="00B44B19" w14:paraId="2AC7916F" w14:textId="77777777" w:rsidTr="00116C5C">
        <w:trPr>
          <w:trHeight w:val="368"/>
        </w:trPr>
        <w:tc>
          <w:tcPr>
            <w:tcW w:w="1101" w:type="dxa"/>
            <w:vMerge w:val="restart"/>
            <w:tcBorders>
              <w:top w:val="single" w:sz="12" w:space="0" w:color="auto"/>
            </w:tcBorders>
          </w:tcPr>
          <w:p w14:paraId="6366659A" w14:textId="77777777" w:rsidR="0073689C" w:rsidRPr="00B44B19" w:rsidRDefault="0073689C" w:rsidP="008A0CE0">
            <w:pPr>
              <w:spacing w:after="0" w:line="240" w:lineRule="auto"/>
              <w:jc w:val="both"/>
              <w:rPr>
                <w:rFonts w:cs="Times New Roman"/>
                <w:noProof/>
                <w:sz w:val="16"/>
                <w:szCs w:val="16"/>
              </w:rPr>
            </w:pPr>
            <w:r w:rsidRPr="00B44B19">
              <w:rPr>
                <w:rFonts w:cs="Times New Roman"/>
                <w:noProof/>
                <w:sz w:val="16"/>
                <w:szCs w:val="16"/>
              </w:rPr>
              <w:t>1. Pažangesnė Lietuva</w:t>
            </w:r>
          </w:p>
        </w:tc>
        <w:tc>
          <w:tcPr>
            <w:tcW w:w="992" w:type="dxa"/>
            <w:vMerge w:val="restart"/>
            <w:tcBorders>
              <w:top w:val="single" w:sz="12" w:space="0" w:color="auto"/>
            </w:tcBorders>
          </w:tcPr>
          <w:p w14:paraId="6A54BDBA" w14:textId="77777777" w:rsidR="0073689C" w:rsidRPr="00B44B19" w:rsidRDefault="0073689C" w:rsidP="008A0CE0">
            <w:pPr>
              <w:spacing w:after="0" w:line="240" w:lineRule="auto"/>
              <w:rPr>
                <w:rFonts w:cs="Times New Roman"/>
                <w:noProof/>
                <w:sz w:val="16"/>
                <w:szCs w:val="16"/>
              </w:rPr>
            </w:pPr>
            <w:r w:rsidRPr="00B44B19">
              <w:rPr>
                <w:rFonts w:cs="Times New Roman"/>
                <w:noProof/>
                <w:sz w:val="16"/>
                <w:szCs w:val="16"/>
              </w:rPr>
              <w:t>1.1</w:t>
            </w:r>
          </w:p>
        </w:tc>
        <w:tc>
          <w:tcPr>
            <w:tcW w:w="850" w:type="dxa"/>
            <w:vMerge w:val="restart"/>
            <w:tcBorders>
              <w:top w:val="single" w:sz="12" w:space="0" w:color="auto"/>
            </w:tcBorders>
          </w:tcPr>
          <w:p w14:paraId="4FFF8147" w14:textId="77777777" w:rsidR="0073689C" w:rsidRPr="00B44B19" w:rsidRDefault="0073689C" w:rsidP="008A0CE0">
            <w:pPr>
              <w:spacing w:after="0" w:line="240" w:lineRule="auto"/>
              <w:rPr>
                <w:rFonts w:cs="Times New Roman"/>
                <w:sz w:val="16"/>
                <w:szCs w:val="16"/>
              </w:rPr>
            </w:pPr>
            <w:r w:rsidRPr="00B44B19">
              <w:rPr>
                <w:rFonts w:cs="Times New Roman"/>
                <w:sz w:val="16"/>
                <w:szCs w:val="16"/>
              </w:rPr>
              <w:t>ERPF</w:t>
            </w:r>
          </w:p>
        </w:tc>
        <w:tc>
          <w:tcPr>
            <w:tcW w:w="1134" w:type="dxa"/>
            <w:tcBorders>
              <w:top w:val="single" w:sz="4" w:space="0" w:color="auto"/>
            </w:tcBorders>
          </w:tcPr>
          <w:p w14:paraId="180F728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Borders>
              <w:top w:val="single" w:sz="4" w:space="0" w:color="auto"/>
            </w:tcBorders>
          </w:tcPr>
          <w:p w14:paraId="23A9C145"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RCR01</w:t>
            </w:r>
          </w:p>
        </w:tc>
        <w:tc>
          <w:tcPr>
            <w:tcW w:w="2977" w:type="dxa"/>
            <w:tcBorders>
              <w:top w:val="single" w:sz="4" w:space="0" w:color="auto"/>
            </w:tcBorders>
          </w:tcPr>
          <w:p w14:paraId="4268433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Paramą gavusiuose subjektuose sukurtos darbo vietos</w:t>
            </w:r>
          </w:p>
        </w:tc>
        <w:tc>
          <w:tcPr>
            <w:tcW w:w="1134" w:type="dxa"/>
            <w:tcBorders>
              <w:top w:val="single" w:sz="4" w:space="0" w:color="auto"/>
            </w:tcBorders>
          </w:tcPr>
          <w:p w14:paraId="34E6817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Vienų metų etato ekvivalentai</w:t>
            </w:r>
          </w:p>
        </w:tc>
        <w:tc>
          <w:tcPr>
            <w:tcW w:w="992" w:type="dxa"/>
            <w:tcBorders>
              <w:top w:val="single" w:sz="4" w:space="0" w:color="auto"/>
            </w:tcBorders>
          </w:tcPr>
          <w:p w14:paraId="0A00D9AB"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Borders>
              <w:top w:val="single" w:sz="4" w:space="0" w:color="auto"/>
            </w:tcBorders>
          </w:tcPr>
          <w:p w14:paraId="5DAB3422"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Borders>
              <w:top w:val="single" w:sz="4" w:space="0" w:color="auto"/>
            </w:tcBorders>
          </w:tcPr>
          <w:p w14:paraId="0BFBF357" w14:textId="51C5928D" w:rsidR="0073689C" w:rsidRPr="00B44B19" w:rsidRDefault="00766206" w:rsidP="00116C5C">
            <w:pPr>
              <w:spacing w:after="0" w:line="240" w:lineRule="auto"/>
              <w:jc w:val="center"/>
              <w:rPr>
                <w:rFonts w:cs="Times New Roman"/>
                <w:sz w:val="16"/>
                <w:szCs w:val="16"/>
              </w:rPr>
            </w:pPr>
            <w:r w:rsidRPr="00B44B19">
              <w:rPr>
                <w:rFonts w:cs="Times New Roman"/>
                <w:sz w:val="16"/>
                <w:szCs w:val="16"/>
              </w:rPr>
              <w:t>350</w:t>
            </w:r>
          </w:p>
        </w:tc>
        <w:tc>
          <w:tcPr>
            <w:tcW w:w="992" w:type="dxa"/>
            <w:tcBorders>
              <w:top w:val="single" w:sz="4" w:space="0" w:color="auto"/>
            </w:tcBorders>
          </w:tcPr>
          <w:p w14:paraId="5BB3152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Borders>
              <w:top w:val="single" w:sz="4" w:space="0" w:color="auto"/>
            </w:tcBorders>
          </w:tcPr>
          <w:p w14:paraId="003FCDD2" w14:textId="77777777" w:rsidR="0073689C" w:rsidRPr="00B44B19" w:rsidRDefault="0073689C" w:rsidP="00116C5C">
            <w:pPr>
              <w:spacing w:after="0" w:line="240" w:lineRule="auto"/>
              <w:rPr>
                <w:rFonts w:cs="Times New Roman"/>
                <w:sz w:val="16"/>
                <w:szCs w:val="16"/>
              </w:rPr>
            </w:pPr>
          </w:p>
        </w:tc>
      </w:tr>
      <w:tr w:rsidR="0073689C" w:rsidRPr="00B44B19" w14:paraId="224C16CE" w14:textId="77777777" w:rsidTr="00116C5C">
        <w:trPr>
          <w:trHeight w:val="549"/>
        </w:trPr>
        <w:tc>
          <w:tcPr>
            <w:tcW w:w="1101" w:type="dxa"/>
            <w:vMerge/>
          </w:tcPr>
          <w:p w14:paraId="4523263E"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707EF55B"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5197A649"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41D30CA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5899E744"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RCR02</w:t>
            </w:r>
          </w:p>
        </w:tc>
        <w:tc>
          <w:tcPr>
            <w:tcW w:w="2977" w:type="dxa"/>
          </w:tcPr>
          <w:p w14:paraId="234A122B" w14:textId="77777777" w:rsidR="0073689C" w:rsidRPr="00B44B19" w:rsidRDefault="0073689C" w:rsidP="000958FE">
            <w:pPr>
              <w:spacing w:after="0" w:line="240" w:lineRule="auto"/>
              <w:rPr>
                <w:rFonts w:cs="Times New Roman"/>
                <w:sz w:val="16"/>
                <w:szCs w:val="16"/>
              </w:rPr>
            </w:pPr>
            <w:r w:rsidRPr="00B44B19">
              <w:rPr>
                <w:rFonts w:cs="Times New Roman"/>
                <w:sz w:val="16"/>
                <w:szCs w:val="16"/>
              </w:rPr>
              <w:t>Privačiosios investicijos, papildančios viešąją paramą (iš kurių: dotacijos, finansinės priemonės)</w:t>
            </w:r>
          </w:p>
        </w:tc>
        <w:tc>
          <w:tcPr>
            <w:tcW w:w="1134" w:type="dxa"/>
          </w:tcPr>
          <w:p w14:paraId="6BA7B5C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Eurai</w:t>
            </w:r>
          </w:p>
        </w:tc>
        <w:tc>
          <w:tcPr>
            <w:tcW w:w="992" w:type="dxa"/>
          </w:tcPr>
          <w:p w14:paraId="1BF4F83F"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1FE44CD9"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1464F102" w14:textId="2393FDA5" w:rsidR="0073689C" w:rsidRPr="00B44B19" w:rsidRDefault="00766206" w:rsidP="00C93D8C">
            <w:pPr>
              <w:spacing w:after="0" w:line="240" w:lineRule="auto"/>
              <w:jc w:val="center"/>
              <w:rPr>
                <w:rFonts w:cs="Times New Roman"/>
                <w:color w:val="000000"/>
                <w:sz w:val="16"/>
                <w:szCs w:val="16"/>
              </w:rPr>
            </w:pPr>
            <w:r w:rsidRPr="00B44B19">
              <w:rPr>
                <w:rFonts w:cs="Times New Roman"/>
                <w:color w:val="000000"/>
                <w:sz w:val="16"/>
                <w:szCs w:val="16"/>
              </w:rPr>
              <w:t>23 934 829</w:t>
            </w:r>
          </w:p>
        </w:tc>
        <w:tc>
          <w:tcPr>
            <w:tcW w:w="992" w:type="dxa"/>
          </w:tcPr>
          <w:p w14:paraId="7F7E9AD6"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3706FE07" w14:textId="77777777" w:rsidR="0073689C" w:rsidRPr="00B44B19" w:rsidRDefault="0073689C" w:rsidP="00116C5C">
            <w:pPr>
              <w:spacing w:after="0" w:line="240" w:lineRule="auto"/>
              <w:rPr>
                <w:rFonts w:cs="Times New Roman"/>
                <w:sz w:val="16"/>
                <w:szCs w:val="16"/>
              </w:rPr>
            </w:pPr>
          </w:p>
        </w:tc>
      </w:tr>
      <w:tr w:rsidR="0073689C" w:rsidRPr="00B44B19" w14:paraId="4E080EDF" w14:textId="77777777" w:rsidTr="00116C5C">
        <w:trPr>
          <w:trHeight w:val="569"/>
        </w:trPr>
        <w:tc>
          <w:tcPr>
            <w:tcW w:w="1101" w:type="dxa"/>
            <w:vMerge/>
          </w:tcPr>
          <w:p w14:paraId="5C13A285"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784E9F4E"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7B426F1D"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3EADAE6F"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2809BEC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RCR02</w:t>
            </w:r>
          </w:p>
        </w:tc>
        <w:tc>
          <w:tcPr>
            <w:tcW w:w="2977" w:type="dxa"/>
          </w:tcPr>
          <w:p w14:paraId="18E7B135" w14:textId="77777777" w:rsidR="0073689C" w:rsidRPr="00B44B19" w:rsidRDefault="0073689C" w:rsidP="000958FE">
            <w:pPr>
              <w:spacing w:after="0" w:line="240" w:lineRule="auto"/>
              <w:rPr>
                <w:rFonts w:cs="Times New Roman"/>
                <w:sz w:val="16"/>
                <w:szCs w:val="16"/>
              </w:rPr>
            </w:pPr>
            <w:r w:rsidRPr="00B44B19">
              <w:rPr>
                <w:rFonts w:cs="Times New Roman"/>
                <w:sz w:val="16"/>
                <w:szCs w:val="16"/>
              </w:rPr>
              <w:t>Privačiosios investicijos, papildančios viešąją paramą (iš kurių: dotacijos, finansinės priemonės)</w:t>
            </w:r>
          </w:p>
        </w:tc>
        <w:tc>
          <w:tcPr>
            <w:tcW w:w="1134" w:type="dxa"/>
          </w:tcPr>
          <w:p w14:paraId="0B85EF7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Eurai</w:t>
            </w:r>
          </w:p>
        </w:tc>
        <w:tc>
          <w:tcPr>
            <w:tcW w:w="992" w:type="dxa"/>
          </w:tcPr>
          <w:p w14:paraId="2C41287D"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5ABAFEFA"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52D4A62B" w14:textId="7F767549" w:rsidR="0073689C" w:rsidRPr="00B44B19" w:rsidRDefault="00766206" w:rsidP="002702D7">
            <w:pPr>
              <w:spacing w:after="0" w:line="240" w:lineRule="auto"/>
              <w:jc w:val="center"/>
              <w:rPr>
                <w:rFonts w:cs="Times New Roman"/>
                <w:color w:val="000000"/>
                <w:sz w:val="16"/>
                <w:szCs w:val="16"/>
              </w:rPr>
            </w:pPr>
            <w:r w:rsidRPr="00B44B19">
              <w:rPr>
                <w:rFonts w:cs="Times New Roman"/>
                <w:color w:val="000000"/>
                <w:sz w:val="16"/>
                <w:szCs w:val="16"/>
              </w:rPr>
              <w:t>176 226 815</w:t>
            </w:r>
          </w:p>
        </w:tc>
        <w:tc>
          <w:tcPr>
            <w:tcW w:w="992" w:type="dxa"/>
          </w:tcPr>
          <w:p w14:paraId="42F7A84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32003BEF" w14:textId="77777777" w:rsidR="0073689C" w:rsidRPr="00B44B19" w:rsidRDefault="0073689C" w:rsidP="00116C5C">
            <w:pPr>
              <w:spacing w:after="0" w:line="240" w:lineRule="auto"/>
              <w:rPr>
                <w:rFonts w:cs="Times New Roman"/>
                <w:sz w:val="16"/>
                <w:szCs w:val="16"/>
              </w:rPr>
            </w:pPr>
          </w:p>
        </w:tc>
      </w:tr>
      <w:tr w:rsidR="0073689C" w:rsidRPr="00B44B19" w14:paraId="15C1933F" w14:textId="77777777" w:rsidTr="00116C5C">
        <w:trPr>
          <w:trHeight w:val="569"/>
        </w:trPr>
        <w:tc>
          <w:tcPr>
            <w:tcW w:w="1101" w:type="dxa"/>
            <w:vMerge/>
          </w:tcPr>
          <w:p w14:paraId="262F730E"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055DA519"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74936EB8"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570B835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6FBAECEF"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RCR03</w:t>
            </w:r>
          </w:p>
        </w:tc>
        <w:tc>
          <w:tcPr>
            <w:tcW w:w="2977" w:type="dxa"/>
          </w:tcPr>
          <w:p w14:paraId="7120737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Produktų ar procesų inovacijas diegiančios mažosios ir vidutinės įmonės (MVĮ)</w:t>
            </w:r>
          </w:p>
        </w:tc>
        <w:tc>
          <w:tcPr>
            <w:tcW w:w="1134" w:type="dxa"/>
          </w:tcPr>
          <w:p w14:paraId="04FAE378"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Įmonės</w:t>
            </w:r>
          </w:p>
        </w:tc>
        <w:tc>
          <w:tcPr>
            <w:tcW w:w="992" w:type="dxa"/>
          </w:tcPr>
          <w:p w14:paraId="27F52579"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02AB5340"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01A56BE3" w14:textId="27CA2D9B" w:rsidR="0073689C" w:rsidRPr="00B44B19" w:rsidRDefault="00AD09B3" w:rsidP="00C93D8C">
            <w:pPr>
              <w:spacing w:after="0" w:line="240" w:lineRule="auto"/>
              <w:jc w:val="center"/>
              <w:rPr>
                <w:rFonts w:cs="Times New Roman"/>
                <w:color w:val="000000"/>
                <w:sz w:val="16"/>
                <w:szCs w:val="16"/>
              </w:rPr>
            </w:pPr>
            <w:r w:rsidRPr="00B44B19">
              <w:rPr>
                <w:rFonts w:cs="Times New Roman"/>
                <w:sz w:val="16"/>
                <w:szCs w:val="16"/>
                <w:lang w:val="en-US"/>
              </w:rPr>
              <w:t>3</w:t>
            </w:r>
          </w:p>
        </w:tc>
        <w:tc>
          <w:tcPr>
            <w:tcW w:w="992" w:type="dxa"/>
          </w:tcPr>
          <w:p w14:paraId="42288855" w14:textId="77777777" w:rsidR="0073689C" w:rsidRPr="00B44B19" w:rsidRDefault="0073689C" w:rsidP="00116C5C">
            <w:pPr>
              <w:spacing w:after="0" w:line="240" w:lineRule="auto"/>
              <w:rPr>
                <w:rFonts w:cs="Times New Roman"/>
                <w:sz w:val="16"/>
                <w:szCs w:val="16"/>
              </w:rPr>
            </w:pPr>
            <w:r w:rsidRPr="00B44B19">
              <w:rPr>
                <w:rFonts w:cs="Times New Roman"/>
                <w:noProof/>
                <w:sz w:val="16"/>
                <w:szCs w:val="16"/>
              </w:rPr>
              <w:t>Projektų duomenys arba įmonių apklausos</w:t>
            </w:r>
          </w:p>
        </w:tc>
        <w:tc>
          <w:tcPr>
            <w:tcW w:w="992" w:type="dxa"/>
          </w:tcPr>
          <w:p w14:paraId="2802FD71" w14:textId="77777777" w:rsidR="0073689C" w:rsidRPr="00B44B19" w:rsidRDefault="0073689C" w:rsidP="00116C5C">
            <w:pPr>
              <w:spacing w:after="0" w:line="240" w:lineRule="auto"/>
              <w:rPr>
                <w:rFonts w:cs="Times New Roman"/>
                <w:sz w:val="16"/>
                <w:szCs w:val="16"/>
              </w:rPr>
            </w:pPr>
          </w:p>
        </w:tc>
      </w:tr>
      <w:tr w:rsidR="0073689C" w:rsidRPr="00B44B19" w14:paraId="7868345E" w14:textId="77777777" w:rsidTr="00116C5C">
        <w:trPr>
          <w:trHeight w:val="400"/>
        </w:trPr>
        <w:tc>
          <w:tcPr>
            <w:tcW w:w="1101" w:type="dxa"/>
            <w:vMerge/>
          </w:tcPr>
          <w:p w14:paraId="3E3A9E65"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69DB5F9B"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1FEFB220"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49912FEB"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61E8305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RCR03</w:t>
            </w:r>
          </w:p>
        </w:tc>
        <w:tc>
          <w:tcPr>
            <w:tcW w:w="2977" w:type="dxa"/>
          </w:tcPr>
          <w:p w14:paraId="2393A857"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Produktų ar procesų inovacijas diegiančios mažosios ir vidutinės įmonės (MVĮ)</w:t>
            </w:r>
          </w:p>
        </w:tc>
        <w:tc>
          <w:tcPr>
            <w:tcW w:w="1134" w:type="dxa"/>
          </w:tcPr>
          <w:p w14:paraId="72ADDB8F"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Įmonės</w:t>
            </w:r>
          </w:p>
        </w:tc>
        <w:tc>
          <w:tcPr>
            <w:tcW w:w="992" w:type="dxa"/>
          </w:tcPr>
          <w:p w14:paraId="12CCE182"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58F3E2B6"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1F4D3995" w14:textId="12445F70" w:rsidR="0073689C" w:rsidRPr="00B44B19" w:rsidRDefault="00AD09B3" w:rsidP="00116C5C">
            <w:pPr>
              <w:spacing w:after="0" w:line="240" w:lineRule="auto"/>
              <w:jc w:val="center"/>
              <w:rPr>
                <w:rFonts w:cs="Times New Roman"/>
                <w:sz w:val="16"/>
                <w:szCs w:val="16"/>
              </w:rPr>
            </w:pPr>
            <w:r w:rsidRPr="00B44B19">
              <w:rPr>
                <w:rFonts w:cs="Times New Roman"/>
                <w:sz w:val="16"/>
                <w:szCs w:val="16"/>
                <w:lang w:val="en-US"/>
              </w:rPr>
              <w:t>124</w:t>
            </w:r>
          </w:p>
        </w:tc>
        <w:tc>
          <w:tcPr>
            <w:tcW w:w="992" w:type="dxa"/>
          </w:tcPr>
          <w:p w14:paraId="70A6DE52" w14:textId="77777777" w:rsidR="0073689C" w:rsidRPr="00B44B19" w:rsidRDefault="0073689C" w:rsidP="00116C5C">
            <w:pPr>
              <w:spacing w:after="0" w:line="240" w:lineRule="auto"/>
              <w:rPr>
                <w:rFonts w:cs="Times New Roman"/>
                <w:sz w:val="16"/>
                <w:szCs w:val="16"/>
              </w:rPr>
            </w:pPr>
            <w:r w:rsidRPr="00B44B19">
              <w:rPr>
                <w:rFonts w:cs="Times New Roman"/>
                <w:noProof/>
                <w:sz w:val="16"/>
                <w:szCs w:val="16"/>
              </w:rPr>
              <w:t>Projektų duomenys arba įmonių apklausos</w:t>
            </w:r>
          </w:p>
        </w:tc>
        <w:tc>
          <w:tcPr>
            <w:tcW w:w="992" w:type="dxa"/>
          </w:tcPr>
          <w:p w14:paraId="4CABDDC9" w14:textId="77777777" w:rsidR="0073689C" w:rsidRPr="00B44B19" w:rsidRDefault="0073689C" w:rsidP="00116C5C">
            <w:pPr>
              <w:spacing w:after="0" w:line="240" w:lineRule="auto"/>
              <w:rPr>
                <w:rFonts w:cs="Times New Roman"/>
                <w:sz w:val="16"/>
                <w:szCs w:val="16"/>
              </w:rPr>
            </w:pPr>
          </w:p>
        </w:tc>
      </w:tr>
      <w:tr w:rsidR="0073689C" w:rsidRPr="00B44B19" w14:paraId="6421C90C" w14:textId="77777777" w:rsidTr="00116C5C">
        <w:trPr>
          <w:trHeight w:val="273"/>
        </w:trPr>
        <w:tc>
          <w:tcPr>
            <w:tcW w:w="1101" w:type="dxa"/>
            <w:vMerge/>
          </w:tcPr>
          <w:p w14:paraId="50ADFDDF"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3DF13A70"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6A5BC023"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5CE6FCAB"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247812ED"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RCR04</w:t>
            </w:r>
          </w:p>
        </w:tc>
        <w:tc>
          <w:tcPr>
            <w:tcW w:w="2977" w:type="dxa"/>
          </w:tcPr>
          <w:p w14:paraId="2D7AC9AB" w14:textId="77777777" w:rsidR="0073689C" w:rsidRPr="00B44B19" w:rsidRDefault="0073689C" w:rsidP="000958FE">
            <w:pPr>
              <w:spacing w:after="0" w:line="240" w:lineRule="auto"/>
              <w:rPr>
                <w:rFonts w:cs="Times New Roman"/>
                <w:sz w:val="16"/>
                <w:szCs w:val="16"/>
              </w:rPr>
            </w:pPr>
            <w:r w:rsidRPr="00B44B19">
              <w:rPr>
                <w:rFonts w:cs="Times New Roman"/>
                <w:sz w:val="16"/>
                <w:szCs w:val="16"/>
              </w:rPr>
              <w:t>Prekybos ar organizacines inovacijas diegiančios MVĮ</w:t>
            </w:r>
          </w:p>
        </w:tc>
        <w:tc>
          <w:tcPr>
            <w:tcW w:w="1134" w:type="dxa"/>
          </w:tcPr>
          <w:p w14:paraId="5A97681B"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Įmonės</w:t>
            </w:r>
          </w:p>
        </w:tc>
        <w:tc>
          <w:tcPr>
            <w:tcW w:w="992" w:type="dxa"/>
          </w:tcPr>
          <w:p w14:paraId="7D81BC7B"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7528B15E"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35295890"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272</w:t>
            </w:r>
          </w:p>
        </w:tc>
        <w:tc>
          <w:tcPr>
            <w:tcW w:w="992" w:type="dxa"/>
          </w:tcPr>
          <w:p w14:paraId="0E375812" w14:textId="77777777" w:rsidR="0073689C" w:rsidRPr="00B44B19" w:rsidRDefault="0073689C" w:rsidP="00116C5C">
            <w:pPr>
              <w:spacing w:after="0" w:line="240" w:lineRule="auto"/>
              <w:rPr>
                <w:rFonts w:cs="Times New Roman"/>
                <w:sz w:val="16"/>
                <w:szCs w:val="16"/>
              </w:rPr>
            </w:pPr>
            <w:r w:rsidRPr="00B44B19">
              <w:rPr>
                <w:rFonts w:cs="Times New Roman"/>
                <w:noProof/>
                <w:sz w:val="16"/>
                <w:szCs w:val="16"/>
              </w:rPr>
              <w:t>Projektų duomenys arba įmonių apklausos</w:t>
            </w:r>
          </w:p>
        </w:tc>
        <w:tc>
          <w:tcPr>
            <w:tcW w:w="992" w:type="dxa"/>
          </w:tcPr>
          <w:p w14:paraId="7C3A5026" w14:textId="77777777" w:rsidR="0073689C" w:rsidRPr="00B44B19" w:rsidRDefault="0073689C" w:rsidP="00116C5C">
            <w:pPr>
              <w:spacing w:after="0" w:line="240" w:lineRule="auto"/>
              <w:rPr>
                <w:rFonts w:cs="Times New Roman"/>
                <w:sz w:val="16"/>
                <w:szCs w:val="16"/>
              </w:rPr>
            </w:pPr>
          </w:p>
        </w:tc>
      </w:tr>
      <w:tr w:rsidR="0073689C" w:rsidRPr="00B44B19" w14:paraId="215946EC" w14:textId="77777777" w:rsidTr="00116C5C">
        <w:trPr>
          <w:trHeight w:val="85"/>
        </w:trPr>
        <w:tc>
          <w:tcPr>
            <w:tcW w:w="1101" w:type="dxa"/>
            <w:vMerge/>
          </w:tcPr>
          <w:p w14:paraId="7F2ACC50"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27ED1C0A"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4E597297"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588DE538"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569F716E"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RCR05</w:t>
            </w:r>
          </w:p>
        </w:tc>
        <w:tc>
          <w:tcPr>
            <w:tcW w:w="2977" w:type="dxa"/>
          </w:tcPr>
          <w:p w14:paraId="3DCF6BDE" w14:textId="77777777" w:rsidR="0073689C" w:rsidRPr="00B44B19" w:rsidRDefault="0073689C" w:rsidP="000958FE">
            <w:pPr>
              <w:spacing w:after="0" w:line="240" w:lineRule="auto"/>
              <w:rPr>
                <w:rFonts w:cs="Times New Roman"/>
                <w:sz w:val="16"/>
                <w:szCs w:val="16"/>
              </w:rPr>
            </w:pPr>
            <w:r w:rsidRPr="00B44B19">
              <w:rPr>
                <w:rFonts w:cs="Times New Roman"/>
                <w:sz w:val="16"/>
                <w:szCs w:val="16"/>
              </w:rPr>
              <w:t>Vidines inovacijas vykdančios MVĮ</w:t>
            </w:r>
          </w:p>
        </w:tc>
        <w:tc>
          <w:tcPr>
            <w:tcW w:w="1134" w:type="dxa"/>
          </w:tcPr>
          <w:p w14:paraId="5969F47F"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Įmonės</w:t>
            </w:r>
          </w:p>
        </w:tc>
        <w:tc>
          <w:tcPr>
            <w:tcW w:w="992" w:type="dxa"/>
          </w:tcPr>
          <w:p w14:paraId="50D5859A"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2A733A24"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218A3EB6"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500</w:t>
            </w:r>
          </w:p>
        </w:tc>
        <w:tc>
          <w:tcPr>
            <w:tcW w:w="992" w:type="dxa"/>
          </w:tcPr>
          <w:p w14:paraId="4F949878" w14:textId="77777777" w:rsidR="0073689C" w:rsidRPr="00B44B19" w:rsidRDefault="0073689C" w:rsidP="00116C5C">
            <w:pPr>
              <w:spacing w:after="0" w:line="240" w:lineRule="auto"/>
              <w:rPr>
                <w:rFonts w:cs="Times New Roman"/>
                <w:sz w:val="16"/>
                <w:szCs w:val="16"/>
              </w:rPr>
            </w:pPr>
            <w:r w:rsidRPr="00B44B19">
              <w:rPr>
                <w:rFonts w:cs="Times New Roman"/>
                <w:noProof/>
                <w:sz w:val="16"/>
                <w:szCs w:val="16"/>
              </w:rPr>
              <w:t>Projektų duomenys arba įmonių apklausos</w:t>
            </w:r>
          </w:p>
        </w:tc>
        <w:tc>
          <w:tcPr>
            <w:tcW w:w="992" w:type="dxa"/>
          </w:tcPr>
          <w:p w14:paraId="12AA10F5" w14:textId="77777777" w:rsidR="0073689C" w:rsidRPr="00B44B19" w:rsidRDefault="0073689C" w:rsidP="00116C5C">
            <w:pPr>
              <w:spacing w:after="0" w:line="240" w:lineRule="auto"/>
              <w:rPr>
                <w:rFonts w:cs="Times New Roman"/>
                <w:sz w:val="16"/>
                <w:szCs w:val="16"/>
              </w:rPr>
            </w:pPr>
          </w:p>
        </w:tc>
      </w:tr>
      <w:tr w:rsidR="0073689C" w:rsidRPr="00B44B19" w14:paraId="64F5297C" w14:textId="77777777" w:rsidTr="00116C5C">
        <w:trPr>
          <w:trHeight w:val="330"/>
        </w:trPr>
        <w:tc>
          <w:tcPr>
            <w:tcW w:w="1101" w:type="dxa"/>
            <w:vMerge/>
          </w:tcPr>
          <w:p w14:paraId="79027CE2"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6F7DF04C"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4D7879BC"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21E3115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1F1C191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RCR06</w:t>
            </w:r>
          </w:p>
        </w:tc>
        <w:tc>
          <w:tcPr>
            <w:tcW w:w="2977" w:type="dxa"/>
          </w:tcPr>
          <w:p w14:paraId="13FC01FE"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Pateiktos patentų paraiškos</w:t>
            </w:r>
          </w:p>
        </w:tc>
        <w:tc>
          <w:tcPr>
            <w:tcW w:w="1134" w:type="dxa"/>
          </w:tcPr>
          <w:p w14:paraId="45E5374D" w14:textId="77777777" w:rsidR="0073689C" w:rsidRPr="00B44B19" w:rsidRDefault="0073689C" w:rsidP="00E02F8E">
            <w:pPr>
              <w:spacing w:after="0" w:line="240" w:lineRule="auto"/>
              <w:rPr>
                <w:rFonts w:cs="Times New Roman"/>
                <w:sz w:val="16"/>
                <w:szCs w:val="16"/>
              </w:rPr>
            </w:pPr>
            <w:r w:rsidRPr="00B44B19">
              <w:rPr>
                <w:rFonts w:cs="Times New Roman"/>
                <w:sz w:val="16"/>
                <w:szCs w:val="16"/>
              </w:rPr>
              <w:t>Patentų paraiškos</w:t>
            </w:r>
          </w:p>
        </w:tc>
        <w:tc>
          <w:tcPr>
            <w:tcW w:w="992" w:type="dxa"/>
          </w:tcPr>
          <w:p w14:paraId="05877080"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37F384B7"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14372C63" w14:textId="7E7E6342" w:rsidR="0073689C" w:rsidRPr="00B44B19" w:rsidRDefault="00766206" w:rsidP="00116C5C">
            <w:pPr>
              <w:spacing w:after="0" w:line="240" w:lineRule="auto"/>
              <w:jc w:val="center"/>
              <w:rPr>
                <w:rFonts w:cs="Times New Roman"/>
                <w:sz w:val="16"/>
                <w:szCs w:val="16"/>
              </w:rPr>
            </w:pPr>
            <w:r w:rsidRPr="00B44B19">
              <w:rPr>
                <w:rFonts w:cs="Times New Roman"/>
                <w:sz w:val="16"/>
                <w:szCs w:val="16"/>
              </w:rPr>
              <w:t>60</w:t>
            </w:r>
          </w:p>
        </w:tc>
        <w:tc>
          <w:tcPr>
            <w:tcW w:w="992" w:type="dxa"/>
          </w:tcPr>
          <w:p w14:paraId="23AE8584"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7944F197"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 xml:space="preserve"> </w:t>
            </w:r>
          </w:p>
        </w:tc>
      </w:tr>
      <w:tr w:rsidR="0073689C" w:rsidRPr="00B44B19" w14:paraId="3F4A9345" w14:textId="77777777" w:rsidTr="00116C5C">
        <w:trPr>
          <w:trHeight w:val="316"/>
        </w:trPr>
        <w:tc>
          <w:tcPr>
            <w:tcW w:w="1101" w:type="dxa"/>
            <w:vMerge/>
          </w:tcPr>
          <w:p w14:paraId="2C456F29"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7EC64E0F"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18AD914F"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55AC40E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4C433A35"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RCR06</w:t>
            </w:r>
          </w:p>
        </w:tc>
        <w:tc>
          <w:tcPr>
            <w:tcW w:w="2977" w:type="dxa"/>
          </w:tcPr>
          <w:p w14:paraId="4A1CDDFE"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Pateiktos patentų paraiškos</w:t>
            </w:r>
          </w:p>
        </w:tc>
        <w:tc>
          <w:tcPr>
            <w:tcW w:w="1134" w:type="dxa"/>
          </w:tcPr>
          <w:p w14:paraId="507D31D7"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Patentų paraiškos</w:t>
            </w:r>
          </w:p>
        </w:tc>
        <w:tc>
          <w:tcPr>
            <w:tcW w:w="992" w:type="dxa"/>
          </w:tcPr>
          <w:p w14:paraId="6DEDD367"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57D40F80"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7D638FB7" w14:textId="51B2D0FD" w:rsidR="0073689C" w:rsidRPr="00B44B19" w:rsidRDefault="00766206" w:rsidP="00116C5C">
            <w:pPr>
              <w:spacing w:after="0" w:line="240" w:lineRule="auto"/>
              <w:jc w:val="center"/>
              <w:rPr>
                <w:rFonts w:cs="Times New Roman"/>
                <w:sz w:val="16"/>
                <w:szCs w:val="16"/>
              </w:rPr>
            </w:pPr>
            <w:r w:rsidRPr="00B44B19">
              <w:rPr>
                <w:rFonts w:cs="Times New Roman"/>
                <w:sz w:val="16"/>
                <w:szCs w:val="16"/>
              </w:rPr>
              <w:t>39</w:t>
            </w:r>
          </w:p>
        </w:tc>
        <w:tc>
          <w:tcPr>
            <w:tcW w:w="992" w:type="dxa"/>
          </w:tcPr>
          <w:p w14:paraId="6F8D671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1EB92198"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 xml:space="preserve"> </w:t>
            </w:r>
          </w:p>
        </w:tc>
      </w:tr>
      <w:tr w:rsidR="0073689C" w:rsidRPr="00B44B19" w14:paraId="6F784AFB" w14:textId="77777777" w:rsidTr="00116C5C">
        <w:trPr>
          <w:trHeight w:val="363"/>
        </w:trPr>
        <w:tc>
          <w:tcPr>
            <w:tcW w:w="1101" w:type="dxa"/>
            <w:vMerge/>
          </w:tcPr>
          <w:p w14:paraId="2B0089BF"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4EB12965"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7D8DECB1"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48BE3CCF"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452FAA70"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RCR08</w:t>
            </w:r>
          </w:p>
        </w:tc>
        <w:tc>
          <w:tcPr>
            <w:tcW w:w="2977" w:type="dxa"/>
          </w:tcPr>
          <w:p w14:paraId="50AA7157" w14:textId="77777777" w:rsidR="0073689C" w:rsidRPr="00B44B19" w:rsidRDefault="0073689C" w:rsidP="000958FE">
            <w:pPr>
              <w:spacing w:after="0" w:line="240" w:lineRule="auto"/>
              <w:rPr>
                <w:rFonts w:cs="Times New Roman"/>
                <w:sz w:val="16"/>
                <w:szCs w:val="16"/>
              </w:rPr>
            </w:pPr>
            <w:r w:rsidRPr="00B44B19">
              <w:rPr>
                <w:rFonts w:cs="Times New Roman"/>
                <w:sz w:val="16"/>
                <w:szCs w:val="16"/>
              </w:rPr>
              <w:t>Remiamų projektų leidiniai</w:t>
            </w:r>
          </w:p>
        </w:tc>
        <w:tc>
          <w:tcPr>
            <w:tcW w:w="1134" w:type="dxa"/>
          </w:tcPr>
          <w:p w14:paraId="35CAEA9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Leidiniai</w:t>
            </w:r>
          </w:p>
        </w:tc>
        <w:tc>
          <w:tcPr>
            <w:tcW w:w="992" w:type="dxa"/>
          </w:tcPr>
          <w:p w14:paraId="4496E12C"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6B493CE8"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73B28E02" w14:textId="5408570C" w:rsidR="0073689C" w:rsidRPr="00B44B19" w:rsidRDefault="00766206" w:rsidP="00ED10F6">
            <w:pPr>
              <w:spacing w:after="0" w:line="240" w:lineRule="auto"/>
              <w:jc w:val="center"/>
              <w:rPr>
                <w:rFonts w:cs="Times New Roman"/>
                <w:sz w:val="16"/>
                <w:szCs w:val="16"/>
              </w:rPr>
            </w:pPr>
            <w:r w:rsidRPr="00B44B19">
              <w:rPr>
                <w:rFonts w:cs="Times New Roman"/>
                <w:sz w:val="16"/>
                <w:szCs w:val="16"/>
              </w:rPr>
              <w:t>355</w:t>
            </w:r>
          </w:p>
        </w:tc>
        <w:tc>
          <w:tcPr>
            <w:tcW w:w="992" w:type="dxa"/>
          </w:tcPr>
          <w:p w14:paraId="23FEDB2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0329A3A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 xml:space="preserve"> </w:t>
            </w:r>
          </w:p>
        </w:tc>
      </w:tr>
      <w:tr w:rsidR="0073689C" w:rsidRPr="00B44B19" w14:paraId="63C0C07E" w14:textId="77777777" w:rsidTr="00116C5C">
        <w:trPr>
          <w:trHeight w:val="411"/>
        </w:trPr>
        <w:tc>
          <w:tcPr>
            <w:tcW w:w="1101" w:type="dxa"/>
            <w:vMerge/>
          </w:tcPr>
          <w:p w14:paraId="74E16F0D"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076E3DD6"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2B46F4D0"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5C2AA0A2"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6A615538"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RCR08</w:t>
            </w:r>
          </w:p>
        </w:tc>
        <w:tc>
          <w:tcPr>
            <w:tcW w:w="2977" w:type="dxa"/>
          </w:tcPr>
          <w:p w14:paraId="330F348A" w14:textId="77777777" w:rsidR="0073689C" w:rsidRPr="00B44B19" w:rsidRDefault="0073689C" w:rsidP="000958FE">
            <w:pPr>
              <w:spacing w:after="0" w:line="240" w:lineRule="auto"/>
              <w:rPr>
                <w:rFonts w:cs="Times New Roman"/>
                <w:sz w:val="16"/>
                <w:szCs w:val="16"/>
              </w:rPr>
            </w:pPr>
            <w:r w:rsidRPr="00B44B19">
              <w:rPr>
                <w:rFonts w:cs="Times New Roman"/>
                <w:sz w:val="16"/>
                <w:szCs w:val="16"/>
              </w:rPr>
              <w:t>Remiamų projektų leidiniai</w:t>
            </w:r>
          </w:p>
        </w:tc>
        <w:tc>
          <w:tcPr>
            <w:tcW w:w="1134" w:type="dxa"/>
          </w:tcPr>
          <w:p w14:paraId="695F5AE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Leidiniai</w:t>
            </w:r>
          </w:p>
        </w:tc>
        <w:tc>
          <w:tcPr>
            <w:tcW w:w="992" w:type="dxa"/>
          </w:tcPr>
          <w:p w14:paraId="0A2E9E9E"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3987D94F"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2BA8713C" w14:textId="5F0038BB" w:rsidR="0073689C" w:rsidRPr="00B44B19" w:rsidRDefault="00766206" w:rsidP="00116C5C">
            <w:pPr>
              <w:spacing w:after="0" w:line="240" w:lineRule="auto"/>
              <w:jc w:val="center"/>
              <w:rPr>
                <w:rFonts w:cs="Times New Roman"/>
                <w:sz w:val="16"/>
                <w:szCs w:val="16"/>
              </w:rPr>
            </w:pPr>
            <w:r w:rsidRPr="00B44B19">
              <w:rPr>
                <w:rFonts w:cs="Times New Roman"/>
                <w:sz w:val="16"/>
                <w:szCs w:val="16"/>
              </w:rPr>
              <w:t>212</w:t>
            </w:r>
          </w:p>
        </w:tc>
        <w:tc>
          <w:tcPr>
            <w:tcW w:w="992" w:type="dxa"/>
          </w:tcPr>
          <w:p w14:paraId="780CD3D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1F282FD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 xml:space="preserve"> </w:t>
            </w:r>
          </w:p>
        </w:tc>
      </w:tr>
      <w:tr w:rsidR="0073689C" w:rsidRPr="00B44B19" w14:paraId="0E326F7D" w14:textId="77777777" w:rsidTr="00116C5C">
        <w:trPr>
          <w:trHeight w:val="527"/>
        </w:trPr>
        <w:tc>
          <w:tcPr>
            <w:tcW w:w="1101" w:type="dxa"/>
            <w:vMerge/>
          </w:tcPr>
          <w:p w14:paraId="74A59D1A"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1088EDE7"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701B6958"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66A5382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6B68DCB4"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30E7D4B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Investicijas gavusių mokslo ir studijų institucijų gautų MTEP užsakymų skaičius</w:t>
            </w:r>
          </w:p>
        </w:tc>
        <w:tc>
          <w:tcPr>
            <w:tcW w:w="1134" w:type="dxa"/>
          </w:tcPr>
          <w:p w14:paraId="48D9072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48F3B78F"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48D5CDBA"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4D423E2C" w14:textId="1B97154F" w:rsidR="0073689C" w:rsidRPr="00B44B19" w:rsidRDefault="00AD09B3" w:rsidP="00FB0CF7">
            <w:pPr>
              <w:spacing w:after="0" w:line="240" w:lineRule="auto"/>
              <w:jc w:val="center"/>
              <w:rPr>
                <w:rFonts w:cs="Times New Roman"/>
                <w:sz w:val="16"/>
                <w:szCs w:val="16"/>
              </w:rPr>
            </w:pPr>
            <w:r w:rsidRPr="00B44B19">
              <w:rPr>
                <w:rFonts w:cs="Times New Roman"/>
                <w:sz w:val="16"/>
                <w:szCs w:val="16"/>
              </w:rPr>
              <w:t>84</w:t>
            </w:r>
          </w:p>
        </w:tc>
        <w:tc>
          <w:tcPr>
            <w:tcW w:w="992" w:type="dxa"/>
          </w:tcPr>
          <w:p w14:paraId="01580384"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288B9727"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 xml:space="preserve"> </w:t>
            </w:r>
          </w:p>
        </w:tc>
      </w:tr>
      <w:tr w:rsidR="0073689C" w:rsidRPr="00B44B19" w14:paraId="2B6BEC1D" w14:textId="77777777" w:rsidTr="00116C5C">
        <w:trPr>
          <w:trHeight w:val="625"/>
        </w:trPr>
        <w:tc>
          <w:tcPr>
            <w:tcW w:w="1101" w:type="dxa"/>
            <w:vMerge/>
          </w:tcPr>
          <w:p w14:paraId="3FEBD5DB"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557800AC"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77BE9B00"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664D4B0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3E4356E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3868D6B2"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Investicijas gavusių mokslo ir studijų institucijų gautų MTEP užsakymų skaičius</w:t>
            </w:r>
          </w:p>
        </w:tc>
        <w:tc>
          <w:tcPr>
            <w:tcW w:w="1134" w:type="dxa"/>
          </w:tcPr>
          <w:p w14:paraId="29014627"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30ED17B1"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12B2ACC2"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6B9A3E94" w14:textId="17F589B9" w:rsidR="0073689C" w:rsidRPr="00B44B19" w:rsidRDefault="0073689C" w:rsidP="00FB0CF7">
            <w:pPr>
              <w:spacing w:after="0" w:line="240" w:lineRule="auto"/>
              <w:jc w:val="center"/>
              <w:rPr>
                <w:rFonts w:cs="Times New Roman"/>
                <w:sz w:val="16"/>
                <w:szCs w:val="16"/>
              </w:rPr>
            </w:pPr>
            <w:r w:rsidRPr="00B44B19">
              <w:rPr>
                <w:rFonts w:cs="Times New Roman"/>
                <w:sz w:val="16"/>
                <w:szCs w:val="16"/>
              </w:rPr>
              <w:t>85</w:t>
            </w:r>
          </w:p>
        </w:tc>
        <w:tc>
          <w:tcPr>
            <w:tcW w:w="992" w:type="dxa"/>
          </w:tcPr>
          <w:p w14:paraId="175FA52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4B4EDC72"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 xml:space="preserve"> </w:t>
            </w:r>
          </w:p>
        </w:tc>
      </w:tr>
      <w:tr w:rsidR="0073689C" w:rsidRPr="00B44B19" w14:paraId="6BAF8017" w14:textId="77777777" w:rsidTr="00116C5C">
        <w:trPr>
          <w:trHeight w:val="404"/>
        </w:trPr>
        <w:tc>
          <w:tcPr>
            <w:tcW w:w="1101" w:type="dxa"/>
            <w:vMerge/>
          </w:tcPr>
          <w:p w14:paraId="664DE12F"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54C4C14F"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1B38C97F"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6C96BFC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6E487A2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6D82246B"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MTEP veiklos produktas</w:t>
            </w:r>
          </w:p>
        </w:tc>
        <w:tc>
          <w:tcPr>
            <w:tcW w:w="1134" w:type="dxa"/>
          </w:tcPr>
          <w:p w14:paraId="34BC1462"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2E66C2A7"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37464C59"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1EEBB758" w14:textId="1422A746" w:rsidR="0073689C" w:rsidRPr="00B44B19" w:rsidRDefault="009C36F8" w:rsidP="00116C5C">
            <w:pPr>
              <w:spacing w:after="0" w:line="240" w:lineRule="auto"/>
              <w:jc w:val="center"/>
              <w:rPr>
                <w:rFonts w:cs="Times New Roman"/>
                <w:sz w:val="16"/>
                <w:szCs w:val="16"/>
                <w:lang w:val="en-US"/>
              </w:rPr>
            </w:pPr>
            <w:r w:rsidRPr="00B44B19">
              <w:rPr>
                <w:rFonts w:cs="Times New Roman"/>
                <w:sz w:val="16"/>
                <w:szCs w:val="16"/>
                <w:lang w:val="en-US"/>
              </w:rPr>
              <w:t>22</w:t>
            </w:r>
          </w:p>
        </w:tc>
        <w:tc>
          <w:tcPr>
            <w:tcW w:w="992" w:type="dxa"/>
          </w:tcPr>
          <w:p w14:paraId="53E5699C"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231159D2" w14:textId="77777777" w:rsidR="0073689C" w:rsidRPr="00B44B19" w:rsidRDefault="0073689C" w:rsidP="00116C5C">
            <w:pPr>
              <w:spacing w:after="0" w:line="240" w:lineRule="auto"/>
              <w:rPr>
                <w:rFonts w:cs="Times New Roman"/>
                <w:sz w:val="16"/>
                <w:szCs w:val="16"/>
                <w:highlight w:val="yellow"/>
              </w:rPr>
            </w:pPr>
          </w:p>
        </w:tc>
      </w:tr>
      <w:tr w:rsidR="0073689C" w:rsidRPr="00B44B19" w14:paraId="723361DB" w14:textId="77777777" w:rsidTr="00116C5C">
        <w:trPr>
          <w:trHeight w:val="625"/>
        </w:trPr>
        <w:tc>
          <w:tcPr>
            <w:tcW w:w="1101" w:type="dxa"/>
            <w:vMerge/>
          </w:tcPr>
          <w:p w14:paraId="46D1D20A"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7A73A1D2"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4113ED79"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348A224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3252108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114FF15E"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MTEP veiklos produktas</w:t>
            </w:r>
          </w:p>
        </w:tc>
        <w:tc>
          <w:tcPr>
            <w:tcW w:w="1134" w:type="dxa"/>
          </w:tcPr>
          <w:p w14:paraId="42EB6815"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5C04CBAA"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3F061106"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66C7EBF8"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lang w:val="en-US"/>
              </w:rPr>
              <w:t>8</w:t>
            </w:r>
          </w:p>
        </w:tc>
        <w:tc>
          <w:tcPr>
            <w:tcW w:w="992" w:type="dxa"/>
          </w:tcPr>
          <w:p w14:paraId="1EB46C4D"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0AAB8C55" w14:textId="77777777" w:rsidR="0073689C" w:rsidRPr="00B44B19" w:rsidRDefault="0073689C" w:rsidP="00116C5C">
            <w:pPr>
              <w:spacing w:after="0" w:line="240" w:lineRule="auto"/>
              <w:rPr>
                <w:rFonts w:cs="Times New Roman"/>
                <w:sz w:val="16"/>
                <w:szCs w:val="16"/>
                <w:highlight w:val="yellow"/>
              </w:rPr>
            </w:pPr>
          </w:p>
        </w:tc>
      </w:tr>
      <w:tr w:rsidR="0073689C" w:rsidRPr="00B44B19" w14:paraId="3B059AE6" w14:textId="77777777" w:rsidTr="00116C5C">
        <w:trPr>
          <w:trHeight w:val="625"/>
        </w:trPr>
        <w:tc>
          <w:tcPr>
            <w:tcW w:w="1101" w:type="dxa"/>
            <w:vMerge/>
          </w:tcPr>
          <w:p w14:paraId="383E0B9D"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3F506605"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0A669B72"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1D661EC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71B7CB9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RCR102</w:t>
            </w:r>
          </w:p>
        </w:tc>
        <w:tc>
          <w:tcPr>
            <w:tcW w:w="2977" w:type="dxa"/>
          </w:tcPr>
          <w:p w14:paraId="330AB0D5"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Paramą gavusiuose subjektuose sukurtos mokslo tiriamojo darbo vietos</w:t>
            </w:r>
          </w:p>
        </w:tc>
        <w:tc>
          <w:tcPr>
            <w:tcW w:w="1134" w:type="dxa"/>
          </w:tcPr>
          <w:p w14:paraId="3C2EA5C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Vienų metų etato ekvivalentai</w:t>
            </w:r>
          </w:p>
        </w:tc>
        <w:tc>
          <w:tcPr>
            <w:tcW w:w="992" w:type="dxa"/>
          </w:tcPr>
          <w:p w14:paraId="649AD1A8"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2269F85E"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5669FBEC" w14:textId="1077F2B0" w:rsidR="0073689C" w:rsidRPr="00B44B19" w:rsidRDefault="009C36F8" w:rsidP="00116C5C">
            <w:pPr>
              <w:spacing w:after="0" w:line="240" w:lineRule="auto"/>
              <w:jc w:val="center"/>
              <w:rPr>
                <w:rFonts w:cs="Times New Roman"/>
                <w:sz w:val="16"/>
                <w:szCs w:val="16"/>
              </w:rPr>
            </w:pPr>
            <w:r w:rsidRPr="00B44B19">
              <w:rPr>
                <w:rFonts w:cs="Times New Roman"/>
                <w:sz w:val="16"/>
                <w:szCs w:val="16"/>
              </w:rPr>
              <w:t>12</w:t>
            </w:r>
          </w:p>
        </w:tc>
        <w:tc>
          <w:tcPr>
            <w:tcW w:w="992" w:type="dxa"/>
          </w:tcPr>
          <w:p w14:paraId="3AF27B67"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03750320" w14:textId="77777777" w:rsidR="0073689C" w:rsidRPr="00B44B19" w:rsidRDefault="0073689C" w:rsidP="00116C5C">
            <w:pPr>
              <w:spacing w:after="0" w:line="240" w:lineRule="auto"/>
              <w:rPr>
                <w:rFonts w:cs="Times New Roman"/>
                <w:sz w:val="16"/>
                <w:szCs w:val="16"/>
              </w:rPr>
            </w:pPr>
          </w:p>
        </w:tc>
      </w:tr>
      <w:tr w:rsidR="0073689C" w:rsidRPr="00B44B19" w14:paraId="01567964" w14:textId="77777777" w:rsidTr="00116C5C">
        <w:trPr>
          <w:trHeight w:val="625"/>
        </w:trPr>
        <w:tc>
          <w:tcPr>
            <w:tcW w:w="1101" w:type="dxa"/>
            <w:vMerge/>
          </w:tcPr>
          <w:p w14:paraId="61142CD7"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5E09124A"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1D0F8716"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77BE2789"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54FFBD16"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RCR102</w:t>
            </w:r>
          </w:p>
        </w:tc>
        <w:tc>
          <w:tcPr>
            <w:tcW w:w="2977" w:type="dxa"/>
          </w:tcPr>
          <w:p w14:paraId="7205DAD1"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Paramą gavusiuose subjektuose sukurtos mokslo tiriamojo darbo vietos</w:t>
            </w:r>
          </w:p>
        </w:tc>
        <w:tc>
          <w:tcPr>
            <w:tcW w:w="1134" w:type="dxa"/>
          </w:tcPr>
          <w:p w14:paraId="65A87E5B"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Vienų metų etato ekvivalentai</w:t>
            </w:r>
          </w:p>
        </w:tc>
        <w:tc>
          <w:tcPr>
            <w:tcW w:w="992" w:type="dxa"/>
          </w:tcPr>
          <w:p w14:paraId="0C0461C6"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1F278DF2"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2021</w:t>
            </w:r>
          </w:p>
        </w:tc>
        <w:tc>
          <w:tcPr>
            <w:tcW w:w="1276" w:type="dxa"/>
          </w:tcPr>
          <w:p w14:paraId="4B7D4C6A" w14:textId="64A5FDA3" w:rsidR="0073689C" w:rsidRPr="00B44B19" w:rsidRDefault="009C36F8" w:rsidP="00116C5C">
            <w:pPr>
              <w:spacing w:after="0" w:line="240" w:lineRule="auto"/>
              <w:jc w:val="center"/>
              <w:rPr>
                <w:rFonts w:cs="Times New Roman"/>
                <w:sz w:val="16"/>
                <w:szCs w:val="16"/>
              </w:rPr>
            </w:pPr>
            <w:r w:rsidRPr="00B44B19">
              <w:rPr>
                <w:rFonts w:cs="Times New Roman"/>
                <w:sz w:val="16"/>
                <w:szCs w:val="16"/>
              </w:rPr>
              <w:t>642</w:t>
            </w:r>
          </w:p>
        </w:tc>
        <w:tc>
          <w:tcPr>
            <w:tcW w:w="992" w:type="dxa"/>
          </w:tcPr>
          <w:p w14:paraId="20E94DA2"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31541280" w14:textId="77777777" w:rsidR="0073689C" w:rsidRPr="00B44B19" w:rsidRDefault="0073689C" w:rsidP="00116C5C">
            <w:pPr>
              <w:spacing w:after="0" w:line="240" w:lineRule="auto"/>
              <w:rPr>
                <w:rFonts w:cs="Times New Roman"/>
                <w:sz w:val="16"/>
                <w:szCs w:val="16"/>
              </w:rPr>
            </w:pPr>
          </w:p>
        </w:tc>
      </w:tr>
      <w:tr w:rsidR="0073689C" w:rsidRPr="00B44B19" w14:paraId="73B11430" w14:textId="77777777" w:rsidTr="00116C5C">
        <w:trPr>
          <w:trHeight w:val="625"/>
        </w:trPr>
        <w:tc>
          <w:tcPr>
            <w:tcW w:w="1101" w:type="dxa"/>
            <w:vMerge/>
          </w:tcPr>
          <w:p w14:paraId="6D7BB057"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3D28F098"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66A2C751"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0DC54EF0"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6571FEDD"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614B4E88"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Ikiprekybinio pirkimo dalyvio pateiktas rinkai inovatyvusis produktas</w:t>
            </w:r>
          </w:p>
        </w:tc>
        <w:tc>
          <w:tcPr>
            <w:tcW w:w="1134" w:type="dxa"/>
          </w:tcPr>
          <w:p w14:paraId="2110A6F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16E28A0F"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0BD70EA2"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lang w:val="en-US"/>
              </w:rPr>
              <w:t>2021</w:t>
            </w:r>
          </w:p>
        </w:tc>
        <w:tc>
          <w:tcPr>
            <w:tcW w:w="1276" w:type="dxa"/>
          </w:tcPr>
          <w:p w14:paraId="545924A2" w14:textId="4F003CCB" w:rsidR="0073689C" w:rsidRPr="00B44B19" w:rsidRDefault="009C36F8" w:rsidP="00116C5C">
            <w:pPr>
              <w:spacing w:after="0" w:line="240" w:lineRule="auto"/>
              <w:jc w:val="center"/>
              <w:rPr>
                <w:rFonts w:cs="Times New Roman"/>
                <w:sz w:val="16"/>
                <w:szCs w:val="16"/>
              </w:rPr>
            </w:pPr>
            <w:r w:rsidRPr="00B44B19">
              <w:rPr>
                <w:rFonts w:cs="Times New Roman"/>
                <w:sz w:val="16"/>
                <w:szCs w:val="16"/>
                <w:lang w:val="en-US"/>
              </w:rPr>
              <w:t>6</w:t>
            </w:r>
          </w:p>
        </w:tc>
        <w:tc>
          <w:tcPr>
            <w:tcW w:w="992" w:type="dxa"/>
          </w:tcPr>
          <w:p w14:paraId="7ADF3523"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60067B32" w14:textId="77777777" w:rsidR="0073689C" w:rsidRPr="00B44B19" w:rsidRDefault="0073689C" w:rsidP="00116C5C">
            <w:pPr>
              <w:spacing w:after="0" w:line="240" w:lineRule="auto"/>
              <w:rPr>
                <w:rFonts w:cs="Times New Roman"/>
                <w:sz w:val="16"/>
                <w:szCs w:val="16"/>
              </w:rPr>
            </w:pPr>
          </w:p>
        </w:tc>
      </w:tr>
      <w:tr w:rsidR="0073689C" w:rsidRPr="00B44B19" w14:paraId="7745D06E" w14:textId="77777777" w:rsidTr="00116C5C">
        <w:trPr>
          <w:trHeight w:val="625"/>
        </w:trPr>
        <w:tc>
          <w:tcPr>
            <w:tcW w:w="1101" w:type="dxa"/>
            <w:vMerge/>
          </w:tcPr>
          <w:p w14:paraId="6B606C45" w14:textId="77777777" w:rsidR="0073689C" w:rsidRPr="00B44B19" w:rsidRDefault="0073689C" w:rsidP="00116C5C">
            <w:pPr>
              <w:spacing w:after="0" w:line="240" w:lineRule="auto"/>
              <w:jc w:val="both"/>
              <w:rPr>
                <w:rFonts w:cs="Times New Roman"/>
                <w:b/>
                <w:noProof/>
                <w:sz w:val="16"/>
                <w:szCs w:val="16"/>
              </w:rPr>
            </w:pPr>
          </w:p>
        </w:tc>
        <w:tc>
          <w:tcPr>
            <w:tcW w:w="992" w:type="dxa"/>
            <w:vMerge/>
          </w:tcPr>
          <w:p w14:paraId="6D269690" w14:textId="77777777" w:rsidR="0073689C" w:rsidRPr="00B44B19" w:rsidRDefault="0073689C" w:rsidP="00116C5C">
            <w:pPr>
              <w:spacing w:after="0" w:line="240" w:lineRule="auto"/>
              <w:jc w:val="both"/>
              <w:rPr>
                <w:rFonts w:cs="Times New Roman"/>
                <w:b/>
                <w:noProof/>
                <w:sz w:val="16"/>
                <w:szCs w:val="16"/>
              </w:rPr>
            </w:pPr>
          </w:p>
        </w:tc>
        <w:tc>
          <w:tcPr>
            <w:tcW w:w="850" w:type="dxa"/>
            <w:vMerge/>
          </w:tcPr>
          <w:p w14:paraId="7C6B0A1F" w14:textId="77777777" w:rsidR="0073689C" w:rsidRPr="00B44B19" w:rsidRDefault="0073689C" w:rsidP="00116C5C">
            <w:pPr>
              <w:spacing w:after="0" w:line="240" w:lineRule="auto"/>
              <w:jc w:val="both"/>
              <w:rPr>
                <w:rFonts w:cs="Times New Roman"/>
                <w:b/>
                <w:noProof/>
                <w:sz w:val="16"/>
                <w:szCs w:val="16"/>
              </w:rPr>
            </w:pPr>
          </w:p>
        </w:tc>
        <w:tc>
          <w:tcPr>
            <w:tcW w:w="1134" w:type="dxa"/>
          </w:tcPr>
          <w:p w14:paraId="31703230"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384216B5"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5A6DEB3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Ikiprekybinio pirkimo dalyvio pateiktas rinkai inovatyvusis produktas</w:t>
            </w:r>
          </w:p>
        </w:tc>
        <w:tc>
          <w:tcPr>
            <w:tcW w:w="1134" w:type="dxa"/>
          </w:tcPr>
          <w:p w14:paraId="45E6093B"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24FCEB43"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15DA201E" w14:textId="77777777" w:rsidR="0073689C" w:rsidRPr="00B44B19" w:rsidRDefault="0073689C" w:rsidP="00116C5C">
            <w:pPr>
              <w:spacing w:after="0" w:line="240" w:lineRule="auto"/>
              <w:jc w:val="center"/>
              <w:rPr>
                <w:rFonts w:cs="Times New Roman"/>
                <w:sz w:val="16"/>
                <w:szCs w:val="16"/>
              </w:rPr>
            </w:pPr>
            <w:r w:rsidRPr="00B44B19">
              <w:rPr>
                <w:rFonts w:cs="Times New Roman"/>
                <w:sz w:val="16"/>
                <w:szCs w:val="16"/>
                <w:lang w:val="en-US"/>
              </w:rPr>
              <w:t>2021</w:t>
            </w:r>
          </w:p>
        </w:tc>
        <w:tc>
          <w:tcPr>
            <w:tcW w:w="1276" w:type="dxa"/>
          </w:tcPr>
          <w:p w14:paraId="6C0EC9E8" w14:textId="572904C5" w:rsidR="0073689C" w:rsidRPr="00B44B19" w:rsidRDefault="009C36F8" w:rsidP="00116C5C">
            <w:pPr>
              <w:spacing w:after="0" w:line="240" w:lineRule="auto"/>
              <w:jc w:val="center"/>
              <w:rPr>
                <w:rFonts w:cs="Times New Roman"/>
                <w:sz w:val="16"/>
                <w:szCs w:val="16"/>
              </w:rPr>
            </w:pPr>
            <w:r w:rsidRPr="00B44B19">
              <w:rPr>
                <w:rFonts w:cs="Times New Roman"/>
                <w:sz w:val="16"/>
                <w:szCs w:val="16"/>
                <w:lang w:val="en-US"/>
              </w:rPr>
              <w:t>8</w:t>
            </w:r>
          </w:p>
        </w:tc>
        <w:tc>
          <w:tcPr>
            <w:tcW w:w="992" w:type="dxa"/>
          </w:tcPr>
          <w:p w14:paraId="0E64AD2A" w14:textId="77777777" w:rsidR="0073689C" w:rsidRPr="00B44B19" w:rsidRDefault="0073689C"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4753DCAE" w14:textId="77777777" w:rsidR="0073689C" w:rsidRPr="00B44B19" w:rsidRDefault="0073689C" w:rsidP="00116C5C">
            <w:pPr>
              <w:spacing w:after="0" w:line="240" w:lineRule="auto"/>
              <w:rPr>
                <w:rFonts w:cs="Times New Roman"/>
                <w:sz w:val="16"/>
                <w:szCs w:val="16"/>
              </w:rPr>
            </w:pPr>
          </w:p>
        </w:tc>
      </w:tr>
      <w:tr w:rsidR="006132D7" w:rsidRPr="00B44B19" w14:paraId="121B9080" w14:textId="77777777" w:rsidTr="00116C5C">
        <w:trPr>
          <w:trHeight w:val="625"/>
        </w:trPr>
        <w:tc>
          <w:tcPr>
            <w:tcW w:w="1101" w:type="dxa"/>
            <w:vMerge/>
          </w:tcPr>
          <w:p w14:paraId="4C5A0844" w14:textId="77777777" w:rsidR="006132D7" w:rsidRPr="00B44B19" w:rsidRDefault="006132D7" w:rsidP="00116C5C">
            <w:pPr>
              <w:spacing w:after="0" w:line="240" w:lineRule="auto"/>
              <w:jc w:val="both"/>
              <w:rPr>
                <w:rFonts w:cs="Times New Roman"/>
                <w:b/>
                <w:noProof/>
                <w:sz w:val="16"/>
                <w:szCs w:val="16"/>
              </w:rPr>
            </w:pPr>
          </w:p>
        </w:tc>
        <w:tc>
          <w:tcPr>
            <w:tcW w:w="992" w:type="dxa"/>
            <w:vMerge/>
          </w:tcPr>
          <w:p w14:paraId="34FBFFBB" w14:textId="77777777" w:rsidR="006132D7" w:rsidRPr="00B44B19" w:rsidRDefault="006132D7" w:rsidP="00116C5C">
            <w:pPr>
              <w:spacing w:after="0" w:line="240" w:lineRule="auto"/>
              <w:jc w:val="both"/>
              <w:rPr>
                <w:rFonts w:cs="Times New Roman"/>
                <w:b/>
                <w:noProof/>
                <w:sz w:val="16"/>
                <w:szCs w:val="16"/>
              </w:rPr>
            </w:pPr>
          </w:p>
        </w:tc>
        <w:tc>
          <w:tcPr>
            <w:tcW w:w="850" w:type="dxa"/>
            <w:vMerge/>
          </w:tcPr>
          <w:p w14:paraId="428E7968" w14:textId="77777777" w:rsidR="006132D7" w:rsidRPr="00B44B19" w:rsidRDefault="006132D7" w:rsidP="00116C5C">
            <w:pPr>
              <w:spacing w:after="0" w:line="240" w:lineRule="auto"/>
              <w:jc w:val="both"/>
              <w:rPr>
                <w:rFonts w:cs="Times New Roman"/>
                <w:b/>
                <w:noProof/>
                <w:sz w:val="16"/>
                <w:szCs w:val="16"/>
              </w:rPr>
            </w:pPr>
          </w:p>
        </w:tc>
        <w:tc>
          <w:tcPr>
            <w:tcW w:w="1134" w:type="dxa"/>
          </w:tcPr>
          <w:p w14:paraId="6ED467C4"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Sostinės regionas</w:t>
            </w:r>
          </w:p>
        </w:tc>
        <w:tc>
          <w:tcPr>
            <w:tcW w:w="1276" w:type="dxa"/>
          </w:tcPr>
          <w:p w14:paraId="659DB400"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6E0F501E"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Pateiktos paraiškos konkrečiai MTEPI iniciatyvai</w:t>
            </w:r>
          </w:p>
        </w:tc>
        <w:tc>
          <w:tcPr>
            <w:tcW w:w="1134" w:type="dxa"/>
          </w:tcPr>
          <w:p w14:paraId="5C819338"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71F9C327" w14:textId="77777777" w:rsidR="006132D7" w:rsidRPr="00B44B19" w:rsidRDefault="006132D7"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15C09A05" w14:textId="77777777" w:rsidR="006132D7" w:rsidRPr="00B44B19" w:rsidRDefault="006132D7" w:rsidP="00116C5C">
            <w:pPr>
              <w:spacing w:after="0" w:line="240" w:lineRule="auto"/>
              <w:jc w:val="center"/>
              <w:rPr>
                <w:rFonts w:cs="Times New Roman"/>
                <w:sz w:val="16"/>
                <w:szCs w:val="16"/>
                <w:lang w:val="en-US"/>
              </w:rPr>
            </w:pPr>
            <w:r w:rsidRPr="00B44B19">
              <w:rPr>
                <w:rFonts w:cs="Times New Roman"/>
                <w:sz w:val="16"/>
                <w:szCs w:val="16"/>
                <w:lang w:val="en-US"/>
              </w:rPr>
              <w:t>2021</w:t>
            </w:r>
          </w:p>
        </w:tc>
        <w:tc>
          <w:tcPr>
            <w:tcW w:w="1276" w:type="dxa"/>
          </w:tcPr>
          <w:p w14:paraId="18E16632" w14:textId="78073E98" w:rsidR="006132D7" w:rsidRPr="00B44B19" w:rsidRDefault="00AD09B3" w:rsidP="00116C5C">
            <w:pPr>
              <w:spacing w:after="0" w:line="240" w:lineRule="auto"/>
              <w:jc w:val="center"/>
              <w:rPr>
                <w:rFonts w:cs="Times New Roman"/>
                <w:sz w:val="16"/>
                <w:szCs w:val="16"/>
                <w:lang w:val="en-US"/>
              </w:rPr>
            </w:pPr>
            <w:r w:rsidRPr="00B44B19">
              <w:rPr>
                <w:rFonts w:cs="Times New Roman"/>
                <w:sz w:val="16"/>
                <w:szCs w:val="16"/>
                <w:lang w:val="en-US"/>
              </w:rPr>
              <w:t>28</w:t>
            </w:r>
          </w:p>
        </w:tc>
        <w:tc>
          <w:tcPr>
            <w:tcW w:w="992" w:type="dxa"/>
          </w:tcPr>
          <w:p w14:paraId="1A1A3E5E"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7BD76A72" w14:textId="77777777" w:rsidR="006132D7" w:rsidRPr="00B44B19" w:rsidRDefault="006132D7" w:rsidP="00116C5C">
            <w:pPr>
              <w:spacing w:after="0" w:line="240" w:lineRule="auto"/>
              <w:rPr>
                <w:rFonts w:cs="Times New Roman"/>
                <w:sz w:val="16"/>
                <w:szCs w:val="16"/>
              </w:rPr>
            </w:pPr>
          </w:p>
        </w:tc>
      </w:tr>
      <w:tr w:rsidR="006132D7" w:rsidRPr="00B44B19" w14:paraId="1F567738" w14:textId="77777777" w:rsidTr="00116C5C">
        <w:trPr>
          <w:trHeight w:val="625"/>
        </w:trPr>
        <w:tc>
          <w:tcPr>
            <w:tcW w:w="1101" w:type="dxa"/>
            <w:vMerge/>
          </w:tcPr>
          <w:p w14:paraId="4683465B" w14:textId="77777777" w:rsidR="006132D7" w:rsidRPr="00B44B19" w:rsidRDefault="006132D7" w:rsidP="00116C5C">
            <w:pPr>
              <w:spacing w:after="0" w:line="240" w:lineRule="auto"/>
              <w:jc w:val="both"/>
              <w:rPr>
                <w:rFonts w:cs="Times New Roman"/>
                <w:b/>
                <w:noProof/>
                <w:sz w:val="16"/>
                <w:szCs w:val="16"/>
              </w:rPr>
            </w:pPr>
          </w:p>
        </w:tc>
        <w:tc>
          <w:tcPr>
            <w:tcW w:w="992" w:type="dxa"/>
            <w:vMerge/>
          </w:tcPr>
          <w:p w14:paraId="352EF251" w14:textId="77777777" w:rsidR="006132D7" w:rsidRPr="00B44B19" w:rsidRDefault="006132D7" w:rsidP="00116C5C">
            <w:pPr>
              <w:spacing w:after="0" w:line="240" w:lineRule="auto"/>
              <w:jc w:val="both"/>
              <w:rPr>
                <w:rFonts w:cs="Times New Roman"/>
                <w:b/>
                <w:noProof/>
                <w:sz w:val="16"/>
                <w:szCs w:val="16"/>
              </w:rPr>
            </w:pPr>
          </w:p>
        </w:tc>
        <w:tc>
          <w:tcPr>
            <w:tcW w:w="850" w:type="dxa"/>
            <w:vMerge/>
          </w:tcPr>
          <w:p w14:paraId="6512DE6C" w14:textId="77777777" w:rsidR="006132D7" w:rsidRPr="00B44B19" w:rsidRDefault="006132D7" w:rsidP="00116C5C">
            <w:pPr>
              <w:spacing w:after="0" w:line="240" w:lineRule="auto"/>
              <w:jc w:val="both"/>
              <w:rPr>
                <w:rFonts w:cs="Times New Roman"/>
                <w:b/>
                <w:noProof/>
                <w:sz w:val="16"/>
                <w:szCs w:val="16"/>
              </w:rPr>
            </w:pPr>
          </w:p>
        </w:tc>
        <w:tc>
          <w:tcPr>
            <w:tcW w:w="1134" w:type="dxa"/>
          </w:tcPr>
          <w:p w14:paraId="1FEBBCA3"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VVL regionas</w:t>
            </w:r>
          </w:p>
        </w:tc>
        <w:tc>
          <w:tcPr>
            <w:tcW w:w="1276" w:type="dxa"/>
          </w:tcPr>
          <w:p w14:paraId="31B0862B"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Specialusis</w:t>
            </w:r>
          </w:p>
        </w:tc>
        <w:tc>
          <w:tcPr>
            <w:tcW w:w="2977" w:type="dxa"/>
          </w:tcPr>
          <w:p w14:paraId="5C17E800"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Pateiktos paraiškos konkrečiai MTEPI iniciatyvai</w:t>
            </w:r>
          </w:p>
        </w:tc>
        <w:tc>
          <w:tcPr>
            <w:tcW w:w="1134" w:type="dxa"/>
          </w:tcPr>
          <w:p w14:paraId="1C2C33AD"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Skaičius</w:t>
            </w:r>
          </w:p>
        </w:tc>
        <w:tc>
          <w:tcPr>
            <w:tcW w:w="992" w:type="dxa"/>
          </w:tcPr>
          <w:p w14:paraId="66C727FF" w14:textId="77777777" w:rsidR="006132D7" w:rsidRPr="00B44B19" w:rsidRDefault="006132D7" w:rsidP="00116C5C">
            <w:pPr>
              <w:spacing w:after="0" w:line="240" w:lineRule="auto"/>
              <w:jc w:val="center"/>
              <w:rPr>
                <w:rFonts w:cs="Times New Roman"/>
                <w:sz w:val="16"/>
                <w:szCs w:val="16"/>
              </w:rPr>
            </w:pPr>
            <w:r w:rsidRPr="00B44B19">
              <w:rPr>
                <w:rFonts w:cs="Times New Roman"/>
                <w:sz w:val="16"/>
                <w:szCs w:val="16"/>
              </w:rPr>
              <w:t>0</w:t>
            </w:r>
          </w:p>
        </w:tc>
        <w:tc>
          <w:tcPr>
            <w:tcW w:w="1134" w:type="dxa"/>
          </w:tcPr>
          <w:p w14:paraId="01564BAA" w14:textId="77777777" w:rsidR="006132D7" w:rsidRPr="00B44B19" w:rsidRDefault="006132D7" w:rsidP="00116C5C">
            <w:pPr>
              <w:spacing w:after="0" w:line="240" w:lineRule="auto"/>
              <w:jc w:val="center"/>
              <w:rPr>
                <w:rFonts w:cs="Times New Roman"/>
                <w:sz w:val="16"/>
                <w:szCs w:val="16"/>
                <w:lang w:val="en-US"/>
              </w:rPr>
            </w:pPr>
            <w:r w:rsidRPr="00B44B19">
              <w:rPr>
                <w:rFonts w:cs="Times New Roman"/>
                <w:sz w:val="16"/>
                <w:szCs w:val="16"/>
                <w:lang w:val="en-US"/>
              </w:rPr>
              <w:t>2021</w:t>
            </w:r>
          </w:p>
        </w:tc>
        <w:tc>
          <w:tcPr>
            <w:tcW w:w="1276" w:type="dxa"/>
          </w:tcPr>
          <w:p w14:paraId="66A16D0E" w14:textId="48F93452" w:rsidR="006132D7" w:rsidRPr="00B44B19" w:rsidRDefault="00AD09B3" w:rsidP="00116C5C">
            <w:pPr>
              <w:spacing w:after="0" w:line="240" w:lineRule="auto"/>
              <w:jc w:val="center"/>
              <w:rPr>
                <w:rFonts w:cs="Times New Roman"/>
                <w:sz w:val="16"/>
                <w:szCs w:val="16"/>
                <w:lang w:val="en-US"/>
              </w:rPr>
            </w:pPr>
            <w:r w:rsidRPr="00B44B19">
              <w:rPr>
                <w:rFonts w:cs="Times New Roman"/>
                <w:sz w:val="16"/>
                <w:szCs w:val="16"/>
                <w:lang w:val="en-US"/>
              </w:rPr>
              <w:t>62</w:t>
            </w:r>
          </w:p>
        </w:tc>
        <w:tc>
          <w:tcPr>
            <w:tcW w:w="992" w:type="dxa"/>
          </w:tcPr>
          <w:p w14:paraId="59E1AA0C" w14:textId="77777777" w:rsidR="006132D7" w:rsidRPr="00B44B19" w:rsidRDefault="006132D7" w:rsidP="00116C5C">
            <w:pPr>
              <w:spacing w:after="0" w:line="240" w:lineRule="auto"/>
              <w:rPr>
                <w:rFonts w:cs="Times New Roman"/>
                <w:sz w:val="16"/>
                <w:szCs w:val="16"/>
              </w:rPr>
            </w:pPr>
            <w:r w:rsidRPr="00B44B19">
              <w:rPr>
                <w:rFonts w:cs="Times New Roman"/>
                <w:sz w:val="16"/>
                <w:szCs w:val="16"/>
              </w:rPr>
              <w:t>Projektų duomenys</w:t>
            </w:r>
          </w:p>
        </w:tc>
        <w:tc>
          <w:tcPr>
            <w:tcW w:w="992" w:type="dxa"/>
          </w:tcPr>
          <w:p w14:paraId="41456C3F" w14:textId="77777777" w:rsidR="006132D7" w:rsidRPr="00B44B19" w:rsidRDefault="006132D7" w:rsidP="00116C5C">
            <w:pPr>
              <w:spacing w:after="0" w:line="240" w:lineRule="auto"/>
              <w:rPr>
                <w:rFonts w:cs="Times New Roman"/>
                <w:sz w:val="16"/>
                <w:szCs w:val="16"/>
              </w:rPr>
            </w:pPr>
          </w:p>
        </w:tc>
      </w:tr>
    </w:tbl>
    <w:p w14:paraId="53285A03" w14:textId="77777777" w:rsidR="00306CD6" w:rsidRPr="00B44B19" w:rsidRDefault="00306CD6" w:rsidP="00EF291A">
      <w:pPr>
        <w:spacing w:before="240" w:after="240" w:line="240" w:lineRule="auto"/>
        <w:jc w:val="both"/>
        <w:rPr>
          <w:rFonts w:eastAsia="Calibri" w:cs="Times New Roman"/>
          <w:b/>
          <w:noProof/>
          <w:szCs w:val="20"/>
          <w:lang w:eastAsia="lt-LT" w:bidi="lt-LT"/>
        </w:rPr>
        <w:sectPr w:rsidR="00306CD6" w:rsidRPr="00B44B19" w:rsidSect="00931C78">
          <w:pgSz w:w="16838" w:h="11906" w:orient="landscape"/>
          <w:pgMar w:top="1701" w:right="1276" w:bottom="567" w:left="1134" w:header="567" w:footer="567" w:gutter="0"/>
          <w:cols w:space="1296"/>
          <w:docGrid w:linePitch="360"/>
        </w:sectPr>
      </w:pPr>
    </w:p>
    <w:p w14:paraId="4E12078C" w14:textId="77777777" w:rsidR="00306CD6" w:rsidRPr="00B44B19" w:rsidRDefault="006224F1" w:rsidP="00891CA2">
      <w:pPr>
        <w:pStyle w:val="Stilius1"/>
        <w:rPr>
          <w:rFonts w:cs="Times New Roman"/>
          <w:noProof/>
          <w:lang w:eastAsia="lt-LT" w:bidi="lt-LT"/>
        </w:rPr>
      </w:pPr>
      <w:r w:rsidRPr="00B44B19">
        <w:rPr>
          <w:rFonts w:cs="Times New Roman"/>
          <w:noProof/>
          <w:lang w:eastAsia="lt-LT" w:bidi="lt-LT"/>
        </w:rPr>
        <w:lastRenderedPageBreak/>
        <w:t xml:space="preserve">Preliminarus Programos išteklių suskirstymas pagal intervencinių priemonių rūšį </w:t>
      </w:r>
    </w:p>
    <w:tbl>
      <w:tblPr>
        <w:tblStyle w:val="Lentelstinklelis"/>
        <w:tblW w:w="0" w:type="auto"/>
        <w:tblLayout w:type="fixed"/>
        <w:tblLook w:val="04A0" w:firstRow="1" w:lastRow="0" w:firstColumn="1" w:lastColumn="0" w:noHBand="0" w:noVBand="1"/>
      </w:tblPr>
      <w:tblGrid>
        <w:gridCol w:w="1101"/>
        <w:gridCol w:w="850"/>
        <w:gridCol w:w="1418"/>
        <w:gridCol w:w="1134"/>
        <w:gridCol w:w="3778"/>
        <w:gridCol w:w="1466"/>
      </w:tblGrid>
      <w:tr w:rsidR="00116C5C" w:rsidRPr="00B44B19" w14:paraId="4E5EFD2B" w14:textId="77777777" w:rsidTr="00056EF1">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4B85343" w14:textId="77777777" w:rsidR="00116C5C" w:rsidRPr="00B44B19" w:rsidRDefault="00116C5C" w:rsidP="00116C5C">
            <w:pPr>
              <w:rPr>
                <w:rFonts w:eastAsia="Times New Roman" w:cs="Times New Roman"/>
                <w:b/>
                <w:iCs/>
                <w:noProof/>
                <w:sz w:val="20"/>
              </w:rPr>
            </w:pPr>
            <w:r w:rsidRPr="00B44B19">
              <w:rPr>
                <w:rFonts w:cs="Times New Roman"/>
                <w:b/>
                <w:noProof/>
                <w:sz w:val="20"/>
              </w:rPr>
              <w:t>4 lentelė. 1 matmuo. Intervencinių priemonių sritis</w:t>
            </w:r>
          </w:p>
        </w:tc>
      </w:tr>
      <w:tr w:rsidR="00116C5C" w:rsidRPr="00B44B19" w14:paraId="3CBBF98F" w14:textId="77777777" w:rsidTr="0021047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232D91"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97F070"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EFCD96"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AE9F40"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203717"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EE22DB"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Suma (EUR)</w:t>
            </w:r>
          </w:p>
        </w:tc>
      </w:tr>
      <w:tr w:rsidR="00116C5C" w:rsidRPr="00B44B19" w14:paraId="105A5EED" w14:textId="77777777" w:rsidTr="0021047B">
        <w:tc>
          <w:tcPr>
            <w:tcW w:w="1101" w:type="dxa"/>
            <w:vMerge w:val="restart"/>
            <w:tcBorders>
              <w:top w:val="single" w:sz="12" w:space="0" w:color="auto"/>
            </w:tcBorders>
          </w:tcPr>
          <w:p w14:paraId="1261C02A" w14:textId="77777777" w:rsidR="00116C5C" w:rsidRPr="00B44B19" w:rsidRDefault="00116C5C" w:rsidP="00DF01E2">
            <w:pPr>
              <w:pStyle w:val="Sraopastraipa"/>
              <w:tabs>
                <w:tab w:val="left" w:pos="142"/>
              </w:tabs>
              <w:ind w:left="0"/>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4B15BD3C"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1C09868F"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347BD4AC"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1.1</w:t>
            </w:r>
          </w:p>
        </w:tc>
        <w:tc>
          <w:tcPr>
            <w:tcW w:w="3778" w:type="dxa"/>
            <w:vMerge w:val="restart"/>
            <w:tcBorders>
              <w:top w:val="single" w:sz="12" w:space="0" w:color="auto"/>
            </w:tcBorders>
          </w:tcPr>
          <w:p w14:paraId="0D9A9138" w14:textId="77777777" w:rsidR="00116C5C" w:rsidRPr="00B44B19" w:rsidRDefault="00116C5C" w:rsidP="00AD7308">
            <w:pPr>
              <w:rPr>
                <w:rFonts w:eastAsia="Times New Roman" w:cs="Times New Roman"/>
                <w:iCs/>
                <w:noProof/>
                <w:sz w:val="20"/>
                <w:szCs w:val="20"/>
              </w:rPr>
            </w:pPr>
            <w:r w:rsidRPr="00B44B19">
              <w:rPr>
                <w:rFonts w:eastAsia="Times New Roman" w:cs="Times New Roman"/>
                <w:iCs/>
                <w:noProof/>
                <w:sz w:val="20"/>
                <w:szCs w:val="20"/>
              </w:rPr>
              <w:t>009</w:t>
            </w:r>
            <w:r w:rsidR="007C35A6" w:rsidRPr="00B44B19">
              <w:rPr>
                <w:rFonts w:eastAsia="Calibri" w:cs="Times New Roman"/>
                <w:sz w:val="20"/>
                <w:szCs w:val="20"/>
              </w:rPr>
              <w:t xml:space="preserve"> </w:t>
            </w:r>
            <w:r w:rsidR="00D43A78" w:rsidRPr="00B44B19">
              <w:rPr>
                <w:rFonts w:eastAsia="Calibri" w:cs="Times New Roman"/>
                <w:sz w:val="20"/>
                <w:szCs w:val="20"/>
              </w:rPr>
              <w:t>–</w:t>
            </w:r>
            <w:r w:rsidR="007C35A6" w:rsidRPr="00B44B19">
              <w:rPr>
                <w:rFonts w:eastAsia="Calibri" w:cs="Times New Roman"/>
                <w:sz w:val="20"/>
                <w:szCs w:val="20"/>
              </w:rPr>
              <w:t xml:space="preserve"> Labai mažų įmonių mokslinių tyrimų ir inovacijų veikla, įskaitant tinklaveiką (pramoniniai tyrimai, eksperimentinė plėtra, galimybių studijos)</w:t>
            </w:r>
          </w:p>
        </w:tc>
        <w:tc>
          <w:tcPr>
            <w:tcW w:w="1466" w:type="dxa"/>
            <w:tcBorders>
              <w:top w:val="single" w:sz="12" w:space="0" w:color="auto"/>
              <w:bottom w:val="single" w:sz="4" w:space="0" w:color="auto"/>
            </w:tcBorders>
          </w:tcPr>
          <w:p w14:paraId="7DC1D6CD" w14:textId="5E204733" w:rsidR="00116C5C" w:rsidRPr="00B44B19" w:rsidRDefault="00690204" w:rsidP="00690204">
            <w:pPr>
              <w:jc w:val="right"/>
              <w:rPr>
                <w:rFonts w:cs="Times New Roman"/>
                <w:color w:val="000000"/>
                <w:sz w:val="20"/>
                <w:szCs w:val="20"/>
              </w:rPr>
            </w:pPr>
            <w:r w:rsidRPr="00B44B19">
              <w:rPr>
                <w:rFonts w:cs="Times New Roman"/>
                <w:color w:val="000000"/>
                <w:sz w:val="20"/>
                <w:szCs w:val="20"/>
              </w:rPr>
              <w:t>9 144 806</w:t>
            </w:r>
            <w:r w:rsidR="00116C5C" w:rsidRPr="00B44B19">
              <w:rPr>
                <w:rFonts w:cs="Times New Roman"/>
                <w:color w:val="000000"/>
                <w:sz w:val="20"/>
                <w:szCs w:val="20"/>
              </w:rPr>
              <w:t>,00</w:t>
            </w:r>
          </w:p>
        </w:tc>
      </w:tr>
      <w:tr w:rsidR="00116C5C" w:rsidRPr="00B44B19" w14:paraId="387D5B05" w14:textId="77777777" w:rsidTr="0021047B">
        <w:tc>
          <w:tcPr>
            <w:tcW w:w="1101" w:type="dxa"/>
            <w:vMerge/>
          </w:tcPr>
          <w:p w14:paraId="75F865AA" w14:textId="77777777" w:rsidR="00116C5C" w:rsidRPr="00B44B19" w:rsidRDefault="00116C5C" w:rsidP="00116C5C">
            <w:pPr>
              <w:rPr>
                <w:rFonts w:eastAsia="Times New Roman" w:cs="Times New Roman"/>
                <w:iCs/>
                <w:noProof/>
                <w:sz w:val="20"/>
              </w:rPr>
            </w:pPr>
          </w:p>
        </w:tc>
        <w:tc>
          <w:tcPr>
            <w:tcW w:w="850" w:type="dxa"/>
            <w:vMerge/>
          </w:tcPr>
          <w:p w14:paraId="5561141B" w14:textId="77777777" w:rsidR="00116C5C" w:rsidRPr="00B44B19" w:rsidRDefault="00116C5C" w:rsidP="00116C5C">
            <w:pPr>
              <w:rPr>
                <w:rFonts w:eastAsia="Times New Roman" w:cs="Times New Roman"/>
                <w:b/>
                <w:iCs/>
                <w:noProof/>
                <w:sz w:val="20"/>
              </w:rPr>
            </w:pPr>
          </w:p>
        </w:tc>
        <w:tc>
          <w:tcPr>
            <w:tcW w:w="1418" w:type="dxa"/>
            <w:tcBorders>
              <w:top w:val="single" w:sz="4" w:space="0" w:color="auto"/>
              <w:bottom w:val="single" w:sz="4" w:space="0" w:color="auto"/>
            </w:tcBorders>
          </w:tcPr>
          <w:p w14:paraId="084D38A3"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15827D1D" w14:textId="77777777" w:rsidR="00116C5C" w:rsidRPr="00B44B19" w:rsidRDefault="00116C5C" w:rsidP="00116C5C">
            <w:pPr>
              <w:rPr>
                <w:rFonts w:eastAsia="Times New Roman" w:cs="Times New Roman"/>
                <w:b/>
                <w:iCs/>
                <w:noProof/>
                <w:sz w:val="20"/>
              </w:rPr>
            </w:pPr>
          </w:p>
        </w:tc>
        <w:tc>
          <w:tcPr>
            <w:tcW w:w="3778" w:type="dxa"/>
            <w:vMerge/>
          </w:tcPr>
          <w:p w14:paraId="4A068858" w14:textId="77777777" w:rsidR="00116C5C" w:rsidRPr="00B44B19"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77A96464" w14:textId="5BA8EF47" w:rsidR="00116C5C" w:rsidRPr="00B44B19" w:rsidRDefault="00690204" w:rsidP="00690204">
            <w:pPr>
              <w:jc w:val="right"/>
              <w:rPr>
                <w:rFonts w:eastAsia="Times New Roman" w:cs="Times New Roman"/>
                <w:iCs/>
                <w:noProof/>
                <w:sz w:val="20"/>
              </w:rPr>
            </w:pPr>
            <w:r w:rsidRPr="00B44B19">
              <w:rPr>
                <w:rFonts w:cs="Times New Roman"/>
                <w:color w:val="000000"/>
                <w:sz w:val="20"/>
                <w:szCs w:val="20"/>
              </w:rPr>
              <w:t>26 541 514</w:t>
            </w:r>
            <w:r w:rsidR="00704D24" w:rsidRPr="00B44B19">
              <w:rPr>
                <w:rFonts w:cs="Times New Roman"/>
                <w:color w:val="000000"/>
                <w:sz w:val="20"/>
                <w:szCs w:val="20"/>
              </w:rPr>
              <w:t>,00</w:t>
            </w:r>
          </w:p>
        </w:tc>
      </w:tr>
      <w:tr w:rsidR="00116C5C" w:rsidRPr="00B44B19" w14:paraId="3BB911F4" w14:textId="77777777" w:rsidTr="0021047B">
        <w:tc>
          <w:tcPr>
            <w:tcW w:w="1101" w:type="dxa"/>
            <w:vMerge/>
          </w:tcPr>
          <w:p w14:paraId="3C19B10C" w14:textId="77777777" w:rsidR="00116C5C" w:rsidRPr="00B44B19" w:rsidRDefault="00116C5C" w:rsidP="00116C5C">
            <w:pPr>
              <w:rPr>
                <w:rFonts w:eastAsia="Times New Roman" w:cs="Times New Roman"/>
                <w:iCs/>
                <w:noProof/>
                <w:sz w:val="20"/>
              </w:rPr>
            </w:pPr>
          </w:p>
        </w:tc>
        <w:tc>
          <w:tcPr>
            <w:tcW w:w="850" w:type="dxa"/>
            <w:vMerge/>
          </w:tcPr>
          <w:p w14:paraId="40A9F838" w14:textId="77777777" w:rsidR="00116C5C" w:rsidRPr="00B44B19" w:rsidRDefault="00116C5C" w:rsidP="00116C5C">
            <w:pPr>
              <w:rPr>
                <w:rFonts w:eastAsia="Times New Roman" w:cs="Times New Roman"/>
                <w:b/>
                <w:iCs/>
                <w:noProof/>
                <w:sz w:val="20"/>
              </w:rPr>
            </w:pPr>
          </w:p>
        </w:tc>
        <w:tc>
          <w:tcPr>
            <w:tcW w:w="1418" w:type="dxa"/>
            <w:tcBorders>
              <w:top w:val="single" w:sz="4" w:space="0" w:color="auto"/>
              <w:bottom w:val="single" w:sz="4" w:space="0" w:color="auto"/>
            </w:tcBorders>
          </w:tcPr>
          <w:p w14:paraId="53A45489"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624BDD97" w14:textId="77777777" w:rsidR="00116C5C" w:rsidRPr="00B44B19" w:rsidRDefault="00116C5C" w:rsidP="00116C5C">
            <w:pPr>
              <w:rPr>
                <w:rFonts w:eastAsia="Times New Roman" w:cs="Times New Roman"/>
                <w:b/>
                <w:iCs/>
                <w:noProof/>
                <w:sz w:val="20"/>
              </w:rPr>
            </w:pPr>
          </w:p>
        </w:tc>
        <w:tc>
          <w:tcPr>
            <w:tcW w:w="3778" w:type="dxa"/>
            <w:vMerge w:val="restart"/>
          </w:tcPr>
          <w:p w14:paraId="1380D12F" w14:textId="77777777" w:rsidR="00116C5C" w:rsidRPr="00B44B19" w:rsidRDefault="00116C5C" w:rsidP="00AD7308">
            <w:pPr>
              <w:rPr>
                <w:rFonts w:eastAsia="Times New Roman" w:cs="Times New Roman"/>
                <w:iCs/>
                <w:noProof/>
                <w:sz w:val="20"/>
                <w:szCs w:val="20"/>
              </w:rPr>
            </w:pPr>
            <w:r w:rsidRPr="00B44B19">
              <w:rPr>
                <w:rFonts w:eastAsia="Times New Roman" w:cs="Times New Roman"/>
                <w:iCs/>
                <w:noProof/>
                <w:sz w:val="20"/>
                <w:szCs w:val="20"/>
              </w:rPr>
              <w:t>010</w:t>
            </w:r>
            <w:r w:rsidR="007C35A6" w:rsidRPr="00B44B19">
              <w:rPr>
                <w:rFonts w:eastAsia="Times New Roman" w:cs="Times New Roman"/>
                <w:iCs/>
                <w:noProof/>
                <w:sz w:val="20"/>
                <w:szCs w:val="20"/>
              </w:rPr>
              <w:t xml:space="preserve"> </w:t>
            </w:r>
            <w:r w:rsidR="00D43A78" w:rsidRPr="00B44B19">
              <w:rPr>
                <w:rFonts w:eastAsia="Times New Roman" w:cs="Times New Roman"/>
                <w:iCs/>
                <w:noProof/>
                <w:sz w:val="20"/>
                <w:szCs w:val="20"/>
              </w:rPr>
              <w:t>–</w:t>
            </w:r>
            <w:r w:rsidR="007C35A6" w:rsidRPr="00B44B19">
              <w:rPr>
                <w:rFonts w:eastAsia="Times New Roman" w:cs="Times New Roman"/>
                <w:iCs/>
                <w:noProof/>
                <w:sz w:val="20"/>
                <w:szCs w:val="20"/>
              </w:rPr>
              <w:t xml:space="preserve"> </w:t>
            </w:r>
            <w:r w:rsidR="007C35A6" w:rsidRPr="00B44B19">
              <w:rPr>
                <w:rFonts w:eastAsia="Calibri" w:cs="Times New Roman"/>
                <w:sz w:val="20"/>
                <w:szCs w:val="20"/>
              </w:rPr>
              <w:t>MVĮ mokslinių tyrimų ir inovacijų veikla, įskaitant tinklaveiką</w:t>
            </w:r>
          </w:p>
        </w:tc>
        <w:tc>
          <w:tcPr>
            <w:tcW w:w="1466" w:type="dxa"/>
            <w:tcBorders>
              <w:top w:val="single" w:sz="4" w:space="0" w:color="auto"/>
              <w:bottom w:val="single" w:sz="4" w:space="0" w:color="auto"/>
            </w:tcBorders>
          </w:tcPr>
          <w:p w14:paraId="4FE5BE0E" w14:textId="7AF05E57" w:rsidR="00116C5C" w:rsidRPr="00B44B19" w:rsidRDefault="00690204" w:rsidP="00690204">
            <w:pPr>
              <w:jc w:val="right"/>
              <w:rPr>
                <w:rFonts w:cs="Times New Roman"/>
                <w:color w:val="000000"/>
                <w:sz w:val="20"/>
                <w:szCs w:val="20"/>
              </w:rPr>
            </w:pPr>
            <w:r w:rsidRPr="00B44B19">
              <w:rPr>
                <w:rFonts w:cs="Times New Roman"/>
                <w:color w:val="000000"/>
                <w:sz w:val="20"/>
                <w:szCs w:val="20"/>
              </w:rPr>
              <w:t>22 062 736</w:t>
            </w:r>
            <w:r w:rsidR="00116C5C" w:rsidRPr="00B44B19">
              <w:rPr>
                <w:rFonts w:cs="Times New Roman"/>
                <w:color w:val="000000"/>
                <w:sz w:val="20"/>
                <w:szCs w:val="20"/>
              </w:rPr>
              <w:t>,00</w:t>
            </w:r>
          </w:p>
        </w:tc>
      </w:tr>
      <w:tr w:rsidR="00116C5C" w:rsidRPr="00B44B19" w14:paraId="2EE1582A" w14:textId="77777777" w:rsidTr="0021047B">
        <w:tc>
          <w:tcPr>
            <w:tcW w:w="1101" w:type="dxa"/>
            <w:vMerge/>
          </w:tcPr>
          <w:p w14:paraId="45F28293" w14:textId="77777777" w:rsidR="00116C5C" w:rsidRPr="00B44B19" w:rsidRDefault="00116C5C" w:rsidP="00116C5C">
            <w:pPr>
              <w:rPr>
                <w:rFonts w:eastAsia="Times New Roman" w:cs="Times New Roman"/>
                <w:iCs/>
                <w:noProof/>
                <w:sz w:val="20"/>
              </w:rPr>
            </w:pPr>
          </w:p>
        </w:tc>
        <w:tc>
          <w:tcPr>
            <w:tcW w:w="850" w:type="dxa"/>
            <w:vMerge/>
          </w:tcPr>
          <w:p w14:paraId="03881F71" w14:textId="77777777" w:rsidR="00116C5C" w:rsidRPr="00B44B19" w:rsidRDefault="00116C5C" w:rsidP="00116C5C">
            <w:pPr>
              <w:rPr>
                <w:rFonts w:eastAsia="Times New Roman" w:cs="Times New Roman"/>
                <w:b/>
                <w:iCs/>
                <w:noProof/>
                <w:sz w:val="20"/>
              </w:rPr>
            </w:pPr>
          </w:p>
        </w:tc>
        <w:tc>
          <w:tcPr>
            <w:tcW w:w="1418" w:type="dxa"/>
            <w:tcBorders>
              <w:top w:val="single" w:sz="4" w:space="0" w:color="auto"/>
              <w:bottom w:val="single" w:sz="4" w:space="0" w:color="auto"/>
            </w:tcBorders>
          </w:tcPr>
          <w:p w14:paraId="182AE3F5"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077E06E" w14:textId="77777777" w:rsidR="00116C5C" w:rsidRPr="00B44B19" w:rsidRDefault="00116C5C" w:rsidP="00116C5C">
            <w:pPr>
              <w:rPr>
                <w:rFonts w:eastAsia="Times New Roman" w:cs="Times New Roman"/>
                <w:b/>
                <w:iCs/>
                <w:noProof/>
                <w:sz w:val="20"/>
              </w:rPr>
            </w:pPr>
          </w:p>
        </w:tc>
        <w:tc>
          <w:tcPr>
            <w:tcW w:w="3778" w:type="dxa"/>
            <w:vMerge/>
          </w:tcPr>
          <w:p w14:paraId="51E9BF2A" w14:textId="77777777" w:rsidR="00116C5C" w:rsidRPr="00B44B19"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0F579AFB" w14:textId="726030DB" w:rsidR="00116C5C" w:rsidRPr="00B44B19" w:rsidRDefault="00690204" w:rsidP="00690204">
            <w:pPr>
              <w:jc w:val="right"/>
              <w:rPr>
                <w:rFonts w:cs="Times New Roman"/>
                <w:color w:val="000000"/>
                <w:sz w:val="20"/>
                <w:szCs w:val="20"/>
              </w:rPr>
            </w:pPr>
            <w:r w:rsidRPr="00B44B19">
              <w:rPr>
                <w:rFonts w:cs="Times New Roman"/>
                <w:color w:val="000000"/>
                <w:sz w:val="20"/>
                <w:szCs w:val="20"/>
              </w:rPr>
              <w:t>95 433 057</w:t>
            </w:r>
            <w:r w:rsidR="00704D24" w:rsidRPr="00B44B19">
              <w:rPr>
                <w:rFonts w:cs="Times New Roman"/>
                <w:color w:val="000000"/>
                <w:sz w:val="20"/>
              </w:rPr>
              <w:t>,00</w:t>
            </w:r>
            <w:r w:rsidR="004A538D" w:rsidRPr="00B44B19">
              <w:rPr>
                <w:rFonts w:cs="Times New Roman"/>
                <w:color w:val="000000"/>
                <w:sz w:val="20"/>
              </w:rPr>
              <w:t xml:space="preserve"> </w:t>
            </w:r>
          </w:p>
        </w:tc>
      </w:tr>
      <w:tr w:rsidR="00116C5C" w:rsidRPr="00B44B19" w14:paraId="42128912" w14:textId="77777777" w:rsidTr="0021047B">
        <w:tc>
          <w:tcPr>
            <w:tcW w:w="1101" w:type="dxa"/>
            <w:vMerge/>
          </w:tcPr>
          <w:p w14:paraId="160019F4" w14:textId="77777777" w:rsidR="00116C5C" w:rsidRPr="00B44B19" w:rsidRDefault="00116C5C" w:rsidP="00116C5C">
            <w:pPr>
              <w:rPr>
                <w:rFonts w:eastAsia="Times New Roman" w:cs="Times New Roman"/>
                <w:iCs/>
                <w:noProof/>
                <w:sz w:val="20"/>
              </w:rPr>
            </w:pPr>
          </w:p>
        </w:tc>
        <w:tc>
          <w:tcPr>
            <w:tcW w:w="850" w:type="dxa"/>
            <w:vMerge/>
          </w:tcPr>
          <w:p w14:paraId="1CF05F30" w14:textId="77777777" w:rsidR="00116C5C" w:rsidRPr="00B44B19" w:rsidRDefault="00116C5C" w:rsidP="00116C5C">
            <w:pPr>
              <w:rPr>
                <w:rFonts w:eastAsia="Times New Roman" w:cs="Times New Roman"/>
                <w:b/>
                <w:iCs/>
                <w:noProof/>
                <w:sz w:val="20"/>
              </w:rPr>
            </w:pPr>
          </w:p>
        </w:tc>
        <w:tc>
          <w:tcPr>
            <w:tcW w:w="1418" w:type="dxa"/>
            <w:tcBorders>
              <w:top w:val="single" w:sz="4" w:space="0" w:color="auto"/>
              <w:bottom w:val="single" w:sz="4" w:space="0" w:color="auto"/>
            </w:tcBorders>
          </w:tcPr>
          <w:p w14:paraId="4C807B18"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77FF2C92" w14:textId="77777777" w:rsidR="00116C5C" w:rsidRPr="00B44B19" w:rsidRDefault="00116C5C" w:rsidP="00116C5C">
            <w:pPr>
              <w:rPr>
                <w:rFonts w:eastAsia="Times New Roman" w:cs="Times New Roman"/>
                <w:b/>
                <w:iCs/>
                <w:noProof/>
                <w:sz w:val="20"/>
              </w:rPr>
            </w:pPr>
          </w:p>
        </w:tc>
        <w:tc>
          <w:tcPr>
            <w:tcW w:w="3778" w:type="dxa"/>
            <w:vMerge w:val="restart"/>
          </w:tcPr>
          <w:p w14:paraId="135DC99D" w14:textId="77777777" w:rsidR="00116C5C" w:rsidRPr="00B44B19" w:rsidRDefault="00116C5C" w:rsidP="00AD7308">
            <w:pPr>
              <w:rPr>
                <w:rFonts w:eastAsia="Times New Roman" w:cs="Times New Roman"/>
                <w:iCs/>
                <w:noProof/>
                <w:sz w:val="20"/>
                <w:szCs w:val="20"/>
              </w:rPr>
            </w:pPr>
            <w:r w:rsidRPr="00B44B19">
              <w:rPr>
                <w:rFonts w:eastAsia="Times New Roman" w:cs="Times New Roman"/>
                <w:iCs/>
                <w:noProof/>
                <w:sz w:val="20"/>
                <w:szCs w:val="20"/>
              </w:rPr>
              <w:t>011</w:t>
            </w:r>
            <w:r w:rsidR="007C35A6" w:rsidRPr="00B44B19">
              <w:rPr>
                <w:rFonts w:eastAsia="Times New Roman" w:cs="Times New Roman"/>
                <w:iCs/>
                <w:noProof/>
                <w:sz w:val="20"/>
                <w:szCs w:val="20"/>
              </w:rPr>
              <w:t xml:space="preserve"> </w:t>
            </w:r>
            <w:r w:rsidR="002B22DC" w:rsidRPr="00B44B19">
              <w:rPr>
                <w:rFonts w:eastAsia="Times New Roman" w:cs="Times New Roman"/>
                <w:iCs/>
                <w:noProof/>
                <w:sz w:val="20"/>
                <w:szCs w:val="20"/>
              </w:rPr>
              <w:t>–</w:t>
            </w:r>
            <w:r w:rsidR="007C35A6" w:rsidRPr="00B44B19">
              <w:rPr>
                <w:rFonts w:eastAsia="Times New Roman" w:cs="Times New Roman"/>
                <w:iCs/>
                <w:noProof/>
                <w:sz w:val="20"/>
                <w:szCs w:val="20"/>
              </w:rPr>
              <w:t xml:space="preserve"> Didelių įmonių mokslinių tyrimų ir inovacijų veikla, įskaitant tinklaveiką</w:t>
            </w:r>
          </w:p>
        </w:tc>
        <w:tc>
          <w:tcPr>
            <w:tcW w:w="1466" w:type="dxa"/>
            <w:tcBorders>
              <w:top w:val="single" w:sz="4" w:space="0" w:color="auto"/>
              <w:bottom w:val="single" w:sz="4" w:space="0" w:color="auto"/>
            </w:tcBorders>
          </w:tcPr>
          <w:p w14:paraId="100C4728" w14:textId="6F3F2822" w:rsidR="00116C5C" w:rsidRPr="00B44B19" w:rsidRDefault="00690204" w:rsidP="00690204">
            <w:pPr>
              <w:jc w:val="right"/>
              <w:rPr>
                <w:rFonts w:cs="Times New Roman"/>
                <w:color w:val="000000"/>
                <w:sz w:val="20"/>
                <w:szCs w:val="20"/>
              </w:rPr>
            </w:pPr>
            <w:r w:rsidRPr="00B44B19">
              <w:rPr>
                <w:rFonts w:cs="Times New Roman"/>
                <w:color w:val="000000"/>
                <w:sz w:val="20"/>
                <w:szCs w:val="20"/>
              </w:rPr>
              <w:t>5 083 684</w:t>
            </w:r>
            <w:r w:rsidR="00116C5C" w:rsidRPr="00B44B19">
              <w:rPr>
                <w:rFonts w:cs="Times New Roman"/>
                <w:color w:val="000000"/>
                <w:sz w:val="20"/>
                <w:szCs w:val="20"/>
              </w:rPr>
              <w:t>,00</w:t>
            </w:r>
          </w:p>
        </w:tc>
      </w:tr>
      <w:tr w:rsidR="00116C5C" w:rsidRPr="00B44B19" w14:paraId="01E6AD10" w14:textId="77777777" w:rsidTr="0021047B">
        <w:tc>
          <w:tcPr>
            <w:tcW w:w="1101" w:type="dxa"/>
            <w:vMerge/>
          </w:tcPr>
          <w:p w14:paraId="5C215293" w14:textId="77777777" w:rsidR="00116C5C" w:rsidRPr="00B44B19" w:rsidRDefault="00116C5C" w:rsidP="00116C5C">
            <w:pPr>
              <w:rPr>
                <w:rFonts w:eastAsia="Times New Roman" w:cs="Times New Roman"/>
                <w:iCs/>
                <w:noProof/>
                <w:sz w:val="20"/>
              </w:rPr>
            </w:pPr>
          </w:p>
        </w:tc>
        <w:tc>
          <w:tcPr>
            <w:tcW w:w="850" w:type="dxa"/>
            <w:vMerge/>
          </w:tcPr>
          <w:p w14:paraId="0569C5D8" w14:textId="77777777" w:rsidR="00116C5C" w:rsidRPr="00B44B19" w:rsidRDefault="00116C5C" w:rsidP="00116C5C">
            <w:pPr>
              <w:rPr>
                <w:rFonts w:eastAsia="Times New Roman" w:cs="Times New Roman"/>
                <w:b/>
                <w:iCs/>
                <w:noProof/>
                <w:sz w:val="20"/>
              </w:rPr>
            </w:pPr>
          </w:p>
        </w:tc>
        <w:tc>
          <w:tcPr>
            <w:tcW w:w="1418" w:type="dxa"/>
            <w:tcBorders>
              <w:top w:val="single" w:sz="4" w:space="0" w:color="auto"/>
              <w:bottom w:val="single" w:sz="4" w:space="0" w:color="auto"/>
            </w:tcBorders>
          </w:tcPr>
          <w:p w14:paraId="45D7AD49"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E1F9DBC" w14:textId="77777777" w:rsidR="00116C5C" w:rsidRPr="00B44B19" w:rsidRDefault="00116C5C" w:rsidP="00116C5C">
            <w:pPr>
              <w:rPr>
                <w:rFonts w:eastAsia="Times New Roman" w:cs="Times New Roman"/>
                <w:b/>
                <w:iCs/>
                <w:noProof/>
                <w:sz w:val="20"/>
              </w:rPr>
            </w:pPr>
          </w:p>
        </w:tc>
        <w:tc>
          <w:tcPr>
            <w:tcW w:w="3778" w:type="dxa"/>
            <w:vMerge/>
          </w:tcPr>
          <w:p w14:paraId="1DF33BCC" w14:textId="77777777" w:rsidR="00116C5C" w:rsidRPr="00B44B19" w:rsidRDefault="00116C5C"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1749B663" w14:textId="64F393D0" w:rsidR="00116C5C" w:rsidRPr="00B44B19" w:rsidRDefault="00690204" w:rsidP="00690204">
            <w:pPr>
              <w:jc w:val="right"/>
              <w:rPr>
                <w:rFonts w:cs="Times New Roman"/>
                <w:color w:val="000000"/>
                <w:sz w:val="20"/>
                <w:szCs w:val="20"/>
              </w:rPr>
            </w:pPr>
            <w:r w:rsidRPr="00B44B19">
              <w:rPr>
                <w:rFonts w:cs="Times New Roman"/>
                <w:color w:val="000000"/>
                <w:sz w:val="20"/>
                <w:szCs w:val="20"/>
              </w:rPr>
              <w:t>12 571 757</w:t>
            </w:r>
            <w:r w:rsidR="00704D24" w:rsidRPr="00B44B19">
              <w:rPr>
                <w:rFonts w:cs="Times New Roman"/>
                <w:color w:val="000000"/>
                <w:sz w:val="20"/>
                <w:szCs w:val="20"/>
              </w:rPr>
              <w:t>,00</w:t>
            </w:r>
          </w:p>
        </w:tc>
      </w:tr>
      <w:tr w:rsidR="004A538D" w:rsidRPr="00B44B19" w14:paraId="29F3F25A" w14:textId="77777777" w:rsidTr="0021047B">
        <w:tc>
          <w:tcPr>
            <w:tcW w:w="1101" w:type="dxa"/>
            <w:vMerge/>
          </w:tcPr>
          <w:p w14:paraId="098A0207" w14:textId="77777777" w:rsidR="004A538D" w:rsidRPr="00B44B19" w:rsidRDefault="004A538D" w:rsidP="00116C5C">
            <w:pPr>
              <w:rPr>
                <w:rFonts w:eastAsia="Times New Roman" w:cs="Times New Roman"/>
                <w:iCs/>
                <w:noProof/>
                <w:sz w:val="20"/>
              </w:rPr>
            </w:pPr>
          </w:p>
        </w:tc>
        <w:tc>
          <w:tcPr>
            <w:tcW w:w="850" w:type="dxa"/>
            <w:vMerge/>
          </w:tcPr>
          <w:p w14:paraId="0E7C7767" w14:textId="77777777" w:rsidR="004A538D" w:rsidRPr="00B44B19" w:rsidRDefault="004A538D" w:rsidP="00116C5C">
            <w:pPr>
              <w:rPr>
                <w:rFonts w:eastAsia="Times New Roman" w:cs="Times New Roman"/>
                <w:b/>
                <w:iCs/>
                <w:noProof/>
                <w:sz w:val="20"/>
              </w:rPr>
            </w:pPr>
          </w:p>
        </w:tc>
        <w:tc>
          <w:tcPr>
            <w:tcW w:w="1418" w:type="dxa"/>
            <w:tcBorders>
              <w:top w:val="single" w:sz="4" w:space="0" w:color="auto"/>
              <w:bottom w:val="single" w:sz="4" w:space="0" w:color="auto"/>
            </w:tcBorders>
          </w:tcPr>
          <w:p w14:paraId="57FD5F02" w14:textId="77777777" w:rsidR="004A538D" w:rsidRPr="00B44B19" w:rsidRDefault="004A538D"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2E32ADF3" w14:textId="77777777" w:rsidR="004A538D" w:rsidRPr="00B44B19" w:rsidRDefault="004A538D" w:rsidP="00116C5C">
            <w:pPr>
              <w:rPr>
                <w:rFonts w:eastAsia="Times New Roman" w:cs="Times New Roman"/>
                <w:b/>
                <w:iCs/>
                <w:noProof/>
                <w:sz w:val="20"/>
              </w:rPr>
            </w:pPr>
          </w:p>
        </w:tc>
        <w:tc>
          <w:tcPr>
            <w:tcW w:w="3778" w:type="dxa"/>
            <w:vMerge w:val="restart"/>
          </w:tcPr>
          <w:p w14:paraId="694819BE" w14:textId="36AD924C" w:rsidR="004A538D" w:rsidRPr="00B44B19" w:rsidRDefault="004A538D" w:rsidP="00AD7308">
            <w:pPr>
              <w:rPr>
                <w:rFonts w:eastAsia="Times New Roman" w:cs="Times New Roman"/>
                <w:iCs/>
                <w:noProof/>
                <w:sz w:val="20"/>
                <w:szCs w:val="20"/>
              </w:rPr>
            </w:pPr>
            <w:r w:rsidRPr="00B44B19">
              <w:rPr>
                <w:rFonts w:eastAsia="Times New Roman" w:cs="Times New Roman"/>
                <w:iCs/>
                <w:noProof/>
                <w:sz w:val="20"/>
                <w:szCs w:val="20"/>
              </w:rPr>
              <w:t>012 – Viešųjų mokslinių tyrimų centrų, aukštojo mokslo įstaigų ir kompetencijos centrų mokslinių tyrimų ir inovacijų veikla, įskaitant tinklaveiką (pramoniniai tyrimai, eksperimentinė plėtra, galimybių studijos)</w:t>
            </w:r>
          </w:p>
        </w:tc>
        <w:tc>
          <w:tcPr>
            <w:tcW w:w="1466" w:type="dxa"/>
            <w:tcBorders>
              <w:top w:val="single" w:sz="4" w:space="0" w:color="auto"/>
              <w:bottom w:val="single" w:sz="4" w:space="0" w:color="auto"/>
            </w:tcBorders>
          </w:tcPr>
          <w:p w14:paraId="0E107F65" w14:textId="5F0175CB" w:rsidR="004A538D" w:rsidRPr="00B44B19" w:rsidRDefault="00690204" w:rsidP="00690204">
            <w:pPr>
              <w:jc w:val="right"/>
              <w:rPr>
                <w:rFonts w:cs="Times New Roman"/>
                <w:sz w:val="20"/>
                <w:szCs w:val="20"/>
              </w:rPr>
            </w:pPr>
            <w:r w:rsidRPr="00B44B19">
              <w:rPr>
                <w:rFonts w:cs="Times New Roman"/>
                <w:color w:val="000000"/>
                <w:sz w:val="20"/>
                <w:szCs w:val="20"/>
              </w:rPr>
              <w:t>31 578 889</w:t>
            </w:r>
            <w:r w:rsidR="00704D24" w:rsidRPr="00B44B19">
              <w:rPr>
                <w:rFonts w:cs="Times New Roman"/>
                <w:sz w:val="20"/>
                <w:szCs w:val="20"/>
              </w:rPr>
              <w:t>,00</w:t>
            </w:r>
          </w:p>
        </w:tc>
      </w:tr>
      <w:tr w:rsidR="004A538D" w:rsidRPr="00B44B19" w14:paraId="505B04E5" w14:textId="77777777" w:rsidTr="003040E3">
        <w:trPr>
          <w:trHeight w:val="470"/>
        </w:trPr>
        <w:tc>
          <w:tcPr>
            <w:tcW w:w="1101" w:type="dxa"/>
            <w:vMerge/>
          </w:tcPr>
          <w:p w14:paraId="0EA52411" w14:textId="77777777" w:rsidR="004A538D" w:rsidRPr="00B44B19" w:rsidRDefault="004A538D" w:rsidP="00116C5C">
            <w:pPr>
              <w:rPr>
                <w:rFonts w:eastAsia="Times New Roman" w:cs="Times New Roman"/>
                <w:iCs/>
                <w:noProof/>
                <w:sz w:val="20"/>
              </w:rPr>
            </w:pPr>
          </w:p>
        </w:tc>
        <w:tc>
          <w:tcPr>
            <w:tcW w:w="850" w:type="dxa"/>
            <w:vMerge/>
          </w:tcPr>
          <w:p w14:paraId="70654A95" w14:textId="77777777" w:rsidR="004A538D" w:rsidRPr="00B44B19" w:rsidRDefault="004A538D" w:rsidP="00116C5C">
            <w:pPr>
              <w:rPr>
                <w:rFonts w:eastAsia="Times New Roman" w:cs="Times New Roman"/>
                <w:b/>
                <w:iCs/>
                <w:noProof/>
                <w:sz w:val="20"/>
              </w:rPr>
            </w:pPr>
          </w:p>
        </w:tc>
        <w:tc>
          <w:tcPr>
            <w:tcW w:w="1418" w:type="dxa"/>
            <w:tcBorders>
              <w:top w:val="single" w:sz="4" w:space="0" w:color="auto"/>
            </w:tcBorders>
          </w:tcPr>
          <w:p w14:paraId="684F2624" w14:textId="77777777" w:rsidR="004A538D" w:rsidRPr="00B44B19" w:rsidRDefault="004A538D" w:rsidP="00116C5C">
            <w:pPr>
              <w:rPr>
                <w:rFonts w:eastAsia="Times New Roman" w:cs="Times New Roman"/>
                <w:iCs/>
                <w:noProof/>
                <w:sz w:val="20"/>
              </w:rPr>
            </w:pPr>
            <w:r w:rsidRPr="00B44B19">
              <w:rPr>
                <w:rFonts w:eastAsia="Times New Roman" w:cs="Times New Roman"/>
                <w:iCs/>
                <w:noProof/>
                <w:sz w:val="20"/>
              </w:rPr>
              <w:t>VVL regionas</w:t>
            </w:r>
          </w:p>
          <w:p w14:paraId="5FE11BD4" w14:textId="77777777" w:rsidR="006D77C0" w:rsidRPr="00B44B19" w:rsidRDefault="006D77C0" w:rsidP="00116C5C">
            <w:pPr>
              <w:rPr>
                <w:rFonts w:eastAsia="Times New Roman" w:cs="Times New Roman"/>
                <w:iCs/>
                <w:noProof/>
                <w:sz w:val="20"/>
              </w:rPr>
            </w:pPr>
          </w:p>
          <w:p w14:paraId="78EB2EFC" w14:textId="40712EFC" w:rsidR="004A538D" w:rsidRPr="00B44B19" w:rsidRDefault="004A538D" w:rsidP="00116C5C">
            <w:pPr>
              <w:rPr>
                <w:rFonts w:eastAsia="Times New Roman" w:cs="Times New Roman"/>
                <w:iCs/>
                <w:noProof/>
                <w:sz w:val="20"/>
              </w:rPr>
            </w:pPr>
          </w:p>
        </w:tc>
        <w:tc>
          <w:tcPr>
            <w:tcW w:w="1134" w:type="dxa"/>
            <w:vMerge/>
          </w:tcPr>
          <w:p w14:paraId="7176794C" w14:textId="77777777" w:rsidR="004A538D" w:rsidRPr="00B44B19" w:rsidRDefault="004A538D" w:rsidP="00116C5C">
            <w:pPr>
              <w:rPr>
                <w:rFonts w:eastAsia="Times New Roman" w:cs="Times New Roman"/>
                <w:b/>
                <w:iCs/>
                <w:noProof/>
                <w:sz w:val="20"/>
              </w:rPr>
            </w:pPr>
          </w:p>
        </w:tc>
        <w:tc>
          <w:tcPr>
            <w:tcW w:w="3778" w:type="dxa"/>
            <w:vMerge/>
          </w:tcPr>
          <w:p w14:paraId="69184D45" w14:textId="58B689DC" w:rsidR="004A538D" w:rsidRPr="00B44B19" w:rsidRDefault="004A538D" w:rsidP="00AD7308">
            <w:pPr>
              <w:rPr>
                <w:rFonts w:eastAsia="Times New Roman" w:cs="Times New Roman"/>
                <w:iCs/>
                <w:noProof/>
                <w:sz w:val="20"/>
                <w:szCs w:val="20"/>
              </w:rPr>
            </w:pPr>
          </w:p>
        </w:tc>
        <w:tc>
          <w:tcPr>
            <w:tcW w:w="1466" w:type="dxa"/>
            <w:tcBorders>
              <w:top w:val="single" w:sz="4" w:space="0" w:color="auto"/>
            </w:tcBorders>
          </w:tcPr>
          <w:p w14:paraId="71F153DF" w14:textId="1875BEC4" w:rsidR="006D77C0" w:rsidRPr="00B44B19" w:rsidRDefault="00690204" w:rsidP="003A660F">
            <w:pPr>
              <w:jc w:val="right"/>
              <w:rPr>
                <w:rFonts w:cs="Times New Roman"/>
                <w:sz w:val="20"/>
                <w:szCs w:val="20"/>
              </w:rPr>
            </w:pPr>
            <w:r w:rsidRPr="00B44B19">
              <w:rPr>
                <w:rFonts w:cs="Times New Roman"/>
                <w:color w:val="000000"/>
                <w:sz w:val="20"/>
                <w:szCs w:val="20"/>
              </w:rPr>
              <w:t>53 803 046</w:t>
            </w:r>
            <w:r w:rsidR="00704D24" w:rsidRPr="00B44B19">
              <w:rPr>
                <w:rFonts w:cs="Times New Roman"/>
                <w:sz w:val="20"/>
                <w:szCs w:val="20"/>
              </w:rPr>
              <w:t>,00</w:t>
            </w:r>
          </w:p>
          <w:p w14:paraId="64594939" w14:textId="51244DD7" w:rsidR="004A538D" w:rsidRPr="00B44B19" w:rsidRDefault="004A538D" w:rsidP="003D3CB2">
            <w:pPr>
              <w:rPr>
                <w:rFonts w:cs="Times New Roman"/>
                <w:sz w:val="20"/>
                <w:szCs w:val="20"/>
              </w:rPr>
            </w:pPr>
          </w:p>
        </w:tc>
      </w:tr>
      <w:tr w:rsidR="00457B42" w:rsidRPr="00B44B19" w14:paraId="449BA023" w14:textId="77777777" w:rsidTr="0021047B">
        <w:tc>
          <w:tcPr>
            <w:tcW w:w="1101" w:type="dxa"/>
            <w:vMerge/>
          </w:tcPr>
          <w:p w14:paraId="0E6569AF" w14:textId="77777777" w:rsidR="00457B42" w:rsidRPr="00B44B19" w:rsidRDefault="00457B42" w:rsidP="00116C5C">
            <w:pPr>
              <w:rPr>
                <w:rFonts w:eastAsia="Times New Roman" w:cs="Times New Roman"/>
                <w:iCs/>
                <w:noProof/>
                <w:sz w:val="20"/>
              </w:rPr>
            </w:pPr>
          </w:p>
        </w:tc>
        <w:tc>
          <w:tcPr>
            <w:tcW w:w="850" w:type="dxa"/>
            <w:vMerge/>
          </w:tcPr>
          <w:p w14:paraId="6394078F"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40F2E080"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09B6963" w14:textId="77777777" w:rsidR="00457B42" w:rsidRPr="00B44B19" w:rsidRDefault="00457B42" w:rsidP="00116C5C">
            <w:pPr>
              <w:rPr>
                <w:rFonts w:eastAsia="Times New Roman" w:cs="Times New Roman"/>
                <w:b/>
                <w:iCs/>
                <w:noProof/>
                <w:sz w:val="20"/>
              </w:rPr>
            </w:pPr>
          </w:p>
        </w:tc>
        <w:tc>
          <w:tcPr>
            <w:tcW w:w="3778" w:type="dxa"/>
          </w:tcPr>
          <w:p w14:paraId="2526E178" w14:textId="77777777" w:rsidR="00457B42" w:rsidRPr="00B44B19" w:rsidRDefault="00457B42" w:rsidP="00AD7308">
            <w:pPr>
              <w:rPr>
                <w:rFonts w:eastAsia="Times New Roman" w:cs="Times New Roman"/>
                <w:iCs/>
                <w:noProof/>
                <w:sz w:val="20"/>
                <w:szCs w:val="20"/>
              </w:rPr>
            </w:pPr>
            <w:r w:rsidRPr="00B44B19">
              <w:rPr>
                <w:rFonts w:eastAsia="Times New Roman" w:cs="Times New Roman"/>
                <w:iCs/>
                <w:noProof/>
                <w:sz w:val="20"/>
                <w:szCs w:val="20"/>
              </w:rPr>
              <w:t xml:space="preserve">025 </w:t>
            </w:r>
            <w:r w:rsidR="002B22DC" w:rsidRPr="00B44B19">
              <w:rPr>
                <w:rFonts w:eastAsia="Times New Roman" w:cs="Times New Roman"/>
                <w:iCs/>
                <w:noProof/>
                <w:sz w:val="20"/>
                <w:szCs w:val="20"/>
              </w:rPr>
              <w:t>–</w:t>
            </w:r>
            <w:r w:rsidRPr="00B44B19">
              <w:rPr>
                <w:rFonts w:eastAsia="Times New Roman" w:cs="Times New Roman"/>
                <w:iCs/>
                <w:noProof/>
                <w:sz w:val="20"/>
                <w:szCs w:val="20"/>
              </w:rPr>
              <w:t xml:space="preserve"> </w:t>
            </w:r>
            <w:r w:rsidRPr="00B44B19">
              <w:rPr>
                <w:rFonts w:eastAsia="Calibri" w:cs="Times New Roman"/>
                <w:sz w:val="20"/>
                <w:szCs w:val="20"/>
              </w:rPr>
              <w:t>Inkubacija, parama atžalinėms ir atskirtosioms įmonėms bei startuoliams</w:t>
            </w:r>
          </w:p>
        </w:tc>
        <w:tc>
          <w:tcPr>
            <w:tcW w:w="1466" w:type="dxa"/>
            <w:tcBorders>
              <w:top w:val="single" w:sz="4" w:space="0" w:color="auto"/>
              <w:bottom w:val="single" w:sz="4" w:space="0" w:color="auto"/>
            </w:tcBorders>
          </w:tcPr>
          <w:p w14:paraId="5FA47EA6" w14:textId="77777777" w:rsidR="00457B42" w:rsidRPr="00B44B19" w:rsidRDefault="00457B42" w:rsidP="00116C5C">
            <w:pPr>
              <w:jc w:val="right"/>
              <w:rPr>
                <w:rFonts w:cs="Times New Roman"/>
                <w:sz w:val="20"/>
                <w:szCs w:val="20"/>
              </w:rPr>
            </w:pPr>
            <w:r w:rsidRPr="00B44B19">
              <w:rPr>
                <w:rFonts w:cs="Times New Roman"/>
                <w:sz w:val="20"/>
                <w:szCs w:val="20"/>
              </w:rPr>
              <w:t>50 000 000,00</w:t>
            </w:r>
          </w:p>
        </w:tc>
      </w:tr>
      <w:tr w:rsidR="00457B42" w:rsidRPr="00B44B19" w14:paraId="29E2899C" w14:textId="77777777" w:rsidTr="0021047B">
        <w:tc>
          <w:tcPr>
            <w:tcW w:w="1101" w:type="dxa"/>
            <w:vMerge/>
          </w:tcPr>
          <w:p w14:paraId="215B45E5" w14:textId="77777777" w:rsidR="00457B42" w:rsidRPr="00B44B19" w:rsidRDefault="00457B42" w:rsidP="00116C5C">
            <w:pPr>
              <w:rPr>
                <w:rFonts w:eastAsia="Times New Roman" w:cs="Times New Roman"/>
                <w:iCs/>
                <w:noProof/>
                <w:sz w:val="20"/>
              </w:rPr>
            </w:pPr>
          </w:p>
        </w:tc>
        <w:tc>
          <w:tcPr>
            <w:tcW w:w="850" w:type="dxa"/>
            <w:vMerge/>
          </w:tcPr>
          <w:p w14:paraId="45951A3D"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041C6AE8"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513E0A77" w14:textId="77777777" w:rsidR="00457B42" w:rsidRPr="00B44B19" w:rsidRDefault="00457B42" w:rsidP="00116C5C">
            <w:pPr>
              <w:rPr>
                <w:rFonts w:eastAsia="Times New Roman" w:cs="Times New Roman"/>
                <w:b/>
                <w:iCs/>
                <w:noProof/>
                <w:sz w:val="20"/>
              </w:rPr>
            </w:pPr>
          </w:p>
        </w:tc>
        <w:tc>
          <w:tcPr>
            <w:tcW w:w="3778" w:type="dxa"/>
            <w:vMerge w:val="restart"/>
          </w:tcPr>
          <w:p w14:paraId="54245C4F" w14:textId="77777777" w:rsidR="00457B42" w:rsidRPr="00B44B19" w:rsidRDefault="00457B42" w:rsidP="00AD7308">
            <w:pPr>
              <w:rPr>
                <w:rFonts w:eastAsia="Times New Roman" w:cs="Times New Roman"/>
                <w:iCs/>
                <w:noProof/>
                <w:sz w:val="20"/>
                <w:szCs w:val="20"/>
              </w:rPr>
            </w:pPr>
            <w:r w:rsidRPr="00B44B19">
              <w:rPr>
                <w:rFonts w:eastAsia="Times New Roman" w:cs="Times New Roman"/>
                <w:iCs/>
                <w:noProof/>
                <w:sz w:val="20"/>
                <w:szCs w:val="20"/>
              </w:rPr>
              <w:t xml:space="preserve">026 </w:t>
            </w:r>
            <w:r w:rsidR="002B22DC" w:rsidRPr="00B44B19">
              <w:rPr>
                <w:rFonts w:eastAsia="Times New Roman" w:cs="Times New Roman"/>
                <w:iCs/>
                <w:noProof/>
                <w:sz w:val="20"/>
                <w:szCs w:val="20"/>
              </w:rPr>
              <w:t>–</w:t>
            </w:r>
            <w:r w:rsidRPr="00B44B19">
              <w:rPr>
                <w:rFonts w:eastAsia="Times New Roman" w:cs="Times New Roman"/>
                <w:iCs/>
                <w:noProof/>
                <w:sz w:val="20"/>
                <w:szCs w:val="20"/>
              </w:rPr>
              <w:t xml:space="preserve"> Parama inovacijų klasteriams, be kita ko, tarp įmonių, mokslinių tyrimų organizacijų ir valdžios institucijų bei verslo tinklų, kas visų pirma naudinga MVĮ</w:t>
            </w:r>
          </w:p>
        </w:tc>
        <w:tc>
          <w:tcPr>
            <w:tcW w:w="1466" w:type="dxa"/>
            <w:tcBorders>
              <w:top w:val="single" w:sz="4" w:space="0" w:color="auto"/>
              <w:bottom w:val="single" w:sz="4" w:space="0" w:color="auto"/>
            </w:tcBorders>
          </w:tcPr>
          <w:p w14:paraId="11F61DD1" w14:textId="0DC49207" w:rsidR="00457B42" w:rsidRPr="00B44B19" w:rsidRDefault="00704D24" w:rsidP="00116C5C">
            <w:pPr>
              <w:jc w:val="right"/>
              <w:rPr>
                <w:rFonts w:cs="Times New Roman"/>
                <w:sz w:val="20"/>
                <w:szCs w:val="20"/>
              </w:rPr>
            </w:pPr>
            <w:r w:rsidRPr="00B44B19">
              <w:rPr>
                <w:rFonts w:cs="Times New Roman"/>
                <w:sz w:val="20"/>
                <w:szCs w:val="20"/>
              </w:rPr>
              <w:t>1 762 771,00</w:t>
            </w:r>
          </w:p>
        </w:tc>
      </w:tr>
      <w:tr w:rsidR="00457B42" w:rsidRPr="00B44B19" w14:paraId="28B02105" w14:textId="77777777" w:rsidTr="0021047B">
        <w:tc>
          <w:tcPr>
            <w:tcW w:w="1101" w:type="dxa"/>
            <w:vMerge/>
          </w:tcPr>
          <w:p w14:paraId="72C5DF5D" w14:textId="77777777" w:rsidR="00457B42" w:rsidRPr="00B44B19" w:rsidRDefault="00457B42" w:rsidP="00116C5C">
            <w:pPr>
              <w:rPr>
                <w:rFonts w:eastAsia="Times New Roman" w:cs="Times New Roman"/>
                <w:iCs/>
                <w:noProof/>
                <w:sz w:val="20"/>
              </w:rPr>
            </w:pPr>
          </w:p>
        </w:tc>
        <w:tc>
          <w:tcPr>
            <w:tcW w:w="850" w:type="dxa"/>
            <w:vMerge/>
          </w:tcPr>
          <w:p w14:paraId="2C16EDBE"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06AB6EB7"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9C30A0A" w14:textId="77777777" w:rsidR="00457B42" w:rsidRPr="00B44B19" w:rsidRDefault="00457B42" w:rsidP="00116C5C">
            <w:pPr>
              <w:rPr>
                <w:rFonts w:eastAsia="Times New Roman" w:cs="Times New Roman"/>
                <w:b/>
                <w:iCs/>
                <w:noProof/>
                <w:sz w:val="20"/>
              </w:rPr>
            </w:pPr>
          </w:p>
        </w:tc>
        <w:tc>
          <w:tcPr>
            <w:tcW w:w="3778" w:type="dxa"/>
            <w:vMerge/>
          </w:tcPr>
          <w:p w14:paraId="4A651E3D" w14:textId="77777777" w:rsidR="00457B42" w:rsidRPr="00B44B19"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2445E6B3" w14:textId="4922DF13" w:rsidR="00457B42" w:rsidRPr="00B44B19" w:rsidRDefault="00704D24" w:rsidP="00116C5C">
            <w:pPr>
              <w:tabs>
                <w:tab w:val="left" w:pos="1227"/>
              </w:tabs>
              <w:jc w:val="right"/>
              <w:rPr>
                <w:rFonts w:cs="Times New Roman"/>
                <w:sz w:val="20"/>
                <w:szCs w:val="20"/>
              </w:rPr>
            </w:pPr>
            <w:r w:rsidRPr="00B44B19">
              <w:rPr>
                <w:rFonts w:cs="Times New Roman"/>
                <w:sz w:val="20"/>
                <w:szCs w:val="20"/>
              </w:rPr>
              <w:t>2 890 489,00</w:t>
            </w:r>
          </w:p>
        </w:tc>
      </w:tr>
      <w:tr w:rsidR="00457B42" w:rsidRPr="00B44B19" w14:paraId="67725904" w14:textId="77777777" w:rsidTr="0021047B">
        <w:tc>
          <w:tcPr>
            <w:tcW w:w="1101" w:type="dxa"/>
            <w:vMerge/>
          </w:tcPr>
          <w:p w14:paraId="07EF74F1" w14:textId="77777777" w:rsidR="00457B42" w:rsidRPr="00B44B19" w:rsidRDefault="00457B42" w:rsidP="00116C5C">
            <w:pPr>
              <w:rPr>
                <w:rFonts w:eastAsia="Times New Roman" w:cs="Times New Roman"/>
                <w:iCs/>
                <w:noProof/>
                <w:sz w:val="20"/>
              </w:rPr>
            </w:pPr>
          </w:p>
        </w:tc>
        <w:tc>
          <w:tcPr>
            <w:tcW w:w="850" w:type="dxa"/>
            <w:vMerge/>
          </w:tcPr>
          <w:p w14:paraId="0865F6E7"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4ABDBBFB"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6BE171A2" w14:textId="77777777" w:rsidR="00457B42" w:rsidRPr="00B44B19" w:rsidRDefault="00457B42" w:rsidP="00116C5C">
            <w:pPr>
              <w:rPr>
                <w:rFonts w:eastAsia="Times New Roman" w:cs="Times New Roman"/>
                <w:b/>
                <w:iCs/>
                <w:noProof/>
                <w:sz w:val="20"/>
              </w:rPr>
            </w:pPr>
          </w:p>
        </w:tc>
        <w:tc>
          <w:tcPr>
            <w:tcW w:w="3778" w:type="dxa"/>
          </w:tcPr>
          <w:p w14:paraId="42D151CE" w14:textId="77777777" w:rsidR="00457B42" w:rsidRPr="00B44B19" w:rsidRDefault="00457B42" w:rsidP="00AD7308">
            <w:pPr>
              <w:rPr>
                <w:rFonts w:eastAsia="Times New Roman" w:cs="Times New Roman"/>
                <w:iCs/>
                <w:noProof/>
                <w:sz w:val="20"/>
                <w:szCs w:val="20"/>
              </w:rPr>
            </w:pPr>
            <w:r w:rsidRPr="00B44B19">
              <w:rPr>
                <w:rFonts w:eastAsia="Times New Roman" w:cs="Times New Roman"/>
                <w:iCs/>
                <w:noProof/>
                <w:sz w:val="20"/>
                <w:szCs w:val="20"/>
              </w:rPr>
              <w:t xml:space="preserve">028 </w:t>
            </w:r>
            <w:r w:rsidR="002B22DC" w:rsidRPr="00B44B19">
              <w:rPr>
                <w:rFonts w:eastAsia="Times New Roman" w:cs="Times New Roman"/>
                <w:iCs/>
                <w:noProof/>
                <w:sz w:val="20"/>
                <w:szCs w:val="20"/>
              </w:rPr>
              <w:t>–</w:t>
            </w:r>
            <w:r w:rsidRPr="00B44B19">
              <w:rPr>
                <w:rFonts w:eastAsia="Times New Roman" w:cs="Times New Roman"/>
                <w:iCs/>
                <w:noProof/>
                <w:sz w:val="20"/>
                <w:szCs w:val="20"/>
              </w:rPr>
              <w:t xml:space="preserve"> Technologijų perdavimas ir bendradarbiavimas tarp įmonių, mokslinių tyrimų centrų ir aukštojo mokslo sektoriaus</w:t>
            </w:r>
          </w:p>
        </w:tc>
        <w:tc>
          <w:tcPr>
            <w:tcW w:w="1466" w:type="dxa"/>
            <w:tcBorders>
              <w:top w:val="single" w:sz="4" w:space="0" w:color="auto"/>
              <w:bottom w:val="single" w:sz="4" w:space="0" w:color="auto"/>
            </w:tcBorders>
          </w:tcPr>
          <w:p w14:paraId="733C32B6" w14:textId="78241647" w:rsidR="00457B42" w:rsidRPr="00B44B19" w:rsidRDefault="00690204" w:rsidP="00690204">
            <w:pPr>
              <w:jc w:val="right"/>
              <w:rPr>
                <w:rFonts w:cs="Times New Roman"/>
                <w:sz w:val="22"/>
              </w:rPr>
            </w:pPr>
            <w:r w:rsidRPr="00B44B19">
              <w:rPr>
                <w:rFonts w:cs="Times New Roman"/>
                <w:color w:val="000000"/>
                <w:sz w:val="20"/>
                <w:szCs w:val="20"/>
              </w:rPr>
              <w:t>30 816 820</w:t>
            </w:r>
            <w:r w:rsidR="00457B42" w:rsidRPr="00B44B19">
              <w:rPr>
                <w:rFonts w:cs="Times New Roman"/>
                <w:sz w:val="20"/>
                <w:szCs w:val="20"/>
              </w:rPr>
              <w:t>,00</w:t>
            </w:r>
          </w:p>
        </w:tc>
      </w:tr>
      <w:tr w:rsidR="00457B42" w:rsidRPr="00B44B19" w14:paraId="453DEF40" w14:textId="77777777" w:rsidTr="0021047B">
        <w:tc>
          <w:tcPr>
            <w:tcW w:w="1101" w:type="dxa"/>
            <w:vMerge/>
          </w:tcPr>
          <w:p w14:paraId="28CDD3AF" w14:textId="77777777" w:rsidR="00457B42" w:rsidRPr="00B44B19" w:rsidRDefault="00457B42" w:rsidP="00116C5C">
            <w:pPr>
              <w:rPr>
                <w:rFonts w:eastAsia="Times New Roman" w:cs="Times New Roman"/>
                <w:iCs/>
                <w:noProof/>
                <w:sz w:val="20"/>
              </w:rPr>
            </w:pPr>
          </w:p>
        </w:tc>
        <w:tc>
          <w:tcPr>
            <w:tcW w:w="850" w:type="dxa"/>
            <w:vMerge/>
          </w:tcPr>
          <w:p w14:paraId="7B3EA342"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2D0A0E25"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75CD5BF5" w14:textId="77777777" w:rsidR="00457B42" w:rsidRPr="00B44B19" w:rsidRDefault="00457B42" w:rsidP="00116C5C">
            <w:pPr>
              <w:rPr>
                <w:rFonts w:eastAsia="Times New Roman" w:cs="Times New Roman"/>
                <w:b/>
                <w:iCs/>
                <w:noProof/>
                <w:sz w:val="20"/>
              </w:rPr>
            </w:pPr>
          </w:p>
        </w:tc>
        <w:tc>
          <w:tcPr>
            <w:tcW w:w="3778" w:type="dxa"/>
            <w:vMerge w:val="restart"/>
          </w:tcPr>
          <w:p w14:paraId="624DC0E2" w14:textId="77777777" w:rsidR="00457B42" w:rsidRPr="00B44B19" w:rsidRDefault="00457B42" w:rsidP="00457B42">
            <w:pPr>
              <w:rPr>
                <w:rFonts w:eastAsia="Times New Roman" w:cs="Times New Roman"/>
                <w:iCs/>
                <w:noProof/>
                <w:sz w:val="20"/>
                <w:szCs w:val="20"/>
              </w:rPr>
            </w:pPr>
            <w:r w:rsidRPr="00B44B19">
              <w:rPr>
                <w:rFonts w:eastAsia="Times New Roman" w:cs="Times New Roman"/>
                <w:iCs/>
                <w:noProof/>
                <w:sz w:val="20"/>
                <w:szCs w:val="20"/>
              </w:rPr>
              <w:t xml:space="preserve">029 </w:t>
            </w:r>
            <w:r w:rsidR="002B22DC" w:rsidRPr="00B44B19">
              <w:rPr>
                <w:rFonts w:eastAsia="Times New Roman" w:cs="Times New Roman"/>
                <w:iCs/>
                <w:noProof/>
                <w:sz w:val="20"/>
                <w:szCs w:val="20"/>
              </w:rPr>
              <w:t>–</w:t>
            </w:r>
            <w:r w:rsidRPr="00B44B19">
              <w:rPr>
                <w:rFonts w:eastAsia="Times New Roman" w:cs="Times New Roman"/>
                <w:iCs/>
                <w:noProof/>
                <w:sz w:val="20"/>
                <w:szCs w:val="20"/>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466" w:type="dxa"/>
            <w:tcBorders>
              <w:top w:val="single" w:sz="4" w:space="0" w:color="auto"/>
              <w:bottom w:val="single" w:sz="4" w:space="0" w:color="auto"/>
            </w:tcBorders>
          </w:tcPr>
          <w:p w14:paraId="5BED9A1B" w14:textId="77777777" w:rsidR="00457B42" w:rsidRPr="00B44B19" w:rsidRDefault="00452E31" w:rsidP="007F63EB">
            <w:pPr>
              <w:jc w:val="right"/>
              <w:rPr>
                <w:rFonts w:cs="Times New Roman"/>
                <w:sz w:val="20"/>
                <w:szCs w:val="20"/>
              </w:rPr>
            </w:pPr>
            <w:r w:rsidRPr="00B44B19">
              <w:rPr>
                <w:rFonts w:cs="Times New Roman"/>
                <w:sz w:val="20"/>
                <w:szCs w:val="20"/>
              </w:rPr>
              <w:t>15 695 385,00</w:t>
            </w:r>
          </w:p>
        </w:tc>
      </w:tr>
      <w:tr w:rsidR="00457B42" w:rsidRPr="00B44B19" w14:paraId="62D8DECC" w14:textId="77777777" w:rsidTr="0021047B">
        <w:tc>
          <w:tcPr>
            <w:tcW w:w="1101" w:type="dxa"/>
            <w:vMerge/>
          </w:tcPr>
          <w:p w14:paraId="7410443C" w14:textId="77777777" w:rsidR="00457B42" w:rsidRPr="00B44B19" w:rsidRDefault="00457B42" w:rsidP="00116C5C">
            <w:pPr>
              <w:rPr>
                <w:rFonts w:eastAsia="Times New Roman" w:cs="Times New Roman"/>
                <w:iCs/>
                <w:noProof/>
                <w:sz w:val="20"/>
              </w:rPr>
            </w:pPr>
          </w:p>
        </w:tc>
        <w:tc>
          <w:tcPr>
            <w:tcW w:w="850" w:type="dxa"/>
            <w:vMerge/>
          </w:tcPr>
          <w:p w14:paraId="2F16B7C5"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1594D1B7"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093E2875" w14:textId="77777777" w:rsidR="00457B42" w:rsidRPr="00B44B19" w:rsidRDefault="00457B42" w:rsidP="00116C5C">
            <w:pPr>
              <w:rPr>
                <w:rFonts w:eastAsia="Times New Roman" w:cs="Times New Roman"/>
                <w:b/>
                <w:iCs/>
                <w:noProof/>
                <w:sz w:val="20"/>
              </w:rPr>
            </w:pPr>
          </w:p>
        </w:tc>
        <w:tc>
          <w:tcPr>
            <w:tcW w:w="3778" w:type="dxa"/>
            <w:vMerge/>
          </w:tcPr>
          <w:p w14:paraId="30A2D537" w14:textId="77777777" w:rsidR="00457B42" w:rsidRPr="00B44B19" w:rsidRDefault="00457B42" w:rsidP="00AD7308">
            <w:pPr>
              <w:rPr>
                <w:rFonts w:eastAsia="Times New Roman" w:cs="Times New Roman"/>
                <w:iCs/>
                <w:noProof/>
                <w:sz w:val="20"/>
                <w:szCs w:val="20"/>
              </w:rPr>
            </w:pPr>
          </w:p>
        </w:tc>
        <w:tc>
          <w:tcPr>
            <w:tcW w:w="1466" w:type="dxa"/>
            <w:tcBorders>
              <w:top w:val="single" w:sz="4" w:space="0" w:color="auto"/>
              <w:bottom w:val="single" w:sz="4" w:space="0" w:color="auto"/>
            </w:tcBorders>
          </w:tcPr>
          <w:p w14:paraId="71DA681C" w14:textId="59D4AF25" w:rsidR="00457B42" w:rsidRPr="00B44B19" w:rsidRDefault="00704D24" w:rsidP="007F63EB">
            <w:pPr>
              <w:jc w:val="right"/>
              <w:rPr>
                <w:rFonts w:cs="Times New Roman"/>
                <w:sz w:val="20"/>
                <w:szCs w:val="20"/>
              </w:rPr>
            </w:pPr>
            <w:r w:rsidRPr="00B44B19">
              <w:rPr>
                <w:rFonts w:cs="Times New Roman"/>
                <w:sz w:val="20"/>
                <w:szCs w:val="20"/>
              </w:rPr>
              <w:t>26 675 156,00</w:t>
            </w:r>
          </w:p>
        </w:tc>
      </w:tr>
      <w:tr w:rsidR="00457B42" w:rsidRPr="00B44B19" w14:paraId="0F8C83BD" w14:textId="77777777" w:rsidTr="0021047B">
        <w:tc>
          <w:tcPr>
            <w:tcW w:w="1101" w:type="dxa"/>
            <w:vMerge/>
          </w:tcPr>
          <w:p w14:paraId="34E83637" w14:textId="77777777" w:rsidR="00457B42" w:rsidRPr="00B44B19" w:rsidRDefault="00457B42" w:rsidP="00116C5C">
            <w:pPr>
              <w:rPr>
                <w:rFonts w:eastAsia="Times New Roman" w:cs="Times New Roman"/>
                <w:iCs/>
                <w:noProof/>
                <w:sz w:val="20"/>
              </w:rPr>
            </w:pPr>
          </w:p>
        </w:tc>
        <w:tc>
          <w:tcPr>
            <w:tcW w:w="850" w:type="dxa"/>
            <w:vMerge/>
          </w:tcPr>
          <w:p w14:paraId="4B74AA5B" w14:textId="77777777" w:rsidR="00457B42" w:rsidRPr="00B44B19" w:rsidRDefault="00457B42" w:rsidP="00116C5C">
            <w:pPr>
              <w:rPr>
                <w:rFonts w:eastAsia="Times New Roman" w:cs="Times New Roman"/>
                <w:b/>
                <w:iCs/>
                <w:noProof/>
                <w:sz w:val="20"/>
              </w:rPr>
            </w:pPr>
          </w:p>
        </w:tc>
        <w:tc>
          <w:tcPr>
            <w:tcW w:w="1418" w:type="dxa"/>
            <w:tcBorders>
              <w:top w:val="single" w:sz="4" w:space="0" w:color="auto"/>
              <w:bottom w:val="single" w:sz="4" w:space="0" w:color="auto"/>
            </w:tcBorders>
          </w:tcPr>
          <w:p w14:paraId="55B83EBF" w14:textId="77777777" w:rsidR="00457B42" w:rsidRPr="00B44B19" w:rsidRDefault="00457B42"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184C0F7D" w14:textId="77777777" w:rsidR="00457B42" w:rsidRPr="00B44B19" w:rsidRDefault="00457B42" w:rsidP="00116C5C">
            <w:pPr>
              <w:rPr>
                <w:rFonts w:eastAsia="Times New Roman" w:cs="Times New Roman"/>
                <w:b/>
                <w:iCs/>
                <w:noProof/>
                <w:sz w:val="20"/>
              </w:rPr>
            </w:pPr>
          </w:p>
        </w:tc>
        <w:tc>
          <w:tcPr>
            <w:tcW w:w="3778" w:type="dxa"/>
          </w:tcPr>
          <w:p w14:paraId="38FAE9AE" w14:textId="77777777" w:rsidR="00457B42" w:rsidRPr="00B44B19" w:rsidRDefault="00457B42" w:rsidP="00AD7308">
            <w:pPr>
              <w:rPr>
                <w:rFonts w:eastAsia="Times New Roman" w:cs="Times New Roman"/>
                <w:iCs/>
                <w:noProof/>
                <w:sz w:val="20"/>
                <w:szCs w:val="20"/>
              </w:rPr>
            </w:pPr>
            <w:r w:rsidRPr="00B44B19">
              <w:rPr>
                <w:rFonts w:eastAsia="Times New Roman" w:cs="Times New Roman"/>
                <w:iCs/>
                <w:noProof/>
                <w:sz w:val="20"/>
                <w:szCs w:val="20"/>
              </w:rPr>
              <w:t xml:space="preserve">030 </w:t>
            </w:r>
            <w:r w:rsidR="002B22DC" w:rsidRPr="00B44B19">
              <w:rPr>
                <w:rFonts w:eastAsia="Times New Roman" w:cs="Times New Roman"/>
                <w:iCs/>
                <w:noProof/>
                <w:sz w:val="20"/>
                <w:szCs w:val="20"/>
              </w:rPr>
              <w:t>–</w:t>
            </w:r>
            <w:r w:rsidRPr="00B44B19">
              <w:rPr>
                <w:rFonts w:eastAsia="Times New Roman" w:cs="Times New Roman"/>
                <w:iCs/>
                <w:noProof/>
                <w:sz w:val="20"/>
                <w:szCs w:val="20"/>
              </w:rPr>
              <w:t xml:space="preserve"> Įmonių vykdomi mokslinių tyrimų ir inovacijų diegimo procesai, technologijų perdavimas ir bendradarbiavimas, daugiausia dėmesio skiriant žiedinei ekonomikai</w:t>
            </w:r>
          </w:p>
        </w:tc>
        <w:tc>
          <w:tcPr>
            <w:tcW w:w="1466" w:type="dxa"/>
            <w:tcBorders>
              <w:top w:val="single" w:sz="4" w:space="0" w:color="auto"/>
              <w:bottom w:val="single" w:sz="4" w:space="0" w:color="auto"/>
            </w:tcBorders>
          </w:tcPr>
          <w:p w14:paraId="0CE385B1" w14:textId="77777777" w:rsidR="00457B42" w:rsidRPr="00B44B19" w:rsidRDefault="00B86E92" w:rsidP="00116C5C">
            <w:pPr>
              <w:tabs>
                <w:tab w:val="left" w:pos="1227"/>
              </w:tabs>
              <w:jc w:val="right"/>
              <w:rPr>
                <w:rFonts w:cs="Times New Roman"/>
                <w:color w:val="000000"/>
                <w:sz w:val="20"/>
                <w:szCs w:val="20"/>
              </w:rPr>
            </w:pPr>
            <w:r w:rsidRPr="00B44B19">
              <w:rPr>
                <w:rFonts w:cs="Times New Roman"/>
                <w:color w:val="000000"/>
                <w:sz w:val="20"/>
                <w:szCs w:val="20"/>
              </w:rPr>
              <w:t>75 000 000,00</w:t>
            </w:r>
          </w:p>
        </w:tc>
      </w:tr>
    </w:tbl>
    <w:p w14:paraId="1CA69220" w14:textId="77777777" w:rsidR="00116C5C" w:rsidRPr="00B44B19" w:rsidRDefault="00116C5C" w:rsidP="00DD03B4">
      <w:pPr>
        <w:spacing w:after="0" w:line="240" w:lineRule="auto"/>
        <w:rPr>
          <w:rFonts w:eastAsia="Times New Roman" w:cs="Times New Roman"/>
          <w:iCs/>
          <w:noProof/>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778"/>
        <w:gridCol w:w="1466"/>
      </w:tblGrid>
      <w:tr w:rsidR="00116C5C" w:rsidRPr="00B44B19" w14:paraId="7056F66D" w14:textId="77777777" w:rsidTr="00BE64E4">
        <w:trPr>
          <w:tblHeader/>
        </w:trPr>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D408C66" w14:textId="77777777" w:rsidR="00116C5C" w:rsidRPr="00B44B19" w:rsidRDefault="00116C5C" w:rsidP="00D74ABD">
            <w:pPr>
              <w:rPr>
                <w:rFonts w:eastAsia="Times New Roman" w:cs="Times New Roman"/>
                <w:b/>
                <w:iCs/>
                <w:noProof/>
                <w:sz w:val="20"/>
              </w:rPr>
            </w:pPr>
            <w:r w:rsidRPr="00B44B19">
              <w:rPr>
                <w:rFonts w:cs="Times New Roman"/>
                <w:b/>
                <w:noProof/>
                <w:sz w:val="20"/>
              </w:rPr>
              <w:t xml:space="preserve">5 lentelė. 2 matmuo. </w:t>
            </w:r>
            <w:r w:rsidR="00D74ABD" w:rsidRPr="00B44B19">
              <w:rPr>
                <w:rFonts w:cs="Times New Roman"/>
                <w:b/>
                <w:noProof/>
                <w:sz w:val="20"/>
              </w:rPr>
              <w:t>Finansavimo</w:t>
            </w:r>
            <w:r w:rsidR="00457B42" w:rsidRPr="00B44B19">
              <w:rPr>
                <w:rFonts w:cs="Times New Roman"/>
                <w:b/>
                <w:noProof/>
                <w:sz w:val="20"/>
              </w:rPr>
              <w:t xml:space="preserve"> </w:t>
            </w:r>
            <w:r w:rsidRPr="00B44B19">
              <w:rPr>
                <w:rFonts w:cs="Times New Roman"/>
                <w:b/>
                <w:noProof/>
                <w:sz w:val="20"/>
              </w:rPr>
              <w:t>forma</w:t>
            </w:r>
          </w:p>
        </w:tc>
      </w:tr>
      <w:tr w:rsidR="00116C5C" w:rsidRPr="00B44B19" w14:paraId="2FB6AFCA" w14:textId="77777777" w:rsidTr="00BE64E4">
        <w:trPr>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38977A"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18021B"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159708"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FE3DA"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Konkretus uždavinys</w:t>
            </w:r>
          </w:p>
        </w:tc>
        <w:tc>
          <w:tcPr>
            <w:tcW w:w="37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E4E2C9"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DD0286"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Suma (EUR)</w:t>
            </w:r>
          </w:p>
        </w:tc>
      </w:tr>
      <w:tr w:rsidR="00026A7F" w:rsidRPr="00B44B19" w14:paraId="225D9102" w14:textId="77777777" w:rsidTr="00BE64E4">
        <w:tc>
          <w:tcPr>
            <w:tcW w:w="1101" w:type="dxa"/>
            <w:vMerge w:val="restart"/>
            <w:tcBorders>
              <w:top w:val="single" w:sz="12" w:space="0" w:color="auto"/>
            </w:tcBorders>
          </w:tcPr>
          <w:p w14:paraId="0E829B72" w14:textId="77777777" w:rsidR="00026A7F" w:rsidRPr="00B44B19" w:rsidRDefault="00026A7F" w:rsidP="00116C5C">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43922DB2" w14:textId="77777777" w:rsidR="00026A7F" w:rsidRPr="00B44B19" w:rsidRDefault="00026A7F" w:rsidP="00116C5C">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59EFD1DD" w14:textId="77777777" w:rsidR="00026A7F" w:rsidRPr="00B44B19" w:rsidRDefault="00026A7F"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60530112" w14:textId="77777777" w:rsidR="00026A7F" w:rsidRPr="00B44B19" w:rsidRDefault="00026A7F" w:rsidP="00116C5C">
            <w:pPr>
              <w:jc w:val="center"/>
              <w:rPr>
                <w:rFonts w:eastAsia="Times New Roman" w:cs="Times New Roman"/>
                <w:b/>
                <w:iCs/>
                <w:noProof/>
                <w:sz w:val="20"/>
              </w:rPr>
            </w:pPr>
            <w:r w:rsidRPr="00B44B19">
              <w:rPr>
                <w:rFonts w:eastAsia="Times New Roman" w:cs="Times New Roman"/>
                <w:iCs/>
                <w:noProof/>
                <w:sz w:val="20"/>
              </w:rPr>
              <w:t>1.1</w:t>
            </w:r>
          </w:p>
        </w:tc>
        <w:tc>
          <w:tcPr>
            <w:tcW w:w="3778" w:type="dxa"/>
            <w:vMerge w:val="restart"/>
            <w:tcBorders>
              <w:top w:val="single" w:sz="12" w:space="0" w:color="auto"/>
            </w:tcBorders>
          </w:tcPr>
          <w:p w14:paraId="6B5CFE0E" w14:textId="77777777" w:rsidR="00026A7F" w:rsidRPr="00B44B19" w:rsidRDefault="00026A7F" w:rsidP="00AD7308">
            <w:pPr>
              <w:rPr>
                <w:rFonts w:eastAsia="Times New Roman" w:cs="Times New Roman"/>
                <w:iCs/>
                <w:noProof/>
                <w:sz w:val="20"/>
                <w:szCs w:val="20"/>
              </w:rPr>
            </w:pPr>
            <w:r w:rsidRPr="00B44B19">
              <w:rPr>
                <w:rFonts w:eastAsia="Times New Roman" w:cs="Times New Roman"/>
                <w:iCs/>
                <w:noProof/>
                <w:sz w:val="20"/>
                <w:szCs w:val="20"/>
              </w:rPr>
              <w:t xml:space="preserve">01 – </w:t>
            </w:r>
            <w:r w:rsidRPr="00B44B19">
              <w:rPr>
                <w:rFonts w:eastAsia="Calibri" w:cs="Times New Roman"/>
                <w:sz w:val="20"/>
                <w:szCs w:val="20"/>
              </w:rPr>
              <w:t>Dotacija</w:t>
            </w:r>
          </w:p>
        </w:tc>
        <w:tc>
          <w:tcPr>
            <w:tcW w:w="1466" w:type="dxa"/>
            <w:tcBorders>
              <w:top w:val="single" w:sz="12" w:space="0" w:color="auto"/>
              <w:bottom w:val="single" w:sz="4" w:space="0" w:color="auto"/>
            </w:tcBorders>
          </w:tcPr>
          <w:p w14:paraId="698B5C37" w14:textId="1B77A106" w:rsidR="00026A7F" w:rsidRPr="00B44B19" w:rsidRDefault="00690204" w:rsidP="00690204">
            <w:pPr>
              <w:jc w:val="right"/>
              <w:rPr>
                <w:rFonts w:eastAsia="Times New Roman" w:cs="Times New Roman"/>
                <w:iCs/>
                <w:noProof/>
                <w:sz w:val="20"/>
              </w:rPr>
            </w:pPr>
            <w:r w:rsidRPr="00B44B19">
              <w:rPr>
                <w:rFonts w:cs="Times New Roman"/>
                <w:color w:val="000000"/>
                <w:sz w:val="20"/>
                <w:szCs w:val="20"/>
              </w:rPr>
              <w:t>51 437 045</w:t>
            </w:r>
            <w:r w:rsidR="00704D24" w:rsidRPr="00B44B19">
              <w:rPr>
                <w:rFonts w:cs="Times New Roman"/>
                <w:bCs/>
                <w:color w:val="000000"/>
                <w:sz w:val="20"/>
                <w:szCs w:val="20"/>
              </w:rPr>
              <w:t>,00</w:t>
            </w:r>
          </w:p>
        </w:tc>
      </w:tr>
      <w:tr w:rsidR="00026A7F" w:rsidRPr="00B44B19" w14:paraId="33B4656A" w14:textId="77777777" w:rsidTr="00BE64E4">
        <w:tc>
          <w:tcPr>
            <w:tcW w:w="1101" w:type="dxa"/>
            <w:vMerge/>
          </w:tcPr>
          <w:p w14:paraId="7A90CA32" w14:textId="77777777" w:rsidR="00026A7F" w:rsidRPr="00B44B19" w:rsidRDefault="00026A7F" w:rsidP="00116C5C">
            <w:pPr>
              <w:rPr>
                <w:rFonts w:eastAsia="Times New Roman" w:cs="Times New Roman"/>
                <w:b/>
                <w:iCs/>
                <w:noProof/>
                <w:sz w:val="20"/>
              </w:rPr>
            </w:pPr>
          </w:p>
        </w:tc>
        <w:tc>
          <w:tcPr>
            <w:tcW w:w="850" w:type="dxa"/>
            <w:vMerge/>
          </w:tcPr>
          <w:p w14:paraId="1FA9E384" w14:textId="77777777" w:rsidR="00026A7F" w:rsidRPr="00B44B19" w:rsidRDefault="00026A7F" w:rsidP="00116C5C">
            <w:pPr>
              <w:rPr>
                <w:rFonts w:eastAsia="Times New Roman" w:cs="Times New Roman"/>
                <w:b/>
                <w:iCs/>
                <w:noProof/>
                <w:sz w:val="20"/>
              </w:rPr>
            </w:pPr>
          </w:p>
        </w:tc>
        <w:tc>
          <w:tcPr>
            <w:tcW w:w="1418" w:type="dxa"/>
            <w:tcBorders>
              <w:top w:val="single" w:sz="4" w:space="0" w:color="auto"/>
              <w:bottom w:val="single" w:sz="4" w:space="0" w:color="auto"/>
            </w:tcBorders>
          </w:tcPr>
          <w:p w14:paraId="538A0276" w14:textId="77777777" w:rsidR="00026A7F" w:rsidRPr="00B44B19" w:rsidRDefault="00026A7F"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08D5BF4" w14:textId="77777777" w:rsidR="00026A7F" w:rsidRPr="00B44B19" w:rsidRDefault="00026A7F" w:rsidP="00116C5C">
            <w:pPr>
              <w:rPr>
                <w:rFonts w:eastAsia="Times New Roman" w:cs="Times New Roman"/>
                <w:b/>
                <w:iCs/>
                <w:noProof/>
                <w:sz w:val="20"/>
              </w:rPr>
            </w:pPr>
          </w:p>
        </w:tc>
        <w:tc>
          <w:tcPr>
            <w:tcW w:w="3778" w:type="dxa"/>
            <w:vMerge/>
          </w:tcPr>
          <w:p w14:paraId="7A0D9FD7" w14:textId="77777777" w:rsidR="00026A7F" w:rsidRPr="00B44B19" w:rsidRDefault="00026A7F" w:rsidP="00AD7308">
            <w:pPr>
              <w:rPr>
                <w:rFonts w:eastAsia="Times New Roman" w:cs="Times New Roman"/>
                <w:b/>
                <w:iCs/>
                <w:noProof/>
                <w:sz w:val="20"/>
              </w:rPr>
            </w:pPr>
          </w:p>
        </w:tc>
        <w:tc>
          <w:tcPr>
            <w:tcW w:w="1466" w:type="dxa"/>
            <w:tcBorders>
              <w:top w:val="single" w:sz="4" w:space="0" w:color="auto"/>
              <w:bottom w:val="single" w:sz="4" w:space="0" w:color="auto"/>
            </w:tcBorders>
          </w:tcPr>
          <w:p w14:paraId="77B9F336" w14:textId="57692723" w:rsidR="00026A7F" w:rsidRPr="00B44B19" w:rsidRDefault="00690204" w:rsidP="00690204">
            <w:pPr>
              <w:jc w:val="right"/>
              <w:rPr>
                <w:rFonts w:cs="Times New Roman"/>
                <w:color w:val="000000"/>
                <w:sz w:val="20"/>
                <w:szCs w:val="20"/>
              </w:rPr>
            </w:pPr>
            <w:r w:rsidRPr="00B44B19">
              <w:rPr>
                <w:rFonts w:cs="Times New Roman"/>
                <w:color w:val="000000"/>
                <w:sz w:val="20"/>
                <w:szCs w:val="20"/>
              </w:rPr>
              <w:t>294 981 839</w:t>
            </w:r>
            <w:r w:rsidR="00704D24" w:rsidRPr="00B44B19">
              <w:rPr>
                <w:rFonts w:cs="Times New Roman"/>
                <w:color w:val="000000"/>
                <w:sz w:val="20"/>
                <w:szCs w:val="20"/>
              </w:rPr>
              <w:t>,00</w:t>
            </w:r>
          </w:p>
        </w:tc>
      </w:tr>
      <w:tr w:rsidR="00026A7F" w:rsidRPr="00B44B19" w14:paraId="1476F406" w14:textId="77777777" w:rsidTr="00BE64E4">
        <w:tc>
          <w:tcPr>
            <w:tcW w:w="1101" w:type="dxa"/>
            <w:vMerge/>
          </w:tcPr>
          <w:p w14:paraId="2AA364A8" w14:textId="77777777" w:rsidR="00026A7F" w:rsidRPr="00B44B19" w:rsidRDefault="00026A7F" w:rsidP="00116C5C">
            <w:pPr>
              <w:rPr>
                <w:rFonts w:eastAsia="Times New Roman" w:cs="Times New Roman"/>
                <w:b/>
                <w:iCs/>
                <w:noProof/>
                <w:sz w:val="20"/>
              </w:rPr>
            </w:pPr>
          </w:p>
        </w:tc>
        <w:tc>
          <w:tcPr>
            <w:tcW w:w="850" w:type="dxa"/>
            <w:vMerge/>
          </w:tcPr>
          <w:p w14:paraId="59595001" w14:textId="77777777" w:rsidR="00026A7F" w:rsidRPr="00B44B19" w:rsidRDefault="00026A7F" w:rsidP="00116C5C">
            <w:pPr>
              <w:rPr>
                <w:rFonts w:eastAsia="Times New Roman" w:cs="Times New Roman"/>
                <w:b/>
                <w:iCs/>
                <w:noProof/>
                <w:sz w:val="20"/>
              </w:rPr>
            </w:pPr>
          </w:p>
        </w:tc>
        <w:tc>
          <w:tcPr>
            <w:tcW w:w="1418" w:type="dxa"/>
            <w:tcBorders>
              <w:top w:val="single" w:sz="4" w:space="0" w:color="auto"/>
              <w:bottom w:val="single" w:sz="4" w:space="0" w:color="auto"/>
            </w:tcBorders>
          </w:tcPr>
          <w:p w14:paraId="525F216F" w14:textId="77777777" w:rsidR="00026A7F" w:rsidRPr="00B44B19" w:rsidRDefault="00026A7F"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26928ED2" w14:textId="77777777" w:rsidR="00026A7F" w:rsidRPr="00B44B19" w:rsidRDefault="00026A7F" w:rsidP="00116C5C">
            <w:pPr>
              <w:rPr>
                <w:rFonts w:eastAsia="Times New Roman" w:cs="Times New Roman"/>
                <w:b/>
                <w:iCs/>
                <w:noProof/>
                <w:sz w:val="20"/>
              </w:rPr>
            </w:pPr>
          </w:p>
        </w:tc>
        <w:tc>
          <w:tcPr>
            <w:tcW w:w="3778" w:type="dxa"/>
          </w:tcPr>
          <w:p w14:paraId="5F7DCC8E" w14:textId="77777777" w:rsidR="00026A7F" w:rsidRPr="00B44B19" w:rsidRDefault="00026A7F" w:rsidP="00AD7308">
            <w:pPr>
              <w:rPr>
                <w:rFonts w:eastAsia="Times New Roman" w:cs="Times New Roman"/>
                <w:iCs/>
                <w:noProof/>
                <w:sz w:val="20"/>
              </w:rPr>
            </w:pPr>
            <w:r w:rsidRPr="00B44B19">
              <w:rPr>
                <w:rFonts w:eastAsia="Times New Roman" w:cs="Times New Roman"/>
                <w:iCs/>
                <w:noProof/>
                <w:sz w:val="20"/>
              </w:rPr>
              <w:t>02 – Naudojantis finansinėmis priemonėmis teikiama parama: nuosavas arba kvazinuosavas kapitalas</w:t>
            </w:r>
          </w:p>
        </w:tc>
        <w:tc>
          <w:tcPr>
            <w:tcW w:w="1466" w:type="dxa"/>
            <w:tcBorders>
              <w:top w:val="single" w:sz="4" w:space="0" w:color="auto"/>
              <w:bottom w:val="single" w:sz="4" w:space="0" w:color="auto"/>
            </w:tcBorders>
          </w:tcPr>
          <w:p w14:paraId="781D3B40" w14:textId="77777777" w:rsidR="00026A7F" w:rsidRPr="00B44B19" w:rsidRDefault="00026A7F" w:rsidP="00116C5C">
            <w:pPr>
              <w:jc w:val="right"/>
              <w:rPr>
                <w:rFonts w:cs="Times New Roman"/>
                <w:iCs/>
                <w:noProof/>
                <w:sz w:val="20"/>
                <w:szCs w:val="20"/>
              </w:rPr>
            </w:pPr>
            <w:r w:rsidRPr="00B44B19">
              <w:rPr>
                <w:rFonts w:cs="Times New Roman"/>
                <w:iCs/>
                <w:noProof/>
                <w:sz w:val="20"/>
                <w:szCs w:val="20"/>
              </w:rPr>
              <w:t>33 000 000,00</w:t>
            </w:r>
          </w:p>
        </w:tc>
      </w:tr>
      <w:tr w:rsidR="00026A7F" w:rsidRPr="00B44B19" w14:paraId="6AB615FD" w14:textId="77777777" w:rsidTr="00BE64E4">
        <w:tc>
          <w:tcPr>
            <w:tcW w:w="1101" w:type="dxa"/>
            <w:vMerge/>
          </w:tcPr>
          <w:p w14:paraId="327C41B4" w14:textId="77777777" w:rsidR="00026A7F" w:rsidRPr="00B44B19" w:rsidRDefault="00026A7F" w:rsidP="00116C5C">
            <w:pPr>
              <w:rPr>
                <w:rFonts w:eastAsia="Times New Roman" w:cs="Times New Roman"/>
                <w:b/>
                <w:iCs/>
                <w:noProof/>
                <w:sz w:val="20"/>
              </w:rPr>
            </w:pPr>
          </w:p>
        </w:tc>
        <w:tc>
          <w:tcPr>
            <w:tcW w:w="850" w:type="dxa"/>
            <w:vMerge/>
          </w:tcPr>
          <w:p w14:paraId="63F160B8" w14:textId="77777777" w:rsidR="00026A7F" w:rsidRPr="00B44B19" w:rsidRDefault="00026A7F" w:rsidP="00116C5C">
            <w:pPr>
              <w:rPr>
                <w:rFonts w:eastAsia="Times New Roman" w:cs="Times New Roman"/>
                <w:b/>
                <w:iCs/>
                <w:noProof/>
                <w:sz w:val="20"/>
              </w:rPr>
            </w:pPr>
          </w:p>
        </w:tc>
        <w:tc>
          <w:tcPr>
            <w:tcW w:w="1418" w:type="dxa"/>
            <w:tcBorders>
              <w:top w:val="single" w:sz="4" w:space="0" w:color="auto"/>
              <w:bottom w:val="single" w:sz="4" w:space="0" w:color="auto"/>
            </w:tcBorders>
          </w:tcPr>
          <w:p w14:paraId="3E1853E0" w14:textId="77777777" w:rsidR="00026A7F" w:rsidRPr="00B44B19" w:rsidRDefault="00026A7F"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46569AD5" w14:textId="77777777" w:rsidR="00026A7F" w:rsidRPr="00B44B19" w:rsidRDefault="00026A7F" w:rsidP="00116C5C">
            <w:pPr>
              <w:rPr>
                <w:rFonts w:eastAsia="Times New Roman" w:cs="Times New Roman"/>
                <w:b/>
                <w:iCs/>
                <w:noProof/>
                <w:sz w:val="20"/>
              </w:rPr>
            </w:pPr>
          </w:p>
        </w:tc>
        <w:tc>
          <w:tcPr>
            <w:tcW w:w="3778" w:type="dxa"/>
            <w:vMerge w:val="restart"/>
          </w:tcPr>
          <w:p w14:paraId="037EAAC9" w14:textId="77777777" w:rsidR="00026A7F" w:rsidRPr="00B44B19" w:rsidRDefault="00026A7F" w:rsidP="00AD7308">
            <w:pPr>
              <w:rPr>
                <w:rFonts w:eastAsia="Times New Roman" w:cs="Times New Roman"/>
                <w:iCs/>
                <w:noProof/>
                <w:sz w:val="20"/>
              </w:rPr>
            </w:pPr>
            <w:r w:rsidRPr="00B44B19">
              <w:rPr>
                <w:rFonts w:eastAsia="Times New Roman" w:cs="Times New Roman"/>
                <w:iCs/>
                <w:noProof/>
                <w:sz w:val="20"/>
              </w:rPr>
              <w:t>03 – Naudojantis finansinėmis priemonėmis teikiama parama: paskola</w:t>
            </w:r>
          </w:p>
        </w:tc>
        <w:tc>
          <w:tcPr>
            <w:tcW w:w="1466" w:type="dxa"/>
            <w:tcBorders>
              <w:top w:val="single" w:sz="4" w:space="0" w:color="auto"/>
              <w:bottom w:val="single" w:sz="4" w:space="0" w:color="auto"/>
            </w:tcBorders>
          </w:tcPr>
          <w:p w14:paraId="2D6A867C" w14:textId="780F6040" w:rsidR="00026A7F" w:rsidRPr="00B44B19" w:rsidRDefault="00690204" w:rsidP="00690204">
            <w:pPr>
              <w:jc w:val="right"/>
              <w:rPr>
                <w:rFonts w:cs="Times New Roman"/>
                <w:iCs/>
                <w:noProof/>
                <w:sz w:val="20"/>
                <w:szCs w:val="20"/>
              </w:rPr>
            </w:pPr>
            <w:r w:rsidRPr="00B44B19">
              <w:rPr>
                <w:rFonts w:cs="Times New Roman"/>
                <w:color w:val="000000"/>
                <w:sz w:val="20"/>
                <w:szCs w:val="20"/>
              </w:rPr>
              <w:t>23 723 858</w:t>
            </w:r>
            <w:r w:rsidR="003E6DA7" w:rsidRPr="00B44B19">
              <w:rPr>
                <w:rFonts w:cs="Times New Roman"/>
                <w:bCs/>
                <w:iCs/>
                <w:sz w:val="20"/>
                <w:szCs w:val="20"/>
              </w:rPr>
              <w:t xml:space="preserve">,00 </w:t>
            </w:r>
          </w:p>
        </w:tc>
      </w:tr>
      <w:tr w:rsidR="00026A7F" w:rsidRPr="00B44B19" w14:paraId="0EF1BDDE" w14:textId="77777777" w:rsidTr="00BE64E4">
        <w:tc>
          <w:tcPr>
            <w:tcW w:w="1101" w:type="dxa"/>
            <w:vMerge/>
          </w:tcPr>
          <w:p w14:paraId="66768E08" w14:textId="77777777" w:rsidR="00026A7F" w:rsidRPr="00B44B19" w:rsidRDefault="00026A7F" w:rsidP="00116C5C">
            <w:pPr>
              <w:rPr>
                <w:rFonts w:eastAsia="Times New Roman" w:cs="Times New Roman"/>
                <w:b/>
                <w:iCs/>
                <w:noProof/>
                <w:sz w:val="20"/>
              </w:rPr>
            </w:pPr>
          </w:p>
        </w:tc>
        <w:tc>
          <w:tcPr>
            <w:tcW w:w="850" w:type="dxa"/>
            <w:vMerge/>
          </w:tcPr>
          <w:p w14:paraId="6D33C429" w14:textId="77777777" w:rsidR="00026A7F" w:rsidRPr="00B44B19" w:rsidRDefault="00026A7F" w:rsidP="00116C5C">
            <w:pPr>
              <w:rPr>
                <w:rFonts w:eastAsia="Times New Roman" w:cs="Times New Roman"/>
                <w:b/>
                <w:iCs/>
                <w:noProof/>
                <w:sz w:val="20"/>
              </w:rPr>
            </w:pPr>
          </w:p>
        </w:tc>
        <w:tc>
          <w:tcPr>
            <w:tcW w:w="1418" w:type="dxa"/>
            <w:tcBorders>
              <w:top w:val="single" w:sz="4" w:space="0" w:color="auto"/>
              <w:bottom w:val="single" w:sz="4" w:space="0" w:color="auto"/>
            </w:tcBorders>
          </w:tcPr>
          <w:p w14:paraId="75F95160" w14:textId="77777777" w:rsidR="00026A7F" w:rsidRPr="00B44B19" w:rsidRDefault="00026A7F" w:rsidP="00116C5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8B3D312" w14:textId="77777777" w:rsidR="00026A7F" w:rsidRPr="00B44B19" w:rsidRDefault="00026A7F" w:rsidP="00116C5C">
            <w:pPr>
              <w:rPr>
                <w:rFonts w:eastAsia="Times New Roman" w:cs="Times New Roman"/>
                <w:b/>
                <w:iCs/>
                <w:noProof/>
                <w:sz w:val="20"/>
              </w:rPr>
            </w:pPr>
          </w:p>
        </w:tc>
        <w:tc>
          <w:tcPr>
            <w:tcW w:w="3778" w:type="dxa"/>
            <w:vMerge/>
          </w:tcPr>
          <w:p w14:paraId="25B55BD7" w14:textId="77777777" w:rsidR="00026A7F" w:rsidRPr="00B44B19" w:rsidRDefault="00026A7F" w:rsidP="00116C5C">
            <w:pPr>
              <w:jc w:val="center"/>
              <w:rPr>
                <w:rFonts w:eastAsia="Times New Roman" w:cs="Times New Roman"/>
                <w:iCs/>
                <w:noProof/>
                <w:sz w:val="20"/>
              </w:rPr>
            </w:pPr>
          </w:p>
        </w:tc>
        <w:tc>
          <w:tcPr>
            <w:tcW w:w="1466" w:type="dxa"/>
            <w:tcBorders>
              <w:top w:val="single" w:sz="4" w:space="0" w:color="auto"/>
              <w:bottom w:val="single" w:sz="4" w:space="0" w:color="auto"/>
            </w:tcBorders>
          </w:tcPr>
          <w:p w14:paraId="39911C26" w14:textId="77777777" w:rsidR="00026A7F" w:rsidRPr="00B44B19" w:rsidRDefault="00026A7F" w:rsidP="002E0C6A">
            <w:pPr>
              <w:spacing w:after="200" w:line="276" w:lineRule="auto"/>
              <w:jc w:val="right"/>
              <w:rPr>
                <w:rFonts w:cs="Times New Roman"/>
                <w:iCs/>
                <w:noProof/>
                <w:sz w:val="20"/>
                <w:szCs w:val="20"/>
              </w:rPr>
            </w:pPr>
            <w:r w:rsidRPr="00B44B19">
              <w:rPr>
                <w:rFonts w:cs="Times New Roman"/>
                <w:iCs/>
                <w:noProof/>
                <w:sz w:val="20"/>
                <w:szCs w:val="20"/>
              </w:rPr>
              <w:t>41 175 000,00</w:t>
            </w:r>
          </w:p>
        </w:tc>
      </w:tr>
      <w:tr w:rsidR="002A787C" w:rsidRPr="00B44B19" w14:paraId="5CD75E1C" w14:textId="77777777" w:rsidTr="00BE64E4">
        <w:tc>
          <w:tcPr>
            <w:tcW w:w="1101" w:type="dxa"/>
            <w:vMerge/>
          </w:tcPr>
          <w:p w14:paraId="128965F4" w14:textId="77777777" w:rsidR="002A787C" w:rsidRPr="00B44B19" w:rsidRDefault="002A787C" w:rsidP="002A787C">
            <w:pPr>
              <w:rPr>
                <w:rFonts w:eastAsia="Times New Roman" w:cs="Times New Roman"/>
                <w:b/>
                <w:iCs/>
                <w:noProof/>
                <w:sz w:val="20"/>
              </w:rPr>
            </w:pPr>
          </w:p>
        </w:tc>
        <w:tc>
          <w:tcPr>
            <w:tcW w:w="850" w:type="dxa"/>
            <w:vMerge/>
          </w:tcPr>
          <w:p w14:paraId="3C18F81D" w14:textId="77777777" w:rsidR="002A787C" w:rsidRPr="00B44B19" w:rsidRDefault="002A787C" w:rsidP="002A787C">
            <w:pPr>
              <w:rPr>
                <w:rFonts w:eastAsia="Times New Roman" w:cs="Times New Roman"/>
                <w:b/>
                <w:iCs/>
                <w:noProof/>
                <w:sz w:val="20"/>
              </w:rPr>
            </w:pPr>
          </w:p>
        </w:tc>
        <w:tc>
          <w:tcPr>
            <w:tcW w:w="1418" w:type="dxa"/>
            <w:tcBorders>
              <w:top w:val="single" w:sz="4" w:space="0" w:color="auto"/>
              <w:bottom w:val="single" w:sz="4" w:space="0" w:color="auto"/>
            </w:tcBorders>
          </w:tcPr>
          <w:p w14:paraId="24F34C66" w14:textId="5ED9F403" w:rsidR="002A787C" w:rsidRPr="00B44B19" w:rsidRDefault="002A787C" w:rsidP="002A787C">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24C6B30F" w14:textId="77777777" w:rsidR="002A787C" w:rsidRPr="00B44B19" w:rsidRDefault="002A787C" w:rsidP="002A787C">
            <w:pPr>
              <w:rPr>
                <w:rFonts w:eastAsia="Times New Roman" w:cs="Times New Roman"/>
                <w:b/>
                <w:iCs/>
                <w:noProof/>
                <w:sz w:val="20"/>
              </w:rPr>
            </w:pPr>
          </w:p>
        </w:tc>
        <w:tc>
          <w:tcPr>
            <w:tcW w:w="3778" w:type="dxa"/>
            <w:vMerge w:val="restart"/>
          </w:tcPr>
          <w:p w14:paraId="75CFFD4B" w14:textId="1BD26052" w:rsidR="002A787C" w:rsidRPr="00B44B19" w:rsidRDefault="002A787C" w:rsidP="002A787C">
            <w:pPr>
              <w:rPr>
                <w:rFonts w:eastAsia="Times New Roman" w:cs="Times New Roman"/>
                <w:iCs/>
                <w:noProof/>
                <w:sz w:val="20"/>
              </w:rPr>
            </w:pPr>
            <w:r w:rsidRPr="00B44B19">
              <w:rPr>
                <w:rFonts w:eastAsia="Times New Roman" w:cs="Times New Roman"/>
                <w:iCs/>
                <w:noProof/>
                <w:sz w:val="20"/>
              </w:rPr>
              <w:t>05 – Naudojantis finansinėmis priemonėmis teikiama parama: dotacijos, suteiktos vykdant finansinės priemonės veiksmą</w:t>
            </w:r>
          </w:p>
        </w:tc>
        <w:tc>
          <w:tcPr>
            <w:tcW w:w="1466" w:type="dxa"/>
            <w:tcBorders>
              <w:top w:val="single" w:sz="4" w:space="0" w:color="auto"/>
              <w:bottom w:val="single" w:sz="4" w:space="0" w:color="auto"/>
            </w:tcBorders>
          </w:tcPr>
          <w:p w14:paraId="473524F3" w14:textId="00EC5EBB" w:rsidR="002A787C" w:rsidRPr="00B44B19" w:rsidRDefault="00690204" w:rsidP="00690204">
            <w:pPr>
              <w:jc w:val="right"/>
              <w:rPr>
                <w:rFonts w:cs="Times New Roman"/>
                <w:iCs/>
                <w:noProof/>
                <w:sz w:val="20"/>
                <w:szCs w:val="20"/>
              </w:rPr>
            </w:pPr>
            <w:r w:rsidRPr="00B44B19">
              <w:rPr>
                <w:rFonts w:cs="Times New Roman"/>
                <w:color w:val="000000"/>
                <w:sz w:val="20"/>
                <w:szCs w:val="20"/>
              </w:rPr>
              <w:t>10 167 368</w:t>
            </w:r>
            <w:r w:rsidR="002A787C" w:rsidRPr="00B44B19">
              <w:rPr>
                <w:rFonts w:cs="Times New Roman"/>
                <w:bCs/>
                <w:iCs/>
                <w:sz w:val="20"/>
                <w:szCs w:val="20"/>
              </w:rPr>
              <w:t>,00</w:t>
            </w:r>
          </w:p>
        </w:tc>
      </w:tr>
      <w:tr w:rsidR="002A787C" w:rsidRPr="00B44B19" w14:paraId="4108196E" w14:textId="77777777" w:rsidTr="00BE64E4">
        <w:tc>
          <w:tcPr>
            <w:tcW w:w="1101" w:type="dxa"/>
            <w:vMerge/>
          </w:tcPr>
          <w:p w14:paraId="6B0D9BE0" w14:textId="77777777" w:rsidR="002A787C" w:rsidRPr="00B44B19" w:rsidRDefault="002A787C" w:rsidP="002A787C">
            <w:pPr>
              <w:rPr>
                <w:rFonts w:eastAsia="Times New Roman" w:cs="Times New Roman"/>
                <w:b/>
                <w:iCs/>
                <w:noProof/>
                <w:sz w:val="20"/>
              </w:rPr>
            </w:pPr>
          </w:p>
        </w:tc>
        <w:tc>
          <w:tcPr>
            <w:tcW w:w="850" w:type="dxa"/>
            <w:vMerge/>
          </w:tcPr>
          <w:p w14:paraId="0421E35B" w14:textId="77777777" w:rsidR="002A787C" w:rsidRPr="00B44B19" w:rsidRDefault="002A787C" w:rsidP="002A787C">
            <w:pPr>
              <w:rPr>
                <w:rFonts w:eastAsia="Times New Roman" w:cs="Times New Roman"/>
                <w:b/>
                <w:iCs/>
                <w:noProof/>
                <w:sz w:val="20"/>
              </w:rPr>
            </w:pPr>
          </w:p>
        </w:tc>
        <w:tc>
          <w:tcPr>
            <w:tcW w:w="1418" w:type="dxa"/>
            <w:tcBorders>
              <w:top w:val="single" w:sz="4" w:space="0" w:color="auto"/>
            </w:tcBorders>
          </w:tcPr>
          <w:p w14:paraId="231BBAA8" w14:textId="77777777" w:rsidR="002A787C" w:rsidRPr="00B44B19" w:rsidRDefault="002A787C" w:rsidP="002A787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9D47307" w14:textId="77777777" w:rsidR="002A787C" w:rsidRPr="00B44B19" w:rsidRDefault="002A787C" w:rsidP="002A787C">
            <w:pPr>
              <w:rPr>
                <w:rFonts w:eastAsia="Times New Roman" w:cs="Times New Roman"/>
                <w:b/>
                <w:iCs/>
                <w:noProof/>
                <w:sz w:val="20"/>
              </w:rPr>
            </w:pPr>
          </w:p>
        </w:tc>
        <w:tc>
          <w:tcPr>
            <w:tcW w:w="3778" w:type="dxa"/>
            <w:vMerge/>
          </w:tcPr>
          <w:p w14:paraId="664DD5FE" w14:textId="6CC30F34" w:rsidR="002A787C" w:rsidRPr="00B44B19" w:rsidRDefault="002A787C" w:rsidP="002A787C">
            <w:pPr>
              <w:rPr>
                <w:rFonts w:eastAsia="Times New Roman" w:cs="Times New Roman"/>
                <w:iCs/>
                <w:noProof/>
                <w:sz w:val="20"/>
              </w:rPr>
            </w:pPr>
          </w:p>
        </w:tc>
        <w:tc>
          <w:tcPr>
            <w:tcW w:w="1466" w:type="dxa"/>
            <w:tcBorders>
              <w:top w:val="single" w:sz="4" w:space="0" w:color="auto"/>
            </w:tcBorders>
          </w:tcPr>
          <w:p w14:paraId="53175441" w14:textId="77777777" w:rsidR="002A787C" w:rsidRPr="00B44B19" w:rsidRDefault="002A787C" w:rsidP="002A787C">
            <w:pPr>
              <w:jc w:val="right"/>
              <w:rPr>
                <w:rFonts w:cs="Times New Roman"/>
                <w:iCs/>
                <w:noProof/>
                <w:sz w:val="20"/>
                <w:szCs w:val="20"/>
              </w:rPr>
            </w:pPr>
            <w:r w:rsidRPr="00B44B19">
              <w:rPr>
                <w:rFonts w:cs="Times New Roman"/>
                <w:iCs/>
                <w:noProof/>
                <w:sz w:val="20"/>
                <w:szCs w:val="20"/>
              </w:rPr>
              <w:t>4 575 000,00</w:t>
            </w:r>
          </w:p>
        </w:tc>
      </w:tr>
    </w:tbl>
    <w:p w14:paraId="6EC4664D" w14:textId="77777777" w:rsidR="00116C5C" w:rsidRPr="00B44B19" w:rsidRDefault="00116C5C" w:rsidP="00DD03B4">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98"/>
        <w:gridCol w:w="849"/>
        <w:gridCol w:w="1401"/>
        <w:gridCol w:w="1134"/>
        <w:gridCol w:w="3660"/>
        <w:gridCol w:w="1624"/>
      </w:tblGrid>
      <w:tr w:rsidR="00116C5C" w:rsidRPr="00B44B19" w14:paraId="2857EF8B" w14:textId="77777777" w:rsidTr="003A660F">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F9593E7" w14:textId="77777777" w:rsidR="00116C5C" w:rsidRPr="00B44B19" w:rsidRDefault="00116C5C" w:rsidP="00116C5C">
            <w:pPr>
              <w:rPr>
                <w:rFonts w:eastAsia="Times New Roman" w:cs="Times New Roman"/>
                <w:b/>
                <w:iCs/>
                <w:noProof/>
                <w:sz w:val="20"/>
              </w:rPr>
            </w:pPr>
            <w:r w:rsidRPr="00B44B19">
              <w:rPr>
                <w:rFonts w:cs="Times New Roman"/>
                <w:b/>
                <w:noProof/>
                <w:sz w:val="20"/>
              </w:rPr>
              <w:t xml:space="preserve">6 lentelė. 3 matmuo. </w:t>
            </w:r>
            <w:r w:rsidR="00170FD8" w:rsidRPr="00B44B19">
              <w:rPr>
                <w:rFonts w:cs="Times New Roman"/>
                <w:b/>
                <w:noProof/>
                <w:sz w:val="20"/>
              </w:rPr>
              <w:t xml:space="preserve">Teritorinis įgyvendinimo mechanizmas ir pagrindinė teritorinė sritis </w:t>
            </w:r>
          </w:p>
        </w:tc>
      </w:tr>
      <w:tr w:rsidR="00116C5C" w:rsidRPr="00B44B19" w14:paraId="62AF603F" w14:textId="77777777" w:rsidTr="003A660F">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8D6D41"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lastRenderedPageBreak/>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A53492"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Fondas</w:t>
            </w:r>
          </w:p>
        </w:tc>
        <w:tc>
          <w:tcPr>
            <w:tcW w:w="14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DEBCB3"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F9FBF1"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Konkretus uždavinys</w:t>
            </w:r>
          </w:p>
        </w:tc>
        <w:tc>
          <w:tcPr>
            <w:tcW w:w="36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430905"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Kodas</w:t>
            </w:r>
          </w:p>
        </w:tc>
        <w:tc>
          <w:tcPr>
            <w:tcW w:w="16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BDCEB2"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Suma (EUR)</w:t>
            </w:r>
          </w:p>
        </w:tc>
      </w:tr>
      <w:tr w:rsidR="00116C5C" w:rsidRPr="00B44B19" w14:paraId="29121062" w14:textId="77777777" w:rsidTr="003A660F">
        <w:tc>
          <w:tcPr>
            <w:tcW w:w="1098" w:type="dxa"/>
            <w:vMerge w:val="restart"/>
            <w:tcBorders>
              <w:top w:val="single" w:sz="12" w:space="0" w:color="auto"/>
            </w:tcBorders>
          </w:tcPr>
          <w:p w14:paraId="7D0C4C11"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1.</w:t>
            </w:r>
          </w:p>
        </w:tc>
        <w:tc>
          <w:tcPr>
            <w:tcW w:w="849" w:type="dxa"/>
            <w:vMerge w:val="restart"/>
            <w:tcBorders>
              <w:top w:val="single" w:sz="12" w:space="0" w:color="auto"/>
            </w:tcBorders>
          </w:tcPr>
          <w:p w14:paraId="5BCF19B1"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ERPF</w:t>
            </w:r>
          </w:p>
        </w:tc>
        <w:tc>
          <w:tcPr>
            <w:tcW w:w="1401" w:type="dxa"/>
            <w:tcBorders>
              <w:top w:val="single" w:sz="12" w:space="0" w:color="auto"/>
              <w:bottom w:val="single" w:sz="4" w:space="0" w:color="auto"/>
            </w:tcBorders>
          </w:tcPr>
          <w:p w14:paraId="33197C56"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73C3AB55"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1.1</w:t>
            </w:r>
          </w:p>
        </w:tc>
        <w:tc>
          <w:tcPr>
            <w:tcW w:w="3660" w:type="dxa"/>
            <w:vMerge w:val="restart"/>
            <w:tcBorders>
              <w:top w:val="single" w:sz="12" w:space="0" w:color="auto"/>
            </w:tcBorders>
          </w:tcPr>
          <w:p w14:paraId="3490CFA5" w14:textId="77777777" w:rsidR="00116C5C" w:rsidRPr="00B44B19" w:rsidRDefault="00116C5C" w:rsidP="00AD7308">
            <w:pPr>
              <w:rPr>
                <w:rFonts w:eastAsia="Times New Roman" w:cs="Times New Roman"/>
                <w:iCs/>
                <w:noProof/>
                <w:sz w:val="20"/>
              </w:rPr>
            </w:pPr>
            <w:r w:rsidRPr="00B44B19">
              <w:rPr>
                <w:rFonts w:eastAsia="Times New Roman" w:cs="Times New Roman"/>
                <w:iCs/>
                <w:noProof/>
                <w:sz w:val="20"/>
              </w:rPr>
              <w:t>33</w:t>
            </w:r>
            <w:r w:rsidR="001A6813" w:rsidRPr="00B44B19">
              <w:rPr>
                <w:rFonts w:eastAsia="Times New Roman" w:cs="Times New Roman"/>
                <w:iCs/>
                <w:noProof/>
                <w:sz w:val="20"/>
              </w:rPr>
              <w:t xml:space="preserve"> </w:t>
            </w:r>
            <w:r w:rsidR="002B22DC" w:rsidRPr="00B44B19">
              <w:rPr>
                <w:rFonts w:eastAsia="Times New Roman" w:cs="Times New Roman"/>
                <w:iCs/>
                <w:noProof/>
                <w:sz w:val="20"/>
              </w:rPr>
              <w:t>–</w:t>
            </w:r>
            <w:r w:rsidR="001A6813" w:rsidRPr="00B44B19">
              <w:rPr>
                <w:rFonts w:eastAsia="Times New Roman" w:cs="Times New Roman"/>
                <w:iCs/>
                <w:noProof/>
                <w:sz w:val="20"/>
              </w:rPr>
              <w:t xml:space="preserve"> Nesiorientuojant į teritoriškumą</w:t>
            </w:r>
          </w:p>
        </w:tc>
        <w:tc>
          <w:tcPr>
            <w:tcW w:w="1624" w:type="dxa"/>
            <w:tcBorders>
              <w:top w:val="single" w:sz="12" w:space="0" w:color="auto"/>
              <w:bottom w:val="single" w:sz="4" w:space="0" w:color="auto"/>
            </w:tcBorders>
          </w:tcPr>
          <w:p w14:paraId="327AB8D8" w14:textId="56E041CA" w:rsidR="00116C5C" w:rsidRPr="00B44B19" w:rsidRDefault="00690204" w:rsidP="00690204">
            <w:pPr>
              <w:jc w:val="right"/>
              <w:rPr>
                <w:rFonts w:eastAsia="Times New Roman" w:cs="Times New Roman"/>
                <w:iCs/>
                <w:noProof/>
                <w:sz w:val="20"/>
              </w:rPr>
            </w:pPr>
            <w:r w:rsidRPr="00B44B19">
              <w:rPr>
                <w:rFonts w:cs="Times New Roman"/>
                <w:color w:val="000000"/>
                <w:sz w:val="20"/>
                <w:szCs w:val="20"/>
              </w:rPr>
              <w:t>85 328 271</w:t>
            </w:r>
            <w:r w:rsidR="00704D24" w:rsidRPr="00B44B19">
              <w:rPr>
                <w:rFonts w:eastAsia="Times New Roman" w:cs="Times New Roman"/>
                <w:color w:val="000000"/>
                <w:sz w:val="20"/>
                <w:szCs w:val="20"/>
              </w:rPr>
              <w:t>,00</w:t>
            </w:r>
          </w:p>
        </w:tc>
      </w:tr>
      <w:tr w:rsidR="00116C5C" w:rsidRPr="00B44B19" w14:paraId="650391CF" w14:textId="77777777" w:rsidTr="003A660F">
        <w:tc>
          <w:tcPr>
            <w:tcW w:w="1098" w:type="dxa"/>
            <w:vMerge/>
          </w:tcPr>
          <w:p w14:paraId="350B583E" w14:textId="77777777" w:rsidR="00116C5C" w:rsidRPr="00B44B19" w:rsidRDefault="00116C5C" w:rsidP="00116C5C">
            <w:pPr>
              <w:rPr>
                <w:rFonts w:eastAsia="Times New Roman" w:cs="Times New Roman"/>
                <w:b/>
                <w:iCs/>
                <w:noProof/>
                <w:sz w:val="20"/>
              </w:rPr>
            </w:pPr>
          </w:p>
        </w:tc>
        <w:tc>
          <w:tcPr>
            <w:tcW w:w="849" w:type="dxa"/>
            <w:vMerge/>
          </w:tcPr>
          <w:p w14:paraId="0F4517CC" w14:textId="77777777" w:rsidR="00116C5C" w:rsidRPr="00B44B19" w:rsidRDefault="00116C5C" w:rsidP="00116C5C">
            <w:pPr>
              <w:rPr>
                <w:rFonts w:eastAsia="Times New Roman" w:cs="Times New Roman"/>
                <w:b/>
                <w:iCs/>
                <w:noProof/>
                <w:sz w:val="20"/>
              </w:rPr>
            </w:pPr>
          </w:p>
        </w:tc>
        <w:tc>
          <w:tcPr>
            <w:tcW w:w="1401" w:type="dxa"/>
            <w:tcBorders>
              <w:top w:val="single" w:sz="4" w:space="0" w:color="auto"/>
            </w:tcBorders>
          </w:tcPr>
          <w:p w14:paraId="68AE9558" w14:textId="77777777" w:rsidR="00116C5C" w:rsidRPr="00B44B19" w:rsidRDefault="00116C5C" w:rsidP="00116C5C">
            <w:pPr>
              <w:rPr>
                <w:rFonts w:eastAsia="Times New Roman" w:cs="Times New Roman"/>
                <w:b/>
                <w:iCs/>
                <w:noProof/>
                <w:sz w:val="20"/>
              </w:rPr>
            </w:pPr>
            <w:r w:rsidRPr="00B44B19">
              <w:rPr>
                <w:rFonts w:eastAsia="Times New Roman" w:cs="Times New Roman"/>
                <w:iCs/>
                <w:noProof/>
                <w:sz w:val="20"/>
              </w:rPr>
              <w:t>VVL regionas</w:t>
            </w:r>
          </w:p>
        </w:tc>
        <w:tc>
          <w:tcPr>
            <w:tcW w:w="1134" w:type="dxa"/>
            <w:vMerge/>
          </w:tcPr>
          <w:p w14:paraId="0CA43F91" w14:textId="77777777" w:rsidR="00116C5C" w:rsidRPr="00B44B19" w:rsidRDefault="00116C5C" w:rsidP="00116C5C">
            <w:pPr>
              <w:rPr>
                <w:rFonts w:eastAsia="Times New Roman" w:cs="Times New Roman"/>
                <w:b/>
                <w:iCs/>
                <w:noProof/>
                <w:sz w:val="20"/>
              </w:rPr>
            </w:pPr>
          </w:p>
        </w:tc>
        <w:tc>
          <w:tcPr>
            <w:tcW w:w="3660" w:type="dxa"/>
            <w:vMerge/>
          </w:tcPr>
          <w:p w14:paraId="1427550D" w14:textId="77777777" w:rsidR="00116C5C" w:rsidRPr="00B44B19" w:rsidRDefault="00116C5C" w:rsidP="00116C5C">
            <w:pPr>
              <w:rPr>
                <w:rFonts w:eastAsia="Times New Roman" w:cs="Times New Roman"/>
                <w:b/>
                <w:iCs/>
                <w:noProof/>
                <w:sz w:val="20"/>
              </w:rPr>
            </w:pPr>
          </w:p>
        </w:tc>
        <w:tc>
          <w:tcPr>
            <w:tcW w:w="1624" w:type="dxa"/>
            <w:tcBorders>
              <w:top w:val="single" w:sz="4" w:space="0" w:color="auto"/>
            </w:tcBorders>
          </w:tcPr>
          <w:p w14:paraId="43F6901D" w14:textId="7448CE94" w:rsidR="00116C5C" w:rsidRPr="00B44B19" w:rsidRDefault="00690204" w:rsidP="00690204">
            <w:pPr>
              <w:jc w:val="right"/>
              <w:rPr>
                <w:rFonts w:eastAsia="Times New Roman" w:cs="Times New Roman"/>
                <w:iCs/>
                <w:noProof/>
                <w:sz w:val="20"/>
              </w:rPr>
            </w:pPr>
            <w:r w:rsidRPr="00B44B19">
              <w:rPr>
                <w:rFonts w:cs="Times New Roman"/>
                <w:color w:val="000000"/>
                <w:sz w:val="20"/>
                <w:szCs w:val="20"/>
              </w:rPr>
              <w:t>373 731 839</w:t>
            </w:r>
            <w:r w:rsidR="00704D24" w:rsidRPr="00B44B19">
              <w:rPr>
                <w:rFonts w:cs="Times New Roman"/>
                <w:color w:val="000000"/>
                <w:sz w:val="20"/>
                <w:szCs w:val="20"/>
              </w:rPr>
              <w:t>,00</w:t>
            </w:r>
          </w:p>
        </w:tc>
      </w:tr>
    </w:tbl>
    <w:p w14:paraId="54FD93E8" w14:textId="77777777" w:rsidR="00E438B8" w:rsidRPr="00B44B19" w:rsidRDefault="00E438B8" w:rsidP="00DD03B4">
      <w:pPr>
        <w:spacing w:after="0" w:line="240" w:lineRule="auto"/>
        <w:rPr>
          <w:rFonts w:cs="Times New Roman"/>
          <w:sz w:val="20"/>
          <w:szCs w:val="20"/>
        </w:rPr>
      </w:pPr>
    </w:p>
    <w:tbl>
      <w:tblPr>
        <w:tblStyle w:val="Lentelstinklelis18"/>
        <w:tblW w:w="9747" w:type="dxa"/>
        <w:tblLayout w:type="fixed"/>
        <w:tblLook w:val="04A0" w:firstRow="1" w:lastRow="0" w:firstColumn="1" w:lastColumn="0" w:noHBand="0" w:noVBand="1"/>
      </w:tblPr>
      <w:tblGrid>
        <w:gridCol w:w="1085"/>
        <w:gridCol w:w="847"/>
        <w:gridCol w:w="1437"/>
        <w:gridCol w:w="1013"/>
        <w:gridCol w:w="3806"/>
        <w:gridCol w:w="1559"/>
      </w:tblGrid>
      <w:tr w:rsidR="004B6804" w:rsidRPr="00B44B19" w14:paraId="29A2513F" w14:textId="77777777" w:rsidTr="004D209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F1FFFBA" w14:textId="77777777" w:rsidR="004B6804" w:rsidRPr="00B44B19" w:rsidRDefault="004B6804" w:rsidP="004B6804">
            <w:pPr>
              <w:rPr>
                <w:b/>
                <w:iCs/>
                <w:noProof/>
                <w:sz w:val="20"/>
                <w:szCs w:val="20"/>
              </w:rPr>
            </w:pPr>
            <w:r w:rsidRPr="00B44B19">
              <w:rPr>
                <w:b/>
                <w:noProof/>
                <w:sz w:val="20"/>
                <w:szCs w:val="20"/>
              </w:rPr>
              <w:t xml:space="preserve">7 lentelė. 7 matmuo. </w:t>
            </w:r>
            <w:r w:rsidRPr="00B44B19">
              <w:rPr>
                <w:b/>
                <w:sz w:val="20"/>
                <w:szCs w:val="20"/>
              </w:rPr>
              <w:t>ESF+, ERPF, S</w:t>
            </w:r>
            <w:r w:rsidR="00DF01E2" w:rsidRPr="00B44B19">
              <w:rPr>
                <w:b/>
                <w:sz w:val="20"/>
                <w:szCs w:val="20"/>
              </w:rPr>
              <w:t>a</w:t>
            </w:r>
            <w:r w:rsidRPr="00B44B19">
              <w:rPr>
                <w:b/>
                <w:sz w:val="20"/>
                <w:szCs w:val="20"/>
              </w:rPr>
              <w:t>F ir TPF lyčių lygybės matmuo</w:t>
            </w:r>
          </w:p>
        </w:tc>
      </w:tr>
      <w:tr w:rsidR="004B6804" w:rsidRPr="00B44B19" w14:paraId="3426837A" w14:textId="77777777" w:rsidTr="004D209E">
        <w:tc>
          <w:tcPr>
            <w:tcW w:w="10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13AD16" w14:textId="77777777" w:rsidR="004B6804" w:rsidRPr="00B44B19" w:rsidRDefault="004B6804" w:rsidP="004B6804">
            <w:pPr>
              <w:jc w:val="center"/>
              <w:rPr>
                <w:b/>
                <w:iCs/>
                <w:noProof/>
                <w:sz w:val="20"/>
              </w:rPr>
            </w:pPr>
            <w:r w:rsidRPr="00B44B19">
              <w:rPr>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E3FE9C" w14:textId="77777777" w:rsidR="004B6804" w:rsidRPr="00B44B19" w:rsidRDefault="004B6804" w:rsidP="004B6804">
            <w:pPr>
              <w:jc w:val="center"/>
              <w:rPr>
                <w:b/>
                <w:iCs/>
                <w:noProof/>
                <w:sz w:val="20"/>
              </w:rPr>
            </w:pPr>
            <w:r w:rsidRPr="00B44B19">
              <w:rPr>
                <w:b/>
                <w:noProof/>
                <w:sz w:val="20"/>
              </w:rPr>
              <w:t>Fondas</w:t>
            </w:r>
          </w:p>
        </w:tc>
        <w:tc>
          <w:tcPr>
            <w:tcW w:w="14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AB6371" w14:textId="77777777" w:rsidR="004B6804" w:rsidRPr="00B44B19" w:rsidRDefault="004B6804" w:rsidP="004B6804">
            <w:pPr>
              <w:jc w:val="center"/>
              <w:rPr>
                <w:b/>
                <w:iCs/>
                <w:noProof/>
                <w:sz w:val="20"/>
              </w:rPr>
            </w:pPr>
            <w:r w:rsidRPr="00B44B19">
              <w:rPr>
                <w:b/>
                <w:noProof/>
                <w:sz w:val="20"/>
              </w:rPr>
              <w:t>Regiono kategorija</w:t>
            </w:r>
          </w:p>
        </w:tc>
        <w:tc>
          <w:tcPr>
            <w:tcW w:w="101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12A571" w14:textId="77777777" w:rsidR="004B6804" w:rsidRPr="00B44B19" w:rsidRDefault="004B6804" w:rsidP="004B6804">
            <w:pPr>
              <w:jc w:val="center"/>
              <w:rPr>
                <w:b/>
                <w:iCs/>
                <w:noProof/>
                <w:sz w:val="20"/>
              </w:rPr>
            </w:pPr>
            <w:r w:rsidRPr="00B44B19">
              <w:rPr>
                <w:b/>
                <w:noProof/>
                <w:sz w:val="20"/>
              </w:rPr>
              <w:t>Konkretus uždavinys</w:t>
            </w:r>
          </w:p>
        </w:tc>
        <w:tc>
          <w:tcPr>
            <w:tcW w:w="380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61AD26" w14:textId="77777777" w:rsidR="004B6804" w:rsidRPr="00B44B19" w:rsidRDefault="004B6804" w:rsidP="004B6804">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3C877D" w14:textId="77777777" w:rsidR="004B6804" w:rsidRPr="00B44B19" w:rsidRDefault="004B6804" w:rsidP="004B6804">
            <w:pPr>
              <w:jc w:val="center"/>
              <w:rPr>
                <w:b/>
                <w:iCs/>
                <w:noProof/>
                <w:sz w:val="20"/>
              </w:rPr>
            </w:pPr>
            <w:r w:rsidRPr="00B44B19">
              <w:rPr>
                <w:b/>
                <w:noProof/>
                <w:sz w:val="20"/>
              </w:rPr>
              <w:t>Suma (EUR)</w:t>
            </w:r>
          </w:p>
        </w:tc>
      </w:tr>
      <w:tr w:rsidR="00423E48" w:rsidRPr="00B44B19" w14:paraId="55116FED" w14:textId="77777777" w:rsidTr="004D209E">
        <w:tc>
          <w:tcPr>
            <w:tcW w:w="1085" w:type="dxa"/>
            <w:vMerge w:val="restart"/>
            <w:tcBorders>
              <w:top w:val="single" w:sz="12" w:space="0" w:color="auto"/>
            </w:tcBorders>
          </w:tcPr>
          <w:p w14:paraId="448EBA95" w14:textId="77777777" w:rsidR="00423E48" w:rsidRPr="00B44B19" w:rsidRDefault="00423E48" w:rsidP="008A0CE0">
            <w:pPr>
              <w:jc w:val="center"/>
              <w:rPr>
                <w:sz w:val="20"/>
                <w:szCs w:val="20"/>
              </w:rPr>
            </w:pPr>
            <w:r w:rsidRPr="00B44B19">
              <w:rPr>
                <w:sz w:val="20"/>
                <w:szCs w:val="20"/>
              </w:rPr>
              <w:t>1.</w:t>
            </w:r>
          </w:p>
        </w:tc>
        <w:tc>
          <w:tcPr>
            <w:tcW w:w="847" w:type="dxa"/>
            <w:vMerge w:val="restart"/>
            <w:tcBorders>
              <w:top w:val="single" w:sz="12" w:space="0" w:color="auto"/>
            </w:tcBorders>
          </w:tcPr>
          <w:p w14:paraId="3298C91C" w14:textId="77777777" w:rsidR="00423E48" w:rsidRPr="00B44B19" w:rsidRDefault="00423E48" w:rsidP="008A0CE0">
            <w:pPr>
              <w:jc w:val="center"/>
              <w:rPr>
                <w:sz w:val="20"/>
                <w:szCs w:val="20"/>
              </w:rPr>
            </w:pPr>
            <w:r w:rsidRPr="00B44B19">
              <w:rPr>
                <w:sz w:val="20"/>
                <w:szCs w:val="20"/>
              </w:rPr>
              <w:t>ERPF</w:t>
            </w:r>
          </w:p>
        </w:tc>
        <w:tc>
          <w:tcPr>
            <w:tcW w:w="1437" w:type="dxa"/>
            <w:tcBorders>
              <w:top w:val="single" w:sz="12" w:space="0" w:color="auto"/>
              <w:bottom w:val="single" w:sz="4" w:space="0" w:color="auto"/>
            </w:tcBorders>
          </w:tcPr>
          <w:p w14:paraId="2A680EFD" w14:textId="77777777" w:rsidR="00423E48" w:rsidRPr="00B44B19" w:rsidRDefault="00423E48" w:rsidP="004B6804">
            <w:pPr>
              <w:rPr>
                <w:sz w:val="20"/>
                <w:szCs w:val="20"/>
              </w:rPr>
            </w:pPr>
            <w:r w:rsidRPr="00B44B19">
              <w:rPr>
                <w:sz w:val="20"/>
                <w:szCs w:val="20"/>
              </w:rPr>
              <w:t>Sostinės regionas</w:t>
            </w:r>
          </w:p>
        </w:tc>
        <w:tc>
          <w:tcPr>
            <w:tcW w:w="1013" w:type="dxa"/>
            <w:vMerge w:val="restart"/>
            <w:tcBorders>
              <w:top w:val="single" w:sz="12" w:space="0" w:color="auto"/>
              <w:bottom w:val="single" w:sz="4" w:space="0" w:color="auto"/>
            </w:tcBorders>
          </w:tcPr>
          <w:p w14:paraId="7513D540" w14:textId="77777777" w:rsidR="00423E48" w:rsidRPr="00B44B19" w:rsidRDefault="00423E48" w:rsidP="004B6804">
            <w:pPr>
              <w:jc w:val="center"/>
              <w:rPr>
                <w:iCs/>
                <w:noProof/>
                <w:sz w:val="20"/>
                <w:szCs w:val="20"/>
              </w:rPr>
            </w:pPr>
            <w:r w:rsidRPr="00B44B19">
              <w:rPr>
                <w:iCs/>
                <w:noProof/>
                <w:sz w:val="20"/>
                <w:szCs w:val="20"/>
              </w:rPr>
              <w:t>1.1.</w:t>
            </w:r>
          </w:p>
        </w:tc>
        <w:tc>
          <w:tcPr>
            <w:tcW w:w="3806" w:type="dxa"/>
            <w:vMerge w:val="restart"/>
            <w:tcBorders>
              <w:top w:val="single" w:sz="12" w:space="0" w:color="auto"/>
              <w:bottom w:val="single" w:sz="4" w:space="0" w:color="auto"/>
            </w:tcBorders>
          </w:tcPr>
          <w:p w14:paraId="14E8F42F" w14:textId="77777777" w:rsidR="00423E48" w:rsidRPr="00B44B19" w:rsidRDefault="00423E48" w:rsidP="007F63EB">
            <w:pPr>
              <w:rPr>
                <w:sz w:val="20"/>
                <w:szCs w:val="20"/>
              </w:rPr>
            </w:pPr>
            <w:r w:rsidRPr="00B44B19">
              <w:rPr>
                <w:sz w:val="20"/>
                <w:szCs w:val="20"/>
              </w:rPr>
              <w:t>02 – Lyčių aspekto integravimas</w:t>
            </w:r>
          </w:p>
        </w:tc>
        <w:tc>
          <w:tcPr>
            <w:tcW w:w="1559" w:type="dxa"/>
            <w:tcBorders>
              <w:top w:val="single" w:sz="12" w:space="0" w:color="auto"/>
              <w:bottom w:val="single" w:sz="4" w:space="0" w:color="auto"/>
            </w:tcBorders>
          </w:tcPr>
          <w:p w14:paraId="47EC7355" w14:textId="2829E8B2" w:rsidR="00423E48" w:rsidRPr="00B44B19" w:rsidRDefault="00157F61" w:rsidP="00157F61">
            <w:pPr>
              <w:jc w:val="right"/>
              <w:rPr>
                <w:color w:val="000000"/>
                <w:sz w:val="20"/>
                <w:szCs w:val="20"/>
              </w:rPr>
            </w:pPr>
            <w:r w:rsidRPr="00B44B19">
              <w:rPr>
                <w:color w:val="000000"/>
                <w:sz w:val="20"/>
                <w:szCs w:val="20"/>
              </w:rPr>
              <w:t>17 333 739</w:t>
            </w:r>
            <w:r w:rsidR="00423E48" w:rsidRPr="00B44B19">
              <w:rPr>
                <w:sz w:val="20"/>
                <w:szCs w:val="20"/>
              </w:rPr>
              <w:t>,00</w:t>
            </w:r>
          </w:p>
        </w:tc>
      </w:tr>
      <w:tr w:rsidR="00423E48" w:rsidRPr="00B44B19" w14:paraId="4429C9D0" w14:textId="77777777" w:rsidTr="004D209E">
        <w:tc>
          <w:tcPr>
            <w:tcW w:w="1085" w:type="dxa"/>
            <w:vMerge/>
          </w:tcPr>
          <w:p w14:paraId="18FFAE18" w14:textId="77777777" w:rsidR="00423E48" w:rsidRPr="00B44B19" w:rsidRDefault="00423E48" w:rsidP="008A0CE0">
            <w:pPr>
              <w:jc w:val="center"/>
              <w:rPr>
                <w:sz w:val="20"/>
                <w:szCs w:val="20"/>
              </w:rPr>
            </w:pPr>
          </w:p>
        </w:tc>
        <w:tc>
          <w:tcPr>
            <w:tcW w:w="847" w:type="dxa"/>
            <w:vMerge/>
          </w:tcPr>
          <w:p w14:paraId="23C67DC7" w14:textId="77777777" w:rsidR="00423E48" w:rsidRPr="00B44B19" w:rsidRDefault="00423E48" w:rsidP="008A0CE0">
            <w:pPr>
              <w:jc w:val="center"/>
              <w:rPr>
                <w:sz w:val="20"/>
                <w:szCs w:val="20"/>
              </w:rPr>
            </w:pPr>
          </w:p>
        </w:tc>
        <w:tc>
          <w:tcPr>
            <w:tcW w:w="1437" w:type="dxa"/>
            <w:tcBorders>
              <w:top w:val="single" w:sz="4" w:space="0" w:color="auto"/>
            </w:tcBorders>
          </w:tcPr>
          <w:p w14:paraId="10D3F178" w14:textId="77777777" w:rsidR="00423E48" w:rsidRPr="00B44B19" w:rsidRDefault="00423E48" w:rsidP="004B6804">
            <w:pPr>
              <w:rPr>
                <w:sz w:val="20"/>
                <w:szCs w:val="20"/>
              </w:rPr>
            </w:pPr>
            <w:r w:rsidRPr="00B44B19">
              <w:rPr>
                <w:sz w:val="20"/>
                <w:szCs w:val="20"/>
              </w:rPr>
              <w:t>VVL regionas</w:t>
            </w:r>
          </w:p>
        </w:tc>
        <w:tc>
          <w:tcPr>
            <w:tcW w:w="1013" w:type="dxa"/>
            <w:vMerge/>
            <w:tcBorders>
              <w:top w:val="single" w:sz="4" w:space="0" w:color="auto"/>
            </w:tcBorders>
          </w:tcPr>
          <w:p w14:paraId="2DE34895" w14:textId="77777777" w:rsidR="00423E48" w:rsidRPr="00B44B19" w:rsidRDefault="00423E48" w:rsidP="004B6804">
            <w:pPr>
              <w:jc w:val="center"/>
              <w:rPr>
                <w:iCs/>
                <w:noProof/>
                <w:sz w:val="20"/>
                <w:szCs w:val="20"/>
              </w:rPr>
            </w:pPr>
          </w:p>
        </w:tc>
        <w:tc>
          <w:tcPr>
            <w:tcW w:w="3806" w:type="dxa"/>
            <w:vMerge/>
            <w:tcBorders>
              <w:top w:val="single" w:sz="4" w:space="0" w:color="auto"/>
            </w:tcBorders>
          </w:tcPr>
          <w:p w14:paraId="03645A9E" w14:textId="77777777" w:rsidR="00423E48" w:rsidRPr="00B44B19" w:rsidRDefault="00423E48" w:rsidP="007F63EB">
            <w:pPr>
              <w:rPr>
                <w:sz w:val="20"/>
                <w:szCs w:val="20"/>
              </w:rPr>
            </w:pPr>
          </w:p>
        </w:tc>
        <w:tc>
          <w:tcPr>
            <w:tcW w:w="1559" w:type="dxa"/>
            <w:tcBorders>
              <w:top w:val="single" w:sz="4" w:space="0" w:color="auto"/>
            </w:tcBorders>
          </w:tcPr>
          <w:p w14:paraId="3BF514BF" w14:textId="6AD0C1EA" w:rsidR="00423E48" w:rsidRPr="00B44B19" w:rsidRDefault="00157F61" w:rsidP="00157F61">
            <w:pPr>
              <w:jc w:val="right"/>
              <w:rPr>
                <w:color w:val="000000"/>
                <w:sz w:val="20"/>
                <w:szCs w:val="20"/>
              </w:rPr>
            </w:pPr>
            <w:r w:rsidRPr="00B44B19">
              <w:rPr>
                <w:color w:val="000000"/>
                <w:sz w:val="20"/>
                <w:szCs w:val="20"/>
              </w:rPr>
              <w:t>10 000 000</w:t>
            </w:r>
            <w:r w:rsidR="00423E48" w:rsidRPr="00B44B19">
              <w:rPr>
                <w:iCs/>
                <w:noProof/>
                <w:sz w:val="20"/>
              </w:rPr>
              <w:t>,00</w:t>
            </w:r>
          </w:p>
        </w:tc>
      </w:tr>
      <w:tr w:rsidR="00423E48" w:rsidRPr="00B44B19" w14:paraId="7C0B1451" w14:textId="77777777" w:rsidTr="004D209E">
        <w:tc>
          <w:tcPr>
            <w:tcW w:w="1085" w:type="dxa"/>
            <w:vMerge/>
          </w:tcPr>
          <w:p w14:paraId="12301605" w14:textId="77777777" w:rsidR="00423E48" w:rsidRPr="00B44B19" w:rsidRDefault="00423E48" w:rsidP="008A0CE0">
            <w:pPr>
              <w:jc w:val="center"/>
              <w:rPr>
                <w:iCs/>
                <w:noProof/>
                <w:sz w:val="20"/>
                <w:szCs w:val="20"/>
              </w:rPr>
            </w:pPr>
          </w:p>
        </w:tc>
        <w:tc>
          <w:tcPr>
            <w:tcW w:w="847" w:type="dxa"/>
            <w:vMerge/>
          </w:tcPr>
          <w:p w14:paraId="59C96F0B" w14:textId="77777777" w:rsidR="00423E48" w:rsidRPr="00B44B19" w:rsidRDefault="00423E48" w:rsidP="008A0CE0">
            <w:pPr>
              <w:jc w:val="center"/>
              <w:rPr>
                <w:iCs/>
                <w:noProof/>
                <w:sz w:val="20"/>
                <w:szCs w:val="20"/>
              </w:rPr>
            </w:pPr>
          </w:p>
        </w:tc>
        <w:tc>
          <w:tcPr>
            <w:tcW w:w="1437" w:type="dxa"/>
            <w:tcBorders>
              <w:top w:val="single" w:sz="4" w:space="0" w:color="auto"/>
            </w:tcBorders>
          </w:tcPr>
          <w:p w14:paraId="1FB5DFCD" w14:textId="77777777" w:rsidR="00423E48" w:rsidRPr="00B44B19" w:rsidRDefault="00423E48" w:rsidP="004B6804">
            <w:pPr>
              <w:rPr>
                <w:iCs/>
                <w:noProof/>
                <w:sz w:val="20"/>
                <w:szCs w:val="20"/>
              </w:rPr>
            </w:pPr>
            <w:r w:rsidRPr="00B44B19">
              <w:rPr>
                <w:sz w:val="20"/>
                <w:szCs w:val="20"/>
              </w:rPr>
              <w:t>Sostinės regionas</w:t>
            </w:r>
          </w:p>
        </w:tc>
        <w:tc>
          <w:tcPr>
            <w:tcW w:w="1013" w:type="dxa"/>
            <w:vMerge w:val="restart"/>
            <w:tcBorders>
              <w:top w:val="single" w:sz="4" w:space="0" w:color="auto"/>
            </w:tcBorders>
          </w:tcPr>
          <w:p w14:paraId="1F57770B" w14:textId="77777777" w:rsidR="00423E48" w:rsidRPr="00B44B19" w:rsidRDefault="00423E48" w:rsidP="004B6804">
            <w:pPr>
              <w:jc w:val="center"/>
              <w:rPr>
                <w:iCs/>
                <w:noProof/>
                <w:sz w:val="20"/>
                <w:szCs w:val="20"/>
              </w:rPr>
            </w:pPr>
            <w:r w:rsidRPr="00B44B19">
              <w:rPr>
                <w:iCs/>
                <w:noProof/>
                <w:sz w:val="20"/>
                <w:szCs w:val="20"/>
              </w:rPr>
              <w:t>1.1.</w:t>
            </w:r>
          </w:p>
        </w:tc>
        <w:tc>
          <w:tcPr>
            <w:tcW w:w="3806" w:type="dxa"/>
            <w:vMerge w:val="restart"/>
            <w:tcBorders>
              <w:top w:val="single" w:sz="4" w:space="0" w:color="auto"/>
            </w:tcBorders>
          </w:tcPr>
          <w:p w14:paraId="797EA3FB" w14:textId="77777777" w:rsidR="00423E48" w:rsidRPr="00B44B19" w:rsidRDefault="00423E48" w:rsidP="007F63EB">
            <w:pPr>
              <w:rPr>
                <w:iCs/>
                <w:noProof/>
                <w:sz w:val="20"/>
                <w:szCs w:val="20"/>
              </w:rPr>
            </w:pPr>
            <w:r w:rsidRPr="00B44B19">
              <w:rPr>
                <w:sz w:val="20"/>
                <w:szCs w:val="20"/>
              </w:rPr>
              <w:t xml:space="preserve">03 </w:t>
            </w:r>
            <w:r w:rsidR="002B22DC" w:rsidRPr="00B44B19">
              <w:rPr>
                <w:sz w:val="20"/>
                <w:szCs w:val="20"/>
              </w:rPr>
              <w:t>–</w:t>
            </w:r>
            <w:r w:rsidRPr="00B44B19">
              <w:rPr>
                <w:sz w:val="20"/>
                <w:szCs w:val="20"/>
              </w:rPr>
              <w:t xml:space="preserve"> Neutralumas lyties požiūriu</w:t>
            </w:r>
          </w:p>
        </w:tc>
        <w:tc>
          <w:tcPr>
            <w:tcW w:w="1559" w:type="dxa"/>
            <w:tcBorders>
              <w:top w:val="single" w:sz="4" w:space="0" w:color="auto"/>
            </w:tcBorders>
          </w:tcPr>
          <w:p w14:paraId="0A65BCDD" w14:textId="23DA29CC" w:rsidR="00423E48" w:rsidRPr="00B44B19" w:rsidRDefault="00157F61" w:rsidP="00157F61">
            <w:pPr>
              <w:jc w:val="right"/>
              <w:rPr>
                <w:iCs/>
                <w:noProof/>
                <w:sz w:val="20"/>
                <w:szCs w:val="20"/>
              </w:rPr>
            </w:pPr>
            <w:r w:rsidRPr="00B44B19">
              <w:rPr>
                <w:color w:val="000000"/>
                <w:sz w:val="20"/>
                <w:szCs w:val="20"/>
              </w:rPr>
              <w:t>67 994 532</w:t>
            </w:r>
            <w:r w:rsidR="004D7C7E" w:rsidRPr="00B44B19">
              <w:rPr>
                <w:color w:val="000000"/>
                <w:sz w:val="20"/>
                <w:szCs w:val="20"/>
              </w:rPr>
              <w:t>,00</w:t>
            </w:r>
          </w:p>
        </w:tc>
      </w:tr>
      <w:tr w:rsidR="00423E48" w:rsidRPr="00B44B19" w14:paraId="0E1AF8EE" w14:textId="77777777" w:rsidTr="004D209E">
        <w:tc>
          <w:tcPr>
            <w:tcW w:w="1085" w:type="dxa"/>
            <w:vMerge/>
          </w:tcPr>
          <w:p w14:paraId="501763CE" w14:textId="77777777" w:rsidR="00423E48" w:rsidRPr="00B44B19" w:rsidRDefault="00423E48" w:rsidP="004B6804">
            <w:pPr>
              <w:jc w:val="center"/>
              <w:rPr>
                <w:iCs/>
                <w:noProof/>
                <w:sz w:val="20"/>
                <w:szCs w:val="20"/>
              </w:rPr>
            </w:pPr>
          </w:p>
        </w:tc>
        <w:tc>
          <w:tcPr>
            <w:tcW w:w="847" w:type="dxa"/>
            <w:vMerge/>
          </w:tcPr>
          <w:p w14:paraId="2C5CC3C2" w14:textId="77777777" w:rsidR="00423E48" w:rsidRPr="00B44B19" w:rsidRDefault="00423E48" w:rsidP="004B6804">
            <w:pPr>
              <w:jc w:val="center"/>
              <w:rPr>
                <w:iCs/>
                <w:noProof/>
                <w:sz w:val="20"/>
                <w:szCs w:val="20"/>
              </w:rPr>
            </w:pPr>
          </w:p>
        </w:tc>
        <w:tc>
          <w:tcPr>
            <w:tcW w:w="1437" w:type="dxa"/>
          </w:tcPr>
          <w:p w14:paraId="7DCEAEDB" w14:textId="77777777" w:rsidR="00423E48" w:rsidRPr="00B44B19" w:rsidRDefault="00423E48" w:rsidP="004B6804">
            <w:pPr>
              <w:rPr>
                <w:iCs/>
                <w:noProof/>
                <w:sz w:val="20"/>
                <w:szCs w:val="20"/>
              </w:rPr>
            </w:pPr>
            <w:r w:rsidRPr="00B44B19">
              <w:rPr>
                <w:sz w:val="20"/>
                <w:szCs w:val="20"/>
              </w:rPr>
              <w:t>VVL regionas</w:t>
            </w:r>
          </w:p>
        </w:tc>
        <w:tc>
          <w:tcPr>
            <w:tcW w:w="1013" w:type="dxa"/>
            <w:vMerge/>
          </w:tcPr>
          <w:p w14:paraId="7D170F66" w14:textId="77777777" w:rsidR="00423E48" w:rsidRPr="00B44B19" w:rsidRDefault="00423E48" w:rsidP="004B6804">
            <w:pPr>
              <w:jc w:val="center"/>
              <w:rPr>
                <w:iCs/>
                <w:noProof/>
                <w:sz w:val="20"/>
                <w:szCs w:val="20"/>
              </w:rPr>
            </w:pPr>
          </w:p>
        </w:tc>
        <w:tc>
          <w:tcPr>
            <w:tcW w:w="3806" w:type="dxa"/>
            <w:vMerge/>
          </w:tcPr>
          <w:p w14:paraId="78B6C864" w14:textId="77777777" w:rsidR="00423E48" w:rsidRPr="00B44B19" w:rsidRDefault="00423E48" w:rsidP="004B6804">
            <w:pPr>
              <w:jc w:val="center"/>
              <w:rPr>
                <w:iCs/>
                <w:noProof/>
                <w:sz w:val="20"/>
                <w:szCs w:val="20"/>
              </w:rPr>
            </w:pPr>
          </w:p>
        </w:tc>
        <w:tc>
          <w:tcPr>
            <w:tcW w:w="1559" w:type="dxa"/>
          </w:tcPr>
          <w:p w14:paraId="1732ACC6" w14:textId="03824ACF" w:rsidR="00423E48" w:rsidRPr="00B44B19" w:rsidRDefault="00157F61" w:rsidP="00157F61">
            <w:pPr>
              <w:jc w:val="right"/>
              <w:rPr>
                <w:iCs/>
                <w:noProof/>
                <w:sz w:val="20"/>
                <w:szCs w:val="20"/>
              </w:rPr>
            </w:pPr>
            <w:r w:rsidRPr="00B44B19">
              <w:rPr>
                <w:color w:val="000000"/>
                <w:sz w:val="20"/>
                <w:szCs w:val="20"/>
              </w:rPr>
              <w:t>363 731 839</w:t>
            </w:r>
            <w:r w:rsidR="004D7C7E" w:rsidRPr="00B44B19">
              <w:rPr>
                <w:color w:val="000000"/>
                <w:sz w:val="20"/>
                <w:szCs w:val="20"/>
              </w:rPr>
              <w:t>,00</w:t>
            </w:r>
          </w:p>
        </w:tc>
      </w:tr>
    </w:tbl>
    <w:p w14:paraId="3BCC8380" w14:textId="77777777" w:rsidR="00EF291A" w:rsidRPr="00D456C1" w:rsidRDefault="00EF291A" w:rsidP="00D456C1">
      <w:pPr>
        <w:pStyle w:val="Antrat2"/>
      </w:pPr>
      <w:bookmarkStart w:id="12" w:name="_Toc223435411"/>
      <w:r w:rsidRPr="00D456C1">
        <w:t xml:space="preserve">Konkretus uždavinys – 1.2. </w:t>
      </w:r>
      <w:r w:rsidR="002B5AF3" w:rsidRPr="00D456C1">
        <w:rPr>
          <w:lang w:bidi="lt-LT"/>
        </w:rPr>
        <w:t>Pasinaudoti skaitmeninimo teikiama nauda piliečiams, įmonėms, mokslinių tyrimų organizacijoms ir valdžios institucijoms</w:t>
      </w:r>
      <w:bookmarkEnd w:id="12"/>
    </w:p>
    <w:p w14:paraId="2FDD9274"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Įgyvendinamos veiklos</w:t>
      </w:r>
    </w:p>
    <w:tbl>
      <w:tblPr>
        <w:tblStyle w:val="Lentelstinklelis1"/>
        <w:tblW w:w="9889" w:type="dxa"/>
        <w:tblLook w:val="04A0" w:firstRow="1" w:lastRow="0" w:firstColumn="1" w:lastColumn="0" w:noHBand="0" w:noVBand="1"/>
      </w:tblPr>
      <w:tblGrid>
        <w:gridCol w:w="9889"/>
      </w:tblGrid>
      <w:tr w:rsidR="00EF291A" w:rsidRPr="00B44B19" w14:paraId="3A2446A4" w14:textId="77777777" w:rsidTr="00EB70C3">
        <w:tc>
          <w:tcPr>
            <w:tcW w:w="9889" w:type="dxa"/>
          </w:tcPr>
          <w:p w14:paraId="62483485" w14:textId="3CBCBD68" w:rsidR="00116C5C" w:rsidRPr="00B44B19" w:rsidRDefault="00116C5C" w:rsidP="004952F4">
            <w:pPr>
              <w:spacing w:before="60" w:after="60"/>
              <w:jc w:val="both"/>
              <w:rPr>
                <w:rFonts w:ascii="Times New Roman" w:hAnsi="Times New Roman" w:cs="Times New Roman"/>
              </w:rPr>
            </w:pPr>
            <w:r w:rsidRPr="00B44B19">
              <w:rPr>
                <w:rFonts w:ascii="Times New Roman" w:hAnsi="Times New Roman" w:cs="Times New Roman"/>
              </w:rPr>
              <w:t xml:space="preserve">Šio uždavinio veiklos </w:t>
            </w:r>
            <w:r w:rsidRPr="00B44B19">
              <w:rPr>
                <w:rFonts w:ascii="Times New Roman" w:hAnsi="Times New Roman" w:cs="Times New Roman"/>
                <w:b/>
              </w:rPr>
              <w:t xml:space="preserve">netiesiogiai prisidės prie </w:t>
            </w:r>
            <w:r w:rsidR="006E0996" w:rsidRPr="00B44B19">
              <w:rPr>
                <w:rFonts w:ascii="Times New Roman" w:hAnsi="Times New Roman" w:cs="Times New Roman"/>
                <w:b/>
              </w:rPr>
              <w:t>S4</w:t>
            </w:r>
            <w:r w:rsidR="006E0996" w:rsidRPr="00B44B19">
              <w:rPr>
                <w:rFonts w:ascii="Times New Roman" w:hAnsi="Times New Roman" w:cs="Times New Roman"/>
              </w:rPr>
              <w:t xml:space="preserve"> </w:t>
            </w:r>
            <w:r w:rsidRPr="00B44B19">
              <w:rPr>
                <w:rFonts w:ascii="Times New Roman" w:hAnsi="Times New Roman" w:cs="Times New Roman"/>
              </w:rPr>
              <w:t>įgyvendinimo. Atsižvelgiant į tai, kad vienas iš verslo inovatyvumo trukdžių – gana žema įmonių skaitmeninimo branda,</w:t>
            </w:r>
            <w:r w:rsidR="000D5AED" w:rsidRPr="00B44B19">
              <w:rPr>
                <w:rFonts w:ascii="Times New Roman" w:hAnsi="Times New Roman" w:cs="Times New Roman"/>
              </w:rPr>
              <w:t xml:space="preserve"> nepakankamas investicijų lygis į DI, o viešajame sektoriuje kyla el. paslaugų sąveikumo sunkumų, uždavinio investicijomis bus prisidedama prie MVĮ</w:t>
            </w:r>
            <w:r w:rsidR="00E51485" w:rsidRPr="00B44B19">
              <w:rPr>
                <w:rFonts w:ascii="Times New Roman" w:hAnsi="Times New Roman" w:cs="Times New Roman"/>
              </w:rPr>
              <w:t xml:space="preserve">, didelių įmonių ir, iš dalies, </w:t>
            </w:r>
            <w:r w:rsidR="000D5AED" w:rsidRPr="00B44B19">
              <w:rPr>
                <w:rFonts w:ascii="Times New Roman" w:hAnsi="Times New Roman" w:cs="Times New Roman"/>
              </w:rPr>
              <w:t xml:space="preserve">prie viešojo sektoriaus skaitmeninimo, kurio trūkstamą finansavimą užtikrins EGADP lėšos. </w:t>
            </w:r>
            <w:r w:rsidRPr="00B44B19">
              <w:rPr>
                <w:rFonts w:ascii="Times New Roman" w:hAnsi="Times New Roman" w:cs="Times New Roman"/>
                <w:bCs/>
              </w:rPr>
              <w:t>E</w:t>
            </w:r>
            <w:r w:rsidRPr="00B44B19">
              <w:rPr>
                <w:rFonts w:ascii="Times New Roman" w:hAnsi="Times New Roman" w:cs="Times New Roman"/>
              </w:rPr>
              <w:t xml:space="preserve">konomikos struktūros </w:t>
            </w:r>
            <w:r w:rsidR="00DF01E2" w:rsidRPr="00B44B19">
              <w:rPr>
                <w:rFonts w:ascii="Times New Roman" w:hAnsi="Times New Roman" w:cs="Times New Roman"/>
              </w:rPr>
              <w:t>pokyčiai daro įtaką darbo vietų automatizavimui, lemia poreikį</w:t>
            </w:r>
            <w:r w:rsidRPr="00B44B19">
              <w:rPr>
                <w:rFonts w:ascii="Times New Roman" w:hAnsi="Times New Roman" w:cs="Times New Roman"/>
              </w:rPr>
              <w:t xml:space="preserve"> keisti neefektyvias ir energijai imlias gamybos technologijas, todėl ypatingas dėmesys turi būti skiriamas MVĮ</w:t>
            </w:r>
            <w:r w:rsidR="00E51485" w:rsidRPr="00B44B19">
              <w:rPr>
                <w:rFonts w:ascii="Times New Roman" w:hAnsi="Times New Roman" w:cs="Times New Roman"/>
              </w:rPr>
              <w:t>, didelių įmonių</w:t>
            </w:r>
            <w:r w:rsidRPr="00B44B19">
              <w:rPr>
                <w:rFonts w:ascii="Times New Roman" w:hAnsi="Times New Roman" w:cs="Times New Roman"/>
              </w:rPr>
              <w:t xml:space="preserve"> </w:t>
            </w:r>
            <w:r w:rsidR="00DF01E2" w:rsidRPr="00B44B19">
              <w:rPr>
                <w:rFonts w:ascii="Times New Roman" w:hAnsi="Times New Roman" w:cs="Times New Roman"/>
              </w:rPr>
              <w:t xml:space="preserve">verslo modeliui ir produktams skaitmeninti, </w:t>
            </w:r>
            <w:r w:rsidR="000D5AED" w:rsidRPr="00B44B19">
              <w:rPr>
                <w:rFonts w:ascii="Times New Roman" w:hAnsi="Times New Roman" w:cs="Times New Roman"/>
              </w:rPr>
              <w:t>konkurencingiems DI produktams ir paslaugoms kurti ir vystyti, pažangiausioms technologijoms diegti. Lietuvoje šiuo metu nėra aiškaus mechanizmo (atsakingos institucijos), kuris padėtų kurti saugią ir kontroliuojamą aplinką, kurioje būtų galima eksperimentuoti ir testuoti DI technologijas bei jų taikymą ir padėtų užtikrinti, kad naujai kuriamos DI sistemos būtų saugios, etiškos ir atitiktų reglamentus, prieš jas diegiant ES rinkoje realiomis sąlygomis. Todėl taip pat bus sukurta bandomoji aplinka, padėsianti MVĮ kurti teisės aktų reikalavimus atitinkančius produktus ir paslaugas, o tai padės apsaugoti visos DI ekosistemos (viešųjų institucijų, verslo, piliečių), besinaudojančiųjų DI technologijomis, interesus.</w:t>
            </w:r>
          </w:p>
          <w:p w14:paraId="0713BDFE" w14:textId="288AD728" w:rsidR="00116C5C" w:rsidRPr="00B44B19" w:rsidRDefault="00116C5C" w:rsidP="004952F4">
            <w:pPr>
              <w:spacing w:before="60" w:after="60"/>
              <w:jc w:val="both"/>
              <w:rPr>
                <w:rFonts w:ascii="Times New Roman" w:hAnsi="Times New Roman" w:cs="Times New Roman"/>
              </w:rPr>
            </w:pPr>
            <w:r w:rsidRPr="00B44B19">
              <w:rPr>
                <w:rFonts w:ascii="Times New Roman" w:hAnsi="Times New Roman" w:cs="Times New Roman"/>
              </w:rPr>
              <w:t>Siekiant skaitmenizavimo transformacijos, bus investuojama į kompetencijas didelio našumo skaičiavimo, DI, kibernetinio saugumo taikymo srityse</w:t>
            </w:r>
            <w:r w:rsidR="00E51485" w:rsidRPr="00B44B19">
              <w:rPr>
                <w:rFonts w:ascii="Times New Roman" w:hAnsi="Times New Roman" w:cs="Times New Roman"/>
              </w:rPr>
              <w:t>, numatomos investicijos į Lietuvoje sukurtus Europos skaitmeninius inovacijų centrus, teikiančius įmonėms inovacijų konsultacines ir inovacijų paramos paslaugas skaitmeninimo klausimais.</w:t>
            </w:r>
            <w:r w:rsidRPr="00B44B19">
              <w:rPr>
                <w:rFonts w:ascii="Times New Roman" w:hAnsi="Times New Roman" w:cs="Times New Roman"/>
              </w:rPr>
              <w:t xml:space="preserve"> </w:t>
            </w:r>
            <w:r w:rsidR="00D004D1" w:rsidRPr="00B44B19">
              <w:rPr>
                <w:rFonts w:ascii="Times New Roman" w:hAnsi="Times New Roman" w:cs="Times New Roman"/>
              </w:rPr>
              <w:t>Atsižvelgiant į Sostinės regionui ir VVL regionui</w:t>
            </w:r>
            <w:r w:rsidR="00D004D1" w:rsidRPr="00B44B19" w:rsidDel="001E7A1D">
              <w:rPr>
                <w:rFonts w:ascii="Times New Roman" w:hAnsi="Times New Roman" w:cs="Times New Roman"/>
              </w:rPr>
              <w:t xml:space="preserve"> </w:t>
            </w:r>
            <w:r w:rsidR="00D004D1" w:rsidRPr="00B44B19">
              <w:rPr>
                <w:rFonts w:ascii="Times New Roman" w:hAnsi="Times New Roman" w:cs="Times New Roman"/>
              </w:rPr>
              <w:t>kylančius uždavinius, investicijos</w:t>
            </w:r>
            <w:r w:rsidRPr="00B44B19">
              <w:rPr>
                <w:rFonts w:ascii="Times New Roman" w:hAnsi="Times New Roman" w:cs="Times New Roman"/>
              </w:rPr>
              <w:t xml:space="preserve"> numatomos abiejuose regionuose, įvertinus konkretaus regiono problemos mastą ir specifiką. Siekiant skaitmeninės transformacijos mokslo srityje </w:t>
            </w:r>
            <w:r w:rsidR="00D004D1" w:rsidRPr="00B44B19">
              <w:rPr>
                <w:rFonts w:ascii="Times New Roman" w:hAnsi="Times New Roman" w:cs="Times New Roman"/>
              </w:rPr>
              <w:t>bei didesnio tarptautinio mokslo</w:t>
            </w:r>
            <w:r w:rsidRPr="00B44B19">
              <w:rPr>
                <w:rFonts w:ascii="Times New Roman" w:hAnsi="Times New Roman" w:cs="Times New Roman"/>
              </w:rPr>
              <w:t xml:space="preserve"> rezultatų </w:t>
            </w:r>
            <w:r w:rsidR="00D004D1" w:rsidRPr="00B44B19">
              <w:rPr>
                <w:rFonts w:ascii="Times New Roman" w:hAnsi="Times New Roman" w:cs="Times New Roman"/>
              </w:rPr>
              <w:t xml:space="preserve">matomumo, planuojama </w:t>
            </w:r>
            <w:r w:rsidRPr="00B44B19">
              <w:rPr>
                <w:rFonts w:ascii="Times New Roman" w:hAnsi="Times New Roman" w:cs="Times New Roman"/>
              </w:rPr>
              <w:t>investuoti į mokslo duomenų atvėrimą bei integraciją į Europos atvirojo mokslo debes</w:t>
            </w:r>
            <w:r w:rsidR="00D004D1" w:rsidRPr="00B44B19">
              <w:rPr>
                <w:rFonts w:ascii="Times New Roman" w:hAnsi="Times New Roman" w:cs="Times New Roman"/>
              </w:rPr>
              <w:t>iją</w:t>
            </w:r>
            <w:r w:rsidRPr="00B44B19">
              <w:rPr>
                <w:rFonts w:ascii="Times New Roman" w:hAnsi="Times New Roman" w:cs="Times New Roman"/>
              </w:rPr>
              <w:t>.</w:t>
            </w:r>
          </w:p>
          <w:p w14:paraId="1B6C6D6D" w14:textId="0959B54C" w:rsidR="00116C5C" w:rsidRPr="00B44B19" w:rsidRDefault="00116C5C" w:rsidP="004952F4">
            <w:pPr>
              <w:spacing w:before="60" w:after="60"/>
              <w:jc w:val="both"/>
              <w:rPr>
                <w:rFonts w:ascii="Times New Roman" w:hAnsi="Times New Roman" w:cs="Times New Roman"/>
              </w:rPr>
            </w:pPr>
            <w:r w:rsidRPr="00B44B19">
              <w:rPr>
                <w:rFonts w:ascii="Times New Roman" w:hAnsi="Times New Roman" w:cs="Times New Roman"/>
              </w:rPr>
              <w:t xml:space="preserve">Uždavinio tikslams </w:t>
            </w:r>
            <w:r w:rsidR="00D004D1" w:rsidRPr="00B44B19">
              <w:rPr>
                <w:rFonts w:ascii="Times New Roman" w:hAnsi="Times New Roman" w:cs="Times New Roman"/>
              </w:rPr>
              <w:t xml:space="preserve">pasiekti numatoma naudotis </w:t>
            </w:r>
            <w:r w:rsidRPr="00B44B19">
              <w:rPr>
                <w:rFonts w:ascii="Times New Roman" w:hAnsi="Times New Roman" w:cs="Times New Roman"/>
              </w:rPr>
              <w:t xml:space="preserve">tokių šaltinių galimybėmis: </w:t>
            </w:r>
            <w:r w:rsidR="000D5AED" w:rsidRPr="00B44B19">
              <w:rPr>
                <w:rFonts w:ascii="Times New Roman" w:hAnsi="Times New Roman" w:cs="Times New Roman"/>
              </w:rPr>
              <w:t xml:space="preserve">„Skaitmeninė Europa“, </w:t>
            </w:r>
            <w:r w:rsidRPr="00B44B19">
              <w:rPr>
                <w:rFonts w:ascii="Times New Roman" w:hAnsi="Times New Roman" w:cs="Times New Roman"/>
              </w:rPr>
              <w:t xml:space="preserve">EGADP ir kitomis EK tiesiogiai finansuojamomis programomis </w:t>
            </w:r>
            <w:r w:rsidR="00D004D1" w:rsidRPr="00B44B19">
              <w:rPr>
                <w:rFonts w:ascii="Times New Roman" w:hAnsi="Times New Roman" w:cs="Times New Roman"/>
              </w:rPr>
              <w:t>ir priemonėmis</w:t>
            </w:r>
            <w:r w:rsidRPr="00B44B19">
              <w:rPr>
                <w:rFonts w:ascii="Times New Roman" w:hAnsi="Times New Roman" w:cs="Times New Roman"/>
              </w:rPr>
              <w:t>.</w:t>
            </w:r>
          </w:p>
          <w:p w14:paraId="29AEB242" w14:textId="77777777" w:rsidR="00116C5C" w:rsidRPr="00B44B19" w:rsidRDefault="00116C5C" w:rsidP="004952F4">
            <w:pPr>
              <w:spacing w:before="60" w:after="60"/>
              <w:jc w:val="both"/>
              <w:rPr>
                <w:rFonts w:ascii="Times New Roman" w:hAnsi="Times New Roman" w:cs="Times New Roman"/>
              </w:rPr>
            </w:pPr>
            <w:r w:rsidRPr="00B44B19">
              <w:rPr>
                <w:rFonts w:ascii="Times New Roman" w:hAnsi="Times New Roman" w:cs="Times New Roman"/>
              </w:rPr>
              <w:t>Veik</w:t>
            </w:r>
            <w:r w:rsidR="00C9518B" w:rsidRPr="00B44B19">
              <w:rPr>
                <w:rFonts w:ascii="Times New Roman" w:hAnsi="Times New Roman" w:cs="Times New Roman"/>
              </w:rPr>
              <w:t>smų rūšys</w:t>
            </w:r>
            <w:r w:rsidRPr="00B44B19">
              <w:rPr>
                <w:rFonts w:ascii="Times New Roman" w:hAnsi="Times New Roman" w:cs="Times New Roman"/>
              </w:rPr>
              <w:t xml:space="preserve">, siekiant didinti </w:t>
            </w:r>
            <w:r w:rsidR="00D004D1" w:rsidRPr="00B44B19">
              <w:rPr>
                <w:rFonts w:ascii="Times New Roman" w:hAnsi="Times New Roman" w:cs="Times New Roman"/>
              </w:rPr>
              <w:t>ekonomikos skaitmeninimą</w:t>
            </w:r>
            <w:r w:rsidRPr="00B44B19">
              <w:rPr>
                <w:rFonts w:ascii="Times New Roman" w:hAnsi="Times New Roman" w:cs="Times New Roman"/>
              </w:rPr>
              <w:t>, įmonių bei viešojo sektoriaus dinamiškumą</w:t>
            </w:r>
            <w:r w:rsidR="002F1C1D" w:rsidRPr="00B44B19">
              <w:rPr>
                <w:rFonts w:ascii="Times New Roman" w:hAnsi="Times New Roman" w:cs="Times New Roman"/>
              </w:rPr>
              <w:t xml:space="preserve"> ir skaitmeninę transformaciją:</w:t>
            </w:r>
          </w:p>
          <w:p w14:paraId="2DF968A4" w14:textId="43DF7418" w:rsidR="00116C5C" w:rsidRPr="00B44B19" w:rsidRDefault="00116C5C" w:rsidP="004952F4">
            <w:pPr>
              <w:spacing w:before="60" w:after="60"/>
              <w:jc w:val="both"/>
              <w:rPr>
                <w:rFonts w:ascii="Times New Roman" w:eastAsia="Calibri" w:hAnsi="Times New Roman" w:cs="Times New Roman"/>
                <w:i/>
                <w:iCs/>
              </w:rPr>
            </w:pPr>
            <w:r w:rsidRPr="00B44B19">
              <w:rPr>
                <w:rFonts w:ascii="Times New Roman" w:hAnsi="Times New Roman" w:cs="Times New Roman"/>
                <w:b/>
              </w:rPr>
              <w:t>Skatinti skaitmeninių kompetencijų plėtrą didelio našumo skaičiavimo, DI, kibernetinio saugumo taikymo srityse</w:t>
            </w:r>
            <w:r w:rsidRPr="00B44B19">
              <w:rPr>
                <w:rFonts w:ascii="Times New Roman" w:hAnsi="Times New Roman" w:cs="Times New Roman"/>
              </w:rPr>
              <w:t xml:space="preserve">, </w:t>
            </w:r>
            <w:r w:rsidR="00D004D1" w:rsidRPr="00B44B19">
              <w:rPr>
                <w:rFonts w:ascii="Times New Roman" w:hAnsi="Times New Roman" w:cs="Times New Roman"/>
              </w:rPr>
              <w:t>finansuojant</w:t>
            </w:r>
            <w:r w:rsidRPr="00B44B19">
              <w:rPr>
                <w:rFonts w:ascii="Times New Roman" w:hAnsi="Times New Roman" w:cs="Times New Roman"/>
              </w:rPr>
              <w:t xml:space="preserve"> iniciatyvas teikti konsultavimo ir finansavimo paslaugas MVĮ, </w:t>
            </w:r>
            <w:r w:rsidR="00D004D1" w:rsidRPr="00B44B19">
              <w:rPr>
                <w:rFonts w:ascii="Times New Roman" w:hAnsi="Times New Roman" w:cs="Times New Roman"/>
              </w:rPr>
              <w:t xml:space="preserve">prioritetą skiriant </w:t>
            </w:r>
            <w:r w:rsidRPr="00B44B19">
              <w:rPr>
                <w:rFonts w:ascii="Times New Roman" w:hAnsi="Times New Roman" w:cs="Times New Roman"/>
              </w:rPr>
              <w:t>skaitmeninimo ir technologijų perdavimo paslaugoms</w:t>
            </w:r>
            <w:r w:rsidRPr="00B44B19">
              <w:rPr>
                <w:rFonts w:ascii="Times New Roman" w:eastAsia="Calibri" w:hAnsi="Times New Roman" w:cs="Times New Roman"/>
              </w:rPr>
              <w:t xml:space="preserve">. </w:t>
            </w:r>
            <w:r w:rsidRPr="00B44B19">
              <w:rPr>
                <w:rFonts w:ascii="Times New Roman" w:hAnsi="Times New Roman" w:cs="Times New Roman"/>
              </w:rPr>
              <w:t>Ši veikla bus įgyvendinama Sostinės ir VVL region</w:t>
            </w:r>
            <w:r w:rsidR="00BA57A3" w:rsidRPr="00B44B19">
              <w:rPr>
                <w:rFonts w:ascii="Times New Roman" w:hAnsi="Times New Roman" w:cs="Times New Roman"/>
              </w:rPr>
              <w:t>uos</w:t>
            </w:r>
            <w:r w:rsidRPr="00B44B19">
              <w:rPr>
                <w:rFonts w:ascii="Times New Roman" w:hAnsi="Times New Roman" w:cs="Times New Roman"/>
              </w:rPr>
              <w:t>e</w:t>
            </w:r>
            <w:r w:rsidRPr="00B44B19">
              <w:rPr>
                <w:rFonts w:ascii="Times New Roman" w:eastAsia="Calibri" w:hAnsi="Times New Roman" w:cs="Times New Roman"/>
              </w:rPr>
              <w:t xml:space="preserve">. Siekiant kryptingo, konkurencingo ir darnaus technologijų, produktų ar paslaugų vystymo, šią veiklą papildys EGADP lėšomis numatoma įkurti </w:t>
            </w:r>
            <w:r w:rsidR="002B4B15" w:rsidRPr="00B44B19">
              <w:rPr>
                <w:rFonts w:ascii="Times New Roman" w:eastAsia="Calibri" w:hAnsi="Times New Roman" w:cs="Times New Roman"/>
              </w:rPr>
              <w:t>pramonei skirta praktinių technologinių žinių ir sprendimų apsikeitimo platforma (industry 4.0 Lab)</w:t>
            </w:r>
            <w:r w:rsidR="002C4639" w:rsidRPr="00B44B19">
              <w:rPr>
                <w:rFonts w:ascii="Times New Roman" w:eastAsia="Calibri" w:hAnsi="Times New Roman" w:cs="Times New Roman"/>
              </w:rPr>
              <w:t xml:space="preserve"> ir EGADP lėšomis finansuojami europiniai skaitmeninių inovacijų centrai, kurie teikdami skaitmeninimo paslaugas, padės didinti MVĮ skaitmeninio intensyvumo lygį ir jungtis į bendras vertės kūrimo grandines</w:t>
            </w:r>
            <w:r w:rsidR="009C1877" w:rsidRPr="00B44B19">
              <w:rPr>
                <w:rFonts w:ascii="Times New Roman" w:eastAsia="Calibri" w:hAnsi="Times New Roman" w:cs="Times New Roman"/>
              </w:rPr>
              <w:t>.</w:t>
            </w:r>
          </w:p>
          <w:p w14:paraId="54302D2D" w14:textId="77777777" w:rsidR="00116C5C" w:rsidRPr="00B44B19" w:rsidRDefault="00116C5C" w:rsidP="004952F4">
            <w:pPr>
              <w:spacing w:before="60" w:after="60"/>
              <w:jc w:val="both"/>
              <w:rPr>
                <w:rFonts w:ascii="Times New Roman" w:eastAsia="Calibri" w:hAnsi="Times New Roman" w:cs="Times New Roman"/>
                <w:noProof/>
              </w:rPr>
            </w:pPr>
            <w:r w:rsidRPr="00B44B19">
              <w:rPr>
                <w:rFonts w:ascii="Times New Roman" w:eastAsia="Calibri" w:hAnsi="Times New Roman" w:cs="Times New Roman"/>
                <w:b/>
              </w:rPr>
              <w:lastRenderedPageBreak/>
              <w:t>Skatinti MVĮ skaitmeninimą</w:t>
            </w:r>
            <w:r w:rsidR="00D004D1" w:rsidRPr="00B44B19">
              <w:rPr>
                <w:rFonts w:ascii="Times New Roman" w:eastAsia="Calibri" w:hAnsi="Times New Roman" w:cs="Times New Roman"/>
              </w:rPr>
              <w:t>,</w:t>
            </w:r>
            <w:r w:rsidRPr="00B44B19">
              <w:rPr>
                <w:rFonts w:ascii="Times New Roman" w:eastAsia="Calibri" w:hAnsi="Times New Roman" w:cs="Times New Roman"/>
              </w:rPr>
              <w:t xml:space="preserve"> </w:t>
            </w:r>
            <w:r w:rsidRPr="00B44B19">
              <w:rPr>
                <w:rFonts w:ascii="Times New Roman" w:hAnsi="Times New Roman" w:cs="Times New Roman"/>
              </w:rPr>
              <w:t xml:space="preserve">prioritetą </w:t>
            </w:r>
            <w:r w:rsidR="00D004D1" w:rsidRPr="00B44B19">
              <w:rPr>
                <w:rFonts w:ascii="Times New Roman" w:hAnsi="Times New Roman" w:cs="Times New Roman"/>
              </w:rPr>
              <w:t>teikiant tokiems e. komercijos modeliams diegti, kurie</w:t>
            </w:r>
            <w:r w:rsidRPr="00B44B19">
              <w:rPr>
                <w:rFonts w:ascii="Times New Roman" w:hAnsi="Times New Roman" w:cs="Times New Roman"/>
              </w:rPr>
              <w:t xml:space="preserve"> leistų MVĮ persiorientuoti į produktų (jos gaminamų gaminių ir (ar) teikiamų paslaugų) skaitmeninimą, produktų elektroninę prekybą ir pristatymą. Investicijas numatoma skirti e. pardavimo sandorių </w:t>
            </w:r>
            <w:r w:rsidR="00D004D1" w:rsidRPr="00B44B19">
              <w:rPr>
                <w:rFonts w:ascii="Times New Roman" w:hAnsi="Times New Roman" w:cs="Times New Roman"/>
              </w:rPr>
              <w:t>sudarymo sprendimams diegti,</w:t>
            </w:r>
            <w:r w:rsidRPr="00B44B19">
              <w:rPr>
                <w:rFonts w:ascii="Times New Roman" w:hAnsi="Times New Roman" w:cs="Times New Roman"/>
              </w:rPr>
              <w:t xml:space="preserve"> paslaugų ir produktų konfigūravimui ir vizualizacijai. Ši veikla įgyvendinama Sostinės regione pagal </w:t>
            </w:r>
            <w:r w:rsidR="006E0996" w:rsidRPr="00B44B19">
              <w:rPr>
                <w:rFonts w:ascii="Times New Roman" w:hAnsi="Times New Roman" w:cs="Times New Roman"/>
              </w:rPr>
              <w:t xml:space="preserve">S4 </w:t>
            </w:r>
            <w:r w:rsidRPr="00B44B19">
              <w:rPr>
                <w:rFonts w:ascii="Times New Roman" w:hAnsi="Times New Roman" w:cs="Times New Roman"/>
              </w:rPr>
              <w:t>ir VVL regione tradiciniam verslui priklausiančiose MVĮ</w:t>
            </w:r>
            <w:r w:rsidRPr="00B44B19">
              <w:rPr>
                <w:rFonts w:ascii="Times New Roman" w:eastAsia="Calibri" w:hAnsi="Times New Roman" w:cs="Times New Roman"/>
                <w:noProof/>
              </w:rPr>
              <w:t>.</w:t>
            </w:r>
          </w:p>
          <w:p w14:paraId="45406863" w14:textId="22D4C8AC" w:rsidR="00116C5C" w:rsidRPr="00B44B19" w:rsidRDefault="00116C5C" w:rsidP="004952F4">
            <w:pPr>
              <w:spacing w:before="60" w:after="60"/>
              <w:jc w:val="both"/>
              <w:rPr>
                <w:rFonts w:ascii="Times New Roman" w:hAnsi="Times New Roman" w:cs="Times New Roman"/>
              </w:rPr>
            </w:pPr>
            <w:r w:rsidRPr="00B44B19">
              <w:rPr>
                <w:rFonts w:ascii="Times New Roman" w:eastAsia="Calibri" w:hAnsi="Times New Roman" w:cs="Times New Roman"/>
                <w:b/>
                <w:noProof/>
              </w:rPr>
              <w:t xml:space="preserve">Skatinti </w:t>
            </w:r>
            <w:r w:rsidR="004864B3" w:rsidRPr="00B44B19">
              <w:rPr>
                <w:rFonts w:ascii="Times New Roman" w:hAnsi="Times New Roman" w:cs="Times New Roman"/>
                <w:b/>
              </w:rPr>
              <w:t>vi</w:t>
            </w:r>
            <w:r w:rsidRPr="00B44B19">
              <w:rPr>
                <w:rFonts w:ascii="Times New Roman" w:hAnsi="Times New Roman" w:cs="Times New Roman"/>
                <w:b/>
              </w:rPr>
              <w:t xml:space="preserve">ešųjų institucijų atvirųjų duomenų, orientuotų į paklausą, </w:t>
            </w:r>
            <w:r w:rsidRPr="00B44B19">
              <w:rPr>
                <w:rFonts w:ascii="Times New Roman" w:eastAsia="Calibri" w:hAnsi="Times New Roman" w:cs="Times New Roman"/>
                <w:b/>
                <w:noProof/>
              </w:rPr>
              <w:t>naudojimą</w:t>
            </w:r>
            <w:r w:rsidRPr="00B44B19">
              <w:rPr>
                <w:rFonts w:ascii="Times New Roman" w:hAnsi="Times New Roman" w:cs="Times New Roman"/>
              </w:rPr>
              <w:t xml:space="preserve"> inovatyviems sprendimams ir skaitmeninėms paslaugoms kurti</w:t>
            </w:r>
            <w:r w:rsidRPr="00B44B19">
              <w:rPr>
                <w:rFonts w:ascii="Times New Roman" w:eastAsia="Calibri" w:hAnsi="Times New Roman" w:cs="Times New Roman"/>
                <w:noProof/>
              </w:rPr>
              <w:t xml:space="preserve">, prioritetą </w:t>
            </w:r>
            <w:r w:rsidR="00E140AC" w:rsidRPr="00B44B19">
              <w:rPr>
                <w:rFonts w:ascii="Times New Roman" w:eastAsia="Calibri" w:hAnsi="Times New Roman" w:cs="Times New Roman"/>
                <w:noProof/>
              </w:rPr>
              <w:t xml:space="preserve">teikiant </w:t>
            </w:r>
            <w:r w:rsidR="00E140AC" w:rsidRPr="00B44B19">
              <w:rPr>
                <w:rStyle w:val="Bodytext1"/>
                <w:rFonts w:ascii="Times New Roman" w:hAnsi="Times New Roman" w:cs="Times New Roman"/>
              </w:rPr>
              <w:t>MVĮ veikloms</w:t>
            </w:r>
            <w:r w:rsidR="00E140AC" w:rsidRPr="00B44B19">
              <w:rPr>
                <w:rFonts w:ascii="Times New Roman" w:eastAsia="Calibri" w:hAnsi="Times New Roman" w:cs="Times New Roman"/>
                <w:noProof/>
              </w:rPr>
              <w:t xml:space="preserve">, kurias įgyvendinant kuriami inovatyvūs </w:t>
            </w:r>
            <w:r w:rsidRPr="00B44B19">
              <w:rPr>
                <w:rFonts w:ascii="Times New Roman" w:eastAsia="Calibri" w:hAnsi="Times New Roman" w:cs="Times New Roman"/>
                <w:noProof/>
              </w:rPr>
              <w:t xml:space="preserve">sprendimamai ir (ar) paslaugos, naudojant viešųjų institucijų atvertus duomenis, viešojo sektoriaus institucijų iniciatyvoms, organizuojančioms politikos eksperimentavimo įrankių taikymą – hakatonus, </w:t>
            </w:r>
            <w:r w:rsidRPr="00B44B19">
              <w:rPr>
                <w:rFonts w:ascii="Times New Roman" w:eastAsia="Calibri" w:hAnsi="Times New Roman" w:cs="Times New Roman"/>
                <w:i/>
                <w:noProof/>
              </w:rPr>
              <w:t xml:space="preserve">GovTech </w:t>
            </w:r>
            <w:r w:rsidRPr="00B44B19">
              <w:rPr>
                <w:rFonts w:ascii="Times New Roman" w:eastAsia="Calibri" w:hAnsi="Times New Roman" w:cs="Times New Roman"/>
                <w:noProof/>
              </w:rPr>
              <w:t xml:space="preserve">laboratorijos veiklą ir pan. </w:t>
            </w:r>
            <w:r w:rsidRPr="00B44B19">
              <w:rPr>
                <w:rFonts w:ascii="Times New Roman" w:hAnsi="Times New Roman" w:cs="Times New Roman"/>
              </w:rPr>
              <w:t>Ši veikla įgyvendinama Sostinės ir VVL region</w:t>
            </w:r>
            <w:r w:rsidR="00BA57A3" w:rsidRPr="00B44B19">
              <w:rPr>
                <w:rFonts w:ascii="Times New Roman" w:hAnsi="Times New Roman" w:cs="Times New Roman"/>
              </w:rPr>
              <w:t>uos</w:t>
            </w:r>
            <w:r w:rsidR="002F1C1D" w:rsidRPr="00B44B19">
              <w:rPr>
                <w:rFonts w:ascii="Times New Roman" w:hAnsi="Times New Roman" w:cs="Times New Roman"/>
              </w:rPr>
              <w:t>e.</w:t>
            </w:r>
          </w:p>
          <w:p w14:paraId="52F16D77" w14:textId="77777777" w:rsidR="00116C5C" w:rsidRPr="00B44B19" w:rsidRDefault="00116C5C" w:rsidP="004952F4">
            <w:pPr>
              <w:spacing w:before="60" w:after="60"/>
              <w:jc w:val="both"/>
              <w:rPr>
                <w:rFonts w:ascii="Times New Roman" w:hAnsi="Times New Roman" w:cs="Times New Roman"/>
              </w:rPr>
            </w:pPr>
            <w:r w:rsidRPr="00B44B19">
              <w:rPr>
                <w:rFonts w:ascii="Times New Roman" w:hAnsi="Times New Roman" w:cs="Times New Roman"/>
              </w:rPr>
              <w:t xml:space="preserve">EGADP </w:t>
            </w:r>
            <w:r w:rsidR="00B6449C" w:rsidRPr="00B44B19">
              <w:rPr>
                <w:rFonts w:ascii="Times New Roman" w:hAnsi="Times New Roman" w:cs="Times New Roman"/>
              </w:rPr>
              <w:t xml:space="preserve">planuojamos </w:t>
            </w:r>
            <w:r w:rsidRPr="00B44B19">
              <w:rPr>
                <w:rFonts w:ascii="Times New Roman" w:hAnsi="Times New Roman" w:cs="Times New Roman"/>
              </w:rPr>
              <w:t>investicijos į duomenų prieinamum</w:t>
            </w:r>
            <w:r w:rsidR="002D37CD" w:rsidRPr="00B44B19">
              <w:rPr>
                <w:rFonts w:ascii="Times New Roman" w:hAnsi="Times New Roman" w:cs="Times New Roman"/>
              </w:rPr>
              <w:t>o užtikrinimą</w:t>
            </w:r>
            <w:r w:rsidRPr="00B44B19">
              <w:rPr>
                <w:rFonts w:ascii="Times New Roman" w:hAnsi="Times New Roman" w:cs="Times New Roman"/>
              </w:rPr>
              <w:t xml:space="preserve">, jų atvėrimą, valstybės duomenų struktūros modelio parengimą, duomenų mainų priemonių </w:t>
            </w:r>
            <w:r w:rsidR="009738C3" w:rsidRPr="00B44B19">
              <w:rPr>
                <w:rFonts w:ascii="Times New Roman" w:hAnsi="Times New Roman" w:cs="Times New Roman"/>
              </w:rPr>
              <w:t xml:space="preserve">sukūrimą. Visa tai </w:t>
            </w:r>
            <w:r w:rsidRPr="00B44B19">
              <w:rPr>
                <w:rFonts w:ascii="Times New Roman" w:hAnsi="Times New Roman" w:cs="Times New Roman"/>
              </w:rPr>
              <w:t>sudarys sąlygas atvirųjų duomenų naudojim</w:t>
            </w:r>
            <w:r w:rsidR="00B6449C" w:rsidRPr="00B44B19">
              <w:rPr>
                <w:rFonts w:ascii="Times New Roman" w:hAnsi="Times New Roman" w:cs="Times New Roman"/>
              </w:rPr>
              <w:t>ui</w:t>
            </w:r>
            <w:r w:rsidRPr="00B44B19">
              <w:rPr>
                <w:rFonts w:ascii="Times New Roman" w:hAnsi="Times New Roman" w:cs="Times New Roman"/>
              </w:rPr>
              <w:t xml:space="preserve"> ir pritaikomum</w:t>
            </w:r>
            <w:r w:rsidR="00B6449C" w:rsidRPr="00B44B19">
              <w:rPr>
                <w:rFonts w:ascii="Times New Roman" w:hAnsi="Times New Roman" w:cs="Times New Roman"/>
              </w:rPr>
              <w:t>ui</w:t>
            </w:r>
            <w:r w:rsidRPr="00B44B19">
              <w:rPr>
                <w:rFonts w:ascii="Times New Roman" w:hAnsi="Times New Roman" w:cs="Times New Roman"/>
              </w:rPr>
              <w:t xml:space="preserve"> versle.</w:t>
            </w:r>
          </w:p>
          <w:p w14:paraId="13013D5C" w14:textId="77777777" w:rsidR="00EF291A" w:rsidRPr="00B44B19" w:rsidRDefault="00116C5C" w:rsidP="004952F4">
            <w:pPr>
              <w:spacing w:before="60" w:after="60"/>
              <w:jc w:val="both"/>
              <w:rPr>
                <w:rFonts w:ascii="Times New Roman" w:hAnsi="Times New Roman" w:cs="Times New Roman"/>
              </w:rPr>
            </w:pPr>
            <w:r w:rsidRPr="00B44B19">
              <w:rPr>
                <w:rFonts w:ascii="Times New Roman" w:hAnsi="Times New Roman" w:cs="Times New Roman"/>
                <w:b/>
              </w:rPr>
              <w:t>Įsijungti į Europos atvirojo mokslo debesį</w:t>
            </w:r>
            <w:r w:rsidRPr="00B44B19">
              <w:rPr>
                <w:rFonts w:ascii="Times New Roman" w:hAnsi="Times New Roman" w:cs="Times New Roman"/>
              </w:rPr>
              <w:t>, atveriant ir sutvarkant mokslinių tyrimų duomenis pagal FAIR principus (</w:t>
            </w:r>
            <w:r w:rsidRPr="00B44B19">
              <w:rPr>
                <w:rFonts w:ascii="Times New Roman" w:hAnsi="Times New Roman" w:cs="Times New Roman"/>
                <w:i/>
              </w:rPr>
              <w:t>angl. findable, accessible, interoperable, reusable; liet. surandami, pasiekiami, sąveikūs, perpanaudojami</w:t>
            </w:r>
            <w:r w:rsidRPr="00B44B19">
              <w:rPr>
                <w:rFonts w:ascii="Times New Roman" w:hAnsi="Times New Roman" w:cs="Times New Roman"/>
              </w:rPr>
              <w:t>). Investicijos skiriamos MSI personalo gebėjim</w:t>
            </w:r>
            <w:r w:rsidR="00461B80" w:rsidRPr="00B44B19">
              <w:rPr>
                <w:rFonts w:ascii="Times New Roman" w:hAnsi="Times New Roman" w:cs="Times New Roman"/>
              </w:rPr>
              <w:t>ams</w:t>
            </w:r>
            <w:r w:rsidRPr="00B44B19">
              <w:rPr>
                <w:rFonts w:ascii="Times New Roman" w:hAnsi="Times New Roman" w:cs="Times New Roman"/>
              </w:rPr>
              <w:t xml:space="preserve"> duomenų valdymo srityje stiprin</w:t>
            </w:r>
            <w:r w:rsidR="00461B80" w:rsidRPr="00B44B19">
              <w:rPr>
                <w:rFonts w:ascii="Times New Roman" w:hAnsi="Times New Roman" w:cs="Times New Roman"/>
              </w:rPr>
              <w:t>ti</w:t>
            </w:r>
            <w:r w:rsidRPr="00B44B19">
              <w:rPr>
                <w:rFonts w:ascii="Times New Roman" w:hAnsi="Times New Roman" w:cs="Times New Roman"/>
              </w:rPr>
              <w:t xml:space="preserve"> nacionalini</w:t>
            </w:r>
            <w:r w:rsidR="00461B80" w:rsidRPr="00B44B19">
              <w:rPr>
                <w:rFonts w:ascii="Times New Roman" w:hAnsi="Times New Roman" w:cs="Times New Roman"/>
              </w:rPr>
              <w:t>am</w:t>
            </w:r>
            <w:r w:rsidRPr="00B44B19">
              <w:rPr>
                <w:rFonts w:ascii="Times New Roman" w:hAnsi="Times New Roman" w:cs="Times New Roman"/>
              </w:rPr>
              <w:t xml:space="preserve"> atvirosios prieigos prie mokslinės informacijos tinkl</w:t>
            </w:r>
            <w:r w:rsidR="00461B80" w:rsidRPr="00B44B19">
              <w:rPr>
                <w:rFonts w:ascii="Times New Roman" w:hAnsi="Times New Roman" w:cs="Times New Roman"/>
              </w:rPr>
              <w:t>ui</w:t>
            </w:r>
            <w:r w:rsidRPr="00B44B19">
              <w:rPr>
                <w:rFonts w:ascii="Times New Roman" w:hAnsi="Times New Roman" w:cs="Times New Roman"/>
              </w:rPr>
              <w:t xml:space="preserve"> suk</w:t>
            </w:r>
            <w:r w:rsidR="00461B80" w:rsidRPr="00B44B19">
              <w:rPr>
                <w:rFonts w:ascii="Times New Roman" w:hAnsi="Times New Roman" w:cs="Times New Roman"/>
              </w:rPr>
              <w:t>urti</w:t>
            </w:r>
            <w:r w:rsidRPr="00B44B19">
              <w:rPr>
                <w:rFonts w:ascii="Times New Roman" w:hAnsi="Times New Roman" w:cs="Times New Roman"/>
              </w:rPr>
              <w:t>, duomenų saugyklų ir MTEP infrastruktūrų pritaikymui duomen</w:t>
            </w:r>
            <w:r w:rsidR="00461B80" w:rsidRPr="00B44B19">
              <w:rPr>
                <w:rFonts w:ascii="Times New Roman" w:hAnsi="Times New Roman" w:cs="Times New Roman"/>
              </w:rPr>
              <w:t>ims</w:t>
            </w:r>
            <w:r w:rsidRPr="00B44B19">
              <w:rPr>
                <w:rFonts w:ascii="Times New Roman" w:hAnsi="Times New Roman" w:cs="Times New Roman"/>
              </w:rPr>
              <w:t xml:space="preserve"> atv</w:t>
            </w:r>
            <w:r w:rsidR="00461B80" w:rsidRPr="00B44B19">
              <w:rPr>
                <w:rFonts w:ascii="Times New Roman" w:hAnsi="Times New Roman" w:cs="Times New Roman"/>
              </w:rPr>
              <w:t>erti</w:t>
            </w:r>
            <w:r w:rsidRPr="00B44B19">
              <w:rPr>
                <w:rFonts w:ascii="Times New Roman" w:hAnsi="Times New Roman" w:cs="Times New Roman"/>
              </w:rPr>
              <w:t xml:space="preserve"> ir jų integracijai į Europos atviro mokslo debesį (</w:t>
            </w:r>
            <w:r w:rsidRPr="00B44B19">
              <w:rPr>
                <w:rFonts w:ascii="Times New Roman" w:hAnsi="Times New Roman" w:cs="Times New Roman"/>
                <w:i/>
              </w:rPr>
              <w:t>European Open Science Cloud</w:t>
            </w:r>
            <w:r w:rsidRPr="00B44B19">
              <w:rPr>
                <w:rFonts w:ascii="Times New Roman" w:hAnsi="Times New Roman" w:cs="Times New Roman"/>
              </w:rPr>
              <w:t>). Ši veikla bus įgyvendinama Sostinės ir VVL region</w:t>
            </w:r>
            <w:r w:rsidR="00BA57A3" w:rsidRPr="00B44B19">
              <w:rPr>
                <w:rFonts w:ascii="Times New Roman" w:hAnsi="Times New Roman" w:cs="Times New Roman"/>
              </w:rPr>
              <w:t>uos</w:t>
            </w:r>
            <w:r w:rsidRPr="00B44B19">
              <w:rPr>
                <w:rFonts w:ascii="Times New Roman" w:hAnsi="Times New Roman" w:cs="Times New Roman"/>
              </w:rPr>
              <w:t>e.</w:t>
            </w:r>
          </w:p>
          <w:p w14:paraId="699D2868" w14:textId="5B834296" w:rsidR="00102FF6" w:rsidRPr="00B44B19" w:rsidRDefault="00102FF6" w:rsidP="00102FF6">
            <w:pPr>
              <w:spacing w:before="60" w:after="60"/>
              <w:jc w:val="both"/>
              <w:rPr>
                <w:rFonts w:ascii="Times New Roman" w:hAnsi="Times New Roman" w:cs="Times New Roman"/>
                <w:bCs/>
              </w:rPr>
            </w:pPr>
            <w:r w:rsidRPr="00B44B19">
              <w:rPr>
                <w:rFonts w:ascii="Times New Roman" w:hAnsi="Times New Roman" w:cs="Times New Roman"/>
                <w:b/>
              </w:rPr>
              <w:t>Skatinti MVĮ vystyti DI sprendimus,</w:t>
            </w:r>
            <w:r w:rsidRPr="00B44B19">
              <w:rPr>
                <w:rFonts w:ascii="Times New Roman" w:hAnsi="Times New Roman" w:cs="Times New Roman"/>
                <w:bCs/>
              </w:rPr>
              <w:t xml:space="preserve"> kurie apimtų veikiančių sprendimų ir (ar) produktų bandomosios versijos sukūrimą (šioje veikloje MTEP nebus vykdoma), atitinkančios minimaliai gyvybingo produkto sampratą. Prioritetas bus teikiamas didžiausią komercinį potencialą turintiems sprendimams ir (ar) produktams. Ši veikla bus įgyvendinama VVL regione ir papildys EGADP lėšomis finansuojamą veiklą Sostinės regione, skirtą startuoliams ir atžalinėms įmonėms kurti DI, blokų grandinės technologijų, robotikos procesų automatizavimo produktus ir sprendimus.</w:t>
            </w:r>
          </w:p>
          <w:p w14:paraId="3C9DFAA7" w14:textId="77777777" w:rsidR="00102FF6" w:rsidRPr="00B44B19" w:rsidRDefault="00102FF6" w:rsidP="00102FF6">
            <w:pPr>
              <w:spacing w:before="60" w:after="60"/>
              <w:jc w:val="both"/>
              <w:rPr>
                <w:rFonts w:ascii="Times New Roman" w:hAnsi="Times New Roman" w:cs="Times New Roman"/>
              </w:rPr>
            </w:pPr>
            <w:r w:rsidRPr="00B44B19">
              <w:rPr>
                <w:rFonts w:ascii="Times New Roman" w:hAnsi="Times New Roman" w:cs="Times New Roman"/>
                <w:b/>
                <w:bCs/>
              </w:rPr>
              <w:t>Sukurti ir įveiklinti DI reguliacinę smėliadėžę,</w:t>
            </w:r>
            <w:r w:rsidRPr="00B44B19">
              <w:rPr>
                <w:rFonts w:ascii="Times New Roman" w:hAnsi="Times New Roman" w:cs="Times New Roman"/>
              </w:rPr>
              <w:t xml:space="preserve"> padėsiančią MVĮ prisitaikyti prie </w:t>
            </w:r>
            <w:hyperlink r:id="rId13" w:history="1">
              <w:r w:rsidRPr="00B44B19">
                <w:rPr>
                  <w:rStyle w:val="Hipersaitas"/>
                  <w:rFonts w:ascii="Times New Roman" w:hAnsi="Times New Roman" w:cs="Times New Roman"/>
                </w:rPr>
                <w:t>ES Reglamento (ES) 2024/1689</w:t>
              </w:r>
            </w:hyperlink>
            <w:r w:rsidRPr="00B44B19">
              <w:rPr>
                <w:rFonts w:ascii="Times New Roman" w:hAnsi="Times New Roman" w:cs="Times New Roman"/>
                <w:u w:val="single"/>
              </w:rPr>
              <w:t xml:space="preserve"> </w:t>
            </w:r>
            <w:r w:rsidRPr="00B44B19">
              <w:rPr>
                <w:rFonts w:ascii="Times New Roman" w:hAnsi="Times New Roman" w:cs="Times New Roman"/>
              </w:rPr>
              <w:t xml:space="preserve">(Europos dirbtinio intelekto akto) reikalavimų, finansuojant informavimo, inovacijų konsultacines paslaugas MVĮ, inovacijų paramos paslaugas MVĮ pasinaudoti didelio našumo skaičiavimo (HPC) infrastruktūra, DI produktų testavimą imitacinėje aplinkoje. Ši veikla bus įgyvendinama Sostinės ir VVL regionuose. </w:t>
            </w:r>
          </w:p>
          <w:p w14:paraId="43B6588D" w14:textId="07A98C0E" w:rsidR="00102FF6" w:rsidRPr="00B44B19" w:rsidRDefault="00102FF6" w:rsidP="004952F4">
            <w:pPr>
              <w:spacing w:before="60" w:after="60"/>
              <w:jc w:val="both"/>
              <w:rPr>
                <w:rFonts w:ascii="Times New Roman" w:hAnsi="Times New Roman" w:cs="Times New Roman"/>
              </w:rPr>
            </w:pPr>
            <w:r w:rsidRPr="00B44B19">
              <w:rPr>
                <w:rFonts w:ascii="Times New Roman" w:hAnsi="Times New Roman" w:cs="Times New Roman"/>
                <w:b/>
                <w:bCs/>
              </w:rPr>
              <w:t>Skatinti MVĮ diegtis skaitmenines technologijas, prioritetą teikiant dirbtinio intelekto sprendimams</w:t>
            </w:r>
            <w:r w:rsidRPr="00B44B19">
              <w:rPr>
                <w:rFonts w:ascii="Times New Roman" w:hAnsi="Times New Roman" w:cs="Times New Roman"/>
              </w:rPr>
              <w:t>. Siekiant efektyviau panaudoti MVĮ turimus duomenis ir skaitmenizuoti veiklos procesus, būtinos investicijos į dirbtinio intelekto sprendimus, kurie leistų pasiekti aukštesnį MVĮ skaitmenizacijos lygį. Ši veikla bus įgyvendinama Sostinės ir VVL regionuose.</w:t>
            </w:r>
          </w:p>
          <w:p w14:paraId="1C2A978B" w14:textId="194BC264" w:rsidR="00E51485" w:rsidRPr="00B44B19" w:rsidRDefault="00E51485" w:rsidP="003A660F">
            <w:pPr>
              <w:jc w:val="both"/>
              <w:rPr>
                <w:rFonts w:ascii="Times New Roman" w:hAnsi="Times New Roman" w:cs="Times New Roman"/>
                <w:color w:val="000000" w:themeColor="text1"/>
              </w:rPr>
            </w:pPr>
            <w:bookmarkStart w:id="13" w:name="_Hlk188350344"/>
            <w:r w:rsidRPr="00B44B19">
              <w:rPr>
                <w:rFonts w:ascii="Times New Roman" w:hAnsi="Times New Roman" w:cs="Times New Roman"/>
                <w:b/>
                <w:bCs/>
                <w:color w:val="000000" w:themeColor="text1"/>
              </w:rPr>
              <w:t xml:space="preserve">Skatinti Lietuvoje įsteigtų Europos skaitmeninių centrų (toliau – ESIC) veiklą, skiriant kaupiamąjį finansavimą. </w:t>
            </w:r>
            <w:r w:rsidRPr="00B44B19">
              <w:rPr>
                <w:rFonts w:ascii="Times New Roman" w:hAnsi="Times New Roman" w:cs="Times New Roman"/>
                <w:color w:val="000000" w:themeColor="text1"/>
              </w:rPr>
              <w:t>Siekiant spartinti Lietuvos įmonių skaitmeninę pertvarką, numatoma kofinansuoti Lietuvos ESIC Skaitmeninės Europos programos II etapo finansuojamus projektus, kurių įgyvendinimo metu įmonėms teikiamos inovacijų konsultacinės ir paramos paslaugos skaitmeninimo klausimais. Ši veikla bus įgyvendinama Sostinės ir VVL regionuose.</w:t>
            </w:r>
            <w:bookmarkEnd w:id="13"/>
          </w:p>
          <w:p w14:paraId="319B9EB5" w14:textId="77777777" w:rsidR="00DD03B4" w:rsidRPr="00B44B19" w:rsidRDefault="00334B0C" w:rsidP="004952F4">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9738C3" w:rsidRPr="00B44B19">
              <w:rPr>
                <w:rFonts w:ascii="Times New Roman" w:eastAsia="Times New Roman" w:hAnsi="Times New Roman" w:cs="Times New Roman"/>
                <w:noProof/>
              </w:rPr>
              <w:t>.</w:t>
            </w:r>
          </w:p>
        </w:tc>
      </w:tr>
    </w:tbl>
    <w:p w14:paraId="1CB6E6F5" w14:textId="77777777" w:rsidR="00EF291A" w:rsidRPr="00B44B19" w:rsidRDefault="00EF291A" w:rsidP="00F52EB5">
      <w:pPr>
        <w:pStyle w:val="Stilius1"/>
        <w:rPr>
          <w:rFonts w:eastAsia="Times New Roman" w:cs="Times New Roman"/>
          <w:iCs/>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F52EB5" w:rsidRPr="00B44B19" w14:paraId="0395860D" w14:textId="77777777" w:rsidTr="00F52EB5">
        <w:tc>
          <w:tcPr>
            <w:tcW w:w="9854" w:type="dxa"/>
          </w:tcPr>
          <w:p w14:paraId="2FC715A1" w14:textId="1BC3C0B3" w:rsidR="00F52EB5" w:rsidRPr="00B44B19" w:rsidRDefault="009738C3" w:rsidP="004952F4">
            <w:pPr>
              <w:pStyle w:val="Stilius1"/>
              <w:spacing w:before="60" w:after="60"/>
              <w:rPr>
                <w:rFonts w:cs="Times New Roman"/>
                <w:b w:val="0"/>
                <w:i w:val="0"/>
                <w:noProof/>
                <w:color w:val="auto"/>
                <w:lang w:eastAsia="lt-LT" w:bidi="lt-LT"/>
              </w:rPr>
            </w:pPr>
            <w:r w:rsidRPr="00B44B19">
              <w:rPr>
                <w:rFonts w:eastAsia="Calibri" w:cs="Times New Roman"/>
                <w:b w:val="0"/>
                <w:i w:val="0"/>
                <w:noProof/>
                <w:color w:val="auto"/>
                <w:sz w:val="22"/>
                <w:lang w:eastAsia="lt-LT" w:bidi="lt-LT"/>
              </w:rPr>
              <w:t>MVĮ</w:t>
            </w:r>
            <w:r w:rsidR="00E51485" w:rsidRPr="00B44B19">
              <w:rPr>
                <w:rFonts w:eastAsia="Calibri" w:cs="Times New Roman"/>
                <w:b w:val="0"/>
                <w:i w:val="0"/>
                <w:noProof/>
                <w:color w:val="auto"/>
                <w:sz w:val="22"/>
                <w:lang w:eastAsia="lt-LT" w:bidi="lt-LT"/>
              </w:rPr>
              <w:t>, didelės įmonės,</w:t>
            </w:r>
            <w:r w:rsidRPr="00B44B19">
              <w:rPr>
                <w:rFonts w:eastAsia="Calibri" w:cs="Times New Roman"/>
                <w:b w:val="0"/>
                <w:i w:val="0"/>
                <w:noProof/>
                <w:color w:val="auto"/>
                <w:sz w:val="22"/>
                <w:lang w:eastAsia="lt-LT" w:bidi="lt-LT"/>
              </w:rPr>
              <w:t xml:space="preserve"> </w:t>
            </w:r>
            <w:r w:rsidRPr="00B44B19">
              <w:rPr>
                <w:rFonts w:cs="Times New Roman"/>
                <w:b w:val="0"/>
                <w:i w:val="0"/>
                <w:noProof/>
                <w:color w:val="auto"/>
                <w:sz w:val="22"/>
              </w:rPr>
              <w:t>specialiųjų poreikių turintys</w:t>
            </w:r>
            <w:r w:rsidRPr="00B44B19">
              <w:rPr>
                <w:rFonts w:eastAsia="Calibri" w:cs="Times New Roman"/>
                <w:b w:val="0"/>
                <w:i w:val="0"/>
                <w:noProof/>
                <w:color w:val="auto"/>
                <w:sz w:val="22"/>
                <w:lang w:eastAsia="lt-LT" w:bidi="lt-LT"/>
              </w:rPr>
              <w:t xml:space="preserve"> </w:t>
            </w:r>
            <w:r w:rsidRPr="00B44B19">
              <w:rPr>
                <w:rFonts w:cs="Times New Roman"/>
                <w:b w:val="0"/>
                <w:i w:val="0"/>
                <w:noProof/>
                <w:color w:val="auto"/>
                <w:sz w:val="22"/>
              </w:rPr>
              <w:t xml:space="preserve">žmonės, </w:t>
            </w:r>
            <w:r w:rsidR="00102FF6" w:rsidRPr="00B44B19">
              <w:rPr>
                <w:rFonts w:cs="Times New Roman"/>
                <w:b w:val="0"/>
                <w:i w:val="0"/>
                <w:noProof/>
                <w:color w:val="auto"/>
                <w:sz w:val="22"/>
              </w:rPr>
              <w:t>Lietuvos gyventojai</w:t>
            </w:r>
            <w:r w:rsidR="00116C5C" w:rsidRPr="00B44B19">
              <w:rPr>
                <w:rFonts w:cs="Times New Roman"/>
                <w:b w:val="0"/>
                <w:i w:val="0"/>
                <w:noProof/>
                <w:color w:val="auto"/>
                <w:sz w:val="22"/>
              </w:rPr>
              <w:t xml:space="preserve">; </w:t>
            </w:r>
            <w:r w:rsidR="00116C5C" w:rsidRPr="00B44B19">
              <w:rPr>
                <w:rFonts w:eastAsia="Calibri" w:cs="Times New Roman"/>
                <w:b w:val="0"/>
                <w:i w:val="0"/>
                <w:noProof/>
                <w:color w:val="auto"/>
                <w:sz w:val="22"/>
                <w:lang w:eastAsia="lt-LT" w:bidi="lt-LT"/>
              </w:rPr>
              <w:t>MSI padaliniai, kaupiantys ir saugantys duomenis (bibliotekos, duomenų archyvai), MSI padaliniai, generuojantys duomenis.</w:t>
            </w:r>
          </w:p>
        </w:tc>
      </w:tr>
    </w:tbl>
    <w:p w14:paraId="1A445BEB" w14:textId="77777777" w:rsidR="00EF291A" w:rsidRPr="00B44B19" w:rsidRDefault="00EF291A" w:rsidP="00F52EB5">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52EB5" w:rsidRPr="00B44B19" w14:paraId="1705EAA8" w14:textId="77777777" w:rsidTr="00F52EB5">
        <w:tc>
          <w:tcPr>
            <w:tcW w:w="9854" w:type="dxa"/>
          </w:tcPr>
          <w:p w14:paraId="4B870CE1" w14:textId="77777777" w:rsidR="00F52EB5" w:rsidRPr="00B44B19" w:rsidRDefault="00116C5C" w:rsidP="004952F4">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t xml:space="preserve">Vykdant numatytas veiklas bus siekiama </w:t>
            </w:r>
            <w:r w:rsidR="009738C3" w:rsidRPr="00B44B19">
              <w:rPr>
                <w:rFonts w:eastAsia="Calibri" w:cs="Times New Roman"/>
                <w:noProof/>
                <w:sz w:val="22"/>
                <w:lang w:eastAsia="lt-LT" w:bidi="lt-LT"/>
              </w:rPr>
              <w:t xml:space="preserve">užtikrinti galimybę kuriamais produktais ir paslaugomis naudotis </w:t>
            </w:r>
            <w:r w:rsidRPr="00B44B19">
              <w:rPr>
                <w:rFonts w:eastAsia="Calibri" w:cs="Times New Roman"/>
                <w:noProof/>
                <w:sz w:val="22"/>
                <w:lang w:eastAsia="lt-LT" w:bidi="lt-LT"/>
              </w:rPr>
              <w:t>skaitmeninę atskirtį</w:t>
            </w:r>
            <w:r w:rsidRPr="00B44B19">
              <w:rPr>
                <w:rFonts w:eastAsia="Calibri" w:cs="Times New Roman"/>
                <w:sz w:val="22"/>
                <w:lang w:eastAsia="lt-LT" w:bidi="lt-LT"/>
              </w:rPr>
              <w:t xml:space="preserve"> patiriantiems žmonėms, pritaikyti kuriamas skaitmenines paslaugas ir produktus įvairią negalią turintiems žmonėms.</w:t>
            </w:r>
          </w:p>
        </w:tc>
      </w:tr>
    </w:tbl>
    <w:p w14:paraId="5907FD7B" w14:textId="77777777" w:rsidR="00EF291A" w:rsidRPr="00B44B19" w:rsidRDefault="00EF291A" w:rsidP="00F52EB5">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rsidRPr="00B44B19" w14:paraId="2B424796" w14:textId="77777777" w:rsidTr="00F52EB5">
        <w:tc>
          <w:tcPr>
            <w:tcW w:w="9854" w:type="dxa"/>
          </w:tcPr>
          <w:p w14:paraId="22943858" w14:textId="77777777" w:rsidR="00F52EB5" w:rsidRPr="00B44B19" w:rsidRDefault="00F52EB5" w:rsidP="004952F4">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lastRenderedPageBreak/>
              <w:t>VVL regionas, Sostinės regionas</w:t>
            </w:r>
          </w:p>
        </w:tc>
      </w:tr>
    </w:tbl>
    <w:p w14:paraId="28C10123" w14:textId="77777777" w:rsidR="00EF291A" w:rsidRPr="00B44B19" w:rsidRDefault="00EF291A" w:rsidP="00F52EB5">
      <w:pPr>
        <w:pStyle w:val="Stilius1"/>
        <w:rPr>
          <w:rFonts w:eastAsia="Times New Roman" w:cs="Times New Roman"/>
          <w:iCs/>
          <w:noProof/>
          <w:lang w:eastAsia="lt-LT" w:bidi="lt-LT"/>
        </w:rPr>
      </w:pPr>
      <w:r w:rsidRPr="00B44B19">
        <w:rPr>
          <w:rFonts w:cs="Times New Roman"/>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116C5C" w:rsidRPr="00B44B19" w14:paraId="5A2A35AC" w14:textId="77777777" w:rsidTr="00116C5C">
        <w:tc>
          <w:tcPr>
            <w:tcW w:w="9854" w:type="dxa"/>
          </w:tcPr>
          <w:p w14:paraId="0F5565AC" w14:textId="3FC44801" w:rsidR="00F52EB5" w:rsidRPr="00B44B19" w:rsidRDefault="006B0D64" w:rsidP="004952F4">
            <w:pPr>
              <w:pStyle w:val="Stilius1"/>
              <w:spacing w:before="60" w:after="60"/>
              <w:jc w:val="both"/>
              <w:rPr>
                <w:rFonts w:cs="Times New Roman"/>
                <w:b w:val="0"/>
                <w:i w:val="0"/>
                <w:noProof/>
                <w:color w:val="auto"/>
                <w:lang w:eastAsia="lt-LT" w:bidi="lt-LT"/>
              </w:rPr>
            </w:pPr>
            <w:r w:rsidRPr="00B44B19">
              <w:rPr>
                <w:rFonts w:eastAsia="Calibri" w:cs="Times New Roman"/>
                <w:b w:val="0"/>
                <w:i w:val="0"/>
                <w:noProof/>
                <w:color w:val="auto"/>
                <w:sz w:val="22"/>
                <w:lang w:eastAsia="lt-LT" w:bidi="lt-LT"/>
              </w:rPr>
              <w:t>Įgyvendinant uždavinio veiklas, numatomos investicijos, būtinos įgyvendinti 2024 m.  rugpjūčio 1 d. Europos Parlamento ir Tarybos reglamento (ES) 2024/1689, kuriuo nustatomos suderintos dirbtinio intelekto taisyklės ir iš dalies keičiami reglamentai (EB) Nr. 300/2008, (ES) Nr. 167/2013, (ES) Nr. 168/2013, (ES) 2018/858, (ES) 2018/1139 ir (ES) 2019/2144 ir direktyvos 2014/90/ES, (ES) 2016/797 ir (ES) 2020/1828 (Dirbtinio intelekto aktas), nuostatas. Veiklomis numatoma prisidėti prie BJRS ir bus sudarytos galimybės bendradarbiauti, bus jungiamasi į Europos mokslo debesį, skaitmeninamos MVĮ, kuriant ir vystant DI sprendimus ir technologijas,  kuriamos paslaugos bei atveriami duomenys, kurie padės užtikrinti tinkamą tarpvalstybinį bendaradarbiavimą ir paslaugų pasiekiamumą per sieną</w:t>
            </w:r>
            <w:r w:rsidR="00E51485" w:rsidRPr="00B44B19">
              <w:rPr>
                <w:rFonts w:eastAsia="Calibri" w:cs="Times New Roman"/>
                <w:b w:val="0"/>
                <w:i w:val="0"/>
                <w:noProof/>
                <w:color w:val="auto"/>
                <w:sz w:val="22"/>
                <w:lang w:eastAsia="lt-LT" w:bidi="lt-LT"/>
              </w:rPr>
              <w:t>, įmonėms bus teikiamos inovacijų konsultacinės ir inovacijų paramos paslaugos skaitmeninimo klausimais.</w:t>
            </w:r>
          </w:p>
        </w:tc>
      </w:tr>
    </w:tbl>
    <w:p w14:paraId="2059FE8C" w14:textId="77777777" w:rsidR="00EF291A" w:rsidRPr="00B44B19" w:rsidRDefault="00EF291A" w:rsidP="00F52EB5">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F52EB5" w:rsidRPr="00B44B19" w14:paraId="52F30F66" w14:textId="77777777" w:rsidTr="00F52EB5">
        <w:tc>
          <w:tcPr>
            <w:tcW w:w="9854" w:type="dxa"/>
          </w:tcPr>
          <w:p w14:paraId="37870C63" w14:textId="77777777" w:rsidR="00F52EB5" w:rsidRPr="00B44B19" w:rsidRDefault="002B22DC" w:rsidP="00F52EB5">
            <w:pPr>
              <w:spacing w:before="120" w:after="120"/>
              <w:jc w:val="both"/>
              <w:rPr>
                <w:rFonts w:eastAsia="Calibri" w:cs="Times New Roman"/>
                <w:b/>
                <w:i/>
                <w:noProof/>
                <w:szCs w:val="20"/>
                <w:lang w:eastAsia="lt-LT" w:bidi="lt-LT"/>
              </w:rPr>
            </w:pPr>
            <w:r w:rsidRPr="00B44B19">
              <w:rPr>
                <w:rFonts w:eastAsia="Times New Roman" w:cs="Times New Roman"/>
                <w:sz w:val="22"/>
              </w:rPr>
              <w:t>–</w:t>
            </w:r>
          </w:p>
        </w:tc>
      </w:tr>
    </w:tbl>
    <w:p w14:paraId="51A2A94D" w14:textId="77777777" w:rsidR="009750A4" w:rsidRPr="00B44B19" w:rsidRDefault="00306CD6" w:rsidP="00F52EB5">
      <w:pPr>
        <w:pStyle w:val="Stilius1"/>
        <w:rPr>
          <w:rFonts w:cs="Times New Roman"/>
          <w:noProof/>
          <w:lang w:eastAsia="lt-LT" w:bidi="lt-LT"/>
        </w:rPr>
      </w:pPr>
      <w:r w:rsidRPr="00B44B19">
        <w:rPr>
          <w:rFonts w:cs="Times New Roman"/>
          <w:noProof/>
          <w:lang w:eastAsia="lt-LT" w:bidi="lt-LT"/>
        </w:rPr>
        <w:t xml:space="preserve">Rodikliai </w:t>
      </w:r>
    </w:p>
    <w:p w14:paraId="6845C25E" w14:textId="77777777" w:rsidR="00306CD6" w:rsidRPr="00B44B19" w:rsidRDefault="00306CD6" w:rsidP="005E3340">
      <w:pPr>
        <w:spacing w:before="240" w:after="0" w:line="240" w:lineRule="auto"/>
        <w:jc w:val="both"/>
        <w:rPr>
          <w:rFonts w:cs="Times New Roman"/>
          <w:b/>
          <w:noProof/>
          <w:sz w:val="20"/>
        </w:rPr>
      </w:pPr>
      <w:r w:rsidRPr="00B44B19">
        <w:rPr>
          <w:rFonts w:cs="Times New Roman"/>
          <w:b/>
          <w:noProof/>
          <w:sz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38"/>
        <w:gridCol w:w="763"/>
        <w:gridCol w:w="949"/>
        <w:gridCol w:w="1214"/>
        <w:gridCol w:w="1660"/>
        <w:gridCol w:w="967"/>
        <w:gridCol w:w="990"/>
        <w:gridCol w:w="1186"/>
      </w:tblGrid>
      <w:tr w:rsidR="00116C5C" w:rsidRPr="00B44B19" w14:paraId="1F23117E" w14:textId="77777777" w:rsidTr="00160126">
        <w:trPr>
          <w:trHeight w:val="467"/>
          <w:tblHeader/>
        </w:trPr>
        <w:tc>
          <w:tcPr>
            <w:tcW w:w="49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3E705B"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Prioritetas</w:t>
            </w:r>
          </w:p>
        </w:tc>
        <w:tc>
          <w:tcPr>
            <w:tcW w:w="48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693598"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3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39B63A"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Fondas</w:t>
            </w:r>
          </w:p>
        </w:tc>
        <w:tc>
          <w:tcPr>
            <w:tcW w:w="49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1096C7"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75239E"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 xml:space="preserve">Identifikavimo numeris </w:t>
            </w:r>
          </w:p>
        </w:tc>
        <w:tc>
          <w:tcPr>
            <w:tcW w:w="8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E41746"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5DBF14"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1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785CA0"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6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86316F"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Siek</w:t>
            </w:r>
            <w:r w:rsidR="00A5787C" w:rsidRPr="00B44B19">
              <w:rPr>
                <w:rFonts w:cs="Times New Roman"/>
                <w:b/>
                <w:noProof/>
                <w:sz w:val="16"/>
                <w:szCs w:val="16"/>
              </w:rPr>
              <w:t>tina reikšmė</w:t>
            </w:r>
            <w:r w:rsidR="003075E8" w:rsidRPr="00B44B19">
              <w:rPr>
                <w:rFonts w:cs="Times New Roman"/>
                <w:b/>
                <w:noProof/>
                <w:sz w:val="16"/>
                <w:szCs w:val="16"/>
              </w:rPr>
              <w:t xml:space="preserve"> </w:t>
            </w:r>
            <w:r w:rsidRPr="00B44B19">
              <w:rPr>
                <w:rFonts w:cs="Times New Roman"/>
                <w:b/>
                <w:noProof/>
                <w:sz w:val="16"/>
                <w:szCs w:val="16"/>
              </w:rPr>
              <w:t>(2029 m.)</w:t>
            </w:r>
          </w:p>
        </w:tc>
      </w:tr>
      <w:tr w:rsidR="00D15BDE" w:rsidRPr="00B44B19" w14:paraId="5177D780" w14:textId="77777777" w:rsidTr="00160126">
        <w:trPr>
          <w:trHeight w:val="565"/>
        </w:trPr>
        <w:tc>
          <w:tcPr>
            <w:tcW w:w="490" w:type="pct"/>
            <w:vMerge w:val="restart"/>
            <w:tcBorders>
              <w:top w:val="single" w:sz="12" w:space="0" w:color="auto"/>
              <w:bottom w:val="single" w:sz="4" w:space="0" w:color="auto"/>
            </w:tcBorders>
          </w:tcPr>
          <w:p w14:paraId="1F62E205" w14:textId="77777777" w:rsidR="00D15BDE" w:rsidRPr="00B44B19" w:rsidRDefault="00D15BDE" w:rsidP="00116C5C">
            <w:pPr>
              <w:spacing w:before="100" w:beforeAutospacing="1" w:after="100" w:afterAutospacing="1" w:line="240" w:lineRule="auto"/>
              <w:jc w:val="both"/>
              <w:rPr>
                <w:rFonts w:cs="Times New Roman"/>
                <w:noProof/>
                <w:sz w:val="16"/>
                <w:szCs w:val="16"/>
              </w:rPr>
            </w:pPr>
            <w:r w:rsidRPr="00B44B19">
              <w:rPr>
                <w:rFonts w:cs="Times New Roman"/>
                <w:noProof/>
                <w:sz w:val="16"/>
                <w:szCs w:val="16"/>
              </w:rPr>
              <w:t>1. Pažangesnė Lietuva</w:t>
            </w:r>
          </w:p>
        </w:tc>
        <w:tc>
          <w:tcPr>
            <w:tcW w:w="488" w:type="pct"/>
            <w:vMerge w:val="restart"/>
            <w:tcBorders>
              <w:top w:val="single" w:sz="12" w:space="0" w:color="auto"/>
              <w:bottom w:val="single" w:sz="4" w:space="0" w:color="auto"/>
            </w:tcBorders>
          </w:tcPr>
          <w:p w14:paraId="2F85AC17" w14:textId="77777777" w:rsidR="00D15BDE" w:rsidRPr="00B44B19" w:rsidRDefault="00D15BDE" w:rsidP="00116C5C">
            <w:pPr>
              <w:spacing w:before="100" w:beforeAutospacing="1" w:after="100" w:afterAutospacing="1" w:line="240" w:lineRule="auto"/>
              <w:rPr>
                <w:rFonts w:cs="Times New Roman"/>
                <w:noProof/>
                <w:sz w:val="16"/>
                <w:szCs w:val="16"/>
              </w:rPr>
            </w:pPr>
            <w:r w:rsidRPr="00B44B19">
              <w:rPr>
                <w:rFonts w:cs="Times New Roman"/>
                <w:noProof/>
                <w:sz w:val="16"/>
                <w:szCs w:val="16"/>
              </w:rPr>
              <w:t>1.2</w:t>
            </w:r>
          </w:p>
        </w:tc>
        <w:tc>
          <w:tcPr>
            <w:tcW w:w="397" w:type="pct"/>
            <w:vMerge w:val="restart"/>
            <w:tcBorders>
              <w:top w:val="single" w:sz="12" w:space="0" w:color="auto"/>
              <w:bottom w:val="single" w:sz="4" w:space="0" w:color="auto"/>
            </w:tcBorders>
          </w:tcPr>
          <w:p w14:paraId="3627B2C4" w14:textId="77777777" w:rsidR="00D15BDE" w:rsidRPr="00B44B19" w:rsidRDefault="00D15BDE" w:rsidP="00116C5C">
            <w:pPr>
              <w:spacing w:before="100" w:beforeAutospacing="1" w:after="100" w:afterAutospacing="1" w:line="240" w:lineRule="auto"/>
              <w:rPr>
                <w:rFonts w:cs="Times New Roman"/>
                <w:sz w:val="16"/>
                <w:szCs w:val="16"/>
              </w:rPr>
            </w:pPr>
            <w:r w:rsidRPr="00B44B19">
              <w:rPr>
                <w:rFonts w:cs="Times New Roman"/>
                <w:sz w:val="16"/>
                <w:szCs w:val="16"/>
              </w:rPr>
              <w:t>ERPF</w:t>
            </w:r>
          </w:p>
        </w:tc>
        <w:tc>
          <w:tcPr>
            <w:tcW w:w="494" w:type="pct"/>
            <w:tcBorders>
              <w:top w:val="single" w:sz="12" w:space="0" w:color="auto"/>
              <w:bottom w:val="single" w:sz="4" w:space="0" w:color="auto"/>
            </w:tcBorders>
          </w:tcPr>
          <w:p w14:paraId="2C01DCD3"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Sostinės regionas</w:t>
            </w:r>
          </w:p>
        </w:tc>
        <w:tc>
          <w:tcPr>
            <w:tcW w:w="632" w:type="pct"/>
            <w:tcBorders>
              <w:top w:val="single" w:sz="12" w:space="0" w:color="auto"/>
              <w:bottom w:val="single" w:sz="4" w:space="0" w:color="auto"/>
            </w:tcBorders>
          </w:tcPr>
          <w:p w14:paraId="5E815967"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RCO01</w:t>
            </w:r>
          </w:p>
        </w:tc>
        <w:tc>
          <w:tcPr>
            <w:tcW w:w="864" w:type="pct"/>
            <w:tcBorders>
              <w:top w:val="single" w:sz="12" w:space="0" w:color="auto"/>
              <w:bottom w:val="single" w:sz="4" w:space="0" w:color="auto"/>
            </w:tcBorders>
          </w:tcPr>
          <w:p w14:paraId="234F9A96" w14:textId="77777777" w:rsidR="00D15BDE" w:rsidRPr="00B44B19" w:rsidRDefault="00D15BDE" w:rsidP="00116C5C">
            <w:pPr>
              <w:tabs>
                <w:tab w:val="left" w:pos="7560"/>
              </w:tabs>
              <w:spacing w:after="0" w:line="240" w:lineRule="auto"/>
              <w:rPr>
                <w:rFonts w:cs="Times New Roman"/>
                <w:sz w:val="16"/>
                <w:szCs w:val="16"/>
              </w:rPr>
            </w:pPr>
            <w:r w:rsidRPr="00B44B19">
              <w:rPr>
                <w:rFonts w:cs="Times New Roman"/>
                <w:sz w:val="16"/>
                <w:szCs w:val="16"/>
              </w:rPr>
              <w:t>Paramą gavusios įmonės (iš kurių: labai mažos, mažosios, vidutinės ir didelės</w:t>
            </w:r>
            <w:r w:rsidR="00BA56A5" w:rsidRPr="00B44B19">
              <w:rPr>
                <w:rFonts w:cs="Times New Roman"/>
                <w:sz w:val="16"/>
                <w:szCs w:val="16"/>
              </w:rPr>
              <w:t>)</w:t>
            </w:r>
          </w:p>
        </w:tc>
        <w:tc>
          <w:tcPr>
            <w:tcW w:w="503" w:type="pct"/>
            <w:tcBorders>
              <w:top w:val="single" w:sz="12" w:space="0" w:color="auto"/>
              <w:bottom w:val="single" w:sz="4" w:space="0" w:color="auto"/>
            </w:tcBorders>
          </w:tcPr>
          <w:p w14:paraId="3FEA41FC"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Įmonės</w:t>
            </w:r>
          </w:p>
        </w:tc>
        <w:tc>
          <w:tcPr>
            <w:tcW w:w="515" w:type="pct"/>
            <w:tcBorders>
              <w:top w:val="single" w:sz="12" w:space="0" w:color="auto"/>
              <w:bottom w:val="single" w:sz="4" w:space="0" w:color="auto"/>
            </w:tcBorders>
          </w:tcPr>
          <w:p w14:paraId="18F2440E" w14:textId="4A6CE905" w:rsidR="00D15BDE" w:rsidRPr="00B44B19" w:rsidRDefault="00EE043C" w:rsidP="00116C5C">
            <w:pPr>
              <w:spacing w:after="0" w:line="240" w:lineRule="auto"/>
              <w:jc w:val="center"/>
              <w:rPr>
                <w:rFonts w:cs="Times New Roman"/>
                <w:sz w:val="16"/>
                <w:szCs w:val="16"/>
                <w:lang w:val="en-GB"/>
              </w:rPr>
            </w:pPr>
            <w:r w:rsidRPr="00B44B19">
              <w:rPr>
                <w:rFonts w:cs="Times New Roman"/>
                <w:sz w:val="16"/>
                <w:szCs w:val="16"/>
                <w:lang w:val="en-GB"/>
              </w:rPr>
              <w:t>106</w:t>
            </w:r>
          </w:p>
        </w:tc>
        <w:tc>
          <w:tcPr>
            <w:tcW w:w="617" w:type="pct"/>
            <w:tcBorders>
              <w:top w:val="single" w:sz="12" w:space="0" w:color="auto"/>
              <w:bottom w:val="single" w:sz="4" w:space="0" w:color="auto"/>
            </w:tcBorders>
          </w:tcPr>
          <w:p w14:paraId="212988F5" w14:textId="680B11F2" w:rsidR="00D15BDE" w:rsidRPr="00B44B19" w:rsidRDefault="00B3650B" w:rsidP="00116C5C">
            <w:pPr>
              <w:spacing w:after="0" w:line="240" w:lineRule="auto"/>
              <w:jc w:val="center"/>
              <w:rPr>
                <w:rFonts w:cs="Times New Roman"/>
                <w:sz w:val="16"/>
                <w:szCs w:val="16"/>
              </w:rPr>
            </w:pPr>
            <w:r w:rsidRPr="00B44B19">
              <w:rPr>
                <w:rFonts w:cs="Times New Roman"/>
                <w:sz w:val="16"/>
                <w:szCs w:val="16"/>
              </w:rPr>
              <w:t>379</w:t>
            </w:r>
          </w:p>
        </w:tc>
      </w:tr>
      <w:tr w:rsidR="00D15BDE" w:rsidRPr="00B44B19" w14:paraId="2C0BABB3" w14:textId="77777777" w:rsidTr="00160126">
        <w:trPr>
          <w:trHeight w:val="565"/>
        </w:trPr>
        <w:tc>
          <w:tcPr>
            <w:tcW w:w="490" w:type="pct"/>
            <w:vMerge/>
            <w:tcBorders>
              <w:top w:val="single" w:sz="4" w:space="0" w:color="auto"/>
            </w:tcBorders>
          </w:tcPr>
          <w:p w14:paraId="7D9321B0" w14:textId="77777777" w:rsidR="00D15BDE" w:rsidRPr="00B44B19"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10805520" w14:textId="77777777" w:rsidR="00D15BDE" w:rsidRPr="00B44B19"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264E6D97" w14:textId="77777777" w:rsidR="00D15BDE" w:rsidRPr="00B44B19"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29CEFFD7"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VVL regionas</w:t>
            </w:r>
          </w:p>
        </w:tc>
        <w:tc>
          <w:tcPr>
            <w:tcW w:w="632" w:type="pct"/>
            <w:tcBorders>
              <w:top w:val="single" w:sz="4" w:space="0" w:color="auto"/>
            </w:tcBorders>
          </w:tcPr>
          <w:p w14:paraId="0539A79C"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RCO01</w:t>
            </w:r>
          </w:p>
        </w:tc>
        <w:tc>
          <w:tcPr>
            <w:tcW w:w="864" w:type="pct"/>
            <w:tcBorders>
              <w:top w:val="single" w:sz="4" w:space="0" w:color="auto"/>
            </w:tcBorders>
          </w:tcPr>
          <w:p w14:paraId="0FDFD09C" w14:textId="77777777" w:rsidR="00D15BDE" w:rsidRPr="00B44B19" w:rsidRDefault="00D15BDE" w:rsidP="00116C5C">
            <w:pPr>
              <w:tabs>
                <w:tab w:val="left" w:pos="7560"/>
              </w:tabs>
              <w:spacing w:after="0" w:line="240" w:lineRule="auto"/>
              <w:rPr>
                <w:rFonts w:cs="Times New Roman"/>
                <w:sz w:val="16"/>
                <w:szCs w:val="16"/>
              </w:rPr>
            </w:pPr>
            <w:r w:rsidRPr="00B44B19">
              <w:rPr>
                <w:rFonts w:cs="Times New Roman"/>
                <w:sz w:val="16"/>
                <w:szCs w:val="16"/>
              </w:rPr>
              <w:t>Paramą gavusios įmonės (iš kurių: labai mažos, mažosios, vidutinės ir didelės</w:t>
            </w:r>
            <w:r w:rsidR="00BA56A5" w:rsidRPr="00B44B19">
              <w:rPr>
                <w:rFonts w:cs="Times New Roman"/>
                <w:sz w:val="16"/>
                <w:szCs w:val="16"/>
              </w:rPr>
              <w:t>)</w:t>
            </w:r>
          </w:p>
        </w:tc>
        <w:tc>
          <w:tcPr>
            <w:tcW w:w="503" w:type="pct"/>
            <w:tcBorders>
              <w:top w:val="single" w:sz="4" w:space="0" w:color="auto"/>
            </w:tcBorders>
          </w:tcPr>
          <w:p w14:paraId="1852A859"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Įmonės</w:t>
            </w:r>
          </w:p>
        </w:tc>
        <w:tc>
          <w:tcPr>
            <w:tcW w:w="515" w:type="pct"/>
            <w:tcBorders>
              <w:top w:val="single" w:sz="4" w:space="0" w:color="auto"/>
            </w:tcBorders>
          </w:tcPr>
          <w:p w14:paraId="3611103C" w14:textId="214650DD" w:rsidR="00D15BDE" w:rsidRPr="00B44B19" w:rsidRDefault="00E14BC6" w:rsidP="00116C5C">
            <w:pPr>
              <w:spacing w:after="0" w:line="240" w:lineRule="auto"/>
              <w:jc w:val="center"/>
              <w:rPr>
                <w:rFonts w:cs="Times New Roman"/>
                <w:sz w:val="16"/>
                <w:szCs w:val="16"/>
                <w:lang w:val="en-GB"/>
              </w:rPr>
            </w:pPr>
            <w:r w:rsidRPr="00B44B19">
              <w:rPr>
                <w:rFonts w:cs="Times New Roman"/>
                <w:sz w:val="16"/>
                <w:szCs w:val="16"/>
                <w:lang w:val="en-GB"/>
              </w:rPr>
              <w:t>152</w:t>
            </w:r>
          </w:p>
        </w:tc>
        <w:tc>
          <w:tcPr>
            <w:tcW w:w="617" w:type="pct"/>
            <w:tcBorders>
              <w:top w:val="single" w:sz="4" w:space="0" w:color="auto"/>
            </w:tcBorders>
          </w:tcPr>
          <w:p w14:paraId="47A8A696" w14:textId="387C968E" w:rsidR="00D15BDE" w:rsidRPr="00B44B19" w:rsidRDefault="004823CC" w:rsidP="00E577AE">
            <w:pPr>
              <w:spacing w:after="0" w:line="240" w:lineRule="auto"/>
              <w:jc w:val="center"/>
              <w:rPr>
                <w:rFonts w:cs="Times New Roman"/>
                <w:sz w:val="16"/>
                <w:szCs w:val="16"/>
              </w:rPr>
            </w:pPr>
            <w:r w:rsidRPr="00B44B19">
              <w:rPr>
                <w:rFonts w:cs="Times New Roman"/>
                <w:sz w:val="16"/>
                <w:szCs w:val="16"/>
              </w:rPr>
              <w:t>641</w:t>
            </w:r>
          </w:p>
        </w:tc>
      </w:tr>
      <w:tr w:rsidR="00D15BDE" w:rsidRPr="00B44B19" w14:paraId="4BFCEBC8" w14:textId="77777777" w:rsidTr="00160126">
        <w:trPr>
          <w:trHeight w:val="565"/>
        </w:trPr>
        <w:tc>
          <w:tcPr>
            <w:tcW w:w="490" w:type="pct"/>
            <w:vMerge/>
            <w:tcBorders>
              <w:top w:val="single" w:sz="4" w:space="0" w:color="auto"/>
            </w:tcBorders>
          </w:tcPr>
          <w:p w14:paraId="56C6B862" w14:textId="77777777" w:rsidR="00D15BDE" w:rsidRPr="00B44B19"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209C76F2" w14:textId="77777777" w:rsidR="00D15BDE" w:rsidRPr="00B44B19"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2D8BF89C" w14:textId="77777777" w:rsidR="00D15BDE" w:rsidRPr="00B44B19"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6DCD3237"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Sostinės regionas</w:t>
            </w:r>
          </w:p>
        </w:tc>
        <w:tc>
          <w:tcPr>
            <w:tcW w:w="632" w:type="pct"/>
            <w:tcBorders>
              <w:top w:val="single" w:sz="4" w:space="0" w:color="auto"/>
            </w:tcBorders>
          </w:tcPr>
          <w:p w14:paraId="740C5500"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RCO02</w:t>
            </w:r>
          </w:p>
        </w:tc>
        <w:tc>
          <w:tcPr>
            <w:tcW w:w="864" w:type="pct"/>
            <w:tcBorders>
              <w:top w:val="single" w:sz="4" w:space="0" w:color="auto"/>
            </w:tcBorders>
          </w:tcPr>
          <w:p w14:paraId="1825C5EE" w14:textId="77777777" w:rsidR="00D15BDE" w:rsidRPr="00B44B19" w:rsidRDefault="00D15BDE" w:rsidP="00116C5C">
            <w:pPr>
              <w:tabs>
                <w:tab w:val="left" w:pos="7560"/>
              </w:tabs>
              <w:spacing w:after="0" w:line="240" w:lineRule="auto"/>
              <w:rPr>
                <w:rFonts w:cs="Times New Roman"/>
                <w:sz w:val="16"/>
                <w:szCs w:val="16"/>
              </w:rPr>
            </w:pPr>
            <w:r w:rsidRPr="00B44B19">
              <w:rPr>
                <w:rFonts w:cs="Times New Roman"/>
                <w:sz w:val="16"/>
                <w:szCs w:val="16"/>
              </w:rPr>
              <w:t>Paramą dotacijomis gavusios įmonės</w:t>
            </w:r>
          </w:p>
        </w:tc>
        <w:tc>
          <w:tcPr>
            <w:tcW w:w="503" w:type="pct"/>
            <w:tcBorders>
              <w:top w:val="single" w:sz="4" w:space="0" w:color="auto"/>
            </w:tcBorders>
          </w:tcPr>
          <w:p w14:paraId="7C2708B5"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Įmonės</w:t>
            </w:r>
          </w:p>
        </w:tc>
        <w:tc>
          <w:tcPr>
            <w:tcW w:w="515" w:type="pct"/>
            <w:tcBorders>
              <w:top w:val="single" w:sz="4" w:space="0" w:color="auto"/>
            </w:tcBorders>
          </w:tcPr>
          <w:p w14:paraId="00861260" w14:textId="4921F92B" w:rsidR="00D15BDE" w:rsidRPr="00B44B19" w:rsidRDefault="00E577AE" w:rsidP="00116C5C">
            <w:pPr>
              <w:spacing w:after="0" w:line="240" w:lineRule="auto"/>
              <w:jc w:val="center"/>
              <w:rPr>
                <w:rFonts w:cs="Times New Roman"/>
                <w:sz w:val="16"/>
                <w:szCs w:val="16"/>
                <w:lang w:val="en-GB"/>
              </w:rPr>
            </w:pPr>
            <w:r w:rsidRPr="00B44B19">
              <w:rPr>
                <w:rFonts w:cs="Times New Roman"/>
                <w:sz w:val="16"/>
                <w:szCs w:val="16"/>
                <w:lang w:val="en-GB"/>
              </w:rPr>
              <w:t>1</w:t>
            </w:r>
            <w:r w:rsidR="00E14BC6" w:rsidRPr="00B44B19">
              <w:rPr>
                <w:rFonts w:cs="Times New Roman"/>
                <w:sz w:val="16"/>
                <w:szCs w:val="16"/>
                <w:lang w:val="en-GB"/>
              </w:rPr>
              <w:t>06</w:t>
            </w:r>
          </w:p>
        </w:tc>
        <w:tc>
          <w:tcPr>
            <w:tcW w:w="617" w:type="pct"/>
            <w:tcBorders>
              <w:top w:val="single" w:sz="4" w:space="0" w:color="auto"/>
            </w:tcBorders>
          </w:tcPr>
          <w:p w14:paraId="327BA1DA" w14:textId="5660A82D" w:rsidR="00D15BDE" w:rsidRPr="00B44B19" w:rsidRDefault="00B3650B" w:rsidP="00116C5C">
            <w:pPr>
              <w:spacing w:after="0" w:line="240" w:lineRule="auto"/>
              <w:jc w:val="center"/>
              <w:rPr>
                <w:rFonts w:cs="Times New Roman"/>
                <w:sz w:val="16"/>
                <w:szCs w:val="16"/>
              </w:rPr>
            </w:pPr>
            <w:r w:rsidRPr="00B44B19">
              <w:rPr>
                <w:rFonts w:cs="Times New Roman"/>
                <w:sz w:val="16"/>
                <w:szCs w:val="16"/>
              </w:rPr>
              <w:t>173</w:t>
            </w:r>
          </w:p>
        </w:tc>
      </w:tr>
      <w:tr w:rsidR="00D15BDE" w:rsidRPr="00B44B19" w14:paraId="269CB652" w14:textId="77777777" w:rsidTr="00160126">
        <w:trPr>
          <w:trHeight w:val="565"/>
        </w:trPr>
        <w:tc>
          <w:tcPr>
            <w:tcW w:w="490" w:type="pct"/>
            <w:vMerge/>
            <w:tcBorders>
              <w:top w:val="single" w:sz="4" w:space="0" w:color="auto"/>
            </w:tcBorders>
          </w:tcPr>
          <w:p w14:paraId="40EE36DA" w14:textId="77777777" w:rsidR="00D15BDE" w:rsidRPr="00B44B19"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0DBB2D9A" w14:textId="77777777" w:rsidR="00D15BDE" w:rsidRPr="00B44B19"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60D12FB4" w14:textId="77777777" w:rsidR="00D15BDE" w:rsidRPr="00B44B19"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54200686"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VVL regionas</w:t>
            </w:r>
          </w:p>
        </w:tc>
        <w:tc>
          <w:tcPr>
            <w:tcW w:w="632" w:type="pct"/>
            <w:tcBorders>
              <w:top w:val="single" w:sz="4" w:space="0" w:color="auto"/>
            </w:tcBorders>
          </w:tcPr>
          <w:p w14:paraId="6BA71F5D"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RCO02</w:t>
            </w:r>
          </w:p>
        </w:tc>
        <w:tc>
          <w:tcPr>
            <w:tcW w:w="864" w:type="pct"/>
            <w:tcBorders>
              <w:top w:val="single" w:sz="4" w:space="0" w:color="auto"/>
            </w:tcBorders>
          </w:tcPr>
          <w:p w14:paraId="056B2714" w14:textId="77777777" w:rsidR="00D15BDE" w:rsidRPr="00B44B19" w:rsidRDefault="00D15BDE" w:rsidP="00116C5C">
            <w:pPr>
              <w:tabs>
                <w:tab w:val="left" w:pos="7560"/>
              </w:tabs>
              <w:spacing w:after="0" w:line="240" w:lineRule="auto"/>
              <w:rPr>
                <w:rFonts w:cs="Times New Roman"/>
                <w:sz w:val="16"/>
                <w:szCs w:val="16"/>
              </w:rPr>
            </w:pPr>
            <w:r w:rsidRPr="00B44B19">
              <w:rPr>
                <w:rFonts w:cs="Times New Roman"/>
                <w:sz w:val="16"/>
                <w:szCs w:val="16"/>
              </w:rPr>
              <w:t>Paramą dotacijomis gavusios įmonės</w:t>
            </w:r>
          </w:p>
        </w:tc>
        <w:tc>
          <w:tcPr>
            <w:tcW w:w="503" w:type="pct"/>
            <w:tcBorders>
              <w:top w:val="single" w:sz="4" w:space="0" w:color="auto"/>
            </w:tcBorders>
          </w:tcPr>
          <w:p w14:paraId="7AC6DA24"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Įmonės</w:t>
            </w:r>
          </w:p>
        </w:tc>
        <w:tc>
          <w:tcPr>
            <w:tcW w:w="515" w:type="pct"/>
            <w:tcBorders>
              <w:top w:val="single" w:sz="4" w:space="0" w:color="auto"/>
            </w:tcBorders>
          </w:tcPr>
          <w:p w14:paraId="39AB99E7" w14:textId="167F239A" w:rsidR="00D15BDE" w:rsidRPr="00B44B19" w:rsidRDefault="00160126" w:rsidP="00116C5C">
            <w:pPr>
              <w:spacing w:after="0" w:line="240" w:lineRule="auto"/>
              <w:jc w:val="center"/>
              <w:rPr>
                <w:rFonts w:cs="Times New Roman"/>
                <w:sz w:val="16"/>
                <w:szCs w:val="16"/>
                <w:lang w:val="en-GB"/>
              </w:rPr>
            </w:pPr>
            <w:r w:rsidRPr="00B44B19">
              <w:rPr>
                <w:rFonts w:cs="Times New Roman"/>
                <w:sz w:val="16"/>
                <w:szCs w:val="16"/>
                <w:lang w:val="en-GB"/>
              </w:rPr>
              <w:t>152</w:t>
            </w:r>
          </w:p>
        </w:tc>
        <w:tc>
          <w:tcPr>
            <w:tcW w:w="617" w:type="pct"/>
            <w:tcBorders>
              <w:top w:val="single" w:sz="4" w:space="0" w:color="auto"/>
            </w:tcBorders>
          </w:tcPr>
          <w:p w14:paraId="073C1275" w14:textId="1EA897A3" w:rsidR="00D15BDE" w:rsidRPr="00B44B19" w:rsidRDefault="004823CC" w:rsidP="00116C5C">
            <w:pPr>
              <w:spacing w:after="0" w:line="240" w:lineRule="auto"/>
              <w:jc w:val="center"/>
              <w:rPr>
                <w:rFonts w:cs="Times New Roman"/>
                <w:sz w:val="16"/>
                <w:szCs w:val="16"/>
              </w:rPr>
            </w:pPr>
            <w:r w:rsidRPr="00B44B19">
              <w:rPr>
                <w:rFonts w:cs="Times New Roman"/>
                <w:sz w:val="16"/>
                <w:szCs w:val="16"/>
              </w:rPr>
              <w:t>247</w:t>
            </w:r>
          </w:p>
        </w:tc>
      </w:tr>
      <w:tr w:rsidR="00D15BDE" w:rsidRPr="00B44B19" w14:paraId="7A5B25DB" w14:textId="77777777" w:rsidTr="00160126">
        <w:trPr>
          <w:trHeight w:val="565"/>
        </w:trPr>
        <w:tc>
          <w:tcPr>
            <w:tcW w:w="490" w:type="pct"/>
            <w:vMerge/>
            <w:tcBorders>
              <w:top w:val="single" w:sz="4" w:space="0" w:color="auto"/>
            </w:tcBorders>
          </w:tcPr>
          <w:p w14:paraId="650B3AE2" w14:textId="77777777" w:rsidR="00D15BDE" w:rsidRPr="00B44B19"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7ADEDACC" w14:textId="77777777" w:rsidR="00D15BDE" w:rsidRPr="00B44B19"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527CB720" w14:textId="77777777" w:rsidR="00D15BDE" w:rsidRPr="00B44B19"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bottom w:val="single" w:sz="4" w:space="0" w:color="auto"/>
            </w:tcBorders>
          </w:tcPr>
          <w:p w14:paraId="158A1993"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Sostinės regionas</w:t>
            </w:r>
          </w:p>
        </w:tc>
        <w:tc>
          <w:tcPr>
            <w:tcW w:w="632" w:type="pct"/>
            <w:tcBorders>
              <w:top w:val="single" w:sz="4" w:space="0" w:color="auto"/>
              <w:bottom w:val="single" w:sz="4" w:space="0" w:color="auto"/>
            </w:tcBorders>
          </w:tcPr>
          <w:p w14:paraId="6E03D2CC"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RCO04</w:t>
            </w:r>
          </w:p>
        </w:tc>
        <w:tc>
          <w:tcPr>
            <w:tcW w:w="864" w:type="pct"/>
            <w:tcBorders>
              <w:top w:val="single" w:sz="4" w:space="0" w:color="auto"/>
              <w:bottom w:val="single" w:sz="4" w:space="0" w:color="auto"/>
            </w:tcBorders>
          </w:tcPr>
          <w:p w14:paraId="23BAD75E" w14:textId="77777777" w:rsidR="00D15BDE" w:rsidRPr="00B44B19" w:rsidRDefault="00D15BDE" w:rsidP="00116C5C">
            <w:pPr>
              <w:tabs>
                <w:tab w:val="left" w:pos="7560"/>
              </w:tabs>
              <w:spacing w:after="0" w:line="240" w:lineRule="auto"/>
              <w:rPr>
                <w:rFonts w:cs="Times New Roman"/>
                <w:sz w:val="16"/>
                <w:szCs w:val="16"/>
              </w:rPr>
            </w:pPr>
            <w:r w:rsidRPr="00B44B19">
              <w:rPr>
                <w:rFonts w:cs="Times New Roman"/>
                <w:sz w:val="16"/>
                <w:szCs w:val="16"/>
              </w:rPr>
              <w:t>Nefinansinę paramą gavusios įmonės</w:t>
            </w:r>
          </w:p>
        </w:tc>
        <w:tc>
          <w:tcPr>
            <w:tcW w:w="503" w:type="pct"/>
            <w:tcBorders>
              <w:top w:val="single" w:sz="4" w:space="0" w:color="auto"/>
              <w:bottom w:val="single" w:sz="4" w:space="0" w:color="auto"/>
            </w:tcBorders>
          </w:tcPr>
          <w:p w14:paraId="51E50358"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Įmonės</w:t>
            </w:r>
          </w:p>
        </w:tc>
        <w:tc>
          <w:tcPr>
            <w:tcW w:w="515" w:type="pct"/>
            <w:tcBorders>
              <w:top w:val="single" w:sz="4" w:space="0" w:color="auto"/>
              <w:bottom w:val="single" w:sz="4" w:space="0" w:color="auto"/>
            </w:tcBorders>
          </w:tcPr>
          <w:p w14:paraId="59BE2AC6" w14:textId="77777777" w:rsidR="00D15BDE" w:rsidRPr="00B44B19" w:rsidRDefault="00B938A7" w:rsidP="00116C5C">
            <w:pPr>
              <w:spacing w:after="0" w:line="240" w:lineRule="auto"/>
              <w:jc w:val="center"/>
              <w:rPr>
                <w:rFonts w:cs="Times New Roman"/>
                <w:sz w:val="16"/>
                <w:szCs w:val="16"/>
                <w:lang w:val="en-GB"/>
              </w:rPr>
            </w:pPr>
            <w:r w:rsidRPr="00B44B19">
              <w:rPr>
                <w:rFonts w:cs="Times New Roman"/>
                <w:sz w:val="16"/>
                <w:szCs w:val="16"/>
                <w:lang w:val="en-GB"/>
              </w:rPr>
              <w:t>0</w:t>
            </w:r>
          </w:p>
        </w:tc>
        <w:tc>
          <w:tcPr>
            <w:tcW w:w="617" w:type="pct"/>
            <w:tcBorders>
              <w:top w:val="single" w:sz="4" w:space="0" w:color="auto"/>
              <w:bottom w:val="single" w:sz="4" w:space="0" w:color="auto"/>
            </w:tcBorders>
          </w:tcPr>
          <w:p w14:paraId="6F7BC5AB" w14:textId="69EABDEE" w:rsidR="00D15BDE" w:rsidRPr="00B44B19" w:rsidRDefault="00B3650B" w:rsidP="00116C5C">
            <w:pPr>
              <w:spacing w:after="0" w:line="240" w:lineRule="auto"/>
              <w:jc w:val="center"/>
              <w:rPr>
                <w:rFonts w:cs="Times New Roman"/>
                <w:sz w:val="16"/>
                <w:szCs w:val="16"/>
              </w:rPr>
            </w:pPr>
            <w:r w:rsidRPr="00B44B19">
              <w:rPr>
                <w:rFonts w:cs="Times New Roman"/>
                <w:sz w:val="16"/>
                <w:szCs w:val="16"/>
              </w:rPr>
              <w:t>206</w:t>
            </w:r>
          </w:p>
        </w:tc>
      </w:tr>
      <w:tr w:rsidR="00D15BDE" w:rsidRPr="00B44B19" w14:paraId="4850118B" w14:textId="77777777" w:rsidTr="00160126">
        <w:trPr>
          <w:trHeight w:val="565"/>
        </w:trPr>
        <w:tc>
          <w:tcPr>
            <w:tcW w:w="490" w:type="pct"/>
            <w:vMerge/>
            <w:tcBorders>
              <w:top w:val="single" w:sz="4" w:space="0" w:color="auto"/>
            </w:tcBorders>
          </w:tcPr>
          <w:p w14:paraId="15C842C4" w14:textId="77777777" w:rsidR="00D15BDE" w:rsidRPr="00B44B19" w:rsidRDefault="00D15BDE" w:rsidP="00116C5C">
            <w:pPr>
              <w:spacing w:before="100" w:beforeAutospacing="1" w:after="100" w:afterAutospacing="1" w:line="240" w:lineRule="auto"/>
              <w:jc w:val="both"/>
              <w:rPr>
                <w:rFonts w:cs="Times New Roman"/>
                <w:noProof/>
                <w:sz w:val="16"/>
                <w:szCs w:val="16"/>
              </w:rPr>
            </w:pPr>
          </w:p>
        </w:tc>
        <w:tc>
          <w:tcPr>
            <w:tcW w:w="488" w:type="pct"/>
            <w:vMerge/>
            <w:tcBorders>
              <w:top w:val="single" w:sz="4" w:space="0" w:color="auto"/>
            </w:tcBorders>
          </w:tcPr>
          <w:p w14:paraId="3EB60496" w14:textId="77777777" w:rsidR="00D15BDE" w:rsidRPr="00B44B19" w:rsidRDefault="00D15BDE" w:rsidP="00116C5C">
            <w:pPr>
              <w:spacing w:before="100" w:beforeAutospacing="1" w:after="100" w:afterAutospacing="1" w:line="240" w:lineRule="auto"/>
              <w:rPr>
                <w:rFonts w:cs="Times New Roman"/>
                <w:noProof/>
                <w:sz w:val="16"/>
                <w:szCs w:val="16"/>
              </w:rPr>
            </w:pPr>
          </w:p>
        </w:tc>
        <w:tc>
          <w:tcPr>
            <w:tcW w:w="397" w:type="pct"/>
            <w:vMerge/>
            <w:tcBorders>
              <w:top w:val="single" w:sz="4" w:space="0" w:color="auto"/>
            </w:tcBorders>
          </w:tcPr>
          <w:p w14:paraId="67DACED9" w14:textId="77777777" w:rsidR="00D15BDE" w:rsidRPr="00B44B19" w:rsidRDefault="00D15BDE" w:rsidP="00116C5C">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503E4B4C"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VVL regionas</w:t>
            </w:r>
          </w:p>
        </w:tc>
        <w:tc>
          <w:tcPr>
            <w:tcW w:w="632" w:type="pct"/>
            <w:tcBorders>
              <w:top w:val="single" w:sz="4" w:space="0" w:color="auto"/>
            </w:tcBorders>
          </w:tcPr>
          <w:p w14:paraId="00DB951B"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RCO04</w:t>
            </w:r>
          </w:p>
        </w:tc>
        <w:tc>
          <w:tcPr>
            <w:tcW w:w="864" w:type="pct"/>
            <w:tcBorders>
              <w:top w:val="single" w:sz="4" w:space="0" w:color="auto"/>
            </w:tcBorders>
          </w:tcPr>
          <w:p w14:paraId="02F3CEE8" w14:textId="77777777" w:rsidR="00D15BDE" w:rsidRPr="00B44B19" w:rsidRDefault="00D15BDE" w:rsidP="00116C5C">
            <w:pPr>
              <w:tabs>
                <w:tab w:val="left" w:pos="7560"/>
              </w:tabs>
              <w:spacing w:after="0" w:line="240" w:lineRule="auto"/>
              <w:rPr>
                <w:rFonts w:cs="Times New Roman"/>
                <w:sz w:val="16"/>
                <w:szCs w:val="16"/>
              </w:rPr>
            </w:pPr>
            <w:r w:rsidRPr="00B44B19">
              <w:rPr>
                <w:rFonts w:cs="Times New Roman"/>
                <w:sz w:val="16"/>
                <w:szCs w:val="16"/>
              </w:rPr>
              <w:t>Nefinansinę paramą gavusios įmonės</w:t>
            </w:r>
          </w:p>
        </w:tc>
        <w:tc>
          <w:tcPr>
            <w:tcW w:w="503" w:type="pct"/>
            <w:tcBorders>
              <w:top w:val="single" w:sz="4" w:space="0" w:color="auto"/>
            </w:tcBorders>
          </w:tcPr>
          <w:p w14:paraId="5E554032" w14:textId="77777777" w:rsidR="00D15BDE" w:rsidRPr="00B44B19" w:rsidRDefault="00D15BDE" w:rsidP="00116C5C">
            <w:pPr>
              <w:spacing w:after="0" w:line="240" w:lineRule="auto"/>
              <w:jc w:val="both"/>
              <w:rPr>
                <w:rFonts w:cs="Times New Roman"/>
                <w:sz w:val="16"/>
                <w:szCs w:val="16"/>
              </w:rPr>
            </w:pPr>
            <w:r w:rsidRPr="00B44B19">
              <w:rPr>
                <w:rFonts w:cs="Times New Roman"/>
                <w:sz w:val="16"/>
                <w:szCs w:val="16"/>
              </w:rPr>
              <w:t>Įmonės</w:t>
            </w:r>
          </w:p>
        </w:tc>
        <w:tc>
          <w:tcPr>
            <w:tcW w:w="515" w:type="pct"/>
            <w:tcBorders>
              <w:top w:val="single" w:sz="4" w:space="0" w:color="auto"/>
            </w:tcBorders>
          </w:tcPr>
          <w:p w14:paraId="078CA00F" w14:textId="77777777" w:rsidR="00D15BDE" w:rsidRPr="00B44B19" w:rsidRDefault="00B938A7" w:rsidP="00116C5C">
            <w:pPr>
              <w:spacing w:after="0" w:line="240" w:lineRule="auto"/>
              <w:jc w:val="center"/>
              <w:rPr>
                <w:rFonts w:cs="Times New Roman"/>
                <w:sz w:val="16"/>
                <w:szCs w:val="16"/>
                <w:lang w:val="en-GB"/>
              </w:rPr>
            </w:pPr>
            <w:r w:rsidRPr="00B44B19">
              <w:rPr>
                <w:rFonts w:cs="Times New Roman"/>
                <w:sz w:val="16"/>
                <w:szCs w:val="16"/>
                <w:lang w:val="en-GB"/>
              </w:rPr>
              <w:t>0</w:t>
            </w:r>
          </w:p>
        </w:tc>
        <w:tc>
          <w:tcPr>
            <w:tcW w:w="617" w:type="pct"/>
            <w:tcBorders>
              <w:top w:val="single" w:sz="4" w:space="0" w:color="auto"/>
            </w:tcBorders>
          </w:tcPr>
          <w:p w14:paraId="38E51B2B" w14:textId="6D854773" w:rsidR="00D15BDE" w:rsidRPr="00B44B19" w:rsidRDefault="00B3650B" w:rsidP="00116C5C">
            <w:pPr>
              <w:spacing w:after="0" w:line="240" w:lineRule="auto"/>
              <w:jc w:val="center"/>
              <w:rPr>
                <w:rFonts w:cs="Times New Roman"/>
                <w:sz w:val="16"/>
                <w:szCs w:val="16"/>
              </w:rPr>
            </w:pPr>
            <w:r w:rsidRPr="00B44B19">
              <w:rPr>
                <w:rFonts w:cs="Times New Roman"/>
                <w:sz w:val="16"/>
                <w:szCs w:val="16"/>
              </w:rPr>
              <w:t>394</w:t>
            </w:r>
          </w:p>
        </w:tc>
      </w:tr>
      <w:tr w:rsidR="00160126" w:rsidRPr="00B44B19" w14:paraId="6C6667E8" w14:textId="77777777" w:rsidTr="00BE32EE">
        <w:trPr>
          <w:trHeight w:val="565"/>
        </w:trPr>
        <w:tc>
          <w:tcPr>
            <w:tcW w:w="490" w:type="pct"/>
            <w:vMerge/>
          </w:tcPr>
          <w:p w14:paraId="42BDE1EE" w14:textId="77777777" w:rsidR="00160126" w:rsidRPr="00B44B19" w:rsidRDefault="00160126" w:rsidP="00160126">
            <w:pPr>
              <w:spacing w:before="100" w:beforeAutospacing="1" w:after="100" w:afterAutospacing="1" w:line="240" w:lineRule="auto"/>
              <w:jc w:val="both"/>
              <w:rPr>
                <w:rFonts w:cs="Times New Roman"/>
                <w:noProof/>
                <w:sz w:val="16"/>
                <w:szCs w:val="16"/>
              </w:rPr>
            </w:pPr>
          </w:p>
        </w:tc>
        <w:tc>
          <w:tcPr>
            <w:tcW w:w="488" w:type="pct"/>
            <w:vMerge/>
          </w:tcPr>
          <w:p w14:paraId="09913889" w14:textId="77777777" w:rsidR="00160126" w:rsidRPr="00B44B19" w:rsidRDefault="00160126" w:rsidP="00160126">
            <w:pPr>
              <w:spacing w:before="100" w:beforeAutospacing="1" w:after="100" w:afterAutospacing="1" w:line="240" w:lineRule="auto"/>
              <w:rPr>
                <w:rFonts w:cs="Times New Roman"/>
                <w:noProof/>
                <w:sz w:val="16"/>
                <w:szCs w:val="16"/>
              </w:rPr>
            </w:pPr>
          </w:p>
        </w:tc>
        <w:tc>
          <w:tcPr>
            <w:tcW w:w="397" w:type="pct"/>
            <w:vMerge/>
          </w:tcPr>
          <w:p w14:paraId="2332A7C7" w14:textId="77777777" w:rsidR="00160126" w:rsidRPr="00B44B19" w:rsidRDefault="00160126" w:rsidP="00160126">
            <w:pPr>
              <w:spacing w:before="100" w:beforeAutospacing="1" w:after="100" w:afterAutospacing="1" w:line="240" w:lineRule="auto"/>
              <w:rPr>
                <w:rFonts w:cs="Times New Roman"/>
                <w:sz w:val="16"/>
                <w:szCs w:val="16"/>
              </w:rPr>
            </w:pPr>
          </w:p>
        </w:tc>
        <w:tc>
          <w:tcPr>
            <w:tcW w:w="494" w:type="pct"/>
            <w:tcBorders>
              <w:top w:val="single" w:sz="4" w:space="0" w:color="auto"/>
            </w:tcBorders>
          </w:tcPr>
          <w:p w14:paraId="695B461F" w14:textId="77777777" w:rsidR="00160126" w:rsidRPr="00B44B19" w:rsidRDefault="00160126" w:rsidP="00160126">
            <w:pPr>
              <w:spacing w:after="0" w:line="240" w:lineRule="auto"/>
              <w:jc w:val="both"/>
              <w:rPr>
                <w:rFonts w:cs="Times New Roman"/>
                <w:noProof/>
                <w:sz w:val="16"/>
                <w:szCs w:val="16"/>
              </w:rPr>
            </w:pPr>
            <w:r w:rsidRPr="00B44B19">
              <w:rPr>
                <w:rFonts w:cs="Times New Roman"/>
                <w:sz w:val="16"/>
                <w:szCs w:val="16"/>
              </w:rPr>
              <w:t>Sostinės regionas</w:t>
            </w:r>
          </w:p>
        </w:tc>
        <w:tc>
          <w:tcPr>
            <w:tcW w:w="632" w:type="pct"/>
            <w:tcBorders>
              <w:top w:val="single" w:sz="4" w:space="0" w:color="auto"/>
            </w:tcBorders>
          </w:tcPr>
          <w:p w14:paraId="6D9E0261" w14:textId="77777777" w:rsidR="00160126" w:rsidRPr="00B44B19" w:rsidRDefault="00160126" w:rsidP="00160126">
            <w:pPr>
              <w:spacing w:after="0" w:line="240" w:lineRule="auto"/>
              <w:jc w:val="both"/>
              <w:rPr>
                <w:rFonts w:eastAsia="Calibri" w:cs="Times New Roman"/>
                <w:noProof/>
                <w:color w:val="000000"/>
                <w:sz w:val="16"/>
                <w:szCs w:val="16"/>
                <w:lang w:eastAsia="lt-LT" w:bidi="lt-LT"/>
              </w:rPr>
            </w:pPr>
            <w:r w:rsidRPr="00B44B19">
              <w:rPr>
                <w:rFonts w:cs="Times New Roman"/>
                <w:sz w:val="16"/>
                <w:szCs w:val="16"/>
              </w:rPr>
              <w:t>RCO13</w:t>
            </w:r>
          </w:p>
        </w:tc>
        <w:tc>
          <w:tcPr>
            <w:tcW w:w="864" w:type="pct"/>
            <w:tcBorders>
              <w:top w:val="single" w:sz="4" w:space="0" w:color="auto"/>
            </w:tcBorders>
          </w:tcPr>
          <w:p w14:paraId="61CE2B63" w14:textId="77777777" w:rsidR="00160126" w:rsidRPr="00B44B19" w:rsidRDefault="00160126" w:rsidP="00160126">
            <w:pPr>
              <w:tabs>
                <w:tab w:val="left" w:pos="7560"/>
              </w:tabs>
              <w:spacing w:after="0" w:line="240" w:lineRule="auto"/>
              <w:rPr>
                <w:rFonts w:eastAsia="Calibri" w:cs="Times New Roman"/>
                <w:noProof/>
                <w:color w:val="000000"/>
                <w:sz w:val="16"/>
                <w:szCs w:val="16"/>
                <w:lang w:eastAsia="lt-LT" w:bidi="lt-LT"/>
              </w:rPr>
            </w:pPr>
            <w:r w:rsidRPr="00B44B19">
              <w:rPr>
                <w:rFonts w:cs="Times New Roman"/>
                <w:sz w:val="16"/>
                <w:szCs w:val="16"/>
              </w:rPr>
              <w:t>Įmonėms, sukurtų skaitmeninių paslaugų, produktų ir procesų vertė</w:t>
            </w:r>
          </w:p>
        </w:tc>
        <w:tc>
          <w:tcPr>
            <w:tcW w:w="503" w:type="pct"/>
            <w:tcBorders>
              <w:top w:val="single" w:sz="4" w:space="0" w:color="auto"/>
            </w:tcBorders>
          </w:tcPr>
          <w:p w14:paraId="3D636163" w14:textId="77777777" w:rsidR="00160126" w:rsidRPr="00B44B19" w:rsidRDefault="00160126" w:rsidP="00160126">
            <w:pPr>
              <w:spacing w:after="0" w:line="240" w:lineRule="auto"/>
              <w:jc w:val="both"/>
              <w:rPr>
                <w:rFonts w:cs="Times New Roman"/>
                <w:noProof/>
                <w:sz w:val="16"/>
                <w:szCs w:val="16"/>
              </w:rPr>
            </w:pPr>
            <w:r w:rsidRPr="00B44B19">
              <w:rPr>
                <w:rFonts w:cs="Times New Roman"/>
                <w:sz w:val="16"/>
                <w:szCs w:val="16"/>
              </w:rPr>
              <w:t>Eurai</w:t>
            </w:r>
          </w:p>
        </w:tc>
        <w:tc>
          <w:tcPr>
            <w:tcW w:w="515" w:type="pct"/>
            <w:tcBorders>
              <w:top w:val="single" w:sz="4" w:space="0" w:color="auto"/>
              <w:bottom w:val="single" w:sz="4" w:space="0" w:color="auto"/>
            </w:tcBorders>
          </w:tcPr>
          <w:p w14:paraId="289BE670" w14:textId="4D907E9F" w:rsidR="00160126" w:rsidRPr="00B44B19" w:rsidRDefault="00160126" w:rsidP="00160126">
            <w:pPr>
              <w:spacing w:after="0" w:line="240" w:lineRule="auto"/>
              <w:jc w:val="center"/>
              <w:rPr>
                <w:rFonts w:cs="Times New Roman"/>
                <w:b/>
                <w:noProof/>
                <w:sz w:val="16"/>
                <w:szCs w:val="16"/>
              </w:rPr>
            </w:pPr>
            <w:r w:rsidRPr="00B44B19">
              <w:rPr>
                <w:rFonts w:cs="Times New Roman"/>
                <w:sz w:val="16"/>
                <w:szCs w:val="16"/>
                <w:lang w:val="en-GB"/>
              </w:rPr>
              <w:t>9 829 884</w:t>
            </w:r>
          </w:p>
        </w:tc>
        <w:tc>
          <w:tcPr>
            <w:tcW w:w="617" w:type="pct"/>
            <w:tcBorders>
              <w:top w:val="single" w:sz="4" w:space="0" w:color="auto"/>
              <w:bottom w:val="single" w:sz="4" w:space="0" w:color="auto"/>
            </w:tcBorders>
          </w:tcPr>
          <w:p w14:paraId="7FE4177F" w14:textId="2D12E783" w:rsidR="00160126" w:rsidRPr="00B44B19" w:rsidRDefault="00B3650B" w:rsidP="00160126">
            <w:pPr>
              <w:spacing w:after="0" w:line="240" w:lineRule="auto"/>
              <w:jc w:val="center"/>
              <w:rPr>
                <w:rFonts w:cs="Times New Roman"/>
                <w:b/>
                <w:noProof/>
                <w:sz w:val="16"/>
                <w:szCs w:val="16"/>
              </w:rPr>
            </w:pPr>
            <w:r w:rsidRPr="00B44B19">
              <w:rPr>
                <w:rFonts w:cs="Times New Roman"/>
                <w:sz w:val="16"/>
                <w:szCs w:val="16"/>
              </w:rPr>
              <w:t>28 729 470</w:t>
            </w:r>
          </w:p>
        </w:tc>
      </w:tr>
      <w:tr w:rsidR="00160126" w:rsidRPr="00B44B19" w14:paraId="1F2EB9B2" w14:textId="77777777" w:rsidTr="00BE32EE">
        <w:trPr>
          <w:trHeight w:val="565"/>
        </w:trPr>
        <w:tc>
          <w:tcPr>
            <w:tcW w:w="490" w:type="pct"/>
            <w:vMerge/>
          </w:tcPr>
          <w:p w14:paraId="2FAD2A64" w14:textId="77777777" w:rsidR="00160126" w:rsidRPr="00B44B19" w:rsidRDefault="00160126" w:rsidP="00160126">
            <w:pPr>
              <w:spacing w:after="0" w:line="240" w:lineRule="auto"/>
              <w:jc w:val="both"/>
              <w:rPr>
                <w:rFonts w:cs="Times New Roman"/>
                <w:b/>
                <w:noProof/>
                <w:sz w:val="14"/>
                <w:szCs w:val="14"/>
              </w:rPr>
            </w:pPr>
          </w:p>
        </w:tc>
        <w:tc>
          <w:tcPr>
            <w:tcW w:w="488" w:type="pct"/>
            <w:vMerge/>
          </w:tcPr>
          <w:p w14:paraId="21400297" w14:textId="77777777" w:rsidR="00160126" w:rsidRPr="00B44B19" w:rsidRDefault="00160126" w:rsidP="00160126">
            <w:pPr>
              <w:spacing w:after="0" w:line="240" w:lineRule="auto"/>
              <w:jc w:val="both"/>
              <w:rPr>
                <w:rFonts w:cs="Times New Roman"/>
                <w:b/>
                <w:noProof/>
                <w:sz w:val="14"/>
                <w:szCs w:val="14"/>
              </w:rPr>
            </w:pPr>
          </w:p>
        </w:tc>
        <w:tc>
          <w:tcPr>
            <w:tcW w:w="397" w:type="pct"/>
            <w:vMerge/>
          </w:tcPr>
          <w:p w14:paraId="2FB0208A" w14:textId="77777777" w:rsidR="00160126" w:rsidRPr="00B44B19" w:rsidRDefault="00160126" w:rsidP="00160126">
            <w:pPr>
              <w:spacing w:after="0" w:line="240" w:lineRule="auto"/>
              <w:jc w:val="both"/>
              <w:rPr>
                <w:rFonts w:cs="Times New Roman"/>
                <w:b/>
                <w:noProof/>
                <w:sz w:val="14"/>
                <w:szCs w:val="14"/>
              </w:rPr>
            </w:pPr>
          </w:p>
        </w:tc>
        <w:tc>
          <w:tcPr>
            <w:tcW w:w="494" w:type="pct"/>
          </w:tcPr>
          <w:p w14:paraId="12DD2521" w14:textId="77777777" w:rsidR="00160126" w:rsidRPr="00B44B19" w:rsidRDefault="00160126" w:rsidP="00160126">
            <w:pPr>
              <w:spacing w:after="0" w:line="240" w:lineRule="auto"/>
              <w:jc w:val="both"/>
              <w:rPr>
                <w:rFonts w:cs="Times New Roman"/>
                <w:noProof/>
                <w:sz w:val="16"/>
                <w:szCs w:val="16"/>
              </w:rPr>
            </w:pPr>
            <w:r w:rsidRPr="00B44B19">
              <w:rPr>
                <w:rFonts w:cs="Times New Roman"/>
                <w:sz w:val="16"/>
                <w:szCs w:val="16"/>
              </w:rPr>
              <w:t>VVL regionas</w:t>
            </w:r>
          </w:p>
        </w:tc>
        <w:tc>
          <w:tcPr>
            <w:tcW w:w="632" w:type="pct"/>
          </w:tcPr>
          <w:p w14:paraId="48E6120B" w14:textId="77777777" w:rsidR="00160126" w:rsidRPr="00B44B19" w:rsidRDefault="00160126" w:rsidP="00160126">
            <w:pPr>
              <w:spacing w:after="0" w:line="240" w:lineRule="auto"/>
              <w:jc w:val="both"/>
              <w:rPr>
                <w:rFonts w:eastAsia="Calibri" w:cs="Times New Roman"/>
                <w:noProof/>
                <w:color w:val="000000"/>
                <w:sz w:val="16"/>
                <w:szCs w:val="16"/>
                <w:lang w:eastAsia="lt-LT" w:bidi="lt-LT"/>
              </w:rPr>
            </w:pPr>
            <w:r w:rsidRPr="00B44B19">
              <w:rPr>
                <w:rFonts w:cs="Times New Roman"/>
                <w:sz w:val="16"/>
                <w:szCs w:val="16"/>
              </w:rPr>
              <w:t>RCO13</w:t>
            </w:r>
          </w:p>
        </w:tc>
        <w:tc>
          <w:tcPr>
            <w:tcW w:w="864" w:type="pct"/>
          </w:tcPr>
          <w:p w14:paraId="3D4F0C88" w14:textId="77777777" w:rsidR="00160126" w:rsidRPr="00B44B19" w:rsidRDefault="00160126" w:rsidP="00160126">
            <w:pPr>
              <w:tabs>
                <w:tab w:val="left" w:pos="7560"/>
              </w:tabs>
              <w:spacing w:after="0" w:line="240" w:lineRule="auto"/>
              <w:rPr>
                <w:rFonts w:eastAsia="Calibri" w:cs="Times New Roman"/>
                <w:noProof/>
                <w:color w:val="000000"/>
                <w:sz w:val="16"/>
                <w:szCs w:val="16"/>
                <w:lang w:eastAsia="lt-LT" w:bidi="lt-LT"/>
              </w:rPr>
            </w:pPr>
            <w:r w:rsidRPr="00B44B19">
              <w:rPr>
                <w:rFonts w:cs="Times New Roman"/>
                <w:sz w:val="16"/>
                <w:szCs w:val="16"/>
              </w:rPr>
              <w:t>Įmonėms, sukurtų skaitmeninių paslaugų, produktų ir procesų vertė</w:t>
            </w:r>
          </w:p>
        </w:tc>
        <w:tc>
          <w:tcPr>
            <w:tcW w:w="503" w:type="pct"/>
          </w:tcPr>
          <w:p w14:paraId="1CA0A3C3" w14:textId="77777777" w:rsidR="00160126" w:rsidRPr="00B44B19" w:rsidRDefault="00160126" w:rsidP="00160126">
            <w:pPr>
              <w:spacing w:after="0" w:line="240" w:lineRule="auto"/>
              <w:jc w:val="both"/>
              <w:rPr>
                <w:rFonts w:cs="Times New Roman"/>
                <w:noProof/>
                <w:sz w:val="16"/>
                <w:szCs w:val="16"/>
              </w:rPr>
            </w:pPr>
            <w:r w:rsidRPr="00B44B19">
              <w:rPr>
                <w:rFonts w:cs="Times New Roman"/>
                <w:sz w:val="16"/>
                <w:szCs w:val="16"/>
              </w:rPr>
              <w:t>Eurai</w:t>
            </w:r>
          </w:p>
        </w:tc>
        <w:tc>
          <w:tcPr>
            <w:tcW w:w="515" w:type="pct"/>
            <w:tcBorders>
              <w:top w:val="single" w:sz="4" w:space="0" w:color="auto"/>
            </w:tcBorders>
          </w:tcPr>
          <w:p w14:paraId="59B727F6" w14:textId="7FA620B7" w:rsidR="00160126" w:rsidRPr="00B44B19" w:rsidRDefault="00160126" w:rsidP="00160126">
            <w:pPr>
              <w:spacing w:after="0" w:line="240" w:lineRule="auto"/>
              <w:jc w:val="center"/>
              <w:rPr>
                <w:rFonts w:cs="Times New Roman"/>
                <w:noProof/>
                <w:sz w:val="16"/>
                <w:szCs w:val="16"/>
              </w:rPr>
            </w:pPr>
            <w:r w:rsidRPr="00B44B19">
              <w:rPr>
                <w:rFonts w:cs="Times New Roman"/>
                <w:noProof/>
                <w:sz w:val="16"/>
                <w:szCs w:val="16"/>
              </w:rPr>
              <w:t>12 528 836</w:t>
            </w:r>
          </w:p>
        </w:tc>
        <w:tc>
          <w:tcPr>
            <w:tcW w:w="617" w:type="pct"/>
            <w:tcBorders>
              <w:top w:val="single" w:sz="4" w:space="0" w:color="auto"/>
            </w:tcBorders>
          </w:tcPr>
          <w:p w14:paraId="6284E414" w14:textId="4948533F" w:rsidR="00160126" w:rsidRPr="00B44B19" w:rsidRDefault="00B3650B" w:rsidP="00160126">
            <w:pPr>
              <w:spacing w:after="0" w:line="240" w:lineRule="auto"/>
              <w:jc w:val="center"/>
              <w:rPr>
                <w:rFonts w:cs="Times New Roman"/>
                <w:noProof/>
                <w:sz w:val="16"/>
                <w:szCs w:val="16"/>
              </w:rPr>
            </w:pPr>
            <w:r w:rsidRPr="00B44B19">
              <w:rPr>
                <w:rFonts w:cs="Times New Roman"/>
                <w:noProof/>
                <w:sz w:val="16"/>
                <w:szCs w:val="16"/>
              </w:rPr>
              <w:t>51 001 800</w:t>
            </w:r>
          </w:p>
        </w:tc>
      </w:tr>
      <w:tr w:rsidR="00160126" w:rsidRPr="00B44B19" w14:paraId="24CFF114" w14:textId="77777777" w:rsidTr="00160126">
        <w:trPr>
          <w:trHeight w:val="340"/>
        </w:trPr>
        <w:tc>
          <w:tcPr>
            <w:tcW w:w="490" w:type="pct"/>
            <w:vMerge/>
          </w:tcPr>
          <w:p w14:paraId="1C9E0207" w14:textId="77777777" w:rsidR="00160126" w:rsidRPr="00B44B19" w:rsidRDefault="00160126" w:rsidP="00160126">
            <w:pPr>
              <w:spacing w:after="0" w:line="240" w:lineRule="auto"/>
              <w:jc w:val="both"/>
              <w:rPr>
                <w:rFonts w:cs="Times New Roman"/>
                <w:b/>
                <w:noProof/>
                <w:sz w:val="14"/>
                <w:szCs w:val="14"/>
              </w:rPr>
            </w:pPr>
          </w:p>
        </w:tc>
        <w:tc>
          <w:tcPr>
            <w:tcW w:w="488" w:type="pct"/>
            <w:vMerge/>
          </w:tcPr>
          <w:p w14:paraId="74C085B4" w14:textId="77777777" w:rsidR="00160126" w:rsidRPr="00B44B19" w:rsidRDefault="00160126" w:rsidP="00160126">
            <w:pPr>
              <w:spacing w:after="0" w:line="240" w:lineRule="auto"/>
              <w:jc w:val="both"/>
              <w:rPr>
                <w:rFonts w:cs="Times New Roman"/>
                <w:b/>
                <w:noProof/>
                <w:sz w:val="14"/>
                <w:szCs w:val="14"/>
              </w:rPr>
            </w:pPr>
          </w:p>
        </w:tc>
        <w:tc>
          <w:tcPr>
            <w:tcW w:w="397" w:type="pct"/>
            <w:vMerge/>
          </w:tcPr>
          <w:p w14:paraId="18D64F51" w14:textId="77777777" w:rsidR="00160126" w:rsidRPr="00B44B19" w:rsidRDefault="00160126" w:rsidP="00160126">
            <w:pPr>
              <w:spacing w:after="0" w:line="240" w:lineRule="auto"/>
              <w:jc w:val="both"/>
              <w:rPr>
                <w:rFonts w:cs="Times New Roman"/>
                <w:b/>
                <w:noProof/>
                <w:sz w:val="14"/>
                <w:szCs w:val="14"/>
              </w:rPr>
            </w:pPr>
          </w:p>
        </w:tc>
        <w:tc>
          <w:tcPr>
            <w:tcW w:w="494" w:type="pct"/>
          </w:tcPr>
          <w:p w14:paraId="70AD92E4" w14:textId="77777777" w:rsidR="00160126" w:rsidRPr="00B44B19" w:rsidRDefault="00160126" w:rsidP="00160126">
            <w:pPr>
              <w:spacing w:after="0" w:line="240" w:lineRule="auto"/>
              <w:jc w:val="both"/>
              <w:rPr>
                <w:rFonts w:cs="Times New Roman"/>
                <w:sz w:val="16"/>
                <w:szCs w:val="16"/>
              </w:rPr>
            </w:pPr>
            <w:r w:rsidRPr="00B44B19">
              <w:rPr>
                <w:rFonts w:cs="Times New Roman"/>
                <w:sz w:val="16"/>
                <w:szCs w:val="16"/>
              </w:rPr>
              <w:t>Sostinės regionas</w:t>
            </w:r>
          </w:p>
        </w:tc>
        <w:tc>
          <w:tcPr>
            <w:tcW w:w="632" w:type="pct"/>
          </w:tcPr>
          <w:p w14:paraId="4DE92512" w14:textId="77777777" w:rsidR="00160126" w:rsidRPr="00B44B19" w:rsidRDefault="00160126" w:rsidP="00160126">
            <w:pPr>
              <w:spacing w:after="0" w:line="240" w:lineRule="auto"/>
              <w:jc w:val="both"/>
              <w:rPr>
                <w:rFonts w:cs="Times New Roman"/>
                <w:sz w:val="16"/>
                <w:szCs w:val="16"/>
              </w:rPr>
            </w:pPr>
            <w:r w:rsidRPr="00B44B19">
              <w:rPr>
                <w:rFonts w:cs="Times New Roman"/>
                <w:sz w:val="16"/>
                <w:szCs w:val="16"/>
              </w:rPr>
              <w:t>Specialusis</w:t>
            </w:r>
          </w:p>
        </w:tc>
        <w:tc>
          <w:tcPr>
            <w:tcW w:w="864" w:type="pct"/>
          </w:tcPr>
          <w:p w14:paraId="04400147" w14:textId="77777777" w:rsidR="00160126" w:rsidRPr="00B44B19" w:rsidRDefault="00160126" w:rsidP="00160126">
            <w:pPr>
              <w:spacing w:after="0" w:line="240" w:lineRule="auto"/>
              <w:rPr>
                <w:rFonts w:cs="Times New Roman"/>
                <w:sz w:val="16"/>
                <w:szCs w:val="16"/>
              </w:rPr>
            </w:pPr>
            <w:r w:rsidRPr="00B44B19">
              <w:rPr>
                <w:rFonts w:cs="Times New Roman"/>
                <w:sz w:val="16"/>
                <w:szCs w:val="16"/>
              </w:rPr>
              <w:t>Mokslo duomenų saugyklos, įsijungusios į Europos atvirojo mokslo debesį</w:t>
            </w:r>
          </w:p>
        </w:tc>
        <w:tc>
          <w:tcPr>
            <w:tcW w:w="503" w:type="pct"/>
          </w:tcPr>
          <w:p w14:paraId="267DBD30" w14:textId="77777777" w:rsidR="00160126" w:rsidRPr="00B44B19" w:rsidRDefault="00160126" w:rsidP="00160126">
            <w:pPr>
              <w:spacing w:after="0" w:line="240" w:lineRule="auto"/>
              <w:jc w:val="both"/>
              <w:rPr>
                <w:rFonts w:cs="Times New Roman"/>
                <w:sz w:val="16"/>
                <w:szCs w:val="16"/>
              </w:rPr>
            </w:pPr>
            <w:r w:rsidRPr="00B44B19">
              <w:rPr>
                <w:rFonts w:cs="Times New Roman"/>
                <w:sz w:val="16"/>
                <w:szCs w:val="16"/>
              </w:rPr>
              <w:t>Skaičius</w:t>
            </w:r>
          </w:p>
        </w:tc>
        <w:tc>
          <w:tcPr>
            <w:tcW w:w="515" w:type="pct"/>
          </w:tcPr>
          <w:p w14:paraId="40CF9D59" w14:textId="77777777" w:rsidR="00160126" w:rsidRPr="00B44B19" w:rsidDel="00FA222E" w:rsidRDefault="00160126" w:rsidP="00160126">
            <w:pPr>
              <w:spacing w:after="0" w:line="240" w:lineRule="auto"/>
              <w:jc w:val="center"/>
              <w:rPr>
                <w:rFonts w:cs="Times New Roman"/>
                <w:sz w:val="16"/>
                <w:szCs w:val="16"/>
              </w:rPr>
            </w:pPr>
            <w:r w:rsidRPr="00B44B19">
              <w:rPr>
                <w:rFonts w:cs="Times New Roman"/>
                <w:sz w:val="16"/>
                <w:szCs w:val="16"/>
              </w:rPr>
              <w:t>0</w:t>
            </w:r>
          </w:p>
        </w:tc>
        <w:tc>
          <w:tcPr>
            <w:tcW w:w="617" w:type="pct"/>
          </w:tcPr>
          <w:p w14:paraId="77D44109" w14:textId="77777777" w:rsidR="00160126" w:rsidRPr="00B44B19" w:rsidDel="00FA222E" w:rsidRDefault="00160126" w:rsidP="00160126">
            <w:pPr>
              <w:spacing w:after="0" w:line="240" w:lineRule="auto"/>
              <w:jc w:val="center"/>
              <w:rPr>
                <w:rFonts w:cs="Times New Roman"/>
                <w:sz w:val="16"/>
                <w:szCs w:val="16"/>
              </w:rPr>
            </w:pPr>
            <w:r w:rsidRPr="00B44B19">
              <w:rPr>
                <w:rFonts w:cs="Times New Roman"/>
                <w:sz w:val="16"/>
                <w:szCs w:val="16"/>
              </w:rPr>
              <w:t>2</w:t>
            </w:r>
          </w:p>
        </w:tc>
      </w:tr>
      <w:tr w:rsidR="006300AA" w:rsidRPr="00B44B19" w14:paraId="15FC9FBA" w14:textId="77777777" w:rsidTr="00BE32EE">
        <w:trPr>
          <w:trHeight w:val="340"/>
        </w:trPr>
        <w:tc>
          <w:tcPr>
            <w:tcW w:w="490" w:type="pct"/>
            <w:vMerge/>
          </w:tcPr>
          <w:p w14:paraId="4F988BC4" w14:textId="77777777" w:rsidR="006300AA" w:rsidRPr="00B44B19" w:rsidRDefault="006300AA" w:rsidP="006300AA">
            <w:pPr>
              <w:spacing w:after="0" w:line="240" w:lineRule="auto"/>
              <w:jc w:val="both"/>
              <w:rPr>
                <w:rFonts w:cs="Times New Roman"/>
                <w:b/>
                <w:noProof/>
                <w:sz w:val="14"/>
                <w:szCs w:val="14"/>
              </w:rPr>
            </w:pPr>
          </w:p>
        </w:tc>
        <w:tc>
          <w:tcPr>
            <w:tcW w:w="488" w:type="pct"/>
            <w:vMerge/>
          </w:tcPr>
          <w:p w14:paraId="2A36CD66" w14:textId="77777777" w:rsidR="006300AA" w:rsidRPr="00B44B19" w:rsidRDefault="006300AA" w:rsidP="006300AA">
            <w:pPr>
              <w:spacing w:after="0" w:line="240" w:lineRule="auto"/>
              <w:jc w:val="both"/>
              <w:rPr>
                <w:rFonts w:cs="Times New Roman"/>
                <w:b/>
                <w:noProof/>
                <w:sz w:val="14"/>
                <w:szCs w:val="14"/>
              </w:rPr>
            </w:pPr>
          </w:p>
        </w:tc>
        <w:tc>
          <w:tcPr>
            <w:tcW w:w="397" w:type="pct"/>
            <w:vMerge/>
          </w:tcPr>
          <w:p w14:paraId="13728AD0" w14:textId="77777777" w:rsidR="006300AA" w:rsidRPr="00B44B19" w:rsidRDefault="006300AA" w:rsidP="006300AA">
            <w:pPr>
              <w:spacing w:after="0" w:line="240" w:lineRule="auto"/>
              <w:jc w:val="both"/>
              <w:rPr>
                <w:rFonts w:cs="Times New Roman"/>
                <w:b/>
                <w:noProof/>
                <w:sz w:val="14"/>
                <w:szCs w:val="14"/>
              </w:rPr>
            </w:pPr>
          </w:p>
        </w:tc>
        <w:tc>
          <w:tcPr>
            <w:tcW w:w="494" w:type="pct"/>
          </w:tcPr>
          <w:p w14:paraId="2C440F5A" w14:textId="36344AF8" w:rsidR="006300AA" w:rsidRPr="00B44B19" w:rsidRDefault="006300AA" w:rsidP="006300AA">
            <w:pPr>
              <w:spacing w:after="0" w:line="240" w:lineRule="auto"/>
              <w:jc w:val="both"/>
              <w:rPr>
                <w:rFonts w:cs="Times New Roman"/>
                <w:sz w:val="16"/>
                <w:szCs w:val="16"/>
              </w:rPr>
            </w:pPr>
            <w:r w:rsidRPr="00B44B19">
              <w:rPr>
                <w:rFonts w:cs="Times New Roman"/>
                <w:sz w:val="16"/>
                <w:szCs w:val="16"/>
              </w:rPr>
              <w:t>VVL regionas</w:t>
            </w:r>
          </w:p>
        </w:tc>
        <w:tc>
          <w:tcPr>
            <w:tcW w:w="632" w:type="pct"/>
          </w:tcPr>
          <w:p w14:paraId="4A0DB59A" w14:textId="0F2CEAE2" w:rsidR="006300AA" w:rsidRPr="00B44B19" w:rsidRDefault="006300AA" w:rsidP="006300AA">
            <w:pPr>
              <w:spacing w:after="0" w:line="240" w:lineRule="auto"/>
              <w:jc w:val="both"/>
              <w:rPr>
                <w:rFonts w:cs="Times New Roman"/>
                <w:sz w:val="16"/>
                <w:szCs w:val="16"/>
              </w:rPr>
            </w:pPr>
            <w:r w:rsidRPr="00B44B19">
              <w:rPr>
                <w:rFonts w:cs="Times New Roman"/>
                <w:sz w:val="16"/>
                <w:szCs w:val="16"/>
              </w:rPr>
              <w:t>Specialusis</w:t>
            </w:r>
          </w:p>
        </w:tc>
        <w:tc>
          <w:tcPr>
            <w:tcW w:w="864" w:type="pct"/>
          </w:tcPr>
          <w:p w14:paraId="0AFCC0D8" w14:textId="493B8AF6" w:rsidR="006300AA" w:rsidRPr="00B44B19" w:rsidRDefault="006300AA" w:rsidP="006300AA">
            <w:pPr>
              <w:spacing w:after="0" w:line="240" w:lineRule="auto"/>
              <w:rPr>
                <w:rFonts w:cs="Times New Roman"/>
                <w:sz w:val="16"/>
                <w:szCs w:val="16"/>
              </w:rPr>
            </w:pPr>
            <w:r w:rsidRPr="00B44B19">
              <w:rPr>
                <w:rFonts w:cs="Times New Roman"/>
                <w:sz w:val="16"/>
                <w:szCs w:val="16"/>
              </w:rPr>
              <w:t>Mokslo duomenų saugyklos, įsijungusios į Europos atvirojo mokslo debesį</w:t>
            </w:r>
          </w:p>
        </w:tc>
        <w:tc>
          <w:tcPr>
            <w:tcW w:w="503" w:type="pct"/>
          </w:tcPr>
          <w:p w14:paraId="1D7EE787" w14:textId="0C4ED550" w:rsidR="006300AA" w:rsidRPr="00B44B19" w:rsidRDefault="006300AA" w:rsidP="006300AA">
            <w:pPr>
              <w:spacing w:after="0" w:line="240" w:lineRule="auto"/>
              <w:jc w:val="both"/>
              <w:rPr>
                <w:rFonts w:cs="Times New Roman"/>
                <w:sz w:val="16"/>
                <w:szCs w:val="16"/>
              </w:rPr>
            </w:pPr>
            <w:r w:rsidRPr="00B44B19">
              <w:rPr>
                <w:rFonts w:cs="Times New Roman"/>
                <w:sz w:val="16"/>
                <w:szCs w:val="16"/>
              </w:rPr>
              <w:t>Skaičius</w:t>
            </w:r>
          </w:p>
        </w:tc>
        <w:tc>
          <w:tcPr>
            <w:tcW w:w="515" w:type="pct"/>
          </w:tcPr>
          <w:p w14:paraId="2884DD58" w14:textId="475A1EA7" w:rsidR="006300AA" w:rsidRPr="00B44B19" w:rsidRDefault="006300AA" w:rsidP="006300AA">
            <w:pPr>
              <w:spacing w:after="0" w:line="240" w:lineRule="auto"/>
              <w:jc w:val="center"/>
              <w:rPr>
                <w:rFonts w:cs="Times New Roman"/>
                <w:sz w:val="16"/>
                <w:szCs w:val="16"/>
              </w:rPr>
            </w:pPr>
            <w:r w:rsidRPr="00B44B19">
              <w:rPr>
                <w:rFonts w:cs="Times New Roman"/>
                <w:sz w:val="16"/>
                <w:szCs w:val="16"/>
              </w:rPr>
              <w:t>0</w:t>
            </w:r>
          </w:p>
        </w:tc>
        <w:tc>
          <w:tcPr>
            <w:tcW w:w="617" w:type="pct"/>
          </w:tcPr>
          <w:p w14:paraId="0C2C2E65" w14:textId="6756B62C" w:rsidR="006300AA" w:rsidRPr="00B44B19" w:rsidRDefault="006300AA" w:rsidP="006300AA">
            <w:pPr>
              <w:spacing w:after="0" w:line="240" w:lineRule="auto"/>
              <w:jc w:val="center"/>
              <w:rPr>
                <w:rFonts w:cs="Times New Roman"/>
                <w:sz w:val="16"/>
                <w:szCs w:val="16"/>
              </w:rPr>
            </w:pPr>
            <w:r w:rsidRPr="00B44B19">
              <w:rPr>
                <w:rFonts w:cs="Times New Roman"/>
                <w:sz w:val="16"/>
                <w:szCs w:val="16"/>
              </w:rPr>
              <w:t>2</w:t>
            </w:r>
          </w:p>
        </w:tc>
      </w:tr>
      <w:tr w:rsidR="006300AA" w:rsidRPr="00B44B19" w14:paraId="5127017F" w14:textId="77777777" w:rsidTr="00160126">
        <w:trPr>
          <w:trHeight w:val="340"/>
        </w:trPr>
        <w:tc>
          <w:tcPr>
            <w:tcW w:w="490" w:type="pct"/>
            <w:vMerge/>
          </w:tcPr>
          <w:p w14:paraId="58605B04" w14:textId="77777777" w:rsidR="006300AA" w:rsidRPr="00B44B19" w:rsidRDefault="006300AA" w:rsidP="006300AA">
            <w:pPr>
              <w:spacing w:after="0" w:line="240" w:lineRule="auto"/>
              <w:jc w:val="both"/>
              <w:rPr>
                <w:rFonts w:cs="Times New Roman"/>
                <w:b/>
                <w:noProof/>
                <w:sz w:val="14"/>
                <w:szCs w:val="14"/>
              </w:rPr>
            </w:pPr>
          </w:p>
        </w:tc>
        <w:tc>
          <w:tcPr>
            <w:tcW w:w="488" w:type="pct"/>
            <w:vMerge/>
          </w:tcPr>
          <w:p w14:paraId="03907EA0" w14:textId="77777777" w:rsidR="006300AA" w:rsidRPr="00B44B19" w:rsidRDefault="006300AA" w:rsidP="006300AA">
            <w:pPr>
              <w:spacing w:after="0" w:line="240" w:lineRule="auto"/>
              <w:jc w:val="both"/>
              <w:rPr>
                <w:rFonts w:cs="Times New Roman"/>
                <w:b/>
                <w:noProof/>
                <w:sz w:val="14"/>
                <w:szCs w:val="14"/>
              </w:rPr>
            </w:pPr>
          </w:p>
        </w:tc>
        <w:tc>
          <w:tcPr>
            <w:tcW w:w="397" w:type="pct"/>
            <w:vMerge/>
          </w:tcPr>
          <w:p w14:paraId="59566F41" w14:textId="77777777" w:rsidR="006300AA" w:rsidRPr="00B44B19" w:rsidRDefault="006300AA" w:rsidP="006300AA">
            <w:pPr>
              <w:spacing w:after="0" w:line="240" w:lineRule="auto"/>
              <w:jc w:val="both"/>
              <w:rPr>
                <w:rFonts w:cs="Times New Roman"/>
                <w:b/>
                <w:noProof/>
                <w:sz w:val="14"/>
                <w:szCs w:val="14"/>
              </w:rPr>
            </w:pPr>
          </w:p>
        </w:tc>
        <w:tc>
          <w:tcPr>
            <w:tcW w:w="494" w:type="pct"/>
          </w:tcPr>
          <w:p w14:paraId="63F6F41E" w14:textId="094E88F0" w:rsidR="006300AA" w:rsidRPr="00B44B19" w:rsidRDefault="006300AA" w:rsidP="006300AA">
            <w:pPr>
              <w:spacing w:after="0" w:line="240" w:lineRule="auto"/>
              <w:jc w:val="both"/>
              <w:rPr>
                <w:rFonts w:cs="Times New Roman"/>
                <w:sz w:val="16"/>
                <w:szCs w:val="16"/>
              </w:rPr>
            </w:pPr>
            <w:r w:rsidRPr="00B44B19">
              <w:rPr>
                <w:rFonts w:cs="Times New Roman"/>
                <w:sz w:val="16"/>
                <w:szCs w:val="16"/>
              </w:rPr>
              <w:t>VVL regionas</w:t>
            </w:r>
          </w:p>
        </w:tc>
        <w:tc>
          <w:tcPr>
            <w:tcW w:w="632" w:type="pct"/>
          </w:tcPr>
          <w:p w14:paraId="14000522" w14:textId="24E81357" w:rsidR="006300AA" w:rsidRPr="00B44B19" w:rsidRDefault="006300AA" w:rsidP="006300AA">
            <w:pPr>
              <w:spacing w:after="0" w:line="240" w:lineRule="auto"/>
              <w:jc w:val="both"/>
              <w:rPr>
                <w:rFonts w:cs="Times New Roman"/>
                <w:sz w:val="16"/>
                <w:szCs w:val="16"/>
              </w:rPr>
            </w:pPr>
            <w:r w:rsidRPr="00B44B19">
              <w:rPr>
                <w:rFonts w:cs="Times New Roman"/>
                <w:sz w:val="16"/>
                <w:szCs w:val="16"/>
              </w:rPr>
              <w:t>Specialusis</w:t>
            </w:r>
          </w:p>
        </w:tc>
        <w:tc>
          <w:tcPr>
            <w:tcW w:w="864" w:type="pct"/>
          </w:tcPr>
          <w:p w14:paraId="5FD1A1D9" w14:textId="763AB443" w:rsidR="006300AA" w:rsidRPr="00B44B19" w:rsidRDefault="006300AA" w:rsidP="006300AA">
            <w:pPr>
              <w:spacing w:after="0" w:line="240" w:lineRule="auto"/>
              <w:rPr>
                <w:rFonts w:cs="Times New Roman"/>
                <w:sz w:val="16"/>
                <w:szCs w:val="16"/>
              </w:rPr>
            </w:pPr>
            <w:r w:rsidRPr="00B44B19">
              <w:rPr>
                <w:rFonts w:cs="Times New Roman"/>
                <w:sz w:val="16"/>
                <w:szCs w:val="16"/>
              </w:rPr>
              <w:t>Sukurti dirbtinio intelekto produktai ir (arba) sprendimai pagal atitinkamos stadijos rezultatą</w:t>
            </w:r>
          </w:p>
        </w:tc>
        <w:tc>
          <w:tcPr>
            <w:tcW w:w="503" w:type="pct"/>
          </w:tcPr>
          <w:p w14:paraId="083ADA07" w14:textId="45226F5E" w:rsidR="006300AA" w:rsidRPr="00B44B19" w:rsidRDefault="006300AA" w:rsidP="006300AA">
            <w:pPr>
              <w:spacing w:after="0" w:line="240" w:lineRule="auto"/>
              <w:jc w:val="both"/>
              <w:rPr>
                <w:rFonts w:cs="Times New Roman"/>
                <w:sz w:val="16"/>
                <w:szCs w:val="16"/>
              </w:rPr>
            </w:pPr>
            <w:r w:rsidRPr="00B44B19">
              <w:rPr>
                <w:rFonts w:cs="Times New Roman"/>
                <w:sz w:val="16"/>
                <w:szCs w:val="16"/>
              </w:rPr>
              <w:t>Skaičius</w:t>
            </w:r>
          </w:p>
        </w:tc>
        <w:tc>
          <w:tcPr>
            <w:tcW w:w="515" w:type="pct"/>
          </w:tcPr>
          <w:p w14:paraId="54CAEA00" w14:textId="55173AE5" w:rsidR="006300AA" w:rsidRPr="00B44B19" w:rsidDel="00FA222E" w:rsidRDefault="006300AA" w:rsidP="006300AA">
            <w:pPr>
              <w:spacing w:after="0" w:line="240" w:lineRule="auto"/>
              <w:jc w:val="center"/>
              <w:rPr>
                <w:rFonts w:cs="Times New Roman"/>
                <w:sz w:val="16"/>
                <w:szCs w:val="16"/>
              </w:rPr>
            </w:pPr>
            <w:r w:rsidRPr="00B44B19">
              <w:rPr>
                <w:rFonts w:cs="Times New Roman"/>
                <w:sz w:val="16"/>
                <w:szCs w:val="16"/>
              </w:rPr>
              <w:t>0</w:t>
            </w:r>
          </w:p>
        </w:tc>
        <w:tc>
          <w:tcPr>
            <w:tcW w:w="617" w:type="pct"/>
          </w:tcPr>
          <w:p w14:paraId="077FE954" w14:textId="773B438C" w:rsidR="006300AA" w:rsidRPr="00B44B19" w:rsidDel="00FA222E" w:rsidRDefault="006300AA" w:rsidP="006300AA">
            <w:pPr>
              <w:spacing w:after="0" w:line="240" w:lineRule="auto"/>
              <w:jc w:val="center"/>
              <w:rPr>
                <w:rFonts w:cs="Times New Roman"/>
                <w:sz w:val="16"/>
                <w:szCs w:val="16"/>
              </w:rPr>
            </w:pPr>
            <w:r w:rsidRPr="00B44B19">
              <w:rPr>
                <w:rFonts w:cs="Times New Roman"/>
                <w:sz w:val="16"/>
                <w:szCs w:val="16"/>
                <w:lang w:val="en-US"/>
              </w:rPr>
              <w:t>93</w:t>
            </w:r>
          </w:p>
        </w:tc>
      </w:tr>
    </w:tbl>
    <w:p w14:paraId="7749E34B" w14:textId="77777777" w:rsidR="002A105E" w:rsidRPr="00B44B19" w:rsidRDefault="002A105E" w:rsidP="00306CD6">
      <w:pPr>
        <w:spacing w:before="120" w:after="0" w:line="240" w:lineRule="auto"/>
        <w:jc w:val="both"/>
        <w:rPr>
          <w:rFonts w:cs="Times New Roman"/>
          <w:b/>
          <w:noProof/>
          <w:sz w:val="20"/>
        </w:rPr>
        <w:sectPr w:rsidR="002A105E" w:rsidRPr="00B44B19" w:rsidSect="00931C78">
          <w:pgSz w:w="11906" w:h="16838"/>
          <w:pgMar w:top="1276" w:right="567" w:bottom="1134" w:left="1701" w:header="567" w:footer="567" w:gutter="0"/>
          <w:cols w:space="1296"/>
          <w:docGrid w:linePitch="360"/>
        </w:sectPr>
      </w:pPr>
    </w:p>
    <w:p w14:paraId="68A1B8A4" w14:textId="77777777" w:rsidR="00306CD6" w:rsidRPr="00B44B19" w:rsidRDefault="00306CD6" w:rsidP="00306CD6">
      <w:pPr>
        <w:spacing w:before="120" w:after="0" w:line="240" w:lineRule="auto"/>
        <w:jc w:val="both"/>
        <w:rPr>
          <w:rFonts w:eastAsia="Times New Roman" w:cs="Times New Roman"/>
          <w:b/>
          <w:iCs/>
          <w:noProof/>
          <w:szCs w:val="24"/>
          <w:lang w:eastAsia="lt-LT" w:bidi="lt-LT"/>
        </w:rPr>
      </w:pPr>
      <w:r w:rsidRPr="00B44B19">
        <w:rPr>
          <w:rFonts w:cs="Times New Roman"/>
          <w:b/>
          <w:noProof/>
          <w:sz w:val="20"/>
        </w:rPr>
        <w:lastRenderedPageBreak/>
        <w:t>3 lentelė. 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033"/>
        <w:gridCol w:w="850"/>
        <w:gridCol w:w="992"/>
        <w:gridCol w:w="1276"/>
        <w:gridCol w:w="2693"/>
        <w:gridCol w:w="993"/>
        <w:gridCol w:w="992"/>
        <w:gridCol w:w="1134"/>
        <w:gridCol w:w="992"/>
        <w:gridCol w:w="1418"/>
        <w:gridCol w:w="850"/>
      </w:tblGrid>
      <w:tr w:rsidR="00116C5C" w:rsidRPr="00B44B19" w14:paraId="13B9E05E" w14:textId="77777777" w:rsidTr="00966138">
        <w:trPr>
          <w:trHeight w:val="1029"/>
          <w:tblHeader/>
        </w:trPr>
        <w:tc>
          <w:tcPr>
            <w:tcW w:w="12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356A49"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Prioritetas</w:t>
            </w:r>
          </w:p>
        </w:tc>
        <w:tc>
          <w:tcPr>
            <w:tcW w:w="10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3B2BEA"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108F17"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Fondas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4E5274"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BDF19A"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26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EA6308"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Rodiklis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E60BB0"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5B3A59"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DA593F"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9EBBE6"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Siek</w:t>
            </w:r>
            <w:r w:rsidR="00D16129" w:rsidRPr="00B44B19">
              <w:rPr>
                <w:rFonts w:cs="Times New Roman"/>
                <w:b/>
                <w:noProof/>
                <w:sz w:val="16"/>
                <w:szCs w:val="16"/>
              </w:rPr>
              <w:t>tina reikšmė</w:t>
            </w:r>
            <w:r w:rsidRPr="00B44B19">
              <w:rPr>
                <w:rFonts w:cs="Times New Roman"/>
                <w:b/>
                <w:noProof/>
                <w:sz w:val="16"/>
                <w:szCs w:val="16"/>
              </w:rPr>
              <w:t xml:space="preserve"> (2029 m.)</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9B43B1" w14:textId="77777777" w:rsidR="00116C5C" w:rsidRPr="00B44B19" w:rsidRDefault="00116C5C" w:rsidP="00116C5C">
            <w:pPr>
              <w:spacing w:after="0" w:line="240" w:lineRule="auto"/>
              <w:jc w:val="center"/>
              <w:rPr>
                <w:rFonts w:cs="Times New Roman"/>
                <w:b/>
                <w:noProof/>
                <w:sz w:val="16"/>
                <w:szCs w:val="16"/>
              </w:rPr>
            </w:pPr>
            <w:r w:rsidRPr="00B44B19">
              <w:rPr>
                <w:rFonts w:cs="Times New Roman"/>
                <w:b/>
                <w:noProof/>
                <w:sz w:val="16"/>
                <w:szCs w:val="16"/>
              </w:rPr>
              <w:t xml:space="preserve">Duomenų šaltinis </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80AEAC" w14:textId="77777777" w:rsidR="00116C5C" w:rsidRPr="00B44B19" w:rsidRDefault="00116C5C" w:rsidP="00116C5C">
            <w:pPr>
              <w:tabs>
                <w:tab w:val="left" w:pos="394"/>
              </w:tabs>
              <w:spacing w:after="0" w:line="240" w:lineRule="auto"/>
              <w:jc w:val="center"/>
              <w:rPr>
                <w:rFonts w:cs="Times New Roman"/>
                <w:b/>
                <w:noProof/>
                <w:sz w:val="16"/>
                <w:szCs w:val="16"/>
              </w:rPr>
            </w:pPr>
            <w:r w:rsidRPr="00B44B19">
              <w:rPr>
                <w:rFonts w:cs="Times New Roman"/>
                <w:b/>
                <w:noProof/>
                <w:sz w:val="16"/>
                <w:szCs w:val="16"/>
              </w:rPr>
              <w:t>Pastabos</w:t>
            </w:r>
          </w:p>
        </w:tc>
      </w:tr>
      <w:tr w:rsidR="006D020B" w:rsidRPr="00B44B19" w14:paraId="4D1B7F62" w14:textId="77777777" w:rsidTr="00966138">
        <w:trPr>
          <w:trHeight w:val="548"/>
        </w:trPr>
        <w:tc>
          <w:tcPr>
            <w:tcW w:w="1202" w:type="dxa"/>
            <w:vMerge w:val="restart"/>
            <w:tcBorders>
              <w:top w:val="single" w:sz="12" w:space="0" w:color="auto"/>
            </w:tcBorders>
          </w:tcPr>
          <w:p w14:paraId="5CE12E91" w14:textId="77777777" w:rsidR="006D020B" w:rsidRPr="00B44B19" w:rsidRDefault="006D020B" w:rsidP="006D020B">
            <w:pPr>
              <w:spacing w:before="100" w:beforeAutospacing="1" w:after="100" w:afterAutospacing="1" w:line="240" w:lineRule="auto"/>
              <w:jc w:val="both"/>
              <w:rPr>
                <w:rFonts w:cs="Times New Roman"/>
                <w:noProof/>
                <w:sz w:val="16"/>
                <w:szCs w:val="16"/>
              </w:rPr>
            </w:pPr>
            <w:r w:rsidRPr="00B44B19">
              <w:rPr>
                <w:rFonts w:cs="Times New Roman"/>
                <w:noProof/>
                <w:sz w:val="16"/>
                <w:szCs w:val="16"/>
              </w:rPr>
              <w:t>1. Pažangesnė Lietuva</w:t>
            </w:r>
          </w:p>
        </w:tc>
        <w:tc>
          <w:tcPr>
            <w:tcW w:w="1033" w:type="dxa"/>
            <w:vMerge w:val="restart"/>
            <w:tcBorders>
              <w:top w:val="single" w:sz="12" w:space="0" w:color="auto"/>
            </w:tcBorders>
          </w:tcPr>
          <w:p w14:paraId="45C46843" w14:textId="77777777" w:rsidR="006D020B" w:rsidRPr="00B44B19" w:rsidRDefault="006D020B" w:rsidP="006D020B">
            <w:pPr>
              <w:spacing w:before="100" w:beforeAutospacing="1" w:after="100" w:afterAutospacing="1" w:line="240" w:lineRule="auto"/>
              <w:jc w:val="center"/>
              <w:rPr>
                <w:rFonts w:cs="Times New Roman"/>
                <w:noProof/>
                <w:sz w:val="16"/>
                <w:szCs w:val="16"/>
              </w:rPr>
            </w:pPr>
            <w:r w:rsidRPr="00B44B19">
              <w:rPr>
                <w:rFonts w:cs="Times New Roman"/>
                <w:noProof/>
                <w:sz w:val="16"/>
                <w:szCs w:val="16"/>
              </w:rPr>
              <w:t>1.2</w:t>
            </w:r>
          </w:p>
        </w:tc>
        <w:tc>
          <w:tcPr>
            <w:tcW w:w="850" w:type="dxa"/>
            <w:vMerge w:val="restart"/>
            <w:tcBorders>
              <w:top w:val="single" w:sz="12" w:space="0" w:color="auto"/>
            </w:tcBorders>
          </w:tcPr>
          <w:p w14:paraId="1AE0A849" w14:textId="77777777" w:rsidR="006D020B" w:rsidRPr="00B44B19" w:rsidRDefault="006D020B" w:rsidP="006D020B">
            <w:pPr>
              <w:spacing w:before="100" w:beforeAutospacing="1" w:after="100" w:afterAutospacing="1" w:line="240" w:lineRule="auto"/>
              <w:jc w:val="center"/>
              <w:rPr>
                <w:rFonts w:cs="Times New Roman"/>
                <w:sz w:val="16"/>
                <w:szCs w:val="16"/>
              </w:rPr>
            </w:pPr>
            <w:r w:rsidRPr="00B44B19">
              <w:rPr>
                <w:rFonts w:cs="Times New Roman"/>
                <w:sz w:val="16"/>
                <w:szCs w:val="16"/>
              </w:rPr>
              <w:t>ERPF</w:t>
            </w:r>
          </w:p>
        </w:tc>
        <w:tc>
          <w:tcPr>
            <w:tcW w:w="992" w:type="dxa"/>
            <w:tcBorders>
              <w:top w:val="single" w:sz="12" w:space="0" w:color="auto"/>
              <w:bottom w:val="single" w:sz="4" w:space="0" w:color="auto"/>
            </w:tcBorders>
          </w:tcPr>
          <w:p w14:paraId="37A4B91C" w14:textId="3888A05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Sostinės regionas</w:t>
            </w:r>
          </w:p>
        </w:tc>
        <w:tc>
          <w:tcPr>
            <w:tcW w:w="1276" w:type="dxa"/>
            <w:tcBorders>
              <w:top w:val="single" w:sz="12" w:space="0" w:color="auto"/>
              <w:bottom w:val="single" w:sz="4" w:space="0" w:color="auto"/>
            </w:tcBorders>
          </w:tcPr>
          <w:p w14:paraId="455E30AD" w14:textId="6C7BEB3E"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Specialusis</w:t>
            </w:r>
          </w:p>
        </w:tc>
        <w:tc>
          <w:tcPr>
            <w:tcW w:w="2693" w:type="dxa"/>
            <w:tcBorders>
              <w:top w:val="single" w:sz="12" w:space="0" w:color="auto"/>
              <w:bottom w:val="single" w:sz="4" w:space="0" w:color="auto"/>
            </w:tcBorders>
          </w:tcPr>
          <w:p w14:paraId="497E3DF4" w14:textId="68FC87DB"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Inovacijų paramos paslaugas</w:t>
            </w:r>
            <w:r w:rsidRPr="00B44B19">
              <w:rPr>
                <w:rFonts w:cs="Times New Roman"/>
                <w:sz w:val="16"/>
                <w:szCs w:val="16"/>
                <w:lang w:eastAsia="lt-LT" w:bidi="ml-IN"/>
              </w:rPr>
              <w:br/>
              <w:t>gavusios ir (ar) konsultuotos</w:t>
            </w:r>
            <w:r w:rsidRPr="00B44B19">
              <w:rPr>
                <w:rFonts w:cs="Times New Roman"/>
                <w:sz w:val="16"/>
                <w:szCs w:val="16"/>
                <w:lang w:eastAsia="lt-LT" w:bidi="ml-IN"/>
              </w:rPr>
              <w:br/>
              <w:t>įmonės, sukūrusios inovacijas dirbtinio intelekto srityje</w:t>
            </w:r>
          </w:p>
        </w:tc>
        <w:tc>
          <w:tcPr>
            <w:tcW w:w="993" w:type="dxa"/>
            <w:tcBorders>
              <w:top w:val="single" w:sz="12" w:space="0" w:color="auto"/>
              <w:bottom w:val="single" w:sz="4" w:space="0" w:color="auto"/>
            </w:tcBorders>
          </w:tcPr>
          <w:p w14:paraId="0B1BA311" w14:textId="3AF4D0C6"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Borders>
              <w:top w:val="single" w:sz="12" w:space="0" w:color="auto"/>
              <w:bottom w:val="single" w:sz="4" w:space="0" w:color="auto"/>
            </w:tcBorders>
          </w:tcPr>
          <w:p w14:paraId="3E4B8C75" w14:textId="5CFA0B34"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12" w:space="0" w:color="auto"/>
              <w:bottom w:val="single" w:sz="4" w:space="0" w:color="auto"/>
            </w:tcBorders>
          </w:tcPr>
          <w:p w14:paraId="735830B4" w14:textId="7F8CAA78"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2024</w:t>
            </w:r>
          </w:p>
        </w:tc>
        <w:tc>
          <w:tcPr>
            <w:tcW w:w="992" w:type="dxa"/>
            <w:tcBorders>
              <w:top w:val="single" w:sz="12" w:space="0" w:color="auto"/>
              <w:bottom w:val="single" w:sz="4" w:space="0" w:color="auto"/>
            </w:tcBorders>
          </w:tcPr>
          <w:p w14:paraId="19515F2E" w14:textId="5274C2F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14</w:t>
            </w:r>
          </w:p>
        </w:tc>
        <w:tc>
          <w:tcPr>
            <w:tcW w:w="1418" w:type="dxa"/>
            <w:tcBorders>
              <w:top w:val="single" w:sz="12" w:space="0" w:color="auto"/>
              <w:bottom w:val="single" w:sz="4" w:space="0" w:color="auto"/>
            </w:tcBorders>
          </w:tcPr>
          <w:p w14:paraId="61BD2FDD" w14:textId="646863DB"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12" w:space="0" w:color="auto"/>
              <w:bottom w:val="single" w:sz="4" w:space="0" w:color="auto"/>
            </w:tcBorders>
          </w:tcPr>
          <w:p w14:paraId="31E22E6B"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3B30DCD7" w14:textId="77777777" w:rsidTr="00966138">
        <w:trPr>
          <w:trHeight w:val="548"/>
        </w:trPr>
        <w:tc>
          <w:tcPr>
            <w:tcW w:w="1202" w:type="dxa"/>
            <w:vMerge/>
            <w:tcBorders>
              <w:top w:val="single" w:sz="12" w:space="0" w:color="auto"/>
            </w:tcBorders>
          </w:tcPr>
          <w:p w14:paraId="1A7C17F6"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25B003D2"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6C8F65C1"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543F8E7B" w14:textId="7E39FA2A"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VVL</w:t>
            </w:r>
            <w:r w:rsidRPr="00B44B19">
              <w:rPr>
                <w:rFonts w:cs="Times New Roman"/>
                <w:sz w:val="16"/>
                <w:szCs w:val="16"/>
              </w:rPr>
              <w:t xml:space="preserve"> regionas</w:t>
            </w:r>
          </w:p>
        </w:tc>
        <w:tc>
          <w:tcPr>
            <w:tcW w:w="1276" w:type="dxa"/>
            <w:tcBorders>
              <w:top w:val="single" w:sz="12" w:space="0" w:color="auto"/>
              <w:bottom w:val="single" w:sz="4" w:space="0" w:color="auto"/>
            </w:tcBorders>
          </w:tcPr>
          <w:p w14:paraId="2549D7C8" w14:textId="113F0C14"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Specialusis</w:t>
            </w:r>
          </w:p>
        </w:tc>
        <w:tc>
          <w:tcPr>
            <w:tcW w:w="2693" w:type="dxa"/>
            <w:tcBorders>
              <w:top w:val="single" w:sz="12" w:space="0" w:color="auto"/>
              <w:bottom w:val="single" w:sz="4" w:space="0" w:color="auto"/>
            </w:tcBorders>
          </w:tcPr>
          <w:p w14:paraId="1CE7D7FE" w14:textId="3ABF279E"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Inovacijų paramos paslaugas</w:t>
            </w:r>
            <w:r w:rsidRPr="00B44B19">
              <w:rPr>
                <w:rFonts w:cs="Times New Roman"/>
                <w:sz w:val="16"/>
                <w:szCs w:val="16"/>
                <w:lang w:eastAsia="lt-LT" w:bidi="ml-IN"/>
              </w:rPr>
              <w:br/>
              <w:t>gavusios ir (ar) konsultuotos</w:t>
            </w:r>
            <w:r w:rsidRPr="00B44B19">
              <w:rPr>
                <w:rFonts w:cs="Times New Roman"/>
                <w:sz w:val="16"/>
                <w:szCs w:val="16"/>
                <w:lang w:eastAsia="lt-LT" w:bidi="ml-IN"/>
              </w:rPr>
              <w:br/>
              <w:t>įmonės, sukūrusios inovacijas dirbtinio intelekto srityje</w:t>
            </w:r>
          </w:p>
        </w:tc>
        <w:tc>
          <w:tcPr>
            <w:tcW w:w="993" w:type="dxa"/>
            <w:tcBorders>
              <w:top w:val="single" w:sz="12" w:space="0" w:color="auto"/>
              <w:bottom w:val="single" w:sz="4" w:space="0" w:color="auto"/>
            </w:tcBorders>
          </w:tcPr>
          <w:p w14:paraId="0555F7EE" w14:textId="525FB5C2"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Borders>
              <w:top w:val="single" w:sz="12" w:space="0" w:color="auto"/>
              <w:bottom w:val="single" w:sz="4" w:space="0" w:color="auto"/>
            </w:tcBorders>
          </w:tcPr>
          <w:p w14:paraId="4E1511F8" w14:textId="3CCCB9C1"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12" w:space="0" w:color="auto"/>
              <w:bottom w:val="single" w:sz="4" w:space="0" w:color="auto"/>
            </w:tcBorders>
          </w:tcPr>
          <w:p w14:paraId="195F2CE4" w14:textId="14FEF8A2" w:rsidR="006D020B" w:rsidRPr="00B44B19" w:rsidRDefault="006D020B" w:rsidP="006D020B">
            <w:pPr>
              <w:spacing w:after="0" w:line="240" w:lineRule="auto"/>
              <w:jc w:val="center"/>
              <w:rPr>
                <w:rFonts w:cs="Times New Roman"/>
                <w:noProof/>
                <w:sz w:val="16"/>
                <w:szCs w:val="16"/>
                <w:lang w:val="en-GB"/>
              </w:rPr>
            </w:pPr>
            <w:r w:rsidRPr="00B44B19">
              <w:rPr>
                <w:rFonts w:cs="Times New Roman"/>
                <w:noProof/>
                <w:sz w:val="16"/>
                <w:szCs w:val="16"/>
              </w:rPr>
              <w:t>2024</w:t>
            </w:r>
          </w:p>
        </w:tc>
        <w:tc>
          <w:tcPr>
            <w:tcW w:w="992" w:type="dxa"/>
            <w:tcBorders>
              <w:top w:val="single" w:sz="12" w:space="0" w:color="auto"/>
              <w:bottom w:val="single" w:sz="4" w:space="0" w:color="auto"/>
            </w:tcBorders>
          </w:tcPr>
          <w:p w14:paraId="7349D97A" w14:textId="14951853"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14</w:t>
            </w:r>
          </w:p>
        </w:tc>
        <w:tc>
          <w:tcPr>
            <w:tcW w:w="1418" w:type="dxa"/>
            <w:tcBorders>
              <w:top w:val="single" w:sz="12" w:space="0" w:color="auto"/>
              <w:bottom w:val="single" w:sz="4" w:space="0" w:color="auto"/>
            </w:tcBorders>
          </w:tcPr>
          <w:p w14:paraId="7329156D" w14:textId="36D2E7D8"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12" w:space="0" w:color="auto"/>
              <w:bottom w:val="single" w:sz="4" w:space="0" w:color="auto"/>
            </w:tcBorders>
          </w:tcPr>
          <w:p w14:paraId="0A27FD66"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76519367" w14:textId="77777777" w:rsidTr="00966138">
        <w:trPr>
          <w:trHeight w:val="548"/>
        </w:trPr>
        <w:tc>
          <w:tcPr>
            <w:tcW w:w="1202" w:type="dxa"/>
            <w:vMerge/>
            <w:tcBorders>
              <w:top w:val="single" w:sz="12" w:space="0" w:color="auto"/>
            </w:tcBorders>
          </w:tcPr>
          <w:p w14:paraId="256B2B68"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1B6D04F5"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4063EC1E"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54660ED1" w14:textId="54150C14"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Sostinės regionas</w:t>
            </w:r>
          </w:p>
        </w:tc>
        <w:tc>
          <w:tcPr>
            <w:tcW w:w="1276" w:type="dxa"/>
            <w:tcBorders>
              <w:top w:val="single" w:sz="12" w:space="0" w:color="auto"/>
              <w:bottom w:val="single" w:sz="4" w:space="0" w:color="auto"/>
            </w:tcBorders>
          </w:tcPr>
          <w:p w14:paraId="6A53528C" w14:textId="467D4776"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RCR0</w:t>
            </w:r>
            <w:r w:rsidRPr="00B44B19">
              <w:rPr>
                <w:rFonts w:cs="Times New Roman"/>
                <w:noProof/>
                <w:sz w:val="16"/>
                <w:szCs w:val="16"/>
                <w:lang w:val="en-US"/>
              </w:rPr>
              <w:t>2</w:t>
            </w:r>
          </w:p>
        </w:tc>
        <w:tc>
          <w:tcPr>
            <w:tcW w:w="2693" w:type="dxa"/>
            <w:tcBorders>
              <w:top w:val="single" w:sz="12" w:space="0" w:color="auto"/>
              <w:bottom w:val="single" w:sz="4" w:space="0" w:color="auto"/>
            </w:tcBorders>
          </w:tcPr>
          <w:p w14:paraId="1992B0E9" w14:textId="4F2B5ECC"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Privačios investicijos, papildančios viešąją paramą, iš kurių, dotacijos, finansinės priemonės</w:t>
            </w:r>
          </w:p>
        </w:tc>
        <w:tc>
          <w:tcPr>
            <w:tcW w:w="993" w:type="dxa"/>
            <w:tcBorders>
              <w:top w:val="single" w:sz="12" w:space="0" w:color="auto"/>
              <w:bottom w:val="single" w:sz="4" w:space="0" w:color="auto"/>
            </w:tcBorders>
          </w:tcPr>
          <w:p w14:paraId="2B998B46" w14:textId="4DE08549"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Eur</w:t>
            </w:r>
          </w:p>
        </w:tc>
        <w:tc>
          <w:tcPr>
            <w:tcW w:w="992" w:type="dxa"/>
            <w:tcBorders>
              <w:top w:val="single" w:sz="12" w:space="0" w:color="auto"/>
              <w:bottom w:val="single" w:sz="4" w:space="0" w:color="auto"/>
            </w:tcBorders>
          </w:tcPr>
          <w:p w14:paraId="3C80D1D9" w14:textId="39661ECE"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12" w:space="0" w:color="auto"/>
              <w:bottom w:val="single" w:sz="4" w:space="0" w:color="auto"/>
            </w:tcBorders>
          </w:tcPr>
          <w:p w14:paraId="34FF4E5F" w14:textId="1DB8A426" w:rsidR="006D020B" w:rsidRPr="00B44B19" w:rsidRDefault="006D020B" w:rsidP="006D020B">
            <w:pPr>
              <w:spacing w:after="0" w:line="240" w:lineRule="auto"/>
              <w:jc w:val="center"/>
              <w:rPr>
                <w:rFonts w:cs="Times New Roman"/>
                <w:noProof/>
                <w:sz w:val="16"/>
                <w:szCs w:val="16"/>
                <w:lang w:val="en-GB"/>
              </w:rPr>
            </w:pPr>
            <w:r w:rsidRPr="00B44B19">
              <w:rPr>
                <w:rFonts w:cs="Times New Roman"/>
                <w:noProof/>
                <w:sz w:val="16"/>
                <w:szCs w:val="16"/>
                <w:lang w:val="en-GB"/>
              </w:rPr>
              <w:t>2024</w:t>
            </w:r>
          </w:p>
        </w:tc>
        <w:tc>
          <w:tcPr>
            <w:tcW w:w="992" w:type="dxa"/>
            <w:tcBorders>
              <w:top w:val="single" w:sz="12" w:space="0" w:color="auto"/>
              <w:bottom w:val="single" w:sz="4" w:space="0" w:color="auto"/>
            </w:tcBorders>
          </w:tcPr>
          <w:p w14:paraId="416E5280" w14:textId="4F7DFB14"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2 500 000</w:t>
            </w:r>
          </w:p>
        </w:tc>
        <w:tc>
          <w:tcPr>
            <w:tcW w:w="1418" w:type="dxa"/>
            <w:tcBorders>
              <w:top w:val="single" w:sz="12" w:space="0" w:color="auto"/>
              <w:bottom w:val="single" w:sz="4" w:space="0" w:color="auto"/>
            </w:tcBorders>
          </w:tcPr>
          <w:p w14:paraId="405FD6FC" w14:textId="2F160DBA"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12" w:space="0" w:color="auto"/>
              <w:bottom w:val="single" w:sz="4" w:space="0" w:color="auto"/>
            </w:tcBorders>
          </w:tcPr>
          <w:p w14:paraId="37C75D43"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71A62FEB" w14:textId="77777777" w:rsidTr="00966138">
        <w:trPr>
          <w:trHeight w:val="548"/>
        </w:trPr>
        <w:tc>
          <w:tcPr>
            <w:tcW w:w="1202" w:type="dxa"/>
            <w:vMerge/>
            <w:tcBorders>
              <w:top w:val="single" w:sz="12" w:space="0" w:color="auto"/>
            </w:tcBorders>
          </w:tcPr>
          <w:p w14:paraId="0DB6C8F0"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38474DDE"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22831DB5"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1B177D5A" w14:textId="7C195BC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VVL</w:t>
            </w:r>
            <w:r w:rsidRPr="00B44B19">
              <w:rPr>
                <w:rFonts w:cs="Times New Roman"/>
                <w:sz w:val="16"/>
                <w:szCs w:val="16"/>
              </w:rPr>
              <w:t xml:space="preserve"> regionas</w:t>
            </w:r>
          </w:p>
        </w:tc>
        <w:tc>
          <w:tcPr>
            <w:tcW w:w="1276" w:type="dxa"/>
            <w:tcBorders>
              <w:top w:val="single" w:sz="12" w:space="0" w:color="auto"/>
              <w:bottom w:val="single" w:sz="4" w:space="0" w:color="auto"/>
            </w:tcBorders>
          </w:tcPr>
          <w:p w14:paraId="6F309BF1" w14:textId="73E2DEDF"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RCR02</w:t>
            </w:r>
          </w:p>
        </w:tc>
        <w:tc>
          <w:tcPr>
            <w:tcW w:w="2693" w:type="dxa"/>
            <w:tcBorders>
              <w:top w:val="single" w:sz="12" w:space="0" w:color="auto"/>
              <w:bottom w:val="single" w:sz="4" w:space="0" w:color="auto"/>
            </w:tcBorders>
          </w:tcPr>
          <w:p w14:paraId="36DB59DF" w14:textId="618CFB55"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Privačios investicijos, papildančios viešąją paramą, iš kurių, dotacijos, finansinės priemonės</w:t>
            </w:r>
          </w:p>
        </w:tc>
        <w:tc>
          <w:tcPr>
            <w:tcW w:w="993" w:type="dxa"/>
            <w:tcBorders>
              <w:top w:val="single" w:sz="12" w:space="0" w:color="auto"/>
              <w:bottom w:val="single" w:sz="4" w:space="0" w:color="auto"/>
            </w:tcBorders>
          </w:tcPr>
          <w:p w14:paraId="18139A74" w14:textId="7892E27D"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Eur</w:t>
            </w:r>
          </w:p>
        </w:tc>
        <w:tc>
          <w:tcPr>
            <w:tcW w:w="992" w:type="dxa"/>
            <w:tcBorders>
              <w:top w:val="single" w:sz="12" w:space="0" w:color="auto"/>
              <w:bottom w:val="single" w:sz="4" w:space="0" w:color="auto"/>
            </w:tcBorders>
          </w:tcPr>
          <w:p w14:paraId="431910D5" w14:textId="3607C3DB"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12" w:space="0" w:color="auto"/>
              <w:bottom w:val="single" w:sz="4" w:space="0" w:color="auto"/>
            </w:tcBorders>
          </w:tcPr>
          <w:p w14:paraId="33A79A2A" w14:textId="62F17881" w:rsidR="006D020B" w:rsidRPr="00B44B19" w:rsidRDefault="006D020B" w:rsidP="006D020B">
            <w:pPr>
              <w:spacing w:after="0" w:line="240" w:lineRule="auto"/>
              <w:jc w:val="center"/>
              <w:rPr>
                <w:rFonts w:cs="Times New Roman"/>
                <w:noProof/>
                <w:sz w:val="16"/>
                <w:szCs w:val="16"/>
                <w:lang w:val="en-GB"/>
              </w:rPr>
            </w:pPr>
            <w:r w:rsidRPr="00B44B19">
              <w:rPr>
                <w:rFonts w:cs="Times New Roman"/>
                <w:noProof/>
                <w:sz w:val="16"/>
                <w:szCs w:val="16"/>
              </w:rPr>
              <w:t>2024</w:t>
            </w:r>
          </w:p>
        </w:tc>
        <w:tc>
          <w:tcPr>
            <w:tcW w:w="992" w:type="dxa"/>
            <w:tcBorders>
              <w:top w:val="single" w:sz="12" w:space="0" w:color="auto"/>
              <w:bottom w:val="single" w:sz="4" w:space="0" w:color="auto"/>
            </w:tcBorders>
          </w:tcPr>
          <w:p w14:paraId="3FD20E7B" w14:textId="64A8E5CC"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7 647 059</w:t>
            </w:r>
          </w:p>
        </w:tc>
        <w:tc>
          <w:tcPr>
            <w:tcW w:w="1418" w:type="dxa"/>
            <w:tcBorders>
              <w:top w:val="single" w:sz="12" w:space="0" w:color="auto"/>
              <w:bottom w:val="single" w:sz="4" w:space="0" w:color="auto"/>
            </w:tcBorders>
          </w:tcPr>
          <w:p w14:paraId="78825AA0" w14:textId="3E84A365"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12" w:space="0" w:color="auto"/>
              <w:bottom w:val="single" w:sz="4" w:space="0" w:color="auto"/>
            </w:tcBorders>
          </w:tcPr>
          <w:p w14:paraId="3BDB9314"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5500C39F" w14:textId="77777777" w:rsidTr="00966138">
        <w:trPr>
          <w:trHeight w:val="548"/>
        </w:trPr>
        <w:tc>
          <w:tcPr>
            <w:tcW w:w="1202" w:type="dxa"/>
            <w:vMerge/>
            <w:tcBorders>
              <w:top w:val="single" w:sz="12" w:space="0" w:color="auto"/>
            </w:tcBorders>
          </w:tcPr>
          <w:p w14:paraId="59AF8FFA"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3F3353EB"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2F274001"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12" w:space="0" w:color="auto"/>
              <w:bottom w:val="single" w:sz="4" w:space="0" w:color="auto"/>
            </w:tcBorders>
          </w:tcPr>
          <w:p w14:paraId="0FCF33D8" w14:textId="207C022C"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Sostinės regionas</w:t>
            </w:r>
          </w:p>
        </w:tc>
        <w:tc>
          <w:tcPr>
            <w:tcW w:w="1276" w:type="dxa"/>
            <w:tcBorders>
              <w:top w:val="single" w:sz="12" w:space="0" w:color="auto"/>
              <w:bottom w:val="single" w:sz="4" w:space="0" w:color="auto"/>
            </w:tcBorders>
          </w:tcPr>
          <w:p w14:paraId="1B0491E7" w14:textId="506C1438"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RCR03</w:t>
            </w:r>
          </w:p>
        </w:tc>
        <w:tc>
          <w:tcPr>
            <w:tcW w:w="2693" w:type="dxa"/>
            <w:tcBorders>
              <w:top w:val="single" w:sz="12" w:space="0" w:color="auto"/>
              <w:bottom w:val="single" w:sz="4" w:space="0" w:color="auto"/>
            </w:tcBorders>
          </w:tcPr>
          <w:p w14:paraId="195E19BF" w14:textId="5D50980F"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Produktų ar procesų inovacijas diegiančios mažosios ir vidutinės įmonės (MVĮ)</w:t>
            </w:r>
          </w:p>
        </w:tc>
        <w:tc>
          <w:tcPr>
            <w:tcW w:w="993" w:type="dxa"/>
            <w:tcBorders>
              <w:top w:val="single" w:sz="12" w:space="0" w:color="auto"/>
              <w:bottom w:val="single" w:sz="4" w:space="0" w:color="auto"/>
            </w:tcBorders>
          </w:tcPr>
          <w:p w14:paraId="4A0E6B29" w14:textId="77E670FB"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Borders>
              <w:top w:val="single" w:sz="12" w:space="0" w:color="auto"/>
              <w:bottom w:val="single" w:sz="4" w:space="0" w:color="auto"/>
            </w:tcBorders>
          </w:tcPr>
          <w:p w14:paraId="2631D545" w14:textId="5E893ED9"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12" w:space="0" w:color="auto"/>
              <w:bottom w:val="single" w:sz="4" w:space="0" w:color="auto"/>
            </w:tcBorders>
          </w:tcPr>
          <w:p w14:paraId="60CF7595" w14:textId="1C73CF6E" w:rsidR="006D020B" w:rsidRPr="00B44B19" w:rsidRDefault="006D020B" w:rsidP="006D020B">
            <w:pPr>
              <w:spacing w:after="0" w:line="240" w:lineRule="auto"/>
              <w:jc w:val="center"/>
              <w:rPr>
                <w:rFonts w:cs="Times New Roman"/>
                <w:noProof/>
                <w:sz w:val="16"/>
                <w:szCs w:val="16"/>
                <w:lang w:val="en-GB"/>
              </w:rPr>
            </w:pPr>
            <w:r w:rsidRPr="00B44B19">
              <w:rPr>
                <w:rFonts w:cs="Times New Roman"/>
                <w:noProof/>
                <w:sz w:val="16"/>
                <w:szCs w:val="16"/>
                <w:lang w:val="en-GB"/>
              </w:rPr>
              <w:t>2021</w:t>
            </w:r>
            <w:r w:rsidR="004823CC" w:rsidRPr="00B44B19">
              <w:rPr>
                <w:rFonts w:cs="Times New Roman"/>
                <w:noProof/>
                <w:sz w:val="16"/>
                <w:szCs w:val="16"/>
                <w:lang w:val="en-GB"/>
              </w:rPr>
              <w:t>, 2024</w:t>
            </w:r>
          </w:p>
        </w:tc>
        <w:tc>
          <w:tcPr>
            <w:tcW w:w="992" w:type="dxa"/>
            <w:tcBorders>
              <w:top w:val="single" w:sz="12" w:space="0" w:color="auto"/>
              <w:bottom w:val="single" w:sz="4" w:space="0" w:color="auto"/>
            </w:tcBorders>
          </w:tcPr>
          <w:p w14:paraId="11DEB3D7" w14:textId="76AE7CBD" w:rsidR="006D020B" w:rsidRPr="00B44B19" w:rsidRDefault="008551B9" w:rsidP="006D020B">
            <w:pPr>
              <w:spacing w:after="0" w:line="240" w:lineRule="auto"/>
              <w:jc w:val="center"/>
              <w:rPr>
                <w:rFonts w:cs="Times New Roman"/>
                <w:noProof/>
                <w:sz w:val="16"/>
                <w:szCs w:val="16"/>
              </w:rPr>
            </w:pPr>
            <w:r w:rsidRPr="00B44B19">
              <w:rPr>
                <w:rFonts w:cs="Times New Roman"/>
                <w:noProof/>
                <w:sz w:val="16"/>
                <w:szCs w:val="16"/>
              </w:rPr>
              <w:t>162</w:t>
            </w:r>
          </w:p>
        </w:tc>
        <w:tc>
          <w:tcPr>
            <w:tcW w:w="1418" w:type="dxa"/>
            <w:tcBorders>
              <w:top w:val="single" w:sz="12" w:space="0" w:color="auto"/>
              <w:bottom w:val="single" w:sz="4" w:space="0" w:color="auto"/>
            </w:tcBorders>
          </w:tcPr>
          <w:p w14:paraId="27A6095C" w14:textId="4E5BB916"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12" w:space="0" w:color="auto"/>
              <w:bottom w:val="single" w:sz="4" w:space="0" w:color="auto"/>
            </w:tcBorders>
          </w:tcPr>
          <w:p w14:paraId="27C1E87D"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67ECBFB1" w14:textId="77777777" w:rsidTr="00966138">
        <w:trPr>
          <w:trHeight w:val="429"/>
        </w:trPr>
        <w:tc>
          <w:tcPr>
            <w:tcW w:w="1202" w:type="dxa"/>
            <w:vMerge/>
            <w:tcBorders>
              <w:top w:val="single" w:sz="12" w:space="0" w:color="auto"/>
            </w:tcBorders>
          </w:tcPr>
          <w:p w14:paraId="32F2BB81"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251002BB"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7245829E"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14:paraId="6FB0DA90"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VVL</w:t>
            </w:r>
            <w:r w:rsidRPr="00B44B19">
              <w:rPr>
                <w:rFonts w:cs="Times New Roman"/>
                <w:sz w:val="16"/>
                <w:szCs w:val="16"/>
              </w:rPr>
              <w:t xml:space="preserve"> regionas</w:t>
            </w:r>
          </w:p>
        </w:tc>
        <w:tc>
          <w:tcPr>
            <w:tcW w:w="1276" w:type="dxa"/>
            <w:tcBorders>
              <w:top w:val="single" w:sz="4" w:space="0" w:color="auto"/>
            </w:tcBorders>
          </w:tcPr>
          <w:p w14:paraId="6EBDA731"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RCR03</w:t>
            </w:r>
          </w:p>
        </w:tc>
        <w:tc>
          <w:tcPr>
            <w:tcW w:w="2693" w:type="dxa"/>
            <w:tcBorders>
              <w:top w:val="single" w:sz="4" w:space="0" w:color="auto"/>
            </w:tcBorders>
          </w:tcPr>
          <w:p w14:paraId="7CC3FDC1"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Produktų ar procesų inovacijas diegiančios mažosios ir vidutinės įmonės (MVĮ)</w:t>
            </w:r>
          </w:p>
        </w:tc>
        <w:tc>
          <w:tcPr>
            <w:tcW w:w="993" w:type="dxa"/>
            <w:tcBorders>
              <w:top w:val="single" w:sz="4" w:space="0" w:color="auto"/>
            </w:tcBorders>
          </w:tcPr>
          <w:p w14:paraId="05EAD82B"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Borders>
              <w:top w:val="single" w:sz="4" w:space="0" w:color="auto"/>
            </w:tcBorders>
          </w:tcPr>
          <w:p w14:paraId="1D739143"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4" w:space="0" w:color="auto"/>
            </w:tcBorders>
          </w:tcPr>
          <w:p w14:paraId="75986E2F" w14:textId="583E7023"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lang w:val="en-GB"/>
              </w:rPr>
              <w:t>2021</w:t>
            </w:r>
            <w:r w:rsidR="004823CC" w:rsidRPr="00B44B19">
              <w:rPr>
                <w:rFonts w:cs="Times New Roman"/>
                <w:noProof/>
                <w:sz w:val="16"/>
                <w:szCs w:val="16"/>
                <w:lang w:val="en-GB"/>
              </w:rPr>
              <w:t>, 2024</w:t>
            </w:r>
          </w:p>
        </w:tc>
        <w:tc>
          <w:tcPr>
            <w:tcW w:w="992" w:type="dxa"/>
            <w:tcBorders>
              <w:top w:val="single" w:sz="4" w:space="0" w:color="auto"/>
            </w:tcBorders>
          </w:tcPr>
          <w:p w14:paraId="73C7FFC6" w14:textId="1EF44B3C" w:rsidR="006D020B" w:rsidRPr="00B44B19" w:rsidRDefault="008551B9" w:rsidP="006D020B">
            <w:pPr>
              <w:spacing w:after="0" w:line="240" w:lineRule="auto"/>
              <w:jc w:val="center"/>
              <w:rPr>
                <w:rFonts w:cs="Times New Roman"/>
                <w:noProof/>
                <w:sz w:val="16"/>
                <w:szCs w:val="16"/>
              </w:rPr>
            </w:pPr>
            <w:r w:rsidRPr="00B44B19">
              <w:rPr>
                <w:rFonts w:cs="Times New Roman"/>
                <w:noProof/>
                <w:sz w:val="16"/>
                <w:szCs w:val="16"/>
              </w:rPr>
              <w:t>265</w:t>
            </w:r>
          </w:p>
        </w:tc>
        <w:tc>
          <w:tcPr>
            <w:tcW w:w="1418" w:type="dxa"/>
            <w:tcBorders>
              <w:top w:val="single" w:sz="4" w:space="0" w:color="auto"/>
            </w:tcBorders>
          </w:tcPr>
          <w:p w14:paraId="5AAC5520"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4" w:space="0" w:color="auto"/>
            </w:tcBorders>
          </w:tcPr>
          <w:p w14:paraId="204A92C1"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215C2815" w14:textId="77777777" w:rsidTr="00966138">
        <w:trPr>
          <w:trHeight w:val="467"/>
        </w:trPr>
        <w:tc>
          <w:tcPr>
            <w:tcW w:w="1202" w:type="dxa"/>
            <w:vMerge/>
            <w:tcBorders>
              <w:top w:val="single" w:sz="12" w:space="0" w:color="auto"/>
            </w:tcBorders>
          </w:tcPr>
          <w:p w14:paraId="0082D161"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35A7352E"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6AAFEF5D"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14:paraId="7A7EBD4A"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Sostinės regionas</w:t>
            </w:r>
          </w:p>
        </w:tc>
        <w:tc>
          <w:tcPr>
            <w:tcW w:w="1276" w:type="dxa"/>
            <w:tcBorders>
              <w:top w:val="single" w:sz="4" w:space="0" w:color="auto"/>
            </w:tcBorders>
          </w:tcPr>
          <w:p w14:paraId="6B30BF69"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RCR04</w:t>
            </w:r>
          </w:p>
        </w:tc>
        <w:tc>
          <w:tcPr>
            <w:tcW w:w="2693" w:type="dxa"/>
            <w:tcBorders>
              <w:top w:val="single" w:sz="4" w:space="0" w:color="auto"/>
            </w:tcBorders>
          </w:tcPr>
          <w:p w14:paraId="482BFEFA"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Prekybos ar organizacines inovacijas diegiančios MVĮ</w:t>
            </w:r>
          </w:p>
        </w:tc>
        <w:tc>
          <w:tcPr>
            <w:tcW w:w="993" w:type="dxa"/>
            <w:tcBorders>
              <w:top w:val="single" w:sz="4" w:space="0" w:color="auto"/>
            </w:tcBorders>
          </w:tcPr>
          <w:p w14:paraId="5AE1A2F2"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Borders>
              <w:top w:val="single" w:sz="4" w:space="0" w:color="auto"/>
            </w:tcBorders>
          </w:tcPr>
          <w:p w14:paraId="1D350DDC"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4" w:space="0" w:color="auto"/>
            </w:tcBorders>
          </w:tcPr>
          <w:p w14:paraId="176172A3" w14:textId="481EB380"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2021</w:t>
            </w:r>
            <w:r w:rsidR="004823CC" w:rsidRPr="00B44B19">
              <w:rPr>
                <w:rFonts w:cs="Times New Roman"/>
                <w:noProof/>
                <w:sz w:val="16"/>
                <w:szCs w:val="16"/>
                <w:lang w:val="en-GB"/>
              </w:rPr>
              <w:t>, 2024</w:t>
            </w:r>
          </w:p>
        </w:tc>
        <w:tc>
          <w:tcPr>
            <w:tcW w:w="992" w:type="dxa"/>
            <w:tcBorders>
              <w:top w:val="single" w:sz="4" w:space="0" w:color="auto"/>
            </w:tcBorders>
          </w:tcPr>
          <w:p w14:paraId="10779628" w14:textId="1CF6F7EB" w:rsidR="006D020B" w:rsidRPr="00B44B19" w:rsidRDefault="008551B9" w:rsidP="006D020B">
            <w:pPr>
              <w:spacing w:after="0" w:line="240" w:lineRule="auto"/>
              <w:jc w:val="center"/>
              <w:rPr>
                <w:rFonts w:cs="Times New Roman"/>
                <w:noProof/>
                <w:sz w:val="16"/>
                <w:szCs w:val="16"/>
              </w:rPr>
            </w:pPr>
            <w:r w:rsidRPr="00B44B19">
              <w:rPr>
                <w:rFonts w:cs="Times New Roman"/>
                <w:noProof/>
                <w:sz w:val="16"/>
                <w:szCs w:val="16"/>
              </w:rPr>
              <w:t>83</w:t>
            </w:r>
          </w:p>
        </w:tc>
        <w:tc>
          <w:tcPr>
            <w:tcW w:w="1418" w:type="dxa"/>
            <w:tcBorders>
              <w:top w:val="single" w:sz="4" w:space="0" w:color="auto"/>
            </w:tcBorders>
          </w:tcPr>
          <w:p w14:paraId="56C8462F"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4" w:space="0" w:color="auto"/>
            </w:tcBorders>
          </w:tcPr>
          <w:p w14:paraId="5C39681E"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0401565A" w14:textId="77777777" w:rsidTr="00966138">
        <w:trPr>
          <w:trHeight w:val="443"/>
        </w:trPr>
        <w:tc>
          <w:tcPr>
            <w:tcW w:w="1202" w:type="dxa"/>
            <w:vMerge/>
            <w:tcBorders>
              <w:top w:val="single" w:sz="12" w:space="0" w:color="auto"/>
            </w:tcBorders>
          </w:tcPr>
          <w:p w14:paraId="677A77A8" w14:textId="77777777" w:rsidR="006D020B" w:rsidRPr="00B44B19" w:rsidRDefault="006D020B" w:rsidP="006D020B">
            <w:pPr>
              <w:spacing w:before="100" w:beforeAutospacing="1" w:after="100" w:afterAutospacing="1" w:line="240" w:lineRule="auto"/>
              <w:jc w:val="both"/>
              <w:rPr>
                <w:rFonts w:cs="Times New Roman"/>
                <w:noProof/>
                <w:sz w:val="16"/>
                <w:szCs w:val="16"/>
              </w:rPr>
            </w:pPr>
          </w:p>
        </w:tc>
        <w:tc>
          <w:tcPr>
            <w:tcW w:w="1033" w:type="dxa"/>
            <w:vMerge/>
            <w:tcBorders>
              <w:top w:val="single" w:sz="12" w:space="0" w:color="auto"/>
            </w:tcBorders>
          </w:tcPr>
          <w:p w14:paraId="604D538D" w14:textId="77777777" w:rsidR="006D020B" w:rsidRPr="00B44B19" w:rsidRDefault="006D020B" w:rsidP="006D020B">
            <w:pPr>
              <w:spacing w:before="100" w:beforeAutospacing="1" w:after="100" w:afterAutospacing="1" w:line="240" w:lineRule="auto"/>
              <w:jc w:val="center"/>
              <w:rPr>
                <w:rFonts w:cs="Times New Roman"/>
                <w:noProof/>
                <w:sz w:val="16"/>
                <w:szCs w:val="16"/>
              </w:rPr>
            </w:pPr>
          </w:p>
        </w:tc>
        <w:tc>
          <w:tcPr>
            <w:tcW w:w="850" w:type="dxa"/>
            <w:vMerge/>
            <w:tcBorders>
              <w:top w:val="single" w:sz="12" w:space="0" w:color="auto"/>
            </w:tcBorders>
          </w:tcPr>
          <w:p w14:paraId="118B3B2A" w14:textId="77777777" w:rsidR="006D020B" w:rsidRPr="00B44B19" w:rsidRDefault="006D020B" w:rsidP="006D020B">
            <w:pPr>
              <w:spacing w:before="100" w:beforeAutospacing="1" w:after="100" w:afterAutospacing="1" w:line="240" w:lineRule="auto"/>
              <w:jc w:val="center"/>
              <w:rPr>
                <w:rFonts w:cs="Times New Roman"/>
                <w:sz w:val="16"/>
                <w:szCs w:val="16"/>
              </w:rPr>
            </w:pPr>
          </w:p>
        </w:tc>
        <w:tc>
          <w:tcPr>
            <w:tcW w:w="992" w:type="dxa"/>
            <w:tcBorders>
              <w:top w:val="single" w:sz="4" w:space="0" w:color="auto"/>
            </w:tcBorders>
          </w:tcPr>
          <w:p w14:paraId="2569862A"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lang w:eastAsia="lt-LT"/>
              </w:rPr>
              <w:t>VVL</w:t>
            </w:r>
            <w:r w:rsidRPr="00B44B19">
              <w:rPr>
                <w:rFonts w:cs="Times New Roman"/>
                <w:sz w:val="16"/>
                <w:szCs w:val="16"/>
              </w:rPr>
              <w:t xml:space="preserve"> regionas</w:t>
            </w:r>
          </w:p>
        </w:tc>
        <w:tc>
          <w:tcPr>
            <w:tcW w:w="1276" w:type="dxa"/>
            <w:tcBorders>
              <w:top w:val="single" w:sz="4" w:space="0" w:color="auto"/>
            </w:tcBorders>
          </w:tcPr>
          <w:p w14:paraId="5C4CACCF"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RCR04</w:t>
            </w:r>
          </w:p>
        </w:tc>
        <w:tc>
          <w:tcPr>
            <w:tcW w:w="2693" w:type="dxa"/>
            <w:tcBorders>
              <w:top w:val="single" w:sz="4" w:space="0" w:color="auto"/>
            </w:tcBorders>
          </w:tcPr>
          <w:p w14:paraId="048E59D8"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Prekybos ar organizacines inovacijas diegiančios MVĮ</w:t>
            </w:r>
          </w:p>
        </w:tc>
        <w:tc>
          <w:tcPr>
            <w:tcW w:w="993" w:type="dxa"/>
            <w:tcBorders>
              <w:top w:val="single" w:sz="4" w:space="0" w:color="auto"/>
            </w:tcBorders>
          </w:tcPr>
          <w:p w14:paraId="6419625F"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Borders>
              <w:top w:val="single" w:sz="4" w:space="0" w:color="auto"/>
            </w:tcBorders>
          </w:tcPr>
          <w:p w14:paraId="3CDFCB7A"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4" w:space="0" w:color="auto"/>
            </w:tcBorders>
          </w:tcPr>
          <w:p w14:paraId="708DCF8C" w14:textId="5551F656"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2021</w:t>
            </w:r>
            <w:r w:rsidR="004823CC" w:rsidRPr="00B44B19">
              <w:rPr>
                <w:rFonts w:cs="Times New Roman"/>
                <w:noProof/>
                <w:sz w:val="16"/>
                <w:szCs w:val="16"/>
                <w:lang w:val="en-GB"/>
              </w:rPr>
              <w:t>, 2024</w:t>
            </w:r>
          </w:p>
        </w:tc>
        <w:tc>
          <w:tcPr>
            <w:tcW w:w="992" w:type="dxa"/>
            <w:tcBorders>
              <w:top w:val="single" w:sz="4" w:space="0" w:color="auto"/>
            </w:tcBorders>
          </w:tcPr>
          <w:p w14:paraId="0B6031F6" w14:textId="4991B1E9" w:rsidR="006D020B" w:rsidRPr="00B44B19" w:rsidRDefault="008551B9" w:rsidP="006D020B">
            <w:pPr>
              <w:spacing w:after="0" w:line="240" w:lineRule="auto"/>
              <w:jc w:val="center"/>
              <w:rPr>
                <w:rFonts w:cs="Times New Roman"/>
                <w:noProof/>
                <w:sz w:val="16"/>
                <w:szCs w:val="16"/>
              </w:rPr>
            </w:pPr>
            <w:r w:rsidRPr="00B44B19">
              <w:rPr>
                <w:rFonts w:cs="Times New Roman"/>
                <w:noProof/>
                <w:sz w:val="16"/>
                <w:szCs w:val="16"/>
              </w:rPr>
              <w:t>151</w:t>
            </w:r>
          </w:p>
        </w:tc>
        <w:tc>
          <w:tcPr>
            <w:tcW w:w="1418" w:type="dxa"/>
            <w:tcBorders>
              <w:top w:val="single" w:sz="4" w:space="0" w:color="auto"/>
            </w:tcBorders>
          </w:tcPr>
          <w:p w14:paraId="046966D7"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Projektų duomenys, LSD</w:t>
            </w:r>
          </w:p>
        </w:tc>
        <w:tc>
          <w:tcPr>
            <w:tcW w:w="850" w:type="dxa"/>
            <w:tcBorders>
              <w:top w:val="single" w:sz="4" w:space="0" w:color="auto"/>
            </w:tcBorders>
          </w:tcPr>
          <w:p w14:paraId="5A9AE99F"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219F6506" w14:textId="77777777" w:rsidTr="00966138">
        <w:trPr>
          <w:trHeight w:val="434"/>
        </w:trPr>
        <w:tc>
          <w:tcPr>
            <w:tcW w:w="1202" w:type="dxa"/>
            <w:vMerge/>
          </w:tcPr>
          <w:p w14:paraId="2BAE5BA0" w14:textId="77777777" w:rsidR="006D020B" w:rsidRPr="00B44B19" w:rsidRDefault="006D020B" w:rsidP="006D020B">
            <w:pPr>
              <w:spacing w:after="0" w:line="240" w:lineRule="auto"/>
              <w:rPr>
                <w:rFonts w:cs="Times New Roman"/>
                <w:noProof/>
                <w:sz w:val="16"/>
                <w:szCs w:val="16"/>
              </w:rPr>
            </w:pPr>
          </w:p>
        </w:tc>
        <w:tc>
          <w:tcPr>
            <w:tcW w:w="1033" w:type="dxa"/>
            <w:vMerge/>
          </w:tcPr>
          <w:p w14:paraId="5AFDCEE2"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55F69210" w14:textId="77777777" w:rsidR="006D020B" w:rsidRPr="00B44B19" w:rsidRDefault="006D020B" w:rsidP="006D020B">
            <w:pPr>
              <w:spacing w:after="0" w:line="240" w:lineRule="auto"/>
              <w:jc w:val="both"/>
              <w:rPr>
                <w:rFonts w:cs="Times New Roman"/>
                <w:noProof/>
                <w:sz w:val="16"/>
                <w:szCs w:val="16"/>
              </w:rPr>
            </w:pPr>
          </w:p>
        </w:tc>
        <w:tc>
          <w:tcPr>
            <w:tcW w:w="992" w:type="dxa"/>
          </w:tcPr>
          <w:p w14:paraId="6F4E411B" w14:textId="77777777" w:rsidR="006D020B" w:rsidRPr="00B44B19" w:rsidRDefault="006D020B" w:rsidP="006D020B">
            <w:pPr>
              <w:spacing w:after="0" w:line="240" w:lineRule="auto"/>
              <w:jc w:val="both"/>
              <w:rPr>
                <w:rFonts w:cs="Times New Roman"/>
                <w:noProof/>
                <w:sz w:val="14"/>
                <w:szCs w:val="14"/>
              </w:rPr>
            </w:pPr>
            <w:r w:rsidRPr="00B44B19">
              <w:rPr>
                <w:rFonts w:cs="Times New Roman"/>
                <w:sz w:val="16"/>
                <w:szCs w:val="16"/>
                <w:lang w:eastAsia="lt-LT"/>
              </w:rPr>
              <w:t>Sostinės regionas</w:t>
            </w:r>
          </w:p>
        </w:tc>
        <w:tc>
          <w:tcPr>
            <w:tcW w:w="1276" w:type="dxa"/>
          </w:tcPr>
          <w:p w14:paraId="2824AC16"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RCR12</w:t>
            </w:r>
          </w:p>
        </w:tc>
        <w:tc>
          <w:tcPr>
            <w:tcW w:w="2693" w:type="dxa"/>
          </w:tcPr>
          <w:p w14:paraId="21EA8476"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Įmonių sukurtų naujų ir patobulintų skaitmeninių paslaugų, produktų ir procesų naudotojai</w:t>
            </w:r>
          </w:p>
        </w:tc>
        <w:tc>
          <w:tcPr>
            <w:tcW w:w="993" w:type="dxa"/>
          </w:tcPr>
          <w:p w14:paraId="3CE86CBF" w14:textId="77777777" w:rsidR="006D020B" w:rsidRPr="00B44B19" w:rsidRDefault="006D020B" w:rsidP="006D020B">
            <w:pPr>
              <w:spacing w:after="0" w:line="240" w:lineRule="auto"/>
              <w:jc w:val="both"/>
              <w:rPr>
                <w:rFonts w:cs="Times New Roman"/>
                <w:i/>
                <w:noProof/>
                <w:sz w:val="14"/>
                <w:szCs w:val="14"/>
              </w:rPr>
            </w:pPr>
            <w:r w:rsidRPr="00B44B19">
              <w:rPr>
                <w:rFonts w:cs="Times New Roman"/>
                <w:noProof/>
                <w:sz w:val="16"/>
                <w:szCs w:val="16"/>
              </w:rPr>
              <w:t>Metinis vartotojų skaičius</w:t>
            </w:r>
          </w:p>
        </w:tc>
        <w:tc>
          <w:tcPr>
            <w:tcW w:w="992" w:type="dxa"/>
          </w:tcPr>
          <w:p w14:paraId="3BA0B8F9"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1FE4FD47" w14:textId="44CDF7B8" w:rsidR="006D020B" w:rsidRPr="00B44B19" w:rsidRDefault="004823CC" w:rsidP="006D020B">
            <w:pPr>
              <w:spacing w:after="0" w:line="240" w:lineRule="auto"/>
              <w:jc w:val="center"/>
              <w:rPr>
                <w:rFonts w:cs="Times New Roman"/>
                <w:noProof/>
                <w:sz w:val="16"/>
                <w:szCs w:val="16"/>
              </w:rPr>
            </w:pPr>
            <w:r w:rsidRPr="00B44B19">
              <w:rPr>
                <w:rFonts w:cs="Times New Roman"/>
                <w:noProof/>
                <w:sz w:val="16"/>
                <w:szCs w:val="16"/>
              </w:rPr>
              <w:t>2021</w:t>
            </w:r>
            <w:r w:rsidRPr="00B44B19">
              <w:rPr>
                <w:rFonts w:cs="Times New Roman"/>
                <w:noProof/>
                <w:sz w:val="16"/>
                <w:szCs w:val="16"/>
                <w:lang w:val="en-GB"/>
              </w:rPr>
              <w:t>, 2024</w:t>
            </w:r>
          </w:p>
        </w:tc>
        <w:tc>
          <w:tcPr>
            <w:tcW w:w="992" w:type="dxa"/>
          </w:tcPr>
          <w:p w14:paraId="2ED557F3" w14:textId="2CA52DD4" w:rsidR="006D020B" w:rsidRPr="00B44B19" w:rsidRDefault="004823CC" w:rsidP="006D020B">
            <w:pPr>
              <w:spacing w:after="0" w:line="240" w:lineRule="auto"/>
              <w:jc w:val="center"/>
              <w:rPr>
                <w:rFonts w:cs="Times New Roman"/>
                <w:noProof/>
                <w:sz w:val="16"/>
                <w:szCs w:val="16"/>
              </w:rPr>
            </w:pPr>
            <w:r w:rsidRPr="00B44B19">
              <w:rPr>
                <w:rFonts w:cs="Times New Roman"/>
                <w:noProof/>
                <w:sz w:val="16"/>
                <w:szCs w:val="16"/>
              </w:rPr>
              <w:t>27 881</w:t>
            </w:r>
          </w:p>
        </w:tc>
        <w:tc>
          <w:tcPr>
            <w:tcW w:w="1418" w:type="dxa"/>
          </w:tcPr>
          <w:p w14:paraId="499BBFDF" w14:textId="77777777" w:rsidR="006D020B" w:rsidRPr="00B44B19" w:rsidRDefault="006D020B" w:rsidP="006D020B">
            <w:pPr>
              <w:spacing w:after="0" w:line="240" w:lineRule="auto"/>
              <w:jc w:val="both"/>
              <w:rPr>
                <w:rFonts w:cs="Times New Roman"/>
                <w:i/>
                <w:noProof/>
                <w:sz w:val="14"/>
                <w:szCs w:val="14"/>
              </w:rPr>
            </w:pPr>
            <w:r w:rsidRPr="00B44B19">
              <w:rPr>
                <w:rFonts w:cs="Times New Roman"/>
                <w:noProof/>
                <w:sz w:val="16"/>
                <w:szCs w:val="16"/>
              </w:rPr>
              <w:t>Projektų duomenys, LSD</w:t>
            </w:r>
          </w:p>
        </w:tc>
        <w:tc>
          <w:tcPr>
            <w:tcW w:w="850" w:type="dxa"/>
          </w:tcPr>
          <w:p w14:paraId="771CA97F"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653308AA" w14:textId="77777777" w:rsidTr="00966138">
        <w:trPr>
          <w:trHeight w:val="434"/>
        </w:trPr>
        <w:tc>
          <w:tcPr>
            <w:tcW w:w="1202" w:type="dxa"/>
            <w:vMerge/>
          </w:tcPr>
          <w:p w14:paraId="7AF362A1" w14:textId="77777777" w:rsidR="006D020B" w:rsidRPr="00B44B19" w:rsidRDefault="006D020B" w:rsidP="006D020B">
            <w:pPr>
              <w:spacing w:after="0" w:line="240" w:lineRule="auto"/>
              <w:rPr>
                <w:rFonts w:cs="Times New Roman"/>
                <w:noProof/>
                <w:sz w:val="16"/>
                <w:szCs w:val="16"/>
              </w:rPr>
            </w:pPr>
          </w:p>
        </w:tc>
        <w:tc>
          <w:tcPr>
            <w:tcW w:w="1033" w:type="dxa"/>
            <w:vMerge/>
          </w:tcPr>
          <w:p w14:paraId="661BB751"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50548FF1" w14:textId="77777777" w:rsidR="006D020B" w:rsidRPr="00B44B19" w:rsidRDefault="006D020B" w:rsidP="006D020B">
            <w:pPr>
              <w:spacing w:after="0" w:line="240" w:lineRule="auto"/>
              <w:jc w:val="both"/>
              <w:rPr>
                <w:rFonts w:cs="Times New Roman"/>
                <w:noProof/>
                <w:sz w:val="16"/>
                <w:szCs w:val="16"/>
              </w:rPr>
            </w:pPr>
          </w:p>
        </w:tc>
        <w:tc>
          <w:tcPr>
            <w:tcW w:w="992" w:type="dxa"/>
          </w:tcPr>
          <w:p w14:paraId="5722F182" w14:textId="77777777" w:rsidR="006D020B" w:rsidRPr="00B44B19" w:rsidRDefault="006D020B" w:rsidP="006D020B">
            <w:pPr>
              <w:spacing w:after="0" w:line="240" w:lineRule="auto"/>
              <w:jc w:val="both"/>
              <w:rPr>
                <w:rFonts w:cs="Times New Roman"/>
                <w:noProof/>
                <w:sz w:val="16"/>
                <w:szCs w:val="16"/>
              </w:rPr>
            </w:pPr>
            <w:r w:rsidRPr="00B44B19">
              <w:rPr>
                <w:rFonts w:cs="Times New Roman"/>
                <w:sz w:val="16"/>
                <w:szCs w:val="16"/>
                <w:lang w:eastAsia="lt-LT"/>
              </w:rPr>
              <w:t>VVL</w:t>
            </w:r>
            <w:r w:rsidRPr="00B44B19">
              <w:rPr>
                <w:rFonts w:cs="Times New Roman"/>
                <w:sz w:val="16"/>
                <w:szCs w:val="16"/>
              </w:rPr>
              <w:t xml:space="preserve"> regionas</w:t>
            </w:r>
          </w:p>
        </w:tc>
        <w:tc>
          <w:tcPr>
            <w:tcW w:w="1276" w:type="dxa"/>
          </w:tcPr>
          <w:p w14:paraId="7297E3B6"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RCR12</w:t>
            </w:r>
          </w:p>
        </w:tc>
        <w:tc>
          <w:tcPr>
            <w:tcW w:w="2693" w:type="dxa"/>
          </w:tcPr>
          <w:p w14:paraId="4807B501"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Įmonių sukurtų naujų ir patobulintų skaitmeninių paslaugų, produktų ir procesų naudotojai</w:t>
            </w:r>
          </w:p>
        </w:tc>
        <w:tc>
          <w:tcPr>
            <w:tcW w:w="993" w:type="dxa"/>
          </w:tcPr>
          <w:p w14:paraId="6AB7B2D0"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Metinis vartotojų skaičius</w:t>
            </w:r>
          </w:p>
        </w:tc>
        <w:tc>
          <w:tcPr>
            <w:tcW w:w="992" w:type="dxa"/>
          </w:tcPr>
          <w:p w14:paraId="2453D265"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3EBB37B2" w14:textId="57DBEBA4" w:rsidR="006D020B" w:rsidRPr="00B44B19" w:rsidRDefault="004823CC" w:rsidP="006D020B">
            <w:pPr>
              <w:spacing w:after="0" w:line="240" w:lineRule="auto"/>
              <w:jc w:val="center"/>
              <w:rPr>
                <w:rFonts w:cs="Times New Roman"/>
                <w:noProof/>
                <w:sz w:val="16"/>
                <w:szCs w:val="16"/>
              </w:rPr>
            </w:pPr>
            <w:r w:rsidRPr="00B44B19">
              <w:rPr>
                <w:rFonts w:cs="Times New Roman"/>
                <w:noProof/>
                <w:sz w:val="16"/>
                <w:szCs w:val="16"/>
              </w:rPr>
              <w:t>2021</w:t>
            </w:r>
            <w:r w:rsidRPr="00B44B19">
              <w:rPr>
                <w:rFonts w:cs="Times New Roman"/>
                <w:noProof/>
                <w:sz w:val="16"/>
                <w:szCs w:val="16"/>
                <w:lang w:val="en-GB"/>
              </w:rPr>
              <w:t>, 2024</w:t>
            </w:r>
          </w:p>
        </w:tc>
        <w:tc>
          <w:tcPr>
            <w:tcW w:w="992" w:type="dxa"/>
          </w:tcPr>
          <w:p w14:paraId="2F547AB0" w14:textId="2AEBD350" w:rsidR="006D020B" w:rsidRPr="00B44B19" w:rsidRDefault="004823CC" w:rsidP="006D020B">
            <w:pPr>
              <w:spacing w:after="0" w:line="240" w:lineRule="auto"/>
              <w:jc w:val="center"/>
              <w:rPr>
                <w:rFonts w:cs="Times New Roman"/>
                <w:noProof/>
                <w:sz w:val="16"/>
                <w:szCs w:val="16"/>
              </w:rPr>
            </w:pPr>
            <w:r w:rsidRPr="00B44B19">
              <w:rPr>
                <w:rFonts w:cs="Times New Roman"/>
                <w:noProof/>
                <w:sz w:val="16"/>
                <w:szCs w:val="16"/>
              </w:rPr>
              <w:t>63 948</w:t>
            </w:r>
          </w:p>
        </w:tc>
        <w:tc>
          <w:tcPr>
            <w:tcW w:w="1418" w:type="dxa"/>
          </w:tcPr>
          <w:p w14:paraId="56F36F4D" w14:textId="77777777" w:rsidR="006D020B" w:rsidRPr="00B44B19" w:rsidRDefault="006D020B" w:rsidP="006D020B">
            <w:pPr>
              <w:spacing w:after="0" w:line="240" w:lineRule="auto"/>
              <w:jc w:val="both"/>
              <w:rPr>
                <w:rFonts w:cs="Times New Roman"/>
                <w:i/>
                <w:noProof/>
                <w:sz w:val="14"/>
                <w:szCs w:val="14"/>
              </w:rPr>
            </w:pPr>
            <w:r w:rsidRPr="00B44B19">
              <w:rPr>
                <w:rFonts w:cs="Times New Roman"/>
                <w:noProof/>
                <w:sz w:val="16"/>
                <w:szCs w:val="16"/>
              </w:rPr>
              <w:t>Projektų duomenys, LSD</w:t>
            </w:r>
          </w:p>
        </w:tc>
        <w:tc>
          <w:tcPr>
            <w:tcW w:w="850" w:type="dxa"/>
          </w:tcPr>
          <w:p w14:paraId="5401D41C"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6384492F" w14:textId="77777777" w:rsidTr="00966138">
        <w:trPr>
          <w:trHeight w:val="185"/>
        </w:trPr>
        <w:tc>
          <w:tcPr>
            <w:tcW w:w="1202" w:type="dxa"/>
            <w:vMerge/>
          </w:tcPr>
          <w:p w14:paraId="71E0616F" w14:textId="77777777" w:rsidR="006D020B" w:rsidRPr="00B44B19" w:rsidRDefault="006D020B" w:rsidP="006D020B">
            <w:pPr>
              <w:spacing w:after="0" w:line="240" w:lineRule="auto"/>
              <w:rPr>
                <w:rFonts w:cs="Times New Roman"/>
                <w:noProof/>
                <w:sz w:val="16"/>
                <w:szCs w:val="16"/>
              </w:rPr>
            </w:pPr>
          </w:p>
        </w:tc>
        <w:tc>
          <w:tcPr>
            <w:tcW w:w="1033" w:type="dxa"/>
            <w:vMerge/>
          </w:tcPr>
          <w:p w14:paraId="4806CCF2"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47F12FDD" w14:textId="77777777" w:rsidR="006D020B" w:rsidRPr="00B44B19" w:rsidRDefault="006D020B" w:rsidP="006D020B">
            <w:pPr>
              <w:spacing w:after="0" w:line="240" w:lineRule="auto"/>
              <w:jc w:val="both"/>
              <w:rPr>
                <w:rFonts w:cs="Times New Roman"/>
                <w:noProof/>
                <w:sz w:val="16"/>
                <w:szCs w:val="16"/>
              </w:rPr>
            </w:pPr>
          </w:p>
        </w:tc>
        <w:tc>
          <w:tcPr>
            <w:tcW w:w="992" w:type="dxa"/>
          </w:tcPr>
          <w:p w14:paraId="0AC603DC" w14:textId="77777777" w:rsidR="006D020B" w:rsidRPr="00B44B19" w:rsidRDefault="006D020B" w:rsidP="006D020B">
            <w:pPr>
              <w:spacing w:after="0" w:line="240" w:lineRule="auto"/>
              <w:jc w:val="both"/>
              <w:rPr>
                <w:rFonts w:cs="Times New Roman"/>
                <w:noProof/>
                <w:sz w:val="14"/>
                <w:szCs w:val="14"/>
              </w:rPr>
            </w:pPr>
            <w:r w:rsidRPr="00B44B19">
              <w:rPr>
                <w:rFonts w:cs="Times New Roman"/>
                <w:sz w:val="16"/>
                <w:szCs w:val="16"/>
                <w:lang w:eastAsia="lt-LT"/>
              </w:rPr>
              <w:t>Sostinės regionas</w:t>
            </w:r>
          </w:p>
        </w:tc>
        <w:tc>
          <w:tcPr>
            <w:tcW w:w="1276" w:type="dxa"/>
          </w:tcPr>
          <w:p w14:paraId="698EC8D7"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RCR13</w:t>
            </w:r>
          </w:p>
        </w:tc>
        <w:tc>
          <w:tcPr>
            <w:tcW w:w="2693" w:type="dxa"/>
          </w:tcPr>
          <w:p w14:paraId="25BBC99B" w14:textId="77777777" w:rsidR="006D020B" w:rsidRPr="00B44B19" w:rsidRDefault="006D020B" w:rsidP="006D020B">
            <w:pPr>
              <w:spacing w:after="0" w:line="240" w:lineRule="auto"/>
              <w:rPr>
                <w:rFonts w:cs="Times New Roman"/>
                <w:i/>
                <w:noProof/>
                <w:sz w:val="16"/>
                <w:szCs w:val="16"/>
              </w:rPr>
            </w:pPr>
            <w:r w:rsidRPr="00B44B19">
              <w:rPr>
                <w:rFonts w:cs="Times New Roman"/>
                <w:sz w:val="16"/>
                <w:szCs w:val="16"/>
                <w:lang w:eastAsia="lt-LT" w:bidi="ml-IN"/>
              </w:rPr>
              <w:t>Aukštą skaitmeninio intensyvumo lygį pasiekusios įmonės</w:t>
            </w:r>
          </w:p>
        </w:tc>
        <w:tc>
          <w:tcPr>
            <w:tcW w:w="993" w:type="dxa"/>
          </w:tcPr>
          <w:p w14:paraId="30320F8F"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 xml:space="preserve">Įmonės </w:t>
            </w:r>
          </w:p>
        </w:tc>
        <w:tc>
          <w:tcPr>
            <w:tcW w:w="992" w:type="dxa"/>
          </w:tcPr>
          <w:p w14:paraId="0B8BA909"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07E067B5" w14:textId="34166AA5" w:rsidR="006D020B" w:rsidRPr="00B44B19" w:rsidRDefault="004823CC" w:rsidP="006D020B">
            <w:pPr>
              <w:spacing w:after="0" w:line="240" w:lineRule="auto"/>
              <w:jc w:val="center"/>
              <w:rPr>
                <w:rFonts w:cs="Times New Roman"/>
                <w:noProof/>
                <w:sz w:val="16"/>
                <w:szCs w:val="16"/>
              </w:rPr>
            </w:pPr>
            <w:r w:rsidRPr="00B44B19">
              <w:rPr>
                <w:rFonts w:cs="Times New Roman"/>
                <w:noProof/>
                <w:sz w:val="16"/>
                <w:szCs w:val="16"/>
              </w:rPr>
              <w:t>2021</w:t>
            </w:r>
            <w:r w:rsidRPr="00B44B19">
              <w:rPr>
                <w:rFonts w:cs="Times New Roman"/>
                <w:noProof/>
                <w:sz w:val="16"/>
                <w:szCs w:val="16"/>
                <w:lang w:val="en-GB"/>
              </w:rPr>
              <w:t>, 2024</w:t>
            </w:r>
          </w:p>
        </w:tc>
        <w:tc>
          <w:tcPr>
            <w:tcW w:w="992" w:type="dxa"/>
          </w:tcPr>
          <w:p w14:paraId="46F74F63" w14:textId="756312AE" w:rsidR="006D020B" w:rsidRPr="00B44B19" w:rsidRDefault="008551B9" w:rsidP="006D020B">
            <w:pPr>
              <w:spacing w:after="0" w:line="240" w:lineRule="auto"/>
              <w:jc w:val="center"/>
              <w:rPr>
                <w:rFonts w:cs="Times New Roman"/>
                <w:noProof/>
                <w:sz w:val="16"/>
                <w:szCs w:val="16"/>
              </w:rPr>
            </w:pPr>
            <w:r w:rsidRPr="00B44B19">
              <w:rPr>
                <w:rFonts w:cs="Times New Roman"/>
                <w:noProof/>
                <w:sz w:val="16"/>
                <w:szCs w:val="16"/>
              </w:rPr>
              <w:t>394</w:t>
            </w:r>
          </w:p>
        </w:tc>
        <w:tc>
          <w:tcPr>
            <w:tcW w:w="1418" w:type="dxa"/>
          </w:tcPr>
          <w:p w14:paraId="18AD717E" w14:textId="77777777" w:rsidR="006D020B" w:rsidRPr="00B44B19" w:rsidRDefault="006D020B" w:rsidP="006D020B">
            <w:pPr>
              <w:spacing w:after="0" w:line="240" w:lineRule="auto"/>
              <w:jc w:val="both"/>
              <w:rPr>
                <w:rFonts w:cs="Times New Roman"/>
                <w:i/>
                <w:noProof/>
                <w:sz w:val="14"/>
                <w:szCs w:val="14"/>
              </w:rPr>
            </w:pPr>
            <w:r w:rsidRPr="00B44B19">
              <w:rPr>
                <w:rFonts w:cs="Times New Roman"/>
                <w:noProof/>
                <w:sz w:val="16"/>
                <w:szCs w:val="16"/>
              </w:rPr>
              <w:t>Projektų duomenys, LSD</w:t>
            </w:r>
          </w:p>
        </w:tc>
        <w:tc>
          <w:tcPr>
            <w:tcW w:w="850" w:type="dxa"/>
          </w:tcPr>
          <w:p w14:paraId="50E7B129"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37B0C582" w14:textId="77777777" w:rsidTr="00966138">
        <w:trPr>
          <w:trHeight w:val="185"/>
        </w:trPr>
        <w:tc>
          <w:tcPr>
            <w:tcW w:w="1202" w:type="dxa"/>
            <w:vMerge/>
          </w:tcPr>
          <w:p w14:paraId="64F8815D" w14:textId="77777777" w:rsidR="006D020B" w:rsidRPr="00B44B19" w:rsidRDefault="006D020B" w:rsidP="006D020B">
            <w:pPr>
              <w:spacing w:after="0" w:line="240" w:lineRule="auto"/>
              <w:rPr>
                <w:rFonts w:cs="Times New Roman"/>
                <w:noProof/>
                <w:sz w:val="16"/>
                <w:szCs w:val="16"/>
              </w:rPr>
            </w:pPr>
          </w:p>
        </w:tc>
        <w:tc>
          <w:tcPr>
            <w:tcW w:w="1033" w:type="dxa"/>
            <w:vMerge/>
          </w:tcPr>
          <w:p w14:paraId="2C87BF34"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6EBEEF60" w14:textId="77777777" w:rsidR="006D020B" w:rsidRPr="00B44B19" w:rsidRDefault="006D020B" w:rsidP="006D020B">
            <w:pPr>
              <w:spacing w:after="0" w:line="240" w:lineRule="auto"/>
              <w:jc w:val="both"/>
              <w:rPr>
                <w:rFonts w:cs="Times New Roman"/>
                <w:noProof/>
                <w:sz w:val="16"/>
                <w:szCs w:val="16"/>
              </w:rPr>
            </w:pPr>
          </w:p>
        </w:tc>
        <w:tc>
          <w:tcPr>
            <w:tcW w:w="992" w:type="dxa"/>
          </w:tcPr>
          <w:p w14:paraId="2DF22CA3" w14:textId="77777777" w:rsidR="006D020B" w:rsidRPr="00B44B19" w:rsidRDefault="006D020B" w:rsidP="006D020B">
            <w:pPr>
              <w:spacing w:after="0" w:line="240" w:lineRule="auto"/>
              <w:jc w:val="both"/>
              <w:rPr>
                <w:rFonts w:cs="Times New Roman"/>
                <w:noProof/>
                <w:sz w:val="16"/>
                <w:szCs w:val="16"/>
              </w:rPr>
            </w:pPr>
            <w:r w:rsidRPr="00B44B19">
              <w:rPr>
                <w:rFonts w:cs="Times New Roman"/>
                <w:sz w:val="16"/>
                <w:szCs w:val="16"/>
                <w:lang w:eastAsia="lt-LT"/>
              </w:rPr>
              <w:t>VVL</w:t>
            </w:r>
            <w:r w:rsidRPr="00B44B19">
              <w:rPr>
                <w:rFonts w:cs="Times New Roman"/>
                <w:sz w:val="16"/>
                <w:szCs w:val="16"/>
              </w:rPr>
              <w:t xml:space="preserve"> regionas</w:t>
            </w:r>
          </w:p>
        </w:tc>
        <w:tc>
          <w:tcPr>
            <w:tcW w:w="1276" w:type="dxa"/>
          </w:tcPr>
          <w:p w14:paraId="3EA73F4F"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RCR13</w:t>
            </w:r>
          </w:p>
        </w:tc>
        <w:tc>
          <w:tcPr>
            <w:tcW w:w="2693" w:type="dxa"/>
          </w:tcPr>
          <w:p w14:paraId="3134883A"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Aukštą skaitmeninio intensyvumo lygį pasiekusios įmonės</w:t>
            </w:r>
          </w:p>
        </w:tc>
        <w:tc>
          <w:tcPr>
            <w:tcW w:w="993" w:type="dxa"/>
          </w:tcPr>
          <w:p w14:paraId="475ADA55"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 xml:space="preserve">Įmonės </w:t>
            </w:r>
          </w:p>
        </w:tc>
        <w:tc>
          <w:tcPr>
            <w:tcW w:w="992" w:type="dxa"/>
          </w:tcPr>
          <w:p w14:paraId="0376D0BD"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00329EAF" w14:textId="5B0619D3" w:rsidR="006D020B" w:rsidRPr="00B44B19" w:rsidRDefault="004823CC" w:rsidP="006D020B">
            <w:pPr>
              <w:spacing w:after="0" w:line="240" w:lineRule="auto"/>
              <w:jc w:val="center"/>
              <w:rPr>
                <w:rFonts w:cs="Times New Roman"/>
                <w:noProof/>
                <w:sz w:val="16"/>
                <w:szCs w:val="16"/>
              </w:rPr>
            </w:pPr>
            <w:r w:rsidRPr="00B44B19">
              <w:rPr>
                <w:rFonts w:cs="Times New Roman"/>
                <w:noProof/>
                <w:sz w:val="16"/>
                <w:szCs w:val="16"/>
              </w:rPr>
              <w:t>2021</w:t>
            </w:r>
            <w:r w:rsidRPr="00B44B19">
              <w:rPr>
                <w:rFonts w:cs="Times New Roman"/>
                <w:noProof/>
                <w:sz w:val="16"/>
                <w:szCs w:val="16"/>
                <w:lang w:val="en-GB"/>
              </w:rPr>
              <w:t>, 2024</w:t>
            </w:r>
          </w:p>
        </w:tc>
        <w:tc>
          <w:tcPr>
            <w:tcW w:w="992" w:type="dxa"/>
          </w:tcPr>
          <w:p w14:paraId="30FE3FA5" w14:textId="74D091A6" w:rsidR="006D020B" w:rsidRPr="00B44B19" w:rsidRDefault="008551B9" w:rsidP="006D020B">
            <w:pPr>
              <w:spacing w:after="0" w:line="240" w:lineRule="auto"/>
              <w:jc w:val="center"/>
              <w:rPr>
                <w:rFonts w:cs="Times New Roman"/>
                <w:noProof/>
                <w:sz w:val="16"/>
                <w:szCs w:val="16"/>
                <w:lang w:val="en-GB"/>
              </w:rPr>
            </w:pPr>
            <w:r w:rsidRPr="00B44B19">
              <w:rPr>
                <w:rFonts w:cs="Times New Roman"/>
                <w:noProof/>
                <w:sz w:val="16"/>
                <w:szCs w:val="16"/>
                <w:lang w:val="en-GB"/>
              </w:rPr>
              <w:t>568</w:t>
            </w:r>
          </w:p>
        </w:tc>
        <w:tc>
          <w:tcPr>
            <w:tcW w:w="1418" w:type="dxa"/>
          </w:tcPr>
          <w:p w14:paraId="24DC6CE5" w14:textId="77777777" w:rsidR="006D020B" w:rsidRPr="00B44B19" w:rsidRDefault="006D020B" w:rsidP="006D020B">
            <w:pPr>
              <w:spacing w:after="0" w:line="240" w:lineRule="auto"/>
              <w:jc w:val="both"/>
              <w:rPr>
                <w:rFonts w:cs="Times New Roman"/>
                <w:i/>
                <w:noProof/>
                <w:sz w:val="14"/>
                <w:szCs w:val="14"/>
              </w:rPr>
            </w:pPr>
            <w:r w:rsidRPr="00B44B19">
              <w:rPr>
                <w:rFonts w:cs="Times New Roman"/>
                <w:noProof/>
                <w:sz w:val="16"/>
                <w:szCs w:val="16"/>
              </w:rPr>
              <w:t>Projektų duomenys, LSD</w:t>
            </w:r>
          </w:p>
        </w:tc>
        <w:tc>
          <w:tcPr>
            <w:tcW w:w="850" w:type="dxa"/>
          </w:tcPr>
          <w:p w14:paraId="374A47C9"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7F47E290" w14:textId="77777777" w:rsidTr="00966138">
        <w:trPr>
          <w:trHeight w:val="185"/>
        </w:trPr>
        <w:tc>
          <w:tcPr>
            <w:tcW w:w="1202" w:type="dxa"/>
            <w:vMerge/>
          </w:tcPr>
          <w:p w14:paraId="1395DDC0" w14:textId="77777777" w:rsidR="006D020B" w:rsidRPr="00B44B19" w:rsidRDefault="006D020B" w:rsidP="006D020B">
            <w:pPr>
              <w:spacing w:after="0" w:line="240" w:lineRule="auto"/>
              <w:rPr>
                <w:rFonts w:cs="Times New Roman"/>
                <w:noProof/>
                <w:sz w:val="16"/>
                <w:szCs w:val="16"/>
              </w:rPr>
            </w:pPr>
          </w:p>
        </w:tc>
        <w:tc>
          <w:tcPr>
            <w:tcW w:w="1033" w:type="dxa"/>
            <w:vMerge/>
          </w:tcPr>
          <w:p w14:paraId="7768DA33"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0C87D35D" w14:textId="77777777" w:rsidR="006D020B" w:rsidRPr="00B44B19" w:rsidRDefault="006D020B" w:rsidP="006D020B">
            <w:pPr>
              <w:spacing w:after="0" w:line="240" w:lineRule="auto"/>
              <w:jc w:val="both"/>
              <w:rPr>
                <w:rFonts w:cs="Times New Roman"/>
                <w:noProof/>
                <w:sz w:val="16"/>
                <w:szCs w:val="16"/>
              </w:rPr>
            </w:pPr>
          </w:p>
        </w:tc>
        <w:tc>
          <w:tcPr>
            <w:tcW w:w="992" w:type="dxa"/>
          </w:tcPr>
          <w:p w14:paraId="51C43B93"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rPr>
              <w:t>Sostinės regionas</w:t>
            </w:r>
          </w:p>
        </w:tc>
        <w:tc>
          <w:tcPr>
            <w:tcW w:w="1276" w:type="dxa"/>
          </w:tcPr>
          <w:p w14:paraId="702E575B" w14:textId="77777777" w:rsidR="006D020B" w:rsidRPr="00B44B19" w:rsidRDefault="006D020B" w:rsidP="006D020B">
            <w:pPr>
              <w:spacing w:after="0" w:line="240" w:lineRule="auto"/>
              <w:jc w:val="both"/>
              <w:rPr>
                <w:rFonts w:cs="Times New Roman"/>
                <w:noProof/>
                <w:sz w:val="16"/>
                <w:szCs w:val="16"/>
              </w:rPr>
            </w:pPr>
            <w:r w:rsidRPr="00B44B19">
              <w:rPr>
                <w:rFonts w:cs="Times New Roman"/>
                <w:sz w:val="16"/>
                <w:szCs w:val="16"/>
              </w:rPr>
              <w:t xml:space="preserve">Specialusis  </w:t>
            </w:r>
          </w:p>
        </w:tc>
        <w:tc>
          <w:tcPr>
            <w:tcW w:w="2693" w:type="dxa"/>
          </w:tcPr>
          <w:p w14:paraId="3CDA3FE9"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rPr>
              <w:t>Duomenų bazių duomenų įrašai (socialinių-humanitarinių mokslų</w:t>
            </w:r>
          </w:p>
        </w:tc>
        <w:tc>
          <w:tcPr>
            <w:tcW w:w="993" w:type="dxa"/>
          </w:tcPr>
          <w:p w14:paraId="1BD29F3E"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7A33DFF1"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247</w:t>
            </w:r>
          </w:p>
        </w:tc>
        <w:tc>
          <w:tcPr>
            <w:tcW w:w="1134" w:type="dxa"/>
          </w:tcPr>
          <w:p w14:paraId="33231943"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2020</w:t>
            </w:r>
          </w:p>
        </w:tc>
        <w:tc>
          <w:tcPr>
            <w:tcW w:w="992" w:type="dxa"/>
          </w:tcPr>
          <w:p w14:paraId="648CEACA"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480</w:t>
            </w:r>
          </w:p>
        </w:tc>
        <w:tc>
          <w:tcPr>
            <w:tcW w:w="1418" w:type="dxa"/>
          </w:tcPr>
          <w:p w14:paraId="0D184437"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LiDA, CLARIN-LT tyrimai</w:t>
            </w:r>
          </w:p>
        </w:tc>
        <w:tc>
          <w:tcPr>
            <w:tcW w:w="850" w:type="dxa"/>
          </w:tcPr>
          <w:p w14:paraId="76FDBCFB"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46C07212" w14:textId="77777777" w:rsidTr="00966138">
        <w:trPr>
          <w:trHeight w:val="185"/>
        </w:trPr>
        <w:tc>
          <w:tcPr>
            <w:tcW w:w="1202" w:type="dxa"/>
            <w:vMerge/>
          </w:tcPr>
          <w:p w14:paraId="03CBB869" w14:textId="77777777" w:rsidR="006D020B" w:rsidRPr="00B44B19" w:rsidRDefault="006D020B" w:rsidP="006D020B">
            <w:pPr>
              <w:spacing w:after="0" w:line="240" w:lineRule="auto"/>
              <w:rPr>
                <w:rFonts w:cs="Times New Roman"/>
                <w:noProof/>
                <w:sz w:val="16"/>
                <w:szCs w:val="16"/>
              </w:rPr>
            </w:pPr>
          </w:p>
        </w:tc>
        <w:tc>
          <w:tcPr>
            <w:tcW w:w="1033" w:type="dxa"/>
            <w:vMerge/>
          </w:tcPr>
          <w:p w14:paraId="396E3EA1"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55657FF4" w14:textId="77777777" w:rsidR="006D020B" w:rsidRPr="00B44B19" w:rsidRDefault="006D020B" w:rsidP="006D020B">
            <w:pPr>
              <w:spacing w:after="0" w:line="240" w:lineRule="auto"/>
              <w:jc w:val="both"/>
              <w:rPr>
                <w:rFonts w:cs="Times New Roman"/>
                <w:noProof/>
                <w:sz w:val="16"/>
                <w:szCs w:val="16"/>
              </w:rPr>
            </w:pPr>
          </w:p>
        </w:tc>
        <w:tc>
          <w:tcPr>
            <w:tcW w:w="992" w:type="dxa"/>
          </w:tcPr>
          <w:p w14:paraId="31EA88D6"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rPr>
              <w:t>VVL regionas</w:t>
            </w:r>
          </w:p>
        </w:tc>
        <w:tc>
          <w:tcPr>
            <w:tcW w:w="1276" w:type="dxa"/>
          </w:tcPr>
          <w:p w14:paraId="0D904161" w14:textId="77777777" w:rsidR="006D020B" w:rsidRPr="00B44B19" w:rsidRDefault="006D020B" w:rsidP="006D020B">
            <w:pPr>
              <w:spacing w:after="0" w:line="240" w:lineRule="auto"/>
              <w:jc w:val="both"/>
              <w:rPr>
                <w:rFonts w:cs="Times New Roman"/>
                <w:noProof/>
                <w:sz w:val="16"/>
                <w:szCs w:val="16"/>
              </w:rPr>
            </w:pPr>
            <w:r w:rsidRPr="00B44B19">
              <w:rPr>
                <w:rFonts w:cs="Times New Roman"/>
                <w:sz w:val="16"/>
                <w:szCs w:val="16"/>
              </w:rPr>
              <w:t xml:space="preserve">Specialusis </w:t>
            </w:r>
          </w:p>
        </w:tc>
        <w:tc>
          <w:tcPr>
            <w:tcW w:w="2693" w:type="dxa"/>
          </w:tcPr>
          <w:p w14:paraId="7228CC39"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rPr>
              <w:t>Duomenų bazių duomenų įrašai (socialinių-humanitarinių mokslų</w:t>
            </w:r>
          </w:p>
        </w:tc>
        <w:tc>
          <w:tcPr>
            <w:tcW w:w="993" w:type="dxa"/>
          </w:tcPr>
          <w:p w14:paraId="222FAA6F"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19AA2464"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179</w:t>
            </w:r>
          </w:p>
        </w:tc>
        <w:tc>
          <w:tcPr>
            <w:tcW w:w="1134" w:type="dxa"/>
          </w:tcPr>
          <w:p w14:paraId="2F42CF6B"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2020</w:t>
            </w:r>
          </w:p>
        </w:tc>
        <w:tc>
          <w:tcPr>
            <w:tcW w:w="992" w:type="dxa"/>
          </w:tcPr>
          <w:p w14:paraId="311C1377"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350</w:t>
            </w:r>
          </w:p>
        </w:tc>
        <w:tc>
          <w:tcPr>
            <w:tcW w:w="1418" w:type="dxa"/>
          </w:tcPr>
          <w:p w14:paraId="1D237CAC"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LiDA, CLARIN-LT tyrimai</w:t>
            </w:r>
          </w:p>
        </w:tc>
        <w:tc>
          <w:tcPr>
            <w:tcW w:w="850" w:type="dxa"/>
          </w:tcPr>
          <w:p w14:paraId="75728E0D"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222456AC" w14:textId="77777777" w:rsidTr="00966138">
        <w:trPr>
          <w:trHeight w:val="185"/>
        </w:trPr>
        <w:tc>
          <w:tcPr>
            <w:tcW w:w="1202" w:type="dxa"/>
            <w:vMerge/>
          </w:tcPr>
          <w:p w14:paraId="5FE5055D" w14:textId="77777777" w:rsidR="006D020B" w:rsidRPr="00B44B19" w:rsidRDefault="006D020B" w:rsidP="006D020B">
            <w:pPr>
              <w:spacing w:after="0" w:line="240" w:lineRule="auto"/>
              <w:rPr>
                <w:rFonts w:cs="Times New Roman"/>
                <w:noProof/>
                <w:sz w:val="16"/>
                <w:szCs w:val="16"/>
              </w:rPr>
            </w:pPr>
          </w:p>
        </w:tc>
        <w:tc>
          <w:tcPr>
            <w:tcW w:w="1033" w:type="dxa"/>
            <w:vMerge/>
          </w:tcPr>
          <w:p w14:paraId="700B9F0B"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08E1562C" w14:textId="77777777" w:rsidR="006D020B" w:rsidRPr="00B44B19" w:rsidRDefault="006D020B" w:rsidP="006D020B">
            <w:pPr>
              <w:spacing w:after="0" w:line="240" w:lineRule="auto"/>
              <w:jc w:val="both"/>
              <w:rPr>
                <w:rFonts w:cs="Times New Roman"/>
                <w:noProof/>
                <w:sz w:val="16"/>
                <w:szCs w:val="16"/>
              </w:rPr>
            </w:pPr>
          </w:p>
        </w:tc>
        <w:tc>
          <w:tcPr>
            <w:tcW w:w="992" w:type="dxa"/>
          </w:tcPr>
          <w:p w14:paraId="47B37C1F"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rPr>
              <w:t>Sostinės regionas</w:t>
            </w:r>
          </w:p>
        </w:tc>
        <w:tc>
          <w:tcPr>
            <w:tcW w:w="1276" w:type="dxa"/>
          </w:tcPr>
          <w:p w14:paraId="4BAD9C8F" w14:textId="77777777" w:rsidR="006D020B" w:rsidRPr="00B44B19" w:rsidRDefault="006D020B" w:rsidP="006D020B">
            <w:pPr>
              <w:spacing w:after="0" w:line="240" w:lineRule="auto"/>
              <w:jc w:val="both"/>
              <w:rPr>
                <w:rFonts w:cs="Times New Roman"/>
                <w:noProof/>
                <w:sz w:val="16"/>
                <w:szCs w:val="16"/>
              </w:rPr>
            </w:pPr>
            <w:r w:rsidRPr="00B44B19">
              <w:rPr>
                <w:rFonts w:cs="Times New Roman"/>
                <w:sz w:val="16"/>
                <w:szCs w:val="16"/>
              </w:rPr>
              <w:t>Specialusis</w:t>
            </w:r>
          </w:p>
        </w:tc>
        <w:tc>
          <w:tcPr>
            <w:tcW w:w="2693" w:type="dxa"/>
          </w:tcPr>
          <w:p w14:paraId="5E5BF7FC"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Duomenų bazių duomenų įrašai (fizinių, biomedicinos ir technologinių mokslų)</w:t>
            </w:r>
          </w:p>
        </w:tc>
        <w:tc>
          <w:tcPr>
            <w:tcW w:w="993" w:type="dxa"/>
          </w:tcPr>
          <w:p w14:paraId="094556D1"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4420425A" w14:textId="77777777" w:rsidR="006D020B" w:rsidRPr="00B44B19" w:rsidRDefault="006D020B" w:rsidP="006D020B">
            <w:pPr>
              <w:spacing w:after="0" w:line="240" w:lineRule="auto"/>
              <w:jc w:val="center"/>
              <w:rPr>
                <w:rFonts w:cs="Times New Roman"/>
                <w:noProof/>
                <w:sz w:val="16"/>
                <w:szCs w:val="16"/>
              </w:rPr>
            </w:pPr>
            <w:r w:rsidRPr="00B44B19">
              <w:rPr>
                <w:rFonts w:cs="Times New Roman"/>
                <w:sz w:val="16"/>
                <w:szCs w:val="16"/>
              </w:rPr>
              <w:t>243 046</w:t>
            </w:r>
          </w:p>
        </w:tc>
        <w:tc>
          <w:tcPr>
            <w:tcW w:w="1134" w:type="dxa"/>
          </w:tcPr>
          <w:p w14:paraId="249E59E7" w14:textId="77777777" w:rsidR="006D020B" w:rsidRPr="00B44B19" w:rsidRDefault="006D020B" w:rsidP="006D020B">
            <w:pPr>
              <w:spacing w:after="0" w:line="240" w:lineRule="auto"/>
              <w:jc w:val="center"/>
              <w:rPr>
                <w:rFonts w:cs="Times New Roman"/>
                <w:noProof/>
                <w:sz w:val="16"/>
                <w:szCs w:val="16"/>
              </w:rPr>
            </w:pPr>
            <w:r w:rsidRPr="00B44B19">
              <w:rPr>
                <w:rFonts w:cs="Times New Roman"/>
                <w:sz w:val="16"/>
                <w:szCs w:val="16"/>
              </w:rPr>
              <w:t>2020</w:t>
            </w:r>
          </w:p>
        </w:tc>
        <w:tc>
          <w:tcPr>
            <w:tcW w:w="992" w:type="dxa"/>
          </w:tcPr>
          <w:p w14:paraId="69EBB946"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346 000</w:t>
            </w:r>
          </w:p>
        </w:tc>
        <w:tc>
          <w:tcPr>
            <w:tcW w:w="1418" w:type="dxa"/>
          </w:tcPr>
          <w:p w14:paraId="132FA1C7"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MIDAS, COD tyrimai</w:t>
            </w:r>
          </w:p>
        </w:tc>
        <w:tc>
          <w:tcPr>
            <w:tcW w:w="850" w:type="dxa"/>
          </w:tcPr>
          <w:p w14:paraId="255DFFA0" w14:textId="77777777" w:rsidR="006D020B" w:rsidRPr="00B44B19" w:rsidRDefault="006D020B" w:rsidP="006D020B">
            <w:pPr>
              <w:spacing w:after="0" w:line="240" w:lineRule="auto"/>
              <w:jc w:val="both"/>
              <w:rPr>
                <w:rFonts w:cs="Times New Roman"/>
                <w:i/>
                <w:noProof/>
                <w:sz w:val="14"/>
                <w:szCs w:val="14"/>
                <w:lang w:eastAsia="lt-LT"/>
              </w:rPr>
            </w:pPr>
          </w:p>
        </w:tc>
      </w:tr>
      <w:tr w:rsidR="006D020B" w:rsidRPr="00B44B19" w14:paraId="170728F9" w14:textId="77777777" w:rsidTr="00966138">
        <w:trPr>
          <w:trHeight w:val="185"/>
        </w:trPr>
        <w:tc>
          <w:tcPr>
            <w:tcW w:w="1202" w:type="dxa"/>
            <w:vMerge/>
          </w:tcPr>
          <w:p w14:paraId="671DCB24" w14:textId="77777777" w:rsidR="006D020B" w:rsidRPr="00B44B19" w:rsidRDefault="006D020B" w:rsidP="006D020B">
            <w:pPr>
              <w:spacing w:after="0" w:line="240" w:lineRule="auto"/>
              <w:rPr>
                <w:rFonts w:cs="Times New Roman"/>
                <w:noProof/>
                <w:sz w:val="16"/>
                <w:szCs w:val="16"/>
              </w:rPr>
            </w:pPr>
          </w:p>
        </w:tc>
        <w:tc>
          <w:tcPr>
            <w:tcW w:w="1033" w:type="dxa"/>
            <w:vMerge/>
          </w:tcPr>
          <w:p w14:paraId="7D0708EE" w14:textId="77777777" w:rsidR="006D020B" w:rsidRPr="00B44B19" w:rsidRDefault="006D020B" w:rsidP="006D020B">
            <w:pPr>
              <w:spacing w:after="0" w:line="240" w:lineRule="auto"/>
              <w:jc w:val="both"/>
              <w:rPr>
                <w:rFonts w:cs="Times New Roman"/>
                <w:noProof/>
                <w:sz w:val="16"/>
                <w:szCs w:val="16"/>
              </w:rPr>
            </w:pPr>
          </w:p>
        </w:tc>
        <w:tc>
          <w:tcPr>
            <w:tcW w:w="850" w:type="dxa"/>
            <w:vMerge/>
          </w:tcPr>
          <w:p w14:paraId="11EE7F09" w14:textId="77777777" w:rsidR="006D020B" w:rsidRPr="00B44B19" w:rsidRDefault="006D020B" w:rsidP="006D020B">
            <w:pPr>
              <w:spacing w:after="0" w:line="240" w:lineRule="auto"/>
              <w:jc w:val="both"/>
              <w:rPr>
                <w:rFonts w:cs="Times New Roman"/>
                <w:noProof/>
                <w:sz w:val="16"/>
                <w:szCs w:val="16"/>
              </w:rPr>
            </w:pPr>
          </w:p>
        </w:tc>
        <w:tc>
          <w:tcPr>
            <w:tcW w:w="992" w:type="dxa"/>
          </w:tcPr>
          <w:p w14:paraId="058C3764" w14:textId="77777777" w:rsidR="006D020B" w:rsidRPr="00B44B19" w:rsidRDefault="006D020B" w:rsidP="006D020B">
            <w:pPr>
              <w:spacing w:after="0" w:line="240" w:lineRule="auto"/>
              <w:jc w:val="both"/>
              <w:rPr>
                <w:rFonts w:cs="Times New Roman"/>
                <w:sz w:val="16"/>
                <w:szCs w:val="16"/>
                <w:lang w:eastAsia="lt-LT"/>
              </w:rPr>
            </w:pPr>
            <w:r w:rsidRPr="00B44B19">
              <w:rPr>
                <w:rFonts w:cs="Times New Roman"/>
                <w:sz w:val="16"/>
                <w:szCs w:val="16"/>
              </w:rPr>
              <w:t>VVL regionas</w:t>
            </w:r>
          </w:p>
        </w:tc>
        <w:tc>
          <w:tcPr>
            <w:tcW w:w="1276" w:type="dxa"/>
          </w:tcPr>
          <w:p w14:paraId="6F35B6DD" w14:textId="77777777" w:rsidR="006D020B" w:rsidRPr="00B44B19" w:rsidRDefault="006D020B" w:rsidP="006D020B">
            <w:pPr>
              <w:spacing w:after="0" w:line="240" w:lineRule="auto"/>
              <w:jc w:val="both"/>
              <w:rPr>
                <w:rFonts w:cs="Times New Roman"/>
                <w:noProof/>
                <w:sz w:val="16"/>
                <w:szCs w:val="16"/>
              </w:rPr>
            </w:pPr>
            <w:r w:rsidRPr="00B44B19">
              <w:rPr>
                <w:rFonts w:cs="Times New Roman"/>
                <w:sz w:val="16"/>
                <w:szCs w:val="16"/>
              </w:rPr>
              <w:t>Specialusis</w:t>
            </w:r>
          </w:p>
        </w:tc>
        <w:tc>
          <w:tcPr>
            <w:tcW w:w="2693" w:type="dxa"/>
          </w:tcPr>
          <w:p w14:paraId="7AB53DAF" w14:textId="77777777" w:rsidR="006D020B" w:rsidRPr="00B44B19" w:rsidRDefault="006D020B" w:rsidP="006D020B">
            <w:pPr>
              <w:spacing w:after="0" w:line="240" w:lineRule="auto"/>
              <w:rPr>
                <w:rFonts w:cs="Times New Roman"/>
                <w:sz w:val="16"/>
                <w:szCs w:val="16"/>
                <w:lang w:eastAsia="lt-LT" w:bidi="ml-IN"/>
              </w:rPr>
            </w:pPr>
            <w:r w:rsidRPr="00B44B19">
              <w:rPr>
                <w:rFonts w:cs="Times New Roman"/>
                <w:sz w:val="16"/>
                <w:szCs w:val="16"/>
                <w:lang w:eastAsia="lt-LT" w:bidi="ml-IN"/>
              </w:rPr>
              <w:t>Duomenų bazių duomenų įrašai (fizinių, biomedicinos ir technologinių mokslų)</w:t>
            </w:r>
          </w:p>
        </w:tc>
        <w:tc>
          <w:tcPr>
            <w:tcW w:w="993" w:type="dxa"/>
          </w:tcPr>
          <w:p w14:paraId="160C5717"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7275D236" w14:textId="77777777" w:rsidR="006D020B" w:rsidRPr="00B44B19" w:rsidRDefault="006D020B" w:rsidP="006D020B">
            <w:pPr>
              <w:spacing w:after="0" w:line="240" w:lineRule="auto"/>
              <w:jc w:val="center"/>
              <w:rPr>
                <w:rFonts w:cs="Times New Roman"/>
                <w:noProof/>
                <w:sz w:val="16"/>
                <w:szCs w:val="16"/>
              </w:rPr>
            </w:pPr>
            <w:r w:rsidRPr="00B44B19">
              <w:rPr>
                <w:rFonts w:cs="Times New Roman"/>
                <w:sz w:val="16"/>
                <w:szCs w:val="16"/>
              </w:rPr>
              <w:t>175 999</w:t>
            </w:r>
          </w:p>
        </w:tc>
        <w:tc>
          <w:tcPr>
            <w:tcW w:w="1134" w:type="dxa"/>
          </w:tcPr>
          <w:p w14:paraId="2D0E5F0C" w14:textId="77777777" w:rsidR="006D020B" w:rsidRPr="00B44B19" w:rsidRDefault="006D020B" w:rsidP="006D020B">
            <w:pPr>
              <w:spacing w:after="0" w:line="240" w:lineRule="auto"/>
              <w:jc w:val="center"/>
              <w:rPr>
                <w:rFonts w:cs="Times New Roman"/>
                <w:noProof/>
                <w:sz w:val="16"/>
                <w:szCs w:val="16"/>
              </w:rPr>
            </w:pPr>
            <w:r w:rsidRPr="00B44B19">
              <w:rPr>
                <w:rFonts w:cs="Times New Roman"/>
                <w:sz w:val="16"/>
                <w:szCs w:val="16"/>
              </w:rPr>
              <w:t>2020</w:t>
            </w:r>
          </w:p>
        </w:tc>
        <w:tc>
          <w:tcPr>
            <w:tcW w:w="992" w:type="dxa"/>
          </w:tcPr>
          <w:p w14:paraId="1B612BE6" w14:textId="77777777" w:rsidR="006D020B" w:rsidRPr="00B44B19" w:rsidRDefault="006D020B" w:rsidP="006D020B">
            <w:pPr>
              <w:spacing w:after="0" w:line="240" w:lineRule="auto"/>
              <w:jc w:val="center"/>
              <w:rPr>
                <w:rFonts w:cs="Times New Roman"/>
                <w:noProof/>
                <w:sz w:val="16"/>
                <w:szCs w:val="16"/>
              </w:rPr>
            </w:pPr>
            <w:r w:rsidRPr="00B44B19">
              <w:rPr>
                <w:rFonts w:cs="Times New Roman"/>
                <w:noProof/>
                <w:sz w:val="16"/>
                <w:szCs w:val="16"/>
              </w:rPr>
              <w:t>250 560</w:t>
            </w:r>
          </w:p>
        </w:tc>
        <w:tc>
          <w:tcPr>
            <w:tcW w:w="1418" w:type="dxa"/>
          </w:tcPr>
          <w:p w14:paraId="79DDD68A" w14:textId="77777777" w:rsidR="006D020B" w:rsidRPr="00B44B19" w:rsidRDefault="006D020B" w:rsidP="006D020B">
            <w:pPr>
              <w:spacing w:after="0" w:line="240" w:lineRule="auto"/>
              <w:jc w:val="both"/>
              <w:rPr>
                <w:rFonts w:cs="Times New Roman"/>
                <w:noProof/>
                <w:sz w:val="16"/>
                <w:szCs w:val="16"/>
              </w:rPr>
            </w:pPr>
            <w:r w:rsidRPr="00B44B19">
              <w:rPr>
                <w:rFonts w:cs="Times New Roman"/>
                <w:noProof/>
                <w:sz w:val="16"/>
                <w:szCs w:val="16"/>
              </w:rPr>
              <w:t>MIDAS, COD tyrimai</w:t>
            </w:r>
          </w:p>
        </w:tc>
        <w:tc>
          <w:tcPr>
            <w:tcW w:w="850" w:type="dxa"/>
          </w:tcPr>
          <w:p w14:paraId="4E7C70FB" w14:textId="77777777" w:rsidR="006D020B" w:rsidRPr="00B44B19" w:rsidRDefault="006D020B" w:rsidP="006D020B">
            <w:pPr>
              <w:spacing w:after="0" w:line="240" w:lineRule="auto"/>
              <w:jc w:val="both"/>
              <w:rPr>
                <w:rFonts w:cs="Times New Roman"/>
                <w:i/>
                <w:noProof/>
                <w:sz w:val="14"/>
                <w:szCs w:val="14"/>
                <w:lang w:eastAsia="lt-LT"/>
              </w:rPr>
            </w:pPr>
          </w:p>
        </w:tc>
      </w:tr>
    </w:tbl>
    <w:p w14:paraId="08BB9F7E" w14:textId="77777777" w:rsidR="002A105E" w:rsidRPr="00B44B19" w:rsidRDefault="002A105E" w:rsidP="00306CD6">
      <w:pPr>
        <w:spacing w:before="240" w:after="240" w:line="240" w:lineRule="auto"/>
        <w:jc w:val="both"/>
        <w:rPr>
          <w:rFonts w:eastAsia="Calibri" w:cs="Times New Roman"/>
          <w:b/>
          <w:noProof/>
          <w:szCs w:val="20"/>
          <w:lang w:eastAsia="lt-LT" w:bidi="lt-LT"/>
        </w:rPr>
        <w:sectPr w:rsidR="002A105E" w:rsidRPr="00B44B19" w:rsidSect="00931C78">
          <w:pgSz w:w="16838" w:h="11906" w:orient="landscape"/>
          <w:pgMar w:top="1701" w:right="962" w:bottom="567" w:left="1134" w:header="567" w:footer="567" w:gutter="0"/>
          <w:cols w:space="1296"/>
          <w:docGrid w:linePitch="360"/>
        </w:sectPr>
      </w:pPr>
    </w:p>
    <w:p w14:paraId="20E25FBF" w14:textId="77777777" w:rsidR="00306CD6" w:rsidRPr="00B44B19" w:rsidRDefault="00306CD6" w:rsidP="00F52EB5">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1"/>
        <w:gridCol w:w="848"/>
        <w:gridCol w:w="1356"/>
        <w:gridCol w:w="1133"/>
        <w:gridCol w:w="3264"/>
        <w:gridCol w:w="1916"/>
      </w:tblGrid>
      <w:tr w:rsidR="00116C5C" w:rsidRPr="00B44B19" w14:paraId="6DF47430" w14:textId="77777777" w:rsidTr="003A2D26">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7FD3FE" w14:textId="77777777" w:rsidR="00116C5C" w:rsidRPr="00B44B19" w:rsidRDefault="00116C5C" w:rsidP="00116C5C">
            <w:pPr>
              <w:rPr>
                <w:rFonts w:eastAsia="Times New Roman" w:cs="Times New Roman"/>
                <w:b/>
                <w:iCs/>
                <w:noProof/>
                <w:sz w:val="20"/>
              </w:rPr>
            </w:pPr>
            <w:r w:rsidRPr="00B44B19">
              <w:rPr>
                <w:rFonts w:cs="Times New Roman"/>
                <w:b/>
                <w:noProof/>
                <w:sz w:val="20"/>
              </w:rPr>
              <w:t>4 lentelė. 1 matmuo. Intervencinių priemonių sritis</w:t>
            </w:r>
          </w:p>
        </w:tc>
      </w:tr>
      <w:tr w:rsidR="00116C5C" w:rsidRPr="00B44B19" w14:paraId="5DA54B77" w14:textId="77777777" w:rsidTr="003A2D26">
        <w:tc>
          <w:tcPr>
            <w:tcW w:w="10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1A4920"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743BD9"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Fondas</w:t>
            </w:r>
          </w:p>
        </w:tc>
        <w:tc>
          <w:tcPr>
            <w:tcW w:w="135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28CAE7"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FCB5F1"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Konkretus uždavinys</w:t>
            </w:r>
          </w:p>
        </w:tc>
        <w:tc>
          <w:tcPr>
            <w:tcW w:w="326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CB6F8"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Kodas</w:t>
            </w:r>
          </w:p>
        </w:tc>
        <w:tc>
          <w:tcPr>
            <w:tcW w:w="191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40876"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Suma (EUR)</w:t>
            </w:r>
          </w:p>
        </w:tc>
      </w:tr>
      <w:tr w:rsidR="00116C5C" w:rsidRPr="00B44B19" w14:paraId="345B9079" w14:textId="77777777" w:rsidTr="003A2D26">
        <w:tc>
          <w:tcPr>
            <w:tcW w:w="1091" w:type="dxa"/>
            <w:vMerge w:val="restart"/>
            <w:tcBorders>
              <w:top w:val="single" w:sz="12" w:space="0" w:color="auto"/>
            </w:tcBorders>
          </w:tcPr>
          <w:p w14:paraId="294D01B4"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1.</w:t>
            </w:r>
          </w:p>
        </w:tc>
        <w:tc>
          <w:tcPr>
            <w:tcW w:w="848" w:type="dxa"/>
            <w:vMerge w:val="restart"/>
            <w:tcBorders>
              <w:top w:val="single" w:sz="12" w:space="0" w:color="auto"/>
            </w:tcBorders>
          </w:tcPr>
          <w:p w14:paraId="0A471855"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ERPF</w:t>
            </w:r>
          </w:p>
        </w:tc>
        <w:tc>
          <w:tcPr>
            <w:tcW w:w="1356" w:type="dxa"/>
            <w:tcBorders>
              <w:top w:val="single" w:sz="12" w:space="0" w:color="auto"/>
              <w:bottom w:val="single" w:sz="4" w:space="0" w:color="auto"/>
            </w:tcBorders>
          </w:tcPr>
          <w:p w14:paraId="647D225C" w14:textId="77777777" w:rsidR="00116C5C" w:rsidRPr="00B44B19" w:rsidRDefault="00116C5C" w:rsidP="00116C5C">
            <w:pPr>
              <w:rPr>
                <w:rFonts w:eastAsia="Times New Roman" w:cs="Times New Roman"/>
                <w:iCs/>
                <w:noProof/>
                <w:sz w:val="20"/>
              </w:rPr>
            </w:pPr>
            <w:r w:rsidRPr="00B44B19">
              <w:rPr>
                <w:rFonts w:eastAsia="Times New Roman" w:cs="Times New Roman"/>
                <w:iCs/>
                <w:noProof/>
                <w:sz w:val="20"/>
              </w:rPr>
              <w:t>Sostinės regionas</w:t>
            </w:r>
          </w:p>
        </w:tc>
        <w:tc>
          <w:tcPr>
            <w:tcW w:w="1133" w:type="dxa"/>
            <w:vMerge w:val="restart"/>
            <w:tcBorders>
              <w:top w:val="single" w:sz="12" w:space="0" w:color="auto"/>
            </w:tcBorders>
          </w:tcPr>
          <w:p w14:paraId="2F9C0714" w14:textId="77777777" w:rsidR="00116C5C" w:rsidRPr="00B44B19" w:rsidRDefault="00116C5C" w:rsidP="00116C5C">
            <w:pPr>
              <w:jc w:val="center"/>
              <w:rPr>
                <w:rFonts w:eastAsia="Times New Roman" w:cs="Times New Roman"/>
                <w:iCs/>
                <w:noProof/>
                <w:sz w:val="20"/>
              </w:rPr>
            </w:pPr>
            <w:r w:rsidRPr="00B44B19">
              <w:rPr>
                <w:rFonts w:eastAsia="Times New Roman" w:cs="Times New Roman"/>
                <w:iCs/>
                <w:noProof/>
                <w:sz w:val="20"/>
              </w:rPr>
              <w:t>1.2</w:t>
            </w:r>
          </w:p>
        </w:tc>
        <w:tc>
          <w:tcPr>
            <w:tcW w:w="3264" w:type="dxa"/>
            <w:vMerge w:val="restart"/>
            <w:tcBorders>
              <w:top w:val="single" w:sz="12" w:space="0" w:color="auto"/>
            </w:tcBorders>
          </w:tcPr>
          <w:p w14:paraId="0FC85413" w14:textId="77777777" w:rsidR="00116C5C" w:rsidRPr="00B44B19" w:rsidRDefault="00116C5C" w:rsidP="001A6813">
            <w:pPr>
              <w:rPr>
                <w:rFonts w:eastAsia="Times New Roman" w:cs="Times New Roman"/>
                <w:iCs/>
                <w:noProof/>
                <w:sz w:val="20"/>
              </w:rPr>
            </w:pPr>
            <w:r w:rsidRPr="00B44B19">
              <w:rPr>
                <w:rFonts w:eastAsia="Times New Roman" w:cs="Times New Roman"/>
                <w:iCs/>
                <w:noProof/>
                <w:sz w:val="20"/>
              </w:rPr>
              <w:t>013</w:t>
            </w:r>
            <w:r w:rsidR="00D85B6F" w:rsidRPr="00B44B19">
              <w:rPr>
                <w:rFonts w:eastAsia="Times New Roman" w:cs="Times New Roman"/>
                <w:iCs/>
                <w:noProof/>
                <w:sz w:val="20"/>
              </w:rPr>
              <w:t xml:space="preserve"> </w:t>
            </w:r>
            <w:r w:rsidR="002B22DC" w:rsidRPr="00B44B19">
              <w:rPr>
                <w:rFonts w:eastAsia="Times New Roman" w:cs="Times New Roman"/>
                <w:iCs/>
                <w:noProof/>
                <w:sz w:val="20"/>
              </w:rPr>
              <w:t>–</w:t>
            </w:r>
            <w:r w:rsidR="00D85B6F" w:rsidRPr="00B44B19">
              <w:rPr>
                <w:rFonts w:eastAsia="Times New Roman" w:cs="Times New Roman"/>
                <w:iCs/>
                <w:noProof/>
                <w:sz w:val="20"/>
              </w:rPr>
              <w:t xml:space="preserve"> MVĮ skaitmeninimas (įskaitant e. prekybą, e. verslą ir tinkle vykdomus verslo procesus, skaitmeninius inovacijų centrus, gyvąsias laboratorijas, interneto verslininkus ir IRT startuolius, B2B)</w:t>
            </w:r>
          </w:p>
        </w:tc>
        <w:tc>
          <w:tcPr>
            <w:tcW w:w="1916" w:type="dxa"/>
            <w:tcBorders>
              <w:top w:val="single" w:sz="12" w:space="0" w:color="auto"/>
              <w:bottom w:val="single" w:sz="4" w:space="0" w:color="auto"/>
            </w:tcBorders>
          </w:tcPr>
          <w:p w14:paraId="134E0D29" w14:textId="007071A3" w:rsidR="00116C5C" w:rsidRPr="00B44B19" w:rsidRDefault="0045447F" w:rsidP="00E577AE">
            <w:pPr>
              <w:jc w:val="right"/>
              <w:rPr>
                <w:rFonts w:eastAsia="Times New Roman" w:cs="Times New Roman"/>
                <w:iCs/>
                <w:noProof/>
                <w:sz w:val="20"/>
              </w:rPr>
            </w:pPr>
            <w:r w:rsidRPr="00B44B19">
              <w:rPr>
                <w:rFonts w:cs="Times New Roman"/>
                <w:iCs/>
                <w:noProof/>
                <w:sz w:val="20"/>
              </w:rPr>
              <w:t>14 192 429,00</w:t>
            </w:r>
          </w:p>
        </w:tc>
      </w:tr>
      <w:tr w:rsidR="00116C5C" w:rsidRPr="00B44B19" w14:paraId="4C85C86B" w14:textId="77777777" w:rsidTr="003A2D26">
        <w:tc>
          <w:tcPr>
            <w:tcW w:w="1091" w:type="dxa"/>
            <w:vMerge/>
          </w:tcPr>
          <w:p w14:paraId="37C23CBC" w14:textId="77777777" w:rsidR="00116C5C" w:rsidRPr="00B44B19" w:rsidRDefault="00116C5C" w:rsidP="00116C5C">
            <w:pPr>
              <w:rPr>
                <w:rFonts w:eastAsia="Times New Roman" w:cs="Times New Roman"/>
                <w:iCs/>
                <w:noProof/>
                <w:sz w:val="20"/>
              </w:rPr>
            </w:pPr>
          </w:p>
        </w:tc>
        <w:tc>
          <w:tcPr>
            <w:tcW w:w="848" w:type="dxa"/>
            <w:vMerge/>
          </w:tcPr>
          <w:p w14:paraId="31A0DCC7" w14:textId="77777777" w:rsidR="00116C5C" w:rsidRPr="00B44B19" w:rsidRDefault="00116C5C" w:rsidP="00116C5C">
            <w:pPr>
              <w:rPr>
                <w:rFonts w:eastAsia="Times New Roman" w:cs="Times New Roman"/>
                <w:b/>
                <w:iCs/>
                <w:noProof/>
                <w:sz w:val="20"/>
              </w:rPr>
            </w:pPr>
          </w:p>
        </w:tc>
        <w:tc>
          <w:tcPr>
            <w:tcW w:w="1356" w:type="dxa"/>
            <w:tcBorders>
              <w:top w:val="single" w:sz="4" w:space="0" w:color="auto"/>
              <w:bottom w:val="single" w:sz="4" w:space="0" w:color="auto"/>
            </w:tcBorders>
          </w:tcPr>
          <w:p w14:paraId="03428807" w14:textId="77777777" w:rsidR="00116C5C" w:rsidRPr="00B44B19" w:rsidRDefault="00116C5C" w:rsidP="00116C5C">
            <w:pPr>
              <w:rPr>
                <w:rFonts w:eastAsia="Times New Roman" w:cs="Times New Roman"/>
                <w:iCs/>
                <w:noProof/>
                <w:sz w:val="20"/>
                <w:szCs w:val="20"/>
              </w:rPr>
            </w:pPr>
            <w:r w:rsidRPr="00B44B19">
              <w:rPr>
                <w:rFonts w:eastAsia="Times New Roman" w:cs="Times New Roman"/>
                <w:iCs/>
                <w:noProof/>
                <w:sz w:val="20"/>
                <w:szCs w:val="20"/>
              </w:rPr>
              <w:t xml:space="preserve">VVL </w:t>
            </w:r>
            <w:r w:rsidRPr="00B44B19">
              <w:rPr>
                <w:rFonts w:cs="Times New Roman"/>
                <w:sz w:val="20"/>
                <w:szCs w:val="20"/>
              </w:rPr>
              <w:t>regionas</w:t>
            </w:r>
          </w:p>
        </w:tc>
        <w:tc>
          <w:tcPr>
            <w:tcW w:w="1133" w:type="dxa"/>
            <w:vMerge/>
          </w:tcPr>
          <w:p w14:paraId="2A691DD5" w14:textId="77777777" w:rsidR="00116C5C" w:rsidRPr="00B44B19" w:rsidRDefault="00116C5C" w:rsidP="00116C5C">
            <w:pPr>
              <w:rPr>
                <w:rFonts w:eastAsia="Times New Roman" w:cs="Times New Roman"/>
                <w:b/>
                <w:iCs/>
                <w:noProof/>
                <w:sz w:val="20"/>
              </w:rPr>
            </w:pPr>
          </w:p>
        </w:tc>
        <w:tc>
          <w:tcPr>
            <w:tcW w:w="3264" w:type="dxa"/>
            <w:vMerge/>
            <w:tcBorders>
              <w:bottom w:val="single" w:sz="4" w:space="0" w:color="auto"/>
            </w:tcBorders>
          </w:tcPr>
          <w:p w14:paraId="1DAA2B15" w14:textId="77777777" w:rsidR="00116C5C" w:rsidRPr="00B44B19" w:rsidRDefault="00116C5C" w:rsidP="001A6813">
            <w:pPr>
              <w:rPr>
                <w:rFonts w:eastAsia="Times New Roman" w:cs="Times New Roman"/>
                <w:b/>
                <w:iCs/>
                <w:noProof/>
                <w:sz w:val="20"/>
              </w:rPr>
            </w:pPr>
          </w:p>
        </w:tc>
        <w:tc>
          <w:tcPr>
            <w:tcW w:w="1916" w:type="dxa"/>
            <w:tcBorders>
              <w:top w:val="single" w:sz="4" w:space="0" w:color="auto"/>
              <w:bottom w:val="single" w:sz="4" w:space="0" w:color="auto"/>
            </w:tcBorders>
          </w:tcPr>
          <w:p w14:paraId="24437FAD" w14:textId="74C43614" w:rsidR="00116C5C" w:rsidRPr="00B44B19" w:rsidRDefault="0045447F" w:rsidP="00E577AE">
            <w:pPr>
              <w:jc w:val="right"/>
              <w:rPr>
                <w:rFonts w:eastAsia="Times New Roman" w:cs="Times New Roman"/>
                <w:iCs/>
                <w:noProof/>
                <w:sz w:val="20"/>
              </w:rPr>
            </w:pPr>
            <w:r w:rsidRPr="00B44B19">
              <w:rPr>
                <w:rFonts w:cs="Times New Roman"/>
                <w:iCs/>
                <w:noProof/>
                <w:sz w:val="20"/>
              </w:rPr>
              <w:t>22 023 171,00</w:t>
            </w:r>
          </w:p>
        </w:tc>
      </w:tr>
      <w:tr w:rsidR="003A2D26" w:rsidRPr="00B44B19" w14:paraId="37921A56" w14:textId="77777777" w:rsidTr="003A2D26">
        <w:tc>
          <w:tcPr>
            <w:tcW w:w="1091" w:type="dxa"/>
            <w:vMerge/>
          </w:tcPr>
          <w:p w14:paraId="599999F3" w14:textId="77777777" w:rsidR="003A2D26" w:rsidRPr="00B44B19" w:rsidRDefault="003A2D26" w:rsidP="003A2D26">
            <w:pPr>
              <w:rPr>
                <w:rFonts w:eastAsia="Times New Roman" w:cs="Times New Roman"/>
                <w:iCs/>
                <w:noProof/>
                <w:sz w:val="20"/>
              </w:rPr>
            </w:pPr>
          </w:p>
        </w:tc>
        <w:tc>
          <w:tcPr>
            <w:tcW w:w="848" w:type="dxa"/>
            <w:vMerge/>
          </w:tcPr>
          <w:p w14:paraId="74B3EA59" w14:textId="77777777" w:rsidR="003A2D26" w:rsidRPr="00B44B19" w:rsidRDefault="003A2D26" w:rsidP="003A2D26">
            <w:pPr>
              <w:rPr>
                <w:rFonts w:eastAsia="Times New Roman" w:cs="Times New Roman"/>
                <w:b/>
                <w:iCs/>
                <w:noProof/>
                <w:sz w:val="20"/>
              </w:rPr>
            </w:pPr>
          </w:p>
        </w:tc>
        <w:tc>
          <w:tcPr>
            <w:tcW w:w="1356" w:type="dxa"/>
            <w:tcBorders>
              <w:top w:val="single" w:sz="4" w:space="0" w:color="auto"/>
              <w:bottom w:val="single" w:sz="4" w:space="0" w:color="auto"/>
            </w:tcBorders>
          </w:tcPr>
          <w:p w14:paraId="353247D4" w14:textId="5EFBF0B9" w:rsidR="003A2D26" w:rsidRPr="00B44B19" w:rsidRDefault="003A2D26" w:rsidP="003A2D26">
            <w:pPr>
              <w:rPr>
                <w:rFonts w:eastAsia="Times New Roman" w:cs="Times New Roman"/>
                <w:iCs/>
                <w:noProof/>
                <w:sz w:val="20"/>
                <w:szCs w:val="20"/>
              </w:rPr>
            </w:pPr>
            <w:r w:rsidRPr="00B44B19">
              <w:rPr>
                <w:rFonts w:eastAsia="Times New Roman" w:cs="Times New Roman"/>
                <w:iCs/>
                <w:noProof/>
                <w:sz w:val="20"/>
              </w:rPr>
              <w:t>VVL regionas</w:t>
            </w:r>
          </w:p>
        </w:tc>
        <w:tc>
          <w:tcPr>
            <w:tcW w:w="1133" w:type="dxa"/>
            <w:vMerge/>
          </w:tcPr>
          <w:p w14:paraId="64FA4E47" w14:textId="77777777" w:rsidR="003A2D26" w:rsidRPr="00B44B19" w:rsidRDefault="003A2D26" w:rsidP="003A2D26">
            <w:pPr>
              <w:rPr>
                <w:rFonts w:eastAsia="Times New Roman" w:cs="Times New Roman"/>
                <w:b/>
                <w:iCs/>
                <w:noProof/>
                <w:sz w:val="20"/>
              </w:rPr>
            </w:pPr>
          </w:p>
        </w:tc>
        <w:tc>
          <w:tcPr>
            <w:tcW w:w="3264" w:type="dxa"/>
            <w:tcBorders>
              <w:bottom w:val="single" w:sz="4" w:space="0" w:color="auto"/>
            </w:tcBorders>
          </w:tcPr>
          <w:p w14:paraId="7199F7D2" w14:textId="09CFA46A" w:rsidR="003A2D26" w:rsidRPr="00B44B19" w:rsidRDefault="003A2D26" w:rsidP="003A2D26">
            <w:pPr>
              <w:rPr>
                <w:rFonts w:eastAsia="Times New Roman" w:cs="Times New Roman"/>
                <w:bCs/>
                <w:iCs/>
                <w:noProof/>
                <w:sz w:val="20"/>
              </w:rPr>
            </w:pPr>
            <w:r w:rsidRPr="00B44B19">
              <w:rPr>
                <w:rFonts w:eastAsia="Times New Roman" w:cs="Times New Roman"/>
                <w:bCs/>
                <w:iCs/>
                <w:noProof/>
                <w:sz w:val="20"/>
              </w:rPr>
              <w:t>010 - MVĮ mokslinių tyrimų ir inovacijų veikla, įskaitant tinklaveiką</w:t>
            </w:r>
          </w:p>
        </w:tc>
        <w:tc>
          <w:tcPr>
            <w:tcW w:w="1916" w:type="dxa"/>
            <w:tcBorders>
              <w:top w:val="single" w:sz="4" w:space="0" w:color="auto"/>
              <w:bottom w:val="single" w:sz="4" w:space="0" w:color="auto"/>
            </w:tcBorders>
          </w:tcPr>
          <w:p w14:paraId="3AC5210F" w14:textId="492DC572" w:rsidR="003A2D26" w:rsidRPr="00B44B19" w:rsidRDefault="003A2D26" w:rsidP="003A2D26">
            <w:pPr>
              <w:jc w:val="right"/>
              <w:rPr>
                <w:rFonts w:cs="Times New Roman"/>
                <w:iCs/>
                <w:noProof/>
                <w:sz w:val="20"/>
              </w:rPr>
            </w:pPr>
            <w:r w:rsidRPr="00B44B19">
              <w:rPr>
                <w:rFonts w:eastAsia="Times New Roman" w:cs="Times New Roman"/>
                <w:bCs/>
                <w:iCs/>
                <w:noProof/>
                <w:sz w:val="20"/>
              </w:rPr>
              <w:t>15 000 000,00</w:t>
            </w:r>
          </w:p>
        </w:tc>
      </w:tr>
      <w:tr w:rsidR="0045447F" w:rsidRPr="00B44B19" w14:paraId="5B876E8F" w14:textId="77777777" w:rsidTr="003040E3">
        <w:tc>
          <w:tcPr>
            <w:tcW w:w="1091" w:type="dxa"/>
            <w:vMerge/>
          </w:tcPr>
          <w:p w14:paraId="4CC6F329" w14:textId="77777777" w:rsidR="0045447F" w:rsidRPr="00B44B19" w:rsidRDefault="0045447F" w:rsidP="0045447F">
            <w:pPr>
              <w:rPr>
                <w:rFonts w:eastAsia="Times New Roman" w:cs="Times New Roman"/>
                <w:iCs/>
                <w:noProof/>
                <w:sz w:val="20"/>
              </w:rPr>
            </w:pPr>
          </w:p>
        </w:tc>
        <w:tc>
          <w:tcPr>
            <w:tcW w:w="848" w:type="dxa"/>
            <w:vMerge/>
          </w:tcPr>
          <w:p w14:paraId="076B3C85" w14:textId="77777777" w:rsidR="0045447F" w:rsidRPr="00B44B19" w:rsidRDefault="0045447F" w:rsidP="0045447F">
            <w:pPr>
              <w:rPr>
                <w:rFonts w:eastAsia="Times New Roman" w:cs="Times New Roman"/>
                <w:b/>
                <w:iCs/>
                <w:noProof/>
                <w:sz w:val="20"/>
              </w:rPr>
            </w:pPr>
          </w:p>
        </w:tc>
        <w:tc>
          <w:tcPr>
            <w:tcW w:w="1356" w:type="dxa"/>
            <w:tcBorders>
              <w:top w:val="single" w:sz="4" w:space="0" w:color="auto"/>
              <w:bottom w:val="single" w:sz="4" w:space="0" w:color="auto"/>
            </w:tcBorders>
          </w:tcPr>
          <w:p w14:paraId="37FD7EE0" w14:textId="75E7A3AE" w:rsidR="0045447F" w:rsidRPr="00B44B19" w:rsidRDefault="0045447F" w:rsidP="0045447F">
            <w:pPr>
              <w:rPr>
                <w:rFonts w:eastAsia="Times New Roman" w:cs="Times New Roman"/>
                <w:iCs/>
                <w:noProof/>
                <w:color w:val="000000" w:themeColor="text1"/>
                <w:sz w:val="20"/>
              </w:rPr>
            </w:pPr>
            <w:r w:rsidRPr="00B44B19">
              <w:rPr>
                <w:rFonts w:eastAsia="Times New Roman" w:cs="Times New Roman"/>
                <w:iCs/>
                <w:noProof/>
                <w:color w:val="000000" w:themeColor="text1"/>
                <w:sz w:val="20"/>
              </w:rPr>
              <w:t>Sostinės regionas</w:t>
            </w:r>
          </w:p>
        </w:tc>
        <w:tc>
          <w:tcPr>
            <w:tcW w:w="1133" w:type="dxa"/>
            <w:vMerge/>
          </w:tcPr>
          <w:p w14:paraId="12F938EF" w14:textId="77777777" w:rsidR="0045447F" w:rsidRPr="00B44B19" w:rsidRDefault="0045447F" w:rsidP="0045447F">
            <w:pPr>
              <w:rPr>
                <w:rFonts w:eastAsia="Times New Roman" w:cs="Times New Roman"/>
                <w:iCs/>
                <w:noProof/>
                <w:color w:val="000000" w:themeColor="text1"/>
                <w:sz w:val="20"/>
              </w:rPr>
            </w:pPr>
          </w:p>
        </w:tc>
        <w:tc>
          <w:tcPr>
            <w:tcW w:w="3264" w:type="dxa"/>
            <w:vMerge w:val="restart"/>
          </w:tcPr>
          <w:p w14:paraId="7E09EF54" w14:textId="527F2F97" w:rsidR="0045447F" w:rsidRPr="00B44B19" w:rsidRDefault="0045447F" w:rsidP="0045447F">
            <w:pPr>
              <w:rPr>
                <w:rFonts w:eastAsia="Times New Roman" w:cs="Times New Roman"/>
                <w:iCs/>
                <w:noProof/>
                <w:color w:val="000000" w:themeColor="text1"/>
                <w:sz w:val="20"/>
              </w:rPr>
            </w:pPr>
            <w:r w:rsidRPr="00B44B19">
              <w:rPr>
                <w:rFonts w:eastAsia="Times New Roman" w:cs="Times New Roman"/>
                <w:iCs/>
                <w:noProof/>
                <w:color w:val="000000" w:themeColor="text1"/>
                <w:sz w:val="20"/>
                <w:szCs w:val="20"/>
              </w:rPr>
              <w:t>014 - Didelių įmonių skaitmeninimas (įskaitant e. prekybą, e. verslą ir tinkle vykdomus verslo procesus, skaitmeninius inovacijų centrus, gyvąsias laboratorijas, interneto verslininkus ir IRT startuolius, B2B)</w:t>
            </w:r>
          </w:p>
        </w:tc>
        <w:tc>
          <w:tcPr>
            <w:tcW w:w="1916" w:type="dxa"/>
            <w:tcBorders>
              <w:top w:val="single" w:sz="4" w:space="0" w:color="auto"/>
              <w:bottom w:val="single" w:sz="4" w:space="0" w:color="auto"/>
            </w:tcBorders>
          </w:tcPr>
          <w:p w14:paraId="5E2F66CB" w14:textId="78EFA5E9" w:rsidR="0045447F" w:rsidRPr="00B44B19" w:rsidRDefault="0045447F" w:rsidP="0045447F">
            <w:pPr>
              <w:jc w:val="right"/>
              <w:rPr>
                <w:rFonts w:eastAsia="Times New Roman" w:cs="Times New Roman"/>
                <w:iCs/>
                <w:noProof/>
                <w:color w:val="000000" w:themeColor="text1"/>
                <w:sz w:val="20"/>
              </w:rPr>
            </w:pPr>
            <w:r w:rsidRPr="00B44B19">
              <w:rPr>
                <w:rFonts w:cs="Times New Roman"/>
                <w:iCs/>
                <w:noProof/>
                <w:color w:val="000000" w:themeColor="text1"/>
                <w:sz w:val="20"/>
                <w:szCs w:val="20"/>
              </w:rPr>
              <w:t>27 000,00</w:t>
            </w:r>
          </w:p>
        </w:tc>
      </w:tr>
      <w:tr w:rsidR="0045447F" w:rsidRPr="00B44B19" w14:paraId="76FADCEA" w14:textId="77777777" w:rsidTr="003A2D26">
        <w:tc>
          <w:tcPr>
            <w:tcW w:w="1091" w:type="dxa"/>
            <w:vMerge/>
          </w:tcPr>
          <w:p w14:paraId="066502DB" w14:textId="77777777" w:rsidR="0045447F" w:rsidRPr="00B44B19" w:rsidRDefault="0045447F" w:rsidP="0045447F">
            <w:pPr>
              <w:rPr>
                <w:rFonts w:eastAsia="Times New Roman" w:cs="Times New Roman"/>
                <w:iCs/>
                <w:noProof/>
                <w:sz w:val="20"/>
              </w:rPr>
            </w:pPr>
          </w:p>
        </w:tc>
        <w:tc>
          <w:tcPr>
            <w:tcW w:w="848" w:type="dxa"/>
            <w:vMerge/>
          </w:tcPr>
          <w:p w14:paraId="6C2B3451" w14:textId="77777777" w:rsidR="0045447F" w:rsidRPr="00B44B19" w:rsidRDefault="0045447F" w:rsidP="0045447F">
            <w:pPr>
              <w:rPr>
                <w:rFonts w:eastAsia="Times New Roman" w:cs="Times New Roman"/>
                <w:b/>
                <w:iCs/>
                <w:noProof/>
                <w:sz w:val="20"/>
              </w:rPr>
            </w:pPr>
          </w:p>
        </w:tc>
        <w:tc>
          <w:tcPr>
            <w:tcW w:w="1356" w:type="dxa"/>
            <w:tcBorders>
              <w:top w:val="single" w:sz="4" w:space="0" w:color="auto"/>
              <w:bottom w:val="single" w:sz="4" w:space="0" w:color="auto"/>
            </w:tcBorders>
          </w:tcPr>
          <w:p w14:paraId="5083006F" w14:textId="7657071C" w:rsidR="0045447F" w:rsidRPr="00B44B19" w:rsidRDefault="0045447F" w:rsidP="0045447F">
            <w:pPr>
              <w:rPr>
                <w:rFonts w:eastAsia="Times New Roman" w:cs="Times New Roman"/>
                <w:iCs/>
                <w:noProof/>
                <w:color w:val="000000" w:themeColor="text1"/>
                <w:sz w:val="20"/>
              </w:rPr>
            </w:pPr>
            <w:r w:rsidRPr="00B44B19">
              <w:rPr>
                <w:rFonts w:eastAsia="Times New Roman" w:cs="Times New Roman"/>
                <w:iCs/>
                <w:noProof/>
                <w:color w:val="000000" w:themeColor="text1"/>
                <w:sz w:val="20"/>
              </w:rPr>
              <w:t>VVL regionas</w:t>
            </w:r>
          </w:p>
        </w:tc>
        <w:tc>
          <w:tcPr>
            <w:tcW w:w="1133" w:type="dxa"/>
            <w:vMerge/>
          </w:tcPr>
          <w:p w14:paraId="4CB489A6" w14:textId="77777777" w:rsidR="0045447F" w:rsidRPr="00B44B19" w:rsidRDefault="0045447F" w:rsidP="0045447F">
            <w:pPr>
              <w:rPr>
                <w:rFonts w:eastAsia="Times New Roman" w:cs="Times New Roman"/>
                <w:iCs/>
                <w:noProof/>
                <w:color w:val="000000" w:themeColor="text1"/>
                <w:sz w:val="20"/>
              </w:rPr>
            </w:pPr>
          </w:p>
        </w:tc>
        <w:tc>
          <w:tcPr>
            <w:tcW w:w="3264" w:type="dxa"/>
            <w:vMerge/>
            <w:tcBorders>
              <w:bottom w:val="single" w:sz="4" w:space="0" w:color="auto"/>
            </w:tcBorders>
          </w:tcPr>
          <w:p w14:paraId="451191A7" w14:textId="77777777" w:rsidR="0045447F" w:rsidRPr="00B44B19" w:rsidRDefault="0045447F" w:rsidP="0045447F">
            <w:pPr>
              <w:rPr>
                <w:rFonts w:eastAsia="Times New Roman" w:cs="Times New Roman"/>
                <w:iCs/>
                <w:noProof/>
                <w:color w:val="000000" w:themeColor="text1"/>
                <w:sz w:val="20"/>
              </w:rPr>
            </w:pPr>
          </w:p>
        </w:tc>
        <w:tc>
          <w:tcPr>
            <w:tcW w:w="1916" w:type="dxa"/>
            <w:tcBorders>
              <w:top w:val="single" w:sz="4" w:space="0" w:color="auto"/>
              <w:bottom w:val="single" w:sz="4" w:space="0" w:color="auto"/>
            </w:tcBorders>
          </w:tcPr>
          <w:p w14:paraId="4E0D802B" w14:textId="435F056D" w:rsidR="0045447F" w:rsidRPr="00B44B19" w:rsidRDefault="0045447F" w:rsidP="0045447F">
            <w:pPr>
              <w:jc w:val="right"/>
              <w:rPr>
                <w:rFonts w:eastAsia="Times New Roman" w:cs="Times New Roman"/>
                <w:iCs/>
                <w:noProof/>
                <w:color w:val="000000" w:themeColor="text1"/>
                <w:sz w:val="20"/>
              </w:rPr>
            </w:pPr>
            <w:r w:rsidRPr="00B44B19">
              <w:rPr>
                <w:rFonts w:cs="Times New Roman"/>
                <w:iCs/>
                <w:noProof/>
                <w:color w:val="000000" w:themeColor="text1"/>
                <w:sz w:val="20"/>
                <w:szCs w:val="20"/>
              </w:rPr>
              <w:t>216 000,00</w:t>
            </w:r>
          </w:p>
        </w:tc>
      </w:tr>
      <w:tr w:rsidR="0045447F" w:rsidRPr="00B44B19" w14:paraId="4CD9BEFC" w14:textId="77777777" w:rsidTr="003A2D26">
        <w:tc>
          <w:tcPr>
            <w:tcW w:w="1091" w:type="dxa"/>
            <w:vMerge/>
          </w:tcPr>
          <w:p w14:paraId="43669008" w14:textId="77777777" w:rsidR="0045447F" w:rsidRPr="00B44B19" w:rsidRDefault="0045447F" w:rsidP="0045447F">
            <w:pPr>
              <w:rPr>
                <w:rFonts w:eastAsia="Times New Roman" w:cs="Times New Roman"/>
                <w:iCs/>
                <w:noProof/>
                <w:sz w:val="20"/>
              </w:rPr>
            </w:pPr>
          </w:p>
        </w:tc>
        <w:tc>
          <w:tcPr>
            <w:tcW w:w="848" w:type="dxa"/>
            <w:vMerge/>
          </w:tcPr>
          <w:p w14:paraId="50B0509B" w14:textId="77777777" w:rsidR="0045447F" w:rsidRPr="00B44B19" w:rsidRDefault="0045447F" w:rsidP="0045447F">
            <w:pPr>
              <w:rPr>
                <w:rFonts w:eastAsia="Times New Roman" w:cs="Times New Roman"/>
                <w:b/>
                <w:iCs/>
                <w:noProof/>
                <w:sz w:val="20"/>
              </w:rPr>
            </w:pPr>
          </w:p>
        </w:tc>
        <w:tc>
          <w:tcPr>
            <w:tcW w:w="1356" w:type="dxa"/>
            <w:tcBorders>
              <w:top w:val="single" w:sz="4" w:space="0" w:color="auto"/>
              <w:bottom w:val="single" w:sz="4" w:space="0" w:color="auto"/>
            </w:tcBorders>
          </w:tcPr>
          <w:p w14:paraId="17113203" w14:textId="77777777" w:rsidR="0045447F" w:rsidRPr="00B44B19" w:rsidRDefault="0045447F" w:rsidP="0045447F">
            <w:pPr>
              <w:rPr>
                <w:rFonts w:eastAsia="Times New Roman" w:cs="Times New Roman"/>
                <w:iCs/>
                <w:noProof/>
                <w:sz w:val="20"/>
              </w:rPr>
            </w:pPr>
            <w:r w:rsidRPr="00B44B19">
              <w:rPr>
                <w:rFonts w:eastAsia="Times New Roman" w:cs="Times New Roman"/>
                <w:iCs/>
                <w:noProof/>
                <w:sz w:val="20"/>
              </w:rPr>
              <w:t>Sostinės regionas</w:t>
            </w:r>
          </w:p>
        </w:tc>
        <w:tc>
          <w:tcPr>
            <w:tcW w:w="1133" w:type="dxa"/>
            <w:vMerge/>
          </w:tcPr>
          <w:p w14:paraId="09B85F8E" w14:textId="77777777" w:rsidR="0045447F" w:rsidRPr="00B44B19" w:rsidRDefault="0045447F" w:rsidP="0045447F">
            <w:pPr>
              <w:rPr>
                <w:rFonts w:eastAsia="Times New Roman" w:cs="Times New Roman"/>
                <w:b/>
                <w:iCs/>
                <w:noProof/>
                <w:sz w:val="20"/>
              </w:rPr>
            </w:pPr>
          </w:p>
        </w:tc>
        <w:tc>
          <w:tcPr>
            <w:tcW w:w="3264" w:type="dxa"/>
            <w:vMerge w:val="restart"/>
            <w:tcBorders>
              <w:top w:val="single" w:sz="4" w:space="0" w:color="auto"/>
            </w:tcBorders>
          </w:tcPr>
          <w:p w14:paraId="0136827D" w14:textId="137CBD1D" w:rsidR="0045447F" w:rsidRPr="00B44B19" w:rsidRDefault="0045447F" w:rsidP="0045447F">
            <w:pPr>
              <w:rPr>
                <w:rFonts w:eastAsia="Times New Roman" w:cs="Times New Roman"/>
                <w:iCs/>
                <w:noProof/>
                <w:sz w:val="20"/>
              </w:rPr>
            </w:pPr>
            <w:r w:rsidRPr="00B44B19">
              <w:rPr>
                <w:rFonts w:eastAsia="Times New Roman" w:cs="Times New Roman"/>
                <w:iCs/>
                <w:noProof/>
                <w:sz w:val="20"/>
                <w:szCs w:val="20"/>
              </w:rPr>
              <w:t>017 – Vyriausybių IRT sprendimai, e. paslaugos, taikomosios programos, atitinkančios išmetamo šiltnamio efektą sukeliančių dujų kiekio mažinimo arba EVE kriterijus</w:t>
            </w:r>
          </w:p>
        </w:tc>
        <w:tc>
          <w:tcPr>
            <w:tcW w:w="1916" w:type="dxa"/>
            <w:tcBorders>
              <w:top w:val="single" w:sz="4" w:space="0" w:color="auto"/>
              <w:bottom w:val="single" w:sz="4" w:space="0" w:color="auto"/>
            </w:tcBorders>
          </w:tcPr>
          <w:p w14:paraId="233895DB" w14:textId="336FBB9B" w:rsidR="0045447F" w:rsidRPr="00B44B19" w:rsidRDefault="0045447F" w:rsidP="0045447F">
            <w:pPr>
              <w:jc w:val="right"/>
              <w:rPr>
                <w:rFonts w:eastAsia="Times New Roman" w:cs="Times New Roman"/>
                <w:iCs/>
                <w:noProof/>
                <w:sz w:val="20"/>
              </w:rPr>
            </w:pPr>
            <w:r w:rsidRPr="00B44B19">
              <w:rPr>
                <w:rFonts w:cs="Times New Roman"/>
                <w:sz w:val="20"/>
                <w:szCs w:val="20"/>
              </w:rPr>
              <w:t>3 536 639,00</w:t>
            </w:r>
          </w:p>
        </w:tc>
      </w:tr>
      <w:tr w:rsidR="0045447F" w:rsidRPr="00B44B19" w14:paraId="5C0FDBB3" w14:textId="77777777" w:rsidTr="003A2D26">
        <w:tc>
          <w:tcPr>
            <w:tcW w:w="1091" w:type="dxa"/>
            <w:vMerge/>
          </w:tcPr>
          <w:p w14:paraId="5880B960" w14:textId="77777777" w:rsidR="0045447F" w:rsidRPr="00B44B19" w:rsidRDefault="0045447F" w:rsidP="0045447F">
            <w:pPr>
              <w:rPr>
                <w:rFonts w:eastAsia="Times New Roman" w:cs="Times New Roman"/>
                <w:iCs/>
                <w:noProof/>
                <w:sz w:val="20"/>
              </w:rPr>
            </w:pPr>
          </w:p>
        </w:tc>
        <w:tc>
          <w:tcPr>
            <w:tcW w:w="848" w:type="dxa"/>
            <w:vMerge/>
          </w:tcPr>
          <w:p w14:paraId="5D5488B7" w14:textId="77777777" w:rsidR="0045447F" w:rsidRPr="00B44B19" w:rsidRDefault="0045447F" w:rsidP="0045447F">
            <w:pPr>
              <w:rPr>
                <w:rFonts w:eastAsia="Times New Roman" w:cs="Times New Roman"/>
                <w:b/>
                <w:iCs/>
                <w:noProof/>
                <w:sz w:val="20"/>
              </w:rPr>
            </w:pPr>
          </w:p>
        </w:tc>
        <w:tc>
          <w:tcPr>
            <w:tcW w:w="1356" w:type="dxa"/>
            <w:tcBorders>
              <w:top w:val="single" w:sz="4" w:space="0" w:color="auto"/>
              <w:bottom w:val="single" w:sz="4" w:space="0" w:color="auto"/>
            </w:tcBorders>
          </w:tcPr>
          <w:p w14:paraId="0F0DC374" w14:textId="77777777" w:rsidR="0045447F" w:rsidRPr="00B44B19" w:rsidRDefault="0045447F" w:rsidP="0045447F">
            <w:pPr>
              <w:rPr>
                <w:rFonts w:eastAsia="Times New Roman" w:cs="Times New Roman"/>
                <w:iCs/>
                <w:noProof/>
                <w:sz w:val="20"/>
              </w:rPr>
            </w:pPr>
            <w:r w:rsidRPr="00B44B19">
              <w:rPr>
                <w:rFonts w:eastAsia="Times New Roman" w:cs="Times New Roman"/>
                <w:iCs/>
                <w:noProof/>
                <w:sz w:val="20"/>
              </w:rPr>
              <w:t>VVL regionas</w:t>
            </w:r>
          </w:p>
        </w:tc>
        <w:tc>
          <w:tcPr>
            <w:tcW w:w="1133" w:type="dxa"/>
            <w:vMerge/>
          </w:tcPr>
          <w:p w14:paraId="1E0FECFE" w14:textId="77777777" w:rsidR="0045447F" w:rsidRPr="00B44B19" w:rsidRDefault="0045447F" w:rsidP="0045447F">
            <w:pPr>
              <w:rPr>
                <w:rFonts w:eastAsia="Times New Roman" w:cs="Times New Roman"/>
                <w:b/>
                <w:iCs/>
                <w:noProof/>
                <w:sz w:val="20"/>
              </w:rPr>
            </w:pPr>
          </w:p>
        </w:tc>
        <w:tc>
          <w:tcPr>
            <w:tcW w:w="3264" w:type="dxa"/>
            <w:vMerge/>
          </w:tcPr>
          <w:p w14:paraId="64039A6C" w14:textId="77777777" w:rsidR="0045447F" w:rsidRPr="00B44B19" w:rsidRDefault="0045447F" w:rsidP="0045447F">
            <w:pPr>
              <w:rPr>
                <w:rFonts w:eastAsia="Times New Roman" w:cs="Times New Roman"/>
                <w:b/>
                <w:iCs/>
                <w:noProof/>
                <w:sz w:val="20"/>
              </w:rPr>
            </w:pPr>
          </w:p>
        </w:tc>
        <w:tc>
          <w:tcPr>
            <w:tcW w:w="1916" w:type="dxa"/>
            <w:tcBorders>
              <w:top w:val="single" w:sz="4" w:space="0" w:color="auto"/>
              <w:bottom w:val="single" w:sz="4" w:space="0" w:color="auto"/>
            </w:tcBorders>
          </w:tcPr>
          <w:p w14:paraId="79480C61" w14:textId="607CFA61" w:rsidR="0045447F" w:rsidRPr="00B44B19" w:rsidRDefault="0045447F" w:rsidP="0045447F">
            <w:pPr>
              <w:jc w:val="right"/>
              <w:rPr>
                <w:rFonts w:eastAsia="Times New Roman" w:cs="Times New Roman"/>
                <w:iCs/>
                <w:noProof/>
                <w:sz w:val="20"/>
              </w:rPr>
            </w:pPr>
            <w:r w:rsidRPr="00B44B19">
              <w:rPr>
                <w:rFonts w:cs="Times New Roman"/>
                <w:sz w:val="20"/>
                <w:szCs w:val="20"/>
              </w:rPr>
              <w:t>2 856 092,00</w:t>
            </w:r>
          </w:p>
        </w:tc>
      </w:tr>
      <w:tr w:rsidR="0045447F" w:rsidRPr="00B44B19" w14:paraId="75C540FB" w14:textId="77777777" w:rsidTr="00BE32EE">
        <w:tc>
          <w:tcPr>
            <w:tcW w:w="1091" w:type="dxa"/>
            <w:vMerge/>
          </w:tcPr>
          <w:p w14:paraId="51D097E0" w14:textId="77777777" w:rsidR="0045447F" w:rsidRPr="00B44B19" w:rsidRDefault="0045447F" w:rsidP="0045447F">
            <w:pPr>
              <w:rPr>
                <w:rFonts w:eastAsia="Times New Roman" w:cs="Times New Roman"/>
                <w:iCs/>
                <w:noProof/>
                <w:sz w:val="20"/>
              </w:rPr>
            </w:pPr>
          </w:p>
        </w:tc>
        <w:tc>
          <w:tcPr>
            <w:tcW w:w="848" w:type="dxa"/>
            <w:vMerge/>
          </w:tcPr>
          <w:p w14:paraId="4A5F4D85" w14:textId="77777777" w:rsidR="0045447F" w:rsidRPr="00B44B19" w:rsidRDefault="0045447F" w:rsidP="0045447F">
            <w:pPr>
              <w:rPr>
                <w:rFonts w:eastAsia="Times New Roman" w:cs="Times New Roman"/>
                <w:b/>
                <w:iCs/>
                <w:noProof/>
                <w:sz w:val="20"/>
              </w:rPr>
            </w:pPr>
          </w:p>
        </w:tc>
        <w:tc>
          <w:tcPr>
            <w:tcW w:w="1356" w:type="dxa"/>
            <w:tcBorders>
              <w:top w:val="single" w:sz="4" w:space="0" w:color="auto"/>
              <w:left w:val="single" w:sz="4" w:space="0" w:color="auto"/>
              <w:bottom w:val="single" w:sz="4" w:space="0" w:color="auto"/>
              <w:right w:val="single" w:sz="4" w:space="0" w:color="auto"/>
            </w:tcBorders>
          </w:tcPr>
          <w:p w14:paraId="452DC115" w14:textId="0856B55D" w:rsidR="0045447F" w:rsidRPr="00B44B19" w:rsidRDefault="0045447F" w:rsidP="0045447F">
            <w:pPr>
              <w:rPr>
                <w:rFonts w:eastAsia="Times New Roman" w:cs="Times New Roman"/>
                <w:iCs/>
                <w:noProof/>
                <w:sz w:val="20"/>
              </w:rPr>
            </w:pPr>
            <w:r w:rsidRPr="00B44B19">
              <w:rPr>
                <w:rFonts w:eastAsia="Times New Roman" w:cs="Times New Roman"/>
                <w:iCs/>
                <w:noProof/>
                <w:sz w:val="20"/>
              </w:rPr>
              <w:t>Sostinės regionas</w:t>
            </w:r>
          </w:p>
        </w:tc>
        <w:tc>
          <w:tcPr>
            <w:tcW w:w="1133" w:type="dxa"/>
            <w:vMerge/>
            <w:tcBorders>
              <w:left w:val="single" w:sz="4" w:space="0" w:color="auto"/>
              <w:right w:val="single" w:sz="4" w:space="0" w:color="auto"/>
            </w:tcBorders>
          </w:tcPr>
          <w:p w14:paraId="07550D56" w14:textId="77777777" w:rsidR="0045447F" w:rsidRPr="00B44B19" w:rsidRDefault="0045447F" w:rsidP="0045447F">
            <w:pPr>
              <w:rPr>
                <w:rFonts w:eastAsia="Times New Roman" w:cs="Times New Roman"/>
                <w:b/>
                <w:iCs/>
                <w:noProof/>
                <w:sz w:val="20"/>
              </w:rPr>
            </w:pPr>
          </w:p>
        </w:tc>
        <w:tc>
          <w:tcPr>
            <w:tcW w:w="3264" w:type="dxa"/>
            <w:vMerge w:val="restart"/>
            <w:tcBorders>
              <w:top w:val="single" w:sz="4" w:space="0" w:color="auto"/>
              <w:left w:val="single" w:sz="4" w:space="0" w:color="auto"/>
            </w:tcBorders>
          </w:tcPr>
          <w:p w14:paraId="017871C1" w14:textId="77777777" w:rsidR="0045447F" w:rsidRPr="00B44B19" w:rsidRDefault="0045447F" w:rsidP="0045447F">
            <w:pPr>
              <w:rPr>
                <w:rFonts w:eastAsia="Times New Roman" w:cs="Times New Roman"/>
                <w:iCs/>
                <w:noProof/>
                <w:sz w:val="20"/>
              </w:rPr>
            </w:pPr>
            <w:r w:rsidRPr="00B44B19">
              <w:rPr>
                <w:rFonts w:eastAsia="Times New Roman" w:cs="Times New Roman"/>
                <w:iCs/>
                <w:noProof/>
                <w:sz w:val="20"/>
              </w:rPr>
              <w:t>024 - MVĮ ir MVĮ grupėms skirtos pažangios paramos paslaugos</w:t>
            </w:r>
          </w:p>
          <w:p w14:paraId="64ED5363" w14:textId="04B098BD" w:rsidR="0045447F" w:rsidRPr="00B44B19" w:rsidRDefault="0045447F" w:rsidP="0045447F">
            <w:pPr>
              <w:rPr>
                <w:rFonts w:eastAsia="Times New Roman" w:cs="Times New Roman"/>
                <w:b/>
                <w:iCs/>
                <w:noProof/>
                <w:sz w:val="20"/>
              </w:rPr>
            </w:pPr>
            <w:r w:rsidRPr="00B44B19">
              <w:rPr>
                <w:rFonts w:eastAsia="Times New Roman" w:cs="Times New Roman"/>
                <w:iCs/>
                <w:noProof/>
                <w:sz w:val="20"/>
                <w:lang w:val="pt-BR"/>
              </w:rPr>
              <w:t>(įskaitant valdymo, rinkodaros ir projektavimo paslaugas</w:t>
            </w:r>
          </w:p>
        </w:tc>
        <w:tc>
          <w:tcPr>
            <w:tcW w:w="1916" w:type="dxa"/>
            <w:tcBorders>
              <w:top w:val="single" w:sz="4" w:space="0" w:color="auto"/>
              <w:bottom w:val="single" w:sz="4" w:space="0" w:color="auto"/>
            </w:tcBorders>
          </w:tcPr>
          <w:p w14:paraId="7FA4F12D" w14:textId="05E030CE" w:rsidR="0045447F" w:rsidRPr="00B44B19" w:rsidRDefault="0045447F" w:rsidP="0045447F">
            <w:pPr>
              <w:jc w:val="right"/>
              <w:rPr>
                <w:rFonts w:cs="Times New Roman"/>
                <w:iCs/>
                <w:noProof/>
                <w:sz w:val="20"/>
              </w:rPr>
            </w:pPr>
            <w:r w:rsidRPr="00B44B19">
              <w:rPr>
                <w:rFonts w:cs="Times New Roman"/>
                <w:iCs/>
                <w:noProof/>
                <w:sz w:val="20"/>
              </w:rPr>
              <w:t>1 500 000,00</w:t>
            </w:r>
          </w:p>
        </w:tc>
      </w:tr>
      <w:tr w:rsidR="0045447F" w:rsidRPr="00B44B19" w14:paraId="131E8389" w14:textId="77777777" w:rsidTr="00BE32EE">
        <w:tc>
          <w:tcPr>
            <w:tcW w:w="1091" w:type="dxa"/>
            <w:vMerge/>
          </w:tcPr>
          <w:p w14:paraId="1CB0F66D" w14:textId="77777777" w:rsidR="0045447F" w:rsidRPr="00B44B19" w:rsidRDefault="0045447F" w:rsidP="0045447F">
            <w:pPr>
              <w:rPr>
                <w:rFonts w:eastAsia="Times New Roman" w:cs="Times New Roman"/>
                <w:iCs/>
                <w:noProof/>
                <w:sz w:val="20"/>
              </w:rPr>
            </w:pPr>
          </w:p>
        </w:tc>
        <w:tc>
          <w:tcPr>
            <w:tcW w:w="848" w:type="dxa"/>
            <w:vMerge/>
          </w:tcPr>
          <w:p w14:paraId="4BEA67BF" w14:textId="77777777" w:rsidR="0045447F" w:rsidRPr="00B44B19" w:rsidRDefault="0045447F" w:rsidP="0045447F">
            <w:pPr>
              <w:rPr>
                <w:rFonts w:eastAsia="Times New Roman" w:cs="Times New Roman"/>
                <w:b/>
                <w:iCs/>
                <w:noProof/>
                <w:sz w:val="20"/>
              </w:rPr>
            </w:pPr>
          </w:p>
        </w:tc>
        <w:tc>
          <w:tcPr>
            <w:tcW w:w="1356" w:type="dxa"/>
            <w:tcBorders>
              <w:top w:val="single" w:sz="4" w:space="0" w:color="auto"/>
              <w:left w:val="single" w:sz="4" w:space="0" w:color="auto"/>
              <w:right w:val="single" w:sz="4" w:space="0" w:color="auto"/>
            </w:tcBorders>
          </w:tcPr>
          <w:p w14:paraId="7A9AF468" w14:textId="04BCF8E8" w:rsidR="0045447F" w:rsidRPr="00B44B19" w:rsidRDefault="0045447F" w:rsidP="0045447F">
            <w:pPr>
              <w:rPr>
                <w:rFonts w:eastAsia="Times New Roman" w:cs="Times New Roman"/>
                <w:iCs/>
                <w:noProof/>
                <w:sz w:val="20"/>
              </w:rPr>
            </w:pPr>
            <w:r w:rsidRPr="00B44B19">
              <w:rPr>
                <w:rFonts w:eastAsia="Times New Roman" w:cs="Times New Roman"/>
                <w:iCs/>
                <w:noProof/>
                <w:sz w:val="20"/>
              </w:rPr>
              <w:t>VVL regionas</w:t>
            </w:r>
          </w:p>
        </w:tc>
        <w:tc>
          <w:tcPr>
            <w:tcW w:w="1133" w:type="dxa"/>
            <w:vMerge/>
            <w:tcBorders>
              <w:left w:val="single" w:sz="4" w:space="0" w:color="auto"/>
              <w:right w:val="single" w:sz="4" w:space="0" w:color="auto"/>
            </w:tcBorders>
          </w:tcPr>
          <w:p w14:paraId="259F3ACF" w14:textId="77777777" w:rsidR="0045447F" w:rsidRPr="00B44B19" w:rsidRDefault="0045447F" w:rsidP="0045447F">
            <w:pPr>
              <w:rPr>
                <w:rFonts w:eastAsia="Times New Roman" w:cs="Times New Roman"/>
                <w:b/>
                <w:iCs/>
                <w:noProof/>
                <w:sz w:val="20"/>
              </w:rPr>
            </w:pPr>
          </w:p>
        </w:tc>
        <w:tc>
          <w:tcPr>
            <w:tcW w:w="3264" w:type="dxa"/>
            <w:vMerge/>
            <w:tcBorders>
              <w:left w:val="single" w:sz="4" w:space="0" w:color="auto"/>
            </w:tcBorders>
          </w:tcPr>
          <w:p w14:paraId="689FE8F2" w14:textId="77777777" w:rsidR="0045447F" w:rsidRPr="00B44B19" w:rsidRDefault="0045447F" w:rsidP="0045447F">
            <w:pPr>
              <w:rPr>
                <w:rFonts w:eastAsia="Times New Roman" w:cs="Times New Roman"/>
                <w:b/>
                <w:iCs/>
                <w:noProof/>
                <w:sz w:val="20"/>
              </w:rPr>
            </w:pPr>
          </w:p>
        </w:tc>
        <w:tc>
          <w:tcPr>
            <w:tcW w:w="1916" w:type="dxa"/>
            <w:tcBorders>
              <w:top w:val="single" w:sz="4" w:space="0" w:color="auto"/>
            </w:tcBorders>
          </w:tcPr>
          <w:p w14:paraId="59B86C45" w14:textId="60A59AF9" w:rsidR="0045447F" w:rsidRPr="00B44B19" w:rsidRDefault="0045447F" w:rsidP="0045447F">
            <w:pPr>
              <w:jc w:val="right"/>
              <w:rPr>
                <w:rFonts w:cs="Times New Roman"/>
                <w:iCs/>
                <w:noProof/>
                <w:sz w:val="20"/>
              </w:rPr>
            </w:pPr>
            <w:r w:rsidRPr="00B44B19">
              <w:rPr>
                <w:rFonts w:eastAsia="Times New Roman" w:cs="Times New Roman"/>
                <w:iCs/>
                <w:noProof/>
                <w:sz w:val="20"/>
              </w:rPr>
              <w:t>1 500 000,00</w:t>
            </w:r>
          </w:p>
        </w:tc>
      </w:tr>
      <w:tr w:rsidR="0045447F" w:rsidRPr="00B44B19" w14:paraId="7DAACED3" w14:textId="77777777" w:rsidTr="003A2D26">
        <w:tc>
          <w:tcPr>
            <w:tcW w:w="1091" w:type="dxa"/>
            <w:vMerge/>
          </w:tcPr>
          <w:p w14:paraId="676C429C" w14:textId="77777777" w:rsidR="0045447F" w:rsidRPr="00B44B19" w:rsidRDefault="0045447F" w:rsidP="0045447F">
            <w:pPr>
              <w:rPr>
                <w:rFonts w:eastAsia="Times New Roman" w:cs="Times New Roman"/>
                <w:iCs/>
                <w:noProof/>
                <w:sz w:val="20"/>
              </w:rPr>
            </w:pPr>
          </w:p>
        </w:tc>
        <w:tc>
          <w:tcPr>
            <w:tcW w:w="848" w:type="dxa"/>
            <w:vMerge/>
          </w:tcPr>
          <w:p w14:paraId="3F4439AE" w14:textId="77777777" w:rsidR="0045447F" w:rsidRPr="00B44B19" w:rsidRDefault="0045447F" w:rsidP="0045447F">
            <w:pPr>
              <w:rPr>
                <w:rFonts w:eastAsia="Times New Roman" w:cs="Times New Roman"/>
                <w:b/>
                <w:iCs/>
                <w:noProof/>
                <w:sz w:val="20"/>
              </w:rPr>
            </w:pPr>
          </w:p>
        </w:tc>
        <w:tc>
          <w:tcPr>
            <w:tcW w:w="1356" w:type="dxa"/>
            <w:tcBorders>
              <w:top w:val="single" w:sz="4" w:space="0" w:color="auto"/>
              <w:bottom w:val="single" w:sz="4" w:space="0" w:color="auto"/>
            </w:tcBorders>
          </w:tcPr>
          <w:p w14:paraId="3765AE57" w14:textId="77777777" w:rsidR="0045447F" w:rsidRPr="00B44B19" w:rsidRDefault="0045447F" w:rsidP="0045447F">
            <w:pPr>
              <w:rPr>
                <w:rFonts w:cs="Times New Roman"/>
                <w:sz w:val="20"/>
                <w:szCs w:val="20"/>
              </w:rPr>
            </w:pPr>
            <w:r w:rsidRPr="00B44B19">
              <w:rPr>
                <w:rFonts w:cs="Times New Roman"/>
                <w:sz w:val="20"/>
                <w:szCs w:val="20"/>
              </w:rPr>
              <w:t>Sostinės regionas</w:t>
            </w:r>
          </w:p>
        </w:tc>
        <w:tc>
          <w:tcPr>
            <w:tcW w:w="1133" w:type="dxa"/>
            <w:vMerge/>
          </w:tcPr>
          <w:p w14:paraId="52DE092F" w14:textId="77777777" w:rsidR="0045447F" w:rsidRPr="00B44B19" w:rsidRDefault="0045447F" w:rsidP="0045447F">
            <w:pPr>
              <w:rPr>
                <w:rFonts w:eastAsia="Times New Roman" w:cs="Times New Roman"/>
                <w:b/>
                <w:iCs/>
                <w:noProof/>
                <w:sz w:val="20"/>
              </w:rPr>
            </w:pPr>
          </w:p>
        </w:tc>
        <w:tc>
          <w:tcPr>
            <w:tcW w:w="3264" w:type="dxa"/>
            <w:vMerge w:val="restart"/>
          </w:tcPr>
          <w:p w14:paraId="1456D7CF" w14:textId="359E499C" w:rsidR="0045447F" w:rsidRPr="00B44B19" w:rsidRDefault="0045447F" w:rsidP="0045447F">
            <w:pPr>
              <w:rPr>
                <w:rFonts w:eastAsia="Times New Roman" w:cs="Times New Roman"/>
                <w:iCs/>
                <w:noProof/>
                <w:sz w:val="20"/>
                <w:szCs w:val="20"/>
              </w:rPr>
            </w:pPr>
            <w:r w:rsidRPr="00B44B19">
              <w:rPr>
                <w:rFonts w:cs="Times New Roman"/>
                <w:sz w:val="20"/>
                <w:szCs w:val="20"/>
              </w:rPr>
              <w:t>027 - Inovacijų diegimas MVĮ (procesų, organizacinės, rinkodaros,</w:t>
            </w:r>
          </w:p>
          <w:p w14:paraId="2B133827" w14:textId="62A1D47F" w:rsidR="0045447F" w:rsidRPr="00B44B19" w:rsidRDefault="0045447F" w:rsidP="0045447F">
            <w:pPr>
              <w:rPr>
                <w:rFonts w:eastAsia="Times New Roman" w:cs="Times New Roman"/>
                <w:iCs/>
                <w:noProof/>
                <w:sz w:val="20"/>
                <w:szCs w:val="20"/>
              </w:rPr>
            </w:pPr>
            <w:r w:rsidRPr="00B44B19">
              <w:rPr>
                <w:rFonts w:cs="Times New Roman"/>
                <w:sz w:val="20"/>
                <w:szCs w:val="20"/>
              </w:rPr>
              <w:t>bendro kūrimo, naudotojų ir paklausos sąlygojamos inovacijos)</w:t>
            </w:r>
          </w:p>
        </w:tc>
        <w:tc>
          <w:tcPr>
            <w:tcW w:w="1916" w:type="dxa"/>
            <w:tcBorders>
              <w:top w:val="single" w:sz="4" w:space="0" w:color="auto"/>
              <w:bottom w:val="single" w:sz="4" w:space="0" w:color="auto"/>
            </w:tcBorders>
          </w:tcPr>
          <w:p w14:paraId="1B5DEF1C" w14:textId="147AAE81" w:rsidR="0045447F" w:rsidRPr="00B44B19" w:rsidRDefault="0045447F" w:rsidP="0045447F">
            <w:pPr>
              <w:jc w:val="right"/>
              <w:rPr>
                <w:rFonts w:cs="Times New Roman"/>
                <w:iCs/>
                <w:noProof/>
                <w:sz w:val="20"/>
                <w:szCs w:val="20"/>
              </w:rPr>
            </w:pPr>
            <w:r w:rsidRPr="00B44B19">
              <w:rPr>
                <w:rFonts w:cs="Times New Roman"/>
                <w:sz w:val="20"/>
                <w:szCs w:val="20"/>
              </w:rPr>
              <w:t>2 500 000,00</w:t>
            </w:r>
          </w:p>
        </w:tc>
      </w:tr>
      <w:tr w:rsidR="0045447F" w:rsidRPr="00B44B19" w14:paraId="0A1F6DF8" w14:textId="77777777" w:rsidTr="003A2D26">
        <w:tc>
          <w:tcPr>
            <w:tcW w:w="1091" w:type="dxa"/>
            <w:vMerge/>
          </w:tcPr>
          <w:p w14:paraId="1CCD63B3" w14:textId="77777777" w:rsidR="0045447F" w:rsidRPr="00B44B19" w:rsidRDefault="0045447F" w:rsidP="0045447F">
            <w:pPr>
              <w:rPr>
                <w:rFonts w:eastAsia="Times New Roman" w:cs="Times New Roman"/>
                <w:iCs/>
                <w:noProof/>
                <w:sz w:val="20"/>
              </w:rPr>
            </w:pPr>
          </w:p>
        </w:tc>
        <w:tc>
          <w:tcPr>
            <w:tcW w:w="848" w:type="dxa"/>
            <w:vMerge/>
          </w:tcPr>
          <w:p w14:paraId="0E768500" w14:textId="77777777" w:rsidR="0045447F" w:rsidRPr="00B44B19" w:rsidRDefault="0045447F" w:rsidP="0045447F">
            <w:pPr>
              <w:rPr>
                <w:rFonts w:eastAsia="Times New Roman" w:cs="Times New Roman"/>
                <w:b/>
                <w:iCs/>
                <w:noProof/>
                <w:sz w:val="20"/>
              </w:rPr>
            </w:pPr>
          </w:p>
        </w:tc>
        <w:tc>
          <w:tcPr>
            <w:tcW w:w="1356" w:type="dxa"/>
            <w:tcBorders>
              <w:top w:val="single" w:sz="4" w:space="0" w:color="auto"/>
            </w:tcBorders>
          </w:tcPr>
          <w:p w14:paraId="73D9029A" w14:textId="77777777" w:rsidR="0045447F" w:rsidRPr="00B44B19" w:rsidRDefault="0045447F" w:rsidP="0045447F">
            <w:pPr>
              <w:rPr>
                <w:rFonts w:cs="Times New Roman"/>
                <w:sz w:val="20"/>
                <w:szCs w:val="20"/>
              </w:rPr>
            </w:pPr>
            <w:r w:rsidRPr="00B44B19">
              <w:rPr>
                <w:rFonts w:cs="Times New Roman"/>
                <w:sz w:val="20"/>
                <w:szCs w:val="20"/>
              </w:rPr>
              <w:t>VVL regionas</w:t>
            </w:r>
          </w:p>
        </w:tc>
        <w:tc>
          <w:tcPr>
            <w:tcW w:w="1133" w:type="dxa"/>
            <w:vMerge/>
          </w:tcPr>
          <w:p w14:paraId="6745B139" w14:textId="77777777" w:rsidR="0045447F" w:rsidRPr="00B44B19" w:rsidRDefault="0045447F" w:rsidP="0045447F">
            <w:pPr>
              <w:rPr>
                <w:rFonts w:eastAsia="Times New Roman" w:cs="Times New Roman"/>
                <w:b/>
                <w:iCs/>
                <w:noProof/>
                <w:sz w:val="20"/>
              </w:rPr>
            </w:pPr>
          </w:p>
        </w:tc>
        <w:tc>
          <w:tcPr>
            <w:tcW w:w="3264" w:type="dxa"/>
            <w:vMerge/>
          </w:tcPr>
          <w:p w14:paraId="77ACCB78" w14:textId="77777777" w:rsidR="0045447F" w:rsidRPr="00B44B19" w:rsidRDefault="0045447F" w:rsidP="0045447F">
            <w:pPr>
              <w:rPr>
                <w:rFonts w:eastAsia="Times New Roman" w:cs="Times New Roman"/>
                <w:b/>
                <w:iCs/>
                <w:noProof/>
                <w:sz w:val="20"/>
                <w:szCs w:val="20"/>
              </w:rPr>
            </w:pPr>
          </w:p>
        </w:tc>
        <w:tc>
          <w:tcPr>
            <w:tcW w:w="1916" w:type="dxa"/>
            <w:tcBorders>
              <w:top w:val="single" w:sz="4" w:space="0" w:color="auto"/>
            </w:tcBorders>
          </w:tcPr>
          <w:p w14:paraId="3B06ACC9" w14:textId="4185539E" w:rsidR="0045447F" w:rsidRPr="00B44B19" w:rsidRDefault="0045447F" w:rsidP="0045447F">
            <w:pPr>
              <w:jc w:val="right"/>
              <w:rPr>
                <w:rFonts w:cs="Times New Roman"/>
                <w:iCs/>
                <w:noProof/>
                <w:sz w:val="20"/>
                <w:szCs w:val="20"/>
              </w:rPr>
            </w:pPr>
            <w:r w:rsidRPr="00B44B19">
              <w:rPr>
                <w:rFonts w:cs="Times New Roman"/>
                <w:sz w:val="20"/>
                <w:szCs w:val="20"/>
              </w:rPr>
              <w:t>5 000 000,00</w:t>
            </w:r>
          </w:p>
        </w:tc>
      </w:tr>
    </w:tbl>
    <w:p w14:paraId="72CA797D" w14:textId="77777777" w:rsidR="00116C5C" w:rsidRPr="00B44B19" w:rsidRDefault="00116C5C" w:rsidP="008B7309">
      <w:pPr>
        <w:spacing w:after="0" w:line="240" w:lineRule="auto"/>
        <w:rPr>
          <w:rFonts w:eastAsia="Times New Roman" w:cs="Times New Roman"/>
          <w:iCs/>
          <w:noProof/>
          <w:sz w:val="20"/>
          <w:szCs w:val="20"/>
        </w:rPr>
      </w:pPr>
    </w:p>
    <w:tbl>
      <w:tblPr>
        <w:tblStyle w:val="Lentelstinklelis"/>
        <w:tblW w:w="0" w:type="auto"/>
        <w:tblLayout w:type="fixed"/>
        <w:tblLook w:val="04A0" w:firstRow="1" w:lastRow="0" w:firstColumn="1" w:lastColumn="0" w:noHBand="0" w:noVBand="1"/>
      </w:tblPr>
      <w:tblGrid>
        <w:gridCol w:w="1093"/>
        <w:gridCol w:w="848"/>
        <w:gridCol w:w="1368"/>
        <w:gridCol w:w="1133"/>
        <w:gridCol w:w="3623"/>
        <w:gridCol w:w="1543"/>
      </w:tblGrid>
      <w:tr w:rsidR="00116C5C" w:rsidRPr="00B44B19" w14:paraId="0DFD9152" w14:textId="77777777" w:rsidTr="00BE32EE">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CA3ABAA" w14:textId="77777777" w:rsidR="00116C5C" w:rsidRPr="00B44B19" w:rsidRDefault="00116C5C" w:rsidP="008A7FF7">
            <w:pPr>
              <w:rPr>
                <w:rFonts w:eastAsia="Times New Roman" w:cs="Times New Roman"/>
                <w:b/>
                <w:iCs/>
                <w:noProof/>
                <w:sz w:val="20"/>
              </w:rPr>
            </w:pPr>
            <w:r w:rsidRPr="00B44B19">
              <w:rPr>
                <w:rFonts w:cs="Times New Roman"/>
                <w:b/>
                <w:noProof/>
                <w:sz w:val="20"/>
              </w:rPr>
              <w:t xml:space="preserve">5 lentelė. 2 matmuo. </w:t>
            </w:r>
            <w:r w:rsidR="008A7FF7" w:rsidRPr="00B44B19">
              <w:rPr>
                <w:rFonts w:cs="Times New Roman"/>
                <w:b/>
                <w:noProof/>
                <w:sz w:val="20"/>
              </w:rPr>
              <w:t>Finansavimo</w:t>
            </w:r>
            <w:r w:rsidR="006476C2" w:rsidRPr="00B44B19">
              <w:rPr>
                <w:rFonts w:cs="Times New Roman"/>
                <w:b/>
                <w:noProof/>
                <w:sz w:val="20"/>
              </w:rPr>
              <w:t xml:space="preserve"> </w:t>
            </w:r>
            <w:r w:rsidRPr="00B44B19">
              <w:rPr>
                <w:rFonts w:cs="Times New Roman"/>
                <w:b/>
                <w:noProof/>
                <w:sz w:val="20"/>
              </w:rPr>
              <w:t>forma</w:t>
            </w:r>
          </w:p>
        </w:tc>
      </w:tr>
      <w:tr w:rsidR="00116C5C" w:rsidRPr="00B44B19" w14:paraId="3AB2BD6E" w14:textId="77777777" w:rsidTr="00BE32EE">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BCB43B"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5B132E"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Fondas</w:t>
            </w:r>
          </w:p>
        </w:tc>
        <w:tc>
          <w:tcPr>
            <w:tcW w:w="136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FB73BA"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9359E6"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Konkretus uždavinys</w:t>
            </w:r>
          </w:p>
        </w:tc>
        <w:tc>
          <w:tcPr>
            <w:tcW w:w="362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EC904B"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Kodas</w:t>
            </w:r>
          </w:p>
        </w:tc>
        <w:tc>
          <w:tcPr>
            <w:tcW w:w="1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84885"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Suma (EUR)</w:t>
            </w:r>
          </w:p>
        </w:tc>
      </w:tr>
      <w:tr w:rsidR="003A2D26" w:rsidRPr="00B44B19" w14:paraId="5E45EBBF" w14:textId="77777777" w:rsidTr="00BE32EE">
        <w:tc>
          <w:tcPr>
            <w:tcW w:w="1093" w:type="dxa"/>
            <w:vMerge w:val="restart"/>
            <w:tcBorders>
              <w:top w:val="single" w:sz="12" w:space="0" w:color="auto"/>
            </w:tcBorders>
          </w:tcPr>
          <w:p w14:paraId="7619F7C1" w14:textId="77777777" w:rsidR="003A2D26" w:rsidRPr="00B44B19" w:rsidRDefault="003A2D26" w:rsidP="003A2D26">
            <w:pPr>
              <w:jc w:val="center"/>
              <w:rPr>
                <w:rFonts w:eastAsia="Times New Roman" w:cs="Times New Roman"/>
                <w:iCs/>
                <w:noProof/>
                <w:sz w:val="20"/>
              </w:rPr>
            </w:pPr>
            <w:r w:rsidRPr="00B44B19">
              <w:rPr>
                <w:rFonts w:eastAsia="Times New Roman" w:cs="Times New Roman"/>
                <w:iCs/>
                <w:noProof/>
                <w:sz w:val="20"/>
              </w:rPr>
              <w:t>1.</w:t>
            </w:r>
          </w:p>
        </w:tc>
        <w:tc>
          <w:tcPr>
            <w:tcW w:w="848" w:type="dxa"/>
            <w:vMerge w:val="restart"/>
            <w:tcBorders>
              <w:top w:val="single" w:sz="12" w:space="0" w:color="auto"/>
            </w:tcBorders>
          </w:tcPr>
          <w:p w14:paraId="5D429C4D" w14:textId="77777777" w:rsidR="003A2D26" w:rsidRPr="00B44B19" w:rsidRDefault="003A2D26" w:rsidP="003A2D26">
            <w:pPr>
              <w:jc w:val="center"/>
              <w:rPr>
                <w:rFonts w:eastAsia="Times New Roman" w:cs="Times New Roman"/>
                <w:iCs/>
                <w:noProof/>
                <w:sz w:val="20"/>
              </w:rPr>
            </w:pPr>
            <w:r w:rsidRPr="00B44B19">
              <w:rPr>
                <w:rFonts w:eastAsia="Times New Roman" w:cs="Times New Roman"/>
                <w:iCs/>
                <w:noProof/>
                <w:sz w:val="20"/>
              </w:rPr>
              <w:t>ERPF</w:t>
            </w:r>
          </w:p>
        </w:tc>
        <w:tc>
          <w:tcPr>
            <w:tcW w:w="1368" w:type="dxa"/>
            <w:tcBorders>
              <w:top w:val="single" w:sz="12" w:space="0" w:color="auto"/>
              <w:bottom w:val="single" w:sz="4" w:space="0" w:color="auto"/>
            </w:tcBorders>
          </w:tcPr>
          <w:p w14:paraId="5F73131B" w14:textId="77777777" w:rsidR="003A2D26" w:rsidRPr="00B44B19" w:rsidRDefault="003A2D26" w:rsidP="003A2D26">
            <w:pPr>
              <w:rPr>
                <w:rFonts w:eastAsia="Times New Roman" w:cs="Times New Roman"/>
                <w:iCs/>
                <w:noProof/>
                <w:sz w:val="20"/>
              </w:rPr>
            </w:pPr>
            <w:r w:rsidRPr="00B44B19">
              <w:rPr>
                <w:rFonts w:eastAsia="Times New Roman" w:cs="Times New Roman"/>
                <w:iCs/>
                <w:noProof/>
                <w:sz w:val="20"/>
              </w:rPr>
              <w:t>Sostinės regionas</w:t>
            </w:r>
          </w:p>
        </w:tc>
        <w:tc>
          <w:tcPr>
            <w:tcW w:w="1133" w:type="dxa"/>
            <w:vMerge w:val="restart"/>
            <w:tcBorders>
              <w:top w:val="single" w:sz="12" w:space="0" w:color="auto"/>
            </w:tcBorders>
          </w:tcPr>
          <w:p w14:paraId="5CB0EA8B" w14:textId="77777777" w:rsidR="003A2D26" w:rsidRPr="00B44B19" w:rsidRDefault="003A2D26" w:rsidP="003A2D26">
            <w:pPr>
              <w:jc w:val="center"/>
              <w:rPr>
                <w:rFonts w:eastAsia="Times New Roman" w:cs="Times New Roman"/>
                <w:b/>
                <w:iCs/>
                <w:noProof/>
                <w:sz w:val="20"/>
              </w:rPr>
            </w:pPr>
            <w:r w:rsidRPr="00B44B19">
              <w:rPr>
                <w:rFonts w:eastAsia="Times New Roman" w:cs="Times New Roman"/>
                <w:iCs/>
                <w:noProof/>
                <w:sz w:val="20"/>
              </w:rPr>
              <w:t>1.2</w:t>
            </w:r>
          </w:p>
        </w:tc>
        <w:tc>
          <w:tcPr>
            <w:tcW w:w="3623" w:type="dxa"/>
            <w:vMerge w:val="restart"/>
            <w:tcBorders>
              <w:top w:val="single" w:sz="12" w:space="0" w:color="auto"/>
            </w:tcBorders>
          </w:tcPr>
          <w:p w14:paraId="0A22BA61" w14:textId="77777777" w:rsidR="003A2D26" w:rsidRPr="00B44B19" w:rsidRDefault="003A2D26" w:rsidP="003A2D26">
            <w:pPr>
              <w:rPr>
                <w:rFonts w:eastAsia="Times New Roman" w:cs="Times New Roman"/>
                <w:iCs/>
                <w:noProof/>
                <w:sz w:val="20"/>
              </w:rPr>
            </w:pPr>
            <w:r w:rsidRPr="00B44B19">
              <w:rPr>
                <w:rFonts w:eastAsia="Times New Roman" w:cs="Times New Roman"/>
                <w:iCs/>
                <w:noProof/>
                <w:sz w:val="20"/>
              </w:rPr>
              <w:t>01 – Dotacija</w:t>
            </w:r>
          </w:p>
        </w:tc>
        <w:tc>
          <w:tcPr>
            <w:tcW w:w="1543" w:type="dxa"/>
            <w:tcBorders>
              <w:top w:val="single" w:sz="12" w:space="0" w:color="auto"/>
              <w:bottom w:val="single" w:sz="4" w:space="0" w:color="auto"/>
            </w:tcBorders>
          </w:tcPr>
          <w:p w14:paraId="7154D395" w14:textId="265BA27E" w:rsidR="003A2D26" w:rsidRPr="00B44B19" w:rsidRDefault="0044397C" w:rsidP="003A2D26">
            <w:pPr>
              <w:jc w:val="right"/>
              <w:rPr>
                <w:rFonts w:eastAsia="Times New Roman" w:cs="Times New Roman"/>
                <w:iCs/>
                <w:noProof/>
                <w:sz w:val="20"/>
              </w:rPr>
            </w:pPr>
            <w:r w:rsidRPr="00B44B19">
              <w:rPr>
                <w:rFonts w:cs="Times New Roman"/>
                <w:color w:val="000000"/>
                <w:sz w:val="20"/>
                <w:szCs w:val="20"/>
              </w:rPr>
              <w:t>21 756 068,00</w:t>
            </w:r>
          </w:p>
        </w:tc>
      </w:tr>
      <w:tr w:rsidR="003A2D26" w:rsidRPr="00B44B19" w14:paraId="74182665" w14:textId="77777777" w:rsidTr="00BE32EE">
        <w:tc>
          <w:tcPr>
            <w:tcW w:w="1093" w:type="dxa"/>
            <w:vMerge/>
          </w:tcPr>
          <w:p w14:paraId="3B71D887" w14:textId="77777777" w:rsidR="003A2D26" w:rsidRPr="00B44B19" w:rsidRDefault="003A2D26" w:rsidP="003A2D26">
            <w:pPr>
              <w:rPr>
                <w:rFonts w:eastAsia="Times New Roman" w:cs="Times New Roman"/>
                <w:b/>
                <w:iCs/>
                <w:noProof/>
                <w:sz w:val="20"/>
              </w:rPr>
            </w:pPr>
          </w:p>
        </w:tc>
        <w:tc>
          <w:tcPr>
            <w:tcW w:w="848" w:type="dxa"/>
            <w:vMerge/>
          </w:tcPr>
          <w:p w14:paraId="198C7A3A" w14:textId="77777777" w:rsidR="003A2D26" w:rsidRPr="00B44B19" w:rsidRDefault="003A2D26" w:rsidP="003A2D26">
            <w:pPr>
              <w:rPr>
                <w:rFonts w:eastAsia="Times New Roman" w:cs="Times New Roman"/>
                <w:b/>
                <w:iCs/>
                <w:noProof/>
                <w:sz w:val="20"/>
              </w:rPr>
            </w:pPr>
          </w:p>
        </w:tc>
        <w:tc>
          <w:tcPr>
            <w:tcW w:w="1368" w:type="dxa"/>
            <w:tcBorders>
              <w:top w:val="single" w:sz="4" w:space="0" w:color="auto"/>
            </w:tcBorders>
          </w:tcPr>
          <w:p w14:paraId="3D39CBFA" w14:textId="77777777" w:rsidR="003A2D26" w:rsidRPr="00B44B19" w:rsidRDefault="003A2D26" w:rsidP="003A2D26">
            <w:pPr>
              <w:rPr>
                <w:rFonts w:eastAsia="Times New Roman" w:cs="Times New Roman"/>
                <w:iCs/>
                <w:noProof/>
                <w:sz w:val="20"/>
              </w:rPr>
            </w:pPr>
            <w:r w:rsidRPr="00B44B19">
              <w:rPr>
                <w:rFonts w:eastAsia="Times New Roman" w:cs="Times New Roman"/>
                <w:iCs/>
                <w:noProof/>
                <w:sz w:val="20"/>
              </w:rPr>
              <w:t>VVL regionas</w:t>
            </w:r>
          </w:p>
        </w:tc>
        <w:tc>
          <w:tcPr>
            <w:tcW w:w="1133" w:type="dxa"/>
            <w:vMerge/>
          </w:tcPr>
          <w:p w14:paraId="6D53058B" w14:textId="77777777" w:rsidR="003A2D26" w:rsidRPr="00B44B19" w:rsidRDefault="003A2D26" w:rsidP="003A2D26">
            <w:pPr>
              <w:rPr>
                <w:rFonts w:eastAsia="Times New Roman" w:cs="Times New Roman"/>
                <w:b/>
                <w:iCs/>
                <w:noProof/>
                <w:sz w:val="20"/>
              </w:rPr>
            </w:pPr>
          </w:p>
        </w:tc>
        <w:tc>
          <w:tcPr>
            <w:tcW w:w="3623" w:type="dxa"/>
            <w:vMerge/>
          </w:tcPr>
          <w:p w14:paraId="25088987" w14:textId="77777777" w:rsidR="003A2D26" w:rsidRPr="00B44B19" w:rsidRDefault="003A2D26" w:rsidP="003A2D26">
            <w:pPr>
              <w:rPr>
                <w:rFonts w:eastAsia="Times New Roman" w:cs="Times New Roman"/>
                <w:b/>
                <w:iCs/>
                <w:noProof/>
                <w:sz w:val="20"/>
              </w:rPr>
            </w:pPr>
          </w:p>
        </w:tc>
        <w:tc>
          <w:tcPr>
            <w:tcW w:w="1543" w:type="dxa"/>
            <w:tcBorders>
              <w:top w:val="single" w:sz="4" w:space="0" w:color="auto"/>
            </w:tcBorders>
          </w:tcPr>
          <w:p w14:paraId="5390C666" w14:textId="24757924" w:rsidR="003A2D26" w:rsidRPr="00B44B19" w:rsidRDefault="0044397C" w:rsidP="003A2D26">
            <w:pPr>
              <w:jc w:val="right"/>
              <w:rPr>
                <w:rFonts w:eastAsia="Times New Roman" w:cs="Times New Roman"/>
                <w:iCs/>
                <w:noProof/>
                <w:sz w:val="20"/>
              </w:rPr>
            </w:pPr>
            <w:r w:rsidRPr="00B44B19">
              <w:rPr>
                <w:rFonts w:cs="Times New Roman"/>
                <w:color w:val="000000"/>
                <w:sz w:val="20"/>
                <w:szCs w:val="20"/>
              </w:rPr>
              <w:t>46 595 263,00</w:t>
            </w:r>
          </w:p>
        </w:tc>
      </w:tr>
    </w:tbl>
    <w:p w14:paraId="5D85EDBF" w14:textId="77777777" w:rsidR="00116C5C" w:rsidRPr="00B44B19" w:rsidRDefault="00116C5C" w:rsidP="008B7309">
      <w:pPr>
        <w:spacing w:after="0" w:line="240" w:lineRule="auto"/>
        <w:rPr>
          <w:rFonts w:eastAsia="Times New Roman" w:cs="Times New Roman"/>
          <w:iCs/>
          <w:noProof/>
          <w:sz w:val="20"/>
          <w:szCs w:val="20"/>
        </w:rPr>
      </w:pPr>
    </w:p>
    <w:tbl>
      <w:tblPr>
        <w:tblStyle w:val="Lentelstinklelis"/>
        <w:tblW w:w="9624" w:type="dxa"/>
        <w:tblLayout w:type="fixed"/>
        <w:tblLook w:val="04A0" w:firstRow="1" w:lastRow="0" w:firstColumn="1" w:lastColumn="0" w:noHBand="0" w:noVBand="1"/>
      </w:tblPr>
      <w:tblGrid>
        <w:gridCol w:w="1101"/>
        <w:gridCol w:w="850"/>
        <w:gridCol w:w="1418"/>
        <w:gridCol w:w="1134"/>
        <w:gridCol w:w="3619"/>
        <w:gridCol w:w="1502"/>
      </w:tblGrid>
      <w:tr w:rsidR="00116C5C" w:rsidRPr="00B44B19" w14:paraId="43284223" w14:textId="77777777" w:rsidTr="00BE32EE">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5FE985E" w14:textId="77777777" w:rsidR="00116C5C" w:rsidRPr="00B44B19" w:rsidRDefault="00116C5C" w:rsidP="00116C5C">
            <w:pPr>
              <w:rPr>
                <w:rFonts w:eastAsia="Times New Roman" w:cs="Times New Roman"/>
                <w:b/>
                <w:iCs/>
                <w:noProof/>
                <w:sz w:val="20"/>
              </w:rPr>
            </w:pPr>
            <w:r w:rsidRPr="00B44B19">
              <w:rPr>
                <w:rFonts w:cs="Times New Roman"/>
                <w:b/>
                <w:noProof/>
                <w:sz w:val="20"/>
              </w:rPr>
              <w:t xml:space="preserve">6 lentelė. 3 matmuo. </w:t>
            </w:r>
            <w:r w:rsidR="00B32655" w:rsidRPr="00B44B19">
              <w:rPr>
                <w:rFonts w:cs="Times New Roman"/>
                <w:b/>
                <w:noProof/>
                <w:sz w:val="20"/>
              </w:rPr>
              <w:t>Teritorinis įgyvendinimo mechanizmas ir pagrindinė teritorinė sritis</w:t>
            </w:r>
          </w:p>
        </w:tc>
      </w:tr>
      <w:tr w:rsidR="00116C5C" w:rsidRPr="00B44B19" w14:paraId="25B2F511" w14:textId="77777777" w:rsidTr="00BE32E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7E1972"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A3175C"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C40275"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9F1AC5"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Konkretus uždavinys</w:t>
            </w:r>
          </w:p>
        </w:tc>
        <w:tc>
          <w:tcPr>
            <w:tcW w:w="36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D2D05C"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Kodas</w:t>
            </w:r>
          </w:p>
        </w:tc>
        <w:tc>
          <w:tcPr>
            <w:tcW w:w="15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901644" w14:textId="77777777" w:rsidR="00116C5C" w:rsidRPr="00B44B19" w:rsidRDefault="00116C5C" w:rsidP="00116C5C">
            <w:pPr>
              <w:jc w:val="center"/>
              <w:rPr>
                <w:rFonts w:eastAsia="Times New Roman" w:cs="Times New Roman"/>
                <w:b/>
                <w:iCs/>
                <w:noProof/>
                <w:sz w:val="20"/>
              </w:rPr>
            </w:pPr>
            <w:r w:rsidRPr="00B44B19">
              <w:rPr>
                <w:rFonts w:cs="Times New Roman"/>
                <w:b/>
                <w:noProof/>
                <w:sz w:val="20"/>
              </w:rPr>
              <w:t>Suma (EUR)</w:t>
            </w:r>
          </w:p>
        </w:tc>
      </w:tr>
      <w:tr w:rsidR="00786F49" w:rsidRPr="00B44B19" w14:paraId="17B99539" w14:textId="77777777" w:rsidTr="00BE32EE">
        <w:tc>
          <w:tcPr>
            <w:tcW w:w="1101" w:type="dxa"/>
            <w:vMerge w:val="restart"/>
            <w:tcBorders>
              <w:top w:val="single" w:sz="12" w:space="0" w:color="auto"/>
            </w:tcBorders>
          </w:tcPr>
          <w:p w14:paraId="5D7046CB" w14:textId="77777777" w:rsidR="00786F49" w:rsidRPr="00B44B19" w:rsidRDefault="00786F49" w:rsidP="00116C5C">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3758CDBC" w14:textId="77777777" w:rsidR="00786F49" w:rsidRPr="00B44B19" w:rsidRDefault="00786F49" w:rsidP="00116C5C">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64D98607" w14:textId="77777777" w:rsidR="00786F49" w:rsidRPr="00B44B19" w:rsidRDefault="00786F49" w:rsidP="00116C5C">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07F7A77E" w14:textId="77777777" w:rsidR="00786F49" w:rsidRPr="00B44B19" w:rsidRDefault="00786F49" w:rsidP="00116C5C">
            <w:pPr>
              <w:jc w:val="center"/>
              <w:rPr>
                <w:rFonts w:eastAsia="Times New Roman" w:cs="Times New Roman"/>
                <w:iCs/>
                <w:noProof/>
                <w:sz w:val="20"/>
              </w:rPr>
            </w:pPr>
            <w:r w:rsidRPr="00B44B19">
              <w:rPr>
                <w:rFonts w:eastAsia="Times New Roman" w:cs="Times New Roman"/>
                <w:iCs/>
                <w:noProof/>
                <w:sz w:val="20"/>
              </w:rPr>
              <w:t>1.2</w:t>
            </w:r>
          </w:p>
        </w:tc>
        <w:tc>
          <w:tcPr>
            <w:tcW w:w="3619" w:type="dxa"/>
            <w:vMerge w:val="restart"/>
            <w:tcBorders>
              <w:top w:val="single" w:sz="12" w:space="0" w:color="auto"/>
            </w:tcBorders>
          </w:tcPr>
          <w:p w14:paraId="42E1444C" w14:textId="77777777" w:rsidR="00786F49" w:rsidRPr="00B44B19" w:rsidRDefault="00786F49" w:rsidP="001A6813">
            <w:pPr>
              <w:rPr>
                <w:rFonts w:eastAsia="Times New Roman" w:cs="Times New Roman"/>
                <w:iCs/>
                <w:noProof/>
                <w:sz w:val="20"/>
              </w:rPr>
            </w:pPr>
            <w:r w:rsidRPr="00B44B19">
              <w:rPr>
                <w:rFonts w:eastAsia="Times New Roman" w:cs="Times New Roman"/>
                <w:iCs/>
                <w:noProof/>
                <w:sz w:val="20"/>
              </w:rPr>
              <w:t>33 – Nesiorientuojant į teritoriškumą</w:t>
            </w:r>
          </w:p>
        </w:tc>
        <w:tc>
          <w:tcPr>
            <w:tcW w:w="1502" w:type="dxa"/>
            <w:tcBorders>
              <w:top w:val="single" w:sz="12" w:space="0" w:color="auto"/>
              <w:bottom w:val="single" w:sz="4" w:space="0" w:color="auto"/>
            </w:tcBorders>
          </w:tcPr>
          <w:p w14:paraId="5705E1F0" w14:textId="49B52ADA" w:rsidR="00786F49" w:rsidRPr="00B44B19" w:rsidRDefault="0044397C" w:rsidP="002526CB">
            <w:pPr>
              <w:jc w:val="right"/>
              <w:rPr>
                <w:rFonts w:cs="Times New Roman"/>
                <w:sz w:val="20"/>
                <w:szCs w:val="20"/>
              </w:rPr>
            </w:pPr>
            <w:r w:rsidRPr="00B44B19">
              <w:rPr>
                <w:rFonts w:cs="Times New Roman"/>
                <w:color w:val="000000"/>
                <w:sz w:val="20"/>
                <w:szCs w:val="20"/>
              </w:rPr>
              <w:t>21 756 068,00</w:t>
            </w:r>
          </w:p>
        </w:tc>
      </w:tr>
      <w:tr w:rsidR="00786F49" w:rsidRPr="00B44B19" w14:paraId="575DD599" w14:textId="77777777" w:rsidTr="00BE32EE">
        <w:tc>
          <w:tcPr>
            <w:tcW w:w="1101" w:type="dxa"/>
            <w:vMerge/>
          </w:tcPr>
          <w:p w14:paraId="459E67CD" w14:textId="77777777" w:rsidR="00786F49" w:rsidRPr="00B44B19" w:rsidRDefault="00786F49" w:rsidP="00116C5C">
            <w:pPr>
              <w:rPr>
                <w:rFonts w:eastAsia="Times New Roman" w:cs="Times New Roman"/>
                <w:b/>
                <w:iCs/>
                <w:noProof/>
                <w:sz w:val="20"/>
              </w:rPr>
            </w:pPr>
          </w:p>
        </w:tc>
        <w:tc>
          <w:tcPr>
            <w:tcW w:w="850" w:type="dxa"/>
            <w:vMerge/>
          </w:tcPr>
          <w:p w14:paraId="6900F0DF" w14:textId="77777777" w:rsidR="00786F49" w:rsidRPr="00B44B19" w:rsidRDefault="00786F49" w:rsidP="00116C5C">
            <w:pPr>
              <w:rPr>
                <w:rFonts w:eastAsia="Times New Roman" w:cs="Times New Roman"/>
                <w:b/>
                <w:iCs/>
                <w:noProof/>
                <w:sz w:val="20"/>
              </w:rPr>
            </w:pPr>
          </w:p>
        </w:tc>
        <w:tc>
          <w:tcPr>
            <w:tcW w:w="1418" w:type="dxa"/>
            <w:tcBorders>
              <w:top w:val="single" w:sz="4" w:space="0" w:color="auto"/>
            </w:tcBorders>
          </w:tcPr>
          <w:p w14:paraId="64258D33" w14:textId="77777777" w:rsidR="00786F49" w:rsidRPr="00B44B19" w:rsidRDefault="00786F49" w:rsidP="00116C5C">
            <w:pPr>
              <w:rPr>
                <w:rFonts w:eastAsia="Times New Roman" w:cs="Times New Roman"/>
                <w:b/>
                <w:iCs/>
                <w:noProof/>
                <w:sz w:val="20"/>
              </w:rPr>
            </w:pPr>
            <w:r w:rsidRPr="00B44B19">
              <w:rPr>
                <w:rFonts w:eastAsia="Times New Roman" w:cs="Times New Roman"/>
                <w:iCs/>
                <w:noProof/>
                <w:sz w:val="20"/>
              </w:rPr>
              <w:t>VVL regionas</w:t>
            </w:r>
          </w:p>
        </w:tc>
        <w:tc>
          <w:tcPr>
            <w:tcW w:w="1134" w:type="dxa"/>
            <w:vMerge/>
          </w:tcPr>
          <w:p w14:paraId="0FA6D6D7" w14:textId="77777777" w:rsidR="00786F49" w:rsidRPr="00B44B19" w:rsidRDefault="00786F49" w:rsidP="00116C5C">
            <w:pPr>
              <w:rPr>
                <w:rFonts w:eastAsia="Times New Roman" w:cs="Times New Roman"/>
                <w:b/>
                <w:iCs/>
                <w:noProof/>
                <w:sz w:val="20"/>
              </w:rPr>
            </w:pPr>
          </w:p>
        </w:tc>
        <w:tc>
          <w:tcPr>
            <w:tcW w:w="3619" w:type="dxa"/>
            <w:vMerge/>
          </w:tcPr>
          <w:p w14:paraId="0E8CAC82" w14:textId="77777777" w:rsidR="00786F49" w:rsidRPr="00B44B19" w:rsidRDefault="00786F49" w:rsidP="00116C5C">
            <w:pPr>
              <w:rPr>
                <w:rFonts w:eastAsia="Times New Roman" w:cs="Times New Roman"/>
                <w:b/>
                <w:iCs/>
                <w:noProof/>
                <w:sz w:val="20"/>
              </w:rPr>
            </w:pPr>
          </w:p>
        </w:tc>
        <w:tc>
          <w:tcPr>
            <w:tcW w:w="1502" w:type="dxa"/>
            <w:tcBorders>
              <w:top w:val="single" w:sz="4" w:space="0" w:color="auto"/>
            </w:tcBorders>
          </w:tcPr>
          <w:p w14:paraId="45C2A5C2" w14:textId="4639BFB1" w:rsidR="00786F49" w:rsidRPr="00B44B19" w:rsidRDefault="0044397C" w:rsidP="002526CB">
            <w:pPr>
              <w:jc w:val="right"/>
              <w:rPr>
                <w:rFonts w:cs="Times New Roman"/>
                <w:sz w:val="20"/>
                <w:szCs w:val="20"/>
              </w:rPr>
            </w:pPr>
            <w:r w:rsidRPr="00B44B19">
              <w:rPr>
                <w:rFonts w:cs="Times New Roman"/>
                <w:color w:val="000000"/>
                <w:sz w:val="20"/>
                <w:szCs w:val="20"/>
              </w:rPr>
              <w:t>46 595 263,00</w:t>
            </w:r>
          </w:p>
        </w:tc>
      </w:tr>
    </w:tbl>
    <w:p w14:paraId="45D82B6B" w14:textId="77777777" w:rsidR="00E438B8" w:rsidRPr="00B44B19" w:rsidRDefault="00E438B8" w:rsidP="008B7309">
      <w:pPr>
        <w:spacing w:after="0" w:line="240" w:lineRule="auto"/>
        <w:rPr>
          <w:rFonts w:cs="Times New Roman"/>
          <w:sz w:val="20"/>
          <w:szCs w:val="20"/>
        </w:rPr>
      </w:pPr>
    </w:p>
    <w:tbl>
      <w:tblPr>
        <w:tblStyle w:val="Lentelstinklelis19"/>
        <w:tblW w:w="9624" w:type="dxa"/>
        <w:tblLayout w:type="fixed"/>
        <w:tblLook w:val="04A0" w:firstRow="1" w:lastRow="0" w:firstColumn="1" w:lastColumn="0" w:noHBand="0" w:noVBand="1"/>
      </w:tblPr>
      <w:tblGrid>
        <w:gridCol w:w="1094"/>
        <w:gridCol w:w="848"/>
        <w:gridCol w:w="1372"/>
        <w:gridCol w:w="1133"/>
        <w:gridCol w:w="3618"/>
        <w:gridCol w:w="1559"/>
      </w:tblGrid>
      <w:tr w:rsidR="002F76B5" w:rsidRPr="00B44B19" w14:paraId="41F8914C" w14:textId="77777777" w:rsidTr="00BE32EE">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10683BD" w14:textId="77777777" w:rsidR="002F76B5" w:rsidRPr="00B44B19" w:rsidRDefault="002F76B5" w:rsidP="002F76B5">
            <w:pPr>
              <w:rPr>
                <w:b/>
                <w:iCs/>
                <w:noProof/>
                <w:sz w:val="20"/>
                <w:szCs w:val="20"/>
              </w:rPr>
            </w:pPr>
            <w:r w:rsidRPr="00B44B19">
              <w:rPr>
                <w:b/>
                <w:noProof/>
                <w:sz w:val="20"/>
                <w:szCs w:val="20"/>
              </w:rPr>
              <w:t xml:space="preserve">7 lentelė. 7 matmuo. </w:t>
            </w:r>
            <w:r w:rsidRPr="00B44B19">
              <w:rPr>
                <w:b/>
                <w:sz w:val="20"/>
                <w:szCs w:val="20"/>
              </w:rPr>
              <w:t>ESF+, ERPF, S</w:t>
            </w:r>
            <w:r w:rsidR="009738C3" w:rsidRPr="00B44B19">
              <w:rPr>
                <w:b/>
                <w:sz w:val="20"/>
                <w:szCs w:val="20"/>
              </w:rPr>
              <w:t>a</w:t>
            </w:r>
            <w:r w:rsidRPr="00B44B19">
              <w:rPr>
                <w:b/>
                <w:sz w:val="20"/>
                <w:szCs w:val="20"/>
              </w:rPr>
              <w:t>F ir TPF lyčių lygybės matmuo</w:t>
            </w:r>
          </w:p>
        </w:tc>
      </w:tr>
      <w:tr w:rsidR="002F76B5" w:rsidRPr="00B44B19" w14:paraId="37D3CFBA" w14:textId="77777777" w:rsidTr="00BE32EE">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EAEDD1" w14:textId="77777777" w:rsidR="002F76B5" w:rsidRPr="00B44B19" w:rsidRDefault="002F76B5" w:rsidP="002F76B5">
            <w:pPr>
              <w:jc w:val="center"/>
              <w:rPr>
                <w:b/>
                <w:iCs/>
                <w:noProof/>
                <w:sz w:val="20"/>
              </w:rPr>
            </w:pPr>
            <w:r w:rsidRPr="00B44B19">
              <w:rPr>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B269A2" w14:textId="77777777" w:rsidR="002F76B5" w:rsidRPr="00B44B19" w:rsidRDefault="002F76B5" w:rsidP="002F76B5">
            <w:pPr>
              <w:jc w:val="center"/>
              <w:rPr>
                <w:b/>
                <w:iCs/>
                <w:noProof/>
                <w:sz w:val="20"/>
              </w:rPr>
            </w:pPr>
            <w:r w:rsidRPr="00B44B19">
              <w:rPr>
                <w:b/>
                <w:noProof/>
                <w:sz w:val="20"/>
              </w:rPr>
              <w:t>Fondas</w:t>
            </w:r>
          </w:p>
        </w:tc>
        <w:tc>
          <w:tcPr>
            <w:tcW w:w="137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8B2552" w14:textId="77777777" w:rsidR="002F76B5" w:rsidRPr="00B44B19" w:rsidRDefault="002F76B5" w:rsidP="002F76B5">
            <w:pPr>
              <w:jc w:val="center"/>
              <w:rPr>
                <w:b/>
                <w:iCs/>
                <w:noProof/>
                <w:sz w:val="20"/>
              </w:rPr>
            </w:pPr>
            <w:r w:rsidRPr="00B44B19">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23A0D7" w14:textId="77777777" w:rsidR="002F76B5" w:rsidRPr="00B44B19" w:rsidRDefault="002F76B5" w:rsidP="002F76B5">
            <w:pPr>
              <w:jc w:val="center"/>
              <w:rPr>
                <w:b/>
                <w:iCs/>
                <w:noProof/>
                <w:sz w:val="20"/>
              </w:rPr>
            </w:pPr>
            <w:r w:rsidRPr="00B44B19">
              <w:rPr>
                <w:b/>
                <w:noProof/>
                <w:sz w:val="20"/>
              </w:rPr>
              <w:t>Konkretus uždavinys</w:t>
            </w:r>
          </w:p>
        </w:tc>
        <w:tc>
          <w:tcPr>
            <w:tcW w:w="36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E413A" w14:textId="77777777" w:rsidR="002F76B5" w:rsidRPr="00B44B19" w:rsidRDefault="002F76B5" w:rsidP="002F76B5">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794834" w14:textId="77777777" w:rsidR="002F76B5" w:rsidRPr="00B44B19" w:rsidRDefault="002F76B5" w:rsidP="002F76B5">
            <w:pPr>
              <w:jc w:val="center"/>
              <w:rPr>
                <w:b/>
                <w:iCs/>
                <w:noProof/>
                <w:sz w:val="20"/>
              </w:rPr>
            </w:pPr>
            <w:r w:rsidRPr="00B44B19">
              <w:rPr>
                <w:b/>
                <w:noProof/>
                <w:sz w:val="20"/>
              </w:rPr>
              <w:t>Suma (EUR)</w:t>
            </w:r>
          </w:p>
        </w:tc>
      </w:tr>
      <w:tr w:rsidR="003A2D26" w:rsidRPr="00B44B19" w14:paraId="43B9FC6E" w14:textId="77777777" w:rsidTr="00BE32EE">
        <w:tc>
          <w:tcPr>
            <w:tcW w:w="1094" w:type="dxa"/>
            <w:vMerge w:val="restart"/>
            <w:tcBorders>
              <w:top w:val="single" w:sz="12" w:space="0" w:color="auto"/>
            </w:tcBorders>
          </w:tcPr>
          <w:p w14:paraId="53D4EE6E" w14:textId="77777777" w:rsidR="003A2D26" w:rsidRPr="00B44B19" w:rsidRDefault="003A2D26" w:rsidP="003A2D26">
            <w:pPr>
              <w:jc w:val="center"/>
              <w:rPr>
                <w:iCs/>
                <w:noProof/>
                <w:sz w:val="20"/>
                <w:szCs w:val="20"/>
              </w:rPr>
            </w:pPr>
            <w:r w:rsidRPr="00B44B19">
              <w:rPr>
                <w:sz w:val="20"/>
                <w:szCs w:val="20"/>
              </w:rPr>
              <w:t>1.</w:t>
            </w:r>
          </w:p>
        </w:tc>
        <w:tc>
          <w:tcPr>
            <w:tcW w:w="848" w:type="dxa"/>
            <w:vMerge w:val="restart"/>
            <w:tcBorders>
              <w:top w:val="single" w:sz="12" w:space="0" w:color="auto"/>
            </w:tcBorders>
          </w:tcPr>
          <w:p w14:paraId="2ACBE654" w14:textId="77777777" w:rsidR="003A2D26" w:rsidRPr="00B44B19" w:rsidRDefault="003A2D26" w:rsidP="003A2D26">
            <w:pPr>
              <w:jc w:val="center"/>
              <w:rPr>
                <w:iCs/>
                <w:noProof/>
                <w:sz w:val="20"/>
                <w:szCs w:val="20"/>
              </w:rPr>
            </w:pPr>
            <w:r w:rsidRPr="00B44B19">
              <w:rPr>
                <w:sz w:val="20"/>
                <w:szCs w:val="20"/>
              </w:rPr>
              <w:t>ERPF</w:t>
            </w:r>
          </w:p>
        </w:tc>
        <w:tc>
          <w:tcPr>
            <w:tcW w:w="1372" w:type="dxa"/>
            <w:tcBorders>
              <w:top w:val="single" w:sz="12" w:space="0" w:color="auto"/>
            </w:tcBorders>
          </w:tcPr>
          <w:p w14:paraId="6B4FDB5C" w14:textId="77777777" w:rsidR="003A2D26" w:rsidRPr="00B44B19" w:rsidRDefault="003A2D26" w:rsidP="003A2D26">
            <w:pPr>
              <w:rPr>
                <w:iCs/>
                <w:noProof/>
                <w:sz w:val="20"/>
                <w:szCs w:val="20"/>
              </w:rPr>
            </w:pPr>
            <w:r w:rsidRPr="00B44B19">
              <w:rPr>
                <w:sz w:val="20"/>
                <w:szCs w:val="20"/>
              </w:rPr>
              <w:t>Sostinės regionas</w:t>
            </w:r>
          </w:p>
        </w:tc>
        <w:tc>
          <w:tcPr>
            <w:tcW w:w="1133" w:type="dxa"/>
            <w:vMerge w:val="restart"/>
            <w:tcBorders>
              <w:top w:val="single" w:sz="12" w:space="0" w:color="auto"/>
            </w:tcBorders>
          </w:tcPr>
          <w:p w14:paraId="719F571F" w14:textId="77777777" w:rsidR="003A2D26" w:rsidRPr="00B44B19" w:rsidRDefault="003A2D26" w:rsidP="003A2D26">
            <w:pPr>
              <w:jc w:val="center"/>
              <w:rPr>
                <w:iCs/>
                <w:noProof/>
                <w:sz w:val="20"/>
                <w:szCs w:val="20"/>
              </w:rPr>
            </w:pPr>
            <w:r w:rsidRPr="00B44B19">
              <w:rPr>
                <w:sz w:val="20"/>
                <w:szCs w:val="20"/>
              </w:rPr>
              <w:t>1.2</w:t>
            </w:r>
          </w:p>
        </w:tc>
        <w:tc>
          <w:tcPr>
            <w:tcW w:w="3618" w:type="dxa"/>
            <w:vMerge w:val="restart"/>
            <w:tcBorders>
              <w:top w:val="single" w:sz="12" w:space="0" w:color="auto"/>
            </w:tcBorders>
          </w:tcPr>
          <w:p w14:paraId="08DE4676" w14:textId="77777777" w:rsidR="003A2D26" w:rsidRPr="00B44B19" w:rsidRDefault="003A2D26" w:rsidP="003A2D26">
            <w:pPr>
              <w:rPr>
                <w:iCs/>
                <w:noProof/>
                <w:sz w:val="20"/>
                <w:szCs w:val="20"/>
              </w:rPr>
            </w:pPr>
            <w:r w:rsidRPr="00B44B19">
              <w:rPr>
                <w:sz w:val="20"/>
                <w:szCs w:val="20"/>
              </w:rPr>
              <w:t>03 – Neutralumas lyties požiūriu</w:t>
            </w:r>
          </w:p>
        </w:tc>
        <w:tc>
          <w:tcPr>
            <w:tcW w:w="1559" w:type="dxa"/>
            <w:tcBorders>
              <w:top w:val="single" w:sz="12" w:space="0" w:color="auto"/>
            </w:tcBorders>
          </w:tcPr>
          <w:p w14:paraId="5241DCA1" w14:textId="307BC29E" w:rsidR="003A2D26" w:rsidRPr="00B44B19" w:rsidRDefault="001525F6" w:rsidP="003A2D26">
            <w:pPr>
              <w:jc w:val="right"/>
              <w:rPr>
                <w:iCs/>
                <w:noProof/>
                <w:sz w:val="20"/>
                <w:szCs w:val="20"/>
              </w:rPr>
            </w:pPr>
            <w:r w:rsidRPr="00B44B19">
              <w:rPr>
                <w:color w:val="000000"/>
                <w:sz w:val="20"/>
                <w:szCs w:val="20"/>
              </w:rPr>
              <w:t>21 756 068,00</w:t>
            </w:r>
          </w:p>
        </w:tc>
      </w:tr>
      <w:tr w:rsidR="003A2D26" w:rsidRPr="00B44B19" w14:paraId="3FE11665" w14:textId="77777777" w:rsidTr="00BE32EE">
        <w:tc>
          <w:tcPr>
            <w:tcW w:w="1094" w:type="dxa"/>
            <w:vMerge/>
          </w:tcPr>
          <w:p w14:paraId="5115F009" w14:textId="77777777" w:rsidR="003A2D26" w:rsidRPr="00B44B19" w:rsidRDefault="003A2D26" w:rsidP="003A2D26">
            <w:pPr>
              <w:jc w:val="center"/>
              <w:rPr>
                <w:iCs/>
                <w:noProof/>
                <w:sz w:val="20"/>
                <w:szCs w:val="20"/>
              </w:rPr>
            </w:pPr>
          </w:p>
        </w:tc>
        <w:tc>
          <w:tcPr>
            <w:tcW w:w="848" w:type="dxa"/>
            <w:vMerge/>
          </w:tcPr>
          <w:p w14:paraId="51A66E92" w14:textId="77777777" w:rsidR="003A2D26" w:rsidRPr="00B44B19" w:rsidRDefault="003A2D26" w:rsidP="003A2D26">
            <w:pPr>
              <w:jc w:val="center"/>
              <w:rPr>
                <w:iCs/>
                <w:noProof/>
                <w:sz w:val="20"/>
                <w:szCs w:val="20"/>
              </w:rPr>
            </w:pPr>
          </w:p>
        </w:tc>
        <w:tc>
          <w:tcPr>
            <w:tcW w:w="1372" w:type="dxa"/>
          </w:tcPr>
          <w:p w14:paraId="78ECC70E" w14:textId="77777777" w:rsidR="003A2D26" w:rsidRPr="00B44B19" w:rsidRDefault="003A2D26" w:rsidP="003A2D26">
            <w:pPr>
              <w:rPr>
                <w:iCs/>
                <w:noProof/>
                <w:sz w:val="20"/>
                <w:szCs w:val="20"/>
              </w:rPr>
            </w:pPr>
            <w:r w:rsidRPr="00B44B19">
              <w:rPr>
                <w:sz w:val="20"/>
                <w:szCs w:val="20"/>
              </w:rPr>
              <w:t>VVL regionas</w:t>
            </w:r>
          </w:p>
        </w:tc>
        <w:tc>
          <w:tcPr>
            <w:tcW w:w="1133" w:type="dxa"/>
            <w:vMerge/>
          </w:tcPr>
          <w:p w14:paraId="2E9D5322" w14:textId="77777777" w:rsidR="003A2D26" w:rsidRPr="00B44B19" w:rsidRDefault="003A2D26" w:rsidP="003A2D26">
            <w:pPr>
              <w:jc w:val="center"/>
              <w:rPr>
                <w:iCs/>
                <w:noProof/>
                <w:sz w:val="20"/>
                <w:szCs w:val="20"/>
              </w:rPr>
            </w:pPr>
          </w:p>
        </w:tc>
        <w:tc>
          <w:tcPr>
            <w:tcW w:w="3618" w:type="dxa"/>
            <w:vMerge/>
          </w:tcPr>
          <w:p w14:paraId="648AFA51" w14:textId="77777777" w:rsidR="003A2D26" w:rsidRPr="00B44B19" w:rsidRDefault="003A2D26" w:rsidP="003A2D26">
            <w:pPr>
              <w:jc w:val="center"/>
              <w:rPr>
                <w:iCs/>
                <w:noProof/>
                <w:sz w:val="20"/>
                <w:szCs w:val="20"/>
              </w:rPr>
            </w:pPr>
          </w:p>
        </w:tc>
        <w:tc>
          <w:tcPr>
            <w:tcW w:w="1559" w:type="dxa"/>
          </w:tcPr>
          <w:p w14:paraId="42B1F3C1" w14:textId="16E5EEA8" w:rsidR="003A2D26" w:rsidRPr="00B44B19" w:rsidRDefault="001525F6" w:rsidP="003A2D26">
            <w:pPr>
              <w:jc w:val="right"/>
              <w:rPr>
                <w:iCs/>
                <w:noProof/>
                <w:sz w:val="20"/>
                <w:szCs w:val="20"/>
              </w:rPr>
            </w:pPr>
            <w:r w:rsidRPr="00B44B19">
              <w:rPr>
                <w:color w:val="000000"/>
                <w:sz w:val="20"/>
                <w:szCs w:val="20"/>
              </w:rPr>
              <w:t>46 595 263,00</w:t>
            </w:r>
          </w:p>
        </w:tc>
      </w:tr>
    </w:tbl>
    <w:p w14:paraId="3924EE05" w14:textId="77777777" w:rsidR="00EF291A" w:rsidRPr="00B44B19" w:rsidRDefault="00EF291A" w:rsidP="00D456C1">
      <w:pPr>
        <w:pStyle w:val="Antrat2"/>
      </w:pPr>
      <w:bookmarkStart w:id="14" w:name="_Toc223435412"/>
      <w:r w:rsidRPr="00B44B19">
        <w:t xml:space="preserve">Konkretus uždavinys – 1.3. </w:t>
      </w:r>
      <w:r w:rsidR="002B5AF3" w:rsidRPr="00B44B19">
        <w:rPr>
          <w:lang w:bidi="lt-LT"/>
        </w:rPr>
        <w:t>Stiprinti tvarų MVĮ augimą bei konkurencingumą ir darbo vietų kūrimą MVĮ, be kita ko pasitelkiant gamybines investicijas</w:t>
      </w:r>
      <w:bookmarkEnd w:id="14"/>
    </w:p>
    <w:p w14:paraId="58CBFAAD"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Įgyvendinamos veiklos</w:t>
      </w:r>
    </w:p>
    <w:tbl>
      <w:tblPr>
        <w:tblStyle w:val="Lentelstinklelis1"/>
        <w:tblW w:w="9889" w:type="dxa"/>
        <w:tblLook w:val="04A0" w:firstRow="1" w:lastRow="0" w:firstColumn="1" w:lastColumn="0" w:noHBand="0" w:noVBand="1"/>
      </w:tblPr>
      <w:tblGrid>
        <w:gridCol w:w="9889"/>
      </w:tblGrid>
      <w:tr w:rsidR="00EF291A" w:rsidRPr="00B44B19" w14:paraId="342FD253" w14:textId="77777777" w:rsidTr="00EB70C3">
        <w:tc>
          <w:tcPr>
            <w:tcW w:w="9889" w:type="dxa"/>
          </w:tcPr>
          <w:p w14:paraId="245C95EB" w14:textId="77777777" w:rsidR="00681418" w:rsidRPr="00B44B19" w:rsidRDefault="00681418" w:rsidP="003E7C64">
            <w:pPr>
              <w:spacing w:before="60" w:after="60"/>
              <w:jc w:val="both"/>
              <w:rPr>
                <w:rFonts w:ascii="Times New Roman" w:hAnsi="Times New Roman" w:cs="Times New Roman"/>
              </w:rPr>
            </w:pPr>
            <w:r w:rsidRPr="00B44B19">
              <w:rPr>
                <w:rFonts w:ascii="Times New Roman" w:hAnsi="Times New Roman" w:cs="Times New Roman"/>
              </w:rPr>
              <w:lastRenderedPageBreak/>
              <w:t xml:space="preserve">Šio konkretaus uždavinio veiklos </w:t>
            </w:r>
            <w:r w:rsidRPr="00B44B19">
              <w:rPr>
                <w:rFonts w:ascii="Times New Roman" w:hAnsi="Times New Roman" w:cs="Times New Roman"/>
                <w:b/>
              </w:rPr>
              <w:t xml:space="preserve">netiesiogiai prisidės prie </w:t>
            </w:r>
            <w:r w:rsidR="006E0996" w:rsidRPr="00B44B19">
              <w:rPr>
                <w:rFonts w:ascii="Times New Roman" w:hAnsi="Times New Roman" w:cs="Times New Roman"/>
                <w:b/>
              </w:rPr>
              <w:t>S4</w:t>
            </w:r>
            <w:r w:rsidR="006E0996" w:rsidRPr="00B44B19">
              <w:rPr>
                <w:rFonts w:ascii="Times New Roman" w:hAnsi="Times New Roman" w:cs="Times New Roman"/>
              </w:rPr>
              <w:t xml:space="preserve"> </w:t>
            </w:r>
            <w:r w:rsidRPr="00B44B19">
              <w:rPr>
                <w:rFonts w:ascii="Times New Roman" w:hAnsi="Times New Roman" w:cs="Times New Roman"/>
                <w:szCs w:val="24"/>
              </w:rPr>
              <w:t xml:space="preserve">įgyvendinimo. </w:t>
            </w:r>
            <w:r w:rsidRPr="00B44B19">
              <w:rPr>
                <w:rFonts w:ascii="Times New Roman" w:hAnsi="Times New Roman" w:cs="Times New Roman"/>
              </w:rPr>
              <w:t>Investicijos prisidės prie MVĮ produktyvumo ir konkurencingumo didinimo.</w:t>
            </w:r>
          </w:p>
          <w:p w14:paraId="0EF00E66" w14:textId="757F1C1B" w:rsidR="00681418" w:rsidRPr="00B44B19" w:rsidRDefault="00681418" w:rsidP="003E7C64">
            <w:pPr>
              <w:spacing w:before="60" w:after="60"/>
              <w:jc w:val="both"/>
              <w:rPr>
                <w:rFonts w:ascii="Times New Roman" w:hAnsi="Times New Roman" w:cs="Times New Roman"/>
                <w:szCs w:val="24"/>
              </w:rPr>
            </w:pPr>
            <w:r w:rsidRPr="00B44B19">
              <w:rPr>
                <w:rFonts w:ascii="Times New Roman" w:hAnsi="Times New Roman" w:cs="Times New Roman"/>
                <w:szCs w:val="24"/>
              </w:rPr>
              <w:t xml:space="preserve">Siekiant </w:t>
            </w:r>
            <w:r w:rsidR="00F63BE9" w:rsidRPr="00B44B19">
              <w:rPr>
                <w:rFonts w:ascii="Times New Roman" w:hAnsi="Times New Roman" w:cs="Times New Roman"/>
                <w:szCs w:val="24"/>
              </w:rPr>
              <w:t xml:space="preserve">išspręsti finansavimo prieinamumo iššūkius ir </w:t>
            </w:r>
            <w:r w:rsidRPr="00B44B19">
              <w:rPr>
                <w:rFonts w:ascii="Times New Roman" w:hAnsi="Times New Roman" w:cs="Times New Roman"/>
                <w:szCs w:val="24"/>
              </w:rPr>
              <w:t>pagerinti sąlygas verslui kurtis ir augti</w:t>
            </w:r>
            <w:r w:rsidR="00F63BE9" w:rsidRPr="00B44B19">
              <w:rPr>
                <w:rFonts w:ascii="Times New Roman" w:hAnsi="Times New Roman" w:cs="Times New Roman"/>
                <w:szCs w:val="24"/>
              </w:rPr>
              <w:t xml:space="preserve"> Sostinės ir</w:t>
            </w:r>
            <w:r w:rsidRPr="00B44B19">
              <w:rPr>
                <w:rFonts w:ascii="Times New Roman" w:hAnsi="Times New Roman" w:cs="Times New Roman"/>
                <w:szCs w:val="24"/>
              </w:rPr>
              <w:t xml:space="preserve"> VVL region</w:t>
            </w:r>
            <w:r w:rsidR="00F63BE9" w:rsidRPr="00B44B19">
              <w:rPr>
                <w:rFonts w:ascii="Times New Roman" w:hAnsi="Times New Roman" w:cs="Times New Roman"/>
                <w:szCs w:val="24"/>
              </w:rPr>
              <w:t xml:space="preserve">uose, šio uždavinio investicijomis bus </w:t>
            </w:r>
            <w:r w:rsidRPr="00B44B19">
              <w:rPr>
                <w:rFonts w:ascii="Times New Roman" w:hAnsi="Times New Roman" w:cs="Times New Roman"/>
                <w:szCs w:val="24"/>
              </w:rPr>
              <w:t xml:space="preserve">skatinamas verslą pradedančiųjų SVV subjektų </w:t>
            </w:r>
            <w:r w:rsidR="00F63BE9" w:rsidRPr="00B44B19">
              <w:rPr>
                <w:rFonts w:ascii="Times New Roman" w:hAnsi="Times New Roman" w:cs="Times New Roman"/>
                <w:szCs w:val="24"/>
              </w:rPr>
              <w:t>prie-</w:t>
            </w:r>
            <w:r w:rsidRPr="00B44B19">
              <w:rPr>
                <w:rFonts w:ascii="Times New Roman" w:hAnsi="Times New Roman" w:cs="Times New Roman"/>
                <w:szCs w:val="24"/>
              </w:rPr>
              <w:t>ak</w:t>
            </w:r>
            <w:r w:rsidR="009738C3" w:rsidRPr="00B44B19">
              <w:rPr>
                <w:rFonts w:ascii="Times New Roman" w:hAnsi="Times New Roman" w:cs="Times New Roman"/>
                <w:szCs w:val="24"/>
              </w:rPr>
              <w:t>c</w:t>
            </w:r>
            <w:r w:rsidRPr="00B44B19">
              <w:rPr>
                <w:rFonts w:ascii="Times New Roman" w:hAnsi="Times New Roman" w:cs="Times New Roman"/>
                <w:szCs w:val="24"/>
              </w:rPr>
              <w:t>eleravimas, ak</w:t>
            </w:r>
            <w:r w:rsidR="009738C3" w:rsidRPr="00B44B19">
              <w:rPr>
                <w:rFonts w:ascii="Times New Roman" w:hAnsi="Times New Roman" w:cs="Times New Roman"/>
                <w:szCs w:val="24"/>
              </w:rPr>
              <w:t>c</w:t>
            </w:r>
            <w:r w:rsidRPr="00B44B19">
              <w:rPr>
                <w:rFonts w:ascii="Times New Roman" w:hAnsi="Times New Roman" w:cs="Times New Roman"/>
                <w:szCs w:val="24"/>
              </w:rPr>
              <w:t xml:space="preserve">eleravimas, inkubavimas ir plėtra, ypač finansinių šaltinių prieinamumas, ir trumpose vertės kūrimo grandinėse dalyvaujančių </w:t>
            </w:r>
            <w:r w:rsidR="00025FED" w:rsidRPr="00B44B19">
              <w:rPr>
                <w:rFonts w:ascii="Times New Roman" w:hAnsi="Times New Roman" w:cs="Times New Roman"/>
                <w:szCs w:val="24"/>
              </w:rPr>
              <w:t xml:space="preserve">įmonių </w:t>
            </w:r>
            <w:r w:rsidRPr="00B44B19">
              <w:rPr>
                <w:rFonts w:ascii="Times New Roman" w:hAnsi="Times New Roman" w:cs="Times New Roman"/>
                <w:szCs w:val="24"/>
              </w:rPr>
              <w:t>verslo procesų modernizavimas.</w:t>
            </w:r>
          </w:p>
          <w:p w14:paraId="2A65111C" w14:textId="0897A38B" w:rsidR="00681418" w:rsidRPr="00B44B19" w:rsidRDefault="00681418" w:rsidP="003E7C64">
            <w:pPr>
              <w:spacing w:before="60" w:after="60"/>
              <w:jc w:val="both"/>
              <w:rPr>
                <w:rFonts w:ascii="Times New Roman" w:hAnsi="Times New Roman" w:cs="Times New Roman"/>
                <w:szCs w:val="24"/>
              </w:rPr>
            </w:pPr>
            <w:r w:rsidRPr="00B44B19">
              <w:rPr>
                <w:rFonts w:ascii="Times New Roman" w:hAnsi="Times New Roman" w:cs="Times New Roman"/>
                <w:szCs w:val="24"/>
              </w:rPr>
              <w:t xml:space="preserve">Mažo tarptautinio konkurencingumo ir žemo darbo našumo problemos įvardijamos abiejuose regionuose, </w:t>
            </w:r>
            <w:r w:rsidR="009738C3" w:rsidRPr="00B44B19">
              <w:rPr>
                <w:rFonts w:ascii="Times New Roman" w:hAnsi="Times New Roman" w:cs="Times New Roman"/>
                <w:szCs w:val="24"/>
              </w:rPr>
              <w:t>investicijos tarptautiškumui skatinti ir skaitmeninimo technologijoms diegti numatomos</w:t>
            </w:r>
            <w:r w:rsidRPr="00B44B19">
              <w:rPr>
                <w:rFonts w:ascii="Times New Roman" w:hAnsi="Times New Roman" w:cs="Times New Roman"/>
                <w:szCs w:val="24"/>
              </w:rPr>
              <w:t xml:space="preserve"> abiejuose regionuose. Skaitmeninimo technologijų diegim</w:t>
            </w:r>
            <w:r w:rsidR="009738C3" w:rsidRPr="00B44B19">
              <w:rPr>
                <w:rFonts w:ascii="Times New Roman" w:hAnsi="Times New Roman" w:cs="Times New Roman"/>
                <w:szCs w:val="24"/>
              </w:rPr>
              <w:t>as tampa ypač aktualus</w:t>
            </w:r>
            <w:r w:rsidRPr="00B44B19">
              <w:rPr>
                <w:rFonts w:ascii="Times New Roman" w:hAnsi="Times New Roman" w:cs="Times New Roman"/>
                <w:szCs w:val="24"/>
              </w:rPr>
              <w:t xml:space="preserve"> dėl pandemijos metu išryškėjusio poreikio kurti „bekontaktę“ ekonomiką. </w:t>
            </w:r>
          </w:p>
          <w:p w14:paraId="024E1F8A" w14:textId="77777777" w:rsidR="00681418" w:rsidRPr="00B44B19" w:rsidRDefault="004242A1" w:rsidP="003E7C64">
            <w:pPr>
              <w:spacing w:before="60" w:after="60"/>
              <w:jc w:val="both"/>
              <w:rPr>
                <w:rFonts w:ascii="Times New Roman" w:hAnsi="Times New Roman" w:cs="Times New Roman"/>
                <w:szCs w:val="24"/>
              </w:rPr>
            </w:pPr>
            <w:r w:rsidRPr="00B44B19">
              <w:rPr>
                <w:rFonts w:ascii="Times New Roman" w:hAnsi="Times New Roman" w:cs="Times New Roman"/>
                <w:szCs w:val="24"/>
              </w:rPr>
              <w:t xml:space="preserve">Uždavinio investicijos taip pat prisidės prie bendrų su teritorinėmis strategijomis tikslų pasiekimo, sudarydamos sąlygas stiprinti vietos ekonominį potencialą, o 5 prioriteto 5.1 uždavinio ir 5.2 uždavinio veiklos, skirtos fizinės infrastruktūros sukūrimui naujoms investicijoms pritraukti ir darbo vietoms kurti, prisidės prie šio uždavinio tikslų. </w:t>
            </w:r>
            <w:r w:rsidR="00681418" w:rsidRPr="00B44B19">
              <w:rPr>
                <w:rFonts w:ascii="Times New Roman" w:hAnsi="Times New Roman" w:cs="Times New Roman"/>
                <w:szCs w:val="24"/>
              </w:rPr>
              <w:t>Veik</w:t>
            </w:r>
            <w:r w:rsidRPr="00B44B19">
              <w:rPr>
                <w:rFonts w:ascii="Times New Roman" w:hAnsi="Times New Roman" w:cs="Times New Roman"/>
                <w:szCs w:val="24"/>
              </w:rPr>
              <w:t>smų rūšys</w:t>
            </w:r>
            <w:r w:rsidR="00681418" w:rsidRPr="00B44B19">
              <w:rPr>
                <w:rFonts w:ascii="Times New Roman" w:hAnsi="Times New Roman" w:cs="Times New Roman"/>
                <w:szCs w:val="24"/>
              </w:rPr>
              <w:t>, siekiant pagerinti sąlygas MVĮ kurtis ir augti šalies regionuose, sukurti naujas darbo vietas, paskatas šalies eksporto struktūros pokyčiams, padidinti MVĮ našumo augimą ir sumažinti jo atotrūkį nuo ES šalių vidurkio:</w:t>
            </w:r>
          </w:p>
          <w:p w14:paraId="0A1CA5BC" w14:textId="40CFFC9F" w:rsidR="00681418" w:rsidRPr="00B44B19" w:rsidRDefault="00681418" w:rsidP="003E7C64">
            <w:pPr>
              <w:widowControl w:val="0"/>
              <w:tabs>
                <w:tab w:val="left" w:pos="0"/>
                <w:tab w:val="left" w:pos="459"/>
                <w:tab w:val="left" w:pos="885"/>
              </w:tabs>
              <w:spacing w:before="60" w:after="60"/>
              <w:jc w:val="both"/>
              <w:rPr>
                <w:rFonts w:ascii="Times New Roman" w:eastAsia="Times New Roman" w:hAnsi="Times New Roman" w:cs="Times New Roman"/>
                <w:bCs/>
                <w:iCs/>
                <w:szCs w:val="24"/>
              </w:rPr>
            </w:pPr>
            <w:r w:rsidRPr="00B44B19">
              <w:rPr>
                <w:rFonts w:ascii="Times New Roman" w:eastAsia="Times New Roman" w:hAnsi="Times New Roman" w:cs="Times New Roman"/>
                <w:b/>
                <w:szCs w:val="24"/>
              </w:rPr>
              <w:t>Skatinti pradedančiųjų SVV subjektų kūrimąsi, augimą ir plėtrą</w:t>
            </w:r>
            <w:r w:rsidRPr="00B44B19">
              <w:rPr>
                <w:rFonts w:ascii="Times New Roman" w:eastAsia="Times New Roman" w:hAnsi="Times New Roman" w:cs="Times New Roman"/>
                <w:szCs w:val="24"/>
              </w:rPr>
              <w:t xml:space="preserve">: siekiant paskatinti naujų verslų atsiradimą, bus vykdomos </w:t>
            </w:r>
            <w:r w:rsidR="009738C3" w:rsidRPr="00B44B19">
              <w:rPr>
                <w:rFonts w:ascii="Times New Roman" w:eastAsia="Times New Roman" w:hAnsi="Times New Roman" w:cs="Times New Roman"/>
                <w:szCs w:val="24"/>
              </w:rPr>
              <w:t>veiklos, orientuotos į preakseleravimo</w:t>
            </w:r>
            <w:r w:rsidRPr="00B44B19">
              <w:rPr>
                <w:rFonts w:ascii="Times New Roman" w:eastAsia="Times New Roman" w:hAnsi="Times New Roman" w:cs="Times New Roman"/>
                <w:szCs w:val="24"/>
              </w:rPr>
              <w:t xml:space="preserve"> programų kūrimą ir vystymą, SVV subjektų akseleravimą, inkubavimą ir plėtrą, išnaudojant jau įsteigtų skaitmeninių inovacijų centrų, verslo inkubatorių, bendradarbystės centrų „Spiečius“ potencialą. Ypatingas dėmesys bus skiriamas veikloms, užtikrinančioms finansinių šaltinių prieinamumą SVV subjektų steigimui ir plė</w:t>
            </w:r>
            <w:r w:rsidR="00966138" w:rsidRPr="00B44B19">
              <w:rPr>
                <w:rFonts w:ascii="Times New Roman" w:eastAsia="Times New Roman" w:hAnsi="Times New Roman" w:cs="Times New Roman"/>
                <w:szCs w:val="24"/>
              </w:rPr>
              <w:t>trai, bei mentorystės veikloms,</w:t>
            </w:r>
            <w:r w:rsidRPr="00B44B19">
              <w:rPr>
                <w:rFonts w:ascii="Times New Roman" w:eastAsia="Times New Roman" w:hAnsi="Times New Roman" w:cs="Times New Roman"/>
                <w:szCs w:val="24"/>
              </w:rPr>
              <w:t xml:space="preserve"> skirtoms vystyti verslo idėjas ir jų įgyvend</w:t>
            </w:r>
            <w:r w:rsidR="00966138" w:rsidRPr="00B44B19">
              <w:rPr>
                <w:rFonts w:ascii="Times New Roman" w:eastAsia="Times New Roman" w:hAnsi="Times New Roman" w:cs="Times New Roman"/>
                <w:szCs w:val="24"/>
              </w:rPr>
              <w:t xml:space="preserve">inimo strategijas. Taip pat bus </w:t>
            </w:r>
            <w:r w:rsidRPr="00B44B19">
              <w:rPr>
                <w:rFonts w:ascii="Times New Roman" w:eastAsia="Times New Roman" w:hAnsi="Times New Roman" w:cs="Times New Roman"/>
                <w:szCs w:val="24"/>
              </w:rPr>
              <w:t xml:space="preserve">investuojama į konsultavimo paslaugas, skirtas produkto idėjos išgryninimui, vystymui </w:t>
            </w:r>
            <w:r w:rsidR="009738C3" w:rsidRPr="00B44B19">
              <w:rPr>
                <w:rFonts w:ascii="Times New Roman" w:eastAsia="Times New Roman" w:hAnsi="Times New Roman" w:cs="Times New Roman"/>
                <w:szCs w:val="24"/>
              </w:rPr>
              <w:t>ir komercinimui, pardavimo</w:t>
            </w:r>
            <w:r w:rsidRPr="00B44B19">
              <w:rPr>
                <w:rFonts w:ascii="Times New Roman" w:eastAsia="Times New Roman" w:hAnsi="Times New Roman" w:cs="Times New Roman"/>
                <w:szCs w:val="24"/>
              </w:rPr>
              <w:t xml:space="preserve"> ir rinkodaros veikloms bei darbo erdvės suteikimui. </w:t>
            </w:r>
            <w:r w:rsidRPr="00B44B19">
              <w:rPr>
                <w:rFonts w:ascii="Times New Roman" w:eastAsia="Calibri" w:hAnsi="Times New Roman" w:cs="Times New Roman"/>
                <w:szCs w:val="24"/>
              </w:rPr>
              <w:t xml:space="preserve">Ši veikla įgyvendinama </w:t>
            </w:r>
            <w:r w:rsidR="00F63BE9" w:rsidRPr="00B44B19">
              <w:rPr>
                <w:rFonts w:ascii="Times New Roman" w:eastAsia="Calibri" w:hAnsi="Times New Roman" w:cs="Times New Roman"/>
                <w:szCs w:val="24"/>
              </w:rPr>
              <w:t xml:space="preserve">Sostinės ir </w:t>
            </w:r>
            <w:r w:rsidRPr="00B44B19">
              <w:rPr>
                <w:rFonts w:ascii="Times New Roman" w:eastAsia="Calibri" w:hAnsi="Times New Roman" w:cs="Times New Roman"/>
                <w:szCs w:val="24"/>
              </w:rPr>
              <w:t>VVL regio</w:t>
            </w:r>
            <w:r w:rsidR="00F63BE9" w:rsidRPr="00B44B19">
              <w:rPr>
                <w:rFonts w:ascii="Times New Roman" w:eastAsia="Calibri" w:hAnsi="Times New Roman" w:cs="Times New Roman"/>
                <w:szCs w:val="24"/>
              </w:rPr>
              <w:t>nuos</w:t>
            </w:r>
            <w:r w:rsidRPr="00B44B19">
              <w:rPr>
                <w:rFonts w:ascii="Times New Roman" w:eastAsia="Calibri" w:hAnsi="Times New Roman" w:cs="Times New Roman"/>
                <w:szCs w:val="24"/>
              </w:rPr>
              <w:t>e</w:t>
            </w:r>
            <w:r w:rsidRPr="00B44B19">
              <w:rPr>
                <w:rFonts w:ascii="Times New Roman" w:eastAsia="Times New Roman" w:hAnsi="Times New Roman" w:cs="Times New Roman"/>
                <w:szCs w:val="24"/>
              </w:rPr>
              <w:t>.</w:t>
            </w:r>
          </w:p>
          <w:p w14:paraId="2F122BED" w14:textId="1FFFC399" w:rsidR="00F66349" w:rsidRPr="00B44B19" w:rsidRDefault="00F66349" w:rsidP="003E7C64">
            <w:pPr>
              <w:spacing w:before="60" w:after="60"/>
              <w:jc w:val="both"/>
              <w:rPr>
                <w:rFonts w:ascii="Times New Roman" w:eastAsia="Times New Roman" w:hAnsi="Times New Roman" w:cs="Times New Roman"/>
                <w:bCs/>
                <w:noProof/>
                <w:szCs w:val="24"/>
              </w:rPr>
            </w:pPr>
            <w:r w:rsidRPr="00B44B19">
              <w:rPr>
                <w:rFonts w:ascii="Times New Roman" w:eastAsia="Times New Roman" w:hAnsi="Times New Roman" w:cs="Times New Roman"/>
                <w:bCs/>
                <w:noProof/>
                <w:szCs w:val="24"/>
              </w:rPr>
              <w:t>„</w:t>
            </w:r>
            <w:r w:rsidRPr="00B44B19">
              <w:rPr>
                <w:rFonts w:ascii="Times New Roman" w:eastAsia="Times New Roman" w:hAnsi="Times New Roman" w:cs="Times New Roman"/>
                <w:b/>
                <w:noProof/>
                <w:szCs w:val="24"/>
              </w:rPr>
              <w:t xml:space="preserve">Skatinti trumpų vertės kūrimo grandinių formavimąsi ir plėtrą tarp MVĮ </w:t>
            </w:r>
            <w:r w:rsidRPr="00B44B19">
              <w:rPr>
                <w:rFonts w:ascii="Times New Roman" w:eastAsia="Times New Roman" w:hAnsi="Times New Roman" w:cs="Times New Roman"/>
                <w:b/>
                <w:bCs/>
                <w:szCs w:val="24"/>
              </w:rPr>
              <w:t xml:space="preserve">bei </w:t>
            </w:r>
            <w:r w:rsidRPr="00B44B19">
              <w:rPr>
                <w:rFonts w:ascii="Times New Roman" w:eastAsia="Times New Roman" w:hAnsi="Times New Roman" w:cs="Times New Roman"/>
                <w:b/>
                <w:bCs/>
                <w:szCs w:val="20"/>
              </w:rPr>
              <w:t xml:space="preserve">gynybos ir saugumo pramonės sektoriaus MVĮ </w:t>
            </w:r>
            <w:r w:rsidR="003E7C64" w:rsidRPr="00B44B19">
              <w:rPr>
                <w:rFonts w:ascii="Times New Roman" w:eastAsia="Times New Roman" w:hAnsi="Times New Roman" w:cs="Times New Roman"/>
                <w:b/>
                <w:bCs/>
                <w:szCs w:val="20"/>
              </w:rPr>
              <w:t xml:space="preserve">Sostinės ir </w:t>
            </w:r>
            <w:r w:rsidRPr="00B44B19">
              <w:rPr>
                <w:rFonts w:ascii="Times New Roman" w:eastAsia="Times New Roman" w:hAnsi="Times New Roman" w:cs="Times New Roman"/>
                <w:b/>
                <w:noProof/>
                <w:szCs w:val="24"/>
              </w:rPr>
              <w:t>VVL region</w:t>
            </w:r>
            <w:r w:rsidR="003E7C64" w:rsidRPr="00B44B19">
              <w:rPr>
                <w:rFonts w:ascii="Times New Roman" w:eastAsia="Times New Roman" w:hAnsi="Times New Roman" w:cs="Times New Roman"/>
                <w:b/>
                <w:noProof/>
                <w:szCs w:val="24"/>
              </w:rPr>
              <w:t>uos</w:t>
            </w:r>
            <w:r w:rsidRPr="00B44B19">
              <w:rPr>
                <w:rFonts w:ascii="Times New Roman" w:eastAsia="Times New Roman" w:hAnsi="Times New Roman" w:cs="Times New Roman"/>
                <w:b/>
                <w:noProof/>
                <w:szCs w:val="24"/>
              </w:rPr>
              <w:t>e</w:t>
            </w:r>
            <w:r w:rsidRPr="00B44B19">
              <w:rPr>
                <w:rFonts w:ascii="Times New Roman" w:eastAsia="Times New Roman" w:hAnsi="Times New Roman" w:cs="Times New Roman"/>
                <w:noProof/>
                <w:szCs w:val="24"/>
              </w:rPr>
              <w:t xml:space="preserve">: investuojama į trumpose vertės kūrimo grandinėse dalyvaujančių MVĮ </w:t>
            </w:r>
            <w:r w:rsidRPr="00B44B19">
              <w:rPr>
                <w:rFonts w:ascii="Times New Roman" w:eastAsia="Times New Roman" w:hAnsi="Times New Roman" w:cs="Times New Roman"/>
                <w:szCs w:val="24"/>
              </w:rPr>
              <w:t xml:space="preserve">bei </w:t>
            </w:r>
            <w:r w:rsidRPr="00B44B19">
              <w:rPr>
                <w:rFonts w:ascii="Times New Roman" w:eastAsia="Times New Roman" w:hAnsi="Times New Roman" w:cs="Times New Roman"/>
                <w:szCs w:val="20"/>
              </w:rPr>
              <w:t>gynybos ir saugumo pramonės sektoriaus MVĮ</w:t>
            </w:r>
            <w:r w:rsidRPr="00B44B19">
              <w:rPr>
                <w:rFonts w:ascii="Times New Roman" w:eastAsia="Times New Roman" w:hAnsi="Times New Roman" w:cs="Times New Roman"/>
                <w:noProof/>
                <w:szCs w:val="24"/>
              </w:rPr>
              <w:t xml:space="preserve"> verslo procesų modernizavimą. Prioritetas bus skiriamas investicijoms, skatinančioms </w:t>
            </w:r>
            <w:r w:rsidRPr="00B44B19">
              <w:rPr>
                <w:rFonts w:ascii="Times New Roman" w:eastAsia="Times New Roman" w:hAnsi="Times New Roman" w:cs="Times New Roman"/>
                <w:noProof/>
                <w:szCs w:val="20"/>
              </w:rPr>
              <w:t>esamų darbo vietų transformaciją ir darbo vietų kūrimą MVĮ</w:t>
            </w:r>
            <w:r w:rsidRPr="00B44B19">
              <w:rPr>
                <w:rFonts w:ascii="Times New Roman" w:eastAsia="Times New Roman" w:hAnsi="Times New Roman" w:cs="Times New Roman"/>
                <w:szCs w:val="24"/>
              </w:rPr>
              <w:t xml:space="preserve"> bei </w:t>
            </w:r>
            <w:r w:rsidRPr="00B44B19">
              <w:rPr>
                <w:rFonts w:ascii="Times New Roman" w:eastAsia="Times New Roman" w:hAnsi="Times New Roman" w:cs="Times New Roman"/>
                <w:szCs w:val="20"/>
              </w:rPr>
              <w:t>gynybos ir saugumo pramonės sektoriaus MVĮ</w:t>
            </w:r>
            <w:r w:rsidRPr="00B44B19">
              <w:rPr>
                <w:rFonts w:ascii="Times New Roman" w:eastAsia="Times New Roman" w:hAnsi="Times New Roman" w:cs="Times New Roman"/>
                <w:noProof/>
                <w:szCs w:val="20"/>
              </w:rPr>
              <w:t xml:space="preserve">, dalyvaujančiose trumpose vertės kūrimo grandinėse, </w:t>
            </w:r>
            <w:r w:rsidRPr="00B44B19">
              <w:rPr>
                <w:rFonts w:ascii="Times New Roman" w:eastAsia="Times New Roman" w:hAnsi="Times New Roman" w:cs="Times New Roman"/>
                <w:szCs w:val="20"/>
              </w:rPr>
              <w:t>bei jau naudojamų įmonėje technologijų, kad jos labiau tausotų išteklius bei prailgėtų jų tarnavimo laikas, atnaujinimui</w:t>
            </w:r>
            <w:r w:rsidRPr="00B44B19">
              <w:rPr>
                <w:rFonts w:ascii="Times New Roman" w:eastAsia="Times New Roman" w:hAnsi="Times New Roman" w:cs="Times New Roman"/>
                <w:noProof/>
                <w:szCs w:val="20"/>
              </w:rPr>
              <w:t>.</w:t>
            </w:r>
            <w:r w:rsidRPr="00B44B19">
              <w:rPr>
                <w:rFonts w:ascii="Times New Roman" w:eastAsia="Times New Roman" w:hAnsi="Times New Roman" w:cs="Times New Roman"/>
                <w:noProof/>
                <w:szCs w:val="24"/>
              </w:rPr>
              <w:t xml:space="preserve"> </w:t>
            </w:r>
            <w:r w:rsidRPr="00B44B19">
              <w:rPr>
                <w:rFonts w:ascii="Times New Roman" w:eastAsia="Calibri" w:hAnsi="Times New Roman" w:cs="Times New Roman"/>
                <w:szCs w:val="24"/>
              </w:rPr>
              <w:t>Ši veikla bus įgyvendinama</w:t>
            </w:r>
            <w:r w:rsidR="003E7C64" w:rsidRPr="00B44B19">
              <w:rPr>
                <w:rFonts w:ascii="Times New Roman" w:eastAsia="Calibri" w:hAnsi="Times New Roman" w:cs="Times New Roman"/>
                <w:szCs w:val="24"/>
              </w:rPr>
              <w:t xml:space="preserve"> Sostinės ir</w:t>
            </w:r>
            <w:r w:rsidRPr="00B44B19">
              <w:rPr>
                <w:rFonts w:ascii="Times New Roman" w:eastAsia="Calibri" w:hAnsi="Times New Roman" w:cs="Times New Roman"/>
                <w:szCs w:val="24"/>
              </w:rPr>
              <w:t xml:space="preserve"> VVL region</w:t>
            </w:r>
            <w:r w:rsidR="003E7C64" w:rsidRPr="00B44B19">
              <w:rPr>
                <w:rFonts w:ascii="Times New Roman" w:eastAsia="Calibri" w:hAnsi="Times New Roman" w:cs="Times New Roman"/>
                <w:szCs w:val="24"/>
              </w:rPr>
              <w:t>uos</w:t>
            </w:r>
            <w:r w:rsidRPr="00B44B19">
              <w:rPr>
                <w:rFonts w:ascii="Times New Roman" w:eastAsia="Calibri" w:hAnsi="Times New Roman" w:cs="Times New Roman"/>
                <w:szCs w:val="24"/>
              </w:rPr>
              <w:t>e.</w:t>
            </w:r>
          </w:p>
          <w:p w14:paraId="3E5D42B6" w14:textId="77777777" w:rsidR="00681418" w:rsidRPr="00B44B19" w:rsidRDefault="00681418" w:rsidP="003E7C64">
            <w:pPr>
              <w:spacing w:before="60" w:after="60"/>
              <w:jc w:val="both"/>
              <w:rPr>
                <w:rFonts w:ascii="Times New Roman" w:hAnsi="Times New Roman" w:cs="Times New Roman"/>
                <w:szCs w:val="24"/>
              </w:rPr>
            </w:pPr>
            <w:r w:rsidRPr="00B44B19">
              <w:rPr>
                <w:rFonts w:ascii="Times New Roman" w:eastAsia="Times New Roman" w:hAnsi="Times New Roman" w:cs="Times New Roman"/>
                <w:b/>
              </w:rPr>
              <w:t xml:space="preserve">Skatinti </w:t>
            </w:r>
            <w:r w:rsidR="005E1DB5" w:rsidRPr="00B44B19">
              <w:rPr>
                <w:rFonts w:ascii="Times New Roman" w:eastAsia="Times New Roman" w:hAnsi="Times New Roman" w:cs="Times New Roman"/>
                <w:b/>
              </w:rPr>
              <w:t>greitesnį</w:t>
            </w:r>
            <w:r w:rsidRPr="00B44B19">
              <w:rPr>
                <w:rFonts w:ascii="Times New Roman" w:eastAsia="Times New Roman" w:hAnsi="Times New Roman" w:cs="Times New Roman"/>
                <w:b/>
              </w:rPr>
              <w:t xml:space="preserve"> MVĮ</w:t>
            </w:r>
            <w:r w:rsidR="006F2ADD" w:rsidRPr="00B44B19">
              <w:rPr>
                <w:rFonts w:ascii="Times New Roman" w:eastAsia="Times New Roman" w:hAnsi="Times New Roman" w:cs="Times New Roman"/>
                <w:b/>
              </w:rPr>
              <w:t xml:space="preserve"> atsigavimą po ekonominio nuosmu</w:t>
            </w:r>
            <w:r w:rsidR="005E1DB5" w:rsidRPr="00B44B19">
              <w:rPr>
                <w:rFonts w:ascii="Times New Roman" w:eastAsia="Times New Roman" w:hAnsi="Times New Roman" w:cs="Times New Roman"/>
                <w:b/>
              </w:rPr>
              <w:t>kio</w:t>
            </w:r>
            <w:r w:rsidRPr="00B44B19">
              <w:rPr>
                <w:rFonts w:ascii="Times New Roman" w:eastAsia="Times New Roman" w:hAnsi="Times New Roman" w:cs="Times New Roman"/>
              </w:rPr>
              <w:t xml:space="preserve">: siekiant padidinti ir (arba) išlaikyti MVĮ pajamas ir konkurencingumą, numatoma sudaryti sąlygas MVĮ </w:t>
            </w:r>
            <w:r w:rsidR="005E1DB5" w:rsidRPr="00B44B19">
              <w:rPr>
                <w:rFonts w:ascii="Times New Roman" w:eastAsia="Times New Roman" w:hAnsi="Times New Roman" w:cs="Times New Roman"/>
              </w:rPr>
              <w:t>įsigyti tikslines paslaugas</w:t>
            </w:r>
            <w:r w:rsidR="009D1A14"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(antikrizinės veiklos </w:t>
            </w:r>
            <w:r w:rsidR="005E1DB5" w:rsidRPr="00B44B19">
              <w:rPr>
                <w:rFonts w:ascii="Times New Roman" w:eastAsia="Times New Roman" w:hAnsi="Times New Roman" w:cs="Times New Roman"/>
              </w:rPr>
              <w:t>valdymo</w:t>
            </w:r>
            <w:r w:rsidRPr="00B44B19">
              <w:rPr>
                <w:rFonts w:ascii="Times New Roman" w:eastAsia="Times New Roman" w:hAnsi="Times New Roman" w:cs="Times New Roman"/>
              </w:rPr>
              <w:t>, MVĮ veikl</w:t>
            </w:r>
            <w:r w:rsidR="005E1DB5" w:rsidRPr="00B44B19">
              <w:rPr>
                <w:rFonts w:ascii="Times New Roman" w:eastAsia="Times New Roman" w:hAnsi="Times New Roman" w:cs="Times New Roman"/>
              </w:rPr>
              <w:t>os</w:t>
            </w:r>
            <w:r w:rsidRPr="00B44B19">
              <w:rPr>
                <w:rFonts w:ascii="Times New Roman" w:eastAsia="Times New Roman" w:hAnsi="Times New Roman" w:cs="Times New Roman"/>
              </w:rPr>
              <w:t xml:space="preserve"> </w:t>
            </w:r>
            <w:r w:rsidR="005E1DB5" w:rsidRPr="00B44B19">
              <w:rPr>
                <w:rFonts w:ascii="Times New Roman" w:eastAsia="Times New Roman" w:hAnsi="Times New Roman" w:cs="Times New Roman"/>
              </w:rPr>
              <w:t>ir kaš</w:t>
            </w:r>
            <w:r w:rsidR="005E1DB5" w:rsidRPr="00B44B19">
              <w:rPr>
                <w:rFonts w:ascii="Times New Roman" w:hAnsi="Times New Roman" w:cs="Times New Roman"/>
                <w:szCs w:val="24"/>
              </w:rPr>
              <w:t xml:space="preserve">tų </w:t>
            </w:r>
            <w:r w:rsidRPr="00B44B19">
              <w:rPr>
                <w:rFonts w:ascii="Times New Roman" w:hAnsi="Times New Roman" w:cs="Times New Roman"/>
                <w:szCs w:val="24"/>
              </w:rPr>
              <w:t>optimiz</w:t>
            </w:r>
            <w:r w:rsidR="005E1DB5" w:rsidRPr="00B44B19">
              <w:rPr>
                <w:rFonts w:ascii="Times New Roman" w:hAnsi="Times New Roman" w:cs="Times New Roman"/>
                <w:szCs w:val="24"/>
              </w:rPr>
              <w:t>avimo</w:t>
            </w:r>
            <w:r w:rsidRPr="00B44B19">
              <w:rPr>
                <w:rFonts w:ascii="Times New Roman" w:hAnsi="Times New Roman" w:cs="Times New Roman"/>
                <w:szCs w:val="24"/>
              </w:rPr>
              <w:t xml:space="preserve">). Prioritetas skiriamas MVĮ </w:t>
            </w:r>
            <w:r w:rsidR="00430DC3" w:rsidRPr="00B44B19">
              <w:rPr>
                <w:rFonts w:ascii="Times New Roman" w:hAnsi="Times New Roman" w:cs="Times New Roman"/>
                <w:szCs w:val="24"/>
              </w:rPr>
              <w:t>antikrizinio veiklos valdymo procesų praktiniam pritaikymui</w:t>
            </w:r>
            <w:r w:rsidRPr="00B44B19">
              <w:rPr>
                <w:rFonts w:ascii="Times New Roman" w:hAnsi="Times New Roman" w:cs="Times New Roman"/>
                <w:szCs w:val="24"/>
              </w:rPr>
              <w:t xml:space="preserve">. </w:t>
            </w:r>
            <w:r w:rsidRPr="00B44B19">
              <w:rPr>
                <w:rFonts w:ascii="Times New Roman" w:eastAsia="Calibri" w:hAnsi="Times New Roman" w:cs="Times New Roman"/>
                <w:szCs w:val="24"/>
              </w:rPr>
              <w:t>Ši veikla bus įgyvendinama VVL regione</w:t>
            </w:r>
            <w:r w:rsidRPr="00B44B19">
              <w:rPr>
                <w:rFonts w:ascii="Times New Roman" w:eastAsia="Times New Roman" w:hAnsi="Times New Roman" w:cs="Times New Roman"/>
              </w:rPr>
              <w:t>.</w:t>
            </w:r>
          </w:p>
          <w:p w14:paraId="1300F1ED" w14:textId="0836BD00" w:rsidR="00F66349" w:rsidRPr="00B44B19" w:rsidRDefault="00F66349" w:rsidP="003E7C64">
            <w:pPr>
              <w:spacing w:before="60" w:after="60"/>
              <w:jc w:val="both"/>
              <w:rPr>
                <w:rFonts w:ascii="Times New Roman" w:hAnsi="Times New Roman" w:cs="Times New Roman"/>
                <w:noProof/>
                <w:szCs w:val="24"/>
              </w:rPr>
            </w:pPr>
            <w:r w:rsidRPr="00B44B19">
              <w:rPr>
                <w:rFonts w:ascii="Times New Roman" w:hAnsi="Times New Roman" w:cs="Times New Roman"/>
                <w:b/>
                <w:noProof/>
                <w:szCs w:val="24"/>
              </w:rPr>
              <w:t xml:space="preserve">Skatinti </w:t>
            </w:r>
            <w:r w:rsidRPr="00B44B19">
              <w:rPr>
                <w:rFonts w:ascii="Times New Roman" w:hAnsi="Times New Roman" w:cs="Times New Roman"/>
                <w:b/>
                <w:szCs w:val="24"/>
              </w:rPr>
              <w:t xml:space="preserve">MVĮ veiklos tarptautiškumą ir naujų eksporto rinkų identifikavimo </w:t>
            </w:r>
            <w:r w:rsidRPr="00B44B19">
              <w:rPr>
                <w:rFonts w:ascii="Times New Roman" w:hAnsi="Times New Roman" w:cs="Times New Roman"/>
                <w:b/>
                <w:noProof/>
                <w:szCs w:val="24"/>
              </w:rPr>
              <w:t>veiklas</w:t>
            </w:r>
            <w:r w:rsidRPr="00B44B19">
              <w:rPr>
                <w:rFonts w:ascii="Times New Roman" w:hAnsi="Times New Roman" w:cs="Times New Roman"/>
                <w:noProof/>
                <w:szCs w:val="24"/>
              </w:rPr>
              <w:t>: s</w:t>
            </w:r>
            <w:r w:rsidRPr="00B44B19">
              <w:rPr>
                <w:rFonts w:ascii="Times New Roman" w:hAnsi="Times New Roman" w:cs="Times New Roman"/>
                <w:szCs w:val="24"/>
              </w:rPr>
              <w:t xml:space="preserve">iekiant padidinti Lietuvos įmonių, </w:t>
            </w:r>
            <w:r w:rsidRPr="00B44B19">
              <w:rPr>
                <w:rFonts w:ascii="Times New Roman" w:hAnsi="Times New Roman" w:cs="Times New Roman"/>
              </w:rPr>
              <w:t>įskaitant veikiančių gynybos ir saugumo pramonės sektoriuje,</w:t>
            </w:r>
            <w:r w:rsidRPr="00B44B19">
              <w:rPr>
                <w:rFonts w:ascii="Times New Roman" w:hAnsi="Times New Roman" w:cs="Times New Roman"/>
                <w:szCs w:val="24"/>
              </w:rPr>
              <w:t xml:space="preserve"> tarptautinį konkurencingumą ir vietinės kilmės prekių eksporto mastą,</w:t>
            </w:r>
            <w:r w:rsidRPr="00B44B19">
              <w:rPr>
                <w:rFonts w:ascii="Times New Roman" w:hAnsi="Times New Roman" w:cs="Times New Roman"/>
                <w:iCs/>
                <w:szCs w:val="24"/>
              </w:rPr>
              <w:t xml:space="preserve"> bus investuojama į naujų užsienio rinkų paiešką ir esamų rinkų plėtrą,</w:t>
            </w:r>
            <w:r w:rsidRPr="00B44B19">
              <w:rPr>
                <w:rFonts w:ascii="Times New Roman" w:hAnsi="Times New Roman" w:cs="Times New Roman"/>
                <w:szCs w:val="24"/>
              </w:rPr>
              <w:t xml:space="preserve"> įskaitant rinkų tyrimus, rinkodaros veiksmus, ryšių su strateginiais partneriais vystymą, galimybių pristatymą užsienyje, MVĮ produktų ir paslaugų sertifikavimą, eksporto vadybininko paslaugas</w:t>
            </w:r>
            <w:r w:rsidRPr="00B44B19">
              <w:rPr>
                <w:rFonts w:ascii="Times New Roman" w:hAnsi="Times New Roman" w:cs="Times New Roman"/>
                <w:noProof/>
                <w:szCs w:val="24"/>
              </w:rPr>
              <w:t xml:space="preserve">. Prioritetą numatoma skirti MVĮ, </w:t>
            </w:r>
            <w:r w:rsidRPr="00B44B19">
              <w:rPr>
                <w:rFonts w:ascii="Times New Roman" w:hAnsi="Times New Roman" w:cs="Times New Roman"/>
              </w:rPr>
              <w:t>kurios vykdo pagrindinę ekonominę veiklą gamybos, naudojant pažangiąsias ir (arba) vidutinio pažangumo technologijas, ir (arba) žinioms imlių pažangiųjų technologijų paslaugų sektoriuose</w:t>
            </w:r>
            <w:r w:rsidRPr="00B44B19">
              <w:rPr>
                <w:rFonts w:ascii="Times New Roman" w:hAnsi="Times New Roman" w:cs="Times New Roman"/>
                <w:noProof/>
                <w:szCs w:val="24"/>
              </w:rPr>
              <w:t xml:space="preserve">. </w:t>
            </w:r>
            <w:r w:rsidRPr="00B44B19">
              <w:rPr>
                <w:rFonts w:ascii="Times New Roman" w:eastAsia="Calibri" w:hAnsi="Times New Roman" w:cs="Times New Roman"/>
                <w:szCs w:val="24"/>
              </w:rPr>
              <w:t>Ši veikla įgyvendinama VVL regione</w:t>
            </w:r>
            <w:r w:rsidRPr="00B44B19">
              <w:rPr>
                <w:rFonts w:ascii="Times New Roman" w:hAnsi="Times New Roman" w:cs="Times New Roman"/>
                <w:noProof/>
                <w:szCs w:val="24"/>
              </w:rPr>
              <w:t xml:space="preserve">. </w:t>
            </w:r>
          </w:p>
          <w:p w14:paraId="0ADA576F" w14:textId="77777777" w:rsidR="00F66349" w:rsidRPr="00B44B19" w:rsidRDefault="00F66349" w:rsidP="00D27D25">
            <w:pPr>
              <w:widowControl w:val="0"/>
              <w:tabs>
                <w:tab w:val="left" w:pos="34"/>
                <w:tab w:val="left" w:pos="459"/>
                <w:tab w:val="left" w:pos="601"/>
              </w:tabs>
              <w:spacing w:before="60" w:after="60"/>
              <w:jc w:val="both"/>
              <w:rPr>
                <w:rFonts w:ascii="Times New Roman" w:hAnsi="Times New Roman" w:cs="Times New Roman"/>
                <w:bCs/>
                <w:noProof/>
                <w:szCs w:val="24"/>
              </w:rPr>
            </w:pPr>
            <w:r w:rsidRPr="00B44B19">
              <w:rPr>
                <w:rFonts w:ascii="Times New Roman" w:hAnsi="Times New Roman" w:cs="Times New Roman"/>
                <w:b/>
                <w:noProof/>
                <w:szCs w:val="24"/>
              </w:rPr>
              <w:t xml:space="preserve">Skatinti </w:t>
            </w:r>
            <w:r w:rsidRPr="00B44B19">
              <w:rPr>
                <w:rFonts w:ascii="Times New Roman" w:hAnsi="Times New Roman" w:cs="Times New Roman"/>
                <w:b/>
                <w:bCs/>
                <w:iCs/>
                <w:szCs w:val="24"/>
              </w:rPr>
              <w:t xml:space="preserve">MVĮ APV </w:t>
            </w:r>
            <w:bookmarkStart w:id="15" w:name="_Hlk168997733"/>
            <w:r w:rsidRPr="00B44B19">
              <w:rPr>
                <w:rFonts w:ascii="Times New Roman" w:hAnsi="Times New Roman" w:cs="Times New Roman"/>
                <w:b/>
                <w:iCs/>
                <w:szCs w:val="24"/>
              </w:rPr>
              <w:t xml:space="preserve">bei </w:t>
            </w:r>
            <w:r w:rsidRPr="00B44B19">
              <w:rPr>
                <w:rFonts w:ascii="Times New Roman" w:hAnsi="Times New Roman" w:cs="Times New Roman"/>
                <w:b/>
                <w:bCs/>
              </w:rPr>
              <w:t xml:space="preserve">gynybos ir saugumo pramonės sektoriaus </w:t>
            </w:r>
            <w:bookmarkEnd w:id="15"/>
            <w:r w:rsidRPr="00B44B19">
              <w:rPr>
                <w:rFonts w:ascii="Times New Roman" w:hAnsi="Times New Roman" w:cs="Times New Roman"/>
                <w:b/>
                <w:bCs/>
                <w:iCs/>
                <w:szCs w:val="24"/>
              </w:rPr>
              <w:t>produktų ir paslaugų sertifikavimą ir pristatymą užsienio rinkose</w:t>
            </w:r>
            <w:r w:rsidRPr="00B44B19">
              <w:rPr>
                <w:rFonts w:ascii="Times New Roman" w:hAnsi="Times New Roman" w:cs="Times New Roman"/>
                <w:bCs/>
                <w:iCs/>
                <w:szCs w:val="24"/>
              </w:rPr>
              <w:t>: s</w:t>
            </w:r>
            <w:r w:rsidRPr="00B44B19">
              <w:rPr>
                <w:rFonts w:ascii="Times New Roman" w:hAnsi="Times New Roman" w:cs="Times New Roman"/>
                <w:szCs w:val="24"/>
              </w:rPr>
              <w:t xml:space="preserve">iekiant skatinti Sostinės regiono įmonių kuriamų </w:t>
            </w:r>
            <w:r w:rsidRPr="00B44B19">
              <w:rPr>
                <w:rFonts w:ascii="Times New Roman" w:hAnsi="Times New Roman" w:cs="Times New Roman"/>
                <w:bCs/>
                <w:iCs/>
                <w:szCs w:val="24"/>
              </w:rPr>
              <w:t>APV</w:t>
            </w:r>
            <w:r w:rsidRPr="00B44B19">
              <w:rPr>
                <w:rFonts w:ascii="Times New Roman" w:hAnsi="Times New Roman" w:cs="Times New Roman"/>
                <w:szCs w:val="24"/>
              </w:rPr>
              <w:t xml:space="preserve"> </w:t>
            </w:r>
            <w:r w:rsidRPr="00B44B19">
              <w:rPr>
                <w:rFonts w:ascii="Times New Roman" w:hAnsi="Times New Roman" w:cs="Times New Roman"/>
                <w:bCs/>
                <w:iCs/>
                <w:szCs w:val="24"/>
              </w:rPr>
              <w:t xml:space="preserve">bei </w:t>
            </w:r>
            <w:r w:rsidRPr="00B44B19">
              <w:rPr>
                <w:rFonts w:ascii="Times New Roman" w:hAnsi="Times New Roman" w:cs="Times New Roman"/>
                <w:bCs/>
              </w:rPr>
              <w:t xml:space="preserve">gynybos ir saugumo pramonės sektoriaus </w:t>
            </w:r>
            <w:r w:rsidRPr="00B44B19">
              <w:rPr>
                <w:rFonts w:ascii="Times New Roman" w:hAnsi="Times New Roman" w:cs="Times New Roman"/>
                <w:bCs/>
                <w:szCs w:val="24"/>
              </w:rPr>
              <w:t xml:space="preserve">produktų bei paslaugų žinomumą ir eksportą, </w:t>
            </w:r>
            <w:r w:rsidRPr="00B44B19">
              <w:rPr>
                <w:rFonts w:ascii="Times New Roman" w:hAnsi="Times New Roman" w:cs="Times New Roman"/>
                <w:bCs/>
                <w:iCs/>
                <w:szCs w:val="24"/>
              </w:rPr>
              <w:t xml:space="preserve">bus finansuojamas MVĮ ir jų APV bei </w:t>
            </w:r>
            <w:r w:rsidRPr="00B44B19">
              <w:rPr>
                <w:rFonts w:ascii="Times New Roman" w:hAnsi="Times New Roman" w:cs="Times New Roman"/>
                <w:bCs/>
              </w:rPr>
              <w:t xml:space="preserve">gynybos ir saugumo pramonės sektoriaus </w:t>
            </w:r>
            <w:r w:rsidRPr="00B44B19">
              <w:rPr>
                <w:rFonts w:ascii="Times New Roman" w:hAnsi="Times New Roman" w:cs="Times New Roman"/>
                <w:bCs/>
                <w:iCs/>
                <w:szCs w:val="24"/>
              </w:rPr>
              <w:t xml:space="preserve">produkcijos pristatymas užsienyje vykstančiose tarptautinėse parodose. Taip pat numatoma skirti investicijas MVĮ planuojamų eksportuoti APV bei </w:t>
            </w:r>
            <w:r w:rsidRPr="00B44B19">
              <w:rPr>
                <w:rFonts w:ascii="Times New Roman" w:hAnsi="Times New Roman" w:cs="Times New Roman"/>
                <w:bCs/>
              </w:rPr>
              <w:t xml:space="preserve">gynybos ir saugumo pramonės sektoriaus </w:t>
            </w:r>
            <w:r w:rsidRPr="00B44B19">
              <w:rPr>
                <w:rFonts w:ascii="Times New Roman" w:hAnsi="Times New Roman" w:cs="Times New Roman"/>
                <w:bCs/>
                <w:iCs/>
                <w:szCs w:val="24"/>
              </w:rPr>
              <w:t xml:space="preserve">produktų ir paslaugų sertifikavimo paslaugoms įsigyti. Prioritetas bus teikiamas MVĮ, </w:t>
            </w:r>
            <w:r w:rsidRPr="00B44B19">
              <w:rPr>
                <w:rFonts w:ascii="Times New Roman" w:hAnsi="Times New Roman" w:cs="Times New Roman"/>
                <w:bCs/>
                <w:noProof/>
                <w:szCs w:val="24"/>
              </w:rPr>
              <w:t xml:space="preserve">gaminančioms </w:t>
            </w:r>
            <w:r w:rsidRPr="00B44B19">
              <w:rPr>
                <w:rFonts w:ascii="Times New Roman" w:hAnsi="Times New Roman" w:cs="Times New Roman"/>
                <w:bCs/>
                <w:iCs/>
                <w:szCs w:val="24"/>
              </w:rPr>
              <w:t>APV</w:t>
            </w:r>
            <w:r w:rsidRPr="00B44B19">
              <w:rPr>
                <w:rFonts w:ascii="Times New Roman" w:hAnsi="Times New Roman" w:cs="Times New Roman"/>
                <w:bCs/>
                <w:noProof/>
                <w:szCs w:val="24"/>
              </w:rPr>
              <w:t xml:space="preserve"> </w:t>
            </w:r>
            <w:r w:rsidRPr="00B44B19">
              <w:rPr>
                <w:rFonts w:ascii="Times New Roman" w:hAnsi="Times New Roman" w:cs="Times New Roman"/>
                <w:bCs/>
                <w:iCs/>
                <w:szCs w:val="24"/>
              </w:rPr>
              <w:t xml:space="preserve">bei </w:t>
            </w:r>
            <w:r w:rsidRPr="00B44B19">
              <w:rPr>
                <w:rFonts w:ascii="Times New Roman" w:hAnsi="Times New Roman" w:cs="Times New Roman"/>
                <w:bCs/>
              </w:rPr>
              <w:t xml:space="preserve">gynybos ir saugumo pramonės sektoriaus </w:t>
            </w:r>
            <w:r w:rsidRPr="00B44B19">
              <w:rPr>
                <w:rFonts w:ascii="Times New Roman" w:hAnsi="Times New Roman" w:cs="Times New Roman"/>
                <w:bCs/>
                <w:noProof/>
                <w:szCs w:val="24"/>
              </w:rPr>
              <w:t xml:space="preserve">produktus ir (arba) teikiančioms </w:t>
            </w:r>
            <w:r w:rsidRPr="00B44B19">
              <w:rPr>
                <w:rFonts w:ascii="Times New Roman" w:hAnsi="Times New Roman" w:cs="Times New Roman"/>
                <w:bCs/>
                <w:iCs/>
                <w:szCs w:val="24"/>
              </w:rPr>
              <w:t>APV</w:t>
            </w:r>
            <w:r w:rsidRPr="00B44B19">
              <w:rPr>
                <w:rFonts w:ascii="Times New Roman" w:hAnsi="Times New Roman" w:cs="Times New Roman"/>
                <w:bCs/>
                <w:noProof/>
                <w:szCs w:val="24"/>
              </w:rPr>
              <w:t xml:space="preserve"> </w:t>
            </w:r>
            <w:r w:rsidRPr="00B44B19">
              <w:rPr>
                <w:rFonts w:ascii="Times New Roman" w:hAnsi="Times New Roman" w:cs="Times New Roman"/>
                <w:bCs/>
                <w:iCs/>
                <w:szCs w:val="24"/>
              </w:rPr>
              <w:t xml:space="preserve">bei </w:t>
            </w:r>
            <w:r w:rsidRPr="00B44B19">
              <w:rPr>
                <w:rFonts w:ascii="Times New Roman" w:hAnsi="Times New Roman" w:cs="Times New Roman"/>
                <w:bCs/>
              </w:rPr>
              <w:t xml:space="preserve">gynybos ir saugumo pramonės sektoriaus </w:t>
            </w:r>
            <w:r w:rsidRPr="00B44B19">
              <w:rPr>
                <w:rFonts w:ascii="Times New Roman" w:hAnsi="Times New Roman" w:cs="Times New Roman"/>
                <w:bCs/>
                <w:noProof/>
                <w:szCs w:val="24"/>
              </w:rPr>
              <w:t xml:space="preserve">paslaugas, atitinkančias </w:t>
            </w:r>
            <w:r w:rsidRPr="00B44B19">
              <w:rPr>
                <w:rFonts w:ascii="Times New Roman" w:hAnsi="Times New Roman" w:cs="Times New Roman"/>
                <w:bCs/>
                <w:szCs w:val="24"/>
              </w:rPr>
              <w:t xml:space="preserve">S4 </w:t>
            </w:r>
            <w:r w:rsidRPr="00B44B19">
              <w:rPr>
                <w:rFonts w:ascii="Times New Roman" w:hAnsi="Times New Roman" w:cs="Times New Roman"/>
                <w:bCs/>
                <w:noProof/>
                <w:szCs w:val="24"/>
              </w:rPr>
              <w:t>strategiją. Ši veikla bus įgyvendinama Sostinės regione.</w:t>
            </w:r>
          </w:p>
          <w:p w14:paraId="7558F930" w14:textId="79D6B1F0" w:rsidR="00F66349" w:rsidRPr="00B44B19" w:rsidRDefault="00F66349" w:rsidP="00D27D25">
            <w:pPr>
              <w:widowControl w:val="0"/>
              <w:shd w:val="clear" w:color="auto" w:fill="FFFFFF"/>
              <w:spacing w:before="60" w:after="60"/>
              <w:jc w:val="both"/>
              <w:textAlignment w:val="baseline"/>
              <w:rPr>
                <w:rFonts w:ascii="Times New Roman" w:hAnsi="Times New Roman" w:cs="Times New Roman"/>
                <w:noProof/>
                <w:szCs w:val="24"/>
              </w:rPr>
            </w:pPr>
            <w:r w:rsidRPr="00B44B19">
              <w:rPr>
                <w:rFonts w:ascii="Times New Roman" w:hAnsi="Times New Roman" w:cs="Times New Roman"/>
                <w:b/>
                <w:noProof/>
                <w:szCs w:val="24"/>
              </w:rPr>
              <w:t>Skatinti į eksportą orientuotų, į bendrą vertės grandinę susijungusių MVĮ tinklo</w:t>
            </w:r>
            <w:r w:rsidRPr="00B44B19">
              <w:rPr>
                <w:rFonts w:ascii="Times New Roman" w:hAnsi="Times New Roman" w:cs="Times New Roman"/>
                <w:b/>
                <w:bCs/>
                <w:iCs/>
                <w:szCs w:val="24"/>
              </w:rPr>
              <w:t xml:space="preserve"> kūrimąsi ir augimą</w:t>
            </w:r>
            <w:r w:rsidRPr="00B44B19">
              <w:rPr>
                <w:rFonts w:ascii="Times New Roman" w:hAnsi="Times New Roman" w:cs="Times New Roman"/>
                <w:noProof/>
                <w:szCs w:val="24"/>
              </w:rPr>
              <w:t xml:space="preserve">: </w:t>
            </w:r>
            <w:r w:rsidRPr="00B44B19">
              <w:rPr>
                <w:rFonts w:ascii="Times New Roman" w:hAnsi="Times New Roman" w:cs="Times New Roman"/>
              </w:rPr>
              <w:t>s</w:t>
            </w:r>
            <w:r w:rsidRPr="00B44B19">
              <w:rPr>
                <w:rFonts w:ascii="Times New Roman" w:hAnsi="Times New Roman" w:cs="Times New Roman"/>
                <w:bCs/>
                <w:iCs/>
                <w:szCs w:val="24"/>
              </w:rPr>
              <w:t xml:space="preserve">iekiant skatinti eksportuojančių MVĮ įsitraukimą į tarptautines tinklų grandines ir pozicijų jose stiprinimą, bus </w:t>
            </w:r>
            <w:r w:rsidRPr="00B44B19">
              <w:rPr>
                <w:rFonts w:ascii="Times New Roman" w:hAnsi="Times New Roman" w:cs="Times New Roman"/>
                <w:bCs/>
                <w:iCs/>
                <w:szCs w:val="24"/>
              </w:rPr>
              <w:lastRenderedPageBreak/>
              <w:t xml:space="preserve">investuojama </w:t>
            </w:r>
            <w:r w:rsidRPr="00B44B19">
              <w:rPr>
                <w:rFonts w:ascii="Times New Roman" w:hAnsi="Times New Roman" w:cs="Times New Roman"/>
                <w:noProof/>
                <w:szCs w:val="24"/>
              </w:rPr>
              <w:t xml:space="preserve">į MVĮ partnerystės kultūros stiprinimą, MVĮ tinklo dalyvavimo tarptautiniuose tinkluose ir klasteriuose skatinimą. Investicijas planuojama orientuoti į MVĮ tinklo studijų vizitus, dalyvavimą tarptautinėse parodose ir įsitraukimą į tarptautinę partnerystę, rinkodaros strategijų rengimą, eksporto vadybininko paslaugų įsigijimą. Prioritetas bus teikiamas jau egzistuojančių MVĮ partnerysčių </w:t>
            </w:r>
            <w:r w:rsidRPr="00B44B19">
              <w:rPr>
                <w:rFonts w:ascii="Times New Roman" w:hAnsi="Times New Roman" w:cs="Times New Roman"/>
                <w:bCs/>
                <w:iCs/>
                <w:szCs w:val="24"/>
              </w:rPr>
              <w:t>įsitraukimo į tarptautines tinklų grandines</w:t>
            </w:r>
            <w:r w:rsidRPr="00B44B19">
              <w:rPr>
                <w:rFonts w:ascii="Times New Roman" w:hAnsi="Times New Roman" w:cs="Times New Roman"/>
                <w:noProof/>
                <w:szCs w:val="24"/>
              </w:rPr>
              <w:t xml:space="preserve"> veikloms stiprinti. Ši veikla įgyvendinama </w:t>
            </w:r>
            <w:r w:rsidRPr="00B44B19">
              <w:rPr>
                <w:rFonts w:ascii="Times New Roman" w:hAnsi="Times New Roman" w:cs="Times New Roman"/>
                <w:szCs w:val="24"/>
              </w:rPr>
              <w:t>VVL regione</w:t>
            </w:r>
            <w:r w:rsidRPr="00B44B19">
              <w:rPr>
                <w:rFonts w:ascii="Times New Roman" w:hAnsi="Times New Roman" w:cs="Times New Roman"/>
                <w:noProof/>
                <w:szCs w:val="24"/>
              </w:rPr>
              <w:t>.</w:t>
            </w:r>
          </w:p>
          <w:p w14:paraId="715CABA8" w14:textId="000A46D4" w:rsidR="00F66349" w:rsidRPr="00B44B19" w:rsidRDefault="00F66349" w:rsidP="00D27D25">
            <w:pPr>
              <w:widowControl w:val="0"/>
              <w:tabs>
                <w:tab w:val="left" w:pos="0"/>
                <w:tab w:val="left" w:pos="459"/>
                <w:tab w:val="left" w:pos="885"/>
              </w:tabs>
              <w:spacing w:before="60" w:after="60"/>
              <w:jc w:val="both"/>
              <w:rPr>
                <w:rFonts w:ascii="Times New Roman" w:hAnsi="Times New Roman" w:cs="Times New Roman"/>
                <w:szCs w:val="24"/>
              </w:rPr>
            </w:pPr>
            <w:r w:rsidRPr="00B44B19">
              <w:rPr>
                <w:rFonts w:ascii="Times New Roman" w:hAnsi="Times New Roman" w:cs="Times New Roman"/>
                <w:b/>
                <w:bCs/>
                <w:iCs/>
                <w:szCs w:val="24"/>
              </w:rPr>
              <w:t xml:space="preserve">Skatinti pramonės įmonių </w:t>
            </w:r>
            <w:r w:rsidRPr="00B44B19">
              <w:rPr>
                <w:rFonts w:ascii="Times New Roman" w:hAnsi="Times New Roman" w:cs="Times New Roman"/>
                <w:b/>
                <w:bCs/>
                <w:szCs w:val="24"/>
              </w:rPr>
              <w:t xml:space="preserve">bei </w:t>
            </w:r>
            <w:r w:rsidRPr="00B44B19">
              <w:rPr>
                <w:rFonts w:ascii="Times New Roman" w:hAnsi="Times New Roman" w:cs="Times New Roman"/>
                <w:b/>
                <w:bCs/>
              </w:rPr>
              <w:t xml:space="preserve">gynybos ir saugumo pramonės sektoriaus įmonių </w:t>
            </w:r>
            <w:r w:rsidRPr="00B44B19">
              <w:rPr>
                <w:rFonts w:ascii="Times New Roman" w:hAnsi="Times New Roman" w:cs="Times New Roman"/>
                <w:b/>
                <w:bCs/>
                <w:iCs/>
                <w:szCs w:val="24"/>
              </w:rPr>
              <w:t xml:space="preserve">gamybos </w:t>
            </w:r>
            <w:r w:rsidR="003E7C64" w:rsidRPr="00B44B19">
              <w:rPr>
                <w:rFonts w:ascii="Times New Roman" w:hAnsi="Times New Roman" w:cs="Times New Roman"/>
                <w:b/>
                <w:bCs/>
                <w:iCs/>
                <w:szCs w:val="24"/>
              </w:rPr>
              <w:t xml:space="preserve">ir verslo </w:t>
            </w:r>
            <w:r w:rsidRPr="00B44B19">
              <w:rPr>
                <w:rFonts w:ascii="Times New Roman" w:hAnsi="Times New Roman" w:cs="Times New Roman"/>
                <w:b/>
                <w:bCs/>
                <w:iCs/>
                <w:szCs w:val="24"/>
              </w:rPr>
              <w:t xml:space="preserve">procesų automatizavimą, ir skaitmeninimo technologijų diegimą (pramonės </w:t>
            </w:r>
            <w:r w:rsidRPr="00B44B19">
              <w:rPr>
                <w:rFonts w:ascii="Times New Roman" w:hAnsi="Times New Roman" w:cs="Times New Roman"/>
                <w:b/>
                <w:bCs/>
                <w:szCs w:val="24"/>
              </w:rPr>
              <w:t xml:space="preserve">bei </w:t>
            </w:r>
            <w:r w:rsidRPr="00B44B19">
              <w:rPr>
                <w:rFonts w:ascii="Times New Roman" w:hAnsi="Times New Roman" w:cs="Times New Roman"/>
                <w:b/>
                <w:bCs/>
              </w:rPr>
              <w:t xml:space="preserve">gynybos ir saugumo pramonės sektoriaus įmonių </w:t>
            </w:r>
            <w:r w:rsidRPr="00B44B19">
              <w:rPr>
                <w:rFonts w:ascii="Times New Roman" w:hAnsi="Times New Roman" w:cs="Times New Roman"/>
                <w:b/>
                <w:bCs/>
                <w:iCs/>
                <w:szCs w:val="24"/>
              </w:rPr>
              <w:t>skaitmeninimas)</w:t>
            </w:r>
            <w:r w:rsidRPr="00B44B19">
              <w:rPr>
                <w:rFonts w:ascii="Times New Roman" w:hAnsi="Times New Roman" w:cs="Times New Roman"/>
                <w:bCs/>
                <w:iCs/>
                <w:szCs w:val="24"/>
              </w:rPr>
              <w:t xml:space="preserve">: </w:t>
            </w:r>
            <w:r w:rsidRPr="00B44B19">
              <w:rPr>
                <w:rFonts w:ascii="Times New Roman" w:hAnsi="Times New Roman" w:cs="Times New Roman"/>
              </w:rPr>
              <w:t>s</w:t>
            </w:r>
            <w:r w:rsidRPr="00B44B19">
              <w:rPr>
                <w:rFonts w:ascii="Times New Roman" w:hAnsi="Times New Roman" w:cs="Times New Roman"/>
                <w:szCs w:val="24"/>
              </w:rPr>
              <w:t xml:space="preserve">iekiant </w:t>
            </w:r>
            <w:r w:rsidRPr="00B44B19">
              <w:rPr>
                <w:rFonts w:ascii="Times New Roman" w:hAnsi="Times New Roman" w:cs="Times New Roman"/>
                <w:noProof/>
                <w:szCs w:val="24"/>
              </w:rPr>
              <w:t xml:space="preserve">spartinti įmonių darbo našumo augimą, bus investuojama į </w:t>
            </w:r>
            <w:r w:rsidRPr="00B44B19">
              <w:rPr>
                <w:rFonts w:ascii="Times New Roman" w:hAnsi="Times New Roman" w:cs="Times New Roman"/>
                <w:szCs w:val="24"/>
              </w:rPr>
              <w:t xml:space="preserve">pramonės įmonių bei </w:t>
            </w:r>
            <w:r w:rsidRPr="00B44B19">
              <w:rPr>
                <w:rFonts w:ascii="Times New Roman" w:hAnsi="Times New Roman" w:cs="Times New Roman"/>
              </w:rPr>
              <w:t xml:space="preserve">gynybos ir saugumo pramonės sektoriaus įmonių </w:t>
            </w:r>
            <w:r w:rsidRPr="00B44B19">
              <w:rPr>
                <w:rFonts w:ascii="Times New Roman" w:hAnsi="Times New Roman" w:cs="Times New Roman"/>
                <w:szCs w:val="24"/>
              </w:rPr>
              <w:t>gamybos</w:t>
            </w:r>
            <w:r w:rsidR="003E7C64" w:rsidRPr="00B44B19">
              <w:rPr>
                <w:rFonts w:ascii="Times New Roman" w:hAnsi="Times New Roman" w:cs="Times New Roman"/>
                <w:szCs w:val="24"/>
              </w:rPr>
              <w:t xml:space="preserve"> ir verslo</w:t>
            </w:r>
            <w:r w:rsidRPr="00B44B19">
              <w:rPr>
                <w:rFonts w:ascii="Times New Roman" w:hAnsi="Times New Roman" w:cs="Times New Roman"/>
                <w:szCs w:val="24"/>
              </w:rPr>
              <w:t xml:space="preserve"> procesų </w:t>
            </w:r>
            <w:r w:rsidR="003E7C64" w:rsidRPr="00B44B19">
              <w:rPr>
                <w:rFonts w:ascii="Times New Roman" w:hAnsi="Times New Roman" w:cs="Times New Roman"/>
                <w:szCs w:val="24"/>
              </w:rPr>
              <w:t xml:space="preserve">automatizavimą, </w:t>
            </w:r>
            <w:r w:rsidRPr="00B44B19">
              <w:rPr>
                <w:rFonts w:ascii="Times New Roman" w:hAnsi="Times New Roman" w:cs="Times New Roman"/>
                <w:szCs w:val="24"/>
              </w:rPr>
              <w:t>skaitmeninimo technologij</w:t>
            </w:r>
            <w:r w:rsidR="003E7C64" w:rsidRPr="00B44B19">
              <w:rPr>
                <w:rFonts w:ascii="Times New Roman" w:hAnsi="Times New Roman" w:cs="Times New Roman"/>
                <w:szCs w:val="24"/>
              </w:rPr>
              <w:t>ų</w:t>
            </w:r>
            <w:r w:rsidRPr="00B44B19">
              <w:rPr>
                <w:rFonts w:ascii="Times New Roman" w:hAnsi="Times New Roman" w:cs="Times New Roman"/>
                <w:szCs w:val="24"/>
              </w:rPr>
              <w:t xml:space="preserve"> diegimą,</w:t>
            </w:r>
            <w:r w:rsidRPr="00B44B19">
              <w:rPr>
                <w:rFonts w:ascii="Times New Roman" w:hAnsi="Times New Roman" w:cs="Times New Roman"/>
                <w:noProof/>
                <w:szCs w:val="24"/>
              </w:rPr>
              <w:t xml:space="preserve"> įskaitant pramonės įmonių </w:t>
            </w:r>
            <w:r w:rsidRPr="00B44B19">
              <w:rPr>
                <w:rFonts w:ascii="Times New Roman" w:hAnsi="Times New Roman" w:cs="Times New Roman"/>
                <w:szCs w:val="24"/>
              </w:rPr>
              <w:t xml:space="preserve">bei </w:t>
            </w:r>
            <w:r w:rsidRPr="00B44B19">
              <w:rPr>
                <w:rFonts w:ascii="Times New Roman" w:hAnsi="Times New Roman" w:cs="Times New Roman"/>
              </w:rPr>
              <w:t xml:space="preserve">gynybos ir saugumo pramonės sektoriaus įmonių </w:t>
            </w:r>
            <w:r w:rsidRPr="00B44B19">
              <w:rPr>
                <w:rFonts w:ascii="Times New Roman" w:hAnsi="Times New Roman" w:cs="Times New Roman"/>
                <w:noProof/>
                <w:szCs w:val="24"/>
              </w:rPr>
              <w:t>technologinio</w:t>
            </w:r>
            <w:r w:rsidRPr="00B44B19">
              <w:rPr>
                <w:rFonts w:ascii="Times New Roman" w:hAnsi="Times New Roman" w:cs="Times New Roman"/>
                <w:szCs w:val="24"/>
              </w:rPr>
              <w:t xml:space="preserve"> </w:t>
            </w:r>
            <w:r w:rsidRPr="00B44B19">
              <w:rPr>
                <w:rFonts w:ascii="Times New Roman" w:hAnsi="Times New Roman" w:cs="Times New Roman"/>
                <w:noProof/>
                <w:szCs w:val="24"/>
              </w:rPr>
              <w:t>ir (ar) skaitmeninio</w:t>
            </w:r>
            <w:r w:rsidRPr="00B44B19">
              <w:rPr>
                <w:rFonts w:ascii="Times New Roman" w:hAnsi="Times New Roman" w:cs="Times New Roman"/>
                <w:szCs w:val="24"/>
              </w:rPr>
              <w:t xml:space="preserve"> audito, kuris yra skirtas pramonės įmonių </w:t>
            </w:r>
            <w:r w:rsidRPr="00B44B19">
              <w:rPr>
                <w:rFonts w:ascii="Times New Roman" w:hAnsi="Times New Roman" w:cs="Times New Roman"/>
                <w:iCs/>
                <w:szCs w:val="24"/>
              </w:rPr>
              <w:t xml:space="preserve">bei </w:t>
            </w:r>
            <w:r w:rsidRPr="00B44B19">
              <w:rPr>
                <w:rFonts w:ascii="Times New Roman" w:hAnsi="Times New Roman" w:cs="Times New Roman"/>
              </w:rPr>
              <w:t xml:space="preserve">gynybos ir saugumo pramonės sektoriaus </w:t>
            </w:r>
            <w:r w:rsidRPr="00B44B19">
              <w:rPr>
                <w:rFonts w:ascii="Times New Roman" w:hAnsi="Times New Roman" w:cs="Times New Roman"/>
                <w:szCs w:val="24"/>
              </w:rPr>
              <w:t>gamybos procesų skaitmeninimo galimybėms ir perspektyvoms įvertinti, atlikimą ir (arba) technologinio audito nuostatų įgyvendinimo technologinę priežiūrą (technologinio konsultavimo paslaugos). Prioritetas bus skiriamas investicijoms į diegiamas integruotas skaitmeninimo technologijas, kurios atitiks S4. Ši veikla įgyvendinama VVL regione.</w:t>
            </w:r>
          </w:p>
          <w:p w14:paraId="783B7893" w14:textId="2B960391" w:rsidR="003E7C64" w:rsidRPr="00B44B19" w:rsidRDefault="00F66349" w:rsidP="003E7C64">
            <w:pPr>
              <w:widowControl w:val="0"/>
              <w:tabs>
                <w:tab w:val="left" w:pos="0"/>
                <w:tab w:val="left" w:pos="459"/>
                <w:tab w:val="left" w:pos="885"/>
              </w:tabs>
              <w:spacing w:before="60" w:after="60"/>
              <w:jc w:val="both"/>
              <w:rPr>
                <w:rFonts w:ascii="Times New Roman" w:hAnsi="Times New Roman" w:cs="Times New Roman"/>
                <w:szCs w:val="24"/>
              </w:rPr>
            </w:pPr>
            <w:r w:rsidRPr="00B44B19">
              <w:rPr>
                <w:rFonts w:ascii="Times New Roman" w:hAnsi="Times New Roman" w:cs="Times New Roman"/>
                <w:b/>
                <w:szCs w:val="24"/>
              </w:rPr>
              <w:t xml:space="preserve">Skatinti  pramonės įmonių </w:t>
            </w:r>
            <w:r w:rsidRPr="00B44B19">
              <w:rPr>
                <w:rFonts w:ascii="Times New Roman" w:hAnsi="Times New Roman" w:cs="Times New Roman"/>
                <w:b/>
                <w:iCs/>
                <w:szCs w:val="24"/>
              </w:rPr>
              <w:t xml:space="preserve">bei </w:t>
            </w:r>
            <w:r w:rsidRPr="00B44B19">
              <w:rPr>
                <w:rFonts w:ascii="Times New Roman" w:hAnsi="Times New Roman" w:cs="Times New Roman"/>
                <w:b/>
                <w:bCs/>
              </w:rPr>
              <w:t>gynybos ir saugumo pramonės sektoriaus</w:t>
            </w:r>
            <w:r w:rsidRPr="00B44B19">
              <w:rPr>
                <w:rFonts w:ascii="Times New Roman" w:hAnsi="Times New Roman" w:cs="Times New Roman"/>
                <w:b/>
                <w:szCs w:val="24"/>
              </w:rPr>
              <w:t xml:space="preserve"> įmonių gamybos</w:t>
            </w:r>
            <w:r w:rsidR="003E7C64" w:rsidRPr="00B44B19">
              <w:rPr>
                <w:rFonts w:ascii="Times New Roman" w:hAnsi="Times New Roman" w:cs="Times New Roman"/>
                <w:b/>
                <w:szCs w:val="24"/>
              </w:rPr>
              <w:t xml:space="preserve"> ir verslo</w:t>
            </w:r>
            <w:r w:rsidRPr="00B44B19">
              <w:rPr>
                <w:rFonts w:ascii="Times New Roman" w:hAnsi="Times New Roman" w:cs="Times New Roman"/>
                <w:b/>
                <w:szCs w:val="24"/>
              </w:rPr>
              <w:t xml:space="preserve"> procesų skaitmeninimą: </w:t>
            </w:r>
            <w:r w:rsidRPr="00B44B19">
              <w:rPr>
                <w:rFonts w:ascii="Times New Roman" w:hAnsi="Times New Roman" w:cs="Times New Roman"/>
                <w:szCs w:val="24"/>
              </w:rPr>
              <w:t xml:space="preserve">siekiant spartinti ir efektyvinti įmonių įsitraukimą į TVG, bus skatinamos investicijos į pramonės įmonių bei </w:t>
            </w:r>
            <w:r w:rsidRPr="00B44B19">
              <w:rPr>
                <w:rFonts w:ascii="Times New Roman" w:hAnsi="Times New Roman" w:cs="Times New Roman"/>
              </w:rPr>
              <w:t xml:space="preserve">gynybos ir saugumo pramonės sektoriaus įmonių </w:t>
            </w:r>
            <w:r w:rsidRPr="00B44B19">
              <w:rPr>
                <w:rFonts w:ascii="Times New Roman" w:hAnsi="Times New Roman" w:cs="Times New Roman"/>
                <w:szCs w:val="24"/>
              </w:rPr>
              <w:t xml:space="preserve">gamybos </w:t>
            </w:r>
            <w:r w:rsidR="003E7C64" w:rsidRPr="00B44B19">
              <w:rPr>
                <w:rFonts w:ascii="Times New Roman" w:hAnsi="Times New Roman" w:cs="Times New Roman"/>
                <w:szCs w:val="24"/>
              </w:rPr>
              <w:t xml:space="preserve">ir verslo </w:t>
            </w:r>
            <w:r w:rsidRPr="00B44B19">
              <w:rPr>
                <w:rFonts w:ascii="Times New Roman" w:hAnsi="Times New Roman" w:cs="Times New Roman"/>
                <w:szCs w:val="24"/>
              </w:rPr>
              <w:t xml:space="preserve">procesų </w:t>
            </w:r>
            <w:r w:rsidR="003E7C64" w:rsidRPr="00B44B19">
              <w:rPr>
                <w:rFonts w:ascii="Times New Roman" w:hAnsi="Times New Roman" w:cs="Times New Roman"/>
                <w:szCs w:val="24"/>
              </w:rPr>
              <w:t>automatizavimą, s</w:t>
            </w:r>
            <w:r w:rsidRPr="00B44B19">
              <w:rPr>
                <w:rFonts w:ascii="Times New Roman" w:hAnsi="Times New Roman" w:cs="Times New Roman"/>
                <w:szCs w:val="24"/>
              </w:rPr>
              <w:t>kaitmeninimo technologij</w:t>
            </w:r>
            <w:r w:rsidR="003E7C64" w:rsidRPr="00B44B19">
              <w:rPr>
                <w:rFonts w:ascii="Times New Roman" w:hAnsi="Times New Roman" w:cs="Times New Roman"/>
                <w:szCs w:val="24"/>
              </w:rPr>
              <w:t xml:space="preserve">ų </w:t>
            </w:r>
            <w:r w:rsidRPr="00B44B19">
              <w:rPr>
                <w:rFonts w:ascii="Times New Roman" w:hAnsi="Times New Roman" w:cs="Times New Roman"/>
                <w:szCs w:val="24"/>
              </w:rPr>
              <w:t>diegimą. Ši veikla bus įgyvendinama Sostinės regione pagal S4.</w:t>
            </w:r>
          </w:p>
          <w:p w14:paraId="1A39BDB7" w14:textId="3513AA8B" w:rsidR="00DD03B4" w:rsidRPr="00B44B19" w:rsidRDefault="00334B0C" w:rsidP="003E7C64">
            <w:pPr>
              <w:widowControl w:val="0"/>
              <w:tabs>
                <w:tab w:val="left" w:pos="0"/>
                <w:tab w:val="left" w:pos="459"/>
                <w:tab w:val="left" w:pos="885"/>
              </w:tabs>
              <w:spacing w:before="60" w:after="60"/>
              <w:jc w:val="both"/>
              <w:rPr>
                <w:rFonts w:ascii="Times New Roman" w:eastAsia="Times New Roman" w:hAnsi="Times New Roman" w:cs="Times New Roman"/>
                <w:szCs w:val="24"/>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E62772" w:rsidRPr="00B44B19">
              <w:rPr>
                <w:rFonts w:ascii="Times New Roman" w:eastAsia="Times New Roman" w:hAnsi="Times New Roman" w:cs="Times New Roman"/>
                <w:noProof/>
                <w:szCs w:val="24"/>
              </w:rPr>
              <w:t>.</w:t>
            </w:r>
          </w:p>
        </w:tc>
      </w:tr>
    </w:tbl>
    <w:p w14:paraId="29A48083"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F52EB5" w:rsidRPr="00B44B19" w14:paraId="6A4DB9BB" w14:textId="77777777" w:rsidTr="00F52EB5">
        <w:tc>
          <w:tcPr>
            <w:tcW w:w="9854" w:type="dxa"/>
          </w:tcPr>
          <w:p w14:paraId="26E2EA92" w14:textId="77777777" w:rsidR="00F52EB5" w:rsidRPr="00B44B19" w:rsidRDefault="00681418" w:rsidP="004952F4">
            <w:pPr>
              <w:spacing w:before="60" w:after="60"/>
              <w:jc w:val="both"/>
              <w:rPr>
                <w:rFonts w:eastAsia="Calibri" w:cs="Times New Roman"/>
                <w:b/>
                <w:i/>
                <w:noProof/>
                <w:szCs w:val="20"/>
                <w:lang w:eastAsia="lt-LT" w:bidi="lt-LT"/>
              </w:rPr>
            </w:pPr>
            <w:r w:rsidRPr="00B44B19">
              <w:rPr>
                <w:rFonts w:eastAsia="Calibri" w:cs="Times New Roman"/>
                <w:noProof/>
                <w:sz w:val="22"/>
                <w:lang w:eastAsia="lt-LT" w:bidi="lt-LT"/>
              </w:rPr>
              <w:t>Labai mažos, mažos ir vidutinės įmonės</w:t>
            </w:r>
            <w:r w:rsidR="004344ED" w:rsidRPr="00B44B19">
              <w:rPr>
                <w:rFonts w:eastAsia="Calibri" w:cs="Times New Roman"/>
                <w:noProof/>
                <w:sz w:val="22"/>
                <w:lang w:eastAsia="lt-LT" w:bidi="lt-LT"/>
              </w:rPr>
              <w:t>. Didelės įmonės, kurios atitinka 2021 m. birželio 24 d. Europos Parlamento ir Tarybos reglamento dėl Europos regioninės plėtros fondo ir Sanglaudos fondo Nr. (ES) 2021/1058 5 straipsnio 2 (c) dalies nuostatas.</w:t>
            </w:r>
          </w:p>
        </w:tc>
      </w:tr>
    </w:tbl>
    <w:p w14:paraId="42DB1AD8"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52EB5" w:rsidRPr="00B44B19" w14:paraId="542F8B7A" w14:textId="77777777" w:rsidTr="00F52EB5">
        <w:tc>
          <w:tcPr>
            <w:tcW w:w="9854" w:type="dxa"/>
          </w:tcPr>
          <w:p w14:paraId="6AA19720" w14:textId="4E825A4E" w:rsidR="00F52EB5" w:rsidRPr="00B44B19" w:rsidRDefault="00681418" w:rsidP="004952F4">
            <w:pPr>
              <w:spacing w:before="60" w:after="60"/>
              <w:jc w:val="both"/>
              <w:rPr>
                <w:rFonts w:eastAsia="Calibri" w:cs="Times New Roman"/>
                <w:b/>
                <w:i/>
                <w:noProof/>
                <w:szCs w:val="20"/>
                <w:lang w:eastAsia="lt-LT" w:bidi="lt-LT"/>
              </w:rPr>
            </w:pPr>
            <w:r w:rsidRPr="00B44B19">
              <w:rPr>
                <w:rFonts w:eastAsia="Calibri" w:cs="Times New Roman"/>
                <w:noProof/>
                <w:sz w:val="22"/>
                <w:lang w:eastAsia="lt-LT" w:bidi="lt-LT"/>
              </w:rPr>
              <w:t>Vykdant numatytas veiklas bus siekiama užtikrinti lygybės, įtraukties ir nediskriminavimo principus.</w:t>
            </w:r>
            <w:r w:rsidRPr="00B44B19">
              <w:rPr>
                <w:rFonts w:eastAsia="Calibri" w:cs="Times New Roman"/>
                <w:sz w:val="22"/>
                <w:lang w:eastAsia="lt-LT" w:bidi="lt-LT"/>
              </w:rPr>
              <w:t xml:space="preserve"> </w:t>
            </w:r>
            <w:r w:rsidRPr="00B44B19">
              <w:rPr>
                <w:rFonts w:eastAsia="Calibri" w:cs="Times New Roman"/>
                <w:noProof/>
                <w:sz w:val="22"/>
                <w:lang w:eastAsia="lt-LT" w:bidi="lt-LT"/>
              </w:rPr>
              <w:t xml:space="preserve">Įgyvendinant nediskriminavimo principo, </w:t>
            </w:r>
            <w:r w:rsidR="003E7C64" w:rsidRPr="00B44B19">
              <w:rPr>
                <w:rFonts w:eastAsia="Calibri" w:cs="Times New Roman"/>
                <w:noProof/>
                <w:sz w:val="22"/>
                <w:lang w:eastAsia="lt-LT" w:bidi="lt-LT"/>
              </w:rPr>
              <w:t xml:space="preserve">įmonėms </w:t>
            </w:r>
            <w:r w:rsidRPr="00B44B19">
              <w:rPr>
                <w:rFonts w:eastAsia="Calibri" w:cs="Times New Roman"/>
                <w:noProof/>
                <w:sz w:val="22"/>
                <w:lang w:eastAsia="lt-LT" w:bidi="lt-LT"/>
              </w:rPr>
              <w:t xml:space="preserve">kuriant naujus ar tobulinant esamus produktus bus siekiama, kad jie atitiktų universalaus dizaino principus. </w:t>
            </w:r>
            <w:r w:rsidR="00E62772" w:rsidRPr="00B44B19">
              <w:rPr>
                <w:rFonts w:eastAsia="Calibri" w:cs="Times New Roman"/>
                <w:noProof/>
                <w:sz w:val="22"/>
                <w:lang w:eastAsia="lt-LT" w:bidi="lt-LT"/>
              </w:rPr>
              <w:t xml:space="preserve">Negalią turintiems žmonėms, taip pat </w:t>
            </w:r>
            <w:r w:rsidRPr="00B44B19">
              <w:rPr>
                <w:rFonts w:eastAsia="Calibri" w:cs="Times New Roman"/>
                <w:noProof/>
                <w:sz w:val="22"/>
                <w:lang w:eastAsia="lt-LT" w:bidi="lt-LT"/>
              </w:rPr>
              <w:t>moterims ir vyrams bus sudaromos vienodos galimybės dalyvauti įgyvendinant veiklas.</w:t>
            </w:r>
          </w:p>
        </w:tc>
      </w:tr>
    </w:tbl>
    <w:p w14:paraId="3F06B3E4" w14:textId="77777777" w:rsidR="00EF291A" w:rsidRPr="00B44B19" w:rsidRDefault="00EF291A" w:rsidP="00F52EB5">
      <w:pPr>
        <w:pStyle w:val="Stilius1"/>
        <w:rPr>
          <w:rFonts w:eastAsia="Times New Roman" w:cs="Times New Roman"/>
          <w:noProof/>
          <w:szCs w:val="24"/>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rsidRPr="00B44B19" w14:paraId="725EC3BA" w14:textId="77777777" w:rsidTr="00F52EB5">
        <w:tc>
          <w:tcPr>
            <w:tcW w:w="9854" w:type="dxa"/>
          </w:tcPr>
          <w:p w14:paraId="7F30133B" w14:textId="77777777" w:rsidR="00F52EB5" w:rsidRPr="00B44B19" w:rsidRDefault="00681418" w:rsidP="004952F4">
            <w:pPr>
              <w:spacing w:before="60" w:after="60"/>
              <w:jc w:val="both"/>
              <w:rPr>
                <w:rFonts w:eastAsia="Calibri" w:cs="Times New Roman"/>
                <w:b/>
                <w:i/>
                <w:noProof/>
                <w:szCs w:val="20"/>
                <w:lang w:eastAsia="lt-LT" w:bidi="lt-LT"/>
              </w:rPr>
            </w:pPr>
            <w:r w:rsidRPr="00B44B19">
              <w:rPr>
                <w:rFonts w:eastAsia="Calibri" w:cs="Times New Roman"/>
                <w:noProof/>
                <w:sz w:val="22"/>
                <w:lang w:eastAsia="lt-LT" w:bidi="lt-LT"/>
              </w:rPr>
              <w:t>VVL regionas, Sostinės regionas.</w:t>
            </w:r>
          </w:p>
        </w:tc>
      </w:tr>
    </w:tbl>
    <w:p w14:paraId="3887BC2B"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F52EB5" w:rsidRPr="00B44B19" w14:paraId="408D75F5" w14:textId="77777777" w:rsidTr="00F52EB5">
        <w:tc>
          <w:tcPr>
            <w:tcW w:w="9854" w:type="dxa"/>
          </w:tcPr>
          <w:p w14:paraId="29DDE456" w14:textId="2A9FBA53" w:rsidR="00F52EB5" w:rsidRPr="00B44B19" w:rsidRDefault="004344ED" w:rsidP="004952F4">
            <w:pPr>
              <w:spacing w:before="60" w:after="60"/>
              <w:jc w:val="both"/>
              <w:rPr>
                <w:rFonts w:eastAsia="Calibri" w:cs="Times New Roman"/>
                <w:b/>
                <w:i/>
                <w:noProof/>
                <w:szCs w:val="20"/>
                <w:lang w:eastAsia="lt-LT" w:bidi="lt-LT"/>
              </w:rPr>
            </w:pPr>
            <w:r w:rsidRPr="00B44B19">
              <w:rPr>
                <w:rFonts w:cs="Times New Roman"/>
                <w:noProof/>
                <w:sz w:val="22"/>
                <w:lang w:eastAsia="lt-LT"/>
              </w:rPr>
              <w:t>Uždavinio tikslams pasiekti numatoma pasinaudoti ir tokių šaltinių galimybėmis: InvestEU, INTERREG</w:t>
            </w:r>
            <w:r w:rsidR="00F66349" w:rsidRPr="00B44B19">
              <w:rPr>
                <w:rFonts w:cs="Times New Roman"/>
                <w:noProof/>
                <w:sz w:val="22"/>
                <w:lang w:eastAsia="lt-LT"/>
              </w:rPr>
              <w:t xml:space="preserve"> </w:t>
            </w:r>
            <w:r w:rsidRPr="00B44B19">
              <w:rPr>
                <w:rFonts w:cs="Times New Roman"/>
                <w:noProof/>
                <w:sz w:val="22"/>
                <w:lang w:eastAsia="lt-LT"/>
              </w:rPr>
              <w:t>ir EK tiesiogiai finansuojamomis programomis ir priemonėmis.</w:t>
            </w:r>
          </w:p>
        </w:tc>
      </w:tr>
    </w:tbl>
    <w:p w14:paraId="0DF3131F"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F52EB5" w:rsidRPr="00B44B19" w14:paraId="27A21551" w14:textId="77777777" w:rsidTr="00F52EB5">
        <w:tc>
          <w:tcPr>
            <w:tcW w:w="9854" w:type="dxa"/>
          </w:tcPr>
          <w:p w14:paraId="41313AF1" w14:textId="79CF4AEF" w:rsidR="00F52EB5" w:rsidRPr="00B44B19" w:rsidRDefault="00F2622B" w:rsidP="004952F4">
            <w:pPr>
              <w:spacing w:before="60" w:after="60"/>
              <w:jc w:val="both"/>
              <w:rPr>
                <w:rFonts w:cs="Times New Roman"/>
                <w:sz w:val="22"/>
              </w:rPr>
            </w:pPr>
            <w:r w:rsidRPr="00B44B19">
              <w:rPr>
                <w:rFonts w:cs="Times New Roman"/>
                <w:sz w:val="22"/>
                <w:lang w:eastAsia="lt-LT"/>
              </w:rPr>
              <w:t>V</w:t>
            </w:r>
            <w:r w:rsidR="00681418" w:rsidRPr="00B44B19">
              <w:rPr>
                <w:rFonts w:cs="Times New Roman"/>
                <w:sz w:val="22"/>
                <w:lang w:eastAsia="lt-LT"/>
              </w:rPr>
              <w:t>eiklai „Skatinti pradedančiųjų SVV subjektų kūrimąsi, augimą ir plėtrą“ įgyvendinti ir toliau planuojama naudoti finansines priemones, užtik</w:t>
            </w:r>
            <w:r w:rsidR="00681418" w:rsidRPr="00B44B19">
              <w:rPr>
                <w:rFonts w:cs="Times New Roman"/>
                <w:sz w:val="22"/>
              </w:rPr>
              <w:t>rinančias finansinių šaltinių prieinamumą</w:t>
            </w:r>
            <w:r w:rsidR="0029456D" w:rsidRPr="00B44B19">
              <w:rPr>
                <w:rFonts w:cs="Times New Roman"/>
                <w:sz w:val="22"/>
              </w:rPr>
              <w:t>, įskaitant rizikos kapitalo investicijas bei paskolas</w:t>
            </w:r>
            <w:r w:rsidR="00681418" w:rsidRPr="00B44B19">
              <w:rPr>
                <w:rFonts w:cs="Times New Roman"/>
                <w:sz w:val="22"/>
                <w:lang w:eastAsia="lt-LT"/>
              </w:rPr>
              <w:t>. Veikloms</w:t>
            </w:r>
            <w:r w:rsidR="00D70D18" w:rsidRPr="00B44B19">
              <w:rPr>
                <w:rFonts w:cs="Times New Roman"/>
                <w:sz w:val="22"/>
                <w:lang w:eastAsia="lt-LT"/>
              </w:rPr>
              <w:t>,</w:t>
            </w:r>
            <w:r w:rsidR="007A5A2A" w:rsidRPr="00B44B19">
              <w:rPr>
                <w:rFonts w:cs="Times New Roman"/>
                <w:sz w:val="22"/>
                <w:lang w:eastAsia="lt-LT"/>
              </w:rPr>
              <w:t xml:space="preserve"> </w:t>
            </w:r>
            <w:r w:rsidR="00681418" w:rsidRPr="00B44B19">
              <w:rPr>
                <w:rFonts w:cs="Times New Roman"/>
                <w:sz w:val="22"/>
              </w:rPr>
              <w:t xml:space="preserve">kurios 2014–2020 m. laikotarpiu buvo įgyvendinamos </w:t>
            </w:r>
            <w:r w:rsidR="006810FB" w:rsidRPr="00B44B19">
              <w:rPr>
                <w:rFonts w:cs="Times New Roman"/>
                <w:sz w:val="22"/>
              </w:rPr>
              <w:t xml:space="preserve">dotacijos </w:t>
            </w:r>
            <w:r w:rsidR="00681418" w:rsidRPr="00B44B19">
              <w:rPr>
                <w:rFonts w:cs="Times New Roman"/>
                <w:sz w:val="22"/>
              </w:rPr>
              <w:t>forma, tačiau pasižym</w:t>
            </w:r>
            <w:r w:rsidR="007A5A2A" w:rsidRPr="00B44B19">
              <w:rPr>
                <w:rFonts w:cs="Times New Roman"/>
                <w:sz w:val="22"/>
              </w:rPr>
              <w:t>ėjo</w:t>
            </w:r>
            <w:r w:rsidR="00681418" w:rsidRPr="00B44B19">
              <w:rPr>
                <w:rFonts w:cs="Times New Roman"/>
                <w:sz w:val="22"/>
              </w:rPr>
              <w:t xml:space="preserve"> atsiperkamumu vidutinės trukmės periodu (nors ir </w:t>
            </w:r>
            <w:r w:rsidR="007A5A2A" w:rsidRPr="00B44B19">
              <w:rPr>
                <w:rFonts w:cs="Times New Roman"/>
                <w:sz w:val="22"/>
              </w:rPr>
              <w:t>buvo</w:t>
            </w:r>
            <w:r w:rsidR="00E62772" w:rsidRPr="00B44B19">
              <w:rPr>
                <w:rFonts w:cs="Times New Roman"/>
                <w:sz w:val="22"/>
              </w:rPr>
              <w:t xml:space="preserve"> sąlygiškai</w:t>
            </w:r>
            <w:r w:rsidR="00681418" w:rsidRPr="00B44B19">
              <w:rPr>
                <w:rFonts w:cs="Times New Roman"/>
                <w:sz w:val="22"/>
              </w:rPr>
              <w:t xml:space="preserve"> brangios), planuojama taikyti</w:t>
            </w:r>
            <w:r w:rsidR="003E7C64" w:rsidRPr="00B44B19">
              <w:rPr>
                <w:rFonts w:cs="Times New Roman"/>
                <w:sz w:val="22"/>
              </w:rPr>
              <w:t xml:space="preserve"> šias</w:t>
            </w:r>
            <w:r w:rsidR="00681418" w:rsidRPr="00B44B19">
              <w:rPr>
                <w:rFonts w:cs="Times New Roman"/>
                <w:sz w:val="22"/>
              </w:rPr>
              <w:t xml:space="preserve"> finansines priemones</w:t>
            </w:r>
            <w:r w:rsidR="003E7C64" w:rsidRPr="00B44B19">
              <w:rPr>
                <w:rFonts w:cs="Times New Roman"/>
                <w:sz w:val="22"/>
              </w:rPr>
              <w:t>:</w:t>
            </w:r>
            <w:r w:rsidR="0022295D" w:rsidRPr="00B44B19">
              <w:rPr>
                <w:rFonts w:cs="Times New Roman"/>
                <w:sz w:val="22"/>
              </w:rPr>
              <w:t xml:space="preserve"> rizikos kapitalo priemones ir paskolas </w:t>
            </w:r>
            <w:r w:rsidR="003E7C64" w:rsidRPr="00B44B19">
              <w:rPr>
                <w:rFonts w:cs="Times New Roman"/>
                <w:sz w:val="22"/>
              </w:rPr>
              <w:t xml:space="preserve">jas </w:t>
            </w:r>
            <w:r w:rsidR="0022295D" w:rsidRPr="00B44B19">
              <w:rPr>
                <w:rFonts w:cs="Times New Roman"/>
                <w:sz w:val="22"/>
              </w:rPr>
              <w:t>derinant su dotacijomis.</w:t>
            </w:r>
          </w:p>
          <w:p w14:paraId="0EF6A845" w14:textId="1BBA81BE" w:rsidR="00F2622B" w:rsidRPr="00B44B19" w:rsidRDefault="0022295D" w:rsidP="00C80D76">
            <w:pPr>
              <w:spacing w:before="60" w:after="60"/>
              <w:jc w:val="both"/>
              <w:rPr>
                <w:rFonts w:cs="Times New Roman"/>
                <w:i/>
                <w:sz w:val="22"/>
              </w:rPr>
            </w:pPr>
            <w:r w:rsidRPr="00B44B19">
              <w:rPr>
                <w:rFonts w:cs="Times New Roman"/>
                <w:sz w:val="22"/>
                <w:lang w:eastAsia="lt-LT"/>
              </w:rPr>
              <w:t>Veikloms „</w:t>
            </w:r>
            <w:r w:rsidRPr="00B44B19">
              <w:rPr>
                <w:rFonts w:cs="Times New Roman"/>
                <w:sz w:val="22"/>
              </w:rPr>
              <w:t xml:space="preserve">Skatinti trumpų vertės kūrimo grandinių formavimąsi ir plėtrą tarp MVĮ bei </w:t>
            </w:r>
            <w:r w:rsidRPr="00B44B19">
              <w:rPr>
                <w:rFonts w:cs="Times New Roman"/>
                <w:sz w:val="22"/>
                <w:szCs w:val="20"/>
              </w:rPr>
              <w:t xml:space="preserve">gynybos ir saugumo pramonės sektoriaus MVĮ </w:t>
            </w:r>
            <w:r w:rsidR="003E7C64" w:rsidRPr="00B44B19">
              <w:rPr>
                <w:rFonts w:cs="Times New Roman"/>
                <w:sz w:val="22"/>
                <w:szCs w:val="20"/>
              </w:rPr>
              <w:t xml:space="preserve">Sostinės ir </w:t>
            </w:r>
            <w:r w:rsidRPr="00B44B19">
              <w:rPr>
                <w:rFonts w:cs="Times New Roman"/>
                <w:sz w:val="22"/>
              </w:rPr>
              <w:t>VVL region</w:t>
            </w:r>
            <w:r w:rsidR="003E7C64" w:rsidRPr="00B44B19">
              <w:rPr>
                <w:rFonts w:cs="Times New Roman"/>
                <w:sz w:val="22"/>
              </w:rPr>
              <w:t>uos</w:t>
            </w:r>
            <w:r w:rsidRPr="00B44B19">
              <w:rPr>
                <w:rFonts w:cs="Times New Roman"/>
                <w:sz w:val="22"/>
              </w:rPr>
              <w:t>e“, „</w:t>
            </w:r>
            <w:r w:rsidRPr="00B44B19">
              <w:rPr>
                <w:rFonts w:cs="Times New Roman"/>
                <w:iCs/>
                <w:sz w:val="22"/>
              </w:rPr>
              <w:t xml:space="preserve">Skatinti pramonės įmonių </w:t>
            </w:r>
            <w:r w:rsidRPr="00B44B19">
              <w:rPr>
                <w:rFonts w:cs="Times New Roman"/>
                <w:sz w:val="22"/>
              </w:rPr>
              <w:t xml:space="preserve">bei </w:t>
            </w:r>
            <w:r w:rsidRPr="00B44B19">
              <w:rPr>
                <w:rFonts w:cs="Times New Roman"/>
                <w:sz w:val="22"/>
                <w:szCs w:val="20"/>
              </w:rPr>
              <w:t xml:space="preserve">gynybos ir saugumo pramonės sektoriaus įmonių </w:t>
            </w:r>
            <w:r w:rsidRPr="00B44B19">
              <w:rPr>
                <w:rFonts w:cs="Times New Roman"/>
                <w:iCs/>
                <w:sz w:val="22"/>
              </w:rPr>
              <w:t>gamybos</w:t>
            </w:r>
            <w:r w:rsidR="003E7C64" w:rsidRPr="00B44B19">
              <w:rPr>
                <w:rFonts w:cs="Times New Roman"/>
                <w:iCs/>
                <w:sz w:val="22"/>
              </w:rPr>
              <w:t xml:space="preserve"> ir verslo</w:t>
            </w:r>
            <w:r w:rsidRPr="00B44B19">
              <w:rPr>
                <w:rFonts w:cs="Times New Roman"/>
                <w:iCs/>
                <w:sz w:val="22"/>
              </w:rPr>
              <w:t xml:space="preserve"> procesų automatizavimą, ir skaitmeninimo technologijų diegimą (pramonės </w:t>
            </w:r>
            <w:r w:rsidRPr="00B44B19">
              <w:rPr>
                <w:rFonts w:cs="Times New Roman"/>
                <w:sz w:val="22"/>
              </w:rPr>
              <w:t xml:space="preserve">bei </w:t>
            </w:r>
            <w:r w:rsidRPr="00B44B19">
              <w:rPr>
                <w:rFonts w:cs="Times New Roman"/>
                <w:sz w:val="22"/>
                <w:szCs w:val="20"/>
              </w:rPr>
              <w:t xml:space="preserve">gynybos ir saugumo pramonės sektoriaus įmonių </w:t>
            </w:r>
            <w:r w:rsidRPr="00B44B19">
              <w:rPr>
                <w:rFonts w:cs="Times New Roman"/>
                <w:iCs/>
                <w:sz w:val="22"/>
              </w:rPr>
              <w:t>skaitmeninimas)“ VVL regione ir „Skatinti</w:t>
            </w:r>
            <w:r w:rsidR="003E7C64" w:rsidRPr="00B44B19">
              <w:rPr>
                <w:rFonts w:cs="Times New Roman"/>
                <w:iCs/>
                <w:sz w:val="22"/>
              </w:rPr>
              <w:t xml:space="preserve"> </w:t>
            </w:r>
            <w:r w:rsidRPr="00B44B19">
              <w:rPr>
                <w:rFonts w:cs="Times New Roman"/>
                <w:iCs/>
                <w:sz w:val="22"/>
              </w:rPr>
              <w:t xml:space="preserve">pramonės įmonių </w:t>
            </w:r>
            <w:r w:rsidR="003E7C64" w:rsidRPr="00B44B19">
              <w:rPr>
                <w:rFonts w:cs="Times New Roman"/>
                <w:iCs/>
                <w:sz w:val="22"/>
              </w:rPr>
              <w:t xml:space="preserve">bei gynybos ir saugumo pramonės sektoriaus įmonių </w:t>
            </w:r>
            <w:r w:rsidRPr="00B44B19">
              <w:rPr>
                <w:rFonts w:cs="Times New Roman"/>
                <w:iCs/>
                <w:sz w:val="22"/>
              </w:rPr>
              <w:t xml:space="preserve">gamybos </w:t>
            </w:r>
            <w:r w:rsidR="003E7C64" w:rsidRPr="00B44B19">
              <w:rPr>
                <w:rFonts w:cs="Times New Roman"/>
                <w:iCs/>
                <w:sz w:val="22"/>
              </w:rPr>
              <w:t xml:space="preserve">ir verslo </w:t>
            </w:r>
            <w:r w:rsidRPr="00B44B19">
              <w:rPr>
                <w:rFonts w:cs="Times New Roman"/>
                <w:iCs/>
                <w:sz w:val="22"/>
              </w:rPr>
              <w:t xml:space="preserve">procesų </w:t>
            </w:r>
            <w:r w:rsidRPr="00B44B19">
              <w:rPr>
                <w:rFonts w:cs="Times New Roman"/>
                <w:iCs/>
                <w:sz w:val="22"/>
              </w:rPr>
              <w:lastRenderedPageBreak/>
              <w:t>skaitmeninimą“ Sostinės regione</w:t>
            </w:r>
            <w:r w:rsidRPr="00B44B19">
              <w:rPr>
                <w:rFonts w:cs="Times New Roman"/>
                <w:sz w:val="22"/>
              </w:rPr>
              <w:t xml:space="preserve"> finansuoti planuojama derinti finansines priemones su dotacijomis, kaip nustatyta BNR 58 str. 5 d.“</w:t>
            </w:r>
            <w:r w:rsidR="00A666E5" w:rsidRPr="00B44B19">
              <w:rPr>
                <w:rFonts w:cs="Times New Roman"/>
                <w:sz w:val="22"/>
              </w:rPr>
              <w:t>.</w:t>
            </w:r>
          </w:p>
        </w:tc>
      </w:tr>
    </w:tbl>
    <w:p w14:paraId="10188B63" w14:textId="77777777" w:rsidR="009750A4" w:rsidRPr="00B44B19" w:rsidRDefault="002A2827" w:rsidP="00F52EB5">
      <w:pPr>
        <w:pStyle w:val="Stilius1"/>
        <w:rPr>
          <w:rFonts w:cs="Times New Roman"/>
          <w:noProof/>
          <w:lang w:eastAsia="lt-LT" w:bidi="lt-LT"/>
        </w:rPr>
      </w:pPr>
      <w:r w:rsidRPr="00B44B19">
        <w:rPr>
          <w:rFonts w:cs="Times New Roman"/>
          <w:noProof/>
          <w:lang w:eastAsia="lt-LT" w:bidi="lt-LT"/>
        </w:rPr>
        <w:lastRenderedPageBreak/>
        <w:t xml:space="preserve">Rodikliai </w:t>
      </w:r>
    </w:p>
    <w:p w14:paraId="18A808F8" w14:textId="77777777" w:rsidR="002A2827" w:rsidRPr="00B44B19" w:rsidRDefault="002A2827" w:rsidP="00C02A4C">
      <w:pPr>
        <w:spacing w:before="240" w:after="0" w:line="240" w:lineRule="auto"/>
        <w:jc w:val="both"/>
        <w:rPr>
          <w:rFonts w:cs="Times New Roman"/>
          <w:b/>
          <w:noProof/>
          <w:sz w:val="20"/>
        </w:rPr>
      </w:pPr>
      <w:r w:rsidRPr="00B44B19">
        <w:rPr>
          <w:rFonts w:cs="Times New Roman"/>
          <w:b/>
          <w:noProof/>
          <w:sz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963"/>
        <w:gridCol w:w="828"/>
        <w:gridCol w:w="965"/>
        <w:gridCol w:w="1241"/>
        <w:gridCol w:w="1520"/>
        <w:gridCol w:w="1164"/>
        <w:gridCol w:w="874"/>
        <w:gridCol w:w="1093"/>
      </w:tblGrid>
      <w:tr w:rsidR="00681418" w:rsidRPr="00B44B19" w14:paraId="15F3E56D" w14:textId="77777777" w:rsidTr="00D27D25">
        <w:trPr>
          <w:trHeight w:val="702"/>
          <w:tblHeader/>
        </w:trPr>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6CC7D2"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3A7FD5"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46DF3A"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EE98FF"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706241"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Identifikavimo numeris</w:t>
            </w:r>
          </w:p>
        </w:tc>
        <w:tc>
          <w:tcPr>
            <w:tcW w:w="7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761581"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Rodiklis</w:t>
            </w:r>
          </w:p>
        </w:tc>
        <w:tc>
          <w:tcPr>
            <w:tcW w:w="6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23D10E"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Matavimo vienetas</w:t>
            </w:r>
          </w:p>
        </w:tc>
        <w:tc>
          <w:tcPr>
            <w:tcW w:w="45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17C732"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Tarpinė reikšmė (2024 m.)</w:t>
            </w:r>
          </w:p>
        </w:tc>
        <w:tc>
          <w:tcPr>
            <w:tcW w:w="5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1C373" w14:textId="77777777" w:rsidR="00681418" w:rsidRPr="00B44B19" w:rsidRDefault="00681418" w:rsidP="008A4063">
            <w:pPr>
              <w:spacing w:before="120" w:after="120" w:line="240" w:lineRule="auto"/>
              <w:jc w:val="center"/>
              <w:rPr>
                <w:rFonts w:cs="Times New Roman"/>
                <w:b/>
                <w:noProof/>
                <w:sz w:val="16"/>
                <w:szCs w:val="16"/>
              </w:rPr>
            </w:pPr>
            <w:r w:rsidRPr="00B44B19">
              <w:rPr>
                <w:rFonts w:cs="Times New Roman"/>
                <w:b/>
                <w:noProof/>
                <w:sz w:val="16"/>
                <w:szCs w:val="16"/>
              </w:rPr>
              <w:t>Siek</w:t>
            </w:r>
            <w:r w:rsidR="006C75F5" w:rsidRPr="00B44B19">
              <w:rPr>
                <w:rFonts w:cs="Times New Roman"/>
                <w:b/>
                <w:noProof/>
                <w:sz w:val="16"/>
                <w:szCs w:val="16"/>
              </w:rPr>
              <w:t>tina reikšmė</w:t>
            </w:r>
            <w:r w:rsidRPr="00B44B19">
              <w:rPr>
                <w:rFonts w:cs="Times New Roman"/>
                <w:b/>
                <w:noProof/>
                <w:sz w:val="16"/>
                <w:szCs w:val="16"/>
              </w:rPr>
              <w:t xml:space="preserve"> (2029 m.)</w:t>
            </w:r>
          </w:p>
        </w:tc>
      </w:tr>
      <w:tr w:rsidR="004344ED" w:rsidRPr="00B44B19" w14:paraId="23D7F10E" w14:textId="77777777" w:rsidTr="00D27D25">
        <w:trPr>
          <w:trHeight w:val="238"/>
        </w:trPr>
        <w:tc>
          <w:tcPr>
            <w:tcW w:w="499" w:type="pct"/>
            <w:vMerge w:val="restart"/>
            <w:tcBorders>
              <w:top w:val="single" w:sz="12" w:space="0" w:color="auto"/>
              <w:left w:val="single" w:sz="4" w:space="0" w:color="auto"/>
              <w:right w:val="single" w:sz="4" w:space="0" w:color="auto"/>
            </w:tcBorders>
          </w:tcPr>
          <w:p w14:paraId="48B5477C" w14:textId="77777777" w:rsidR="004344ED" w:rsidRPr="00B44B19" w:rsidRDefault="004344ED" w:rsidP="008A4063">
            <w:pPr>
              <w:spacing w:after="0" w:line="240" w:lineRule="auto"/>
              <w:jc w:val="both"/>
              <w:rPr>
                <w:rFonts w:eastAsia="Times New Roman" w:cs="Times New Roman"/>
                <w:noProof/>
                <w:sz w:val="16"/>
                <w:szCs w:val="16"/>
              </w:rPr>
            </w:pPr>
            <w:r w:rsidRPr="00B44B19">
              <w:rPr>
                <w:rFonts w:eastAsia="Times New Roman" w:cs="Times New Roman"/>
                <w:noProof/>
                <w:sz w:val="16"/>
                <w:szCs w:val="16"/>
              </w:rPr>
              <w:t>1. Pažangesnė Lietuva</w:t>
            </w:r>
          </w:p>
        </w:tc>
        <w:tc>
          <w:tcPr>
            <w:tcW w:w="501" w:type="pct"/>
            <w:vMerge w:val="restart"/>
            <w:tcBorders>
              <w:top w:val="single" w:sz="12" w:space="0" w:color="auto"/>
              <w:left w:val="single" w:sz="4" w:space="0" w:color="auto"/>
              <w:right w:val="single" w:sz="4" w:space="0" w:color="auto"/>
            </w:tcBorders>
          </w:tcPr>
          <w:p w14:paraId="6D84456C" w14:textId="77777777" w:rsidR="004344ED" w:rsidRPr="00B44B19" w:rsidRDefault="004344ED" w:rsidP="008A4063">
            <w:pPr>
              <w:spacing w:after="0" w:line="240" w:lineRule="auto"/>
              <w:jc w:val="both"/>
              <w:rPr>
                <w:rFonts w:eastAsia="Times New Roman" w:cs="Times New Roman"/>
                <w:noProof/>
                <w:sz w:val="16"/>
                <w:szCs w:val="16"/>
              </w:rPr>
            </w:pPr>
            <w:r w:rsidRPr="00B44B19">
              <w:rPr>
                <w:rFonts w:eastAsia="Times New Roman" w:cs="Times New Roman"/>
                <w:noProof/>
                <w:sz w:val="16"/>
                <w:szCs w:val="16"/>
              </w:rPr>
              <w:t>1.3</w:t>
            </w:r>
          </w:p>
        </w:tc>
        <w:tc>
          <w:tcPr>
            <w:tcW w:w="431" w:type="pct"/>
            <w:vMerge w:val="restart"/>
            <w:tcBorders>
              <w:top w:val="single" w:sz="12" w:space="0" w:color="auto"/>
              <w:left w:val="single" w:sz="4" w:space="0" w:color="auto"/>
              <w:right w:val="single" w:sz="4" w:space="0" w:color="auto"/>
            </w:tcBorders>
          </w:tcPr>
          <w:p w14:paraId="06683739" w14:textId="77777777" w:rsidR="004344ED" w:rsidRPr="00B44B19" w:rsidRDefault="004344ED" w:rsidP="008A4063">
            <w:pPr>
              <w:spacing w:after="0" w:line="240" w:lineRule="auto"/>
              <w:jc w:val="both"/>
              <w:rPr>
                <w:rFonts w:eastAsia="Times New Roman" w:cs="Times New Roman"/>
                <w:noProof/>
                <w:sz w:val="16"/>
                <w:szCs w:val="16"/>
              </w:rPr>
            </w:pPr>
            <w:r w:rsidRPr="00B44B19">
              <w:rPr>
                <w:rFonts w:eastAsia="Times New Roman" w:cs="Times New Roman"/>
                <w:noProof/>
                <w:sz w:val="16"/>
                <w:szCs w:val="16"/>
              </w:rPr>
              <w:t>ERPF</w:t>
            </w:r>
          </w:p>
        </w:tc>
        <w:tc>
          <w:tcPr>
            <w:tcW w:w="502" w:type="pct"/>
            <w:tcBorders>
              <w:top w:val="single" w:sz="12" w:space="0" w:color="auto"/>
              <w:left w:val="single" w:sz="4" w:space="0" w:color="auto"/>
              <w:bottom w:val="single" w:sz="4" w:space="0" w:color="auto"/>
              <w:right w:val="single" w:sz="4" w:space="0" w:color="auto"/>
            </w:tcBorders>
          </w:tcPr>
          <w:p w14:paraId="671B4A44" w14:textId="77777777" w:rsidR="004344ED" w:rsidRPr="00B44B19" w:rsidRDefault="004344ED" w:rsidP="00681418">
            <w:pPr>
              <w:spacing w:after="0" w:line="240" w:lineRule="auto"/>
              <w:rPr>
                <w:rFonts w:cs="Times New Roman"/>
                <w:b/>
                <w:noProof/>
                <w:sz w:val="16"/>
                <w:szCs w:val="16"/>
              </w:rPr>
            </w:pPr>
            <w:r w:rsidRPr="00B44B19">
              <w:rPr>
                <w:rFonts w:eastAsia="Times New Roman" w:cs="Times New Roman"/>
                <w:iCs/>
                <w:noProof/>
                <w:sz w:val="16"/>
                <w:szCs w:val="16"/>
              </w:rPr>
              <w:t>Sostinės regionas</w:t>
            </w:r>
          </w:p>
        </w:tc>
        <w:tc>
          <w:tcPr>
            <w:tcW w:w="646" w:type="pct"/>
            <w:tcBorders>
              <w:top w:val="single" w:sz="12" w:space="0" w:color="auto"/>
              <w:left w:val="single" w:sz="4" w:space="0" w:color="auto"/>
              <w:bottom w:val="single" w:sz="4" w:space="0" w:color="auto"/>
              <w:right w:val="single" w:sz="4" w:space="0" w:color="auto"/>
            </w:tcBorders>
          </w:tcPr>
          <w:p w14:paraId="1CFCF443" w14:textId="77777777" w:rsidR="004344ED" w:rsidRPr="00B44B19" w:rsidRDefault="004344ED" w:rsidP="008A4063">
            <w:pPr>
              <w:spacing w:after="0" w:line="240" w:lineRule="auto"/>
              <w:rPr>
                <w:rFonts w:cs="Times New Roman"/>
                <w:sz w:val="16"/>
                <w:szCs w:val="16"/>
              </w:rPr>
            </w:pPr>
            <w:r w:rsidRPr="00B44B19">
              <w:rPr>
                <w:rFonts w:cs="Times New Roman"/>
                <w:sz w:val="16"/>
                <w:szCs w:val="16"/>
              </w:rPr>
              <w:t>RCO01</w:t>
            </w:r>
          </w:p>
        </w:tc>
        <w:tc>
          <w:tcPr>
            <w:tcW w:w="791" w:type="pct"/>
            <w:tcBorders>
              <w:top w:val="single" w:sz="12" w:space="0" w:color="auto"/>
              <w:left w:val="single" w:sz="4" w:space="0" w:color="auto"/>
              <w:bottom w:val="single" w:sz="4" w:space="0" w:color="auto"/>
              <w:right w:val="single" w:sz="4" w:space="0" w:color="auto"/>
            </w:tcBorders>
          </w:tcPr>
          <w:p w14:paraId="2F3374D9" w14:textId="77777777" w:rsidR="004344ED" w:rsidRPr="00B44B19" w:rsidRDefault="004344ED" w:rsidP="008A4063">
            <w:pPr>
              <w:spacing w:after="0" w:line="240" w:lineRule="auto"/>
              <w:rPr>
                <w:rFonts w:cs="Times New Roman"/>
                <w:sz w:val="16"/>
                <w:szCs w:val="16"/>
              </w:rPr>
            </w:pPr>
            <w:r w:rsidRPr="00B44B19">
              <w:rPr>
                <w:rFonts w:cs="Times New Roman"/>
                <w:sz w:val="16"/>
                <w:szCs w:val="16"/>
              </w:rPr>
              <w:t>Paramą gavusios įmonės (iš kurių: labai mažos, mažosios</w:t>
            </w:r>
            <w:r w:rsidR="00BA56A5" w:rsidRPr="00B44B19">
              <w:rPr>
                <w:rFonts w:cs="Times New Roman"/>
                <w:sz w:val="16"/>
                <w:szCs w:val="16"/>
              </w:rPr>
              <w:t>,</w:t>
            </w:r>
            <w:r w:rsidRPr="00B44B19">
              <w:rPr>
                <w:rFonts w:cs="Times New Roman"/>
                <w:sz w:val="16"/>
                <w:szCs w:val="16"/>
              </w:rPr>
              <w:t xml:space="preserve"> vidutinės ir didelės)</w:t>
            </w:r>
          </w:p>
        </w:tc>
        <w:tc>
          <w:tcPr>
            <w:tcW w:w="606" w:type="pct"/>
            <w:tcBorders>
              <w:top w:val="single" w:sz="12" w:space="0" w:color="auto"/>
              <w:left w:val="single" w:sz="4" w:space="0" w:color="auto"/>
              <w:bottom w:val="single" w:sz="4" w:space="0" w:color="auto"/>
              <w:right w:val="single" w:sz="4" w:space="0" w:color="auto"/>
            </w:tcBorders>
          </w:tcPr>
          <w:p w14:paraId="64167FBF" w14:textId="77777777" w:rsidR="004344ED" w:rsidRPr="00B44B19" w:rsidRDefault="004344ED" w:rsidP="008A4063">
            <w:pPr>
              <w:spacing w:after="0" w:line="240" w:lineRule="auto"/>
              <w:rPr>
                <w:rFonts w:cs="Times New Roman"/>
                <w:noProof/>
                <w:sz w:val="16"/>
                <w:szCs w:val="16"/>
              </w:rPr>
            </w:pPr>
            <w:r w:rsidRPr="00B44B19">
              <w:rPr>
                <w:rFonts w:cs="Times New Roman"/>
                <w:noProof/>
                <w:sz w:val="16"/>
                <w:szCs w:val="16"/>
              </w:rPr>
              <w:t>Įmonės</w:t>
            </w:r>
          </w:p>
        </w:tc>
        <w:tc>
          <w:tcPr>
            <w:tcW w:w="455" w:type="pct"/>
            <w:tcBorders>
              <w:top w:val="single" w:sz="12" w:space="0" w:color="auto"/>
              <w:left w:val="single" w:sz="4" w:space="0" w:color="auto"/>
              <w:bottom w:val="single" w:sz="4" w:space="0" w:color="auto"/>
              <w:right w:val="single" w:sz="4" w:space="0" w:color="auto"/>
            </w:tcBorders>
          </w:tcPr>
          <w:p w14:paraId="4E2FB733" w14:textId="77777777" w:rsidR="004344ED" w:rsidRPr="00B44B19" w:rsidRDefault="00C06E6B" w:rsidP="008A4063">
            <w:pPr>
              <w:spacing w:after="0" w:line="240" w:lineRule="auto"/>
              <w:jc w:val="center"/>
              <w:rPr>
                <w:rFonts w:cs="Times New Roman"/>
                <w:sz w:val="16"/>
                <w:szCs w:val="16"/>
              </w:rPr>
            </w:pPr>
            <w:r w:rsidRPr="00B44B19">
              <w:rPr>
                <w:rFonts w:cs="Times New Roman"/>
                <w:sz w:val="16"/>
                <w:szCs w:val="16"/>
              </w:rPr>
              <w:t>48</w:t>
            </w:r>
          </w:p>
        </w:tc>
        <w:tc>
          <w:tcPr>
            <w:tcW w:w="570" w:type="pct"/>
            <w:tcBorders>
              <w:top w:val="single" w:sz="12" w:space="0" w:color="auto"/>
              <w:left w:val="single" w:sz="4" w:space="0" w:color="auto"/>
              <w:bottom w:val="single" w:sz="4" w:space="0" w:color="auto"/>
              <w:right w:val="single" w:sz="4" w:space="0" w:color="auto"/>
            </w:tcBorders>
          </w:tcPr>
          <w:p w14:paraId="17940030" w14:textId="5D10284B" w:rsidR="004344ED" w:rsidRPr="00B44B19" w:rsidRDefault="001267A1" w:rsidP="008A4063">
            <w:pPr>
              <w:spacing w:after="0" w:line="240" w:lineRule="auto"/>
              <w:jc w:val="center"/>
              <w:rPr>
                <w:rFonts w:cs="Times New Roman"/>
                <w:noProof/>
                <w:sz w:val="16"/>
                <w:szCs w:val="16"/>
              </w:rPr>
            </w:pPr>
            <w:r w:rsidRPr="00B44B19">
              <w:rPr>
                <w:rFonts w:cs="Times New Roman"/>
                <w:noProof/>
                <w:sz w:val="16"/>
                <w:szCs w:val="16"/>
              </w:rPr>
              <w:t>355</w:t>
            </w:r>
          </w:p>
        </w:tc>
      </w:tr>
      <w:tr w:rsidR="004344ED" w:rsidRPr="00B44B19" w14:paraId="4CEFBA15" w14:textId="77777777" w:rsidTr="00D27D25">
        <w:trPr>
          <w:trHeight w:val="238"/>
        </w:trPr>
        <w:tc>
          <w:tcPr>
            <w:tcW w:w="499" w:type="pct"/>
            <w:vMerge/>
            <w:tcBorders>
              <w:top w:val="single" w:sz="12" w:space="0" w:color="auto"/>
              <w:left w:val="single" w:sz="4" w:space="0" w:color="auto"/>
              <w:right w:val="single" w:sz="4" w:space="0" w:color="auto"/>
            </w:tcBorders>
          </w:tcPr>
          <w:p w14:paraId="2E4761BB" w14:textId="77777777" w:rsidR="004344ED" w:rsidRPr="00B44B19" w:rsidRDefault="004344ED" w:rsidP="008A4063">
            <w:pPr>
              <w:spacing w:after="0" w:line="240" w:lineRule="auto"/>
              <w:jc w:val="both"/>
              <w:rPr>
                <w:rFonts w:eastAsia="Times New Roman" w:cs="Times New Roman"/>
                <w:noProof/>
                <w:sz w:val="16"/>
                <w:szCs w:val="16"/>
              </w:rPr>
            </w:pPr>
          </w:p>
        </w:tc>
        <w:tc>
          <w:tcPr>
            <w:tcW w:w="501" w:type="pct"/>
            <w:vMerge/>
            <w:tcBorders>
              <w:top w:val="single" w:sz="12" w:space="0" w:color="auto"/>
              <w:left w:val="single" w:sz="4" w:space="0" w:color="auto"/>
              <w:right w:val="single" w:sz="4" w:space="0" w:color="auto"/>
            </w:tcBorders>
          </w:tcPr>
          <w:p w14:paraId="037D0CE4" w14:textId="77777777" w:rsidR="004344ED" w:rsidRPr="00B44B19" w:rsidRDefault="004344ED" w:rsidP="008A4063">
            <w:pPr>
              <w:spacing w:after="0" w:line="240" w:lineRule="auto"/>
              <w:jc w:val="both"/>
              <w:rPr>
                <w:rFonts w:eastAsia="Times New Roman" w:cs="Times New Roman"/>
                <w:noProof/>
                <w:sz w:val="16"/>
                <w:szCs w:val="16"/>
              </w:rPr>
            </w:pPr>
          </w:p>
        </w:tc>
        <w:tc>
          <w:tcPr>
            <w:tcW w:w="431" w:type="pct"/>
            <w:vMerge/>
            <w:tcBorders>
              <w:top w:val="single" w:sz="12" w:space="0" w:color="auto"/>
              <w:left w:val="single" w:sz="4" w:space="0" w:color="auto"/>
              <w:right w:val="single" w:sz="4" w:space="0" w:color="auto"/>
            </w:tcBorders>
          </w:tcPr>
          <w:p w14:paraId="6F644504" w14:textId="77777777" w:rsidR="004344ED" w:rsidRPr="00B44B19" w:rsidRDefault="004344ED" w:rsidP="008A4063">
            <w:pPr>
              <w:spacing w:after="0" w:line="240" w:lineRule="auto"/>
              <w:jc w:val="both"/>
              <w:rPr>
                <w:rFonts w:eastAsia="Times New Roman" w:cs="Times New Roman"/>
                <w:noProof/>
                <w:sz w:val="16"/>
                <w:szCs w:val="16"/>
              </w:rPr>
            </w:pPr>
          </w:p>
        </w:tc>
        <w:tc>
          <w:tcPr>
            <w:tcW w:w="502" w:type="pct"/>
            <w:tcBorders>
              <w:top w:val="single" w:sz="4" w:space="0" w:color="auto"/>
              <w:left w:val="single" w:sz="4" w:space="0" w:color="auto"/>
              <w:bottom w:val="single" w:sz="4" w:space="0" w:color="auto"/>
              <w:right w:val="single" w:sz="4" w:space="0" w:color="auto"/>
            </w:tcBorders>
          </w:tcPr>
          <w:p w14:paraId="74B8A183" w14:textId="77777777" w:rsidR="004344ED" w:rsidRPr="00B44B19" w:rsidRDefault="004344ED" w:rsidP="00681418">
            <w:pPr>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tcPr>
          <w:p w14:paraId="6A19108E" w14:textId="77777777" w:rsidR="004344ED" w:rsidRPr="00B44B19" w:rsidRDefault="004344ED" w:rsidP="008A4063">
            <w:pPr>
              <w:spacing w:after="0" w:line="240" w:lineRule="auto"/>
              <w:rPr>
                <w:rFonts w:cs="Times New Roman"/>
                <w:sz w:val="16"/>
                <w:szCs w:val="16"/>
              </w:rPr>
            </w:pPr>
            <w:r w:rsidRPr="00B44B19">
              <w:rPr>
                <w:rFonts w:cs="Times New Roman"/>
                <w:sz w:val="16"/>
                <w:szCs w:val="16"/>
              </w:rPr>
              <w:t>RCO01</w:t>
            </w:r>
          </w:p>
        </w:tc>
        <w:tc>
          <w:tcPr>
            <w:tcW w:w="791" w:type="pct"/>
            <w:tcBorders>
              <w:top w:val="single" w:sz="4" w:space="0" w:color="auto"/>
              <w:left w:val="single" w:sz="4" w:space="0" w:color="auto"/>
              <w:bottom w:val="single" w:sz="4" w:space="0" w:color="auto"/>
              <w:right w:val="single" w:sz="4" w:space="0" w:color="auto"/>
            </w:tcBorders>
          </w:tcPr>
          <w:p w14:paraId="5E9CFC10" w14:textId="77777777" w:rsidR="004344ED" w:rsidRPr="00B44B19" w:rsidRDefault="004344ED" w:rsidP="008A4063">
            <w:pPr>
              <w:spacing w:after="0" w:line="240" w:lineRule="auto"/>
              <w:rPr>
                <w:rFonts w:cs="Times New Roman"/>
                <w:sz w:val="16"/>
                <w:szCs w:val="16"/>
              </w:rPr>
            </w:pPr>
            <w:r w:rsidRPr="00B44B19">
              <w:rPr>
                <w:rFonts w:cs="Times New Roman"/>
                <w:sz w:val="16"/>
                <w:szCs w:val="16"/>
              </w:rPr>
              <w:t>Paramą gavusios įmonės (iš kurių: labai mažos, mažosios</w:t>
            </w:r>
            <w:r w:rsidR="00BA56A5" w:rsidRPr="00B44B19">
              <w:rPr>
                <w:rFonts w:cs="Times New Roman"/>
                <w:sz w:val="16"/>
                <w:szCs w:val="16"/>
              </w:rPr>
              <w:t>,</w:t>
            </w:r>
            <w:r w:rsidRPr="00B44B19">
              <w:rPr>
                <w:rFonts w:cs="Times New Roman"/>
                <w:sz w:val="16"/>
                <w:szCs w:val="16"/>
              </w:rPr>
              <w:t xml:space="preserve"> vidutinės ir didelės)</w:t>
            </w:r>
          </w:p>
        </w:tc>
        <w:tc>
          <w:tcPr>
            <w:tcW w:w="606" w:type="pct"/>
            <w:tcBorders>
              <w:top w:val="single" w:sz="4" w:space="0" w:color="auto"/>
              <w:left w:val="single" w:sz="4" w:space="0" w:color="auto"/>
              <w:bottom w:val="single" w:sz="4" w:space="0" w:color="auto"/>
              <w:right w:val="single" w:sz="4" w:space="0" w:color="auto"/>
            </w:tcBorders>
          </w:tcPr>
          <w:p w14:paraId="477EE1E8" w14:textId="77777777" w:rsidR="004344ED" w:rsidRPr="00B44B19" w:rsidRDefault="004344ED" w:rsidP="008A4063">
            <w:pPr>
              <w:spacing w:after="0" w:line="240" w:lineRule="auto"/>
              <w:rPr>
                <w:rFonts w:cs="Times New Roman"/>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69AD50EE" w14:textId="77777777" w:rsidR="004344ED" w:rsidRPr="00B44B19" w:rsidRDefault="00FD6387" w:rsidP="008A4063">
            <w:pPr>
              <w:spacing w:after="0" w:line="240" w:lineRule="auto"/>
              <w:jc w:val="center"/>
              <w:rPr>
                <w:rFonts w:cs="Times New Roman"/>
                <w:sz w:val="16"/>
                <w:szCs w:val="16"/>
              </w:rPr>
            </w:pPr>
            <w:r w:rsidRPr="00B44B19">
              <w:rPr>
                <w:rFonts w:cs="Times New Roman"/>
                <w:sz w:val="16"/>
                <w:szCs w:val="16"/>
              </w:rPr>
              <w:t>406</w:t>
            </w:r>
          </w:p>
        </w:tc>
        <w:tc>
          <w:tcPr>
            <w:tcW w:w="570" w:type="pct"/>
            <w:tcBorders>
              <w:top w:val="single" w:sz="4" w:space="0" w:color="auto"/>
              <w:left w:val="single" w:sz="4" w:space="0" w:color="auto"/>
              <w:bottom w:val="single" w:sz="4" w:space="0" w:color="auto"/>
              <w:right w:val="single" w:sz="4" w:space="0" w:color="auto"/>
            </w:tcBorders>
          </w:tcPr>
          <w:p w14:paraId="39069786" w14:textId="4FE6B005" w:rsidR="004344ED" w:rsidRPr="00B44B19" w:rsidRDefault="001267A1" w:rsidP="008A4063">
            <w:pPr>
              <w:spacing w:after="0" w:line="240" w:lineRule="auto"/>
              <w:jc w:val="center"/>
              <w:rPr>
                <w:rFonts w:cs="Times New Roman"/>
                <w:noProof/>
                <w:sz w:val="16"/>
                <w:szCs w:val="16"/>
              </w:rPr>
            </w:pPr>
            <w:r w:rsidRPr="00B44B19">
              <w:rPr>
                <w:rFonts w:cs="Times New Roman"/>
                <w:noProof/>
                <w:sz w:val="16"/>
                <w:szCs w:val="16"/>
              </w:rPr>
              <w:t>1 824</w:t>
            </w:r>
          </w:p>
        </w:tc>
      </w:tr>
      <w:tr w:rsidR="00681418" w:rsidRPr="00B44B19" w14:paraId="3CCA3977" w14:textId="77777777" w:rsidTr="00D27D25">
        <w:trPr>
          <w:trHeight w:val="238"/>
        </w:trPr>
        <w:tc>
          <w:tcPr>
            <w:tcW w:w="499" w:type="pct"/>
            <w:vMerge/>
            <w:tcBorders>
              <w:top w:val="single" w:sz="12" w:space="0" w:color="auto"/>
              <w:left w:val="single" w:sz="4" w:space="0" w:color="auto"/>
              <w:right w:val="single" w:sz="4" w:space="0" w:color="auto"/>
            </w:tcBorders>
          </w:tcPr>
          <w:p w14:paraId="23C29FA2" w14:textId="77777777" w:rsidR="00681418" w:rsidRPr="00B44B19" w:rsidRDefault="00681418" w:rsidP="008A4063">
            <w:pPr>
              <w:spacing w:after="0" w:line="240" w:lineRule="auto"/>
              <w:jc w:val="both"/>
              <w:rPr>
                <w:rFonts w:eastAsia="Times New Roman" w:cs="Times New Roman"/>
                <w:noProof/>
                <w:sz w:val="16"/>
                <w:szCs w:val="16"/>
              </w:rPr>
            </w:pPr>
          </w:p>
        </w:tc>
        <w:tc>
          <w:tcPr>
            <w:tcW w:w="501" w:type="pct"/>
            <w:vMerge/>
            <w:tcBorders>
              <w:top w:val="single" w:sz="12" w:space="0" w:color="auto"/>
              <w:left w:val="single" w:sz="4" w:space="0" w:color="auto"/>
              <w:right w:val="single" w:sz="4" w:space="0" w:color="auto"/>
            </w:tcBorders>
          </w:tcPr>
          <w:p w14:paraId="7C72C1D2" w14:textId="77777777" w:rsidR="00681418" w:rsidRPr="00B44B19" w:rsidRDefault="00681418" w:rsidP="008A4063">
            <w:pPr>
              <w:spacing w:after="0" w:line="240" w:lineRule="auto"/>
              <w:jc w:val="both"/>
              <w:rPr>
                <w:rFonts w:eastAsia="Times New Roman" w:cs="Times New Roman"/>
                <w:noProof/>
                <w:sz w:val="16"/>
                <w:szCs w:val="16"/>
              </w:rPr>
            </w:pPr>
          </w:p>
        </w:tc>
        <w:tc>
          <w:tcPr>
            <w:tcW w:w="431" w:type="pct"/>
            <w:vMerge/>
            <w:tcBorders>
              <w:top w:val="single" w:sz="12" w:space="0" w:color="auto"/>
              <w:left w:val="single" w:sz="4" w:space="0" w:color="auto"/>
              <w:right w:val="single" w:sz="4" w:space="0" w:color="auto"/>
            </w:tcBorders>
          </w:tcPr>
          <w:p w14:paraId="5982896D" w14:textId="77777777" w:rsidR="00681418" w:rsidRPr="00B44B19" w:rsidRDefault="00681418" w:rsidP="008A4063">
            <w:pPr>
              <w:spacing w:after="0" w:line="240" w:lineRule="auto"/>
              <w:jc w:val="both"/>
              <w:rPr>
                <w:rFonts w:eastAsia="Times New Roman" w:cs="Times New Roman"/>
                <w:noProof/>
                <w:sz w:val="16"/>
                <w:szCs w:val="16"/>
              </w:rPr>
            </w:pPr>
          </w:p>
        </w:tc>
        <w:tc>
          <w:tcPr>
            <w:tcW w:w="502" w:type="pct"/>
            <w:tcBorders>
              <w:top w:val="single" w:sz="4" w:space="0" w:color="auto"/>
              <w:left w:val="single" w:sz="4" w:space="0" w:color="auto"/>
              <w:right w:val="single" w:sz="4" w:space="0" w:color="auto"/>
            </w:tcBorders>
          </w:tcPr>
          <w:p w14:paraId="7FDF096A" w14:textId="77777777" w:rsidR="00681418" w:rsidRPr="00B44B19" w:rsidRDefault="00681418" w:rsidP="00681418">
            <w:pPr>
              <w:spacing w:after="0" w:line="240" w:lineRule="auto"/>
              <w:rPr>
                <w:rFonts w:eastAsia="Times New Roman" w:cs="Times New Roman"/>
                <w:sz w:val="16"/>
                <w:szCs w:val="16"/>
                <w:lang w:eastAsia="lt-LT"/>
              </w:rPr>
            </w:pPr>
            <w:r w:rsidRPr="00B44B19">
              <w:rPr>
                <w:rFonts w:eastAsia="Times New Roman" w:cs="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tcPr>
          <w:p w14:paraId="2A791A26" w14:textId="77777777" w:rsidR="00681418" w:rsidRPr="00B44B19" w:rsidRDefault="00681418" w:rsidP="008A4063">
            <w:pPr>
              <w:spacing w:after="0" w:line="240" w:lineRule="auto"/>
              <w:rPr>
                <w:rFonts w:cs="Times New Roman"/>
                <w:sz w:val="16"/>
                <w:szCs w:val="16"/>
              </w:rPr>
            </w:pPr>
            <w:r w:rsidRPr="00B44B19">
              <w:rPr>
                <w:rFonts w:cs="Times New Roman"/>
                <w:sz w:val="16"/>
                <w:szCs w:val="16"/>
              </w:rPr>
              <w:t>RCO02</w:t>
            </w:r>
          </w:p>
        </w:tc>
        <w:tc>
          <w:tcPr>
            <w:tcW w:w="791" w:type="pct"/>
            <w:tcBorders>
              <w:top w:val="single" w:sz="4" w:space="0" w:color="auto"/>
              <w:left w:val="single" w:sz="4" w:space="0" w:color="auto"/>
              <w:bottom w:val="single" w:sz="4" w:space="0" w:color="auto"/>
              <w:right w:val="single" w:sz="4" w:space="0" w:color="auto"/>
            </w:tcBorders>
          </w:tcPr>
          <w:p w14:paraId="02ECFA5A" w14:textId="77777777" w:rsidR="00681418" w:rsidRPr="00B44B19" w:rsidRDefault="00681418" w:rsidP="008A4063">
            <w:pPr>
              <w:spacing w:after="0" w:line="240" w:lineRule="auto"/>
              <w:rPr>
                <w:rFonts w:cs="Times New Roman"/>
                <w:sz w:val="16"/>
                <w:szCs w:val="16"/>
              </w:rPr>
            </w:pPr>
            <w:r w:rsidRPr="00B44B19">
              <w:rPr>
                <w:rFonts w:cs="Times New Roman"/>
                <w:sz w:val="16"/>
                <w:szCs w:val="16"/>
              </w:rPr>
              <w:t>Paramą dotacijomis gavusios įmonės</w:t>
            </w:r>
          </w:p>
        </w:tc>
        <w:tc>
          <w:tcPr>
            <w:tcW w:w="606" w:type="pct"/>
            <w:tcBorders>
              <w:top w:val="single" w:sz="4" w:space="0" w:color="auto"/>
              <w:left w:val="single" w:sz="4" w:space="0" w:color="auto"/>
              <w:bottom w:val="single" w:sz="4" w:space="0" w:color="auto"/>
              <w:right w:val="single" w:sz="4" w:space="0" w:color="auto"/>
            </w:tcBorders>
          </w:tcPr>
          <w:p w14:paraId="584CFA4D" w14:textId="77777777" w:rsidR="00681418" w:rsidRPr="00B44B19" w:rsidRDefault="00681418" w:rsidP="008A4063">
            <w:pPr>
              <w:spacing w:after="0" w:line="240" w:lineRule="auto"/>
              <w:rPr>
                <w:rFonts w:cs="Times New Roman"/>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1C2B513E" w14:textId="77777777" w:rsidR="00681418" w:rsidRPr="00B44B19" w:rsidRDefault="00FD6387" w:rsidP="008A4063">
            <w:pPr>
              <w:spacing w:after="0" w:line="240" w:lineRule="auto"/>
              <w:jc w:val="center"/>
              <w:rPr>
                <w:rFonts w:cs="Times New Roman"/>
                <w:sz w:val="16"/>
                <w:szCs w:val="16"/>
              </w:rPr>
            </w:pPr>
            <w:r w:rsidRPr="00B44B19">
              <w:rPr>
                <w:rFonts w:cs="Times New Roman"/>
                <w:sz w:val="16"/>
                <w:szCs w:val="16"/>
              </w:rPr>
              <w:t>80</w:t>
            </w:r>
          </w:p>
        </w:tc>
        <w:tc>
          <w:tcPr>
            <w:tcW w:w="570" w:type="pct"/>
            <w:tcBorders>
              <w:top w:val="single" w:sz="4" w:space="0" w:color="auto"/>
              <w:left w:val="single" w:sz="4" w:space="0" w:color="auto"/>
              <w:bottom w:val="single" w:sz="4" w:space="0" w:color="auto"/>
              <w:right w:val="single" w:sz="4" w:space="0" w:color="auto"/>
            </w:tcBorders>
          </w:tcPr>
          <w:p w14:paraId="44D865E7" w14:textId="77777777" w:rsidR="00681418" w:rsidRPr="00B44B19" w:rsidRDefault="00FD6387" w:rsidP="008A4063">
            <w:pPr>
              <w:spacing w:after="0" w:line="240" w:lineRule="auto"/>
              <w:jc w:val="center"/>
              <w:rPr>
                <w:rFonts w:cs="Times New Roman"/>
                <w:noProof/>
                <w:sz w:val="16"/>
                <w:szCs w:val="16"/>
              </w:rPr>
            </w:pPr>
            <w:r w:rsidRPr="00B44B19">
              <w:rPr>
                <w:rFonts w:cs="Times New Roman"/>
                <w:noProof/>
                <w:sz w:val="16"/>
                <w:szCs w:val="16"/>
              </w:rPr>
              <w:t>250</w:t>
            </w:r>
          </w:p>
        </w:tc>
      </w:tr>
      <w:tr w:rsidR="00681418" w:rsidRPr="00B44B19" w14:paraId="3728B0C7" w14:textId="77777777" w:rsidTr="00D27D25">
        <w:trPr>
          <w:trHeight w:val="238"/>
        </w:trPr>
        <w:tc>
          <w:tcPr>
            <w:tcW w:w="499" w:type="pct"/>
            <w:vMerge/>
            <w:tcBorders>
              <w:left w:val="single" w:sz="4" w:space="0" w:color="auto"/>
              <w:right w:val="single" w:sz="4" w:space="0" w:color="auto"/>
            </w:tcBorders>
            <w:vAlign w:val="center"/>
          </w:tcPr>
          <w:p w14:paraId="350B6F4F" w14:textId="77777777" w:rsidR="00681418" w:rsidRPr="00B44B19" w:rsidRDefault="00681418" w:rsidP="008A4063">
            <w:pPr>
              <w:spacing w:after="0" w:line="240" w:lineRule="auto"/>
              <w:jc w:val="center"/>
              <w:rPr>
                <w:rFonts w:cs="Times New Roman"/>
                <w:b/>
                <w:noProof/>
                <w:sz w:val="16"/>
                <w:szCs w:val="16"/>
              </w:rPr>
            </w:pPr>
          </w:p>
        </w:tc>
        <w:tc>
          <w:tcPr>
            <w:tcW w:w="501" w:type="pct"/>
            <w:vMerge/>
            <w:tcBorders>
              <w:left w:val="single" w:sz="4" w:space="0" w:color="auto"/>
              <w:right w:val="single" w:sz="4" w:space="0" w:color="auto"/>
            </w:tcBorders>
            <w:vAlign w:val="center"/>
          </w:tcPr>
          <w:p w14:paraId="12BA04D1" w14:textId="77777777" w:rsidR="00681418" w:rsidRPr="00B44B19" w:rsidRDefault="00681418" w:rsidP="008A4063">
            <w:pPr>
              <w:spacing w:after="0" w:line="240" w:lineRule="auto"/>
              <w:jc w:val="center"/>
              <w:rPr>
                <w:rFonts w:cs="Times New Roman"/>
                <w:b/>
                <w:noProof/>
                <w:sz w:val="16"/>
                <w:szCs w:val="16"/>
              </w:rPr>
            </w:pPr>
          </w:p>
        </w:tc>
        <w:tc>
          <w:tcPr>
            <w:tcW w:w="431" w:type="pct"/>
            <w:vMerge/>
            <w:tcBorders>
              <w:left w:val="single" w:sz="4" w:space="0" w:color="auto"/>
              <w:right w:val="single" w:sz="4" w:space="0" w:color="auto"/>
            </w:tcBorders>
            <w:vAlign w:val="center"/>
          </w:tcPr>
          <w:p w14:paraId="0557749C" w14:textId="77777777" w:rsidR="00681418" w:rsidRPr="00B44B19" w:rsidRDefault="00681418" w:rsidP="008A4063">
            <w:pPr>
              <w:spacing w:after="0" w:line="240" w:lineRule="auto"/>
              <w:jc w:val="center"/>
              <w:rPr>
                <w:rFonts w:cs="Times New Roman"/>
                <w:b/>
                <w:noProof/>
                <w:sz w:val="16"/>
                <w:szCs w:val="16"/>
              </w:rPr>
            </w:pPr>
          </w:p>
        </w:tc>
        <w:tc>
          <w:tcPr>
            <w:tcW w:w="502" w:type="pct"/>
            <w:tcBorders>
              <w:left w:val="single" w:sz="4" w:space="0" w:color="auto"/>
              <w:right w:val="single" w:sz="4" w:space="0" w:color="auto"/>
            </w:tcBorders>
            <w:vAlign w:val="center"/>
          </w:tcPr>
          <w:p w14:paraId="07213E5F" w14:textId="77777777" w:rsidR="00681418" w:rsidRPr="00B44B19" w:rsidRDefault="00681418" w:rsidP="00681418">
            <w:pPr>
              <w:spacing w:after="0" w:line="240" w:lineRule="auto"/>
              <w:rPr>
                <w:rFonts w:cs="Times New Roman"/>
                <w:b/>
                <w:noProof/>
                <w:sz w:val="16"/>
                <w:szCs w:val="16"/>
              </w:rPr>
            </w:pPr>
            <w:r w:rsidRPr="00B44B19">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tcPr>
          <w:p w14:paraId="216270BF" w14:textId="77777777" w:rsidR="00681418" w:rsidRPr="00B44B19" w:rsidRDefault="00681418" w:rsidP="008A4063">
            <w:pPr>
              <w:spacing w:after="0" w:line="240" w:lineRule="auto"/>
              <w:rPr>
                <w:rFonts w:cs="Times New Roman"/>
                <w:sz w:val="16"/>
                <w:szCs w:val="16"/>
              </w:rPr>
            </w:pPr>
            <w:r w:rsidRPr="00B44B19">
              <w:rPr>
                <w:rFonts w:cs="Times New Roman"/>
                <w:sz w:val="16"/>
                <w:szCs w:val="16"/>
              </w:rPr>
              <w:t>RCO02</w:t>
            </w:r>
          </w:p>
        </w:tc>
        <w:tc>
          <w:tcPr>
            <w:tcW w:w="791" w:type="pct"/>
            <w:tcBorders>
              <w:top w:val="single" w:sz="4" w:space="0" w:color="auto"/>
              <w:left w:val="single" w:sz="4" w:space="0" w:color="auto"/>
              <w:bottom w:val="single" w:sz="4" w:space="0" w:color="auto"/>
              <w:right w:val="single" w:sz="4" w:space="0" w:color="auto"/>
            </w:tcBorders>
          </w:tcPr>
          <w:p w14:paraId="588C05A2" w14:textId="77777777" w:rsidR="00681418" w:rsidRPr="00B44B19" w:rsidRDefault="00681418" w:rsidP="008A4063">
            <w:pPr>
              <w:spacing w:after="0" w:line="240" w:lineRule="auto"/>
              <w:rPr>
                <w:rFonts w:cs="Times New Roman"/>
                <w:sz w:val="16"/>
                <w:szCs w:val="16"/>
              </w:rPr>
            </w:pPr>
            <w:r w:rsidRPr="00B44B19">
              <w:rPr>
                <w:rFonts w:cs="Times New Roman"/>
                <w:sz w:val="16"/>
                <w:szCs w:val="16"/>
              </w:rPr>
              <w:t>Paramą dotacijomis gavusios įmonės</w:t>
            </w:r>
          </w:p>
        </w:tc>
        <w:tc>
          <w:tcPr>
            <w:tcW w:w="606" w:type="pct"/>
            <w:tcBorders>
              <w:top w:val="single" w:sz="4" w:space="0" w:color="auto"/>
              <w:left w:val="single" w:sz="4" w:space="0" w:color="auto"/>
              <w:bottom w:val="single" w:sz="4" w:space="0" w:color="auto"/>
              <w:right w:val="single" w:sz="4" w:space="0" w:color="auto"/>
            </w:tcBorders>
          </w:tcPr>
          <w:p w14:paraId="0EC1052D" w14:textId="77777777" w:rsidR="00681418" w:rsidRPr="00B44B19" w:rsidRDefault="00681418" w:rsidP="008A4063">
            <w:pPr>
              <w:spacing w:after="0" w:line="240" w:lineRule="auto"/>
              <w:rPr>
                <w:rFonts w:cs="Times New Roman"/>
                <w:b/>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1DF0435A" w14:textId="77777777" w:rsidR="00681418" w:rsidRPr="00B44B19" w:rsidRDefault="00FD6387" w:rsidP="008A4063">
            <w:pPr>
              <w:spacing w:after="0" w:line="240" w:lineRule="auto"/>
              <w:jc w:val="center"/>
              <w:rPr>
                <w:rFonts w:cs="Times New Roman"/>
                <w:sz w:val="16"/>
                <w:szCs w:val="16"/>
              </w:rPr>
            </w:pPr>
            <w:r w:rsidRPr="00B44B19">
              <w:rPr>
                <w:rFonts w:cs="Times New Roman"/>
                <w:sz w:val="16"/>
                <w:szCs w:val="16"/>
              </w:rPr>
              <w:t>238</w:t>
            </w:r>
          </w:p>
        </w:tc>
        <w:tc>
          <w:tcPr>
            <w:tcW w:w="570" w:type="pct"/>
            <w:tcBorders>
              <w:top w:val="single" w:sz="4" w:space="0" w:color="auto"/>
              <w:left w:val="single" w:sz="4" w:space="0" w:color="auto"/>
              <w:bottom w:val="single" w:sz="4" w:space="0" w:color="auto"/>
              <w:right w:val="single" w:sz="4" w:space="0" w:color="auto"/>
            </w:tcBorders>
          </w:tcPr>
          <w:p w14:paraId="2554896C" w14:textId="5FFB836F" w:rsidR="00681418" w:rsidRPr="00B44B19" w:rsidRDefault="001267A1" w:rsidP="00264E8F">
            <w:pPr>
              <w:spacing w:after="0" w:line="240" w:lineRule="auto"/>
              <w:jc w:val="center"/>
              <w:rPr>
                <w:rFonts w:cs="Times New Roman"/>
                <w:noProof/>
                <w:sz w:val="16"/>
                <w:szCs w:val="16"/>
              </w:rPr>
            </w:pPr>
            <w:r w:rsidRPr="00B44B19">
              <w:rPr>
                <w:rFonts w:cs="Times New Roman"/>
                <w:noProof/>
                <w:sz w:val="16"/>
                <w:szCs w:val="16"/>
              </w:rPr>
              <w:t>754</w:t>
            </w:r>
          </w:p>
        </w:tc>
      </w:tr>
      <w:tr w:rsidR="002643B0" w:rsidRPr="00B44B19" w14:paraId="0C51EB4B" w14:textId="77777777" w:rsidTr="00D27D25">
        <w:trPr>
          <w:trHeight w:val="238"/>
        </w:trPr>
        <w:tc>
          <w:tcPr>
            <w:tcW w:w="499" w:type="pct"/>
            <w:vMerge/>
            <w:tcBorders>
              <w:left w:val="single" w:sz="4" w:space="0" w:color="auto"/>
              <w:right w:val="single" w:sz="4" w:space="0" w:color="auto"/>
            </w:tcBorders>
            <w:vAlign w:val="center"/>
          </w:tcPr>
          <w:p w14:paraId="2F129324" w14:textId="77777777" w:rsidR="002643B0" w:rsidRPr="00B44B19" w:rsidRDefault="002643B0" w:rsidP="008A4063">
            <w:pPr>
              <w:spacing w:after="0" w:line="240" w:lineRule="auto"/>
              <w:jc w:val="center"/>
              <w:rPr>
                <w:rFonts w:cs="Times New Roman"/>
                <w:b/>
                <w:noProof/>
                <w:sz w:val="16"/>
                <w:szCs w:val="16"/>
              </w:rPr>
            </w:pPr>
          </w:p>
        </w:tc>
        <w:tc>
          <w:tcPr>
            <w:tcW w:w="501" w:type="pct"/>
            <w:vMerge/>
            <w:tcBorders>
              <w:left w:val="single" w:sz="4" w:space="0" w:color="auto"/>
              <w:right w:val="single" w:sz="4" w:space="0" w:color="auto"/>
            </w:tcBorders>
            <w:vAlign w:val="center"/>
          </w:tcPr>
          <w:p w14:paraId="76A3A58A" w14:textId="77777777" w:rsidR="002643B0" w:rsidRPr="00B44B19" w:rsidRDefault="002643B0" w:rsidP="008A4063">
            <w:pPr>
              <w:spacing w:after="0" w:line="240" w:lineRule="auto"/>
              <w:jc w:val="center"/>
              <w:rPr>
                <w:rFonts w:cs="Times New Roman"/>
                <w:b/>
                <w:noProof/>
                <w:sz w:val="16"/>
                <w:szCs w:val="16"/>
              </w:rPr>
            </w:pPr>
          </w:p>
        </w:tc>
        <w:tc>
          <w:tcPr>
            <w:tcW w:w="431" w:type="pct"/>
            <w:vMerge/>
            <w:tcBorders>
              <w:left w:val="single" w:sz="4" w:space="0" w:color="auto"/>
              <w:right w:val="single" w:sz="4" w:space="0" w:color="auto"/>
            </w:tcBorders>
            <w:vAlign w:val="center"/>
          </w:tcPr>
          <w:p w14:paraId="7F129AB0" w14:textId="77777777" w:rsidR="002643B0" w:rsidRPr="00B44B19" w:rsidRDefault="002643B0" w:rsidP="008A4063">
            <w:pPr>
              <w:spacing w:after="0" w:line="240" w:lineRule="auto"/>
              <w:jc w:val="center"/>
              <w:rPr>
                <w:rFonts w:cs="Times New Roman"/>
                <w:b/>
                <w:noProof/>
                <w:sz w:val="16"/>
                <w:szCs w:val="16"/>
              </w:rPr>
            </w:pPr>
          </w:p>
        </w:tc>
        <w:tc>
          <w:tcPr>
            <w:tcW w:w="502" w:type="pct"/>
            <w:tcBorders>
              <w:left w:val="single" w:sz="4" w:space="0" w:color="auto"/>
              <w:right w:val="single" w:sz="4" w:space="0" w:color="auto"/>
            </w:tcBorders>
          </w:tcPr>
          <w:p w14:paraId="07C54003" w14:textId="77777777" w:rsidR="002643B0" w:rsidRPr="00B44B19" w:rsidRDefault="002643B0" w:rsidP="00681418">
            <w:pPr>
              <w:spacing w:after="0" w:line="240" w:lineRule="auto"/>
              <w:rPr>
                <w:rFonts w:eastAsia="Times New Roman" w:cs="Times New Roman"/>
                <w:sz w:val="16"/>
                <w:szCs w:val="16"/>
                <w:lang w:eastAsia="lt-LT"/>
              </w:rPr>
            </w:pPr>
            <w:r w:rsidRPr="00B44B19">
              <w:rPr>
                <w:rFonts w:eastAsia="Times New Roman" w:cs="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tcPr>
          <w:p w14:paraId="3535601F" w14:textId="77777777" w:rsidR="002643B0" w:rsidRPr="00B44B19" w:rsidRDefault="002643B0" w:rsidP="008A4063">
            <w:pPr>
              <w:spacing w:after="0" w:line="240" w:lineRule="auto"/>
              <w:rPr>
                <w:rFonts w:cs="Times New Roman"/>
                <w:sz w:val="16"/>
                <w:szCs w:val="16"/>
              </w:rPr>
            </w:pPr>
            <w:r w:rsidRPr="00B44B19">
              <w:rPr>
                <w:rFonts w:cs="Times New Roman"/>
                <w:sz w:val="16"/>
                <w:szCs w:val="16"/>
              </w:rPr>
              <w:t>RCO03</w:t>
            </w:r>
          </w:p>
        </w:tc>
        <w:tc>
          <w:tcPr>
            <w:tcW w:w="791" w:type="pct"/>
            <w:tcBorders>
              <w:top w:val="single" w:sz="4" w:space="0" w:color="auto"/>
              <w:left w:val="single" w:sz="4" w:space="0" w:color="auto"/>
              <w:bottom w:val="single" w:sz="4" w:space="0" w:color="auto"/>
              <w:right w:val="single" w:sz="4" w:space="0" w:color="auto"/>
            </w:tcBorders>
          </w:tcPr>
          <w:p w14:paraId="5BB56578" w14:textId="77777777" w:rsidR="002643B0" w:rsidRPr="00B44B19" w:rsidRDefault="002643B0" w:rsidP="008A4063">
            <w:pPr>
              <w:spacing w:after="0" w:line="240" w:lineRule="auto"/>
              <w:rPr>
                <w:rFonts w:cs="Times New Roman"/>
                <w:sz w:val="16"/>
                <w:szCs w:val="16"/>
              </w:rPr>
            </w:pPr>
            <w:r w:rsidRPr="00B44B19">
              <w:rPr>
                <w:rFonts w:cs="Times New Roman"/>
                <w:sz w:val="16"/>
                <w:szCs w:val="16"/>
              </w:rPr>
              <w:t>Paramą finansinėmis priemonėmis gavusios įmonės</w:t>
            </w:r>
          </w:p>
        </w:tc>
        <w:tc>
          <w:tcPr>
            <w:tcW w:w="606" w:type="pct"/>
            <w:tcBorders>
              <w:top w:val="single" w:sz="4" w:space="0" w:color="auto"/>
              <w:left w:val="single" w:sz="4" w:space="0" w:color="auto"/>
              <w:bottom w:val="single" w:sz="4" w:space="0" w:color="auto"/>
              <w:right w:val="single" w:sz="4" w:space="0" w:color="auto"/>
            </w:tcBorders>
          </w:tcPr>
          <w:p w14:paraId="59028F20" w14:textId="77777777" w:rsidR="002643B0" w:rsidRPr="00B44B19" w:rsidRDefault="002643B0" w:rsidP="008A4063">
            <w:pPr>
              <w:spacing w:after="0" w:line="240" w:lineRule="auto"/>
              <w:rPr>
                <w:rFonts w:cs="Times New Roman"/>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523992FE" w14:textId="77777777" w:rsidR="002643B0" w:rsidRPr="00B44B19" w:rsidRDefault="00FD6387" w:rsidP="008A4063">
            <w:pPr>
              <w:spacing w:after="0" w:line="240" w:lineRule="auto"/>
              <w:jc w:val="center"/>
              <w:rPr>
                <w:rFonts w:cs="Times New Roman"/>
                <w:sz w:val="16"/>
                <w:szCs w:val="16"/>
              </w:rPr>
            </w:pPr>
            <w:r w:rsidRPr="00B44B19">
              <w:rPr>
                <w:rFonts w:cs="Times New Roman"/>
                <w:sz w:val="16"/>
                <w:szCs w:val="16"/>
              </w:rPr>
              <w:t>0</w:t>
            </w:r>
          </w:p>
        </w:tc>
        <w:tc>
          <w:tcPr>
            <w:tcW w:w="570" w:type="pct"/>
            <w:tcBorders>
              <w:top w:val="single" w:sz="4" w:space="0" w:color="auto"/>
              <w:left w:val="single" w:sz="4" w:space="0" w:color="auto"/>
              <w:bottom w:val="single" w:sz="4" w:space="0" w:color="auto"/>
              <w:right w:val="single" w:sz="4" w:space="0" w:color="auto"/>
            </w:tcBorders>
          </w:tcPr>
          <w:p w14:paraId="05C90859" w14:textId="4EEE2E70" w:rsidR="002643B0" w:rsidRPr="00B44B19" w:rsidRDefault="001267A1" w:rsidP="008A4063">
            <w:pPr>
              <w:spacing w:after="0" w:line="240" w:lineRule="auto"/>
              <w:jc w:val="center"/>
              <w:rPr>
                <w:rFonts w:cs="Times New Roman"/>
                <w:noProof/>
                <w:sz w:val="16"/>
                <w:szCs w:val="16"/>
              </w:rPr>
            </w:pPr>
            <w:r w:rsidRPr="00B44B19">
              <w:rPr>
                <w:rFonts w:cs="Times New Roman"/>
                <w:noProof/>
                <w:sz w:val="16"/>
                <w:szCs w:val="16"/>
              </w:rPr>
              <w:t>144</w:t>
            </w:r>
          </w:p>
        </w:tc>
      </w:tr>
      <w:tr w:rsidR="002643B0" w:rsidRPr="00B44B19" w14:paraId="365790A3" w14:textId="77777777" w:rsidTr="00D27D25">
        <w:trPr>
          <w:trHeight w:val="238"/>
        </w:trPr>
        <w:tc>
          <w:tcPr>
            <w:tcW w:w="499" w:type="pct"/>
            <w:vMerge/>
            <w:tcBorders>
              <w:left w:val="single" w:sz="4" w:space="0" w:color="auto"/>
              <w:right w:val="single" w:sz="4" w:space="0" w:color="auto"/>
            </w:tcBorders>
            <w:vAlign w:val="center"/>
          </w:tcPr>
          <w:p w14:paraId="3DBC4F1F" w14:textId="77777777" w:rsidR="002643B0" w:rsidRPr="00B44B19" w:rsidRDefault="002643B0" w:rsidP="008A4063">
            <w:pPr>
              <w:spacing w:after="0" w:line="240" w:lineRule="auto"/>
              <w:jc w:val="center"/>
              <w:rPr>
                <w:rFonts w:cs="Times New Roman"/>
                <w:b/>
                <w:noProof/>
                <w:sz w:val="16"/>
                <w:szCs w:val="16"/>
              </w:rPr>
            </w:pPr>
          </w:p>
        </w:tc>
        <w:tc>
          <w:tcPr>
            <w:tcW w:w="501" w:type="pct"/>
            <w:vMerge/>
            <w:tcBorders>
              <w:left w:val="single" w:sz="4" w:space="0" w:color="auto"/>
              <w:right w:val="single" w:sz="4" w:space="0" w:color="auto"/>
            </w:tcBorders>
            <w:vAlign w:val="center"/>
          </w:tcPr>
          <w:p w14:paraId="7C343EE9" w14:textId="77777777" w:rsidR="002643B0" w:rsidRPr="00B44B19" w:rsidRDefault="002643B0" w:rsidP="008A4063">
            <w:pPr>
              <w:spacing w:after="0" w:line="240" w:lineRule="auto"/>
              <w:jc w:val="center"/>
              <w:rPr>
                <w:rFonts w:cs="Times New Roman"/>
                <w:b/>
                <w:noProof/>
                <w:sz w:val="16"/>
                <w:szCs w:val="16"/>
              </w:rPr>
            </w:pPr>
          </w:p>
        </w:tc>
        <w:tc>
          <w:tcPr>
            <w:tcW w:w="431" w:type="pct"/>
            <w:vMerge/>
            <w:tcBorders>
              <w:left w:val="single" w:sz="4" w:space="0" w:color="auto"/>
              <w:right w:val="single" w:sz="4" w:space="0" w:color="auto"/>
            </w:tcBorders>
            <w:vAlign w:val="center"/>
          </w:tcPr>
          <w:p w14:paraId="7B5E6B00" w14:textId="77777777" w:rsidR="002643B0" w:rsidRPr="00B44B19" w:rsidRDefault="002643B0" w:rsidP="008A4063">
            <w:pPr>
              <w:spacing w:after="0" w:line="240" w:lineRule="auto"/>
              <w:jc w:val="center"/>
              <w:rPr>
                <w:rFonts w:cs="Times New Roman"/>
                <w:b/>
                <w:noProof/>
                <w:sz w:val="16"/>
                <w:szCs w:val="16"/>
              </w:rPr>
            </w:pPr>
          </w:p>
        </w:tc>
        <w:tc>
          <w:tcPr>
            <w:tcW w:w="502" w:type="pct"/>
            <w:tcBorders>
              <w:left w:val="single" w:sz="4" w:space="0" w:color="auto"/>
              <w:right w:val="single" w:sz="4" w:space="0" w:color="auto"/>
            </w:tcBorders>
            <w:vAlign w:val="center"/>
          </w:tcPr>
          <w:p w14:paraId="703BD0AA" w14:textId="77777777" w:rsidR="002643B0" w:rsidRPr="00B44B19" w:rsidRDefault="002643B0" w:rsidP="00681418">
            <w:pPr>
              <w:spacing w:after="0" w:line="240" w:lineRule="auto"/>
              <w:rPr>
                <w:rFonts w:cs="Times New Roman"/>
                <w:b/>
                <w:noProof/>
                <w:sz w:val="16"/>
                <w:szCs w:val="16"/>
              </w:rPr>
            </w:pPr>
            <w:r w:rsidRPr="00B44B19">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tcPr>
          <w:p w14:paraId="41C0F8BA" w14:textId="77777777" w:rsidR="002643B0" w:rsidRPr="00B44B19" w:rsidRDefault="002643B0" w:rsidP="008A4063">
            <w:pPr>
              <w:spacing w:after="0" w:line="240" w:lineRule="auto"/>
              <w:rPr>
                <w:rFonts w:cs="Times New Roman"/>
                <w:sz w:val="16"/>
                <w:szCs w:val="16"/>
              </w:rPr>
            </w:pPr>
            <w:r w:rsidRPr="00B44B19">
              <w:rPr>
                <w:rFonts w:cs="Times New Roman"/>
                <w:sz w:val="16"/>
                <w:szCs w:val="16"/>
              </w:rPr>
              <w:t>RCO03</w:t>
            </w:r>
          </w:p>
        </w:tc>
        <w:tc>
          <w:tcPr>
            <w:tcW w:w="791" w:type="pct"/>
            <w:tcBorders>
              <w:top w:val="single" w:sz="4" w:space="0" w:color="auto"/>
              <w:left w:val="single" w:sz="4" w:space="0" w:color="auto"/>
              <w:bottom w:val="single" w:sz="4" w:space="0" w:color="auto"/>
              <w:right w:val="single" w:sz="4" w:space="0" w:color="auto"/>
            </w:tcBorders>
          </w:tcPr>
          <w:p w14:paraId="2312D1DC" w14:textId="77777777" w:rsidR="002643B0" w:rsidRPr="00B44B19" w:rsidRDefault="002643B0" w:rsidP="008A4063">
            <w:pPr>
              <w:spacing w:after="0" w:line="240" w:lineRule="auto"/>
              <w:rPr>
                <w:rFonts w:cs="Times New Roman"/>
                <w:sz w:val="16"/>
                <w:szCs w:val="16"/>
              </w:rPr>
            </w:pPr>
            <w:r w:rsidRPr="00B44B19">
              <w:rPr>
                <w:rFonts w:cs="Times New Roman"/>
                <w:sz w:val="16"/>
                <w:szCs w:val="16"/>
              </w:rPr>
              <w:t>Paramą finansinėmis priemonėmis gavusios įmonės</w:t>
            </w:r>
          </w:p>
        </w:tc>
        <w:tc>
          <w:tcPr>
            <w:tcW w:w="606" w:type="pct"/>
            <w:tcBorders>
              <w:top w:val="single" w:sz="4" w:space="0" w:color="auto"/>
              <w:left w:val="single" w:sz="4" w:space="0" w:color="auto"/>
              <w:bottom w:val="single" w:sz="4" w:space="0" w:color="auto"/>
              <w:right w:val="single" w:sz="4" w:space="0" w:color="auto"/>
            </w:tcBorders>
          </w:tcPr>
          <w:p w14:paraId="2409BA0B" w14:textId="77777777" w:rsidR="002643B0" w:rsidRPr="00B44B19" w:rsidRDefault="002643B0" w:rsidP="008A4063">
            <w:pPr>
              <w:spacing w:after="0" w:line="240" w:lineRule="auto"/>
              <w:rPr>
                <w:rFonts w:cs="Times New Roman"/>
                <w:b/>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2432F8A9" w14:textId="77777777" w:rsidR="002643B0" w:rsidRPr="00B44B19" w:rsidRDefault="00FD6387" w:rsidP="008A4063">
            <w:pPr>
              <w:spacing w:after="0" w:line="240" w:lineRule="auto"/>
              <w:jc w:val="center"/>
              <w:rPr>
                <w:rFonts w:cs="Times New Roman"/>
                <w:sz w:val="16"/>
                <w:szCs w:val="16"/>
              </w:rPr>
            </w:pPr>
            <w:r w:rsidRPr="00B44B19">
              <w:rPr>
                <w:rFonts w:cs="Times New Roman"/>
                <w:sz w:val="16"/>
                <w:szCs w:val="16"/>
              </w:rPr>
              <w:t>0</w:t>
            </w:r>
          </w:p>
        </w:tc>
        <w:tc>
          <w:tcPr>
            <w:tcW w:w="570" w:type="pct"/>
            <w:tcBorders>
              <w:top w:val="single" w:sz="4" w:space="0" w:color="auto"/>
              <w:left w:val="single" w:sz="4" w:space="0" w:color="auto"/>
              <w:bottom w:val="single" w:sz="4" w:space="0" w:color="auto"/>
              <w:right w:val="single" w:sz="4" w:space="0" w:color="auto"/>
            </w:tcBorders>
          </w:tcPr>
          <w:p w14:paraId="527A3BDE" w14:textId="227854DB" w:rsidR="002643B0" w:rsidRPr="00B44B19" w:rsidRDefault="007A01DE" w:rsidP="008A4063">
            <w:pPr>
              <w:spacing w:after="0" w:line="240" w:lineRule="auto"/>
              <w:jc w:val="center"/>
              <w:rPr>
                <w:rFonts w:cs="Times New Roman"/>
                <w:noProof/>
                <w:sz w:val="16"/>
                <w:szCs w:val="16"/>
              </w:rPr>
            </w:pPr>
            <w:r w:rsidRPr="00B44B19">
              <w:rPr>
                <w:rFonts w:cs="Times New Roman"/>
                <w:noProof/>
                <w:sz w:val="16"/>
                <w:szCs w:val="16"/>
              </w:rPr>
              <w:t>403</w:t>
            </w:r>
          </w:p>
        </w:tc>
      </w:tr>
      <w:tr w:rsidR="002643B0" w:rsidRPr="00B44B19" w14:paraId="6A0B6825" w14:textId="77777777" w:rsidTr="00D27D25">
        <w:trPr>
          <w:trHeight w:val="238"/>
        </w:trPr>
        <w:tc>
          <w:tcPr>
            <w:tcW w:w="499" w:type="pct"/>
            <w:vMerge/>
            <w:tcBorders>
              <w:left w:val="single" w:sz="4" w:space="0" w:color="auto"/>
              <w:right w:val="single" w:sz="4" w:space="0" w:color="auto"/>
            </w:tcBorders>
            <w:vAlign w:val="center"/>
          </w:tcPr>
          <w:p w14:paraId="585480A6" w14:textId="77777777" w:rsidR="002643B0" w:rsidRPr="00B44B19" w:rsidRDefault="002643B0" w:rsidP="008A4063">
            <w:pPr>
              <w:spacing w:after="0" w:line="240" w:lineRule="auto"/>
              <w:jc w:val="center"/>
              <w:rPr>
                <w:rFonts w:cs="Times New Roman"/>
                <w:b/>
                <w:noProof/>
                <w:sz w:val="16"/>
                <w:szCs w:val="16"/>
              </w:rPr>
            </w:pPr>
          </w:p>
        </w:tc>
        <w:tc>
          <w:tcPr>
            <w:tcW w:w="501" w:type="pct"/>
            <w:vMerge/>
            <w:tcBorders>
              <w:left w:val="single" w:sz="4" w:space="0" w:color="auto"/>
              <w:right w:val="single" w:sz="4" w:space="0" w:color="auto"/>
            </w:tcBorders>
            <w:vAlign w:val="center"/>
          </w:tcPr>
          <w:p w14:paraId="3CD84C6D" w14:textId="77777777" w:rsidR="002643B0" w:rsidRPr="00B44B19" w:rsidRDefault="002643B0" w:rsidP="008A4063">
            <w:pPr>
              <w:spacing w:after="0" w:line="240" w:lineRule="auto"/>
              <w:jc w:val="center"/>
              <w:rPr>
                <w:rFonts w:cs="Times New Roman"/>
                <w:b/>
                <w:noProof/>
                <w:sz w:val="16"/>
                <w:szCs w:val="16"/>
              </w:rPr>
            </w:pPr>
          </w:p>
        </w:tc>
        <w:tc>
          <w:tcPr>
            <w:tcW w:w="431" w:type="pct"/>
            <w:vMerge/>
            <w:tcBorders>
              <w:left w:val="single" w:sz="4" w:space="0" w:color="auto"/>
              <w:right w:val="single" w:sz="4" w:space="0" w:color="auto"/>
            </w:tcBorders>
            <w:vAlign w:val="center"/>
          </w:tcPr>
          <w:p w14:paraId="50F8CF8F" w14:textId="77777777" w:rsidR="002643B0" w:rsidRPr="00B44B19" w:rsidRDefault="002643B0" w:rsidP="008A4063">
            <w:pPr>
              <w:spacing w:after="0" w:line="240" w:lineRule="auto"/>
              <w:jc w:val="center"/>
              <w:rPr>
                <w:rFonts w:cs="Times New Roman"/>
                <w:b/>
                <w:noProof/>
                <w:sz w:val="16"/>
                <w:szCs w:val="16"/>
              </w:rPr>
            </w:pPr>
          </w:p>
        </w:tc>
        <w:tc>
          <w:tcPr>
            <w:tcW w:w="502" w:type="pct"/>
            <w:tcBorders>
              <w:left w:val="single" w:sz="4" w:space="0" w:color="auto"/>
              <w:right w:val="single" w:sz="4" w:space="0" w:color="auto"/>
            </w:tcBorders>
            <w:vAlign w:val="center"/>
          </w:tcPr>
          <w:p w14:paraId="743F723E" w14:textId="77777777" w:rsidR="002643B0" w:rsidRPr="00B44B19" w:rsidRDefault="002643B0" w:rsidP="00681418">
            <w:pPr>
              <w:spacing w:after="0" w:line="240" w:lineRule="auto"/>
              <w:rPr>
                <w:rFonts w:cs="Times New Roman"/>
                <w:b/>
                <w:noProof/>
                <w:sz w:val="16"/>
                <w:szCs w:val="16"/>
              </w:rPr>
            </w:pPr>
            <w:r w:rsidRPr="00B44B19">
              <w:rPr>
                <w:rFonts w:eastAsia="Times New Roman" w:cs="Times New Roman"/>
                <w:sz w:val="16"/>
                <w:szCs w:val="16"/>
                <w:lang w:eastAsia="lt-LT"/>
              </w:rPr>
              <w:t>VVL regionas</w:t>
            </w:r>
          </w:p>
        </w:tc>
        <w:tc>
          <w:tcPr>
            <w:tcW w:w="646" w:type="pct"/>
            <w:tcBorders>
              <w:top w:val="single" w:sz="4" w:space="0" w:color="auto"/>
              <w:left w:val="single" w:sz="4" w:space="0" w:color="auto"/>
              <w:bottom w:val="single" w:sz="4" w:space="0" w:color="auto"/>
              <w:right w:val="single" w:sz="4" w:space="0" w:color="auto"/>
            </w:tcBorders>
          </w:tcPr>
          <w:p w14:paraId="410EB7CC" w14:textId="77777777" w:rsidR="002643B0" w:rsidRPr="00B44B19" w:rsidRDefault="002643B0" w:rsidP="008A4063">
            <w:pPr>
              <w:spacing w:after="0" w:line="240" w:lineRule="auto"/>
              <w:rPr>
                <w:rFonts w:cs="Times New Roman"/>
                <w:sz w:val="16"/>
                <w:szCs w:val="16"/>
              </w:rPr>
            </w:pPr>
            <w:r w:rsidRPr="00B44B19">
              <w:rPr>
                <w:rFonts w:cs="Times New Roman"/>
                <w:sz w:val="16"/>
                <w:szCs w:val="16"/>
              </w:rPr>
              <w:t>RCO04</w:t>
            </w:r>
          </w:p>
        </w:tc>
        <w:tc>
          <w:tcPr>
            <w:tcW w:w="791" w:type="pct"/>
            <w:tcBorders>
              <w:top w:val="single" w:sz="4" w:space="0" w:color="auto"/>
              <w:left w:val="single" w:sz="4" w:space="0" w:color="auto"/>
              <w:bottom w:val="single" w:sz="4" w:space="0" w:color="auto"/>
              <w:right w:val="single" w:sz="4" w:space="0" w:color="auto"/>
            </w:tcBorders>
          </w:tcPr>
          <w:p w14:paraId="6CADEFF0" w14:textId="77777777" w:rsidR="002643B0" w:rsidRPr="00B44B19" w:rsidRDefault="002643B0" w:rsidP="008A4063">
            <w:pPr>
              <w:spacing w:after="0" w:line="240" w:lineRule="auto"/>
              <w:rPr>
                <w:rFonts w:cs="Times New Roman"/>
                <w:sz w:val="16"/>
                <w:szCs w:val="16"/>
              </w:rPr>
            </w:pPr>
            <w:r w:rsidRPr="00B44B19">
              <w:rPr>
                <w:rFonts w:cs="Times New Roman"/>
                <w:sz w:val="16"/>
                <w:szCs w:val="16"/>
              </w:rPr>
              <w:t>Nefinansinę paramą gavusios įmonės</w:t>
            </w:r>
          </w:p>
        </w:tc>
        <w:tc>
          <w:tcPr>
            <w:tcW w:w="606" w:type="pct"/>
            <w:tcBorders>
              <w:top w:val="single" w:sz="4" w:space="0" w:color="auto"/>
              <w:left w:val="single" w:sz="4" w:space="0" w:color="auto"/>
              <w:bottom w:val="single" w:sz="4" w:space="0" w:color="auto"/>
              <w:right w:val="single" w:sz="4" w:space="0" w:color="auto"/>
            </w:tcBorders>
          </w:tcPr>
          <w:p w14:paraId="67DABA6E" w14:textId="77777777" w:rsidR="002643B0" w:rsidRPr="00B44B19" w:rsidRDefault="002643B0" w:rsidP="008A4063">
            <w:pPr>
              <w:spacing w:after="0" w:line="240" w:lineRule="auto"/>
              <w:rPr>
                <w:rFonts w:cs="Times New Roman"/>
                <w:b/>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4D2EEBB2" w14:textId="77777777" w:rsidR="002643B0" w:rsidRPr="00B44B19" w:rsidRDefault="00FD6387" w:rsidP="008A4063">
            <w:pPr>
              <w:spacing w:after="0" w:line="240" w:lineRule="auto"/>
              <w:jc w:val="center"/>
              <w:rPr>
                <w:rFonts w:cs="Times New Roman"/>
                <w:sz w:val="16"/>
                <w:szCs w:val="16"/>
              </w:rPr>
            </w:pPr>
            <w:r w:rsidRPr="00B44B19">
              <w:rPr>
                <w:rFonts w:cs="Times New Roman"/>
                <w:sz w:val="16"/>
                <w:szCs w:val="16"/>
              </w:rPr>
              <w:t>336</w:t>
            </w:r>
          </w:p>
        </w:tc>
        <w:tc>
          <w:tcPr>
            <w:tcW w:w="570" w:type="pct"/>
            <w:tcBorders>
              <w:top w:val="single" w:sz="4" w:space="0" w:color="auto"/>
              <w:left w:val="single" w:sz="4" w:space="0" w:color="auto"/>
              <w:bottom w:val="single" w:sz="4" w:space="0" w:color="auto"/>
              <w:right w:val="single" w:sz="4" w:space="0" w:color="auto"/>
            </w:tcBorders>
          </w:tcPr>
          <w:p w14:paraId="1C14EE6C" w14:textId="7D5C2B0C" w:rsidR="002643B0" w:rsidRPr="00B44B19" w:rsidRDefault="007A01DE" w:rsidP="00363F41">
            <w:pPr>
              <w:spacing w:after="0" w:line="240" w:lineRule="auto"/>
              <w:jc w:val="center"/>
              <w:rPr>
                <w:rFonts w:cs="Times New Roman"/>
                <w:noProof/>
                <w:sz w:val="16"/>
                <w:szCs w:val="16"/>
              </w:rPr>
            </w:pPr>
            <w:r w:rsidRPr="00B44B19">
              <w:rPr>
                <w:rFonts w:cs="Times New Roman"/>
                <w:noProof/>
                <w:sz w:val="16"/>
                <w:szCs w:val="16"/>
              </w:rPr>
              <w:t>1 123</w:t>
            </w:r>
          </w:p>
        </w:tc>
      </w:tr>
      <w:tr w:rsidR="007A01DE" w:rsidRPr="00B44B19" w14:paraId="3234ACD6" w14:textId="77777777" w:rsidTr="00D27D25">
        <w:trPr>
          <w:trHeight w:val="238"/>
        </w:trPr>
        <w:tc>
          <w:tcPr>
            <w:tcW w:w="499" w:type="pct"/>
            <w:vMerge/>
            <w:tcBorders>
              <w:left w:val="single" w:sz="4" w:space="0" w:color="auto"/>
              <w:bottom w:val="single" w:sz="4" w:space="0" w:color="auto"/>
              <w:right w:val="single" w:sz="4" w:space="0" w:color="auto"/>
            </w:tcBorders>
            <w:vAlign w:val="center"/>
          </w:tcPr>
          <w:p w14:paraId="4C56C6FF" w14:textId="77777777" w:rsidR="007A01DE" w:rsidRPr="00B44B19" w:rsidRDefault="007A01DE" w:rsidP="007A01DE">
            <w:pPr>
              <w:spacing w:after="0" w:line="240" w:lineRule="auto"/>
              <w:jc w:val="center"/>
              <w:rPr>
                <w:rFonts w:cs="Times New Roman"/>
                <w:b/>
                <w:noProof/>
                <w:sz w:val="16"/>
                <w:szCs w:val="16"/>
              </w:rPr>
            </w:pPr>
          </w:p>
        </w:tc>
        <w:tc>
          <w:tcPr>
            <w:tcW w:w="501" w:type="pct"/>
            <w:vMerge/>
            <w:tcBorders>
              <w:left w:val="single" w:sz="4" w:space="0" w:color="auto"/>
              <w:bottom w:val="single" w:sz="4" w:space="0" w:color="auto"/>
              <w:right w:val="single" w:sz="4" w:space="0" w:color="auto"/>
            </w:tcBorders>
            <w:vAlign w:val="center"/>
          </w:tcPr>
          <w:p w14:paraId="381CF735" w14:textId="77777777" w:rsidR="007A01DE" w:rsidRPr="00B44B19" w:rsidRDefault="007A01DE" w:rsidP="007A01DE">
            <w:pPr>
              <w:spacing w:after="0" w:line="240" w:lineRule="auto"/>
              <w:jc w:val="center"/>
              <w:rPr>
                <w:rFonts w:cs="Times New Roman"/>
                <w:b/>
                <w:noProof/>
                <w:sz w:val="16"/>
                <w:szCs w:val="16"/>
              </w:rPr>
            </w:pPr>
          </w:p>
        </w:tc>
        <w:tc>
          <w:tcPr>
            <w:tcW w:w="431" w:type="pct"/>
            <w:vMerge/>
            <w:tcBorders>
              <w:left w:val="single" w:sz="4" w:space="0" w:color="auto"/>
              <w:bottom w:val="single" w:sz="4" w:space="0" w:color="auto"/>
              <w:right w:val="single" w:sz="4" w:space="0" w:color="auto"/>
            </w:tcBorders>
            <w:vAlign w:val="center"/>
          </w:tcPr>
          <w:p w14:paraId="4A448C89" w14:textId="77777777" w:rsidR="007A01DE" w:rsidRPr="00B44B19" w:rsidRDefault="007A01DE" w:rsidP="007A01DE">
            <w:pPr>
              <w:spacing w:after="0" w:line="240" w:lineRule="auto"/>
              <w:jc w:val="center"/>
              <w:rPr>
                <w:rFonts w:cs="Times New Roman"/>
                <w:b/>
                <w:noProof/>
                <w:sz w:val="16"/>
                <w:szCs w:val="16"/>
              </w:rPr>
            </w:pPr>
          </w:p>
        </w:tc>
        <w:tc>
          <w:tcPr>
            <w:tcW w:w="502" w:type="pct"/>
            <w:tcBorders>
              <w:left w:val="single" w:sz="4" w:space="0" w:color="auto"/>
              <w:right w:val="single" w:sz="4" w:space="0" w:color="auto"/>
            </w:tcBorders>
            <w:vAlign w:val="center"/>
          </w:tcPr>
          <w:p w14:paraId="42D04D45" w14:textId="0271F75A" w:rsidR="007A01DE" w:rsidRPr="00B44B19" w:rsidRDefault="007A01DE" w:rsidP="007A01DE">
            <w:pPr>
              <w:spacing w:after="0" w:line="240" w:lineRule="auto"/>
              <w:rPr>
                <w:rFonts w:cs="Times New Roman"/>
                <w:noProof/>
                <w:sz w:val="16"/>
                <w:szCs w:val="16"/>
                <w:lang w:val="en-US"/>
              </w:rPr>
            </w:pPr>
            <w:r w:rsidRPr="00B44B19">
              <w:rPr>
                <w:rFonts w:eastAsia="Times New Roman" w:cs="Times New Roman"/>
                <w:iCs/>
                <w:noProof/>
                <w:sz w:val="16"/>
                <w:szCs w:val="16"/>
              </w:rPr>
              <w:t>Sostinės regionas</w:t>
            </w:r>
          </w:p>
        </w:tc>
        <w:tc>
          <w:tcPr>
            <w:tcW w:w="646" w:type="pct"/>
            <w:tcBorders>
              <w:top w:val="single" w:sz="4" w:space="0" w:color="auto"/>
              <w:left w:val="single" w:sz="4" w:space="0" w:color="auto"/>
              <w:bottom w:val="single" w:sz="4" w:space="0" w:color="auto"/>
              <w:right w:val="single" w:sz="4" w:space="0" w:color="auto"/>
            </w:tcBorders>
          </w:tcPr>
          <w:p w14:paraId="4C312050" w14:textId="692AD969" w:rsidR="007A01DE" w:rsidRPr="00B44B19" w:rsidRDefault="007A01DE" w:rsidP="007A01DE">
            <w:pPr>
              <w:spacing w:after="0" w:line="240" w:lineRule="auto"/>
              <w:rPr>
                <w:rFonts w:cs="Times New Roman"/>
                <w:sz w:val="16"/>
                <w:szCs w:val="16"/>
              </w:rPr>
            </w:pPr>
            <w:r w:rsidRPr="00B44B19">
              <w:rPr>
                <w:rFonts w:cs="Times New Roman"/>
                <w:sz w:val="16"/>
                <w:szCs w:val="16"/>
              </w:rPr>
              <w:t>RCO05</w:t>
            </w:r>
          </w:p>
        </w:tc>
        <w:tc>
          <w:tcPr>
            <w:tcW w:w="791" w:type="pct"/>
            <w:tcBorders>
              <w:top w:val="single" w:sz="4" w:space="0" w:color="auto"/>
              <w:left w:val="single" w:sz="4" w:space="0" w:color="auto"/>
              <w:bottom w:val="single" w:sz="4" w:space="0" w:color="auto"/>
              <w:right w:val="single" w:sz="4" w:space="0" w:color="auto"/>
            </w:tcBorders>
          </w:tcPr>
          <w:p w14:paraId="13B18B83" w14:textId="2BE3874F" w:rsidR="007A01DE" w:rsidRPr="00B44B19" w:rsidRDefault="007A01DE" w:rsidP="007A01DE">
            <w:pPr>
              <w:spacing w:after="0" w:line="240" w:lineRule="auto"/>
              <w:rPr>
                <w:rFonts w:cs="Times New Roman"/>
                <w:sz w:val="16"/>
                <w:szCs w:val="16"/>
              </w:rPr>
            </w:pPr>
            <w:r w:rsidRPr="00B44B19">
              <w:rPr>
                <w:rFonts w:cs="Times New Roman"/>
                <w:sz w:val="16"/>
                <w:szCs w:val="16"/>
              </w:rPr>
              <w:t>Paramą gavusios naujos įmonės</w:t>
            </w:r>
          </w:p>
        </w:tc>
        <w:tc>
          <w:tcPr>
            <w:tcW w:w="606" w:type="pct"/>
            <w:tcBorders>
              <w:top w:val="single" w:sz="4" w:space="0" w:color="auto"/>
              <w:left w:val="single" w:sz="4" w:space="0" w:color="auto"/>
              <w:bottom w:val="single" w:sz="4" w:space="0" w:color="auto"/>
              <w:right w:val="single" w:sz="4" w:space="0" w:color="auto"/>
            </w:tcBorders>
          </w:tcPr>
          <w:p w14:paraId="1D41CA07" w14:textId="52CABD56" w:rsidR="007A01DE" w:rsidRPr="00B44B19" w:rsidRDefault="007A01DE" w:rsidP="007A01DE">
            <w:pPr>
              <w:spacing w:after="0" w:line="240" w:lineRule="auto"/>
              <w:rPr>
                <w:rFonts w:cs="Times New Roman"/>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7FF0332C" w14:textId="46CE6BB3" w:rsidR="007A01DE" w:rsidRPr="00B44B19" w:rsidRDefault="007A01DE" w:rsidP="007A01DE">
            <w:pPr>
              <w:spacing w:after="0" w:line="240" w:lineRule="auto"/>
              <w:jc w:val="center"/>
              <w:rPr>
                <w:rFonts w:cs="Times New Roman"/>
                <w:sz w:val="16"/>
                <w:szCs w:val="16"/>
              </w:rPr>
            </w:pPr>
            <w:r w:rsidRPr="00B44B19">
              <w:rPr>
                <w:rFonts w:cs="Times New Roman"/>
                <w:sz w:val="16"/>
                <w:szCs w:val="16"/>
              </w:rPr>
              <w:t>0</w:t>
            </w:r>
          </w:p>
        </w:tc>
        <w:tc>
          <w:tcPr>
            <w:tcW w:w="570" w:type="pct"/>
            <w:tcBorders>
              <w:top w:val="single" w:sz="4" w:space="0" w:color="auto"/>
              <w:left w:val="single" w:sz="4" w:space="0" w:color="auto"/>
              <w:bottom w:val="single" w:sz="4" w:space="0" w:color="auto"/>
              <w:right w:val="single" w:sz="4" w:space="0" w:color="auto"/>
            </w:tcBorders>
          </w:tcPr>
          <w:p w14:paraId="3CE82DE0" w14:textId="78069B99" w:rsidR="007A01DE" w:rsidRPr="00B44B19" w:rsidDel="007A01DE" w:rsidRDefault="007A01DE" w:rsidP="007A01DE">
            <w:pPr>
              <w:spacing w:after="0" w:line="240" w:lineRule="auto"/>
              <w:jc w:val="center"/>
              <w:rPr>
                <w:rFonts w:cs="Times New Roman"/>
                <w:noProof/>
                <w:sz w:val="16"/>
                <w:szCs w:val="16"/>
              </w:rPr>
            </w:pPr>
            <w:r w:rsidRPr="00B44B19">
              <w:rPr>
                <w:rFonts w:cs="Times New Roman"/>
                <w:noProof/>
                <w:sz w:val="16"/>
                <w:szCs w:val="16"/>
              </w:rPr>
              <w:t>85</w:t>
            </w:r>
          </w:p>
        </w:tc>
      </w:tr>
      <w:tr w:rsidR="007A01DE" w:rsidRPr="00B44B19" w14:paraId="680D6EED" w14:textId="77777777" w:rsidTr="00D27D25">
        <w:trPr>
          <w:trHeight w:val="238"/>
        </w:trPr>
        <w:tc>
          <w:tcPr>
            <w:tcW w:w="499" w:type="pct"/>
            <w:vMerge/>
            <w:tcBorders>
              <w:left w:val="single" w:sz="4" w:space="0" w:color="auto"/>
              <w:bottom w:val="single" w:sz="4" w:space="0" w:color="auto"/>
              <w:right w:val="single" w:sz="4" w:space="0" w:color="auto"/>
            </w:tcBorders>
            <w:vAlign w:val="center"/>
          </w:tcPr>
          <w:p w14:paraId="52A73526" w14:textId="77777777" w:rsidR="007A01DE" w:rsidRPr="00B44B19" w:rsidRDefault="007A01DE" w:rsidP="007A01DE">
            <w:pPr>
              <w:spacing w:after="0" w:line="240" w:lineRule="auto"/>
              <w:jc w:val="center"/>
              <w:rPr>
                <w:rFonts w:cs="Times New Roman"/>
                <w:b/>
                <w:noProof/>
                <w:sz w:val="16"/>
                <w:szCs w:val="16"/>
              </w:rPr>
            </w:pPr>
          </w:p>
        </w:tc>
        <w:tc>
          <w:tcPr>
            <w:tcW w:w="501" w:type="pct"/>
            <w:vMerge/>
            <w:tcBorders>
              <w:left w:val="single" w:sz="4" w:space="0" w:color="auto"/>
              <w:bottom w:val="single" w:sz="4" w:space="0" w:color="auto"/>
              <w:right w:val="single" w:sz="4" w:space="0" w:color="auto"/>
            </w:tcBorders>
            <w:vAlign w:val="center"/>
          </w:tcPr>
          <w:p w14:paraId="73AEC73F" w14:textId="77777777" w:rsidR="007A01DE" w:rsidRPr="00B44B19" w:rsidRDefault="007A01DE" w:rsidP="007A01DE">
            <w:pPr>
              <w:spacing w:after="0" w:line="240" w:lineRule="auto"/>
              <w:jc w:val="center"/>
              <w:rPr>
                <w:rFonts w:cs="Times New Roman"/>
                <w:b/>
                <w:noProof/>
                <w:sz w:val="16"/>
                <w:szCs w:val="16"/>
              </w:rPr>
            </w:pPr>
          </w:p>
        </w:tc>
        <w:tc>
          <w:tcPr>
            <w:tcW w:w="431" w:type="pct"/>
            <w:vMerge/>
            <w:tcBorders>
              <w:left w:val="single" w:sz="4" w:space="0" w:color="auto"/>
              <w:bottom w:val="single" w:sz="4" w:space="0" w:color="auto"/>
              <w:right w:val="single" w:sz="4" w:space="0" w:color="auto"/>
            </w:tcBorders>
            <w:vAlign w:val="center"/>
          </w:tcPr>
          <w:p w14:paraId="131EB0EE" w14:textId="77777777" w:rsidR="007A01DE" w:rsidRPr="00B44B19" w:rsidRDefault="007A01DE" w:rsidP="007A01DE">
            <w:pPr>
              <w:spacing w:after="0" w:line="240" w:lineRule="auto"/>
              <w:jc w:val="center"/>
              <w:rPr>
                <w:rFonts w:cs="Times New Roman"/>
                <w:b/>
                <w:noProof/>
                <w:sz w:val="16"/>
                <w:szCs w:val="16"/>
              </w:rPr>
            </w:pPr>
          </w:p>
        </w:tc>
        <w:tc>
          <w:tcPr>
            <w:tcW w:w="502" w:type="pct"/>
            <w:tcBorders>
              <w:left w:val="single" w:sz="4" w:space="0" w:color="auto"/>
              <w:bottom w:val="single" w:sz="4" w:space="0" w:color="auto"/>
              <w:right w:val="single" w:sz="4" w:space="0" w:color="auto"/>
            </w:tcBorders>
            <w:vAlign w:val="center"/>
          </w:tcPr>
          <w:p w14:paraId="1B764373" w14:textId="77777777" w:rsidR="007A01DE" w:rsidRPr="00B44B19" w:rsidRDefault="007A01DE" w:rsidP="007A01DE">
            <w:pPr>
              <w:spacing w:after="0" w:line="240" w:lineRule="auto"/>
              <w:rPr>
                <w:rFonts w:cs="Times New Roman"/>
                <w:noProof/>
                <w:sz w:val="16"/>
                <w:szCs w:val="16"/>
                <w:lang w:val="en-US"/>
              </w:rPr>
            </w:pPr>
            <w:r w:rsidRPr="00B44B19">
              <w:rPr>
                <w:rFonts w:cs="Times New Roman"/>
                <w:noProof/>
                <w:sz w:val="16"/>
                <w:szCs w:val="16"/>
                <w:lang w:val="en-US"/>
              </w:rPr>
              <w:t>VVL regionas</w:t>
            </w:r>
          </w:p>
        </w:tc>
        <w:tc>
          <w:tcPr>
            <w:tcW w:w="646" w:type="pct"/>
            <w:tcBorders>
              <w:top w:val="single" w:sz="4" w:space="0" w:color="auto"/>
              <w:left w:val="single" w:sz="4" w:space="0" w:color="auto"/>
              <w:bottom w:val="single" w:sz="4" w:space="0" w:color="auto"/>
              <w:right w:val="single" w:sz="4" w:space="0" w:color="auto"/>
            </w:tcBorders>
          </w:tcPr>
          <w:p w14:paraId="230653F8" w14:textId="77777777" w:rsidR="007A01DE" w:rsidRPr="00B44B19" w:rsidRDefault="007A01DE" w:rsidP="007A01DE">
            <w:pPr>
              <w:spacing w:after="0" w:line="240" w:lineRule="auto"/>
              <w:rPr>
                <w:rFonts w:cs="Times New Roman"/>
                <w:sz w:val="16"/>
                <w:szCs w:val="16"/>
              </w:rPr>
            </w:pPr>
            <w:r w:rsidRPr="00B44B19">
              <w:rPr>
                <w:rFonts w:cs="Times New Roman"/>
                <w:sz w:val="16"/>
                <w:szCs w:val="16"/>
              </w:rPr>
              <w:t>RCO05</w:t>
            </w:r>
          </w:p>
        </w:tc>
        <w:tc>
          <w:tcPr>
            <w:tcW w:w="791" w:type="pct"/>
            <w:tcBorders>
              <w:top w:val="single" w:sz="4" w:space="0" w:color="auto"/>
              <w:left w:val="single" w:sz="4" w:space="0" w:color="auto"/>
              <w:bottom w:val="single" w:sz="4" w:space="0" w:color="auto"/>
              <w:right w:val="single" w:sz="4" w:space="0" w:color="auto"/>
            </w:tcBorders>
          </w:tcPr>
          <w:p w14:paraId="44D0059E" w14:textId="77777777" w:rsidR="007A01DE" w:rsidRPr="00B44B19" w:rsidRDefault="007A01DE" w:rsidP="007A01DE">
            <w:pPr>
              <w:spacing w:after="0" w:line="240" w:lineRule="auto"/>
              <w:rPr>
                <w:rFonts w:cs="Times New Roman"/>
                <w:sz w:val="16"/>
                <w:szCs w:val="16"/>
              </w:rPr>
            </w:pPr>
            <w:r w:rsidRPr="00B44B19">
              <w:rPr>
                <w:rFonts w:cs="Times New Roman"/>
                <w:sz w:val="16"/>
                <w:szCs w:val="16"/>
              </w:rPr>
              <w:t>Paramą gavusios naujos įmonės</w:t>
            </w:r>
          </w:p>
        </w:tc>
        <w:tc>
          <w:tcPr>
            <w:tcW w:w="606" w:type="pct"/>
            <w:tcBorders>
              <w:top w:val="single" w:sz="4" w:space="0" w:color="auto"/>
              <w:left w:val="single" w:sz="4" w:space="0" w:color="auto"/>
              <w:bottom w:val="single" w:sz="4" w:space="0" w:color="auto"/>
              <w:right w:val="single" w:sz="4" w:space="0" w:color="auto"/>
            </w:tcBorders>
          </w:tcPr>
          <w:p w14:paraId="7B7464E6" w14:textId="77777777" w:rsidR="007A01DE" w:rsidRPr="00B44B19" w:rsidRDefault="007A01DE" w:rsidP="007A01DE">
            <w:pPr>
              <w:spacing w:after="0" w:line="240" w:lineRule="auto"/>
              <w:rPr>
                <w:rFonts w:cs="Times New Roman"/>
                <w:b/>
                <w:noProof/>
                <w:sz w:val="16"/>
                <w:szCs w:val="16"/>
              </w:rPr>
            </w:pPr>
            <w:r w:rsidRPr="00B44B19">
              <w:rPr>
                <w:rFonts w:cs="Times New Roman"/>
                <w:noProof/>
                <w:sz w:val="16"/>
                <w:szCs w:val="16"/>
              </w:rPr>
              <w:t>Įmonės</w:t>
            </w:r>
          </w:p>
        </w:tc>
        <w:tc>
          <w:tcPr>
            <w:tcW w:w="455" w:type="pct"/>
            <w:tcBorders>
              <w:top w:val="single" w:sz="4" w:space="0" w:color="auto"/>
              <w:left w:val="single" w:sz="4" w:space="0" w:color="auto"/>
              <w:bottom w:val="single" w:sz="4" w:space="0" w:color="auto"/>
              <w:right w:val="single" w:sz="4" w:space="0" w:color="auto"/>
            </w:tcBorders>
          </w:tcPr>
          <w:p w14:paraId="3B4FB7FA" w14:textId="77777777" w:rsidR="007A01DE" w:rsidRPr="00B44B19" w:rsidRDefault="007A01DE" w:rsidP="007A01DE">
            <w:pPr>
              <w:spacing w:after="0" w:line="240" w:lineRule="auto"/>
              <w:jc w:val="center"/>
              <w:rPr>
                <w:rFonts w:cs="Times New Roman"/>
                <w:sz w:val="16"/>
                <w:szCs w:val="16"/>
              </w:rPr>
            </w:pPr>
            <w:r w:rsidRPr="00B44B19">
              <w:rPr>
                <w:rFonts w:cs="Times New Roman"/>
                <w:sz w:val="16"/>
                <w:szCs w:val="16"/>
              </w:rPr>
              <w:t>114</w:t>
            </w:r>
          </w:p>
        </w:tc>
        <w:tc>
          <w:tcPr>
            <w:tcW w:w="570" w:type="pct"/>
            <w:tcBorders>
              <w:top w:val="single" w:sz="4" w:space="0" w:color="auto"/>
              <w:left w:val="single" w:sz="4" w:space="0" w:color="auto"/>
              <w:bottom w:val="single" w:sz="4" w:space="0" w:color="auto"/>
              <w:right w:val="single" w:sz="4" w:space="0" w:color="auto"/>
            </w:tcBorders>
          </w:tcPr>
          <w:p w14:paraId="7C51C55D" w14:textId="53EC753A" w:rsidR="007A01DE" w:rsidRPr="00B44B19" w:rsidRDefault="007A01DE" w:rsidP="007A01DE">
            <w:pPr>
              <w:spacing w:after="0" w:line="240" w:lineRule="auto"/>
              <w:jc w:val="center"/>
              <w:rPr>
                <w:rFonts w:cs="Times New Roman"/>
                <w:noProof/>
                <w:sz w:val="16"/>
                <w:szCs w:val="16"/>
              </w:rPr>
            </w:pPr>
            <w:r w:rsidRPr="00B44B19">
              <w:rPr>
                <w:rFonts w:cs="Times New Roman"/>
                <w:noProof/>
                <w:sz w:val="16"/>
                <w:szCs w:val="16"/>
              </w:rPr>
              <w:t>1 264</w:t>
            </w:r>
          </w:p>
        </w:tc>
      </w:tr>
    </w:tbl>
    <w:p w14:paraId="66657AE6" w14:textId="77777777" w:rsidR="002A2827" w:rsidRPr="00B44B19" w:rsidRDefault="002A2827" w:rsidP="002A2827">
      <w:pPr>
        <w:spacing w:before="120" w:after="0" w:line="240" w:lineRule="auto"/>
        <w:jc w:val="both"/>
        <w:rPr>
          <w:rFonts w:cs="Times New Roman"/>
          <w:b/>
          <w:noProof/>
          <w:sz w:val="20"/>
        </w:rPr>
        <w:sectPr w:rsidR="002A2827" w:rsidRPr="00B44B19" w:rsidSect="00931C78">
          <w:pgSz w:w="11906" w:h="16838"/>
          <w:pgMar w:top="1276" w:right="567" w:bottom="1134" w:left="1701" w:header="567" w:footer="567" w:gutter="0"/>
          <w:cols w:space="1296"/>
          <w:docGrid w:linePitch="360"/>
        </w:sectPr>
      </w:pPr>
    </w:p>
    <w:p w14:paraId="5E28AC9C" w14:textId="77777777" w:rsidR="002A2827" w:rsidRPr="00B44B19" w:rsidRDefault="002A2827" w:rsidP="002A2827">
      <w:pPr>
        <w:spacing w:before="120" w:after="0" w:line="240" w:lineRule="auto"/>
        <w:jc w:val="both"/>
        <w:rPr>
          <w:rFonts w:eastAsia="Times New Roman" w:cs="Times New Roman"/>
          <w:b/>
          <w:iCs/>
          <w:noProof/>
          <w:szCs w:val="24"/>
          <w:lang w:eastAsia="lt-LT" w:bidi="lt-LT"/>
        </w:rPr>
      </w:pPr>
      <w:r w:rsidRPr="00B44B19">
        <w:rPr>
          <w:rFonts w:cs="Times New Roman"/>
          <w:b/>
          <w:noProof/>
          <w:sz w:val="20"/>
        </w:rPr>
        <w:lastRenderedPageBreak/>
        <w:t>3 lentelė. 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3"/>
        <w:gridCol w:w="1275"/>
        <w:gridCol w:w="2694"/>
        <w:gridCol w:w="1134"/>
        <w:gridCol w:w="992"/>
        <w:gridCol w:w="1134"/>
        <w:gridCol w:w="1276"/>
        <w:gridCol w:w="1134"/>
        <w:gridCol w:w="850"/>
      </w:tblGrid>
      <w:tr w:rsidR="00681418" w:rsidRPr="00B44B19" w14:paraId="6BA85595" w14:textId="77777777" w:rsidTr="004952F4">
        <w:trPr>
          <w:trHeight w:val="1029"/>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72BB74"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8E48BA"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88DD83"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A6D18B"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C18B00"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26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FE601B"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B9D53C"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362814"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AC5379"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0AF205"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Siek</w:t>
            </w:r>
            <w:r w:rsidR="00F87F0A" w:rsidRPr="00B44B19">
              <w:rPr>
                <w:rFonts w:cs="Times New Roman"/>
                <w:b/>
                <w:noProof/>
                <w:sz w:val="16"/>
                <w:szCs w:val="16"/>
              </w:rPr>
              <w:t>tina reikšmė</w:t>
            </w:r>
            <w:r w:rsidRPr="00B44B19">
              <w:rPr>
                <w:rFonts w:cs="Times New Roman"/>
                <w:b/>
                <w:noProof/>
                <w:sz w:val="16"/>
                <w:szCs w:val="16"/>
              </w:rPr>
              <w:t>(2029 m.)</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F371FA" w14:textId="77777777" w:rsidR="00681418" w:rsidRPr="00B44B19" w:rsidRDefault="00681418" w:rsidP="008A4063">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683439" w14:textId="77777777" w:rsidR="00681418" w:rsidRPr="00B44B19" w:rsidRDefault="00681418" w:rsidP="008A4063">
            <w:pPr>
              <w:tabs>
                <w:tab w:val="left" w:pos="394"/>
              </w:tabs>
              <w:spacing w:after="0" w:line="240" w:lineRule="auto"/>
              <w:jc w:val="center"/>
              <w:rPr>
                <w:rFonts w:cs="Times New Roman"/>
                <w:b/>
                <w:noProof/>
                <w:sz w:val="16"/>
                <w:szCs w:val="16"/>
              </w:rPr>
            </w:pPr>
            <w:r w:rsidRPr="00B44B19">
              <w:rPr>
                <w:rFonts w:cs="Times New Roman"/>
                <w:b/>
                <w:noProof/>
                <w:sz w:val="16"/>
                <w:szCs w:val="16"/>
              </w:rPr>
              <w:t>Pastabos</w:t>
            </w:r>
          </w:p>
        </w:tc>
      </w:tr>
      <w:tr w:rsidR="00E4429F" w:rsidRPr="00B44B19" w14:paraId="551E7EB0" w14:textId="77777777" w:rsidTr="003040E3">
        <w:trPr>
          <w:trHeight w:val="286"/>
        </w:trPr>
        <w:tc>
          <w:tcPr>
            <w:tcW w:w="1101" w:type="dxa"/>
            <w:vMerge w:val="restart"/>
            <w:tcBorders>
              <w:top w:val="single" w:sz="12" w:space="0" w:color="auto"/>
            </w:tcBorders>
          </w:tcPr>
          <w:p w14:paraId="5A4CCFD5" w14:textId="36C2F87E" w:rsidR="00E4429F" w:rsidRPr="00B44B19" w:rsidRDefault="00E4429F" w:rsidP="00E4429F">
            <w:pPr>
              <w:spacing w:after="0" w:line="240" w:lineRule="auto"/>
              <w:jc w:val="both"/>
              <w:rPr>
                <w:rFonts w:eastAsia="Times New Roman" w:cs="Times New Roman"/>
                <w:noProof/>
                <w:sz w:val="16"/>
                <w:szCs w:val="16"/>
              </w:rPr>
            </w:pPr>
            <w:r w:rsidRPr="00B44B19">
              <w:rPr>
                <w:rFonts w:eastAsia="Times New Roman" w:cs="Times New Roman"/>
                <w:noProof/>
                <w:sz w:val="16"/>
                <w:szCs w:val="16"/>
              </w:rPr>
              <w:t>1. Pažangesnė Lietuva</w:t>
            </w:r>
          </w:p>
        </w:tc>
        <w:tc>
          <w:tcPr>
            <w:tcW w:w="992" w:type="dxa"/>
            <w:vMerge w:val="restart"/>
            <w:tcBorders>
              <w:top w:val="single" w:sz="12" w:space="0" w:color="auto"/>
            </w:tcBorders>
          </w:tcPr>
          <w:p w14:paraId="4FCE149D" w14:textId="6BE17582" w:rsidR="00E4429F" w:rsidRPr="00B44B19" w:rsidRDefault="00E4429F" w:rsidP="00E4429F">
            <w:pPr>
              <w:spacing w:after="0" w:line="240" w:lineRule="auto"/>
              <w:jc w:val="both"/>
              <w:rPr>
                <w:rFonts w:eastAsia="Times New Roman" w:cs="Times New Roman"/>
                <w:noProof/>
                <w:sz w:val="16"/>
                <w:szCs w:val="16"/>
              </w:rPr>
            </w:pPr>
            <w:r w:rsidRPr="00B44B19">
              <w:rPr>
                <w:rFonts w:eastAsia="Times New Roman" w:cs="Times New Roman"/>
                <w:noProof/>
                <w:sz w:val="16"/>
                <w:szCs w:val="16"/>
              </w:rPr>
              <w:t>1.3</w:t>
            </w:r>
          </w:p>
        </w:tc>
        <w:tc>
          <w:tcPr>
            <w:tcW w:w="850" w:type="dxa"/>
            <w:vMerge w:val="restart"/>
            <w:tcBorders>
              <w:top w:val="single" w:sz="12" w:space="0" w:color="auto"/>
            </w:tcBorders>
          </w:tcPr>
          <w:p w14:paraId="2FF9BD01" w14:textId="4230A7F3" w:rsidR="00E4429F" w:rsidRPr="00B44B19" w:rsidRDefault="00E4429F" w:rsidP="00E4429F">
            <w:pPr>
              <w:spacing w:after="0" w:line="240" w:lineRule="auto"/>
              <w:jc w:val="both"/>
              <w:rPr>
                <w:rFonts w:eastAsia="Times New Roman" w:cs="Times New Roman"/>
                <w:noProof/>
                <w:sz w:val="16"/>
                <w:szCs w:val="16"/>
              </w:rPr>
            </w:pPr>
            <w:r w:rsidRPr="00B44B19">
              <w:rPr>
                <w:rFonts w:eastAsia="Times New Roman" w:cs="Times New Roman"/>
                <w:noProof/>
                <w:sz w:val="16"/>
                <w:szCs w:val="16"/>
              </w:rPr>
              <w:t>ERPF</w:t>
            </w:r>
          </w:p>
        </w:tc>
        <w:tc>
          <w:tcPr>
            <w:tcW w:w="993" w:type="dxa"/>
            <w:tcBorders>
              <w:top w:val="single" w:sz="12" w:space="0" w:color="auto"/>
              <w:bottom w:val="single" w:sz="4" w:space="0" w:color="auto"/>
            </w:tcBorders>
          </w:tcPr>
          <w:p w14:paraId="1AD48D68" w14:textId="5A6D44B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Borders>
              <w:top w:val="single" w:sz="12" w:space="0" w:color="auto"/>
              <w:bottom w:val="single" w:sz="4" w:space="0" w:color="auto"/>
            </w:tcBorders>
          </w:tcPr>
          <w:p w14:paraId="6741918A" w14:textId="2CF1F3BA" w:rsidR="00E4429F" w:rsidRPr="00B44B19" w:rsidRDefault="00E4429F" w:rsidP="00E4429F">
            <w:pPr>
              <w:spacing w:after="0" w:line="240" w:lineRule="auto"/>
              <w:jc w:val="both"/>
              <w:rPr>
                <w:rFonts w:cs="Times New Roman"/>
                <w:sz w:val="16"/>
                <w:szCs w:val="16"/>
                <w:lang w:eastAsia="en-GB"/>
              </w:rPr>
            </w:pPr>
            <w:r w:rsidRPr="00B44B19">
              <w:rPr>
                <w:rFonts w:cs="Times New Roman"/>
                <w:sz w:val="16"/>
                <w:szCs w:val="16"/>
                <w:lang w:eastAsia="en-GB"/>
              </w:rPr>
              <w:t>RCR01</w:t>
            </w:r>
          </w:p>
        </w:tc>
        <w:tc>
          <w:tcPr>
            <w:tcW w:w="2694" w:type="dxa"/>
            <w:tcBorders>
              <w:top w:val="single" w:sz="12" w:space="0" w:color="auto"/>
              <w:bottom w:val="single" w:sz="4" w:space="0" w:color="auto"/>
            </w:tcBorders>
          </w:tcPr>
          <w:p w14:paraId="59795544" w14:textId="591FF8D7" w:rsidR="00E4429F" w:rsidRPr="00B44B19" w:rsidRDefault="00E4429F" w:rsidP="00E4429F">
            <w:pPr>
              <w:spacing w:after="0" w:line="240" w:lineRule="auto"/>
              <w:rPr>
                <w:rFonts w:cs="Times New Roman"/>
                <w:sz w:val="16"/>
                <w:szCs w:val="16"/>
              </w:rPr>
            </w:pPr>
            <w:r w:rsidRPr="00B44B19">
              <w:rPr>
                <w:rFonts w:cs="Times New Roman"/>
                <w:sz w:val="16"/>
                <w:szCs w:val="16"/>
              </w:rPr>
              <w:t>Paramą gavusiuose subjektuose sukurtos darbo vietos</w:t>
            </w:r>
          </w:p>
        </w:tc>
        <w:tc>
          <w:tcPr>
            <w:tcW w:w="1134" w:type="dxa"/>
            <w:tcBorders>
              <w:top w:val="single" w:sz="12" w:space="0" w:color="auto"/>
              <w:bottom w:val="single" w:sz="4" w:space="0" w:color="auto"/>
            </w:tcBorders>
          </w:tcPr>
          <w:p w14:paraId="1EC8EE64" w14:textId="3A9A3AE1"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Vienų metų etato ekvivalentai</w:t>
            </w:r>
          </w:p>
        </w:tc>
        <w:tc>
          <w:tcPr>
            <w:tcW w:w="992" w:type="dxa"/>
            <w:tcBorders>
              <w:top w:val="single" w:sz="12" w:space="0" w:color="auto"/>
              <w:bottom w:val="single" w:sz="4" w:space="0" w:color="auto"/>
            </w:tcBorders>
          </w:tcPr>
          <w:p w14:paraId="1D6E4042" w14:textId="49D19D5C"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Borders>
              <w:top w:val="single" w:sz="12" w:space="0" w:color="auto"/>
              <w:bottom w:val="single" w:sz="4" w:space="0" w:color="auto"/>
            </w:tcBorders>
          </w:tcPr>
          <w:p w14:paraId="29A3D3DC" w14:textId="098EA12D"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Borders>
              <w:top w:val="single" w:sz="12" w:space="0" w:color="auto"/>
              <w:bottom w:val="single" w:sz="4" w:space="0" w:color="auto"/>
            </w:tcBorders>
          </w:tcPr>
          <w:p w14:paraId="0D035506" w14:textId="3FC9EB2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28</w:t>
            </w:r>
          </w:p>
        </w:tc>
        <w:tc>
          <w:tcPr>
            <w:tcW w:w="1134" w:type="dxa"/>
            <w:tcBorders>
              <w:top w:val="single" w:sz="12" w:space="0" w:color="auto"/>
              <w:bottom w:val="single" w:sz="4" w:space="0" w:color="auto"/>
            </w:tcBorders>
          </w:tcPr>
          <w:p w14:paraId="53E18033" w14:textId="61908166"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Borders>
              <w:top w:val="single" w:sz="12" w:space="0" w:color="auto"/>
              <w:bottom w:val="single" w:sz="4" w:space="0" w:color="auto"/>
            </w:tcBorders>
          </w:tcPr>
          <w:p w14:paraId="0D000723"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05DAA3F5" w14:textId="77777777" w:rsidTr="003040E3">
        <w:trPr>
          <w:trHeight w:val="286"/>
        </w:trPr>
        <w:tc>
          <w:tcPr>
            <w:tcW w:w="1101" w:type="dxa"/>
            <w:vMerge/>
          </w:tcPr>
          <w:p w14:paraId="33E81E08" w14:textId="2511CBC5" w:rsidR="00E4429F" w:rsidRPr="00B44B19" w:rsidRDefault="00E4429F" w:rsidP="00E4429F">
            <w:pPr>
              <w:spacing w:after="0" w:line="240" w:lineRule="auto"/>
              <w:jc w:val="both"/>
              <w:rPr>
                <w:rFonts w:eastAsia="Times New Roman" w:cs="Times New Roman"/>
                <w:noProof/>
                <w:sz w:val="16"/>
                <w:szCs w:val="16"/>
              </w:rPr>
            </w:pPr>
          </w:p>
        </w:tc>
        <w:tc>
          <w:tcPr>
            <w:tcW w:w="992" w:type="dxa"/>
            <w:vMerge/>
          </w:tcPr>
          <w:p w14:paraId="6AD4D7C5" w14:textId="2EA7868C" w:rsidR="00E4429F" w:rsidRPr="00B44B19" w:rsidRDefault="00E4429F" w:rsidP="00E4429F">
            <w:pPr>
              <w:spacing w:after="0" w:line="240" w:lineRule="auto"/>
              <w:jc w:val="both"/>
              <w:rPr>
                <w:rFonts w:eastAsia="Times New Roman" w:cs="Times New Roman"/>
                <w:noProof/>
                <w:sz w:val="16"/>
                <w:szCs w:val="16"/>
              </w:rPr>
            </w:pPr>
          </w:p>
        </w:tc>
        <w:tc>
          <w:tcPr>
            <w:tcW w:w="850" w:type="dxa"/>
            <w:vMerge/>
          </w:tcPr>
          <w:p w14:paraId="0266899F" w14:textId="4E237AF3" w:rsidR="00E4429F" w:rsidRPr="00B44B19" w:rsidRDefault="00E4429F" w:rsidP="00E4429F">
            <w:pPr>
              <w:spacing w:after="0" w:line="240" w:lineRule="auto"/>
              <w:jc w:val="both"/>
              <w:rPr>
                <w:rFonts w:eastAsia="Times New Roman" w:cs="Times New Roman"/>
                <w:noProof/>
                <w:sz w:val="16"/>
                <w:szCs w:val="16"/>
              </w:rPr>
            </w:pPr>
          </w:p>
        </w:tc>
        <w:tc>
          <w:tcPr>
            <w:tcW w:w="993" w:type="dxa"/>
            <w:tcBorders>
              <w:top w:val="single" w:sz="4" w:space="0" w:color="auto"/>
              <w:bottom w:val="single" w:sz="4" w:space="0" w:color="auto"/>
            </w:tcBorders>
          </w:tcPr>
          <w:p w14:paraId="32BA3F5A" w14:textId="77777777" w:rsidR="00E4429F" w:rsidRPr="00B44B19" w:rsidRDefault="00E4429F" w:rsidP="00E4429F">
            <w:pPr>
              <w:spacing w:after="0" w:line="240" w:lineRule="auto"/>
              <w:jc w:val="both"/>
              <w:rPr>
                <w:rFonts w:cs="Times New Roman"/>
                <w:noProof/>
                <w:sz w:val="16"/>
                <w:szCs w:val="16"/>
              </w:rPr>
            </w:pPr>
            <w:r w:rsidRPr="00B44B19">
              <w:rPr>
                <w:rFonts w:eastAsia="Times New Roman" w:cs="Times New Roman"/>
                <w:sz w:val="16"/>
                <w:szCs w:val="16"/>
                <w:lang w:eastAsia="lt-LT"/>
              </w:rPr>
              <w:t>VVL regionas</w:t>
            </w:r>
          </w:p>
        </w:tc>
        <w:tc>
          <w:tcPr>
            <w:tcW w:w="1275" w:type="dxa"/>
            <w:tcBorders>
              <w:top w:val="single" w:sz="4" w:space="0" w:color="auto"/>
              <w:bottom w:val="single" w:sz="4" w:space="0" w:color="auto"/>
            </w:tcBorders>
          </w:tcPr>
          <w:p w14:paraId="2E1D2814" w14:textId="77777777" w:rsidR="00E4429F" w:rsidRPr="00B44B19" w:rsidRDefault="00E4429F" w:rsidP="00E4429F">
            <w:pPr>
              <w:spacing w:after="0" w:line="240" w:lineRule="auto"/>
              <w:jc w:val="both"/>
              <w:rPr>
                <w:rFonts w:cs="Times New Roman"/>
                <w:noProof/>
                <w:sz w:val="16"/>
                <w:szCs w:val="16"/>
              </w:rPr>
            </w:pPr>
            <w:r w:rsidRPr="00B44B19">
              <w:rPr>
                <w:rFonts w:cs="Times New Roman"/>
                <w:sz w:val="16"/>
                <w:szCs w:val="16"/>
                <w:lang w:eastAsia="en-GB"/>
              </w:rPr>
              <w:t>RCR01</w:t>
            </w:r>
          </w:p>
        </w:tc>
        <w:tc>
          <w:tcPr>
            <w:tcW w:w="2694" w:type="dxa"/>
            <w:tcBorders>
              <w:top w:val="single" w:sz="4" w:space="0" w:color="auto"/>
              <w:bottom w:val="single" w:sz="4" w:space="0" w:color="auto"/>
            </w:tcBorders>
          </w:tcPr>
          <w:p w14:paraId="2F976394"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Paramą gavusiuose subjektuose sukurtos darbo vietos</w:t>
            </w:r>
          </w:p>
        </w:tc>
        <w:tc>
          <w:tcPr>
            <w:tcW w:w="1134" w:type="dxa"/>
            <w:tcBorders>
              <w:top w:val="single" w:sz="4" w:space="0" w:color="auto"/>
              <w:bottom w:val="single" w:sz="4" w:space="0" w:color="auto"/>
            </w:tcBorders>
          </w:tcPr>
          <w:p w14:paraId="5DD3F63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Vienų metų etato ekvivalentai</w:t>
            </w:r>
          </w:p>
        </w:tc>
        <w:tc>
          <w:tcPr>
            <w:tcW w:w="992" w:type="dxa"/>
            <w:tcBorders>
              <w:top w:val="single" w:sz="4" w:space="0" w:color="auto"/>
              <w:bottom w:val="single" w:sz="4" w:space="0" w:color="auto"/>
            </w:tcBorders>
          </w:tcPr>
          <w:p w14:paraId="27996077"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Borders>
              <w:top w:val="single" w:sz="4" w:space="0" w:color="auto"/>
              <w:bottom w:val="single" w:sz="4" w:space="0" w:color="auto"/>
            </w:tcBorders>
          </w:tcPr>
          <w:p w14:paraId="42168FD2"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Borders>
              <w:top w:val="single" w:sz="4" w:space="0" w:color="auto"/>
              <w:bottom w:val="single" w:sz="4" w:space="0" w:color="auto"/>
            </w:tcBorders>
          </w:tcPr>
          <w:p w14:paraId="769835EA" w14:textId="315A144D"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72</w:t>
            </w:r>
          </w:p>
        </w:tc>
        <w:tc>
          <w:tcPr>
            <w:tcW w:w="1134" w:type="dxa"/>
            <w:tcBorders>
              <w:top w:val="single" w:sz="4" w:space="0" w:color="auto"/>
              <w:bottom w:val="single" w:sz="4" w:space="0" w:color="auto"/>
            </w:tcBorders>
          </w:tcPr>
          <w:p w14:paraId="48594EEA"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Borders>
              <w:top w:val="single" w:sz="4" w:space="0" w:color="auto"/>
              <w:bottom w:val="single" w:sz="4" w:space="0" w:color="auto"/>
            </w:tcBorders>
          </w:tcPr>
          <w:p w14:paraId="2535390E"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7B9757CF" w14:textId="77777777" w:rsidTr="004952F4">
        <w:trPr>
          <w:trHeight w:val="286"/>
        </w:trPr>
        <w:tc>
          <w:tcPr>
            <w:tcW w:w="1101" w:type="dxa"/>
            <w:vMerge/>
          </w:tcPr>
          <w:p w14:paraId="2FD0A7A0" w14:textId="77777777" w:rsidR="00E4429F" w:rsidRPr="00B44B19" w:rsidRDefault="00E4429F" w:rsidP="00E4429F">
            <w:pPr>
              <w:spacing w:after="0" w:line="240" w:lineRule="auto"/>
              <w:jc w:val="both"/>
              <w:rPr>
                <w:rFonts w:eastAsia="Times New Roman" w:cs="Times New Roman"/>
                <w:noProof/>
                <w:sz w:val="16"/>
                <w:szCs w:val="16"/>
              </w:rPr>
            </w:pPr>
          </w:p>
        </w:tc>
        <w:tc>
          <w:tcPr>
            <w:tcW w:w="992" w:type="dxa"/>
            <w:vMerge/>
          </w:tcPr>
          <w:p w14:paraId="72BB72BF" w14:textId="77777777" w:rsidR="00E4429F" w:rsidRPr="00B44B19" w:rsidRDefault="00E4429F" w:rsidP="00E4429F">
            <w:pPr>
              <w:spacing w:after="0" w:line="240" w:lineRule="auto"/>
              <w:jc w:val="both"/>
              <w:rPr>
                <w:rFonts w:eastAsia="Times New Roman" w:cs="Times New Roman"/>
                <w:noProof/>
                <w:sz w:val="16"/>
                <w:szCs w:val="16"/>
              </w:rPr>
            </w:pPr>
          </w:p>
        </w:tc>
        <w:tc>
          <w:tcPr>
            <w:tcW w:w="850" w:type="dxa"/>
            <w:vMerge/>
          </w:tcPr>
          <w:p w14:paraId="1C2E107C" w14:textId="77777777" w:rsidR="00E4429F" w:rsidRPr="00B44B19" w:rsidRDefault="00E4429F" w:rsidP="00E4429F">
            <w:pPr>
              <w:spacing w:after="0" w:line="240" w:lineRule="auto"/>
              <w:jc w:val="both"/>
              <w:rPr>
                <w:rFonts w:eastAsia="Times New Roman" w:cs="Times New Roman"/>
                <w:noProof/>
                <w:sz w:val="16"/>
                <w:szCs w:val="16"/>
              </w:rPr>
            </w:pPr>
          </w:p>
        </w:tc>
        <w:tc>
          <w:tcPr>
            <w:tcW w:w="993" w:type="dxa"/>
            <w:tcBorders>
              <w:top w:val="single" w:sz="4" w:space="0" w:color="auto"/>
            </w:tcBorders>
          </w:tcPr>
          <w:p w14:paraId="2E3B2BB5"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Borders>
              <w:top w:val="single" w:sz="4" w:space="0" w:color="auto"/>
            </w:tcBorders>
          </w:tcPr>
          <w:p w14:paraId="2F087D3F" w14:textId="77777777" w:rsidR="00E4429F" w:rsidRPr="00B44B19" w:rsidRDefault="00E4429F" w:rsidP="00E4429F">
            <w:pPr>
              <w:spacing w:after="0" w:line="240" w:lineRule="auto"/>
              <w:jc w:val="both"/>
              <w:rPr>
                <w:rFonts w:cs="Times New Roman"/>
                <w:sz w:val="16"/>
                <w:szCs w:val="16"/>
                <w:lang w:eastAsia="en-GB"/>
              </w:rPr>
            </w:pPr>
            <w:r w:rsidRPr="00B44B19">
              <w:rPr>
                <w:rFonts w:cs="Times New Roman"/>
                <w:noProof/>
                <w:sz w:val="16"/>
                <w:szCs w:val="16"/>
              </w:rPr>
              <w:t>RCR02</w:t>
            </w:r>
          </w:p>
        </w:tc>
        <w:tc>
          <w:tcPr>
            <w:tcW w:w="2694" w:type="dxa"/>
            <w:tcBorders>
              <w:top w:val="single" w:sz="4" w:space="0" w:color="auto"/>
            </w:tcBorders>
          </w:tcPr>
          <w:p w14:paraId="73B9A017"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Privačiosios investicijos, papildančios viešąją paramą (iš kurių: dotacijos, finansinės priemonės)</w:t>
            </w:r>
          </w:p>
        </w:tc>
        <w:tc>
          <w:tcPr>
            <w:tcW w:w="1134" w:type="dxa"/>
            <w:tcBorders>
              <w:top w:val="single" w:sz="4" w:space="0" w:color="auto"/>
            </w:tcBorders>
          </w:tcPr>
          <w:p w14:paraId="333F9A20"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Eurai</w:t>
            </w:r>
          </w:p>
        </w:tc>
        <w:tc>
          <w:tcPr>
            <w:tcW w:w="992" w:type="dxa"/>
            <w:tcBorders>
              <w:top w:val="single" w:sz="4" w:space="0" w:color="auto"/>
            </w:tcBorders>
          </w:tcPr>
          <w:p w14:paraId="2A089C90"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Borders>
              <w:top w:val="single" w:sz="4" w:space="0" w:color="auto"/>
            </w:tcBorders>
          </w:tcPr>
          <w:p w14:paraId="276AF91C"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Borders>
              <w:top w:val="single" w:sz="4" w:space="0" w:color="auto"/>
            </w:tcBorders>
          </w:tcPr>
          <w:p w14:paraId="4DE374DF" w14:textId="67C9ACD4"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34 217 200</w:t>
            </w:r>
          </w:p>
        </w:tc>
        <w:tc>
          <w:tcPr>
            <w:tcW w:w="1134" w:type="dxa"/>
            <w:tcBorders>
              <w:top w:val="single" w:sz="4" w:space="0" w:color="auto"/>
            </w:tcBorders>
          </w:tcPr>
          <w:p w14:paraId="2A0776B7"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Borders>
              <w:top w:val="single" w:sz="4" w:space="0" w:color="auto"/>
            </w:tcBorders>
          </w:tcPr>
          <w:p w14:paraId="7B620CF0"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13D6DC33" w14:textId="77777777" w:rsidTr="004952F4">
        <w:trPr>
          <w:trHeight w:val="286"/>
        </w:trPr>
        <w:tc>
          <w:tcPr>
            <w:tcW w:w="1101" w:type="dxa"/>
            <w:vMerge/>
          </w:tcPr>
          <w:p w14:paraId="78108D84"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2E1201C2"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03DA2C3F" w14:textId="77777777" w:rsidR="00E4429F" w:rsidRPr="00B44B19" w:rsidRDefault="00E4429F" w:rsidP="00E4429F">
            <w:pPr>
              <w:spacing w:after="0" w:line="240" w:lineRule="auto"/>
              <w:jc w:val="both"/>
              <w:rPr>
                <w:rFonts w:cs="Times New Roman"/>
                <w:noProof/>
                <w:sz w:val="16"/>
                <w:szCs w:val="16"/>
              </w:rPr>
            </w:pPr>
          </w:p>
        </w:tc>
        <w:tc>
          <w:tcPr>
            <w:tcW w:w="993" w:type="dxa"/>
          </w:tcPr>
          <w:p w14:paraId="63E02C46" w14:textId="77777777" w:rsidR="00E4429F" w:rsidRPr="00B44B19" w:rsidDel="00E846DE" w:rsidRDefault="00E4429F" w:rsidP="00E4429F">
            <w:pPr>
              <w:spacing w:after="0" w:line="240" w:lineRule="auto"/>
              <w:jc w:val="both"/>
              <w:rPr>
                <w:rFonts w:cs="Times New Roman"/>
                <w:noProof/>
                <w:sz w:val="16"/>
                <w:szCs w:val="16"/>
              </w:rPr>
            </w:pPr>
            <w:r w:rsidRPr="00B44B19">
              <w:rPr>
                <w:rFonts w:eastAsia="Times New Roman" w:cs="Times New Roman"/>
                <w:sz w:val="16"/>
                <w:szCs w:val="16"/>
                <w:lang w:eastAsia="lt-LT"/>
              </w:rPr>
              <w:t>VVL regionas</w:t>
            </w:r>
          </w:p>
        </w:tc>
        <w:tc>
          <w:tcPr>
            <w:tcW w:w="1275" w:type="dxa"/>
          </w:tcPr>
          <w:p w14:paraId="2A0F6CE5"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RCR02</w:t>
            </w:r>
          </w:p>
        </w:tc>
        <w:tc>
          <w:tcPr>
            <w:tcW w:w="2694" w:type="dxa"/>
          </w:tcPr>
          <w:p w14:paraId="2CD16383"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Privačiosios investicijos, papildančios viešąją paramą (iš kurių: dotacijos, finansinės priemonės)</w:t>
            </w:r>
          </w:p>
        </w:tc>
        <w:tc>
          <w:tcPr>
            <w:tcW w:w="1134" w:type="dxa"/>
          </w:tcPr>
          <w:p w14:paraId="77E355A7"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Eurai</w:t>
            </w:r>
          </w:p>
        </w:tc>
        <w:tc>
          <w:tcPr>
            <w:tcW w:w="992" w:type="dxa"/>
          </w:tcPr>
          <w:p w14:paraId="6759E94B"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7F57C55F"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653BD9A0" w14:textId="3EF83F92"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50 912 356</w:t>
            </w:r>
          </w:p>
        </w:tc>
        <w:tc>
          <w:tcPr>
            <w:tcW w:w="1134" w:type="dxa"/>
          </w:tcPr>
          <w:p w14:paraId="4418C2BD"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04F3B0EB"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1AC4303C" w14:textId="77777777" w:rsidTr="004952F4">
        <w:trPr>
          <w:trHeight w:val="286"/>
        </w:trPr>
        <w:tc>
          <w:tcPr>
            <w:tcW w:w="1101" w:type="dxa"/>
            <w:vMerge/>
          </w:tcPr>
          <w:p w14:paraId="34CA462D"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4EF30849"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5C91AD7D" w14:textId="77777777" w:rsidR="00E4429F" w:rsidRPr="00B44B19" w:rsidRDefault="00E4429F" w:rsidP="00E4429F">
            <w:pPr>
              <w:spacing w:after="0" w:line="240" w:lineRule="auto"/>
              <w:jc w:val="both"/>
              <w:rPr>
                <w:rFonts w:cs="Times New Roman"/>
                <w:noProof/>
                <w:sz w:val="16"/>
                <w:szCs w:val="16"/>
              </w:rPr>
            </w:pPr>
          </w:p>
        </w:tc>
        <w:tc>
          <w:tcPr>
            <w:tcW w:w="993" w:type="dxa"/>
          </w:tcPr>
          <w:p w14:paraId="5BB96D80"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Pr>
          <w:p w14:paraId="73AAA03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RCR03</w:t>
            </w:r>
          </w:p>
        </w:tc>
        <w:tc>
          <w:tcPr>
            <w:tcW w:w="2694" w:type="dxa"/>
          </w:tcPr>
          <w:p w14:paraId="73D13A37"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Produktų ar procesų inovacijas diegiančios mažosios ir vidutinės įmonės (MVĮ)</w:t>
            </w:r>
          </w:p>
        </w:tc>
        <w:tc>
          <w:tcPr>
            <w:tcW w:w="1134" w:type="dxa"/>
          </w:tcPr>
          <w:p w14:paraId="3CB340E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Pr>
          <w:p w14:paraId="43CD8734"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3EC8B2F4"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3486050C" w14:textId="54AB95DC"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21</w:t>
            </w:r>
          </w:p>
        </w:tc>
        <w:tc>
          <w:tcPr>
            <w:tcW w:w="1134" w:type="dxa"/>
          </w:tcPr>
          <w:p w14:paraId="147C5F00"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 arba įmonių apklausos</w:t>
            </w:r>
          </w:p>
        </w:tc>
        <w:tc>
          <w:tcPr>
            <w:tcW w:w="850" w:type="dxa"/>
          </w:tcPr>
          <w:p w14:paraId="02553AFA"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6DDD164F" w14:textId="77777777" w:rsidTr="004952F4">
        <w:trPr>
          <w:trHeight w:val="286"/>
        </w:trPr>
        <w:tc>
          <w:tcPr>
            <w:tcW w:w="1101" w:type="dxa"/>
            <w:vMerge/>
          </w:tcPr>
          <w:p w14:paraId="737B361A"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58D77F27"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5E35D0CF" w14:textId="77777777" w:rsidR="00E4429F" w:rsidRPr="00B44B19" w:rsidRDefault="00E4429F" w:rsidP="00E4429F">
            <w:pPr>
              <w:spacing w:after="0" w:line="240" w:lineRule="auto"/>
              <w:jc w:val="both"/>
              <w:rPr>
                <w:rFonts w:cs="Times New Roman"/>
                <w:noProof/>
                <w:sz w:val="16"/>
                <w:szCs w:val="16"/>
              </w:rPr>
            </w:pPr>
          </w:p>
        </w:tc>
        <w:tc>
          <w:tcPr>
            <w:tcW w:w="993" w:type="dxa"/>
          </w:tcPr>
          <w:p w14:paraId="519886A4" w14:textId="77777777" w:rsidR="00E4429F" w:rsidRPr="00B44B19" w:rsidRDefault="00E4429F" w:rsidP="00E4429F">
            <w:pPr>
              <w:spacing w:after="0" w:line="240" w:lineRule="auto"/>
              <w:jc w:val="both"/>
              <w:rPr>
                <w:rFonts w:cs="Times New Roman"/>
                <w:noProof/>
                <w:sz w:val="16"/>
                <w:szCs w:val="16"/>
              </w:rPr>
            </w:pPr>
            <w:r w:rsidRPr="00B44B19">
              <w:rPr>
                <w:rFonts w:eastAsia="Times New Roman" w:cs="Times New Roman"/>
                <w:sz w:val="16"/>
                <w:szCs w:val="16"/>
                <w:lang w:eastAsia="lt-LT"/>
              </w:rPr>
              <w:t>VVL regionas</w:t>
            </w:r>
          </w:p>
        </w:tc>
        <w:tc>
          <w:tcPr>
            <w:tcW w:w="1275" w:type="dxa"/>
          </w:tcPr>
          <w:p w14:paraId="63721B91"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RCR03</w:t>
            </w:r>
          </w:p>
        </w:tc>
        <w:tc>
          <w:tcPr>
            <w:tcW w:w="2694" w:type="dxa"/>
          </w:tcPr>
          <w:p w14:paraId="2B986949"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Produktų ar procesų inovacijas diegiančios mažosios ir vidutinės įmonės (MVĮ)</w:t>
            </w:r>
          </w:p>
        </w:tc>
        <w:tc>
          <w:tcPr>
            <w:tcW w:w="1134" w:type="dxa"/>
          </w:tcPr>
          <w:p w14:paraId="110BE6AC" w14:textId="77777777" w:rsidR="00E4429F" w:rsidRPr="00B44B19" w:rsidRDefault="00E4429F" w:rsidP="00E4429F">
            <w:pPr>
              <w:spacing w:after="0" w:line="240" w:lineRule="auto"/>
              <w:jc w:val="both"/>
              <w:rPr>
                <w:rFonts w:cs="Times New Roman"/>
                <w:i/>
                <w:noProof/>
                <w:sz w:val="16"/>
                <w:szCs w:val="16"/>
              </w:rPr>
            </w:pPr>
            <w:r w:rsidRPr="00B44B19">
              <w:rPr>
                <w:rFonts w:cs="Times New Roman"/>
                <w:noProof/>
                <w:sz w:val="16"/>
                <w:szCs w:val="16"/>
              </w:rPr>
              <w:t>Įmonės</w:t>
            </w:r>
          </w:p>
        </w:tc>
        <w:tc>
          <w:tcPr>
            <w:tcW w:w="992" w:type="dxa"/>
          </w:tcPr>
          <w:p w14:paraId="109CFD19"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71A66CCA"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18A870E1" w14:textId="17CBA2BA"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113</w:t>
            </w:r>
          </w:p>
        </w:tc>
        <w:tc>
          <w:tcPr>
            <w:tcW w:w="1134" w:type="dxa"/>
          </w:tcPr>
          <w:p w14:paraId="10FF2602"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 arba įmonių apklausos</w:t>
            </w:r>
          </w:p>
        </w:tc>
        <w:tc>
          <w:tcPr>
            <w:tcW w:w="850" w:type="dxa"/>
          </w:tcPr>
          <w:p w14:paraId="2761CC08"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7B429062" w14:textId="77777777" w:rsidTr="004952F4">
        <w:trPr>
          <w:trHeight w:val="286"/>
        </w:trPr>
        <w:tc>
          <w:tcPr>
            <w:tcW w:w="1101" w:type="dxa"/>
            <w:vMerge/>
          </w:tcPr>
          <w:p w14:paraId="0C0C1C53"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47A75BC4"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7A785035" w14:textId="77777777" w:rsidR="00E4429F" w:rsidRPr="00B44B19" w:rsidRDefault="00E4429F" w:rsidP="00E4429F">
            <w:pPr>
              <w:spacing w:after="0" w:line="240" w:lineRule="auto"/>
              <w:jc w:val="both"/>
              <w:rPr>
                <w:rFonts w:cs="Times New Roman"/>
                <w:noProof/>
                <w:sz w:val="16"/>
                <w:szCs w:val="16"/>
              </w:rPr>
            </w:pPr>
          </w:p>
        </w:tc>
        <w:tc>
          <w:tcPr>
            <w:tcW w:w="993" w:type="dxa"/>
          </w:tcPr>
          <w:p w14:paraId="74A9F192" w14:textId="26141C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Pr>
          <w:p w14:paraId="36A552AB" w14:textId="6C94DB4B"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RCR17</w:t>
            </w:r>
          </w:p>
        </w:tc>
        <w:tc>
          <w:tcPr>
            <w:tcW w:w="2694" w:type="dxa"/>
          </w:tcPr>
          <w:p w14:paraId="7F6141DC" w14:textId="25ADB2D3" w:rsidR="00E4429F" w:rsidRPr="00B44B19" w:rsidRDefault="00E4429F" w:rsidP="00E4429F">
            <w:pPr>
              <w:spacing w:after="0" w:line="240" w:lineRule="auto"/>
              <w:rPr>
                <w:rFonts w:cs="Times New Roman"/>
                <w:sz w:val="16"/>
                <w:szCs w:val="16"/>
              </w:rPr>
            </w:pPr>
            <w:r w:rsidRPr="00B44B19">
              <w:rPr>
                <w:rFonts w:cs="Times New Roman"/>
                <w:sz w:val="16"/>
                <w:szCs w:val="16"/>
              </w:rPr>
              <w:t>Naujos įmonės, sugebėjusios išlikti rinkoje</w:t>
            </w:r>
          </w:p>
        </w:tc>
        <w:tc>
          <w:tcPr>
            <w:tcW w:w="1134" w:type="dxa"/>
          </w:tcPr>
          <w:p w14:paraId="512889A9" w14:textId="13B215C2"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Pr>
          <w:p w14:paraId="1B35F23C" w14:textId="31F9636F"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7F9AB977" w14:textId="47685664"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6DCA09FB" w14:textId="08C71598"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63</w:t>
            </w:r>
          </w:p>
        </w:tc>
        <w:tc>
          <w:tcPr>
            <w:tcW w:w="1134" w:type="dxa"/>
          </w:tcPr>
          <w:p w14:paraId="7AEDD6D8" w14:textId="589424D6"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115815A2"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56BDF6BC" w14:textId="77777777" w:rsidTr="004952F4">
        <w:trPr>
          <w:trHeight w:val="286"/>
        </w:trPr>
        <w:tc>
          <w:tcPr>
            <w:tcW w:w="1101" w:type="dxa"/>
            <w:vMerge/>
          </w:tcPr>
          <w:p w14:paraId="55ADD8DF"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0965CCBD"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216C2D74" w14:textId="77777777" w:rsidR="00E4429F" w:rsidRPr="00B44B19" w:rsidRDefault="00E4429F" w:rsidP="00E4429F">
            <w:pPr>
              <w:spacing w:after="0" w:line="240" w:lineRule="auto"/>
              <w:jc w:val="both"/>
              <w:rPr>
                <w:rFonts w:cs="Times New Roman"/>
                <w:noProof/>
                <w:sz w:val="16"/>
                <w:szCs w:val="16"/>
              </w:rPr>
            </w:pPr>
          </w:p>
        </w:tc>
        <w:tc>
          <w:tcPr>
            <w:tcW w:w="993" w:type="dxa"/>
          </w:tcPr>
          <w:p w14:paraId="4E1876DC" w14:textId="77777777" w:rsidR="00E4429F" w:rsidRPr="00B44B19" w:rsidRDefault="00E4429F" w:rsidP="00E4429F">
            <w:pPr>
              <w:spacing w:after="0" w:line="240" w:lineRule="auto"/>
              <w:jc w:val="both"/>
              <w:rPr>
                <w:rFonts w:cs="Times New Roman"/>
                <w:noProof/>
                <w:sz w:val="16"/>
                <w:szCs w:val="16"/>
              </w:rPr>
            </w:pPr>
            <w:r w:rsidRPr="00B44B19">
              <w:rPr>
                <w:rFonts w:eastAsia="Times New Roman" w:cs="Times New Roman"/>
                <w:sz w:val="16"/>
                <w:szCs w:val="16"/>
                <w:lang w:eastAsia="lt-LT"/>
              </w:rPr>
              <w:t>VVL regionas</w:t>
            </w:r>
          </w:p>
        </w:tc>
        <w:tc>
          <w:tcPr>
            <w:tcW w:w="1275" w:type="dxa"/>
          </w:tcPr>
          <w:p w14:paraId="1B94A6D9"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RCR17</w:t>
            </w:r>
          </w:p>
        </w:tc>
        <w:tc>
          <w:tcPr>
            <w:tcW w:w="2694" w:type="dxa"/>
          </w:tcPr>
          <w:p w14:paraId="30D18CE7"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Naujos įmonės, sugebėjusios išlikti rinkoje</w:t>
            </w:r>
          </w:p>
        </w:tc>
        <w:tc>
          <w:tcPr>
            <w:tcW w:w="1134" w:type="dxa"/>
          </w:tcPr>
          <w:p w14:paraId="72174AFD" w14:textId="77777777" w:rsidR="00E4429F" w:rsidRPr="00B44B19" w:rsidRDefault="00E4429F" w:rsidP="00E4429F">
            <w:pPr>
              <w:spacing w:after="0" w:line="240" w:lineRule="auto"/>
              <w:jc w:val="both"/>
              <w:rPr>
                <w:rFonts w:cs="Times New Roman"/>
                <w:i/>
                <w:noProof/>
                <w:sz w:val="16"/>
                <w:szCs w:val="16"/>
              </w:rPr>
            </w:pPr>
            <w:r w:rsidRPr="00B44B19">
              <w:rPr>
                <w:rFonts w:cs="Times New Roman"/>
                <w:noProof/>
                <w:sz w:val="16"/>
                <w:szCs w:val="16"/>
              </w:rPr>
              <w:t>Įmonės</w:t>
            </w:r>
          </w:p>
        </w:tc>
        <w:tc>
          <w:tcPr>
            <w:tcW w:w="992" w:type="dxa"/>
          </w:tcPr>
          <w:p w14:paraId="02A4BA49"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048B2511"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6919A689" w14:textId="55A1003F"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771</w:t>
            </w:r>
          </w:p>
        </w:tc>
        <w:tc>
          <w:tcPr>
            <w:tcW w:w="1134" w:type="dxa"/>
          </w:tcPr>
          <w:p w14:paraId="1816D0CC"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3E54D00A"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2EA16818" w14:textId="77777777" w:rsidTr="004952F4">
        <w:trPr>
          <w:trHeight w:val="286"/>
        </w:trPr>
        <w:tc>
          <w:tcPr>
            <w:tcW w:w="1101" w:type="dxa"/>
            <w:vMerge/>
          </w:tcPr>
          <w:p w14:paraId="50AF61BD"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73456886"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48C7C6DA" w14:textId="77777777" w:rsidR="00E4429F" w:rsidRPr="00B44B19" w:rsidRDefault="00E4429F" w:rsidP="00E4429F">
            <w:pPr>
              <w:spacing w:after="0" w:line="240" w:lineRule="auto"/>
              <w:jc w:val="both"/>
              <w:rPr>
                <w:rFonts w:cs="Times New Roman"/>
                <w:noProof/>
                <w:sz w:val="16"/>
                <w:szCs w:val="16"/>
              </w:rPr>
            </w:pPr>
          </w:p>
        </w:tc>
        <w:tc>
          <w:tcPr>
            <w:tcW w:w="993" w:type="dxa"/>
          </w:tcPr>
          <w:p w14:paraId="332481DF"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Pr>
          <w:p w14:paraId="1A97185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RCR25</w:t>
            </w:r>
          </w:p>
        </w:tc>
        <w:tc>
          <w:tcPr>
            <w:tcW w:w="2694" w:type="dxa"/>
          </w:tcPr>
          <w:p w14:paraId="318D6A4B"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Didesnę vienam darbuotojui tenkančią pridėtinę vertę sukuriančios MVĮ</w:t>
            </w:r>
          </w:p>
        </w:tc>
        <w:tc>
          <w:tcPr>
            <w:tcW w:w="1134" w:type="dxa"/>
          </w:tcPr>
          <w:p w14:paraId="19338AED"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Pr>
          <w:p w14:paraId="69656B1B"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72CACFCF"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699332B4" w14:textId="1C935D3C"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274</w:t>
            </w:r>
          </w:p>
        </w:tc>
        <w:tc>
          <w:tcPr>
            <w:tcW w:w="1134" w:type="dxa"/>
          </w:tcPr>
          <w:p w14:paraId="4F0D22FE"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 viešieji registrai</w:t>
            </w:r>
          </w:p>
        </w:tc>
        <w:tc>
          <w:tcPr>
            <w:tcW w:w="850" w:type="dxa"/>
          </w:tcPr>
          <w:p w14:paraId="460450ED"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3D30F95E" w14:textId="77777777" w:rsidTr="004952F4">
        <w:trPr>
          <w:trHeight w:val="286"/>
        </w:trPr>
        <w:tc>
          <w:tcPr>
            <w:tcW w:w="1101" w:type="dxa"/>
            <w:vMerge/>
          </w:tcPr>
          <w:p w14:paraId="01232BF3"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3D59CAD7"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38C77179" w14:textId="77777777" w:rsidR="00E4429F" w:rsidRPr="00B44B19" w:rsidRDefault="00E4429F" w:rsidP="00E4429F">
            <w:pPr>
              <w:spacing w:after="0" w:line="240" w:lineRule="auto"/>
              <w:jc w:val="both"/>
              <w:rPr>
                <w:rFonts w:cs="Times New Roman"/>
                <w:noProof/>
                <w:sz w:val="16"/>
                <w:szCs w:val="16"/>
              </w:rPr>
            </w:pPr>
          </w:p>
        </w:tc>
        <w:tc>
          <w:tcPr>
            <w:tcW w:w="993" w:type="dxa"/>
          </w:tcPr>
          <w:p w14:paraId="56590C51"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Pr>
          <w:p w14:paraId="313A65B4"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Specialusis</w:t>
            </w:r>
          </w:p>
        </w:tc>
        <w:tc>
          <w:tcPr>
            <w:tcW w:w="2694" w:type="dxa"/>
          </w:tcPr>
          <w:p w14:paraId="285C81E9"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MVĮ produktų pristatymas tarptautinėse parodose</w:t>
            </w:r>
          </w:p>
        </w:tc>
        <w:tc>
          <w:tcPr>
            <w:tcW w:w="1134" w:type="dxa"/>
          </w:tcPr>
          <w:p w14:paraId="7FF0811C"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48961B9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41AD329E"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2C7BAB2B"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1 097</w:t>
            </w:r>
          </w:p>
        </w:tc>
        <w:tc>
          <w:tcPr>
            <w:tcW w:w="1134" w:type="dxa"/>
          </w:tcPr>
          <w:p w14:paraId="1F626D4F"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1E083DA1"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7BA2996D" w14:textId="77777777" w:rsidTr="004952F4">
        <w:trPr>
          <w:trHeight w:val="286"/>
        </w:trPr>
        <w:tc>
          <w:tcPr>
            <w:tcW w:w="1101" w:type="dxa"/>
            <w:vMerge/>
          </w:tcPr>
          <w:p w14:paraId="1ADB679D"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6E22AB0E"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43091AB1" w14:textId="77777777" w:rsidR="00E4429F" w:rsidRPr="00B44B19" w:rsidRDefault="00E4429F" w:rsidP="00E4429F">
            <w:pPr>
              <w:spacing w:after="0" w:line="240" w:lineRule="auto"/>
              <w:jc w:val="both"/>
              <w:rPr>
                <w:rFonts w:cs="Times New Roman"/>
                <w:noProof/>
                <w:sz w:val="16"/>
                <w:szCs w:val="16"/>
              </w:rPr>
            </w:pPr>
          </w:p>
        </w:tc>
        <w:tc>
          <w:tcPr>
            <w:tcW w:w="993" w:type="dxa"/>
          </w:tcPr>
          <w:p w14:paraId="4F51D3A3"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1275" w:type="dxa"/>
          </w:tcPr>
          <w:p w14:paraId="1130FE2B"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Specialusis</w:t>
            </w:r>
          </w:p>
        </w:tc>
        <w:tc>
          <w:tcPr>
            <w:tcW w:w="2694" w:type="dxa"/>
          </w:tcPr>
          <w:p w14:paraId="1F9364F4"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MVĮ produktų pristatymas tarptautinėse parodose</w:t>
            </w:r>
          </w:p>
        </w:tc>
        <w:tc>
          <w:tcPr>
            <w:tcW w:w="1134" w:type="dxa"/>
          </w:tcPr>
          <w:p w14:paraId="7494BA5B"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08BE2D79"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02E32A8A"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5FE3B0B8"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1 097</w:t>
            </w:r>
          </w:p>
        </w:tc>
        <w:tc>
          <w:tcPr>
            <w:tcW w:w="1134" w:type="dxa"/>
          </w:tcPr>
          <w:p w14:paraId="3CFF72B7"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2EE0A83B"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0B0A6315" w14:textId="77777777" w:rsidTr="004952F4">
        <w:trPr>
          <w:trHeight w:val="286"/>
        </w:trPr>
        <w:tc>
          <w:tcPr>
            <w:tcW w:w="1101" w:type="dxa"/>
            <w:vMerge/>
          </w:tcPr>
          <w:p w14:paraId="27E4DB11"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11B4E762"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641D43A9" w14:textId="77777777" w:rsidR="00E4429F" w:rsidRPr="00B44B19" w:rsidRDefault="00E4429F" w:rsidP="00E4429F">
            <w:pPr>
              <w:spacing w:after="0" w:line="240" w:lineRule="auto"/>
              <w:jc w:val="both"/>
              <w:rPr>
                <w:rFonts w:cs="Times New Roman"/>
                <w:noProof/>
                <w:sz w:val="16"/>
                <w:szCs w:val="16"/>
              </w:rPr>
            </w:pPr>
          </w:p>
        </w:tc>
        <w:tc>
          <w:tcPr>
            <w:tcW w:w="993" w:type="dxa"/>
          </w:tcPr>
          <w:p w14:paraId="51B998EA"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1275" w:type="dxa"/>
          </w:tcPr>
          <w:p w14:paraId="582C1FC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Specialusis</w:t>
            </w:r>
          </w:p>
        </w:tc>
        <w:tc>
          <w:tcPr>
            <w:tcW w:w="2694" w:type="dxa"/>
          </w:tcPr>
          <w:p w14:paraId="2FCBD5CF"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MVĮ sertifikuoti produktai</w:t>
            </w:r>
          </w:p>
        </w:tc>
        <w:tc>
          <w:tcPr>
            <w:tcW w:w="1134" w:type="dxa"/>
          </w:tcPr>
          <w:p w14:paraId="39D628BC"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67E59986"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6E3F92BA"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17ECDCBD"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905</w:t>
            </w:r>
          </w:p>
        </w:tc>
        <w:tc>
          <w:tcPr>
            <w:tcW w:w="1134" w:type="dxa"/>
          </w:tcPr>
          <w:p w14:paraId="74DCF92D"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5C502E3B"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423258C0" w14:textId="77777777" w:rsidTr="004952F4">
        <w:trPr>
          <w:trHeight w:val="286"/>
        </w:trPr>
        <w:tc>
          <w:tcPr>
            <w:tcW w:w="1101" w:type="dxa"/>
            <w:vMerge/>
          </w:tcPr>
          <w:p w14:paraId="2887C158"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7B1126F4"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5C10649C" w14:textId="77777777" w:rsidR="00E4429F" w:rsidRPr="00B44B19" w:rsidRDefault="00E4429F" w:rsidP="00E4429F">
            <w:pPr>
              <w:spacing w:after="0" w:line="240" w:lineRule="auto"/>
              <w:jc w:val="both"/>
              <w:rPr>
                <w:rFonts w:cs="Times New Roman"/>
                <w:noProof/>
                <w:sz w:val="16"/>
                <w:szCs w:val="16"/>
              </w:rPr>
            </w:pPr>
          </w:p>
        </w:tc>
        <w:tc>
          <w:tcPr>
            <w:tcW w:w="993" w:type="dxa"/>
          </w:tcPr>
          <w:p w14:paraId="7BF0AC2E"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1275" w:type="dxa"/>
          </w:tcPr>
          <w:p w14:paraId="5B0A560C"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Specialusis</w:t>
            </w:r>
          </w:p>
        </w:tc>
        <w:tc>
          <w:tcPr>
            <w:tcW w:w="2694" w:type="dxa"/>
          </w:tcPr>
          <w:p w14:paraId="3693F595"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MVĮ sertifikuoti produktai</w:t>
            </w:r>
          </w:p>
        </w:tc>
        <w:tc>
          <w:tcPr>
            <w:tcW w:w="1134" w:type="dxa"/>
          </w:tcPr>
          <w:p w14:paraId="65412C32"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1049568E"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688A37A3"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19854EF2"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777</w:t>
            </w:r>
          </w:p>
        </w:tc>
        <w:tc>
          <w:tcPr>
            <w:tcW w:w="1134" w:type="dxa"/>
          </w:tcPr>
          <w:p w14:paraId="2A324E84"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66FAE50F"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4F1931B6" w14:textId="77777777" w:rsidTr="004952F4">
        <w:trPr>
          <w:trHeight w:val="286"/>
        </w:trPr>
        <w:tc>
          <w:tcPr>
            <w:tcW w:w="1101" w:type="dxa"/>
            <w:vMerge/>
          </w:tcPr>
          <w:p w14:paraId="20839199" w14:textId="77777777" w:rsidR="00E4429F" w:rsidRPr="00B44B19" w:rsidRDefault="00E4429F" w:rsidP="00E4429F">
            <w:pPr>
              <w:spacing w:after="0" w:line="240" w:lineRule="auto"/>
              <w:jc w:val="both"/>
              <w:rPr>
                <w:rFonts w:cs="Times New Roman"/>
                <w:noProof/>
                <w:sz w:val="16"/>
                <w:szCs w:val="16"/>
              </w:rPr>
            </w:pPr>
          </w:p>
        </w:tc>
        <w:tc>
          <w:tcPr>
            <w:tcW w:w="992" w:type="dxa"/>
            <w:vMerge/>
          </w:tcPr>
          <w:p w14:paraId="727557DF" w14:textId="77777777" w:rsidR="00E4429F" w:rsidRPr="00B44B19" w:rsidRDefault="00E4429F" w:rsidP="00E4429F">
            <w:pPr>
              <w:spacing w:after="0" w:line="240" w:lineRule="auto"/>
              <w:jc w:val="both"/>
              <w:rPr>
                <w:rFonts w:cs="Times New Roman"/>
                <w:noProof/>
                <w:sz w:val="16"/>
                <w:szCs w:val="16"/>
              </w:rPr>
            </w:pPr>
          </w:p>
        </w:tc>
        <w:tc>
          <w:tcPr>
            <w:tcW w:w="850" w:type="dxa"/>
            <w:vMerge/>
          </w:tcPr>
          <w:p w14:paraId="1AB8F62F" w14:textId="77777777" w:rsidR="00E4429F" w:rsidRPr="00B44B19" w:rsidRDefault="00E4429F" w:rsidP="00E4429F">
            <w:pPr>
              <w:spacing w:after="0" w:line="240" w:lineRule="auto"/>
              <w:jc w:val="both"/>
              <w:rPr>
                <w:rFonts w:cs="Times New Roman"/>
                <w:noProof/>
                <w:sz w:val="16"/>
                <w:szCs w:val="16"/>
              </w:rPr>
            </w:pPr>
          </w:p>
        </w:tc>
        <w:tc>
          <w:tcPr>
            <w:tcW w:w="993" w:type="dxa"/>
          </w:tcPr>
          <w:p w14:paraId="44C91967" w14:textId="77777777" w:rsidR="00E4429F" w:rsidRPr="00B44B19" w:rsidRDefault="00E4429F" w:rsidP="00E4429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1275" w:type="dxa"/>
          </w:tcPr>
          <w:p w14:paraId="71E06453"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Specialusis</w:t>
            </w:r>
          </w:p>
        </w:tc>
        <w:tc>
          <w:tcPr>
            <w:tcW w:w="2694" w:type="dxa"/>
          </w:tcPr>
          <w:p w14:paraId="4875B12C" w14:textId="77777777" w:rsidR="00E4429F" w:rsidRPr="00B44B19" w:rsidRDefault="00E4429F" w:rsidP="00E4429F">
            <w:pPr>
              <w:spacing w:after="0" w:line="240" w:lineRule="auto"/>
              <w:rPr>
                <w:rFonts w:cs="Times New Roman"/>
                <w:sz w:val="16"/>
                <w:szCs w:val="16"/>
              </w:rPr>
            </w:pPr>
            <w:r w:rsidRPr="00B44B19">
              <w:rPr>
                <w:rFonts w:cs="Times New Roman"/>
                <w:sz w:val="16"/>
                <w:szCs w:val="16"/>
              </w:rPr>
              <w:t>Klasterio narystė tarptautiniuose tinkluose</w:t>
            </w:r>
          </w:p>
        </w:tc>
        <w:tc>
          <w:tcPr>
            <w:tcW w:w="1134" w:type="dxa"/>
          </w:tcPr>
          <w:p w14:paraId="661AC9E9"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Skaičius</w:t>
            </w:r>
          </w:p>
        </w:tc>
        <w:tc>
          <w:tcPr>
            <w:tcW w:w="992" w:type="dxa"/>
          </w:tcPr>
          <w:p w14:paraId="2CC0E32F"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n/a</w:t>
            </w:r>
          </w:p>
        </w:tc>
        <w:tc>
          <w:tcPr>
            <w:tcW w:w="1134" w:type="dxa"/>
          </w:tcPr>
          <w:p w14:paraId="7ED85F5B"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2021</w:t>
            </w:r>
          </w:p>
        </w:tc>
        <w:tc>
          <w:tcPr>
            <w:tcW w:w="1276" w:type="dxa"/>
          </w:tcPr>
          <w:p w14:paraId="4DCF2BBB" w14:textId="77777777" w:rsidR="00E4429F" w:rsidRPr="00B44B19" w:rsidRDefault="00E4429F" w:rsidP="00E4429F">
            <w:pPr>
              <w:spacing w:after="0" w:line="240" w:lineRule="auto"/>
              <w:jc w:val="center"/>
              <w:rPr>
                <w:rFonts w:cs="Times New Roman"/>
                <w:noProof/>
                <w:sz w:val="16"/>
                <w:szCs w:val="16"/>
              </w:rPr>
            </w:pPr>
            <w:r w:rsidRPr="00B44B19">
              <w:rPr>
                <w:rFonts w:cs="Times New Roman"/>
                <w:noProof/>
                <w:sz w:val="16"/>
                <w:szCs w:val="16"/>
              </w:rPr>
              <w:t>33</w:t>
            </w:r>
          </w:p>
        </w:tc>
        <w:tc>
          <w:tcPr>
            <w:tcW w:w="1134" w:type="dxa"/>
          </w:tcPr>
          <w:p w14:paraId="1FCD8093" w14:textId="77777777" w:rsidR="00E4429F" w:rsidRPr="00B44B19" w:rsidRDefault="00E4429F" w:rsidP="00E4429F">
            <w:pPr>
              <w:spacing w:after="0" w:line="240" w:lineRule="auto"/>
              <w:jc w:val="both"/>
              <w:rPr>
                <w:rFonts w:cs="Times New Roman"/>
                <w:noProof/>
                <w:sz w:val="16"/>
                <w:szCs w:val="16"/>
              </w:rPr>
            </w:pPr>
            <w:r w:rsidRPr="00B44B19">
              <w:rPr>
                <w:rFonts w:cs="Times New Roman"/>
                <w:noProof/>
                <w:sz w:val="16"/>
                <w:szCs w:val="16"/>
              </w:rPr>
              <w:t>Projektų duomenys</w:t>
            </w:r>
          </w:p>
        </w:tc>
        <w:tc>
          <w:tcPr>
            <w:tcW w:w="850" w:type="dxa"/>
          </w:tcPr>
          <w:p w14:paraId="29CA4080"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0BFC0942" w14:textId="77777777" w:rsidTr="004952F4">
        <w:trPr>
          <w:trHeight w:val="286"/>
        </w:trPr>
        <w:tc>
          <w:tcPr>
            <w:tcW w:w="1101" w:type="dxa"/>
          </w:tcPr>
          <w:p w14:paraId="0869935C" w14:textId="77777777" w:rsidR="00E4429F" w:rsidRPr="00B44B19" w:rsidRDefault="00E4429F" w:rsidP="00E4429F">
            <w:pPr>
              <w:spacing w:after="0" w:line="240" w:lineRule="auto"/>
              <w:jc w:val="both"/>
              <w:rPr>
                <w:rFonts w:cs="Times New Roman"/>
                <w:noProof/>
                <w:sz w:val="16"/>
                <w:szCs w:val="16"/>
              </w:rPr>
            </w:pPr>
          </w:p>
        </w:tc>
        <w:tc>
          <w:tcPr>
            <w:tcW w:w="992" w:type="dxa"/>
          </w:tcPr>
          <w:p w14:paraId="5546D2D0" w14:textId="77777777" w:rsidR="00E4429F" w:rsidRPr="00B44B19" w:rsidRDefault="00E4429F" w:rsidP="00E4429F">
            <w:pPr>
              <w:spacing w:after="0" w:line="240" w:lineRule="auto"/>
              <w:jc w:val="both"/>
              <w:rPr>
                <w:rFonts w:cs="Times New Roman"/>
                <w:noProof/>
                <w:sz w:val="16"/>
                <w:szCs w:val="16"/>
              </w:rPr>
            </w:pPr>
          </w:p>
        </w:tc>
        <w:tc>
          <w:tcPr>
            <w:tcW w:w="850" w:type="dxa"/>
          </w:tcPr>
          <w:p w14:paraId="19125DB7" w14:textId="77777777" w:rsidR="00E4429F" w:rsidRPr="00B44B19" w:rsidRDefault="00E4429F" w:rsidP="00E4429F">
            <w:pPr>
              <w:spacing w:after="0" w:line="240" w:lineRule="auto"/>
              <w:jc w:val="both"/>
              <w:rPr>
                <w:rFonts w:cs="Times New Roman"/>
                <w:noProof/>
                <w:sz w:val="16"/>
                <w:szCs w:val="16"/>
              </w:rPr>
            </w:pPr>
          </w:p>
        </w:tc>
        <w:tc>
          <w:tcPr>
            <w:tcW w:w="993" w:type="dxa"/>
          </w:tcPr>
          <w:p w14:paraId="70A1FB63" w14:textId="736BB32D" w:rsidR="00E4429F" w:rsidRPr="00B44B19" w:rsidRDefault="00E4429F" w:rsidP="00E4429F">
            <w:pPr>
              <w:spacing w:after="0" w:line="240" w:lineRule="auto"/>
              <w:jc w:val="both"/>
              <w:rPr>
                <w:rFonts w:eastAsia="Times New Roman" w:cs="Times New Roman"/>
                <w:sz w:val="16"/>
                <w:szCs w:val="16"/>
                <w:lang w:eastAsia="lt-LT"/>
              </w:rPr>
            </w:pPr>
            <w:r w:rsidRPr="00B44B19">
              <w:rPr>
                <w:rFonts w:cs="Times New Roman"/>
                <w:sz w:val="16"/>
                <w:szCs w:val="16"/>
                <w:lang w:eastAsia="lt-LT"/>
              </w:rPr>
              <w:t>Sostinės regionas</w:t>
            </w:r>
          </w:p>
        </w:tc>
        <w:tc>
          <w:tcPr>
            <w:tcW w:w="1275" w:type="dxa"/>
          </w:tcPr>
          <w:p w14:paraId="1135F0DD" w14:textId="05C5BB24"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Specialusis</w:t>
            </w:r>
          </w:p>
        </w:tc>
        <w:tc>
          <w:tcPr>
            <w:tcW w:w="2694" w:type="dxa"/>
          </w:tcPr>
          <w:p w14:paraId="5D661757" w14:textId="0DA8F5E0" w:rsidR="00E4429F" w:rsidRPr="00B44B19" w:rsidRDefault="00E4429F" w:rsidP="00E4429F">
            <w:pPr>
              <w:spacing w:after="0" w:line="240" w:lineRule="auto"/>
              <w:rPr>
                <w:rFonts w:cs="Times New Roman"/>
                <w:sz w:val="16"/>
                <w:szCs w:val="16"/>
              </w:rPr>
            </w:pPr>
            <w:r w:rsidRPr="00B44B19">
              <w:rPr>
                <w:rFonts w:eastAsia="Calibri" w:cs="Times New Roman"/>
                <w:sz w:val="16"/>
                <w:szCs w:val="16"/>
              </w:rPr>
              <w:t>Produktų ar procesų inovacijas diegiančios didelės įmonės</w:t>
            </w:r>
          </w:p>
        </w:tc>
        <w:tc>
          <w:tcPr>
            <w:tcW w:w="1134" w:type="dxa"/>
          </w:tcPr>
          <w:p w14:paraId="309A4244" w14:textId="25ED42C8"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Įmonės</w:t>
            </w:r>
          </w:p>
        </w:tc>
        <w:tc>
          <w:tcPr>
            <w:tcW w:w="992" w:type="dxa"/>
          </w:tcPr>
          <w:p w14:paraId="28ED067E" w14:textId="1A27B32C"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n/a</w:t>
            </w:r>
          </w:p>
        </w:tc>
        <w:tc>
          <w:tcPr>
            <w:tcW w:w="1134" w:type="dxa"/>
          </w:tcPr>
          <w:p w14:paraId="281ED6CF" w14:textId="00116186" w:rsidR="00E4429F" w:rsidRPr="00B44B19" w:rsidRDefault="00E4429F" w:rsidP="00E4429F">
            <w:pPr>
              <w:spacing w:after="0" w:line="240" w:lineRule="auto"/>
              <w:jc w:val="center"/>
              <w:rPr>
                <w:rFonts w:cs="Times New Roman"/>
                <w:noProof/>
                <w:sz w:val="16"/>
                <w:szCs w:val="16"/>
              </w:rPr>
            </w:pPr>
            <w:r w:rsidRPr="00B44B19">
              <w:rPr>
                <w:rFonts w:eastAsia="Calibri" w:cs="Times New Roman"/>
                <w:noProof/>
                <w:sz w:val="16"/>
                <w:szCs w:val="16"/>
              </w:rPr>
              <w:t>2021</w:t>
            </w:r>
          </w:p>
        </w:tc>
        <w:tc>
          <w:tcPr>
            <w:tcW w:w="1276" w:type="dxa"/>
          </w:tcPr>
          <w:p w14:paraId="42237E2B" w14:textId="5C6C934C" w:rsidR="00E4429F" w:rsidRPr="00B44B19" w:rsidRDefault="00E4429F" w:rsidP="00E4429F">
            <w:pPr>
              <w:spacing w:after="0" w:line="240" w:lineRule="auto"/>
              <w:jc w:val="center"/>
              <w:rPr>
                <w:rFonts w:cs="Times New Roman"/>
                <w:noProof/>
                <w:sz w:val="16"/>
                <w:szCs w:val="16"/>
              </w:rPr>
            </w:pPr>
            <w:r w:rsidRPr="00B44B19">
              <w:rPr>
                <w:rFonts w:eastAsia="Calibri" w:cs="Times New Roman"/>
                <w:noProof/>
                <w:sz w:val="16"/>
                <w:szCs w:val="16"/>
              </w:rPr>
              <w:t>10</w:t>
            </w:r>
          </w:p>
        </w:tc>
        <w:tc>
          <w:tcPr>
            <w:tcW w:w="1134" w:type="dxa"/>
          </w:tcPr>
          <w:p w14:paraId="66AC0F96" w14:textId="16A28D8D"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 xml:space="preserve">Projektų duomenys </w:t>
            </w:r>
            <w:r w:rsidRPr="00B44B19">
              <w:rPr>
                <w:rFonts w:eastAsia="Calibri" w:cs="Times New Roman"/>
                <w:noProof/>
                <w:sz w:val="16"/>
                <w:szCs w:val="16"/>
              </w:rPr>
              <w:lastRenderedPageBreak/>
              <w:t>arba įmonių apklausos</w:t>
            </w:r>
          </w:p>
        </w:tc>
        <w:tc>
          <w:tcPr>
            <w:tcW w:w="850" w:type="dxa"/>
          </w:tcPr>
          <w:p w14:paraId="71DED0C5"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22B45201" w14:textId="77777777" w:rsidTr="004952F4">
        <w:trPr>
          <w:trHeight w:val="286"/>
        </w:trPr>
        <w:tc>
          <w:tcPr>
            <w:tcW w:w="1101" w:type="dxa"/>
          </w:tcPr>
          <w:p w14:paraId="159DA188" w14:textId="77777777" w:rsidR="00E4429F" w:rsidRPr="00B44B19" w:rsidRDefault="00E4429F" w:rsidP="00E4429F">
            <w:pPr>
              <w:spacing w:after="0" w:line="240" w:lineRule="auto"/>
              <w:jc w:val="both"/>
              <w:rPr>
                <w:rFonts w:cs="Times New Roman"/>
                <w:noProof/>
                <w:sz w:val="16"/>
                <w:szCs w:val="16"/>
              </w:rPr>
            </w:pPr>
          </w:p>
        </w:tc>
        <w:tc>
          <w:tcPr>
            <w:tcW w:w="992" w:type="dxa"/>
          </w:tcPr>
          <w:p w14:paraId="5B4AAB82" w14:textId="77777777" w:rsidR="00E4429F" w:rsidRPr="00B44B19" w:rsidRDefault="00E4429F" w:rsidP="00E4429F">
            <w:pPr>
              <w:spacing w:after="0" w:line="240" w:lineRule="auto"/>
              <w:jc w:val="both"/>
              <w:rPr>
                <w:rFonts w:cs="Times New Roman"/>
                <w:noProof/>
                <w:sz w:val="16"/>
                <w:szCs w:val="16"/>
              </w:rPr>
            </w:pPr>
          </w:p>
        </w:tc>
        <w:tc>
          <w:tcPr>
            <w:tcW w:w="850" w:type="dxa"/>
          </w:tcPr>
          <w:p w14:paraId="5AA2708B" w14:textId="77777777" w:rsidR="00E4429F" w:rsidRPr="00B44B19" w:rsidRDefault="00E4429F" w:rsidP="00E4429F">
            <w:pPr>
              <w:spacing w:after="0" w:line="240" w:lineRule="auto"/>
              <w:jc w:val="both"/>
              <w:rPr>
                <w:rFonts w:cs="Times New Roman"/>
                <w:noProof/>
                <w:sz w:val="16"/>
                <w:szCs w:val="16"/>
              </w:rPr>
            </w:pPr>
          </w:p>
        </w:tc>
        <w:tc>
          <w:tcPr>
            <w:tcW w:w="993" w:type="dxa"/>
          </w:tcPr>
          <w:p w14:paraId="24C467EE" w14:textId="751D0E4B" w:rsidR="00E4429F" w:rsidRPr="00B44B19" w:rsidRDefault="00E4429F" w:rsidP="00E4429F">
            <w:pPr>
              <w:spacing w:after="0" w:line="240" w:lineRule="auto"/>
              <w:jc w:val="both"/>
              <w:rPr>
                <w:rFonts w:eastAsia="Times New Roman" w:cs="Times New Roman"/>
                <w:sz w:val="16"/>
                <w:szCs w:val="16"/>
                <w:lang w:eastAsia="lt-LT"/>
              </w:rPr>
            </w:pPr>
            <w:r w:rsidRPr="00B44B19">
              <w:rPr>
                <w:rFonts w:cs="Times New Roman"/>
                <w:sz w:val="16"/>
                <w:szCs w:val="16"/>
                <w:lang w:eastAsia="lt-LT"/>
              </w:rPr>
              <w:t>VVL regionas</w:t>
            </w:r>
          </w:p>
        </w:tc>
        <w:tc>
          <w:tcPr>
            <w:tcW w:w="1275" w:type="dxa"/>
          </w:tcPr>
          <w:p w14:paraId="1DD3CA5D" w14:textId="76BA5CA9"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Specialusis</w:t>
            </w:r>
          </w:p>
        </w:tc>
        <w:tc>
          <w:tcPr>
            <w:tcW w:w="2694" w:type="dxa"/>
          </w:tcPr>
          <w:p w14:paraId="61070E67" w14:textId="6681C4B1" w:rsidR="00E4429F" w:rsidRPr="00B44B19" w:rsidRDefault="00E4429F" w:rsidP="00E4429F">
            <w:pPr>
              <w:spacing w:after="0" w:line="240" w:lineRule="auto"/>
              <w:rPr>
                <w:rFonts w:cs="Times New Roman"/>
                <w:sz w:val="16"/>
                <w:szCs w:val="16"/>
              </w:rPr>
            </w:pPr>
            <w:r w:rsidRPr="00B44B19">
              <w:rPr>
                <w:rFonts w:eastAsia="Calibri" w:cs="Times New Roman"/>
                <w:sz w:val="16"/>
                <w:szCs w:val="16"/>
              </w:rPr>
              <w:t>Produktų ar procesų inovacijas diegiančios didelės įmonės</w:t>
            </w:r>
          </w:p>
        </w:tc>
        <w:tc>
          <w:tcPr>
            <w:tcW w:w="1134" w:type="dxa"/>
          </w:tcPr>
          <w:p w14:paraId="66C05D3B" w14:textId="1B63998A"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Įmonės</w:t>
            </w:r>
          </w:p>
        </w:tc>
        <w:tc>
          <w:tcPr>
            <w:tcW w:w="992" w:type="dxa"/>
          </w:tcPr>
          <w:p w14:paraId="7CC59C23" w14:textId="5705F170"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n/a</w:t>
            </w:r>
          </w:p>
        </w:tc>
        <w:tc>
          <w:tcPr>
            <w:tcW w:w="1134" w:type="dxa"/>
          </w:tcPr>
          <w:p w14:paraId="4403E6A5" w14:textId="1A0C3945" w:rsidR="00E4429F" w:rsidRPr="00B44B19" w:rsidRDefault="00E4429F" w:rsidP="00E4429F">
            <w:pPr>
              <w:spacing w:after="0" w:line="240" w:lineRule="auto"/>
              <w:jc w:val="center"/>
              <w:rPr>
                <w:rFonts w:cs="Times New Roman"/>
                <w:noProof/>
                <w:sz w:val="16"/>
                <w:szCs w:val="16"/>
              </w:rPr>
            </w:pPr>
            <w:r w:rsidRPr="00B44B19">
              <w:rPr>
                <w:rFonts w:eastAsia="Calibri" w:cs="Times New Roman"/>
                <w:noProof/>
                <w:sz w:val="16"/>
                <w:szCs w:val="16"/>
              </w:rPr>
              <w:t>2021</w:t>
            </w:r>
          </w:p>
        </w:tc>
        <w:tc>
          <w:tcPr>
            <w:tcW w:w="1276" w:type="dxa"/>
          </w:tcPr>
          <w:p w14:paraId="64B43290" w14:textId="61FDCEE7" w:rsidR="00E4429F" w:rsidRPr="00B44B19" w:rsidRDefault="00E4429F" w:rsidP="00E4429F">
            <w:pPr>
              <w:spacing w:after="0" w:line="240" w:lineRule="auto"/>
              <w:jc w:val="center"/>
              <w:rPr>
                <w:rFonts w:cs="Times New Roman"/>
                <w:noProof/>
                <w:sz w:val="16"/>
                <w:szCs w:val="16"/>
              </w:rPr>
            </w:pPr>
            <w:r w:rsidRPr="00B44B19">
              <w:rPr>
                <w:rFonts w:eastAsia="Calibri" w:cs="Times New Roman"/>
                <w:noProof/>
                <w:sz w:val="16"/>
                <w:szCs w:val="16"/>
              </w:rPr>
              <w:t>76</w:t>
            </w:r>
          </w:p>
        </w:tc>
        <w:tc>
          <w:tcPr>
            <w:tcW w:w="1134" w:type="dxa"/>
          </w:tcPr>
          <w:p w14:paraId="7004AA5B" w14:textId="60F74EA8"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Projektų duomenys arba įmonių apklausos</w:t>
            </w:r>
          </w:p>
        </w:tc>
        <w:tc>
          <w:tcPr>
            <w:tcW w:w="850" w:type="dxa"/>
          </w:tcPr>
          <w:p w14:paraId="7E086269"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r w:rsidR="00E4429F" w:rsidRPr="00B44B19" w14:paraId="549CA310" w14:textId="77777777" w:rsidTr="004952F4">
        <w:trPr>
          <w:trHeight w:val="286"/>
        </w:trPr>
        <w:tc>
          <w:tcPr>
            <w:tcW w:w="1101" w:type="dxa"/>
          </w:tcPr>
          <w:p w14:paraId="6706B22E" w14:textId="77777777" w:rsidR="00E4429F" w:rsidRPr="00B44B19" w:rsidRDefault="00E4429F" w:rsidP="00E4429F">
            <w:pPr>
              <w:spacing w:after="0" w:line="240" w:lineRule="auto"/>
              <w:jc w:val="both"/>
              <w:rPr>
                <w:rFonts w:cs="Times New Roman"/>
                <w:noProof/>
                <w:sz w:val="16"/>
                <w:szCs w:val="16"/>
              </w:rPr>
            </w:pPr>
          </w:p>
        </w:tc>
        <w:tc>
          <w:tcPr>
            <w:tcW w:w="992" w:type="dxa"/>
          </w:tcPr>
          <w:p w14:paraId="06EE8EEB" w14:textId="77777777" w:rsidR="00E4429F" w:rsidRPr="00B44B19" w:rsidRDefault="00E4429F" w:rsidP="00E4429F">
            <w:pPr>
              <w:spacing w:after="0" w:line="240" w:lineRule="auto"/>
              <w:jc w:val="both"/>
              <w:rPr>
                <w:rFonts w:cs="Times New Roman"/>
                <w:noProof/>
                <w:sz w:val="16"/>
                <w:szCs w:val="16"/>
              </w:rPr>
            </w:pPr>
          </w:p>
        </w:tc>
        <w:tc>
          <w:tcPr>
            <w:tcW w:w="850" w:type="dxa"/>
          </w:tcPr>
          <w:p w14:paraId="08ED78AF" w14:textId="77777777" w:rsidR="00E4429F" w:rsidRPr="00B44B19" w:rsidRDefault="00E4429F" w:rsidP="00E4429F">
            <w:pPr>
              <w:spacing w:after="0" w:line="240" w:lineRule="auto"/>
              <w:jc w:val="both"/>
              <w:rPr>
                <w:rFonts w:cs="Times New Roman"/>
                <w:noProof/>
                <w:sz w:val="16"/>
                <w:szCs w:val="16"/>
              </w:rPr>
            </w:pPr>
          </w:p>
        </w:tc>
        <w:tc>
          <w:tcPr>
            <w:tcW w:w="993" w:type="dxa"/>
          </w:tcPr>
          <w:p w14:paraId="193B849A" w14:textId="0A915B9A" w:rsidR="00E4429F" w:rsidRPr="00B44B19" w:rsidRDefault="00E4429F" w:rsidP="00E4429F">
            <w:pPr>
              <w:spacing w:after="0" w:line="240" w:lineRule="auto"/>
              <w:jc w:val="both"/>
              <w:rPr>
                <w:rFonts w:eastAsia="Times New Roman" w:cs="Times New Roman"/>
                <w:sz w:val="16"/>
                <w:szCs w:val="16"/>
                <w:lang w:eastAsia="lt-LT"/>
              </w:rPr>
            </w:pPr>
            <w:r w:rsidRPr="00B44B19">
              <w:rPr>
                <w:rFonts w:cs="Times New Roman"/>
                <w:sz w:val="16"/>
                <w:szCs w:val="16"/>
                <w:lang w:eastAsia="lt-LT"/>
              </w:rPr>
              <w:t>Sostinės regionas</w:t>
            </w:r>
          </w:p>
        </w:tc>
        <w:tc>
          <w:tcPr>
            <w:tcW w:w="1275" w:type="dxa"/>
          </w:tcPr>
          <w:p w14:paraId="1B5AD62C" w14:textId="0573CAE3"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Specialusis</w:t>
            </w:r>
          </w:p>
        </w:tc>
        <w:tc>
          <w:tcPr>
            <w:tcW w:w="2694" w:type="dxa"/>
          </w:tcPr>
          <w:p w14:paraId="06D721BE" w14:textId="463B12D3" w:rsidR="00E4429F" w:rsidRPr="00B44B19" w:rsidRDefault="00E4429F" w:rsidP="00E4429F">
            <w:pPr>
              <w:spacing w:after="0" w:line="240" w:lineRule="auto"/>
              <w:rPr>
                <w:rFonts w:cs="Times New Roman"/>
                <w:sz w:val="16"/>
                <w:szCs w:val="16"/>
              </w:rPr>
            </w:pPr>
            <w:r w:rsidRPr="00B44B19">
              <w:rPr>
                <w:rFonts w:eastAsia="Calibri" w:cs="Times New Roman"/>
                <w:sz w:val="16"/>
                <w:szCs w:val="16"/>
              </w:rPr>
              <w:t>Didesnę vienam darbuotojui tenkančią pridėtinę vertę sukuriančios didelės įmonės</w:t>
            </w:r>
          </w:p>
        </w:tc>
        <w:tc>
          <w:tcPr>
            <w:tcW w:w="1134" w:type="dxa"/>
          </w:tcPr>
          <w:p w14:paraId="06361BA4" w14:textId="634DF082"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Įmonės</w:t>
            </w:r>
          </w:p>
        </w:tc>
        <w:tc>
          <w:tcPr>
            <w:tcW w:w="992" w:type="dxa"/>
          </w:tcPr>
          <w:p w14:paraId="64CF1D18" w14:textId="40108C7C"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n/a</w:t>
            </w:r>
          </w:p>
        </w:tc>
        <w:tc>
          <w:tcPr>
            <w:tcW w:w="1134" w:type="dxa"/>
          </w:tcPr>
          <w:p w14:paraId="789C1C99" w14:textId="55EA420B" w:rsidR="00E4429F" w:rsidRPr="00B44B19" w:rsidRDefault="00E4429F" w:rsidP="00E4429F">
            <w:pPr>
              <w:spacing w:after="0" w:line="240" w:lineRule="auto"/>
              <w:jc w:val="center"/>
              <w:rPr>
                <w:rFonts w:cs="Times New Roman"/>
                <w:noProof/>
                <w:sz w:val="16"/>
                <w:szCs w:val="16"/>
              </w:rPr>
            </w:pPr>
            <w:r w:rsidRPr="00B44B19">
              <w:rPr>
                <w:rFonts w:eastAsia="Calibri" w:cs="Times New Roman"/>
                <w:noProof/>
                <w:sz w:val="16"/>
                <w:szCs w:val="16"/>
              </w:rPr>
              <w:t>2021</w:t>
            </w:r>
          </w:p>
        </w:tc>
        <w:tc>
          <w:tcPr>
            <w:tcW w:w="1276" w:type="dxa"/>
          </w:tcPr>
          <w:p w14:paraId="18021597" w14:textId="4C5BB5E8" w:rsidR="00E4429F" w:rsidRPr="00B44B19" w:rsidRDefault="00E4429F" w:rsidP="00E4429F">
            <w:pPr>
              <w:spacing w:after="0" w:line="240" w:lineRule="auto"/>
              <w:jc w:val="center"/>
              <w:rPr>
                <w:rFonts w:cs="Times New Roman"/>
                <w:noProof/>
                <w:sz w:val="16"/>
                <w:szCs w:val="16"/>
              </w:rPr>
            </w:pPr>
            <w:r w:rsidRPr="00B44B19">
              <w:rPr>
                <w:rFonts w:eastAsia="Calibri" w:cs="Times New Roman"/>
                <w:noProof/>
                <w:sz w:val="16"/>
                <w:szCs w:val="16"/>
              </w:rPr>
              <w:t>11</w:t>
            </w:r>
          </w:p>
        </w:tc>
        <w:tc>
          <w:tcPr>
            <w:tcW w:w="1134" w:type="dxa"/>
          </w:tcPr>
          <w:p w14:paraId="23030D03" w14:textId="3DFB2102" w:rsidR="00E4429F" w:rsidRPr="00B44B19" w:rsidRDefault="00E4429F" w:rsidP="00E4429F">
            <w:pPr>
              <w:spacing w:after="0" w:line="240" w:lineRule="auto"/>
              <w:jc w:val="both"/>
              <w:rPr>
                <w:rFonts w:cs="Times New Roman"/>
                <w:noProof/>
                <w:sz w:val="16"/>
                <w:szCs w:val="16"/>
              </w:rPr>
            </w:pPr>
            <w:r w:rsidRPr="00B44B19">
              <w:rPr>
                <w:rFonts w:eastAsia="Calibri" w:cs="Times New Roman"/>
                <w:noProof/>
                <w:sz w:val="16"/>
                <w:szCs w:val="16"/>
              </w:rPr>
              <w:t>Projektų duomenys, viešieji registrai</w:t>
            </w:r>
          </w:p>
        </w:tc>
        <w:tc>
          <w:tcPr>
            <w:tcW w:w="850" w:type="dxa"/>
          </w:tcPr>
          <w:p w14:paraId="4716E6AF" w14:textId="77777777" w:rsidR="00E4429F" w:rsidRPr="00B44B19" w:rsidRDefault="00E4429F" w:rsidP="00E4429F">
            <w:pPr>
              <w:spacing w:after="0" w:line="240" w:lineRule="auto"/>
              <w:jc w:val="both"/>
              <w:rPr>
                <w:rFonts w:eastAsia="Calibri" w:cs="Times New Roman"/>
                <w:i/>
                <w:noProof/>
                <w:sz w:val="16"/>
                <w:szCs w:val="16"/>
                <w:lang w:eastAsia="lt-LT" w:bidi="lt-LT"/>
              </w:rPr>
            </w:pPr>
          </w:p>
        </w:tc>
      </w:tr>
    </w:tbl>
    <w:p w14:paraId="1494EA56" w14:textId="77777777" w:rsidR="002A2827" w:rsidRPr="00B44B19" w:rsidRDefault="002A2827" w:rsidP="002A2827">
      <w:pPr>
        <w:spacing w:before="240" w:after="240" w:line="240" w:lineRule="auto"/>
        <w:jc w:val="both"/>
        <w:rPr>
          <w:rFonts w:eastAsia="Calibri" w:cs="Times New Roman"/>
          <w:b/>
          <w:noProof/>
          <w:szCs w:val="20"/>
          <w:lang w:eastAsia="lt-LT" w:bidi="lt-LT"/>
        </w:rPr>
        <w:sectPr w:rsidR="002A2827" w:rsidRPr="00B44B19" w:rsidSect="00931C78">
          <w:pgSz w:w="16838" w:h="11906" w:orient="landscape"/>
          <w:pgMar w:top="1701" w:right="1276" w:bottom="567" w:left="1134" w:header="567" w:footer="567" w:gutter="0"/>
          <w:cols w:space="1296"/>
          <w:docGrid w:linePitch="360"/>
        </w:sectPr>
      </w:pPr>
    </w:p>
    <w:p w14:paraId="2FEEA934" w14:textId="77777777" w:rsidR="002A2827" w:rsidRPr="00B44B19" w:rsidRDefault="002A2827" w:rsidP="002A2827">
      <w:pPr>
        <w:spacing w:before="240" w:after="240" w:line="240" w:lineRule="auto"/>
        <w:jc w:val="both"/>
        <w:rPr>
          <w:rFonts w:eastAsia="Calibri" w:cs="Times New Roman"/>
          <w:i/>
          <w:noProof/>
          <w:szCs w:val="20"/>
          <w:lang w:eastAsia="lt-LT" w:bidi="lt-LT"/>
        </w:rPr>
      </w:pPr>
      <w:r w:rsidRPr="00B44B19">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8"/>
        <w:gridCol w:w="849"/>
        <w:gridCol w:w="1534"/>
        <w:gridCol w:w="1134"/>
        <w:gridCol w:w="3294"/>
        <w:gridCol w:w="1699"/>
      </w:tblGrid>
      <w:tr w:rsidR="00681418" w:rsidRPr="00B44B19" w14:paraId="6CB54D49" w14:textId="77777777" w:rsidTr="00D27D25">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DE0010" w14:textId="77777777" w:rsidR="00681418" w:rsidRPr="00B44B19" w:rsidRDefault="00681418" w:rsidP="008A4063">
            <w:pPr>
              <w:rPr>
                <w:rFonts w:eastAsia="Times New Roman" w:cs="Times New Roman"/>
                <w:b/>
                <w:iCs/>
                <w:noProof/>
                <w:sz w:val="20"/>
              </w:rPr>
            </w:pPr>
            <w:r w:rsidRPr="00B44B19">
              <w:rPr>
                <w:rFonts w:cs="Times New Roman"/>
                <w:b/>
                <w:noProof/>
                <w:sz w:val="20"/>
              </w:rPr>
              <w:t>4 lentelė. 1 matmuo. Intervencinių priemonių sritis</w:t>
            </w:r>
          </w:p>
        </w:tc>
      </w:tr>
      <w:tr w:rsidR="00681418" w:rsidRPr="00B44B19" w14:paraId="5B17106B" w14:textId="77777777" w:rsidTr="00D27D25">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62E3E2"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CCFA0B"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Fondas</w:t>
            </w:r>
          </w:p>
        </w:tc>
        <w:tc>
          <w:tcPr>
            <w:tcW w:w="15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A14088"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35654A"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Konkretus uždavinys</w:t>
            </w:r>
          </w:p>
        </w:tc>
        <w:tc>
          <w:tcPr>
            <w:tcW w:w="32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7BB773"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Kodas</w:t>
            </w:r>
          </w:p>
        </w:tc>
        <w:tc>
          <w:tcPr>
            <w:tcW w:w="16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39A260"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Suma (EUR)</w:t>
            </w:r>
          </w:p>
        </w:tc>
      </w:tr>
      <w:tr w:rsidR="00D85B6F" w:rsidRPr="00B44B19" w14:paraId="7C38859D" w14:textId="77777777" w:rsidTr="00D27D25">
        <w:tc>
          <w:tcPr>
            <w:tcW w:w="1098" w:type="dxa"/>
            <w:vMerge w:val="restart"/>
            <w:tcBorders>
              <w:top w:val="single" w:sz="12" w:space="0" w:color="auto"/>
            </w:tcBorders>
          </w:tcPr>
          <w:p w14:paraId="1EDDC705" w14:textId="77777777" w:rsidR="00D85B6F" w:rsidRPr="00B44B19" w:rsidRDefault="00D85B6F" w:rsidP="008A4063">
            <w:pPr>
              <w:jc w:val="center"/>
              <w:rPr>
                <w:rFonts w:eastAsia="Times New Roman" w:cs="Times New Roman"/>
                <w:iCs/>
                <w:noProof/>
                <w:sz w:val="20"/>
              </w:rPr>
            </w:pPr>
            <w:r w:rsidRPr="00B44B19">
              <w:rPr>
                <w:rFonts w:eastAsia="Times New Roman" w:cs="Times New Roman"/>
                <w:iCs/>
                <w:noProof/>
                <w:sz w:val="20"/>
              </w:rPr>
              <w:t>1.</w:t>
            </w:r>
          </w:p>
        </w:tc>
        <w:tc>
          <w:tcPr>
            <w:tcW w:w="849" w:type="dxa"/>
            <w:vMerge w:val="restart"/>
            <w:tcBorders>
              <w:top w:val="single" w:sz="12" w:space="0" w:color="auto"/>
            </w:tcBorders>
          </w:tcPr>
          <w:p w14:paraId="3D28BEBE" w14:textId="77777777" w:rsidR="00D85B6F" w:rsidRPr="00B44B19" w:rsidRDefault="00D85B6F" w:rsidP="008A4063">
            <w:pPr>
              <w:jc w:val="center"/>
              <w:rPr>
                <w:rFonts w:eastAsia="Times New Roman" w:cs="Times New Roman"/>
                <w:iCs/>
                <w:noProof/>
                <w:sz w:val="20"/>
              </w:rPr>
            </w:pPr>
            <w:r w:rsidRPr="00B44B19">
              <w:rPr>
                <w:rFonts w:eastAsia="Times New Roman" w:cs="Times New Roman"/>
                <w:iCs/>
                <w:noProof/>
                <w:sz w:val="20"/>
              </w:rPr>
              <w:t>ERPF</w:t>
            </w:r>
          </w:p>
        </w:tc>
        <w:tc>
          <w:tcPr>
            <w:tcW w:w="1534" w:type="dxa"/>
            <w:tcBorders>
              <w:top w:val="single" w:sz="12" w:space="0" w:color="auto"/>
              <w:bottom w:val="single" w:sz="4" w:space="0" w:color="auto"/>
            </w:tcBorders>
          </w:tcPr>
          <w:p w14:paraId="5F2A5424" w14:textId="77777777" w:rsidR="00D85B6F" w:rsidRPr="00B44B19" w:rsidRDefault="00D85B6F" w:rsidP="008A4063">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bottom w:val="single" w:sz="4" w:space="0" w:color="auto"/>
            </w:tcBorders>
          </w:tcPr>
          <w:p w14:paraId="75EAD01A" w14:textId="77777777" w:rsidR="00D85B6F" w:rsidRPr="00B44B19" w:rsidRDefault="00D85B6F" w:rsidP="008A4063">
            <w:pPr>
              <w:jc w:val="center"/>
              <w:rPr>
                <w:rFonts w:eastAsia="Times New Roman" w:cs="Times New Roman"/>
                <w:iCs/>
                <w:noProof/>
                <w:sz w:val="20"/>
              </w:rPr>
            </w:pPr>
            <w:r w:rsidRPr="00B44B19">
              <w:rPr>
                <w:rFonts w:eastAsia="Times New Roman" w:cs="Times New Roman"/>
                <w:iCs/>
                <w:noProof/>
                <w:sz w:val="20"/>
              </w:rPr>
              <w:t>1.3</w:t>
            </w:r>
          </w:p>
        </w:tc>
        <w:tc>
          <w:tcPr>
            <w:tcW w:w="3294" w:type="dxa"/>
            <w:vMerge w:val="restart"/>
            <w:tcBorders>
              <w:top w:val="single" w:sz="12" w:space="0" w:color="auto"/>
            </w:tcBorders>
          </w:tcPr>
          <w:p w14:paraId="4C3E6C48" w14:textId="77777777" w:rsidR="00D85B6F" w:rsidRPr="00B44B19" w:rsidRDefault="00D85B6F" w:rsidP="00D85B6F">
            <w:pPr>
              <w:rPr>
                <w:rFonts w:eastAsia="Times New Roman" w:cs="Times New Roman"/>
                <w:iCs/>
                <w:noProof/>
                <w:sz w:val="20"/>
              </w:rPr>
            </w:pPr>
            <w:r w:rsidRPr="00B44B19">
              <w:rPr>
                <w:rFonts w:eastAsia="Times New Roman" w:cs="Times New Roman"/>
                <w:iCs/>
                <w:noProof/>
                <w:sz w:val="20"/>
              </w:rPr>
              <w:t xml:space="preserve">021 </w:t>
            </w:r>
            <w:r w:rsidR="002B22DC" w:rsidRPr="00B44B19">
              <w:rPr>
                <w:rFonts w:eastAsia="Times New Roman" w:cs="Times New Roman"/>
                <w:iCs/>
                <w:noProof/>
                <w:sz w:val="20"/>
              </w:rPr>
              <w:t>–</w:t>
            </w:r>
            <w:r w:rsidRPr="00B44B19">
              <w:rPr>
                <w:rFonts w:eastAsia="Times New Roman" w:cs="Times New Roman"/>
                <w:iCs/>
                <w:noProof/>
                <w:sz w:val="20"/>
              </w:rPr>
              <w:t xml:space="preserve"> MVĮ verslo plėtra ir tarptautinimas, įskaitant gamybines investicijas</w:t>
            </w:r>
          </w:p>
        </w:tc>
        <w:tc>
          <w:tcPr>
            <w:tcW w:w="1699" w:type="dxa"/>
            <w:tcBorders>
              <w:top w:val="single" w:sz="12" w:space="0" w:color="auto"/>
              <w:bottom w:val="single" w:sz="4" w:space="0" w:color="auto"/>
            </w:tcBorders>
          </w:tcPr>
          <w:p w14:paraId="1294BCDB" w14:textId="755E6350" w:rsidR="00F30AFA" w:rsidRPr="00B44B19" w:rsidRDefault="00974B55" w:rsidP="00974B55">
            <w:pPr>
              <w:jc w:val="right"/>
              <w:rPr>
                <w:rFonts w:eastAsia="Calibri" w:cs="Times New Roman"/>
                <w:strike/>
                <w:sz w:val="20"/>
              </w:rPr>
            </w:pPr>
            <w:r w:rsidRPr="00B44B19">
              <w:rPr>
                <w:rFonts w:cs="Times New Roman"/>
                <w:color w:val="000000"/>
                <w:sz w:val="20"/>
                <w:szCs w:val="20"/>
              </w:rPr>
              <w:t>42 700 000</w:t>
            </w:r>
            <w:r w:rsidR="00F30AFA" w:rsidRPr="00B44B19">
              <w:rPr>
                <w:rFonts w:eastAsia="Calibri" w:cs="Times New Roman"/>
                <w:sz w:val="20"/>
              </w:rPr>
              <w:t>,00</w:t>
            </w:r>
          </w:p>
          <w:p w14:paraId="11CCE34C" w14:textId="64F1764F" w:rsidR="00D85B6F" w:rsidRPr="00B44B19" w:rsidRDefault="00D85B6F" w:rsidP="002526CB">
            <w:pPr>
              <w:jc w:val="right"/>
              <w:rPr>
                <w:rFonts w:eastAsia="Times New Roman" w:cs="Times New Roman"/>
                <w:iCs/>
                <w:noProof/>
                <w:sz w:val="20"/>
              </w:rPr>
            </w:pPr>
          </w:p>
        </w:tc>
      </w:tr>
      <w:tr w:rsidR="00D85B6F" w:rsidRPr="00B44B19" w14:paraId="35E78DCF" w14:textId="77777777" w:rsidTr="00D27D25">
        <w:tc>
          <w:tcPr>
            <w:tcW w:w="1098" w:type="dxa"/>
            <w:vMerge/>
            <w:tcBorders>
              <w:top w:val="single" w:sz="12" w:space="0" w:color="auto"/>
            </w:tcBorders>
          </w:tcPr>
          <w:p w14:paraId="1F6AE248" w14:textId="77777777" w:rsidR="00D85B6F" w:rsidRPr="00B44B19" w:rsidRDefault="00D85B6F" w:rsidP="008A4063">
            <w:pPr>
              <w:jc w:val="center"/>
              <w:rPr>
                <w:rFonts w:eastAsia="Times New Roman" w:cs="Times New Roman"/>
                <w:iCs/>
                <w:noProof/>
                <w:sz w:val="20"/>
              </w:rPr>
            </w:pPr>
          </w:p>
        </w:tc>
        <w:tc>
          <w:tcPr>
            <w:tcW w:w="849" w:type="dxa"/>
            <w:vMerge/>
            <w:tcBorders>
              <w:top w:val="single" w:sz="12" w:space="0" w:color="auto"/>
            </w:tcBorders>
          </w:tcPr>
          <w:p w14:paraId="62779C93" w14:textId="77777777" w:rsidR="00D85B6F" w:rsidRPr="00B44B19" w:rsidRDefault="00D85B6F" w:rsidP="008A4063">
            <w:pPr>
              <w:jc w:val="center"/>
              <w:rPr>
                <w:rFonts w:eastAsia="Times New Roman" w:cs="Times New Roman"/>
                <w:iCs/>
                <w:noProof/>
                <w:sz w:val="20"/>
              </w:rPr>
            </w:pPr>
          </w:p>
        </w:tc>
        <w:tc>
          <w:tcPr>
            <w:tcW w:w="1534" w:type="dxa"/>
            <w:tcBorders>
              <w:top w:val="single" w:sz="4" w:space="0" w:color="auto"/>
              <w:bottom w:val="single" w:sz="4" w:space="0" w:color="auto"/>
            </w:tcBorders>
          </w:tcPr>
          <w:p w14:paraId="21BEAAFD" w14:textId="77777777" w:rsidR="00D85B6F" w:rsidRPr="00B44B19" w:rsidRDefault="00D85B6F" w:rsidP="008A4063">
            <w:pPr>
              <w:rPr>
                <w:rFonts w:eastAsia="Times New Roman" w:cs="Times New Roman"/>
                <w:iCs/>
                <w:noProof/>
                <w:sz w:val="20"/>
              </w:rPr>
            </w:pPr>
            <w:r w:rsidRPr="00B44B19">
              <w:rPr>
                <w:rFonts w:eastAsia="Times New Roman" w:cs="Times New Roman"/>
                <w:iCs/>
                <w:noProof/>
                <w:sz w:val="20"/>
              </w:rPr>
              <w:t>VVL regionas</w:t>
            </w:r>
          </w:p>
        </w:tc>
        <w:tc>
          <w:tcPr>
            <w:tcW w:w="1134" w:type="dxa"/>
            <w:vMerge/>
            <w:tcBorders>
              <w:top w:val="single" w:sz="4" w:space="0" w:color="auto"/>
            </w:tcBorders>
          </w:tcPr>
          <w:p w14:paraId="2AB281DB" w14:textId="77777777" w:rsidR="00D85B6F" w:rsidRPr="00B44B19" w:rsidRDefault="00D85B6F" w:rsidP="008A4063">
            <w:pPr>
              <w:jc w:val="center"/>
              <w:rPr>
                <w:rFonts w:eastAsia="Times New Roman" w:cs="Times New Roman"/>
                <w:iCs/>
                <w:noProof/>
                <w:sz w:val="20"/>
              </w:rPr>
            </w:pPr>
          </w:p>
        </w:tc>
        <w:tc>
          <w:tcPr>
            <w:tcW w:w="3294" w:type="dxa"/>
            <w:vMerge/>
            <w:tcBorders>
              <w:bottom w:val="single" w:sz="4" w:space="0" w:color="auto"/>
            </w:tcBorders>
          </w:tcPr>
          <w:p w14:paraId="1D2C6F26" w14:textId="77777777" w:rsidR="00D85B6F" w:rsidRPr="00B44B19" w:rsidRDefault="00D85B6F" w:rsidP="00D85B6F">
            <w:pPr>
              <w:rPr>
                <w:rFonts w:eastAsia="Times New Roman" w:cs="Times New Roman"/>
                <w:iCs/>
                <w:noProof/>
                <w:sz w:val="20"/>
              </w:rPr>
            </w:pPr>
          </w:p>
        </w:tc>
        <w:tc>
          <w:tcPr>
            <w:tcW w:w="1699" w:type="dxa"/>
            <w:tcBorders>
              <w:top w:val="single" w:sz="4" w:space="0" w:color="auto"/>
              <w:bottom w:val="single" w:sz="4" w:space="0" w:color="auto"/>
            </w:tcBorders>
          </w:tcPr>
          <w:p w14:paraId="7E17A665" w14:textId="4114F2B1" w:rsidR="00F30AFA" w:rsidRPr="00B44B19" w:rsidRDefault="00042357" w:rsidP="00D27D25">
            <w:pPr>
              <w:jc w:val="right"/>
              <w:rPr>
                <w:rFonts w:eastAsia="Calibri" w:cs="Times New Roman"/>
                <w:strike/>
                <w:sz w:val="20"/>
              </w:rPr>
            </w:pPr>
            <w:r w:rsidRPr="00B44B19">
              <w:rPr>
                <w:rFonts w:cs="Times New Roman"/>
                <w:color w:val="000000"/>
                <w:sz w:val="20"/>
                <w:szCs w:val="20"/>
              </w:rPr>
              <w:t>82 206 917</w:t>
            </w:r>
            <w:r w:rsidR="00F30AFA" w:rsidRPr="00B44B19">
              <w:rPr>
                <w:rFonts w:eastAsia="Calibri" w:cs="Times New Roman"/>
                <w:sz w:val="20"/>
              </w:rPr>
              <w:t>,00</w:t>
            </w:r>
          </w:p>
          <w:p w14:paraId="4CB0CE4F" w14:textId="34542CDD" w:rsidR="00D85B6F" w:rsidRPr="00B44B19" w:rsidRDefault="00D85B6F" w:rsidP="00681418">
            <w:pPr>
              <w:jc w:val="right"/>
              <w:rPr>
                <w:rFonts w:cs="Times New Roman"/>
                <w:sz w:val="20"/>
                <w:szCs w:val="20"/>
              </w:rPr>
            </w:pPr>
          </w:p>
        </w:tc>
      </w:tr>
      <w:tr w:rsidR="00F30AFA" w:rsidRPr="00B44B19" w14:paraId="48F11C07" w14:textId="77777777" w:rsidTr="00D27D25">
        <w:trPr>
          <w:trHeight w:val="345"/>
        </w:trPr>
        <w:tc>
          <w:tcPr>
            <w:tcW w:w="1098" w:type="dxa"/>
            <w:vMerge/>
            <w:tcBorders>
              <w:top w:val="single" w:sz="12" w:space="0" w:color="auto"/>
            </w:tcBorders>
          </w:tcPr>
          <w:p w14:paraId="4139C66B" w14:textId="77777777" w:rsidR="00F30AFA" w:rsidRPr="00B44B19" w:rsidRDefault="00F30AFA" w:rsidP="00F30AFA">
            <w:pPr>
              <w:jc w:val="center"/>
              <w:rPr>
                <w:rFonts w:eastAsia="Times New Roman" w:cs="Times New Roman"/>
                <w:iCs/>
                <w:noProof/>
                <w:sz w:val="20"/>
              </w:rPr>
            </w:pPr>
          </w:p>
        </w:tc>
        <w:tc>
          <w:tcPr>
            <w:tcW w:w="849" w:type="dxa"/>
            <w:vMerge/>
            <w:tcBorders>
              <w:top w:val="single" w:sz="12" w:space="0" w:color="auto"/>
            </w:tcBorders>
          </w:tcPr>
          <w:p w14:paraId="607DBEBA" w14:textId="77777777" w:rsidR="00F30AFA" w:rsidRPr="00B44B19" w:rsidRDefault="00F30AFA" w:rsidP="00F30AFA">
            <w:pPr>
              <w:jc w:val="center"/>
              <w:rPr>
                <w:rFonts w:eastAsia="Times New Roman" w:cs="Times New Roman"/>
                <w:iCs/>
                <w:noProof/>
                <w:sz w:val="20"/>
              </w:rPr>
            </w:pPr>
          </w:p>
        </w:tc>
        <w:tc>
          <w:tcPr>
            <w:tcW w:w="1534" w:type="dxa"/>
            <w:tcBorders>
              <w:top w:val="single" w:sz="4" w:space="0" w:color="auto"/>
            </w:tcBorders>
          </w:tcPr>
          <w:p w14:paraId="530AC6D4" w14:textId="784E80A1" w:rsidR="00F30AFA" w:rsidRPr="00B44B19" w:rsidRDefault="00F30AFA" w:rsidP="00F30AFA">
            <w:pPr>
              <w:rPr>
                <w:rFonts w:eastAsia="Times New Roman" w:cs="Times New Roman"/>
                <w:iCs/>
                <w:noProof/>
                <w:sz w:val="20"/>
              </w:rPr>
            </w:pPr>
            <w:r w:rsidRPr="00B44B19">
              <w:rPr>
                <w:rFonts w:cs="Times New Roman"/>
                <w:iCs/>
                <w:noProof/>
                <w:sz w:val="20"/>
              </w:rPr>
              <w:t>Sostinės regionas</w:t>
            </w:r>
          </w:p>
        </w:tc>
        <w:tc>
          <w:tcPr>
            <w:tcW w:w="1134" w:type="dxa"/>
            <w:vMerge/>
            <w:tcBorders>
              <w:top w:val="single" w:sz="4" w:space="0" w:color="auto"/>
            </w:tcBorders>
          </w:tcPr>
          <w:p w14:paraId="5F7A8403" w14:textId="77777777" w:rsidR="00F30AFA" w:rsidRPr="00B44B19" w:rsidRDefault="00F30AFA" w:rsidP="00F30AFA">
            <w:pPr>
              <w:jc w:val="center"/>
              <w:rPr>
                <w:rFonts w:eastAsia="Times New Roman" w:cs="Times New Roman"/>
                <w:iCs/>
                <w:noProof/>
                <w:sz w:val="20"/>
              </w:rPr>
            </w:pPr>
          </w:p>
        </w:tc>
        <w:tc>
          <w:tcPr>
            <w:tcW w:w="3294" w:type="dxa"/>
            <w:vMerge w:val="restart"/>
          </w:tcPr>
          <w:p w14:paraId="7A274E7D" w14:textId="179E2448" w:rsidR="00F30AFA" w:rsidRPr="00B44B19" w:rsidRDefault="00F30AFA" w:rsidP="00F30AFA">
            <w:pPr>
              <w:rPr>
                <w:rFonts w:eastAsia="Times New Roman" w:cs="Times New Roman"/>
                <w:iCs/>
                <w:noProof/>
                <w:sz w:val="20"/>
              </w:rPr>
            </w:pPr>
            <w:r w:rsidRPr="00B44B19">
              <w:rPr>
                <w:rFonts w:cs="Times New Roman"/>
                <w:iCs/>
                <w:noProof/>
                <w:sz w:val="20"/>
              </w:rPr>
              <w:t>022 – Parama didelėms įmonėms naudojant finansines priemones, įskaitant gamybines investicijas</w:t>
            </w:r>
          </w:p>
        </w:tc>
        <w:tc>
          <w:tcPr>
            <w:tcW w:w="1699" w:type="dxa"/>
            <w:tcBorders>
              <w:top w:val="single" w:sz="4" w:space="0" w:color="auto"/>
              <w:bottom w:val="single" w:sz="4" w:space="0" w:color="auto"/>
            </w:tcBorders>
          </w:tcPr>
          <w:p w14:paraId="50FB04B9" w14:textId="5BAF493D" w:rsidR="00F30AFA" w:rsidRPr="00B44B19" w:rsidRDefault="00974B55" w:rsidP="00974B55">
            <w:pPr>
              <w:jc w:val="right"/>
              <w:rPr>
                <w:rFonts w:eastAsia="Calibri" w:cs="Times New Roman"/>
                <w:bCs/>
                <w:sz w:val="20"/>
              </w:rPr>
            </w:pPr>
            <w:r w:rsidRPr="00B44B19">
              <w:rPr>
                <w:rFonts w:cs="Times New Roman"/>
                <w:color w:val="000000"/>
                <w:sz w:val="20"/>
                <w:szCs w:val="20"/>
              </w:rPr>
              <w:t>11 200 000</w:t>
            </w:r>
            <w:r w:rsidR="00F30AFA" w:rsidRPr="00B44B19">
              <w:rPr>
                <w:rFonts w:eastAsia="Calibri" w:cs="Times New Roman"/>
                <w:bCs/>
                <w:sz w:val="20"/>
                <w:lang w:val="en-US"/>
              </w:rPr>
              <w:t>,00</w:t>
            </w:r>
          </w:p>
        </w:tc>
      </w:tr>
      <w:tr w:rsidR="00F30AFA" w:rsidRPr="00B44B19" w14:paraId="6AF7DEB5" w14:textId="77777777" w:rsidTr="00D27D25">
        <w:trPr>
          <w:trHeight w:val="345"/>
        </w:trPr>
        <w:tc>
          <w:tcPr>
            <w:tcW w:w="1098" w:type="dxa"/>
            <w:vMerge/>
            <w:tcBorders>
              <w:top w:val="single" w:sz="12" w:space="0" w:color="auto"/>
            </w:tcBorders>
          </w:tcPr>
          <w:p w14:paraId="08F9D0B3" w14:textId="77777777" w:rsidR="00F30AFA" w:rsidRPr="00B44B19" w:rsidRDefault="00F30AFA" w:rsidP="00F30AFA">
            <w:pPr>
              <w:jc w:val="center"/>
              <w:rPr>
                <w:rFonts w:eastAsia="Times New Roman" w:cs="Times New Roman"/>
                <w:iCs/>
                <w:noProof/>
                <w:sz w:val="20"/>
              </w:rPr>
            </w:pPr>
          </w:p>
        </w:tc>
        <w:tc>
          <w:tcPr>
            <w:tcW w:w="849" w:type="dxa"/>
            <w:vMerge/>
            <w:tcBorders>
              <w:top w:val="single" w:sz="12" w:space="0" w:color="auto"/>
            </w:tcBorders>
          </w:tcPr>
          <w:p w14:paraId="72C828DC" w14:textId="77777777" w:rsidR="00F30AFA" w:rsidRPr="00B44B19" w:rsidRDefault="00F30AFA" w:rsidP="00F30AFA">
            <w:pPr>
              <w:jc w:val="center"/>
              <w:rPr>
                <w:rFonts w:eastAsia="Times New Roman" w:cs="Times New Roman"/>
                <w:iCs/>
                <w:noProof/>
                <w:sz w:val="20"/>
              </w:rPr>
            </w:pPr>
          </w:p>
        </w:tc>
        <w:tc>
          <w:tcPr>
            <w:tcW w:w="1534" w:type="dxa"/>
            <w:tcBorders>
              <w:bottom w:val="single" w:sz="4" w:space="0" w:color="auto"/>
            </w:tcBorders>
          </w:tcPr>
          <w:p w14:paraId="03D464DB" w14:textId="76A9A8C8" w:rsidR="00F30AFA" w:rsidRPr="00B44B19" w:rsidRDefault="00F30AFA" w:rsidP="00F30AFA">
            <w:pPr>
              <w:rPr>
                <w:rFonts w:eastAsia="Times New Roman" w:cs="Times New Roman"/>
                <w:iCs/>
                <w:noProof/>
                <w:sz w:val="20"/>
              </w:rPr>
            </w:pPr>
            <w:r w:rsidRPr="00B44B19">
              <w:rPr>
                <w:rFonts w:cs="Times New Roman"/>
                <w:iCs/>
                <w:noProof/>
                <w:sz w:val="20"/>
              </w:rPr>
              <w:t>VVL regionas</w:t>
            </w:r>
          </w:p>
        </w:tc>
        <w:tc>
          <w:tcPr>
            <w:tcW w:w="1134" w:type="dxa"/>
            <w:vMerge/>
            <w:tcBorders>
              <w:top w:val="single" w:sz="4" w:space="0" w:color="auto"/>
            </w:tcBorders>
          </w:tcPr>
          <w:p w14:paraId="062DCC73" w14:textId="77777777" w:rsidR="00F30AFA" w:rsidRPr="00B44B19" w:rsidRDefault="00F30AFA" w:rsidP="00F30AFA">
            <w:pPr>
              <w:jc w:val="center"/>
              <w:rPr>
                <w:rFonts w:eastAsia="Times New Roman" w:cs="Times New Roman"/>
                <w:iCs/>
                <w:noProof/>
                <w:sz w:val="20"/>
              </w:rPr>
            </w:pPr>
          </w:p>
        </w:tc>
        <w:tc>
          <w:tcPr>
            <w:tcW w:w="3294" w:type="dxa"/>
            <w:vMerge/>
            <w:tcBorders>
              <w:bottom w:val="single" w:sz="4" w:space="0" w:color="auto"/>
            </w:tcBorders>
          </w:tcPr>
          <w:p w14:paraId="260915AC" w14:textId="77777777" w:rsidR="00F30AFA" w:rsidRPr="00B44B19" w:rsidRDefault="00F30AFA" w:rsidP="00F30AFA">
            <w:pPr>
              <w:rPr>
                <w:rFonts w:eastAsia="Times New Roman" w:cs="Times New Roman"/>
                <w:iCs/>
                <w:noProof/>
                <w:sz w:val="20"/>
              </w:rPr>
            </w:pPr>
          </w:p>
        </w:tc>
        <w:tc>
          <w:tcPr>
            <w:tcW w:w="1699" w:type="dxa"/>
            <w:tcBorders>
              <w:top w:val="single" w:sz="4" w:space="0" w:color="auto"/>
              <w:bottom w:val="single" w:sz="4" w:space="0" w:color="auto"/>
            </w:tcBorders>
          </w:tcPr>
          <w:p w14:paraId="45911C4F" w14:textId="33DD9580" w:rsidR="00F30AFA" w:rsidRPr="00B44B19" w:rsidRDefault="00F30AFA" w:rsidP="00F30AFA">
            <w:pPr>
              <w:suppressAutoHyphens/>
              <w:jc w:val="right"/>
              <w:rPr>
                <w:rFonts w:eastAsia="Calibri" w:cs="Times New Roman"/>
                <w:bCs/>
                <w:sz w:val="20"/>
              </w:rPr>
            </w:pPr>
            <w:r w:rsidRPr="00B44B19">
              <w:rPr>
                <w:rFonts w:eastAsia="Calibri" w:cs="Times New Roman"/>
                <w:bCs/>
                <w:sz w:val="20"/>
              </w:rPr>
              <w:t>18 000 000,00</w:t>
            </w:r>
          </w:p>
        </w:tc>
      </w:tr>
      <w:tr w:rsidR="00974B55" w:rsidRPr="00B44B19" w14:paraId="0FF81BA5" w14:textId="77777777" w:rsidTr="003040E3">
        <w:trPr>
          <w:trHeight w:val="345"/>
        </w:trPr>
        <w:tc>
          <w:tcPr>
            <w:tcW w:w="1098" w:type="dxa"/>
            <w:vMerge/>
            <w:tcBorders>
              <w:top w:val="single" w:sz="12" w:space="0" w:color="auto"/>
            </w:tcBorders>
          </w:tcPr>
          <w:p w14:paraId="119E2E8A" w14:textId="77777777" w:rsidR="00974B55" w:rsidRPr="00B44B19" w:rsidRDefault="00974B55" w:rsidP="00F30AFA">
            <w:pPr>
              <w:jc w:val="center"/>
              <w:rPr>
                <w:rFonts w:eastAsia="Times New Roman" w:cs="Times New Roman"/>
                <w:iCs/>
                <w:noProof/>
                <w:sz w:val="20"/>
              </w:rPr>
            </w:pPr>
          </w:p>
        </w:tc>
        <w:tc>
          <w:tcPr>
            <w:tcW w:w="849" w:type="dxa"/>
            <w:vMerge/>
            <w:tcBorders>
              <w:top w:val="single" w:sz="12" w:space="0" w:color="auto"/>
            </w:tcBorders>
          </w:tcPr>
          <w:p w14:paraId="7C6C2937" w14:textId="77777777" w:rsidR="00974B55" w:rsidRPr="00B44B19" w:rsidRDefault="00974B55" w:rsidP="00F30AFA">
            <w:pPr>
              <w:jc w:val="center"/>
              <w:rPr>
                <w:rFonts w:eastAsia="Times New Roman" w:cs="Times New Roman"/>
                <w:iCs/>
                <w:noProof/>
                <w:sz w:val="20"/>
              </w:rPr>
            </w:pPr>
          </w:p>
        </w:tc>
        <w:tc>
          <w:tcPr>
            <w:tcW w:w="1534" w:type="dxa"/>
            <w:tcBorders>
              <w:bottom w:val="single" w:sz="4" w:space="0" w:color="auto"/>
            </w:tcBorders>
          </w:tcPr>
          <w:p w14:paraId="5C760EF3" w14:textId="64BC81F4" w:rsidR="00974B55" w:rsidRPr="00B44B19" w:rsidRDefault="00974B55" w:rsidP="00F30AFA">
            <w:pPr>
              <w:rPr>
                <w:rFonts w:cs="Times New Roman"/>
                <w:iCs/>
                <w:noProof/>
                <w:sz w:val="20"/>
              </w:rPr>
            </w:pPr>
            <w:r w:rsidRPr="00B44B19">
              <w:rPr>
                <w:rFonts w:cs="Times New Roman"/>
                <w:iCs/>
                <w:noProof/>
                <w:sz w:val="20"/>
              </w:rPr>
              <w:t>Sostinės regionas</w:t>
            </w:r>
          </w:p>
        </w:tc>
        <w:tc>
          <w:tcPr>
            <w:tcW w:w="1134" w:type="dxa"/>
            <w:vMerge/>
            <w:tcBorders>
              <w:top w:val="single" w:sz="4" w:space="0" w:color="auto"/>
            </w:tcBorders>
          </w:tcPr>
          <w:p w14:paraId="382876BD" w14:textId="77777777" w:rsidR="00974B55" w:rsidRPr="00B44B19" w:rsidRDefault="00974B55" w:rsidP="00F30AFA">
            <w:pPr>
              <w:jc w:val="center"/>
              <w:rPr>
                <w:rFonts w:eastAsia="Times New Roman" w:cs="Times New Roman"/>
                <w:iCs/>
                <w:noProof/>
                <w:sz w:val="20"/>
              </w:rPr>
            </w:pPr>
          </w:p>
        </w:tc>
        <w:tc>
          <w:tcPr>
            <w:tcW w:w="3294" w:type="dxa"/>
            <w:vMerge w:val="restart"/>
          </w:tcPr>
          <w:p w14:paraId="0360112C" w14:textId="16D0E263" w:rsidR="00974B55" w:rsidRPr="00B44B19" w:rsidRDefault="00974B55" w:rsidP="00F30AFA">
            <w:pPr>
              <w:rPr>
                <w:rFonts w:eastAsia="Times New Roman" w:cs="Times New Roman"/>
                <w:iCs/>
                <w:noProof/>
                <w:sz w:val="20"/>
              </w:rPr>
            </w:pPr>
            <w:r w:rsidRPr="00B44B19">
              <w:rPr>
                <w:rFonts w:eastAsia="Times New Roman" w:cs="Times New Roman"/>
                <w:iCs/>
                <w:noProof/>
                <w:sz w:val="20"/>
              </w:rPr>
              <w:t>025 – Inkubacija, parama atžalinėms ir atskirtosioms įmonėms bei startuoliams</w:t>
            </w:r>
          </w:p>
        </w:tc>
        <w:tc>
          <w:tcPr>
            <w:tcW w:w="1699" w:type="dxa"/>
            <w:tcBorders>
              <w:top w:val="single" w:sz="4" w:space="0" w:color="auto"/>
              <w:bottom w:val="single" w:sz="4" w:space="0" w:color="auto"/>
            </w:tcBorders>
          </w:tcPr>
          <w:p w14:paraId="177F76AA" w14:textId="59BCAA78" w:rsidR="00974B55" w:rsidRPr="00B44B19" w:rsidRDefault="00042357" w:rsidP="00B326A5">
            <w:pPr>
              <w:jc w:val="right"/>
              <w:rPr>
                <w:rFonts w:cs="Times New Roman"/>
                <w:color w:val="000000"/>
                <w:sz w:val="20"/>
                <w:szCs w:val="20"/>
              </w:rPr>
            </w:pPr>
            <w:r w:rsidRPr="00B44B19">
              <w:rPr>
                <w:rFonts w:cs="Times New Roman"/>
                <w:color w:val="000000"/>
                <w:sz w:val="20"/>
                <w:szCs w:val="20"/>
              </w:rPr>
              <w:t>10 000 000,00</w:t>
            </w:r>
          </w:p>
        </w:tc>
      </w:tr>
      <w:tr w:rsidR="00974B55" w:rsidRPr="00B44B19" w14:paraId="0BAFA279" w14:textId="77777777" w:rsidTr="003040E3">
        <w:tc>
          <w:tcPr>
            <w:tcW w:w="1098" w:type="dxa"/>
            <w:vMerge/>
          </w:tcPr>
          <w:p w14:paraId="0F380143" w14:textId="77777777" w:rsidR="00974B55" w:rsidRPr="00B44B19" w:rsidRDefault="00974B55" w:rsidP="00F30AFA">
            <w:pPr>
              <w:rPr>
                <w:rFonts w:eastAsia="Times New Roman" w:cs="Times New Roman"/>
                <w:iCs/>
                <w:noProof/>
                <w:sz w:val="20"/>
              </w:rPr>
            </w:pPr>
          </w:p>
        </w:tc>
        <w:tc>
          <w:tcPr>
            <w:tcW w:w="849" w:type="dxa"/>
            <w:vMerge/>
          </w:tcPr>
          <w:p w14:paraId="7295309E" w14:textId="77777777" w:rsidR="00974B55" w:rsidRPr="00B44B19" w:rsidRDefault="00974B55" w:rsidP="00F30AFA">
            <w:pPr>
              <w:rPr>
                <w:rFonts w:eastAsia="Times New Roman" w:cs="Times New Roman"/>
                <w:b/>
                <w:iCs/>
                <w:noProof/>
                <w:sz w:val="20"/>
              </w:rPr>
            </w:pPr>
          </w:p>
        </w:tc>
        <w:tc>
          <w:tcPr>
            <w:tcW w:w="1534" w:type="dxa"/>
            <w:tcBorders>
              <w:top w:val="single" w:sz="4" w:space="0" w:color="auto"/>
              <w:bottom w:val="single" w:sz="4" w:space="0" w:color="auto"/>
            </w:tcBorders>
          </w:tcPr>
          <w:p w14:paraId="60770FF6" w14:textId="77777777" w:rsidR="00974B55" w:rsidRPr="00B44B19" w:rsidRDefault="00974B55" w:rsidP="00F30AFA">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52AC463B" w14:textId="77777777" w:rsidR="00974B55" w:rsidRPr="00B44B19" w:rsidRDefault="00974B55" w:rsidP="00F30AFA">
            <w:pPr>
              <w:rPr>
                <w:rFonts w:eastAsia="Times New Roman" w:cs="Times New Roman"/>
                <w:b/>
                <w:iCs/>
                <w:noProof/>
                <w:sz w:val="20"/>
              </w:rPr>
            </w:pPr>
          </w:p>
        </w:tc>
        <w:tc>
          <w:tcPr>
            <w:tcW w:w="3294" w:type="dxa"/>
            <w:vMerge/>
            <w:tcBorders>
              <w:bottom w:val="single" w:sz="4" w:space="0" w:color="auto"/>
            </w:tcBorders>
          </w:tcPr>
          <w:p w14:paraId="360F148F" w14:textId="08D60D82" w:rsidR="00974B55" w:rsidRPr="00B44B19" w:rsidRDefault="00974B55" w:rsidP="00F30AFA">
            <w:pPr>
              <w:rPr>
                <w:rFonts w:eastAsia="Times New Roman" w:cs="Times New Roman"/>
                <w:iCs/>
                <w:noProof/>
                <w:sz w:val="20"/>
              </w:rPr>
            </w:pPr>
          </w:p>
        </w:tc>
        <w:tc>
          <w:tcPr>
            <w:tcW w:w="1699" w:type="dxa"/>
            <w:tcBorders>
              <w:top w:val="single" w:sz="4" w:space="0" w:color="auto"/>
              <w:bottom w:val="single" w:sz="4" w:space="0" w:color="auto"/>
            </w:tcBorders>
          </w:tcPr>
          <w:p w14:paraId="7B948498" w14:textId="6E999A4D" w:rsidR="00974B55" w:rsidRPr="00B44B19" w:rsidRDefault="00042357" w:rsidP="00042357">
            <w:pPr>
              <w:jc w:val="right"/>
              <w:rPr>
                <w:rFonts w:eastAsia="Times New Roman" w:cs="Times New Roman"/>
                <w:iCs/>
                <w:noProof/>
                <w:sz w:val="20"/>
              </w:rPr>
            </w:pPr>
            <w:r w:rsidRPr="00B44B19">
              <w:rPr>
                <w:rFonts w:cs="Times New Roman"/>
                <w:color w:val="000000"/>
                <w:sz w:val="20"/>
                <w:szCs w:val="20"/>
              </w:rPr>
              <w:t>37 027 181</w:t>
            </w:r>
            <w:r w:rsidR="00974B55" w:rsidRPr="00B44B19">
              <w:rPr>
                <w:rFonts w:cs="Times New Roman"/>
                <w:sz w:val="20"/>
                <w:szCs w:val="20"/>
              </w:rPr>
              <w:t>,00</w:t>
            </w:r>
          </w:p>
        </w:tc>
      </w:tr>
      <w:tr w:rsidR="00F30AFA" w:rsidRPr="00B44B19" w14:paraId="48C4F4B3" w14:textId="77777777" w:rsidTr="00D27D25">
        <w:tc>
          <w:tcPr>
            <w:tcW w:w="1098" w:type="dxa"/>
            <w:vMerge/>
          </w:tcPr>
          <w:p w14:paraId="6BF8BB1F" w14:textId="77777777" w:rsidR="00F30AFA" w:rsidRPr="00B44B19" w:rsidRDefault="00F30AFA" w:rsidP="00F30AFA">
            <w:pPr>
              <w:rPr>
                <w:rFonts w:eastAsia="Times New Roman" w:cs="Times New Roman"/>
                <w:iCs/>
                <w:noProof/>
                <w:sz w:val="20"/>
              </w:rPr>
            </w:pPr>
          </w:p>
        </w:tc>
        <w:tc>
          <w:tcPr>
            <w:tcW w:w="849" w:type="dxa"/>
            <w:vMerge/>
          </w:tcPr>
          <w:p w14:paraId="402F72D2" w14:textId="77777777" w:rsidR="00F30AFA" w:rsidRPr="00B44B19" w:rsidRDefault="00F30AFA" w:rsidP="00F30AFA">
            <w:pPr>
              <w:rPr>
                <w:rFonts w:eastAsia="Times New Roman" w:cs="Times New Roman"/>
                <w:b/>
                <w:iCs/>
                <w:noProof/>
                <w:sz w:val="20"/>
              </w:rPr>
            </w:pPr>
          </w:p>
        </w:tc>
        <w:tc>
          <w:tcPr>
            <w:tcW w:w="1534" w:type="dxa"/>
            <w:tcBorders>
              <w:top w:val="single" w:sz="4" w:space="0" w:color="auto"/>
            </w:tcBorders>
          </w:tcPr>
          <w:p w14:paraId="7754C51E" w14:textId="77777777" w:rsidR="00F30AFA" w:rsidRPr="00B44B19" w:rsidRDefault="00F30AFA" w:rsidP="00F30AFA">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0A1B0025" w14:textId="77777777" w:rsidR="00F30AFA" w:rsidRPr="00B44B19" w:rsidRDefault="00F30AFA" w:rsidP="00F30AFA">
            <w:pPr>
              <w:rPr>
                <w:rFonts w:eastAsia="Times New Roman" w:cs="Times New Roman"/>
                <w:b/>
                <w:iCs/>
                <w:noProof/>
                <w:sz w:val="20"/>
              </w:rPr>
            </w:pPr>
          </w:p>
        </w:tc>
        <w:tc>
          <w:tcPr>
            <w:tcW w:w="3294" w:type="dxa"/>
            <w:tcBorders>
              <w:top w:val="single" w:sz="4" w:space="0" w:color="auto"/>
            </w:tcBorders>
          </w:tcPr>
          <w:p w14:paraId="48E142D0" w14:textId="77777777" w:rsidR="00F30AFA" w:rsidRPr="00B44B19" w:rsidRDefault="00F30AFA" w:rsidP="00F30AFA">
            <w:pPr>
              <w:rPr>
                <w:rFonts w:eastAsia="Times New Roman" w:cs="Times New Roman"/>
                <w:iCs/>
                <w:noProof/>
                <w:sz w:val="20"/>
              </w:rPr>
            </w:pPr>
            <w:r w:rsidRPr="00B44B19">
              <w:rPr>
                <w:rFonts w:eastAsia="Times New Roman" w:cs="Times New Roman"/>
                <w:iCs/>
                <w:noProof/>
                <w:sz w:val="20"/>
              </w:rPr>
              <w:t>026 – Parama inovacijų klasteriams, be kita ko, tarp įmonių, mokslinių tyrimų organizacijų ir valdžios institucijų bei verslo tinklų, kas visų pirma naudinga MVĮ</w:t>
            </w:r>
          </w:p>
        </w:tc>
        <w:tc>
          <w:tcPr>
            <w:tcW w:w="1699" w:type="dxa"/>
            <w:tcBorders>
              <w:top w:val="single" w:sz="4" w:space="0" w:color="auto"/>
            </w:tcBorders>
          </w:tcPr>
          <w:p w14:paraId="04CD0852" w14:textId="77777777" w:rsidR="00F30AFA" w:rsidRPr="00B44B19" w:rsidRDefault="00F30AFA" w:rsidP="00F30AFA">
            <w:pPr>
              <w:jc w:val="right"/>
              <w:rPr>
                <w:rFonts w:eastAsia="Times New Roman" w:cs="Times New Roman"/>
                <w:iCs/>
                <w:noProof/>
                <w:sz w:val="20"/>
              </w:rPr>
            </w:pPr>
            <w:r w:rsidRPr="00B44B19">
              <w:rPr>
                <w:rFonts w:cs="Times New Roman"/>
                <w:bCs/>
                <w:color w:val="000000"/>
                <w:sz w:val="20"/>
                <w:szCs w:val="20"/>
              </w:rPr>
              <w:t>8 000 000,00</w:t>
            </w:r>
          </w:p>
        </w:tc>
      </w:tr>
    </w:tbl>
    <w:p w14:paraId="46EC58BC" w14:textId="77777777" w:rsidR="00681418" w:rsidRPr="00B44B19" w:rsidRDefault="00681418" w:rsidP="002526CB">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9"/>
        <w:gridCol w:w="850"/>
        <w:gridCol w:w="1540"/>
        <w:gridCol w:w="1134"/>
        <w:gridCol w:w="3321"/>
        <w:gridCol w:w="1664"/>
      </w:tblGrid>
      <w:tr w:rsidR="00681418" w:rsidRPr="00B44B19" w14:paraId="63975FB2"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414F8BD" w14:textId="77777777" w:rsidR="00681418" w:rsidRPr="00B44B19" w:rsidRDefault="00681418" w:rsidP="00702B1D">
            <w:pPr>
              <w:rPr>
                <w:rFonts w:eastAsia="Times New Roman" w:cs="Times New Roman"/>
                <w:b/>
                <w:iCs/>
                <w:noProof/>
                <w:sz w:val="20"/>
              </w:rPr>
            </w:pPr>
            <w:r w:rsidRPr="00B44B19">
              <w:rPr>
                <w:rFonts w:cs="Times New Roman"/>
                <w:b/>
                <w:noProof/>
                <w:sz w:val="20"/>
              </w:rPr>
              <w:t xml:space="preserve">5 lentelė. 2 matmuo. </w:t>
            </w:r>
            <w:r w:rsidR="00702B1D" w:rsidRPr="00B44B19">
              <w:rPr>
                <w:rFonts w:cs="Times New Roman"/>
                <w:b/>
                <w:noProof/>
                <w:sz w:val="20"/>
              </w:rPr>
              <w:t>Finansavimo</w:t>
            </w:r>
            <w:r w:rsidR="007772C3" w:rsidRPr="00B44B19">
              <w:rPr>
                <w:rFonts w:cs="Times New Roman"/>
                <w:b/>
                <w:noProof/>
                <w:sz w:val="20"/>
              </w:rPr>
              <w:t xml:space="preserve"> </w:t>
            </w:r>
            <w:r w:rsidRPr="00B44B19">
              <w:rPr>
                <w:rFonts w:cs="Times New Roman"/>
                <w:b/>
                <w:noProof/>
                <w:sz w:val="20"/>
              </w:rPr>
              <w:t>forma</w:t>
            </w:r>
          </w:p>
        </w:tc>
      </w:tr>
      <w:tr w:rsidR="00681418" w:rsidRPr="00B44B19" w14:paraId="58DFFF73" w14:textId="77777777" w:rsidTr="00D85B6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3F2560"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89BB6D"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E81F7C"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CBE8D"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F6ED47"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F9B6A0"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Suma (EUR)</w:t>
            </w:r>
          </w:p>
        </w:tc>
      </w:tr>
      <w:tr w:rsidR="00D85B6F" w:rsidRPr="00B44B19" w14:paraId="0C9495FC" w14:textId="77777777" w:rsidTr="00D85B6F">
        <w:tc>
          <w:tcPr>
            <w:tcW w:w="1101" w:type="dxa"/>
            <w:vMerge w:val="restart"/>
            <w:tcBorders>
              <w:top w:val="single" w:sz="12" w:space="0" w:color="auto"/>
            </w:tcBorders>
          </w:tcPr>
          <w:p w14:paraId="2457CB33" w14:textId="77777777" w:rsidR="00D85B6F" w:rsidRPr="00B44B19" w:rsidRDefault="00D85B6F" w:rsidP="008A4063">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571B36FF" w14:textId="77777777" w:rsidR="00D85B6F" w:rsidRPr="00B44B19" w:rsidRDefault="00D85B6F" w:rsidP="008A4063">
            <w:pPr>
              <w:jc w:val="center"/>
              <w:rPr>
                <w:rFonts w:eastAsia="Times New Roman" w:cs="Times New Roman"/>
                <w:iCs/>
                <w:noProof/>
                <w:sz w:val="20"/>
              </w:rPr>
            </w:pPr>
            <w:r w:rsidRPr="00B44B19">
              <w:rPr>
                <w:rFonts w:eastAsia="Times New Roman" w:cs="Times New Roman"/>
                <w:iCs/>
                <w:noProof/>
                <w:sz w:val="20"/>
              </w:rPr>
              <w:t>ERPF</w:t>
            </w:r>
          </w:p>
        </w:tc>
        <w:tc>
          <w:tcPr>
            <w:tcW w:w="1559" w:type="dxa"/>
            <w:tcBorders>
              <w:top w:val="single" w:sz="12" w:space="0" w:color="auto"/>
              <w:bottom w:val="single" w:sz="4" w:space="0" w:color="auto"/>
            </w:tcBorders>
          </w:tcPr>
          <w:p w14:paraId="4A19BBD0" w14:textId="77777777" w:rsidR="00D85B6F" w:rsidRPr="00B44B19" w:rsidRDefault="00D85B6F" w:rsidP="008A4063">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bottom w:val="single" w:sz="4" w:space="0" w:color="auto"/>
            </w:tcBorders>
          </w:tcPr>
          <w:p w14:paraId="5846F8F9" w14:textId="77777777" w:rsidR="00D85B6F" w:rsidRPr="00B44B19" w:rsidRDefault="00D85B6F" w:rsidP="008A4063">
            <w:pPr>
              <w:jc w:val="center"/>
              <w:rPr>
                <w:rFonts w:eastAsia="Times New Roman" w:cs="Times New Roman"/>
                <w:b/>
                <w:iCs/>
                <w:noProof/>
                <w:sz w:val="20"/>
              </w:rPr>
            </w:pPr>
            <w:r w:rsidRPr="00B44B19">
              <w:rPr>
                <w:rFonts w:eastAsia="Times New Roman" w:cs="Times New Roman"/>
                <w:iCs/>
                <w:noProof/>
                <w:sz w:val="20"/>
              </w:rPr>
              <w:t>1.3</w:t>
            </w:r>
          </w:p>
        </w:tc>
        <w:tc>
          <w:tcPr>
            <w:tcW w:w="3402" w:type="dxa"/>
            <w:vMerge w:val="restart"/>
            <w:tcBorders>
              <w:top w:val="single" w:sz="12" w:space="0" w:color="auto"/>
            </w:tcBorders>
          </w:tcPr>
          <w:p w14:paraId="35CA3D34" w14:textId="77777777" w:rsidR="00D85B6F" w:rsidRPr="00B44B19" w:rsidRDefault="00D85B6F" w:rsidP="00D85B6F">
            <w:pPr>
              <w:rPr>
                <w:rFonts w:eastAsia="Times New Roman" w:cs="Times New Roman"/>
                <w:iCs/>
                <w:noProof/>
                <w:sz w:val="20"/>
              </w:rPr>
            </w:pPr>
            <w:r w:rsidRPr="00B44B19">
              <w:rPr>
                <w:rFonts w:eastAsia="Times New Roman" w:cs="Times New Roman"/>
                <w:iCs/>
                <w:noProof/>
                <w:sz w:val="20"/>
              </w:rPr>
              <w:t xml:space="preserve">01 </w:t>
            </w:r>
            <w:r w:rsidR="002B22DC" w:rsidRPr="00B44B19">
              <w:rPr>
                <w:rFonts w:eastAsia="Times New Roman" w:cs="Times New Roman"/>
                <w:iCs/>
                <w:noProof/>
                <w:sz w:val="20"/>
              </w:rPr>
              <w:t>–</w:t>
            </w:r>
            <w:r w:rsidRPr="00B44B19">
              <w:rPr>
                <w:rFonts w:eastAsia="Times New Roman" w:cs="Times New Roman"/>
                <w:iCs/>
                <w:noProof/>
                <w:sz w:val="20"/>
              </w:rPr>
              <w:t xml:space="preserve"> Dotacija</w:t>
            </w:r>
          </w:p>
        </w:tc>
        <w:tc>
          <w:tcPr>
            <w:tcW w:w="1701" w:type="dxa"/>
            <w:tcBorders>
              <w:top w:val="single" w:sz="12" w:space="0" w:color="auto"/>
              <w:bottom w:val="single" w:sz="4" w:space="0" w:color="auto"/>
            </w:tcBorders>
          </w:tcPr>
          <w:p w14:paraId="2A9AB814" w14:textId="77777777" w:rsidR="00D85B6F" w:rsidRPr="00B44B19" w:rsidRDefault="00D85B6F" w:rsidP="008A4063">
            <w:pPr>
              <w:jc w:val="right"/>
              <w:rPr>
                <w:rFonts w:eastAsia="Times New Roman" w:cs="Times New Roman"/>
                <w:iCs/>
                <w:noProof/>
                <w:sz w:val="20"/>
              </w:rPr>
            </w:pPr>
            <w:r w:rsidRPr="00B44B19">
              <w:rPr>
                <w:rFonts w:eastAsia="Times New Roman" w:cs="Times New Roman"/>
                <w:iCs/>
                <w:noProof/>
                <w:sz w:val="20"/>
              </w:rPr>
              <w:t>10 000 000,00</w:t>
            </w:r>
          </w:p>
        </w:tc>
      </w:tr>
      <w:tr w:rsidR="00686BE0" w:rsidRPr="00B44B19" w14:paraId="011F8376" w14:textId="77777777" w:rsidTr="00D85B6F">
        <w:tc>
          <w:tcPr>
            <w:tcW w:w="1101" w:type="dxa"/>
            <w:vMerge/>
            <w:tcBorders>
              <w:top w:val="single" w:sz="12" w:space="0" w:color="auto"/>
            </w:tcBorders>
          </w:tcPr>
          <w:p w14:paraId="3B4A994C" w14:textId="77777777" w:rsidR="00686BE0" w:rsidRPr="00B44B19" w:rsidRDefault="00686BE0" w:rsidP="008A4063">
            <w:pPr>
              <w:jc w:val="center"/>
              <w:rPr>
                <w:rFonts w:eastAsia="Times New Roman" w:cs="Times New Roman"/>
                <w:iCs/>
                <w:noProof/>
                <w:sz w:val="20"/>
              </w:rPr>
            </w:pPr>
          </w:p>
        </w:tc>
        <w:tc>
          <w:tcPr>
            <w:tcW w:w="850" w:type="dxa"/>
            <w:vMerge/>
            <w:tcBorders>
              <w:top w:val="single" w:sz="12" w:space="0" w:color="auto"/>
            </w:tcBorders>
          </w:tcPr>
          <w:p w14:paraId="37E7CDA7" w14:textId="77777777" w:rsidR="00686BE0" w:rsidRPr="00B44B19" w:rsidRDefault="00686BE0" w:rsidP="008A4063">
            <w:pPr>
              <w:jc w:val="center"/>
              <w:rPr>
                <w:rFonts w:eastAsia="Times New Roman" w:cs="Times New Roman"/>
                <w:iCs/>
                <w:noProof/>
                <w:sz w:val="20"/>
              </w:rPr>
            </w:pPr>
          </w:p>
        </w:tc>
        <w:tc>
          <w:tcPr>
            <w:tcW w:w="1559" w:type="dxa"/>
            <w:tcBorders>
              <w:top w:val="single" w:sz="4" w:space="0" w:color="auto"/>
              <w:bottom w:val="single" w:sz="4" w:space="0" w:color="auto"/>
            </w:tcBorders>
          </w:tcPr>
          <w:p w14:paraId="52C95FBA" w14:textId="77777777" w:rsidR="00686BE0" w:rsidRPr="00B44B19" w:rsidRDefault="00686BE0" w:rsidP="008A4063">
            <w:pPr>
              <w:rPr>
                <w:rFonts w:eastAsia="Times New Roman" w:cs="Times New Roman"/>
                <w:iCs/>
                <w:noProof/>
                <w:sz w:val="20"/>
              </w:rPr>
            </w:pPr>
            <w:r w:rsidRPr="00B44B19">
              <w:rPr>
                <w:rFonts w:eastAsia="Times New Roman" w:cs="Times New Roman"/>
                <w:iCs/>
                <w:noProof/>
                <w:sz w:val="20"/>
              </w:rPr>
              <w:t>VVL regionas</w:t>
            </w:r>
          </w:p>
        </w:tc>
        <w:tc>
          <w:tcPr>
            <w:tcW w:w="1134" w:type="dxa"/>
            <w:vMerge/>
            <w:tcBorders>
              <w:top w:val="single" w:sz="4" w:space="0" w:color="auto"/>
            </w:tcBorders>
          </w:tcPr>
          <w:p w14:paraId="126A372B" w14:textId="77777777" w:rsidR="00686BE0" w:rsidRPr="00B44B19" w:rsidRDefault="00686BE0" w:rsidP="008A4063">
            <w:pPr>
              <w:jc w:val="center"/>
              <w:rPr>
                <w:rFonts w:eastAsia="Times New Roman" w:cs="Times New Roman"/>
                <w:iCs/>
                <w:noProof/>
                <w:sz w:val="20"/>
              </w:rPr>
            </w:pPr>
          </w:p>
        </w:tc>
        <w:tc>
          <w:tcPr>
            <w:tcW w:w="3402" w:type="dxa"/>
            <w:vMerge/>
            <w:tcBorders>
              <w:bottom w:val="single" w:sz="4" w:space="0" w:color="auto"/>
            </w:tcBorders>
          </w:tcPr>
          <w:p w14:paraId="0FD322DF" w14:textId="77777777" w:rsidR="00686BE0" w:rsidRPr="00B44B19" w:rsidRDefault="00686BE0" w:rsidP="00D85B6F">
            <w:pPr>
              <w:rPr>
                <w:rFonts w:eastAsia="Times New Roman" w:cs="Times New Roman"/>
                <w:iCs/>
                <w:noProof/>
                <w:sz w:val="20"/>
              </w:rPr>
            </w:pPr>
          </w:p>
        </w:tc>
        <w:tc>
          <w:tcPr>
            <w:tcW w:w="1701" w:type="dxa"/>
            <w:tcBorders>
              <w:top w:val="single" w:sz="4" w:space="0" w:color="auto"/>
              <w:bottom w:val="single" w:sz="4" w:space="0" w:color="auto"/>
            </w:tcBorders>
          </w:tcPr>
          <w:p w14:paraId="31ED8BF8" w14:textId="7F35D41B" w:rsidR="00686BE0" w:rsidRPr="00B44B19" w:rsidRDefault="0090101B" w:rsidP="0090101B">
            <w:pPr>
              <w:jc w:val="right"/>
              <w:rPr>
                <w:rFonts w:cs="Times New Roman"/>
                <w:color w:val="000000"/>
                <w:sz w:val="20"/>
                <w:szCs w:val="20"/>
              </w:rPr>
            </w:pPr>
            <w:r w:rsidRPr="00B44B19">
              <w:rPr>
                <w:rFonts w:cs="Times New Roman"/>
                <w:color w:val="000000"/>
                <w:sz w:val="20"/>
                <w:szCs w:val="20"/>
              </w:rPr>
              <w:t>25 294 577</w:t>
            </w:r>
            <w:r w:rsidR="00D316FC" w:rsidRPr="00B44B19">
              <w:rPr>
                <w:rFonts w:cs="Times New Roman"/>
                <w:color w:val="000000"/>
                <w:sz w:val="20"/>
                <w:szCs w:val="20"/>
              </w:rPr>
              <w:t>,00</w:t>
            </w:r>
          </w:p>
        </w:tc>
      </w:tr>
      <w:tr w:rsidR="00686BE0" w:rsidRPr="00B44B19" w14:paraId="31F2B1B7" w14:textId="77777777" w:rsidTr="00D85B6F">
        <w:tc>
          <w:tcPr>
            <w:tcW w:w="1101" w:type="dxa"/>
            <w:vMerge/>
          </w:tcPr>
          <w:p w14:paraId="3102FB98" w14:textId="77777777" w:rsidR="00686BE0" w:rsidRPr="00B44B19" w:rsidRDefault="00686BE0" w:rsidP="008A4063">
            <w:pPr>
              <w:rPr>
                <w:rFonts w:eastAsia="Times New Roman" w:cs="Times New Roman"/>
                <w:b/>
                <w:iCs/>
                <w:noProof/>
                <w:sz w:val="20"/>
              </w:rPr>
            </w:pPr>
          </w:p>
        </w:tc>
        <w:tc>
          <w:tcPr>
            <w:tcW w:w="850" w:type="dxa"/>
            <w:vMerge/>
          </w:tcPr>
          <w:p w14:paraId="5A7AB2C3" w14:textId="77777777" w:rsidR="00686BE0" w:rsidRPr="00B44B19" w:rsidRDefault="00686BE0" w:rsidP="008A4063">
            <w:pPr>
              <w:rPr>
                <w:rFonts w:eastAsia="Times New Roman" w:cs="Times New Roman"/>
                <w:b/>
                <w:iCs/>
                <w:noProof/>
                <w:sz w:val="20"/>
              </w:rPr>
            </w:pPr>
          </w:p>
        </w:tc>
        <w:tc>
          <w:tcPr>
            <w:tcW w:w="1559" w:type="dxa"/>
            <w:tcBorders>
              <w:top w:val="single" w:sz="4" w:space="0" w:color="auto"/>
              <w:bottom w:val="single" w:sz="4" w:space="0" w:color="auto"/>
            </w:tcBorders>
          </w:tcPr>
          <w:p w14:paraId="3028BF31" w14:textId="77777777" w:rsidR="00686BE0" w:rsidRPr="00B44B19" w:rsidRDefault="00686BE0" w:rsidP="008A4063">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263B7C97" w14:textId="77777777" w:rsidR="00686BE0" w:rsidRPr="00B44B19" w:rsidRDefault="00686BE0" w:rsidP="008A4063">
            <w:pPr>
              <w:rPr>
                <w:rFonts w:eastAsia="Times New Roman" w:cs="Times New Roman"/>
                <w:b/>
                <w:iCs/>
                <w:noProof/>
                <w:sz w:val="20"/>
              </w:rPr>
            </w:pPr>
          </w:p>
        </w:tc>
        <w:tc>
          <w:tcPr>
            <w:tcW w:w="3402" w:type="dxa"/>
            <w:tcBorders>
              <w:top w:val="single" w:sz="4" w:space="0" w:color="auto"/>
              <w:bottom w:val="single" w:sz="4" w:space="0" w:color="auto"/>
            </w:tcBorders>
          </w:tcPr>
          <w:p w14:paraId="532772C3" w14:textId="77777777" w:rsidR="00686BE0" w:rsidRPr="00B44B19" w:rsidRDefault="00686BE0" w:rsidP="00D85B6F">
            <w:pPr>
              <w:rPr>
                <w:rFonts w:eastAsia="Times New Roman" w:cs="Times New Roman"/>
                <w:iCs/>
                <w:noProof/>
                <w:sz w:val="20"/>
              </w:rPr>
            </w:pPr>
            <w:r w:rsidRPr="00B44B19">
              <w:rPr>
                <w:rFonts w:eastAsia="Times New Roman" w:cs="Times New Roman"/>
                <w:iCs/>
                <w:noProof/>
                <w:sz w:val="20"/>
              </w:rPr>
              <w:t>02 – Naudojantis finansinėmis priemonėmis teikiama parama: nuosavas arba kvazinuosavas kapitalas</w:t>
            </w:r>
          </w:p>
        </w:tc>
        <w:tc>
          <w:tcPr>
            <w:tcW w:w="1701" w:type="dxa"/>
            <w:tcBorders>
              <w:top w:val="single" w:sz="4" w:space="0" w:color="auto"/>
              <w:bottom w:val="single" w:sz="4" w:space="0" w:color="auto"/>
            </w:tcBorders>
          </w:tcPr>
          <w:p w14:paraId="2B6A8EBD" w14:textId="77777777" w:rsidR="00686BE0" w:rsidRPr="00B44B19" w:rsidRDefault="00070C9F" w:rsidP="002E0C6A">
            <w:pPr>
              <w:jc w:val="right"/>
              <w:rPr>
                <w:rFonts w:eastAsia="Times New Roman" w:cs="Times New Roman"/>
                <w:iCs/>
                <w:noProof/>
                <w:sz w:val="20"/>
              </w:rPr>
            </w:pPr>
            <w:r w:rsidRPr="00B44B19">
              <w:rPr>
                <w:rFonts w:cs="Times New Roman"/>
                <w:color w:val="000000"/>
                <w:sz w:val="20"/>
                <w:szCs w:val="20"/>
              </w:rPr>
              <w:t>9 395 785,00</w:t>
            </w:r>
          </w:p>
        </w:tc>
      </w:tr>
      <w:tr w:rsidR="00686BE0" w:rsidRPr="00B44B19" w14:paraId="6F285321" w14:textId="77777777" w:rsidTr="00D85B6F">
        <w:tc>
          <w:tcPr>
            <w:tcW w:w="1101" w:type="dxa"/>
            <w:vMerge/>
          </w:tcPr>
          <w:p w14:paraId="46989724" w14:textId="77777777" w:rsidR="00686BE0" w:rsidRPr="00B44B19" w:rsidRDefault="00686BE0" w:rsidP="008A4063">
            <w:pPr>
              <w:rPr>
                <w:rFonts w:eastAsia="Times New Roman" w:cs="Times New Roman"/>
                <w:b/>
                <w:iCs/>
                <w:noProof/>
                <w:sz w:val="20"/>
              </w:rPr>
            </w:pPr>
          </w:p>
        </w:tc>
        <w:tc>
          <w:tcPr>
            <w:tcW w:w="850" w:type="dxa"/>
            <w:vMerge/>
          </w:tcPr>
          <w:p w14:paraId="66EB1BDD" w14:textId="77777777" w:rsidR="00686BE0" w:rsidRPr="00B44B19" w:rsidRDefault="00686BE0" w:rsidP="008A4063">
            <w:pPr>
              <w:rPr>
                <w:rFonts w:eastAsia="Times New Roman" w:cs="Times New Roman"/>
                <w:b/>
                <w:iCs/>
                <w:noProof/>
                <w:sz w:val="20"/>
              </w:rPr>
            </w:pPr>
          </w:p>
        </w:tc>
        <w:tc>
          <w:tcPr>
            <w:tcW w:w="1559" w:type="dxa"/>
            <w:tcBorders>
              <w:top w:val="single" w:sz="4" w:space="0" w:color="auto"/>
              <w:bottom w:val="single" w:sz="4" w:space="0" w:color="auto"/>
            </w:tcBorders>
          </w:tcPr>
          <w:p w14:paraId="6498DAAE" w14:textId="77777777" w:rsidR="00686BE0" w:rsidRPr="00B44B19" w:rsidRDefault="00686BE0" w:rsidP="008A4063">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570A268B" w14:textId="77777777" w:rsidR="00686BE0" w:rsidRPr="00B44B19" w:rsidRDefault="00686BE0" w:rsidP="008A4063">
            <w:pPr>
              <w:rPr>
                <w:rFonts w:eastAsia="Times New Roman" w:cs="Times New Roman"/>
                <w:b/>
                <w:iCs/>
                <w:noProof/>
                <w:sz w:val="20"/>
              </w:rPr>
            </w:pPr>
          </w:p>
        </w:tc>
        <w:tc>
          <w:tcPr>
            <w:tcW w:w="3402" w:type="dxa"/>
            <w:vMerge w:val="restart"/>
            <w:tcBorders>
              <w:top w:val="single" w:sz="4" w:space="0" w:color="auto"/>
            </w:tcBorders>
          </w:tcPr>
          <w:p w14:paraId="3B757A76" w14:textId="77777777" w:rsidR="00686BE0" w:rsidRPr="00B44B19" w:rsidRDefault="00686BE0" w:rsidP="00D85B6F">
            <w:pPr>
              <w:rPr>
                <w:rFonts w:eastAsia="Times New Roman" w:cs="Times New Roman"/>
                <w:iCs/>
                <w:noProof/>
                <w:sz w:val="20"/>
              </w:rPr>
            </w:pPr>
            <w:r w:rsidRPr="00B44B19">
              <w:rPr>
                <w:rFonts w:eastAsia="Times New Roman" w:cs="Times New Roman"/>
                <w:iCs/>
                <w:noProof/>
                <w:sz w:val="20"/>
              </w:rPr>
              <w:t>03 – Naudojantis finansinėmis priemonėmis teikiama parama: paskola</w:t>
            </w:r>
          </w:p>
        </w:tc>
        <w:tc>
          <w:tcPr>
            <w:tcW w:w="1701" w:type="dxa"/>
            <w:tcBorders>
              <w:top w:val="single" w:sz="4" w:space="0" w:color="auto"/>
              <w:bottom w:val="single" w:sz="4" w:space="0" w:color="auto"/>
            </w:tcBorders>
          </w:tcPr>
          <w:p w14:paraId="24E7E426" w14:textId="4F171AA6" w:rsidR="00686BE0" w:rsidRPr="00B44B19" w:rsidRDefault="0090101B" w:rsidP="0090101B">
            <w:pPr>
              <w:jc w:val="right"/>
              <w:rPr>
                <w:rFonts w:cs="Times New Roman"/>
                <w:color w:val="000000"/>
                <w:sz w:val="20"/>
                <w:szCs w:val="20"/>
              </w:rPr>
            </w:pPr>
            <w:r w:rsidRPr="00B44B19">
              <w:rPr>
                <w:rFonts w:cs="Times New Roman"/>
                <w:color w:val="000000"/>
                <w:sz w:val="20"/>
                <w:szCs w:val="20"/>
              </w:rPr>
              <w:t>47 660 000</w:t>
            </w:r>
            <w:r w:rsidR="00070C9F" w:rsidRPr="00B44B19">
              <w:rPr>
                <w:rFonts w:cs="Times New Roman"/>
                <w:color w:val="000000"/>
                <w:sz w:val="20"/>
                <w:szCs w:val="20"/>
              </w:rPr>
              <w:t>,00</w:t>
            </w:r>
          </w:p>
        </w:tc>
      </w:tr>
      <w:tr w:rsidR="00686BE0" w:rsidRPr="00B44B19" w14:paraId="61A0F0B5" w14:textId="77777777" w:rsidTr="00070C9F">
        <w:tc>
          <w:tcPr>
            <w:tcW w:w="1101" w:type="dxa"/>
            <w:vMerge/>
          </w:tcPr>
          <w:p w14:paraId="790A0435" w14:textId="77777777" w:rsidR="00686BE0" w:rsidRPr="00B44B19" w:rsidRDefault="00686BE0" w:rsidP="008A4063">
            <w:pPr>
              <w:rPr>
                <w:rFonts w:eastAsia="Times New Roman" w:cs="Times New Roman"/>
                <w:b/>
                <w:iCs/>
                <w:noProof/>
                <w:sz w:val="20"/>
              </w:rPr>
            </w:pPr>
          </w:p>
        </w:tc>
        <w:tc>
          <w:tcPr>
            <w:tcW w:w="850" w:type="dxa"/>
            <w:vMerge/>
          </w:tcPr>
          <w:p w14:paraId="105062C3" w14:textId="77777777" w:rsidR="00686BE0" w:rsidRPr="00B44B19" w:rsidRDefault="00686BE0" w:rsidP="008A4063">
            <w:pPr>
              <w:rPr>
                <w:rFonts w:eastAsia="Times New Roman" w:cs="Times New Roman"/>
                <w:b/>
                <w:iCs/>
                <w:noProof/>
                <w:sz w:val="20"/>
              </w:rPr>
            </w:pPr>
          </w:p>
        </w:tc>
        <w:tc>
          <w:tcPr>
            <w:tcW w:w="1559" w:type="dxa"/>
            <w:tcBorders>
              <w:top w:val="single" w:sz="4" w:space="0" w:color="auto"/>
              <w:bottom w:val="single" w:sz="4" w:space="0" w:color="auto"/>
            </w:tcBorders>
          </w:tcPr>
          <w:p w14:paraId="76E98FE7" w14:textId="77777777" w:rsidR="00686BE0" w:rsidRPr="00B44B19" w:rsidRDefault="00686BE0" w:rsidP="008A4063">
            <w:pPr>
              <w:tabs>
                <w:tab w:val="left" w:pos="1553"/>
              </w:tabs>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942928A" w14:textId="77777777" w:rsidR="00686BE0" w:rsidRPr="00B44B19" w:rsidRDefault="00686BE0" w:rsidP="008A4063">
            <w:pPr>
              <w:rPr>
                <w:rFonts w:eastAsia="Times New Roman" w:cs="Times New Roman"/>
                <w:b/>
                <w:iCs/>
                <w:noProof/>
                <w:sz w:val="20"/>
              </w:rPr>
            </w:pPr>
          </w:p>
        </w:tc>
        <w:tc>
          <w:tcPr>
            <w:tcW w:w="3402" w:type="dxa"/>
            <w:vMerge/>
            <w:tcBorders>
              <w:bottom w:val="single" w:sz="4" w:space="0" w:color="auto"/>
            </w:tcBorders>
          </w:tcPr>
          <w:p w14:paraId="09FCC1A1" w14:textId="77777777" w:rsidR="00686BE0" w:rsidRPr="00B44B19" w:rsidRDefault="00686BE0" w:rsidP="00D85B6F">
            <w:pPr>
              <w:rPr>
                <w:rFonts w:eastAsia="Times New Roman" w:cs="Times New Roman"/>
                <w:iCs/>
                <w:noProof/>
                <w:sz w:val="20"/>
              </w:rPr>
            </w:pPr>
          </w:p>
        </w:tc>
        <w:tc>
          <w:tcPr>
            <w:tcW w:w="1701" w:type="dxa"/>
            <w:tcBorders>
              <w:top w:val="single" w:sz="4" w:space="0" w:color="auto"/>
              <w:bottom w:val="single" w:sz="4" w:space="0" w:color="auto"/>
            </w:tcBorders>
            <w:vAlign w:val="center"/>
          </w:tcPr>
          <w:p w14:paraId="409CFCF4" w14:textId="44664279" w:rsidR="00686BE0" w:rsidRPr="00B44B19" w:rsidRDefault="0090101B" w:rsidP="0090101B">
            <w:pPr>
              <w:jc w:val="right"/>
              <w:rPr>
                <w:rFonts w:eastAsia="Times New Roman" w:cs="Times New Roman"/>
                <w:iCs/>
                <w:noProof/>
                <w:sz w:val="20"/>
              </w:rPr>
            </w:pPr>
            <w:r w:rsidRPr="00B44B19">
              <w:rPr>
                <w:rFonts w:cs="Times New Roman"/>
                <w:color w:val="000000"/>
                <w:sz w:val="20"/>
                <w:szCs w:val="20"/>
              </w:rPr>
              <w:t>99 128 819</w:t>
            </w:r>
            <w:r w:rsidR="00070C9F" w:rsidRPr="00B44B19">
              <w:rPr>
                <w:rFonts w:cs="Times New Roman"/>
                <w:color w:val="000000"/>
                <w:sz w:val="20"/>
                <w:szCs w:val="20"/>
              </w:rPr>
              <w:t>,00</w:t>
            </w:r>
          </w:p>
        </w:tc>
      </w:tr>
      <w:tr w:rsidR="00686BE0" w:rsidRPr="00B44B19" w14:paraId="569011A9" w14:textId="77777777" w:rsidTr="00D85B6F">
        <w:tc>
          <w:tcPr>
            <w:tcW w:w="1101" w:type="dxa"/>
            <w:vMerge/>
          </w:tcPr>
          <w:p w14:paraId="763F484F" w14:textId="77777777" w:rsidR="00686BE0" w:rsidRPr="00B44B19" w:rsidRDefault="00686BE0" w:rsidP="008A4063">
            <w:pPr>
              <w:rPr>
                <w:rFonts w:eastAsia="Times New Roman" w:cs="Times New Roman"/>
                <w:b/>
                <w:iCs/>
                <w:noProof/>
                <w:sz w:val="20"/>
              </w:rPr>
            </w:pPr>
          </w:p>
        </w:tc>
        <w:tc>
          <w:tcPr>
            <w:tcW w:w="850" w:type="dxa"/>
            <w:vMerge/>
          </w:tcPr>
          <w:p w14:paraId="74C608DD" w14:textId="77777777" w:rsidR="00686BE0" w:rsidRPr="00B44B19" w:rsidRDefault="00686BE0" w:rsidP="008A4063">
            <w:pPr>
              <w:rPr>
                <w:rFonts w:eastAsia="Times New Roman" w:cs="Times New Roman"/>
                <w:b/>
                <w:iCs/>
                <w:noProof/>
                <w:sz w:val="20"/>
              </w:rPr>
            </w:pPr>
          </w:p>
        </w:tc>
        <w:tc>
          <w:tcPr>
            <w:tcW w:w="1559" w:type="dxa"/>
            <w:tcBorders>
              <w:top w:val="single" w:sz="4" w:space="0" w:color="auto"/>
              <w:bottom w:val="single" w:sz="4" w:space="0" w:color="auto"/>
            </w:tcBorders>
          </w:tcPr>
          <w:p w14:paraId="6C4F0463" w14:textId="77777777" w:rsidR="00686BE0" w:rsidRPr="00B44B19" w:rsidRDefault="00686BE0" w:rsidP="008A4063">
            <w:pPr>
              <w:tabs>
                <w:tab w:val="left" w:pos="1553"/>
              </w:tabs>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2E683EC8" w14:textId="77777777" w:rsidR="00686BE0" w:rsidRPr="00B44B19" w:rsidRDefault="00686BE0" w:rsidP="008A4063">
            <w:pPr>
              <w:rPr>
                <w:rFonts w:eastAsia="Times New Roman" w:cs="Times New Roman"/>
                <w:b/>
                <w:iCs/>
                <w:noProof/>
                <w:sz w:val="20"/>
              </w:rPr>
            </w:pPr>
          </w:p>
        </w:tc>
        <w:tc>
          <w:tcPr>
            <w:tcW w:w="3402" w:type="dxa"/>
            <w:vMerge w:val="restart"/>
            <w:tcBorders>
              <w:top w:val="single" w:sz="4" w:space="0" w:color="auto"/>
            </w:tcBorders>
          </w:tcPr>
          <w:p w14:paraId="703D3906" w14:textId="77777777" w:rsidR="00686BE0" w:rsidRPr="00B44B19" w:rsidRDefault="00686BE0" w:rsidP="00D85B6F">
            <w:pPr>
              <w:rPr>
                <w:rFonts w:eastAsia="Times New Roman" w:cs="Times New Roman"/>
                <w:iCs/>
                <w:noProof/>
                <w:sz w:val="20"/>
              </w:rPr>
            </w:pPr>
            <w:r w:rsidRPr="00B44B19">
              <w:rPr>
                <w:rFonts w:eastAsia="Times New Roman" w:cs="Times New Roman"/>
                <w:iCs/>
                <w:noProof/>
                <w:sz w:val="20"/>
              </w:rPr>
              <w:t>05 – Naudojantis finansinėmis priemonėmis teikiama parama: dotacijos, suteiktos vykdant finansinės priemonės veiksmą</w:t>
            </w:r>
          </w:p>
        </w:tc>
        <w:tc>
          <w:tcPr>
            <w:tcW w:w="1701" w:type="dxa"/>
            <w:tcBorders>
              <w:top w:val="single" w:sz="4" w:space="0" w:color="auto"/>
              <w:bottom w:val="single" w:sz="4" w:space="0" w:color="auto"/>
            </w:tcBorders>
          </w:tcPr>
          <w:p w14:paraId="77C1881F" w14:textId="2210F294" w:rsidR="00686BE0" w:rsidRPr="00B44B19" w:rsidRDefault="0090101B" w:rsidP="0090101B">
            <w:pPr>
              <w:jc w:val="right"/>
              <w:rPr>
                <w:rFonts w:cs="Times New Roman"/>
                <w:color w:val="000000"/>
                <w:sz w:val="20"/>
                <w:szCs w:val="20"/>
              </w:rPr>
            </w:pPr>
            <w:r w:rsidRPr="00B44B19">
              <w:rPr>
                <w:rFonts w:cs="Times New Roman"/>
                <w:color w:val="000000"/>
                <w:sz w:val="20"/>
                <w:szCs w:val="20"/>
              </w:rPr>
              <w:t>6 240 000</w:t>
            </w:r>
            <w:r w:rsidR="00070C9F" w:rsidRPr="00B44B19">
              <w:rPr>
                <w:rFonts w:cs="Times New Roman"/>
                <w:color w:val="000000"/>
                <w:sz w:val="20"/>
                <w:szCs w:val="20"/>
              </w:rPr>
              <w:t>,00</w:t>
            </w:r>
          </w:p>
        </w:tc>
      </w:tr>
      <w:tr w:rsidR="00686BE0" w:rsidRPr="00B44B19" w14:paraId="262D43C1" w14:textId="77777777" w:rsidTr="00D85B6F">
        <w:tc>
          <w:tcPr>
            <w:tcW w:w="1101" w:type="dxa"/>
            <w:vMerge/>
          </w:tcPr>
          <w:p w14:paraId="700258BB" w14:textId="77777777" w:rsidR="00686BE0" w:rsidRPr="00B44B19" w:rsidRDefault="00686BE0" w:rsidP="008A4063">
            <w:pPr>
              <w:rPr>
                <w:rFonts w:eastAsia="Times New Roman" w:cs="Times New Roman"/>
                <w:b/>
                <w:iCs/>
                <w:noProof/>
                <w:sz w:val="20"/>
              </w:rPr>
            </w:pPr>
          </w:p>
        </w:tc>
        <w:tc>
          <w:tcPr>
            <w:tcW w:w="850" w:type="dxa"/>
            <w:vMerge/>
          </w:tcPr>
          <w:p w14:paraId="2513040F" w14:textId="77777777" w:rsidR="00686BE0" w:rsidRPr="00B44B19" w:rsidRDefault="00686BE0" w:rsidP="008A4063">
            <w:pPr>
              <w:rPr>
                <w:rFonts w:eastAsia="Times New Roman" w:cs="Times New Roman"/>
                <w:b/>
                <w:iCs/>
                <w:noProof/>
                <w:sz w:val="20"/>
              </w:rPr>
            </w:pPr>
          </w:p>
        </w:tc>
        <w:tc>
          <w:tcPr>
            <w:tcW w:w="1559" w:type="dxa"/>
            <w:tcBorders>
              <w:top w:val="single" w:sz="4" w:space="0" w:color="auto"/>
            </w:tcBorders>
          </w:tcPr>
          <w:p w14:paraId="658F6C51" w14:textId="77777777" w:rsidR="00686BE0" w:rsidRPr="00B44B19" w:rsidRDefault="00686BE0" w:rsidP="008A4063">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A3B5A75" w14:textId="77777777" w:rsidR="00686BE0" w:rsidRPr="00B44B19" w:rsidRDefault="00686BE0" w:rsidP="008A4063">
            <w:pPr>
              <w:rPr>
                <w:rFonts w:eastAsia="Times New Roman" w:cs="Times New Roman"/>
                <w:b/>
                <w:iCs/>
                <w:noProof/>
                <w:sz w:val="20"/>
              </w:rPr>
            </w:pPr>
          </w:p>
        </w:tc>
        <w:tc>
          <w:tcPr>
            <w:tcW w:w="3402" w:type="dxa"/>
            <w:vMerge/>
          </w:tcPr>
          <w:p w14:paraId="620A1E15" w14:textId="77777777" w:rsidR="00686BE0" w:rsidRPr="00B44B19" w:rsidRDefault="00686BE0" w:rsidP="00D85B6F">
            <w:pPr>
              <w:rPr>
                <w:rFonts w:eastAsia="Times New Roman" w:cs="Times New Roman"/>
                <w:iCs/>
                <w:noProof/>
                <w:sz w:val="20"/>
              </w:rPr>
            </w:pPr>
          </w:p>
        </w:tc>
        <w:tc>
          <w:tcPr>
            <w:tcW w:w="1701" w:type="dxa"/>
            <w:tcBorders>
              <w:top w:val="single" w:sz="4" w:space="0" w:color="auto"/>
            </w:tcBorders>
          </w:tcPr>
          <w:p w14:paraId="1499C4F0" w14:textId="77777777" w:rsidR="0090101B" w:rsidRPr="00B44B19" w:rsidRDefault="00D316FC" w:rsidP="002E0C6A">
            <w:pPr>
              <w:jc w:val="right"/>
              <w:rPr>
                <w:rFonts w:cs="Times New Roman"/>
                <w:color w:val="000000"/>
                <w:sz w:val="20"/>
                <w:szCs w:val="20"/>
              </w:rPr>
            </w:pPr>
            <w:r w:rsidRPr="00B44B19">
              <w:rPr>
                <w:rFonts w:cs="Times New Roman"/>
                <w:color w:val="000000"/>
                <w:sz w:val="20"/>
                <w:szCs w:val="20"/>
              </w:rPr>
              <w:t xml:space="preserve"> </w:t>
            </w:r>
          </w:p>
          <w:p w14:paraId="3930F4D4" w14:textId="7F36CA57" w:rsidR="00686BE0" w:rsidRPr="00B44B19" w:rsidRDefault="0090101B" w:rsidP="0090101B">
            <w:pPr>
              <w:jc w:val="right"/>
              <w:rPr>
                <w:rFonts w:eastAsia="Times New Roman" w:cs="Times New Roman"/>
                <w:iCs/>
                <w:noProof/>
                <w:sz w:val="20"/>
              </w:rPr>
            </w:pPr>
            <w:r w:rsidRPr="00B44B19">
              <w:rPr>
                <w:rFonts w:cs="Times New Roman"/>
                <w:color w:val="000000"/>
                <w:sz w:val="20"/>
                <w:szCs w:val="20"/>
              </w:rPr>
              <w:t>11 414 917</w:t>
            </w:r>
            <w:r w:rsidR="00D316FC" w:rsidRPr="00B44B19">
              <w:rPr>
                <w:rFonts w:cs="Times New Roman"/>
                <w:color w:val="000000"/>
                <w:sz w:val="20"/>
                <w:szCs w:val="20"/>
              </w:rPr>
              <w:t>,00</w:t>
            </w:r>
          </w:p>
        </w:tc>
      </w:tr>
    </w:tbl>
    <w:p w14:paraId="318D1BAE" w14:textId="77777777" w:rsidR="00681418" w:rsidRPr="00B44B19" w:rsidRDefault="00681418" w:rsidP="002526CB">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8"/>
        <w:gridCol w:w="850"/>
        <w:gridCol w:w="1540"/>
        <w:gridCol w:w="1134"/>
        <w:gridCol w:w="3324"/>
        <w:gridCol w:w="1662"/>
      </w:tblGrid>
      <w:tr w:rsidR="00681418" w:rsidRPr="00B44B19" w14:paraId="775F644F" w14:textId="77777777" w:rsidTr="00423E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D6BB084" w14:textId="77777777" w:rsidR="00681418" w:rsidRPr="00B44B19" w:rsidRDefault="00681418" w:rsidP="008A4063">
            <w:pPr>
              <w:rPr>
                <w:rFonts w:eastAsia="Times New Roman" w:cs="Times New Roman"/>
                <w:b/>
                <w:iCs/>
                <w:noProof/>
                <w:sz w:val="20"/>
              </w:rPr>
            </w:pPr>
            <w:r w:rsidRPr="00B44B19">
              <w:rPr>
                <w:rFonts w:cs="Times New Roman"/>
                <w:b/>
                <w:noProof/>
                <w:sz w:val="20"/>
              </w:rPr>
              <w:t xml:space="preserve">6 lentelė. 3 matmuo. </w:t>
            </w:r>
            <w:r w:rsidR="007772C3" w:rsidRPr="00B44B19">
              <w:rPr>
                <w:rFonts w:cs="Times New Roman"/>
                <w:b/>
                <w:noProof/>
                <w:sz w:val="20"/>
              </w:rPr>
              <w:t>Teritorinis įgyvendinimo mechanizmas ir pagrindinė teritorinė sritis</w:t>
            </w:r>
            <w:r w:rsidRPr="00B44B19">
              <w:rPr>
                <w:rFonts w:cs="Times New Roman"/>
                <w:b/>
                <w:noProof/>
                <w:sz w:val="20"/>
              </w:rPr>
              <w:t>Teritorinės paramos paskirstymo priemonė ir teritorinė kryptis</w:t>
            </w:r>
          </w:p>
        </w:tc>
      </w:tr>
      <w:tr w:rsidR="00681418" w:rsidRPr="00B44B19" w14:paraId="598006A4" w14:textId="77777777" w:rsidTr="00423E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9818EC"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00D0B3"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53615C"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CAC356"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Konkretus uždavinys</w:t>
            </w:r>
          </w:p>
        </w:tc>
        <w:tc>
          <w:tcPr>
            <w:tcW w:w="34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B4ADEF"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816EAF" w14:textId="77777777" w:rsidR="00681418" w:rsidRPr="00B44B19" w:rsidRDefault="00681418" w:rsidP="008A4063">
            <w:pPr>
              <w:jc w:val="center"/>
              <w:rPr>
                <w:rFonts w:eastAsia="Times New Roman" w:cs="Times New Roman"/>
                <w:b/>
                <w:iCs/>
                <w:noProof/>
                <w:sz w:val="20"/>
              </w:rPr>
            </w:pPr>
            <w:r w:rsidRPr="00B44B19">
              <w:rPr>
                <w:rFonts w:cs="Times New Roman"/>
                <w:b/>
                <w:noProof/>
                <w:sz w:val="20"/>
              </w:rPr>
              <w:t>Suma (EUR)</w:t>
            </w:r>
          </w:p>
        </w:tc>
      </w:tr>
      <w:tr w:rsidR="00686BE0" w:rsidRPr="00B44B19" w14:paraId="0A14AAF3" w14:textId="77777777" w:rsidTr="00423E48">
        <w:tc>
          <w:tcPr>
            <w:tcW w:w="1101" w:type="dxa"/>
            <w:vMerge w:val="restart"/>
            <w:tcBorders>
              <w:top w:val="single" w:sz="12" w:space="0" w:color="auto"/>
            </w:tcBorders>
          </w:tcPr>
          <w:p w14:paraId="1F8B9DF8" w14:textId="77777777" w:rsidR="00686BE0" w:rsidRPr="00B44B19" w:rsidRDefault="00686BE0" w:rsidP="008A4063">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4A37E525" w14:textId="77777777" w:rsidR="00686BE0" w:rsidRPr="00B44B19" w:rsidRDefault="00686BE0" w:rsidP="008A4063">
            <w:pPr>
              <w:jc w:val="center"/>
              <w:rPr>
                <w:rFonts w:eastAsia="Times New Roman" w:cs="Times New Roman"/>
                <w:iCs/>
                <w:noProof/>
                <w:sz w:val="20"/>
              </w:rPr>
            </w:pPr>
            <w:r w:rsidRPr="00B44B19">
              <w:rPr>
                <w:rFonts w:eastAsia="Times New Roman" w:cs="Times New Roman"/>
                <w:iCs/>
                <w:noProof/>
                <w:sz w:val="20"/>
              </w:rPr>
              <w:t>ERPF</w:t>
            </w:r>
          </w:p>
        </w:tc>
        <w:tc>
          <w:tcPr>
            <w:tcW w:w="1559" w:type="dxa"/>
            <w:tcBorders>
              <w:top w:val="single" w:sz="12" w:space="0" w:color="auto"/>
              <w:bottom w:val="single" w:sz="4" w:space="0" w:color="auto"/>
            </w:tcBorders>
          </w:tcPr>
          <w:p w14:paraId="5D5EA32B" w14:textId="77777777" w:rsidR="00686BE0" w:rsidRPr="00B44B19" w:rsidRDefault="00686BE0" w:rsidP="008A4063">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bottom w:val="single" w:sz="4" w:space="0" w:color="auto"/>
            </w:tcBorders>
          </w:tcPr>
          <w:p w14:paraId="12A68396" w14:textId="77777777" w:rsidR="00686BE0" w:rsidRPr="00B44B19" w:rsidRDefault="00686BE0" w:rsidP="008A4063">
            <w:pPr>
              <w:jc w:val="center"/>
              <w:rPr>
                <w:rFonts w:eastAsia="Times New Roman" w:cs="Times New Roman"/>
                <w:iCs/>
                <w:noProof/>
                <w:sz w:val="20"/>
              </w:rPr>
            </w:pPr>
            <w:r w:rsidRPr="00B44B19">
              <w:rPr>
                <w:rFonts w:eastAsia="Times New Roman" w:cs="Times New Roman"/>
                <w:iCs/>
                <w:noProof/>
                <w:sz w:val="20"/>
              </w:rPr>
              <w:t>1.3</w:t>
            </w:r>
          </w:p>
        </w:tc>
        <w:tc>
          <w:tcPr>
            <w:tcW w:w="3402" w:type="dxa"/>
            <w:vMerge w:val="restart"/>
            <w:tcBorders>
              <w:top w:val="single" w:sz="12" w:space="0" w:color="auto"/>
              <w:bottom w:val="single" w:sz="4" w:space="0" w:color="auto"/>
            </w:tcBorders>
          </w:tcPr>
          <w:p w14:paraId="1912D89A" w14:textId="77777777" w:rsidR="00686BE0" w:rsidRPr="00B44B19" w:rsidRDefault="00686BE0" w:rsidP="00D85B6F">
            <w:pPr>
              <w:rPr>
                <w:rFonts w:eastAsia="Times New Roman" w:cs="Times New Roman"/>
                <w:iCs/>
                <w:noProof/>
                <w:sz w:val="20"/>
              </w:rPr>
            </w:pPr>
            <w:r w:rsidRPr="00B44B19">
              <w:rPr>
                <w:rFonts w:eastAsia="Times New Roman" w:cs="Times New Roman"/>
                <w:iCs/>
                <w:noProof/>
                <w:sz w:val="20"/>
              </w:rPr>
              <w:t>33 – Nesiorientuojant į teritoriškumą</w:t>
            </w:r>
          </w:p>
        </w:tc>
        <w:tc>
          <w:tcPr>
            <w:tcW w:w="1701" w:type="dxa"/>
            <w:tcBorders>
              <w:top w:val="single" w:sz="12" w:space="0" w:color="auto"/>
              <w:bottom w:val="single" w:sz="4" w:space="0" w:color="auto"/>
            </w:tcBorders>
          </w:tcPr>
          <w:p w14:paraId="030C4DE3" w14:textId="73FD5CBF" w:rsidR="00686BE0" w:rsidRPr="00B44B19" w:rsidRDefault="00070C9F" w:rsidP="002E0C6A">
            <w:pPr>
              <w:jc w:val="right"/>
              <w:rPr>
                <w:rFonts w:eastAsia="Times New Roman" w:cs="Times New Roman"/>
                <w:iCs/>
                <w:noProof/>
                <w:sz w:val="20"/>
              </w:rPr>
            </w:pPr>
            <w:r w:rsidRPr="00B44B19">
              <w:rPr>
                <w:rFonts w:cs="Times New Roman"/>
                <w:bCs/>
                <w:sz w:val="20"/>
              </w:rPr>
              <w:t xml:space="preserve">63 </w:t>
            </w:r>
            <w:r w:rsidR="00B326A5" w:rsidRPr="00B44B19">
              <w:rPr>
                <w:rFonts w:cs="Times New Roman"/>
                <w:bCs/>
                <w:sz w:val="20"/>
              </w:rPr>
              <w:t>9</w:t>
            </w:r>
            <w:r w:rsidRPr="00B44B19">
              <w:rPr>
                <w:rFonts w:cs="Times New Roman"/>
                <w:bCs/>
                <w:sz w:val="20"/>
              </w:rPr>
              <w:t>00 000,00</w:t>
            </w:r>
          </w:p>
        </w:tc>
      </w:tr>
      <w:tr w:rsidR="00686BE0" w:rsidRPr="00B44B19" w14:paraId="33F30959" w14:textId="77777777" w:rsidTr="00423E48">
        <w:tc>
          <w:tcPr>
            <w:tcW w:w="1101" w:type="dxa"/>
            <w:vMerge/>
          </w:tcPr>
          <w:p w14:paraId="55EEE992" w14:textId="77777777" w:rsidR="00686BE0" w:rsidRPr="00B44B19" w:rsidRDefault="00686BE0" w:rsidP="008A4063">
            <w:pPr>
              <w:jc w:val="center"/>
              <w:rPr>
                <w:rFonts w:eastAsia="Times New Roman" w:cs="Times New Roman"/>
                <w:iCs/>
                <w:noProof/>
                <w:sz w:val="20"/>
              </w:rPr>
            </w:pPr>
          </w:p>
        </w:tc>
        <w:tc>
          <w:tcPr>
            <w:tcW w:w="850" w:type="dxa"/>
            <w:vMerge/>
          </w:tcPr>
          <w:p w14:paraId="498366D6" w14:textId="77777777" w:rsidR="00686BE0" w:rsidRPr="00B44B19" w:rsidRDefault="00686BE0" w:rsidP="008A4063">
            <w:pPr>
              <w:jc w:val="center"/>
              <w:rPr>
                <w:rFonts w:eastAsia="Times New Roman" w:cs="Times New Roman"/>
                <w:iCs/>
                <w:noProof/>
                <w:sz w:val="20"/>
              </w:rPr>
            </w:pPr>
          </w:p>
        </w:tc>
        <w:tc>
          <w:tcPr>
            <w:tcW w:w="1559" w:type="dxa"/>
            <w:tcBorders>
              <w:top w:val="single" w:sz="4" w:space="0" w:color="auto"/>
              <w:bottom w:val="single" w:sz="4" w:space="0" w:color="auto"/>
            </w:tcBorders>
          </w:tcPr>
          <w:p w14:paraId="510D045F" w14:textId="77777777" w:rsidR="00686BE0" w:rsidRPr="00B44B19" w:rsidRDefault="00686BE0" w:rsidP="008A4063">
            <w:pPr>
              <w:rPr>
                <w:rFonts w:eastAsia="Times New Roman" w:cs="Times New Roman"/>
                <w:iCs/>
                <w:noProof/>
                <w:sz w:val="20"/>
              </w:rPr>
            </w:pPr>
            <w:r w:rsidRPr="00B44B19">
              <w:rPr>
                <w:rFonts w:eastAsia="Times New Roman" w:cs="Times New Roman"/>
                <w:iCs/>
                <w:noProof/>
                <w:sz w:val="20"/>
              </w:rPr>
              <w:t>VVL regionas</w:t>
            </w:r>
          </w:p>
        </w:tc>
        <w:tc>
          <w:tcPr>
            <w:tcW w:w="1134" w:type="dxa"/>
            <w:vMerge/>
            <w:tcBorders>
              <w:top w:val="single" w:sz="4" w:space="0" w:color="auto"/>
            </w:tcBorders>
          </w:tcPr>
          <w:p w14:paraId="7B6D882D" w14:textId="77777777" w:rsidR="00686BE0" w:rsidRPr="00B44B19" w:rsidRDefault="00686BE0" w:rsidP="008A4063">
            <w:pPr>
              <w:jc w:val="center"/>
              <w:rPr>
                <w:rFonts w:eastAsia="Times New Roman" w:cs="Times New Roman"/>
                <w:iCs/>
                <w:noProof/>
                <w:sz w:val="20"/>
              </w:rPr>
            </w:pPr>
          </w:p>
        </w:tc>
        <w:tc>
          <w:tcPr>
            <w:tcW w:w="3402" w:type="dxa"/>
            <w:vMerge/>
            <w:tcBorders>
              <w:top w:val="single" w:sz="4" w:space="0" w:color="auto"/>
              <w:bottom w:val="single" w:sz="4" w:space="0" w:color="auto"/>
            </w:tcBorders>
          </w:tcPr>
          <w:p w14:paraId="340E141E" w14:textId="77777777" w:rsidR="00686BE0" w:rsidRPr="00B44B19" w:rsidRDefault="00686BE0" w:rsidP="008A4063">
            <w:pPr>
              <w:jc w:val="center"/>
              <w:rPr>
                <w:rFonts w:eastAsia="Times New Roman" w:cs="Times New Roman"/>
                <w:iCs/>
                <w:noProof/>
                <w:sz w:val="20"/>
              </w:rPr>
            </w:pPr>
          </w:p>
        </w:tc>
        <w:tc>
          <w:tcPr>
            <w:tcW w:w="1701" w:type="dxa"/>
            <w:tcBorders>
              <w:top w:val="single" w:sz="4" w:space="0" w:color="auto"/>
              <w:bottom w:val="single" w:sz="4" w:space="0" w:color="auto"/>
            </w:tcBorders>
          </w:tcPr>
          <w:p w14:paraId="1B26A0C9" w14:textId="59DBF004" w:rsidR="00686BE0" w:rsidRPr="00B44B19" w:rsidRDefault="00B326A5" w:rsidP="00B326A5">
            <w:pPr>
              <w:jc w:val="right"/>
              <w:rPr>
                <w:rFonts w:cs="Times New Roman"/>
                <w:bCs/>
                <w:color w:val="000000"/>
                <w:sz w:val="20"/>
                <w:szCs w:val="20"/>
              </w:rPr>
            </w:pPr>
            <w:r w:rsidRPr="00B44B19">
              <w:rPr>
                <w:rFonts w:cs="Times New Roman"/>
                <w:color w:val="000000"/>
                <w:sz w:val="20"/>
                <w:szCs w:val="20"/>
              </w:rPr>
              <w:t>145 234 098</w:t>
            </w:r>
            <w:r w:rsidR="00070C9F" w:rsidRPr="00B44B19">
              <w:rPr>
                <w:rFonts w:cs="Times New Roman"/>
                <w:bCs/>
                <w:sz w:val="20"/>
              </w:rPr>
              <w:t>,00</w:t>
            </w:r>
          </w:p>
        </w:tc>
      </w:tr>
    </w:tbl>
    <w:p w14:paraId="0DBA7C5E" w14:textId="77777777" w:rsidR="00E438B8" w:rsidRPr="00B44B19" w:rsidRDefault="00E438B8" w:rsidP="002526CB">
      <w:pPr>
        <w:spacing w:after="0" w:line="240" w:lineRule="auto"/>
        <w:rPr>
          <w:rFonts w:cs="Times New Roman"/>
          <w:sz w:val="20"/>
          <w:szCs w:val="20"/>
        </w:rPr>
      </w:pPr>
    </w:p>
    <w:tbl>
      <w:tblPr>
        <w:tblStyle w:val="Lentelstinklelis"/>
        <w:tblW w:w="9747" w:type="dxa"/>
        <w:tblLook w:val="04A0" w:firstRow="1" w:lastRow="0" w:firstColumn="1" w:lastColumn="0" w:noHBand="0" w:noVBand="1"/>
      </w:tblPr>
      <w:tblGrid>
        <w:gridCol w:w="1101"/>
        <w:gridCol w:w="850"/>
        <w:gridCol w:w="1418"/>
        <w:gridCol w:w="1134"/>
        <w:gridCol w:w="3543"/>
        <w:gridCol w:w="1701"/>
      </w:tblGrid>
      <w:tr w:rsidR="00E438B8" w:rsidRPr="00B44B19" w14:paraId="67F7BDEC" w14:textId="77777777" w:rsidTr="00423E4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641DE3E" w14:textId="77777777" w:rsidR="00E438B8" w:rsidRPr="00B44B19" w:rsidRDefault="00E438B8" w:rsidP="00E438B8">
            <w:pPr>
              <w:rPr>
                <w:rFonts w:eastAsia="Times New Roman" w:cs="Times New Roman"/>
                <w:b/>
                <w:iCs/>
                <w:noProof/>
                <w:sz w:val="20"/>
                <w:szCs w:val="20"/>
              </w:rPr>
            </w:pPr>
            <w:r w:rsidRPr="00B44B19">
              <w:rPr>
                <w:rFonts w:cs="Times New Roman"/>
                <w:b/>
                <w:noProof/>
                <w:sz w:val="20"/>
                <w:szCs w:val="20"/>
              </w:rPr>
              <w:t xml:space="preserve">7 lentelė. 7 matmuo. </w:t>
            </w:r>
            <w:r w:rsidRPr="00B44B19">
              <w:rPr>
                <w:rFonts w:eastAsia="Calibri" w:cs="Times New Roman"/>
                <w:b/>
                <w:sz w:val="20"/>
                <w:szCs w:val="20"/>
              </w:rPr>
              <w:t>ESF+, ERPF, S</w:t>
            </w:r>
            <w:r w:rsidR="00E62772" w:rsidRPr="00B44B19">
              <w:rPr>
                <w:rFonts w:eastAsia="Calibri" w:cs="Times New Roman"/>
                <w:b/>
                <w:sz w:val="20"/>
                <w:szCs w:val="20"/>
              </w:rPr>
              <w:t>a</w:t>
            </w:r>
            <w:r w:rsidRPr="00B44B19">
              <w:rPr>
                <w:rFonts w:eastAsia="Calibri" w:cs="Times New Roman"/>
                <w:b/>
                <w:sz w:val="20"/>
                <w:szCs w:val="20"/>
              </w:rPr>
              <w:t>F ir TPF lyčių lygybės matmuo</w:t>
            </w:r>
          </w:p>
        </w:tc>
      </w:tr>
      <w:tr w:rsidR="00E438B8" w:rsidRPr="00B44B19" w14:paraId="2E52C2B1" w14:textId="77777777" w:rsidTr="00423E4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3DF8ED"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836F0B"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47D5C1"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E0485F"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Konkretus uždavinys</w:t>
            </w:r>
          </w:p>
        </w:tc>
        <w:tc>
          <w:tcPr>
            <w:tcW w:w="3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4536B5"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50A190"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Suma (EUR)</w:t>
            </w:r>
          </w:p>
        </w:tc>
      </w:tr>
      <w:tr w:rsidR="00070C9F" w:rsidRPr="00B44B19" w14:paraId="3AC37DDF" w14:textId="77777777" w:rsidTr="00423E48">
        <w:tc>
          <w:tcPr>
            <w:tcW w:w="1101" w:type="dxa"/>
            <w:vMerge w:val="restart"/>
            <w:tcBorders>
              <w:top w:val="single" w:sz="12" w:space="0" w:color="auto"/>
            </w:tcBorders>
          </w:tcPr>
          <w:p w14:paraId="3803CEAD" w14:textId="77777777" w:rsidR="00070C9F" w:rsidRPr="00B44B19" w:rsidRDefault="00070C9F" w:rsidP="00E438B8">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051C9C8A" w14:textId="77777777" w:rsidR="00070C9F" w:rsidRPr="00B44B19" w:rsidRDefault="00070C9F" w:rsidP="00E438B8">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35AE1DDE" w14:textId="77777777" w:rsidR="00070C9F" w:rsidRPr="00B44B19" w:rsidRDefault="00070C9F" w:rsidP="00E438B8">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73BCAF47" w14:textId="77777777" w:rsidR="00070C9F" w:rsidRPr="00B44B19" w:rsidRDefault="00070C9F" w:rsidP="00E438B8">
            <w:pPr>
              <w:jc w:val="center"/>
              <w:rPr>
                <w:rFonts w:eastAsia="Times New Roman" w:cs="Times New Roman"/>
                <w:iCs/>
                <w:noProof/>
                <w:sz w:val="20"/>
              </w:rPr>
            </w:pPr>
            <w:r w:rsidRPr="00B44B19">
              <w:rPr>
                <w:rFonts w:eastAsia="Times New Roman" w:cs="Times New Roman"/>
                <w:iCs/>
                <w:noProof/>
                <w:sz w:val="20"/>
              </w:rPr>
              <w:t>1.3</w:t>
            </w:r>
          </w:p>
        </w:tc>
        <w:tc>
          <w:tcPr>
            <w:tcW w:w="3543" w:type="dxa"/>
            <w:vMerge w:val="restart"/>
            <w:tcBorders>
              <w:top w:val="single" w:sz="12" w:space="0" w:color="auto"/>
            </w:tcBorders>
          </w:tcPr>
          <w:p w14:paraId="289D2AA2" w14:textId="77777777" w:rsidR="00070C9F" w:rsidRPr="00B44B19" w:rsidRDefault="00070C9F" w:rsidP="007167BE">
            <w:pPr>
              <w:rPr>
                <w:rFonts w:eastAsia="Times New Roman" w:cs="Times New Roman"/>
                <w:iCs/>
                <w:noProof/>
                <w:sz w:val="20"/>
              </w:rPr>
            </w:pPr>
            <w:r w:rsidRPr="00B44B19">
              <w:rPr>
                <w:rFonts w:eastAsia="Times New Roman" w:cs="Times New Roman"/>
                <w:iCs/>
                <w:noProof/>
                <w:sz w:val="20"/>
              </w:rPr>
              <w:t>03 – Neutralumas lyties požiūriu</w:t>
            </w:r>
          </w:p>
        </w:tc>
        <w:tc>
          <w:tcPr>
            <w:tcW w:w="1701" w:type="dxa"/>
            <w:tcBorders>
              <w:top w:val="single" w:sz="12" w:space="0" w:color="auto"/>
              <w:bottom w:val="single" w:sz="4" w:space="0" w:color="auto"/>
            </w:tcBorders>
          </w:tcPr>
          <w:p w14:paraId="30795BCC" w14:textId="6593A131" w:rsidR="00070C9F" w:rsidRPr="00B44B19" w:rsidRDefault="00070C9F" w:rsidP="004D209E">
            <w:pPr>
              <w:jc w:val="right"/>
              <w:rPr>
                <w:rFonts w:cs="Times New Roman"/>
                <w:sz w:val="20"/>
              </w:rPr>
            </w:pPr>
            <w:r w:rsidRPr="00B44B19">
              <w:rPr>
                <w:rFonts w:cs="Times New Roman"/>
                <w:sz w:val="20"/>
              </w:rPr>
              <w:t xml:space="preserve">63 </w:t>
            </w:r>
            <w:r w:rsidR="00AF1CDD" w:rsidRPr="00B44B19">
              <w:rPr>
                <w:rFonts w:cs="Times New Roman"/>
                <w:sz w:val="20"/>
              </w:rPr>
              <w:t>9</w:t>
            </w:r>
            <w:r w:rsidRPr="00B44B19">
              <w:rPr>
                <w:rFonts w:cs="Times New Roman"/>
                <w:sz w:val="20"/>
              </w:rPr>
              <w:t>00 000,00</w:t>
            </w:r>
          </w:p>
        </w:tc>
      </w:tr>
      <w:tr w:rsidR="00070C9F" w:rsidRPr="00B44B19" w14:paraId="2F5A6C20" w14:textId="77777777" w:rsidTr="00423E48">
        <w:tc>
          <w:tcPr>
            <w:tcW w:w="1101" w:type="dxa"/>
            <w:vMerge/>
          </w:tcPr>
          <w:p w14:paraId="78C0A8E7" w14:textId="77777777" w:rsidR="00070C9F" w:rsidRPr="00B44B19" w:rsidRDefault="00070C9F" w:rsidP="00E438B8">
            <w:pPr>
              <w:jc w:val="center"/>
              <w:rPr>
                <w:rFonts w:eastAsia="Times New Roman" w:cs="Times New Roman"/>
                <w:iCs/>
                <w:noProof/>
                <w:sz w:val="20"/>
              </w:rPr>
            </w:pPr>
          </w:p>
        </w:tc>
        <w:tc>
          <w:tcPr>
            <w:tcW w:w="850" w:type="dxa"/>
            <w:vMerge/>
          </w:tcPr>
          <w:p w14:paraId="121C9E68" w14:textId="77777777" w:rsidR="00070C9F" w:rsidRPr="00B44B19" w:rsidRDefault="00070C9F" w:rsidP="00E438B8">
            <w:pPr>
              <w:jc w:val="center"/>
              <w:rPr>
                <w:rFonts w:eastAsia="Times New Roman" w:cs="Times New Roman"/>
                <w:iCs/>
                <w:noProof/>
                <w:sz w:val="20"/>
              </w:rPr>
            </w:pPr>
          </w:p>
        </w:tc>
        <w:tc>
          <w:tcPr>
            <w:tcW w:w="1418" w:type="dxa"/>
            <w:tcBorders>
              <w:top w:val="single" w:sz="4" w:space="0" w:color="auto"/>
              <w:bottom w:val="single" w:sz="4" w:space="0" w:color="auto"/>
            </w:tcBorders>
          </w:tcPr>
          <w:p w14:paraId="6EF5B240" w14:textId="77777777" w:rsidR="00070C9F" w:rsidRPr="00B44B19" w:rsidRDefault="00070C9F" w:rsidP="00E438B8">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62C44379" w14:textId="77777777" w:rsidR="00070C9F" w:rsidRPr="00B44B19" w:rsidRDefault="00070C9F" w:rsidP="00E438B8">
            <w:pPr>
              <w:jc w:val="center"/>
              <w:rPr>
                <w:rFonts w:eastAsia="Times New Roman" w:cs="Times New Roman"/>
                <w:iCs/>
                <w:noProof/>
                <w:sz w:val="20"/>
              </w:rPr>
            </w:pPr>
          </w:p>
        </w:tc>
        <w:tc>
          <w:tcPr>
            <w:tcW w:w="3543" w:type="dxa"/>
            <w:vMerge/>
            <w:tcBorders>
              <w:bottom w:val="single" w:sz="4" w:space="0" w:color="auto"/>
            </w:tcBorders>
          </w:tcPr>
          <w:p w14:paraId="1E5D6D79" w14:textId="77777777" w:rsidR="00070C9F" w:rsidRPr="00B44B19" w:rsidRDefault="00070C9F" w:rsidP="00E438B8">
            <w:pPr>
              <w:jc w:val="center"/>
              <w:rPr>
                <w:rFonts w:eastAsia="Times New Roman" w:cs="Times New Roman"/>
                <w:iCs/>
                <w:noProof/>
                <w:sz w:val="20"/>
              </w:rPr>
            </w:pPr>
          </w:p>
        </w:tc>
        <w:tc>
          <w:tcPr>
            <w:tcW w:w="1701" w:type="dxa"/>
            <w:tcBorders>
              <w:top w:val="single" w:sz="4" w:space="0" w:color="auto"/>
              <w:bottom w:val="single" w:sz="4" w:space="0" w:color="auto"/>
            </w:tcBorders>
          </w:tcPr>
          <w:p w14:paraId="013D7FBF" w14:textId="6B9BC989" w:rsidR="00070C9F" w:rsidRPr="00B44B19" w:rsidRDefault="00AF1CDD" w:rsidP="00AF1CDD">
            <w:pPr>
              <w:jc w:val="right"/>
              <w:rPr>
                <w:rFonts w:cs="Times New Roman"/>
                <w:sz w:val="20"/>
              </w:rPr>
            </w:pPr>
            <w:r w:rsidRPr="00B44B19">
              <w:rPr>
                <w:rFonts w:cs="Times New Roman"/>
                <w:color w:val="000000"/>
                <w:sz w:val="20"/>
                <w:szCs w:val="20"/>
              </w:rPr>
              <w:t>145 234 098</w:t>
            </w:r>
            <w:r w:rsidR="00070C9F" w:rsidRPr="00B44B19">
              <w:rPr>
                <w:rFonts w:cs="Times New Roman"/>
                <w:sz w:val="20"/>
              </w:rPr>
              <w:t>,00</w:t>
            </w:r>
          </w:p>
        </w:tc>
      </w:tr>
    </w:tbl>
    <w:p w14:paraId="3AF2C1C5" w14:textId="77777777" w:rsidR="00EF291A" w:rsidRPr="00B44B19" w:rsidRDefault="00EF291A" w:rsidP="00D456C1">
      <w:pPr>
        <w:pStyle w:val="Antrat2"/>
        <w:rPr>
          <w:rFonts w:eastAsia="Calibri"/>
          <w:noProof/>
          <w:lang w:eastAsia="lt-LT" w:bidi="lt-LT"/>
        </w:rPr>
      </w:pPr>
      <w:bookmarkStart w:id="16" w:name="_Toc223435413"/>
      <w:r w:rsidRPr="00B44B19">
        <w:rPr>
          <w:rFonts w:eastAsia="Calibri"/>
          <w:noProof/>
          <w:lang w:eastAsia="lt-LT" w:bidi="lt-LT"/>
        </w:rPr>
        <w:t xml:space="preserve">Konkretus uždavinys – 1.4. </w:t>
      </w:r>
      <w:r w:rsidR="002B5AF3" w:rsidRPr="00B44B19">
        <w:rPr>
          <w:rFonts w:eastAsia="Calibri"/>
          <w:noProof/>
          <w:lang w:eastAsia="lt-LT" w:bidi="lt-LT"/>
        </w:rPr>
        <w:t>Ugdyti pažangiajai specializacijai, pramonės pertvarkai ir verslumui reikalingus įgūdžius</w:t>
      </w:r>
      <w:bookmarkEnd w:id="16"/>
    </w:p>
    <w:p w14:paraId="0E00861D"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Įgyvendinamos veiklos</w:t>
      </w:r>
    </w:p>
    <w:tbl>
      <w:tblPr>
        <w:tblStyle w:val="Lentelstinklelis11"/>
        <w:tblW w:w="9889" w:type="dxa"/>
        <w:tblLook w:val="04A0" w:firstRow="1" w:lastRow="0" w:firstColumn="1" w:lastColumn="0" w:noHBand="0" w:noVBand="1"/>
      </w:tblPr>
      <w:tblGrid>
        <w:gridCol w:w="9889"/>
      </w:tblGrid>
      <w:tr w:rsidR="00EF291A" w:rsidRPr="00B44B19" w14:paraId="0C8F3600" w14:textId="77777777" w:rsidTr="00EB70C3">
        <w:tc>
          <w:tcPr>
            <w:tcW w:w="9889" w:type="dxa"/>
          </w:tcPr>
          <w:p w14:paraId="4525B2BE" w14:textId="77777777" w:rsidR="00681418" w:rsidRPr="00B44B19" w:rsidRDefault="00681418" w:rsidP="004952F4">
            <w:pPr>
              <w:spacing w:before="60" w:after="60"/>
              <w:jc w:val="both"/>
              <w:rPr>
                <w:rFonts w:ascii="Times New Roman" w:eastAsia="Times New Roman" w:hAnsi="Times New Roman" w:cs="Times New Roman"/>
                <w:noProof/>
                <w:szCs w:val="20"/>
              </w:rPr>
            </w:pPr>
            <w:r w:rsidRPr="00B44B19">
              <w:rPr>
                <w:rFonts w:ascii="Times New Roman" w:eastAsia="Times New Roman" w:hAnsi="Times New Roman" w:cs="Times New Roman"/>
                <w:noProof/>
              </w:rPr>
              <w:lastRenderedPageBreak/>
              <w:t xml:space="preserve">Šio uždavinio veiklos įgyvendins </w:t>
            </w:r>
            <w:r w:rsidR="004C1B72" w:rsidRPr="00B44B19">
              <w:rPr>
                <w:rFonts w:ascii="Times New Roman" w:eastAsia="Times New Roman" w:hAnsi="Times New Roman" w:cs="Times New Roman"/>
                <w:b/>
                <w:bCs/>
                <w:noProof/>
              </w:rPr>
              <w:t>S4</w:t>
            </w:r>
            <w:r w:rsidR="004C1B72" w:rsidRPr="00B44B19">
              <w:rPr>
                <w:rFonts w:ascii="Times New Roman" w:eastAsia="Times New Roman" w:hAnsi="Times New Roman" w:cs="Times New Roman"/>
                <w:noProof/>
              </w:rPr>
              <w:t>.</w:t>
            </w:r>
            <w:r w:rsidRPr="00B44B19">
              <w:rPr>
                <w:rFonts w:ascii="Times New Roman" w:eastAsia="Times New Roman" w:hAnsi="Times New Roman" w:cs="Times New Roman"/>
                <w:noProof/>
              </w:rPr>
              <w:t xml:space="preserve"> </w:t>
            </w:r>
            <w:r w:rsidRPr="00B44B19">
              <w:rPr>
                <w:rFonts w:ascii="Times New Roman" w:eastAsia="Times New Roman" w:hAnsi="Times New Roman" w:cs="Times New Roman"/>
                <w:noProof/>
                <w:szCs w:val="20"/>
              </w:rPr>
              <w:t xml:space="preserve">Skaitmeninimas suteikia didžiulį potencialą didinti produktyvumą. Deja, skaitmeninės transformacijos požiūriu ypač atsilieka tradiciniai pramonės sektoriai ir MVĮ. Siekiant tvaraus, inovacijomis grįsto ekonomikos augimo, numatoma ugdyti įgūdžius didžiausią potencialą turinčiose </w:t>
            </w:r>
            <w:r w:rsidR="004C1B72" w:rsidRPr="00B44B19">
              <w:rPr>
                <w:rFonts w:ascii="Times New Roman" w:eastAsia="Times New Roman" w:hAnsi="Times New Roman" w:cs="Times New Roman"/>
                <w:noProof/>
                <w:szCs w:val="20"/>
              </w:rPr>
              <w:t xml:space="preserve">S4 </w:t>
            </w:r>
            <w:r w:rsidRPr="00B44B19">
              <w:rPr>
                <w:rFonts w:ascii="Times New Roman" w:eastAsia="Times New Roman" w:hAnsi="Times New Roman" w:cs="Times New Roman"/>
                <w:noProof/>
                <w:szCs w:val="20"/>
              </w:rPr>
              <w:t xml:space="preserve">srityse. Bendrojo pobūdžio gebėjimai persiorientavimui į kitas ekonomines veiklas, žemos kvalifikacijos asmenų įgūdžių tobulinimas </w:t>
            </w:r>
            <w:r w:rsidR="00B04B53" w:rsidRPr="00B44B19">
              <w:rPr>
                <w:rFonts w:ascii="Times New Roman" w:hAnsi="Times New Roman" w:cs="Times New Roman"/>
              </w:rPr>
              <w:t xml:space="preserve">arba </w:t>
            </w:r>
            <w:r w:rsidR="00B04B53" w:rsidRPr="00B44B19">
              <w:rPr>
                <w:rFonts w:ascii="Times New Roman" w:eastAsia="Times New Roman" w:hAnsi="Times New Roman" w:cs="Times New Roman"/>
                <w:noProof/>
                <w:szCs w:val="20"/>
              </w:rPr>
              <w:t>besimokančių, nedirbančių</w:t>
            </w:r>
            <w:r w:rsidR="00B04B53" w:rsidRPr="00B44B19">
              <w:rPr>
                <w:rFonts w:ascii="Times New Roman" w:hAnsi="Times New Roman" w:cs="Times New Roman"/>
              </w:rPr>
              <w:t>,</w:t>
            </w:r>
            <w:r w:rsidRPr="00B44B19">
              <w:rPr>
                <w:rFonts w:ascii="Times New Roman" w:eastAsia="Times New Roman" w:hAnsi="Times New Roman" w:cs="Times New Roman"/>
                <w:noProof/>
                <w:szCs w:val="20"/>
              </w:rPr>
              <w:t xml:space="preserve"> vyresnio amžiaus </w:t>
            </w:r>
            <w:r w:rsidR="00B04B53" w:rsidRPr="00B44B19">
              <w:rPr>
                <w:rFonts w:ascii="Times New Roman" w:eastAsia="Times New Roman" w:hAnsi="Times New Roman" w:cs="Times New Roman"/>
                <w:noProof/>
                <w:szCs w:val="20"/>
              </w:rPr>
              <w:t>asmenų</w:t>
            </w:r>
            <w:r w:rsidRPr="00B44B19">
              <w:rPr>
                <w:rFonts w:ascii="Times New Roman" w:eastAsia="Times New Roman" w:hAnsi="Times New Roman" w:cs="Times New Roman"/>
                <w:noProof/>
                <w:szCs w:val="20"/>
              </w:rPr>
              <w:t xml:space="preserve"> ir </w:t>
            </w:r>
            <w:r w:rsidR="00B04B53" w:rsidRPr="00B44B19">
              <w:rPr>
                <w:rFonts w:ascii="Times New Roman" w:hAnsi="Times New Roman" w:cs="Times New Roman"/>
              </w:rPr>
              <w:t xml:space="preserve">pan. </w:t>
            </w:r>
            <w:r w:rsidR="00B04B53" w:rsidRPr="00B44B19">
              <w:rPr>
                <w:rFonts w:ascii="Times New Roman" w:eastAsia="Times New Roman" w:hAnsi="Times New Roman" w:cs="Times New Roman"/>
                <w:noProof/>
                <w:szCs w:val="20"/>
              </w:rPr>
              <w:t xml:space="preserve">įgūdžiai </w:t>
            </w:r>
            <w:r w:rsidRPr="00B44B19">
              <w:rPr>
                <w:rFonts w:ascii="Times New Roman" w:eastAsia="Times New Roman" w:hAnsi="Times New Roman" w:cs="Times New Roman"/>
                <w:noProof/>
                <w:szCs w:val="20"/>
              </w:rPr>
              <w:t>bus skatinami pagal Programos 4 prioritetą „Socialiai atsakingesnė Lietuva“.</w:t>
            </w:r>
          </w:p>
          <w:p w14:paraId="5247034E" w14:textId="77777777" w:rsidR="00681418" w:rsidRPr="00B44B19" w:rsidRDefault="00681418" w:rsidP="004952F4">
            <w:pPr>
              <w:spacing w:before="60" w:after="60"/>
              <w:jc w:val="both"/>
              <w:rPr>
                <w:rFonts w:ascii="Times New Roman" w:eastAsia="Times New Roman" w:hAnsi="Times New Roman" w:cs="Times New Roman"/>
                <w:noProof/>
                <w:szCs w:val="20"/>
              </w:rPr>
            </w:pPr>
            <w:r w:rsidRPr="00B44B19">
              <w:rPr>
                <w:rFonts w:ascii="Times New Roman" w:eastAsia="Times New Roman" w:hAnsi="Times New Roman" w:cs="Times New Roman"/>
                <w:bCs/>
                <w:iCs/>
                <w:szCs w:val="24"/>
              </w:rPr>
              <w:t>Lietuvoje trūksta sisteminių priemonių, skirtų</w:t>
            </w:r>
            <w:r w:rsidRPr="00B44B19">
              <w:rPr>
                <w:rFonts w:ascii="Times New Roman" w:eastAsia="Times New Roman" w:hAnsi="Times New Roman" w:cs="Times New Roman"/>
                <w:noProof/>
                <w:szCs w:val="20"/>
              </w:rPr>
              <w:t xml:space="preserve"> darbo jėgai perkvalifikuoti arba jos kvalifikacijai</w:t>
            </w:r>
            <w:r w:rsidRPr="00B44B19">
              <w:rPr>
                <w:rFonts w:ascii="Times New Roman" w:hAnsi="Times New Roman" w:cs="Times New Roman"/>
                <w:bCs/>
              </w:rPr>
              <w:t xml:space="preserve"> </w:t>
            </w:r>
            <w:r w:rsidRPr="00B44B19">
              <w:rPr>
                <w:rFonts w:ascii="Times New Roman" w:eastAsia="Times New Roman" w:hAnsi="Times New Roman" w:cs="Times New Roman"/>
                <w:noProof/>
                <w:szCs w:val="20"/>
              </w:rPr>
              <w:t xml:space="preserve">reikiamose srityse tobulinti, sprendžiant su ekonomikos pertvarka </w:t>
            </w:r>
            <w:r w:rsidR="00B04B53" w:rsidRPr="00B44B19">
              <w:rPr>
                <w:rFonts w:ascii="Times New Roman" w:hAnsi="Times New Roman" w:cs="Times New Roman"/>
              </w:rPr>
              <w:t xml:space="preserve">susijusius </w:t>
            </w:r>
            <w:r w:rsidR="00B04B53" w:rsidRPr="00B44B19">
              <w:rPr>
                <w:rFonts w:ascii="Times New Roman" w:eastAsia="Times New Roman" w:hAnsi="Times New Roman" w:cs="Times New Roman"/>
                <w:noProof/>
                <w:szCs w:val="20"/>
              </w:rPr>
              <w:t>uždavinius</w:t>
            </w:r>
            <w:r w:rsidR="00B04B53" w:rsidRPr="00B44B19">
              <w:rPr>
                <w:rFonts w:ascii="Times New Roman" w:hAnsi="Times New Roman" w:cs="Times New Roman"/>
              </w:rPr>
              <w:t>,</w:t>
            </w:r>
            <w:r w:rsidRPr="00B44B19">
              <w:rPr>
                <w:rFonts w:ascii="Times New Roman" w:eastAsia="Times New Roman" w:hAnsi="Times New Roman" w:cs="Times New Roman"/>
                <w:noProof/>
                <w:szCs w:val="20"/>
              </w:rPr>
              <w:t xml:space="preserve"> todėl ir toliau lieka svarbios investicijos šiai sričiai. Vykstanti robotizacija ir skaitmeninimas sparčiai didina įgūdžių tobulinimo ar naujų įgijimo paklausą. Atsižvelgiant į šiuos pokyčius, pramonės įmonėms būtini tampa pažangesni ar naujesni įgūdžiai. </w:t>
            </w:r>
            <w:r w:rsidR="00B04B53" w:rsidRPr="00B44B19">
              <w:rPr>
                <w:rFonts w:ascii="Times New Roman" w:hAnsi="Times New Roman" w:cs="Times New Roman"/>
              </w:rPr>
              <w:t xml:space="preserve">Pramonės </w:t>
            </w:r>
            <w:r w:rsidR="00B04B53" w:rsidRPr="00B44B19">
              <w:rPr>
                <w:rFonts w:ascii="Times New Roman" w:eastAsia="Times New Roman" w:hAnsi="Times New Roman" w:cs="Times New Roman"/>
                <w:noProof/>
                <w:szCs w:val="20"/>
              </w:rPr>
              <w:t>pertvarkai</w:t>
            </w:r>
            <w:r w:rsidR="00B04B53" w:rsidRPr="00B44B19">
              <w:rPr>
                <w:rFonts w:ascii="Times New Roman" w:hAnsi="Times New Roman" w:cs="Times New Roman"/>
              </w:rPr>
              <w:t xml:space="preserve"> taip pat </w:t>
            </w:r>
            <w:r w:rsidR="00B04B53" w:rsidRPr="00B44B19">
              <w:rPr>
                <w:rFonts w:ascii="Times New Roman" w:eastAsia="Times New Roman" w:hAnsi="Times New Roman" w:cs="Times New Roman"/>
                <w:noProof/>
                <w:szCs w:val="20"/>
              </w:rPr>
              <w:t>reikia visapusiškesnių</w:t>
            </w:r>
            <w:r w:rsidR="00B04B53" w:rsidRPr="00B44B19">
              <w:rPr>
                <w:rFonts w:ascii="Times New Roman" w:hAnsi="Times New Roman" w:cs="Times New Roman"/>
              </w:rPr>
              <w:t xml:space="preserve"> įgūdžių, </w:t>
            </w:r>
            <w:r w:rsidR="00B04B53" w:rsidRPr="00B44B19">
              <w:rPr>
                <w:rFonts w:ascii="Times New Roman" w:eastAsia="Times New Roman" w:hAnsi="Times New Roman" w:cs="Times New Roman"/>
                <w:noProof/>
                <w:szCs w:val="20"/>
              </w:rPr>
              <w:t xml:space="preserve">kurie </w:t>
            </w:r>
            <w:r w:rsidRPr="00B44B19">
              <w:rPr>
                <w:rFonts w:ascii="Times New Roman" w:eastAsia="Times New Roman" w:hAnsi="Times New Roman" w:cs="Times New Roman"/>
                <w:noProof/>
                <w:szCs w:val="20"/>
              </w:rPr>
              <w:t xml:space="preserve">apimtų ne tik mokslinius, techninius, technologinius procesus, bet ir tam tikram </w:t>
            </w:r>
            <w:r w:rsidR="004C1B72" w:rsidRPr="00B44B19">
              <w:rPr>
                <w:rFonts w:ascii="Times New Roman" w:eastAsia="Times New Roman" w:hAnsi="Times New Roman" w:cs="Times New Roman"/>
                <w:noProof/>
                <w:szCs w:val="20"/>
              </w:rPr>
              <w:t xml:space="preserve">S4 </w:t>
            </w:r>
            <w:r w:rsidRPr="00B44B19">
              <w:rPr>
                <w:rFonts w:ascii="Times New Roman" w:eastAsia="Times New Roman" w:hAnsi="Times New Roman" w:cs="Times New Roman"/>
                <w:noProof/>
                <w:szCs w:val="20"/>
              </w:rPr>
              <w:t>prioritetui būdingus</w:t>
            </w:r>
            <w:r w:rsidR="00B04B53" w:rsidRPr="00B44B19">
              <w:rPr>
                <w:rFonts w:ascii="Times New Roman" w:eastAsia="Times New Roman" w:hAnsi="Times New Roman" w:cs="Times New Roman"/>
                <w:noProof/>
                <w:szCs w:val="20"/>
              </w:rPr>
              <w:t xml:space="preserve"> </w:t>
            </w:r>
            <w:r w:rsidRPr="00B44B19">
              <w:rPr>
                <w:rFonts w:ascii="Times New Roman" w:eastAsia="Times New Roman" w:hAnsi="Times New Roman" w:cs="Times New Roman"/>
                <w:noProof/>
                <w:szCs w:val="20"/>
              </w:rPr>
              <w:t xml:space="preserve">specifinius įgūdžius. Remiantis 2019 m. EBPO „Įgūdžių perspektyva“, Lietuva dar nėra </w:t>
            </w:r>
            <w:r w:rsidR="00B04B53" w:rsidRPr="00B44B19">
              <w:rPr>
                <w:rFonts w:ascii="Times New Roman" w:eastAsia="Times New Roman" w:hAnsi="Times New Roman" w:cs="Times New Roman"/>
                <w:noProof/>
                <w:szCs w:val="20"/>
              </w:rPr>
              <w:t xml:space="preserve">iki galo </w:t>
            </w:r>
            <w:r w:rsidRPr="00B44B19">
              <w:rPr>
                <w:rFonts w:ascii="Times New Roman" w:eastAsia="Times New Roman" w:hAnsi="Times New Roman" w:cs="Times New Roman"/>
                <w:noProof/>
                <w:szCs w:val="20"/>
              </w:rPr>
              <w:t>pasirengusi pasinaudoti skaitmeninimo teikiama</w:t>
            </w:r>
            <w:r w:rsidR="00B04B53" w:rsidRPr="00B44B19">
              <w:rPr>
                <w:rFonts w:ascii="Times New Roman" w:eastAsia="Times New Roman" w:hAnsi="Times New Roman" w:cs="Times New Roman"/>
                <w:noProof/>
                <w:szCs w:val="20"/>
              </w:rPr>
              <w:t>is</w:t>
            </w:r>
            <w:r w:rsidRPr="00B44B19">
              <w:rPr>
                <w:rFonts w:ascii="Times New Roman" w:eastAsia="Times New Roman" w:hAnsi="Times New Roman" w:cs="Times New Roman"/>
                <w:noProof/>
                <w:szCs w:val="20"/>
              </w:rPr>
              <w:t xml:space="preserve"> </w:t>
            </w:r>
            <w:r w:rsidR="00B04B53" w:rsidRPr="00B44B19">
              <w:rPr>
                <w:rFonts w:ascii="Times New Roman" w:eastAsia="Times New Roman" w:hAnsi="Times New Roman" w:cs="Times New Roman"/>
                <w:noProof/>
                <w:szCs w:val="20"/>
              </w:rPr>
              <w:t>pranašumais</w:t>
            </w:r>
            <w:r w:rsidRPr="00B44B19">
              <w:rPr>
                <w:rFonts w:ascii="Times New Roman" w:eastAsia="Times New Roman" w:hAnsi="Times New Roman" w:cs="Times New Roman"/>
                <w:noProof/>
                <w:szCs w:val="20"/>
              </w:rPr>
              <w:t>, k</w:t>
            </w:r>
            <w:r w:rsidR="00B04B53" w:rsidRPr="00B44B19">
              <w:rPr>
                <w:rFonts w:ascii="Times New Roman" w:eastAsia="Times New Roman" w:hAnsi="Times New Roman" w:cs="Times New Roman"/>
                <w:noProof/>
                <w:szCs w:val="20"/>
              </w:rPr>
              <w:t>urie</w:t>
            </w:r>
            <w:r w:rsidRPr="00B44B19">
              <w:rPr>
                <w:rFonts w:ascii="Times New Roman" w:eastAsia="Times New Roman" w:hAnsi="Times New Roman" w:cs="Times New Roman"/>
                <w:noProof/>
                <w:szCs w:val="20"/>
              </w:rPr>
              <w:t xml:space="preserve"> skatintų darbo jėgos plėtrą ir stiprintų jos konkurencingumą.</w:t>
            </w:r>
          </w:p>
          <w:p w14:paraId="0956B0D7" w14:textId="77777777" w:rsidR="00681418" w:rsidRPr="00B44B19" w:rsidRDefault="00681418" w:rsidP="004952F4">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noProof/>
              </w:rPr>
              <w:t xml:space="preserve">Siekiant paskatinti perėjimą prie žiniomis grindžiamos ir didesnės pridėtinės vertės ekonomikos, bus investuojama į tas nuolatinio VGPP metu identifikuotas (reikiamų įgūdžių sąrašas parengtas, pasikonsultavus su VGPP dalyviais, prioritetų vadovais, </w:t>
            </w:r>
            <w:r w:rsidR="00B04B53" w:rsidRPr="00B44B19">
              <w:rPr>
                <w:rFonts w:ascii="Times New Roman" w:eastAsia="Times New Roman" w:hAnsi="Times New Roman" w:cs="Times New Roman"/>
                <w:noProof/>
              </w:rPr>
              <w:t xml:space="preserve">aptarus </w:t>
            </w:r>
            <w:r w:rsidRPr="00B44B19">
              <w:rPr>
                <w:rFonts w:ascii="Times New Roman" w:eastAsia="Times New Roman" w:hAnsi="Times New Roman" w:cs="Times New Roman"/>
                <w:noProof/>
              </w:rPr>
              <w:t xml:space="preserve">grupėse, atlikus rezultatų analizę) </w:t>
            </w:r>
            <w:r w:rsidR="004C1B72" w:rsidRPr="00B44B19">
              <w:rPr>
                <w:rFonts w:ascii="Times New Roman" w:eastAsia="Times New Roman" w:hAnsi="Times New Roman" w:cs="Times New Roman"/>
                <w:noProof/>
              </w:rPr>
              <w:t>S4</w:t>
            </w:r>
            <w:r w:rsidRPr="00B44B19">
              <w:rPr>
                <w:rFonts w:ascii="Times New Roman" w:eastAsia="Times New Roman" w:hAnsi="Times New Roman" w:cs="Times New Roman"/>
                <w:noProof/>
              </w:rPr>
              <w:t xml:space="preserve"> sričių darbuotojų kompetencijas ir įgūdžius, kurie yra reikalingi MVĮ (dominuojančioms pramonės struktūroje) ir </w:t>
            </w:r>
            <w:r w:rsidR="00B04B53" w:rsidRPr="00B44B19">
              <w:rPr>
                <w:rFonts w:ascii="Times New Roman" w:eastAsia="Times New Roman" w:hAnsi="Times New Roman" w:cs="Times New Roman"/>
                <w:noProof/>
              </w:rPr>
              <w:t xml:space="preserve">kurie </w:t>
            </w:r>
            <w:r w:rsidRPr="00B44B19">
              <w:rPr>
                <w:rFonts w:ascii="Times New Roman" w:eastAsia="Times New Roman" w:hAnsi="Times New Roman" w:cs="Times New Roman"/>
                <w:noProof/>
              </w:rPr>
              <w:t xml:space="preserve">bus stiprinami per įvairių formų ir lygių mokymus. </w:t>
            </w:r>
            <w:r w:rsidR="00B04B53" w:rsidRPr="00B44B19">
              <w:rPr>
                <w:rFonts w:ascii="Times New Roman" w:eastAsia="Times New Roman" w:hAnsi="Times New Roman" w:cs="Times New Roman"/>
                <w:noProof/>
              </w:rPr>
              <w:t xml:space="preserve">Išsamus </w:t>
            </w:r>
            <w:r w:rsidRPr="00B44B19">
              <w:rPr>
                <w:rFonts w:ascii="Times New Roman" w:eastAsia="Times New Roman" w:hAnsi="Times New Roman" w:cs="Times New Roman"/>
                <w:noProof/>
              </w:rPr>
              <w:t xml:space="preserve">įgūdžių sąrašas pagal kiekvieną </w:t>
            </w:r>
            <w:r w:rsidR="004C1B72" w:rsidRPr="00B44B19">
              <w:rPr>
                <w:rFonts w:ascii="Times New Roman" w:eastAsia="Times New Roman" w:hAnsi="Times New Roman" w:cs="Times New Roman"/>
                <w:noProof/>
              </w:rPr>
              <w:t>S4</w:t>
            </w:r>
            <w:r w:rsidRPr="00B44B19">
              <w:rPr>
                <w:rFonts w:ascii="Times New Roman" w:eastAsia="Times New Roman" w:hAnsi="Times New Roman" w:cs="Times New Roman"/>
                <w:noProof/>
              </w:rPr>
              <w:t xml:space="preserve"> prioritetą nustatytas </w:t>
            </w:r>
            <w:r w:rsidR="004C1B72" w:rsidRPr="00B44B19">
              <w:rPr>
                <w:rFonts w:ascii="Times New Roman" w:eastAsia="Times New Roman" w:hAnsi="Times New Roman" w:cs="Times New Roman"/>
                <w:noProof/>
              </w:rPr>
              <w:t>S4</w:t>
            </w:r>
            <w:r w:rsidRPr="00B44B19">
              <w:rPr>
                <w:rFonts w:ascii="Times New Roman" w:eastAsia="Times New Roman" w:hAnsi="Times New Roman" w:cs="Times New Roman"/>
                <w:noProof/>
              </w:rPr>
              <w:t xml:space="preserve"> koordinuojančios ministerijos patvirtintu teisės aktu. Siekiant ugdyti ir kitų VGPP dalyvaujančių subjektų (pvz.</w:t>
            </w:r>
            <w:r w:rsidR="00B04B53" w:rsidRPr="00B44B19">
              <w:rPr>
                <w:rFonts w:ascii="Times New Roman" w:eastAsia="Times New Roman" w:hAnsi="Times New Roman" w:cs="Times New Roman"/>
                <w:noProof/>
              </w:rPr>
              <w:t>:</w:t>
            </w:r>
            <w:r w:rsidRPr="00B44B19">
              <w:rPr>
                <w:rFonts w:ascii="Times New Roman" w:eastAsia="Times New Roman" w:hAnsi="Times New Roman" w:cs="Times New Roman"/>
                <w:noProof/>
              </w:rPr>
              <w:t xml:space="preserve"> mokslo, verslo ir viešojo sektoriaus organizacijų) darbuotojų gebėjimus rengti ir įgyvendinti </w:t>
            </w:r>
            <w:r w:rsidR="004C1B72" w:rsidRPr="00B44B19">
              <w:rPr>
                <w:rFonts w:ascii="Times New Roman" w:eastAsia="Times New Roman" w:hAnsi="Times New Roman" w:cs="Times New Roman"/>
                <w:noProof/>
              </w:rPr>
              <w:t>S4</w:t>
            </w:r>
            <w:r w:rsidRPr="00B44B19">
              <w:rPr>
                <w:rFonts w:ascii="Times New Roman" w:eastAsia="Times New Roman" w:hAnsi="Times New Roman" w:cs="Times New Roman"/>
                <w:noProof/>
              </w:rPr>
              <w:t xml:space="preserve">, planuojama investuoti į įgūdžių ugdymą, apimantį visą inovacijų vadybos ciklą (nuo planavimo iki kontrolės), reikalingą </w:t>
            </w:r>
            <w:r w:rsidR="004C1B72" w:rsidRPr="00B44B19">
              <w:rPr>
                <w:rFonts w:ascii="Times New Roman" w:eastAsia="Times New Roman" w:hAnsi="Times New Roman" w:cs="Times New Roman"/>
                <w:noProof/>
              </w:rPr>
              <w:t>S4</w:t>
            </w:r>
            <w:r w:rsidRPr="00B44B19">
              <w:rPr>
                <w:rFonts w:ascii="Times New Roman" w:eastAsia="Times New Roman" w:hAnsi="Times New Roman" w:cs="Times New Roman"/>
                <w:noProof/>
              </w:rPr>
              <w:t xml:space="preserve"> ir ekonomikos technologinių pokyčių padiktuotiems uždaviniams atliepti. T</w:t>
            </w:r>
            <w:r w:rsidR="008D7673" w:rsidRPr="00B44B19">
              <w:rPr>
                <w:rFonts w:ascii="Times New Roman" w:eastAsia="Times New Roman" w:hAnsi="Times New Roman" w:cs="Times New Roman"/>
                <w:noProof/>
              </w:rPr>
              <w:t>aip</w:t>
            </w:r>
            <w:r w:rsidRPr="00B44B19">
              <w:rPr>
                <w:rFonts w:ascii="Times New Roman" w:eastAsia="Times New Roman" w:hAnsi="Times New Roman" w:cs="Times New Roman"/>
                <w:noProof/>
              </w:rPr>
              <w:t xml:space="preserve"> MVĮ galėtų tapti konkurencingesnės,</w:t>
            </w:r>
            <w:r w:rsidRPr="00B44B19">
              <w:rPr>
                <w:rFonts w:ascii="Times New Roman" w:hAnsi="Times New Roman" w:cs="Times New Roman"/>
              </w:rPr>
              <w:t xml:space="preserve"> </w:t>
            </w:r>
            <w:r w:rsidRPr="00B44B19">
              <w:rPr>
                <w:rFonts w:ascii="Times New Roman" w:eastAsia="Times New Roman" w:hAnsi="Times New Roman" w:cs="Times New Roman"/>
                <w:noProof/>
              </w:rPr>
              <w:t xml:space="preserve">išnaudodamos savo specializaciją ir valdymo gebėjimus, </w:t>
            </w:r>
            <w:r w:rsidR="008D7673" w:rsidRPr="00B44B19">
              <w:rPr>
                <w:rFonts w:ascii="Times New Roman" w:eastAsia="Times New Roman" w:hAnsi="Times New Roman" w:cs="Times New Roman"/>
                <w:noProof/>
              </w:rPr>
              <w:t>padedančius</w:t>
            </w:r>
            <w:r w:rsidRPr="00B44B19">
              <w:rPr>
                <w:rFonts w:ascii="Times New Roman" w:eastAsia="Times New Roman" w:hAnsi="Times New Roman" w:cs="Times New Roman"/>
                <w:noProof/>
              </w:rPr>
              <w:t xml:space="preserve"> greitai prisitaikyti prie kintančių rinkos poreikių. </w:t>
            </w:r>
          </w:p>
          <w:p w14:paraId="5DCAD1FD" w14:textId="77777777" w:rsidR="00681418" w:rsidRPr="00B44B19" w:rsidRDefault="00FF5D0B" w:rsidP="004952F4">
            <w:pPr>
              <w:spacing w:before="60" w:after="60"/>
              <w:jc w:val="both"/>
              <w:rPr>
                <w:rFonts w:ascii="Times New Roman" w:eastAsia="Times New Roman" w:hAnsi="Times New Roman" w:cs="Times New Roman"/>
                <w:noProof/>
                <w:szCs w:val="20"/>
              </w:rPr>
            </w:pPr>
            <w:r w:rsidRPr="00B44B19">
              <w:rPr>
                <w:rFonts w:ascii="Times New Roman" w:eastAsia="Times New Roman" w:hAnsi="Times New Roman" w:cs="Times New Roman"/>
                <w:noProof/>
                <w:szCs w:val="20"/>
              </w:rPr>
              <w:t>Veiksmų rūšys</w:t>
            </w:r>
            <w:r w:rsidR="00681418" w:rsidRPr="00B44B19">
              <w:rPr>
                <w:rFonts w:ascii="Times New Roman" w:eastAsia="Times New Roman" w:hAnsi="Times New Roman" w:cs="Times New Roman"/>
                <w:noProof/>
                <w:szCs w:val="20"/>
              </w:rPr>
              <w:t xml:space="preserve">, siekiant užtikrinti </w:t>
            </w:r>
            <w:r w:rsidR="004C1B72" w:rsidRPr="00B44B19">
              <w:rPr>
                <w:rFonts w:ascii="Times New Roman" w:eastAsia="Times New Roman" w:hAnsi="Times New Roman" w:cs="Times New Roman"/>
                <w:noProof/>
              </w:rPr>
              <w:t>S4</w:t>
            </w:r>
            <w:r w:rsidR="00681418" w:rsidRPr="00B44B19">
              <w:rPr>
                <w:rFonts w:ascii="Times New Roman" w:eastAsia="Times New Roman" w:hAnsi="Times New Roman" w:cs="Times New Roman"/>
                <w:noProof/>
                <w:szCs w:val="20"/>
              </w:rPr>
              <w:t xml:space="preserve"> prioritetų įgyvendinimui ir pramonės </w:t>
            </w:r>
            <w:r w:rsidR="004F44DC" w:rsidRPr="00B44B19">
              <w:rPr>
                <w:rFonts w:ascii="Times New Roman" w:eastAsia="Times New Roman" w:hAnsi="Times New Roman" w:cs="Times New Roman"/>
                <w:noProof/>
                <w:szCs w:val="20"/>
              </w:rPr>
              <w:t xml:space="preserve">pertvarkai </w:t>
            </w:r>
            <w:r w:rsidR="00681418" w:rsidRPr="00B44B19">
              <w:rPr>
                <w:rFonts w:ascii="Times New Roman" w:eastAsia="Times New Roman" w:hAnsi="Times New Roman" w:cs="Times New Roman"/>
                <w:noProof/>
                <w:szCs w:val="20"/>
              </w:rPr>
              <w:t>pereinamuoju laikotarpiu reikalingus įgūdžius, identifikuotus VGPP metu:</w:t>
            </w:r>
          </w:p>
          <w:p w14:paraId="48E6C55B" w14:textId="77777777" w:rsidR="00681418" w:rsidRPr="00B44B19" w:rsidRDefault="00681418" w:rsidP="004952F4">
            <w:pPr>
              <w:spacing w:before="60" w:after="60"/>
              <w:jc w:val="both"/>
              <w:rPr>
                <w:rFonts w:ascii="Times New Roman" w:eastAsia="Times New Roman" w:hAnsi="Times New Roman" w:cs="Times New Roman"/>
                <w:bCs/>
                <w:iCs/>
              </w:rPr>
            </w:pPr>
            <w:r w:rsidRPr="00B44B19">
              <w:rPr>
                <w:rFonts w:ascii="Times New Roman" w:eastAsia="Times New Roman" w:hAnsi="Times New Roman" w:cs="Times New Roman"/>
                <w:b/>
                <w:noProof/>
                <w:szCs w:val="24"/>
              </w:rPr>
              <w:t xml:space="preserve">Ugdyti MVĮ reikalingus darbuotojų įgūdžius, leisiančius prisitaikyti prie ekonomikos technologinių pokyčių ir pramonės </w:t>
            </w:r>
            <w:r w:rsidR="004F44DC" w:rsidRPr="00B44B19">
              <w:rPr>
                <w:rFonts w:ascii="Times New Roman" w:eastAsia="Times New Roman" w:hAnsi="Times New Roman" w:cs="Times New Roman"/>
                <w:b/>
                <w:noProof/>
                <w:szCs w:val="24"/>
              </w:rPr>
              <w:t>pertvarkos</w:t>
            </w:r>
            <w:r w:rsidRPr="00B44B19">
              <w:rPr>
                <w:rFonts w:ascii="Times New Roman" w:eastAsia="Times New Roman" w:hAnsi="Times New Roman" w:cs="Times New Roman"/>
                <w:noProof/>
                <w:szCs w:val="24"/>
              </w:rPr>
              <w:t xml:space="preserve">: siekiant paskatinti perėjimą prie žiniomis grindžiamos ir didesnės pridėtinės vertės ekonomikos ir spręsti iššūkius, susijusius su pramonės </w:t>
            </w:r>
            <w:r w:rsidR="004F44DC" w:rsidRPr="00B44B19">
              <w:rPr>
                <w:rFonts w:ascii="Times New Roman" w:eastAsia="Times New Roman" w:hAnsi="Times New Roman" w:cs="Times New Roman"/>
                <w:noProof/>
                <w:szCs w:val="24"/>
              </w:rPr>
              <w:t>pertvarka</w:t>
            </w:r>
            <w:r w:rsidRPr="00B44B19">
              <w:rPr>
                <w:rFonts w:ascii="Times New Roman" w:eastAsia="Times New Roman" w:hAnsi="Times New Roman" w:cs="Times New Roman"/>
                <w:noProof/>
                <w:szCs w:val="24"/>
              </w:rPr>
              <w:t xml:space="preserve">, planuojamos investicijos į žmogiškuosius išteklius, </w:t>
            </w:r>
            <w:r w:rsidR="008D7673" w:rsidRPr="00B44B19">
              <w:rPr>
                <w:rFonts w:ascii="Times New Roman" w:eastAsia="Times New Roman" w:hAnsi="Times New Roman" w:cs="Times New Roman"/>
                <w:noProof/>
                <w:szCs w:val="24"/>
              </w:rPr>
              <w:t xml:space="preserve">orientuotos </w:t>
            </w:r>
            <w:r w:rsidRPr="00B44B19">
              <w:rPr>
                <w:rFonts w:ascii="Times New Roman" w:eastAsia="Times New Roman" w:hAnsi="Times New Roman" w:cs="Times New Roman"/>
                <w:noProof/>
                <w:szCs w:val="24"/>
              </w:rPr>
              <w:t>į įvairių formų ir lygių specifinius mokymus (kvalifikacijos kėlimas ir perkvalifikavimas), ypatingą dėmesį skiriant MVĮ darbuotojų skaitmeninių įgūdžių ugdymui ir tobulinimui</w:t>
            </w:r>
            <w:r w:rsidRPr="00B44B19">
              <w:rPr>
                <w:rFonts w:ascii="Times New Roman" w:eastAsia="Times New Roman" w:hAnsi="Times New Roman" w:cs="Times New Roman"/>
                <w:bCs/>
                <w:iCs/>
              </w:rPr>
              <w:t>. Bus ugdomi MVĮ reikiami įgūdžiai</w:t>
            </w:r>
            <w:r w:rsidRPr="00B44B19">
              <w:rPr>
                <w:rFonts w:ascii="Times New Roman" w:eastAsia="Times New Roman" w:hAnsi="Times New Roman" w:cs="Times New Roman"/>
                <w:noProof/>
                <w:szCs w:val="20"/>
              </w:rPr>
              <w:t xml:space="preserve"> </w:t>
            </w:r>
            <w:r w:rsidR="008D7673" w:rsidRPr="00B44B19">
              <w:rPr>
                <w:rFonts w:ascii="Times New Roman" w:eastAsia="Times New Roman" w:hAnsi="Times New Roman" w:cs="Times New Roman"/>
                <w:noProof/>
                <w:szCs w:val="20"/>
              </w:rPr>
              <w:t xml:space="preserve">pagal </w:t>
            </w:r>
            <w:r w:rsidR="004C1B72" w:rsidRPr="00B44B19">
              <w:rPr>
                <w:rFonts w:ascii="Times New Roman" w:eastAsia="Times New Roman" w:hAnsi="Times New Roman" w:cs="Times New Roman"/>
                <w:noProof/>
              </w:rPr>
              <w:t>S4</w:t>
            </w:r>
            <w:r w:rsidRPr="00B44B19">
              <w:rPr>
                <w:rFonts w:ascii="Times New Roman" w:eastAsia="Times New Roman" w:hAnsi="Times New Roman" w:cs="Times New Roman"/>
                <w:noProof/>
                <w:szCs w:val="20"/>
              </w:rPr>
              <w:t xml:space="preserve"> prioritetus</w:t>
            </w:r>
            <w:r w:rsidRPr="00B44B19">
              <w:rPr>
                <w:rFonts w:ascii="Times New Roman" w:eastAsia="Times New Roman" w:hAnsi="Times New Roman" w:cs="Times New Roman"/>
                <w:bCs/>
                <w:iCs/>
              </w:rPr>
              <w:t xml:space="preserve">, </w:t>
            </w:r>
            <w:r w:rsidRPr="00B44B19">
              <w:rPr>
                <w:rFonts w:ascii="Times New Roman" w:eastAsia="Times New Roman" w:hAnsi="Times New Roman" w:cs="Times New Roman"/>
                <w:noProof/>
                <w:szCs w:val="20"/>
              </w:rPr>
              <w:t xml:space="preserve">identifikuoti nuolatinio VGPP metu. </w:t>
            </w:r>
            <w:r w:rsidRPr="00B44B19">
              <w:rPr>
                <w:rFonts w:ascii="Times New Roman" w:eastAsia="Times New Roman" w:hAnsi="Times New Roman" w:cs="Times New Roman"/>
                <w:bCs/>
                <w:iCs/>
              </w:rPr>
              <w:t xml:space="preserve">Ši veikla bus įgyvendinama </w:t>
            </w:r>
            <w:r w:rsidRPr="00B44B19">
              <w:rPr>
                <w:rFonts w:ascii="Times New Roman" w:eastAsia="Times New Roman" w:hAnsi="Times New Roman" w:cs="Times New Roman"/>
                <w:noProof/>
                <w:szCs w:val="24"/>
              </w:rPr>
              <w:t xml:space="preserve">Sostinės ir </w:t>
            </w:r>
            <w:r w:rsidRPr="00B44B19">
              <w:rPr>
                <w:rFonts w:ascii="Times New Roman" w:eastAsia="Times New Roman" w:hAnsi="Times New Roman" w:cs="Times New Roman"/>
                <w:bCs/>
                <w:iCs/>
              </w:rPr>
              <w:t>VVL region</w:t>
            </w:r>
            <w:r w:rsidR="000E2A9C" w:rsidRPr="00B44B19">
              <w:rPr>
                <w:rFonts w:ascii="Times New Roman" w:eastAsia="Times New Roman" w:hAnsi="Times New Roman" w:cs="Times New Roman"/>
                <w:bCs/>
                <w:iCs/>
              </w:rPr>
              <w:t>uos</w:t>
            </w:r>
            <w:r w:rsidRPr="00B44B19">
              <w:rPr>
                <w:rFonts w:ascii="Times New Roman" w:eastAsia="Times New Roman" w:hAnsi="Times New Roman" w:cs="Times New Roman"/>
                <w:bCs/>
                <w:iCs/>
              </w:rPr>
              <w:t>e.</w:t>
            </w:r>
          </w:p>
          <w:p w14:paraId="582E03DB" w14:textId="77777777" w:rsidR="00681418" w:rsidRPr="00B44B19" w:rsidRDefault="00681418" w:rsidP="004952F4">
            <w:pPr>
              <w:spacing w:before="60" w:after="60"/>
              <w:jc w:val="both"/>
              <w:rPr>
                <w:rFonts w:ascii="Times New Roman" w:eastAsia="Times New Roman" w:hAnsi="Times New Roman" w:cs="Times New Roman"/>
                <w:noProof/>
                <w:szCs w:val="20"/>
              </w:rPr>
            </w:pPr>
            <w:r w:rsidRPr="00B44B19">
              <w:rPr>
                <w:rFonts w:ascii="Times New Roman" w:eastAsia="Times New Roman" w:hAnsi="Times New Roman" w:cs="Times New Roman"/>
                <w:b/>
                <w:bCs/>
                <w:iCs/>
                <w:szCs w:val="24"/>
              </w:rPr>
              <w:t>Ugdyti MVĮ ir kitų VGPP dalyvaujančių subjektų darbuotojų gebėjimus</w:t>
            </w:r>
            <w:r w:rsidRPr="00B44B19">
              <w:rPr>
                <w:rFonts w:ascii="Times New Roman" w:eastAsia="Times New Roman" w:hAnsi="Times New Roman" w:cs="Times New Roman"/>
                <w:bCs/>
                <w:iCs/>
                <w:szCs w:val="24"/>
              </w:rPr>
              <w:t xml:space="preserve">: siekiant paskatinti MVĮ konkurencingumo augimą, išnaudojant MVĮ specializaciją ir valdymo gebėjimus, investicijas planuojama </w:t>
            </w:r>
            <w:r w:rsidR="008D7673" w:rsidRPr="00B44B19">
              <w:rPr>
                <w:rFonts w:ascii="Times New Roman" w:eastAsia="Times New Roman" w:hAnsi="Times New Roman" w:cs="Times New Roman"/>
                <w:bCs/>
                <w:iCs/>
                <w:szCs w:val="24"/>
              </w:rPr>
              <w:t>skirti</w:t>
            </w:r>
            <w:r w:rsidRPr="00B44B19">
              <w:rPr>
                <w:rFonts w:ascii="Times New Roman" w:eastAsia="Times New Roman" w:hAnsi="Times New Roman" w:cs="Times New Roman"/>
                <w:bCs/>
                <w:iCs/>
                <w:szCs w:val="24"/>
              </w:rPr>
              <w:t xml:space="preserve"> VGPP dalyvaujančių </w:t>
            </w:r>
            <w:r w:rsidR="008D7673" w:rsidRPr="00B44B19">
              <w:rPr>
                <w:rFonts w:ascii="Times New Roman" w:eastAsia="Times New Roman" w:hAnsi="Times New Roman" w:cs="Times New Roman"/>
                <w:bCs/>
                <w:iCs/>
                <w:szCs w:val="24"/>
              </w:rPr>
              <w:t xml:space="preserve">subjektų gebėjimams ugdyti siekiant </w:t>
            </w:r>
            <w:r w:rsidR="008D7673" w:rsidRPr="00B44B19">
              <w:rPr>
                <w:rFonts w:ascii="Times New Roman" w:hAnsi="Times New Roman" w:cs="Times New Roman"/>
              </w:rPr>
              <w:t xml:space="preserve">įgyvendinti </w:t>
            </w:r>
            <w:r w:rsidR="004C1B72" w:rsidRPr="00B44B19">
              <w:rPr>
                <w:rFonts w:ascii="Times New Roman" w:eastAsia="Times New Roman" w:hAnsi="Times New Roman" w:cs="Times New Roman"/>
                <w:noProof/>
              </w:rPr>
              <w:t>S4</w:t>
            </w:r>
            <w:r w:rsidR="008D7673" w:rsidRPr="00B44B19">
              <w:rPr>
                <w:rFonts w:ascii="Times New Roman" w:hAnsi="Times New Roman" w:cs="Times New Roman"/>
              </w:rPr>
              <w:t xml:space="preserve"> </w:t>
            </w:r>
            <w:r w:rsidR="008D7673" w:rsidRPr="00B44B19">
              <w:rPr>
                <w:rFonts w:ascii="Times New Roman" w:eastAsia="Times New Roman" w:hAnsi="Times New Roman" w:cs="Times New Roman"/>
                <w:noProof/>
                <w:szCs w:val="24"/>
              </w:rPr>
              <w:t>ir apimti</w:t>
            </w:r>
            <w:r w:rsidR="008D7673" w:rsidRPr="00B44B19">
              <w:rPr>
                <w:rFonts w:ascii="Times New Roman" w:hAnsi="Times New Roman" w:cs="Times New Roman"/>
              </w:rPr>
              <w:t xml:space="preserve"> visą</w:t>
            </w:r>
            <w:r w:rsidRPr="00B44B19">
              <w:rPr>
                <w:rFonts w:ascii="Times New Roman" w:eastAsia="Times New Roman" w:hAnsi="Times New Roman" w:cs="Times New Roman"/>
                <w:noProof/>
                <w:szCs w:val="24"/>
              </w:rPr>
              <w:t xml:space="preserve"> inovacijų vadybos ciklą (prognozavimas, planavimas, organizavimas, kontrolė), ypatingą dėmesį skiriant vadybos ir valdymo įgūdži</w:t>
            </w:r>
            <w:r w:rsidR="008D7673" w:rsidRPr="00B44B19">
              <w:rPr>
                <w:rFonts w:ascii="Times New Roman" w:eastAsia="Times New Roman" w:hAnsi="Times New Roman" w:cs="Times New Roman"/>
                <w:noProof/>
                <w:szCs w:val="24"/>
              </w:rPr>
              <w:t>ams</w:t>
            </w:r>
            <w:r w:rsidRPr="00B44B19">
              <w:rPr>
                <w:rFonts w:ascii="Times New Roman" w:eastAsia="Times New Roman" w:hAnsi="Times New Roman" w:cs="Times New Roman"/>
                <w:noProof/>
                <w:szCs w:val="24"/>
              </w:rPr>
              <w:t xml:space="preserve"> ugdy</w:t>
            </w:r>
            <w:r w:rsidR="008D7673" w:rsidRPr="00B44B19">
              <w:rPr>
                <w:rFonts w:ascii="Times New Roman" w:eastAsia="Times New Roman" w:hAnsi="Times New Roman" w:cs="Times New Roman"/>
                <w:noProof/>
                <w:szCs w:val="24"/>
              </w:rPr>
              <w:t>ti</w:t>
            </w:r>
            <w:r w:rsidRPr="00B44B19">
              <w:rPr>
                <w:rFonts w:ascii="Times New Roman" w:eastAsia="Times New Roman" w:hAnsi="Times New Roman" w:cs="Times New Roman"/>
                <w:noProof/>
                <w:szCs w:val="24"/>
              </w:rPr>
              <w:t>. Numatoma ugdyti MVĮ ir kitų VGPP dalyvaujančių subjektų darbuotojų įgūdžius. Ši veikla bus įgyvendinama Sostinės ir VVL region</w:t>
            </w:r>
            <w:r w:rsidR="000E2A9C" w:rsidRPr="00B44B19">
              <w:rPr>
                <w:rFonts w:ascii="Times New Roman" w:eastAsia="Times New Roman" w:hAnsi="Times New Roman" w:cs="Times New Roman"/>
                <w:noProof/>
                <w:szCs w:val="24"/>
              </w:rPr>
              <w:t>uos</w:t>
            </w:r>
            <w:r w:rsidRPr="00B44B19">
              <w:rPr>
                <w:rFonts w:ascii="Times New Roman" w:eastAsia="Times New Roman" w:hAnsi="Times New Roman" w:cs="Times New Roman"/>
                <w:noProof/>
                <w:szCs w:val="24"/>
              </w:rPr>
              <w:t>e.</w:t>
            </w:r>
          </w:p>
          <w:p w14:paraId="7856D38E" w14:textId="77777777" w:rsidR="00EF291A" w:rsidRPr="00B44B19" w:rsidRDefault="00681418" w:rsidP="004952F4">
            <w:pPr>
              <w:spacing w:before="60" w:after="60"/>
              <w:jc w:val="both"/>
              <w:rPr>
                <w:rFonts w:ascii="Times New Roman" w:eastAsia="Calibri" w:hAnsi="Times New Roman" w:cs="Times New Roman"/>
              </w:rPr>
            </w:pPr>
            <w:r w:rsidRPr="00B44B19">
              <w:rPr>
                <w:rFonts w:ascii="Times New Roman" w:eastAsia="Calibri" w:hAnsi="Times New Roman" w:cs="Times New Roman"/>
                <w:b/>
                <w:bCs/>
                <w:noProof/>
              </w:rPr>
              <w:t>Mokslo vadybos ir žinių komercinimo gebėjimų mokslo ir studijų institucijose stiprinimas</w:t>
            </w:r>
            <w:r w:rsidRPr="00B44B19">
              <w:rPr>
                <w:rFonts w:ascii="Times New Roman" w:eastAsia="Calibri" w:hAnsi="Times New Roman" w:cs="Times New Roman"/>
                <w:noProof/>
              </w:rPr>
              <w:t xml:space="preserve">: mokslo vadybos ir žinių komercinimo </w:t>
            </w:r>
            <w:r w:rsidR="00461B80" w:rsidRPr="00B44B19">
              <w:rPr>
                <w:rFonts w:ascii="Times New Roman" w:eastAsia="Calibri" w:hAnsi="Times New Roman" w:cs="Times New Roman"/>
                <w:noProof/>
              </w:rPr>
              <w:t>pajėgumų</w:t>
            </w:r>
            <w:r w:rsidRPr="00B44B19">
              <w:rPr>
                <w:rFonts w:ascii="Times New Roman" w:eastAsia="Calibri" w:hAnsi="Times New Roman" w:cs="Times New Roman"/>
                <w:noProof/>
              </w:rPr>
              <w:t xml:space="preserve"> diegimas MSI </w:t>
            </w:r>
            <w:r w:rsidR="00461B80" w:rsidRPr="00B44B19">
              <w:rPr>
                <w:rFonts w:ascii="Times New Roman" w:eastAsia="Calibri" w:hAnsi="Times New Roman" w:cs="Times New Roman"/>
                <w:noProof/>
              </w:rPr>
              <w:t xml:space="preserve">taikant </w:t>
            </w:r>
            <w:r w:rsidRPr="00B44B19">
              <w:rPr>
                <w:rFonts w:ascii="Times New Roman" w:eastAsia="Calibri" w:hAnsi="Times New Roman" w:cs="Times New Roman"/>
                <w:noProof/>
              </w:rPr>
              <w:t>vieno langelio principą, mentorystės ir preak</w:t>
            </w:r>
            <w:r w:rsidR="00461B80" w:rsidRPr="00B44B19">
              <w:rPr>
                <w:rFonts w:ascii="Times New Roman" w:eastAsia="Calibri" w:hAnsi="Times New Roman" w:cs="Times New Roman"/>
                <w:noProof/>
              </w:rPr>
              <w:t>c</w:t>
            </w:r>
            <w:r w:rsidRPr="00B44B19">
              <w:rPr>
                <w:rFonts w:ascii="Times New Roman" w:eastAsia="Calibri" w:hAnsi="Times New Roman" w:cs="Times New Roman"/>
                <w:noProof/>
              </w:rPr>
              <w:t xml:space="preserve">eleravimo programų kūrimas ir įgyvendinimas (pvz., kuriant startuolių skatinimo </w:t>
            </w:r>
            <w:r w:rsidR="00306EA5" w:rsidRPr="00B44B19">
              <w:rPr>
                <w:rFonts w:ascii="Times New Roman" w:eastAsia="Calibri" w:hAnsi="Times New Roman" w:cs="Times New Roman"/>
                <w:noProof/>
              </w:rPr>
              <w:t>instrumentus</w:t>
            </w:r>
            <w:r w:rsidRPr="00B44B19">
              <w:rPr>
                <w:rFonts w:ascii="Times New Roman" w:eastAsia="Calibri" w:hAnsi="Times New Roman" w:cs="Times New Roman"/>
                <w:noProof/>
              </w:rPr>
              <w:t xml:space="preserve">). </w:t>
            </w:r>
            <w:r w:rsidRPr="00B44B19">
              <w:rPr>
                <w:rFonts w:ascii="Times New Roman" w:hAnsi="Times New Roman" w:cs="Times New Roman"/>
                <w:noProof/>
              </w:rPr>
              <w:t>Veiklos įgyvendinimas siejasi su Programos 1 prioriteto k</w:t>
            </w:r>
            <w:r w:rsidR="00306EA5" w:rsidRPr="00B44B19">
              <w:rPr>
                <w:rFonts w:ascii="Times New Roman" w:hAnsi="Times New Roman" w:cs="Times New Roman"/>
                <w:noProof/>
              </w:rPr>
              <w:t>onkretaus uždavinio 1.1 veikla „</w:t>
            </w:r>
            <w:r w:rsidRPr="00B44B19">
              <w:rPr>
                <w:rFonts w:ascii="Times New Roman" w:hAnsi="Times New Roman" w:cs="Times New Roman"/>
              </w:rPr>
              <w:t>Žinių perdavimo ir komercinimo sistemos stiprinimas</w:t>
            </w:r>
            <w:r w:rsidR="00461B80" w:rsidRPr="00B44B19">
              <w:rPr>
                <w:rFonts w:ascii="Times New Roman" w:hAnsi="Times New Roman" w:cs="Times New Roman"/>
              </w:rPr>
              <w:t xml:space="preserve">“, </w:t>
            </w:r>
            <w:r w:rsidRPr="00B44B19">
              <w:rPr>
                <w:rFonts w:ascii="Times New Roman" w:hAnsi="Times New Roman" w:cs="Times New Roman"/>
              </w:rPr>
              <w:t xml:space="preserve">kurioje numatytas MSI inovacijų ir technologijų perdavimo centrų veiklos finansavimas (nurodyti centrai atliks atžalinių įmonių skatinimo </w:t>
            </w:r>
            <w:r w:rsidR="00306EA5" w:rsidRPr="00B44B19">
              <w:rPr>
                <w:rFonts w:ascii="Times New Roman" w:hAnsi="Times New Roman" w:cs="Times New Roman"/>
              </w:rPr>
              <w:t>instrumentų</w:t>
            </w:r>
            <w:r w:rsidRPr="00B44B19">
              <w:rPr>
                <w:rFonts w:ascii="Times New Roman" w:hAnsi="Times New Roman" w:cs="Times New Roman"/>
              </w:rPr>
              <w:t xml:space="preserve"> koordinatorių vaidmenį, skiriant lėšas konkretiems MSI studentų ir tyrėjų projektams bei organizuojant atžalinių įmonių konsultavimo ir mentorystės veiklas). </w:t>
            </w:r>
            <w:r w:rsidRPr="00B44B19">
              <w:rPr>
                <w:rFonts w:ascii="Times New Roman" w:eastAsia="Calibri" w:hAnsi="Times New Roman" w:cs="Times New Roman"/>
              </w:rPr>
              <w:t>Veikla bus įgyvendinama VVL ir Sostinės region</w:t>
            </w:r>
            <w:r w:rsidR="000E2A9C" w:rsidRPr="00B44B19">
              <w:rPr>
                <w:rFonts w:ascii="Times New Roman" w:eastAsia="Calibri" w:hAnsi="Times New Roman" w:cs="Times New Roman"/>
              </w:rPr>
              <w:t>uos</w:t>
            </w:r>
            <w:r w:rsidRPr="00B44B19">
              <w:rPr>
                <w:rFonts w:ascii="Times New Roman" w:eastAsia="Calibri" w:hAnsi="Times New Roman" w:cs="Times New Roman"/>
              </w:rPr>
              <w:t>e.</w:t>
            </w:r>
          </w:p>
          <w:p w14:paraId="35FED71D" w14:textId="77777777" w:rsidR="00DD03B4" w:rsidRPr="00B44B19" w:rsidRDefault="00334B0C" w:rsidP="004952F4">
            <w:pPr>
              <w:spacing w:before="60" w:after="60"/>
              <w:jc w:val="both"/>
              <w:rPr>
                <w:rFonts w:ascii="Times New Roman" w:eastAsia="Times New Roman" w:hAnsi="Times New Roman" w:cs="Times New Roman"/>
                <w:noProof/>
                <w:szCs w:val="20"/>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8D7673" w:rsidRPr="00B44B19">
              <w:rPr>
                <w:rFonts w:ascii="Times New Roman" w:eastAsia="Times New Roman" w:hAnsi="Times New Roman" w:cs="Times New Roman"/>
                <w:noProof/>
                <w:szCs w:val="24"/>
              </w:rPr>
              <w:t>.</w:t>
            </w:r>
          </w:p>
        </w:tc>
      </w:tr>
    </w:tbl>
    <w:p w14:paraId="6D1755E5"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Pagrindinės tikslinės grupės </w:t>
      </w:r>
    </w:p>
    <w:tbl>
      <w:tblPr>
        <w:tblStyle w:val="Lentelstinklelis"/>
        <w:tblW w:w="0" w:type="auto"/>
        <w:tblLook w:val="04A0" w:firstRow="1" w:lastRow="0" w:firstColumn="1" w:lastColumn="0" w:noHBand="0" w:noVBand="1"/>
      </w:tblPr>
      <w:tblGrid>
        <w:gridCol w:w="9628"/>
      </w:tblGrid>
      <w:tr w:rsidR="00F52EB5" w:rsidRPr="00B44B19" w14:paraId="4A8AFF49" w14:textId="77777777" w:rsidTr="00F52EB5">
        <w:tc>
          <w:tcPr>
            <w:tcW w:w="9854" w:type="dxa"/>
          </w:tcPr>
          <w:p w14:paraId="33471F5D" w14:textId="77777777" w:rsidR="00F52EB5" w:rsidRPr="00B44B19" w:rsidRDefault="00681418" w:rsidP="004952F4">
            <w:pPr>
              <w:spacing w:before="60" w:after="60"/>
              <w:jc w:val="both"/>
              <w:rPr>
                <w:rFonts w:eastAsia="Calibri" w:cs="Times New Roman"/>
                <w:b/>
                <w:i/>
                <w:noProof/>
                <w:szCs w:val="20"/>
                <w:lang w:eastAsia="lt-LT" w:bidi="lt-LT"/>
              </w:rPr>
            </w:pPr>
            <w:r w:rsidRPr="00B44B19">
              <w:rPr>
                <w:rFonts w:eastAsia="Calibri" w:cs="Times New Roman"/>
                <w:noProof/>
                <w:sz w:val="22"/>
                <w:lang w:eastAsia="lt-LT" w:bidi="lt-LT"/>
              </w:rPr>
              <w:lastRenderedPageBreak/>
              <w:t>MVĮ, mokslo ir studijų institucijų inovacijų ir technologijų centrai; mokslo vadybininkai; mokslininkai ir kiti tyrėjai, siekiantys komercinti mokslo rezultatus, inovacijų paramos ir konsultavimo organizacijų darbuotojai, dalyvaujantys VGPP.</w:t>
            </w:r>
          </w:p>
        </w:tc>
      </w:tr>
    </w:tbl>
    <w:p w14:paraId="51707ED1"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52EB5" w:rsidRPr="00B44B19" w14:paraId="0991B6A3" w14:textId="77777777" w:rsidTr="00F52EB5">
        <w:tc>
          <w:tcPr>
            <w:tcW w:w="9854" w:type="dxa"/>
          </w:tcPr>
          <w:p w14:paraId="63BDF5F5" w14:textId="77777777" w:rsidR="00F52EB5" w:rsidRPr="00B44B19" w:rsidRDefault="00681418" w:rsidP="004952F4">
            <w:pPr>
              <w:spacing w:before="60" w:after="60"/>
              <w:jc w:val="both"/>
              <w:rPr>
                <w:rFonts w:eastAsia="Calibri" w:cs="Times New Roman"/>
                <w:b/>
                <w:i/>
                <w:noProof/>
                <w:szCs w:val="20"/>
                <w:lang w:eastAsia="lt-LT" w:bidi="lt-LT"/>
              </w:rPr>
            </w:pPr>
            <w:r w:rsidRPr="00B44B19">
              <w:rPr>
                <w:rFonts w:eastAsia="Calibri" w:cs="Times New Roman"/>
                <w:noProof/>
                <w:sz w:val="22"/>
                <w:lang w:eastAsia="lt-LT" w:bidi="lt-LT"/>
              </w:rPr>
              <w:t xml:space="preserve">Vykdant numatytas veiklas bus siekiama </w:t>
            </w:r>
            <w:r w:rsidR="008D7673" w:rsidRPr="00B44B19">
              <w:rPr>
                <w:rFonts w:eastAsia="Calibri" w:cs="Times New Roman"/>
                <w:noProof/>
                <w:sz w:val="22"/>
                <w:lang w:eastAsia="lt-LT" w:bidi="lt-LT"/>
              </w:rPr>
              <w:t>užtikrinti lygias specialiųjų poreikių turinčių neįgaliųjų, moterų</w:t>
            </w:r>
            <w:r w:rsidRPr="00B44B19">
              <w:rPr>
                <w:rFonts w:eastAsia="Calibri" w:cs="Times New Roman"/>
                <w:noProof/>
                <w:sz w:val="22"/>
                <w:lang w:eastAsia="lt-LT" w:bidi="lt-LT"/>
              </w:rPr>
              <w:t xml:space="preserve"> ir vyrų galimybes mokytis ir persikvalifikuoti. Taip pat bus užtikrinamas nediskriminavimo principas įtraukiant švietimo ir informavimo apie nediskriminavimo principų įgyvendinimą veiklas į dirbančiųjų mokymus.</w:t>
            </w:r>
          </w:p>
        </w:tc>
      </w:tr>
    </w:tbl>
    <w:p w14:paraId="36183DA4" w14:textId="77777777" w:rsidR="00EF291A" w:rsidRPr="00B44B19" w:rsidRDefault="00EF291A" w:rsidP="00F52EB5">
      <w:pPr>
        <w:pStyle w:val="Stilius1"/>
        <w:rPr>
          <w:rFonts w:eastAsia="Times New Roman" w:cs="Times New Roman"/>
          <w:noProof/>
          <w:szCs w:val="24"/>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F52EB5" w:rsidRPr="00B44B19" w14:paraId="685BA860" w14:textId="77777777" w:rsidTr="00F52EB5">
        <w:tc>
          <w:tcPr>
            <w:tcW w:w="9854" w:type="dxa"/>
          </w:tcPr>
          <w:p w14:paraId="5B019FC8" w14:textId="77777777" w:rsidR="00F52EB5" w:rsidRPr="00B44B19" w:rsidRDefault="00681418" w:rsidP="004952F4">
            <w:pPr>
              <w:spacing w:before="60" w:after="60"/>
              <w:jc w:val="both"/>
              <w:rPr>
                <w:rFonts w:eastAsia="Calibri" w:cs="Times New Roman"/>
                <w:b/>
                <w:i/>
                <w:noProof/>
                <w:szCs w:val="20"/>
                <w:lang w:eastAsia="lt-LT" w:bidi="lt-LT"/>
              </w:rPr>
            </w:pPr>
            <w:r w:rsidRPr="00B44B19">
              <w:rPr>
                <w:rFonts w:eastAsia="Calibri" w:cs="Times New Roman"/>
                <w:noProof/>
                <w:sz w:val="22"/>
                <w:lang w:eastAsia="lt-LT" w:bidi="lt-LT"/>
              </w:rPr>
              <w:t>VVL regionas, Sostinės regionas</w:t>
            </w:r>
            <w:r w:rsidR="00C67011" w:rsidRPr="00B44B19">
              <w:rPr>
                <w:rFonts w:eastAsia="Calibri" w:cs="Times New Roman"/>
                <w:noProof/>
                <w:sz w:val="22"/>
                <w:lang w:eastAsia="lt-LT" w:bidi="lt-LT"/>
              </w:rPr>
              <w:t>.</w:t>
            </w:r>
          </w:p>
        </w:tc>
      </w:tr>
    </w:tbl>
    <w:p w14:paraId="1F575A39" w14:textId="77777777" w:rsidR="00EF291A" w:rsidRPr="00B44B19" w:rsidRDefault="00EF291A" w:rsidP="00F52EB5">
      <w:pPr>
        <w:pStyle w:val="Stilius1"/>
        <w:rPr>
          <w:rFonts w:eastAsia="Times New Roman" w:cs="Times New Roman"/>
          <w:iCs/>
          <w:noProof/>
          <w:szCs w:val="24"/>
          <w:lang w:eastAsia="lt-LT" w:bidi="lt-LT"/>
        </w:rPr>
      </w:pPr>
      <w:r w:rsidRPr="00B44B19">
        <w:rPr>
          <w:rFonts w:cs="Times New Roman"/>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F52EB5" w:rsidRPr="00B44B19" w14:paraId="578E522D" w14:textId="77777777" w:rsidTr="00F52EB5">
        <w:tc>
          <w:tcPr>
            <w:tcW w:w="9854" w:type="dxa"/>
          </w:tcPr>
          <w:p w14:paraId="752CED08" w14:textId="77777777" w:rsidR="00F52EB5" w:rsidRPr="00B44B19" w:rsidRDefault="00681418" w:rsidP="004952F4">
            <w:pPr>
              <w:pStyle w:val="Stilius1"/>
              <w:spacing w:before="60" w:after="60"/>
              <w:jc w:val="both"/>
              <w:rPr>
                <w:rFonts w:cs="Times New Roman"/>
                <w:b w:val="0"/>
                <w:i w:val="0"/>
                <w:noProof/>
                <w:color w:val="auto"/>
                <w:lang w:eastAsia="lt-LT" w:bidi="lt-LT"/>
              </w:rPr>
            </w:pPr>
            <w:r w:rsidRPr="00B44B19">
              <w:rPr>
                <w:rFonts w:eastAsia="Calibri" w:cs="Times New Roman"/>
                <w:b w:val="0"/>
                <w:i w:val="0"/>
                <w:noProof/>
                <w:color w:val="auto"/>
                <w:sz w:val="22"/>
                <w:lang w:eastAsia="lt-LT" w:bidi="lt-LT"/>
              </w:rPr>
              <w:t>Įgyvendinant veiklas numatoma prisidėti prie BJRS įgyvendinimo, intensyvinant bendradarbiavimą su kitų BJR šalių partneriais ir dalyvaujant bendruose projektuose, susijusiuose su specialių</w:t>
            </w:r>
            <w:r w:rsidR="008D7673" w:rsidRPr="00B44B19">
              <w:rPr>
                <w:rFonts w:eastAsia="Calibri" w:cs="Times New Roman"/>
                <w:b w:val="0"/>
                <w:i w:val="0"/>
                <w:noProof/>
                <w:color w:val="auto"/>
                <w:sz w:val="22"/>
                <w:lang w:eastAsia="lt-LT" w:bidi="lt-LT"/>
              </w:rPr>
              <w:t>jų</w:t>
            </w:r>
            <w:r w:rsidRPr="00B44B19">
              <w:rPr>
                <w:rFonts w:eastAsia="Calibri" w:cs="Times New Roman"/>
                <w:b w:val="0"/>
                <w:i w:val="0"/>
                <w:noProof/>
                <w:color w:val="auto"/>
                <w:sz w:val="22"/>
                <w:lang w:eastAsia="lt-LT" w:bidi="lt-LT"/>
              </w:rPr>
              <w:t xml:space="preserve"> įgūdžių, leisiančių prisitaikyti prie ekonomikos techologinių pokyčių ir pramonės </w:t>
            </w:r>
            <w:r w:rsidR="004F44DC" w:rsidRPr="00B44B19">
              <w:rPr>
                <w:rFonts w:eastAsia="Calibri" w:cs="Times New Roman"/>
                <w:b w:val="0"/>
                <w:i w:val="0"/>
                <w:noProof/>
                <w:color w:val="auto"/>
                <w:sz w:val="22"/>
                <w:lang w:eastAsia="lt-LT" w:bidi="lt-LT"/>
              </w:rPr>
              <w:t>pertvarkos</w:t>
            </w:r>
            <w:r w:rsidR="008D7673" w:rsidRPr="00B44B19">
              <w:rPr>
                <w:rFonts w:eastAsia="Calibri" w:cs="Times New Roman"/>
                <w:b w:val="0"/>
                <w:i w:val="0"/>
                <w:noProof/>
                <w:color w:val="auto"/>
                <w:sz w:val="22"/>
                <w:lang w:eastAsia="lt-LT" w:bidi="lt-LT"/>
              </w:rPr>
              <w:t>, ugdymu ir tobulinimu,</w:t>
            </w:r>
            <w:r w:rsidRPr="00B44B19">
              <w:rPr>
                <w:rFonts w:eastAsia="Calibri" w:cs="Times New Roman"/>
                <w:b w:val="0"/>
                <w:i w:val="0"/>
                <w:noProof/>
                <w:color w:val="auto"/>
                <w:sz w:val="22"/>
                <w:lang w:eastAsia="lt-LT" w:bidi="lt-LT"/>
              </w:rPr>
              <w:t xml:space="preserve"> taip pat VGPP dalyvaujančių subjektų įgūdžių ir gebėjimų ugdymu.</w:t>
            </w:r>
          </w:p>
        </w:tc>
      </w:tr>
    </w:tbl>
    <w:p w14:paraId="09F3755F" w14:textId="77777777" w:rsidR="00EF291A" w:rsidRPr="00B44B19" w:rsidRDefault="00EF291A" w:rsidP="00F52EB5">
      <w:pPr>
        <w:pStyle w:val="Stilius1"/>
        <w:rPr>
          <w:rFonts w:cs="Times New Roman"/>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EF291A" w:rsidRPr="00B44B19" w14:paraId="4DA3F892" w14:textId="77777777" w:rsidTr="00EB70C3">
        <w:tc>
          <w:tcPr>
            <w:tcW w:w="9854" w:type="dxa"/>
          </w:tcPr>
          <w:p w14:paraId="5BEA7C00" w14:textId="77777777" w:rsidR="00EF291A" w:rsidRPr="00B44B19" w:rsidRDefault="00166EC1" w:rsidP="00F52EB5">
            <w:pPr>
              <w:spacing w:before="120" w:after="120"/>
              <w:jc w:val="both"/>
              <w:rPr>
                <w:rFonts w:eastAsia="Calibri" w:cs="Times New Roman"/>
                <w:sz w:val="22"/>
                <w:lang w:eastAsia="lt-LT" w:bidi="lt-LT"/>
              </w:rPr>
            </w:pPr>
            <w:r w:rsidRPr="00B44B19">
              <w:rPr>
                <w:rFonts w:eastAsia="Calibri" w:cs="Times New Roman"/>
                <w:sz w:val="22"/>
                <w:lang w:eastAsia="lt-LT" w:bidi="lt-LT"/>
              </w:rPr>
              <w:t>–</w:t>
            </w:r>
          </w:p>
        </w:tc>
      </w:tr>
    </w:tbl>
    <w:p w14:paraId="2683DA73" w14:textId="77777777" w:rsidR="009750A4" w:rsidRPr="00B44B19" w:rsidRDefault="00BC5AF5" w:rsidP="00F52EB5">
      <w:pPr>
        <w:pStyle w:val="Stilius1"/>
        <w:rPr>
          <w:rFonts w:cs="Times New Roman"/>
          <w:noProof/>
          <w:lang w:eastAsia="lt-LT" w:bidi="lt-LT"/>
        </w:rPr>
      </w:pPr>
      <w:r w:rsidRPr="00B44B19">
        <w:rPr>
          <w:rFonts w:cs="Times New Roman"/>
          <w:noProof/>
          <w:lang w:eastAsia="lt-LT" w:bidi="lt-LT"/>
        </w:rPr>
        <w:t xml:space="preserve">Rodikliai </w:t>
      </w:r>
    </w:p>
    <w:p w14:paraId="2B60265A" w14:textId="77777777" w:rsidR="00BC5AF5" w:rsidRPr="00B44B19" w:rsidRDefault="00BC5AF5" w:rsidP="00C02A4C">
      <w:pPr>
        <w:spacing w:before="240" w:after="0" w:line="240" w:lineRule="auto"/>
        <w:jc w:val="both"/>
        <w:rPr>
          <w:rFonts w:cs="Times New Roman"/>
          <w:b/>
          <w:noProof/>
          <w:sz w:val="20"/>
        </w:rPr>
      </w:pPr>
      <w:r w:rsidRPr="00B44B19">
        <w:rPr>
          <w:rFonts w:cs="Times New Roman"/>
          <w:b/>
          <w:noProof/>
          <w:sz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982"/>
        <w:gridCol w:w="824"/>
        <w:gridCol w:w="967"/>
        <w:gridCol w:w="1241"/>
        <w:gridCol w:w="1372"/>
        <w:gridCol w:w="1247"/>
        <w:gridCol w:w="968"/>
        <w:gridCol w:w="928"/>
      </w:tblGrid>
      <w:tr w:rsidR="000C0CE9" w:rsidRPr="00B44B19" w14:paraId="0929961F" w14:textId="77777777" w:rsidTr="004952F4">
        <w:trPr>
          <w:trHeight w:val="545"/>
          <w:tblHeader/>
        </w:trPr>
        <w:tc>
          <w:tcPr>
            <w:tcW w:w="56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AC037E"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Prioritetas</w:t>
            </w:r>
          </w:p>
        </w:tc>
        <w:tc>
          <w:tcPr>
            <w:tcW w:w="51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EC67A"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E0F7A9"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Fondas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89D0DB"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1E3FD1"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 xml:space="preserve">Identifikavimo numeris </w:t>
            </w:r>
          </w:p>
        </w:tc>
        <w:tc>
          <w:tcPr>
            <w:tcW w:w="7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832219"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Rodiklis</w:t>
            </w:r>
          </w:p>
        </w:tc>
        <w:tc>
          <w:tcPr>
            <w:tcW w:w="64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FE596"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D7706D"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0E3A2"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Siek</w:t>
            </w:r>
            <w:r w:rsidR="00FB3050" w:rsidRPr="00B44B19">
              <w:rPr>
                <w:rFonts w:cs="Times New Roman"/>
                <w:b/>
                <w:noProof/>
                <w:sz w:val="16"/>
                <w:szCs w:val="16"/>
              </w:rPr>
              <w:t>tina reikšmė</w:t>
            </w:r>
            <w:r w:rsidRPr="00B44B19">
              <w:rPr>
                <w:rFonts w:cs="Times New Roman"/>
                <w:b/>
                <w:noProof/>
                <w:sz w:val="16"/>
                <w:szCs w:val="16"/>
              </w:rPr>
              <w:t xml:space="preserve"> (2029 m.)</w:t>
            </w:r>
          </w:p>
        </w:tc>
      </w:tr>
      <w:tr w:rsidR="000C0CE9" w:rsidRPr="00B44B19" w14:paraId="7A96F81E" w14:textId="77777777" w:rsidTr="004952F4">
        <w:trPr>
          <w:trHeight w:val="332"/>
        </w:trPr>
        <w:tc>
          <w:tcPr>
            <w:tcW w:w="561" w:type="pct"/>
            <w:vMerge w:val="restart"/>
            <w:tcBorders>
              <w:top w:val="single" w:sz="12" w:space="0" w:color="auto"/>
            </w:tcBorders>
          </w:tcPr>
          <w:p w14:paraId="1B70D5B1" w14:textId="77777777" w:rsidR="000C0CE9" w:rsidRPr="00B44B19" w:rsidRDefault="000C0CE9" w:rsidP="008A4063">
            <w:pPr>
              <w:spacing w:after="0" w:line="240" w:lineRule="auto"/>
              <w:jc w:val="both"/>
              <w:rPr>
                <w:rFonts w:eastAsia="Times New Roman" w:cs="Times New Roman"/>
                <w:noProof/>
                <w:sz w:val="16"/>
                <w:szCs w:val="16"/>
              </w:rPr>
            </w:pPr>
            <w:r w:rsidRPr="00B44B19">
              <w:rPr>
                <w:rFonts w:eastAsia="Times New Roman" w:cs="Times New Roman"/>
                <w:noProof/>
                <w:sz w:val="16"/>
                <w:szCs w:val="16"/>
              </w:rPr>
              <w:t>1. Pažangesnė Lietuva</w:t>
            </w:r>
          </w:p>
        </w:tc>
        <w:tc>
          <w:tcPr>
            <w:tcW w:w="511" w:type="pct"/>
            <w:vMerge w:val="restart"/>
            <w:tcBorders>
              <w:top w:val="single" w:sz="12" w:space="0" w:color="auto"/>
            </w:tcBorders>
          </w:tcPr>
          <w:p w14:paraId="52C2A424" w14:textId="77777777" w:rsidR="000C0CE9" w:rsidRPr="00B44B19" w:rsidRDefault="000C0CE9" w:rsidP="008A4063">
            <w:pPr>
              <w:spacing w:after="0" w:line="240" w:lineRule="auto"/>
              <w:jc w:val="both"/>
              <w:rPr>
                <w:rFonts w:eastAsia="Times New Roman" w:cs="Times New Roman"/>
                <w:noProof/>
                <w:sz w:val="16"/>
                <w:szCs w:val="16"/>
              </w:rPr>
            </w:pPr>
            <w:r w:rsidRPr="00B44B19">
              <w:rPr>
                <w:rFonts w:eastAsia="Times New Roman" w:cs="Times New Roman"/>
                <w:noProof/>
                <w:sz w:val="16"/>
                <w:szCs w:val="16"/>
              </w:rPr>
              <w:t>1.4</w:t>
            </w:r>
          </w:p>
        </w:tc>
        <w:tc>
          <w:tcPr>
            <w:tcW w:w="429" w:type="pct"/>
            <w:vMerge w:val="restart"/>
            <w:tcBorders>
              <w:top w:val="single" w:sz="12" w:space="0" w:color="auto"/>
            </w:tcBorders>
          </w:tcPr>
          <w:p w14:paraId="101FE5CD" w14:textId="77777777" w:rsidR="000C0CE9" w:rsidRPr="00B44B19" w:rsidRDefault="000C0CE9" w:rsidP="008A4063">
            <w:pPr>
              <w:spacing w:after="0" w:line="240" w:lineRule="auto"/>
              <w:rPr>
                <w:rFonts w:eastAsia="Times New Roman" w:cs="Times New Roman"/>
                <w:noProof/>
                <w:sz w:val="16"/>
                <w:szCs w:val="16"/>
              </w:rPr>
            </w:pPr>
            <w:r w:rsidRPr="00B44B19">
              <w:rPr>
                <w:rFonts w:eastAsia="Times New Roman" w:cs="Times New Roman"/>
                <w:noProof/>
                <w:sz w:val="16"/>
                <w:szCs w:val="16"/>
              </w:rPr>
              <w:t>ERPF</w:t>
            </w:r>
          </w:p>
        </w:tc>
        <w:tc>
          <w:tcPr>
            <w:tcW w:w="503" w:type="pct"/>
            <w:tcBorders>
              <w:top w:val="single" w:sz="12" w:space="0" w:color="auto"/>
            </w:tcBorders>
          </w:tcPr>
          <w:p w14:paraId="32BFB274"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646" w:type="pct"/>
            <w:tcBorders>
              <w:top w:val="single" w:sz="12" w:space="0" w:color="auto"/>
            </w:tcBorders>
          </w:tcPr>
          <w:p w14:paraId="7F2DE2D4"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cs="Times New Roman"/>
                <w:sz w:val="16"/>
                <w:szCs w:val="16"/>
              </w:rPr>
              <w:t>RCO01</w:t>
            </w:r>
          </w:p>
        </w:tc>
        <w:tc>
          <w:tcPr>
            <w:tcW w:w="714" w:type="pct"/>
            <w:tcBorders>
              <w:top w:val="single" w:sz="12" w:space="0" w:color="auto"/>
            </w:tcBorders>
          </w:tcPr>
          <w:p w14:paraId="1E63E54A" w14:textId="77777777" w:rsidR="000C0CE9" w:rsidRPr="00B44B19" w:rsidRDefault="000C0CE9" w:rsidP="008A4063">
            <w:pPr>
              <w:spacing w:after="0" w:line="240" w:lineRule="auto"/>
              <w:rPr>
                <w:rFonts w:cs="Times New Roman"/>
                <w:sz w:val="16"/>
                <w:szCs w:val="16"/>
                <w:lang w:eastAsia="en-GB"/>
              </w:rPr>
            </w:pPr>
            <w:r w:rsidRPr="00B44B19">
              <w:rPr>
                <w:rFonts w:cs="Times New Roman"/>
                <w:sz w:val="16"/>
                <w:szCs w:val="16"/>
              </w:rPr>
              <w:t>Paramą gavusios įmonės (iš kurių: labai mažos, mažosios</w:t>
            </w:r>
            <w:r w:rsidR="00BA56A5" w:rsidRPr="00B44B19">
              <w:rPr>
                <w:rFonts w:cs="Times New Roman"/>
                <w:sz w:val="16"/>
                <w:szCs w:val="16"/>
              </w:rPr>
              <w:t>,</w:t>
            </w:r>
            <w:r w:rsidRPr="00B44B19">
              <w:rPr>
                <w:rFonts w:cs="Times New Roman"/>
                <w:sz w:val="16"/>
                <w:szCs w:val="16"/>
              </w:rPr>
              <w:t xml:space="preserve"> vidutinės ir didelės)</w:t>
            </w:r>
          </w:p>
        </w:tc>
        <w:tc>
          <w:tcPr>
            <w:tcW w:w="649" w:type="pct"/>
            <w:tcBorders>
              <w:top w:val="single" w:sz="12" w:space="0" w:color="auto"/>
            </w:tcBorders>
          </w:tcPr>
          <w:p w14:paraId="79600E89" w14:textId="77777777" w:rsidR="000C0CE9" w:rsidRPr="00B44B19" w:rsidRDefault="000C0CE9" w:rsidP="008A4063">
            <w:pPr>
              <w:spacing w:after="0" w:line="240" w:lineRule="auto"/>
              <w:jc w:val="both"/>
              <w:rPr>
                <w:rFonts w:cs="Times New Roman"/>
                <w:i/>
                <w:noProof/>
                <w:sz w:val="16"/>
                <w:szCs w:val="16"/>
              </w:rPr>
            </w:pPr>
            <w:r w:rsidRPr="00B44B19">
              <w:rPr>
                <w:rFonts w:cs="Times New Roman"/>
                <w:sz w:val="16"/>
                <w:szCs w:val="16"/>
              </w:rPr>
              <w:t>Įmonės</w:t>
            </w:r>
          </w:p>
        </w:tc>
        <w:tc>
          <w:tcPr>
            <w:tcW w:w="504" w:type="pct"/>
            <w:tcBorders>
              <w:top w:val="single" w:sz="12" w:space="0" w:color="auto"/>
            </w:tcBorders>
          </w:tcPr>
          <w:p w14:paraId="751AA8FC" w14:textId="77777777" w:rsidR="000C0CE9" w:rsidRPr="00B44B19" w:rsidRDefault="00D343CF" w:rsidP="00952CB2">
            <w:pPr>
              <w:spacing w:after="0" w:line="240" w:lineRule="auto"/>
              <w:jc w:val="center"/>
              <w:rPr>
                <w:rFonts w:cs="Times New Roman"/>
                <w:noProof/>
                <w:sz w:val="16"/>
                <w:szCs w:val="16"/>
                <w:lang w:val="en-US"/>
              </w:rPr>
            </w:pPr>
            <w:r w:rsidRPr="00B44B19">
              <w:rPr>
                <w:rFonts w:cs="Times New Roman"/>
                <w:noProof/>
                <w:sz w:val="16"/>
                <w:szCs w:val="16"/>
                <w:lang w:val="en-US"/>
              </w:rPr>
              <w:t>24</w:t>
            </w:r>
          </w:p>
        </w:tc>
        <w:tc>
          <w:tcPr>
            <w:tcW w:w="483" w:type="pct"/>
            <w:tcBorders>
              <w:top w:val="single" w:sz="12" w:space="0" w:color="auto"/>
            </w:tcBorders>
          </w:tcPr>
          <w:p w14:paraId="1AD1B845" w14:textId="0E0172E8" w:rsidR="000C0CE9" w:rsidRPr="00B44B19" w:rsidRDefault="00234AA9" w:rsidP="008A4063">
            <w:pPr>
              <w:jc w:val="center"/>
              <w:rPr>
                <w:rFonts w:cs="Times New Roman"/>
                <w:sz w:val="16"/>
                <w:szCs w:val="16"/>
              </w:rPr>
            </w:pPr>
            <w:r w:rsidRPr="00B44B19">
              <w:rPr>
                <w:rFonts w:cs="Times New Roman"/>
                <w:sz w:val="16"/>
                <w:szCs w:val="16"/>
              </w:rPr>
              <w:t>90</w:t>
            </w:r>
          </w:p>
        </w:tc>
      </w:tr>
      <w:tr w:rsidR="000C0CE9" w:rsidRPr="00B44B19" w14:paraId="07962B38" w14:textId="77777777" w:rsidTr="004952F4">
        <w:trPr>
          <w:trHeight w:val="332"/>
        </w:trPr>
        <w:tc>
          <w:tcPr>
            <w:tcW w:w="561" w:type="pct"/>
            <w:vMerge/>
          </w:tcPr>
          <w:p w14:paraId="0CB99AED"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47792BAC"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0E8D3A75" w14:textId="77777777" w:rsidR="000C0CE9" w:rsidRPr="00B44B19" w:rsidRDefault="000C0CE9" w:rsidP="008A4063">
            <w:pPr>
              <w:spacing w:after="0" w:line="240" w:lineRule="auto"/>
              <w:rPr>
                <w:rFonts w:cs="Times New Roman"/>
                <w:b/>
                <w:noProof/>
                <w:sz w:val="14"/>
                <w:szCs w:val="14"/>
              </w:rPr>
            </w:pPr>
          </w:p>
        </w:tc>
        <w:tc>
          <w:tcPr>
            <w:tcW w:w="503" w:type="pct"/>
          </w:tcPr>
          <w:p w14:paraId="5B084D3B"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VVL regionas</w:t>
            </w:r>
          </w:p>
        </w:tc>
        <w:tc>
          <w:tcPr>
            <w:tcW w:w="646" w:type="pct"/>
          </w:tcPr>
          <w:p w14:paraId="6887A926"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cs="Times New Roman"/>
                <w:sz w:val="16"/>
                <w:szCs w:val="16"/>
              </w:rPr>
              <w:t>RCO01</w:t>
            </w:r>
          </w:p>
        </w:tc>
        <w:tc>
          <w:tcPr>
            <w:tcW w:w="714" w:type="pct"/>
          </w:tcPr>
          <w:p w14:paraId="3770F30B" w14:textId="77777777" w:rsidR="000C0CE9" w:rsidRPr="00B44B19" w:rsidRDefault="000C0CE9" w:rsidP="008A4063">
            <w:pPr>
              <w:spacing w:after="0" w:line="240" w:lineRule="auto"/>
              <w:rPr>
                <w:rFonts w:cs="Times New Roman"/>
                <w:sz w:val="16"/>
                <w:szCs w:val="16"/>
                <w:lang w:eastAsia="en-GB"/>
              </w:rPr>
            </w:pPr>
            <w:r w:rsidRPr="00B44B19">
              <w:rPr>
                <w:rFonts w:cs="Times New Roman"/>
                <w:sz w:val="16"/>
                <w:szCs w:val="16"/>
              </w:rPr>
              <w:t>Paramą gavusios įmonės (iš kurių: labai mažos, mažosios</w:t>
            </w:r>
            <w:r w:rsidR="00BA56A5" w:rsidRPr="00B44B19">
              <w:rPr>
                <w:rFonts w:cs="Times New Roman"/>
                <w:sz w:val="16"/>
                <w:szCs w:val="16"/>
              </w:rPr>
              <w:t>,</w:t>
            </w:r>
            <w:r w:rsidRPr="00B44B19">
              <w:rPr>
                <w:rFonts w:cs="Times New Roman"/>
                <w:sz w:val="16"/>
                <w:szCs w:val="16"/>
              </w:rPr>
              <w:t xml:space="preserve"> vidutinės ir didelės)</w:t>
            </w:r>
          </w:p>
        </w:tc>
        <w:tc>
          <w:tcPr>
            <w:tcW w:w="649" w:type="pct"/>
          </w:tcPr>
          <w:p w14:paraId="0328B77B" w14:textId="77777777" w:rsidR="000C0CE9" w:rsidRPr="00B44B19" w:rsidRDefault="000C0CE9" w:rsidP="008A4063">
            <w:pPr>
              <w:spacing w:after="0" w:line="240" w:lineRule="auto"/>
              <w:jc w:val="both"/>
              <w:rPr>
                <w:rFonts w:cs="Times New Roman"/>
                <w:i/>
                <w:noProof/>
                <w:sz w:val="16"/>
                <w:szCs w:val="16"/>
              </w:rPr>
            </w:pPr>
            <w:r w:rsidRPr="00B44B19">
              <w:rPr>
                <w:rFonts w:cs="Times New Roman"/>
                <w:sz w:val="16"/>
                <w:szCs w:val="16"/>
              </w:rPr>
              <w:t>Įmonės</w:t>
            </w:r>
          </w:p>
        </w:tc>
        <w:tc>
          <w:tcPr>
            <w:tcW w:w="504" w:type="pct"/>
          </w:tcPr>
          <w:p w14:paraId="4C138BED" w14:textId="77777777" w:rsidR="000C0CE9" w:rsidRPr="00B44B19" w:rsidRDefault="005127BB" w:rsidP="00281F2E">
            <w:pPr>
              <w:spacing w:after="0" w:line="240" w:lineRule="auto"/>
              <w:jc w:val="center"/>
              <w:rPr>
                <w:rFonts w:cs="Times New Roman"/>
                <w:noProof/>
                <w:sz w:val="16"/>
                <w:szCs w:val="16"/>
                <w:lang w:val="en-US"/>
              </w:rPr>
            </w:pPr>
            <w:r w:rsidRPr="00B44B19">
              <w:rPr>
                <w:rFonts w:cs="Times New Roman"/>
                <w:noProof/>
                <w:sz w:val="16"/>
                <w:szCs w:val="16"/>
                <w:lang w:val="en-US"/>
              </w:rPr>
              <w:t>10</w:t>
            </w:r>
          </w:p>
        </w:tc>
        <w:tc>
          <w:tcPr>
            <w:tcW w:w="483" w:type="pct"/>
          </w:tcPr>
          <w:p w14:paraId="24EBDD51" w14:textId="77777777" w:rsidR="000C0CE9" w:rsidRPr="00B44B19" w:rsidRDefault="005127BB" w:rsidP="008A4063">
            <w:pPr>
              <w:spacing w:after="0" w:line="240" w:lineRule="auto"/>
              <w:jc w:val="center"/>
              <w:rPr>
                <w:rFonts w:cs="Times New Roman"/>
                <w:noProof/>
                <w:sz w:val="16"/>
                <w:szCs w:val="16"/>
              </w:rPr>
            </w:pPr>
            <w:r w:rsidRPr="00B44B19">
              <w:rPr>
                <w:rFonts w:cs="Times New Roman"/>
                <w:noProof/>
                <w:sz w:val="16"/>
                <w:szCs w:val="16"/>
              </w:rPr>
              <w:t>50</w:t>
            </w:r>
          </w:p>
        </w:tc>
      </w:tr>
      <w:tr w:rsidR="000C0CE9" w:rsidRPr="00B44B19" w14:paraId="2604E5AB" w14:textId="77777777" w:rsidTr="004952F4">
        <w:trPr>
          <w:trHeight w:val="332"/>
        </w:trPr>
        <w:tc>
          <w:tcPr>
            <w:tcW w:w="561" w:type="pct"/>
            <w:vMerge/>
          </w:tcPr>
          <w:p w14:paraId="2704BF10"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7C2299BB"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5670A1BB" w14:textId="77777777" w:rsidR="000C0CE9" w:rsidRPr="00B44B19" w:rsidRDefault="000C0CE9" w:rsidP="008A4063">
            <w:pPr>
              <w:spacing w:after="0" w:line="240" w:lineRule="auto"/>
              <w:rPr>
                <w:rFonts w:cs="Times New Roman"/>
                <w:b/>
                <w:noProof/>
                <w:sz w:val="14"/>
                <w:szCs w:val="14"/>
              </w:rPr>
            </w:pPr>
          </w:p>
        </w:tc>
        <w:tc>
          <w:tcPr>
            <w:tcW w:w="503" w:type="pct"/>
          </w:tcPr>
          <w:p w14:paraId="39F95415"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646" w:type="pct"/>
          </w:tcPr>
          <w:p w14:paraId="2D1B789B"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RCO04</w:t>
            </w:r>
          </w:p>
        </w:tc>
        <w:tc>
          <w:tcPr>
            <w:tcW w:w="714" w:type="pct"/>
          </w:tcPr>
          <w:p w14:paraId="11EE9705" w14:textId="77777777" w:rsidR="000C0CE9" w:rsidRPr="00B44B19" w:rsidRDefault="000C0CE9" w:rsidP="008A4063">
            <w:pPr>
              <w:spacing w:after="0" w:line="240" w:lineRule="auto"/>
              <w:rPr>
                <w:rFonts w:cs="Times New Roman"/>
                <w:sz w:val="16"/>
                <w:szCs w:val="16"/>
                <w:lang w:eastAsia="en-GB"/>
              </w:rPr>
            </w:pPr>
            <w:r w:rsidRPr="00B44B19">
              <w:rPr>
                <w:rFonts w:cs="Times New Roman"/>
                <w:sz w:val="16"/>
                <w:szCs w:val="16"/>
              </w:rPr>
              <w:t>Nefinansinę paramą gavusios įmonės</w:t>
            </w:r>
          </w:p>
        </w:tc>
        <w:tc>
          <w:tcPr>
            <w:tcW w:w="649" w:type="pct"/>
          </w:tcPr>
          <w:p w14:paraId="092463F3" w14:textId="77777777" w:rsidR="000C0CE9" w:rsidRPr="00B44B19" w:rsidRDefault="000C0CE9" w:rsidP="008A4063">
            <w:pPr>
              <w:spacing w:after="0" w:line="240" w:lineRule="auto"/>
              <w:jc w:val="both"/>
              <w:rPr>
                <w:rFonts w:cs="Times New Roman"/>
                <w:i/>
                <w:noProof/>
                <w:sz w:val="16"/>
                <w:szCs w:val="16"/>
              </w:rPr>
            </w:pPr>
            <w:r w:rsidRPr="00B44B19">
              <w:rPr>
                <w:rFonts w:cs="Times New Roman"/>
                <w:sz w:val="16"/>
                <w:szCs w:val="16"/>
              </w:rPr>
              <w:t>Įmonės</w:t>
            </w:r>
          </w:p>
        </w:tc>
        <w:tc>
          <w:tcPr>
            <w:tcW w:w="504" w:type="pct"/>
          </w:tcPr>
          <w:p w14:paraId="541B1F8B" w14:textId="77777777" w:rsidR="000C0CE9" w:rsidRPr="00B44B19" w:rsidRDefault="00AD7563" w:rsidP="008A4063">
            <w:pPr>
              <w:spacing w:after="0" w:line="240" w:lineRule="auto"/>
              <w:jc w:val="center"/>
              <w:rPr>
                <w:rFonts w:cs="Times New Roman"/>
                <w:noProof/>
                <w:sz w:val="16"/>
                <w:szCs w:val="16"/>
                <w:lang w:val="en-US"/>
              </w:rPr>
            </w:pPr>
            <w:r w:rsidRPr="00B44B19">
              <w:rPr>
                <w:rFonts w:cs="Times New Roman"/>
                <w:noProof/>
                <w:sz w:val="16"/>
                <w:szCs w:val="16"/>
                <w:lang w:val="en-US"/>
              </w:rPr>
              <w:t>24</w:t>
            </w:r>
          </w:p>
        </w:tc>
        <w:tc>
          <w:tcPr>
            <w:tcW w:w="483" w:type="pct"/>
          </w:tcPr>
          <w:p w14:paraId="2F95EF2A" w14:textId="68A1F9E2" w:rsidR="000C0CE9" w:rsidRPr="00B44B19" w:rsidRDefault="00234AA9" w:rsidP="008A4063">
            <w:pPr>
              <w:spacing w:after="0" w:line="240" w:lineRule="auto"/>
              <w:jc w:val="center"/>
              <w:rPr>
                <w:rFonts w:cs="Times New Roman"/>
                <w:noProof/>
                <w:sz w:val="16"/>
                <w:szCs w:val="16"/>
              </w:rPr>
            </w:pPr>
            <w:r w:rsidRPr="00B44B19">
              <w:rPr>
                <w:rFonts w:cs="Times New Roman"/>
                <w:noProof/>
                <w:sz w:val="16"/>
                <w:szCs w:val="16"/>
              </w:rPr>
              <w:t>90</w:t>
            </w:r>
          </w:p>
        </w:tc>
      </w:tr>
      <w:tr w:rsidR="000C0CE9" w:rsidRPr="00B44B19" w14:paraId="6D3D03DE" w14:textId="77777777" w:rsidTr="004952F4">
        <w:trPr>
          <w:trHeight w:val="332"/>
        </w:trPr>
        <w:tc>
          <w:tcPr>
            <w:tcW w:w="561" w:type="pct"/>
            <w:vMerge/>
          </w:tcPr>
          <w:p w14:paraId="24EB8892"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7AE30C65"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735F8A35" w14:textId="77777777" w:rsidR="000C0CE9" w:rsidRPr="00B44B19" w:rsidRDefault="000C0CE9" w:rsidP="008A4063">
            <w:pPr>
              <w:spacing w:after="0" w:line="240" w:lineRule="auto"/>
              <w:rPr>
                <w:rFonts w:cs="Times New Roman"/>
                <w:b/>
                <w:noProof/>
                <w:sz w:val="14"/>
                <w:szCs w:val="14"/>
              </w:rPr>
            </w:pPr>
          </w:p>
        </w:tc>
        <w:tc>
          <w:tcPr>
            <w:tcW w:w="503" w:type="pct"/>
          </w:tcPr>
          <w:p w14:paraId="3345F57C"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VVL regionas</w:t>
            </w:r>
          </w:p>
        </w:tc>
        <w:tc>
          <w:tcPr>
            <w:tcW w:w="646" w:type="pct"/>
          </w:tcPr>
          <w:p w14:paraId="1DE774FC"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RCO04</w:t>
            </w:r>
          </w:p>
        </w:tc>
        <w:tc>
          <w:tcPr>
            <w:tcW w:w="714" w:type="pct"/>
          </w:tcPr>
          <w:p w14:paraId="537FA057" w14:textId="77777777" w:rsidR="000C0CE9" w:rsidRPr="00B44B19" w:rsidRDefault="000C0CE9" w:rsidP="008A4063">
            <w:pPr>
              <w:spacing w:after="0" w:line="240" w:lineRule="auto"/>
              <w:rPr>
                <w:rFonts w:cs="Times New Roman"/>
                <w:sz w:val="16"/>
                <w:szCs w:val="16"/>
                <w:lang w:eastAsia="en-GB"/>
              </w:rPr>
            </w:pPr>
            <w:r w:rsidRPr="00B44B19">
              <w:rPr>
                <w:rFonts w:cs="Times New Roman"/>
                <w:sz w:val="16"/>
                <w:szCs w:val="16"/>
              </w:rPr>
              <w:t>Nefinansinę paramą gavusios įmonės</w:t>
            </w:r>
          </w:p>
        </w:tc>
        <w:tc>
          <w:tcPr>
            <w:tcW w:w="649" w:type="pct"/>
          </w:tcPr>
          <w:p w14:paraId="62371DAB" w14:textId="77777777" w:rsidR="000C0CE9" w:rsidRPr="00B44B19" w:rsidRDefault="000C0CE9" w:rsidP="008A4063">
            <w:pPr>
              <w:spacing w:after="0" w:line="240" w:lineRule="auto"/>
              <w:jc w:val="both"/>
              <w:rPr>
                <w:rFonts w:cs="Times New Roman"/>
                <w:i/>
                <w:noProof/>
                <w:sz w:val="16"/>
                <w:szCs w:val="16"/>
              </w:rPr>
            </w:pPr>
            <w:r w:rsidRPr="00B44B19">
              <w:rPr>
                <w:rFonts w:cs="Times New Roman"/>
                <w:sz w:val="16"/>
                <w:szCs w:val="16"/>
              </w:rPr>
              <w:t>Įmonės</w:t>
            </w:r>
          </w:p>
        </w:tc>
        <w:tc>
          <w:tcPr>
            <w:tcW w:w="504" w:type="pct"/>
          </w:tcPr>
          <w:p w14:paraId="777A10D2" w14:textId="77777777" w:rsidR="000C0CE9" w:rsidRPr="00B44B19" w:rsidRDefault="00AD7563" w:rsidP="00281F2E">
            <w:pPr>
              <w:spacing w:after="0" w:line="240" w:lineRule="auto"/>
              <w:jc w:val="center"/>
              <w:rPr>
                <w:rFonts w:cs="Times New Roman"/>
                <w:noProof/>
                <w:sz w:val="16"/>
                <w:szCs w:val="16"/>
                <w:lang w:val="en-US"/>
              </w:rPr>
            </w:pPr>
            <w:r w:rsidRPr="00B44B19">
              <w:rPr>
                <w:rFonts w:cs="Times New Roman"/>
                <w:noProof/>
                <w:sz w:val="16"/>
                <w:szCs w:val="16"/>
                <w:lang w:val="en-US"/>
              </w:rPr>
              <w:t>10</w:t>
            </w:r>
          </w:p>
        </w:tc>
        <w:tc>
          <w:tcPr>
            <w:tcW w:w="483" w:type="pct"/>
          </w:tcPr>
          <w:p w14:paraId="20E4311E" w14:textId="77777777" w:rsidR="000C0CE9" w:rsidRPr="00B44B19" w:rsidRDefault="00AD7563" w:rsidP="008A4063">
            <w:pPr>
              <w:spacing w:after="0" w:line="240" w:lineRule="auto"/>
              <w:jc w:val="center"/>
              <w:rPr>
                <w:rFonts w:cs="Times New Roman"/>
                <w:noProof/>
                <w:sz w:val="16"/>
                <w:szCs w:val="16"/>
              </w:rPr>
            </w:pPr>
            <w:r w:rsidRPr="00B44B19">
              <w:rPr>
                <w:rFonts w:cs="Times New Roman"/>
                <w:noProof/>
                <w:sz w:val="16"/>
                <w:szCs w:val="16"/>
              </w:rPr>
              <w:t>50</w:t>
            </w:r>
          </w:p>
        </w:tc>
      </w:tr>
      <w:tr w:rsidR="000C0CE9" w:rsidRPr="00B44B19" w14:paraId="0F5FA4F6" w14:textId="77777777" w:rsidTr="004952F4">
        <w:trPr>
          <w:trHeight w:val="552"/>
        </w:trPr>
        <w:tc>
          <w:tcPr>
            <w:tcW w:w="561" w:type="pct"/>
            <w:vMerge/>
          </w:tcPr>
          <w:p w14:paraId="58CA4FC9"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6463C0D6"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61E9C461" w14:textId="77777777" w:rsidR="000C0CE9" w:rsidRPr="00B44B19" w:rsidRDefault="000C0CE9" w:rsidP="008A4063">
            <w:pPr>
              <w:spacing w:after="0" w:line="240" w:lineRule="auto"/>
              <w:rPr>
                <w:rFonts w:cs="Times New Roman"/>
                <w:b/>
                <w:noProof/>
                <w:sz w:val="14"/>
                <w:szCs w:val="14"/>
              </w:rPr>
            </w:pPr>
          </w:p>
        </w:tc>
        <w:tc>
          <w:tcPr>
            <w:tcW w:w="503" w:type="pct"/>
          </w:tcPr>
          <w:p w14:paraId="601FB9FE"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646" w:type="pct"/>
          </w:tcPr>
          <w:p w14:paraId="3C2F2FAC"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cs="Times New Roman"/>
                <w:sz w:val="16"/>
                <w:szCs w:val="16"/>
              </w:rPr>
              <w:t>RCO05</w:t>
            </w:r>
          </w:p>
        </w:tc>
        <w:tc>
          <w:tcPr>
            <w:tcW w:w="714" w:type="pct"/>
          </w:tcPr>
          <w:p w14:paraId="7944B09F" w14:textId="77777777" w:rsidR="000C0CE9" w:rsidRPr="00B44B19" w:rsidRDefault="00143A73" w:rsidP="008A4063">
            <w:pPr>
              <w:spacing w:after="0" w:line="240" w:lineRule="auto"/>
              <w:rPr>
                <w:rFonts w:cs="Times New Roman"/>
                <w:sz w:val="16"/>
                <w:szCs w:val="16"/>
                <w:lang w:eastAsia="en-GB"/>
              </w:rPr>
            </w:pPr>
            <w:r w:rsidRPr="00B44B19">
              <w:rPr>
                <w:rFonts w:cs="Times New Roman"/>
                <w:sz w:val="16"/>
                <w:szCs w:val="16"/>
              </w:rPr>
              <w:t>Paramą gavusios naujos įmonės</w:t>
            </w:r>
          </w:p>
        </w:tc>
        <w:tc>
          <w:tcPr>
            <w:tcW w:w="649" w:type="pct"/>
          </w:tcPr>
          <w:p w14:paraId="5B38CD7B" w14:textId="77777777" w:rsidR="000C0CE9" w:rsidRPr="00B44B19" w:rsidRDefault="000C0CE9" w:rsidP="008A4063">
            <w:pPr>
              <w:spacing w:after="0" w:line="240" w:lineRule="auto"/>
              <w:jc w:val="both"/>
              <w:rPr>
                <w:rFonts w:cs="Times New Roman"/>
                <w:i/>
                <w:noProof/>
                <w:sz w:val="16"/>
                <w:szCs w:val="16"/>
              </w:rPr>
            </w:pPr>
            <w:r w:rsidRPr="00B44B19">
              <w:rPr>
                <w:rFonts w:cs="Times New Roman"/>
                <w:sz w:val="16"/>
                <w:szCs w:val="16"/>
              </w:rPr>
              <w:t>Įmonės</w:t>
            </w:r>
          </w:p>
        </w:tc>
        <w:tc>
          <w:tcPr>
            <w:tcW w:w="504" w:type="pct"/>
          </w:tcPr>
          <w:p w14:paraId="2D2FBC21" w14:textId="77777777" w:rsidR="000C0CE9" w:rsidRPr="00B44B19" w:rsidRDefault="00AC783C" w:rsidP="008A4063">
            <w:pPr>
              <w:spacing w:after="0" w:line="240" w:lineRule="auto"/>
              <w:jc w:val="center"/>
              <w:rPr>
                <w:rFonts w:cs="Times New Roman"/>
                <w:noProof/>
                <w:sz w:val="16"/>
                <w:szCs w:val="16"/>
                <w:lang w:val="en-US"/>
              </w:rPr>
            </w:pPr>
            <w:r w:rsidRPr="00B44B19">
              <w:rPr>
                <w:rFonts w:cs="Times New Roman"/>
                <w:noProof/>
                <w:sz w:val="16"/>
                <w:szCs w:val="16"/>
                <w:lang w:val="en-US"/>
              </w:rPr>
              <w:t>24</w:t>
            </w:r>
          </w:p>
        </w:tc>
        <w:tc>
          <w:tcPr>
            <w:tcW w:w="483" w:type="pct"/>
          </w:tcPr>
          <w:p w14:paraId="1B510CAA" w14:textId="28FC3782" w:rsidR="000C0CE9" w:rsidRPr="00B44B19" w:rsidRDefault="00234AA9" w:rsidP="008A4063">
            <w:pPr>
              <w:spacing w:after="0" w:line="240" w:lineRule="auto"/>
              <w:jc w:val="center"/>
              <w:rPr>
                <w:rFonts w:cs="Times New Roman"/>
                <w:noProof/>
                <w:sz w:val="16"/>
                <w:szCs w:val="16"/>
              </w:rPr>
            </w:pPr>
            <w:r w:rsidRPr="00B44B19">
              <w:rPr>
                <w:rFonts w:cs="Times New Roman"/>
                <w:noProof/>
                <w:sz w:val="16"/>
                <w:szCs w:val="16"/>
              </w:rPr>
              <w:t>90</w:t>
            </w:r>
          </w:p>
        </w:tc>
      </w:tr>
      <w:tr w:rsidR="000C0CE9" w:rsidRPr="00B44B19" w14:paraId="2A536FA0" w14:textId="77777777" w:rsidTr="004952F4">
        <w:trPr>
          <w:trHeight w:val="332"/>
        </w:trPr>
        <w:tc>
          <w:tcPr>
            <w:tcW w:w="561" w:type="pct"/>
            <w:vMerge/>
          </w:tcPr>
          <w:p w14:paraId="6348249E"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61B1A487"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7701B4CB" w14:textId="77777777" w:rsidR="000C0CE9" w:rsidRPr="00B44B19" w:rsidRDefault="000C0CE9" w:rsidP="008A4063">
            <w:pPr>
              <w:spacing w:after="0" w:line="240" w:lineRule="auto"/>
              <w:rPr>
                <w:rFonts w:cs="Times New Roman"/>
                <w:b/>
                <w:noProof/>
                <w:sz w:val="14"/>
                <w:szCs w:val="14"/>
              </w:rPr>
            </w:pPr>
          </w:p>
        </w:tc>
        <w:tc>
          <w:tcPr>
            <w:tcW w:w="503" w:type="pct"/>
          </w:tcPr>
          <w:p w14:paraId="1781C337"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VVL regionas</w:t>
            </w:r>
          </w:p>
        </w:tc>
        <w:tc>
          <w:tcPr>
            <w:tcW w:w="646" w:type="pct"/>
          </w:tcPr>
          <w:p w14:paraId="682AC502"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RCO05</w:t>
            </w:r>
          </w:p>
        </w:tc>
        <w:tc>
          <w:tcPr>
            <w:tcW w:w="714" w:type="pct"/>
          </w:tcPr>
          <w:p w14:paraId="4BD4C820" w14:textId="77777777" w:rsidR="000C0CE9" w:rsidRPr="00B44B19" w:rsidRDefault="00143A73" w:rsidP="008A4063">
            <w:pPr>
              <w:spacing w:after="0" w:line="240" w:lineRule="auto"/>
              <w:rPr>
                <w:rFonts w:cs="Times New Roman"/>
                <w:sz w:val="16"/>
                <w:szCs w:val="16"/>
                <w:lang w:eastAsia="en-GB"/>
              </w:rPr>
            </w:pPr>
            <w:r w:rsidRPr="00B44B19">
              <w:rPr>
                <w:rFonts w:cs="Times New Roman"/>
                <w:sz w:val="16"/>
                <w:szCs w:val="16"/>
              </w:rPr>
              <w:t>Paramą gavusios naujos įmonės</w:t>
            </w:r>
          </w:p>
        </w:tc>
        <w:tc>
          <w:tcPr>
            <w:tcW w:w="649" w:type="pct"/>
          </w:tcPr>
          <w:p w14:paraId="3D0E4AC4" w14:textId="77777777" w:rsidR="000C0CE9" w:rsidRPr="00B44B19" w:rsidRDefault="000C0CE9" w:rsidP="008A4063">
            <w:pPr>
              <w:spacing w:after="0" w:line="240" w:lineRule="auto"/>
              <w:jc w:val="both"/>
              <w:rPr>
                <w:rFonts w:cs="Times New Roman"/>
                <w:i/>
                <w:noProof/>
                <w:sz w:val="16"/>
                <w:szCs w:val="16"/>
              </w:rPr>
            </w:pPr>
            <w:r w:rsidRPr="00B44B19">
              <w:rPr>
                <w:rFonts w:cs="Times New Roman"/>
                <w:sz w:val="16"/>
                <w:szCs w:val="16"/>
              </w:rPr>
              <w:t>Įmonės</w:t>
            </w:r>
          </w:p>
        </w:tc>
        <w:tc>
          <w:tcPr>
            <w:tcW w:w="504" w:type="pct"/>
          </w:tcPr>
          <w:p w14:paraId="6857248E" w14:textId="77777777" w:rsidR="000C0CE9" w:rsidRPr="00B44B19" w:rsidRDefault="00AC783C" w:rsidP="00281F2E">
            <w:pPr>
              <w:spacing w:after="0" w:line="240" w:lineRule="auto"/>
              <w:jc w:val="center"/>
              <w:rPr>
                <w:rFonts w:cs="Times New Roman"/>
                <w:noProof/>
                <w:sz w:val="16"/>
                <w:szCs w:val="16"/>
                <w:lang w:val="en-US"/>
              </w:rPr>
            </w:pPr>
            <w:r w:rsidRPr="00B44B19">
              <w:rPr>
                <w:rFonts w:cs="Times New Roman"/>
                <w:noProof/>
                <w:sz w:val="16"/>
                <w:szCs w:val="16"/>
                <w:lang w:val="en-US"/>
              </w:rPr>
              <w:t>10</w:t>
            </w:r>
          </w:p>
        </w:tc>
        <w:tc>
          <w:tcPr>
            <w:tcW w:w="483" w:type="pct"/>
          </w:tcPr>
          <w:p w14:paraId="7222563E" w14:textId="77777777" w:rsidR="000C0CE9" w:rsidRPr="00B44B19" w:rsidRDefault="00AC783C" w:rsidP="008A4063">
            <w:pPr>
              <w:spacing w:after="0" w:line="240" w:lineRule="auto"/>
              <w:jc w:val="center"/>
              <w:rPr>
                <w:rFonts w:cs="Times New Roman"/>
                <w:noProof/>
                <w:sz w:val="16"/>
                <w:szCs w:val="16"/>
              </w:rPr>
            </w:pPr>
            <w:r w:rsidRPr="00B44B19">
              <w:rPr>
                <w:rFonts w:cs="Times New Roman"/>
                <w:noProof/>
                <w:sz w:val="16"/>
                <w:szCs w:val="16"/>
              </w:rPr>
              <w:t>50</w:t>
            </w:r>
          </w:p>
        </w:tc>
      </w:tr>
      <w:tr w:rsidR="000C0CE9" w:rsidRPr="00B44B19" w14:paraId="5071A251" w14:textId="77777777" w:rsidTr="004952F4">
        <w:trPr>
          <w:trHeight w:val="332"/>
        </w:trPr>
        <w:tc>
          <w:tcPr>
            <w:tcW w:w="561" w:type="pct"/>
            <w:vMerge/>
          </w:tcPr>
          <w:p w14:paraId="5DEE2491"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13FDA78B"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0511434F" w14:textId="77777777" w:rsidR="000C0CE9" w:rsidRPr="00B44B19" w:rsidRDefault="000C0CE9" w:rsidP="008A4063">
            <w:pPr>
              <w:spacing w:after="0" w:line="240" w:lineRule="auto"/>
              <w:rPr>
                <w:rFonts w:cs="Times New Roman"/>
                <w:b/>
                <w:noProof/>
                <w:sz w:val="14"/>
                <w:szCs w:val="14"/>
              </w:rPr>
            </w:pPr>
          </w:p>
        </w:tc>
        <w:tc>
          <w:tcPr>
            <w:tcW w:w="503" w:type="pct"/>
          </w:tcPr>
          <w:p w14:paraId="024FEFF1"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646" w:type="pct"/>
          </w:tcPr>
          <w:p w14:paraId="4FB4938B"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RCO16</w:t>
            </w:r>
          </w:p>
        </w:tc>
        <w:tc>
          <w:tcPr>
            <w:tcW w:w="714" w:type="pct"/>
          </w:tcPr>
          <w:p w14:paraId="5D8D0EAB" w14:textId="77777777" w:rsidR="000C0CE9" w:rsidRPr="00B44B19" w:rsidRDefault="001C1A23" w:rsidP="008A4063">
            <w:pPr>
              <w:spacing w:after="0" w:line="240" w:lineRule="auto"/>
              <w:rPr>
                <w:rFonts w:cs="Times New Roman"/>
                <w:sz w:val="16"/>
                <w:szCs w:val="16"/>
                <w:lang w:eastAsia="en-GB"/>
              </w:rPr>
            </w:pPr>
            <w:r w:rsidRPr="00B44B19">
              <w:rPr>
                <w:rFonts w:cs="Times New Roman"/>
                <w:sz w:val="16"/>
                <w:szCs w:val="16"/>
                <w:lang w:eastAsia="en-GB"/>
              </w:rPr>
              <w:t>Suinteresuotosios institucijos, dalyvaujančios verslininkystės galimybių paieškos procese</w:t>
            </w:r>
          </w:p>
        </w:tc>
        <w:tc>
          <w:tcPr>
            <w:tcW w:w="649" w:type="pct"/>
          </w:tcPr>
          <w:p w14:paraId="0778986E" w14:textId="77777777" w:rsidR="000C0CE9" w:rsidRPr="00B44B19" w:rsidRDefault="000C0CE9" w:rsidP="007F3170">
            <w:pPr>
              <w:spacing w:after="0" w:line="240" w:lineRule="auto"/>
              <w:jc w:val="both"/>
              <w:rPr>
                <w:rFonts w:cs="Times New Roman"/>
                <w:i/>
                <w:noProof/>
                <w:sz w:val="16"/>
                <w:szCs w:val="16"/>
              </w:rPr>
            </w:pPr>
            <w:r w:rsidRPr="00B44B19">
              <w:rPr>
                <w:rFonts w:cs="Times New Roman"/>
                <w:noProof/>
                <w:color w:val="000000"/>
                <w:sz w:val="16"/>
                <w:szCs w:val="16"/>
              </w:rPr>
              <w:t>Instituci</w:t>
            </w:r>
            <w:r w:rsidR="007F3170" w:rsidRPr="00B44B19">
              <w:rPr>
                <w:rFonts w:cs="Times New Roman"/>
                <w:noProof/>
                <w:color w:val="000000"/>
                <w:sz w:val="16"/>
                <w:szCs w:val="16"/>
              </w:rPr>
              <w:t>nių</w:t>
            </w:r>
            <w:r w:rsidRPr="00B44B19">
              <w:rPr>
                <w:rFonts w:cs="Times New Roman"/>
                <w:noProof/>
                <w:color w:val="000000"/>
                <w:sz w:val="16"/>
                <w:szCs w:val="16"/>
              </w:rPr>
              <w:t xml:space="preserve"> </w:t>
            </w:r>
            <w:r w:rsidR="00AC7167" w:rsidRPr="00B44B19">
              <w:rPr>
                <w:rFonts w:cs="Times New Roman"/>
                <w:noProof/>
                <w:color w:val="000000"/>
                <w:sz w:val="16"/>
                <w:szCs w:val="16"/>
              </w:rPr>
              <w:t>suinteresuo</w:t>
            </w:r>
            <w:r w:rsidR="007F3170" w:rsidRPr="00B44B19">
              <w:rPr>
                <w:rFonts w:cs="Times New Roman"/>
                <w:noProof/>
                <w:color w:val="000000"/>
                <w:sz w:val="16"/>
                <w:szCs w:val="16"/>
              </w:rPr>
              <w:t>tųjų šalių dalyvavimas</w:t>
            </w:r>
          </w:p>
        </w:tc>
        <w:tc>
          <w:tcPr>
            <w:tcW w:w="504" w:type="pct"/>
          </w:tcPr>
          <w:p w14:paraId="387C736D" w14:textId="77777777" w:rsidR="000C0CE9" w:rsidRPr="00B44B19" w:rsidRDefault="00811C6A" w:rsidP="008A4063">
            <w:pPr>
              <w:spacing w:after="0" w:line="240" w:lineRule="auto"/>
              <w:jc w:val="center"/>
              <w:rPr>
                <w:rFonts w:cs="Times New Roman"/>
                <w:noProof/>
                <w:sz w:val="16"/>
                <w:szCs w:val="16"/>
                <w:lang w:val="en-US"/>
              </w:rPr>
            </w:pPr>
            <w:r w:rsidRPr="00B44B19">
              <w:rPr>
                <w:rFonts w:cs="Times New Roman"/>
                <w:noProof/>
                <w:sz w:val="16"/>
                <w:szCs w:val="16"/>
              </w:rPr>
              <w:t>0</w:t>
            </w:r>
          </w:p>
        </w:tc>
        <w:tc>
          <w:tcPr>
            <w:tcW w:w="483" w:type="pct"/>
          </w:tcPr>
          <w:p w14:paraId="1964F0AB" w14:textId="1C49FBD8" w:rsidR="000C0CE9" w:rsidRPr="00B44B19" w:rsidRDefault="00F30AFA" w:rsidP="008A4063">
            <w:pPr>
              <w:spacing w:after="0" w:line="240" w:lineRule="auto"/>
              <w:jc w:val="center"/>
              <w:rPr>
                <w:rFonts w:cs="Times New Roman"/>
                <w:noProof/>
                <w:sz w:val="16"/>
                <w:szCs w:val="16"/>
              </w:rPr>
            </w:pPr>
            <w:r w:rsidRPr="00B44B19">
              <w:rPr>
                <w:rFonts w:cs="Times New Roman"/>
                <w:noProof/>
                <w:sz w:val="16"/>
                <w:szCs w:val="16"/>
              </w:rPr>
              <w:t>48</w:t>
            </w:r>
            <w:r w:rsidR="00327CD4" w:rsidRPr="00B44B19">
              <w:rPr>
                <w:rFonts w:cs="Times New Roman"/>
                <w:noProof/>
                <w:sz w:val="16"/>
                <w:szCs w:val="16"/>
              </w:rPr>
              <w:t xml:space="preserve"> </w:t>
            </w:r>
          </w:p>
        </w:tc>
      </w:tr>
      <w:tr w:rsidR="000C0CE9" w:rsidRPr="00B44B19" w14:paraId="5EAC09CC" w14:textId="77777777" w:rsidTr="004952F4">
        <w:trPr>
          <w:trHeight w:val="332"/>
        </w:trPr>
        <w:tc>
          <w:tcPr>
            <w:tcW w:w="561" w:type="pct"/>
            <w:vMerge/>
          </w:tcPr>
          <w:p w14:paraId="326CE13B"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16096C2D"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0287C8BA" w14:textId="77777777" w:rsidR="000C0CE9" w:rsidRPr="00B44B19" w:rsidRDefault="000C0CE9" w:rsidP="008A4063">
            <w:pPr>
              <w:spacing w:after="0" w:line="240" w:lineRule="auto"/>
              <w:rPr>
                <w:rFonts w:cs="Times New Roman"/>
                <w:b/>
                <w:noProof/>
                <w:sz w:val="14"/>
                <w:szCs w:val="14"/>
              </w:rPr>
            </w:pPr>
          </w:p>
        </w:tc>
        <w:tc>
          <w:tcPr>
            <w:tcW w:w="503" w:type="pct"/>
          </w:tcPr>
          <w:p w14:paraId="2E2C3AE6"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VVL regionas</w:t>
            </w:r>
          </w:p>
        </w:tc>
        <w:tc>
          <w:tcPr>
            <w:tcW w:w="646" w:type="pct"/>
          </w:tcPr>
          <w:p w14:paraId="71DC4D4A"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RCO16</w:t>
            </w:r>
          </w:p>
        </w:tc>
        <w:tc>
          <w:tcPr>
            <w:tcW w:w="714" w:type="pct"/>
          </w:tcPr>
          <w:p w14:paraId="2B8E0885" w14:textId="77777777" w:rsidR="000C0CE9" w:rsidRPr="00B44B19" w:rsidRDefault="001C1A23" w:rsidP="008A4063">
            <w:pPr>
              <w:spacing w:after="0" w:line="240" w:lineRule="auto"/>
              <w:rPr>
                <w:rFonts w:cs="Times New Roman"/>
                <w:sz w:val="16"/>
                <w:szCs w:val="16"/>
                <w:lang w:eastAsia="en-GB"/>
              </w:rPr>
            </w:pPr>
            <w:r w:rsidRPr="00B44B19">
              <w:rPr>
                <w:rFonts w:cs="Times New Roman"/>
                <w:sz w:val="16"/>
                <w:szCs w:val="16"/>
                <w:lang w:eastAsia="en-GB"/>
              </w:rPr>
              <w:t>Suinteresuotosios institucijos, dalyvaujančios verslininkystės galimybių paieškos procese</w:t>
            </w:r>
          </w:p>
        </w:tc>
        <w:tc>
          <w:tcPr>
            <w:tcW w:w="649" w:type="pct"/>
          </w:tcPr>
          <w:p w14:paraId="02E99AE1" w14:textId="77777777" w:rsidR="00AC7167" w:rsidRPr="00B44B19" w:rsidRDefault="005764A0" w:rsidP="005D6827">
            <w:pPr>
              <w:spacing w:after="0" w:line="240" w:lineRule="auto"/>
              <w:jc w:val="both"/>
              <w:rPr>
                <w:rFonts w:cs="Times New Roman"/>
                <w:i/>
                <w:noProof/>
                <w:sz w:val="16"/>
                <w:szCs w:val="16"/>
              </w:rPr>
            </w:pPr>
            <w:r w:rsidRPr="00B44B19">
              <w:rPr>
                <w:rFonts w:cs="Times New Roman"/>
                <w:noProof/>
                <w:color w:val="000000"/>
                <w:sz w:val="16"/>
                <w:szCs w:val="16"/>
              </w:rPr>
              <w:t xml:space="preserve">Institucinių </w:t>
            </w:r>
            <w:r w:rsidR="007F3170" w:rsidRPr="00B44B19">
              <w:rPr>
                <w:rFonts w:cs="Times New Roman"/>
                <w:noProof/>
                <w:color w:val="000000"/>
                <w:sz w:val="16"/>
                <w:szCs w:val="16"/>
              </w:rPr>
              <w:t>suinteresuotųjų šalių dalyvavimas</w:t>
            </w:r>
          </w:p>
        </w:tc>
        <w:tc>
          <w:tcPr>
            <w:tcW w:w="504" w:type="pct"/>
          </w:tcPr>
          <w:p w14:paraId="56E764EE" w14:textId="77777777" w:rsidR="000C0CE9" w:rsidRPr="00B44B19" w:rsidRDefault="00811C6A" w:rsidP="008A4063">
            <w:pPr>
              <w:spacing w:after="0" w:line="240" w:lineRule="auto"/>
              <w:jc w:val="center"/>
              <w:rPr>
                <w:rFonts w:cs="Times New Roman"/>
                <w:noProof/>
                <w:sz w:val="16"/>
                <w:szCs w:val="16"/>
                <w:lang w:val="en-US"/>
              </w:rPr>
            </w:pPr>
            <w:r w:rsidRPr="00B44B19">
              <w:rPr>
                <w:rFonts w:cs="Times New Roman"/>
                <w:noProof/>
                <w:sz w:val="16"/>
                <w:szCs w:val="16"/>
              </w:rPr>
              <w:t>0</w:t>
            </w:r>
          </w:p>
        </w:tc>
        <w:tc>
          <w:tcPr>
            <w:tcW w:w="483" w:type="pct"/>
          </w:tcPr>
          <w:p w14:paraId="0617EB57" w14:textId="5D4F53FA" w:rsidR="000C0CE9" w:rsidRPr="00B44B19" w:rsidRDefault="00F30AFA" w:rsidP="008A4063">
            <w:pPr>
              <w:spacing w:after="0" w:line="240" w:lineRule="auto"/>
              <w:jc w:val="center"/>
              <w:rPr>
                <w:rFonts w:cs="Times New Roman"/>
                <w:noProof/>
                <w:sz w:val="16"/>
                <w:szCs w:val="16"/>
              </w:rPr>
            </w:pPr>
            <w:r w:rsidRPr="00B44B19">
              <w:rPr>
                <w:rFonts w:cs="Times New Roman"/>
                <w:noProof/>
                <w:sz w:val="16"/>
                <w:szCs w:val="16"/>
              </w:rPr>
              <w:t>43</w:t>
            </w:r>
            <w:r w:rsidR="00327CD4" w:rsidRPr="00B44B19">
              <w:rPr>
                <w:rFonts w:cs="Times New Roman"/>
                <w:noProof/>
                <w:sz w:val="16"/>
                <w:szCs w:val="16"/>
              </w:rPr>
              <w:t xml:space="preserve"> </w:t>
            </w:r>
          </w:p>
        </w:tc>
      </w:tr>
      <w:tr w:rsidR="000C0CE9" w:rsidRPr="00B44B19" w14:paraId="6269E8F3" w14:textId="77777777" w:rsidTr="004952F4">
        <w:trPr>
          <w:trHeight w:val="332"/>
        </w:trPr>
        <w:tc>
          <w:tcPr>
            <w:tcW w:w="561" w:type="pct"/>
            <w:vMerge/>
          </w:tcPr>
          <w:p w14:paraId="0900C2DC"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7D402D09"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220CBE8A" w14:textId="77777777" w:rsidR="000C0CE9" w:rsidRPr="00B44B19" w:rsidRDefault="000C0CE9" w:rsidP="008A4063">
            <w:pPr>
              <w:spacing w:after="0" w:line="240" w:lineRule="auto"/>
              <w:rPr>
                <w:rFonts w:cs="Times New Roman"/>
                <w:b/>
                <w:noProof/>
                <w:sz w:val="14"/>
                <w:szCs w:val="14"/>
              </w:rPr>
            </w:pPr>
          </w:p>
        </w:tc>
        <w:tc>
          <w:tcPr>
            <w:tcW w:w="503" w:type="pct"/>
          </w:tcPr>
          <w:p w14:paraId="5DF668CE"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646" w:type="pct"/>
          </w:tcPr>
          <w:p w14:paraId="511F9B46"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cs="Times New Roman"/>
                <w:sz w:val="16"/>
                <w:szCs w:val="16"/>
                <w:lang w:eastAsia="en-GB"/>
              </w:rPr>
              <w:t>RCO101</w:t>
            </w:r>
          </w:p>
        </w:tc>
        <w:tc>
          <w:tcPr>
            <w:tcW w:w="714" w:type="pct"/>
          </w:tcPr>
          <w:p w14:paraId="4494B09C" w14:textId="77777777" w:rsidR="000C0CE9" w:rsidRPr="00B44B19" w:rsidRDefault="00C1632D" w:rsidP="008A4063">
            <w:pPr>
              <w:spacing w:after="0" w:line="240" w:lineRule="auto"/>
              <w:rPr>
                <w:rFonts w:cs="Times New Roman"/>
                <w:sz w:val="16"/>
                <w:szCs w:val="16"/>
              </w:rPr>
            </w:pPr>
            <w:r w:rsidRPr="00B44B19">
              <w:rPr>
                <w:rFonts w:cs="Times New Roman"/>
                <w:sz w:val="16"/>
                <w:szCs w:val="16"/>
              </w:rPr>
              <w:t>MVĮ, investuojančios į pažangiajai specializacijai, pramonės pertvarkai ir verslumui reikalingų įgūdžių ugdymą</w:t>
            </w:r>
          </w:p>
        </w:tc>
        <w:tc>
          <w:tcPr>
            <w:tcW w:w="649" w:type="pct"/>
          </w:tcPr>
          <w:p w14:paraId="174824E5" w14:textId="77777777" w:rsidR="000C0CE9" w:rsidRPr="00B44B19" w:rsidRDefault="000C0CE9" w:rsidP="008A4063">
            <w:pPr>
              <w:spacing w:after="0" w:line="240" w:lineRule="auto"/>
              <w:rPr>
                <w:rFonts w:cs="Times New Roman"/>
                <w:sz w:val="16"/>
                <w:szCs w:val="16"/>
              </w:rPr>
            </w:pPr>
            <w:r w:rsidRPr="00B44B19">
              <w:rPr>
                <w:rFonts w:cs="Times New Roman"/>
                <w:sz w:val="16"/>
                <w:szCs w:val="16"/>
              </w:rPr>
              <w:t>Įmonės</w:t>
            </w:r>
          </w:p>
        </w:tc>
        <w:tc>
          <w:tcPr>
            <w:tcW w:w="504" w:type="pct"/>
          </w:tcPr>
          <w:p w14:paraId="45BC1EF6" w14:textId="77777777" w:rsidR="000C0CE9" w:rsidRPr="00B44B19" w:rsidRDefault="00811C6A" w:rsidP="008A4063">
            <w:pPr>
              <w:spacing w:after="0" w:line="240" w:lineRule="auto"/>
              <w:jc w:val="center"/>
              <w:rPr>
                <w:rFonts w:cs="Times New Roman"/>
                <w:sz w:val="16"/>
                <w:szCs w:val="16"/>
              </w:rPr>
            </w:pPr>
            <w:r w:rsidRPr="00B44B19">
              <w:rPr>
                <w:rFonts w:cs="Times New Roman"/>
                <w:sz w:val="16"/>
                <w:szCs w:val="16"/>
                <w:lang w:val="en-US"/>
              </w:rPr>
              <w:t>0</w:t>
            </w:r>
          </w:p>
        </w:tc>
        <w:tc>
          <w:tcPr>
            <w:tcW w:w="483" w:type="pct"/>
          </w:tcPr>
          <w:p w14:paraId="5CFC9EEE" w14:textId="528F8CD2" w:rsidR="000C0CE9" w:rsidRPr="00B44B19" w:rsidRDefault="00126B1A" w:rsidP="008A4063">
            <w:pPr>
              <w:spacing w:after="0" w:line="240" w:lineRule="auto"/>
              <w:jc w:val="center"/>
              <w:rPr>
                <w:rFonts w:cs="Times New Roman"/>
                <w:sz w:val="16"/>
                <w:szCs w:val="16"/>
              </w:rPr>
            </w:pPr>
            <w:r w:rsidRPr="00B44B19">
              <w:rPr>
                <w:rFonts w:cs="Times New Roman"/>
                <w:sz w:val="16"/>
                <w:szCs w:val="16"/>
              </w:rPr>
              <w:t>1 613</w:t>
            </w:r>
            <w:r w:rsidR="00201ECA" w:rsidRPr="00B44B19">
              <w:rPr>
                <w:rFonts w:cs="Times New Roman"/>
                <w:sz w:val="16"/>
                <w:szCs w:val="16"/>
              </w:rPr>
              <w:t xml:space="preserve"> </w:t>
            </w:r>
          </w:p>
        </w:tc>
      </w:tr>
      <w:tr w:rsidR="000C0CE9" w:rsidRPr="00B44B19" w14:paraId="72FD7C36" w14:textId="77777777" w:rsidTr="004952F4">
        <w:trPr>
          <w:trHeight w:val="332"/>
        </w:trPr>
        <w:tc>
          <w:tcPr>
            <w:tcW w:w="561" w:type="pct"/>
            <w:vMerge/>
          </w:tcPr>
          <w:p w14:paraId="141A9FFA" w14:textId="77777777" w:rsidR="000C0CE9" w:rsidRPr="00B44B19" w:rsidRDefault="000C0CE9" w:rsidP="008A4063">
            <w:pPr>
              <w:spacing w:after="0" w:line="240" w:lineRule="auto"/>
              <w:jc w:val="both"/>
              <w:rPr>
                <w:rFonts w:cs="Times New Roman"/>
                <w:noProof/>
                <w:sz w:val="16"/>
                <w:szCs w:val="16"/>
              </w:rPr>
            </w:pPr>
          </w:p>
        </w:tc>
        <w:tc>
          <w:tcPr>
            <w:tcW w:w="511" w:type="pct"/>
            <w:vMerge/>
          </w:tcPr>
          <w:p w14:paraId="5C77EA4C" w14:textId="77777777" w:rsidR="000C0CE9" w:rsidRPr="00B44B19" w:rsidRDefault="000C0CE9" w:rsidP="008A4063">
            <w:pPr>
              <w:spacing w:after="0" w:line="240" w:lineRule="auto"/>
              <w:jc w:val="both"/>
              <w:rPr>
                <w:rFonts w:cs="Times New Roman"/>
                <w:noProof/>
                <w:sz w:val="16"/>
                <w:szCs w:val="16"/>
              </w:rPr>
            </w:pPr>
          </w:p>
        </w:tc>
        <w:tc>
          <w:tcPr>
            <w:tcW w:w="429" w:type="pct"/>
            <w:vMerge/>
          </w:tcPr>
          <w:p w14:paraId="7F645373" w14:textId="77777777" w:rsidR="000C0CE9" w:rsidRPr="00B44B19" w:rsidRDefault="000C0CE9" w:rsidP="008A4063">
            <w:pPr>
              <w:spacing w:after="0" w:line="240" w:lineRule="auto"/>
              <w:rPr>
                <w:rFonts w:cs="Times New Roman"/>
                <w:b/>
                <w:noProof/>
                <w:sz w:val="14"/>
                <w:szCs w:val="14"/>
              </w:rPr>
            </w:pPr>
          </w:p>
        </w:tc>
        <w:tc>
          <w:tcPr>
            <w:tcW w:w="503" w:type="pct"/>
          </w:tcPr>
          <w:p w14:paraId="46E26DEB" w14:textId="77777777" w:rsidR="000C0CE9" w:rsidRPr="00B44B19" w:rsidRDefault="000C0CE9" w:rsidP="008A4063">
            <w:pPr>
              <w:spacing w:after="0" w:line="240" w:lineRule="auto"/>
              <w:jc w:val="both"/>
              <w:rPr>
                <w:rFonts w:cs="Times New Roman"/>
                <w:noProof/>
                <w:sz w:val="16"/>
                <w:szCs w:val="16"/>
              </w:rPr>
            </w:pPr>
            <w:r w:rsidRPr="00B44B19">
              <w:rPr>
                <w:rFonts w:cs="Times New Roman"/>
                <w:sz w:val="16"/>
                <w:szCs w:val="16"/>
              </w:rPr>
              <w:t>VVL regionas</w:t>
            </w:r>
          </w:p>
        </w:tc>
        <w:tc>
          <w:tcPr>
            <w:tcW w:w="646" w:type="pct"/>
          </w:tcPr>
          <w:p w14:paraId="779FB60C" w14:textId="77777777" w:rsidR="000C0CE9" w:rsidRPr="00B44B19" w:rsidRDefault="000C0CE9" w:rsidP="008A4063">
            <w:pPr>
              <w:spacing w:after="0" w:line="240" w:lineRule="auto"/>
              <w:jc w:val="both"/>
              <w:rPr>
                <w:rFonts w:eastAsia="Calibri" w:cs="Times New Roman"/>
                <w:sz w:val="16"/>
                <w:szCs w:val="16"/>
                <w:lang w:eastAsia="en-GB" w:bidi="lt-LT"/>
              </w:rPr>
            </w:pPr>
            <w:r w:rsidRPr="00B44B19">
              <w:rPr>
                <w:rFonts w:cs="Times New Roman"/>
                <w:sz w:val="16"/>
                <w:szCs w:val="16"/>
                <w:lang w:eastAsia="en-GB"/>
              </w:rPr>
              <w:t>RCO101</w:t>
            </w:r>
          </w:p>
        </w:tc>
        <w:tc>
          <w:tcPr>
            <w:tcW w:w="714" w:type="pct"/>
          </w:tcPr>
          <w:p w14:paraId="4517D6DB" w14:textId="77777777" w:rsidR="000C0CE9" w:rsidRPr="00B44B19" w:rsidRDefault="00C1632D" w:rsidP="008A4063">
            <w:pPr>
              <w:spacing w:after="0" w:line="240" w:lineRule="auto"/>
              <w:rPr>
                <w:rFonts w:cs="Times New Roman"/>
                <w:sz w:val="16"/>
                <w:szCs w:val="16"/>
              </w:rPr>
            </w:pPr>
            <w:r w:rsidRPr="00B44B19">
              <w:rPr>
                <w:rFonts w:cs="Times New Roman"/>
                <w:sz w:val="16"/>
                <w:szCs w:val="16"/>
              </w:rPr>
              <w:t>MVĮ, investuojančios į pažangiajai specializacijai, pramonės pertvarkai ir verslumui reikalingų įgūdžių ugdymą</w:t>
            </w:r>
          </w:p>
        </w:tc>
        <w:tc>
          <w:tcPr>
            <w:tcW w:w="649" w:type="pct"/>
          </w:tcPr>
          <w:p w14:paraId="3E9A69FF" w14:textId="77777777" w:rsidR="000C0CE9" w:rsidRPr="00B44B19" w:rsidRDefault="000C0CE9" w:rsidP="008A4063">
            <w:pPr>
              <w:spacing w:after="0" w:line="240" w:lineRule="auto"/>
              <w:rPr>
                <w:rFonts w:cs="Times New Roman"/>
                <w:sz w:val="16"/>
                <w:szCs w:val="16"/>
              </w:rPr>
            </w:pPr>
            <w:r w:rsidRPr="00B44B19">
              <w:rPr>
                <w:rFonts w:cs="Times New Roman"/>
                <w:sz w:val="16"/>
                <w:szCs w:val="16"/>
              </w:rPr>
              <w:t>Įmonės</w:t>
            </w:r>
          </w:p>
        </w:tc>
        <w:tc>
          <w:tcPr>
            <w:tcW w:w="504" w:type="pct"/>
          </w:tcPr>
          <w:p w14:paraId="44E13EB1" w14:textId="77777777" w:rsidR="000C0CE9" w:rsidRPr="00B44B19" w:rsidRDefault="00417353" w:rsidP="008A4063">
            <w:pPr>
              <w:spacing w:after="0" w:line="240" w:lineRule="auto"/>
              <w:jc w:val="center"/>
              <w:rPr>
                <w:rFonts w:cs="Times New Roman"/>
                <w:sz w:val="16"/>
                <w:szCs w:val="16"/>
              </w:rPr>
            </w:pPr>
            <w:r w:rsidRPr="00B44B19">
              <w:rPr>
                <w:rFonts w:cs="Times New Roman"/>
                <w:sz w:val="16"/>
                <w:szCs w:val="16"/>
              </w:rPr>
              <w:t>0</w:t>
            </w:r>
          </w:p>
        </w:tc>
        <w:tc>
          <w:tcPr>
            <w:tcW w:w="483" w:type="pct"/>
          </w:tcPr>
          <w:p w14:paraId="102EEB17" w14:textId="51DB1D77" w:rsidR="000C0CE9" w:rsidRPr="00B44B19" w:rsidRDefault="00126B1A" w:rsidP="008A4063">
            <w:pPr>
              <w:spacing w:after="0" w:line="240" w:lineRule="auto"/>
              <w:jc w:val="center"/>
              <w:rPr>
                <w:rFonts w:cs="Times New Roman"/>
                <w:sz w:val="16"/>
                <w:szCs w:val="16"/>
              </w:rPr>
            </w:pPr>
            <w:r w:rsidRPr="00B44B19">
              <w:rPr>
                <w:rFonts w:cs="Times New Roman"/>
                <w:sz w:val="16"/>
                <w:szCs w:val="16"/>
              </w:rPr>
              <w:t>1 230</w:t>
            </w:r>
          </w:p>
        </w:tc>
      </w:tr>
    </w:tbl>
    <w:p w14:paraId="01931FED" w14:textId="77777777" w:rsidR="00BC5AF5" w:rsidRPr="00B44B19" w:rsidRDefault="00BC5AF5" w:rsidP="00BC5AF5">
      <w:pPr>
        <w:spacing w:before="120" w:after="0" w:line="240" w:lineRule="auto"/>
        <w:jc w:val="both"/>
        <w:rPr>
          <w:rFonts w:cs="Times New Roman"/>
          <w:b/>
          <w:noProof/>
          <w:sz w:val="20"/>
        </w:rPr>
        <w:sectPr w:rsidR="00BC5AF5" w:rsidRPr="00B44B19" w:rsidSect="00931C78">
          <w:pgSz w:w="11906" w:h="16838"/>
          <w:pgMar w:top="1276" w:right="567" w:bottom="1134" w:left="1701" w:header="567" w:footer="567" w:gutter="0"/>
          <w:cols w:space="1296"/>
          <w:docGrid w:linePitch="360"/>
        </w:sectPr>
      </w:pPr>
    </w:p>
    <w:p w14:paraId="043C87C4" w14:textId="77777777" w:rsidR="00BC5AF5" w:rsidRPr="00B44B19" w:rsidRDefault="00BC5AF5" w:rsidP="00BC5AF5">
      <w:pPr>
        <w:spacing w:before="120" w:after="0" w:line="240" w:lineRule="auto"/>
        <w:jc w:val="both"/>
        <w:rPr>
          <w:rFonts w:eastAsia="Times New Roman" w:cs="Times New Roman"/>
          <w:b/>
          <w:iCs/>
          <w:noProof/>
          <w:szCs w:val="24"/>
          <w:lang w:eastAsia="lt-LT" w:bidi="lt-LT"/>
        </w:rPr>
      </w:pPr>
      <w:r w:rsidRPr="00B44B19">
        <w:rPr>
          <w:rFonts w:cs="Times New Roman"/>
          <w:b/>
          <w:noProof/>
          <w:sz w:val="20"/>
        </w:rPr>
        <w:lastRenderedPageBreak/>
        <w:t>3 lentelė. 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50"/>
        <w:gridCol w:w="993"/>
        <w:gridCol w:w="1275"/>
        <w:gridCol w:w="3119"/>
        <w:gridCol w:w="992"/>
        <w:gridCol w:w="992"/>
        <w:gridCol w:w="1134"/>
        <w:gridCol w:w="993"/>
        <w:gridCol w:w="992"/>
        <w:gridCol w:w="992"/>
      </w:tblGrid>
      <w:tr w:rsidR="000C0CE9" w:rsidRPr="00B44B19" w14:paraId="15B39B48" w14:textId="77777777" w:rsidTr="004952F4">
        <w:trPr>
          <w:trHeight w:val="1043"/>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311451"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Prioritetas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E5298B"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77AA4D"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Fondas</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CD244F"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F6F0D2"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31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818785"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Rodiklis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38F45A"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2DE10"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0DDC95"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9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D438FE"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Siek</w:t>
            </w:r>
            <w:r w:rsidR="00FB3050" w:rsidRPr="00B44B19">
              <w:rPr>
                <w:rFonts w:cs="Times New Roman"/>
                <w:b/>
                <w:noProof/>
                <w:sz w:val="16"/>
                <w:szCs w:val="16"/>
              </w:rPr>
              <w:t>tina reikšmė</w:t>
            </w:r>
            <w:r w:rsidRPr="00B44B19">
              <w:rPr>
                <w:rFonts w:cs="Times New Roman"/>
                <w:b/>
                <w:noProof/>
                <w:sz w:val="16"/>
                <w:szCs w:val="16"/>
              </w:rPr>
              <w:t xml:space="preserve"> (2029 m.)</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9B1B4D" w14:textId="77777777" w:rsidR="000C0CE9" w:rsidRPr="00B44B19" w:rsidRDefault="000C0CE9" w:rsidP="008A4063">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732734" w14:textId="77777777" w:rsidR="000C0CE9" w:rsidRPr="00B44B19" w:rsidRDefault="000C0CE9" w:rsidP="008A4063">
            <w:pPr>
              <w:tabs>
                <w:tab w:val="left" w:pos="394"/>
              </w:tabs>
              <w:spacing w:after="0" w:line="240" w:lineRule="auto"/>
              <w:jc w:val="center"/>
              <w:rPr>
                <w:rFonts w:cs="Times New Roman"/>
                <w:b/>
                <w:noProof/>
                <w:sz w:val="16"/>
                <w:szCs w:val="16"/>
              </w:rPr>
            </w:pPr>
            <w:r w:rsidRPr="00B44B19">
              <w:rPr>
                <w:rFonts w:cs="Times New Roman"/>
                <w:b/>
                <w:noProof/>
                <w:sz w:val="16"/>
                <w:szCs w:val="16"/>
              </w:rPr>
              <w:t>Pastabos</w:t>
            </w:r>
          </w:p>
        </w:tc>
      </w:tr>
      <w:tr w:rsidR="0085587E" w:rsidRPr="00B44B19" w14:paraId="529D321A" w14:textId="77777777" w:rsidTr="008A4063">
        <w:trPr>
          <w:trHeight w:val="286"/>
        </w:trPr>
        <w:tc>
          <w:tcPr>
            <w:tcW w:w="1101" w:type="dxa"/>
            <w:vMerge w:val="restart"/>
            <w:tcBorders>
              <w:top w:val="single" w:sz="12" w:space="0" w:color="auto"/>
            </w:tcBorders>
          </w:tcPr>
          <w:p w14:paraId="2658E523" w14:textId="77777777" w:rsidR="0085587E" w:rsidRPr="00B44B19" w:rsidRDefault="0085587E" w:rsidP="007167BE">
            <w:pPr>
              <w:spacing w:after="0" w:line="240" w:lineRule="auto"/>
              <w:jc w:val="both"/>
              <w:rPr>
                <w:rFonts w:eastAsia="Times New Roman" w:cs="Times New Roman"/>
                <w:noProof/>
                <w:sz w:val="16"/>
                <w:szCs w:val="16"/>
              </w:rPr>
            </w:pPr>
            <w:r w:rsidRPr="00B44B19">
              <w:rPr>
                <w:rFonts w:eastAsia="Times New Roman" w:cs="Times New Roman"/>
                <w:noProof/>
                <w:sz w:val="16"/>
                <w:szCs w:val="16"/>
              </w:rPr>
              <w:t>1. Pažangesnė Lietuva</w:t>
            </w:r>
          </w:p>
        </w:tc>
        <w:tc>
          <w:tcPr>
            <w:tcW w:w="992" w:type="dxa"/>
            <w:vMerge w:val="restart"/>
            <w:tcBorders>
              <w:top w:val="single" w:sz="12" w:space="0" w:color="auto"/>
            </w:tcBorders>
          </w:tcPr>
          <w:p w14:paraId="3B5B2A3C" w14:textId="77777777" w:rsidR="0085587E" w:rsidRPr="00B44B19" w:rsidRDefault="0085587E" w:rsidP="008A4063">
            <w:pPr>
              <w:spacing w:after="0" w:line="240" w:lineRule="auto"/>
              <w:jc w:val="both"/>
              <w:rPr>
                <w:rFonts w:eastAsia="Times New Roman" w:cs="Times New Roman"/>
                <w:noProof/>
                <w:sz w:val="16"/>
                <w:szCs w:val="16"/>
              </w:rPr>
            </w:pPr>
            <w:r w:rsidRPr="00B44B19">
              <w:rPr>
                <w:rFonts w:eastAsia="Times New Roman" w:cs="Times New Roman"/>
                <w:noProof/>
                <w:sz w:val="16"/>
                <w:szCs w:val="16"/>
              </w:rPr>
              <w:t>1.4</w:t>
            </w:r>
          </w:p>
        </w:tc>
        <w:tc>
          <w:tcPr>
            <w:tcW w:w="850" w:type="dxa"/>
            <w:vMerge w:val="restart"/>
            <w:tcBorders>
              <w:top w:val="single" w:sz="12" w:space="0" w:color="auto"/>
            </w:tcBorders>
          </w:tcPr>
          <w:p w14:paraId="33701451" w14:textId="77777777" w:rsidR="0085587E" w:rsidRPr="00B44B19" w:rsidRDefault="0085587E" w:rsidP="008A4063">
            <w:pPr>
              <w:spacing w:after="0" w:line="240" w:lineRule="auto"/>
              <w:rPr>
                <w:rFonts w:eastAsia="Times New Roman" w:cs="Times New Roman"/>
                <w:noProof/>
                <w:sz w:val="16"/>
                <w:szCs w:val="16"/>
              </w:rPr>
            </w:pPr>
            <w:r w:rsidRPr="00B44B19">
              <w:rPr>
                <w:rFonts w:eastAsia="Times New Roman" w:cs="Times New Roman"/>
                <w:noProof/>
                <w:sz w:val="16"/>
                <w:szCs w:val="16"/>
              </w:rPr>
              <w:t>ERPF</w:t>
            </w:r>
          </w:p>
        </w:tc>
        <w:tc>
          <w:tcPr>
            <w:tcW w:w="993" w:type="dxa"/>
            <w:tcBorders>
              <w:top w:val="single" w:sz="12" w:space="0" w:color="auto"/>
            </w:tcBorders>
          </w:tcPr>
          <w:p w14:paraId="6DC83D11" w14:textId="77777777" w:rsidR="0085587E" w:rsidRPr="00B44B19" w:rsidRDefault="0085587E"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1275" w:type="dxa"/>
            <w:tcBorders>
              <w:top w:val="single" w:sz="12" w:space="0" w:color="auto"/>
            </w:tcBorders>
          </w:tcPr>
          <w:p w14:paraId="35DBA69E" w14:textId="77777777" w:rsidR="0085587E" w:rsidRPr="00B44B19" w:rsidRDefault="0085587E" w:rsidP="008A4063">
            <w:pPr>
              <w:spacing w:after="0" w:line="240" w:lineRule="auto"/>
              <w:jc w:val="both"/>
              <w:rPr>
                <w:rFonts w:cs="Times New Roman"/>
                <w:sz w:val="16"/>
                <w:szCs w:val="16"/>
                <w:lang w:eastAsia="lt-LT"/>
              </w:rPr>
            </w:pPr>
            <w:r w:rsidRPr="00B44B19">
              <w:rPr>
                <w:rFonts w:cs="Times New Roman"/>
                <w:sz w:val="16"/>
                <w:szCs w:val="16"/>
                <w:lang w:eastAsia="lt-LT"/>
              </w:rPr>
              <w:t>RCR98</w:t>
            </w:r>
          </w:p>
        </w:tc>
        <w:tc>
          <w:tcPr>
            <w:tcW w:w="3119" w:type="dxa"/>
            <w:tcBorders>
              <w:top w:val="single" w:sz="12" w:space="0" w:color="auto"/>
            </w:tcBorders>
          </w:tcPr>
          <w:p w14:paraId="4693D589" w14:textId="77777777" w:rsidR="0085587E" w:rsidRPr="00B44B19" w:rsidRDefault="00900035" w:rsidP="008A4063">
            <w:pPr>
              <w:spacing w:after="0" w:line="240" w:lineRule="auto"/>
              <w:rPr>
                <w:rFonts w:cs="Times New Roman"/>
                <w:sz w:val="16"/>
                <w:szCs w:val="16"/>
                <w:lang w:eastAsia="lt-LT"/>
              </w:rPr>
            </w:pPr>
            <w:r w:rsidRPr="00B44B19">
              <w:rPr>
                <w:rFonts w:cs="Times New Roman"/>
                <w:sz w:val="16"/>
                <w:szCs w:val="16"/>
                <w:lang w:eastAsia="lt-LT"/>
              </w:rPr>
              <w:t>MVĮ darbuotojai, baigę mokymą, skirtą pažangiajai specializacijai, pramonės pertvarkai ir verslumui reikalingiems įgūdžiams ugdyti (pagal įgūdžių rūšį: techniniai, valdymo, verslumo, ekologijos, kiti</w:t>
            </w:r>
            <w:r w:rsidR="006055E4" w:rsidRPr="00B44B19">
              <w:rPr>
                <w:rFonts w:cs="Times New Roman"/>
                <w:sz w:val="16"/>
                <w:szCs w:val="16"/>
                <w:lang w:eastAsia="lt-LT"/>
              </w:rPr>
              <w:t>)</w:t>
            </w:r>
          </w:p>
        </w:tc>
        <w:tc>
          <w:tcPr>
            <w:tcW w:w="992" w:type="dxa"/>
            <w:tcBorders>
              <w:top w:val="single" w:sz="12" w:space="0" w:color="auto"/>
            </w:tcBorders>
          </w:tcPr>
          <w:p w14:paraId="3073D651" w14:textId="77777777" w:rsidR="0085587E" w:rsidRPr="00B44B19" w:rsidRDefault="0085587E" w:rsidP="00F1511F">
            <w:pPr>
              <w:spacing w:after="0" w:line="240" w:lineRule="auto"/>
              <w:jc w:val="both"/>
              <w:rPr>
                <w:rFonts w:cs="Times New Roman"/>
                <w:noProof/>
                <w:sz w:val="16"/>
                <w:szCs w:val="16"/>
              </w:rPr>
            </w:pPr>
            <w:r w:rsidRPr="00B44B19">
              <w:rPr>
                <w:rFonts w:cs="Times New Roman"/>
                <w:noProof/>
                <w:sz w:val="16"/>
                <w:szCs w:val="16"/>
              </w:rPr>
              <w:t>Dalyviai</w:t>
            </w:r>
          </w:p>
        </w:tc>
        <w:tc>
          <w:tcPr>
            <w:tcW w:w="992" w:type="dxa"/>
            <w:tcBorders>
              <w:top w:val="single" w:sz="12" w:space="0" w:color="auto"/>
            </w:tcBorders>
          </w:tcPr>
          <w:p w14:paraId="66F1AA54" w14:textId="77777777" w:rsidR="0085587E" w:rsidRPr="00B44B19" w:rsidRDefault="0085587E" w:rsidP="008A4063">
            <w:pPr>
              <w:spacing w:after="0" w:line="240" w:lineRule="auto"/>
              <w:jc w:val="center"/>
              <w:rPr>
                <w:rFonts w:cs="Times New Roman"/>
                <w:noProof/>
                <w:sz w:val="16"/>
                <w:szCs w:val="16"/>
              </w:rPr>
            </w:pPr>
            <w:r w:rsidRPr="00B44B19">
              <w:rPr>
                <w:rFonts w:cs="Times New Roman"/>
                <w:noProof/>
                <w:sz w:val="16"/>
                <w:szCs w:val="16"/>
              </w:rPr>
              <w:t>0</w:t>
            </w:r>
          </w:p>
        </w:tc>
        <w:tc>
          <w:tcPr>
            <w:tcW w:w="1134" w:type="dxa"/>
            <w:tcBorders>
              <w:top w:val="single" w:sz="12" w:space="0" w:color="auto"/>
            </w:tcBorders>
          </w:tcPr>
          <w:p w14:paraId="60204E9A" w14:textId="77777777" w:rsidR="0085587E" w:rsidRPr="00B44B19" w:rsidRDefault="0085587E" w:rsidP="008A4063">
            <w:pPr>
              <w:spacing w:after="0" w:line="240" w:lineRule="auto"/>
              <w:jc w:val="center"/>
              <w:rPr>
                <w:rFonts w:cs="Times New Roman"/>
                <w:noProof/>
                <w:sz w:val="16"/>
                <w:szCs w:val="16"/>
              </w:rPr>
            </w:pPr>
            <w:r w:rsidRPr="00B44B19">
              <w:rPr>
                <w:rFonts w:cs="Times New Roman"/>
                <w:noProof/>
                <w:sz w:val="16"/>
                <w:szCs w:val="16"/>
              </w:rPr>
              <w:t>2021</w:t>
            </w:r>
          </w:p>
        </w:tc>
        <w:tc>
          <w:tcPr>
            <w:tcW w:w="993" w:type="dxa"/>
            <w:tcBorders>
              <w:top w:val="single" w:sz="12" w:space="0" w:color="auto"/>
            </w:tcBorders>
          </w:tcPr>
          <w:p w14:paraId="52744DF9" w14:textId="5E064DF2" w:rsidR="0085587E" w:rsidRPr="00B44B19" w:rsidRDefault="00126B1A" w:rsidP="005773FA">
            <w:pPr>
              <w:spacing w:after="0" w:line="240" w:lineRule="auto"/>
              <w:jc w:val="center"/>
              <w:rPr>
                <w:rFonts w:cs="Times New Roman"/>
                <w:noProof/>
                <w:sz w:val="16"/>
                <w:szCs w:val="16"/>
              </w:rPr>
            </w:pPr>
            <w:r w:rsidRPr="00B44B19">
              <w:rPr>
                <w:rFonts w:cs="Times New Roman"/>
                <w:noProof/>
                <w:sz w:val="16"/>
                <w:szCs w:val="16"/>
              </w:rPr>
              <w:t>19 621</w:t>
            </w:r>
          </w:p>
        </w:tc>
        <w:tc>
          <w:tcPr>
            <w:tcW w:w="992" w:type="dxa"/>
            <w:tcBorders>
              <w:top w:val="single" w:sz="12" w:space="0" w:color="auto"/>
            </w:tcBorders>
          </w:tcPr>
          <w:p w14:paraId="52E0361A" w14:textId="77777777" w:rsidR="0085587E" w:rsidRPr="00B44B19" w:rsidRDefault="0085587E" w:rsidP="008A4063">
            <w:pPr>
              <w:spacing w:after="0" w:line="240" w:lineRule="auto"/>
              <w:jc w:val="both"/>
              <w:rPr>
                <w:rFonts w:cs="Times New Roman"/>
                <w:noProof/>
                <w:sz w:val="16"/>
                <w:szCs w:val="16"/>
              </w:rPr>
            </w:pPr>
            <w:r w:rsidRPr="00B44B19">
              <w:rPr>
                <w:rFonts w:cs="Times New Roman"/>
                <w:noProof/>
                <w:sz w:val="16"/>
                <w:szCs w:val="16"/>
              </w:rPr>
              <w:t>Projektų duomenys</w:t>
            </w:r>
          </w:p>
        </w:tc>
        <w:tc>
          <w:tcPr>
            <w:tcW w:w="992" w:type="dxa"/>
            <w:tcBorders>
              <w:top w:val="single" w:sz="12" w:space="0" w:color="auto"/>
            </w:tcBorders>
          </w:tcPr>
          <w:p w14:paraId="7E886BD1" w14:textId="77777777" w:rsidR="0085587E" w:rsidRPr="00B44B19" w:rsidRDefault="0085587E" w:rsidP="008A4063">
            <w:pPr>
              <w:spacing w:after="0" w:line="240" w:lineRule="auto"/>
              <w:jc w:val="both"/>
              <w:rPr>
                <w:rFonts w:cs="Times New Roman"/>
                <w:i/>
                <w:noProof/>
                <w:sz w:val="14"/>
                <w:szCs w:val="14"/>
                <w:lang w:eastAsia="lt-LT"/>
              </w:rPr>
            </w:pPr>
            <w:r w:rsidRPr="00B44B19">
              <w:rPr>
                <w:rFonts w:cs="Times New Roman"/>
                <w:i/>
                <w:noProof/>
                <w:sz w:val="14"/>
                <w:szCs w:val="14"/>
                <w:lang w:eastAsia="lt-LT"/>
              </w:rPr>
              <w:t>-</w:t>
            </w:r>
          </w:p>
        </w:tc>
      </w:tr>
      <w:tr w:rsidR="0085587E" w:rsidRPr="00B44B19" w14:paraId="6D077AA7" w14:textId="77777777" w:rsidTr="008A4063">
        <w:trPr>
          <w:trHeight w:val="286"/>
        </w:trPr>
        <w:tc>
          <w:tcPr>
            <w:tcW w:w="1101" w:type="dxa"/>
            <w:vMerge/>
          </w:tcPr>
          <w:p w14:paraId="7397EEFA" w14:textId="77777777" w:rsidR="0085587E" w:rsidRPr="00B44B19" w:rsidRDefault="0085587E" w:rsidP="008A4063">
            <w:pPr>
              <w:spacing w:after="0" w:line="240" w:lineRule="auto"/>
              <w:jc w:val="both"/>
              <w:rPr>
                <w:rFonts w:cs="Times New Roman"/>
                <w:noProof/>
                <w:sz w:val="16"/>
                <w:szCs w:val="16"/>
              </w:rPr>
            </w:pPr>
          </w:p>
        </w:tc>
        <w:tc>
          <w:tcPr>
            <w:tcW w:w="992" w:type="dxa"/>
            <w:vMerge/>
          </w:tcPr>
          <w:p w14:paraId="26B7DD5D" w14:textId="77777777" w:rsidR="0085587E" w:rsidRPr="00B44B19" w:rsidRDefault="0085587E" w:rsidP="008A4063">
            <w:pPr>
              <w:spacing w:after="0" w:line="240" w:lineRule="auto"/>
              <w:jc w:val="both"/>
              <w:rPr>
                <w:rFonts w:cs="Times New Roman"/>
                <w:noProof/>
                <w:sz w:val="16"/>
                <w:szCs w:val="16"/>
              </w:rPr>
            </w:pPr>
          </w:p>
        </w:tc>
        <w:tc>
          <w:tcPr>
            <w:tcW w:w="850" w:type="dxa"/>
            <w:vMerge/>
          </w:tcPr>
          <w:p w14:paraId="76B40C07" w14:textId="77777777" w:rsidR="0085587E" w:rsidRPr="00B44B19" w:rsidRDefault="0085587E" w:rsidP="008A4063">
            <w:pPr>
              <w:spacing w:after="0" w:line="240" w:lineRule="auto"/>
              <w:rPr>
                <w:rFonts w:cs="Times New Roman"/>
                <w:b/>
                <w:noProof/>
                <w:sz w:val="14"/>
                <w:szCs w:val="14"/>
              </w:rPr>
            </w:pPr>
          </w:p>
        </w:tc>
        <w:tc>
          <w:tcPr>
            <w:tcW w:w="993" w:type="dxa"/>
          </w:tcPr>
          <w:p w14:paraId="743E612D" w14:textId="77777777" w:rsidR="0085587E" w:rsidRPr="00B44B19" w:rsidRDefault="0085587E" w:rsidP="008A4063">
            <w:pPr>
              <w:spacing w:after="0" w:line="240" w:lineRule="auto"/>
              <w:jc w:val="both"/>
              <w:rPr>
                <w:rFonts w:cs="Times New Roman"/>
                <w:noProof/>
                <w:sz w:val="16"/>
                <w:szCs w:val="16"/>
              </w:rPr>
            </w:pPr>
            <w:r w:rsidRPr="00B44B19">
              <w:rPr>
                <w:rFonts w:cs="Times New Roman"/>
                <w:sz w:val="16"/>
                <w:szCs w:val="16"/>
              </w:rPr>
              <w:t>VVL regionas</w:t>
            </w:r>
          </w:p>
        </w:tc>
        <w:tc>
          <w:tcPr>
            <w:tcW w:w="1275" w:type="dxa"/>
          </w:tcPr>
          <w:p w14:paraId="1822E646" w14:textId="77777777" w:rsidR="0085587E" w:rsidRPr="00B44B19" w:rsidRDefault="0085587E" w:rsidP="008A4063">
            <w:pPr>
              <w:spacing w:after="0" w:line="240" w:lineRule="auto"/>
              <w:jc w:val="both"/>
              <w:rPr>
                <w:rFonts w:cs="Times New Roman"/>
                <w:sz w:val="16"/>
                <w:szCs w:val="16"/>
                <w:lang w:eastAsia="lt-LT"/>
              </w:rPr>
            </w:pPr>
            <w:r w:rsidRPr="00B44B19">
              <w:rPr>
                <w:rFonts w:cs="Times New Roman"/>
                <w:sz w:val="16"/>
                <w:szCs w:val="16"/>
                <w:lang w:eastAsia="lt-LT"/>
              </w:rPr>
              <w:t>RCR98</w:t>
            </w:r>
          </w:p>
        </w:tc>
        <w:tc>
          <w:tcPr>
            <w:tcW w:w="3119" w:type="dxa"/>
          </w:tcPr>
          <w:p w14:paraId="0DE8C6B4" w14:textId="77777777" w:rsidR="0085587E" w:rsidRPr="00B44B19" w:rsidRDefault="00900035" w:rsidP="008A4063">
            <w:pPr>
              <w:spacing w:after="0" w:line="240" w:lineRule="auto"/>
              <w:rPr>
                <w:rFonts w:cs="Times New Roman"/>
                <w:sz w:val="16"/>
                <w:szCs w:val="16"/>
                <w:lang w:eastAsia="lt-LT"/>
              </w:rPr>
            </w:pPr>
            <w:r w:rsidRPr="00B44B19">
              <w:rPr>
                <w:rFonts w:cs="Times New Roman"/>
                <w:sz w:val="16"/>
                <w:szCs w:val="16"/>
                <w:lang w:eastAsia="lt-LT"/>
              </w:rPr>
              <w:t>MVĮ darbuotojai, baigę mokymą, skirtą pažangiajai specializacijai, pramonės pertvarkai ir verslumui reikalingiems įgūdžiams ugdyti (pagal įgūdžių rūšį: techniniai, valdymo, verslumo, ekologijos, kiti</w:t>
            </w:r>
            <w:r w:rsidR="006055E4" w:rsidRPr="00B44B19">
              <w:rPr>
                <w:rFonts w:cs="Times New Roman"/>
                <w:sz w:val="16"/>
                <w:szCs w:val="16"/>
                <w:lang w:eastAsia="lt-LT"/>
              </w:rPr>
              <w:t>)</w:t>
            </w:r>
          </w:p>
        </w:tc>
        <w:tc>
          <w:tcPr>
            <w:tcW w:w="992" w:type="dxa"/>
          </w:tcPr>
          <w:p w14:paraId="361B8E81" w14:textId="77777777" w:rsidR="0085587E" w:rsidRPr="00B44B19" w:rsidRDefault="0085587E" w:rsidP="008A4063">
            <w:pPr>
              <w:spacing w:after="0" w:line="240" w:lineRule="auto"/>
              <w:jc w:val="both"/>
              <w:rPr>
                <w:rFonts w:cs="Times New Roman"/>
                <w:i/>
                <w:noProof/>
                <w:sz w:val="14"/>
                <w:szCs w:val="14"/>
              </w:rPr>
            </w:pPr>
            <w:r w:rsidRPr="00B44B19">
              <w:rPr>
                <w:rFonts w:cs="Times New Roman"/>
                <w:noProof/>
                <w:sz w:val="16"/>
                <w:szCs w:val="16"/>
              </w:rPr>
              <w:t>Dalyviai</w:t>
            </w:r>
          </w:p>
        </w:tc>
        <w:tc>
          <w:tcPr>
            <w:tcW w:w="992" w:type="dxa"/>
          </w:tcPr>
          <w:p w14:paraId="5A36BDA8" w14:textId="77777777" w:rsidR="0085587E" w:rsidRPr="00B44B19" w:rsidRDefault="0085587E" w:rsidP="008A4063">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0116CB39" w14:textId="77777777" w:rsidR="0085587E" w:rsidRPr="00B44B19" w:rsidRDefault="0085587E" w:rsidP="008A4063">
            <w:pPr>
              <w:spacing w:after="0" w:line="240" w:lineRule="auto"/>
              <w:jc w:val="center"/>
              <w:rPr>
                <w:rFonts w:cs="Times New Roman"/>
                <w:noProof/>
                <w:sz w:val="16"/>
                <w:szCs w:val="16"/>
              </w:rPr>
            </w:pPr>
            <w:r w:rsidRPr="00B44B19">
              <w:rPr>
                <w:rFonts w:cs="Times New Roman"/>
                <w:noProof/>
                <w:sz w:val="16"/>
                <w:szCs w:val="16"/>
              </w:rPr>
              <w:t>2021</w:t>
            </w:r>
          </w:p>
        </w:tc>
        <w:tc>
          <w:tcPr>
            <w:tcW w:w="993" w:type="dxa"/>
          </w:tcPr>
          <w:p w14:paraId="627F007A" w14:textId="32E93673" w:rsidR="0085587E" w:rsidRPr="00B44B19" w:rsidRDefault="00126B1A" w:rsidP="000C0CE9">
            <w:pPr>
              <w:spacing w:after="0" w:line="240" w:lineRule="auto"/>
              <w:jc w:val="center"/>
              <w:rPr>
                <w:rFonts w:cs="Times New Roman"/>
                <w:noProof/>
                <w:sz w:val="16"/>
                <w:szCs w:val="16"/>
              </w:rPr>
            </w:pPr>
            <w:r w:rsidRPr="00B44B19">
              <w:rPr>
                <w:rFonts w:cs="Times New Roman"/>
                <w:noProof/>
                <w:sz w:val="16"/>
                <w:szCs w:val="16"/>
              </w:rPr>
              <w:t>15 114</w:t>
            </w:r>
          </w:p>
        </w:tc>
        <w:tc>
          <w:tcPr>
            <w:tcW w:w="992" w:type="dxa"/>
          </w:tcPr>
          <w:p w14:paraId="3D42400F" w14:textId="77777777" w:rsidR="0085587E" w:rsidRPr="00B44B19" w:rsidRDefault="0085587E" w:rsidP="008A4063">
            <w:pPr>
              <w:spacing w:after="0" w:line="240" w:lineRule="auto"/>
              <w:jc w:val="both"/>
              <w:rPr>
                <w:rFonts w:cs="Times New Roman"/>
                <w:noProof/>
                <w:sz w:val="14"/>
                <w:szCs w:val="14"/>
              </w:rPr>
            </w:pPr>
            <w:r w:rsidRPr="00B44B19">
              <w:rPr>
                <w:rFonts w:cs="Times New Roman"/>
                <w:noProof/>
                <w:sz w:val="16"/>
                <w:szCs w:val="16"/>
              </w:rPr>
              <w:t>Projektų duomenys</w:t>
            </w:r>
          </w:p>
        </w:tc>
        <w:tc>
          <w:tcPr>
            <w:tcW w:w="992" w:type="dxa"/>
          </w:tcPr>
          <w:p w14:paraId="31A0486E" w14:textId="77777777" w:rsidR="0085587E" w:rsidRPr="00B44B19" w:rsidRDefault="0085587E" w:rsidP="008A4063">
            <w:pPr>
              <w:spacing w:after="0" w:line="240" w:lineRule="auto"/>
              <w:jc w:val="both"/>
              <w:rPr>
                <w:rFonts w:cs="Times New Roman"/>
                <w:i/>
                <w:noProof/>
                <w:sz w:val="14"/>
                <w:szCs w:val="14"/>
                <w:lang w:eastAsia="lt-LT"/>
              </w:rPr>
            </w:pPr>
            <w:r w:rsidRPr="00B44B19">
              <w:rPr>
                <w:rFonts w:cs="Times New Roman"/>
                <w:i/>
                <w:noProof/>
                <w:sz w:val="14"/>
                <w:szCs w:val="14"/>
                <w:lang w:eastAsia="lt-LT"/>
              </w:rPr>
              <w:t>-</w:t>
            </w:r>
          </w:p>
        </w:tc>
      </w:tr>
      <w:tr w:rsidR="0085587E" w:rsidRPr="00B44B19" w14:paraId="0BC32799" w14:textId="77777777" w:rsidTr="008A4063">
        <w:trPr>
          <w:trHeight w:val="286"/>
        </w:trPr>
        <w:tc>
          <w:tcPr>
            <w:tcW w:w="1101" w:type="dxa"/>
            <w:vMerge/>
          </w:tcPr>
          <w:p w14:paraId="52F93893" w14:textId="77777777" w:rsidR="0085587E" w:rsidRPr="00B44B19" w:rsidRDefault="0085587E" w:rsidP="008A4063">
            <w:pPr>
              <w:spacing w:after="0" w:line="240" w:lineRule="auto"/>
              <w:jc w:val="both"/>
              <w:rPr>
                <w:rFonts w:cs="Times New Roman"/>
                <w:noProof/>
                <w:sz w:val="16"/>
                <w:szCs w:val="16"/>
              </w:rPr>
            </w:pPr>
          </w:p>
        </w:tc>
        <w:tc>
          <w:tcPr>
            <w:tcW w:w="992" w:type="dxa"/>
            <w:vMerge/>
          </w:tcPr>
          <w:p w14:paraId="3DFC4C6C" w14:textId="77777777" w:rsidR="0085587E" w:rsidRPr="00B44B19" w:rsidRDefault="0085587E" w:rsidP="008A4063">
            <w:pPr>
              <w:spacing w:after="0" w:line="240" w:lineRule="auto"/>
              <w:jc w:val="both"/>
              <w:rPr>
                <w:rFonts w:cs="Times New Roman"/>
                <w:noProof/>
                <w:sz w:val="16"/>
                <w:szCs w:val="16"/>
              </w:rPr>
            </w:pPr>
          </w:p>
        </w:tc>
        <w:tc>
          <w:tcPr>
            <w:tcW w:w="850" w:type="dxa"/>
            <w:vMerge/>
          </w:tcPr>
          <w:p w14:paraId="130CB017" w14:textId="77777777" w:rsidR="0085587E" w:rsidRPr="00B44B19" w:rsidRDefault="0085587E" w:rsidP="008A4063">
            <w:pPr>
              <w:spacing w:after="0" w:line="240" w:lineRule="auto"/>
              <w:rPr>
                <w:rFonts w:cs="Times New Roman"/>
                <w:b/>
                <w:noProof/>
                <w:sz w:val="14"/>
                <w:szCs w:val="14"/>
              </w:rPr>
            </w:pPr>
          </w:p>
        </w:tc>
        <w:tc>
          <w:tcPr>
            <w:tcW w:w="993" w:type="dxa"/>
          </w:tcPr>
          <w:p w14:paraId="68CC2890" w14:textId="77777777" w:rsidR="0085587E" w:rsidRPr="00B44B19" w:rsidRDefault="0085587E" w:rsidP="008A4063">
            <w:pPr>
              <w:spacing w:after="0" w:line="240" w:lineRule="auto"/>
              <w:jc w:val="both"/>
              <w:rPr>
                <w:rFonts w:cs="Times New Roman"/>
                <w:noProof/>
                <w:sz w:val="16"/>
                <w:szCs w:val="16"/>
              </w:rPr>
            </w:pPr>
            <w:r w:rsidRPr="00B44B19">
              <w:rPr>
                <w:rFonts w:cs="Times New Roman"/>
                <w:sz w:val="16"/>
                <w:szCs w:val="16"/>
              </w:rPr>
              <w:t>Sostinės regionas</w:t>
            </w:r>
          </w:p>
        </w:tc>
        <w:tc>
          <w:tcPr>
            <w:tcW w:w="1275" w:type="dxa"/>
          </w:tcPr>
          <w:p w14:paraId="7B3CFDB7" w14:textId="77777777" w:rsidR="0085587E" w:rsidRPr="00B44B19" w:rsidRDefault="0085587E" w:rsidP="008A4063">
            <w:pPr>
              <w:spacing w:after="0" w:line="240" w:lineRule="auto"/>
              <w:jc w:val="both"/>
              <w:rPr>
                <w:rFonts w:cs="Times New Roman"/>
                <w:sz w:val="16"/>
                <w:szCs w:val="16"/>
                <w:lang w:eastAsia="lt-LT"/>
              </w:rPr>
            </w:pPr>
            <w:r w:rsidRPr="00B44B19">
              <w:rPr>
                <w:rFonts w:cs="Times New Roman"/>
                <w:sz w:val="16"/>
                <w:szCs w:val="16"/>
                <w:lang w:eastAsia="lt-LT"/>
              </w:rPr>
              <w:t>RCR03</w:t>
            </w:r>
          </w:p>
        </w:tc>
        <w:tc>
          <w:tcPr>
            <w:tcW w:w="3119" w:type="dxa"/>
          </w:tcPr>
          <w:p w14:paraId="6DDE5AC7" w14:textId="77777777" w:rsidR="0085587E" w:rsidRPr="00B44B19" w:rsidRDefault="0085587E" w:rsidP="008A4063">
            <w:pPr>
              <w:spacing w:after="0" w:line="240" w:lineRule="auto"/>
              <w:rPr>
                <w:rFonts w:cs="Times New Roman"/>
                <w:sz w:val="16"/>
                <w:szCs w:val="16"/>
                <w:lang w:eastAsia="lt-LT"/>
              </w:rPr>
            </w:pPr>
            <w:r w:rsidRPr="00B44B19">
              <w:rPr>
                <w:rFonts w:cs="Times New Roman"/>
                <w:sz w:val="16"/>
                <w:szCs w:val="16"/>
                <w:lang w:eastAsia="lt-LT"/>
              </w:rPr>
              <w:t>Produktų ar procesų inovacijas diegiančios mažosios ir vidutinės įmonės (MVĮ)</w:t>
            </w:r>
          </w:p>
        </w:tc>
        <w:tc>
          <w:tcPr>
            <w:tcW w:w="992" w:type="dxa"/>
          </w:tcPr>
          <w:p w14:paraId="064D6388" w14:textId="77777777" w:rsidR="0085587E" w:rsidRPr="00B44B19" w:rsidRDefault="0085587E" w:rsidP="008A4063">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Pr>
          <w:p w14:paraId="61F006C9" w14:textId="77777777" w:rsidR="0085587E" w:rsidRPr="00B44B19" w:rsidRDefault="0085587E" w:rsidP="008A4063">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50413791" w14:textId="77777777" w:rsidR="0085587E" w:rsidRPr="00B44B19" w:rsidRDefault="002D036A" w:rsidP="009C6DA1">
            <w:pPr>
              <w:tabs>
                <w:tab w:val="left" w:pos="335"/>
                <w:tab w:val="center" w:pos="459"/>
              </w:tabs>
              <w:spacing w:after="0" w:line="240" w:lineRule="auto"/>
              <w:jc w:val="center"/>
              <w:rPr>
                <w:rFonts w:cs="Times New Roman"/>
                <w:noProof/>
                <w:sz w:val="16"/>
                <w:szCs w:val="16"/>
              </w:rPr>
            </w:pPr>
            <w:r w:rsidRPr="00B44B19">
              <w:rPr>
                <w:rFonts w:cs="Times New Roman"/>
                <w:noProof/>
                <w:sz w:val="16"/>
                <w:szCs w:val="16"/>
              </w:rPr>
              <w:t>2021</w:t>
            </w:r>
          </w:p>
        </w:tc>
        <w:tc>
          <w:tcPr>
            <w:tcW w:w="993" w:type="dxa"/>
          </w:tcPr>
          <w:p w14:paraId="70FD9AC0" w14:textId="2A9915AE" w:rsidR="0085587E" w:rsidRPr="00B44B19" w:rsidRDefault="0093143A" w:rsidP="008A4063">
            <w:pPr>
              <w:spacing w:after="0" w:line="240" w:lineRule="auto"/>
              <w:jc w:val="center"/>
              <w:rPr>
                <w:rFonts w:cs="Times New Roman"/>
                <w:noProof/>
                <w:sz w:val="16"/>
                <w:szCs w:val="16"/>
              </w:rPr>
            </w:pPr>
            <w:r w:rsidRPr="00B44B19">
              <w:rPr>
                <w:rFonts w:cs="Times New Roman"/>
                <w:noProof/>
                <w:sz w:val="16"/>
                <w:szCs w:val="16"/>
              </w:rPr>
              <w:t>36</w:t>
            </w:r>
          </w:p>
        </w:tc>
        <w:tc>
          <w:tcPr>
            <w:tcW w:w="992" w:type="dxa"/>
          </w:tcPr>
          <w:p w14:paraId="4C26B93A" w14:textId="77777777" w:rsidR="0085587E" w:rsidRPr="00B44B19" w:rsidRDefault="0085587E" w:rsidP="008A4063">
            <w:pPr>
              <w:spacing w:after="0" w:line="240" w:lineRule="auto"/>
              <w:jc w:val="both"/>
              <w:rPr>
                <w:rFonts w:cs="Times New Roman"/>
                <w:noProof/>
                <w:sz w:val="14"/>
                <w:szCs w:val="14"/>
              </w:rPr>
            </w:pPr>
            <w:r w:rsidRPr="00B44B19">
              <w:rPr>
                <w:rFonts w:cs="Times New Roman"/>
                <w:noProof/>
                <w:sz w:val="16"/>
                <w:szCs w:val="16"/>
              </w:rPr>
              <w:t>Projektų duomenys</w:t>
            </w:r>
          </w:p>
        </w:tc>
        <w:tc>
          <w:tcPr>
            <w:tcW w:w="992" w:type="dxa"/>
          </w:tcPr>
          <w:p w14:paraId="049CBB1E" w14:textId="77777777" w:rsidR="0085587E" w:rsidRPr="00B44B19" w:rsidRDefault="0085587E" w:rsidP="008A4063">
            <w:pPr>
              <w:spacing w:after="0" w:line="240" w:lineRule="auto"/>
              <w:jc w:val="both"/>
              <w:rPr>
                <w:rFonts w:cs="Times New Roman"/>
                <w:i/>
                <w:noProof/>
                <w:sz w:val="14"/>
                <w:szCs w:val="14"/>
                <w:lang w:eastAsia="lt-LT"/>
              </w:rPr>
            </w:pPr>
            <w:r w:rsidRPr="00B44B19">
              <w:rPr>
                <w:rFonts w:cs="Times New Roman"/>
                <w:i/>
                <w:noProof/>
                <w:sz w:val="14"/>
                <w:szCs w:val="14"/>
                <w:lang w:eastAsia="lt-LT"/>
              </w:rPr>
              <w:t>-</w:t>
            </w:r>
          </w:p>
        </w:tc>
      </w:tr>
      <w:tr w:rsidR="0085587E" w:rsidRPr="00B44B19" w14:paraId="1822E5B8" w14:textId="77777777" w:rsidTr="008A4063">
        <w:trPr>
          <w:trHeight w:val="286"/>
        </w:trPr>
        <w:tc>
          <w:tcPr>
            <w:tcW w:w="1101" w:type="dxa"/>
            <w:vMerge/>
          </w:tcPr>
          <w:p w14:paraId="58D2C6D0" w14:textId="77777777" w:rsidR="0085587E" w:rsidRPr="00B44B19" w:rsidRDefault="0085587E" w:rsidP="008A4063">
            <w:pPr>
              <w:spacing w:after="0" w:line="240" w:lineRule="auto"/>
              <w:jc w:val="both"/>
              <w:rPr>
                <w:rFonts w:cs="Times New Roman"/>
                <w:noProof/>
                <w:sz w:val="16"/>
                <w:szCs w:val="16"/>
              </w:rPr>
            </w:pPr>
          </w:p>
        </w:tc>
        <w:tc>
          <w:tcPr>
            <w:tcW w:w="992" w:type="dxa"/>
            <w:vMerge/>
          </w:tcPr>
          <w:p w14:paraId="2921F62D" w14:textId="77777777" w:rsidR="0085587E" w:rsidRPr="00B44B19" w:rsidRDefault="0085587E" w:rsidP="008A4063">
            <w:pPr>
              <w:spacing w:after="0" w:line="240" w:lineRule="auto"/>
              <w:jc w:val="both"/>
              <w:rPr>
                <w:rFonts w:cs="Times New Roman"/>
                <w:noProof/>
                <w:sz w:val="16"/>
                <w:szCs w:val="16"/>
              </w:rPr>
            </w:pPr>
          </w:p>
        </w:tc>
        <w:tc>
          <w:tcPr>
            <w:tcW w:w="850" w:type="dxa"/>
            <w:vMerge/>
          </w:tcPr>
          <w:p w14:paraId="16EDE34F" w14:textId="77777777" w:rsidR="0085587E" w:rsidRPr="00B44B19" w:rsidRDefault="0085587E" w:rsidP="008A4063">
            <w:pPr>
              <w:spacing w:after="0" w:line="240" w:lineRule="auto"/>
              <w:rPr>
                <w:rFonts w:cs="Times New Roman"/>
                <w:b/>
                <w:noProof/>
                <w:sz w:val="14"/>
                <w:szCs w:val="14"/>
              </w:rPr>
            </w:pPr>
          </w:p>
        </w:tc>
        <w:tc>
          <w:tcPr>
            <w:tcW w:w="993" w:type="dxa"/>
          </w:tcPr>
          <w:p w14:paraId="3F3601B3" w14:textId="77777777" w:rsidR="0085587E" w:rsidRPr="00B44B19" w:rsidRDefault="0085587E" w:rsidP="008A4063">
            <w:pPr>
              <w:spacing w:after="0" w:line="240" w:lineRule="auto"/>
              <w:jc w:val="both"/>
              <w:rPr>
                <w:rFonts w:cs="Times New Roman"/>
                <w:noProof/>
                <w:sz w:val="16"/>
                <w:szCs w:val="16"/>
              </w:rPr>
            </w:pPr>
            <w:r w:rsidRPr="00B44B19">
              <w:rPr>
                <w:rFonts w:cs="Times New Roman"/>
                <w:sz w:val="16"/>
                <w:szCs w:val="16"/>
              </w:rPr>
              <w:t>VVL regionas</w:t>
            </w:r>
          </w:p>
        </w:tc>
        <w:tc>
          <w:tcPr>
            <w:tcW w:w="1275" w:type="dxa"/>
          </w:tcPr>
          <w:p w14:paraId="15EC0C1E" w14:textId="77777777" w:rsidR="0085587E" w:rsidRPr="00B44B19" w:rsidRDefault="0085587E" w:rsidP="008A4063">
            <w:pPr>
              <w:spacing w:after="0" w:line="240" w:lineRule="auto"/>
              <w:jc w:val="both"/>
              <w:rPr>
                <w:rFonts w:cs="Times New Roman"/>
                <w:sz w:val="16"/>
                <w:szCs w:val="16"/>
                <w:lang w:eastAsia="lt-LT"/>
              </w:rPr>
            </w:pPr>
            <w:r w:rsidRPr="00B44B19">
              <w:rPr>
                <w:rFonts w:cs="Times New Roman"/>
                <w:sz w:val="16"/>
                <w:szCs w:val="16"/>
                <w:lang w:eastAsia="lt-LT"/>
              </w:rPr>
              <w:t>RCR03</w:t>
            </w:r>
          </w:p>
        </w:tc>
        <w:tc>
          <w:tcPr>
            <w:tcW w:w="3119" w:type="dxa"/>
          </w:tcPr>
          <w:p w14:paraId="1B999771" w14:textId="77777777" w:rsidR="0085587E" w:rsidRPr="00B44B19" w:rsidRDefault="0085587E" w:rsidP="008A4063">
            <w:pPr>
              <w:spacing w:after="0" w:line="240" w:lineRule="auto"/>
              <w:rPr>
                <w:rFonts w:cs="Times New Roman"/>
                <w:sz w:val="16"/>
                <w:szCs w:val="16"/>
                <w:lang w:eastAsia="lt-LT"/>
              </w:rPr>
            </w:pPr>
            <w:r w:rsidRPr="00B44B19">
              <w:rPr>
                <w:rFonts w:cs="Times New Roman"/>
                <w:sz w:val="16"/>
                <w:szCs w:val="16"/>
                <w:lang w:eastAsia="lt-LT"/>
              </w:rPr>
              <w:t>produktų ar procesų inovacijas diegiančios mažosios ir vidutinės įmonės (MVĮ)</w:t>
            </w:r>
          </w:p>
        </w:tc>
        <w:tc>
          <w:tcPr>
            <w:tcW w:w="992" w:type="dxa"/>
          </w:tcPr>
          <w:p w14:paraId="6E539AE5" w14:textId="77777777" w:rsidR="0085587E" w:rsidRPr="00B44B19" w:rsidRDefault="0085587E" w:rsidP="008A4063">
            <w:pPr>
              <w:spacing w:after="0" w:line="240" w:lineRule="auto"/>
              <w:jc w:val="both"/>
              <w:rPr>
                <w:rFonts w:cs="Times New Roman"/>
                <w:noProof/>
                <w:sz w:val="16"/>
                <w:szCs w:val="16"/>
              </w:rPr>
            </w:pPr>
            <w:r w:rsidRPr="00B44B19">
              <w:rPr>
                <w:rFonts w:cs="Times New Roman"/>
                <w:noProof/>
                <w:sz w:val="16"/>
                <w:szCs w:val="16"/>
              </w:rPr>
              <w:t>Įmonės</w:t>
            </w:r>
          </w:p>
        </w:tc>
        <w:tc>
          <w:tcPr>
            <w:tcW w:w="992" w:type="dxa"/>
          </w:tcPr>
          <w:p w14:paraId="186A4306" w14:textId="77777777" w:rsidR="0085587E" w:rsidRPr="00B44B19" w:rsidRDefault="0085587E" w:rsidP="008A4063">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3F99EC29" w14:textId="77777777" w:rsidR="0085587E" w:rsidRPr="00B44B19" w:rsidRDefault="002D036A" w:rsidP="008A4063">
            <w:pPr>
              <w:spacing w:after="0" w:line="240" w:lineRule="auto"/>
              <w:jc w:val="center"/>
              <w:rPr>
                <w:rFonts w:cs="Times New Roman"/>
                <w:noProof/>
                <w:sz w:val="16"/>
                <w:szCs w:val="16"/>
              </w:rPr>
            </w:pPr>
            <w:r w:rsidRPr="00B44B19">
              <w:rPr>
                <w:rFonts w:cs="Times New Roman"/>
                <w:noProof/>
                <w:sz w:val="16"/>
                <w:szCs w:val="16"/>
              </w:rPr>
              <w:t>2021</w:t>
            </w:r>
          </w:p>
        </w:tc>
        <w:tc>
          <w:tcPr>
            <w:tcW w:w="993" w:type="dxa"/>
          </w:tcPr>
          <w:p w14:paraId="0F05B677" w14:textId="77777777" w:rsidR="0085587E" w:rsidRPr="00B44B19" w:rsidRDefault="00736F6D" w:rsidP="008A4063">
            <w:pPr>
              <w:spacing w:after="0" w:line="240" w:lineRule="auto"/>
              <w:jc w:val="center"/>
              <w:rPr>
                <w:rFonts w:cs="Times New Roman"/>
                <w:noProof/>
                <w:sz w:val="16"/>
                <w:szCs w:val="16"/>
              </w:rPr>
            </w:pPr>
            <w:r w:rsidRPr="00B44B19">
              <w:rPr>
                <w:rFonts w:cs="Times New Roman"/>
                <w:noProof/>
                <w:sz w:val="16"/>
                <w:szCs w:val="16"/>
              </w:rPr>
              <w:t>18</w:t>
            </w:r>
          </w:p>
        </w:tc>
        <w:tc>
          <w:tcPr>
            <w:tcW w:w="992" w:type="dxa"/>
          </w:tcPr>
          <w:p w14:paraId="6935B757" w14:textId="77777777" w:rsidR="0085587E" w:rsidRPr="00B44B19" w:rsidRDefault="0085587E" w:rsidP="008A4063">
            <w:pPr>
              <w:spacing w:after="0" w:line="240" w:lineRule="auto"/>
              <w:jc w:val="both"/>
              <w:rPr>
                <w:rFonts w:cs="Times New Roman"/>
                <w:noProof/>
                <w:sz w:val="14"/>
                <w:szCs w:val="14"/>
              </w:rPr>
            </w:pPr>
            <w:r w:rsidRPr="00B44B19">
              <w:rPr>
                <w:rFonts w:cs="Times New Roman"/>
                <w:noProof/>
                <w:sz w:val="16"/>
                <w:szCs w:val="16"/>
              </w:rPr>
              <w:t>Projektų duomenys</w:t>
            </w:r>
          </w:p>
        </w:tc>
        <w:tc>
          <w:tcPr>
            <w:tcW w:w="992" w:type="dxa"/>
          </w:tcPr>
          <w:p w14:paraId="4CC762B7" w14:textId="77777777" w:rsidR="0085587E" w:rsidRPr="00B44B19" w:rsidRDefault="0085587E" w:rsidP="008A4063">
            <w:pPr>
              <w:spacing w:after="0" w:line="240" w:lineRule="auto"/>
              <w:jc w:val="both"/>
              <w:rPr>
                <w:rFonts w:cs="Times New Roman"/>
                <w:i/>
                <w:noProof/>
                <w:sz w:val="14"/>
                <w:szCs w:val="14"/>
                <w:lang w:eastAsia="lt-LT"/>
              </w:rPr>
            </w:pPr>
            <w:r w:rsidRPr="00B44B19">
              <w:rPr>
                <w:rFonts w:cs="Times New Roman"/>
                <w:i/>
                <w:noProof/>
                <w:sz w:val="14"/>
                <w:szCs w:val="14"/>
                <w:lang w:eastAsia="lt-LT"/>
              </w:rPr>
              <w:t>-</w:t>
            </w:r>
          </w:p>
        </w:tc>
      </w:tr>
      <w:tr w:rsidR="0085587E" w:rsidRPr="00B44B19" w14:paraId="2797CE99" w14:textId="77777777" w:rsidTr="008A4063">
        <w:trPr>
          <w:trHeight w:val="286"/>
        </w:trPr>
        <w:tc>
          <w:tcPr>
            <w:tcW w:w="1101" w:type="dxa"/>
            <w:vMerge/>
          </w:tcPr>
          <w:p w14:paraId="0DD37227" w14:textId="77777777" w:rsidR="0085587E" w:rsidRPr="00B44B19" w:rsidRDefault="0085587E" w:rsidP="008A4063">
            <w:pPr>
              <w:spacing w:after="0" w:line="240" w:lineRule="auto"/>
              <w:jc w:val="both"/>
              <w:rPr>
                <w:rFonts w:cs="Times New Roman"/>
                <w:noProof/>
                <w:sz w:val="16"/>
                <w:szCs w:val="16"/>
              </w:rPr>
            </w:pPr>
          </w:p>
        </w:tc>
        <w:tc>
          <w:tcPr>
            <w:tcW w:w="992" w:type="dxa"/>
            <w:vMerge/>
          </w:tcPr>
          <w:p w14:paraId="03CEFF63" w14:textId="77777777" w:rsidR="0085587E" w:rsidRPr="00B44B19" w:rsidRDefault="0085587E" w:rsidP="008A4063">
            <w:pPr>
              <w:spacing w:after="0" w:line="240" w:lineRule="auto"/>
              <w:jc w:val="both"/>
              <w:rPr>
                <w:rFonts w:cs="Times New Roman"/>
                <w:noProof/>
                <w:sz w:val="16"/>
                <w:szCs w:val="16"/>
              </w:rPr>
            </w:pPr>
          </w:p>
        </w:tc>
        <w:tc>
          <w:tcPr>
            <w:tcW w:w="850" w:type="dxa"/>
            <w:vMerge/>
          </w:tcPr>
          <w:p w14:paraId="37283BCD" w14:textId="77777777" w:rsidR="0085587E" w:rsidRPr="00B44B19" w:rsidRDefault="0085587E" w:rsidP="008A4063">
            <w:pPr>
              <w:spacing w:after="0" w:line="240" w:lineRule="auto"/>
              <w:rPr>
                <w:rFonts w:cs="Times New Roman"/>
                <w:b/>
                <w:noProof/>
                <w:sz w:val="14"/>
                <w:szCs w:val="14"/>
              </w:rPr>
            </w:pPr>
          </w:p>
        </w:tc>
        <w:tc>
          <w:tcPr>
            <w:tcW w:w="993" w:type="dxa"/>
          </w:tcPr>
          <w:p w14:paraId="1D8B0237" w14:textId="77777777" w:rsidR="0085587E" w:rsidRPr="00B44B19" w:rsidRDefault="0085587E" w:rsidP="008A4063">
            <w:pPr>
              <w:spacing w:after="0" w:line="240" w:lineRule="auto"/>
              <w:jc w:val="both"/>
              <w:rPr>
                <w:rFonts w:cs="Times New Roman"/>
                <w:sz w:val="16"/>
                <w:szCs w:val="16"/>
              </w:rPr>
            </w:pPr>
            <w:r w:rsidRPr="00B44B19">
              <w:rPr>
                <w:rFonts w:cs="Times New Roman"/>
                <w:sz w:val="16"/>
                <w:szCs w:val="16"/>
              </w:rPr>
              <w:t>Sostinės regionas</w:t>
            </w:r>
          </w:p>
        </w:tc>
        <w:tc>
          <w:tcPr>
            <w:tcW w:w="1275" w:type="dxa"/>
          </w:tcPr>
          <w:p w14:paraId="78E0AA2E" w14:textId="77777777" w:rsidR="0085587E" w:rsidRPr="00B44B19" w:rsidDel="002D2139" w:rsidRDefault="0085587E" w:rsidP="008A4063">
            <w:pPr>
              <w:spacing w:after="0" w:line="240" w:lineRule="auto"/>
              <w:jc w:val="both"/>
              <w:rPr>
                <w:rFonts w:cs="Times New Roman"/>
                <w:sz w:val="16"/>
                <w:szCs w:val="16"/>
                <w:lang w:eastAsia="lt-LT"/>
              </w:rPr>
            </w:pPr>
            <w:r w:rsidRPr="00B44B19">
              <w:rPr>
                <w:rFonts w:cs="Times New Roman"/>
                <w:sz w:val="16"/>
                <w:szCs w:val="16"/>
                <w:lang w:eastAsia="lt-LT"/>
              </w:rPr>
              <w:t>RCR06</w:t>
            </w:r>
          </w:p>
        </w:tc>
        <w:tc>
          <w:tcPr>
            <w:tcW w:w="3119" w:type="dxa"/>
          </w:tcPr>
          <w:p w14:paraId="5DED9B5F" w14:textId="77777777" w:rsidR="0085587E" w:rsidRPr="00B44B19" w:rsidRDefault="0085587E" w:rsidP="008A4063">
            <w:pPr>
              <w:spacing w:after="0" w:line="240" w:lineRule="auto"/>
              <w:rPr>
                <w:rFonts w:cs="Times New Roman"/>
                <w:sz w:val="16"/>
                <w:szCs w:val="16"/>
                <w:lang w:eastAsia="lt-LT"/>
              </w:rPr>
            </w:pPr>
            <w:r w:rsidRPr="00B44B19">
              <w:rPr>
                <w:rFonts w:cs="Times New Roman"/>
                <w:sz w:val="16"/>
                <w:szCs w:val="16"/>
                <w:lang w:eastAsia="lt-LT"/>
              </w:rPr>
              <w:t>Pateiktos patentų paraiškos</w:t>
            </w:r>
          </w:p>
        </w:tc>
        <w:tc>
          <w:tcPr>
            <w:tcW w:w="992" w:type="dxa"/>
          </w:tcPr>
          <w:p w14:paraId="7F6E84AB" w14:textId="77777777" w:rsidR="0085587E" w:rsidRPr="00B44B19" w:rsidRDefault="0085587E" w:rsidP="008A4063">
            <w:pPr>
              <w:spacing w:after="0" w:line="240" w:lineRule="auto"/>
              <w:jc w:val="both"/>
              <w:rPr>
                <w:rFonts w:cs="Times New Roman"/>
                <w:noProof/>
                <w:sz w:val="16"/>
                <w:szCs w:val="16"/>
              </w:rPr>
            </w:pPr>
            <w:r w:rsidRPr="00B44B19">
              <w:rPr>
                <w:rFonts w:cs="Times New Roman"/>
                <w:noProof/>
                <w:sz w:val="16"/>
                <w:szCs w:val="16"/>
              </w:rPr>
              <w:t>Patent</w:t>
            </w:r>
            <w:r w:rsidR="00516AE1" w:rsidRPr="00B44B19">
              <w:rPr>
                <w:rFonts w:cs="Times New Roman"/>
                <w:noProof/>
                <w:sz w:val="16"/>
                <w:szCs w:val="16"/>
              </w:rPr>
              <w:t>ų</w:t>
            </w:r>
            <w:r w:rsidRPr="00B44B19">
              <w:rPr>
                <w:rFonts w:cs="Times New Roman"/>
                <w:noProof/>
                <w:sz w:val="16"/>
                <w:szCs w:val="16"/>
              </w:rPr>
              <w:t xml:space="preserve"> paraiškos</w:t>
            </w:r>
          </w:p>
        </w:tc>
        <w:tc>
          <w:tcPr>
            <w:tcW w:w="992" w:type="dxa"/>
          </w:tcPr>
          <w:p w14:paraId="4DE4894F" w14:textId="77777777" w:rsidR="0085587E" w:rsidRPr="00B44B19" w:rsidRDefault="002D036A" w:rsidP="008A4063">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537478D6" w14:textId="77777777" w:rsidR="0085587E" w:rsidRPr="00B44B19" w:rsidRDefault="002D036A" w:rsidP="008A4063">
            <w:pPr>
              <w:spacing w:after="0" w:line="240" w:lineRule="auto"/>
              <w:jc w:val="center"/>
              <w:rPr>
                <w:rFonts w:cs="Times New Roman"/>
                <w:noProof/>
                <w:sz w:val="16"/>
                <w:szCs w:val="16"/>
              </w:rPr>
            </w:pPr>
            <w:r w:rsidRPr="00B44B19">
              <w:rPr>
                <w:rFonts w:cs="Times New Roman"/>
                <w:noProof/>
                <w:sz w:val="16"/>
                <w:szCs w:val="16"/>
              </w:rPr>
              <w:t>2021</w:t>
            </w:r>
          </w:p>
        </w:tc>
        <w:tc>
          <w:tcPr>
            <w:tcW w:w="993" w:type="dxa"/>
          </w:tcPr>
          <w:p w14:paraId="364C7B1D" w14:textId="4DE1910C" w:rsidR="0085587E" w:rsidRPr="00B44B19" w:rsidRDefault="0093143A" w:rsidP="008A4063">
            <w:pPr>
              <w:spacing w:after="0" w:line="240" w:lineRule="auto"/>
              <w:jc w:val="center"/>
              <w:rPr>
                <w:rFonts w:cs="Times New Roman"/>
                <w:noProof/>
                <w:sz w:val="16"/>
                <w:szCs w:val="16"/>
              </w:rPr>
            </w:pPr>
            <w:r w:rsidRPr="00B44B19">
              <w:rPr>
                <w:rFonts w:cs="Times New Roman"/>
                <w:noProof/>
                <w:sz w:val="16"/>
                <w:szCs w:val="16"/>
              </w:rPr>
              <w:t>6</w:t>
            </w:r>
          </w:p>
        </w:tc>
        <w:tc>
          <w:tcPr>
            <w:tcW w:w="992" w:type="dxa"/>
          </w:tcPr>
          <w:p w14:paraId="2F1BEB6A" w14:textId="77777777" w:rsidR="0085587E" w:rsidRPr="00B44B19" w:rsidRDefault="003F66AF" w:rsidP="008A4063">
            <w:pPr>
              <w:spacing w:after="0" w:line="240" w:lineRule="auto"/>
              <w:jc w:val="both"/>
              <w:rPr>
                <w:rFonts w:cs="Times New Roman"/>
                <w:noProof/>
                <w:sz w:val="16"/>
                <w:szCs w:val="16"/>
              </w:rPr>
            </w:pPr>
            <w:r w:rsidRPr="00B44B19">
              <w:rPr>
                <w:rFonts w:cs="Times New Roman"/>
                <w:noProof/>
                <w:sz w:val="16"/>
                <w:szCs w:val="16"/>
              </w:rPr>
              <w:t>Projektų duomenys</w:t>
            </w:r>
          </w:p>
        </w:tc>
        <w:tc>
          <w:tcPr>
            <w:tcW w:w="992" w:type="dxa"/>
          </w:tcPr>
          <w:p w14:paraId="5D232037" w14:textId="77777777" w:rsidR="0085587E" w:rsidRPr="00B44B19" w:rsidRDefault="0085587E" w:rsidP="008A4063">
            <w:pPr>
              <w:spacing w:after="0" w:line="240" w:lineRule="auto"/>
              <w:jc w:val="both"/>
              <w:rPr>
                <w:rFonts w:cs="Times New Roman"/>
                <w:i/>
                <w:noProof/>
                <w:sz w:val="14"/>
                <w:szCs w:val="14"/>
                <w:lang w:eastAsia="lt-LT"/>
              </w:rPr>
            </w:pPr>
          </w:p>
        </w:tc>
      </w:tr>
      <w:tr w:rsidR="0085587E" w:rsidRPr="00B44B19" w14:paraId="3D286DC8" w14:textId="77777777" w:rsidTr="008A4063">
        <w:trPr>
          <w:trHeight w:val="286"/>
        </w:trPr>
        <w:tc>
          <w:tcPr>
            <w:tcW w:w="1101" w:type="dxa"/>
            <w:vMerge/>
          </w:tcPr>
          <w:p w14:paraId="05DD9DA6" w14:textId="77777777" w:rsidR="0085587E" w:rsidRPr="00B44B19" w:rsidRDefault="0085587E" w:rsidP="008A4063">
            <w:pPr>
              <w:spacing w:after="0" w:line="240" w:lineRule="auto"/>
              <w:jc w:val="both"/>
              <w:rPr>
                <w:rFonts w:cs="Times New Roman"/>
                <w:noProof/>
                <w:sz w:val="16"/>
                <w:szCs w:val="16"/>
              </w:rPr>
            </w:pPr>
          </w:p>
        </w:tc>
        <w:tc>
          <w:tcPr>
            <w:tcW w:w="992" w:type="dxa"/>
            <w:vMerge/>
          </w:tcPr>
          <w:p w14:paraId="21F5A985" w14:textId="77777777" w:rsidR="0085587E" w:rsidRPr="00B44B19" w:rsidRDefault="0085587E" w:rsidP="008A4063">
            <w:pPr>
              <w:spacing w:after="0" w:line="240" w:lineRule="auto"/>
              <w:jc w:val="both"/>
              <w:rPr>
                <w:rFonts w:cs="Times New Roman"/>
                <w:noProof/>
                <w:sz w:val="16"/>
                <w:szCs w:val="16"/>
              </w:rPr>
            </w:pPr>
          </w:p>
        </w:tc>
        <w:tc>
          <w:tcPr>
            <w:tcW w:w="850" w:type="dxa"/>
            <w:vMerge/>
          </w:tcPr>
          <w:p w14:paraId="68752057" w14:textId="77777777" w:rsidR="0085587E" w:rsidRPr="00B44B19" w:rsidRDefault="0085587E" w:rsidP="008A4063">
            <w:pPr>
              <w:spacing w:after="0" w:line="240" w:lineRule="auto"/>
              <w:rPr>
                <w:rFonts w:cs="Times New Roman"/>
                <w:b/>
                <w:noProof/>
                <w:sz w:val="14"/>
                <w:szCs w:val="14"/>
              </w:rPr>
            </w:pPr>
          </w:p>
        </w:tc>
        <w:tc>
          <w:tcPr>
            <w:tcW w:w="993" w:type="dxa"/>
          </w:tcPr>
          <w:p w14:paraId="70669F51" w14:textId="77777777" w:rsidR="0085587E" w:rsidRPr="00B44B19" w:rsidRDefault="0085587E" w:rsidP="008A4063">
            <w:pPr>
              <w:spacing w:after="0" w:line="240" w:lineRule="auto"/>
              <w:jc w:val="both"/>
              <w:rPr>
                <w:rFonts w:cs="Times New Roman"/>
                <w:sz w:val="16"/>
                <w:szCs w:val="16"/>
              </w:rPr>
            </w:pPr>
            <w:r w:rsidRPr="00B44B19">
              <w:rPr>
                <w:rFonts w:cs="Times New Roman"/>
                <w:sz w:val="16"/>
                <w:szCs w:val="16"/>
              </w:rPr>
              <w:t>VVL regionas</w:t>
            </w:r>
          </w:p>
        </w:tc>
        <w:tc>
          <w:tcPr>
            <w:tcW w:w="1275" w:type="dxa"/>
          </w:tcPr>
          <w:p w14:paraId="2BFACDFA" w14:textId="77777777" w:rsidR="0085587E" w:rsidRPr="00B44B19" w:rsidDel="002D2139" w:rsidRDefault="0085587E" w:rsidP="008A4063">
            <w:pPr>
              <w:spacing w:after="0" w:line="240" w:lineRule="auto"/>
              <w:jc w:val="both"/>
              <w:rPr>
                <w:rFonts w:cs="Times New Roman"/>
                <w:sz w:val="16"/>
                <w:szCs w:val="16"/>
                <w:lang w:eastAsia="lt-LT"/>
              </w:rPr>
            </w:pPr>
            <w:r w:rsidRPr="00B44B19">
              <w:rPr>
                <w:rFonts w:cs="Times New Roman"/>
                <w:sz w:val="16"/>
                <w:szCs w:val="16"/>
                <w:lang w:eastAsia="lt-LT"/>
              </w:rPr>
              <w:t>RCR06</w:t>
            </w:r>
          </w:p>
        </w:tc>
        <w:tc>
          <w:tcPr>
            <w:tcW w:w="3119" w:type="dxa"/>
          </w:tcPr>
          <w:p w14:paraId="4FBCCADC" w14:textId="77777777" w:rsidR="0085587E" w:rsidRPr="00B44B19" w:rsidRDefault="0085587E" w:rsidP="008A4063">
            <w:pPr>
              <w:spacing w:after="0" w:line="240" w:lineRule="auto"/>
              <w:rPr>
                <w:rFonts w:cs="Times New Roman"/>
                <w:sz w:val="16"/>
                <w:szCs w:val="16"/>
                <w:lang w:eastAsia="lt-LT"/>
              </w:rPr>
            </w:pPr>
            <w:r w:rsidRPr="00B44B19">
              <w:rPr>
                <w:rFonts w:cs="Times New Roman"/>
                <w:sz w:val="16"/>
                <w:szCs w:val="16"/>
                <w:lang w:eastAsia="lt-LT"/>
              </w:rPr>
              <w:t>Pateiktos patentų paraiškos</w:t>
            </w:r>
          </w:p>
        </w:tc>
        <w:tc>
          <w:tcPr>
            <w:tcW w:w="992" w:type="dxa"/>
          </w:tcPr>
          <w:p w14:paraId="18BF2800" w14:textId="77777777" w:rsidR="0085587E" w:rsidRPr="00B44B19" w:rsidRDefault="0085587E" w:rsidP="008A4063">
            <w:pPr>
              <w:spacing w:after="0" w:line="240" w:lineRule="auto"/>
              <w:jc w:val="both"/>
              <w:rPr>
                <w:rFonts w:cs="Times New Roman"/>
                <w:noProof/>
                <w:sz w:val="16"/>
                <w:szCs w:val="16"/>
              </w:rPr>
            </w:pPr>
            <w:r w:rsidRPr="00B44B19">
              <w:rPr>
                <w:rFonts w:cs="Times New Roman"/>
                <w:noProof/>
                <w:sz w:val="16"/>
                <w:szCs w:val="16"/>
              </w:rPr>
              <w:t>Patent</w:t>
            </w:r>
            <w:r w:rsidR="00516AE1" w:rsidRPr="00B44B19">
              <w:rPr>
                <w:rFonts w:cs="Times New Roman"/>
                <w:noProof/>
                <w:sz w:val="16"/>
                <w:szCs w:val="16"/>
              </w:rPr>
              <w:t>ų</w:t>
            </w:r>
            <w:r w:rsidRPr="00B44B19">
              <w:rPr>
                <w:rFonts w:cs="Times New Roman"/>
                <w:noProof/>
                <w:sz w:val="16"/>
                <w:szCs w:val="16"/>
              </w:rPr>
              <w:t xml:space="preserve"> paraiškos</w:t>
            </w:r>
          </w:p>
        </w:tc>
        <w:tc>
          <w:tcPr>
            <w:tcW w:w="992" w:type="dxa"/>
          </w:tcPr>
          <w:p w14:paraId="786E45D0" w14:textId="77777777" w:rsidR="0085587E" w:rsidRPr="00B44B19" w:rsidRDefault="002D036A" w:rsidP="008A4063">
            <w:pPr>
              <w:spacing w:after="0" w:line="240" w:lineRule="auto"/>
              <w:jc w:val="center"/>
              <w:rPr>
                <w:rFonts w:cs="Times New Roman"/>
                <w:noProof/>
                <w:sz w:val="16"/>
                <w:szCs w:val="16"/>
              </w:rPr>
            </w:pPr>
            <w:r w:rsidRPr="00B44B19">
              <w:rPr>
                <w:rFonts w:cs="Times New Roman"/>
                <w:noProof/>
                <w:sz w:val="16"/>
                <w:szCs w:val="16"/>
              </w:rPr>
              <w:t>0</w:t>
            </w:r>
          </w:p>
        </w:tc>
        <w:tc>
          <w:tcPr>
            <w:tcW w:w="1134" w:type="dxa"/>
          </w:tcPr>
          <w:p w14:paraId="39793725" w14:textId="77777777" w:rsidR="0085587E" w:rsidRPr="00B44B19" w:rsidRDefault="002D036A" w:rsidP="008A4063">
            <w:pPr>
              <w:spacing w:after="0" w:line="240" w:lineRule="auto"/>
              <w:jc w:val="center"/>
              <w:rPr>
                <w:rFonts w:cs="Times New Roman"/>
                <w:noProof/>
                <w:sz w:val="16"/>
                <w:szCs w:val="16"/>
              </w:rPr>
            </w:pPr>
            <w:r w:rsidRPr="00B44B19">
              <w:rPr>
                <w:rFonts w:cs="Times New Roman"/>
                <w:noProof/>
                <w:sz w:val="16"/>
                <w:szCs w:val="16"/>
              </w:rPr>
              <w:t>2021</w:t>
            </w:r>
          </w:p>
        </w:tc>
        <w:tc>
          <w:tcPr>
            <w:tcW w:w="993" w:type="dxa"/>
          </w:tcPr>
          <w:p w14:paraId="7A456692" w14:textId="77777777" w:rsidR="0085587E" w:rsidRPr="00B44B19" w:rsidRDefault="00F3722B" w:rsidP="008A4063">
            <w:pPr>
              <w:spacing w:after="0" w:line="240" w:lineRule="auto"/>
              <w:jc w:val="center"/>
              <w:rPr>
                <w:rFonts w:cs="Times New Roman"/>
                <w:noProof/>
                <w:sz w:val="16"/>
                <w:szCs w:val="16"/>
              </w:rPr>
            </w:pPr>
            <w:r w:rsidRPr="00B44B19">
              <w:rPr>
                <w:rFonts w:cs="Times New Roman"/>
                <w:noProof/>
                <w:sz w:val="16"/>
                <w:szCs w:val="16"/>
              </w:rPr>
              <w:t>3</w:t>
            </w:r>
          </w:p>
        </w:tc>
        <w:tc>
          <w:tcPr>
            <w:tcW w:w="992" w:type="dxa"/>
          </w:tcPr>
          <w:p w14:paraId="537CF0F7" w14:textId="77777777" w:rsidR="0085587E" w:rsidRPr="00B44B19" w:rsidRDefault="003F66AF" w:rsidP="008A4063">
            <w:pPr>
              <w:spacing w:after="0" w:line="240" w:lineRule="auto"/>
              <w:jc w:val="both"/>
              <w:rPr>
                <w:rFonts w:cs="Times New Roman"/>
                <w:noProof/>
                <w:sz w:val="16"/>
                <w:szCs w:val="16"/>
              </w:rPr>
            </w:pPr>
            <w:r w:rsidRPr="00B44B19">
              <w:rPr>
                <w:rFonts w:cs="Times New Roman"/>
                <w:noProof/>
                <w:sz w:val="16"/>
                <w:szCs w:val="16"/>
              </w:rPr>
              <w:t>Projektų duomenys</w:t>
            </w:r>
          </w:p>
        </w:tc>
        <w:tc>
          <w:tcPr>
            <w:tcW w:w="992" w:type="dxa"/>
          </w:tcPr>
          <w:p w14:paraId="7B350C5E" w14:textId="77777777" w:rsidR="0085587E" w:rsidRPr="00B44B19" w:rsidRDefault="0085587E" w:rsidP="008A4063">
            <w:pPr>
              <w:spacing w:after="0" w:line="240" w:lineRule="auto"/>
              <w:jc w:val="both"/>
              <w:rPr>
                <w:rFonts w:cs="Times New Roman"/>
                <w:i/>
                <w:noProof/>
                <w:sz w:val="14"/>
                <w:szCs w:val="14"/>
                <w:lang w:eastAsia="lt-LT"/>
              </w:rPr>
            </w:pPr>
          </w:p>
        </w:tc>
      </w:tr>
    </w:tbl>
    <w:p w14:paraId="53086068" w14:textId="77777777" w:rsidR="00BC5AF5" w:rsidRPr="00B44B19" w:rsidRDefault="00BC5AF5" w:rsidP="00BC5AF5">
      <w:pPr>
        <w:spacing w:after="0" w:line="240" w:lineRule="auto"/>
        <w:jc w:val="both"/>
        <w:rPr>
          <w:rFonts w:eastAsia="Calibri" w:cs="Times New Roman"/>
          <w:szCs w:val="24"/>
          <w:lang w:eastAsia="lt-LT" w:bidi="lt-LT"/>
        </w:rPr>
        <w:sectPr w:rsidR="00BC5AF5" w:rsidRPr="00B44B19" w:rsidSect="00931C78">
          <w:pgSz w:w="16838" w:h="11906" w:orient="landscape"/>
          <w:pgMar w:top="1701" w:right="1276" w:bottom="567" w:left="1134" w:header="567" w:footer="567" w:gutter="0"/>
          <w:cols w:space="1296"/>
          <w:docGrid w:linePitch="360"/>
        </w:sectPr>
      </w:pPr>
    </w:p>
    <w:p w14:paraId="03674BF4" w14:textId="77777777" w:rsidR="00BC5AF5" w:rsidRPr="00B44B19" w:rsidRDefault="00BC5AF5" w:rsidP="00F52EB5">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9"/>
        <w:gridCol w:w="850"/>
        <w:gridCol w:w="1403"/>
        <w:gridCol w:w="1268"/>
        <w:gridCol w:w="3600"/>
        <w:gridCol w:w="1388"/>
      </w:tblGrid>
      <w:tr w:rsidR="000C0CE9" w:rsidRPr="00B44B19" w14:paraId="2EE12F13"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CD97EC6" w14:textId="77777777" w:rsidR="000C0CE9" w:rsidRPr="00B44B19" w:rsidRDefault="000C0CE9" w:rsidP="008A4063">
            <w:pPr>
              <w:rPr>
                <w:rFonts w:eastAsia="Times New Roman" w:cs="Times New Roman"/>
                <w:b/>
                <w:iCs/>
                <w:noProof/>
                <w:sz w:val="20"/>
              </w:rPr>
            </w:pPr>
            <w:r w:rsidRPr="00B44B19">
              <w:rPr>
                <w:rFonts w:cs="Times New Roman"/>
                <w:b/>
                <w:noProof/>
                <w:sz w:val="20"/>
              </w:rPr>
              <w:t>4 lentelė. 1 matmuo. Intervencinių priemonių sritis</w:t>
            </w:r>
          </w:p>
        </w:tc>
      </w:tr>
      <w:tr w:rsidR="000C0CE9" w:rsidRPr="00B44B19" w14:paraId="5BDC59F6" w14:textId="77777777" w:rsidTr="0096613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D7A7C6"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4C0F6D"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8A0CB"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3D3734"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7BAD37"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B10368"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Suma (EUR)</w:t>
            </w:r>
          </w:p>
        </w:tc>
      </w:tr>
      <w:tr w:rsidR="00992F4A" w:rsidRPr="00B44B19" w14:paraId="4935EF8E" w14:textId="77777777" w:rsidTr="00966138">
        <w:tc>
          <w:tcPr>
            <w:tcW w:w="1101" w:type="dxa"/>
            <w:vMerge w:val="restart"/>
            <w:tcBorders>
              <w:top w:val="single" w:sz="12" w:space="0" w:color="auto"/>
            </w:tcBorders>
          </w:tcPr>
          <w:p w14:paraId="2F742084" w14:textId="77777777" w:rsidR="00992F4A" w:rsidRPr="00B44B19" w:rsidRDefault="00992F4A" w:rsidP="008A4063">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151032E2" w14:textId="77777777" w:rsidR="00992F4A" w:rsidRPr="00B44B19" w:rsidRDefault="00992F4A" w:rsidP="008A4063">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297CD428" w14:textId="77777777" w:rsidR="00992F4A" w:rsidRPr="00B44B19" w:rsidRDefault="00992F4A" w:rsidP="008A4063">
            <w:pPr>
              <w:rPr>
                <w:rFonts w:eastAsia="Times New Roman" w:cs="Times New Roman"/>
                <w:iCs/>
                <w:noProof/>
                <w:sz w:val="20"/>
              </w:rPr>
            </w:pPr>
            <w:r w:rsidRPr="00B44B19">
              <w:rPr>
                <w:rFonts w:eastAsia="Times New Roman" w:cs="Times New Roman"/>
                <w:iCs/>
                <w:noProof/>
                <w:sz w:val="20"/>
              </w:rPr>
              <w:t>Sostinės regionas</w:t>
            </w:r>
          </w:p>
        </w:tc>
        <w:tc>
          <w:tcPr>
            <w:tcW w:w="1275" w:type="dxa"/>
            <w:vMerge w:val="restart"/>
            <w:tcBorders>
              <w:top w:val="single" w:sz="12" w:space="0" w:color="auto"/>
            </w:tcBorders>
          </w:tcPr>
          <w:p w14:paraId="34E3C405" w14:textId="77777777" w:rsidR="00992F4A" w:rsidRPr="00B44B19" w:rsidRDefault="00992F4A" w:rsidP="008A4063">
            <w:pPr>
              <w:jc w:val="center"/>
              <w:rPr>
                <w:rFonts w:eastAsia="Times New Roman" w:cs="Times New Roman"/>
                <w:iCs/>
                <w:noProof/>
                <w:sz w:val="20"/>
              </w:rPr>
            </w:pPr>
            <w:r w:rsidRPr="00B44B19">
              <w:rPr>
                <w:rFonts w:eastAsia="Times New Roman" w:cs="Times New Roman"/>
                <w:iCs/>
                <w:noProof/>
                <w:sz w:val="20"/>
              </w:rPr>
              <w:t>1.4</w:t>
            </w:r>
          </w:p>
        </w:tc>
        <w:tc>
          <w:tcPr>
            <w:tcW w:w="3686" w:type="dxa"/>
            <w:vMerge w:val="restart"/>
            <w:tcBorders>
              <w:top w:val="single" w:sz="12" w:space="0" w:color="auto"/>
            </w:tcBorders>
          </w:tcPr>
          <w:p w14:paraId="20E3C437" w14:textId="77777777" w:rsidR="00992F4A" w:rsidRPr="00B44B19" w:rsidRDefault="00992F4A" w:rsidP="00D85B6F">
            <w:pPr>
              <w:rPr>
                <w:rFonts w:eastAsia="Times New Roman" w:cs="Times New Roman"/>
                <w:iCs/>
                <w:noProof/>
                <w:sz w:val="20"/>
              </w:rPr>
            </w:pPr>
            <w:r w:rsidRPr="00B44B19">
              <w:rPr>
                <w:rFonts w:eastAsia="Times New Roman" w:cs="Times New Roman"/>
                <w:iCs/>
                <w:noProof/>
                <w:sz w:val="20"/>
              </w:rPr>
              <w:t xml:space="preserve">023 </w:t>
            </w:r>
            <w:r w:rsidR="002B22DC" w:rsidRPr="00B44B19">
              <w:rPr>
                <w:rFonts w:eastAsia="Times New Roman" w:cs="Times New Roman"/>
                <w:iCs/>
                <w:noProof/>
                <w:sz w:val="20"/>
              </w:rPr>
              <w:t>–</w:t>
            </w:r>
            <w:r w:rsidRPr="00B44B19">
              <w:rPr>
                <w:rFonts w:eastAsia="Times New Roman" w:cs="Times New Roman"/>
                <w:iCs/>
                <w:noProof/>
                <w:sz w:val="20"/>
              </w:rPr>
              <w:t xml:space="preserve"> Pažangiajai specializacijai, pramonės pertvarkai, verslumui ir įmonių prisitaikymui prie pokyčių reikalingų gebėjimų ugdymas</w:t>
            </w:r>
          </w:p>
        </w:tc>
        <w:tc>
          <w:tcPr>
            <w:tcW w:w="1417" w:type="dxa"/>
            <w:tcBorders>
              <w:top w:val="single" w:sz="12" w:space="0" w:color="auto"/>
              <w:bottom w:val="single" w:sz="4" w:space="0" w:color="auto"/>
            </w:tcBorders>
          </w:tcPr>
          <w:p w14:paraId="5CEB47FF" w14:textId="37DAA515" w:rsidR="00992F4A" w:rsidRPr="00B44B19" w:rsidRDefault="005A26C9" w:rsidP="005A26C9">
            <w:pPr>
              <w:jc w:val="right"/>
              <w:rPr>
                <w:rFonts w:eastAsia="Times New Roman" w:cs="Times New Roman"/>
                <w:iCs/>
                <w:noProof/>
                <w:sz w:val="20"/>
                <w:szCs w:val="20"/>
              </w:rPr>
            </w:pPr>
            <w:r w:rsidRPr="00B44B19">
              <w:rPr>
                <w:rFonts w:cs="Times New Roman"/>
                <w:color w:val="000000"/>
                <w:sz w:val="20"/>
                <w:szCs w:val="20"/>
              </w:rPr>
              <w:t>11 898 977</w:t>
            </w:r>
            <w:r w:rsidR="0093143A" w:rsidRPr="00B44B19">
              <w:rPr>
                <w:rFonts w:cs="Times New Roman"/>
                <w:sz w:val="20"/>
                <w:szCs w:val="20"/>
              </w:rPr>
              <w:t>,00</w:t>
            </w:r>
          </w:p>
        </w:tc>
      </w:tr>
      <w:tr w:rsidR="00992F4A" w:rsidRPr="00B44B19" w14:paraId="557EDBCE" w14:textId="77777777" w:rsidTr="00966138">
        <w:tc>
          <w:tcPr>
            <w:tcW w:w="1101" w:type="dxa"/>
            <w:vMerge/>
          </w:tcPr>
          <w:p w14:paraId="35340655" w14:textId="77777777" w:rsidR="00992F4A" w:rsidRPr="00B44B19" w:rsidRDefault="00992F4A" w:rsidP="008A4063">
            <w:pPr>
              <w:rPr>
                <w:rFonts w:eastAsia="Times New Roman" w:cs="Times New Roman"/>
                <w:iCs/>
                <w:noProof/>
                <w:sz w:val="20"/>
              </w:rPr>
            </w:pPr>
          </w:p>
        </w:tc>
        <w:tc>
          <w:tcPr>
            <w:tcW w:w="850" w:type="dxa"/>
            <w:vMerge/>
          </w:tcPr>
          <w:p w14:paraId="27E3CC5D" w14:textId="77777777" w:rsidR="00992F4A" w:rsidRPr="00B44B19" w:rsidRDefault="00992F4A" w:rsidP="008A4063">
            <w:pPr>
              <w:rPr>
                <w:rFonts w:eastAsia="Times New Roman" w:cs="Times New Roman"/>
                <w:b/>
                <w:iCs/>
                <w:noProof/>
                <w:sz w:val="20"/>
              </w:rPr>
            </w:pPr>
          </w:p>
        </w:tc>
        <w:tc>
          <w:tcPr>
            <w:tcW w:w="1418" w:type="dxa"/>
            <w:tcBorders>
              <w:top w:val="single" w:sz="4" w:space="0" w:color="auto"/>
              <w:bottom w:val="single" w:sz="4" w:space="0" w:color="auto"/>
            </w:tcBorders>
          </w:tcPr>
          <w:p w14:paraId="6923CB52" w14:textId="77777777" w:rsidR="00992F4A" w:rsidRPr="00B44B19" w:rsidRDefault="00992F4A" w:rsidP="008A4063">
            <w:pPr>
              <w:rPr>
                <w:rFonts w:eastAsia="Times New Roman" w:cs="Times New Roman"/>
                <w:iCs/>
                <w:noProof/>
                <w:sz w:val="20"/>
              </w:rPr>
            </w:pPr>
            <w:r w:rsidRPr="00B44B19">
              <w:rPr>
                <w:rFonts w:eastAsia="Times New Roman" w:cs="Times New Roman"/>
                <w:iCs/>
                <w:noProof/>
                <w:sz w:val="20"/>
              </w:rPr>
              <w:t>VVL regionas</w:t>
            </w:r>
          </w:p>
        </w:tc>
        <w:tc>
          <w:tcPr>
            <w:tcW w:w="1275" w:type="dxa"/>
            <w:vMerge/>
          </w:tcPr>
          <w:p w14:paraId="1D3C0A31" w14:textId="77777777" w:rsidR="00992F4A" w:rsidRPr="00B44B19" w:rsidRDefault="00992F4A" w:rsidP="008A4063">
            <w:pPr>
              <w:rPr>
                <w:rFonts w:eastAsia="Times New Roman" w:cs="Times New Roman"/>
                <w:b/>
                <w:iCs/>
                <w:noProof/>
                <w:sz w:val="20"/>
              </w:rPr>
            </w:pPr>
          </w:p>
        </w:tc>
        <w:tc>
          <w:tcPr>
            <w:tcW w:w="3686" w:type="dxa"/>
            <w:vMerge/>
          </w:tcPr>
          <w:p w14:paraId="235FC7E1" w14:textId="77777777" w:rsidR="00992F4A" w:rsidRPr="00B44B19" w:rsidRDefault="00992F4A" w:rsidP="008A4063">
            <w:pPr>
              <w:rPr>
                <w:rFonts w:eastAsia="Times New Roman" w:cs="Times New Roman"/>
                <w:b/>
                <w:iCs/>
                <w:noProof/>
                <w:sz w:val="20"/>
              </w:rPr>
            </w:pPr>
          </w:p>
        </w:tc>
        <w:tc>
          <w:tcPr>
            <w:tcW w:w="1417" w:type="dxa"/>
            <w:tcBorders>
              <w:top w:val="single" w:sz="4" w:space="0" w:color="auto"/>
              <w:bottom w:val="single" w:sz="4" w:space="0" w:color="auto"/>
            </w:tcBorders>
          </w:tcPr>
          <w:p w14:paraId="2C83C08E" w14:textId="59FBDF29" w:rsidR="00992F4A" w:rsidRPr="00B44B19" w:rsidRDefault="005A26C9" w:rsidP="005A26C9">
            <w:pPr>
              <w:jc w:val="right"/>
              <w:rPr>
                <w:rFonts w:eastAsia="Times New Roman" w:cs="Times New Roman"/>
                <w:iCs/>
                <w:noProof/>
                <w:sz w:val="20"/>
                <w:szCs w:val="20"/>
              </w:rPr>
            </w:pPr>
            <w:r w:rsidRPr="00B44B19">
              <w:rPr>
                <w:rFonts w:cs="Times New Roman"/>
                <w:color w:val="000000"/>
                <w:sz w:val="20"/>
                <w:szCs w:val="20"/>
              </w:rPr>
              <w:t>16 747 254</w:t>
            </w:r>
            <w:r w:rsidR="00070C9F" w:rsidRPr="00B44B19">
              <w:rPr>
                <w:rFonts w:cs="Times New Roman"/>
                <w:sz w:val="20"/>
                <w:szCs w:val="20"/>
              </w:rPr>
              <w:t>,00</w:t>
            </w:r>
          </w:p>
        </w:tc>
      </w:tr>
      <w:tr w:rsidR="00992F4A" w:rsidRPr="00B44B19" w14:paraId="401353DA" w14:textId="77777777" w:rsidTr="00966138">
        <w:tc>
          <w:tcPr>
            <w:tcW w:w="1101" w:type="dxa"/>
            <w:vMerge/>
          </w:tcPr>
          <w:p w14:paraId="7EC34DF7" w14:textId="77777777" w:rsidR="00992F4A" w:rsidRPr="00B44B19" w:rsidRDefault="00992F4A" w:rsidP="008A4063">
            <w:pPr>
              <w:rPr>
                <w:rFonts w:eastAsia="Times New Roman" w:cs="Times New Roman"/>
                <w:iCs/>
                <w:noProof/>
                <w:sz w:val="20"/>
              </w:rPr>
            </w:pPr>
          </w:p>
        </w:tc>
        <w:tc>
          <w:tcPr>
            <w:tcW w:w="850" w:type="dxa"/>
            <w:vMerge/>
          </w:tcPr>
          <w:p w14:paraId="2592FEA8" w14:textId="77777777" w:rsidR="00992F4A" w:rsidRPr="00B44B19" w:rsidRDefault="00992F4A" w:rsidP="008A4063">
            <w:pPr>
              <w:rPr>
                <w:rFonts w:eastAsia="Times New Roman" w:cs="Times New Roman"/>
                <w:b/>
                <w:iCs/>
                <w:noProof/>
                <w:sz w:val="20"/>
              </w:rPr>
            </w:pPr>
          </w:p>
        </w:tc>
        <w:tc>
          <w:tcPr>
            <w:tcW w:w="1418" w:type="dxa"/>
            <w:tcBorders>
              <w:top w:val="single" w:sz="4" w:space="0" w:color="auto"/>
              <w:bottom w:val="single" w:sz="4" w:space="0" w:color="auto"/>
            </w:tcBorders>
          </w:tcPr>
          <w:p w14:paraId="13404BAD" w14:textId="77777777" w:rsidR="00992F4A" w:rsidRPr="00B44B19" w:rsidRDefault="00992F4A" w:rsidP="008A4063">
            <w:pPr>
              <w:rPr>
                <w:rFonts w:eastAsia="Times New Roman" w:cs="Times New Roman"/>
                <w:iCs/>
                <w:noProof/>
                <w:sz w:val="20"/>
              </w:rPr>
            </w:pPr>
            <w:r w:rsidRPr="00B44B19">
              <w:rPr>
                <w:rFonts w:eastAsia="Times New Roman" w:cs="Times New Roman"/>
                <w:iCs/>
                <w:noProof/>
                <w:sz w:val="20"/>
              </w:rPr>
              <w:t>Sostinės regionas</w:t>
            </w:r>
          </w:p>
        </w:tc>
        <w:tc>
          <w:tcPr>
            <w:tcW w:w="1275" w:type="dxa"/>
            <w:vMerge/>
          </w:tcPr>
          <w:p w14:paraId="24A3DAC1" w14:textId="77777777" w:rsidR="00992F4A" w:rsidRPr="00B44B19" w:rsidRDefault="00992F4A" w:rsidP="008A4063">
            <w:pPr>
              <w:rPr>
                <w:rFonts w:eastAsia="Times New Roman" w:cs="Times New Roman"/>
                <w:b/>
                <w:iCs/>
                <w:noProof/>
                <w:sz w:val="20"/>
              </w:rPr>
            </w:pPr>
          </w:p>
        </w:tc>
        <w:tc>
          <w:tcPr>
            <w:tcW w:w="3686" w:type="dxa"/>
            <w:vMerge w:val="restart"/>
          </w:tcPr>
          <w:p w14:paraId="3D0BECB7" w14:textId="77777777" w:rsidR="00992F4A" w:rsidRPr="00B44B19" w:rsidRDefault="00992F4A" w:rsidP="007167BE">
            <w:pPr>
              <w:rPr>
                <w:rFonts w:cs="Times New Roman"/>
                <w:sz w:val="20"/>
                <w:szCs w:val="20"/>
              </w:rPr>
            </w:pPr>
            <w:r w:rsidRPr="00B44B19">
              <w:rPr>
                <w:rFonts w:cs="Times New Roman"/>
                <w:sz w:val="20"/>
                <w:szCs w:val="20"/>
              </w:rPr>
              <w:t xml:space="preserve">029 </w:t>
            </w:r>
            <w:r w:rsidR="002B22DC" w:rsidRPr="00B44B19">
              <w:rPr>
                <w:rFonts w:cs="Times New Roman"/>
                <w:sz w:val="20"/>
                <w:szCs w:val="20"/>
              </w:rPr>
              <w:t>–</w:t>
            </w:r>
            <w:r w:rsidRPr="00B44B19">
              <w:rPr>
                <w:rFonts w:cs="Times New Roman"/>
                <w:sz w:val="20"/>
                <w:szCs w:val="20"/>
              </w:rPr>
              <w:t xml:space="preserve">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417" w:type="dxa"/>
            <w:tcBorders>
              <w:top w:val="single" w:sz="4" w:space="0" w:color="auto"/>
              <w:bottom w:val="single" w:sz="4" w:space="0" w:color="auto"/>
            </w:tcBorders>
          </w:tcPr>
          <w:p w14:paraId="0D84F0B7" w14:textId="77777777" w:rsidR="00992F4A" w:rsidRPr="00B44B19" w:rsidRDefault="00070C9F" w:rsidP="00E5053B">
            <w:pPr>
              <w:jc w:val="right"/>
              <w:rPr>
                <w:rFonts w:eastAsia="Times New Roman" w:cs="Times New Roman"/>
                <w:iCs/>
                <w:noProof/>
                <w:sz w:val="20"/>
                <w:szCs w:val="20"/>
              </w:rPr>
            </w:pPr>
            <w:r w:rsidRPr="00B44B19">
              <w:rPr>
                <w:rFonts w:cs="Times New Roman"/>
                <w:sz w:val="20"/>
                <w:szCs w:val="20"/>
              </w:rPr>
              <w:t>5 418 250,00</w:t>
            </w:r>
          </w:p>
        </w:tc>
      </w:tr>
      <w:tr w:rsidR="00992F4A" w:rsidRPr="00B44B19" w14:paraId="07E73740" w14:textId="77777777" w:rsidTr="00966138">
        <w:tc>
          <w:tcPr>
            <w:tcW w:w="1101" w:type="dxa"/>
            <w:vMerge/>
          </w:tcPr>
          <w:p w14:paraId="4084B4F3" w14:textId="77777777" w:rsidR="00992F4A" w:rsidRPr="00B44B19" w:rsidRDefault="00992F4A" w:rsidP="008A4063">
            <w:pPr>
              <w:rPr>
                <w:rFonts w:eastAsia="Times New Roman" w:cs="Times New Roman"/>
                <w:iCs/>
                <w:noProof/>
                <w:sz w:val="20"/>
              </w:rPr>
            </w:pPr>
          </w:p>
        </w:tc>
        <w:tc>
          <w:tcPr>
            <w:tcW w:w="850" w:type="dxa"/>
            <w:vMerge/>
          </w:tcPr>
          <w:p w14:paraId="3E1EB78D" w14:textId="77777777" w:rsidR="00992F4A" w:rsidRPr="00B44B19" w:rsidRDefault="00992F4A" w:rsidP="008A4063">
            <w:pPr>
              <w:rPr>
                <w:rFonts w:eastAsia="Times New Roman" w:cs="Times New Roman"/>
                <w:b/>
                <w:iCs/>
                <w:noProof/>
                <w:sz w:val="20"/>
              </w:rPr>
            </w:pPr>
          </w:p>
        </w:tc>
        <w:tc>
          <w:tcPr>
            <w:tcW w:w="1418" w:type="dxa"/>
            <w:tcBorders>
              <w:top w:val="single" w:sz="4" w:space="0" w:color="auto"/>
            </w:tcBorders>
          </w:tcPr>
          <w:p w14:paraId="3B747DEE" w14:textId="77777777" w:rsidR="00992F4A" w:rsidRPr="00B44B19" w:rsidRDefault="00992F4A" w:rsidP="008A4063">
            <w:pPr>
              <w:rPr>
                <w:rFonts w:eastAsia="Times New Roman" w:cs="Times New Roman"/>
                <w:iCs/>
                <w:noProof/>
                <w:sz w:val="20"/>
              </w:rPr>
            </w:pPr>
            <w:r w:rsidRPr="00B44B19">
              <w:rPr>
                <w:rFonts w:eastAsia="Times New Roman" w:cs="Times New Roman"/>
                <w:iCs/>
                <w:noProof/>
                <w:sz w:val="20"/>
              </w:rPr>
              <w:t>VVL regionas</w:t>
            </w:r>
          </w:p>
        </w:tc>
        <w:tc>
          <w:tcPr>
            <w:tcW w:w="1275" w:type="dxa"/>
            <w:vMerge/>
          </w:tcPr>
          <w:p w14:paraId="7F0FE7E7" w14:textId="77777777" w:rsidR="00992F4A" w:rsidRPr="00B44B19" w:rsidRDefault="00992F4A" w:rsidP="008A4063">
            <w:pPr>
              <w:rPr>
                <w:rFonts w:eastAsia="Times New Roman" w:cs="Times New Roman"/>
                <w:b/>
                <w:iCs/>
                <w:noProof/>
                <w:sz w:val="20"/>
              </w:rPr>
            </w:pPr>
          </w:p>
        </w:tc>
        <w:tc>
          <w:tcPr>
            <w:tcW w:w="3686" w:type="dxa"/>
            <w:vMerge/>
          </w:tcPr>
          <w:p w14:paraId="20407DF5" w14:textId="77777777" w:rsidR="00992F4A" w:rsidRPr="00B44B19" w:rsidRDefault="00992F4A" w:rsidP="008A4063">
            <w:pPr>
              <w:rPr>
                <w:rFonts w:eastAsia="Times New Roman" w:cs="Times New Roman"/>
                <w:b/>
                <w:iCs/>
                <w:noProof/>
                <w:sz w:val="20"/>
              </w:rPr>
            </w:pPr>
          </w:p>
        </w:tc>
        <w:tc>
          <w:tcPr>
            <w:tcW w:w="1417" w:type="dxa"/>
            <w:tcBorders>
              <w:top w:val="single" w:sz="4" w:space="0" w:color="auto"/>
            </w:tcBorders>
          </w:tcPr>
          <w:p w14:paraId="652CEF5A" w14:textId="77777777" w:rsidR="00992F4A" w:rsidRPr="00B44B19" w:rsidRDefault="00070C9F" w:rsidP="00E5053B">
            <w:pPr>
              <w:jc w:val="right"/>
              <w:rPr>
                <w:rFonts w:eastAsia="Times New Roman" w:cs="Times New Roman"/>
                <w:iCs/>
                <w:noProof/>
                <w:sz w:val="20"/>
                <w:szCs w:val="20"/>
              </w:rPr>
            </w:pPr>
            <w:r w:rsidRPr="00B44B19">
              <w:rPr>
                <w:rFonts w:cs="Times New Roman"/>
                <w:sz w:val="20"/>
                <w:szCs w:val="20"/>
              </w:rPr>
              <w:t>4 375 628,00</w:t>
            </w:r>
          </w:p>
        </w:tc>
      </w:tr>
    </w:tbl>
    <w:p w14:paraId="4C3F46C6" w14:textId="77777777" w:rsidR="000C0CE9" w:rsidRPr="00B44B19" w:rsidRDefault="000C0CE9" w:rsidP="00E5053B">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9"/>
        <w:gridCol w:w="850"/>
        <w:gridCol w:w="1407"/>
        <w:gridCol w:w="1270"/>
        <w:gridCol w:w="3588"/>
        <w:gridCol w:w="1394"/>
      </w:tblGrid>
      <w:tr w:rsidR="000C0CE9" w:rsidRPr="00B44B19" w14:paraId="199C6863"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28B006F" w14:textId="77777777" w:rsidR="000C0CE9" w:rsidRPr="00B44B19" w:rsidRDefault="000C0CE9" w:rsidP="0058601B">
            <w:pPr>
              <w:rPr>
                <w:rFonts w:eastAsia="Times New Roman" w:cs="Times New Roman"/>
                <w:b/>
                <w:iCs/>
                <w:noProof/>
                <w:sz w:val="20"/>
              </w:rPr>
            </w:pPr>
            <w:r w:rsidRPr="00B44B19">
              <w:rPr>
                <w:rFonts w:cs="Times New Roman"/>
                <w:b/>
                <w:noProof/>
                <w:sz w:val="20"/>
              </w:rPr>
              <w:t xml:space="preserve">5 lentelė. 2 matmuo. </w:t>
            </w:r>
            <w:r w:rsidR="0058601B" w:rsidRPr="00B44B19">
              <w:rPr>
                <w:rFonts w:cs="Times New Roman"/>
                <w:b/>
                <w:noProof/>
                <w:sz w:val="20"/>
              </w:rPr>
              <w:t>Finansavimo</w:t>
            </w:r>
            <w:r w:rsidR="00DC0EDE" w:rsidRPr="00B44B19">
              <w:rPr>
                <w:rFonts w:cs="Times New Roman"/>
                <w:b/>
                <w:noProof/>
                <w:sz w:val="20"/>
              </w:rPr>
              <w:t xml:space="preserve"> </w:t>
            </w:r>
            <w:r w:rsidRPr="00B44B19">
              <w:rPr>
                <w:rFonts w:cs="Times New Roman"/>
                <w:b/>
                <w:noProof/>
                <w:sz w:val="20"/>
              </w:rPr>
              <w:t>forma</w:t>
            </w:r>
          </w:p>
        </w:tc>
      </w:tr>
      <w:tr w:rsidR="000C0CE9" w:rsidRPr="00B44B19" w14:paraId="1333690C" w14:textId="77777777" w:rsidTr="00E5053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5D4B13"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15D8B7"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27C2E3"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6C7993"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80C0A9"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6BFF71"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Suma (EUR)</w:t>
            </w:r>
          </w:p>
        </w:tc>
      </w:tr>
      <w:tr w:rsidR="000C0CE9" w:rsidRPr="00B44B19" w14:paraId="272AD0BC" w14:textId="77777777" w:rsidTr="00E5053B">
        <w:tc>
          <w:tcPr>
            <w:tcW w:w="1101" w:type="dxa"/>
            <w:vMerge w:val="restart"/>
            <w:tcBorders>
              <w:top w:val="single" w:sz="12" w:space="0" w:color="auto"/>
            </w:tcBorders>
          </w:tcPr>
          <w:p w14:paraId="3651A06A" w14:textId="77777777" w:rsidR="000C0CE9" w:rsidRPr="00B44B19" w:rsidRDefault="000C0CE9" w:rsidP="008A4063">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7483DF0B" w14:textId="77777777" w:rsidR="000C0CE9" w:rsidRPr="00B44B19" w:rsidRDefault="000C0CE9" w:rsidP="008A4063">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02108F5A" w14:textId="77777777" w:rsidR="000C0CE9" w:rsidRPr="00B44B19" w:rsidRDefault="000C0CE9" w:rsidP="008A4063">
            <w:pPr>
              <w:rPr>
                <w:rFonts w:eastAsia="Times New Roman" w:cs="Times New Roman"/>
                <w:iCs/>
                <w:noProof/>
                <w:sz w:val="20"/>
              </w:rPr>
            </w:pPr>
            <w:r w:rsidRPr="00B44B19">
              <w:rPr>
                <w:rFonts w:eastAsia="Times New Roman" w:cs="Times New Roman"/>
                <w:iCs/>
                <w:noProof/>
                <w:sz w:val="20"/>
              </w:rPr>
              <w:t>Sostinės regionas</w:t>
            </w:r>
          </w:p>
        </w:tc>
        <w:tc>
          <w:tcPr>
            <w:tcW w:w="1275" w:type="dxa"/>
            <w:vMerge w:val="restart"/>
            <w:tcBorders>
              <w:top w:val="single" w:sz="12" w:space="0" w:color="auto"/>
            </w:tcBorders>
          </w:tcPr>
          <w:p w14:paraId="505827F7" w14:textId="77777777" w:rsidR="000C0CE9" w:rsidRPr="00B44B19" w:rsidRDefault="000C0CE9" w:rsidP="008A4063">
            <w:pPr>
              <w:jc w:val="center"/>
              <w:rPr>
                <w:rFonts w:eastAsia="Times New Roman" w:cs="Times New Roman"/>
                <w:b/>
                <w:iCs/>
                <w:noProof/>
                <w:sz w:val="20"/>
              </w:rPr>
            </w:pPr>
            <w:r w:rsidRPr="00B44B19">
              <w:rPr>
                <w:rFonts w:eastAsia="Times New Roman" w:cs="Times New Roman"/>
                <w:iCs/>
                <w:noProof/>
                <w:sz w:val="20"/>
              </w:rPr>
              <w:t>1.4</w:t>
            </w:r>
          </w:p>
        </w:tc>
        <w:tc>
          <w:tcPr>
            <w:tcW w:w="3686" w:type="dxa"/>
            <w:vMerge w:val="restart"/>
            <w:tcBorders>
              <w:top w:val="single" w:sz="12" w:space="0" w:color="auto"/>
            </w:tcBorders>
          </w:tcPr>
          <w:p w14:paraId="61021861" w14:textId="77777777" w:rsidR="000C0CE9" w:rsidRPr="00B44B19" w:rsidRDefault="000C0CE9" w:rsidP="00D85B6F">
            <w:pPr>
              <w:rPr>
                <w:rFonts w:eastAsia="Times New Roman" w:cs="Times New Roman"/>
                <w:iCs/>
                <w:noProof/>
                <w:sz w:val="20"/>
              </w:rPr>
            </w:pPr>
            <w:r w:rsidRPr="00B44B19">
              <w:rPr>
                <w:rFonts w:eastAsia="Times New Roman" w:cs="Times New Roman"/>
                <w:iCs/>
                <w:noProof/>
                <w:sz w:val="20"/>
              </w:rPr>
              <w:t>01</w:t>
            </w:r>
            <w:r w:rsidR="00D85B6F" w:rsidRPr="00B44B19">
              <w:rPr>
                <w:rFonts w:eastAsia="Times New Roman" w:cs="Times New Roman"/>
                <w:iCs/>
                <w:noProof/>
                <w:sz w:val="20"/>
              </w:rPr>
              <w:t xml:space="preserve"> </w:t>
            </w:r>
            <w:r w:rsidR="00166EC1" w:rsidRPr="00B44B19">
              <w:rPr>
                <w:rFonts w:eastAsia="Times New Roman" w:cs="Times New Roman"/>
                <w:iCs/>
                <w:noProof/>
                <w:sz w:val="20"/>
              </w:rPr>
              <w:t>–</w:t>
            </w:r>
            <w:r w:rsidR="00D85B6F" w:rsidRPr="00B44B19">
              <w:rPr>
                <w:rFonts w:eastAsia="Times New Roman" w:cs="Times New Roman"/>
                <w:iCs/>
                <w:noProof/>
                <w:sz w:val="20"/>
              </w:rPr>
              <w:t xml:space="preserve"> Dotacija</w:t>
            </w:r>
          </w:p>
        </w:tc>
        <w:tc>
          <w:tcPr>
            <w:tcW w:w="1417" w:type="dxa"/>
            <w:tcBorders>
              <w:top w:val="single" w:sz="12" w:space="0" w:color="auto"/>
              <w:bottom w:val="single" w:sz="4" w:space="0" w:color="auto"/>
            </w:tcBorders>
          </w:tcPr>
          <w:p w14:paraId="286E366E" w14:textId="2EACFB24" w:rsidR="000C0CE9" w:rsidRPr="00B44B19" w:rsidRDefault="005A26C9" w:rsidP="005A26C9">
            <w:pPr>
              <w:jc w:val="right"/>
              <w:rPr>
                <w:rFonts w:eastAsia="Times New Roman" w:cs="Times New Roman"/>
                <w:iCs/>
                <w:noProof/>
                <w:sz w:val="20"/>
                <w:szCs w:val="20"/>
              </w:rPr>
            </w:pPr>
            <w:r w:rsidRPr="00B44B19">
              <w:rPr>
                <w:rFonts w:cs="Times New Roman"/>
                <w:color w:val="000000"/>
                <w:sz w:val="20"/>
                <w:szCs w:val="20"/>
              </w:rPr>
              <w:t>17 317 227</w:t>
            </w:r>
            <w:r w:rsidR="0093143A" w:rsidRPr="00B44B19">
              <w:rPr>
                <w:rFonts w:cs="Times New Roman"/>
                <w:color w:val="000000"/>
                <w:sz w:val="20"/>
                <w:szCs w:val="20"/>
              </w:rPr>
              <w:t>,00</w:t>
            </w:r>
          </w:p>
        </w:tc>
      </w:tr>
      <w:tr w:rsidR="000C0CE9" w:rsidRPr="00B44B19" w14:paraId="548A5035" w14:textId="77777777" w:rsidTr="00E5053B">
        <w:tc>
          <w:tcPr>
            <w:tcW w:w="1101" w:type="dxa"/>
            <w:vMerge/>
          </w:tcPr>
          <w:p w14:paraId="30968DAC" w14:textId="77777777" w:rsidR="000C0CE9" w:rsidRPr="00B44B19" w:rsidRDefault="000C0CE9" w:rsidP="008A4063">
            <w:pPr>
              <w:rPr>
                <w:rFonts w:eastAsia="Times New Roman" w:cs="Times New Roman"/>
                <w:b/>
                <w:iCs/>
                <w:noProof/>
                <w:sz w:val="20"/>
              </w:rPr>
            </w:pPr>
          </w:p>
        </w:tc>
        <w:tc>
          <w:tcPr>
            <w:tcW w:w="850" w:type="dxa"/>
            <w:vMerge/>
          </w:tcPr>
          <w:p w14:paraId="1AC5BD01" w14:textId="77777777" w:rsidR="000C0CE9" w:rsidRPr="00B44B19" w:rsidRDefault="000C0CE9" w:rsidP="008A4063">
            <w:pPr>
              <w:rPr>
                <w:rFonts w:eastAsia="Times New Roman" w:cs="Times New Roman"/>
                <w:b/>
                <w:iCs/>
                <w:noProof/>
                <w:sz w:val="20"/>
              </w:rPr>
            </w:pPr>
          </w:p>
        </w:tc>
        <w:tc>
          <w:tcPr>
            <w:tcW w:w="1418" w:type="dxa"/>
            <w:tcBorders>
              <w:top w:val="single" w:sz="4" w:space="0" w:color="auto"/>
            </w:tcBorders>
          </w:tcPr>
          <w:p w14:paraId="2EF087B6" w14:textId="77777777" w:rsidR="000C0CE9" w:rsidRPr="00B44B19" w:rsidRDefault="000C0CE9" w:rsidP="008A4063">
            <w:pPr>
              <w:rPr>
                <w:rFonts w:eastAsia="Times New Roman" w:cs="Times New Roman"/>
                <w:iCs/>
                <w:noProof/>
                <w:sz w:val="20"/>
              </w:rPr>
            </w:pPr>
            <w:r w:rsidRPr="00B44B19">
              <w:rPr>
                <w:rFonts w:eastAsia="Times New Roman" w:cs="Times New Roman"/>
                <w:iCs/>
                <w:noProof/>
                <w:sz w:val="20"/>
              </w:rPr>
              <w:t>VVL regionas</w:t>
            </w:r>
          </w:p>
        </w:tc>
        <w:tc>
          <w:tcPr>
            <w:tcW w:w="1275" w:type="dxa"/>
            <w:vMerge/>
          </w:tcPr>
          <w:p w14:paraId="5C931B5F" w14:textId="77777777" w:rsidR="000C0CE9" w:rsidRPr="00B44B19" w:rsidRDefault="000C0CE9" w:rsidP="008A4063">
            <w:pPr>
              <w:rPr>
                <w:rFonts w:eastAsia="Times New Roman" w:cs="Times New Roman"/>
                <w:b/>
                <w:iCs/>
                <w:noProof/>
                <w:sz w:val="20"/>
              </w:rPr>
            </w:pPr>
          </w:p>
        </w:tc>
        <w:tc>
          <w:tcPr>
            <w:tcW w:w="3686" w:type="dxa"/>
            <w:vMerge/>
          </w:tcPr>
          <w:p w14:paraId="128DE594" w14:textId="77777777" w:rsidR="000C0CE9" w:rsidRPr="00B44B19" w:rsidRDefault="000C0CE9" w:rsidP="008A4063">
            <w:pPr>
              <w:rPr>
                <w:rFonts w:eastAsia="Times New Roman" w:cs="Times New Roman"/>
                <w:b/>
                <w:iCs/>
                <w:noProof/>
                <w:sz w:val="20"/>
              </w:rPr>
            </w:pPr>
          </w:p>
        </w:tc>
        <w:tc>
          <w:tcPr>
            <w:tcW w:w="1417" w:type="dxa"/>
            <w:tcBorders>
              <w:top w:val="single" w:sz="4" w:space="0" w:color="auto"/>
            </w:tcBorders>
          </w:tcPr>
          <w:p w14:paraId="68AD1EFA" w14:textId="3D2B665A" w:rsidR="000C0CE9" w:rsidRPr="00B44B19" w:rsidRDefault="005A26C9" w:rsidP="005A26C9">
            <w:pPr>
              <w:jc w:val="right"/>
              <w:rPr>
                <w:rFonts w:eastAsia="Times New Roman" w:cs="Times New Roman"/>
                <w:iCs/>
                <w:noProof/>
                <w:sz w:val="20"/>
                <w:szCs w:val="20"/>
              </w:rPr>
            </w:pPr>
            <w:r w:rsidRPr="00B44B19">
              <w:rPr>
                <w:rFonts w:cs="Times New Roman"/>
                <w:color w:val="000000"/>
                <w:sz w:val="20"/>
                <w:szCs w:val="20"/>
              </w:rPr>
              <w:t>21 122 882</w:t>
            </w:r>
            <w:r w:rsidR="00EB4531" w:rsidRPr="00B44B19">
              <w:rPr>
                <w:rFonts w:cs="Times New Roman"/>
                <w:color w:val="000000"/>
                <w:sz w:val="20"/>
                <w:szCs w:val="20"/>
              </w:rPr>
              <w:t>,00</w:t>
            </w:r>
          </w:p>
        </w:tc>
      </w:tr>
    </w:tbl>
    <w:p w14:paraId="5933F6F7" w14:textId="77777777" w:rsidR="000C0CE9" w:rsidRPr="00B44B19" w:rsidRDefault="000C0CE9" w:rsidP="00E5053B">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9"/>
        <w:gridCol w:w="850"/>
        <w:gridCol w:w="1404"/>
        <w:gridCol w:w="1269"/>
        <w:gridCol w:w="3596"/>
        <w:gridCol w:w="1390"/>
      </w:tblGrid>
      <w:tr w:rsidR="000C0CE9" w:rsidRPr="00B44B19" w14:paraId="55862A0B" w14:textId="77777777" w:rsidTr="008A406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9964948" w14:textId="77777777" w:rsidR="000C0CE9" w:rsidRPr="00B44B19" w:rsidRDefault="000C0CE9" w:rsidP="008A4063">
            <w:pPr>
              <w:rPr>
                <w:rFonts w:eastAsia="Times New Roman" w:cs="Times New Roman"/>
                <w:b/>
                <w:iCs/>
                <w:noProof/>
                <w:sz w:val="20"/>
              </w:rPr>
            </w:pPr>
            <w:r w:rsidRPr="00B44B19">
              <w:rPr>
                <w:rFonts w:cs="Times New Roman"/>
                <w:b/>
                <w:noProof/>
                <w:sz w:val="20"/>
              </w:rPr>
              <w:t xml:space="preserve">6 lentelė. 3 matmuo. </w:t>
            </w:r>
            <w:r w:rsidR="00DC0EDE" w:rsidRPr="00B44B19">
              <w:rPr>
                <w:rFonts w:cs="Times New Roman"/>
                <w:b/>
                <w:noProof/>
                <w:sz w:val="20"/>
              </w:rPr>
              <w:t>Teritorinis įgyvendinimo mechanizmas ir pagrindinė teritorinė sritis</w:t>
            </w:r>
          </w:p>
        </w:tc>
      </w:tr>
      <w:tr w:rsidR="000C0CE9" w:rsidRPr="00B44B19" w14:paraId="35F3B040" w14:textId="77777777" w:rsidTr="00E5053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07CE80"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89CA8F"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2CA36B"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86270C"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94D5C5"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9BB4F" w14:textId="77777777" w:rsidR="000C0CE9" w:rsidRPr="00B44B19" w:rsidRDefault="000C0CE9" w:rsidP="008A4063">
            <w:pPr>
              <w:jc w:val="center"/>
              <w:rPr>
                <w:rFonts w:eastAsia="Times New Roman" w:cs="Times New Roman"/>
                <w:b/>
                <w:iCs/>
                <w:noProof/>
                <w:sz w:val="20"/>
              </w:rPr>
            </w:pPr>
            <w:r w:rsidRPr="00B44B19">
              <w:rPr>
                <w:rFonts w:cs="Times New Roman"/>
                <w:b/>
                <w:noProof/>
                <w:sz w:val="20"/>
              </w:rPr>
              <w:t>Suma (EUR)</w:t>
            </w:r>
          </w:p>
        </w:tc>
      </w:tr>
      <w:tr w:rsidR="000C0CE9" w:rsidRPr="00B44B19" w14:paraId="36CF7B94" w14:textId="77777777" w:rsidTr="00E5053B">
        <w:tc>
          <w:tcPr>
            <w:tcW w:w="1101" w:type="dxa"/>
            <w:vMerge w:val="restart"/>
            <w:tcBorders>
              <w:top w:val="single" w:sz="12" w:space="0" w:color="auto"/>
            </w:tcBorders>
          </w:tcPr>
          <w:p w14:paraId="60BD45F7" w14:textId="77777777" w:rsidR="000C0CE9" w:rsidRPr="00B44B19" w:rsidRDefault="000C0CE9" w:rsidP="008A4063">
            <w:pPr>
              <w:jc w:val="center"/>
              <w:rPr>
                <w:rFonts w:eastAsia="Times New Roman" w:cs="Times New Roman"/>
                <w:iCs/>
                <w:noProof/>
                <w:sz w:val="20"/>
              </w:rPr>
            </w:pPr>
            <w:r w:rsidRPr="00B44B19">
              <w:rPr>
                <w:rFonts w:eastAsia="Times New Roman" w:cs="Times New Roman"/>
                <w:iCs/>
                <w:noProof/>
                <w:sz w:val="20"/>
              </w:rPr>
              <w:t>1.</w:t>
            </w:r>
          </w:p>
        </w:tc>
        <w:tc>
          <w:tcPr>
            <w:tcW w:w="850" w:type="dxa"/>
            <w:vMerge w:val="restart"/>
            <w:tcBorders>
              <w:top w:val="single" w:sz="12" w:space="0" w:color="auto"/>
            </w:tcBorders>
          </w:tcPr>
          <w:p w14:paraId="5831EFD8" w14:textId="77777777" w:rsidR="000C0CE9" w:rsidRPr="00B44B19" w:rsidRDefault="000C0CE9" w:rsidP="008A4063">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0ECB0684" w14:textId="77777777" w:rsidR="000C0CE9" w:rsidRPr="00B44B19" w:rsidRDefault="000C0CE9" w:rsidP="008A4063">
            <w:pPr>
              <w:rPr>
                <w:rFonts w:eastAsia="Times New Roman" w:cs="Times New Roman"/>
                <w:iCs/>
                <w:noProof/>
                <w:sz w:val="20"/>
              </w:rPr>
            </w:pPr>
            <w:r w:rsidRPr="00B44B19">
              <w:rPr>
                <w:rFonts w:eastAsia="Times New Roman" w:cs="Times New Roman"/>
                <w:iCs/>
                <w:noProof/>
                <w:sz w:val="20"/>
              </w:rPr>
              <w:t>Sostinės regionas</w:t>
            </w:r>
          </w:p>
        </w:tc>
        <w:tc>
          <w:tcPr>
            <w:tcW w:w="1275" w:type="dxa"/>
            <w:vMerge w:val="restart"/>
            <w:tcBorders>
              <w:top w:val="single" w:sz="12" w:space="0" w:color="auto"/>
            </w:tcBorders>
          </w:tcPr>
          <w:p w14:paraId="1DC5AFA6" w14:textId="77777777" w:rsidR="000C0CE9" w:rsidRPr="00B44B19" w:rsidRDefault="000C0CE9" w:rsidP="008A4063">
            <w:pPr>
              <w:jc w:val="center"/>
              <w:rPr>
                <w:rFonts w:eastAsia="Times New Roman" w:cs="Times New Roman"/>
                <w:iCs/>
                <w:noProof/>
                <w:sz w:val="20"/>
              </w:rPr>
            </w:pPr>
            <w:r w:rsidRPr="00B44B19">
              <w:rPr>
                <w:rFonts w:eastAsia="Times New Roman" w:cs="Times New Roman"/>
                <w:iCs/>
                <w:noProof/>
                <w:sz w:val="20"/>
              </w:rPr>
              <w:t>1.4</w:t>
            </w:r>
          </w:p>
        </w:tc>
        <w:tc>
          <w:tcPr>
            <w:tcW w:w="3686" w:type="dxa"/>
            <w:vMerge w:val="restart"/>
            <w:tcBorders>
              <w:top w:val="single" w:sz="12" w:space="0" w:color="auto"/>
            </w:tcBorders>
          </w:tcPr>
          <w:p w14:paraId="43F047E6" w14:textId="77777777" w:rsidR="000C0CE9" w:rsidRPr="00B44B19" w:rsidRDefault="000C0CE9" w:rsidP="00D85B6F">
            <w:pPr>
              <w:rPr>
                <w:rFonts w:eastAsia="Times New Roman" w:cs="Times New Roman"/>
                <w:iCs/>
                <w:noProof/>
                <w:sz w:val="20"/>
              </w:rPr>
            </w:pPr>
            <w:r w:rsidRPr="00B44B19">
              <w:rPr>
                <w:rFonts w:eastAsia="Times New Roman" w:cs="Times New Roman"/>
                <w:iCs/>
                <w:noProof/>
                <w:sz w:val="20"/>
              </w:rPr>
              <w:t>33</w:t>
            </w:r>
            <w:r w:rsidR="00D85B6F" w:rsidRPr="00B44B19">
              <w:rPr>
                <w:rFonts w:eastAsia="Times New Roman" w:cs="Times New Roman"/>
                <w:iCs/>
                <w:noProof/>
                <w:sz w:val="20"/>
              </w:rPr>
              <w:t xml:space="preserve"> </w:t>
            </w:r>
            <w:r w:rsidR="00166EC1" w:rsidRPr="00B44B19">
              <w:rPr>
                <w:rFonts w:eastAsia="Times New Roman" w:cs="Times New Roman"/>
                <w:iCs/>
                <w:noProof/>
                <w:sz w:val="20"/>
              </w:rPr>
              <w:t>–</w:t>
            </w:r>
            <w:r w:rsidR="00D85B6F" w:rsidRPr="00B44B19">
              <w:rPr>
                <w:rFonts w:eastAsia="Times New Roman" w:cs="Times New Roman"/>
                <w:iCs/>
                <w:noProof/>
                <w:sz w:val="20"/>
              </w:rPr>
              <w:t xml:space="preserve"> Nesiorientuojant į teritoriškumą</w:t>
            </w:r>
          </w:p>
        </w:tc>
        <w:tc>
          <w:tcPr>
            <w:tcW w:w="1417" w:type="dxa"/>
            <w:tcBorders>
              <w:top w:val="single" w:sz="12" w:space="0" w:color="auto"/>
              <w:bottom w:val="single" w:sz="4" w:space="0" w:color="auto"/>
            </w:tcBorders>
          </w:tcPr>
          <w:p w14:paraId="74031F2A" w14:textId="45024F1B" w:rsidR="000C0CE9" w:rsidRPr="00B44B19" w:rsidRDefault="005A26C9" w:rsidP="005A26C9">
            <w:pPr>
              <w:jc w:val="right"/>
              <w:rPr>
                <w:rFonts w:eastAsia="Times New Roman" w:cs="Times New Roman"/>
                <w:iCs/>
                <w:noProof/>
                <w:sz w:val="20"/>
                <w:szCs w:val="20"/>
              </w:rPr>
            </w:pPr>
            <w:r w:rsidRPr="00B44B19">
              <w:rPr>
                <w:rFonts w:cs="Times New Roman"/>
                <w:color w:val="000000"/>
                <w:sz w:val="20"/>
                <w:szCs w:val="20"/>
              </w:rPr>
              <w:t>17 317 227</w:t>
            </w:r>
            <w:r w:rsidR="0093143A" w:rsidRPr="00B44B19">
              <w:rPr>
                <w:rFonts w:cs="Times New Roman"/>
                <w:color w:val="000000"/>
                <w:sz w:val="20"/>
                <w:szCs w:val="20"/>
              </w:rPr>
              <w:t>,00</w:t>
            </w:r>
          </w:p>
        </w:tc>
      </w:tr>
      <w:tr w:rsidR="000C0CE9" w:rsidRPr="00B44B19" w14:paraId="1E96AE7E" w14:textId="77777777" w:rsidTr="00E5053B">
        <w:tc>
          <w:tcPr>
            <w:tcW w:w="1101" w:type="dxa"/>
            <w:vMerge/>
          </w:tcPr>
          <w:p w14:paraId="50C4B734" w14:textId="77777777" w:rsidR="000C0CE9" w:rsidRPr="00B44B19" w:rsidRDefault="000C0CE9" w:rsidP="008A4063">
            <w:pPr>
              <w:rPr>
                <w:rFonts w:eastAsia="Times New Roman" w:cs="Times New Roman"/>
                <w:b/>
                <w:iCs/>
                <w:noProof/>
                <w:sz w:val="20"/>
              </w:rPr>
            </w:pPr>
          </w:p>
        </w:tc>
        <w:tc>
          <w:tcPr>
            <w:tcW w:w="850" w:type="dxa"/>
            <w:vMerge/>
          </w:tcPr>
          <w:p w14:paraId="25B528F3" w14:textId="77777777" w:rsidR="000C0CE9" w:rsidRPr="00B44B19" w:rsidRDefault="000C0CE9" w:rsidP="008A4063">
            <w:pPr>
              <w:rPr>
                <w:rFonts w:eastAsia="Times New Roman" w:cs="Times New Roman"/>
                <w:b/>
                <w:iCs/>
                <w:noProof/>
                <w:sz w:val="20"/>
              </w:rPr>
            </w:pPr>
          </w:p>
        </w:tc>
        <w:tc>
          <w:tcPr>
            <w:tcW w:w="1418" w:type="dxa"/>
            <w:tcBorders>
              <w:top w:val="single" w:sz="4" w:space="0" w:color="auto"/>
            </w:tcBorders>
          </w:tcPr>
          <w:p w14:paraId="31F0AAB3" w14:textId="77777777" w:rsidR="000C0CE9" w:rsidRPr="00B44B19" w:rsidRDefault="000C0CE9" w:rsidP="008A4063">
            <w:pPr>
              <w:rPr>
                <w:rFonts w:eastAsia="Times New Roman" w:cs="Times New Roman"/>
                <w:b/>
                <w:iCs/>
                <w:noProof/>
                <w:sz w:val="20"/>
              </w:rPr>
            </w:pPr>
            <w:r w:rsidRPr="00B44B19">
              <w:rPr>
                <w:rFonts w:eastAsia="Times New Roman" w:cs="Times New Roman"/>
                <w:iCs/>
                <w:noProof/>
                <w:sz w:val="20"/>
              </w:rPr>
              <w:t>VVL regionas</w:t>
            </w:r>
          </w:p>
        </w:tc>
        <w:tc>
          <w:tcPr>
            <w:tcW w:w="1275" w:type="dxa"/>
            <w:vMerge/>
          </w:tcPr>
          <w:p w14:paraId="78D1663F" w14:textId="77777777" w:rsidR="000C0CE9" w:rsidRPr="00B44B19" w:rsidRDefault="000C0CE9" w:rsidP="008A4063">
            <w:pPr>
              <w:rPr>
                <w:rFonts w:eastAsia="Times New Roman" w:cs="Times New Roman"/>
                <w:b/>
                <w:iCs/>
                <w:noProof/>
                <w:sz w:val="20"/>
              </w:rPr>
            </w:pPr>
          </w:p>
        </w:tc>
        <w:tc>
          <w:tcPr>
            <w:tcW w:w="3686" w:type="dxa"/>
            <w:vMerge/>
          </w:tcPr>
          <w:p w14:paraId="144C7B32" w14:textId="77777777" w:rsidR="000C0CE9" w:rsidRPr="00B44B19" w:rsidRDefault="000C0CE9" w:rsidP="008A4063">
            <w:pPr>
              <w:rPr>
                <w:rFonts w:eastAsia="Times New Roman" w:cs="Times New Roman"/>
                <w:b/>
                <w:iCs/>
                <w:noProof/>
                <w:sz w:val="20"/>
              </w:rPr>
            </w:pPr>
          </w:p>
        </w:tc>
        <w:tc>
          <w:tcPr>
            <w:tcW w:w="1417" w:type="dxa"/>
            <w:tcBorders>
              <w:top w:val="single" w:sz="4" w:space="0" w:color="auto"/>
            </w:tcBorders>
          </w:tcPr>
          <w:p w14:paraId="551EEDD4" w14:textId="04A1926F" w:rsidR="000C0CE9" w:rsidRPr="00B44B19" w:rsidRDefault="005A26C9" w:rsidP="005A26C9">
            <w:pPr>
              <w:jc w:val="right"/>
              <w:rPr>
                <w:rFonts w:eastAsia="Times New Roman" w:cs="Times New Roman"/>
                <w:iCs/>
                <w:noProof/>
                <w:sz w:val="20"/>
                <w:szCs w:val="20"/>
              </w:rPr>
            </w:pPr>
            <w:r w:rsidRPr="00B44B19">
              <w:rPr>
                <w:rFonts w:cs="Times New Roman"/>
                <w:color w:val="000000"/>
                <w:sz w:val="20"/>
                <w:szCs w:val="20"/>
              </w:rPr>
              <w:t>21 122 882</w:t>
            </w:r>
            <w:r w:rsidR="00EB4531" w:rsidRPr="00B44B19">
              <w:rPr>
                <w:rFonts w:cs="Times New Roman"/>
                <w:color w:val="000000"/>
                <w:sz w:val="20"/>
                <w:szCs w:val="20"/>
              </w:rPr>
              <w:t>,00</w:t>
            </w:r>
          </w:p>
        </w:tc>
      </w:tr>
    </w:tbl>
    <w:p w14:paraId="15B0CE66" w14:textId="77777777" w:rsidR="00E438B8" w:rsidRPr="00B44B19" w:rsidRDefault="00E438B8" w:rsidP="00E5053B">
      <w:pPr>
        <w:spacing w:after="0" w:line="240" w:lineRule="auto"/>
        <w:rPr>
          <w:rFonts w:cs="Times New Roman"/>
          <w:sz w:val="20"/>
          <w:szCs w:val="20"/>
        </w:rPr>
      </w:pPr>
    </w:p>
    <w:tbl>
      <w:tblPr>
        <w:tblStyle w:val="Lentelstinklelis20"/>
        <w:tblW w:w="9747" w:type="dxa"/>
        <w:tblLayout w:type="fixed"/>
        <w:tblLook w:val="04A0" w:firstRow="1" w:lastRow="0" w:firstColumn="1" w:lastColumn="0" w:noHBand="0" w:noVBand="1"/>
      </w:tblPr>
      <w:tblGrid>
        <w:gridCol w:w="1101"/>
        <w:gridCol w:w="850"/>
        <w:gridCol w:w="1418"/>
        <w:gridCol w:w="1275"/>
        <w:gridCol w:w="3596"/>
        <w:gridCol w:w="1507"/>
      </w:tblGrid>
      <w:tr w:rsidR="004540BB" w:rsidRPr="00B44B19" w14:paraId="5FFFC188"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AEAE27E" w14:textId="77777777" w:rsidR="004540BB" w:rsidRPr="00B44B19" w:rsidRDefault="004540BB" w:rsidP="004540BB">
            <w:pPr>
              <w:rPr>
                <w:b/>
                <w:iCs/>
                <w:noProof/>
                <w:sz w:val="20"/>
                <w:szCs w:val="20"/>
              </w:rPr>
            </w:pPr>
            <w:r w:rsidRPr="00B44B19">
              <w:rPr>
                <w:b/>
                <w:noProof/>
                <w:sz w:val="20"/>
                <w:szCs w:val="20"/>
              </w:rPr>
              <w:t xml:space="preserve">7 lentelė. 7 matmuo. </w:t>
            </w:r>
            <w:r w:rsidRPr="00B44B19">
              <w:rPr>
                <w:b/>
                <w:sz w:val="20"/>
                <w:szCs w:val="20"/>
              </w:rPr>
              <w:t>ESF+, ERPF, S</w:t>
            </w:r>
            <w:r w:rsidR="008D7673" w:rsidRPr="00B44B19">
              <w:rPr>
                <w:b/>
                <w:sz w:val="20"/>
                <w:szCs w:val="20"/>
              </w:rPr>
              <w:t>a</w:t>
            </w:r>
            <w:r w:rsidRPr="00B44B19">
              <w:rPr>
                <w:b/>
                <w:sz w:val="20"/>
                <w:szCs w:val="20"/>
              </w:rPr>
              <w:t>F ir TPF lyčių lygybės matmuo</w:t>
            </w:r>
          </w:p>
        </w:tc>
      </w:tr>
      <w:tr w:rsidR="004540BB" w:rsidRPr="00B44B19" w14:paraId="128FF64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B05C5D" w14:textId="77777777" w:rsidR="004540BB" w:rsidRPr="00B44B19" w:rsidRDefault="004540BB" w:rsidP="004540BB">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D45373" w14:textId="77777777" w:rsidR="004540BB" w:rsidRPr="00B44B19" w:rsidRDefault="004540BB" w:rsidP="004540BB">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921967" w14:textId="77777777" w:rsidR="004540BB" w:rsidRPr="00B44B19" w:rsidRDefault="004540BB" w:rsidP="004540BB">
            <w:pPr>
              <w:jc w:val="center"/>
              <w:rPr>
                <w:b/>
                <w:iCs/>
                <w:noProof/>
                <w:sz w:val="20"/>
              </w:rPr>
            </w:pPr>
            <w:r w:rsidRPr="00B44B19">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E547DB" w14:textId="77777777" w:rsidR="004540BB" w:rsidRPr="00B44B19" w:rsidRDefault="004540BB" w:rsidP="004540BB">
            <w:pPr>
              <w:jc w:val="center"/>
              <w:rPr>
                <w:b/>
                <w:iCs/>
                <w:noProof/>
                <w:sz w:val="20"/>
              </w:rPr>
            </w:pPr>
            <w:r w:rsidRPr="00B44B19">
              <w:rPr>
                <w:b/>
                <w:noProof/>
                <w:sz w:val="20"/>
              </w:rPr>
              <w:t>Konkretus uždavinys</w:t>
            </w:r>
          </w:p>
        </w:tc>
        <w:tc>
          <w:tcPr>
            <w:tcW w:w="359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026251" w14:textId="77777777" w:rsidR="004540BB" w:rsidRPr="00B44B19" w:rsidRDefault="004540BB" w:rsidP="004540BB">
            <w:pPr>
              <w:jc w:val="center"/>
              <w:rPr>
                <w:b/>
                <w:iCs/>
                <w:noProof/>
                <w:sz w:val="20"/>
              </w:rPr>
            </w:pPr>
            <w:r w:rsidRPr="00B44B19">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829B63" w14:textId="77777777" w:rsidR="004540BB" w:rsidRPr="00B44B19" w:rsidRDefault="004540BB" w:rsidP="004540BB">
            <w:pPr>
              <w:jc w:val="center"/>
              <w:rPr>
                <w:b/>
                <w:iCs/>
                <w:noProof/>
                <w:sz w:val="20"/>
              </w:rPr>
            </w:pPr>
            <w:r w:rsidRPr="00B44B19">
              <w:rPr>
                <w:b/>
                <w:noProof/>
                <w:sz w:val="20"/>
              </w:rPr>
              <w:t>Suma (EUR)</w:t>
            </w:r>
          </w:p>
        </w:tc>
      </w:tr>
      <w:tr w:rsidR="004540BB" w:rsidRPr="00B44B19" w14:paraId="4766A512" w14:textId="77777777" w:rsidTr="003B113E">
        <w:tc>
          <w:tcPr>
            <w:tcW w:w="1101" w:type="dxa"/>
            <w:vMerge w:val="restart"/>
            <w:tcBorders>
              <w:top w:val="single" w:sz="12" w:space="0" w:color="auto"/>
            </w:tcBorders>
          </w:tcPr>
          <w:p w14:paraId="37E74540" w14:textId="77777777" w:rsidR="004540BB" w:rsidRPr="00B44B19" w:rsidRDefault="004540BB" w:rsidP="007167BE">
            <w:pPr>
              <w:jc w:val="center"/>
              <w:rPr>
                <w:iCs/>
                <w:noProof/>
                <w:sz w:val="20"/>
                <w:szCs w:val="20"/>
              </w:rPr>
            </w:pPr>
            <w:r w:rsidRPr="00B44B19">
              <w:rPr>
                <w:sz w:val="20"/>
                <w:szCs w:val="20"/>
              </w:rPr>
              <w:t>1.</w:t>
            </w:r>
          </w:p>
        </w:tc>
        <w:tc>
          <w:tcPr>
            <w:tcW w:w="850" w:type="dxa"/>
            <w:vMerge w:val="restart"/>
            <w:tcBorders>
              <w:top w:val="single" w:sz="12" w:space="0" w:color="auto"/>
            </w:tcBorders>
          </w:tcPr>
          <w:p w14:paraId="3E588B15" w14:textId="77777777" w:rsidR="004540BB" w:rsidRPr="00B44B19" w:rsidRDefault="004540BB" w:rsidP="007167BE">
            <w:pPr>
              <w:jc w:val="center"/>
              <w:rPr>
                <w:iCs/>
                <w:noProof/>
                <w:sz w:val="20"/>
                <w:szCs w:val="20"/>
              </w:rPr>
            </w:pPr>
            <w:r w:rsidRPr="00B44B19">
              <w:rPr>
                <w:sz w:val="20"/>
                <w:szCs w:val="20"/>
              </w:rPr>
              <w:t>ERPF</w:t>
            </w:r>
          </w:p>
        </w:tc>
        <w:tc>
          <w:tcPr>
            <w:tcW w:w="1418" w:type="dxa"/>
            <w:tcBorders>
              <w:top w:val="single" w:sz="12" w:space="0" w:color="auto"/>
            </w:tcBorders>
          </w:tcPr>
          <w:p w14:paraId="65DC6E82" w14:textId="77777777" w:rsidR="004540BB" w:rsidRPr="00B44B19" w:rsidRDefault="004540BB" w:rsidP="004540BB">
            <w:pPr>
              <w:rPr>
                <w:iCs/>
                <w:noProof/>
                <w:sz w:val="20"/>
                <w:szCs w:val="20"/>
              </w:rPr>
            </w:pPr>
            <w:r w:rsidRPr="00B44B19">
              <w:rPr>
                <w:sz w:val="20"/>
                <w:szCs w:val="20"/>
              </w:rPr>
              <w:t>Sostinės regionas</w:t>
            </w:r>
          </w:p>
        </w:tc>
        <w:tc>
          <w:tcPr>
            <w:tcW w:w="1275" w:type="dxa"/>
            <w:vMerge w:val="restart"/>
            <w:tcBorders>
              <w:top w:val="single" w:sz="12" w:space="0" w:color="auto"/>
            </w:tcBorders>
          </w:tcPr>
          <w:p w14:paraId="54884ED0" w14:textId="77777777" w:rsidR="004540BB" w:rsidRPr="00B44B19" w:rsidRDefault="004540BB" w:rsidP="007167BE">
            <w:pPr>
              <w:jc w:val="center"/>
              <w:rPr>
                <w:iCs/>
                <w:noProof/>
                <w:sz w:val="20"/>
                <w:szCs w:val="20"/>
              </w:rPr>
            </w:pPr>
            <w:r w:rsidRPr="00B44B19">
              <w:rPr>
                <w:sz w:val="20"/>
                <w:szCs w:val="20"/>
              </w:rPr>
              <w:t>1.4</w:t>
            </w:r>
          </w:p>
        </w:tc>
        <w:tc>
          <w:tcPr>
            <w:tcW w:w="3596" w:type="dxa"/>
            <w:vMerge w:val="restart"/>
            <w:tcBorders>
              <w:top w:val="single" w:sz="12" w:space="0" w:color="auto"/>
            </w:tcBorders>
          </w:tcPr>
          <w:p w14:paraId="0C445663" w14:textId="77777777" w:rsidR="004540BB" w:rsidRPr="00B44B19" w:rsidRDefault="004540BB" w:rsidP="003B113E">
            <w:pPr>
              <w:rPr>
                <w:iCs/>
                <w:noProof/>
                <w:sz w:val="20"/>
                <w:szCs w:val="20"/>
              </w:rPr>
            </w:pPr>
            <w:r w:rsidRPr="00B44B19">
              <w:rPr>
                <w:sz w:val="20"/>
                <w:szCs w:val="20"/>
              </w:rPr>
              <w:t xml:space="preserve">03 </w:t>
            </w:r>
            <w:r w:rsidR="00166EC1" w:rsidRPr="00B44B19">
              <w:rPr>
                <w:sz w:val="20"/>
                <w:szCs w:val="20"/>
              </w:rPr>
              <w:t>–</w:t>
            </w:r>
            <w:r w:rsidRPr="00B44B19">
              <w:rPr>
                <w:sz w:val="20"/>
                <w:szCs w:val="20"/>
              </w:rPr>
              <w:t xml:space="preserve"> Neutralumas lyties požiūriu</w:t>
            </w:r>
          </w:p>
        </w:tc>
        <w:tc>
          <w:tcPr>
            <w:tcW w:w="1507" w:type="dxa"/>
            <w:tcBorders>
              <w:top w:val="single" w:sz="12" w:space="0" w:color="auto"/>
            </w:tcBorders>
          </w:tcPr>
          <w:p w14:paraId="34B2B8C1" w14:textId="457B54B6" w:rsidR="004540BB" w:rsidRPr="00B44B19" w:rsidRDefault="00834BFB" w:rsidP="00834BFB">
            <w:pPr>
              <w:jc w:val="right"/>
              <w:rPr>
                <w:iCs/>
                <w:noProof/>
                <w:sz w:val="20"/>
                <w:szCs w:val="20"/>
              </w:rPr>
            </w:pPr>
            <w:r w:rsidRPr="00B44B19">
              <w:rPr>
                <w:color w:val="000000"/>
                <w:sz w:val="20"/>
                <w:szCs w:val="20"/>
              </w:rPr>
              <w:t>17 317 227</w:t>
            </w:r>
            <w:r w:rsidR="0093143A" w:rsidRPr="00B44B19">
              <w:rPr>
                <w:color w:val="000000"/>
                <w:sz w:val="20"/>
                <w:szCs w:val="20"/>
              </w:rPr>
              <w:t>,00</w:t>
            </w:r>
          </w:p>
        </w:tc>
      </w:tr>
      <w:tr w:rsidR="004540BB" w:rsidRPr="00B44B19" w14:paraId="48EA9A1E" w14:textId="77777777" w:rsidTr="003B113E">
        <w:tc>
          <w:tcPr>
            <w:tcW w:w="1101" w:type="dxa"/>
            <w:vMerge/>
          </w:tcPr>
          <w:p w14:paraId="47D77F07" w14:textId="77777777" w:rsidR="004540BB" w:rsidRPr="00B44B19" w:rsidRDefault="004540BB" w:rsidP="004540BB">
            <w:pPr>
              <w:jc w:val="center"/>
              <w:rPr>
                <w:iCs/>
                <w:noProof/>
                <w:sz w:val="20"/>
                <w:szCs w:val="20"/>
              </w:rPr>
            </w:pPr>
          </w:p>
        </w:tc>
        <w:tc>
          <w:tcPr>
            <w:tcW w:w="850" w:type="dxa"/>
            <w:vMerge/>
          </w:tcPr>
          <w:p w14:paraId="31310111" w14:textId="77777777" w:rsidR="004540BB" w:rsidRPr="00B44B19" w:rsidRDefault="004540BB" w:rsidP="004540BB">
            <w:pPr>
              <w:jc w:val="center"/>
              <w:rPr>
                <w:iCs/>
                <w:noProof/>
                <w:sz w:val="20"/>
                <w:szCs w:val="20"/>
              </w:rPr>
            </w:pPr>
          </w:p>
        </w:tc>
        <w:tc>
          <w:tcPr>
            <w:tcW w:w="1418" w:type="dxa"/>
          </w:tcPr>
          <w:p w14:paraId="4002B4A1" w14:textId="77777777" w:rsidR="004540BB" w:rsidRPr="00B44B19" w:rsidRDefault="004540BB" w:rsidP="004540BB">
            <w:pPr>
              <w:rPr>
                <w:iCs/>
                <w:noProof/>
                <w:sz w:val="20"/>
                <w:szCs w:val="20"/>
              </w:rPr>
            </w:pPr>
            <w:r w:rsidRPr="00B44B19">
              <w:rPr>
                <w:sz w:val="20"/>
                <w:szCs w:val="20"/>
              </w:rPr>
              <w:t>VVL regionas</w:t>
            </w:r>
          </w:p>
        </w:tc>
        <w:tc>
          <w:tcPr>
            <w:tcW w:w="1275" w:type="dxa"/>
            <w:vMerge/>
          </w:tcPr>
          <w:p w14:paraId="42D85AF5" w14:textId="77777777" w:rsidR="004540BB" w:rsidRPr="00B44B19" w:rsidRDefault="004540BB" w:rsidP="004540BB">
            <w:pPr>
              <w:jc w:val="center"/>
              <w:rPr>
                <w:iCs/>
                <w:noProof/>
                <w:sz w:val="20"/>
                <w:szCs w:val="20"/>
              </w:rPr>
            </w:pPr>
          </w:p>
        </w:tc>
        <w:tc>
          <w:tcPr>
            <w:tcW w:w="3596" w:type="dxa"/>
            <w:vMerge/>
          </w:tcPr>
          <w:p w14:paraId="01263403" w14:textId="77777777" w:rsidR="004540BB" w:rsidRPr="00B44B19" w:rsidRDefault="004540BB" w:rsidP="004540BB">
            <w:pPr>
              <w:jc w:val="center"/>
              <w:rPr>
                <w:iCs/>
                <w:noProof/>
                <w:sz w:val="20"/>
                <w:szCs w:val="20"/>
              </w:rPr>
            </w:pPr>
          </w:p>
        </w:tc>
        <w:tc>
          <w:tcPr>
            <w:tcW w:w="1507" w:type="dxa"/>
          </w:tcPr>
          <w:p w14:paraId="31A603C0" w14:textId="276DA049" w:rsidR="004540BB" w:rsidRPr="00B44B19" w:rsidRDefault="00834BFB" w:rsidP="00834BFB">
            <w:pPr>
              <w:jc w:val="right"/>
              <w:rPr>
                <w:iCs/>
                <w:noProof/>
                <w:sz w:val="20"/>
                <w:szCs w:val="20"/>
              </w:rPr>
            </w:pPr>
            <w:r w:rsidRPr="00B44B19">
              <w:rPr>
                <w:color w:val="000000"/>
                <w:sz w:val="20"/>
                <w:szCs w:val="20"/>
              </w:rPr>
              <w:t>21 122 882</w:t>
            </w:r>
            <w:r w:rsidR="00EB4531" w:rsidRPr="00B44B19">
              <w:rPr>
                <w:color w:val="000000"/>
                <w:sz w:val="20"/>
                <w:szCs w:val="20"/>
              </w:rPr>
              <w:t>,00</w:t>
            </w:r>
          </w:p>
        </w:tc>
      </w:tr>
    </w:tbl>
    <w:p w14:paraId="6B274D2C" w14:textId="77777777" w:rsidR="009952B9" w:rsidRPr="00D456C1" w:rsidRDefault="002906C5" w:rsidP="00D456C1">
      <w:pPr>
        <w:pStyle w:val="Antrat1"/>
      </w:pPr>
      <w:r w:rsidRPr="00D456C1">
        <w:rPr>
          <w:szCs w:val="24"/>
        </w:rPr>
        <w:br w:type="page"/>
      </w:r>
      <w:bookmarkStart w:id="17" w:name="_Toc223435414"/>
      <w:r w:rsidR="009952B9" w:rsidRPr="00D456C1">
        <w:lastRenderedPageBreak/>
        <w:t>2 Prioritetas. Žalesnė Lietuva</w:t>
      </w:r>
      <w:bookmarkEnd w:id="17"/>
    </w:p>
    <w:p w14:paraId="5DC87217" w14:textId="77777777" w:rsidR="009952B9" w:rsidRPr="00B44B19" w:rsidRDefault="009952B9" w:rsidP="00D456C1">
      <w:pPr>
        <w:pStyle w:val="Antrat2"/>
      </w:pPr>
      <w:bookmarkStart w:id="18" w:name="_Toc223435415"/>
      <w:r w:rsidRPr="00B44B19">
        <w:t xml:space="preserve">Konkretus uždavinys – 2.1. </w:t>
      </w:r>
      <w:r w:rsidR="002B5AF3" w:rsidRPr="00B44B19">
        <w:rPr>
          <w:lang w:bidi="lt-LT"/>
        </w:rPr>
        <w:t>Skatinti energijos vartojimo efektyvumą ir mažinti išmetamų šiltnamio efektą sukeliančių dujų kiekį</w:t>
      </w:r>
      <w:bookmarkEnd w:id="18"/>
    </w:p>
    <w:p w14:paraId="6DCDC5C7" w14:textId="77777777" w:rsidR="00FE2852" w:rsidRPr="00B44B19" w:rsidRDefault="00FE2852" w:rsidP="00891CA2">
      <w:pPr>
        <w:pStyle w:val="Stilius1"/>
        <w:rPr>
          <w:rFonts w:cs="Times New Roman"/>
        </w:rPr>
      </w:pPr>
      <w:r w:rsidRPr="00B44B19">
        <w:rPr>
          <w:rFonts w:cs="Times New Roman"/>
        </w:rPr>
        <w:t>Įgyvendinamos veiklos</w:t>
      </w:r>
    </w:p>
    <w:tbl>
      <w:tblPr>
        <w:tblStyle w:val="Lentelstinklelis2"/>
        <w:tblW w:w="9889" w:type="dxa"/>
        <w:tblLook w:val="04A0" w:firstRow="1" w:lastRow="0" w:firstColumn="1" w:lastColumn="0" w:noHBand="0" w:noVBand="1"/>
      </w:tblPr>
      <w:tblGrid>
        <w:gridCol w:w="9889"/>
      </w:tblGrid>
      <w:tr w:rsidR="00FE2852" w:rsidRPr="00B44B19" w14:paraId="7ADD7C2E"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0A2952F1" w14:textId="77777777" w:rsidR="00C5316B" w:rsidRPr="00B44B19" w:rsidRDefault="00C5316B" w:rsidP="000C5E31">
            <w:pPr>
              <w:widowControl w:val="0"/>
              <w:tabs>
                <w:tab w:val="left" w:pos="62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Uždavinys prisidės prie IRS </w:t>
            </w:r>
            <w:r w:rsidR="004F505C" w:rsidRPr="00B44B19">
              <w:rPr>
                <w:rFonts w:ascii="Times New Roman" w:eastAsia="Times New Roman" w:hAnsi="Times New Roman" w:cs="Times New Roman"/>
              </w:rPr>
              <w:t xml:space="preserve">įgyvendinimo siekiant didinti </w:t>
            </w:r>
            <w:r w:rsidR="0014124D" w:rsidRPr="00B44B19">
              <w:rPr>
                <w:rFonts w:ascii="Times New Roman" w:eastAsia="Times New Roman" w:hAnsi="Times New Roman" w:cs="Times New Roman"/>
              </w:rPr>
              <w:t>EVE</w:t>
            </w:r>
            <w:r w:rsidR="004F505C" w:rsidRPr="00B44B19">
              <w:rPr>
                <w:rFonts w:ascii="Times New Roman" w:eastAsia="Times New Roman" w:hAnsi="Times New Roman" w:cs="Times New Roman"/>
              </w:rPr>
              <w:t xml:space="preserve"> – vieną svarbiausių prioritetų iki 2030 m. visoje energijos grandinėje nuo jos gamybos iki galutinio vartotojo.</w:t>
            </w:r>
          </w:p>
          <w:p w14:paraId="6E5F8D89" w14:textId="77777777" w:rsidR="00C5316B" w:rsidRPr="00B44B19" w:rsidRDefault="00C5316B" w:rsidP="000C5E31">
            <w:pPr>
              <w:widowControl w:val="0"/>
              <w:tabs>
                <w:tab w:val="left" w:pos="622"/>
              </w:tabs>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lang w:eastAsia="lt-LT"/>
              </w:rPr>
              <w:t xml:space="preserve">Lietuvoje </w:t>
            </w:r>
            <w:r w:rsidR="004F505C" w:rsidRPr="00B44B19">
              <w:rPr>
                <w:rFonts w:ascii="Times New Roman" w:eastAsia="Times New Roman" w:hAnsi="Times New Roman" w:cs="Times New Roman"/>
                <w:lang w:eastAsia="lt-LT"/>
              </w:rPr>
              <w:t xml:space="preserve">pastatuose suvartojama </w:t>
            </w:r>
            <w:r w:rsidRPr="00B44B19">
              <w:rPr>
                <w:rFonts w:ascii="Times New Roman" w:eastAsia="Times New Roman" w:hAnsi="Times New Roman" w:cs="Times New Roman"/>
                <w:lang w:eastAsia="lt-LT"/>
              </w:rPr>
              <w:t>apie 40 % pirminės energijos</w:t>
            </w:r>
            <w:r w:rsidR="004F505C" w:rsidRPr="00B44B19">
              <w:rPr>
                <w:rFonts w:ascii="Times New Roman" w:eastAsia="Times New Roman" w:hAnsi="Times New Roman" w:cs="Times New Roman"/>
                <w:lang w:eastAsia="lt-LT"/>
              </w:rPr>
              <w:t xml:space="preserve">. Tai </w:t>
            </w:r>
            <w:r w:rsidRPr="00B44B19">
              <w:rPr>
                <w:rFonts w:ascii="Times New Roman" w:eastAsia="Times New Roman" w:hAnsi="Times New Roman" w:cs="Times New Roman"/>
                <w:lang w:eastAsia="lt-LT"/>
              </w:rPr>
              <w:t xml:space="preserve">vienas didžiausių </w:t>
            </w:r>
            <w:r w:rsidR="00B620CB" w:rsidRPr="00B44B19">
              <w:rPr>
                <w:rFonts w:ascii="Times New Roman" w:eastAsia="Times New Roman" w:hAnsi="Times New Roman" w:cs="Times New Roman"/>
                <w:lang w:eastAsia="lt-LT"/>
              </w:rPr>
              <w:t>ŠESD</w:t>
            </w:r>
            <w:r w:rsidR="00B83CDA" w:rsidRPr="00B44B19">
              <w:rPr>
                <w:rFonts w:ascii="Times New Roman" w:eastAsia="Times New Roman" w:hAnsi="Times New Roman" w:cs="Times New Roman"/>
                <w:lang w:eastAsia="lt-LT"/>
              </w:rPr>
              <w:t xml:space="preserve"> </w:t>
            </w:r>
            <w:r w:rsidRPr="00B44B19">
              <w:rPr>
                <w:rFonts w:ascii="Times New Roman" w:eastAsia="Times New Roman" w:hAnsi="Times New Roman" w:cs="Times New Roman"/>
                <w:lang w:eastAsia="lt-LT"/>
              </w:rPr>
              <w:t>išmetimo į atmosferą, aplinkos ir oro taršos šaltinių. Daugiausia (63 %) suvartojama gyvenam</w:t>
            </w:r>
            <w:r w:rsidR="00212A92" w:rsidRPr="00B44B19">
              <w:rPr>
                <w:rFonts w:ascii="Times New Roman" w:eastAsia="Times New Roman" w:hAnsi="Times New Roman" w:cs="Times New Roman"/>
                <w:lang w:eastAsia="lt-LT"/>
              </w:rPr>
              <w:t>u</w:t>
            </w:r>
            <w:r w:rsidRPr="00B44B19">
              <w:rPr>
                <w:rFonts w:ascii="Times New Roman" w:eastAsia="Times New Roman" w:hAnsi="Times New Roman" w:cs="Times New Roman"/>
                <w:lang w:eastAsia="lt-LT"/>
              </w:rPr>
              <w:t>osi</w:t>
            </w:r>
            <w:r w:rsidR="00212A92" w:rsidRPr="00B44B19">
              <w:rPr>
                <w:rFonts w:ascii="Times New Roman" w:eastAsia="Times New Roman" w:hAnsi="Times New Roman" w:cs="Times New Roman"/>
                <w:lang w:eastAsia="lt-LT"/>
              </w:rPr>
              <w:t>u</w:t>
            </w:r>
            <w:r w:rsidRPr="00B44B19">
              <w:rPr>
                <w:rFonts w:ascii="Times New Roman" w:eastAsia="Times New Roman" w:hAnsi="Times New Roman" w:cs="Times New Roman"/>
                <w:lang w:eastAsia="lt-LT"/>
              </w:rPr>
              <w:t>os</w:t>
            </w:r>
            <w:r w:rsidR="00212A92" w:rsidRPr="00B44B19">
              <w:rPr>
                <w:rFonts w:ascii="Times New Roman" w:eastAsia="Times New Roman" w:hAnsi="Times New Roman" w:cs="Times New Roman"/>
                <w:lang w:eastAsia="lt-LT"/>
              </w:rPr>
              <w:t>e</w:t>
            </w:r>
            <w:r w:rsidRPr="00B44B19">
              <w:rPr>
                <w:rFonts w:ascii="Times New Roman" w:eastAsia="Times New Roman" w:hAnsi="Times New Roman" w:cs="Times New Roman"/>
                <w:lang w:eastAsia="lt-LT"/>
              </w:rPr>
              <w:t xml:space="preserve"> pastatuose.</w:t>
            </w:r>
          </w:p>
          <w:p w14:paraId="210293C4" w14:textId="77777777" w:rsidR="00552224" w:rsidRPr="00B44B19" w:rsidRDefault="00552224" w:rsidP="000C5E31">
            <w:pPr>
              <w:spacing w:before="60" w:after="60"/>
              <w:jc w:val="both"/>
              <w:rPr>
                <w:rFonts w:ascii="Times New Roman" w:hAnsi="Times New Roman" w:cs="Times New Roman"/>
                <w:color w:val="000000"/>
              </w:rPr>
            </w:pPr>
            <w:r w:rsidRPr="00B44B19">
              <w:rPr>
                <w:rFonts w:ascii="Times New Roman" w:hAnsi="Times New Roman" w:cs="Times New Roman"/>
                <w:color w:val="000000"/>
              </w:rPr>
              <w:t>Individualūs (1–2 butų) gyvenamieji pastatai – didžiausia pagal skaičių (apie 530 tūkst.) ir plotą (apie 70 mln. m2) pastatų, kuriuose šilumos energiją daugiausia gamina neefektyvios technologijos, naudojamas iškastinis ar kitas kietasis kuras, kategorija. Vadovaujantis Lietuvos Respublikos EVE didinimo įstatymo 4 str. 4 dalimi</w:t>
            </w:r>
            <w:r w:rsidRPr="00B44B19">
              <w:rPr>
                <w:rFonts w:ascii="Times New Roman" w:hAnsi="Times New Roman" w:cs="Times New Roman"/>
                <w:color w:val="000000"/>
                <w:u w:val="single"/>
              </w:rPr>
              <w:t>,</w:t>
            </w:r>
            <w:r w:rsidRPr="00B44B19">
              <w:rPr>
                <w:rFonts w:ascii="Times New Roman" w:hAnsi="Times New Roman" w:cs="Times New Roman"/>
                <w:color w:val="000000"/>
              </w:rPr>
              <w:t xml:space="preserve"> iki 2030 m. namų ūkių ir paslaugų sektoriuje </w:t>
            </w:r>
            <w:r w:rsidRPr="00B44B19">
              <w:rPr>
                <w:rFonts w:ascii="Times New Roman" w:hAnsi="Times New Roman" w:cs="Times New Roman"/>
              </w:rPr>
              <w:t xml:space="preserve">numatyta sutaupyti apie 11 TWh suminės galutinės energijos, pakeičiant 50 tūkst. namų ūkių šiuo metu naudojamas neefektyvias šilumos gamybos </w:t>
            </w:r>
            <w:r w:rsidRPr="00B44B19">
              <w:rPr>
                <w:rFonts w:ascii="Times New Roman" w:hAnsi="Times New Roman" w:cs="Times New Roman"/>
                <w:color w:val="000000"/>
              </w:rPr>
              <w:t>technologijas efektyvesnėmis AEI naudojančiomis šilumos gamybos technologijomis. Didžiausias dėmesys bus skiriamas decentralizuotos šilumos gamybos namų ūkiuose efektyvumui didinti – vienam didžiausių taupymo potencialą turinčių sektorių.</w:t>
            </w:r>
          </w:p>
          <w:p w14:paraId="580FFC33" w14:textId="77777777" w:rsidR="00C5316B" w:rsidRPr="00B44B19" w:rsidRDefault="00515AC9" w:rsidP="000C5E31">
            <w:pPr>
              <w:widowControl w:val="0"/>
              <w:tabs>
                <w:tab w:val="left" w:pos="62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Daugiabučiai gyvenamieji pastatai – antra didžiausia pagal plotą (apie 60 mln. m</w:t>
            </w:r>
            <w:r w:rsidRPr="00B44B19">
              <w:rPr>
                <w:rFonts w:ascii="Times New Roman" w:eastAsia="Times New Roman" w:hAnsi="Times New Roman" w:cs="Times New Roman"/>
                <w:vertAlign w:val="superscript"/>
              </w:rPr>
              <w:t xml:space="preserve">2 </w:t>
            </w:r>
            <w:r w:rsidRPr="00B44B19">
              <w:rPr>
                <w:rFonts w:ascii="Times New Roman" w:eastAsia="Times New Roman" w:hAnsi="Times New Roman" w:cs="Times New Roman"/>
              </w:rPr>
              <w:t>– api</w:t>
            </w:r>
            <w:r w:rsidR="00421842" w:rsidRPr="00B44B19">
              <w:rPr>
                <w:rFonts w:ascii="Times New Roman" w:eastAsia="Times New Roman" w:hAnsi="Times New Roman" w:cs="Times New Roman"/>
              </w:rPr>
              <w:t>e 900 tūkst. būstų) kategorija. Dauguma</w:t>
            </w:r>
            <w:r w:rsidRPr="00B44B19">
              <w:rPr>
                <w:rFonts w:ascii="Times New Roman" w:eastAsia="Times New Roman" w:hAnsi="Times New Roman" w:cs="Times New Roman"/>
              </w:rPr>
              <w:t xml:space="preserve"> pastatų pastatyti 1960–1993 m., kai pastatų energinio naudingumo reikalavimų nebuvo. Daugiabučiuose suvartojama apie 30 % visos pastatuose suvartojamos pirminės energijos.</w:t>
            </w:r>
          </w:p>
          <w:p w14:paraId="2A3EE3D8" w14:textId="77777777" w:rsidR="00552224" w:rsidRPr="00B44B19" w:rsidRDefault="00552224" w:rsidP="000C5E31">
            <w:pPr>
              <w:spacing w:before="60" w:after="60"/>
              <w:jc w:val="both"/>
              <w:rPr>
                <w:rFonts w:ascii="Times New Roman" w:eastAsia="Aptos" w:hAnsi="Times New Roman" w:cs="Times New Roman"/>
                <w:color w:val="000000"/>
                <w:lang w:val="pt-BR"/>
              </w:rPr>
            </w:pPr>
            <w:r w:rsidRPr="00B44B19">
              <w:rPr>
                <w:rFonts w:ascii="Times New Roman" w:eastAsia="Aptos" w:hAnsi="Times New Roman" w:cs="Times New Roman"/>
                <w:color w:val="000000"/>
              </w:rPr>
              <w:t>Vadovaujantis Direktyvos (2012/27/ES) 5 str. ir NEKSVP, numatyta, kad Lietuva kasmet turi renovuoti 3 % viešųjų centrinei valdžiai priklausančių pastatų ploto, t. y. atnaujinti 510 tūkst. m2. Pagal IRS reiktų iki 2030 m. šalyje atnaujinti apie 2,1 mln. m2 viešųjų pastatų ploto (1,2 mln. m2 centrinės valdžios, 0,9 mln. m2 savivaldybių). Atnaujinus 510 tūkst. m2 viešųjų pastatų ploto,</w:t>
            </w:r>
            <w:r w:rsidRPr="00B44B19">
              <w:rPr>
                <w:rFonts w:ascii="Times New Roman" w:eastAsia="Aptos" w:hAnsi="Times New Roman" w:cs="Times New Roman"/>
              </w:rPr>
              <w:t xml:space="preserve"> k</w:t>
            </w:r>
            <w:r w:rsidRPr="00B44B19">
              <w:rPr>
                <w:rFonts w:ascii="Times New Roman" w:eastAsia="Aptos" w:hAnsi="Times New Roman" w:cs="Times New Roman"/>
                <w:color w:val="000000"/>
              </w:rPr>
              <w:t>asmet būtų sumažinamas energijos vartojimas apie 0,042 TWh. Šio tikslo – atnaujinti centrinės valdžios pastatus – bus siekiama skiriant 2014–2020 m. (atnaujinant apie 300 tūkst. m2 ploto, kasmet</w:t>
            </w:r>
            <w:r w:rsidRPr="00B44B19">
              <w:rPr>
                <w:rFonts w:ascii="Times New Roman" w:eastAsia="Aptos" w:hAnsi="Times New Roman" w:cs="Times New Roman"/>
              </w:rPr>
              <w:t xml:space="preserve"> </w:t>
            </w:r>
            <w:r w:rsidRPr="00B44B19">
              <w:rPr>
                <w:rFonts w:ascii="Times New Roman" w:eastAsia="Aptos" w:hAnsi="Times New Roman" w:cs="Times New Roman"/>
                <w:color w:val="000000"/>
              </w:rPr>
              <w:t>taupanči</w:t>
            </w:r>
            <w:r w:rsidRPr="00B44B19">
              <w:rPr>
                <w:rFonts w:ascii="Times New Roman" w:eastAsia="Aptos" w:hAnsi="Times New Roman" w:cs="Times New Roman"/>
              </w:rPr>
              <w:t xml:space="preserve">o 0,031 </w:t>
            </w:r>
            <w:r w:rsidRPr="00B44B19">
              <w:rPr>
                <w:rFonts w:ascii="Times New Roman" w:eastAsia="Aptos" w:hAnsi="Times New Roman" w:cs="Times New Roman"/>
                <w:color w:val="000000"/>
              </w:rPr>
              <w:t>TWh energijos) ir 2021–2027 m. (</w:t>
            </w:r>
            <w:r w:rsidRPr="00B44B19">
              <w:rPr>
                <w:rFonts w:ascii="Times New Roman" w:hAnsi="Times New Roman" w:cs="Times New Roman"/>
              </w:rPr>
              <w:t>atnaujinant apie 1</w:t>
            </w:r>
            <w:r w:rsidRPr="00B44B19">
              <w:rPr>
                <w:rFonts w:ascii="Times New Roman" w:eastAsia="Aptos" w:hAnsi="Times New Roman" w:cs="Times New Roman"/>
              </w:rPr>
              <w:t xml:space="preserve">80 </w:t>
            </w:r>
            <w:r w:rsidRPr="00B44B19">
              <w:rPr>
                <w:rFonts w:ascii="Times New Roman" w:hAnsi="Times New Roman" w:cs="Times New Roman"/>
              </w:rPr>
              <w:t>tūkst. m2 ploto</w:t>
            </w:r>
            <w:r w:rsidRPr="00B44B19">
              <w:rPr>
                <w:rFonts w:ascii="Times New Roman" w:eastAsia="Aptos" w:hAnsi="Times New Roman" w:cs="Times New Roman"/>
                <w:color w:val="000000"/>
              </w:rPr>
              <w:t xml:space="preserve">, kasmet taupančio apie </w:t>
            </w:r>
            <w:r w:rsidRPr="00B44B19">
              <w:rPr>
                <w:rFonts w:ascii="Times New Roman" w:hAnsi="Times New Roman" w:cs="Times New Roman"/>
              </w:rPr>
              <w:t>0,016 TWh energijos</w:t>
            </w:r>
            <w:r w:rsidRPr="00B44B19">
              <w:rPr>
                <w:rFonts w:ascii="Times New Roman" w:eastAsia="Aptos" w:hAnsi="Times New Roman" w:cs="Times New Roman"/>
                <w:color w:val="000000"/>
              </w:rPr>
              <w:t xml:space="preserve">) ES investicijų. </w:t>
            </w:r>
            <w:r w:rsidRPr="00B44B19">
              <w:rPr>
                <w:rFonts w:ascii="Times New Roman" w:eastAsia="Aptos" w:hAnsi="Times New Roman" w:cs="Times New Roman"/>
                <w:color w:val="000000"/>
                <w:lang w:val="pt-BR"/>
              </w:rPr>
              <w:t>Tai</w:t>
            </w:r>
            <w:r w:rsidRPr="00B44B19">
              <w:rPr>
                <w:rFonts w:ascii="Times New Roman" w:eastAsia="Aptos" w:hAnsi="Times New Roman" w:cs="Times New Roman"/>
                <w:lang w:val="pt-BR"/>
              </w:rPr>
              <w:t xml:space="preserve"> 40</w:t>
            </w:r>
            <w:r w:rsidRPr="00B44B19">
              <w:rPr>
                <w:rFonts w:ascii="Times New Roman" w:eastAsia="Aptos" w:hAnsi="Times New Roman" w:cs="Times New Roman"/>
                <w:color w:val="000000"/>
                <w:lang w:val="pt-BR"/>
              </w:rPr>
              <w:t xml:space="preserve">% prisidės prie </w:t>
            </w:r>
            <w:r w:rsidRPr="00B44B19">
              <w:rPr>
                <w:rFonts w:ascii="Times New Roman" w:eastAsia="Aptos" w:hAnsi="Times New Roman" w:cs="Times New Roman"/>
                <w:lang w:val="pt-BR"/>
              </w:rPr>
              <w:t>IRS  numatyto centrinės valdžios pastatų atnaujinimo tikslo</w:t>
            </w:r>
            <w:r w:rsidRPr="00B44B19">
              <w:rPr>
                <w:rFonts w:ascii="Times New Roman" w:eastAsia="Aptos" w:hAnsi="Times New Roman" w:cs="Times New Roman"/>
                <w:color w:val="000000"/>
                <w:lang w:val="pt-BR"/>
              </w:rPr>
              <w:t>. Likusiai pagal</w:t>
            </w:r>
            <w:r w:rsidRPr="00B44B19">
              <w:rPr>
                <w:rFonts w:ascii="Times New Roman" w:eastAsia="Aptos" w:hAnsi="Times New Roman" w:cs="Times New Roman"/>
                <w:lang w:val="pt-BR"/>
              </w:rPr>
              <w:t xml:space="preserve"> NEKSP ir</w:t>
            </w:r>
            <w:r w:rsidRPr="00B44B19">
              <w:rPr>
                <w:rFonts w:ascii="Times New Roman" w:eastAsia="Aptos" w:hAnsi="Times New Roman" w:cs="Times New Roman"/>
                <w:color w:val="000000"/>
                <w:lang w:val="pt-BR"/>
              </w:rPr>
              <w:t xml:space="preserve"> IRS viešųjų pastatų daliai renovuoti bus naudojamos grįžtančios 2014–2020 m. investuotų ES fondų lėšos, peržiūrimi esami finansavimo modeliai, svarstomi kiti finansavimo šaltiniai.</w:t>
            </w:r>
          </w:p>
          <w:p w14:paraId="739715C6" w14:textId="77777777" w:rsidR="00C5316B" w:rsidRPr="00B44B19" w:rsidRDefault="00C5316B" w:rsidP="000C5E31">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Siekiant nuoseklaus ir subalansuoto CŠT sistemų atnaujinimo ir optimizavimo, Lietuvoje bus skatinamas perėjimas prie ketvirtosios kartos (4G) CŠT sistemų, integruojant saulės šviesos, žemės gelmių energiją į CŠT ir skatinant perteklinės bei atliekinės šilumos panaudojimą pastatams šildyti ir (ar) karštam vandeniui ruošti. </w:t>
            </w:r>
          </w:p>
          <w:p w14:paraId="062B33CF" w14:textId="77777777" w:rsidR="00C5316B" w:rsidRPr="00B44B19" w:rsidRDefault="00C5316B" w:rsidP="000C5E31">
            <w:pPr>
              <w:widowControl w:val="0"/>
              <w:tabs>
                <w:tab w:val="left" w:pos="62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Lietuvoje šiluma, tiekiama CŠT sistemomis, aprūpina apie 53 %, o miestuose – apie 76 % visų pastatų. Pagrindiniai CŠT paslaugų vartotojai yra daugiabuči</w:t>
            </w:r>
            <w:r w:rsidR="008D7673"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nam</w:t>
            </w:r>
            <w:r w:rsidR="008D7673"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gyventojai. Šilumos ir karšto vandens gamybos technologijų efektyvumas decentralizuotame sektoriuje nedidelis, todėl tikimasi nemažo energijos taupymo potencialo.</w:t>
            </w:r>
          </w:p>
          <w:p w14:paraId="426F4ED0" w14:textId="4532E118" w:rsidR="00C5316B" w:rsidRPr="00B44B19" w:rsidRDefault="00D753F5" w:rsidP="000C5E31">
            <w:pPr>
              <w:widowControl w:val="0"/>
              <w:tabs>
                <w:tab w:val="left" w:pos="62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2020 m. Lietuvoje įmonės energetiniam efektyvumui gerinti sk</w:t>
            </w:r>
            <w:r w:rsidR="00730D5F" w:rsidRPr="00B44B19">
              <w:rPr>
                <w:rFonts w:ascii="Times New Roman" w:eastAsia="Times New Roman" w:hAnsi="Times New Roman" w:cs="Times New Roman"/>
              </w:rPr>
              <w:t>y</w:t>
            </w:r>
            <w:r w:rsidRPr="00B44B19">
              <w:rPr>
                <w:rFonts w:ascii="Times New Roman" w:eastAsia="Times New Roman" w:hAnsi="Times New Roman" w:cs="Times New Roman"/>
              </w:rPr>
              <w:t>r</w:t>
            </w:r>
            <w:r w:rsidR="00730D5F" w:rsidRPr="00B44B19">
              <w:rPr>
                <w:rFonts w:ascii="Times New Roman" w:eastAsia="Times New Roman" w:hAnsi="Times New Roman" w:cs="Times New Roman"/>
              </w:rPr>
              <w:t>ė</w:t>
            </w:r>
            <w:r w:rsidRPr="00B44B19">
              <w:rPr>
                <w:rFonts w:ascii="Times New Roman" w:eastAsia="Times New Roman" w:hAnsi="Times New Roman" w:cs="Times New Roman"/>
              </w:rPr>
              <w:t xml:space="preserve"> apie 7 % visų savo investicijų, t. y. mažiau nei ES vidurkis (12 %). Ši dalis didesnė energijai imliuose sektoriuose, tokiuose kaip gamyba (10</w:t>
            </w:r>
            <w:r w:rsidR="00B24A0F" w:rsidRPr="00B44B19">
              <w:rPr>
                <w:rFonts w:ascii="Times New Roman" w:eastAsia="Times New Roman" w:hAnsi="Times New Roman" w:cs="Times New Roman"/>
              </w:rPr>
              <w:t xml:space="preserve"> </w:t>
            </w:r>
            <w:r w:rsidRPr="00B44B19">
              <w:rPr>
                <w:rFonts w:ascii="Times New Roman" w:eastAsia="Times New Roman" w:hAnsi="Times New Roman" w:cs="Times New Roman"/>
              </w:rPr>
              <w:t>%). 2019 m. Lietuvos pramonė buvo trečia pagal dydį galutinio kuro ir energijos vartotoja po transporto (40,9 %) ir namų ūkių (25,9 %)</w:t>
            </w:r>
            <w:r w:rsidRPr="00B44B19">
              <w:rPr>
                <w:rFonts w:ascii="Times New Roman" w:hAnsi="Times New Roman" w:cs="Times New Roman"/>
              </w:rPr>
              <w:t xml:space="preserve"> –</w:t>
            </w:r>
            <w:r w:rsidRPr="00B44B19">
              <w:rPr>
                <w:rFonts w:ascii="Times New Roman" w:eastAsia="Times New Roman" w:hAnsi="Times New Roman" w:cs="Times New Roman"/>
                <w:lang w:eastAsia="lt-LT"/>
              </w:rPr>
              <w:t xml:space="preserve"> </w:t>
            </w:r>
            <w:r w:rsidRPr="00B44B19">
              <w:rPr>
                <w:rFonts w:ascii="Times New Roman" w:eastAsia="Times New Roman" w:hAnsi="Times New Roman" w:cs="Times New Roman"/>
              </w:rPr>
              <w:t xml:space="preserve">jos dalis sudarė  19,2 %. Dažnai įmonės neįvertina energetinio efektyvumo naudos ir neturi didesnių </w:t>
            </w:r>
            <w:r w:rsidR="0014124D" w:rsidRPr="00B44B19">
              <w:rPr>
                <w:rFonts w:ascii="Times New Roman" w:eastAsia="Times New Roman" w:hAnsi="Times New Roman" w:cs="Times New Roman"/>
              </w:rPr>
              <w:t>EVE</w:t>
            </w:r>
            <w:r w:rsidRPr="00B44B19">
              <w:rPr>
                <w:rFonts w:ascii="Times New Roman" w:eastAsia="Times New Roman" w:hAnsi="Times New Roman" w:cs="Times New Roman"/>
              </w:rPr>
              <w:t xml:space="preserve"> tikslų. </w:t>
            </w:r>
            <w:r w:rsidR="00C5316B" w:rsidRPr="00B44B19">
              <w:rPr>
                <w:rFonts w:ascii="Times New Roman" w:eastAsia="Times New Roman" w:hAnsi="Times New Roman" w:cs="Times New Roman"/>
              </w:rPr>
              <w:t>Būtina skatinti pramonę efektyviau naudoti energiją, AEI ir diegti CO</w:t>
            </w:r>
            <w:r w:rsidR="00C5316B" w:rsidRPr="00B44B19">
              <w:rPr>
                <w:rFonts w:ascii="Times New Roman" w:eastAsia="Times New Roman" w:hAnsi="Times New Roman" w:cs="Times New Roman"/>
                <w:vertAlign w:val="subscript"/>
              </w:rPr>
              <w:t>2</w:t>
            </w:r>
            <w:r w:rsidR="00C5316B" w:rsidRPr="00B44B19">
              <w:rPr>
                <w:rFonts w:ascii="Times New Roman" w:eastAsia="Times New Roman" w:hAnsi="Times New Roman" w:cs="Times New Roman"/>
              </w:rPr>
              <w:t xml:space="preserve"> išsiskyrimą į aplinką mažinančias technologijas</w:t>
            </w:r>
            <w:r w:rsidRPr="00B44B19">
              <w:rPr>
                <w:rFonts w:ascii="Times New Roman" w:eastAsia="Times New Roman" w:hAnsi="Times New Roman" w:cs="Times New Roman"/>
              </w:rPr>
              <w:t xml:space="preserve">, naudojantis </w:t>
            </w:r>
            <w:r w:rsidR="0014124D" w:rsidRPr="00B44B19">
              <w:rPr>
                <w:rFonts w:ascii="Times New Roman" w:eastAsia="Times New Roman" w:hAnsi="Times New Roman" w:cs="Times New Roman"/>
              </w:rPr>
              <w:t>EVE</w:t>
            </w:r>
            <w:r w:rsidRPr="00B44B19">
              <w:rPr>
                <w:rFonts w:ascii="Times New Roman" w:eastAsia="Times New Roman" w:hAnsi="Times New Roman" w:cs="Times New Roman"/>
              </w:rPr>
              <w:t xml:space="preserve"> audito išvadomis.</w:t>
            </w:r>
          </w:p>
          <w:p w14:paraId="432F4765" w14:textId="77777777" w:rsidR="004A4FBA" w:rsidRPr="00B44B19" w:rsidRDefault="004A4FBA" w:rsidP="000C5E31">
            <w:pPr>
              <w:spacing w:before="60" w:after="60"/>
              <w:jc w:val="both"/>
              <w:rPr>
                <w:rFonts w:ascii="Times New Roman" w:eastAsia="Times New Roman" w:hAnsi="Times New Roman" w:cs="Times New Roman"/>
              </w:rPr>
            </w:pPr>
            <w:bookmarkStart w:id="19" w:name="_Hlk95736334"/>
            <w:r w:rsidRPr="00B44B19">
              <w:rPr>
                <w:rFonts w:ascii="Times New Roman" w:eastAsia="Times New Roman" w:hAnsi="Times New Roman" w:cs="Times New Roman"/>
              </w:rPr>
              <w:t xml:space="preserve">Pažymėtina, kad namų ūkiuose pekeitus neefektyvius katilus ir renovavus daugiabučius pastatus, mažės gyventojų sąskaitos už energijos išteklius, mažės energetinis nepriteklius ir švelnės aukštų energijos kainų įtaka namų ūkių išlaidoms. </w:t>
            </w:r>
          </w:p>
          <w:bookmarkEnd w:id="19"/>
          <w:p w14:paraId="30C2AF96" w14:textId="77777777" w:rsidR="00DA7421" w:rsidRPr="00B44B19" w:rsidRDefault="00C5316B"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Veiksmų rūšys, s</w:t>
            </w:r>
            <w:r w:rsidRPr="00B44B19">
              <w:rPr>
                <w:rFonts w:ascii="Times New Roman" w:eastAsia="Times New Roman" w:hAnsi="Times New Roman" w:cs="Times New Roman"/>
                <w:noProof/>
              </w:rPr>
              <w:t xml:space="preserve">iekiant </w:t>
            </w:r>
            <w:r w:rsidRPr="00B44B19">
              <w:rPr>
                <w:rFonts w:ascii="Times New Roman" w:eastAsia="Times New Roman" w:hAnsi="Times New Roman" w:cs="Times New Roman"/>
                <w:noProof/>
                <w:lang w:eastAsia="lt-LT"/>
              </w:rPr>
              <w:t>padidinti sutaupytos energijos kiek</w:t>
            </w:r>
            <w:r w:rsidRPr="00B44B19">
              <w:rPr>
                <w:rFonts w:ascii="Times New Roman" w:eastAsia="Times New Roman" w:hAnsi="Times New Roman" w:cs="Times New Roman"/>
              </w:rPr>
              <w:t>į:</w:t>
            </w:r>
          </w:p>
          <w:p w14:paraId="32B8E4EB" w14:textId="454E774C" w:rsidR="006C6280" w:rsidRPr="00B44B19" w:rsidRDefault="006C6280" w:rsidP="000C5E31">
            <w:pPr>
              <w:spacing w:before="60" w:after="60"/>
              <w:jc w:val="both"/>
              <w:rPr>
                <w:rFonts w:ascii="Times New Roman" w:eastAsia="Times New Roman" w:hAnsi="Times New Roman" w:cs="Times New Roman"/>
                <w:noProof/>
              </w:rPr>
            </w:pPr>
            <w:r w:rsidRPr="00B44B19">
              <w:rPr>
                <w:rFonts w:ascii="Times New Roman" w:hAnsi="Times New Roman" w:cs="Times New Roman"/>
                <w:b/>
                <w:bCs/>
                <w:lang w:val="lt"/>
              </w:rPr>
              <w:t>„Didinti EVE namų ūkiuose, neprijungtuose prie CŠT tinklų</w:t>
            </w:r>
            <w:r w:rsidRPr="00B44B19">
              <w:rPr>
                <w:rFonts w:ascii="Times New Roman" w:hAnsi="Times New Roman" w:cs="Times New Roman"/>
                <w:lang w:val="lt"/>
              </w:rPr>
              <w:t xml:space="preserve">: skatinti efektyvią šilumos energijos gamybą namų ūkiuose, ypač šilumos siurbliais, vietoje neefektyvios šilumos energijos gamybos. Namų ūkiai bus skatinami šilumą gamintis netaršiomis ir efektyviomis šilumos gamybos iš AEI technologijomis ir taip mažinti </w:t>
            </w:r>
            <w:r w:rsidRPr="00B44B19">
              <w:rPr>
                <w:rFonts w:ascii="Times New Roman" w:hAnsi="Times New Roman" w:cs="Times New Roman"/>
                <w:lang w:val="lt"/>
              </w:rPr>
              <w:lastRenderedPageBreak/>
              <w:t xml:space="preserve">kietųjų dalelių ir kitų teršalų išmetimų sukeliamą socialinę ekonominę žalą visuomenei. Planuojama, kad daugiau kaip 20 tūkst. namų ūkių, neprijungtų prie CŠT, įsidiegs netaršias ir efektyvias šilumos gamybos technologijas, kurie energijos sutaupymu iki 20 % prisidės prie Lietuvos bendro EVE tikslo 2030 m. pasiekimo ir bus sumažinta aplinkos oro tarša. </w:t>
            </w:r>
            <w:bookmarkStart w:id="20" w:name="_Hlk168990897"/>
            <w:r w:rsidRPr="00B44B19">
              <w:rPr>
                <w:rFonts w:ascii="Times New Roman" w:hAnsi="Times New Roman" w:cs="Times New Roman"/>
                <w:lang w:val="lt"/>
              </w:rPr>
              <w:t>SaF lėšomis veiklos įgyvendinamos visoje Lietuvoje, ERPF lėšomis – VVL regione.</w:t>
            </w:r>
            <w:bookmarkEnd w:id="20"/>
          </w:p>
          <w:p w14:paraId="165A7FFB" w14:textId="77777777" w:rsidR="00DA7421" w:rsidRPr="00B44B19" w:rsidRDefault="00C5316B" w:rsidP="000C5E31">
            <w:pPr>
              <w:spacing w:before="60" w:after="60"/>
              <w:jc w:val="both"/>
              <w:rPr>
                <w:rFonts w:ascii="Times New Roman" w:eastAsia="Times New Roman" w:hAnsi="Times New Roman" w:cs="Times New Roman"/>
                <w:bCs/>
                <w:lang w:eastAsia="lt-LT"/>
              </w:rPr>
            </w:pPr>
            <w:r w:rsidRPr="00B44B19">
              <w:rPr>
                <w:rFonts w:ascii="Times New Roman" w:eastAsia="Times New Roman" w:hAnsi="Times New Roman" w:cs="Times New Roman"/>
                <w:b/>
                <w:noProof/>
              </w:rPr>
              <w:t xml:space="preserve">Atnaujinti daugiabučius gyvenamuosius namus, diegiant </w:t>
            </w:r>
            <w:r w:rsidR="00B86786" w:rsidRPr="00B44B19">
              <w:rPr>
                <w:rFonts w:ascii="Times New Roman" w:eastAsia="Times New Roman" w:hAnsi="Times New Roman" w:cs="Times New Roman"/>
                <w:b/>
                <w:noProof/>
              </w:rPr>
              <w:t>EVE</w:t>
            </w:r>
            <w:r w:rsidRPr="00B44B19">
              <w:rPr>
                <w:rFonts w:ascii="Times New Roman" w:eastAsia="Times New Roman" w:hAnsi="Times New Roman" w:cs="Times New Roman"/>
                <w:b/>
                <w:noProof/>
              </w:rPr>
              <w:t xml:space="preserve"> ir atsinaujinančių išteklių naudojimo priemones</w:t>
            </w:r>
            <w:r w:rsidRPr="00B44B19">
              <w:rPr>
                <w:rFonts w:ascii="Times New Roman" w:eastAsia="Times New Roman" w:hAnsi="Times New Roman" w:cs="Times New Roman"/>
                <w:noProof/>
              </w:rPr>
              <w:t xml:space="preserve">: </w:t>
            </w:r>
            <w:r w:rsidRPr="00B44B19">
              <w:rPr>
                <w:rFonts w:ascii="Times New Roman" w:eastAsia="Times New Roman" w:hAnsi="Times New Roman" w:cs="Times New Roman"/>
                <w:lang w:eastAsia="lt-LT"/>
              </w:rPr>
              <w:t xml:space="preserve">tęsiamas daugiabučių pastatų atnaujinimas. </w:t>
            </w:r>
            <w:r w:rsidR="00385681" w:rsidRPr="00B44B19">
              <w:rPr>
                <w:rFonts w:ascii="Times New Roman" w:eastAsia="Times New Roman" w:hAnsi="Times New Roman" w:cs="Times New Roman"/>
                <w:lang w:eastAsia="lt-LT"/>
              </w:rPr>
              <w:t xml:space="preserve">Finansavimas (paskolos) bus teikiamas daugiabučiams, pastatytiems vadovaujantis iki 1993 m. galiojusiais statybos techniniais </w:t>
            </w:r>
            <w:r w:rsidR="00421842" w:rsidRPr="00B44B19">
              <w:rPr>
                <w:rFonts w:ascii="Times New Roman" w:eastAsia="Times New Roman" w:hAnsi="Times New Roman" w:cs="Times New Roman"/>
                <w:lang w:eastAsia="lt-LT"/>
              </w:rPr>
              <w:t>reglamentais,</w:t>
            </w:r>
            <w:r w:rsidR="00385681" w:rsidRPr="00B44B19">
              <w:rPr>
                <w:rFonts w:ascii="Times New Roman" w:eastAsia="Times New Roman" w:hAnsi="Times New Roman" w:cs="Times New Roman"/>
                <w:lang w:eastAsia="lt-LT"/>
              </w:rPr>
              <w:t xml:space="preserve"> </w:t>
            </w:r>
            <w:r w:rsidRPr="00B44B19">
              <w:rPr>
                <w:rFonts w:ascii="Times New Roman" w:eastAsia="Times New Roman" w:hAnsi="Times New Roman" w:cs="Times New Roman"/>
                <w:lang w:eastAsia="lt-LT"/>
              </w:rPr>
              <w:t xml:space="preserve">prisidedantiems prie energetinio skurdo (nepritekliaus) problemų sprendimo, siekiantiems </w:t>
            </w:r>
            <w:r w:rsidR="00EF486D" w:rsidRPr="00B44B19">
              <w:rPr>
                <w:rFonts w:ascii="Times New Roman" w:eastAsia="Times New Roman" w:hAnsi="Times New Roman" w:cs="Times New Roman"/>
                <w:lang w:eastAsia="lt-LT"/>
              </w:rPr>
              <w:t xml:space="preserve">B arba </w:t>
            </w:r>
            <w:r w:rsidRPr="00B44B19">
              <w:rPr>
                <w:rFonts w:ascii="Times New Roman" w:eastAsia="Times New Roman" w:hAnsi="Times New Roman" w:cs="Times New Roman"/>
                <w:lang w:eastAsia="lt-LT"/>
              </w:rPr>
              <w:t xml:space="preserve">aukštesnės pastato energinio naudingumo klasės </w:t>
            </w:r>
            <w:r w:rsidR="00A11B9A" w:rsidRPr="00B44B19">
              <w:rPr>
                <w:rFonts w:ascii="Times New Roman" w:eastAsia="Times New Roman" w:hAnsi="Times New Roman" w:cs="Times New Roman"/>
                <w:lang w:eastAsia="lt-LT"/>
              </w:rPr>
              <w:t>prioritetą teikiant</w:t>
            </w:r>
            <w:r w:rsidRPr="00B44B19">
              <w:rPr>
                <w:rFonts w:ascii="Times New Roman" w:eastAsia="Times New Roman" w:hAnsi="Times New Roman" w:cs="Times New Roman"/>
                <w:lang w:eastAsia="lt-LT"/>
              </w:rPr>
              <w:t xml:space="preserve"> diegiantiems AEI priemones (iki 20 % projekto vertės) </w:t>
            </w:r>
            <w:r w:rsidR="00A11B9A" w:rsidRPr="00B44B19">
              <w:rPr>
                <w:rFonts w:ascii="Times New Roman" w:eastAsia="Times New Roman" w:hAnsi="Times New Roman" w:cs="Times New Roman"/>
                <w:lang w:eastAsia="lt-LT"/>
              </w:rPr>
              <w:t>ir</w:t>
            </w:r>
            <w:r w:rsidR="00421842" w:rsidRPr="00B44B19">
              <w:rPr>
                <w:rFonts w:ascii="Times New Roman" w:eastAsia="Times New Roman" w:hAnsi="Times New Roman" w:cs="Times New Roman"/>
                <w:lang w:eastAsia="lt-LT"/>
              </w:rPr>
              <w:t xml:space="preserve"> </w:t>
            </w:r>
            <w:r w:rsidRPr="00B44B19">
              <w:rPr>
                <w:rFonts w:ascii="Times New Roman" w:eastAsia="Times New Roman" w:hAnsi="Times New Roman" w:cs="Times New Roman"/>
                <w:lang w:eastAsia="lt-LT"/>
              </w:rPr>
              <w:t xml:space="preserve">numatytiems gyvenamųjų kvartalų kompleksinio atnaujinimo planuose. Planuojama </w:t>
            </w:r>
            <w:r w:rsidRPr="00B44B19">
              <w:rPr>
                <w:rFonts w:ascii="Times New Roman" w:eastAsia="Times New Roman" w:hAnsi="Times New Roman" w:cs="Times New Roman"/>
              </w:rPr>
              <w:t xml:space="preserve">naudoti finansines </w:t>
            </w:r>
            <w:r w:rsidR="00421842" w:rsidRPr="00B44B19">
              <w:rPr>
                <w:rFonts w:ascii="Times New Roman" w:eastAsia="Times New Roman" w:hAnsi="Times New Roman" w:cs="Times New Roman"/>
              </w:rPr>
              <w:t>(paskolos)</w:t>
            </w:r>
            <w:r w:rsidRPr="00B44B19">
              <w:rPr>
                <w:rFonts w:ascii="Times New Roman" w:eastAsia="Times New Roman" w:hAnsi="Times New Roman" w:cs="Times New Roman"/>
              </w:rPr>
              <w:t xml:space="preserve"> ir </w:t>
            </w:r>
            <w:r w:rsidR="001D6C05" w:rsidRPr="00B44B19">
              <w:rPr>
                <w:rFonts w:ascii="Times New Roman" w:eastAsia="Times New Roman" w:hAnsi="Times New Roman" w:cs="Times New Roman"/>
              </w:rPr>
              <w:t xml:space="preserve">dotacines </w:t>
            </w:r>
            <w:r w:rsidRPr="00B44B19">
              <w:rPr>
                <w:rFonts w:ascii="Times New Roman" w:eastAsia="Times New Roman" w:hAnsi="Times New Roman" w:cs="Times New Roman"/>
              </w:rPr>
              <w:t>(iš kt. šaltinių) priemones. Investicijos</w:t>
            </w:r>
            <w:r w:rsidRPr="00B44B19">
              <w:rPr>
                <w:rFonts w:ascii="Times New Roman" w:eastAsia="Times New Roman" w:hAnsi="Times New Roman" w:cs="Times New Roman"/>
                <w:lang w:eastAsia="lt-LT"/>
              </w:rPr>
              <w:t xml:space="preserve"> prisidės prie klimato </w:t>
            </w:r>
            <w:r w:rsidR="00421842" w:rsidRPr="00B44B19">
              <w:rPr>
                <w:rFonts w:ascii="Times New Roman" w:eastAsia="Times New Roman" w:hAnsi="Times New Roman" w:cs="Times New Roman"/>
                <w:lang w:eastAsia="lt-LT"/>
              </w:rPr>
              <w:t>kaitos švelninimo</w:t>
            </w:r>
            <w:r w:rsidRPr="00B44B19">
              <w:rPr>
                <w:rFonts w:ascii="Times New Roman" w:eastAsia="Times New Roman" w:hAnsi="Times New Roman" w:cs="Times New Roman"/>
                <w:lang w:eastAsia="lt-LT"/>
              </w:rPr>
              <w:t xml:space="preserve">, energetinės nepriklausomybės, vartotojų išlaidų šildymui mažinimo, gyvenimo sąlygų daugiabučiuose gerinimo. </w:t>
            </w:r>
            <w:r w:rsidR="00385681" w:rsidRPr="00B44B19">
              <w:rPr>
                <w:rFonts w:ascii="Times New Roman" w:eastAsia="Times New Roman" w:hAnsi="Times New Roman" w:cs="Times New Roman"/>
                <w:lang w:eastAsia="lt-LT"/>
              </w:rPr>
              <w:t xml:space="preserve">Didinant šių pastatų renovacijos mastą, bus taikomi tvarūs pastatų ir jų gyvenamosios aplinkos atnaujinimo planavimo ir įgyvendinimo instrumentai, skatinama taikyti žaliosios pastatų renovacijos būdus (naudojant organinius statybos produktus). Numatoma atnaujinti </w:t>
            </w:r>
            <w:r w:rsidR="00421842" w:rsidRPr="00B44B19">
              <w:rPr>
                <w:rFonts w:ascii="Times New Roman" w:eastAsia="Times New Roman" w:hAnsi="Times New Roman" w:cs="Times New Roman"/>
                <w:lang w:eastAsia="lt-LT"/>
              </w:rPr>
              <w:t>apie 3600 daugiabučių namų (apie 5,4 mln. m</w:t>
            </w:r>
            <w:r w:rsidR="00421842" w:rsidRPr="00B44B19">
              <w:rPr>
                <w:rFonts w:ascii="Times New Roman" w:eastAsia="Times New Roman" w:hAnsi="Times New Roman" w:cs="Times New Roman"/>
                <w:vertAlign w:val="superscript"/>
                <w:lang w:eastAsia="lt-LT"/>
              </w:rPr>
              <w:t>2</w:t>
            </w:r>
            <w:r w:rsidR="00421842" w:rsidRPr="00B44B19">
              <w:rPr>
                <w:rFonts w:ascii="Times New Roman" w:eastAsia="Times New Roman" w:hAnsi="Times New Roman" w:cs="Times New Roman"/>
                <w:lang w:eastAsia="lt-LT"/>
              </w:rPr>
              <w:t>)</w:t>
            </w:r>
            <w:r w:rsidR="00385681" w:rsidRPr="00B44B19">
              <w:rPr>
                <w:rFonts w:ascii="Times New Roman" w:eastAsia="Times New Roman" w:hAnsi="Times New Roman" w:cs="Times New Roman"/>
                <w:lang w:eastAsia="lt-LT"/>
              </w:rPr>
              <w:t xml:space="preserve">. </w:t>
            </w:r>
            <w:r w:rsidR="00385681" w:rsidRPr="00B44B19">
              <w:rPr>
                <w:rFonts w:ascii="Times New Roman" w:eastAsia="Times New Roman" w:hAnsi="Times New Roman" w:cs="Times New Roman"/>
                <w:bCs/>
                <w:lang w:eastAsia="lt-LT"/>
              </w:rPr>
              <w:t>Bus viešinama renovacija, informuojami, konsultuojami pastatų savininkai, valdytojai, vykdoma projektų įgyvendinimo priežiūra ir kontrolė.</w:t>
            </w:r>
            <w:r w:rsidR="00385681" w:rsidRPr="00B44B19">
              <w:rPr>
                <w:rFonts w:ascii="Times New Roman" w:eastAsia="Times New Roman" w:hAnsi="Times New Roman" w:cs="Times New Roman"/>
                <w:lang w:eastAsia="lt-LT"/>
              </w:rPr>
              <w:t xml:space="preserve"> </w:t>
            </w:r>
            <w:r w:rsidR="0076227C" w:rsidRPr="00B44B19">
              <w:rPr>
                <w:rStyle w:val="Bodytext1"/>
                <w:rFonts w:ascii="Times New Roman" w:hAnsi="Times New Roman" w:cs="Times New Roman"/>
              </w:rPr>
              <w:t xml:space="preserve">Veikla </w:t>
            </w:r>
            <w:r w:rsidR="0076227C" w:rsidRPr="00B44B19">
              <w:rPr>
                <w:rStyle w:val="Bodytext1"/>
                <w:rFonts w:ascii="Times New Roman" w:hAnsi="Times New Roman" w:cs="Times New Roman"/>
                <w:lang w:eastAsia="lt-LT" w:bidi="lt-LT"/>
              </w:rPr>
              <w:t xml:space="preserve">įgyvendinama </w:t>
            </w:r>
            <w:r w:rsidR="00A11B9A" w:rsidRPr="00B44B19">
              <w:rPr>
                <w:rFonts w:ascii="Times New Roman" w:eastAsia="Times New Roman" w:hAnsi="Times New Roman" w:cs="Times New Roman"/>
                <w:bCs/>
                <w:lang w:eastAsia="lt-LT"/>
              </w:rPr>
              <w:t>visoje Lietuvoje</w:t>
            </w:r>
            <w:r w:rsidR="0076227C" w:rsidRPr="00B44B19">
              <w:rPr>
                <w:rFonts w:ascii="Times New Roman" w:eastAsia="Times New Roman" w:hAnsi="Times New Roman" w:cs="Times New Roman"/>
                <w:bCs/>
                <w:lang w:eastAsia="lt-LT"/>
              </w:rPr>
              <w:t>.</w:t>
            </w:r>
          </w:p>
          <w:p w14:paraId="69FD0F27" w14:textId="2E3F9C24" w:rsidR="006C6280" w:rsidRPr="00B44B19" w:rsidRDefault="006C6280" w:rsidP="000C5E31">
            <w:pPr>
              <w:spacing w:before="60" w:after="60"/>
              <w:jc w:val="both"/>
              <w:rPr>
                <w:rFonts w:ascii="Times New Roman" w:eastAsia="Times New Roman" w:hAnsi="Times New Roman" w:cs="Times New Roman"/>
                <w:bCs/>
                <w:lang w:eastAsia="lt-LT"/>
              </w:rPr>
            </w:pPr>
            <w:r w:rsidRPr="00B44B19">
              <w:rPr>
                <w:rFonts w:ascii="Times New Roman" w:eastAsia="Times New Roman" w:hAnsi="Times New Roman" w:cs="Times New Roman"/>
                <w:b/>
                <w:bCs/>
                <w:lang w:val="lt"/>
              </w:rPr>
              <w:t>Atnaujinti viešuosius pastatus, didinant juose EVE</w:t>
            </w:r>
            <w:r w:rsidRPr="00B44B19">
              <w:rPr>
                <w:rFonts w:ascii="Times New Roman" w:eastAsia="Times New Roman" w:hAnsi="Times New Roman" w:cs="Times New Roman"/>
                <w:lang w:val="lt"/>
              </w:rPr>
              <w:t>: bus skatinamas centrinės valdžios viešųjų pastatų atnaujinimas. Pagal planuojamą atnaujinti Viešųjų pastatų energinio efektyvumo didinimo programą bus finansuojami pastatų renovacijos projektai, kuriais siekiama ne žemesnės kaip B energinės klasės.</w:t>
            </w:r>
            <w:r w:rsidR="00B24A0F" w:rsidRPr="00B44B19">
              <w:rPr>
                <w:rFonts w:ascii="Times New Roman" w:eastAsia="Times New Roman" w:hAnsi="Times New Roman" w:cs="Times New Roman"/>
                <w:lang w:val="lt"/>
              </w:rPr>
              <w:t xml:space="preserve"> </w:t>
            </w:r>
            <w:r w:rsidRPr="00B44B19">
              <w:rPr>
                <w:rFonts w:ascii="Times New Roman" w:eastAsia="Times New Roman" w:hAnsi="Times New Roman" w:cs="Times New Roman"/>
                <w:lang w:val="lt"/>
              </w:rPr>
              <w:t xml:space="preserve">Skatinama tvari pastatų renovacija, įgyvendinama žiedinės ekonomikos principu ir renovacijai reikalingų resursų panaudojimo mažinimu, jų pakartotiniu naudojimu, perdirbimu. Bus </w:t>
            </w:r>
            <w:r w:rsidR="00B24A0F" w:rsidRPr="00B44B19">
              <w:rPr>
                <w:rFonts w:ascii="Times New Roman" w:eastAsia="Times New Roman" w:hAnsi="Times New Roman" w:cs="Times New Roman"/>
                <w:lang w:val="lt"/>
              </w:rPr>
              <w:t xml:space="preserve">prisidedama prie </w:t>
            </w:r>
            <w:r w:rsidRPr="00B44B19">
              <w:rPr>
                <w:rFonts w:ascii="Times New Roman" w:eastAsia="Times New Roman" w:hAnsi="Times New Roman" w:cs="Times New Roman"/>
                <w:lang w:val="lt"/>
              </w:rPr>
              <w:t xml:space="preserve">naujojo europinio bauhauzo principų – estetikos, tvarumo, įtrauktumo. Viešųjų pastatų atnaujinimo finansavimui bus taikomi 2014–2020 m. perspektyvoje veikiantys modeliai, kurie padės iki 2029 m. pabaigos renovuoti apie 180 tūkst. m2 centrinės valdžios viešųjų pastatų (apie 144) ploto, kasmet sutaupyti apie </w:t>
            </w:r>
            <w:r w:rsidRPr="00B44B19">
              <w:rPr>
                <w:rFonts w:ascii="Times New Roman" w:eastAsia="Times New Roman" w:hAnsi="Times New Roman" w:cs="Times New Roman"/>
                <w:color w:val="000000"/>
              </w:rPr>
              <w:t>0,0144</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lang w:val="lt"/>
              </w:rPr>
              <w:t>TWh pirminės energijos ir sumažinti daugiau kaip 1,44 tūkst. t išmetamo CO2 kiekį. Veikla įgyvendinama VVL regione.</w:t>
            </w:r>
          </w:p>
          <w:p w14:paraId="7BBB2E63" w14:textId="77777777" w:rsidR="00DA7421" w:rsidRPr="00B44B19" w:rsidRDefault="00C5316B"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 xml:space="preserve">Didinti </w:t>
            </w:r>
            <w:r w:rsidR="00B86786" w:rsidRPr="00B44B19">
              <w:rPr>
                <w:rFonts w:ascii="Times New Roman" w:eastAsia="Times New Roman" w:hAnsi="Times New Roman" w:cs="Times New Roman"/>
                <w:b/>
              </w:rPr>
              <w:t>EVE</w:t>
            </w:r>
            <w:r w:rsidRPr="00B44B19">
              <w:rPr>
                <w:rFonts w:ascii="Times New Roman" w:eastAsia="Times New Roman" w:hAnsi="Times New Roman" w:cs="Times New Roman"/>
                <w:b/>
              </w:rPr>
              <w:t xml:space="preserve"> pramonės </w:t>
            </w:r>
            <w:r w:rsidR="00D753F5" w:rsidRPr="00B44B19">
              <w:rPr>
                <w:rFonts w:ascii="Times New Roman" w:eastAsia="Times New Roman" w:hAnsi="Times New Roman" w:cs="Times New Roman"/>
                <w:b/>
              </w:rPr>
              <w:t>įmonėse</w:t>
            </w:r>
            <w:r w:rsidRPr="00B44B19">
              <w:rPr>
                <w:rFonts w:ascii="Times New Roman" w:eastAsia="Times New Roman" w:hAnsi="Times New Roman" w:cs="Times New Roman"/>
              </w:rPr>
              <w:t xml:space="preserve">: bus skatinama atlikti </w:t>
            </w:r>
            <w:r w:rsidR="00B86786" w:rsidRPr="00B44B19">
              <w:rPr>
                <w:rFonts w:ascii="Times New Roman" w:eastAsia="Times New Roman" w:hAnsi="Times New Roman" w:cs="Times New Roman"/>
              </w:rPr>
              <w:t>EVE</w:t>
            </w:r>
            <w:r w:rsidRPr="00B44B19">
              <w:rPr>
                <w:rFonts w:ascii="Times New Roman" w:eastAsia="Times New Roman" w:hAnsi="Times New Roman" w:cs="Times New Roman"/>
              </w:rPr>
              <w:t xml:space="preserve"> auditus pramonės </w:t>
            </w:r>
            <w:r w:rsidR="00D753F5" w:rsidRPr="00B44B19">
              <w:rPr>
                <w:rFonts w:ascii="Times New Roman" w:eastAsia="Times New Roman" w:hAnsi="Times New Roman" w:cs="Times New Roman"/>
              </w:rPr>
              <w:t>įmonėse</w:t>
            </w:r>
            <w:r w:rsidRPr="00B44B19">
              <w:rPr>
                <w:rFonts w:ascii="Times New Roman" w:eastAsia="Times New Roman" w:hAnsi="Times New Roman" w:cs="Times New Roman"/>
              </w:rPr>
              <w:t xml:space="preserve">. Pagal </w:t>
            </w:r>
            <w:r w:rsidR="008A7397" w:rsidRPr="00B44B19">
              <w:rPr>
                <w:rFonts w:ascii="Times New Roman" w:eastAsia="Times New Roman" w:hAnsi="Times New Roman" w:cs="Times New Roman"/>
              </w:rPr>
              <w:t>juos</w:t>
            </w:r>
            <w:r w:rsidRPr="00B44B19">
              <w:rPr>
                <w:rFonts w:ascii="Times New Roman" w:eastAsia="Times New Roman" w:hAnsi="Times New Roman" w:cs="Times New Roman"/>
              </w:rPr>
              <w:t xml:space="preserve">, numatoma investuoti į </w:t>
            </w:r>
            <w:r w:rsidR="00B86786" w:rsidRPr="00B44B19">
              <w:rPr>
                <w:rFonts w:ascii="Times New Roman" w:eastAsia="Times New Roman" w:hAnsi="Times New Roman" w:cs="Times New Roman"/>
              </w:rPr>
              <w:t>EVE</w:t>
            </w:r>
            <w:r w:rsidRPr="00B44B19">
              <w:rPr>
                <w:rFonts w:ascii="Times New Roman" w:eastAsia="Times New Roman" w:hAnsi="Times New Roman" w:cs="Times New Roman"/>
              </w:rPr>
              <w:t xml:space="preserve"> didinimą ir </w:t>
            </w:r>
            <w:r w:rsidR="00B620CB" w:rsidRPr="00B44B19">
              <w:rPr>
                <w:rFonts w:ascii="Times New Roman" w:eastAsia="Times New Roman" w:hAnsi="Times New Roman" w:cs="Times New Roman"/>
              </w:rPr>
              <w:t>jos</w:t>
            </w:r>
            <w:r w:rsidR="004513A1"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intensyvumo mažinimą, sudarant sąlygas pramonės </w:t>
            </w:r>
            <w:r w:rsidR="00D753F5" w:rsidRPr="00B44B19">
              <w:rPr>
                <w:rFonts w:ascii="Times New Roman" w:eastAsia="Times New Roman" w:hAnsi="Times New Roman" w:cs="Times New Roman"/>
              </w:rPr>
              <w:t>įmonėms</w:t>
            </w:r>
            <w:r w:rsidRPr="00B44B19">
              <w:rPr>
                <w:rFonts w:ascii="Times New Roman" w:eastAsia="Times New Roman" w:hAnsi="Times New Roman" w:cs="Times New Roman"/>
              </w:rPr>
              <w:t xml:space="preserve"> investuoti į naujausios ir aplinkai palankios įrangos ir technologinių sprendimų pritaikymą gamybos procesuose, užtikrinant šių gamybos procesų tęstinumą, t. y. reikiamos technologinės įrangos ir turimų technologinių procesų infrastruktūros atnaujinimą. </w:t>
            </w:r>
            <w:r w:rsidR="0076227C" w:rsidRPr="00B44B19">
              <w:rPr>
                <w:rStyle w:val="Bodytext1"/>
                <w:rFonts w:ascii="Times New Roman" w:hAnsi="Times New Roman" w:cs="Times New Roman"/>
              </w:rPr>
              <w:t xml:space="preserve">Veikla </w:t>
            </w:r>
            <w:r w:rsidR="0076227C" w:rsidRPr="00B44B19">
              <w:rPr>
                <w:rStyle w:val="Bodytext1"/>
                <w:rFonts w:ascii="Times New Roman" w:hAnsi="Times New Roman" w:cs="Times New Roman"/>
                <w:lang w:eastAsia="lt-LT" w:bidi="lt-LT"/>
              </w:rPr>
              <w:t>įgyvendinama</w:t>
            </w:r>
            <w:r w:rsidR="00417353" w:rsidRPr="00B44B19">
              <w:rPr>
                <w:rStyle w:val="Bodytext1"/>
                <w:rFonts w:ascii="Times New Roman" w:hAnsi="Times New Roman" w:cs="Times New Roman"/>
                <w:lang w:eastAsia="lt-LT" w:bidi="lt-LT"/>
              </w:rPr>
              <w:t xml:space="preserve"> </w:t>
            </w:r>
            <w:r w:rsidR="00417353" w:rsidRPr="00B44B19">
              <w:rPr>
                <w:rFonts w:ascii="Times New Roman" w:eastAsia="Times New Roman" w:hAnsi="Times New Roman" w:cs="Times New Roman"/>
              </w:rPr>
              <w:t>visoje Lietuvoje</w:t>
            </w:r>
            <w:r w:rsidR="0076227C"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p>
          <w:p w14:paraId="67953C10" w14:textId="110158DF" w:rsidR="00FE2852" w:rsidRPr="00B44B19" w:rsidRDefault="009E29A7" w:rsidP="000C5E31">
            <w:pPr>
              <w:spacing w:before="60" w:after="60"/>
              <w:jc w:val="both"/>
              <w:rPr>
                <w:rFonts w:ascii="Times New Roman" w:eastAsia="Times New Roman" w:hAnsi="Times New Roman" w:cs="Times New Roman"/>
              </w:rPr>
            </w:pPr>
            <w:r w:rsidRPr="00B44B19">
              <w:rPr>
                <w:rFonts w:ascii="Times New Roman" w:hAnsi="Times New Roman" w:cs="Times New Roman"/>
                <w:b/>
                <w:bCs/>
              </w:rPr>
              <w:t>Didinti centralizuoto šilumos ir vėsumos tiekimo sistemų EVE bei plėsti sistemas:</w:t>
            </w:r>
            <w:r w:rsidRPr="00B44B19">
              <w:rPr>
                <w:rFonts w:ascii="Times New Roman" w:hAnsi="Times New Roman" w:cs="Times New Roman"/>
              </w:rPr>
              <w:t xml:space="preserve"> siekiant mažinti pirminės ir galutinės energijos suvartojimą bei išmetamų ŠESD kiekį CŠVT sektoriuje, bus skatinama pereiti prie 4 kartos šilumos tiekimo sistemos, kuriant integruotas CŠVT sistemas, efektyviai panaudojant liekamąją ir aplinkos energiją. Siekiant sumažinti apie 12–13 % energijos CŠT tinkluose vartojimą apie 2 tūkst. t kasmet išmetamo CO</w:t>
            </w:r>
            <w:r w:rsidRPr="00B44B19">
              <w:rPr>
                <w:rFonts w:ascii="Times New Roman" w:hAnsi="Times New Roman" w:cs="Times New Roman"/>
                <w:vertAlign w:val="subscript"/>
              </w:rPr>
              <w:t>2</w:t>
            </w:r>
            <w:r w:rsidRPr="00B44B19">
              <w:rPr>
                <w:rFonts w:ascii="Times New Roman" w:hAnsi="Times New Roman" w:cs="Times New Roman"/>
              </w:rPr>
              <w:t xml:space="preserve"> kiekį, bus investuojama į centralizuoto energijos tiekimo vamzdynų sistemų modernizavimą ir plėtrą, diegiant žemesnės temperatūros režimus, technologijas (pvz.: cirkuliacinius siurblius, šilumos transformavimo punktus, šilumokaičius, vamzdynus, skirtus žematemperatūriui režimui, matavimo prietaisus ir kt.); bus investuojama į išmaniųjų šilumos tinklų valdymo – monitoringo sistemas, IT valdymo ir reguliavimo sistemų diegimą energetikos objektuose (pvz.: katilinėse, elektrinėse), siekiant efektyviai naudoti energiją, optimizuoti darbo režimus, į pastatų įvadinės šilumos apskaitos prietaisus bei duomenų nuotolinio nuskaitymo sistemas. 2021–2027 m. ES fondų investicijomis planuojama modernizuoti mažiausiai 10 tūkst. šilumos apskaitos prietaisų. </w:t>
            </w:r>
            <w:bookmarkStart w:id="21" w:name="_Hlk168990985"/>
            <w:r w:rsidRPr="00B44B19">
              <w:rPr>
                <w:rFonts w:ascii="Times New Roman" w:hAnsi="Times New Roman" w:cs="Times New Roman"/>
                <w:lang w:val="lt"/>
              </w:rPr>
              <w:t>SaF lėšomis veiklos įgyvendinamos visoje Lietuvoje, ERPF lėšomis – VVL regione.</w:t>
            </w:r>
            <w:bookmarkEnd w:id="21"/>
          </w:p>
          <w:p w14:paraId="632E1B62" w14:textId="77777777" w:rsidR="00DD03B4" w:rsidRPr="00B44B19" w:rsidRDefault="00334B0C" w:rsidP="000C5E31">
            <w:pPr>
              <w:pStyle w:val="Sraopastraipa"/>
              <w:spacing w:before="60" w:after="60"/>
              <w:ind w:left="0"/>
              <w:contextualSpacing w:val="0"/>
              <w:jc w:val="both"/>
              <w:rPr>
                <w:rFonts w:ascii="Times New Roman" w:hAnsi="Times New Roman" w:cs="Times New Roman"/>
                <w:bCs/>
              </w:rPr>
            </w:pPr>
            <w:r w:rsidRPr="00B44B19">
              <w:rPr>
                <w:rFonts w:ascii="Times New Roman" w:eastAsia="Times New Roman" w:hAnsi="Times New Roman" w:cs="Times New Roman"/>
                <w:noProof/>
              </w:rPr>
              <w:t xml:space="preserve">Uždavinio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B83CDA" w:rsidRPr="00B44B19">
              <w:rPr>
                <w:rFonts w:ascii="Times New Roman" w:eastAsia="Times New Roman" w:hAnsi="Times New Roman" w:cs="Times New Roman"/>
                <w:noProof/>
              </w:rPr>
              <w:t>.</w:t>
            </w:r>
          </w:p>
        </w:tc>
      </w:tr>
    </w:tbl>
    <w:p w14:paraId="1DF1DB09" w14:textId="77777777" w:rsidR="00FE2852" w:rsidRPr="00B44B19" w:rsidRDefault="00FE2852" w:rsidP="00891CA2">
      <w:pPr>
        <w:pStyle w:val="Stilius1"/>
        <w:rPr>
          <w:rFonts w:cs="Times New Roman"/>
        </w:rPr>
      </w:pPr>
      <w:r w:rsidRPr="00B44B19">
        <w:rPr>
          <w:rFonts w:cs="Times New Roman"/>
        </w:rPr>
        <w:lastRenderedPageBreak/>
        <w:t>Pagrindinės tikslinės grupės</w:t>
      </w:r>
    </w:p>
    <w:tbl>
      <w:tblPr>
        <w:tblStyle w:val="Lentelstinklelis2"/>
        <w:tblW w:w="9889" w:type="dxa"/>
        <w:tblLook w:val="04A0" w:firstRow="1" w:lastRow="0" w:firstColumn="1" w:lastColumn="0" w:noHBand="0" w:noVBand="1"/>
      </w:tblPr>
      <w:tblGrid>
        <w:gridCol w:w="9889"/>
      </w:tblGrid>
      <w:tr w:rsidR="00FE2852" w:rsidRPr="00B44B19" w14:paraId="7FEF8E65"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626CB884" w14:textId="77777777" w:rsidR="00FE2852" w:rsidRPr="00B44B19" w:rsidRDefault="000A5615" w:rsidP="004952F4">
            <w:pPr>
              <w:spacing w:before="60" w:after="60"/>
              <w:jc w:val="both"/>
              <w:rPr>
                <w:rFonts w:ascii="Times New Roman" w:eastAsia="Times New Roman" w:hAnsi="Times New Roman" w:cs="Times New Roman"/>
                <w:color w:val="0070C0"/>
                <w:highlight w:val="yellow"/>
                <w:lang w:eastAsia="lt-LT"/>
              </w:rPr>
            </w:pPr>
            <w:r w:rsidRPr="00B44B19">
              <w:rPr>
                <w:rFonts w:ascii="Times New Roman" w:hAnsi="Times New Roman" w:cs="Times New Roman"/>
              </w:rPr>
              <w:t xml:space="preserve">Namų ūkiai, neprijungti prie centralizuoto šilumos tiekimo </w:t>
            </w:r>
            <w:r w:rsidR="00467A17" w:rsidRPr="00B44B19">
              <w:rPr>
                <w:rFonts w:ascii="Times New Roman" w:hAnsi="Times New Roman" w:cs="Times New Roman"/>
              </w:rPr>
              <w:t xml:space="preserve">tinklų, daugiabučių namų butų ir kitų patalpų savininkai, </w:t>
            </w:r>
            <w:r w:rsidR="00467A17" w:rsidRPr="00B44B19">
              <w:rPr>
                <w:rFonts w:ascii="Times New Roman" w:hAnsi="Times New Roman" w:cs="Times New Roman"/>
                <w:lang w:eastAsia="lt-LT"/>
              </w:rPr>
              <w:t xml:space="preserve">centrinės valdžios viešųjų </w:t>
            </w:r>
            <w:r w:rsidRPr="00B44B19">
              <w:rPr>
                <w:rFonts w:ascii="Times New Roman" w:hAnsi="Times New Roman" w:cs="Times New Roman"/>
                <w:lang w:eastAsia="lt-LT"/>
              </w:rPr>
              <w:t xml:space="preserve">pastatų valdytojai, </w:t>
            </w:r>
            <w:r w:rsidRPr="00B44B19">
              <w:rPr>
                <w:rFonts w:ascii="Times New Roman" w:hAnsi="Times New Roman" w:cs="Times New Roman"/>
              </w:rPr>
              <w:t xml:space="preserve">centralizuotai valdomo valstybės turto valdytojas, </w:t>
            </w:r>
            <w:r w:rsidRPr="00B44B19">
              <w:rPr>
                <w:rFonts w:ascii="Times New Roman" w:hAnsi="Times New Roman" w:cs="Times New Roman"/>
                <w:lang w:eastAsia="lt-LT"/>
              </w:rPr>
              <w:t>energijos taupymo paslaugų teikėjai (ESCO)</w:t>
            </w:r>
            <w:r w:rsidR="00421842" w:rsidRPr="00B44B19">
              <w:rPr>
                <w:rFonts w:ascii="Times New Roman" w:hAnsi="Times New Roman" w:cs="Times New Roman"/>
                <w:lang w:eastAsia="lt-LT"/>
              </w:rPr>
              <w:t>, Aplinkos projektų valdymo agentūra</w:t>
            </w:r>
            <w:r w:rsidRPr="00B44B19">
              <w:rPr>
                <w:rFonts w:ascii="Times New Roman" w:hAnsi="Times New Roman" w:cs="Times New Roman"/>
                <w:lang w:eastAsia="lt-LT"/>
              </w:rPr>
              <w:t xml:space="preserve">; pramonės </w:t>
            </w:r>
            <w:r w:rsidR="00D753F5" w:rsidRPr="00B44B19">
              <w:rPr>
                <w:rFonts w:ascii="Times New Roman" w:hAnsi="Times New Roman" w:cs="Times New Roman"/>
                <w:lang w:eastAsia="lt-LT"/>
              </w:rPr>
              <w:t>įmonės</w:t>
            </w:r>
            <w:r w:rsidRPr="00B44B19">
              <w:rPr>
                <w:rFonts w:ascii="Times New Roman" w:hAnsi="Times New Roman" w:cs="Times New Roman"/>
                <w:lang w:eastAsia="lt-LT"/>
              </w:rPr>
              <w:t>, šilumos tiekėjai, karšto vandens tiekėjai.</w:t>
            </w:r>
          </w:p>
        </w:tc>
      </w:tr>
    </w:tbl>
    <w:p w14:paraId="2436AEDB" w14:textId="77777777" w:rsidR="00FE2852" w:rsidRPr="00B44B19" w:rsidRDefault="00FE2852" w:rsidP="00891CA2">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B7AB3" w:rsidRPr="00B44B19" w14:paraId="5E4F3C32" w14:textId="77777777" w:rsidTr="004B7AB3">
        <w:tc>
          <w:tcPr>
            <w:tcW w:w="9854" w:type="dxa"/>
          </w:tcPr>
          <w:p w14:paraId="60DECC44" w14:textId="77777777" w:rsidR="004B7AB3" w:rsidRPr="00B44B19" w:rsidRDefault="003D3016" w:rsidP="004952F4">
            <w:pPr>
              <w:spacing w:before="60" w:after="60"/>
              <w:jc w:val="both"/>
              <w:rPr>
                <w:rFonts w:cs="Times New Roman"/>
                <w:b/>
                <w:i/>
                <w:sz w:val="22"/>
              </w:rPr>
            </w:pPr>
            <w:r w:rsidRPr="00B44B19">
              <w:rPr>
                <w:rFonts w:cs="Times New Roman"/>
                <w:noProof/>
                <w:sz w:val="22"/>
                <w:lang w:eastAsia="lt-LT"/>
              </w:rPr>
              <w:lastRenderedPageBreak/>
              <w:t xml:space="preserve">Daugiabučių namų renovacija ir katilų keitimo namų ūkiuose veikla, </w:t>
            </w:r>
            <w:r w:rsidR="00286AD7" w:rsidRPr="00B44B19">
              <w:rPr>
                <w:rFonts w:cs="Times New Roman"/>
                <w:noProof/>
                <w:sz w:val="22"/>
                <w:lang w:eastAsia="lt-LT"/>
              </w:rPr>
              <w:t xml:space="preserve">skirta </w:t>
            </w:r>
            <w:r w:rsidR="00B86786" w:rsidRPr="00B44B19">
              <w:rPr>
                <w:rFonts w:cs="Times New Roman"/>
                <w:noProof/>
                <w:sz w:val="22"/>
                <w:lang w:eastAsia="lt-LT"/>
              </w:rPr>
              <w:t>EVE</w:t>
            </w:r>
            <w:r w:rsidR="00286AD7" w:rsidRPr="00B44B19">
              <w:rPr>
                <w:rFonts w:cs="Times New Roman"/>
                <w:sz w:val="22"/>
              </w:rPr>
              <w:t xml:space="preserve"> namų ūkiuose didinti,</w:t>
            </w:r>
            <w:r w:rsidRPr="00B44B19">
              <w:rPr>
                <w:rFonts w:cs="Times New Roman"/>
                <w:sz w:val="22"/>
              </w:rPr>
              <w:t xml:space="preserve"> prisidės </w:t>
            </w:r>
            <w:r w:rsidRPr="00B44B19">
              <w:rPr>
                <w:rFonts w:cs="Times New Roman"/>
                <w:noProof/>
                <w:sz w:val="22"/>
                <w:lang w:eastAsia="lt-LT"/>
              </w:rPr>
              <w:t>prie energetinio skurdo mažinimo per energijos sutaupym</w:t>
            </w:r>
            <w:r w:rsidR="00286AD7" w:rsidRPr="00B44B19">
              <w:rPr>
                <w:rFonts w:cs="Times New Roman"/>
                <w:noProof/>
                <w:sz w:val="22"/>
                <w:lang w:eastAsia="lt-LT"/>
              </w:rPr>
              <w:t>ą</w:t>
            </w:r>
            <w:r w:rsidRPr="00B44B19">
              <w:rPr>
                <w:rFonts w:cs="Times New Roman"/>
                <w:noProof/>
                <w:sz w:val="22"/>
                <w:lang w:eastAsia="lt-LT"/>
              </w:rPr>
              <w:t xml:space="preserve"> namų ūkiui. Vykdant visų pastatų atnaujinimo veiklas, bus taikomi universalaus dizaino principai, įskaitant ir lengvesnį žmonių su negalia patekimą į pastatus.</w:t>
            </w:r>
          </w:p>
        </w:tc>
      </w:tr>
    </w:tbl>
    <w:p w14:paraId="20C52ECC" w14:textId="77777777" w:rsidR="00FE2852" w:rsidRPr="00B44B19" w:rsidRDefault="00FE2852" w:rsidP="00891CA2">
      <w:pPr>
        <w:pStyle w:val="Stilius1"/>
        <w:rPr>
          <w:rFonts w:cs="Times New Roman"/>
        </w:rPr>
      </w:pPr>
      <w:r w:rsidRPr="00B44B19">
        <w:rPr>
          <w:rFonts w:cs="Times New Roman"/>
        </w:rPr>
        <w:t>Konkrečios tikslinės teritorijos, įskaitant planuojamą teritorinių priemonių panaudojimą</w:t>
      </w:r>
    </w:p>
    <w:tbl>
      <w:tblPr>
        <w:tblStyle w:val="Lentelstinklelis2"/>
        <w:tblW w:w="9889" w:type="dxa"/>
        <w:tblLook w:val="04A0" w:firstRow="1" w:lastRow="0" w:firstColumn="1" w:lastColumn="0" w:noHBand="0" w:noVBand="1"/>
      </w:tblPr>
      <w:tblGrid>
        <w:gridCol w:w="9889"/>
      </w:tblGrid>
      <w:tr w:rsidR="00FE2852" w:rsidRPr="00B44B19" w14:paraId="058D1EEB"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47A0F969" w14:textId="77777777" w:rsidR="00FE2852" w:rsidRPr="00B44B19" w:rsidRDefault="00364C46" w:rsidP="004952F4">
            <w:pPr>
              <w:spacing w:before="60" w:after="60"/>
              <w:jc w:val="both"/>
              <w:rPr>
                <w:rFonts w:ascii="Times New Roman" w:hAnsi="Times New Roman" w:cs="Times New Roman"/>
              </w:rPr>
            </w:pPr>
            <w:r w:rsidRPr="00B44B19">
              <w:rPr>
                <w:rFonts w:ascii="Times New Roman" w:hAnsi="Times New Roman" w:cs="Times New Roman"/>
              </w:rPr>
              <w:t>Visa Lietuva</w:t>
            </w:r>
          </w:p>
        </w:tc>
      </w:tr>
    </w:tbl>
    <w:p w14:paraId="11E7D4D2" w14:textId="77777777" w:rsidR="00FE2852" w:rsidRPr="00B44B19" w:rsidRDefault="00FE2852" w:rsidP="00891CA2">
      <w:pPr>
        <w:pStyle w:val="Stilius1"/>
        <w:rPr>
          <w:rFonts w:cs="Times New Roman"/>
        </w:rPr>
      </w:pPr>
      <w:r w:rsidRPr="00B44B19">
        <w:rPr>
          <w:rFonts w:cs="Times New Roman"/>
        </w:rPr>
        <w:t>Tarpregioniniai, tarp sienų ir tarpvalstybiniai veiksmai</w:t>
      </w:r>
    </w:p>
    <w:tbl>
      <w:tblPr>
        <w:tblStyle w:val="Lentelstinklelis2"/>
        <w:tblW w:w="9889" w:type="dxa"/>
        <w:tblLook w:val="04A0" w:firstRow="1" w:lastRow="0" w:firstColumn="1" w:lastColumn="0" w:noHBand="0" w:noVBand="1"/>
      </w:tblPr>
      <w:tblGrid>
        <w:gridCol w:w="9889"/>
      </w:tblGrid>
      <w:tr w:rsidR="00FE2852" w:rsidRPr="00B44B19" w14:paraId="6D82A875"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05DC3FA7" w14:textId="77777777" w:rsidR="00FE2852" w:rsidRPr="00B44B19" w:rsidRDefault="0054691F" w:rsidP="004952F4">
            <w:pPr>
              <w:spacing w:before="60" w:after="60"/>
              <w:jc w:val="both"/>
              <w:rPr>
                <w:rFonts w:ascii="Times New Roman" w:hAnsi="Times New Roman" w:cs="Times New Roman"/>
                <w:color w:val="0070C0"/>
                <w:highlight w:val="yellow"/>
              </w:rPr>
            </w:pPr>
            <w:r w:rsidRPr="00B44B19">
              <w:rPr>
                <w:rFonts w:ascii="Times New Roman" w:hAnsi="Times New Roman" w:cs="Times New Roman"/>
                <w:noProof/>
                <w:lang w:eastAsia="lt-LT"/>
              </w:rPr>
              <w:t xml:space="preserve">Įgyvendinant veiklas, numatoma prisidėti prie BJRS </w:t>
            </w:r>
            <w:r w:rsidRPr="00B44B19">
              <w:rPr>
                <w:rFonts w:ascii="Times New Roman" w:hAnsi="Times New Roman" w:cs="Times New Roman"/>
              </w:rPr>
              <w:t>politikos krypties „Energetika“ veiklų</w:t>
            </w:r>
            <w:r w:rsidRPr="00B44B19">
              <w:rPr>
                <w:rFonts w:ascii="Times New Roman" w:hAnsi="Times New Roman" w:cs="Times New Roman"/>
                <w:noProof/>
                <w:lang w:eastAsia="lt-LT"/>
              </w:rPr>
              <w:t xml:space="preserve"> įgyvendinimo. Planuojama bendradarbiauti ir dal</w:t>
            </w:r>
            <w:r w:rsidR="00286AD7" w:rsidRPr="00B44B19">
              <w:rPr>
                <w:rFonts w:ascii="Times New Roman" w:hAnsi="Times New Roman" w:cs="Times New Roman"/>
                <w:noProof/>
                <w:lang w:eastAsia="lt-LT"/>
              </w:rPr>
              <w:t>y</w:t>
            </w:r>
            <w:r w:rsidRPr="00B44B19">
              <w:rPr>
                <w:rFonts w:ascii="Times New Roman" w:hAnsi="Times New Roman" w:cs="Times New Roman"/>
                <w:noProof/>
                <w:lang w:eastAsia="lt-LT"/>
              </w:rPr>
              <w:t xml:space="preserve">tis gerąja praktika su kitų </w:t>
            </w:r>
            <w:r w:rsidR="00286AD7" w:rsidRPr="00B44B19">
              <w:rPr>
                <w:rFonts w:ascii="Times New Roman" w:hAnsi="Times New Roman" w:cs="Times New Roman"/>
              </w:rPr>
              <w:t>BJR</w:t>
            </w:r>
            <w:r w:rsidRPr="00B44B19">
              <w:rPr>
                <w:rFonts w:ascii="Times New Roman" w:hAnsi="Times New Roman" w:cs="Times New Roman"/>
              </w:rPr>
              <w:t xml:space="preserve"> šalių partneriais </w:t>
            </w:r>
            <w:r w:rsidR="00286AD7" w:rsidRPr="00B44B19">
              <w:rPr>
                <w:rFonts w:ascii="Times New Roman" w:hAnsi="Times New Roman" w:cs="Times New Roman"/>
              </w:rPr>
              <w:t xml:space="preserve">didinant </w:t>
            </w:r>
            <w:r w:rsidR="00B86786" w:rsidRPr="00B44B19">
              <w:rPr>
                <w:rFonts w:ascii="Times New Roman" w:hAnsi="Times New Roman" w:cs="Times New Roman"/>
              </w:rPr>
              <w:t>EVE</w:t>
            </w:r>
            <w:r w:rsidR="00286AD7" w:rsidRPr="00B44B19">
              <w:rPr>
                <w:rFonts w:ascii="Times New Roman" w:hAnsi="Times New Roman" w:cs="Times New Roman"/>
              </w:rPr>
              <w:t xml:space="preserve"> ir ypač diegiant procesus, skatinančius taikyti principą „Pirmiausia – energijos efektyvumas“ (</w:t>
            </w:r>
            <w:r w:rsidR="00421842" w:rsidRPr="00B44B19">
              <w:rPr>
                <w:rFonts w:ascii="Times New Roman" w:hAnsi="Times New Roman" w:cs="Times New Roman"/>
              </w:rPr>
              <w:t xml:space="preserve">angl. </w:t>
            </w:r>
            <w:r w:rsidR="00286AD7" w:rsidRPr="00B44B19">
              <w:rPr>
                <w:rFonts w:ascii="Times New Roman" w:hAnsi="Times New Roman" w:cs="Times New Roman"/>
                <w:i/>
              </w:rPr>
              <w:t>„</w:t>
            </w:r>
            <w:r w:rsidR="00286AD7" w:rsidRPr="00B44B19">
              <w:rPr>
                <w:rFonts w:ascii="Times New Roman" w:hAnsi="Times New Roman" w:cs="Times New Roman"/>
                <w:i/>
                <w:iCs/>
              </w:rPr>
              <w:t>energy efficiency first“</w:t>
            </w:r>
            <w:r w:rsidR="00286AD7" w:rsidRPr="00B44B19">
              <w:rPr>
                <w:rFonts w:ascii="Times New Roman" w:hAnsi="Times New Roman" w:cs="Times New Roman"/>
              </w:rPr>
              <w:t>) priimant su politikos planavimu ir finansavimu susijusius sprendimus prisidėti prie NEKSVP ir ilgalaikės pastatų renovacijos strategijos įgyvendinimo.</w:t>
            </w:r>
          </w:p>
        </w:tc>
      </w:tr>
    </w:tbl>
    <w:p w14:paraId="48857296" w14:textId="77777777" w:rsidR="00FE2852" w:rsidRPr="00B44B19" w:rsidRDefault="00FE2852" w:rsidP="00891CA2">
      <w:pPr>
        <w:pStyle w:val="Stilius1"/>
        <w:rPr>
          <w:rFonts w:cs="Times New Roman"/>
        </w:rPr>
      </w:pPr>
      <w:r w:rsidRPr="00B44B19">
        <w:rPr>
          <w:rFonts w:cs="Times New Roman"/>
        </w:rPr>
        <w:t>Planuojamas finansinių priemonių naudojimas</w:t>
      </w:r>
      <w:r w:rsidR="00364C46" w:rsidRPr="00B44B19">
        <w:rPr>
          <w:rFonts w:cs="Times New Roman"/>
        </w:rPr>
        <w:t xml:space="preserve"> </w:t>
      </w:r>
    </w:p>
    <w:tbl>
      <w:tblPr>
        <w:tblStyle w:val="Lentelstinklelis2"/>
        <w:tblW w:w="9889" w:type="dxa"/>
        <w:tblLook w:val="04A0" w:firstRow="1" w:lastRow="0" w:firstColumn="1" w:lastColumn="0" w:noHBand="0" w:noVBand="1"/>
      </w:tblPr>
      <w:tblGrid>
        <w:gridCol w:w="9889"/>
      </w:tblGrid>
      <w:tr w:rsidR="00FE2852" w:rsidRPr="00B44B19" w14:paraId="3D599F8D" w14:textId="77777777" w:rsidTr="004B7AB3">
        <w:tc>
          <w:tcPr>
            <w:tcW w:w="9889" w:type="dxa"/>
            <w:tcBorders>
              <w:top w:val="single" w:sz="4" w:space="0" w:color="auto"/>
              <w:left w:val="single" w:sz="4" w:space="0" w:color="auto"/>
              <w:bottom w:val="single" w:sz="4" w:space="0" w:color="auto"/>
              <w:right w:val="single" w:sz="4" w:space="0" w:color="auto"/>
            </w:tcBorders>
            <w:hideMark/>
          </w:tcPr>
          <w:p w14:paraId="25B630E3" w14:textId="786D232A" w:rsidR="00A666E5" w:rsidRPr="00B44B19" w:rsidRDefault="00CE1852" w:rsidP="00A666E5">
            <w:pPr>
              <w:spacing w:before="60" w:after="60"/>
              <w:jc w:val="both"/>
              <w:rPr>
                <w:rFonts w:ascii="Times New Roman" w:eastAsia="Times New Roman" w:hAnsi="Times New Roman" w:cs="Times New Roman"/>
              </w:rPr>
            </w:pPr>
            <w:r w:rsidRPr="00B44B19">
              <w:rPr>
                <w:rFonts w:ascii="Times New Roman" w:hAnsi="Times New Roman" w:cs="Times New Roman"/>
                <w:iCs/>
              </w:rPr>
              <w:t xml:space="preserve">Pagal išankstinių vertinimų rezultatus viešųjų (ne biudžetinių) centrinės valdžios įstaigų, centralizuoto turto valdytojo pastatų atnaujinimui planuojama taikyti </w:t>
            </w:r>
            <w:r w:rsidRPr="00B44B19">
              <w:rPr>
                <w:rFonts w:ascii="Times New Roman" w:hAnsi="Times New Roman" w:cs="Times New Roman"/>
                <w:i/>
                <w:iCs/>
              </w:rPr>
              <w:t>finansines priemones (paskolas) kartu su dotacija</w:t>
            </w:r>
            <w:r w:rsidRPr="00B44B19">
              <w:rPr>
                <w:rFonts w:ascii="Times New Roman" w:hAnsi="Times New Roman" w:cs="Times New Roman"/>
                <w:iCs/>
              </w:rPr>
              <w:t>, naujoms veikloms (</w:t>
            </w:r>
            <w:r w:rsidRPr="00B44B19">
              <w:rPr>
                <w:rFonts w:ascii="Times New Roman" w:hAnsi="Times New Roman" w:cs="Times New Roman"/>
              </w:rPr>
              <w:t>centralizuoto šilumos, ir vėsumos tiekimo sistemų EVE didinimui bei vėsumos sistemų plėtrai) –</w:t>
            </w:r>
            <w:r w:rsidRPr="00B44B19">
              <w:rPr>
                <w:rFonts w:ascii="Times New Roman" w:hAnsi="Times New Roman" w:cs="Times New Roman"/>
                <w:iCs/>
              </w:rPr>
              <w:t xml:space="preserve"> </w:t>
            </w:r>
            <w:r w:rsidRPr="00B44B19">
              <w:rPr>
                <w:rFonts w:ascii="Times New Roman" w:hAnsi="Times New Roman" w:cs="Times New Roman"/>
                <w:i/>
                <w:iCs/>
              </w:rPr>
              <w:t xml:space="preserve">finansines priemones (paskolas) derinant jas su dotacija </w:t>
            </w:r>
            <w:r w:rsidRPr="00B44B19">
              <w:rPr>
                <w:rFonts w:ascii="Times New Roman" w:hAnsi="Times New Roman" w:cs="Times New Roman"/>
                <w:iCs/>
              </w:rPr>
              <w:t xml:space="preserve">(viename projekte pagal </w:t>
            </w:r>
            <w:r w:rsidRPr="00B44B19">
              <w:rPr>
                <w:rFonts w:ascii="Times New Roman" w:hAnsi="Times New Roman" w:cs="Times New Roman"/>
              </w:rPr>
              <w:t>BNR 58 str. 5 d.).</w:t>
            </w:r>
            <w:r w:rsidR="00A666E5" w:rsidRPr="00B44B19">
              <w:rPr>
                <w:rFonts w:ascii="Times New Roman" w:hAnsi="Times New Roman" w:cs="Times New Roman"/>
              </w:rPr>
              <w:t xml:space="preserve"> </w:t>
            </w:r>
            <w:r w:rsidR="00EA7E1E" w:rsidRPr="00B44B19">
              <w:rPr>
                <w:rFonts w:ascii="Times New Roman" w:eastAsia="Times New Roman" w:hAnsi="Times New Roman" w:cs="Times New Roman"/>
              </w:rPr>
              <w:t>Dotacija</w:t>
            </w:r>
            <w:r w:rsidR="00966138" w:rsidRPr="00B44B19">
              <w:rPr>
                <w:rFonts w:ascii="Times New Roman" w:eastAsia="Times New Roman" w:hAnsi="Times New Roman" w:cs="Times New Roman"/>
              </w:rPr>
              <w:t xml:space="preserve"> </w:t>
            </w:r>
            <w:r w:rsidR="00EA7E1E" w:rsidRPr="00B44B19">
              <w:rPr>
                <w:rFonts w:ascii="Times New Roman" w:eastAsia="Times New Roman" w:hAnsi="Times New Roman" w:cs="Times New Roman"/>
              </w:rPr>
              <w:t xml:space="preserve">/ dotacija taikant sąlygas </w:t>
            </w:r>
            <w:r w:rsidR="00634F24" w:rsidRPr="00B44B19">
              <w:rPr>
                <w:rFonts w:ascii="Times New Roman" w:eastAsia="Times New Roman" w:hAnsi="Times New Roman" w:cs="Times New Roman"/>
              </w:rPr>
              <w:t>suteiks galimybę dieg</w:t>
            </w:r>
            <w:r w:rsidR="00EA7E1E" w:rsidRPr="00B44B19">
              <w:rPr>
                <w:rFonts w:ascii="Times New Roman" w:eastAsia="Times New Roman" w:hAnsi="Times New Roman" w:cs="Times New Roman"/>
              </w:rPr>
              <w:t>ti</w:t>
            </w:r>
            <w:r w:rsidR="00634F24" w:rsidRPr="00B44B19">
              <w:rPr>
                <w:rFonts w:ascii="Times New Roman" w:eastAsia="Times New Roman" w:hAnsi="Times New Roman" w:cs="Times New Roman"/>
              </w:rPr>
              <w:t xml:space="preserve"> pažange</w:t>
            </w:r>
            <w:r w:rsidR="00EA7E1E" w:rsidRPr="00B44B19">
              <w:rPr>
                <w:rFonts w:ascii="Times New Roman" w:eastAsia="Times New Roman" w:hAnsi="Times New Roman" w:cs="Times New Roman"/>
              </w:rPr>
              <w:t>snes technologijas, sumažinti projektų</w:t>
            </w:r>
            <w:r w:rsidR="00634F24" w:rsidRPr="00B44B19">
              <w:rPr>
                <w:rFonts w:ascii="Times New Roman" w:eastAsia="Times New Roman" w:hAnsi="Times New Roman" w:cs="Times New Roman"/>
              </w:rPr>
              <w:t xml:space="preserve"> atsipirkimo laikotarpį bei paskatinti didesnį projektų skaičių.</w:t>
            </w:r>
          </w:p>
          <w:p w14:paraId="380463D0" w14:textId="7B05B9CF" w:rsidR="00634F24" w:rsidRPr="00B44B19" w:rsidRDefault="00634F24" w:rsidP="00A666E5">
            <w:pPr>
              <w:spacing w:before="60" w:after="60"/>
              <w:jc w:val="both"/>
              <w:rPr>
                <w:rFonts w:ascii="Times New Roman" w:hAnsi="Times New Roman" w:cs="Times New Roman"/>
                <w:strike/>
              </w:rPr>
            </w:pPr>
            <w:r w:rsidRPr="00B44B19">
              <w:rPr>
                <w:rFonts w:ascii="Times New Roman" w:eastAsia="Times New Roman" w:hAnsi="Times New Roman" w:cs="Times New Roman"/>
              </w:rPr>
              <w:t>Daugiabučių atnaujinimo veiklose bus naudojama finansinė priemonė</w:t>
            </w:r>
            <w:r w:rsidR="00EA7E1E" w:rsidRPr="00B44B19">
              <w:rPr>
                <w:rFonts w:ascii="Times New Roman" w:eastAsia="Times New Roman" w:hAnsi="Times New Roman" w:cs="Times New Roman"/>
              </w:rPr>
              <w:t xml:space="preserve"> (paskola)</w:t>
            </w:r>
            <w:r w:rsidRPr="00B44B19">
              <w:rPr>
                <w:rFonts w:ascii="Times New Roman" w:eastAsia="Times New Roman" w:hAnsi="Times New Roman" w:cs="Times New Roman"/>
              </w:rPr>
              <w:t xml:space="preserve">. </w:t>
            </w:r>
          </w:p>
          <w:p w14:paraId="1B75EF84" w14:textId="77777777" w:rsidR="001B2E75" w:rsidRPr="00B44B19" w:rsidRDefault="00EA7E1E" w:rsidP="00A666E5">
            <w:pPr>
              <w:spacing w:before="60" w:after="60"/>
              <w:jc w:val="both"/>
              <w:rPr>
                <w:rFonts w:ascii="Times New Roman" w:eastAsia="Times New Roman" w:hAnsi="Times New Roman" w:cs="Times New Roman"/>
              </w:rPr>
            </w:pPr>
            <w:r w:rsidRPr="00B44B19">
              <w:rPr>
                <w:rFonts w:ascii="Times New Roman" w:hAnsi="Times New Roman" w:cs="Times New Roman"/>
              </w:rPr>
              <w:t>Į</w:t>
            </w:r>
            <w:r w:rsidR="00BD4DF6" w:rsidRPr="00B44B19">
              <w:rPr>
                <w:rFonts w:ascii="Times New Roman" w:hAnsi="Times New Roman" w:cs="Times New Roman"/>
              </w:rPr>
              <w:t xml:space="preserve">gyvendinant </w:t>
            </w:r>
            <w:r w:rsidR="00BD4DF6" w:rsidRPr="00B44B19">
              <w:rPr>
                <w:rFonts w:ascii="Times New Roman" w:eastAsia="Times New Roman" w:hAnsi="Times New Roman" w:cs="Times New Roman"/>
              </w:rPr>
              <w:t>energinio efektyvumo priemones bus sutaupoma pakankamai sąnaudų, kad būtų galima grąžinti paskolas</w:t>
            </w:r>
            <w:r w:rsidR="001B2E75" w:rsidRPr="00B44B19">
              <w:rPr>
                <w:rFonts w:ascii="Times New Roman" w:eastAsia="Times New Roman" w:hAnsi="Times New Roman" w:cs="Times New Roman"/>
              </w:rPr>
              <w:t xml:space="preserve">. </w:t>
            </w:r>
          </w:p>
          <w:p w14:paraId="16726356" w14:textId="77777777" w:rsidR="005621C9" w:rsidRPr="00B44B19" w:rsidRDefault="00634F24" w:rsidP="00A666E5">
            <w:pPr>
              <w:spacing w:before="60" w:after="60" w:line="276" w:lineRule="auto"/>
              <w:jc w:val="both"/>
              <w:rPr>
                <w:rFonts w:ascii="Times New Roman" w:eastAsia="Times New Roman" w:hAnsi="Times New Roman" w:cs="Times New Roman"/>
              </w:rPr>
            </w:pPr>
            <w:r w:rsidRPr="00B44B19">
              <w:rPr>
                <w:rFonts w:ascii="Times New Roman" w:eastAsia="Times New Roman" w:hAnsi="Times New Roman" w:cs="Times New Roman"/>
              </w:rPr>
              <w:t>Planuojama numatyti galimybę pasinaudoti BNR 68 str. 2 d. esančia nuostata, kuri leidžia investuoti naujo laikotarpio lėšas į 2014–2020 m. laikotarpiu pradėtas finansines priemones.</w:t>
            </w:r>
          </w:p>
        </w:tc>
      </w:tr>
    </w:tbl>
    <w:p w14:paraId="324ABEBD" w14:textId="77777777" w:rsidR="009750A4" w:rsidRPr="00B44B19" w:rsidRDefault="006224F1" w:rsidP="00891CA2">
      <w:pPr>
        <w:pStyle w:val="Stilius1"/>
        <w:rPr>
          <w:rFonts w:cs="Times New Roman"/>
        </w:rPr>
      </w:pPr>
      <w:r w:rsidRPr="00B44B19">
        <w:rPr>
          <w:rFonts w:cs="Times New Roman"/>
        </w:rPr>
        <w:t xml:space="preserve">Rodikliai </w:t>
      </w:r>
    </w:p>
    <w:p w14:paraId="78841C51" w14:textId="77777777" w:rsidR="006224F1" w:rsidRPr="00B44B19" w:rsidRDefault="006224F1" w:rsidP="00C02A4C">
      <w:pPr>
        <w:spacing w:before="240" w:after="0" w:line="240" w:lineRule="auto"/>
        <w:jc w:val="both"/>
        <w:rPr>
          <w:rFonts w:cs="Times New Roman"/>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68"/>
        <w:gridCol w:w="828"/>
        <w:gridCol w:w="967"/>
        <w:gridCol w:w="1228"/>
        <w:gridCol w:w="1797"/>
        <w:gridCol w:w="970"/>
        <w:gridCol w:w="838"/>
        <w:gridCol w:w="922"/>
      </w:tblGrid>
      <w:tr w:rsidR="005B66F2" w:rsidRPr="00B44B19" w14:paraId="71D6E767" w14:textId="77777777" w:rsidTr="004952F4">
        <w:trPr>
          <w:trHeight w:val="675"/>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3F5073"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FE43E3"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7F3BE6"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Fondas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9B7A0"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76637F"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D3C80A"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AE1DB9"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B6FFDF"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82FAA9"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Siek</w:t>
            </w:r>
            <w:r w:rsidR="00A123D7" w:rsidRPr="00B44B19">
              <w:rPr>
                <w:rFonts w:cs="Times New Roman"/>
                <w:b/>
                <w:noProof/>
                <w:sz w:val="16"/>
                <w:szCs w:val="16"/>
              </w:rPr>
              <w:t>tina reikšmė</w:t>
            </w:r>
            <w:r w:rsidRPr="00B44B19">
              <w:rPr>
                <w:rFonts w:cs="Times New Roman"/>
                <w:b/>
                <w:noProof/>
                <w:sz w:val="16"/>
                <w:szCs w:val="16"/>
              </w:rPr>
              <w:t xml:space="preserve"> (2029 m.)</w:t>
            </w:r>
          </w:p>
        </w:tc>
      </w:tr>
      <w:tr w:rsidR="005B66F2" w:rsidRPr="00B44B19" w14:paraId="51821896" w14:textId="77777777" w:rsidTr="004952F4">
        <w:trPr>
          <w:trHeight w:val="461"/>
        </w:trPr>
        <w:tc>
          <w:tcPr>
            <w:tcW w:w="567" w:type="pct"/>
            <w:vMerge w:val="restart"/>
            <w:tcBorders>
              <w:top w:val="single" w:sz="12" w:space="0" w:color="auto"/>
            </w:tcBorders>
          </w:tcPr>
          <w:p w14:paraId="5C785B98" w14:textId="77777777" w:rsidR="005B66F2" w:rsidRPr="00B44B19" w:rsidRDefault="005B66F2" w:rsidP="005B66F2">
            <w:pPr>
              <w:spacing w:after="0" w:line="240" w:lineRule="auto"/>
              <w:rPr>
                <w:rFonts w:cs="Times New Roman"/>
                <w:noProof/>
                <w:sz w:val="16"/>
                <w:szCs w:val="16"/>
              </w:rPr>
            </w:pPr>
            <w:r w:rsidRPr="00B44B19">
              <w:rPr>
                <w:rFonts w:cs="Times New Roman"/>
                <w:noProof/>
                <w:sz w:val="16"/>
                <w:szCs w:val="16"/>
              </w:rPr>
              <w:t>2. Žalesnė Lietuva</w:t>
            </w:r>
          </w:p>
        </w:tc>
        <w:tc>
          <w:tcPr>
            <w:tcW w:w="504" w:type="pct"/>
            <w:vMerge w:val="restart"/>
            <w:tcBorders>
              <w:top w:val="single" w:sz="12" w:space="0" w:color="auto"/>
            </w:tcBorders>
          </w:tcPr>
          <w:p w14:paraId="105EB5C1" w14:textId="77777777" w:rsidR="005B66F2" w:rsidRPr="00B44B19" w:rsidRDefault="005B66F2" w:rsidP="005B66F2">
            <w:pPr>
              <w:spacing w:after="0" w:line="240" w:lineRule="auto"/>
              <w:jc w:val="both"/>
              <w:rPr>
                <w:rFonts w:cs="Times New Roman"/>
                <w:noProof/>
                <w:sz w:val="16"/>
                <w:szCs w:val="16"/>
              </w:rPr>
            </w:pPr>
            <w:r w:rsidRPr="00B44B19">
              <w:rPr>
                <w:rFonts w:cs="Times New Roman"/>
                <w:noProof/>
                <w:sz w:val="16"/>
                <w:szCs w:val="16"/>
              </w:rPr>
              <w:t>2.1</w:t>
            </w:r>
          </w:p>
        </w:tc>
        <w:tc>
          <w:tcPr>
            <w:tcW w:w="431" w:type="pct"/>
            <w:tcBorders>
              <w:top w:val="single" w:sz="12" w:space="0" w:color="auto"/>
              <w:bottom w:val="single" w:sz="4" w:space="0" w:color="auto"/>
            </w:tcBorders>
          </w:tcPr>
          <w:p w14:paraId="1C6F774B" w14:textId="77777777" w:rsidR="005B66F2" w:rsidRPr="00B44B19" w:rsidRDefault="005B66F2" w:rsidP="005B66F2">
            <w:pPr>
              <w:spacing w:after="0" w:line="240" w:lineRule="auto"/>
              <w:jc w:val="both"/>
              <w:rPr>
                <w:rFonts w:cs="Times New Roman"/>
                <w:strike/>
                <w:noProof/>
                <w:sz w:val="16"/>
                <w:szCs w:val="16"/>
              </w:rPr>
            </w:pPr>
            <w:r w:rsidRPr="00B44B19">
              <w:rPr>
                <w:rFonts w:cs="Times New Roman"/>
                <w:noProof/>
                <w:sz w:val="16"/>
                <w:szCs w:val="16"/>
              </w:rPr>
              <w:t>ERPF</w:t>
            </w:r>
          </w:p>
        </w:tc>
        <w:tc>
          <w:tcPr>
            <w:tcW w:w="503" w:type="pct"/>
            <w:tcBorders>
              <w:top w:val="single" w:sz="12" w:space="0" w:color="auto"/>
              <w:bottom w:val="single" w:sz="4" w:space="0" w:color="auto"/>
            </w:tcBorders>
          </w:tcPr>
          <w:p w14:paraId="7B404B57" w14:textId="77777777" w:rsidR="005B66F2" w:rsidRPr="00B44B19" w:rsidRDefault="005B66F2" w:rsidP="005B66F2">
            <w:pPr>
              <w:spacing w:after="0" w:line="240" w:lineRule="auto"/>
              <w:jc w:val="both"/>
              <w:rPr>
                <w:rFonts w:cs="Times New Roman"/>
                <w:strike/>
                <w:noProof/>
                <w:sz w:val="16"/>
                <w:szCs w:val="16"/>
              </w:rPr>
            </w:pPr>
            <w:r w:rsidRPr="00B44B19">
              <w:rPr>
                <w:rFonts w:cs="Times New Roman"/>
                <w:noProof/>
                <w:sz w:val="16"/>
                <w:szCs w:val="16"/>
              </w:rPr>
              <w:t>VVL regionas</w:t>
            </w:r>
          </w:p>
        </w:tc>
        <w:tc>
          <w:tcPr>
            <w:tcW w:w="639" w:type="pct"/>
            <w:tcBorders>
              <w:top w:val="single" w:sz="12" w:space="0" w:color="auto"/>
              <w:bottom w:val="single" w:sz="4" w:space="0" w:color="auto"/>
            </w:tcBorders>
          </w:tcPr>
          <w:p w14:paraId="6C97334D" w14:textId="77777777" w:rsidR="005B66F2" w:rsidRPr="00B44B19" w:rsidRDefault="005B66F2" w:rsidP="005B66F2">
            <w:pPr>
              <w:spacing w:after="0" w:line="240" w:lineRule="auto"/>
              <w:jc w:val="both"/>
              <w:rPr>
                <w:rFonts w:eastAsia="Calibri" w:cs="Times New Roman"/>
                <w:strike/>
                <w:sz w:val="16"/>
                <w:szCs w:val="16"/>
                <w:lang w:eastAsia="lt-LT" w:bidi="lt-LT"/>
              </w:rPr>
            </w:pPr>
            <w:r w:rsidRPr="00B44B19">
              <w:rPr>
                <w:rFonts w:cs="Times New Roman"/>
                <w:sz w:val="16"/>
                <w:szCs w:val="16"/>
                <w:lang w:eastAsia="lt-LT"/>
              </w:rPr>
              <w:t>RCO01</w:t>
            </w:r>
          </w:p>
        </w:tc>
        <w:tc>
          <w:tcPr>
            <w:tcW w:w="935" w:type="pct"/>
            <w:tcBorders>
              <w:top w:val="single" w:sz="12" w:space="0" w:color="auto"/>
              <w:bottom w:val="single" w:sz="4" w:space="0" w:color="auto"/>
            </w:tcBorders>
          </w:tcPr>
          <w:p w14:paraId="7F9803FC" w14:textId="77777777" w:rsidR="005B66F2" w:rsidRPr="00B44B19" w:rsidRDefault="00BA56A5" w:rsidP="005B66F2">
            <w:pPr>
              <w:tabs>
                <w:tab w:val="left" w:pos="7560"/>
              </w:tabs>
              <w:spacing w:after="0" w:line="240" w:lineRule="auto"/>
              <w:jc w:val="both"/>
              <w:rPr>
                <w:rFonts w:cs="Times New Roman"/>
                <w:strike/>
                <w:sz w:val="20"/>
                <w:szCs w:val="20"/>
              </w:rPr>
            </w:pPr>
            <w:r w:rsidRPr="00B44B19">
              <w:rPr>
                <w:rFonts w:cs="Times New Roman"/>
                <w:sz w:val="16"/>
                <w:szCs w:val="16"/>
              </w:rPr>
              <w:t>Paramą gavusios įmonės (iš kurių: labai mažos, mažosios, vidutinės ir didelės)</w:t>
            </w:r>
          </w:p>
        </w:tc>
        <w:tc>
          <w:tcPr>
            <w:tcW w:w="505" w:type="pct"/>
            <w:tcBorders>
              <w:top w:val="single" w:sz="12" w:space="0" w:color="auto"/>
              <w:bottom w:val="single" w:sz="4" w:space="0" w:color="auto"/>
            </w:tcBorders>
          </w:tcPr>
          <w:p w14:paraId="05DDD3DC" w14:textId="77777777" w:rsidR="005B66F2" w:rsidRPr="00B44B19" w:rsidRDefault="005B66F2" w:rsidP="005B66F2">
            <w:pPr>
              <w:spacing w:after="0" w:line="240" w:lineRule="auto"/>
              <w:jc w:val="both"/>
              <w:rPr>
                <w:rFonts w:cs="Times New Roman"/>
                <w:strike/>
                <w:noProof/>
                <w:sz w:val="16"/>
                <w:szCs w:val="16"/>
              </w:rPr>
            </w:pPr>
            <w:r w:rsidRPr="00B44B19">
              <w:rPr>
                <w:rFonts w:cs="Times New Roman"/>
                <w:noProof/>
                <w:sz w:val="16"/>
                <w:szCs w:val="16"/>
              </w:rPr>
              <w:t>Įmonės</w:t>
            </w:r>
          </w:p>
        </w:tc>
        <w:tc>
          <w:tcPr>
            <w:tcW w:w="436" w:type="pct"/>
            <w:tcBorders>
              <w:top w:val="single" w:sz="12" w:space="0" w:color="auto"/>
              <w:bottom w:val="single" w:sz="4" w:space="0" w:color="auto"/>
            </w:tcBorders>
          </w:tcPr>
          <w:p w14:paraId="2A155565" w14:textId="5B8D36D3" w:rsidR="005B66F2" w:rsidRPr="00B44B19" w:rsidRDefault="00F75618" w:rsidP="005B66F2">
            <w:pPr>
              <w:spacing w:after="0" w:line="240" w:lineRule="auto"/>
              <w:jc w:val="center"/>
              <w:rPr>
                <w:rFonts w:cs="Times New Roman"/>
                <w:strike/>
                <w:noProof/>
                <w:sz w:val="16"/>
                <w:szCs w:val="16"/>
              </w:rPr>
            </w:pPr>
            <w:r w:rsidRPr="00B44B19">
              <w:rPr>
                <w:rFonts w:cs="Times New Roman"/>
                <w:noProof/>
                <w:sz w:val="16"/>
                <w:szCs w:val="16"/>
              </w:rPr>
              <w:t>64</w:t>
            </w:r>
          </w:p>
        </w:tc>
        <w:tc>
          <w:tcPr>
            <w:tcW w:w="480" w:type="pct"/>
            <w:tcBorders>
              <w:top w:val="single" w:sz="12" w:space="0" w:color="auto"/>
              <w:bottom w:val="single" w:sz="4" w:space="0" w:color="auto"/>
            </w:tcBorders>
          </w:tcPr>
          <w:p w14:paraId="0F79DF8F" w14:textId="33AAE604" w:rsidR="005B66F2" w:rsidRPr="00B44B19" w:rsidRDefault="00BF576F" w:rsidP="00AA78F4">
            <w:pPr>
              <w:spacing w:after="0" w:line="240" w:lineRule="auto"/>
              <w:jc w:val="center"/>
              <w:rPr>
                <w:rFonts w:cs="Times New Roman"/>
                <w:strike/>
                <w:noProof/>
                <w:sz w:val="16"/>
                <w:szCs w:val="16"/>
              </w:rPr>
            </w:pPr>
            <w:r w:rsidRPr="00B44B19">
              <w:rPr>
                <w:rFonts w:cs="Times New Roman"/>
                <w:noProof/>
                <w:sz w:val="16"/>
                <w:szCs w:val="16"/>
              </w:rPr>
              <w:t>139</w:t>
            </w:r>
          </w:p>
        </w:tc>
      </w:tr>
      <w:tr w:rsidR="00D753F5" w:rsidRPr="00B44B19" w14:paraId="2D9EC393" w14:textId="77777777" w:rsidTr="004952F4">
        <w:trPr>
          <w:trHeight w:val="461"/>
        </w:trPr>
        <w:tc>
          <w:tcPr>
            <w:tcW w:w="567" w:type="pct"/>
            <w:vMerge/>
            <w:tcBorders>
              <w:top w:val="single" w:sz="12" w:space="0" w:color="auto"/>
            </w:tcBorders>
          </w:tcPr>
          <w:p w14:paraId="06F60FB5" w14:textId="77777777" w:rsidR="00D753F5" w:rsidRPr="00B44B19" w:rsidRDefault="00D753F5" w:rsidP="005B66F2">
            <w:pPr>
              <w:spacing w:after="0" w:line="240" w:lineRule="auto"/>
              <w:rPr>
                <w:rFonts w:cs="Times New Roman"/>
                <w:noProof/>
                <w:sz w:val="16"/>
                <w:szCs w:val="16"/>
              </w:rPr>
            </w:pPr>
          </w:p>
        </w:tc>
        <w:tc>
          <w:tcPr>
            <w:tcW w:w="504" w:type="pct"/>
            <w:vMerge/>
            <w:tcBorders>
              <w:top w:val="single" w:sz="12" w:space="0" w:color="auto"/>
            </w:tcBorders>
          </w:tcPr>
          <w:p w14:paraId="28C544BC" w14:textId="77777777" w:rsidR="00D753F5" w:rsidRPr="00B44B19" w:rsidRDefault="00D753F5"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32EA99B1" w14:textId="77777777" w:rsidR="00D753F5" w:rsidRPr="00B44B19" w:rsidRDefault="00D753F5" w:rsidP="00966138">
            <w:pPr>
              <w:spacing w:after="0" w:line="240" w:lineRule="auto"/>
              <w:jc w:val="both"/>
              <w:rPr>
                <w:rFonts w:cs="Times New Roman"/>
                <w:strike/>
                <w:noProof/>
                <w:sz w:val="16"/>
                <w:szCs w:val="16"/>
              </w:rPr>
            </w:pPr>
            <w:r w:rsidRPr="00B44B19">
              <w:rPr>
                <w:rFonts w:cs="Times New Roman"/>
                <w:noProof/>
                <w:sz w:val="16"/>
                <w:szCs w:val="16"/>
              </w:rPr>
              <w:t>SaF</w:t>
            </w:r>
          </w:p>
        </w:tc>
        <w:tc>
          <w:tcPr>
            <w:tcW w:w="503" w:type="pct"/>
            <w:tcBorders>
              <w:top w:val="single" w:sz="4" w:space="0" w:color="auto"/>
              <w:bottom w:val="single" w:sz="4" w:space="0" w:color="auto"/>
            </w:tcBorders>
          </w:tcPr>
          <w:p w14:paraId="6D16FA62" w14:textId="77777777" w:rsidR="00D753F5" w:rsidRPr="00B44B19" w:rsidRDefault="00D753F5" w:rsidP="00966138">
            <w:pPr>
              <w:spacing w:after="0" w:line="240" w:lineRule="auto"/>
              <w:jc w:val="both"/>
              <w:rPr>
                <w:rFonts w:cs="Times New Roman"/>
                <w:strike/>
                <w:noProof/>
                <w:sz w:val="16"/>
                <w:szCs w:val="16"/>
              </w:rPr>
            </w:pPr>
            <w:r w:rsidRPr="00B44B19">
              <w:rPr>
                <w:rFonts w:cs="Times New Roman"/>
                <w:noProof/>
                <w:sz w:val="16"/>
                <w:szCs w:val="16"/>
              </w:rPr>
              <w:t>Visa Lietuva</w:t>
            </w:r>
          </w:p>
        </w:tc>
        <w:tc>
          <w:tcPr>
            <w:tcW w:w="639" w:type="pct"/>
            <w:tcBorders>
              <w:top w:val="single" w:sz="4" w:space="0" w:color="auto"/>
              <w:bottom w:val="single" w:sz="4" w:space="0" w:color="auto"/>
            </w:tcBorders>
          </w:tcPr>
          <w:p w14:paraId="25906EB3" w14:textId="77777777" w:rsidR="00D753F5" w:rsidRPr="00B44B19" w:rsidRDefault="00B06069" w:rsidP="005B66F2">
            <w:pPr>
              <w:spacing w:after="0" w:line="240" w:lineRule="auto"/>
              <w:jc w:val="both"/>
              <w:rPr>
                <w:rFonts w:eastAsia="Calibri" w:cs="Times New Roman"/>
                <w:strike/>
                <w:sz w:val="16"/>
                <w:szCs w:val="16"/>
                <w:lang w:eastAsia="lt-LT" w:bidi="lt-LT"/>
              </w:rPr>
            </w:pPr>
            <w:r w:rsidRPr="00B44B19">
              <w:rPr>
                <w:rFonts w:cs="Times New Roman"/>
                <w:sz w:val="16"/>
                <w:szCs w:val="16"/>
                <w:lang w:eastAsia="lt-LT"/>
              </w:rPr>
              <w:t>Specialusis</w:t>
            </w:r>
          </w:p>
        </w:tc>
        <w:tc>
          <w:tcPr>
            <w:tcW w:w="935" w:type="pct"/>
            <w:tcBorders>
              <w:top w:val="single" w:sz="4" w:space="0" w:color="auto"/>
              <w:bottom w:val="single" w:sz="4" w:space="0" w:color="auto"/>
            </w:tcBorders>
          </w:tcPr>
          <w:p w14:paraId="30F38E7D" w14:textId="77777777" w:rsidR="00D753F5" w:rsidRPr="00B44B19" w:rsidRDefault="00BA56A5" w:rsidP="005B66F2">
            <w:pPr>
              <w:tabs>
                <w:tab w:val="left" w:pos="7560"/>
              </w:tabs>
              <w:spacing w:after="0" w:line="240" w:lineRule="auto"/>
              <w:jc w:val="both"/>
              <w:rPr>
                <w:rFonts w:cs="Times New Roman"/>
                <w:strike/>
                <w:sz w:val="20"/>
                <w:szCs w:val="20"/>
              </w:rPr>
            </w:pPr>
            <w:r w:rsidRPr="00B44B19">
              <w:rPr>
                <w:rFonts w:cs="Times New Roman"/>
                <w:sz w:val="16"/>
                <w:szCs w:val="16"/>
              </w:rPr>
              <w:t>Paramą gavusios įmonės (iš kurių: labai mažos, mažosios, vidutinės ir didelės)</w:t>
            </w:r>
          </w:p>
        </w:tc>
        <w:tc>
          <w:tcPr>
            <w:tcW w:w="505" w:type="pct"/>
            <w:tcBorders>
              <w:top w:val="single" w:sz="4" w:space="0" w:color="auto"/>
              <w:bottom w:val="single" w:sz="4" w:space="0" w:color="auto"/>
            </w:tcBorders>
          </w:tcPr>
          <w:p w14:paraId="0AAE1380" w14:textId="77777777" w:rsidR="00D753F5" w:rsidRPr="00B44B19" w:rsidRDefault="00D753F5" w:rsidP="005B66F2">
            <w:pPr>
              <w:spacing w:after="0" w:line="240" w:lineRule="auto"/>
              <w:jc w:val="both"/>
              <w:rPr>
                <w:rFonts w:cs="Times New Roman"/>
                <w:strike/>
                <w:noProof/>
                <w:sz w:val="16"/>
                <w:szCs w:val="16"/>
              </w:rPr>
            </w:pPr>
            <w:r w:rsidRPr="00B44B19">
              <w:rPr>
                <w:rFonts w:cs="Times New Roman"/>
                <w:noProof/>
                <w:sz w:val="16"/>
                <w:szCs w:val="16"/>
              </w:rPr>
              <w:t>Įmonės</w:t>
            </w:r>
          </w:p>
        </w:tc>
        <w:tc>
          <w:tcPr>
            <w:tcW w:w="436" w:type="pct"/>
            <w:tcBorders>
              <w:top w:val="single" w:sz="4" w:space="0" w:color="auto"/>
              <w:bottom w:val="single" w:sz="4" w:space="0" w:color="auto"/>
            </w:tcBorders>
          </w:tcPr>
          <w:p w14:paraId="532ED0EB" w14:textId="279DDC58" w:rsidR="00D753F5" w:rsidRPr="00B44B19" w:rsidRDefault="00F75618" w:rsidP="00A574F0">
            <w:pPr>
              <w:spacing w:after="0" w:line="240" w:lineRule="auto"/>
              <w:jc w:val="center"/>
              <w:rPr>
                <w:rFonts w:cs="Times New Roman"/>
                <w:strike/>
                <w:noProof/>
                <w:sz w:val="16"/>
                <w:szCs w:val="16"/>
              </w:rPr>
            </w:pPr>
            <w:r w:rsidRPr="00B44B19">
              <w:rPr>
                <w:rFonts w:cs="Times New Roman"/>
                <w:noProof/>
                <w:sz w:val="16"/>
                <w:szCs w:val="16"/>
                <w:lang w:val="en-US"/>
              </w:rPr>
              <w:t>67</w:t>
            </w:r>
          </w:p>
        </w:tc>
        <w:tc>
          <w:tcPr>
            <w:tcW w:w="480" w:type="pct"/>
            <w:tcBorders>
              <w:top w:val="single" w:sz="4" w:space="0" w:color="auto"/>
              <w:bottom w:val="single" w:sz="4" w:space="0" w:color="auto"/>
            </w:tcBorders>
          </w:tcPr>
          <w:p w14:paraId="4611A2C9" w14:textId="3E46E498" w:rsidR="00D753F5" w:rsidRPr="00B44B19" w:rsidRDefault="00BF576F" w:rsidP="00A574F0">
            <w:pPr>
              <w:spacing w:after="0" w:line="240" w:lineRule="auto"/>
              <w:jc w:val="center"/>
              <w:rPr>
                <w:rFonts w:cs="Times New Roman"/>
                <w:strike/>
                <w:noProof/>
                <w:sz w:val="16"/>
                <w:szCs w:val="16"/>
              </w:rPr>
            </w:pPr>
            <w:r w:rsidRPr="00B44B19">
              <w:rPr>
                <w:rFonts w:cs="Times New Roman"/>
                <w:noProof/>
                <w:sz w:val="16"/>
                <w:szCs w:val="16"/>
              </w:rPr>
              <w:t>56</w:t>
            </w:r>
          </w:p>
        </w:tc>
      </w:tr>
      <w:tr w:rsidR="005A6CE6" w:rsidRPr="00B44B19" w14:paraId="0EA68DB1" w14:textId="77777777" w:rsidTr="004952F4">
        <w:trPr>
          <w:trHeight w:val="301"/>
        </w:trPr>
        <w:tc>
          <w:tcPr>
            <w:tcW w:w="567" w:type="pct"/>
            <w:vMerge/>
            <w:tcBorders>
              <w:top w:val="single" w:sz="12" w:space="0" w:color="auto"/>
            </w:tcBorders>
          </w:tcPr>
          <w:p w14:paraId="3EC1ADFA" w14:textId="77777777" w:rsidR="005A6CE6" w:rsidRPr="00B44B19"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273C25EA" w14:textId="77777777" w:rsidR="005A6CE6" w:rsidRPr="00B44B19"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49875088" w14:textId="77777777" w:rsidR="005A6CE6" w:rsidRPr="00B44B19" w:rsidRDefault="005A6CE6" w:rsidP="005B66F2">
            <w:pPr>
              <w:spacing w:after="0" w:line="240" w:lineRule="auto"/>
              <w:jc w:val="both"/>
              <w:rPr>
                <w:rFonts w:cs="Times New Roman"/>
                <w:strike/>
                <w:noProof/>
                <w:sz w:val="16"/>
                <w:szCs w:val="16"/>
              </w:rPr>
            </w:pPr>
            <w:r w:rsidRPr="00B44B19">
              <w:rPr>
                <w:rFonts w:cs="Times New Roman"/>
                <w:noProof/>
                <w:sz w:val="16"/>
                <w:szCs w:val="16"/>
              </w:rPr>
              <w:t>ERPF</w:t>
            </w:r>
          </w:p>
        </w:tc>
        <w:tc>
          <w:tcPr>
            <w:tcW w:w="503" w:type="pct"/>
            <w:tcBorders>
              <w:top w:val="single" w:sz="4" w:space="0" w:color="auto"/>
              <w:bottom w:val="single" w:sz="4" w:space="0" w:color="auto"/>
            </w:tcBorders>
          </w:tcPr>
          <w:p w14:paraId="67295908" w14:textId="77777777" w:rsidR="005A6CE6" w:rsidRPr="00B44B19" w:rsidRDefault="005A6CE6" w:rsidP="005B66F2">
            <w:pPr>
              <w:spacing w:after="0" w:line="240" w:lineRule="auto"/>
              <w:jc w:val="both"/>
              <w:rPr>
                <w:rFonts w:cs="Times New Roman"/>
                <w:strike/>
                <w:noProof/>
                <w:sz w:val="16"/>
                <w:szCs w:val="16"/>
              </w:rPr>
            </w:pPr>
            <w:r w:rsidRPr="00B44B19">
              <w:rPr>
                <w:rFonts w:cs="Times New Roman"/>
                <w:noProof/>
                <w:sz w:val="16"/>
                <w:szCs w:val="16"/>
              </w:rPr>
              <w:t>VVL regionas</w:t>
            </w:r>
          </w:p>
        </w:tc>
        <w:tc>
          <w:tcPr>
            <w:tcW w:w="639" w:type="pct"/>
            <w:tcBorders>
              <w:top w:val="single" w:sz="4" w:space="0" w:color="auto"/>
              <w:bottom w:val="single" w:sz="4" w:space="0" w:color="auto"/>
            </w:tcBorders>
          </w:tcPr>
          <w:p w14:paraId="384969C3" w14:textId="77777777" w:rsidR="005A6CE6" w:rsidRPr="00B44B19" w:rsidRDefault="005A6CE6" w:rsidP="005B66F2">
            <w:pPr>
              <w:spacing w:after="0" w:line="240" w:lineRule="auto"/>
              <w:jc w:val="both"/>
              <w:rPr>
                <w:rFonts w:eastAsia="Calibri" w:cs="Times New Roman"/>
                <w:strike/>
                <w:sz w:val="16"/>
                <w:szCs w:val="16"/>
                <w:lang w:eastAsia="lt-LT" w:bidi="lt-LT"/>
              </w:rPr>
            </w:pPr>
            <w:r w:rsidRPr="00B44B19">
              <w:rPr>
                <w:rFonts w:cs="Times New Roman"/>
                <w:sz w:val="16"/>
                <w:szCs w:val="16"/>
                <w:lang w:eastAsia="lt-LT"/>
              </w:rPr>
              <w:t>RCO0</w:t>
            </w:r>
            <w:r w:rsidRPr="00B44B19">
              <w:rPr>
                <w:rFonts w:cs="Times New Roman"/>
                <w:sz w:val="16"/>
                <w:szCs w:val="16"/>
                <w:lang w:val="en-US" w:eastAsia="lt-LT"/>
              </w:rPr>
              <w:t>2</w:t>
            </w:r>
          </w:p>
        </w:tc>
        <w:tc>
          <w:tcPr>
            <w:tcW w:w="935" w:type="pct"/>
            <w:tcBorders>
              <w:top w:val="single" w:sz="4" w:space="0" w:color="auto"/>
              <w:bottom w:val="single" w:sz="4" w:space="0" w:color="auto"/>
            </w:tcBorders>
          </w:tcPr>
          <w:p w14:paraId="736B4038" w14:textId="77777777" w:rsidR="005A6CE6" w:rsidRPr="00B44B19" w:rsidRDefault="005A6CE6" w:rsidP="005B66F2">
            <w:pPr>
              <w:tabs>
                <w:tab w:val="left" w:pos="7560"/>
              </w:tabs>
              <w:spacing w:after="0" w:line="240" w:lineRule="auto"/>
              <w:jc w:val="both"/>
              <w:rPr>
                <w:rFonts w:cs="Times New Roman"/>
                <w:strike/>
                <w:sz w:val="20"/>
                <w:szCs w:val="20"/>
              </w:rPr>
            </w:pPr>
            <w:r w:rsidRPr="00B44B19">
              <w:rPr>
                <w:rFonts w:cs="Times New Roman"/>
                <w:sz w:val="16"/>
                <w:szCs w:val="16"/>
                <w:lang w:eastAsia="en-GB"/>
              </w:rPr>
              <w:t>Paramą dotacijomis gavusios įmonės</w:t>
            </w:r>
          </w:p>
        </w:tc>
        <w:tc>
          <w:tcPr>
            <w:tcW w:w="505" w:type="pct"/>
            <w:tcBorders>
              <w:top w:val="single" w:sz="4" w:space="0" w:color="auto"/>
              <w:bottom w:val="single" w:sz="4" w:space="0" w:color="auto"/>
            </w:tcBorders>
          </w:tcPr>
          <w:p w14:paraId="748B9123" w14:textId="77777777" w:rsidR="005A6CE6" w:rsidRPr="00B44B19" w:rsidRDefault="005A6CE6" w:rsidP="005B66F2">
            <w:pPr>
              <w:spacing w:after="0" w:line="240" w:lineRule="auto"/>
              <w:jc w:val="both"/>
              <w:rPr>
                <w:rFonts w:cs="Times New Roman"/>
                <w:strike/>
                <w:noProof/>
                <w:sz w:val="16"/>
                <w:szCs w:val="16"/>
              </w:rPr>
            </w:pPr>
            <w:r w:rsidRPr="00B44B19">
              <w:rPr>
                <w:rFonts w:cs="Times New Roman"/>
                <w:noProof/>
                <w:sz w:val="16"/>
                <w:szCs w:val="16"/>
              </w:rPr>
              <w:t>Įmonės</w:t>
            </w:r>
          </w:p>
        </w:tc>
        <w:tc>
          <w:tcPr>
            <w:tcW w:w="436" w:type="pct"/>
            <w:tcBorders>
              <w:top w:val="single" w:sz="4" w:space="0" w:color="auto"/>
              <w:bottom w:val="single" w:sz="4" w:space="0" w:color="auto"/>
            </w:tcBorders>
          </w:tcPr>
          <w:p w14:paraId="294BE207" w14:textId="18163441" w:rsidR="005A6CE6" w:rsidRPr="00B44B19" w:rsidRDefault="00F75618" w:rsidP="005B66F2">
            <w:pPr>
              <w:spacing w:after="0" w:line="240" w:lineRule="auto"/>
              <w:jc w:val="center"/>
              <w:rPr>
                <w:rFonts w:cs="Times New Roman"/>
                <w:strike/>
                <w:noProof/>
                <w:sz w:val="16"/>
                <w:szCs w:val="16"/>
              </w:rPr>
            </w:pPr>
            <w:r w:rsidRPr="00B44B19">
              <w:rPr>
                <w:rFonts w:cs="Times New Roman"/>
                <w:noProof/>
                <w:sz w:val="16"/>
                <w:szCs w:val="16"/>
              </w:rPr>
              <w:t>62</w:t>
            </w:r>
          </w:p>
        </w:tc>
        <w:tc>
          <w:tcPr>
            <w:tcW w:w="480" w:type="pct"/>
            <w:tcBorders>
              <w:top w:val="single" w:sz="4" w:space="0" w:color="auto"/>
              <w:bottom w:val="single" w:sz="4" w:space="0" w:color="auto"/>
            </w:tcBorders>
          </w:tcPr>
          <w:p w14:paraId="5F2AF930" w14:textId="40BC7D73" w:rsidR="005A6CE6" w:rsidRPr="00B44B19" w:rsidRDefault="00BF576F" w:rsidP="005B66F2">
            <w:pPr>
              <w:spacing w:after="0" w:line="240" w:lineRule="auto"/>
              <w:jc w:val="center"/>
              <w:rPr>
                <w:rFonts w:cs="Times New Roman"/>
                <w:strike/>
                <w:noProof/>
                <w:sz w:val="16"/>
                <w:szCs w:val="16"/>
              </w:rPr>
            </w:pPr>
            <w:r w:rsidRPr="00B44B19">
              <w:rPr>
                <w:rFonts w:cs="Times New Roman"/>
                <w:noProof/>
                <w:sz w:val="16"/>
                <w:szCs w:val="16"/>
              </w:rPr>
              <w:t>125</w:t>
            </w:r>
          </w:p>
        </w:tc>
      </w:tr>
      <w:tr w:rsidR="005A6CE6" w:rsidRPr="00B44B19" w14:paraId="39D82915" w14:textId="77777777" w:rsidTr="004952F4">
        <w:trPr>
          <w:trHeight w:val="321"/>
        </w:trPr>
        <w:tc>
          <w:tcPr>
            <w:tcW w:w="567" w:type="pct"/>
            <w:vMerge/>
            <w:tcBorders>
              <w:top w:val="single" w:sz="12" w:space="0" w:color="auto"/>
            </w:tcBorders>
          </w:tcPr>
          <w:p w14:paraId="26967E51" w14:textId="77777777" w:rsidR="005A6CE6" w:rsidRPr="00B44B19"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7678BA0C" w14:textId="77777777" w:rsidR="005A6CE6" w:rsidRPr="00B44B19"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10864949" w14:textId="77777777" w:rsidR="005A6CE6" w:rsidRPr="00B44B19" w:rsidRDefault="005A6CE6" w:rsidP="00966138">
            <w:pPr>
              <w:spacing w:after="0" w:line="240" w:lineRule="auto"/>
              <w:jc w:val="both"/>
              <w:rPr>
                <w:rFonts w:cs="Times New Roman"/>
                <w:strike/>
                <w:noProof/>
                <w:sz w:val="16"/>
                <w:szCs w:val="16"/>
              </w:rPr>
            </w:pPr>
            <w:r w:rsidRPr="00B44B19">
              <w:rPr>
                <w:rFonts w:cs="Times New Roman"/>
                <w:noProof/>
                <w:sz w:val="16"/>
                <w:szCs w:val="16"/>
              </w:rPr>
              <w:t>SaF</w:t>
            </w:r>
          </w:p>
        </w:tc>
        <w:tc>
          <w:tcPr>
            <w:tcW w:w="503" w:type="pct"/>
            <w:tcBorders>
              <w:top w:val="single" w:sz="4" w:space="0" w:color="auto"/>
              <w:bottom w:val="single" w:sz="4" w:space="0" w:color="auto"/>
            </w:tcBorders>
          </w:tcPr>
          <w:p w14:paraId="0AB630CB" w14:textId="77777777" w:rsidR="005A6CE6" w:rsidRPr="00B44B19" w:rsidRDefault="005A6CE6" w:rsidP="00966138">
            <w:pPr>
              <w:spacing w:after="0" w:line="240" w:lineRule="auto"/>
              <w:jc w:val="both"/>
              <w:rPr>
                <w:rFonts w:cs="Times New Roman"/>
                <w:strike/>
                <w:noProof/>
                <w:sz w:val="16"/>
                <w:szCs w:val="16"/>
              </w:rPr>
            </w:pPr>
            <w:r w:rsidRPr="00B44B19">
              <w:rPr>
                <w:rFonts w:cs="Times New Roman"/>
                <w:noProof/>
                <w:sz w:val="16"/>
                <w:szCs w:val="16"/>
              </w:rPr>
              <w:t>Visa Lietuva</w:t>
            </w:r>
          </w:p>
        </w:tc>
        <w:tc>
          <w:tcPr>
            <w:tcW w:w="639" w:type="pct"/>
            <w:tcBorders>
              <w:top w:val="single" w:sz="4" w:space="0" w:color="auto"/>
              <w:bottom w:val="single" w:sz="4" w:space="0" w:color="auto"/>
            </w:tcBorders>
          </w:tcPr>
          <w:p w14:paraId="0A7A82DD" w14:textId="77777777" w:rsidR="005A6CE6" w:rsidRPr="00B44B19" w:rsidRDefault="00B06069" w:rsidP="005B66F2">
            <w:pPr>
              <w:spacing w:after="0" w:line="240" w:lineRule="auto"/>
              <w:jc w:val="both"/>
              <w:rPr>
                <w:rFonts w:eastAsia="Calibri" w:cs="Times New Roman"/>
                <w:strike/>
                <w:sz w:val="16"/>
                <w:szCs w:val="16"/>
                <w:lang w:eastAsia="lt-LT" w:bidi="lt-LT"/>
              </w:rPr>
            </w:pPr>
            <w:r w:rsidRPr="00B44B19">
              <w:rPr>
                <w:rFonts w:cs="Times New Roman"/>
                <w:sz w:val="16"/>
                <w:szCs w:val="16"/>
                <w:lang w:eastAsia="lt-LT"/>
              </w:rPr>
              <w:t>Specialusis</w:t>
            </w:r>
          </w:p>
        </w:tc>
        <w:tc>
          <w:tcPr>
            <w:tcW w:w="935" w:type="pct"/>
            <w:tcBorders>
              <w:top w:val="single" w:sz="4" w:space="0" w:color="auto"/>
              <w:bottom w:val="single" w:sz="4" w:space="0" w:color="auto"/>
            </w:tcBorders>
          </w:tcPr>
          <w:p w14:paraId="18FB04B8" w14:textId="77777777" w:rsidR="005A6CE6" w:rsidRPr="00B44B19" w:rsidRDefault="005A6CE6" w:rsidP="005B66F2">
            <w:pPr>
              <w:tabs>
                <w:tab w:val="left" w:pos="7560"/>
              </w:tabs>
              <w:spacing w:after="0" w:line="240" w:lineRule="auto"/>
              <w:jc w:val="both"/>
              <w:rPr>
                <w:rFonts w:cs="Times New Roman"/>
                <w:strike/>
                <w:sz w:val="20"/>
                <w:szCs w:val="20"/>
              </w:rPr>
            </w:pPr>
            <w:r w:rsidRPr="00B44B19">
              <w:rPr>
                <w:rFonts w:cs="Times New Roman"/>
                <w:sz w:val="16"/>
                <w:szCs w:val="16"/>
                <w:lang w:eastAsia="en-GB"/>
              </w:rPr>
              <w:t>Paramą dotacijomis gavusios įmonės</w:t>
            </w:r>
          </w:p>
        </w:tc>
        <w:tc>
          <w:tcPr>
            <w:tcW w:w="505" w:type="pct"/>
            <w:tcBorders>
              <w:top w:val="single" w:sz="4" w:space="0" w:color="auto"/>
              <w:bottom w:val="single" w:sz="4" w:space="0" w:color="auto"/>
            </w:tcBorders>
          </w:tcPr>
          <w:p w14:paraId="70F0D5AA" w14:textId="77777777" w:rsidR="005A6CE6" w:rsidRPr="00B44B19" w:rsidRDefault="005A6CE6" w:rsidP="005B66F2">
            <w:pPr>
              <w:spacing w:after="0" w:line="240" w:lineRule="auto"/>
              <w:jc w:val="both"/>
              <w:rPr>
                <w:rFonts w:cs="Times New Roman"/>
                <w:strike/>
                <w:noProof/>
                <w:sz w:val="16"/>
                <w:szCs w:val="16"/>
              </w:rPr>
            </w:pPr>
            <w:r w:rsidRPr="00B44B19">
              <w:rPr>
                <w:rFonts w:cs="Times New Roman"/>
                <w:noProof/>
                <w:sz w:val="16"/>
                <w:szCs w:val="16"/>
              </w:rPr>
              <w:t>Įmonės</w:t>
            </w:r>
          </w:p>
        </w:tc>
        <w:tc>
          <w:tcPr>
            <w:tcW w:w="436" w:type="pct"/>
            <w:tcBorders>
              <w:top w:val="single" w:sz="4" w:space="0" w:color="auto"/>
              <w:bottom w:val="single" w:sz="4" w:space="0" w:color="auto"/>
            </w:tcBorders>
          </w:tcPr>
          <w:p w14:paraId="6241DE41" w14:textId="77777777" w:rsidR="005A6CE6" w:rsidRPr="00B44B19" w:rsidRDefault="000B70FA" w:rsidP="005B66F2">
            <w:pPr>
              <w:spacing w:after="0" w:line="240" w:lineRule="auto"/>
              <w:jc w:val="center"/>
              <w:rPr>
                <w:rFonts w:cs="Times New Roman"/>
                <w:strike/>
                <w:noProof/>
                <w:sz w:val="16"/>
                <w:szCs w:val="16"/>
              </w:rPr>
            </w:pPr>
            <w:r w:rsidRPr="00B44B19">
              <w:rPr>
                <w:rFonts w:cs="Times New Roman"/>
                <w:noProof/>
                <w:sz w:val="16"/>
                <w:szCs w:val="16"/>
              </w:rPr>
              <w:t>66</w:t>
            </w:r>
          </w:p>
        </w:tc>
        <w:tc>
          <w:tcPr>
            <w:tcW w:w="480" w:type="pct"/>
            <w:tcBorders>
              <w:top w:val="single" w:sz="4" w:space="0" w:color="auto"/>
              <w:bottom w:val="single" w:sz="4" w:space="0" w:color="auto"/>
            </w:tcBorders>
          </w:tcPr>
          <w:p w14:paraId="13F85B6D" w14:textId="1A2583A4" w:rsidR="005A6CE6" w:rsidRPr="00B44B19" w:rsidRDefault="00BF576F" w:rsidP="005B66F2">
            <w:pPr>
              <w:spacing w:after="0" w:line="240" w:lineRule="auto"/>
              <w:jc w:val="center"/>
              <w:rPr>
                <w:rFonts w:cs="Times New Roman"/>
                <w:strike/>
                <w:noProof/>
                <w:sz w:val="16"/>
                <w:szCs w:val="16"/>
              </w:rPr>
            </w:pPr>
            <w:r w:rsidRPr="00B44B19">
              <w:rPr>
                <w:rFonts w:cs="Times New Roman"/>
                <w:noProof/>
                <w:sz w:val="16"/>
                <w:szCs w:val="16"/>
              </w:rPr>
              <w:t>53</w:t>
            </w:r>
          </w:p>
        </w:tc>
      </w:tr>
      <w:tr w:rsidR="005A6CE6" w:rsidRPr="00B44B19" w14:paraId="72A8CD68" w14:textId="77777777" w:rsidTr="004952F4">
        <w:trPr>
          <w:trHeight w:val="461"/>
        </w:trPr>
        <w:tc>
          <w:tcPr>
            <w:tcW w:w="567" w:type="pct"/>
            <w:vMerge/>
            <w:tcBorders>
              <w:top w:val="single" w:sz="12" w:space="0" w:color="auto"/>
            </w:tcBorders>
          </w:tcPr>
          <w:p w14:paraId="34ACE538" w14:textId="77777777" w:rsidR="005A6CE6" w:rsidRPr="00B44B19"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67E25FF8" w14:textId="77777777" w:rsidR="005A6CE6" w:rsidRPr="00B44B19"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7288A9FF" w14:textId="77777777" w:rsidR="005A6CE6" w:rsidRPr="00B44B19" w:rsidRDefault="005A6CE6" w:rsidP="00D753F5">
            <w:pPr>
              <w:spacing w:after="0" w:line="240" w:lineRule="auto"/>
              <w:jc w:val="both"/>
              <w:rPr>
                <w:rFonts w:cs="Times New Roman"/>
                <w:noProof/>
                <w:sz w:val="16"/>
                <w:szCs w:val="16"/>
              </w:rPr>
            </w:pPr>
            <w:r w:rsidRPr="00B44B19">
              <w:rPr>
                <w:rFonts w:cs="Times New Roman"/>
                <w:noProof/>
                <w:sz w:val="16"/>
                <w:szCs w:val="16"/>
              </w:rPr>
              <w:t>SaF</w:t>
            </w:r>
          </w:p>
        </w:tc>
        <w:tc>
          <w:tcPr>
            <w:tcW w:w="503" w:type="pct"/>
            <w:tcBorders>
              <w:top w:val="single" w:sz="4" w:space="0" w:color="auto"/>
              <w:bottom w:val="single" w:sz="4" w:space="0" w:color="auto"/>
            </w:tcBorders>
          </w:tcPr>
          <w:p w14:paraId="7FEE93F8" w14:textId="77777777" w:rsidR="005A6CE6" w:rsidRPr="00B44B19" w:rsidRDefault="005A6CE6" w:rsidP="00D753F5">
            <w:pPr>
              <w:spacing w:after="0" w:line="240" w:lineRule="auto"/>
              <w:jc w:val="both"/>
              <w:rPr>
                <w:rFonts w:cs="Times New Roman"/>
                <w:noProof/>
                <w:sz w:val="16"/>
                <w:szCs w:val="16"/>
              </w:rPr>
            </w:pPr>
            <w:r w:rsidRPr="00B44B19">
              <w:rPr>
                <w:rFonts w:cs="Times New Roman"/>
                <w:noProof/>
                <w:sz w:val="16"/>
                <w:szCs w:val="16"/>
              </w:rPr>
              <w:t>Visa Lietuva</w:t>
            </w:r>
          </w:p>
        </w:tc>
        <w:tc>
          <w:tcPr>
            <w:tcW w:w="639" w:type="pct"/>
            <w:tcBorders>
              <w:top w:val="single" w:sz="4" w:space="0" w:color="auto"/>
              <w:bottom w:val="single" w:sz="4" w:space="0" w:color="auto"/>
            </w:tcBorders>
          </w:tcPr>
          <w:p w14:paraId="7EAF8681" w14:textId="77777777" w:rsidR="005A6CE6" w:rsidRPr="00B44B19" w:rsidRDefault="001E6827" w:rsidP="005B66F2">
            <w:pPr>
              <w:spacing w:after="0" w:line="240" w:lineRule="auto"/>
              <w:jc w:val="both"/>
              <w:rPr>
                <w:rFonts w:cs="Times New Roman"/>
                <w:sz w:val="16"/>
                <w:szCs w:val="16"/>
                <w:lang w:eastAsia="lt-LT"/>
              </w:rPr>
            </w:pPr>
            <w:r w:rsidRPr="00B44B19">
              <w:rPr>
                <w:rFonts w:cs="Times New Roman"/>
                <w:sz w:val="16"/>
                <w:szCs w:val="16"/>
                <w:lang w:eastAsia="lt-LT"/>
              </w:rPr>
              <w:t>Specialusis</w:t>
            </w:r>
          </w:p>
        </w:tc>
        <w:tc>
          <w:tcPr>
            <w:tcW w:w="935" w:type="pct"/>
            <w:tcBorders>
              <w:top w:val="single" w:sz="4" w:space="0" w:color="auto"/>
              <w:bottom w:val="single" w:sz="4" w:space="0" w:color="auto"/>
            </w:tcBorders>
          </w:tcPr>
          <w:p w14:paraId="2EC7F4FB" w14:textId="77777777" w:rsidR="005A6CE6" w:rsidRPr="00B44B19" w:rsidRDefault="005A6CE6" w:rsidP="005B66F2">
            <w:pPr>
              <w:tabs>
                <w:tab w:val="left" w:pos="7560"/>
              </w:tabs>
              <w:spacing w:after="0" w:line="240" w:lineRule="auto"/>
              <w:jc w:val="both"/>
              <w:rPr>
                <w:rFonts w:cs="Times New Roman"/>
                <w:sz w:val="16"/>
                <w:szCs w:val="16"/>
                <w:lang w:eastAsia="en-GB"/>
              </w:rPr>
            </w:pPr>
            <w:r w:rsidRPr="00B44B19">
              <w:rPr>
                <w:rFonts w:cs="Times New Roman"/>
                <w:sz w:val="16"/>
                <w:szCs w:val="16"/>
                <w:lang w:eastAsia="en-GB"/>
              </w:rPr>
              <w:t>Paramą finansinėmis priemonėmis gavusios įmonės</w:t>
            </w:r>
          </w:p>
        </w:tc>
        <w:tc>
          <w:tcPr>
            <w:tcW w:w="505" w:type="pct"/>
            <w:tcBorders>
              <w:top w:val="single" w:sz="4" w:space="0" w:color="auto"/>
              <w:bottom w:val="single" w:sz="4" w:space="0" w:color="auto"/>
            </w:tcBorders>
          </w:tcPr>
          <w:p w14:paraId="480E0D3C"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Įmonės</w:t>
            </w:r>
          </w:p>
        </w:tc>
        <w:tc>
          <w:tcPr>
            <w:tcW w:w="436" w:type="pct"/>
            <w:tcBorders>
              <w:top w:val="single" w:sz="4" w:space="0" w:color="auto"/>
              <w:bottom w:val="single" w:sz="4" w:space="0" w:color="auto"/>
            </w:tcBorders>
          </w:tcPr>
          <w:p w14:paraId="5E1E9EA5" w14:textId="5FA5327A" w:rsidR="005A6CE6" w:rsidRPr="00B44B19" w:rsidRDefault="00F75618" w:rsidP="005B66F2">
            <w:pPr>
              <w:spacing w:after="0" w:line="240" w:lineRule="auto"/>
              <w:jc w:val="center"/>
              <w:rPr>
                <w:rFonts w:cs="Times New Roman"/>
                <w:noProof/>
                <w:sz w:val="16"/>
                <w:szCs w:val="16"/>
              </w:rPr>
            </w:pPr>
            <w:r w:rsidRPr="00B44B19">
              <w:rPr>
                <w:rFonts w:cs="Times New Roman"/>
                <w:noProof/>
                <w:sz w:val="16"/>
                <w:szCs w:val="16"/>
              </w:rPr>
              <w:t>1</w:t>
            </w:r>
          </w:p>
        </w:tc>
        <w:tc>
          <w:tcPr>
            <w:tcW w:w="480" w:type="pct"/>
            <w:tcBorders>
              <w:top w:val="single" w:sz="4" w:space="0" w:color="auto"/>
              <w:bottom w:val="single" w:sz="4" w:space="0" w:color="auto"/>
            </w:tcBorders>
          </w:tcPr>
          <w:p w14:paraId="57B916B4" w14:textId="5F8E524D" w:rsidR="005A6CE6" w:rsidRPr="00B44B19" w:rsidRDefault="00F75618" w:rsidP="005B66F2">
            <w:pPr>
              <w:spacing w:after="0" w:line="240" w:lineRule="auto"/>
              <w:jc w:val="center"/>
              <w:rPr>
                <w:rFonts w:cs="Times New Roman"/>
                <w:noProof/>
                <w:sz w:val="16"/>
                <w:szCs w:val="16"/>
              </w:rPr>
            </w:pPr>
            <w:r w:rsidRPr="00B44B19">
              <w:rPr>
                <w:rFonts w:cs="Times New Roman"/>
                <w:noProof/>
                <w:sz w:val="16"/>
                <w:szCs w:val="16"/>
                <w:lang w:val="en-GB"/>
              </w:rPr>
              <w:t>3</w:t>
            </w:r>
          </w:p>
        </w:tc>
      </w:tr>
      <w:tr w:rsidR="005A6CE6" w:rsidRPr="00B44B19" w14:paraId="53A64785" w14:textId="77777777" w:rsidTr="004952F4">
        <w:trPr>
          <w:trHeight w:val="461"/>
        </w:trPr>
        <w:tc>
          <w:tcPr>
            <w:tcW w:w="567" w:type="pct"/>
            <w:vMerge/>
            <w:tcBorders>
              <w:top w:val="single" w:sz="12" w:space="0" w:color="auto"/>
            </w:tcBorders>
          </w:tcPr>
          <w:p w14:paraId="50DCFCB3" w14:textId="77777777" w:rsidR="005A6CE6" w:rsidRPr="00B44B19"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48D74AD9" w14:textId="77777777" w:rsidR="005A6CE6" w:rsidRPr="00B44B19"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065F4F49" w14:textId="77777777" w:rsidR="005A6CE6" w:rsidRPr="00B44B19" w:rsidRDefault="005A6CE6" w:rsidP="00D753F5">
            <w:pPr>
              <w:spacing w:after="0" w:line="240" w:lineRule="auto"/>
              <w:jc w:val="both"/>
              <w:rPr>
                <w:rFonts w:cs="Times New Roman"/>
                <w:noProof/>
                <w:sz w:val="16"/>
                <w:szCs w:val="16"/>
              </w:rPr>
            </w:pPr>
            <w:r w:rsidRPr="00B44B19">
              <w:rPr>
                <w:rFonts w:cs="Times New Roman"/>
                <w:noProof/>
                <w:sz w:val="16"/>
                <w:szCs w:val="16"/>
              </w:rPr>
              <w:t>ERPF</w:t>
            </w:r>
          </w:p>
        </w:tc>
        <w:tc>
          <w:tcPr>
            <w:tcW w:w="503" w:type="pct"/>
            <w:tcBorders>
              <w:top w:val="single" w:sz="4" w:space="0" w:color="auto"/>
              <w:bottom w:val="single" w:sz="4" w:space="0" w:color="auto"/>
            </w:tcBorders>
          </w:tcPr>
          <w:p w14:paraId="11715EF1" w14:textId="77777777" w:rsidR="005A6CE6" w:rsidRPr="00B44B19" w:rsidRDefault="005A6CE6" w:rsidP="00D753F5">
            <w:pPr>
              <w:spacing w:after="0" w:line="240" w:lineRule="auto"/>
              <w:jc w:val="both"/>
              <w:rPr>
                <w:rFonts w:cs="Times New Roman"/>
                <w:noProof/>
                <w:sz w:val="16"/>
                <w:szCs w:val="16"/>
              </w:rPr>
            </w:pPr>
            <w:r w:rsidRPr="00B44B19">
              <w:rPr>
                <w:rFonts w:cs="Times New Roman"/>
                <w:noProof/>
                <w:sz w:val="16"/>
                <w:szCs w:val="16"/>
              </w:rPr>
              <w:t>VVL regionas</w:t>
            </w:r>
          </w:p>
        </w:tc>
        <w:tc>
          <w:tcPr>
            <w:tcW w:w="639" w:type="pct"/>
            <w:tcBorders>
              <w:top w:val="single" w:sz="4" w:space="0" w:color="auto"/>
              <w:bottom w:val="single" w:sz="4" w:space="0" w:color="auto"/>
            </w:tcBorders>
          </w:tcPr>
          <w:p w14:paraId="4553F89A" w14:textId="77777777" w:rsidR="005A6CE6" w:rsidRPr="00B44B19" w:rsidRDefault="005A6CE6" w:rsidP="005B66F2">
            <w:pPr>
              <w:spacing w:after="0" w:line="240" w:lineRule="auto"/>
              <w:jc w:val="both"/>
              <w:rPr>
                <w:rFonts w:cs="Times New Roman"/>
                <w:sz w:val="16"/>
                <w:szCs w:val="16"/>
                <w:lang w:eastAsia="lt-LT"/>
              </w:rPr>
            </w:pPr>
            <w:r w:rsidRPr="00B44B19">
              <w:rPr>
                <w:rFonts w:cs="Times New Roman"/>
                <w:sz w:val="16"/>
                <w:szCs w:val="16"/>
                <w:lang w:eastAsia="lt-LT"/>
              </w:rPr>
              <w:t>RCO03</w:t>
            </w:r>
          </w:p>
        </w:tc>
        <w:tc>
          <w:tcPr>
            <w:tcW w:w="935" w:type="pct"/>
            <w:tcBorders>
              <w:top w:val="single" w:sz="4" w:space="0" w:color="auto"/>
              <w:bottom w:val="single" w:sz="4" w:space="0" w:color="auto"/>
            </w:tcBorders>
          </w:tcPr>
          <w:p w14:paraId="4174F680" w14:textId="77777777" w:rsidR="005A6CE6" w:rsidRPr="00B44B19" w:rsidRDefault="005A6CE6" w:rsidP="005B66F2">
            <w:pPr>
              <w:tabs>
                <w:tab w:val="left" w:pos="7560"/>
              </w:tabs>
              <w:spacing w:after="0" w:line="240" w:lineRule="auto"/>
              <w:jc w:val="both"/>
              <w:rPr>
                <w:rFonts w:cs="Times New Roman"/>
                <w:sz w:val="16"/>
                <w:szCs w:val="16"/>
                <w:lang w:eastAsia="en-GB"/>
              </w:rPr>
            </w:pPr>
            <w:r w:rsidRPr="00B44B19">
              <w:rPr>
                <w:rFonts w:cs="Times New Roman"/>
                <w:sz w:val="16"/>
                <w:szCs w:val="16"/>
                <w:lang w:eastAsia="en-GB"/>
              </w:rPr>
              <w:t>Paramą finansinėmis priemonėmis gavusios įmonės</w:t>
            </w:r>
          </w:p>
        </w:tc>
        <w:tc>
          <w:tcPr>
            <w:tcW w:w="505" w:type="pct"/>
            <w:tcBorders>
              <w:top w:val="single" w:sz="4" w:space="0" w:color="auto"/>
              <w:bottom w:val="single" w:sz="4" w:space="0" w:color="auto"/>
            </w:tcBorders>
          </w:tcPr>
          <w:p w14:paraId="3F215C13"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Įmonės</w:t>
            </w:r>
          </w:p>
        </w:tc>
        <w:tc>
          <w:tcPr>
            <w:tcW w:w="436" w:type="pct"/>
            <w:tcBorders>
              <w:top w:val="single" w:sz="4" w:space="0" w:color="auto"/>
              <w:bottom w:val="single" w:sz="4" w:space="0" w:color="auto"/>
            </w:tcBorders>
          </w:tcPr>
          <w:p w14:paraId="7DD61AFE" w14:textId="77777777" w:rsidR="005A6CE6" w:rsidRPr="00B44B19" w:rsidRDefault="005A6CE6" w:rsidP="005B66F2">
            <w:pPr>
              <w:spacing w:after="0" w:line="240" w:lineRule="auto"/>
              <w:jc w:val="center"/>
              <w:rPr>
                <w:rFonts w:cs="Times New Roman"/>
                <w:noProof/>
                <w:sz w:val="16"/>
                <w:szCs w:val="16"/>
              </w:rPr>
            </w:pPr>
            <w:r w:rsidRPr="00B44B19">
              <w:rPr>
                <w:rFonts w:cs="Times New Roman"/>
                <w:noProof/>
                <w:sz w:val="16"/>
                <w:szCs w:val="16"/>
              </w:rPr>
              <w:t>2</w:t>
            </w:r>
          </w:p>
        </w:tc>
        <w:tc>
          <w:tcPr>
            <w:tcW w:w="480" w:type="pct"/>
            <w:tcBorders>
              <w:top w:val="single" w:sz="4" w:space="0" w:color="auto"/>
              <w:bottom w:val="single" w:sz="4" w:space="0" w:color="auto"/>
            </w:tcBorders>
          </w:tcPr>
          <w:p w14:paraId="19D6772A" w14:textId="77777777" w:rsidR="005A6CE6" w:rsidRPr="00B44B19" w:rsidRDefault="008A20C4" w:rsidP="005B66F2">
            <w:pPr>
              <w:spacing w:after="0" w:line="240" w:lineRule="auto"/>
              <w:jc w:val="center"/>
              <w:rPr>
                <w:rFonts w:cs="Times New Roman"/>
                <w:noProof/>
                <w:sz w:val="16"/>
                <w:szCs w:val="16"/>
              </w:rPr>
            </w:pPr>
            <w:r w:rsidRPr="00B44B19">
              <w:rPr>
                <w:rFonts w:cs="Times New Roman"/>
                <w:noProof/>
                <w:sz w:val="16"/>
                <w:szCs w:val="16"/>
                <w:lang w:val="en-GB"/>
              </w:rPr>
              <w:t>14</w:t>
            </w:r>
          </w:p>
        </w:tc>
      </w:tr>
      <w:tr w:rsidR="005A6CE6" w:rsidRPr="00B44B19" w14:paraId="4D2945F2" w14:textId="77777777" w:rsidTr="004952F4">
        <w:trPr>
          <w:trHeight w:val="461"/>
        </w:trPr>
        <w:tc>
          <w:tcPr>
            <w:tcW w:w="567" w:type="pct"/>
            <w:vMerge/>
            <w:tcBorders>
              <w:top w:val="single" w:sz="12" w:space="0" w:color="auto"/>
            </w:tcBorders>
          </w:tcPr>
          <w:p w14:paraId="2D129B2D" w14:textId="77777777" w:rsidR="005A6CE6" w:rsidRPr="00B44B19"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3DD7C95E" w14:textId="77777777" w:rsidR="005A6CE6" w:rsidRPr="00B44B19"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1A54E195"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SaF</w:t>
            </w:r>
          </w:p>
        </w:tc>
        <w:tc>
          <w:tcPr>
            <w:tcW w:w="503" w:type="pct"/>
            <w:tcBorders>
              <w:top w:val="single" w:sz="4" w:space="0" w:color="auto"/>
              <w:bottom w:val="single" w:sz="4" w:space="0" w:color="auto"/>
            </w:tcBorders>
          </w:tcPr>
          <w:p w14:paraId="455EE114"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639" w:type="pct"/>
            <w:tcBorders>
              <w:top w:val="single" w:sz="4" w:space="0" w:color="auto"/>
              <w:bottom w:val="single" w:sz="4" w:space="0" w:color="auto"/>
            </w:tcBorders>
          </w:tcPr>
          <w:p w14:paraId="63ED8ED6" w14:textId="77777777" w:rsidR="005A6CE6" w:rsidRPr="00B44B19" w:rsidRDefault="005A6CE6" w:rsidP="0049178B">
            <w:pPr>
              <w:spacing w:after="0" w:line="240" w:lineRule="auto"/>
              <w:jc w:val="both"/>
              <w:rPr>
                <w:rFonts w:cs="Times New Roman"/>
                <w:sz w:val="16"/>
                <w:szCs w:val="16"/>
                <w:lang w:eastAsia="en-GB"/>
              </w:rPr>
            </w:pPr>
            <w:r w:rsidRPr="00B44B19">
              <w:rPr>
                <w:rFonts w:cs="Times New Roman"/>
                <w:sz w:val="16"/>
                <w:szCs w:val="16"/>
                <w:lang w:eastAsia="en-GB"/>
              </w:rPr>
              <w:t xml:space="preserve">Specialusis </w:t>
            </w:r>
          </w:p>
        </w:tc>
        <w:tc>
          <w:tcPr>
            <w:tcW w:w="935" w:type="pct"/>
            <w:tcBorders>
              <w:top w:val="single" w:sz="4" w:space="0" w:color="auto"/>
              <w:bottom w:val="single" w:sz="4" w:space="0" w:color="auto"/>
            </w:tcBorders>
          </w:tcPr>
          <w:p w14:paraId="2B8D8807" w14:textId="77777777" w:rsidR="005A6CE6" w:rsidRPr="00B44B19" w:rsidRDefault="005A6CE6" w:rsidP="005B66F2">
            <w:pPr>
              <w:tabs>
                <w:tab w:val="left" w:pos="7560"/>
              </w:tabs>
              <w:spacing w:after="0" w:line="240" w:lineRule="auto"/>
              <w:jc w:val="both"/>
              <w:rPr>
                <w:rFonts w:cs="Times New Roman"/>
                <w:sz w:val="16"/>
                <w:szCs w:val="16"/>
              </w:rPr>
            </w:pPr>
            <w:r w:rsidRPr="00B44B19">
              <w:rPr>
                <w:rFonts w:cs="Times New Roman"/>
                <w:sz w:val="16"/>
                <w:szCs w:val="16"/>
              </w:rPr>
              <w:t>Būstai su efektyvesniais šilumos gamybos įrenginiais</w:t>
            </w:r>
          </w:p>
        </w:tc>
        <w:tc>
          <w:tcPr>
            <w:tcW w:w="505" w:type="pct"/>
            <w:tcBorders>
              <w:top w:val="single" w:sz="4" w:space="0" w:color="auto"/>
              <w:bottom w:val="single" w:sz="4" w:space="0" w:color="auto"/>
            </w:tcBorders>
          </w:tcPr>
          <w:p w14:paraId="6FA837AD"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Būstai</w:t>
            </w:r>
          </w:p>
        </w:tc>
        <w:tc>
          <w:tcPr>
            <w:tcW w:w="436" w:type="pct"/>
            <w:tcBorders>
              <w:top w:val="single" w:sz="4" w:space="0" w:color="auto"/>
              <w:bottom w:val="single" w:sz="4" w:space="0" w:color="auto"/>
            </w:tcBorders>
          </w:tcPr>
          <w:p w14:paraId="236CDE76" w14:textId="1FB1711B" w:rsidR="005A6CE6" w:rsidRPr="00B44B19" w:rsidRDefault="00F75618" w:rsidP="005B66F2">
            <w:pPr>
              <w:spacing w:after="0" w:line="240" w:lineRule="auto"/>
              <w:jc w:val="center"/>
              <w:rPr>
                <w:rFonts w:cs="Times New Roman"/>
                <w:noProof/>
                <w:sz w:val="16"/>
                <w:szCs w:val="16"/>
              </w:rPr>
            </w:pPr>
            <w:r w:rsidRPr="00B44B19">
              <w:rPr>
                <w:rFonts w:cs="Times New Roman"/>
                <w:noProof/>
                <w:sz w:val="16"/>
                <w:szCs w:val="16"/>
              </w:rPr>
              <w:t>1 025</w:t>
            </w:r>
          </w:p>
        </w:tc>
        <w:tc>
          <w:tcPr>
            <w:tcW w:w="480" w:type="pct"/>
            <w:tcBorders>
              <w:top w:val="single" w:sz="4" w:space="0" w:color="auto"/>
              <w:bottom w:val="single" w:sz="4" w:space="0" w:color="auto"/>
            </w:tcBorders>
          </w:tcPr>
          <w:p w14:paraId="229F1D06" w14:textId="4BD8A531" w:rsidR="005A6CE6"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GB"/>
              </w:rPr>
              <w:t>10</w:t>
            </w:r>
            <w:r w:rsidR="00264FD4" w:rsidRPr="00B44B19">
              <w:rPr>
                <w:rFonts w:cs="Times New Roman"/>
                <w:noProof/>
                <w:sz w:val="16"/>
                <w:szCs w:val="16"/>
                <w:lang w:val="en-GB"/>
              </w:rPr>
              <w:t> </w:t>
            </w:r>
            <w:r w:rsidRPr="00B44B19">
              <w:rPr>
                <w:rFonts w:cs="Times New Roman"/>
                <w:noProof/>
                <w:sz w:val="16"/>
                <w:szCs w:val="16"/>
                <w:lang w:val="en-GB"/>
              </w:rPr>
              <w:t>252</w:t>
            </w:r>
          </w:p>
        </w:tc>
      </w:tr>
      <w:tr w:rsidR="00C757B6" w:rsidRPr="00B44B19" w14:paraId="5F4C4BBE" w14:textId="77777777" w:rsidTr="004952F4">
        <w:trPr>
          <w:trHeight w:val="461"/>
        </w:trPr>
        <w:tc>
          <w:tcPr>
            <w:tcW w:w="567" w:type="pct"/>
            <w:vMerge/>
            <w:tcBorders>
              <w:top w:val="single" w:sz="12" w:space="0" w:color="auto"/>
            </w:tcBorders>
          </w:tcPr>
          <w:p w14:paraId="436D3BCA" w14:textId="77777777" w:rsidR="00C757B6" w:rsidRPr="00B44B19" w:rsidRDefault="00C757B6" w:rsidP="005B66F2">
            <w:pPr>
              <w:spacing w:after="0" w:line="240" w:lineRule="auto"/>
              <w:rPr>
                <w:rFonts w:cs="Times New Roman"/>
                <w:noProof/>
                <w:sz w:val="16"/>
                <w:szCs w:val="16"/>
              </w:rPr>
            </w:pPr>
          </w:p>
        </w:tc>
        <w:tc>
          <w:tcPr>
            <w:tcW w:w="504" w:type="pct"/>
            <w:vMerge/>
            <w:tcBorders>
              <w:top w:val="single" w:sz="12" w:space="0" w:color="auto"/>
            </w:tcBorders>
          </w:tcPr>
          <w:p w14:paraId="509B9D48" w14:textId="77777777" w:rsidR="00C757B6" w:rsidRPr="00B44B19" w:rsidRDefault="00C757B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7CEDB862" w14:textId="77777777" w:rsidR="00C757B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ERPF</w:t>
            </w:r>
          </w:p>
        </w:tc>
        <w:tc>
          <w:tcPr>
            <w:tcW w:w="503" w:type="pct"/>
            <w:tcBorders>
              <w:top w:val="single" w:sz="4" w:space="0" w:color="auto"/>
              <w:bottom w:val="single" w:sz="4" w:space="0" w:color="auto"/>
            </w:tcBorders>
          </w:tcPr>
          <w:p w14:paraId="46C770A7" w14:textId="77777777" w:rsidR="00C757B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639" w:type="pct"/>
            <w:tcBorders>
              <w:top w:val="single" w:sz="4" w:space="0" w:color="auto"/>
              <w:bottom w:val="single" w:sz="4" w:space="0" w:color="auto"/>
            </w:tcBorders>
          </w:tcPr>
          <w:p w14:paraId="6C39839E" w14:textId="77777777" w:rsidR="00C757B6" w:rsidRPr="00B44B19" w:rsidRDefault="00C757B6" w:rsidP="0049178B">
            <w:pPr>
              <w:spacing w:after="0" w:line="240" w:lineRule="auto"/>
              <w:jc w:val="both"/>
              <w:rPr>
                <w:rFonts w:cs="Times New Roman"/>
                <w:sz w:val="16"/>
                <w:szCs w:val="16"/>
                <w:lang w:eastAsia="en-GB"/>
              </w:rPr>
            </w:pPr>
            <w:r w:rsidRPr="00B44B19">
              <w:rPr>
                <w:rFonts w:cs="Times New Roman"/>
                <w:sz w:val="16"/>
                <w:szCs w:val="16"/>
                <w:lang w:eastAsia="en-GB"/>
              </w:rPr>
              <w:t xml:space="preserve">Specialusis </w:t>
            </w:r>
          </w:p>
        </w:tc>
        <w:tc>
          <w:tcPr>
            <w:tcW w:w="935" w:type="pct"/>
            <w:tcBorders>
              <w:top w:val="single" w:sz="4" w:space="0" w:color="auto"/>
              <w:bottom w:val="single" w:sz="4" w:space="0" w:color="auto"/>
            </w:tcBorders>
          </w:tcPr>
          <w:p w14:paraId="757B3324" w14:textId="77777777" w:rsidR="00C757B6" w:rsidRPr="00B44B19" w:rsidRDefault="00C757B6" w:rsidP="005B66F2">
            <w:pPr>
              <w:tabs>
                <w:tab w:val="left" w:pos="7560"/>
              </w:tabs>
              <w:spacing w:after="0" w:line="240" w:lineRule="auto"/>
              <w:jc w:val="both"/>
              <w:rPr>
                <w:rFonts w:cs="Times New Roman"/>
                <w:sz w:val="16"/>
                <w:szCs w:val="16"/>
              </w:rPr>
            </w:pPr>
            <w:r w:rsidRPr="00B44B19">
              <w:rPr>
                <w:rFonts w:cs="Times New Roman"/>
                <w:sz w:val="16"/>
                <w:szCs w:val="16"/>
              </w:rPr>
              <w:t>Būstai su efektyvesniais šilumos gamybos įrenginiais</w:t>
            </w:r>
          </w:p>
        </w:tc>
        <w:tc>
          <w:tcPr>
            <w:tcW w:w="505" w:type="pct"/>
            <w:tcBorders>
              <w:top w:val="single" w:sz="4" w:space="0" w:color="auto"/>
              <w:bottom w:val="single" w:sz="4" w:space="0" w:color="auto"/>
            </w:tcBorders>
          </w:tcPr>
          <w:p w14:paraId="1265D7E7" w14:textId="77777777" w:rsidR="00C757B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Būstai</w:t>
            </w:r>
          </w:p>
        </w:tc>
        <w:tc>
          <w:tcPr>
            <w:tcW w:w="436" w:type="pct"/>
            <w:tcBorders>
              <w:top w:val="single" w:sz="4" w:space="0" w:color="auto"/>
              <w:bottom w:val="single" w:sz="4" w:space="0" w:color="auto"/>
            </w:tcBorders>
          </w:tcPr>
          <w:p w14:paraId="68187B14" w14:textId="51462EB4" w:rsidR="00C757B6" w:rsidRPr="00B44B19" w:rsidDel="005A6CE6" w:rsidRDefault="00F75618" w:rsidP="005B66F2">
            <w:pPr>
              <w:spacing w:after="0" w:line="240" w:lineRule="auto"/>
              <w:jc w:val="center"/>
              <w:rPr>
                <w:rFonts w:cs="Times New Roman"/>
                <w:noProof/>
                <w:sz w:val="16"/>
                <w:szCs w:val="16"/>
              </w:rPr>
            </w:pPr>
            <w:r w:rsidRPr="00B44B19">
              <w:rPr>
                <w:rFonts w:cs="Times New Roman"/>
                <w:noProof/>
                <w:sz w:val="16"/>
                <w:szCs w:val="16"/>
                <w:lang w:val="en-US"/>
              </w:rPr>
              <w:t>1 025</w:t>
            </w:r>
          </w:p>
        </w:tc>
        <w:tc>
          <w:tcPr>
            <w:tcW w:w="480" w:type="pct"/>
            <w:tcBorders>
              <w:top w:val="single" w:sz="4" w:space="0" w:color="auto"/>
              <w:bottom w:val="single" w:sz="4" w:space="0" w:color="auto"/>
            </w:tcBorders>
          </w:tcPr>
          <w:p w14:paraId="0E369705" w14:textId="07C67974" w:rsidR="00C757B6"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US"/>
              </w:rPr>
              <w:t>10 252</w:t>
            </w:r>
          </w:p>
        </w:tc>
      </w:tr>
      <w:tr w:rsidR="005A6CE6" w:rsidRPr="00B44B19" w14:paraId="0E5D094D" w14:textId="77777777" w:rsidTr="004952F4">
        <w:trPr>
          <w:trHeight w:val="445"/>
        </w:trPr>
        <w:tc>
          <w:tcPr>
            <w:tcW w:w="567" w:type="pct"/>
            <w:vMerge/>
            <w:tcBorders>
              <w:top w:val="single" w:sz="12" w:space="0" w:color="auto"/>
            </w:tcBorders>
          </w:tcPr>
          <w:p w14:paraId="0D02A952" w14:textId="77777777" w:rsidR="005A6CE6" w:rsidRPr="00B44B19" w:rsidRDefault="005A6CE6" w:rsidP="005B66F2">
            <w:pPr>
              <w:spacing w:after="0" w:line="240" w:lineRule="auto"/>
              <w:rPr>
                <w:rFonts w:cs="Times New Roman"/>
                <w:noProof/>
                <w:sz w:val="16"/>
                <w:szCs w:val="16"/>
              </w:rPr>
            </w:pPr>
          </w:p>
        </w:tc>
        <w:tc>
          <w:tcPr>
            <w:tcW w:w="504" w:type="pct"/>
            <w:vMerge/>
            <w:tcBorders>
              <w:top w:val="single" w:sz="12" w:space="0" w:color="auto"/>
            </w:tcBorders>
          </w:tcPr>
          <w:p w14:paraId="3A26547B" w14:textId="77777777" w:rsidR="005A6CE6" w:rsidRPr="00B44B19" w:rsidRDefault="005A6CE6" w:rsidP="005B66F2">
            <w:pPr>
              <w:spacing w:after="0" w:line="240" w:lineRule="auto"/>
              <w:jc w:val="both"/>
              <w:rPr>
                <w:rFonts w:cs="Times New Roman"/>
                <w:noProof/>
                <w:sz w:val="16"/>
                <w:szCs w:val="16"/>
              </w:rPr>
            </w:pPr>
          </w:p>
        </w:tc>
        <w:tc>
          <w:tcPr>
            <w:tcW w:w="431" w:type="pct"/>
            <w:tcBorders>
              <w:top w:val="single" w:sz="4" w:space="0" w:color="auto"/>
              <w:bottom w:val="single" w:sz="4" w:space="0" w:color="auto"/>
            </w:tcBorders>
          </w:tcPr>
          <w:p w14:paraId="6B83B42B" w14:textId="77777777" w:rsidR="005A6CE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SaF</w:t>
            </w:r>
          </w:p>
        </w:tc>
        <w:tc>
          <w:tcPr>
            <w:tcW w:w="503" w:type="pct"/>
            <w:tcBorders>
              <w:top w:val="single" w:sz="4" w:space="0" w:color="auto"/>
              <w:bottom w:val="single" w:sz="4" w:space="0" w:color="auto"/>
            </w:tcBorders>
          </w:tcPr>
          <w:p w14:paraId="36A3CC62" w14:textId="77777777" w:rsidR="005A6CE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639" w:type="pct"/>
            <w:tcBorders>
              <w:top w:val="single" w:sz="4" w:space="0" w:color="auto"/>
              <w:bottom w:val="single" w:sz="4" w:space="0" w:color="auto"/>
            </w:tcBorders>
          </w:tcPr>
          <w:p w14:paraId="44E4A1B2" w14:textId="77777777" w:rsidR="005A6CE6" w:rsidRPr="00B44B19" w:rsidRDefault="005A6CE6" w:rsidP="005B66F2">
            <w:pPr>
              <w:spacing w:after="0" w:line="240" w:lineRule="auto"/>
              <w:jc w:val="both"/>
              <w:rPr>
                <w:rFonts w:cs="Times New Roman"/>
                <w:sz w:val="16"/>
                <w:szCs w:val="16"/>
                <w:lang w:eastAsia="en-GB"/>
              </w:rPr>
            </w:pPr>
            <w:r w:rsidRPr="00B44B19">
              <w:rPr>
                <w:rFonts w:cs="Times New Roman"/>
                <w:sz w:val="16"/>
                <w:szCs w:val="16"/>
                <w:lang w:eastAsia="en-GB"/>
              </w:rPr>
              <w:t>RCO18</w:t>
            </w:r>
          </w:p>
        </w:tc>
        <w:tc>
          <w:tcPr>
            <w:tcW w:w="935" w:type="pct"/>
            <w:tcBorders>
              <w:top w:val="single" w:sz="4" w:space="0" w:color="auto"/>
              <w:bottom w:val="single" w:sz="4" w:space="0" w:color="auto"/>
            </w:tcBorders>
          </w:tcPr>
          <w:p w14:paraId="121BF831" w14:textId="77777777" w:rsidR="005A6CE6" w:rsidRPr="00B44B19" w:rsidRDefault="005A6CE6" w:rsidP="005B66F2">
            <w:pPr>
              <w:tabs>
                <w:tab w:val="left" w:pos="7560"/>
              </w:tabs>
              <w:spacing w:after="0" w:line="240" w:lineRule="auto"/>
              <w:jc w:val="both"/>
              <w:rPr>
                <w:rFonts w:cs="Times New Roman"/>
                <w:sz w:val="16"/>
                <w:szCs w:val="16"/>
              </w:rPr>
            </w:pPr>
            <w:r w:rsidRPr="00B44B19">
              <w:rPr>
                <w:rFonts w:cs="Times New Roman"/>
                <w:sz w:val="16"/>
                <w:szCs w:val="16"/>
              </w:rPr>
              <w:t xml:space="preserve">Būstai, kurių energinis naudingumas pagerintas </w:t>
            </w:r>
          </w:p>
        </w:tc>
        <w:tc>
          <w:tcPr>
            <w:tcW w:w="505" w:type="pct"/>
            <w:tcBorders>
              <w:top w:val="single" w:sz="4" w:space="0" w:color="auto"/>
              <w:bottom w:val="single" w:sz="4" w:space="0" w:color="auto"/>
            </w:tcBorders>
          </w:tcPr>
          <w:p w14:paraId="560D3110"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Būstai</w:t>
            </w:r>
          </w:p>
        </w:tc>
        <w:tc>
          <w:tcPr>
            <w:tcW w:w="436" w:type="pct"/>
            <w:tcBorders>
              <w:top w:val="single" w:sz="4" w:space="0" w:color="auto"/>
              <w:bottom w:val="single" w:sz="4" w:space="0" w:color="auto"/>
            </w:tcBorders>
          </w:tcPr>
          <w:p w14:paraId="532014AB" w14:textId="77777777" w:rsidR="005A6CE6" w:rsidRPr="00B44B19" w:rsidRDefault="005A6CE6" w:rsidP="005B66F2">
            <w:pPr>
              <w:spacing w:after="0" w:line="240" w:lineRule="auto"/>
              <w:jc w:val="center"/>
              <w:rPr>
                <w:rFonts w:cs="Times New Roman"/>
                <w:noProof/>
                <w:sz w:val="16"/>
                <w:szCs w:val="16"/>
              </w:rPr>
            </w:pPr>
            <w:r w:rsidRPr="00B44B19">
              <w:rPr>
                <w:rFonts w:cs="Times New Roman"/>
                <w:noProof/>
                <w:sz w:val="16"/>
                <w:szCs w:val="16"/>
              </w:rPr>
              <w:t>0</w:t>
            </w:r>
          </w:p>
        </w:tc>
        <w:tc>
          <w:tcPr>
            <w:tcW w:w="480" w:type="pct"/>
            <w:tcBorders>
              <w:top w:val="single" w:sz="4" w:space="0" w:color="auto"/>
              <w:bottom w:val="single" w:sz="4" w:space="0" w:color="auto"/>
            </w:tcBorders>
          </w:tcPr>
          <w:p w14:paraId="10C5C681" w14:textId="77777777" w:rsidR="005A6CE6" w:rsidRPr="00B44B19" w:rsidRDefault="004B4884" w:rsidP="005B66F2">
            <w:pPr>
              <w:spacing w:after="0" w:line="240" w:lineRule="auto"/>
              <w:jc w:val="center"/>
              <w:rPr>
                <w:rFonts w:cs="Times New Roman"/>
                <w:noProof/>
                <w:sz w:val="16"/>
                <w:szCs w:val="16"/>
                <w:lang w:val="en-GB"/>
              </w:rPr>
            </w:pPr>
            <w:r w:rsidRPr="00B44B19">
              <w:rPr>
                <w:rFonts w:cs="Times New Roman"/>
                <w:noProof/>
                <w:sz w:val="16"/>
                <w:szCs w:val="16"/>
                <w:lang w:val="en-GB"/>
              </w:rPr>
              <w:t>32 312</w:t>
            </w:r>
          </w:p>
        </w:tc>
      </w:tr>
      <w:tr w:rsidR="00C757B6" w:rsidRPr="00B44B19" w14:paraId="56D94129" w14:textId="77777777" w:rsidTr="004952F4">
        <w:trPr>
          <w:trHeight w:val="415"/>
        </w:trPr>
        <w:tc>
          <w:tcPr>
            <w:tcW w:w="567" w:type="pct"/>
            <w:vMerge/>
          </w:tcPr>
          <w:p w14:paraId="223A788F" w14:textId="77777777" w:rsidR="00C757B6" w:rsidRPr="00B44B19" w:rsidRDefault="00C757B6" w:rsidP="005B66F2">
            <w:pPr>
              <w:spacing w:after="0" w:line="240" w:lineRule="auto"/>
              <w:rPr>
                <w:rFonts w:cs="Times New Roman"/>
                <w:noProof/>
                <w:sz w:val="16"/>
                <w:szCs w:val="16"/>
              </w:rPr>
            </w:pPr>
          </w:p>
        </w:tc>
        <w:tc>
          <w:tcPr>
            <w:tcW w:w="504" w:type="pct"/>
            <w:vMerge/>
          </w:tcPr>
          <w:p w14:paraId="382FD885" w14:textId="77777777" w:rsidR="00C757B6" w:rsidRPr="00B44B19" w:rsidRDefault="00C757B6" w:rsidP="005B66F2">
            <w:pPr>
              <w:spacing w:after="0" w:line="240" w:lineRule="auto"/>
              <w:jc w:val="both"/>
              <w:rPr>
                <w:rFonts w:cs="Times New Roman"/>
                <w:noProof/>
                <w:sz w:val="16"/>
                <w:szCs w:val="16"/>
              </w:rPr>
            </w:pPr>
          </w:p>
        </w:tc>
        <w:tc>
          <w:tcPr>
            <w:tcW w:w="431" w:type="pct"/>
            <w:tcBorders>
              <w:top w:val="single" w:sz="4" w:space="0" w:color="auto"/>
            </w:tcBorders>
          </w:tcPr>
          <w:p w14:paraId="1E92469A" w14:textId="77777777" w:rsidR="00C757B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ERPF</w:t>
            </w:r>
          </w:p>
        </w:tc>
        <w:tc>
          <w:tcPr>
            <w:tcW w:w="503" w:type="pct"/>
            <w:tcBorders>
              <w:top w:val="single" w:sz="4" w:space="0" w:color="auto"/>
            </w:tcBorders>
          </w:tcPr>
          <w:p w14:paraId="6CAB4514" w14:textId="77777777" w:rsidR="00C757B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639" w:type="pct"/>
            <w:tcBorders>
              <w:top w:val="single" w:sz="4" w:space="0" w:color="auto"/>
            </w:tcBorders>
          </w:tcPr>
          <w:p w14:paraId="018606E2" w14:textId="77777777" w:rsidR="00C757B6" w:rsidRPr="00B44B19" w:rsidRDefault="00C757B6" w:rsidP="005B66F2">
            <w:pPr>
              <w:spacing w:after="0" w:line="240" w:lineRule="auto"/>
              <w:jc w:val="both"/>
              <w:rPr>
                <w:rFonts w:cs="Times New Roman"/>
                <w:sz w:val="16"/>
                <w:szCs w:val="16"/>
                <w:lang w:eastAsia="en-GB"/>
              </w:rPr>
            </w:pPr>
            <w:r w:rsidRPr="00B44B19">
              <w:rPr>
                <w:rFonts w:cs="Times New Roman"/>
                <w:sz w:val="16"/>
                <w:szCs w:val="16"/>
                <w:lang w:eastAsia="en-GB"/>
              </w:rPr>
              <w:t>RCO18</w:t>
            </w:r>
          </w:p>
        </w:tc>
        <w:tc>
          <w:tcPr>
            <w:tcW w:w="935" w:type="pct"/>
            <w:tcBorders>
              <w:top w:val="single" w:sz="4" w:space="0" w:color="auto"/>
            </w:tcBorders>
          </w:tcPr>
          <w:p w14:paraId="0DC2ADE6" w14:textId="77777777" w:rsidR="00C757B6" w:rsidRPr="00B44B19" w:rsidRDefault="00C757B6" w:rsidP="007167BE">
            <w:pPr>
              <w:tabs>
                <w:tab w:val="left" w:pos="7560"/>
              </w:tabs>
              <w:spacing w:after="0" w:line="240" w:lineRule="auto"/>
              <w:jc w:val="both"/>
              <w:rPr>
                <w:rFonts w:cs="Times New Roman"/>
                <w:sz w:val="16"/>
                <w:szCs w:val="16"/>
              </w:rPr>
            </w:pPr>
            <w:r w:rsidRPr="00B44B19">
              <w:rPr>
                <w:rFonts w:cs="Times New Roman"/>
                <w:sz w:val="16"/>
                <w:szCs w:val="16"/>
              </w:rPr>
              <w:t>Būstai, kurių energinis naudingumas pagerintas</w:t>
            </w:r>
          </w:p>
        </w:tc>
        <w:tc>
          <w:tcPr>
            <w:tcW w:w="505" w:type="pct"/>
            <w:tcBorders>
              <w:top w:val="single" w:sz="4" w:space="0" w:color="auto"/>
            </w:tcBorders>
          </w:tcPr>
          <w:p w14:paraId="009600F7" w14:textId="77777777" w:rsidR="00C757B6" w:rsidRPr="00B44B19" w:rsidRDefault="00C757B6" w:rsidP="005B66F2">
            <w:pPr>
              <w:spacing w:after="0" w:line="240" w:lineRule="auto"/>
              <w:jc w:val="both"/>
              <w:rPr>
                <w:rFonts w:cs="Times New Roman"/>
                <w:noProof/>
                <w:sz w:val="16"/>
                <w:szCs w:val="16"/>
              </w:rPr>
            </w:pPr>
            <w:r w:rsidRPr="00B44B19">
              <w:rPr>
                <w:rFonts w:cs="Times New Roman"/>
                <w:noProof/>
                <w:sz w:val="16"/>
                <w:szCs w:val="16"/>
              </w:rPr>
              <w:t>Būstai</w:t>
            </w:r>
          </w:p>
        </w:tc>
        <w:tc>
          <w:tcPr>
            <w:tcW w:w="436" w:type="pct"/>
            <w:tcBorders>
              <w:top w:val="single" w:sz="4" w:space="0" w:color="auto"/>
            </w:tcBorders>
          </w:tcPr>
          <w:p w14:paraId="15AFA963" w14:textId="77777777" w:rsidR="00C757B6" w:rsidRPr="00B44B19" w:rsidRDefault="00C757B6" w:rsidP="0049394D">
            <w:pPr>
              <w:spacing w:after="0" w:line="240" w:lineRule="auto"/>
              <w:jc w:val="center"/>
              <w:rPr>
                <w:rFonts w:cs="Times New Roman"/>
                <w:noProof/>
                <w:sz w:val="16"/>
                <w:szCs w:val="16"/>
                <w:lang w:val="en-US"/>
              </w:rPr>
            </w:pPr>
            <w:r w:rsidRPr="00B44B19">
              <w:rPr>
                <w:rFonts w:cs="Times New Roman"/>
                <w:noProof/>
                <w:sz w:val="16"/>
                <w:szCs w:val="16"/>
                <w:lang w:val="en-US"/>
              </w:rPr>
              <w:t>0</w:t>
            </w:r>
          </w:p>
        </w:tc>
        <w:tc>
          <w:tcPr>
            <w:tcW w:w="480" w:type="pct"/>
            <w:tcBorders>
              <w:top w:val="single" w:sz="4" w:space="0" w:color="auto"/>
            </w:tcBorders>
          </w:tcPr>
          <w:p w14:paraId="0F01E5CA" w14:textId="77777777" w:rsidR="00C757B6" w:rsidRPr="00B44B19" w:rsidRDefault="004B4884" w:rsidP="005B66F2">
            <w:pPr>
              <w:spacing w:after="0" w:line="240" w:lineRule="auto"/>
              <w:jc w:val="center"/>
              <w:rPr>
                <w:rFonts w:cs="Times New Roman"/>
                <w:noProof/>
                <w:sz w:val="16"/>
                <w:szCs w:val="16"/>
                <w:lang w:val="en-US"/>
              </w:rPr>
            </w:pPr>
            <w:r w:rsidRPr="00B44B19">
              <w:rPr>
                <w:rFonts w:cs="Times New Roman"/>
                <w:noProof/>
                <w:sz w:val="16"/>
                <w:szCs w:val="16"/>
                <w:lang w:val="en-US"/>
              </w:rPr>
              <w:t>75 395</w:t>
            </w:r>
          </w:p>
        </w:tc>
      </w:tr>
      <w:tr w:rsidR="00945769" w:rsidRPr="00B44B19" w14:paraId="0DC5ADB3" w14:textId="77777777" w:rsidTr="004952F4">
        <w:trPr>
          <w:trHeight w:val="548"/>
        </w:trPr>
        <w:tc>
          <w:tcPr>
            <w:tcW w:w="567" w:type="pct"/>
            <w:vMerge/>
          </w:tcPr>
          <w:p w14:paraId="67A5A65F" w14:textId="77777777" w:rsidR="00945769" w:rsidRPr="00B44B19" w:rsidRDefault="00945769" w:rsidP="005B66F2">
            <w:pPr>
              <w:spacing w:after="0" w:line="240" w:lineRule="auto"/>
              <w:rPr>
                <w:rFonts w:cs="Times New Roman"/>
                <w:noProof/>
                <w:sz w:val="16"/>
                <w:szCs w:val="16"/>
              </w:rPr>
            </w:pPr>
          </w:p>
        </w:tc>
        <w:tc>
          <w:tcPr>
            <w:tcW w:w="504" w:type="pct"/>
            <w:vMerge/>
          </w:tcPr>
          <w:p w14:paraId="58EC7A9A" w14:textId="77777777" w:rsidR="00945769" w:rsidRPr="00B44B19" w:rsidRDefault="00945769" w:rsidP="005B66F2">
            <w:pPr>
              <w:spacing w:after="0" w:line="240" w:lineRule="auto"/>
              <w:jc w:val="both"/>
              <w:rPr>
                <w:rFonts w:cs="Times New Roman"/>
                <w:noProof/>
                <w:sz w:val="16"/>
                <w:szCs w:val="16"/>
              </w:rPr>
            </w:pPr>
          </w:p>
        </w:tc>
        <w:tc>
          <w:tcPr>
            <w:tcW w:w="431" w:type="pct"/>
            <w:tcBorders>
              <w:top w:val="single" w:sz="4" w:space="0" w:color="auto"/>
            </w:tcBorders>
          </w:tcPr>
          <w:p w14:paraId="03285BF6" w14:textId="77777777" w:rsidR="00945769" w:rsidRPr="00B44B19" w:rsidRDefault="00945769" w:rsidP="005B66F2">
            <w:pPr>
              <w:spacing w:after="0" w:line="240" w:lineRule="auto"/>
              <w:jc w:val="both"/>
              <w:rPr>
                <w:rFonts w:cs="Times New Roman"/>
                <w:noProof/>
                <w:sz w:val="16"/>
                <w:szCs w:val="16"/>
              </w:rPr>
            </w:pPr>
            <w:r w:rsidRPr="00B44B19">
              <w:rPr>
                <w:rFonts w:cs="Times New Roman"/>
                <w:noProof/>
                <w:sz w:val="16"/>
                <w:szCs w:val="16"/>
              </w:rPr>
              <w:t>SaF</w:t>
            </w:r>
          </w:p>
        </w:tc>
        <w:tc>
          <w:tcPr>
            <w:tcW w:w="503" w:type="pct"/>
            <w:tcBorders>
              <w:top w:val="single" w:sz="4" w:space="0" w:color="auto"/>
            </w:tcBorders>
          </w:tcPr>
          <w:p w14:paraId="3E5CA311" w14:textId="77777777" w:rsidR="00945769" w:rsidRPr="00B44B19" w:rsidRDefault="00945769"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639" w:type="pct"/>
            <w:tcBorders>
              <w:top w:val="single" w:sz="4" w:space="0" w:color="auto"/>
            </w:tcBorders>
          </w:tcPr>
          <w:p w14:paraId="02E88D96" w14:textId="77777777" w:rsidR="00945769" w:rsidRPr="00B44B19" w:rsidRDefault="00945769" w:rsidP="005B66F2">
            <w:pPr>
              <w:spacing w:after="0" w:line="240" w:lineRule="auto"/>
              <w:jc w:val="both"/>
              <w:rPr>
                <w:rFonts w:cs="Times New Roman"/>
                <w:sz w:val="16"/>
                <w:szCs w:val="16"/>
                <w:lang w:eastAsia="en-GB"/>
              </w:rPr>
            </w:pPr>
            <w:r w:rsidRPr="00B44B19">
              <w:rPr>
                <w:rFonts w:cs="Times New Roman"/>
                <w:sz w:val="16"/>
                <w:szCs w:val="16"/>
                <w:lang w:eastAsia="en-GB"/>
              </w:rPr>
              <w:t>RCO19</w:t>
            </w:r>
          </w:p>
        </w:tc>
        <w:tc>
          <w:tcPr>
            <w:tcW w:w="935" w:type="pct"/>
            <w:tcBorders>
              <w:top w:val="single" w:sz="4" w:space="0" w:color="auto"/>
            </w:tcBorders>
          </w:tcPr>
          <w:p w14:paraId="2E8C65C5" w14:textId="77777777" w:rsidR="00945769" w:rsidRPr="00B44B19" w:rsidRDefault="00945769" w:rsidP="007167BE">
            <w:pPr>
              <w:tabs>
                <w:tab w:val="left" w:pos="7560"/>
              </w:tabs>
              <w:spacing w:after="0" w:line="240" w:lineRule="auto"/>
              <w:jc w:val="both"/>
              <w:rPr>
                <w:rFonts w:cs="Times New Roman"/>
                <w:sz w:val="16"/>
                <w:szCs w:val="16"/>
              </w:rPr>
            </w:pPr>
            <w:r w:rsidRPr="00B44B19">
              <w:rPr>
                <w:rFonts w:cs="Times New Roman"/>
                <w:iCs/>
                <w:sz w:val="16"/>
                <w:szCs w:val="16"/>
              </w:rPr>
              <w:t>Viešieji pastatai, kurių energinis naudingumas pagerintas</w:t>
            </w:r>
          </w:p>
        </w:tc>
        <w:tc>
          <w:tcPr>
            <w:tcW w:w="505" w:type="pct"/>
            <w:tcBorders>
              <w:top w:val="single" w:sz="4" w:space="0" w:color="auto"/>
            </w:tcBorders>
          </w:tcPr>
          <w:p w14:paraId="5B290BD6" w14:textId="77777777" w:rsidR="00945769" w:rsidRPr="00B44B19" w:rsidRDefault="00945769" w:rsidP="005B66F2">
            <w:pPr>
              <w:spacing w:after="0" w:line="240" w:lineRule="auto"/>
              <w:jc w:val="both"/>
              <w:rPr>
                <w:rFonts w:cs="Times New Roman"/>
                <w:noProof/>
                <w:sz w:val="16"/>
                <w:szCs w:val="16"/>
              </w:rPr>
            </w:pPr>
            <w:r w:rsidRPr="00B44B19">
              <w:rPr>
                <w:rFonts w:cs="Times New Roman"/>
                <w:noProof/>
                <w:sz w:val="16"/>
                <w:szCs w:val="16"/>
              </w:rPr>
              <w:t>m</w:t>
            </w:r>
            <w:r w:rsidRPr="00B44B19">
              <w:rPr>
                <w:rFonts w:cs="Times New Roman"/>
                <w:noProof/>
                <w:sz w:val="16"/>
                <w:szCs w:val="16"/>
                <w:vertAlign w:val="superscript"/>
              </w:rPr>
              <w:t>2</w:t>
            </w:r>
          </w:p>
        </w:tc>
        <w:tc>
          <w:tcPr>
            <w:tcW w:w="436" w:type="pct"/>
            <w:tcBorders>
              <w:top w:val="single" w:sz="4" w:space="0" w:color="auto"/>
            </w:tcBorders>
          </w:tcPr>
          <w:p w14:paraId="50B7F658" w14:textId="77777777" w:rsidR="00945769" w:rsidRPr="00B44B19" w:rsidRDefault="00945769" w:rsidP="0049394D">
            <w:pPr>
              <w:spacing w:after="0" w:line="240" w:lineRule="auto"/>
              <w:jc w:val="center"/>
              <w:rPr>
                <w:rFonts w:cs="Times New Roman"/>
                <w:noProof/>
                <w:sz w:val="16"/>
                <w:szCs w:val="16"/>
                <w:lang w:val="en-US"/>
              </w:rPr>
            </w:pPr>
            <w:r w:rsidRPr="00B44B19">
              <w:rPr>
                <w:rFonts w:cs="Times New Roman"/>
                <w:noProof/>
                <w:sz w:val="16"/>
                <w:szCs w:val="16"/>
              </w:rPr>
              <w:t>0</w:t>
            </w:r>
          </w:p>
        </w:tc>
        <w:tc>
          <w:tcPr>
            <w:tcW w:w="480" w:type="pct"/>
            <w:tcBorders>
              <w:top w:val="single" w:sz="4" w:space="0" w:color="auto"/>
            </w:tcBorders>
          </w:tcPr>
          <w:p w14:paraId="3C72737F" w14:textId="642E04FF" w:rsidR="00945769" w:rsidRPr="00B44B19" w:rsidDel="004B4884" w:rsidRDefault="00F75618" w:rsidP="005B66F2">
            <w:pPr>
              <w:spacing w:after="0" w:line="240" w:lineRule="auto"/>
              <w:jc w:val="center"/>
              <w:rPr>
                <w:rFonts w:cs="Times New Roman"/>
                <w:noProof/>
                <w:sz w:val="16"/>
                <w:szCs w:val="16"/>
                <w:lang w:val="en-US"/>
              </w:rPr>
            </w:pPr>
            <w:r w:rsidRPr="00B44B19">
              <w:rPr>
                <w:rFonts w:cs="Times New Roman"/>
                <w:noProof/>
                <w:sz w:val="16"/>
                <w:szCs w:val="16"/>
                <w:lang w:val="en-GB"/>
              </w:rPr>
              <w:t>87 970</w:t>
            </w:r>
          </w:p>
        </w:tc>
      </w:tr>
      <w:tr w:rsidR="00ED6FA2" w:rsidRPr="00B44B19" w14:paraId="52338E81" w14:textId="77777777" w:rsidTr="004952F4">
        <w:trPr>
          <w:trHeight w:val="628"/>
        </w:trPr>
        <w:tc>
          <w:tcPr>
            <w:tcW w:w="567" w:type="pct"/>
            <w:vMerge/>
          </w:tcPr>
          <w:p w14:paraId="73A56857" w14:textId="77777777" w:rsidR="00ED6FA2" w:rsidRPr="00B44B19" w:rsidRDefault="00ED6FA2" w:rsidP="005B66F2">
            <w:pPr>
              <w:spacing w:after="0" w:line="240" w:lineRule="auto"/>
              <w:rPr>
                <w:rFonts w:cs="Times New Roman"/>
                <w:noProof/>
                <w:sz w:val="16"/>
                <w:szCs w:val="16"/>
              </w:rPr>
            </w:pPr>
          </w:p>
        </w:tc>
        <w:tc>
          <w:tcPr>
            <w:tcW w:w="504" w:type="pct"/>
            <w:vMerge/>
          </w:tcPr>
          <w:p w14:paraId="2BA0DA47" w14:textId="77777777" w:rsidR="00ED6FA2" w:rsidRPr="00B44B19" w:rsidRDefault="00ED6FA2" w:rsidP="005B66F2">
            <w:pPr>
              <w:spacing w:after="0" w:line="240" w:lineRule="auto"/>
              <w:jc w:val="both"/>
              <w:rPr>
                <w:rFonts w:cs="Times New Roman"/>
                <w:noProof/>
                <w:sz w:val="16"/>
                <w:szCs w:val="16"/>
              </w:rPr>
            </w:pPr>
          </w:p>
        </w:tc>
        <w:tc>
          <w:tcPr>
            <w:tcW w:w="431" w:type="pct"/>
          </w:tcPr>
          <w:p w14:paraId="54E29542" w14:textId="77777777" w:rsidR="00ED6FA2" w:rsidRPr="00B44B19" w:rsidRDefault="00ED6FA2" w:rsidP="005B66F2">
            <w:pPr>
              <w:spacing w:after="0" w:line="240" w:lineRule="auto"/>
              <w:jc w:val="both"/>
              <w:rPr>
                <w:rFonts w:cs="Times New Roman"/>
                <w:noProof/>
                <w:sz w:val="16"/>
                <w:szCs w:val="16"/>
              </w:rPr>
            </w:pPr>
            <w:r w:rsidRPr="00B44B19">
              <w:rPr>
                <w:rFonts w:cs="Times New Roman"/>
                <w:noProof/>
                <w:sz w:val="16"/>
                <w:szCs w:val="16"/>
              </w:rPr>
              <w:t xml:space="preserve">ERPF </w:t>
            </w:r>
          </w:p>
        </w:tc>
        <w:tc>
          <w:tcPr>
            <w:tcW w:w="503" w:type="pct"/>
          </w:tcPr>
          <w:p w14:paraId="1384D90D" w14:textId="77777777" w:rsidR="00ED6FA2" w:rsidRPr="00B44B19" w:rsidRDefault="00ED6FA2"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639" w:type="pct"/>
          </w:tcPr>
          <w:p w14:paraId="6A87738E" w14:textId="77777777" w:rsidR="00ED6FA2" w:rsidRPr="00B44B19" w:rsidRDefault="00ED6FA2" w:rsidP="005B66F2">
            <w:pPr>
              <w:spacing w:after="0" w:line="240" w:lineRule="auto"/>
              <w:jc w:val="both"/>
              <w:rPr>
                <w:rFonts w:cs="Times New Roman"/>
                <w:sz w:val="16"/>
                <w:szCs w:val="16"/>
                <w:lang w:eastAsia="en-GB"/>
              </w:rPr>
            </w:pPr>
            <w:r w:rsidRPr="00B44B19">
              <w:rPr>
                <w:rFonts w:cs="Times New Roman"/>
                <w:sz w:val="16"/>
                <w:szCs w:val="16"/>
                <w:lang w:eastAsia="en-GB"/>
              </w:rPr>
              <w:t>RCO19</w:t>
            </w:r>
          </w:p>
        </w:tc>
        <w:tc>
          <w:tcPr>
            <w:tcW w:w="935" w:type="pct"/>
          </w:tcPr>
          <w:p w14:paraId="6968F263" w14:textId="77777777" w:rsidR="00ED6FA2" w:rsidRPr="00B44B19" w:rsidRDefault="00ED6FA2" w:rsidP="005B66F2">
            <w:pPr>
              <w:tabs>
                <w:tab w:val="left" w:pos="7560"/>
              </w:tabs>
              <w:spacing w:after="0" w:line="240" w:lineRule="auto"/>
              <w:jc w:val="both"/>
              <w:rPr>
                <w:rFonts w:cs="Times New Roman"/>
                <w:iCs/>
                <w:sz w:val="16"/>
                <w:szCs w:val="16"/>
              </w:rPr>
            </w:pPr>
            <w:r w:rsidRPr="00B44B19">
              <w:rPr>
                <w:rFonts w:cs="Times New Roman"/>
                <w:iCs/>
                <w:sz w:val="16"/>
                <w:szCs w:val="16"/>
              </w:rPr>
              <w:t>Viešieji pastatai, kurių energinis naudingumas pagerintas</w:t>
            </w:r>
          </w:p>
        </w:tc>
        <w:tc>
          <w:tcPr>
            <w:tcW w:w="505" w:type="pct"/>
          </w:tcPr>
          <w:p w14:paraId="7A27BE11" w14:textId="77777777" w:rsidR="00ED6FA2" w:rsidRPr="00B44B19" w:rsidRDefault="00ED6FA2" w:rsidP="005B66F2">
            <w:pPr>
              <w:spacing w:after="0" w:line="240" w:lineRule="auto"/>
              <w:jc w:val="both"/>
              <w:rPr>
                <w:rFonts w:cs="Times New Roman"/>
                <w:noProof/>
                <w:sz w:val="16"/>
                <w:szCs w:val="16"/>
              </w:rPr>
            </w:pPr>
            <w:r w:rsidRPr="00B44B19">
              <w:rPr>
                <w:rFonts w:cs="Times New Roman"/>
                <w:noProof/>
                <w:sz w:val="16"/>
                <w:szCs w:val="16"/>
              </w:rPr>
              <w:t>m</w:t>
            </w:r>
            <w:r w:rsidRPr="00B44B19">
              <w:rPr>
                <w:rFonts w:cs="Times New Roman"/>
                <w:noProof/>
                <w:sz w:val="16"/>
                <w:szCs w:val="16"/>
                <w:vertAlign w:val="superscript"/>
              </w:rPr>
              <w:t>2</w:t>
            </w:r>
          </w:p>
        </w:tc>
        <w:tc>
          <w:tcPr>
            <w:tcW w:w="436" w:type="pct"/>
          </w:tcPr>
          <w:p w14:paraId="61B386EA" w14:textId="77777777" w:rsidR="00ED6FA2" w:rsidRPr="00B44B19" w:rsidRDefault="00ED6FA2" w:rsidP="005B66F2">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3F4B98D9" w14:textId="54828AC5" w:rsidR="00ED6FA2"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GB"/>
              </w:rPr>
              <w:t>87</w:t>
            </w:r>
            <w:r w:rsidR="00264FD4" w:rsidRPr="00B44B19">
              <w:rPr>
                <w:rFonts w:cs="Times New Roman"/>
                <w:noProof/>
                <w:sz w:val="16"/>
                <w:szCs w:val="16"/>
                <w:lang w:val="en-GB"/>
              </w:rPr>
              <w:t> </w:t>
            </w:r>
            <w:r w:rsidRPr="00B44B19">
              <w:rPr>
                <w:rFonts w:cs="Times New Roman"/>
                <w:noProof/>
                <w:sz w:val="16"/>
                <w:szCs w:val="16"/>
                <w:lang w:val="en-GB"/>
              </w:rPr>
              <w:t>970</w:t>
            </w:r>
          </w:p>
        </w:tc>
      </w:tr>
      <w:tr w:rsidR="005A6CE6" w:rsidRPr="00B44B19" w14:paraId="4BB82D07" w14:textId="77777777" w:rsidTr="004952F4">
        <w:trPr>
          <w:trHeight w:val="814"/>
        </w:trPr>
        <w:tc>
          <w:tcPr>
            <w:tcW w:w="567" w:type="pct"/>
            <w:vMerge/>
          </w:tcPr>
          <w:p w14:paraId="1EEEC441" w14:textId="77777777" w:rsidR="005A6CE6" w:rsidRPr="00B44B19" w:rsidRDefault="005A6CE6" w:rsidP="005B66F2">
            <w:pPr>
              <w:spacing w:after="0" w:line="240" w:lineRule="auto"/>
              <w:rPr>
                <w:rFonts w:cs="Times New Roman"/>
                <w:noProof/>
                <w:sz w:val="16"/>
                <w:szCs w:val="16"/>
              </w:rPr>
            </w:pPr>
          </w:p>
        </w:tc>
        <w:tc>
          <w:tcPr>
            <w:tcW w:w="504" w:type="pct"/>
            <w:vMerge/>
          </w:tcPr>
          <w:p w14:paraId="48EBBFD7" w14:textId="77777777" w:rsidR="005A6CE6" w:rsidRPr="00B44B19" w:rsidRDefault="005A6CE6" w:rsidP="005B66F2">
            <w:pPr>
              <w:spacing w:after="0" w:line="240" w:lineRule="auto"/>
              <w:jc w:val="both"/>
              <w:rPr>
                <w:rFonts w:cs="Times New Roman"/>
                <w:noProof/>
                <w:sz w:val="16"/>
                <w:szCs w:val="16"/>
              </w:rPr>
            </w:pPr>
          </w:p>
        </w:tc>
        <w:tc>
          <w:tcPr>
            <w:tcW w:w="431" w:type="pct"/>
          </w:tcPr>
          <w:p w14:paraId="172B66DC"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SaF</w:t>
            </w:r>
          </w:p>
        </w:tc>
        <w:tc>
          <w:tcPr>
            <w:tcW w:w="503" w:type="pct"/>
          </w:tcPr>
          <w:p w14:paraId="7715D1E5"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639" w:type="pct"/>
          </w:tcPr>
          <w:p w14:paraId="1B224571" w14:textId="77777777" w:rsidR="005A6CE6" w:rsidRPr="00B44B19" w:rsidRDefault="005A6CE6" w:rsidP="005B66F2">
            <w:pPr>
              <w:spacing w:after="0" w:line="240" w:lineRule="auto"/>
              <w:jc w:val="both"/>
              <w:rPr>
                <w:rFonts w:cs="Times New Roman"/>
                <w:sz w:val="16"/>
                <w:szCs w:val="16"/>
                <w:lang w:eastAsia="en-GB"/>
              </w:rPr>
            </w:pPr>
            <w:r w:rsidRPr="00B44B19">
              <w:rPr>
                <w:rFonts w:cs="Times New Roman"/>
                <w:sz w:val="16"/>
                <w:szCs w:val="16"/>
                <w:lang w:eastAsia="en-GB"/>
              </w:rPr>
              <w:t>RCO20</w:t>
            </w:r>
          </w:p>
        </w:tc>
        <w:tc>
          <w:tcPr>
            <w:tcW w:w="935" w:type="pct"/>
          </w:tcPr>
          <w:p w14:paraId="0CCEAE49" w14:textId="77777777" w:rsidR="005A6CE6" w:rsidRPr="00B44B19" w:rsidRDefault="005A6CE6" w:rsidP="005B66F2">
            <w:pPr>
              <w:tabs>
                <w:tab w:val="left" w:pos="7560"/>
              </w:tabs>
              <w:spacing w:after="0" w:line="240" w:lineRule="auto"/>
              <w:jc w:val="both"/>
              <w:rPr>
                <w:rFonts w:cs="Times New Roman"/>
                <w:iCs/>
                <w:sz w:val="16"/>
                <w:szCs w:val="16"/>
              </w:rPr>
            </w:pPr>
            <w:r w:rsidRPr="00B44B19">
              <w:rPr>
                <w:rFonts w:cs="Times New Roman"/>
                <w:iCs/>
                <w:sz w:val="16"/>
                <w:szCs w:val="16"/>
              </w:rPr>
              <w:t>Naujai pastatyti ar patobulinti centralizuoto šilumos ir vėsumos tiekimo tinklų vamzdynai</w:t>
            </w:r>
          </w:p>
        </w:tc>
        <w:tc>
          <w:tcPr>
            <w:tcW w:w="505" w:type="pct"/>
          </w:tcPr>
          <w:p w14:paraId="7000DCC4"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km</w:t>
            </w:r>
          </w:p>
        </w:tc>
        <w:tc>
          <w:tcPr>
            <w:tcW w:w="436" w:type="pct"/>
          </w:tcPr>
          <w:p w14:paraId="6C223885" w14:textId="77777777" w:rsidR="005A6CE6" w:rsidRPr="00B44B19" w:rsidRDefault="005A6CE6" w:rsidP="005B66F2">
            <w:pPr>
              <w:spacing w:after="0" w:line="240" w:lineRule="auto"/>
              <w:jc w:val="center"/>
              <w:rPr>
                <w:rFonts w:cs="Times New Roman"/>
                <w:noProof/>
                <w:sz w:val="16"/>
                <w:szCs w:val="16"/>
              </w:rPr>
            </w:pPr>
            <w:r w:rsidRPr="00B44B19">
              <w:rPr>
                <w:rFonts w:cs="Times New Roman"/>
                <w:noProof/>
                <w:sz w:val="16"/>
                <w:szCs w:val="16"/>
              </w:rPr>
              <w:t>2</w:t>
            </w:r>
          </w:p>
        </w:tc>
        <w:tc>
          <w:tcPr>
            <w:tcW w:w="480" w:type="pct"/>
          </w:tcPr>
          <w:p w14:paraId="77DF471D" w14:textId="2F128321" w:rsidR="005A6CE6"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GB"/>
              </w:rPr>
              <w:t>17</w:t>
            </w:r>
          </w:p>
        </w:tc>
      </w:tr>
      <w:tr w:rsidR="005A6CE6" w:rsidRPr="00B44B19" w14:paraId="4C9E521B" w14:textId="77777777" w:rsidTr="004952F4">
        <w:trPr>
          <w:trHeight w:val="613"/>
        </w:trPr>
        <w:tc>
          <w:tcPr>
            <w:tcW w:w="567" w:type="pct"/>
            <w:vMerge/>
          </w:tcPr>
          <w:p w14:paraId="73A44B5E" w14:textId="77777777" w:rsidR="005A6CE6" w:rsidRPr="00B44B19" w:rsidRDefault="005A6CE6" w:rsidP="005B66F2">
            <w:pPr>
              <w:spacing w:after="0" w:line="240" w:lineRule="auto"/>
              <w:rPr>
                <w:rFonts w:cs="Times New Roman"/>
                <w:noProof/>
                <w:sz w:val="16"/>
                <w:szCs w:val="16"/>
              </w:rPr>
            </w:pPr>
          </w:p>
        </w:tc>
        <w:tc>
          <w:tcPr>
            <w:tcW w:w="504" w:type="pct"/>
            <w:vMerge/>
          </w:tcPr>
          <w:p w14:paraId="00EC4F96" w14:textId="77777777" w:rsidR="005A6CE6" w:rsidRPr="00B44B19" w:rsidRDefault="005A6CE6" w:rsidP="005B66F2">
            <w:pPr>
              <w:spacing w:after="0" w:line="240" w:lineRule="auto"/>
              <w:jc w:val="both"/>
              <w:rPr>
                <w:rFonts w:cs="Times New Roman"/>
                <w:noProof/>
                <w:sz w:val="16"/>
                <w:szCs w:val="16"/>
              </w:rPr>
            </w:pPr>
          </w:p>
        </w:tc>
        <w:tc>
          <w:tcPr>
            <w:tcW w:w="431" w:type="pct"/>
          </w:tcPr>
          <w:p w14:paraId="04B5D97B"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 xml:space="preserve">ERPF </w:t>
            </w:r>
          </w:p>
        </w:tc>
        <w:tc>
          <w:tcPr>
            <w:tcW w:w="503" w:type="pct"/>
          </w:tcPr>
          <w:p w14:paraId="4F64E8B3"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639" w:type="pct"/>
          </w:tcPr>
          <w:p w14:paraId="6D3FF605" w14:textId="77777777" w:rsidR="005A6CE6" w:rsidRPr="00B44B19" w:rsidRDefault="005A6CE6" w:rsidP="005B66F2">
            <w:pPr>
              <w:spacing w:after="0" w:line="240" w:lineRule="auto"/>
              <w:jc w:val="both"/>
              <w:rPr>
                <w:rFonts w:cs="Times New Roman"/>
                <w:sz w:val="16"/>
                <w:szCs w:val="16"/>
                <w:lang w:eastAsia="en-GB"/>
              </w:rPr>
            </w:pPr>
            <w:r w:rsidRPr="00B44B19">
              <w:rPr>
                <w:rFonts w:cs="Times New Roman"/>
                <w:sz w:val="16"/>
                <w:szCs w:val="16"/>
                <w:lang w:eastAsia="en-GB"/>
              </w:rPr>
              <w:t>RCO20</w:t>
            </w:r>
          </w:p>
        </w:tc>
        <w:tc>
          <w:tcPr>
            <w:tcW w:w="935" w:type="pct"/>
          </w:tcPr>
          <w:p w14:paraId="49CE1A59" w14:textId="77777777" w:rsidR="005A6CE6" w:rsidRPr="00B44B19" w:rsidRDefault="005A6CE6" w:rsidP="005B66F2">
            <w:pPr>
              <w:tabs>
                <w:tab w:val="left" w:pos="7560"/>
              </w:tabs>
              <w:spacing w:after="0" w:line="240" w:lineRule="auto"/>
              <w:jc w:val="both"/>
              <w:rPr>
                <w:rFonts w:cs="Times New Roman"/>
                <w:iCs/>
                <w:sz w:val="16"/>
                <w:szCs w:val="16"/>
              </w:rPr>
            </w:pPr>
            <w:r w:rsidRPr="00B44B19">
              <w:rPr>
                <w:rFonts w:cs="Times New Roman"/>
                <w:iCs/>
                <w:sz w:val="16"/>
                <w:szCs w:val="16"/>
              </w:rPr>
              <w:t>Naujai pastatyti ar patobulinti centralizuoto šilumos ir vėsumos tiekimo tinklų vamzdynai</w:t>
            </w:r>
          </w:p>
        </w:tc>
        <w:tc>
          <w:tcPr>
            <w:tcW w:w="505" w:type="pct"/>
          </w:tcPr>
          <w:p w14:paraId="02D59DFB"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km</w:t>
            </w:r>
          </w:p>
        </w:tc>
        <w:tc>
          <w:tcPr>
            <w:tcW w:w="436" w:type="pct"/>
          </w:tcPr>
          <w:p w14:paraId="581A4AE6" w14:textId="77777777" w:rsidR="005A6CE6" w:rsidRPr="00B44B19" w:rsidRDefault="005A6CE6" w:rsidP="005B66F2">
            <w:pPr>
              <w:spacing w:after="0" w:line="240" w:lineRule="auto"/>
              <w:jc w:val="center"/>
              <w:rPr>
                <w:rFonts w:cs="Times New Roman"/>
                <w:noProof/>
                <w:sz w:val="16"/>
                <w:szCs w:val="16"/>
              </w:rPr>
            </w:pPr>
            <w:r w:rsidRPr="00B44B19">
              <w:rPr>
                <w:rFonts w:cs="Times New Roman"/>
                <w:noProof/>
                <w:sz w:val="16"/>
                <w:szCs w:val="16"/>
              </w:rPr>
              <w:t>2</w:t>
            </w:r>
          </w:p>
        </w:tc>
        <w:tc>
          <w:tcPr>
            <w:tcW w:w="480" w:type="pct"/>
          </w:tcPr>
          <w:p w14:paraId="03B8338D" w14:textId="743D617A" w:rsidR="005A6CE6"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GB"/>
              </w:rPr>
              <w:t>17</w:t>
            </w:r>
          </w:p>
        </w:tc>
      </w:tr>
      <w:tr w:rsidR="005A6CE6" w:rsidRPr="00B44B19" w14:paraId="334CFC64" w14:textId="77777777" w:rsidTr="004952F4">
        <w:trPr>
          <w:trHeight w:val="613"/>
        </w:trPr>
        <w:tc>
          <w:tcPr>
            <w:tcW w:w="567" w:type="pct"/>
            <w:vMerge/>
          </w:tcPr>
          <w:p w14:paraId="70C0C440" w14:textId="77777777" w:rsidR="005A6CE6" w:rsidRPr="00B44B19" w:rsidRDefault="005A6CE6" w:rsidP="005B66F2">
            <w:pPr>
              <w:spacing w:after="0" w:line="240" w:lineRule="auto"/>
              <w:rPr>
                <w:rFonts w:cs="Times New Roman"/>
                <w:noProof/>
                <w:sz w:val="16"/>
                <w:szCs w:val="16"/>
              </w:rPr>
            </w:pPr>
          </w:p>
        </w:tc>
        <w:tc>
          <w:tcPr>
            <w:tcW w:w="504" w:type="pct"/>
            <w:vMerge/>
          </w:tcPr>
          <w:p w14:paraId="2E35C16A" w14:textId="77777777" w:rsidR="005A6CE6" w:rsidRPr="00B44B19" w:rsidRDefault="005A6CE6" w:rsidP="005B66F2">
            <w:pPr>
              <w:spacing w:after="0" w:line="240" w:lineRule="auto"/>
              <w:jc w:val="both"/>
              <w:rPr>
                <w:rFonts w:cs="Times New Roman"/>
                <w:noProof/>
                <w:sz w:val="16"/>
                <w:szCs w:val="16"/>
              </w:rPr>
            </w:pPr>
          </w:p>
        </w:tc>
        <w:tc>
          <w:tcPr>
            <w:tcW w:w="431" w:type="pct"/>
          </w:tcPr>
          <w:p w14:paraId="5F49C437"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SaF</w:t>
            </w:r>
          </w:p>
        </w:tc>
        <w:tc>
          <w:tcPr>
            <w:tcW w:w="503" w:type="pct"/>
          </w:tcPr>
          <w:p w14:paraId="2BF9617A"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639" w:type="pct"/>
          </w:tcPr>
          <w:p w14:paraId="191D4397" w14:textId="77777777" w:rsidR="005A6CE6" w:rsidRPr="00B44B19" w:rsidRDefault="005A6CE6" w:rsidP="0056465F">
            <w:pPr>
              <w:spacing w:after="0" w:line="240" w:lineRule="auto"/>
              <w:jc w:val="both"/>
              <w:rPr>
                <w:rFonts w:cs="Times New Roman"/>
                <w:sz w:val="16"/>
                <w:szCs w:val="16"/>
                <w:lang w:eastAsia="en-GB"/>
              </w:rPr>
            </w:pPr>
            <w:r w:rsidRPr="00B44B19">
              <w:rPr>
                <w:rFonts w:cs="Times New Roman"/>
                <w:sz w:val="16"/>
                <w:szCs w:val="16"/>
                <w:lang w:eastAsia="en-GB"/>
              </w:rPr>
              <w:t xml:space="preserve">Specialusis </w:t>
            </w:r>
          </w:p>
        </w:tc>
        <w:tc>
          <w:tcPr>
            <w:tcW w:w="935" w:type="pct"/>
          </w:tcPr>
          <w:p w14:paraId="12B6A929" w14:textId="0B9B9CC2" w:rsidR="005A6CE6" w:rsidRPr="00B44B19" w:rsidRDefault="005A6CE6" w:rsidP="005B66F2">
            <w:pPr>
              <w:tabs>
                <w:tab w:val="left" w:pos="7560"/>
              </w:tabs>
              <w:spacing w:after="0" w:line="240" w:lineRule="auto"/>
              <w:jc w:val="both"/>
              <w:rPr>
                <w:rFonts w:cs="Times New Roman"/>
                <w:iCs/>
                <w:sz w:val="16"/>
                <w:szCs w:val="16"/>
              </w:rPr>
            </w:pPr>
            <w:r w:rsidRPr="00B44B19">
              <w:rPr>
                <w:rFonts w:cs="Times New Roman"/>
                <w:iCs/>
                <w:sz w:val="16"/>
                <w:szCs w:val="16"/>
              </w:rPr>
              <w:t>Įrengti šilumos, vėsumos</w:t>
            </w:r>
            <w:r w:rsidR="00B24A0F" w:rsidRPr="00B44B19">
              <w:rPr>
                <w:rFonts w:cs="Times New Roman"/>
                <w:iCs/>
                <w:sz w:val="16"/>
                <w:szCs w:val="16"/>
              </w:rPr>
              <w:t xml:space="preserve"> </w:t>
            </w:r>
            <w:r w:rsidRPr="00B44B19">
              <w:rPr>
                <w:rFonts w:cs="Times New Roman"/>
                <w:iCs/>
                <w:sz w:val="16"/>
                <w:szCs w:val="16"/>
              </w:rPr>
              <w:t>apskaitos prietaisai su nuotolinio duomenų nuskaitymo funkcija</w:t>
            </w:r>
          </w:p>
        </w:tc>
        <w:tc>
          <w:tcPr>
            <w:tcW w:w="505" w:type="pct"/>
          </w:tcPr>
          <w:p w14:paraId="0484514E" w14:textId="77777777" w:rsidR="005A6CE6" w:rsidRPr="00B44B19" w:rsidRDefault="00F140A8" w:rsidP="00F140A8">
            <w:pPr>
              <w:spacing w:after="0" w:line="240" w:lineRule="auto"/>
              <w:jc w:val="both"/>
              <w:rPr>
                <w:rFonts w:cs="Times New Roman"/>
                <w:noProof/>
                <w:sz w:val="16"/>
                <w:szCs w:val="16"/>
              </w:rPr>
            </w:pPr>
            <w:r w:rsidRPr="00B44B19">
              <w:rPr>
                <w:rFonts w:cs="Times New Roman"/>
                <w:noProof/>
                <w:sz w:val="16"/>
                <w:szCs w:val="16"/>
              </w:rPr>
              <w:t>vienetai</w:t>
            </w:r>
          </w:p>
        </w:tc>
        <w:tc>
          <w:tcPr>
            <w:tcW w:w="436" w:type="pct"/>
          </w:tcPr>
          <w:p w14:paraId="632FD4C8" w14:textId="66690501" w:rsidR="005A6CE6" w:rsidRPr="00B44B19" w:rsidRDefault="00F75618" w:rsidP="005B66F2">
            <w:pPr>
              <w:spacing w:after="0" w:line="240" w:lineRule="auto"/>
              <w:jc w:val="center"/>
              <w:rPr>
                <w:rFonts w:cs="Times New Roman"/>
                <w:noProof/>
                <w:sz w:val="16"/>
                <w:szCs w:val="16"/>
              </w:rPr>
            </w:pPr>
            <w:r w:rsidRPr="00B44B19">
              <w:rPr>
                <w:rFonts w:cs="Times New Roman"/>
                <w:noProof/>
                <w:sz w:val="16"/>
                <w:szCs w:val="16"/>
              </w:rPr>
              <w:t>525</w:t>
            </w:r>
          </w:p>
        </w:tc>
        <w:tc>
          <w:tcPr>
            <w:tcW w:w="480" w:type="pct"/>
          </w:tcPr>
          <w:p w14:paraId="3D02E661" w14:textId="65F1D8D8" w:rsidR="005A6CE6"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GB"/>
              </w:rPr>
              <w:t>5 257</w:t>
            </w:r>
          </w:p>
        </w:tc>
      </w:tr>
      <w:tr w:rsidR="005A6CE6" w:rsidRPr="00B44B19" w14:paraId="5C2E327F" w14:textId="77777777" w:rsidTr="004952F4">
        <w:trPr>
          <w:trHeight w:val="992"/>
        </w:trPr>
        <w:tc>
          <w:tcPr>
            <w:tcW w:w="567" w:type="pct"/>
            <w:vMerge/>
          </w:tcPr>
          <w:p w14:paraId="2B7B6A69" w14:textId="77777777" w:rsidR="005A6CE6" w:rsidRPr="00B44B19" w:rsidRDefault="005A6CE6" w:rsidP="005B66F2">
            <w:pPr>
              <w:spacing w:after="0" w:line="240" w:lineRule="auto"/>
              <w:rPr>
                <w:rFonts w:cs="Times New Roman"/>
                <w:noProof/>
                <w:sz w:val="16"/>
                <w:szCs w:val="16"/>
              </w:rPr>
            </w:pPr>
          </w:p>
        </w:tc>
        <w:tc>
          <w:tcPr>
            <w:tcW w:w="504" w:type="pct"/>
            <w:vMerge/>
          </w:tcPr>
          <w:p w14:paraId="38AE0F11" w14:textId="77777777" w:rsidR="005A6CE6" w:rsidRPr="00B44B19" w:rsidRDefault="005A6CE6" w:rsidP="005B66F2">
            <w:pPr>
              <w:spacing w:after="0" w:line="240" w:lineRule="auto"/>
              <w:jc w:val="both"/>
              <w:rPr>
                <w:rFonts w:cs="Times New Roman"/>
                <w:noProof/>
                <w:sz w:val="16"/>
                <w:szCs w:val="16"/>
              </w:rPr>
            </w:pPr>
          </w:p>
        </w:tc>
        <w:tc>
          <w:tcPr>
            <w:tcW w:w="431" w:type="pct"/>
          </w:tcPr>
          <w:p w14:paraId="0884DF9D"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ERPF</w:t>
            </w:r>
          </w:p>
        </w:tc>
        <w:tc>
          <w:tcPr>
            <w:tcW w:w="503" w:type="pct"/>
          </w:tcPr>
          <w:p w14:paraId="6C8334BE" w14:textId="77777777" w:rsidR="005A6CE6" w:rsidRPr="00B44B19" w:rsidRDefault="005A6CE6"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639" w:type="pct"/>
          </w:tcPr>
          <w:p w14:paraId="008B4B66" w14:textId="77777777" w:rsidR="005A6CE6" w:rsidRPr="00B44B19" w:rsidRDefault="005A6CE6" w:rsidP="0056465F">
            <w:pPr>
              <w:spacing w:after="0" w:line="240" w:lineRule="auto"/>
              <w:jc w:val="both"/>
              <w:rPr>
                <w:rFonts w:cs="Times New Roman"/>
                <w:sz w:val="16"/>
                <w:szCs w:val="16"/>
                <w:lang w:eastAsia="en-GB"/>
              </w:rPr>
            </w:pPr>
            <w:r w:rsidRPr="00B44B19">
              <w:rPr>
                <w:rFonts w:cs="Times New Roman"/>
                <w:sz w:val="16"/>
                <w:szCs w:val="16"/>
                <w:lang w:eastAsia="en-GB"/>
              </w:rPr>
              <w:t xml:space="preserve">Specialusis </w:t>
            </w:r>
          </w:p>
        </w:tc>
        <w:tc>
          <w:tcPr>
            <w:tcW w:w="935" w:type="pct"/>
          </w:tcPr>
          <w:p w14:paraId="7AD82A98" w14:textId="5F168688" w:rsidR="005A6CE6" w:rsidRPr="00B44B19" w:rsidRDefault="005A6CE6" w:rsidP="005B66F2">
            <w:pPr>
              <w:tabs>
                <w:tab w:val="left" w:pos="7560"/>
              </w:tabs>
              <w:spacing w:after="0" w:line="240" w:lineRule="auto"/>
              <w:jc w:val="both"/>
              <w:rPr>
                <w:rFonts w:cs="Times New Roman"/>
                <w:iCs/>
                <w:sz w:val="16"/>
                <w:szCs w:val="16"/>
              </w:rPr>
            </w:pPr>
            <w:r w:rsidRPr="00B44B19">
              <w:rPr>
                <w:rFonts w:cs="Times New Roman"/>
                <w:iCs/>
                <w:sz w:val="16"/>
                <w:szCs w:val="16"/>
              </w:rPr>
              <w:t>Įrengti šilumos, vėsumos</w:t>
            </w:r>
            <w:r w:rsidR="00B24A0F" w:rsidRPr="00B44B19">
              <w:rPr>
                <w:rFonts w:cs="Times New Roman"/>
                <w:iCs/>
                <w:sz w:val="16"/>
                <w:szCs w:val="16"/>
              </w:rPr>
              <w:t xml:space="preserve"> </w:t>
            </w:r>
            <w:r w:rsidRPr="00B44B19">
              <w:rPr>
                <w:rFonts w:cs="Times New Roman"/>
                <w:iCs/>
                <w:sz w:val="16"/>
                <w:szCs w:val="16"/>
              </w:rPr>
              <w:t>apskaitos prietaisai su nuotolinio duomenų nuskaitymo funkcija</w:t>
            </w:r>
          </w:p>
        </w:tc>
        <w:tc>
          <w:tcPr>
            <w:tcW w:w="505" w:type="pct"/>
          </w:tcPr>
          <w:p w14:paraId="51E6FF4E" w14:textId="77777777" w:rsidR="005A6CE6" w:rsidRPr="00B44B19" w:rsidRDefault="00F140A8" w:rsidP="005B66F2">
            <w:pPr>
              <w:spacing w:after="0" w:line="240" w:lineRule="auto"/>
              <w:jc w:val="both"/>
              <w:rPr>
                <w:rFonts w:cs="Times New Roman"/>
                <w:noProof/>
                <w:sz w:val="16"/>
                <w:szCs w:val="16"/>
              </w:rPr>
            </w:pPr>
            <w:r w:rsidRPr="00B44B19">
              <w:rPr>
                <w:rFonts w:cs="Times New Roman"/>
                <w:noProof/>
                <w:sz w:val="16"/>
                <w:szCs w:val="16"/>
              </w:rPr>
              <w:t>vienetai</w:t>
            </w:r>
          </w:p>
        </w:tc>
        <w:tc>
          <w:tcPr>
            <w:tcW w:w="436" w:type="pct"/>
          </w:tcPr>
          <w:p w14:paraId="25DD42E8" w14:textId="6A81D5F0" w:rsidR="005A6CE6" w:rsidRPr="00B44B19" w:rsidRDefault="00F75618" w:rsidP="005B66F2">
            <w:pPr>
              <w:spacing w:after="0" w:line="240" w:lineRule="auto"/>
              <w:jc w:val="center"/>
              <w:rPr>
                <w:rFonts w:cs="Times New Roman"/>
                <w:noProof/>
                <w:sz w:val="16"/>
                <w:szCs w:val="16"/>
              </w:rPr>
            </w:pPr>
            <w:r w:rsidRPr="00B44B19">
              <w:rPr>
                <w:rFonts w:cs="Times New Roman"/>
                <w:noProof/>
                <w:sz w:val="16"/>
                <w:szCs w:val="16"/>
              </w:rPr>
              <w:t>525</w:t>
            </w:r>
          </w:p>
        </w:tc>
        <w:tc>
          <w:tcPr>
            <w:tcW w:w="480" w:type="pct"/>
          </w:tcPr>
          <w:p w14:paraId="345C8384" w14:textId="11F93A6C" w:rsidR="005A6CE6" w:rsidRPr="00B44B19" w:rsidRDefault="00F75618" w:rsidP="005B66F2">
            <w:pPr>
              <w:spacing w:after="0" w:line="240" w:lineRule="auto"/>
              <w:jc w:val="center"/>
              <w:rPr>
                <w:rFonts w:cs="Times New Roman"/>
                <w:noProof/>
                <w:sz w:val="16"/>
                <w:szCs w:val="16"/>
                <w:lang w:val="en-GB"/>
              </w:rPr>
            </w:pPr>
            <w:r w:rsidRPr="00B44B19">
              <w:rPr>
                <w:rFonts w:cs="Times New Roman"/>
                <w:noProof/>
                <w:sz w:val="16"/>
                <w:szCs w:val="16"/>
                <w:lang w:val="en-GB"/>
              </w:rPr>
              <w:t>5 257</w:t>
            </w:r>
          </w:p>
        </w:tc>
      </w:tr>
    </w:tbl>
    <w:p w14:paraId="73542047" w14:textId="77777777" w:rsidR="006224F1" w:rsidRPr="00B44B19" w:rsidRDefault="006224F1" w:rsidP="006224F1">
      <w:pPr>
        <w:spacing w:after="0" w:line="240" w:lineRule="auto"/>
        <w:jc w:val="both"/>
        <w:rPr>
          <w:rFonts w:cs="Times New Roman"/>
          <w:b/>
          <w:szCs w:val="24"/>
        </w:rPr>
      </w:pPr>
    </w:p>
    <w:p w14:paraId="7D674471" w14:textId="77777777" w:rsidR="006224F1" w:rsidRPr="00B44B19" w:rsidRDefault="006224F1" w:rsidP="006224F1">
      <w:pPr>
        <w:spacing w:after="0" w:line="240" w:lineRule="auto"/>
        <w:jc w:val="both"/>
        <w:rPr>
          <w:rFonts w:cs="Times New Roman"/>
          <w:b/>
          <w:sz w:val="22"/>
        </w:rPr>
        <w:sectPr w:rsidR="006224F1" w:rsidRPr="00B44B19" w:rsidSect="00931C78">
          <w:pgSz w:w="11906" w:h="16838"/>
          <w:pgMar w:top="1276" w:right="567" w:bottom="1134" w:left="1701" w:header="567" w:footer="567" w:gutter="0"/>
          <w:cols w:space="1296"/>
          <w:docGrid w:linePitch="360"/>
        </w:sectPr>
      </w:pPr>
    </w:p>
    <w:p w14:paraId="7DB99E9B" w14:textId="77777777" w:rsidR="006224F1" w:rsidRPr="00B44B19" w:rsidRDefault="006224F1" w:rsidP="006224F1">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975"/>
        <w:gridCol w:w="1255"/>
        <w:gridCol w:w="3767"/>
        <w:gridCol w:w="975"/>
        <w:gridCol w:w="1115"/>
        <w:gridCol w:w="1115"/>
        <w:gridCol w:w="1115"/>
        <w:gridCol w:w="975"/>
        <w:gridCol w:w="820"/>
      </w:tblGrid>
      <w:tr w:rsidR="005B66F2" w:rsidRPr="00B44B19" w14:paraId="743901B1" w14:textId="77777777" w:rsidTr="005B66F2">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068E61"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0F2A1"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B91110"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D04EFA"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72C78E"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2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5E5A71"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C08250"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53E1B1"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065110"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60C620"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Siek</w:t>
            </w:r>
            <w:r w:rsidR="003326B6"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9DA872"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 xml:space="preserve">Duomenų šaltinis </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53E9B0" w14:textId="77777777" w:rsidR="005B66F2" w:rsidRPr="00B44B19" w:rsidRDefault="005B66F2" w:rsidP="005B66F2">
            <w:pPr>
              <w:spacing w:after="0" w:line="240" w:lineRule="auto"/>
              <w:jc w:val="center"/>
              <w:rPr>
                <w:rFonts w:cs="Times New Roman"/>
                <w:b/>
                <w:noProof/>
                <w:sz w:val="16"/>
                <w:szCs w:val="16"/>
              </w:rPr>
            </w:pPr>
            <w:r w:rsidRPr="00B44B19">
              <w:rPr>
                <w:rFonts w:cs="Times New Roman"/>
                <w:b/>
                <w:noProof/>
                <w:sz w:val="16"/>
                <w:szCs w:val="16"/>
              </w:rPr>
              <w:t xml:space="preserve">Pastabos </w:t>
            </w:r>
          </w:p>
        </w:tc>
      </w:tr>
      <w:tr w:rsidR="003A092A" w:rsidRPr="00B44B19" w14:paraId="1D69A162" w14:textId="77777777" w:rsidTr="005B66F2">
        <w:trPr>
          <w:trHeight w:val="425"/>
        </w:trPr>
        <w:tc>
          <w:tcPr>
            <w:tcW w:w="317" w:type="pct"/>
            <w:vMerge w:val="restart"/>
            <w:tcBorders>
              <w:top w:val="single" w:sz="12" w:space="0" w:color="auto"/>
            </w:tcBorders>
          </w:tcPr>
          <w:p w14:paraId="4A02CDC6"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2. Žalesnė Lietuva</w:t>
            </w:r>
          </w:p>
        </w:tc>
        <w:tc>
          <w:tcPr>
            <w:tcW w:w="328" w:type="pct"/>
            <w:vMerge w:val="restart"/>
            <w:tcBorders>
              <w:top w:val="single" w:sz="12" w:space="0" w:color="auto"/>
            </w:tcBorders>
          </w:tcPr>
          <w:p w14:paraId="689D031D"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2.1</w:t>
            </w:r>
          </w:p>
        </w:tc>
        <w:tc>
          <w:tcPr>
            <w:tcW w:w="281" w:type="pct"/>
            <w:tcBorders>
              <w:top w:val="single" w:sz="12" w:space="0" w:color="auto"/>
              <w:bottom w:val="single" w:sz="4" w:space="0" w:color="auto"/>
            </w:tcBorders>
          </w:tcPr>
          <w:p w14:paraId="6A8D55BC"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SaF</w:t>
            </w:r>
          </w:p>
        </w:tc>
        <w:tc>
          <w:tcPr>
            <w:tcW w:w="328" w:type="pct"/>
            <w:tcBorders>
              <w:top w:val="single" w:sz="12" w:space="0" w:color="auto"/>
              <w:bottom w:val="single" w:sz="4" w:space="0" w:color="auto"/>
            </w:tcBorders>
          </w:tcPr>
          <w:p w14:paraId="4B1F0435"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Borders>
              <w:top w:val="single" w:sz="12" w:space="0" w:color="auto"/>
              <w:bottom w:val="single" w:sz="4" w:space="0" w:color="auto"/>
            </w:tcBorders>
          </w:tcPr>
          <w:p w14:paraId="7FF14934" w14:textId="77777777" w:rsidR="003A092A" w:rsidRPr="00B44B19" w:rsidRDefault="003A092A" w:rsidP="005B66F2">
            <w:pPr>
              <w:spacing w:after="0" w:line="240" w:lineRule="auto"/>
              <w:jc w:val="both"/>
              <w:rPr>
                <w:rFonts w:cs="Times New Roman"/>
                <w:sz w:val="16"/>
                <w:szCs w:val="16"/>
                <w:lang w:eastAsia="en-GB"/>
              </w:rPr>
            </w:pPr>
            <w:r w:rsidRPr="00B44B19">
              <w:rPr>
                <w:rFonts w:cs="Times New Roman"/>
                <w:sz w:val="16"/>
                <w:szCs w:val="16"/>
                <w:lang w:eastAsia="en-GB"/>
              </w:rPr>
              <w:t>RCR26</w:t>
            </w:r>
          </w:p>
        </w:tc>
        <w:tc>
          <w:tcPr>
            <w:tcW w:w="1267" w:type="pct"/>
            <w:tcBorders>
              <w:top w:val="single" w:sz="12" w:space="0" w:color="auto"/>
              <w:bottom w:val="single" w:sz="4" w:space="0" w:color="auto"/>
            </w:tcBorders>
          </w:tcPr>
          <w:p w14:paraId="66925BEE" w14:textId="2142F9BC" w:rsidR="003A092A" w:rsidRPr="00B44B19" w:rsidRDefault="003A092A" w:rsidP="005D7AA4">
            <w:pPr>
              <w:tabs>
                <w:tab w:val="left" w:pos="7560"/>
              </w:tabs>
              <w:spacing w:after="0" w:line="240" w:lineRule="auto"/>
              <w:jc w:val="both"/>
              <w:rPr>
                <w:rFonts w:cs="Times New Roman"/>
                <w:bCs/>
                <w:sz w:val="16"/>
                <w:szCs w:val="16"/>
                <w:lang w:eastAsia="en-GB"/>
              </w:rPr>
            </w:pPr>
            <w:r w:rsidRPr="00B44B19">
              <w:rPr>
                <w:rFonts w:cs="Times New Roman"/>
                <w:iCs/>
                <w:sz w:val="16"/>
                <w:szCs w:val="16"/>
              </w:rPr>
              <w:t>Metinis pirminės energijos suvartojimo kiekis (iš kurio: būstai, viešieji pastatai, įmonės, kita)</w:t>
            </w:r>
          </w:p>
        </w:tc>
        <w:tc>
          <w:tcPr>
            <w:tcW w:w="328" w:type="pct"/>
            <w:tcBorders>
              <w:top w:val="single" w:sz="12" w:space="0" w:color="auto"/>
              <w:bottom w:val="single" w:sz="4" w:space="0" w:color="auto"/>
            </w:tcBorders>
          </w:tcPr>
          <w:p w14:paraId="17DDA609"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MWh per metus</w:t>
            </w:r>
          </w:p>
        </w:tc>
        <w:tc>
          <w:tcPr>
            <w:tcW w:w="375" w:type="pct"/>
            <w:tcBorders>
              <w:top w:val="single" w:sz="12" w:space="0" w:color="auto"/>
              <w:bottom w:val="single" w:sz="4" w:space="0" w:color="auto"/>
            </w:tcBorders>
          </w:tcPr>
          <w:p w14:paraId="2D376251" w14:textId="3DBA9D7D" w:rsidR="003A092A" w:rsidRPr="00B44B19" w:rsidRDefault="00BF576F" w:rsidP="003D3CB2">
            <w:pPr>
              <w:jc w:val="center"/>
              <w:rPr>
                <w:rFonts w:cs="Times New Roman"/>
                <w:b/>
                <w:bCs/>
                <w:noProof/>
                <w:sz w:val="16"/>
                <w:szCs w:val="16"/>
              </w:rPr>
            </w:pPr>
            <w:r w:rsidRPr="00B44B19">
              <w:rPr>
                <w:rFonts w:cs="Times New Roman"/>
                <w:noProof/>
                <w:sz w:val="16"/>
                <w:szCs w:val="16"/>
              </w:rPr>
              <w:t>2 839 811</w:t>
            </w:r>
          </w:p>
        </w:tc>
        <w:tc>
          <w:tcPr>
            <w:tcW w:w="375" w:type="pct"/>
            <w:tcBorders>
              <w:top w:val="single" w:sz="12" w:space="0" w:color="auto"/>
              <w:bottom w:val="single" w:sz="4" w:space="0" w:color="auto"/>
            </w:tcBorders>
          </w:tcPr>
          <w:p w14:paraId="40C375FF" w14:textId="77777777" w:rsidR="003A092A" w:rsidRPr="00B44B19" w:rsidRDefault="003A092A" w:rsidP="00966138">
            <w:pPr>
              <w:spacing w:after="0" w:line="240" w:lineRule="auto"/>
              <w:jc w:val="center"/>
              <w:rPr>
                <w:rFonts w:cs="Times New Roman"/>
                <w:noProof/>
                <w:sz w:val="16"/>
                <w:szCs w:val="16"/>
              </w:rPr>
            </w:pPr>
            <w:r w:rsidRPr="00B44B19">
              <w:rPr>
                <w:rFonts w:cs="Times New Roman"/>
                <w:noProof/>
                <w:sz w:val="16"/>
                <w:szCs w:val="16"/>
              </w:rPr>
              <w:t>2021</w:t>
            </w:r>
          </w:p>
        </w:tc>
        <w:tc>
          <w:tcPr>
            <w:tcW w:w="375" w:type="pct"/>
            <w:tcBorders>
              <w:top w:val="single" w:sz="12" w:space="0" w:color="auto"/>
              <w:bottom w:val="single" w:sz="4" w:space="0" w:color="auto"/>
            </w:tcBorders>
          </w:tcPr>
          <w:p w14:paraId="259296CC" w14:textId="1053B19E" w:rsidR="003A092A" w:rsidRPr="00B44B19" w:rsidRDefault="00BF576F" w:rsidP="00966138">
            <w:pPr>
              <w:spacing w:after="0" w:line="240" w:lineRule="auto"/>
              <w:jc w:val="center"/>
              <w:rPr>
                <w:rFonts w:cs="Times New Roman"/>
                <w:noProof/>
                <w:sz w:val="16"/>
                <w:szCs w:val="16"/>
              </w:rPr>
            </w:pPr>
            <w:r w:rsidRPr="00B44B19">
              <w:rPr>
                <w:rFonts w:cs="Times New Roman"/>
                <w:noProof/>
                <w:sz w:val="16"/>
                <w:szCs w:val="16"/>
              </w:rPr>
              <w:t>2 363 275</w:t>
            </w:r>
          </w:p>
        </w:tc>
        <w:tc>
          <w:tcPr>
            <w:tcW w:w="328" w:type="pct"/>
            <w:tcBorders>
              <w:top w:val="single" w:sz="12" w:space="0" w:color="auto"/>
              <w:bottom w:val="single" w:sz="4" w:space="0" w:color="auto"/>
            </w:tcBorders>
          </w:tcPr>
          <w:p w14:paraId="03AFDDD0"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Borders>
              <w:top w:val="single" w:sz="12" w:space="0" w:color="auto"/>
              <w:bottom w:val="single" w:sz="4" w:space="0" w:color="auto"/>
            </w:tcBorders>
          </w:tcPr>
          <w:p w14:paraId="0CDD35E7" w14:textId="77777777" w:rsidR="003A092A" w:rsidRPr="00B44B19" w:rsidRDefault="003A092A" w:rsidP="005B66F2">
            <w:pPr>
              <w:spacing w:after="0" w:line="240" w:lineRule="auto"/>
              <w:jc w:val="both"/>
              <w:rPr>
                <w:rFonts w:cs="Times New Roman"/>
                <w:noProof/>
                <w:sz w:val="16"/>
                <w:szCs w:val="16"/>
              </w:rPr>
            </w:pPr>
          </w:p>
        </w:tc>
      </w:tr>
      <w:tr w:rsidR="005B66F2" w:rsidRPr="00B44B19" w14:paraId="03692B8D" w14:textId="77777777" w:rsidTr="005B66F2">
        <w:trPr>
          <w:trHeight w:val="449"/>
        </w:trPr>
        <w:tc>
          <w:tcPr>
            <w:tcW w:w="317" w:type="pct"/>
            <w:vMerge/>
          </w:tcPr>
          <w:p w14:paraId="7860E47F" w14:textId="77777777" w:rsidR="005B66F2" w:rsidRPr="00B44B19" w:rsidRDefault="005B66F2" w:rsidP="005B66F2">
            <w:pPr>
              <w:spacing w:after="0" w:line="240" w:lineRule="auto"/>
              <w:jc w:val="both"/>
              <w:rPr>
                <w:rFonts w:cs="Times New Roman"/>
                <w:noProof/>
                <w:sz w:val="16"/>
                <w:szCs w:val="16"/>
              </w:rPr>
            </w:pPr>
          </w:p>
        </w:tc>
        <w:tc>
          <w:tcPr>
            <w:tcW w:w="328" w:type="pct"/>
            <w:vMerge/>
          </w:tcPr>
          <w:p w14:paraId="382AC94F" w14:textId="77777777" w:rsidR="005B66F2" w:rsidRPr="00B44B19" w:rsidRDefault="005B66F2" w:rsidP="005B66F2">
            <w:pPr>
              <w:spacing w:after="0" w:line="240" w:lineRule="auto"/>
              <w:jc w:val="both"/>
              <w:rPr>
                <w:rFonts w:cs="Times New Roman"/>
                <w:noProof/>
                <w:sz w:val="16"/>
                <w:szCs w:val="16"/>
              </w:rPr>
            </w:pPr>
          </w:p>
        </w:tc>
        <w:tc>
          <w:tcPr>
            <w:tcW w:w="281" w:type="pct"/>
            <w:tcBorders>
              <w:top w:val="single" w:sz="4" w:space="0" w:color="auto"/>
            </w:tcBorders>
          </w:tcPr>
          <w:p w14:paraId="5C79A833" w14:textId="77777777" w:rsidR="005B66F2" w:rsidRPr="00B44B19" w:rsidRDefault="005B66F2" w:rsidP="005B66F2">
            <w:pPr>
              <w:spacing w:after="0" w:line="240" w:lineRule="auto"/>
              <w:jc w:val="both"/>
              <w:rPr>
                <w:rFonts w:cs="Times New Roman"/>
                <w:noProof/>
                <w:sz w:val="16"/>
                <w:szCs w:val="16"/>
              </w:rPr>
            </w:pPr>
            <w:r w:rsidRPr="00B44B19">
              <w:rPr>
                <w:rFonts w:cs="Times New Roman"/>
                <w:noProof/>
                <w:sz w:val="16"/>
                <w:szCs w:val="16"/>
              </w:rPr>
              <w:t>ERPF</w:t>
            </w:r>
          </w:p>
        </w:tc>
        <w:tc>
          <w:tcPr>
            <w:tcW w:w="328" w:type="pct"/>
            <w:tcBorders>
              <w:top w:val="single" w:sz="4" w:space="0" w:color="auto"/>
            </w:tcBorders>
          </w:tcPr>
          <w:p w14:paraId="423697D3" w14:textId="77777777" w:rsidR="005B66F2" w:rsidRPr="00B44B19" w:rsidRDefault="005B66F2"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Borders>
              <w:top w:val="single" w:sz="4" w:space="0" w:color="auto"/>
            </w:tcBorders>
          </w:tcPr>
          <w:p w14:paraId="436B57B0" w14:textId="77777777" w:rsidR="005B66F2" w:rsidRPr="00B44B19" w:rsidRDefault="005B66F2" w:rsidP="005B66F2">
            <w:pPr>
              <w:spacing w:after="0" w:line="240" w:lineRule="auto"/>
              <w:jc w:val="both"/>
              <w:rPr>
                <w:rFonts w:cs="Times New Roman"/>
                <w:sz w:val="16"/>
                <w:szCs w:val="16"/>
                <w:lang w:eastAsia="en-GB"/>
              </w:rPr>
            </w:pPr>
            <w:r w:rsidRPr="00B44B19">
              <w:rPr>
                <w:rFonts w:cs="Times New Roman"/>
                <w:sz w:val="16"/>
                <w:szCs w:val="16"/>
                <w:lang w:eastAsia="en-GB"/>
              </w:rPr>
              <w:t>RCR26</w:t>
            </w:r>
          </w:p>
        </w:tc>
        <w:tc>
          <w:tcPr>
            <w:tcW w:w="1267" w:type="pct"/>
            <w:tcBorders>
              <w:top w:val="single" w:sz="4" w:space="0" w:color="auto"/>
            </w:tcBorders>
          </w:tcPr>
          <w:p w14:paraId="080FD335" w14:textId="437CC93B" w:rsidR="005B66F2" w:rsidRPr="00B44B19" w:rsidRDefault="001C5974" w:rsidP="005D7AA4">
            <w:pPr>
              <w:tabs>
                <w:tab w:val="left" w:pos="7560"/>
              </w:tabs>
              <w:spacing w:after="0" w:line="240" w:lineRule="auto"/>
              <w:jc w:val="both"/>
              <w:rPr>
                <w:rFonts w:cs="Times New Roman"/>
                <w:iCs/>
                <w:sz w:val="16"/>
                <w:szCs w:val="16"/>
              </w:rPr>
            </w:pPr>
            <w:r w:rsidRPr="00B44B19">
              <w:rPr>
                <w:rFonts w:cs="Times New Roman"/>
                <w:iCs/>
                <w:sz w:val="16"/>
                <w:szCs w:val="16"/>
              </w:rPr>
              <w:t>Metinis pirminės energijos suvartojimo kiekis (iš kurio: būstai, viešieji pastatai, įmonės, kita)</w:t>
            </w:r>
          </w:p>
        </w:tc>
        <w:tc>
          <w:tcPr>
            <w:tcW w:w="328" w:type="pct"/>
            <w:tcBorders>
              <w:top w:val="single" w:sz="4" w:space="0" w:color="auto"/>
            </w:tcBorders>
          </w:tcPr>
          <w:p w14:paraId="62264AAE" w14:textId="77777777" w:rsidR="005B66F2" w:rsidRPr="00B44B19" w:rsidRDefault="005B66F2" w:rsidP="005B66F2">
            <w:pPr>
              <w:spacing w:after="0" w:line="240" w:lineRule="auto"/>
              <w:jc w:val="both"/>
              <w:rPr>
                <w:rFonts w:cs="Times New Roman"/>
                <w:color w:val="000000"/>
                <w:sz w:val="16"/>
                <w:szCs w:val="16"/>
                <w:shd w:val="clear" w:color="auto" w:fill="FFFFFF"/>
              </w:rPr>
            </w:pPr>
            <w:r w:rsidRPr="00B44B19">
              <w:rPr>
                <w:rFonts w:cs="Times New Roman"/>
                <w:noProof/>
                <w:sz w:val="16"/>
                <w:szCs w:val="16"/>
              </w:rPr>
              <w:t>MWh per metus</w:t>
            </w:r>
          </w:p>
        </w:tc>
        <w:tc>
          <w:tcPr>
            <w:tcW w:w="375" w:type="pct"/>
            <w:tcBorders>
              <w:top w:val="single" w:sz="4" w:space="0" w:color="auto"/>
            </w:tcBorders>
          </w:tcPr>
          <w:p w14:paraId="720BD86A" w14:textId="75D1BE95" w:rsidR="005B66F2" w:rsidRPr="00B44B19" w:rsidRDefault="00BF576F" w:rsidP="00166DEF">
            <w:pPr>
              <w:spacing w:after="0" w:line="240" w:lineRule="auto"/>
              <w:jc w:val="center"/>
              <w:rPr>
                <w:rFonts w:cs="Times New Roman"/>
                <w:noProof/>
                <w:sz w:val="16"/>
                <w:szCs w:val="16"/>
              </w:rPr>
            </w:pPr>
            <w:r w:rsidRPr="00B44B19">
              <w:rPr>
                <w:rFonts w:cs="Times New Roman"/>
                <w:noProof/>
                <w:sz w:val="16"/>
                <w:szCs w:val="16"/>
              </w:rPr>
              <w:t>3 769 978</w:t>
            </w:r>
          </w:p>
        </w:tc>
        <w:tc>
          <w:tcPr>
            <w:tcW w:w="375" w:type="pct"/>
            <w:tcBorders>
              <w:top w:val="single" w:sz="4" w:space="0" w:color="auto"/>
            </w:tcBorders>
          </w:tcPr>
          <w:p w14:paraId="4B7A473A" w14:textId="77777777" w:rsidR="005B66F2" w:rsidRPr="00B44B19" w:rsidRDefault="005B66F2" w:rsidP="005B66F2">
            <w:pPr>
              <w:spacing w:after="0" w:line="240" w:lineRule="auto"/>
              <w:jc w:val="center"/>
              <w:rPr>
                <w:rFonts w:cs="Times New Roman"/>
                <w:noProof/>
                <w:sz w:val="16"/>
                <w:szCs w:val="16"/>
                <w:lang w:val="en-US"/>
              </w:rPr>
            </w:pPr>
            <w:r w:rsidRPr="00B44B19">
              <w:rPr>
                <w:rFonts w:cs="Times New Roman"/>
                <w:noProof/>
                <w:sz w:val="16"/>
                <w:szCs w:val="16"/>
                <w:lang w:val="en-US"/>
              </w:rPr>
              <w:t>2021</w:t>
            </w:r>
          </w:p>
        </w:tc>
        <w:tc>
          <w:tcPr>
            <w:tcW w:w="375" w:type="pct"/>
            <w:tcBorders>
              <w:top w:val="single" w:sz="4" w:space="0" w:color="auto"/>
            </w:tcBorders>
          </w:tcPr>
          <w:p w14:paraId="2D0B6B7D" w14:textId="0A893F36" w:rsidR="005B66F2" w:rsidRPr="00B44B19" w:rsidRDefault="00BF576F" w:rsidP="009531DB">
            <w:pPr>
              <w:spacing w:after="0" w:line="240" w:lineRule="auto"/>
              <w:jc w:val="center"/>
              <w:rPr>
                <w:rFonts w:cs="Times New Roman"/>
                <w:noProof/>
                <w:sz w:val="16"/>
                <w:szCs w:val="16"/>
              </w:rPr>
            </w:pPr>
            <w:r w:rsidRPr="00B44B19">
              <w:rPr>
                <w:rFonts w:cs="Times New Roman"/>
                <w:noProof/>
                <w:sz w:val="16"/>
                <w:szCs w:val="16"/>
              </w:rPr>
              <w:t>2 972 483</w:t>
            </w:r>
          </w:p>
        </w:tc>
        <w:tc>
          <w:tcPr>
            <w:tcW w:w="328" w:type="pct"/>
            <w:tcBorders>
              <w:top w:val="single" w:sz="4" w:space="0" w:color="auto"/>
            </w:tcBorders>
          </w:tcPr>
          <w:p w14:paraId="2A277812" w14:textId="77777777" w:rsidR="005B66F2" w:rsidRPr="00B44B19" w:rsidRDefault="0056465F" w:rsidP="005B66F2">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Borders>
              <w:top w:val="single" w:sz="4" w:space="0" w:color="auto"/>
            </w:tcBorders>
          </w:tcPr>
          <w:p w14:paraId="47362653" w14:textId="77777777" w:rsidR="005B66F2" w:rsidRPr="00B44B19" w:rsidRDefault="005B66F2" w:rsidP="005B66F2">
            <w:pPr>
              <w:spacing w:after="0" w:line="240" w:lineRule="auto"/>
              <w:jc w:val="both"/>
              <w:rPr>
                <w:rFonts w:cs="Times New Roman"/>
                <w:noProof/>
                <w:sz w:val="16"/>
                <w:szCs w:val="16"/>
              </w:rPr>
            </w:pPr>
          </w:p>
        </w:tc>
      </w:tr>
      <w:tr w:rsidR="003A092A" w:rsidRPr="00B44B19" w14:paraId="580AB848" w14:textId="77777777" w:rsidTr="005B66F2">
        <w:trPr>
          <w:trHeight w:val="538"/>
        </w:trPr>
        <w:tc>
          <w:tcPr>
            <w:tcW w:w="317" w:type="pct"/>
            <w:vMerge/>
          </w:tcPr>
          <w:p w14:paraId="74B87B30" w14:textId="77777777" w:rsidR="003A092A" w:rsidRPr="00B44B19" w:rsidRDefault="003A092A" w:rsidP="005B66F2">
            <w:pPr>
              <w:spacing w:after="0" w:line="240" w:lineRule="auto"/>
              <w:jc w:val="both"/>
              <w:rPr>
                <w:rFonts w:cs="Times New Roman"/>
                <w:noProof/>
                <w:sz w:val="16"/>
                <w:szCs w:val="16"/>
              </w:rPr>
            </w:pPr>
          </w:p>
        </w:tc>
        <w:tc>
          <w:tcPr>
            <w:tcW w:w="328" w:type="pct"/>
            <w:vMerge/>
          </w:tcPr>
          <w:p w14:paraId="645ADEC4" w14:textId="77777777" w:rsidR="003A092A" w:rsidRPr="00B44B19" w:rsidRDefault="003A092A" w:rsidP="005B66F2">
            <w:pPr>
              <w:spacing w:after="0" w:line="240" w:lineRule="auto"/>
              <w:jc w:val="both"/>
              <w:rPr>
                <w:rFonts w:cs="Times New Roman"/>
                <w:noProof/>
                <w:sz w:val="16"/>
                <w:szCs w:val="16"/>
              </w:rPr>
            </w:pPr>
          </w:p>
        </w:tc>
        <w:tc>
          <w:tcPr>
            <w:tcW w:w="281" w:type="pct"/>
          </w:tcPr>
          <w:p w14:paraId="0D20E8A3"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SaF</w:t>
            </w:r>
          </w:p>
        </w:tc>
        <w:tc>
          <w:tcPr>
            <w:tcW w:w="328" w:type="pct"/>
          </w:tcPr>
          <w:p w14:paraId="42896A1D"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Pr>
          <w:p w14:paraId="2CB8BD84" w14:textId="77777777" w:rsidR="003A092A" w:rsidRPr="00B44B19" w:rsidRDefault="003A092A" w:rsidP="005B66F2">
            <w:pPr>
              <w:spacing w:after="0" w:line="240" w:lineRule="auto"/>
              <w:jc w:val="both"/>
              <w:rPr>
                <w:rFonts w:cs="Times New Roman"/>
                <w:sz w:val="16"/>
                <w:szCs w:val="16"/>
                <w:lang w:eastAsia="en-GB"/>
              </w:rPr>
            </w:pPr>
            <w:r w:rsidRPr="00B44B19">
              <w:rPr>
                <w:rFonts w:cs="Times New Roman"/>
                <w:sz w:val="16"/>
                <w:szCs w:val="16"/>
                <w:lang w:eastAsia="en-GB"/>
              </w:rPr>
              <w:t>RCR29</w:t>
            </w:r>
          </w:p>
        </w:tc>
        <w:tc>
          <w:tcPr>
            <w:tcW w:w="1267" w:type="pct"/>
          </w:tcPr>
          <w:p w14:paraId="464B48C5" w14:textId="77777777" w:rsidR="003A092A" w:rsidRPr="00B44B19" w:rsidRDefault="003A092A" w:rsidP="005B66F2">
            <w:pPr>
              <w:tabs>
                <w:tab w:val="left" w:pos="7560"/>
              </w:tabs>
              <w:spacing w:after="0" w:line="240" w:lineRule="auto"/>
              <w:jc w:val="both"/>
              <w:rPr>
                <w:rFonts w:cs="Times New Roman"/>
                <w:iCs/>
                <w:sz w:val="16"/>
                <w:szCs w:val="16"/>
              </w:rPr>
            </w:pPr>
            <w:r w:rsidRPr="00B44B19">
              <w:rPr>
                <w:rFonts w:cs="Times New Roman"/>
                <w:iCs/>
                <w:sz w:val="16"/>
                <w:szCs w:val="16"/>
              </w:rPr>
              <w:t>Numatomas išmetamas šiltnamio efektą sukeliančių dujų kiekis</w:t>
            </w:r>
          </w:p>
        </w:tc>
        <w:tc>
          <w:tcPr>
            <w:tcW w:w="328" w:type="pct"/>
          </w:tcPr>
          <w:p w14:paraId="513382E9" w14:textId="77777777" w:rsidR="003A092A" w:rsidRPr="00B44B19" w:rsidRDefault="003A092A" w:rsidP="005B66F2">
            <w:pPr>
              <w:spacing w:after="0" w:line="240" w:lineRule="auto"/>
              <w:jc w:val="both"/>
              <w:rPr>
                <w:rFonts w:cs="Times New Roman"/>
                <w:noProof/>
                <w:sz w:val="16"/>
                <w:szCs w:val="16"/>
              </w:rPr>
            </w:pPr>
            <w:r w:rsidRPr="00B44B19">
              <w:rPr>
                <w:rFonts w:cs="Times New Roman"/>
                <w:color w:val="000000"/>
                <w:sz w:val="16"/>
                <w:szCs w:val="16"/>
                <w:shd w:val="clear" w:color="auto" w:fill="FFFFFF"/>
              </w:rPr>
              <w:t>Tonos CO</w:t>
            </w:r>
            <w:r w:rsidRPr="00B44B19">
              <w:rPr>
                <w:rFonts w:cs="Times New Roman"/>
                <w:color w:val="000000"/>
                <w:sz w:val="16"/>
                <w:szCs w:val="16"/>
                <w:shd w:val="clear" w:color="auto" w:fill="FFFFFF"/>
                <w:vertAlign w:val="subscript"/>
              </w:rPr>
              <w:t>2</w:t>
            </w:r>
            <w:r w:rsidRPr="00B44B19">
              <w:rPr>
                <w:rFonts w:cs="Times New Roman"/>
                <w:color w:val="000000"/>
                <w:sz w:val="16"/>
                <w:szCs w:val="16"/>
                <w:shd w:val="clear" w:color="auto" w:fill="FFFFFF"/>
              </w:rPr>
              <w:t xml:space="preserve"> ekvivalentu per metus</w:t>
            </w:r>
          </w:p>
        </w:tc>
        <w:tc>
          <w:tcPr>
            <w:tcW w:w="375" w:type="pct"/>
          </w:tcPr>
          <w:p w14:paraId="4031FA37" w14:textId="0ECB05B9" w:rsidR="003A092A" w:rsidRPr="00B44B19" w:rsidRDefault="00BF576F" w:rsidP="00966138">
            <w:pPr>
              <w:spacing w:after="0" w:line="240" w:lineRule="auto"/>
              <w:jc w:val="center"/>
              <w:rPr>
                <w:rFonts w:cs="Times New Roman"/>
                <w:noProof/>
                <w:sz w:val="16"/>
                <w:szCs w:val="16"/>
              </w:rPr>
            </w:pPr>
            <w:r w:rsidRPr="00B44B19">
              <w:rPr>
                <w:rFonts w:cs="Times New Roman"/>
                <w:noProof/>
                <w:sz w:val="16"/>
                <w:szCs w:val="16"/>
              </w:rPr>
              <w:t>275 649</w:t>
            </w:r>
          </w:p>
        </w:tc>
        <w:tc>
          <w:tcPr>
            <w:tcW w:w="375" w:type="pct"/>
          </w:tcPr>
          <w:p w14:paraId="5858D417" w14:textId="77777777" w:rsidR="003A092A" w:rsidRPr="00B44B19" w:rsidRDefault="003A092A" w:rsidP="00966138">
            <w:pPr>
              <w:spacing w:after="0" w:line="240" w:lineRule="auto"/>
              <w:jc w:val="center"/>
              <w:rPr>
                <w:rFonts w:cs="Times New Roman"/>
                <w:noProof/>
                <w:sz w:val="16"/>
                <w:szCs w:val="16"/>
              </w:rPr>
            </w:pPr>
            <w:r w:rsidRPr="00B44B19">
              <w:rPr>
                <w:rFonts w:cs="Times New Roman"/>
                <w:noProof/>
                <w:sz w:val="16"/>
                <w:szCs w:val="16"/>
              </w:rPr>
              <w:t>2021</w:t>
            </w:r>
          </w:p>
        </w:tc>
        <w:tc>
          <w:tcPr>
            <w:tcW w:w="375" w:type="pct"/>
          </w:tcPr>
          <w:p w14:paraId="62CD5477" w14:textId="7CE405FD" w:rsidR="003A092A" w:rsidRPr="00B44B19" w:rsidRDefault="00BF576F" w:rsidP="00966138">
            <w:pPr>
              <w:spacing w:after="0" w:line="240" w:lineRule="auto"/>
              <w:jc w:val="center"/>
              <w:rPr>
                <w:rFonts w:cs="Times New Roman"/>
                <w:noProof/>
                <w:sz w:val="16"/>
                <w:szCs w:val="16"/>
              </w:rPr>
            </w:pPr>
            <w:r w:rsidRPr="00B44B19">
              <w:rPr>
                <w:rFonts w:cs="Times New Roman"/>
                <w:noProof/>
                <w:sz w:val="16"/>
                <w:szCs w:val="16"/>
              </w:rPr>
              <w:t>236 014</w:t>
            </w:r>
          </w:p>
        </w:tc>
        <w:tc>
          <w:tcPr>
            <w:tcW w:w="328" w:type="pct"/>
          </w:tcPr>
          <w:p w14:paraId="7A2E3876" w14:textId="77777777" w:rsidR="003A092A" w:rsidRPr="00B44B19" w:rsidRDefault="003A092A" w:rsidP="005B66F2">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Pr>
          <w:p w14:paraId="5A3901E6" w14:textId="77777777" w:rsidR="003A092A" w:rsidRPr="00B44B19" w:rsidRDefault="003A092A" w:rsidP="005B66F2">
            <w:pPr>
              <w:spacing w:after="0" w:line="240" w:lineRule="auto"/>
              <w:jc w:val="both"/>
              <w:rPr>
                <w:rFonts w:cs="Times New Roman"/>
                <w:noProof/>
                <w:sz w:val="16"/>
                <w:szCs w:val="16"/>
              </w:rPr>
            </w:pPr>
          </w:p>
        </w:tc>
      </w:tr>
      <w:tr w:rsidR="005B66F2" w:rsidRPr="00B44B19" w14:paraId="37F82ACF" w14:textId="77777777" w:rsidTr="005B66F2">
        <w:trPr>
          <w:trHeight w:val="538"/>
        </w:trPr>
        <w:tc>
          <w:tcPr>
            <w:tcW w:w="317" w:type="pct"/>
            <w:vMerge/>
          </w:tcPr>
          <w:p w14:paraId="2E4C994B" w14:textId="77777777" w:rsidR="005B66F2" w:rsidRPr="00B44B19" w:rsidRDefault="005B66F2" w:rsidP="005B66F2">
            <w:pPr>
              <w:spacing w:after="0" w:line="240" w:lineRule="auto"/>
              <w:jc w:val="both"/>
              <w:rPr>
                <w:rFonts w:cs="Times New Roman"/>
                <w:noProof/>
                <w:sz w:val="16"/>
                <w:szCs w:val="16"/>
              </w:rPr>
            </w:pPr>
          </w:p>
        </w:tc>
        <w:tc>
          <w:tcPr>
            <w:tcW w:w="328" w:type="pct"/>
            <w:vMerge/>
          </w:tcPr>
          <w:p w14:paraId="4BA1A4BE" w14:textId="77777777" w:rsidR="005B66F2" w:rsidRPr="00B44B19" w:rsidRDefault="005B66F2" w:rsidP="005B66F2">
            <w:pPr>
              <w:spacing w:after="0" w:line="240" w:lineRule="auto"/>
              <w:jc w:val="both"/>
              <w:rPr>
                <w:rFonts w:cs="Times New Roman"/>
                <w:noProof/>
                <w:sz w:val="16"/>
                <w:szCs w:val="16"/>
              </w:rPr>
            </w:pPr>
          </w:p>
        </w:tc>
        <w:tc>
          <w:tcPr>
            <w:tcW w:w="281" w:type="pct"/>
          </w:tcPr>
          <w:p w14:paraId="1339E657" w14:textId="77777777" w:rsidR="005B66F2" w:rsidRPr="00B44B19" w:rsidRDefault="005B66F2" w:rsidP="005B66F2">
            <w:pPr>
              <w:spacing w:after="0" w:line="240" w:lineRule="auto"/>
              <w:jc w:val="both"/>
              <w:rPr>
                <w:rFonts w:cs="Times New Roman"/>
                <w:noProof/>
                <w:sz w:val="16"/>
                <w:szCs w:val="16"/>
              </w:rPr>
            </w:pPr>
            <w:r w:rsidRPr="00B44B19">
              <w:rPr>
                <w:rFonts w:cs="Times New Roman"/>
                <w:noProof/>
                <w:sz w:val="16"/>
                <w:szCs w:val="16"/>
              </w:rPr>
              <w:t>ERPF</w:t>
            </w:r>
          </w:p>
        </w:tc>
        <w:tc>
          <w:tcPr>
            <w:tcW w:w="328" w:type="pct"/>
          </w:tcPr>
          <w:p w14:paraId="2F465EDD" w14:textId="77777777" w:rsidR="005B66F2" w:rsidRPr="00B44B19" w:rsidRDefault="005B66F2" w:rsidP="005B66F2">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39B21429" w14:textId="77777777" w:rsidR="005B66F2" w:rsidRPr="00B44B19" w:rsidRDefault="005B66F2" w:rsidP="005B66F2">
            <w:pPr>
              <w:spacing w:after="0" w:line="240" w:lineRule="auto"/>
              <w:jc w:val="both"/>
              <w:rPr>
                <w:rFonts w:cs="Times New Roman"/>
                <w:sz w:val="16"/>
                <w:szCs w:val="16"/>
                <w:lang w:eastAsia="en-GB"/>
              </w:rPr>
            </w:pPr>
            <w:r w:rsidRPr="00B44B19">
              <w:rPr>
                <w:rFonts w:cs="Times New Roman"/>
                <w:sz w:val="16"/>
                <w:szCs w:val="16"/>
                <w:lang w:eastAsia="en-GB"/>
              </w:rPr>
              <w:t>RCR29</w:t>
            </w:r>
          </w:p>
        </w:tc>
        <w:tc>
          <w:tcPr>
            <w:tcW w:w="1267" w:type="pct"/>
          </w:tcPr>
          <w:p w14:paraId="7FBC347E" w14:textId="77777777" w:rsidR="005B66F2" w:rsidRPr="00B44B19" w:rsidRDefault="00F91F4A" w:rsidP="005B66F2">
            <w:pPr>
              <w:tabs>
                <w:tab w:val="left" w:pos="7560"/>
              </w:tabs>
              <w:spacing w:after="0" w:line="240" w:lineRule="auto"/>
              <w:jc w:val="both"/>
              <w:rPr>
                <w:rFonts w:cs="Times New Roman"/>
                <w:iCs/>
                <w:sz w:val="16"/>
                <w:szCs w:val="16"/>
              </w:rPr>
            </w:pPr>
            <w:r w:rsidRPr="00B44B19">
              <w:rPr>
                <w:rFonts w:cs="Times New Roman"/>
                <w:iCs/>
                <w:sz w:val="16"/>
                <w:szCs w:val="16"/>
              </w:rPr>
              <w:t>Numatomas išmetamas šiltnamio efektą sukeliančių dujų kiekis</w:t>
            </w:r>
          </w:p>
        </w:tc>
        <w:tc>
          <w:tcPr>
            <w:tcW w:w="328" w:type="pct"/>
          </w:tcPr>
          <w:p w14:paraId="7236D08A" w14:textId="77777777" w:rsidR="005B66F2" w:rsidRPr="00B44B19" w:rsidRDefault="005B66F2" w:rsidP="005B66F2">
            <w:pPr>
              <w:spacing w:after="0" w:line="240" w:lineRule="auto"/>
              <w:jc w:val="both"/>
              <w:rPr>
                <w:rFonts w:cs="Times New Roman"/>
                <w:color w:val="000000"/>
                <w:sz w:val="16"/>
                <w:szCs w:val="16"/>
                <w:shd w:val="clear" w:color="auto" w:fill="FFFFFF"/>
              </w:rPr>
            </w:pPr>
            <w:r w:rsidRPr="00B44B19">
              <w:rPr>
                <w:rFonts w:cs="Times New Roman"/>
                <w:color w:val="000000"/>
                <w:sz w:val="16"/>
                <w:szCs w:val="16"/>
                <w:shd w:val="clear" w:color="auto" w:fill="FFFFFF"/>
              </w:rPr>
              <w:t>Tonos CO</w:t>
            </w:r>
            <w:r w:rsidRPr="00B44B19">
              <w:rPr>
                <w:rFonts w:cs="Times New Roman"/>
                <w:color w:val="000000"/>
                <w:sz w:val="16"/>
                <w:szCs w:val="16"/>
                <w:shd w:val="clear" w:color="auto" w:fill="FFFFFF"/>
                <w:vertAlign w:val="subscript"/>
              </w:rPr>
              <w:t>2</w:t>
            </w:r>
            <w:r w:rsidRPr="00B44B19">
              <w:rPr>
                <w:rFonts w:cs="Times New Roman"/>
                <w:color w:val="000000"/>
                <w:sz w:val="16"/>
                <w:szCs w:val="16"/>
                <w:shd w:val="clear" w:color="auto" w:fill="FFFFFF"/>
              </w:rPr>
              <w:t xml:space="preserve"> ekvivalentu per metus</w:t>
            </w:r>
          </w:p>
        </w:tc>
        <w:tc>
          <w:tcPr>
            <w:tcW w:w="375" w:type="pct"/>
          </w:tcPr>
          <w:p w14:paraId="3BEB2742" w14:textId="52C6A9E1" w:rsidR="005B66F2" w:rsidRPr="00B44B19" w:rsidRDefault="00BF576F" w:rsidP="007801F7">
            <w:pPr>
              <w:spacing w:after="0" w:line="240" w:lineRule="auto"/>
              <w:jc w:val="center"/>
              <w:rPr>
                <w:rFonts w:cs="Times New Roman"/>
                <w:noProof/>
                <w:sz w:val="16"/>
                <w:szCs w:val="16"/>
              </w:rPr>
            </w:pPr>
            <w:r w:rsidRPr="00B44B19">
              <w:rPr>
                <w:rFonts w:cs="Times New Roman"/>
                <w:noProof/>
                <w:sz w:val="16"/>
                <w:szCs w:val="16"/>
                <w:lang w:val="en-GB"/>
              </w:rPr>
              <w:t>382 862</w:t>
            </w:r>
          </w:p>
        </w:tc>
        <w:tc>
          <w:tcPr>
            <w:tcW w:w="375" w:type="pct"/>
          </w:tcPr>
          <w:p w14:paraId="474DE2D2" w14:textId="77777777" w:rsidR="005B66F2" w:rsidRPr="00B44B19" w:rsidRDefault="005B66F2" w:rsidP="005B66F2">
            <w:pPr>
              <w:spacing w:after="0" w:line="240" w:lineRule="auto"/>
              <w:jc w:val="center"/>
              <w:rPr>
                <w:rFonts w:cs="Times New Roman"/>
                <w:noProof/>
                <w:sz w:val="16"/>
                <w:szCs w:val="16"/>
              </w:rPr>
            </w:pPr>
            <w:r w:rsidRPr="00B44B19">
              <w:rPr>
                <w:rFonts w:cs="Times New Roman"/>
                <w:noProof/>
                <w:sz w:val="16"/>
                <w:szCs w:val="16"/>
              </w:rPr>
              <w:t>2021</w:t>
            </w:r>
          </w:p>
        </w:tc>
        <w:tc>
          <w:tcPr>
            <w:tcW w:w="375" w:type="pct"/>
          </w:tcPr>
          <w:p w14:paraId="120375F2" w14:textId="2A6FF707" w:rsidR="005B66F2" w:rsidRPr="00B44B19" w:rsidRDefault="00BF576F" w:rsidP="00857E56">
            <w:pPr>
              <w:spacing w:after="0" w:line="240" w:lineRule="auto"/>
              <w:jc w:val="center"/>
              <w:rPr>
                <w:rFonts w:cs="Times New Roman"/>
                <w:noProof/>
                <w:sz w:val="16"/>
                <w:szCs w:val="16"/>
              </w:rPr>
            </w:pPr>
            <w:r w:rsidRPr="00B44B19">
              <w:rPr>
                <w:rFonts w:cs="Times New Roman"/>
                <w:noProof/>
                <w:sz w:val="16"/>
                <w:szCs w:val="16"/>
              </w:rPr>
              <w:t>308 008</w:t>
            </w:r>
          </w:p>
        </w:tc>
        <w:tc>
          <w:tcPr>
            <w:tcW w:w="328" w:type="pct"/>
          </w:tcPr>
          <w:p w14:paraId="29D08EB8" w14:textId="77777777" w:rsidR="005B66F2" w:rsidRPr="00B44B19" w:rsidRDefault="0056465F" w:rsidP="005B66F2">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Pr>
          <w:p w14:paraId="40FFFF76" w14:textId="77777777" w:rsidR="005B66F2" w:rsidRPr="00B44B19" w:rsidRDefault="005B66F2" w:rsidP="005B66F2">
            <w:pPr>
              <w:spacing w:after="0" w:line="240" w:lineRule="auto"/>
              <w:jc w:val="both"/>
              <w:rPr>
                <w:rFonts w:cs="Times New Roman"/>
                <w:noProof/>
                <w:sz w:val="16"/>
                <w:szCs w:val="16"/>
              </w:rPr>
            </w:pPr>
          </w:p>
        </w:tc>
      </w:tr>
    </w:tbl>
    <w:p w14:paraId="468F11FA" w14:textId="77777777" w:rsidR="006224F1" w:rsidRPr="00B44B19" w:rsidRDefault="006224F1" w:rsidP="006224F1">
      <w:pPr>
        <w:spacing w:after="0" w:line="240" w:lineRule="auto"/>
        <w:jc w:val="both"/>
        <w:rPr>
          <w:rFonts w:cs="Times New Roman"/>
          <w:b/>
          <w:szCs w:val="24"/>
        </w:rPr>
        <w:sectPr w:rsidR="006224F1" w:rsidRPr="00B44B19" w:rsidSect="00931C78">
          <w:pgSz w:w="16838" w:h="11906" w:orient="landscape"/>
          <w:pgMar w:top="1701" w:right="1276" w:bottom="567" w:left="1134" w:header="567" w:footer="567" w:gutter="0"/>
          <w:cols w:space="1296"/>
          <w:docGrid w:linePitch="360"/>
        </w:sectPr>
      </w:pPr>
    </w:p>
    <w:p w14:paraId="79B1884C" w14:textId="77777777" w:rsidR="009750A4" w:rsidRPr="00B44B19" w:rsidRDefault="006224F1" w:rsidP="00891CA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094"/>
        <w:gridCol w:w="848"/>
        <w:gridCol w:w="1427"/>
        <w:gridCol w:w="1134"/>
        <w:gridCol w:w="3827"/>
        <w:gridCol w:w="1559"/>
      </w:tblGrid>
      <w:tr w:rsidR="005B66F2" w:rsidRPr="00B44B19" w14:paraId="251BB80B"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AC6BBB4" w14:textId="77777777" w:rsidR="005B66F2" w:rsidRPr="00B44B19" w:rsidRDefault="005B66F2" w:rsidP="005B66F2">
            <w:pPr>
              <w:rPr>
                <w:rFonts w:eastAsia="Times New Roman" w:cs="Times New Roman"/>
                <w:b/>
                <w:iCs/>
                <w:noProof/>
                <w:sz w:val="20"/>
                <w:szCs w:val="20"/>
              </w:rPr>
            </w:pPr>
            <w:r w:rsidRPr="00B44B19">
              <w:rPr>
                <w:rFonts w:cs="Times New Roman"/>
                <w:b/>
                <w:noProof/>
                <w:sz w:val="20"/>
                <w:szCs w:val="20"/>
              </w:rPr>
              <w:t>4 lentelė. 1 matmuo. Intervencinių priemonių sritis</w:t>
            </w:r>
          </w:p>
        </w:tc>
      </w:tr>
      <w:tr w:rsidR="005B66F2" w:rsidRPr="00B44B19" w14:paraId="26593372" w14:textId="77777777" w:rsidTr="003B113E">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7034B2" w14:textId="77777777" w:rsidR="005B66F2" w:rsidRPr="00B44B19" w:rsidRDefault="005B66F2" w:rsidP="005B66F2">
            <w:pPr>
              <w:jc w:val="center"/>
              <w:rPr>
                <w:rFonts w:eastAsia="Times New Roman" w:cs="Times New Roman"/>
                <w:b/>
                <w:iCs/>
                <w:noProof/>
                <w:sz w:val="20"/>
                <w:szCs w:val="20"/>
              </w:rPr>
            </w:pPr>
            <w:r w:rsidRPr="00B44B19">
              <w:rPr>
                <w:rFonts w:cs="Times New Roman"/>
                <w:b/>
                <w:noProof/>
                <w:sz w:val="20"/>
                <w:szCs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A25B11" w14:textId="77777777" w:rsidR="005B66F2" w:rsidRPr="00B44B19" w:rsidRDefault="005B66F2" w:rsidP="005B66F2">
            <w:pPr>
              <w:jc w:val="center"/>
              <w:rPr>
                <w:rFonts w:eastAsia="Times New Roman" w:cs="Times New Roman"/>
                <w:b/>
                <w:iCs/>
                <w:noProof/>
                <w:sz w:val="20"/>
                <w:szCs w:val="20"/>
              </w:rPr>
            </w:pPr>
            <w:r w:rsidRPr="00B44B19">
              <w:rPr>
                <w:rFonts w:cs="Times New Roman"/>
                <w:b/>
                <w:noProof/>
                <w:sz w:val="20"/>
                <w:szCs w:val="20"/>
              </w:rPr>
              <w:t>Fondas</w:t>
            </w:r>
          </w:p>
        </w:tc>
        <w:tc>
          <w:tcPr>
            <w:tcW w:w="14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8C832D" w14:textId="77777777" w:rsidR="005B66F2" w:rsidRPr="00B44B19" w:rsidRDefault="005B66F2" w:rsidP="005B66F2">
            <w:pPr>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133AE" w14:textId="77777777" w:rsidR="005B66F2" w:rsidRPr="00B44B19" w:rsidRDefault="005B66F2" w:rsidP="005B66F2">
            <w:pPr>
              <w:jc w:val="center"/>
              <w:rPr>
                <w:rFonts w:eastAsia="Times New Roman" w:cs="Times New Roman"/>
                <w:b/>
                <w:iCs/>
                <w:noProof/>
                <w:sz w:val="20"/>
                <w:szCs w:val="20"/>
              </w:rPr>
            </w:pPr>
            <w:r w:rsidRPr="00B44B19">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788E5A" w14:textId="77777777" w:rsidR="005B66F2" w:rsidRPr="00B44B19" w:rsidRDefault="005B66F2" w:rsidP="005B66F2">
            <w:pPr>
              <w:jc w:val="center"/>
              <w:rPr>
                <w:rFonts w:eastAsia="Times New Roman" w:cs="Times New Roman"/>
                <w:b/>
                <w:iCs/>
                <w:noProof/>
                <w:sz w:val="20"/>
                <w:szCs w:val="20"/>
              </w:rPr>
            </w:pPr>
            <w:r w:rsidRPr="00B44B19">
              <w:rPr>
                <w:rFonts w:cs="Times New Roman"/>
                <w:b/>
                <w:noProof/>
                <w:sz w:val="20"/>
                <w:szCs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F9DB26" w14:textId="77777777" w:rsidR="005B66F2" w:rsidRPr="00B44B19" w:rsidRDefault="005B66F2" w:rsidP="005B66F2">
            <w:pPr>
              <w:jc w:val="center"/>
              <w:rPr>
                <w:rFonts w:eastAsia="Times New Roman" w:cs="Times New Roman"/>
                <w:b/>
                <w:iCs/>
                <w:noProof/>
                <w:sz w:val="20"/>
                <w:szCs w:val="20"/>
              </w:rPr>
            </w:pPr>
            <w:r w:rsidRPr="00B44B19">
              <w:rPr>
                <w:rFonts w:cs="Times New Roman"/>
                <w:b/>
                <w:noProof/>
                <w:sz w:val="20"/>
                <w:szCs w:val="20"/>
              </w:rPr>
              <w:t>Suma (EUR)</w:t>
            </w:r>
          </w:p>
        </w:tc>
      </w:tr>
      <w:tr w:rsidR="003A092A" w:rsidRPr="00B44B19" w14:paraId="4B3FBD6F" w14:textId="77777777" w:rsidTr="003B113E">
        <w:trPr>
          <w:trHeight w:val="229"/>
        </w:trPr>
        <w:tc>
          <w:tcPr>
            <w:tcW w:w="1094" w:type="dxa"/>
            <w:vMerge w:val="restart"/>
            <w:tcBorders>
              <w:top w:val="single" w:sz="12" w:space="0" w:color="auto"/>
            </w:tcBorders>
          </w:tcPr>
          <w:p w14:paraId="471772CE" w14:textId="77777777" w:rsidR="003A092A" w:rsidRPr="00B44B19" w:rsidRDefault="003A092A" w:rsidP="005B66F2">
            <w:pPr>
              <w:jc w:val="center"/>
              <w:rPr>
                <w:rFonts w:eastAsia="Times New Roman" w:cs="Times New Roman"/>
                <w:iCs/>
                <w:noProof/>
                <w:sz w:val="20"/>
                <w:szCs w:val="20"/>
              </w:rPr>
            </w:pPr>
            <w:r w:rsidRPr="00B44B19">
              <w:rPr>
                <w:rFonts w:eastAsia="Times New Roman" w:cs="Times New Roman"/>
                <w:iCs/>
                <w:noProof/>
                <w:sz w:val="20"/>
                <w:szCs w:val="20"/>
              </w:rPr>
              <w:t>2.</w:t>
            </w:r>
          </w:p>
        </w:tc>
        <w:tc>
          <w:tcPr>
            <w:tcW w:w="848" w:type="dxa"/>
            <w:tcBorders>
              <w:top w:val="single" w:sz="12" w:space="0" w:color="auto"/>
            </w:tcBorders>
          </w:tcPr>
          <w:p w14:paraId="699C333B" w14:textId="77777777" w:rsidR="003A092A" w:rsidRPr="00B44B19" w:rsidRDefault="003A092A" w:rsidP="00E5053B">
            <w:pPr>
              <w:jc w:val="center"/>
              <w:rPr>
                <w:rFonts w:eastAsia="Times New Roman" w:cs="Times New Roman"/>
                <w:iCs/>
                <w:noProof/>
                <w:sz w:val="20"/>
                <w:szCs w:val="20"/>
              </w:rPr>
            </w:pPr>
            <w:r w:rsidRPr="00B44B19">
              <w:rPr>
                <w:rFonts w:cs="Times New Roman"/>
                <w:iCs/>
                <w:noProof/>
                <w:sz w:val="20"/>
                <w:szCs w:val="20"/>
              </w:rPr>
              <w:t>ERPF</w:t>
            </w:r>
          </w:p>
        </w:tc>
        <w:tc>
          <w:tcPr>
            <w:tcW w:w="1427" w:type="dxa"/>
            <w:tcBorders>
              <w:top w:val="single" w:sz="12" w:space="0" w:color="auto"/>
              <w:bottom w:val="single" w:sz="4" w:space="0" w:color="auto"/>
            </w:tcBorders>
          </w:tcPr>
          <w:p w14:paraId="28665BF1" w14:textId="77777777" w:rsidR="003A092A" w:rsidRPr="00B44B19" w:rsidRDefault="00966138" w:rsidP="005B66F2">
            <w:pPr>
              <w:rPr>
                <w:rFonts w:cs="Times New Roman"/>
                <w:iCs/>
                <w:noProof/>
                <w:sz w:val="20"/>
                <w:szCs w:val="20"/>
              </w:rPr>
            </w:pPr>
            <w:r w:rsidRPr="00B44B19">
              <w:rPr>
                <w:rFonts w:cs="Times New Roman"/>
                <w:iCs/>
                <w:noProof/>
                <w:sz w:val="20"/>
                <w:szCs w:val="20"/>
              </w:rPr>
              <w:t>VVL regionas</w:t>
            </w:r>
          </w:p>
        </w:tc>
        <w:tc>
          <w:tcPr>
            <w:tcW w:w="1134" w:type="dxa"/>
            <w:vMerge w:val="restart"/>
            <w:tcBorders>
              <w:top w:val="single" w:sz="12" w:space="0" w:color="auto"/>
            </w:tcBorders>
          </w:tcPr>
          <w:p w14:paraId="79E1E98A" w14:textId="77777777" w:rsidR="003A092A" w:rsidRPr="00B44B19" w:rsidRDefault="003A092A" w:rsidP="005B66F2">
            <w:pPr>
              <w:jc w:val="center"/>
              <w:rPr>
                <w:rFonts w:eastAsia="Times New Roman" w:cs="Times New Roman"/>
                <w:iCs/>
                <w:noProof/>
                <w:sz w:val="20"/>
                <w:szCs w:val="20"/>
              </w:rPr>
            </w:pPr>
            <w:r w:rsidRPr="00B44B19">
              <w:rPr>
                <w:rFonts w:eastAsia="Times New Roman" w:cs="Times New Roman"/>
                <w:iCs/>
                <w:noProof/>
                <w:sz w:val="20"/>
                <w:szCs w:val="20"/>
              </w:rPr>
              <w:t>2.1</w:t>
            </w:r>
          </w:p>
        </w:tc>
        <w:tc>
          <w:tcPr>
            <w:tcW w:w="3827" w:type="dxa"/>
            <w:vMerge w:val="restart"/>
            <w:tcBorders>
              <w:top w:val="single" w:sz="12" w:space="0" w:color="auto"/>
            </w:tcBorders>
          </w:tcPr>
          <w:p w14:paraId="6AC94DCA" w14:textId="77777777" w:rsidR="003A092A" w:rsidRPr="00B44B19" w:rsidRDefault="003A092A" w:rsidP="00B86786">
            <w:pPr>
              <w:rPr>
                <w:rFonts w:eastAsia="Times New Roman" w:cs="Times New Roman"/>
                <w:iCs/>
                <w:noProof/>
                <w:sz w:val="20"/>
                <w:szCs w:val="20"/>
              </w:rPr>
            </w:pPr>
            <w:r w:rsidRPr="00B44B19">
              <w:rPr>
                <w:rFonts w:eastAsia="Times New Roman" w:cs="Times New Roman"/>
                <w:iCs/>
                <w:noProof/>
                <w:sz w:val="20"/>
                <w:szCs w:val="20"/>
              </w:rPr>
              <w:t>040 – MVĮ arba didelių įmonių efektyvus energijos vartojimas ir jose vykdomi parodomieji projektai, taip pat pagalbinės priemonės, atitinkančios energijos vartojimo efektyvumo kriterijus</w:t>
            </w:r>
          </w:p>
        </w:tc>
        <w:tc>
          <w:tcPr>
            <w:tcW w:w="1559" w:type="dxa"/>
            <w:tcBorders>
              <w:top w:val="single" w:sz="12" w:space="0" w:color="auto"/>
              <w:bottom w:val="single" w:sz="4" w:space="0" w:color="auto"/>
            </w:tcBorders>
          </w:tcPr>
          <w:p w14:paraId="47BA258F" w14:textId="24649CAA" w:rsidR="003A092A" w:rsidRPr="00B44B19" w:rsidRDefault="007F5EC2" w:rsidP="007F5EC2">
            <w:pPr>
              <w:jc w:val="right"/>
              <w:rPr>
                <w:rFonts w:eastAsia="Times New Roman" w:cs="Times New Roman"/>
                <w:iCs/>
                <w:noProof/>
                <w:sz w:val="20"/>
                <w:szCs w:val="20"/>
              </w:rPr>
            </w:pPr>
            <w:r w:rsidRPr="00B44B19">
              <w:rPr>
                <w:rFonts w:cs="Times New Roman"/>
                <w:color w:val="000000"/>
                <w:sz w:val="20"/>
                <w:szCs w:val="20"/>
              </w:rPr>
              <w:t>28 210 811</w:t>
            </w:r>
            <w:r w:rsidR="00B24A0F" w:rsidRPr="00B44B19">
              <w:rPr>
                <w:rFonts w:eastAsia="Times New Roman" w:cs="Times New Roman"/>
                <w:iCs/>
                <w:noProof/>
                <w:sz w:val="20"/>
                <w:szCs w:val="20"/>
              </w:rPr>
              <w:t>,00</w:t>
            </w:r>
          </w:p>
        </w:tc>
      </w:tr>
      <w:tr w:rsidR="003A092A" w:rsidRPr="00B44B19" w14:paraId="23952D9E" w14:textId="77777777" w:rsidTr="003B113E">
        <w:trPr>
          <w:trHeight w:val="229"/>
        </w:trPr>
        <w:tc>
          <w:tcPr>
            <w:tcW w:w="1094" w:type="dxa"/>
            <w:vMerge/>
            <w:tcBorders>
              <w:top w:val="single" w:sz="12" w:space="0" w:color="auto"/>
            </w:tcBorders>
          </w:tcPr>
          <w:p w14:paraId="67532709" w14:textId="77777777" w:rsidR="003A092A" w:rsidRPr="00B44B19" w:rsidRDefault="003A092A" w:rsidP="005B66F2">
            <w:pPr>
              <w:jc w:val="center"/>
              <w:rPr>
                <w:rFonts w:eastAsia="Times New Roman" w:cs="Times New Roman"/>
                <w:iCs/>
                <w:noProof/>
                <w:sz w:val="20"/>
                <w:szCs w:val="20"/>
              </w:rPr>
            </w:pPr>
          </w:p>
        </w:tc>
        <w:tc>
          <w:tcPr>
            <w:tcW w:w="848" w:type="dxa"/>
            <w:tcBorders>
              <w:bottom w:val="single" w:sz="4" w:space="0" w:color="auto"/>
            </w:tcBorders>
          </w:tcPr>
          <w:p w14:paraId="7C0D6AB1" w14:textId="77777777" w:rsidR="003A092A" w:rsidRPr="00B44B19" w:rsidRDefault="003A092A" w:rsidP="005B66F2">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427" w:type="dxa"/>
            <w:tcBorders>
              <w:top w:val="single" w:sz="4" w:space="0" w:color="auto"/>
              <w:bottom w:val="single" w:sz="4" w:space="0" w:color="auto"/>
            </w:tcBorders>
          </w:tcPr>
          <w:p w14:paraId="29C3141E" w14:textId="77777777" w:rsidR="003A092A" w:rsidRPr="00B44B19" w:rsidRDefault="003A092A" w:rsidP="005B66F2">
            <w:pPr>
              <w:rPr>
                <w:rFonts w:cs="Times New Roman"/>
                <w:iCs/>
                <w:noProof/>
                <w:sz w:val="20"/>
                <w:szCs w:val="20"/>
              </w:rPr>
            </w:pPr>
            <w:r w:rsidRPr="00B44B19">
              <w:rPr>
                <w:rFonts w:cs="Times New Roman"/>
                <w:iCs/>
                <w:noProof/>
                <w:sz w:val="20"/>
                <w:szCs w:val="20"/>
              </w:rPr>
              <w:t>Visa Lietuva</w:t>
            </w:r>
          </w:p>
        </w:tc>
        <w:tc>
          <w:tcPr>
            <w:tcW w:w="1134" w:type="dxa"/>
            <w:vMerge/>
          </w:tcPr>
          <w:p w14:paraId="3BE79AA4" w14:textId="77777777" w:rsidR="003A092A" w:rsidRPr="00B44B19" w:rsidRDefault="003A092A" w:rsidP="005B66F2">
            <w:pPr>
              <w:jc w:val="center"/>
              <w:rPr>
                <w:rFonts w:eastAsia="Times New Roman" w:cs="Times New Roman"/>
                <w:iCs/>
                <w:noProof/>
                <w:sz w:val="20"/>
                <w:szCs w:val="20"/>
              </w:rPr>
            </w:pPr>
          </w:p>
        </w:tc>
        <w:tc>
          <w:tcPr>
            <w:tcW w:w="3827" w:type="dxa"/>
            <w:vMerge/>
            <w:tcBorders>
              <w:bottom w:val="single" w:sz="4" w:space="0" w:color="auto"/>
            </w:tcBorders>
          </w:tcPr>
          <w:p w14:paraId="3F2453F4" w14:textId="77777777" w:rsidR="003A092A" w:rsidRPr="00B44B19" w:rsidRDefault="003A092A" w:rsidP="0049394D">
            <w:pPr>
              <w:rPr>
                <w:rFonts w:eastAsia="Times New Roman" w:cs="Times New Roman"/>
                <w:iCs/>
                <w:noProof/>
                <w:sz w:val="20"/>
                <w:szCs w:val="20"/>
              </w:rPr>
            </w:pPr>
          </w:p>
        </w:tc>
        <w:tc>
          <w:tcPr>
            <w:tcW w:w="1559" w:type="dxa"/>
            <w:tcBorders>
              <w:top w:val="single" w:sz="4" w:space="0" w:color="auto"/>
              <w:bottom w:val="single" w:sz="4" w:space="0" w:color="auto"/>
            </w:tcBorders>
          </w:tcPr>
          <w:p w14:paraId="6FB59154" w14:textId="42DAE66C" w:rsidR="003A092A" w:rsidRPr="00B44B19" w:rsidRDefault="007F5EC2" w:rsidP="007F5EC2">
            <w:pPr>
              <w:jc w:val="right"/>
              <w:rPr>
                <w:rFonts w:cs="Times New Roman"/>
                <w:sz w:val="20"/>
                <w:szCs w:val="20"/>
              </w:rPr>
            </w:pPr>
            <w:r w:rsidRPr="00B44B19">
              <w:rPr>
                <w:rFonts w:cs="Times New Roman"/>
                <w:color w:val="000000"/>
                <w:sz w:val="20"/>
                <w:szCs w:val="20"/>
              </w:rPr>
              <w:t>9 454 268</w:t>
            </w:r>
            <w:r w:rsidR="003A092A" w:rsidRPr="00B44B19">
              <w:rPr>
                <w:rFonts w:cs="Times New Roman"/>
                <w:sz w:val="20"/>
                <w:szCs w:val="20"/>
              </w:rPr>
              <w:t>,00</w:t>
            </w:r>
          </w:p>
        </w:tc>
      </w:tr>
      <w:tr w:rsidR="00DC0EDE" w:rsidRPr="00B44B19" w14:paraId="2A043F30" w14:textId="77777777" w:rsidTr="003B113E">
        <w:trPr>
          <w:trHeight w:val="279"/>
        </w:trPr>
        <w:tc>
          <w:tcPr>
            <w:tcW w:w="1094" w:type="dxa"/>
            <w:vMerge/>
          </w:tcPr>
          <w:p w14:paraId="2D03C1AB" w14:textId="77777777" w:rsidR="00DC0EDE" w:rsidRPr="00B44B19" w:rsidRDefault="00DC0EDE" w:rsidP="005B66F2">
            <w:pPr>
              <w:jc w:val="center"/>
              <w:rPr>
                <w:rFonts w:eastAsia="Times New Roman" w:cs="Times New Roman"/>
                <w:iCs/>
                <w:noProof/>
                <w:sz w:val="20"/>
                <w:szCs w:val="20"/>
              </w:rPr>
            </w:pPr>
          </w:p>
        </w:tc>
        <w:tc>
          <w:tcPr>
            <w:tcW w:w="848" w:type="dxa"/>
            <w:tcBorders>
              <w:top w:val="single" w:sz="4" w:space="0" w:color="auto"/>
            </w:tcBorders>
          </w:tcPr>
          <w:p w14:paraId="04298A9A" w14:textId="77777777" w:rsidR="00DC0EDE" w:rsidRPr="00B44B19" w:rsidRDefault="00DC0EDE" w:rsidP="005B66F2">
            <w:pPr>
              <w:jc w:val="center"/>
              <w:rPr>
                <w:rFonts w:eastAsia="Times New Roman" w:cs="Times New Roman"/>
                <w:iCs/>
                <w:noProof/>
                <w:sz w:val="20"/>
                <w:szCs w:val="20"/>
              </w:rPr>
            </w:pPr>
            <w:r w:rsidRPr="00B44B19">
              <w:rPr>
                <w:rFonts w:eastAsia="Times New Roman" w:cs="Times New Roman"/>
                <w:iCs/>
                <w:noProof/>
                <w:sz w:val="20"/>
                <w:szCs w:val="20"/>
              </w:rPr>
              <w:t>ERPF</w:t>
            </w:r>
          </w:p>
        </w:tc>
        <w:tc>
          <w:tcPr>
            <w:tcW w:w="1427" w:type="dxa"/>
            <w:tcBorders>
              <w:top w:val="single" w:sz="4" w:space="0" w:color="auto"/>
              <w:bottom w:val="single" w:sz="4" w:space="0" w:color="auto"/>
            </w:tcBorders>
          </w:tcPr>
          <w:p w14:paraId="48B6E261" w14:textId="77777777" w:rsidR="00DC0EDE" w:rsidRPr="00B44B19" w:rsidRDefault="00DC0EDE" w:rsidP="005B66F2">
            <w:pPr>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tcPr>
          <w:p w14:paraId="2B177210" w14:textId="77777777" w:rsidR="00DC0EDE" w:rsidRPr="00B44B19" w:rsidRDefault="00DC0EDE" w:rsidP="005B66F2">
            <w:pPr>
              <w:jc w:val="center"/>
              <w:rPr>
                <w:rFonts w:eastAsia="Times New Roman" w:cs="Times New Roman"/>
                <w:iCs/>
                <w:noProof/>
                <w:sz w:val="20"/>
                <w:szCs w:val="20"/>
              </w:rPr>
            </w:pPr>
          </w:p>
        </w:tc>
        <w:tc>
          <w:tcPr>
            <w:tcW w:w="3827" w:type="dxa"/>
            <w:vMerge w:val="restart"/>
            <w:tcBorders>
              <w:top w:val="single" w:sz="4" w:space="0" w:color="auto"/>
            </w:tcBorders>
          </w:tcPr>
          <w:p w14:paraId="3D7FACF3" w14:textId="77777777" w:rsidR="00DC0EDE" w:rsidRPr="00B44B19" w:rsidRDefault="00476205" w:rsidP="0049394D">
            <w:pPr>
              <w:rPr>
                <w:rFonts w:eastAsia="Times New Roman" w:cs="Times New Roman"/>
                <w:iCs/>
                <w:noProof/>
                <w:sz w:val="20"/>
                <w:szCs w:val="20"/>
              </w:rPr>
            </w:pPr>
            <w:r w:rsidRPr="00B44B19">
              <w:rPr>
                <w:rFonts w:eastAsia="Times New Roman" w:cs="Times New Roman"/>
                <w:iCs/>
                <w:noProof/>
                <w:sz w:val="20"/>
                <w:szCs w:val="20"/>
              </w:rPr>
              <w:t>0</w:t>
            </w:r>
            <w:r w:rsidR="00DC0EDE" w:rsidRPr="00B44B19">
              <w:rPr>
                <w:rFonts w:eastAsia="Times New Roman" w:cs="Times New Roman"/>
                <w:iCs/>
                <w:noProof/>
                <w:sz w:val="20"/>
                <w:szCs w:val="20"/>
              </w:rPr>
              <w:t xml:space="preserve">41 </w:t>
            </w:r>
            <w:r w:rsidR="005D7AA4" w:rsidRPr="00B44B19">
              <w:rPr>
                <w:rFonts w:eastAsia="Times New Roman" w:cs="Times New Roman"/>
                <w:iCs/>
                <w:noProof/>
                <w:sz w:val="20"/>
                <w:szCs w:val="20"/>
              </w:rPr>
              <w:t>–</w:t>
            </w:r>
            <w:r w:rsidR="00DC0EDE" w:rsidRPr="00B44B19">
              <w:rPr>
                <w:rFonts w:eastAsia="Times New Roman" w:cs="Times New Roman"/>
                <w:iCs/>
                <w:noProof/>
                <w:sz w:val="20"/>
                <w:szCs w:val="20"/>
              </w:rPr>
              <w:t xml:space="preserve"> Siekiant efektyvaus energijos vartojimo vykdoma esamų būstų renovacija, parodomieji projektai ir pagalbinės priemonės</w:t>
            </w:r>
          </w:p>
        </w:tc>
        <w:tc>
          <w:tcPr>
            <w:tcW w:w="1559" w:type="dxa"/>
            <w:tcBorders>
              <w:top w:val="single" w:sz="4" w:space="0" w:color="auto"/>
            </w:tcBorders>
          </w:tcPr>
          <w:p w14:paraId="661AB7A6" w14:textId="77777777" w:rsidR="00DC0EDE" w:rsidRPr="00B44B19" w:rsidRDefault="00DC0EDE" w:rsidP="005B66F2">
            <w:pPr>
              <w:jc w:val="right"/>
              <w:rPr>
                <w:rFonts w:eastAsia="Times New Roman" w:cs="Times New Roman"/>
                <w:iCs/>
                <w:noProof/>
                <w:sz w:val="20"/>
                <w:szCs w:val="20"/>
                <w:lang w:val="en-GB"/>
              </w:rPr>
            </w:pPr>
            <w:r w:rsidRPr="00B44B19">
              <w:rPr>
                <w:rFonts w:eastAsia="Times New Roman" w:cs="Times New Roman"/>
                <w:iCs/>
                <w:noProof/>
                <w:sz w:val="20"/>
                <w:szCs w:val="20"/>
              </w:rPr>
              <w:t>41 500 000,00</w:t>
            </w:r>
          </w:p>
        </w:tc>
      </w:tr>
      <w:tr w:rsidR="00DC0EDE" w:rsidRPr="00B44B19" w14:paraId="69044F81" w14:textId="77777777" w:rsidTr="003B113E">
        <w:trPr>
          <w:trHeight w:val="279"/>
        </w:trPr>
        <w:tc>
          <w:tcPr>
            <w:tcW w:w="1094" w:type="dxa"/>
            <w:vMerge/>
          </w:tcPr>
          <w:p w14:paraId="7FF8CCC8" w14:textId="77777777" w:rsidR="00DC0EDE" w:rsidRPr="00B44B19" w:rsidRDefault="00DC0EDE" w:rsidP="005B66F2">
            <w:pPr>
              <w:jc w:val="center"/>
              <w:rPr>
                <w:rFonts w:eastAsia="Times New Roman" w:cs="Times New Roman"/>
                <w:iCs/>
                <w:noProof/>
                <w:sz w:val="20"/>
                <w:szCs w:val="20"/>
              </w:rPr>
            </w:pPr>
          </w:p>
        </w:tc>
        <w:tc>
          <w:tcPr>
            <w:tcW w:w="848" w:type="dxa"/>
            <w:tcBorders>
              <w:bottom w:val="single" w:sz="4" w:space="0" w:color="auto"/>
            </w:tcBorders>
          </w:tcPr>
          <w:p w14:paraId="06D50547" w14:textId="77777777" w:rsidR="00DC0EDE" w:rsidRPr="00B44B19" w:rsidRDefault="00DC0EDE" w:rsidP="005B66F2">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427" w:type="dxa"/>
            <w:tcBorders>
              <w:top w:val="single" w:sz="4" w:space="0" w:color="auto"/>
              <w:bottom w:val="single" w:sz="4" w:space="0" w:color="auto"/>
            </w:tcBorders>
          </w:tcPr>
          <w:p w14:paraId="35382892" w14:textId="77777777" w:rsidR="00DC0EDE" w:rsidRPr="00B44B19" w:rsidRDefault="00DC0EDE" w:rsidP="005B66F2">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tcPr>
          <w:p w14:paraId="46793039" w14:textId="77777777" w:rsidR="00DC0EDE" w:rsidRPr="00B44B19" w:rsidRDefault="00DC0EDE" w:rsidP="005B66F2">
            <w:pPr>
              <w:jc w:val="center"/>
              <w:rPr>
                <w:rFonts w:eastAsia="Times New Roman" w:cs="Times New Roman"/>
                <w:iCs/>
                <w:noProof/>
                <w:sz w:val="20"/>
                <w:szCs w:val="20"/>
              </w:rPr>
            </w:pPr>
          </w:p>
        </w:tc>
        <w:tc>
          <w:tcPr>
            <w:tcW w:w="3827" w:type="dxa"/>
            <w:vMerge/>
          </w:tcPr>
          <w:p w14:paraId="323BC39D" w14:textId="77777777" w:rsidR="00DC0EDE" w:rsidRPr="00B44B19" w:rsidRDefault="00DC0EDE" w:rsidP="0049394D">
            <w:pPr>
              <w:rPr>
                <w:rFonts w:eastAsia="Times New Roman" w:cs="Times New Roman"/>
                <w:iCs/>
                <w:noProof/>
                <w:sz w:val="20"/>
                <w:szCs w:val="20"/>
              </w:rPr>
            </w:pPr>
          </w:p>
        </w:tc>
        <w:tc>
          <w:tcPr>
            <w:tcW w:w="1559" w:type="dxa"/>
            <w:tcBorders>
              <w:top w:val="single" w:sz="4" w:space="0" w:color="auto"/>
            </w:tcBorders>
          </w:tcPr>
          <w:p w14:paraId="39CC2DC2" w14:textId="77777777" w:rsidR="00DC0EDE" w:rsidRPr="00B44B19" w:rsidRDefault="00DC0EDE" w:rsidP="005B66F2">
            <w:pPr>
              <w:jc w:val="right"/>
              <w:rPr>
                <w:rFonts w:eastAsia="Times New Roman" w:cs="Times New Roman"/>
                <w:iCs/>
                <w:noProof/>
                <w:sz w:val="20"/>
                <w:szCs w:val="20"/>
                <w:lang w:val="en-GB"/>
              </w:rPr>
            </w:pPr>
            <w:r w:rsidRPr="00B44B19">
              <w:rPr>
                <w:rFonts w:eastAsia="Times New Roman" w:cs="Times New Roman"/>
                <w:iCs/>
                <w:noProof/>
                <w:sz w:val="20"/>
                <w:szCs w:val="20"/>
              </w:rPr>
              <w:t>41 500 000,00</w:t>
            </w:r>
          </w:p>
        </w:tc>
      </w:tr>
      <w:tr w:rsidR="00421842" w:rsidRPr="00B44B19" w14:paraId="4A81B998" w14:textId="77777777" w:rsidTr="00421842">
        <w:trPr>
          <w:trHeight w:val="279"/>
        </w:trPr>
        <w:tc>
          <w:tcPr>
            <w:tcW w:w="1094" w:type="dxa"/>
            <w:vMerge/>
          </w:tcPr>
          <w:p w14:paraId="656AF482" w14:textId="77777777" w:rsidR="00421842" w:rsidRPr="00B44B19" w:rsidRDefault="00421842" w:rsidP="005B66F2">
            <w:pPr>
              <w:jc w:val="center"/>
              <w:rPr>
                <w:rFonts w:eastAsia="Times New Roman" w:cs="Times New Roman"/>
                <w:iCs/>
                <w:noProof/>
                <w:sz w:val="20"/>
                <w:szCs w:val="20"/>
              </w:rPr>
            </w:pPr>
          </w:p>
        </w:tc>
        <w:tc>
          <w:tcPr>
            <w:tcW w:w="848" w:type="dxa"/>
            <w:tcBorders>
              <w:top w:val="single" w:sz="4" w:space="0" w:color="auto"/>
              <w:bottom w:val="single" w:sz="2" w:space="0" w:color="auto"/>
            </w:tcBorders>
          </w:tcPr>
          <w:p w14:paraId="5333079A" w14:textId="77777777" w:rsidR="00421842" w:rsidRPr="00B44B19" w:rsidRDefault="00421842" w:rsidP="007167BE">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427" w:type="dxa"/>
            <w:tcBorders>
              <w:top w:val="single" w:sz="4" w:space="0" w:color="auto"/>
              <w:bottom w:val="single" w:sz="4" w:space="0" w:color="auto"/>
            </w:tcBorders>
          </w:tcPr>
          <w:p w14:paraId="67B779C2" w14:textId="77777777" w:rsidR="00421842" w:rsidRPr="00B44B19" w:rsidRDefault="00421842" w:rsidP="005B66F2">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tcPr>
          <w:p w14:paraId="04C6E704" w14:textId="77777777" w:rsidR="00421842" w:rsidRPr="00B44B19" w:rsidRDefault="00421842" w:rsidP="005B66F2">
            <w:pPr>
              <w:jc w:val="center"/>
              <w:rPr>
                <w:rFonts w:eastAsia="Times New Roman" w:cs="Times New Roman"/>
                <w:iCs/>
                <w:noProof/>
                <w:sz w:val="20"/>
                <w:szCs w:val="20"/>
              </w:rPr>
            </w:pPr>
          </w:p>
        </w:tc>
        <w:tc>
          <w:tcPr>
            <w:tcW w:w="3827" w:type="dxa"/>
            <w:vMerge w:val="restart"/>
            <w:tcBorders>
              <w:top w:val="single" w:sz="4" w:space="0" w:color="auto"/>
            </w:tcBorders>
          </w:tcPr>
          <w:p w14:paraId="5D992844" w14:textId="77777777" w:rsidR="00421842" w:rsidRPr="00B44B19" w:rsidRDefault="00421842" w:rsidP="00B86786">
            <w:pPr>
              <w:rPr>
                <w:rFonts w:eastAsia="Times New Roman" w:cs="Times New Roman"/>
                <w:iCs/>
                <w:noProof/>
                <w:sz w:val="20"/>
                <w:szCs w:val="20"/>
              </w:rPr>
            </w:pPr>
            <w:r w:rsidRPr="00B44B19">
              <w:rPr>
                <w:rFonts w:eastAsia="Times New Roman" w:cs="Times New Roman"/>
                <w:iCs/>
                <w:noProof/>
                <w:sz w:val="20"/>
                <w:szCs w:val="20"/>
              </w:rPr>
              <w:t>042 – Siekiant efektyvaus energijos vartojimo vykdoma esamų būstų renovacija, parodomieji projektai ir pagalbinės priemonės, atitinkančios energijos vartojimo efektyvumo kriterijus</w:t>
            </w:r>
          </w:p>
        </w:tc>
        <w:tc>
          <w:tcPr>
            <w:tcW w:w="1559" w:type="dxa"/>
            <w:tcBorders>
              <w:top w:val="single" w:sz="4" w:space="0" w:color="auto"/>
            </w:tcBorders>
          </w:tcPr>
          <w:p w14:paraId="57AAB229" w14:textId="77777777" w:rsidR="00421842" w:rsidRPr="00B44B19" w:rsidRDefault="00421842" w:rsidP="00421842">
            <w:pPr>
              <w:jc w:val="right"/>
              <w:rPr>
                <w:rFonts w:eastAsia="Times New Roman" w:cs="Times New Roman"/>
                <w:iCs/>
                <w:noProof/>
                <w:sz w:val="20"/>
                <w:szCs w:val="20"/>
                <w:lang w:val="en-GB"/>
              </w:rPr>
            </w:pPr>
            <w:r w:rsidRPr="00B44B19">
              <w:rPr>
                <w:rFonts w:cs="Times New Roman"/>
                <w:sz w:val="20"/>
                <w:szCs w:val="20"/>
                <w:lang w:val="en-GB"/>
              </w:rPr>
              <w:t>72 474 334,00</w:t>
            </w:r>
          </w:p>
        </w:tc>
      </w:tr>
      <w:tr w:rsidR="00421842" w:rsidRPr="00B44B19" w14:paraId="79ADB343" w14:textId="77777777" w:rsidTr="00421842">
        <w:trPr>
          <w:trHeight w:val="229"/>
        </w:trPr>
        <w:tc>
          <w:tcPr>
            <w:tcW w:w="1094" w:type="dxa"/>
            <w:vMerge/>
          </w:tcPr>
          <w:p w14:paraId="6DB9C8DE" w14:textId="77777777" w:rsidR="00421842" w:rsidRPr="00B44B19" w:rsidRDefault="00421842" w:rsidP="005B66F2">
            <w:pPr>
              <w:jc w:val="center"/>
              <w:rPr>
                <w:rFonts w:eastAsia="Times New Roman" w:cs="Times New Roman"/>
                <w:iCs/>
                <w:noProof/>
                <w:sz w:val="20"/>
                <w:szCs w:val="20"/>
              </w:rPr>
            </w:pPr>
          </w:p>
        </w:tc>
        <w:tc>
          <w:tcPr>
            <w:tcW w:w="848" w:type="dxa"/>
            <w:tcBorders>
              <w:top w:val="single" w:sz="2" w:space="0" w:color="auto"/>
              <w:bottom w:val="single" w:sz="4" w:space="0" w:color="auto"/>
            </w:tcBorders>
          </w:tcPr>
          <w:p w14:paraId="0B5BE5E3" w14:textId="77777777" w:rsidR="00421842" w:rsidRPr="00B44B19" w:rsidRDefault="00421842" w:rsidP="005B66F2">
            <w:pPr>
              <w:jc w:val="center"/>
              <w:rPr>
                <w:rFonts w:eastAsia="Times New Roman" w:cs="Times New Roman"/>
                <w:iCs/>
                <w:noProof/>
                <w:sz w:val="20"/>
                <w:szCs w:val="20"/>
              </w:rPr>
            </w:pPr>
            <w:r w:rsidRPr="00B44B19">
              <w:rPr>
                <w:rFonts w:eastAsia="Times New Roman" w:cs="Times New Roman"/>
                <w:iCs/>
                <w:noProof/>
                <w:sz w:val="20"/>
                <w:szCs w:val="20"/>
              </w:rPr>
              <w:t>ERPF</w:t>
            </w:r>
          </w:p>
        </w:tc>
        <w:tc>
          <w:tcPr>
            <w:tcW w:w="1427" w:type="dxa"/>
            <w:tcBorders>
              <w:top w:val="single" w:sz="4" w:space="0" w:color="auto"/>
              <w:bottom w:val="single" w:sz="4" w:space="0" w:color="auto"/>
            </w:tcBorders>
          </w:tcPr>
          <w:p w14:paraId="5F8EE50B" w14:textId="77777777" w:rsidR="00421842" w:rsidRPr="00B44B19" w:rsidRDefault="00421842" w:rsidP="005B66F2">
            <w:pPr>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tcPr>
          <w:p w14:paraId="07F5BDF4" w14:textId="77777777" w:rsidR="00421842" w:rsidRPr="00B44B19" w:rsidRDefault="00421842" w:rsidP="005B66F2">
            <w:pPr>
              <w:jc w:val="center"/>
              <w:rPr>
                <w:rFonts w:eastAsia="Times New Roman" w:cs="Times New Roman"/>
                <w:iCs/>
                <w:noProof/>
                <w:sz w:val="20"/>
                <w:szCs w:val="20"/>
              </w:rPr>
            </w:pPr>
          </w:p>
        </w:tc>
        <w:tc>
          <w:tcPr>
            <w:tcW w:w="3827" w:type="dxa"/>
            <w:vMerge/>
            <w:tcBorders>
              <w:top w:val="single" w:sz="4" w:space="0" w:color="auto"/>
            </w:tcBorders>
          </w:tcPr>
          <w:p w14:paraId="7984DCC7" w14:textId="77777777" w:rsidR="00421842" w:rsidRPr="00B44B19" w:rsidRDefault="00421842" w:rsidP="0049394D">
            <w:pPr>
              <w:rPr>
                <w:rFonts w:eastAsia="Times New Roman" w:cs="Times New Roman"/>
                <w:iCs/>
                <w:noProof/>
                <w:sz w:val="20"/>
                <w:szCs w:val="20"/>
              </w:rPr>
            </w:pPr>
          </w:p>
        </w:tc>
        <w:tc>
          <w:tcPr>
            <w:tcW w:w="1559" w:type="dxa"/>
            <w:tcBorders>
              <w:top w:val="single" w:sz="4" w:space="0" w:color="auto"/>
            </w:tcBorders>
          </w:tcPr>
          <w:p w14:paraId="7916C5C3" w14:textId="77777777" w:rsidR="00421842" w:rsidRPr="00B44B19" w:rsidRDefault="00421842" w:rsidP="00421842">
            <w:pPr>
              <w:jc w:val="right"/>
              <w:rPr>
                <w:rFonts w:eastAsia="Times New Roman" w:cs="Times New Roman"/>
                <w:iCs/>
                <w:noProof/>
                <w:sz w:val="20"/>
                <w:szCs w:val="20"/>
              </w:rPr>
            </w:pPr>
            <w:r w:rsidRPr="00B44B19">
              <w:rPr>
                <w:rFonts w:cs="Times New Roman"/>
                <w:sz w:val="20"/>
                <w:szCs w:val="20"/>
              </w:rPr>
              <w:t>257 645 6</w:t>
            </w:r>
            <w:r w:rsidR="00B25BF4" w:rsidRPr="00B44B19">
              <w:rPr>
                <w:rFonts w:cs="Times New Roman"/>
                <w:sz w:val="20"/>
                <w:szCs w:val="20"/>
              </w:rPr>
              <w:t>30</w:t>
            </w:r>
            <w:r w:rsidRPr="00B44B19">
              <w:rPr>
                <w:rFonts w:cs="Times New Roman"/>
                <w:sz w:val="20"/>
                <w:szCs w:val="20"/>
              </w:rPr>
              <w:t>,00</w:t>
            </w:r>
          </w:p>
        </w:tc>
      </w:tr>
      <w:tr w:rsidR="001F4E94" w:rsidRPr="00B44B19" w14:paraId="5FE8CFBE" w14:textId="77777777" w:rsidTr="003B113E">
        <w:trPr>
          <w:trHeight w:val="229"/>
        </w:trPr>
        <w:tc>
          <w:tcPr>
            <w:tcW w:w="1094" w:type="dxa"/>
            <w:vMerge/>
          </w:tcPr>
          <w:p w14:paraId="17C30110" w14:textId="77777777" w:rsidR="001F4E94" w:rsidRPr="00B44B19" w:rsidRDefault="001F4E94" w:rsidP="005B66F2">
            <w:pPr>
              <w:jc w:val="center"/>
              <w:rPr>
                <w:rFonts w:eastAsia="Times New Roman" w:cs="Times New Roman"/>
                <w:iCs/>
                <w:noProof/>
                <w:sz w:val="20"/>
                <w:szCs w:val="20"/>
              </w:rPr>
            </w:pPr>
          </w:p>
        </w:tc>
        <w:tc>
          <w:tcPr>
            <w:tcW w:w="848" w:type="dxa"/>
            <w:tcBorders>
              <w:top w:val="single" w:sz="4" w:space="0" w:color="auto"/>
            </w:tcBorders>
          </w:tcPr>
          <w:p w14:paraId="2F0C6FB2" w14:textId="77777777" w:rsidR="001F4E94" w:rsidRPr="00B44B19" w:rsidRDefault="001F4E94" w:rsidP="005B66F2">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427" w:type="dxa"/>
            <w:tcBorders>
              <w:top w:val="single" w:sz="4" w:space="0" w:color="auto"/>
            </w:tcBorders>
          </w:tcPr>
          <w:p w14:paraId="0B25D1F0" w14:textId="77777777" w:rsidR="001F4E94" w:rsidRPr="00B44B19" w:rsidRDefault="001F4E94" w:rsidP="005B66F2">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tcPr>
          <w:p w14:paraId="44F3A899" w14:textId="77777777" w:rsidR="001F4E94" w:rsidRPr="00B44B19" w:rsidRDefault="001F4E94" w:rsidP="005B66F2">
            <w:pPr>
              <w:jc w:val="center"/>
              <w:rPr>
                <w:rFonts w:eastAsia="Times New Roman" w:cs="Times New Roman"/>
                <w:iCs/>
                <w:noProof/>
                <w:sz w:val="20"/>
                <w:szCs w:val="20"/>
              </w:rPr>
            </w:pPr>
          </w:p>
        </w:tc>
        <w:tc>
          <w:tcPr>
            <w:tcW w:w="3827" w:type="dxa"/>
            <w:vMerge w:val="restart"/>
            <w:tcBorders>
              <w:top w:val="single" w:sz="4" w:space="0" w:color="auto"/>
            </w:tcBorders>
          </w:tcPr>
          <w:p w14:paraId="5297C934" w14:textId="77777777" w:rsidR="001F4E94" w:rsidRPr="00B44B19" w:rsidRDefault="001F4E94" w:rsidP="007142F4">
            <w:pPr>
              <w:rPr>
                <w:rFonts w:eastAsia="Times New Roman" w:cs="Times New Roman"/>
                <w:iCs/>
                <w:noProof/>
                <w:sz w:val="20"/>
                <w:szCs w:val="20"/>
              </w:rPr>
            </w:pPr>
            <w:r w:rsidRPr="00B44B19">
              <w:rPr>
                <w:rFonts w:eastAsia="Times New Roman" w:cs="Times New Roman"/>
                <w:iCs/>
                <w:noProof/>
                <w:sz w:val="20"/>
                <w:szCs w:val="20"/>
              </w:rPr>
              <w:t>045 – Siekiant efektyvaus energijos vartojimo vykdoma viešosios infrastruktūros renovacija arba viešajai infrastruktūrai taikomos energijos vartojimo efektyvumo priemonės, parodomieji projektai ir pagalbinės priemonės, atitinkančios energijos vartojimo efektyvumo kriterijus</w:t>
            </w:r>
          </w:p>
        </w:tc>
        <w:tc>
          <w:tcPr>
            <w:tcW w:w="1559" w:type="dxa"/>
            <w:tcBorders>
              <w:top w:val="single" w:sz="4" w:space="0" w:color="auto"/>
            </w:tcBorders>
          </w:tcPr>
          <w:p w14:paraId="240E9EA4" w14:textId="77777777" w:rsidR="001F4E94" w:rsidRPr="00B44B19" w:rsidRDefault="001F4E94" w:rsidP="005B66F2">
            <w:pPr>
              <w:jc w:val="right"/>
              <w:rPr>
                <w:rFonts w:eastAsia="Times New Roman" w:cs="Times New Roman"/>
                <w:iCs/>
                <w:noProof/>
                <w:sz w:val="20"/>
                <w:szCs w:val="20"/>
              </w:rPr>
            </w:pPr>
            <w:r w:rsidRPr="00B44B19">
              <w:rPr>
                <w:rFonts w:eastAsia="Times New Roman" w:cs="Times New Roman"/>
                <w:iCs/>
                <w:noProof/>
                <w:sz w:val="20"/>
                <w:szCs w:val="20"/>
              </w:rPr>
              <w:t>31 000 000,00</w:t>
            </w:r>
          </w:p>
        </w:tc>
      </w:tr>
      <w:tr w:rsidR="001F4E94" w:rsidRPr="00B44B19" w14:paraId="04636B7B" w14:textId="77777777" w:rsidTr="00AF4DED">
        <w:tc>
          <w:tcPr>
            <w:tcW w:w="1094" w:type="dxa"/>
            <w:vMerge/>
          </w:tcPr>
          <w:p w14:paraId="0176A7E2" w14:textId="77777777" w:rsidR="001F4E94" w:rsidRPr="00B44B19" w:rsidRDefault="001F4E94" w:rsidP="005B66F2">
            <w:pPr>
              <w:rPr>
                <w:rFonts w:eastAsia="Times New Roman" w:cs="Times New Roman"/>
                <w:iCs/>
                <w:noProof/>
                <w:sz w:val="20"/>
                <w:szCs w:val="20"/>
              </w:rPr>
            </w:pPr>
          </w:p>
        </w:tc>
        <w:tc>
          <w:tcPr>
            <w:tcW w:w="848" w:type="dxa"/>
          </w:tcPr>
          <w:p w14:paraId="4013463E" w14:textId="77777777" w:rsidR="001F4E94" w:rsidRPr="00B44B19" w:rsidRDefault="001F4E94" w:rsidP="005B66F2">
            <w:pPr>
              <w:jc w:val="center"/>
              <w:rPr>
                <w:rFonts w:eastAsia="Times New Roman" w:cs="Times New Roman"/>
                <w:iCs/>
                <w:noProof/>
                <w:sz w:val="20"/>
                <w:szCs w:val="20"/>
              </w:rPr>
            </w:pPr>
            <w:r w:rsidRPr="00B44B19">
              <w:rPr>
                <w:rFonts w:eastAsia="Times New Roman" w:cs="Times New Roman"/>
                <w:iCs/>
                <w:noProof/>
                <w:sz w:val="20"/>
                <w:szCs w:val="20"/>
              </w:rPr>
              <w:t>ERPF</w:t>
            </w:r>
          </w:p>
        </w:tc>
        <w:tc>
          <w:tcPr>
            <w:tcW w:w="1427" w:type="dxa"/>
            <w:tcBorders>
              <w:top w:val="single" w:sz="4" w:space="0" w:color="auto"/>
              <w:bottom w:val="single" w:sz="4" w:space="0" w:color="auto"/>
            </w:tcBorders>
          </w:tcPr>
          <w:p w14:paraId="3E7A9AC2" w14:textId="77777777" w:rsidR="001F4E94" w:rsidRPr="00B44B19" w:rsidRDefault="001F4E94" w:rsidP="005B66F2">
            <w:pPr>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tcPr>
          <w:p w14:paraId="008FC871" w14:textId="77777777" w:rsidR="001F4E94" w:rsidRPr="00B44B19" w:rsidRDefault="001F4E94" w:rsidP="005B66F2">
            <w:pPr>
              <w:rPr>
                <w:rFonts w:eastAsia="Times New Roman" w:cs="Times New Roman"/>
                <w:b/>
                <w:iCs/>
                <w:noProof/>
                <w:sz w:val="20"/>
                <w:szCs w:val="20"/>
              </w:rPr>
            </w:pPr>
          </w:p>
        </w:tc>
        <w:tc>
          <w:tcPr>
            <w:tcW w:w="3827" w:type="dxa"/>
            <w:vMerge/>
          </w:tcPr>
          <w:p w14:paraId="270940DD" w14:textId="77777777" w:rsidR="001F4E94" w:rsidRPr="00B44B19" w:rsidRDefault="001F4E94" w:rsidP="0049394D">
            <w:pPr>
              <w:rPr>
                <w:rFonts w:eastAsia="Times New Roman" w:cs="Times New Roman"/>
                <w:iCs/>
                <w:noProof/>
                <w:sz w:val="20"/>
                <w:szCs w:val="20"/>
              </w:rPr>
            </w:pPr>
          </w:p>
        </w:tc>
        <w:tc>
          <w:tcPr>
            <w:tcW w:w="1559" w:type="dxa"/>
            <w:tcBorders>
              <w:top w:val="single" w:sz="4" w:space="0" w:color="auto"/>
              <w:bottom w:val="single" w:sz="4" w:space="0" w:color="auto"/>
            </w:tcBorders>
          </w:tcPr>
          <w:p w14:paraId="290A1F67" w14:textId="77777777" w:rsidR="001F4E94" w:rsidRPr="00B44B19" w:rsidRDefault="001F4E94" w:rsidP="005B66F2">
            <w:pPr>
              <w:jc w:val="right"/>
              <w:rPr>
                <w:rFonts w:eastAsia="Times New Roman" w:cs="Times New Roman"/>
                <w:iCs/>
                <w:noProof/>
                <w:sz w:val="20"/>
                <w:szCs w:val="20"/>
              </w:rPr>
            </w:pPr>
            <w:r w:rsidRPr="00B44B19">
              <w:rPr>
                <w:rFonts w:eastAsia="Times New Roman" w:cs="Times New Roman"/>
                <w:iCs/>
                <w:noProof/>
                <w:sz w:val="20"/>
                <w:szCs w:val="20"/>
              </w:rPr>
              <w:t>31 000 000,00</w:t>
            </w:r>
          </w:p>
        </w:tc>
      </w:tr>
      <w:tr w:rsidR="00DC0EDE" w:rsidRPr="00B44B19" w14:paraId="1F213EDD" w14:textId="77777777" w:rsidTr="003B113E">
        <w:tc>
          <w:tcPr>
            <w:tcW w:w="1094" w:type="dxa"/>
            <w:vMerge/>
          </w:tcPr>
          <w:p w14:paraId="751EFA3A" w14:textId="77777777" w:rsidR="00DC0EDE" w:rsidRPr="00B44B19" w:rsidRDefault="00DC0EDE" w:rsidP="005B66F2">
            <w:pPr>
              <w:rPr>
                <w:rFonts w:eastAsia="Times New Roman" w:cs="Times New Roman"/>
                <w:iCs/>
                <w:noProof/>
                <w:sz w:val="20"/>
                <w:szCs w:val="20"/>
              </w:rPr>
            </w:pPr>
          </w:p>
        </w:tc>
        <w:tc>
          <w:tcPr>
            <w:tcW w:w="848" w:type="dxa"/>
          </w:tcPr>
          <w:p w14:paraId="40726F88" w14:textId="77777777" w:rsidR="00DC0EDE" w:rsidRPr="00B44B19" w:rsidRDefault="00DC0EDE" w:rsidP="005B66F2">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427" w:type="dxa"/>
            <w:tcBorders>
              <w:top w:val="single" w:sz="4" w:space="0" w:color="auto"/>
              <w:bottom w:val="single" w:sz="4" w:space="0" w:color="auto"/>
            </w:tcBorders>
          </w:tcPr>
          <w:p w14:paraId="012D7838" w14:textId="77777777" w:rsidR="00DC0EDE" w:rsidRPr="00B44B19" w:rsidRDefault="00DC0EDE" w:rsidP="005B66F2">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tcPr>
          <w:p w14:paraId="4869BE95" w14:textId="77777777" w:rsidR="00DC0EDE" w:rsidRPr="00B44B19" w:rsidRDefault="00DC0EDE" w:rsidP="005B66F2">
            <w:pPr>
              <w:rPr>
                <w:rFonts w:eastAsia="Times New Roman" w:cs="Times New Roman"/>
                <w:b/>
                <w:iCs/>
                <w:noProof/>
                <w:sz w:val="20"/>
                <w:szCs w:val="20"/>
              </w:rPr>
            </w:pPr>
          </w:p>
        </w:tc>
        <w:tc>
          <w:tcPr>
            <w:tcW w:w="3827" w:type="dxa"/>
            <w:vMerge w:val="restart"/>
            <w:tcBorders>
              <w:top w:val="single" w:sz="4" w:space="0" w:color="auto"/>
            </w:tcBorders>
          </w:tcPr>
          <w:p w14:paraId="1BC1237D" w14:textId="77777777" w:rsidR="00DC0EDE" w:rsidRPr="00B44B19" w:rsidRDefault="00DC0EDE" w:rsidP="0049394D">
            <w:pPr>
              <w:rPr>
                <w:rFonts w:eastAsia="Times New Roman" w:cs="Times New Roman"/>
                <w:iCs/>
                <w:noProof/>
                <w:sz w:val="20"/>
                <w:szCs w:val="20"/>
              </w:rPr>
            </w:pPr>
            <w:r w:rsidRPr="00B44B19">
              <w:rPr>
                <w:rFonts w:eastAsia="Times New Roman" w:cs="Times New Roman"/>
                <w:iCs/>
                <w:noProof/>
                <w:sz w:val="20"/>
                <w:szCs w:val="20"/>
              </w:rPr>
              <w:t xml:space="preserve">055 </w:t>
            </w:r>
            <w:r w:rsidR="005D7AA4" w:rsidRPr="00B44B19">
              <w:rPr>
                <w:rFonts w:eastAsia="Times New Roman" w:cs="Times New Roman"/>
                <w:iCs/>
                <w:noProof/>
                <w:sz w:val="20"/>
                <w:szCs w:val="20"/>
              </w:rPr>
              <w:t>–</w:t>
            </w:r>
            <w:r w:rsidRPr="00B44B19">
              <w:rPr>
                <w:rFonts w:eastAsia="Times New Roman" w:cs="Times New Roman"/>
                <w:iCs/>
                <w:noProof/>
                <w:sz w:val="20"/>
                <w:szCs w:val="20"/>
              </w:rPr>
              <w:t xml:space="preserve"> Didelio naudingumo kogeneracija, efektyvus centralizuotas šilumos ir vėsumos tiekimas, kai per gyvavimo ciklą išskiriamas mažas teršalų kiekis</w:t>
            </w:r>
          </w:p>
        </w:tc>
        <w:tc>
          <w:tcPr>
            <w:tcW w:w="1559" w:type="dxa"/>
            <w:tcBorders>
              <w:top w:val="single" w:sz="4" w:space="0" w:color="auto"/>
              <w:bottom w:val="single" w:sz="4" w:space="0" w:color="auto"/>
            </w:tcBorders>
          </w:tcPr>
          <w:p w14:paraId="5B7B2AAE" w14:textId="77777777" w:rsidR="00DC0EDE" w:rsidRPr="00B44B19" w:rsidRDefault="00DC0EDE" w:rsidP="005B66F2">
            <w:pPr>
              <w:jc w:val="right"/>
              <w:rPr>
                <w:rFonts w:eastAsia="Times New Roman" w:cs="Times New Roman"/>
                <w:iCs/>
                <w:noProof/>
                <w:sz w:val="20"/>
                <w:szCs w:val="20"/>
              </w:rPr>
            </w:pPr>
            <w:r w:rsidRPr="00B44B19">
              <w:rPr>
                <w:rFonts w:eastAsia="Times New Roman" w:cs="Times New Roman"/>
                <w:iCs/>
                <w:noProof/>
                <w:sz w:val="20"/>
                <w:szCs w:val="20"/>
              </w:rPr>
              <w:t>13 500 000,00</w:t>
            </w:r>
          </w:p>
        </w:tc>
      </w:tr>
      <w:tr w:rsidR="00DC0EDE" w:rsidRPr="00B44B19" w14:paraId="7B2946E6" w14:textId="77777777" w:rsidTr="003B113E">
        <w:trPr>
          <w:trHeight w:val="200"/>
        </w:trPr>
        <w:tc>
          <w:tcPr>
            <w:tcW w:w="1094" w:type="dxa"/>
            <w:vMerge/>
            <w:tcBorders>
              <w:bottom w:val="single" w:sz="4" w:space="0" w:color="auto"/>
            </w:tcBorders>
          </w:tcPr>
          <w:p w14:paraId="59755C1B" w14:textId="77777777" w:rsidR="00DC0EDE" w:rsidRPr="00B44B19" w:rsidRDefault="00DC0EDE" w:rsidP="005B66F2">
            <w:pPr>
              <w:rPr>
                <w:rFonts w:eastAsia="Times New Roman" w:cs="Times New Roman"/>
                <w:iCs/>
                <w:noProof/>
                <w:sz w:val="20"/>
                <w:szCs w:val="20"/>
              </w:rPr>
            </w:pPr>
          </w:p>
        </w:tc>
        <w:tc>
          <w:tcPr>
            <w:tcW w:w="848" w:type="dxa"/>
            <w:tcBorders>
              <w:bottom w:val="single" w:sz="4" w:space="0" w:color="auto"/>
            </w:tcBorders>
          </w:tcPr>
          <w:p w14:paraId="065B5E04" w14:textId="77777777" w:rsidR="00DC0EDE" w:rsidRPr="00B44B19" w:rsidRDefault="00DC0EDE" w:rsidP="005B66F2">
            <w:pPr>
              <w:jc w:val="center"/>
              <w:rPr>
                <w:rFonts w:eastAsia="Times New Roman" w:cs="Times New Roman"/>
                <w:iCs/>
                <w:noProof/>
                <w:sz w:val="20"/>
                <w:szCs w:val="20"/>
              </w:rPr>
            </w:pPr>
            <w:r w:rsidRPr="00B44B19">
              <w:rPr>
                <w:rFonts w:eastAsia="Times New Roman" w:cs="Times New Roman"/>
                <w:iCs/>
                <w:noProof/>
                <w:sz w:val="20"/>
                <w:szCs w:val="20"/>
              </w:rPr>
              <w:t>ERPF</w:t>
            </w:r>
          </w:p>
        </w:tc>
        <w:tc>
          <w:tcPr>
            <w:tcW w:w="1427" w:type="dxa"/>
            <w:tcBorders>
              <w:top w:val="single" w:sz="4" w:space="0" w:color="auto"/>
              <w:bottom w:val="single" w:sz="4" w:space="0" w:color="auto"/>
            </w:tcBorders>
          </w:tcPr>
          <w:p w14:paraId="7A3269A2" w14:textId="77777777" w:rsidR="00DC0EDE" w:rsidRPr="00B44B19" w:rsidRDefault="00DC0EDE" w:rsidP="005B66F2">
            <w:pPr>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tcBorders>
              <w:bottom w:val="single" w:sz="4" w:space="0" w:color="auto"/>
            </w:tcBorders>
          </w:tcPr>
          <w:p w14:paraId="7B0B762A" w14:textId="77777777" w:rsidR="00DC0EDE" w:rsidRPr="00B44B19" w:rsidRDefault="00DC0EDE" w:rsidP="005B66F2">
            <w:pPr>
              <w:rPr>
                <w:rFonts w:eastAsia="Times New Roman" w:cs="Times New Roman"/>
                <w:b/>
                <w:iCs/>
                <w:noProof/>
                <w:sz w:val="20"/>
                <w:szCs w:val="20"/>
              </w:rPr>
            </w:pPr>
          </w:p>
        </w:tc>
        <w:tc>
          <w:tcPr>
            <w:tcW w:w="3827" w:type="dxa"/>
            <w:vMerge/>
            <w:tcBorders>
              <w:bottom w:val="single" w:sz="4" w:space="0" w:color="auto"/>
            </w:tcBorders>
          </w:tcPr>
          <w:p w14:paraId="01C13574" w14:textId="77777777" w:rsidR="00DC0EDE" w:rsidRPr="00B44B19" w:rsidRDefault="00DC0EDE" w:rsidP="005B66F2">
            <w:pPr>
              <w:jc w:val="center"/>
              <w:rPr>
                <w:rFonts w:eastAsia="Times New Roman" w:cs="Times New Roman"/>
                <w:iCs/>
                <w:noProof/>
                <w:sz w:val="20"/>
                <w:szCs w:val="20"/>
              </w:rPr>
            </w:pPr>
          </w:p>
        </w:tc>
        <w:tc>
          <w:tcPr>
            <w:tcW w:w="1559" w:type="dxa"/>
            <w:tcBorders>
              <w:top w:val="single" w:sz="4" w:space="0" w:color="auto"/>
              <w:bottom w:val="single" w:sz="4" w:space="0" w:color="auto"/>
            </w:tcBorders>
          </w:tcPr>
          <w:p w14:paraId="6C2C50EB" w14:textId="77777777" w:rsidR="00DC0EDE" w:rsidRPr="00B44B19" w:rsidRDefault="00DC0EDE" w:rsidP="005B66F2">
            <w:pPr>
              <w:jc w:val="right"/>
              <w:rPr>
                <w:rFonts w:eastAsia="Times New Roman" w:cs="Times New Roman"/>
                <w:iCs/>
                <w:noProof/>
                <w:sz w:val="20"/>
                <w:szCs w:val="20"/>
              </w:rPr>
            </w:pPr>
            <w:r w:rsidRPr="00B44B19">
              <w:rPr>
                <w:rFonts w:eastAsia="Times New Roman" w:cs="Times New Roman"/>
                <w:iCs/>
                <w:noProof/>
                <w:sz w:val="20"/>
                <w:szCs w:val="20"/>
              </w:rPr>
              <w:t>13 500 000,00</w:t>
            </w:r>
          </w:p>
        </w:tc>
      </w:tr>
    </w:tbl>
    <w:p w14:paraId="7991DC50" w14:textId="77777777" w:rsidR="005B66F2" w:rsidRPr="00B44B19" w:rsidRDefault="005B66F2" w:rsidP="00891CA2">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0"/>
        <w:gridCol w:w="850"/>
        <w:gridCol w:w="1412"/>
        <w:gridCol w:w="1134"/>
        <w:gridCol w:w="3779"/>
        <w:gridCol w:w="1614"/>
      </w:tblGrid>
      <w:tr w:rsidR="005B66F2" w:rsidRPr="00B44B19" w14:paraId="6F1AEDEA"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BBDE584" w14:textId="77777777" w:rsidR="005B66F2" w:rsidRPr="00B44B19" w:rsidRDefault="005B66F2" w:rsidP="00EB4531">
            <w:pPr>
              <w:rPr>
                <w:rFonts w:eastAsia="Times New Roman" w:cs="Times New Roman"/>
                <w:b/>
                <w:iCs/>
                <w:noProof/>
                <w:sz w:val="20"/>
              </w:rPr>
            </w:pPr>
            <w:r w:rsidRPr="00B44B19">
              <w:rPr>
                <w:rFonts w:cs="Times New Roman"/>
                <w:b/>
                <w:noProof/>
                <w:sz w:val="20"/>
              </w:rPr>
              <w:t xml:space="preserve">5 lentelė. 2 matmuo. </w:t>
            </w:r>
            <w:r w:rsidR="00EB4531" w:rsidRPr="00B44B19">
              <w:rPr>
                <w:rFonts w:cs="Times New Roman"/>
                <w:b/>
                <w:noProof/>
                <w:sz w:val="20"/>
              </w:rPr>
              <w:t>Finansavimo</w:t>
            </w:r>
            <w:r w:rsidR="00DC0EDE" w:rsidRPr="00B44B19">
              <w:rPr>
                <w:rFonts w:cs="Times New Roman"/>
                <w:b/>
                <w:noProof/>
                <w:sz w:val="20"/>
              </w:rPr>
              <w:t xml:space="preserve"> </w:t>
            </w:r>
            <w:r w:rsidRPr="00B44B19">
              <w:rPr>
                <w:rFonts w:cs="Times New Roman"/>
                <w:b/>
                <w:noProof/>
                <w:sz w:val="20"/>
              </w:rPr>
              <w:t>forma</w:t>
            </w:r>
          </w:p>
        </w:tc>
      </w:tr>
      <w:tr w:rsidR="005B66F2" w:rsidRPr="00B44B19" w14:paraId="14F67DA8" w14:textId="77777777" w:rsidTr="006D61A5">
        <w:trPr>
          <w:trHeight w:val="297"/>
        </w:trPr>
        <w:tc>
          <w:tcPr>
            <w:tcW w:w="11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618AD" w14:textId="77777777" w:rsidR="005B66F2" w:rsidRPr="00B44B19" w:rsidRDefault="005B66F2" w:rsidP="005B66F2">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8D89A1" w14:textId="77777777" w:rsidR="005B66F2" w:rsidRPr="00B44B19" w:rsidRDefault="005B66F2" w:rsidP="005B66F2">
            <w:pPr>
              <w:jc w:val="center"/>
              <w:rPr>
                <w:rFonts w:eastAsia="Times New Roman" w:cs="Times New Roman"/>
                <w:b/>
                <w:iCs/>
                <w:noProof/>
                <w:sz w:val="20"/>
              </w:rPr>
            </w:pPr>
            <w:r w:rsidRPr="00B44B19">
              <w:rPr>
                <w:rFonts w:cs="Times New Roman"/>
                <w:b/>
                <w:noProof/>
                <w:sz w:val="20"/>
              </w:rPr>
              <w:t>Fondas</w:t>
            </w:r>
          </w:p>
        </w:tc>
        <w:tc>
          <w:tcPr>
            <w:tcW w:w="141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E5A4CD" w14:textId="77777777" w:rsidR="005B66F2" w:rsidRPr="00B44B19" w:rsidRDefault="005B66F2" w:rsidP="005B66F2">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F038F8" w14:textId="77777777" w:rsidR="005B66F2" w:rsidRPr="00B44B19" w:rsidRDefault="005B66F2" w:rsidP="005B66F2">
            <w:pPr>
              <w:jc w:val="center"/>
              <w:rPr>
                <w:rFonts w:eastAsia="Times New Roman" w:cs="Times New Roman"/>
                <w:b/>
                <w:iCs/>
                <w:noProof/>
                <w:sz w:val="20"/>
              </w:rPr>
            </w:pPr>
            <w:r w:rsidRPr="00B44B19">
              <w:rPr>
                <w:rFonts w:cs="Times New Roman"/>
                <w:b/>
                <w:noProof/>
                <w:sz w:val="20"/>
              </w:rPr>
              <w:t>Konkretus uždavinys</w:t>
            </w:r>
          </w:p>
        </w:tc>
        <w:tc>
          <w:tcPr>
            <w:tcW w:w="37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C65C89" w14:textId="77777777" w:rsidR="005B66F2" w:rsidRPr="00B44B19" w:rsidRDefault="005B66F2" w:rsidP="005B66F2">
            <w:pPr>
              <w:jc w:val="center"/>
              <w:rPr>
                <w:rFonts w:eastAsia="Times New Roman" w:cs="Times New Roman"/>
                <w:b/>
                <w:iCs/>
                <w:noProof/>
                <w:sz w:val="20"/>
              </w:rPr>
            </w:pPr>
            <w:r w:rsidRPr="00B44B19">
              <w:rPr>
                <w:rFonts w:cs="Times New Roman"/>
                <w:b/>
                <w:noProof/>
                <w:sz w:val="20"/>
              </w:rPr>
              <w:t>Kodas</w:t>
            </w:r>
          </w:p>
        </w:tc>
        <w:tc>
          <w:tcPr>
            <w:tcW w:w="161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D8B075" w14:textId="77777777" w:rsidR="005B66F2" w:rsidRPr="00B44B19" w:rsidRDefault="005B66F2" w:rsidP="005B66F2">
            <w:pPr>
              <w:jc w:val="center"/>
              <w:rPr>
                <w:rFonts w:eastAsia="Times New Roman" w:cs="Times New Roman"/>
                <w:b/>
                <w:iCs/>
                <w:noProof/>
                <w:sz w:val="20"/>
              </w:rPr>
            </w:pPr>
            <w:r w:rsidRPr="00B44B19">
              <w:rPr>
                <w:rFonts w:cs="Times New Roman"/>
                <w:b/>
                <w:noProof/>
                <w:sz w:val="20"/>
              </w:rPr>
              <w:t>Suma (EUR)</w:t>
            </w:r>
          </w:p>
        </w:tc>
      </w:tr>
      <w:tr w:rsidR="00624293" w:rsidRPr="00B44B19" w14:paraId="4E074455" w14:textId="77777777" w:rsidTr="006D61A5">
        <w:tc>
          <w:tcPr>
            <w:tcW w:w="1100" w:type="dxa"/>
            <w:vMerge w:val="restart"/>
            <w:tcBorders>
              <w:top w:val="single" w:sz="12" w:space="0" w:color="auto"/>
            </w:tcBorders>
          </w:tcPr>
          <w:p w14:paraId="4F3F40F7"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48AC20A4"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ERPF</w:t>
            </w:r>
          </w:p>
        </w:tc>
        <w:tc>
          <w:tcPr>
            <w:tcW w:w="1412" w:type="dxa"/>
            <w:tcBorders>
              <w:top w:val="single" w:sz="12" w:space="0" w:color="auto"/>
              <w:bottom w:val="single" w:sz="4" w:space="0" w:color="auto"/>
            </w:tcBorders>
          </w:tcPr>
          <w:p w14:paraId="0E6D1669"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VVL regionas</w:t>
            </w:r>
          </w:p>
        </w:tc>
        <w:tc>
          <w:tcPr>
            <w:tcW w:w="1134" w:type="dxa"/>
            <w:vMerge w:val="restart"/>
            <w:tcBorders>
              <w:top w:val="single" w:sz="12" w:space="0" w:color="auto"/>
            </w:tcBorders>
          </w:tcPr>
          <w:p w14:paraId="0A018407" w14:textId="77777777" w:rsidR="00624293" w:rsidRPr="00B44B19" w:rsidRDefault="00624293" w:rsidP="00624293">
            <w:pPr>
              <w:jc w:val="center"/>
              <w:rPr>
                <w:rFonts w:eastAsia="Times New Roman" w:cs="Times New Roman"/>
                <w:b/>
                <w:iCs/>
                <w:noProof/>
                <w:sz w:val="20"/>
              </w:rPr>
            </w:pPr>
            <w:r w:rsidRPr="00B44B19">
              <w:rPr>
                <w:rFonts w:eastAsia="Times New Roman" w:cs="Times New Roman"/>
                <w:iCs/>
                <w:noProof/>
                <w:sz w:val="20"/>
              </w:rPr>
              <w:t>2.1</w:t>
            </w:r>
          </w:p>
        </w:tc>
        <w:tc>
          <w:tcPr>
            <w:tcW w:w="3779" w:type="dxa"/>
            <w:vMerge w:val="restart"/>
            <w:tcBorders>
              <w:top w:val="single" w:sz="12" w:space="0" w:color="auto"/>
            </w:tcBorders>
          </w:tcPr>
          <w:p w14:paraId="7732B7C3"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01 – Dotacija</w:t>
            </w:r>
          </w:p>
        </w:tc>
        <w:tc>
          <w:tcPr>
            <w:tcW w:w="1614" w:type="dxa"/>
            <w:tcBorders>
              <w:top w:val="single" w:sz="12" w:space="0" w:color="auto"/>
              <w:bottom w:val="single" w:sz="4" w:space="0" w:color="auto"/>
            </w:tcBorders>
          </w:tcPr>
          <w:p w14:paraId="6FC0AF05" w14:textId="62C68DB5" w:rsidR="00624293" w:rsidRPr="00B44B19" w:rsidRDefault="008206EC" w:rsidP="008206EC">
            <w:pPr>
              <w:jc w:val="right"/>
              <w:rPr>
                <w:rFonts w:eastAsia="Times New Roman" w:cs="Times New Roman"/>
                <w:iCs/>
                <w:noProof/>
                <w:sz w:val="20"/>
                <w:highlight w:val="yellow"/>
              </w:rPr>
            </w:pPr>
            <w:r w:rsidRPr="00B44B19">
              <w:rPr>
                <w:rFonts w:cs="Times New Roman"/>
                <w:color w:val="000000"/>
                <w:sz w:val="20"/>
                <w:szCs w:val="20"/>
              </w:rPr>
              <w:t>91 410 811</w:t>
            </w:r>
            <w:r w:rsidR="00B24A0F" w:rsidRPr="00B44B19">
              <w:rPr>
                <w:rFonts w:cs="Times New Roman"/>
                <w:iCs/>
                <w:noProof/>
                <w:sz w:val="20"/>
              </w:rPr>
              <w:t>,00</w:t>
            </w:r>
          </w:p>
        </w:tc>
      </w:tr>
      <w:tr w:rsidR="00624293" w:rsidRPr="00B44B19" w14:paraId="55BCE30B" w14:textId="77777777" w:rsidTr="006D61A5">
        <w:trPr>
          <w:trHeight w:val="276"/>
        </w:trPr>
        <w:tc>
          <w:tcPr>
            <w:tcW w:w="1100" w:type="dxa"/>
            <w:vMerge/>
          </w:tcPr>
          <w:p w14:paraId="07D551EA" w14:textId="77777777" w:rsidR="00624293" w:rsidRPr="00B44B19" w:rsidRDefault="00624293" w:rsidP="00624293">
            <w:pPr>
              <w:rPr>
                <w:rFonts w:eastAsia="Times New Roman" w:cs="Times New Roman"/>
                <w:b/>
                <w:iCs/>
                <w:noProof/>
                <w:sz w:val="20"/>
              </w:rPr>
            </w:pPr>
          </w:p>
        </w:tc>
        <w:tc>
          <w:tcPr>
            <w:tcW w:w="850" w:type="dxa"/>
          </w:tcPr>
          <w:p w14:paraId="1DB43A1A"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SaF</w:t>
            </w:r>
          </w:p>
        </w:tc>
        <w:tc>
          <w:tcPr>
            <w:tcW w:w="1412" w:type="dxa"/>
            <w:tcBorders>
              <w:top w:val="single" w:sz="4" w:space="0" w:color="auto"/>
              <w:bottom w:val="single" w:sz="4" w:space="0" w:color="auto"/>
            </w:tcBorders>
          </w:tcPr>
          <w:p w14:paraId="2625C4D9"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 xml:space="preserve">Visa Lietuva </w:t>
            </w:r>
          </w:p>
        </w:tc>
        <w:tc>
          <w:tcPr>
            <w:tcW w:w="1134" w:type="dxa"/>
            <w:vMerge/>
          </w:tcPr>
          <w:p w14:paraId="11FD84AA" w14:textId="77777777" w:rsidR="00624293" w:rsidRPr="00B44B19" w:rsidRDefault="00624293" w:rsidP="00624293">
            <w:pPr>
              <w:rPr>
                <w:rFonts w:eastAsia="Times New Roman" w:cs="Times New Roman"/>
                <w:b/>
                <w:iCs/>
                <w:noProof/>
                <w:sz w:val="20"/>
              </w:rPr>
            </w:pPr>
          </w:p>
        </w:tc>
        <w:tc>
          <w:tcPr>
            <w:tcW w:w="3779" w:type="dxa"/>
            <w:vMerge/>
          </w:tcPr>
          <w:p w14:paraId="45D71A57" w14:textId="77777777" w:rsidR="00624293" w:rsidRPr="00B44B19" w:rsidRDefault="00624293" w:rsidP="00624293">
            <w:pPr>
              <w:rPr>
                <w:rFonts w:eastAsia="Times New Roman" w:cs="Times New Roman"/>
                <w:b/>
                <w:iCs/>
                <w:noProof/>
                <w:sz w:val="20"/>
              </w:rPr>
            </w:pPr>
          </w:p>
        </w:tc>
        <w:tc>
          <w:tcPr>
            <w:tcW w:w="1614" w:type="dxa"/>
            <w:tcBorders>
              <w:top w:val="single" w:sz="4" w:space="0" w:color="auto"/>
              <w:bottom w:val="single" w:sz="4" w:space="0" w:color="auto"/>
            </w:tcBorders>
          </w:tcPr>
          <w:p w14:paraId="54486C8D" w14:textId="763735BD" w:rsidR="00624293" w:rsidRPr="00B44B19" w:rsidRDefault="008206EC" w:rsidP="00624293">
            <w:pPr>
              <w:jc w:val="right"/>
              <w:rPr>
                <w:rFonts w:cs="Times New Roman"/>
                <w:iCs/>
                <w:strike/>
                <w:noProof/>
                <w:sz w:val="20"/>
              </w:rPr>
            </w:pPr>
            <w:r w:rsidRPr="00B44B19">
              <w:rPr>
                <w:rFonts w:cs="Times New Roman"/>
                <w:color w:val="000000"/>
                <w:sz w:val="20"/>
                <w:szCs w:val="20"/>
              </w:rPr>
              <w:t>72 654 268</w:t>
            </w:r>
            <w:r w:rsidR="00624293" w:rsidRPr="00B44B19">
              <w:rPr>
                <w:rFonts w:cs="Times New Roman"/>
                <w:iCs/>
                <w:noProof/>
                <w:sz w:val="20"/>
              </w:rPr>
              <w:t>,00</w:t>
            </w:r>
          </w:p>
          <w:p w14:paraId="681A585D" w14:textId="78C5CDA8" w:rsidR="00624293" w:rsidRPr="00B44B19" w:rsidDel="00F04435" w:rsidRDefault="00624293" w:rsidP="00624293">
            <w:pPr>
              <w:jc w:val="right"/>
              <w:rPr>
                <w:rFonts w:eastAsia="Times New Roman" w:cs="Times New Roman"/>
                <w:iCs/>
                <w:noProof/>
                <w:sz w:val="20"/>
                <w:highlight w:val="yellow"/>
              </w:rPr>
            </w:pPr>
          </w:p>
        </w:tc>
      </w:tr>
      <w:tr w:rsidR="00624293" w:rsidRPr="00B44B19" w14:paraId="577BB33C" w14:textId="77777777" w:rsidTr="006D61A5">
        <w:tc>
          <w:tcPr>
            <w:tcW w:w="1100" w:type="dxa"/>
            <w:vMerge/>
          </w:tcPr>
          <w:p w14:paraId="4A5EEF1E" w14:textId="77777777" w:rsidR="00624293" w:rsidRPr="00B44B19" w:rsidRDefault="00624293" w:rsidP="00624293">
            <w:pPr>
              <w:rPr>
                <w:rFonts w:eastAsia="Times New Roman" w:cs="Times New Roman"/>
                <w:b/>
                <w:iCs/>
                <w:noProof/>
                <w:sz w:val="20"/>
              </w:rPr>
            </w:pPr>
          </w:p>
        </w:tc>
        <w:tc>
          <w:tcPr>
            <w:tcW w:w="850" w:type="dxa"/>
          </w:tcPr>
          <w:p w14:paraId="37082EBC"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SaF</w:t>
            </w:r>
          </w:p>
        </w:tc>
        <w:tc>
          <w:tcPr>
            <w:tcW w:w="1412" w:type="dxa"/>
            <w:tcBorders>
              <w:top w:val="single" w:sz="4" w:space="0" w:color="auto"/>
              <w:bottom w:val="single" w:sz="4" w:space="0" w:color="auto"/>
            </w:tcBorders>
          </w:tcPr>
          <w:p w14:paraId="4FF5BE29"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Visa Lietuva</w:t>
            </w:r>
          </w:p>
        </w:tc>
        <w:tc>
          <w:tcPr>
            <w:tcW w:w="1134" w:type="dxa"/>
            <w:vMerge/>
          </w:tcPr>
          <w:p w14:paraId="218CF8E6" w14:textId="77777777" w:rsidR="00624293" w:rsidRPr="00B44B19" w:rsidRDefault="00624293" w:rsidP="00624293">
            <w:pPr>
              <w:rPr>
                <w:rFonts w:eastAsia="Times New Roman" w:cs="Times New Roman"/>
                <w:b/>
                <w:iCs/>
                <w:noProof/>
                <w:sz w:val="20"/>
              </w:rPr>
            </w:pPr>
          </w:p>
        </w:tc>
        <w:tc>
          <w:tcPr>
            <w:tcW w:w="3779" w:type="dxa"/>
            <w:vMerge w:val="restart"/>
          </w:tcPr>
          <w:p w14:paraId="38354667"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03 – Naudojantis finansinėmis priemonėmis teikiama parama: paskola</w:t>
            </w:r>
          </w:p>
        </w:tc>
        <w:tc>
          <w:tcPr>
            <w:tcW w:w="1614" w:type="dxa"/>
            <w:tcBorders>
              <w:top w:val="single" w:sz="4" w:space="0" w:color="auto"/>
              <w:bottom w:val="single" w:sz="4" w:space="0" w:color="auto"/>
            </w:tcBorders>
          </w:tcPr>
          <w:p w14:paraId="7979364F" w14:textId="77777777" w:rsidR="00624293" w:rsidRPr="00B44B19" w:rsidRDefault="00624293" w:rsidP="00624293">
            <w:pPr>
              <w:jc w:val="right"/>
              <w:rPr>
                <w:rFonts w:cs="Times New Roman"/>
                <w:iCs/>
                <w:strike/>
                <w:noProof/>
                <w:sz w:val="20"/>
              </w:rPr>
            </w:pPr>
            <w:r w:rsidRPr="00B44B19">
              <w:rPr>
                <w:rFonts w:cs="Times New Roman"/>
                <w:iCs/>
                <w:noProof/>
                <w:sz w:val="20"/>
              </w:rPr>
              <w:t>90 039 334,00</w:t>
            </w:r>
          </w:p>
          <w:p w14:paraId="6EDAB5C2" w14:textId="576F9992" w:rsidR="00624293" w:rsidRPr="00B44B19" w:rsidRDefault="00624293" w:rsidP="00624293">
            <w:pPr>
              <w:jc w:val="right"/>
              <w:rPr>
                <w:rFonts w:eastAsia="Times New Roman" w:cs="Times New Roman"/>
                <w:iCs/>
                <w:noProof/>
                <w:sz w:val="20"/>
              </w:rPr>
            </w:pPr>
          </w:p>
        </w:tc>
      </w:tr>
      <w:tr w:rsidR="00624293" w:rsidRPr="00B44B19" w14:paraId="7311416E" w14:textId="77777777" w:rsidTr="006D61A5">
        <w:trPr>
          <w:trHeight w:val="87"/>
        </w:trPr>
        <w:tc>
          <w:tcPr>
            <w:tcW w:w="1100" w:type="dxa"/>
            <w:vMerge/>
          </w:tcPr>
          <w:p w14:paraId="3F97E408" w14:textId="77777777" w:rsidR="00624293" w:rsidRPr="00B44B19" w:rsidRDefault="00624293" w:rsidP="00624293">
            <w:pPr>
              <w:rPr>
                <w:rFonts w:eastAsia="Times New Roman" w:cs="Times New Roman"/>
                <w:b/>
                <w:iCs/>
                <w:noProof/>
                <w:sz w:val="20"/>
              </w:rPr>
            </w:pPr>
          </w:p>
        </w:tc>
        <w:tc>
          <w:tcPr>
            <w:tcW w:w="850" w:type="dxa"/>
          </w:tcPr>
          <w:p w14:paraId="4113DB93"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ERPF</w:t>
            </w:r>
          </w:p>
        </w:tc>
        <w:tc>
          <w:tcPr>
            <w:tcW w:w="1412" w:type="dxa"/>
            <w:tcBorders>
              <w:top w:val="single" w:sz="4" w:space="0" w:color="auto"/>
              <w:bottom w:val="single" w:sz="4" w:space="0" w:color="auto"/>
            </w:tcBorders>
          </w:tcPr>
          <w:p w14:paraId="31DB79FC"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BE37B62" w14:textId="77777777" w:rsidR="00624293" w:rsidRPr="00B44B19" w:rsidRDefault="00624293" w:rsidP="00624293">
            <w:pPr>
              <w:rPr>
                <w:rFonts w:eastAsia="Times New Roman" w:cs="Times New Roman"/>
                <w:b/>
                <w:iCs/>
                <w:noProof/>
                <w:sz w:val="20"/>
              </w:rPr>
            </w:pPr>
          </w:p>
        </w:tc>
        <w:tc>
          <w:tcPr>
            <w:tcW w:w="3779" w:type="dxa"/>
            <w:vMerge/>
          </w:tcPr>
          <w:p w14:paraId="71013956" w14:textId="77777777" w:rsidR="00624293" w:rsidRPr="00B44B19" w:rsidRDefault="00624293" w:rsidP="00624293">
            <w:pPr>
              <w:rPr>
                <w:rFonts w:eastAsia="Times New Roman" w:cs="Times New Roman"/>
                <w:iCs/>
                <w:noProof/>
                <w:sz w:val="20"/>
              </w:rPr>
            </w:pPr>
          </w:p>
        </w:tc>
        <w:tc>
          <w:tcPr>
            <w:tcW w:w="1614" w:type="dxa"/>
            <w:tcBorders>
              <w:top w:val="single" w:sz="4" w:space="0" w:color="auto"/>
              <w:bottom w:val="single" w:sz="4" w:space="0" w:color="auto"/>
            </w:tcBorders>
          </w:tcPr>
          <w:p w14:paraId="3A2573C7" w14:textId="77777777" w:rsidR="00624293" w:rsidRPr="00B44B19" w:rsidRDefault="00624293" w:rsidP="00624293">
            <w:pPr>
              <w:jc w:val="right"/>
              <w:rPr>
                <w:rFonts w:cs="Times New Roman"/>
                <w:iCs/>
                <w:strike/>
                <w:noProof/>
                <w:sz w:val="20"/>
              </w:rPr>
            </w:pPr>
            <w:r w:rsidRPr="00B44B19">
              <w:rPr>
                <w:rFonts w:cs="Times New Roman"/>
                <w:iCs/>
                <w:noProof/>
                <w:sz w:val="20"/>
              </w:rPr>
              <w:t>275 210 630,00</w:t>
            </w:r>
          </w:p>
          <w:p w14:paraId="5701972B" w14:textId="6F6361B5" w:rsidR="00624293" w:rsidRPr="00B44B19" w:rsidRDefault="00624293" w:rsidP="00624293">
            <w:pPr>
              <w:jc w:val="right"/>
              <w:rPr>
                <w:rFonts w:eastAsia="Times New Roman" w:cs="Times New Roman"/>
                <w:iCs/>
                <w:noProof/>
                <w:sz w:val="20"/>
                <w:highlight w:val="yellow"/>
              </w:rPr>
            </w:pPr>
          </w:p>
        </w:tc>
      </w:tr>
      <w:tr w:rsidR="00624293" w:rsidRPr="00B44B19" w14:paraId="5BAF4895" w14:textId="77777777" w:rsidTr="006D61A5">
        <w:trPr>
          <w:trHeight w:val="271"/>
        </w:trPr>
        <w:tc>
          <w:tcPr>
            <w:tcW w:w="1100" w:type="dxa"/>
            <w:vMerge/>
          </w:tcPr>
          <w:p w14:paraId="78081FFB" w14:textId="77777777" w:rsidR="00624293" w:rsidRPr="00B44B19" w:rsidRDefault="00624293" w:rsidP="00624293">
            <w:pPr>
              <w:rPr>
                <w:rFonts w:eastAsia="Times New Roman" w:cs="Times New Roman"/>
                <w:b/>
                <w:iCs/>
                <w:noProof/>
                <w:sz w:val="20"/>
              </w:rPr>
            </w:pPr>
          </w:p>
        </w:tc>
        <w:tc>
          <w:tcPr>
            <w:tcW w:w="850" w:type="dxa"/>
          </w:tcPr>
          <w:p w14:paraId="6ABFC64F"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SaF</w:t>
            </w:r>
          </w:p>
        </w:tc>
        <w:tc>
          <w:tcPr>
            <w:tcW w:w="1412" w:type="dxa"/>
            <w:tcBorders>
              <w:top w:val="single" w:sz="4" w:space="0" w:color="auto"/>
              <w:bottom w:val="single" w:sz="4" w:space="0" w:color="auto"/>
            </w:tcBorders>
          </w:tcPr>
          <w:p w14:paraId="5A27B4B7"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Visa Lietuva</w:t>
            </w:r>
          </w:p>
        </w:tc>
        <w:tc>
          <w:tcPr>
            <w:tcW w:w="1134" w:type="dxa"/>
            <w:vMerge/>
          </w:tcPr>
          <w:p w14:paraId="404CBF86" w14:textId="77777777" w:rsidR="00624293" w:rsidRPr="00B44B19" w:rsidRDefault="00624293" w:rsidP="00624293">
            <w:pPr>
              <w:rPr>
                <w:rFonts w:eastAsia="Times New Roman" w:cs="Times New Roman"/>
                <w:b/>
                <w:iCs/>
                <w:noProof/>
                <w:sz w:val="20"/>
              </w:rPr>
            </w:pPr>
          </w:p>
        </w:tc>
        <w:tc>
          <w:tcPr>
            <w:tcW w:w="3779" w:type="dxa"/>
            <w:vMerge w:val="restart"/>
          </w:tcPr>
          <w:p w14:paraId="5B5C58DC"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05 – Naudojantis finansinėmis priemonėmis teikiama parama: dotacijos, suteiktos vykdant finansinės priemonės veiksmą</w:t>
            </w:r>
          </w:p>
        </w:tc>
        <w:tc>
          <w:tcPr>
            <w:tcW w:w="1614" w:type="dxa"/>
            <w:tcBorders>
              <w:top w:val="single" w:sz="4" w:space="0" w:color="auto"/>
              <w:bottom w:val="single" w:sz="4" w:space="0" w:color="auto"/>
            </w:tcBorders>
          </w:tcPr>
          <w:p w14:paraId="49D77588" w14:textId="77777777" w:rsidR="00624293" w:rsidRPr="00B44B19" w:rsidRDefault="00624293" w:rsidP="00624293">
            <w:pPr>
              <w:jc w:val="right"/>
              <w:rPr>
                <w:rFonts w:cs="Times New Roman"/>
                <w:strike/>
                <w:color w:val="000000"/>
                <w:sz w:val="20"/>
              </w:rPr>
            </w:pPr>
            <w:r w:rsidRPr="00B44B19">
              <w:rPr>
                <w:rFonts w:cs="Times New Roman"/>
                <w:color w:val="000000"/>
                <w:sz w:val="20"/>
              </w:rPr>
              <w:t>5 235 000,00</w:t>
            </w:r>
          </w:p>
          <w:p w14:paraId="00C9E052" w14:textId="52A85DA1" w:rsidR="00624293" w:rsidRPr="00B44B19" w:rsidRDefault="00624293" w:rsidP="00624293">
            <w:pPr>
              <w:jc w:val="right"/>
              <w:rPr>
                <w:rFonts w:cs="Times New Roman"/>
                <w:color w:val="000000"/>
                <w:sz w:val="20"/>
                <w:szCs w:val="20"/>
              </w:rPr>
            </w:pPr>
          </w:p>
        </w:tc>
      </w:tr>
      <w:tr w:rsidR="00624293" w:rsidRPr="00B44B19" w14:paraId="6896EC93" w14:textId="77777777" w:rsidTr="006D61A5">
        <w:trPr>
          <w:trHeight w:val="271"/>
        </w:trPr>
        <w:tc>
          <w:tcPr>
            <w:tcW w:w="1100" w:type="dxa"/>
            <w:vMerge/>
          </w:tcPr>
          <w:p w14:paraId="6E806F11" w14:textId="77777777" w:rsidR="00624293" w:rsidRPr="00B44B19" w:rsidRDefault="00624293" w:rsidP="00624293">
            <w:pPr>
              <w:rPr>
                <w:rFonts w:eastAsia="Times New Roman" w:cs="Times New Roman"/>
                <w:b/>
                <w:iCs/>
                <w:noProof/>
                <w:sz w:val="20"/>
              </w:rPr>
            </w:pPr>
          </w:p>
        </w:tc>
        <w:tc>
          <w:tcPr>
            <w:tcW w:w="850" w:type="dxa"/>
          </w:tcPr>
          <w:p w14:paraId="5031DCE8" w14:textId="77777777" w:rsidR="00624293" w:rsidRPr="00B44B19" w:rsidRDefault="00624293" w:rsidP="00624293">
            <w:pPr>
              <w:jc w:val="center"/>
              <w:rPr>
                <w:rFonts w:eastAsia="Times New Roman" w:cs="Times New Roman"/>
                <w:iCs/>
                <w:noProof/>
                <w:sz w:val="20"/>
              </w:rPr>
            </w:pPr>
            <w:r w:rsidRPr="00B44B19">
              <w:rPr>
                <w:rFonts w:eastAsia="Times New Roman" w:cs="Times New Roman"/>
                <w:iCs/>
                <w:noProof/>
                <w:sz w:val="20"/>
              </w:rPr>
              <w:t>ERPF</w:t>
            </w:r>
          </w:p>
        </w:tc>
        <w:tc>
          <w:tcPr>
            <w:tcW w:w="1412" w:type="dxa"/>
            <w:tcBorders>
              <w:top w:val="single" w:sz="4" w:space="0" w:color="auto"/>
            </w:tcBorders>
          </w:tcPr>
          <w:p w14:paraId="23F48254" w14:textId="77777777" w:rsidR="00624293" w:rsidRPr="00B44B19" w:rsidRDefault="00624293" w:rsidP="00624293">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638A661" w14:textId="77777777" w:rsidR="00624293" w:rsidRPr="00B44B19" w:rsidRDefault="00624293" w:rsidP="00624293">
            <w:pPr>
              <w:rPr>
                <w:rFonts w:eastAsia="Times New Roman" w:cs="Times New Roman"/>
                <w:b/>
                <w:iCs/>
                <w:noProof/>
                <w:sz w:val="20"/>
              </w:rPr>
            </w:pPr>
          </w:p>
        </w:tc>
        <w:tc>
          <w:tcPr>
            <w:tcW w:w="3779" w:type="dxa"/>
            <w:vMerge/>
          </w:tcPr>
          <w:p w14:paraId="7653DD95" w14:textId="77777777" w:rsidR="00624293" w:rsidRPr="00B44B19" w:rsidRDefault="00624293" w:rsidP="00624293">
            <w:pPr>
              <w:jc w:val="center"/>
              <w:rPr>
                <w:rFonts w:eastAsia="Times New Roman" w:cs="Times New Roman"/>
                <w:iCs/>
                <w:noProof/>
                <w:sz w:val="20"/>
              </w:rPr>
            </w:pPr>
          </w:p>
        </w:tc>
        <w:tc>
          <w:tcPr>
            <w:tcW w:w="1614" w:type="dxa"/>
            <w:tcBorders>
              <w:top w:val="single" w:sz="4" w:space="0" w:color="auto"/>
            </w:tcBorders>
          </w:tcPr>
          <w:p w14:paraId="69C4ACE2" w14:textId="77777777" w:rsidR="00624293" w:rsidRPr="00B44B19" w:rsidRDefault="00624293" w:rsidP="00624293">
            <w:pPr>
              <w:contextualSpacing/>
              <w:jc w:val="right"/>
              <w:rPr>
                <w:rFonts w:cs="Times New Roman"/>
                <w:strike/>
                <w:color w:val="000000"/>
                <w:sz w:val="20"/>
                <w:lang w:eastAsia="lt-LT"/>
              </w:rPr>
            </w:pPr>
            <w:r w:rsidRPr="00B44B19">
              <w:rPr>
                <w:rFonts w:cs="Times New Roman"/>
                <w:color w:val="000000"/>
                <w:sz w:val="20"/>
              </w:rPr>
              <w:t>5 235 000,00</w:t>
            </w:r>
          </w:p>
          <w:p w14:paraId="0A689132" w14:textId="201CD384" w:rsidR="00624293" w:rsidRPr="00B44B19" w:rsidRDefault="00624293" w:rsidP="00624293">
            <w:pPr>
              <w:jc w:val="right"/>
              <w:rPr>
                <w:rFonts w:cs="Times New Roman"/>
                <w:color w:val="000000"/>
                <w:sz w:val="20"/>
                <w:szCs w:val="20"/>
              </w:rPr>
            </w:pPr>
          </w:p>
        </w:tc>
      </w:tr>
    </w:tbl>
    <w:p w14:paraId="00FEB333" w14:textId="77777777" w:rsidR="005B66F2" w:rsidRPr="00B44B19" w:rsidRDefault="005B66F2" w:rsidP="00891CA2">
      <w:pPr>
        <w:spacing w:after="0" w:line="240" w:lineRule="auto"/>
        <w:rPr>
          <w:rFonts w:cs="Times New Roman"/>
          <w:sz w:val="20"/>
          <w:szCs w:val="20"/>
        </w:rPr>
      </w:pPr>
    </w:p>
    <w:tbl>
      <w:tblPr>
        <w:tblStyle w:val="Lentelstinklelis"/>
        <w:tblW w:w="0" w:type="auto"/>
        <w:tblLayout w:type="fixed"/>
        <w:tblLook w:val="04A0" w:firstRow="1" w:lastRow="0" w:firstColumn="1" w:lastColumn="0" w:noHBand="0" w:noVBand="1"/>
      </w:tblPr>
      <w:tblGrid>
        <w:gridCol w:w="1101"/>
        <w:gridCol w:w="850"/>
        <w:gridCol w:w="1418"/>
        <w:gridCol w:w="1134"/>
        <w:gridCol w:w="3827"/>
        <w:gridCol w:w="1524"/>
      </w:tblGrid>
      <w:tr w:rsidR="00A42AA9" w:rsidRPr="00B44B19" w14:paraId="55ADFA85" w14:textId="77777777" w:rsidTr="00891CA2">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62D5F4E" w14:textId="77777777" w:rsidR="00A42AA9" w:rsidRPr="00B44B19" w:rsidRDefault="00A42AA9" w:rsidP="00B14080">
            <w:pPr>
              <w:rPr>
                <w:rFonts w:eastAsia="Times New Roman" w:cs="Times New Roman"/>
                <w:b/>
                <w:iCs/>
                <w:noProof/>
                <w:sz w:val="20"/>
              </w:rPr>
            </w:pPr>
            <w:r w:rsidRPr="00B44B19">
              <w:rPr>
                <w:rFonts w:cs="Times New Roman"/>
                <w:b/>
                <w:noProof/>
                <w:sz w:val="20"/>
              </w:rPr>
              <w:t xml:space="preserve">6 lentelė. 3 matmuo. </w:t>
            </w:r>
            <w:r w:rsidR="006217E0" w:rsidRPr="00B44B19">
              <w:rPr>
                <w:rFonts w:cs="Times New Roman"/>
                <w:b/>
                <w:noProof/>
                <w:sz w:val="20"/>
              </w:rPr>
              <w:t>Teritorinis įgyvendinimo mechanizmas ir pagrindinė teritorinė sritis</w:t>
            </w:r>
          </w:p>
        </w:tc>
      </w:tr>
      <w:tr w:rsidR="00A42AA9" w:rsidRPr="00B44B19" w14:paraId="6FEFCAF3" w14:textId="77777777" w:rsidTr="007167B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7094B0" w14:textId="77777777" w:rsidR="00A42AA9" w:rsidRPr="00B44B19" w:rsidRDefault="00A42AA9" w:rsidP="00B14080">
            <w:pPr>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04EBA6" w14:textId="77777777" w:rsidR="00A42AA9" w:rsidRPr="00B44B19" w:rsidRDefault="00A42AA9" w:rsidP="00B14080">
            <w:pPr>
              <w:jc w:val="center"/>
              <w:rPr>
                <w:rFonts w:eastAsia="Times New Roman" w:cs="Times New Roman"/>
                <w:b/>
                <w:iCs/>
                <w:noProof/>
                <w:sz w:val="20"/>
                <w:szCs w:val="20"/>
              </w:rPr>
            </w:pPr>
            <w:r w:rsidRPr="00B44B19">
              <w:rPr>
                <w:rFonts w:cs="Times New Roman"/>
                <w:b/>
                <w:noProof/>
                <w:sz w:val="20"/>
                <w:szCs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D0EC43" w14:textId="77777777" w:rsidR="00A42AA9" w:rsidRPr="00B44B19" w:rsidRDefault="00A42AA9" w:rsidP="00B14080">
            <w:pPr>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049F95" w14:textId="77777777" w:rsidR="00A42AA9" w:rsidRPr="00B44B19" w:rsidRDefault="00A42AA9" w:rsidP="00B14080">
            <w:pPr>
              <w:jc w:val="center"/>
              <w:rPr>
                <w:rFonts w:eastAsia="Times New Roman" w:cs="Times New Roman"/>
                <w:b/>
                <w:iCs/>
                <w:noProof/>
                <w:sz w:val="20"/>
                <w:szCs w:val="20"/>
              </w:rPr>
            </w:pPr>
            <w:r w:rsidRPr="00B44B19">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AD76A" w14:textId="77777777" w:rsidR="00A42AA9" w:rsidRPr="00B44B19" w:rsidRDefault="00A42AA9" w:rsidP="00B14080">
            <w:pPr>
              <w:jc w:val="center"/>
              <w:rPr>
                <w:rFonts w:eastAsia="Times New Roman" w:cs="Times New Roman"/>
                <w:b/>
                <w:iCs/>
                <w:noProof/>
                <w:sz w:val="20"/>
                <w:szCs w:val="20"/>
              </w:rPr>
            </w:pPr>
            <w:r w:rsidRPr="00B44B19">
              <w:rPr>
                <w:rFonts w:cs="Times New Roman"/>
                <w:b/>
                <w:noProof/>
                <w:sz w:val="20"/>
                <w:szCs w:val="20"/>
              </w:rPr>
              <w:t>Kodas</w:t>
            </w:r>
          </w:p>
        </w:tc>
        <w:tc>
          <w:tcPr>
            <w:tcW w:w="15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D6F7DE" w14:textId="77777777" w:rsidR="00A42AA9" w:rsidRPr="00B44B19" w:rsidRDefault="00A42AA9" w:rsidP="00B14080">
            <w:pPr>
              <w:jc w:val="center"/>
              <w:rPr>
                <w:rFonts w:eastAsia="Times New Roman" w:cs="Times New Roman"/>
                <w:b/>
                <w:iCs/>
                <w:noProof/>
                <w:sz w:val="20"/>
                <w:szCs w:val="20"/>
              </w:rPr>
            </w:pPr>
            <w:r w:rsidRPr="00B44B19">
              <w:rPr>
                <w:rFonts w:cs="Times New Roman"/>
                <w:b/>
                <w:noProof/>
                <w:sz w:val="20"/>
                <w:szCs w:val="20"/>
              </w:rPr>
              <w:t>Suma (EUR)</w:t>
            </w:r>
          </w:p>
        </w:tc>
      </w:tr>
      <w:tr w:rsidR="00A05EAE" w:rsidRPr="00B44B19" w14:paraId="74F22CFB" w14:textId="77777777" w:rsidTr="00167E6C">
        <w:trPr>
          <w:trHeight w:val="225"/>
        </w:trPr>
        <w:tc>
          <w:tcPr>
            <w:tcW w:w="1101" w:type="dxa"/>
            <w:vMerge w:val="restart"/>
          </w:tcPr>
          <w:p w14:paraId="5D49BB2B" w14:textId="77777777" w:rsidR="00A05EAE" w:rsidRPr="00B44B19" w:rsidRDefault="00A05EAE" w:rsidP="00B14080">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4" w:space="0" w:color="auto"/>
              <w:bottom w:val="single" w:sz="4" w:space="0" w:color="auto"/>
            </w:tcBorders>
          </w:tcPr>
          <w:p w14:paraId="709E5A3A" w14:textId="77777777" w:rsidR="00A05EAE" w:rsidRPr="00B44B19" w:rsidRDefault="00A05EAE" w:rsidP="003B5BEC">
            <w:pPr>
              <w:jc w:val="center"/>
              <w:rPr>
                <w:rFonts w:eastAsia="Times New Roman" w:cs="Times New Roman"/>
                <w:iCs/>
                <w:noProof/>
                <w:sz w:val="20"/>
              </w:rPr>
            </w:pPr>
            <w:r w:rsidRPr="00B44B19">
              <w:rPr>
                <w:rFonts w:eastAsia="Times New Roman" w:cs="Times New Roman"/>
                <w:iCs/>
                <w:noProof/>
                <w:sz w:val="20"/>
              </w:rPr>
              <w:t>SaF</w:t>
            </w:r>
          </w:p>
        </w:tc>
        <w:tc>
          <w:tcPr>
            <w:tcW w:w="1418" w:type="dxa"/>
            <w:tcBorders>
              <w:top w:val="single" w:sz="4" w:space="0" w:color="auto"/>
              <w:bottom w:val="single" w:sz="4" w:space="0" w:color="auto"/>
            </w:tcBorders>
          </w:tcPr>
          <w:p w14:paraId="05F85BB5" w14:textId="77777777" w:rsidR="00A05EAE" w:rsidRPr="00B44B19" w:rsidRDefault="00A05EAE" w:rsidP="003B5BEC">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Pr>
          <w:p w14:paraId="23E2F351" w14:textId="77777777" w:rsidR="00A05EAE" w:rsidRPr="00B44B19" w:rsidRDefault="00A05EAE" w:rsidP="003B5BEC">
            <w:pPr>
              <w:jc w:val="center"/>
              <w:rPr>
                <w:rFonts w:eastAsia="Times New Roman" w:cs="Times New Roman"/>
                <w:iCs/>
                <w:noProof/>
                <w:sz w:val="20"/>
              </w:rPr>
            </w:pPr>
            <w:r w:rsidRPr="00B44B19">
              <w:rPr>
                <w:rFonts w:eastAsia="Times New Roman" w:cs="Times New Roman"/>
                <w:iCs/>
                <w:noProof/>
                <w:sz w:val="20"/>
              </w:rPr>
              <w:t>2.1</w:t>
            </w:r>
          </w:p>
        </w:tc>
        <w:tc>
          <w:tcPr>
            <w:tcW w:w="3827" w:type="dxa"/>
            <w:vMerge w:val="restart"/>
            <w:tcBorders>
              <w:top w:val="single" w:sz="4" w:space="0" w:color="auto"/>
            </w:tcBorders>
          </w:tcPr>
          <w:p w14:paraId="549D259E" w14:textId="77777777" w:rsidR="00A05EAE" w:rsidRPr="00B44B19" w:rsidRDefault="00A05EAE" w:rsidP="00AF6259">
            <w:pPr>
              <w:rPr>
                <w:rFonts w:eastAsia="Times New Roman" w:cs="Times New Roman"/>
                <w:iCs/>
                <w:noProof/>
                <w:sz w:val="20"/>
              </w:rPr>
            </w:pPr>
            <w:r w:rsidRPr="00B44B19">
              <w:rPr>
                <w:rFonts w:eastAsia="Times New Roman" w:cs="Times New Roman"/>
                <w:iCs/>
                <w:noProof/>
                <w:sz w:val="20"/>
              </w:rPr>
              <w:t>33 – Nesiorientuojant į teritoriškumą</w:t>
            </w:r>
          </w:p>
        </w:tc>
        <w:tc>
          <w:tcPr>
            <w:tcW w:w="1524" w:type="dxa"/>
            <w:tcBorders>
              <w:top w:val="single" w:sz="4" w:space="0" w:color="auto"/>
              <w:bottom w:val="single" w:sz="4" w:space="0" w:color="auto"/>
            </w:tcBorders>
          </w:tcPr>
          <w:p w14:paraId="2BB90B45" w14:textId="3F157D76" w:rsidR="00A05EAE" w:rsidRPr="00B44B19" w:rsidRDefault="008206EC" w:rsidP="008206EC">
            <w:pPr>
              <w:jc w:val="right"/>
              <w:rPr>
                <w:rFonts w:eastAsia="Times New Roman" w:cs="Times New Roman"/>
                <w:iCs/>
                <w:noProof/>
                <w:sz w:val="20"/>
              </w:rPr>
            </w:pPr>
            <w:r w:rsidRPr="00B44B19">
              <w:rPr>
                <w:rFonts w:cs="Times New Roman"/>
                <w:color w:val="000000"/>
                <w:sz w:val="20"/>
                <w:szCs w:val="20"/>
              </w:rPr>
              <w:t>167 928 602</w:t>
            </w:r>
            <w:r w:rsidR="001F4E94" w:rsidRPr="00B44B19">
              <w:rPr>
                <w:rFonts w:eastAsia="Times New Roman" w:cs="Times New Roman"/>
                <w:iCs/>
                <w:noProof/>
                <w:sz w:val="20"/>
              </w:rPr>
              <w:t>,00</w:t>
            </w:r>
          </w:p>
        </w:tc>
      </w:tr>
      <w:tr w:rsidR="00F73D5F" w:rsidRPr="00B44B19" w14:paraId="2A323ED3" w14:textId="77777777" w:rsidTr="00AF6259">
        <w:trPr>
          <w:trHeight w:val="125"/>
        </w:trPr>
        <w:tc>
          <w:tcPr>
            <w:tcW w:w="1101" w:type="dxa"/>
            <w:vMerge/>
          </w:tcPr>
          <w:p w14:paraId="09B48E00" w14:textId="77777777" w:rsidR="00F73D5F" w:rsidRPr="00B44B19" w:rsidRDefault="00F73D5F" w:rsidP="00B14080">
            <w:pPr>
              <w:rPr>
                <w:rFonts w:eastAsia="Times New Roman" w:cs="Times New Roman"/>
                <w:b/>
                <w:iCs/>
                <w:noProof/>
                <w:sz w:val="20"/>
              </w:rPr>
            </w:pPr>
          </w:p>
        </w:tc>
        <w:tc>
          <w:tcPr>
            <w:tcW w:w="850" w:type="dxa"/>
          </w:tcPr>
          <w:p w14:paraId="6EB8505E" w14:textId="77777777" w:rsidR="00F73D5F" w:rsidRPr="00B44B19" w:rsidRDefault="00F73D5F" w:rsidP="00167E6C">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4" w:space="0" w:color="auto"/>
              <w:bottom w:val="single" w:sz="4" w:space="0" w:color="auto"/>
            </w:tcBorders>
          </w:tcPr>
          <w:p w14:paraId="2FF01318" w14:textId="77777777" w:rsidR="00F73D5F" w:rsidRPr="00B44B19" w:rsidRDefault="00F73D5F" w:rsidP="00167E6C">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28195DC1" w14:textId="77777777" w:rsidR="00F73D5F" w:rsidRPr="00B44B19" w:rsidRDefault="00F73D5F" w:rsidP="00B14080">
            <w:pPr>
              <w:rPr>
                <w:rFonts w:eastAsia="Times New Roman" w:cs="Times New Roman"/>
                <w:b/>
                <w:iCs/>
                <w:noProof/>
                <w:sz w:val="20"/>
              </w:rPr>
            </w:pPr>
          </w:p>
        </w:tc>
        <w:tc>
          <w:tcPr>
            <w:tcW w:w="3827" w:type="dxa"/>
            <w:vMerge/>
          </w:tcPr>
          <w:p w14:paraId="702E8D60" w14:textId="77777777" w:rsidR="00F73D5F" w:rsidRPr="00B44B19" w:rsidRDefault="00F73D5F" w:rsidP="00AF6259">
            <w:pPr>
              <w:rPr>
                <w:rFonts w:eastAsia="Times New Roman" w:cs="Times New Roman"/>
                <w:iCs/>
                <w:noProof/>
                <w:sz w:val="20"/>
              </w:rPr>
            </w:pPr>
          </w:p>
        </w:tc>
        <w:tc>
          <w:tcPr>
            <w:tcW w:w="1524" w:type="dxa"/>
            <w:tcBorders>
              <w:top w:val="single" w:sz="4" w:space="0" w:color="auto"/>
              <w:bottom w:val="single" w:sz="4" w:space="0" w:color="auto"/>
            </w:tcBorders>
          </w:tcPr>
          <w:p w14:paraId="44F29B07" w14:textId="367ADDA0" w:rsidR="00F73D5F" w:rsidRPr="00B44B19" w:rsidRDefault="008206EC" w:rsidP="008206EC">
            <w:pPr>
              <w:jc w:val="right"/>
              <w:rPr>
                <w:rFonts w:cs="Times New Roman"/>
                <w:color w:val="000000"/>
                <w:sz w:val="20"/>
                <w:szCs w:val="20"/>
              </w:rPr>
            </w:pPr>
            <w:r w:rsidRPr="00B44B19">
              <w:rPr>
                <w:rFonts w:cs="Times New Roman"/>
                <w:color w:val="000000"/>
                <w:sz w:val="20"/>
                <w:szCs w:val="20"/>
              </w:rPr>
              <w:t>371 856 441</w:t>
            </w:r>
            <w:r w:rsidR="00B24A0F" w:rsidRPr="00B44B19">
              <w:rPr>
                <w:rFonts w:cs="Times New Roman"/>
                <w:color w:val="000000"/>
                <w:sz w:val="20"/>
                <w:szCs w:val="20"/>
                <w:lang w:val="en-US"/>
              </w:rPr>
              <w:t>,00</w:t>
            </w:r>
          </w:p>
        </w:tc>
      </w:tr>
    </w:tbl>
    <w:p w14:paraId="64A0F1FA" w14:textId="77777777" w:rsidR="007167BE" w:rsidRPr="00B44B19" w:rsidRDefault="007167BE" w:rsidP="00E5053B">
      <w:pPr>
        <w:spacing w:after="0" w:line="240" w:lineRule="auto"/>
        <w:rPr>
          <w:rFonts w:cs="Times New Roman"/>
          <w:sz w:val="20"/>
          <w:szCs w:val="20"/>
        </w:rPr>
      </w:pPr>
    </w:p>
    <w:tbl>
      <w:tblPr>
        <w:tblStyle w:val="Lentelstinklelis21"/>
        <w:tblW w:w="9889" w:type="dxa"/>
        <w:tblLayout w:type="fixed"/>
        <w:tblLook w:val="04A0" w:firstRow="1" w:lastRow="0" w:firstColumn="1" w:lastColumn="0" w:noHBand="0" w:noVBand="1"/>
      </w:tblPr>
      <w:tblGrid>
        <w:gridCol w:w="1094"/>
        <w:gridCol w:w="849"/>
        <w:gridCol w:w="1377"/>
        <w:gridCol w:w="1133"/>
        <w:gridCol w:w="3877"/>
        <w:gridCol w:w="1559"/>
      </w:tblGrid>
      <w:tr w:rsidR="00FD4C27" w:rsidRPr="00B44B19" w14:paraId="1A325011" w14:textId="77777777" w:rsidTr="00423E48">
        <w:trPr>
          <w:tblHeader/>
        </w:trPr>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D6FEF0C" w14:textId="77777777" w:rsidR="00FD4C27" w:rsidRPr="00B44B19" w:rsidRDefault="00FD4C27" w:rsidP="00FD4C27">
            <w:pPr>
              <w:rPr>
                <w:b/>
                <w:iCs/>
                <w:noProof/>
                <w:sz w:val="20"/>
                <w:szCs w:val="20"/>
              </w:rPr>
            </w:pPr>
            <w:r w:rsidRPr="00B44B19">
              <w:rPr>
                <w:b/>
                <w:noProof/>
                <w:sz w:val="20"/>
                <w:szCs w:val="20"/>
              </w:rPr>
              <w:t xml:space="preserve">7 lentelė. 7 matmuo. </w:t>
            </w:r>
            <w:r w:rsidRPr="00B44B19">
              <w:rPr>
                <w:b/>
                <w:sz w:val="20"/>
                <w:szCs w:val="20"/>
              </w:rPr>
              <w:t>ESF+, ERPF, S</w:t>
            </w:r>
            <w:r w:rsidR="005D7AA4" w:rsidRPr="00B44B19">
              <w:rPr>
                <w:b/>
                <w:sz w:val="20"/>
                <w:szCs w:val="20"/>
              </w:rPr>
              <w:t>a</w:t>
            </w:r>
            <w:r w:rsidRPr="00B44B19">
              <w:rPr>
                <w:b/>
                <w:sz w:val="20"/>
                <w:szCs w:val="20"/>
              </w:rPr>
              <w:t>F ir TPF lyčių lygybės matmuo</w:t>
            </w:r>
          </w:p>
        </w:tc>
      </w:tr>
      <w:tr w:rsidR="00FD4C27" w:rsidRPr="00B44B19" w14:paraId="3BE9D896" w14:textId="77777777" w:rsidTr="00F73D5F">
        <w:trPr>
          <w:tblHeader/>
        </w:trPr>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365234" w14:textId="77777777" w:rsidR="00FD4C27" w:rsidRPr="00B44B19" w:rsidRDefault="00FD4C27" w:rsidP="00FD4C27">
            <w:pPr>
              <w:jc w:val="center"/>
              <w:rPr>
                <w:b/>
                <w:iCs/>
                <w:noProof/>
                <w:sz w:val="20"/>
              </w:rPr>
            </w:pPr>
            <w:r w:rsidRPr="00B44B19">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FC46F2" w14:textId="77777777" w:rsidR="00FD4C27" w:rsidRPr="00B44B19" w:rsidRDefault="00FD4C27" w:rsidP="00FD4C27">
            <w:pPr>
              <w:jc w:val="center"/>
              <w:rPr>
                <w:b/>
                <w:iCs/>
                <w:noProof/>
                <w:sz w:val="20"/>
              </w:rPr>
            </w:pPr>
            <w:r w:rsidRPr="00B44B19">
              <w:rPr>
                <w:b/>
                <w:noProof/>
                <w:sz w:val="20"/>
              </w:rPr>
              <w:t>Fondas</w:t>
            </w:r>
          </w:p>
        </w:tc>
        <w:tc>
          <w:tcPr>
            <w:tcW w:w="13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3A7246" w14:textId="77777777" w:rsidR="00FD4C27" w:rsidRPr="00B44B19" w:rsidRDefault="00FD4C27" w:rsidP="00FD4C27">
            <w:pPr>
              <w:jc w:val="center"/>
              <w:rPr>
                <w:b/>
                <w:iCs/>
                <w:noProof/>
                <w:sz w:val="20"/>
              </w:rPr>
            </w:pPr>
            <w:r w:rsidRPr="00B44B19">
              <w:rPr>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3EE8C2" w14:textId="77777777" w:rsidR="00FD4C27" w:rsidRPr="00B44B19" w:rsidRDefault="00FD4C27" w:rsidP="00FD4C27">
            <w:pPr>
              <w:jc w:val="center"/>
              <w:rPr>
                <w:b/>
                <w:iCs/>
                <w:noProof/>
                <w:sz w:val="20"/>
              </w:rPr>
            </w:pPr>
            <w:r w:rsidRPr="00B44B19">
              <w:rPr>
                <w:b/>
                <w:noProof/>
                <w:sz w:val="20"/>
              </w:rPr>
              <w:t>Konkretus uždavinys</w:t>
            </w:r>
          </w:p>
        </w:tc>
        <w:tc>
          <w:tcPr>
            <w:tcW w:w="387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7421BC" w14:textId="77777777" w:rsidR="00FD4C27" w:rsidRPr="00B44B19" w:rsidRDefault="00FD4C27" w:rsidP="00FD4C27">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3EF92B" w14:textId="77777777" w:rsidR="00FD4C27" w:rsidRPr="00B44B19" w:rsidRDefault="00FD4C27" w:rsidP="00FD4C27">
            <w:pPr>
              <w:jc w:val="center"/>
              <w:rPr>
                <w:b/>
                <w:iCs/>
                <w:noProof/>
                <w:sz w:val="20"/>
              </w:rPr>
            </w:pPr>
            <w:r w:rsidRPr="00B44B19">
              <w:rPr>
                <w:b/>
                <w:noProof/>
                <w:sz w:val="20"/>
              </w:rPr>
              <w:t>Suma (EUR)</w:t>
            </w:r>
          </w:p>
        </w:tc>
      </w:tr>
      <w:tr w:rsidR="00A05EAE" w:rsidRPr="00B44B19" w14:paraId="5F7F4C37" w14:textId="77777777" w:rsidTr="00F73D5F">
        <w:tc>
          <w:tcPr>
            <w:tcW w:w="1094" w:type="dxa"/>
            <w:vMerge w:val="restart"/>
            <w:tcBorders>
              <w:top w:val="single" w:sz="12" w:space="0" w:color="auto"/>
            </w:tcBorders>
          </w:tcPr>
          <w:p w14:paraId="1526D6E6" w14:textId="77777777" w:rsidR="00A05EAE" w:rsidRPr="00B44B19" w:rsidRDefault="00A05EAE" w:rsidP="00FD4C27">
            <w:pPr>
              <w:jc w:val="center"/>
              <w:rPr>
                <w:iCs/>
                <w:noProof/>
                <w:sz w:val="20"/>
              </w:rPr>
            </w:pPr>
            <w:r w:rsidRPr="00B44B19">
              <w:rPr>
                <w:iCs/>
                <w:noProof/>
                <w:sz w:val="20"/>
              </w:rPr>
              <w:t>2.</w:t>
            </w:r>
          </w:p>
        </w:tc>
        <w:tc>
          <w:tcPr>
            <w:tcW w:w="849" w:type="dxa"/>
            <w:tcBorders>
              <w:top w:val="single" w:sz="12" w:space="0" w:color="auto"/>
              <w:bottom w:val="single" w:sz="4" w:space="0" w:color="auto"/>
            </w:tcBorders>
          </w:tcPr>
          <w:p w14:paraId="0E0EF852" w14:textId="77777777" w:rsidR="00A05EAE" w:rsidRPr="00B44B19" w:rsidRDefault="00A05EAE" w:rsidP="00FD4C27">
            <w:pPr>
              <w:jc w:val="center"/>
              <w:rPr>
                <w:iCs/>
                <w:noProof/>
                <w:sz w:val="20"/>
              </w:rPr>
            </w:pPr>
            <w:r w:rsidRPr="00B44B19">
              <w:rPr>
                <w:iCs/>
                <w:noProof/>
                <w:sz w:val="20"/>
              </w:rPr>
              <w:t>SaF</w:t>
            </w:r>
          </w:p>
        </w:tc>
        <w:tc>
          <w:tcPr>
            <w:tcW w:w="1377" w:type="dxa"/>
            <w:tcBorders>
              <w:top w:val="single" w:sz="12" w:space="0" w:color="auto"/>
              <w:bottom w:val="single" w:sz="4" w:space="0" w:color="auto"/>
            </w:tcBorders>
          </w:tcPr>
          <w:p w14:paraId="6F590F31" w14:textId="77777777" w:rsidR="00A05EAE" w:rsidRPr="00B44B19" w:rsidRDefault="00A05EAE" w:rsidP="00FD4C27">
            <w:pPr>
              <w:rPr>
                <w:iCs/>
                <w:noProof/>
                <w:sz w:val="20"/>
              </w:rPr>
            </w:pPr>
            <w:r w:rsidRPr="00B44B19">
              <w:rPr>
                <w:iCs/>
                <w:noProof/>
                <w:sz w:val="20"/>
              </w:rPr>
              <w:t>Visa Lietuva</w:t>
            </w:r>
          </w:p>
        </w:tc>
        <w:tc>
          <w:tcPr>
            <w:tcW w:w="1133" w:type="dxa"/>
            <w:vMerge w:val="restart"/>
            <w:tcBorders>
              <w:top w:val="single" w:sz="12" w:space="0" w:color="auto"/>
              <w:bottom w:val="single" w:sz="4" w:space="0" w:color="auto"/>
            </w:tcBorders>
          </w:tcPr>
          <w:p w14:paraId="46A8CDDA" w14:textId="77777777" w:rsidR="00A05EAE" w:rsidRPr="00B44B19" w:rsidRDefault="00A05EAE" w:rsidP="00FD4C27">
            <w:pPr>
              <w:jc w:val="center"/>
              <w:rPr>
                <w:iCs/>
                <w:noProof/>
                <w:sz w:val="20"/>
              </w:rPr>
            </w:pPr>
            <w:r w:rsidRPr="00B44B19">
              <w:rPr>
                <w:iCs/>
                <w:noProof/>
                <w:sz w:val="20"/>
              </w:rPr>
              <w:t>2.1</w:t>
            </w:r>
          </w:p>
        </w:tc>
        <w:tc>
          <w:tcPr>
            <w:tcW w:w="3877" w:type="dxa"/>
            <w:vMerge w:val="restart"/>
            <w:tcBorders>
              <w:top w:val="single" w:sz="12" w:space="0" w:color="auto"/>
              <w:bottom w:val="single" w:sz="4" w:space="0" w:color="auto"/>
            </w:tcBorders>
          </w:tcPr>
          <w:p w14:paraId="54EDF232" w14:textId="77777777" w:rsidR="00A05EAE" w:rsidRPr="00B44B19" w:rsidRDefault="00A05EAE" w:rsidP="00FD4C27">
            <w:pPr>
              <w:rPr>
                <w:iCs/>
                <w:noProof/>
                <w:sz w:val="20"/>
              </w:rPr>
            </w:pPr>
            <w:r w:rsidRPr="00B44B19">
              <w:rPr>
                <w:iCs/>
                <w:noProof/>
                <w:sz w:val="20"/>
              </w:rPr>
              <w:t>03 – Neutralumas lyties požiūriu</w:t>
            </w:r>
          </w:p>
        </w:tc>
        <w:tc>
          <w:tcPr>
            <w:tcW w:w="1559" w:type="dxa"/>
            <w:tcBorders>
              <w:top w:val="single" w:sz="12" w:space="0" w:color="auto"/>
              <w:bottom w:val="single" w:sz="4" w:space="0" w:color="auto"/>
            </w:tcBorders>
          </w:tcPr>
          <w:p w14:paraId="47714560" w14:textId="22952116" w:rsidR="00A05EAE" w:rsidRPr="00B44B19" w:rsidRDefault="008206EC" w:rsidP="008206EC">
            <w:pPr>
              <w:jc w:val="right"/>
              <w:rPr>
                <w:iCs/>
                <w:noProof/>
                <w:sz w:val="20"/>
              </w:rPr>
            </w:pPr>
            <w:r w:rsidRPr="00B44B19">
              <w:rPr>
                <w:color w:val="000000"/>
                <w:sz w:val="20"/>
                <w:szCs w:val="20"/>
              </w:rPr>
              <w:t>167 928 602</w:t>
            </w:r>
            <w:r w:rsidR="00972929" w:rsidRPr="00B44B19">
              <w:rPr>
                <w:iCs/>
                <w:noProof/>
                <w:sz w:val="20"/>
              </w:rPr>
              <w:t>,00</w:t>
            </w:r>
          </w:p>
        </w:tc>
      </w:tr>
      <w:tr w:rsidR="00FD4C27" w:rsidRPr="00B44B19" w14:paraId="45A383F5" w14:textId="77777777" w:rsidTr="00F73D5F">
        <w:tc>
          <w:tcPr>
            <w:tcW w:w="1094" w:type="dxa"/>
            <w:vMerge/>
          </w:tcPr>
          <w:p w14:paraId="319BB9BD" w14:textId="77777777" w:rsidR="00FD4C27" w:rsidRPr="00B44B19" w:rsidRDefault="00FD4C27" w:rsidP="00FD4C27">
            <w:pPr>
              <w:jc w:val="center"/>
              <w:rPr>
                <w:iCs/>
                <w:noProof/>
                <w:sz w:val="20"/>
              </w:rPr>
            </w:pPr>
          </w:p>
        </w:tc>
        <w:tc>
          <w:tcPr>
            <w:tcW w:w="849" w:type="dxa"/>
            <w:tcBorders>
              <w:top w:val="single" w:sz="4" w:space="0" w:color="auto"/>
            </w:tcBorders>
          </w:tcPr>
          <w:p w14:paraId="3E3166BF" w14:textId="77777777" w:rsidR="00FD4C27" w:rsidRPr="00B44B19" w:rsidRDefault="00FD4C27" w:rsidP="00FD4C27">
            <w:pPr>
              <w:jc w:val="center"/>
              <w:rPr>
                <w:iCs/>
                <w:noProof/>
                <w:sz w:val="20"/>
              </w:rPr>
            </w:pPr>
            <w:r w:rsidRPr="00B44B19">
              <w:rPr>
                <w:iCs/>
                <w:noProof/>
                <w:sz w:val="20"/>
              </w:rPr>
              <w:t>ERPF</w:t>
            </w:r>
          </w:p>
        </w:tc>
        <w:tc>
          <w:tcPr>
            <w:tcW w:w="1377" w:type="dxa"/>
            <w:tcBorders>
              <w:top w:val="single" w:sz="4" w:space="0" w:color="auto"/>
            </w:tcBorders>
          </w:tcPr>
          <w:p w14:paraId="083F741F" w14:textId="77777777" w:rsidR="00FD4C27" w:rsidRPr="00B44B19" w:rsidRDefault="00FD4C27" w:rsidP="00FD4C27">
            <w:pPr>
              <w:rPr>
                <w:iCs/>
                <w:noProof/>
                <w:sz w:val="20"/>
              </w:rPr>
            </w:pPr>
            <w:r w:rsidRPr="00B44B19">
              <w:rPr>
                <w:iCs/>
                <w:noProof/>
                <w:sz w:val="20"/>
              </w:rPr>
              <w:t>VVL regionas</w:t>
            </w:r>
          </w:p>
        </w:tc>
        <w:tc>
          <w:tcPr>
            <w:tcW w:w="1133" w:type="dxa"/>
            <w:vMerge/>
            <w:tcBorders>
              <w:top w:val="single" w:sz="4" w:space="0" w:color="auto"/>
            </w:tcBorders>
          </w:tcPr>
          <w:p w14:paraId="05568EB9" w14:textId="77777777" w:rsidR="00FD4C27" w:rsidRPr="00B44B19" w:rsidRDefault="00FD4C27" w:rsidP="00FD4C27">
            <w:pPr>
              <w:jc w:val="center"/>
              <w:rPr>
                <w:iCs/>
                <w:noProof/>
                <w:sz w:val="20"/>
              </w:rPr>
            </w:pPr>
          </w:p>
        </w:tc>
        <w:tc>
          <w:tcPr>
            <w:tcW w:w="3877" w:type="dxa"/>
            <w:vMerge/>
            <w:tcBorders>
              <w:top w:val="single" w:sz="4" w:space="0" w:color="auto"/>
            </w:tcBorders>
          </w:tcPr>
          <w:p w14:paraId="64AE114B" w14:textId="77777777" w:rsidR="00FD4C27" w:rsidRPr="00B44B19" w:rsidRDefault="00FD4C27" w:rsidP="00FD4C27">
            <w:pPr>
              <w:jc w:val="center"/>
              <w:rPr>
                <w:iCs/>
                <w:noProof/>
                <w:sz w:val="20"/>
              </w:rPr>
            </w:pPr>
          </w:p>
        </w:tc>
        <w:tc>
          <w:tcPr>
            <w:tcW w:w="1559" w:type="dxa"/>
            <w:tcBorders>
              <w:top w:val="single" w:sz="4" w:space="0" w:color="auto"/>
            </w:tcBorders>
          </w:tcPr>
          <w:p w14:paraId="04DA4C08" w14:textId="4E231A4A" w:rsidR="00FD4C27" w:rsidRPr="00B44B19" w:rsidRDefault="008206EC" w:rsidP="008206EC">
            <w:pPr>
              <w:jc w:val="right"/>
              <w:rPr>
                <w:iCs/>
                <w:noProof/>
                <w:sz w:val="20"/>
              </w:rPr>
            </w:pPr>
            <w:r w:rsidRPr="00B44B19">
              <w:rPr>
                <w:color w:val="000000"/>
                <w:sz w:val="20"/>
                <w:szCs w:val="20"/>
              </w:rPr>
              <w:t>371 856 441</w:t>
            </w:r>
            <w:r w:rsidR="00972929" w:rsidRPr="00B44B19">
              <w:rPr>
                <w:color w:val="000000"/>
                <w:sz w:val="20"/>
                <w:szCs w:val="20"/>
                <w:lang w:val="en-US"/>
              </w:rPr>
              <w:t>,00</w:t>
            </w:r>
          </w:p>
        </w:tc>
      </w:tr>
    </w:tbl>
    <w:p w14:paraId="2D0A188F" w14:textId="77777777" w:rsidR="00FE2852" w:rsidRPr="00B44B19" w:rsidRDefault="00FE2852" w:rsidP="00D456C1">
      <w:pPr>
        <w:pStyle w:val="Antrat2"/>
      </w:pPr>
      <w:bookmarkStart w:id="22" w:name="_Toc223435416"/>
      <w:r w:rsidRPr="00B44B19">
        <w:lastRenderedPageBreak/>
        <w:t xml:space="preserve">Konkretus uždavinys – 2.2. </w:t>
      </w:r>
      <w:r w:rsidR="00C873E5" w:rsidRPr="00B44B19">
        <w:rPr>
          <w:lang w:bidi="lt-LT"/>
        </w:rPr>
        <w:t>Skatinti atsinaujinančiąją energiją pagal Direktyvą (ES) 2018/2001, įskaitant joje nustatytus tvarumo kriterijus</w:t>
      </w:r>
      <w:bookmarkEnd w:id="22"/>
    </w:p>
    <w:p w14:paraId="775CF585" w14:textId="77777777" w:rsidR="00FE2852" w:rsidRPr="00B44B19" w:rsidRDefault="00FE2852" w:rsidP="005F460E">
      <w:pPr>
        <w:spacing w:before="120" w:after="120" w:line="240" w:lineRule="auto"/>
        <w:jc w:val="both"/>
        <w:rPr>
          <w:rFonts w:cs="Times New Roman"/>
          <w:b/>
          <w:i/>
          <w:color w:val="1F497D" w:themeColor="text2"/>
        </w:rPr>
      </w:pPr>
      <w:r w:rsidRPr="00B44B19">
        <w:rPr>
          <w:rFonts w:cs="Times New Roman"/>
          <w:b/>
          <w:i/>
          <w:color w:val="1F497D" w:themeColor="text2"/>
        </w:rPr>
        <w:t>Įgyvendinamos veiklos</w:t>
      </w:r>
    </w:p>
    <w:tbl>
      <w:tblPr>
        <w:tblStyle w:val="Lentelstinklelis2"/>
        <w:tblW w:w="0" w:type="auto"/>
        <w:tblLook w:val="04A0" w:firstRow="1" w:lastRow="0" w:firstColumn="1" w:lastColumn="0" w:noHBand="0" w:noVBand="1"/>
      </w:tblPr>
      <w:tblGrid>
        <w:gridCol w:w="9628"/>
      </w:tblGrid>
      <w:tr w:rsidR="00FE2852" w:rsidRPr="00B44B19" w14:paraId="56090D3B"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4443EBC6" w14:textId="77777777" w:rsidR="00BB4657" w:rsidRPr="00B44B19" w:rsidRDefault="00BB4657" w:rsidP="000C5E31">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Šis uždavinys prisidės prie AEI dalies </w:t>
            </w:r>
            <w:r w:rsidR="005D7AA4" w:rsidRPr="00B44B19">
              <w:rPr>
                <w:rFonts w:ascii="Times New Roman" w:eastAsia="Times New Roman" w:hAnsi="Times New Roman" w:cs="Times New Roman"/>
              </w:rPr>
              <w:t>didinimo, palyginti su galutiniu energijos suvartojimu, taip pat paskatins</w:t>
            </w:r>
            <w:r w:rsidRPr="00B44B19">
              <w:rPr>
                <w:rFonts w:ascii="Times New Roman" w:eastAsia="Times New Roman" w:hAnsi="Times New Roman" w:cs="Times New Roman"/>
              </w:rPr>
              <w:t xml:space="preserve"> AEI didesnį naudojimą elektros, šilumos, pramonės sektoriuose. Taip bus švelninamas Lietuvos poveikis klimato kaitai, sprendžiama oro taršos, efektyvaus išteklių naudojimo problema ir mažinama priklausomybė nuo energijos importo.</w:t>
            </w:r>
          </w:p>
          <w:p w14:paraId="7CB8D987" w14:textId="77777777" w:rsidR="00BB4657" w:rsidRPr="00B44B19" w:rsidRDefault="00BB4657" w:rsidP="000C5E31">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Lietuva ketina iki 2030 m. pasiekti tikslą – 45 % AEI turėti galutiniame energijos suvartojimo balanse</w:t>
            </w:r>
            <w:r w:rsidRPr="00B44B19">
              <w:rPr>
                <w:rFonts w:ascii="Times New Roman" w:eastAsia="Times New Roman" w:hAnsi="Times New Roman" w:cs="Times New Roman"/>
                <w:bCs/>
              </w:rPr>
              <w:t xml:space="preserve">, </w:t>
            </w:r>
            <w:r w:rsidRPr="00B44B19">
              <w:rPr>
                <w:rFonts w:ascii="Times New Roman" w:eastAsia="Times New Roman" w:hAnsi="Times New Roman" w:cs="Times New Roman"/>
              </w:rPr>
              <w:t xml:space="preserve">elektros energetikos sektoriuje įtvirtinti dar ambicingesni tikslai – turėti ne mažiau kaip 50 % AEI </w:t>
            </w:r>
            <w:r w:rsidR="005D7AA4" w:rsidRPr="00B44B19">
              <w:rPr>
                <w:rFonts w:ascii="Times New Roman" w:eastAsia="Times New Roman" w:hAnsi="Times New Roman" w:cs="Times New Roman"/>
              </w:rPr>
              <w:t>dalį, palyginti su bendruoju</w:t>
            </w:r>
            <w:r w:rsidRPr="00B44B19">
              <w:rPr>
                <w:rFonts w:ascii="Times New Roman" w:eastAsia="Times New Roman" w:hAnsi="Times New Roman" w:cs="Times New Roman"/>
              </w:rPr>
              <w:t xml:space="preserve"> bendrame elektros energijos </w:t>
            </w:r>
            <w:r w:rsidR="005D7AA4" w:rsidRPr="00B44B19">
              <w:rPr>
                <w:rFonts w:ascii="Times New Roman" w:eastAsia="Times New Roman" w:hAnsi="Times New Roman" w:cs="Times New Roman"/>
              </w:rPr>
              <w:t xml:space="preserve">suvartojimu. </w:t>
            </w:r>
            <w:r w:rsidRPr="00B44B19">
              <w:rPr>
                <w:rFonts w:ascii="Times New Roman" w:eastAsia="Times New Roman" w:hAnsi="Times New Roman" w:cs="Times New Roman"/>
              </w:rPr>
              <w:t>Vertinama, kad iki 2030 m. vėjo energija ir toliau bus pagrindinis išteklius elektros energijos gamybai ir sudarys ne mažiau kaip 53 %, saulės energija – 22 %, biokuras – 16 %, hidroenergija – 8 %, biodujos – 1 % AEI dalies. Elektros sektoriuje, taikant tiek nacionalinius, tiek ir ES finansavimo šaltinius, bus organizuojami technologijoms neutralūs skatinimo kvotų paskirstymo aukcionai, plačiai diegiami privatiems energijos vartotojams ir bendruomenėms priklausantys</w:t>
            </w:r>
            <w:r w:rsidRPr="00B44B19">
              <w:rPr>
                <w:rFonts w:ascii="Times New Roman" w:eastAsia="Times New Roman" w:hAnsi="Times New Roman" w:cs="Times New Roman"/>
                <w:b/>
                <w:bCs/>
              </w:rPr>
              <w:t xml:space="preserve"> </w:t>
            </w:r>
            <w:r w:rsidRPr="00B44B19">
              <w:rPr>
                <w:rFonts w:ascii="Times New Roman" w:eastAsia="Times New Roman" w:hAnsi="Times New Roman" w:cs="Times New Roman"/>
              </w:rPr>
              <w:t xml:space="preserve">atsinaujinantys energijos įrenginiai, skatinami gaminantys vartotojai diegtis namų ūkių poreikiams AEI technologijas. 2021–2027 m. ES fondų investicijos bus nukreiptos paskatinti decentralizuotą elektros energijos gamybą namų ūkių sektoriuje (gaminančius vartotojus fizinius asmenis), </w:t>
            </w:r>
            <w:r w:rsidR="005D7AA4" w:rsidRPr="00B44B19">
              <w:rPr>
                <w:rFonts w:ascii="Times New Roman" w:eastAsia="Times New Roman" w:hAnsi="Times New Roman" w:cs="Times New Roman"/>
              </w:rPr>
              <w:t xml:space="preserve">o </w:t>
            </w:r>
            <w:r w:rsidRPr="00B44B19">
              <w:rPr>
                <w:rFonts w:ascii="Times New Roman" w:eastAsia="Times New Roman" w:hAnsi="Times New Roman" w:cs="Times New Roman"/>
              </w:rPr>
              <w:t xml:space="preserve">bendruomenės ir juridiniai asmenys bus skatinami diegtis AEI technologijas iš kitų šaltinių, </w:t>
            </w:r>
            <w:r w:rsidR="005D7AA4" w:rsidRPr="00B44B19">
              <w:rPr>
                <w:rFonts w:ascii="Times New Roman" w:eastAsia="Times New Roman" w:hAnsi="Times New Roman" w:cs="Times New Roman"/>
              </w:rPr>
              <w:t xml:space="preserve">pvz., </w:t>
            </w:r>
            <w:r w:rsidRPr="00B44B19">
              <w:rPr>
                <w:rFonts w:ascii="Times New Roman" w:eastAsia="Times New Roman" w:hAnsi="Times New Roman" w:cs="Times New Roman"/>
                <w:bCs/>
                <w:lang w:eastAsia="lt-LT"/>
              </w:rPr>
              <w:t>EGADP</w:t>
            </w:r>
            <w:r w:rsidR="00A92484" w:rsidRPr="00B44B19">
              <w:rPr>
                <w:rFonts w:ascii="Times New Roman" w:eastAsia="Times New Roman" w:hAnsi="Times New Roman" w:cs="Times New Roman"/>
                <w:bCs/>
                <w:lang w:eastAsia="lt-LT"/>
              </w:rPr>
              <w:t>,</w:t>
            </w:r>
            <w:r w:rsidRPr="00B44B19">
              <w:rPr>
                <w:rFonts w:ascii="Times New Roman" w:eastAsia="Times New Roman" w:hAnsi="Times New Roman" w:cs="Times New Roman"/>
              </w:rPr>
              <w:t xml:space="preserve"> </w:t>
            </w:r>
            <w:r w:rsidR="005D7AA4" w:rsidRPr="00B44B19">
              <w:rPr>
                <w:rFonts w:ascii="Times New Roman" w:eastAsia="Times New Roman" w:hAnsi="Times New Roman" w:cs="Times New Roman"/>
              </w:rPr>
              <w:t>nacionalinės Klimato kaitos programos</w:t>
            </w:r>
            <w:r w:rsidRPr="00B44B19">
              <w:rPr>
                <w:rFonts w:ascii="Times New Roman" w:eastAsia="Times New Roman" w:hAnsi="Times New Roman" w:cs="Times New Roman"/>
              </w:rPr>
              <w:t>.</w:t>
            </w:r>
          </w:p>
          <w:p w14:paraId="5A7DFEA3" w14:textId="77777777" w:rsidR="00BB4657" w:rsidRPr="00B44B19" w:rsidRDefault="00BB4657" w:rsidP="000C5E31">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Siekiama, kad 2021–2027 m. ES investicijomis beveik 4 % bus prisidėta prie elektros energijos gamybos iš AEI tikslo, kuris, siekiant 50 % AEI dalies elektros energetikos sektoriuje, turi būti ne </w:t>
            </w:r>
            <w:r w:rsidR="002C5593" w:rsidRPr="00B44B19">
              <w:rPr>
                <w:rFonts w:ascii="Times New Roman" w:eastAsia="Times New Roman" w:hAnsi="Times New Roman" w:cs="Times New Roman"/>
              </w:rPr>
              <w:t xml:space="preserve">mažesnis kaip </w:t>
            </w:r>
            <w:r w:rsidR="00B20BC7" w:rsidRPr="00B44B19">
              <w:rPr>
                <w:rFonts w:ascii="Times New Roman" w:eastAsia="Times New Roman" w:hAnsi="Times New Roman" w:cs="Times New Roman"/>
              </w:rPr>
              <w:t>7 TWh.</w:t>
            </w:r>
          </w:p>
          <w:p w14:paraId="2E9E90F4" w14:textId="77777777" w:rsidR="00BB4657" w:rsidRPr="00B44B19" w:rsidRDefault="00BB4657" w:rsidP="000C5E31">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Palyginti su </w:t>
            </w:r>
            <w:r w:rsidR="0049648E" w:rsidRPr="00B44B19">
              <w:rPr>
                <w:rFonts w:ascii="Times New Roman" w:eastAsia="Times New Roman" w:hAnsi="Times New Roman" w:cs="Times New Roman"/>
              </w:rPr>
              <w:t xml:space="preserve">bendruoju </w:t>
            </w:r>
            <w:r w:rsidRPr="00B44B19">
              <w:rPr>
                <w:rFonts w:ascii="Times New Roman" w:eastAsia="Times New Roman" w:hAnsi="Times New Roman" w:cs="Times New Roman"/>
              </w:rPr>
              <w:t xml:space="preserve">galutiniu energijos suvartojimu, </w:t>
            </w:r>
            <w:r w:rsidR="0049648E" w:rsidRPr="00B44B19">
              <w:rPr>
                <w:rFonts w:ascii="Times New Roman" w:eastAsia="Times New Roman" w:hAnsi="Times New Roman" w:cs="Times New Roman"/>
              </w:rPr>
              <w:t xml:space="preserve">tikslui pasiekti daugiausia </w:t>
            </w:r>
            <w:r w:rsidRPr="00B44B19">
              <w:rPr>
                <w:rFonts w:ascii="Times New Roman" w:eastAsia="Times New Roman" w:hAnsi="Times New Roman" w:cs="Times New Roman"/>
              </w:rPr>
              <w:t xml:space="preserve">įtakos turės AEI plėtra šilumos ir vėsumos sektoriuje, kadangi šio sektoriaus įnašas į bendrą energijos suvartojimą yra didžiausias. Iki 2030 m. Lietuva siekia 90 % šilumos bei vėsumos gaminti iš AEI bei vietinių išteklių centralizuoto šilumos ir vėsumos tiekimo sektoriuje bei daugiau </w:t>
            </w:r>
            <w:r w:rsidR="0049648E" w:rsidRPr="00B44B19">
              <w:rPr>
                <w:rFonts w:ascii="Times New Roman" w:eastAsia="Times New Roman" w:hAnsi="Times New Roman" w:cs="Times New Roman"/>
              </w:rPr>
              <w:t>kaip</w:t>
            </w:r>
            <w:r w:rsidRPr="00B44B19">
              <w:rPr>
                <w:rFonts w:ascii="Times New Roman" w:eastAsia="Times New Roman" w:hAnsi="Times New Roman" w:cs="Times New Roman"/>
              </w:rPr>
              <w:t xml:space="preserve"> 67 % šilumos i</w:t>
            </w:r>
            <w:r w:rsidR="00B20BC7" w:rsidRPr="00B44B19">
              <w:rPr>
                <w:rFonts w:ascii="Times New Roman" w:eastAsia="Times New Roman" w:hAnsi="Times New Roman" w:cs="Times New Roman"/>
              </w:rPr>
              <w:t>š AEI gaminti decentralizuotai.</w:t>
            </w:r>
          </w:p>
          <w:p w14:paraId="142B9D09" w14:textId="77777777" w:rsidR="00BB4657" w:rsidRPr="00B44B19" w:rsidRDefault="00BB4657" w:rsidP="000C5E31">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Bendra AEI dalis šilumos ir vėsumos sektoriuje 2020 m. siekia apie 50 %, pagrindinę dalį sudaro iš vietinio biokuro pagaminta šilumos energija. Planuojama, kad dėl papildomų politikos priemonių (tokių kaip saulės energijos ir šilumos siurblių diegimas, žemos temperatūros centralizuotas šilumos tiekimas, atliekinės šilumos panaudojimas), išaugus energetiniam efektyvumui ir toliau vykstant centralizacijai decentralizuotoje šilumos gamyboje, visų kuro rūšių poreikis mažės. Tikslai šilumos ir vėsinimo sektoriuje yra ambicingi, tačiau glaudžiai siejasi su energetiniu efektyvumu – tiek decentralizuoto, tiek centralizuoto šilumos tiekimo srityje iki 2030 m. energijos poreikis mažės. Didžiausią įtaką turės diegiamos naujos technologijos (šilumos siurbliai, modernūs biokuro katilai, kogeneracinės elektrinės ir kt.) </w:t>
            </w:r>
            <w:r w:rsidR="0049648E" w:rsidRPr="00B44B19">
              <w:rPr>
                <w:rFonts w:ascii="Times New Roman" w:eastAsia="Times New Roman" w:hAnsi="Times New Roman" w:cs="Times New Roman"/>
              </w:rPr>
              <w:t xml:space="preserve">ir </w:t>
            </w:r>
            <w:r w:rsidRPr="00B44B19">
              <w:rPr>
                <w:rFonts w:ascii="Times New Roman" w:eastAsia="Times New Roman" w:hAnsi="Times New Roman" w:cs="Times New Roman"/>
              </w:rPr>
              <w:t>daugiabučių namų renovacija.</w:t>
            </w:r>
          </w:p>
          <w:p w14:paraId="6834252E" w14:textId="77777777" w:rsidR="00BB4657" w:rsidRPr="00B44B19" w:rsidRDefault="0049648E" w:rsidP="000C5E31">
            <w:pPr>
              <w:widowControl w:val="0"/>
              <w:shd w:val="clear" w:color="auto" w:fill="FFFFFF"/>
              <w:spacing w:before="60" w:after="60"/>
              <w:jc w:val="both"/>
              <w:textAlignment w:val="baseline"/>
              <w:rPr>
                <w:rFonts w:ascii="Times New Roman" w:eastAsia="Times New Roman" w:hAnsi="Times New Roman" w:cs="Times New Roman"/>
                <w:strike/>
                <w:noProof/>
              </w:rPr>
            </w:pPr>
            <w:r w:rsidRPr="00B44B19">
              <w:rPr>
                <w:rFonts w:ascii="Times New Roman" w:eastAsia="Times New Roman" w:hAnsi="Times New Roman" w:cs="Times New Roman"/>
              </w:rPr>
              <w:t>Palyginti su 2014–2020 m. laikotarpiu, 2021–2027 m. ES investicijos daugiausia bus nukreipiamos gaminantiems vartotojams skatinti ir AEI plėtrai centralizuoto šilumos ir vėsumos tiekimo sektoriuje, tuo reikšmingai prisidedant prie AEI dalies, palyginti su galutiniu energijos suvartojimu, didinimo.</w:t>
            </w:r>
            <w:r w:rsidR="00BB4657" w:rsidRPr="00B44B19">
              <w:rPr>
                <w:rFonts w:ascii="Times New Roman" w:eastAsia="Times New Roman" w:hAnsi="Times New Roman" w:cs="Times New Roman"/>
              </w:rPr>
              <w:t xml:space="preserve"> </w:t>
            </w:r>
          </w:p>
          <w:p w14:paraId="3383376B" w14:textId="77777777" w:rsidR="00BB4657" w:rsidRPr="00B44B19" w:rsidRDefault="00BB4657" w:rsidP="000C5E31">
            <w:pPr>
              <w:spacing w:before="60" w:after="60"/>
              <w:jc w:val="both"/>
              <w:rPr>
                <w:rFonts w:ascii="Times New Roman" w:eastAsia="Times New Roman" w:hAnsi="Times New Roman" w:cs="Times New Roman"/>
                <w:noProof/>
              </w:rPr>
            </w:pPr>
            <w:r w:rsidRPr="00B44B19">
              <w:rPr>
                <w:rFonts w:ascii="Times New Roman" w:eastAsia="Times New Roman" w:hAnsi="Times New Roman" w:cs="Times New Roman"/>
              </w:rPr>
              <w:t xml:space="preserve">Veiksmų rūšys, </w:t>
            </w:r>
            <w:r w:rsidRPr="00B44B19">
              <w:rPr>
                <w:rFonts w:ascii="Times New Roman" w:eastAsia="Times New Roman" w:hAnsi="Times New Roman" w:cs="Times New Roman"/>
                <w:noProof/>
              </w:rPr>
              <w:t xml:space="preserve">siekiant padidinti AEI </w:t>
            </w:r>
            <w:r w:rsidR="0049648E" w:rsidRPr="00B44B19">
              <w:rPr>
                <w:rFonts w:ascii="Times New Roman" w:eastAsia="Times New Roman" w:hAnsi="Times New Roman" w:cs="Times New Roman"/>
                <w:noProof/>
              </w:rPr>
              <w:t>dalį, palyginti su bendru galutiniu energijos suvartojimu,</w:t>
            </w:r>
            <w:r w:rsidR="0049648E" w:rsidRPr="00B44B19">
              <w:rPr>
                <w:rFonts w:ascii="Times New Roman" w:eastAsia="Times New Roman" w:hAnsi="Times New Roman" w:cs="Times New Roman"/>
                <w:bCs/>
                <w:noProof/>
              </w:rPr>
              <w:t xml:space="preserve"> </w:t>
            </w:r>
            <w:r w:rsidR="0049648E" w:rsidRPr="00B44B19">
              <w:rPr>
                <w:rFonts w:ascii="Times New Roman" w:eastAsia="Times New Roman" w:hAnsi="Times New Roman" w:cs="Times New Roman"/>
                <w:noProof/>
              </w:rPr>
              <w:t xml:space="preserve">ir </w:t>
            </w:r>
            <w:r w:rsidRPr="00B44B19">
              <w:rPr>
                <w:rFonts w:ascii="Times New Roman" w:eastAsia="Times New Roman" w:hAnsi="Times New Roman" w:cs="Times New Roman"/>
                <w:noProof/>
              </w:rPr>
              <w:t>mažinti priklausomybę nuo iškastinio kuro ir energijos importo</w:t>
            </w:r>
            <w:r w:rsidRPr="00B44B19">
              <w:rPr>
                <w:rFonts w:ascii="Times New Roman" w:eastAsia="Times New Roman" w:hAnsi="Times New Roman" w:cs="Times New Roman"/>
              </w:rPr>
              <w:t>:</w:t>
            </w:r>
          </w:p>
          <w:p w14:paraId="7431E534" w14:textId="09A69AA6" w:rsidR="003E7C64" w:rsidRPr="00B44B19" w:rsidRDefault="00BB4657" w:rsidP="000C5E3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bCs/>
                <w:lang w:eastAsia="lt-LT"/>
              </w:rPr>
              <w:t>Skatinti elektros energijos gamybą iš AEI ir energijos kaupimo sprendimų diegimą namų ūkiuose</w:t>
            </w:r>
            <w:r w:rsidRPr="00B44B19">
              <w:rPr>
                <w:rFonts w:ascii="Times New Roman" w:eastAsia="Times New Roman" w:hAnsi="Times New Roman" w:cs="Times New Roman"/>
                <w:b/>
                <w:bCs/>
                <w:noProof/>
              </w:rPr>
              <w:t xml:space="preserve">: </w:t>
            </w:r>
            <w:r w:rsidRPr="00B44B19">
              <w:rPr>
                <w:rFonts w:ascii="Times New Roman" w:eastAsia="Times New Roman" w:hAnsi="Times New Roman" w:cs="Times New Roman"/>
                <w:lang w:eastAsia="lt-LT"/>
              </w:rPr>
              <w:t xml:space="preserve">Lietuvai esant vienai iš didžiausių elektros energijos importuotojų ES, svarbu užtikrinti vietinės elektros energijos gamybą, plečiant vietinės elektros energijos gamybos pajėgumus. Siekiant efektyviai spręsti gamybos iš AEI ir jos naudojimo iššūkius, toliau bus skatinama gaminančių vartotojų skaičiaus didinimas, investuojant į mažos galios saulės elektrinių įrengimą, elektrinių galios įsigijimą iš elektrinių parkų namų ūkių elektros energijos poreikiams tenkinti; taip pat bus skatinami namų ūkiai diegti iš AEI pagamintos ir nesuvartotos elektros energijos kaupimo sprendimus. Investuojant į šią veiklą, planuojama papildomai įrengti daugiau </w:t>
            </w:r>
            <w:r w:rsidR="0049648E" w:rsidRPr="00B44B19">
              <w:rPr>
                <w:rFonts w:ascii="Times New Roman" w:eastAsia="Times New Roman" w:hAnsi="Times New Roman" w:cs="Times New Roman"/>
                <w:lang w:eastAsia="lt-LT"/>
              </w:rPr>
              <w:t xml:space="preserve">kaip </w:t>
            </w:r>
            <w:r w:rsidR="003E7C64" w:rsidRPr="00B44B19">
              <w:rPr>
                <w:rFonts w:ascii="Times New Roman" w:eastAsia="Times New Roman" w:hAnsi="Times New Roman" w:cs="Times New Roman"/>
                <w:lang w:eastAsia="lt-LT"/>
              </w:rPr>
              <w:t xml:space="preserve">300 </w:t>
            </w:r>
            <w:r w:rsidRPr="00B44B19">
              <w:rPr>
                <w:rFonts w:ascii="Times New Roman" w:eastAsia="Times New Roman" w:hAnsi="Times New Roman" w:cs="Times New Roman"/>
                <w:lang w:eastAsia="lt-LT"/>
              </w:rPr>
              <w:t xml:space="preserve">MW AEI pajėgumų ir kasmet sumažinti apie </w:t>
            </w:r>
            <w:r w:rsidR="003E7C64" w:rsidRPr="00B44B19">
              <w:rPr>
                <w:rFonts w:ascii="Times New Roman" w:eastAsia="Times New Roman" w:hAnsi="Times New Roman" w:cs="Times New Roman"/>
                <w:lang w:eastAsia="lt-LT"/>
              </w:rPr>
              <w:t xml:space="preserve">150 </w:t>
            </w:r>
            <w:r w:rsidRPr="00B44B19">
              <w:rPr>
                <w:rFonts w:ascii="Times New Roman" w:eastAsia="Times New Roman" w:hAnsi="Times New Roman" w:cs="Times New Roman"/>
                <w:lang w:eastAsia="lt-LT"/>
              </w:rPr>
              <w:t>tūkst. t išmetamo CO</w:t>
            </w:r>
            <w:r w:rsidRPr="00B44B19">
              <w:rPr>
                <w:rFonts w:ascii="Times New Roman" w:eastAsia="Times New Roman" w:hAnsi="Times New Roman" w:cs="Times New Roman"/>
                <w:vertAlign w:val="subscript"/>
                <w:lang w:eastAsia="lt-LT"/>
              </w:rPr>
              <w:t>2</w:t>
            </w:r>
            <w:r w:rsidRPr="00B44B19">
              <w:rPr>
                <w:rFonts w:ascii="Times New Roman" w:eastAsia="Times New Roman" w:hAnsi="Times New Roman" w:cs="Times New Roman"/>
                <w:lang w:eastAsia="lt-LT"/>
              </w:rPr>
              <w:t xml:space="preserve"> kiekį. </w:t>
            </w:r>
            <w:r w:rsidRPr="00B44B19">
              <w:rPr>
                <w:rFonts w:ascii="Times New Roman" w:eastAsia="Times New Roman" w:hAnsi="Times New Roman" w:cs="Times New Roman"/>
                <w:bCs/>
              </w:rPr>
              <w:t>Veikla įgyvendinama visoje Lietuvoje.</w:t>
            </w:r>
          </w:p>
          <w:p w14:paraId="1545C70F" w14:textId="6766F780" w:rsidR="00A07A5C" w:rsidRPr="00B44B19" w:rsidRDefault="00A07A5C" w:rsidP="000C5E31">
            <w:pPr>
              <w:spacing w:before="60" w:after="60"/>
              <w:jc w:val="both"/>
              <w:rPr>
                <w:rFonts w:ascii="Times New Roman" w:hAnsi="Times New Roman" w:cs="Times New Roman"/>
                <w:bCs/>
                <w:i/>
                <w:color w:val="000000"/>
              </w:rPr>
            </w:pPr>
            <w:r w:rsidRPr="00B44B19">
              <w:rPr>
                <w:rFonts w:ascii="Times New Roman" w:hAnsi="Times New Roman" w:cs="Times New Roman"/>
                <w:b/>
                <w:bCs/>
                <w:lang w:val="lt"/>
              </w:rPr>
              <w:t xml:space="preserve">Skatinti šilumos energijos gamybą iš AEI namų ūkiuose: </w:t>
            </w:r>
            <w:r w:rsidRPr="00B44B19">
              <w:rPr>
                <w:rFonts w:ascii="Times New Roman" w:hAnsi="Times New Roman" w:cs="Times New Roman"/>
                <w:bCs/>
                <w:lang w:val="lt"/>
              </w:rPr>
              <w:t>vietoje šilumos energijos gamybos iš iškastinio kuro bus skatinama namų ūkiuose netarši ir efektyvi šilumos energijos gamyba, pvz.: naujausios kartos biokuro katilais, kurių teršalų išmetimai ir energijos efektyvumas atitinka ne žemesnius kaip 5 klasės efektyvumo ir išmetamų teršalų emisijų reikalavimus vadovaujantis ES standartais, taip pat šilumos siurbliais. Šia veikla bus apie 110 tūkst. t mažinamas kasmet išmetamo CO</w:t>
            </w:r>
            <w:r w:rsidRPr="00B44B19">
              <w:rPr>
                <w:rFonts w:ascii="Times New Roman" w:hAnsi="Times New Roman" w:cs="Times New Roman"/>
                <w:bCs/>
                <w:vertAlign w:val="subscript"/>
                <w:lang w:val="lt"/>
              </w:rPr>
              <w:t>2</w:t>
            </w:r>
            <w:r w:rsidRPr="00B44B19">
              <w:rPr>
                <w:rFonts w:ascii="Times New Roman" w:hAnsi="Times New Roman" w:cs="Times New Roman"/>
                <w:bCs/>
                <w:lang w:val="lt"/>
              </w:rPr>
              <w:t xml:space="preserve"> kiekis, taip pat beveik 2 % </w:t>
            </w:r>
            <w:r w:rsidRPr="00B44B19">
              <w:rPr>
                <w:rFonts w:ascii="Times New Roman" w:hAnsi="Times New Roman" w:cs="Times New Roman"/>
                <w:bCs/>
                <w:lang w:val="lt"/>
              </w:rPr>
              <w:lastRenderedPageBreak/>
              <w:t>padidinama šilumos gamybos iš AEI dalis decentralizuotame šilumos sektoriuje. SaF lėšomis veiklos įgyvendinamos visoje Lietuvoje, ERPF lėšomis – VVL regione.</w:t>
            </w:r>
          </w:p>
          <w:p w14:paraId="7C6736A4" w14:textId="77777777" w:rsidR="00BB4657" w:rsidRPr="00B44B19" w:rsidRDefault="00BB4657" w:rsidP="000C5E3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t xml:space="preserve">Skatinti AEI diegimą pramonės </w:t>
            </w:r>
            <w:r w:rsidR="0034239F" w:rsidRPr="00B44B19">
              <w:rPr>
                <w:rFonts w:ascii="Times New Roman" w:eastAsia="Times New Roman" w:hAnsi="Times New Roman" w:cs="Times New Roman"/>
                <w:b/>
              </w:rPr>
              <w:t>įmonėse</w:t>
            </w:r>
            <w:r w:rsidRPr="00B44B19">
              <w:rPr>
                <w:rFonts w:ascii="Times New Roman" w:eastAsia="Times New Roman" w:hAnsi="Times New Roman" w:cs="Times New Roman"/>
                <w:bCs/>
              </w:rPr>
              <w:t xml:space="preserve">: </w:t>
            </w:r>
            <w:r w:rsidRPr="00B44B19">
              <w:rPr>
                <w:rFonts w:ascii="Times New Roman" w:eastAsia="Times New Roman" w:hAnsi="Times New Roman" w:cs="Times New Roman"/>
              </w:rPr>
              <w:t xml:space="preserve">siekiant paskatinti pramonės </w:t>
            </w:r>
            <w:r w:rsidR="0034239F" w:rsidRPr="00B44B19">
              <w:rPr>
                <w:rFonts w:ascii="Times New Roman" w:eastAsia="Times New Roman" w:hAnsi="Times New Roman" w:cs="Times New Roman"/>
              </w:rPr>
              <w:t xml:space="preserve">įmones </w:t>
            </w:r>
            <w:r w:rsidRPr="00B44B19">
              <w:rPr>
                <w:rFonts w:ascii="Times New Roman" w:eastAsia="Times New Roman" w:hAnsi="Times New Roman" w:cs="Times New Roman"/>
              </w:rPr>
              <w:t xml:space="preserve">didinti AEI vartojimą, remiantis </w:t>
            </w:r>
            <w:r w:rsidR="00B86786" w:rsidRPr="00B44B19">
              <w:rPr>
                <w:rFonts w:ascii="Times New Roman" w:eastAsia="Times New Roman" w:hAnsi="Times New Roman" w:cs="Times New Roman"/>
              </w:rPr>
              <w:t>EVE</w:t>
            </w:r>
            <w:r w:rsidRPr="00B44B19">
              <w:rPr>
                <w:rFonts w:ascii="Times New Roman" w:eastAsia="Times New Roman" w:hAnsi="Times New Roman" w:cs="Times New Roman"/>
              </w:rPr>
              <w:t xml:space="preserve"> audito ataskaitomis, bus teikiamos investicijos AEI naudojančių energijos gamybos pajėgumų įrengimams, naujų AEI efektyvesnio panaudojimo technologijų kūrimui ir diegimui pramonės </w:t>
            </w:r>
            <w:r w:rsidR="0034239F" w:rsidRPr="00B44B19">
              <w:rPr>
                <w:rFonts w:ascii="Times New Roman" w:eastAsia="Times New Roman" w:hAnsi="Times New Roman" w:cs="Times New Roman"/>
              </w:rPr>
              <w:t>įmonėse</w:t>
            </w:r>
            <w:r w:rsidRPr="00B44B19">
              <w:rPr>
                <w:rFonts w:ascii="Times New Roman" w:eastAsia="Times New Roman" w:hAnsi="Times New Roman" w:cs="Times New Roman"/>
              </w:rPr>
              <w:t xml:space="preserve">, siekiant naudoti energiją pačių </w:t>
            </w:r>
            <w:r w:rsidR="0034239F" w:rsidRPr="00B44B19">
              <w:rPr>
                <w:rFonts w:ascii="Times New Roman" w:eastAsia="Times New Roman" w:hAnsi="Times New Roman" w:cs="Times New Roman"/>
              </w:rPr>
              <w:t>įmonių</w:t>
            </w:r>
            <w:r w:rsidRPr="00B44B19">
              <w:rPr>
                <w:rFonts w:ascii="Times New Roman" w:eastAsia="Times New Roman" w:hAnsi="Times New Roman" w:cs="Times New Roman"/>
              </w:rPr>
              <w:t xml:space="preserve"> vidiniams poreikiams tenkinti, sudarant galimybę perteklinę energiją tiekti kitoms pramonės įmonėms ar perduoti į centralizuotus energetinius tinklus. Veikla įgyvendinama VVL regione.</w:t>
            </w:r>
          </w:p>
          <w:p w14:paraId="1EA8318F" w14:textId="41CCF34C" w:rsidR="00FE2852" w:rsidRPr="00B44B19" w:rsidRDefault="00BB4657" w:rsidP="000C5E3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bCs/>
              </w:rPr>
              <w:t xml:space="preserve">Didinti </w:t>
            </w:r>
            <w:r w:rsidRPr="00B44B19">
              <w:rPr>
                <w:rFonts w:ascii="Times New Roman" w:eastAsia="Times New Roman" w:hAnsi="Times New Roman" w:cs="Times New Roman"/>
                <w:b/>
                <w:bCs/>
                <w:lang w:eastAsia="lt-LT"/>
              </w:rPr>
              <w:t>AEI panaudojimą šilumos ir vėsumos gamybai CŠVT sektoriuje</w:t>
            </w:r>
            <w:r w:rsidRPr="00B44B19">
              <w:rPr>
                <w:rFonts w:ascii="Times New Roman" w:eastAsia="Times New Roman" w:hAnsi="Times New Roman" w:cs="Times New Roman"/>
                <w:bCs/>
                <w:noProof/>
              </w:rPr>
              <w:t>:</w:t>
            </w:r>
            <w:r w:rsidRPr="00B44B19">
              <w:rPr>
                <w:rFonts w:ascii="Times New Roman" w:eastAsia="Times New Roman" w:hAnsi="Times New Roman" w:cs="Times New Roman"/>
                <w:b/>
                <w:bCs/>
                <w:noProof/>
              </w:rPr>
              <w:t xml:space="preserve"> </w:t>
            </w:r>
            <w:r w:rsidRPr="00B44B19">
              <w:rPr>
                <w:rFonts w:ascii="Times New Roman" w:eastAsia="Times New Roman" w:hAnsi="Times New Roman" w:cs="Times New Roman"/>
              </w:rPr>
              <w:t>20</w:t>
            </w:r>
            <w:r w:rsidR="00BB220A" w:rsidRPr="00B44B19">
              <w:rPr>
                <w:rFonts w:ascii="Times New Roman" w:eastAsia="Times New Roman" w:hAnsi="Times New Roman" w:cs="Times New Roman"/>
              </w:rPr>
              <w:t>19</w:t>
            </w:r>
            <w:r w:rsidRPr="00B44B19">
              <w:rPr>
                <w:rFonts w:ascii="Times New Roman" w:eastAsia="Times New Roman" w:hAnsi="Times New Roman" w:cs="Times New Roman"/>
              </w:rPr>
              <w:t xml:space="preserve"> m. AEI dalis CŠVT sektoriuje sudarė apie 7</w:t>
            </w:r>
            <w:r w:rsidR="00BB220A" w:rsidRPr="00B44B19">
              <w:rPr>
                <w:rFonts w:ascii="Times New Roman" w:eastAsia="Times New Roman" w:hAnsi="Times New Roman" w:cs="Times New Roman"/>
              </w:rPr>
              <w:t>2</w:t>
            </w:r>
            <w:r w:rsidRPr="00B44B19">
              <w:rPr>
                <w:rFonts w:ascii="Times New Roman" w:eastAsia="Times New Roman" w:hAnsi="Times New Roman" w:cs="Times New Roman"/>
              </w:rPr>
              <w:t> %, tad siekiant iki 2030 m</w:t>
            </w:r>
            <w:r w:rsidR="00D97AC5" w:rsidRPr="00B44B19">
              <w:rPr>
                <w:rFonts w:ascii="Times New Roman" w:eastAsia="Times New Roman" w:hAnsi="Times New Roman" w:cs="Times New Roman"/>
              </w:rPr>
              <w:t>.</w:t>
            </w:r>
            <w:r w:rsidRPr="00B44B19">
              <w:rPr>
                <w:rFonts w:ascii="Times New Roman" w:eastAsia="Times New Roman" w:hAnsi="Times New Roman" w:cs="Times New Roman"/>
              </w:rPr>
              <w:t xml:space="preserve"> mažiausiai </w:t>
            </w:r>
            <w:r w:rsidR="00BB220A" w:rsidRPr="00B44B19">
              <w:rPr>
                <w:rFonts w:ascii="Times New Roman" w:eastAsia="Times New Roman" w:hAnsi="Times New Roman" w:cs="Times New Roman"/>
              </w:rPr>
              <w:t>18</w:t>
            </w:r>
            <w:r w:rsidRPr="00B44B19">
              <w:rPr>
                <w:rFonts w:ascii="Times New Roman" w:eastAsia="Times New Roman" w:hAnsi="Times New Roman" w:cs="Times New Roman"/>
              </w:rPr>
              <w:t xml:space="preserve"> % padidinti </w:t>
            </w:r>
            <w:r w:rsidR="0049648E" w:rsidRPr="00B44B19">
              <w:rPr>
                <w:rFonts w:ascii="Times New Roman" w:eastAsia="Times New Roman" w:hAnsi="Times New Roman" w:cs="Times New Roman"/>
              </w:rPr>
              <w:t xml:space="preserve">AEI naudojimą CŠVT, </w:t>
            </w:r>
            <w:r w:rsidRPr="00B44B19">
              <w:rPr>
                <w:rFonts w:ascii="Times New Roman" w:eastAsia="Times New Roman" w:hAnsi="Times New Roman" w:cs="Times New Roman"/>
              </w:rPr>
              <w:t xml:space="preserve">planuojama diegti naujas ir (ar) modernizuoti esamas nedidelės galios AEI naudojančias technologijas (pvz.: biokuro katilai, biokuro kogeneracinės jėgainės), keisti nusidėvėjusius biokuro katilus kitomis AEI naudojančiomis technologijomis, prioritetą teikiant AEI deginančių kogeneracinių jėgainių bei didelio efektyvumo biokuro katilų su šilumos siurbliais </w:t>
            </w:r>
            <w:r w:rsidR="00BB2736" w:rsidRPr="00B44B19">
              <w:rPr>
                <w:rFonts w:ascii="Times New Roman" w:eastAsia="Times New Roman" w:hAnsi="Times New Roman" w:cs="Times New Roman"/>
              </w:rPr>
              <w:t>a</w:t>
            </w:r>
            <w:r w:rsidRPr="00B44B19">
              <w:rPr>
                <w:rFonts w:ascii="Times New Roman" w:eastAsia="Times New Roman" w:hAnsi="Times New Roman" w:cs="Times New Roman"/>
              </w:rPr>
              <w:t>r talpyklom diegimui. Taip pat bus skatinamas aplinkos energijos panaudojimas CŠVT sistemose, diegiant saulės energiją naudojančias technologijas, įrengiant šilumos siurblius ir trumpalaikio bei ilgalaikio saugojimo šilumos talpyklas, kurios padės labiau išnaudoti šilumos gamybos pajėgumų potencialą; bus skatinamas liekamosios energijos (atliekinės šilumos ir vėsumos, susidarančios pvz.: pramonėje, vandenvalos ar atliekų sektoriuje, vėsinimo sistemose ar elektrinėse) panaudojimas CŠVT sektoriuje. Investuojant į projektus, planuojama apie 50 tūkst</w:t>
            </w:r>
            <w:r w:rsidR="003A660F" w:rsidRPr="00B44B19">
              <w:rPr>
                <w:rFonts w:ascii="Times New Roman" w:eastAsia="Times New Roman" w:hAnsi="Times New Roman" w:cs="Times New Roman"/>
              </w:rPr>
              <w:t>.</w:t>
            </w:r>
            <w:r w:rsidRPr="00B44B19">
              <w:rPr>
                <w:rFonts w:ascii="Times New Roman" w:eastAsia="Times New Roman" w:hAnsi="Times New Roman" w:cs="Times New Roman"/>
              </w:rPr>
              <w:t xml:space="preserve"> t sumažinti kasmet išmetamo CO</w:t>
            </w:r>
            <w:r w:rsidRPr="00B44B19">
              <w:rPr>
                <w:rFonts w:ascii="Times New Roman" w:eastAsia="Times New Roman" w:hAnsi="Times New Roman" w:cs="Times New Roman"/>
                <w:vertAlign w:val="subscript"/>
              </w:rPr>
              <w:t>2</w:t>
            </w:r>
            <w:r w:rsidRPr="00B44B19">
              <w:rPr>
                <w:rFonts w:ascii="Times New Roman" w:eastAsia="Times New Roman" w:hAnsi="Times New Roman" w:cs="Times New Roman"/>
              </w:rPr>
              <w:t xml:space="preserve"> kiekį. Prioritetas bus teikiamas toms CŠVT sistemoms, kuriose AEI dalis šilumos gamyboje sudaro mažiau </w:t>
            </w:r>
            <w:r w:rsidR="0049648E" w:rsidRPr="00B44B19">
              <w:rPr>
                <w:rFonts w:ascii="Times New Roman" w:eastAsia="Times New Roman" w:hAnsi="Times New Roman" w:cs="Times New Roman"/>
              </w:rPr>
              <w:t xml:space="preserve">kaip </w:t>
            </w:r>
            <w:r w:rsidRPr="00B44B19">
              <w:rPr>
                <w:rFonts w:ascii="Times New Roman" w:eastAsia="Times New Roman" w:hAnsi="Times New Roman" w:cs="Times New Roman"/>
              </w:rPr>
              <w:t>90 %</w:t>
            </w:r>
            <w:r w:rsidR="00BB220A" w:rsidRPr="00B44B19">
              <w:rPr>
                <w:rFonts w:ascii="Times New Roman" w:eastAsia="Times New Roman" w:hAnsi="Times New Roman" w:cs="Times New Roman"/>
              </w:rPr>
              <w:t>.</w:t>
            </w:r>
            <w:r w:rsidRPr="00B44B19">
              <w:rPr>
                <w:rFonts w:ascii="Times New Roman" w:eastAsia="Times New Roman" w:hAnsi="Times New Roman" w:cs="Times New Roman"/>
              </w:rPr>
              <w:t xml:space="preserve"> Pirmieji saulės šilumos, šilumos siurblių, talpyklų, atliekinės energijos surinkimo, vėsumos tiekimo technologijų projektai bus įgyvendinami </w:t>
            </w:r>
            <w:r w:rsidR="0049648E" w:rsidRPr="00B44B19">
              <w:rPr>
                <w:rFonts w:ascii="Times New Roman" w:eastAsia="Times New Roman" w:hAnsi="Times New Roman" w:cs="Times New Roman"/>
              </w:rPr>
              <w:t>kaip bandomieji</w:t>
            </w:r>
            <w:r w:rsidRPr="00B44B19">
              <w:rPr>
                <w:rFonts w:ascii="Times New Roman" w:eastAsia="Times New Roman" w:hAnsi="Times New Roman" w:cs="Times New Roman"/>
              </w:rPr>
              <w:t xml:space="preserve"> projektai.</w:t>
            </w:r>
            <w:r w:rsidRPr="00B44B19">
              <w:rPr>
                <w:rFonts w:ascii="Times New Roman" w:eastAsia="Times New Roman" w:hAnsi="Times New Roman" w:cs="Times New Roman"/>
                <w:bCs/>
              </w:rPr>
              <w:t xml:space="preserve"> Veiklos įgyvendinamos visoje Lietuvoje.</w:t>
            </w:r>
          </w:p>
          <w:p w14:paraId="3581F7B8" w14:textId="77777777" w:rsidR="00DD03B4" w:rsidRPr="00B44B19" w:rsidRDefault="00334B0C"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B83CDA" w:rsidRPr="00B44B19">
              <w:rPr>
                <w:rFonts w:ascii="Times New Roman" w:eastAsia="Times New Roman" w:hAnsi="Times New Roman" w:cs="Times New Roman"/>
                <w:noProof/>
              </w:rPr>
              <w:t>.</w:t>
            </w:r>
          </w:p>
        </w:tc>
      </w:tr>
    </w:tbl>
    <w:p w14:paraId="344D83E6" w14:textId="77777777" w:rsidR="00FE2852" w:rsidRPr="00B44B19" w:rsidRDefault="00FE2852" w:rsidP="00A21811">
      <w:pPr>
        <w:pStyle w:val="Stilius1"/>
        <w:rPr>
          <w:rFonts w:cs="Times New Roman"/>
        </w:rPr>
      </w:pPr>
      <w:r w:rsidRPr="00B44B19">
        <w:rPr>
          <w:rFonts w:cs="Times New Roman"/>
        </w:rPr>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B44B19" w14:paraId="085E2272"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1CC9E4E0" w14:textId="77777777" w:rsidR="00FE2852" w:rsidRPr="00B44B19" w:rsidRDefault="00A42AA9" w:rsidP="004952F4">
            <w:pPr>
              <w:spacing w:before="60" w:after="60"/>
              <w:jc w:val="both"/>
              <w:rPr>
                <w:rFonts w:ascii="Times New Roman" w:eastAsia="Times New Roman" w:hAnsi="Times New Roman" w:cs="Times New Roman"/>
                <w:highlight w:val="yellow"/>
                <w:lang w:eastAsia="lt-LT"/>
              </w:rPr>
            </w:pPr>
            <w:r w:rsidRPr="00B44B19">
              <w:rPr>
                <w:rFonts w:ascii="Times New Roman" w:hAnsi="Times New Roman" w:cs="Times New Roman"/>
              </w:rPr>
              <w:t xml:space="preserve">Namų ūkiai, ketinantys gaminti ar gaminantys elektros energiją savo poreikiams; </w:t>
            </w:r>
            <w:r w:rsidRPr="00B44B19">
              <w:rPr>
                <w:rFonts w:ascii="Times New Roman" w:eastAsia="Times New Roman" w:hAnsi="Times New Roman" w:cs="Times New Roman"/>
                <w:lang w:eastAsia="lt-LT"/>
              </w:rPr>
              <w:t xml:space="preserve">namų ūkiai, neprijungti prie CŠT; šilumos tiekėjai, nepriklausomi šilumos gamintojai; pramonės </w:t>
            </w:r>
            <w:r w:rsidR="0034239F" w:rsidRPr="00B44B19">
              <w:rPr>
                <w:rFonts w:ascii="Times New Roman" w:eastAsia="Times New Roman" w:hAnsi="Times New Roman" w:cs="Times New Roman"/>
                <w:lang w:eastAsia="lt-LT"/>
              </w:rPr>
              <w:t>įmonės</w:t>
            </w:r>
            <w:r w:rsidRPr="00B44B19">
              <w:rPr>
                <w:rFonts w:ascii="Times New Roman" w:eastAsia="Times New Roman" w:hAnsi="Times New Roman" w:cs="Times New Roman"/>
                <w:lang w:eastAsia="lt-LT"/>
              </w:rPr>
              <w:t>.</w:t>
            </w:r>
          </w:p>
        </w:tc>
      </w:tr>
    </w:tbl>
    <w:p w14:paraId="1E5C2451" w14:textId="77777777" w:rsidR="00A21811" w:rsidRPr="00B44B19" w:rsidRDefault="00FE2852" w:rsidP="00A21811">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A21811" w:rsidRPr="00B44B19" w14:paraId="5D4421D0" w14:textId="77777777" w:rsidTr="00A21811">
        <w:tc>
          <w:tcPr>
            <w:tcW w:w="9854" w:type="dxa"/>
          </w:tcPr>
          <w:p w14:paraId="4FE9F40B" w14:textId="77777777" w:rsidR="00A21811" w:rsidRPr="00B44B19" w:rsidRDefault="00A21811" w:rsidP="004952F4">
            <w:pPr>
              <w:spacing w:before="60" w:after="60"/>
              <w:rPr>
                <w:rFonts w:eastAsia="Times New Roman" w:cs="Times New Roman"/>
                <w:iCs/>
                <w:noProof/>
                <w:sz w:val="22"/>
                <w:lang w:eastAsia="lt-LT" w:bidi="lt-LT"/>
              </w:rPr>
            </w:pPr>
            <w:r w:rsidRPr="00B44B19">
              <w:rPr>
                <w:rFonts w:cs="Times New Roman"/>
                <w:noProof/>
                <w:sz w:val="22"/>
                <w:lang w:eastAsia="lt-LT" w:bidi="lt-LT"/>
              </w:rPr>
              <w:t>Diegiant ar atnaujinant infrastruktūrą, bus taikomi universalaus dizaino principai.</w:t>
            </w:r>
          </w:p>
        </w:tc>
      </w:tr>
    </w:tbl>
    <w:p w14:paraId="19D1FDE9" w14:textId="77777777" w:rsidR="00FE2852" w:rsidRPr="00B44B19" w:rsidRDefault="00FE2852" w:rsidP="00A21811">
      <w:pPr>
        <w:pStyle w:val="Stilius1"/>
        <w:rPr>
          <w:rFonts w:cs="Times New Roman"/>
        </w:rPr>
      </w:pPr>
      <w:r w:rsidRPr="00B44B19">
        <w:rPr>
          <w:rFonts w:cs="Times New Roman"/>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FE2852" w:rsidRPr="00B44B19" w14:paraId="1CD6A94F"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80682DA" w14:textId="77777777" w:rsidR="00FE2852" w:rsidRPr="00B44B19" w:rsidRDefault="0053107A" w:rsidP="004952F4">
            <w:pPr>
              <w:spacing w:before="60" w:after="60"/>
              <w:jc w:val="both"/>
              <w:rPr>
                <w:rFonts w:ascii="Times New Roman" w:hAnsi="Times New Roman" w:cs="Times New Roman"/>
              </w:rPr>
            </w:pPr>
            <w:r w:rsidRPr="00B44B19">
              <w:rPr>
                <w:rFonts w:ascii="Times New Roman" w:hAnsi="Times New Roman" w:cs="Times New Roman"/>
              </w:rPr>
              <w:t>Visa Lietuva</w:t>
            </w:r>
            <w:r w:rsidR="00F73D5F" w:rsidRPr="00B44B19">
              <w:rPr>
                <w:rFonts w:ascii="Times New Roman" w:hAnsi="Times New Roman" w:cs="Times New Roman"/>
              </w:rPr>
              <w:t>, VVL regionas</w:t>
            </w:r>
          </w:p>
        </w:tc>
      </w:tr>
    </w:tbl>
    <w:p w14:paraId="7229F371" w14:textId="77777777" w:rsidR="00FE2852" w:rsidRPr="00B44B19" w:rsidRDefault="00FE2852" w:rsidP="00A21811">
      <w:pPr>
        <w:pStyle w:val="Stilius1"/>
        <w:rPr>
          <w:rFonts w:cs="Times New Roman"/>
          <w:iCs/>
        </w:rPr>
      </w:pPr>
      <w:r w:rsidRPr="00B44B19">
        <w:rPr>
          <w:rFonts w:cs="Times New Roman"/>
        </w:rPr>
        <w:t>Tarpregioniniai, tarp sienų ir tarpvalstybiniai veiksmai</w:t>
      </w:r>
    </w:p>
    <w:tbl>
      <w:tblPr>
        <w:tblStyle w:val="Lentelstinklelis2"/>
        <w:tblW w:w="0" w:type="auto"/>
        <w:tblLook w:val="04A0" w:firstRow="1" w:lastRow="0" w:firstColumn="1" w:lastColumn="0" w:noHBand="0" w:noVBand="1"/>
      </w:tblPr>
      <w:tblGrid>
        <w:gridCol w:w="9628"/>
      </w:tblGrid>
      <w:tr w:rsidR="00FE2852" w:rsidRPr="00B44B19" w14:paraId="4F96240C"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4E6D3BA6" w14:textId="77777777" w:rsidR="00FE2852" w:rsidRPr="00B44B19" w:rsidRDefault="00780FA7" w:rsidP="004952F4">
            <w:pPr>
              <w:spacing w:before="60" w:after="60"/>
              <w:jc w:val="both"/>
              <w:rPr>
                <w:rFonts w:ascii="Times New Roman" w:hAnsi="Times New Roman" w:cs="Times New Roman"/>
                <w:highlight w:val="yellow"/>
              </w:rPr>
            </w:pPr>
            <w:r w:rsidRPr="00B44B19">
              <w:rPr>
                <w:rFonts w:ascii="Times New Roman" w:hAnsi="Times New Roman" w:cs="Times New Roman"/>
                <w:noProof/>
                <w:lang w:eastAsia="lt-LT"/>
              </w:rPr>
              <w:t xml:space="preserve">Įgyvendinant veiklas, numatoma prisidėti prie BJRS, ir ypač prie </w:t>
            </w:r>
            <w:r w:rsidRPr="00B44B19">
              <w:rPr>
                <w:rFonts w:ascii="Times New Roman" w:hAnsi="Times New Roman" w:cs="Times New Roman"/>
              </w:rPr>
              <w:t>septintos politikos krypties „Energetika“ veiklų</w:t>
            </w:r>
            <w:r w:rsidRPr="00B44B19">
              <w:rPr>
                <w:rFonts w:ascii="Times New Roman" w:hAnsi="Times New Roman" w:cs="Times New Roman"/>
                <w:noProof/>
                <w:lang w:eastAsia="lt-LT"/>
              </w:rPr>
              <w:t xml:space="preserve"> įgyvendinimo. Bus bendradarbiaujama su kitų </w:t>
            </w:r>
            <w:r w:rsidR="001E6A6F" w:rsidRPr="00B44B19">
              <w:rPr>
                <w:rFonts w:ascii="Times New Roman" w:hAnsi="Times New Roman" w:cs="Times New Roman"/>
              </w:rPr>
              <w:t>BJR</w:t>
            </w:r>
            <w:r w:rsidRPr="00B44B19">
              <w:rPr>
                <w:rFonts w:ascii="Times New Roman" w:hAnsi="Times New Roman" w:cs="Times New Roman"/>
              </w:rPr>
              <w:t xml:space="preserve"> šalių partneriais, keičiantis gerosiomis praktikomis tokiose srityse, kaip: AEI naudojantis gaminantys vartotojai, AEI integravimas į pastatus, pramonę, centralizuoto šilumos tiekimo sektorių. Planuojama bendradarbiauti, siekiant paskatinti regiono šalis įgyvendinti nacionalinius AEI Direktyvos tikslus.</w:t>
            </w:r>
          </w:p>
        </w:tc>
      </w:tr>
    </w:tbl>
    <w:p w14:paraId="4DF1CAE8" w14:textId="77777777" w:rsidR="00FE2852" w:rsidRPr="00B44B19" w:rsidRDefault="00FE2852" w:rsidP="00A21811">
      <w:pPr>
        <w:pStyle w:val="Stilius1"/>
        <w:rPr>
          <w:rFonts w:cs="Times New Roman"/>
        </w:rPr>
      </w:pPr>
      <w:r w:rsidRPr="00B44B19">
        <w:rPr>
          <w:rFonts w:cs="Times New Roman"/>
        </w:rPr>
        <w:t>Planuojamas finansinių priemonių naudojimas</w:t>
      </w:r>
      <w:r w:rsidR="0053107A" w:rsidRPr="00B44B19">
        <w:rPr>
          <w:rFonts w:cs="Times New Roman"/>
        </w:rPr>
        <w:t xml:space="preserve"> </w:t>
      </w:r>
    </w:p>
    <w:tbl>
      <w:tblPr>
        <w:tblStyle w:val="Lentelstinklelis2"/>
        <w:tblW w:w="0" w:type="auto"/>
        <w:tblLook w:val="04A0" w:firstRow="1" w:lastRow="0" w:firstColumn="1" w:lastColumn="0" w:noHBand="0" w:noVBand="1"/>
      </w:tblPr>
      <w:tblGrid>
        <w:gridCol w:w="9628"/>
      </w:tblGrid>
      <w:tr w:rsidR="00FE2852" w:rsidRPr="00B44B19" w14:paraId="70E093CF"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50020B5C" w14:textId="77777777" w:rsidR="00B87627" w:rsidRPr="00B44B19" w:rsidRDefault="00B87627" w:rsidP="004952F4">
            <w:pPr>
              <w:pStyle w:val="Sraopastraipa"/>
              <w:spacing w:before="60" w:after="60"/>
              <w:ind w:left="0"/>
              <w:contextualSpacing w:val="0"/>
              <w:jc w:val="both"/>
              <w:rPr>
                <w:rFonts w:ascii="Times New Roman" w:eastAsia="Times New Roman" w:hAnsi="Times New Roman" w:cs="Times New Roman"/>
              </w:rPr>
            </w:pPr>
            <w:r w:rsidRPr="00B44B19">
              <w:rPr>
                <w:rFonts w:ascii="Times New Roman" w:eastAsia="Times New Roman" w:hAnsi="Times New Roman" w:cs="Times New Roman"/>
              </w:rPr>
              <w:t xml:space="preserve">Išankstiniame </w:t>
            </w:r>
            <w:r w:rsidR="006D61A5" w:rsidRPr="00B44B19">
              <w:rPr>
                <w:rFonts w:ascii="Times New Roman" w:eastAsia="Times New Roman" w:hAnsi="Times New Roman" w:cs="Times New Roman"/>
              </w:rPr>
              <w:t>vertinime</w:t>
            </w:r>
            <w:r w:rsidR="006D61A5" w:rsidRPr="00B44B19">
              <w:rPr>
                <w:rFonts w:ascii="Times New Roman" w:eastAsia="Times New Roman" w:hAnsi="Times New Roman" w:cs="Times New Roman"/>
                <w:b/>
                <w:bCs/>
              </w:rPr>
              <w:t xml:space="preserve"> </w:t>
            </w:r>
            <w:r w:rsidR="006D61A5" w:rsidRPr="00B44B19">
              <w:rPr>
                <w:rFonts w:ascii="Times New Roman" w:eastAsia="Calibri" w:hAnsi="Times New Roman" w:cs="Times New Roman"/>
                <w:noProof/>
                <w:lang w:eastAsia="lt-LT" w:bidi="lt-LT"/>
              </w:rPr>
              <w:t>išnalizuotos galimybės finansines priemones taikyti naujai veiklai</w:t>
            </w:r>
            <w:r w:rsidR="006D61A5" w:rsidRPr="00B44B19" w:rsidDel="00433BF7">
              <w:rPr>
                <w:rFonts w:ascii="Times New Roman" w:eastAsia="Times New Roman" w:hAnsi="Times New Roman" w:cs="Times New Roman"/>
              </w:rPr>
              <w:t xml:space="preserve"> </w:t>
            </w:r>
            <w:r w:rsidR="006D61A5" w:rsidRPr="00B44B19">
              <w:rPr>
                <w:rFonts w:ascii="Times New Roman" w:eastAsia="Times New Roman" w:hAnsi="Times New Roman" w:cs="Times New Roman"/>
              </w:rPr>
              <w:t>„</w:t>
            </w:r>
            <w:r w:rsidR="006D61A5" w:rsidRPr="00B44B19">
              <w:rPr>
                <w:rFonts w:ascii="Times New Roman" w:eastAsia="Times New Roman" w:hAnsi="Times New Roman" w:cs="Times New Roman"/>
                <w:bCs/>
              </w:rPr>
              <w:t xml:space="preserve">Didinti AEI panaudojimą šilumos ir vėsumos gamybai CŠVT sektoriuje“. </w:t>
            </w:r>
            <w:r w:rsidR="006D61A5" w:rsidRPr="00B44B19">
              <w:rPr>
                <w:rFonts w:ascii="Times New Roman" w:eastAsia="Times New Roman" w:hAnsi="Times New Roman" w:cs="Times New Roman"/>
              </w:rPr>
              <w:t xml:space="preserve">Ši finansinė priemonė padės sutaupyti pakankamai sąnaudų, kad būtų galima grąžinti paskolas, ir paskatins įgyvendinti didesnį projektų kiekį. </w:t>
            </w:r>
            <w:r w:rsidRPr="00B44B19">
              <w:rPr>
                <w:rFonts w:ascii="Times New Roman" w:eastAsia="Times New Roman" w:hAnsi="Times New Roman" w:cs="Times New Roman"/>
              </w:rPr>
              <w:t xml:space="preserve">Planuojama derinti ją su </w:t>
            </w:r>
            <w:r w:rsidR="00581D4D" w:rsidRPr="00B44B19">
              <w:rPr>
                <w:rFonts w:ascii="Times New Roman" w:eastAsia="Times New Roman" w:hAnsi="Times New Roman" w:cs="Times New Roman"/>
              </w:rPr>
              <w:t>dotacija</w:t>
            </w:r>
            <w:r w:rsidRPr="00B44B19">
              <w:rPr>
                <w:rFonts w:ascii="Times New Roman" w:eastAsia="Times New Roman" w:hAnsi="Times New Roman" w:cs="Times New Roman"/>
              </w:rPr>
              <w:t xml:space="preserve">, kuri </w:t>
            </w:r>
            <w:r w:rsidR="006D61A5" w:rsidRPr="00B44B19">
              <w:rPr>
                <w:rFonts w:ascii="Times New Roman" w:eastAsia="Times New Roman" w:hAnsi="Times New Roman" w:cs="Times New Roman"/>
              </w:rPr>
              <w:t>suteiks galimybę diegti ir naudoti pažangesnes technologijas bei sutrumpins projektų atsipirkimo laikotarpį.</w:t>
            </w:r>
          </w:p>
          <w:p w14:paraId="797AA388" w14:textId="77777777" w:rsidR="00FE2852" w:rsidRPr="00B44B19" w:rsidRDefault="00B87627" w:rsidP="004952F4">
            <w:pPr>
              <w:pStyle w:val="Sraopastraipa"/>
              <w:spacing w:before="60" w:after="60"/>
              <w:ind w:left="0"/>
              <w:contextualSpacing w:val="0"/>
              <w:jc w:val="both"/>
              <w:rPr>
                <w:rFonts w:ascii="Times New Roman" w:hAnsi="Times New Roman" w:cs="Times New Roman"/>
                <w:bCs/>
                <w:iCs/>
              </w:rPr>
            </w:pPr>
            <w:r w:rsidRPr="00B44B19">
              <w:rPr>
                <w:rFonts w:ascii="Times New Roman" w:eastAsia="Times New Roman" w:hAnsi="Times New Roman" w:cs="Times New Roman"/>
                <w:bCs/>
              </w:rPr>
              <w:t xml:space="preserve">Planuojama derinti finansinę priemonę su </w:t>
            </w:r>
            <w:r w:rsidR="00196AD4" w:rsidRPr="00B44B19">
              <w:rPr>
                <w:rFonts w:ascii="Times New Roman" w:eastAsia="Times New Roman" w:hAnsi="Times New Roman" w:cs="Times New Roman"/>
                <w:bCs/>
              </w:rPr>
              <w:t>dotacija</w:t>
            </w:r>
            <w:r w:rsidRPr="00B44B19">
              <w:rPr>
                <w:rFonts w:ascii="Times New Roman" w:eastAsia="Times New Roman" w:hAnsi="Times New Roman" w:cs="Times New Roman"/>
                <w:bCs/>
              </w:rPr>
              <w:t xml:space="preserve"> viename projekte pagal vieną sutartį (BNR 58 str. 5 d.).</w:t>
            </w:r>
          </w:p>
        </w:tc>
      </w:tr>
    </w:tbl>
    <w:p w14:paraId="729372B1" w14:textId="77777777" w:rsidR="009750A4" w:rsidRPr="00B44B19" w:rsidRDefault="0066383D" w:rsidP="00A21811">
      <w:pPr>
        <w:pStyle w:val="Stilius1"/>
        <w:rPr>
          <w:rFonts w:cs="Times New Roman"/>
        </w:rPr>
      </w:pPr>
      <w:r w:rsidRPr="00B44B19">
        <w:rPr>
          <w:rFonts w:cs="Times New Roman"/>
        </w:rPr>
        <w:t>Rodikliai</w:t>
      </w:r>
    </w:p>
    <w:p w14:paraId="1DA3F24E" w14:textId="77777777" w:rsidR="0066383D" w:rsidRPr="00B44B19" w:rsidRDefault="0066383D" w:rsidP="00C02A4C">
      <w:pPr>
        <w:spacing w:before="240" w:after="0" w:line="240" w:lineRule="auto"/>
        <w:jc w:val="both"/>
        <w:rPr>
          <w:rFonts w:cs="Times New Roman"/>
          <w:sz w:val="22"/>
        </w:rPr>
      </w:pPr>
      <w:r w:rsidRPr="00B44B19">
        <w:rPr>
          <w:rFonts w:cs="Times New Roman"/>
          <w:b/>
          <w:sz w:val="22"/>
        </w:rPr>
        <w:lastRenderedPageBreak/>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967"/>
        <w:gridCol w:w="830"/>
        <w:gridCol w:w="965"/>
        <w:gridCol w:w="1088"/>
        <w:gridCol w:w="2073"/>
        <w:gridCol w:w="967"/>
        <w:gridCol w:w="838"/>
        <w:gridCol w:w="924"/>
      </w:tblGrid>
      <w:tr w:rsidR="00A42AA9" w:rsidRPr="00B44B19" w14:paraId="64668DE1" w14:textId="77777777" w:rsidTr="00A21811">
        <w:trPr>
          <w:trHeight w:val="664"/>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935382"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F76C67"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06A4E1"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F01026"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A8556D"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E21C5A"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6675CC"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C1E96C"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24DE08"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Siek</w:t>
            </w:r>
            <w:r w:rsidR="00D1466B" w:rsidRPr="00B44B19">
              <w:rPr>
                <w:rFonts w:cs="Times New Roman"/>
                <w:b/>
                <w:noProof/>
                <w:sz w:val="16"/>
                <w:szCs w:val="16"/>
              </w:rPr>
              <w:t>tina reikšmė</w:t>
            </w:r>
            <w:r w:rsidRPr="00B44B19">
              <w:rPr>
                <w:rFonts w:cs="Times New Roman"/>
                <w:b/>
                <w:noProof/>
                <w:sz w:val="16"/>
                <w:szCs w:val="16"/>
              </w:rPr>
              <w:t xml:space="preserve"> (2029 m.)</w:t>
            </w:r>
          </w:p>
        </w:tc>
      </w:tr>
      <w:tr w:rsidR="00A42AA9" w:rsidRPr="00B44B19" w14:paraId="10D385F4" w14:textId="77777777" w:rsidTr="00A21811">
        <w:trPr>
          <w:trHeight w:val="359"/>
        </w:trPr>
        <w:tc>
          <w:tcPr>
            <w:tcW w:w="497" w:type="pct"/>
            <w:vMerge w:val="restart"/>
          </w:tcPr>
          <w:p w14:paraId="4D5DDAB0"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2 Žalesnė Lietuva</w:t>
            </w:r>
          </w:p>
        </w:tc>
        <w:tc>
          <w:tcPr>
            <w:tcW w:w="503" w:type="pct"/>
            <w:vMerge w:val="restart"/>
          </w:tcPr>
          <w:p w14:paraId="249B65A2"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2.2</w:t>
            </w:r>
          </w:p>
        </w:tc>
        <w:tc>
          <w:tcPr>
            <w:tcW w:w="432" w:type="pct"/>
          </w:tcPr>
          <w:p w14:paraId="7896CD91" w14:textId="77777777" w:rsidR="00A42AA9" w:rsidRPr="00B44B19" w:rsidRDefault="00A42AA9" w:rsidP="00B14080">
            <w:pPr>
              <w:spacing w:after="0" w:line="240" w:lineRule="auto"/>
              <w:rPr>
                <w:rFonts w:cs="Times New Roman"/>
                <w:noProof/>
                <w:sz w:val="16"/>
                <w:szCs w:val="16"/>
              </w:rPr>
            </w:pPr>
            <w:r w:rsidRPr="00B44B19">
              <w:rPr>
                <w:rFonts w:cs="Times New Roman"/>
                <w:noProof/>
                <w:sz w:val="16"/>
                <w:szCs w:val="16"/>
              </w:rPr>
              <w:t>ERPF</w:t>
            </w:r>
          </w:p>
        </w:tc>
        <w:tc>
          <w:tcPr>
            <w:tcW w:w="502" w:type="pct"/>
          </w:tcPr>
          <w:p w14:paraId="4C592C16" w14:textId="77777777" w:rsidR="00A42AA9" w:rsidRPr="00B44B19" w:rsidRDefault="00A42AA9" w:rsidP="00B14080">
            <w:pPr>
              <w:spacing w:after="0" w:line="240" w:lineRule="auto"/>
              <w:rPr>
                <w:rFonts w:cs="Times New Roman"/>
                <w:noProof/>
                <w:sz w:val="16"/>
                <w:szCs w:val="16"/>
              </w:rPr>
            </w:pPr>
            <w:r w:rsidRPr="00B44B19">
              <w:rPr>
                <w:rFonts w:cs="Times New Roman"/>
                <w:noProof/>
                <w:sz w:val="16"/>
                <w:szCs w:val="16"/>
              </w:rPr>
              <w:t>VVL regionas</w:t>
            </w:r>
          </w:p>
        </w:tc>
        <w:tc>
          <w:tcPr>
            <w:tcW w:w="566" w:type="pct"/>
          </w:tcPr>
          <w:p w14:paraId="13FD1DF0" w14:textId="77777777" w:rsidR="00A42AA9" w:rsidRPr="00B44B19" w:rsidRDefault="00A42AA9" w:rsidP="00B14080">
            <w:pPr>
              <w:spacing w:after="0" w:line="240" w:lineRule="auto"/>
              <w:rPr>
                <w:rFonts w:cs="Times New Roman"/>
                <w:sz w:val="16"/>
                <w:szCs w:val="16"/>
                <w:lang w:eastAsia="en-GB"/>
              </w:rPr>
            </w:pPr>
            <w:r w:rsidRPr="00B44B19">
              <w:rPr>
                <w:rFonts w:cs="Times New Roman"/>
                <w:sz w:val="16"/>
                <w:szCs w:val="16"/>
                <w:lang w:eastAsia="lt-LT"/>
              </w:rPr>
              <w:t>RCO01</w:t>
            </w:r>
          </w:p>
        </w:tc>
        <w:tc>
          <w:tcPr>
            <w:tcW w:w="1079" w:type="pct"/>
          </w:tcPr>
          <w:p w14:paraId="707240C6" w14:textId="77777777" w:rsidR="00A42AA9" w:rsidRPr="00B44B19" w:rsidRDefault="00D40C75" w:rsidP="00B14080">
            <w:pPr>
              <w:tabs>
                <w:tab w:val="left" w:pos="7560"/>
              </w:tabs>
              <w:spacing w:after="0" w:line="240" w:lineRule="auto"/>
              <w:rPr>
                <w:rFonts w:cs="Times New Roman"/>
                <w:iCs/>
                <w:sz w:val="16"/>
                <w:szCs w:val="16"/>
              </w:rPr>
            </w:pPr>
            <w:r w:rsidRPr="00B44B19">
              <w:rPr>
                <w:rFonts w:cs="Times New Roman"/>
                <w:sz w:val="16"/>
                <w:szCs w:val="16"/>
              </w:rPr>
              <w:t>Paramą gavusios įmonės (iš kurių: labai mažos, mažosios, vidutinės ir didelės)</w:t>
            </w:r>
          </w:p>
        </w:tc>
        <w:tc>
          <w:tcPr>
            <w:tcW w:w="503" w:type="pct"/>
          </w:tcPr>
          <w:p w14:paraId="6A2BDBCC" w14:textId="77777777" w:rsidR="00A42AA9" w:rsidRPr="00B44B19" w:rsidRDefault="00A42AA9" w:rsidP="00B14080">
            <w:pPr>
              <w:spacing w:after="0" w:line="240" w:lineRule="auto"/>
              <w:rPr>
                <w:rFonts w:cs="Times New Roman"/>
                <w:iCs/>
                <w:sz w:val="16"/>
                <w:szCs w:val="16"/>
              </w:rPr>
            </w:pPr>
            <w:r w:rsidRPr="00B44B19">
              <w:rPr>
                <w:rFonts w:cs="Times New Roman"/>
                <w:noProof/>
                <w:sz w:val="16"/>
                <w:szCs w:val="16"/>
              </w:rPr>
              <w:t>Įmonės</w:t>
            </w:r>
          </w:p>
        </w:tc>
        <w:tc>
          <w:tcPr>
            <w:tcW w:w="436" w:type="pct"/>
          </w:tcPr>
          <w:p w14:paraId="2F9C024B" w14:textId="06BE3E86" w:rsidR="00A42AA9" w:rsidRPr="00B44B19" w:rsidRDefault="00A07A5C" w:rsidP="00B14080">
            <w:pPr>
              <w:spacing w:after="0" w:line="240" w:lineRule="auto"/>
              <w:rPr>
                <w:rFonts w:cs="Times New Roman"/>
                <w:noProof/>
                <w:sz w:val="16"/>
                <w:szCs w:val="16"/>
                <w:lang w:val="en-US"/>
              </w:rPr>
            </w:pPr>
            <w:r w:rsidRPr="00B44B19">
              <w:rPr>
                <w:rFonts w:cs="Times New Roman"/>
                <w:noProof/>
                <w:sz w:val="16"/>
                <w:szCs w:val="16"/>
              </w:rPr>
              <w:t>65</w:t>
            </w:r>
          </w:p>
        </w:tc>
        <w:tc>
          <w:tcPr>
            <w:tcW w:w="481" w:type="pct"/>
          </w:tcPr>
          <w:p w14:paraId="0F10C147" w14:textId="57878987" w:rsidR="00A42AA9" w:rsidRPr="00B44B19" w:rsidRDefault="00333159" w:rsidP="00B14080">
            <w:pPr>
              <w:spacing w:after="0" w:line="240" w:lineRule="auto"/>
              <w:rPr>
                <w:rFonts w:cs="Times New Roman"/>
                <w:noProof/>
                <w:sz w:val="16"/>
                <w:szCs w:val="16"/>
              </w:rPr>
            </w:pPr>
            <w:r w:rsidRPr="00B44B19">
              <w:rPr>
                <w:rFonts w:cs="Times New Roman"/>
                <w:noProof/>
                <w:sz w:val="16"/>
                <w:szCs w:val="16"/>
              </w:rPr>
              <w:t>43</w:t>
            </w:r>
          </w:p>
        </w:tc>
      </w:tr>
      <w:tr w:rsidR="006D61A5" w:rsidRPr="00B44B19" w14:paraId="30B63463" w14:textId="77777777" w:rsidTr="00A21811">
        <w:trPr>
          <w:trHeight w:val="359"/>
        </w:trPr>
        <w:tc>
          <w:tcPr>
            <w:tcW w:w="497" w:type="pct"/>
            <w:vMerge/>
          </w:tcPr>
          <w:p w14:paraId="1DC6AE38"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6A16663E" w14:textId="77777777" w:rsidR="006D61A5" w:rsidRPr="00B44B19" w:rsidRDefault="006D61A5" w:rsidP="00B14080">
            <w:pPr>
              <w:spacing w:after="0" w:line="240" w:lineRule="auto"/>
              <w:jc w:val="both"/>
              <w:rPr>
                <w:rFonts w:cs="Times New Roman"/>
                <w:noProof/>
                <w:sz w:val="16"/>
                <w:szCs w:val="16"/>
              </w:rPr>
            </w:pPr>
          </w:p>
        </w:tc>
        <w:tc>
          <w:tcPr>
            <w:tcW w:w="432" w:type="pct"/>
          </w:tcPr>
          <w:p w14:paraId="785D58CC"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SaF</w:t>
            </w:r>
          </w:p>
        </w:tc>
        <w:tc>
          <w:tcPr>
            <w:tcW w:w="502" w:type="pct"/>
          </w:tcPr>
          <w:p w14:paraId="3024891D"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Visa Lietuva</w:t>
            </w:r>
          </w:p>
        </w:tc>
        <w:tc>
          <w:tcPr>
            <w:tcW w:w="566" w:type="pct"/>
          </w:tcPr>
          <w:p w14:paraId="04ACF2E2" w14:textId="77777777" w:rsidR="006D61A5" w:rsidRPr="00B44B19" w:rsidRDefault="00CB7C71" w:rsidP="00B14080">
            <w:pPr>
              <w:spacing w:after="0" w:line="240" w:lineRule="auto"/>
              <w:rPr>
                <w:rFonts w:cs="Times New Roman"/>
                <w:sz w:val="16"/>
                <w:szCs w:val="16"/>
                <w:lang w:eastAsia="lt-LT"/>
              </w:rPr>
            </w:pPr>
            <w:r w:rsidRPr="00B44B19">
              <w:rPr>
                <w:rFonts w:cs="Times New Roman"/>
                <w:sz w:val="16"/>
                <w:szCs w:val="16"/>
                <w:lang w:eastAsia="lt-LT"/>
              </w:rPr>
              <w:t>Specialusis</w:t>
            </w:r>
          </w:p>
        </w:tc>
        <w:tc>
          <w:tcPr>
            <w:tcW w:w="1079" w:type="pct"/>
          </w:tcPr>
          <w:p w14:paraId="79EE774E" w14:textId="77777777" w:rsidR="006D61A5" w:rsidRPr="00B44B19" w:rsidRDefault="00D40C75" w:rsidP="00B14080">
            <w:pPr>
              <w:tabs>
                <w:tab w:val="left" w:pos="7560"/>
              </w:tabs>
              <w:spacing w:after="0" w:line="240" w:lineRule="auto"/>
              <w:rPr>
                <w:rFonts w:cs="Times New Roman"/>
                <w:sz w:val="16"/>
                <w:szCs w:val="16"/>
              </w:rPr>
            </w:pPr>
            <w:r w:rsidRPr="00B44B19">
              <w:rPr>
                <w:rFonts w:cs="Times New Roman"/>
                <w:sz w:val="16"/>
                <w:szCs w:val="16"/>
              </w:rPr>
              <w:t>Paramą gavusios įmonės (iš kurių: labai mažos, mažosios, vidutinės ir didelės)</w:t>
            </w:r>
          </w:p>
        </w:tc>
        <w:tc>
          <w:tcPr>
            <w:tcW w:w="503" w:type="pct"/>
          </w:tcPr>
          <w:p w14:paraId="4C63D5CF"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Įmonės</w:t>
            </w:r>
          </w:p>
        </w:tc>
        <w:tc>
          <w:tcPr>
            <w:tcW w:w="436" w:type="pct"/>
          </w:tcPr>
          <w:p w14:paraId="2D0E4463"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7</w:t>
            </w:r>
          </w:p>
        </w:tc>
        <w:tc>
          <w:tcPr>
            <w:tcW w:w="481" w:type="pct"/>
          </w:tcPr>
          <w:p w14:paraId="176249CE"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28</w:t>
            </w:r>
          </w:p>
        </w:tc>
      </w:tr>
      <w:tr w:rsidR="006D61A5" w:rsidRPr="00B44B19" w14:paraId="13A8F751" w14:textId="77777777" w:rsidTr="00A21811">
        <w:trPr>
          <w:trHeight w:val="359"/>
        </w:trPr>
        <w:tc>
          <w:tcPr>
            <w:tcW w:w="497" w:type="pct"/>
            <w:vMerge/>
          </w:tcPr>
          <w:p w14:paraId="5904778E"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1B6B6844" w14:textId="77777777" w:rsidR="006D61A5" w:rsidRPr="00B44B19" w:rsidRDefault="006D61A5" w:rsidP="00B14080">
            <w:pPr>
              <w:spacing w:after="0" w:line="240" w:lineRule="auto"/>
              <w:jc w:val="both"/>
              <w:rPr>
                <w:rFonts w:cs="Times New Roman"/>
                <w:noProof/>
                <w:sz w:val="16"/>
                <w:szCs w:val="16"/>
              </w:rPr>
            </w:pPr>
          </w:p>
        </w:tc>
        <w:tc>
          <w:tcPr>
            <w:tcW w:w="432" w:type="pct"/>
          </w:tcPr>
          <w:p w14:paraId="028BBED7"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ERPF</w:t>
            </w:r>
          </w:p>
        </w:tc>
        <w:tc>
          <w:tcPr>
            <w:tcW w:w="502" w:type="pct"/>
          </w:tcPr>
          <w:p w14:paraId="4624F22E"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VVL regionas</w:t>
            </w:r>
          </w:p>
        </w:tc>
        <w:tc>
          <w:tcPr>
            <w:tcW w:w="566" w:type="pct"/>
          </w:tcPr>
          <w:p w14:paraId="126BB1C6" w14:textId="77777777" w:rsidR="006D61A5" w:rsidRPr="00B44B19" w:rsidRDefault="006D61A5" w:rsidP="00B14080">
            <w:pPr>
              <w:spacing w:after="0" w:line="240" w:lineRule="auto"/>
              <w:rPr>
                <w:rFonts w:cs="Times New Roman"/>
                <w:sz w:val="16"/>
                <w:szCs w:val="16"/>
                <w:lang w:eastAsia="en-GB"/>
              </w:rPr>
            </w:pPr>
            <w:r w:rsidRPr="00B44B19">
              <w:rPr>
                <w:rFonts w:cs="Times New Roman"/>
                <w:sz w:val="16"/>
                <w:szCs w:val="16"/>
                <w:lang w:eastAsia="lt-LT"/>
              </w:rPr>
              <w:t>RCO0</w:t>
            </w:r>
            <w:r w:rsidRPr="00B44B19">
              <w:rPr>
                <w:rFonts w:cs="Times New Roman"/>
                <w:sz w:val="16"/>
                <w:szCs w:val="16"/>
                <w:lang w:val="en-US" w:eastAsia="lt-LT"/>
              </w:rPr>
              <w:t>2</w:t>
            </w:r>
          </w:p>
        </w:tc>
        <w:tc>
          <w:tcPr>
            <w:tcW w:w="1079" w:type="pct"/>
          </w:tcPr>
          <w:p w14:paraId="488FA1FD" w14:textId="77777777" w:rsidR="006D61A5" w:rsidRPr="00B44B19" w:rsidRDefault="006D61A5" w:rsidP="00B14080">
            <w:pPr>
              <w:tabs>
                <w:tab w:val="left" w:pos="7560"/>
              </w:tabs>
              <w:spacing w:after="0" w:line="240" w:lineRule="auto"/>
              <w:rPr>
                <w:rFonts w:cs="Times New Roman"/>
                <w:iCs/>
                <w:sz w:val="16"/>
                <w:szCs w:val="16"/>
              </w:rPr>
            </w:pPr>
            <w:r w:rsidRPr="00B44B19">
              <w:rPr>
                <w:rFonts w:cs="Times New Roman"/>
                <w:sz w:val="16"/>
                <w:szCs w:val="16"/>
                <w:lang w:eastAsia="en-GB"/>
              </w:rPr>
              <w:t>Paramą dotacijomis gavusios įmonės</w:t>
            </w:r>
          </w:p>
        </w:tc>
        <w:tc>
          <w:tcPr>
            <w:tcW w:w="503" w:type="pct"/>
          </w:tcPr>
          <w:p w14:paraId="4946556E" w14:textId="77777777" w:rsidR="006D61A5" w:rsidRPr="00B44B19" w:rsidDel="0023054A" w:rsidRDefault="006D61A5" w:rsidP="00B14080">
            <w:pPr>
              <w:spacing w:after="0" w:line="240" w:lineRule="auto"/>
              <w:rPr>
                <w:rFonts w:cs="Times New Roman"/>
                <w:iCs/>
                <w:sz w:val="16"/>
                <w:szCs w:val="16"/>
              </w:rPr>
            </w:pPr>
            <w:r w:rsidRPr="00B44B19">
              <w:rPr>
                <w:rFonts w:cs="Times New Roman"/>
                <w:noProof/>
                <w:sz w:val="16"/>
                <w:szCs w:val="16"/>
              </w:rPr>
              <w:t>Įmonės</w:t>
            </w:r>
          </w:p>
        </w:tc>
        <w:tc>
          <w:tcPr>
            <w:tcW w:w="436" w:type="pct"/>
          </w:tcPr>
          <w:p w14:paraId="2A4833BB" w14:textId="55F838E2" w:rsidR="006D61A5" w:rsidRPr="00B44B19" w:rsidDel="0023054A" w:rsidRDefault="00A07A5C" w:rsidP="00B14080">
            <w:pPr>
              <w:spacing w:after="0" w:line="240" w:lineRule="auto"/>
              <w:rPr>
                <w:rFonts w:cs="Times New Roman"/>
                <w:noProof/>
                <w:sz w:val="16"/>
                <w:szCs w:val="16"/>
                <w:lang w:val="en-US"/>
              </w:rPr>
            </w:pPr>
            <w:r w:rsidRPr="00B44B19">
              <w:rPr>
                <w:rFonts w:cs="Times New Roman"/>
                <w:noProof/>
                <w:sz w:val="16"/>
                <w:szCs w:val="16"/>
              </w:rPr>
              <w:t>60</w:t>
            </w:r>
          </w:p>
        </w:tc>
        <w:tc>
          <w:tcPr>
            <w:tcW w:w="481" w:type="pct"/>
          </w:tcPr>
          <w:p w14:paraId="2EF54D73" w14:textId="05B3D4DE" w:rsidR="006D61A5" w:rsidRPr="00B44B19" w:rsidDel="0023054A" w:rsidRDefault="00333159" w:rsidP="00B14080">
            <w:pPr>
              <w:spacing w:after="0" w:line="240" w:lineRule="auto"/>
              <w:rPr>
                <w:rFonts w:cs="Times New Roman"/>
                <w:noProof/>
                <w:sz w:val="16"/>
                <w:szCs w:val="16"/>
              </w:rPr>
            </w:pPr>
            <w:r w:rsidRPr="00B44B19">
              <w:rPr>
                <w:rFonts w:cs="Times New Roman"/>
                <w:noProof/>
                <w:sz w:val="16"/>
                <w:szCs w:val="16"/>
              </w:rPr>
              <w:t>23</w:t>
            </w:r>
          </w:p>
        </w:tc>
      </w:tr>
      <w:tr w:rsidR="006D61A5" w:rsidRPr="00B44B19" w14:paraId="548F8C9F" w14:textId="77777777" w:rsidTr="00A21811">
        <w:trPr>
          <w:trHeight w:val="359"/>
        </w:trPr>
        <w:tc>
          <w:tcPr>
            <w:tcW w:w="497" w:type="pct"/>
            <w:vMerge/>
          </w:tcPr>
          <w:p w14:paraId="54249D4A"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1BB308EF" w14:textId="77777777" w:rsidR="006D61A5" w:rsidRPr="00B44B19" w:rsidRDefault="006D61A5" w:rsidP="00B14080">
            <w:pPr>
              <w:spacing w:after="0" w:line="240" w:lineRule="auto"/>
              <w:jc w:val="both"/>
              <w:rPr>
                <w:rFonts w:cs="Times New Roman"/>
                <w:noProof/>
                <w:sz w:val="16"/>
                <w:szCs w:val="16"/>
              </w:rPr>
            </w:pPr>
          </w:p>
        </w:tc>
        <w:tc>
          <w:tcPr>
            <w:tcW w:w="432" w:type="pct"/>
          </w:tcPr>
          <w:p w14:paraId="3E6A85A0"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SaF</w:t>
            </w:r>
          </w:p>
        </w:tc>
        <w:tc>
          <w:tcPr>
            <w:tcW w:w="502" w:type="pct"/>
          </w:tcPr>
          <w:p w14:paraId="17952BEF"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Visa Lietuva</w:t>
            </w:r>
          </w:p>
        </w:tc>
        <w:tc>
          <w:tcPr>
            <w:tcW w:w="566" w:type="pct"/>
          </w:tcPr>
          <w:p w14:paraId="50C33D60" w14:textId="77777777" w:rsidR="006D61A5" w:rsidRPr="00B44B19" w:rsidRDefault="00BA0F12" w:rsidP="00B14080">
            <w:pPr>
              <w:spacing w:after="0" w:line="240" w:lineRule="auto"/>
              <w:rPr>
                <w:rFonts w:cs="Times New Roman"/>
                <w:sz w:val="16"/>
                <w:szCs w:val="16"/>
                <w:lang w:eastAsia="lt-LT"/>
              </w:rPr>
            </w:pPr>
            <w:r w:rsidRPr="00B44B19">
              <w:rPr>
                <w:rFonts w:cs="Times New Roman"/>
                <w:sz w:val="16"/>
                <w:szCs w:val="16"/>
                <w:lang w:eastAsia="lt-LT"/>
              </w:rPr>
              <w:t>Specialusis</w:t>
            </w:r>
          </w:p>
        </w:tc>
        <w:tc>
          <w:tcPr>
            <w:tcW w:w="1079" w:type="pct"/>
          </w:tcPr>
          <w:p w14:paraId="6D1665A3" w14:textId="77777777" w:rsidR="006D61A5" w:rsidRPr="00B44B19" w:rsidRDefault="006D61A5" w:rsidP="00B14080">
            <w:pPr>
              <w:tabs>
                <w:tab w:val="left" w:pos="7560"/>
              </w:tabs>
              <w:spacing w:after="0" w:line="240" w:lineRule="auto"/>
              <w:rPr>
                <w:rFonts w:cs="Times New Roman"/>
                <w:sz w:val="16"/>
                <w:szCs w:val="16"/>
                <w:lang w:eastAsia="en-GB"/>
              </w:rPr>
            </w:pPr>
            <w:r w:rsidRPr="00B44B19">
              <w:rPr>
                <w:rFonts w:cs="Times New Roman"/>
                <w:sz w:val="16"/>
                <w:szCs w:val="16"/>
                <w:lang w:eastAsia="en-GB"/>
              </w:rPr>
              <w:t>Paramą finansinėmis priemonėmis gavusios įmonės</w:t>
            </w:r>
          </w:p>
        </w:tc>
        <w:tc>
          <w:tcPr>
            <w:tcW w:w="503" w:type="pct"/>
          </w:tcPr>
          <w:p w14:paraId="0F460F49"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Įmonės</w:t>
            </w:r>
          </w:p>
        </w:tc>
        <w:tc>
          <w:tcPr>
            <w:tcW w:w="436" w:type="pct"/>
          </w:tcPr>
          <w:p w14:paraId="0DC51ABF"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7</w:t>
            </w:r>
          </w:p>
        </w:tc>
        <w:tc>
          <w:tcPr>
            <w:tcW w:w="481" w:type="pct"/>
          </w:tcPr>
          <w:p w14:paraId="5D9FBFD7"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28</w:t>
            </w:r>
          </w:p>
        </w:tc>
      </w:tr>
      <w:tr w:rsidR="006D61A5" w:rsidRPr="00B44B19" w14:paraId="0890B5E9" w14:textId="77777777" w:rsidTr="00A21811">
        <w:trPr>
          <w:trHeight w:val="359"/>
        </w:trPr>
        <w:tc>
          <w:tcPr>
            <w:tcW w:w="497" w:type="pct"/>
            <w:vMerge/>
          </w:tcPr>
          <w:p w14:paraId="221290B9"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3D46BE55" w14:textId="77777777" w:rsidR="006D61A5" w:rsidRPr="00B44B19" w:rsidRDefault="006D61A5" w:rsidP="00B14080">
            <w:pPr>
              <w:spacing w:after="0" w:line="240" w:lineRule="auto"/>
              <w:jc w:val="both"/>
              <w:rPr>
                <w:rFonts w:cs="Times New Roman"/>
                <w:noProof/>
                <w:sz w:val="16"/>
                <w:szCs w:val="16"/>
              </w:rPr>
            </w:pPr>
          </w:p>
        </w:tc>
        <w:tc>
          <w:tcPr>
            <w:tcW w:w="432" w:type="pct"/>
          </w:tcPr>
          <w:p w14:paraId="5E009466"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ERPF</w:t>
            </w:r>
          </w:p>
        </w:tc>
        <w:tc>
          <w:tcPr>
            <w:tcW w:w="502" w:type="pct"/>
          </w:tcPr>
          <w:p w14:paraId="5749FEDF"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VVL regionas</w:t>
            </w:r>
          </w:p>
        </w:tc>
        <w:tc>
          <w:tcPr>
            <w:tcW w:w="566" w:type="pct"/>
          </w:tcPr>
          <w:p w14:paraId="4CC3877A" w14:textId="77777777" w:rsidR="006D61A5" w:rsidRPr="00B44B19" w:rsidRDefault="006D61A5" w:rsidP="00B14080">
            <w:pPr>
              <w:spacing w:after="0" w:line="240" w:lineRule="auto"/>
              <w:rPr>
                <w:rFonts w:cs="Times New Roman"/>
                <w:sz w:val="16"/>
                <w:szCs w:val="16"/>
                <w:lang w:eastAsia="lt-LT"/>
              </w:rPr>
            </w:pPr>
            <w:r w:rsidRPr="00B44B19">
              <w:rPr>
                <w:rFonts w:cs="Times New Roman"/>
                <w:sz w:val="16"/>
                <w:szCs w:val="16"/>
                <w:lang w:eastAsia="lt-LT"/>
              </w:rPr>
              <w:t>RCO03</w:t>
            </w:r>
          </w:p>
        </w:tc>
        <w:tc>
          <w:tcPr>
            <w:tcW w:w="1079" w:type="pct"/>
          </w:tcPr>
          <w:p w14:paraId="043144B1" w14:textId="77777777" w:rsidR="006D61A5" w:rsidRPr="00B44B19" w:rsidRDefault="006D61A5" w:rsidP="00B14080">
            <w:pPr>
              <w:tabs>
                <w:tab w:val="left" w:pos="7560"/>
              </w:tabs>
              <w:spacing w:after="0" w:line="240" w:lineRule="auto"/>
              <w:rPr>
                <w:rFonts w:cs="Times New Roman"/>
                <w:sz w:val="16"/>
                <w:szCs w:val="16"/>
                <w:lang w:eastAsia="en-GB"/>
              </w:rPr>
            </w:pPr>
            <w:r w:rsidRPr="00B44B19">
              <w:rPr>
                <w:rFonts w:cs="Times New Roman"/>
                <w:sz w:val="16"/>
                <w:szCs w:val="16"/>
                <w:lang w:eastAsia="en-GB"/>
              </w:rPr>
              <w:t>Paramą finansinėmis priemonėmis gavusios įmonės</w:t>
            </w:r>
          </w:p>
        </w:tc>
        <w:tc>
          <w:tcPr>
            <w:tcW w:w="503" w:type="pct"/>
          </w:tcPr>
          <w:p w14:paraId="7124E6F5"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Įmonės</w:t>
            </w:r>
          </w:p>
        </w:tc>
        <w:tc>
          <w:tcPr>
            <w:tcW w:w="436" w:type="pct"/>
          </w:tcPr>
          <w:p w14:paraId="2FBD28BC"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5</w:t>
            </w:r>
          </w:p>
        </w:tc>
        <w:tc>
          <w:tcPr>
            <w:tcW w:w="481" w:type="pct"/>
          </w:tcPr>
          <w:p w14:paraId="06D08526"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20</w:t>
            </w:r>
          </w:p>
        </w:tc>
      </w:tr>
      <w:tr w:rsidR="006D61A5" w:rsidRPr="00B44B19" w14:paraId="2BC3A957" w14:textId="77777777" w:rsidTr="00A21811">
        <w:trPr>
          <w:trHeight w:val="359"/>
        </w:trPr>
        <w:tc>
          <w:tcPr>
            <w:tcW w:w="497" w:type="pct"/>
            <w:vMerge/>
          </w:tcPr>
          <w:p w14:paraId="329F5A7A"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265EC1F4" w14:textId="77777777" w:rsidR="006D61A5" w:rsidRPr="00B44B19" w:rsidRDefault="006D61A5" w:rsidP="00B14080">
            <w:pPr>
              <w:spacing w:after="0" w:line="240" w:lineRule="auto"/>
              <w:jc w:val="both"/>
              <w:rPr>
                <w:rFonts w:cs="Times New Roman"/>
                <w:noProof/>
                <w:sz w:val="16"/>
                <w:szCs w:val="16"/>
              </w:rPr>
            </w:pPr>
          </w:p>
        </w:tc>
        <w:tc>
          <w:tcPr>
            <w:tcW w:w="432" w:type="pct"/>
          </w:tcPr>
          <w:p w14:paraId="1C4379FF"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SaF</w:t>
            </w:r>
          </w:p>
        </w:tc>
        <w:tc>
          <w:tcPr>
            <w:tcW w:w="502" w:type="pct"/>
          </w:tcPr>
          <w:p w14:paraId="63ABE2A2"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Visa Lietuva</w:t>
            </w:r>
          </w:p>
        </w:tc>
        <w:tc>
          <w:tcPr>
            <w:tcW w:w="566" w:type="pct"/>
          </w:tcPr>
          <w:p w14:paraId="54224721" w14:textId="77777777" w:rsidR="006D61A5" w:rsidRPr="00B44B19" w:rsidRDefault="006D61A5" w:rsidP="00B14080">
            <w:pPr>
              <w:spacing w:after="0" w:line="240" w:lineRule="auto"/>
              <w:rPr>
                <w:rFonts w:cs="Times New Roman"/>
                <w:sz w:val="16"/>
                <w:szCs w:val="16"/>
                <w:lang w:eastAsia="en-GB"/>
              </w:rPr>
            </w:pPr>
            <w:r w:rsidRPr="00B44B19">
              <w:rPr>
                <w:rFonts w:cs="Times New Roman"/>
                <w:sz w:val="16"/>
                <w:szCs w:val="16"/>
                <w:lang w:eastAsia="en-GB"/>
              </w:rPr>
              <w:t>RCO22</w:t>
            </w:r>
          </w:p>
        </w:tc>
        <w:tc>
          <w:tcPr>
            <w:tcW w:w="1079" w:type="pct"/>
          </w:tcPr>
          <w:p w14:paraId="420F9481" w14:textId="77777777" w:rsidR="006D61A5" w:rsidRPr="00B44B19" w:rsidRDefault="006D61A5" w:rsidP="00B14080">
            <w:pPr>
              <w:tabs>
                <w:tab w:val="left" w:pos="7560"/>
              </w:tabs>
              <w:spacing w:after="0" w:line="240" w:lineRule="auto"/>
              <w:rPr>
                <w:rFonts w:cs="Times New Roman"/>
                <w:iCs/>
                <w:sz w:val="16"/>
                <w:szCs w:val="16"/>
              </w:rPr>
            </w:pPr>
            <w:r w:rsidRPr="00B44B19">
              <w:rPr>
                <w:rFonts w:cs="Times New Roman"/>
                <w:iCs/>
                <w:sz w:val="16"/>
                <w:szCs w:val="16"/>
              </w:rPr>
              <w:t>Papildomi atsinaujinančiosios energijos gamybos pajėgumai (iš kurių: elektros, šiluminės energijos pajėgumai)</w:t>
            </w:r>
          </w:p>
        </w:tc>
        <w:tc>
          <w:tcPr>
            <w:tcW w:w="503" w:type="pct"/>
          </w:tcPr>
          <w:p w14:paraId="6AC0F8B2" w14:textId="77777777" w:rsidR="006D61A5" w:rsidRPr="00B44B19" w:rsidRDefault="006D61A5" w:rsidP="00B14080">
            <w:pPr>
              <w:spacing w:after="0" w:line="240" w:lineRule="auto"/>
              <w:rPr>
                <w:rFonts w:cs="Times New Roman"/>
                <w:iCs/>
                <w:sz w:val="16"/>
                <w:szCs w:val="16"/>
              </w:rPr>
            </w:pPr>
            <w:r w:rsidRPr="00B44B19">
              <w:rPr>
                <w:rFonts w:cs="Times New Roman"/>
                <w:iCs/>
                <w:sz w:val="16"/>
                <w:szCs w:val="16"/>
              </w:rPr>
              <w:t xml:space="preserve">MW </w:t>
            </w:r>
          </w:p>
        </w:tc>
        <w:tc>
          <w:tcPr>
            <w:tcW w:w="436" w:type="pct"/>
          </w:tcPr>
          <w:p w14:paraId="0811AAB8" w14:textId="731F4743" w:rsidR="006D61A5" w:rsidRPr="00B44B19" w:rsidRDefault="00A07A5C" w:rsidP="00B14080">
            <w:pPr>
              <w:spacing w:after="0" w:line="240" w:lineRule="auto"/>
              <w:rPr>
                <w:rFonts w:cs="Times New Roman"/>
                <w:noProof/>
                <w:sz w:val="16"/>
                <w:szCs w:val="16"/>
                <w:lang w:val="en-US"/>
              </w:rPr>
            </w:pPr>
            <w:r w:rsidRPr="00B44B19">
              <w:rPr>
                <w:rFonts w:cs="Times New Roman"/>
                <w:noProof/>
                <w:sz w:val="16"/>
                <w:szCs w:val="16"/>
                <w:lang w:val="en-US"/>
              </w:rPr>
              <w:t>37,99</w:t>
            </w:r>
          </w:p>
        </w:tc>
        <w:tc>
          <w:tcPr>
            <w:tcW w:w="481" w:type="pct"/>
          </w:tcPr>
          <w:p w14:paraId="28CF1775" w14:textId="5EF9ED70" w:rsidR="006D61A5" w:rsidRPr="00B44B19" w:rsidRDefault="00333159" w:rsidP="00B14080">
            <w:pPr>
              <w:spacing w:after="0" w:line="240" w:lineRule="auto"/>
              <w:rPr>
                <w:rFonts w:cs="Times New Roman"/>
                <w:noProof/>
                <w:sz w:val="16"/>
                <w:szCs w:val="16"/>
              </w:rPr>
            </w:pPr>
            <w:r w:rsidRPr="00B44B19">
              <w:rPr>
                <w:rFonts w:cs="Times New Roman"/>
                <w:noProof/>
                <w:sz w:val="16"/>
                <w:szCs w:val="16"/>
              </w:rPr>
              <w:t>357,35</w:t>
            </w:r>
          </w:p>
        </w:tc>
      </w:tr>
      <w:tr w:rsidR="006D61A5" w:rsidRPr="00B44B19" w14:paraId="0E58A74B" w14:textId="77777777" w:rsidTr="00A21811">
        <w:trPr>
          <w:trHeight w:val="393"/>
        </w:trPr>
        <w:tc>
          <w:tcPr>
            <w:tcW w:w="497" w:type="pct"/>
            <w:vMerge/>
          </w:tcPr>
          <w:p w14:paraId="0C442D2D"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2E85BE29" w14:textId="77777777" w:rsidR="006D61A5" w:rsidRPr="00B44B19" w:rsidRDefault="006D61A5" w:rsidP="00B14080">
            <w:pPr>
              <w:spacing w:after="0" w:line="240" w:lineRule="auto"/>
              <w:jc w:val="both"/>
              <w:rPr>
                <w:rFonts w:cs="Times New Roman"/>
                <w:noProof/>
                <w:sz w:val="16"/>
                <w:szCs w:val="16"/>
              </w:rPr>
            </w:pPr>
          </w:p>
        </w:tc>
        <w:tc>
          <w:tcPr>
            <w:tcW w:w="432" w:type="pct"/>
          </w:tcPr>
          <w:p w14:paraId="5BDD082E"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ERPF</w:t>
            </w:r>
          </w:p>
        </w:tc>
        <w:tc>
          <w:tcPr>
            <w:tcW w:w="502" w:type="pct"/>
          </w:tcPr>
          <w:p w14:paraId="498FAC05"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VVL regionas</w:t>
            </w:r>
          </w:p>
        </w:tc>
        <w:tc>
          <w:tcPr>
            <w:tcW w:w="566" w:type="pct"/>
          </w:tcPr>
          <w:p w14:paraId="27C71775" w14:textId="77777777" w:rsidR="006D61A5" w:rsidRPr="00B44B19" w:rsidRDefault="006D61A5" w:rsidP="00B14080">
            <w:pPr>
              <w:spacing w:after="0" w:line="240" w:lineRule="auto"/>
              <w:rPr>
                <w:rFonts w:cs="Times New Roman"/>
                <w:sz w:val="16"/>
                <w:szCs w:val="16"/>
                <w:lang w:eastAsia="en-GB"/>
              </w:rPr>
            </w:pPr>
            <w:r w:rsidRPr="00B44B19">
              <w:rPr>
                <w:rFonts w:cs="Times New Roman"/>
                <w:sz w:val="16"/>
                <w:szCs w:val="16"/>
                <w:lang w:eastAsia="en-GB"/>
              </w:rPr>
              <w:t xml:space="preserve">RCO22 </w:t>
            </w:r>
          </w:p>
        </w:tc>
        <w:tc>
          <w:tcPr>
            <w:tcW w:w="1079" w:type="pct"/>
          </w:tcPr>
          <w:p w14:paraId="1BDB9C9A" w14:textId="77777777" w:rsidR="006D61A5" w:rsidRPr="00B44B19" w:rsidRDefault="006D61A5" w:rsidP="00B14080">
            <w:pPr>
              <w:tabs>
                <w:tab w:val="left" w:pos="7560"/>
              </w:tabs>
              <w:spacing w:after="0" w:line="240" w:lineRule="auto"/>
              <w:rPr>
                <w:rFonts w:cs="Times New Roman"/>
                <w:iCs/>
                <w:sz w:val="16"/>
                <w:szCs w:val="16"/>
              </w:rPr>
            </w:pPr>
            <w:r w:rsidRPr="00B44B19">
              <w:rPr>
                <w:rFonts w:cs="Times New Roman"/>
                <w:iCs/>
                <w:sz w:val="16"/>
                <w:szCs w:val="16"/>
              </w:rPr>
              <w:t>Papildomi atsinaujinančiosios energijos gamybos pajėgumai (iš kurių: elektros, šiluminės energijos pajėgumai)</w:t>
            </w:r>
          </w:p>
        </w:tc>
        <w:tc>
          <w:tcPr>
            <w:tcW w:w="503" w:type="pct"/>
          </w:tcPr>
          <w:p w14:paraId="53138328" w14:textId="77777777" w:rsidR="006D61A5" w:rsidRPr="00B44B19" w:rsidRDefault="006D61A5" w:rsidP="00B14080">
            <w:pPr>
              <w:spacing w:after="0" w:line="240" w:lineRule="auto"/>
              <w:rPr>
                <w:rFonts w:cs="Times New Roman"/>
                <w:iCs/>
                <w:sz w:val="16"/>
                <w:szCs w:val="16"/>
              </w:rPr>
            </w:pPr>
            <w:r w:rsidRPr="00B44B19">
              <w:rPr>
                <w:rFonts w:cs="Times New Roman"/>
                <w:iCs/>
                <w:sz w:val="16"/>
                <w:szCs w:val="16"/>
              </w:rPr>
              <w:t xml:space="preserve">MW </w:t>
            </w:r>
          </w:p>
        </w:tc>
        <w:tc>
          <w:tcPr>
            <w:tcW w:w="436" w:type="pct"/>
          </w:tcPr>
          <w:p w14:paraId="2E9B6CC0" w14:textId="52FB9B8C" w:rsidR="006D61A5" w:rsidRPr="00B44B19" w:rsidRDefault="00A07A5C" w:rsidP="00B14080">
            <w:pPr>
              <w:spacing w:after="0" w:line="240" w:lineRule="auto"/>
              <w:rPr>
                <w:rFonts w:cs="Times New Roman"/>
                <w:noProof/>
                <w:sz w:val="16"/>
                <w:szCs w:val="16"/>
              </w:rPr>
            </w:pPr>
            <w:r w:rsidRPr="00B44B19">
              <w:rPr>
                <w:rFonts w:cs="Times New Roman"/>
                <w:noProof/>
                <w:sz w:val="16"/>
                <w:szCs w:val="16"/>
              </w:rPr>
              <w:t>38,99</w:t>
            </w:r>
          </w:p>
        </w:tc>
        <w:tc>
          <w:tcPr>
            <w:tcW w:w="481" w:type="pct"/>
          </w:tcPr>
          <w:p w14:paraId="1BA7C5B6" w14:textId="3516C2A5" w:rsidR="006D61A5" w:rsidRPr="00B44B19" w:rsidRDefault="00333159" w:rsidP="00B14080">
            <w:pPr>
              <w:spacing w:after="0" w:line="240" w:lineRule="auto"/>
              <w:rPr>
                <w:rFonts w:cs="Times New Roman"/>
                <w:noProof/>
                <w:sz w:val="16"/>
                <w:szCs w:val="16"/>
              </w:rPr>
            </w:pPr>
            <w:r w:rsidRPr="00B44B19">
              <w:rPr>
                <w:rFonts w:cs="Times New Roman"/>
                <w:noProof/>
                <w:sz w:val="16"/>
                <w:szCs w:val="16"/>
              </w:rPr>
              <w:t>327,05</w:t>
            </w:r>
          </w:p>
        </w:tc>
      </w:tr>
      <w:tr w:rsidR="006D61A5" w:rsidRPr="00B44B19" w14:paraId="62949488" w14:textId="77777777" w:rsidTr="00A21811">
        <w:trPr>
          <w:trHeight w:val="366"/>
        </w:trPr>
        <w:tc>
          <w:tcPr>
            <w:tcW w:w="497" w:type="pct"/>
            <w:vMerge/>
          </w:tcPr>
          <w:p w14:paraId="7A16A95B"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526C0257" w14:textId="77777777" w:rsidR="006D61A5" w:rsidRPr="00B44B19" w:rsidRDefault="006D61A5" w:rsidP="00B14080">
            <w:pPr>
              <w:spacing w:after="0" w:line="240" w:lineRule="auto"/>
              <w:jc w:val="both"/>
              <w:rPr>
                <w:rFonts w:cs="Times New Roman"/>
                <w:noProof/>
                <w:sz w:val="16"/>
                <w:szCs w:val="16"/>
              </w:rPr>
            </w:pPr>
          </w:p>
        </w:tc>
        <w:tc>
          <w:tcPr>
            <w:tcW w:w="432" w:type="pct"/>
          </w:tcPr>
          <w:p w14:paraId="14A2AE3B"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SaF</w:t>
            </w:r>
          </w:p>
        </w:tc>
        <w:tc>
          <w:tcPr>
            <w:tcW w:w="502" w:type="pct"/>
          </w:tcPr>
          <w:p w14:paraId="4002D31E"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Visa Lietuva</w:t>
            </w:r>
          </w:p>
        </w:tc>
        <w:tc>
          <w:tcPr>
            <w:tcW w:w="566" w:type="pct"/>
          </w:tcPr>
          <w:p w14:paraId="4769FCE4" w14:textId="77777777" w:rsidR="006D61A5" w:rsidRPr="00B44B19" w:rsidRDefault="006D61A5" w:rsidP="00B14080">
            <w:pPr>
              <w:spacing w:after="0" w:line="240" w:lineRule="auto"/>
              <w:rPr>
                <w:rFonts w:cs="Times New Roman"/>
                <w:sz w:val="16"/>
                <w:szCs w:val="16"/>
                <w:lang w:eastAsia="en-GB"/>
              </w:rPr>
            </w:pPr>
            <w:r w:rsidRPr="00B44B19">
              <w:rPr>
                <w:rFonts w:cs="Times New Roman"/>
                <w:sz w:val="16"/>
                <w:szCs w:val="16"/>
                <w:lang w:eastAsia="en-GB"/>
              </w:rPr>
              <w:t>Specialusis</w:t>
            </w:r>
          </w:p>
        </w:tc>
        <w:tc>
          <w:tcPr>
            <w:tcW w:w="1079" w:type="pct"/>
          </w:tcPr>
          <w:p w14:paraId="48178C3F" w14:textId="77777777" w:rsidR="006D61A5" w:rsidRPr="00B44B19" w:rsidRDefault="006D61A5" w:rsidP="00B14080">
            <w:pPr>
              <w:tabs>
                <w:tab w:val="left" w:pos="7560"/>
              </w:tabs>
              <w:spacing w:after="0" w:line="240" w:lineRule="auto"/>
              <w:rPr>
                <w:rFonts w:cs="Times New Roman"/>
                <w:iCs/>
                <w:sz w:val="16"/>
                <w:szCs w:val="16"/>
              </w:rPr>
            </w:pPr>
            <w:r w:rsidRPr="00B44B19">
              <w:rPr>
                <w:rFonts w:cs="Times New Roman"/>
                <w:iCs/>
                <w:sz w:val="16"/>
                <w:szCs w:val="16"/>
              </w:rPr>
              <w:t>Elektros energijos kaupimo sprendimai</w:t>
            </w:r>
          </w:p>
        </w:tc>
        <w:tc>
          <w:tcPr>
            <w:tcW w:w="503" w:type="pct"/>
          </w:tcPr>
          <w:p w14:paraId="4A6C296C" w14:textId="77777777" w:rsidR="006D61A5" w:rsidRPr="00B44B19" w:rsidRDefault="006D61A5" w:rsidP="00B14080">
            <w:pPr>
              <w:spacing w:after="0" w:line="240" w:lineRule="auto"/>
              <w:rPr>
                <w:rFonts w:cs="Times New Roman"/>
                <w:iCs/>
                <w:sz w:val="16"/>
                <w:szCs w:val="16"/>
              </w:rPr>
            </w:pPr>
            <w:r w:rsidRPr="00B44B19">
              <w:rPr>
                <w:rFonts w:cs="Times New Roman"/>
                <w:iCs/>
                <w:sz w:val="16"/>
                <w:szCs w:val="16"/>
              </w:rPr>
              <w:t>MWh</w:t>
            </w:r>
          </w:p>
        </w:tc>
        <w:tc>
          <w:tcPr>
            <w:tcW w:w="436" w:type="pct"/>
          </w:tcPr>
          <w:p w14:paraId="327DFA96"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1</w:t>
            </w:r>
          </w:p>
        </w:tc>
        <w:tc>
          <w:tcPr>
            <w:tcW w:w="481" w:type="pct"/>
          </w:tcPr>
          <w:p w14:paraId="26032AFB" w14:textId="45360F6E" w:rsidR="006D61A5" w:rsidRPr="00B44B19" w:rsidRDefault="00333159" w:rsidP="00B14080">
            <w:pPr>
              <w:spacing w:after="0" w:line="240" w:lineRule="auto"/>
              <w:rPr>
                <w:rFonts w:cs="Times New Roman"/>
                <w:noProof/>
                <w:sz w:val="16"/>
                <w:szCs w:val="16"/>
              </w:rPr>
            </w:pPr>
            <w:r w:rsidRPr="00B44B19">
              <w:rPr>
                <w:rFonts w:cs="Times New Roman"/>
                <w:noProof/>
                <w:sz w:val="16"/>
                <w:szCs w:val="16"/>
              </w:rPr>
              <w:t>34,38</w:t>
            </w:r>
          </w:p>
        </w:tc>
      </w:tr>
      <w:tr w:rsidR="006D61A5" w:rsidRPr="00B44B19" w14:paraId="1F5AB7BB" w14:textId="77777777" w:rsidTr="00A21811">
        <w:trPr>
          <w:trHeight w:val="352"/>
        </w:trPr>
        <w:tc>
          <w:tcPr>
            <w:tcW w:w="497" w:type="pct"/>
            <w:vMerge/>
          </w:tcPr>
          <w:p w14:paraId="79130BD4"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6AB9CFD4" w14:textId="77777777" w:rsidR="006D61A5" w:rsidRPr="00B44B19" w:rsidRDefault="006D61A5" w:rsidP="00B14080">
            <w:pPr>
              <w:spacing w:after="0" w:line="240" w:lineRule="auto"/>
              <w:jc w:val="both"/>
              <w:rPr>
                <w:rFonts w:cs="Times New Roman"/>
                <w:noProof/>
                <w:sz w:val="16"/>
                <w:szCs w:val="16"/>
              </w:rPr>
            </w:pPr>
          </w:p>
        </w:tc>
        <w:tc>
          <w:tcPr>
            <w:tcW w:w="432" w:type="pct"/>
          </w:tcPr>
          <w:p w14:paraId="7566F61E"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 xml:space="preserve">ERPF </w:t>
            </w:r>
          </w:p>
        </w:tc>
        <w:tc>
          <w:tcPr>
            <w:tcW w:w="502" w:type="pct"/>
          </w:tcPr>
          <w:p w14:paraId="09FCD1A4"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VVL regionas</w:t>
            </w:r>
          </w:p>
        </w:tc>
        <w:tc>
          <w:tcPr>
            <w:tcW w:w="566" w:type="pct"/>
          </w:tcPr>
          <w:p w14:paraId="4303340E" w14:textId="77777777" w:rsidR="006D61A5" w:rsidRPr="00B44B19" w:rsidRDefault="006D61A5" w:rsidP="00B14080">
            <w:pPr>
              <w:spacing w:after="0" w:line="240" w:lineRule="auto"/>
              <w:rPr>
                <w:rFonts w:cs="Times New Roman"/>
                <w:sz w:val="16"/>
                <w:szCs w:val="16"/>
                <w:lang w:eastAsia="en-GB"/>
              </w:rPr>
            </w:pPr>
            <w:r w:rsidRPr="00B44B19">
              <w:rPr>
                <w:rFonts w:cs="Times New Roman"/>
                <w:sz w:val="16"/>
                <w:szCs w:val="16"/>
                <w:lang w:eastAsia="en-GB"/>
              </w:rPr>
              <w:t>Specialusis</w:t>
            </w:r>
          </w:p>
        </w:tc>
        <w:tc>
          <w:tcPr>
            <w:tcW w:w="1079" w:type="pct"/>
          </w:tcPr>
          <w:p w14:paraId="6CF0CEC1" w14:textId="77777777" w:rsidR="006D61A5" w:rsidRPr="00B44B19" w:rsidRDefault="006D61A5" w:rsidP="00B14080">
            <w:pPr>
              <w:tabs>
                <w:tab w:val="left" w:pos="7560"/>
              </w:tabs>
              <w:spacing w:after="0" w:line="240" w:lineRule="auto"/>
              <w:rPr>
                <w:rFonts w:cs="Times New Roman"/>
                <w:iCs/>
                <w:sz w:val="16"/>
                <w:szCs w:val="16"/>
              </w:rPr>
            </w:pPr>
            <w:r w:rsidRPr="00B44B19">
              <w:rPr>
                <w:rFonts w:cs="Times New Roman"/>
                <w:iCs/>
                <w:sz w:val="16"/>
                <w:szCs w:val="16"/>
              </w:rPr>
              <w:t>Elektros energijos kaupimo sprendimai</w:t>
            </w:r>
          </w:p>
        </w:tc>
        <w:tc>
          <w:tcPr>
            <w:tcW w:w="503" w:type="pct"/>
          </w:tcPr>
          <w:p w14:paraId="6D38C1DD" w14:textId="77777777" w:rsidR="006D61A5" w:rsidRPr="00B44B19" w:rsidRDefault="006D61A5" w:rsidP="00B14080">
            <w:pPr>
              <w:spacing w:after="0" w:line="240" w:lineRule="auto"/>
              <w:rPr>
                <w:rFonts w:cs="Times New Roman"/>
                <w:iCs/>
                <w:sz w:val="16"/>
                <w:szCs w:val="16"/>
              </w:rPr>
            </w:pPr>
            <w:r w:rsidRPr="00B44B19">
              <w:rPr>
                <w:rFonts w:cs="Times New Roman"/>
                <w:iCs/>
                <w:sz w:val="16"/>
                <w:szCs w:val="16"/>
              </w:rPr>
              <w:t>MWh</w:t>
            </w:r>
          </w:p>
        </w:tc>
        <w:tc>
          <w:tcPr>
            <w:tcW w:w="436" w:type="pct"/>
          </w:tcPr>
          <w:p w14:paraId="35722FF3" w14:textId="77777777" w:rsidR="006D61A5" w:rsidRPr="00B44B19" w:rsidRDefault="006D61A5" w:rsidP="00B14080">
            <w:pPr>
              <w:spacing w:after="0" w:line="240" w:lineRule="auto"/>
              <w:rPr>
                <w:rFonts w:cs="Times New Roman"/>
                <w:noProof/>
                <w:sz w:val="16"/>
                <w:szCs w:val="16"/>
              </w:rPr>
            </w:pPr>
            <w:r w:rsidRPr="00B44B19">
              <w:rPr>
                <w:rFonts w:cs="Times New Roman"/>
                <w:noProof/>
                <w:sz w:val="16"/>
                <w:szCs w:val="16"/>
              </w:rPr>
              <w:t>1</w:t>
            </w:r>
          </w:p>
        </w:tc>
        <w:tc>
          <w:tcPr>
            <w:tcW w:w="481" w:type="pct"/>
          </w:tcPr>
          <w:p w14:paraId="78A65012" w14:textId="45FAC07C" w:rsidR="006D61A5" w:rsidRPr="00B44B19" w:rsidRDefault="00333159" w:rsidP="00B14080">
            <w:pPr>
              <w:spacing w:after="0" w:line="240" w:lineRule="auto"/>
              <w:rPr>
                <w:rFonts w:cs="Times New Roman"/>
                <w:noProof/>
                <w:sz w:val="16"/>
                <w:szCs w:val="16"/>
              </w:rPr>
            </w:pPr>
            <w:r w:rsidRPr="00B44B19">
              <w:rPr>
                <w:rFonts w:cs="Times New Roman"/>
                <w:noProof/>
                <w:sz w:val="16"/>
                <w:szCs w:val="16"/>
              </w:rPr>
              <w:t>3,99</w:t>
            </w:r>
          </w:p>
        </w:tc>
      </w:tr>
      <w:tr w:rsidR="006D61A5" w:rsidRPr="00B44B19" w14:paraId="7017EA5B" w14:textId="77777777" w:rsidTr="00A21811">
        <w:trPr>
          <w:trHeight w:val="291"/>
        </w:trPr>
        <w:tc>
          <w:tcPr>
            <w:tcW w:w="497" w:type="pct"/>
            <w:vMerge/>
          </w:tcPr>
          <w:p w14:paraId="764737B4"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2530EC21" w14:textId="77777777" w:rsidR="006D61A5" w:rsidRPr="00B44B19" w:rsidRDefault="006D61A5" w:rsidP="00B14080">
            <w:pPr>
              <w:spacing w:after="0" w:line="240" w:lineRule="auto"/>
              <w:jc w:val="both"/>
              <w:rPr>
                <w:rFonts w:cs="Times New Roman"/>
                <w:noProof/>
                <w:sz w:val="16"/>
                <w:szCs w:val="16"/>
              </w:rPr>
            </w:pPr>
          </w:p>
        </w:tc>
        <w:tc>
          <w:tcPr>
            <w:tcW w:w="432" w:type="pct"/>
          </w:tcPr>
          <w:p w14:paraId="60DF6BA7"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7631D250"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Visa Lietuva</w:t>
            </w:r>
          </w:p>
        </w:tc>
        <w:tc>
          <w:tcPr>
            <w:tcW w:w="566" w:type="pct"/>
          </w:tcPr>
          <w:p w14:paraId="705E2F6F" w14:textId="77777777" w:rsidR="006D61A5" w:rsidRPr="00B44B19" w:rsidRDefault="006D61A5" w:rsidP="00B14080">
            <w:pPr>
              <w:spacing w:after="0" w:line="240" w:lineRule="auto"/>
              <w:jc w:val="both"/>
              <w:rPr>
                <w:rFonts w:cs="Times New Roman"/>
                <w:sz w:val="16"/>
                <w:szCs w:val="16"/>
                <w:lang w:eastAsia="en-GB"/>
              </w:rPr>
            </w:pPr>
            <w:r w:rsidRPr="00B44B19">
              <w:rPr>
                <w:rFonts w:cs="Times New Roman"/>
                <w:sz w:val="16"/>
                <w:szCs w:val="16"/>
                <w:lang w:eastAsia="en-GB"/>
              </w:rPr>
              <w:t>Specialusis</w:t>
            </w:r>
          </w:p>
        </w:tc>
        <w:tc>
          <w:tcPr>
            <w:tcW w:w="1079" w:type="pct"/>
          </w:tcPr>
          <w:p w14:paraId="684EB693" w14:textId="77777777" w:rsidR="006D61A5" w:rsidRPr="00B44B19" w:rsidRDefault="006D61A5" w:rsidP="00114217">
            <w:pPr>
              <w:tabs>
                <w:tab w:val="left" w:pos="7560"/>
              </w:tabs>
              <w:spacing w:after="0" w:line="240" w:lineRule="auto"/>
              <w:jc w:val="both"/>
              <w:rPr>
                <w:rFonts w:cs="Times New Roman"/>
                <w:iCs/>
                <w:sz w:val="16"/>
                <w:szCs w:val="16"/>
              </w:rPr>
            </w:pPr>
            <w:r w:rsidRPr="00B44B19">
              <w:rPr>
                <w:rFonts w:cs="Times New Roman"/>
                <w:iCs/>
                <w:sz w:val="16"/>
                <w:szCs w:val="16"/>
              </w:rPr>
              <w:t>Šilumos energijos kaupimo sprendimai</w:t>
            </w:r>
          </w:p>
        </w:tc>
        <w:tc>
          <w:tcPr>
            <w:tcW w:w="503" w:type="pct"/>
          </w:tcPr>
          <w:p w14:paraId="2EBF0BFB" w14:textId="77777777" w:rsidR="006D61A5" w:rsidRPr="00B44B19" w:rsidRDefault="006D61A5" w:rsidP="00B14080">
            <w:pPr>
              <w:spacing w:after="0" w:line="240" w:lineRule="auto"/>
              <w:jc w:val="both"/>
              <w:rPr>
                <w:rFonts w:cs="Times New Roman"/>
                <w:iCs/>
                <w:sz w:val="16"/>
                <w:szCs w:val="16"/>
              </w:rPr>
            </w:pPr>
            <w:r w:rsidRPr="00B44B19">
              <w:rPr>
                <w:rFonts w:cs="Times New Roman"/>
                <w:iCs/>
                <w:sz w:val="16"/>
                <w:szCs w:val="16"/>
              </w:rPr>
              <w:t>MWh</w:t>
            </w:r>
          </w:p>
        </w:tc>
        <w:tc>
          <w:tcPr>
            <w:tcW w:w="436" w:type="pct"/>
          </w:tcPr>
          <w:p w14:paraId="723B6935"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0</w:t>
            </w:r>
          </w:p>
        </w:tc>
        <w:tc>
          <w:tcPr>
            <w:tcW w:w="481" w:type="pct"/>
          </w:tcPr>
          <w:p w14:paraId="6C400BF7"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107</w:t>
            </w:r>
          </w:p>
        </w:tc>
      </w:tr>
      <w:tr w:rsidR="006D61A5" w:rsidRPr="00B44B19" w14:paraId="3A9C0420" w14:textId="77777777" w:rsidTr="00D970FC">
        <w:trPr>
          <w:trHeight w:val="359"/>
        </w:trPr>
        <w:tc>
          <w:tcPr>
            <w:tcW w:w="497" w:type="pct"/>
            <w:vMerge/>
          </w:tcPr>
          <w:p w14:paraId="608686FD" w14:textId="77777777" w:rsidR="006D61A5" w:rsidRPr="00B44B19" w:rsidRDefault="006D61A5" w:rsidP="00B14080">
            <w:pPr>
              <w:spacing w:after="0" w:line="240" w:lineRule="auto"/>
              <w:jc w:val="both"/>
              <w:rPr>
                <w:rFonts w:cs="Times New Roman"/>
                <w:noProof/>
                <w:sz w:val="16"/>
                <w:szCs w:val="16"/>
              </w:rPr>
            </w:pPr>
          </w:p>
        </w:tc>
        <w:tc>
          <w:tcPr>
            <w:tcW w:w="503" w:type="pct"/>
            <w:vMerge/>
          </w:tcPr>
          <w:p w14:paraId="23F58156" w14:textId="77777777" w:rsidR="006D61A5" w:rsidRPr="00B44B19" w:rsidRDefault="006D61A5" w:rsidP="00B14080">
            <w:pPr>
              <w:spacing w:after="0" w:line="240" w:lineRule="auto"/>
              <w:jc w:val="both"/>
              <w:rPr>
                <w:rFonts w:cs="Times New Roman"/>
                <w:noProof/>
                <w:sz w:val="16"/>
                <w:szCs w:val="16"/>
              </w:rPr>
            </w:pPr>
          </w:p>
        </w:tc>
        <w:tc>
          <w:tcPr>
            <w:tcW w:w="432" w:type="pct"/>
          </w:tcPr>
          <w:p w14:paraId="1C6F8986"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ERPF</w:t>
            </w:r>
          </w:p>
        </w:tc>
        <w:tc>
          <w:tcPr>
            <w:tcW w:w="502" w:type="pct"/>
          </w:tcPr>
          <w:p w14:paraId="7DFBA5E1"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VVL regionas</w:t>
            </w:r>
          </w:p>
        </w:tc>
        <w:tc>
          <w:tcPr>
            <w:tcW w:w="566" w:type="pct"/>
          </w:tcPr>
          <w:p w14:paraId="3A179E87" w14:textId="77777777" w:rsidR="006D61A5" w:rsidRPr="00B44B19" w:rsidRDefault="006D61A5" w:rsidP="00B14080">
            <w:pPr>
              <w:spacing w:after="0" w:line="240" w:lineRule="auto"/>
              <w:jc w:val="both"/>
              <w:rPr>
                <w:rFonts w:cs="Times New Roman"/>
                <w:sz w:val="16"/>
                <w:szCs w:val="16"/>
                <w:lang w:eastAsia="en-GB"/>
              </w:rPr>
            </w:pPr>
            <w:r w:rsidRPr="00B44B19">
              <w:rPr>
                <w:rFonts w:cs="Times New Roman"/>
                <w:sz w:val="16"/>
                <w:szCs w:val="16"/>
                <w:lang w:eastAsia="en-GB"/>
              </w:rPr>
              <w:t>Specialusis</w:t>
            </w:r>
          </w:p>
        </w:tc>
        <w:tc>
          <w:tcPr>
            <w:tcW w:w="1079" w:type="pct"/>
          </w:tcPr>
          <w:p w14:paraId="37296933" w14:textId="77777777" w:rsidR="006D61A5" w:rsidRPr="00B44B19" w:rsidRDefault="006D61A5" w:rsidP="00114217">
            <w:pPr>
              <w:tabs>
                <w:tab w:val="left" w:pos="7560"/>
              </w:tabs>
              <w:spacing w:after="0" w:line="240" w:lineRule="auto"/>
              <w:jc w:val="both"/>
              <w:rPr>
                <w:rFonts w:cs="Times New Roman"/>
                <w:iCs/>
                <w:sz w:val="16"/>
                <w:szCs w:val="16"/>
              </w:rPr>
            </w:pPr>
            <w:r w:rsidRPr="00B44B19">
              <w:rPr>
                <w:rFonts w:cs="Times New Roman"/>
                <w:iCs/>
                <w:sz w:val="16"/>
                <w:szCs w:val="16"/>
              </w:rPr>
              <w:t>Šilumos energijos kaupimo sprendimai</w:t>
            </w:r>
          </w:p>
        </w:tc>
        <w:tc>
          <w:tcPr>
            <w:tcW w:w="503" w:type="pct"/>
          </w:tcPr>
          <w:p w14:paraId="4AB5A04B" w14:textId="77777777" w:rsidR="006D61A5" w:rsidRPr="00B44B19" w:rsidRDefault="006D61A5" w:rsidP="00B14080">
            <w:pPr>
              <w:spacing w:after="0" w:line="240" w:lineRule="auto"/>
              <w:jc w:val="both"/>
              <w:rPr>
                <w:rFonts w:cs="Times New Roman"/>
                <w:iCs/>
                <w:sz w:val="16"/>
                <w:szCs w:val="16"/>
              </w:rPr>
            </w:pPr>
            <w:r w:rsidRPr="00B44B19">
              <w:rPr>
                <w:rFonts w:cs="Times New Roman"/>
                <w:iCs/>
                <w:sz w:val="16"/>
                <w:szCs w:val="16"/>
              </w:rPr>
              <w:t>MWh</w:t>
            </w:r>
          </w:p>
        </w:tc>
        <w:tc>
          <w:tcPr>
            <w:tcW w:w="436" w:type="pct"/>
          </w:tcPr>
          <w:p w14:paraId="34D34420"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0</w:t>
            </w:r>
          </w:p>
        </w:tc>
        <w:tc>
          <w:tcPr>
            <w:tcW w:w="481" w:type="pct"/>
          </w:tcPr>
          <w:p w14:paraId="27E9422A" w14:textId="77777777" w:rsidR="006D61A5" w:rsidRPr="00B44B19" w:rsidRDefault="006D61A5" w:rsidP="00B14080">
            <w:pPr>
              <w:spacing w:after="0" w:line="240" w:lineRule="auto"/>
              <w:jc w:val="both"/>
              <w:rPr>
                <w:rFonts w:cs="Times New Roman"/>
                <w:noProof/>
                <w:sz w:val="16"/>
                <w:szCs w:val="16"/>
              </w:rPr>
            </w:pPr>
            <w:r w:rsidRPr="00B44B19">
              <w:rPr>
                <w:rFonts w:cs="Times New Roman"/>
                <w:noProof/>
                <w:sz w:val="16"/>
                <w:szCs w:val="16"/>
              </w:rPr>
              <w:t>532</w:t>
            </w:r>
          </w:p>
        </w:tc>
      </w:tr>
    </w:tbl>
    <w:p w14:paraId="0E570251" w14:textId="77777777" w:rsidR="0066383D" w:rsidRPr="00B44B19" w:rsidRDefault="0066383D" w:rsidP="0066383D">
      <w:pPr>
        <w:spacing w:after="0" w:line="240" w:lineRule="auto"/>
        <w:jc w:val="both"/>
        <w:rPr>
          <w:rFonts w:cs="Times New Roman"/>
          <w:b/>
          <w:szCs w:val="24"/>
        </w:rPr>
      </w:pPr>
    </w:p>
    <w:p w14:paraId="3B0083DD" w14:textId="77777777" w:rsidR="008112E1" w:rsidRPr="00B44B19" w:rsidRDefault="008112E1" w:rsidP="0066383D">
      <w:pPr>
        <w:spacing w:after="0" w:line="240" w:lineRule="auto"/>
        <w:jc w:val="both"/>
        <w:rPr>
          <w:rFonts w:cs="Times New Roman"/>
          <w:b/>
          <w:sz w:val="22"/>
        </w:rPr>
        <w:sectPr w:rsidR="008112E1" w:rsidRPr="00B44B19" w:rsidSect="00931C78">
          <w:pgSz w:w="11906" w:h="16838"/>
          <w:pgMar w:top="1276" w:right="567" w:bottom="1134" w:left="1701" w:header="567" w:footer="567" w:gutter="0"/>
          <w:cols w:space="1296"/>
          <w:docGrid w:linePitch="360"/>
        </w:sectPr>
      </w:pPr>
    </w:p>
    <w:p w14:paraId="1DCF9618" w14:textId="77777777" w:rsidR="0066383D" w:rsidRPr="00B44B19" w:rsidRDefault="0066383D" w:rsidP="0066383D">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975"/>
        <w:gridCol w:w="1255"/>
        <w:gridCol w:w="3068"/>
        <w:gridCol w:w="1534"/>
        <w:gridCol w:w="1255"/>
        <w:gridCol w:w="1115"/>
        <w:gridCol w:w="975"/>
        <w:gridCol w:w="1115"/>
        <w:gridCol w:w="820"/>
      </w:tblGrid>
      <w:tr w:rsidR="00A42AA9" w:rsidRPr="00B44B19" w14:paraId="7CCF7C09" w14:textId="77777777" w:rsidTr="00D970FC">
        <w:trPr>
          <w:trHeight w:val="540"/>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BDE445"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EB04D4"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252A15"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CC4537"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8823CD"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D23AA0"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Rodiklis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1FED15"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D71A1E"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11C26B"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5C74B0"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Siek</w:t>
            </w:r>
            <w:r w:rsidR="007F0B41" w:rsidRPr="00B44B19">
              <w:rPr>
                <w:rFonts w:cs="Times New Roman"/>
                <w:b/>
                <w:noProof/>
                <w:sz w:val="16"/>
                <w:szCs w:val="16"/>
              </w:rPr>
              <w:t>tina reikšmė</w:t>
            </w:r>
            <w:r w:rsidRPr="00B44B19">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F55A69"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9A12C9" w14:textId="77777777" w:rsidR="00A42AA9" w:rsidRPr="00B44B19" w:rsidRDefault="00A42AA9" w:rsidP="00B14080">
            <w:pPr>
              <w:spacing w:after="0" w:line="240" w:lineRule="auto"/>
              <w:jc w:val="center"/>
              <w:rPr>
                <w:rFonts w:cs="Times New Roman"/>
                <w:b/>
                <w:noProof/>
                <w:sz w:val="16"/>
                <w:szCs w:val="16"/>
              </w:rPr>
            </w:pPr>
            <w:r w:rsidRPr="00B44B19">
              <w:rPr>
                <w:rFonts w:cs="Times New Roman"/>
                <w:b/>
                <w:noProof/>
                <w:sz w:val="16"/>
                <w:szCs w:val="16"/>
              </w:rPr>
              <w:t>Pastabos</w:t>
            </w:r>
          </w:p>
        </w:tc>
      </w:tr>
      <w:tr w:rsidR="00A42AA9" w:rsidRPr="00B44B19" w14:paraId="50FFB867" w14:textId="77777777" w:rsidTr="00D970FC">
        <w:trPr>
          <w:trHeight w:val="616"/>
        </w:trPr>
        <w:tc>
          <w:tcPr>
            <w:tcW w:w="317" w:type="pct"/>
            <w:vMerge w:val="restart"/>
            <w:tcBorders>
              <w:top w:val="single" w:sz="12" w:space="0" w:color="auto"/>
            </w:tcBorders>
          </w:tcPr>
          <w:p w14:paraId="3ED66F5D"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2. Žalesnė Lietuva</w:t>
            </w:r>
          </w:p>
        </w:tc>
        <w:tc>
          <w:tcPr>
            <w:tcW w:w="328" w:type="pct"/>
            <w:vMerge w:val="restart"/>
            <w:tcBorders>
              <w:top w:val="single" w:sz="12" w:space="0" w:color="auto"/>
            </w:tcBorders>
          </w:tcPr>
          <w:p w14:paraId="437B13A2"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2.2</w:t>
            </w:r>
          </w:p>
        </w:tc>
        <w:tc>
          <w:tcPr>
            <w:tcW w:w="281" w:type="pct"/>
            <w:tcBorders>
              <w:top w:val="single" w:sz="12" w:space="0" w:color="auto"/>
            </w:tcBorders>
          </w:tcPr>
          <w:p w14:paraId="63AD0750"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SaF</w:t>
            </w:r>
          </w:p>
        </w:tc>
        <w:tc>
          <w:tcPr>
            <w:tcW w:w="328" w:type="pct"/>
            <w:tcBorders>
              <w:top w:val="single" w:sz="12" w:space="0" w:color="auto"/>
            </w:tcBorders>
          </w:tcPr>
          <w:p w14:paraId="7FFE839E"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Borders>
              <w:top w:val="single" w:sz="12" w:space="0" w:color="auto"/>
            </w:tcBorders>
          </w:tcPr>
          <w:p w14:paraId="620C3264" w14:textId="77777777" w:rsidR="00A42AA9" w:rsidRPr="00B44B19" w:rsidRDefault="00A42AA9" w:rsidP="00B14080">
            <w:pPr>
              <w:spacing w:after="0" w:line="240" w:lineRule="auto"/>
              <w:jc w:val="both"/>
              <w:rPr>
                <w:rFonts w:cs="Times New Roman"/>
                <w:sz w:val="16"/>
                <w:szCs w:val="16"/>
                <w:lang w:eastAsia="en-GB"/>
              </w:rPr>
            </w:pPr>
            <w:r w:rsidRPr="00B44B19">
              <w:rPr>
                <w:rFonts w:cs="Times New Roman"/>
                <w:sz w:val="16"/>
                <w:szCs w:val="16"/>
                <w:lang w:eastAsia="en-GB"/>
              </w:rPr>
              <w:t>RCR29</w:t>
            </w:r>
          </w:p>
        </w:tc>
        <w:tc>
          <w:tcPr>
            <w:tcW w:w="1032" w:type="pct"/>
            <w:tcBorders>
              <w:top w:val="single" w:sz="12" w:space="0" w:color="auto"/>
            </w:tcBorders>
          </w:tcPr>
          <w:p w14:paraId="08F6190C" w14:textId="77777777" w:rsidR="00A42AA9" w:rsidRPr="00B44B19" w:rsidRDefault="000332F5" w:rsidP="00B14080">
            <w:pPr>
              <w:tabs>
                <w:tab w:val="left" w:pos="7560"/>
              </w:tabs>
              <w:spacing w:after="0" w:line="240" w:lineRule="auto"/>
              <w:jc w:val="both"/>
              <w:rPr>
                <w:rFonts w:cs="Times New Roman"/>
                <w:iCs/>
                <w:sz w:val="16"/>
                <w:szCs w:val="16"/>
              </w:rPr>
            </w:pPr>
            <w:r w:rsidRPr="00B44B19">
              <w:rPr>
                <w:rFonts w:cs="Times New Roman"/>
                <w:iCs/>
                <w:sz w:val="16"/>
                <w:szCs w:val="16"/>
              </w:rPr>
              <w:t>Numatomas išmetamas šiltnamio efektą sukeliančių dujų kiekis</w:t>
            </w:r>
          </w:p>
        </w:tc>
        <w:tc>
          <w:tcPr>
            <w:tcW w:w="516" w:type="pct"/>
            <w:tcBorders>
              <w:top w:val="single" w:sz="12" w:space="0" w:color="auto"/>
            </w:tcBorders>
          </w:tcPr>
          <w:p w14:paraId="642B985B" w14:textId="77777777" w:rsidR="00A42AA9" w:rsidRPr="00B44B19" w:rsidRDefault="00A42AA9" w:rsidP="00B14080">
            <w:pPr>
              <w:spacing w:after="0" w:line="240" w:lineRule="auto"/>
              <w:rPr>
                <w:rFonts w:cs="Times New Roman"/>
                <w:noProof/>
                <w:sz w:val="16"/>
                <w:szCs w:val="16"/>
              </w:rPr>
            </w:pPr>
            <w:r w:rsidRPr="00B44B19">
              <w:rPr>
                <w:rFonts w:cs="Times New Roman"/>
                <w:noProof/>
                <w:sz w:val="16"/>
                <w:szCs w:val="16"/>
              </w:rPr>
              <w:t>Tonos CO</w:t>
            </w:r>
            <w:r w:rsidRPr="00B44B19">
              <w:rPr>
                <w:rFonts w:cs="Times New Roman"/>
                <w:noProof/>
                <w:sz w:val="16"/>
                <w:szCs w:val="16"/>
                <w:vertAlign w:val="subscript"/>
              </w:rPr>
              <w:t>2</w:t>
            </w:r>
            <w:r w:rsidRPr="00B44B19">
              <w:rPr>
                <w:rFonts w:cs="Times New Roman"/>
                <w:noProof/>
                <w:sz w:val="16"/>
                <w:szCs w:val="16"/>
              </w:rPr>
              <w:t xml:space="preserve"> ekvivalentu per metus</w:t>
            </w:r>
          </w:p>
        </w:tc>
        <w:tc>
          <w:tcPr>
            <w:tcW w:w="422" w:type="pct"/>
            <w:tcBorders>
              <w:top w:val="single" w:sz="12" w:space="0" w:color="auto"/>
            </w:tcBorders>
          </w:tcPr>
          <w:p w14:paraId="7780C155" w14:textId="3FB72080" w:rsidR="00A42AA9" w:rsidRPr="00B44B19" w:rsidRDefault="00333159" w:rsidP="00B14080">
            <w:pPr>
              <w:spacing w:after="0" w:line="240" w:lineRule="auto"/>
              <w:jc w:val="center"/>
              <w:rPr>
                <w:rFonts w:cs="Times New Roman"/>
                <w:noProof/>
                <w:sz w:val="16"/>
                <w:szCs w:val="16"/>
              </w:rPr>
            </w:pPr>
            <w:r w:rsidRPr="00B44B19">
              <w:rPr>
                <w:rFonts w:cs="Times New Roman"/>
                <w:noProof/>
                <w:sz w:val="16"/>
                <w:szCs w:val="16"/>
              </w:rPr>
              <w:t>161 924</w:t>
            </w:r>
          </w:p>
        </w:tc>
        <w:tc>
          <w:tcPr>
            <w:tcW w:w="375" w:type="pct"/>
            <w:tcBorders>
              <w:top w:val="single" w:sz="12" w:space="0" w:color="auto"/>
            </w:tcBorders>
          </w:tcPr>
          <w:p w14:paraId="2185D7C3" w14:textId="77777777" w:rsidR="00A42AA9" w:rsidRPr="00B44B19" w:rsidRDefault="00A42AA9" w:rsidP="00B14080">
            <w:pPr>
              <w:spacing w:after="0" w:line="240" w:lineRule="auto"/>
              <w:jc w:val="center"/>
              <w:rPr>
                <w:rFonts w:cs="Times New Roman"/>
                <w:noProof/>
                <w:sz w:val="16"/>
                <w:szCs w:val="16"/>
                <w:lang w:val="en-US"/>
              </w:rPr>
            </w:pPr>
            <w:r w:rsidRPr="00B44B19">
              <w:rPr>
                <w:rFonts w:cs="Times New Roman"/>
                <w:noProof/>
                <w:sz w:val="16"/>
                <w:szCs w:val="16"/>
              </w:rPr>
              <w:t>2021</w:t>
            </w:r>
          </w:p>
        </w:tc>
        <w:tc>
          <w:tcPr>
            <w:tcW w:w="328" w:type="pct"/>
            <w:tcBorders>
              <w:top w:val="single" w:sz="12" w:space="0" w:color="auto"/>
            </w:tcBorders>
          </w:tcPr>
          <w:p w14:paraId="26B30D50" w14:textId="521FC129" w:rsidR="00A42AA9" w:rsidRPr="00B44B19" w:rsidRDefault="00BE386A" w:rsidP="00B14080">
            <w:pPr>
              <w:spacing w:after="0" w:line="240" w:lineRule="auto"/>
              <w:jc w:val="center"/>
              <w:rPr>
                <w:rFonts w:cs="Times New Roman"/>
                <w:noProof/>
                <w:sz w:val="16"/>
                <w:szCs w:val="16"/>
              </w:rPr>
            </w:pPr>
            <w:r w:rsidRPr="00B44B19">
              <w:rPr>
                <w:rFonts w:cs="Times New Roman"/>
                <w:noProof/>
                <w:sz w:val="16"/>
                <w:szCs w:val="16"/>
              </w:rPr>
              <w:t>4 901</w:t>
            </w:r>
          </w:p>
        </w:tc>
        <w:tc>
          <w:tcPr>
            <w:tcW w:w="375" w:type="pct"/>
            <w:tcBorders>
              <w:top w:val="single" w:sz="12" w:space="0" w:color="auto"/>
            </w:tcBorders>
          </w:tcPr>
          <w:p w14:paraId="3E1275C1" w14:textId="77777777" w:rsidR="00A42AA9" w:rsidRPr="00B44B19" w:rsidRDefault="00A23D4D" w:rsidP="00AC27F6">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Borders>
              <w:top w:val="single" w:sz="12" w:space="0" w:color="auto"/>
            </w:tcBorders>
          </w:tcPr>
          <w:p w14:paraId="653C2FB9" w14:textId="77777777" w:rsidR="00A42AA9" w:rsidRPr="00B44B19" w:rsidRDefault="00A42AA9" w:rsidP="00B14080">
            <w:pPr>
              <w:spacing w:after="0" w:line="240" w:lineRule="auto"/>
              <w:jc w:val="both"/>
              <w:rPr>
                <w:rFonts w:cs="Times New Roman"/>
                <w:b/>
                <w:noProof/>
                <w:sz w:val="16"/>
                <w:szCs w:val="16"/>
              </w:rPr>
            </w:pPr>
          </w:p>
        </w:tc>
      </w:tr>
      <w:tr w:rsidR="00A42AA9" w:rsidRPr="00B44B19" w14:paraId="3111C003" w14:textId="77777777" w:rsidTr="00966138">
        <w:trPr>
          <w:trHeight w:val="498"/>
        </w:trPr>
        <w:tc>
          <w:tcPr>
            <w:tcW w:w="317" w:type="pct"/>
            <w:vMerge/>
          </w:tcPr>
          <w:p w14:paraId="7D522C58" w14:textId="77777777" w:rsidR="00A42AA9" w:rsidRPr="00B44B19" w:rsidRDefault="00A42AA9" w:rsidP="00B14080">
            <w:pPr>
              <w:spacing w:after="0" w:line="240" w:lineRule="auto"/>
              <w:jc w:val="both"/>
              <w:rPr>
                <w:rFonts w:cs="Times New Roman"/>
                <w:noProof/>
                <w:sz w:val="16"/>
                <w:szCs w:val="16"/>
              </w:rPr>
            </w:pPr>
          </w:p>
        </w:tc>
        <w:tc>
          <w:tcPr>
            <w:tcW w:w="328" w:type="pct"/>
            <w:vMerge/>
          </w:tcPr>
          <w:p w14:paraId="547C1F82" w14:textId="77777777" w:rsidR="00A42AA9" w:rsidRPr="00B44B19" w:rsidRDefault="00A42AA9" w:rsidP="00B14080">
            <w:pPr>
              <w:spacing w:after="0" w:line="240" w:lineRule="auto"/>
              <w:jc w:val="both"/>
              <w:rPr>
                <w:rFonts w:cs="Times New Roman"/>
                <w:noProof/>
                <w:sz w:val="16"/>
                <w:szCs w:val="16"/>
              </w:rPr>
            </w:pPr>
          </w:p>
        </w:tc>
        <w:tc>
          <w:tcPr>
            <w:tcW w:w="281" w:type="pct"/>
          </w:tcPr>
          <w:p w14:paraId="38D19BAA"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 xml:space="preserve">ERPF </w:t>
            </w:r>
          </w:p>
        </w:tc>
        <w:tc>
          <w:tcPr>
            <w:tcW w:w="328" w:type="pct"/>
          </w:tcPr>
          <w:p w14:paraId="5C4D8FA3"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268C59FA" w14:textId="77777777" w:rsidR="00A42AA9" w:rsidRPr="00B44B19" w:rsidRDefault="00A42AA9" w:rsidP="00B14080">
            <w:pPr>
              <w:spacing w:after="0" w:line="240" w:lineRule="auto"/>
              <w:jc w:val="both"/>
              <w:rPr>
                <w:rFonts w:cs="Times New Roman"/>
                <w:sz w:val="16"/>
                <w:szCs w:val="16"/>
                <w:lang w:eastAsia="en-GB"/>
              </w:rPr>
            </w:pPr>
            <w:r w:rsidRPr="00B44B19">
              <w:rPr>
                <w:rFonts w:cs="Times New Roman"/>
                <w:sz w:val="16"/>
                <w:szCs w:val="16"/>
                <w:lang w:eastAsia="en-GB"/>
              </w:rPr>
              <w:t>RCR29</w:t>
            </w:r>
          </w:p>
        </w:tc>
        <w:tc>
          <w:tcPr>
            <w:tcW w:w="1032" w:type="pct"/>
          </w:tcPr>
          <w:p w14:paraId="716485AA" w14:textId="77777777" w:rsidR="00A42AA9" w:rsidRPr="00B44B19" w:rsidRDefault="000332F5" w:rsidP="00B14080">
            <w:pPr>
              <w:tabs>
                <w:tab w:val="left" w:pos="7560"/>
              </w:tabs>
              <w:spacing w:after="0" w:line="240" w:lineRule="auto"/>
              <w:jc w:val="both"/>
              <w:rPr>
                <w:rFonts w:cs="Times New Roman"/>
                <w:iCs/>
                <w:sz w:val="16"/>
                <w:szCs w:val="16"/>
              </w:rPr>
            </w:pPr>
            <w:r w:rsidRPr="00B44B19">
              <w:rPr>
                <w:rFonts w:cs="Times New Roman"/>
                <w:iCs/>
                <w:sz w:val="16"/>
                <w:szCs w:val="16"/>
              </w:rPr>
              <w:t>Numatomas išmetamas šiltnamio efektą sukeliančių dujų kiekis</w:t>
            </w:r>
          </w:p>
        </w:tc>
        <w:tc>
          <w:tcPr>
            <w:tcW w:w="516" w:type="pct"/>
          </w:tcPr>
          <w:p w14:paraId="3868AD4A" w14:textId="77777777" w:rsidR="00A42AA9" w:rsidRPr="00B44B19" w:rsidRDefault="00A42AA9" w:rsidP="00B14080">
            <w:pPr>
              <w:spacing w:after="0" w:line="240" w:lineRule="auto"/>
              <w:rPr>
                <w:rFonts w:cs="Times New Roman"/>
                <w:noProof/>
                <w:sz w:val="16"/>
                <w:szCs w:val="16"/>
              </w:rPr>
            </w:pPr>
            <w:r w:rsidRPr="00B44B19">
              <w:rPr>
                <w:rFonts w:cs="Times New Roman"/>
                <w:noProof/>
                <w:sz w:val="16"/>
                <w:szCs w:val="16"/>
              </w:rPr>
              <w:t>Tonos CO</w:t>
            </w:r>
            <w:r w:rsidRPr="00B44B19">
              <w:rPr>
                <w:rFonts w:cs="Times New Roman"/>
                <w:noProof/>
                <w:sz w:val="16"/>
                <w:szCs w:val="16"/>
                <w:vertAlign w:val="subscript"/>
              </w:rPr>
              <w:t>2</w:t>
            </w:r>
            <w:r w:rsidRPr="00B44B19">
              <w:rPr>
                <w:rFonts w:cs="Times New Roman"/>
                <w:noProof/>
                <w:sz w:val="16"/>
                <w:szCs w:val="16"/>
              </w:rPr>
              <w:t xml:space="preserve"> ekvivalentu per metus</w:t>
            </w:r>
          </w:p>
        </w:tc>
        <w:tc>
          <w:tcPr>
            <w:tcW w:w="422" w:type="pct"/>
          </w:tcPr>
          <w:p w14:paraId="22CCC454" w14:textId="6F66A4F7" w:rsidR="00A42AA9" w:rsidRPr="00B44B19" w:rsidRDefault="00333159" w:rsidP="00B14080">
            <w:pPr>
              <w:spacing w:after="0" w:line="240" w:lineRule="auto"/>
              <w:jc w:val="center"/>
              <w:rPr>
                <w:rFonts w:cs="Times New Roman"/>
                <w:noProof/>
                <w:sz w:val="16"/>
                <w:szCs w:val="16"/>
              </w:rPr>
            </w:pPr>
            <w:r w:rsidRPr="00B44B19">
              <w:rPr>
                <w:rFonts w:cs="Times New Roman"/>
                <w:noProof/>
                <w:sz w:val="16"/>
                <w:szCs w:val="16"/>
              </w:rPr>
              <w:t>167 932</w:t>
            </w:r>
          </w:p>
        </w:tc>
        <w:tc>
          <w:tcPr>
            <w:tcW w:w="375" w:type="pct"/>
          </w:tcPr>
          <w:p w14:paraId="24949931" w14:textId="77777777" w:rsidR="00A42AA9" w:rsidRPr="00B44B19" w:rsidRDefault="00A42AA9" w:rsidP="00B14080">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73C5BBFF" w14:textId="3181A6B1" w:rsidR="00A42AA9" w:rsidRPr="00B44B19" w:rsidRDefault="00BE386A" w:rsidP="00B14080">
            <w:pPr>
              <w:spacing w:after="0" w:line="240" w:lineRule="auto"/>
              <w:jc w:val="center"/>
              <w:rPr>
                <w:rFonts w:cs="Times New Roman"/>
                <w:noProof/>
                <w:sz w:val="16"/>
                <w:szCs w:val="16"/>
              </w:rPr>
            </w:pPr>
            <w:r w:rsidRPr="00B44B19">
              <w:rPr>
                <w:rFonts w:cs="Times New Roman"/>
                <w:noProof/>
                <w:sz w:val="16"/>
                <w:szCs w:val="16"/>
              </w:rPr>
              <w:t>16 701</w:t>
            </w:r>
          </w:p>
        </w:tc>
        <w:tc>
          <w:tcPr>
            <w:tcW w:w="375" w:type="pct"/>
          </w:tcPr>
          <w:p w14:paraId="03CA259E" w14:textId="77777777" w:rsidR="00A42AA9" w:rsidRPr="00B44B19" w:rsidRDefault="00A23D4D" w:rsidP="00AC27F6">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Pr>
          <w:p w14:paraId="7D11DB29" w14:textId="77777777" w:rsidR="00A42AA9" w:rsidRPr="00B44B19" w:rsidRDefault="00A42AA9" w:rsidP="00B14080">
            <w:pPr>
              <w:spacing w:after="0" w:line="240" w:lineRule="auto"/>
              <w:jc w:val="both"/>
              <w:rPr>
                <w:rFonts w:cs="Times New Roman"/>
                <w:b/>
                <w:noProof/>
                <w:sz w:val="16"/>
                <w:szCs w:val="16"/>
              </w:rPr>
            </w:pPr>
          </w:p>
        </w:tc>
      </w:tr>
      <w:tr w:rsidR="00A42AA9" w:rsidRPr="00B44B19" w14:paraId="1301C3DD" w14:textId="77777777" w:rsidTr="00D970FC">
        <w:trPr>
          <w:trHeight w:val="507"/>
        </w:trPr>
        <w:tc>
          <w:tcPr>
            <w:tcW w:w="317" w:type="pct"/>
            <w:vMerge/>
          </w:tcPr>
          <w:p w14:paraId="11000058" w14:textId="77777777" w:rsidR="00A42AA9" w:rsidRPr="00B44B19" w:rsidRDefault="00A42AA9" w:rsidP="00B14080">
            <w:pPr>
              <w:spacing w:after="0" w:line="240" w:lineRule="auto"/>
              <w:jc w:val="both"/>
              <w:rPr>
                <w:rFonts w:cs="Times New Roman"/>
                <w:noProof/>
                <w:sz w:val="16"/>
                <w:szCs w:val="16"/>
              </w:rPr>
            </w:pPr>
          </w:p>
        </w:tc>
        <w:tc>
          <w:tcPr>
            <w:tcW w:w="328" w:type="pct"/>
            <w:vMerge/>
          </w:tcPr>
          <w:p w14:paraId="4819EDDC" w14:textId="77777777" w:rsidR="00A42AA9" w:rsidRPr="00B44B19" w:rsidRDefault="00A42AA9" w:rsidP="00B14080">
            <w:pPr>
              <w:spacing w:after="0" w:line="240" w:lineRule="auto"/>
              <w:jc w:val="both"/>
              <w:rPr>
                <w:rFonts w:cs="Times New Roman"/>
                <w:noProof/>
                <w:sz w:val="16"/>
                <w:szCs w:val="16"/>
              </w:rPr>
            </w:pPr>
          </w:p>
        </w:tc>
        <w:tc>
          <w:tcPr>
            <w:tcW w:w="281" w:type="pct"/>
          </w:tcPr>
          <w:p w14:paraId="25C6EC1D"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ERPF</w:t>
            </w:r>
          </w:p>
        </w:tc>
        <w:tc>
          <w:tcPr>
            <w:tcW w:w="328" w:type="pct"/>
          </w:tcPr>
          <w:p w14:paraId="5B5CCA2F" w14:textId="77777777" w:rsidR="00A42AA9" w:rsidRPr="00B44B19" w:rsidRDefault="00A42AA9" w:rsidP="00B14080">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11C54904" w14:textId="77777777" w:rsidR="00A42AA9" w:rsidRPr="00B44B19" w:rsidRDefault="00A42AA9" w:rsidP="00B14080">
            <w:pPr>
              <w:spacing w:after="0" w:line="240" w:lineRule="auto"/>
              <w:jc w:val="both"/>
              <w:rPr>
                <w:rFonts w:cs="Times New Roman"/>
                <w:sz w:val="16"/>
                <w:szCs w:val="16"/>
                <w:lang w:eastAsia="en-GB"/>
              </w:rPr>
            </w:pPr>
            <w:r w:rsidRPr="00B44B19">
              <w:rPr>
                <w:rFonts w:cs="Times New Roman"/>
                <w:sz w:val="16"/>
                <w:szCs w:val="16"/>
                <w:lang w:eastAsia="en-GB"/>
              </w:rPr>
              <w:t>RCR31</w:t>
            </w:r>
          </w:p>
        </w:tc>
        <w:tc>
          <w:tcPr>
            <w:tcW w:w="1032" w:type="pct"/>
          </w:tcPr>
          <w:p w14:paraId="588ECD0F" w14:textId="77777777" w:rsidR="00A42AA9" w:rsidRPr="00B44B19" w:rsidRDefault="000332F5" w:rsidP="00B14080">
            <w:pPr>
              <w:tabs>
                <w:tab w:val="left" w:pos="7560"/>
              </w:tabs>
              <w:spacing w:after="0" w:line="240" w:lineRule="auto"/>
              <w:jc w:val="both"/>
              <w:rPr>
                <w:rFonts w:cs="Times New Roman"/>
                <w:iCs/>
                <w:sz w:val="16"/>
                <w:szCs w:val="16"/>
              </w:rPr>
            </w:pPr>
            <w:r w:rsidRPr="00B44B19">
              <w:rPr>
                <w:rFonts w:cs="Times New Roman"/>
                <w:iCs/>
                <w:sz w:val="16"/>
                <w:szCs w:val="16"/>
              </w:rPr>
              <w:t>V</w:t>
            </w:r>
            <w:r w:rsidR="00DA49C9" w:rsidRPr="00B44B19">
              <w:rPr>
                <w:rFonts w:cs="Times New Roman"/>
                <w:iCs/>
                <w:sz w:val="16"/>
                <w:szCs w:val="16"/>
              </w:rPr>
              <w:t>i</w:t>
            </w:r>
            <w:r w:rsidRPr="00B44B19">
              <w:rPr>
                <w:rFonts w:cs="Times New Roman"/>
                <w:iCs/>
                <w:sz w:val="16"/>
                <w:szCs w:val="16"/>
              </w:rPr>
              <w:t>sas pagamintas atsinaujinančios energijos kiekis (iš kurio: elektros, šiluminės energijos kiekis</w:t>
            </w:r>
            <w:r w:rsidR="00215DD6" w:rsidRPr="00B44B19">
              <w:rPr>
                <w:rFonts w:cs="Times New Roman"/>
                <w:iCs/>
                <w:sz w:val="16"/>
                <w:szCs w:val="16"/>
              </w:rPr>
              <w:t>)</w:t>
            </w:r>
          </w:p>
        </w:tc>
        <w:tc>
          <w:tcPr>
            <w:tcW w:w="516" w:type="pct"/>
          </w:tcPr>
          <w:p w14:paraId="795D9189" w14:textId="77777777" w:rsidR="00A42AA9" w:rsidRPr="00B44B19" w:rsidRDefault="00A42AA9" w:rsidP="00B14080">
            <w:pPr>
              <w:spacing w:after="0" w:line="240" w:lineRule="auto"/>
              <w:rPr>
                <w:rFonts w:cs="Times New Roman"/>
                <w:noProof/>
                <w:sz w:val="16"/>
                <w:szCs w:val="16"/>
              </w:rPr>
            </w:pPr>
            <w:r w:rsidRPr="00B44B19">
              <w:rPr>
                <w:rFonts w:cs="Times New Roman"/>
                <w:noProof/>
                <w:sz w:val="16"/>
                <w:szCs w:val="16"/>
              </w:rPr>
              <w:t>MW</w:t>
            </w:r>
            <w:r w:rsidR="006D61A5" w:rsidRPr="00B44B19">
              <w:rPr>
                <w:rFonts w:cs="Times New Roman"/>
                <w:noProof/>
                <w:sz w:val="16"/>
                <w:szCs w:val="16"/>
              </w:rPr>
              <w:t>h</w:t>
            </w:r>
            <w:r w:rsidRPr="00B44B19">
              <w:rPr>
                <w:rFonts w:cs="Times New Roman"/>
                <w:noProof/>
                <w:sz w:val="16"/>
                <w:szCs w:val="16"/>
              </w:rPr>
              <w:t>/per metus</w:t>
            </w:r>
          </w:p>
        </w:tc>
        <w:tc>
          <w:tcPr>
            <w:tcW w:w="422" w:type="pct"/>
          </w:tcPr>
          <w:p w14:paraId="15A533DA" w14:textId="77777777" w:rsidR="00A42AA9" w:rsidRPr="00B44B19" w:rsidRDefault="00A42AA9" w:rsidP="00B14080">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7DC2E811" w14:textId="77777777" w:rsidR="00A42AA9" w:rsidRPr="00B44B19" w:rsidRDefault="00A42AA9" w:rsidP="00B14080">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394DC505" w14:textId="4FD38919" w:rsidR="00A42AA9" w:rsidRPr="00B44B19" w:rsidRDefault="00333159" w:rsidP="00B14080">
            <w:pPr>
              <w:spacing w:after="0" w:line="240" w:lineRule="auto"/>
              <w:jc w:val="center"/>
              <w:rPr>
                <w:rFonts w:cs="Times New Roman"/>
                <w:noProof/>
                <w:sz w:val="16"/>
                <w:szCs w:val="16"/>
              </w:rPr>
            </w:pPr>
            <w:r w:rsidRPr="00B44B19">
              <w:rPr>
                <w:rFonts w:cs="Times New Roman"/>
                <w:noProof/>
                <w:sz w:val="16"/>
                <w:szCs w:val="16"/>
              </w:rPr>
              <w:t>50 370</w:t>
            </w:r>
          </w:p>
        </w:tc>
        <w:tc>
          <w:tcPr>
            <w:tcW w:w="375" w:type="pct"/>
          </w:tcPr>
          <w:p w14:paraId="778C1992" w14:textId="77777777" w:rsidR="00A42AA9" w:rsidRPr="00B44B19" w:rsidRDefault="00A23D4D" w:rsidP="00B14080">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Pr>
          <w:p w14:paraId="54BDDE30" w14:textId="77777777" w:rsidR="00A42AA9" w:rsidRPr="00B44B19" w:rsidRDefault="00A42AA9" w:rsidP="00B14080">
            <w:pPr>
              <w:spacing w:after="0" w:line="240" w:lineRule="auto"/>
              <w:jc w:val="both"/>
              <w:rPr>
                <w:rFonts w:cs="Times New Roman"/>
                <w:b/>
                <w:noProof/>
                <w:sz w:val="16"/>
                <w:szCs w:val="16"/>
              </w:rPr>
            </w:pPr>
          </w:p>
        </w:tc>
      </w:tr>
    </w:tbl>
    <w:p w14:paraId="45C3A264" w14:textId="77777777" w:rsidR="0049648E" w:rsidRPr="00B44B19" w:rsidRDefault="0049648E" w:rsidP="0049648E">
      <w:pPr>
        <w:rPr>
          <w:rFonts w:eastAsia="Calibri" w:cs="Times New Roman"/>
          <w:szCs w:val="20"/>
          <w:lang w:eastAsia="lt-LT" w:bidi="lt-LT"/>
        </w:rPr>
      </w:pPr>
    </w:p>
    <w:p w14:paraId="7D39BD80" w14:textId="77777777" w:rsidR="008112E1" w:rsidRPr="00B44B19" w:rsidRDefault="008112E1" w:rsidP="0049648E">
      <w:pPr>
        <w:rPr>
          <w:rFonts w:eastAsia="Calibri" w:cs="Times New Roman"/>
          <w:szCs w:val="20"/>
          <w:lang w:eastAsia="lt-LT" w:bidi="lt-LT"/>
        </w:rPr>
        <w:sectPr w:rsidR="008112E1" w:rsidRPr="00B44B19" w:rsidSect="00931C78">
          <w:pgSz w:w="16838" w:h="11906" w:orient="landscape"/>
          <w:pgMar w:top="1701" w:right="1276" w:bottom="567" w:left="1134" w:header="567" w:footer="567" w:gutter="0"/>
          <w:cols w:space="1296"/>
          <w:docGrid w:linePitch="360"/>
        </w:sectPr>
      </w:pPr>
    </w:p>
    <w:p w14:paraId="2B27DC46" w14:textId="77777777" w:rsidR="0066383D" w:rsidRPr="00B44B19" w:rsidRDefault="0066383D" w:rsidP="00A21811">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22"/>
        <w:tblW w:w="9889" w:type="dxa"/>
        <w:tblLayout w:type="fixed"/>
        <w:tblLook w:val="04A0" w:firstRow="1" w:lastRow="0" w:firstColumn="1" w:lastColumn="0" w:noHBand="0" w:noVBand="1"/>
      </w:tblPr>
      <w:tblGrid>
        <w:gridCol w:w="1101"/>
        <w:gridCol w:w="850"/>
        <w:gridCol w:w="1418"/>
        <w:gridCol w:w="1134"/>
        <w:gridCol w:w="3685"/>
        <w:gridCol w:w="1701"/>
      </w:tblGrid>
      <w:tr w:rsidR="00C16649" w:rsidRPr="00B44B19" w14:paraId="5C700888"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33A3E2D" w14:textId="77777777" w:rsidR="00C16649" w:rsidRPr="00B44B19" w:rsidRDefault="00C16649" w:rsidP="00C16649">
            <w:pPr>
              <w:rPr>
                <w:b/>
                <w:iCs/>
                <w:noProof/>
                <w:sz w:val="20"/>
              </w:rPr>
            </w:pPr>
            <w:r w:rsidRPr="00B44B19">
              <w:rPr>
                <w:b/>
                <w:noProof/>
                <w:sz w:val="20"/>
              </w:rPr>
              <w:t>4 lentelė. 1 matmuo. Intervencinių priemonių sritis</w:t>
            </w:r>
          </w:p>
        </w:tc>
      </w:tr>
      <w:tr w:rsidR="00C16649" w:rsidRPr="00B44B19" w14:paraId="13C14092"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42E7C" w14:textId="77777777" w:rsidR="00C16649" w:rsidRPr="00B44B19" w:rsidRDefault="00C16649" w:rsidP="00C16649">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782629" w14:textId="77777777" w:rsidR="00C16649" w:rsidRPr="00B44B19" w:rsidRDefault="00C16649" w:rsidP="00C16649">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5CC7F1" w14:textId="77777777" w:rsidR="00C16649" w:rsidRPr="00B44B19" w:rsidRDefault="00C16649" w:rsidP="00C16649">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6F2240" w14:textId="77777777" w:rsidR="00C16649" w:rsidRPr="00B44B19" w:rsidRDefault="00C16649" w:rsidP="00C16649">
            <w:pPr>
              <w:jc w:val="center"/>
              <w:rPr>
                <w:b/>
                <w:iCs/>
                <w:noProof/>
                <w:sz w:val="20"/>
              </w:rPr>
            </w:pPr>
            <w:r w:rsidRPr="00B44B19">
              <w:rPr>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819F7B" w14:textId="77777777" w:rsidR="00C16649" w:rsidRPr="00B44B19" w:rsidRDefault="00C16649" w:rsidP="00C16649">
            <w:pPr>
              <w:jc w:val="center"/>
              <w:rPr>
                <w:b/>
                <w:iCs/>
                <w:noProof/>
                <w:sz w:val="20"/>
              </w:rPr>
            </w:pPr>
            <w:r w:rsidRPr="00B44B19">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D00E4B" w14:textId="77777777" w:rsidR="00C16649" w:rsidRPr="00B44B19" w:rsidRDefault="00C16649" w:rsidP="00C16649">
            <w:pPr>
              <w:jc w:val="center"/>
              <w:rPr>
                <w:b/>
                <w:iCs/>
                <w:noProof/>
                <w:sz w:val="20"/>
              </w:rPr>
            </w:pPr>
            <w:r w:rsidRPr="00B44B19">
              <w:rPr>
                <w:b/>
                <w:noProof/>
                <w:sz w:val="20"/>
              </w:rPr>
              <w:t>Suma (EUR)</w:t>
            </w:r>
          </w:p>
        </w:tc>
      </w:tr>
      <w:tr w:rsidR="00C16649" w:rsidRPr="00B44B19" w14:paraId="000ABCAE" w14:textId="77777777" w:rsidTr="003B113E">
        <w:tc>
          <w:tcPr>
            <w:tcW w:w="1101" w:type="dxa"/>
            <w:vMerge w:val="restart"/>
          </w:tcPr>
          <w:p w14:paraId="7F206BEA" w14:textId="68C32228" w:rsidR="00C16649" w:rsidRPr="00B44B19" w:rsidRDefault="000E04BB" w:rsidP="000E04BB">
            <w:pPr>
              <w:jc w:val="center"/>
              <w:rPr>
                <w:iCs/>
                <w:noProof/>
                <w:sz w:val="20"/>
              </w:rPr>
            </w:pPr>
            <w:r w:rsidRPr="00B44B19">
              <w:rPr>
                <w:iCs/>
                <w:noProof/>
                <w:sz w:val="20"/>
              </w:rPr>
              <w:t>2.</w:t>
            </w:r>
          </w:p>
        </w:tc>
        <w:tc>
          <w:tcPr>
            <w:tcW w:w="850" w:type="dxa"/>
          </w:tcPr>
          <w:p w14:paraId="19D8E50C" w14:textId="77777777" w:rsidR="00C16649" w:rsidRPr="00B44B19" w:rsidRDefault="00C16649" w:rsidP="00C16649">
            <w:pPr>
              <w:jc w:val="center"/>
              <w:rPr>
                <w:iCs/>
                <w:noProof/>
                <w:sz w:val="20"/>
              </w:rPr>
            </w:pPr>
            <w:r w:rsidRPr="00B44B19">
              <w:rPr>
                <w:iCs/>
                <w:noProof/>
                <w:sz w:val="20"/>
              </w:rPr>
              <w:t>SaF</w:t>
            </w:r>
          </w:p>
        </w:tc>
        <w:tc>
          <w:tcPr>
            <w:tcW w:w="1418" w:type="dxa"/>
          </w:tcPr>
          <w:p w14:paraId="30D7CCB6" w14:textId="77777777" w:rsidR="00C16649" w:rsidRPr="00B44B19" w:rsidRDefault="00C16649" w:rsidP="00C16649">
            <w:pPr>
              <w:rPr>
                <w:iCs/>
                <w:noProof/>
                <w:sz w:val="20"/>
              </w:rPr>
            </w:pPr>
            <w:r w:rsidRPr="00B44B19">
              <w:rPr>
                <w:iCs/>
                <w:noProof/>
                <w:sz w:val="20"/>
              </w:rPr>
              <w:t>Visa Lietuva</w:t>
            </w:r>
          </w:p>
        </w:tc>
        <w:tc>
          <w:tcPr>
            <w:tcW w:w="1134" w:type="dxa"/>
            <w:vMerge w:val="restart"/>
          </w:tcPr>
          <w:p w14:paraId="61D5234E" w14:textId="3F500A91" w:rsidR="00C16649" w:rsidRPr="00B44B19" w:rsidRDefault="000E04BB" w:rsidP="000E04BB">
            <w:pPr>
              <w:jc w:val="center"/>
              <w:rPr>
                <w:bCs/>
                <w:iCs/>
                <w:noProof/>
                <w:sz w:val="20"/>
              </w:rPr>
            </w:pPr>
            <w:r w:rsidRPr="00B44B19">
              <w:rPr>
                <w:bCs/>
                <w:iCs/>
                <w:noProof/>
                <w:sz w:val="20"/>
              </w:rPr>
              <w:t>2.2</w:t>
            </w:r>
          </w:p>
        </w:tc>
        <w:tc>
          <w:tcPr>
            <w:tcW w:w="3685" w:type="dxa"/>
            <w:vMerge w:val="restart"/>
          </w:tcPr>
          <w:p w14:paraId="48B84239" w14:textId="77777777" w:rsidR="00C16649" w:rsidRPr="00B44B19" w:rsidRDefault="00C16649" w:rsidP="00C16649">
            <w:pPr>
              <w:rPr>
                <w:iCs/>
                <w:noProof/>
                <w:sz w:val="20"/>
              </w:rPr>
            </w:pPr>
            <w:r w:rsidRPr="00B44B19">
              <w:rPr>
                <w:iCs/>
                <w:noProof/>
                <w:sz w:val="20"/>
              </w:rPr>
              <w:t xml:space="preserve">048 </w:t>
            </w:r>
            <w:r w:rsidR="0049648E" w:rsidRPr="00B44B19">
              <w:rPr>
                <w:iCs/>
                <w:noProof/>
                <w:sz w:val="20"/>
              </w:rPr>
              <w:t>–</w:t>
            </w:r>
            <w:r w:rsidRPr="00B44B19">
              <w:rPr>
                <w:iCs/>
                <w:noProof/>
                <w:sz w:val="20"/>
              </w:rPr>
              <w:t xml:space="preserve"> Atsinaujinančioji energija: saulė</w:t>
            </w:r>
          </w:p>
        </w:tc>
        <w:tc>
          <w:tcPr>
            <w:tcW w:w="1701" w:type="dxa"/>
          </w:tcPr>
          <w:p w14:paraId="5FD16B35" w14:textId="013F572F" w:rsidR="00C16649" w:rsidRPr="00B44B19" w:rsidRDefault="000E04BB" w:rsidP="000E04BB">
            <w:pPr>
              <w:jc w:val="right"/>
              <w:rPr>
                <w:iCs/>
                <w:noProof/>
                <w:sz w:val="20"/>
                <w:highlight w:val="yellow"/>
              </w:rPr>
            </w:pPr>
            <w:r w:rsidRPr="00B44B19">
              <w:rPr>
                <w:color w:val="000000"/>
                <w:sz w:val="20"/>
                <w:szCs w:val="20"/>
              </w:rPr>
              <w:t>76 205 075</w:t>
            </w:r>
            <w:r w:rsidR="00C16649" w:rsidRPr="00B44B19">
              <w:rPr>
                <w:iCs/>
                <w:noProof/>
                <w:sz w:val="20"/>
              </w:rPr>
              <w:t>,00</w:t>
            </w:r>
          </w:p>
        </w:tc>
      </w:tr>
      <w:tr w:rsidR="00C16649" w:rsidRPr="00B44B19" w14:paraId="7D748BAE" w14:textId="77777777" w:rsidTr="003B113E">
        <w:tc>
          <w:tcPr>
            <w:tcW w:w="1101" w:type="dxa"/>
            <w:vMerge/>
          </w:tcPr>
          <w:p w14:paraId="36F50C52" w14:textId="77777777" w:rsidR="00C16649" w:rsidRPr="00B44B19" w:rsidRDefault="00C16649" w:rsidP="00C16649">
            <w:pPr>
              <w:rPr>
                <w:iCs/>
                <w:noProof/>
                <w:sz w:val="20"/>
              </w:rPr>
            </w:pPr>
          </w:p>
        </w:tc>
        <w:tc>
          <w:tcPr>
            <w:tcW w:w="850" w:type="dxa"/>
          </w:tcPr>
          <w:p w14:paraId="71E6669A" w14:textId="77777777" w:rsidR="00C16649" w:rsidRPr="00B44B19" w:rsidRDefault="00C16649" w:rsidP="00C16649">
            <w:pPr>
              <w:jc w:val="center"/>
              <w:rPr>
                <w:iCs/>
                <w:noProof/>
                <w:sz w:val="20"/>
              </w:rPr>
            </w:pPr>
            <w:r w:rsidRPr="00B44B19">
              <w:rPr>
                <w:iCs/>
                <w:noProof/>
                <w:sz w:val="20"/>
              </w:rPr>
              <w:t>ERPF</w:t>
            </w:r>
          </w:p>
        </w:tc>
        <w:tc>
          <w:tcPr>
            <w:tcW w:w="1418" w:type="dxa"/>
          </w:tcPr>
          <w:p w14:paraId="2EFB0DFE" w14:textId="77777777" w:rsidR="00C16649" w:rsidRPr="00B44B19" w:rsidRDefault="00C16649" w:rsidP="00C16649">
            <w:pPr>
              <w:rPr>
                <w:iCs/>
                <w:noProof/>
                <w:sz w:val="20"/>
              </w:rPr>
            </w:pPr>
            <w:r w:rsidRPr="00B44B19">
              <w:rPr>
                <w:iCs/>
                <w:noProof/>
                <w:sz w:val="20"/>
              </w:rPr>
              <w:t>VVL regionas</w:t>
            </w:r>
          </w:p>
        </w:tc>
        <w:tc>
          <w:tcPr>
            <w:tcW w:w="1134" w:type="dxa"/>
            <w:vMerge/>
          </w:tcPr>
          <w:p w14:paraId="7054A06A" w14:textId="77777777" w:rsidR="00C16649" w:rsidRPr="00B44B19" w:rsidRDefault="00C16649" w:rsidP="00C16649">
            <w:pPr>
              <w:rPr>
                <w:b/>
                <w:iCs/>
                <w:noProof/>
                <w:sz w:val="20"/>
              </w:rPr>
            </w:pPr>
          </w:p>
        </w:tc>
        <w:tc>
          <w:tcPr>
            <w:tcW w:w="3685" w:type="dxa"/>
            <w:vMerge/>
          </w:tcPr>
          <w:p w14:paraId="799AE5DC" w14:textId="77777777" w:rsidR="00C16649" w:rsidRPr="00B44B19" w:rsidRDefault="00C16649" w:rsidP="00C16649">
            <w:pPr>
              <w:rPr>
                <w:iCs/>
                <w:noProof/>
                <w:sz w:val="20"/>
              </w:rPr>
            </w:pPr>
          </w:p>
        </w:tc>
        <w:tc>
          <w:tcPr>
            <w:tcW w:w="1701" w:type="dxa"/>
          </w:tcPr>
          <w:p w14:paraId="467123BB" w14:textId="2E7A4A93" w:rsidR="00C16649" w:rsidRPr="00B44B19" w:rsidRDefault="000E04BB" w:rsidP="000E04BB">
            <w:pPr>
              <w:jc w:val="right"/>
              <w:rPr>
                <w:iCs/>
                <w:noProof/>
                <w:sz w:val="20"/>
              </w:rPr>
            </w:pPr>
            <w:r w:rsidRPr="00B44B19">
              <w:rPr>
                <w:color w:val="000000"/>
                <w:sz w:val="20"/>
                <w:szCs w:val="20"/>
              </w:rPr>
              <w:t>52 699 615</w:t>
            </w:r>
            <w:r w:rsidR="00EE3496" w:rsidRPr="00B44B19">
              <w:rPr>
                <w:iCs/>
                <w:noProof/>
                <w:sz w:val="20"/>
              </w:rPr>
              <w:t>,00</w:t>
            </w:r>
          </w:p>
        </w:tc>
      </w:tr>
      <w:tr w:rsidR="00C16649" w:rsidRPr="00B44B19" w14:paraId="6A650A35" w14:textId="77777777" w:rsidTr="003B113E">
        <w:tc>
          <w:tcPr>
            <w:tcW w:w="1101" w:type="dxa"/>
            <w:vMerge/>
          </w:tcPr>
          <w:p w14:paraId="7B1F8EBD" w14:textId="77777777" w:rsidR="00C16649" w:rsidRPr="00B44B19" w:rsidRDefault="00C16649" w:rsidP="00C16649">
            <w:pPr>
              <w:rPr>
                <w:iCs/>
                <w:noProof/>
                <w:sz w:val="20"/>
              </w:rPr>
            </w:pPr>
          </w:p>
        </w:tc>
        <w:tc>
          <w:tcPr>
            <w:tcW w:w="850" w:type="dxa"/>
          </w:tcPr>
          <w:p w14:paraId="04B3E4AC" w14:textId="77777777" w:rsidR="00C16649" w:rsidRPr="00B44B19" w:rsidRDefault="00C16649" w:rsidP="00C16649">
            <w:pPr>
              <w:jc w:val="center"/>
              <w:rPr>
                <w:iCs/>
                <w:noProof/>
                <w:sz w:val="20"/>
              </w:rPr>
            </w:pPr>
            <w:r w:rsidRPr="00B44B19">
              <w:rPr>
                <w:iCs/>
                <w:noProof/>
                <w:sz w:val="20"/>
              </w:rPr>
              <w:t>SaF</w:t>
            </w:r>
          </w:p>
        </w:tc>
        <w:tc>
          <w:tcPr>
            <w:tcW w:w="1418" w:type="dxa"/>
          </w:tcPr>
          <w:p w14:paraId="04583F47" w14:textId="77777777" w:rsidR="00C16649" w:rsidRPr="00B44B19" w:rsidRDefault="00C16649" w:rsidP="00C16649">
            <w:pPr>
              <w:rPr>
                <w:iCs/>
                <w:noProof/>
                <w:sz w:val="20"/>
              </w:rPr>
            </w:pPr>
            <w:r w:rsidRPr="00B44B19">
              <w:rPr>
                <w:iCs/>
                <w:noProof/>
                <w:sz w:val="20"/>
              </w:rPr>
              <w:t>Visa Lietuva</w:t>
            </w:r>
          </w:p>
        </w:tc>
        <w:tc>
          <w:tcPr>
            <w:tcW w:w="1134" w:type="dxa"/>
            <w:vMerge/>
          </w:tcPr>
          <w:p w14:paraId="48804163" w14:textId="77777777" w:rsidR="00C16649" w:rsidRPr="00B44B19" w:rsidRDefault="00C16649" w:rsidP="00C16649">
            <w:pPr>
              <w:rPr>
                <w:b/>
                <w:iCs/>
                <w:noProof/>
                <w:sz w:val="20"/>
              </w:rPr>
            </w:pPr>
          </w:p>
        </w:tc>
        <w:tc>
          <w:tcPr>
            <w:tcW w:w="3685" w:type="dxa"/>
            <w:vMerge w:val="restart"/>
          </w:tcPr>
          <w:p w14:paraId="7B594E73" w14:textId="77777777" w:rsidR="00C16649" w:rsidRPr="00B44B19" w:rsidRDefault="00C16649" w:rsidP="00C16649">
            <w:pPr>
              <w:rPr>
                <w:iCs/>
                <w:noProof/>
                <w:sz w:val="20"/>
              </w:rPr>
            </w:pPr>
            <w:r w:rsidRPr="00B44B19">
              <w:rPr>
                <w:iCs/>
                <w:noProof/>
                <w:sz w:val="20"/>
              </w:rPr>
              <w:t xml:space="preserve">049 </w:t>
            </w:r>
            <w:r w:rsidR="0049648E" w:rsidRPr="00B44B19">
              <w:rPr>
                <w:iCs/>
                <w:noProof/>
                <w:sz w:val="20"/>
              </w:rPr>
              <w:t>–</w:t>
            </w:r>
            <w:r w:rsidRPr="00B44B19">
              <w:rPr>
                <w:iCs/>
                <w:noProof/>
                <w:sz w:val="20"/>
              </w:rPr>
              <w:t xml:space="preserve"> Atsinaujinančioji energija: biomasė</w:t>
            </w:r>
          </w:p>
        </w:tc>
        <w:tc>
          <w:tcPr>
            <w:tcW w:w="1701" w:type="dxa"/>
          </w:tcPr>
          <w:p w14:paraId="2C2389AA" w14:textId="77777777" w:rsidR="00C16649" w:rsidRPr="00B44B19" w:rsidRDefault="00C16649" w:rsidP="00C16649">
            <w:pPr>
              <w:jc w:val="right"/>
              <w:rPr>
                <w:iCs/>
                <w:noProof/>
                <w:sz w:val="20"/>
              </w:rPr>
            </w:pPr>
            <w:r w:rsidRPr="00B44B19">
              <w:rPr>
                <w:iCs/>
                <w:noProof/>
                <w:sz w:val="20"/>
              </w:rPr>
              <w:t>3 720 000,00</w:t>
            </w:r>
          </w:p>
        </w:tc>
      </w:tr>
      <w:tr w:rsidR="00C16649" w:rsidRPr="00B44B19" w14:paraId="4890B7B8" w14:textId="77777777" w:rsidTr="003B113E">
        <w:tc>
          <w:tcPr>
            <w:tcW w:w="1101" w:type="dxa"/>
            <w:vMerge/>
          </w:tcPr>
          <w:p w14:paraId="41459016" w14:textId="77777777" w:rsidR="00C16649" w:rsidRPr="00B44B19" w:rsidRDefault="00C16649" w:rsidP="00C16649">
            <w:pPr>
              <w:rPr>
                <w:iCs/>
                <w:noProof/>
                <w:sz w:val="20"/>
              </w:rPr>
            </w:pPr>
          </w:p>
        </w:tc>
        <w:tc>
          <w:tcPr>
            <w:tcW w:w="850" w:type="dxa"/>
          </w:tcPr>
          <w:p w14:paraId="24B566FF" w14:textId="77777777" w:rsidR="00C16649" w:rsidRPr="00B44B19" w:rsidRDefault="00C16649" w:rsidP="00C16649">
            <w:pPr>
              <w:jc w:val="center"/>
              <w:rPr>
                <w:iCs/>
                <w:noProof/>
                <w:sz w:val="20"/>
              </w:rPr>
            </w:pPr>
            <w:r w:rsidRPr="00B44B19">
              <w:rPr>
                <w:iCs/>
                <w:noProof/>
                <w:sz w:val="20"/>
              </w:rPr>
              <w:t>ERPF</w:t>
            </w:r>
          </w:p>
        </w:tc>
        <w:tc>
          <w:tcPr>
            <w:tcW w:w="1418" w:type="dxa"/>
          </w:tcPr>
          <w:p w14:paraId="5E3D17A8" w14:textId="77777777" w:rsidR="00C16649" w:rsidRPr="00B44B19" w:rsidRDefault="00C16649" w:rsidP="00C16649">
            <w:pPr>
              <w:rPr>
                <w:iCs/>
                <w:noProof/>
                <w:sz w:val="20"/>
              </w:rPr>
            </w:pPr>
            <w:r w:rsidRPr="00B44B19">
              <w:rPr>
                <w:iCs/>
                <w:noProof/>
                <w:sz w:val="20"/>
              </w:rPr>
              <w:t>VVL regionas</w:t>
            </w:r>
          </w:p>
        </w:tc>
        <w:tc>
          <w:tcPr>
            <w:tcW w:w="1134" w:type="dxa"/>
            <w:vMerge/>
          </w:tcPr>
          <w:p w14:paraId="68C16BC2" w14:textId="77777777" w:rsidR="00C16649" w:rsidRPr="00B44B19" w:rsidRDefault="00C16649" w:rsidP="00C16649">
            <w:pPr>
              <w:rPr>
                <w:b/>
                <w:iCs/>
                <w:noProof/>
                <w:sz w:val="20"/>
              </w:rPr>
            </w:pPr>
          </w:p>
        </w:tc>
        <w:tc>
          <w:tcPr>
            <w:tcW w:w="3685" w:type="dxa"/>
            <w:vMerge/>
          </w:tcPr>
          <w:p w14:paraId="5F4FE89C" w14:textId="77777777" w:rsidR="00C16649" w:rsidRPr="00B44B19" w:rsidRDefault="00C16649" w:rsidP="00C16649">
            <w:pPr>
              <w:rPr>
                <w:iCs/>
                <w:noProof/>
                <w:sz w:val="20"/>
              </w:rPr>
            </w:pPr>
          </w:p>
        </w:tc>
        <w:tc>
          <w:tcPr>
            <w:tcW w:w="1701" w:type="dxa"/>
          </w:tcPr>
          <w:p w14:paraId="179BA189" w14:textId="77777777" w:rsidR="00C16649" w:rsidRPr="00B44B19" w:rsidRDefault="00C16649" w:rsidP="00C16649">
            <w:pPr>
              <w:jc w:val="right"/>
              <w:rPr>
                <w:iCs/>
                <w:strike/>
                <w:noProof/>
                <w:sz w:val="20"/>
              </w:rPr>
            </w:pPr>
            <w:r w:rsidRPr="00B44B19">
              <w:rPr>
                <w:iCs/>
                <w:noProof/>
                <w:sz w:val="20"/>
              </w:rPr>
              <w:t>3 720 000,00</w:t>
            </w:r>
          </w:p>
        </w:tc>
      </w:tr>
      <w:tr w:rsidR="00C16649" w:rsidRPr="00B44B19" w14:paraId="2D018FCC" w14:textId="77777777" w:rsidTr="003B113E">
        <w:tc>
          <w:tcPr>
            <w:tcW w:w="1101" w:type="dxa"/>
            <w:vMerge/>
          </w:tcPr>
          <w:p w14:paraId="72E4FB76" w14:textId="77777777" w:rsidR="00C16649" w:rsidRPr="00B44B19" w:rsidRDefault="00C16649" w:rsidP="00C16649">
            <w:pPr>
              <w:rPr>
                <w:iCs/>
                <w:noProof/>
                <w:sz w:val="20"/>
              </w:rPr>
            </w:pPr>
          </w:p>
        </w:tc>
        <w:tc>
          <w:tcPr>
            <w:tcW w:w="850" w:type="dxa"/>
          </w:tcPr>
          <w:p w14:paraId="558FD41A" w14:textId="77777777" w:rsidR="00C16649" w:rsidRPr="00B44B19" w:rsidRDefault="00C16649" w:rsidP="00C16649">
            <w:pPr>
              <w:jc w:val="center"/>
              <w:rPr>
                <w:iCs/>
                <w:noProof/>
                <w:sz w:val="20"/>
              </w:rPr>
            </w:pPr>
            <w:r w:rsidRPr="00B44B19">
              <w:rPr>
                <w:iCs/>
                <w:noProof/>
                <w:sz w:val="20"/>
              </w:rPr>
              <w:t>SaF</w:t>
            </w:r>
          </w:p>
        </w:tc>
        <w:tc>
          <w:tcPr>
            <w:tcW w:w="1418" w:type="dxa"/>
          </w:tcPr>
          <w:p w14:paraId="09C8DB91" w14:textId="77777777" w:rsidR="00C16649" w:rsidRPr="00B44B19" w:rsidRDefault="00C16649" w:rsidP="00C16649">
            <w:pPr>
              <w:rPr>
                <w:iCs/>
                <w:noProof/>
                <w:sz w:val="20"/>
              </w:rPr>
            </w:pPr>
            <w:r w:rsidRPr="00B44B19">
              <w:rPr>
                <w:iCs/>
                <w:noProof/>
                <w:sz w:val="20"/>
              </w:rPr>
              <w:t>Visa Lietuva</w:t>
            </w:r>
          </w:p>
        </w:tc>
        <w:tc>
          <w:tcPr>
            <w:tcW w:w="1134" w:type="dxa"/>
            <w:vMerge/>
          </w:tcPr>
          <w:p w14:paraId="799BEF49" w14:textId="77777777" w:rsidR="00C16649" w:rsidRPr="00B44B19" w:rsidRDefault="00C16649" w:rsidP="00C16649">
            <w:pPr>
              <w:rPr>
                <w:b/>
                <w:iCs/>
                <w:noProof/>
                <w:sz w:val="20"/>
              </w:rPr>
            </w:pPr>
          </w:p>
        </w:tc>
        <w:tc>
          <w:tcPr>
            <w:tcW w:w="3685" w:type="dxa"/>
            <w:vMerge w:val="restart"/>
          </w:tcPr>
          <w:p w14:paraId="6E37CAC3" w14:textId="77777777" w:rsidR="00C16649" w:rsidRPr="00B44B19" w:rsidRDefault="00C16649" w:rsidP="00C16649">
            <w:pPr>
              <w:rPr>
                <w:iCs/>
                <w:noProof/>
                <w:sz w:val="20"/>
              </w:rPr>
            </w:pPr>
            <w:r w:rsidRPr="00B44B19">
              <w:rPr>
                <w:iCs/>
                <w:noProof/>
                <w:sz w:val="20"/>
              </w:rPr>
              <w:t xml:space="preserve">050 </w:t>
            </w:r>
            <w:r w:rsidR="0049648E" w:rsidRPr="00B44B19">
              <w:rPr>
                <w:iCs/>
                <w:noProof/>
                <w:sz w:val="20"/>
              </w:rPr>
              <w:t>–</w:t>
            </w:r>
            <w:r w:rsidRPr="00B44B19">
              <w:rPr>
                <w:iCs/>
                <w:noProof/>
                <w:sz w:val="20"/>
              </w:rPr>
              <w:t xml:space="preserve"> Atsinaujinančioji energija: biomasė, kurią naudojant itin sumažinamas išmetamas šiltnamio efektą sukeliančių dujų kiekis</w:t>
            </w:r>
          </w:p>
        </w:tc>
        <w:tc>
          <w:tcPr>
            <w:tcW w:w="1701" w:type="dxa"/>
          </w:tcPr>
          <w:p w14:paraId="6D6A95CB" w14:textId="77777777" w:rsidR="00C16649" w:rsidRPr="00B44B19" w:rsidDel="00C362FE" w:rsidRDefault="00C16649" w:rsidP="00C16649">
            <w:pPr>
              <w:jc w:val="right"/>
              <w:rPr>
                <w:iCs/>
                <w:noProof/>
                <w:sz w:val="20"/>
              </w:rPr>
            </w:pPr>
            <w:r w:rsidRPr="00B44B19">
              <w:rPr>
                <w:iCs/>
                <w:noProof/>
                <w:sz w:val="20"/>
              </w:rPr>
              <w:t>6 000 000,00</w:t>
            </w:r>
          </w:p>
        </w:tc>
      </w:tr>
      <w:tr w:rsidR="00C16649" w:rsidRPr="00B44B19" w14:paraId="09782593" w14:textId="77777777" w:rsidTr="003B113E">
        <w:tc>
          <w:tcPr>
            <w:tcW w:w="1101" w:type="dxa"/>
            <w:vMerge/>
          </w:tcPr>
          <w:p w14:paraId="2FF6531C" w14:textId="77777777" w:rsidR="00C16649" w:rsidRPr="00B44B19" w:rsidRDefault="00C16649" w:rsidP="00C16649">
            <w:pPr>
              <w:rPr>
                <w:iCs/>
                <w:noProof/>
                <w:sz w:val="20"/>
              </w:rPr>
            </w:pPr>
          </w:p>
        </w:tc>
        <w:tc>
          <w:tcPr>
            <w:tcW w:w="850" w:type="dxa"/>
          </w:tcPr>
          <w:p w14:paraId="17DF3663" w14:textId="77777777" w:rsidR="00C16649" w:rsidRPr="00B44B19" w:rsidRDefault="00C16649" w:rsidP="00C16649">
            <w:pPr>
              <w:jc w:val="center"/>
              <w:rPr>
                <w:iCs/>
                <w:noProof/>
                <w:sz w:val="20"/>
              </w:rPr>
            </w:pPr>
            <w:r w:rsidRPr="00B44B19">
              <w:rPr>
                <w:iCs/>
                <w:noProof/>
                <w:sz w:val="20"/>
              </w:rPr>
              <w:t>ERPF</w:t>
            </w:r>
          </w:p>
        </w:tc>
        <w:tc>
          <w:tcPr>
            <w:tcW w:w="1418" w:type="dxa"/>
          </w:tcPr>
          <w:p w14:paraId="693625F1" w14:textId="77777777" w:rsidR="00C16649" w:rsidRPr="00B44B19" w:rsidRDefault="00C16649" w:rsidP="00C16649">
            <w:pPr>
              <w:rPr>
                <w:iCs/>
                <w:noProof/>
                <w:sz w:val="20"/>
              </w:rPr>
            </w:pPr>
            <w:r w:rsidRPr="00B44B19">
              <w:rPr>
                <w:iCs/>
                <w:noProof/>
                <w:sz w:val="20"/>
              </w:rPr>
              <w:t>VVL regionas</w:t>
            </w:r>
          </w:p>
        </w:tc>
        <w:tc>
          <w:tcPr>
            <w:tcW w:w="1134" w:type="dxa"/>
            <w:vMerge/>
          </w:tcPr>
          <w:p w14:paraId="5D5A6E4F" w14:textId="77777777" w:rsidR="00C16649" w:rsidRPr="00B44B19" w:rsidRDefault="00C16649" w:rsidP="00C16649">
            <w:pPr>
              <w:rPr>
                <w:b/>
                <w:iCs/>
                <w:noProof/>
                <w:sz w:val="20"/>
              </w:rPr>
            </w:pPr>
          </w:p>
        </w:tc>
        <w:tc>
          <w:tcPr>
            <w:tcW w:w="3685" w:type="dxa"/>
            <w:vMerge/>
          </w:tcPr>
          <w:p w14:paraId="7146ABC8" w14:textId="77777777" w:rsidR="00C16649" w:rsidRPr="00B44B19" w:rsidRDefault="00C16649" w:rsidP="00C16649">
            <w:pPr>
              <w:rPr>
                <w:iCs/>
                <w:noProof/>
                <w:sz w:val="20"/>
              </w:rPr>
            </w:pPr>
          </w:p>
        </w:tc>
        <w:tc>
          <w:tcPr>
            <w:tcW w:w="1701" w:type="dxa"/>
          </w:tcPr>
          <w:p w14:paraId="3F3904C1" w14:textId="77777777" w:rsidR="00C16649" w:rsidRPr="00B44B19" w:rsidRDefault="00C16649" w:rsidP="00C16649">
            <w:pPr>
              <w:jc w:val="right"/>
              <w:rPr>
                <w:iCs/>
                <w:noProof/>
                <w:sz w:val="20"/>
              </w:rPr>
            </w:pPr>
            <w:r w:rsidRPr="00B44B19">
              <w:rPr>
                <w:iCs/>
                <w:noProof/>
                <w:sz w:val="20"/>
              </w:rPr>
              <w:t>31 500 000,00</w:t>
            </w:r>
          </w:p>
        </w:tc>
      </w:tr>
      <w:tr w:rsidR="00C16649" w:rsidRPr="00B44B19" w14:paraId="08077F57" w14:textId="77777777" w:rsidTr="003B113E">
        <w:tc>
          <w:tcPr>
            <w:tcW w:w="1101" w:type="dxa"/>
            <w:vMerge/>
          </w:tcPr>
          <w:p w14:paraId="61463A7D" w14:textId="77777777" w:rsidR="00C16649" w:rsidRPr="00B44B19" w:rsidRDefault="00C16649" w:rsidP="00C16649">
            <w:pPr>
              <w:rPr>
                <w:iCs/>
                <w:noProof/>
                <w:sz w:val="20"/>
              </w:rPr>
            </w:pPr>
          </w:p>
        </w:tc>
        <w:tc>
          <w:tcPr>
            <w:tcW w:w="850" w:type="dxa"/>
          </w:tcPr>
          <w:p w14:paraId="5E3EAF31" w14:textId="77777777" w:rsidR="00C16649" w:rsidRPr="00B44B19" w:rsidRDefault="00C16649" w:rsidP="00C16649">
            <w:pPr>
              <w:jc w:val="center"/>
              <w:rPr>
                <w:iCs/>
                <w:noProof/>
                <w:sz w:val="20"/>
              </w:rPr>
            </w:pPr>
            <w:r w:rsidRPr="00B44B19">
              <w:rPr>
                <w:iCs/>
                <w:noProof/>
                <w:sz w:val="20"/>
              </w:rPr>
              <w:t>SaF</w:t>
            </w:r>
          </w:p>
        </w:tc>
        <w:tc>
          <w:tcPr>
            <w:tcW w:w="1418" w:type="dxa"/>
          </w:tcPr>
          <w:p w14:paraId="25D3C637" w14:textId="77777777" w:rsidR="00C16649" w:rsidRPr="00B44B19" w:rsidRDefault="00C16649" w:rsidP="00C16649">
            <w:pPr>
              <w:rPr>
                <w:iCs/>
                <w:noProof/>
                <w:sz w:val="20"/>
              </w:rPr>
            </w:pPr>
            <w:r w:rsidRPr="00B44B19">
              <w:rPr>
                <w:iCs/>
                <w:noProof/>
                <w:sz w:val="20"/>
              </w:rPr>
              <w:t>Visa Lietuva</w:t>
            </w:r>
          </w:p>
        </w:tc>
        <w:tc>
          <w:tcPr>
            <w:tcW w:w="1134" w:type="dxa"/>
            <w:vMerge/>
          </w:tcPr>
          <w:p w14:paraId="4867F689" w14:textId="77777777" w:rsidR="00C16649" w:rsidRPr="00B44B19" w:rsidRDefault="00C16649" w:rsidP="00C16649">
            <w:pPr>
              <w:rPr>
                <w:b/>
                <w:iCs/>
                <w:noProof/>
                <w:sz w:val="20"/>
              </w:rPr>
            </w:pPr>
          </w:p>
        </w:tc>
        <w:tc>
          <w:tcPr>
            <w:tcW w:w="3685" w:type="dxa"/>
            <w:vMerge w:val="restart"/>
          </w:tcPr>
          <w:p w14:paraId="5769B558" w14:textId="77777777" w:rsidR="00C16649" w:rsidRPr="00B44B19" w:rsidRDefault="00C16649" w:rsidP="00C16649">
            <w:pPr>
              <w:rPr>
                <w:iCs/>
                <w:noProof/>
                <w:sz w:val="20"/>
              </w:rPr>
            </w:pPr>
            <w:r w:rsidRPr="00B44B19">
              <w:rPr>
                <w:iCs/>
                <w:noProof/>
                <w:sz w:val="20"/>
              </w:rPr>
              <w:t xml:space="preserve">052 </w:t>
            </w:r>
            <w:r w:rsidR="0049648E" w:rsidRPr="00B44B19">
              <w:rPr>
                <w:iCs/>
                <w:noProof/>
                <w:sz w:val="20"/>
              </w:rPr>
              <w:t>–</w:t>
            </w:r>
            <w:r w:rsidRPr="00B44B19">
              <w:rPr>
                <w:iCs/>
                <w:noProof/>
                <w:sz w:val="20"/>
              </w:rPr>
              <w:t xml:space="preserve"> Kita atsinaujinančioji energija (įskaitant geoterminę energiją)</w:t>
            </w:r>
          </w:p>
        </w:tc>
        <w:tc>
          <w:tcPr>
            <w:tcW w:w="1701" w:type="dxa"/>
          </w:tcPr>
          <w:p w14:paraId="0D5EC711" w14:textId="77777777" w:rsidR="00C16649" w:rsidRPr="00B44B19" w:rsidRDefault="00C16649" w:rsidP="00C16649">
            <w:pPr>
              <w:jc w:val="right"/>
              <w:rPr>
                <w:iCs/>
                <w:noProof/>
                <w:sz w:val="20"/>
              </w:rPr>
            </w:pPr>
            <w:r w:rsidRPr="00B44B19">
              <w:rPr>
                <w:iCs/>
                <w:noProof/>
                <w:sz w:val="20"/>
              </w:rPr>
              <w:t>24 255 000,00</w:t>
            </w:r>
          </w:p>
        </w:tc>
      </w:tr>
      <w:tr w:rsidR="00C16649" w:rsidRPr="00B44B19" w14:paraId="229916B8" w14:textId="77777777" w:rsidTr="003B113E">
        <w:tc>
          <w:tcPr>
            <w:tcW w:w="1101" w:type="dxa"/>
            <w:vMerge/>
          </w:tcPr>
          <w:p w14:paraId="22ACEDDF" w14:textId="77777777" w:rsidR="00C16649" w:rsidRPr="00B44B19" w:rsidRDefault="00C16649" w:rsidP="00C16649">
            <w:pPr>
              <w:rPr>
                <w:iCs/>
                <w:noProof/>
                <w:sz w:val="20"/>
              </w:rPr>
            </w:pPr>
          </w:p>
        </w:tc>
        <w:tc>
          <w:tcPr>
            <w:tcW w:w="850" w:type="dxa"/>
          </w:tcPr>
          <w:p w14:paraId="5F2E3F81" w14:textId="77777777" w:rsidR="00C16649" w:rsidRPr="00B44B19" w:rsidRDefault="00C16649" w:rsidP="00C16649">
            <w:pPr>
              <w:jc w:val="center"/>
              <w:rPr>
                <w:iCs/>
                <w:noProof/>
                <w:sz w:val="20"/>
              </w:rPr>
            </w:pPr>
            <w:r w:rsidRPr="00B44B19">
              <w:rPr>
                <w:iCs/>
                <w:noProof/>
                <w:sz w:val="20"/>
              </w:rPr>
              <w:t>ERPF</w:t>
            </w:r>
          </w:p>
        </w:tc>
        <w:tc>
          <w:tcPr>
            <w:tcW w:w="1418" w:type="dxa"/>
          </w:tcPr>
          <w:p w14:paraId="0C471A3F" w14:textId="77777777" w:rsidR="00C16649" w:rsidRPr="00B44B19" w:rsidRDefault="00C16649" w:rsidP="00C16649">
            <w:pPr>
              <w:rPr>
                <w:iCs/>
                <w:noProof/>
                <w:sz w:val="20"/>
              </w:rPr>
            </w:pPr>
            <w:r w:rsidRPr="00B44B19">
              <w:rPr>
                <w:iCs/>
                <w:noProof/>
                <w:sz w:val="20"/>
              </w:rPr>
              <w:t>VVL regionas</w:t>
            </w:r>
          </w:p>
        </w:tc>
        <w:tc>
          <w:tcPr>
            <w:tcW w:w="1134" w:type="dxa"/>
            <w:vMerge/>
          </w:tcPr>
          <w:p w14:paraId="1EC6A952" w14:textId="77777777" w:rsidR="00C16649" w:rsidRPr="00B44B19" w:rsidRDefault="00C16649" w:rsidP="00C16649">
            <w:pPr>
              <w:rPr>
                <w:b/>
                <w:iCs/>
                <w:noProof/>
                <w:sz w:val="20"/>
              </w:rPr>
            </w:pPr>
          </w:p>
        </w:tc>
        <w:tc>
          <w:tcPr>
            <w:tcW w:w="3685" w:type="dxa"/>
            <w:vMerge/>
          </w:tcPr>
          <w:p w14:paraId="465A7EBD" w14:textId="77777777" w:rsidR="00C16649" w:rsidRPr="00B44B19" w:rsidRDefault="00C16649" w:rsidP="00C16649">
            <w:pPr>
              <w:rPr>
                <w:iCs/>
                <w:noProof/>
                <w:sz w:val="20"/>
              </w:rPr>
            </w:pPr>
          </w:p>
        </w:tc>
        <w:tc>
          <w:tcPr>
            <w:tcW w:w="1701" w:type="dxa"/>
          </w:tcPr>
          <w:p w14:paraId="18BCEB3C" w14:textId="77777777" w:rsidR="00C16649" w:rsidRPr="00B44B19" w:rsidRDefault="00C16649" w:rsidP="00C16649">
            <w:pPr>
              <w:jc w:val="right"/>
              <w:rPr>
                <w:iCs/>
                <w:noProof/>
                <w:sz w:val="20"/>
              </w:rPr>
            </w:pPr>
            <w:r w:rsidRPr="00B44B19">
              <w:rPr>
                <w:iCs/>
                <w:noProof/>
                <w:sz w:val="20"/>
              </w:rPr>
              <w:t>24 255 000,00</w:t>
            </w:r>
          </w:p>
        </w:tc>
      </w:tr>
      <w:tr w:rsidR="00C16649" w:rsidRPr="00B44B19" w14:paraId="7CC8349B" w14:textId="77777777" w:rsidTr="003B113E">
        <w:tc>
          <w:tcPr>
            <w:tcW w:w="1101" w:type="dxa"/>
            <w:vMerge/>
          </w:tcPr>
          <w:p w14:paraId="660953FA" w14:textId="77777777" w:rsidR="00C16649" w:rsidRPr="00B44B19" w:rsidRDefault="00C16649" w:rsidP="00C16649">
            <w:pPr>
              <w:rPr>
                <w:iCs/>
                <w:noProof/>
                <w:sz w:val="20"/>
              </w:rPr>
            </w:pPr>
          </w:p>
        </w:tc>
        <w:tc>
          <w:tcPr>
            <w:tcW w:w="850" w:type="dxa"/>
          </w:tcPr>
          <w:p w14:paraId="0EE7946F" w14:textId="77777777" w:rsidR="00C16649" w:rsidRPr="00B44B19" w:rsidRDefault="00C16649" w:rsidP="00C16649">
            <w:pPr>
              <w:jc w:val="center"/>
              <w:rPr>
                <w:iCs/>
                <w:noProof/>
                <w:sz w:val="20"/>
              </w:rPr>
            </w:pPr>
            <w:r w:rsidRPr="00B44B19">
              <w:rPr>
                <w:iCs/>
                <w:noProof/>
                <w:sz w:val="20"/>
              </w:rPr>
              <w:t>SaF</w:t>
            </w:r>
          </w:p>
        </w:tc>
        <w:tc>
          <w:tcPr>
            <w:tcW w:w="1418" w:type="dxa"/>
          </w:tcPr>
          <w:p w14:paraId="65362E67" w14:textId="77777777" w:rsidR="00C16649" w:rsidRPr="00B44B19" w:rsidRDefault="00C16649" w:rsidP="00C16649">
            <w:pPr>
              <w:rPr>
                <w:iCs/>
                <w:noProof/>
                <w:sz w:val="20"/>
              </w:rPr>
            </w:pPr>
            <w:r w:rsidRPr="00B44B19">
              <w:rPr>
                <w:iCs/>
                <w:noProof/>
                <w:sz w:val="20"/>
              </w:rPr>
              <w:t>Visa Lietuva</w:t>
            </w:r>
          </w:p>
        </w:tc>
        <w:tc>
          <w:tcPr>
            <w:tcW w:w="1134" w:type="dxa"/>
            <w:vMerge/>
          </w:tcPr>
          <w:p w14:paraId="6A9F1B94" w14:textId="77777777" w:rsidR="00C16649" w:rsidRPr="00B44B19" w:rsidRDefault="00C16649" w:rsidP="00C16649">
            <w:pPr>
              <w:rPr>
                <w:b/>
                <w:iCs/>
                <w:noProof/>
                <w:sz w:val="20"/>
              </w:rPr>
            </w:pPr>
          </w:p>
        </w:tc>
        <w:tc>
          <w:tcPr>
            <w:tcW w:w="3685" w:type="dxa"/>
            <w:vMerge w:val="restart"/>
          </w:tcPr>
          <w:p w14:paraId="74F1E7C3" w14:textId="77777777" w:rsidR="00C16649" w:rsidRPr="00B44B19" w:rsidRDefault="00C16649" w:rsidP="00C16649">
            <w:pPr>
              <w:rPr>
                <w:iCs/>
                <w:noProof/>
                <w:sz w:val="20"/>
              </w:rPr>
            </w:pPr>
            <w:r w:rsidRPr="00B44B19">
              <w:rPr>
                <w:iCs/>
                <w:noProof/>
                <w:sz w:val="20"/>
              </w:rPr>
              <w:t xml:space="preserve">053 </w:t>
            </w:r>
            <w:r w:rsidR="0049648E" w:rsidRPr="00B44B19">
              <w:rPr>
                <w:iCs/>
                <w:noProof/>
                <w:sz w:val="20"/>
              </w:rPr>
              <w:t>–</w:t>
            </w:r>
            <w:r w:rsidRPr="00B44B19">
              <w:rPr>
                <w:iCs/>
                <w:noProof/>
                <w:sz w:val="20"/>
              </w:rPr>
              <w:t xml:space="preserve"> Pažangios energijos sistemos (įskaitant pažangiuosius tinklus ir IRT sistemas) ir susijęs kaupimas</w:t>
            </w:r>
          </w:p>
        </w:tc>
        <w:tc>
          <w:tcPr>
            <w:tcW w:w="1701" w:type="dxa"/>
          </w:tcPr>
          <w:p w14:paraId="7F550C5C" w14:textId="226F4D51" w:rsidR="00C16649" w:rsidRPr="00B44B19" w:rsidRDefault="000E04BB" w:rsidP="000E04BB">
            <w:pPr>
              <w:jc w:val="right"/>
              <w:rPr>
                <w:iCs/>
                <w:noProof/>
                <w:sz w:val="20"/>
              </w:rPr>
            </w:pPr>
            <w:r w:rsidRPr="00B44B19">
              <w:rPr>
                <w:color w:val="000000"/>
                <w:sz w:val="20"/>
                <w:szCs w:val="20"/>
              </w:rPr>
              <w:t>13 985 544</w:t>
            </w:r>
            <w:r w:rsidR="00D3697D" w:rsidRPr="00B44B19">
              <w:rPr>
                <w:iCs/>
                <w:noProof/>
                <w:sz w:val="20"/>
              </w:rPr>
              <w:t>,00</w:t>
            </w:r>
          </w:p>
        </w:tc>
      </w:tr>
      <w:tr w:rsidR="00C16649" w:rsidRPr="00B44B19" w14:paraId="384A5F9E" w14:textId="77777777" w:rsidTr="003B113E">
        <w:tc>
          <w:tcPr>
            <w:tcW w:w="1101" w:type="dxa"/>
            <w:vMerge/>
          </w:tcPr>
          <w:p w14:paraId="27972302" w14:textId="77777777" w:rsidR="00C16649" w:rsidRPr="00B44B19" w:rsidRDefault="00C16649" w:rsidP="00C16649">
            <w:pPr>
              <w:rPr>
                <w:iCs/>
                <w:noProof/>
                <w:sz w:val="20"/>
              </w:rPr>
            </w:pPr>
          </w:p>
        </w:tc>
        <w:tc>
          <w:tcPr>
            <w:tcW w:w="850" w:type="dxa"/>
          </w:tcPr>
          <w:p w14:paraId="6C26D193" w14:textId="77777777" w:rsidR="00C16649" w:rsidRPr="00B44B19" w:rsidRDefault="00C16649" w:rsidP="00C16649">
            <w:pPr>
              <w:jc w:val="center"/>
              <w:rPr>
                <w:iCs/>
                <w:noProof/>
                <w:sz w:val="20"/>
              </w:rPr>
            </w:pPr>
            <w:r w:rsidRPr="00B44B19">
              <w:rPr>
                <w:iCs/>
                <w:noProof/>
                <w:sz w:val="20"/>
              </w:rPr>
              <w:t>ERPF</w:t>
            </w:r>
          </w:p>
        </w:tc>
        <w:tc>
          <w:tcPr>
            <w:tcW w:w="1418" w:type="dxa"/>
          </w:tcPr>
          <w:p w14:paraId="2842EA0B" w14:textId="77777777" w:rsidR="00C16649" w:rsidRPr="00B44B19" w:rsidRDefault="00C16649" w:rsidP="00C16649">
            <w:pPr>
              <w:rPr>
                <w:iCs/>
                <w:noProof/>
                <w:sz w:val="20"/>
              </w:rPr>
            </w:pPr>
            <w:r w:rsidRPr="00B44B19">
              <w:rPr>
                <w:iCs/>
                <w:noProof/>
                <w:sz w:val="20"/>
              </w:rPr>
              <w:t>VVL regionas</w:t>
            </w:r>
          </w:p>
        </w:tc>
        <w:tc>
          <w:tcPr>
            <w:tcW w:w="1134" w:type="dxa"/>
            <w:vMerge/>
          </w:tcPr>
          <w:p w14:paraId="2A19625E" w14:textId="77777777" w:rsidR="00C16649" w:rsidRPr="00B44B19" w:rsidRDefault="00C16649" w:rsidP="00C16649">
            <w:pPr>
              <w:rPr>
                <w:b/>
                <w:iCs/>
                <w:noProof/>
                <w:sz w:val="20"/>
              </w:rPr>
            </w:pPr>
          </w:p>
        </w:tc>
        <w:tc>
          <w:tcPr>
            <w:tcW w:w="3685" w:type="dxa"/>
            <w:vMerge/>
          </w:tcPr>
          <w:p w14:paraId="2ADF76BC" w14:textId="77777777" w:rsidR="00C16649" w:rsidRPr="00B44B19" w:rsidRDefault="00C16649" w:rsidP="00C16649">
            <w:pPr>
              <w:rPr>
                <w:iCs/>
                <w:noProof/>
                <w:sz w:val="20"/>
              </w:rPr>
            </w:pPr>
          </w:p>
        </w:tc>
        <w:tc>
          <w:tcPr>
            <w:tcW w:w="1701" w:type="dxa"/>
          </w:tcPr>
          <w:p w14:paraId="59DAC1D1" w14:textId="77777777" w:rsidR="00C16649" w:rsidRPr="00B44B19" w:rsidRDefault="00C16649" w:rsidP="00D3697D">
            <w:pPr>
              <w:jc w:val="right"/>
              <w:rPr>
                <w:iCs/>
                <w:noProof/>
                <w:sz w:val="20"/>
              </w:rPr>
            </w:pPr>
            <w:r w:rsidRPr="00B44B19">
              <w:rPr>
                <w:iCs/>
                <w:noProof/>
                <w:sz w:val="20"/>
              </w:rPr>
              <w:t>1 645</w:t>
            </w:r>
            <w:r w:rsidR="00D3697D" w:rsidRPr="00B44B19">
              <w:rPr>
                <w:iCs/>
                <w:noProof/>
                <w:sz w:val="20"/>
              </w:rPr>
              <w:t> </w:t>
            </w:r>
            <w:r w:rsidRPr="00B44B19">
              <w:rPr>
                <w:iCs/>
                <w:noProof/>
                <w:sz w:val="20"/>
              </w:rPr>
              <w:t>54</w:t>
            </w:r>
            <w:r w:rsidR="00D3697D" w:rsidRPr="00B44B19">
              <w:rPr>
                <w:iCs/>
                <w:noProof/>
                <w:sz w:val="20"/>
              </w:rPr>
              <w:t>4,00</w:t>
            </w:r>
          </w:p>
        </w:tc>
      </w:tr>
    </w:tbl>
    <w:p w14:paraId="1843116F" w14:textId="77777777" w:rsidR="00A42AA9" w:rsidRPr="00B44B19" w:rsidRDefault="00A42AA9" w:rsidP="00D970FC">
      <w:pPr>
        <w:spacing w:after="0" w:line="240" w:lineRule="auto"/>
        <w:rPr>
          <w:rFonts w:cs="Times New Roman"/>
          <w:sz w:val="20"/>
          <w:szCs w:val="20"/>
        </w:rPr>
      </w:pPr>
    </w:p>
    <w:tbl>
      <w:tblPr>
        <w:tblStyle w:val="Lentelstinklelis"/>
        <w:tblW w:w="9889" w:type="dxa"/>
        <w:tblLayout w:type="fixed"/>
        <w:tblLook w:val="04A0" w:firstRow="1" w:lastRow="0" w:firstColumn="1" w:lastColumn="0" w:noHBand="0" w:noVBand="1"/>
      </w:tblPr>
      <w:tblGrid>
        <w:gridCol w:w="1101"/>
        <w:gridCol w:w="850"/>
        <w:gridCol w:w="1418"/>
        <w:gridCol w:w="1134"/>
        <w:gridCol w:w="3685"/>
        <w:gridCol w:w="1701"/>
      </w:tblGrid>
      <w:tr w:rsidR="002A0978" w:rsidRPr="00B44B19" w14:paraId="0FF15546"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0008B6A" w14:textId="77777777" w:rsidR="002A0978" w:rsidRPr="00B44B19" w:rsidRDefault="002A0978" w:rsidP="00811505">
            <w:pPr>
              <w:rPr>
                <w:rFonts w:eastAsia="Times New Roman" w:cs="Times New Roman"/>
                <w:b/>
                <w:iCs/>
                <w:noProof/>
                <w:sz w:val="20"/>
              </w:rPr>
            </w:pPr>
            <w:r w:rsidRPr="00B44B19">
              <w:rPr>
                <w:rFonts w:cs="Times New Roman"/>
                <w:b/>
                <w:noProof/>
                <w:sz w:val="20"/>
              </w:rPr>
              <w:t xml:space="preserve">5 lentelė. 2 matmuo. </w:t>
            </w:r>
            <w:r w:rsidR="00811505" w:rsidRPr="00B44B19">
              <w:rPr>
                <w:rFonts w:cs="Times New Roman"/>
                <w:b/>
                <w:noProof/>
                <w:sz w:val="20"/>
              </w:rPr>
              <w:t>Finansavimo</w:t>
            </w:r>
            <w:r w:rsidR="0037685A" w:rsidRPr="00B44B19">
              <w:rPr>
                <w:rFonts w:cs="Times New Roman"/>
                <w:b/>
                <w:noProof/>
                <w:sz w:val="20"/>
              </w:rPr>
              <w:t xml:space="preserve"> </w:t>
            </w:r>
            <w:r w:rsidRPr="00B44B19">
              <w:rPr>
                <w:rFonts w:cs="Times New Roman"/>
                <w:b/>
                <w:noProof/>
                <w:sz w:val="20"/>
              </w:rPr>
              <w:t>forma</w:t>
            </w:r>
          </w:p>
        </w:tc>
      </w:tr>
      <w:tr w:rsidR="002A0978" w:rsidRPr="00B44B19" w14:paraId="392B3689"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612A42"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9EF8ED"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C0527F"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29A709"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F9C709"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5551AD"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Suma (EUR)</w:t>
            </w:r>
          </w:p>
        </w:tc>
      </w:tr>
      <w:tr w:rsidR="008A3626" w:rsidRPr="00B44B19" w14:paraId="1260C612" w14:textId="77777777" w:rsidTr="003B113E">
        <w:tc>
          <w:tcPr>
            <w:tcW w:w="1101" w:type="dxa"/>
            <w:vMerge w:val="restart"/>
            <w:tcBorders>
              <w:top w:val="single" w:sz="12" w:space="0" w:color="auto"/>
            </w:tcBorders>
          </w:tcPr>
          <w:p w14:paraId="49D7F3B2"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7CACC9E7"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SaF</w:t>
            </w:r>
          </w:p>
        </w:tc>
        <w:tc>
          <w:tcPr>
            <w:tcW w:w="1418" w:type="dxa"/>
            <w:tcBorders>
              <w:top w:val="single" w:sz="12" w:space="0" w:color="auto"/>
              <w:bottom w:val="single" w:sz="4" w:space="0" w:color="auto"/>
            </w:tcBorders>
          </w:tcPr>
          <w:p w14:paraId="0BCAA5BF" w14:textId="77777777" w:rsidR="008A3626" w:rsidRPr="00B44B19" w:rsidRDefault="008A3626" w:rsidP="00B14080">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7845498E" w14:textId="77777777" w:rsidR="008A3626" w:rsidRPr="00B44B19" w:rsidRDefault="008A3626" w:rsidP="00B14080">
            <w:pPr>
              <w:jc w:val="center"/>
              <w:rPr>
                <w:rFonts w:eastAsia="Times New Roman" w:cs="Times New Roman"/>
                <w:b/>
                <w:iCs/>
                <w:noProof/>
                <w:sz w:val="20"/>
              </w:rPr>
            </w:pPr>
            <w:r w:rsidRPr="00B44B19">
              <w:rPr>
                <w:rFonts w:eastAsia="Times New Roman" w:cs="Times New Roman"/>
                <w:iCs/>
                <w:noProof/>
                <w:sz w:val="20"/>
              </w:rPr>
              <w:t>2.2</w:t>
            </w:r>
          </w:p>
        </w:tc>
        <w:tc>
          <w:tcPr>
            <w:tcW w:w="3685" w:type="dxa"/>
            <w:vMerge w:val="restart"/>
            <w:tcBorders>
              <w:top w:val="single" w:sz="12" w:space="0" w:color="auto"/>
            </w:tcBorders>
          </w:tcPr>
          <w:p w14:paraId="1523BD22" w14:textId="77777777" w:rsidR="008A3626" w:rsidRPr="00B44B19" w:rsidRDefault="008A3626" w:rsidP="00F041DB">
            <w:pPr>
              <w:rPr>
                <w:rFonts w:eastAsia="Times New Roman" w:cs="Times New Roman"/>
                <w:iCs/>
                <w:noProof/>
                <w:sz w:val="20"/>
              </w:rPr>
            </w:pPr>
            <w:r w:rsidRPr="00B44B19">
              <w:rPr>
                <w:rFonts w:eastAsia="Times New Roman" w:cs="Times New Roman"/>
                <w:iCs/>
                <w:noProof/>
                <w:sz w:val="20"/>
              </w:rPr>
              <w:t>01 – Dotacija</w:t>
            </w:r>
          </w:p>
        </w:tc>
        <w:tc>
          <w:tcPr>
            <w:tcW w:w="1701" w:type="dxa"/>
            <w:tcBorders>
              <w:top w:val="single" w:sz="12" w:space="0" w:color="auto"/>
              <w:bottom w:val="single" w:sz="4" w:space="0" w:color="auto"/>
            </w:tcBorders>
          </w:tcPr>
          <w:p w14:paraId="171B6E3D" w14:textId="77777777" w:rsidR="008A3626" w:rsidRPr="00B44B19" w:rsidRDefault="008A3626" w:rsidP="00D3697D">
            <w:pPr>
              <w:jc w:val="right"/>
              <w:rPr>
                <w:rFonts w:eastAsia="Times New Roman" w:cs="Times New Roman"/>
                <w:iCs/>
                <w:noProof/>
                <w:sz w:val="20"/>
              </w:rPr>
            </w:pPr>
            <w:r w:rsidRPr="00B44B19">
              <w:rPr>
                <w:rFonts w:eastAsia="Times New Roman" w:cs="Times New Roman"/>
                <w:iCs/>
                <w:noProof/>
                <w:sz w:val="20"/>
              </w:rPr>
              <w:t>112 521 403,00</w:t>
            </w:r>
          </w:p>
        </w:tc>
      </w:tr>
      <w:tr w:rsidR="008A3626" w:rsidRPr="00B44B19" w14:paraId="0AA71F8C" w14:textId="77777777" w:rsidTr="003B113E">
        <w:tc>
          <w:tcPr>
            <w:tcW w:w="1101" w:type="dxa"/>
            <w:vMerge/>
          </w:tcPr>
          <w:p w14:paraId="259B64F3" w14:textId="77777777" w:rsidR="008A3626" w:rsidRPr="00B44B19" w:rsidRDefault="008A3626" w:rsidP="00B14080">
            <w:pPr>
              <w:rPr>
                <w:rFonts w:eastAsia="Times New Roman" w:cs="Times New Roman"/>
                <w:b/>
                <w:iCs/>
                <w:noProof/>
                <w:sz w:val="20"/>
              </w:rPr>
            </w:pPr>
          </w:p>
        </w:tc>
        <w:tc>
          <w:tcPr>
            <w:tcW w:w="850" w:type="dxa"/>
          </w:tcPr>
          <w:p w14:paraId="557C91E5"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4" w:space="0" w:color="auto"/>
              <w:bottom w:val="single" w:sz="4" w:space="0" w:color="auto"/>
            </w:tcBorders>
          </w:tcPr>
          <w:p w14:paraId="26F5F34E" w14:textId="77777777" w:rsidR="008A3626" w:rsidRPr="00B44B19" w:rsidRDefault="008A3626" w:rsidP="00B14080">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483CD81" w14:textId="77777777" w:rsidR="008A3626" w:rsidRPr="00B44B19" w:rsidRDefault="008A3626" w:rsidP="00B14080">
            <w:pPr>
              <w:rPr>
                <w:rFonts w:eastAsia="Times New Roman" w:cs="Times New Roman"/>
                <w:b/>
                <w:iCs/>
                <w:noProof/>
                <w:sz w:val="20"/>
              </w:rPr>
            </w:pPr>
          </w:p>
        </w:tc>
        <w:tc>
          <w:tcPr>
            <w:tcW w:w="3685" w:type="dxa"/>
            <w:vMerge/>
            <w:tcBorders>
              <w:bottom w:val="single" w:sz="4" w:space="0" w:color="auto"/>
            </w:tcBorders>
          </w:tcPr>
          <w:p w14:paraId="0F6FA35C" w14:textId="77777777" w:rsidR="008A3626" w:rsidRPr="00B44B19" w:rsidRDefault="008A3626" w:rsidP="00F041DB">
            <w:pPr>
              <w:rPr>
                <w:rFonts w:eastAsia="Times New Roman" w:cs="Times New Roman"/>
                <w:b/>
                <w:iCs/>
                <w:noProof/>
                <w:sz w:val="20"/>
              </w:rPr>
            </w:pPr>
          </w:p>
        </w:tc>
        <w:tc>
          <w:tcPr>
            <w:tcW w:w="1701" w:type="dxa"/>
            <w:tcBorders>
              <w:top w:val="single" w:sz="4" w:space="0" w:color="auto"/>
              <w:bottom w:val="single" w:sz="4" w:space="0" w:color="auto"/>
            </w:tcBorders>
          </w:tcPr>
          <w:p w14:paraId="48DABD90" w14:textId="22F5DCCB" w:rsidR="008A3626" w:rsidRPr="00B44B19" w:rsidRDefault="000914C5" w:rsidP="000914C5">
            <w:pPr>
              <w:jc w:val="right"/>
              <w:rPr>
                <w:rFonts w:eastAsia="Times New Roman" w:cs="Times New Roman"/>
                <w:iCs/>
                <w:noProof/>
                <w:sz w:val="20"/>
              </w:rPr>
            </w:pPr>
            <w:r w:rsidRPr="00B44B19">
              <w:rPr>
                <w:rFonts w:cs="Times New Roman"/>
                <w:color w:val="000000"/>
                <w:sz w:val="20"/>
                <w:szCs w:val="20"/>
              </w:rPr>
              <w:t>87 964 375</w:t>
            </w:r>
            <w:r w:rsidR="00EE3496" w:rsidRPr="00B44B19">
              <w:rPr>
                <w:rFonts w:eastAsia="Times New Roman" w:cs="Times New Roman"/>
                <w:iCs/>
                <w:noProof/>
                <w:sz w:val="20"/>
              </w:rPr>
              <w:t>,00</w:t>
            </w:r>
          </w:p>
        </w:tc>
      </w:tr>
      <w:tr w:rsidR="008A3626" w:rsidRPr="00B44B19" w14:paraId="616C2DE2" w14:textId="77777777" w:rsidTr="003B113E">
        <w:tc>
          <w:tcPr>
            <w:tcW w:w="1101" w:type="dxa"/>
            <w:vMerge/>
          </w:tcPr>
          <w:p w14:paraId="4871F65B" w14:textId="77777777" w:rsidR="008A3626" w:rsidRPr="00B44B19" w:rsidRDefault="008A3626" w:rsidP="00B14080">
            <w:pPr>
              <w:rPr>
                <w:rFonts w:eastAsia="Times New Roman" w:cs="Times New Roman"/>
                <w:b/>
                <w:iCs/>
                <w:noProof/>
                <w:sz w:val="20"/>
              </w:rPr>
            </w:pPr>
          </w:p>
        </w:tc>
        <w:tc>
          <w:tcPr>
            <w:tcW w:w="850" w:type="dxa"/>
          </w:tcPr>
          <w:p w14:paraId="5704D940"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SaF</w:t>
            </w:r>
          </w:p>
        </w:tc>
        <w:tc>
          <w:tcPr>
            <w:tcW w:w="1418" w:type="dxa"/>
            <w:tcBorders>
              <w:top w:val="single" w:sz="4" w:space="0" w:color="auto"/>
              <w:bottom w:val="single" w:sz="4" w:space="0" w:color="auto"/>
            </w:tcBorders>
          </w:tcPr>
          <w:p w14:paraId="700F3E12" w14:textId="77777777" w:rsidR="008A3626" w:rsidRPr="00B44B19" w:rsidRDefault="008A3626" w:rsidP="00B14080">
            <w:pPr>
              <w:rPr>
                <w:rFonts w:eastAsia="Times New Roman" w:cs="Times New Roman"/>
                <w:iCs/>
                <w:noProof/>
                <w:sz w:val="20"/>
              </w:rPr>
            </w:pPr>
            <w:r w:rsidRPr="00B44B19">
              <w:rPr>
                <w:rFonts w:eastAsia="Times New Roman" w:cs="Times New Roman"/>
                <w:iCs/>
                <w:noProof/>
                <w:sz w:val="20"/>
              </w:rPr>
              <w:t>Visa Lietuva</w:t>
            </w:r>
          </w:p>
        </w:tc>
        <w:tc>
          <w:tcPr>
            <w:tcW w:w="1134" w:type="dxa"/>
            <w:vMerge/>
          </w:tcPr>
          <w:p w14:paraId="13CD1FDE" w14:textId="77777777" w:rsidR="008A3626" w:rsidRPr="00B44B19" w:rsidRDefault="008A3626" w:rsidP="00B14080">
            <w:pPr>
              <w:rPr>
                <w:rFonts w:eastAsia="Times New Roman" w:cs="Times New Roman"/>
                <w:b/>
                <w:iCs/>
                <w:noProof/>
                <w:sz w:val="20"/>
              </w:rPr>
            </w:pPr>
          </w:p>
        </w:tc>
        <w:tc>
          <w:tcPr>
            <w:tcW w:w="3685" w:type="dxa"/>
            <w:vMerge w:val="restart"/>
            <w:tcBorders>
              <w:top w:val="single" w:sz="4" w:space="0" w:color="auto"/>
            </w:tcBorders>
          </w:tcPr>
          <w:p w14:paraId="3F4C4DB5" w14:textId="77777777" w:rsidR="008A3626" w:rsidRPr="00B44B19" w:rsidRDefault="008A3626" w:rsidP="00F041DB">
            <w:pPr>
              <w:rPr>
                <w:rFonts w:eastAsia="Times New Roman" w:cs="Times New Roman"/>
                <w:iCs/>
                <w:noProof/>
                <w:sz w:val="20"/>
              </w:rPr>
            </w:pPr>
            <w:r w:rsidRPr="00B44B19">
              <w:rPr>
                <w:rFonts w:eastAsia="Times New Roman" w:cs="Times New Roman"/>
                <w:iCs/>
                <w:noProof/>
                <w:sz w:val="20"/>
              </w:rPr>
              <w:t>03 – Naudojantis finansinėmis priemonėmis teikiama parama: paskola</w:t>
            </w:r>
          </w:p>
        </w:tc>
        <w:tc>
          <w:tcPr>
            <w:tcW w:w="1701" w:type="dxa"/>
            <w:tcBorders>
              <w:top w:val="single" w:sz="4" w:space="0" w:color="auto"/>
              <w:bottom w:val="single" w:sz="4" w:space="0" w:color="auto"/>
            </w:tcBorders>
          </w:tcPr>
          <w:p w14:paraId="6D4DEC39" w14:textId="77777777" w:rsidR="008A20C4" w:rsidRPr="00B44B19" w:rsidRDefault="008A20C4" w:rsidP="00574FD5">
            <w:pPr>
              <w:jc w:val="right"/>
              <w:rPr>
                <w:rFonts w:eastAsia="Times New Roman" w:cs="Times New Roman"/>
                <w:iCs/>
                <w:noProof/>
                <w:sz w:val="20"/>
              </w:rPr>
            </w:pPr>
            <w:r w:rsidRPr="00B44B19">
              <w:rPr>
                <w:rFonts w:eastAsia="Times New Roman" w:cs="Times New Roman"/>
                <w:iCs/>
                <w:noProof/>
                <w:sz w:val="20"/>
              </w:rPr>
              <w:t>5 822 108,00</w:t>
            </w:r>
          </w:p>
        </w:tc>
      </w:tr>
      <w:tr w:rsidR="008A3626" w:rsidRPr="00B44B19" w14:paraId="13D5095C" w14:textId="77777777" w:rsidTr="007B7B7F">
        <w:tc>
          <w:tcPr>
            <w:tcW w:w="1101" w:type="dxa"/>
            <w:vMerge/>
          </w:tcPr>
          <w:p w14:paraId="0E291597" w14:textId="77777777" w:rsidR="008A3626" w:rsidRPr="00B44B19" w:rsidRDefault="008A3626" w:rsidP="00B14080">
            <w:pPr>
              <w:rPr>
                <w:rFonts w:eastAsia="Times New Roman" w:cs="Times New Roman"/>
                <w:b/>
                <w:iCs/>
                <w:noProof/>
                <w:sz w:val="20"/>
              </w:rPr>
            </w:pPr>
          </w:p>
        </w:tc>
        <w:tc>
          <w:tcPr>
            <w:tcW w:w="850" w:type="dxa"/>
          </w:tcPr>
          <w:p w14:paraId="592DF734"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4" w:space="0" w:color="auto"/>
              <w:bottom w:val="single" w:sz="4" w:space="0" w:color="auto"/>
            </w:tcBorders>
          </w:tcPr>
          <w:p w14:paraId="53716C51" w14:textId="77777777" w:rsidR="008A3626" w:rsidRPr="00B44B19" w:rsidRDefault="008A3626" w:rsidP="00B14080">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15544E1" w14:textId="77777777" w:rsidR="008A3626" w:rsidRPr="00B44B19" w:rsidRDefault="008A3626" w:rsidP="00B14080">
            <w:pPr>
              <w:rPr>
                <w:rFonts w:eastAsia="Times New Roman" w:cs="Times New Roman"/>
                <w:b/>
                <w:iCs/>
                <w:noProof/>
                <w:sz w:val="20"/>
              </w:rPr>
            </w:pPr>
          </w:p>
        </w:tc>
        <w:tc>
          <w:tcPr>
            <w:tcW w:w="3685" w:type="dxa"/>
            <w:vMerge/>
          </w:tcPr>
          <w:p w14:paraId="7F404353" w14:textId="77777777" w:rsidR="008A3626" w:rsidRPr="00B44B19" w:rsidRDefault="008A3626" w:rsidP="00B14080">
            <w:pPr>
              <w:rPr>
                <w:rFonts w:eastAsia="Times New Roman" w:cs="Times New Roman"/>
                <w:b/>
                <w:iCs/>
                <w:noProof/>
                <w:sz w:val="20"/>
              </w:rPr>
            </w:pPr>
          </w:p>
        </w:tc>
        <w:tc>
          <w:tcPr>
            <w:tcW w:w="1701" w:type="dxa"/>
            <w:tcBorders>
              <w:top w:val="single" w:sz="4" w:space="0" w:color="auto"/>
              <w:bottom w:val="single" w:sz="4" w:space="0" w:color="auto"/>
            </w:tcBorders>
          </w:tcPr>
          <w:p w14:paraId="5F63D451" w14:textId="77777777" w:rsidR="008A20C4" w:rsidRPr="00B44B19" w:rsidRDefault="008A20C4" w:rsidP="00574FD5">
            <w:pPr>
              <w:jc w:val="right"/>
              <w:rPr>
                <w:rFonts w:eastAsia="Times New Roman" w:cs="Times New Roman"/>
                <w:iCs/>
                <w:noProof/>
                <w:sz w:val="20"/>
              </w:rPr>
            </w:pPr>
            <w:r w:rsidRPr="00B44B19">
              <w:rPr>
                <w:rFonts w:eastAsia="Times New Roman" w:cs="Times New Roman"/>
                <w:iCs/>
                <w:noProof/>
                <w:sz w:val="20"/>
              </w:rPr>
              <w:t>12 927 892,00</w:t>
            </w:r>
          </w:p>
        </w:tc>
      </w:tr>
      <w:tr w:rsidR="008A3626" w:rsidRPr="00B44B19" w14:paraId="70575F40" w14:textId="77777777" w:rsidTr="007B7B7F">
        <w:tc>
          <w:tcPr>
            <w:tcW w:w="1101" w:type="dxa"/>
            <w:vMerge/>
          </w:tcPr>
          <w:p w14:paraId="6ED4D168" w14:textId="77777777" w:rsidR="008A3626" w:rsidRPr="00B44B19" w:rsidRDefault="008A3626" w:rsidP="00B14080">
            <w:pPr>
              <w:rPr>
                <w:rFonts w:eastAsia="Times New Roman" w:cs="Times New Roman"/>
                <w:b/>
                <w:iCs/>
                <w:noProof/>
                <w:sz w:val="20"/>
              </w:rPr>
            </w:pPr>
          </w:p>
        </w:tc>
        <w:tc>
          <w:tcPr>
            <w:tcW w:w="850" w:type="dxa"/>
          </w:tcPr>
          <w:p w14:paraId="75726B74"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SaF</w:t>
            </w:r>
          </w:p>
        </w:tc>
        <w:tc>
          <w:tcPr>
            <w:tcW w:w="1418" w:type="dxa"/>
            <w:tcBorders>
              <w:top w:val="single" w:sz="4" w:space="0" w:color="auto"/>
              <w:bottom w:val="single" w:sz="4" w:space="0" w:color="auto"/>
            </w:tcBorders>
          </w:tcPr>
          <w:p w14:paraId="419137E7" w14:textId="77777777" w:rsidR="008A3626" w:rsidRPr="00B44B19" w:rsidRDefault="008A3626" w:rsidP="00B14080">
            <w:pPr>
              <w:rPr>
                <w:rFonts w:eastAsia="Times New Roman" w:cs="Times New Roman"/>
                <w:iCs/>
                <w:noProof/>
                <w:sz w:val="20"/>
              </w:rPr>
            </w:pPr>
            <w:r w:rsidRPr="00B44B19">
              <w:rPr>
                <w:rFonts w:eastAsia="Times New Roman" w:cs="Times New Roman"/>
                <w:iCs/>
                <w:noProof/>
                <w:sz w:val="20"/>
              </w:rPr>
              <w:t>Visa Lietuva</w:t>
            </w:r>
          </w:p>
        </w:tc>
        <w:tc>
          <w:tcPr>
            <w:tcW w:w="1134" w:type="dxa"/>
            <w:vMerge/>
          </w:tcPr>
          <w:p w14:paraId="7B1A6F02" w14:textId="77777777" w:rsidR="008A3626" w:rsidRPr="00B44B19" w:rsidRDefault="008A3626" w:rsidP="00B14080">
            <w:pPr>
              <w:rPr>
                <w:rFonts w:eastAsia="Times New Roman" w:cs="Times New Roman"/>
                <w:b/>
                <w:iCs/>
                <w:noProof/>
                <w:sz w:val="20"/>
              </w:rPr>
            </w:pPr>
          </w:p>
        </w:tc>
        <w:tc>
          <w:tcPr>
            <w:tcW w:w="3685" w:type="dxa"/>
            <w:vMerge w:val="restart"/>
          </w:tcPr>
          <w:p w14:paraId="4021949D" w14:textId="77777777" w:rsidR="008A3626" w:rsidRPr="00B44B19" w:rsidRDefault="008A3626" w:rsidP="00B14080">
            <w:pPr>
              <w:rPr>
                <w:rFonts w:eastAsia="Times New Roman" w:cs="Times New Roman"/>
                <w:b/>
                <w:iCs/>
                <w:noProof/>
                <w:sz w:val="20"/>
              </w:rPr>
            </w:pPr>
            <w:r w:rsidRPr="00B44B19">
              <w:rPr>
                <w:rFonts w:eastAsia="Times New Roman" w:cs="Times New Roman"/>
                <w:iCs/>
                <w:noProof/>
                <w:sz w:val="20"/>
              </w:rPr>
              <w:t>05 – Naudojantis finansinėmis priemonėmis teikiama parama: dotacijos, suteiktos vykdant finansinės priemonės veiksmą</w:t>
            </w:r>
          </w:p>
        </w:tc>
        <w:tc>
          <w:tcPr>
            <w:tcW w:w="1701" w:type="dxa"/>
            <w:tcBorders>
              <w:top w:val="single" w:sz="4" w:space="0" w:color="auto"/>
              <w:bottom w:val="single" w:sz="4" w:space="0" w:color="auto"/>
            </w:tcBorders>
          </w:tcPr>
          <w:p w14:paraId="634F32A9" w14:textId="77777777" w:rsidR="008A3626" w:rsidRPr="00B44B19" w:rsidRDefault="008A3626" w:rsidP="00B14080">
            <w:pPr>
              <w:jc w:val="right"/>
              <w:rPr>
                <w:rFonts w:eastAsia="Times New Roman" w:cs="Times New Roman"/>
                <w:iCs/>
                <w:noProof/>
                <w:sz w:val="20"/>
              </w:rPr>
            </w:pPr>
            <w:r w:rsidRPr="00B44B19">
              <w:rPr>
                <w:rFonts w:cs="Times New Roman"/>
                <w:color w:val="000000"/>
                <w:sz w:val="20"/>
                <w:szCs w:val="20"/>
              </w:rPr>
              <w:t>5 822 108,00</w:t>
            </w:r>
          </w:p>
        </w:tc>
      </w:tr>
      <w:tr w:rsidR="008A3626" w:rsidRPr="00B44B19" w14:paraId="66F96301" w14:textId="77777777" w:rsidTr="003B113E">
        <w:tc>
          <w:tcPr>
            <w:tcW w:w="1101" w:type="dxa"/>
            <w:vMerge/>
          </w:tcPr>
          <w:p w14:paraId="62EDFCA1" w14:textId="77777777" w:rsidR="008A3626" w:rsidRPr="00B44B19" w:rsidRDefault="008A3626" w:rsidP="00B14080">
            <w:pPr>
              <w:rPr>
                <w:rFonts w:eastAsia="Times New Roman" w:cs="Times New Roman"/>
                <w:b/>
                <w:iCs/>
                <w:noProof/>
                <w:sz w:val="20"/>
              </w:rPr>
            </w:pPr>
          </w:p>
        </w:tc>
        <w:tc>
          <w:tcPr>
            <w:tcW w:w="850" w:type="dxa"/>
          </w:tcPr>
          <w:p w14:paraId="5F01995C" w14:textId="77777777" w:rsidR="008A3626" w:rsidRPr="00B44B19" w:rsidRDefault="008A3626" w:rsidP="00B14080">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4" w:space="0" w:color="auto"/>
            </w:tcBorders>
          </w:tcPr>
          <w:p w14:paraId="5B653556" w14:textId="77777777" w:rsidR="008A3626" w:rsidRPr="00B44B19" w:rsidRDefault="008A3626" w:rsidP="00B14080">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54BC190E" w14:textId="77777777" w:rsidR="008A3626" w:rsidRPr="00B44B19" w:rsidRDefault="008A3626" w:rsidP="00B14080">
            <w:pPr>
              <w:rPr>
                <w:rFonts w:eastAsia="Times New Roman" w:cs="Times New Roman"/>
                <w:b/>
                <w:iCs/>
                <w:noProof/>
                <w:sz w:val="20"/>
              </w:rPr>
            </w:pPr>
          </w:p>
        </w:tc>
        <w:tc>
          <w:tcPr>
            <w:tcW w:w="3685" w:type="dxa"/>
            <w:vMerge/>
          </w:tcPr>
          <w:p w14:paraId="4F1A0EBE" w14:textId="77777777" w:rsidR="008A3626" w:rsidRPr="00B44B19" w:rsidRDefault="008A3626" w:rsidP="00B14080">
            <w:pPr>
              <w:rPr>
                <w:rFonts w:eastAsia="Times New Roman" w:cs="Times New Roman"/>
                <w:b/>
                <w:iCs/>
                <w:noProof/>
                <w:sz w:val="20"/>
              </w:rPr>
            </w:pPr>
          </w:p>
        </w:tc>
        <w:tc>
          <w:tcPr>
            <w:tcW w:w="1701" w:type="dxa"/>
            <w:tcBorders>
              <w:top w:val="single" w:sz="4" w:space="0" w:color="auto"/>
            </w:tcBorders>
          </w:tcPr>
          <w:p w14:paraId="35B47500" w14:textId="77777777" w:rsidR="008A3626" w:rsidRPr="00B44B19" w:rsidRDefault="008A3626" w:rsidP="00B14080">
            <w:pPr>
              <w:jc w:val="right"/>
              <w:rPr>
                <w:rFonts w:eastAsia="Times New Roman" w:cs="Times New Roman"/>
                <w:iCs/>
                <w:noProof/>
                <w:sz w:val="20"/>
              </w:rPr>
            </w:pPr>
            <w:r w:rsidRPr="00B44B19">
              <w:rPr>
                <w:rFonts w:cs="Times New Roman"/>
                <w:color w:val="000000"/>
                <w:sz w:val="20"/>
                <w:szCs w:val="20"/>
              </w:rPr>
              <w:t>12 927 892,00</w:t>
            </w:r>
          </w:p>
        </w:tc>
      </w:tr>
    </w:tbl>
    <w:p w14:paraId="08580DAF" w14:textId="77777777" w:rsidR="002A0978" w:rsidRPr="00B44B19" w:rsidRDefault="002A0978" w:rsidP="00D970FC">
      <w:pPr>
        <w:spacing w:after="0" w:line="240" w:lineRule="auto"/>
        <w:rPr>
          <w:rFonts w:cs="Times New Roman"/>
          <w:sz w:val="20"/>
          <w:szCs w:val="20"/>
        </w:rPr>
      </w:pPr>
    </w:p>
    <w:tbl>
      <w:tblPr>
        <w:tblStyle w:val="Lentelstinklelis"/>
        <w:tblW w:w="9854" w:type="dxa"/>
        <w:tblLook w:val="04A0" w:firstRow="1" w:lastRow="0" w:firstColumn="1" w:lastColumn="0" w:noHBand="0" w:noVBand="1"/>
      </w:tblPr>
      <w:tblGrid>
        <w:gridCol w:w="1101"/>
        <w:gridCol w:w="850"/>
        <w:gridCol w:w="1418"/>
        <w:gridCol w:w="1134"/>
        <w:gridCol w:w="3685"/>
        <w:gridCol w:w="1666"/>
      </w:tblGrid>
      <w:tr w:rsidR="002A0978" w:rsidRPr="00B44B19" w14:paraId="02B71FE8" w14:textId="77777777" w:rsidTr="003B113E">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511B0C4" w14:textId="77777777" w:rsidR="002A0978" w:rsidRPr="00B44B19" w:rsidRDefault="002A0978" w:rsidP="00B14080">
            <w:pPr>
              <w:rPr>
                <w:rFonts w:eastAsia="Times New Roman" w:cs="Times New Roman"/>
                <w:b/>
                <w:iCs/>
                <w:noProof/>
                <w:sz w:val="20"/>
              </w:rPr>
            </w:pPr>
            <w:r w:rsidRPr="00B44B19">
              <w:rPr>
                <w:rFonts w:cs="Times New Roman"/>
                <w:b/>
                <w:noProof/>
                <w:sz w:val="20"/>
              </w:rPr>
              <w:t xml:space="preserve">6 lentelė. 3 matmuo. </w:t>
            </w:r>
            <w:r w:rsidR="0037685A" w:rsidRPr="00B44B19">
              <w:rPr>
                <w:rFonts w:cs="Times New Roman"/>
                <w:b/>
                <w:noProof/>
                <w:sz w:val="20"/>
              </w:rPr>
              <w:t>Teritorinis įgyvendinimo mechanizmas ir pagrindinė teritorinė sritis</w:t>
            </w:r>
          </w:p>
        </w:tc>
      </w:tr>
      <w:tr w:rsidR="002A0978" w:rsidRPr="00B44B19" w14:paraId="11D71E2D"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4FAC72"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976ED9"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847F15"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0C1309"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Konkretus uždavinys</w:t>
            </w:r>
          </w:p>
        </w:tc>
        <w:tc>
          <w:tcPr>
            <w:tcW w:w="36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4301E8"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Kodas</w:t>
            </w:r>
          </w:p>
        </w:tc>
        <w:tc>
          <w:tcPr>
            <w:tcW w:w="16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ACFF9E" w14:textId="77777777" w:rsidR="002A0978" w:rsidRPr="00B44B19" w:rsidRDefault="002A0978" w:rsidP="00B14080">
            <w:pPr>
              <w:jc w:val="center"/>
              <w:rPr>
                <w:rFonts w:eastAsia="Times New Roman" w:cs="Times New Roman"/>
                <w:b/>
                <w:iCs/>
                <w:noProof/>
                <w:sz w:val="20"/>
              </w:rPr>
            </w:pPr>
            <w:r w:rsidRPr="00B44B19">
              <w:rPr>
                <w:rFonts w:cs="Times New Roman"/>
                <w:b/>
                <w:noProof/>
                <w:sz w:val="20"/>
              </w:rPr>
              <w:t>Suma (EUR)</w:t>
            </w:r>
          </w:p>
        </w:tc>
      </w:tr>
      <w:tr w:rsidR="002A0978" w:rsidRPr="00B44B19" w14:paraId="6543B6CA" w14:textId="77777777" w:rsidTr="003B113E">
        <w:tc>
          <w:tcPr>
            <w:tcW w:w="1101" w:type="dxa"/>
            <w:vMerge w:val="restart"/>
            <w:tcBorders>
              <w:top w:val="single" w:sz="12" w:space="0" w:color="auto"/>
            </w:tcBorders>
          </w:tcPr>
          <w:p w14:paraId="04AD6CA8" w14:textId="77777777" w:rsidR="002A0978" w:rsidRPr="00B44B19" w:rsidRDefault="002A0978" w:rsidP="00B14080">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0C2E2760" w14:textId="77777777" w:rsidR="002A0978" w:rsidRPr="00B44B19" w:rsidRDefault="002A0978" w:rsidP="00B14080">
            <w:pPr>
              <w:jc w:val="center"/>
              <w:rPr>
                <w:rFonts w:eastAsia="Times New Roman" w:cs="Times New Roman"/>
                <w:iCs/>
                <w:noProof/>
                <w:sz w:val="20"/>
              </w:rPr>
            </w:pPr>
            <w:r w:rsidRPr="00B44B19">
              <w:rPr>
                <w:rFonts w:eastAsia="Times New Roman" w:cs="Times New Roman"/>
                <w:iCs/>
                <w:noProof/>
                <w:sz w:val="20"/>
              </w:rPr>
              <w:t>SaF</w:t>
            </w:r>
          </w:p>
        </w:tc>
        <w:tc>
          <w:tcPr>
            <w:tcW w:w="1418" w:type="dxa"/>
            <w:tcBorders>
              <w:top w:val="single" w:sz="12" w:space="0" w:color="auto"/>
              <w:bottom w:val="single" w:sz="4" w:space="0" w:color="auto"/>
            </w:tcBorders>
          </w:tcPr>
          <w:p w14:paraId="61A94625" w14:textId="77777777" w:rsidR="002A0978" w:rsidRPr="00B44B19" w:rsidRDefault="002A0978" w:rsidP="00B14080">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35F4E317" w14:textId="77777777" w:rsidR="002A0978" w:rsidRPr="00B44B19" w:rsidRDefault="002A0978" w:rsidP="00B14080">
            <w:pPr>
              <w:jc w:val="center"/>
              <w:rPr>
                <w:rFonts w:eastAsia="Times New Roman" w:cs="Times New Roman"/>
                <w:iCs/>
                <w:noProof/>
                <w:sz w:val="20"/>
              </w:rPr>
            </w:pPr>
            <w:r w:rsidRPr="00B44B19">
              <w:rPr>
                <w:rFonts w:eastAsia="Times New Roman" w:cs="Times New Roman"/>
                <w:iCs/>
                <w:noProof/>
                <w:sz w:val="20"/>
              </w:rPr>
              <w:t>2.2</w:t>
            </w:r>
          </w:p>
        </w:tc>
        <w:tc>
          <w:tcPr>
            <w:tcW w:w="3685" w:type="dxa"/>
            <w:vMerge w:val="restart"/>
            <w:tcBorders>
              <w:top w:val="single" w:sz="12" w:space="0" w:color="auto"/>
            </w:tcBorders>
          </w:tcPr>
          <w:p w14:paraId="0EB8C78B" w14:textId="77777777" w:rsidR="002A0978" w:rsidRPr="00B44B19" w:rsidRDefault="002A0978" w:rsidP="00F041DB">
            <w:pPr>
              <w:rPr>
                <w:rFonts w:eastAsia="Times New Roman" w:cs="Times New Roman"/>
                <w:iCs/>
                <w:noProof/>
                <w:sz w:val="20"/>
              </w:rPr>
            </w:pPr>
            <w:r w:rsidRPr="00B44B19">
              <w:rPr>
                <w:rFonts w:eastAsia="Times New Roman" w:cs="Times New Roman"/>
                <w:iCs/>
                <w:noProof/>
                <w:sz w:val="20"/>
              </w:rPr>
              <w:t>33</w:t>
            </w:r>
            <w:r w:rsidR="00F041DB" w:rsidRPr="00B44B19">
              <w:rPr>
                <w:rFonts w:eastAsia="Times New Roman" w:cs="Times New Roman"/>
                <w:iCs/>
                <w:noProof/>
                <w:sz w:val="20"/>
              </w:rPr>
              <w:t xml:space="preserve"> </w:t>
            </w:r>
            <w:r w:rsidR="0049648E" w:rsidRPr="00B44B19">
              <w:rPr>
                <w:rFonts w:eastAsia="Times New Roman" w:cs="Times New Roman"/>
                <w:iCs/>
                <w:noProof/>
                <w:sz w:val="20"/>
              </w:rPr>
              <w:t>–</w:t>
            </w:r>
            <w:r w:rsidR="00F041DB" w:rsidRPr="00B44B19">
              <w:rPr>
                <w:rFonts w:eastAsia="Times New Roman" w:cs="Times New Roman"/>
                <w:iCs/>
                <w:noProof/>
                <w:sz w:val="20"/>
              </w:rPr>
              <w:t xml:space="preserve"> Nesiorientuojant į teritoriškumą</w:t>
            </w:r>
          </w:p>
        </w:tc>
        <w:tc>
          <w:tcPr>
            <w:tcW w:w="1666" w:type="dxa"/>
            <w:tcBorders>
              <w:top w:val="single" w:sz="12" w:space="0" w:color="auto"/>
              <w:bottom w:val="single" w:sz="4" w:space="0" w:color="auto"/>
            </w:tcBorders>
          </w:tcPr>
          <w:p w14:paraId="61CBDF55" w14:textId="77777777" w:rsidR="002A0978" w:rsidRPr="00B44B19" w:rsidRDefault="002A0978" w:rsidP="00B14080">
            <w:pPr>
              <w:jc w:val="right"/>
              <w:rPr>
                <w:rFonts w:eastAsia="Times New Roman" w:cs="Times New Roman"/>
                <w:bCs/>
                <w:iCs/>
                <w:noProof/>
                <w:sz w:val="20"/>
              </w:rPr>
            </w:pPr>
            <w:r w:rsidRPr="00B44B19">
              <w:rPr>
                <w:rFonts w:eastAsia="Times New Roman" w:cs="Times New Roman"/>
                <w:bCs/>
                <w:iCs/>
                <w:noProof/>
                <w:sz w:val="20"/>
              </w:rPr>
              <w:t>124 165 619,00</w:t>
            </w:r>
          </w:p>
        </w:tc>
      </w:tr>
      <w:tr w:rsidR="002A0978" w:rsidRPr="00B44B19" w14:paraId="234E7F09" w14:textId="77777777" w:rsidTr="003B113E">
        <w:tc>
          <w:tcPr>
            <w:tcW w:w="1101" w:type="dxa"/>
            <w:vMerge/>
          </w:tcPr>
          <w:p w14:paraId="71C84756" w14:textId="77777777" w:rsidR="002A0978" w:rsidRPr="00B44B19" w:rsidRDefault="002A0978" w:rsidP="00B14080">
            <w:pPr>
              <w:rPr>
                <w:rFonts w:eastAsia="Times New Roman" w:cs="Times New Roman"/>
                <w:b/>
                <w:iCs/>
                <w:noProof/>
                <w:sz w:val="20"/>
              </w:rPr>
            </w:pPr>
          </w:p>
        </w:tc>
        <w:tc>
          <w:tcPr>
            <w:tcW w:w="850" w:type="dxa"/>
          </w:tcPr>
          <w:p w14:paraId="2B6593EC" w14:textId="77777777" w:rsidR="002A0978" w:rsidRPr="00B44B19" w:rsidRDefault="002A0978" w:rsidP="00B14080">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4" w:space="0" w:color="auto"/>
            </w:tcBorders>
          </w:tcPr>
          <w:p w14:paraId="72E88AF0" w14:textId="77777777" w:rsidR="002A0978" w:rsidRPr="00B44B19" w:rsidRDefault="002A0978" w:rsidP="00B14080">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5E2720F5" w14:textId="77777777" w:rsidR="002A0978" w:rsidRPr="00B44B19" w:rsidRDefault="002A0978" w:rsidP="00B14080">
            <w:pPr>
              <w:rPr>
                <w:rFonts w:eastAsia="Times New Roman" w:cs="Times New Roman"/>
                <w:b/>
                <w:iCs/>
                <w:noProof/>
                <w:sz w:val="20"/>
              </w:rPr>
            </w:pPr>
          </w:p>
        </w:tc>
        <w:tc>
          <w:tcPr>
            <w:tcW w:w="3685" w:type="dxa"/>
            <w:vMerge/>
          </w:tcPr>
          <w:p w14:paraId="1E2835F1" w14:textId="77777777" w:rsidR="002A0978" w:rsidRPr="00B44B19" w:rsidRDefault="002A0978" w:rsidP="00B14080">
            <w:pPr>
              <w:rPr>
                <w:rFonts w:eastAsia="Times New Roman" w:cs="Times New Roman"/>
                <w:b/>
                <w:iCs/>
                <w:noProof/>
                <w:sz w:val="20"/>
              </w:rPr>
            </w:pPr>
          </w:p>
        </w:tc>
        <w:tc>
          <w:tcPr>
            <w:tcW w:w="1666" w:type="dxa"/>
            <w:tcBorders>
              <w:top w:val="single" w:sz="4" w:space="0" w:color="auto"/>
            </w:tcBorders>
          </w:tcPr>
          <w:p w14:paraId="07AA175A" w14:textId="4D240C58" w:rsidR="002A0978" w:rsidRPr="00B44B19" w:rsidRDefault="000914C5" w:rsidP="000914C5">
            <w:pPr>
              <w:jc w:val="right"/>
              <w:rPr>
                <w:rFonts w:eastAsia="Times New Roman" w:cs="Times New Roman"/>
                <w:bCs/>
                <w:iCs/>
                <w:noProof/>
                <w:sz w:val="20"/>
              </w:rPr>
            </w:pPr>
            <w:r w:rsidRPr="00B44B19">
              <w:rPr>
                <w:rFonts w:cs="Times New Roman"/>
                <w:color w:val="000000"/>
                <w:sz w:val="20"/>
                <w:szCs w:val="20"/>
              </w:rPr>
              <w:t>113 820 159</w:t>
            </w:r>
            <w:r w:rsidR="00EE3496" w:rsidRPr="00B44B19">
              <w:rPr>
                <w:rFonts w:eastAsia="Times New Roman" w:cs="Times New Roman"/>
                <w:bCs/>
                <w:iCs/>
                <w:noProof/>
                <w:sz w:val="20"/>
              </w:rPr>
              <w:t>,00</w:t>
            </w:r>
          </w:p>
        </w:tc>
      </w:tr>
    </w:tbl>
    <w:p w14:paraId="156C3D9C" w14:textId="77777777" w:rsidR="00E438B8" w:rsidRPr="00B44B19" w:rsidRDefault="00E438B8" w:rsidP="00D970FC">
      <w:pPr>
        <w:spacing w:after="0" w:line="240" w:lineRule="auto"/>
        <w:rPr>
          <w:rFonts w:cs="Times New Roman"/>
        </w:rPr>
      </w:pPr>
    </w:p>
    <w:tbl>
      <w:tblPr>
        <w:tblStyle w:val="Lentelstinklelis23"/>
        <w:tblW w:w="9889" w:type="dxa"/>
        <w:tblLook w:val="04A0" w:firstRow="1" w:lastRow="0" w:firstColumn="1" w:lastColumn="0" w:noHBand="0" w:noVBand="1"/>
      </w:tblPr>
      <w:tblGrid>
        <w:gridCol w:w="1101"/>
        <w:gridCol w:w="850"/>
        <w:gridCol w:w="1418"/>
        <w:gridCol w:w="1134"/>
        <w:gridCol w:w="3737"/>
        <w:gridCol w:w="1649"/>
      </w:tblGrid>
      <w:tr w:rsidR="00F0112E" w:rsidRPr="00B44B19" w14:paraId="1269929D" w14:textId="77777777" w:rsidTr="005C3FAC">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4844C21" w14:textId="77777777" w:rsidR="00F0112E" w:rsidRPr="00B44B19" w:rsidRDefault="00F0112E" w:rsidP="00F0112E">
            <w:pPr>
              <w:rPr>
                <w:b/>
                <w:iCs/>
                <w:noProof/>
                <w:sz w:val="20"/>
                <w:szCs w:val="20"/>
              </w:rPr>
            </w:pPr>
            <w:r w:rsidRPr="00B44B19">
              <w:rPr>
                <w:b/>
                <w:noProof/>
                <w:sz w:val="20"/>
                <w:szCs w:val="20"/>
              </w:rPr>
              <w:t xml:space="preserve">7 lentelė. 7 matmuo. </w:t>
            </w:r>
            <w:r w:rsidRPr="00B44B19">
              <w:rPr>
                <w:b/>
                <w:sz w:val="20"/>
                <w:szCs w:val="20"/>
              </w:rPr>
              <w:t>ESF+, ERPF, SF ir TPF lyčių lygybės matmuo</w:t>
            </w:r>
          </w:p>
        </w:tc>
      </w:tr>
      <w:tr w:rsidR="00F0112E" w:rsidRPr="00B44B19" w14:paraId="3101FFF0" w14:textId="77777777"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A57FD" w14:textId="77777777" w:rsidR="00F0112E" w:rsidRPr="00B44B19" w:rsidRDefault="00F0112E" w:rsidP="00F0112E">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7E85A3" w14:textId="77777777" w:rsidR="00F0112E" w:rsidRPr="00B44B19" w:rsidRDefault="00F0112E" w:rsidP="00F0112E">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D99A74" w14:textId="77777777" w:rsidR="00F0112E" w:rsidRPr="00B44B19" w:rsidRDefault="00F0112E" w:rsidP="00F0112E">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071E9F" w14:textId="77777777" w:rsidR="00F0112E" w:rsidRPr="00B44B19" w:rsidRDefault="00F0112E" w:rsidP="00F0112E">
            <w:pPr>
              <w:jc w:val="center"/>
              <w:rPr>
                <w:b/>
                <w:iCs/>
                <w:noProof/>
                <w:sz w:val="20"/>
              </w:rPr>
            </w:pPr>
            <w:r w:rsidRPr="00B44B19">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2E825F" w14:textId="77777777" w:rsidR="00F0112E" w:rsidRPr="00B44B19" w:rsidRDefault="00F0112E" w:rsidP="00F0112E">
            <w:pPr>
              <w:jc w:val="center"/>
              <w:rPr>
                <w:b/>
                <w:iCs/>
                <w:noProof/>
                <w:sz w:val="20"/>
              </w:rPr>
            </w:pPr>
            <w:r w:rsidRPr="00B44B19">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4C2A5D" w14:textId="77777777" w:rsidR="00F0112E" w:rsidRPr="00B44B19" w:rsidRDefault="00F0112E" w:rsidP="00F0112E">
            <w:pPr>
              <w:jc w:val="center"/>
              <w:rPr>
                <w:b/>
                <w:iCs/>
                <w:noProof/>
                <w:sz w:val="20"/>
              </w:rPr>
            </w:pPr>
            <w:r w:rsidRPr="00B44B19">
              <w:rPr>
                <w:b/>
                <w:noProof/>
                <w:sz w:val="20"/>
              </w:rPr>
              <w:t>Suma (EUR)</w:t>
            </w:r>
          </w:p>
        </w:tc>
      </w:tr>
      <w:tr w:rsidR="00F0112E" w:rsidRPr="00B44B19" w14:paraId="216A8B6B" w14:textId="77777777" w:rsidTr="005C3FAC">
        <w:tc>
          <w:tcPr>
            <w:tcW w:w="1101" w:type="dxa"/>
            <w:vMerge w:val="restart"/>
            <w:tcBorders>
              <w:top w:val="single" w:sz="12" w:space="0" w:color="auto"/>
            </w:tcBorders>
          </w:tcPr>
          <w:p w14:paraId="34C45EF9" w14:textId="77777777" w:rsidR="00F0112E" w:rsidRPr="00B44B19" w:rsidRDefault="00F0112E" w:rsidP="00F0112E">
            <w:pPr>
              <w:jc w:val="center"/>
              <w:rPr>
                <w:iCs/>
                <w:noProof/>
                <w:sz w:val="20"/>
              </w:rPr>
            </w:pPr>
            <w:r w:rsidRPr="00B44B19">
              <w:rPr>
                <w:iCs/>
                <w:noProof/>
                <w:sz w:val="20"/>
              </w:rPr>
              <w:t>2.</w:t>
            </w:r>
          </w:p>
        </w:tc>
        <w:tc>
          <w:tcPr>
            <w:tcW w:w="850" w:type="dxa"/>
            <w:tcBorders>
              <w:top w:val="single" w:sz="12" w:space="0" w:color="auto"/>
            </w:tcBorders>
          </w:tcPr>
          <w:p w14:paraId="6C7C468E" w14:textId="77777777" w:rsidR="00F0112E" w:rsidRPr="00B44B19" w:rsidRDefault="00F0112E" w:rsidP="00F0112E">
            <w:pPr>
              <w:jc w:val="center"/>
              <w:rPr>
                <w:iCs/>
                <w:noProof/>
                <w:sz w:val="20"/>
              </w:rPr>
            </w:pPr>
            <w:r w:rsidRPr="00B44B19">
              <w:rPr>
                <w:iCs/>
                <w:noProof/>
                <w:sz w:val="20"/>
              </w:rPr>
              <w:t>SaF</w:t>
            </w:r>
          </w:p>
        </w:tc>
        <w:tc>
          <w:tcPr>
            <w:tcW w:w="1418" w:type="dxa"/>
            <w:tcBorders>
              <w:top w:val="single" w:sz="12" w:space="0" w:color="auto"/>
            </w:tcBorders>
          </w:tcPr>
          <w:p w14:paraId="76AB9617" w14:textId="77777777" w:rsidR="00F0112E" w:rsidRPr="00B44B19" w:rsidRDefault="00F0112E" w:rsidP="00F0112E">
            <w:pPr>
              <w:rPr>
                <w:iCs/>
                <w:noProof/>
                <w:sz w:val="20"/>
              </w:rPr>
            </w:pPr>
            <w:r w:rsidRPr="00B44B19">
              <w:rPr>
                <w:iCs/>
                <w:noProof/>
                <w:sz w:val="20"/>
              </w:rPr>
              <w:t>Visa Lietuva</w:t>
            </w:r>
          </w:p>
        </w:tc>
        <w:tc>
          <w:tcPr>
            <w:tcW w:w="1134" w:type="dxa"/>
            <w:vMerge w:val="restart"/>
            <w:tcBorders>
              <w:top w:val="single" w:sz="12" w:space="0" w:color="auto"/>
            </w:tcBorders>
          </w:tcPr>
          <w:p w14:paraId="2FA9EEC3" w14:textId="77777777" w:rsidR="00F0112E" w:rsidRPr="00B44B19" w:rsidRDefault="00F0112E" w:rsidP="00F0112E">
            <w:pPr>
              <w:jc w:val="center"/>
              <w:rPr>
                <w:iCs/>
                <w:noProof/>
                <w:sz w:val="20"/>
              </w:rPr>
            </w:pPr>
            <w:r w:rsidRPr="00B44B19">
              <w:rPr>
                <w:iCs/>
                <w:noProof/>
                <w:sz w:val="20"/>
              </w:rPr>
              <w:t>2.2</w:t>
            </w:r>
          </w:p>
        </w:tc>
        <w:tc>
          <w:tcPr>
            <w:tcW w:w="3737" w:type="dxa"/>
            <w:vMerge w:val="restart"/>
            <w:tcBorders>
              <w:top w:val="single" w:sz="12" w:space="0" w:color="auto"/>
            </w:tcBorders>
          </w:tcPr>
          <w:p w14:paraId="253972CD" w14:textId="77777777" w:rsidR="00F0112E" w:rsidRPr="00B44B19" w:rsidRDefault="00F0112E" w:rsidP="0049648E">
            <w:pPr>
              <w:rPr>
                <w:iCs/>
                <w:noProof/>
                <w:sz w:val="20"/>
              </w:rPr>
            </w:pPr>
            <w:r w:rsidRPr="00B44B19">
              <w:rPr>
                <w:iCs/>
                <w:noProof/>
                <w:sz w:val="20"/>
              </w:rPr>
              <w:t xml:space="preserve">03 </w:t>
            </w:r>
            <w:r w:rsidR="0049648E" w:rsidRPr="00B44B19">
              <w:rPr>
                <w:iCs/>
                <w:noProof/>
                <w:sz w:val="20"/>
              </w:rPr>
              <w:t>–</w:t>
            </w:r>
            <w:r w:rsidRPr="00B44B19">
              <w:rPr>
                <w:iCs/>
                <w:noProof/>
                <w:sz w:val="20"/>
              </w:rPr>
              <w:t xml:space="preserve"> Neutralumas lyties požiūriu</w:t>
            </w:r>
          </w:p>
        </w:tc>
        <w:tc>
          <w:tcPr>
            <w:tcW w:w="1649" w:type="dxa"/>
            <w:tcBorders>
              <w:top w:val="single" w:sz="12" w:space="0" w:color="auto"/>
            </w:tcBorders>
          </w:tcPr>
          <w:p w14:paraId="27F5F2A6" w14:textId="77777777" w:rsidR="00F0112E" w:rsidRPr="00B44B19" w:rsidRDefault="00F0112E" w:rsidP="00F0112E">
            <w:pPr>
              <w:jc w:val="right"/>
              <w:rPr>
                <w:iCs/>
                <w:noProof/>
                <w:sz w:val="20"/>
              </w:rPr>
            </w:pPr>
            <w:r w:rsidRPr="00B44B19">
              <w:rPr>
                <w:iCs/>
                <w:noProof/>
                <w:sz w:val="20"/>
              </w:rPr>
              <w:t>124 165 619,00</w:t>
            </w:r>
          </w:p>
        </w:tc>
      </w:tr>
      <w:tr w:rsidR="00F0112E" w:rsidRPr="00B44B19" w14:paraId="3DA226D1" w14:textId="77777777" w:rsidTr="005C3FAC">
        <w:tc>
          <w:tcPr>
            <w:tcW w:w="1101" w:type="dxa"/>
            <w:vMerge/>
          </w:tcPr>
          <w:p w14:paraId="0F735BCB" w14:textId="77777777" w:rsidR="00F0112E" w:rsidRPr="00B44B19" w:rsidRDefault="00F0112E" w:rsidP="00F0112E">
            <w:pPr>
              <w:jc w:val="center"/>
              <w:rPr>
                <w:iCs/>
                <w:noProof/>
                <w:sz w:val="20"/>
              </w:rPr>
            </w:pPr>
          </w:p>
        </w:tc>
        <w:tc>
          <w:tcPr>
            <w:tcW w:w="850" w:type="dxa"/>
          </w:tcPr>
          <w:p w14:paraId="57953F01" w14:textId="77777777" w:rsidR="00F0112E" w:rsidRPr="00B44B19" w:rsidRDefault="00F0112E" w:rsidP="00F0112E">
            <w:pPr>
              <w:jc w:val="center"/>
              <w:rPr>
                <w:iCs/>
                <w:noProof/>
                <w:sz w:val="20"/>
              </w:rPr>
            </w:pPr>
            <w:r w:rsidRPr="00B44B19">
              <w:rPr>
                <w:iCs/>
                <w:noProof/>
                <w:sz w:val="20"/>
              </w:rPr>
              <w:t>ERPF</w:t>
            </w:r>
          </w:p>
        </w:tc>
        <w:tc>
          <w:tcPr>
            <w:tcW w:w="1418" w:type="dxa"/>
          </w:tcPr>
          <w:p w14:paraId="139EF56A" w14:textId="77777777" w:rsidR="00F0112E" w:rsidRPr="00B44B19" w:rsidRDefault="00F0112E" w:rsidP="00F0112E">
            <w:pPr>
              <w:rPr>
                <w:iCs/>
                <w:noProof/>
                <w:sz w:val="20"/>
              </w:rPr>
            </w:pPr>
            <w:r w:rsidRPr="00B44B19">
              <w:rPr>
                <w:iCs/>
                <w:noProof/>
                <w:sz w:val="20"/>
              </w:rPr>
              <w:t>VVL regionas</w:t>
            </w:r>
          </w:p>
        </w:tc>
        <w:tc>
          <w:tcPr>
            <w:tcW w:w="1134" w:type="dxa"/>
            <w:vMerge/>
          </w:tcPr>
          <w:p w14:paraId="54399423" w14:textId="77777777" w:rsidR="00F0112E" w:rsidRPr="00B44B19" w:rsidRDefault="00F0112E" w:rsidP="00F0112E">
            <w:pPr>
              <w:jc w:val="center"/>
              <w:rPr>
                <w:iCs/>
                <w:noProof/>
                <w:sz w:val="20"/>
              </w:rPr>
            </w:pPr>
          </w:p>
        </w:tc>
        <w:tc>
          <w:tcPr>
            <w:tcW w:w="3737" w:type="dxa"/>
            <w:vMerge/>
          </w:tcPr>
          <w:p w14:paraId="3FF4D822" w14:textId="77777777" w:rsidR="00F0112E" w:rsidRPr="00B44B19" w:rsidRDefault="00F0112E" w:rsidP="00F0112E">
            <w:pPr>
              <w:jc w:val="center"/>
              <w:rPr>
                <w:iCs/>
                <w:noProof/>
                <w:sz w:val="20"/>
              </w:rPr>
            </w:pPr>
          </w:p>
        </w:tc>
        <w:tc>
          <w:tcPr>
            <w:tcW w:w="1649" w:type="dxa"/>
          </w:tcPr>
          <w:p w14:paraId="2F146CE4" w14:textId="7AFA7970" w:rsidR="00F0112E" w:rsidRPr="00B44B19" w:rsidRDefault="000914C5" w:rsidP="000914C5">
            <w:pPr>
              <w:jc w:val="right"/>
              <w:rPr>
                <w:iCs/>
                <w:noProof/>
                <w:sz w:val="20"/>
              </w:rPr>
            </w:pPr>
            <w:r w:rsidRPr="00B44B19">
              <w:rPr>
                <w:color w:val="000000"/>
                <w:sz w:val="20"/>
                <w:szCs w:val="20"/>
              </w:rPr>
              <w:t>113 820 159</w:t>
            </w:r>
            <w:r w:rsidR="00EE3496" w:rsidRPr="00B44B19">
              <w:rPr>
                <w:iCs/>
                <w:noProof/>
                <w:sz w:val="20"/>
              </w:rPr>
              <w:t>,00</w:t>
            </w:r>
          </w:p>
        </w:tc>
      </w:tr>
    </w:tbl>
    <w:p w14:paraId="10B7FE6A" w14:textId="77777777" w:rsidR="00FE2852" w:rsidRPr="00B44B19" w:rsidRDefault="00FE2852" w:rsidP="00D456C1">
      <w:pPr>
        <w:pStyle w:val="Antrat2"/>
      </w:pPr>
      <w:bookmarkStart w:id="23" w:name="_Toc223435417"/>
      <w:r w:rsidRPr="00B44B19">
        <w:t xml:space="preserve">Konkretus uždavinys – 2.3. </w:t>
      </w:r>
      <w:r w:rsidR="00C873E5" w:rsidRPr="00B44B19">
        <w:rPr>
          <w:lang w:bidi="lt-LT"/>
        </w:rPr>
        <w:t>Plėtoti pažangiąsias elektros energijos sistemas, tinklus ir energijos kaupimo ne transeuropiniame energetikos tinkle (TEN-E) sprendimus</w:t>
      </w:r>
      <w:bookmarkEnd w:id="23"/>
    </w:p>
    <w:p w14:paraId="7DA7DDDA" w14:textId="77777777" w:rsidR="00FE2852" w:rsidRPr="00B44B19" w:rsidRDefault="00FE2852" w:rsidP="003F5982">
      <w:pPr>
        <w:pStyle w:val="Stilius1"/>
        <w:rPr>
          <w:rFonts w:cs="Times New Roman"/>
        </w:rPr>
      </w:pPr>
      <w:r w:rsidRPr="00B44B19">
        <w:rPr>
          <w:rFonts w:cs="Times New Roman"/>
        </w:rPr>
        <w:t>Įgyvendinamos veiklos</w:t>
      </w:r>
    </w:p>
    <w:tbl>
      <w:tblPr>
        <w:tblStyle w:val="Lentelstinklelis2"/>
        <w:tblW w:w="0" w:type="auto"/>
        <w:tblLook w:val="04A0" w:firstRow="1" w:lastRow="0" w:firstColumn="1" w:lastColumn="0" w:noHBand="0" w:noVBand="1"/>
      </w:tblPr>
      <w:tblGrid>
        <w:gridCol w:w="9628"/>
      </w:tblGrid>
      <w:tr w:rsidR="00FE2852" w:rsidRPr="00B44B19" w14:paraId="0C12C35A"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BF700FD" w14:textId="77777777" w:rsidR="00047082" w:rsidRPr="00B44B19" w:rsidRDefault="0049648E" w:rsidP="004952F4">
            <w:pPr>
              <w:autoSpaceDE w:val="0"/>
              <w:autoSpaceDN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Šis uždavinys prisidės prie elektros energijos tiekimo saugumo – vienos iš svarbiausių ES klimato kaitos ir energetikos politikos sudedamųjų dalių, kurią sudaro keletas bazinių elementų, iš kurių vienas – elektros energetikos sistemos adekvatumas, pabrėžiantis būtinybę užtikrinti pakankamą pajėgumų kiekį ir tinklų pralaidumą, kurie garantuoja, kad bus patenkinti vartotojų elektros energijos poreikiai, įvertinant generuojančių šaltinių ir tarpsisteminių jungčių prieinamumą bei elektros energijos tinklų apkrovos charakteristikas.</w:t>
            </w:r>
          </w:p>
          <w:p w14:paraId="3DEDA913" w14:textId="77777777" w:rsidR="00047082" w:rsidRPr="00B44B19" w:rsidRDefault="0049648E"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2021–2027 m. didžiausias dėmesys bus skiriamas skirstomajam tinklui skaitmenizuoti ir modernizuoti, sudarant technines ir rinkos organizavimo sąlygas tvariai paskirstytosios generacijos iš AEI plėtrai. </w:t>
            </w:r>
            <w:r w:rsidR="00047082" w:rsidRPr="00B44B19">
              <w:rPr>
                <w:rFonts w:ascii="Times New Roman" w:eastAsia="Times New Roman" w:hAnsi="Times New Roman" w:cs="Times New Roman"/>
              </w:rPr>
              <w:t xml:space="preserve">Siekiant sėkmingai integruoti didesnius atsinaujinančios energijos kiekius ir didelį elektrą gaminančių vartotojų </w:t>
            </w:r>
            <w:r w:rsidR="00047082" w:rsidRPr="00B44B19">
              <w:rPr>
                <w:rFonts w:ascii="Times New Roman" w:eastAsia="Times New Roman" w:hAnsi="Times New Roman" w:cs="Times New Roman"/>
              </w:rPr>
              <w:lastRenderedPageBreak/>
              <w:t>skaičių, numatoma kompleksiškai spręsti su tuo susijusius tinklo technologinius bei elektros energijos kokybės, patikimumo iššūkius. Investicijos į pažangaus elektros skirstomojo tinklo elementų, pažangių energijos sistemų diegimą, skirstomojo tinklo kokybės analizę ir stebėseną leis sukurti galimybes prijungti AEI bei integraliai užtikrins tiekiamos elektros energijos kokybę ir patikimumą esamiems ir būsimiems gaminantiems vartotojams.</w:t>
            </w:r>
          </w:p>
          <w:p w14:paraId="617C1C76" w14:textId="77777777" w:rsidR="00047082" w:rsidRPr="00B44B19" w:rsidRDefault="00047082"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Tinklo tolesnis pažangumo didinimas, nuotolinio stebėjimo ir valdymo gerinimas reikšmingai padidintų tinklo patikimumą</w:t>
            </w:r>
            <w:r w:rsidRPr="00B44B19">
              <w:rPr>
                <w:rFonts w:ascii="Times New Roman" w:eastAsia="Times New Roman" w:hAnsi="Times New Roman" w:cs="Times New Roman"/>
                <w:color w:val="1F497D"/>
              </w:rPr>
              <w:t xml:space="preserve"> </w:t>
            </w:r>
            <w:r w:rsidRPr="00B44B19">
              <w:rPr>
                <w:rFonts w:ascii="Times New Roman" w:eastAsia="Times New Roman" w:hAnsi="Times New Roman" w:cs="Times New Roman"/>
              </w:rPr>
              <w:t xml:space="preserve">ir AEI integravimo galimybes. </w:t>
            </w:r>
            <w:r w:rsidRPr="00B44B19">
              <w:rPr>
                <w:rFonts w:ascii="Times New Roman" w:eastAsia="Times New Roman" w:hAnsi="Times New Roman" w:cs="Times New Roman"/>
                <w:lang w:eastAsia="lt-LT"/>
              </w:rPr>
              <w:t xml:space="preserve">2014–2020 m. laikotarpiu Lietuva investavo į elektros skirstomojo tinklo modernizavimą, diegiant pažangius skirstomojo tinklo elementus </w:t>
            </w:r>
            <w:r w:rsidR="0049648E" w:rsidRPr="00B44B19">
              <w:rPr>
                <w:rFonts w:ascii="Times New Roman" w:eastAsia="Times New Roman" w:hAnsi="Times New Roman" w:cs="Times New Roman"/>
                <w:lang w:eastAsia="lt-LT"/>
              </w:rPr>
              <w:t xml:space="preserve">ir </w:t>
            </w:r>
            <w:r w:rsidRPr="00B44B19">
              <w:rPr>
                <w:rFonts w:ascii="Times New Roman" w:eastAsia="Times New Roman" w:hAnsi="Times New Roman" w:cs="Times New Roman"/>
                <w:lang w:eastAsia="lt-LT"/>
              </w:rPr>
              <w:t xml:space="preserve">pažangaus tinklo plėtrą. Modernizuojant tinklą, buvo investuojama į transformatorių pastočių ir skirstomųjų punktų pažangumo didinimą. Nepaisant atliktų investicijų, dalis transformatorių pastočių ir skirstomųjų punktų, svarbių AEI integravimui, </w:t>
            </w:r>
            <w:r w:rsidR="0049648E" w:rsidRPr="00B44B19">
              <w:rPr>
                <w:rFonts w:ascii="Times New Roman" w:eastAsia="Times New Roman" w:hAnsi="Times New Roman" w:cs="Times New Roman"/>
                <w:lang w:eastAsia="lt-LT"/>
              </w:rPr>
              <w:t xml:space="preserve">dar </w:t>
            </w:r>
            <w:r w:rsidRPr="00B44B19">
              <w:rPr>
                <w:rFonts w:ascii="Times New Roman" w:eastAsia="Times New Roman" w:hAnsi="Times New Roman" w:cs="Times New Roman"/>
                <w:lang w:eastAsia="lt-LT"/>
              </w:rPr>
              <w:t xml:space="preserve">nemodernizuoti. </w:t>
            </w:r>
            <w:r w:rsidRPr="00B44B19">
              <w:rPr>
                <w:rFonts w:ascii="Times New Roman" w:eastAsia="Times New Roman" w:hAnsi="Times New Roman" w:cs="Times New Roman"/>
              </w:rPr>
              <w:t xml:space="preserve">Todėl </w:t>
            </w:r>
            <w:r w:rsidRPr="00B44B19">
              <w:rPr>
                <w:rFonts w:ascii="Times New Roman" w:eastAsia="Times New Roman" w:hAnsi="Times New Roman" w:cs="Times New Roman"/>
                <w:lang w:eastAsia="lt-LT"/>
              </w:rPr>
              <w:t>2021–2027 m. perspektyvoje</w:t>
            </w:r>
            <w:r w:rsidRPr="00B44B19">
              <w:rPr>
                <w:rFonts w:ascii="Times New Roman" w:eastAsia="Times New Roman" w:hAnsi="Times New Roman" w:cs="Times New Roman"/>
              </w:rPr>
              <w:t xml:space="preserve"> toliau bus didinamas tinklo automatizavimo ir nuotolinio valdymo lygis, </w:t>
            </w:r>
            <w:r w:rsidRPr="00B44B19">
              <w:rPr>
                <w:rFonts w:ascii="Times New Roman" w:eastAsia="Times New Roman" w:hAnsi="Times New Roman" w:cs="Times New Roman"/>
                <w:lang w:eastAsia="lt-LT"/>
              </w:rPr>
              <w:t xml:space="preserve">diegiant valdymo automatiką skirstomuosiuose punktuose, modernizuojant transformatorių pastotes, statant valdomus </w:t>
            </w:r>
            <w:r w:rsidR="0049648E" w:rsidRPr="00B44B19">
              <w:rPr>
                <w:rFonts w:ascii="Times New Roman" w:eastAsia="Times New Roman" w:hAnsi="Times New Roman" w:cs="Times New Roman"/>
                <w:lang w:eastAsia="lt-LT"/>
              </w:rPr>
              <w:t xml:space="preserve">transformatorius, leisiančius valdyti įtampų svyravimus ir integruoti elektros iš AEI gamybos įrenginius; bus </w:t>
            </w:r>
            <w:r w:rsidR="0049648E" w:rsidRPr="00B44B19">
              <w:rPr>
                <w:rFonts w:ascii="Times New Roman" w:eastAsia="Times New Roman" w:hAnsi="Times New Roman" w:cs="Times New Roman"/>
              </w:rPr>
              <w:t>užtikrinamas informacijos surinkimas realiuoju laiku apie tinklo būklę, tinklo apkrovą bei tinklo apkrovos duomenų naudojimas tinklui optimizuoti.</w:t>
            </w:r>
          </w:p>
          <w:p w14:paraId="715CBD8C" w14:textId="77777777" w:rsidR="00047082" w:rsidRPr="00B44B19" w:rsidRDefault="00047082" w:rsidP="000C5E31">
            <w:pPr>
              <w:autoSpaceDE w:val="0"/>
              <w:autoSpaceDN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Naujų technologijų plėtra skatins elektros rinkos vystymąsi, elektros energijos vartotojų aktyvumą. </w:t>
            </w:r>
            <w:r w:rsidR="006446A0" w:rsidRPr="00B44B19">
              <w:rPr>
                <w:rFonts w:ascii="Times New Roman" w:eastAsia="Times New Roman" w:hAnsi="Times New Roman" w:cs="Times New Roman"/>
              </w:rPr>
              <w:t>2021-2027 m.</w:t>
            </w:r>
            <w:r w:rsidRPr="00B44B19">
              <w:rPr>
                <w:rFonts w:ascii="Times New Roman" w:eastAsia="Times New Roman" w:hAnsi="Times New Roman" w:cs="Times New Roman"/>
              </w:rPr>
              <w:t xml:space="preserve"> finansavimo laikotarpiu bus siekiama sudaryti sąlygas įgalinti rinką teikti naujas aukštesnės kokybės paslaugas tokiu būdu, kad vartotojai galėtų </w:t>
            </w:r>
            <w:r w:rsidR="0049648E" w:rsidRPr="00B44B19">
              <w:rPr>
                <w:rFonts w:ascii="Times New Roman" w:eastAsia="Times New Roman" w:hAnsi="Times New Roman" w:cs="Times New Roman"/>
              </w:rPr>
              <w:t>dalyvauti valdant elektros sistemą ir teikiant lanksčias sistemines paslaugas.</w:t>
            </w:r>
            <w:r w:rsidRPr="00B44B19">
              <w:rPr>
                <w:rFonts w:ascii="Times New Roman" w:eastAsia="Times New Roman" w:hAnsi="Times New Roman" w:cs="Times New Roman"/>
              </w:rPr>
              <w:t xml:space="preserve"> Tuo tikslu energetikos sektoriuje bus diegiamas atvirų duomenų modelis, kuriama atvirą prieigą turinti energijos rinkos gamybos, tiekimo ir vartojimo duomenų </w:t>
            </w:r>
            <w:r w:rsidR="00506603" w:rsidRPr="00B44B19">
              <w:rPr>
                <w:rFonts w:ascii="Times New Roman" w:eastAsia="Times New Roman" w:hAnsi="Times New Roman" w:cs="Times New Roman"/>
              </w:rPr>
              <w:t xml:space="preserve">bazė (angl. </w:t>
            </w:r>
            <w:r w:rsidR="00506603" w:rsidRPr="00B44B19">
              <w:rPr>
                <w:rFonts w:ascii="Times New Roman" w:eastAsia="Times New Roman" w:hAnsi="Times New Roman" w:cs="Times New Roman"/>
                <w:i/>
                <w:iCs/>
              </w:rPr>
              <w:t>data hub</w:t>
            </w:r>
            <w:r w:rsidR="00506603" w:rsidRPr="00B44B19">
              <w:rPr>
                <w:rFonts w:ascii="Times New Roman" w:eastAsia="Times New Roman" w:hAnsi="Times New Roman" w:cs="Times New Roman"/>
              </w:rPr>
              <w:t xml:space="preserve">), kuriais </w:t>
            </w:r>
            <w:r w:rsidRPr="00B44B19">
              <w:rPr>
                <w:rFonts w:ascii="Times New Roman" w:eastAsia="Times New Roman" w:hAnsi="Times New Roman" w:cs="Times New Roman"/>
              </w:rPr>
              <w:t>bus siekiama įgalinti ir didinti elektros sistemos lankstumą (tiekimą, kaupimą, telkimą, apkrovos valdymą ir kt.). Tai leis matyti gamybos, vartojimo ir su klimato kaita susijusių rodiklių visumą, sudarys sąlygas modeliuoti politikos priemonių poveikį, vartotojų ir rinkos dalyvių elgesį, diegti naujus verslo modelius ir skatinti energetikos ūkio skaitmenizavimą, prisidės rengiant tvarius ir ekonomiškai naudingiausius Lietuvos perėjimo prie neutralios klimatui ekonomikos iki 2050 m. scenarijus.</w:t>
            </w:r>
            <w:r w:rsidRPr="00B44B19">
              <w:rPr>
                <w:rFonts w:ascii="Times New Roman" w:eastAsia="Times New Roman" w:hAnsi="Times New Roman" w:cs="Times New Roman"/>
                <w:i/>
                <w:iCs/>
                <w:highlight w:val="yellow"/>
              </w:rPr>
              <w:t xml:space="preserve"> </w:t>
            </w:r>
          </w:p>
          <w:p w14:paraId="0DE0862B" w14:textId="77777777" w:rsidR="00047082" w:rsidRPr="00B44B19" w:rsidRDefault="00047082"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Veiksmas, siekiant didinti elektros energijos tiekimo kokybę ir lankstumą:</w:t>
            </w:r>
          </w:p>
          <w:p w14:paraId="7987DF15" w14:textId="14302458" w:rsidR="00047082" w:rsidRPr="00B44B19" w:rsidRDefault="00047082" w:rsidP="000C5E31">
            <w:pPr>
              <w:spacing w:before="60" w:after="60"/>
              <w:jc w:val="both"/>
              <w:textAlignment w:val="top"/>
              <w:rPr>
                <w:rFonts w:ascii="Times New Roman" w:eastAsia="Times New Roman" w:hAnsi="Times New Roman" w:cs="Times New Roman"/>
              </w:rPr>
            </w:pPr>
            <w:r w:rsidRPr="00B44B19">
              <w:rPr>
                <w:rFonts w:ascii="Times New Roman" w:eastAsia="Times New Roman" w:hAnsi="Times New Roman" w:cs="Times New Roman"/>
                <w:b/>
                <w:bCs/>
              </w:rPr>
              <w:t xml:space="preserve">Diegti išmaniuosius </w:t>
            </w:r>
            <w:r w:rsidR="00094622" w:rsidRPr="00B44B19">
              <w:rPr>
                <w:rFonts w:ascii="Times New Roman" w:eastAsia="Times New Roman" w:hAnsi="Times New Roman" w:cs="Times New Roman"/>
                <w:b/>
                <w:bCs/>
              </w:rPr>
              <w:t xml:space="preserve">bei skirstomojo tinklo pralaidumą didinančius </w:t>
            </w:r>
            <w:r w:rsidRPr="00B44B19">
              <w:rPr>
                <w:rFonts w:ascii="Times New Roman" w:eastAsia="Times New Roman" w:hAnsi="Times New Roman" w:cs="Times New Roman"/>
                <w:b/>
                <w:bCs/>
              </w:rPr>
              <w:t>sprendimus į elektros skirstomąjį tinklą paskirstytosios gamybos iš AEI</w:t>
            </w:r>
            <w:r w:rsidR="000C5E31" w:rsidRPr="00B44B19">
              <w:rPr>
                <w:rFonts w:ascii="Times New Roman" w:eastAsia="Times New Roman" w:hAnsi="Times New Roman" w:cs="Times New Roman"/>
                <w:b/>
                <w:bCs/>
              </w:rPr>
              <w:t xml:space="preserve"> </w:t>
            </w:r>
            <w:r w:rsidRPr="00B44B19">
              <w:rPr>
                <w:rFonts w:ascii="Times New Roman" w:eastAsia="Times New Roman" w:hAnsi="Times New Roman" w:cs="Times New Roman"/>
                <w:b/>
                <w:bCs/>
              </w:rPr>
              <w:t>ir energijos kaupimo integravimui</w:t>
            </w:r>
            <w:r w:rsidR="003A660F" w:rsidRPr="00B44B19">
              <w:rPr>
                <w:rFonts w:ascii="Times New Roman" w:eastAsia="Times New Roman" w:hAnsi="Times New Roman" w:cs="Times New Roman"/>
                <w:b/>
                <w:bCs/>
              </w:rPr>
              <w:t xml:space="preserve">, </w:t>
            </w:r>
            <w:r w:rsidRPr="00B44B19">
              <w:rPr>
                <w:rFonts w:ascii="Times New Roman" w:eastAsia="Times New Roman" w:hAnsi="Times New Roman" w:cs="Times New Roman"/>
                <w:b/>
                <w:bCs/>
              </w:rPr>
              <w:t>ir valdymu</w:t>
            </w:r>
            <w:r w:rsidR="000C5E31" w:rsidRPr="00B44B19">
              <w:rPr>
                <w:rFonts w:ascii="Times New Roman" w:eastAsia="Times New Roman" w:hAnsi="Times New Roman" w:cs="Times New Roman"/>
                <w:b/>
                <w:bCs/>
              </w:rPr>
              <w:t>i</w:t>
            </w:r>
            <w:r w:rsidRPr="00B44B19">
              <w:rPr>
                <w:rFonts w:ascii="Times New Roman" w:eastAsia="Times New Roman" w:hAnsi="Times New Roman" w:cs="Times New Roman"/>
                <w:b/>
                <w:bCs/>
              </w:rPr>
              <w:t xml:space="preserve">: </w:t>
            </w:r>
            <w:r w:rsidRPr="00B44B19">
              <w:rPr>
                <w:rFonts w:ascii="Times New Roman" w:eastAsia="Times New Roman" w:hAnsi="Times New Roman" w:cs="Times New Roman"/>
              </w:rPr>
              <w:t xml:space="preserve">bus skatinama skirstomajame tinkle diegti pažangaus tinklo elementus, sprendžiančius esamus tinklo technologinius </w:t>
            </w:r>
            <w:r w:rsidR="00506603" w:rsidRPr="00B44B19">
              <w:rPr>
                <w:rFonts w:ascii="Times New Roman" w:eastAsia="Times New Roman" w:hAnsi="Times New Roman" w:cs="Times New Roman"/>
              </w:rPr>
              <w:t>trūkumus, kad būtų galima integruoti elektros iš AEI gamybos įrenginius, AEI</w:t>
            </w:r>
            <w:r w:rsidRPr="00B44B19">
              <w:rPr>
                <w:rFonts w:ascii="Times New Roman" w:eastAsia="Times New Roman" w:hAnsi="Times New Roman" w:cs="Times New Roman"/>
              </w:rPr>
              <w:t xml:space="preserve"> darbo režimų stebėsenos ir valdymo sprendimus, informacines sistemas, įskaitant duomenų mainų platformas, kuriomis bus siekiama sudaryti galimybes vartotojams vartoti, kaupti ir parduoti rinkai pačių pasigamintą elektros energiją, ir kitas apkrovos valdymo </w:t>
            </w:r>
            <w:r w:rsidR="00506603" w:rsidRPr="00B44B19">
              <w:rPr>
                <w:rFonts w:ascii="Times New Roman" w:eastAsia="Times New Roman" w:hAnsi="Times New Roman" w:cs="Times New Roman"/>
              </w:rPr>
              <w:t xml:space="preserve">paslaugas, taip </w:t>
            </w:r>
            <w:r w:rsidRPr="00B44B19">
              <w:rPr>
                <w:rFonts w:ascii="Times New Roman" w:eastAsia="Times New Roman" w:hAnsi="Times New Roman" w:cs="Times New Roman"/>
              </w:rPr>
              <w:t>prisidedant prie elektros sistemos lankstumo didinimo.</w:t>
            </w:r>
            <w:r w:rsidRPr="00B44B19">
              <w:rPr>
                <w:rFonts w:ascii="Times New Roman" w:eastAsia="Times New Roman" w:hAnsi="Times New Roman" w:cs="Times New Roman"/>
                <w:b/>
                <w:bCs/>
              </w:rPr>
              <w:t xml:space="preserve"> </w:t>
            </w:r>
          </w:p>
          <w:p w14:paraId="6C86230F" w14:textId="1EEEC7C1" w:rsidR="00FE2852" w:rsidRPr="00B44B19" w:rsidRDefault="00506603" w:rsidP="000C5E31">
            <w:pPr>
              <w:pStyle w:val="Sraopastraipa"/>
              <w:tabs>
                <w:tab w:val="left" w:pos="492"/>
              </w:tabs>
              <w:spacing w:before="60" w:after="60"/>
              <w:ind w:left="0"/>
              <w:contextualSpacing w:val="0"/>
              <w:jc w:val="both"/>
              <w:textAlignment w:val="top"/>
              <w:rPr>
                <w:rFonts w:ascii="Times New Roman" w:eastAsia="Times New Roman" w:hAnsi="Times New Roman" w:cs="Times New Roman"/>
                <w:lang w:eastAsia="lt-LT"/>
              </w:rPr>
            </w:pPr>
            <w:r w:rsidRPr="00B44B19">
              <w:rPr>
                <w:rFonts w:ascii="Times New Roman" w:eastAsia="Times New Roman" w:hAnsi="Times New Roman" w:cs="Times New Roman"/>
                <w:lang w:eastAsia="lt-LT"/>
              </w:rPr>
              <w:t>Siekiant užtikrinti AEI plėtrą, bus</w:t>
            </w:r>
            <w:r w:rsidR="00047082" w:rsidRPr="00B44B19">
              <w:rPr>
                <w:rFonts w:ascii="Times New Roman" w:eastAsia="Times New Roman" w:hAnsi="Times New Roman" w:cs="Times New Roman"/>
                <w:lang w:eastAsia="lt-LT"/>
              </w:rPr>
              <w:t xml:space="preserve"> investuojama į inovatyvių ir pažangių tinklo elementų, pažangių tinklo valdymo ir automatizavimo sprendimų, tinklo elementų būklės stebėsenos </w:t>
            </w:r>
            <w:r w:rsidR="00094622" w:rsidRPr="00B44B19">
              <w:rPr>
                <w:rFonts w:ascii="Times New Roman" w:eastAsia="Times New Roman" w:hAnsi="Times New Roman" w:cs="Times New Roman"/>
                <w:lang w:eastAsia="lt-LT"/>
              </w:rPr>
              <w:t xml:space="preserve">bei skirstomojo tinklo pralaidumą didinančius </w:t>
            </w:r>
            <w:r w:rsidR="00047082" w:rsidRPr="00B44B19">
              <w:rPr>
                <w:rFonts w:ascii="Times New Roman" w:eastAsia="Times New Roman" w:hAnsi="Times New Roman" w:cs="Times New Roman"/>
                <w:lang w:eastAsia="lt-LT"/>
              </w:rPr>
              <w:t>sprendimų diegimą.</w:t>
            </w:r>
            <w:r w:rsidR="00047082" w:rsidRPr="00B44B19">
              <w:rPr>
                <w:rFonts w:ascii="Times New Roman" w:eastAsia="Times New Roman" w:hAnsi="Times New Roman" w:cs="Times New Roman"/>
                <w:b/>
                <w:bCs/>
                <w:lang w:eastAsia="lt-LT"/>
              </w:rPr>
              <w:t xml:space="preserve"> </w:t>
            </w:r>
            <w:r w:rsidR="00047082" w:rsidRPr="00B44B19">
              <w:rPr>
                <w:rFonts w:ascii="Times New Roman" w:eastAsia="Times New Roman" w:hAnsi="Times New Roman" w:cs="Times New Roman"/>
                <w:lang w:eastAsia="lt-LT"/>
              </w:rPr>
              <w:t xml:space="preserve">Dėl sparčiai </w:t>
            </w:r>
            <w:r w:rsidRPr="00B44B19">
              <w:rPr>
                <w:rFonts w:ascii="Times New Roman" w:eastAsia="Times New Roman" w:hAnsi="Times New Roman" w:cs="Times New Roman"/>
                <w:lang w:eastAsia="lt-LT"/>
              </w:rPr>
              <w:t>augančio elektros iš AEI gamybos įrenginių kiekio ir jų integravimo</w:t>
            </w:r>
            <w:r w:rsidR="00047082" w:rsidRPr="00B44B19">
              <w:rPr>
                <w:rFonts w:ascii="Times New Roman" w:eastAsia="Times New Roman" w:hAnsi="Times New Roman" w:cs="Times New Roman"/>
                <w:lang w:eastAsia="lt-LT"/>
              </w:rPr>
              <w:t xml:space="preserve"> į tinklą vis </w:t>
            </w:r>
            <w:r w:rsidRPr="00B44B19">
              <w:rPr>
                <w:rFonts w:ascii="Times New Roman" w:eastAsia="Times New Roman" w:hAnsi="Times New Roman" w:cs="Times New Roman"/>
                <w:lang w:eastAsia="lt-LT"/>
              </w:rPr>
              <w:t xml:space="preserve">aktualesnis </w:t>
            </w:r>
            <w:r w:rsidR="00047082" w:rsidRPr="00B44B19">
              <w:rPr>
                <w:rFonts w:ascii="Times New Roman" w:eastAsia="Times New Roman" w:hAnsi="Times New Roman" w:cs="Times New Roman"/>
                <w:lang w:eastAsia="lt-LT"/>
              </w:rPr>
              <w:t xml:space="preserve">tampa poreikis </w:t>
            </w:r>
            <w:r w:rsidR="00094622" w:rsidRPr="00B44B19">
              <w:rPr>
                <w:rFonts w:ascii="Times New Roman" w:eastAsia="Times New Roman" w:hAnsi="Times New Roman" w:cs="Times New Roman"/>
                <w:lang w:eastAsia="lt-LT"/>
              </w:rPr>
              <w:t xml:space="preserve">didinti tinklo pralaidumus bei </w:t>
            </w:r>
            <w:r w:rsidRPr="00B44B19">
              <w:rPr>
                <w:rFonts w:ascii="Times New Roman" w:eastAsia="Times New Roman" w:hAnsi="Times New Roman" w:cs="Times New Roman"/>
              </w:rPr>
              <w:t xml:space="preserve">gerinti vartotojams tiekiamos </w:t>
            </w:r>
            <w:r w:rsidRPr="00B44B19">
              <w:rPr>
                <w:rFonts w:ascii="Times New Roman" w:eastAsia="Times New Roman" w:hAnsi="Times New Roman" w:cs="Times New Roman"/>
                <w:lang w:eastAsia="lt-LT"/>
              </w:rPr>
              <w:t>elektros energijos kokybę, todėl bus</w:t>
            </w:r>
            <w:r w:rsidR="00047082" w:rsidRPr="00B44B19">
              <w:rPr>
                <w:rFonts w:ascii="Times New Roman" w:eastAsia="Times New Roman" w:hAnsi="Times New Roman" w:cs="Times New Roman"/>
                <w:lang w:eastAsia="lt-LT"/>
              </w:rPr>
              <w:t xml:space="preserve"> skatinama </w:t>
            </w:r>
            <w:r w:rsidR="00094622" w:rsidRPr="00B44B19">
              <w:rPr>
                <w:rFonts w:ascii="Times New Roman" w:eastAsia="Times New Roman" w:hAnsi="Times New Roman" w:cs="Times New Roman"/>
                <w:lang w:eastAsia="lt-LT"/>
              </w:rPr>
              <w:t xml:space="preserve">modernizuoti transformatorių pastotes, transformatorines, </w:t>
            </w:r>
            <w:r w:rsidR="00047082" w:rsidRPr="00B44B19">
              <w:rPr>
                <w:rFonts w:ascii="Times New Roman" w:eastAsia="Times New Roman" w:hAnsi="Times New Roman" w:cs="Times New Roman"/>
                <w:lang w:eastAsia="lt-LT"/>
              </w:rPr>
              <w:t>diegti į</w:t>
            </w:r>
            <w:r w:rsidR="00047082" w:rsidRPr="00B44B19">
              <w:rPr>
                <w:rFonts w:ascii="Times New Roman" w:eastAsia="Times New Roman" w:hAnsi="Times New Roman" w:cs="Times New Roman"/>
              </w:rPr>
              <w:t>tampos kokybės gerinimo,</w:t>
            </w:r>
            <w:r w:rsidR="00047082" w:rsidRPr="00B44B19">
              <w:rPr>
                <w:rFonts w:ascii="Times New Roman" w:eastAsia="Times New Roman" w:hAnsi="Times New Roman" w:cs="Times New Roman"/>
                <w:i/>
                <w:iCs/>
              </w:rPr>
              <w:t xml:space="preserve"> </w:t>
            </w:r>
            <w:r w:rsidR="00047082" w:rsidRPr="00B44B19">
              <w:rPr>
                <w:rFonts w:ascii="Times New Roman" w:eastAsia="Times New Roman" w:hAnsi="Times New Roman" w:cs="Times New Roman"/>
              </w:rPr>
              <w:t>įtampos reguliavimo</w:t>
            </w:r>
            <w:r w:rsidR="00047082" w:rsidRPr="00B44B19">
              <w:rPr>
                <w:rFonts w:ascii="Times New Roman" w:eastAsia="Times New Roman" w:hAnsi="Times New Roman" w:cs="Times New Roman"/>
                <w:i/>
                <w:iCs/>
              </w:rPr>
              <w:t>,</w:t>
            </w:r>
            <w:r w:rsidR="00047082" w:rsidRPr="00B44B19">
              <w:rPr>
                <w:rFonts w:ascii="Times New Roman" w:eastAsia="Times New Roman" w:hAnsi="Times New Roman" w:cs="Times New Roman"/>
              </w:rPr>
              <w:t xml:space="preserve"> kokybės parametrų stebėsenos ir analizės, </w:t>
            </w:r>
            <w:r w:rsidR="00047082" w:rsidRPr="00B44B19">
              <w:rPr>
                <w:rFonts w:ascii="Times New Roman" w:eastAsia="Times New Roman" w:hAnsi="Times New Roman" w:cs="Times New Roman"/>
                <w:lang w:eastAsia="lt-LT"/>
              </w:rPr>
              <w:t xml:space="preserve">aktyvaus sistemos valdymo (pvz.: </w:t>
            </w:r>
            <w:r w:rsidRPr="00B44B19">
              <w:rPr>
                <w:rFonts w:ascii="Times New Roman" w:eastAsia="Times New Roman" w:hAnsi="Times New Roman" w:cs="Times New Roman"/>
                <w:lang w:eastAsia="lt-LT"/>
              </w:rPr>
              <w:t>apkrovos valdymas</w:t>
            </w:r>
            <w:r w:rsidR="00047082" w:rsidRPr="00B44B19">
              <w:rPr>
                <w:rFonts w:ascii="Times New Roman" w:eastAsia="Times New Roman" w:hAnsi="Times New Roman" w:cs="Times New Roman"/>
                <w:lang w:eastAsia="lt-LT"/>
              </w:rPr>
              <w:t>, paklausos valdymas ir kt.) sprendimus. Veikla bus vykdoma visoje Lietuvoje.</w:t>
            </w:r>
          </w:p>
          <w:p w14:paraId="70FBEF28" w14:textId="77777777" w:rsidR="00DD03B4" w:rsidRPr="00B44B19" w:rsidRDefault="00334B0C" w:rsidP="000C5E31">
            <w:pPr>
              <w:pStyle w:val="Sraopastraipa"/>
              <w:tabs>
                <w:tab w:val="left" w:pos="492"/>
              </w:tabs>
              <w:spacing w:before="60" w:after="60"/>
              <w:ind w:left="0"/>
              <w:contextualSpacing w:val="0"/>
              <w:jc w:val="both"/>
              <w:textAlignment w:val="top"/>
              <w:rPr>
                <w:rFonts w:ascii="Times New Roman"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B83CDA" w:rsidRPr="00B44B19">
              <w:rPr>
                <w:rFonts w:ascii="Times New Roman" w:eastAsia="Times New Roman" w:hAnsi="Times New Roman" w:cs="Times New Roman"/>
                <w:noProof/>
                <w:szCs w:val="24"/>
              </w:rPr>
              <w:t>.</w:t>
            </w:r>
          </w:p>
        </w:tc>
      </w:tr>
    </w:tbl>
    <w:p w14:paraId="46DD03E0" w14:textId="77777777" w:rsidR="00FE2852" w:rsidRPr="00B44B19" w:rsidRDefault="00FE2852" w:rsidP="008D29D5">
      <w:pPr>
        <w:pStyle w:val="Stilius1"/>
        <w:rPr>
          <w:rFonts w:cs="Times New Roman"/>
        </w:rPr>
      </w:pPr>
      <w:r w:rsidRPr="00B44B19">
        <w:rPr>
          <w:rFonts w:cs="Times New Roman"/>
        </w:rPr>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B44B19" w14:paraId="6964773B"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7EA7A59" w14:textId="77777777" w:rsidR="00FE2852" w:rsidRPr="00B44B19" w:rsidRDefault="00B14080" w:rsidP="004952F4">
            <w:pPr>
              <w:spacing w:before="60" w:after="60"/>
              <w:rPr>
                <w:rFonts w:ascii="Times New Roman" w:hAnsi="Times New Roman" w:cs="Times New Roman"/>
              </w:rPr>
            </w:pPr>
            <w:r w:rsidRPr="00B44B19">
              <w:rPr>
                <w:rFonts w:ascii="Times New Roman" w:eastAsia="Times New Roman" w:hAnsi="Times New Roman" w:cs="Times New Roman"/>
                <w:lang w:eastAsia="lt-LT"/>
              </w:rPr>
              <w:t>Elektros skirstomųjų tinklų operatoriai, elektros energijos vartotojai</w:t>
            </w:r>
            <w:r w:rsidR="00C873E5" w:rsidRPr="00B44B19">
              <w:rPr>
                <w:rFonts w:ascii="Times New Roman" w:eastAsia="Times New Roman" w:hAnsi="Times New Roman" w:cs="Times New Roman"/>
                <w:lang w:eastAsia="lt-LT"/>
              </w:rPr>
              <w:t>.</w:t>
            </w:r>
          </w:p>
        </w:tc>
      </w:tr>
    </w:tbl>
    <w:p w14:paraId="4E3EF68A" w14:textId="77777777" w:rsidR="00FE2852" w:rsidRPr="00B44B19" w:rsidRDefault="00FE2852" w:rsidP="008D29D5">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F34506" w:rsidRPr="00B44B19" w14:paraId="639468DB" w14:textId="77777777" w:rsidTr="00F34506">
        <w:tc>
          <w:tcPr>
            <w:tcW w:w="9854" w:type="dxa"/>
          </w:tcPr>
          <w:p w14:paraId="6084D962" w14:textId="77777777" w:rsidR="00F34506" w:rsidRPr="00B44B19" w:rsidRDefault="004B7AB3" w:rsidP="004952F4">
            <w:pPr>
              <w:spacing w:before="60" w:after="60"/>
              <w:jc w:val="both"/>
              <w:rPr>
                <w:rFonts w:eastAsia="Times New Roman" w:cs="Times New Roman"/>
                <w:iCs/>
                <w:noProof/>
                <w:sz w:val="22"/>
                <w:lang w:eastAsia="lt-LT" w:bidi="lt-LT"/>
              </w:rPr>
            </w:pPr>
            <w:r w:rsidRPr="00B44B19">
              <w:rPr>
                <w:rFonts w:eastAsia="Times New Roman" w:cs="Times New Roman"/>
                <w:iCs/>
                <w:noProof/>
                <w:sz w:val="22"/>
                <w:lang w:eastAsia="lt-LT" w:bidi="lt-LT"/>
              </w:rPr>
              <w:t>Netaikoma</w:t>
            </w:r>
          </w:p>
        </w:tc>
      </w:tr>
    </w:tbl>
    <w:p w14:paraId="4F8774BF" w14:textId="77777777" w:rsidR="00FE2852" w:rsidRPr="00B44B19" w:rsidRDefault="00FE2852" w:rsidP="008D29D5">
      <w:pPr>
        <w:pStyle w:val="Stilius1"/>
        <w:rPr>
          <w:rFonts w:cs="Times New Roman"/>
        </w:rPr>
      </w:pPr>
      <w:r w:rsidRPr="00B44B19">
        <w:rPr>
          <w:rFonts w:cs="Times New Roman"/>
        </w:rPr>
        <w:t>Konkrečios tikslinės teritorijos, įskaitant planuojamą teritorinių priemonių panaudojimą</w:t>
      </w:r>
    </w:p>
    <w:tbl>
      <w:tblPr>
        <w:tblStyle w:val="Lentelstinklelis"/>
        <w:tblW w:w="9889" w:type="dxa"/>
        <w:tblLook w:val="04A0" w:firstRow="1" w:lastRow="0" w:firstColumn="1" w:lastColumn="0" w:noHBand="0" w:noVBand="1"/>
      </w:tblPr>
      <w:tblGrid>
        <w:gridCol w:w="9889"/>
      </w:tblGrid>
      <w:tr w:rsidR="00FE2852" w:rsidRPr="00B44B19" w14:paraId="1F6DE7FE" w14:textId="77777777" w:rsidTr="00F34506">
        <w:trPr>
          <w:trHeight w:val="264"/>
        </w:trPr>
        <w:tc>
          <w:tcPr>
            <w:tcW w:w="9889" w:type="dxa"/>
            <w:tcBorders>
              <w:top w:val="single" w:sz="4" w:space="0" w:color="auto"/>
              <w:left w:val="single" w:sz="4" w:space="0" w:color="auto"/>
              <w:bottom w:val="single" w:sz="4" w:space="0" w:color="auto"/>
              <w:right w:val="single" w:sz="4" w:space="0" w:color="auto"/>
            </w:tcBorders>
            <w:hideMark/>
          </w:tcPr>
          <w:p w14:paraId="1A969F67" w14:textId="77777777" w:rsidR="00FE2852" w:rsidRPr="00B44B19" w:rsidRDefault="00E90C3F" w:rsidP="004952F4">
            <w:pPr>
              <w:spacing w:before="60" w:after="60"/>
              <w:jc w:val="both"/>
              <w:rPr>
                <w:rFonts w:cs="Times New Roman"/>
                <w:b/>
                <w:i/>
                <w:sz w:val="22"/>
              </w:rPr>
            </w:pPr>
            <w:r w:rsidRPr="00B44B19">
              <w:rPr>
                <w:rFonts w:eastAsia="Calibri" w:cs="Times New Roman"/>
                <w:noProof/>
                <w:sz w:val="22"/>
                <w:lang w:eastAsia="lt-LT" w:bidi="lt-LT"/>
              </w:rPr>
              <w:t>Visa Lietuva</w:t>
            </w:r>
            <w:r w:rsidR="00B51A61" w:rsidRPr="00B44B19">
              <w:rPr>
                <w:rFonts w:eastAsia="Calibri" w:cs="Times New Roman"/>
                <w:noProof/>
                <w:sz w:val="22"/>
                <w:lang w:eastAsia="lt-LT" w:bidi="lt-LT"/>
              </w:rPr>
              <w:t>, VVL regionas</w:t>
            </w:r>
          </w:p>
        </w:tc>
      </w:tr>
    </w:tbl>
    <w:p w14:paraId="5669D03E" w14:textId="77777777" w:rsidR="00FE2852" w:rsidRPr="00B44B19" w:rsidRDefault="00FE2852" w:rsidP="008D29D5">
      <w:pPr>
        <w:pStyle w:val="Stilius1"/>
        <w:rPr>
          <w:rFonts w:cs="Times New Roman"/>
        </w:rPr>
      </w:pPr>
      <w:r w:rsidRPr="00B44B19">
        <w:rPr>
          <w:rFonts w:cs="Times New Roman"/>
        </w:rPr>
        <w:lastRenderedPageBreak/>
        <w:t>Tarpregioniniai, tarp sienų ir tarpvalstybiniai veiksmai</w:t>
      </w:r>
    </w:p>
    <w:tbl>
      <w:tblPr>
        <w:tblStyle w:val="Lentelstinklelis2"/>
        <w:tblW w:w="0" w:type="auto"/>
        <w:tblLook w:val="04A0" w:firstRow="1" w:lastRow="0" w:firstColumn="1" w:lastColumn="0" w:noHBand="0" w:noVBand="1"/>
      </w:tblPr>
      <w:tblGrid>
        <w:gridCol w:w="9628"/>
      </w:tblGrid>
      <w:tr w:rsidR="00FE2852" w:rsidRPr="00B44B19" w14:paraId="630566C0"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3466B39D" w14:textId="77777777" w:rsidR="00FE2852" w:rsidRPr="00B44B19" w:rsidRDefault="00B14080" w:rsidP="004952F4">
            <w:pPr>
              <w:spacing w:before="60" w:after="60"/>
              <w:jc w:val="both"/>
              <w:rPr>
                <w:rFonts w:ascii="Times New Roman" w:hAnsi="Times New Roman" w:cs="Times New Roman"/>
                <w:highlight w:val="yellow"/>
              </w:rPr>
            </w:pPr>
            <w:r w:rsidRPr="00B44B19">
              <w:rPr>
                <w:rFonts w:ascii="Times New Roman" w:hAnsi="Times New Roman" w:cs="Times New Roman"/>
                <w:noProof/>
                <w:lang w:eastAsia="lt-LT"/>
              </w:rPr>
              <w:t>Įgyvendinant veiklas, numatoma prisidėti prie BJRS</w:t>
            </w:r>
            <w:r w:rsidRPr="00B44B19">
              <w:rPr>
                <w:rFonts w:ascii="Times New Roman" w:hAnsi="Times New Roman" w:cs="Times New Roman"/>
              </w:rPr>
              <w:t xml:space="preserve"> politikos krypties „Energetika“ veiklų</w:t>
            </w:r>
            <w:r w:rsidRPr="00B44B19">
              <w:rPr>
                <w:rFonts w:ascii="Times New Roman" w:eastAsia="Calibri" w:hAnsi="Times New Roman" w:cs="Times New Roman"/>
                <w:noProof/>
                <w:lang w:eastAsia="lt-LT" w:bidi="lt-LT"/>
              </w:rPr>
              <w:t xml:space="preserve"> </w:t>
            </w:r>
            <w:r w:rsidRPr="00B44B19">
              <w:rPr>
                <w:rFonts w:ascii="Times New Roman" w:hAnsi="Times New Roman" w:cs="Times New Roman"/>
                <w:noProof/>
                <w:lang w:eastAsia="lt-LT"/>
              </w:rPr>
              <w:t xml:space="preserve">įgyvendinimo. Bus siekiama intensyvinti bendradarbiavimą su kitų </w:t>
            </w:r>
            <w:r w:rsidRPr="00B44B19">
              <w:rPr>
                <w:rFonts w:ascii="Times New Roman" w:hAnsi="Times New Roman" w:cs="Times New Roman"/>
              </w:rPr>
              <w:t>BJR šalių partneriais</w:t>
            </w:r>
            <w:r w:rsidRPr="00B44B19">
              <w:rPr>
                <w:rFonts w:ascii="Times New Roman" w:hAnsi="Times New Roman" w:cs="Times New Roman"/>
                <w:noProof/>
                <w:lang w:eastAsia="lt-LT"/>
              </w:rPr>
              <w:t>, įskaitant ir apsikeitimą gerosiomis praktikomis AEI</w:t>
            </w:r>
            <w:r w:rsidRPr="00B44B19">
              <w:rPr>
                <w:rFonts w:ascii="Times New Roman" w:hAnsi="Times New Roman" w:cs="Times New Roman"/>
              </w:rPr>
              <w:t xml:space="preserve"> integracijos į energetinę sistemą, energijos saugojimo, elektros tinklų valdymo srityse.</w:t>
            </w:r>
          </w:p>
        </w:tc>
      </w:tr>
    </w:tbl>
    <w:p w14:paraId="6143AFFC" w14:textId="77777777" w:rsidR="00FE2852" w:rsidRPr="00B44B19" w:rsidRDefault="00FE2852" w:rsidP="008D29D5">
      <w:pPr>
        <w:pStyle w:val="Stilius1"/>
        <w:rPr>
          <w:rFonts w:cs="Times New Roman"/>
        </w:rPr>
      </w:pPr>
      <w:r w:rsidRPr="00B44B19">
        <w:rPr>
          <w:rFonts w:cs="Times New Roman"/>
        </w:rPr>
        <w:t>Planuojamas finansinių priemonių naudojimas</w:t>
      </w:r>
    </w:p>
    <w:tbl>
      <w:tblPr>
        <w:tblStyle w:val="Lentelstinklelis2"/>
        <w:tblW w:w="9889" w:type="dxa"/>
        <w:tblLook w:val="04A0" w:firstRow="1" w:lastRow="0" w:firstColumn="1" w:lastColumn="0" w:noHBand="0" w:noVBand="1"/>
      </w:tblPr>
      <w:tblGrid>
        <w:gridCol w:w="9889"/>
      </w:tblGrid>
      <w:tr w:rsidR="00FE2852" w:rsidRPr="00B44B19" w14:paraId="6A968FEE" w14:textId="77777777" w:rsidTr="0015015F">
        <w:trPr>
          <w:trHeight w:val="283"/>
        </w:trPr>
        <w:tc>
          <w:tcPr>
            <w:tcW w:w="9889" w:type="dxa"/>
            <w:tcBorders>
              <w:top w:val="single" w:sz="4" w:space="0" w:color="auto"/>
              <w:left w:val="single" w:sz="4" w:space="0" w:color="auto"/>
              <w:bottom w:val="single" w:sz="4" w:space="0" w:color="auto"/>
              <w:right w:val="single" w:sz="4" w:space="0" w:color="auto"/>
            </w:tcBorders>
          </w:tcPr>
          <w:p w14:paraId="7CC34763" w14:textId="77777777" w:rsidR="00FE2852" w:rsidRPr="00B44B19" w:rsidRDefault="00077151" w:rsidP="003922D4">
            <w:pPr>
              <w:spacing w:before="120" w:after="120"/>
              <w:jc w:val="both"/>
              <w:rPr>
                <w:rFonts w:ascii="Times New Roman" w:hAnsi="Times New Roman" w:cs="Times New Roman"/>
              </w:rPr>
            </w:pPr>
            <w:r w:rsidRPr="00B44B19">
              <w:rPr>
                <w:rFonts w:ascii="Times New Roman" w:hAnsi="Times New Roman" w:cs="Times New Roman"/>
              </w:rPr>
              <w:t>–</w:t>
            </w:r>
          </w:p>
        </w:tc>
      </w:tr>
    </w:tbl>
    <w:p w14:paraId="2D1C9E1D" w14:textId="77777777" w:rsidR="009750A4" w:rsidRPr="00B44B19" w:rsidRDefault="00471A41" w:rsidP="008D29D5">
      <w:pPr>
        <w:pStyle w:val="Stilius1"/>
        <w:rPr>
          <w:rFonts w:cs="Times New Roman"/>
        </w:rPr>
      </w:pPr>
      <w:r w:rsidRPr="00B44B19">
        <w:rPr>
          <w:rFonts w:cs="Times New Roman"/>
        </w:rPr>
        <w:t xml:space="preserve">Rodikliai </w:t>
      </w:r>
    </w:p>
    <w:p w14:paraId="3DEA93A7" w14:textId="77777777" w:rsidR="00471A41" w:rsidRPr="00B44B19" w:rsidRDefault="00471A41" w:rsidP="009750A4">
      <w:pPr>
        <w:spacing w:before="240" w:after="0" w:line="240" w:lineRule="auto"/>
        <w:jc w:val="both"/>
        <w:rPr>
          <w:rFonts w:cs="Times New Roman"/>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71"/>
        <w:gridCol w:w="821"/>
        <w:gridCol w:w="963"/>
        <w:gridCol w:w="1238"/>
        <w:gridCol w:w="1653"/>
        <w:gridCol w:w="1128"/>
        <w:gridCol w:w="967"/>
        <w:gridCol w:w="913"/>
      </w:tblGrid>
      <w:tr w:rsidR="00B14080" w:rsidRPr="00B44B19" w14:paraId="7A011C7C" w14:textId="77777777" w:rsidTr="00B14080">
        <w:trPr>
          <w:trHeight w:val="82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2F54B1"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Prioritetas</w:t>
            </w:r>
          </w:p>
        </w:tc>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D10124"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2578DA"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Fondas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A1492"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13E28D"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E7404C"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Rodiklis</w:t>
            </w:r>
          </w:p>
        </w:tc>
        <w:tc>
          <w:tcPr>
            <w:tcW w:w="58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A6DDC"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759159"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55EA10" w14:textId="77777777" w:rsidR="00B14080" w:rsidRPr="00B44B19" w:rsidRDefault="00B14080" w:rsidP="00B14080">
            <w:pPr>
              <w:spacing w:after="0" w:line="240" w:lineRule="auto"/>
              <w:jc w:val="center"/>
              <w:rPr>
                <w:rFonts w:cs="Times New Roman"/>
                <w:b/>
                <w:noProof/>
                <w:sz w:val="16"/>
                <w:szCs w:val="16"/>
              </w:rPr>
            </w:pPr>
            <w:r w:rsidRPr="00B44B19">
              <w:rPr>
                <w:rFonts w:cs="Times New Roman"/>
                <w:b/>
                <w:noProof/>
                <w:sz w:val="16"/>
                <w:szCs w:val="16"/>
              </w:rPr>
              <w:t>Siek</w:t>
            </w:r>
            <w:r w:rsidR="00580FCA" w:rsidRPr="00B44B19">
              <w:rPr>
                <w:rFonts w:cs="Times New Roman"/>
                <w:b/>
                <w:noProof/>
                <w:sz w:val="16"/>
                <w:szCs w:val="16"/>
              </w:rPr>
              <w:t>tina reikšmė</w:t>
            </w:r>
            <w:r w:rsidRPr="00B44B19">
              <w:rPr>
                <w:rFonts w:cs="Times New Roman"/>
                <w:b/>
                <w:noProof/>
                <w:sz w:val="16"/>
                <w:szCs w:val="16"/>
              </w:rPr>
              <w:t xml:space="preserve"> (2029 m.)</w:t>
            </w:r>
          </w:p>
        </w:tc>
      </w:tr>
      <w:tr w:rsidR="00B14080" w:rsidRPr="00B44B19" w14:paraId="31E0F5C1" w14:textId="77777777" w:rsidTr="00B14080">
        <w:trPr>
          <w:trHeight w:val="529"/>
        </w:trPr>
        <w:tc>
          <w:tcPr>
            <w:tcW w:w="497" w:type="pct"/>
            <w:vMerge w:val="restart"/>
            <w:tcBorders>
              <w:top w:val="single" w:sz="12" w:space="0" w:color="auto"/>
            </w:tcBorders>
          </w:tcPr>
          <w:p w14:paraId="17AEB57D" w14:textId="77777777" w:rsidR="00B14080" w:rsidRPr="00B44B19" w:rsidRDefault="00B14080" w:rsidP="00B14080">
            <w:pPr>
              <w:spacing w:after="0" w:line="240" w:lineRule="auto"/>
              <w:jc w:val="both"/>
              <w:rPr>
                <w:rFonts w:cs="Times New Roman"/>
                <w:noProof/>
                <w:sz w:val="16"/>
                <w:szCs w:val="16"/>
              </w:rPr>
            </w:pPr>
            <w:r w:rsidRPr="00B44B19">
              <w:rPr>
                <w:rFonts w:cs="Times New Roman"/>
                <w:noProof/>
                <w:sz w:val="16"/>
                <w:szCs w:val="16"/>
              </w:rPr>
              <w:t>2. Žalesnė Lietuva</w:t>
            </w:r>
          </w:p>
        </w:tc>
        <w:tc>
          <w:tcPr>
            <w:tcW w:w="506" w:type="pct"/>
            <w:vMerge w:val="restart"/>
            <w:tcBorders>
              <w:top w:val="single" w:sz="12" w:space="0" w:color="auto"/>
            </w:tcBorders>
          </w:tcPr>
          <w:p w14:paraId="24753A61" w14:textId="77777777" w:rsidR="00B14080" w:rsidRPr="00B44B19" w:rsidRDefault="00B14080" w:rsidP="00B14080">
            <w:pPr>
              <w:spacing w:after="0" w:line="240" w:lineRule="auto"/>
              <w:jc w:val="both"/>
              <w:rPr>
                <w:rFonts w:cs="Times New Roman"/>
                <w:noProof/>
                <w:sz w:val="16"/>
                <w:szCs w:val="16"/>
              </w:rPr>
            </w:pPr>
            <w:r w:rsidRPr="00B44B19">
              <w:rPr>
                <w:rFonts w:cs="Times New Roman"/>
                <w:noProof/>
                <w:sz w:val="16"/>
                <w:szCs w:val="16"/>
              </w:rPr>
              <w:t>2.3</w:t>
            </w:r>
          </w:p>
        </w:tc>
        <w:tc>
          <w:tcPr>
            <w:tcW w:w="427" w:type="pct"/>
            <w:tcBorders>
              <w:top w:val="single" w:sz="12" w:space="0" w:color="auto"/>
            </w:tcBorders>
          </w:tcPr>
          <w:p w14:paraId="404D5708"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SaF</w:t>
            </w:r>
          </w:p>
        </w:tc>
        <w:tc>
          <w:tcPr>
            <w:tcW w:w="501" w:type="pct"/>
            <w:tcBorders>
              <w:top w:val="single" w:sz="12" w:space="0" w:color="auto"/>
            </w:tcBorders>
          </w:tcPr>
          <w:p w14:paraId="7210A5CB"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Visa Lietuva</w:t>
            </w:r>
          </w:p>
        </w:tc>
        <w:tc>
          <w:tcPr>
            <w:tcW w:w="644" w:type="pct"/>
            <w:tcBorders>
              <w:top w:val="single" w:sz="12" w:space="0" w:color="auto"/>
            </w:tcBorders>
          </w:tcPr>
          <w:p w14:paraId="03B55F6D" w14:textId="77777777" w:rsidR="00B14080" w:rsidRPr="00B44B19" w:rsidRDefault="00B14080" w:rsidP="00B14080">
            <w:pPr>
              <w:spacing w:after="0" w:line="240" w:lineRule="auto"/>
              <w:jc w:val="center"/>
              <w:rPr>
                <w:rFonts w:cs="Times New Roman"/>
                <w:sz w:val="16"/>
                <w:szCs w:val="16"/>
                <w:lang w:eastAsia="en-GB"/>
              </w:rPr>
            </w:pPr>
            <w:r w:rsidRPr="00B44B19">
              <w:rPr>
                <w:rFonts w:cs="Times New Roman"/>
                <w:sz w:val="16"/>
                <w:szCs w:val="16"/>
                <w:lang w:eastAsia="en-GB"/>
              </w:rPr>
              <w:t>RCO23</w:t>
            </w:r>
          </w:p>
        </w:tc>
        <w:tc>
          <w:tcPr>
            <w:tcW w:w="860" w:type="pct"/>
            <w:tcBorders>
              <w:top w:val="single" w:sz="12" w:space="0" w:color="auto"/>
            </w:tcBorders>
          </w:tcPr>
          <w:p w14:paraId="601A83AE" w14:textId="77777777" w:rsidR="00B14080" w:rsidRPr="00B44B19" w:rsidRDefault="00D21E9A" w:rsidP="00B14080">
            <w:pPr>
              <w:tabs>
                <w:tab w:val="left" w:pos="7560"/>
              </w:tabs>
              <w:spacing w:after="0" w:line="240" w:lineRule="auto"/>
              <w:jc w:val="both"/>
              <w:rPr>
                <w:rFonts w:cs="Times New Roman"/>
                <w:iCs/>
                <w:sz w:val="16"/>
                <w:szCs w:val="16"/>
              </w:rPr>
            </w:pPr>
            <w:r w:rsidRPr="00B44B19">
              <w:rPr>
                <w:rFonts w:cs="Times New Roman"/>
                <w:iCs/>
                <w:sz w:val="16"/>
                <w:szCs w:val="16"/>
              </w:rPr>
              <w:t>Pažangiųjų energetikos sistemų skaitmeninio valdymo sistemos</w:t>
            </w:r>
          </w:p>
        </w:tc>
        <w:tc>
          <w:tcPr>
            <w:tcW w:w="587" w:type="pct"/>
            <w:tcBorders>
              <w:top w:val="single" w:sz="12" w:space="0" w:color="auto"/>
            </w:tcBorders>
          </w:tcPr>
          <w:p w14:paraId="743A950E" w14:textId="77777777" w:rsidR="00B14080" w:rsidRPr="00B44B19" w:rsidRDefault="008E726D" w:rsidP="00DD5D93">
            <w:pPr>
              <w:spacing w:after="0" w:line="240" w:lineRule="auto"/>
              <w:jc w:val="center"/>
              <w:rPr>
                <w:rFonts w:cs="Times New Roman"/>
                <w:noProof/>
                <w:sz w:val="16"/>
                <w:szCs w:val="16"/>
              </w:rPr>
            </w:pPr>
            <w:r w:rsidRPr="00B44B19">
              <w:rPr>
                <w:rFonts w:cs="Times New Roman"/>
                <w:noProof/>
                <w:sz w:val="16"/>
                <w:szCs w:val="16"/>
              </w:rPr>
              <w:t>S</w:t>
            </w:r>
            <w:r w:rsidR="00B14080" w:rsidRPr="00B44B19">
              <w:rPr>
                <w:rFonts w:cs="Times New Roman"/>
                <w:noProof/>
                <w:sz w:val="16"/>
                <w:szCs w:val="16"/>
              </w:rPr>
              <w:t>istemos</w:t>
            </w:r>
            <w:r w:rsidRPr="00B44B19">
              <w:rPr>
                <w:rFonts w:cs="Times New Roman"/>
                <w:noProof/>
                <w:sz w:val="16"/>
                <w:szCs w:val="16"/>
              </w:rPr>
              <w:t xml:space="preserve"> </w:t>
            </w:r>
            <w:r w:rsidR="00DD5D93" w:rsidRPr="00B44B19">
              <w:rPr>
                <w:rFonts w:cs="Times New Roman"/>
                <w:noProof/>
                <w:sz w:val="16"/>
                <w:szCs w:val="16"/>
              </w:rPr>
              <w:t>sudedamosios dalys</w:t>
            </w:r>
          </w:p>
        </w:tc>
        <w:tc>
          <w:tcPr>
            <w:tcW w:w="503" w:type="pct"/>
            <w:tcBorders>
              <w:top w:val="single" w:sz="12" w:space="0" w:color="auto"/>
            </w:tcBorders>
          </w:tcPr>
          <w:p w14:paraId="06753B0B" w14:textId="77777777" w:rsidR="00B14080" w:rsidRPr="00B44B19" w:rsidRDefault="008A3626" w:rsidP="00B14080">
            <w:pPr>
              <w:spacing w:after="0" w:line="240" w:lineRule="auto"/>
              <w:jc w:val="center"/>
              <w:rPr>
                <w:rFonts w:cs="Times New Roman"/>
                <w:bCs/>
                <w:noProof/>
                <w:sz w:val="16"/>
                <w:szCs w:val="16"/>
              </w:rPr>
            </w:pPr>
            <w:r w:rsidRPr="00B44B19">
              <w:rPr>
                <w:rFonts w:cs="Times New Roman"/>
                <w:bCs/>
                <w:noProof/>
                <w:sz w:val="16"/>
                <w:szCs w:val="16"/>
              </w:rPr>
              <w:t>0</w:t>
            </w:r>
          </w:p>
        </w:tc>
        <w:tc>
          <w:tcPr>
            <w:tcW w:w="475" w:type="pct"/>
            <w:tcBorders>
              <w:top w:val="single" w:sz="12" w:space="0" w:color="auto"/>
            </w:tcBorders>
          </w:tcPr>
          <w:p w14:paraId="5A66B956" w14:textId="77777777" w:rsidR="00B14080" w:rsidRPr="00B44B19" w:rsidRDefault="00B14080" w:rsidP="00B14080">
            <w:pPr>
              <w:spacing w:after="0" w:line="240" w:lineRule="auto"/>
              <w:jc w:val="center"/>
              <w:rPr>
                <w:rFonts w:cs="Times New Roman"/>
                <w:bCs/>
                <w:noProof/>
                <w:sz w:val="16"/>
                <w:szCs w:val="16"/>
              </w:rPr>
            </w:pPr>
            <w:r w:rsidRPr="00B44B19">
              <w:rPr>
                <w:rFonts w:cs="Times New Roman"/>
                <w:bCs/>
                <w:noProof/>
                <w:sz w:val="16"/>
                <w:szCs w:val="16"/>
              </w:rPr>
              <w:t>1 315</w:t>
            </w:r>
          </w:p>
        </w:tc>
      </w:tr>
      <w:tr w:rsidR="00B14080" w:rsidRPr="00B44B19" w14:paraId="1E952E3C" w14:textId="77777777" w:rsidTr="00B14080">
        <w:trPr>
          <w:trHeight w:val="401"/>
        </w:trPr>
        <w:tc>
          <w:tcPr>
            <w:tcW w:w="497" w:type="pct"/>
            <w:vMerge/>
          </w:tcPr>
          <w:p w14:paraId="1E40BAF7" w14:textId="77777777" w:rsidR="00B14080" w:rsidRPr="00B44B19" w:rsidRDefault="00B14080" w:rsidP="00B14080">
            <w:pPr>
              <w:spacing w:after="0" w:line="240" w:lineRule="auto"/>
              <w:jc w:val="both"/>
              <w:rPr>
                <w:rFonts w:cs="Times New Roman"/>
                <w:noProof/>
                <w:sz w:val="16"/>
                <w:szCs w:val="16"/>
              </w:rPr>
            </w:pPr>
          </w:p>
        </w:tc>
        <w:tc>
          <w:tcPr>
            <w:tcW w:w="506" w:type="pct"/>
            <w:vMerge/>
          </w:tcPr>
          <w:p w14:paraId="34516501" w14:textId="77777777" w:rsidR="00B14080" w:rsidRPr="00B44B19" w:rsidRDefault="00B14080" w:rsidP="00B14080">
            <w:pPr>
              <w:spacing w:after="0" w:line="240" w:lineRule="auto"/>
              <w:jc w:val="both"/>
              <w:rPr>
                <w:rFonts w:cs="Times New Roman"/>
                <w:noProof/>
                <w:sz w:val="16"/>
                <w:szCs w:val="16"/>
              </w:rPr>
            </w:pPr>
          </w:p>
        </w:tc>
        <w:tc>
          <w:tcPr>
            <w:tcW w:w="427" w:type="pct"/>
          </w:tcPr>
          <w:p w14:paraId="319CB7F2"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ERPF</w:t>
            </w:r>
          </w:p>
        </w:tc>
        <w:tc>
          <w:tcPr>
            <w:tcW w:w="501" w:type="pct"/>
          </w:tcPr>
          <w:p w14:paraId="64499DEC"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VVL regionas</w:t>
            </w:r>
          </w:p>
        </w:tc>
        <w:tc>
          <w:tcPr>
            <w:tcW w:w="644" w:type="pct"/>
          </w:tcPr>
          <w:p w14:paraId="773C4CDC" w14:textId="77777777" w:rsidR="00B14080" w:rsidRPr="00B44B19" w:rsidRDefault="00B14080" w:rsidP="00B14080">
            <w:pPr>
              <w:spacing w:after="0" w:line="240" w:lineRule="auto"/>
              <w:jc w:val="center"/>
              <w:rPr>
                <w:rFonts w:cs="Times New Roman"/>
                <w:sz w:val="16"/>
                <w:szCs w:val="16"/>
                <w:lang w:eastAsia="en-GB"/>
              </w:rPr>
            </w:pPr>
            <w:r w:rsidRPr="00B44B19">
              <w:rPr>
                <w:rFonts w:cs="Times New Roman"/>
                <w:sz w:val="16"/>
                <w:szCs w:val="16"/>
                <w:lang w:eastAsia="en-GB"/>
              </w:rPr>
              <w:t>RCO23</w:t>
            </w:r>
          </w:p>
        </w:tc>
        <w:tc>
          <w:tcPr>
            <w:tcW w:w="860" w:type="pct"/>
          </w:tcPr>
          <w:p w14:paraId="5F5D83DD" w14:textId="77777777" w:rsidR="00B14080" w:rsidRPr="00B44B19" w:rsidRDefault="00D21E9A" w:rsidP="00B14080">
            <w:pPr>
              <w:tabs>
                <w:tab w:val="left" w:pos="7560"/>
              </w:tabs>
              <w:spacing w:after="0" w:line="240" w:lineRule="auto"/>
              <w:jc w:val="both"/>
              <w:rPr>
                <w:rFonts w:cs="Times New Roman"/>
                <w:iCs/>
                <w:sz w:val="16"/>
                <w:szCs w:val="16"/>
              </w:rPr>
            </w:pPr>
            <w:r w:rsidRPr="00B44B19">
              <w:rPr>
                <w:rFonts w:cs="Times New Roman"/>
                <w:iCs/>
                <w:sz w:val="16"/>
                <w:szCs w:val="16"/>
              </w:rPr>
              <w:t>Pažangiųjų energetikos sistemų skaitmeninio valdymo sistemos</w:t>
            </w:r>
          </w:p>
        </w:tc>
        <w:tc>
          <w:tcPr>
            <w:tcW w:w="587" w:type="pct"/>
          </w:tcPr>
          <w:p w14:paraId="21989D83" w14:textId="77777777" w:rsidR="00B14080" w:rsidRPr="00B44B19" w:rsidRDefault="008E726D" w:rsidP="00DD5D93">
            <w:pPr>
              <w:spacing w:after="0" w:line="240" w:lineRule="auto"/>
              <w:jc w:val="center"/>
              <w:rPr>
                <w:rFonts w:cs="Times New Roman"/>
                <w:noProof/>
                <w:sz w:val="16"/>
                <w:szCs w:val="16"/>
              </w:rPr>
            </w:pPr>
            <w:r w:rsidRPr="00B44B19">
              <w:rPr>
                <w:rFonts w:cs="Times New Roman"/>
                <w:noProof/>
                <w:sz w:val="16"/>
                <w:szCs w:val="16"/>
              </w:rPr>
              <w:t>S</w:t>
            </w:r>
            <w:r w:rsidR="00B14080" w:rsidRPr="00B44B19">
              <w:rPr>
                <w:rFonts w:cs="Times New Roman"/>
                <w:noProof/>
                <w:sz w:val="16"/>
                <w:szCs w:val="16"/>
              </w:rPr>
              <w:t>istemos</w:t>
            </w:r>
            <w:r w:rsidRPr="00B44B19">
              <w:rPr>
                <w:rFonts w:cs="Times New Roman"/>
                <w:noProof/>
                <w:sz w:val="16"/>
                <w:szCs w:val="16"/>
              </w:rPr>
              <w:t xml:space="preserve"> </w:t>
            </w:r>
            <w:r w:rsidR="00DD5D93" w:rsidRPr="00B44B19">
              <w:rPr>
                <w:rFonts w:cs="Times New Roman"/>
                <w:noProof/>
                <w:sz w:val="16"/>
                <w:szCs w:val="16"/>
              </w:rPr>
              <w:t>sudedamosios dalys</w:t>
            </w:r>
          </w:p>
        </w:tc>
        <w:tc>
          <w:tcPr>
            <w:tcW w:w="503" w:type="pct"/>
          </w:tcPr>
          <w:p w14:paraId="76DF7777" w14:textId="77777777" w:rsidR="00B14080" w:rsidRPr="00B44B19" w:rsidRDefault="008A3626" w:rsidP="00B14080">
            <w:pPr>
              <w:spacing w:after="0" w:line="240" w:lineRule="auto"/>
              <w:jc w:val="center"/>
              <w:rPr>
                <w:rFonts w:cs="Times New Roman"/>
                <w:bCs/>
                <w:noProof/>
                <w:sz w:val="16"/>
                <w:szCs w:val="16"/>
              </w:rPr>
            </w:pPr>
            <w:r w:rsidRPr="00B44B19">
              <w:rPr>
                <w:rFonts w:cs="Times New Roman"/>
                <w:bCs/>
                <w:noProof/>
                <w:sz w:val="16"/>
                <w:szCs w:val="16"/>
              </w:rPr>
              <w:t>0</w:t>
            </w:r>
          </w:p>
        </w:tc>
        <w:tc>
          <w:tcPr>
            <w:tcW w:w="475" w:type="pct"/>
          </w:tcPr>
          <w:p w14:paraId="75F6F801" w14:textId="77777777" w:rsidR="00B14080" w:rsidRPr="00B44B19" w:rsidRDefault="00B14080" w:rsidP="00B14080">
            <w:pPr>
              <w:spacing w:after="0" w:line="240" w:lineRule="auto"/>
              <w:jc w:val="center"/>
              <w:rPr>
                <w:rFonts w:cs="Times New Roman"/>
                <w:bCs/>
                <w:noProof/>
                <w:sz w:val="16"/>
                <w:szCs w:val="16"/>
              </w:rPr>
            </w:pPr>
            <w:r w:rsidRPr="00B44B19">
              <w:rPr>
                <w:rFonts w:cs="Times New Roman"/>
                <w:bCs/>
                <w:noProof/>
                <w:sz w:val="16"/>
                <w:szCs w:val="16"/>
              </w:rPr>
              <w:t>2 950</w:t>
            </w:r>
          </w:p>
        </w:tc>
      </w:tr>
    </w:tbl>
    <w:p w14:paraId="5C1B6E9D" w14:textId="77777777" w:rsidR="00471A41" w:rsidRPr="00B44B19" w:rsidRDefault="00471A41" w:rsidP="00471A41">
      <w:pPr>
        <w:rPr>
          <w:rFonts w:cs="Times New Roman"/>
          <w:b/>
          <w:szCs w:val="24"/>
        </w:rPr>
      </w:pPr>
    </w:p>
    <w:p w14:paraId="236F6D6E" w14:textId="77777777" w:rsidR="008112E1" w:rsidRPr="00B44B19" w:rsidRDefault="008112E1" w:rsidP="00471A41">
      <w:pPr>
        <w:spacing w:after="0" w:line="240" w:lineRule="auto"/>
        <w:jc w:val="both"/>
        <w:rPr>
          <w:rFonts w:cs="Times New Roman"/>
          <w:b/>
          <w:sz w:val="22"/>
        </w:rPr>
        <w:sectPr w:rsidR="008112E1" w:rsidRPr="00B44B19" w:rsidSect="00931C78">
          <w:pgSz w:w="11906" w:h="16838"/>
          <w:pgMar w:top="1276" w:right="567" w:bottom="1134" w:left="1701" w:header="567" w:footer="567" w:gutter="0"/>
          <w:cols w:space="1296"/>
          <w:docGrid w:linePitch="360"/>
        </w:sectPr>
      </w:pPr>
    </w:p>
    <w:p w14:paraId="04C5DA20" w14:textId="77777777" w:rsidR="00471A41" w:rsidRPr="00B44B19" w:rsidRDefault="00471A41" w:rsidP="00471A41">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1115"/>
        <w:gridCol w:w="1255"/>
        <w:gridCol w:w="3068"/>
        <w:gridCol w:w="1674"/>
        <w:gridCol w:w="975"/>
        <w:gridCol w:w="1115"/>
        <w:gridCol w:w="975"/>
        <w:gridCol w:w="975"/>
        <w:gridCol w:w="960"/>
      </w:tblGrid>
      <w:tr w:rsidR="008112E1" w:rsidRPr="00B44B19" w14:paraId="11B54266" w14:textId="77777777" w:rsidTr="00B14080">
        <w:trPr>
          <w:trHeight w:val="716"/>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4DA3D7"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33B01"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4B95A3"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B88D37"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0E72AF" w14:textId="77777777" w:rsidR="00471A41" w:rsidRPr="00B44B19" w:rsidRDefault="00ED7069" w:rsidP="008112E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529F95" w14:textId="77777777" w:rsidR="00471A41" w:rsidRPr="00B44B19" w:rsidRDefault="00ED7069" w:rsidP="008112E1">
            <w:pPr>
              <w:spacing w:after="0" w:line="240" w:lineRule="auto"/>
              <w:jc w:val="center"/>
              <w:rPr>
                <w:rFonts w:cs="Times New Roman"/>
                <w:b/>
                <w:noProof/>
                <w:sz w:val="16"/>
                <w:szCs w:val="16"/>
              </w:rPr>
            </w:pPr>
            <w:r w:rsidRPr="00B44B19">
              <w:rPr>
                <w:rFonts w:cs="Times New Roman"/>
                <w:b/>
                <w:noProof/>
                <w:sz w:val="16"/>
                <w:szCs w:val="16"/>
              </w:rPr>
              <w:t>Rodiklis</w:t>
            </w:r>
          </w:p>
        </w:tc>
        <w:tc>
          <w:tcPr>
            <w:tcW w:w="5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C0E249"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B5C51C"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57C505"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2E48C8" w14:textId="77777777" w:rsidR="00471A41" w:rsidRPr="00B44B19" w:rsidRDefault="00471A41" w:rsidP="008112E1">
            <w:pPr>
              <w:spacing w:after="0" w:line="240" w:lineRule="auto"/>
              <w:jc w:val="center"/>
              <w:rPr>
                <w:rFonts w:cs="Times New Roman"/>
                <w:b/>
                <w:noProof/>
                <w:sz w:val="16"/>
                <w:szCs w:val="16"/>
              </w:rPr>
            </w:pPr>
            <w:r w:rsidRPr="00B44B19">
              <w:rPr>
                <w:rFonts w:cs="Times New Roman"/>
                <w:b/>
                <w:noProof/>
                <w:sz w:val="16"/>
                <w:szCs w:val="16"/>
              </w:rPr>
              <w:t>Siek</w:t>
            </w:r>
            <w:r w:rsidR="00B52E7E"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AACCB6" w14:textId="77777777" w:rsidR="00471A41" w:rsidRPr="00B44B19" w:rsidRDefault="00ED7069" w:rsidP="008112E1">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7C5AD3" w14:textId="77777777" w:rsidR="00471A41" w:rsidRPr="00B44B19" w:rsidRDefault="00ED7069" w:rsidP="008112E1">
            <w:pPr>
              <w:spacing w:after="0" w:line="240" w:lineRule="auto"/>
              <w:jc w:val="center"/>
              <w:rPr>
                <w:rFonts w:cs="Times New Roman"/>
                <w:b/>
                <w:noProof/>
                <w:sz w:val="16"/>
                <w:szCs w:val="16"/>
              </w:rPr>
            </w:pPr>
            <w:r w:rsidRPr="00B44B19">
              <w:rPr>
                <w:rFonts w:cs="Times New Roman"/>
                <w:b/>
                <w:noProof/>
                <w:sz w:val="16"/>
                <w:szCs w:val="16"/>
              </w:rPr>
              <w:t>Pastabos</w:t>
            </w:r>
          </w:p>
        </w:tc>
      </w:tr>
      <w:tr w:rsidR="00B14080" w:rsidRPr="00B44B19" w14:paraId="0E252E98" w14:textId="77777777" w:rsidTr="00B14080">
        <w:trPr>
          <w:trHeight w:val="319"/>
        </w:trPr>
        <w:tc>
          <w:tcPr>
            <w:tcW w:w="317" w:type="pct"/>
            <w:vMerge w:val="restart"/>
            <w:tcBorders>
              <w:top w:val="single" w:sz="12" w:space="0" w:color="auto"/>
            </w:tcBorders>
          </w:tcPr>
          <w:p w14:paraId="71C0EC30" w14:textId="77777777" w:rsidR="00B14080" w:rsidRPr="00B44B19" w:rsidRDefault="00B14080" w:rsidP="008112E1">
            <w:pPr>
              <w:spacing w:after="0" w:line="240" w:lineRule="auto"/>
              <w:jc w:val="both"/>
              <w:rPr>
                <w:rFonts w:cs="Times New Roman"/>
                <w:noProof/>
                <w:sz w:val="16"/>
                <w:szCs w:val="16"/>
              </w:rPr>
            </w:pPr>
            <w:r w:rsidRPr="00B44B19">
              <w:rPr>
                <w:rFonts w:cs="Times New Roman"/>
                <w:noProof/>
                <w:sz w:val="16"/>
                <w:szCs w:val="16"/>
              </w:rPr>
              <w:t>2. Žalesnė Lietuva</w:t>
            </w:r>
          </w:p>
        </w:tc>
        <w:tc>
          <w:tcPr>
            <w:tcW w:w="328" w:type="pct"/>
            <w:vMerge w:val="restart"/>
            <w:tcBorders>
              <w:top w:val="single" w:sz="12" w:space="0" w:color="auto"/>
            </w:tcBorders>
          </w:tcPr>
          <w:p w14:paraId="1131E2EE" w14:textId="77777777" w:rsidR="00B14080" w:rsidRPr="00B44B19" w:rsidRDefault="00B14080" w:rsidP="008112E1">
            <w:pPr>
              <w:spacing w:after="0" w:line="240" w:lineRule="auto"/>
              <w:jc w:val="both"/>
              <w:rPr>
                <w:rFonts w:cs="Times New Roman"/>
                <w:noProof/>
                <w:sz w:val="16"/>
                <w:szCs w:val="16"/>
              </w:rPr>
            </w:pPr>
            <w:r w:rsidRPr="00B44B19">
              <w:rPr>
                <w:rFonts w:cs="Times New Roman"/>
                <w:noProof/>
                <w:sz w:val="16"/>
                <w:szCs w:val="16"/>
              </w:rPr>
              <w:t>2.3</w:t>
            </w:r>
          </w:p>
        </w:tc>
        <w:tc>
          <w:tcPr>
            <w:tcW w:w="281" w:type="pct"/>
            <w:tcBorders>
              <w:top w:val="single" w:sz="12" w:space="0" w:color="auto"/>
            </w:tcBorders>
          </w:tcPr>
          <w:p w14:paraId="41DB70BE"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SaF</w:t>
            </w:r>
          </w:p>
        </w:tc>
        <w:tc>
          <w:tcPr>
            <w:tcW w:w="375" w:type="pct"/>
            <w:tcBorders>
              <w:top w:val="single" w:sz="12" w:space="0" w:color="auto"/>
            </w:tcBorders>
          </w:tcPr>
          <w:p w14:paraId="1A811047"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Visa Lietuva</w:t>
            </w:r>
          </w:p>
        </w:tc>
        <w:tc>
          <w:tcPr>
            <w:tcW w:w="422" w:type="pct"/>
            <w:tcBorders>
              <w:top w:val="single" w:sz="12" w:space="0" w:color="auto"/>
            </w:tcBorders>
          </w:tcPr>
          <w:p w14:paraId="645A32CE" w14:textId="77777777" w:rsidR="004D23FF" w:rsidRPr="00B44B19" w:rsidRDefault="008D0093" w:rsidP="00D67EDB">
            <w:pPr>
              <w:spacing w:after="0" w:line="240" w:lineRule="auto"/>
              <w:jc w:val="center"/>
              <w:rPr>
                <w:rFonts w:cs="Times New Roman"/>
                <w:sz w:val="16"/>
                <w:szCs w:val="16"/>
                <w:lang w:eastAsia="en-GB"/>
              </w:rPr>
            </w:pPr>
            <w:r w:rsidRPr="00B44B19">
              <w:rPr>
                <w:rFonts w:cs="Times New Roman"/>
                <w:sz w:val="16"/>
                <w:szCs w:val="16"/>
                <w:lang w:eastAsia="en-GB"/>
              </w:rPr>
              <w:t xml:space="preserve">Specialusis </w:t>
            </w:r>
          </w:p>
        </w:tc>
        <w:tc>
          <w:tcPr>
            <w:tcW w:w="1032" w:type="pct"/>
            <w:tcBorders>
              <w:top w:val="single" w:sz="12" w:space="0" w:color="auto"/>
            </w:tcBorders>
          </w:tcPr>
          <w:p w14:paraId="735BFFD2" w14:textId="77777777" w:rsidR="004D23FF" w:rsidRPr="00B44B19" w:rsidRDefault="004D23FF" w:rsidP="00B14080">
            <w:pPr>
              <w:tabs>
                <w:tab w:val="left" w:pos="7560"/>
              </w:tabs>
              <w:spacing w:after="0" w:line="240" w:lineRule="auto"/>
              <w:jc w:val="both"/>
              <w:rPr>
                <w:rFonts w:cs="Times New Roman"/>
                <w:iCs/>
                <w:sz w:val="16"/>
                <w:szCs w:val="16"/>
              </w:rPr>
            </w:pPr>
            <w:r w:rsidRPr="00B44B19">
              <w:rPr>
                <w:rFonts w:cs="Times New Roman"/>
                <w:iCs/>
                <w:sz w:val="16"/>
                <w:szCs w:val="16"/>
              </w:rPr>
              <w:t>Vartotojai, kuriems pagerėjo tiekiamos elektros energijos kokybė</w:t>
            </w:r>
          </w:p>
        </w:tc>
        <w:tc>
          <w:tcPr>
            <w:tcW w:w="563" w:type="pct"/>
            <w:tcBorders>
              <w:top w:val="single" w:sz="12" w:space="0" w:color="auto"/>
            </w:tcBorders>
          </w:tcPr>
          <w:p w14:paraId="2B720637"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Galutiniai vartotojai per metus</w:t>
            </w:r>
          </w:p>
        </w:tc>
        <w:tc>
          <w:tcPr>
            <w:tcW w:w="328" w:type="pct"/>
            <w:tcBorders>
              <w:top w:val="single" w:sz="12" w:space="0" w:color="auto"/>
            </w:tcBorders>
          </w:tcPr>
          <w:p w14:paraId="50652740"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0</w:t>
            </w:r>
          </w:p>
        </w:tc>
        <w:tc>
          <w:tcPr>
            <w:tcW w:w="375" w:type="pct"/>
            <w:tcBorders>
              <w:top w:val="single" w:sz="12" w:space="0" w:color="auto"/>
            </w:tcBorders>
          </w:tcPr>
          <w:p w14:paraId="539F8FBA"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2020</w:t>
            </w:r>
          </w:p>
        </w:tc>
        <w:tc>
          <w:tcPr>
            <w:tcW w:w="328" w:type="pct"/>
            <w:tcBorders>
              <w:top w:val="single" w:sz="12" w:space="0" w:color="auto"/>
            </w:tcBorders>
          </w:tcPr>
          <w:p w14:paraId="2B59A55E"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75 174</w:t>
            </w:r>
          </w:p>
        </w:tc>
        <w:tc>
          <w:tcPr>
            <w:tcW w:w="328" w:type="pct"/>
            <w:tcBorders>
              <w:top w:val="single" w:sz="12" w:space="0" w:color="auto"/>
            </w:tcBorders>
          </w:tcPr>
          <w:p w14:paraId="2929D5FA" w14:textId="77777777" w:rsidR="00B14080" w:rsidRPr="00B44B19" w:rsidRDefault="00D67EDB" w:rsidP="00B14080">
            <w:pPr>
              <w:spacing w:after="0" w:line="240" w:lineRule="auto"/>
              <w:jc w:val="center"/>
              <w:rPr>
                <w:rFonts w:cs="Times New Roman"/>
                <w:noProof/>
                <w:sz w:val="16"/>
                <w:szCs w:val="16"/>
              </w:rPr>
            </w:pPr>
            <w:r w:rsidRPr="00B44B19">
              <w:rPr>
                <w:rFonts w:cs="Times New Roman"/>
                <w:noProof/>
                <w:sz w:val="16"/>
                <w:szCs w:val="16"/>
              </w:rPr>
              <w:t>Projektų duomenys</w:t>
            </w:r>
          </w:p>
        </w:tc>
        <w:tc>
          <w:tcPr>
            <w:tcW w:w="323" w:type="pct"/>
            <w:tcBorders>
              <w:top w:val="single" w:sz="12" w:space="0" w:color="auto"/>
            </w:tcBorders>
          </w:tcPr>
          <w:p w14:paraId="45028E98" w14:textId="77777777" w:rsidR="00B14080" w:rsidRPr="00B44B19" w:rsidRDefault="00B14080" w:rsidP="008112E1">
            <w:pPr>
              <w:spacing w:after="0" w:line="240" w:lineRule="auto"/>
              <w:jc w:val="both"/>
              <w:rPr>
                <w:rFonts w:cs="Times New Roman"/>
                <w:b/>
                <w:noProof/>
                <w:sz w:val="16"/>
                <w:szCs w:val="16"/>
              </w:rPr>
            </w:pPr>
          </w:p>
        </w:tc>
      </w:tr>
      <w:tr w:rsidR="00B14080" w:rsidRPr="00B44B19" w14:paraId="6895EF3B" w14:textId="77777777" w:rsidTr="00B14080">
        <w:trPr>
          <w:trHeight w:val="372"/>
        </w:trPr>
        <w:tc>
          <w:tcPr>
            <w:tcW w:w="317" w:type="pct"/>
            <w:vMerge/>
          </w:tcPr>
          <w:p w14:paraId="43793ABC" w14:textId="77777777" w:rsidR="00B14080" w:rsidRPr="00B44B19" w:rsidRDefault="00B14080" w:rsidP="008112E1">
            <w:pPr>
              <w:spacing w:after="0" w:line="240" w:lineRule="auto"/>
              <w:jc w:val="both"/>
              <w:rPr>
                <w:rFonts w:cs="Times New Roman"/>
                <w:noProof/>
                <w:sz w:val="16"/>
                <w:szCs w:val="16"/>
              </w:rPr>
            </w:pPr>
          </w:p>
        </w:tc>
        <w:tc>
          <w:tcPr>
            <w:tcW w:w="328" w:type="pct"/>
            <w:vMerge/>
          </w:tcPr>
          <w:p w14:paraId="1CCF1D02" w14:textId="77777777" w:rsidR="00B14080" w:rsidRPr="00B44B19" w:rsidRDefault="00B14080" w:rsidP="008112E1">
            <w:pPr>
              <w:spacing w:after="0" w:line="240" w:lineRule="auto"/>
              <w:jc w:val="both"/>
              <w:rPr>
                <w:rFonts w:cs="Times New Roman"/>
                <w:noProof/>
                <w:sz w:val="16"/>
                <w:szCs w:val="16"/>
              </w:rPr>
            </w:pPr>
          </w:p>
        </w:tc>
        <w:tc>
          <w:tcPr>
            <w:tcW w:w="281" w:type="pct"/>
          </w:tcPr>
          <w:p w14:paraId="50989FFB"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ERPF</w:t>
            </w:r>
          </w:p>
        </w:tc>
        <w:tc>
          <w:tcPr>
            <w:tcW w:w="375" w:type="pct"/>
          </w:tcPr>
          <w:p w14:paraId="0A3E3A40"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VVL regionas</w:t>
            </w:r>
          </w:p>
        </w:tc>
        <w:tc>
          <w:tcPr>
            <w:tcW w:w="422" w:type="pct"/>
          </w:tcPr>
          <w:p w14:paraId="104D6977" w14:textId="77777777" w:rsidR="00B14080" w:rsidRPr="00B44B19" w:rsidRDefault="008D0093" w:rsidP="00D67EDB">
            <w:pPr>
              <w:spacing w:after="0" w:line="240" w:lineRule="auto"/>
              <w:jc w:val="center"/>
              <w:rPr>
                <w:rFonts w:cs="Times New Roman"/>
                <w:sz w:val="16"/>
                <w:szCs w:val="16"/>
                <w:lang w:eastAsia="en-GB"/>
              </w:rPr>
            </w:pPr>
            <w:r w:rsidRPr="00B44B19">
              <w:rPr>
                <w:rFonts w:cs="Times New Roman"/>
                <w:sz w:val="16"/>
                <w:szCs w:val="16"/>
                <w:lang w:eastAsia="en-GB"/>
              </w:rPr>
              <w:t>S</w:t>
            </w:r>
            <w:r w:rsidR="004D23FF" w:rsidRPr="00B44B19">
              <w:rPr>
                <w:rFonts w:cs="Times New Roman"/>
                <w:sz w:val="16"/>
                <w:szCs w:val="16"/>
                <w:lang w:eastAsia="en-GB"/>
              </w:rPr>
              <w:t xml:space="preserve">pecialusis </w:t>
            </w:r>
          </w:p>
        </w:tc>
        <w:tc>
          <w:tcPr>
            <w:tcW w:w="1032" w:type="pct"/>
          </w:tcPr>
          <w:p w14:paraId="04D3C743" w14:textId="77777777" w:rsidR="004D23FF" w:rsidRPr="00B44B19" w:rsidRDefault="004D23FF" w:rsidP="00B14080">
            <w:pPr>
              <w:tabs>
                <w:tab w:val="left" w:pos="7560"/>
              </w:tabs>
              <w:spacing w:after="0" w:line="240" w:lineRule="auto"/>
              <w:jc w:val="both"/>
              <w:rPr>
                <w:rFonts w:cs="Times New Roman"/>
                <w:iCs/>
                <w:sz w:val="16"/>
                <w:szCs w:val="16"/>
              </w:rPr>
            </w:pPr>
            <w:r w:rsidRPr="00B44B19">
              <w:rPr>
                <w:rFonts w:cs="Times New Roman"/>
                <w:iCs/>
                <w:sz w:val="16"/>
                <w:szCs w:val="16"/>
              </w:rPr>
              <w:t>Vartotojai, kuriems pagerėjo tiekiamos elektros energijos kokybė</w:t>
            </w:r>
          </w:p>
        </w:tc>
        <w:tc>
          <w:tcPr>
            <w:tcW w:w="563" w:type="pct"/>
          </w:tcPr>
          <w:p w14:paraId="4B8FFE53"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Galutiniai vartotojai per metus</w:t>
            </w:r>
          </w:p>
        </w:tc>
        <w:tc>
          <w:tcPr>
            <w:tcW w:w="328" w:type="pct"/>
          </w:tcPr>
          <w:p w14:paraId="6E1C9DB3"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ADADD47"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2020</w:t>
            </w:r>
          </w:p>
        </w:tc>
        <w:tc>
          <w:tcPr>
            <w:tcW w:w="328" w:type="pct"/>
          </w:tcPr>
          <w:p w14:paraId="1967D35F" w14:textId="77777777" w:rsidR="00B14080" w:rsidRPr="00B44B19" w:rsidRDefault="00B14080" w:rsidP="00B14080">
            <w:pPr>
              <w:spacing w:after="0" w:line="240" w:lineRule="auto"/>
              <w:jc w:val="center"/>
              <w:rPr>
                <w:rFonts w:cs="Times New Roman"/>
                <w:noProof/>
                <w:sz w:val="16"/>
                <w:szCs w:val="16"/>
              </w:rPr>
            </w:pPr>
            <w:r w:rsidRPr="00B44B19">
              <w:rPr>
                <w:rFonts w:cs="Times New Roman"/>
                <w:noProof/>
                <w:sz w:val="16"/>
                <w:szCs w:val="16"/>
              </w:rPr>
              <w:t>183 362</w:t>
            </w:r>
          </w:p>
        </w:tc>
        <w:tc>
          <w:tcPr>
            <w:tcW w:w="328" w:type="pct"/>
          </w:tcPr>
          <w:p w14:paraId="3F24B08A" w14:textId="77777777" w:rsidR="00B14080" w:rsidRPr="00B44B19" w:rsidRDefault="00D67EDB" w:rsidP="00B14080">
            <w:pPr>
              <w:spacing w:after="0" w:line="240" w:lineRule="auto"/>
              <w:jc w:val="center"/>
              <w:rPr>
                <w:rFonts w:cs="Times New Roman"/>
                <w:noProof/>
                <w:sz w:val="16"/>
                <w:szCs w:val="16"/>
              </w:rPr>
            </w:pPr>
            <w:r w:rsidRPr="00B44B19">
              <w:rPr>
                <w:rFonts w:cs="Times New Roman"/>
                <w:noProof/>
                <w:sz w:val="16"/>
                <w:szCs w:val="16"/>
              </w:rPr>
              <w:t>Projektų duomenys</w:t>
            </w:r>
          </w:p>
        </w:tc>
        <w:tc>
          <w:tcPr>
            <w:tcW w:w="323" w:type="pct"/>
          </w:tcPr>
          <w:p w14:paraId="7D956D7A" w14:textId="77777777" w:rsidR="00B14080" w:rsidRPr="00B44B19" w:rsidRDefault="00B14080" w:rsidP="008112E1">
            <w:pPr>
              <w:spacing w:after="0" w:line="240" w:lineRule="auto"/>
              <w:jc w:val="both"/>
              <w:rPr>
                <w:rFonts w:cs="Times New Roman"/>
                <w:b/>
                <w:noProof/>
                <w:sz w:val="16"/>
                <w:szCs w:val="16"/>
              </w:rPr>
            </w:pPr>
          </w:p>
        </w:tc>
      </w:tr>
    </w:tbl>
    <w:p w14:paraId="5B07ABD5" w14:textId="77777777" w:rsidR="00471A41" w:rsidRPr="00B44B19" w:rsidRDefault="00471A41" w:rsidP="00471A41">
      <w:pPr>
        <w:rPr>
          <w:rFonts w:cs="Times New Roman"/>
          <w:b/>
          <w:szCs w:val="24"/>
        </w:rPr>
      </w:pPr>
    </w:p>
    <w:p w14:paraId="5057FED1" w14:textId="77777777" w:rsidR="008112E1" w:rsidRPr="00B44B19" w:rsidRDefault="008112E1" w:rsidP="00471A41">
      <w:pPr>
        <w:spacing w:before="240" w:after="240" w:line="240" w:lineRule="auto"/>
        <w:jc w:val="both"/>
        <w:rPr>
          <w:rFonts w:eastAsia="Calibri" w:cs="Times New Roman"/>
          <w:b/>
          <w:noProof/>
          <w:szCs w:val="20"/>
          <w:lang w:eastAsia="lt-LT" w:bidi="lt-LT"/>
        </w:rPr>
        <w:sectPr w:rsidR="008112E1" w:rsidRPr="00B44B19" w:rsidSect="00931C78">
          <w:pgSz w:w="16838" w:h="11906" w:orient="landscape"/>
          <w:pgMar w:top="1701" w:right="1276" w:bottom="567" w:left="1134" w:header="567" w:footer="567" w:gutter="0"/>
          <w:cols w:space="1296"/>
          <w:docGrid w:linePitch="360"/>
        </w:sectPr>
      </w:pPr>
    </w:p>
    <w:p w14:paraId="5AD77C1B" w14:textId="77777777" w:rsidR="00FE2852" w:rsidRPr="00B44B19" w:rsidRDefault="00471A41" w:rsidP="008D29D5">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276"/>
        <w:gridCol w:w="1134"/>
        <w:gridCol w:w="3969"/>
        <w:gridCol w:w="1417"/>
      </w:tblGrid>
      <w:tr w:rsidR="00437FF2" w:rsidRPr="00B44B19" w14:paraId="5F2BA8AD" w14:textId="77777777" w:rsidTr="00F041D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C0EC08" w14:textId="77777777" w:rsidR="00437FF2" w:rsidRPr="00B44B19" w:rsidRDefault="00437FF2" w:rsidP="00437FF2">
            <w:pPr>
              <w:rPr>
                <w:rFonts w:eastAsia="Times New Roman" w:cs="Times New Roman"/>
                <w:b/>
                <w:iCs/>
                <w:noProof/>
                <w:sz w:val="20"/>
              </w:rPr>
            </w:pPr>
            <w:r w:rsidRPr="00B44B19">
              <w:rPr>
                <w:rFonts w:cs="Times New Roman"/>
                <w:b/>
                <w:noProof/>
                <w:sz w:val="20"/>
              </w:rPr>
              <w:t>4 lentelė. 1 matmuo. Intervencinių priemonių sritis</w:t>
            </w:r>
          </w:p>
        </w:tc>
      </w:tr>
      <w:tr w:rsidR="00437FF2" w:rsidRPr="00B44B19" w14:paraId="23C57AFD" w14:textId="77777777"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F2D069"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3224A4"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B4488C"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4FF9B4"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2B35E0"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BE90CA"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Suma (EUR)</w:t>
            </w:r>
          </w:p>
        </w:tc>
      </w:tr>
      <w:tr w:rsidR="0037685A" w:rsidRPr="00B44B19" w14:paraId="7C91F128" w14:textId="77777777" w:rsidTr="00F041DB">
        <w:tc>
          <w:tcPr>
            <w:tcW w:w="1101" w:type="dxa"/>
            <w:vMerge w:val="restart"/>
            <w:tcBorders>
              <w:top w:val="single" w:sz="12" w:space="0" w:color="auto"/>
            </w:tcBorders>
          </w:tcPr>
          <w:p w14:paraId="6A0BFB13" w14:textId="77777777" w:rsidR="0037685A" w:rsidRPr="00B44B19" w:rsidRDefault="0037685A" w:rsidP="00437FF2">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68ABE676" w14:textId="77777777" w:rsidR="0037685A" w:rsidRPr="00B44B19" w:rsidRDefault="0037685A" w:rsidP="00E90C3F">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4" w:space="0" w:color="auto"/>
            </w:tcBorders>
          </w:tcPr>
          <w:p w14:paraId="25B51F8D" w14:textId="77777777" w:rsidR="0037685A" w:rsidRPr="00B44B19" w:rsidRDefault="0037685A" w:rsidP="00E90C3F">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3088202B" w14:textId="77777777" w:rsidR="0037685A" w:rsidRPr="00B44B19" w:rsidRDefault="0037685A" w:rsidP="00437FF2">
            <w:pPr>
              <w:jc w:val="center"/>
              <w:rPr>
                <w:rFonts w:eastAsia="Times New Roman" w:cs="Times New Roman"/>
                <w:iCs/>
                <w:noProof/>
                <w:sz w:val="20"/>
              </w:rPr>
            </w:pPr>
            <w:r w:rsidRPr="00B44B19">
              <w:rPr>
                <w:rFonts w:eastAsia="Times New Roman" w:cs="Times New Roman"/>
                <w:iCs/>
                <w:noProof/>
                <w:sz w:val="20"/>
              </w:rPr>
              <w:t>2.3</w:t>
            </w:r>
          </w:p>
        </w:tc>
        <w:tc>
          <w:tcPr>
            <w:tcW w:w="3969" w:type="dxa"/>
            <w:vMerge w:val="restart"/>
            <w:tcBorders>
              <w:top w:val="single" w:sz="12" w:space="0" w:color="auto"/>
            </w:tcBorders>
          </w:tcPr>
          <w:p w14:paraId="7146D115" w14:textId="77777777" w:rsidR="0037685A" w:rsidRPr="00B44B19" w:rsidRDefault="0037685A" w:rsidP="00F041DB">
            <w:pPr>
              <w:rPr>
                <w:rFonts w:eastAsia="Times New Roman" w:cs="Times New Roman"/>
                <w:iCs/>
                <w:noProof/>
                <w:sz w:val="20"/>
              </w:rPr>
            </w:pPr>
            <w:r w:rsidRPr="00B44B19">
              <w:rPr>
                <w:rFonts w:eastAsia="Times New Roman" w:cs="Times New Roman"/>
                <w:iCs/>
                <w:noProof/>
                <w:sz w:val="20"/>
              </w:rPr>
              <w:t xml:space="preserve">053 </w:t>
            </w:r>
            <w:r w:rsidR="00506603" w:rsidRPr="00B44B19">
              <w:rPr>
                <w:rFonts w:eastAsia="Times New Roman" w:cs="Times New Roman"/>
                <w:iCs/>
                <w:noProof/>
                <w:sz w:val="20"/>
              </w:rPr>
              <w:t>–</w:t>
            </w:r>
            <w:r w:rsidRPr="00B44B19">
              <w:rPr>
                <w:rFonts w:eastAsia="Times New Roman" w:cs="Times New Roman"/>
                <w:iCs/>
                <w:noProof/>
                <w:sz w:val="20"/>
              </w:rPr>
              <w:t xml:space="preserve"> Pažangios energijos sistemos (įskaitant pažangiuosius tinklus ir IRT sistemas) ir susijęs kaupimas</w:t>
            </w:r>
          </w:p>
        </w:tc>
        <w:tc>
          <w:tcPr>
            <w:tcW w:w="1417" w:type="dxa"/>
            <w:tcBorders>
              <w:top w:val="single" w:sz="12" w:space="0" w:color="auto"/>
              <w:bottom w:val="single" w:sz="4" w:space="0" w:color="auto"/>
            </w:tcBorders>
          </w:tcPr>
          <w:p w14:paraId="44D00D10" w14:textId="77777777" w:rsidR="0037685A" w:rsidRPr="00B44B19" w:rsidRDefault="0037685A" w:rsidP="00B14080">
            <w:pPr>
              <w:jc w:val="right"/>
              <w:rPr>
                <w:rFonts w:eastAsia="Times New Roman" w:cs="Times New Roman"/>
                <w:iCs/>
                <w:noProof/>
                <w:sz w:val="20"/>
              </w:rPr>
            </w:pPr>
            <w:r w:rsidRPr="00B44B19">
              <w:rPr>
                <w:rFonts w:eastAsia="Times New Roman" w:cs="Times New Roman"/>
                <w:bCs/>
                <w:iCs/>
                <w:noProof/>
                <w:sz w:val="20"/>
              </w:rPr>
              <w:t xml:space="preserve">24 000 000,00 </w:t>
            </w:r>
          </w:p>
        </w:tc>
      </w:tr>
      <w:tr w:rsidR="00B14080" w:rsidRPr="00B44B19" w14:paraId="6ED2159B" w14:textId="77777777" w:rsidTr="00F041DB">
        <w:tc>
          <w:tcPr>
            <w:tcW w:w="1101" w:type="dxa"/>
            <w:vMerge/>
          </w:tcPr>
          <w:p w14:paraId="05DD7D47" w14:textId="77777777" w:rsidR="00B14080" w:rsidRPr="00B44B19" w:rsidRDefault="00B14080" w:rsidP="00437FF2">
            <w:pPr>
              <w:rPr>
                <w:rFonts w:eastAsia="Times New Roman" w:cs="Times New Roman"/>
                <w:iCs/>
                <w:noProof/>
                <w:sz w:val="20"/>
              </w:rPr>
            </w:pPr>
          </w:p>
        </w:tc>
        <w:tc>
          <w:tcPr>
            <w:tcW w:w="850" w:type="dxa"/>
          </w:tcPr>
          <w:p w14:paraId="1D1BB615" w14:textId="77777777" w:rsidR="00B14080" w:rsidRPr="00B44B19" w:rsidRDefault="00B14080" w:rsidP="00E90C3F">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4" w:space="0" w:color="auto"/>
            </w:tcBorders>
          </w:tcPr>
          <w:p w14:paraId="4B24FA54" w14:textId="77777777" w:rsidR="00B14080" w:rsidRPr="00B44B19" w:rsidRDefault="00B14080" w:rsidP="00E90C3F">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64A432EB" w14:textId="77777777" w:rsidR="00B14080" w:rsidRPr="00B44B19" w:rsidRDefault="00B14080" w:rsidP="00437FF2">
            <w:pPr>
              <w:rPr>
                <w:rFonts w:eastAsia="Times New Roman" w:cs="Times New Roman"/>
                <w:b/>
                <w:iCs/>
                <w:noProof/>
                <w:sz w:val="20"/>
              </w:rPr>
            </w:pPr>
          </w:p>
        </w:tc>
        <w:tc>
          <w:tcPr>
            <w:tcW w:w="3969" w:type="dxa"/>
            <w:vMerge/>
          </w:tcPr>
          <w:p w14:paraId="0A424960" w14:textId="77777777" w:rsidR="00B14080" w:rsidRPr="00B44B19" w:rsidRDefault="00B14080" w:rsidP="00437FF2">
            <w:pPr>
              <w:rPr>
                <w:rFonts w:eastAsia="Times New Roman" w:cs="Times New Roman"/>
                <w:b/>
                <w:iCs/>
                <w:noProof/>
                <w:sz w:val="20"/>
              </w:rPr>
            </w:pPr>
          </w:p>
        </w:tc>
        <w:tc>
          <w:tcPr>
            <w:tcW w:w="1417" w:type="dxa"/>
            <w:tcBorders>
              <w:top w:val="single" w:sz="4" w:space="0" w:color="auto"/>
            </w:tcBorders>
          </w:tcPr>
          <w:p w14:paraId="2C059FD9" w14:textId="77777777" w:rsidR="00B14080" w:rsidRPr="00B44B19" w:rsidRDefault="00523D20" w:rsidP="007167BE">
            <w:pPr>
              <w:jc w:val="right"/>
              <w:rPr>
                <w:rFonts w:eastAsia="Times New Roman" w:cs="Times New Roman"/>
                <w:iCs/>
                <w:noProof/>
                <w:sz w:val="20"/>
              </w:rPr>
            </w:pPr>
            <w:r w:rsidRPr="00B44B19">
              <w:rPr>
                <w:rFonts w:cs="Times New Roman"/>
                <w:color w:val="000000"/>
                <w:sz w:val="20"/>
                <w:szCs w:val="20"/>
              </w:rPr>
              <w:t>58 50</w:t>
            </w:r>
            <w:r w:rsidR="0037685A" w:rsidRPr="00B44B19">
              <w:rPr>
                <w:rFonts w:cs="Times New Roman"/>
                <w:color w:val="000000"/>
                <w:sz w:val="20"/>
                <w:szCs w:val="20"/>
              </w:rPr>
              <w:t>0 000,00</w:t>
            </w:r>
          </w:p>
        </w:tc>
      </w:tr>
    </w:tbl>
    <w:p w14:paraId="0C93C9FB" w14:textId="77777777" w:rsidR="00437FF2" w:rsidRPr="00B44B19" w:rsidRDefault="00437FF2" w:rsidP="00D970FC">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9"/>
        <w:gridCol w:w="850"/>
        <w:gridCol w:w="1270"/>
        <w:gridCol w:w="1134"/>
        <w:gridCol w:w="3861"/>
        <w:gridCol w:w="1394"/>
      </w:tblGrid>
      <w:tr w:rsidR="00437FF2" w:rsidRPr="00B44B19" w14:paraId="685EB32F" w14:textId="77777777" w:rsidTr="00437FF2">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CB8609A" w14:textId="77777777" w:rsidR="00437FF2" w:rsidRPr="00B44B19" w:rsidRDefault="00437FF2" w:rsidP="00B14803">
            <w:pPr>
              <w:rPr>
                <w:rFonts w:eastAsia="Times New Roman" w:cs="Times New Roman"/>
                <w:b/>
                <w:iCs/>
                <w:noProof/>
                <w:sz w:val="20"/>
              </w:rPr>
            </w:pPr>
            <w:r w:rsidRPr="00B44B19">
              <w:rPr>
                <w:rFonts w:cs="Times New Roman"/>
                <w:b/>
                <w:noProof/>
                <w:sz w:val="20"/>
              </w:rPr>
              <w:t xml:space="preserve">5 lentelė. 2 matmuo. </w:t>
            </w:r>
            <w:r w:rsidR="00B14803" w:rsidRPr="00B44B19">
              <w:rPr>
                <w:rFonts w:cs="Times New Roman"/>
                <w:b/>
                <w:noProof/>
                <w:sz w:val="20"/>
              </w:rPr>
              <w:t>Finansavimo</w:t>
            </w:r>
            <w:r w:rsidR="00774479" w:rsidRPr="00B44B19">
              <w:rPr>
                <w:rFonts w:cs="Times New Roman"/>
                <w:b/>
                <w:noProof/>
                <w:sz w:val="20"/>
              </w:rPr>
              <w:t xml:space="preserve"> </w:t>
            </w:r>
            <w:r w:rsidRPr="00B44B19">
              <w:rPr>
                <w:rFonts w:cs="Times New Roman"/>
                <w:b/>
                <w:noProof/>
                <w:sz w:val="20"/>
              </w:rPr>
              <w:t>forma</w:t>
            </w:r>
          </w:p>
        </w:tc>
      </w:tr>
      <w:tr w:rsidR="00437FF2" w:rsidRPr="00B44B19" w14:paraId="29FB4A32" w14:textId="77777777"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0CF79B"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83AD81"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A4108B"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1B86CD"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0F4C4D"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EEFA0B"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Suma (EUR)</w:t>
            </w:r>
          </w:p>
        </w:tc>
      </w:tr>
      <w:tr w:rsidR="00B14080" w:rsidRPr="00B44B19" w14:paraId="229007CE" w14:textId="77777777" w:rsidTr="00F041DB">
        <w:tc>
          <w:tcPr>
            <w:tcW w:w="1101" w:type="dxa"/>
            <w:vMerge w:val="restart"/>
            <w:tcBorders>
              <w:top w:val="single" w:sz="12" w:space="0" w:color="auto"/>
            </w:tcBorders>
          </w:tcPr>
          <w:p w14:paraId="285A1D9B" w14:textId="77777777" w:rsidR="00B14080" w:rsidRPr="00B44B19" w:rsidRDefault="00B14080" w:rsidP="00437FF2">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242E9B0D" w14:textId="77777777" w:rsidR="00B14080" w:rsidRPr="00B44B19" w:rsidRDefault="00B14080" w:rsidP="006A38A0">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4" w:space="0" w:color="auto"/>
            </w:tcBorders>
          </w:tcPr>
          <w:p w14:paraId="2AFF1019" w14:textId="77777777" w:rsidR="00B14080" w:rsidRPr="00B44B19" w:rsidRDefault="00B14080" w:rsidP="006A38A0">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161968C6" w14:textId="77777777" w:rsidR="00B14080" w:rsidRPr="00B44B19" w:rsidRDefault="00B14080" w:rsidP="00437FF2">
            <w:pPr>
              <w:jc w:val="center"/>
              <w:rPr>
                <w:rFonts w:eastAsia="Times New Roman" w:cs="Times New Roman"/>
                <w:b/>
                <w:iCs/>
                <w:noProof/>
                <w:sz w:val="20"/>
              </w:rPr>
            </w:pPr>
            <w:r w:rsidRPr="00B44B19">
              <w:rPr>
                <w:rFonts w:eastAsia="Times New Roman" w:cs="Times New Roman"/>
                <w:iCs/>
                <w:noProof/>
                <w:sz w:val="20"/>
              </w:rPr>
              <w:t>2.3</w:t>
            </w:r>
          </w:p>
        </w:tc>
        <w:tc>
          <w:tcPr>
            <w:tcW w:w="3969" w:type="dxa"/>
            <w:vMerge w:val="restart"/>
            <w:tcBorders>
              <w:top w:val="single" w:sz="12" w:space="0" w:color="auto"/>
            </w:tcBorders>
          </w:tcPr>
          <w:p w14:paraId="67D537AA" w14:textId="77777777" w:rsidR="00B14080" w:rsidRPr="00B44B19" w:rsidRDefault="00B14080" w:rsidP="00F041DB">
            <w:pPr>
              <w:rPr>
                <w:rFonts w:eastAsia="Times New Roman" w:cs="Times New Roman"/>
                <w:iCs/>
                <w:noProof/>
                <w:sz w:val="20"/>
              </w:rPr>
            </w:pPr>
            <w:r w:rsidRPr="00B44B19">
              <w:rPr>
                <w:rFonts w:eastAsia="Times New Roman" w:cs="Times New Roman"/>
                <w:iCs/>
                <w:noProof/>
                <w:sz w:val="20"/>
              </w:rPr>
              <w:t>01</w:t>
            </w:r>
            <w:r w:rsidR="00F041DB" w:rsidRPr="00B44B19">
              <w:rPr>
                <w:rFonts w:eastAsia="Times New Roman" w:cs="Times New Roman"/>
                <w:iCs/>
                <w:noProof/>
                <w:sz w:val="20"/>
              </w:rPr>
              <w:t xml:space="preserve"> </w:t>
            </w:r>
            <w:r w:rsidR="00506603" w:rsidRPr="00B44B19">
              <w:rPr>
                <w:rFonts w:eastAsia="Times New Roman" w:cs="Times New Roman"/>
                <w:iCs/>
                <w:noProof/>
                <w:sz w:val="20"/>
              </w:rPr>
              <w:t>–</w:t>
            </w:r>
            <w:r w:rsidR="00F041DB" w:rsidRPr="00B44B19">
              <w:rPr>
                <w:rFonts w:eastAsia="Times New Roman" w:cs="Times New Roman"/>
                <w:iCs/>
                <w:noProof/>
                <w:sz w:val="20"/>
              </w:rPr>
              <w:t xml:space="preserve"> Dotacija</w:t>
            </w:r>
          </w:p>
        </w:tc>
        <w:tc>
          <w:tcPr>
            <w:tcW w:w="1417" w:type="dxa"/>
            <w:tcBorders>
              <w:top w:val="single" w:sz="12" w:space="0" w:color="auto"/>
              <w:bottom w:val="single" w:sz="4" w:space="0" w:color="auto"/>
            </w:tcBorders>
          </w:tcPr>
          <w:p w14:paraId="79C55663" w14:textId="77777777" w:rsidR="00B14080" w:rsidRPr="00B44B19" w:rsidRDefault="00B14080" w:rsidP="00B14080">
            <w:pPr>
              <w:jc w:val="right"/>
              <w:rPr>
                <w:rFonts w:eastAsia="Times New Roman" w:cs="Times New Roman"/>
                <w:bCs/>
                <w:iCs/>
                <w:noProof/>
                <w:sz w:val="20"/>
              </w:rPr>
            </w:pPr>
            <w:r w:rsidRPr="00B44B19">
              <w:rPr>
                <w:rFonts w:eastAsia="Times New Roman" w:cs="Times New Roman"/>
                <w:bCs/>
                <w:iCs/>
                <w:noProof/>
                <w:sz w:val="20"/>
              </w:rPr>
              <w:t>24 000 000,00</w:t>
            </w:r>
          </w:p>
        </w:tc>
      </w:tr>
      <w:tr w:rsidR="00B14080" w:rsidRPr="00B44B19" w14:paraId="338A25EE" w14:textId="77777777" w:rsidTr="00F041DB">
        <w:tc>
          <w:tcPr>
            <w:tcW w:w="1101" w:type="dxa"/>
            <w:vMerge/>
          </w:tcPr>
          <w:p w14:paraId="0A883CC9" w14:textId="77777777" w:rsidR="00B14080" w:rsidRPr="00B44B19" w:rsidRDefault="00B14080" w:rsidP="00437FF2">
            <w:pPr>
              <w:rPr>
                <w:rFonts w:eastAsia="Times New Roman" w:cs="Times New Roman"/>
                <w:b/>
                <w:iCs/>
                <w:noProof/>
                <w:sz w:val="20"/>
              </w:rPr>
            </w:pPr>
          </w:p>
        </w:tc>
        <w:tc>
          <w:tcPr>
            <w:tcW w:w="850" w:type="dxa"/>
          </w:tcPr>
          <w:p w14:paraId="2790A16B" w14:textId="77777777" w:rsidR="00B14080" w:rsidRPr="00B44B19" w:rsidRDefault="00B14080" w:rsidP="006A38A0">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4" w:space="0" w:color="auto"/>
            </w:tcBorders>
          </w:tcPr>
          <w:p w14:paraId="728D5AC3" w14:textId="77777777" w:rsidR="00B14080" w:rsidRPr="00B44B19" w:rsidRDefault="00B14080" w:rsidP="006A38A0">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33DFE353" w14:textId="77777777" w:rsidR="00B14080" w:rsidRPr="00B44B19" w:rsidRDefault="00B14080" w:rsidP="00437FF2">
            <w:pPr>
              <w:rPr>
                <w:rFonts w:eastAsia="Times New Roman" w:cs="Times New Roman"/>
                <w:b/>
                <w:iCs/>
                <w:noProof/>
                <w:sz w:val="20"/>
              </w:rPr>
            </w:pPr>
          </w:p>
        </w:tc>
        <w:tc>
          <w:tcPr>
            <w:tcW w:w="3969" w:type="dxa"/>
            <w:vMerge/>
          </w:tcPr>
          <w:p w14:paraId="2F20C3FD" w14:textId="77777777" w:rsidR="00B14080" w:rsidRPr="00B44B19" w:rsidRDefault="00B14080" w:rsidP="00437FF2">
            <w:pPr>
              <w:rPr>
                <w:rFonts w:eastAsia="Times New Roman" w:cs="Times New Roman"/>
                <w:b/>
                <w:iCs/>
                <w:noProof/>
                <w:sz w:val="20"/>
              </w:rPr>
            </w:pPr>
          </w:p>
        </w:tc>
        <w:tc>
          <w:tcPr>
            <w:tcW w:w="1417" w:type="dxa"/>
            <w:tcBorders>
              <w:top w:val="single" w:sz="4" w:space="0" w:color="auto"/>
            </w:tcBorders>
          </w:tcPr>
          <w:p w14:paraId="170B9CC6" w14:textId="77777777" w:rsidR="00B14080" w:rsidRPr="00B44B19" w:rsidRDefault="00523D20" w:rsidP="007167BE">
            <w:pPr>
              <w:jc w:val="right"/>
              <w:rPr>
                <w:rFonts w:eastAsia="Times New Roman" w:cs="Times New Roman"/>
                <w:bCs/>
                <w:iCs/>
                <w:noProof/>
                <w:sz w:val="20"/>
              </w:rPr>
            </w:pPr>
            <w:r w:rsidRPr="00B44B19">
              <w:rPr>
                <w:rFonts w:cs="Times New Roman"/>
                <w:color w:val="000000"/>
                <w:sz w:val="20"/>
                <w:szCs w:val="20"/>
              </w:rPr>
              <w:t xml:space="preserve">58 </w:t>
            </w:r>
            <w:r w:rsidR="0037685A" w:rsidRPr="00B44B19">
              <w:rPr>
                <w:rFonts w:cs="Times New Roman"/>
                <w:color w:val="000000"/>
                <w:sz w:val="20"/>
                <w:szCs w:val="20"/>
              </w:rPr>
              <w:t>5</w:t>
            </w:r>
            <w:r w:rsidRPr="00B44B19">
              <w:rPr>
                <w:rFonts w:cs="Times New Roman"/>
                <w:color w:val="000000"/>
                <w:sz w:val="20"/>
                <w:szCs w:val="20"/>
              </w:rPr>
              <w:t>0</w:t>
            </w:r>
            <w:r w:rsidR="0037685A" w:rsidRPr="00B44B19">
              <w:rPr>
                <w:rFonts w:cs="Times New Roman"/>
                <w:color w:val="000000"/>
                <w:sz w:val="20"/>
                <w:szCs w:val="20"/>
              </w:rPr>
              <w:t>0 000,00</w:t>
            </w:r>
          </w:p>
        </w:tc>
      </w:tr>
    </w:tbl>
    <w:p w14:paraId="55DDF8AC" w14:textId="77777777" w:rsidR="00437FF2" w:rsidRPr="00B44B19" w:rsidRDefault="00437FF2" w:rsidP="00D970FC">
      <w:pPr>
        <w:spacing w:after="0" w:line="240" w:lineRule="auto"/>
        <w:rPr>
          <w:rFonts w:eastAsia="Times New Roman" w:cs="Times New Roman"/>
          <w:iCs/>
          <w:noProof/>
          <w:sz w:val="20"/>
          <w:szCs w:val="20"/>
        </w:rPr>
      </w:pPr>
    </w:p>
    <w:tbl>
      <w:tblPr>
        <w:tblStyle w:val="Lentelstinklelis"/>
        <w:tblW w:w="9747" w:type="dxa"/>
        <w:tblLook w:val="04A0" w:firstRow="1" w:lastRow="0" w:firstColumn="1" w:lastColumn="0" w:noHBand="0" w:noVBand="1"/>
      </w:tblPr>
      <w:tblGrid>
        <w:gridCol w:w="1101"/>
        <w:gridCol w:w="850"/>
        <w:gridCol w:w="1276"/>
        <w:gridCol w:w="1134"/>
        <w:gridCol w:w="3969"/>
        <w:gridCol w:w="1417"/>
      </w:tblGrid>
      <w:tr w:rsidR="00437FF2" w:rsidRPr="00B44B19" w14:paraId="07079C6A" w14:textId="77777777" w:rsidTr="00B14080">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99B6D3" w14:textId="77777777" w:rsidR="00437FF2" w:rsidRPr="00B44B19" w:rsidRDefault="00437FF2" w:rsidP="00437FF2">
            <w:pPr>
              <w:rPr>
                <w:rFonts w:eastAsia="Times New Roman" w:cs="Times New Roman"/>
                <w:b/>
                <w:iCs/>
                <w:noProof/>
                <w:sz w:val="20"/>
              </w:rPr>
            </w:pPr>
            <w:r w:rsidRPr="00B44B19">
              <w:rPr>
                <w:rFonts w:cs="Times New Roman"/>
                <w:b/>
                <w:noProof/>
                <w:sz w:val="20"/>
              </w:rPr>
              <w:t xml:space="preserve">6 lentelė. 3 matmuo. </w:t>
            </w:r>
            <w:r w:rsidR="00774479" w:rsidRPr="00B44B19">
              <w:rPr>
                <w:rFonts w:cs="Times New Roman"/>
                <w:b/>
                <w:noProof/>
                <w:sz w:val="20"/>
              </w:rPr>
              <w:t>Teritorinis įgyvendinimo mechanizmas ir pagrindinė teritorinė sritis</w:t>
            </w:r>
          </w:p>
        </w:tc>
      </w:tr>
      <w:tr w:rsidR="00437FF2" w:rsidRPr="00B44B19" w14:paraId="5BD6C4AA" w14:textId="77777777" w:rsidTr="00F041D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08473A"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A1692B"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C5C14"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7553B7"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197544"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B466C1" w14:textId="77777777" w:rsidR="00437FF2" w:rsidRPr="00B44B19" w:rsidRDefault="00437FF2" w:rsidP="00437FF2">
            <w:pPr>
              <w:jc w:val="center"/>
              <w:rPr>
                <w:rFonts w:eastAsia="Times New Roman" w:cs="Times New Roman"/>
                <w:b/>
                <w:iCs/>
                <w:noProof/>
                <w:sz w:val="20"/>
              </w:rPr>
            </w:pPr>
            <w:r w:rsidRPr="00B44B19">
              <w:rPr>
                <w:rFonts w:cs="Times New Roman"/>
                <w:b/>
                <w:noProof/>
                <w:sz w:val="20"/>
              </w:rPr>
              <w:t>Suma (EUR)</w:t>
            </w:r>
          </w:p>
        </w:tc>
      </w:tr>
      <w:tr w:rsidR="00B14080" w:rsidRPr="00B44B19" w14:paraId="59C07A26" w14:textId="77777777" w:rsidTr="00F041DB">
        <w:tc>
          <w:tcPr>
            <w:tcW w:w="1101" w:type="dxa"/>
            <w:vMerge w:val="restart"/>
            <w:tcBorders>
              <w:top w:val="single" w:sz="12" w:space="0" w:color="auto"/>
            </w:tcBorders>
          </w:tcPr>
          <w:p w14:paraId="5943A3B2" w14:textId="77777777" w:rsidR="00B14080" w:rsidRPr="00B44B19" w:rsidRDefault="00B14080" w:rsidP="00437FF2">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12EBB9C2" w14:textId="77777777" w:rsidR="00B14080" w:rsidRPr="00B44B19" w:rsidRDefault="00B14080" w:rsidP="006A38A0">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4" w:space="0" w:color="auto"/>
            </w:tcBorders>
          </w:tcPr>
          <w:p w14:paraId="78421600" w14:textId="77777777" w:rsidR="00B14080" w:rsidRPr="00B44B19" w:rsidRDefault="00B14080" w:rsidP="006A38A0">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1A52E5A1" w14:textId="77777777" w:rsidR="00B14080" w:rsidRPr="00B44B19" w:rsidRDefault="00B14080" w:rsidP="00437FF2">
            <w:pPr>
              <w:jc w:val="center"/>
              <w:rPr>
                <w:rFonts w:eastAsia="Times New Roman" w:cs="Times New Roman"/>
                <w:iCs/>
                <w:noProof/>
                <w:sz w:val="20"/>
              </w:rPr>
            </w:pPr>
            <w:r w:rsidRPr="00B44B19">
              <w:rPr>
                <w:rFonts w:eastAsia="Times New Roman" w:cs="Times New Roman"/>
                <w:iCs/>
                <w:noProof/>
                <w:sz w:val="20"/>
              </w:rPr>
              <w:t>2.3</w:t>
            </w:r>
          </w:p>
        </w:tc>
        <w:tc>
          <w:tcPr>
            <w:tcW w:w="3969" w:type="dxa"/>
            <w:vMerge w:val="restart"/>
            <w:tcBorders>
              <w:top w:val="single" w:sz="12" w:space="0" w:color="auto"/>
            </w:tcBorders>
          </w:tcPr>
          <w:p w14:paraId="79400D0E" w14:textId="77777777" w:rsidR="00B14080" w:rsidRPr="00B44B19" w:rsidRDefault="00B14080" w:rsidP="00F041DB">
            <w:pPr>
              <w:rPr>
                <w:rFonts w:eastAsia="Times New Roman" w:cs="Times New Roman"/>
                <w:iCs/>
                <w:noProof/>
                <w:sz w:val="20"/>
              </w:rPr>
            </w:pPr>
            <w:r w:rsidRPr="00B44B19">
              <w:rPr>
                <w:rFonts w:eastAsia="Times New Roman" w:cs="Times New Roman"/>
                <w:iCs/>
                <w:noProof/>
                <w:sz w:val="20"/>
              </w:rPr>
              <w:t>33</w:t>
            </w:r>
            <w:r w:rsidR="00F041DB" w:rsidRPr="00B44B19">
              <w:rPr>
                <w:rFonts w:eastAsia="Times New Roman" w:cs="Times New Roman"/>
                <w:iCs/>
                <w:noProof/>
                <w:sz w:val="20"/>
              </w:rPr>
              <w:t xml:space="preserve"> </w:t>
            </w:r>
            <w:r w:rsidR="00506603" w:rsidRPr="00B44B19">
              <w:rPr>
                <w:rFonts w:eastAsia="Times New Roman" w:cs="Times New Roman"/>
                <w:iCs/>
                <w:noProof/>
                <w:sz w:val="20"/>
              </w:rPr>
              <w:t>–</w:t>
            </w:r>
            <w:r w:rsidR="00F041DB" w:rsidRPr="00B44B19">
              <w:rPr>
                <w:rFonts w:eastAsia="Times New Roman" w:cs="Times New Roman"/>
                <w:iCs/>
                <w:noProof/>
                <w:sz w:val="20"/>
              </w:rPr>
              <w:t xml:space="preserve"> Nesiorientuojant į teritoriškumą</w:t>
            </w:r>
          </w:p>
        </w:tc>
        <w:tc>
          <w:tcPr>
            <w:tcW w:w="1417" w:type="dxa"/>
            <w:tcBorders>
              <w:top w:val="single" w:sz="12" w:space="0" w:color="auto"/>
              <w:bottom w:val="single" w:sz="4" w:space="0" w:color="auto"/>
            </w:tcBorders>
          </w:tcPr>
          <w:p w14:paraId="2941BB70" w14:textId="77777777" w:rsidR="00B14080" w:rsidRPr="00B44B19" w:rsidRDefault="00B14080" w:rsidP="00B14080">
            <w:pPr>
              <w:jc w:val="right"/>
              <w:rPr>
                <w:rFonts w:eastAsia="Times New Roman" w:cs="Times New Roman"/>
                <w:bCs/>
                <w:iCs/>
                <w:noProof/>
                <w:sz w:val="20"/>
              </w:rPr>
            </w:pPr>
            <w:r w:rsidRPr="00B44B19">
              <w:rPr>
                <w:rFonts w:eastAsia="Times New Roman" w:cs="Times New Roman"/>
                <w:bCs/>
                <w:iCs/>
                <w:noProof/>
                <w:sz w:val="20"/>
              </w:rPr>
              <w:t>24 000 000,00</w:t>
            </w:r>
          </w:p>
        </w:tc>
      </w:tr>
      <w:tr w:rsidR="00B14080" w:rsidRPr="00B44B19" w14:paraId="0B0A067A" w14:textId="77777777" w:rsidTr="00F041DB">
        <w:tc>
          <w:tcPr>
            <w:tcW w:w="1101" w:type="dxa"/>
            <w:vMerge/>
          </w:tcPr>
          <w:p w14:paraId="481AE210" w14:textId="77777777" w:rsidR="00B14080" w:rsidRPr="00B44B19" w:rsidRDefault="00B14080" w:rsidP="00437FF2">
            <w:pPr>
              <w:rPr>
                <w:rFonts w:eastAsia="Times New Roman" w:cs="Times New Roman"/>
                <w:b/>
                <w:iCs/>
                <w:noProof/>
                <w:sz w:val="20"/>
              </w:rPr>
            </w:pPr>
          </w:p>
        </w:tc>
        <w:tc>
          <w:tcPr>
            <w:tcW w:w="850" w:type="dxa"/>
          </w:tcPr>
          <w:p w14:paraId="4A5F6CFC" w14:textId="77777777" w:rsidR="00B14080" w:rsidRPr="00B44B19" w:rsidRDefault="00B14080" w:rsidP="006A38A0">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4" w:space="0" w:color="auto"/>
            </w:tcBorders>
          </w:tcPr>
          <w:p w14:paraId="49E4CBF9" w14:textId="77777777" w:rsidR="00B14080" w:rsidRPr="00B44B19" w:rsidRDefault="00B14080" w:rsidP="006A38A0">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6971F3C9" w14:textId="77777777" w:rsidR="00B14080" w:rsidRPr="00B44B19" w:rsidRDefault="00B14080" w:rsidP="00437FF2">
            <w:pPr>
              <w:rPr>
                <w:rFonts w:eastAsia="Times New Roman" w:cs="Times New Roman"/>
                <w:b/>
                <w:iCs/>
                <w:noProof/>
                <w:sz w:val="20"/>
              </w:rPr>
            </w:pPr>
          </w:p>
        </w:tc>
        <w:tc>
          <w:tcPr>
            <w:tcW w:w="3969" w:type="dxa"/>
            <w:vMerge/>
          </w:tcPr>
          <w:p w14:paraId="53A2482D" w14:textId="77777777" w:rsidR="00B14080" w:rsidRPr="00B44B19" w:rsidRDefault="00B14080" w:rsidP="00437FF2">
            <w:pPr>
              <w:rPr>
                <w:rFonts w:eastAsia="Times New Roman" w:cs="Times New Roman"/>
                <w:b/>
                <w:iCs/>
                <w:noProof/>
                <w:sz w:val="20"/>
              </w:rPr>
            </w:pPr>
          </w:p>
        </w:tc>
        <w:tc>
          <w:tcPr>
            <w:tcW w:w="1417" w:type="dxa"/>
            <w:tcBorders>
              <w:top w:val="single" w:sz="4" w:space="0" w:color="auto"/>
            </w:tcBorders>
          </w:tcPr>
          <w:p w14:paraId="13B7BE3E" w14:textId="77777777" w:rsidR="00B14080" w:rsidRPr="00B44B19" w:rsidRDefault="00523D20" w:rsidP="007167BE">
            <w:pPr>
              <w:jc w:val="right"/>
              <w:rPr>
                <w:rFonts w:eastAsia="Times New Roman" w:cs="Times New Roman"/>
                <w:bCs/>
                <w:iCs/>
                <w:noProof/>
                <w:sz w:val="20"/>
              </w:rPr>
            </w:pPr>
            <w:r w:rsidRPr="00B44B19">
              <w:rPr>
                <w:rFonts w:cs="Times New Roman"/>
                <w:color w:val="000000"/>
                <w:sz w:val="20"/>
                <w:szCs w:val="20"/>
              </w:rPr>
              <w:t xml:space="preserve">58 </w:t>
            </w:r>
            <w:r w:rsidR="0037685A" w:rsidRPr="00B44B19">
              <w:rPr>
                <w:rFonts w:cs="Times New Roman"/>
                <w:color w:val="000000"/>
                <w:sz w:val="20"/>
                <w:szCs w:val="20"/>
              </w:rPr>
              <w:t>5</w:t>
            </w:r>
            <w:r w:rsidRPr="00B44B19">
              <w:rPr>
                <w:rFonts w:cs="Times New Roman"/>
                <w:color w:val="000000"/>
                <w:sz w:val="20"/>
                <w:szCs w:val="20"/>
              </w:rPr>
              <w:t>0</w:t>
            </w:r>
            <w:r w:rsidR="0037685A" w:rsidRPr="00B44B19">
              <w:rPr>
                <w:rFonts w:cs="Times New Roman"/>
                <w:color w:val="000000"/>
                <w:sz w:val="20"/>
                <w:szCs w:val="20"/>
              </w:rPr>
              <w:t>0 000,00</w:t>
            </w:r>
          </w:p>
        </w:tc>
      </w:tr>
    </w:tbl>
    <w:p w14:paraId="1AA72168" w14:textId="77777777" w:rsidR="00E438B8" w:rsidRPr="00B44B19" w:rsidRDefault="00E438B8" w:rsidP="00D970FC">
      <w:pPr>
        <w:spacing w:after="0" w:line="240" w:lineRule="auto"/>
        <w:rPr>
          <w:rFonts w:cs="Times New Roman"/>
          <w:sz w:val="20"/>
          <w:szCs w:val="20"/>
        </w:rPr>
      </w:pPr>
    </w:p>
    <w:tbl>
      <w:tblPr>
        <w:tblStyle w:val="Lentelstinklelis24"/>
        <w:tblW w:w="9747" w:type="dxa"/>
        <w:tblLook w:val="04A0" w:firstRow="1" w:lastRow="0" w:firstColumn="1" w:lastColumn="0" w:noHBand="0" w:noVBand="1"/>
      </w:tblPr>
      <w:tblGrid>
        <w:gridCol w:w="1101"/>
        <w:gridCol w:w="850"/>
        <w:gridCol w:w="1276"/>
        <w:gridCol w:w="1134"/>
        <w:gridCol w:w="3969"/>
        <w:gridCol w:w="1417"/>
      </w:tblGrid>
      <w:tr w:rsidR="00F101E2" w:rsidRPr="00B44B19" w14:paraId="1955A64B" w14:textId="77777777" w:rsidTr="005C3FA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B95745" w14:textId="77777777" w:rsidR="00F101E2" w:rsidRPr="00B44B19" w:rsidRDefault="00F101E2" w:rsidP="00F101E2">
            <w:pPr>
              <w:rPr>
                <w:b/>
                <w:iCs/>
                <w:noProof/>
                <w:sz w:val="20"/>
                <w:szCs w:val="20"/>
              </w:rPr>
            </w:pPr>
            <w:r w:rsidRPr="00B44B19">
              <w:rPr>
                <w:b/>
                <w:noProof/>
                <w:sz w:val="20"/>
                <w:szCs w:val="20"/>
              </w:rPr>
              <w:t xml:space="preserve">7 lentelė. 7 matmuo. </w:t>
            </w:r>
            <w:r w:rsidRPr="00B44B19">
              <w:rPr>
                <w:b/>
                <w:sz w:val="20"/>
                <w:szCs w:val="20"/>
              </w:rPr>
              <w:t>ESF+, ERPF, S</w:t>
            </w:r>
            <w:r w:rsidR="00506603" w:rsidRPr="00B44B19">
              <w:rPr>
                <w:b/>
                <w:sz w:val="20"/>
                <w:szCs w:val="20"/>
              </w:rPr>
              <w:t>a</w:t>
            </w:r>
            <w:r w:rsidRPr="00B44B19">
              <w:rPr>
                <w:b/>
                <w:sz w:val="20"/>
                <w:szCs w:val="20"/>
              </w:rPr>
              <w:t>F ir TPF lyčių lygybės matmuo</w:t>
            </w:r>
          </w:p>
        </w:tc>
      </w:tr>
      <w:tr w:rsidR="00F101E2" w:rsidRPr="00B44B19" w14:paraId="59C20872" w14:textId="77777777"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955E1" w14:textId="77777777" w:rsidR="00F101E2" w:rsidRPr="00B44B19" w:rsidRDefault="00F101E2" w:rsidP="00F101E2">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C048EA" w14:textId="77777777" w:rsidR="00F101E2" w:rsidRPr="00B44B19" w:rsidRDefault="00F101E2" w:rsidP="00F101E2">
            <w:pPr>
              <w:jc w:val="center"/>
              <w:rPr>
                <w:b/>
                <w:iCs/>
                <w:noProof/>
                <w:sz w:val="20"/>
              </w:rPr>
            </w:pPr>
            <w:r w:rsidRPr="00B44B19">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BA3157" w14:textId="77777777" w:rsidR="00F101E2" w:rsidRPr="00B44B19" w:rsidRDefault="00F101E2" w:rsidP="00F101E2">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03CC06" w14:textId="77777777" w:rsidR="00F101E2" w:rsidRPr="00B44B19" w:rsidRDefault="00F101E2" w:rsidP="00F101E2">
            <w:pPr>
              <w:jc w:val="center"/>
              <w:rPr>
                <w:b/>
                <w:iCs/>
                <w:noProof/>
                <w:sz w:val="20"/>
              </w:rPr>
            </w:pPr>
            <w:r w:rsidRPr="00B44B19">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B6A77E" w14:textId="77777777" w:rsidR="00F101E2" w:rsidRPr="00B44B19" w:rsidRDefault="00F101E2" w:rsidP="00F101E2">
            <w:pPr>
              <w:jc w:val="center"/>
              <w:rPr>
                <w:b/>
                <w:iCs/>
                <w:noProof/>
                <w:sz w:val="20"/>
              </w:rPr>
            </w:pPr>
            <w:r w:rsidRPr="00B44B1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447826" w14:textId="77777777" w:rsidR="00F101E2" w:rsidRPr="00B44B19" w:rsidRDefault="00F101E2" w:rsidP="00F101E2">
            <w:pPr>
              <w:jc w:val="center"/>
              <w:rPr>
                <w:b/>
                <w:iCs/>
                <w:noProof/>
                <w:sz w:val="20"/>
              </w:rPr>
            </w:pPr>
            <w:r w:rsidRPr="00B44B19">
              <w:rPr>
                <w:b/>
                <w:noProof/>
                <w:sz w:val="20"/>
              </w:rPr>
              <w:t>Suma (EUR)</w:t>
            </w:r>
          </w:p>
        </w:tc>
      </w:tr>
      <w:tr w:rsidR="00F101E2" w:rsidRPr="00B44B19" w14:paraId="7022D200" w14:textId="77777777" w:rsidTr="005C3FAC">
        <w:tc>
          <w:tcPr>
            <w:tcW w:w="1101" w:type="dxa"/>
            <w:vMerge w:val="restart"/>
            <w:tcBorders>
              <w:top w:val="single" w:sz="12" w:space="0" w:color="auto"/>
            </w:tcBorders>
          </w:tcPr>
          <w:p w14:paraId="03CAD190" w14:textId="77777777" w:rsidR="00F101E2" w:rsidRPr="00B44B19" w:rsidRDefault="00F101E2" w:rsidP="00F101E2">
            <w:pPr>
              <w:jc w:val="center"/>
              <w:rPr>
                <w:iCs/>
                <w:noProof/>
                <w:sz w:val="20"/>
              </w:rPr>
            </w:pPr>
            <w:r w:rsidRPr="00B44B19">
              <w:rPr>
                <w:iCs/>
                <w:noProof/>
                <w:sz w:val="20"/>
              </w:rPr>
              <w:t>2.</w:t>
            </w:r>
          </w:p>
        </w:tc>
        <w:tc>
          <w:tcPr>
            <w:tcW w:w="850" w:type="dxa"/>
            <w:tcBorders>
              <w:top w:val="single" w:sz="12" w:space="0" w:color="auto"/>
            </w:tcBorders>
          </w:tcPr>
          <w:p w14:paraId="16D6341E" w14:textId="77777777" w:rsidR="00F101E2" w:rsidRPr="00B44B19" w:rsidRDefault="00F101E2" w:rsidP="00F101E2">
            <w:pPr>
              <w:jc w:val="center"/>
              <w:rPr>
                <w:iCs/>
                <w:noProof/>
                <w:sz w:val="20"/>
              </w:rPr>
            </w:pPr>
            <w:r w:rsidRPr="00B44B19">
              <w:rPr>
                <w:iCs/>
                <w:noProof/>
                <w:sz w:val="20"/>
              </w:rPr>
              <w:t>SaF</w:t>
            </w:r>
          </w:p>
        </w:tc>
        <w:tc>
          <w:tcPr>
            <w:tcW w:w="1276" w:type="dxa"/>
            <w:tcBorders>
              <w:top w:val="single" w:sz="12" w:space="0" w:color="auto"/>
            </w:tcBorders>
          </w:tcPr>
          <w:p w14:paraId="329A1C38" w14:textId="77777777" w:rsidR="00F101E2" w:rsidRPr="00B44B19" w:rsidRDefault="00F101E2" w:rsidP="00F101E2">
            <w:pPr>
              <w:rPr>
                <w:iCs/>
                <w:noProof/>
                <w:sz w:val="20"/>
              </w:rPr>
            </w:pPr>
            <w:r w:rsidRPr="00B44B19">
              <w:rPr>
                <w:iCs/>
                <w:noProof/>
                <w:sz w:val="20"/>
              </w:rPr>
              <w:t>Visa Lietuva</w:t>
            </w:r>
          </w:p>
        </w:tc>
        <w:tc>
          <w:tcPr>
            <w:tcW w:w="1134" w:type="dxa"/>
            <w:vMerge w:val="restart"/>
            <w:tcBorders>
              <w:top w:val="single" w:sz="12" w:space="0" w:color="auto"/>
            </w:tcBorders>
          </w:tcPr>
          <w:p w14:paraId="5D396875" w14:textId="77777777" w:rsidR="00F101E2" w:rsidRPr="00B44B19" w:rsidRDefault="00F101E2" w:rsidP="00F101E2">
            <w:pPr>
              <w:jc w:val="center"/>
              <w:rPr>
                <w:iCs/>
                <w:noProof/>
                <w:sz w:val="20"/>
              </w:rPr>
            </w:pPr>
            <w:r w:rsidRPr="00B44B19">
              <w:rPr>
                <w:iCs/>
                <w:noProof/>
                <w:sz w:val="20"/>
              </w:rPr>
              <w:t>2.3</w:t>
            </w:r>
          </w:p>
        </w:tc>
        <w:tc>
          <w:tcPr>
            <w:tcW w:w="3969" w:type="dxa"/>
            <w:vMerge w:val="restart"/>
            <w:tcBorders>
              <w:top w:val="single" w:sz="12" w:space="0" w:color="auto"/>
            </w:tcBorders>
          </w:tcPr>
          <w:p w14:paraId="7E6941B8" w14:textId="77777777" w:rsidR="00F101E2" w:rsidRPr="00B44B19" w:rsidRDefault="00F101E2" w:rsidP="00506603">
            <w:pPr>
              <w:rPr>
                <w:iCs/>
                <w:noProof/>
                <w:sz w:val="20"/>
              </w:rPr>
            </w:pPr>
            <w:r w:rsidRPr="00B44B19">
              <w:rPr>
                <w:iCs/>
                <w:noProof/>
                <w:sz w:val="20"/>
              </w:rPr>
              <w:t xml:space="preserve">03 </w:t>
            </w:r>
            <w:r w:rsidR="00506603" w:rsidRPr="00B44B19">
              <w:rPr>
                <w:iCs/>
                <w:noProof/>
                <w:sz w:val="20"/>
              </w:rPr>
              <w:t>–</w:t>
            </w:r>
            <w:r w:rsidRPr="00B44B19">
              <w:rPr>
                <w:iCs/>
                <w:noProof/>
                <w:sz w:val="20"/>
              </w:rPr>
              <w:t xml:space="preserve"> Neutralumas lyties požiūriu</w:t>
            </w:r>
          </w:p>
        </w:tc>
        <w:tc>
          <w:tcPr>
            <w:tcW w:w="1417" w:type="dxa"/>
            <w:tcBorders>
              <w:top w:val="single" w:sz="12" w:space="0" w:color="auto"/>
            </w:tcBorders>
          </w:tcPr>
          <w:p w14:paraId="270B1B4B" w14:textId="77777777" w:rsidR="00F101E2" w:rsidRPr="00B44B19" w:rsidRDefault="00F101E2" w:rsidP="00F101E2">
            <w:pPr>
              <w:jc w:val="right"/>
              <w:rPr>
                <w:iCs/>
                <w:noProof/>
                <w:sz w:val="20"/>
              </w:rPr>
            </w:pPr>
            <w:r w:rsidRPr="00B44B19">
              <w:rPr>
                <w:iCs/>
                <w:noProof/>
                <w:sz w:val="20"/>
              </w:rPr>
              <w:t>24 000 000,00</w:t>
            </w:r>
          </w:p>
        </w:tc>
      </w:tr>
      <w:tr w:rsidR="00F101E2" w:rsidRPr="00B44B19" w14:paraId="5727C2B0" w14:textId="77777777" w:rsidTr="005C3FAC">
        <w:tc>
          <w:tcPr>
            <w:tcW w:w="1101" w:type="dxa"/>
            <w:vMerge/>
          </w:tcPr>
          <w:p w14:paraId="02DF4E54" w14:textId="77777777" w:rsidR="00F101E2" w:rsidRPr="00B44B19" w:rsidRDefault="00F101E2" w:rsidP="00F101E2">
            <w:pPr>
              <w:jc w:val="center"/>
              <w:rPr>
                <w:iCs/>
                <w:noProof/>
                <w:sz w:val="20"/>
              </w:rPr>
            </w:pPr>
          </w:p>
        </w:tc>
        <w:tc>
          <w:tcPr>
            <w:tcW w:w="850" w:type="dxa"/>
          </w:tcPr>
          <w:p w14:paraId="4BCC9799" w14:textId="77777777" w:rsidR="00F101E2" w:rsidRPr="00B44B19" w:rsidRDefault="00F101E2" w:rsidP="00F101E2">
            <w:pPr>
              <w:jc w:val="center"/>
              <w:rPr>
                <w:iCs/>
                <w:noProof/>
                <w:sz w:val="20"/>
              </w:rPr>
            </w:pPr>
            <w:r w:rsidRPr="00B44B19">
              <w:rPr>
                <w:iCs/>
                <w:noProof/>
                <w:sz w:val="20"/>
              </w:rPr>
              <w:t>ERPF</w:t>
            </w:r>
          </w:p>
        </w:tc>
        <w:tc>
          <w:tcPr>
            <w:tcW w:w="1276" w:type="dxa"/>
          </w:tcPr>
          <w:p w14:paraId="02E0B370" w14:textId="77777777" w:rsidR="00F101E2" w:rsidRPr="00B44B19" w:rsidRDefault="00F101E2" w:rsidP="00F101E2">
            <w:pPr>
              <w:rPr>
                <w:iCs/>
                <w:noProof/>
                <w:sz w:val="20"/>
              </w:rPr>
            </w:pPr>
            <w:r w:rsidRPr="00B44B19">
              <w:rPr>
                <w:iCs/>
                <w:noProof/>
                <w:sz w:val="20"/>
              </w:rPr>
              <w:t>VVL regionas</w:t>
            </w:r>
          </w:p>
        </w:tc>
        <w:tc>
          <w:tcPr>
            <w:tcW w:w="1134" w:type="dxa"/>
            <w:vMerge/>
          </w:tcPr>
          <w:p w14:paraId="0150748E" w14:textId="77777777" w:rsidR="00F101E2" w:rsidRPr="00B44B19" w:rsidRDefault="00F101E2" w:rsidP="00F101E2">
            <w:pPr>
              <w:jc w:val="center"/>
              <w:rPr>
                <w:iCs/>
                <w:noProof/>
                <w:sz w:val="20"/>
              </w:rPr>
            </w:pPr>
          </w:p>
        </w:tc>
        <w:tc>
          <w:tcPr>
            <w:tcW w:w="3969" w:type="dxa"/>
            <w:vMerge/>
          </w:tcPr>
          <w:p w14:paraId="06942D28" w14:textId="77777777" w:rsidR="00F101E2" w:rsidRPr="00B44B19" w:rsidRDefault="00F101E2" w:rsidP="00F101E2">
            <w:pPr>
              <w:jc w:val="center"/>
              <w:rPr>
                <w:iCs/>
                <w:noProof/>
                <w:sz w:val="20"/>
              </w:rPr>
            </w:pPr>
          </w:p>
        </w:tc>
        <w:tc>
          <w:tcPr>
            <w:tcW w:w="1417" w:type="dxa"/>
          </w:tcPr>
          <w:p w14:paraId="7D94F92A" w14:textId="77777777" w:rsidR="00F101E2" w:rsidRPr="00B44B19" w:rsidRDefault="00523D20" w:rsidP="007167BE">
            <w:pPr>
              <w:jc w:val="right"/>
              <w:rPr>
                <w:iCs/>
                <w:noProof/>
                <w:sz w:val="20"/>
              </w:rPr>
            </w:pPr>
            <w:r w:rsidRPr="00B44B19">
              <w:rPr>
                <w:color w:val="000000"/>
                <w:sz w:val="20"/>
                <w:szCs w:val="20"/>
              </w:rPr>
              <w:t xml:space="preserve">58 </w:t>
            </w:r>
            <w:r w:rsidR="0037685A" w:rsidRPr="00B44B19">
              <w:rPr>
                <w:color w:val="000000"/>
                <w:sz w:val="20"/>
                <w:szCs w:val="20"/>
              </w:rPr>
              <w:t>5</w:t>
            </w:r>
            <w:r w:rsidRPr="00B44B19">
              <w:rPr>
                <w:color w:val="000000"/>
                <w:sz w:val="20"/>
                <w:szCs w:val="20"/>
              </w:rPr>
              <w:t>0</w:t>
            </w:r>
            <w:r w:rsidR="0037685A" w:rsidRPr="00B44B19">
              <w:rPr>
                <w:color w:val="000000"/>
                <w:sz w:val="20"/>
                <w:szCs w:val="20"/>
              </w:rPr>
              <w:t>0 000,00</w:t>
            </w:r>
          </w:p>
        </w:tc>
      </w:tr>
    </w:tbl>
    <w:p w14:paraId="2B64C4B6" w14:textId="77777777" w:rsidR="00FE2852" w:rsidRPr="00B44B19" w:rsidRDefault="00FE2852" w:rsidP="00D456C1">
      <w:pPr>
        <w:pStyle w:val="Antrat2"/>
      </w:pPr>
      <w:bookmarkStart w:id="24" w:name="_Toc223435418"/>
      <w:r w:rsidRPr="00B44B19">
        <w:t xml:space="preserve">Konkretus uždavinys – 2.4. </w:t>
      </w:r>
      <w:r w:rsidR="00C873E5" w:rsidRPr="00B44B19">
        <w:rPr>
          <w:lang w:bidi="lt-LT"/>
        </w:rPr>
        <w:t>Skatinti prisitaikymą prie klimato kaitos ir nelaimių rizikos prevenciją, atsparumą, atsižvelgiant į ekosisteminius metodus</w:t>
      </w:r>
      <w:bookmarkEnd w:id="24"/>
    </w:p>
    <w:p w14:paraId="53DB4DBC" w14:textId="77777777" w:rsidR="00FE2852" w:rsidRPr="00B44B19" w:rsidRDefault="00FE2852" w:rsidP="001E5B12">
      <w:pPr>
        <w:pStyle w:val="Stilius1"/>
        <w:rPr>
          <w:rFonts w:cs="Times New Roman"/>
        </w:rPr>
      </w:pPr>
      <w:r w:rsidRPr="00B44B19">
        <w:rPr>
          <w:rFonts w:cs="Times New Roman"/>
        </w:rPr>
        <w:t xml:space="preserve">Įgyvendinamos veiklos </w:t>
      </w:r>
    </w:p>
    <w:tbl>
      <w:tblPr>
        <w:tblStyle w:val="Lentelstinklelis2"/>
        <w:tblW w:w="9634" w:type="dxa"/>
        <w:tblLook w:val="04A0" w:firstRow="1" w:lastRow="0" w:firstColumn="1" w:lastColumn="0" w:noHBand="0" w:noVBand="1"/>
      </w:tblPr>
      <w:tblGrid>
        <w:gridCol w:w="9634"/>
      </w:tblGrid>
      <w:tr w:rsidR="00FE2852" w:rsidRPr="00B44B19" w14:paraId="5A69AB9D" w14:textId="77777777" w:rsidTr="00D27D25">
        <w:tc>
          <w:tcPr>
            <w:tcW w:w="9634" w:type="dxa"/>
            <w:tcBorders>
              <w:top w:val="single" w:sz="4" w:space="0" w:color="auto"/>
              <w:left w:val="single" w:sz="4" w:space="0" w:color="auto"/>
              <w:bottom w:val="single" w:sz="4" w:space="0" w:color="auto"/>
              <w:right w:val="single" w:sz="4" w:space="0" w:color="auto"/>
            </w:tcBorders>
          </w:tcPr>
          <w:p w14:paraId="1F421A6A" w14:textId="77777777" w:rsidR="0059279F" w:rsidRPr="00B44B19" w:rsidRDefault="00421842"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Uždavinio veiklos padės Lietuvai prisitaikyti prie klimato kaitos, užtikrins kylančių įvairių rizikų prevenciją, didins pasirengimą klimato kaitos keliamoms ir kitoms ekstremalioms situacijoms (gamtinio, techninio ir (ar) ekologinio pobūdžio) ir visuomenės sąmoningumą, mažins klimato kaitos ir kitų nelaimių sukeliamus nuostolius.</w:t>
            </w:r>
          </w:p>
          <w:p w14:paraId="45FC0450" w14:textId="77777777" w:rsidR="00421842" w:rsidRPr="00B44B19" w:rsidRDefault="00506603"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lang w:eastAsia="lt-LT"/>
              </w:rPr>
              <w:t xml:space="preserve">Akivaizdi klimato </w:t>
            </w:r>
            <w:r w:rsidR="0059279F" w:rsidRPr="00B44B19">
              <w:rPr>
                <w:rFonts w:ascii="Times New Roman" w:eastAsia="Times New Roman" w:hAnsi="Times New Roman" w:cs="Times New Roman"/>
                <w:lang w:eastAsia="lt-LT"/>
              </w:rPr>
              <w:t xml:space="preserve">kaita Lietuvoje kelia grėsmę aplinkai, ūkinei veiklai. </w:t>
            </w:r>
            <w:r w:rsidRPr="00B44B19">
              <w:rPr>
                <w:rFonts w:ascii="Times New Roman" w:eastAsia="Times New Roman" w:hAnsi="Times New Roman" w:cs="Times New Roman"/>
              </w:rPr>
              <w:t>Daugėja</w:t>
            </w:r>
            <w:r w:rsidRPr="00B44B19">
              <w:rPr>
                <w:rFonts w:ascii="Times New Roman" w:eastAsia="Times New Roman" w:hAnsi="Times New Roman" w:cs="Times New Roman"/>
                <w:lang w:eastAsia="lt-LT"/>
              </w:rPr>
              <w:t xml:space="preserve"> pavojingų </w:t>
            </w:r>
            <w:r w:rsidRPr="00B44B19">
              <w:rPr>
                <w:rFonts w:ascii="Times New Roman" w:eastAsia="Times New Roman" w:hAnsi="Times New Roman" w:cs="Times New Roman"/>
              </w:rPr>
              <w:t>gamtos</w:t>
            </w:r>
            <w:r w:rsidR="0059279F" w:rsidRPr="00B44B19">
              <w:rPr>
                <w:rFonts w:ascii="Times New Roman" w:eastAsia="Times New Roman" w:hAnsi="Times New Roman" w:cs="Times New Roman"/>
              </w:rPr>
              <w:t xml:space="preserve"> reiškinių </w:t>
            </w:r>
            <w:r w:rsidR="00D95AF3" w:rsidRPr="00B44B19">
              <w:rPr>
                <w:rFonts w:ascii="Times New Roman" w:eastAsia="Times New Roman" w:hAnsi="Times New Roman" w:cs="Times New Roman"/>
              </w:rPr>
              <w:t>–</w:t>
            </w:r>
            <w:r w:rsidR="0059279F" w:rsidRPr="00B44B19">
              <w:rPr>
                <w:rFonts w:ascii="Times New Roman" w:eastAsia="Times New Roman" w:hAnsi="Times New Roman" w:cs="Times New Roman"/>
              </w:rPr>
              <w:t xml:space="preserve"> potvynių, stichinių ir katastrofinių meteorologinių reiškinių (uraganai, snygiai, vėtros, sausros, kaitros ir kt.), </w:t>
            </w:r>
            <w:r w:rsidRPr="00B44B19">
              <w:rPr>
                <w:rFonts w:ascii="Times New Roman" w:eastAsia="Times New Roman" w:hAnsi="Times New Roman" w:cs="Times New Roman"/>
              </w:rPr>
              <w:t>kartojasi ekstremalūs gamtos reiškiniai, ilgėja jų trukmė ir didėja stiprumas.</w:t>
            </w:r>
            <w:r w:rsidR="0059279F" w:rsidRPr="00B44B19">
              <w:rPr>
                <w:rFonts w:ascii="Times New Roman" w:eastAsia="Times New Roman" w:hAnsi="Times New Roman" w:cs="Times New Roman"/>
              </w:rPr>
              <w:t xml:space="preserve"> Dažnesnės uraganinės audros mažina smėlio išteklius Baltijos jūros krante ir priekrantėje, ardomi krantai, neigiamai veikiamas kraštovaizdis ir ekosistemų vientisumas.</w:t>
            </w:r>
          </w:p>
          <w:p w14:paraId="703E468E" w14:textId="77777777" w:rsidR="00421842" w:rsidRPr="00B44B19" w:rsidRDefault="00421842"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lang w:eastAsia="lt-LT"/>
              </w:rPr>
              <w:t xml:space="preserve">Regionuose kovos su klimato kaita ir kitomis ekstremaliomis situacijomis priemonės paskirstytos netolygiai – tai nulemia šalies geografiniai, gamtiniai ir socialiniai elementai. Didžioji dalis investicijų turi būti koncentruota VVL regione dėl čia esančių Nemuno deltos ir Baltijos jūros, kurioms klimato kaita ir įvykiai jūroje daro didelę įtaką. </w:t>
            </w:r>
          </w:p>
          <w:p w14:paraId="20259918" w14:textId="71E579D6" w:rsidR="0059279F" w:rsidRPr="00B44B19" w:rsidRDefault="0059279F"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lang w:eastAsia="lt-LT"/>
              </w:rPr>
              <w:t xml:space="preserve">Hidrologiniu požiūriu </w:t>
            </w:r>
            <w:r w:rsidR="00E75D43" w:rsidRPr="00B44B19">
              <w:rPr>
                <w:rFonts w:ascii="Times New Roman" w:eastAsia="Times New Roman" w:hAnsi="Times New Roman" w:cs="Times New Roman"/>
                <w:lang w:eastAsia="lt-LT"/>
              </w:rPr>
              <w:t xml:space="preserve">VVL regione </w:t>
            </w:r>
            <w:r w:rsidRPr="00B44B19">
              <w:rPr>
                <w:rFonts w:ascii="Times New Roman" w:eastAsia="Times New Roman" w:hAnsi="Times New Roman" w:cs="Times New Roman"/>
                <w:lang w:eastAsia="lt-LT"/>
              </w:rPr>
              <w:t>kyla didžiausi potvyniai, nusausinta daugiausia šlapynių,</w:t>
            </w:r>
            <w:r w:rsidR="00D95AF3" w:rsidRPr="00B44B19">
              <w:rPr>
                <w:rFonts w:ascii="Times New Roman" w:eastAsia="Times New Roman" w:hAnsi="Times New Roman" w:cs="Times New Roman"/>
                <w:lang w:eastAsia="lt-LT"/>
              </w:rPr>
              <w:t xml:space="preserve"> </w:t>
            </w:r>
            <w:r w:rsidRPr="00B44B19">
              <w:rPr>
                <w:rFonts w:ascii="Times New Roman" w:eastAsia="Times New Roman" w:hAnsi="Times New Roman" w:cs="Times New Roman"/>
                <w:lang w:eastAsia="lt-LT"/>
              </w:rPr>
              <w:t>daugiausia pažeistų natūralių upių vagų. VVL region</w:t>
            </w:r>
            <w:r w:rsidR="00561880" w:rsidRPr="00B44B19">
              <w:rPr>
                <w:rFonts w:ascii="Times New Roman" w:eastAsia="Times New Roman" w:hAnsi="Times New Roman" w:cs="Times New Roman"/>
                <w:lang w:eastAsia="lt-LT"/>
              </w:rPr>
              <w:t>as</w:t>
            </w:r>
            <w:r w:rsidRPr="00B44B19">
              <w:rPr>
                <w:rFonts w:ascii="Times New Roman" w:eastAsia="Times New Roman" w:hAnsi="Times New Roman" w:cs="Times New Roman"/>
                <w:lang w:eastAsia="lt-LT"/>
              </w:rPr>
              <w:t xml:space="preserve"> užtikrinti ekstremalių </w:t>
            </w:r>
            <w:r w:rsidR="00421842" w:rsidRPr="00B44B19">
              <w:rPr>
                <w:rFonts w:ascii="Times New Roman" w:eastAsia="Times New Roman" w:hAnsi="Times New Roman" w:cs="Times New Roman"/>
                <w:lang w:eastAsia="lt-LT"/>
              </w:rPr>
              <w:t>reiškinių ir taršos incidentų jūroje</w:t>
            </w:r>
            <w:r w:rsidRPr="00B44B19">
              <w:rPr>
                <w:rFonts w:ascii="Times New Roman" w:eastAsia="Times New Roman" w:hAnsi="Times New Roman" w:cs="Times New Roman"/>
                <w:lang w:eastAsia="lt-LT"/>
              </w:rPr>
              <w:t xml:space="preserve"> prevenciją ir reaguoti į juos </w:t>
            </w:r>
            <w:r w:rsidR="00561880" w:rsidRPr="00B44B19">
              <w:rPr>
                <w:rFonts w:ascii="Times New Roman" w:eastAsia="Times New Roman" w:hAnsi="Times New Roman" w:cs="Times New Roman"/>
                <w:lang w:eastAsia="lt-LT"/>
              </w:rPr>
              <w:t>pasirengęs prasčiau</w:t>
            </w:r>
            <w:r w:rsidRPr="00B44B19">
              <w:rPr>
                <w:rFonts w:ascii="Times New Roman" w:eastAsia="Times New Roman" w:hAnsi="Times New Roman" w:cs="Times New Roman"/>
                <w:lang w:eastAsia="lt-LT"/>
              </w:rPr>
              <w:t xml:space="preserve"> nei Sostinės </w:t>
            </w:r>
            <w:r w:rsidR="00561880" w:rsidRPr="00B44B19">
              <w:rPr>
                <w:rFonts w:ascii="Times New Roman" w:eastAsia="Times New Roman" w:hAnsi="Times New Roman" w:cs="Times New Roman"/>
                <w:lang w:eastAsia="lt-LT"/>
              </w:rPr>
              <w:t>regionas, o svarbu visoje Lietuvoje užtikrinti pakankamą visuomenės supratimą ir įsitraukimą į kovą su klimato kaita, meteorologinių duomenų tikslumą ir administracinius gebėjimus.</w:t>
            </w:r>
            <w:r w:rsidRPr="00B44B19">
              <w:rPr>
                <w:rFonts w:ascii="Times New Roman" w:eastAsia="Times New Roman" w:hAnsi="Times New Roman" w:cs="Times New Roman"/>
                <w:lang w:eastAsia="lt-LT"/>
              </w:rPr>
              <w:t xml:space="preserve"> </w:t>
            </w:r>
          </w:p>
          <w:p w14:paraId="5D6EE996" w14:textId="77777777" w:rsidR="00421842" w:rsidRPr="00B44B19" w:rsidRDefault="00421842"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bdr w:val="none" w:sz="0" w:space="0" w:color="auto" w:frame="1"/>
                <w:shd w:val="clear" w:color="auto" w:fill="FFFFFF"/>
              </w:rPr>
              <w:t xml:space="preserve">2019 m. apklausos metu tik </w:t>
            </w:r>
            <w:r w:rsidRPr="00B44B19">
              <w:rPr>
                <w:rFonts w:ascii="Times New Roman" w:eastAsia="Times New Roman" w:hAnsi="Times New Roman" w:cs="Times New Roman"/>
                <w:bdr w:val="none" w:sz="0" w:space="0" w:color="auto" w:frame="1"/>
                <w:shd w:val="clear" w:color="auto" w:fill="FFFFFF"/>
                <w:lang w:val="de-DE"/>
              </w:rPr>
              <w:t xml:space="preserve">32,9 % </w:t>
            </w:r>
            <w:r w:rsidRPr="00B44B19">
              <w:rPr>
                <w:rFonts w:ascii="Times New Roman" w:eastAsia="Times New Roman" w:hAnsi="Times New Roman" w:cs="Times New Roman"/>
                <w:bdr w:val="none" w:sz="0" w:space="0" w:color="auto" w:frame="1"/>
                <w:shd w:val="clear" w:color="auto" w:fill="FFFFFF"/>
              </w:rPr>
              <w:t xml:space="preserve">Lietuvos gyventojų manė, kad klimato kaitą daugiausia lemia žmonių veikla, </w:t>
            </w:r>
            <w:r w:rsidRPr="00B44B19">
              <w:rPr>
                <w:rFonts w:ascii="Times New Roman" w:eastAsia="Times New Roman" w:hAnsi="Times New Roman" w:cs="Times New Roman"/>
              </w:rPr>
              <w:t>tik apie 50 %</w:t>
            </w:r>
            <w:r w:rsidRPr="00B44B19">
              <w:rPr>
                <w:rFonts w:ascii="Times New Roman" w:eastAsia="Times New Roman" w:hAnsi="Times New Roman" w:cs="Times New Roman"/>
                <w:lang w:val="de-DE"/>
              </w:rPr>
              <w:t xml:space="preserve"> Lietuvos </w:t>
            </w:r>
            <w:r w:rsidRPr="00B44B19">
              <w:rPr>
                <w:rFonts w:ascii="Times New Roman" w:eastAsia="Times New Roman" w:hAnsi="Times New Roman" w:cs="Times New Roman"/>
              </w:rPr>
              <w:t>gyventojų yra tinkamai perspėjami ir informuojami apie klimato kaitos keliamus pavojus. S</w:t>
            </w:r>
            <w:r w:rsidRPr="00B44B19">
              <w:rPr>
                <w:rFonts w:ascii="Times New Roman" w:eastAsia="Times New Roman" w:hAnsi="Times New Roman" w:cs="Times New Roman"/>
                <w:bCs/>
                <w:lang w:eastAsia="lt-LT"/>
              </w:rPr>
              <w:t xml:space="preserve">iekiant mažinti neigiamas klimato kaitos pasekmes, ekosistemų ir šalies ūkio pažeidžiamumą, planuojama investuoti į tyrimais ir aplinkos stebėjimais paremtos klimato kaitos duomenų </w:t>
            </w:r>
            <w:r w:rsidRPr="00B44B19">
              <w:rPr>
                <w:rFonts w:ascii="Times New Roman" w:eastAsia="Times New Roman" w:hAnsi="Times New Roman" w:cs="Times New Roman"/>
                <w:bCs/>
                <w:lang w:eastAsia="lt-LT"/>
              </w:rPr>
              <w:lastRenderedPageBreak/>
              <w:t>bazės kūrimą, hidrologinių, meteorologinių, ankstyvojo ir gyventojų perspėjimo stočių sistemą</w:t>
            </w:r>
            <w:r w:rsidRPr="00B44B19">
              <w:rPr>
                <w:rFonts w:ascii="Times New Roman" w:eastAsia="Times New Roman" w:hAnsi="Times New Roman" w:cs="Times New Roman"/>
                <w:lang w:eastAsia="lt-LT"/>
              </w:rPr>
              <w:t>,</w:t>
            </w:r>
            <w:r w:rsidRPr="00B44B19">
              <w:rPr>
                <w:rFonts w:ascii="Times New Roman" w:eastAsia="Times New Roman" w:hAnsi="Times New Roman" w:cs="Times New Roman"/>
                <w:bCs/>
                <w:lang w:eastAsia="lt-LT"/>
              </w:rPr>
              <w:t xml:space="preserve"> priemones, </w:t>
            </w:r>
            <w:r w:rsidRPr="00B44B19">
              <w:rPr>
                <w:rFonts w:ascii="Times New Roman" w:eastAsia="Times New Roman" w:hAnsi="Times New Roman" w:cs="Times New Roman"/>
                <w:lang w:eastAsia="lt-LT"/>
              </w:rPr>
              <w:t>švelninančias potvynių ir kt. gamtos stichijų neigiamą poveikį aplinkai ir infrastruktūrai, ekonominei veiklai, žmonių sveikatai ir gyvybei. Siekti prisitaikyti prie klimato kaitos padės tęstinis bendradarbiavimas su kaimyninėmis valstybėmis, vykdomas, vadovaujantis įvairiais Bendrijos ir tarpvyriausybiniais susitarimais.</w:t>
            </w:r>
          </w:p>
          <w:p w14:paraId="0303FE5B" w14:textId="77777777" w:rsidR="0059279F" w:rsidRPr="00B44B19" w:rsidRDefault="00561880"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lang w:eastAsia="lt-LT"/>
              </w:rPr>
              <w:t>Palyginti su 2014–2020 m. investicijomis, Programoje daugiau dėmesio bus skiriama klimato kaitos keliamų sąlygų prevencijai ir atsparumui nelaimėms nei tiesioginėms kovos su klimato kaita pasekmėms spręsti. Prioritetizuojama žalioji infrastruktūra, reikšmingiau vertinamas visuomenės indėlis į kovą su klimato kaita ir dominuoja vadinamasis horizontalusis požiūris į klimato kaitą – numatomi įvairiapusiai kovos su klimato kaita priemonių rezultatai ŠESD absorbcijos, biologinės įvairovės ir kt. srityse.</w:t>
            </w:r>
          </w:p>
          <w:p w14:paraId="4B419AE3" w14:textId="77777777" w:rsidR="0059279F" w:rsidRPr="00B44B19" w:rsidRDefault="0059279F" w:rsidP="000C5E31">
            <w:pPr>
              <w:spacing w:before="60" w:after="60"/>
              <w:jc w:val="both"/>
              <w:rPr>
                <w:rFonts w:ascii="Times New Roman" w:eastAsia="Times New Roman" w:hAnsi="Times New Roman" w:cs="Times New Roman"/>
                <w:shd w:val="clear" w:color="auto" w:fill="FFFFFF"/>
              </w:rPr>
            </w:pPr>
            <w:r w:rsidRPr="00B44B19">
              <w:rPr>
                <w:rFonts w:ascii="Times New Roman" w:eastAsia="Times New Roman" w:hAnsi="Times New Roman" w:cs="Times New Roman"/>
              </w:rPr>
              <w:t>Veiksmų rūšys, siekiant sumažinti klimato kaitos</w:t>
            </w:r>
            <w:r w:rsidR="00CF59C7" w:rsidRPr="00B44B19">
              <w:rPr>
                <w:rFonts w:ascii="Times New Roman" w:eastAsia="Times New Roman" w:hAnsi="Times New Roman" w:cs="Times New Roman"/>
              </w:rPr>
              <w:t xml:space="preserve"> ir kitų žmogaus veiklos</w:t>
            </w:r>
            <w:r w:rsidRPr="00B44B19">
              <w:rPr>
                <w:rFonts w:ascii="Times New Roman" w:eastAsia="Times New Roman" w:hAnsi="Times New Roman" w:cs="Times New Roman"/>
              </w:rPr>
              <w:t xml:space="preserve"> keliam</w:t>
            </w:r>
            <w:r w:rsidR="00CF59C7"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rizik</w:t>
            </w:r>
            <w:r w:rsidR="00CF59C7" w:rsidRPr="00B44B19">
              <w:rPr>
                <w:rFonts w:ascii="Times New Roman" w:eastAsia="Times New Roman" w:hAnsi="Times New Roman" w:cs="Times New Roman"/>
              </w:rPr>
              <w:t>ų</w:t>
            </w:r>
            <w:r w:rsidRPr="00B44B19">
              <w:rPr>
                <w:rFonts w:ascii="Times New Roman" w:eastAsia="Times New Roman" w:hAnsi="Times New Roman" w:cs="Times New Roman"/>
              </w:rPr>
              <w:t>, žalą ir padidinti atsparumą klimato kaitos pokyčiams, atsižvelgiant į Lietuvos nacionalinę rizikų analizę</w:t>
            </w:r>
            <w:r w:rsidRPr="00B44B19">
              <w:rPr>
                <w:rFonts w:ascii="Times New Roman" w:eastAsia="Times New Roman" w:hAnsi="Times New Roman" w:cs="Times New Roman"/>
                <w:shd w:val="clear" w:color="auto" w:fill="FFFFFF"/>
              </w:rPr>
              <w:t>:</w:t>
            </w:r>
          </w:p>
          <w:p w14:paraId="2EDFC84A" w14:textId="0B800E5E" w:rsidR="00421842" w:rsidRPr="00B44B19" w:rsidRDefault="0059279F" w:rsidP="000C5E3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Potvynių rizikos valdymo ir mažinimo priemonių, numatytų potvynių rizikos valdy</w:t>
            </w:r>
            <w:r w:rsidRPr="00B44B19">
              <w:rPr>
                <w:rFonts w:ascii="Times New Roman" w:eastAsia="Times New Roman" w:hAnsi="Times New Roman" w:cs="Times New Roman"/>
                <w:b/>
              </w:rPr>
              <w:t xml:space="preserve">mo planuose, įgyvendinimas: </w:t>
            </w:r>
            <w:r w:rsidRPr="00B44B19">
              <w:rPr>
                <w:rFonts w:ascii="Times New Roman" w:eastAsia="Times New Roman" w:hAnsi="Times New Roman" w:cs="Times New Roman"/>
              </w:rPr>
              <w:t xml:space="preserve">siekiant </w:t>
            </w:r>
            <w:r w:rsidR="00561880" w:rsidRPr="00B44B19">
              <w:rPr>
                <w:rFonts w:ascii="Times New Roman" w:eastAsia="Times New Roman" w:hAnsi="Times New Roman" w:cs="Times New Roman"/>
              </w:rPr>
              <w:t>su</w:t>
            </w:r>
            <w:r w:rsidRPr="00B44B19">
              <w:rPr>
                <w:rFonts w:ascii="Times New Roman" w:eastAsia="Times New Roman" w:hAnsi="Times New Roman" w:cs="Times New Roman"/>
              </w:rPr>
              <w:t xml:space="preserve">mažinti potvynių grėsmę, planuojama investuoti į potvynių rizikos valdymo planuose numatytų priemonių – upių krantinių erozijos mažinimo (upių krantinių </w:t>
            </w:r>
            <w:r w:rsidR="00561880" w:rsidRPr="00B44B19">
              <w:rPr>
                <w:rFonts w:ascii="Times New Roman" w:eastAsia="Times New Roman" w:hAnsi="Times New Roman" w:cs="Times New Roman"/>
              </w:rPr>
              <w:t>sutvirtinimo</w:t>
            </w:r>
            <w:r w:rsidRPr="00B44B19">
              <w:rPr>
                <w:rFonts w:ascii="Times New Roman" w:eastAsia="Times New Roman" w:hAnsi="Times New Roman" w:cs="Times New Roman"/>
              </w:rPr>
              <w:t xml:space="preserve">), apsauginių pylimų, hidrotechnikos statinių </w:t>
            </w:r>
            <w:r w:rsidR="00561880" w:rsidRPr="00B44B19">
              <w:rPr>
                <w:rFonts w:ascii="Times New Roman" w:eastAsia="Times New Roman" w:hAnsi="Times New Roman" w:cs="Times New Roman"/>
              </w:rPr>
              <w:t xml:space="preserve">įrengimo </w:t>
            </w:r>
            <w:r w:rsidRPr="00B44B19">
              <w:rPr>
                <w:rFonts w:ascii="Times New Roman" w:eastAsia="Times New Roman" w:hAnsi="Times New Roman" w:cs="Times New Roman"/>
              </w:rPr>
              <w:t xml:space="preserve">ir </w:t>
            </w:r>
            <w:r w:rsidR="00561880" w:rsidRPr="00B44B19">
              <w:rPr>
                <w:rFonts w:ascii="Times New Roman" w:eastAsia="Times New Roman" w:hAnsi="Times New Roman" w:cs="Times New Roman"/>
              </w:rPr>
              <w:t>rekonstravimo</w:t>
            </w:r>
            <w:r w:rsidRPr="00B44B19">
              <w:rPr>
                <w:rFonts w:ascii="Times New Roman" w:eastAsia="Times New Roman" w:hAnsi="Times New Roman" w:cs="Times New Roman"/>
              </w:rPr>
              <w:t xml:space="preserve">, potvynių padarinių </w:t>
            </w:r>
            <w:r w:rsidR="00561880" w:rsidRPr="00B44B19">
              <w:rPr>
                <w:rFonts w:ascii="Times New Roman" w:eastAsia="Times New Roman" w:hAnsi="Times New Roman" w:cs="Times New Roman"/>
              </w:rPr>
              <w:t xml:space="preserve">šalinimo </w:t>
            </w:r>
            <w:r w:rsidRPr="00B44B19">
              <w:rPr>
                <w:rFonts w:ascii="Times New Roman" w:eastAsia="Times New Roman" w:hAnsi="Times New Roman" w:cs="Times New Roman"/>
              </w:rPr>
              <w:t>(vagų valymo ir gilinimo darbus</w:t>
            </w:r>
            <w:r w:rsidR="00561880" w:rsidRPr="00B44B19">
              <w:rPr>
                <w:rFonts w:ascii="Times New Roman" w:eastAsia="Times New Roman" w:hAnsi="Times New Roman" w:cs="Times New Roman"/>
              </w:rPr>
              <w:t xml:space="preserve">) – įgyvendinimą, </w:t>
            </w:r>
            <w:r w:rsidRPr="00B44B19">
              <w:rPr>
                <w:rFonts w:ascii="Times New Roman" w:eastAsia="Times New Roman" w:hAnsi="Times New Roman" w:cs="Times New Roman"/>
              </w:rPr>
              <w:t xml:space="preserve">pirmenybę </w:t>
            </w:r>
            <w:r w:rsidR="00561880" w:rsidRPr="00B44B19">
              <w:rPr>
                <w:rFonts w:ascii="Times New Roman" w:eastAsia="Times New Roman" w:hAnsi="Times New Roman" w:cs="Times New Roman"/>
              </w:rPr>
              <w:t>teikti</w:t>
            </w:r>
            <w:r w:rsidRPr="00B44B19">
              <w:rPr>
                <w:rFonts w:ascii="Times New Roman" w:eastAsia="Times New Roman" w:hAnsi="Times New Roman" w:cs="Times New Roman"/>
              </w:rPr>
              <w:t xml:space="preserve"> žaliosios infrastruktūros ir ekosistemomis grindžiamo prisitaikymo prie klimato kaitos priemonėms </w:t>
            </w:r>
            <w:r w:rsidR="001A0AAD" w:rsidRPr="00B44B19">
              <w:rPr>
                <w:rFonts w:ascii="Times New Roman" w:eastAsia="Times New Roman" w:hAnsi="Times New Roman" w:cs="Times New Roman"/>
              </w:rPr>
              <w:t>–</w:t>
            </w:r>
            <w:r w:rsidRPr="00B44B19">
              <w:rPr>
                <w:rFonts w:ascii="Times New Roman" w:eastAsia="Times New Roman" w:hAnsi="Times New Roman" w:cs="Times New Roman"/>
              </w:rPr>
              <w:t xml:space="preserve"> nusausintų šlapynių ir pažeistų upių </w:t>
            </w:r>
            <w:r w:rsidR="00561880" w:rsidRPr="00B44B19">
              <w:rPr>
                <w:rFonts w:ascii="Times New Roman" w:eastAsia="Times New Roman" w:hAnsi="Times New Roman" w:cs="Times New Roman"/>
              </w:rPr>
              <w:t>hidromorfologinėms savybėms atkurti.</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bCs/>
                <w:lang w:eastAsia="lt-LT"/>
              </w:rPr>
              <w:t xml:space="preserve">Tokių tipinių ekosistemų funkcijų atkūrimas taip pat prisidėtų prie įvairių ekosisteminių paslaugų teikimo </w:t>
            </w:r>
            <w:r w:rsidR="00561880" w:rsidRPr="00B44B19">
              <w:rPr>
                <w:rFonts w:ascii="Times New Roman" w:eastAsia="Times New Roman" w:hAnsi="Times New Roman" w:cs="Times New Roman"/>
                <w:bCs/>
                <w:lang w:eastAsia="lt-LT"/>
              </w:rPr>
              <w:t xml:space="preserve">užtikrinimo ir </w:t>
            </w:r>
            <w:r w:rsidRPr="00B44B19">
              <w:rPr>
                <w:rFonts w:ascii="Times New Roman" w:eastAsia="Times New Roman" w:hAnsi="Times New Roman" w:cs="Times New Roman"/>
                <w:bCs/>
                <w:lang w:eastAsia="lt-LT"/>
              </w:rPr>
              <w:t xml:space="preserve">biologinės įvairovės išsaugojimo. Hidrologinio režimo atkūrimas šlapynėse yra ypač svarbus </w:t>
            </w:r>
            <w:r w:rsidR="00561880" w:rsidRPr="00B44B19">
              <w:rPr>
                <w:rFonts w:ascii="Times New Roman" w:eastAsia="Times New Roman" w:hAnsi="Times New Roman" w:cs="Times New Roman"/>
                <w:bCs/>
                <w:lang w:eastAsia="lt-LT"/>
              </w:rPr>
              <w:t xml:space="preserve">didinant prisitaikymą prie klimato kaitos, nes šios geros būklės ekosistemos atlieka svarbų vaidmenį valant vandenį, reguliuojant vandens nuotėkį ir taip mažinant potvynių ir poplūdžių riziką, didėjančią dėl klimato kaitos. </w:t>
            </w:r>
            <w:r w:rsidRPr="00B44B19">
              <w:rPr>
                <w:rFonts w:ascii="Times New Roman" w:eastAsia="Times New Roman" w:hAnsi="Times New Roman" w:cs="Times New Roman"/>
                <w:lang w:eastAsia="lt-LT"/>
              </w:rPr>
              <w:t>Nemažą visų Lietuvos ŠESD emisijų dalį sudaro emisijos iš pažeistų durpynų. Hidrologinio režimo atkūrimas padėtų stabdyti durpių skaidymąsi, o tai ne tik sumažintų ŠESD emisijas, bet ir paskatintų priešingą procesą – ŠESD sugėrimą.</w:t>
            </w:r>
            <w:bookmarkStart w:id="25" w:name="_Hlk43366467"/>
            <w:r w:rsidRPr="00B44B19">
              <w:rPr>
                <w:rFonts w:ascii="Times New Roman" w:eastAsia="Times New Roman" w:hAnsi="Times New Roman" w:cs="Times New Roman"/>
                <w:lang w:eastAsia="lt-LT"/>
              </w:rPr>
              <w:t xml:space="preserve"> </w:t>
            </w:r>
            <w:r w:rsidR="00421842" w:rsidRPr="00B44B19">
              <w:rPr>
                <w:rFonts w:ascii="Times New Roman" w:eastAsia="Times New Roman" w:hAnsi="Times New Roman" w:cs="Times New Roman"/>
                <w:lang w:eastAsia="lt-LT"/>
              </w:rPr>
              <w:t>Veikla įgyvendinama VVL regione.</w:t>
            </w:r>
            <w:r w:rsidR="00421842" w:rsidRPr="00B44B19">
              <w:rPr>
                <w:rFonts w:ascii="Times New Roman" w:eastAsia="Times New Roman" w:hAnsi="Times New Roman" w:cs="Times New Roman"/>
              </w:rPr>
              <w:t xml:space="preserve"> </w:t>
            </w:r>
          </w:p>
          <w:p w14:paraId="5A1396D9" w14:textId="77777777" w:rsidR="0059279F" w:rsidRPr="00B44B19" w:rsidRDefault="00421842" w:rsidP="000C5E3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bCs/>
              </w:rPr>
              <w:t>Baltijos jūros kranto atsparumo didinimas ir teršalų likvidavimo jūros rajone sistemos tobulinimas</w:t>
            </w:r>
            <w:r w:rsidRPr="00B44B19">
              <w:rPr>
                <w:rFonts w:ascii="Times New Roman" w:eastAsia="Times New Roman" w:hAnsi="Times New Roman" w:cs="Times New Roman"/>
                <w:bCs/>
              </w:rPr>
              <w:t>:</w:t>
            </w:r>
            <w:r w:rsidR="0059279F" w:rsidRPr="00B44B19">
              <w:rPr>
                <w:rFonts w:ascii="Times New Roman" w:eastAsia="Times New Roman" w:hAnsi="Times New Roman" w:cs="Times New Roman"/>
                <w:bCs/>
              </w:rPr>
              <w:t xml:space="preserve"> siekiant sumažinti klimato kaitos poveikį Baltijos jūros ir Kuršių nerijos krantui, bus įgyvendinamos gamtiniais analogais paremtos krantotvarkos priemonės, pirmenybę teikiant </w:t>
            </w:r>
            <w:r w:rsidR="00561880" w:rsidRPr="00B44B19">
              <w:rPr>
                <w:rFonts w:ascii="Times New Roman" w:eastAsia="Times New Roman" w:hAnsi="Times New Roman" w:cs="Times New Roman"/>
                <w:bCs/>
              </w:rPr>
              <w:t>problemiškiausių</w:t>
            </w:r>
            <w:r w:rsidR="0059279F" w:rsidRPr="00B44B19">
              <w:rPr>
                <w:rFonts w:ascii="Times New Roman" w:eastAsia="Times New Roman" w:hAnsi="Times New Roman" w:cs="Times New Roman"/>
                <w:bCs/>
              </w:rPr>
              <w:t xml:space="preserve"> Palangos centrinių paplūdimių ruožo kranto ir priekrantės </w:t>
            </w:r>
            <w:r w:rsidR="00F71FA0" w:rsidRPr="00B44B19">
              <w:rPr>
                <w:rFonts w:ascii="Times New Roman" w:eastAsia="Times New Roman" w:hAnsi="Times New Roman" w:cs="Times New Roman"/>
                <w:bCs/>
              </w:rPr>
              <w:t>atsparumui stiprinti,</w:t>
            </w:r>
            <w:r w:rsidR="0059279F" w:rsidRPr="00B44B19">
              <w:rPr>
                <w:rFonts w:ascii="Times New Roman" w:eastAsia="Times New Roman" w:hAnsi="Times New Roman" w:cs="Times New Roman"/>
                <w:bCs/>
              </w:rPr>
              <w:t xml:space="preserve"> papildant krantą ir priekrantę atvežtiniu jūros smėliu. Sistemingas šių priemonių taikymas padeda išsaugoti kranto stabilumą ir rekreacinę erdvę nuo 5 iki 10 </w:t>
            </w:r>
            <w:r w:rsidR="00B83CDA" w:rsidRPr="00B44B19">
              <w:rPr>
                <w:rFonts w:ascii="Times New Roman" w:eastAsia="Times New Roman" w:hAnsi="Times New Roman" w:cs="Times New Roman"/>
                <w:bCs/>
              </w:rPr>
              <w:t>m.</w:t>
            </w:r>
            <w:r w:rsidR="0059279F" w:rsidRPr="00B44B19">
              <w:rPr>
                <w:rFonts w:ascii="Times New Roman" w:eastAsia="Times New Roman" w:hAnsi="Times New Roman" w:cs="Times New Roman"/>
                <w:bCs/>
              </w:rPr>
              <w:t xml:space="preserve">, o ateityje </w:t>
            </w:r>
            <w:r w:rsidR="00F71FA0" w:rsidRPr="00B44B19">
              <w:rPr>
                <w:rFonts w:ascii="Times New Roman" w:eastAsia="Times New Roman" w:hAnsi="Times New Roman" w:cs="Times New Roman"/>
                <w:bCs/>
              </w:rPr>
              <w:t>padės</w:t>
            </w:r>
            <w:r w:rsidR="0059279F" w:rsidRPr="00B44B19">
              <w:rPr>
                <w:rFonts w:ascii="Times New Roman" w:eastAsia="Times New Roman" w:hAnsi="Times New Roman" w:cs="Times New Roman"/>
                <w:bCs/>
              </w:rPr>
              <w:t xml:space="preserve"> išvengti jūros vandens išsiliejimo į žemyną. </w:t>
            </w:r>
            <w:r w:rsidR="00F71FA0" w:rsidRPr="00B44B19">
              <w:rPr>
                <w:rFonts w:ascii="Times New Roman" w:eastAsia="Times New Roman" w:hAnsi="Times New Roman" w:cs="Times New Roman"/>
                <w:bCs/>
              </w:rPr>
              <w:t xml:space="preserve">Žemyno </w:t>
            </w:r>
            <w:r w:rsidR="0059279F" w:rsidRPr="00B44B19">
              <w:rPr>
                <w:rFonts w:ascii="Times New Roman" w:eastAsia="Times New Roman" w:hAnsi="Times New Roman" w:cs="Times New Roman"/>
                <w:bCs/>
              </w:rPr>
              <w:t xml:space="preserve">ir UNESCO </w:t>
            </w:r>
            <w:r w:rsidR="00F71FA0" w:rsidRPr="00B44B19">
              <w:rPr>
                <w:rFonts w:ascii="Times New Roman" w:eastAsia="Times New Roman" w:hAnsi="Times New Roman" w:cs="Times New Roman"/>
                <w:bCs/>
              </w:rPr>
              <w:t>saugomos Kuršių nerijos krante, siekiant sustiprinti apsauginio paplūdimio stabilumą, planuojama kopagūbrį tvirtinti žabtvorių eilėmis ir šakų klojiniais, tai sukuria sąlygas kauptis smėliui ir natūraliai suformuoja klimato kaitos procesams atsparų apsauginį paplūdimio kopagūbrį, kuris kilus audrai</w:t>
            </w:r>
            <w:r w:rsidR="00423EC0" w:rsidRPr="00B44B19">
              <w:rPr>
                <w:rFonts w:ascii="Times New Roman" w:eastAsia="Times New Roman" w:hAnsi="Times New Roman" w:cs="Times New Roman"/>
                <w:bCs/>
              </w:rPr>
              <w:t xml:space="preserve"> </w:t>
            </w:r>
            <w:r w:rsidR="00F71FA0" w:rsidRPr="00B44B19">
              <w:rPr>
                <w:rFonts w:ascii="Times New Roman" w:eastAsia="Times New Roman" w:hAnsi="Times New Roman" w:cs="Times New Roman"/>
                <w:bCs/>
              </w:rPr>
              <w:t>apsaugos nuo vandens išsiliejimo į žemyną.</w:t>
            </w:r>
            <w:r w:rsidR="0059279F" w:rsidRPr="00B44B19">
              <w:rPr>
                <w:rFonts w:ascii="Times New Roman" w:eastAsia="Times New Roman" w:hAnsi="Times New Roman" w:cs="Times New Roman"/>
                <w:bCs/>
              </w:rPr>
              <w:t xml:space="preserve"> </w:t>
            </w:r>
            <w:bookmarkEnd w:id="25"/>
            <w:r w:rsidR="0059279F" w:rsidRPr="00B44B19">
              <w:rPr>
                <w:rFonts w:ascii="Times New Roman" w:eastAsia="Times New Roman" w:hAnsi="Times New Roman" w:cs="Times New Roman"/>
                <w:bCs/>
              </w:rPr>
              <w:t xml:space="preserve">Siekiant prisitaikyti prie klimato kaitos keliamo neigiamo poveikio Baltijos jūrai ir Lietuvos krantams, bus skatinami moksliniai tyrimai, </w:t>
            </w:r>
            <w:r w:rsidR="00F71FA0" w:rsidRPr="00B44B19">
              <w:rPr>
                <w:rFonts w:ascii="Times New Roman" w:eastAsia="Times New Roman" w:hAnsi="Times New Roman" w:cs="Times New Roman"/>
                <w:bCs/>
              </w:rPr>
              <w:t>ieškoma</w:t>
            </w:r>
            <w:r w:rsidR="0059279F" w:rsidRPr="00B44B19">
              <w:rPr>
                <w:rFonts w:ascii="Times New Roman" w:eastAsia="Times New Roman" w:hAnsi="Times New Roman" w:cs="Times New Roman"/>
                <w:bCs/>
              </w:rPr>
              <w:t xml:space="preserve"> alternatyvių ir inovatyvių būdų Baltijos jūros krantotvarkos politikos </w:t>
            </w:r>
            <w:r w:rsidR="0059279F" w:rsidRPr="00B44B19">
              <w:rPr>
                <w:rFonts w:ascii="Times New Roman" w:eastAsia="Times New Roman" w:hAnsi="Times New Roman" w:cs="Times New Roman"/>
                <w:bCs/>
                <w:i/>
              </w:rPr>
              <w:t>status quo</w:t>
            </w:r>
            <w:r w:rsidR="0059279F" w:rsidRPr="00B44B19">
              <w:rPr>
                <w:rFonts w:ascii="Times New Roman" w:eastAsia="Times New Roman" w:hAnsi="Times New Roman" w:cs="Times New Roman"/>
                <w:bCs/>
              </w:rPr>
              <w:t xml:space="preserve"> padėčiai tobulinti.</w:t>
            </w:r>
            <w:r w:rsidR="007C630A"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xml:space="preserve">Taip pat, siekiant greitai reaguoti ir efektyviai likviduoti teršalų (naftos produktų, trąšų) išsiliejimo ir kitus įvairaus masto įvykusius teršimo incidentus (tanklaivių, laivų, krovos avarijos) Baltijos jūroje, planuojama atnaujinti nacionalinę teršimo incidentų likvidavimo sistemą, įsigyjant tam reikalingas priemones (laivas) ir kitą būtiną įrangą. Taip užtikrinama, kad žala jūros rajono aplinkai ir ištekliams būtų kiek galima mažesnė (ypatingą dėmesį skiriant jūros paukščių, jautrių pakrančių zonų, rekreacinių paplūdimių, žuvų neršto ir atsiganymo vietų apsaugai). </w:t>
            </w:r>
            <w:bookmarkStart w:id="26" w:name="part_ab933f5e1b1a40e4b72b242d7cf6de42"/>
            <w:bookmarkEnd w:id="26"/>
            <w:r w:rsidRPr="00B44B19">
              <w:rPr>
                <w:rFonts w:ascii="Times New Roman" w:eastAsia="Times New Roman" w:hAnsi="Times New Roman" w:cs="Times New Roman"/>
                <w:lang w:eastAsia="lt-LT"/>
              </w:rPr>
              <w:t>Veikla įgyvendinama VVL regione.</w:t>
            </w:r>
          </w:p>
          <w:p w14:paraId="3C8EE61D" w14:textId="77777777" w:rsidR="0059279F" w:rsidRPr="00B44B19" w:rsidRDefault="0059279F"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b/>
              </w:rPr>
              <w:t xml:space="preserve">Metereologinių ir hidrologinių stebėjimų, klimato kaitos poveikio vertinimo, rizikos ir galimų padarinių prognozavimo sistemos </w:t>
            </w:r>
            <w:r w:rsidR="00F71FA0" w:rsidRPr="00B44B19">
              <w:rPr>
                <w:rFonts w:ascii="Times New Roman" w:eastAsia="Times New Roman" w:hAnsi="Times New Roman" w:cs="Times New Roman"/>
                <w:b/>
              </w:rPr>
              <w:t xml:space="preserve">tobulinimas ir </w:t>
            </w:r>
            <w:bookmarkStart w:id="27" w:name="_Hlk43380636"/>
            <w:r w:rsidRPr="00B44B19">
              <w:rPr>
                <w:rFonts w:ascii="Times New Roman" w:eastAsia="Times New Roman" w:hAnsi="Times New Roman" w:cs="Times New Roman"/>
                <w:b/>
              </w:rPr>
              <w:t>visuomenės informavimas</w:t>
            </w:r>
            <w:r w:rsidRPr="00B44B19">
              <w:rPr>
                <w:rFonts w:ascii="Times New Roman" w:eastAsia="Times New Roman" w:hAnsi="Times New Roman" w:cs="Times New Roman"/>
              </w:rPr>
              <w:t xml:space="preserve">: </w:t>
            </w:r>
            <w:r w:rsidR="00F71FA0" w:rsidRPr="00B44B19">
              <w:rPr>
                <w:rFonts w:ascii="Times New Roman" w:eastAsia="Times New Roman" w:hAnsi="Times New Roman" w:cs="Times New Roman"/>
                <w:shd w:val="clear" w:color="auto" w:fill="FFFFFF"/>
              </w:rPr>
              <w:t>siekiant prognozuoti ir laiku perspėti apie žiedadulkių poveikį visuomenės sveikatai, informuoti apie klimatologinių sąlygų poveikį atskiroms kultūroms, planuojama suformuoti fenologinių stebėjimų tinklą.</w:t>
            </w:r>
            <w:r w:rsidRPr="00B44B19">
              <w:rPr>
                <w:rFonts w:ascii="Times New Roman" w:eastAsia="Times New Roman" w:hAnsi="Times New Roman" w:cs="Times New Roman"/>
                <w:shd w:val="clear" w:color="auto" w:fill="FFFFFF"/>
              </w:rPr>
              <w:t xml:space="preserve"> </w:t>
            </w:r>
            <w:bookmarkEnd w:id="27"/>
            <w:r w:rsidR="00F71FA0" w:rsidRPr="00B44B19">
              <w:rPr>
                <w:rFonts w:ascii="Times New Roman" w:eastAsia="Times New Roman" w:hAnsi="Times New Roman" w:cs="Times New Roman"/>
                <w:shd w:val="clear" w:color="auto" w:fill="FFFFFF"/>
              </w:rPr>
              <w:t xml:space="preserve">Ruošiantis prisijungti prie Šiaurės šalių skaitmeninio prognozavimo sistemos, planuojama atnaujinti ir plėsti hidrometeorologinių stebėjimų sistemą. </w:t>
            </w:r>
            <w:r w:rsidR="00F71FA0" w:rsidRPr="00B44B19">
              <w:rPr>
                <w:rFonts w:ascii="Times New Roman" w:eastAsia="Times New Roman" w:hAnsi="Times New Roman" w:cs="Times New Roman"/>
                <w:bdr w:val="none" w:sz="0" w:space="0" w:color="auto" w:frame="1"/>
                <w:shd w:val="clear" w:color="auto" w:fill="FFFFFF"/>
              </w:rPr>
              <w:t>Numatoma finansuoti su administracinių gebėjimų stiprinimu ir informavimu susijusius projektus, kuriais siekiama sustiprinti visapusišką institucijų ir visuomenės sąmoningumą dėl klimato kaitos švelninimo ir prisitaikymo, bus siekiama klimato kaitos keliamus iššūkius spręsti kartu su mokslininkais, nevyriausybinėmis organizacijomis, valstybės ir savivaldybių institucijomis, pramonės, žemės ūkio ir kt. sektorių atstovais, visuomene.</w:t>
            </w:r>
            <w:r w:rsidR="00F71FA0" w:rsidRPr="00B44B19">
              <w:rPr>
                <w:rFonts w:ascii="Times New Roman" w:eastAsia="Times New Roman" w:hAnsi="Times New Roman" w:cs="Times New Roman"/>
                <w:shd w:val="clear" w:color="auto" w:fill="FFFFFF"/>
              </w:rPr>
              <w:t xml:space="preserve"> </w:t>
            </w:r>
            <w:r w:rsidR="00F71FA0" w:rsidRPr="00B44B19">
              <w:rPr>
                <w:rFonts w:ascii="Times New Roman" w:eastAsia="Times New Roman" w:hAnsi="Times New Roman" w:cs="Times New Roman"/>
                <w:lang w:eastAsia="lt-LT"/>
              </w:rPr>
              <w:t>Veikla įgyvendinama visoje Lietuvoje.</w:t>
            </w:r>
          </w:p>
          <w:p w14:paraId="21E6EA25" w14:textId="77777777" w:rsidR="00FE2852" w:rsidRPr="00B44B19" w:rsidRDefault="0059279F" w:rsidP="000C5E31">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b/>
              </w:rPr>
              <w:t>Miško gaisrų aptikimo sistemos įdiegimas</w:t>
            </w:r>
            <w:r w:rsidR="00F71FA0" w:rsidRPr="00B44B19">
              <w:rPr>
                <w:rFonts w:ascii="Times New Roman" w:eastAsia="Times New Roman" w:hAnsi="Times New Roman" w:cs="Times New Roman"/>
              </w:rPr>
              <w:t xml:space="preserve">: šalyje </w:t>
            </w:r>
            <w:r w:rsidRPr="00B44B19">
              <w:rPr>
                <w:rFonts w:ascii="Times New Roman" w:eastAsia="Times New Roman" w:hAnsi="Times New Roman" w:cs="Times New Roman"/>
              </w:rPr>
              <w:t xml:space="preserve">planuojama įkurti bendrą valstybinės miškų priešgaisrinės apsaugos sistemą, kuri apima stebėjimo, profilaktines ir priešgaisrines saugos </w:t>
            </w:r>
            <w:r w:rsidR="00F71FA0" w:rsidRPr="00B44B19">
              <w:rPr>
                <w:rFonts w:ascii="Times New Roman" w:eastAsia="Times New Roman" w:hAnsi="Times New Roman" w:cs="Times New Roman"/>
              </w:rPr>
              <w:t xml:space="preserve">priemones, </w:t>
            </w:r>
            <w:r w:rsidR="00F71FA0" w:rsidRPr="00B44B19">
              <w:rPr>
                <w:rFonts w:ascii="Times New Roman" w:eastAsia="Times New Roman" w:hAnsi="Times New Roman" w:cs="Times New Roman"/>
              </w:rPr>
              <w:lastRenderedPageBreak/>
              <w:t xml:space="preserve">įspėjančias </w:t>
            </w:r>
            <w:r w:rsidRPr="00B44B19">
              <w:rPr>
                <w:rFonts w:ascii="Times New Roman" w:eastAsia="Times New Roman" w:hAnsi="Times New Roman" w:cs="Times New Roman"/>
              </w:rPr>
              <w:t xml:space="preserve">apie aptiktus dūmus ar kitus miško gaisro požymius. </w:t>
            </w:r>
            <w:r w:rsidR="00F71FA0" w:rsidRPr="00B44B19">
              <w:rPr>
                <w:rFonts w:ascii="Times New Roman" w:eastAsia="Times New Roman" w:hAnsi="Times New Roman" w:cs="Times New Roman"/>
              </w:rPr>
              <w:t>Kokybiškas miško ir jo apylinkių gaisrų kilimo vietų stebėjimas leis laiku nustatyti gaisrų kilimo vietas ir taip sumažinti ekonominius miško gaisrų nuostolius ir žalą gamtai, oro užterštumui.</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lang w:eastAsia="lt-LT"/>
              </w:rPr>
              <w:t>Veikla įgyvendinama visoje Lietuvoje.</w:t>
            </w:r>
          </w:p>
          <w:p w14:paraId="32B16482" w14:textId="77777777" w:rsidR="00DD03B4" w:rsidRPr="00B44B19" w:rsidRDefault="00334B0C" w:rsidP="000C5E31">
            <w:pPr>
              <w:spacing w:before="60" w:after="60"/>
              <w:jc w:val="both"/>
              <w:rPr>
                <w:rFonts w:ascii="Times New Roman" w:hAnsi="Times New Roman" w:cs="Times New Roman"/>
                <w:u w:val="single"/>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B83CDA" w:rsidRPr="00B44B19">
              <w:rPr>
                <w:rFonts w:ascii="Times New Roman" w:eastAsia="Times New Roman" w:hAnsi="Times New Roman" w:cs="Times New Roman"/>
                <w:noProof/>
              </w:rPr>
              <w:t>.</w:t>
            </w:r>
          </w:p>
        </w:tc>
      </w:tr>
    </w:tbl>
    <w:p w14:paraId="22E97E74" w14:textId="77777777" w:rsidR="00FE2852" w:rsidRPr="00B44B19" w:rsidRDefault="00FE2852" w:rsidP="001E5B12">
      <w:pPr>
        <w:pStyle w:val="Stilius1"/>
        <w:rPr>
          <w:rFonts w:cs="Times New Roman"/>
        </w:rPr>
      </w:pPr>
      <w:r w:rsidRPr="00B44B19">
        <w:rPr>
          <w:rFonts w:cs="Times New Roman"/>
        </w:rPr>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B44B19" w14:paraId="3B7877D4"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72A4E880" w14:textId="77777777" w:rsidR="00FE2852" w:rsidRPr="00B44B19" w:rsidRDefault="0061274F" w:rsidP="004952F4">
            <w:pPr>
              <w:tabs>
                <w:tab w:val="left" w:pos="7560"/>
              </w:tabs>
              <w:spacing w:before="60" w:after="60"/>
              <w:jc w:val="both"/>
              <w:rPr>
                <w:rFonts w:ascii="Times New Roman" w:hAnsi="Times New Roman" w:cs="Times New Roman"/>
                <w:noProof/>
              </w:rPr>
            </w:pPr>
            <w:r w:rsidRPr="00B44B19">
              <w:rPr>
                <w:rFonts w:ascii="Times New Roman" w:hAnsi="Times New Roman" w:cs="Times New Roman"/>
                <w:bCs/>
                <w:iCs/>
                <w:noProof/>
                <w:lang w:eastAsia="lt-LT"/>
              </w:rPr>
              <w:t>Gyventojai, gyvenantys pavojaus rizikos zonose; gyventojai, priklausantys sveikatos rizikos grupėms (žiedadulkėms alergiški žmonės); pajūrio juostos, potvynių rizikos teritorijų savivaldybės</w:t>
            </w:r>
            <w:r w:rsidR="007C630A" w:rsidRPr="00B44B19">
              <w:rPr>
                <w:rFonts w:ascii="Times New Roman" w:hAnsi="Times New Roman" w:cs="Times New Roman"/>
                <w:bCs/>
                <w:iCs/>
                <w:noProof/>
                <w:lang w:eastAsia="lt-LT"/>
              </w:rPr>
              <w:t xml:space="preserve"> ir jų gyventojai</w:t>
            </w:r>
            <w:r w:rsidRPr="00B44B19">
              <w:rPr>
                <w:rFonts w:ascii="Times New Roman" w:hAnsi="Times New Roman" w:cs="Times New Roman"/>
                <w:bCs/>
                <w:iCs/>
                <w:noProof/>
                <w:lang w:eastAsia="lt-LT"/>
              </w:rPr>
              <w:t xml:space="preserve">, už ekstremalių situacijų valdymą atsakingos institucijos; visuomenės nariai, neprisidedantys prie kovos su klimato kaita, su klimato kaita kovojančios institucijos suinteresuotos grupės ir organizacijos; </w:t>
            </w:r>
            <w:r w:rsidRPr="00B44B19">
              <w:rPr>
                <w:rFonts w:ascii="Times New Roman" w:hAnsi="Times New Roman" w:cs="Times New Roman"/>
              </w:rPr>
              <w:t xml:space="preserve">gyventojai, </w:t>
            </w:r>
            <w:r w:rsidR="00F71FA0" w:rsidRPr="00B44B19">
              <w:rPr>
                <w:rFonts w:ascii="Times New Roman" w:hAnsi="Times New Roman" w:cs="Times New Roman"/>
              </w:rPr>
              <w:t>valstybės, savivaldybių institucijos ir jų padaliniai.</w:t>
            </w:r>
          </w:p>
        </w:tc>
      </w:tr>
    </w:tbl>
    <w:p w14:paraId="1799C746" w14:textId="77777777" w:rsidR="00FE2852" w:rsidRPr="00B44B19" w:rsidRDefault="00FE2852" w:rsidP="001E5B12">
      <w:pPr>
        <w:pStyle w:val="Stilius1"/>
        <w:rPr>
          <w:rFonts w:cs="Times New Roman"/>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E5B12" w:rsidRPr="00B44B19" w14:paraId="70A5B3F0" w14:textId="77777777" w:rsidTr="001E5B12">
        <w:tc>
          <w:tcPr>
            <w:tcW w:w="9854" w:type="dxa"/>
          </w:tcPr>
          <w:p w14:paraId="017E984F" w14:textId="2B05D09F" w:rsidR="001E5B12" w:rsidRPr="00B44B19" w:rsidRDefault="00F71FA0" w:rsidP="004952F4">
            <w:pPr>
              <w:pStyle w:val="Stilius1"/>
              <w:spacing w:before="60" w:after="60"/>
              <w:jc w:val="both"/>
              <w:rPr>
                <w:rFonts w:cs="Times New Roman"/>
                <w:b w:val="0"/>
                <w:i w:val="0"/>
                <w:color w:val="auto"/>
                <w:sz w:val="22"/>
              </w:rPr>
            </w:pPr>
            <w:r w:rsidRPr="00B44B19">
              <w:rPr>
                <w:rFonts w:cs="Times New Roman"/>
                <w:b w:val="0"/>
                <w:i w:val="0"/>
                <w:noProof/>
                <w:color w:val="auto"/>
                <w:sz w:val="22"/>
                <w:lang w:eastAsia="lt-LT"/>
              </w:rPr>
              <w:t>Vykdant numatytas veiklas bus siekiama užtikrinti lygybės, įtraukties ir nediskriminavimo principus.</w:t>
            </w:r>
            <w:r w:rsidRPr="00B44B19">
              <w:rPr>
                <w:rFonts w:cs="Times New Roman"/>
                <w:b w:val="0"/>
                <w:i w:val="0"/>
                <w:color w:val="auto"/>
                <w:sz w:val="22"/>
                <w:lang w:eastAsia="lt-LT"/>
              </w:rPr>
              <w:t xml:space="preserve"> Siekiant užtikrinti lygias galimybes visuomenės grupėms, turinčioms specialių poreikių, bus diegiamos ir vaizdinės, ir garsinės informacijos teikimo priemonės.</w:t>
            </w:r>
          </w:p>
        </w:tc>
      </w:tr>
    </w:tbl>
    <w:p w14:paraId="1FF4E298" w14:textId="77777777" w:rsidR="00FE2852" w:rsidRPr="00B44B19" w:rsidRDefault="00FE2852" w:rsidP="001E5B12">
      <w:pPr>
        <w:pStyle w:val="Stilius1"/>
        <w:rPr>
          <w:rFonts w:cs="Times New Roman"/>
        </w:rPr>
      </w:pPr>
      <w:r w:rsidRPr="00B44B19">
        <w:rPr>
          <w:rFonts w:cs="Times New Roman"/>
        </w:rPr>
        <w:t xml:space="preserve">Konkrečios tikslinės teritorijos, įskaitant planuojamą teritorinių priemonių panaudojimą </w:t>
      </w:r>
    </w:p>
    <w:tbl>
      <w:tblPr>
        <w:tblStyle w:val="Lentelstinklelis2"/>
        <w:tblW w:w="9876" w:type="dxa"/>
        <w:tblLook w:val="04A0" w:firstRow="1" w:lastRow="0" w:firstColumn="1" w:lastColumn="0" w:noHBand="0" w:noVBand="1"/>
      </w:tblPr>
      <w:tblGrid>
        <w:gridCol w:w="9876"/>
      </w:tblGrid>
      <w:tr w:rsidR="00FE2852" w:rsidRPr="00B44B19" w14:paraId="3F4B540A" w14:textId="77777777" w:rsidTr="00E46C9C">
        <w:trPr>
          <w:trHeight w:val="333"/>
        </w:trPr>
        <w:tc>
          <w:tcPr>
            <w:tcW w:w="9876" w:type="dxa"/>
            <w:tcBorders>
              <w:top w:val="single" w:sz="4" w:space="0" w:color="auto"/>
              <w:left w:val="single" w:sz="4" w:space="0" w:color="auto"/>
              <w:bottom w:val="single" w:sz="4" w:space="0" w:color="auto"/>
              <w:right w:val="single" w:sz="4" w:space="0" w:color="auto"/>
            </w:tcBorders>
            <w:hideMark/>
          </w:tcPr>
          <w:p w14:paraId="10A5AF86" w14:textId="77777777" w:rsidR="002159ED" w:rsidRPr="00B44B19" w:rsidRDefault="00821DB2" w:rsidP="004952F4">
            <w:pPr>
              <w:spacing w:before="60" w:after="60"/>
              <w:jc w:val="both"/>
              <w:rPr>
                <w:rFonts w:ascii="Times New Roman" w:hAnsi="Times New Roman" w:cs="Times New Roman"/>
              </w:rPr>
            </w:pPr>
            <w:r w:rsidRPr="00B44B19">
              <w:rPr>
                <w:rFonts w:ascii="Times New Roman" w:hAnsi="Times New Roman" w:cs="Times New Roman"/>
              </w:rPr>
              <w:t>Visa Lietuva</w:t>
            </w:r>
          </w:p>
        </w:tc>
      </w:tr>
    </w:tbl>
    <w:p w14:paraId="47E3CB7D" w14:textId="77777777" w:rsidR="00FE2852" w:rsidRPr="00B44B19" w:rsidRDefault="00FE2852" w:rsidP="001E5B12">
      <w:pPr>
        <w:pStyle w:val="Stilius1"/>
        <w:rPr>
          <w:rFonts w:cs="Times New Roman"/>
        </w:rPr>
      </w:pPr>
      <w:r w:rsidRPr="00B44B19">
        <w:rPr>
          <w:rFonts w:cs="Times New Roman"/>
        </w:rPr>
        <w:t xml:space="preserve">Tarpregioniniai, tarp sienų ir tarpvalstybiniai veiksmai </w:t>
      </w:r>
    </w:p>
    <w:tbl>
      <w:tblPr>
        <w:tblStyle w:val="Lentelstinklelis2"/>
        <w:tblW w:w="0" w:type="auto"/>
        <w:tblLook w:val="04A0" w:firstRow="1" w:lastRow="0" w:firstColumn="1" w:lastColumn="0" w:noHBand="0" w:noVBand="1"/>
      </w:tblPr>
      <w:tblGrid>
        <w:gridCol w:w="9628"/>
      </w:tblGrid>
      <w:tr w:rsidR="00FE2852" w:rsidRPr="00B44B19" w14:paraId="61D6E64C"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09025BAC" w14:textId="77777777" w:rsidR="00AA0148" w:rsidRPr="00B44B19" w:rsidRDefault="00AA0148"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Vykdant </w:t>
            </w:r>
            <w:r w:rsidRPr="00B44B19">
              <w:rPr>
                <w:rFonts w:ascii="Times New Roman" w:eastAsia="Times New Roman" w:hAnsi="Times New Roman" w:cs="Times New Roman"/>
                <w:i/>
              </w:rPr>
              <w:t>Metereologinių ir hidrologinių stebėjimų, klimato kaitos poveikio vertinimo, rizikos ir galimų padarinių prognozavimo sistemos tobulinimo</w:t>
            </w:r>
            <w:r w:rsidRPr="00B44B19">
              <w:rPr>
                <w:rFonts w:ascii="Times New Roman" w:eastAsia="Times New Roman" w:hAnsi="Times New Roman" w:cs="Times New Roman"/>
              </w:rPr>
              <w:t xml:space="preserve"> veiklą bus prisijungta prie Šiaurės šalių ir Europos šalių ekstremalių orų perspėjimo sistemų ir taikoma bendra metodika. </w:t>
            </w:r>
            <w:r w:rsidR="00F71FA0" w:rsidRPr="00B44B19">
              <w:rPr>
                <w:rFonts w:ascii="Times New Roman" w:eastAsia="Times New Roman" w:hAnsi="Times New Roman" w:cs="Times New Roman"/>
              </w:rPr>
              <w:t>Vykdomos veiklos prisidės prie prisijungimo prie Šiaurės šalių skaitmeninio prognozavimo sistemos. Siekiant laiku reaguoti į ekstremalias hidrometeorologines sąlygas, šių sistemų ir hidrometeorologinių stebėjimų duomenimis bus dalijamasi su kitomis šalimis.</w:t>
            </w:r>
          </w:p>
          <w:p w14:paraId="3A83801F" w14:textId="19212AFC" w:rsidR="00FE2852" w:rsidRPr="00B44B19" w:rsidRDefault="00AA0148" w:rsidP="004952F4">
            <w:pPr>
              <w:spacing w:before="60" w:after="60"/>
              <w:jc w:val="both"/>
              <w:rPr>
                <w:rFonts w:ascii="Times New Roman" w:hAnsi="Times New Roman" w:cs="Times New Roman"/>
              </w:rPr>
            </w:pPr>
            <w:r w:rsidRPr="00B44B19">
              <w:rPr>
                <w:rFonts w:ascii="Times New Roman" w:eastAsia="Times New Roman" w:hAnsi="Times New Roman" w:cs="Times New Roman"/>
              </w:rPr>
              <w:t>Lietuva tarptautiniu lygmeniu bendradarbiauja su Reagavimo į nelaimes koordinavimo centru (ERCC), Euroatlantiniu reagavimo į nelaimes koordinavimo centru (EADRCC), Jungtinių Tautų Humanitarinių reikalų koordinavimo biuru (UN OCHA</w:t>
            </w:r>
            <w:r w:rsidR="00F71FA0" w:rsidRPr="00B44B19">
              <w:rPr>
                <w:rFonts w:ascii="Times New Roman" w:eastAsia="Times New Roman" w:hAnsi="Times New Roman" w:cs="Times New Roman"/>
              </w:rPr>
              <w:t>). Regioniniu lygmeniu bus dalyvaujama Baltijos jūros valstybių tarybo</w:t>
            </w:r>
            <w:r w:rsidR="00CC2BF6" w:rsidRPr="00B44B19">
              <w:rPr>
                <w:rFonts w:ascii="Times New Roman" w:eastAsia="Times New Roman" w:hAnsi="Times New Roman" w:cs="Times New Roman"/>
              </w:rPr>
              <w:t>s veikloje</w:t>
            </w:r>
            <w:r w:rsidR="00E14633" w:rsidRPr="00B44B19">
              <w:rPr>
                <w:rFonts w:ascii="Times New Roman" w:eastAsia="Times New Roman" w:hAnsi="Times New Roman" w:cs="Times New Roman"/>
              </w:rPr>
              <w:t xml:space="preserve"> ir </w:t>
            </w:r>
            <w:r w:rsidR="00F71FA0" w:rsidRPr="00B44B19">
              <w:rPr>
                <w:rFonts w:ascii="Times New Roman" w:eastAsia="Times New Roman" w:hAnsi="Times New Roman" w:cs="Times New Roman"/>
              </w:rPr>
              <w:t>įvairiuose dvišalio bendradarbiavimo susitarimuose</w:t>
            </w:r>
            <w:r w:rsidR="00E14633" w:rsidRPr="00B44B19">
              <w:rPr>
                <w:rFonts w:ascii="Times New Roman" w:eastAsia="Times New Roman" w:hAnsi="Times New Roman" w:cs="Times New Roman"/>
              </w:rPr>
              <w:t>.</w:t>
            </w:r>
            <w:r w:rsidR="00F71FA0" w:rsidRPr="00B44B19">
              <w:rPr>
                <w:rFonts w:ascii="Times New Roman" w:eastAsia="Times New Roman" w:hAnsi="Times New Roman" w:cs="Times New Roman"/>
              </w:rPr>
              <w:t xml:space="preserve"> </w:t>
            </w:r>
            <w:r w:rsidR="005100B6" w:rsidRPr="00B44B19">
              <w:rPr>
                <w:rFonts w:ascii="Times New Roman" w:hAnsi="Times New Roman" w:cs="Times New Roman"/>
              </w:rPr>
              <w:t>Uždavinio veiklos prisidės prie egzistuojančios strateginės sinergijos tarp Baltijos jūros regiono ir kaimyninių valstybių klimato kaitos atsparumo, prisitaikymo ir prevencijos srityse, kadangi potencialiai pagerės Baltijos jūros ekologinė būklė bei bus sukurtos sąlygos tvirtesnei ir efektyviai</w:t>
            </w:r>
            <w:r w:rsidR="005100B6" w:rsidRPr="00B44B19">
              <w:rPr>
                <w:rFonts w:ascii="Times New Roman" w:hAnsi="Times New Roman" w:cs="Times New Roman"/>
                <w:b/>
                <w:bCs/>
              </w:rPr>
              <w:t xml:space="preserve"> BJRS</w:t>
            </w:r>
            <w:r w:rsidR="005100B6" w:rsidRPr="00B44B19">
              <w:rPr>
                <w:rFonts w:ascii="Times New Roman" w:hAnsi="Times New Roman" w:cs="Times New Roman"/>
              </w:rPr>
              <w:t xml:space="preserve"> bendradarbiavimo tąsai, plėtrai bei saugumui užtikrinti.</w:t>
            </w:r>
            <w:r w:rsidR="005100B6" w:rsidRPr="00B44B19">
              <w:rPr>
                <w:rFonts w:ascii="Times New Roman" w:eastAsia="Times New Roman" w:hAnsi="Times New Roman" w:cs="Times New Roman"/>
              </w:rPr>
              <w:t xml:space="preserve"> </w:t>
            </w:r>
            <w:r w:rsidR="00E14633" w:rsidRPr="00B44B19">
              <w:rPr>
                <w:rFonts w:ascii="Times New Roman" w:eastAsia="Times New Roman" w:hAnsi="Times New Roman" w:cs="Times New Roman"/>
              </w:rPr>
              <w:t>K</w:t>
            </w:r>
            <w:r w:rsidR="00F71FA0" w:rsidRPr="00B44B19">
              <w:rPr>
                <w:rFonts w:ascii="Times New Roman" w:eastAsia="Times New Roman" w:hAnsi="Times New Roman" w:cs="Times New Roman"/>
              </w:rPr>
              <w:t>artu su nuolatiniu dalyvavimu ir</w:t>
            </w:r>
            <w:r w:rsidR="00DA10BF" w:rsidRPr="00B44B19">
              <w:rPr>
                <w:rFonts w:ascii="Times New Roman" w:eastAsia="Times New Roman" w:hAnsi="Times New Roman" w:cs="Times New Roman"/>
              </w:rPr>
              <w:t xml:space="preserve"> reguliariu</w:t>
            </w:r>
            <w:r w:rsidR="00F71FA0" w:rsidRPr="00B44B19">
              <w:rPr>
                <w:rFonts w:ascii="Times New Roman" w:eastAsia="Times New Roman" w:hAnsi="Times New Roman" w:cs="Times New Roman"/>
              </w:rPr>
              <w:t xml:space="preserve"> keitimusi informacija bei praktikomis organizacijose</w:t>
            </w:r>
            <w:r w:rsidR="00DA10BF" w:rsidRPr="00B44B19">
              <w:rPr>
                <w:rFonts w:ascii="Times New Roman" w:eastAsia="Times New Roman" w:hAnsi="Times New Roman" w:cs="Times New Roman"/>
              </w:rPr>
              <w:t xml:space="preserve"> taip pat</w:t>
            </w:r>
            <w:r w:rsidR="00F71FA0" w:rsidRPr="00B44B19">
              <w:rPr>
                <w:rFonts w:ascii="Times New Roman" w:eastAsia="Times New Roman" w:hAnsi="Times New Roman" w:cs="Times New Roman"/>
              </w:rPr>
              <w:t xml:space="preserve"> numatoma sudaryti visas galimybes atlikti koordinuotus tarpvalstybinius veiksmus.</w:t>
            </w:r>
          </w:p>
        </w:tc>
      </w:tr>
    </w:tbl>
    <w:p w14:paraId="0C4DE4ED" w14:textId="77777777" w:rsidR="00FE2852" w:rsidRPr="00B44B19" w:rsidRDefault="00FE2852" w:rsidP="001E5B12">
      <w:pPr>
        <w:pStyle w:val="Stilius1"/>
        <w:rPr>
          <w:rFonts w:cs="Times New Roman"/>
          <w:lang w:val="en-US"/>
        </w:rPr>
      </w:pPr>
      <w:r w:rsidRPr="00B44B19">
        <w:rPr>
          <w:rFonts w:cs="Times New Roman"/>
        </w:rPr>
        <w:t xml:space="preserve">Planuojamas finansinių priemonių naudojimas </w:t>
      </w:r>
    </w:p>
    <w:tbl>
      <w:tblPr>
        <w:tblStyle w:val="Lentelstinklelis2"/>
        <w:tblW w:w="0" w:type="auto"/>
        <w:tblLook w:val="04A0" w:firstRow="1" w:lastRow="0" w:firstColumn="1" w:lastColumn="0" w:noHBand="0" w:noVBand="1"/>
      </w:tblPr>
      <w:tblGrid>
        <w:gridCol w:w="9628"/>
      </w:tblGrid>
      <w:tr w:rsidR="00FE2852" w:rsidRPr="00B44B19" w14:paraId="6D6ED3FD"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354207B" w14:textId="77777777" w:rsidR="00FE2852" w:rsidRPr="00B44B19" w:rsidRDefault="00D970FC" w:rsidP="001E5B12">
            <w:pPr>
              <w:spacing w:before="120" w:after="120"/>
              <w:jc w:val="both"/>
              <w:rPr>
                <w:rFonts w:ascii="Times New Roman" w:hAnsi="Times New Roman" w:cs="Times New Roman"/>
              </w:rPr>
            </w:pPr>
            <w:r w:rsidRPr="00B44B19">
              <w:rPr>
                <w:rFonts w:ascii="Times New Roman" w:hAnsi="Times New Roman" w:cs="Times New Roman"/>
              </w:rPr>
              <w:t>–</w:t>
            </w:r>
          </w:p>
        </w:tc>
      </w:tr>
    </w:tbl>
    <w:p w14:paraId="4FC791C9" w14:textId="77777777" w:rsidR="009750A4" w:rsidRPr="00B44B19" w:rsidRDefault="00471A41" w:rsidP="001E5B12">
      <w:pPr>
        <w:pStyle w:val="Stilius1"/>
        <w:rPr>
          <w:rFonts w:cs="Times New Roman"/>
        </w:rPr>
      </w:pPr>
      <w:r w:rsidRPr="00B44B19">
        <w:rPr>
          <w:rFonts w:cs="Times New Roman"/>
        </w:rPr>
        <w:t xml:space="preserve">Rodikliai </w:t>
      </w:r>
    </w:p>
    <w:p w14:paraId="3630B60B" w14:textId="77777777" w:rsidR="00471A41" w:rsidRPr="00B44B19" w:rsidRDefault="00471A41" w:rsidP="009750A4">
      <w:pPr>
        <w:spacing w:before="240" w:after="0" w:line="240" w:lineRule="auto"/>
        <w:jc w:val="both"/>
        <w:rPr>
          <w:rFonts w:cs="Times New Roman"/>
          <w:sz w:val="22"/>
        </w:rPr>
      </w:pPr>
      <w:r w:rsidRPr="00B44B19">
        <w:rPr>
          <w:rFonts w:cs="Times New Roman"/>
          <w:b/>
          <w:sz w:val="22"/>
        </w:rPr>
        <w:t>2 lentelė. Produkto rodikliai</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983"/>
        <w:gridCol w:w="822"/>
        <w:gridCol w:w="961"/>
        <w:gridCol w:w="1229"/>
        <w:gridCol w:w="1519"/>
        <w:gridCol w:w="968"/>
        <w:gridCol w:w="967"/>
        <w:gridCol w:w="967"/>
      </w:tblGrid>
      <w:tr w:rsidR="007C0361" w:rsidRPr="00B44B19" w14:paraId="19468F9A" w14:textId="77777777" w:rsidTr="00E37417">
        <w:trPr>
          <w:trHeight w:val="742"/>
          <w:tblHeader/>
        </w:trPr>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C49EAA"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Prioritetas</w:t>
            </w:r>
          </w:p>
        </w:tc>
        <w:tc>
          <w:tcPr>
            <w:tcW w:w="5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078AFD"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6C04B2"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Fondas</w:t>
            </w:r>
          </w:p>
        </w:tc>
        <w:tc>
          <w:tcPr>
            <w:tcW w:w="5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FCF302"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038577"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1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241C18"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Rodiklis</w:t>
            </w:r>
          </w:p>
        </w:tc>
        <w:tc>
          <w:tcPr>
            <w:tcW w:w="5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5693EB"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7577FC"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5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88E1AE"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Siek</w:t>
            </w:r>
            <w:r w:rsidR="00B927F2" w:rsidRPr="00B44B19">
              <w:rPr>
                <w:rFonts w:cs="Times New Roman"/>
                <w:b/>
                <w:noProof/>
                <w:sz w:val="16"/>
                <w:szCs w:val="16"/>
              </w:rPr>
              <w:t>tina reikšmė</w:t>
            </w:r>
            <w:r w:rsidRPr="00B44B19">
              <w:rPr>
                <w:rFonts w:cs="Times New Roman"/>
                <w:b/>
                <w:noProof/>
                <w:sz w:val="16"/>
                <w:szCs w:val="16"/>
              </w:rPr>
              <w:t xml:space="preserve"> (2029 m.)</w:t>
            </w:r>
          </w:p>
        </w:tc>
      </w:tr>
      <w:tr w:rsidR="007C0361" w:rsidRPr="00B44B19" w14:paraId="7E086627" w14:textId="77777777" w:rsidTr="00E37417">
        <w:trPr>
          <w:trHeight w:val="733"/>
        </w:trPr>
        <w:tc>
          <w:tcPr>
            <w:tcW w:w="507" w:type="pct"/>
            <w:vMerge w:val="restart"/>
            <w:tcBorders>
              <w:top w:val="single" w:sz="12" w:space="0" w:color="auto"/>
            </w:tcBorders>
          </w:tcPr>
          <w:p w14:paraId="42FFD40C"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2. Žalesnė Lietuva</w:t>
            </w:r>
          </w:p>
        </w:tc>
        <w:tc>
          <w:tcPr>
            <w:tcW w:w="525" w:type="pct"/>
            <w:vMerge w:val="restart"/>
            <w:tcBorders>
              <w:top w:val="single" w:sz="12" w:space="0" w:color="auto"/>
            </w:tcBorders>
          </w:tcPr>
          <w:p w14:paraId="6B76A6AD"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2.4</w:t>
            </w:r>
          </w:p>
        </w:tc>
        <w:tc>
          <w:tcPr>
            <w:tcW w:w="439" w:type="pct"/>
            <w:tcBorders>
              <w:top w:val="single" w:sz="12" w:space="0" w:color="auto"/>
              <w:bottom w:val="single" w:sz="4" w:space="0" w:color="auto"/>
            </w:tcBorders>
          </w:tcPr>
          <w:p w14:paraId="41E51E47" w14:textId="77777777" w:rsidR="007C0361" w:rsidRPr="00B44B19" w:rsidRDefault="00FA17FA" w:rsidP="007C0361">
            <w:pPr>
              <w:spacing w:after="0" w:line="240" w:lineRule="auto"/>
              <w:jc w:val="both"/>
              <w:rPr>
                <w:rFonts w:cs="Times New Roman"/>
                <w:noProof/>
                <w:sz w:val="16"/>
                <w:szCs w:val="16"/>
              </w:rPr>
            </w:pPr>
            <w:r w:rsidRPr="00B44B19">
              <w:rPr>
                <w:rFonts w:cs="Times New Roman"/>
                <w:noProof/>
                <w:sz w:val="16"/>
                <w:szCs w:val="16"/>
                <w:lang w:val="en-GB"/>
              </w:rPr>
              <w:t>ERPF</w:t>
            </w:r>
          </w:p>
        </w:tc>
        <w:tc>
          <w:tcPr>
            <w:tcW w:w="513" w:type="pct"/>
            <w:tcBorders>
              <w:top w:val="single" w:sz="12" w:space="0" w:color="auto"/>
              <w:bottom w:val="single" w:sz="4" w:space="0" w:color="auto"/>
            </w:tcBorders>
          </w:tcPr>
          <w:p w14:paraId="0DC76522" w14:textId="77777777" w:rsidR="007C0361" w:rsidRPr="00B44B19" w:rsidRDefault="00FA17FA" w:rsidP="007C0361">
            <w:pPr>
              <w:spacing w:after="0" w:line="240" w:lineRule="auto"/>
              <w:jc w:val="both"/>
              <w:rPr>
                <w:rFonts w:cs="Times New Roman"/>
                <w:noProof/>
                <w:sz w:val="16"/>
                <w:szCs w:val="16"/>
              </w:rPr>
            </w:pPr>
            <w:r w:rsidRPr="00B44B19">
              <w:rPr>
                <w:rFonts w:cs="Times New Roman"/>
                <w:noProof/>
                <w:sz w:val="16"/>
                <w:szCs w:val="16"/>
              </w:rPr>
              <w:t>VVL</w:t>
            </w:r>
            <w:r w:rsidR="00955F1C" w:rsidRPr="00B44B19">
              <w:rPr>
                <w:rFonts w:cs="Times New Roman"/>
                <w:noProof/>
                <w:sz w:val="16"/>
                <w:szCs w:val="16"/>
              </w:rPr>
              <w:t xml:space="preserve"> regionas</w:t>
            </w:r>
          </w:p>
        </w:tc>
        <w:tc>
          <w:tcPr>
            <w:tcW w:w="656" w:type="pct"/>
            <w:tcBorders>
              <w:top w:val="single" w:sz="12" w:space="0" w:color="auto"/>
              <w:bottom w:val="single" w:sz="4" w:space="0" w:color="auto"/>
            </w:tcBorders>
          </w:tcPr>
          <w:p w14:paraId="357F8CF0" w14:textId="77777777" w:rsidR="007C0361" w:rsidRPr="00B44B19" w:rsidRDefault="007C0361" w:rsidP="007C0361">
            <w:pPr>
              <w:jc w:val="both"/>
              <w:rPr>
                <w:rFonts w:cs="Times New Roman"/>
                <w:color w:val="000000"/>
                <w:sz w:val="16"/>
                <w:szCs w:val="16"/>
              </w:rPr>
            </w:pPr>
            <w:r w:rsidRPr="00B44B19">
              <w:rPr>
                <w:rFonts w:cs="Times New Roman"/>
                <w:color w:val="000000"/>
                <w:sz w:val="16"/>
                <w:szCs w:val="16"/>
              </w:rPr>
              <w:t>RCO25</w:t>
            </w:r>
          </w:p>
        </w:tc>
        <w:tc>
          <w:tcPr>
            <w:tcW w:w="811" w:type="pct"/>
            <w:tcBorders>
              <w:top w:val="single" w:sz="12" w:space="0" w:color="auto"/>
              <w:bottom w:val="single" w:sz="4" w:space="0" w:color="auto"/>
            </w:tcBorders>
          </w:tcPr>
          <w:p w14:paraId="794EA6E1" w14:textId="77777777" w:rsidR="007C0361" w:rsidRPr="00B44B19" w:rsidRDefault="007C0361" w:rsidP="007C0361">
            <w:pPr>
              <w:spacing w:after="0" w:line="240" w:lineRule="auto"/>
              <w:rPr>
                <w:rFonts w:cs="Times New Roman"/>
                <w:sz w:val="16"/>
                <w:szCs w:val="16"/>
              </w:rPr>
            </w:pPr>
            <w:r w:rsidRPr="00B44B19">
              <w:rPr>
                <w:rFonts w:cs="Times New Roman"/>
                <w:sz w:val="16"/>
              </w:rPr>
              <w:t>Naujai įrengta arba sustiprinta pakrančių ruožų, upių ir ežerų krantų apsauga nuo potvynių</w:t>
            </w:r>
          </w:p>
        </w:tc>
        <w:tc>
          <w:tcPr>
            <w:tcW w:w="517" w:type="pct"/>
            <w:tcBorders>
              <w:top w:val="single" w:sz="12" w:space="0" w:color="auto"/>
              <w:bottom w:val="single" w:sz="4" w:space="0" w:color="auto"/>
            </w:tcBorders>
          </w:tcPr>
          <w:p w14:paraId="596501D1"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km</w:t>
            </w:r>
          </w:p>
        </w:tc>
        <w:tc>
          <w:tcPr>
            <w:tcW w:w="516" w:type="pct"/>
            <w:tcBorders>
              <w:top w:val="single" w:sz="12" w:space="0" w:color="auto"/>
              <w:bottom w:val="single" w:sz="4" w:space="0" w:color="auto"/>
            </w:tcBorders>
          </w:tcPr>
          <w:p w14:paraId="1303A757"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0</w:t>
            </w:r>
          </w:p>
        </w:tc>
        <w:tc>
          <w:tcPr>
            <w:tcW w:w="517" w:type="pct"/>
            <w:tcBorders>
              <w:top w:val="single" w:sz="12" w:space="0" w:color="auto"/>
              <w:bottom w:val="single" w:sz="4" w:space="0" w:color="auto"/>
            </w:tcBorders>
          </w:tcPr>
          <w:p w14:paraId="0E37641D" w14:textId="77777777" w:rsidR="007C0361" w:rsidRPr="00B44B19" w:rsidRDefault="007C630A" w:rsidP="007C0361">
            <w:pPr>
              <w:spacing w:after="0" w:line="240" w:lineRule="auto"/>
              <w:jc w:val="center"/>
              <w:rPr>
                <w:rFonts w:cs="Times New Roman"/>
                <w:noProof/>
                <w:sz w:val="16"/>
                <w:szCs w:val="16"/>
                <w:lang w:val="en-US"/>
              </w:rPr>
            </w:pPr>
            <w:r w:rsidRPr="00B44B19">
              <w:rPr>
                <w:rFonts w:cs="Times New Roman"/>
                <w:noProof/>
                <w:sz w:val="16"/>
                <w:szCs w:val="16"/>
                <w:lang w:val="en-GB"/>
              </w:rPr>
              <w:t xml:space="preserve"> </w:t>
            </w:r>
            <w:r w:rsidRPr="00B44B19">
              <w:rPr>
                <w:rFonts w:cs="Times New Roman"/>
                <w:noProof/>
                <w:sz w:val="16"/>
                <w:szCs w:val="16"/>
                <w:lang w:val="en-US"/>
              </w:rPr>
              <w:t>101</w:t>
            </w:r>
          </w:p>
        </w:tc>
      </w:tr>
      <w:tr w:rsidR="00EE1BDB" w:rsidRPr="00B44B19" w14:paraId="2C9987E2" w14:textId="77777777" w:rsidTr="00E37417">
        <w:trPr>
          <w:trHeight w:val="733"/>
        </w:trPr>
        <w:tc>
          <w:tcPr>
            <w:tcW w:w="507" w:type="pct"/>
            <w:vMerge/>
            <w:tcBorders>
              <w:top w:val="single" w:sz="12" w:space="0" w:color="auto"/>
            </w:tcBorders>
          </w:tcPr>
          <w:p w14:paraId="2343DA29" w14:textId="77777777" w:rsidR="00EE1BDB" w:rsidRPr="00B44B19" w:rsidRDefault="00EE1BDB" w:rsidP="007C0361">
            <w:pPr>
              <w:spacing w:after="0" w:line="240" w:lineRule="auto"/>
              <w:jc w:val="both"/>
              <w:rPr>
                <w:rFonts w:cs="Times New Roman"/>
                <w:noProof/>
                <w:sz w:val="16"/>
                <w:szCs w:val="16"/>
              </w:rPr>
            </w:pPr>
          </w:p>
        </w:tc>
        <w:tc>
          <w:tcPr>
            <w:tcW w:w="525" w:type="pct"/>
            <w:vMerge/>
            <w:tcBorders>
              <w:top w:val="single" w:sz="12" w:space="0" w:color="auto"/>
            </w:tcBorders>
          </w:tcPr>
          <w:p w14:paraId="7D151143" w14:textId="77777777" w:rsidR="00EE1BDB" w:rsidRPr="00B44B19" w:rsidRDefault="00EE1BDB" w:rsidP="007C0361">
            <w:pPr>
              <w:spacing w:after="0" w:line="240" w:lineRule="auto"/>
              <w:jc w:val="both"/>
              <w:rPr>
                <w:rFonts w:cs="Times New Roman"/>
                <w:noProof/>
                <w:sz w:val="16"/>
                <w:szCs w:val="16"/>
              </w:rPr>
            </w:pPr>
          </w:p>
        </w:tc>
        <w:tc>
          <w:tcPr>
            <w:tcW w:w="439" w:type="pct"/>
            <w:tcBorders>
              <w:top w:val="single" w:sz="4" w:space="0" w:color="auto"/>
            </w:tcBorders>
          </w:tcPr>
          <w:p w14:paraId="2C44244A" w14:textId="77777777" w:rsidR="00EE1BDB" w:rsidRPr="00B44B19" w:rsidDel="00FA17FA" w:rsidRDefault="00EE1BDB" w:rsidP="007C0361">
            <w:pPr>
              <w:spacing w:after="0" w:line="240" w:lineRule="auto"/>
              <w:jc w:val="both"/>
              <w:rPr>
                <w:rFonts w:cs="Times New Roman"/>
                <w:noProof/>
                <w:sz w:val="16"/>
                <w:szCs w:val="16"/>
                <w:lang w:val="en-GB"/>
              </w:rPr>
            </w:pPr>
            <w:r w:rsidRPr="00B44B19">
              <w:rPr>
                <w:rFonts w:cs="Times New Roman"/>
                <w:noProof/>
                <w:sz w:val="16"/>
                <w:szCs w:val="16"/>
              </w:rPr>
              <w:t>SaF</w:t>
            </w:r>
          </w:p>
        </w:tc>
        <w:tc>
          <w:tcPr>
            <w:tcW w:w="513" w:type="pct"/>
            <w:tcBorders>
              <w:top w:val="single" w:sz="4" w:space="0" w:color="auto"/>
            </w:tcBorders>
          </w:tcPr>
          <w:p w14:paraId="4D30E28E" w14:textId="77777777" w:rsidR="00EE1BDB" w:rsidRPr="00B44B19" w:rsidDel="00FA17FA" w:rsidRDefault="00EE1BDB"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56" w:type="pct"/>
            <w:tcBorders>
              <w:top w:val="single" w:sz="4" w:space="0" w:color="auto"/>
            </w:tcBorders>
          </w:tcPr>
          <w:p w14:paraId="677039D9" w14:textId="77777777" w:rsidR="00EE1BDB" w:rsidRPr="00B44B19" w:rsidRDefault="00EE1BDB" w:rsidP="007C0361">
            <w:pPr>
              <w:jc w:val="both"/>
              <w:rPr>
                <w:rFonts w:cs="Times New Roman"/>
                <w:color w:val="000000"/>
                <w:sz w:val="16"/>
                <w:szCs w:val="16"/>
              </w:rPr>
            </w:pPr>
            <w:r w:rsidRPr="00B44B19">
              <w:rPr>
                <w:rFonts w:cs="Times New Roman"/>
                <w:color w:val="000000"/>
                <w:sz w:val="16"/>
                <w:szCs w:val="16"/>
              </w:rPr>
              <w:t>RCO24</w:t>
            </w:r>
          </w:p>
        </w:tc>
        <w:tc>
          <w:tcPr>
            <w:tcW w:w="811" w:type="pct"/>
            <w:tcBorders>
              <w:top w:val="single" w:sz="4" w:space="0" w:color="auto"/>
            </w:tcBorders>
          </w:tcPr>
          <w:p w14:paraId="576838FC" w14:textId="77777777" w:rsidR="00EE1BDB" w:rsidRPr="00B44B19" w:rsidRDefault="00EE1BDB" w:rsidP="007C0361">
            <w:pPr>
              <w:spacing w:after="0" w:line="240" w:lineRule="auto"/>
              <w:rPr>
                <w:rFonts w:cs="Times New Roman"/>
                <w:sz w:val="16"/>
              </w:rPr>
            </w:pPr>
            <w:r w:rsidRPr="00B44B19">
              <w:rPr>
                <w:rFonts w:cs="Times New Roman"/>
                <w:sz w:val="16"/>
                <w:szCs w:val="16"/>
              </w:rPr>
              <w:t xml:space="preserve">Investicijos į naujas arba atnaujintas gaivalinių nelaimių stebėsenos, pasirengimo joms, įspėjimo apie jas ir reagavimo į jas sistemas </w:t>
            </w:r>
          </w:p>
        </w:tc>
        <w:tc>
          <w:tcPr>
            <w:tcW w:w="517" w:type="pct"/>
            <w:tcBorders>
              <w:top w:val="single" w:sz="4" w:space="0" w:color="auto"/>
            </w:tcBorders>
          </w:tcPr>
          <w:p w14:paraId="545EFEC0" w14:textId="77777777" w:rsidR="00EE1BDB" w:rsidRPr="00B44B19" w:rsidRDefault="00EE1BDB" w:rsidP="007C0361">
            <w:pPr>
              <w:spacing w:after="0" w:line="240" w:lineRule="auto"/>
              <w:jc w:val="both"/>
              <w:rPr>
                <w:rFonts w:cs="Times New Roman"/>
                <w:noProof/>
                <w:sz w:val="16"/>
                <w:szCs w:val="16"/>
              </w:rPr>
            </w:pPr>
            <w:r w:rsidRPr="00B44B19">
              <w:rPr>
                <w:rFonts w:cs="Times New Roman"/>
                <w:noProof/>
                <w:sz w:val="16"/>
                <w:szCs w:val="16"/>
              </w:rPr>
              <w:t>Eur</w:t>
            </w:r>
            <w:r w:rsidR="00251F76" w:rsidRPr="00B44B19">
              <w:rPr>
                <w:rFonts w:cs="Times New Roman"/>
                <w:noProof/>
                <w:sz w:val="16"/>
                <w:szCs w:val="16"/>
              </w:rPr>
              <w:t>ai</w:t>
            </w:r>
          </w:p>
        </w:tc>
        <w:tc>
          <w:tcPr>
            <w:tcW w:w="516" w:type="pct"/>
            <w:tcBorders>
              <w:top w:val="single" w:sz="4" w:space="0" w:color="auto"/>
            </w:tcBorders>
          </w:tcPr>
          <w:p w14:paraId="5B5FF878" w14:textId="77777777" w:rsidR="00EE1BDB" w:rsidRPr="00B44B19" w:rsidRDefault="001A0FA9" w:rsidP="007C0361">
            <w:pPr>
              <w:spacing w:after="0" w:line="240" w:lineRule="auto"/>
              <w:jc w:val="center"/>
              <w:rPr>
                <w:rFonts w:cs="Times New Roman"/>
                <w:noProof/>
                <w:sz w:val="16"/>
                <w:szCs w:val="16"/>
              </w:rPr>
            </w:pPr>
            <w:r w:rsidRPr="00B44B19">
              <w:rPr>
                <w:rFonts w:cs="Times New Roman"/>
                <w:noProof/>
                <w:sz w:val="16"/>
                <w:szCs w:val="16"/>
              </w:rPr>
              <w:t>0</w:t>
            </w:r>
          </w:p>
        </w:tc>
        <w:tc>
          <w:tcPr>
            <w:tcW w:w="517" w:type="pct"/>
            <w:tcBorders>
              <w:top w:val="single" w:sz="4" w:space="0" w:color="auto"/>
            </w:tcBorders>
          </w:tcPr>
          <w:p w14:paraId="0BCC02F1" w14:textId="77777777" w:rsidR="00EE1BDB" w:rsidRPr="00B44B19" w:rsidRDefault="001A0FA9" w:rsidP="00F37474">
            <w:pPr>
              <w:spacing w:after="0" w:line="240" w:lineRule="auto"/>
              <w:jc w:val="center"/>
              <w:rPr>
                <w:rFonts w:cs="Times New Roman"/>
                <w:noProof/>
                <w:sz w:val="16"/>
                <w:szCs w:val="16"/>
                <w:lang w:val="en-GB"/>
              </w:rPr>
            </w:pPr>
            <w:r w:rsidRPr="00B44B19">
              <w:rPr>
                <w:rFonts w:cs="Times New Roman"/>
                <w:noProof/>
                <w:sz w:val="16"/>
                <w:szCs w:val="16"/>
                <w:lang w:val="en-US"/>
              </w:rPr>
              <w:t>9 411 765</w:t>
            </w:r>
          </w:p>
        </w:tc>
      </w:tr>
      <w:tr w:rsidR="006B08A8" w:rsidRPr="00B44B19" w14:paraId="13578B86" w14:textId="77777777" w:rsidTr="00E37417">
        <w:trPr>
          <w:trHeight w:val="505"/>
        </w:trPr>
        <w:tc>
          <w:tcPr>
            <w:tcW w:w="507" w:type="pct"/>
            <w:vMerge/>
          </w:tcPr>
          <w:p w14:paraId="0CF082E3" w14:textId="77777777" w:rsidR="006B08A8" w:rsidRPr="00B44B19" w:rsidRDefault="006B08A8" w:rsidP="007C0361">
            <w:pPr>
              <w:spacing w:after="0" w:line="240" w:lineRule="auto"/>
              <w:jc w:val="both"/>
              <w:rPr>
                <w:rFonts w:cs="Times New Roman"/>
                <w:noProof/>
                <w:sz w:val="16"/>
                <w:szCs w:val="16"/>
              </w:rPr>
            </w:pPr>
          </w:p>
        </w:tc>
        <w:tc>
          <w:tcPr>
            <w:tcW w:w="525" w:type="pct"/>
            <w:vMerge/>
          </w:tcPr>
          <w:p w14:paraId="01D9F70A" w14:textId="77777777" w:rsidR="006B08A8" w:rsidRPr="00B44B19" w:rsidRDefault="006B08A8" w:rsidP="007C0361">
            <w:pPr>
              <w:spacing w:after="0" w:line="240" w:lineRule="auto"/>
              <w:jc w:val="both"/>
              <w:rPr>
                <w:rFonts w:cs="Times New Roman"/>
                <w:noProof/>
                <w:sz w:val="16"/>
                <w:szCs w:val="16"/>
              </w:rPr>
            </w:pPr>
          </w:p>
        </w:tc>
        <w:tc>
          <w:tcPr>
            <w:tcW w:w="439" w:type="pct"/>
          </w:tcPr>
          <w:p w14:paraId="21E6F36E" w14:textId="77777777" w:rsidR="006B08A8" w:rsidRPr="00B44B19" w:rsidRDefault="006B08A8" w:rsidP="007C0361">
            <w:pPr>
              <w:spacing w:after="0" w:line="240" w:lineRule="auto"/>
              <w:jc w:val="both"/>
              <w:rPr>
                <w:rFonts w:cs="Times New Roman"/>
                <w:noProof/>
                <w:sz w:val="16"/>
                <w:szCs w:val="16"/>
              </w:rPr>
            </w:pPr>
            <w:r w:rsidRPr="00B44B19">
              <w:rPr>
                <w:rFonts w:cs="Times New Roman"/>
                <w:noProof/>
                <w:sz w:val="16"/>
                <w:szCs w:val="16"/>
                <w:lang w:val="en-GB"/>
              </w:rPr>
              <w:t>ERPF</w:t>
            </w:r>
          </w:p>
        </w:tc>
        <w:tc>
          <w:tcPr>
            <w:tcW w:w="513" w:type="pct"/>
          </w:tcPr>
          <w:p w14:paraId="341590AA" w14:textId="77777777" w:rsidR="006B08A8" w:rsidRPr="00B44B19" w:rsidRDefault="006B08A8" w:rsidP="007C0361">
            <w:pPr>
              <w:spacing w:after="0" w:line="240" w:lineRule="auto"/>
              <w:jc w:val="both"/>
              <w:rPr>
                <w:rFonts w:cs="Times New Roman"/>
                <w:noProof/>
                <w:sz w:val="16"/>
                <w:szCs w:val="16"/>
              </w:rPr>
            </w:pPr>
            <w:r w:rsidRPr="00B44B19">
              <w:rPr>
                <w:rFonts w:cs="Times New Roman"/>
                <w:noProof/>
                <w:sz w:val="16"/>
                <w:szCs w:val="16"/>
              </w:rPr>
              <w:t>VVL</w:t>
            </w:r>
            <w:r w:rsidR="00955F1C" w:rsidRPr="00B44B19">
              <w:rPr>
                <w:rFonts w:cs="Times New Roman"/>
                <w:noProof/>
                <w:sz w:val="16"/>
                <w:szCs w:val="16"/>
              </w:rPr>
              <w:t xml:space="preserve"> regionas</w:t>
            </w:r>
          </w:p>
        </w:tc>
        <w:tc>
          <w:tcPr>
            <w:tcW w:w="656" w:type="pct"/>
          </w:tcPr>
          <w:p w14:paraId="3A5BA219" w14:textId="77777777" w:rsidR="006B08A8" w:rsidRPr="00B44B19" w:rsidRDefault="006B08A8" w:rsidP="007C0361">
            <w:pPr>
              <w:jc w:val="both"/>
              <w:rPr>
                <w:rFonts w:cs="Times New Roman"/>
                <w:color w:val="000000"/>
                <w:sz w:val="16"/>
                <w:szCs w:val="16"/>
              </w:rPr>
            </w:pPr>
            <w:r w:rsidRPr="00B44B19">
              <w:rPr>
                <w:rFonts w:cs="Times New Roman"/>
                <w:color w:val="000000"/>
                <w:sz w:val="16"/>
                <w:szCs w:val="16"/>
              </w:rPr>
              <w:t>RCO122</w:t>
            </w:r>
          </w:p>
        </w:tc>
        <w:tc>
          <w:tcPr>
            <w:tcW w:w="811" w:type="pct"/>
          </w:tcPr>
          <w:p w14:paraId="686678D7" w14:textId="77777777" w:rsidR="006B08A8" w:rsidRPr="00B44B19" w:rsidRDefault="006B08A8" w:rsidP="0015015F">
            <w:pPr>
              <w:pStyle w:val="Default"/>
              <w:rPr>
                <w:sz w:val="16"/>
                <w:szCs w:val="16"/>
              </w:rPr>
            </w:pPr>
            <w:r w:rsidRPr="00B44B19">
              <w:rPr>
                <w:sz w:val="16"/>
                <w:szCs w:val="16"/>
              </w:rPr>
              <w:t>Investicijos į naujas arba atnaujintas nelaimių stebėsenos, pasirengimo joms, įspėjimo apie jas ir reagavimo į jas sistemas, skirtas su klimatu nesusijusiai gamtinio pavojaus rizikai ir su žmogaus veikla susijusiai rizikai</w:t>
            </w:r>
          </w:p>
        </w:tc>
        <w:tc>
          <w:tcPr>
            <w:tcW w:w="517" w:type="pct"/>
          </w:tcPr>
          <w:p w14:paraId="3E36AF31" w14:textId="77777777" w:rsidR="006B08A8" w:rsidRPr="00B44B19" w:rsidRDefault="006B08A8" w:rsidP="007C0361">
            <w:pPr>
              <w:spacing w:after="0" w:line="240" w:lineRule="auto"/>
              <w:jc w:val="both"/>
              <w:rPr>
                <w:rFonts w:cs="Times New Roman"/>
                <w:noProof/>
                <w:sz w:val="16"/>
                <w:szCs w:val="16"/>
              </w:rPr>
            </w:pPr>
            <w:r w:rsidRPr="00B44B19">
              <w:rPr>
                <w:rFonts w:cs="Times New Roman"/>
                <w:noProof/>
                <w:sz w:val="16"/>
                <w:szCs w:val="16"/>
              </w:rPr>
              <w:t>Eur</w:t>
            </w:r>
            <w:r w:rsidR="009F5834" w:rsidRPr="00B44B19">
              <w:rPr>
                <w:rFonts w:cs="Times New Roman"/>
                <w:noProof/>
                <w:sz w:val="16"/>
                <w:szCs w:val="16"/>
              </w:rPr>
              <w:t>ai</w:t>
            </w:r>
          </w:p>
        </w:tc>
        <w:tc>
          <w:tcPr>
            <w:tcW w:w="516" w:type="pct"/>
          </w:tcPr>
          <w:p w14:paraId="52EBB188" w14:textId="77777777" w:rsidR="006B08A8" w:rsidRPr="00B44B19" w:rsidRDefault="006B08A8" w:rsidP="007C0361">
            <w:pPr>
              <w:spacing w:after="0" w:line="240" w:lineRule="auto"/>
              <w:jc w:val="center"/>
              <w:rPr>
                <w:rFonts w:cs="Times New Roman"/>
                <w:noProof/>
                <w:sz w:val="16"/>
                <w:szCs w:val="16"/>
              </w:rPr>
            </w:pPr>
            <w:r w:rsidRPr="00B44B19">
              <w:rPr>
                <w:rFonts w:cs="Times New Roman"/>
                <w:noProof/>
                <w:sz w:val="16"/>
                <w:szCs w:val="16"/>
              </w:rPr>
              <w:t>0</w:t>
            </w:r>
          </w:p>
        </w:tc>
        <w:tc>
          <w:tcPr>
            <w:tcW w:w="517" w:type="pct"/>
          </w:tcPr>
          <w:p w14:paraId="37069A3B" w14:textId="77777777" w:rsidR="006B08A8" w:rsidRPr="00B44B19" w:rsidRDefault="006B08A8" w:rsidP="007C0361">
            <w:pPr>
              <w:spacing w:after="0" w:line="240" w:lineRule="auto"/>
              <w:jc w:val="center"/>
              <w:rPr>
                <w:rFonts w:cs="Times New Roman"/>
                <w:noProof/>
                <w:sz w:val="16"/>
                <w:szCs w:val="16"/>
              </w:rPr>
            </w:pPr>
            <w:r w:rsidRPr="00B44B19">
              <w:rPr>
                <w:rFonts w:cs="Times New Roman"/>
                <w:noProof/>
                <w:sz w:val="16"/>
                <w:szCs w:val="16"/>
              </w:rPr>
              <w:t>40 000 000</w:t>
            </w:r>
          </w:p>
        </w:tc>
      </w:tr>
      <w:tr w:rsidR="007C0361" w:rsidRPr="00B44B19" w14:paraId="6B9E6D4D" w14:textId="77777777" w:rsidTr="00E37417">
        <w:trPr>
          <w:trHeight w:val="505"/>
        </w:trPr>
        <w:tc>
          <w:tcPr>
            <w:tcW w:w="507" w:type="pct"/>
            <w:vMerge/>
          </w:tcPr>
          <w:p w14:paraId="20904F1A" w14:textId="77777777" w:rsidR="007C0361" w:rsidRPr="00B44B19" w:rsidRDefault="007C0361" w:rsidP="007C0361">
            <w:pPr>
              <w:spacing w:after="0" w:line="240" w:lineRule="auto"/>
              <w:jc w:val="both"/>
              <w:rPr>
                <w:rFonts w:cs="Times New Roman"/>
                <w:noProof/>
                <w:sz w:val="16"/>
                <w:szCs w:val="16"/>
              </w:rPr>
            </w:pPr>
          </w:p>
        </w:tc>
        <w:tc>
          <w:tcPr>
            <w:tcW w:w="525" w:type="pct"/>
            <w:vMerge/>
          </w:tcPr>
          <w:p w14:paraId="5B374D7E" w14:textId="77777777" w:rsidR="007C0361" w:rsidRPr="00B44B19" w:rsidRDefault="007C0361" w:rsidP="007C0361">
            <w:pPr>
              <w:spacing w:after="0" w:line="240" w:lineRule="auto"/>
              <w:jc w:val="both"/>
              <w:rPr>
                <w:rFonts w:cs="Times New Roman"/>
                <w:noProof/>
                <w:sz w:val="16"/>
                <w:szCs w:val="16"/>
              </w:rPr>
            </w:pPr>
          </w:p>
        </w:tc>
        <w:tc>
          <w:tcPr>
            <w:tcW w:w="439" w:type="pct"/>
          </w:tcPr>
          <w:p w14:paraId="73A4CBB0"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 xml:space="preserve">SaF </w:t>
            </w:r>
          </w:p>
        </w:tc>
        <w:tc>
          <w:tcPr>
            <w:tcW w:w="513" w:type="pct"/>
          </w:tcPr>
          <w:p w14:paraId="142714E1"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56" w:type="pct"/>
          </w:tcPr>
          <w:p w14:paraId="3A58AB9E" w14:textId="77777777" w:rsidR="007C0361" w:rsidRPr="00B44B19" w:rsidRDefault="007C0361" w:rsidP="007C0361">
            <w:pPr>
              <w:jc w:val="both"/>
              <w:rPr>
                <w:rFonts w:cs="Times New Roman"/>
                <w:color w:val="000000"/>
                <w:sz w:val="16"/>
                <w:szCs w:val="16"/>
              </w:rPr>
            </w:pPr>
            <w:r w:rsidRPr="00B44B19">
              <w:rPr>
                <w:rFonts w:cs="Times New Roman"/>
                <w:color w:val="000000"/>
                <w:sz w:val="16"/>
                <w:szCs w:val="16"/>
              </w:rPr>
              <w:t xml:space="preserve">RCO28 </w:t>
            </w:r>
          </w:p>
        </w:tc>
        <w:tc>
          <w:tcPr>
            <w:tcW w:w="811" w:type="pct"/>
          </w:tcPr>
          <w:p w14:paraId="76BCA8DB" w14:textId="77777777" w:rsidR="007C0361" w:rsidRPr="00B44B19" w:rsidRDefault="002F0349" w:rsidP="007C0361">
            <w:pPr>
              <w:spacing w:after="0" w:line="240" w:lineRule="auto"/>
              <w:rPr>
                <w:rFonts w:cs="Times New Roman"/>
                <w:sz w:val="16"/>
                <w:szCs w:val="16"/>
              </w:rPr>
            </w:pPr>
            <w:r w:rsidRPr="00B44B19">
              <w:rPr>
                <w:rFonts w:cs="Times New Roman"/>
                <w:sz w:val="16"/>
                <w:szCs w:val="16"/>
              </w:rPr>
              <w:t>Teritorijos, kurioms taikomos apsaugos nuo miškų gaisrų priemonės</w:t>
            </w:r>
          </w:p>
        </w:tc>
        <w:tc>
          <w:tcPr>
            <w:tcW w:w="517" w:type="pct"/>
          </w:tcPr>
          <w:p w14:paraId="3EA6DF4E"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h</w:t>
            </w:r>
            <w:r w:rsidR="00EB0007" w:rsidRPr="00B44B19">
              <w:rPr>
                <w:rFonts w:cs="Times New Roman"/>
                <w:noProof/>
                <w:sz w:val="16"/>
                <w:szCs w:val="16"/>
              </w:rPr>
              <w:t>ektarai</w:t>
            </w:r>
          </w:p>
        </w:tc>
        <w:tc>
          <w:tcPr>
            <w:tcW w:w="516" w:type="pct"/>
          </w:tcPr>
          <w:p w14:paraId="22D19605"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0</w:t>
            </w:r>
          </w:p>
        </w:tc>
        <w:tc>
          <w:tcPr>
            <w:tcW w:w="517" w:type="pct"/>
          </w:tcPr>
          <w:p w14:paraId="5D74F9C2"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1 960 784</w:t>
            </w:r>
          </w:p>
        </w:tc>
      </w:tr>
    </w:tbl>
    <w:p w14:paraId="37D41D68" w14:textId="77777777" w:rsidR="00471A41" w:rsidRPr="00B44B19" w:rsidRDefault="00471A41" w:rsidP="00471A41">
      <w:pPr>
        <w:jc w:val="both"/>
        <w:rPr>
          <w:rFonts w:cs="Times New Roman"/>
          <w:b/>
          <w:szCs w:val="24"/>
        </w:rPr>
      </w:pPr>
    </w:p>
    <w:p w14:paraId="5F78F120" w14:textId="77777777" w:rsidR="008112E1" w:rsidRPr="00B44B19" w:rsidRDefault="008112E1" w:rsidP="00471A41">
      <w:pPr>
        <w:spacing w:after="0" w:line="240" w:lineRule="auto"/>
        <w:jc w:val="both"/>
        <w:rPr>
          <w:rFonts w:cs="Times New Roman"/>
          <w:b/>
          <w:sz w:val="22"/>
        </w:rPr>
        <w:sectPr w:rsidR="008112E1" w:rsidRPr="00B44B19" w:rsidSect="00931C78">
          <w:pgSz w:w="11906" w:h="16838"/>
          <w:pgMar w:top="1276" w:right="567" w:bottom="1134" w:left="1701" w:header="567" w:footer="567" w:gutter="0"/>
          <w:cols w:space="1296"/>
          <w:docGrid w:linePitch="360"/>
        </w:sectPr>
      </w:pPr>
    </w:p>
    <w:p w14:paraId="3DC74A5E" w14:textId="77777777" w:rsidR="00471A41" w:rsidRPr="00B44B19" w:rsidRDefault="00471A41" w:rsidP="008112E1">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975"/>
        <w:gridCol w:w="835"/>
        <w:gridCol w:w="975"/>
        <w:gridCol w:w="1255"/>
        <w:gridCol w:w="2652"/>
        <w:gridCol w:w="975"/>
        <w:gridCol w:w="975"/>
        <w:gridCol w:w="1115"/>
        <w:gridCol w:w="975"/>
        <w:gridCol w:w="1255"/>
        <w:gridCol w:w="1935"/>
      </w:tblGrid>
      <w:tr w:rsidR="007C0361" w:rsidRPr="00B44B19" w14:paraId="4E34E2E8" w14:textId="77777777" w:rsidTr="007C0361">
        <w:trPr>
          <w:trHeight w:val="999"/>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7CC7A6"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03FA6E"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AB209B"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0EC190"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24707B"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FBD6E0"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6F586C"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9FE341"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DDFB0B"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F4CB4F"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Siek</w:t>
            </w:r>
            <w:r w:rsidR="00F82AD1" w:rsidRPr="00B44B19">
              <w:rPr>
                <w:rFonts w:cs="Times New Roman"/>
                <w:b/>
                <w:noProof/>
                <w:sz w:val="16"/>
                <w:szCs w:val="16"/>
              </w:rPr>
              <w:t>tina reikšmė</w:t>
            </w:r>
            <w:r w:rsidRPr="00B44B19">
              <w:rPr>
                <w:rFonts w:cs="Times New Roman"/>
                <w:b/>
                <w:noProof/>
                <w:sz w:val="16"/>
                <w:szCs w:val="16"/>
              </w:rPr>
              <w:t xml:space="preserve"> (2029 m.)</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286844"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 xml:space="preserve">Duomenų šaltinis </w:t>
            </w:r>
          </w:p>
        </w:tc>
        <w:tc>
          <w:tcPr>
            <w:tcW w:w="65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34FF5A"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Pastabos</w:t>
            </w:r>
          </w:p>
        </w:tc>
      </w:tr>
      <w:tr w:rsidR="00DC2873" w:rsidRPr="00B44B19" w14:paraId="20D6646F" w14:textId="77777777" w:rsidTr="007C0361">
        <w:trPr>
          <w:trHeight w:val="425"/>
        </w:trPr>
        <w:tc>
          <w:tcPr>
            <w:tcW w:w="317" w:type="pct"/>
            <w:vMerge w:val="restart"/>
            <w:tcBorders>
              <w:top w:val="single" w:sz="12" w:space="0" w:color="auto"/>
            </w:tcBorders>
          </w:tcPr>
          <w:p w14:paraId="5DF1B57F" w14:textId="77777777" w:rsidR="00DC2873" w:rsidRPr="00B44B19" w:rsidRDefault="00DC2873" w:rsidP="007C0361">
            <w:pPr>
              <w:spacing w:after="0" w:line="240" w:lineRule="auto"/>
              <w:jc w:val="both"/>
              <w:rPr>
                <w:rFonts w:cs="Times New Roman"/>
                <w:noProof/>
                <w:sz w:val="16"/>
                <w:szCs w:val="16"/>
              </w:rPr>
            </w:pPr>
            <w:r w:rsidRPr="00B44B19">
              <w:rPr>
                <w:rFonts w:cs="Times New Roman"/>
                <w:noProof/>
                <w:sz w:val="16"/>
                <w:szCs w:val="16"/>
              </w:rPr>
              <w:t>2. Žalesnė Lietuva</w:t>
            </w:r>
          </w:p>
        </w:tc>
        <w:tc>
          <w:tcPr>
            <w:tcW w:w="328" w:type="pct"/>
            <w:vMerge w:val="restart"/>
            <w:tcBorders>
              <w:top w:val="single" w:sz="12" w:space="0" w:color="auto"/>
            </w:tcBorders>
          </w:tcPr>
          <w:p w14:paraId="1CCCB376" w14:textId="77777777" w:rsidR="00DC2873" w:rsidRPr="00B44B19" w:rsidRDefault="00DC2873" w:rsidP="007C0361">
            <w:pPr>
              <w:spacing w:after="0" w:line="240" w:lineRule="auto"/>
              <w:jc w:val="both"/>
              <w:rPr>
                <w:rFonts w:cs="Times New Roman"/>
                <w:noProof/>
                <w:sz w:val="16"/>
                <w:szCs w:val="16"/>
              </w:rPr>
            </w:pPr>
            <w:r w:rsidRPr="00B44B19">
              <w:rPr>
                <w:rFonts w:cs="Times New Roman"/>
                <w:noProof/>
                <w:sz w:val="16"/>
                <w:szCs w:val="16"/>
              </w:rPr>
              <w:t>2.4</w:t>
            </w:r>
          </w:p>
        </w:tc>
        <w:tc>
          <w:tcPr>
            <w:tcW w:w="281" w:type="pct"/>
            <w:tcBorders>
              <w:top w:val="single" w:sz="12" w:space="0" w:color="auto"/>
            </w:tcBorders>
          </w:tcPr>
          <w:p w14:paraId="740D860A" w14:textId="77777777" w:rsidR="00DC2873" w:rsidRPr="00B44B19" w:rsidRDefault="00DC2873" w:rsidP="007C0361">
            <w:pPr>
              <w:spacing w:after="0" w:line="240" w:lineRule="auto"/>
              <w:jc w:val="both"/>
              <w:rPr>
                <w:rFonts w:cs="Times New Roman"/>
                <w:noProof/>
                <w:sz w:val="16"/>
                <w:szCs w:val="16"/>
              </w:rPr>
            </w:pPr>
            <w:r w:rsidRPr="00B44B19">
              <w:rPr>
                <w:rFonts w:cs="Times New Roman"/>
                <w:noProof/>
                <w:sz w:val="16"/>
                <w:szCs w:val="16"/>
                <w:lang w:val="en-GB"/>
              </w:rPr>
              <w:t>ERPF</w:t>
            </w:r>
          </w:p>
        </w:tc>
        <w:tc>
          <w:tcPr>
            <w:tcW w:w="328" w:type="pct"/>
            <w:tcBorders>
              <w:top w:val="single" w:sz="12" w:space="0" w:color="auto"/>
            </w:tcBorders>
          </w:tcPr>
          <w:p w14:paraId="45DC151C" w14:textId="77777777" w:rsidR="00DC2873" w:rsidRPr="00B44B19" w:rsidRDefault="00DC2873" w:rsidP="007C0361">
            <w:pPr>
              <w:spacing w:after="0" w:line="240" w:lineRule="auto"/>
              <w:jc w:val="both"/>
              <w:rPr>
                <w:rFonts w:cs="Times New Roman"/>
                <w:noProof/>
                <w:sz w:val="16"/>
                <w:szCs w:val="16"/>
              </w:rPr>
            </w:pPr>
            <w:r w:rsidRPr="00B44B19">
              <w:rPr>
                <w:rFonts w:cs="Times New Roman"/>
                <w:noProof/>
                <w:sz w:val="16"/>
                <w:szCs w:val="16"/>
              </w:rPr>
              <w:t>VVL</w:t>
            </w:r>
            <w:r w:rsidR="00955F1C" w:rsidRPr="00B44B19">
              <w:rPr>
                <w:rFonts w:cs="Times New Roman"/>
                <w:noProof/>
                <w:sz w:val="16"/>
                <w:szCs w:val="16"/>
              </w:rPr>
              <w:t xml:space="preserve"> regionas</w:t>
            </w:r>
          </w:p>
        </w:tc>
        <w:tc>
          <w:tcPr>
            <w:tcW w:w="422" w:type="pct"/>
            <w:tcBorders>
              <w:top w:val="single" w:sz="12" w:space="0" w:color="auto"/>
            </w:tcBorders>
          </w:tcPr>
          <w:p w14:paraId="2722A72B" w14:textId="77777777" w:rsidR="00DC2873" w:rsidRPr="00B44B19" w:rsidRDefault="00DC2873" w:rsidP="007C0361">
            <w:pPr>
              <w:spacing w:after="0" w:line="240" w:lineRule="auto"/>
              <w:jc w:val="both"/>
              <w:rPr>
                <w:rFonts w:eastAsia="Times New Roman" w:cs="Times New Roman"/>
                <w:iCs/>
                <w:sz w:val="16"/>
                <w:szCs w:val="16"/>
                <w:lang w:eastAsia="lt-LT" w:bidi="ml-IN"/>
              </w:rPr>
            </w:pPr>
            <w:r w:rsidRPr="00B44B19">
              <w:rPr>
                <w:rFonts w:eastAsia="Times New Roman" w:cs="Times New Roman"/>
                <w:iCs/>
                <w:sz w:val="16"/>
                <w:szCs w:val="16"/>
                <w:lang w:eastAsia="lt-LT" w:bidi="ml-IN"/>
              </w:rPr>
              <w:t>RCR35</w:t>
            </w:r>
          </w:p>
        </w:tc>
        <w:tc>
          <w:tcPr>
            <w:tcW w:w="892" w:type="pct"/>
            <w:tcBorders>
              <w:top w:val="single" w:sz="12" w:space="0" w:color="auto"/>
            </w:tcBorders>
          </w:tcPr>
          <w:p w14:paraId="7773E7D9" w14:textId="77777777" w:rsidR="00DC2873" w:rsidRPr="00B44B19" w:rsidRDefault="00DC2873" w:rsidP="007C0361">
            <w:pPr>
              <w:spacing w:after="0" w:line="240" w:lineRule="auto"/>
              <w:rPr>
                <w:rFonts w:cs="Times New Roman"/>
                <w:iCs/>
                <w:sz w:val="16"/>
                <w:szCs w:val="16"/>
              </w:rPr>
            </w:pPr>
            <w:r w:rsidRPr="00B44B19">
              <w:rPr>
                <w:rFonts w:cs="Times New Roman"/>
                <w:iCs/>
                <w:sz w:val="16"/>
                <w:szCs w:val="16"/>
              </w:rPr>
              <w:t xml:space="preserve">Gyventojai, galintys pasinaudoti apsaugos nuo potvynių priemonėmis </w:t>
            </w:r>
          </w:p>
        </w:tc>
        <w:tc>
          <w:tcPr>
            <w:tcW w:w="328" w:type="pct"/>
            <w:tcBorders>
              <w:top w:val="single" w:sz="12" w:space="0" w:color="auto"/>
            </w:tcBorders>
          </w:tcPr>
          <w:p w14:paraId="349257C2" w14:textId="77777777" w:rsidR="00DC2873" w:rsidRPr="00B44B19" w:rsidRDefault="00DC2873" w:rsidP="007C0361">
            <w:pPr>
              <w:spacing w:after="0" w:line="240" w:lineRule="auto"/>
              <w:jc w:val="both"/>
              <w:rPr>
                <w:rFonts w:cs="Times New Roman"/>
                <w:noProof/>
                <w:sz w:val="16"/>
                <w:szCs w:val="16"/>
              </w:rPr>
            </w:pPr>
            <w:r w:rsidRPr="00B44B19">
              <w:rPr>
                <w:rFonts w:cs="Times New Roman"/>
                <w:noProof/>
                <w:sz w:val="16"/>
                <w:szCs w:val="16"/>
              </w:rPr>
              <w:t>Asmenys</w:t>
            </w:r>
          </w:p>
        </w:tc>
        <w:tc>
          <w:tcPr>
            <w:tcW w:w="328" w:type="pct"/>
            <w:tcBorders>
              <w:top w:val="single" w:sz="12" w:space="0" w:color="auto"/>
            </w:tcBorders>
          </w:tcPr>
          <w:p w14:paraId="6D3D84EA" w14:textId="77777777" w:rsidR="00DC2873" w:rsidRPr="00B44B19" w:rsidRDefault="00DC2873" w:rsidP="007C0361">
            <w:pPr>
              <w:spacing w:after="0" w:line="240" w:lineRule="auto"/>
              <w:jc w:val="center"/>
              <w:rPr>
                <w:rFonts w:cs="Times New Roman"/>
                <w:noProof/>
                <w:sz w:val="16"/>
                <w:szCs w:val="16"/>
              </w:rPr>
            </w:pPr>
            <w:r w:rsidRPr="00B44B19">
              <w:rPr>
                <w:rFonts w:cs="Times New Roman"/>
                <w:noProof/>
                <w:sz w:val="16"/>
                <w:szCs w:val="16"/>
              </w:rPr>
              <w:t>0</w:t>
            </w:r>
          </w:p>
        </w:tc>
        <w:tc>
          <w:tcPr>
            <w:tcW w:w="375" w:type="pct"/>
            <w:tcBorders>
              <w:top w:val="single" w:sz="12" w:space="0" w:color="auto"/>
            </w:tcBorders>
          </w:tcPr>
          <w:p w14:paraId="6C21043C" w14:textId="77777777" w:rsidR="00DC2873" w:rsidRPr="00B44B19" w:rsidRDefault="00DC2873" w:rsidP="007C0361">
            <w:pPr>
              <w:spacing w:after="0" w:line="240" w:lineRule="auto"/>
              <w:jc w:val="center"/>
              <w:rPr>
                <w:rFonts w:cs="Times New Roman"/>
                <w:noProof/>
                <w:sz w:val="16"/>
                <w:szCs w:val="16"/>
                <w:lang w:val="en-GB"/>
              </w:rPr>
            </w:pPr>
            <w:r w:rsidRPr="00B44B19">
              <w:rPr>
                <w:rFonts w:cs="Times New Roman"/>
                <w:noProof/>
                <w:sz w:val="16"/>
                <w:szCs w:val="16"/>
              </w:rPr>
              <w:t>2021</w:t>
            </w:r>
          </w:p>
        </w:tc>
        <w:tc>
          <w:tcPr>
            <w:tcW w:w="328" w:type="pct"/>
            <w:tcBorders>
              <w:top w:val="single" w:sz="12" w:space="0" w:color="auto"/>
            </w:tcBorders>
          </w:tcPr>
          <w:p w14:paraId="49AC5C1F" w14:textId="77777777" w:rsidR="00DC2873" w:rsidRPr="00B44B19" w:rsidRDefault="00DC2873" w:rsidP="003A45B2">
            <w:pPr>
              <w:spacing w:after="0" w:line="240" w:lineRule="auto"/>
              <w:jc w:val="center"/>
              <w:rPr>
                <w:rFonts w:cs="Times New Roman"/>
                <w:noProof/>
                <w:sz w:val="16"/>
                <w:szCs w:val="16"/>
              </w:rPr>
            </w:pPr>
            <w:r w:rsidRPr="00B44B19">
              <w:rPr>
                <w:rFonts w:cs="Times New Roman"/>
                <w:noProof/>
                <w:sz w:val="16"/>
                <w:szCs w:val="16"/>
              </w:rPr>
              <w:t>2 059</w:t>
            </w:r>
          </w:p>
        </w:tc>
        <w:tc>
          <w:tcPr>
            <w:tcW w:w="422" w:type="pct"/>
            <w:tcBorders>
              <w:top w:val="single" w:sz="12" w:space="0" w:color="auto"/>
            </w:tcBorders>
          </w:tcPr>
          <w:p w14:paraId="7456E182" w14:textId="77777777" w:rsidR="00DC2873" w:rsidRPr="00B44B19" w:rsidRDefault="00DC2873" w:rsidP="007C0361">
            <w:pPr>
              <w:spacing w:after="0" w:line="240" w:lineRule="auto"/>
              <w:rPr>
                <w:rFonts w:cs="Times New Roman"/>
                <w:noProof/>
                <w:sz w:val="16"/>
                <w:szCs w:val="16"/>
              </w:rPr>
            </w:pPr>
            <w:r w:rsidRPr="00B44B19">
              <w:rPr>
                <w:rFonts w:cs="Times New Roman"/>
                <w:noProof/>
                <w:sz w:val="16"/>
                <w:szCs w:val="16"/>
              </w:rPr>
              <w:t>Projektų duomenys</w:t>
            </w:r>
          </w:p>
        </w:tc>
        <w:tc>
          <w:tcPr>
            <w:tcW w:w="651" w:type="pct"/>
            <w:tcBorders>
              <w:top w:val="single" w:sz="12" w:space="0" w:color="auto"/>
            </w:tcBorders>
          </w:tcPr>
          <w:p w14:paraId="441626AC" w14:textId="77777777" w:rsidR="00DC2873" w:rsidRPr="00B44B19" w:rsidRDefault="00DC2873" w:rsidP="007C0361">
            <w:pPr>
              <w:spacing w:after="0" w:line="240" w:lineRule="auto"/>
              <w:jc w:val="both"/>
              <w:rPr>
                <w:rFonts w:cs="Times New Roman"/>
                <w:noProof/>
                <w:sz w:val="16"/>
                <w:szCs w:val="16"/>
              </w:rPr>
            </w:pPr>
            <w:r w:rsidRPr="00B44B19">
              <w:rPr>
                <w:rFonts w:cs="Times New Roman"/>
                <w:noProof/>
                <w:sz w:val="16"/>
                <w:szCs w:val="16"/>
              </w:rPr>
              <w:t>-</w:t>
            </w:r>
          </w:p>
        </w:tc>
      </w:tr>
      <w:tr w:rsidR="00F64D52" w:rsidRPr="00B44B19" w14:paraId="305C5622" w14:textId="77777777" w:rsidTr="007C0361">
        <w:trPr>
          <w:trHeight w:val="538"/>
        </w:trPr>
        <w:tc>
          <w:tcPr>
            <w:tcW w:w="317" w:type="pct"/>
            <w:vMerge/>
          </w:tcPr>
          <w:p w14:paraId="5BD7C8E5" w14:textId="77777777" w:rsidR="00F64D52" w:rsidRPr="00B44B19" w:rsidRDefault="00F64D52" w:rsidP="007C0361">
            <w:pPr>
              <w:spacing w:after="0" w:line="240" w:lineRule="auto"/>
              <w:jc w:val="both"/>
              <w:rPr>
                <w:rFonts w:cs="Times New Roman"/>
                <w:noProof/>
                <w:sz w:val="16"/>
                <w:szCs w:val="16"/>
              </w:rPr>
            </w:pPr>
          </w:p>
        </w:tc>
        <w:tc>
          <w:tcPr>
            <w:tcW w:w="328" w:type="pct"/>
            <w:vMerge/>
          </w:tcPr>
          <w:p w14:paraId="0042D97A" w14:textId="77777777" w:rsidR="00F64D52" w:rsidRPr="00B44B19" w:rsidRDefault="00F64D52" w:rsidP="007C0361">
            <w:pPr>
              <w:spacing w:after="0" w:line="240" w:lineRule="auto"/>
              <w:jc w:val="both"/>
              <w:rPr>
                <w:rFonts w:cs="Times New Roman"/>
                <w:noProof/>
                <w:sz w:val="16"/>
                <w:szCs w:val="16"/>
              </w:rPr>
            </w:pPr>
          </w:p>
        </w:tc>
        <w:tc>
          <w:tcPr>
            <w:tcW w:w="281" w:type="pct"/>
          </w:tcPr>
          <w:p w14:paraId="1F9DE075" w14:textId="77777777" w:rsidR="00F64D52" w:rsidRPr="00B44B19" w:rsidRDefault="00F64D52" w:rsidP="007C0361">
            <w:pPr>
              <w:spacing w:after="0" w:line="240" w:lineRule="auto"/>
              <w:jc w:val="both"/>
              <w:rPr>
                <w:rFonts w:cs="Times New Roman"/>
                <w:noProof/>
                <w:sz w:val="16"/>
                <w:szCs w:val="16"/>
              </w:rPr>
            </w:pPr>
            <w:r w:rsidRPr="00B44B19">
              <w:rPr>
                <w:rFonts w:cs="Times New Roman"/>
                <w:noProof/>
                <w:sz w:val="16"/>
                <w:szCs w:val="16"/>
                <w:lang w:val="en-GB"/>
              </w:rPr>
              <w:t>ERPF</w:t>
            </w:r>
          </w:p>
        </w:tc>
        <w:tc>
          <w:tcPr>
            <w:tcW w:w="328" w:type="pct"/>
          </w:tcPr>
          <w:p w14:paraId="06B8B8C2" w14:textId="77777777" w:rsidR="00F64D52" w:rsidRPr="00B44B19" w:rsidRDefault="00F64D52" w:rsidP="007C0361">
            <w:pPr>
              <w:spacing w:after="0" w:line="240" w:lineRule="auto"/>
              <w:jc w:val="both"/>
              <w:rPr>
                <w:rFonts w:cs="Times New Roman"/>
                <w:noProof/>
                <w:sz w:val="16"/>
                <w:szCs w:val="16"/>
              </w:rPr>
            </w:pPr>
            <w:r w:rsidRPr="00B44B19">
              <w:rPr>
                <w:rFonts w:cs="Times New Roman"/>
                <w:noProof/>
                <w:sz w:val="16"/>
                <w:szCs w:val="16"/>
              </w:rPr>
              <w:t>VVL</w:t>
            </w:r>
            <w:r w:rsidR="00955F1C" w:rsidRPr="00B44B19">
              <w:rPr>
                <w:rFonts w:cs="Times New Roman"/>
                <w:noProof/>
                <w:sz w:val="16"/>
                <w:szCs w:val="16"/>
              </w:rPr>
              <w:t xml:space="preserve"> regionas</w:t>
            </w:r>
          </w:p>
        </w:tc>
        <w:tc>
          <w:tcPr>
            <w:tcW w:w="422" w:type="pct"/>
          </w:tcPr>
          <w:p w14:paraId="77949A94" w14:textId="77777777" w:rsidR="00F64D52" w:rsidRPr="00B44B19" w:rsidRDefault="00F64D52" w:rsidP="007C0361">
            <w:pPr>
              <w:spacing w:after="0" w:line="240" w:lineRule="auto"/>
              <w:jc w:val="both"/>
              <w:rPr>
                <w:rFonts w:cs="Times New Roman"/>
                <w:sz w:val="16"/>
                <w:szCs w:val="16"/>
                <w:lang w:val="en-GB"/>
              </w:rPr>
            </w:pPr>
            <w:r w:rsidRPr="00B44B19">
              <w:rPr>
                <w:rFonts w:cs="Times New Roman"/>
                <w:sz w:val="16"/>
                <w:szCs w:val="16"/>
              </w:rPr>
              <w:t>RCR37</w:t>
            </w:r>
          </w:p>
        </w:tc>
        <w:tc>
          <w:tcPr>
            <w:tcW w:w="892" w:type="pct"/>
          </w:tcPr>
          <w:p w14:paraId="1AFB1122" w14:textId="77777777" w:rsidR="00F64D52" w:rsidRPr="00B44B19" w:rsidRDefault="00F64D52" w:rsidP="007C0361">
            <w:pPr>
              <w:spacing w:after="0" w:line="240" w:lineRule="auto"/>
              <w:rPr>
                <w:rFonts w:cs="Times New Roman"/>
                <w:sz w:val="16"/>
                <w:szCs w:val="16"/>
              </w:rPr>
            </w:pPr>
            <w:r w:rsidRPr="00B44B19">
              <w:rPr>
                <w:rFonts w:cs="Times New Roman"/>
                <w:sz w:val="16"/>
                <w:szCs w:val="16"/>
              </w:rPr>
              <w:t xml:space="preserve">Gyventojai, galintys pasinaudoti apsaugos nuo su klimatu susijusių gaivalinių nelaimių (išskyrus potvynius ar miškų gaisrus) priemonėmis </w:t>
            </w:r>
          </w:p>
        </w:tc>
        <w:tc>
          <w:tcPr>
            <w:tcW w:w="328" w:type="pct"/>
          </w:tcPr>
          <w:p w14:paraId="2CCD1873" w14:textId="77777777" w:rsidR="00F64D52" w:rsidRPr="00B44B19" w:rsidRDefault="00F64D52" w:rsidP="007C0361">
            <w:pPr>
              <w:spacing w:after="0" w:line="240" w:lineRule="auto"/>
              <w:jc w:val="both"/>
              <w:rPr>
                <w:rFonts w:cs="Times New Roman"/>
                <w:noProof/>
                <w:sz w:val="16"/>
                <w:szCs w:val="16"/>
              </w:rPr>
            </w:pPr>
            <w:r w:rsidRPr="00B44B19">
              <w:rPr>
                <w:rFonts w:cs="Times New Roman"/>
                <w:noProof/>
                <w:sz w:val="16"/>
                <w:szCs w:val="16"/>
              </w:rPr>
              <w:t>Asmenys</w:t>
            </w:r>
          </w:p>
        </w:tc>
        <w:tc>
          <w:tcPr>
            <w:tcW w:w="328" w:type="pct"/>
          </w:tcPr>
          <w:p w14:paraId="532FB81C" w14:textId="77777777" w:rsidR="00F64D52" w:rsidRPr="00B44B19" w:rsidRDefault="00F64D52" w:rsidP="007C0361">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8B6FD2F" w14:textId="77777777" w:rsidR="00F64D52" w:rsidRPr="00B44B19" w:rsidRDefault="00F64D52" w:rsidP="007C0361">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4F1BED4F" w14:textId="77777777" w:rsidR="00F64D52" w:rsidRPr="00B44B19" w:rsidRDefault="00F64D52" w:rsidP="007C0361">
            <w:pPr>
              <w:spacing w:after="0" w:line="240" w:lineRule="auto"/>
              <w:jc w:val="center"/>
              <w:rPr>
                <w:rFonts w:cs="Times New Roman"/>
                <w:noProof/>
                <w:sz w:val="16"/>
                <w:szCs w:val="16"/>
              </w:rPr>
            </w:pPr>
            <w:r w:rsidRPr="00B44B19">
              <w:rPr>
                <w:rFonts w:cs="Times New Roman"/>
                <w:noProof/>
                <w:sz w:val="16"/>
                <w:szCs w:val="16"/>
              </w:rPr>
              <w:t>16 046</w:t>
            </w:r>
          </w:p>
        </w:tc>
        <w:tc>
          <w:tcPr>
            <w:tcW w:w="422" w:type="pct"/>
          </w:tcPr>
          <w:p w14:paraId="7D6BC57D" w14:textId="77777777" w:rsidR="00F64D52" w:rsidRPr="00B44B19" w:rsidRDefault="00F64D52" w:rsidP="007C0361">
            <w:pPr>
              <w:spacing w:after="0" w:line="240" w:lineRule="auto"/>
              <w:rPr>
                <w:rFonts w:cs="Times New Roman"/>
                <w:noProof/>
                <w:sz w:val="16"/>
                <w:szCs w:val="16"/>
              </w:rPr>
            </w:pPr>
            <w:r w:rsidRPr="00B44B19">
              <w:rPr>
                <w:rFonts w:cs="Times New Roman"/>
                <w:noProof/>
                <w:sz w:val="16"/>
                <w:szCs w:val="16"/>
              </w:rPr>
              <w:t>Projektų duomenys</w:t>
            </w:r>
          </w:p>
        </w:tc>
        <w:tc>
          <w:tcPr>
            <w:tcW w:w="651" w:type="pct"/>
          </w:tcPr>
          <w:p w14:paraId="2A844BCA" w14:textId="77777777" w:rsidR="00F64D52" w:rsidRPr="00B44B19" w:rsidRDefault="00F64D52" w:rsidP="007C0361">
            <w:pPr>
              <w:spacing w:after="0" w:line="240" w:lineRule="auto"/>
              <w:jc w:val="both"/>
              <w:rPr>
                <w:rFonts w:cs="Times New Roman"/>
                <w:noProof/>
                <w:sz w:val="16"/>
                <w:szCs w:val="16"/>
              </w:rPr>
            </w:pPr>
            <w:r w:rsidRPr="00B44B19">
              <w:rPr>
                <w:rFonts w:cs="Times New Roman"/>
                <w:noProof/>
                <w:sz w:val="16"/>
                <w:szCs w:val="16"/>
              </w:rPr>
              <w:t>-</w:t>
            </w:r>
          </w:p>
        </w:tc>
      </w:tr>
      <w:tr w:rsidR="007C0361" w:rsidRPr="00B44B19" w14:paraId="14B7E93E" w14:textId="77777777" w:rsidTr="007C0361">
        <w:trPr>
          <w:trHeight w:val="585"/>
        </w:trPr>
        <w:tc>
          <w:tcPr>
            <w:tcW w:w="317" w:type="pct"/>
            <w:vMerge/>
          </w:tcPr>
          <w:p w14:paraId="61611058" w14:textId="77777777" w:rsidR="007C0361" w:rsidRPr="00B44B19" w:rsidRDefault="007C0361" w:rsidP="007C0361">
            <w:pPr>
              <w:spacing w:after="0" w:line="240" w:lineRule="auto"/>
              <w:jc w:val="both"/>
              <w:rPr>
                <w:rFonts w:cs="Times New Roman"/>
                <w:noProof/>
                <w:sz w:val="16"/>
                <w:szCs w:val="16"/>
              </w:rPr>
            </w:pPr>
          </w:p>
        </w:tc>
        <w:tc>
          <w:tcPr>
            <w:tcW w:w="328" w:type="pct"/>
            <w:vMerge/>
          </w:tcPr>
          <w:p w14:paraId="63BCF06F" w14:textId="77777777" w:rsidR="007C0361" w:rsidRPr="00B44B19" w:rsidRDefault="007C0361" w:rsidP="007C0361">
            <w:pPr>
              <w:spacing w:after="0" w:line="240" w:lineRule="auto"/>
              <w:jc w:val="both"/>
              <w:rPr>
                <w:rFonts w:cs="Times New Roman"/>
                <w:noProof/>
                <w:sz w:val="16"/>
                <w:szCs w:val="16"/>
              </w:rPr>
            </w:pPr>
          </w:p>
        </w:tc>
        <w:tc>
          <w:tcPr>
            <w:tcW w:w="281" w:type="pct"/>
          </w:tcPr>
          <w:p w14:paraId="6260C4D0" w14:textId="77777777" w:rsidR="007C0361" w:rsidRPr="00B44B19" w:rsidRDefault="007C0361" w:rsidP="007C0361">
            <w:pPr>
              <w:spacing w:after="0" w:line="240" w:lineRule="auto"/>
              <w:jc w:val="both"/>
              <w:rPr>
                <w:rFonts w:cs="Times New Roman"/>
                <w:noProof/>
                <w:sz w:val="16"/>
                <w:szCs w:val="16"/>
                <w:lang w:val="en-GB"/>
              </w:rPr>
            </w:pPr>
            <w:r w:rsidRPr="00B44B19">
              <w:rPr>
                <w:rFonts w:cs="Times New Roman"/>
                <w:noProof/>
                <w:sz w:val="16"/>
                <w:szCs w:val="16"/>
                <w:lang w:val="en-GB"/>
              </w:rPr>
              <w:t>SaF</w:t>
            </w:r>
          </w:p>
        </w:tc>
        <w:tc>
          <w:tcPr>
            <w:tcW w:w="328" w:type="pct"/>
          </w:tcPr>
          <w:p w14:paraId="356B4E62"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Pr>
          <w:p w14:paraId="70AAD1E0" w14:textId="77777777" w:rsidR="007C0361" w:rsidRPr="00B44B19" w:rsidRDefault="007C0361" w:rsidP="007C0361">
            <w:pPr>
              <w:spacing w:after="0" w:line="240" w:lineRule="auto"/>
              <w:jc w:val="both"/>
              <w:rPr>
                <w:rFonts w:cs="Times New Roman"/>
                <w:sz w:val="16"/>
                <w:szCs w:val="16"/>
              </w:rPr>
            </w:pPr>
            <w:r w:rsidRPr="00B44B19">
              <w:rPr>
                <w:rFonts w:cs="Times New Roman"/>
                <w:sz w:val="16"/>
                <w:szCs w:val="16"/>
              </w:rPr>
              <w:t>RCR36</w:t>
            </w:r>
          </w:p>
        </w:tc>
        <w:tc>
          <w:tcPr>
            <w:tcW w:w="892" w:type="pct"/>
          </w:tcPr>
          <w:p w14:paraId="64427B21" w14:textId="77777777" w:rsidR="007C0361" w:rsidRPr="00B44B19" w:rsidRDefault="007C0361" w:rsidP="006C471F">
            <w:pPr>
              <w:rPr>
                <w:rFonts w:cs="Times New Roman"/>
                <w:sz w:val="16"/>
                <w:szCs w:val="16"/>
              </w:rPr>
            </w:pPr>
            <w:r w:rsidRPr="00B44B19">
              <w:rPr>
                <w:rFonts w:cs="Times New Roman"/>
                <w:sz w:val="16"/>
                <w:szCs w:val="16"/>
              </w:rPr>
              <w:t>Gyventojai, galintys pasinaudoti apsaugos nuo miškų gaisrų</w:t>
            </w:r>
            <w:r w:rsidR="00F317B4" w:rsidRPr="00B44B19">
              <w:rPr>
                <w:rFonts w:cs="Times New Roman"/>
                <w:sz w:val="16"/>
                <w:szCs w:val="16"/>
              </w:rPr>
              <w:t xml:space="preserve"> priemonėmis</w:t>
            </w:r>
          </w:p>
        </w:tc>
        <w:tc>
          <w:tcPr>
            <w:tcW w:w="328" w:type="pct"/>
          </w:tcPr>
          <w:p w14:paraId="657A8B76"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Asmenys</w:t>
            </w:r>
          </w:p>
        </w:tc>
        <w:tc>
          <w:tcPr>
            <w:tcW w:w="328" w:type="pct"/>
          </w:tcPr>
          <w:p w14:paraId="29450BFB"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8E9550E"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0A70CEC2"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294 118</w:t>
            </w:r>
          </w:p>
        </w:tc>
        <w:tc>
          <w:tcPr>
            <w:tcW w:w="422" w:type="pct"/>
          </w:tcPr>
          <w:p w14:paraId="24B8A5B2" w14:textId="77777777" w:rsidR="007C0361" w:rsidRPr="00B44B19" w:rsidRDefault="0028495E" w:rsidP="007C0361">
            <w:pPr>
              <w:spacing w:after="0" w:line="240" w:lineRule="auto"/>
              <w:rPr>
                <w:rFonts w:cs="Times New Roman"/>
                <w:noProof/>
                <w:sz w:val="16"/>
                <w:szCs w:val="16"/>
              </w:rPr>
            </w:pPr>
            <w:r w:rsidRPr="00B44B19">
              <w:rPr>
                <w:rFonts w:cs="Times New Roman"/>
                <w:noProof/>
                <w:sz w:val="16"/>
                <w:szCs w:val="16"/>
              </w:rPr>
              <w:t>Projektų duomenys</w:t>
            </w:r>
          </w:p>
        </w:tc>
        <w:tc>
          <w:tcPr>
            <w:tcW w:w="651" w:type="pct"/>
          </w:tcPr>
          <w:p w14:paraId="5AB96080"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w:t>
            </w:r>
          </w:p>
        </w:tc>
      </w:tr>
      <w:tr w:rsidR="002C65EA" w:rsidRPr="00B44B19" w14:paraId="191A7443" w14:textId="77777777" w:rsidTr="007C0361">
        <w:trPr>
          <w:trHeight w:val="691"/>
        </w:trPr>
        <w:tc>
          <w:tcPr>
            <w:tcW w:w="317" w:type="pct"/>
            <w:vMerge/>
          </w:tcPr>
          <w:p w14:paraId="6E7BA1B9" w14:textId="77777777" w:rsidR="002C65EA" w:rsidRPr="00B44B19" w:rsidRDefault="002C65EA" w:rsidP="007C0361">
            <w:pPr>
              <w:spacing w:after="0" w:line="240" w:lineRule="auto"/>
              <w:jc w:val="both"/>
              <w:rPr>
                <w:rFonts w:cs="Times New Roman"/>
                <w:noProof/>
                <w:sz w:val="16"/>
                <w:szCs w:val="16"/>
              </w:rPr>
            </w:pPr>
          </w:p>
        </w:tc>
        <w:tc>
          <w:tcPr>
            <w:tcW w:w="328" w:type="pct"/>
            <w:vMerge/>
          </w:tcPr>
          <w:p w14:paraId="17F82AE0" w14:textId="77777777" w:rsidR="002C65EA" w:rsidRPr="00B44B19" w:rsidRDefault="002C65EA" w:rsidP="007C0361">
            <w:pPr>
              <w:spacing w:after="0" w:line="240" w:lineRule="auto"/>
              <w:jc w:val="both"/>
              <w:rPr>
                <w:rFonts w:cs="Times New Roman"/>
                <w:noProof/>
                <w:sz w:val="16"/>
                <w:szCs w:val="16"/>
              </w:rPr>
            </w:pPr>
          </w:p>
        </w:tc>
        <w:tc>
          <w:tcPr>
            <w:tcW w:w="281" w:type="pct"/>
          </w:tcPr>
          <w:p w14:paraId="26917FCF" w14:textId="77777777" w:rsidR="002C65EA" w:rsidRPr="00B44B19" w:rsidRDefault="002C65EA" w:rsidP="007C0361">
            <w:pPr>
              <w:spacing w:after="0" w:line="240" w:lineRule="auto"/>
              <w:jc w:val="both"/>
              <w:rPr>
                <w:rFonts w:cs="Times New Roman"/>
                <w:noProof/>
                <w:sz w:val="16"/>
                <w:szCs w:val="16"/>
                <w:lang w:val="en-GB"/>
              </w:rPr>
            </w:pPr>
            <w:r w:rsidRPr="00B44B19">
              <w:rPr>
                <w:rFonts w:cs="Times New Roman"/>
                <w:noProof/>
                <w:sz w:val="16"/>
                <w:szCs w:val="16"/>
                <w:lang w:val="en-GB"/>
              </w:rPr>
              <w:t>ERPF</w:t>
            </w:r>
          </w:p>
        </w:tc>
        <w:tc>
          <w:tcPr>
            <w:tcW w:w="328" w:type="pct"/>
          </w:tcPr>
          <w:p w14:paraId="36E0F706" w14:textId="77777777" w:rsidR="002C65EA" w:rsidRPr="00B44B19" w:rsidRDefault="002C65EA" w:rsidP="007C0361">
            <w:pPr>
              <w:spacing w:after="0" w:line="240" w:lineRule="auto"/>
              <w:jc w:val="both"/>
              <w:rPr>
                <w:rFonts w:cs="Times New Roman"/>
                <w:noProof/>
                <w:sz w:val="16"/>
                <w:szCs w:val="16"/>
              </w:rPr>
            </w:pPr>
            <w:r w:rsidRPr="00B44B19">
              <w:rPr>
                <w:rFonts w:cs="Times New Roman"/>
                <w:noProof/>
                <w:sz w:val="16"/>
                <w:szCs w:val="16"/>
              </w:rPr>
              <w:t>VVL</w:t>
            </w:r>
            <w:r w:rsidR="00F31DF6" w:rsidRPr="00B44B19">
              <w:rPr>
                <w:rFonts w:cs="Times New Roman"/>
                <w:noProof/>
                <w:sz w:val="16"/>
                <w:szCs w:val="16"/>
              </w:rPr>
              <w:t xml:space="preserve"> regionas</w:t>
            </w:r>
          </w:p>
        </w:tc>
        <w:tc>
          <w:tcPr>
            <w:tcW w:w="422" w:type="pct"/>
          </w:tcPr>
          <w:p w14:paraId="6F717E50" w14:textId="77777777" w:rsidR="002C65EA" w:rsidRPr="00B44B19" w:rsidRDefault="002C65EA" w:rsidP="007167BE">
            <w:pPr>
              <w:spacing w:after="0" w:line="240" w:lineRule="auto"/>
              <w:jc w:val="both"/>
              <w:rPr>
                <w:rFonts w:cs="Times New Roman"/>
                <w:sz w:val="16"/>
                <w:szCs w:val="16"/>
              </w:rPr>
            </w:pPr>
            <w:r w:rsidRPr="00B44B19">
              <w:rPr>
                <w:rFonts w:cs="Times New Roman"/>
                <w:sz w:val="16"/>
                <w:szCs w:val="16"/>
              </w:rPr>
              <w:t>RCR96</w:t>
            </w:r>
          </w:p>
        </w:tc>
        <w:tc>
          <w:tcPr>
            <w:tcW w:w="892" w:type="pct"/>
          </w:tcPr>
          <w:p w14:paraId="7007BACC" w14:textId="77777777" w:rsidR="002C65EA" w:rsidRPr="00B44B19" w:rsidRDefault="002C65EA" w:rsidP="007C0361">
            <w:pPr>
              <w:spacing w:after="0" w:line="240" w:lineRule="auto"/>
              <w:rPr>
                <w:rFonts w:cs="Times New Roman"/>
                <w:sz w:val="16"/>
                <w:szCs w:val="16"/>
              </w:rPr>
            </w:pPr>
            <w:r w:rsidRPr="00B44B19">
              <w:rPr>
                <w:rFonts w:cs="Times New Roman"/>
                <w:sz w:val="16"/>
                <w:szCs w:val="16"/>
              </w:rPr>
              <w:t>Gyventojai, galintys pasinaudoti apsaugos nuo su klimatu nesusijusios gamtinio pavojaus rizikos ir nuo su žmogaus veikla susijusios rizikos priemonėmis</w:t>
            </w:r>
          </w:p>
        </w:tc>
        <w:tc>
          <w:tcPr>
            <w:tcW w:w="328" w:type="pct"/>
          </w:tcPr>
          <w:p w14:paraId="73960823" w14:textId="77777777" w:rsidR="002C65EA" w:rsidRPr="00B44B19" w:rsidRDefault="002C65EA" w:rsidP="007C0361">
            <w:pPr>
              <w:spacing w:after="0" w:line="240" w:lineRule="auto"/>
              <w:jc w:val="both"/>
              <w:rPr>
                <w:rFonts w:cs="Times New Roman"/>
                <w:noProof/>
                <w:sz w:val="16"/>
                <w:szCs w:val="16"/>
              </w:rPr>
            </w:pPr>
            <w:r w:rsidRPr="00B44B19">
              <w:rPr>
                <w:rFonts w:cs="Times New Roman"/>
                <w:noProof/>
                <w:sz w:val="16"/>
                <w:szCs w:val="16"/>
              </w:rPr>
              <w:t>Asmenys</w:t>
            </w:r>
          </w:p>
        </w:tc>
        <w:tc>
          <w:tcPr>
            <w:tcW w:w="328" w:type="pct"/>
          </w:tcPr>
          <w:p w14:paraId="5DC3136F" w14:textId="77777777" w:rsidR="002C65EA" w:rsidRPr="00B44B19" w:rsidRDefault="002C65EA" w:rsidP="007C0361">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1FCD78BF" w14:textId="77777777" w:rsidR="002C65EA" w:rsidRPr="00B44B19" w:rsidRDefault="002C65EA" w:rsidP="007C0361">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289DEEB0" w14:textId="77777777" w:rsidR="002C65EA" w:rsidRPr="00B44B19" w:rsidRDefault="002C65EA" w:rsidP="007C0361">
            <w:pPr>
              <w:spacing w:after="0" w:line="240" w:lineRule="auto"/>
              <w:jc w:val="center"/>
              <w:rPr>
                <w:rFonts w:cs="Times New Roman"/>
                <w:noProof/>
                <w:sz w:val="16"/>
                <w:szCs w:val="16"/>
              </w:rPr>
            </w:pPr>
            <w:r w:rsidRPr="00B44B19">
              <w:rPr>
                <w:rFonts w:cs="Times New Roman"/>
                <w:noProof/>
                <w:sz w:val="16"/>
                <w:szCs w:val="16"/>
              </w:rPr>
              <w:t>228 872</w:t>
            </w:r>
          </w:p>
        </w:tc>
        <w:tc>
          <w:tcPr>
            <w:tcW w:w="422" w:type="pct"/>
          </w:tcPr>
          <w:p w14:paraId="4DDA8B5C" w14:textId="77777777" w:rsidR="002C65EA" w:rsidRPr="00B44B19" w:rsidRDefault="002C65EA" w:rsidP="007C0361">
            <w:pPr>
              <w:spacing w:after="0" w:line="240" w:lineRule="auto"/>
              <w:rPr>
                <w:rFonts w:cs="Times New Roman"/>
                <w:noProof/>
                <w:sz w:val="16"/>
                <w:szCs w:val="16"/>
              </w:rPr>
            </w:pPr>
            <w:r w:rsidRPr="00B44B19">
              <w:rPr>
                <w:rFonts w:cs="Times New Roman"/>
                <w:noProof/>
                <w:sz w:val="16"/>
                <w:szCs w:val="16"/>
              </w:rPr>
              <w:t>Projektų duomenys</w:t>
            </w:r>
          </w:p>
        </w:tc>
        <w:tc>
          <w:tcPr>
            <w:tcW w:w="651" w:type="pct"/>
          </w:tcPr>
          <w:p w14:paraId="542135D1" w14:textId="77777777" w:rsidR="002C65EA" w:rsidRPr="00B44B19" w:rsidRDefault="002C65EA" w:rsidP="0015015F">
            <w:pPr>
              <w:spacing w:after="0" w:line="240" w:lineRule="auto"/>
              <w:rPr>
                <w:rFonts w:cs="Times New Roman"/>
                <w:noProof/>
                <w:sz w:val="16"/>
                <w:szCs w:val="16"/>
              </w:rPr>
            </w:pPr>
          </w:p>
        </w:tc>
      </w:tr>
      <w:tr w:rsidR="007C0361" w:rsidRPr="00B44B19" w14:paraId="2A5B9946" w14:textId="77777777" w:rsidTr="007C0361">
        <w:trPr>
          <w:trHeight w:val="559"/>
        </w:trPr>
        <w:tc>
          <w:tcPr>
            <w:tcW w:w="317" w:type="pct"/>
            <w:vMerge/>
          </w:tcPr>
          <w:p w14:paraId="35FC9088" w14:textId="77777777" w:rsidR="007C0361" w:rsidRPr="00B44B19" w:rsidRDefault="007C0361" w:rsidP="007C0361">
            <w:pPr>
              <w:spacing w:after="0" w:line="240" w:lineRule="auto"/>
              <w:jc w:val="both"/>
              <w:rPr>
                <w:rFonts w:cs="Times New Roman"/>
                <w:noProof/>
                <w:sz w:val="16"/>
                <w:szCs w:val="16"/>
              </w:rPr>
            </w:pPr>
          </w:p>
        </w:tc>
        <w:tc>
          <w:tcPr>
            <w:tcW w:w="328" w:type="pct"/>
            <w:vMerge/>
          </w:tcPr>
          <w:p w14:paraId="354184CD" w14:textId="77777777" w:rsidR="007C0361" w:rsidRPr="00B44B19" w:rsidRDefault="007C0361" w:rsidP="007C0361">
            <w:pPr>
              <w:spacing w:after="0" w:line="240" w:lineRule="auto"/>
              <w:jc w:val="both"/>
              <w:rPr>
                <w:rFonts w:cs="Times New Roman"/>
                <w:noProof/>
                <w:sz w:val="16"/>
                <w:szCs w:val="16"/>
              </w:rPr>
            </w:pPr>
          </w:p>
        </w:tc>
        <w:tc>
          <w:tcPr>
            <w:tcW w:w="281" w:type="pct"/>
          </w:tcPr>
          <w:p w14:paraId="2D908CAF" w14:textId="77777777" w:rsidR="007C0361" w:rsidRPr="00B44B19" w:rsidRDefault="007C0361" w:rsidP="007C0361">
            <w:pPr>
              <w:spacing w:after="0" w:line="240" w:lineRule="auto"/>
              <w:jc w:val="both"/>
              <w:rPr>
                <w:rFonts w:cs="Times New Roman"/>
                <w:noProof/>
                <w:sz w:val="16"/>
                <w:szCs w:val="16"/>
                <w:lang w:val="en-GB"/>
              </w:rPr>
            </w:pPr>
            <w:r w:rsidRPr="00B44B19">
              <w:rPr>
                <w:rFonts w:cs="Times New Roman"/>
                <w:noProof/>
                <w:sz w:val="16"/>
                <w:szCs w:val="16"/>
                <w:lang w:val="en-GB"/>
              </w:rPr>
              <w:t>SaF</w:t>
            </w:r>
          </w:p>
        </w:tc>
        <w:tc>
          <w:tcPr>
            <w:tcW w:w="328" w:type="pct"/>
          </w:tcPr>
          <w:p w14:paraId="1D71D1BE"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Pr>
          <w:p w14:paraId="32883A65" w14:textId="77777777" w:rsidR="007C0361" w:rsidRPr="00B44B19" w:rsidRDefault="007C0361" w:rsidP="007167BE">
            <w:pPr>
              <w:spacing w:after="0" w:line="240" w:lineRule="auto"/>
              <w:jc w:val="both"/>
              <w:rPr>
                <w:rFonts w:cs="Times New Roman"/>
                <w:sz w:val="16"/>
                <w:szCs w:val="16"/>
              </w:rPr>
            </w:pPr>
            <w:r w:rsidRPr="00B44B19">
              <w:rPr>
                <w:rFonts w:cs="Times New Roman"/>
                <w:sz w:val="16"/>
                <w:szCs w:val="16"/>
              </w:rPr>
              <w:t>Specialusis</w:t>
            </w:r>
          </w:p>
        </w:tc>
        <w:tc>
          <w:tcPr>
            <w:tcW w:w="892" w:type="pct"/>
          </w:tcPr>
          <w:p w14:paraId="2F34FC66" w14:textId="77777777" w:rsidR="007C0361" w:rsidRPr="00B44B19" w:rsidRDefault="007C0361" w:rsidP="007C0361">
            <w:pPr>
              <w:rPr>
                <w:rFonts w:cs="Times New Roman"/>
                <w:sz w:val="16"/>
                <w:szCs w:val="16"/>
              </w:rPr>
            </w:pPr>
            <w:r w:rsidRPr="00B44B19">
              <w:rPr>
                <w:rFonts w:cs="Times New Roman"/>
                <w:sz w:val="16"/>
                <w:szCs w:val="16"/>
              </w:rPr>
              <w:t>Numatytų pavojingų, stichinių ir katastrofinių meteorologinių reiškinių dalis nuo faktinių</w:t>
            </w:r>
          </w:p>
        </w:tc>
        <w:tc>
          <w:tcPr>
            <w:tcW w:w="328" w:type="pct"/>
          </w:tcPr>
          <w:p w14:paraId="1EC3A861" w14:textId="77777777" w:rsidR="007C0361" w:rsidRPr="00B44B19" w:rsidRDefault="007C0361" w:rsidP="004609A0">
            <w:pPr>
              <w:spacing w:after="0" w:line="240" w:lineRule="auto"/>
              <w:jc w:val="center"/>
              <w:rPr>
                <w:rFonts w:cs="Times New Roman"/>
                <w:noProof/>
                <w:sz w:val="16"/>
                <w:szCs w:val="16"/>
              </w:rPr>
            </w:pPr>
            <w:r w:rsidRPr="00B44B19">
              <w:rPr>
                <w:rFonts w:cs="Times New Roman"/>
                <w:noProof/>
                <w:sz w:val="16"/>
                <w:szCs w:val="16"/>
              </w:rPr>
              <w:t>Procentai</w:t>
            </w:r>
          </w:p>
        </w:tc>
        <w:tc>
          <w:tcPr>
            <w:tcW w:w="328" w:type="pct"/>
          </w:tcPr>
          <w:p w14:paraId="531F441D" w14:textId="77777777" w:rsidR="007C0361" w:rsidRPr="00B44B19" w:rsidRDefault="007C0361" w:rsidP="008B213F">
            <w:pPr>
              <w:spacing w:after="0" w:line="240" w:lineRule="auto"/>
              <w:jc w:val="center"/>
              <w:rPr>
                <w:rFonts w:cs="Times New Roman"/>
                <w:noProof/>
                <w:sz w:val="16"/>
                <w:szCs w:val="16"/>
              </w:rPr>
            </w:pPr>
            <w:r w:rsidRPr="00B44B19">
              <w:rPr>
                <w:rFonts w:cs="Times New Roman"/>
                <w:noProof/>
                <w:sz w:val="16"/>
                <w:szCs w:val="16"/>
              </w:rPr>
              <w:t>8</w:t>
            </w:r>
            <w:r w:rsidR="008B213F" w:rsidRPr="00B44B19">
              <w:rPr>
                <w:rFonts w:cs="Times New Roman"/>
                <w:noProof/>
                <w:sz w:val="16"/>
                <w:szCs w:val="16"/>
              </w:rPr>
              <w:t>8</w:t>
            </w:r>
          </w:p>
        </w:tc>
        <w:tc>
          <w:tcPr>
            <w:tcW w:w="375" w:type="pct"/>
          </w:tcPr>
          <w:p w14:paraId="7184F32F" w14:textId="77777777" w:rsidR="007C0361" w:rsidRPr="00B44B19" w:rsidRDefault="007C0361" w:rsidP="008B213F">
            <w:pPr>
              <w:spacing w:after="0" w:line="240" w:lineRule="auto"/>
              <w:jc w:val="center"/>
              <w:rPr>
                <w:rFonts w:cs="Times New Roman"/>
                <w:noProof/>
                <w:sz w:val="16"/>
                <w:szCs w:val="16"/>
              </w:rPr>
            </w:pPr>
            <w:r w:rsidRPr="00B44B19">
              <w:rPr>
                <w:rFonts w:cs="Times New Roman"/>
                <w:noProof/>
                <w:sz w:val="16"/>
                <w:szCs w:val="16"/>
              </w:rPr>
              <w:t>20</w:t>
            </w:r>
            <w:r w:rsidR="008B213F" w:rsidRPr="00B44B19">
              <w:rPr>
                <w:rFonts w:cs="Times New Roman"/>
                <w:noProof/>
                <w:sz w:val="16"/>
                <w:szCs w:val="16"/>
              </w:rPr>
              <w:t>20</w:t>
            </w:r>
          </w:p>
        </w:tc>
        <w:tc>
          <w:tcPr>
            <w:tcW w:w="328" w:type="pct"/>
          </w:tcPr>
          <w:p w14:paraId="14724C6F" w14:textId="77777777" w:rsidR="007C0361" w:rsidRPr="00B44B19" w:rsidRDefault="007C0361" w:rsidP="004609A0">
            <w:pPr>
              <w:spacing w:after="0" w:line="240" w:lineRule="auto"/>
              <w:jc w:val="center"/>
              <w:rPr>
                <w:rFonts w:cs="Times New Roman"/>
                <w:noProof/>
                <w:sz w:val="16"/>
                <w:szCs w:val="16"/>
              </w:rPr>
            </w:pPr>
            <w:r w:rsidRPr="00B44B19">
              <w:rPr>
                <w:rFonts w:cs="Times New Roman"/>
                <w:noProof/>
                <w:sz w:val="16"/>
                <w:szCs w:val="16"/>
              </w:rPr>
              <w:t>90</w:t>
            </w:r>
          </w:p>
        </w:tc>
        <w:tc>
          <w:tcPr>
            <w:tcW w:w="422" w:type="pct"/>
          </w:tcPr>
          <w:p w14:paraId="7FEB09A0" w14:textId="77777777" w:rsidR="007C0361" w:rsidRPr="00B44B19" w:rsidRDefault="0028495E" w:rsidP="007C0361">
            <w:pPr>
              <w:spacing w:after="0" w:line="240" w:lineRule="auto"/>
              <w:rPr>
                <w:rFonts w:cs="Times New Roman"/>
                <w:noProof/>
                <w:sz w:val="16"/>
                <w:szCs w:val="16"/>
              </w:rPr>
            </w:pPr>
            <w:r w:rsidRPr="00B44B19">
              <w:rPr>
                <w:rFonts w:cs="Times New Roman"/>
                <w:noProof/>
                <w:sz w:val="16"/>
                <w:szCs w:val="16"/>
              </w:rPr>
              <w:t>Projektų duomenys,</w:t>
            </w:r>
          </w:p>
          <w:p w14:paraId="76DD2E04" w14:textId="77777777" w:rsidR="007C0361" w:rsidRPr="00B44B19" w:rsidRDefault="007C0361" w:rsidP="007C0361">
            <w:pPr>
              <w:spacing w:after="0" w:line="240" w:lineRule="auto"/>
              <w:rPr>
                <w:rFonts w:cs="Times New Roman"/>
                <w:noProof/>
                <w:sz w:val="16"/>
                <w:szCs w:val="16"/>
              </w:rPr>
            </w:pPr>
            <w:r w:rsidRPr="00B44B19">
              <w:rPr>
                <w:rFonts w:cs="Times New Roman"/>
                <w:noProof/>
                <w:sz w:val="16"/>
                <w:szCs w:val="16"/>
              </w:rPr>
              <w:t>Lietuvos Hidro-meteoro-logijos</w:t>
            </w:r>
          </w:p>
          <w:p w14:paraId="1E3B4910" w14:textId="77777777" w:rsidR="007C0361" w:rsidRPr="00B44B19" w:rsidRDefault="007C0361" w:rsidP="007C0361">
            <w:pPr>
              <w:spacing w:after="0" w:line="240" w:lineRule="auto"/>
              <w:rPr>
                <w:rFonts w:cs="Times New Roman"/>
                <w:noProof/>
                <w:sz w:val="16"/>
                <w:szCs w:val="16"/>
              </w:rPr>
            </w:pPr>
            <w:r w:rsidRPr="00B44B19">
              <w:rPr>
                <w:rFonts w:cs="Times New Roman"/>
                <w:noProof/>
                <w:sz w:val="16"/>
                <w:szCs w:val="16"/>
              </w:rPr>
              <w:t>tarnyba</w:t>
            </w:r>
          </w:p>
        </w:tc>
        <w:tc>
          <w:tcPr>
            <w:tcW w:w="651" w:type="pct"/>
          </w:tcPr>
          <w:p w14:paraId="636EBD28" w14:textId="77777777" w:rsidR="007C0361" w:rsidRPr="00B44B19" w:rsidRDefault="007C0361" w:rsidP="007C0361">
            <w:pPr>
              <w:spacing w:after="0" w:line="240" w:lineRule="auto"/>
              <w:jc w:val="both"/>
              <w:rPr>
                <w:rFonts w:cs="Times New Roman"/>
                <w:noProof/>
                <w:sz w:val="16"/>
                <w:szCs w:val="16"/>
              </w:rPr>
            </w:pPr>
          </w:p>
        </w:tc>
      </w:tr>
    </w:tbl>
    <w:p w14:paraId="1713E1EE" w14:textId="77777777" w:rsidR="008112E1" w:rsidRPr="00B44B19" w:rsidRDefault="008112E1" w:rsidP="00471A41">
      <w:pPr>
        <w:spacing w:before="240" w:after="240" w:line="240" w:lineRule="auto"/>
        <w:jc w:val="both"/>
        <w:rPr>
          <w:rFonts w:eastAsia="Calibri" w:cs="Times New Roman"/>
          <w:b/>
          <w:noProof/>
          <w:szCs w:val="20"/>
          <w:lang w:eastAsia="lt-LT" w:bidi="lt-LT"/>
        </w:rPr>
        <w:sectPr w:rsidR="008112E1" w:rsidRPr="00B44B19" w:rsidSect="00931C78">
          <w:pgSz w:w="16838" w:h="11906" w:orient="landscape"/>
          <w:pgMar w:top="1701" w:right="1276" w:bottom="567" w:left="1134" w:header="567" w:footer="567" w:gutter="0"/>
          <w:cols w:space="1296"/>
          <w:docGrid w:linePitch="360"/>
        </w:sectPr>
      </w:pPr>
    </w:p>
    <w:p w14:paraId="70CF3695" w14:textId="77777777" w:rsidR="00FE2852" w:rsidRPr="00B44B19" w:rsidRDefault="00471A41"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276"/>
        <w:gridCol w:w="1134"/>
        <w:gridCol w:w="3827"/>
        <w:gridCol w:w="1559"/>
      </w:tblGrid>
      <w:tr w:rsidR="007C0361" w:rsidRPr="00B44B19" w14:paraId="0BE2850B"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86DEB23" w14:textId="77777777" w:rsidR="007C0361" w:rsidRPr="00B44B19" w:rsidRDefault="007C0361" w:rsidP="007C0361">
            <w:pPr>
              <w:rPr>
                <w:rFonts w:eastAsia="Times New Roman" w:cs="Times New Roman"/>
                <w:b/>
                <w:iCs/>
                <w:noProof/>
                <w:sz w:val="20"/>
              </w:rPr>
            </w:pPr>
            <w:r w:rsidRPr="00B44B19">
              <w:rPr>
                <w:rFonts w:cs="Times New Roman"/>
                <w:b/>
                <w:noProof/>
                <w:sz w:val="20"/>
              </w:rPr>
              <w:t>4 lentelė. 1 matmuo. Intervencinių priemonių sritis</w:t>
            </w:r>
          </w:p>
        </w:tc>
      </w:tr>
      <w:tr w:rsidR="007C0361" w:rsidRPr="00B44B19" w14:paraId="05E0DC8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16BCFC"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5CB5AF"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B2E5E0"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297A0C"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3BF6A0"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7147EC"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Suma (EUR)</w:t>
            </w:r>
          </w:p>
        </w:tc>
      </w:tr>
      <w:tr w:rsidR="006D24DF" w:rsidRPr="00B44B19" w14:paraId="26959B9B" w14:textId="77777777" w:rsidTr="003B113E">
        <w:tc>
          <w:tcPr>
            <w:tcW w:w="1101" w:type="dxa"/>
            <w:vMerge w:val="restart"/>
            <w:tcBorders>
              <w:top w:val="single" w:sz="12" w:space="0" w:color="auto"/>
            </w:tcBorders>
          </w:tcPr>
          <w:p w14:paraId="1E7854C6" w14:textId="77777777" w:rsidR="006D24DF" w:rsidRPr="00B44B19" w:rsidRDefault="006D24DF" w:rsidP="007C0361">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0958F8D7" w14:textId="77777777" w:rsidR="006D24DF" w:rsidRPr="00B44B19" w:rsidRDefault="006D24DF" w:rsidP="004952F4">
            <w:pPr>
              <w:jc w:val="center"/>
              <w:rPr>
                <w:rFonts w:eastAsia="Times New Roman" w:cs="Times New Roman"/>
                <w:iCs/>
                <w:noProof/>
                <w:sz w:val="20"/>
                <w:szCs w:val="20"/>
              </w:rPr>
            </w:pPr>
            <w:r w:rsidRPr="00B44B19">
              <w:rPr>
                <w:rFonts w:cs="Times New Roman"/>
                <w:noProof/>
                <w:sz w:val="20"/>
                <w:szCs w:val="20"/>
                <w:lang w:val="en-GB"/>
              </w:rPr>
              <w:t>ERPF</w:t>
            </w:r>
          </w:p>
        </w:tc>
        <w:tc>
          <w:tcPr>
            <w:tcW w:w="1276" w:type="dxa"/>
            <w:tcBorders>
              <w:top w:val="single" w:sz="12" w:space="0" w:color="auto"/>
            </w:tcBorders>
          </w:tcPr>
          <w:p w14:paraId="354EF978" w14:textId="77777777" w:rsidR="006D24DF" w:rsidRPr="00B44B19" w:rsidRDefault="006D24DF" w:rsidP="007167BE">
            <w:pPr>
              <w:rPr>
                <w:rFonts w:eastAsia="Times New Roman" w:cs="Times New Roman"/>
                <w:iCs/>
                <w:noProof/>
                <w:sz w:val="20"/>
                <w:szCs w:val="20"/>
              </w:rPr>
            </w:pPr>
            <w:r w:rsidRPr="00B44B19">
              <w:rPr>
                <w:rFonts w:cs="Times New Roman"/>
                <w:noProof/>
                <w:sz w:val="20"/>
                <w:szCs w:val="20"/>
              </w:rPr>
              <w:t>VVL</w:t>
            </w:r>
            <w:r w:rsidR="004952F4" w:rsidRPr="00B44B19">
              <w:rPr>
                <w:rFonts w:cs="Times New Roman"/>
                <w:noProof/>
                <w:sz w:val="20"/>
                <w:szCs w:val="20"/>
              </w:rPr>
              <w:t xml:space="preserve"> regionas</w:t>
            </w:r>
          </w:p>
        </w:tc>
        <w:tc>
          <w:tcPr>
            <w:tcW w:w="1134" w:type="dxa"/>
            <w:vMerge w:val="restart"/>
            <w:tcBorders>
              <w:top w:val="single" w:sz="12" w:space="0" w:color="auto"/>
            </w:tcBorders>
          </w:tcPr>
          <w:p w14:paraId="31C52E43" w14:textId="77777777" w:rsidR="006D24DF" w:rsidRPr="00B44B19" w:rsidRDefault="006D24DF" w:rsidP="007C0361">
            <w:pPr>
              <w:jc w:val="center"/>
              <w:rPr>
                <w:rFonts w:eastAsia="Times New Roman" w:cs="Times New Roman"/>
                <w:iCs/>
                <w:noProof/>
                <w:sz w:val="20"/>
                <w:szCs w:val="20"/>
              </w:rPr>
            </w:pPr>
            <w:r w:rsidRPr="00B44B19">
              <w:rPr>
                <w:rFonts w:eastAsia="Times New Roman" w:cs="Times New Roman"/>
                <w:iCs/>
                <w:noProof/>
                <w:sz w:val="20"/>
                <w:szCs w:val="20"/>
              </w:rPr>
              <w:t>2.4</w:t>
            </w:r>
          </w:p>
        </w:tc>
        <w:tc>
          <w:tcPr>
            <w:tcW w:w="3827" w:type="dxa"/>
            <w:tcBorders>
              <w:top w:val="single" w:sz="12" w:space="0" w:color="auto"/>
              <w:bottom w:val="single" w:sz="4" w:space="0" w:color="auto"/>
            </w:tcBorders>
          </w:tcPr>
          <w:p w14:paraId="748C869F" w14:textId="77777777" w:rsidR="006D24DF" w:rsidRPr="00B44B19" w:rsidRDefault="006D24DF" w:rsidP="00F041DB">
            <w:pPr>
              <w:rPr>
                <w:rFonts w:eastAsia="Times New Roman" w:cs="Times New Roman"/>
                <w:iCs/>
                <w:noProof/>
                <w:sz w:val="20"/>
                <w:szCs w:val="20"/>
              </w:rPr>
            </w:pPr>
            <w:r w:rsidRPr="00B44B19">
              <w:rPr>
                <w:rFonts w:eastAsia="Times New Roman" w:cs="Times New Roman"/>
                <w:iCs/>
                <w:noProof/>
                <w:sz w:val="20"/>
                <w:szCs w:val="20"/>
              </w:rPr>
              <w:t>058 – Prisitaikymo prie klimato kaitos priemonės, su klimato kaita susijusios rizikos prevencija ir valdymas: potvyniai ir nuošliaužos (įskaitant informuotumo didinimą, civilinės saugos ir nelaimių valdymo sistemas, infrastruktūrą ir ekosistemomis grindžiamus metodus)</w:t>
            </w:r>
          </w:p>
        </w:tc>
        <w:tc>
          <w:tcPr>
            <w:tcW w:w="1559" w:type="dxa"/>
            <w:tcBorders>
              <w:top w:val="single" w:sz="12" w:space="0" w:color="auto"/>
              <w:bottom w:val="single" w:sz="4" w:space="0" w:color="auto"/>
            </w:tcBorders>
          </w:tcPr>
          <w:p w14:paraId="4E156A23" w14:textId="77777777" w:rsidR="006D24DF" w:rsidRPr="00B44B19" w:rsidRDefault="006D24DF" w:rsidP="00CC2DC9">
            <w:pPr>
              <w:jc w:val="right"/>
              <w:rPr>
                <w:rFonts w:eastAsia="Times New Roman" w:cs="Times New Roman"/>
                <w:iCs/>
                <w:noProof/>
                <w:sz w:val="20"/>
                <w:szCs w:val="20"/>
              </w:rPr>
            </w:pPr>
            <w:r w:rsidRPr="00B44B19">
              <w:rPr>
                <w:rFonts w:eastAsia="Times New Roman" w:cs="Times New Roman"/>
                <w:iCs/>
                <w:noProof/>
                <w:sz w:val="20"/>
                <w:szCs w:val="20"/>
              </w:rPr>
              <w:t>36 000 000,00</w:t>
            </w:r>
          </w:p>
        </w:tc>
      </w:tr>
      <w:tr w:rsidR="006D24DF" w:rsidRPr="00B44B19" w14:paraId="4EC321FA" w14:textId="77777777" w:rsidTr="003B113E">
        <w:trPr>
          <w:trHeight w:val="94"/>
        </w:trPr>
        <w:tc>
          <w:tcPr>
            <w:tcW w:w="1101" w:type="dxa"/>
            <w:vMerge/>
          </w:tcPr>
          <w:p w14:paraId="547F4972" w14:textId="77777777" w:rsidR="006D24DF" w:rsidRPr="00B44B19" w:rsidRDefault="006D24DF" w:rsidP="007C0361">
            <w:pPr>
              <w:rPr>
                <w:rFonts w:eastAsia="Times New Roman" w:cs="Times New Roman"/>
                <w:iCs/>
                <w:noProof/>
                <w:sz w:val="20"/>
              </w:rPr>
            </w:pPr>
          </w:p>
        </w:tc>
        <w:tc>
          <w:tcPr>
            <w:tcW w:w="850" w:type="dxa"/>
          </w:tcPr>
          <w:p w14:paraId="323186D6" w14:textId="77777777" w:rsidR="006D24DF" w:rsidRPr="00B44B19" w:rsidRDefault="006D24DF" w:rsidP="004952F4">
            <w:pPr>
              <w:jc w:val="center"/>
              <w:rPr>
                <w:rFonts w:eastAsia="Times New Roman" w:cs="Times New Roman"/>
                <w:iCs/>
                <w:noProof/>
                <w:sz w:val="20"/>
              </w:rPr>
            </w:pPr>
            <w:r w:rsidRPr="00B44B19">
              <w:rPr>
                <w:rFonts w:eastAsia="Times New Roman" w:cs="Times New Roman"/>
                <w:iCs/>
                <w:noProof/>
                <w:sz w:val="20"/>
              </w:rPr>
              <w:t>SaF</w:t>
            </w:r>
          </w:p>
        </w:tc>
        <w:tc>
          <w:tcPr>
            <w:tcW w:w="1276" w:type="dxa"/>
          </w:tcPr>
          <w:p w14:paraId="310E9337" w14:textId="77777777" w:rsidR="006D24DF" w:rsidRPr="00B44B19" w:rsidRDefault="006D24DF" w:rsidP="007C0361">
            <w:pPr>
              <w:rPr>
                <w:rFonts w:eastAsia="Times New Roman" w:cs="Times New Roman"/>
                <w:iCs/>
                <w:noProof/>
                <w:sz w:val="20"/>
              </w:rPr>
            </w:pPr>
            <w:r w:rsidRPr="00B44B19">
              <w:rPr>
                <w:rFonts w:eastAsia="Times New Roman" w:cs="Times New Roman"/>
                <w:iCs/>
                <w:noProof/>
                <w:sz w:val="20"/>
              </w:rPr>
              <w:t>Visa Lietuva</w:t>
            </w:r>
          </w:p>
        </w:tc>
        <w:tc>
          <w:tcPr>
            <w:tcW w:w="1134" w:type="dxa"/>
            <w:vMerge/>
          </w:tcPr>
          <w:p w14:paraId="173265CC" w14:textId="77777777" w:rsidR="006D24DF" w:rsidRPr="00B44B19" w:rsidRDefault="006D24DF" w:rsidP="007C0361">
            <w:pPr>
              <w:rPr>
                <w:rFonts w:eastAsia="Times New Roman" w:cs="Times New Roman"/>
                <w:b/>
                <w:iCs/>
                <w:noProof/>
                <w:sz w:val="20"/>
              </w:rPr>
            </w:pPr>
          </w:p>
        </w:tc>
        <w:tc>
          <w:tcPr>
            <w:tcW w:w="3827" w:type="dxa"/>
            <w:tcBorders>
              <w:top w:val="single" w:sz="4" w:space="0" w:color="auto"/>
              <w:bottom w:val="single" w:sz="4" w:space="0" w:color="auto"/>
            </w:tcBorders>
          </w:tcPr>
          <w:p w14:paraId="0377FB29" w14:textId="77777777" w:rsidR="006D24DF" w:rsidRPr="00B44B19" w:rsidRDefault="006D24DF" w:rsidP="00F041DB">
            <w:pPr>
              <w:rPr>
                <w:rFonts w:eastAsia="Times New Roman" w:cs="Times New Roman"/>
                <w:iCs/>
                <w:noProof/>
                <w:sz w:val="20"/>
              </w:rPr>
            </w:pPr>
            <w:r w:rsidRPr="00B44B19">
              <w:rPr>
                <w:rFonts w:eastAsia="Times New Roman" w:cs="Times New Roman"/>
                <w:iCs/>
                <w:noProof/>
                <w:sz w:val="20"/>
              </w:rPr>
              <w:t>059 – Prisitaikymo prie klimato kaitos priemonės, su klimato kaita susijusios rizikos prevencija ir valdymas: gaisrai (įskaitant informuotumo didinimą, civilinės saugos ir nelaimių valdymo sistemas, infrastruktūrą ir ekosistemomis grindžiamus metodus)</w:t>
            </w:r>
          </w:p>
        </w:tc>
        <w:tc>
          <w:tcPr>
            <w:tcW w:w="1559" w:type="dxa"/>
            <w:tcBorders>
              <w:top w:val="single" w:sz="4" w:space="0" w:color="auto"/>
              <w:bottom w:val="single" w:sz="4" w:space="0" w:color="auto"/>
            </w:tcBorders>
          </w:tcPr>
          <w:p w14:paraId="2CEB0247" w14:textId="77777777" w:rsidR="006D24DF" w:rsidRPr="00B44B19" w:rsidRDefault="006D24DF" w:rsidP="007C0361">
            <w:pPr>
              <w:jc w:val="right"/>
              <w:rPr>
                <w:rFonts w:eastAsia="Times New Roman" w:cs="Times New Roman"/>
                <w:iCs/>
                <w:noProof/>
                <w:sz w:val="20"/>
              </w:rPr>
            </w:pPr>
            <w:r w:rsidRPr="00B44B19">
              <w:rPr>
                <w:rFonts w:eastAsia="Times New Roman" w:cs="Times New Roman"/>
                <w:iCs/>
                <w:noProof/>
                <w:sz w:val="20"/>
              </w:rPr>
              <w:t>20 000 000,00</w:t>
            </w:r>
          </w:p>
        </w:tc>
      </w:tr>
      <w:tr w:rsidR="006D24DF" w:rsidRPr="00B44B19" w14:paraId="17BE94DD" w14:textId="77777777" w:rsidTr="00AF4DED">
        <w:trPr>
          <w:trHeight w:val="94"/>
        </w:trPr>
        <w:tc>
          <w:tcPr>
            <w:tcW w:w="1101" w:type="dxa"/>
            <w:vMerge/>
          </w:tcPr>
          <w:p w14:paraId="2EFB58E6" w14:textId="77777777" w:rsidR="006D24DF" w:rsidRPr="00B44B19" w:rsidRDefault="006D24DF" w:rsidP="007C0361">
            <w:pPr>
              <w:rPr>
                <w:rFonts w:eastAsia="Times New Roman" w:cs="Times New Roman"/>
                <w:iCs/>
                <w:noProof/>
                <w:sz w:val="20"/>
              </w:rPr>
            </w:pPr>
          </w:p>
        </w:tc>
        <w:tc>
          <w:tcPr>
            <w:tcW w:w="850" w:type="dxa"/>
          </w:tcPr>
          <w:p w14:paraId="7B8E4AAA" w14:textId="77777777" w:rsidR="006D24DF" w:rsidRPr="00B44B19" w:rsidRDefault="006D24DF" w:rsidP="004952F4">
            <w:pPr>
              <w:jc w:val="center"/>
              <w:rPr>
                <w:rFonts w:eastAsia="Times New Roman" w:cs="Times New Roman"/>
                <w:iCs/>
                <w:noProof/>
                <w:sz w:val="20"/>
              </w:rPr>
            </w:pPr>
            <w:r w:rsidRPr="00B44B19">
              <w:rPr>
                <w:rFonts w:eastAsia="Times New Roman" w:cs="Times New Roman"/>
                <w:iCs/>
                <w:noProof/>
                <w:sz w:val="20"/>
              </w:rPr>
              <w:t>ERPF</w:t>
            </w:r>
          </w:p>
        </w:tc>
        <w:tc>
          <w:tcPr>
            <w:tcW w:w="1276" w:type="dxa"/>
          </w:tcPr>
          <w:p w14:paraId="1CD3572B" w14:textId="77777777" w:rsidR="006D24DF" w:rsidRPr="00B44B19" w:rsidRDefault="006D24DF" w:rsidP="007C0361">
            <w:pPr>
              <w:rPr>
                <w:rFonts w:eastAsia="Times New Roman" w:cs="Times New Roman"/>
                <w:iCs/>
                <w:noProof/>
                <w:sz w:val="20"/>
              </w:rPr>
            </w:pPr>
            <w:r w:rsidRPr="00B44B19">
              <w:rPr>
                <w:rFonts w:eastAsia="Times New Roman" w:cs="Times New Roman"/>
                <w:iCs/>
                <w:noProof/>
                <w:sz w:val="20"/>
              </w:rPr>
              <w:t>VVL</w:t>
            </w:r>
            <w:r w:rsidR="004952F4" w:rsidRPr="00B44B19">
              <w:rPr>
                <w:rFonts w:eastAsia="Times New Roman" w:cs="Times New Roman"/>
                <w:iCs/>
                <w:noProof/>
                <w:sz w:val="20"/>
              </w:rPr>
              <w:t xml:space="preserve"> regionas</w:t>
            </w:r>
          </w:p>
        </w:tc>
        <w:tc>
          <w:tcPr>
            <w:tcW w:w="1134" w:type="dxa"/>
            <w:vMerge/>
          </w:tcPr>
          <w:p w14:paraId="72C3C663" w14:textId="77777777" w:rsidR="006D24DF" w:rsidRPr="00B44B19" w:rsidRDefault="006D24DF" w:rsidP="007C0361">
            <w:pPr>
              <w:rPr>
                <w:rFonts w:eastAsia="Times New Roman" w:cs="Times New Roman"/>
                <w:b/>
                <w:iCs/>
                <w:noProof/>
                <w:sz w:val="20"/>
              </w:rPr>
            </w:pPr>
          </w:p>
        </w:tc>
        <w:tc>
          <w:tcPr>
            <w:tcW w:w="3827" w:type="dxa"/>
            <w:vMerge w:val="restart"/>
            <w:tcBorders>
              <w:top w:val="single" w:sz="4" w:space="0" w:color="auto"/>
            </w:tcBorders>
          </w:tcPr>
          <w:p w14:paraId="5B9EC5E4" w14:textId="77777777" w:rsidR="006D24DF" w:rsidRPr="00B44B19" w:rsidRDefault="006D24DF" w:rsidP="00F041DB">
            <w:pPr>
              <w:rPr>
                <w:rFonts w:eastAsia="Times New Roman" w:cs="Times New Roman"/>
                <w:b/>
                <w:iCs/>
                <w:noProof/>
                <w:sz w:val="20"/>
              </w:rPr>
            </w:pPr>
            <w:r w:rsidRPr="00B44B19">
              <w:rPr>
                <w:rFonts w:eastAsia="Times New Roman" w:cs="Times New Roman"/>
                <w:iCs/>
                <w:noProof/>
                <w:sz w:val="20"/>
              </w:rPr>
              <w:t>060 – Prisitaikymo prie klimato kaitos priemonės, su klimato kaita susijusios rizikos prevencija ir valdymas: kita, pvz. audros ir sausra (įskaitant informuotumo didinimą, civilinės saugos ir nelaimių valdymo sistemas, infrastruktūrą ir ekosistemomis grindžiamus metodus)</w:t>
            </w:r>
          </w:p>
        </w:tc>
        <w:tc>
          <w:tcPr>
            <w:tcW w:w="1559" w:type="dxa"/>
            <w:tcBorders>
              <w:top w:val="single" w:sz="4" w:space="0" w:color="auto"/>
              <w:bottom w:val="single" w:sz="4" w:space="0" w:color="auto"/>
            </w:tcBorders>
          </w:tcPr>
          <w:p w14:paraId="3F9780A0" w14:textId="77777777" w:rsidR="00977FD6" w:rsidRPr="00B44B19" w:rsidRDefault="006D24DF" w:rsidP="00D970FC">
            <w:pPr>
              <w:jc w:val="right"/>
              <w:rPr>
                <w:rFonts w:eastAsia="Times New Roman" w:cs="Times New Roman"/>
                <w:iCs/>
                <w:noProof/>
                <w:sz w:val="20"/>
              </w:rPr>
            </w:pPr>
            <w:r w:rsidRPr="00B44B19">
              <w:rPr>
                <w:rFonts w:eastAsia="Times New Roman" w:cs="Times New Roman"/>
                <w:iCs/>
                <w:noProof/>
                <w:sz w:val="20"/>
              </w:rPr>
              <w:t> </w:t>
            </w:r>
          </w:p>
          <w:p w14:paraId="751A9477" w14:textId="73EF899D" w:rsidR="006D24DF" w:rsidRPr="00B44B19" w:rsidRDefault="00977FD6" w:rsidP="00977FD6">
            <w:pPr>
              <w:jc w:val="right"/>
              <w:rPr>
                <w:rFonts w:eastAsia="Times New Roman" w:cs="Times New Roman"/>
                <w:iCs/>
                <w:noProof/>
                <w:sz w:val="20"/>
              </w:rPr>
            </w:pPr>
            <w:r w:rsidRPr="00B44B19">
              <w:rPr>
                <w:rFonts w:cs="Times New Roman"/>
                <w:color w:val="000000"/>
                <w:sz w:val="20"/>
                <w:szCs w:val="20"/>
              </w:rPr>
              <w:t>6 300 000</w:t>
            </w:r>
            <w:r w:rsidR="006D24DF" w:rsidRPr="00B44B19">
              <w:rPr>
                <w:rFonts w:eastAsia="Times New Roman" w:cs="Times New Roman"/>
                <w:iCs/>
                <w:noProof/>
                <w:sz w:val="20"/>
              </w:rPr>
              <w:t>,00</w:t>
            </w:r>
          </w:p>
        </w:tc>
      </w:tr>
      <w:tr w:rsidR="006D24DF" w:rsidRPr="00B44B19" w14:paraId="2FDC3062" w14:textId="77777777" w:rsidTr="00AF4DED">
        <w:trPr>
          <w:trHeight w:val="94"/>
        </w:trPr>
        <w:tc>
          <w:tcPr>
            <w:tcW w:w="1101" w:type="dxa"/>
            <w:vMerge/>
          </w:tcPr>
          <w:p w14:paraId="0561B10A" w14:textId="77777777" w:rsidR="006D24DF" w:rsidRPr="00B44B19" w:rsidRDefault="006D24DF" w:rsidP="007C0361">
            <w:pPr>
              <w:rPr>
                <w:rFonts w:eastAsia="Times New Roman" w:cs="Times New Roman"/>
                <w:iCs/>
                <w:noProof/>
                <w:sz w:val="20"/>
              </w:rPr>
            </w:pPr>
          </w:p>
        </w:tc>
        <w:tc>
          <w:tcPr>
            <w:tcW w:w="850" w:type="dxa"/>
          </w:tcPr>
          <w:p w14:paraId="0FD17C71" w14:textId="77777777" w:rsidR="006D24DF" w:rsidRPr="00B44B19" w:rsidRDefault="006D24DF" w:rsidP="004952F4">
            <w:pPr>
              <w:jc w:val="center"/>
              <w:rPr>
                <w:rFonts w:eastAsia="Times New Roman" w:cs="Times New Roman"/>
                <w:iCs/>
                <w:noProof/>
                <w:sz w:val="20"/>
              </w:rPr>
            </w:pPr>
            <w:r w:rsidRPr="00B44B19">
              <w:rPr>
                <w:rFonts w:eastAsia="Times New Roman" w:cs="Times New Roman"/>
                <w:iCs/>
                <w:noProof/>
                <w:sz w:val="20"/>
              </w:rPr>
              <w:t>SaF</w:t>
            </w:r>
          </w:p>
        </w:tc>
        <w:tc>
          <w:tcPr>
            <w:tcW w:w="1276" w:type="dxa"/>
          </w:tcPr>
          <w:p w14:paraId="729FAA2E" w14:textId="77777777" w:rsidR="006D24DF" w:rsidRPr="00B44B19" w:rsidRDefault="006D24DF" w:rsidP="004952F4">
            <w:pPr>
              <w:rPr>
                <w:rFonts w:eastAsia="Times New Roman" w:cs="Times New Roman"/>
                <w:iCs/>
                <w:noProof/>
                <w:sz w:val="20"/>
              </w:rPr>
            </w:pPr>
            <w:r w:rsidRPr="00B44B19">
              <w:rPr>
                <w:rFonts w:eastAsia="Times New Roman" w:cs="Times New Roman"/>
                <w:iCs/>
                <w:noProof/>
                <w:sz w:val="20"/>
              </w:rPr>
              <w:t>Visa Lietuva</w:t>
            </w:r>
          </w:p>
        </w:tc>
        <w:tc>
          <w:tcPr>
            <w:tcW w:w="1134" w:type="dxa"/>
            <w:vMerge/>
          </w:tcPr>
          <w:p w14:paraId="72508A37" w14:textId="77777777" w:rsidR="006D24DF" w:rsidRPr="00B44B19" w:rsidRDefault="006D24DF" w:rsidP="007C0361">
            <w:pPr>
              <w:rPr>
                <w:rFonts w:eastAsia="Times New Roman" w:cs="Times New Roman"/>
                <w:b/>
                <w:iCs/>
                <w:noProof/>
                <w:sz w:val="20"/>
              </w:rPr>
            </w:pPr>
          </w:p>
        </w:tc>
        <w:tc>
          <w:tcPr>
            <w:tcW w:w="3827" w:type="dxa"/>
            <w:vMerge/>
            <w:tcBorders>
              <w:bottom w:val="single" w:sz="4" w:space="0" w:color="auto"/>
            </w:tcBorders>
          </w:tcPr>
          <w:p w14:paraId="16D34237" w14:textId="77777777" w:rsidR="006D24DF" w:rsidRPr="00B44B19" w:rsidRDefault="006D24DF" w:rsidP="00F041DB">
            <w:pPr>
              <w:rPr>
                <w:rFonts w:eastAsia="Times New Roman" w:cs="Times New Roman"/>
                <w:iCs/>
                <w:noProof/>
                <w:sz w:val="20"/>
              </w:rPr>
            </w:pPr>
          </w:p>
        </w:tc>
        <w:tc>
          <w:tcPr>
            <w:tcW w:w="1559" w:type="dxa"/>
            <w:tcBorders>
              <w:top w:val="single" w:sz="4" w:space="0" w:color="auto"/>
              <w:bottom w:val="single" w:sz="4" w:space="0" w:color="auto"/>
            </w:tcBorders>
          </w:tcPr>
          <w:p w14:paraId="419FF08D" w14:textId="77777777" w:rsidR="006D24DF" w:rsidRPr="00B44B19" w:rsidRDefault="006D24DF" w:rsidP="00D970FC">
            <w:pPr>
              <w:jc w:val="right"/>
              <w:rPr>
                <w:rFonts w:eastAsia="Times New Roman" w:cs="Times New Roman"/>
                <w:iCs/>
                <w:noProof/>
                <w:sz w:val="20"/>
              </w:rPr>
            </w:pPr>
            <w:r w:rsidRPr="00B44B19">
              <w:rPr>
                <w:rFonts w:eastAsia="Times New Roman" w:cs="Times New Roman"/>
                <w:iCs/>
                <w:noProof/>
                <w:sz w:val="20"/>
              </w:rPr>
              <w:t>9 500 000,00</w:t>
            </w:r>
          </w:p>
        </w:tc>
      </w:tr>
      <w:tr w:rsidR="006D24DF" w:rsidRPr="00B44B19" w14:paraId="3CE08B64" w14:textId="77777777" w:rsidTr="003B113E">
        <w:trPr>
          <w:trHeight w:val="94"/>
        </w:trPr>
        <w:tc>
          <w:tcPr>
            <w:tcW w:w="1101" w:type="dxa"/>
            <w:vMerge/>
          </w:tcPr>
          <w:p w14:paraId="2D38ED4E" w14:textId="77777777" w:rsidR="006D24DF" w:rsidRPr="00B44B19" w:rsidRDefault="006D24DF" w:rsidP="007C0361">
            <w:pPr>
              <w:rPr>
                <w:rFonts w:eastAsia="Times New Roman" w:cs="Times New Roman"/>
                <w:iCs/>
                <w:noProof/>
                <w:sz w:val="20"/>
              </w:rPr>
            </w:pPr>
          </w:p>
        </w:tc>
        <w:tc>
          <w:tcPr>
            <w:tcW w:w="850" w:type="dxa"/>
          </w:tcPr>
          <w:p w14:paraId="7BF48AAC" w14:textId="77777777" w:rsidR="006D24DF" w:rsidRPr="00B44B19" w:rsidRDefault="006D24DF" w:rsidP="004952F4">
            <w:pPr>
              <w:jc w:val="center"/>
              <w:rPr>
                <w:rFonts w:eastAsia="Times New Roman" w:cs="Times New Roman"/>
                <w:iCs/>
                <w:noProof/>
                <w:sz w:val="20"/>
              </w:rPr>
            </w:pPr>
            <w:r w:rsidRPr="00B44B19">
              <w:rPr>
                <w:rFonts w:eastAsia="Times New Roman" w:cs="Times New Roman"/>
                <w:iCs/>
                <w:noProof/>
                <w:sz w:val="20"/>
              </w:rPr>
              <w:t>ERPF</w:t>
            </w:r>
          </w:p>
        </w:tc>
        <w:tc>
          <w:tcPr>
            <w:tcW w:w="1276" w:type="dxa"/>
          </w:tcPr>
          <w:p w14:paraId="6F78D14E" w14:textId="77777777" w:rsidR="006D24DF" w:rsidRPr="00B44B19" w:rsidRDefault="006D24DF" w:rsidP="007C0361">
            <w:pPr>
              <w:rPr>
                <w:rFonts w:eastAsia="Times New Roman" w:cs="Times New Roman"/>
                <w:iCs/>
                <w:noProof/>
                <w:sz w:val="20"/>
              </w:rPr>
            </w:pPr>
            <w:r w:rsidRPr="00B44B19">
              <w:rPr>
                <w:rFonts w:eastAsia="Times New Roman" w:cs="Times New Roman"/>
                <w:iCs/>
                <w:noProof/>
                <w:sz w:val="20"/>
              </w:rPr>
              <w:t>VVL</w:t>
            </w:r>
            <w:r w:rsidR="004952F4" w:rsidRPr="00B44B19">
              <w:rPr>
                <w:rFonts w:eastAsia="Times New Roman" w:cs="Times New Roman"/>
                <w:iCs/>
                <w:noProof/>
                <w:sz w:val="20"/>
              </w:rPr>
              <w:t xml:space="preserve"> regionas</w:t>
            </w:r>
          </w:p>
        </w:tc>
        <w:tc>
          <w:tcPr>
            <w:tcW w:w="1134" w:type="dxa"/>
            <w:vMerge/>
          </w:tcPr>
          <w:p w14:paraId="0902A20A" w14:textId="77777777" w:rsidR="006D24DF" w:rsidRPr="00B44B19" w:rsidRDefault="006D24DF" w:rsidP="007C0361">
            <w:pPr>
              <w:rPr>
                <w:rFonts w:eastAsia="Times New Roman" w:cs="Times New Roman"/>
                <w:b/>
                <w:iCs/>
                <w:noProof/>
                <w:sz w:val="20"/>
              </w:rPr>
            </w:pPr>
          </w:p>
        </w:tc>
        <w:tc>
          <w:tcPr>
            <w:tcW w:w="3827" w:type="dxa"/>
            <w:tcBorders>
              <w:top w:val="single" w:sz="4" w:space="0" w:color="auto"/>
            </w:tcBorders>
          </w:tcPr>
          <w:p w14:paraId="450F011F" w14:textId="77777777" w:rsidR="006D24DF" w:rsidRPr="00B44B19" w:rsidRDefault="006D24DF" w:rsidP="00DF0BC9">
            <w:pPr>
              <w:rPr>
                <w:rFonts w:eastAsia="Times New Roman" w:cs="Times New Roman"/>
                <w:iCs/>
                <w:noProof/>
                <w:sz w:val="20"/>
              </w:rPr>
            </w:pPr>
            <w:r w:rsidRPr="00B44B19">
              <w:rPr>
                <w:rFonts w:eastAsia="Times New Roman" w:cs="Times New Roman"/>
                <w:iCs/>
                <w:noProof/>
                <w:sz w:val="20"/>
              </w:rPr>
              <w:t>061 – Su klimatu nesusijusių gamtinių pavojų (pvz., žemės drebėjimų) ir su žmogaus veikla susijusios rizikos (pvz., technologinių avarijų) rizikos prevencija ir valdymas, įskaitant informuotumo didinimą, civilinės saugos ir nelaimių valdymo</w:t>
            </w:r>
          </w:p>
          <w:p w14:paraId="6BAAD189" w14:textId="77777777" w:rsidR="006D24DF" w:rsidRPr="00B44B19" w:rsidRDefault="006D24DF" w:rsidP="00DF0BC9">
            <w:pPr>
              <w:rPr>
                <w:rFonts w:eastAsia="Times New Roman" w:cs="Times New Roman"/>
                <w:iCs/>
                <w:noProof/>
                <w:sz w:val="20"/>
              </w:rPr>
            </w:pPr>
            <w:r w:rsidRPr="00B44B19">
              <w:rPr>
                <w:rFonts w:eastAsia="Times New Roman" w:cs="Times New Roman"/>
                <w:iCs/>
                <w:noProof/>
                <w:sz w:val="20"/>
              </w:rPr>
              <w:t>sistemas, infrastruktūrą ir ekosistemomis</w:t>
            </w:r>
          </w:p>
          <w:p w14:paraId="1335555B" w14:textId="77777777" w:rsidR="006D24DF" w:rsidRPr="00B44B19" w:rsidRDefault="006D24DF" w:rsidP="00F041DB">
            <w:pPr>
              <w:rPr>
                <w:rFonts w:eastAsia="Times New Roman" w:cs="Times New Roman"/>
                <w:iCs/>
                <w:noProof/>
                <w:sz w:val="20"/>
              </w:rPr>
            </w:pPr>
            <w:r w:rsidRPr="00B44B19">
              <w:rPr>
                <w:rFonts w:eastAsia="Times New Roman" w:cs="Times New Roman"/>
                <w:iCs/>
                <w:noProof/>
                <w:sz w:val="20"/>
              </w:rPr>
              <w:t>grindžiamus metodus</w:t>
            </w:r>
          </w:p>
        </w:tc>
        <w:tc>
          <w:tcPr>
            <w:tcW w:w="1559" w:type="dxa"/>
            <w:tcBorders>
              <w:top w:val="single" w:sz="4" w:space="0" w:color="auto"/>
            </w:tcBorders>
          </w:tcPr>
          <w:p w14:paraId="00183CC9" w14:textId="77777777" w:rsidR="006D24DF" w:rsidRPr="00B44B19" w:rsidDel="008B213F" w:rsidRDefault="006D24DF" w:rsidP="002D4C4E">
            <w:pPr>
              <w:jc w:val="right"/>
              <w:rPr>
                <w:rFonts w:eastAsia="Times New Roman" w:cs="Times New Roman"/>
                <w:iCs/>
                <w:noProof/>
                <w:sz w:val="20"/>
              </w:rPr>
            </w:pPr>
            <w:r w:rsidRPr="00B44B19">
              <w:rPr>
                <w:rFonts w:eastAsia="Times New Roman" w:cs="Times New Roman"/>
                <w:iCs/>
                <w:noProof/>
                <w:sz w:val="20"/>
                <w:lang w:val="en-GB"/>
              </w:rPr>
              <w:t>34 000 000</w:t>
            </w:r>
          </w:p>
        </w:tc>
      </w:tr>
    </w:tbl>
    <w:p w14:paraId="0D5040CB" w14:textId="77777777" w:rsidR="007C0361" w:rsidRPr="00B44B19" w:rsidRDefault="007C0361" w:rsidP="007C0361">
      <w:pPr>
        <w:spacing w:after="0" w:line="240" w:lineRule="auto"/>
        <w:rPr>
          <w:rFonts w:cs="Times New Roman"/>
          <w:sz w:val="20"/>
          <w:szCs w:val="20"/>
        </w:rPr>
      </w:pPr>
    </w:p>
    <w:tbl>
      <w:tblPr>
        <w:tblStyle w:val="Lentelstinklelis"/>
        <w:tblW w:w="9766" w:type="dxa"/>
        <w:tblLook w:val="04A0" w:firstRow="1" w:lastRow="0" w:firstColumn="1" w:lastColumn="0" w:noHBand="0" w:noVBand="1"/>
      </w:tblPr>
      <w:tblGrid>
        <w:gridCol w:w="1098"/>
        <w:gridCol w:w="850"/>
        <w:gridCol w:w="1269"/>
        <w:gridCol w:w="1134"/>
        <w:gridCol w:w="3856"/>
        <w:gridCol w:w="1559"/>
      </w:tblGrid>
      <w:tr w:rsidR="007C0361" w:rsidRPr="00B44B19" w14:paraId="5217D0D6" w14:textId="77777777" w:rsidTr="00D27D25">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AD2551B" w14:textId="77777777" w:rsidR="007C0361" w:rsidRPr="00B44B19" w:rsidRDefault="007C0361" w:rsidP="00435F9B">
            <w:pPr>
              <w:rPr>
                <w:rFonts w:eastAsia="Times New Roman" w:cs="Times New Roman"/>
                <w:b/>
                <w:iCs/>
                <w:noProof/>
                <w:sz w:val="20"/>
              </w:rPr>
            </w:pPr>
            <w:r w:rsidRPr="00B44B19">
              <w:rPr>
                <w:rFonts w:cs="Times New Roman"/>
                <w:b/>
                <w:noProof/>
                <w:sz w:val="20"/>
              </w:rPr>
              <w:t xml:space="preserve">5 lentelė. 2 matmuo. </w:t>
            </w:r>
            <w:r w:rsidR="00435F9B" w:rsidRPr="00B44B19">
              <w:rPr>
                <w:rFonts w:cs="Times New Roman"/>
                <w:b/>
                <w:noProof/>
                <w:sz w:val="20"/>
              </w:rPr>
              <w:t>Finansavimo</w:t>
            </w:r>
            <w:r w:rsidR="00774479" w:rsidRPr="00B44B19">
              <w:rPr>
                <w:rFonts w:cs="Times New Roman"/>
                <w:b/>
                <w:noProof/>
                <w:sz w:val="20"/>
              </w:rPr>
              <w:t xml:space="preserve"> </w:t>
            </w:r>
            <w:r w:rsidRPr="00B44B19">
              <w:rPr>
                <w:rFonts w:cs="Times New Roman"/>
                <w:b/>
                <w:noProof/>
                <w:sz w:val="20"/>
              </w:rPr>
              <w:t>forma</w:t>
            </w:r>
          </w:p>
        </w:tc>
      </w:tr>
      <w:tr w:rsidR="007C0361" w:rsidRPr="00B44B19" w14:paraId="3C2847CE" w14:textId="77777777" w:rsidTr="00D27D25">
        <w:trPr>
          <w:trHeight w:val="447"/>
        </w:trPr>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B38E63"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6A5457"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Fondas</w:t>
            </w:r>
          </w:p>
        </w:tc>
        <w:tc>
          <w:tcPr>
            <w:tcW w:w="12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32687E"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F9046"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Konkretus uždavinys</w:t>
            </w:r>
          </w:p>
        </w:tc>
        <w:tc>
          <w:tcPr>
            <w:tcW w:w="385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AEB9D9"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1CB3BD"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Suma (EUR)</w:t>
            </w:r>
          </w:p>
        </w:tc>
      </w:tr>
      <w:tr w:rsidR="00ED7E86" w:rsidRPr="00B44B19" w14:paraId="66B8F511" w14:textId="77777777" w:rsidTr="00D27D25">
        <w:tc>
          <w:tcPr>
            <w:tcW w:w="1098" w:type="dxa"/>
            <w:vMerge w:val="restart"/>
            <w:tcBorders>
              <w:top w:val="single" w:sz="12" w:space="0" w:color="auto"/>
            </w:tcBorders>
          </w:tcPr>
          <w:p w14:paraId="7057841F" w14:textId="77777777" w:rsidR="00ED7E86" w:rsidRPr="00B44B19" w:rsidRDefault="00ED7E86" w:rsidP="007C0361">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bottom w:val="single" w:sz="2" w:space="0" w:color="auto"/>
            </w:tcBorders>
          </w:tcPr>
          <w:p w14:paraId="687494BE" w14:textId="77777777" w:rsidR="00ED7E86" w:rsidRPr="00B44B19" w:rsidRDefault="00ED7E86" w:rsidP="007C0361">
            <w:pPr>
              <w:jc w:val="center"/>
              <w:rPr>
                <w:rFonts w:eastAsia="Times New Roman" w:cs="Times New Roman"/>
                <w:iCs/>
                <w:noProof/>
                <w:sz w:val="20"/>
              </w:rPr>
            </w:pPr>
            <w:r w:rsidRPr="00B44B19">
              <w:rPr>
                <w:rFonts w:eastAsia="Times New Roman" w:cs="Times New Roman"/>
                <w:iCs/>
                <w:noProof/>
                <w:sz w:val="20"/>
              </w:rPr>
              <w:t>SaF</w:t>
            </w:r>
          </w:p>
        </w:tc>
        <w:tc>
          <w:tcPr>
            <w:tcW w:w="1269" w:type="dxa"/>
            <w:tcBorders>
              <w:top w:val="single" w:sz="12" w:space="0" w:color="auto"/>
              <w:bottom w:val="single" w:sz="2" w:space="0" w:color="auto"/>
            </w:tcBorders>
          </w:tcPr>
          <w:p w14:paraId="5B7B240C" w14:textId="77777777" w:rsidR="00ED7E86" w:rsidRPr="00B44B19" w:rsidRDefault="00ED7E86" w:rsidP="007C0361">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1E22D733" w14:textId="77777777" w:rsidR="00ED7E86" w:rsidRPr="00B44B19" w:rsidRDefault="00ED7E86" w:rsidP="007C0361">
            <w:pPr>
              <w:jc w:val="center"/>
              <w:rPr>
                <w:rFonts w:eastAsia="Times New Roman" w:cs="Times New Roman"/>
                <w:b/>
                <w:iCs/>
                <w:noProof/>
                <w:sz w:val="20"/>
              </w:rPr>
            </w:pPr>
            <w:r w:rsidRPr="00B44B19">
              <w:rPr>
                <w:rFonts w:eastAsia="Times New Roman" w:cs="Times New Roman"/>
                <w:iCs/>
                <w:noProof/>
                <w:sz w:val="20"/>
              </w:rPr>
              <w:t>2.4</w:t>
            </w:r>
          </w:p>
        </w:tc>
        <w:tc>
          <w:tcPr>
            <w:tcW w:w="3856" w:type="dxa"/>
            <w:tcBorders>
              <w:top w:val="single" w:sz="12" w:space="0" w:color="auto"/>
              <w:bottom w:val="single" w:sz="2" w:space="0" w:color="auto"/>
            </w:tcBorders>
          </w:tcPr>
          <w:p w14:paraId="39A67627" w14:textId="77777777" w:rsidR="00ED7E86" w:rsidRPr="00B44B19" w:rsidRDefault="00ED7E86" w:rsidP="00F041DB">
            <w:pPr>
              <w:rPr>
                <w:rFonts w:eastAsia="Times New Roman" w:cs="Times New Roman"/>
                <w:iCs/>
                <w:noProof/>
                <w:sz w:val="20"/>
              </w:rPr>
            </w:pPr>
            <w:r w:rsidRPr="00B44B19">
              <w:rPr>
                <w:rFonts w:eastAsia="Times New Roman" w:cs="Times New Roman"/>
                <w:iCs/>
                <w:noProof/>
                <w:sz w:val="20"/>
              </w:rPr>
              <w:t>01 – Dotacija</w:t>
            </w:r>
          </w:p>
        </w:tc>
        <w:tc>
          <w:tcPr>
            <w:tcW w:w="1559" w:type="dxa"/>
            <w:tcBorders>
              <w:top w:val="single" w:sz="12" w:space="0" w:color="auto"/>
              <w:bottom w:val="single" w:sz="2" w:space="0" w:color="auto"/>
            </w:tcBorders>
          </w:tcPr>
          <w:p w14:paraId="420F799B" w14:textId="77777777" w:rsidR="00ED7E86" w:rsidRPr="00B44B19" w:rsidRDefault="00ED7E86" w:rsidP="00ED7E86">
            <w:pPr>
              <w:jc w:val="right"/>
              <w:rPr>
                <w:rFonts w:eastAsia="Times New Roman" w:cs="Times New Roman"/>
                <w:iCs/>
                <w:noProof/>
                <w:sz w:val="20"/>
              </w:rPr>
            </w:pPr>
            <w:r w:rsidRPr="00B44B19">
              <w:rPr>
                <w:rFonts w:cs="Times New Roman"/>
                <w:color w:val="000000"/>
                <w:sz w:val="20"/>
                <w:szCs w:val="20"/>
              </w:rPr>
              <w:t>29 500 000,00</w:t>
            </w:r>
          </w:p>
        </w:tc>
      </w:tr>
      <w:tr w:rsidR="00ED7E86" w:rsidRPr="00B44B19" w14:paraId="7587A034" w14:textId="77777777" w:rsidTr="00D27D25">
        <w:tc>
          <w:tcPr>
            <w:tcW w:w="1098" w:type="dxa"/>
            <w:vMerge/>
            <w:tcBorders>
              <w:bottom w:val="single" w:sz="2" w:space="0" w:color="auto"/>
            </w:tcBorders>
          </w:tcPr>
          <w:p w14:paraId="609E6B22" w14:textId="77777777" w:rsidR="00ED7E86" w:rsidRPr="00B44B19" w:rsidRDefault="00ED7E86" w:rsidP="007C0361">
            <w:pPr>
              <w:jc w:val="center"/>
              <w:rPr>
                <w:rFonts w:eastAsia="Times New Roman" w:cs="Times New Roman"/>
                <w:iCs/>
                <w:noProof/>
                <w:sz w:val="20"/>
              </w:rPr>
            </w:pPr>
          </w:p>
        </w:tc>
        <w:tc>
          <w:tcPr>
            <w:tcW w:w="850" w:type="dxa"/>
            <w:tcBorders>
              <w:top w:val="single" w:sz="2" w:space="0" w:color="auto"/>
              <w:bottom w:val="single" w:sz="2" w:space="0" w:color="auto"/>
            </w:tcBorders>
          </w:tcPr>
          <w:p w14:paraId="3880EF03" w14:textId="77777777" w:rsidR="00ED7E86" w:rsidRPr="00B44B19" w:rsidRDefault="00ED7E86" w:rsidP="00C63DCA">
            <w:pPr>
              <w:jc w:val="center"/>
              <w:rPr>
                <w:rFonts w:eastAsia="Times New Roman" w:cs="Times New Roman"/>
                <w:iCs/>
                <w:noProof/>
                <w:sz w:val="20"/>
              </w:rPr>
            </w:pPr>
            <w:r w:rsidRPr="00B44B19">
              <w:rPr>
                <w:rFonts w:eastAsia="Times New Roman" w:cs="Times New Roman"/>
                <w:iCs/>
                <w:noProof/>
                <w:sz w:val="20"/>
              </w:rPr>
              <w:t>ERPF</w:t>
            </w:r>
          </w:p>
        </w:tc>
        <w:tc>
          <w:tcPr>
            <w:tcW w:w="1269" w:type="dxa"/>
            <w:tcBorders>
              <w:top w:val="single" w:sz="2" w:space="0" w:color="auto"/>
              <w:bottom w:val="single" w:sz="2" w:space="0" w:color="auto"/>
            </w:tcBorders>
          </w:tcPr>
          <w:p w14:paraId="455E2300" w14:textId="77777777" w:rsidR="00ED7E86" w:rsidRPr="00B44B19" w:rsidRDefault="00ED7E86" w:rsidP="00C63DCA">
            <w:pPr>
              <w:rPr>
                <w:rFonts w:eastAsia="Times New Roman" w:cs="Times New Roman"/>
                <w:iCs/>
                <w:noProof/>
                <w:sz w:val="20"/>
              </w:rPr>
            </w:pPr>
            <w:r w:rsidRPr="00B44B19">
              <w:rPr>
                <w:rFonts w:eastAsia="Times New Roman" w:cs="Times New Roman"/>
                <w:iCs/>
                <w:noProof/>
                <w:sz w:val="20"/>
              </w:rPr>
              <w:t>VVL regionas</w:t>
            </w:r>
          </w:p>
        </w:tc>
        <w:tc>
          <w:tcPr>
            <w:tcW w:w="1134" w:type="dxa"/>
            <w:vMerge/>
            <w:tcBorders>
              <w:bottom w:val="single" w:sz="2" w:space="0" w:color="auto"/>
            </w:tcBorders>
          </w:tcPr>
          <w:p w14:paraId="477199D5" w14:textId="77777777" w:rsidR="00ED7E86" w:rsidRPr="00B44B19" w:rsidRDefault="00ED7E86" w:rsidP="007C0361">
            <w:pPr>
              <w:jc w:val="center"/>
              <w:rPr>
                <w:rFonts w:eastAsia="Times New Roman" w:cs="Times New Roman"/>
                <w:iCs/>
                <w:noProof/>
                <w:sz w:val="20"/>
              </w:rPr>
            </w:pPr>
          </w:p>
        </w:tc>
        <w:tc>
          <w:tcPr>
            <w:tcW w:w="3856" w:type="dxa"/>
            <w:tcBorders>
              <w:top w:val="single" w:sz="2" w:space="0" w:color="auto"/>
              <w:bottom w:val="single" w:sz="2" w:space="0" w:color="auto"/>
            </w:tcBorders>
          </w:tcPr>
          <w:p w14:paraId="6C274A41" w14:textId="77777777" w:rsidR="00ED7E86" w:rsidRPr="00B44B19" w:rsidRDefault="00ED7E86" w:rsidP="00C63DCA">
            <w:pPr>
              <w:rPr>
                <w:rFonts w:eastAsia="Times New Roman" w:cs="Times New Roman"/>
                <w:iCs/>
                <w:noProof/>
                <w:sz w:val="20"/>
              </w:rPr>
            </w:pPr>
            <w:r w:rsidRPr="00B44B19">
              <w:rPr>
                <w:rFonts w:eastAsia="Times New Roman" w:cs="Times New Roman"/>
                <w:iCs/>
                <w:noProof/>
                <w:sz w:val="20"/>
              </w:rPr>
              <w:t>01 – Dotacija</w:t>
            </w:r>
          </w:p>
        </w:tc>
        <w:tc>
          <w:tcPr>
            <w:tcW w:w="1559" w:type="dxa"/>
            <w:tcBorders>
              <w:top w:val="single" w:sz="2" w:space="0" w:color="auto"/>
              <w:bottom w:val="single" w:sz="2" w:space="0" w:color="auto"/>
            </w:tcBorders>
          </w:tcPr>
          <w:p w14:paraId="3A58A390" w14:textId="477F486A" w:rsidR="00ED7E86" w:rsidRPr="00B44B19" w:rsidRDefault="002F5B81" w:rsidP="002F5B81">
            <w:pPr>
              <w:jc w:val="right"/>
              <w:rPr>
                <w:rFonts w:cs="Times New Roman"/>
                <w:color w:val="000000"/>
                <w:sz w:val="20"/>
                <w:szCs w:val="20"/>
                <w:lang w:val="en-GB"/>
              </w:rPr>
            </w:pPr>
            <w:r w:rsidRPr="00B44B19">
              <w:rPr>
                <w:rFonts w:cs="Times New Roman"/>
                <w:color w:val="000000"/>
                <w:sz w:val="20"/>
                <w:szCs w:val="20"/>
              </w:rPr>
              <w:t>76 300 000</w:t>
            </w:r>
            <w:r w:rsidR="00ED7E86" w:rsidRPr="00B44B19">
              <w:rPr>
                <w:rFonts w:cs="Times New Roman"/>
                <w:color w:val="000000"/>
                <w:sz w:val="20"/>
                <w:szCs w:val="20"/>
                <w:lang w:val="en-GB"/>
              </w:rPr>
              <w:t>,00</w:t>
            </w:r>
          </w:p>
        </w:tc>
      </w:tr>
    </w:tbl>
    <w:p w14:paraId="6F19E35F" w14:textId="77777777" w:rsidR="007C0361" w:rsidRPr="00B44B19" w:rsidRDefault="007C0361" w:rsidP="007C0361">
      <w:pPr>
        <w:spacing w:after="0" w:line="240" w:lineRule="auto"/>
        <w:rPr>
          <w:rFonts w:cs="Times New Roman"/>
          <w:sz w:val="20"/>
          <w:szCs w:val="20"/>
        </w:rPr>
      </w:pPr>
    </w:p>
    <w:tbl>
      <w:tblPr>
        <w:tblStyle w:val="Lentelstinklelis"/>
        <w:tblW w:w="9747" w:type="dxa"/>
        <w:tblLook w:val="04A0" w:firstRow="1" w:lastRow="0" w:firstColumn="1" w:lastColumn="0" w:noHBand="0" w:noVBand="1"/>
      </w:tblPr>
      <w:tblGrid>
        <w:gridCol w:w="1101"/>
        <w:gridCol w:w="850"/>
        <w:gridCol w:w="1276"/>
        <w:gridCol w:w="1134"/>
        <w:gridCol w:w="3827"/>
        <w:gridCol w:w="1559"/>
      </w:tblGrid>
      <w:tr w:rsidR="007C0361" w:rsidRPr="00B44B19" w14:paraId="3452400E"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F34B6B6" w14:textId="77777777" w:rsidR="007C0361" w:rsidRPr="00B44B19" w:rsidRDefault="007C0361" w:rsidP="007C0361">
            <w:pPr>
              <w:rPr>
                <w:rFonts w:eastAsia="Times New Roman" w:cs="Times New Roman"/>
                <w:b/>
                <w:iCs/>
                <w:noProof/>
                <w:sz w:val="20"/>
              </w:rPr>
            </w:pPr>
            <w:r w:rsidRPr="00B44B19">
              <w:rPr>
                <w:rFonts w:cs="Times New Roman"/>
                <w:b/>
                <w:noProof/>
                <w:sz w:val="20"/>
              </w:rPr>
              <w:t xml:space="preserve">6 lentelė. 3 matmuo. </w:t>
            </w:r>
            <w:r w:rsidR="00774479" w:rsidRPr="00B44B19">
              <w:rPr>
                <w:rFonts w:cs="Times New Roman"/>
                <w:b/>
                <w:noProof/>
                <w:sz w:val="20"/>
              </w:rPr>
              <w:t>Teritorinis įgyvendinimo mechanizmas ir pagrindinė teritorinė sritis</w:t>
            </w:r>
          </w:p>
        </w:tc>
      </w:tr>
      <w:tr w:rsidR="007C0361" w:rsidRPr="00B44B19" w14:paraId="7304C76C" w14:textId="77777777" w:rsidTr="00ED7E86">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702E0E"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A3A82D"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779F11"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1E050C"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B48E33"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C0297E"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Suma (EUR)</w:t>
            </w:r>
          </w:p>
        </w:tc>
      </w:tr>
      <w:tr w:rsidR="00ED7E86" w:rsidRPr="00B44B19" w14:paraId="4F94B683" w14:textId="77777777" w:rsidTr="00C63DCA">
        <w:tc>
          <w:tcPr>
            <w:tcW w:w="1101" w:type="dxa"/>
            <w:vMerge w:val="restart"/>
            <w:tcBorders>
              <w:top w:val="single" w:sz="12" w:space="0" w:color="auto"/>
            </w:tcBorders>
          </w:tcPr>
          <w:p w14:paraId="196375CB" w14:textId="77777777" w:rsidR="00ED7E86" w:rsidRPr="00B44B19" w:rsidRDefault="00ED7E86" w:rsidP="007C0361">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bottom w:val="single" w:sz="2" w:space="0" w:color="auto"/>
            </w:tcBorders>
          </w:tcPr>
          <w:p w14:paraId="17AAB475" w14:textId="77777777" w:rsidR="00ED7E86" w:rsidRPr="00B44B19" w:rsidRDefault="00ED7E86" w:rsidP="007167BE">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2" w:space="0" w:color="auto"/>
            </w:tcBorders>
          </w:tcPr>
          <w:p w14:paraId="0AD99977" w14:textId="77777777" w:rsidR="00ED7E86" w:rsidRPr="00B44B19" w:rsidRDefault="00ED7E86" w:rsidP="007167BE">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58E11D1B" w14:textId="77777777" w:rsidR="00ED7E86" w:rsidRPr="00B44B19" w:rsidRDefault="00ED7E86" w:rsidP="007C0361">
            <w:pPr>
              <w:jc w:val="center"/>
              <w:rPr>
                <w:rFonts w:eastAsia="Times New Roman" w:cs="Times New Roman"/>
                <w:iCs/>
                <w:noProof/>
                <w:sz w:val="20"/>
              </w:rPr>
            </w:pPr>
            <w:r w:rsidRPr="00B44B19">
              <w:rPr>
                <w:rFonts w:eastAsia="Times New Roman" w:cs="Times New Roman"/>
                <w:iCs/>
                <w:noProof/>
                <w:sz w:val="20"/>
              </w:rPr>
              <w:t>2.4.</w:t>
            </w:r>
          </w:p>
        </w:tc>
        <w:tc>
          <w:tcPr>
            <w:tcW w:w="3827" w:type="dxa"/>
            <w:tcBorders>
              <w:top w:val="single" w:sz="12" w:space="0" w:color="auto"/>
              <w:bottom w:val="single" w:sz="2" w:space="0" w:color="auto"/>
            </w:tcBorders>
          </w:tcPr>
          <w:p w14:paraId="4F267B76" w14:textId="77777777" w:rsidR="00ED7E86" w:rsidRPr="00B44B19" w:rsidRDefault="00ED7E86" w:rsidP="00C63DCA">
            <w:pPr>
              <w:tabs>
                <w:tab w:val="center" w:pos="1805"/>
              </w:tabs>
              <w:rPr>
                <w:rFonts w:eastAsia="Times New Roman" w:cs="Times New Roman"/>
                <w:iCs/>
                <w:noProof/>
                <w:sz w:val="20"/>
              </w:rPr>
            </w:pPr>
            <w:r w:rsidRPr="00B44B19">
              <w:rPr>
                <w:rFonts w:eastAsia="Times New Roman" w:cs="Times New Roman"/>
                <w:iCs/>
                <w:noProof/>
                <w:sz w:val="20"/>
              </w:rPr>
              <w:t>33 – Nesiorientuojant į teritoriškumą</w:t>
            </w:r>
          </w:p>
        </w:tc>
        <w:tc>
          <w:tcPr>
            <w:tcW w:w="1559" w:type="dxa"/>
            <w:tcBorders>
              <w:top w:val="single" w:sz="12" w:space="0" w:color="auto"/>
              <w:bottom w:val="single" w:sz="2" w:space="0" w:color="auto"/>
            </w:tcBorders>
          </w:tcPr>
          <w:p w14:paraId="125B31DD" w14:textId="77777777" w:rsidR="00ED7E86" w:rsidRPr="00B44B19" w:rsidRDefault="00ED7E86" w:rsidP="00C63DCA">
            <w:pPr>
              <w:jc w:val="right"/>
              <w:rPr>
                <w:rFonts w:eastAsia="Times New Roman" w:cs="Times New Roman"/>
                <w:iCs/>
                <w:noProof/>
                <w:sz w:val="20"/>
              </w:rPr>
            </w:pPr>
            <w:r w:rsidRPr="00B44B19">
              <w:rPr>
                <w:rFonts w:cs="Times New Roman"/>
                <w:color w:val="000000"/>
                <w:sz w:val="20"/>
                <w:szCs w:val="20"/>
              </w:rPr>
              <w:t xml:space="preserve">29 500 000,00 </w:t>
            </w:r>
          </w:p>
        </w:tc>
      </w:tr>
      <w:tr w:rsidR="00ED7E86" w:rsidRPr="00B44B19" w14:paraId="4D088106" w14:textId="77777777" w:rsidTr="00C63DCA">
        <w:tc>
          <w:tcPr>
            <w:tcW w:w="1101" w:type="dxa"/>
            <w:vMerge/>
          </w:tcPr>
          <w:p w14:paraId="172AA785" w14:textId="77777777" w:rsidR="00ED7E86" w:rsidRPr="00B44B19" w:rsidRDefault="00ED7E86" w:rsidP="007C0361">
            <w:pPr>
              <w:jc w:val="center"/>
              <w:rPr>
                <w:rFonts w:eastAsia="Times New Roman" w:cs="Times New Roman"/>
                <w:iCs/>
                <w:noProof/>
                <w:sz w:val="20"/>
              </w:rPr>
            </w:pPr>
          </w:p>
        </w:tc>
        <w:tc>
          <w:tcPr>
            <w:tcW w:w="850" w:type="dxa"/>
            <w:tcBorders>
              <w:top w:val="single" w:sz="2" w:space="0" w:color="auto"/>
            </w:tcBorders>
          </w:tcPr>
          <w:p w14:paraId="5A694A51" w14:textId="77777777" w:rsidR="00ED7E86" w:rsidRPr="00B44B19" w:rsidRDefault="00ED7E86" w:rsidP="00C63DCA">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2" w:space="0" w:color="auto"/>
            </w:tcBorders>
          </w:tcPr>
          <w:p w14:paraId="1454FDB0" w14:textId="77777777" w:rsidR="00ED7E86" w:rsidRPr="00B44B19" w:rsidRDefault="00ED7E86" w:rsidP="00C63DCA">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1B9510DF" w14:textId="77777777" w:rsidR="00ED7E86" w:rsidRPr="00B44B19" w:rsidRDefault="00ED7E86" w:rsidP="007C0361">
            <w:pPr>
              <w:jc w:val="center"/>
              <w:rPr>
                <w:rFonts w:eastAsia="Times New Roman" w:cs="Times New Roman"/>
                <w:iCs/>
                <w:noProof/>
                <w:sz w:val="20"/>
              </w:rPr>
            </w:pPr>
          </w:p>
        </w:tc>
        <w:tc>
          <w:tcPr>
            <w:tcW w:w="3827" w:type="dxa"/>
            <w:tcBorders>
              <w:top w:val="single" w:sz="2" w:space="0" w:color="auto"/>
              <w:bottom w:val="single" w:sz="4" w:space="0" w:color="auto"/>
            </w:tcBorders>
          </w:tcPr>
          <w:p w14:paraId="40B4FCE0" w14:textId="77777777" w:rsidR="00ED7E86" w:rsidRPr="00B44B19" w:rsidRDefault="00ED7E86" w:rsidP="00C63DCA">
            <w:pPr>
              <w:tabs>
                <w:tab w:val="center" w:pos="1805"/>
              </w:tabs>
              <w:rPr>
                <w:rFonts w:eastAsia="Times New Roman" w:cs="Times New Roman"/>
                <w:iCs/>
                <w:noProof/>
                <w:sz w:val="20"/>
              </w:rPr>
            </w:pPr>
            <w:r w:rsidRPr="00B44B19">
              <w:rPr>
                <w:rFonts w:eastAsia="Times New Roman" w:cs="Times New Roman"/>
                <w:iCs/>
                <w:noProof/>
                <w:sz w:val="20"/>
              </w:rPr>
              <w:t>33 – Nesiorientuojant į teritoriškumą</w:t>
            </w:r>
          </w:p>
        </w:tc>
        <w:tc>
          <w:tcPr>
            <w:tcW w:w="1559" w:type="dxa"/>
            <w:tcBorders>
              <w:top w:val="single" w:sz="2" w:space="0" w:color="auto"/>
              <w:bottom w:val="single" w:sz="4" w:space="0" w:color="auto"/>
            </w:tcBorders>
          </w:tcPr>
          <w:p w14:paraId="7A55EA40" w14:textId="7909F86D" w:rsidR="00ED7E86" w:rsidRPr="00B44B19" w:rsidRDefault="002F5B81" w:rsidP="002F5B81">
            <w:pPr>
              <w:jc w:val="right"/>
              <w:rPr>
                <w:rFonts w:cs="Times New Roman"/>
                <w:color w:val="000000"/>
                <w:sz w:val="20"/>
                <w:szCs w:val="20"/>
              </w:rPr>
            </w:pPr>
            <w:r w:rsidRPr="00B44B19">
              <w:rPr>
                <w:rFonts w:cs="Times New Roman"/>
                <w:color w:val="000000"/>
                <w:sz w:val="20"/>
                <w:szCs w:val="20"/>
              </w:rPr>
              <w:t>76 300 000</w:t>
            </w:r>
            <w:r w:rsidR="00ED7E86" w:rsidRPr="00B44B19">
              <w:rPr>
                <w:rFonts w:cs="Times New Roman"/>
                <w:color w:val="000000"/>
                <w:sz w:val="20"/>
                <w:szCs w:val="20"/>
                <w:lang w:val="en-GB"/>
              </w:rPr>
              <w:t>,00</w:t>
            </w:r>
          </w:p>
        </w:tc>
      </w:tr>
    </w:tbl>
    <w:p w14:paraId="5A4AB30C" w14:textId="77777777" w:rsidR="007C0361" w:rsidRPr="00B44B19" w:rsidRDefault="007C0361" w:rsidP="007C0361">
      <w:pPr>
        <w:spacing w:after="0" w:line="240" w:lineRule="auto"/>
        <w:rPr>
          <w:rFonts w:cs="Times New Roman"/>
          <w:sz w:val="20"/>
          <w:szCs w:val="20"/>
        </w:rPr>
      </w:pPr>
    </w:p>
    <w:tbl>
      <w:tblPr>
        <w:tblStyle w:val="Lentelstinklelis25"/>
        <w:tblW w:w="9766" w:type="dxa"/>
        <w:tblLayout w:type="fixed"/>
        <w:tblLook w:val="04A0" w:firstRow="1" w:lastRow="0" w:firstColumn="1" w:lastColumn="0" w:noHBand="0" w:noVBand="1"/>
      </w:tblPr>
      <w:tblGrid>
        <w:gridCol w:w="1100"/>
        <w:gridCol w:w="849"/>
        <w:gridCol w:w="1278"/>
        <w:gridCol w:w="1134"/>
        <w:gridCol w:w="3876"/>
        <w:gridCol w:w="1529"/>
      </w:tblGrid>
      <w:tr w:rsidR="00695561" w:rsidRPr="00B44B19" w14:paraId="34EF22A8" w14:textId="77777777" w:rsidTr="00D27D25">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EC3B477" w14:textId="77777777" w:rsidR="00695561" w:rsidRPr="00B44B19" w:rsidRDefault="00695561" w:rsidP="00695561">
            <w:pPr>
              <w:rPr>
                <w:b/>
                <w:iCs/>
                <w:noProof/>
                <w:sz w:val="20"/>
                <w:szCs w:val="20"/>
              </w:rPr>
            </w:pPr>
            <w:r w:rsidRPr="00B44B19">
              <w:rPr>
                <w:b/>
                <w:noProof/>
                <w:sz w:val="20"/>
                <w:szCs w:val="20"/>
              </w:rPr>
              <w:t xml:space="preserve">7 lentelė. 7 matmuo. </w:t>
            </w:r>
            <w:r w:rsidRPr="00B44B19">
              <w:rPr>
                <w:b/>
                <w:sz w:val="20"/>
                <w:szCs w:val="20"/>
              </w:rPr>
              <w:t>ESF+, ERPF, S</w:t>
            </w:r>
            <w:r w:rsidR="00F71FA0" w:rsidRPr="00B44B19">
              <w:rPr>
                <w:b/>
                <w:sz w:val="20"/>
                <w:szCs w:val="20"/>
              </w:rPr>
              <w:t>a</w:t>
            </w:r>
            <w:r w:rsidRPr="00B44B19">
              <w:rPr>
                <w:b/>
                <w:sz w:val="20"/>
                <w:szCs w:val="20"/>
              </w:rPr>
              <w:t>F ir TPF lyčių lygybės matmuo</w:t>
            </w:r>
          </w:p>
        </w:tc>
      </w:tr>
      <w:tr w:rsidR="00695561" w:rsidRPr="00B44B19" w14:paraId="5B408C0A" w14:textId="77777777" w:rsidTr="00D27D25">
        <w:tc>
          <w:tcPr>
            <w:tcW w:w="11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115063" w14:textId="77777777" w:rsidR="00695561" w:rsidRPr="00B44B19" w:rsidRDefault="00695561" w:rsidP="00695561">
            <w:pPr>
              <w:jc w:val="center"/>
              <w:rPr>
                <w:b/>
                <w:iCs/>
                <w:noProof/>
                <w:sz w:val="20"/>
              </w:rPr>
            </w:pPr>
            <w:r w:rsidRPr="00B44B19">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45B923" w14:textId="77777777" w:rsidR="00695561" w:rsidRPr="00B44B19" w:rsidRDefault="00695561" w:rsidP="00695561">
            <w:pPr>
              <w:jc w:val="center"/>
              <w:rPr>
                <w:b/>
                <w:iCs/>
                <w:noProof/>
                <w:sz w:val="20"/>
              </w:rPr>
            </w:pPr>
            <w:r w:rsidRPr="00B44B19">
              <w:rPr>
                <w:b/>
                <w:noProof/>
                <w:sz w:val="20"/>
              </w:rPr>
              <w:t>Fondas</w:t>
            </w:r>
          </w:p>
        </w:tc>
        <w:tc>
          <w:tcPr>
            <w:tcW w:w="12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DC3F04" w14:textId="77777777" w:rsidR="00695561" w:rsidRPr="00B44B19" w:rsidRDefault="00695561" w:rsidP="00695561">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A6B5A" w14:textId="77777777" w:rsidR="00695561" w:rsidRPr="00B44B19" w:rsidRDefault="00695561" w:rsidP="00695561">
            <w:pPr>
              <w:jc w:val="center"/>
              <w:rPr>
                <w:b/>
                <w:iCs/>
                <w:noProof/>
                <w:sz w:val="20"/>
              </w:rPr>
            </w:pPr>
            <w:r w:rsidRPr="00B44B19">
              <w:rPr>
                <w:b/>
                <w:noProof/>
                <w:sz w:val="20"/>
              </w:rPr>
              <w:t>Konkretus uždavinys</w:t>
            </w:r>
          </w:p>
        </w:tc>
        <w:tc>
          <w:tcPr>
            <w:tcW w:w="38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A50894" w14:textId="77777777" w:rsidR="00695561" w:rsidRPr="00B44B19" w:rsidRDefault="00695561" w:rsidP="00695561">
            <w:pPr>
              <w:jc w:val="center"/>
              <w:rPr>
                <w:b/>
                <w:iCs/>
                <w:noProof/>
                <w:sz w:val="20"/>
              </w:rPr>
            </w:pPr>
            <w:r w:rsidRPr="00B44B19">
              <w:rPr>
                <w:b/>
                <w:noProof/>
                <w:sz w:val="20"/>
              </w:rPr>
              <w:t>Kodas</w:t>
            </w:r>
          </w:p>
        </w:tc>
        <w:tc>
          <w:tcPr>
            <w:tcW w:w="152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6E80A" w14:textId="77777777" w:rsidR="00695561" w:rsidRPr="00B44B19" w:rsidRDefault="00695561" w:rsidP="00695561">
            <w:pPr>
              <w:jc w:val="center"/>
              <w:rPr>
                <w:b/>
                <w:iCs/>
                <w:noProof/>
                <w:sz w:val="20"/>
              </w:rPr>
            </w:pPr>
            <w:r w:rsidRPr="00B44B19">
              <w:rPr>
                <w:b/>
                <w:noProof/>
                <w:sz w:val="20"/>
              </w:rPr>
              <w:t>Suma (EUR)</w:t>
            </w:r>
          </w:p>
        </w:tc>
      </w:tr>
      <w:tr w:rsidR="00ED7E86" w:rsidRPr="00B44B19" w14:paraId="0A0E9354" w14:textId="77777777" w:rsidTr="00D27D25">
        <w:trPr>
          <w:trHeight w:val="227"/>
        </w:trPr>
        <w:tc>
          <w:tcPr>
            <w:tcW w:w="1100" w:type="dxa"/>
            <w:vMerge w:val="restart"/>
            <w:tcBorders>
              <w:top w:val="single" w:sz="12" w:space="0" w:color="auto"/>
            </w:tcBorders>
          </w:tcPr>
          <w:p w14:paraId="5649559D" w14:textId="77777777" w:rsidR="00ED7E86" w:rsidRPr="00B44B19" w:rsidRDefault="00ED7E86" w:rsidP="00695561">
            <w:pPr>
              <w:jc w:val="center"/>
              <w:rPr>
                <w:iCs/>
                <w:noProof/>
                <w:sz w:val="20"/>
                <w:lang w:val="en-US"/>
              </w:rPr>
            </w:pPr>
            <w:r w:rsidRPr="00B44B19">
              <w:rPr>
                <w:iCs/>
                <w:noProof/>
                <w:sz w:val="20"/>
                <w:lang w:val="en-US"/>
              </w:rPr>
              <w:t>2.</w:t>
            </w:r>
          </w:p>
        </w:tc>
        <w:tc>
          <w:tcPr>
            <w:tcW w:w="849" w:type="dxa"/>
            <w:tcBorders>
              <w:top w:val="single" w:sz="12" w:space="0" w:color="auto"/>
              <w:bottom w:val="single" w:sz="2" w:space="0" w:color="auto"/>
            </w:tcBorders>
          </w:tcPr>
          <w:p w14:paraId="56665D26" w14:textId="77777777" w:rsidR="00ED7E86" w:rsidRPr="00B44B19" w:rsidRDefault="00ED7E86" w:rsidP="00695561">
            <w:pPr>
              <w:jc w:val="center"/>
              <w:rPr>
                <w:iCs/>
                <w:noProof/>
                <w:sz w:val="20"/>
              </w:rPr>
            </w:pPr>
            <w:r w:rsidRPr="00B44B19">
              <w:rPr>
                <w:iCs/>
                <w:noProof/>
                <w:sz w:val="20"/>
              </w:rPr>
              <w:t>Saf</w:t>
            </w:r>
          </w:p>
        </w:tc>
        <w:tc>
          <w:tcPr>
            <w:tcW w:w="1278" w:type="dxa"/>
            <w:tcBorders>
              <w:top w:val="single" w:sz="12" w:space="0" w:color="auto"/>
              <w:bottom w:val="single" w:sz="2" w:space="0" w:color="auto"/>
            </w:tcBorders>
          </w:tcPr>
          <w:p w14:paraId="301050F9" w14:textId="77777777" w:rsidR="00ED7E86" w:rsidRPr="00B44B19" w:rsidRDefault="00ED7E86" w:rsidP="00695561">
            <w:pPr>
              <w:rPr>
                <w:iCs/>
                <w:noProof/>
                <w:sz w:val="20"/>
              </w:rPr>
            </w:pPr>
            <w:r w:rsidRPr="00B44B19">
              <w:rPr>
                <w:iCs/>
                <w:noProof/>
                <w:sz w:val="20"/>
              </w:rPr>
              <w:t>Visa Lietuva</w:t>
            </w:r>
          </w:p>
        </w:tc>
        <w:tc>
          <w:tcPr>
            <w:tcW w:w="1134" w:type="dxa"/>
            <w:vMerge w:val="restart"/>
            <w:tcBorders>
              <w:top w:val="single" w:sz="12" w:space="0" w:color="auto"/>
            </w:tcBorders>
          </w:tcPr>
          <w:p w14:paraId="7CFF35F2" w14:textId="77777777" w:rsidR="00ED7E86" w:rsidRPr="00B44B19" w:rsidRDefault="00ED7E86" w:rsidP="00695561">
            <w:pPr>
              <w:jc w:val="center"/>
              <w:rPr>
                <w:iCs/>
                <w:noProof/>
                <w:sz w:val="20"/>
              </w:rPr>
            </w:pPr>
            <w:r w:rsidRPr="00B44B19">
              <w:rPr>
                <w:iCs/>
                <w:noProof/>
                <w:sz w:val="20"/>
              </w:rPr>
              <w:t>2.4.</w:t>
            </w:r>
          </w:p>
        </w:tc>
        <w:tc>
          <w:tcPr>
            <w:tcW w:w="3876" w:type="dxa"/>
            <w:tcBorders>
              <w:top w:val="single" w:sz="12" w:space="0" w:color="auto"/>
              <w:bottom w:val="single" w:sz="2" w:space="0" w:color="auto"/>
            </w:tcBorders>
          </w:tcPr>
          <w:p w14:paraId="65C58EC8" w14:textId="77777777" w:rsidR="00ED7E86" w:rsidRPr="00B44B19" w:rsidRDefault="00ED7E86" w:rsidP="00C63DCA">
            <w:pPr>
              <w:rPr>
                <w:iCs/>
                <w:noProof/>
                <w:sz w:val="20"/>
              </w:rPr>
            </w:pPr>
            <w:r w:rsidRPr="00B44B19">
              <w:rPr>
                <w:iCs/>
                <w:noProof/>
                <w:sz w:val="20"/>
              </w:rPr>
              <w:t>03 – Neutralumas lyties požiūriu</w:t>
            </w:r>
          </w:p>
        </w:tc>
        <w:tc>
          <w:tcPr>
            <w:tcW w:w="1529" w:type="dxa"/>
            <w:tcBorders>
              <w:top w:val="single" w:sz="12" w:space="0" w:color="auto"/>
              <w:bottom w:val="single" w:sz="2" w:space="0" w:color="auto"/>
            </w:tcBorders>
          </w:tcPr>
          <w:p w14:paraId="670370E3" w14:textId="77777777" w:rsidR="00ED7E86" w:rsidRPr="00B44B19" w:rsidRDefault="00ED7E86" w:rsidP="00C63DCA">
            <w:pPr>
              <w:jc w:val="right"/>
              <w:rPr>
                <w:iCs/>
                <w:noProof/>
                <w:sz w:val="20"/>
              </w:rPr>
            </w:pPr>
            <w:r w:rsidRPr="00B44B19">
              <w:rPr>
                <w:color w:val="000000"/>
                <w:sz w:val="20"/>
                <w:szCs w:val="20"/>
              </w:rPr>
              <w:t xml:space="preserve">29 500 000,00 </w:t>
            </w:r>
          </w:p>
        </w:tc>
      </w:tr>
      <w:tr w:rsidR="00ED7E86" w:rsidRPr="00B44B19" w14:paraId="75262DA6" w14:textId="77777777" w:rsidTr="00D27D25">
        <w:trPr>
          <w:trHeight w:val="227"/>
        </w:trPr>
        <w:tc>
          <w:tcPr>
            <w:tcW w:w="1100" w:type="dxa"/>
            <w:vMerge/>
          </w:tcPr>
          <w:p w14:paraId="6C36AF57" w14:textId="77777777" w:rsidR="00ED7E86" w:rsidRPr="00B44B19" w:rsidRDefault="00ED7E86" w:rsidP="00695561">
            <w:pPr>
              <w:jc w:val="center"/>
              <w:rPr>
                <w:iCs/>
                <w:noProof/>
                <w:sz w:val="20"/>
                <w:lang w:val="en-US"/>
              </w:rPr>
            </w:pPr>
          </w:p>
        </w:tc>
        <w:tc>
          <w:tcPr>
            <w:tcW w:w="849" w:type="dxa"/>
            <w:tcBorders>
              <w:top w:val="single" w:sz="2" w:space="0" w:color="auto"/>
            </w:tcBorders>
          </w:tcPr>
          <w:p w14:paraId="08F194CB" w14:textId="77777777" w:rsidR="00ED7E86" w:rsidRPr="00B44B19" w:rsidRDefault="00ED7E86" w:rsidP="00C63DCA">
            <w:pPr>
              <w:jc w:val="center"/>
              <w:rPr>
                <w:iCs/>
                <w:noProof/>
                <w:sz w:val="20"/>
              </w:rPr>
            </w:pPr>
            <w:r w:rsidRPr="00B44B19">
              <w:rPr>
                <w:iCs/>
                <w:noProof/>
                <w:sz w:val="20"/>
              </w:rPr>
              <w:t>ERPF</w:t>
            </w:r>
          </w:p>
        </w:tc>
        <w:tc>
          <w:tcPr>
            <w:tcW w:w="1278" w:type="dxa"/>
            <w:tcBorders>
              <w:top w:val="single" w:sz="2" w:space="0" w:color="auto"/>
            </w:tcBorders>
          </w:tcPr>
          <w:p w14:paraId="36E5F0B6" w14:textId="77777777" w:rsidR="00ED7E86" w:rsidRPr="00B44B19" w:rsidRDefault="00ED7E86" w:rsidP="00C63DCA">
            <w:pPr>
              <w:rPr>
                <w:iCs/>
                <w:noProof/>
                <w:sz w:val="20"/>
              </w:rPr>
            </w:pPr>
            <w:r w:rsidRPr="00B44B19">
              <w:rPr>
                <w:iCs/>
                <w:noProof/>
                <w:sz w:val="20"/>
              </w:rPr>
              <w:t>VVL regionas</w:t>
            </w:r>
          </w:p>
        </w:tc>
        <w:tc>
          <w:tcPr>
            <w:tcW w:w="1134" w:type="dxa"/>
            <w:vMerge/>
          </w:tcPr>
          <w:p w14:paraId="2E503C1A" w14:textId="77777777" w:rsidR="00ED7E86" w:rsidRPr="00B44B19" w:rsidRDefault="00ED7E86" w:rsidP="00695561">
            <w:pPr>
              <w:jc w:val="center"/>
              <w:rPr>
                <w:iCs/>
                <w:noProof/>
                <w:sz w:val="20"/>
              </w:rPr>
            </w:pPr>
          </w:p>
        </w:tc>
        <w:tc>
          <w:tcPr>
            <w:tcW w:w="3876" w:type="dxa"/>
            <w:tcBorders>
              <w:top w:val="single" w:sz="2" w:space="0" w:color="auto"/>
            </w:tcBorders>
          </w:tcPr>
          <w:p w14:paraId="571E7DF2" w14:textId="77777777" w:rsidR="00ED7E86" w:rsidRPr="00B44B19" w:rsidRDefault="00ED7E86" w:rsidP="00C63DCA">
            <w:pPr>
              <w:rPr>
                <w:iCs/>
                <w:noProof/>
                <w:sz w:val="20"/>
              </w:rPr>
            </w:pPr>
            <w:r w:rsidRPr="00B44B19">
              <w:rPr>
                <w:iCs/>
                <w:noProof/>
                <w:sz w:val="20"/>
              </w:rPr>
              <w:t>03 – Neutralumas lyties požiūriu</w:t>
            </w:r>
          </w:p>
        </w:tc>
        <w:tc>
          <w:tcPr>
            <w:tcW w:w="1529" w:type="dxa"/>
            <w:tcBorders>
              <w:top w:val="single" w:sz="2" w:space="0" w:color="auto"/>
            </w:tcBorders>
          </w:tcPr>
          <w:p w14:paraId="47D29836" w14:textId="0E8C5959" w:rsidR="00ED7E86" w:rsidRPr="00B44B19" w:rsidRDefault="002F5B81" w:rsidP="002F5B81">
            <w:pPr>
              <w:jc w:val="right"/>
              <w:rPr>
                <w:color w:val="000000"/>
                <w:sz w:val="20"/>
                <w:szCs w:val="20"/>
              </w:rPr>
            </w:pPr>
            <w:r w:rsidRPr="00B44B19">
              <w:rPr>
                <w:color w:val="000000"/>
                <w:sz w:val="20"/>
                <w:szCs w:val="20"/>
              </w:rPr>
              <w:t>76 300 000</w:t>
            </w:r>
            <w:r w:rsidR="00ED7E86" w:rsidRPr="00B44B19">
              <w:rPr>
                <w:color w:val="000000"/>
                <w:sz w:val="20"/>
                <w:szCs w:val="20"/>
                <w:lang w:val="en-GB"/>
              </w:rPr>
              <w:t>,00</w:t>
            </w:r>
          </w:p>
        </w:tc>
      </w:tr>
    </w:tbl>
    <w:p w14:paraId="54B237EF" w14:textId="77777777" w:rsidR="004B5432" w:rsidRPr="00B44B19" w:rsidRDefault="004B5432" w:rsidP="004B5432">
      <w:pPr>
        <w:rPr>
          <w:rFonts w:cs="Times New Roman"/>
        </w:rPr>
      </w:pPr>
    </w:p>
    <w:p w14:paraId="5418A4C3" w14:textId="77777777" w:rsidR="004B5432" w:rsidRPr="00B44B19" w:rsidRDefault="004B5432" w:rsidP="004B5432">
      <w:pPr>
        <w:rPr>
          <w:rFonts w:cs="Times New Roman"/>
        </w:rPr>
      </w:pPr>
    </w:p>
    <w:p w14:paraId="5075BDFB" w14:textId="394C669A" w:rsidR="00FE2852" w:rsidRPr="00B44B19" w:rsidRDefault="00FE2852" w:rsidP="00D456C1">
      <w:pPr>
        <w:pStyle w:val="Antrat2"/>
      </w:pPr>
      <w:bookmarkStart w:id="28" w:name="_Toc223435419"/>
      <w:r w:rsidRPr="00B44B19">
        <w:lastRenderedPageBreak/>
        <w:t xml:space="preserve">Konkretus uždavinys – 2.5. </w:t>
      </w:r>
      <w:r w:rsidR="003E7C64" w:rsidRPr="00B44B19">
        <w:rPr>
          <w:lang w:bidi="lt-LT"/>
        </w:rPr>
        <w:t>Skatinti saugią prieigą prie vandens, tvarios vandentvarkos, įskaitant integruotą vandentvarką, ir vandens išteklių atsparumą</w:t>
      </w:r>
      <w:bookmarkEnd w:id="28"/>
    </w:p>
    <w:p w14:paraId="50062AA9" w14:textId="77777777" w:rsidR="00FE2852" w:rsidRPr="00B44B19" w:rsidRDefault="00FE2852" w:rsidP="001E5B12">
      <w:pPr>
        <w:pStyle w:val="Stilius1"/>
        <w:rPr>
          <w:rFonts w:cs="Times New Roman"/>
        </w:rPr>
      </w:pPr>
      <w:r w:rsidRPr="00B44B19">
        <w:rPr>
          <w:rFonts w:cs="Times New Roman"/>
        </w:rPr>
        <w:t xml:space="preserve">Įgyvendinamos veiklos </w:t>
      </w:r>
    </w:p>
    <w:tbl>
      <w:tblPr>
        <w:tblStyle w:val="Lentelstinklelis2"/>
        <w:tblW w:w="9634" w:type="dxa"/>
        <w:tblLook w:val="04A0" w:firstRow="1" w:lastRow="0" w:firstColumn="1" w:lastColumn="0" w:noHBand="0" w:noVBand="1"/>
      </w:tblPr>
      <w:tblGrid>
        <w:gridCol w:w="9634"/>
      </w:tblGrid>
      <w:tr w:rsidR="00FE2852" w:rsidRPr="00B44B19" w14:paraId="4499493F" w14:textId="77777777" w:rsidTr="00D27D25">
        <w:trPr>
          <w:trHeight w:val="313"/>
        </w:trPr>
        <w:tc>
          <w:tcPr>
            <w:tcW w:w="9634" w:type="dxa"/>
            <w:shd w:val="clear" w:color="auto" w:fill="FFFFFF" w:themeFill="background1"/>
          </w:tcPr>
          <w:p w14:paraId="179F857D" w14:textId="77777777" w:rsidR="00BB59DF" w:rsidRPr="00B44B19" w:rsidRDefault="00F71FA0"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Šis uždavinys prisideda prie geros vandenų būklės, vandens ir nuotekų paslaugų prieinamumo ir įperkamumo, sanitarinių paslaugų kokybės ir vandentvarkos sektoriaus efektyvumo.</w:t>
            </w:r>
          </w:p>
          <w:p w14:paraId="5DD0DC0F" w14:textId="77777777" w:rsidR="00BB59DF" w:rsidRPr="00B44B19" w:rsidRDefault="00BB59DF"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Įgyvendinant </w:t>
            </w:r>
            <w:r w:rsidR="00423EC0" w:rsidRPr="00B44B19">
              <w:rPr>
                <w:rFonts w:ascii="Times New Roman" w:eastAsia="Times New Roman" w:hAnsi="Times New Roman" w:cs="Times New Roman"/>
              </w:rPr>
              <w:t>Bendrąją vandens politikos direktyvą</w:t>
            </w:r>
            <w:r w:rsidR="00A15076" w:rsidRPr="00B44B19">
              <w:rPr>
                <w:rFonts w:ascii="Times New Roman" w:eastAsia="Times New Roman" w:hAnsi="Times New Roman" w:cs="Times New Roman"/>
              </w:rPr>
              <w:t xml:space="preserve"> 2000/60/EB</w:t>
            </w:r>
            <w:r w:rsidRPr="00B44B19">
              <w:rPr>
                <w:rFonts w:ascii="Times New Roman" w:eastAsia="Times New Roman" w:hAnsi="Times New Roman" w:cs="Times New Roman"/>
              </w:rPr>
              <w:t xml:space="preserve">, siekiama, kad vandens telkinių būklė neprastėtų, o visi Lietuvos vandens telkiniai (upės, ežerai, požeminis vanduo, Baltijos jūra) taptų geros būklės. </w:t>
            </w:r>
            <w:r w:rsidR="001E36B3" w:rsidRPr="00B44B19">
              <w:rPr>
                <w:rFonts w:ascii="Times New Roman" w:eastAsia="Times New Roman" w:hAnsi="Times New Roman" w:cs="Times New Roman"/>
              </w:rPr>
              <w:t>A</w:t>
            </w:r>
            <w:r w:rsidRPr="00B44B19">
              <w:rPr>
                <w:rFonts w:ascii="Times New Roman" w:eastAsia="Times New Roman" w:hAnsi="Times New Roman" w:cs="Times New Roman"/>
              </w:rPr>
              <w:t xml:space="preserve">tnaujinant </w:t>
            </w:r>
            <w:r w:rsidR="00F71FA0" w:rsidRPr="00B44B19">
              <w:rPr>
                <w:rFonts w:ascii="Times New Roman" w:eastAsia="Times New Roman" w:hAnsi="Times New Roman" w:cs="Times New Roman"/>
              </w:rPr>
              <w:t>upių</w:t>
            </w:r>
            <w:r w:rsidRPr="00B44B19">
              <w:rPr>
                <w:rFonts w:ascii="Times New Roman" w:eastAsia="Times New Roman" w:hAnsi="Times New Roman" w:cs="Times New Roman"/>
              </w:rPr>
              <w:t xml:space="preserve"> baseinų rajonų valdymo planus nustatyta, kad Lietuvos vandens telkinių būklė prastėja. 36</w:t>
            </w:r>
            <w:r w:rsidRPr="00B44B19">
              <w:rPr>
                <w:rFonts w:ascii="Times New Roman" w:hAnsi="Times New Roman" w:cs="Times New Roman"/>
                <w:bCs/>
              </w:rPr>
              <w:t> </w:t>
            </w:r>
            <w:r w:rsidRPr="00B44B19">
              <w:rPr>
                <w:rFonts w:ascii="Times New Roman" w:eastAsia="Times New Roman" w:hAnsi="Times New Roman" w:cs="Times New Roman"/>
              </w:rPr>
              <w:t>% paviršinių vandens telkinių yra geros ar labai geros būklės (2016 m. tokių buvo 53</w:t>
            </w:r>
            <w:r w:rsidRPr="00B44B19">
              <w:rPr>
                <w:rFonts w:ascii="Times New Roman" w:hAnsi="Times New Roman" w:cs="Times New Roman"/>
                <w:bCs/>
              </w:rPr>
              <w:t> </w:t>
            </w:r>
            <w:r w:rsidRPr="00B44B19">
              <w:rPr>
                <w:rFonts w:ascii="Times New Roman" w:eastAsia="Times New Roman" w:hAnsi="Times New Roman" w:cs="Times New Roman"/>
              </w:rPr>
              <w:t>%). Nustatyta, kad 62,78</w:t>
            </w:r>
            <w:r w:rsidRPr="00B44B19">
              <w:rPr>
                <w:rFonts w:ascii="Times New Roman" w:hAnsi="Times New Roman" w:cs="Times New Roman"/>
                <w:bCs/>
              </w:rPr>
              <w:t> </w:t>
            </w:r>
            <w:r w:rsidRPr="00B44B19">
              <w:rPr>
                <w:rFonts w:ascii="Times New Roman" w:eastAsia="Times New Roman" w:hAnsi="Times New Roman" w:cs="Times New Roman"/>
              </w:rPr>
              <w:t>% upių ir 72,57</w:t>
            </w:r>
            <w:r w:rsidRPr="00B44B19">
              <w:rPr>
                <w:rFonts w:ascii="Times New Roman" w:hAnsi="Times New Roman" w:cs="Times New Roman"/>
                <w:bCs/>
              </w:rPr>
              <w:t> </w:t>
            </w:r>
            <w:r w:rsidRPr="00B44B19">
              <w:rPr>
                <w:rFonts w:ascii="Times New Roman" w:eastAsia="Times New Roman" w:hAnsi="Times New Roman" w:cs="Times New Roman"/>
              </w:rPr>
              <w:t>% ežerų kategorijos vandens telkinių priskiriama rizikos grupei, 50,3</w:t>
            </w:r>
            <w:r w:rsidRPr="00B44B19">
              <w:rPr>
                <w:rFonts w:ascii="Times New Roman" w:hAnsi="Times New Roman" w:cs="Times New Roman"/>
                <w:bCs/>
              </w:rPr>
              <w:t> </w:t>
            </w:r>
            <w:r w:rsidRPr="00B44B19">
              <w:rPr>
                <w:rFonts w:ascii="Times New Roman" w:eastAsia="Times New Roman" w:hAnsi="Times New Roman" w:cs="Times New Roman"/>
              </w:rPr>
              <w:t>% upių kategorijos vandens telkinių turi sutelktosios ir išsklaidytosios taršos problemų, 4,97</w:t>
            </w:r>
            <w:r w:rsidRPr="00B44B19">
              <w:rPr>
                <w:rFonts w:ascii="Times New Roman" w:hAnsi="Times New Roman" w:cs="Times New Roman"/>
                <w:bCs/>
              </w:rPr>
              <w:t> </w:t>
            </w:r>
            <w:r w:rsidRPr="00B44B19">
              <w:rPr>
                <w:rFonts w:ascii="Times New Roman" w:eastAsia="Times New Roman" w:hAnsi="Times New Roman" w:cs="Times New Roman"/>
              </w:rPr>
              <w:t>% upių kategorijos vandens telkinių taršos problemos kyla dėl nepakankamai išvalomų nuotekų, 19,67</w:t>
            </w:r>
            <w:r w:rsidRPr="00B44B19">
              <w:rPr>
                <w:rFonts w:ascii="Times New Roman" w:hAnsi="Times New Roman" w:cs="Times New Roman"/>
                <w:bCs/>
              </w:rPr>
              <w:t> </w:t>
            </w:r>
            <w:r w:rsidRPr="00B44B19">
              <w:rPr>
                <w:rFonts w:ascii="Times New Roman" w:eastAsia="Times New Roman" w:hAnsi="Times New Roman" w:cs="Times New Roman"/>
              </w:rPr>
              <w:t>% ežerų kategorijos vandens telkinių patiria galimą reikšmingą nuotekų taršos poveikį.</w:t>
            </w:r>
          </w:p>
          <w:p w14:paraId="30970883" w14:textId="77777777" w:rsidR="00BB59DF" w:rsidRPr="00B44B19" w:rsidRDefault="00BB59DF"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Atsižvelgiant į tai, kad veiklos, susijusios su vandens </w:t>
            </w:r>
            <w:r w:rsidR="000939D0" w:rsidRPr="00B44B19">
              <w:rPr>
                <w:rFonts w:ascii="Times New Roman" w:eastAsia="Times New Roman" w:hAnsi="Times New Roman" w:cs="Times New Roman"/>
              </w:rPr>
              <w:t xml:space="preserve">išteklių </w:t>
            </w:r>
            <w:r w:rsidRPr="00B44B19">
              <w:rPr>
                <w:rFonts w:ascii="Times New Roman" w:eastAsia="Times New Roman" w:hAnsi="Times New Roman" w:cs="Times New Roman"/>
              </w:rPr>
              <w:t xml:space="preserve">valdymu ir </w:t>
            </w:r>
            <w:r w:rsidR="000939D0" w:rsidRPr="00B44B19">
              <w:rPr>
                <w:rFonts w:ascii="Times New Roman" w:eastAsia="Times New Roman" w:hAnsi="Times New Roman" w:cs="Times New Roman"/>
              </w:rPr>
              <w:t xml:space="preserve">vandens telkinių </w:t>
            </w:r>
            <w:r w:rsidRPr="00B44B19">
              <w:rPr>
                <w:rFonts w:ascii="Times New Roman" w:eastAsia="Times New Roman" w:hAnsi="Times New Roman" w:cs="Times New Roman"/>
              </w:rPr>
              <w:t xml:space="preserve">aplinkos kokybės užtikrinimu, poveikio ir taršos mažinimu, apima daugybę įvairių sričių ir taikomi vis </w:t>
            </w:r>
            <w:r w:rsidR="0015773B" w:rsidRPr="00B44B19">
              <w:rPr>
                <w:rFonts w:ascii="Times New Roman" w:eastAsia="Times New Roman" w:hAnsi="Times New Roman" w:cs="Times New Roman"/>
              </w:rPr>
              <w:t xml:space="preserve">naujesni, efektyvesni </w:t>
            </w:r>
            <w:r w:rsidRPr="00B44B19">
              <w:rPr>
                <w:rFonts w:ascii="Times New Roman" w:eastAsia="Times New Roman" w:hAnsi="Times New Roman" w:cs="Times New Roman"/>
              </w:rPr>
              <w:t xml:space="preserve">monitoringo ir tyrimų būdai būklei nustatyti, būtina užtikrinti atitinkamus </w:t>
            </w:r>
            <w:r w:rsidR="0015773B" w:rsidRPr="00B44B19">
              <w:rPr>
                <w:rFonts w:ascii="Times New Roman" w:eastAsia="Times New Roman" w:hAnsi="Times New Roman" w:cs="Times New Roman"/>
              </w:rPr>
              <w:t xml:space="preserve">žmogiškuosius išteklius ir </w:t>
            </w:r>
            <w:r w:rsidRPr="00B44B19">
              <w:rPr>
                <w:rFonts w:ascii="Times New Roman" w:eastAsia="Times New Roman" w:hAnsi="Times New Roman" w:cs="Times New Roman"/>
              </w:rPr>
              <w:t xml:space="preserve">kaupti kompetencijas šioms veiklos vykdyti. </w:t>
            </w:r>
          </w:p>
          <w:p w14:paraId="2D2E53FF" w14:textId="70495DCC" w:rsidR="000939D0" w:rsidRPr="00B44B19" w:rsidRDefault="00BB59DF"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Lietuvoje siekiama sudaryti galimybes visiems gyventojams gauti saugos ir kokybės reikalavimus atitinkantį geriamąjį vandenį </w:t>
            </w:r>
            <w:r w:rsidR="000939D0" w:rsidRPr="00B44B19">
              <w:rPr>
                <w:rFonts w:ascii="Times New Roman" w:eastAsia="Times New Roman" w:hAnsi="Times New Roman" w:cs="Times New Roman"/>
              </w:rPr>
              <w:t>(</w:t>
            </w:r>
            <w:r w:rsidRPr="00B44B19">
              <w:rPr>
                <w:rFonts w:ascii="Times New Roman" w:eastAsia="Times New Roman" w:hAnsi="Times New Roman" w:cs="Times New Roman"/>
              </w:rPr>
              <w:t>nuo vandens šaltinio iki vartojimo vietos</w:t>
            </w:r>
            <w:r w:rsidR="000939D0" w:rsidRPr="00B44B19">
              <w:rPr>
                <w:rFonts w:ascii="Times New Roman" w:eastAsia="Times New Roman" w:hAnsi="Times New Roman" w:cs="Times New Roman"/>
              </w:rPr>
              <w:t>) ir nuotekų tvarkymo paslaugas</w:t>
            </w:r>
            <w:r w:rsidRPr="00B44B19">
              <w:rPr>
                <w:rFonts w:ascii="Times New Roman" w:eastAsia="Times New Roman" w:hAnsi="Times New Roman" w:cs="Times New Roman"/>
              </w:rPr>
              <w:t xml:space="preserve"> arba turėti galimybę individualiai apsirūpinti geriamuoju vandeniu</w:t>
            </w:r>
            <w:r w:rsidR="000939D0" w:rsidRPr="00B44B19">
              <w:rPr>
                <w:rFonts w:ascii="Times New Roman" w:eastAsia="Times New Roman" w:hAnsi="Times New Roman" w:cs="Times New Roman"/>
              </w:rPr>
              <w:t xml:space="preserve"> ir </w:t>
            </w:r>
            <w:r w:rsidR="0015773B" w:rsidRPr="00B44B19">
              <w:rPr>
                <w:rFonts w:ascii="Times New Roman" w:eastAsia="Times New Roman" w:hAnsi="Times New Roman" w:cs="Times New Roman"/>
              </w:rPr>
              <w:t>(arba) tvarkyti nuotekas. Tai įgyvendinama pagal</w:t>
            </w:r>
            <w:r w:rsidR="000939D0" w:rsidRPr="00B44B19">
              <w:rPr>
                <w:rFonts w:ascii="Times New Roman" w:eastAsia="Times New Roman" w:hAnsi="Times New Roman" w:cs="Times New Roman"/>
              </w:rPr>
              <w:t xml:space="preserve"> savivaldybių rengiamus geriamojo vandens tiekimo ir nuotekų tvarkymo infrastruktūros plėtros planus, kuriuose pagal teritorijų planavimo lygmenį ir uždavinius nustatomos viešojo geriamojo vandens tiekimo ir nuotekų tvarkymo teritorijos, geriamojo vandens tiekimo ir nuotekų tvarkymo infrastruktūros plėtros kryptys, būdai, nurodomos šios infrastruktūros plėtros įgyvendinimo etapai (eiga, eiliškumas) ir finansavimo šaltiniai. Planuojant pirmiausia turi būti užtikrinama, kad visoje šalies teritorijoje </w:t>
            </w:r>
            <w:r w:rsidR="0015773B" w:rsidRPr="00B44B19">
              <w:rPr>
                <w:rFonts w:ascii="Times New Roman" w:eastAsia="Times New Roman" w:hAnsi="Times New Roman" w:cs="Times New Roman"/>
              </w:rPr>
              <w:t>geriamasis vanduo būtų tiekiamas ir nuotekos tvarkomos laikantis nustatytų reikalavimų, kad kuriama (sukurta) geriamojo vandens tiekimo ir nuotekų tvarkymo sistema užtikrintų geriamojo</w:t>
            </w:r>
            <w:r w:rsidR="000939D0" w:rsidRPr="00B44B19">
              <w:rPr>
                <w:rFonts w:ascii="Times New Roman" w:eastAsia="Times New Roman" w:hAnsi="Times New Roman" w:cs="Times New Roman"/>
              </w:rPr>
              <w:t xml:space="preserve"> vandens saugos ir kokybės, sveikatos apsaugos ir nuotekų tvarkymo aplinkos apsaugos reikalavimus atitinkančias ir ekonominiu požiūriu pagrįstas (įperkamas) geriamojo vandens tiekimo ir nuotekų tvarkymo paslaugas abonentams ir vartotojams.</w:t>
            </w:r>
          </w:p>
          <w:p w14:paraId="65591F46" w14:textId="3D2E2CB8" w:rsidR="00BB59DF" w:rsidRPr="00B44B19" w:rsidRDefault="0015773B"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Lietuvoje gausu geros kokybės požeminio vandens, kuris yra geriamojo vandens šaltinis</w:t>
            </w:r>
            <w:r w:rsidR="003A660F" w:rsidRPr="00B44B19">
              <w:rPr>
                <w:rFonts w:ascii="Times New Roman" w:eastAsia="Times New Roman" w:hAnsi="Times New Roman" w:cs="Times New Roman"/>
              </w:rPr>
              <w:t>,</w:t>
            </w:r>
            <w:r w:rsidRPr="00B44B19">
              <w:rPr>
                <w:rFonts w:ascii="Times New Roman" w:eastAsia="Times New Roman" w:hAnsi="Times New Roman" w:cs="Times New Roman"/>
              </w:rPr>
              <w:t xml:space="preserve"> tačiau naujoji </w:t>
            </w:r>
            <w:r w:rsidR="007B05A8" w:rsidRPr="00B44B19">
              <w:rPr>
                <w:rFonts w:ascii="Times New Roman" w:eastAsia="Times New Roman" w:hAnsi="Times New Roman" w:cs="Times New Roman"/>
              </w:rPr>
              <w:t>Žmonėms skirto</w:t>
            </w:r>
            <w:r w:rsidR="00A1389C" w:rsidRPr="00B44B19">
              <w:rPr>
                <w:rFonts w:ascii="Times New Roman" w:eastAsia="Times New Roman" w:hAnsi="Times New Roman" w:cs="Times New Roman"/>
              </w:rPr>
              <w:t xml:space="preserve"> vandens</w:t>
            </w:r>
            <w:r w:rsidR="007B05A8" w:rsidRPr="00B44B19">
              <w:rPr>
                <w:rFonts w:ascii="Times New Roman" w:eastAsia="Times New Roman" w:hAnsi="Times New Roman" w:cs="Times New Roman"/>
              </w:rPr>
              <w:t xml:space="preserve"> kokybės</w:t>
            </w:r>
            <w:r w:rsidR="00F414ED" w:rsidRPr="00B44B19">
              <w:rPr>
                <w:rFonts w:ascii="Times New Roman" w:eastAsia="Times New Roman" w:hAnsi="Times New Roman" w:cs="Times New Roman"/>
              </w:rPr>
              <w:t xml:space="preserve"> </w:t>
            </w:r>
            <w:r w:rsidR="00A1389C" w:rsidRPr="00B44B19">
              <w:rPr>
                <w:rFonts w:ascii="Times New Roman" w:eastAsia="Times New Roman" w:hAnsi="Times New Roman" w:cs="Times New Roman"/>
              </w:rPr>
              <w:t>direktyva</w:t>
            </w:r>
            <w:r w:rsidR="00BB59DF" w:rsidRPr="00B44B19">
              <w:rPr>
                <w:rFonts w:ascii="Times New Roman" w:eastAsia="Times New Roman" w:hAnsi="Times New Roman" w:cs="Times New Roman"/>
              </w:rPr>
              <w:t xml:space="preserve"> </w:t>
            </w:r>
            <w:r w:rsidR="00BE7067" w:rsidRPr="00B44B19">
              <w:rPr>
                <w:rFonts w:ascii="Times New Roman" w:hAnsi="Times New Roman" w:cs="Times New Roman"/>
              </w:rPr>
              <w:t xml:space="preserve">(EU) 2020/2184 </w:t>
            </w:r>
            <w:r w:rsidR="00BB59DF" w:rsidRPr="00B44B19">
              <w:rPr>
                <w:rFonts w:ascii="Times New Roman" w:eastAsia="Times New Roman" w:hAnsi="Times New Roman" w:cs="Times New Roman"/>
              </w:rPr>
              <w:t>kel</w:t>
            </w:r>
            <w:r w:rsidR="00F414ED" w:rsidRPr="00B44B19">
              <w:rPr>
                <w:rFonts w:ascii="Times New Roman" w:eastAsia="Times New Roman" w:hAnsi="Times New Roman" w:cs="Times New Roman"/>
              </w:rPr>
              <w:t>ia</w:t>
            </w:r>
            <w:r w:rsidR="00BB59DF" w:rsidRPr="00B44B19">
              <w:rPr>
                <w:rFonts w:ascii="Times New Roman" w:eastAsia="Times New Roman" w:hAnsi="Times New Roman" w:cs="Times New Roman"/>
              </w:rPr>
              <w:t xml:space="preserve"> naujų iššūkių, kadangi reikės užtikrinti kokybiško geriamojo vandens prieinamumą visiems šalies gyventojams. Lietuvoje 17 % gyventojų geriamąjį vandenį gauna necentralizuotai iš individualių gręžinių ir negilių šachtinių šulinių. Pagal atliktus patikrinimo rezultatus nustatyta, jog 43 % jų neatitinka nustatytų vandens kokybės reikalavimų. Klimato pokyčiai taip pat turi įtakos sumažėjusiam šulinių vandens kiekiui dėl hidrologinių sausrų. Todėl bus siekiama iki 2030 m. vandens tiekimo paslaugų prieinamumą padidinti iki 90 % gyventojų. Tarša iš taškinių šaltinių ir iš mažesnėse </w:t>
            </w:r>
            <w:r w:rsidR="00451033" w:rsidRPr="00B44B19">
              <w:rPr>
                <w:rFonts w:ascii="Times New Roman" w:eastAsia="Times New Roman" w:hAnsi="Times New Roman" w:cs="Times New Roman"/>
              </w:rPr>
              <w:t xml:space="preserve">gyvenamosiose vietovėse </w:t>
            </w:r>
            <w:r w:rsidR="00BB59DF" w:rsidRPr="00B44B19">
              <w:rPr>
                <w:rFonts w:ascii="Times New Roman" w:eastAsia="Times New Roman" w:hAnsi="Times New Roman" w:cs="Times New Roman"/>
              </w:rPr>
              <w:t xml:space="preserve">(mažesnėse kaip 2000 g.e.) netinkamai tvarkomų nuotekų individualiose nuotekų sistemose išlieka ir daro neigiamą poveikį vandens telkinių būklei. 23,03 % Lietuvos gyventojų nuotekas tvarko individualiose nuotekų sistemose, ir manoma, kad tik mažiau nei pusė jų atitinka reikalavimus. Siekiama, kad 2030 m. 95 % gyventojų būtų teikiamos nuotekų tvarkymo paslaugos.  </w:t>
            </w:r>
          </w:p>
          <w:p w14:paraId="27119EC4" w14:textId="5CCB94DF" w:rsidR="00BB59DF" w:rsidRPr="00B44B19" w:rsidRDefault="0015773B"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Lietuvoje 529 miesto nuotekų valymo įrenginiai yra </w:t>
            </w:r>
            <w:r w:rsidR="00451033" w:rsidRPr="00B44B19">
              <w:rPr>
                <w:rFonts w:ascii="Times New Roman" w:eastAsia="Times New Roman" w:hAnsi="Times New Roman" w:cs="Times New Roman"/>
              </w:rPr>
              <w:t>gyvenamosiose vietovėse</w:t>
            </w:r>
            <w:r w:rsidRPr="00B44B19">
              <w:rPr>
                <w:rFonts w:ascii="Times New Roman" w:eastAsia="Times New Roman" w:hAnsi="Times New Roman" w:cs="Times New Roman"/>
              </w:rPr>
              <w:t>, mažesnėse kaip 2000 g. e., 42 jų</w:t>
            </w:r>
            <w:r w:rsidR="00BB59DF" w:rsidRPr="00B44B19">
              <w:rPr>
                <w:rFonts w:ascii="Times New Roman" w:eastAsia="Times New Roman" w:hAnsi="Times New Roman" w:cs="Times New Roman"/>
              </w:rPr>
              <w:t xml:space="preserve"> </w:t>
            </w:r>
            <w:r w:rsidR="000939D0" w:rsidRPr="00B44B19">
              <w:rPr>
                <w:rFonts w:ascii="Times New Roman" w:eastAsia="Times New Roman" w:hAnsi="Times New Roman" w:cs="Times New Roman"/>
              </w:rPr>
              <w:t xml:space="preserve">į gamtinę aplinką išleidžia iki </w:t>
            </w:r>
            <w:r w:rsidR="00BB59DF" w:rsidRPr="00B44B19">
              <w:rPr>
                <w:rFonts w:ascii="Times New Roman" w:eastAsia="Times New Roman" w:hAnsi="Times New Roman" w:cs="Times New Roman"/>
              </w:rPr>
              <w:t>reikalavimų</w:t>
            </w:r>
            <w:r w:rsidR="000939D0" w:rsidRPr="00B44B19">
              <w:rPr>
                <w:rFonts w:ascii="Times New Roman" w:eastAsia="Times New Roman" w:hAnsi="Times New Roman" w:cs="Times New Roman"/>
              </w:rPr>
              <w:t xml:space="preserve"> neišvalytas nuotekas</w:t>
            </w:r>
            <w:r w:rsidR="00BB59DF" w:rsidRPr="00B44B19">
              <w:rPr>
                <w:rFonts w:ascii="Times New Roman" w:eastAsia="Times New Roman" w:hAnsi="Times New Roman" w:cs="Times New Roman"/>
              </w:rPr>
              <w:t xml:space="preserve">, o 51 įrenginyje faktinė organinės taršos apkrova viršija projektinį įrenginių pajėgumą. </w:t>
            </w:r>
          </w:p>
          <w:p w14:paraId="6A0492FA" w14:textId="77777777" w:rsidR="00BB59DF" w:rsidRPr="00B44B19" w:rsidRDefault="00BB59DF"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Veiksmų rūšys, siekiant įgyvendinti Bendrąją vandens politikos direktyvą, </w:t>
            </w:r>
            <w:r w:rsidR="00B74169" w:rsidRPr="00B44B19">
              <w:rPr>
                <w:rFonts w:ascii="Times New Roman" w:eastAsia="Times New Roman" w:hAnsi="Times New Roman" w:cs="Times New Roman"/>
              </w:rPr>
              <w:t>Žmonėms skirto vandens kokybės direktyva</w:t>
            </w:r>
            <w:r w:rsidRPr="00B44B19">
              <w:rPr>
                <w:rFonts w:ascii="Times New Roman" w:eastAsia="Times New Roman" w:hAnsi="Times New Roman" w:cs="Times New Roman"/>
              </w:rPr>
              <w:t xml:space="preserve"> ir </w:t>
            </w:r>
            <w:r w:rsidR="00A1389C" w:rsidRPr="00B44B19">
              <w:rPr>
                <w:rFonts w:ascii="Times New Roman" w:eastAsia="Times New Roman" w:hAnsi="Times New Roman" w:cs="Times New Roman"/>
              </w:rPr>
              <w:t xml:space="preserve">Miesto nuotekų direktyvą </w:t>
            </w:r>
            <w:r w:rsidR="00A15076" w:rsidRPr="00B44B19">
              <w:rPr>
                <w:rFonts w:ascii="Times New Roman" w:eastAsia="Times New Roman" w:hAnsi="Times New Roman" w:cs="Times New Roman"/>
              </w:rPr>
              <w:t>91/271/EEB</w:t>
            </w:r>
            <w:r w:rsidR="00A15076" w:rsidRPr="00B44B19">
              <w:rPr>
                <w:rFonts w:ascii="Times New Roman" w:hAnsi="Times New Roman" w:cs="Times New Roman"/>
              </w:rPr>
              <w:t xml:space="preserve"> </w:t>
            </w:r>
            <w:r w:rsidR="00C90555" w:rsidRPr="00B44B19">
              <w:rPr>
                <w:rFonts w:ascii="Times New Roman" w:eastAsia="Times New Roman" w:hAnsi="Times New Roman" w:cs="Times New Roman"/>
              </w:rPr>
              <w:t>įgyvendinamos visoje Lietuvoje</w:t>
            </w:r>
            <w:r w:rsidRPr="00B44B19">
              <w:rPr>
                <w:rFonts w:ascii="Times New Roman" w:eastAsia="Times New Roman" w:hAnsi="Times New Roman" w:cs="Times New Roman"/>
              </w:rPr>
              <w:t>:</w:t>
            </w:r>
          </w:p>
          <w:p w14:paraId="4C876F7D" w14:textId="77777777" w:rsidR="00BB59DF" w:rsidRPr="00B44B19" w:rsidRDefault="00BB59DF"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Vandens išteklių valdymo</w:t>
            </w:r>
            <w:r w:rsidR="00C90555" w:rsidRPr="00B44B19">
              <w:rPr>
                <w:rFonts w:ascii="Times New Roman" w:eastAsia="Times New Roman" w:hAnsi="Times New Roman" w:cs="Times New Roman"/>
                <w:b/>
              </w:rPr>
              <w:t xml:space="preserve"> stiprinimas</w:t>
            </w:r>
            <w:r w:rsidRPr="00B44B19">
              <w:rPr>
                <w:rFonts w:ascii="Times New Roman" w:eastAsia="Times New Roman" w:hAnsi="Times New Roman" w:cs="Times New Roman"/>
                <w:b/>
              </w:rPr>
              <w:t xml:space="preserve">, </w:t>
            </w:r>
            <w:r w:rsidRPr="00B44B19">
              <w:rPr>
                <w:rFonts w:ascii="Times New Roman" w:eastAsia="Times New Roman" w:hAnsi="Times New Roman" w:cs="Times New Roman"/>
              </w:rPr>
              <w:t>investuojant į</w:t>
            </w:r>
            <w:r w:rsidR="00C90555" w:rsidRPr="00B44B19">
              <w:rPr>
                <w:rFonts w:ascii="Times New Roman" w:eastAsia="Times New Roman" w:hAnsi="Times New Roman" w:cs="Times New Roman"/>
              </w:rPr>
              <w:t xml:space="preserve"> atnaujintuose (trečiuosiuose) upių baseinų rajonų valdymo </w:t>
            </w:r>
            <w:r w:rsidR="0015773B" w:rsidRPr="00B44B19">
              <w:rPr>
                <w:rFonts w:ascii="Times New Roman" w:eastAsia="Times New Roman" w:hAnsi="Times New Roman" w:cs="Times New Roman"/>
              </w:rPr>
              <w:t xml:space="preserve">planuose ir priemonių </w:t>
            </w:r>
            <w:r w:rsidR="00C90555" w:rsidRPr="00B44B19">
              <w:rPr>
                <w:rFonts w:ascii="Times New Roman" w:eastAsia="Times New Roman" w:hAnsi="Times New Roman" w:cs="Times New Roman"/>
              </w:rPr>
              <w:t>programoje, skirtoje jūros aplinkos apsaugos tikslams pasiekti (dokumentai rengiami pagal direktyvų reikalavimus), nustatytas priemones, tokias kaip</w:t>
            </w:r>
            <w:r w:rsidR="00A1389C" w:rsidRPr="00B44B19">
              <w:rPr>
                <w:rFonts w:ascii="Times New Roman" w:eastAsia="Times New Roman" w:hAnsi="Times New Roman" w:cs="Times New Roman"/>
              </w:rPr>
              <w:t xml:space="preserve"> </w:t>
            </w:r>
            <w:r w:rsidRPr="00B44B19">
              <w:rPr>
                <w:rFonts w:ascii="Times New Roman" w:eastAsia="Times New Roman" w:hAnsi="Times New Roman" w:cs="Times New Roman"/>
              </w:rPr>
              <w:t>modernių aplinkos būklės tyrimų ir monitoringo metodų diegim</w:t>
            </w:r>
            <w:r w:rsidR="00C90555" w:rsidRPr="00B44B19">
              <w:rPr>
                <w:rFonts w:ascii="Times New Roman" w:eastAsia="Times New Roman" w:hAnsi="Times New Roman" w:cs="Times New Roman"/>
              </w:rPr>
              <w:t>as</w:t>
            </w:r>
            <w:r w:rsidRPr="00B44B19">
              <w:rPr>
                <w:rFonts w:ascii="Times New Roman" w:eastAsia="Times New Roman" w:hAnsi="Times New Roman" w:cs="Times New Roman"/>
              </w:rPr>
              <w:t xml:space="preserve"> </w:t>
            </w:r>
            <w:r w:rsidR="00ED7E86" w:rsidRPr="00B44B19">
              <w:rPr>
                <w:rFonts w:ascii="Times New Roman" w:eastAsia="Times New Roman" w:hAnsi="Times New Roman" w:cs="Times New Roman"/>
              </w:rPr>
              <w:t>ir atlikimas, tam reikalingos įrangos ir priemonių įsigijimas</w:t>
            </w:r>
            <w:r w:rsidRPr="00B44B19">
              <w:rPr>
                <w:rFonts w:ascii="Times New Roman" w:eastAsia="Times New Roman" w:hAnsi="Times New Roman" w:cs="Times New Roman"/>
              </w:rPr>
              <w:t xml:space="preserve">, kas leis efektyviau </w:t>
            </w:r>
            <w:r w:rsidR="00ED7E86" w:rsidRPr="00B44B19">
              <w:rPr>
                <w:rFonts w:ascii="Times New Roman" w:eastAsia="Times New Roman" w:hAnsi="Times New Roman" w:cs="Times New Roman"/>
              </w:rPr>
              <w:t xml:space="preserve">ir kokybiškiau </w:t>
            </w:r>
            <w:r w:rsidRPr="00B44B19">
              <w:rPr>
                <w:rFonts w:ascii="Times New Roman" w:eastAsia="Times New Roman" w:hAnsi="Times New Roman" w:cs="Times New Roman"/>
              </w:rPr>
              <w:t xml:space="preserve">nustatyti Baltijos jūros, kitų paviršinių ir požeminių vandens telkinių būklės </w:t>
            </w:r>
            <w:r w:rsidRPr="00B44B19">
              <w:rPr>
                <w:rFonts w:ascii="Times New Roman" w:eastAsia="Times New Roman" w:hAnsi="Times New Roman" w:cs="Times New Roman"/>
              </w:rPr>
              <w:lastRenderedPageBreak/>
              <w:t xml:space="preserve">pokyčius ir jų priežastis, sudarys sąlygas greičiau reaguoti ir imtis reikiamų priemonių; </w:t>
            </w:r>
            <w:r w:rsidR="00ED7E86" w:rsidRPr="00B44B19">
              <w:rPr>
                <w:rFonts w:ascii="Times New Roman" w:eastAsia="Times New Roman" w:hAnsi="Times New Roman" w:cs="Times New Roman"/>
              </w:rPr>
              <w:t xml:space="preserve">valdymo planų rengimas ir </w:t>
            </w:r>
            <w:r w:rsidRPr="00B44B19">
              <w:rPr>
                <w:rFonts w:ascii="Times New Roman" w:eastAsia="Times New Roman" w:hAnsi="Times New Roman" w:cs="Times New Roman"/>
              </w:rPr>
              <w:t>informacinės vandens valdymo sistemos diegim</w:t>
            </w:r>
            <w:r w:rsidR="00C90555" w:rsidRPr="00B44B19">
              <w:rPr>
                <w:rFonts w:ascii="Times New Roman" w:eastAsia="Times New Roman" w:hAnsi="Times New Roman" w:cs="Times New Roman"/>
              </w:rPr>
              <w:t>as</w:t>
            </w:r>
            <w:r w:rsidRPr="00B44B19">
              <w:rPr>
                <w:rFonts w:ascii="Times New Roman" w:eastAsia="Times New Roman" w:hAnsi="Times New Roman" w:cs="Times New Roman"/>
              </w:rPr>
              <w:t xml:space="preserve">, siekiant pasinaudoti skaitmeninių sistemų teikiamomis </w:t>
            </w:r>
            <w:r w:rsidR="0015773B" w:rsidRPr="00B44B19">
              <w:rPr>
                <w:rFonts w:ascii="Times New Roman" w:eastAsia="Times New Roman" w:hAnsi="Times New Roman" w:cs="Times New Roman"/>
              </w:rPr>
              <w:t>galimybėmis veiksmingiau ir</w:t>
            </w:r>
            <w:r w:rsidRPr="00B44B19">
              <w:rPr>
                <w:rFonts w:ascii="Times New Roman" w:eastAsia="Times New Roman" w:hAnsi="Times New Roman" w:cs="Times New Roman"/>
              </w:rPr>
              <w:t xml:space="preserve"> patogiau valdyti duomenis apie vandens telkinius ir priimti objektyviais kriterijais paremtus sprendimus, </w:t>
            </w:r>
            <w:r w:rsidR="0015773B" w:rsidRPr="00B44B19">
              <w:rPr>
                <w:rFonts w:ascii="Times New Roman" w:eastAsia="Times New Roman" w:hAnsi="Times New Roman" w:cs="Times New Roman"/>
              </w:rPr>
              <w:t xml:space="preserve">didinti </w:t>
            </w:r>
            <w:r w:rsidRPr="00B44B19">
              <w:rPr>
                <w:rFonts w:ascii="Times New Roman" w:eastAsia="Times New Roman" w:hAnsi="Times New Roman" w:cs="Times New Roman"/>
              </w:rPr>
              <w:t>sprendimų skaidrumą ir visuomenės sąmoningumą;</w:t>
            </w:r>
          </w:p>
          <w:p w14:paraId="02CCF31E" w14:textId="77777777" w:rsidR="00DB0936" w:rsidRPr="00B44B19" w:rsidRDefault="00DB0936" w:rsidP="004952F4">
            <w:pPr>
              <w:spacing w:before="60" w:after="60"/>
              <w:ind w:left="29"/>
              <w:jc w:val="both"/>
              <w:rPr>
                <w:rFonts w:ascii="Times New Roman" w:hAnsi="Times New Roman" w:cs="Times New Roman"/>
                <w:color w:val="000000"/>
              </w:rPr>
            </w:pPr>
            <w:r w:rsidRPr="00B44B19">
              <w:rPr>
                <w:rFonts w:ascii="Times New Roman" w:hAnsi="Times New Roman" w:cs="Times New Roman"/>
                <w:b/>
                <w:bCs/>
                <w:color w:val="000000"/>
              </w:rPr>
              <w:t>Geriamojo vandens tiekimo tinklų plėtra, geriamojo vandens ėmimo ir gerinimo įrenginių statyba,</w:t>
            </w:r>
            <w:r w:rsidRPr="00B44B19">
              <w:rPr>
                <w:rFonts w:ascii="Times New Roman" w:hAnsi="Times New Roman" w:cs="Times New Roman"/>
                <w:color w:val="000000"/>
              </w:rPr>
              <w:t xml:space="preserve"> įskaitant individualių (teikiančių vidutiniškai mažiau nei 10 m</w:t>
            </w:r>
            <w:r w:rsidRPr="00B44B19">
              <w:rPr>
                <w:rFonts w:ascii="Times New Roman" w:hAnsi="Times New Roman" w:cs="Times New Roman"/>
                <w:color w:val="000000"/>
                <w:vertAlign w:val="superscript"/>
              </w:rPr>
              <w:t xml:space="preserve">3 </w:t>
            </w:r>
            <w:r w:rsidRPr="00B44B19">
              <w:rPr>
                <w:rFonts w:ascii="Times New Roman" w:hAnsi="Times New Roman" w:cs="Times New Roman"/>
                <w:color w:val="000000"/>
              </w:rPr>
              <w:t xml:space="preserve">vandens per parą arba aprūpinančių vandeniu mažiau nei 50 asmenų) ir grupinių (kai įrengti individualią ar centralizuotą vandens tiekimo sistemą nepateisina argumentuotai pagrįsta didelė tokios sistemos įrengimo kaina ir tai ekonomiškai pagrįsta geriamojo vandens tiekimo ir nuotekų tvarkymo infrastruktūros plėtros plane) geriamojo vandens tiekimo sistemų (tinklų ir įrenginių) </w:t>
            </w:r>
            <w:r w:rsidR="0015773B" w:rsidRPr="00B44B19">
              <w:rPr>
                <w:rFonts w:ascii="Times New Roman" w:hAnsi="Times New Roman" w:cs="Times New Roman"/>
                <w:color w:val="000000"/>
              </w:rPr>
              <w:t xml:space="preserve">įrengimą, gyvenvietėse, kuriose yra </w:t>
            </w:r>
            <w:r w:rsidRPr="00B44B19">
              <w:rPr>
                <w:rFonts w:ascii="Times New Roman" w:hAnsi="Times New Roman" w:cs="Times New Roman"/>
                <w:color w:val="000000"/>
              </w:rPr>
              <w:t>nuo 200 iki 2000 gyventojų</w:t>
            </w:r>
            <w:r w:rsidR="0015773B" w:rsidRPr="00B44B19">
              <w:rPr>
                <w:rFonts w:ascii="Times New Roman" w:hAnsi="Times New Roman" w:cs="Times New Roman"/>
                <w:color w:val="000000"/>
              </w:rPr>
              <w:t>,</w:t>
            </w:r>
            <w:r w:rsidRPr="00B44B19">
              <w:rPr>
                <w:rFonts w:ascii="Times New Roman" w:hAnsi="Times New Roman" w:cs="Times New Roman"/>
                <w:color w:val="000000"/>
              </w:rPr>
              <w:t xml:space="preserve"> tose viešojo vandens tiekimo teritorijose ar jų dalyse, kur nėra sukurta viešoji centralizuota geriamojo vandens tiekimo infrastruktūra. </w:t>
            </w:r>
            <w:r w:rsidR="0015773B" w:rsidRPr="00B44B19">
              <w:rPr>
                <w:rFonts w:ascii="Times New Roman" w:hAnsi="Times New Roman" w:cs="Times New Roman"/>
                <w:color w:val="000000"/>
              </w:rPr>
              <w:t xml:space="preserve">Gyvenvietėse, kuriose yra daugiau nei 2000 gyventojų, planuojama geriamajam vandeniui išgauti, ruošti, laikyti skirtų </w:t>
            </w:r>
            <w:r w:rsidR="0015773B" w:rsidRPr="00B44B19">
              <w:rPr>
                <w:rFonts w:ascii="Times New Roman" w:hAnsi="Times New Roman" w:cs="Times New Roman"/>
                <w:b/>
                <w:bCs/>
                <w:color w:val="000000"/>
              </w:rPr>
              <w:t>įrenginių rekonstrukcija</w:t>
            </w:r>
            <w:r w:rsidR="0015773B" w:rsidRPr="00B44B19">
              <w:rPr>
                <w:rFonts w:ascii="Times New Roman" w:hAnsi="Times New Roman" w:cs="Times New Roman"/>
                <w:bCs/>
                <w:color w:val="000000"/>
              </w:rPr>
              <w:t xml:space="preserve">, </w:t>
            </w:r>
            <w:r w:rsidR="0015773B" w:rsidRPr="00B44B19">
              <w:rPr>
                <w:rFonts w:ascii="Times New Roman" w:hAnsi="Times New Roman" w:cs="Times New Roman"/>
                <w:color w:val="000000"/>
              </w:rPr>
              <w:t>kurie neužtikrina viešojo geriamojo vandens kokybės indikatorinių ir cheminių (toksinių) rodiklių.</w:t>
            </w:r>
          </w:p>
          <w:p w14:paraId="0B977E2C" w14:textId="6C7A3BAB" w:rsidR="00DB0936" w:rsidRPr="00B44B19" w:rsidRDefault="00451033" w:rsidP="004952F4">
            <w:pPr>
              <w:spacing w:before="60" w:after="60"/>
              <w:ind w:left="29"/>
              <w:jc w:val="both"/>
              <w:rPr>
                <w:rFonts w:ascii="Times New Roman" w:eastAsia="Times New Roman" w:hAnsi="Times New Roman" w:cs="Times New Roman"/>
              </w:rPr>
            </w:pPr>
            <w:r w:rsidRPr="00B44B19">
              <w:rPr>
                <w:rFonts w:ascii="Times New Roman" w:hAnsi="Times New Roman" w:cs="Times New Roman"/>
                <w:color w:val="000000"/>
              </w:rPr>
              <w:t>Gyvenamosiose vietovėse</w:t>
            </w:r>
            <w:r w:rsidR="00DB0936" w:rsidRPr="00B44B19">
              <w:rPr>
                <w:rFonts w:ascii="Times New Roman" w:hAnsi="Times New Roman" w:cs="Times New Roman"/>
                <w:color w:val="000000"/>
              </w:rPr>
              <w:t xml:space="preserve">, kuriose </w:t>
            </w:r>
            <w:r w:rsidRPr="00B44B19">
              <w:rPr>
                <w:rFonts w:ascii="Times New Roman" w:hAnsi="Times New Roman" w:cs="Times New Roman"/>
                <w:color w:val="000000"/>
              </w:rPr>
              <w:t xml:space="preserve">gyvena ne mažiau kaip 200 gyventojų ir susidaro </w:t>
            </w:r>
            <w:r w:rsidR="00DB0936" w:rsidRPr="00B44B19">
              <w:rPr>
                <w:rFonts w:ascii="Times New Roman" w:hAnsi="Times New Roman" w:cs="Times New Roman"/>
                <w:color w:val="000000"/>
              </w:rPr>
              <w:t>iki 2000 g.e. atitinkanti apkrova</w:t>
            </w:r>
            <w:r w:rsidR="00DB0936" w:rsidRPr="00B44B19">
              <w:rPr>
                <w:rFonts w:ascii="Times New Roman" w:hAnsi="Times New Roman" w:cs="Times New Roman"/>
                <w:b/>
                <w:bCs/>
                <w:color w:val="000000"/>
              </w:rPr>
              <w:t xml:space="preserve"> </w:t>
            </w:r>
            <w:r w:rsidR="00DB0936" w:rsidRPr="00B44B19">
              <w:rPr>
                <w:rFonts w:ascii="Times New Roman" w:hAnsi="Times New Roman" w:cs="Times New Roman"/>
                <w:color w:val="000000"/>
              </w:rPr>
              <w:t xml:space="preserve">planuojama </w:t>
            </w:r>
            <w:r w:rsidR="00DB0936" w:rsidRPr="00B44B19">
              <w:rPr>
                <w:rFonts w:ascii="Times New Roman" w:hAnsi="Times New Roman" w:cs="Times New Roman"/>
                <w:b/>
                <w:bCs/>
                <w:color w:val="000000"/>
              </w:rPr>
              <w:t xml:space="preserve">nuotekų tvarkymo sistemų plėtra, </w:t>
            </w:r>
            <w:r w:rsidR="00DB0936" w:rsidRPr="00B44B19">
              <w:rPr>
                <w:rFonts w:ascii="Times New Roman" w:hAnsi="Times New Roman" w:cs="Times New Roman"/>
                <w:color w:val="000000"/>
              </w:rPr>
              <w:t xml:space="preserve">įskaitant atskirųjų (ne daugiau kaip dviejų gyvenamųjų namų nuotekoms tvarkyti) ir grupinių (grupės (daugiau kaip dviejų) gyvenamųjų namų nuotekoms tvarkyti) nuotekų tvarkymo sistemų (nuotekų išleidimo tinklai, individualūs ar grupiniai nuotekų valymo ar kaupimo įrenginiai) įrengimą, kurios </w:t>
            </w:r>
            <w:r w:rsidR="0015773B" w:rsidRPr="00B44B19">
              <w:rPr>
                <w:rFonts w:ascii="Times New Roman" w:hAnsi="Times New Roman" w:cs="Times New Roman"/>
                <w:color w:val="000000"/>
              </w:rPr>
              <w:t xml:space="preserve">užtikrintų centralizuotai nuotekų surinkimo sistemai lygiavertę aplinkos apsaugą, kai </w:t>
            </w:r>
            <w:r w:rsidR="0015773B" w:rsidRPr="00B44B19">
              <w:rPr>
                <w:rFonts w:ascii="Times New Roman" w:hAnsi="Times New Roman" w:cs="Times New Roman"/>
                <w:color w:val="000000" w:themeColor="text1"/>
              </w:rPr>
              <w:t xml:space="preserve">centralizuotos nuotekų </w:t>
            </w:r>
            <w:r w:rsidR="00DB0936" w:rsidRPr="00B44B19">
              <w:rPr>
                <w:rFonts w:ascii="Times New Roman" w:hAnsi="Times New Roman" w:cs="Times New Roman"/>
                <w:color w:val="000000" w:themeColor="text1"/>
              </w:rPr>
              <w:t xml:space="preserve">surinkimo sistemos įrengimas arba išplėtimas tiek, kad būtų sudarytos sąlygos surinkti visų </w:t>
            </w:r>
            <w:r w:rsidRPr="00B44B19">
              <w:rPr>
                <w:rFonts w:ascii="Times New Roman" w:hAnsi="Times New Roman" w:cs="Times New Roman"/>
                <w:color w:val="000000" w:themeColor="text1"/>
              </w:rPr>
              <w:t xml:space="preserve">gyvenamosios vietovės </w:t>
            </w:r>
            <w:r w:rsidR="00DB0936" w:rsidRPr="00B44B19">
              <w:rPr>
                <w:rFonts w:ascii="Times New Roman" w:hAnsi="Times New Roman" w:cs="Times New Roman"/>
                <w:color w:val="000000" w:themeColor="text1"/>
              </w:rPr>
              <w:t xml:space="preserve">teritorijoje esančių objektų nuotekas, nėra pateisinamas ekonominiu požiūriu ir </w:t>
            </w:r>
            <w:r w:rsidR="0015773B" w:rsidRPr="00B44B19">
              <w:rPr>
                <w:rFonts w:ascii="Times New Roman" w:hAnsi="Times New Roman" w:cs="Times New Roman"/>
                <w:color w:val="000000" w:themeColor="text1"/>
              </w:rPr>
              <w:t xml:space="preserve">centralizuotos nuotekų </w:t>
            </w:r>
            <w:r w:rsidR="00DB0936" w:rsidRPr="00B44B19">
              <w:rPr>
                <w:rFonts w:ascii="Times New Roman" w:hAnsi="Times New Roman" w:cs="Times New Roman"/>
                <w:color w:val="000000" w:themeColor="text1"/>
              </w:rPr>
              <w:t xml:space="preserve">surinkimo sistemos įrengimo poveikis taršos mažinimo ir prevencijos </w:t>
            </w:r>
            <w:r w:rsidR="0015773B" w:rsidRPr="00B44B19">
              <w:rPr>
                <w:rFonts w:ascii="Times New Roman" w:hAnsi="Times New Roman" w:cs="Times New Roman"/>
                <w:color w:val="000000" w:themeColor="text1"/>
              </w:rPr>
              <w:t xml:space="preserve">požiūriu </w:t>
            </w:r>
            <w:r w:rsidR="00DB0936" w:rsidRPr="00B44B19">
              <w:rPr>
                <w:rFonts w:ascii="Times New Roman" w:hAnsi="Times New Roman" w:cs="Times New Roman"/>
                <w:color w:val="000000" w:themeColor="text1"/>
              </w:rPr>
              <w:t xml:space="preserve">nereikšmingas, kai šias nuotekų tvarkymo sistemas numato įrengti ir eksploatuoti viešasis vandens tiekėjas. Taip pat numatoma šiose </w:t>
            </w:r>
            <w:r w:rsidRPr="00B44B19">
              <w:rPr>
                <w:rFonts w:ascii="Times New Roman" w:hAnsi="Times New Roman" w:cs="Times New Roman"/>
                <w:color w:val="000000" w:themeColor="text1"/>
              </w:rPr>
              <w:t xml:space="preserve">gyvenamosiose vietovėse </w:t>
            </w:r>
            <w:r w:rsidR="00DB0936" w:rsidRPr="00B44B19">
              <w:rPr>
                <w:rFonts w:ascii="Times New Roman" w:hAnsi="Times New Roman" w:cs="Times New Roman"/>
                <w:b/>
                <w:bCs/>
                <w:color w:val="000000" w:themeColor="text1"/>
              </w:rPr>
              <w:t>rekonstruoti nuotekų valymo įrenginius,</w:t>
            </w:r>
            <w:r w:rsidR="00DB0936" w:rsidRPr="00B44B19">
              <w:rPr>
                <w:rFonts w:ascii="Times New Roman" w:hAnsi="Times New Roman" w:cs="Times New Roman"/>
                <w:color w:val="000000" w:themeColor="text1"/>
              </w:rPr>
              <w:t xml:space="preserve">  kurie į gamtinę aplinką išleidžia iki reikalavimų neišvalytas </w:t>
            </w:r>
            <w:r w:rsidR="00DB0936" w:rsidRPr="00B44B19">
              <w:rPr>
                <w:rFonts w:ascii="Times New Roman" w:hAnsi="Times New Roman" w:cs="Times New Roman"/>
                <w:color w:val="000000"/>
              </w:rPr>
              <w:t xml:space="preserve">nuotekas ir (arba) kuriuose taršos apkrova viršija arba yra beveik lygi valymo įrenginių projektiniam </w:t>
            </w:r>
            <w:r w:rsidR="0015773B" w:rsidRPr="00B44B19">
              <w:rPr>
                <w:rFonts w:ascii="Times New Roman" w:hAnsi="Times New Roman" w:cs="Times New Roman"/>
                <w:color w:val="000000"/>
              </w:rPr>
              <w:t>pajėgumui ir</w:t>
            </w:r>
            <w:r w:rsidR="00DB0936" w:rsidRPr="00B44B19">
              <w:rPr>
                <w:rFonts w:ascii="Times New Roman" w:hAnsi="Times New Roman" w:cs="Times New Roman"/>
                <w:color w:val="000000"/>
              </w:rPr>
              <w:t xml:space="preserve"> kurių statyba nebuvo finansuota ES lėšomis.</w:t>
            </w:r>
          </w:p>
          <w:p w14:paraId="4DD02146" w14:textId="77777777" w:rsidR="008D0710" w:rsidRPr="00B44B19" w:rsidRDefault="00334B0C" w:rsidP="004952F4">
            <w:pPr>
              <w:spacing w:before="60" w:after="60"/>
              <w:jc w:val="both"/>
              <w:rPr>
                <w:rFonts w:ascii="Times New Roman" w:hAnsi="Times New Roman" w:cs="Times New Roman"/>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15773B" w:rsidRPr="00B44B19">
              <w:rPr>
                <w:rFonts w:ascii="Times New Roman" w:eastAsia="Times New Roman" w:hAnsi="Times New Roman" w:cs="Times New Roman"/>
                <w:noProof/>
              </w:rPr>
              <w:t>.</w:t>
            </w:r>
          </w:p>
        </w:tc>
      </w:tr>
    </w:tbl>
    <w:p w14:paraId="479BC3BD" w14:textId="77777777" w:rsidR="00FE2852" w:rsidRPr="00B44B19" w:rsidRDefault="00FE2852" w:rsidP="001E5B12">
      <w:pPr>
        <w:pStyle w:val="Stilius1"/>
        <w:rPr>
          <w:rFonts w:cs="Times New Roman"/>
        </w:rPr>
      </w:pPr>
      <w:r w:rsidRPr="00B44B19">
        <w:rPr>
          <w:rFonts w:cs="Times New Roman"/>
        </w:rPr>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FE2852" w:rsidRPr="00B44B19" w14:paraId="494AC968" w14:textId="77777777" w:rsidTr="00E46C9C">
        <w:tc>
          <w:tcPr>
            <w:tcW w:w="9854" w:type="dxa"/>
          </w:tcPr>
          <w:p w14:paraId="3DB0F8EF" w14:textId="77777777" w:rsidR="00FE2852" w:rsidRPr="00B44B19" w:rsidRDefault="0015773B" w:rsidP="004952F4">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dr w:val="none" w:sz="0" w:space="0" w:color="auto" w:frame="1"/>
                <w:shd w:val="clear" w:color="auto" w:fill="FFFFFF"/>
                <w:lang w:eastAsia="lt-LT"/>
              </w:rPr>
              <w:t xml:space="preserve">Gyventojai, negaunantys geriamojo vandens tiekimo ir nuotekų tvarkymo paslaugų ar gaunantys nekokybiškas, </w:t>
            </w:r>
            <w:r w:rsidRPr="00B44B19">
              <w:rPr>
                <w:rFonts w:ascii="Times New Roman" w:eastAsia="Times New Roman" w:hAnsi="Times New Roman" w:cs="Times New Roman"/>
                <w:bdr w:val="none" w:sz="0" w:space="0" w:color="auto" w:frame="1"/>
                <w:lang w:eastAsia="lt-LT"/>
              </w:rPr>
              <w:t>savivaldybės, geriamojo vandens tiekimo ir nuotekų tvarkymo įmonės, aplinkos apsaugos valstybinės institucijos</w:t>
            </w:r>
            <w:r w:rsidR="00BB0721" w:rsidRPr="00B44B19">
              <w:rPr>
                <w:rFonts w:ascii="Times New Roman" w:eastAsia="Times New Roman" w:hAnsi="Times New Roman" w:cs="Times New Roman"/>
                <w:bdr w:val="none" w:sz="0" w:space="0" w:color="auto" w:frame="1"/>
                <w:lang w:eastAsia="lt-LT"/>
              </w:rPr>
              <w:t>.</w:t>
            </w:r>
          </w:p>
        </w:tc>
      </w:tr>
    </w:tbl>
    <w:p w14:paraId="551D79CA" w14:textId="77777777" w:rsidR="00FE2852" w:rsidRPr="00B44B19" w:rsidRDefault="00FE2852" w:rsidP="001E5B12">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E5B12" w:rsidRPr="00B44B19" w14:paraId="3FAA0B2B" w14:textId="77777777" w:rsidTr="001E5B12">
        <w:tc>
          <w:tcPr>
            <w:tcW w:w="9854" w:type="dxa"/>
          </w:tcPr>
          <w:p w14:paraId="66D62082" w14:textId="77777777" w:rsidR="001E5B12" w:rsidRPr="00B44B19" w:rsidRDefault="007C0361" w:rsidP="004952F4">
            <w:pPr>
              <w:spacing w:before="60" w:after="60"/>
              <w:jc w:val="both"/>
              <w:rPr>
                <w:rFonts w:cs="Times New Roman"/>
                <w:b/>
                <w:i/>
              </w:rPr>
            </w:pPr>
            <w:r w:rsidRPr="00B44B19">
              <w:rPr>
                <w:rFonts w:eastAsia="Calibri" w:cs="Times New Roman"/>
                <w:noProof/>
                <w:sz w:val="22"/>
                <w:lang w:eastAsia="lt-LT" w:bidi="lt-LT"/>
              </w:rPr>
              <w:t>Vykdant numatytas veiklas bus siekiama užtikrinti lygybės, įtraukties ir nediskriminavimo principus. Kuriant ar atnaujinant infrastruktūrą bus taikomi universalaus dizaino principai.</w:t>
            </w:r>
          </w:p>
        </w:tc>
      </w:tr>
    </w:tbl>
    <w:p w14:paraId="797B58B1" w14:textId="77777777" w:rsidR="00FE2852" w:rsidRPr="00B44B19" w:rsidRDefault="00FE2852" w:rsidP="001E5B12">
      <w:pPr>
        <w:pStyle w:val="Stilius1"/>
        <w:rPr>
          <w:rFonts w:cs="Times New Roman"/>
        </w:rPr>
      </w:pPr>
      <w:r w:rsidRPr="00B44B19">
        <w:rPr>
          <w:rFonts w:cs="Times New Roman"/>
        </w:rPr>
        <w:t xml:space="preserve">Konkrečios tikslinės teritorijos, įskaitant planuojamą teritorinių priemonių panaudojimą </w:t>
      </w:r>
    </w:p>
    <w:tbl>
      <w:tblPr>
        <w:tblStyle w:val="Lentelstinklelis2"/>
        <w:tblW w:w="0" w:type="auto"/>
        <w:tblLook w:val="04A0" w:firstRow="1" w:lastRow="0" w:firstColumn="1" w:lastColumn="0" w:noHBand="0" w:noVBand="1"/>
      </w:tblPr>
      <w:tblGrid>
        <w:gridCol w:w="9628"/>
      </w:tblGrid>
      <w:tr w:rsidR="00FE2852" w:rsidRPr="00B44B19" w14:paraId="61A7666E" w14:textId="77777777" w:rsidTr="00E46C9C">
        <w:tc>
          <w:tcPr>
            <w:tcW w:w="9854" w:type="dxa"/>
          </w:tcPr>
          <w:p w14:paraId="0C0689F8" w14:textId="77777777" w:rsidR="00FE2852" w:rsidRPr="00B44B19" w:rsidRDefault="007E467F" w:rsidP="004952F4">
            <w:pPr>
              <w:spacing w:before="60" w:after="60"/>
              <w:jc w:val="both"/>
              <w:rPr>
                <w:rFonts w:ascii="Times New Roman" w:hAnsi="Times New Roman" w:cs="Times New Roman"/>
              </w:rPr>
            </w:pPr>
            <w:r w:rsidRPr="00B44B19">
              <w:rPr>
                <w:rFonts w:ascii="Times New Roman" w:hAnsi="Times New Roman" w:cs="Times New Roman"/>
              </w:rPr>
              <w:t>Visa Lietuva</w:t>
            </w:r>
            <w:r w:rsidR="00BB0721" w:rsidRPr="00B44B19">
              <w:rPr>
                <w:rFonts w:ascii="Times New Roman" w:hAnsi="Times New Roman" w:cs="Times New Roman"/>
              </w:rPr>
              <w:t>.</w:t>
            </w:r>
          </w:p>
          <w:p w14:paraId="71E7B8BF" w14:textId="77777777" w:rsidR="00FA6A41" w:rsidRPr="00B44B19" w:rsidRDefault="00FA6A41" w:rsidP="004952F4">
            <w:pPr>
              <w:spacing w:before="60" w:after="60"/>
              <w:jc w:val="both"/>
              <w:rPr>
                <w:rFonts w:ascii="Times New Roman" w:hAnsi="Times New Roman" w:cs="Times New Roman"/>
              </w:rPr>
            </w:pPr>
            <w:r w:rsidRPr="00B44B19">
              <w:rPr>
                <w:rFonts w:ascii="Times New Roman" w:hAnsi="Times New Roman" w:cs="Times New Roman"/>
              </w:rPr>
              <w:t xml:space="preserve">Uždavinio investicijomis, numatytomis geriamojo vandens tiekimo ir nuotekų </w:t>
            </w:r>
            <w:r w:rsidR="0015773B" w:rsidRPr="00B44B19">
              <w:rPr>
                <w:rFonts w:ascii="Times New Roman" w:hAnsi="Times New Roman" w:cs="Times New Roman"/>
              </w:rPr>
              <w:t>tvarkymo infrastruktūrai modernizuoti ir plėsti, gali</w:t>
            </w:r>
            <w:r w:rsidRPr="00B44B19">
              <w:rPr>
                <w:rFonts w:ascii="Times New Roman" w:hAnsi="Times New Roman" w:cs="Times New Roman"/>
              </w:rPr>
              <w:t xml:space="preserve"> būti remiama dalis tvarios miestų ir </w:t>
            </w:r>
            <w:r w:rsidR="004C2FDD" w:rsidRPr="00B44B19">
              <w:rPr>
                <w:rFonts w:ascii="Times New Roman" w:hAnsi="Times New Roman" w:cs="Times New Roman"/>
              </w:rPr>
              <w:t>FZ</w:t>
            </w:r>
            <w:r w:rsidRPr="00B44B19">
              <w:rPr>
                <w:rFonts w:ascii="Times New Roman" w:hAnsi="Times New Roman" w:cs="Times New Roman"/>
              </w:rPr>
              <w:t xml:space="preserve"> plėtros strategijų veiksmų, įgyvendinamų kaip ITI, šias investicijas derinant su Programos 5 prioriteto investicijomis siekiant bendrų tikslų aplinkos srityje.</w:t>
            </w:r>
          </w:p>
        </w:tc>
      </w:tr>
    </w:tbl>
    <w:p w14:paraId="6E116B4A" w14:textId="77777777" w:rsidR="00FE2852" w:rsidRPr="00B44B19" w:rsidRDefault="00FE2852" w:rsidP="001E5B12">
      <w:pPr>
        <w:pStyle w:val="Stilius1"/>
        <w:rPr>
          <w:rFonts w:cs="Times New Roman"/>
        </w:rPr>
      </w:pPr>
      <w:r w:rsidRPr="00B44B19">
        <w:rPr>
          <w:rFonts w:cs="Times New Roman"/>
        </w:rPr>
        <w:t xml:space="preserve">Tarpregioniniai, tarp sienų ir tarpvalstybiniai veiksmai </w:t>
      </w:r>
    </w:p>
    <w:tbl>
      <w:tblPr>
        <w:tblStyle w:val="Lentelstinklelis2"/>
        <w:tblW w:w="9634" w:type="dxa"/>
        <w:tblLook w:val="04A0" w:firstRow="1" w:lastRow="0" w:firstColumn="1" w:lastColumn="0" w:noHBand="0" w:noVBand="1"/>
      </w:tblPr>
      <w:tblGrid>
        <w:gridCol w:w="9634"/>
      </w:tblGrid>
      <w:tr w:rsidR="00E140AC" w:rsidRPr="00B44B19" w14:paraId="229E9F0D" w14:textId="77777777" w:rsidTr="00D27D25">
        <w:tc>
          <w:tcPr>
            <w:tcW w:w="9634" w:type="dxa"/>
          </w:tcPr>
          <w:p w14:paraId="2D4DF437" w14:textId="77777777" w:rsidR="00E140AC" w:rsidRPr="00B44B19" w:rsidRDefault="00E140AC" w:rsidP="004952F4">
            <w:pPr>
              <w:spacing w:before="60" w:after="60"/>
              <w:jc w:val="both"/>
              <w:rPr>
                <w:rFonts w:ascii="Times New Roman" w:hAnsi="Times New Roman" w:cs="Times New Roman"/>
                <w:noProof/>
                <w:lang w:eastAsia="lt-LT"/>
              </w:rPr>
            </w:pPr>
            <w:r w:rsidRPr="00B44B19">
              <w:rPr>
                <w:rFonts w:ascii="Times New Roman" w:hAnsi="Times New Roman" w:cs="Times New Roman"/>
              </w:rPr>
              <w:t>Numatoma sudaryti visas galimybes prireikus juos atlikti, tačiau į</w:t>
            </w:r>
            <w:r w:rsidRPr="00B44B19">
              <w:rPr>
                <w:rFonts w:ascii="Times New Roman" w:hAnsi="Times New Roman" w:cs="Times New Roman"/>
                <w:noProof/>
                <w:lang w:eastAsia="lt-LT"/>
              </w:rPr>
              <w:t>gyvendinus veiklas bus daromas teigiamas poveikis bendrai Baltijos jūros ekologinei būklei.</w:t>
            </w:r>
          </w:p>
        </w:tc>
      </w:tr>
    </w:tbl>
    <w:p w14:paraId="3A486A9F" w14:textId="77777777" w:rsidR="00FE2852" w:rsidRPr="00B44B19" w:rsidRDefault="00FE2852" w:rsidP="001E5B12">
      <w:pPr>
        <w:pStyle w:val="Stilius1"/>
        <w:rPr>
          <w:rFonts w:cs="Times New Roman"/>
        </w:rPr>
      </w:pPr>
      <w:r w:rsidRPr="00B44B19">
        <w:rPr>
          <w:rFonts w:cs="Times New Roman"/>
        </w:rPr>
        <w:t xml:space="preserve">Planuojamas finansinių priemonių naudojimas </w:t>
      </w:r>
    </w:p>
    <w:tbl>
      <w:tblPr>
        <w:tblStyle w:val="Lentelstinklelis2"/>
        <w:tblW w:w="0" w:type="auto"/>
        <w:tblLook w:val="04A0" w:firstRow="1" w:lastRow="0" w:firstColumn="1" w:lastColumn="0" w:noHBand="0" w:noVBand="1"/>
      </w:tblPr>
      <w:tblGrid>
        <w:gridCol w:w="9628"/>
      </w:tblGrid>
      <w:tr w:rsidR="00FE2852" w:rsidRPr="00B44B19" w14:paraId="39A0A8D7" w14:textId="77777777" w:rsidTr="00E46C9C">
        <w:tc>
          <w:tcPr>
            <w:tcW w:w="9854" w:type="dxa"/>
          </w:tcPr>
          <w:p w14:paraId="072F38BF" w14:textId="77777777" w:rsidR="00FE2852" w:rsidRPr="00B44B19" w:rsidRDefault="00166EC1" w:rsidP="001E5B12">
            <w:pPr>
              <w:spacing w:before="120" w:after="120"/>
              <w:jc w:val="both"/>
              <w:rPr>
                <w:rFonts w:ascii="Times New Roman" w:hAnsi="Times New Roman" w:cs="Times New Roman"/>
              </w:rPr>
            </w:pPr>
            <w:r w:rsidRPr="00B44B19">
              <w:rPr>
                <w:rFonts w:ascii="Times New Roman" w:hAnsi="Times New Roman" w:cs="Times New Roman"/>
              </w:rPr>
              <w:t>–</w:t>
            </w:r>
          </w:p>
        </w:tc>
      </w:tr>
    </w:tbl>
    <w:p w14:paraId="52E7C471" w14:textId="77777777" w:rsidR="009750A4" w:rsidRPr="00B44B19" w:rsidRDefault="00471A41" w:rsidP="001E5B12">
      <w:pPr>
        <w:pStyle w:val="Stilius1"/>
        <w:rPr>
          <w:rFonts w:cs="Times New Roman"/>
        </w:rPr>
      </w:pPr>
      <w:r w:rsidRPr="00B44B19">
        <w:rPr>
          <w:rFonts w:cs="Times New Roman"/>
        </w:rPr>
        <w:lastRenderedPageBreak/>
        <w:t>Rodikliai</w:t>
      </w:r>
    </w:p>
    <w:p w14:paraId="2068012A" w14:textId="77777777" w:rsidR="00471A41" w:rsidRPr="00B44B19" w:rsidRDefault="00471A41" w:rsidP="009750A4">
      <w:pPr>
        <w:spacing w:before="240" w:after="0" w:line="240" w:lineRule="auto"/>
        <w:jc w:val="both"/>
        <w:rPr>
          <w:rFonts w:cs="Times New Roman"/>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1126"/>
        <w:gridCol w:w="828"/>
        <w:gridCol w:w="965"/>
        <w:gridCol w:w="1239"/>
        <w:gridCol w:w="1360"/>
        <w:gridCol w:w="1107"/>
        <w:gridCol w:w="968"/>
        <w:gridCol w:w="1059"/>
      </w:tblGrid>
      <w:tr w:rsidR="008271C0" w:rsidRPr="00B44B19" w14:paraId="3A2541B4" w14:textId="77777777" w:rsidTr="007B05A8">
        <w:trPr>
          <w:trHeight w:val="588"/>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16121"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Prioritetas</w:t>
            </w:r>
          </w:p>
        </w:tc>
        <w:tc>
          <w:tcPr>
            <w:tcW w:w="5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F803A8"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B1279D"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4974DF"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1569C1"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7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86C351"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Rodiklis</w:t>
            </w:r>
          </w:p>
        </w:tc>
        <w:tc>
          <w:tcPr>
            <w:tcW w:w="5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FFC8BA"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C45A4C"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55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C8B71B"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Siek</w:t>
            </w:r>
            <w:r w:rsidR="00693E60" w:rsidRPr="00B44B19">
              <w:rPr>
                <w:rFonts w:cs="Times New Roman"/>
                <w:b/>
                <w:noProof/>
                <w:sz w:val="16"/>
                <w:szCs w:val="16"/>
              </w:rPr>
              <w:t>tina reikšmė</w:t>
            </w:r>
            <w:r w:rsidRPr="00B44B19">
              <w:rPr>
                <w:rFonts w:cs="Times New Roman"/>
                <w:b/>
                <w:noProof/>
                <w:sz w:val="16"/>
                <w:szCs w:val="16"/>
              </w:rPr>
              <w:t xml:space="preserve"> (2029 m.)</w:t>
            </w:r>
          </w:p>
        </w:tc>
      </w:tr>
      <w:tr w:rsidR="007B05A8" w:rsidRPr="00B44B19" w14:paraId="4BE87756" w14:textId="77777777" w:rsidTr="007B05A8">
        <w:trPr>
          <w:trHeight w:val="344"/>
        </w:trPr>
        <w:tc>
          <w:tcPr>
            <w:tcW w:w="497" w:type="pct"/>
            <w:vMerge w:val="restart"/>
            <w:tcBorders>
              <w:top w:val="single" w:sz="12" w:space="0" w:color="auto"/>
            </w:tcBorders>
          </w:tcPr>
          <w:p w14:paraId="425672E4"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2. Žalesnė Lietuva</w:t>
            </w:r>
          </w:p>
        </w:tc>
        <w:tc>
          <w:tcPr>
            <w:tcW w:w="586" w:type="pct"/>
            <w:vMerge w:val="restart"/>
            <w:tcBorders>
              <w:top w:val="single" w:sz="12" w:space="0" w:color="auto"/>
            </w:tcBorders>
          </w:tcPr>
          <w:p w14:paraId="0982648E"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2.5</w:t>
            </w:r>
          </w:p>
        </w:tc>
        <w:tc>
          <w:tcPr>
            <w:tcW w:w="431" w:type="pct"/>
            <w:tcBorders>
              <w:top w:val="single" w:sz="12" w:space="0" w:color="auto"/>
            </w:tcBorders>
          </w:tcPr>
          <w:p w14:paraId="6A585940"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Borders>
              <w:top w:val="single" w:sz="12" w:space="0" w:color="auto"/>
            </w:tcBorders>
          </w:tcPr>
          <w:p w14:paraId="5A64D8E5"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Borders>
              <w:top w:val="single" w:sz="12" w:space="0" w:color="auto"/>
            </w:tcBorders>
          </w:tcPr>
          <w:p w14:paraId="69E1B190" w14:textId="77777777" w:rsidR="007B05A8" w:rsidRPr="00B44B19" w:rsidRDefault="007B05A8" w:rsidP="007C0361">
            <w:pPr>
              <w:spacing w:after="0" w:line="240" w:lineRule="auto"/>
              <w:jc w:val="both"/>
              <w:rPr>
                <w:rFonts w:cs="Times New Roman"/>
                <w:sz w:val="16"/>
                <w:szCs w:val="16"/>
              </w:rPr>
            </w:pPr>
            <w:r w:rsidRPr="00B44B19">
              <w:rPr>
                <w:rFonts w:cs="Times New Roman"/>
                <w:sz w:val="16"/>
                <w:szCs w:val="16"/>
              </w:rPr>
              <w:t>RCO30</w:t>
            </w:r>
          </w:p>
        </w:tc>
        <w:tc>
          <w:tcPr>
            <w:tcW w:w="708" w:type="pct"/>
            <w:tcBorders>
              <w:top w:val="single" w:sz="12" w:space="0" w:color="auto"/>
            </w:tcBorders>
          </w:tcPr>
          <w:p w14:paraId="1265E27E" w14:textId="77777777" w:rsidR="007B05A8" w:rsidRPr="00B44B19" w:rsidRDefault="007B05A8" w:rsidP="007C0361">
            <w:pPr>
              <w:spacing w:after="0" w:line="240" w:lineRule="auto"/>
              <w:rPr>
                <w:rFonts w:cs="Times New Roman"/>
                <w:sz w:val="16"/>
                <w:szCs w:val="16"/>
              </w:rPr>
            </w:pPr>
            <w:r w:rsidRPr="00B44B19">
              <w:rPr>
                <w:rFonts w:cs="Times New Roman"/>
                <w:sz w:val="16"/>
                <w:szCs w:val="16"/>
              </w:rPr>
              <w:t>Viešojo vandens tiekimo paskirstymo sistemų naujų arba atnaujintų vamzdynų ilgis</w:t>
            </w:r>
          </w:p>
        </w:tc>
        <w:tc>
          <w:tcPr>
            <w:tcW w:w="576" w:type="pct"/>
            <w:tcBorders>
              <w:top w:val="single" w:sz="12" w:space="0" w:color="auto"/>
            </w:tcBorders>
          </w:tcPr>
          <w:p w14:paraId="69AEB4F1"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km</w:t>
            </w:r>
          </w:p>
        </w:tc>
        <w:tc>
          <w:tcPr>
            <w:tcW w:w="504" w:type="pct"/>
            <w:tcBorders>
              <w:top w:val="single" w:sz="12" w:space="0" w:color="auto"/>
            </w:tcBorders>
          </w:tcPr>
          <w:p w14:paraId="6E607217"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0</w:t>
            </w:r>
          </w:p>
        </w:tc>
        <w:tc>
          <w:tcPr>
            <w:tcW w:w="552" w:type="pct"/>
            <w:tcBorders>
              <w:top w:val="single" w:sz="12" w:space="0" w:color="auto"/>
            </w:tcBorders>
          </w:tcPr>
          <w:p w14:paraId="0505D5D1" w14:textId="2B59D522" w:rsidR="007B05A8" w:rsidRPr="00B44B19" w:rsidRDefault="00382085" w:rsidP="007C0361">
            <w:pPr>
              <w:spacing w:after="0" w:line="240" w:lineRule="auto"/>
              <w:jc w:val="center"/>
              <w:rPr>
                <w:rFonts w:cs="Times New Roman"/>
                <w:noProof/>
                <w:sz w:val="16"/>
                <w:szCs w:val="16"/>
              </w:rPr>
            </w:pPr>
            <w:r w:rsidRPr="00B44B19">
              <w:rPr>
                <w:rFonts w:cs="Times New Roman"/>
                <w:noProof/>
                <w:sz w:val="16"/>
                <w:szCs w:val="16"/>
              </w:rPr>
              <w:t>245</w:t>
            </w:r>
          </w:p>
        </w:tc>
      </w:tr>
      <w:tr w:rsidR="007B05A8" w:rsidRPr="00B44B19" w14:paraId="24F1F3AD" w14:textId="77777777" w:rsidTr="007B05A8">
        <w:trPr>
          <w:trHeight w:val="515"/>
        </w:trPr>
        <w:tc>
          <w:tcPr>
            <w:tcW w:w="497" w:type="pct"/>
            <w:vMerge/>
          </w:tcPr>
          <w:p w14:paraId="3036F1DD" w14:textId="77777777" w:rsidR="007B05A8" w:rsidRPr="00B44B19" w:rsidRDefault="007B05A8" w:rsidP="007C0361">
            <w:pPr>
              <w:spacing w:after="0" w:line="240" w:lineRule="auto"/>
              <w:jc w:val="both"/>
              <w:rPr>
                <w:rFonts w:cs="Times New Roman"/>
                <w:noProof/>
                <w:sz w:val="16"/>
                <w:szCs w:val="16"/>
              </w:rPr>
            </w:pPr>
          </w:p>
        </w:tc>
        <w:tc>
          <w:tcPr>
            <w:tcW w:w="586" w:type="pct"/>
            <w:vMerge/>
          </w:tcPr>
          <w:p w14:paraId="46E97A09" w14:textId="77777777" w:rsidR="007B05A8" w:rsidRPr="00B44B19" w:rsidRDefault="007B05A8" w:rsidP="007C0361">
            <w:pPr>
              <w:spacing w:after="0" w:line="240" w:lineRule="auto"/>
              <w:jc w:val="both"/>
              <w:rPr>
                <w:rFonts w:cs="Times New Roman"/>
                <w:noProof/>
                <w:sz w:val="16"/>
                <w:szCs w:val="16"/>
              </w:rPr>
            </w:pPr>
          </w:p>
        </w:tc>
        <w:tc>
          <w:tcPr>
            <w:tcW w:w="431" w:type="pct"/>
          </w:tcPr>
          <w:p w14:paraId="05FB8171"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1CA17B2F"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Pr>
          <w:p w14:paraId="79FF7736" w14:textId="77777777" w:rsidR="007B05A8" w:rsidRPr="00B44B19" w:rsidRDefault="007B05A8" w:rsidP="007C0361">
            <w:pPr>
              <w:spacing w:after="0" w:line="240" w:lineRule="auto"/>
              <w:jc w:val="both"/>
              <w:rPr>
                <w:rFonts w:cs="Times New Roman"/>
                <w:sz w:val="16"/>
                <w:szCs w:val="16"/>
              </w:rPr>
            </w:pPr>
            <w:r w:rsidRPr="00B44B19">
              <w:rPr>
                <w:rFonts w:cs="Times New Roman"/>
                <w:sz w:val="16"/>
                <w:szCs w:val="16"/>
              </w:rPr>
              <w:t>RCO31</w:t>
            </w:r>
          </w:p>
        </w:tc>
        <w:tc>
          <w:tcPr>
            <w:tcW w:w="708" w:type="pct"/>
          </w:tcPr>
          <w:p w14:paraId="588D5B36" w14:textId="77777777" w:rsidR="007B05A8" w:rsidRPr="00B44B19" w:rsidRDefault="007B05A8" w:rsidP="007C0361">
            <w:pPr>
              <w:spacing w:after="0" w:line="240" w:lineRule="auto"/>
              <w:rPr>
                <w:rFonts w:cs="Times New Roman"/>
                <w:sz w:val="16"/>
                <w:szCs w:val="16"/>
              </w:rPr>
            </w:pPr>
            <w:r w:rsidRPr="00B44B19">
              <w:rPr>
                <w:rFonts w:cs="Times New Roman"/>
                <w:sz w:val="16"/>
                <w:szCs w:val="16"/>
              </w:rPr>
              <w:t>Viešojo nuotekų surinkimo tinklo naujų arba atnaujintų vamzdynų ilgis</w:t>
            </w:r>
          </w:p>
        </w:tc>
        <w:tc>
          <w:tcPr>
            <w:tcW w:w="576" w:type="pct"/>
          </w:tcPr>
          <w:p w14:paraId="41F1058D"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km</w:t>
            </w:r>
          </w:p>
        </w:tc>
        <w:tc>
          <w:tcPr>
            <w:tcW w:w="504" w:type="pct"/>
          </w:tcPr>
          <w:p w14:paraId="566ED161"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0</w:t>
            </w:r>
          </w:p>
        </w:tc>
        <w:tc>
          <w:tcPr>
            <w:tcW w:w="552" w:type="pct"/>
          </w:tcPr>
          <w:p w14:paraId="74636A4D" w14:textId="30523B5D" w:rsidR="007B05A8" w:rsidRPr="00B44B19" w:rsidRDefault="00382085" w:rsidP="007C0361">
            <w:pPr>
              <w:spacing w:after="0" w:line="240" w:lineRule="auto"/>
              <w:jc w:val="center"/>
              <w:rPr>
                <w:rFonts w:cs="Times New Roman"/>
                <w:noProof/>
                <w:sz w:val="16"/>
                <w:szCs w:val="16"/>
              </w:rPr>
            </w:pPr>
            <w:r w:rsidRPr="00B44B19">
              <w:rPr>
                <w:rFonts w:cs="Times New Roman"/>
                <w:noProof/>
                <w:sz w:val="16"/>
                <w:szCs w:val="16"/>
              </w:rPr>
              <w:t>554</w:t>
            </w:r>
          </w:p>
        </w:tc>
      </w:tr>
      <w:tr w:rsidR="007B05A8" w:rsidRPr="00B44B19" w14:paraId="1D001306" w14:textId="77777777" w:rsidTr="007B05A8">
        <w:trPr>
          <w:trHeight w:val="523"/>
        </w:trPr>
        <w:tc>
          <w:tcPr>
            <w:tcW w:w="497" w:type="pct"/>
            <w:vMerge/>
          </w:tcPr>
          <w:p w14:paraId="711DF64E" w14:textId="77777777" w:rsidR="007B05A8" w:rsidRPr="00B44B19" w:rsidRDefault="007B05A8" w:rsidP="007C0361">
            <w:pPr>
              <w:spacing w:after="0" w:line="240" w:lineRule="auto"/>
              <w:jc w:val="both"/>
              <w:rPr>
                <w:rFonts w:cs="Times New Roman"/>
                <w:noProof/>
                <w:sz w:val="16"/>
                <w:szCs w:val="16"/>
              </w:rPr>
            </w:pPr>
          </w:p>
        </w:tc>
        <w:tc>
          <w:tcPr>
            <w:tcW w:w="586" w:type="pct"/>
            <w:vMerge/>
          </w:tcPr>
          <w:p w14:paraId="257F12F6" w14:textId="77777777" w:rsidR="007B05A8" w:rsidRPr="00B44B19" w:rsidRDefault="007B05A8" w:rsidP="007C0361">
            <w:pPr>
              <w:spacing w:after="0" w:line="240" w:lineRule="auto"/>
              <w:jc w:val="both"/>
              <w:rPr>
                <w:rFonts w:cs="Times New Roman"/>
                <w:noProof/>
                <w:sz w:val="16"/>
                <w:szCs w:val="16"/>
              </w:rPr>
            </w:pPr>
          </w:p>
        </w:tc>
        <w:tc>
          <w:tcPr>
            <w:tcW w:w="431" w:type="pct"/>
          </w:tcPr>
          <w:p w14:paraId="17072E54"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09890085"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Pr>
          <w:p w14:paraId="67E5A40A" w14:textId="77777777" w:rsidR="007B05A8" w:rsidRPr="00B44B19" w:rsidRDefault="007B05A8" w:rsidP="007C0361">
            <w:pPr>
              <w:spacing w:after="0" w:line="240" w:lineRule="auto"/>
              <w:jc w:val="both"/>
              <w:rPr>
                <w:rFonts w:cs="Times New Roman"/>
                <w:sz w:val="16"/>
                <w:szCs w:val="16"/>
              </w:rPr>
            </w:pPr>
            <w:r w:rsidRPr="00B44B19">
              <w:rPr>
                <w:rFonts w:cs="Times New Roman"/>
                <w:sz w:val="16"/>
                <w:szCs w:val="16"/>
              </w:rPr>
              <w:t>RCO32</w:t>
            </w:r>
          </w:p>
        </w:tc>
        <w:tc>
          <w:tcPr>
            <w:tcW w:w="708" w:type="pct"/>
          </w:tcPr>
          <w:p w14:paraId="6FD2F689" w14:textId="77777777" w:rsidR="007B05A8" w:rsidRPr="00B44B19" w:rsidRDefault="007B05A8" w:rsidP="007C0361">
            <w:pPr>
              <w:spacing w:after="0" w:line="240" w:lineRule="auto"/>
              <w:rPr>
                <w:rFonts w:cs="Times New Roman"/>
                <w:sz w:val="16"/>
                <w:szCs w:val="16"/>
              </w:rPr>
            </w:pPr>
            <w:r w:rsidRPr="00B44B19">
              <w:rPr>
                <w:rFonts w:cs="Times New Roman"/>
                <w:sz w:val="16"/>
                <w:szCs w:val="16"/>
              </w:rPr>
              <w:t>Nauji arba atnaujinti nuotekų valymo pajėgumai</w:t>
            </w:r>
          </w:p>
        </w:tc>
        <w:tc>
          <w:tcPr>
            <w:tcW w:w="576" w:type="pct"/>
          </w:tcPr>
          <w:p w14:paraId="0B48DCFC"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Gyventojų ekvivalentas</w:t>
            </w:r>
          </w:p>
        </w:tc>
        <w:tc>
          <w:tcPr>
            <w:tcW w:w="504" w:type="pct"/>
          </w:tcPr>
          <w:p w14:paraId="055262BA"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0</w:t>
            </w:r>
          </w:p>
        </w:tc>
        <w:tc>
          <w:tcPr>
            <w:tcW w:w="552" w:type="pct"/>
          </w:tcPr>
          <w:p w14:paraId="44A22F5E" w14:textId="5DBC3999" w:rsidR="007B05A8" w:rsidRPr="00B44B19" w:rsidRDefault="00382085" w:rsidP="007C0361">
            <w:pPr>
              <w:spacing w:after="0" w:line="240" w:lineRule="auto"/>
              <w:jc w:val="center"/>
              <w:rPr>
                <w:rFonts w:cs="Times New Roman"/>
                <w:noProof/>
                <w:sz w:val="16"/>
                <w:szCs w:val="16"/>
              </w:rPr>
            </w:pPr>
            <w:r w:rsidRPr="00B44B19">
              <w:rPr>
                <w:rFonts w:cs="Times New Roman"/>
                <w:noProof/>
                <w:sz w:val="16"/>
                <w:szCs w:val="16"/>
              </w:rPr>
              <w:t>28 556</w:t>
            </w:r>
          </w:p>
        </w:tc>
      </w:tr>
      <w:tr w:rsidR="007B05A8" w:rsidRPr="00B44B19" w14:paraId="1C89F3B4" w14:textId="77777777" w:rsidTr="007B05A8">
        <w:trPr>
          <w:trHeight w:val="517"/>
        </w:trPr>
        <w:tc>
          <w:tcPr>
            <w:tcW w:w="497" w:type="pct"/>
            <w:vMerge/>
          </w:tcPr>
          <w:p w14:paraId="26E699E8" w14:textId="77777777" w:rsidR="007B05A8" w:rsidRPr="00B44B19" w:rsidRDefault="007B05A8" w:rsidP="007C0361">
            <w:pPr>
              <w:spacing w:after="0" w:line="240" w:lineRule="auto"/>
              <w:jc w:val="both"/>
              <w:rPr>
                <w:rFonts w:cs="Times New Roman"/>
                <w:noProof/>
                <w:sz w:val="16"/>
                <w:szCs w:val="16"/>
              </w:rPr>
            </w:pPr>
          </w:p>
        </w:tc>
        <w:tc>
          <w:tcPr>
            <w:tcW w:w="586" w:type="pct"/>
            <w:vMerge/>
          </w:tcPr>
          <w:p w14:paraId="77AB331E" w14:textId="77777777" w:rsidR="007B05A8" w:rsidRPr="00B44B19" w:rsidRDefault="007B05A8" w:rsidP="007C0361">
            <w:pPr>
              <w:spacing w:after="0" w:line="240" w:lineRule="auto"/>
              <w:jc w:val="both"/>
              <w:rPr>
                <w:rFonts w:cs="Times New Roman"/>
                <w:noProof/>
                <w:sz w:val="16"/>
                <w:szCs w:val="16"/>
              </w:rPr>
            </w:pPr>
          </w:p>
        </w:tc>
        <w:tc>
          <w:tcPr>
            <w:tcW w:w="431" w:type="pct"/>
          </w:tcPr>
          <w:p w14:paraId="7DD4FDEE"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6F1E935C"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Pr>
          <w:p w14:paraId="03083307" w14:textId="77777777" w:rsidR="007B05A8" w:rsidRPr="00B44B19" w:rsidRDefault="007B05A8" w:rsidP="002D4C4E">
            <w:pPr>
              <w:spacing w:after="0" w:line="240" w:lineRule="auto"/>
              <w:jc w:val="both"/>
              <w:rPr>
                <w:rFonts w:cs="Times New Roman"/>
                <w:sz w:val="16"/>
                <w:szCs w:val="16"/>
              </w:rPr>
            </w:pPr>
            <w:r w:rsidRPr="00B44B19">
              <w:rPr>
                <w:rFonts w:cs="Times New Roman"/>
                <w:sz w:val="16"/>
                <w:szCs w:val="16"/>
              </w:rPr>
              <w:t>Specialusis</w:t>
            </w:r>
          </w:p>
        </w:tc>
        <w:tc>
          <w:tcPr>
            <w:tcW w:w="708" w:type="pct"/>
          </w:tcPr>
          <w:p w14:paraId="6C9A37BB" w14:textId="77777777" w:rsidR="007B05A8" w:rsidRPr="00B44B19" w:rsidRDefault="007B05A8" w:rsidP="007C0361">
            <w:pPr>
              <w:spacing w:after="0" w:line="240" w:lineRule="auto"/>
              <w:rPr>
                <w:rFonts w:cs="Times New Roman"/>
                <w:color w:val="000000"/>
                <w:sz w:val="16"/>
                <w:szCs w:val="16"/>
              </w:rPr>
            </w:pPr>
            <w:r w:rsidRPr="00B44B19">
              <w:rPr>
                <w:rFonts w:cs="Times New Roman"/>
                <w:color w:val="000000"/>
                <w:sz w:val="16"/>
                <w:szCs w:val="16"/>
              </w:rPr>
              <w:t>Nauji arba atnaujinti geriamojo vandens ruošimo pajėgumai</w:t>
            </w:r>
          </w:p>
        </w:tc>
        <w:tc>
          <w:tcPr>
            <w:tcW w:w="576" w:type="pct"/>
          </w:tcPr>
          <w:p w14:paraId="7358F6DF"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m</w:t>
            </w:r>
            <w:r w:rsidRPr="00B44B19">
              <w:rPr>
                <w:rFonts w:cs="Times New Roman"/>
                <w:noProof/>
                <w:sz w:val="16"/>
                <w:szCs w:val="16"/>
                <w:lang w:val="en-GB"/>
              </w:rPr>
              <w:t>3/parą</w:t>
            </w:r>
          </w:p>
        </w:tc>
        <w:tc>
          <w:tcPr>
            <w:tcW w:w="504" w:type="pct"/>
          </w:tcPr>
          <w:p w14:paraId="3703B62F"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0</w:t>
            </w:r>
          </w:p>
        </w:tc>
        <w:tc>
          <w:tcPr>
            <w:tcW w:w="552" w:type="pct"/>
          </w:tcPr>
          <w:p w14:paraId="2470F594" w14:textId="77777777" w:rsidR="007B05A8" w:rsidRPr="00B44B19" w:rsidRDefault="007B05A8" w:rsidP="007C0361">
            <w:pPr>
              <w:spacing w:after="0" w:line="240" w:lineRule="auto"/>
              <w:jc w:val="center"/>
              <w:rPr>
                <w:rFonts w:cs="Times New Roman"/>
                <w:noProof/>
                <w:sz w:val="16"/>
                <w:szCs w:val="16"/>
                <w:lang w:val="en-GB"/>
              </w:rPr>
            </w:pPr>
            <w:r w:rsidRPr="00B44B19">
              <w:rPr>
                <w:rFonts w:cs="Times New Roman"/>
                <w:noProof/>
                <w:sz w:val="16"/>
                <w:szCs w:val="16"/>
                <w:lang w:val="en-GB"/>
              </w:rPr>
              <w:t>9 069</w:t>
            </w:r>
          </w:p>
        </w:tc>
      </w:tr>
      <w:tr w:rsidR="007B05A8" w:rsidRPr="00B44B19" w14:paraId="5CB03C3F" w14:textId="77777777" w:rsidTr="007B05A8">
        <w:trPr>
          <w:trHeight w:val="733"/>
        </w:trPr>
        <w:tc>
          <w:tcPr>
            <w:tcW w:w="497" w:type="pct"/>
            <w:vMerge/>
          </w:tcPr>
          <w:p w14:paraId="7356F80F" w14:textId="77777777" w:rsidR="007B05A8" w:rsidRPr="00B44B19" w:rsidRDefault="007B05A8" w:rsidP="007C0361">
            <w:pPr>
              <w:spacing w:after="0" w:line="240" w:lineRule="auto"/>
              <w:jc w:val="both"/>
              <w:rPr>
                <w:rFonts w:cs="Times New Roman"/>
                <w:noProof/>
                <w:sz w:val="18"/>
                <w:szCs w:val="18"/>
              </w:rPr>
            </w:pPr>
          </w:p>
        </w:tc>
        <w:tc>
          <w:tcPr>
            <w:tcW w:w="586" w:type="pct"/>
            <w:vMerge/>
          </w:tcPr>
          <w:p w14:paraId="6A775613" w14:textId="77777777" w:rsidR="007B05A8" w:rsidRPr="00B44B19" w:rsidRDefault="007B05A8" w:rsidP="007C0361">
            <w:pPr>
              <w:spacing w:after="0" w:line="240" w:lineRule="auto"/>
              <w:jc w:val="both"/>
              <w:rPr>
                <w:rFonts w:cs="Times New Roman"/>
                <w:noProof/>
                <w:sz w:val="18"/>
                <w:szCs w:val="18"/>
              </w:rPr>
            </w:pPr>
          </w:p>
        </w:tc>
        <w:tc>
          <w:tcPr>
            <w:tcW w:w="431" w:type="pct"/>
          </w:tcPr>
          <w:p w14:paraId="7F2E1634"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2616BA09"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Pr>
          <w:p w14:paraId="50EBA989" w14:textId="77777777" w:rsidR="007B05A8" w:rsidRPr="00B44B19" w:rsidRDefault="007B05A8" w:rsidP="002D4C4E">
            <w:pPr>
              <w:spacing w:after="0" w:line="240" w:lineRule="auto"/>
              <w:jc w:val="both"/>
              <w:rPr>
                <w:rFonts w:cs="Times New Roman"/>
                <w:sz w:val="16"/>
                <w:szCs w:val="16"/>
              </w:rPr>
            </w:pPr>
            <w:r w:rsidRPr="00B44B19">
              <w:rPr>
                <w:rFonts w:cs="Times New Roman"/>
                <w:sz w:val="16"/>
                <w:szCs w:val="16"/>
              </w:rPr>
              <w:t>Specialusis</w:t>
            </w:r>
          </w:p>
        </w:tc>
        <w:tc>
          <w:tcPr>
            <w:tcW w:w="708" w:type="pct"/>
          </w:tcPr>
          <w:p w14:paraId="7BD3C46F" w14:textId="77777777" w:rsidR="007B05A8" w:rsidRPr="00B44B19" w:rsidRDefault="007B05A8" w:rsidP="007C0361">
            <w:pPr>
              <w:spacing w:after="0" w:line="240" w:lineRule="auto"/>
              <w:rPr>
                <w:rFonts w:cs="Times New Roman"/>
                <w:color w:val="000000"/>
                <w:sz w:val="16"/>
                <w:szCs w:val="16"/>
              </w:rPr>
            </w:pPr>
            <w:r w:rsidRPr="00B44B19">
              <w:rPr>
                <w:rFonts w:cs="Times New Roman"/>
                <w:color w:val="000000"/>
                <w:sz w:val="16"/>
                <w:szCs w:val="16"/>
              </w:rPr>
              <w:t>Investicijos į naują arba atnaujintą vandens monitoringo sistemą</w:t>
            </w:r>
          </w:p>
        </w:tc>
        <w:tc>
          <w:tcPr>
            <w:tcW w:w="576" w:type="pct"/>
          </w:tcPr>
          <w:p w14:paraId="0623C419"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Eurai</w:t>
            </w:r>
          </w:p>
        </w:tc>
        <w:tc>
          <w:tcPr>
            <w:tcW w:w="504" w:type="pct"/>
          </w:tcPr>
          <w:p w14:paraId="2526AA9B"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0</w:t>
            </w:r>
          </w:p>
        </w:tc>
        <w:tc>
          <w:tcPr>
            <w:tcW w:w="552" w:type="pct"/>
          </w:tcPr>
          <w:p w14:paraId="576BC6A3"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11 764 706</w:t>
            </w:r>
          </w:p>
        </w:tc>
      </w:tr>
      <w:tr w:rsidR="007B05A8" w:rsidRPr="00B44B19" w14:paraId="23E6652B" w14:textId="77777777" w:rsidTr="007B05A8">
        <w:trPr>
          <w:trHeight w:val="733"/>
        </w:trPr>
        <w:tc>
          <w:tcPr>
            <w:tcW w:w="497" w:type="pct"/>
            <w:vMerge/>
          </w:tcPr>
          <w:p w14:paraId="70041F57" w14:textId="77777777" w:rsidR="007B05A8" w:rsidRPr="00B44B19" w:rsidRDefault="007B05A8" w:rsidP="007C0361">
            <w:pPr>
              <w:spacing w:after="0" w:line="240" w:lineRule="auto"/>
              <w:jc w:val="both"/>
              <w:rPr>
                <w:rFonts w:cs="Times New Roman"/>
                <w:noProof/>
                <w:sz w:val="18"/>
                <w:szCs w:val="18"/>
              </w:rPr>
            </w:pPr>
          </w:p>
        </w:tc>
        <w:tc>
          <w:tcPr>
            <w:tcW w:w="586" w:type="pct"/>
            <w:vMerge/>
          </w:tcPr>
          <w:p w14:paraId="6933405E" w14:textId="77777777" w:rsidR="007B05A8" w:rsidRPr="00B44B19" w:rsidRDefault="007B05A8" w:rsidP="007C0361">
            <w:pPr>
              <w:spacing w:after="0" w:line="240" w:lineRule="auto"/>
              <w:jc w:val="both"/>
              <w:rPr>
                <w:rFonts w:cs="Times New Roman"/>
                <w:noProof/>
                <w:sz w:val="18"/>
                <w:szCs w:val="18"/>
              </w:rPr>
            </w:pPr>
          </w:p>
        </w:tc>
        <w:tc>
          <w:tcPr>
            <w:tcW w:w="431" w:type="pct"/>
          </w:tcPr>
          <w:p w14:paraId="6E394869"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269BE46C"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Pr>
          <w:p w14:paraId="4596DBE0" w14:textId="77777777" w:rsidR="007B05A8" w:rsidRPr="00B44B19" w:rsidRDefault="007B05A8" w:rsidP="002D4C4E">
            <w:pPr>
              <w:spacing w:after="0" w:line="240" w:lineRule="auto"/>
              <w:jc w:val="both"/>
              <w:rPr>
                <w:rFonts w:cs="Times New Roman"/>
                <w:sz w:val="16"/>
                <w:szCs w:val="16"/>
              </w:rPr>
            </w:pPr>
            <w:r w:rsidRPr="00B44B19">
              <w:rPr>
                <w:rFonts w:eastAsia="Calibri" w:cs="Times New Roman"/>
                <w:sz w:val="16"/>
                <w:szCs w:val="16"/>
                <w:lang w:eastAsia="en-GB" w:bidi="lt-LT"/>
              </w:rPr>
              <w:t>Specialusis</w:t>
            </w:r>
          </w:p>
        </w:tc>
        <w:tc>
          <w:tcPr>
            <w:tcW w:w="708" w:type="pct"/>
          </w:tcPr>
          <w:p w14:paraId="477DF5A5" w14:textId="77777777" w:rsidR="007B05A8" w:rsidRPr="00B44B19" w:rsidRDefault="007B05A8" w:rsidP="007C0361">
            <w:pPr>
              <w:spacing w:after="0" w:line="240" w:lineRule="auto"/>
              <w:rPr>
                <w:rFonts w:cs="Times New Roman"/>
                <w:color w:val="000000"/>
                <w:sz w:val="16"/>
                <w:szCs w:val="16"/>
              </w:rPr>
            </w:pPr>
            <w:r w:rsidRPr="00B44B19">
              <w:rPr>
                <w:rFonts w:cs="Times New Roman"/>
                <w:sz w:val="16"/>
                <w:szCs w:val="16"/>
                <w:lang w:eastAsia="en-GB"/>
              </w:rPr>
              <w:t xml:space="preserve">Gyventojai, kuriems taikomi projektai, vykdomi pagal integruotas teritorinio vystymo programas </w:t>
            </w:r>
          </w:p>
        </w:tc>
        <w:tc>
          <w:tcPr>
            <w:tcW w:w="576" w:type="pct"/>
          </w:tcPr>
          <w:p w14:paraId="4645898B"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Asmenys</w:t>
            </w:r>
          </w:p>
        </w:tc>
        <w:tc>
          <w:tcPr>
            <w:tcW w:w="504" w:type="pct"/>
          </w:tcPr>
          <w:p w14:paraId="74BA61B9" w14:textId="77777777" w:rsidR="007B05A8" w:rsidRPr="00B44B19" w:rsidRDefault="007B05A8" w:rsidP="007C0361">
            <w:pPr>
              <w:spacing w:after="0" w:line="240" w:lineRule="auto"/>
              <w:jc w:val="center"/>
              <w:rPr>
                <w:rFonts w:cs="Times New Roman"/>
                <w:noProof/>
                <w:sz w:val="16"/>
                <w:szCs w:val="16"/>
              </w:rPr>
            </w:pPr>
            <w:r w:rsidRPr="00B44B19">
              <w:rPr>
                <w:rFonts w:cs="Times New Roman"/>
                <w:sz w:val="16"/>
                <w:szCs w:val="16"/>
              </w:rPr>
              <w:t xml:space="preserve"> 0</w:t>
            </w:r>
          </w:p>
        </w:tc>
        <w:tc>
          <w:tcPr>
            <w:tcW w:w="552" w:type="pct"/>
          </w:tcPr>
          <w:p w14:paraId="2D43FA4F"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111 967</w:t>
            </w:r>
          </w:p>
        </w:tc>
      </w:tr>
      <w:tr w:rsidR="007B05A8" w:rsidRPr="00B44B19" w14:paraId="05678909" w14:textId="77777777" w:rsidTr="007B05A8">
        <w:trPr>
          <w:trHeight w:val="733"/>
        </w:trPr>
        <w:tc>
          <w:tcPr>
            <w:tcW w:w="497" w:type="pct"/>
            <w:vMerge/>
          </w:tcPr>
          <w:p w14:paraId="58C3EC80" w14:textId="77777777" w:rsidR="007B05A8" w:rsidRPr="00B44B19" w:rsidRDefault="007B05A8" w:rsidP="007C0361">
            <w:pPr>
              <w:spacing w:after="0" w:line="240" w:lineRule="auto"/>
              <w:jc w:val="both"/>
              <w:rPr>
                <w:rFonts w:cs="Times New Roman"/>
                <w:noProof/>
                <w:sz w:val="18"/>
                <w:szCs w:val="18"/>
              </w:rPr>
            </w:pPr>
          </w:p>
        </w:tc>
        <w:tc>
          <w:tcPr>
            <w:tcW w:w="586" w:type="pct"/>
            <w:vMerge/>
          </w:tcPr>
          <w:p w14:paraId="6F54C815" w14:textId="77777777" w:rsidR="007B05A8" w:rsidRPr="00B44B19" w:rsidRDefault="007B05A8" w:rsidP="007C0361">
            <w:pPr>
              <w:spacing w:after="0" w:line="240" w:lineRule="auto"/>
              <w:jc w:val="both"/>
              <w:rPr>
                <w:rFonts w:cs="Times New Roman"/>
                <w:noProof/>
                <w:sz w:val="18"/>
                <w:szCs w:val="18"/>
              </w:rPr>
            </w:pPr>
          </w:p>
        </w:tc>
        <w:tc>
          <w:tcPr>
            <w:tcW w:w="431" w:type="pct"/>
          </w:tcPr>
          <w:p w14:paraId="228CC8D0"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SaF</w:t>
            </w:r>
          </w:p>
        </w:tc>
        <w:tc>
          <w:tcPr>
            <w:tcW w:w="502" w:type="pct"/>
          </w:tcPr>
          <w:p w14:paraId="0E009EB8"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Pr>
          <w:p w14:paraId="48D5B370" w14:textId="77777777" w:rsidR="007B05A8" w:rsidRPr="00B44B19" w:rsidRDefault="007B05A8" w:rsidP="002D4C4E">
            <w:pPr>
              <w:spacing w:after="0" w:line="240" w:lineRule="auto"/>
              <w:jc w:val="both"/>
              <w:rPr>
                <w:rFonts w:cs="Times New Roman"/>
                <w:sz w:val="16"/>
                <w:szCs w:val="16"/>
              </w:rPr>
            </w:pPr>
            <w:r w:rsidRPr="00B44B19">
              <w:rPr>
                <w:rFonts w:eastAsia="Calibri" w:cs="Times New Roman"/>
                <w:sz w:val="16"/>
                <w:szCs w:val="16"/>
                <w:lang w:eastAsia="en-GB" w:bidi="lt-LT"/>
              </w:rPr>
              <w:t>Specialusis</w:t>
            </w:r>
          </w:p>
        </w:tc>
        <w:tc>
          <w:tcPr>
            <w:tcW w:w="708" w:type="pct"/>
          </w:tcPr>
          <w:p w14:paraId="4951AB2D" w14:textId="77777777" w:rsidR="007B05A8" w:rsidRPr="00B44B19" w:rsidRDefault="007B05A8" w:rsidP="007C0361">
            <w:pPr>
              <w:spacing w:after="0" w:line="240" w:lineRule="auto"/>
              <w:rPr>
                <w:rFonts w:cs="Times New Roman"/>
                <w:color w:val="000000"/>
                <w:sz w:val="16"/>
                <w:szCs w:val="16"/>
              </w:rPr>
            </w:pPr>
            <w:r w:rsidRPr="00B44B19">
              <w:rPr>
                <w:rFonts w:cs="Times New Roman"/>
                <w:sz w:val="16"/>
                <w:szCs w:val="16"/>
              </w:rPr>
              <w:t>Integruotos teritorinio vystymo strategijos, kurioms suteikta parama</w:t>
            </w:r>
          </w:p>
        </w:tc>
        <w:tc>
          <w:tcPr>
            <w:tcW w:w="576" w:type="pct"/>
          </w:tcPr>
          <w:p w14:paraId="5D20AEDE" w14:textId="77777777" w:rsidR="007B05A8" w:rsidRPr="00B44B19" w:rsidRDefault="007B05A8" w:rsidP="007C0361">
            <w:pPr>
              <w:spacing w:after="0" w:line="240" w:lineRule="auto"/>
              <w:jc w:val="both"/>
              <w:rPr>
                <w:rFonts w:cs="Times New Roman"/>
                <w:noProof/>
                <w:sz w:val="16"/>
                <w:szCs w:val="16"/>
              </w:rPr>
            </w:pPr>
            <w:r w:rsidRPr="00B44B19">
              <w:rPr>
                <w:rFonts w:cs="Times New Roman"/>
                <w:noProof/>
                <w:sz w:val="16"/>
                <w:szCs w:val="16"/>
              </w:rPr>
              <w:t>Indėlis į strategijas</w:t>
            </w:r>
          </w:p>
        </w:tc>
        <w:tc>
          <w:tcPr>
            <w:tcW w:w="504" w:type="pct"/>
          </w:tcPr>
          <w:p w14:paraId="49E16C77" w14:textId="77777777" w:rsidR="007B05A8" w:rsidRPr="00B44B19" w:rsidRDefault="007B05A8" w:rsidP="007C0361">
            <w:pPr>
              <w:spacing w:after="0" w:line="240" w:lineRule="auto"/>
              <w:jc w:val="center"/>
              <w:rPr>
                <w:rFonts w:cs="Times New Roman"/>
                <w:noProof/>
                <w:sz w:val="16"/>
                <w:szCs w:val="16"/>
              </w:rPr>
            </w:pPr>
            <w:r w:rsidRPr="00B44B19">
              <w:rPr>
                <w:rFonts w:cs="Times New Roman"/>
                <w:sz w:val="16"/>
                <w:szCs w:val="16"/>
              </w:rPr>
              <w:t>0</w:t>
            </w:r>
          </w:p>
        </w:tc>
        <w:tc>
          <w:tcPr>
            <w:tcW w:w="552" w:type="pct"/>
          </w:tcPr>
          <w:p w14:paraId="680AE7B2" w14:textId="77777777" w:rsidR="007B05A8" w:rsidRPr="00B44B19" w:rsidRDefault="007B05A8" w:rsidP="007C0361">
            <w:pPr>
              <w:spacing w:after="0" w:line="240" w:lineRule="auto"/>
              <w:jc w:val="center"/>
              <w:rPr>
                <w:rFonts w:cs="Times New Roman"/>
                <w:noProof/>
                <w:sz w:val="16"/>
                <w:szCs w:val="16"/>
              </w:rPr>
            </w:pPr>
            <w:r w:rsidRPr="00B44B19">
              <w:rPr>
                <w:rFonts w:cs="Times New Roman"/>
                <w:noProof/>
                <w:sz w:val="16"/>
                <w:szCs w:val="16"/>
              </w:rPr>
              <w:t>1</w:t>
            </w:r>
          </w:p>
        </w:tc>
      </w:tr>
    </w:tbl>
    <w:p w14:paraId="7000CAED" w14:textId="77777777" w:rsidR="00471A41" w:rsidRPr="00B44B19" w:rsidRDefault="00471A41" w:rsidP="00471A41">
      <w:pPr>
        <w:rPr>
          <w:rFonts w:cs="Times New Roman"/>
          <w:b/>
          <w:szCs w:val="24"/>
        </w:rPr>
      </w:pPr>
    </w:p>
    <w:p w14:paraId="6975C9D3" w14:textId="77777777" w:rsidR="00962545" w:rsidRPr="00B44B19" w:rsidRDefault="00962545" w:rsidP="00471A41">
      <w:pPr>
        <w:spacing w:after="0" w:line="240" w:lineRule="auto"/>
        <w:jc w:val="both"/>
        <w:rPr>
          <w:rFonts w:cs="Times New Roman"/>
          <w:b/>
          <w:sz w:val="22"/>
        </w:rPr>
        <w:sectPr w:rsidR="00962545" w:rsidRPr="00B44B19" w:rsidSect="00931C78">
          <w:pgSz w:w="11906" w:h="16838"/>
          <w:pgMar w:top="1276" w:right="567" w:bottom="1134" w:left="1701" w:header="567" w:footer="567" w:gutter="0"/>
          <w:cols w:space="1296"/>
          <w:docGrid w:linePitch="360"/>
        </w:sectPr>
      </w:pPr>
    </w:p>
    <w:p w14:paraId="66CC9ADC" w14:textId="77777777" w:rsidR="00471A41" w:rsidRPr="00B44B19" w:rsidRDefault="00471A41" w:rsidP="00471A41">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117"/>
        <w:gridCol w:w="698"/>
        <w:gridCol w:w="1116"/>
        <w:gridCol w:w="1393"/>
        <w:gridCol w:w="3210"/>
        <w:gridCol w:w="1257"/>
        <w:gridCol w:w="978"/>
        <w:gridCol w:w="1257"/>
        <w:gridCol w:w="978"/>
        <w:gridCol w:w="978"/>
        <w:gridCol w:w="972"/>
      </w:tblGrid>
      <w:tr w:rsidR="00382A6D" w:rsidRPr="00B44B19" w14:paraId="286138F4" w14:textId="77777777" w:rsidTr="00382A6D">
        <w:trPr>
          <w:trHeight w:val="823"/>
          <w:tblHeader/>
        </w:trPr>
        <w:tc>
          <w:tcPr>
            <w:tcW w:w="361" w:type="pct"/>
            <w:shd w:val="clear" w:color="auto" w:fill="DBE5F1" w:themeFill="accent1" w:themeFillTint="33"/>
            <w:vAlign w:val="center"/>
          </w:tcPr>
          <w:p w14:paraId="525DE9C0"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Prioritetas</w:t>
            </w:r>
          </w:p>
        </w:tc>
        <w:tc>
          <w:tcPr>
            <w:tcW w:w="371" w:type="pct"/>
            <w:shd w:val="clear" w:color="auto" w:fill="DBE5F1" w:themeFill="accent1" w:themeFillTint="33"/>
            <w:vAlign w:val="center"/>
          </w:tcPr>
          <w:p w14:paraId="77DD3FF1"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32" w:type="pct"/>
            <w:shd w:val="clear" w:color="auto" w:fill="DBE5F1" w:themeFill="accent1" w:themeFillTint="33"/>
            <w:vAlign w:val="center"/>
          </w:tcPr>
          <w:p w14:paraId="7DEAEE8B"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Fondas</w:t>
            </w:r>
          </w:p>
        </w:tc>
        <w:tc>
          <w:tcPr>
            <w:tcW w:w="371" w:type="pct"/>
            <w:shd w:val="clear" w:color="auto" w:fill="DBE5F1" w:themeFill="accent1" w:themeFillTint="33"/>
            <w:vAlign w:val="center"/>
          </w:tcPr>
          <w:p w14:paraId="38CE3D36"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63" w:type="pct"/>
            <w:shd w:val="clear" w:color="auto" w:fill="DBE5F1" w:themeFill="accent1" w:themeFillTint="33"/>
            <w:vAlign w:val="center"/>
          </w:tcPr>
          <w:p w14:paraId="5B0F1E0D"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67" w:type="pct"/>
            <w:shd w:val="clear" w:color="auto" w:fill="DBE5F1" w:themeFill="accent1" w:themeFillTint="33"/>
            <w:vAlign w:val="center"/>
          </w:tcPr>
          <w:p w14:paraId="6E00C5F7"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Rodiklis</w:t>
            </w:r>
          </w:p>
        </w:tc>
        <w:tc>
          <w:tcPr>
            <w:tcW w:w="418" w:type="pct"/>
            <w:shd w:val="clear" w:color="auto" w:fill="DBE5F1" w:themeFill="accent1" w:themeFillTint="33"/>
            <w:vAlign w:val="center"/>
          </w:tcPr>
          <w:p w14:paraId="2EB78E7E"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5" w:type="pct"/>
            <w:shd w:val="clear" w:color="auto" w:fill="DBE5F1" w:themeFill="accent1" w:themeFillTint="33"/>
            <w:vAlign w:val="center"/>
          </w:tcPr>
          <w:p w14:paraId="52E231B1"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418" w:type="pct"/>
            <w:shd w:val="clear" w:color="auto" w:fill="DBE5F1" w:themeFill="accent1" w:themeFillTint="33"/>
            <w:vAlign w:val="center"/>
          </w:tcPr>
          <w:p w14:paraId="4A993CCD"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5" w:type="pct"/>
            <w:shd w:val="clear" w:color="auto" w:fill="DBE5F1" w:themeFill="accent1" w:themeFillTint="33"/>
            <w:vAlign w:val="center"/>
          </w:tcPr>
          <w:p w14:paraId="73BE54B8"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Siek</w:t>
            </w:r>
            <w:r w:rsidR="0097349B" w:rsidRPr="00B44B19">
              <w:rPr>
                <w:rFonts w:cs="Times New Roman"/>
                <w:b/>
                <w:noProof/>
                <w:sz w:val="16"/>
                <w:szCs w:val="16"/>
              </w:rPr>
              <w:t>tina reikšmė</w:t>
            </w:r>
            <w:r w:rsidRPr="00B44B19">
              <w:rPr>
                <w:rFonts w:cs="Times New Roman"/>
                <w:b/>
                <w:noProof/>
                <w:sz w:val="16"/>
                <w:szCs w:val="16"/>
              </w:rPr>
              <w:t>(2029 m.)</w:t>
            </w:r>
          </w:p>
        </w:tc>
        <w:tc>
          <w:tcPr>
            <w:tcW w:w="325" w:type="pct"/>
            <w:shd w:val="clear" w:color="auto" w:fill="DBE5F1" w:themeFill="accent1" w:themeFillTint="33"/>
            <w:vAlign w:val="center"/>
          </w:tcPr>
          <w:p w14:paraId="67C50549"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23" w:type="pct"/>
            <w:shd w:val="clear" w:color="auto" w:fill="DBE5F1" w:themeFill="accent1" w:themeFillTint="33"/>
            <w:vAlign w:val="center"/>
          </w:tcPr>
          <w:p w14:paraId="0C68B7D6" w14:textId="77777777" w:rsidR="007C0361" w:rsidRPr="00B44B19" w:rsidRDefault="007C0361" w:rsidP="007C0361">
            <w:pPr>
              <w:spacing w:after="0" w:line="240" w:lineRule="auto"/>
              <w:jc w:val="center"/>
              <w:rPr>
                <w:rFonts w:cs="Times New Roman"/>
                <w:b/>
                <w:noProof/>
                <w:sz w:val="16"/>
                <w:szCs w:val="16"/>
              </w:rPr>
            </w:pPr>
            <w:r w:rsidRPr="00B44B19">
              <w:rPr>
                <w:rFonts w:cs="Times New Roman"/>
                <w:b/>
                <w:noProof/>
                <w:sz w:val="16"/>
                <w:szCs w:val="16"/>
              </w:rPr>
              <w:t>Pastabos</w:t>
            </w:r>
          </w:p>
        </w:tc>
      </w:tr>
      <w:tr w:rsidR="00382A6D" w:rsidRPr="00B44B19" w14:paraId="5FCB4385" w14:textId="77777777" w:rsidTr="00382A6D">
        <w:trPr>
          <w:trHeight w:val="367"/>
        </w:trPr>
        <w:tc>
          <w:tcPr>
            <w:tcW w:w="361" w:type="pct"/>
            <w:vMerge w:val="restart"/>
          </w:tcPr>
          <w:p w14:paraId="34D2A290"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2. Žalesnė Lietuva</w:t>
            </w:r>
          </w:p>
        </w:tc>
        <w:tc>
          <w:tcPr>
            <w:tcW w:w="371" w:type="pct"/>
            <w:vMerge w:val="restart"/>
          </w:tcPr>
          <w:p w14:paraId="0FB33174"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2.5</w:t>
            </w:r>
          </w:p>
        </w:tc>
        <w:tc>
          <w:tcPr>
            <w:tcW w:w="232" w:type="pct"/>
          </w:tcPr>
          <w:p w14:paraId="687CD906"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SaF</w:t>
            </w:r>
          </w:p>
        </w:tc>
        <w:tc>
          <w:tcPr>
            <w:tcW w:w="371" w:type="pct"/>
          </w:tcPr>
          <w:p w14:paraId="189EA9A0"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463" w:type="pct"/>
          </w:tcPr>
          <w:p w14:paraId="19DE2EED" w14:textId="77777777" w:rsidR="007C0361" w:rsidRPr="00B44B19" w:rsidRDefault="007C0361" w:rsidP="007C0361">
            <w:pPr>
              <w:spacing w:after="0" w:line="240" w:lineRule="auto"/>
              <w:jc w:val="both"/>
              <w:rPr>
                <w:rFonts w:eastAsia="Times New Roman" w:cs="Times New Roman"/>
                <w:iCs/>
                <w:sz w:val="16"/>
                <w:szCs w:val="16"/>
                <w:lang w:eastAsia="lt-LT" w:bidi="ml-IN"/>
              </w:rPr>
            </w:pPr>
            <w:r w:rsidRPr="00B44B19">
              <w:rPr>
                <w:rFonts w:cs="Times New Roman"/>
                <w:sz w:val="16"/>
                <w:szCs w:val="16"/>
              </w:rPr>
              <w:t>RCR41</w:t>
            </w:r>
          </w:p>
        </w:tc>
        <w:tc>
          <w:tcPr>
            <w:tcW w:w="1067" w:type="pct"/>
          </w:tcPr>
          <w:p w14:paraId="7BBAFEBB" w14:textId="77777777" w:rsidR="007C0361" w:rsidRPr="00B44B19" w:rsidRDefault="007C0361" w:rsidP="007C0361">
            <w:pPr>
              <w:spacing w:after="0" w:line="240" w:lineRule="auto"/>
              <w:rPr>
                <w:rFonts w:cs="Times New Roman"/>
                <w:iCs/>
                <w:sz w:val="16"/>
                <w:szCs w:val="16"/>
              </w:rPr>
            </w:pPr>
            <w:r w:rsidRPr="00B44B19">
              <w:rPr>
                <w:rFonts w:cs="Times New Roman"/>
                <w:sz w:val="16"/>
                <w:szCs w:val="16"/>
              </w:rPr>
              <w:t>Gyventojai, prisijungę prie patobulintų viešojo vandens tiekimo sistemų</w:t>
            </w:r>
          </w:p>
        </w:tc>
        <w:tc>
          <w:tcPr>
            <w:tcW w:w="418" w:type="pct"/>
          </w:tcPr>
          <w:p w14:paraId="4FCB3475"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Asmenys</w:t>
            </w:r>
          </w:p>
        </w:tc>
        <w:tc>
          <w:tcPr>
            <w:tcW w:w="325" w:type="pct"/>
          </w:tcPr>
          <w:p w14:paraId="41A85554"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0</w:t>
            </w:r>
          </w:p>
        </w:tc>
        <w:tc>
          <w:tcPr>
            <w:tcW w:w="418" w:type="pct"/>
          </w:tcPr>
          <w:p w14:paraId="71DE55C6"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2021</w:t>
            </w:r>
          </w:p>
        </w:tc>
        <w:tc>
          <w:tcPr>
            <w:tcW w:w="325" w:type="pct"/>
          </w:tcPr>
          <w:p w14:paraId="798D7A19" w14:textId="18FA821E" w:rsidR="007C0361" w:rsidRPr="00B44B19" w:rsidRDefault="00382085" w:rsidP="00D91CAB">
            <w:pPr>
              <w:spacing w:after="0" w:line="240" w:lineRule="auto"/>
              <w:jc w:val="center"/>
              <w:rPr>
                <w:rFonts w:cs="Times New Roman"/>
                <w:noProof/>
                <w:sz w:val="16"/>
                <w:szCs w:val="16"/>
              </w:rPr>
            </w:pPr>
            <w:r w:rsidRPr="00B44B19">
              <w:rPr>
                <w:rFonts w:cs="Times New Roman"/>
                <w:noProof/>
                <w:sz w:val="16"/>
                <w:szCs w:val="16"/>
              </w:rPr>
              <w:t>39 212</w:t>
            </w:r>
          </w:p>
        </w:tc>
        <w:tc>
          <w:tcPr>
            <w:tcW w:w="325" w:type="pct"/>
          </w:tcPr>
          <w:p w14:paraId="439203F2" w14:textId="77777777" w:rsidR="007C0361" w:rsidRPr="00B44B19" w:rsidRDefault="008E25B4" w:rsidP="007C0361">
            <w:pPr>
              <w:spacing w:after="0" w:line="240" w:lineRule="auto"/>
              <w:jc w:val="both"/>
              <w:rPr>
                <w:rFonts w:cs="Times New Roman"/>
                <w:noProof/>
                <w:sz w:val="16"/>
                <w:szCs w:val="16"/>
              </w:rPr>
            </w:pPr>
            <w:r w:rsidRPr="00B44B19">
              <w:rPr>
                <w:rFonts w:cs="Times New Roman"/>
                <w:noProof/>
                <w:sz w:val="16"/>
                <w:szCs w:val="16"/>
              </w:rPr>
              <w:t>Projektų duomenys</w:t>
            </w:r>
          </w:p>
        </w:tc>
        <w:tc>
          <w:tcPr>
            <w:tcW w:w="323" w:type="pct"/>
          </w:tcPr>
          <w:p w14:paraId="53AE4649" w14:textId="77777777" w:rsidR="007C0361" w:rsidRPr="00B44B19" w:rsidRDefault="007C0361" w:rsidP="007C0361">
            <w:pPr>
              <w:spacing w:after="0" w:line="240" w:lineRule="auto"/>
              <w:jc w:val="both"/>
              <w:rPr>
                <w:rFonts w:cs="Times New Roman"/>
                <w:b/>
                <w:noProof/>
                <w:sz w:val="16"/>
                <w:szCs w:val="16"/>
              </w:rPr>
            </w:pPr>
          </w:p>
        </w:tc>
      </w:tr>
      <w:tr w:rsidR="00382A6D" w:rsidRPr="00B44B19" w14:paraId="0E676AB6" w14:textId="77777777" w:rsidTr="00382A6D">
        <w:trPr>
          <w:trHeight w:val="414"/>
        </w:trPr>
        <w:tc>
          <w:tcPr>
            <w:tcW w:w="361" w:type="pct"/>
            <w:vMerge/>
          </w:tcPr>
          <w:p w14:paraId="13EA3FD4" w14:textId="77777777" w:rsidR="007C0361" w:rsidRPr="00B44B19" w:rsidRDefault="007C0361" w:rsidP="007C0361">
            <w:pPr>
              <w:spacing w:after="0" w:line="240" w:lineRule="auto"/>
              <w:jc w:val="both"/>
              <w:rPr>
                <w:rFonts w:cs="Times New Roman"/>
                <w:noProof/>
                <w:sz w:val="16"/>
                <w:szCs w:val="16"/>
              </w:rPr>
            </w:pPr>
          </w:p>
        </w:tc>
        <w:tc>
          <w:tcPr>
            <w:tcW w:w="371" w:type="pct"/>
            <w:vMerge/>
          </w:tcPr>
          <w:p w14:paraId="1C9F5AD2" w14:textId="77777777" w:rsidR="007C0361" w:rsidRPr="00B44B19" w:rsidRDefault="007C0361" w:rsidP="007C0361">
            <w:pPr>
              <w:spacing w:after="0" w:line="240" w:lineRule="auto"/>
              <w:jc w:val="both"/>
              <w:rPr>
                <w:rFonts w:cs="Times New Roman"/>
                <w:noProof/>
                <w:sz w:val="16"/>
                <w:szCs w:val="16"/>
              </w:rPr>
            </w:pPr>
          </w:p>
        </w:tc>
        <w:tc>
          <w:tcPr>
            <w:tcW w:w="232" w:type="pct"/>
          </w:tcPr>
          <w:p w14:paraId="286BE39C"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SaF</w:t>
            </w:r>
          </w:p>
        </w:tc>
        <w:tc>
          <w:tcPr>
            <w:tcW w:w="371" w:type="pct"/>
          </w:tcPr>
          <w:p w14:paraId="4E07AFC9"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463" w:type="pct"/>
          </w:tcPr>
          <w:p w14:paraId="17EFA33D" w14:textId="77777777" w:rsidR="007C0361" w:rsidRPr="00B44B19" w:rsidRDefault="007C0361" w:rsidP="007C0361">
            <w:pPr>
              <w:spacing w:after="0" w:line="240" w:lineRule="auto"/>
              <w:jc w:val="both"/>
              <w:rPr>
                <w:rFonts w:cs="Times New Roman"/>
                <w:sz w:val="16"/>
                <w:szCs w:val="16"/>
              </w:rPr>
            </w:pPr>
            <w:r w:rsidRPr="00B44B19">
              <w:rPr>
                <w:rFonts w:cs="Times New Roman"/>
                <w:sz w:val="16"/>
                <w:szCs w:val="16"/>
              </w:rPr>
              <w:t>RCR42</w:t>
            </w:r>
          </w:p>
        </w:tc>
        <w:tc>
          <w:tcPr>
            <w:tcW w:w="1067" w:type="pct"/>
          </w:tcPr>
          <w:p w14:paraId="5F56203E" w14:textId="77777777" w:rsidR="007C0361" w:rsidRPr="00B44B19" w:rsidRDefault="007C0361" w:rsidP="007C0361">
            <w:pPr>
              <w:spacing w:after="0" w:line="240" w:lineRule="auto"/>
              <w:rPr>
                <w:rFonts w:cs="Times New Roman"/>
                <w:sz w:val="16"/>
                <w:szCs w:val="16"/>
              </w:rPr>
            </w:pPr>
            <w:r w:rsidRPr="00B44B19">
              <w:rPr>
                <w:rFonts w:cs="Times New Roman"/>
                <w:sz w:val="16"/>
                <w:szCs w:val="16"/>
              </w:rPr>
              <w:t xml:space="preserve">Gyventojai, prisijungę bent prie antrinių viešojo nuotekų valymo įrenginių </w:t>
            </w:r>
          </w:p>
        </w:tc>
        <w:tc>
          <w:tcPr>
            <w:tcW w:w="418" w:type="pct"/>
          </w:tcPr>
          <w:p w14:paraId="061FD680"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Asmenys</w:t>
            </w:r>
          </w:p>
        </w:tc>
        <w:tc>
          <w:tcPr>
            <w:tcW w:w="325" w:type="pct"/>
          </w:tcPr>
          <w:p w14:paraId="0E74962A"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0</w:t>
            </w:r>
          </w:p>
        </w:tc>
        <w:tc>
          <w:tcPr>
            <w:tcW w:w="418" w:type="pct"/>
          </w:tcPr>
          <w:p w14:paraId="29B17C6F"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2021</w:t>
            </w:r>
          </w:p>
        </w:tc>
        <w:tc>
          <w:tcPr>
            <w:tcW w:w="325" w:type="pct"/>
          </w:tcPr>
          <w:p w14:paraId="18FF8A7D" w14:textId="5D5E8313" w:rsidR="007C0361" w:rsidRPr="00B44B19" w:rsidRDefault="00382085" w:rsidP="007C0361">
            <w:pPr>
              <w:spacing w:after="0" w:line="240" w:lineRule="auto"/>
              <w:jc w:val="center"/>
              <w:rPr>
                <w:rFonts w:cs="Times New Roman"/>
                <w:noProof/>
                <w:sz w:val="16"/>
                <w:szCs w:val="16"/>
              </w:rPr>
            </w:pPr>
            <w:r w:rsidRPr="00B44B19">
              <w:rPr>
                <w:rFonts w:cs="Times New Roman"/>
                <w:noProof/>
                <w:sz w:val="16"/>
                <w:szCs w:val="16"/>
              </w:rPr>
              <w:t>32 084</w:t>
            </w:r>
          </w:p>
        </w:tc>
        <w:tc>
          <w:tcPr>
            <w:tcW w:w="325" w:type="pct"/>
          </w:tcPr>
          <w:p w14:paraId="1E70A0EC" w14:textId="77777777" w:rsidR="007C0361" w:rsidRPr="00B44B19" w:rsidRDefault="008E25B4" w:rsidP="007C0361">
            <w:pPr>
              <w:spacing w:after="0" w:line="240" w:lineRule="auto"/>
              <w:jc w:val="both"/>
              <w:rPr>
                <w:rFonts w:cs="Times New Roman"/>
                <w:noProof/>
                <w:sz w:val="16"/>
                <w:szCs w:val="16"/>
              </w:rPr>
            </w:pPr>
            <w:r w:rsidRPr="00B44B19">
              <w:rPr>
                <w:rFonts w:cs="Times New Roman"/>
                <w:noProof/>
                <w:sz w:val="16"/>
                <w:szCs w:val="16"/>
              </w:rPr>
              <w:t>Projektų duomenys</w:t>
            </w:r>
          </w:p>
        </w:tc>
        <w:tc>
          <w:tcPr>
            <w:tcW w:w="323" w:type="pct"/>
          </w:tcPr>
          <w:p w14:paraId="61DA4A76" w14:textId="77777777" w:rsidR="007C0361" w:rsidRPr="00B44B19" w:rsidRDefault="007C0361" w:rsidP="007C0361">
            <w:pPr>
              <w:spacing w:after="0" w:line="240" w:lineRule="auto"/>
              <w:jc w:val="both"/>
              <w:rPr>
                <w:rFonts w:cs="Times New Roman"/>
                <w:b/>
                <w:noProof/>
                <w:sz w:val="16"/>
                <w:szCs w:val="16"/>
              </w:rPr>
            </w:pPr>
          </w:p>
        </w:tc>
      </w:tr>
      <w:tr w:rsidR="00382A6D" w:rsidRPr="00B44B19" w14:paraId="2D8D59A3" w14:textId="77777777" w:rsidTr="00382A6D">
        <w:trPr>
          <w:trHeight w:val="413"/>
        </w:trPr>
        <w:tc>
          <w:tcPr>
            <w:tcW w:w="361" w:type="pct"/>
            <w:vMerge/>
          </w:tcPr>
          <w:p w14:paraId="3075736D" w14:textId="77777777" w:rsidR="007C0361" w:rsidRPr="00B44B19" w:rsidRDefault="007C0361" w:rsidP="007C0361">
            <w:pPr>
              <w:spacing w:after="0" w:line="240" w:lineRule="auto"/>
              <w:jc w:val="both"/>
              <w:rPr>
                <w:rFonts w:cs="Times New Roman"/>
                <w:noProof/>
                <w:sz w:val="16"/>
                <w:szCs w:val="16"/>
              </w:rPr>
            </w:pPr>
          </w:p>
        </w:tc>
        <w:tc>
          <w:tcPr>
            <w:tcW w:w="371" w:type="pct"/>
            <w:vMerge/>
          </w:tcPr>
          <w:p w14:paraId="24D9F5FD" w14:textId="77777777" w:rsidR="007C0361" w:rsidRPr="00B44B19" w:rsidRDefault="007C0361" w:rsidP="007C0361">
            <w:pPr>
              <w:spacing w:after="0" w:line="240" w:lineRule="auto"/>
              <w:jc w:val="both"/>
              <w:rPr>
                <w:rFonts w:cs="Times New Roman"/>
                <w:noProof/>
                <w:sz w:val="16"/>
                <w:szCs w:val="16"/>
              </w:rPr>
            </w:pPr>
          </w:p>
        </w:tc>
        <w:tc>
          <w:tcPr>
            <w:tcW w:w="232" w:type="pct"/>
          </w:tcPr>
          <w:p w14:paraId="58BEB922"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SaF</w:t>
            </w:r>
          </w:p>
        </w:tc>
        <w:tc>
          <w:tcPr>
            <w:tcW w:w="371" w:type="pct"/>
          </w:tcPr>
          <w:p w14:paraId="27D13F78"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Visa Lietuva</w:t>
            </w:r>
          </w:p>
        </w:tc>
        <w:tc>
          <w:tcPr>
            <w:tcW w:w="463" w:type="pct"/>
          </w:tcPr>
          <w:p w14:paraId="217CAA93" w14:textId="77777777" w:rsidR="007C0361" w:rsidRPr="00B44B19" w:rsidRDefault="007C0361" w:rsidP="00464ACE">
            <w:pPr>
              <w:spacing w:after="0" w:line="240" w:lineRule="auto"/>
              <w:jc w:val="both"/>
              <w:rPr>
                <w:rFonts w:cs="Times New Roman"/>
                <w:sz w:val="16"/>
                <w:szCs w:val="16"/>
              </w:rPr>
            </w:pPr>
            <w:r w:rsidRPr="00B44B19">
              <w:rPr>
                <w:rFonts w:cs="Times New Roman"/>
                <w:sz w:val="16"/>
                <w:szCs w:val="16"/>
              </w:rPr>
              <w:t>Specialus</w:t>
            </w:r>
            <w:r w:rsidR="00464ACE" w:rsidRPr="00B44B19">
              <w:rPr>
                <w:rFonts w:cs="Times New Roman"/>
                <w:sz w:val="16"/>
                <w:szCs w:val="16"/>
              </w:rPr>
              <w:t>is</w:t>
            </w:r>
          </w:p>
        </w:tc>
        <w:tc>
          <w:tcPr>
            <w:tcW w:w="1067" w:type="pct"/>
          </w:tcPr>
          <w:p w14:paraId="46A883EC" w14:textId="77777777" w:rsidR="007C0361" w:rsidRPr="00B44B19" w:rsidRDefault="007C0361" w:rsidP="007C0361">
            <w:pPr>
              <w:spacing w:after="0" w:line="240" w:lineRule="auto"/>
              <w:rPr>
                <w:rFonts w:cs="Times New Roman"/>
                <w:sz w:val="16"/>
                <w:szCs w:val="16"/>
              </w:rPr>
            </w:pPr>
            <w:r w:rsidRPr="00B44B19">
              <w:rPr>
                <w:rFonts w:cs="Times New Roman"/>
                <w:sz w:val="16"/>
                <w:szCs w:val="16"/>
              </w:rPr>
              <w:t>Vandens stebėjimo sistemos efektyvumo padidėjimas</w:t>
            </w:r>
          </w:p>
        </w:tc>
        <w:tc>
          <w:tcPr>
            <w:tcW w:w="418" w:type="pct"/>
          </w:tcPr>
          <w:p w14:paraId="49D9C941" w14:textId="77777777" w:rsidR="007C0361" w:rsidRPr="00B44B19" w:rsidRDefault="007C0361" w:rsidP="007C0361">
            <w:pPr>
              <w:spacing w:after="0" w:line="240" w:lineRule="auto"/>
              <w:jc w:val="both"/>
              <w:rPr>
                <w:rFonts w:cs="Times New Roman"/>
                <w:noProof/>
                <w:sz w:val="16"/>
                <w:szCs w:val="16"/>
              </w:rPr>
            </w:pPr>
            <w:r w:rsidRPr="00B44B19">
              <w:rPr>
                <w:rFonts w:cs="Times New Roman"/>
                <w:noProof/>
                <w:sz w:val="16"/>
                <w:szCs w:val="16"/>
              </w:rPr>
              <w:t>Procentas</w:t>
            </w:r>
          </w:p>
        </w:tc>
        <w:tc>
          <w:tcPr>
            <w:tcW w:w="325" w:type="pct"/>
          </w:tcPr>
          <w:p w14:paraId="430A9842"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0</w:t>
            </w:r>
          </w:p>
        </w:tc>
        <w:tc>
          <w:tcPr>
            <w:tcW w:w="418" w:type="pct"/>
          </w:tcPr>
          <w:p w14:paraId="087FE70F"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2021</w:t>
            </w:r>
          </w:p>
        </w:tc>
        <w:tc>
          <w:tcPr>
            <w:tcW w:w="325" w:type="pct"/>
          </w:tcPr>
          <w:p w14:paraId="2DCFDE14" w14:textId="77777777" w:rsidR="007C0361" w:rsidRPr="00B44B19" w:rsidRDefault="007C0361" w:rsidP="007C0361">
            <w:pPr>
              <w:spacing w:after="0" w:line="240" w:lineRule="auto"/>
              <w:jc w:val="center"/>
              <w:rPr>
                <w:rFonts w:cs="Times New Roman"/>
                <w:noProof/>
                <w:sz w:val="16"/>
                <w:szCs w:val="16"/>
              </w:rPr>
            </w:pPr>
            <w:r w:rsidRPr="00B44B19">
              <w:rPr>
                <w:rFonts w:cs="Times New Roman"/>
                <w:noProof/>
                <w:sz w:val="16"/>
                <w:szCs w:val="16"/>
              </w:rPr>
              <w:t>20</w:t>
            </w:r>
          </w:p>
        </w:tc>
        <w:tc>
          <w:tcPr>
            <w:tcW w:w="325" w:type="pct"/>
          </w:tcPr>
          <w:p w14:paraId="1A875E83" w14:textId="77777777" w:rsidR="007C0361" w:rsidRPr="00B44B19" w:rsidRDefault="008E25B4" w:rsidP="007C0361">
            <w:pPr>
              <w:spacing w:after="0" w:line="240" w:lineRule="auto"/>
              <w:jc w:val="both"/>
              <w:rPr>
                <w:rFonts w:cs="Times New Roman"/>
                <w:noProof/>
                <w:sz w:val="16"/>
                <w:szCs w:val="16"/>
              </w:rPr>
            </w:pPr>
            <w:r w:rsidRPr="00B44B19">
              <w:rPr>
                <w:rFonts w:cs="Times New Roman"/>
                <w:noProof/>
                <w:sz w:val="16"/>
                <w:szCs w:val="16"/>
              </w:rPr>
              <w:t>Projektų duomenys</w:t>
            </w:r>
          </w:p>
        </w:tc>
        <w:tc>
          <w:tcPr>
            <w:tcW w:w="323" w:type="pct"/>
          </w:tcPr>
          <w:p w14:paraId="564198BC" w14:textId="77777777" w:rsidR="007C0361" w:rsidRPr="00B44B19" w:rsidRDefault="007C0361" w:rsidP="007C0361">
            <w:pPr>
              <w:spacing w:after="0" w:line="240" w:lineRule="auto"/>
              <w:jc w:val="both"/>
              <w:rPr>
                <w:rFonts w:cs="Times New Roman"/>
                <w:b/>
                <w:noProof/>
                <w:sz w:val="16"/>
                <w:szCs w:val="16"/>
              </w:rPr>
            </w:pPr>
          </w:p>
        </w:tc>
      </w:tr>
    </w:tbl>
    <w:p w14:paraId="22B486ED" w14:textId="77777777" w:rsidR="00962545" w:rsidRPr="00B44B19" w:rsidRDefault="00962545" w:rsidP="00471A41">
      <w:pPr>
        <w:rPr>
          <w:rFonts w:cs="Times New Roman"/>
          <w:b/>
          <w:szCs w:val="24"/>
        </w:rPr>
        <w:sectPr w:rsidR="00962545" w:rsidRPr="00B44B19" w:rsidSect="00931C78">
          <w:pgSz w:w="16838" w:h="11906" w:orient="landscape"/>
          <w:pgMar w:top="1701" w:right="1276" w:bottom="567" w:left="1134" w:header="567" w:footer="567" w:gutter="0"/>
          <w:cols w:space="1296"/>
          <w:docGrid w:linePitch="360"/>
        </w:sectPr>
      </w:pPr>
    </w:p>
    <w:p w14:paraId="02A8FB3B" w14:textId="77777777" w:rsidR="00FE2852" w:rsidRPr="00B44B19" w:rsidRDefault="00471A41"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9"/>
        <w:gridCol w:w="850"/>
        <w:gridCol w:w="1132"/>
        <w:gridCol w:w="1134"/>
        <w:gridCol w:w="3729"/>
        <w:gridCol w:w="1664"/>
      </w:tblGrid>
      <w:tr w:rsidR="007C0361" w:rsidRPr="00B44B19" w14:paraId="4318DEB2" w14:textId="77777777" w:rsidTr="003B113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BAC4B3" w14:textId="77777777" w:rsidR="007C0361" w:rsidRPr="00B44B19" w:rsidRDefault="007C0361" w:rsidP="007C0361">
            <w:pPr>
              <w:rPr>
                <w:rFonts w:eastAsia="Times New Roman" w:cs="Times New Roman"/>
                <w:b/>
                <w:iCs/>
                <w:noProof/>
                <w:sz w:val="20"/>
                <w:szCs w:val="20"/>
              </w:rPr>
            </w:pPr>
            <w:r w:rsidRPr="00B44B19">
              <w:rPr>
                <w:rFonts w:cs="Times New Roman"/>
                <w:b/>
                <w:noProof/>
                <w:sz w:val="20"/>
                <w:szCs w:val="20"/>
              </w:rPr>
              <w:t>4 lentelė. 1 matmuo. Intervencinių priemonių sritis</w:t>
            </w:r>
          </w:p>
        </w:tc>
      </w:tr>
      <w:tr w:rsidR="007C0361" w:rsidRPr="00B44B19" w14:paraId="1E7AFA4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243113" w14:textId="77777777" w:rsidR="007C0361" w:rsidRPr="00B44B19" w:rsidRDefault="007C0361" w:rsidP="007C0361">
            <w:pPr>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7B7AA6" w14:textId="77777777" w:rsidR="007C0361" w:rsidRPr="00B44B19" w:rsidRDefault="007C0361" w:rsidP="007C0361">
            <w:pPr>
              <w:jc w:val="center"/>
              <w:rPr>
                <w:rFonts w:eastAsia="Times New Roman" w:cs="Times New Roman"/>
                <w:b/>
                <w:iCs/>
                <w:noProof/>
                <w:sz w:val="20"/>
                <w:szCs w:val="20"/>
              </w:rPr>
            </w:pPr>
            <w:r w:rsidRPr="00B44B19">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1CF67E" w14:textId="77777777" w:rsidR="007C0361" w:rsidRPr="00B44B19" w:rsidRDefault="007C0361" w:rsidP="007C0361">
            <w:pPr>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28FE7C" w14:textId="77777777" w:rsidR="007C0361" w:rsidRPr="00B44B19" w:rsidRDefault="007C0361" w:rsidP="007C0361">
            <w:pPr>
              <w:jc w:val="center"/>
              <w:rPr>
                <w:rFonts w:eastAsia="Times New Roman" w:cs="Times New Roman"/>
                <w:b/>
                <w:iCs/>
                <w:noProof/>
                <w:sz w:val="20"/>
                <w:szCs w:val="20"/>
              </w:rPr>
            </w:pPr>
            <w:r w:rsidRPr="00B44B19">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B7DC86" w14:textId="77777777" w:rsidR="007C0361" w:rsidRPr="00B44B19" w:rsidRDefault="007C0361" w:rsidP="007C0361">
            <w:pPr>
              <w:jc w:val="center"/>
              <w:rPr>
                <w:rFonts w:eastAsia="Times New Roman" w:cs="Times New Roman"/>
                <w:b/>
                <w:iCs/>
                <w:noProof/>
                <w:sz w:val="20"/>
                <w:szCs w:val="20"/>
              </w:rPr>
            </w:pPr>
            <w:r w:rsidRPr="00B44B19">
              <w:rPr>
                <w:rFonts w:cs="Times New Roman"/>
                <w:b/>
                <w:noProof/>
                <w:sz w:val="20"/>
                <w:szCs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93D5BA" w14:textId="77777777" w:rsidR="007C0361" w:rsidRPr="00B44B19" w:rsidRDefault="007C0361" w:rsidP="007C0361">
            <w:pPr>
              <w:jc w:val="center"/>
              <w:rPr>
                <w:rFonts w:eastAsia="Times New Roman" w:cs="Times New Roman"/>
                <w:b/>
                <w:iCs/>
                <w:noProof/>
                <w:sz w:val="20"/>
                <w:szCs w:val="20"/>
              </w:rPr>
            </w:pPr>
            <w:r w:rsidRPr="00B44B19">
              <w:rPr>
                <w:rFonts w:cs="Times New Roman"/>
                <w:b/>
                <w:noProof/>
                <w:sz w:val="20"/>
                <w:szCs w:val="20"/>
              </w:rPr>
              <w:t>Suma (EUR)</w:t>
            </w:r>
          </w:p>
        </w:tc>
      </w:tr>
      <w:tr w:rsidR="00774479" w:rsidRPr="00B44B19" w14:paraId="136AF703" w14:textId="77777777" w:rsidTr="003B113E">
        <w:tc>
          <w:tcPr>
            <w:tcW w:w="1101" w:type="dxa"/>
            <w:vMerge w:val="restart"/>
            <w:tcBorders>
              <w:top w:val="single" w:sz="12" w:space="0" w:color="auto"/>
            </w:tcBorders>
          </w:tcPr>
          <w:p w14:paraId="6EDFD74B" w14:textId="77777777" w:rsidR="00774479" w:rsidRPr="00B44B19" w:rsidRDefault="00774479" w:rsidP="007C0361">
            <w:pPr>
              <w:jc w:val="center"/>
              <w:rPr>
                <w:rFonts w:eastAsia="Times New Roman" w:cs="Times New Roman"/>
                <w:iCs/>
                <w:noProof/>
                <w:sz w:val="20"/>
                <w:szCs w:val="20"/>
              </w:rPr>
            </w:pPr>
            <w:r w:rsidRPr="00B44B19">
              <w:rPr>
                <w:rFonts w:eastAsia="Times New Roman" w:cs="Times New Roman"/>
                <w:iCs/>
                <w:noProof/>
                <w:sz w:val="20"/>
                <w:szCs w:val="20"/>
              </w:rPr>
              <w:t>2.</w:t>
            </w:r>
          </w:p>
        </w:tc>
        <w:tc>
          <w:tcPr>
            <w:tcW w:w="850" w:type="dxa"/>
            <w:vMerge w:val="restart"/>
            <w:tcBorders>
              <w:top w:val="single" w:sz="12" w:space="0" w:color="auto"/>
            </w:tcBorders>
          </w:tcPr>
          <w:p w14:paraId="1C535B39" w14:textId="77777777" w:rsidR="00774479" w:rsidRPr="00B44B19" w:rsidRDefault="00774479" w:rsidP="007167BE">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134" w:type="dxa"/>
            <w:vMerge w:val="restart"/>
            <w:tcBorders>
              <w:top w:val="single" w:sz="12" w:space="0" w:color="auto"/>
            </w:tcBorders>
          </w:tcPr>
          <w:p w14:paraId="44DF60AA" w14:textId="77777777" w:rsidR="00774479" w:rsidRPr="00B44B19" w:rsidRDefault="00774479" w:rsidP="007167BE">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val="restart"/>
            <w:tcBorders>
              <w:top w:val="single" w:sz="12" w:space="0" w:color="auto"/>
            </w:tcBorders>
          </w:tcPr>
          <w:p w14:paraId="488C341F" w14:textId="77777777" w:rsidR="00774479" w:rsidRPr="00B44B19" w:rsidRDefault="00774479" w:rsidP="007C0361">
            <w:pPr>
              <w:jc w:val="center"/>
              <w:rPr>
                <w:rFonts w:eastAsia="Times New Roman" w:cs="Times New Roman"/>
                <w:iCs/>
                <w:noProof/>
                <w:sz w:val="20"/>
                <w:szCs w:val="20"/>
              </w:rPr>
            </w:pPr>
            <w:r w:rsidRPr="00B44B19">
              <w:rPr>
                <w:rFonts w:eastAsia="Times New Roman" w:cs="Times New Roman"/>
                <w:iCs/>
                <w:noProof/>
                <w:sz w:val="20"/>
                <w:szCs w:val="20"/>
              </w:rPr>
              <w:t>2.5</w:t>
            </w:r>
          </w:p>
        </w:tc>
        <w:tc>
          <w:tcPr>
            <w:tcW w:w="3827" w:type="dxa"/>
            <w:tcBorders>
              <w:top w:val="single" w:sz="12" w:space="0" w:color="auto"/>
              <w:bottom w:val="single" w:sz="4" w:space="0" w:color="auto"/>
            </w:tcBorders>
          </w:tcPr>
          <w:p w14:paraId="45B86559" w14:textId="77777777" w:rsidR="00774479" w:rsidRPr="00B44B19" w:rsidRDefault="00774479" w:rsidP="004572D9">
            <w:pPr>
              <w:rPr>
                <w:rFonts w:eastAsia="Times New Roman" w:cs="Times New Roman"/>
                <w:iCs/>
                <w:noProof/>
                <w:sz w:val="20"/>
                <w:szCs w:val="20"/>
              </w:rPr>
            </w:pPr>
            <w:r w:rsidRPr="00B44B19">
              <w:rPr>
                <w:rFonts w:eastAsia="Times New Roman" w:cs="Times New Roman"/>
                <w:iCs/>
                <w:noProof/>
                <w:sz w:val="20"/>
                <w:szCs w:val="20"/>
              </w:rPr>
              <w:t xml:space="preserve">062 </w:t>
            </w:r>
            <w:r w:rsidR="0015773B" w:rsidRPr="00B44B19">
              <w:rPr>
                <w:rFonts w:eastAsia="Times New Roman" w:cs="Times New Roman"/>
                <w:iCs/>
                <w:noProof/>
                <w:sz w:val="20"/>
                <w:szCs w:val="20"/>
              </w:rPr>
              <w:t>–</w:t>
            </w:r>
            <w:r w:rsidRPr="00B44B19">
              <w:rPr>
                <w:rFonts w:eastAsia="Times New Roman" w:cs="Times New Roman"/>
                <w:iCs/>
                <w:noProof/>
                <w:sz w:val="20"/>
                <w:szCs w:val="20"/>
              </w:rPr>
              <w:t xml:space="preserve"> Žmonėms vartoti skirto vandens tiekimas (gavybos, valymo, saugojimo ir skirstymo infrastruktūra, efektyvumą didinančios priemonės, geriamojo vandens tiekimas)</w:t>
            </w:r>
          </w:p>
        </w:tc>
        <w:tc>
          <w:tcPr>
            <w:tcW w:w="1701" w:type="dxa"/>
            <w:tcBorders>
              <w:top w:val="single" w:sz="12" w:space="0" w:color="auto"/>
              <w:bottom w:val="single" w:sz="4" w:space="0" w:color="auto"/>
            </w:tcBorders>
          </w:tcPr>
          <w:p w14:paraId="4E14EA3D" w14:textId="282346EA" w:rsidR="00774479" w:rsidRPr="00B44B19" w:rsidRDefault="000F56FE" w:rsidP="000F56FE">
            <w:pPr>
              <w:jc w:val="right"/>
              <w:rPr>
                <w:rFonts w:eastAsia="Times New Roman" w:cs="Times New Roman"/>
                <w:iCs/>
                <w:noProof/>
                <w:sz w:val="20"/>
                <w:szCs w:val="20"/>
              </w:rPr>
            </w:pPr>
            <w:r w:rsidRPr="00B44B19">
              <w:rPr>
                <w:rFonts w:cs="Times New Roman"/>
                <w:color w:val="000000"/>
                <w:sz w:val="20"/>
                <w:szCs w:val="20"/>
              </w:rPr>
              <w:t>39 000 000</w:t>
            </w:r>
            <w:r w:rsidR="00774479" w:rsidRPr="00B44B19">
              <w:rPr>
                <w:rFonts w:eastAsia="Times New Roman" w:cs="Times New Roman"/>
                <w:iCs/>
                <w:noProof/>
                <w:sz w:val="20"/>
                <w:szCs w:val="20"/>
              </w:rPr>
              <w:t>,00</w:t>
            </w:r>
          </w:p>
        </w:tc>
      </w:tr>
      <w:tr w:rsidR="00774479" w:rsidRPr="00B44B19" w14:paraId="4763DE73" w14:textId="77777777" w:rsidTr="003B113E">
        <w:tc>
          <w:tcPr>
            <w:tcW w:w="1101" w:type="dxa"/>
            <w:vMerge/>
          </w:tcPr>
          <w:p w14:paraId="0992E132" w14:textId="77777777" w:rsidR="00774479" w:rsidRPr="00B44B19" w:rsidRDefault="00774479" w:rsidP="007C0361">
            <w:pPr>
              <w:rPr>
                <w:rFonts w:eastAsia="Times New Roman" w:cs="Times New Roman"/>
                <w:iCs/>
                <w:noProof/>
                <w:sz w:val="20"/>
                <w:szCs w:val="20"/>
              </w:rPr>
            </w:pPr>
          </w:p>
        </w:tc>
        <w:tc>
          <w:tcPr>
            <w:tcW w:w="850" w:type="dxa"/>
            <w:vMerge/>
          </w:tcPr>
          <w:p w14:paraId="62D5E9FE" w14:textId="77777777" w:rsidR="00774479" w:rsidRPr="00B44B19" w:rsidRDefault="00774479" w:rsidP="007C0361">
            <w:pPr>
              <w:jc w:val="center"/>
              <w:rPr>
                <w:rFonts w:eastAsia="Times New Roman" w:cs="Times New Roman"/>
                <w:iCs/>
                <w:noProof/>
                <w:sz w:val="20"/>
                <w:szCs w:val="20"/>
              </w:rPr>
            </w:pPr>
          </w:p>
        </w:tc>
        <w:tc>
          <w:tcPr>
            <w:tcW w:w="1134" w:type="dxa"/>
            <w:vMerge/>
          </w:tcPr>
          <w:p w14:paraId="437EA345" w14:textId="77777777" w:rsidR="00774479" w:rsidRPr="00B44B19" w:rsidRDefault="00774479" w:rsidP="007C0361">
            <w:pPr>
              <w:rPr>
                <w:rFonts w:eastAsia="Times New Roman" w:cs="Times New Roman"/>
                <w:iCs/>
                <w:noProof/>
                <w:sz w:val="20"/>
                <w:szCs w:val="20"/>
              </w:rPr>
            </w:pPr>
          </w:p>
        </w:tc>
        <w:tc>
          <w:tcPr>
            <w:tcW w:w="1134" w:type="dxa"/>
            <w:vMerge/>
          </w:tcPr>
          <w:p w14:paraId="6C4A5A6A" w14:textId="77777777" w:rsidR="00774479" w:rsidRPr="00B44B19" w:rsidRDefault="00774479" w:rsidP="007C0361">
            <w:pPr>
              <w:rPr>
                <w:rFonts w:eastAsia="Times New Roman" w:cs="Times New Roman"/>
                <w:b/>
                <w:iCs/>
                <w:noProof/>
                <w:sz w:val="20"/>
                <w:szCs w:val="20"/>
              </w:rPr>
            </w:pPr>
          </w:p>
        </w:tc>
        <w:tc>
          <w:tcPr>
            <w:tcW w:w="3827" w:type="dxa"/>
            <w:tcBorders>
              <w:top w:val="single" w:sz="4" w:space="0" w:color="auto"/>
              <w:bottom w:val="single" w:sz="4" w:space="0" w:color="auto"/>
            </w:tcBorders>
          </w:tcPr>
          <w:p w14:paraId="7B7B983A" w14:textId="77777777" w:rsidR="00774479" w:rsidRPr="00B44B19" w:rsidRDefault="00774479" w:rsidP="004572D9">
            <w:pPr>
              <w:rPr>
                <w:rFonts w:eastAsia="Times New Roman" w:cs="Times New Roman"/>
                <w:iCs/>
                <w:noProof/>
                <w:sz w:val="20"/>
                <w:szCs w:val="20"/>
              </w:rPr>
            </w:pPr>
            <w:r w:rsidRPr="00B44B19">
              <w:rPr>
                <w:rFonts w:eastAsia="Times New Roman" w:cs="Times New Roman"/>
                <w:iCs/>
                <w:noProof/>
                <w:sz w:val="20"/>
                <w:szCs w:val="20"/>
              </w:rPr>
              <w:t xml:space="preserve">064 </w:t>
            </w:r>
            <w:r w:rsidR="0015773B" w:rsidRPr="00B44B19">
              <w:rPr>
                <w:rFonts w:eastAsia="Times New Roman" w:cs="Times New Roman"/>
                <w:iCs/>
                <w:noProof/>
                <w:sz w:val="20"/>
                <w:szCs w:val="20"/>
              </w:rPr>
              <w:t>–</w:t>
            </w:r>
            <w:r w:rsidRPr="00B44B19">
              <w:rPr>
                <w:rFonts w:eastAsia="Times New Roman" w:cs="Times New Roman"/>
                <w:iCs/>
                <w:noProof/>
                <w:sz w:val="20"/>
                <w:szCs w:val="20"/>
              </w:rPr>
              <w:t xml:space="preserve"> Vandentvarka ir vandens išteklių išsaugojimas (įskaitant upių baseinų valdymą, specialias prisitaikymo prie klimato kaitos priemones, pakartotinį naudojimą, nuotėkio mažinimą)</w:t>
            </w:r>
          </w:p>
        </w:tc>
        <w:tc>
          <w:tcPr>
            <w:tcW w:w="1701" w:type="dxa"/>
            <w:tcBorders>
              <w:top w:val="single" w:sz="4" w:space="0" w:color="auto"/>
              <w:bottom w:val="single" w:sz="4" w:space="0" w:color="auto"/>
            </w:tcBorders>
          </w:tcPr>
          <w:p w14:paraId="4F8BF5DC" w14:textId="77777777" w:rsidR="00774479" w:rsidRPr="00B44B19" w:rsidRDefault="003E01E3" w:rsidP="00FA6A41">
            <w:pPr>
              <w:jc w:val="right"/>
              <w:rPr>
                <w:rFonts w:eastAsia="Times New Roman" w:cs="Times New Roman"/>
                <w:iCs/>
                <w:noProof/>
                <w:sz w:val="20"/>
                <w:szCs w:val="20"/>
              </w:rPr>
            </w:pPr>
            <w:r w:rsidRPr="00B44B19">
              <w:rPr>
                <w:rFonts w:eastAsia="Times New Roman" w:cs="Times New Roman"/>
                <w:iCs/>
                <w:noProof/>
                <w:sz w:val="20"/>
                <w:szCs w:val="20"/>
              </w:rPr>
              <w:t>10</w:t>
            </w:r>
            <w:r w:rsidR="00774479" w:rsidRPr="00B44B19">
              <w:rPr>
                <w:rFonts w:eastAsia="Times New Roman" w:cs="Times New Roman"/>
                <w:iCs/>
                <w:noProof/>
                <w:sz w:val="20"/>
                <w:szCs w:val="20"/>
              </w:rPr>
              <w:t xml:space="preserve"> 000 000,00 </w:t>
            </w:r>
          </w:p>
        </w:tc>
      </w:tr>
      <w:tr w:rsidR="00774479" w:rsidRPr="00B44B19" w14:paraId="5D380468" w14:textId="77777777" w:rsidTr="003B113E">
        <w:tc>
          <w:tcPr>
            <w:tcW w:w="1101" w:type="dxa"/>
            <w:vMerge/>
          </w:tcPr>
          <w:p w14:paraId="5D59C056" w14:textId="77777777" w:rsidR="00774479" w:rsidRPr="00B44B19" w:rsidRDefault="00774479" w:rsidP="007C0361">
            <w:pPr>
              <w:rPr>
                <w:rFonts w:eastAsia="Times New Roman" w:cs="Times New Roman"/>
                <w:iCs/>
                <w:noProof/>
                <w:sz w:val="20"/>
                <w:szCs w:val="20"/>
              </w:rPr>
            </w:pPr>
          </w:p>
        </w:tc>
        <w:tc>
          <w:tcPr>
            <w:tcW w:w="850" w:type="dxa"/>
            <w:vMerge/>
          </w:tcPr>
          <w:p w14:paraId="573485EC" w14:textId="77777777" w:rsidR="00774479" w:rsidRPr="00B44B19" w:rsidRDefault="00774479" w:rsidP="007C0361">
            <w:pPr>
              <w:jc w:val="center"/>
              <w:rPr>
                <w:rFonts w:eastAsia="Times New Roman" w:cs="Times New Roman"/>
                <w:iCs/>
                <w:noProof/>
                <w:sz w:val="20"/>
                <w:szCs w:val="20"/>
              </w:rPr>
            </w:pPr>
          </w:p>
        </w:tc>
        <w:tc>
          <w:tcPr>
            <w:tcW w:w="1134" w:type="dxa"/>
            <w:vMerge/>
          </w:tcPr>
          <w:p w14:paraId="1502910B" w14:textId="77777777" w:rsidR="00774479" w:rsidRPr="00B44B19" w:rsidRDefault="00774479" w:rsidP="007C0361">
            <w:pPr>
              <w:rPr>
                <w:rFonts w:eastAsia="Times New Roman" w:cs="Times New Roman"/>
                <w:iCs/>
                <w:noProof/>
                <w:sz w:val="20"/>
                <w:szCs w:val="20"/>
              </w:rPr>
            </w:pPr>
          </w:p>
        </w:tc>
        <w:tc>
          <w:tcPr>
            <w:tcW w:w="1134" w:type="dxa"/>
            <w:vMerge/>
          </w:tcPr>
          <w:p w14:paraId="1E831276" w14:textId="77777777" w:rsidR="00774479" w:rsidRPr="00B44B19" w:rsidRDefault="00774479" w:rsidP="007C0361">
            <w:pPr>
              <w:rPr>
                <w:rFonts w:eastAsia="Times New Roman" w:cs="Times New Roman"/>
                <w:b/>
                <w:iCs/>
                <w:noProof/>
                <w:sz w:val="20"/>
                <w:szCs w:val="20"/>
              </w:rPr>
            </w:pPr>
          </w:p>
        </w:tc>
        <w:tc>
          <w:tcPr>
            <w:tcW w:w="3827" w:type="dxa"/>
            <w:tcBorders>
              <w:top w:val="single" w:sz="4" w:space="0" w:color="auto"/>
            </w:tcBorders>
          </w:tcPr>
          <w:p w14:paraId="25680CF0" w14:textId="77777777" w:rsidR="00774479" w:rsidRPr="00B44B19" w:rsidRDefault="00774479" w:rsidP="00774479">
            <w:pPr>
              <w:rPr>
                <w:rFonts w:eastAsia="Times New Roman" w:cs="Times New Roman"/>
                <w:iCs/>
                <w:noProof/>
                <w:sz w:val="20"/>
                <w:szCs w:val="20"/>
              </w:rPr>
            </w:pPr>
            <w:r w:rsidRPr="00B44B19">
              <w:rPr>
                <w:rFonts w:eastAsia="Times New Roman" w:cs="Times New Roman"/>
                <w:iCs/>
                <w:noProof/>
                <w:sz w:val="20"/>
                <w:szCs w:val="20"/>
              </w:rPr>
              <w:t xml:space="preserve">065 </w:t>
            </w:r>
            <w:r w:rsidR="0015773B" w:rsidRPr="00B44B19">
              <w:rPr>
                <w:rFonts w:eastAsia="Times New Roman" w:cs="Times New Roman"/>
                <w:iCs/>
                <w:noProof/>
                <w:sz w:val="20"/>
                <w:szCs w:val="20"/>
              </w:rPr>
              <w:t>–</w:t>
            </w:r>
            <w:r w:rsidRPr="00B44B19">
              <w:rPr>
                <w:rFonts w:eastAsia="Times New Roman" w:cs="Times New Roman"/>
                <w:iCs/>
                <w:noProof/>
                <w:sz w:val="20"/>
                <w:szCs w:val="20"/>
              </w:rPr>
              <w:t xml:space="preserve"> Nuotekų surinkimas ir valymas  </w:t>
            </w:r>
          </w:p>
        </w:tc>
        <w:tc>
          <w:tcPr>
            <w:tcW w:w="1701" w:type="dxa"/>
            <w:tcBorders>
              <w:top w:val="single" w:sz="4" w:space="0" w:color="auto"/>
            </w:tcBorders>
          </w:tcPr>
          <w:p w14:paraId="23C52563" w14:textId="5FA5FA88" w:rsidR="00774479" w:rsidRPr="00B44B19" w:rsidRDefault="000F56FE" w:rsidP="000F56FE">
            <w:pPr>
              <w:jc w:val="right"/>
              <w:rPr>
                <w:rFonts w:eastAsia="Times New Roman" w:cs="Times New Roman"/>
                <w:iCs/>
                <w:noProof/>
                <w:sz w:val="20"/>
                <w:szCs w:val="20"/>
              </w:rPr>
            </w:pPr>
            <w:r w:rsidRPr="00B44B19">
              <w:rPr>
                <w:rFonts w:cs="Times New Roman"/>
                <w:color w:val="000000"/>
                <w:sz w:val="20"/>
                <w:szCs w:val="20"/>
              </w:rPr>
              <w:t>86 700 000</w:t>
            </w:r>
            <w:r w:rsidR="00774479" w:rsidRPr="00B44B19">
              <w:rPr>
                <w:rFonts w:eastAsia="Times New Roman" w:cs="Times New Roman"/>
                <w:iCs/>
                <w:noProof/>
                <w:sz w:val="20"/>
                <w:szCs w:val="20"/>
              </w:rPr>
              <w:t xml:space="preserve">,00 </w:t>
            </w:r>
          </w:p>
        </w:tc>
      </w:tr>
    </w:tbl>
    <w:p w14:paraId="490DE186" w14:textId="77777777" w:rsidR="007C0361" w:rsidRPr="00B44B19" w:rsidRDefault="007C0361" w:rsidP="00D970FC">
      <w:pPr>
        <w:spacing w:after="0" w:line="240" w:lineRule="auto"/>
        <w:rPr>
          <w:rFonts w:cs="Times New Roman"/>
          <w:sz w:val="20"/>
          <w:szCs w:val="20"/>
        </w:rPr>
      </w:pPr>
    </w:p>
    <w:tbl>
      <w:tblPr>
        <w:tblStyle w:val="Lentelstinklelis"/>
        <w:tblW w:w="0" w:type="auto"/>
        <w:tblLook w:val="04A0" w:firstRow="1" w:lastRow="0" w:firstColumn="1" w:lastColumn="0" w:noHBand="0" w:noVBand="1"/>
      </w:tblPr>
      <w:tblGrid>
        <w:gridCol w:w="1098"/>
        <w:gridCol w:w="850"/>
        <w:gridCol w:w="1133"/>
        <w:gridCol w:w="1134"/>
        <w:gridCol w:w="3798"/>
        <w:gridCol w:w="1595"/>
      </w:tblGrid>
      <w:tr w:rsidR="007C0361" w:rsidRPr="00B44B19" w14:paraId="51B612C6" w14:textId="77777777" w:rsidTr="007C0361">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491A00E" w14:textId="77777777" w:rsidR="007C0361" w:rsidRPr="00B44B19" w:rsidRDefault="007C0361" w:rsidP="000A37FF">
            <w:pPr>
              <w:rPr>
                <w:rFonts w:eastAsia="Times New Roman" w:cs="Times New Roman"/>
                <w:b/>
                <w:iCs/>
                <w:noProof/>
                <w:sz w:val="20"/>
              </w:rPr>
            </w:pPr>
            <w:r w:rsidRPr="00B44B19">
              <w:rPr>
                <w:rFonts w:cs="Times New Roman"/>
                <w:b/>
                <w:noProof/>
                <w:sz w:val="20"/>
              </w:rPr>
              <w:t xml:space="preserve">5 lentelė. 2 matmuo. </w:t>
            </w:r>
            <w:r w:rsidR="000A37FF" w:rsidRPr="00B44B19">
              <w:rPr>
                <w:rFonts w:cs="Times New Roman"/>
                <w:b/>
                <w:noProof/>
                <w:sz w:val="20"/>
              </w:rPr>
              <w:t>Finansavimo</w:t>
            </w:r>
            <w:r w:rsidR="00774479" w:rsidRPr="00B44B19">
              <w:rPr>
                <w:rFonts w:cs="Times New Roman"/>
                <w:b/>
                <w:noProof/>
                <w:sz w:val="20"/>
              </w:rPr>
              <w:t xml:space="preserve"> </w:t>
            </w:r>
            <w:r w:rsidRPr="00B44B19">
              <w:rPr>
                <w:rFonts w:cs="Times New Roman"/>
                <w:b/>
                <w:noProof/>
                <w:sz w:val="20"/>
              </w:rPr>
              <w:t>forma</w:t>
            </w:r>
          </w:p>
        </w:tc>
      </w:tr>
      <w:tr w:rsidR="007C0361" w:rsidRPr="00B44B19" w14:paraId="13178401" w14:textId="77777777" w:rsidTr="004572D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FB2007"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088E2D"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4321D2"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756E73"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1B009A"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F2F115" w14:textId="77777777" w:rsidR="007C0361" w:rsidRPr="00B44B19" w:rsidRDefault="007C0361" w:rsidP="007C0361">
            <w:pPr>
              <w:jc w:val="center"/>
              <w:rPr>
                <w:rFonts w:eastAsia="Times New Roman" w:cs="Times New Roman"/>
                <w:b/>
                <w:iCs/>
                <w:noProof/>
                <w:sz w:val="20"/>
              </w:rPr>
            </w:pPr>
            <w:r w:rsidRPr="00B44B19">
              <w:rPr>
                <w:rFonts w:cs="Times New Roman"/>
                <w:b/>
                <w:noProof/>
                <w:sz w:val="20"/>
              </w:rPr>
              <w:t>Suma (EUR)</w:t>
            </w:r>
          </w:p>
        </w:tc>
      </w:tr>
      <w:tr w:rsidR="007C0361" w:rsidRPr="00B44B19" w14:paraId="014C66F1" w14:textId="77777777" w:rsidTr="004572D9">
        <w:tc>
          <w:tcPr>
            <w:tcW w:w="1101" w:type="dxa"/>
          </w:tcPr>
          <w:p w14:paraId="082FD7E2" w14:textId="77777777" w:rsidR="007C0361" w:rsidRPr="00B44B19" w:rsidRDefault="007C0361" w:rsidP="007C0361">
            <w:pPr>
              <w:jc w:val="center"/>
              <w:rPr>
                <w:rFonts w:eastAsia="Times New Roman" w:cs="Times New Roman"/>
                <w:iCs/>
                <w:noProof/>
                <w:sz w:val="20"/>
              </w:rPr>
            </w:pPr>
            <w:r w:rsidRPr="00B44B19">
              <w:rPr>
                <w:rFonts w:eastAsia="Times New Roman" w:cs="Times New Roman"/>
                <w:iCs/>
                <w:noProof/>
                <w:sz w:val="20"/>
              </w:rPr>
              <w:t>2.</w:t>
            </w:r>
          </w:p>
        </w:tc>
        <w:tc>
          <w:tcPr>
            <w:tcW w:w="850" w:type="dxa"/>
          </w:tcPr>
          <w:p w14:paraId="2E79B173" w14:textId="77777777" w:rsidR="007C0361" w:rsidRPr="00B44B19" w:rsidRDefault="007C0361" w:rsidP="007C0361">
            <w:pPr>
              <w:jc w:val="center"/>
              <w:rPr>
                <w:rFonts w:eastAsia="Times New Roman" w:cs="Times New Roman"/>
                <w:iCs/>
                <w:noProof/>
                <w:sz w:val="20"/>
              </w:rPr>
            </w:pPr>
            <w:r w:rsidRPr="00B44B19">
              <w:rPr>
                <w:rFonts w:eastAsia="Times New Roman" w:cs="Times New Roman"/>
                <w:iCs/>
                <w:noProof/>
                <w:sz w:val="20"/>
              </w:rPr>
              <w:t>SaF</w:t>
            </w:r>
          </w:p>
        </w:tc>
        <w:tc>
          <w:tcPr>
            <w:tcW w:w="1134" w:type="dxa"/>
            <w:tcBorders>
              <w:top w:val="single" w:sz="4" w:space="0" w:color="auto"/>
              <w:bottom w:val="single" w:sz="4" w:space="0" w:color="auto"/>
            </w:tcBorders>
          </w:tcPr>
          <w:p w14:paraId="0D995309" w14:textId="77777777" w:rsidR="007C0361" w:rsidRPr="00B44B19" w:rsidRDefault="007C0361" w:rsidP="007C0361">
            <w:pPr>
              <w:rPr>
                <w:rFonts w:eastAsia="Times New Roman" w:cs="Times New Roman"/>
                <w:iCs/>
                <w:noProof/>
                <w:sz w:val="20"/>
              </w:rPr>
            </w:pPr>
            <w:r w:rsidRPr="00B44B19">
              <w:rPr>
                <w:rFonts w:eastAsia="Times New Roman" w:cs="Times New Roman"/>
                <w:iCs/>
                <w:noProof/>
                <w:sz w:val="20"/>
              </w:rPr>
              <w:t>Visa Lietuva</w:t>
            </w:r>
          </w:p>
        </w:tc>
        <w:tc>
          <w:tcPr>
            <w:tcW w:w="1134" w:type="dxa"/>
          </w:tcPr>
          <w:p w14:paraId="4E1333F8" w14:textId="77777777" w:rsidR="007C0361" w:rsidRPr="00B44B19" w:rsidRDefault="007C0361" w:rsidP="007C0361">
            <w:pPr>
              <w:jc w:val="center"/>
              <w:rPr>
                <w:rFonts w:eastAsia="Times New Roman" w:cs="Times New Roman"/>
                <w:iCs/>
                <w:noProof/>
                <w:sz w:val="20"/>
              </w:rPr>
            </w:pPr>
            <w:r w:rsidRPr="00B44B19">
              <w:rPr>
                <w:rFonts w:eastAsia="Times New Roman" w:cs="Times New Roman"/>
                <w:iCs/>
                <w:noProof/>
                <w:sz w:val="20"/>
              </w:rPr>
              <w:t>2.5.</w:t>
            </w:r>
          </w:p>
        </w:tc>
        <w:tc>
          <w:tcPr>
            <w:tcW w:w="3903" w:type="dxa"/>
            <w:tcBorders>
              <w:top w:val="single" w:sz="4" w:space="0" w:color="auto"/>
              <w:bottom w:val="single" w:sz="4" w:space="0" w:color="auto"/>
            </w:tcBorders>
          </w:tcPr>
          <w:p w14:paraId="51BD97AB" w14:textId="77777777" w:rsidR="007C0361" w:rsidRPr="00B44B19" w:rsidRDefault="007C0361" w:rsidP="004572D9">
            <w:pPr>
              <w:rPr>
                <w:rFonts w:eastAsia="Times New Roman" w:cs="Times New Roman"/>
                <w:iCs/>
                <w:noProof/>
                <w:sz w:val="20"/>
              </w:rPr>
            </w:pPr>
            <w:r w:rsidRPr="00B44B19">
              <w:rPr>
                <w:rFonts w:eastAsia="Times New Roman" w:cs="Times New Roman"/>
                <w:iCs/>
                <w:noProof/>
                <w:sz w:val="20"/>
              </w:rPr>
              <w:t>01</w:t>
            </w:r>
            <w:r w:rsidR="004572D9" w:rsidRPr="00B44B19">
              <w:rPr>
                <w:rFonts w:eastAsia="Times New Roman" w:cs="Times New Roman"/>
                <w:iCs/>
                <w:noProof/>
                <w:sz w:val="20"/>
              </w:rPr>
              <w:t xml:space="preserve"> </w:t>
            </w:r>
            <w:r w:rsidR="0015773B" w:rsidRPr="00B44B19">
              <w:rPr>
                <w:rFonts w:eastAsia="Times New Roman" w:cs="Times New Roman"/>
                <w:iCs/>
                <w:noProof/>
                <w:sz w:val="20"/>
              </w:rPr>
              <w:t>–</w:t>
            </w:r>
            <w:r w:rsidR="004572D9" w:rsidRPr="00B44B19">
              <w:rPr>
                <w:rFonts w:eastAsia="Times New Roman" w:cs="Times New Roman"/>
                <w:iCs/>
                <w:noProof/>
                <w:sz w:val="20"/>
              </w:rPr>
              <w:t xml:space="preserve"> Dotacija</w:t>
            </w:r>
          </w:p>
        </w:tc>
        <w:tc>
          <w:tcPr>
            <w:tcW w:w="1625" w:type="dxa"/>
            <w:tcBorders>
              <w:top w:val="single" w:sz="4" w:space="0" w:color="auto"/>
              <w:bottom w:val="single" w:sz="4" w:space="0" w:color="auto"/>
            </w:tcBorders>
          </w:tcPr>
          <w:p w14:paraId="71706E82" w14:textId="0DB13CDB" w:rsidR="007C0361" w:rsidRPr="00B44B19" w:rsidRDefault="000F56FE" w:rsidP="000F56FE">
            <w:pPr>
              <w:jc w:val="right"/>
              <w:rPr>
                <w:rFonts w:eastAsia="Times New Roman" w:cs="Times New Roman"/>
                <w:iCs/>
                <w:noProof/>
                <w:sz w:val="20"/>
              </w:rPr>
            </w:pPr>
            <w:r w:rsidRPr="00B44B19">
              <w:rPr>
                <w:rFonts w:cs="Times New Roman"/>
                <w:color w:val="000000"/>
                <w:sz w:val="20"/>
                <w:szCs w:val="20"/>
              </w:rPr>
              <w:t>135 700 000</w:t>
            </w:r>
            <w:r w:rsidR="007C0361" w:rsidRPr="00B44B19">
              <w:rPr>
                <w:rFonts w:eastAsia="Times New Roman" w:cs="Times New Roman"/>
                <w:iCs/>
                <w:noProof/>
                <w:sz w:val="20"/>
              </w:rPr>
              <w:t>,00</w:t>
            </w:r>
          </w:p>
        </w:tc>
      </w:tr>
    </w:tbl>
    <w:p w14:paraId="6B15ECD0" w14:textId="77777777" w:rsidR="00437FF2" w:rsidRPr="00B44B19" w:rsidRDefault="00437FF2" w:rsidP="00D970FC">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9"/>
        <w:gridCol w:w="849"/>
        <w:gridCol w:w="1132"/>
        <w:gridCol w:w="1134"/>
        <w:gridCol w:w="3787"/>
        <w:gridCol w:w="1607"/>
      </w:tblGrid>
      <w:tr w:rsidR="00AD084E" w:rsidRPr="00B44B19" w14:paraId="5B7DFBCA" w14:textId="77777777" w:rsidTr="009C654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2AC96C" w14:textId="77777777" w:rsidR="00AD084E" w:rsidRPr="00B44B19" w:rsidRDefault="00AD084E" w:rsidP="009C6543">
            <w:pPr>
              <w:rPr>
                <w:rFonts w:eastAsia="Times New Roman" w:cs="Times New Roman"/>
                <w:b/>
                <w:iCs/>
                <w:noProof/>
                <w:sz w:val="20"/>
              </w:rPr>
            </w:pPr>
            <w:r w:rsidRPr="00B44B19">
              <w:rPr>
                <w:rFonts w:cs="Times New Roman"/>
                <w:b/>
                <w:noProof/>
                <w:sz w:val="20"/>
              </w:rPr>
              <w:t xml:space="preserve">6 lentelė. 3 matmuo. </w:t>
            </w:r>
            <w:r w:rsidR="00DE130E" w:rsidRPr="00B44B19">
              <w:rPr>
                <w:rFonts w:cs="Times New Roman"/>
                <w:b/>
                <w:noProof/>
                <w:sz w:val="20"/>
              </w:rPr>
              <w:t>Teritorinis įgyvendinimo mechanizmas ir pagrindinė teritorinė sritis</w:t>
            </w:r>
          </w:p>
        </w:tc>
      </w:tr>
      <w:tr w:rsidR="00AD084E" w:rsidRPr="00B44B19" w14:paraId="6E44359F" w14:textId="77777777" w:rsidTr="004572D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316022" w14:textId="77777777" w:rsidR="00AD084E" w:rsidRPr="00B44B19" w:rsidRDefault="00AD084E" w:rsidP="009C654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41B379" w14:textId="77777777" w:rsidR="00AD084E" w:rsidRPr="00B44B19" w:rsidRDefault="00AD084E" w:rsidP="009C6543">
            <w:pPr>
              <w:jc w:val="center"/>
              <w:rPr>
                <w:rFonts w:eastAsia="Times New Roman" w:cs="Times New Roman"/>
                <w:b/>
                <w:iCs/>
                <w:noProof/>
                <w:sz w:val="20"/>
              </w:rPr>
            </w:pPr>
            <w:r w:rsidRPr="00B44B19">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8EE87E" w14:textId="77777777" w:rsidR="00AD084E" w:rsidRPr="00B44B19" w:rsidRDefault="00AD084E" w:rsidP="009C654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7A2B2D" w14:textId="77777777" w:rsidR="00AD084E" w:rsidRPr="00B44B19" w:rsidRDefault="00AD084E" w:rsidP="009C6543">
            <w:pPr>
              <w:jc w:val="center"/>
              <w:rPr>
                <w:rFonts w:eastAsia="Times New Roman" w:cs="Times New Roman"/>
                <w:b/>
                <w:iCs/>
                <w:noProof/>
                <w:sz w:val="20"/>
              </w:rPr>
            </w:pPr>
            <w:r w:rsidRPr="00B44B19">
              <w:rPr>
                <w:rFonts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739E3" w14:textId="77777777" w:rsidR="00AD084E" w:rsidRPr="00B44B19" w:rsidRDefault="00AD084E" w:rsidP="009C6543">
            <w:pPr>
              <w:jc w:val="center"/>
              <w:rPr>
                <w:rFonts w:eastAsia="Times New Roman" w:cs="Times New Roman"/>
                <w:b/>
                <w:iCs/>
                <w:noProof/>
                <w:sz w:val="20"/>
              </w:rPr>
            </w:pPr>
            <w:r w:rsidRPr="00B44B19">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D47975" w14:textId="77777777" w:rsidR="00AD084E" w:rsidRPr="00B44B19" w:rsidRDefault="00AD084E" w:rsidP="009C6543">
            <w:pPr>
              <w:jc w:val="center"/>
              <w:rPr>
                <w:rFonts w:eastAsia="Times New Roman" w:cs="Times New Roman"/>
                <w:b/>
                <w:iCs/>
                <w:noProof/>
                <w:sz w:val="20"/>
              </w:rPr>
            </w:pPr>
            <w:r w:rsidRPr="00B44B19">
              <w:rPr>
                <w:rFonts w:cs="Times New Roman"/>
                <w:b/>
                <w:noProof/>
                <w:sz w:val="20"/>
              </w:rPr>
              <w:t>Suma (EUR)</w:t>
            </w:r>
          </w:p>
        </w:tc>
      </w:tr>
      <w:tr w:rsidR="00774479" w:rsidRPr="00B44B19" w14:paraId="4EF1883A" w14:textId="77777777" w:rsidTr="00872FEE">
        <w:tc>
          <w:tcPr>
            <w:tcW w:w="1101" w:type="dxa"/>
            <w:vMerge w:val="restart"/>
            <w:tcBorders>
              <w:top w:val="single" w:sz="12" w:space="0" w:color="auto"/>
            </w:tcBorders>
          </w:tcPr>
          <w:p w14:paraId="49CA16D6" w14:textId="77777777" w:rsidR="00774479" w:rsidRPr="00B44B19" w:rsidRDefault="00774479" w:rsidP="009C6543">
            <w:pPr>
              <w:jc w:val="center"/>
              <w:rPr>
                <w:rFonts w:eastAsia="Times New Roman" w:cs="Times New Roman"/>
                <w:iCs/>
                <w:noProof/>
                <w:sz w:val="20"/>
              </w:rPr>
            </w:pPr>
            <w:r w:rsidRPr="00B44B19">
              <w:rPr>
                <w:rFonts w:eastAsia="Times New Roman" w:cs="Times New Roman"/>
                <w:iCs/>
                <w:noProof/>
                <w:sz w:val="20"/>
              </w:rPr>
              <w:t>2.</w:t>
            </w:r>
          </w:p>
        </w:tc>
        <w:tc>
          <w:tcPr>
            <w:tcW w:w="850" w:type="dxa"/>
            <w:vMerge w:val="restart"/>
            <w:tcBorders>
              <w:top w:val="single" w:sz="12" w:space="0" w:color="auto"/>
            </w:tcBorders>
          </w:tcPr>
          <w:p w14:paraId="68DAF62B" w14:textId="77777777" w:rsidR="00774479" w:rsidRPr="00B44B19" w:rsidRDefault="00774479" w:rsidP="007167BE">
            <w:pPr>
              <w:jc w:val="center"/>
              <w:rPr>
                <w:rFonts w:eastAsia="Times New Roman" w:cs="Times New Roman"/>
                <w:iCs/>
                <w:noProof/>
                <w:sz w:val="20"/>
              </w:rPr>
            </w:pPr>
            <w:r w:rsidRPr="00B44B19">
              <w:rPr>
                <w:rFonts w:eastAsia="Times New Roman" w:cs="Times New Roman"/>
                <w:iCs/>
                <w:noProof/>
                <w:sz w:val="20"/>
              </w:rPr>
              <w:t>SaF</w:t>
            </w:r>
          </w:p>
        </w:tc>
        <w:tc>
          <w:tcPr>
            <w:tcW w:w="1134" w:type="dxa"/>
            <w:vMerge w:val="restart"/>
            <w:tcBorders>
              <w:top w:val="single" w:sz="12" w:space="0" w:color="auto"/>
            </w:tcBorders>
          </w:tcPr>
          <w:p w14:paraId="3322B513" w14:textId="77777777" w:rsidR="00774479" w:rsidRPr="00B44B19" w:rsidRDefault="00774479" w:rsidP="007167BE">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5589717E" w14:textId="77777777" w:rsidR="00774479" w:rsidRPr="00B44B19" w:rsidRDefault="00774479" w:rsidP="009C6543">
            <w:pPr>
              <w:jc w:val="center"/>
              <w:rPr>
                <w:rFonts w:eastAsia="Times New Roman" w:cs="Times New Roman"/>
                <w:iCs/>
                <w:noProof/>
                <w:sz w:val="20"/>
              </w:rPr>
            </w:pPr>
            <w:r w:rsidRPr="00B44B19">
              <w:rPr>
                <w:rFonts w:eastAsia="Times New Roman" w:cs="Times New Roman"/>
                <w:iCs/>
                <w:noProof/>
                <w:sz w:val="20"/>
              </w:rPr>
              <w:t>2.5</w:t>
            </w:r>
          </w:p>
        </w:tc>
        <w:tc>
          <w:tcPr>
            <w:tcW w:w="3903" w:type="dxa"/>
            <w:tcBorders>
              <w:top w:val="single" w:sz="12" w:space="0" w:color="auto"/>
              <w:bottom w:val="single" w:sz="4" w:space="0" w:color="auto"/>
            </w:tcBorders>
          </w:tcPr>
          <w:p w14:paraId="14D3D594" w14:textId="77777777" w:rsidR="00774479" w:rsidRPr="00B44B19" w:rsidRDefault="00774479" w:rsidP="00FA6A41">
            <w:pPr>
              <w:rPr>
                <w:rFonts w:eastAsia="Times New Roman" w:cs="Times New Roman"/>
                <w:iCs/>
                <w:noProof/>
                <w:sz w:val="20"/>
              </w:rPr>
            </w:pPr>
          </w:p>
        </w:tc>
        <w:tc>
          <w:tcPr>
            <w:tcW w:w="1625" w:type="dxa"/>
            <w:tcBorders>
              <w:top w:val="single" w:sz="12" w:space="0" w:color="auto"/>
              <w:bottom w:val="single" w:sz="4" w:space="0" w:color="auto"/>
            </w:tcBorders>
          </w:tcPr>
          <w:p w14:paraId="1DB54A56" w14:textId="77777777" w:rsidR="00774479" w:rsidRPr="00B44B19" w:rsidRDefault="00774479" w:rsidP="003E01E3">
            <w:pPr>
              <w:jc w:val="right"/>
              <w:rPr>
                <w:rFonts w:eastAsia="Times New Roman" w:cs="Times New Roman"/>
                <w:iCs/>
                <w:noProof/>
                <w:sz w:val="20"/>
              </w:rPr>
            </w:pPr>
          </w:p>
        </w:tc>
      </w:tr>
      <w:tr w:rsidR="00FA6A41" w:rsidRPr="00B44B19" w14:paraId="60F8FFC8" w14:textId="77777777" w:rsidTr="00872FEE">
        <w:tc>
          <w:tcPr>
            <w:tcW w:w="1101" w:type="dxa"/>
            <w:vMerge/>
          </w:tcPr>
          <w:p w14:paraId="230401BF" w14:textId="77777777" w:rsidR="00FA6A41" w:rsidRPr="00B44B19" w:rsidRDefault="00FA6A41" w:rsidP="009C6543">
            <w:pPr>
              <w:rPr>
                <w:rFonts w:eastAsia="Times New Roman" w:cs="Times New Roman"/>
                <w:b/>
                <w:iCs/>
                <w:noProof/>
                <w:sz w:val="20"/>
              </w:rPr>
            </w:pPr>
          </w:p>
        </w:tc>
        <w:tc>
          <w:tcPr>
            <w:tcW w:w="850" w:type="dxa"/>
            <w:vMerge/>
          </w:tcPr>
          <w:p w14:paraId="6BC3CCB5" w14:textId="77777777" w:rsidR="00FA6A41" w:rsidRPr="00B44B19" w:rsidRDefault="00FA6A41" w:rsidP="009C6543">
            <w:pPr>
              <w:jc w:val="center"/>
              <w:rPr>
                <w:rFonts w:eastAsia="Times New Roman" w:cs="Times New Roman"/>
                <w:iCs/>
                <w:noProof/>
                <w:sz w:val="20"/>
              </w:rPr>
            </w:pPr>
          </w:p>
        </w:tc>
        <w:tc>
          <w:tcPr>
            <w:tcW w:w="1134" w:type="dxa"/>
            <w:vMerge/>
            <w:tcBorders>
              <w:bottom w:val="single" w:sz="4" w:space="0" w:color="auto"/>
            </w:tcBorders>
          </w:tcPr>
          <w:p w14:paraId="5191312A" w14:textId="77777777" w:rsidR="00FA6A41" w:rsidRPr="00B44B19" w:rsidRDefault="00FA6A41" w:rsidP="009C6543">
            <w:pPr>
              <w:rPr>
                <w:rFonts w:eastAsia="Times New Roman" w:cs="Times New Roman"/>
                <w:iCs/>
                <w:noProof/>
                <w:sz w:val="20"/>
              </w:rPr>
            </w:pPr>
          </w:p>
        </w:tc>
        <w:tc>
          <w:tcPr>
            <w:tcW w:w="1134" w:type="dxa"/>
            <w:vMerge/>
          </w:tcPr>
          <w:p w14:paraId="4A180A60" w14:textId="77777777" w:rsidR="00FA6A41" w:rsidRPr="00B44B19" w:rsidRDefault="00FA6A41" w:rsidP="009C6543">
            <w:pPr>
              <w:rPr>
                <w:rFonts w:eastAsia="Times New Roman" w:cs="Times New Roman"/>
                <w:b/>
                <w:iCs/>
                <w:noProof/>
                <w:sz w:val="20"/>
              </w:rPr>
            </w:pPr>
          </w:p>
        </w:tc>
        <w:tc>
          <w:tcPr>
            <w:tcW w:w="3903" w:type="dxa"/>
            <w:tcBorders>
              <w:top w:val="single" w:sz="4" w:space="0" w:color="auto"/>
              <w:bottom w:val="single" w:sz="4" w:space="0" w:color="auto"/>
            </w:tcBorders>
          </w:tcPr>
          <w:p w14:paraId="1752D0DB" w14:textId="77777777" w:rsidR="00FA6A41" w:rsidRPr="00B44B19" w:rsidRDefault="00FA6A41" w:rsidP="004572D9">
            <w:pPr>
              <w:rPr>
                <w:rFonts w:eastAsia="Times New Roman" w:cs="Times New Roman"/>
                <w:iCs/>
                <w:noProof/>
                <w:sz w:val="20"/>
              </w:rPr>
            </w:pPr>
            <w:r w:rsidRPr="00B44B19">
              <w:rPr>
                <w:rFonts w:eastAsia="Times New Roman" w:cs="Times New Roman"/>
                <w:iCs/>
                <w:noProof/>
                <w:sz w:val="20"/>
              </w:rPr>
              <w:t>08 – Kitų rūšių tikslinės teritorijos</w:t>
            </w:r>
          </w:p>
        </w:tc>
        <w:tc>
          <w:tcPr>
            <w:tcW w:w="1625" w:type="dxa"/>
            <w:tcBorders>
              <w:top w:val="single" w:sz="4" w:space="0" w:color="auto"/>
              <w:bottom w:val="single" w:sz="4" w:space="0" w:color="auto"/>
            </w:tcBorders>
          </w:tcPr>
          <w:p w14:paraId="5F231C13" w14:textId="77777777" w:rsidR="00FA6A41" w:rsidRPr="00B44B19" w:rsidRDefault="00A15076" w:rsidP="003E01E3">
            <w:pPr>
              <w:spacing w:after="200" w:line="276" w:lineRule="auto"/>
              <w:jc w:val="right"/>
              <w:rPr>
                <w:rFonts w:eastAsia="Times New Roman" w:cs="Times New Roman"/>
                <w:iCs/>
                <w:noProof/>
                <w:sz w:val="20"/>
                <w:lang w:val="en-US"/>
              </w:rPr>
            </w:pPr>
            <w:r w:rsidRPr="00B44B19">
              <w:rPr>
                <w:rFonts w:eastAsia="Times New Roman" w:cs="Times New Roman"/>
                <w:iCs/>
                <w:noProof/>
                <w:sz w:val="20"/>
                <w:lang w:val="en-US"/>
              </w:rPr>
              <w:t>8</w:t>
            </w:r>
            <w:r w:rsidR="00FA6A41" w:rsidRPr="00B44B19">
              <w:rPr>
                <w:rFonts w:eastAsia="Times New Roman" w:cs="Times New Roman"/>
                <w:iCs/>
                <w:noProof/>
                <w:sz w:val="20"/>
                <w:lang w:val="en-US"/>
              </w:rPr>
              <w:t> 000 000,00</w:t>
            </w:r>
          </w:p>
        </w:tc>
      </w:tr>
      <w:tr w:rsidR="00774479" w:rsidRPr="00B44B19" w14:paraId="3617F815" w14:textId="77777777" w:rsidTr="00872FEE">
        <w:tc>
          <w:tcPr>
            <w:tcW w:w="1101" w:type="dxa"/>
            <w:vMerge/>
          </w:tcPr>
          <w:p w14:paraId="4B7997AA" w14:textId="77777777" w:rsidR="00774479" w:rsidRPr="00B44B19" w:rsidRDefault="00774479" w:rsidP="009C6543">
            <w:pPr>
              <w:rPr>
                <w:rFonts w:eastAsia="Times New Roman" w:cs="Times New Roman"/>
                <w:b/>
                <w:iCs/>
                <w:noProof/>
                <w:sz w:val="20"/>
              </w:rPr>
            </w:pPr>
          </w:p>
        </w:tc>
        <w:tc>
          <w:tcPr>
            <w:tcW w:w="850" w:type="dxa"/>
            <w:vMerge/>
          </w:tcPr>
          <w:p w14:paraId="12BC1FD7" w14:textId="77777777" w:rsidR="00774479" w:rsidRPr="00B44B19" w:rsidRDefault="00774479" w:rsidP="009C6543">
            <w:pPr>
              <w:jc w:val="center"/>
              <w:rPr>
                <w:rFonts w:eastAsia="Times New Roman" w:cs="Times New Roman"/>
                <w:iCs/>
                <w:noProof/>
                <w:sz w:val="20"/>
              </w:rPr>
            </w:pPr>
          </w:p>
        </w:tc>
        <w:tc>
          <w:tcPr>
            <w:tcW w:w="1134" w:type="dxa"/>
            <w:vMerge/>
            <w:tcBorders>
              <w:bottom w:val="single" w:sz="4" w:space="0" w:color="auto"/>
            </w:tcBorders>
          </w:tcPr>
          <w:p w14:paraId="561E2EBB" w14:textId="77777777" w:rsidR="00774479" w:rsidRPr="00B44B19" w:rsidRDefault="00774479" w:rsidP="009C6543">
            <w:pPr>
              <w:rPr>
                <w:rFonts w:eastAsia="Times New Roman" w:cs="Times New Roman"/>
                <w:iCs/>
                <w:noProof/>
                <w:sz w:val="20"/>
              </w:rPr>
            </w:pPr>
          </w:p>
        </w:tc>
        <w:tc>
          <w:tcPr>
            <w:tcW w:w="1134" w:type="dxa"/>
            <w:vMerge/>
          </w:tcPr>
          <w:p w14:paraId="5EF39B8A" w14:textId="77777777" w:rsidR="00774479" w:rsidRPr="00B44B19" w:rsidRDefault="00774479" w:rsidP="009C6543">
            <w:pPr>
              <w:rPr>
                <w:rFonts w:eastAsia="Times New Roman" w:cs="Times New Roman"/>
                <w:b/>
                <w:iCs/>
                <w:noProof/>
                <w:sz w:val="20"/>
              </w:rPr>
            </w:pPr>
          </w:p>
        </w:tc>
        <w:tc>
          <w:tcPr>
            <w:tcW w:w="3903" w:type="dxa"/>
            <w:tcBorders>
              <w:top w:val="single" w:sz="4" w:space="0" w:color="auto"/>
              <w:bottom w:val="single" w:sz="4" w:space="0" w:color="auto"/>
            </w:tcBorders>
          </w:tcPr>
          <w:p w14:paraId="42A2F4A5" w14:textId="77777777" w:rsidR="00774479" w:rsidRPr="00B44B19" w:rsidRDefault="00774479" w:rsidP="004572D9">
            <w:pPr>
              <w:rPr>
                <w:rFonts w:eastAsia="Times New Roman" w:cs="Times New Roman"/>
                <w:iCs/>
                <w:noProof/>
                <w:sz w:val="20"/>
              </w:rPr>
            </w:pPr>
            <w:r w:rsidRPr="00B44B19">
              <w:rPr>
                <w:rFonts w:eastAsia="Times New Roman" w:cs="Times New Roman"/>
                <w:iCs/>
                <w:noProof/>
                <w:sz w:val="20"/>
              </w:rPr>
              <w:t xml:space="preserve">33 </w:t>
            </w:r>
            <w:r w:rsidR="0015773B" w:rsidRPr="00B44B19">
              <w:rPr>
                <w:rFonts w:eastAsia="Times New Roman" w:cs="Times New Roman"/>
                <w:iCs/>
                <w:noProof/>
                <w:sz w:val="20"/>
              </w:rPr>
              <w:t>–</w:t>
            </w:r>
            <w:r w:rsidRPr="00B44B19">
              <w:rPr>
                <w:rFonts w:eastAsia="Times New Roman" w:cs="Times New Roman"/>
                <w:iCs/>
                <w:noProof/>
                <w:sz w:val="20"/>
              </w:rPr>
              <w:t xml:space="preserve"> Nesiorientuojant į teritoriškumą</w:t>
            </w:r>
          </w:p>
        </w:tc>
        <w:tc>
          <w:tcPr>
            <w:tcW w:w="1625" w:type="dxa"/>
            <w:tcBorders>
              <w:top w:val="single" w:sz="4" w:space="0" w:color="auto"/>
              <w:bottom w:val="single" w:sz="4" w:space="0" w:color="auto"/>
            </w:tcBorders>
          </w:tcPr>
          <w:p w14:paraId="00902CEC" w14:textId="2EA40E71" w:rsidR="00774479" w:rsidRPr="00B44B19" w:rsidRDefault="000F56FE" w:rsidP="000F56FE">
            <w:pPr>
              <w:jc w:val="right"/>
              <w:rPr>
                <w:rFonts w:eastAsia="Times New Roman" w:cs="Times New Roman"/>
                <w:iCs/>
                <w:noProof/>
                <w:sz w:val="20"/>
              </w:rPr>
            </w:pPr>
            <w:r w:rsidRPr="00B44B19">
              <w:rPr>
                <w:rFonts w:cs="Times New Roman"/>
                <w:color w:val="000000"/>
                <w:sz w:val="20"/>
                <w:szCs w:val="20"/>
              </w:rPr>
              <w:t>127 700 000</w:t>
            </w:r>
            <w:r w:rsidR="00774479" w:rsidRPr="00B44B19">
              <w:rPr>
                <w:rFonts w:eastAsia="Times New Roman" w:cs="Times New Roman"/>
                <w:iCs/>
                <w:noProof/>
                <w:sz w:val="20"/>
              </w:rPr>
              <w:t>,00</w:t>
            </w:r>
          </w:p>
        </w:tc>
      </w:tr>
    </w:tbl>
    <w:p w14:paraId="509506C2" w14:textId="77777777" w:rsidR="00E438B8" w:rsidRPr="00B44B19" w:rsidRDefault="00E438B8" w:rsidP="00D970FC">
      <w:pPr>
        <w:spacing w:after="0" w:line="240" w:lineRule="auto"/>
        <w:rPr>
          <w:rFonts w:cs="Times New Roman"/>
          <w:sz w:val="20"/>
          <w:szCs w:val="20"/>
        </w:rPr>
      </w:pPr>
    </w:p>
    <w:tbl>
      <w:tblPr>
        <w:tblStyle w:val="Lentelstinklelis"/>
        <w:tblW w:w="9624" w:type="dxa"/>
        <w:tblLook w:val="04A0" w:firstRow="1" w:lastRow="0" w:firstColumn="1" w:lastColumn="0" w:noHBand="0" w:noVBand="1"/>
      </w:tblPr>
      <w:tblGrid>
        <w:gridCol w:w="1101"/>
        <w:gridCol w:w="850"/>
        <w:gridCol w:w="1134"/>
        <w:gridCol w:w="1134"/>
        <w:gridCol w:w="3846"/>
        <w:gridCol w:w="1559"/>
      </w:tblGrid>
      <w:tr w:rsidR="00E438B8" w:rsidRPr="00B44B19" w14:paraId="7A2120AF" w14:textId="77777777" w:rsidTr="00D27D25">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313093" w14:textId="77777777" w:rsidR="00E438B8" w:rsidRPr="00B44B19" w:rsidRDefault="00E438B8" w:rsidP="00E438B8">
            <w:pPr>
              <w:rPr>
                <w:rFonts w:eastAsia="Times New Roman" w:cs="Times New Roman"/>
                <w:b/>
                <w:iCs/>
                <w:noProof/>
                <w:sz w:val="20"/>
                <w:szCs w:val="20"/>
              </w:rPr>
            </w:pPr>
            <w:r w:rsidRPr="00B44B19">
              <w:rPr>
                <w:rFonts w:cs="Times New Roman"/>
                <w:b/>
                <w:noProof/>
                <w:sz w:val="20"/>
                <w:szCs w:val="20"/>
              </w:rPr>
              <w:t xml:space="preserve">7 lentelė. 7 matmuo. </w:t>
            </w:r>
            <w:r w:rsidRPr="00B44B19">
              <w:rPr>
                <w:rFonts w:eastAsia="Calibri" w:cs="Times New Roman"/>
                <w:b/>
                <w:sz w:val="20"/>
                <w:szCs w:val="20"/>
              </w:rPr>
              <w:t>ESF+, ERPF, S</w:t>
            </w:r>
            <w:r w:rsidR="0015773B" w:rsidRPr="00B44B19">
              <w:rPr>
                <w:rFonts w:eastAsia="Calibri" w:cs="Times New Roman"/>
                <w:b/>
                <w:sz w:val="20"/>
                <w:szCs w:val="20"/>
              </w:rPr>
              <w:t>a</w:t>
            </w:r>
            <w:r w:rsidRPr="00B44B19">
              <w:rPr>
                <w:rFonts w:eastAsia="Calibri" w:cs="Times New Roman"/>
                <w:b/>
                <w:sz w:val="20"/>
                <w:szCs w:val="20"/>
              </w:rPr>
              <w:t>F ir TPF lyčių lygybės matmuo</w:t>
            </w:r>
          </w:p>
        </w:tc>
      </w:tr>
      <w:tr w:rsidR="00E438B8" w:rsidRPr="00B44B19" w14:paraId="00C2715D" w14:textId="77777777" w:rsidTr="00D27D2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EFDCFF"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E21CB"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632596"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A5D837"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Konkretus uždavinys</w:t>
            </w:r>
          </w:p>
        </w:tc>
        <w:tc>
          <w:tcPr>
            <w:tcW w:w="3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647EF7"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77A0F" w14:textId="77777777" w:rsidR="00E438B8" w:rsidRPr="00B44B19" w:rsidRDefault="00E438B8" w:rsidP="00E438B8">
            <w:pPr>
              <w:jc w:val="center"/>
              <w:rPr>
                <w:rFonts w:eastAsia="Times New Roman" w:cs="Times New Roman"/>
                <w:b/>
                <w:iCs/>
                <w:noProof/>
                <w:sz w:val="20"/>
              </w:rPr>
            </w:pPr>
            <w:r w:rsidRPr="00B44B19">
              <w:rPr>
                <w:rFonts w:cs="Times New Roman"/>
                <w:b/>
                <w:noProof/>
                <w:sz w:val="20"/>
              </w:rPr>
              <w:t>Suma (EUR)</w:t>
            </w:r>
          </w:p>
        </w:tc>
      </w:tr>
      <w:tr w:rsidR="00D90980" w:rsidRPr="00B44B19" w14:paraId="1E153EB5" w14:textId="77777777" w:rsidTr="00D27D25">
        <w:trPr>
          <w:trHeight w:val="490"/>
        </w:trPr>
        <w:tc>
          <w:tcPr>
            <w:tcW w:w="1101" w:type="dxa"/>
            <w:tcBorders>
              <w:top w:val="single" w:sz="12" w:space="0" w:color="auto"/>
            </w:tcBorders>
          </w:tcPr>
          <w:p w14:paraId="3E839D14" w14:textId="77777777" w:rsidR="00D90980" w:rsidRPr="00B44B19" w:rsidRDefault="00D90980" w:rsidP="00E438B8">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5A2DED1E" w14:textId="77777777" w:rsidR="00D90980" w:rsidRPr="00B44B19" w:rsidRDefault="00D90980" w:rsidP="00E438B8">
            <w:pPr>
              <w:jc w:val="center"/>
              <w:rPr>
                <w:rFonts w:eastAsia="Times New Roman" w:cs="Times New Roman"/>
                <w:iCs/>
                <w:noProof/>
                <w:sz w:val="20"/>
              </w:rPr>
            </w:pPr>
            <w:r w:rsidRPr="00B44B19">
              <w:rPr>
                <w:rFonts w:eastAsia="Times New Roman" w:cs="Times New Roman"/>
                <w:iCs/>
                <w:noProof/>
                <w:sz w:val="20"/>
              </w:rPr>
              <w:t>SaF</w:t>
            </w:r>
          </w:p>
        </w:tc>
        <w:tc>
          <w:tcPr>
            <w:tcW w:w="1134" w:type="dxa"/>
            <w:tcBorders>
              <w:top w:val="single" w:sz="12" w:space="0" w:color="auto"/>
            </w:tcBorders>
          </w:tcPr>
          <w:p w14:paraId="2EEE8FEF" w14:textId="77777777" w:rsidR="00D90980" w:rsidRPr="00B44B19" w:rsidRDefault="00D90980" w:rsidP="00E438B8">
            <w:pPr>
              <w:rPr>
                <w:rFonts w:eastAsia="Times New Roman" w:cs="Times New Roman"/>
                <w:iCs/>
                <w:noProof/>
                <w:sz w:val="20"/>
              </w:rPr>
            </w:pPr>
            <w:r w:rsidRPr="00B44B19">
              <w:rPr>
                <w:rFonts w:eastAsia="Times New Roman" w:cs="Times New Roman"/>
                <w:iCs/>
                <w:noProof/>
                <w:sz w:val="20"/>
              </w:rPr>
              <w:t>Visa Lietuva</w:t>
            </w:r>
          </w:p>
        </w:tc>
        <w:tc>
          <w:tcPr>
            <w:tcW w:w="1134" w:type="dxa"/>
            <w:tcBorders>
              <w:top w:val="single" w:sz="12" w:space="0" w:color="auto"/>
            </w:tcBorders>
          </w:tcPr>
          <w:p w14:paraId="11149D38" w14:textId="77777777" w:rsidR="00D90980" w:rsidRPr="00B44B19" w:rsidRDefault="00D90980" w:rsidP="00E438B8">
            <w:pPr>
              <w:jc w:val="center"/>
              <w:rPr>
                <w:rFonts w:eastAsia="Times New Roman" w:cs="Times New Roman"/>
                <w:iCs/>
                <w:noProof/>
                <w:sz w:val="20"/>
              </w:rPr>
            </w:pPr>
            <w:r w:rsidRPr="00B44B19">
              <w:rPr>
                <w:rFonts w:eastAsia="Times New Roman" w:cs="Times New Roman"/>
                <w:iCs/>
                <w:noProof/>
                <w:sz w:val="20"/>
              </w:rPr>
              <w:t>2.5</w:t>
            </w:r>
          </w:p>
        </w:tc>
        <w:tc>
          <w:tcPr>
            <w:tcW w:w="3846" w:type="dxa"/>
            <w:tcBorders>
              <w:top w:val="single" w:sz="12" w:space="0" w:color="auto"/>
            </w:tcBorders>
          </w:tcPr>
          <w:p w14:paraId="5EE01534" w14:textId="77777777" w:rsidR="00D90980" w:rsidRPr="00B44B19" w:rsidRDefault="00D90980" w:rsidP="0015773B">
            <w:pPr>
              <w:rPr>
                <w:rFonts w:eastAsia="Times New Roman" w:cs="Times New Roman"/>
                <w:iCs/>
                <w:noProof/>
                <w:sz w:val="20"/>
              </w:rPr>
            </w:pPr>
            <w:r w:rsidRPr="00B44B19">
              <w:rPr>
                <w:rFonts w:eastAsia="Times New Roman" w:cs="Times New Roman"/>
                <w:iCs/>
                <w:noProof/>
                <w:sz w:val="20"/>
              </w:rPr>
              <w:t xml:space="preserve">03 </w:t>
            </w:r>
            <w:r w:rsidR="0015773B" w:rsidRPr="00B44B19">
              <w:rPr>
                <w:rFonts w:eastAsia="Times New Roman" w:cs="Times New Roman"/>
                <w:iCs/>
                <w:noProof/>
                <w:sz w:val="20"/>
              </w:rPr>
              <w:t>–</w:t>
            </w:r>
            <w:r w:rsidRPr="00B44B19">
              <w:rPr>
                <w:rFonts w:eastAsia="Times New Roman" w:cs="Times New Roman"/>
                <w:iCs/>
                <w:noProof/>
                <w:sz w:val="20"/>
              </w:rPr>
              <w:t xml:space="preserve"> Neutralumas lyties požiūriu</w:t>
            </w:r>
          </w:p>
        </w:tc>
        <w:tc>
          <w:tcPr>
            <w:tcW w:w="1559" w:type="dxa"/>
            <w:tcBorders>
              <w:top w:val="single" w:sz="12" w:space="0" w:color="auto"/>
            </w:tcBorders>
          </w:tcPr>
          <w:p w14:paraId="559A5E01" w14:textId="3927F358" w:rsidR="00D90980" w:rsidRPr="00B44B19" w:rsidRDefault="000F56FE" w:rsidP="000F56FE">
            <w:pPr>
              <w:jc w:val="right"/>
              <w:rPr>
                <w:rFonts w:eastAsia="Times New Roman" w:cs="Times New Roman"/>
                <w:iCs/>
                <w:noProof/>
                <w:sz w:val="20"/>
              </w:rPr>
            </w:pPr>
            <w:r w:rsidRPr="00B44B19">
              <w:rPr>
                <w:rFonts w:cs="Times New Roman"/>
                <w:color w:val="000000"/>
                <w:sz w:val="20"/>
                <w:szCs w:val="20"/>
              </w:rPr>
              <w:t>135 700 000</w:t>
            </w:r>
            <w:r w:rsidR="00D90980" w:rsidRPr="00B44B19">
              <w:rPr>
                <w:rFonts w:eastAsia="Times New Roman" w:cs="Times New Roman"/>
                <w:iCs/>
                <w:noProof/>
                <w:sz w:val="20"/>
              </w:rPr>
              <w:t>,00</w:t>
            </w:r>
          </w:p>
        </w:tc>
      </w:tr>
    </w:tbl>
    <w:p w14:paraId="30136046" w14:textId="77777777" w:rsidR="00FE2852" w:rsidRPr="00B44B19" w:rsidRDefault="00FE2852" w:rsidP="00D456C1">
      <w:pPr>
        <w:pStyle w:val="Antrat2"/>
      </w:pPr>
      <w:bookmarkStart w:id="29" w:name="_Toc223435420"/>
      <w:r w:rsidRPr="00B44B19">
        <w:t xml:space="preserve">Konkretus uždavinys – 2.6. </w:t>
      </w:r>
      <w:r w:rsidR="00A36BCF" w:rsidRPr="00B44B19">
        <w:rPr>
          <w:lang w:bidi="lt-LT"/>
        </w:rPr>
        <w:t>Skatinti perėjimą prie žiedinės ir efektyvaus išteklių naudojimo ekonomikos</w:t>
      </w:r>
      <w:bookmarkEnd w:id="29"/>
    </w:p>
    <w:p w14:paraId="726131F2" w14:textId="77777777" w:rsidR="00FE2852" w:rsidRPr="00B44B19" w:rsidRDefault="00FE2852" w:rsidP="001E5B12">
      <w:pPr>
        <w:pStyle w:val="Stilius1"/>
        <w:rPr>
          <w:rFonts w:cs="Times New Roman"/>
        </w:rPr>
      </w:pPr>
      <w:r w:rsidRPr="00B44B19">
        <w:rPr>
          <w:rFonts w:cs="Times New Roman"/>
        </w:rPr>
        <w:t xml:space="preserve">Įgyvendinamos veiklos </w:t>
      </w:r>
    </w:p>
    <w:tbl>
      <w:tblPr>
        <w:tblStyle w:val="Lentelstinklelis2"/>
        <w:tblW w:w="0" w:type="auto"/>
        <w:tblLook w:val="04A0" w:firstRow="1" w:lastRow="0" w:firstColumn="1" w:lastColumn="0" w:noHBand="0" w:noVBand="1"/>
      </w:tblPr>
      <w:tblGrid>
        <w:gridCol w:w="9628"/>
      </w:tblGrid>
      <w:tr w:rsidR="00FE2852" w:rsidRPr="00B44B19" w14:paraId="4609DB79" w14:textId="77777777" w:rsidTr="00E46C9C">
        <w:tc>
          <w:tcPr>
            <w:tcW w:w="9854" w:type="dxa"/>
          </w:tcPr>
          <w:p w14:paraId="15C60CEC" w14:textId="77777777" w:rsidR="00A055BA" w:rsidRPr="00B44B19" w:rsidRDefault="0015773B" w:rsidP="0095093F">
            <w:pPr>
              <w:autoSpaceDE w:val="0"/>
              <w:autoSpaceDN w:val="0"/>
              <w:adjustRightInd w:val="0"/>
              <w:spacing w:before="60" w:after="60"/>
              <w:jc w:val="both"/>
              <w:rPr>
                <w:rFonts w:ascii="Times New Roman" w:eastAsia="Times New Roman" w:hAnsi="Times New Roman" w:cs="Times New Roman"/>
                <w:bCs/>
                <w:lang w:eastAsia="lt-LT"/>
              </w:rPr>
            </w:pPr>
            <w:r w:rsidRPr="00B44B19">
              <w:rPr>
                <w:rFonts w:ascii="Times New Roman" w:eastAsia="Times New Roman" w:hAnsi="Times New Roman" w:cs="Times New Roman"/>
                <w:bCs/>
                <w:lang w:eastAsia="lt-LT"/>
              </w:rPr>
              <w:t xml:space="preserve">Šis uždavinys prisidės prie sąvartynuose šalinamų atliekų kiekio </w:t>
            </w:r>
            <w:r w:rsidR="00ED7E86" w:rsidRPr="00B44B19">
              <w:rPr>
                <w:rFonts w:ascii="Times New Roman" w:eastAsia="Times New Roman" w:hAnsi="Times New Roman" w:cs="Times New Roman"/>
                <w:bCs/>
                <w:lang w:eastAsia="lt-LT"/>
              </w:rPr>
              <w:t>mažėjimo ir</w:t>
            </w:r>
            <w:r w:rsidRPr="00B44B19">
              <w:rPr>
                <w:rFonts w:ascii="Times New Roman" w:eastAsia="Times New Roman" w:hAnsi="Times New Roman" w:cs="Times New Roman"/>
                <w:bCs/>
                <w:lang w:eastAsia="lt-LT"/>
              </w:rPr>
              <w:t xml:space="preserve"> perdirbamų atliekų kiekio augimo ir aktyvesnio visuomenės įsitraukimo į žiedinės ekonomikos veiklas, siekiant įgyvendinti Valstybiniame atliekų prevencijos ir tvarkymo 2021–2027 m. plane nustatytus strateginių atliekų prevencijos prioritetus, tikslus, uždavinius ir tvarkymo užduotis.</w:t>
            </w:r>
          </w:p>
          <w:p w14:paraId="69EA84E3" w14:textId="77777777" w:rsidR="00A055BA" w:rsidRPr="00B44B19" w:rsidRDefault="00A055BA" w:rsidP="0095093F">
            <w:pPr>
              <w:autoSpaceDE w:val="0"/>
              <w:autoSpaceDN w:val="0"/>
              <w:adjustRightInd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Valstybinės atliekų apskaitos duomenimis, pirminiame šaltinyje </w:t>
            </w:r>
            <w:r w:rsidR="00103E26" w:rsidRPr="00B44B19">
              <w:rPr>
                <w:rStyle w:val="Bodytext1"/>
                <w:rFonts w:ascii="Times New Roman" w:hAnsi="Times New Roman" w:cs="Times New Roman"/>
                <w:lang w:eastAsia="lt-LT" w:bidi="lt-LT"/>
              </w:rPr>
              <w:t>susidariusių</w:t>
            </w:r>
            <w:r w:rsidRPr="00B44B19">
              <w:rPr>
                <w:rFonts w:ascii="Times New Roman" w:eastAsia="Times New Roman" w:hAnsi="Times New Roman" w:cs="Times New Roman"/>
              </w:rPr>
              <w:t xml:space="preserve"> atliekų srautas Lietuvoje 2018 m. sudarė 5,4 mln. </w:t>
            </w:r>
            <w:r w:rsidR="0015773B" w:rsidRPr="00B44B19">
              <w:rPr>
                <w:rFonts w:ascii="Times New Roman" w:eastAsia="Times New Roman" w:hAnsi="Times New Roman" w:cs="Times New Roman"/>
              </w:rPr>
              <w:t>tonų.</w:t>
            </w:r>
            <w:r w:rsidRPr="00B44B19">
              <w:rPr>
                <w:rFonts w:ascii="Times New Roman" w:eastAsia="Times New Roman" w:hAnsi="Times New Roman" w:cs="Times New Roman"/>
              </w:rPr>
              <w:t xml:space="preserve"> 2018 m. didžioji dalis (90 %) atliekų susidarė 5 pagrindiniuose sektoriuose: chemikalų, cheminių produktų, farmacinių preparatų, guminių ir plastikinių gaminių gamybos (39,4 </w:t>
            </w:r>
            <w:r w:rsidR="00ED7E86" w:rsidRPr="00B44B19">
              <w:rPr>
                <w:rFonts w:ascii="Times New Roman" w:eastAsia="Times New Roman" w:hAnsi="Times New Roman" w:cs="Times New Roman"/>
              </w:rPr>
              <w:t xml:space="preserve">%), namų ūkių (25 %), paslaugų </w:t>
            </w:r>
            <w:r w:rsidRPr="00B44B19">
              <w:rPr>
                <w:rFonts w:ascii="Times New Roman" w:eastAsia="Times New Roman" w:hAnsi="Times New Roman" w:cs="Times New Roman"/>
              </w:rPr>
              <w:t xml:space="preserve">(9,5 %), statybų (10,9 %), žemės ūkio, miškininkystės ir žuvininkystės (5,2 %). </w:t>
            </w:r>
          </w:p>
          <w:p w14:paraId="64F8D96C" w14:textId="77777777" w:rsidR="00A055BA" w:rsidRPr="00B44B19" w:rsidRDefault="00103E26"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B44B19">
              <w:rPr>
                <w:rStyle w:val="Bodytext1"/>
                <w:rFonts w:ascii="Times New Roman" w:hAnsi="Times New Roman" w:cs="Times New Roman"/>
                <w:lang w:val="bg-BG" w:eastAsia="bg-BG" w:bidi="bg-BG"/>
              </w:rPr>
              <w:t xml:space="preserve">2019 </w:t>
            </w:r>
            <w:r w:rsidRPr="00B44B19">
              <w:rPr>
                <w:rStyle w:val="Bodytext1"/>
                <w:rFonts w:ascii="Times New Roman" w:hAnsi="Times New Roman" w:cs="Times New Roman"/>
              </w:rPr>
              <w:t xml:space="preserve">m. Lietuvoje surinkta apie </w:t>
            </w:r>
            <w:r w:rsidRPr="00B44B19">
              <w:rPr>
                <w:rStyle w:val="Bodytext1"/>
                <w:rFonts w:ascii="Times New Roman" w:hAnsi="Times New Roman" w:cs="Times New Roman"/>
                <w:lang w:val="bg-BG" w:eastAsia="bg-BG" w:bidi="bg-BG"/>
              </w:rPr>
              <w:t>1,3</w:t>
            </w:r>
            <w:r w:rsidR="009A6535" w:rsidRPr="00B44B19">
              <w:rPr>
                <w:rStyle w:val="Bodytext1"/>
                <w:rFonts w:ascii="Times New Roman" w:hAnsi="Times New Roman" w:cs="Times New Roman"/>
                <w:lang w:eastAsia="bg-BG" w:bidi="bg-BG"/>
              </w:rPr>
              <w:t>2</w:t>
            </w:r>
            <w:r w:rsidRPr="00B44B19">
              <w:rPr>
                <w:rStyle w:val="Bodytext1"/>
                <w:rFonts w:ascii="Times New Roman" w:hAnsi="Times New Roman" w:cs="Times New Roman"/>
                <w:lang w:val="bg-BG" w:eastAsia="bg-BG" w:bidi="bg-BG"/>
              </w:rPr>
              <w:t xml:space="preserve"> </w:t>
            </w:r>
            <w:r w:rsidRPr="00B44B19">
              <w:rPr>
                <w:rStyle w:val="Bodytext1"/>
                <w:rFonts w:ascii="Times New Roman" w:hAnsi="Times New Roman" w:cs="Times New Roman"/>
              </w:rPr>
              <w:t xml:space="preserve">mln. </w:t>
            </w:r>
            <w:r w:rsidRPr="00B44B19">
              <w:rPr>
                <w:rStyle w:val="Bodytext1"/>
                <w:rFonts w:ascii="Times New Roman" w:hAnsi="Times New Roman" w:cs="Times New Roman"/>
                <w:lang w:eastAsia="lt-LT" w:bidi="lt-LT"/>
              </w:rPr>
              <w:t xml:space="preserve">tonų komunalinių atliekų </w:t>
            </w:r>
            <w:r w:rsidR="00A055BA" w:rsidRPr="00B44B19">
              <w:rPr>
                <w:rFonts w:ascii="Times New Roman" w:eastAsia="Times New Roman" w:hAnsi="Times New Roman" w:cs="Times New Roman"/>
              </w:rPr>
              <w:t>(472 kilogramai vienam gyventojui), iš kurių didžiąją dalį vis dar sudaro mišrios komunalinės atliekos – apie 750 tūkst. tonų (57</w:t>
            </w:r>
            <w:r w:rsidR="00D97AC5" w:rsidRPr="00B44B19">
              <w:rPr>
                <w:rFonts w:ascii="Times New Roman" w:eastAsia="Times New Roman" w:hAnsi="Times New Roman" w:cs="Times New Roman"/>
              </w:rPr>
              <w:t> </w:t>
            </w:r>
            <w:r w:rsidR="00A055BA" w:rsidRPr="00B44B19">
              <w:rPr>
                <w:rFonts w:ascii="Times New Roman" w:eastAsia="Times New Roman" w:hAnsi="Times New Roman" w:cs="Times New Roman"/>
              </w:rPr>
              <w:t>%), atskirai surinkta apie 340 tūkst. pakuočių atliekų ir apie 352 tūkst. tonų kitų komunalinių atliekų. Mišrių komunalinių atliekų sraute antrinių žaliavų, įskaitant pak</w:t>
            </w:r>
            <w:r w:rsidR="00D97AC5" w:rsidRPr="00B44B19">
              <w:rPr>
                <w:rFonts w:ascii="Times New Roman" w:eastAsia="Times New Roman" w:hAnsi="Times New Roman" w:cs="Times New Roman"/>
              </w:rPr>
              <w:t xml:space="preserve">uočių atliekas, yra apie </w:t>
            </w:r>
            <w:r w:rsidR="0015773B" w:rsidRPr="00B44B19">
              <w:rPr>
                <w:rFonts w:ascii="Times New Roman" w:eastAsia="Times New Roman" w:hAnsi="Times New Roman" w:cs="Times New Roman"/>
              </w:rPr>
              <w:t>30 %, todėl vienkiemių, sodininkų bendrijų, senamiesčių ir kitų koncentruotų gyvenviečių gyventojams būtina pastatyti nustatytais atstumais reikiamą kiekį antrinių žaliavų surinkimo konteinerių arba taikyti kitas patogias antrinių žaliavų surinkimo priemones, kad būtų atskirai surinkta kuo daugiau pakuočių ir antrinių žaliavų.</w:t>
            </w:r>
            <w:r w:rsidR="00A055BA" w:rsidRPr="00B44B19">
              <w:rPr>
                <w:rFonts w:ascii="Times New Roman" w:eastAsia="Times New Roman" w:hAnsi="Times New Roman" w:cs="Times New Roman"/>
              </w:rPr>
              <w:t xml:space="preserve"> </w:t>
            </w:r>
          </w:p>
          <w:p w14:paraId="39B9DFB9" w14:textId="77777777" w:rsidR="00A055BA" w:rsidRPr="00B44B19" w:rsidRDefault="0015773B"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B44B19">
              <w:rPr>
                <w:rFonts w:ascii="Times New Roman" w:eastAsia="Times New Roman" w:hAnsi="Times New Roman" w:cs="Times New Roman"/>
              </w:rPr>
              <w:lastRenderedPageBreak/>
              <w:t>Nors atliekų susidarymo vengimas / mažinimas yra aukščiausias prioritetas, 2018 m. atliekų susidarymas pirminiame šaltinyje Lietuvoje vidutiniškai augo 2,7 %, iš jų komunalinių atliekų – 4,6 %</w:t>
            </w:r>
            <w:r w:rsidR="002007ED" w:rsidRPr="00B44B19">
              <w:rPr>
                <w:rFonts w:ascii="Times New Roman" w:eastAsia="Times New Roman" w:hAnsi="Times New Roman" w:cs="Times New Roman"/>
              </w:rPr>
              <w:t>,</w:t>
            </w:r>
            <w:r w:rsidRPr="00B44B19">
              <w:rPr>
                <w:rFonts w:ascii="Times New Roman" w:eastAsia="Times New Roman" w:hAnsi="Times New Roman" w:cs="Times New Roman"/>
              </w:rPr>
              <w:t xml:space="preserve"> statybos sektoriu</w:t>
            </w:r>
            <w:r w:rsidR="002007ED" w:rsidRPr="00B44B19">
              <w:rPr>
                <w:rFonts w:ascii="Times New Roman" w:eastAsia="Times New Roman" w:hAnsi="Times New Roman" w:cs="Times New Roman"/>
              </w:rPr>
              <w:t>je</w:t>
            </w:r>
            <w:r w:rsidRPr="00B44B19">
              <w:rPr>
                <w:rFonts w:ascii="Times New Roman" w:eastAsia="Times New Roman" w:hAnsi="Times New Roman" w:cs="Times New Roman"/>
              </w:rPr>
              <w:t xml:space="preserve"> </w:t>
            </w:r>
            <w:r w:rsidR="002007ED" w:rsidRPr="00B44B19">
              <w:rPr>
                <w:rStyle w:val="Bodytext1"/>
                <w:rFonts w:ascii="Times New Roman" w:hAnsi="Times New Roman" w:cs="Times New Roman"/>
                <w:lang w:eastAsia="bg-BG" w:bidi="bg-BG"/>
              </w:rPr>
              <w:t xml:space="preserve">net </w:t>
            </w:r>
            <w:r w:rsidR="00103E26" w:rsidRPr="00B44B19">
              <w:rPr>
                <w:rStyle w:val="Bodytext1"/>
                <w:rFonts w:ascii="Times New Roman" w:hAnsi="Times New Roman" w:cs="Times New Roman"/>
                <w:lang w:val="bg-BG" w:eastAsia="bg-BG" w:bidi="bg-BG"/>
              </w:rPr>
              <w:t>51 %.</w:t>
            </w:r>
            <w:r w:rsidRPr="00B44B19">
              <w:rPr>
                <w:rFonts w:ascii="Times New Roman" w:eastAsia="Times New Roman" w:hAnsi="Times New Roman" w:cs="Times New Roman"/>
              </w:rPr>
              <w:t>. Statistiniai duomenys rodo, kad atliekų prevencijos veiksmai nepakankami skatinant mažesnį atliekų susidarymą apdirbamosios gamybos, statybos sektoriuose ir namų ūkiuose.</w:t>
            </w:r>
          </w:p>
          <w:p w14:paraId="2AC88DBB" w14:textId="77777777" w:rsidR="00A055BA" w:rsidRPr="00B44B19" w:rsidRDefault="00A055BA"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B44B19">
              <w:rPr>
                <w:rFonts w:ascii="Times New Roman" w:eastAsia="Times New Roman" w:hAnsi="Times New Roman" w:cs="Times New Roman"/>
              </w:rPr>
              <w:t xml:space="preserve">Lietuva siekia iki 2030 m. padidinti </w:t>
            </w:r>
            <w:r w:rsidR="0015773B" w:rsidRPr="00B44B19">
              <w:rPr>
                <w:rFonts w:ascii="Times New Roman" w:eastAsia="Times New Roman" w:hAnsi="Times New Roman" w:cs="Times New Roman"/>
              </w:rPr>
              <w:t xml:space="preserve">pakartotinai naudoti </w:t>
            </w:r>
            <w:r w:rsidRPr="00B44B19">
              <w:rPr>
                <w:rFonts w:ascii="Times New Roman" w:eastAsia="Times New Roman" w:hAnsi="Times New Roman" w:cs="Times New Roman"/>
              </w:rPr>
              <w:t xml:space="preserve">paruošiamų ir perdirbamų komunalinių atliekų kiekį iki 60 %, o sąvartynuose šalinamų komunalinių atliekų kiekį sumažinti iki 5 %. Tačiau iš </w:t>
            </w:r>
            <w:r w:rsidR="00103E26" w:rsidRPr="00B44B19">
              <w:rPr>
                <w:rStyle w:val="Bodytext1"/>
                <w:rFonts w:ascii="Times New Roman" w:hAnsi="Times New Roman" w:cs="Times New Roman"/>
                <w:lang w:val="bg-BG" w:eastAsia="bg-BG" w:bidi="bg-BG"/>
              </w:rPr>
              <w:t>20</w:t>
            </w:r>
            <w:r w:rsidR="002007ED" w:rsidRPr="00B44B19">
              <w:rPr>
                <w:rStyle w:val="Bodytext1"/>
                <w:rFonts w:ascii="Times New Roman" w:hAnsi="Times New Roman" w:cs="Times New Roman"/>
                <w:lang w:eastAsia="bg-BG" w:bidi="bg-BG"/>
              </w:rPr>
              <w:t>20</w:t>
            </w:r>
            <w:r w:rsidR="00103E26" w:rsidRPr="00B44B19">
              <w:rPr>
                <w:rStyle w:val="Bodytext1"/>
                <w:rFonts w:ascii="Times New Roman" w:hAnsi="Times New Roman" w:cs="Times New Roman"/>
                <w:lang w:val="bg-BG" w:eastAsia="bg-BG" w:bidi="bg-BG"/>
              </w:rPr>
              <w:t xml:space="preserve"> </w:t>
            </w:r>
            <w:r w:rsidR="00103E26" w:rsidRPr="00B44B19">
              <w:rPr>
                <w:rStyle w:val="Bodytext1"/>
                <w:rFonts w:ascii="Times New Roman" w:hAnsi="Times New Roman" w:cs="Times New Roman"/>
              </w:rPr>
              <w:t xml:space="preserve">m. </w:t>
            </w:r>
            <w:r w:rsidRPr="00B44B19">
              <w:rPr>
                <w:rFonts w:ascii="Times New Roman" w:eastAsia="Times New Roman" w:hAnsi="Times New Roman" w:cs="Times New Roman"/>
              </w:rPr>
              <w:t>Lietuvoje susidariusių 1,3</w:t>
            </w:r>
            <w:r w:rsidR="009A6535" w:rsidRPr="00B44B19">
              <w:rPr>
                <w:rFonts w:ascii="Times New Roman" w:eastAsia="Times New Roman" w:hAnsi="Times New Roman" w:cs="Times New Roman"/>
              </w:rPr>
              <w:t>5</w:t>
            </w:r>
            <w:r w:rsidRPr="00B44B19">
              <w:rPr>
                <w:rFonts w:ascii="Times New Roman" w:eastAsia="Times New Roman" w:hAnsi="Times New Roman" w:cs="Times New Roman"/>
              </w:rPr>
              <w:t xml:space="preserve"> mln. </w:t>
            </w:r>
            <w:r w:rsidR="0015773B" w:rsidRPr="00B44B19">
              <w:rPr>
                <w:rFonts w:ascii="Times New Roman" w:eastAsia="Times New Roman" w:hAnsi="Times New Roman" w:cs="Times New Roman"/>
              </w:rPr>
              <w:t>tonų</w:t>
            </w:r>
            <w:r w:rsidRPr="00B44B19">
              <w:rPr>
                <w:rFonts w:ascii="Times New Roman" w:eastAsia="Times New Roman" w:hAnsi="Times New Roman" w:cs="Times New Roman"/>
              </w:rPr>
              <w:t xml:space="preserve"> komunalinių atliekų tik </w:t>
            </w:r>
            <w:r w:rsidR="002007ED" w:rsidRPr="00B44B19">
              <w:rPr>
                <w:rFonts w:ascii="Times New Roman" w:eastAsia="Times New Roman" w:hAnsi="Times New Roman" w:cs="Times New Roman"/>
              </w:rPr>
              <w:t>24,4</w:t>
            </w:r>
            <w:r w:rsidRPr="00B44B19">
              <w:rPr>
                <w:rFonts w:ascii="Times New Roman" w:eastAsia="Times New Roman" w:hAnsi="Times New Roman" w:cs="Times New Roman"/>
              </w:rPr>
              <w:t> % perd</w:t>
            </w:r>
            <w:r w:rsidR="0015773B" w:rsidRPr="00B44B19">
              <w:rPr>
                <w:rFonts w:ascii="Times New Roman" w:eastAsia="Times New Roman" w:hAnsi="Times New Roman" w:cs="Times New Roman"/>
              </w:rPr>
              <w:t>irbta</w:t>
            </w:r>
            <w:r w:rsidR="002007ED" w:rsidRPr="00B44B19">
              <w:rPr>
                <w:rFonts w:ascii="Times New Roman" w:eastAsia="Times New Roman" w:hAnsi="Times New Roman" w:cs="Times New Roman"/>
              </w:rPr>
              <w:t>,</w:t>
            </w:r>
            <w:r w:rsidR="0015773B" w:rsidRPr="00B44B19">
              <w:rPr>
                <w:rFonts w:ascii="Times New Roman" w:eastAsia="Times New Roman" w:hAnsi="Times New Roman" w:cs="Times New Roman"/>
              </w:rPr>
              <w:t xml:space="preserve"> </w:t>
            </w:r>
            <w:r w:rsidR="002007ED" w:rsidRPr="00B44B19">
              <w:rPr>
                <w:rFonts w:ascii="Times New Roman" w:eastAsia="Times New Roman" w:hAnsi="Times New Roman" w:cs="Times New Roman"/>
              </w:rPr>
              <w:t>20,7</w:t>
            </w:r>
            <w:r w:rsidRPr="00B44B19">
              <w:rPr>
                <w:rFonts w:ascii="Times New Roman" w:eastAsia="Times New Roman" w:hAnsi="Times New Roman" w:cs="Times New Roman"/>
              </w:rPr>
              <w:t xml:space="preserve"> % sukompostuota, </w:t>
            </w:r>
            <w:r w:rsidR="002007ED" w:rsidRPr="00B44B19">
              <w:rPr>
                <w:rFonts w:ascii="Times New Roman" w:eastAsia="Times New Roman" w:hAnsi="Times New Roman" w:cs="Times New Roman"/>
              </w:rPr>
              <w:t>25,83</w:t>
            </w:r>
            <w:r w:rsidRPr="00B44B19">
              <w:rPr>
                <w:rFonts w:ascii="Times New Roman" w:eastAsia="Times New Roman" w:hAnsi="Times New Roman" w:cs="Times New Roman"/>
              </w:rPr>
              <w:t xml:space="preserve"> % panaudota energijai gauti, o </w:t>
            </w:r>
            <w:r w:rsidR="002007ED" w:rsidRPr="00B44B19">
              <w:rPr>
                <w:rFonts w:ascii="Times New Roman" w:eastAsia="Times New Roman" w:hAnsi="Times New Roman" w:cs="Times New Roman"/>
              </w:rPr>
              <w:t>17,9</w:t>
            </w:r>
            <w:r w:rsidRPr="00B44B19">
              <w:rPr>
                <w:rFonts w:ascii="Times New Roman" w:eastAsia="Times New Roman" w:hAnsi="Times New Roman" w:cs="Times New Roman"/>
              </w:rPr>
              <w:t xml:space="preserve"> % pašalinta sąvartyne. </w:t>
            </w:r>
            <w:r w:rsidR="00AF1C14" w:rsidRPr="00B44B19">
              <w:rPr>
                <w:rFonts w:ascii="Times New Roman" w:eastAsia="Times New Roman" w:hAnsi="Times New Roman" w:cs="Times New Roman"/>
              </w:rPr>
              <w:t xml:space="preserve">Lietuvoje 2019 m. surinkta 13,5 tūkst. tonų tekstilės atliekų (iš </w:t>
            </w:r>
            <w:r w:rsidR="00A27249" w:rsidRPr="00B44B19">
              <w:rPr>
                <w:rFonts w:ascii="Times New Roman" w:eastAsia="Times New Roman" w:hAnsi="Times New Roman" w:cs="Times New Roman"/>
              </w:rPr>
              <w:t>jų</w:t>
            </w:r>
            <w:r w:rsidR="00AF1C14" w:rsidRPr="00B44B19">
              <w:rPr>
                <w:rFonts w:ascii="Times New Roman" w:eastAsia="Times New Roman" w:hAnsi="Times New Roman" w:cs="Times New Roman"/>
              </w:rPr>
              <w:t xml:space="preserve"> 8,8</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perdirbta, 4,6</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išvežta</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ek</w:t>
            </w:r>
            <w:r w:rsidR="00A27249" w:rsidRPr="00B44B19">
              <w:rPr>
                <w:rFonts w:ascii="Times New Roman" w:eastAsia="Times New Roman" w:hAnsi="Times New Roman" w:cs="Times New Roman"/>
              </w:rPr>
              <w:t>sportuota), o vidaus rinkai</w:t>
            </w:r>
            <w:r w:rsidR="00AF1C14" w:rsidRPr="00B44B19">
              <w:rPr>
                <w:rFonts w:ascii="Times New Roman" w:eastAsia="Times New Roman" w:hAnsi="Times New Roman" w:cs="Times New Roman"/>
              </w:rPr>
              <w:t xml:space="preserve"> patiekta 377 tūkst. tonų gaminiais pripildytų </w:t>
            </w:r>
            <w:r w:rsidR="00A27249" w:rsidRPr="00B44B19">
              <w:rPr>
                <w:rFonts w:ascii="Times New Roman" w:eastAsia="Times New Roman" w:hAnsi="Times New Roman" w:cs="Times New Roman"/>
              </w:rPr>
              <w:t xml:space="preserve">pakuočių (iš jų 39,7 % perdirbta, 24,8 % išvežta / eksportuota perdirbti </w:t>
            </w:r>
            <w:r w:rsidR="00AF1C14" w:rsidRPr="00B44B19">
              <w:rPr>
                <w:rFonts w:ascii="Times New Roman" w:eastAsia="Times New Roman" w:hAnsi="Times New Roman" w:cs="Times New Roman"/>
              </w:rPr>
              <w:t>(stiklinės pakuotės: tiekta rinkai 73,4 tūkst. tonų, iš jų 32,8</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perdirbta, 24,6</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išvežta</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eksportuota; plastikinės pakuotės: tiekta rinkai 83,2 tūkst. tonų, iš jų 36,3</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perdirbta, 37,5</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išvežta</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eksportuota; popierinės / kartoninės pakuotės: tiekta rinkai 124,7 tūkst. tonų, iš jų 52,9</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perdirbta, 29,3</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išvežta</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eksportuota; metalinės pakuotės: tiekta rinkai 18 tūkst. tonų, iš jų 57,3</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perdirbta, 25,4</w:t>
            </w:r>
            <w:r w:rsidR="00137CFE" w:rsidRPr="00B44B19">
              <w:rPr>
                <w:rFonts w:ascii="Times New Roman" w:eastAsia="Times New Roman" w:hAnsi="Times New Roman" w:cs="Times New Roman"/>
              </w:rPr>
              <w:t> </w:t>
            </w:r>
            <w:r w:rsidR="00AF1C14" w:rsidRPr="00B44B19">
              <w:rPr>
                <w:rFonts w:ascii="Times New Roman" w:eastAsia="Times New Roman" w:hAnsi="Times New Roman" w:cs="Times New Roman"/>
              </w:rPr>
              <w:t>% išvežta</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w:t>
            </w:r>
            <w:r w:rsidR="00A27249" w:rsidRPr="00B44B19">
              <w:rPr>
                <w:rFonts w:ascii="Times New Roman" w:eastAsia="Times New Roman" w:hAnsi="Times New Roman" w:cs="Times New Roman"/>
              </w:rPr>
              <w:t xml:space="preserve"> </w:t>
            </w:r>
            <w:r w:rsidR="00AF1C14" w:rsidRPr="00B44B19">
              <w:rPr>
                <w:rFonts w:ascii="Times New Roman" w:eastAsia="Times New Roman" w:hAnsi="Times New Roman" w:cs="Times New Roman"/>
              </w:rPr>
              <w:t>eksportuota; medinės pakuotės: tiekta rinkai 70,1 tūkst. tonų, iš</w:t>
            </w:r>
            <w:r w:rsidR="00137CFE" w:rsidRPr="00B44B19">
              <w:rPr>
                <w:rFonts w:ascii="Times New Roman" w:eastAsia="Times New Roman" w:hAnsi="Times New Roman" w:cs="Times New Roman"/>
              </w:rPr>
              <w:t xml:space="preserve"> jų 24,5 % perdirbta, 4,4 </w:t>
            </w:r>
            <w:r w:rsidR="00AF1C14" w:rsidRPr="00B44B19">
              <w:rPr>
                <w:rFonts w:ascii="Times New Roman" w:eastAsia="Times New Roman" w:hAnsi="Times New Roman" w:cs="Times New Roman"/>
              </w:rPr>
              <w:t xml:space="preserve">% išvežta/eksportuota). </w:t>
            </w:r>
            <w:r w:rsidR="00A27249" w:rsidRPr="00B44B19">
              <w:rPr>
                <w:rFonts w:ascii="Times New Roman" w:eastAsia="Times New Roman" w:hAnsi="Times New Roman" w:cs="Times New Roman"/>
              </w:rPr>
              <w:t xml:space="preserve">Siekiama, kad </w:t>
            </w:r>
            <w:r w:rsidRPr="00B44B19">
              <w:rPr>
                <w:rFonts w:ascii="Times New Roman" w:eastAsia="Times New Roman" w:hAnsi="Times New Roman" w:cs="Times New Roman"/>
              </w:rPr>
              <w:t>i</w:t>
            </w:r>
            <w:r w:rsidR="00D97AC5" w:rsidRPr="00B44B19">
              <w:rPr>
                <w:rFonts w:ascii="Times New Roman" w:eastAsia="Times New Roman" w:hAnsi="Times New Roman" w:cs="Times New Roman"/>
              </w:rPr>
              <w:t>ki 2030 m. mažiausiai 70 %</w:t>
            </w:r>
            <w:r w:rsidRPr="00B44B19">
              <w:rPr>
                <w:rFonts w:ascii="Times New Roman" w:eastAsia="Times New Roman" w:hAnsi="Times New Roman" w:cs="Times New Roman"/>
              </w:rPr>
              <w:t xml:space="preserve"> visų pakuočių atliekų </w:t>
            </w:r>
            <w:r w:rsidR="00A27249" w:rsidRPr="00B44B19">
              <w:rPr>
                <w:rFonts w:ascii="Times New Roman" w:eastAsia="Times New Roman" w:hAnsi="Times New Roman" w:cs="Times New Roman"/>
              </w:rPr>
              <w:t>(pagal svorį) būtų perdirbtos</w:t>
            </w:r>
            <w:r w:rsidRPr="00B44B19">
              <w:rPr>
                <w:rFonts w:ascii="Times New Roman" w:eastAsia="Times New Roman" w:hAnsi="Times New Roman" w:cs="Times New Roman"/>
              </w:rPr>
              <w:t>.</w:t>
            </w:r>
          </w:p>
          <w:p w14:paraId="6AF20A62" w14:textId="77777777" w:rsidR="00A055BA" w:rsidRPr="00B44B19" w:rsidRDefault="00A055BA"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B44B19">
              <w:rPr>
                <w:rFonts w:ascii="Times New Roman" w:eastAsia="Times New Roman" w:hAnsi="Times New Roman" w:cs="Times New Roman"/>
              </w:rPr>
              <w:t xml:space="preserve">Technologinis atsilikimas būdingas visam atliekų perdirbimo </w:t>
            </w:r>
            <w:r w:rsidR="00ED7E86" w:rsidRPr="00B44B19">
              <w:rPr>
                <w:rFonts w:ascii="Times New Roman" w:eastAsia="Times New Roman" w:hAnsi="Times New Roman" w:cs="Times New Roman"/>
              </w:rPr>
              <w:t>sektoriui. Privataus</w:t>
            </w:r>
            <w:r w:rsidRPr="00B44B19">
              <w:rPr>
                <w:rFonts w:ascii="Times New Roman" w:eastAsia="Times New Roman" w:hAnsi="Times New Roman" w:cs="Times New Roman"/>
              </w:rPr>
              <w:t xml:space="preserve"> sektoriaus antrinių žaliavų mechaninio apdorojimo įrenginiai Lietuvoje technologiniu požiūriu pasenę arba neseniai įrengti pritaikius jau panaudotą rūšiavimo įrangą, todėl dėl neefektyvaus rūšiavimo surinktų antrinių žaliavų potencialas neišnaudojamas. </w:t>
            </w:r>
            <w:r w:rsidR="00A27249" w:rsidRPr="00B44B19">
              <w:rPr>
                <w:rFonts w:ascii="Times New Roman" w:eastAsia="Times New Roman" w:hAnsi="Times New Roman" w:cs="Times New Roman"/>
              </w:rPr>
              <w:t>Kai kuriems atliekų srautams (pvz., tekstilės, tam tikro plastiko, kombinuotų pakuočių) perdirbti Lietuvoje trūksta ne tik pažangių technologinių sprendimų, bet ir pajėgumų.</w:t>
            </w:r>
          </w:p>
          <w:p w14:paraId="62854E6E" w14:textId="77777777" w:rsidR="00A055BA" w:rsidRPr="00B44B19"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B44B19">
              <w:rPr>
                <w:rFonts w:ascii="Times New Roman" w:eastAsia="Times New Roman" w:hAnsi="Times New Roman" w:cs="Times New Roman"/>
              </w:rPr>
              <w:t>Siekiant statybų sektoriaus atliekų prevencijos, projektuojant statinius ir jiems pagal paskirtį artimus užstatytos aplinkos objektus, svarbu išspręsti visus projektinių sprendinių variantų analizės uždavinius. Tam reikia sumodeliuoti visą statinio gyvavimo ciklą (SGC), įvertinti statinių statybinių medžiagų tvarumo savybes, ilgaamžiškumą, rekonstravimo, remonto ar griovimo metu susidariusių atliekų antrinio panaudojimo ir perdirbimo galimybes, poveikį aplinkai, klimato kaitai ir žmonių sveikatai. Būtinas sisteminis (kompleksinis) požiūris į visas su atliekomis ir statyba susijusias sritis, tad svarbu sukurti standartizuotų duomenų informacinę sistemą statinio gyvavimo ciklui modeliuoti.</w:t>
            </w:r>
          </w:p>
          <w:p w14:paraId="2F1EC37B" w14:textId="22E16F78" w:rsidR="00A055BA" w:rsidRPr="00B44B19" w:rsidRDefault="003667D1" w:rsidP="0095093F">
            <w:pPr>
              <w:suppressAutoHyphens/>
              <w:autoSpaceDE w:val="0"/>
              <w:autoSpaceDN w:val="0"/>
              <w:adjustRightInd w:val="0"/>
              <w:spacing w:before="60" w:after="60"/>
              <w:jc w:val="both"/>
              <w:textAlignment w:val="center"/>
              <w:rPr>
                <w:rFonts w:ascii="Times New Roman" w:eastAsia="Times New Roman" w:hAnsi="Times New Roman" w:cs="Times New Roman"/>
                <w:bCs/>
                <w:lang w:eastAsia="lt-LT"/>
              </w:rPr>
            </w:pPr>
            <w:r w:rsidRPr="00B44B19">
              <w:rPr>
                <w:rFonts w:ascii="Times New Roman" w:eastAsia="Times New Roman" w:hAnsi="Times New Roman" w:cs="Times New Roman"/>
              </w:rPr>
              <w:t>Vadovaujantis atliekų hierarchija,</w:t>
            </w:r>
            <w:r w:rsidR="00A27249" w:rsidRPr="00B44B19">
              <w:rPr>
                <w:rFonts w:ascii="Times New Roman" w:eastAsia="Times New Roman" w:hAnsi="Times New Roman" w:cs="Times New Roman"/>
                <w:bCs/>
                <w:lang w:eastAsia="lt-LT"/>
              </w:rPr>
              <w:t xml:space="preserve"> būtina užtikrinti efektyvų sukurtos komunalinių atliekų tvarkymo sistemos veikimą, plėtoti atliekų rūšiuojamąjį surinkimą, atliekų paruošimą perdirbti, perdirbimo (įskaitant kompostavimo) pajėgumus, ypatingą dėmesį skirti atliekų prevencijai.</w:t>
            </w:r>
          </w:p>
          <w:p w14:paraId="4A3E0047" w14:textId="77777777" w:rsidR="00A055BA" w:rsidRPr="00B44B19" w:rsidRDefault="00A27249"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color w:val="000000"/>
              </w:rPr>
              <w:t>Investicijos į ITI prisidės siekiant teritorinių strateginių tikslų – stiprins vietos ekonominį potencialą kartu su 5.1 ir 5.2 uždavinių veiklomis, skirtomis žiedinei ekonomikai skatinti, viešajai infrastruktūrai valdyti ir naudoti.</w:t>
            </w:r>
          </w:p>
          <w:p w14:paraId="479D7F48" w14:textId="77777777" w:rsidR="00A055BA" w:rsidRPr="00B44B19" w:rsidRDefault="00A27249" w:rsidP="0095093F">
            <w:pPr>
              <w:suppressAutoHyphens/>
              <w:autoSpaceDE w:val="0"/>
              <w:autoSpaceDN w:val="0"/>
              <w:adjustRightInd w:val="0"/>
              <w:spacing w:before="60" w:after="60"/>
              <w:jc w:val="both"/>
              <w:textAlignment w:val="center"/>
              <w:rPr>
                <w:rFonts w:ascii="Times New Roman" w:eastAsia="Times New Roman" w:hAnsi="Times New Roman" w:cs="Times New Roman"/>
              </w:rPr>
            </w:pPr>
            <w:r w:rsidRPr="00B44B19">
              <w:rPr>
                <w:rFonts w:ascii="Times New Roman" w:eastAsia="Times New Roman" w:hAnsi="Times New Roman" w:cs="Times New Roman"/>
              </w:rPr>
              <w:t>2014–2020 m. ES investicijos buvo nukreiptos į atliekų surinkimo ir tvarkymo savivaldybėse priemones ir atliekų deginimo pajėgumų sukūrimą. 2021–2027 m. didesnis dėmesys bus skiriamas žiedinei ekonomikai, infrastruktūros kūrimui ir visuomenės išteklių vartojimo sąmoningumui didinti.</w:t>
            </w:r>
          </w:p>
          <w:p w14:paraId="0028BEAF" w14:textId="77777777" w:rsidR="00A055BA" w:rsidRPr="00B44B19" w:rsidRDefault="00A055BA"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Veiksmų rūšys, siekiant mažinti sąvartynuose šalinamų komunalinių atliekų </w:t>
            </w:r>
            <w:r w:rsidR="00ED7E86" w:rsidRPr="00B44B19">
              <w:rPr>
                <w:rFonts w:ascii="Times New Roman" w:eastAsia="Times New Roman" w:hAnsi="Times New Roman" w:cs="Times New Roman"/>
              </w:rPr>
              <w:t xml:space="preserve">kiekį ir </w:t>
            </w:r>
            <w:r w:rsidRPr="00B44B19">
              <w:rPr>
                <w:rFonts w:ascii="Times New Roman" w:eastAsia="Times New Roman" w:hAnsi="Times New Roman" w:cs="Times New Roman"/>
              </w:rPr>
              <w:t>perdirbti kuo daugiau atliekų:</w:t>
            </w:r>
          </w:p>
          <w:p w14:paraId="3627E4AA" w14:textId="77777777" w:rsidR="00A055BA" w:rsidRPr="00B44B19" w:rsidRDefault="00A055BA" w:rsidP="0095093F">
            <w:pPr>
              <w:spacing w:before="60" w:after="60"/>
              <w:jc w:val="both"/>
              <w:rPr>
                <w:rFonts w:ascii="Times New Roman" w:eastAsia="Times New Roman" w:hAnsi="Times New Roman" w:cs="Times New Roman"/>
                <w:kern w:val="24"/>
              </w:rPr>
            </w:pPr>
            <w:r w:rsidRPr="00B44B19">
              <w:rPr>
                <w:rFonts w:ascii="Times New Roman" w:eastAsia="Times New Roman" w:hAnsi="Times New Roman" w:cs="Times New Roman"/>
                <w:b/>
              </w:rPr>
              <w:t>Didinti komunalinių atliekų rūšiuojamojo surinkimo pajėgumus</w:t>
            </w:r>
            <w:r w:rsidRPr="00B44B19">
              <w:rPr>
                <w:rFonts w:ascii="Times New Roman" w:eastAsia="Times New Roman" w:hAnsi="Times New Roman" w:cs="Times New Roman"/>
              </w:rPr>
              <w:t>:</w:t>
            </w:r>
            <w:r w:rsidRPr="00B44B19">
              <w:rPr>
                <w:rFonts w:ascii="Times New Roman" w:eastAsia="Times New Roman" w:hAnsi="Times New Roman" w:cs="Times New Roman"/>
                <w:kern w:val="24"/>
              </w:rPr>
              <w:t xml:space="preserve"> Lietuva planuoja tęsti komunalinių atliekų rūšiuojamojo atliekų surinkimo pajėgumų plėtrą, prioritetą skiriant tekstilės, </w:t>
            </w:r>
            <w:r w:rsidR="00A27249" w:rsidRPr="00B44B19">
              <w:rPr>
                <w:rFonts w:ascii="Times New Roman" w:eastAsia="Times New Roman" w:hAnsi="Times New Roman" w:cs="Times New Roman"/>
                <w:kern w:val="24"/>
              </w:rPr>
              <w:t xml:space="preserve">maisto ir pavojingoms </w:t>
            </w:r>
            <w:r w:rsidRPr="00B44B19">
              <w:rPr>
                <w:rFonts w:ascii="Times New Roman" w:eastAsia="Times New Roman" w:hAnsi="Times New Roman" w:cs="Times New Roman"/>
                <w:kern w:val="24"/>
              </w:rPr>
              <w:t xml:space="preserve">atliekoms, plėtoti didelių gabaritų atliekų surinkimo </w:t>
            </w:r>
            <w:r w:rsidR="00ED7E86" w:rsidRPr="00B44B19">
              <w:rPr>
                <w:rFonts w:ascii="Times New Roman" w:eastAsia="Times New Roman" w:hAnsi="Times New Roman" w:cs="Times New Roman"/>
                <w:kern w:val="24"/>
              </w:rPr>
              <w:t>aikštelių tinklą</w:t>
            </w:r>
            <w:r w:rsidRPr="00B44B19">
              <w:rPr>
                <w:rFonts w:ascii="Times New Roman" w:eastAsia="Times New Roman" w:hAnsi="Times New Roman" w:cs="Times New Roman"/>
                <w:kern w:val="24"/>
              </w:rPr>
              <w:t xml:space="preserve">, taip pat atliekų, tinkamų </w:t>
            </w:r>
            <w:r w:rsidR="00A27249" w:rsidRPr="00B44B19">
              <w:rPr>
                <w:rFonts w:ascii="Times New Roman" w:eastAsia="Times New Roman" w:hAnsi="Times New Roman" w:cs="Times New Roman"/>
                <w:kern w:val="24"/>
              </w:rPr>
              <w:t xml:space="preserve">paruošti pakartotinai naudoti, </w:t>
            </w:r>
            <w:r w:rsidR="00ED7E86" w:rsidRPr="00B44B19">
              <w:rPr>
                <w:rFonts w:ascii="Times New Roman" w:eastAsia="Times New Roman" w:hAnsi="Times New Roman" w:cs="Times New Roman"/>
                <w:kern w:val="24"/>
              </w:rPr>
              <w:t>surinkimo vietų</w:t>
            </w:r>
            <w:r w:rsidR="00A27249" w:rsidRPr="00B44B19">
              <w:rPr>
                <w:rFonts w:ascii="Times New Roman" w:eastAsia="Times New Roman" w:hAnsi="Times New Roman" w:cs="Times New Roman"/>
                <w:kern w:val="24"/>
              </w:rPr>
              <w:t xml:space="preserve"> (stotelių) tinklą arčiau atliekų susidarymo vietų.</w:t>
            </w:r>
            <w:r w:rsidRPr="00B44B19">
              <w:rPr>
                <w:rFonts w:ascii="Times New Roman" w:eastAsia="Times New Roman" w:hAnsi="Times New Roman" w:cs="Times New Roman"/>
                <w:kern w:val="24"/>
              </w:rPr>
              <w:t xml:space="preserve"> </w:t>
            </w:r>
            <w:r w:rsidR="00ED7E86" w:rsidRPr="00B44B19">
              <w:rPr>
                <w:rFonts w:ascii="Times New Roman" w:eastAsia="Times New Roman" w:hAnsi="Times New Roman" w:cs="Times New Roman"/>
                <w:kern w:val="24"/>
              </w:rPr>
              <w:t>Taip pat numatoma</w:t>
            </w:r>
            <w:r w:rsidR="00ED7E86" w:rsidRPr="00B44B19">
              <w:rPr>
                <w:rFonts w:ascii="Times New Roman" w:eastAsia="Times New Roman" w:hAnsi="Times New Roman" w:cs="Times New Roman"/>
              </w:rPr>
              <w:t xml:space="preserve"> regioniniu lygmeniu organizuoti įvairias viešinimo kampanijas, siekiant skatinti namų ūkius rūšiuoti.</w:t>
            </w:r>
            <w:r w:rsidR="00ED7E86" w:rsidRPr="00B44B19">
              <w:rPr>
                <w:rFonts w:ascii="Times New Roman" w:eastAsia="Times New Roman" w:hAnsi="Times New Roman" w:cs="Times New Roman"/>
                <w:kern w:val="24"/>
              </w:rPr>
              <w:t xml:space="preserve"> </w:t>
            </w:r>
            <w:r w:rsidRPr="00B44B19">
              <w:rPr>
                <w:rFonts w:ascii="Times New Roman" w:eastAsia="Times New Roman" w:hAnsi="Times New Roman" w:cs="Times New Roman"/>
                <w:kern w:val="24"/>
              </w:rPr>
              <w:t>Veikla įgyvendinama visoje Lietuvoje.</w:t>
            </w:r>
          </w:p>
          <w:p w14:paraId="337C243A" w14:textId="3C04C0BF" w:rsidR="00A055BA" w:rsidRPr="00B44B19" w:rsidRDefault="00A055BA" w:rsidP="0095093F">
            <w:pPr>
              <w:spacing w:before="60" w:after="60"/>
              <w:jc w:val="both"/>
              <w:rPr>
                <w:rFonts w:ascii="Times New Roman" w:eastAsia="Times New Roman" w:hAnsi="Times New Roman" w:cs="Times New Roman"/>
                <w:color w:val="000000" w:themeColor="text1"/>
              </w:rPr>
            </w:pPr>
            <w:r w:rsidRPr="00B44B19">
              <w:rPr>
                <w:rFonts w:ascii="Times New Roman" w:eastAsia="Times New Roman" w:hAnsi="Times New Roman" w:cs="Times New Roman"/>
                <w:b/>
                <w:kern w:val="24"/>
              </w:rPr>
              <w:t>Plėtoti atliekų paruošimo perdirbti ir perdirbimo pajėgumus</w:t>
            </w:r>
            <w:r w:rsidR="00A27249" w:rsidRPr="00B44B19">
              <w:rPr>
                <w:rFonts w:ascii="Times New Roman" w:eastAsia="Times New Roman" w:hAnsi="Times New Roman" w:cs="Times New Roman"/>
                <w:kern w:val="24"/>
              </w:rPr>
              <w:t xml:space="preserve">: </w:t>
            </w:r>
            <w:r w:rsidR="00ED7E86" w:rsidRPr="00B44B19">
              <w:rPr>
                <w:rFonts w:ascii="Times New Roman" w:eastAsia="Times New Roman" w:hAnsi="Times New Roman" w:cs="Times New Roman"/>
                <w:kern w:val="24"/>
              </w:rPr>
              <w:t xml:space="preserve">numatoma skirti prioritetą tekstilės, baldų, plastiko, kombinuotų pakuočių, biologinių, elektros ir elektroninės įrangos atliekų paruošimui perdirbti ir </w:t>
            </w:r>
            <w:r w:rsidR="00ED7E86" w:rsidRPr="00B44B19">
              <w:rPr>
                <w:rFonts w:ascii="Times New Roman" w:eastAsia="Times New Roman" w:hAnsi="Times New Roman" w:cs="Times New Roman"/>
                <w:color w:val="000000" w:themeColor="text1"/>
                <w:kern w:val="24"/>
              </w:rPr>
              <w:t xml:space="preserve">perdirbimui. </w:t>
            </w:r>
            <w:r w:rsidR="003667D1" w:rsidRPr="00B44B19">
              <w:rPr>
                <w:rFonts w:ascii="Times New Roman" w:eastAsia="Times New Roman" w:hAnsi="Times New Roman" w:cs="Times New Roman"/>
                <w:color w:val="000000" w:themeColor="text1"/>
              </w:rPr>
              <w:t>Vadovaujantis</w:t>
            </w:r>
            <w:r w:rsidR="003667D1" w:rsidRPr="00B44B19">
              <w:rPr>
                <w:rFonts w:ascii="Times New Roman" w:eastAsia="Times New Roman" w:hAnsi="Times New Roman" w:cs="Times New Roman"/>
                <w:bCs/>
                <w:color w:val="000000" w:themeColor="text1"/>
                <w:lang w:eastAsia="lt-LT"/>
              </w:rPr>
              <w:t xml:space="preserve"> atliekų hierarchija, </w:t>
            </w:r>
            <w:r w:rsidR="003667D1" w:rsidRPr="00B44B19">
              <w:rPr>
                <w:rFonts w:ascii="Times New Roman" w:eastAsia="Times New Roman" w:hAnsi="Times New Roman" w:cs="Times New Roman"/>
                <w:color w:val="000000" w:themeColor="text1"/>
                <w:kern w:val="24"/>
              </w:rPr>
              <w:t>p</w:t>
            </w:r>
            <w:r w:rsidR="00ED7E86" w:rsidRPr="00B44B19">
              <w:rPr>
                <w:rFonts w:ascii="Times New Roman" w:eastAsia="Times New Roman" w:hAnsi="Times New Roman" w:cs="Times New Roman"/>
                <w:color w:val="000000" w:themeColor="text1"/>
                <w:kern w:val="24"/>
              </w:rPr>
              <w:t xml:space="preserve">lanuojama įgyvendinti priemones, skatinančias kurti naujus ar modernizuoti esamus </w:t>
            </w:r>
            <w:r w:rsidR="003667D1" w:rsidRPr="00B44B19">
              <w:rPr>
                <w:rFonts w:ascii="Times New Roman" w:eastAsia="Times New Roman" w:hAnsi="Times New Roman" w:cs="Times New Roman"/>
                <w:color w:val="000000" w:themeColor="text1"/>
                <w:kern w:val="24"/>
              </w:rPr>
              <w:t>atliekų</w:t>
            </w:r>
            <w:r w:rsidR="00ED7E86" w:rsidRPr="00B44B19">
              <w:rPr>
                <w:rFonts w:ascii="Times New Roman" w:eastAsia="Times New Roman" w:hAnsi="Times New Roman" w:cs="Times New Roman"/>
                <w:color w:val="000000" w:themeColor="text1"/>
                <w:kern w:val="24"/>
              </w:rPr>
              <w:t xml:space="preserve"> paruošimo perdirbti ir perdirbimo pajėgumus, diegiant inovatyvias technologijas</w:t>
            </w:r>
            <w:r w:rsidR="003667D1" w:rsidRPr="00B44B19">
              <w:rPr>
                <w:rFonts w:ascii="Times New Roman" w:eastAsia="Times New Roman" w:hAnsi="Times New Roman" w:cs="Times New Roman"/>
                <w:color w:val="000000" w:themeColor="text1"/>
                <w:kern w:val="24"/>
              </w:rPr>
              <w:t xml:space="preserve">, siekiant </w:t>
            </w:r>
            <w:r w:rsidR="00ED7E86" w:rsidRPr="00B44B19">
              <w:rPr>
                <w:rFonts w:ascii="Times New Roman" w:eastAsia="Times New Roman" w:hAnsi="Times New Roman" w:cs="Times New Roman"/>
                <w:color w:val="000000" w:themeColor="text1"/>
                <w:kern w:val="24"/>
              </w:rPr>
              <w:t>užtikrinti aukštesnę perdirbtos medžiagos kokybę</w:t>
            </w:r>
            <w:r w:rsidR="003667D1" w:rsidRPr="00B44B19">
              <w:rPr>
                <w:rFonts w:ascii="Times New Roman" w:eastAsia="Times New Roman" w:hAnsi="Times New Roman" w:cs="Times New Roman"/>
                <w:color w:val="000000" w:themeColor="text1"/>
                <w:kern w:val="24"/>
              </w:rPr>
              <w:t xml:space="preserve"> ir didesnį antrinių žaliavų atgavimą.</w:t>
            </w:r>
            <w:r w:rsidR="00ED7E86" w:rsidRPr="00B44B19">
              <w:rPr>
                <w:rFonts w:ascii="Times New Roman" w:eastAsia="Times New Roman" w:hAnsi="Times New Roman" w:cs="Times New Roman"/>
                <w:color w:val="000000" w:themeColor="text1"/>
                <w:kern w:val="24"/>
              </w:rPr>
              <w:t xml:space="preserve"> </w:t>
            </w:r>
            <w:r w:rsidRPr="00B44B19">
              <w:rPr>
                <w:rFonts w:ascii="Times New Roman" w:eastAsia="Times New Roman" w:hAnsi="Times New Roman" w:cs="Times New Roman"/>
                <w:color w:val="000000" w:themeColor="text1"/>
                <w:kern w:val="24"/>
              </w:rPr>
              <w:t xml:space="preserve">Veikla įgyvendinama visoje Lietuvoje. </w:t>
            </w:r>
          </w:p>
          <w:p w14:paraId="3C869E76" w14:textId="1A12D0F6" w:rsidR="00FE2852" w:rsidRPr="00B44B19" w:rsidRDefault="00A27249" w:rsidP="0095093F">
            <w:pPr>
              <w:spacing w:before="60" w:after="60"/>
              <w:jc w:val="both"/>
              <w:rPr>
                <w:rFonts w:ascii="Times New Roman" w:eastAsia="Times New Roman" w:hAnsi="Times New Roman" w:cs="Times New Roman"/>
                <w:kern w:val="24"/>
              </w:rPr>
            </w:pPr>
            <w:r w:rsidRPr="00B44B19">
              <w:rPr>
                <w:rFonts w:ascii="Times New Roman" w:eastAsia="Times New Roman" w:hAnsi="Times New Roman" w:cs="Times New Roman"/>
                <w:b/>
              </w:rPr>
              <w:t xml:space="preserve">Atliekų </w:t>
            </w:r>
            <w:r w:rsidR="00ED7E86" w:rsidRPr="00B44B19">
              <w:rPr>
                <w:rFonts w:ascii="Times New Roman" w:eastAsia="Times New Roman" w:hAnsi="Times New Roman" w:cs="Times New Roman"/>
                <w:b/>
              </w:rPr>
              <w:t>prevencijos namų</w:t>
            </w:r>
            <w:r w:rsidRPr="00B44B19">
              <w:rPr>
                <w:rFonts w:ascii="Times New Roman" w:eastAsia="Times New Roman" w:hAnsi="Times New Roman" w:cs="Times New Roman"/>
                <w:b/>
              </w:rPr>
              <w:t xml:space="preserve"> ūkiuose, prekybos, paslaugų ir statybos sektoriuose skatinimas</w:t>
            </w:r>
            <w:r w:rsidRPr="00B44B19">
              <w:rPr>
                <w:rFonts w:ascii="Times New Roman" w:eastAsia="Times New Roman" w:hAnsi="Times New Roman" w:cs="Times New Roman"/>
              </w:rPr>
              <w:t>: planuojama</w:t>
            </w:r>
            <w:r w:rsidR="005D4C01" w:rsidRPr="00B44B19">
              <w:rPr>
                <w:rFonts w:ascii="Times New Roman" w:eastAsia="Times New Roman" w:hAnsi="Times New Roman" w:cs="Times New Roman"/>
              </w:rPr>
              <w:t xml:space="preserve"> nacionaliniu lygmeniu</w:t>
            </w:r>
            <w:r w:rsidRPr="00B44B19">
              <w:rPr>
                <w:rFonts w:ascii="Times New Roman" w:eastAsia="Times New Roman" w:hAnsi="Times New Roman" w:cs="Times New Roman"/>
              </w:rPr>
              <w:t xml:space="preserve"> organizuoti įvairias viešinimo kampanijas siekiant skatinti namų ūkius, prekybos ir paslaugų </w:t>
            </w:r>
            <w:r w:rsidR="005D4C01" w:rsidRPr="00B44B19">
              <w:rPr>
                <w:rFonts w:ascii="Times New Roman" w:eastAsia="Times New Roman" w:hAnsi="Times New Roman" w:cs="Times New Roman"/>
              </w:rPr>
              <w:t>sektorių pakartotinai naudoti daiktus,</w:t>
            </w:r>
            <w:r w:rsidR="00C07E58" w:rsidRPr="00B44B19">
              <w:rPr>
                <w:rFonts w:ascii="Times New Roman" w:eastAsia="Times New Roman" w:hAnsi="Times New Roman" w:cs="Times New Roman"/>
              </w:rPr>
              <w:t xml:space="preserve"> </w:t>
            </w:r>
            <w:r w:rsidR="005D4C01" w:rsidRPr="00B44B19">
              <w:rPr>
                <w:rFonts w:ascii="Times New Roman" w:eastAsia="Times New Roman" w:hAnsi="Times New Roman" w:cs="Times New Roman"/>
              </w:rPr>
              <w:t xml:space="preserve">ir nešvaistyti maisto. </w:t>
            </w:r>
            <w:r w:rsidRPr="00B44B19">
              <w:rPr>
                <w:rFonts w:ascii="Times New Roman" w:eastAsia="Times New Roman" w:hAnsi="Times New Roman" w:cs="Times New Roman"/>
              </w:rPr>
              <w:t xml:space="preserve">Siekiant statybinių atliekų prevencijos, </w:t>
            </w:r>
            <w:r w:rsidRPr="00B44B19">
              <w:rPr>
                <w:rFonts w:ascii="Times New Roman" w:eastAsia="Times New Roman" w:hAnsi="Times New Roman" w:cs="Times New Roman"/>
              </w:rPr>
              <w:lastRenderedPageBreak/>
              <w:t xml:space="preserve">planuojama sukurti statinių gyvavimo ciklo (SGC) modeliavimo sistemą (modelį), kuri leistų įvertinti statybinių atliekų susidarymo, antrinio panaudojimo ir perdirbimo galimybę visuose statinių gyvavimo ciklo etapuose (planavimas, projektavimas, statyba, naudojimas, griovimas). </w:t>
            </w:r>
            <w:r w:rsidR="00A055BA" w:rsidRPr="00B44B19">
              <w:rPr>
                <w:rFonts w:ascii="Times New Roman" w:eastAsia="Times New Roman" w:hAnsi="Times New Roman" w:cs="Times New Roman"/>
                <w:kern w:val="24"/>
              </w:rPr>
              <w:t>Veikla įgyvendinama visoje Lietuvoje.</w:t>
            </w:r>
          </w:p>
          <w:p w14:paraId="1379E318" w14:textId="77777777" w:rsidR="00137CFE" w:rsidRPr="00B44B19" w:rsidRDefault="00334B0C" w:rsidP="0095093F">
            <w:pPr>
              <w:spacing w:before="60" w:after="60"/>
              <w:jc w:val="both"/>
              <w:rPr>
                <w:rFonts w:ascii="Times New Roman"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B83CDA" w:rsidRPr="00B44B19">
              <w:rPr>
                <w:rFonts w:ascii="Times New Roman" w:eastAsia="Times New Roman" w:hAnsi="Times New Roman" w:cs="Times New Roman"/>
                <w:noProof/>
                <w:szCs w:val="24"/>
              </w:rPr>
              <w:t>.</w:t>
            </w:r>
          </w:p>
        </w:tc>
      </w:tr>
    </w:tbl>
    <w:p w14:paraId="03357CF0" w14:textId="77777777" w:rsidR="00FE2852" w:rsidRPr="00B44B19" w:rsidRDefault="00FE2852" w:rsidP="001E5B12">
      <w:pPr>
        <w:pStyle w:val="Stilius1"/>
        <w:rPr>
          <w:rFonts w:cs="Times New Roman"/>
        </w:rPr>
      </w:pPr>
      <w:r w:rsidRPr="00B44B19">
        <w:rPr>
          <w:rFonts w:cs="Times New Roman"/>
        </w:rPr>
        <w:lastRenderedPageBreak/>
        <w:t>Pagrindinės tikslinės grupės</w:t>
      </w:r>
    </w:p>
    <w:tbl>
      <w:tblPr>
        <w:tblStyle w:val="Lentelstinklelis2"/>
        <w:tblW w:w="0" w:type="auto"/>
        <w:tblLook w:val="04A0" w:firstRow="1" w:lastRow="0" w:firstColumn="1" w:lastColumn="0" w:noHBand="0" w:noVBand="1"/>
      </w:tblPr>
      <w:tblGrid>
        <w:gridCol w:w="9628"/>
      </w:tblGrid>
      <w:tr w:rsidR="00FE2852" w:rsidRPr="00B44B19" w14:paraId="3BA89D47" w14:textId="77777777" w:rsidTr="00E46C9C">
        <w:tc>
          <w:tcPr>
            <w:tcW w:w="9854" w:type="dxa"/>
          </w:tcPr>
          <w:p w14:paraId="3606BDB5" w14:textId="77777777" w:rsidR="00FE2852" w:rsidRPr="00B44B19" w:rsidRDefault="00AD084E" w:rsidP="0095093F">
            <w:pPr>
              <w:spacing w:before="60" w:after="60"/>
              <w:jc w:val="both"/>
              <w:rPr>
                <w:rFonts w:ascii="Times New Roman" w:hAnsi="Times New Roman" w:cs="Times New Roman"/>
              </w:rPr>
            </w:pPr>
            <w:r w:rsidRPr="00B44B19">
              <w:rPr>
                <w:rFonts w:ascii="Times New Roman" w:eastAsia="Times New Roman" w:hAnsi="Times New Roman" w:cs="Times New Roman"/>
              </w:rPr>
              <w:t xml:space="preserve">Gyventojai, </w:t>
            </w:r>
            <w:r w:rsidR="00A27249" w:rsidRPr="00B44B19">
              <w:rPr>
                <w:rFonts w:ascii="Times New Roman" w:eastAsia="Times New Roman" w:hAnsi="Times New Roman" w:cs="Times New Roman"/>
              </w:rPr>
              <w:t>įmonės</w:t>
            </w:r>
            <w:r w:rsidRPr="00B44B19">
              <w:rPr>
                <w:rFonts w:ascii="Times New Roman" w:eastAsia="Times New Roman" w:hAnsi="Times New Roman" w:cs="Times New Roman"/>
              </w:rPr>
              <w:t>, savivaldybės, valstybės institucijos, atliekų tvarkytojai (įmonės), gamintojai ir importuotojai, statinių projektuotojai, statinių statybos rangovai.</w:t>
            </w:r>
          </w:p>
        </w:tc>
      </w:tr>
    </w:tbl>
    <w:p w14:paraId="4EA67313" w14:textId="77777777" w:rsidR="00FE2852" w:rsidRPr="00B44B19" w:rsidRDefault="00FE2852" w:rsidP="001E5B12">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E5B12" w:rsidRPr="00B44B19" w14:paraId="370DE69B" w14:textId="77777777" w:rsidTr="001E5B12">
        <w:tc>
          <w:tcPr>
            <w:tcW w:w="9854" w:type="dxa"/>
          </w:tcPr>
          <w:p w14:paraId="62998847" w14:textId="77777777" w:rsidR="001E5B12" w:rsidRPr="00B44B19" w:rsidRDefault="00AD084E" w:rsidP="0095093F">
            <w:pPr>
              <w:spacing w:before="60" w:after="60"/>
              <w:jc w:val="both"/>
              <w:rPr>
                <w:rFonts w:cs="Times New Roman"/>
                <w:b/>
                <w:i/>
              </w:rPr>
            </w:pPr>
            <w:r w:rsidRPr="00B44B19">
              <w:rPr>
                <w:rFonts w:eastAsia="Calibri" w:cs="Times New Roman"/>
                <w:noProof/>
                <w:sz w:val="22"/>
                <w:lang w:eastAsia="lt-LT" w:bidi="lt-LT"/>
              </w:rPr>
              <w:t xml:space="preserve">Vykdant numatytas veiklas bus siekiama užtikrinti lygybės, įtraukties ir nediskriminavimo </w:t>
            </w:r>
            <w:r w:rsidR="00A27249" w:rsidRPr="00B44B19">
              <w:rPr>
                <w:rFonts w:eastAsia="Calibri" w:cs="Times New Roman"/>
                <w:noProof/>
                <w:sz w:val="22"/>
                <w:lang w:eastAsia="lt-LT" w:bidi="lt-LT"/>
              </w:rPr>
              <w:t>principus, pritaikyti komunalinių</w:t>
            </w:r>
            <w:r w:rsidRPr="00B44B19">
              <w:rPr>
                <w:rFonts w:eastAsia="Calibri" w:cs="Times New Roman"/>
                <w:noProof/>
                <w:sz w:val="22"/>
                <w:lang w:eastAsia="lt-LT" w:bidi="lt-LT"/>
              </w:rPr>
              <w:t xml:space="preserve"> atliekų surinkimo sistemas neįgaliesiems.</w:t>
            </w:r>
          </w:p>
        </w:tc>
      </w:tr>
    </w:tbl>
    <w:p w14:paraId="2B54A7D8" w14:textId="77777777" w:rsidR="00FE2852" w:rsidRPr="00B44B19" w:rsidRDefault="00FE2852" w:rsidP="001E5B12">
      <w:pPr>
        <w:pStyle w:val="Stilius1"/>
        <w:rPr>
          <w:rFonts w:cs="Times New Roman"/>
        </w:rPr>
      </w:pPr>
      <w:r w:rsidRPr="00B44B19">
        <w:rPr>
          <w:rFonts w:cs="Times New Roman"/>
        </w:rPr>
        <w:t>Konkrečios tikslinės teritorijos, įskaitant planuojamą teritorinių priemonių panaudojimą</w:t>
      </w:r>
      <w:r w:rsidRPr="00B44B19">
        <w:rPr>
          <w:rFonts w:cs="Times New Roman"/>
          <w:bCs/>
          <w:lang w:bidi="lt-LT"/>
        </w:rPr>
        <w:t xml:space="preserve"> </w:t>
      </w:r>
    </w:p>
    <w:tbl>
      <w:tblPr>
        <w:tblStyle w:val="Lentelstinklelis2"/>
        <w:tblW w:w="0" w:type="auto"/>
        <w:tblLook w:val="04A0" w:firstRow="1" w:lastRow="0" w:firstColumn="1" w:lastColumn="0" w:noHBand="0" w:noVBand="1"/>
      </w:tblPr>
      <w:tblGrid>
        <w:gridCol w:w="9628"/>
      </w:tblGrid>
      <w:tr w:rsidR="00FE2852" w:rsidRPr="00B44B19" w14:paraId="357BE5C1" w14:textId="77777777" w:rsidTr="00E46C9C">
        <w:tc>
          <w:tcPr>
            <w:tcW w:w="9854" w:type="dxa"/>
          </w:tcPr>
          <w:p w14:paraId="69B7D3A5" w14:textId="77777777" w:rsidR="00FE2852" w:rsidRPr="00B44B19" w:rsidRDefault="006A38A0" w:rsidP="0095093F">
            <w:pPr>
              <w:spacing w:before="60" w:after="60"/>
              <w:jc w:val="both"/>
              <w:rPr>
                <w:rFonts w:ascii="Times New Roman" w:hAnsi="Times New Roman" w:cs="Times New Roman"/>
              </w:rPr>
            </w:pPr>
            <w:r w:rsidRPr="00B44B19">
              <w:rPr>
                <w:rFonts w:ascii="Times New Roman" w:hAnsi="Times New Roman" w:cs="Times New Roman"/>
              </w:rPr>
              <w:t>Visa Lietuva</w:t>
            </w:r>
            <w:r w:rsidR="0001616E" w:rsidRPr="00B44B19">
              <w:rPr>
                <w:rFonts w:ascii="Times New Roman" w:hAnsi="Times New Roman" w:cs="Times New Roman"/>
              </w:rPr>
              <w:t>.</w:t>
            </w:r>
          </w:p>
          <w:p w14:paraId="4C3F5A66" w14:textId="77777777" w:rsidR="005C3A1B" w:rsidRPr="00B44B19" w:rsidRDefault="005C3A1B" w:rsidP="0095093F">
            <w:pPr>
              <w:spacing w:before="60" w:after="60"/>
              <w:jc w:val="both"/>
              <w:rPr>
                <w:rFonts w:ascii="Times New Roman" w:hAnsi="Times New Roman" w:cs="Times New Roman"/>
              </w:rPr>
            </w:pPr>
            <w:r w:rsidRPr="00B44B19">
              <w:rPr>
                <w:rFonts w:ascii="Times New Roman" w:hAnsi="Times New Roman" w:cs="Times New Roman"/>
              </w:rPr>
              <w:t>Uždavinio investicijomis</w:t>
            </w:r>
            <w:r w:rsidR="00FA6A41" w:rsidRPr="00B44B19">
              <w:rPr>
                <w:rFonts w:ascii="Times New Roman" w:hAnsi="Times New Roman" w:cs="Times New Roman"/>
              </w:rPr>
              <w:t>, numatytomis komunalinių atliekų rūšiuojamojo surinkimo pajėgumų plėtrai,</w:t>
            </w:r>
            <w:r w:rsidRPr="00B44B19">
              <w:rPr>
                <w:rFonts w:ascii="Times New Roman" w:hAnsi="Times New Roman" w:cs="Times New Roman"/>
              </w:rPr>
              <w:t xml:space="preserve"> gali būti remiama dalis tvarios miestų ir </w:t>
            </w:r>
            <w:r w:rsidR="004C2FDD" w:rsidRPr="00B44B19">
              <w:rPr>
                <w:rFonts w:ascii="Times New Roman" w:hAnsi="Times New Roman" w:cs="Times New Roman"/>
              </w:rPr>
              <w:t>FZ</w:t>
            </w:r>
            <w:r w:rsidRPr="00B44B19">
              <w:rPr>
                <w:rFonts w:ascii="Times New Roman" w:hAnsi="Times New Roman" w:cs="Times New Roman"/>
              </w:rPr>
              <w:t xml:space="preserve"> plėtros strategijų veiksmų, įgyvendinamų kaip ITI, šias investicijas derinant su </w:t>
            </w:r>
            <w:r w:rsidR="0024244C" w:rsidRPr="00B44B19">
              <w:rPr>
                <w:rFonts w:ascii="Times New Roman" w:hAnsi="Times New Roman" w:cs="Times New Roman"/>
              </w:rPr>
              <w:t xml:space="preserve">Programos </w:t>
            </w:r>
            <w:r w:rsidRPr="00B44B19">
              <w:rPr>
                <w:rFonts w:ascii="Times New Roman" w:hAnsi="Times New Roman" w:cs="Times New Roman"/>
              </w:rPr>
              <w:t>5 prioriteto investicijomis siekiant bendrų tikslų aplinkos srityje.</w:t>
            </w:r>
          </w:p>
        </w:tc>
      </w:tr>
    </w:tbl>
    <w:p w14:paraId="6D29E9C3" w14:textId="77777777" w:rsidR="00FE2852" w:rsidRPr="00B44B19" w:rsidRDefault="00FE2852" w:rsidP="001E5B12">
      <w:pPr>
        <w:pStyle w:val="Stilius1"/>
        <w:rPr>
          <w:rFonts w:cs="Times New Roman"/>
        </w:rPr>
      </w:pPr>
      <w:r w:rsidRPr="00B44B19">
        <w:rPr>
          <w:rFonts w:cs="Times New Roman"/>
        </w:rPr>
        <w:t>Tarpregioniniai, tarp sienų ir tarpvalstybiniai veiksmai</w:t>
      </w:r>
      <w:r w:rsidRPr="00B44B19">
        <w:rPr>
          <w:rFonts w:cs="Times New Roman"/>
          <w:bCs/>
          <w:lang w:bidi="lt-LT"/>
        </w:rPr>
        <w:t xml:space="preserve"> </w:t>
      </w:r>
    </w:p>
    <w:tbl>
      <w:tblPr>
        <w:tblStyle w:val="Lentelstinklelis2"/>
        <w:tblW w:w="0" w:type="auto"/>
        <w:tblLook w:val="04A0" w:firstRow="1" w:lastRow="0" w:firstColumn="1" w:lastColumn="0" w:noHBand="0" w:noVBand="1"/>
      </w:tblPr>
      <w:tblGrid>
        <w:gridCol w:w="9628"/>
      </w:tblGrid>
      <w:tr w:rsidR="00FE2852" w:rsidRPr="00B44B19" w14:paraId="3ABCC9D9" w14:textId="77777777" w:rsidTr="00E46C9C">
        <w:tc>
          <w:tcPr>
            <w:tcW w:w="9854" w:type="dxa"/>
          </w:tcPr>
          <w:p w14:paraId="7BF9D712" w14:textId="77777777" w:rsidR="00FE2852" w:rsidRPr="00B44B19" w:rsidRDefault="00A27249" w:rsidP="0095093F">
            <w:pPr>
              <w:spacing w:before="60" w:after="60"/>
              <w:jc w:val="both"/>
              <w:rPr>
                <w:rFonts w:ascii="Times New Roman" w:hAnsi="Times New Roman" w:cs="Times New Roman"/>
                <w:i/>
              </w:rPr>
            </w:pPr>
            <w:r w:rsidRPr="00B44B19">
              <w:rPr>
                <w:rFonts w:ascii="Times New Roman" w:hAnsi="Times New Roman" w:cs="Times New Roman"/>
              </w:rPr>
              <w:t>Numatoma sudaryti visas galimybes prireikus juos atlikti.</w:t>
            </w:r>
            <w:r w:rsidR="00AD084E" w:rsidRPr="00B44B19">
              <w:rPr>
                <w:rFonts w:ascii="Times New Roman" w:hAnsi="Times New Roman" w:cs="Times New Roman"/>
              </w:rPr>
              <w:t xml:space="preserve"> </w:t>
            </w:r>
            <w:r w:rsidRPr="00B44B19">
              <w:rPr>
                <w:rFonts w:ascii="Times New Roman" w:hAnsi="Times New Roman" w:cs="Times New Roman"/>
              </w:rPr>
              <w:t>Esant poreikiui, gali būti bendradarbiaujama su kaimyninėmis šalimis (Latvija, Estija, Lenkija) dėl bendrų atliekų tvarkymo įrenginių (</w:t>
            </w:r>
            <w:r w:rsidR="005D4C01" w:rsidRPr="00B44B19">
              <w:rPr>
                <w:rFonts w:ascii="Times New Roman" w:hAnsi="Times New Roman" w:cs="Times New Roman"/>
              </w:rPr>
              <w:t>atliekų paruošimo perdirbti ir</w:t>
            </w:r>
            <w:r w:rsidRPr="00B44B19">
              <w:rPr>
                <w:rFonts w:ascii="Times New Roman" w:hAnsi="Times New Roman" w:cs="Times New Roman"/>
              </w:rPr>
              <w:t xml:space="preserve"> perdirbimo srityje) sukūrimo.</w:t>
            </w:r>
          </w:p>
        </w:tc>
      </w:tr>
    </w:tbl>
    <w:p w14:paraId="77984A7E" w14:textId="77777777" w:rsidR="00FE2852" w:rsidRPr="00B44B19" w:rsidRDefault="00FE2852" w:rsidP="001E5B12">
      <w:pPr>
        <w:pStyle w:val="Stilius1"/>
        <w:rPr>
          <w:rFonts w:cs="Times New Roman"/>
        </w:rPr>
      </w:pPr>
      <w:r w:rsidRPr="00B44B19">
        <w:rPr>
          <w:rFonts w:cs="Times New Roman"/>
        </w:rPr>
        <w:t>Planuojamas finansinių priemonių naudojimas</w:t>
      </w:r>
    </w:p>
    <w:tbl>
      <w:tblPr>
        <w:tblStyle w:val="Lentelstinklelis2"/>
        <w:tblW w:w="0" w:type="auto"/>
        <w:tblLook w:val="04A0" w:firstRow="1" w:lastRow="0" w:firstColumn="1" w:lastColumn="0" w:noHBand="0" w:noVBand="1"/>
      </w:tblPr>
      <w:tblGrid>
        <w:gridCol w:w="9628"/>
      </w:tblGrid>
      <w:tr w:rsidR="00FE2852" w:rsidRPr="00B44B19" w14:paraId="3AF9CFCF" w14:textId="77777777" w:rsidTr="00E46C9C">
        <w:tc>
          <w:tcPr>
            <w:tcW w:w="9854" w:type="dxa"/>
          </w:tcPr>
          <w:p w14:paraId="286EBA9D" w14:textId="77777777" w:rsidR="00FE2852" w:rsidRPr="00B44B19" w:rsidRDefault="00166EC1"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w:t>
            </w:r>
          </w:p>
        </w:tc>
      </w:tr>
    </w:tbl>
    <w:p w14:paraId="1CA60993" w14:textId="77777777" w:rsidR="009750A4" w:rsidRPr="00B44B19" w:rsidRDefault="00471A41" w:rsidP="001E5B12">
      <w:pPr>
        <w:pStyle w:val="Stilius1"/>
        <w:rPr>
          <w:rFonts w:cs="Times New Roman"/>
        </w:rPr>
      </w:pPr>
      <w:r w:rsidRPr="00B44B19">
        <w:rPr>
          <w:rFonts w:cs="Times New Roman"/>
        </w:rPr>
        <w:t>Rodikliai</w:t>
      </w:r>
    </w:p>
    <w:p w14:paraId="28CA09EC" w14:textId="77777777" w:rsidR="00471A41" w:rsidRPr="00B44B19" w:rsidRDefault="00471A41" w:rsidP="002A03EE">
      <w:pPr>
        <w:spacing w:before="240" w:after="0" w:line="240" w:lineRule="auto"/>
        <w:jc w:val="both"/>
        <w:rPr>
          <w:rFonts w:cs="Times New Roman"/>
          <w:b/>
          <w:szCs w:val="24"/>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28"/>
        <w:gridCol w:w="965"/>
        <w:gridCol w:w="1243"/>
        <w:gridCol w:w="1791"/>
        <w:gridCol w:w="972"/>
        <w:gridCol w:w="967"/>
        <w:gridCol w:w="920"/>
      </w:tblGrid>
      <w:tr w:rsidR="00AD084E" w:rsidRPr="00B44B19" w14:paraId="7B653BDF" w14:textId="77777777" w:rsidTr="009C6543">
        <w:trPr>
          <w:trHeight w:val="647"/>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EB5B14"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11FEE3"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6BFE2B"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0277D6"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BC19C4" w14:textId="77777777" w:rsidR="00AD084E" w:rsidRPr="00B44B19" w:rsidRDefault="00AD084E" w:rsidP="00386895">
            <w:pPr>
              <w:spacing w:after="0" w:line="240" w:lineRule="auto"/>
              <w:jc w:val="center"/>
              <w:rPr>
                <w:rFonts w:cs="Times New Roman"/>
                <w:b/>
                <w:noProof/>
                <w:sz w:val="16"/>
                <w:szCs w:val="16"/>
              </w:rPr>
            </w:pPr>
            <w:r w:rsidRPr="00B44B19">
              <w:rPr>
                <w:rFonts w:cs="Times New Roman"/>
                <w:b/>
                <w:noProof/>
                <w:sz w:val="16"/>
                <w:szCs w:val="16"/>
              </w:rPr>
              <w:t xml:space="preserve">Identifikavimo numeris </w:t>
            </w:r>
          </w:p>
        </w:tc>
        <w:tc>
          <w:tcPr>
            <w:tcW w:w="9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3569EA" w14:textId="77777777" w:rsidR="00AD084E" w:rsidRPr="00B44B19" w:rsidRDefault="00386895" w:rsidP="00386895">
            <w:pPr>
              <w:spacing w:after="0" w:line="240" w:lineRule="auto"/>
              <w:jc w:val="center"/>
              <w:rPr>
                <w:rFonts w:cs="Times New Roman"/>
                <w:b/>
                <w:noProof/>
                <w:sz w:val="16"/>
                <w:szCs w:val="16"/>
              </w:rPr>
            </w:pPr>
            <w:r w:rsidRPr="00B44B19">
              <w:rPr>
                <w:rFonts w:cs="Times New Roman"/>
                <w:b/>
                <w:noProof/>
                <w:sz w:val="16"/>
                <w:szCs w:val="16"/>
              </w:rPr>
              <w:t xml:space="preserve">Rodiklis </w:t>
            </w:r>
          </w:p>
        </w:tc>
        <w:tc>
          <w:tcPr>
            <w:tcW w:w="5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2D1D8F"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D3D1FC"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2BA4FC"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Siek</w:t>
            </w:r>
            <w:r w:rsidR="007A0221" w:rsidRPr="00B44B19">
              <w:rPr>
                <w:rFonts w:cs="Times New Roman"/>
                <w:b/>
                <w:noProof/>
                <w:sz w:val="16"/>
                <w:szCs w:val="16"/>
              </w:rPr>
              <w:t>tina reikšmė</w:t>
            </w:r>
            <w:r w:rsidRPr="00B44B19">
              <w:rPr>
                <w:rFonts w:cs="Times New Roman"/>
                <w:b/>
                <w:noProof/>
                <w:sz w:val="16"/>
                <w:szCs w:val="16"/>
              </w:rPr>
              <w:t xml:space="preserve"> (2029 m.)</w:t>
            </w:r>
          </w:p>
        </w:tc>
      </w:tr>
      <w:tr w:rsidR="007B05A8" w:rsidRPr="00B44B19" w14:paraId="1B7830A3" w14:textId="77777777" w:rsidTr="009C6543">
        <w:trPr>
          <w:trHeight w:val="401"/>
        </w:trPr>
        <w:tc>
          <w:tcPr>
            <w:tcW w:w="497" w:type="pct"/>
            <w:vMerge w:val="restart"/>
            <w:tcBorders>
              <w:top w:val="single" w:sz="12" w:space="0" w:color="auto"/>
            </w:tcBorders>
          </w:tcPr>
          <w:p w14:paraId="75B6E287"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2. Žalesnė Lietuva</w:t>
            </w:r>
          </w:p>
        </w:tc>
        <w:tc>
          <w:tcPr>
            <w:tcW w:w="503" w:type="pct"/>
            <w:vMerge w:val="restart"/>
            <w:tcBorders>
              <w:top w:val="single" w:sz="12" w:space="0" w:color="auto"/>
            </w:tcBorders>
          </w:tcPr>
          <w:p w14:paraId="041D5373"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2.6</w:t>
            </w:r>
          </w:p>
        </w:tc>
        <w:tc>
          <w:tcPr>
            <w:tcW w:w="431" w:type="pct"/>
            <w:vMerge w:val="restart"/>
            <w:tcBorders>
              <w:top w:val="single" w:sz="12" w:space="0" w:color="auto"/>
            </w:tcBorders>
          </w:tcPr>
          <w:p w14:paraId="741726BC"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SaF</w:t>
            </w:r>
          </w:p>
        </w:tc>
        <w:tc>
          <w:tcPr>
            <w:tcW w:w="502" w:type="pct"/>
            <w:vMerge w:val="restart"/>
            <w:tcBorders>
              <w:top w:val="single" w:sz="12" w:space="0" w:color="auto"/>
            </w:tcBorders>
          </w:tcPr>
          <w:p w14:paraId="3735F0D6"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Visa Lietuva</w:t>
            </w:r>
          </w:p>
        </w:tc>
        <w:tc>
          <w:tcPr>
            <w:tcW w:w="647" w:type="pct"/>
            <w:tcBorders>
              <w:top w:val="single" w:sz="12" w:space="0" w:color="auto"/>
              <w:bottom w:val="single" w:sz="4" w:space="0" w:color="auto"/>
            </w:tcBorders>
          </w:tcPr>
          <w:p w14:paraId="2B650302" w14:textId="77777777" w:rsidR="007B05A8" w:rsidRPr="00B44B19" w:rsidRDefault="007B05A8" w:rsidP="009C6543">
            <w:pPr>
              <w:spacing w:after="0" w:line="240" w:lineRule="auto"/>
              <w:jc w:val="both"/>
              <w:rPr>
                <w:rFonts w:cs="Times New Roman"/>
                <w:sz w:val="16"/>
                <w:szCs w:val="16"/>
              </w:rPr>
            </w:pPr>
            <w:r w:rsidRPr="00B44B19">
              <w:rPr>
                <w:rFonts w:cs="Times New Roman"/>
                <w:sz w:val="16"/>
                <w:szCs w:val="16"/>
              </w:rPr>
              <w:t>RCO34</w:t>
            </w:r>
          </w:p>
        </w:tc>
        <w:tc>
          <w:tcPr>
            <w:tcW w:w="932" w:type="pct"/>
            <w:tcBorders>
              <w:top w:val="single" w:sz="12" w:space="0" w:color="auto"/>
              <w:bottom w:val="single" w:sz="4" w:space="0" w:color="auto"/>
            </w:tcBorders>
          </w:tcPr>
          <w:p w14:paraId="5D311F38" w14:textId="77777777" w:rsidR="007B05A8" w:rsidRPr="00B44B19" w:rsidRDefault="007B05A8" w:rsidP="009C6543">
            <w:pPr>
              <w:spacing w:after="0" w:line="240" w:lineRule="auto"/>
              <w:rPr>
                <w:rFonts w:cs="Times New Roman"/>
                <w:sz w:val="16"/>
                <w:szCs w:val="16"/>
              </w:rPr>
            </w:pPr>
            <w:r w:rsidRPr="00B44B19">
              <w:rPr>
                <w:rFonts w:cs="Times New Roman"/>
                <w:sz w:val="16"/>
                <w:szCs w:val="16"/>
              </w:rPr>
              <w:t>Papildomi atliekų perdirbimo pajėgumai</w:t>
            </w:r>
          </w:p>
        </w:tc>
        <w:tc>
          <w:tcPr>
            <w:tcW w:w="506" w:type="pct"/>
            <w:tcBorders>
              <w:top w:val="single" w:sz="12" w:space="0" w:color="auto"/>
              <w:bottom w:val="single" w:sz="4" w:space="0" w:color="auto"/>
            </w:tcBorders>
          </w:tcPr>
          <w:p w14:paraId="408789BA"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Tonos per metus</w:t>
            </w:r>
          </w:p>
        </w:tc>
        <w:tc>
          <w:tcPr>
            <w:tcW w:w="503" w:type="pct"/>
            <w:tcBorders>
              <w:top w:val="single" w:sz="12" w:space="0" w:color="auto"/>
              <w:bottom w:val="single" w:sz="4" w:space="0" w:color="auto"/>
            </w:tcBorders>
          </w:tcPr>
          <w:p w14:paraId="2ABB6B01" w14:textId="77777777" w:rsidR="007B05A8" w:rsidRPr="00B44B19" w:rsidRDefault="007B05A8" w:rsidP="009C6543">
            <w:pPr>
              <w:spacing w:after="0" w:line="240" w:lineRule="auto"/>
              <w:jc w:val="center"/>
              <w:rPr>
                <w:rFonts w:cs="Times New Roman"/>
                <w:noProof/>
                <w:sz w:val="16"/>
                <w:szCs w:val="16"/>
                <w:lang w:val="en-US"/>
              </w:rPr>
            </w:pPr>
            <w:r w:rsidRPr="00B44B19">
              <w:rPr>
                <w:rFonts w:cs="Times New Roman"/>
                <w:noProof/>
                <w:sz w:val="16"/>
                <w:szCs w:val="16"/>
                <w:lang w:val="en-US"/>
              </w:rPr>
              <w:t>0</w:t>
            </w:r>
          </w:p>
        </w:tc>
        <w:tc>
          <w:tcPr>
            <w:tcW w:w="479" w:type="pct"/>
            <w:tcBorders>
              <w:top w:val="single" w:sz="12" w:space="0" w:color="auto"/>
              <w:bottom w:val="single" w:sz="4" w:space="0" w:color="auto"/>
            </w:tcBorders>
          </w:tcPr>
          <w:p w14:paraId="7304D54F"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128 214</w:t>
            </w:r>
          </w:p>
        </w:tc>
      </w:tr>
      <w:tr w:rsidR="007B05A8" w:rsidRPr="00B44B19" w14:paraId="138CB6DD" w14:textId="77777777" w:rsidTr="009C6543">
        <w:trPr>
          <w:trHeight w:val="401"/>
        </w:trPr>
        <w:tc>
          <w:tcPr>
            <w:tcW w:w="497" w:type="pct"/>
            <w:vMerge/>
          </w:tcPr>
          <w:p w14:paraId="6CEE9748"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182E9C98" w14:textId="77777777" w:rsidR="007B05A8" w:rsidRPr="00B44B19" w:rsidRDefault="007B05A8" w:rsidP="009C6543">
            <w:pPr>
              <w:spacing w:after="0" w:line="240" w:lineRule="auto"/>
              <w:jc w:val="both"/>
              <w:rPr>
                <w:rFonts w:cs="Times New Roman"/>
                <w:noProof/>
                <w:sz w:val="16"/>
                <w:szCs w:val="16"/>
              </w:rPr>
            </w:pPr>
          </w:p>
        </w:tc>
        <w:tc>
          <w:tcPr>
            <w:tcW w:w="431" w:type="pct"/>
            <w:vMerge/>
          </w:tcPr>
          <w:p w14:paraId="4F3A3B60" w14:textId="77777777" w:rsidR="007B05A8" w:rsidRPr="00B44B19" w:rsidRDefault="007B05A8" w:rsidP="009C6543">
            <w:pPr>
              <w:spacing w:after="0" w:line="240" w:lineRule="auto"/>
              <w:jc w:val="both"/>
              <w:rPr>
                <w:rFonts w:cs="Times New Roman"/>
                <w:noProof/>
                <w:sz w:val="16"/>
                <w:szCs w:val="16"/>
              </w:rPr>
            </w:pPr>
          </w:p>
        </w:tc>
        <w:tc>
          <w:tcPr>
            <w:tcW w:w="502" w:type="pct"/>
            <w:vMerge/>
          </w:tcPr>
          <w:p w14:paraId="0804A8A5" w14:textId="77777777" w:rsidR="007B05A8" w:rsidRPr="00B44B19" w:rsidRDefault="007B05A8" w:rsidP="009C6543">
            <w:pPr>
              <w:spacing w:after="0" w:line="240" w:lineRule="auto"/>
              <w:jc w:val="both"/>
              <w:rPr>
                <w:rFonts w:cs="Times New Roman"/>
                <w:noProof/>
                <w:sz w:val="16"/>
                <w:szCs w:val="16"/>
              </w:rPr>
            </w:pPr>
          </w:p>
        </w:tc>
        <w:tc>
          <w:tcPr>
            <w:tcW w:w="647" w:type="pct"/>
            <w:tcBorders>
              <w:top w:val="single" w:sz="4" w:space="0" w:color="auto"/>
            </w:tcBorders>
          </w:tcPr>
          <w:p w14:paraId="35C68275" w14:textId="77777777" w:rsidR="007B05A8" w:rsidRPr="00B44B19" w:rsidRDefault="007B05A8" w:rsidP="009C6543">
            <w:pPr>
              <w:spacing w:after="0" w:line="240" w:lineRule="auto"/>
              <w:jc w:val="both"/>
              <w:rPr>
                <w:rFonts w:cs="Times New Roman"/>
                <w:sz w:val="16"/>
                <w:szCs w:val="16"/>
              </w:rPr>
            </w:pPr>
            <w:r w:rsidRPr="00B44B19">
              <w:rPr>
                <w:rFonts w:cs="Times New Roman"/>
                <w:sz w:val="16"/>
                <w:szCs w:val="16"/>
              </w:rPr>
              <w:t>RCO107</w:t>
            </w:r>
          </w:p>
        </w:tc>
        <w:tc>
          <w:tcPr>
            <w:tcW w:w="932" w:type="pct"/>
            <w:tcBorders>
              <w:top w:val="single" w:sz="4" w:space="0" w:color="auto"/>
            </w:tcBorders>
          </w:tcPr>
          <w:p w14:paraId="1B87850B" w14:textId="77777777" w:rsidR="007B05A8" w:rsidRPr="00B44B19" w:rsidRDefault="007B05A8" w:rsidP="009C6543">
            <w:pPr>
              <w:spacing w:after="0" w:line="240" w:lineRule="auto"/>
              <w:rPr>
                <w:rFonts w:cs="Times New Roman"/>
                <w:sz w:val="16"/>
                <w:szCs w:val="16"/>
              </w:rPr>
            </w:pPr>
            <w:r w:rsidRPr="00B44B19">
              <w:rPr>
                <w:rFonts w:cs="Times New Roman"/>
                <w:sz w:val="16"/>
                <w:szCs w:val="16"/>
              </w:rPr>
              <w:t>Investicijos į rūšiuojamojo atliekų surinkimo įrenginius</w:t>
            </w:r>
          </w:p>
        </w:tc>
        <w:tc>
          <w:tcPr>
            <w:tcW w:w="506" w:type="pct"/>
            <w:tcBorders>
              <w:top w:val="single" w:sz="4" w:space="0" w:color="auto"/>
            </w:tcBorders>
          </w:tcPr>
          <w:p w14:paraId="3907B5DD"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Eurai</w:t>
            </w:r>
          </w:p>
        </w:tc>
        <w:tc>
          <w:tcPr>
            <w:tcW w:w="503" w:type="pct"/>
            <w:tcBorders>
              <w:top w:val="single" w:sz="4" w:space="0" w:color="auto"/>
            </w:tcBorders>
          </w:tcPr>
          <w:p w14:paraId="77D8A1F8"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Borders>
              <w:top w:val="single" w:sz="4" w:space="0" w:color="auto"/>
            </w:tcBorders>
          </w:tcPr>
          <w:p w14:paraId="4CCA9A42" w14:textId="77777777" w:rsidR="007B05A8" w:rsidRPr="00B44B19" w:rsidRDefault="007B05A8" w:rsidP="00AD084E">
            <w:pPr>
              <w:spacing w:after="0" w:line="240" w:lineRule="auto"/>
              <w:jc w:val="center"/>
              <w:rPr>
                <w:rFonts w:cs="Times New Roman"/>
                <w:noProof/>
                <w:sz w:val="16"/>
                <w:szCs w:val="16"/>
              </w:rPr>
            </w:pPr>
            <w:r w:rsidRPr="00B44B19">
              <w:rPr>
                <w:rFonts w:cs="Times New Roman"/>
                <w:noProof/>
                <w:sz w:val="16"/>
                <w:szCs w:val="16"/>
              </w:rPr>
              <w:t>34 352 941</w:t>
            </w:r>
          </w:p>
        </w:tc>
      </w:tr>
      <w:tr w:rsidR="007B05A8" w:rsidRPr="00B44B19" w14:paraId="0DC0333C" w14:textId="77777777" w:rsidTr="009C6543">
        <w:trPr>
          <w:trHeight w:val="401"/>
        </w:trPr>
        <w:tc>
          <w:tcPr>
            <w:tcW w:w="497" w:type="pct"/>
            <w:vMerge/>
          </w:tcPr>
          <w:p w14:paraId="184FEA72"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4CE1C6B1" w14:textId="77777777" w:rsidR="007B05A8" w:rsidRPr="00B44B19" w:rsidRDefault="007B05A8" w:rsidP="009C6543">
            <w:pPr>
              <w:spacing w:after="0" w:line="240" w:lineRule="auto"/>
              <w:jc w:val="both"/>
              <w:rPr>
                <w:rFonts w:cs="Times New Roman"/>
                <w:noProof/>
                <w:sz w:val="16"/>
                <w:szCs w:val="16"/>
              </w:rPr>
            </w:pPr>
          </w:p>
        </w:tc>
        <w:tc>
          <w:tcPr>
            <w:tcW w:w="431" w:type="pct"/>
            <w:vMerge/>
          </w:tcPr>
          <w:p w14:paraId="0C9065BF" w14:textId="77777777" w:rsidR="007B05A8" w:rsidRPr="00B44B19" w:rsidRDefault="007B05A8" w:rsidP="009C6543">
            <w:pPr>
              <w:spacing w:after="0" w:line="240" w:lineRule="auto"/>
              <w:jc w:val="both"/>
              <w:rPr>
                <w:rFonts w:cs="Times New Roman"/>
                <w:noProof/>
                <w:sz w:val="16"/>
                <w:szCs w:val="16"/>
              </w:rPr>
            </w:pPr>
          </w:p>
        </w:tc>
        <w:tc>
          <w:tcPr>
            <w:tcW w:w="502" w:type="pct"/>
            <w:vMerge/>
          </w:tcPr>
          <w:p w14:paraId="1A9C0404" w14:textId="77777777" w:rsidR="007B05A8" w:rsidRPr="00B44B19" w:rsidRDefault="007B05A8" w:rsidP="009C6543">
            <w:pPr>
              <w:spacing w:after="0" w:line="240" w:lineRule="auto"/>
              <w:jc w:val="both"/>
              <w:rPr>
                <w:rFonts w:cs="Times New Roman"/>
                <w:noProof/>
                <w:sz w:val="16"/>
                <w:szCs w:val="16"/>
              </w:rPr>
            </w:pPr>
          </w:p>
        </w:tc>
        <w:tc>
          <w:tcPr>
            <w:tcW w:w="647" w:type="pct"/>
            <w:tcBorders>
              <w:top w:val="single" w:sz="4" w:space="0" w:color="auto"/>
            </w:tcBorders>
          </w:tcPr>
          <w:p w14:paraId="6E52C6B2" w14:textId="77777777" w:rsidR="007B05A8" w:rsidRPr="00B44B19" w:rsidRDefault="007B05A8" w:rsidP="005C4155">
            <w:pPr>
              <w:spacing w:after="0" w:line="240" w:lineRule="auto"/>
              <w:jc w:val="both"/>
              <w:rPr>
                <w:rFonts w:cs="Times New Roman"/>
                <w:sz w:val="16"/>
                <w:szCs w:val="16"/>
              </w:rPr>
            </w:pPr>
            <w:r w:rsidRPr="00B44B19">
              <w:rPr>
                <w:rFonts w:cs="Times New Roman"/>
                <w:sz w:val="16"/>
                <w:szCs w:val="16"/>
              </w:rPr>
              <w:t xml:space="preserve">Specialusis </w:t>
            </w:r>
          </w:p>
        </w:tc>
        <w:tc>
          <w:tcPr>
            <w:tcW w:w="932" w:type="pct"/>
            <w:tcBorders>
              <w:top w:val="single" w:sz="4" w:space="0" w:color="auto"/>
            </w:tcBorders>
          </w:tcPr>
          <w:p w14:paraId="789D922C" w14:textId="77777777" w:rsidR="007B05A8" w:rsidRPr="00B44B19" w:rsidRDefault="007B05A8" w:rsidP="009C6543">
            <w:pPr>
              <w:spacing w:after="0" w:line="240" w:lineRule="auto"/>
              <w:rPr>
                <w:rFonts w:cs="Times New Roman"/>
                <w:sz w:val="16"/>
                <w:szCs w:val="16"/>
              </w:rPr>
            </w:pPr>
            <w:r w:rsidRPr="00B44B19">
              <w:rPr>
                <w:rStyle w:val="tlid-translation"/>
                <w:rFonts w:cs="Times New Roman"/>
                <w:sz w:val="16"/>
                <w:szCs w:val="16"/>
              </w:rPr>
              <w:t>Įgyvendintos viešinimo kampanijos atliekų prevencijos ir tvarkymo temomis</w:t>
            </w:r>
          </w:p>
        </w:tc>
        <w:tc>
          <w:tcPr>
            <w:tcW w:w="506" w:type="pct"/>
            <w:tcBorders>
              <w:top w:val="single" w:sz="4" w:space="0" w:color="auto"/>
            </w:tcBorders>
          </w:tcPr>
          <w:p w14:paraId="4FFD9765"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Skaičius</w:t>
            </w:r>
          </w:p>
        </w:tc>
        <w:tc>
          <w:tcPr>
            <w:tcW w:w="503" w:type="pct"/>
            <w:tcBorders>
              <w:top w:val="single" w:sz="4" w:space="0" w:color="auto"/>
            </w:tcBorders>
          </w:tcPr>
          <w:p w14:paraId="4EA5EFCE"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Borders>
              <w:top w:val="single" w:sz="4" w:space="0" w:color="auto"/>
            </w:tcBorders>
          </w:tcPr>
          <w:p w14:paraId="4EEDA42D" w14:textId="77777777" w:rsidR="007B05A8" w:rsidRPr="00B44B19" w:rsidDel="00EA0D7D" w:rsidRDefault="007B05A8" w:rsidP="00AD084E">
            <w:pPr>
              <w:spacing w:after="0" w:line="240" w:lineRule="auto"/>
              <w:jc w:val="center"/>
              <w:rPr>
                <w:rFonts w:cs="Times New Roman"/>
                <w:noProof/>
                <w:sz w:val="16"/>
                <w:szCs w:val="16"/>
              </w:rPr>
            </w:pPr>
            <w:r w:rsidRPr="00B44B19">
              <w:rPr>
                <w:rFonts w:cs="Times New Roman"/>
                <w:noProof/>
                <w:sz w:val="16"/>
                <w:szCs w:val="16"/>
              </w:rPr>
              <w:t>13</w:t>
            </w:r>
          </w:p>
        </w:tc>
      </w:tr>
      <w:tr w:rsidR="007B05A8" w:rsidRPr="00B44B19" w14:paraId="5BC1A91A" w14:textId="77777777" w:rsidTr="009C6543">
        <w:trPr>
          <w:trHeight w:val="555"/>
        </w:trPr>
        <w:tc>
          <w:tcPr>
            <w:tcW w:w="497" w:type="pct"/>
            <w:vMerge/>
          </w:tcPr>
          <w:p w14:paraId="217A32F4"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68019048" w14:textId="77777777" w:rsidR="007B05A8" w:rsidRPr="00B44B19" w:rsidRDefault="007B05A8" w:rsidP="009C6543">
            <w:pPr>
              <w:spacing w:after="0" w:line="240" w:lineRule="auto"/>
              <w:jc w:val="both"/>
              <w:rPr>
                <w:rFonts w:cs="Times New Roman"/>
                <w:noProof/>
                <w:sz w:val="16"/>
                <w:szCs w:val="16"/>
              </w:rPr>
            </w:pPr>
          </w:p>
        </w:tc>
        <w:tc>
          <w:tcPr>
            <w:tcW w:w="431" w:type="pct"/>
            <w:vMerge/>
          </w:tcPr>
          <w:p w14:paraId="1F090B9A" w14:textId="77777777" w:rsidR="007B05A8" w:rsidRPr="00B44B19" w:rsidRDefault="007B05A8" w:rsidP="009C6543">
            <w:pPr>
              <w:spacing w:after="0" w:line="240" w:lineRule="auto"/>
              <w:jc w:val="both"/>
              <w:rPr>
                <w:rFonts w:cs="Times New Roman"/>
                <w:noProof/>
                <w:sz w:val="16"/>
                <w:szCs w:val="16"/>
              </w:rPr>
            </w:pPr>
          </w:p>
        </w:tc>
        <w:tc>
          <w:tcPr>
            <w:tcW w:w="502" w:type="pct"/>
            <w:vMerge/>
          </w:tcPr>
          <w:p w14:paraId="390EC692" w14:textId="77777777" w:rsidR="007B05A8" w:rsidRPr="00B44B19" w:rsidRDefault="007B05A8" w:rsidP="009C6543">
            <w:pPr>
              <w:spacing w:after="0" w:line="240" w:lineRule="auto"/>
              <w:jc w:val="both"/>
              <w:rPr>
                <w:rFonts w:cs="Times New Roman"/>
                <w:noProof/>
                <w:sz w:val="16"/>
                <w:szCs w:val="16"/>
              </w:rPr>
            </w:pPr>
          </w:p>
        </w:tc>
        <w:tc>
          <w:tcPr>
            <w:tcW w:w="647" w:type="pct"/>
          </w:tcPr>
          <w:p w14:paraId="06E4AEA7" w14:textId="77777777" w:rsidR="007B05A8" w:rsidRPr="00B44B19" w:rsidRDefault="007B05A8" w:rsidP="005C4155">
            <w:pPr>
              <w:spacing w:after="0" w:line="240" w:lineRule="auto"/>
              <w:jc w:val="both"/>
              <w:rPr>
                <w:rFonts w:cs="Times New Roman"/>
                <w:sz w:val="16"/>
                <w:szCs w:val="16"/>
              </w:rPr>
            </w:pPr>
            <w:r w:rsidRPr="00B44B19">
              <w:rPr>
                <w:rFonts w:cs="Times New Roman"/>
                <w:sz w:val="16"/>
                <w:szCs w:val="16"/>
              </w:rPr>
              <w:t>Specialusis</w:t>
            </w:r>
          </w:p>
        </w:tc>
        <w:tc>
          <w:tcPr>
            <w:tcW w:w="932" w:type="pct"/>
          </w:tcPr>
          <w:p w14:paraId="0E0CE775" w14:textId="77777777" w:rsidR="007B05A8" w:rsidRPr="00B44B19" w:rsidRDefault="007B05A8" w:rsidP="009C6543">
            <w:pPr>
              <w:spacing w:after="0" w:line="240" w:lineRule="auto"/>
              <w:rPr>
                <w:rStyle w:val="tlid-translation"/>
                <w:rFonts w:cs="Times New Roman"/>
                <w:sz w:val="16"/>
                <w:szCs w:val="16"/>
              </w:rPr>
            </w:pPr>
            <w:r w:rsidRPr="00B44B19">
              <w:rPr>
                <w:rStyle w:val="tlid-translation"/>
                <w:rFonts w:cs="Times New Roman"/>
                <w:sz w:val="16"/>
                <w:szCs w:val="16"/>
              </w:rPr>
              <w:t>Sukurta statinių gyvavimo ciklo (SGC) modeliavimo sistema</w:t>
            </w:r>
          </w:p>
        </w:tc>
        <w:tc>
          <w:tcPr>
            <w:tcW w:w="506" w:type="pct"/>
          </w:tcPr>
          <w:p w14:paraId="20181C1E"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Skaičius</w:t>
            </w:r>
          </w:p>
        </w:tc>
        <w:tc>
          <w:tcPr>
            <w:tcW w:w="503" w:type="pct"/>
          </w:tcPr>
          <w:p w14:paraId="57FB6F9B"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Pr>
          <w:p w14:paraId="63F57CCD"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1</w:t>
            </w:r>
          </w:p>
        </w:tc>
      </w:tr>
      <w:tr w:rsidR="007B05A8" w:rsidRPr="00B44B19" w14:paraId="4D1B7D84" w14:textId="77777777" w:rsidTr="009C6543">
        <w:trPr>
          <w:trHeight w:val="555"/>
        </w:trPr>
        <w:tc>
          <w:tcPr>
            <w:tcW w:w="497" w:type="pct"/>
            <w:vMerge/>
          </w:tcPr>
          <w:p w14:paraId="2F81221D"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080679F2" w14:textId="77777777" w:rsidR="007B05A8" w:rsidRPr="00B44B19" w:rsidRDefault="007B05A8" w:rsidP="009C6543">
            <w:pPr>
              <w:spacing w:after="0" w:line="240" w:lineRule="auto"/>
              <w:jc w:val="both"/>
              <w:rPr>
                <w:rFonts w:cs="Times New Roman"/>
                <w:noProof/>
                <w:sz w:val="16"/>
                <w:szCs w:val="16"/>
              </w:rPr>
            </w:pPr>
          </w:p>
        </w:tc>
        <w:tc>
          <w:tcPr>
            <w:tcW w:w="431" w:type="pct"/>
            <w:vMerge/>
          </w:tcPr>
          <w:p w14:paraId="7B80F05C" w14:textId="77777777" w:rsidR="007B05A8" w:rsidRPr="00B44B19" w:rsidRDefault="007B05A8" w:rsidP="009C6543">
            <w:pPr>
              <w:spacing w:after="0" w:line="240" w:lineRule="auto"/>
              <w:jc w:val="both"/>
              <w:rPr>
                <w:rFonts w:cs="Times New Roman"/>
                <w:noProof/>
                <w:sz w:val="16"/>
                <w:szCs w:val="16"/>
              </w:rPr>
            </w:pPr>
          </w:p>
        </w:tc>
        <w:tc>
          <w:tcPr>
            <w:tcW w:w="502" w:type="pct"/>
            <w:vMerge/>
          </w:tcPr>
          <w:p w14:paraId="1C91E326" w14:textId="77777777" w:rsidR="007B05A8" w:rsidRPr="00B44B19" w:rsidRDefault="007B05A8" w:rsidP="009C6543">
            <w:pPr>
              <w:spacing w:after="0" w:line="240" w:lineRule="auto"/>
              <w:jc w:val="both"/>
              <w:rPr>
                <w:rFonts w:cs="Times New Roman"/>
                <w:noProof/>
                <w:sz w:val="16"/>
                <w:szCs w:val="16"/>
              </w:rPr>
            </w:pPr>
          </w:p>
        </w:tc>
        <w:tc>
          <w:tcPr>
            <w:tcW w:w="647" w:type="pct"/>
          </w:tcPr>
          <w:p w14:paraId="23C3E7AC" w14:textId="77777777" w:rsidR="007B05A8" w:rsidRPr="00B44B19" w:rsidRDefault="007B05A8" w:rsidP="005C4155">
            <w:pPr>
              <w:spacing w:after="0" w:line="240" w:lineRule="auto"/>
              <w:jc w:val="both"/>
              <w:rPr>
                <w:rFonts w:cs="Times New Roman"/>
                <w:sz w:val="16"/>
                <w:szCs w:val="16"/>
              </w:rPr>
            </w:pPr>
            <w:r w:rsidRPr="00B44B19">
              <w:rPr>
                <w:rFonts w:eastAsia="Calibri" w:cs="Times New Roman"/>
                <w:sz w:val="16"/>
                <w:szCs w:val="16"/>
                <w:lang w:eastAsia="en-GB" w:bidi="lt-LT"/>
              </w:rPr>
              <w:t>Specialusis</w:t>
            </w:r>
          </w:p>
        </w:tc>
        <w:tc>
          <w:tcPr>
            <w:tcW w:w="932" w:type="pct"/>
          </w:tcPr>
          <w:p w14:paraId="2D9B742C" w14:textId="77777777" w:rsidR="007B05A8" w:rsidRPr="00B44B19" w:rsidRDefault="007B05A8" w:rsidP="009C6543">
            <w:pPr>
              <w:spacing w:after="0" w:line="240" w:lineRule="auto"/>
              <w:rPr>
                <w:rStyle w:val="tlid-translation"/>
                <w:rFonts w:cs="Times New Roman"/>
                <w:sz w:val="16"/>
                <w:szCs w:val="16"/>
              </w:rPr>
            </w:pPr>
            <w:r w:rsidRPr="00B44B19">
              <w:rPr>
                <w:rFonts w:cs="Times New Roman"/>
                <w:sz w:val="16"/>
                <w:szCs w:val="16"/>
                <w:lang w:eastAsia="en-GB"/>
              </w:rPr>
              <w:t xml:space="preserve">Gyventojai, kuriems taikomi projektai, vykdomi pagal integruotas teritorinio vystymo programas </w:t>
            </w:r>
          </w:p>
        </w:tc>
        <w:tc>
          <w:tcPr>
            <w:tcW w:w="506" w:type="pct"/>
          </w:tcPr>
          <w:p w14:paraId="3FC488C9"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Asmenys</w:t>
            </w:r>
          </w:p>
        </w:tc>
        <w:tc>
          <w:tcPr>
            <w:tcW w:w="503" w:type="pct"/>
          </w:tcPr>
          <w:p w14:paraId="71C067D3" w14:textId="77777777" w:rsidR="007B05A8" w:rsidRPr="00B44B19" w:rsidRDefault="007B05A8" w:rsidP="009C6543">
            <w:pPr>
              <w:spacing w:after="0" w:line="240" w:lineRule="auto"/>
              <w:jc w:val="center"/>
              <w:rPr>
                <w:rFonts w:cs="Times New Roman"/>
                <w:noProof/>
                <w:sz w:val="16"/>
                <w:szCs w:val="16"/>
              </w:rPr>
            </w:pPr>
            <w:r w:rsidRPr="00B44B19">
              <w:rPr>
                <w:rFonts w:cs="Times New Roman"/>
                <w:sz w:val="16"/>
                <w:szCs w:val="16"/>
              </w:rPr>
              <w:t xml:space="preserve"> 0</w:t>
            </w:r>
          </w:p>
        </w:tc>
        <w:tc>
          <w:tcPr>
            <w:tcW w:w="479" w:type="pct"/>
          </w:tcPr>
          <w:p w14:paraId="7D5BFD90"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251 132</w:t>
            </w:r>
          </w:p>
        </w:tc>
      </w:tr>
      <w:tr w:rsidR="007B05A8" w:rsidRPr="00B44B19" w14:paraId="21EAB5D3" w14:textId="77777777" w:rsidTr="009C6543">
        <w:trPr>
          <w:trHeight w:val="555"/>
        </w:trPr>
        <w:tc>
          <w:tcPr>
            <w:tcW w:w="497" w:type="pct"/>
            <w:vMerge/>
          </w:tcPr>
          <w:p w14:paraId="32AB02B3"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65936D62" w14:textId="77777777" w:rsidR="007B05A8" w:rsidRPr="00B44B19" w:rsidRDefault="007B05A8" w:rsidP="009C6543">
            <w:pPr>
              <w:spacing w:after="0" w:line="240" w:lineRule="auto"/>
              <w:jc w:val="both"/>
              <w:rPr>
                <w:rFonts w:cs="Times New Roman"/>
                <w:noProof/>
                <w:sz w:val="16"/>
                <w:szCs w:val="16"/>
              </w:rPr>
            </w:pPr>
          </w:p>
        </w:tc>
        <w:tc>
          <w:tcPr>
            <w:tcW w:w="431" w:type="pct"/>
            <w:vMerge/>
          </w:tcPr>
          <w:p w14:paraId="63D83911" w14:textId="77777777" w:rsidR="007B05A8" w:rsidRPr="00B44B19" w:rsidRDefault="007B05A8" w:rsidP="009C6543">
            <w:pPr>
              <w:spacing w:after="0" w:line="240" w:lineRule="auto"/>
              <w:jc w:val="both"/>
              <w:rPr>
                <w:rFonts w:cs="Times New Roman"/>
                <w:noProof/>
                <w:sz w:val="16"/>
                <w:szCs w:val="16"/>
              </w:rPr>
            </w:pPr>
          </w:p>
        </w:tc>
        <w:tc>
          <w:tcPr>
            <w:tcW w:w="502" w:type="pct"/>
            <w:vMerge/>
          </w:tcPr>
          <w:p w14:paraId="791233AA" w14:textId="77777777" w:rsidR="007B05A8" w:rsidRPr="00B44B19" w:rsidRDefault="007B05A8" w:rsidP="009C6543">
            <w:pPr>
              <w:spacing w:after="0" w:line="240" w:lineRule="auto"/>
              <w:jc w:val="both"/>
              <w:rPr>
                <w:rFonts w:cs="Times New Roman"/>
                <w:noProof/>
                <w:sz w:val="16"/>
                <w:szCs w:val="16"/>
              </w:rPr>
            </w:pPr>
          </w:p>
        </w:tc>
        <w:tc>
          <w:tcPr>
            <w:tcW w:w="647" w:type="pct"/>
          </w:tcPr>
          <w:p w14:paraId="4A54EF94" w14:textId="77777777" w:rsidR="007B05A8" w:rsidRPr="00B44B19" w:rsidRDefault="007B05A8" w:rsidP="005C4155">
            <w:pPr>
              <w:spacing w:after="0" w:line="240" w:lineRule="auto"/>
              <w:jc w:val="both"/>
              <w:rPr>
                <w:rFonts w:cs="Times New Roman"/>
                <w:sz w:val="16"/>
                <w:szCs w:val="16"/>
              </w:rPr>
            </w:pPr>
            <w:r w:rsidRPr="00B44B19">
              <w:rPr>
                <w:rFonts w:eastAsia="Calibri" w:cs="Times New Roman"/>
                <w:sz w:val="16"/>
                <w:szCs w:val="16"/>
                <w:lang w:eastAsia="en-GB" w:bidi="lt-LT"/>
              </w:rPr>
              <w:t>Specialusis</w:t>
            </w:r>
          </w:p>
        </w:tc>
        <w:tc>
          <w:tcPr>
            <w:tcW w:w="932" w:type="pct"/>
          </w:tcPr>
          <w:p w14:paraId="3777CD1E" w14:textId="77777777" w:rsidR="007B05A8" w:rsidRPr="00B44B19" w:rsidRDefault="007B05A8" w:rsidP="009C6543">
            <w:pPr>
              <w:spacing w:after="0" w:line="240" w:lineRule="auto"/>
              <w:rPr>
                <w:rStyle w:val="tlid-translation"/>
                <w:rFonts w:cs="Times New Roman"/>
                <w:sz w:val="16"/>
                <w:szCs w:val="16"/>
              </w:rPr>
            </w:pPr>
            <w:r w:rsidRPr="00B44B19">
              <w:rPr>
                <w:rFonts w:cs="Times New Roman"/>
                <w:sz w:val="16"/>
                <w:szCs w:val="16"/>
              </w:rPr>
              <w:t>Integruotos teritorinio vystymo strategijos, kurioms suteikta parama</w:t>
            </w:r>
          </w:p>
        </w:tc>
        <w:tc>
          <w:tcPr>
            <w:tcW w:w="506" w:type="pct"/>
          </w:tcPr>
          <w:p w14:paraId="0A04D543"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Indėlis į strategijas</w:t>
            </w:r>
          </w:p>
        </w:tc>
        <w:tc>
          <w:tcPr>
            <w:tcW w:w="503" w:type="pct"/>
          </w:tcPr>
          <w:p w14:paraId="76762B40" w14:textId="77777777" w:rsidR="007B05A8" w:rsidRPr="00B44B19" w:rsidRDefault="007B05A8" w:rsidP="009C6543">
            <w:pPr>
              <w:spacing w:after="0" w:line="240" w:lineRule="auto"/>
              <w:jc w:val="center"/>
              <w:rPr>
                <w:rFonts w:cs="Times New Roman"/>
                <w:noProof/>
                <w:sz w:val="16"/>
                <w:szCs w:val="16"/>
              </w:rPr>
            </w:pPr>
            <w:r w:rsidRPr="00B44B19">
              <w:rPr>
                <w:rFonts w:cs="Times New Roman"/>
                <w:sz w:val="16"/>
                <w:szCs w:val="16"/>
              </w:rPr>
              <w:t>0</w:t>
            </w:r>
          </w:p>
        </w:tc>
        <w:tc>
          <w:tcPr>
            <w:tcW w:w="479" w:type="pct"/>
          </w:tcPr>
          <w:p w14:paraId="2E663422"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2</w:t>
            </w:r>
          </w:p>
        </w:tc>
      </w:tr>
    </w:tbl>
    <w:p w14:paraId="444E1F57" w14:textId="77777777" w:rsidR="001517E2" w:rsidRPr="00B44B19" w:rsidRDefault="001517E2" w:rsidP="00471A41">
      <w:pPr>
        <w:spacing w:after="0" w:line="240" w:lineRule="auto"/>
        <w:jc w:val="both"/>
        <w:rPr>
          <w:rFonts w:cs="Times New Roman"/>
          <w:b/>
          <w:sz w:val="22"/>
        </w:rPr>
        <w:sectPr w:rsidR="001517E2" w:rsidRPr="00B44B19" w:rsidSect="00931C78">
          <w:pgSz w:w="11906" w:h="16838"/>
          <w:pgMar w:top="1276" w:right="567" w:bottom="1134" w:left="1701" w:header="567" w:footer="567" w:gutter="0"/>
          <w:cols w:space="1296"/>
          <w:docGrid w:linePitch="360"/>
        </w:sectPr>
      </w:pPr>
    </w:p>
    <w:p w14:paraId="04153596" w14:textId="77777777" w:rsidR="00471A41" w:rsidRPr="00B44B19" w:rsidRDefault="00471A41" w:rsidP="001517E2">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764"/>
        <w:gridCol w:w="975"/>
        <w:gridCol w:w="1115"/>
        <w:gridCol w:w="1115"/>
        <w:gridCol w:w="975"/>
        <w:gridCol w:w="1115"/>
        <w:gridCol w:w="820"/>
      </w:tblGrid>
      <w:tr w:rsidR="00AD084E" w:rsidRPr="00B44B19" w14:paraId="3D638156" w14:textId="77777777" w:rsidTr="009C6543">
        <w:trPr>
          <w:trHeight w:val="858"/>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B55AF6"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6F744C"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CD54CA"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3A804E"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590FA5"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2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BA0894"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E7F539"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B77548"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1B2272"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0560B4"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Siek</w:t>
            </w:r>
            <w:r w:rsidR="006A188E" w:rsidRPr="00B44B19">
              <w:rPr>
                <w:rFonts w:cs="Times New Roman"/>
                <w:b/>
                <w:noProof/>
                <w:sz w:val="16"/>
                <w:szCs w:val="16"/>
              </w:rPr>
              <w:t>tina reikšmė</w:t>
            </w:r>
            <w:r w:rsidRPr="00B44B19">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5BCBCF"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A685B1" w14:textId="77777777" w:rsidR="00AD084E" w:rsidRPr="00B44B19" w:rsidRDefault="00AD084E" w:rsidP="009C6543">
            <w:pPr>
              <w:spacing w:after="0" w:line="240" w:lineRule="auto"/>
              <w:jc w:val="center"/>
              <w:rPr>
                <w:rFonts w:cs="Times New Roman"/>
                <w:b/>
                <w:noProof/>
                <w:sz w:val="16"/>
                <w:szCs w:val="16"/>
              </w:rPr>
            </w:pPr>
            <w:r w:rsidRPr="00B44B19">
              <w:rPr>
                <w:rFonts w:cs="Times New Roman"/>
                <w:b/>
                <w:noProof/>
                <w:sz w:val="16"/>
                <w:szCs w:val="16"/>
              </w:rPr>
              <w:t>Pastabos</w:t>
            </w:r>
          </w:p>
        </w:tc>
      </w:tr>
      <w:tr w:rsidR="00AD084E" w:rsidRPr="00B44B19" w14:paraId="6CA7E3F4" w14:textId="77777777" w:rsidTr="009C6543">
        <w:trPr>
          <w:trHeight w:val="333"/>
        </w:trPr>
        <w:tc>
          <w:tcPr>
            <w:tcW w:w="317" w:type="pct"/>
            <w:vMerge w:val="restart"/>
            <w:tcBorders>
              <w:top w:val="single" w:sz="12" w:space="0" w:color="auto"/>
            </w:tcBorders>
          </w:tcPr>
          <w:p w14:paraId="2D659643"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2. Žalesnė Lietuva</w:t>
            </w:r>
          </w:p>
        </w:tc>
        <w:tc>
          <w:tcPr>
            <w:tcW w:w="328" w:type="pct"/>
            <w:vMerge w:val="restart"/>
            <w:tcBorders>
              <w:top w:val="single" w:sz="12" w:space="0" w:color="auto"/>
            </w:tcBorders>
          </w:tcPr>
          <w:p w14:paraId="2D424FE6"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2.6</w:t>
            </w:r>
          </w:p>
        </w:tc>
        <w:tc>
          <w:tcPr>
            <w:tcW w:w="281" w:type="pct"/>
            <w:vMerge w:val="restart"/>
            <w:tcBorders>
              <w:top w:val="single" w:sz="12" w:space="0" w:color="auto"/>
            </w:tcBorders>
          </w:tcPr>
          <w:p w14:paraId="63FFEFF0"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SaF</w:t>
            </w:r>
          </w:p>
        </w:tc>
        <w:tc>
          <w:tcPr>
            <w:tcW w:w="328" w:type="pct"/>
            <w:vMerge w:val="restart"/>
            <w:tcBorders>
              <w:top w:val="single" w:sz="12" w:space="0" w:color="auto"/>
            </w:tcBorders>
          </w:tcPr>
          <w:p w14:paraId="6CA4ABAB"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Pr>
          <w:p w14:paraId="045AA507" w14:textId="77777777" w:rsidR="00AD084E" w:rsidRPr="00B44B19" w:rsidRDefault="00AD084E" w:rsidP="009C6543">
            <w:pPr>
              <w:spacing w:after="0" w:line="240" w:lineRule="auto"/>
              <w:rPr>
                <w:rFonts w:cs="Times New Roman"/>
                <w:sz w:val="16"/>
                <w:szCs w:val="16"/>
              </w:rPr>
            </w:pPr>
            <w:r w:rsidRPr="00B44B19">
              <w:rPr>
                <w:rFonts w:cs="Times New Roman"/>
                <w:sz w:val="16"/>
                <w:szCs w:val="16"/>
              </w:rPr>
              <w:t>RCR47</w:t>
            </w:r>
          </w:p>
        </w:tc>
        <w:tc>
          <w:tcPr>
            <w:tcW w:w="1266" w:type="pct"/>
          </w:tcPr>
          <w:p w14:paraId="2479B238" w14:textId="77777777" w:rsidR="00AD084E" w:rsidRPr="00B44B19" w:rsidRDefault="00AD084E" w:rsidP="009C6543">
            <w:pPr>
              <w:spacing w:after="0" w:line="240" w:lineRule="auto"/>
              <w:rPr>
                <w:rFonts w:cs="Times New Roman"/>
                <w:sz w:val="16"/>
                <w:szCs w:val="16"/>
              </w:rPr>
            </w:pPr>
            <w:r w:rsidRPr="00B44B19">
              <w:rPr>
                <w:rFonts w:cs="Times New Roman"/>
                <w:sz w:val="16"/>
                <w:szCs w:val="16"/>
              </w:rPr>
              <w:t>Perdirbtos atliekos</w:t>
            </w:r>
          </w:p>
        </w:tc>
        <w:tc>
          <w:tcPr>
            <w:tcW w:w="328" w:type="pct"/>
          </w:tcPr>
          <w:p w14:paraId="6BB6DC6B"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Tonos per metus</w:t>
            </w:r>
          </w:p>
        </w:tc>
        <w:tc>
          <w:tcPr>
            <w:tcW w:w="375" w:type="pct"/>
          </w:tcPr>
          <w:p w14:paraId="6132D90C" w14:textId="77777777" w:rsidR="00AD084E" w:rsidRPr="00B44B19" w:rsidRDefault="00AD084E"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76BD9C04" w14:textId="77777777" w:rsidR="00AD084E" w:rsidRPr="00B44B19" w:rsidRDefault="00AD084E" w:rsidP="009C6543">
            <w:pPr>
              <w:spacing w:after="0" w:line="240" w:lineRule="auto"/>
              <w:jc w:val="center"/>
              <w:rPr>
                <w:rFonts w:cs="Times New Roman"/>
                <w:noProof/>
                <w:sz w:val="16"/>
                <w:szCs w:val="16"/>
                <w:lang w:val="en-US"/>
              </w:rPr>
            </w:pPr>
            <w:r w:rsidRPr="00B44B19">
              <w:rPr>
                <w:rFonts w:cs="Times New Roman"/>
                <w:noProof/>
                <w:sz w:val="16"/>
                <w:szCs w:val="16"/>
              </w:rPr>
              <w:t>2021</w:t>
            </w:r>
          </w:p>
        </w:tc>
        <w:tc>
          <w:tcPr>
            <w:tcW w:w="328" w:type="pct"/>
          </w:tcPr>
          <w:p w14:paraId="63172C8D" w14:textId="77777777" w:rsidR="00AD084E" w:rsidRPr="00B44B19" w:rsidRDefault="002C5857" w:rsidP="00C446E4">
            <w:pPr>
              <w:spacing w:after="0" w:line="240" w:lineRule="auto"/>
              <w:jc w:val="center"/>
              <w:rPr>
                <w:rFonts w:cs="Times New Roman"/>
                <w:noProof/>
                <w:sz w:val="16"/>
                <w:szCs w:val="16"/>
              </w:rPr>
            </w:pPr>
            <w:r w:rsidRPr="00B44B19">
              <w:rPr>
                <w:rFonts w:cs="Times New Roman"/>
                <w:noProof/>
                <w:sz w:val="16"/>
                <w:szCs w:val="16"/>
              </w:rPr>
              <w:t>76 929</w:t>
            </w:r>
          </w:p>
        </w:tc>
        <w:tc>
          <w:tcPr>
            <w:tcW w:w="375" w:type="pct"/>
          </w:tcPr>
          <w:p w14:paraId="0B151B08" w14:textId="77777777" w:rsidR="00AD084E" w:rsidRPr="00B44B19" w:rsidRDefault="0074654D" w:rsidP="009C6543">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Pr>
          <w:p w14:paraId="43BAB468" w14:textId="77777777" w:rsidR="00AD084E" w:rsidRPr="00B44B19" w:rsidRDefault="00AD084E" w:rsidP="009C6543">
            <w:pPr>
              <w:spacing w:after="0" w:line="240" w:lineRule="auto"/>
              <w:jc w:val="both"/>
              <w:rPr>
                <w:rFonts w:cs="Times New Roman"/>
                <w:b/>
                <w:noProof/>
                <w:sz w:val="16"/>
                <w:szCs w:val="16"/>
              </w:rPr>
            </w:pPr>
          </w:p>
        </w:tc>
      </w:tr>
      <w:tr w:rsidR="00AD084E" w:rsidRPr="00B44B19" w14:paraId="24AA1FA2" w14:textId="77777777" w:rsidTr="009C6543">
        <w:trPr>
          <w:trHeight w:val="372"/>
        </w:trPr>
        <w:tc>
          <w:tcPr>
            <w:tcW w:w="317" w:type="pct"/>
            <w:vMerge/>
          </w:tcPr>
          <w:p w14:paraId="7FE0F03D" w14:textId="77777777" w:rsidR="00AD084E" w:rsidRPr="00B44B19" w:rsidRDefault="00AD084E" w:rsidP="009C6543">
            <w:pPr>
              <w:spacing w:after="0" w:line="240" w:lineRule="auto"/>
              <w:jc w:val="both"/>
              <w:rPr>
                <w:rFonts w:cs="Times New Roman"/>
                <w:noProof/>
                <w:sz w:val="16"/>
                <w:szCs w:val="16"/>
              </w:rPr>
            </w:pPr>
          </w:p>
        </w:tc>
        <w:tc>
          <w:tcPr>
            <w:tcW w:w="328" w:type="pct"/>
            <w:vMerge/>
          </w:tcPr>
          <w:p w14:paraId="736D43E0" w14:textId="77777777" w:rsidR="00AD084E" w:rsidRPr="00B44B19" w:rsidRDefault="00AD084E" w:rsidP="009C6543">
            <w:pPr>
              <w:spacing w:after="0" w:line="240" w:lineRule="auto"/>
              <w:jc w:val="both"/>
              <w:rPr>
                <w:rFonts w:cs="Times New Roman"/>
                <w:noProof/>
                <w:sz w:val="16"/>
                <w:szCs w:val="16"/>
              </w:rPr>
            </w:pPr>
          </w:p>
        </w:tc>
        <w:tc>
          <w:tcPr>
            <w:tcW w:w="281" w:type="pct"/>
            <w:vMerge/>
          </w:tcPr>
          <w:p w14:paraId="41D1E1FC" w14:textId="77777777" w:rsidR="00AD084E" w:rsidRPr="00B44B19" w:rsidRDefault="00AD084E" w:rsidP="009C6543">
            <w:pPr>
              <w:spacing w:after="0" w:line="240" w:lineRule="auto"/>
              <w:jc w:val="both"/>
              <w:rPr>
                <w:rFonts w:cs="Times New Roman"/>
                <w:noProof/>
                <w:sz w:val="16"/>
                <w:szCs w:val="16"/>
              </w:rPr>
            </w:pPr>
          </w:p>
        </w:tc>
        <w:tc>
          <w:tcPr>
            <w:tcW w:w="328" w:type="pct"/>
            <w:vMerge/>
          </w:tcPr>
          <w:p w14:paraId="2BD752E5" w14:textId="77777777" w:rsidR="00AD084E" w:rsidRPr="00B44B19" w:rsidRDefault="00AD084E" w:rsidP="009C6543">
            <w:pPr>
              <w:spacing w:after="0" w:line="240" w:lineRule="auto"/>
              <w:jc w:val="both"/>
              <w:rPr>
                <w:rFonts w:cs="Times New Roman"/>
                <w:noProof/>
                <w:sz w:val="16"/>
                <w:szCs w:val="16"/>
              </w:rPr>
            </w:pPr>
          </w:p>
        </w:tc>
        <w:tc>
          <w:tcPr>
            <w:tcW w:w="422" w:type="pct"/>
          </w:tcPr>
          <w:p w14:paraId="7E93E691" w14:textId="77777777" w:rsidR="00AD084E" w:rsidRPr="00B44B19" w:rsidRDefault="00AD084E" w:rsidP="009C6543">
            <w:pPr>
              <w:spacing w:after="0" w:line="240" w:lineRule="auto"/>
              <w:rPr>
                <w:rFonts w:cs="Times New Roman"/>
                <w:sz w:val="16"/>
                <w:szCs w:val="16"/>
              </w:rPr>
            </w:pPr>
            <w:r w:rsidRPr="00B44B19">
              <w:rPr>
                <w:rFonts w:cs="Times New Roman"/>
                <w:sz w:val="16"/>
                <w:szCs w:val="16"/>
              </w:rPr>
              <w:t>RCR103</w:t>
            </w:r>
          </w:p>
        </w:tc>
        <w:tc>
          <w:tcPr>
            <w:tcW w:w="1266" w:type="pct"/>
          </w:tcPr>
          <w:p w14:paraId="0B013E8B" w14:textId="77777777" w:rsidR="00AD084E" w:rsidRPr="00B44B19" w:rsidRDefault="0061053B" w:rsidP="009C6543">
            <w:pPr>
              <w:spacing w:after="0" w:line="240" w:lineRule="auto"/>
              <w:rPr>
                <w:rFonts w:cs="Times New Roman"/>
                <w:sz w:val="16"/>
                <w:szCs w:val="16"/>
              </w:rPr>
            </w:pPr>
            <w:r w:rsidRPr="00B44B19">
              <w:rPr>
                <w:rFonts w:cs="Times New Roman"/>
                <w:sz w:val="16"/>
                <w:szCs w:val="16"/>
              </w:rPr>
              <w:t>Surinktos atskirai išrūšiuotos atliekos</w:t>
            </w:r>
          </w:p>
        </w:tc>
        <w:tc>
          <w:tcPr>
            <w:tcW w:w="328" w:type="pct"/>
          </w:tcPr>
          <w:p w14:paraId="49C90355"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Tonos per metus</w:t>
            </w:r>
          </w:p>
        </w:tc>
        <w:tc>
          <w:tcPr>
            <w:tcW w:w="375" w:type="pct"/>
          </w:tcPr>
          <w:p w14:paraId="3F91AD7E" w14:textId="77777777" w:rsidR="00AD084E" w:rsidRPr="00B44B19" w:rsidRDefault="00AD084E"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2B99DE7" w14:textId="77777777" w:rsidR="00AD084E" w:rsidRPr="00B44B19" w:rsidRDefault="00AD084E" w:rsidP="009C6543">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35EB8CAC" w14:textId="77777777" w:rsidR="00AD084E" w:rsidRPr="00B44B19" w:rsidRDefault="00C945C4" w:rsidP="00C446E4">
            <w:pPr>
              <w:spacing w:after="0" w:line="240" w:lineRule="auto"/>
              <w:jc w:val="center"/>
              <w:rPr>
                <w:rFonts w:cs="Times New Roman"/>
                <w:noProof/>
                <w:sz w:val="16"/>
                <w:szCs w:val="16"/>
              </w:rPr>
            </w:pPr>
            <w:r w:rsidRPr="00B44B19">
              <w:rPr>
                <w:rFonts w:cs="Times New Roman"/>
                <w:noProof/>
                <w:sz w:val="16"/>
                <w:szCs w:val="16"/>
              </w:rPr>
              <w:t>38 527</w:t>
            </w:r>
          </w:p>
        </w:tc>
        <w:tc>
          <w:tcPr>
            <w:tcW w:w="375" w:type="pct"/>
          </w:tcPr>
          <w:p w14:paraId="28806F96" w14:textId="77777777" w:rsidR="00AD084E" w:rsidRPr="00B44B19" w:rsidRDefault="0074654D" w:rsidP="009C6543">
            <w:pPr>
              <w:spacing w:after="0" w:line="240" w:lineRule="auto"/>
              <w:jc w:val="both"/>
              <w:rPr>
                <w:rFonts w:cs="Times New Roman"/>
                <w:noProof/>
                <w:sz w:val="16"/>
                <w:szCs w:val="16"/>
              </w:rPr>
            </w:pPr>
            <w:r w:rsidRPr="00B44B19">
              <w:rPr>
                <w:rFonts w:cs="Times New Roman"/>
                <w:noProof/>
                <w:sz w:val="16"/>
                <w:szCs w:val="16"/>
              </w:rPr>
              <w:t>Projektų duomenys</w:t>
            </w:r>
          </w:p>
        </w:tc>
        <w:tc>
          <w:tcPr>
            <w:tcW w:w="276" w:type="pct"/>
          </w:tcPr>
          <w:p w14:paraId="6245A3CF" w14:textId="77777777" w:rsidR="00AD084E" w:rsidRPr="00B44B19" w:rsidRDefault="00AD084E" w:rsidP="009C6543">
            <w:pPr>
              <w:spacing w:after="0" w:line="240" w:lineRule="auto"/>
              <w:jc w:val="both"/>
              <w:rPr>
                <w:rFonts w:cs="Times New Roman"/>
                <w:b/>
                <w:noProof/>
                <w:sz w:val="16"/>
                <w:szCs w:val="16"/>
              </w:rPr>
            </w:pPr>
          </w:p>
        </w:tc>
      </w:tr>
      <w:tr w:rsidR="00AD084E" w:rsidRPr="00B44B19" w14:paraId="5D2B0809" w14:textId="77777777" w:rsidTr="009C6543">
        <w:trPr>
          <w:trHeight w:val="335"/>
        </w:trPr>
        <w:tc>
          <w:tcPr>
            <w:tcW w:w="317" w:type="pct"/>
            <w:vMerge/>
          </w:tcPr>
          <w:p w14:paraId="2D8C3EC1" w14:textId="77777777" w:rsidR="00AD084E" w:rsidRPr="00B44B19" w:rsidRDefault="00AD084E" w:rsidP="009C6543">
            <w:pPr>
              <w:spacing w:after="0" w:line="240" w:lineRule="auto"/>
              <w:jc w:val="both"/>
              <w:rPr>
                <w:rFonts w:cs="Times New Roman"/>
                <w:noProof/>
                <w:sz w:val="16"/>
                <w:szCs w:val="16"/>
              </w:rPr>
            </w:pPr>
          </w:p>
        </w:tc>
        <w:tc>
          <w:tcPr>
            <w:tcW w:w="328" w:type="pct"/>
            <w:vMerge/>
          </w:tcPr>
          <w:p w14:paraId="78502EBA" w14:textId="77777777" w:rsidR="00AD084E" w:rsidRPr="00B44B19" w:rsidRDefault="00AD084E" w:rsidP="009C6543">
            <w:pPr>
              <w:spacing w:after="0" w:line="240" w:lineRule="auto"/>
              <w:jc w:val="both"/>
              <w:rPr>
                <w:rFonts w:cs="Times New Roman"/>
                <w:noProof/>
                <w:sz w:val="16"/>
                <w:szCs w:val="16"/>
              </w:rPr>
            </w:pPr>
          </w:p>
        </w:tc>
        <w:tc>
          <w:tcPr>
            <w:tcW w:w="281" w:type="pct"/>
            <w:vMerge/>
          </w:tcPr>
          <w:p w14:paraId="371D93C0" w14:textId="77777777" w:rsidR="00AD084E" w:rsidRPr="00B44B19" w:rsidRDefault="00AD084E" w:rsidP="009C6543">
            <w:pPr>
              <w:spacing w:after="0" w:line="240" w:lineRule="auto"/>
              <w:jc w:val="both"/>
              <w:rPr>
                <w:rFonts w:cs="Times New Roman"/>
                <w:noProof/>
                <w:sz w:val="16"/>
                <w:szCs w:val="16"/>
              </w:rPr>
            </w:pPr>
          </w:p>
        </w:tc>
        <w:tc>
          <w:tcPr>
            <w:tcW w:w="328" w:type="pct"/>
            <w:vMerge/>
          </w:tcPr>
          <w:p w14:paraId="04BA0219" w14:textId="77777777" w:rsidR="00AD084E" w:rsidRPr="00B44B19" w:rsidRDefault="00AD084E" w:rsidP="009C6543">
            <w:pPr>
              <w:spacing w:after="0" w:line="240" w:lineRule="auto"/>
              <w:jc w:val="both"/>
              <w:rPr>
                <w:rFonts w:cs="Times New Roman"/>
                <w:noProof/>
                <w:sz w:val="16"/>
                <w:szCs w:val="16"/>
              </w:rPr>
            </w:pPr>
          </w:p>
        </w:tc>
        <w:tc>
          <w:tcPr>
            <w:tcW w:w="422" w:type="pct"/>
          </w:tcPr>
          <w:p w14:paraId="6EEF2849" w14:textId="77777777" w:rsidR="00AD084E" w:rsidRPr="00B44B19" w:rsidRDefault="005F0BE2" w:rsidP="009C6543">
            <w:pPr>
              <w:spacing w:after="0" w:line="240" w:lineRule="auto"/>
              <w:jc w:val="both"/>
              <w:rPr>
                <w:rFonts w:cs="Times New Roman"/>
                <w:sz w:val="16"/>
                <w:szCs w:val="16"/>
              </w:rPr>
            </w:pPr>
            <w:r w:rsidRPr="00B44B19">
              <w:rPr>
                <w:rFonts w:cs="Times New Roman"/>
                <w:sz w:val="16"/>
                <w:szCs w:val="16"/>
              </w:rPr>
              <w:t>S</w:t>
            </w:r>
            <w:r w:rsidR="00AD084E" w:rsidRPr="00B44B19">
              <w:rPr>
                <w:rFonts w:cs="Times New Roman"/>
                <w:sz w:val="16"/>
                <w:szCs w:val="16"/>
              </w:rPr>
              <w:t>pecialus</w:t>
            </w:r>
            <w:r w:rsidR="0074654D" w:rsidRPr="00B44B19">
              <w:rPr>
                <w:rFonts w:cs="Times New Roman"/>
                <w:sz w:val="16"/>
                <w:szCs w:val="16"/>
              </w:rPr>
              <w:t>is</w:t>
            </w:r>
          </w:p>
        </w:tc>
        <w:tc>
          <w:tcPr>
            <w:tcW w:w="1266" w:type="pct"/>
          </w:tcPr>
          <w:p w14:paraId="67E962FE" w14:textId="77777777" w:rsidR="00AD084E" w:rsidRPr="00B44B19" w:rsidRDefault="001F56EE" w:rsidP="00BF56CE">
            <w:pPr>
              <w:spacing w:after="0" w:line="240" w:lineRule="auto"/>
              <w:rPr>
                <w:rFonts w:cs="Times New Roman"/>
                <w:sz w:val="16"/>
                <w:szCs w:val="16"/>
              </w:rPr>
            </w:pPr>
            <w:r w:rsidRPr="00B44B19">
              <w:rPr>
                <w:rFonts w:cs="Times New Roman"/>
                <w:sz w:val="16"/>
                <w:szCs w:val="16"/>
              </w:rPr>
              <w:t>Susidaręs maisto atliekų kiekis, tenkantis vienam šalies gyventojui</w:t>
            </w:r>
          </w:p>
        </w:tc>
        <w:tc>
          <w:tcPr>
            <w:tcW w:w="328" w:type="pct"/>
          </w:tcPr>
          <w:p w14:paraId="7F878874" w14:textId="77777777" w:rsidR="00AD084E" w:rsidRPr="00B44B19" w:rsidRDefault="001F56EE" w:rsidP="009C6543">
            <w:pPr>
              <w:spacing w:after="0" w:line="240" w:lineRule="auto"/>
              <w:jc w:val="both"/>
              <w:rPr>
                <w:rFonts w:cs="Times New Roman"/>
                <w:noProof/>
                <w:sz w:val="16"/>
                <w:szCs w:val="16"/>
              </w:rPr>
            </w:pPr>
            <w:r w:rsidRPr="00B44B19">
              <w:rPr>
                <w:rFonts w:cs="Times New Roman"/>
                <w:noProof/>
                <w:sz w:val="16"/>
                <w:szCs w:val="16"/>
              </w:rPr>
              <w:t>Kilogramai per metus</w:t>
            </w:r>
          </w:p>
        </w:tc>
        <w:tc>
          <w:tcPr>
            <w:tcW w:w="375" w:type="pct"/>
          </w:tcPr>
          <w:p w14:paraId="0D8AD6B6" w14:textId="1D632B24" w:rsidR="00AD084E" w:rsidRPr="00B44B19" w:rsidRDefault="00F62353" w:rsidP="009C6543">
            <w:pPr>
              <w:spacing w:after="0" w:line="240" w:lineRule="auto"/>
              <w:jc w:val="center"/>
              <w:rPr>
                <w:rFonts w:cs="Times New Roman"/>
                <w:noProof/>
                <w:sz w:val="16"/>
                <w:szCs w:val="16"/>
              </w:rPr>
            </w:pPr>
            <w:r w:rsidRPr="00B44B19">
              <w:rPr>
                <w:rFonts w:cs="Times New Roman"/>
                <w:noProof/>
                <w:sz w:val="16"/>
                <w:szCs w:val="16"/>
              </w:rPr>
              <w:t>98</w:t>
            </w:r>
          </w:p>
        </w:tc>
        <w:tc>
          <w:tcPr>
            <w:tcW w:w="375" w:type="pct"/>
          </w:tcPr>
          <w:p w14:paraId="225BAE4E" w14:textId="007AD00F" w:rsidR="00AD084E" w:rsidRPr="00B44B19" w:rsidRDefault="00F62353" w:rsidP="009C6543">
            <w:pPr>
              <w:spacing w:after="0" w:line="240" w:lineRule="auto"/>
              <w:jc w:val="center"/>
              <w:rPr>
                <w:rFonts w:cs="Times New Roman"/>
                <w:noProof/>
                <w:sz w:val="16"/>
                <w:szCs w:val="16"/>
              </w:rPr>
            </w:pPr>
            <w:r w:rsidRPr="00B44B19">
              <w:rPr>
                <w:rFonts w:cs="Times New Roman"/>
                <w:noProof/>
                <w:sz w:val="16"/>
                <w:szCs w:val="16"/>
              </w:rPr>
              <w:t>2020</w:t>
            </w:r>
          </w:p>
        </w:tc>
        <w:tc>
          <w:tcPr>
            <w:tcW w:w="328" w:type="pct"/>
          </w:tcPr>
          <w:p w14:paraId="323AA3EE" w14:textId="6495C39D" w:rsidR="00AD084E" w:rsidRPr="00B44B19" w:rsidRDefault="00F62353" w:rsidP="009C6543">
            <w:pPr>
              <w:spacing w:after="0" w:line="240" w:lineRule="auto"/>
              <w:jc w:val="center"/>
              <w:rPr>
                <w:rFonts w:cs="Times New Roman"/>
                <w:noProof/>
                <w:sz w:val="16"/>
                <w:szCs w:val="16"/>
              </w:rPr>
            </w:pPr>
            <w:r w:rsidRPr="00B44B19">
              <w:rPr>
                <w:rFonts w:cs="Times New Roman"/>
                <w:noProof/>
                <w:sz w:val="16"/>
                <w:szCs w:val="16"/>
              </w:rPr>
              <w:t>72</w:t>
            </w:r>
          </w:p>
        </w:tc>
        <w:tc>
          <w:tcPr>
            <w:tcW w:w="375" w:type="pct"/>
          </w:tcPr>
          <w:p w14:paraId="0EAFA0C7" w14:textId="664A8A78" w:rsidR="00AD084E" w:rsidRPr="00B44B19" w:rsidRDefault="00F62353" w:rsidP="009C6543">
            <w:pPr>
              <w:spacing w:after="0" w:line="240" w:lineRule="auto"/>
              <w:jc w:val="both"/>
              <w:rPr>
                <w:rFonts w:cs="Times New Roman"/>
                <w:noProof/>
                <w:sz w:val="16"/>
                <w:szCs w:val="16"/>
              </w:rPr>
            </w:pPr>
            <w:r w:rsidRPr="00B44B19">
              <w:rPr>
                <w:rStyle w:val="msoins0"/>
                <w:rFonts w:cs="Times New Roman"/>
                <w:noProof/>
                <w:sz w:val="16"/>
                <w:szCs w:val="16"/>
              </w:rPr>
              <w:t>Eurostatas</w:t>
            </w:r>
          </w:p>
        </w:tc>
        <w:tc>
          <w:tcPr>
            <w:tcW w:w="276" w:type="pct"/>
          </w:tcPr>
          <w:p w14:paraId="02B7B86E" w14:textId="5C2E1741" w:rsidR="00AD084E" w:rsidRPr="00B44B19" w:rsidRDefault="00AD084E" w:rsidP="009C6543">
            <w:pPr>
              <w:spacing w:after="0" w:line="240" w:lineRule="auto"/>
              <w:jc w:val="both"/>
              <w:rPr>
                <w:rFonts w:cs="Times New Roman"/>
                <w:b/>
                <w:noProof/>
                <w:sz w:val="16"/>
                <w:szCs w:val="16"/>
              </w:rPr>
            </w:pPr>
          </w:p>
        </w:tc>
      </w:tr>
      <w:tr w:rsidR="00AD084E" w:rsidRPr="00B44B19" w14:paraId="4219AB08" w14:textId="77777777" w:rsidTr="009C6543">
        <w:trPr>
          <w:trHeight w:val="335"/>
        </w:trPr>
        <w:tc>
          <w:tcPr>
            <w:tcW w:w="317" w:type="pct"/>
            <w:vMerge/>
          </w:tcPr>
          <w:p w14:paraId="56E02453" w14:textId="77777777" w:rsidR="00AD084E" w:rsidRPr="00B44B19" w:rsidRDefault="00AD084E" w:rsidP="009C6543">
            <w:pPr>
              <w:spacing w:after="0" w:line="240" w:lineRule="auto"/>
              <w:jc w:val="both"/>
              <w:rPr>
                <w:rFonts w:cs="Times New Roman"/>
                <w:noProof/>
                <w:sz w:val="16"/>
                <w:szCs w:val="16"/>
              </w:rPr>
            </w:pPr>
          </w:p>
        </w:tc>
        <w:tc>
          <w:tcPr>
            <w:tcW w:w="328" w:type="pct"/>
            <w:vMerge/>
          </w:tcPr>
          <w:p w14:paraId="6FDE79F0" w14:textId="77777777" w:rsidR="00AD084E" w:rsidRPr="00B44B19" w:rsidRDefault="00AD084E" w:rsidP="009C6543">
            <w:pPr>
              <w:spacing w:after="0" w:line="240" w:lineRule="auto"/>
              <w:jc w:val="both"/>
              <w:rPr>
                <w:rFonts w:cs="Times New Roman"/>
                <w:noProof/>
                <w:sz w:val="16"/>
                <w:szCs w:val="16"/>
              </w:rPr>
            </w:pPr>
          </w:p>
        </w:tc>
        <w:tc>
          <w:tcPr>
            <w:tcW w:w="281" w:type="pct"/>
            <w:vMerge/>
          </w:tcPr>
          <w:p w14:paraId="44F8DAB5" w14:textId="77777777" w:rsidR="00AD084E" w:rsidRPr="00B44B19" w:rsidRDefault="00AD084E" w:rsidP="009C6543">
            <w:pPr>
              <w:spacing w:after="0" w:line="240" w:lineRule="auto"/>
              <w:jc w:val="both"/>
              <w:rPr>
                <w:rFonts w:cs="Times New Roman"/>
                <w:noProof/>
                <w:sz w:val="16"/>
                <w:szCs w:val="16"/>
              </w:rPr>
            </w:pPr>
          </w:p>
        </w:tc>
        <w:tc>
          <w:tcPr>
            <w:tcW w:w="328" w:type="pct"/>
            <w:vMerge/>
          </w:tcPr>
          <w:p w14:paraId="19EB2899" w14:textId="77777777" w:rsidR="00AD084E" w:rsidRPr="00B44B19" w:rsidRDefault="00AD084E" w:rsidP="009C6543">
            <w:pPr>
              <w:spacing w:after="0" w:line="240" w:lineRule="auto"/>
              <w:jc w:val="both"/>
              <w:rPr>
                <w:rFonts w:cs="Times New Roman"/>
                <w:noProof/>
                <w:sz w:val="16"/>
                <w:szCs w:val="16"/>
              </w:rPr>
            </w:pPr>
          </w:p>
        </w:tc>
        <w:tc>
          <w:tcPr>
            <w:tcW w:w="422" w:type="pct"/>
          </w:tcPr>
          <w:p w14:paraId="6D813D10" w14:textId="77777777" w:rsidR="00AD084E" w:rsidRPr="00B44B19" w:rsidRDefault="005F0BE2" w:rsidP="009C6543">
            <w:pPr>
              <w:spacing w:after="0" w:line="240" w:lineRule="auto"/>
              <w:jc w:val="both"/>
              <w:rPr>
                <w:rFonts w:cs="Times New Roman"/>
                <w:sz w:val="16"/>
                <w:szCs w:val="16"/>
              </w:rPr>
            </w:pPr>
            <w:r w:rsidRPr="00B44B19">
              <w:rPr>
                <w:rFonts w:cs="Times New Roman"/>
                <w:sz w:val="16"/>
                <w:szCs w:val="16"/>
              </w:rPr>
              <w:t>S</w:t>
            </w:r>
            <w:r w:rsidR="00AD084E" w:rsidRPr="00B44B19">
              <w:rPr>
                <w:rFonts w:cs="Times New Roman"/>
                <w:sz w:val="16"/>
                <w:szCs w:val="16"/>
              </w:rPr>
              <w:t>pecialus</w:t>
            </w:r>
            <w:r w:rsidR="0074654D" w:rsidRPr="00B44B19">
              <w:rPr>
                <w:rFonts w:cs="Times New Roman"/>
                <w:sz w:val="16"/>
                <w:szCs w:val="16"/>
              </w:rPr>
              <w:t>is</w:t>
            </w:r>
          </w:p>
        </w:tc>
        <w:tc>
          <w:tcPr>
            <w:tcW w:w="1266" w:type="pct"/>
          </w:tcPr>
          <w:p w14:paraId="12107398" w14:textId="77777777" w:rsidR="00AD084E" w:rsidRPr="00B44B19" w:rsidRDefault="0061053B" w:rsidP="009C6543">
            <w:pPr>
              <w:spacing w:after="0" w:line="240" w:lineRule="auto"/>
              <w:rPr>
                <w:rFonts w:cs="Times New Roman"/>
                <w:sz w:val="16"/>
                <w:szCs w:val="16"/>
              </w:rPr>
            </w:pPr>
            <w:r w:rsidRPr="00B44B19">
              <w:rPr>
                <w:rFonts w:cs="Times New Roman"/>
                <w:sz w:val="16"/>
                <w:szCs w:val="16"/>
              </w:rPr>
              <w:t>Ypatingųjų statinių projektų, parengtų naudojant statinių gyvavimo ciklo (SGC) modeliavimo metodiką, dalis</w:t>
            </w:r>
          </w:p>
        </w:tc>
        <w:tc>
          <w:tcPr>
            <w:tcW w:w="328" w:type="pct"/>
          </w:tcPr>
          <w:p w14:paraId="1C2F4D89" w14:textId="77777777" w:rsidR="00AD084E" w:rsidRPr="00B44B19" w:rsidRDefault="00AD084E" w:rsidP="009C6543">
            <w:pPr>
              <w:spacing w:after="0" w:line="240" w:lineRule="auto"/>
              <w:jc w:val="both"/>
              <w:rPr>
                <w:rFonts w:cs="Times New Roman"/>
                <w:noProof/>
                <w:sz w:val="16"/>
                <w:szCs w:val="16"/>
              </w:rPr>
            </w:pPr>
            <w:r w:rsidRPr="00B44B19">
              <w:rPr>
                <w:rFonts w:cs="Times New Roman"/>
                <w:noProof/>
                <w:sz w:val="16"/>
                <w:szCs w:val="16"/>
              </w:rPr>
              <w:t>Procentai</w:t>
            </w:r>
          </w:p>
        </w:tc>
        <w:tc>
          <w:tcPr>
            <w:tcW w:w="375" w:type="pct"/>
          </w:tcPr>
          <w:p w14:paraId="5DBE46E7" w14:textId="77777777" w:rsidR="00AD084E" w:rsidRPr="00B44B19" w:rsidRDefault="00AD084E"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7B2E65B" w14:textId="77777777" w:rsidR="00AD084E" w:rsidRPr="00B44B19" w:rsidRDefault="00AD084E" w:rsidP="009C6543">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553C141D" w14:textId="77777777" w:rsidR="00AD084E" w:rsidRPr="00B44B19" w:rsidRDefault="00AD084E" w:rsidP="009C6543">
            <w:pPr>
              <w:spacing w:after="0" w:line="240" w:lineRule="auto"/>
              <w:jc w:val="center"/>
              <w:rPr>
                <w:rFonts w:cs="Times New Roman"/>
                <w:noProof/>
                <w:sz w:val="16"/>
                <w:szCs w:val="16"/>
              </w:rPr>
            </w:pPr>
            <w:r w:rsidRPr="00B44B19">
              <w:rPr>
                <w:rFonts w:cs="Times New Roman"/>
                <w:noProof/>
                <w:sz w:val="16"/>
                <w:szCs w:val="16"/>
                <w:lang w:val="en-GB"/>
              </w:rPr>
              <w:t>10</w:t>
            </w:r>
          </w:p>
        </w:tc>
        <w:tc>
          <w:tcPr>
            <w:tcW w:w="375" w:type="pct"/>
          </w:tcPr>
          <w:p w14:paraId="7CDC7B51" w14:textId="77777777" w:rsidR="00AD084E" w:rsidRPr="00B44B19" w:rsidRDefault="0061053B" w:rsidP="0061053B">
            <w:pPr>
              <w:spacing w:after="0" w:line="240" w:lineRule="auto"/>
              <w:jc w:val="both"/>
              <w:rPr>
                <w:rFonts w:cs="Times New Roman"/>
                <w:noProof/>
                <w:sz w:val="16"/>
                <w:szCs w:val="16"/>
              </w:rPr>
            </w:pPr>
            <w:r w:rsidRPr="00B44B19">
              <w:rPr>
                <w:rFonts w:cs="Times New Roman"/>
                <w:noProof/>
                <w:sz w:val="16"/>
                <w:szCs w:val="16"/>
                <w:lang w:val="en-US"/>
              </w:rPr>
              <w:t>Projektų duomenys,</w:t>
            </w:r>
            <w:r w:rsidR="00AD084E" w:rsidRPr="00B44B19">
              <w:rPr>
                <w:rFonts w:cs="Times New Roman"/>
                <w:noProof/>
                <w:sz w:val="16"/>
                <w:szCs w:val="16"/>
                <w:lang w:val="en-US"/>
              </w:rPr>
              <w:t>, “Infostatyba”</w:t>
            </w:r>
          </w:p>
        </w:tc>
        <w:tc>
          <w:tcPr>
            <w:tcW w:w="276" w:type="pct"/>
          </w:tcPr>
          <w:p w14:paraId="3173CA03" w14:textId="77777777" w:rsidR="00AD084E" w:rsidRPr="00B44B19" w:rsidRDefault="00AD084E" w:rsidP="009C6543">
            <w:pPr>
              <w:spacing w:after="0" w:line="240" w:lineRule="auto"/>
              <w:jc w:val="both"/>
              <w:rPr>
                <w:rFonts w:cs="Times New Roman"/>
                <w:b/>
                <w:noProof/>
                <w:sz w:val="16"/>
                <w:szCs w:val="16"/>
              </w:rPr>
            </w:pPr>
          </w:p>
        </w:tc>
      </w:tr>
    </w:tbl>
    <w:p w14:paraId="6DC338DB" w14:textId="77777777" w:rsidR="001517E2" w:rsidRPr="00B44B19" w:rsidRDefault="001517E2" w:rsidP="00471A41">
      <w:pPr>
        <w:spacing w:before="240" w:after="240" w:line="240" w:lineRule="auto"/>
        <w:jc w:val="both"/>
        <w:rPr>
          <w:rFonts w:eastAsia="Calibri" w:cs="Times New Roman"/>
          <w:b/>
          <w:noProof/>
          <w:szCs w:val="20"/>
          <w:lang w:eastAsia="lt-LT" w:bidi="lt-LT"/>
        </w:rPr>
        <w:sectPr w:rsidR="001517E2" w:rsidRPr="00B44B19" w:rsidSect="00931C78">
          <w:pgSz w:w="16838" w:h="11906" w:orient="landscape"/>
          <w:pgMar w:top="1701" w:right="1276" w:bottom="567" w:left="1134" w:header="567" w:footer="567" w:gutter="0"/>
          <w:cols w:space="1296"/>
          <w:docGrid w:linePitch="360"/>
        </w:sectPr>
      </w:pPr>
    </w:p>
    <w:p w14:paraId="7569196C" w14:textId="77777777" w:rsidR="00FE2852" w:rsidRPr="00B44B19" w:rsidRDefault="00471A41"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939"/>
        <w:gridCol w:w="1134"/>
        <w:gridCol w:w="1187"/>
        <w:gridCol w:w="3969"/>
        <w:gridCol w:w="1559"/>
      </w:tblGrid>
      <w:tr w:rsidR="00055C93" w:rsidRPr="00B44B19" w14:paraId="38C501C3"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C014BC7" w14:textId="77777777" w:rsidR="00055C93" w:rsidRPr="00B44B19" w:rsidRDefault="00055C93" w:rsidP="009C6543">
            <w:pPr>
              <w:rPr>
                <w:rFonts w:eastAsia="Times New Roman" w:cs="Times New Roman"/>
                <w:b/>
                <w:iCs/>
                <w:noProof/>
                <w:sz w:val="20"/>
              </w:rPr>
            </w:pPr>
            <w:r w:rsidRPr="00B44B19">
              <w:rPr>
                <w:rFonts w:cs="Times New Roman"/>
                <w:b/>
                <w:noProof/>
                <w:sz w:val="20"/>
              </w:rPr>
              <w:t>4 lentelė. 1 matmuo. Intervencinių priemonių sritis</w:t>
            </w:r>
          </w:p>
        </w:tc>
      </w:tr>
      <w:tr w:rsidR="00055C93" w:rsidRPr="00B44B19" w14:paraId="60121B8B"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E161F7"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Prioriteto Nr.</w:t>
            </w:r>
          </w:p>
        </w:tc>
        <w:tc>
          <w:tcPr>
            <w:tcW w:w="93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782F8C"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C50094"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Regiono kategorija</w:t>
            </w:r>
          </w:p>
        </w:tc>
        <w:tc>
          <w:tcPr>
            <w:tcW w:w="11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B3E4D7"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5ED2FD"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D1074F"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Suma (EUR)</w:t>
            </w:r>
          </w:p>
        </w:tc>
      </w:tr>
      <w:tr w:rsidR="00055C93" w:rsidRPr="00B44B19" w14:paraId="07AC1783" w14:textId="77777777" w:rsidTr="003B113E">
        <w:tc>
          <w:tcPr>
            <w:tcW w:w="1101" w:type="dxa"/>
            <w:tcBorders>
              <w:top w:val="single" w:sz="12" w:space="0" w:color="auto"/>
            </w:tcBorders>
          </w:tcPr>
          <w:p w14:paraId="31B78607"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w:t>
            </w:r>
          </w:p>
        </w:tc>
        <w:tc>
          <w:tcPr>
            <w:tcW w:w="939" w:type="dxa"/>
            <w:tcBorders>
              <w:top w:val="single" w:sz="12" w:space="0" w:color="auto"/>
            </w:tcBorders>
          </w:tcPr>
          <w:p w14:paraId="689D8EE9"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SaF</w:t>
            </w:r>
          </w:p>
        </w:tc>
        <w:tc>
          <w:tcPr>
            <w:tcW w:w="1134" w:type="dxa"/>
            <w:tcBorders>
              <w:top w:val="single" w:sz="12" w:space="0" w:color="auto"/>
            </w:tcBorders>
          </w:tcPr>
          <w:p w14:paraId="7F806EB6"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Visa Lietuva</w:t>
            </w:r>
          </w:p>
        </w:tc>
        <w:tc>
          <w:tcPr>
            <w:tcW w:w="1187" w:type="dxa"/>
            <w:tcBorders>
              <w:top w:val="single" w:sz="12" w:space="0" w:color="auto"/>
            </w:tcBorders>
          </w:tcPr>
          <w:p w14:paraId="7D2435CC"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2.6</w:t>
            </w:r>
          </w:p>
        </w:tc>
        <w:tc>
          <w:tcPr>
            <w:tcW w:w="3969" w:type="dxa"/>
            <w:tcBorders>
              <w:top w:val="single" w:sz="12" w:space="0" w:color="auto"/>
              <w:bottom w:val="single" w:sz="4" w:space="0" w:color="auto"/>
            </w:tcBorders>
          </w:tcPr>
          <w:p w14:paraId="7130D2B6" w14:textId="77777777" w:rsidR="00055C93" w:rsidRPr="00B44B19" w:rsidRDefault="00055C93" w:rsidP="004572D9">
            <w:pPr>
              <w:rPr>
                <w:rFonts w:eastAsia="Times New Roman" w:cs="Times New Roman"/>
                <w:iCs/>
                <w:noProof/>
                <w:sz w:val="20"/>
              </w:rPr>
            </w:pPr>
            <w:r w:rsidRPr="00B44B19">
              <w:rPr>
                <w:rFonts w:eastAsia="Times New Roman" w:cs="Times New Roman"/>
                <w:iCs/>
                <w:noProof/>
                <w:sz w:val="20"/>
              </w:rPr>
              <w:t>067</w:t>
            </w:r>
            <w:r w:rsidR="004572D9" w:rsidRPr="00B44B19">
              <w:rPr>
                <w:rFonts w:eastAsia="Times New Roman" w:cs="Times New Roman"/>
                <w:iCs/>
                <w:noProof/>
                <w:sz w:val="20"/>
              </w:rPr>
              <w:t xml:space="preserve"> </w:t>
            </w:r>
            <w:r w:rsidR="00166EC1" w:rsidRPr="00B44B19">
              <w:rPr>
                <w:rFonts w:eastAsia="Times New Roman" w:cs="Times New Roman"/>
                <w:iCs/>
                <w:noProof/>
                <w:sz w:val="20"/>
              </w:rPr>
              <w:t>–</w:t>
            </w:r>
            <w:r w:rsidR="004572D9" w:rsidRPr="00B44B19">
              <w:rPr>
                <w:rFonts w:eastAsia="Times New Roman" w:cs="Times New Roman"/>
                <w:iCs/>
                <w:noProof/>
                <w:sz w:val="20"/>
              </w:rPr>
              <w:t xml:space="preserve"> Namų ūkių atliekų tvarkymas: prevencijos, mažinimo, rūšiavimo, pakartotinio naudojimo ir perdirbimo priemonės</w:t>
            </w:r>
          </w:p>
        </w:tc>
        <w:tc>
          <w:tcPr>
            <w:tcW w:w="1559" w:type="dxa"/>
            <w:tcBorders>
              <w:top w:val="single" w:sz="12" w:space="0" w:color="auto"/>
              <w:bottom w:val="single" w:sz="4" w:space="0" w:color="auto"/>
            </w:tcBorders>
          </w:tcPr>
          <w:p w14:paraId="791076D7" w14:textId="77777777" w:rsidR="00055C93" w:rsidRPr="00B44B19" w:rsidRDefault="00C446E4" w:rsidP="00C446E4">
            <w:pPr>
              <w:jc w:val="right"/>
              <w:rPr>
                <w:rFonts w:eastAsia="Times New Roman" w:cs="Times New Roman"/>
                <w:iCs/>
                <w:noProof/>
                <w:sz w:val="20"/>
              </w:rPr>
            </w:pPr>
            <w:r w:rsidRPr="00B44B19">
              <w:rPr>
                <w:rFonts w:eastAsia="Times New Roman" w:cs="Times New Roman"/>
                <w:iCs/>
                <w:noProof/>
                <w:sz w:val="20"/>
              </w:rPr>
              <w:t>10</w:t>
            </w:r>
            <w:r w:rsidR="00055C93" w:rsidRPr="00B44B19">
              <w:rPr>
                <w:rFonts w:eastAsia="Times New Roman" w:cs="Times New Roman"/>
                <w:iCs/>
                <w:noProof/>
                <w:sz w:val="20"/>
              </w:rPr>
              <w:t>7 200 000,00</w:t>
            </w:r>
          </w:p>
        </w:tc>
      </w:tr>
    </w:tbl>
    <w:p w14:paraId="700EA460" w14:textId="77777777" w:rsidR="00055C93" w:rsidRPr="00B44B19" w:rsidRDefault="00055C93" w:rsidP="009B4679">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276"/>
        <w:gridCol w:w="1134"/>
        <w:gridCol w:w="3969"/>
        <w:gridCol w:w="1559"/>
      </w:tblGrid>
      <w:tr w:rsidR="00055C93" w:rsidRPr="00B44B19" w14:paraId="281FD06E"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C4E205" w14:textId="77777777" w:rsidR="00055C93" w:rsidRPr="00B44B19" w:rsidRDefault="00055C93" w:rsidP="000A37FF">
            <w:pPr>
              <w:rPr>
                <w:rFonts w:eastAsia="Times New Roman" w:cs="Times New Roman"/>
                <w:b/>
                <w:iCs/>
                <w:noProof/>
                <w:sz w:val="20"/>
              </w:rPr>
            </w:pPr>
            <w:r w:rsidRPr="00B44B19">
              <w:rPr>
                <w:rFonts w:cs="Times New Roman"/>
                <w:b/>
                <w:noProof/>
                <w:sz w:val="20"/>
              </w:rPr>
              <w:t xml:space="preserve">5 lentelė. 2 matmuo. </w:t>
            </w:r>
            <w:r w:rsidR="000A37FF" w:rsidRPr="00B44B19">
              <w:rPr>
                <w:rFonts w:cs="Times New Roman"/>
                <w:b/>
                <w:noProof/>
                <w:sz w:val="20"/>
              </w:rPr>
              <w:t>Finansavimo</w:t>
            </w:r>
            <w:r w:rsidR="00DE130E" w:rsidRPr="00B44B19">
              <w:rPr>
                <w:rFonts w:cs="Times New Roman"/>
                <w:b/>
                <w:noProof/>
                <w:sz w:val="20"/>
              </w:rPr>
              <w:t xml:space="preserve"> </w:t>
            </w:r>
            <w:r w:rsidRPr="00B44B19">
              <w:rPr>
                <w:rFonts w:cs="Times New Roman"/>
                <w:b/>
                <w:noProof/>
                <w:sz w:val="20"/>
              </w:rPr>
              <w:t>forma</w:t>
            </w:r>
          </w:p>
        </w:tc>
      </w:tr>
      <w:tr w:rsidR="00055C93" w:rsidRPr="00B44B19" w14:paraId="3EDF3504"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8BD41D"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5559AA"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5DB5A3"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0DF0D4"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DCBADA"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F8FBC2"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Suma (EUR)</w:t>
            </w:r>
          </w:p>
        </w:tc>
      </w:tr>
      <w:tr w:rsidR="00055C93" w:rsidRPr="00B44B19" w14:paraId="0F2C1AAE" w14:textId="77777777" w:rsidTr="003B113E">
        <w:tc>
          <w:tcPr>
            <w:tcW w:w="1101" w:type="dxa"/>
            <w:tcBorders>
              <w:top w:val="single" w:sz="12" w:space="0" w:color="auto"/>
            </w:tcBorders>
          </w:tcPr>
          <w:p w14:paraId="1401B7BE"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20F2ACF9"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4" w:space="0" w:color="auto"/>
            </w:tcBorders>
          </w:tcPr>
          <w:p w14:paraId="18E281BC"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Visa Lietuva</w:t>
            </w:r>
          </w:p>
        </w:tc>
        <w:tc>
          <w:tcPr>
            <w:tcW w:w="1134" w:type="dxa"/>
            <w:tcBorders>
              <w:top w:val="single" w:sz="12" w:space="0" w:color="auto"/>
            </w:tcBorders>
          </w:tcPr>
          <w:p w14:paraId="4497C264" w14:textId="77777777" w:rsidR="00055C93" w:rsidRPr="00B44B19" w:rsidRDefault="00055C93" w:rsidP="009C6543">
            <w:pPr>
              <w:jc w:val="center"/>
              <w:rPr>
                <w:rFonts w:eastAsia="Times New Roman" w:cs="Times New Roman"/>
                <w:b/>
                <w:iCs/>
                <w:noProof/>
                <w:sz w:val="20"/>
              </w:rPr>
            </w:pPr>
            <w:r w:rsidRPr="00B44B19">
              <w:rPr>
                <w:rFonts w:eastAsia="Times New Roman" w:cs="Times New Roman"/>
                <w:iCs/>
                <w:noProof/>
                <w:sz w:val="20"/>
              </w:rPr>
              <w:t>2.6</w:t>
            </w:r>
          </w:p>
        </w:tc>
        <w:tc>
          <w:tcPr>
            <w:tcW w:w="3969" w:type="dxa"/>
            <w:tcBorders>
              <w:top w:val="single" w:sz="12" w:space="0" w:color="auto"/>
              <w:bottom w:val="single" w:sz="4" w:space="0" w:color="auto"/>
            </w:tcBorders>
          </w:tcPr>
          <w:p w14:paraId="0D095FE8" w14:textId="77777777" w:rsidR="00055C93" w:rsidRPr="00B44B19" w:rsidRDefault="00055C93" w:rsidP="004572D9">
            <w:pPr>
              <w:rPr>
                <w:rFonts w:eastAsia="Times New Roman" w:cs="Times New Roman"/>
                <w:iCs/>
                <w:noProof/>
                <w:sz w:val="20"/>
              </w:rPr>
            </w:pPr>
            <w:r w:rsidRPr="00B44B19">
              <w:rPr>
                <w:rFonts w:eastAsia="Times New Roman" w:cs="Times New Roman"/>
                <w:iCs/>
                <w:noProof/>
                <w:sz w:val="20"/>
              </w:rPr>
              <w:t>01</w:t>
            </w:r>
            <w:r w:rsidR="00A27249" w:rsidRPr="00B44B19">
              <w:rPr>
                <w:rFonts w:eastAsia="Times New Roman" w:cs="Times New Roman"/>
                <w:iCs/>
                <w:noProof/>
                <w:sz w:val="20"/>
              </w:rPr>
              <w:t xml:space="preserve"> –</w:t>
            </w:r>
            <w:r w:rsidR="00CC6647" w:rsidRPr="00B44B19">
              <w:rPr>
                <w:rFonts w:eastAsia="Times New Roman" w:cs="Times New Roman"/>
                <w:iCs/>
                <w:noProof/>
                <w:sz w:val="20"/>
              </w:rPr>
              <w:t xml:space="preserve"> Dotacija</w:t>
            </w:r>
          </w:p>
        </w:tc>
        <w:tc>
          <w:tcPr>
            <w:tcW w:w="1559" w:type="dxa"/>
            <w:tcBorders>
              <w:top w:val="single" w:sz="12" w:space="0" w:color="auto"/>
              <w:bottom w:val="single" w:sz="4" w:space="0" w:color="auto"/>
            </w:tcBorders>
          </w:tcPr>
          <w:p w14:paraId="3BB0F823" w14:textId="77777777" w:rsidR="00055C93" w:rsidRPr="00B44B19" w:rsidRDefault="00055C93" w:rsidP="00C446E4">
            <w:pPr>
              <w:jc w:val="right"/>
              <w:rPr>
                <w:rFonts w:eastAsia="Times New Roman" w:cs="Times New Roman"/>
                <w:b/>
                <w:iCs/>
                <w:noProof/>
                <w:sz w:val="20"/>
              </w:rPr>
            </w:pPr>
            <w:r w:rsidRPr="00B44B19">
              <w:rPr>
                <w:rFonts w:eastAsia="Times New Roman" w:cs="Times New Roman"/>
                <w:iCs/>
                <w:noProof/>
                <w:sz w:val="20"/>
                <w:lang w:val="en-US"/>
              </w:rPr>
              <w:t> </w:t>
            </w:r>
            <w:r w:rsidR="00C446E4" w:rsidRPr="00B44B19">
              <w:rPr>
                <w:rFonts w:eastAsia="Times New Roman" w:cs="Times New Roman"/>
                <w:iCs/>
                <w:noProof/>
                <w:sz w:val="20"/>
                <w:lang w:val="en-US"/>
              </w:rPr>
              <w:t>10</w:t>
            </w:r>
            <w:r w:rsidRPr="00B44B19">
              <w:rPr>
                <w:rFonts w:eastAsia="Times New Roman" w:cs="Times New Roman"/>
                <w:iCs/>
                <w:noProof/>
                <w:sz w:val="20"/>
                <w:lang w:val="en-US"/>
              </w:rPr>
              <w:t>7 200 000,00</w:t>
            </w:r>
          </w:p>
        </w:tc>
      </w:tr>
    </w:tbl>
    <w:p w14:paraId="2A082F06" w14:textId="77777777" w:rsidR="00055C93" w:rsidRPr="00B44B19" w:rsidRDefault="00055C93" w:rsidP="009B4679">
      <w:pPr>
        <w:spacing w:after="0" w:line="240" w:lineRule="auto"/>
        <w:rPr>
          <w:rFonts w:eastAsia="Times New Roman" w:cs="Times New Roman"/>
          <w:iCs/>
          <w:noProof/>
          <w:sz w:val="20"/>
          <w:szCs w:val="20"/>
        </w:rPr>
      </w:pPr>
    </w:p>
    <w:tbl>
      <w:tblPr>
        <w:tblStyle w:val="Lentelstinklelis"/>
        <w:tblW w:w="0" w:type="auto"/>
        <w:tblLayout w:type="fixed"/>
        <w:tblLook w:val="04A0" w:firstRow="1" w:lastRow="0" w:firstColumn="1" w:lastColumn="0" w:noHBand="0" w:noVBand="1"/>
      </w:tblPr>
      <w:tblGrid>
        <w:gridCol w:w="1094"/>
        <w:gridCol w:w="848"/>
        <w:gridCol w:w="1249"/>
        <w:gridCol w:w="1133"/>
        <w:gridCol w:w="4006"/>
        <w:gridCol w:w="1524"/>
      </w:tblGrid>
      <w:tr w:rsidR="00055C93" w:rsidRPr="00B44B19" w14:paraId="11F7A32B" w14:textId="77777777" w:rsidTr="009B4679">
        <w:tc>
          <w:tcPr>
            <w:tcW w:w="985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00BA4C" w14:textId="77777777" w:rsidR="00055C93" w:rsidRPr="00B44B19" w:rsidRDefault="00055C93" w:rsidP="009C6543">
            <w:pPr>
              <w:rPr>
                <w:rFonts w:eastAsia="Times New Roman" w:cs="Times New Roman"/>
                <w:b/>
                <w:iCs/>
                <w:noProof/>
                <w:sz w:val="20"/>
              </w:rPr>
            </w:pPr>
            <w:r w:rsidRPr="00B44B19">
              <w:rPr>
                <w:rFonts w:cs="Times New Roman"/>
                <w:b/>
                <w:noProof/>
                <w:sz w:val="20"/>
              </w:rPr>
              <w:t xml:space="preserve">6 lentelė. 3 matmuo. </w:t>
            </w:r>
            <w:r w:rsidR="00DE130E" w:rsidRPr="00B44B19">
              <w:rPr>
                <w:rFonts w:cs="Times New Roman"/>
                <w:b/>
                <w:noProof/>
                <w:sz w:val="20"/>
              </w:rPr>
              <w:t>Teritorinis įgyvendinimo mechanizmas ir pagrindinė teritorinė sritis</w:t>
            </w:r>
          </w:p>
        </w:tc>
      </w:tr>
      <w:tr w:rsidR="00055C93" w:rsidRPr="00B44B19" w14:paraId="2798794A" w14:textId="77777777" w:rsidTr="009B4679">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3B6CE1"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CCDFC9"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Fondas</w:t>
            </w:r>
          </w:p>
        </w:tc>
        <w:tc>
          <w:tcPr>
            <w:tcW w:w="12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1F904"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AABD83"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Konkretus uždavinys</w:t>
            </w:r>
          </w:p>
        </w:tc>
        <w:tc>
          <w:tcPr>
            <w:tcW w:w="400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3500C4"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Kodas</w:t>
            </w:r>
          </w:p>
        </w:tc>
        <w:tc>
          <w:tcPr>
            <w:tcW w:w="15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B1F32"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Suma (EUR)</w:t>
            </w:r>
          </w:p>
        </w:tc>
      </w:tr>
      <w:tr w:rsidR="005D4C01" w:rsidRPr="00B44B19" w14:paraId="693C3C2A" w14:textId="77777777" w:rsidTr="009B4679">
        <w:tc>
          <w:tcPr>
            <w:tcW w:w="1094" w:type="dxa"/>
            <w:vMerge w:val="restart"/>
            <w:tcBorders>
              <w:top w:val="single" w:sz="12" w:space="0" w:color="auto"/>
            </w:tcBorders>
          </w:tcPr>
          <w:p w14:paraId="1F71C13C" w14:textId="77777777" w:rsidR="005D4C01" w:rsidRPr="00B44B19" w:rsidRDefault="005D4C01" w:rsidP="009C6543">
            <w:pPr>
              <w:jc w:val="center"/>
              <w:rPr>
                <w:rFonts w:eastAsia="Times New Roman" w:cs="Times New Roman"/>
                <w:iCs/>
                <w:noProof/>
                <w:sz w:val="20"/>
              </w:rPr>
            </w:pPr>
            <w:r w:rsidRPr="00B44B19">
              <w:rPr>
                <w:rFonts w:eastAsia="Times New Roman" w:cs="Times New Roman"/>
                <w:iCs/>
                <w:noProof/>
                <w:sz w:val="20"/>
              </w:rPr>
              <w:t>2.</w:t>
            </w:r>
          </w:p>
        </w:tc>
        <w:tc>
          <w:tcPr>
            <w:tcW w:w="848" w:type="dxa"/>
            <w:vMerge w:val="restart"/>
            <w:tcBorders>
              <w:top w:val="single" w:sz="12" w:space="0" w:color="auto"/>
            </w:tcBorders>
          </w:tcPr>
          <w:p w14:paraId="6A0EDADC" w14:textId="77777777" w:rsidR="005D4C01" w:rsidRPr="00B44B19" w:rsidRDefault="005D4C01" w:rsidP="009C6543">
            <w:pPr>
              <w:jc w:val="center"/>
              <w:rPr>
                <w:rFonts w:eastAsia="Times New Roman" w:cs="Times New Roman"/>
                <w:iCs/>
                <w:noProof/>
                <w:sz w:val="20"/>
              </w:rPr>
            </w:pPr>
            <w:r w:rsidRPr="00B44B19">
              <w:rPr>
                <w:rFonts w:eastAsia="Times New Roman" w:cs="Times New Roman"/>
                <w:iCs/>
                <w:noProof/>
                <w:sz w:val="20"/>
              </w:rPr>
              <w:t>SaF</w:t>
            </w:r>
          </w:p>
        </w:tc>
        <w:tc>
          <w:tcPr>
            <w:tcW w:w="1249" w:type="dxa"/>
            <w:vMerge w:val="restart"/>
            <w:tcBorders>
              <w:top w:val="single" w:sz="12" w:space="0" w:color="auto"/>
            </w:tcBorders>
          </w:tcPr>
          <w:p w14:paraId="56EF0F60" w14:textId="77777777" w:rsidR="005D4C01" w:rsidRPr="00B44B19" w:rsidRDefault="005D4C01" w:rsidP="009C6543">
            <w:pPr>
              <w:rPr>
                <w:rFonts w:eastAsia="Times New Roman" w:cs="Times New Roman"/>
                <w:iCs/>
                <w:noProof/>
                <w:sz w:val="20"/>
              </w:rPr>
            </w:pPr>
            <w:r w:rsidRPr="00B44B19">
              <w:rPr>
                <w:rFonts w:eastAsia="Times New Roman" w:cs="Times New Roman"/>
                <w:iCs/>
                <w:noProof/>
                <w:sz w:val="20"/>
              </w:rPr>
              <w:t>Visa Lietuva</w:t>
            </w:r>
          </w:p>
        </w:tc>
        <w:tc>
          <w:tcPr>
            <w:tcW w:w="1133" w:type="dxa"/>
            <w:vMerge w:val="restart"/>
            <w:tcBorders>
              <w:top w:val="single" w:sz="12" w:space="0" w:color="auto"/>
            </w:tcBorders>
          </w:tcPr>
          <w:p w14:paraId="2C2DAD78" w14:textId="77777777" w:rsidR="005D4C01" w:rsidRPr="00B44B19" w:rsidRDefault="005D4C01" w:rsidP="009C6543">
            <w:pPr>
              <w:jc w:val="center"/>
              <w:rPr>
                <w:rFonts w:eastAsia="Times New Roman" w:cs="Times New Roman"/>
                <w:iCs/>
                <w:noProof/>
                <w:sz w:val="20"/>
              </w:rPr>
            </w:pPr>
            <w:r w:rsidRPr="00B44B19">
              <w:rPr>
                <w:rFonts w:eastAsia="Times New Roman" w:cs="Times New Roman"/>
                <w:iCs/>
                <w:noProof/>
                <w:sz w:val="20"/>
              </w:rPr>
              <w:t>2.6</w:t>
            </w:r>
          </w:p>
        </w:tc>
        <w:tc>
          <w:tcPr>
            <w:tcW w:w="4006" w:type="dxa"/>
            <w:tcBorders>
              <w:top w:val="single" w:sz="12" w:space="0" w:color="auto"/>
              <w:bottom w:val="single" w:sz="4" w:space="0" w:color="auto"/>
            </w:tcBorders>
          </w:tcPr>
          <w:p w14:paraId="6F649508" w14:textId="77777777" w:rsidR="005D4C01" w:rsidRPr="00B44B19" w:rsidRDefault="005D4C01" w:rsidP="00061D19">
            <w:pPr>
              <w:rPr>
                <w:rFonts w:eastAsia="Times New Roman" w:cs="Times New Roman"/>
                <w:iCs/>
                <w:noProof/>
                <w:sz w:val="20"/>
              </w:rPr>
            </w:pPr>
            <w:r w:rsidRPr="00B44B19">
              <w:rPr>
                <w:rFonts w:eastAsia="Times New Roman" w:cs="Times New Roman"/>
                <w:iCs/>
                <w:noProof/>
                <w:sz w:val="20"/>
                <w:lang w:val="en-US"/>
              </w:rPr>
              <w:t>0</w:t>
            </w:r>
            <w:r w:rsidRPr="00B44B19">
              <w:rPr>
                <w:rFonts w:eastAsia="Times New Roman" w:cs="Times New Roman"/>
                <w:iCs/>
                <w:noProof/>
                <w:sz w:val="20"/>
              </w:rPr>
              <w:t>2 – Miestai, miesteliai ir priemiesčiai</w:t>
            </w:r>
          </w:p>
        </w:tc>
        <w:tc>
          <w:tcPr>
            <w:tcW w:w="1524" w:type="dxa"/>
            <w:tcBorders>
              <w:top w:val="single" w:sz="12" w:space="0" w:color="auto"/>
              <w:bottom w:val="single" w:sz="4" w:space="0" w:color="auto"/>
            </w:tcBorders>
          </w:tcPr>
          <w:p w14:paraId="00B635D7" w14:textId="77777777" w:rsidR="005D4C01" w:rsidRPr="00B44B19" w:rsidRDefault="005D4C01" w:rsidP="00061D19">
            <w:pPr>
              <w:spacing w:line="276" w:lineRule="auto"/>
              <w:jc w:val="right"/>
              <w:rPr>
                <w:rFonts w:eastAsia="Times New Roman" w:cs="Times New Roman"/>
                <w:b/>
                <w:iCs/>
                <w:noProof/>
                <w:sz w:val="20"/>
                <w:lang w:val="en-US"/>
              </w:rPr>
            </w:pPr>
            <w:r w:rsidRPr="00B44B19">
              <w:rPr>
                <w:rFonts w:cs="Times New Roman"/>
                <w:color w:val="000000"/>
                <w:sz w:val="20"/>
                <w:szCs w:val="20"/>
                <w:lang w:val="en-US"/>
              </w:rPr>
              <w:t>10 000 000,00</w:t>
            </w:r>
          </w:p>
        </w:tc>
      </w:tr>
      <w:tr w:rsidR="005D4C01" w:rsidRPr="00B44B19" w14:paraId="76FC4D51" w14:textId="77777777" w:rsidTr="009B4679">
        <w:tc>
          <w:tcPr>
            <w:tcW w:w="1094" w:type="dxa"/>
            <w:vMerge/>
          </w:tcPr>
          <w:p w14:paraId="46DD06E7" w14:textId="77777777" w:rsidR="005D4C01" w:rsidRPr="00B44B19" w:rsidRDefault="005D4C01" w:rsidP="00872FEE">
            <w:pPr>
              <w:jc w:val="center"/>
              <w:rPr>
                <w:rFonts w:eastAsia="Times New Roman" w:cs="Times New Roman"/>
                <w:iCs/>
                <w:noProof/>
                <w:sz w:val="20"/>
              </w:rPr>
            </w:pPr>
          </w:p>
        </w:tc>
        <w:tc>
          <w:tcPr>
            <w:tcW w:w="848" w:type="dxa"/>
            <w:vMerge/>
          </w:tcPr>
          <w:p w14:paraId="285EA396" w14:textId="77777777" w:rsidR="005D4C01" w:rsidRPr="00B44B19" w:rsidRDefault="005D4C01" w:rsidP="00872FEE">
            <w:pPr>
              <w:jc w:val="center"/>
              <w:rPr>
                <w:rFonts w:eastAsia="Times New Roman" w:cs="Times New Roman"/>
                <w:iCs/>
                <w:noProof/>
                <w:sz w:val="20"/>
              </w:rPr>
            </w:pPr>
          </w:p>
        </w:tc>
        <w:tc>
          <w:tcPr>
            <w:tcW w:w="1249" w:type="dxa"/>
            <w:vMerge/>
          </w:tcPr>
          <w:p w14:paraId="51B678E6" w14:textId="77777777" w:rsidR="005D4C01" w:rsidRPr="00B44B19" w:rsidRDefault="005D4C01" w:rsidP="00872FEE">
            <w:pPr>
              <w:rPr>
                <w:rFonts w:eastAsia="Times New Roman" w:cs="Times New Roman"/>
                <w:iCs/>
                <w:noProof/>
                <w:sz w:val="20"/>
              </w:rPr>
            </w:pPr>
          </w:p>
        </w:tc>
        <w:tc>
          <w:tcPr>
            <w:tcW w:w="1133" w:type="dxa"/>
            <w:vMerge/>
          </w:tcPr>
          <w:p w14:paraId="6048ED5D" w14:textId="77777777" w:rsidR="005D4C01" w:rsidRPr="00B44B19" w:rsidRDefault="005D4C01" w:rsidP="00872FEE">
            <w:pPr>
              <w:jc w:val="center"/>
              <w:rPr>
                <w:rFonts w:eastAsia="Times New Roman" w:cs="Times New Roman"/>
                <w:iCs/>
                <w:noProof/>
                <w:sz w:val="20"/>
              </w:rPr>
            </w:pPr>
          </w:p>
        </w:tc>
        <w:tc>
          <w:tcPr>
            <w:tcW w:w="4006" w:type="dxa"/>
          </w:tcPr>
          <w:p w14:paraId="68C6F282" w14:textId="77777777" w:rsidR="005D4C01" w:rsidRPr="00B44B19" w:rsidRDefault="005D4C01" w:rsidP="00872FEE">
            <w:pPr>
              <w:rPr>
                <w:rFonts w:eastAsia="Times New Roman" w:cs="Times New Roman"/>
                <w:iCs/>
                <w:noProof/>
                <w:sz w:val="20"/>
              </w:rPr>
            </w:pPr>
            <w:r w:rsidRPr="00B44B19">
              <w:rPr>
                <w:rFonts w:eastAsia="Times New Roman" w:cs="Times New Roman"/>
                <w:iCs/>
                <w:noProof/>
                <w:sz w:val="20"/>
              </w:rPr>
              <w:t>08 – Kitų rūšių tikslinės teritorijos</w:t>
            </w:r>
          </w:p>
        </w:tc>
        <w:tc>
          <w:tcPr>
            <w:tcW w:w="1524" w:type="dxa"/>
          </w:tcPr>
          <w:p w14:paraId="33524A61" w14:textId="77777777" w:rsidR="005D4C01" w:rsidRPr="00B44B19" w:rsidRDefault="005D4C01" w:rsidP="00C63DCA">
            <w:pPr>
              <w:jc w:val="right"/>
              <w:rPr>
                <w:rFonts w:cs="Times New Roman"/>
                <w:color w:val="000000"/>
                <w:sz w:val="20"/>
                <w:szCs w:val="20"/>
              </w:rPr>
            </w:pPr>
            <w:r w:rsidRPr="00B44B19">
              <w:rPr>
                <w:rFonts w:cs="Times New Roman"/>
                <w:color w:val="000000"/>
                <w:sz w:val="20"/>
                <w:szCs w:val="20"/>
              </w:rPr>
              <w:t>10 000 000,00</w:t>
            </w:r>
          </w:p>
        </w:tc>
      </w:tr>
      <w:tr w:rsidR="005D4C01" w:rsidRPr="00B44B19" w14:paraId="74AF51A9" w14:textId="77777777" w:rsidTr="009B4679">
        <w:tc>
          <w:tcPr>
            <w:tcW w:w="1094" w:type="dxa"/>
            <w:vMerge/>
          </w:tcPr>
          <w:p w14:paraId="482F13B6" w14:textId="77777777" w:rsidR="005D4C01" w:rsidRPr="00B44B19" w:rsidRDefault="005D4C01" w:rsidP="00872FEE">
            <w:pPr>
              <w:jc w:val="center"/>
              <w:rPr>
                <w:rFonts w:eastAsia="Times New Roman" w:cs="Times New Roman"/>
                <w:iCs/>
                <w:noProof/>
                <w:sz w:val="20"/>
              </w:rPr>
            </w:pPr>
          </w:p>
        </w:tc>
        <w:tc>
          <w:tcPr>
            <w:tcW w:w="848" w:type="dxa"/>
            <w:vMerge/>
          </w:tcPr>
          <w:p w14:paraId="51140D8D" w14:textId="77777777" w:rsidR="005D4C01" w:rsidRPr="00B44B19" w:rsidRDefault="005D4C01" w:rsidP="00872FEE">
            <w:pPr>
              <w:jc w:val="center"/>
              <w:rPr>
                <w:rFonts w:eastAsia="Times New Roman" w:cs="Times New Roman"/>
                <w:iCs/>
                <w:noProof/>
                <w:sz w:val="20"/>
              </w:rPr>
            </w:pPr>
          </w:p>
        </w:tc>
        <w:tc>
          <w:tcPr>
            <w:tcW w:w="1249" w:type="dxa"/>
            <w:vMerge/>
          </w:tcPr>
          <w:p w14:paraId="0958AB4C" w14:textId="77777777" w:rsidR="005D4C01" w:rsidRPr="00B44B19" w:rsidRDefault="005D4C01" w:rsidP="00872FEE">
            <w:pPr>
              <w:rPr>
                <w:rFonts w:eastAsia="Times New Roman" w:cs="Times New Roman"/>
                <w:iCs/>
                <w:noProof/>
                <w:sz w:val="20"/>
              </w:rPr>
            </w:pPr>
          </w:p>
        </w:tc>
        <w:tc>
          <w:tcPr>
            <w:tcW w:w="1133" w:type="dxa"/>
            <w:vMerge/>
          </w:tcPr>
          <w:p w14:paraId="29B04A9E" w14:textId="77777777" w:rsidR="005D4C01" w:rsidRPr="00B44B19" w:rsidRDefault="005D4C01" w:rsidP="00872FEE">
            <w:pPr>
              <w:jc w:val="center"/>
              <w:rPr>
                <w:rFonts w:eastAsia="Times New Roman" w:cs="Times New Roman"/>
                <w:iCs/>
                <w:noProof/>
                <w:sz w:val="20"/>
              </w:rPr>
            </w:pPr>
          </w:p>
        </w:tc>
        <w:tc>
          <w:tcPr>
            <w:tcW w:w="4006" w:type="dxa"/>
          </w:tcPr>
          <w:p w14:paraId="6B2B583A" w14:textId="77777777" w:rsidR="005D4C01" w:rsidRPr="00B44B19" w:rsidRDefault="005D4C01" w:rsidP="00061D19">
            <w:pPr>
              <w:rPr>
                <w:rFonts w:eastAsia="Times New Roman" w:cs="Times New Roman"/>
                <w:iCs/>
                <w:noProof/>
                <w:sz w:val="20"/>
              </w:rPr>
            </w:pPr>
            <w:r w:rsidRPr="00B44B19">
              <w:rPr>
                <w:rFonts w:eastAsia="Times New Roman" w:cs="Times New Roman"/>
                <w:iCs/>
                <w:noProof/>
                <w:sz w:val="20"/>
              </w:rPr>
              <w:t>33 – Nesiorientuojant į teritoriškumą</w:t>
            </w:r>
          </w:p>
        </w:tc>
        <w:tc>
          <w:tcPr>
            <w:tcW w:w="1524" w:type="dxa"/>
          </w:tcPr>
          <w:p w14:paraId="78E49830" w14:textId="77777777" w:rsidR="005D4C01" w:rsidRPr="00B44B19" w:rsidRDefault="005D4C01" w:rsidP="00061D19">
            <w:pPr>
              <w:jc w:val="right"/>
              <w:rPr>
                <w:rFonts w:cs="Times New Roman"/>
                <w:color w:val="000000"/>
                <w:sz w:val="20"/>
                <w:szCs w:val="20"/>
              </w:rPr>
            </w:pPr>
            <w:r w:rsidRPr="00B44B19">
              <w:rPr>
                <w:rFonts w:cs="Times New Roman"/>
                <w:color w:val="000000"/>
                <w:sz w:val="20"/>
                <w:szCs w:val="20"/>
              </w:rPr>
              <w:t>87 200 000,00</w:t>
            </w:r>
          </w:p>
        </w:tc>
      </w:tr>
    </w:tbl>
    <w:p w14:paraId="04DCB3B7" w14:textId="77777777" w:rsidR="00E438B8" w:rsidRPr="00B44B19" w:rsidRDefault="00E438B8" w:rsidP="009B4679">
      <w:pPr>
        <w:spacing w:after="0" w:line="240" w:lineRule="auto"/>
        <w:rPr>
          <w:rFonts w:cs="Times New Roman"/>
          <w:sz w:val="20"/>
          <w:szCs w:val="20"/>
        </w:rPr>
      </w:pPr>
    </w:p>
    <w:tbl>
      <w:tblPr>
        <w:tblStyle w:val="Lentelstinklelis26"/>
        <w:tblW w:w="9889" w:type="dxa"/>
        <w:tblLayout w:type="fixed"/>
        <w:tblLook w:val="04A0" w:firstRow="1" w:lastRow="0" w:firstColumn="1" w:lastColumn="0" w:noHBand="0" w:noVBand="1"/>
      </w:tblPr>
      <w:tblGrid>
        <w:gridCol w:w="1101"/>
        <w:gridCol w:w="850"/>
        <w:gridCol w:w="1276"/>
        <w:gridCol w:w="1134"/>
        <w:gridCol w:w="3969"/>
        <w:gridCol w:w="1559"/>
      </w:tblGrid>
      <w:tr w:rsidR="00C92BB5" w:rsidRPr="00B44B19" w14:paraId="393374AE"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1E71593" w14:textId="77777777" w:rsidR="00C92BB5" w:rsidRPr="00B44B19" w:rsidRDefault="00C92BB5" w:rsidP="00C92BB5">
            <w:pPr>
              <w:rPr>
                <w:b/>
                <w:iCs/>
                <w:noProof/>
                <w:sz w:val="20"/>
                <w:szCs w:val="20"/>
              </w:rPr>
            </w:pPr>
            <w:r w:rsidRPr="00B44B19">
              <w:rPr>
                <w:b/>
                <w:noProof/>
                <w:sz w:val="20"/>
                <w:szCs w:val="20"/>
              </w:rPr>
              <w:t xml:space="preserve">7 lentelė. 7 matmuo. </w:t>
            </w:r>
            <w:r w:rsidRPr="00B44B19">
              <w:rPr>
                <w:b/>
                <w:sz w:val="20"/>
                <w:szCs w:val="20"/>
              </w:rPr>
              <w:t>ESF+, ERPF, S</w:t>
            </w:r>
            <w:r w:rsidR="00A27249" w:rsidRPr="00B44B19">
              <w:rPr>
                <w:b/>
                <w:sz w:val="20"/>
                <w:szCs w:val="20"/>
              </w:rPr>
              <w:t>a</w:t>
            </w:r>
            <w:r w:rsidRPr="00B44B19">
              <w:rPr>
                <w:b/>
                <w:sz w:val="20"/>
                <w:szCs w:val="20"/>
              </w:rPr>
              <w:t>F ir TPF lyčių lygybės matmuo</w:t>
            </w:r>
          </w:p>
        </w:tc>
      </w:tr>
      <w:tr w:rsidR="00C92BB5" w:rsidRPr="00B44B19" w14:paraId="6B45BB68"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100D9B" w14:textId="77777777" w:rsidR="00C92BB5" w:rsidRPr="00B44B19" w:rsidRDefault="00C92BB5" w:rsidP="00C92BB5">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E6B758" w14:textId="77777777" w:rsidR="00C92BB5" w:rsidRPr="00B44B19" w:rsidRDefault="00C92BB5" w:rsidP="00C92BB5">
            <w:pPr>
              <w:jc w:val="center"/>
              <w:rPr>
                <w:b/>
                <w:iCs/>
                <w:noProof/>
                <w:sz w:val="20"/>
              </w:rPr>
            </w:pPr>
            <w:r w:rsidRPr="00B44B19">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14821D" w14:textId="77777777" w:rsidR="00C92BB5" w:rsidRPr="00B44B19" w:rsidRDefault="00C92BB5" w:rsidP="00C92BB5">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D04F88" w14:textId="77777777" w:rsidR="00C92BB5" w:rsidRPr="00B44B19" w:rsidRDefault="00C92BB5" w:rsidP="00C92BB5">
            <w:pPr>
              <w:jc w:val="center"/>
              <w:rPr>
                <w:b/>
                <w:iCs/>
                <w:noProof/>
                <w:sz w:val="20"/>
              </w:rPr>
            </w:pPr>
            <w:r w:rsidRPr="00B44B19">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87C257" w14:textId="77777777" w:rsidR="00C92BB5" w:rsidRPr="00B44B19" w:rsidRDefault="00C92BB5" w:rsidP="00C92BB5">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374458" w14:textId="77777777" w:rsidR="00C92BB5" w:rsidRPr="00B44B19" w:rsidRDefault="00C92BB5" w:rsidP="00C92BB5">
            <w:pPr>
              <w:jc w:val="center"/>
              <w:rPr>
                <w:b/>
                <w:iCs/>
                <w:noProof/>
                <w:sz w:val="20"/>
              </w:rPr>
            </w:pPr>
            <w:r w:rsidRPr="00B44B19">
              <w:rPr>
                <w:b/>
                <w:noProof/>
                <w:sz w:val="20"/>
              </w:rPr>
              <w:t>Suma (EUR)</w:t>
            </w:r>
          </w:p>
        </w:tc>
      </w:tr>
      <w:tr w:rsidR="00C92BB5" w:rsidRPr="00B44B19" w14:paraId="737FB03B" w14:textId="77777777" w:rsidTr="00061D19">
        <w:trPr>
          <w:trHeight w:val="251"/>
        </w:trPr>
        <w:tc>
          <w:tcPr>
            <w:tcW w:w="1101" w:type="dxa"/>
            <w:tcBorders>
              <w:top w:val="single" w:sz="12" w:space="0" w:color="auto"/>
            </w:tcBorders>
          </w:tcPr>
          <w:p w14:paraId="6D338402" w14:textId="77777777" w:rsidR="00C92BB5" w:rsidRPr="00B44B19" w:rsidRDefault="00C92BB5" w:rsidP="00C92BB5">
            <w:pPr>
              <w:jc w:val="center"/>
              <w:rPr>
                <w:iCs/>
                <w:noProof/>
                <w:sz w:val="20"/>
              </w:rPr>
            </w:pPr>
            <w:r w:rsidRPr="00B44B19">
              <w:rPr>
                <w:iCs/>
                <w:noProof/>
                <w:sz w:val="20"/>
              </w:rPr>
              <w:t>2.</w:t>
            </w:r>
          </w:p>
        </w:tc>
        <w:tc>
          <w:tcPr>
            <w:tcW w:w="850" w:type="dxa"/>
            <w:tcBorders>
              <w:top w:val="single" w:sz="12" w:space="0" w:color="auto"/>
            </w:tcBorders>
          </w:tcPr>
          <w:p w14:paraId="6C5C2B0C" w14:textId="77777777" w:rsidR="00C92BB5" w:rsidRPr="00B44B19" w:rsidRDefault="00C92BB5" w:rsidP="00C92BB5">
            <w:pPr>
              <w:jc w:val="center"/>
              <w:rPr>
                <w:iCs/>
                <w:noProof/>
                <w:sz w:val="20"/>
              </w:rPr>
            </w:pPr>
            <w:r w:rsidRPr="00B44B19">
              <w:rPr>
                <w:iCs/>
                <w:noProof/>
                <w:sz w:val="20"/>
              </w:rPr>
              <w:t>SaF</w:t>
            </w:r>
          </w:p>
        </w:tc>
        <w:tc>
          <w:tcPr>
            <w:tcW w:w="1276" w:type="dxa"/>
            <w:tcBorders>
              <w:top w:val="single" w:sz="12" w:space="0" w:color="auto"/>
            </w:tcBorders>
          </w:tcPr>
          <w:p w14:paraId="26EC61F9" w14:textId="77777777" w:rsidR="00C92BB5" w:rsidRPr="00B44B19" w:rsidRDefault="00C92BB5" w:rsidP="00C92BB5">
            <w:pPr>
              <w:rPr>
                <w:iCs/>
                <w:noProof/>
                <w:sz w:val="20"/>
              </w:rPr>
            </w:pPr>
            <w:r w:rsidRPr="00B44B19">
              <w:rPr>
                <w:iCs/>
                <w:noProof/>
                <w:sz w:val="20"/>
              </w:rPr>
              <w:t>Visa Lietuva</w:t>
            </w:r>
          </w:p>
        </w:tc>
        <w:tc>
          <w:tcPr>
            <w:tcW w:w="1134" w:type="dxa"/>
            <w:tcBorders>
              <w:top w:val="single" w:sz="12" w:space="0" w:color="auto"/>
            </w:tcBorders>
          </w:tcPr>
          <w:p w14:paraId="5577559D" w14:textId="77777777" w:rsidR="00C92BB5" w:rsidRPr="00B44B19" w:rsidRDefault="00C92BB5" w:rsidP="00C92BB5">
            <w:pPr>
              <w:jc w:val="center"/>
              <w:rPr>
                <w:iCs/>
                <w:noProof/>
                <w:sz w:val="20"/>
              </w:rPr>
            </w:pPr>
            <w:r w:rsidRPr="00B44B19">
              <w:rPr>
                <w:iCs/>
                <w:noProof/>
                <w:sz w:val="20"/>
              </w:rPr>
              <w:t>2.6.</w:t>
            </w:r>
          </w:p>
        </w:tc>
        <w:tc>
          <w:tcPr>
            <w:tcW w:w="3969" w:type="dxa"/>
            <w:tcBorders>
              <w:top w:val="single" w:sz="12" w:space="0" w:color="auto"/>
            </w:tcBorders>
          </w:tcPr>
          <w:p w14:paraId="5E1C3ECD" w14:textId="77777777" w:rsidR="00C92BB5" w:rsidRPr="00B44B19" w:rsidRDefault="00C92BB5" w:rsidP="00A27249">
            <w:pPr>
              <w:rPr>
                <w:iCs/>
                <w:noProof/>
                <w:sz w:val="20"/>
              </w:rPr>
            </w:pPr>
            <w:r w:rsidRPr="00B44B19">
              <w:rPr>
                <w:iCs/>
                <w:noProof/>
                <w:sz w:val="20"/>
              </w:rPr>
              <w:t xml:space="preserve">03 </w:t>
            </w:r>
            <w:r w:rsidR="00A27249" w:rsidRPr="00B44B19">
              <w:rPr>
                <w:iCs/>
                <w:noProof/>
                <w:sz w:val="20"/>
              </w:rPr>
              <w:t>–</w:t>
            </w:r>
            <w:r w:rsidRPr="00B44B19">
              <w:rPr>
                <w:iCs/>
                <w:noProof/>
                <w:sz w:val="20"/>
              </w:rPr>
              <w:t xml:space="preserve"> Neutralumas lyties požiūriu</w:t>
            </w:r>
          </w:p>
        </w:tc>
        <w:tc>
          <w:tcPr>
            <w:tcW w:w="1559" w:type="dxa"/>
            <w:tcBorders>
              <w:top w:val="single" w:sz="12" w:space="0" w:color="auto"/>
            </w:tcBorders>
          </w:tcPr>
          <w:p w14:paraId="7CA22559" w14:textId="77777777" w:rsidR="00C92BB5" w:rsidRPr="00B44B19" w:rsidRDefault="005F225E" w:rsidP="00C92BB5">
            <w:pPr>
              <w:jc w:val="right"/>
              <w:rPr>
                <w:iCs/>
                <w:noProof/>
                <w:sz w:val="20"/>
              </w:rPr>
            </w:pPr>
            <w:r w:rsidRPr="00B44B19">
              <w:rPr>
                <w:iCs/>
                <w:noProof/>
                <w:sz w:val="20"/>
                <w:lang w:val="en-US"/>
              </w:rPr>
              <w:t xml:space="preserve">107 </w:t>
            </w:r>
            <w:r w:rsidR="00C92BB5" w:rsidRPr="00B44B19">
              <w:rPr>
                <w:iCs/>
                <w:noProof/>
                <w:sz w:val="20"/>
                <w:lang w:val="en-US"/>
              </w:rPr>
              <w:t>200 000,00</w:t>
            </w:r>
          </w:p>
        </w:tc>
      </w:tr>
    </w:tbl>
    <w:p w14:paraId="0498ACAA" w14:textId="77777777" w:rsidR="00FE2852" w:rsidRPr="00B44B19" w:rsidRDefault="00FE2852" w:rsidP="00D456C1">
      <w:pPr>
        <w:pStyle w:val="Antrat2"/>
      </w:pPr>
      <w:bookmarkStart w:id="30" w:name="_Toc223435421"/>
      <w:r w:rsidRPr="00B44B19">
        <w:t xml:space="preserve">Konkretus uždavinys – 2.7. </w:t>
      </w:r>
      <w:r w:rsidR="007C1C66" w:rsidRPr="00B44B19">
        <w:rPr>
          <w:lang w:bidi="lt-LT"/>
        </w:rPr>
        <w:t>Stiprinti gamtos, biologinės įvairovės ir žaliosios infrastruktūros apsaugą ir išsaugojimą, be kita ko, miestų teritorijose ir mažinti visų rūšių taršą</w:t>
      </w:r>
      <w:bookmarkEnd w:id="30"/>
    </w:p>
    <w:p w14:paraId="7024B884" w14:textId="77777777" w:rsidR="00FE2852" w:rsidRPr="00B44B19" w:rsidRDefault="00FE2852" w:rsidP="001E5B12">
      <w:pPr>
        <w:pStyle w:val="Stilius1"/>
        <w:rPr>
          <w:rFonts w:cs="Times New Roman"/>
        </w:rPr>
      </w:pPr>
      <w:r w:rsidRPr="00B44B19">
        <w:rPr>
          <w:rFonts w:cs="Times New Roman"/>
        </w:rPr>
        <w:t xml:space="preserve">Įgyvendinamos veiklos </w:t>
      </w:r>
    </w:p>
    <w:tbl>
      <w:tblPr>
        <w:tblStyle w:val="Lentelstinklelis2"/>
        <w:tblW w:w="9634" w:type="dxa"/>
        <w:tblLook w:val="04A0" w:firstRow="1" w:lastRow="0" w:firstColumn="1" w:lastColumn="0" w:noHBand="0" w:noVBand="1"/>
      </w:tblPr>
      <w:tblGrid>
        <w:gridCol w:w="9634"/>
      </w:tblGrid>
      <w:tr w:rsidR="00FE2852" w:rsidRPr="00B44B19" w14:paraId="052D3025" w14:textId="77777777" w:rsidTr="00D27D25">
        <w:tc>
          <w:tcPr>
            <w:tcW w:w="9634" w:type="dxa"/>
            <w:tcBorders>
              <w:top w:val="single" w:sz="4" w:space="0" w:color="auto"/>
              <w:left w:val="single" w:sz="4" w:space="0" w:color="auto"/>
              <w:bottom w:val="single" w:sz="4" w:space="0" w:color="auto"/>
              <w:right w:val="single" w:sz="4" w:space="0" w:color="auto"/>
            </w:tcBorders>
            <w:hideMark/>
          </w:tcPr>
          <w:p w14:paraId="4BC79A16" w14:textId="77777777" w:rsidR="00C92BB5" w:rsidRPr="00B44B19" w:rsidRDefault="00A27249"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Uždavinys prisideda prie biologinės įvairovės, ekosistemų ir jų paslaugų kokybės, tinklo „Natura 2000“ kokybės gerinimo, taršos keliamo pavojaus žmonių sveikatai ir aplinkai mažinimo.</w:t>
            </w:r>
          </w:p>
          <w:p w14:paraId="436F1AD4" w14:textId="77777777" w:rsidR="00796382" w:rsidRPr="00B44B19" w:rsidRDefault="00C92BB5"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Biologinės įvairovės nykimas trikdo ekosistemų funkcijas, tai neigiamai atsiliepia visuomenės gerovei ir ekonomikai. </w:t>
            </w:r>
            <w:r w:rsidR="00A27249" w:rsidRPr="00B44B19">
              <w:rPr>
                <w:rFonts w:ascii="Times New Roman" w:eastAsia="Times New Roman" w:hAnsi="Times New Roman" w:cs="Times New Roman"/>
              </w:rPr>
              <w:t xml:space="preserve">Numatoma, kad, didėjant savaiminei renatūralizacijai, tikslingam Lietuvos miškingumui ir kitiems daugiametės augalijos plotams, </w:t>
            </w:r>
            <w:r w:rsidRPr="00B44B19">
              <w:rPr>
                <w:rFonts w:ascii="Times New Roman" w:eastAsia="Times New Roman" w:hAnsi="Times New Roman" w:cs="Times New Roman"/>
              </w:rPr>
              <w:t xml:space="preserve">saugomų teritorijų ir gamtinio karkaso racionaliai plėtrai ir integravimui į tarptautinius ekologinius tinklus, bus apsaugota kraštovaizdžio ir biologinė įvairovė, padidės ekologinis teritorijų stabilumas. </w:t>
            </w:r>
            <w:r w:rsidR="00153FB5" w:rsidRPr="00B44B19">
              <w:rPr>
                <w:rFonts w:ascii="Times New Roman" w:eastAsia="Times New Roman" w:hAnsi="Times New Roman" w:cs="Times New Roman"/>
              </w:rPr>
              <w:t xml:space="preserve">Aplinkos kokybei įtaką daro oro tarša, </w:t>
            </w:r>
            <w:r w:rsidR="00796382" w:rsidRPr="00B44B19">
              <w:rPr>
                <w:rFonts w:ascii="Times New Roman" w:eastAsia="Times New Roman" w:hAnsi="Times New Roman" w:cs="Times New Roman"/>
              </w:rPr>
              <w:t xml:space="preserve">invazinių rūšių plėtra, </w:t>
            </w:r>
            <w:r w:rsidR="00153FB5" w:rsidRPr="00B44B19">
              <w:rPr>
                <w:rFonts w:ascii="Times New Roman" w:eastAsia="Times New Roman" w:hAnsi="Times New Roman" w:cs="Times New Roman"/>
              </w:rPr>
              <w:t xml:space="preserve">intensyvėjantis žemės </w:t>
            </w:r>
            <w:r w:rsidR="00A27249" w:rsidRPr="00B44B19">
              <w:rPr>
                <w:rFonts w:ascii="Times New Roman" w:eastAsia="Times New Roman" w:hAnsi="Times New Roman" w:cs="Times New Roman"/>
              </w:rPr>
              <w:t>ūkis, nepakankama vidaus vandenų,</w:t>
            </w:r>
            <w:r w:rsidR="00153FB5" w:rsidRPr="00B44B19">
              <w:rPr>
                <w:rFonts w:ascii="Times New Roman" w:eastAsia="Times New Roman" w:hAnsi="Times New Roman" w:cs="Times New Roman"/>
              </w:rPr>
              <w:t xml:space="preserve"> ypač Baltijos jūros, vandens kokybė</w:t>
            </w:r>
            <w:r w:rsidR="00E0074E" w:rsidRPr="00B44B19">
              <w:rPr>
                <w:rFonts w:ascii="Times New Roman" w:eastAsia="Times New Roman" w:hAnsi="Times New Roman" w:cs="Times New Roman"/>
              </w:rPr>
              <w:t>.</w:t>
            </w:r>
          </w:p>
          <w:p w14:paraId="186512E1" w14:textId="77777777" w:rsidR="00796382" w:rsidRPr="00B44B19" w:rsidRDefault="00796382" w:rsidP="0095093F">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K</w:t>
            </w:r>
            <w:r w:rsidR="00C92BB5" w:rsidRPr="00B44B19">
              <w:rPr>
                <w:rFonts w:ascii="Times New Roman" w:eastAsia="Times New Roman" w:hAnsi="Times New Roman" w:cs="Times New Roman"/>
                <w:bCs/>
              </w:rPr>
              <w:t>raštovaizdžio struktūrai neigiamą poveikį daro užstatytų miestų erdvių tankinimas (žaliųjų erdvių mažėjimas), užmiesčių urbanizacijos, kelių tinklo plėtra, erozijos procesai, apleistais statiniais, užterštu dirvožemiu, karjerais,</w:t>
            </w:r>
            <w:r w:rsidR="00C16BDD" w:rsidRPr="00B44B19">
              <w:rPr>
                <w:rFonts w:ascii="Times New Roman" w:eastAsia="Times New Roman" w:hAnsi="Times New Roman" w:cs="Times New Roman"/>
                <w:bCs/>
              </w:rPr>
              <w:t xml:space="preserve"> </w:t>
            </w:r>
            <w:r w:rsidR="00C92BB5" w:rsidRPr="00B44B19">
              <w:rPr>
                <w:rFonts w:ascii="Times New Roman" w:eastAsia="Times New Roman" w:hAnsi="Times New Roman" w:cs="Times New Roman"/>
                <w:bCs/>
              </w:rPr>
              <w:t xml:space="preserve">durpynais pažeistų teritorijų </w:t>
            </w:r>
            <w:r w:rsidR="00AF6F0F" w:rsidRPr="00B44B19">
              <w:rPr>
                <w:rFonts w:ascii="Times New Roman" w:eastAsia="Times New Roman" w:hAnsi="Times New Roman" w:cs="Times New Roman"/>
                <w:bCs/>
              </w:rPr>
              <w:t xml:space="preserve">plotas, </w:t>
            </w:r>
            <w:r w:rsidR="00A27016" w:rsidRPr="00B44B19">
              <w:rPr>
                <w:rStyle w:val="Bodytext1"/>
                <w:rFonts w:ascii="Times New Roman" w:hAnsi="Times New Roman" w:cs="Times New Roman"/>
              </w:rPr>
              <w:t>kuris</w:t>
            </w:r>
            <w:r w:rsidR="00AF6F0F" w:rsidRPr="00B44B19">
              <w:rPr>
                <w:rFonts w:ascii="Times New Roman" w:eastAsia="Times New Roman" w:hAnsi="Times New Roman" w:cs="Times New Roman"/>
                <w:bCs/>
              </w:rPr>
              <w:t xml:space="preserve"> bus rekultivuojamas </w:t>
            </w:r>
            <w:r w:rsidR="00C92BB5" w:rsidRPr="00B44B19">
              <w:rPr>
                <w:rFonts w:ascii="Times New Roman" w:eastAsia="Times New Roman" w:hAnsi="Times New Roman" w:cs="Times New Roman"/>
                <w:bCs/>
              </w:rPr>
              <w:t>Programos lėšomis.</w:t>
            </w:r>
            <w:r w:rsidRPr="00B44B19">
              <w:rPr>
                <w:rFonts w:ascii="Times New Roman" w:eastAsia="Times New Roman" w:hAnsi="Times New Roman" w:cs="Times New Roman"/>
                <w:bCs/>
              </w:rPr>
              <w:t xml:space="preserve"> </w:t>
            </w:r>
          </w:p>
          <w:p w14:paraId="78920FBC" w14:textId="77777777" w:rsidR="00C92BB5" w:rsidRPr="00B44B19" w:rsidRDefault="00796382" w:rsidP="0095093F">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rPr>
              <w:t>I</w:t>
            </w:r>
            <w:r w:rsidR="00C92BB5" w:rsidRPr="00B44B19">
              <w:rPr>
                <w:rFonts w:ascii="Times New Roman" w:eastAsia="Times New Roman" w:hAnsi="Times New Roman" w:cs="Times New Roman"/>
              </w:rPr>
              <w:t>nvesticijos</w:t>
            </w:r>
            <w:r w:rsidR="00907136" w:rsidRPr="00B44B19">
              <w:rPr>
                <w:rFonts w:ascii="Times New Roman" w:eastAsia="Times New Roman" w:hAnsi="Times New Roman" w:cs="Times New Roman"/>
              </w:rPr>
              <w:t xml:space="preserve"> turi sinergijos</w:t>
            </w:r>
            <w:r w:rsidR="00C92BB5" w:rsidRPr="00B44B19">
              <w:rPr>
                <w:rFonts w:ascii="Times New Roman" w:eastAsia="Times New Roman" w:hAnsi="Times New Roman" w:cs="Times New Roman"/>
              </w:rPr>
              <w:t xml:space="preserve"> su 5.1 uždavini</w:t>
            </w:r>
            <w:r w:rsidR="00907136" w:rsidRPr="00B44B19">
              <w:rPr>
                <w:rFonts w:ascii="Times New Roman" w:eastAsia="Times New Roman" w:hAnsi="Times New Roman" w:cs="Times New Roman"/>
              </w:rPr>
              <w:t>o</w:t>
            </w:r>
            <w:r w:rsidR="00C92BB5" w:rsidRPr="00B44B19">
              <w:rPr>
                <w:rFonts w:ascii="Times New Roman" w:eastAsia="Times New Roman" w:hAnsi="Times New Roman" w:cs="Times New Roman"/>
              </w:rPr>
              <w:t xml:space="preserve"> veiklomis,</w:t>
            </w:r>
            <w:r w:rsidR="00907136" w:rsidRPr="00B44B19">
              <w:rPr>
                <w:rFonts w:ascii="Times New Roman" w:eastAsia="Times New Roman" w:hAnsi="Times New Roman" w:cs="Times New Roman"/>
              </w:rPr>
              <w:t xml:space="preserve"> kurias įgyvendinant į ITI bus integruojami žaliosios infrastruktūros poreikio žemėlapiuose nustatyti sprendiniai.</w:t>
            </w:r>
            <w:r w:rsidR="00C92BB5" w:rsidRPr="00B44B19">
              <w:rPr>
                <w:rFonts w:ascii="Times New Roman" w:eastAsia="Times New Roman" w:hAnsi="Times New Roman" w:cs="Times New Roman"/>
              </w:rPr>
              <w:t xml:space="preserve"> </w:t>
            </w:r>
            <w:r w:rsidR="00AF6F0F" w:rsidRPr="00B44B19">
              <w:rPr>
                <w:rFonts w:ascii="Times New Roman" w:eastAsia="Times New Roman" w:hAnsi="Times New Roman" w:cs="Times New Roman"/>
                <w:bCs/>
              </w:rPr>
              <w:t>Programos lėšomis bus tęsiamos 2014–2020 m. ir LIFE programos projektuose nustatytos kryptys, siekiant didinti visuomenės sąmoningumą, daugiau dėmesio skirti aplinkos taršos prevencijai, monitoringui ir</w:t>
            </w:r>
            <w:r w:rsidR="00E0074E" w:rsidRPr="00B44B19">
              <w:rPr>
                <w:rFonts w:ascii="Times New Roman" w:eastAsia="Times New Roman" w:hAnsi="Times New Roman" w:cs="Times New Roman"/>
                <w:bCs/>
              </w:rPr>
              <w:t xml:space="preserve"> kontrolės sistemų stiprinimui.</w:t>
            </w:r>
          </w:p>
          <w:p w14:paraId="1672A2E0" w14:textId="77777777" w:rsidR="00C92BB5" w:rsidRPr="00B44B19" w:rsidRDefault="00C92BB5"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Veiksmų rūšys, siekiant išsaugoti ir atkurti biologinę įvairovę, ekosistemų ir jų paslaugų kokybę pagal Lietuvos Europos ekologinio tinklo „Natura 2000“ prioritetinių veiksmų programą</w:t>
            </w:r>
            <w:r w:rsidRPr="00B44B19">
              <w:rPr>
                <w:rFonts w:ascii="Times New Roman" w:eastAsia="Times New Roman" w:hAnsi="Times New Roman" w:cs="Times New Roman"/>
                <w:vertAlign w:val="superscript"/>
              </w:rPr>
              <w:footnoteReference w:id="1"/>
            </w:r>
            <w:r w:rsidRPr="00B44B19">
              <w:rPr>
                <w:rFonts w:ascii="Times New Roman" w:eastAsia="Times New Roman" w:hAnsi="Times New Roman" w:cs="Times New Roman"/>
              </w:rPr>
              <w:t xml:space="preserve"> bei</w:t>
            </w:r>
            <w:r w:rsidR="009B4679" w:rsidRPr="00B44B19">
              <w:rPr>
                <w:rFonts w:ascii="Times New Roman" w:eastAsia="Times New Roman" w:hAnsi="Times New Roman" w:cs="Times New Roman"/>
              </w:rPr>
              <w:t xml:space="preserve"> </w:t>
            </w:r>
            <w:r w:rsidRPr="00B44B19">
              <w:rPr>
                <w:rFonts w:ascii="Times New Roman" w:eastAsia="Times New Roman" w:hAnsi="Times New Roman" w:cs="Times New Roman"/>
              </w:rPr>
              <w:t>mažinti taršos pavojų žmonių sveikatai ir aplinkai, prisidedant prie Europos žaliojo kurso, ES</w:t>
            </w:r>
            <w:r w:rsidRPr="00B44B19">
              <w:rPr>
                <w:rFonts w:ascii="Times New Roman" w:eastAsia="Times New Roman" w:hAnsi="Times New Roman" w:cs="Times New Roman"/>
                <w:iCs/>
                <w:color w:val="000000"/>
              </w:rPr>
              <w:t xml:space="preserve"> Biologinės įvairovės strategijos bei </w:t>
            </w:r>
            <w:r w:rsidR="009B4679" w:rsidRPr="00B44B19">
              <w:rPr>
                <w:rFonts w:ascii="Times New Roman" w:eastAsia="Times New Roman" w:hAnsi="Times New Roman" w:cs="Times New Roman"/>
                <w:iCs/>
                <w:color w:val="000000"/>
              </w:rPr>
              <w:t>BJRS</w:t>
            </w:r>
            <w:r w:rsidRPr="00B44B19">
              <w:rPr>
                <w:rFonts w:ascii="Times New Roman" w:eastAsia="Times New Roman" w:hAnsi="Times New Roman" w:cs="Times New Roman"/>
                <w:iCs/>
                <w:color w:val="000000"/>
              </w:rPr>
              <w:t xml:space="preserve"> </w:t>
            </w:r>
            <w:r w:rsidRPr="00B44B19">
              <w:rPr>
                <w:rFonts w:ascii="Times New Roman" w:eastAsia="Times New Roman" w:hAnsi="Times New Roman" w:cs="Times New Roman"/>
              </w:rPr>
              <w:t>įgyvendinimo:</w:t>
            </w:r>
          </w:p>
          <w:p w14:paraId="46DF1D5A" w14:textId="77777777" w:rsidR="00C92BB5" w:rsidRPr="00B44B19" w:rsidRDefault="008F7BBA"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 xml:space="preserve">Tinklo </w:t>
            </w:r>
            <w:r w:rsidR="00C92BB5" w:rsidRPr="00B44B19">
              <w:rPr>
                <w:rFonts w:ascii="Times New Roman" w:eastAsia="Times New Roman" w:hAnsi="Times New Roman" w:cs="Times New Roman"/>
                <w:b/>
              </w:rPr>
              <w:t>„Natura 2000“ teritorijų steigimas, valdymo stiprinimas ir tvarkymas</w:t>
            </w:r>
            <w:r w:rsidR="00C92BB5" w:rsidRPr="00B44B19">
              <w:rPr>
                <w:rFonts w:ascii="Times New Roman" w:eastAsia="Times New Roman" w:hAnsi="Times New Roman" w:cs="Times New Roman"/>
              </w:rPr>
              <w:t xml:space="preserve">: prioritetinių buveinių apsaugai svarbių teritorijų identifikavimas, naujų saugomų teritorijų steigimas, saugomų teritorijų ribų </w:t>
            </w:r>
            <w:r w:rsidR="00C92BB5" w:rsidRPr="00B44B19">
              <w:rPr>
                <w:rFonts w:ascii="Times New Roman" w:eastAsia="Times New Roman" w:hAnsi="Times New Roman" w:cs="Times New Roman"/>
              </w:rPr>
              <w:lastRenderedPageBreak/>
              <w:t xml:space="preserve">koregavimas, buveinių būklės gerinimo tyrimų atlikimas, apsaugos priemonių atnaujinimas, jūrinių </w:t>
            </w:r>
            <w:r w:rsidRPr="00B44B19">
              <w:rPr>
                <w:rFonts w:ascii="Times New Roman" w:eastAsia="Times New Roman" w:hAnsi="Times New Roman" w:cs="Times New Roman"/>
              </w:rPr>
              <w:t xml:space="preserve">tinklo </w:t>
            </w:r>
            <w:r w:rsidR="00C92BB5" w:rsidRPr="00B44B19">
              <w:rPr>
                <w:rFonts w:ascii="Times New Roman" w:eastAsia="Times New Roman" w:hAnsi="Times New Roman" w:cs="Times New Roman"/>
              </w:rPr>
              <w:t>„Natura 2000</w:t>
            </w:r>
            <w:r w:rsidRPr="00B44B19">
              <w:rPr>
                <w:rFonts w:ascii="Times New Roman" w:eastAsia="Times New Roman" w:hAnsi="Times New Roman" w:cs="Times New Roman"/>
              </w:rPr>
              <w:t>“</w:t>
            </w:r>
            <w:r w:rsidR="00C92BB5" w:rsidRPr="00B44B19">
              <w:rPr>
                <w:rFonts w:ascii="Times New Roman" w:eastAsia="Times New Roman" w:hAnsi="Times New Roman" w:cs="Times New Roman"/>
              </w:rPr>
              <w:t xml:space="preserve"> teritorijų apsaugos tikslų, priemonių ir rodiklių nustatymas, gamtotvarkos planų, rūšių apsaugos planų ir kt. dokumentų </w:t>
            </w:r>
            <w:r w:rsidRPr="00B44B19">
              <w:rPr>
                <w:rFonts w:ascii="Times New Roman" w:eastAsia="Times New Roman" w:hAnsi="Times New Roman" w:cs="Times New Roman"/>
              </w:rPr>
              <w:t>tinklo „Natura 2000“</w:t>
            </w:r>
            <w:r w:rsidR="00C92BB5" w:rsidRPr="00B44B19">
              <w:rPr>
                <w:rFonts w:ascii="Times New Roman" w:eastAsia="Times New Roman" w:hAnsi="Times New Roman" w:cs="Times New Roman"/>
              </w:rPr>
              <w:t xml:space="preserve"> </w:t>
            </w:r>
            <w:r w:rsidRPr="00B44B19">
              <w:rPr>
                <w:rFonts w:ascii="Times New Roman" w:eastAsia="Times New Roman" w:hAnsi="Times New Roman" w:cs="Times New Roman"/>
              </w:rPr>
              <w:t>teritorijoms</w:t>
            </w:r>
            <w:r w:rsidR="00C92BB5" w:rsidRPr="00B44B19">
              <w:rPr>
                <w:rFonts w:ascii="Times New Roman" w:eastAsia="Times New Roman" w:hAnsi="Times New Roman" w:cs="Times New Roman"/>
              </w:rPr>
              <w:t xml:space="preserve"> rengimas, palankios rūšių ir buveinių apsaugos būklės atkūrimo priemonių </w:t>
            </w:r>
            <w:r w:rsidRPr="00B44B19">
              <w:rPr>
                <w:rFonts w:ascii="Times New Roman" w:eastAsia="Times New Roman" w:hAnsi="Times New Roman" w:cs="Times New Roman"/>
              </w:rPr>
              <w:t xml:space="preserve">tinklo </w:t>
            </w:r>
            <w:r w:rsidR="00C92BB5" w:rsidRPr="00B44B19">
              <w:rPr>
                <w:rFonts w:ascii="Times New Roman" w:eastAsia="Times New Roman" w:hAnsi="Times New Roman" w:cs="Times New Roman"/>
              </w:rPr>
              <w:t>„Na</w:t>
            </w:r>
            <w:r w:rsidRPr="00B44B19">
              <w:rPr>
                <w:rFonts w:ascii="Times New Roman" w:eastAsia="Times New Roman" w:hAnsi="Times New Roman" w:cs="Times New Roman"/>
              </w:rPr>
              <w:t>tura 2000“</w:t>
            </w:r>
            <w:r w:rsidR="00C92BB5" w:rsidRPr="00B44B19">
              <w:rPr>
                <w:rFonts w:ascii="Times New Roman" w:eastAsia="Times New Roman" w:hAnsi="Times New Roman" w:cs="Times New Roman"/>
              </w:rPr>
              <w:t xml:space="preserve"> teritorijose įgyvendinimas. Didinant visuomenės suvokimą ir ekologinę atsakomybę, planuojama investuoti į visuomenės informavimą ir švietimą apie saugomų teritorijų poreikius, svarbą, socialinės įtampos ir (ar) konfliktų mažinimą, komunikacijos krizių valdymą. Planuojamos kvalifikacijos kėlimo priemonės saugomų teritorijų specialistams, planuotojams, sprendimų priėmėjams, mokomųjų programų gamtos mokykloms parengimas ir susijusios įrangos įsigijimas. Veikla įgyvendinama visoje Lietuvoje.</w:t>
            </w:r>
          </w:p>
          <w:p w14:paraId="7875E573" w14:textId="77777777" w:rsidR="00C92BB5" w:rsidRPr="00B44B19" w:rsidRDefault="00C92BB5"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 xml:space="preserve">Rūšių ir buveinių geros būklės palaikymas ir atkūrimas ne </w:t>
            </w:r>
            <w:r w:rsidR="008F7BBA" w:rsidRPr="00B44B19">
              <w:rPr>
                <w:rFonts w:ascii="Times New Roman" w:eastAsia="Times New Roman" w:hAnsi="Times New Roman" w:cs="Times New Roman"/>
                <w:b/>
              </w:rPr>
              <w:t xml:space="preserve">tinklo </w:t>
            </w:r>
            <w:r w:rsidRPr="00B44B19">
              <w:rPr>
                <w:rFonts w:ascii="Times New Roman" w:eastAsia="Times New Roman" w:hAnsi="Times New Roman" w:cs="Times New Roman"/>
                <w:b/>
              </w:rPr>
              <w:t>„Natura 2000“ teritorijose</w:t>
            </w:r>
            <w:r w:rsidRPr="00B44B19">
              <w:rPr>
                <w:rFonts w:ascii="Times New Roman" w:eastAsia="Times New Roman" w:hAnsi="Times New Roman" w:cs="Times New Roman"/>
              </w:rPr>
              <w:t xml:space="preserve">: planuojama finansuoti palankios rūšių ir buveinių apsaugos būklės atkūrimo </w:t>
            </w:r>
            <w:r w:rsidR="008F7BBA" w:rsidRPr="00B44B19">
              <w:rPr>
                <w:rFonts w:ascii="Times New Roman" w:eastAsia="Times New Roman" w:hAnsi="Times New Roman" w:cs="Times New Roman"/>
              </w:rPr>
              <w:t>darbus, tarp jų</w:t>
            </w:r>
            <w:r w:rsidRPr="00B44B19">
              <w:rPr>
                <w:rFonts w:ascii="Times New Roman" w:eastAsia="Times New Roman" w:hAnsi="Times New Roman" w:cs="Times New Roman"/>
              </w:rPr>
              <w:t xml:space="preserve"> – būdingos </w:t>
            </w:r>
            <w:r w:rsidR="008F7BBA" w:rsidRPr="00B44B19">
              <w:rPr>
                <w:rFonts w:ascii="Times New Roman" w:eastAsia="Times New Roman" w:hAnsi="Times New Roman" w:cs="Times New Roman"/>
              </w:rPr>
              <w:t>augalijos atkūrimas atvirose</w:t>
            </w:r>
            <w:r w:rsidRPr="00B44B19">
              <w:rPr>
                <w:rFonts w:ascii="Times New Roman" w:eastAsia="Times New Roman" w:hAnsi="Times New Roman" w:cs="Times New Roman"/>
              </w:rPr>
              <w:t xml:space="preserve"> buveinėse, kontroliuojamas deginimas, hidrologinio režimo atkūrimas</w:t>
            </w:r>
            <w:r w:rsidR="003B6D2A" w:rsidRPr="00B44B19">
              <w:rPr>
                <w:rFonts w:ascii="Times New Roman" w:eastAsia="Times New Roman" w:hAnsi="Times New Roman" w:cs="Times New Roman"/>
              </w:rPr>
              <w:t xml:space="preserve"> upėse ir</w:t>
            </w:r>
            <w:r w:rsidRPr="00B44B19">
              <w:rPr>
                <w:rFonts w:ascii="Times New Roman" w:eastAsia="Times New Roman" w:hAnsi="Times New Roman" w:cs="Times New Roman"/>
              </w:rPr>
              <w:t xml:space="preserve"> pelkėse, struktūros atkūrimo specialieji kirtimai miškuose, miško pievų tin</w:t>
            </w:r>
            <w:r w:rsidR="005C3FAC" w:rsidRPr="00B44B19">
              <w:rPr>
                <w:rFonts w:ascii="Times New Roman" w:eastAsia="Times New Roman" w:hAnsi="Times New Roman" w:cs="Times New Roman"/>
              </w:rPr>
              <w:t>klo atkūrimas / sukūrimas ir kt</w:t>
            </w:r>
            <w:r w:rsidRPr="00B44B19">
              <w:rPr>
                <w:rFonts w:ascii="Times New Roman" w:eastAsia="Times New Roman" w:hAnsi="Times New Roman" w:cs="Times New Roman"/>
              </w:rPr>
              <w:t xml:space="preserve">. </w:t>
            </w:r>
            <w:r w:rsidR="008F7BBA" w:rsidRPr="00B44B19">
              <w:rPr>
                <w:rFonts w:ascii="Times New Roman" w:eastAsia="Times New Roman" w:hAnsi="Times New Roman" w:cs="Times New Roman"/>
              </w:rPr>
              <w:t xml:space="preserve">Bus atkuriamos saugomų rūšių populiacijos pelkių, miškų, ežerų, upių ekosistemose (veisimosi vietų inventorizacija, </w:t>
            </w:r>
            <w:r w:rsidRPr="00B44B19">
              <w:rPr>
                <w:rFonts w:ascii="Times New Roman" w:eastAsia="Times New Roman" w:hAnsi="Times New Roman" w:cs="Times New Roman"/>
              </w:rPr>
              <w:t>sukūrimas ir apsauga, populiacijų gyvybingumo atkūrimas, dirbtinai veisiant ir didinant genetinę įvairovę, žiemaviečių palankios apsaugos būklės</w:t>
            </w:r>
            <w:r w:rsidR="008F7BBA" w:rsidRPr="00B44B19">
              <w:rPr>
                <w:rFonts w:ascii="Times New Roman" w:eastAsia="Times New Roman" w:hAnsi="Times New Roman" w:cs="Times New Roman"/>
              </w:rPr>
              <w:t xml:space="preserve"> ir migracijos kelių</w:t>
            </w:r>
            <w:r w:rsidRPr="00B44B19">
              <w:rPr>
                <w:rFonts w:ascii="Times New Roman" w:eastAsia="Times New Roman" w:hAnsi="Times New Roman" w:cs="Times New Roman"/>
              </w:rPr>
              <w:t xml:space="preserve"> </w:t>
            </w:r>
            <w:r w:rsidR="008F7BBA" w:rsidRPr="00B44B19">
              <w:rPr>
                <w:rFonts w:ascii="Times New Roman" w:eastAsia="Times New Roman" w:hAnsi="Times New Roman" w:cs="Times New Roman"/>
              </w:rPr>
              <w:t>atkūrimas)</w:t>
            </w:r>
            <w:r w:rsidRPr="00B44B19">
              <w:rPr>
                <w:rFonts w:ascii="Times New Roman" w:eastAsia="Times New Roman" w:hAnsi="Times New Roman" w:cs="Times New Roman"/>
              </w:rPr>
              <w:t xml:space="preserve">. Investuojama į saugomų rūšių daromos žalos prevencijos priemones, taip pat į migruojančių gyvūnų apsaugos ir ekologinių jungčių atkūrimo priemones. </w:t>
            </w:r>
            <w:r w:rsidR="008F7BBA" w:rsidRPr="00B44B19">
              <w:rPr>
                <w:rFonts w:ascii="Times New Roman" w:eastAsia="Times New Roman" w:hAnsi="Times New Roman" w:cs="Times New Roman"/>
                <w:bCs/>
              </w:rPr>
              <w:t xml:space="preserve">Planuojama įgyvendinti </w:t>
            </w:r>
            <w:r w:rsidR="008F7BBA" w:rsidRPr="00B44B19">
              <w:rPr>
                <w:rFonts w:ascii="Times New Roman" w:eastAsia="Times New Roman" w:hAnsi="Times New Roman" w:cs="Times New Roman"/>
              </w:rPr>
              <w:t>invazinių</w:t>
            </w:r>
            <w:r w:rsidR="00005FFE" w:rsidRPr="00B44B19">
              <w:rPr>
                <w:rFonts w:ascii="Times New Roman" w:eastAsia="Times New Roman" w:hAnsi="Times New Roman" w:cs="Times New Roman"/>
              </w:rPr>
              <w:t xml:space="preserve"> </w:t>
            </w:r>
            <w:r w:rsidRPr="00B44B19">
              <w:rPr>
                <w:rFonts w:ascii="Times New Roman" w:eastAsia="Times New Roman" w:hAnsi="Times New Roman" w:cs="Times New Roman"/>
              </w:rPr>
              <w:t>rūšių Lietuvoje (kanadinių audinių, mangutų, Sosnovskio barščio, bitinės sprigės, gausialapio</w:t>
            </w:r>
            <w:r w:rsidRPr="00B44B19">
              <w:rPr>
                <w:rFonts w:ascii="Times New Roman" w:eastAsia="Times New Roman" w:hAnsi="Times New Roman" w:cs="Times New Roman"/>
                <w:color w:val="000000"/>
              </w:rPr>
              <w:t xml:space="preserve"> lubino, uosialapio klevo, varpinės medlievos ir kt.) populiacijų </w:t>
            </w:r>
            <w:r w:rsidR="008F7BBA" w:rsidRPr="00B44B19">
              <w:rPr>
                <w:rFonts w:ascii="Times New Roman" w:eastAsia="Times New Roman" w:hAnsi="Times New Roman" w:cs="Times New Roman"/>
                <w:color w:val="000000"/>
              </w:rPr>
              <w:t xml:space="preserve">reguliavimo priemones. </w:t>
            </w:r>
            <w:r w:rsidRPr="00B44B19">
              <w:rPr>
                <w:rFonts w:ascii="Times New Roman" w:eastAsia="Times New Roman" w:hAnsi="Times New Roman" w:cs="Times New Roman"/>
              </w:rPr>
              <w:t>Užtikrinant tinkamą vertybių apsaugą ir naudojimą, ketinama investuoti į priemones lankytojų srautams prioritetinėse saugomose teritorijose valdyti. Veikla įgyvendinama visoje Lietuvoje.</w:t>
            </w:r>
          </w:p>
          <w:p w14:paraId="5DF07239" w14:textId="77777777" w:rsidR="00C92BB5" w:rsidRPr="00B44B19" w:rsidRDefault="00C92BB5"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Skatinti žaliosios infrastruktūros urbanizuotoje aplinkoje plėtojimą</w:t>
            </w:r>
            <w:r w:rsidRPr="00B44B19">
              <w:rPr>
                <w:rFonts w:ascii="Times New Roman" w:eastAsia="Times New Roman" w:hAnsi="Times New Roman" w:cs="Times New Roman"/>
                <w:color w:val="000000"/>
              </w:rPr>
              <w:t>: numatoma</w:t>
            </w:r>
            <w:r w:rsidRPr="00B44B19">
              <w:rPr>
                <w:rFonts w:ascii="Times New Roman" w:eastAsia="Times New Roman" w:hAnsi="Times New Roman" w:cs="Times New Roman"/>
              </w:rPr>
              <w:t xml:space="preserve"> finansuoti</w:t>
            </w:r>
            <w:r w:rsidR="00C731F4" w:rsidRPr="00B44B19">
              <w:rPr>
                <w:rFonts w:ascii="Times New Roman" w:eastAsia="Times New Roman" w:hAnsi="Times New Roman" w:cs="Times New Roman"/>
              </w:rPr>
              <w:t xml:space="preserve"> </w:t>
            </w:r>
            <w:r w:rsidR="00C731F4" w:rsidRPr="00B44B19">
              <w:rPr>
                <w:rStyle w:val="msoins0"/>
                <w:rFonts w:ascii="Times New Roman" w:hAnsi="Times New Roman" w:cs="Times New Roman"/>
              </w:rPr>
              <w:t>žalinimo planų (</w:t>
            </w:r>
            <w:r w:rsidR="008F7BBA" w:rsidRPr="00B44B19">
              <w:rPr>
                <w:rStyle w:val="msoins0"/>
                <w:rFonts w:ascii="Times New Roman" w:hAnsi="Times New Roman" w:cs="Times New Roman"/>
              </w:rPr>
              <w:t>miestuose, kuriuose – daugiau kaip 20 000 gyven</w:t>
            </w:r>
            <w:r w:rsidR="00730D12" w:rsidRPr="00B44B19">
              <w:rPr>
                <w:rStyle w:val="msoins0"/>
                <w:rFonts w:ascii="Times New Roman" w:hAnsi="Times New Roman" w:cs="Times New Roman"/>
              </w:rPr>
              <w:t>tojų</w:t>
            </w:r>
            <w:r w:rsidR="00C731F4" w:rsidRPr="00B44B19">
              <w:rPr>
                <w:rStyle w:val="msoins0"/>
                <w:rFonts w:ascii="Times New Roman" w:hAnsi="Times New Roman" w:cs="Times New Roman"/>
              </w:rPr>
              <w:t>) ir žaliosios infrastruktūr</w:t>
            </w:r>
            <w:r w:rsidR="008F7BBA" w:rsidRPr="00B44B19">
              <w:rPr>
                <w:rStyle w:val="msoins0"/>
                <w:rFonts w:ascii="Times New Roman" w:hAnsi="Times New Roman" w:cs="Times New Roman"/>
              </w:rPr>
              <w:t>os poreikio žemėlapių parengimą</w:t>
            </w:r>
            <w:r w:rsidR="00C731F4" w:rsidRPr="00B44B19">
              <w:rPr>
                <w:rStyle w:val="msoins0"/>
                <w:rFonts w:ascii="Times New Roman" w:hAnsi="Times New Roman" w:cs="Times New Roman"/>
              </w:rPr>
              <w:t xml:space="preserve"> ir juose numatytų </w:t>
            </w:r>
            <w:r w:rsidRPr="00B44B19">
              <w:rPr>
                <w:rFonts w:ascii="Times New Roman" w:eastAsia="Times New Roman" w:hAnsi="Times New Roman" w:cs="Times New Roman"/>
              </w:rPr>
              <w:t>sprendinių, susijusių su žaliosios infrastruktūros plė</w:t>
            </w:r>
            <w:r w:rsidR="005C3FAC" w:rsidRPr="00B44B19">
              <w:rPr>
                <w:rFonts w:ascii="Times New Roman" w:eastAsia="Times New Roman" w:hAnsi="Times New Roman" w:cs="Times New Roman"/>
              </w:rPr>
              <w:t xml:space="preserve">tra urbanizuotose teritorijose, </w:t>
            </w:r>
            <w:r w:rsidR="00730D12" w:rsidRPr="00B44B19">
              <w:rPr>
                <w:rFonts w:ascii="Times New Roman" w:eastAsia="Times New Roman" w:hAnsi="Times New Roman" w:cs="Times New Roman"/>
              </w:rPr>
              <w:t>kurių gyventojų tankis yra 1500 gyventojų/km</w:t>
            </w:r>
            <w:r w:rsidR="00730D12" w:rsidRPr="00B44B19">
              <w:rPr>
                <w:rFonts w:ascii="Times New Roman" w:eastAsia="Times New Roman" w:hAnsi="Times New Roman" w:cs="Times New Roman"/>
                <w:vertAlign w:val="superscript"/>
              </w:rPr>
              <w:t>2</w:t>
            </w:r>
            <w:r w:rsidR="00730D12" w:rsidRPr="00B44B19">
              <w:rPr>
                <w:rFonts w:ascii="Times New Roman" w:eastAsia="Times New Roman" w:hAnsi="Times New Roman" w:cs="Times New Roman"/>
              </w:rPr>
              <w:t xml:space="preserve"> arba didesnis, </w:t>
            </w:r>
            <w:r w:rsidR="005C3FAC" w:rsidRPr="00B44B19">
              <w:rPr>
                <w:rFonts w:ascii="Times New Roman" w:eastAsia="Times New Roman" w:hAnsi="Times New Roman" w:cs="Times New Roman"/>
              </w:rPr>
              <w:t>įgyvendinimą –</w:t>
            </w:r>
            <w:r w:rsidR="008F7BBA" w:rsidRPr="00B44B19">
              <w:rPr>
                <w:rFonts w:ascii="Times New Roman" w:eastAsia="Times New Roman" w:hAnsi="Times New Roman" w:cs="Times New Roman"/>
              </w:rPr>
              <w:t xml:space="preserve"> kokybiškų ir daugiafunkc</w:t>
            </w:r>
            <w:r w:rsidRPr="00B44B19">
              <w:rPr>
                <w:rFonts w:ascii="Times New Roman" w:eastAsia="Times New Roman" w:hAnsi="Times New Roman" w:cs="Times New Roman"/>
              </w:rPr>
              <w:t>ių (teikiančių įvairias ekosistemines paslaugas) vi</w:t>
            </w:r>
            <w:r w:rsidR="009B4679" w:rsidRPr="00B44B19">
              <w:rPr>
                <w:rFonts w:ascii="Times New Roman" w:eastAsia="Times New Roman" w:hAnsi="Times New Roman" w:cs="Times New Roman"/>
              </w:rPr>
              <w:t xml:space="preserve">ešųjų žaliųjų erdvių, želdynų </w:t>
            </w:r>
            <w:r w:rsidR="008F7BBA" w:rsidRPr="00B44B19">
              <w:rPr>
                <w:rFonts w:ascii="Times New Roman" w:eastAsia="Times New Roman" w:hAnsi="Times New Roman" w:cs="Times New Roman"/>
              </w:rPr>
              <w:t>(vertingų buveinių, žydinčių pievų)</w:t>
            </w:r>
            <w:r w:rsidRPr="00B44B19">
              <w:rPr>
                <w:rFonts w:ascii="Times New Roman" w:eastAsia="Times New Roman" w:hAnsi="Times New Roman" w:cs="Times New Roman"/>
              </w:rPr>
              <w:t>, kt. žaliosios infrastruktūros elementų kūrimą, žaliųjų jungčių mieste stiprinimą, apleistų teritorijų sutvarkymą,</w:t>
            </w:r>
            <w:r w:rsidR="009B4679" w:rsidRPr="00B44B19">
              <w:rPr>
                <w:rFonts w:ascii="Times New Roman" w:eastAsia="Times New Roman" w:hAnsi="Times New Roman" w:cs="Times New Roman"/>
              </w:rPr>
              <w:t xml:space="preserve"> s</w:t>
            </w:r>
            <w:r w:rsidRPr="00B44B19">
              <w:rPr>
                <w:rFonts w:ascii="Times New Roman" w:eastAsia="Times New Roman" w:hAnsi="Times New Roman" w:cs="Times New Roman"/>
              </w:rPr>
              <w:t xml:space="preserve">unaikintų vandens telkinių morfologinių savybių atkūrimą, kanalizuotų upelių išlaisvinimą, paverčiant šias teritorijas žaliosiomis jungtimis, rekreacijos zonomis, oro taršos mažinimo elementais, ekonominę ir socialinę naudą teikiančiais objektais. </w:t>
            </w:r>
            <w:r w:rsidR="008F7BBA" w:rsidRPr="00B44B19">
              <w:rPr>
                <w:rFonts w:ascii="Times New Roman" w:eastAsia="Times New Roman" w:hAnsi="Times New Roman" w:cs="Times New Roman"/>
              </w:rPr>
              <w:t>Taip pat numatoma parengti gaires, kurios padėtų savivaldybėms rengti miestų žalinimo planus ir efektyviai, kokybiškai pritaikyti žaliosios infrastruktūros principus ir sprendinius plėtojant urbanizuotas ir urbanizuojamas teritorijas, išleisti gamtinio karkaso plėtojimo, ekosistemų paslaugų gausinimo, želdynų, žaliosios infrastruktūros vystymo gerųjų patirčių katalogus, vykdyti viešinimo bei kompetencijų kėlimo veiklas šiomis temomis. Veikla įgyvendinama visoje Lietuvoje.</w:t>
            </w:r>
          </w:p>
          <w:p w14:paraId="6C5AE1E0" w14:textId="2BD62C93" w:rsidR="00C92BB5" w:rsidRPr="00B44B19" w:rsidRDefault="008F7BBA"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Skatinti tvarkyti praeityje pažeistas ir užterštas teritorijas</w:t>
            </w:r>
            <w:r w:rsidRPr="00B44B19">
              <w:rPr>
                <w:rFonts w:ascii="Times New Roman" w:eastAsia="Times New Roman" w:hAnsi="Times New Roman" w:cs="Times New Roman"/>
              </w:rPr>
              <w:t>: numatoma finansuoti praeityje kasybos darbais pažeistų (karjerų ir durpynų)</w:t>
            </w:r>
            <w:r w:rsidR="00C62E1D" w:rsidRPr="00B44B19">
              <w:rPr>
                <w:rFonts w:ascii="Times New Roman" w:eastAsia="Times New Roman" w:hAnsi="Times New Roman" w:cs="Times New Roman"/>
              </w:rPr>
              <w:t xml:space="preserve"> ir užterštų teritorijų</w:t>
            </w:r>
            <w:r w:rsidRPr="00B44B19">
              <w:rPr>
                <w:rFonts w:ascii="Times New Roman" w:eastAsia="Times New Roman" w:hAnsi="Times New Roman" w:cs="Times New Roman"/>
              </w:rPr>
              <w:t xml:space="preserve"> tvarkymą urbanizuotos</w:t>
            </w:r>
            <w:r w:rsidR="00730D12" w:rsidRPr="00B44B19">
              <w:rPr>
                <w:rFonts w:ascii="Times New Roman" w:eastAsia="Times New Roman" w:hAnsi="Times New Roman" w:cs="Times New Roman"/>
              </w:rPr>
              <w:t xml:space="preserve">e </w:t>
            </w:r>
            <w:r w:rsidRPr="00B44B19">
              <w:rPr>
                <w:rFonts w:ascii="Times New Roman" w:eastAsia="Times New Roman" w:hAnsi="Times New Roman" w:cs="Times New Roman"/>
              </w:rPr>
              <w:t>ar šalia jų esančios</w:t>
            </w:r>
            <w:r w:rsidR="00730D12" w:rsidRPr="00B44B19">
              <w:rPr>
                <w:rFonts w:ascii="Times New Roman" w:eastAsia="Times New Roman" w:hAnsi="Times New Roman" w:cs="Times New Roman"/>
              </w:rPr>
              <w:t>e</w:t>
            </w:r>
            <w:r w:rsidRPr="00B44B19">
              <w:rPr>
                <w:rFonts w:ascii="Times New Roman" w:eastAsia="Times New Roman" w:hAnsi="Times New Roman" w:cs="Times New Roman"/>
              </w:rPr>
              <w:t xml:space="preserve"> (iki </w:t>
            </w:r>
            <w:r w:rsidR="00470715" w:rsidRPr="00B44B19">
              <w:rPr>
                <w:rFonts w:ascii="Times New Roman" w:eastAsia="Times New Roman" w:hAnsi="Times New Roman" w:cs="Times New Roman"/>
              </w:rPr>
              <w:t>5</w:t>
            </w:r>
            <w:r w:rsidRPr="00B44B19">
              <w:rPr>
                <w:rFonts w:ascii="Times New Roman" w:eastAsia="Times New Roman" w:hAnsi="Times New Roman" w:cs="Times New Roman"/>
              </w:rPr>
              <w:t xml:space="preserve"> km atstumu) teritorijos</w:t>
            </w:r>
            <w:r w:rsidR="00125B96" w:rsidRPr="00B44B19">
              <w:rPr>
                <w:rFonts w:ascii="Times New Roman" w:eastAsia="Times New Roman" w:hAnsi="Times New Roman" w:cs="Times New Roman"/>
              </w:rPr>
              <w:t>e</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color w:val="000000" w:themeColor="text1"/>
              </w:rPr>
              <w:t>turinčios</w:t>
            </w:r>
            <w:r w:rsidR="00037194" w:rsidRPr="00B44B19">
              <w:rPr>
                <w:rFonts w:ascii="Times New Roman" w:eastAsia="Times New Roman" w:hAnsi="Times New Roman" w:cs="Times New Roman"/>
                <w:color w:val="000000" w:themeColor="text1"/>
              </w:rPr>
              <w:t>e</w:t>
            </w:r>
            <w:r w:rsidRPr="00B44B19">
              <w:rPr>
                <w:rFonts w:ascii="Times New Roman" w:eastAsia="Times New Roman" w:hAnsi="Times New Roman" w:cs="Times New Roman"/>
                <w:color w:val="000000" w:themeColor="text1"/>
              </w:rPr>
              <w:t xml:space="preserve"> didžiausią potencialą tarnauti visuomenės reikmėms, – sutvarkyti jas taip, kad taptų rekreacijai, sportui</w:t>
            </w:r>
            <w:r w:rsidR="00470715" w:rsidRPr="00B44B19">
              <w:rPr>
                <w:rFonts w:ascii="Times New Roman" w:eastAsia="Times New Roman" w:hAnsi="Times New Roman" w:cs="Times New Roman"/>
                <w:color w:val="000000" w:themeColor="text1"/>
              </w:rPr>
              <w:t xml:space="preserve">, ūkinei ir ekonominei veiklai, </w:t>
            </w:r>
            <w:r w:rsidRPr="00B44B19">
              <w:rPr>
                <w:rFonts w:ascii="Times New Roman" w:eastAsia="Times New Roman" w:hAnsi="Times New Roman" w:cs="Times New Roman"/>
                <w:color w:val="000000" w:themeColor="text1"/>
              </w:rPr>
              <w:t xml:space="preserve">socialiniam gyvenimui tinkamomis erdvėmis. </w:t>
            </w:r>
            <w:r w:rsidRPr="00B44B19">
              <w:rPr>
                <w:rFonts w:ascii="Times New Roman" w:eastAsia="Times New Roman" w:hAnsi="Times New Roman" w:cs="Times New Roman"/>
                <w:bCs/>
                <w:color w:val="000000" w:themeColor="text1"/>
              </w:rPr>
              <w:t>A</w:t>
            </w:r>
            <w:r w:rsidRPr="00B44B19">
              <w:rPr>
                <w:rFonts w:ascii="Times New Roman" w:eastAsia="Times New Roman" w:hAnsi="Times New Roman" w:cs="Times New Roman"/>
                <w:color w:val="000000" w:themeColor="text1"/>
              </w:rPr>
              <w:t xml:space="preserve">tsižvelgiant į didelį užterštų teritorijų mastą, siekiant sumažinti </w:t>
            </w:r>
            <w:r w:rsidRPr="00B44B19">
              <w:rPr>
                <w:rFonts w:ascii="Times New Roman" w:eastAsia="Times New Roman" w:hAnsi="Times New Roman" w:cs="Times New Roman"/>
              </w:rPr>
              <w:t>neigiamą jų poveikį aplinkai ir žmonių sveikatai, užtikrinti gerą dirvožemio, grunto, požeminio vandens cheminę būklę, numatoma investuoti į praeityje cheminėmis medžiagomis užterštų teritorijų (įv. naftos produktų bazių, technikos kiemų, degalinių, trąšų, pesticidų sandėlių, nelegalių sąvartynų / šiukšlynų ir kt.)</w:t>
            </w:r>
            <w:r w:rsidR="00470715" w:rsidRPr="00B44B19">
              <w:rPr>
                <w:rFonts w:ascii="Times New Roman" w:eastAsia="Times New Roman" w:hAnsi="Times New Roman" w:cs="Times New Roman"/>
              </w:rPr>
              <w:t>, turinčių galimai didžiausią neigiamą poveikį žmonių sveikatai ir aplinkai</w:t>
            </w:r>
            <w:r w:rsidRPr="00B44B19">
              <w:rPr>
                <w:rFonts w:ascii="Times New Roman" w:eastAsia="Times New Roman" w:hAnsi="Times New Roman" w:cs="Times New Roman"/>
              </w:rPr>
              <w:t xml:space="preserve"> likvidavimą / </w:t>
            </w:r>
            <w:r w:rsidR="005D4C01" w:rsidRPr="00B44B19">
              <w:rPr>
                <w:rFonts w:ascii="Times New Roman" w:eastAsia="Times New Roman" w:hAnsi="Times New Roman" w:cs="Times New Roman"/>
              </w:rPr>
              <w:t>rekultivavimą (valstybinėje ir (ar) savivaldybės žemėje).</w:t>
            </w:r>
            <w:r w:rsidRPr="00B44B19">
              <w:rPr>
                <w:rFonts w:ascii="Times New Roman" w:eastAsia="Times New Roman" w:hAnsi="Times New Roman" w:cs="Times New Roman"/>
              </w:rPr>
              <w:t xml:space="preserve"> Veikla įgyvendinama visoje Lietuvoje.</w:t>
            </w:r>
          </w:p>
          <w:p w14:paraId="7598412A" w14:textId="77777777" w:rsidR="00C92BB5" w:rsidRPr="00B44B19" w:rsidRDefault="00C92BB5" w:rsidP="0095093F">
            <w:pPr>
              <w:spacing w:before="60" w:after="60"/>
              <w:jc w:val="both"/>
              <w:rPr>
                <w:rFonts w:ascii="Times New Roman" w:eastAsia="Times New Roman" w:hAnsi="Times New Roman" w:cs="Times New Roman"/>
                <w:iCs/>
              </w:rPr>
            </w:pPr>
            <w:r w:rsidRPr="00B44B19">
              <w:rPr>
                <w:rFonts w:ascii="Times New Roman" w:eastAsia="Times New Roman" w:hAnsi="Times New Roman" w:cs="Times New Roman"/>
                <w:b/>
              </w:rPr>
              <w:t>Stiprinti aplinkos taršos prevencijos, stebėsenos ir kontrolės sistemas</w:t>
            </w:r>
            <w:r w:rsidRPr="00B44B19">
              <w:rPr>
                <w:rFonts w:ascii="Times New Roman" w:eastAsia="Times New Roman" w:hAnsi="Times New Roman" w:cs="Times New Roman"/>
                <w:iCs/>
              </w:rPr>
              <w:t xml:space="preserve">: </w:t>
            </w:r>
            <w:r w:rsidR="00796382" w:rsidRPr="00B44B19">
              <w:rPr>
                <w:rFonts w:ascii="Times New Roman" w:eastAsia="Times New Roman" w:hAnsi="Times New Roman" w:cs="Times New Roman"/>
                <w:iCs/>
              </w:rPr>
              <w:t xml:space="preserve">planuojama stiprinti aplinkosaugos institucijų techninę bazę, </w:t>
            </w:r>
            <w:r w:rsidR="00796382" w:rsidRPr="00B44B19">
              <w:rPr>
                <w:rFonts w:ascii="Times New Roman" w:eastAsia="Times New Roman" w:hAnsi="Times New Roman" w:cs="Times New Roman"/>
              </w:rPr>
              <w:t xml:space="preserve">investuoti </w:t>
            </w:r>
            <w:r w:rsidR="00796382" w:rsidRPr="00B44B19">
              <w:rPr>
                <w:rFonts w:ascii="Times New Roman" w:eastAsia="Times New Roman" w:hAnsi="Times New Roman" w:cs="Times New Roman"/>
                <w:iCs/>
              </w:rPr>
              <w:t>į PAV ir taršos prevencijos procesų skaitmenizavimą, sukurti vieningą informacijos, susijusios su planuojamos ūkinės veiklos PAV, atrankos dėl PAV</w:t>
            </w:r>
            <w:r w:rsidR="00796382" w:rsidRPr="00B44B19">
              <w:rPr>
                <w:rFonts w:ascii="Times New Roman" w:eastAsia="Times New Roman" w:hAnsi="Times New Roman" w:cs="Times New Roman"/>
              </w:rPr>
              <w:t>, taršos integruotos prevencijos ir kontrolės (TIPK) leidimų, taršos leidimų išdavimo ir juose nustatytų sąlygų laikymosi kontrolės procesais, informacijos valdymo sistemą;</w:t>
            </w:r>
            <w:r w:rsidR="00796382" w:rsidRPr="00B44B19">
              <w:rPr>
                <w:rFonts w:ascii="Times New Roman" w:eastAsia="Times New Roman" w:hAnsi="Times New Roman" w:cs="Times New Roman"/>
                <w:iCs/>
              </w:rPr>
              <w:t xml:space="preserve"> atnaujinti </w:t>
            </w:r>
            <w:r w:rsidR="00796382" w:rsidRPr="00B44B19">
              <w:rPr>
                <w:rFonts w:ascii="Times New Roman" w:eastAsia="Times New Roman" w:hAnsi="Times New Roman" w:cs="Times New Roman"/>
              </w:rPr>
              <w:t>Aplinkos informacijos valdymo integruotą kompiuterinę sistemą (AIVIKS), siekiant sukurti progresyvią informacinę sistemą, užtikrinančią sąsajas su kitomis informacinėmis sistemomis,</w:t>
            </w:r>
            <w:r w:rsidR="00A27016" w:rsidRPr="00B44B19">
              <w:rPr>
                <w:rFonts w:ascii="Times New Roman" w:eastAsia="Times New Roman" w:hAnsi="Times New Roman" w:cs="Times New Roman"/>
              </w:rPr>
              <w:t xml:space="preserve"> </w:t>
            </w:r>
            <w:r w:rsidR="00796382" w:rsidRPr="00B44B19">
              <w:rPr>
                <w:rFonts w:ascii="Times New Roman" w:eastAsia="Times New Roman" w:hAnsi="Times New Roman" w:cs="Times New Roman"/>
              </w:rPr>
              <w:t xml:space="preserve">tobulinti duomenų surinkimo, sisteminimo, kaupimo, analizės ir publikavimo procesus. Siekiant operatyviai kovoti su aplinkos tarša, planuojama stiprinti valstybinės aplinkos apsaugos kontrolės sistemos techninius pajėgumus, tarp jų – naujos techninės ir programinės įrangos, skirtos aplinkos taršai aptikti sudėtingomis aplinkos sąlygomis įsigijimas, pažangios </w:t>
            </w:r>
            <w:r w:rsidR="00796382" w:rsidRPr="00B44B19">
              <w:rPr>
                <w:rFonts w:ascii="Times New Roman" w:eastAsia="Times New Roman" w:hAnsi="Times New Roman" w:cs="Times New Roman"/>
              </w:rPr>
              <w:lastRenderedPageBreak/>
              <w:t xml:space="preserve">išmaniosios </w:t>
            </w:r>
            <w:r w:rsidR="00796382" w:rsidRPr="00B44B19">
              <w:rPr>
                <w:rFonts w:ascii="Times New Roman" w:eastAsia="Times New Roman" w:hAnsi="Times New Roman" w:cs="Times New Roman"/>
                <w:color w:val="000000"/>
                <w:shd w:val="clear" w:color="auto" w:fill="FFFFFF"/>
              </w:rPr>
              <w:t xml:space="preserve">aplinkos kokybės </w:t>
            </w:r>
            <w:r w:rsidR="00796382" w:rsidRPr="00B44B19">
              <w:rPr>
                <w:rFonts w:ascii="Times New Roman" w:eastAsia="Times New Roman" w:hAnsi="Times New Roman" w:cs="Times New Roman"/>
              </w:rPr>
              <w:t>kontrolės informacinės sistemos, l</w:t>
            </w:r>
            <w:r w:rsidR="00796382" w:rsidRPr="00B44B19">
              <w:rPr>
                <w:rFonts w:ascii="Times New Roman" w:eastAsia="Times New Roman" w:hAnsi="Times New Roman" w:cs="Times New Roman"/>
                <w:color w:val="000000"/>
                <w:shd w:val="clear" w:color="auto" w:fill="FFFFFF"/>
              </w:rPr>
              <w:t xml:space="preserve">eidžiančios </w:t>
            </w:r>
            <w:r w:rsidR="00796382" w:rsidRPr="00B44B19">
              <w:rPr>
                <w:rFonts w:ascii="Times New Roman" w:eastAsia="Times New Roman" w:hAnsi="Times New Roman" w:cs="Times New Roman"/>
              </w:rPr>
              <w:t>operatyviai</w:t>
            </w:r>
            <w:r w:rsidR="00796382" w:rsidRPr="00B44B19">
              <w:rPr>
                <w:rFonts w:ascii="Times New Roman" w:eastAsia="Times New Roman" w:hAnsi="Times New Roman" w:cs="Times New Roman"/>
                <w:color w:val="000000"/>
                <w:shd w:val="clear" w:color="auto" w:fill="FFFFFF"/>
              </w:rPr>
              <w:t xml:space="preserve"> nustatyti viršijamus parametrus, skaitmeninės ūkinės veiklos vykdytojų kontrolės rezultatų ir rizikingumo sistemos ir kt., </w:t>
            </w:r>
            <w:r w:rsidR="00796382" w:rsidRPr="00B44B19">
              <w:rPr>
                <w:rFonts w:ascii="Times New Roman" w:eastAsia="Times New Roman" w:hAnsi="Times New Roman" w:cs="Times New Roman"/>
              </w:rPr>
              <w:t>kūrimas ir diegimas. Numatoma šviesti ir informuoti visuomenę aplinkos taršos prevencijos ir kontrolės klausimais.</w:t>
            </w:r>
            <w:r w:rsidRPr="00B44B19">
              <w:rPr>
                <w:rFonts w:ascii="Times New Roman" w:eastAsia="Times New Roman" w:hAnsi="Times New Roman" w:cs="Times New Roman"/>
              </w:rPr>
              <w:t xml:space="preserve"> Veikla įgyvendinama visoje Lietuvoje.</w:t>
            </w:r>
          </w:p>
          <w:p w14:paraId="6D08CC96" w14:textId="77777777" w:rsidR="00FE2852" w:rsidRPr="00B44B19" w:rsidRDefault="00C92BB5"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Stiprinti oro monitoringo sistemas</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iCs/>
              </w:rPr>
              <w:t>p</w:t>
            </w:r>
            <w:r w:rsidRPr="00B44B19">
              <w:rPr>
                <w:rFonts w:ascii="Times New Roman" w:eastAsia="Times New Roman" w:hAnsi="Times New Roman" w:cs="Times New Roman"/>
                <w:iCs/>
                <w:shd w:val="clear" w:color="auto" w:fill="FFFFFF"/>
              </w:rPr>
              <w:t>lanuojama modernizuoti valstybinę ir savivaldybių oro monitoringo sistemas</w:t>
            </w:r>
            <w:r w:rsidRPr="00B44B19">
              <w:rPr>
                <w:rFonts w:ascii="Times New Roman" w:eastAsia="Times New Roman" w:hAnsi="Times New Roman" w:cs="Times New Roman"/>
                <w:iCs/>
              </w:rPr>
              <w:t xml:space="preserve">, </w:t>
            </w:r>
            <w:r w:rsidR="004168C9" w:rsidRPr="00B44B19">
              <w:rPr>
                <w:rFonts w:ascii="Times New Roman" w:eastAsia="Times New Roman" w:hAnsi="Times New Roman" w:cs="Times New Roman"/>
                <w:iCs/>
              </w:rPr>
              <w:t xml:space="preserve">skirtas oro taršai nuolat ir operatyviai fiksuoti, </w:t>
            </w:r>
            <w:r w:rsidR="004168C9" w:rsidRPr="00B44B19">
              <w:rPr>
                <w:rFonts w:ascii="Times New Roman" w:eastAsia="Times New Roman" w:hAnsi="Times New Roman" w:cs="Times New Roman"/>
              </w:rPr>
              <w:t>biologinės kilmės (žiedadulkių) ir kitų mikrodalelių (mikroplastiko) ore stebėsenai,</w:t>
            </w:r>
            <w:r w:rsidR="004168C9" w:rsidRPr="00B44B19">
              <w:rPr>
                <w:rFonts w:ascii="Times New Roman" w:eastAsia="Times New Roman" w:hAnsi="Times New Roman" w:cs="Times New Roman"/>
                <w:iCs/>
              </w:rPr>
              <w:t xml:space="preserve"> visuomenei informuoti apie jų gyvenamosios ar buvimo vietos aplinkos oro kokybę, oro taršos šaltiniams ir taršos priežastims nustatyti</w:t>
            </w:r>
            <w:r w:rsidR="00E0074E" w:rsidRPr="00B44B19">
              <w:rPr>
                <w:rFonts w:ascii="Times New Roman" w:eastAsia="Times New Roman" w:hAnsi="Times New Roman" w:cs="Times New Roman"/>
                <w:iCs/>
              </w:rPr>
              <w:t>.</w:t>
            </w:r>
            <w:r w:rsidR="00A27016" w:rsidRPr="00B44B19">
              <w:rPr>
                <w:rStyle w:val="Komentaronuoroda"/>
                <w:rFonts w:ascii="Times New Roman" w:hAnsi="Times New Roman" w:cs="Times New Roman"/>
                <w:sz w:val="22"/>
                <w:szCs w:val="22"/>
              </w:rPr>
              <w:t xml:space="preserve"> </w:t>
            </w:r>
            <w:r w:rsidR="00A27016" w:rsidRPr="00B44B19">
              <w:rPr>
                <w:rStyle w:val="Bodytext1"/>
                <w:rFonts w:ascii="Times New Roman" w:hAnsi="Times New Roman" w:cs="Times New Roman"/>
              </w:rPr>
              <w:t xml:space="preserve">Monitoringo sistemos </w:t>
            </w:r>
            <w:r w:rsidR="004168C9" w:rsidRPr="00B44B19">
              <w:rPr>
                <w:rFonts w:ascii="Times New Roman" w:eastAsia="Times New Roman" w:hAnsi="Times New Roman" w:cs="Times New Roman"/>
              </w:rPr>
              <w:t>taip pat padėtų atliekant į atmosferą išmetamų teršalų ir teršalų aplinkos ore tyrimus avarijų, gaisrų</w:t>
            </w:r>
            <w:r w:rsidR="005D4C01" w:rsidRPr="00B44B19">
              <w:rPr>
                <w:rFonts w:ascii="Times New Roman" w:eastAsia="Times New Roman" w:hAnsi="Times New Roman" w:cs="Times New Roman"/>
              </w:rPr>
              <w:t>, kitų įvykių</w:t>
            </w:r>
            <w:r w:rsidR="004168C9" w:rsidRPr="00B44B19">
              <w:rPr>
                <w:rFonts w:ascii="Times New Roman" w:eastAsia="Times New Roman" w:hAnsi="Times New Roman" w:cs="Times New Roman"/>
              </w:rPr>
              <w:t xml:space="preserve"> ir ekstremalių situacijų atvejais. Numatoma finansuoti visuomenės informavimą apie oro taršą ir įtaką jos sveikatai.</w:t>
            </w:r>
            <w:r w:rsidRPr="00B44B19">
              <w:rPr>
                <w:rFonts w:ascii="Times New Roman" w:eastAsia="Times New Roman" w:hAnsi="Times New Roman" w:cs="Times New Roman"/>
              </w:rPr>
              <w:t xml:space="preserve"> Veikla įgyvendinama visoje Lietuvoje.</w:t>
            </w:r>
          </w:p>
          <w:p w14:paraId="059D78BA" w14:textId="77777777" w:rsidR="00137CFE" w:rsidRPr="00B44B19" w:rsidRDefault="00334B0C" w:rsidP="0095093F">
            <w:pPr>
              <w:spacing w:before="60" w:after="60"/>
              <w:jc w:val="both"/>
              <w:rPr>
                <w:rFonts w:ascii="Times New Roman" w:hAnsi="Times New Roman" w:cs="Times New Roman"/>
                <w:color w:val="0070C0"/>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FD3727" w:rsidRPr="00B44B19">
              <w:rPr>
                <w:rFonts w:ascii="Times New Roman" w:eastAsia="Times New Roman" w:hAnsi="Times New Roman" w:cs="Times New Roman"/>
                <w:noProof/>
              </w:rPr>
              <w:t>.</w:t>
            </w:r>
          </w:p>
        </w:tc>
      </w:tr>
    </w:tbl>
    <w:p w14:paraId="319CB43D" w14:textId="77777777" w:rsidR="00FE2852" w:rsidRPr="00B44B19" w:rsidRDefault="00FE2852" w:rsidP="001E5B12">
      <w:pPr>
        <w:pStyle w:val="Stilius1"/>
        <w:rPr>
          <w:rFonts w:cs="Times New Roman"/>
        </w:rPr>
      </w:pPr>
      <w:r w:rsidRPr="00B44B19">
        <w:rPr>
          <w:rFonts w:cs="Times New Roman"/>
        </w:rPr>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FE2852" w:rsidRPr="00B44B19" w14:paraId="24D9C0A0"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63BB55DC" w14:textId="69FA3182" w:rsidR="00FE2852" w:rsidRPr="00B44B19" w:rsidRDefault="00055C93" w:rsidP="0095093F">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Žemės ir miško sklypų, esančių saugomose ar jautriose teritorijose, savininkai, saugomų teritorijų institucijos, saugomų teritorijų lankytojai; gyventojai, gyvenantys šalia pažeistų ir užterštų teritorijų, kenčiantys dėl oro taršos; aplinkos apsaugos institucijos, savivaldybių</w:t>
            </w:r>
            <w:r w:rsidR="003A660F" w:rsidRPr="00B44B19">
              <w:rPr>
                <w:rFonts w:ascii="Times New Roman" w:eastAsia="Times New Roman" w:hAnsi="Times New Roman" w:cs="Times New Roman"/>
              </w:rPr>
              <w:t xml:space="preserve"> </w:t>
            </w:r>
            <w:r w:rsidRPr="00B44B19">
              <w:rPr>
                <w:rFonts w:ascii="Times New Roman" w:eastAsia="Times New Roman" w:hAnsi="Times New Roman" w:cs="Times New Roman"/>
              </w:rPr>
              <w:t>administracijos</w:t>
            </w:r>
            <w:r w:rsidR="00907136" w:rsidRPr="00B44B19">
              <w:rPr>
                <w:rFonts w:ascii="Times New Roman" w:eastAsia="Times New Roman" w:hAnsi="Times New Roman" w:cs="Times New Roman"/>
              </w:rPr>
              <w:t>, nevyriausybinės organizacijos.</w:t>
            </w:r>
          </w:p>
        </w:tc>
      </w:tr>
    </w:tbl>
    <w:p w14:paraId="50BF7C96" w14:textId="77777777" w:rsidR="00FE2852" w:rsidRPr="00B44B19" w:rsidRDefault="00FE2852" w:rsidP="001E5B12">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2"/>
        <w:tblW w:w="0" w:type="auto"/>
        <w:tblLook w:val="04A0" w:firstRow="1" w:lastRow="0" w:firstColumn="1" w:lastColumn="0" w:noHBand="0" w:noVBand="1"/>
      </w:tblPr>
      <w:tblGrid>
        <w:gridCol w:w="9628"/>
      </w:tblGrid>
      <w:tr w:rsidR="00FE2852" w:rsidRPr="00B44B19" w14:paraId="7EF506EB"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5D1B64C0" w14:textId="77777777" w:rsidR="00FE2852" w:rsidRPr="00B44B19" w:rsidRDefault="00217B08" w:rsidP="0095093F">
            <w:pPr>
              <w:spacing w:before="60" w:after="60"/>
              <w:rPr>
                <w:rFonts w:ascii="Times New Roman" w:hAnsi="Times New Roman" w:cs="Times New Roman"/>
              </w:rPr>
            </w:pPr>
            <w:r w:rsidRPr="00B44B19">
              <w:rPr>
                <w:rFonts w:ascii="Times New Roman" w:eastAsia="Calibri" w:hAnsi="Times New Roman" w:cs="Times New Roman"/>
                <w:noProof/>
                <w:lang w:eastAsia="lt-LT" w:bidi="lt-LT"/>
              </w:rPr>
              <w:t>Veiksmai nenumatomi.</w:t>
            </w:r>
          </w:p>
        </w:tc>
      </w:tr>
    </w:tbl>
    <w:p w14:paraId="1917582A" w14:textId="77777777" w:rsidR="00FE2852" w:rsidRPr="00B44B19" w:rsidRDefault="00FE2852" w:rsidP="001E5B12">
      <w:pPr>
        <w:pStyle w:val="Stilius1"/>
        <w:rPr>
          <w:rFonts w:cs="Times New Roman"/>
        </w:rPr>
      </w:pPr>
      <w:r w:rsidRPr="00B44B19">
        <w:rPr>
          <w:rFonts w:cs="Times New Roman"/>
        </w:rPr>
        <w:t>Konkrečios tikslinės teritorijos, įskaitant planuojamą teritorinių priemonių panaudojimą</w:t>
      </w:r>
      <w:r w:rsidRPr="00B44B19">
        <w:rPr>
          <w:rFonts w:cs="Times New Roman"/>
          <w:bCs/>
          <w:color w:val="FF0000"/>
          <w:lang w:bidi="lt-LT"/>
        </w:rPr>
        <w:t xml:space="preserve"> </w:t>
      </w:r>
    </w:p>
    <w:tbl>
      <w:tblPr>
        <w:tblStyle w:val="Lentelstinklelis2"/>
        <w:tblW w:w="0" w:type="auto"/>
        <w:tblLook w:val="04A0" w:firstRow="1" w:lastRow="0" w:firstColumn="1" w:lastColumn="0" w:noHBand="0" w:noVBand="1"/>
      </w:tblPr>
      <w:tblGrid>
        <w:gridCol w:w="9628"/>
      </w:tblGrid>
      <w:tr w:rsidR="00FE2852" w:rsidRPr="00B44B19" w14:paraId="68C9FB2D"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2F9E013A" w14:textId="77777777" w:rsidR="00E9491F" w:rsidRPr="00B44B19" w:rsidRDefault="00217B08" w:rsidP="0095093F">
            <w:pPr>
              <w:spacing w:before="60" w:after="60"/>
              <w:rPr>
                <w:rFonts w:ascii="Times New Roman" w:hAnsi="Times New Roman" w:cs="Times New Roman"/>
              </w:rPr>
            </w:pPr>
            <w:r w:rsidRPr="00B44B19">
              <w:rPr>
                <w:rFonts w:ascii="Times New Roman" w:hAnsi="Times New Roman" w:cs="Times New Roman"/>
              </w:rPr>
              <w:t>Visa Lietuva</w:t>
            </w:r>
            <w:r w:rsidR="00005FFE" w:rsidRPr="00B44B19">
              <w:rPr>
                <w:rFonts w:ascii="Times New Roman" w:hAnsi="Times New Roman" w:cs="Times New Roman"/>
              </w:rPr>
              <w:t>.</w:t>
            </w:r>
          </w:p>
          <w:p w14:paraId="5BA1C9DD" w14:textId="77777777" w:rsidR="0003692E" w:rsidRPr="00B44B19" w:rsidRDefault="0003692E" w:rsidP="0095093F">
            <w:pPr>
              <w:spacing w:before="60" w:after="60"/>
              <w:jc w:val="both"/>
              <w:rPr>
                <w:rFonts w:ascii="Times New Roman" w:hAnsi="Times New Roman" w:cs="Times New Roman"/>
              </w:rPr>
            </w:pPr>
            <w:r w:rsidRPr="00B44B19">
              <w:rPr>
                <w:rFonts w:ascii="Times New Roman" w:hAnsi="Times New Roman" w:cs="Times New Roman"/>
              </w:rPr>
              <w:t xml:space="preserve">Uždavinio investicijomis, </w:t>
            </w:r>
            <w:r w:rsidR="004168C9" w:rsidRPr="00B44B19">
              <w:rPr>
                <w:rFonts w:ascii="Times New Roman" w:hAnsi="Times New Roman" w:cs="Times New Roman"/>
              </w:rPr>
              <w:t xml:space="preserve">numatytomis užterštoms ir pažeistoms teritorijoms tvarkyti, žaliajai infrastruktūrai plėtoti ir savivaldybių oro taršos monitoringo sistemoms tobulinti, </w:t>
            </w:r>
            <w:r w:rsidRPr="00B44B19">
              <w:rPr>
                <w:rFonts w:ascii="Times New Roman" w:hAnsi="Times New Roman" w:cs="Times New Roman"/>
              </w:rPr>
              <w:t xml:space="preserve">gali būti remiama dalis tvarios miestų ir </w:t>
            </w:r>
            <w:r w:rsidR="004C2FDD" w:rsidRPr="00B44B19">
              <w:rPr>
                <w:rFonts w:ascii="Times New Roman" w:hAnsi="Times New Roman" w:cs="Times New Roman"/>
              </w:rPr>
              <w:t>FZ</w:t>
            </w:r>
            <w:r w:rsidRPr="00B44B19">
              <w:rPr>
                <w:rFonts w:ascii="Times New Roman" w:hAnsi="Times New Roman" w:cs="Times New Roman"/>
              </w:rPr>
              <w:t xml:space="preserve"> plėtros strategijų veiksmų, įgyvendinamų kaip ITI, šias investicijas derinant su Programos 5 prioriteto investicijomis siekiant bendrų tikslų aplinkos srityje.</w:t>
            </w:r>
          </w:p>
        </w:tc>
      </w:tr>
    </w:tbl>
    <w:p w14:paraId="27B5C9A9" w14:textId="77777777" w:rsidR="00FE2852" w:rsidRPr="00B44B19" w:rsidRDefault="00FE2852" w:rsidP="001E5B12">
      <w:pPr>
        <w:pStyle w:val="Stilius1"/>
        <w:rPr>
          <w:rFonts w:cs="Times New Roman"/>
        </w:rPr>
      </w:pPr>
      <w:r w:rsidRPr="00B44B19">
        <w:rPr>
          <w:rFonts w:cs="Times New Roman"/>
        </w:rPr>
        <w:t>Tarpregioniniai, tarp sienų ir tarpvalstybiniai veiksmai</w:t>
      </w:r>
      <w:r w:rsidRPr="00B44B19">
        <w:rPr>
          <w:rFonts w:cs="Times New Roman"/>
          <w:bCs/>
          <w:lang w:bidi="lt-LT"/>
        </w:rPr>
        <w:t xml:space="preserve"> </w:t>
      </w:r>
    </w:p>
    <w:tbl>
      <w:tblPr>
        <w:tblStyle w:val="Lentelstinklelis2"/>
        <w:tblW w:w="0" w:type="auto"/>
        <w:tblLook w:val="04A0" w:firstRow="1" w:lastRow="0" w:firstColumn="1" w:lastColumn="0" w:noHBand="0" w:noVBand="1"/>
      </w:tblPr>
      <w:tblGrid>
        <w:gridCol w:w="9628"/>
      </w:tblGrid>
      <w:tr w:rsidR="00FE2852" w:rsidRPr="00B44B19" w14:paraId="7B8007F3"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040629D8" w14:textId="77777777" w:rsidR="00FE2852" w:rsidRPr="00B44B19" w:rsidRDefault="004168C9" w:rsidP="0095093F">
            <w:pPr>
              <w:spacing w:before="60" w:after="60"/>
              <w:jc w:val="both"/>
              <w:rPr>
                <w:rFonts w:ascii="Times New Roman" w:hAnsi="Times New Roman" w:cs="Times New Roman"/>
              </w:rPr>
            </w:pPr>
            <w:r w:rsidRPr="00B44B19">
              <w:rPr>
                <w:rFonts w:ascii="Times New Roman" w:hAnsi="Times New Roman" w:cs="Times New Roman"/>
              </w:rPr>
              <w:t xml:space="preserve">Numatoma sudaryti visas galimybes prireikus juos atlikti. Planuojama įtraukti </w:t>
            </w:r>
            <w:r w:rsidRPr="00B44B19">
              <w:rPr>
                <w:rFonts w:ascii="Times New Roman" w:eastAsia="Times New Roman" w:hAnsi="Times New Roman" w:cs="Times New Roman"/>
              </w:rPr>
              <w:t>tarptautinius partnerius vykdant tyrimus, keičiantis gerąja patirtimi.</w:t>
            </w:r>
          </w:p>
        </w:tc>
      </w:tr>
    </w:tbl>
    <w:p w14:paraId="79BDF63A" w14:textId="77777777" w:rsidR="00FE2852" w:rsidRPr="00B44B19" w:rsidRDefault="00FE2852" w:rsidP="001E5B12">
      <w:pPr>
        <w:pStyle w:val="Stilius1"/>
        <w:rPr>
          <w:rFonts w:cs="Times New Roman"/>
        </w:rPr>
      </w:pPr>
      <w:r w:rsidRPr="00B44B19">
        <w:rPr>
          <w:rFonts w:cs="Times New Roman"/>
        </w:rPr>
        <w:t>Planuojamas finansinių priemonių naudojimas</w:t>
      </w:r>
    </w:p>
    <w:tbl>
      <w:tblPr>
        <w:tblStyle w:val="Lentelstinklelis2"/>
        <w:tblW w:w="0" w:type="auto"/>
        <w:tblLook w:val="04A0" w:firstRow="1" w:lastRow="0" w:firstColumn="1" w:lastColumn="0" w:noHBand="0" w:noVBand="1"/>
      </w:tblPr>
      <w:tblGrid>
        <w:gridCol w:w="9628"/>
      </w:tblGrid>
      <w:tr w:rsidR="00FE2852" w:rsidRPr="00B44B19" w14:paraId="06BE1C4E" w14:textId="77777777" w:rsidTr="00E46C9C">
        <w:tc>
          <w:tcPr>
            <w:tcW w:w="9854" w:type="dxa"/>
            <w:tcBorders>
              <w:top w:val="single" w:sz="4" w:space="0" w:color="auto"/>
              <w:left w:val="single" w:sz="4" w:space="0" w:color="auto"/>
              <w:bottom w:val="single" w:sz="4" w:space="0" w:color="auto"/>
              <w:right w:val="single" w:sz="4" w:space="0" w:color="auto"/>
            </w:tcBorders>
            <w:hideMark/>
          </w:tcPr>
          <w:p w14:paraId="079C0024" w14:textId="77777777" w:rsidR="00FE2852" w:rsidRPr="00B44B19" w:rsidRDefault="00166EC1" w:rsidP="0095093F">
            <w:pPr>
              <w:spacing w:before="60" w:after="60"/>
              <w:rPr>
                <w:rFonts w:ascii="Times New Roman" w:hAnsi="Times New Roman" w:cs="Times New Roman"/>
              </w:rPr>
            </w:pPr>
            <w:r w:rsidRPr="00B44B19">
              <w:rPr>
                <w:rFonts w:ascii="Times New Roman" w:hAnsi="Times New Roman" w:cs="Times New Roman"/>
              </w:rPr>
              <w:t>–</w:t>
            </w:r>
          </w:p>
        </w:tc>
      </w:tr>
    </w:tbl>
    <w:p w14:paraId="46508ACB" w14:textId="77777777" w:rsidR="00B63C5D" w:rsidRPr="00B44B19" w:rsidRDefault="00471A41" w:rsidP="001E5B12">
      <w:pPr>
        <w:pStyle w:val="Stilius1"/>
        <w:rPr>
          <w:rFonts w:eastAsia="Calibri" w:cs="Times New Roman"/>
          <w:noProof/>
          <w:szCs w:val="20"/>
          <w:lang w:eastAsia="lt-LT" w:bidi="lt-LT"/>
        </w:rPr>
      </w:pPr>
      <w:r w:rsidRPr="00B44B19">
        <w:rPr>
          <w:rFonts w:cs="Times New Roman"/>
        </w:rPr>
        <w:t>Rodikliai</w:t>
      </w:r>
    </w:p>
    <w:p w14:paraId="1AE958E7" w14:textId="77777777" w:rsidR="00471A41" w:rsidRPr="00B44B19" w:rsidRDefault="00471A41" w:rsidP="002A03EE">
      <w:pPr>
        <w:spacing w:before="240" w:after="0" w:line="240" w:lineRule="auto"/>
        <w:jc w:val="both"/>
        <w:rPr>
          <w:rFonts w:cs="Times New Roman"/>
          <w:b/>
          <w:szCs w:val="24"/>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968"/>
        <w:gridCol w:w="830"/>
        <w:gridCol w:w="963"/>
        <w:gridCol w:w="1243"/>
        <w:gridCol w:w="1918"/>
        <w:gridCol w:w="968"/>
        <w:gridCol w:w="842"/>
        <w:gridCol w:w="920"/>
      </w:tblGrid>
      <w:tr w:rsidR="00055C93" w:rsidRPr="00B44B19" w14:paraId="2B74E407" w14:textId="77777777" w:rsidTr="0095093F">
        <w:trPr>
          <w:trHeight w:val="73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045084"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918D15"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E09CA"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Fondas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A55D6"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2BC936"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D2E7A0"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0C91C8"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3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418963"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406BCF"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Siek</w:t>
            </w:r>
            <w:r w:rsidR="00B5567A" w:rsidRPr="00B44B19">
              <w:rPr>
                <w:rFonts w:cs="Times New Roman"/>
                <w:b/>
                <w:noProof/>
                <w:sz w:val="16"/>
                <w:szCs w:val="16"/>
              </w:rPr>
              <w:t>tina reikšmė</w:t>
            </w:r>
            <w:r w:rsidRPr="00B44B19">
              <w:rPr>
                <w:rFonts w:cs="Times New Roman"/>
                <w:b/>
                <w:noProof/>
                <w:sz w:val="16"/>
                <w:szCs w:val="16"/>
              </w:rPr>
              <w:t xml:space="preserve"> (2029 m.)</w:t>
            </w:r>
          </w:p>
        </w:tc>
      </w:tr>
      <w:tr w:rsidR="007B05A8" w:rsidRPr="00B44B19" w14:paraId="702EC192" w14:textId="77777777" w:rsidTr="009C6543">
        <w:trPr>
          <w:trHeight w:val="733"/>
        </w:trPr>
        <w:tc>
          <w:tcPr>
            <w:tcW w:w="497" w:type="pct"/>
            <w:vMerge w:val="restart"/>
            <w:tcBorders>
              <w:top w:val="single" w:sz="12" w:space="0" w:color="auto"/>
            </w:tcBorders>
          </w:tcPr>
          <w:p w14:paraId="3E5CB5E3"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2. Žalesnė Lietuva</w:t>
            </w:r>
          </w:p>
        </w:tc>
        <w:tc>
          <w:tcPr>
            <w:tcW w:w="503" w:type="pct"/>
            <w:vMerge w:val="restart"/>
            <w:tcBorders>
              <w:top w:val="single" w:sz="12" w:space="0" w:color="auto"/>
            </w:tcBorders>
          </w:tcPr>
          <w:p w14:paraId="05BA9B09"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2.7.</w:t>
            </w:r>
          </w:p>
        </w:tc>
        <w:tc>
          <w:tcPr>
            <w:tcW w:w="432" w:type="pct"/>
            <w:vMerge w:val="restart"/>
            <w:tcBorders>
              <w:top w:val="single" w:sz="12" w:space="0" w:color="auto"/>
            </w:tcBorders>
          </w:tcPr>
          <w:p w14:paraId="62DA6C61"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SaF</w:t>
            </w:r>
          </w:p>
        </w:tc>
        <w:tc>
          <w:tcPr>
            <w:tcW w:w="501" w:type="pct"/>
            <w:vMerge w:val="restart"/>
            <w:tcBorders>
              <w:top w:val="single" w:sz="12" w:space="0" w:color="auto"/>
            </w:tcBorders>
          </w:tcPr>
          <w:p w14:paraId="707CA358"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Visa Lietuva</w:t>
            </w:r>
          </w:p>
        </w:tc>
        <w:tc>
          <w:tcPr>
            <w:tcW w:w="647" w:type="pct"/>
            <w:tcBorders>
              <w:top w:val="single" w:sz="12" w:space="0" w:color="auto"/>
            </w:tcBorders>
          </w:tcPr>
          <w:p w14:paraId="78936C90" w14:textId="77777777" w:rsidR="007B05A8" w:rsidRPr="00B44B19" w:rsidRDefault="007B05A8" w:rsidP="009C6543">
            <w:pPr>
              <w:spacing w:after="0" w:line="240" w:lineRule="auto"/>
              <w:jc w:val="both"/>
              <w:rPr>
                <w:rFonts w:eastAsia="Times New Roman" w:cs="Times New Roman"/>
                <w:sz w:val="16"/>
                <w:szCs w:val="16"/>
              </w:rPr>
            </w:pPr>
            <w:r w:rsidRPr="00B44B19">
              <w:rPr>
                <w:rFonts w:eastAsia="Times New Roman" w:cs="Times New Roman"/>
                <w:sz w:val="16"/>
                <w:szCs w:val="16"/>
              </w:rPr>
              <w:t>RCO36</w:t>
            </w:r>
          </w:p>
        </w:tc>
        <w:tc>
          <w:tcPr>
            <w:tcW w:w="998" w:type="pct"/>
            <w:tcBorders>
              <w:top w:val="single" w:sz="12" w:space="0" w:color="auto"/>
            </w:tcBorders>
          </w:tcPr>
          <w:p w14:paraId="4AB8CB6B" w14:textId="77777777" w:rsidR="007B05A8" w:rsidRPr="00B44B19" w:rsidRDefault="007B05A8" w:rsidP="009C6543">
            <w:pPr>
              <w:spacing w:after="0" w:line="240" w:lineRule="auto"/>
              <w:rPr>
                <w:rFonts w:eastAsia="Times New Roman" w:cs="Times New Roman"/>
                <w:sz w:val="16"/>
                <w:szCs w:val="16"/>
              </w:rPr>
            </w:pPr>
            <w:r w:rsidRPr="00B44B19">
              <w:rPr>
                <w:rFonts w:eastAsia="Times New Roman" w:cs="Times New Roman"/>
                <w:sz w:val="16"/>
                <w:szCs w:val="16"/>
              </w:rPr>
              <w:t>Žalioji infrastruktūra, kuriai suteikta parama kitais nei prisitaikymo prie klimato kaitos tikslais</w:t>
            </w:r>
          </w:p>
        </w:tc>
        <w:tc>
          <w:tcPr>
            <w:tcW w:w="504" w:type="pct"/>
            <w:tcBorders>
              <w:top w:val="single" w:sz="12" w:space="0" w:color="auto"/>
            </w:tcBorders>
          </w:tcPr>
          <w:p w14:paraId="2E60B27F"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Hektarai</w:t>
            </w:r>
          </w:p>
        </w:tc>
        <w:tc>
          <w:tcPr>
            <w:tcW w:w="438" w:type="pct"/>
            <w:tcBorders>
              <w:top w:val="single" w:sz="12" w:space="0" w:color="auto"/>
            </w:tcBorders>
          </w:tcPr>
          <w:p w14:paraId="4EAC77D2"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Borders>
              <w:top w:val="single" w:sz="12" w:space="0" w:color="auto"/>
            </w:tcBorders>
          </w:tcPr>
          <w:p w14:paraId="497D8A48" w14:textId="75A3802E" w:rsidR="007B05A8" w:rsidRPr="00B44B19" w:rsidRDefault="007B05A8" w:rsidP="009C6543">
            <w:pPr>
              <w:spacing w:after="0" w:line="240" w:lineRule="auto"/>
              <w:jc w:val="center"/>
              <w:rPr>
                <w:rFonts w:cs="Times New Roman"/>
                <w:b/>
                <w:noProof/>
                <w:sz w:val="16"/>
                <w:szCs w:val="20"/>
                <w:lang w:val="en-US"/>
              </w:rPr>
            </w:pPr>
            <w:r w:rsidRPr="00B44B19">
              <w:rPr>
                <w:rFonts w:cs="Times New Roman"/>
                <w:sz w:val="16"/>
                <w:szCs w:val="20"/>
              </w:rPr>
              <w:t xml:space="preserve"> </w:t>
            </w:r>
            <w:r w:rsidR="00B97119" w:rsidRPr="00B44B19">
              <w:rPr>
                <w:rFonts w:cs="Times New Roman"/>
                <w:sz w:val="16"/>
                <w:szCs w:val="20"/>
              </w:rPr>
              <w:t>96</w:t>
            </w:r>
          </w:p>
        </w:tc>
      </w:tr>
      <w:tr w:rsidR="007B05A8" w:rsidRPr="00B44B19" w14:paraId="761932C4" w14:textId="77777777" w:rsidTr="009C6543">
        <w:trPr>
          <w:trHeight w:val="733"/>
        </w:trPr>
        <w:tc>
          <w:tcPr>
            <w:tcW w:w="497" w:type="pct"/>
            <w:vMerge/>
          </w:tcPr>
          <w:p w14:paraId="4CC500F0"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3CC1DD9D"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745FB57C"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16C25401" w14:textId="77777777" w:rsidR="007B05A8" w:rsidRPr="00B44B19" w:rsidRDefault="007B05A8" w:rsidP="009C6543">
            <w:pPr>
              <w:spacing w:after="0" w:line="240" w:lineRule="auto"/>
              <w:jc w:val="both"/>
              <w:rPr>
                <w:rFonts w:cs="Times New Roman"/>
                <w:noProof/>
                <w:sz w:val="16"/>
                <w:szCs w:val="16"/>
              </w:rPr>
            </w:pPr>
          </w:p>
        </w:tc>
        <w:tc>
          <w:tcPr>
            <w:tcW w:w="647" w:type="pct"/>
          </w:tcPr>
          <w:p w14:paraId="381D6AE1" w14:textId="77777777" w:rsidR="007B05A8" w:rsidRPr="00B44B19" w:rsidRDefault="007B05A8" w:rsidP="009C6543">
            <w:pPr>
              <w:spacing w:after="0" w:line="240" w:lineRule="auto"/>
              <w:jc w:val="both"/>
              <w:rPr>
                <w:rFonts w:cs="Times New Roman"/>
                <w:sz w:val="16"/>
                <w:szCs w:val="16"/>
              </w:rPr>
            </w:pPr>
            <w:r w:rsidRPr="00B44B19">
              <w:rPr>
                <w:rFonts w:eastAsia="Times New Roman" w:cs="Times New Roman"/>
                <w:sz w:val="16"/>
                <w:szCs w:val="16"/>
              </w:rPr>
              <w:t>RCO37</w:t>
            </w:r>
          </w:p>
        </w:tc>
        <w:tc>
          <w:tcPr>
            <w:tcW w:w="998" w:type="pct"/>
          </w:tcPr>
          <w:p w14:paraId="5B99FC46" w14:textId="77777777" w:rsidR="007B05A8" w:rsidRPr="00B44B19" w:rsidRDefault="007B05A8" w:rsidP="009C6543">
            <w:pPr>
              <w:spacing w:after="0" w:line="240" w:lineRule="auto"/>
              <w:rPr>
                <w:rFonts w:cs="Times New Roman"/>
                <w:sz w:val="16"/>
                <w:szCs w:val="16"/>
              </w:rPr>
            </w:pPr>
            <w:r w:rsidRPr="00B44B19">
              <w:rPr>
                <w:rFonts w:eastAsia="Times New Roman" w:cs="Times New Roman"/>
                <w:sz w:val="16"/>
                <w:szCs w:val="16"/>
              </w:rPr>
              <w:t xml:space="preserve">„Natura 2000“ teritorijų, kurioms taikomos apsaugos ir atkūrimo priemonės, plotas </w:t>
            </w:r>
          </w:p>
        </w:tc>
        <w:tc>
          <w:tcPr>
            <w:tcW w:w="504" w:type="pct"/>
          </w:tcPr>
          <w:p w14:paraId="3D6FEEA9"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Hektarai</w:t>
            </w:r>
          </w:p>
        </w:tc>
        <w:tc>
          <w:tcPr>
            <w:tcW w:w="438" w:type="pct"/>
          </w:tcPr>
          <w:p w14:paraId="0A238C16"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Pr>
          <w:p w14:paraId="10C1CE6F" w14:textId="77777777" w:rsidR="007B05A8" w:rsidRPr="00B44B19" w:rsidRDefault="007B05A8" w:rsidP="009C6543">
            <w:pPr>
              <w:spacing w:after="0" w:line="240" w:lineRule="auto"/>
              <w:jc w:val="center"/>
              <w:rPr>
                <w:rFonts w:cs="Times New Roman"/>
                <w:b/>
                <w:noProof/>
                <w:sz w:val="16"/>
                <w:szCs w:val="20"/>
              </w:rPr>
            </w:pPr>
            <w:r w:rsidRPr="00B44B19">
              <w:rPr>
                <w:rFonts w:cs="Times New Roman"/>
                <w:sz w:val="16"/>
                <w:szCs w:val="20"/>
              </w:rPr>
              <w:t>7 783</w:t>
            </w:r>
          </w:p>
        </w:tc>
      </w:tr>
      <w:tr w:rsidR="007B05A8" w:rsidRPr="00B44B19" w14:paraId="17B88C96" w14:textId="77777777" w:rsidTr="009C6543">
        <w:trPr>
          <w:trHeight w:val="515"/>
        </w:trPr>
        <w:tc>
          <w:tcPr>
            <w:tcW w:w="497" w:type="pct"/>
            <w:vMerge/>
          </w:tcPr>
          <w:p w14:paraId="3FBD7D1E"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6375C1BC"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37964155"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1A553345" w14:textId="77777777" w:rsidR="007B05A8" w:rsidRPr="00B44B19" w:rsidRDefault="007B05A8" w:rsidP="009C6543">
            <w:pPr>
              <w:spacing w:after="0" w:line="240" w:lineRule="auto"/>
              <w:jc w:val="both"/>
              <w:rPr>
                <w:rFonts w:cs="Times New Roman"/>
                <w:noProof/>
                <w:sz w:val="16"/>
                <w:szCs w:val="16"/>
              </w:rPr>
            </w:pPr>
          </w:p>
        </w:tc>
        <w:tc>
          <w:tcPr>
            <w:tcW w:w="647" w:type="pct"/>
          </w:tcPr>
          <w:p w14:paraId="519CAC4A" w14:textId="77777777" w:rsidR="007B05A8" w:rsidRPr="00B44B19" w:rsidRDefault="007B05A8" w:rsidP="009C6543">
            <w:pPr>
              <w:spacing w:after="0" w:line="240" w:lineRule="auto"/>
              <w:jc w:val="both"/>
              <w:rPr>
                <w:rFonts w:eastAsia="Times New Roman" w:cs="Times New Roman"/>
                <w:sz w:val="16"/>
                <w:szCs w:val="16"/>
              </w:rPr>
            </w:pPr>
            <w:r w:rsidRPr="00B44B19">
              <w:rPr>
                <w:rFonts w:eastAsia="Times New Roman" w:cs="Times New Roman"/>
                <w:sz w:val="16"/>
                <w:szCs w:val="16"/>
              </w:rPr>
              <w:t>RCO38</w:t>
            </w:r>
          </w:p>
        </w:tc>
        <w:tc>
          <w:tcPr>
            <w:tcW w:w="998" w:type="pct"/>
          </w:tcPr>
          <w:p w14:paraId="028A8501" w14:textId="77777777" w:rsidR="007B05A8" w:rsidRPr="00B44B19" w:rsidRDefault="007B05A8" w:rsidP="009C6543">
            <w:pPr>
              <w:spacing w:after="0" w:line="240" w:lineRule="auto"/>
              <w:rPr>
                <w:rFonts w:eastAsia="Times New Roman" w:cs="Times New Roman"/>
                <w:sz w:val="16"/>
                <w:szCs w:val="16"/>
              </w:rPr>
            </w:pPr>
            <w:r w:rsidRPr="00B44B19">
              <w:rPr>
                <w:rFonts w:eastAsia="Times New Roman" w:cs="Times New Roman"/>
                <w:sz w:val="16"/>
                <w:szCs w:val="16"/>
              </w:rPr>
              <w:t>Rekultivuotos žemės, kuriai suteikta parama, plotas</w:t>
            </w:r>
          </w:p>
        </w:tc>
        <w:tc>
          <w:tcPr>
            <w:tcW w:w="504" w:type="pct"/>
          </w:tcPr>
          <w:p w14:paraId="171D1CFB" w14:textId="77777777" w:rsidR="007B05A8" w:rsidRPr="00B44B19" w:rsidRDefault="007B05A8" w:rsidP="009C6543">
            <w:pPr>
              <w:spacing w:after="0" w:line="240" w:lineRule="auto"/>
              <w:jc w:val="both"/>
              <w:rPr>
                <w:rFonts w:cs="Times New Roman"/>
                <w:b/>
                <w:noProof/>
                <w:sz w:val="16"/>
                <w:szCs w:val="16"/>
              </w:rPr>
            </w:pPr>
            <w:r w:rsidRPr="00B44B19">
              <w:rPr>
                <w:rFonts w:cs="Times New Roman"/>
                <w:noProof/>
                <w:sz w:val="16"/>
                <w:szCs w:val="16"/>
              </w:rPr>
              <w:t>Hektarai</w:t>
            </w:r>
          </w:p>
        </w:tc>
        <w:tc>
          <w:tcPr>
            <w:tcW w:w="438" w:type="pct"/>
          </w:tcPr>
          <w:p w14:paraId="52ED83B4"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Pr>
          <w:p w14:paraId="7CE27BE9" w14:textId="1C796631" w:rsidR="007B05A8" w:rsidRPr="00B44B19" w:rsidRDefault="007B05A8" w:rsidP="009C6543">
            <w:pPr>
              <w:spacing w:after="0" w:line="240" w:lineRule="auto"/>
              <w:jc w:val="center"/>
              <w:rPr>
                <w:rFonts w:cs="Times New Roman"/>
                <w:b/>
                <w:noProof/>
                <w:sz w:val="16"/>
                <w:szCs w:val="20"/>
              </w:rPr>
            </w:pPr>
            <w:r w:rsidRPr="00B44B19">
              <w:rPr>
                <w:rFonts w:cs="Times New Roman"/>
                <w:sz w:val="16"/>
                <w:szCs w:val="20"/>
              </w:rPr>
              <w:t xml:space="preserve"> </w:t>
            </w:r>
            <w:r w:rsidR="00B97119" w:rsidRPr="00B44B19">
              <w:rPr>
                <w:rFonts w:cs="Times New Roman"/>
                <w:sz w:val="16"/>
                <w:szCs w:val="20"/>
              </w:rPr>
              <w:t>12</w:t>
            </w:r>
          </w:p>
        </w:tc>
      </w:tr>
      <w:tr w:rsidR="007B05A8" w:rsidRPr="00B44B19" w14:paraId="76727A34" w14:textId="77777777" w:rsidTr="009C6543">
        <w:trPr>
          <w:trHeight w:val="367"/>
        </w:trPr>
        <w:tc>
          <w:tcPr>
            <w:tcW w:w="497" w:type="pct"/>
            <w:vMerge/>
          </w:tcPr>
          <w:p w14:paraId="1DF6228C"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0698165A"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139E24BC"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34F3EFF4" w14:textId="77777777" w:rsidR="007B05A8" w:rsidRPr="00B44B19" w:rsidRDefault="007B05A8" w:rsidP="009C6543">
            <w:pPr>
              <w:spacing w:after="0" w:line="240" w:lineRule="auto"/>
              <w:jc w:val="both"/>
              <w:rPr>
                <w:rFonts w:cs="Times New Roman"/>
                <w:noProof/>
                <w:sz w:val="16"/>
                <w:szCs w:val="16"/>
              </w:rPr>
            </w:pPr>
          </w:p>
        </w:tc>
        <w:tc>
          <w:tcPr>
            <w:tcW w:w="647" w:type="pct"/>
          </w:tcPr>
          <w:p w14:paraId="0D492B33" w14:textId="77777777" w:rsidR="007B05A8" w:rsidRPr="00B44B19" w:rsidRDefault="007B05A8" w:rsidP="009C6543">
            <w:pPr>
              <w:spacing w:after="0" w:line="240" w:lineRule="auto"/>
              <w:jc w:val="both"/>
              <w:rPr>
                <w:rFonts w:cs="Times New Roman"/>
                <w:sz w:val="16"/>
                <w:szCs w:val="16"/>
              </w:rPr>
            </w:pPr>
            <w:r w:rsidRPr="00B44B19">
              <w:rPr>
                <w:rFonts w:cs="Times New Roman"/>
                <w:sz w:val="16"/>
                <w:szCs w:val="16"/>
              </w:rPr>
              <w:t>RCO39</w:t>
            </w:r>
          </w:p>
        </w:tc>
        <w:tc>
          <w:tcPr>
            <w:tcW w:w="998" w:type="pct"/>
          </w:tcPr>
          <w:p w14:paraId="4B0B08E9" w14:textId="77777777" w:rsidR="007B05A8" w:rsidRPr="00B44B19" w:rsidRDefault="007B05A8" w:rsidP="009C6543">
            <w:pPr>
              <w:spacing w:after="0" w:line="240" w:lineRule="auto"/>
              <w:rPr>
                <w:rFonts w:cs="Times New Roman"/>
                <w:sz w:val="16"/>
                <w:szCs w:val="16"/>
              </w:rPr>
            </w:pPr>
            <w:r w:rsidRPr="00B44B19">
              <w:rPr>
                <w:rFonts w:cs="Times New Roman"/>
                <w:sz w:val="16"/>
                <w:szCs w:val="16"/>
              </w:rPr>
              <w:t>Teritorijos, kurioms taikomos oro taršos stebėsenos sistemos</w:t>
            </w:r>
          </w:p>
        </w:tc>
        <w:tc>
          <w:tcPr>
            <w:tcW w:w="504" w:type="pct"/>
          </w:tcPr>
          <w:p w14:paraId="0161B421" w14:textId="77777777" w:rsidR="007B05A8" w:rsidRPr="00B44B19" w:rsidRDefault="007B05A8" w:rsidP="009C6543">
            <w:pPr>
              <w:spacing w:after="0" w:line="240" w:lineRule="auto"/>
              <w:jc w:val="both"/>
              <w:rPr>
                <w:rFonts w:cs="Times New Roman"/>
                <w:b/>
                <w:noProof/>
                <w:sz w:val="16"/>
                <w:szCs w:val="16"/>
              </w:rPr>
            </w:pPr>
            <w:r w:rsidRPr="00B44B19">
              <w:rPr>
                <w:rFonts w:cs="Times New Roman"/>
                <w:noProof/>
                <w:sz w:val="16"/>
                <w:szCs w:val="16"/>
              </w:rPr>
              <w:t>Oro kokybės zonos</w:t>
            </w:r>
          </w:p>
        </w:tc>
        <w:tc>
          <w:tcPr>
            <w:tcW w:w="438" w:type="pct"/>
          </w:tcPr>
          <w:p w14:paraId="1C481588"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Pr>
          <w:p w14:paraId="146EB716" w14:textId="77777777" w:rsidR="007B05A8" w:rsidRPr="00B44B19" w:rsidRDefault="007B05A8" w:rsidP="009C6543">
            <w:pPr>
              <w:spacing w:after="0" w:line="240" w:lineRule="auto"/>
              <w:jc w:val="center"/>
              <w:rPr>
                <w:rFonts w:cs="Times New Roman"/>
                <w:b/>
                <w:noProof/>
                <w:sz w:val="16"/>
                <w:szCs w:val="20"/>
              </w:rPr>
            </w:pPr>
            <w:r w:rsidRPr="00B44B19">
              <w:rPr>
                <w:rFonts w:cs="Times New Roman"/>
                <w:sz w:val="16"/>
                <w:szCs w:val="20"/>
              </w:rPr>
              <w:t>3</w:t>
            </w:r>
          </w:p>
        </w:tc>
      </w:tr>
      <w:tr w:rsidR="007B05A8" w:rsidRPr="00B44B19" w14:paraId="3671EF1B" w14:textId="77777777" w:rsidTr="009C6543">
        <w:trPr>
          <w:trHeight w:val="367"/>
        </w:trPr>
        <w:tc>
          <w:tcPr>
            <w:tcW w:w="497" w:type="pct"/>
            <w:vMerge/>
          </w:tcPr>
          <w:p w14:paraId="20C70FB8"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0FB2DA97"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5B78970A"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3C473FB6" w14:textId="77777777" w:rsidR="007B05A8" w:rsidRPr="00B44B19" w:rsidRDefault="007B05A8" w:rsidP="009C6543">
            <w:pPr>
              <w:spacing w:after="0" w:line="240" w:lineRule="auto"/>
              <w:jc w:val="both"/>
              <w:rPr>
                <w:rFonts w:cs="Times New Roman"/>
                <w:noProof/>
                <w:sz w:val="16"/>
                <w:szCs w:val="16"/>
              </w:rPr>
            </w:pPr>
          </w:p>
        </w:tc>
        <w:tc>
          <w:tcPr>
            <w:tcW w:w="647" w:type="pct"/>
          </w:tcPr>
          <w:p w14:paraId="1464043C" w14:textId="77777777" w:rsidR="007B05A8" w:rsidRPr="00B44B19" w:rsidRDefault="007B05A8" w:rsidP="00414AFB">
            <w:pPr>
              <w:spacing w:after="0" w:line="240" w:lineRule="auto"/>
              <w:jc w:val="both"/>
              <w:rPr>
                <w:rFonts w:cs="Times New Roman"/>
                <w:sz w:val="16"/>
                <w:szCs w:val="16"/>
              </w:rPr>
            </w:pPr>
            <w:r w:rsidRPr="00B44B19">
              <w:rPr>
                <w:rFonts w:cs="Times New Roman"/>
                <w:sz w:val="16"/>
                <w:szCs w:val="16"/>
              </w:rPr>
              <w:t xml:space="preserve">Specialusis </w:t>
            </w:r>
          </w:p>
        </w:tc>
        <w:tc>
          <w:tcPr>
            <w:tcW w:w="998" w:type="pct"/>
          </w:tcPr>
          <w:p w14:paraId="5C03207A" w14:textId="77777777" w:rsidR="007B05A8" w:rsidRPr="00B44B19" w:rsidDel="00C516FF" w:rsidRDefault="007B05A8" w:rsidP="009C6543">
            <w:pPr>
              <w:spacing w:after="0" w:line="240" w:lineRule="auto"/>
              <w:rPr>
                <w:rFonts w:cs="Times New Roman"/>
                <w:sz w:val="16"/>
                <w:szCs w:val="16"/>
              </w:rPr>
            </w:pPr>
            <w:r w:rsidRPr="00B44B19">
              <w:rPr>
                <w:rFonts w:cs="Times New Roman"/>
                <w:sz w:val="16"/>
                <w:szCs w:val="16"/>
              </w:rPr>
              <w:t>Teritorijos (ne Natura 2000), kurioms taikytos apsaugos ir atkūrimo priemonės</w:t>
            </w:r>
          </w:p>
        </w:tc>
        <w:tc>
          <w:tcPr>
            <w:tcW w:w="504" w:type="pct"/>
          </w:tcPr>
          <w:p w14:paraId="7F01C860"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Hektarai</w:t>
            </w:r>
          </w:p>
        </w:tc>
        <w:tc>
          <w:tcPr>
            <w:tcW w:w="438" w:type="pct"/>
          </w:tcPr>
          <w:p w14:paraId="027105D6"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Pr>
          <w:p w14:paraId="44F99911" w14:textId="77777777" w:rsidR="007B05A8" w:rsidRPr="00B44B19" w:rsidRDefault="007B05A8" w:rsidP="009C6543">
            <w:pPr>
              <w:spacing w:after="0" w:line="240" w:lineRule="auto"/>
              <w:jc w:val="center"/>
              <w:rPr>
                <w:rFonts w:cs="Times New Roman"/>
                <w:b/>
                <w:noProof/>
                <w:sz w:val="16"/>
                <w:szCs w:val="20"/>
              </w:rPr>
            </w:pPr>
            <w:r w:rsidRPr="00B44B19">
              <w:rPr>
                <w:rFonts w:cs="Times New Roman"/>
                <w:sz w:val="16"/>
                <w:szCs w:val="20"/>
              </w:rPr>
              <w:t>5 176</w:t>
            </w:r>
          </w:p>
        </w:tc>
      </w:tr>
      <w:tr w:rsidR="007B05A8" w:rsidRPr="00B44B19" w14:paraId="70B9F999" w14:textId="77777777" w:rsidTr="009C6543">
        <w:trPr>
          <w:trHeight w:val="212"/>
        </w:trPr>
        <w:tc>
          <w:tcPr>
            <w:tcW w:w="497" w:type="pct"/>
            <w:vMerge/>
          </w:tcPr>
          <w:p w14:paraId="4BEEA5B1"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1D574AB3"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38D96EDF"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087F438C" w14:textId="77777777" w:rsidR="007B05A8" w:rsidRPr="00B44B19" w:rsidRDefault="007B05A8" w:rsidP="009C6543">
            <w:pPr>
              <w:spacing w:after="0" w:line="240" w:lineRule="auto"/>
              <w:jc w:val="both"/>
              <w:rPr>
                <w:rFonts w:cs="Times New Roman"/>
                <w:noProof/>
                <w:sz w:val="16"/>
                <w:szCs w:val="16"/>
              </w:rPr>
            </w:pPr>
          </w:p>
        </w:tc>
        <w:tc>
          <w:tcPr>
            <w:tcW w:w="647" w:type="pct"/>
          </w:tcPr>
          <w:p w14:paraId="154EFFDE" w14:textId="77777777" w:rsidR="007B05A8" w:rsidRPr="00B44B19" w:rsidRDefault="007B05A8" w:rsidP="00414AFB">
            <w:pPr>
              <w:spacing w:after="0" w:line="240" w:lineRule="auto"/>
              <w:jc w:val="both"/>
              <w:rPr>
                <w:rFonts w:cs="Times New Roman"/>
                <w:sz w:val="16"/>
                <w:szCs w:val="16"/>
              </w:rPr>
            </w:pPr>
            <w:r w:rsidRPr="00B44B19">
              <w:rPr>
                <w:rFonts w:cs="Times New Roman"/>
                <w:sz w:val="16"/>
                <w:szCs w:val="16"/>
              </w:rPr>
              <w:t xml:space="preserve">Specialusis </w:t>
            </w:r>
          </w:p>
        </w:tc>
        <w:tc>
          <w:tcPr>
            <w:tcW w:w="998" w:type="pct"/>
          </w:tcPr>
          <w:p w14:paraId="12BAAF5C" w14:textId="77777777" w:rsidR="007B05A8" w:rsidRPr="00B44B19" w:rsidRDefault="007B05A8" w:rsidP="009C6543">
            <w:pPr>
              <w:spacing w:after="0" w:line="240" w:lineRule="auto"/>
              <w:rPr>
                <w:rFonts w:cs="Times New Roman"/>
                <w:sz w:val="16"/>
                <w:szCs w:val="16"/>
              </w:rPr>
            </w:pPr>
            <w:r w:rsidRPr="00B44B19">
              <w:rPr>
                <w:rFonts w:cs="Times New Roman"/>
                <w:sz w:val="16"/>
                <w:szCs w:val="16"/>
              </w:rPr>
              <w:t>Investicijos į aplinkos apsaugos prevencijos ir taršos kontrolės sistemas</w:t>
            </w:r>
          </w:p>
        </w:tc>
        <w:tc>
          <w:tcPr>
            <w:tcW w:w="504" w:type="pct"/>
          </w:tcPr>
          <w:p w14:paraId="1EE60962"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Eurai</w:t>
            </w:r>
          </w:p>
        </w:tc>
        <w:tc>
          <w:tcPr>
            <w:tcW w:w="438" w:type="pct"/>
          </w:tcPr>
          <w:p w14:paraId="7A02A77A" w14:textId="77777777" w:rsidR="007B05A8" w:rsidRPr="00B44B19" w:rsidRDefault="007B05A8" w:rsidP="009C6543">
            <w:pPr>
              <w:spacing w:after="0" w:line="240" w:lineRule="auto"/>
              <w:jc w:val="center"/>
              <w:rPr>
                <w:rFonts w:cs="Times New Roman"/>
                <w:noProof/>
                <w:sz w:val="16"/>
                <w:szCs w:val="16"/>
              </w:rPr>
            </w:pPr>
            <w:r w:rsidRPr="00B44B19">
              <w:rPr>
                <w:rFonts w:cs="Times New Roman"/>
                <w:noProof/>
                <w:sz w:val="16"/>
                <w:szCs w:val="16"/>
              </w:rPr>
              <w:t>0</w:t>
            </w:r>
          </w:p>
        </w:tc>
        <w:tc>
          <w:tcPr>
            <w:tcW w:w="479" w:type="pct"/>
          </w:tcPr>
          <w:p w14:paraId="52DFD9F9" w14:textId="77777777" w:rsidR="007B05A8" w:rsidRPr="00B44B19" w:rsidRDefault="007B05A8" w:rsidP="009C6543">
            <w:pPr>
              <w:spacing w:after="0" w:line="240" w:lineRule="auto"/>
              <w:jc w:val="center"/>
              <w:rPr>
                <w:rFonts w:cs="Times New Roman"/>
                <w:b/>
                <w:noProof/>
                <w:sz w:val="16"/>
                <w:szCs w:val="20"/>
              </w:rPr>
            </w:pPr>
            <w:r w:rsidRPr="00B44B19">
              <w:rPr>
                <w:rFonts w:cs="Times New Roman"/>
                <w:sz w:val="16"/>
                <w:szCs w:val="20"/>
              </w:rPr>
              <w:t>15 294 118</w:t>
            </w:r>
          </w:p>
        </w:tc>
      </w:tr>
      <w:tr w:rsidR="007B05A8" w:rsidRPr="00B44B19" w14:paraId="204FFC83" w14:textId="77777777" w:rsidTr="009C6543">
        <w:trPr>
          <w:trHeight w:val="212"/>
        </w:trPr>
        <w:tc>
          <w:tcPr>
            <w:tcW w:w="497" w:type="pct"/>
            <w:vMerge/>
          </w:tcPr>
          <w:p w14:paraId="29A9621D"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6225AC01"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5A44886A"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1232337C" w14:textId="77777777" w:rsidR="007B05A8" w:rsidRPr="00B44B19" w:rsidRDefault="007B05A8" w:rsidP="009C6543">
            <w:pPr>
              <w:spacing w:after="0" w:line="240" w:lineRule="auto"/>
              <w:jc w:val="both"/>
              <w:rPr>
                <w:rFonts w:cs="Times New Roman"/>
                <w:noProof/>
                <w:sz w:val="16"/>
                <w:szCs w:val="16"/>
              </w:rPr>
            </w:pPr>
          </w:p>
        </w:tc>
        <w:tc>
          <w:tcPr>
            <w:tcW w:w="647" w:type="pct"/>
          </w:tcPr>
          <w:p w14:paraId="2AEDE1E2" w14:textId="77777777" w:rsidR="007B05A8" w:rsidRPr="00B44B19" w:rsidRDefault="007B05A8" w:rsidP="00414AFB">
            <w:pPr>
              <w:spacing w:after="0" w:line="240" w:lineRule="auto"/>
              <w:jc w:val="both"/>
              <w:rPr>
                <w:rFonts w:cs="Times New Roman"/>
                <w:sz w:val="16"/>
                <w:szCs w:val="16"/>
              </w:rPr>
            </w:pPr>
            <w:r w:rsidRPr="00B44B19">
              <w:rPr>
                <w:rFonts w:eastAsia="Calibri" w:cs="Times New Roman"/>
                <w:sz w:val="16"/>
                <w:szCs w:val="16"/>
                <w:lang w:eastAsia="en-GB" w:bidi="lt-LT"/>
              </w:rPr>
              <w:t>Specialusis</w:t>
            </w:r>
          </w:p>
        </w:tc>
        <w:tc>
          <w:tcPr>
            <w:tcW w:w="998" w:type="pct"/>
          </w:tcPr>
          <w:p w14:paraId="02FF59AC" w14:textId="77777777" w:rsidR="007B05A8" w:rsidRPr="00B44B19" w:rsidRDefault="007B05A8" w:rsidP="009C6543">
            <w:pPr>
              <w:spacing w:after="0" w:line="240" w:lineRule="auto"/>
              <w:rPr>
                <w:rFonts w:cs="Times New Roman"/>
                <w:sz w:val="16"/>
                <w:szCs w:val="16"/>
              </w:rPr>
            </w:pPr>
            <w:r w:rsidRPr="00B44B19">
              <w:rPr>
                <w:rFonts w:cs="Times New Roman"/>
                <w:sz w:val="16"/>
                <w:szCs w:val="16"/>
                <w:lang w:eastAsia="en-GB"/>
              </w:rPr>
              <w:t xml:space="preserve">Gyventojai, kuriems taikomi projektai, vykdomi pagal integruotas teritorinio vystymo programas </w:t>
            </w:r>
          </w:p>
        </w:tc>
        <w:tc>
          <w:tcPr>
            <w:tcW w:w="504" w:type="pct"/>
          </w:tcPr>
          <w:p w14:paraId="191FC24D"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Asmenys</w:t>
            </w:r>
          </w:p>
        </w:tc>
        <w:tc>
          <w:tcPr>
            <w:tcW w:w="438" w:type="pct"/>
          </w:tcPr>
          <w:p w14:paraId="726DBAE5" w14:textId="77777777" w:rsidR="007B05A8" w:rsidRPr="00B44B19" w:rsidRDefault="007B05A8" w:rsidP="009C6543">
            <w:pPr>
              <w:spacing w:after="0" w:line="240" w:lineRule="auto"/>
              <w:jc w:val="center"/>
              <w:rPr>
                <w:rFonts w:cs="Times New Roman"/>
                <w:noProof/>
                <w:sz w:val="16"/>
                <w:szCs w:val="16"/>
              </w:rPr>
            </w:pPr>
            <w:r w:rsidRPr="00B44B19">
              <w:rPr>
                <w:rFonts w:cs="Times New Roman"/>
                <w:sz w:val="16"/>
                <w:szCs w:val="16"/>
              </w:rPr>
              <w:t xml:space="preserve"> 0</w:t>
            </w:r>
          </w:p>
        </w:tc>
        <w:tc>
          <w:tcPr>
            <w:tcW w:w="479" w:type="pct"/>
          </w:tcPr>
          <w:p w14:paraId="76A7D980" w14:textId="77777777" w:rsidR="007B05A8" w:rsidRPr="00B44B19" w:rsidRDefault="007B05A8" w:rsidP="009C6543">
            <w:pPr>
              <w:spacing w:after="0" w:line="240" w:lineRule="auto"/>
              <w:jc w:val="center"/>
              <w:rPr>
                <w:rFonts w:cs="Times New Roman"/>
                <w:sz w:val="16"/>
                <w:szCs w:val="20"/>
              </w:rPr>
            </w:pPr>
            <w:r w:rsidRPr="00B44B19">
              <w:rPr>
                <w:rFonts w:cs="Times New Roman"/>
                <w:noProof/>
                <w:sz w:val="16"/>
                <w:szCs w:val="16"/>
              </w:rPr>
              <w:t>251 132</w:t>
            </w:r>
          </w:p>
        </w:tc>
      </w:tr>
      <w:tr w:rsidR="007B05A8" w:rsidRPr="00B44B19" w14:paraId="6073178D" w14:textId="77777777" w:rsidTr="009C6543">
        <w:trPr>
          <w:trHeight w:val="212"/>
        </w:trPr>
        <w:tc>
          <w:tcPr>
            <w:tcW w:w="497" w:type="pct"/>
            <w:vMerge/>
          </w:tcPr>
          <w:p w14:paraId="3796EE8E" w14:textId="77777777" w:rsidR="007B05A8" w:rsidRPr="00B44B19" w:rsidRDefault="007B05A8" w:rsidP="009C6543">
            <w:pPr>
              <w:spacing w:after="0" w:line="240" w:lineRule="auto"/>
              <w:jc w:val="both"/>
              <w:rPr>
                <w:rFonts w:cs="Times New Roman"/>
                <w:noProof/>
                <w:sz w:val="16"/>
                <w:szCs w:val="16"/>
              </w:rPr>
            </w:pPr>
          </w:p>
        </w:tc>
        <w:tc>
          <w:tcPr>
            <w:tcW w:w="503" w:type="pct"/>
            <w:vMerge/>
          </w:tcPr>
          <w:p w14:paraId="344A8392" w14:textId="77777777" w:rsidR="007B05A8" w:rsidRPr="00B44B19" w:rsidRDefault="007B05A8" w:rsidP="009C6543">
            <w:pPr>
              <w:spacing w:after="0" w:line="240" w:lineRule="auto"/>
              <w:jc w:val="both"/>
              <w:rPr>
                <w:rFonts w:cs="Times New Roman"/>
                <w:noProof/>
                <w:sz w:val="16"/>
                <w:szCs w:val="16"/>
              </w:rPr>
            </w:pPr>
          </w:p>
        </w:tc>
        <w:tc>
          <w:tcPr>
            <w:tcW w:w="432" w:type="pct"/>
            <w:vMerge/>
          </w:tcPr>
          <w:p w14:paraId="29A6448B" w14:textId="77777777" w:rsidR="007B05A8" w:rsidRPr="00B44B19" w:rsidRDefault="007B05A8" w:rsidP="009C6543">
            <w:pPr>
              <w:spacing w:after="0" w:line="240" w:lineRule="auto"/>
              <w:jc w:val="both"/>
              <w:rPr>
                <w:rFonts w:cs="Times New Roman"/>
                <w:noProof/>
                <w:sz w:val="16"/>
                <w:szCs w:val="16"/>
              </w:rPr>
            </w:pPr>
          </w:p>
        </w:tc>
        <w:tc>
          <w:tcPr>
            <w:tcW w:w="501" w:type="pct"/>
            <w:vMerge/>
          </w:tcPr>
          <w:p w14:paraId="6AA04D6E" w14:textId="77777777" w:rsidR="007B05A8" w:rsidRPr="00B44B19" w:rsidRDefault="007B05A8" w:rsidP="009C6543">
            <w:pPr>
              <w:spacing w:after="0" w:line="240" w:lineRule="auto"/>
              <w:jc w:val="both"/>
              <w:rPr>
                <w:rFonts w:cs="Times New Roman"/>
                <w:noProof/>
                <w:sz w:val="16"/>
                <w:szCs w:val="16"/>
              </w:rPr>
            </w:pPr>
          </w:p>
        </w:tc>
        <w:tc>
          <w:tcPr>
            <w:tcW w:w="647" w:type="pct"/>
          </w:tcPr>
          <w:p w14:paraId="22C75300" w14:textId="77777777" w:rsidR="007B05A8" w:rsidRPr="00B44B19" w:rsidRDefault="007B05A8" w:rsidP="00414AFB">
            <w:pPr>
              <w:spacing w:after="0" w:line="240" w:lineRule="auto"/>
              <w:jc w:val="both"/>
              <w:rPr>
                <w:rFonts w:cs="Times New Roman"/>
                <w:sz w:val="16"/>
                <w:szCs w:val="16"/>
              </w:rPr>
            </w:pPr>
            <w:r w:rsidRPr="00B44B19">
              <w:rPr>
                <w:rFonts w:eastAsia="Calibri" w:cs="Times New Roman"/>
                <w:sz w:val="16"/>
                <w:szCs w:val="16"/>
                <w:lang w:eastAsia="en-GB" w:bidi="lt-LT"/>
              </w:rPr>
              <w:t>Specialusis</w:t>
            </w:r>
          </w:p>
        </w:tc>
        <w:tc>
          <w:tcPr>
            <w:tcW w:w="998" w:type="pct"/>
          </w:tcPr>
          <w:p w14:paraId="53C7D8E7" w14:textId="77777777" w:rsidR="007B05A8" w:rsidRPr="00B44B19" w:rsidRDefault="007B05A8" w:rsidP="009C6543">
            <w:pPr>
              <w:spacing w:after="0" w:line="240" w:lineRule="auto"/>
              <w:rPr>
                <w:rFonts w:cs="Times New Roman"/>
                <w:sz w:val="16"/>
                <w:szCs w:val="16"/>
              </w:rPr>
            </w:pPr>
            <w:r w:rsidRPr="00B44B19">
              <w:rPr>
                <w:rFonts w:cs="Times New Roman"/>
                <w:sz w:val="16"/>
                <w:szCs w:val="16"/>
              </w:rPr>
              <w:t>Integruotos teritorinio vystymo strategijos, kurioms suteikta parama</w:t>
            </w:r>
          </w:p>
        </w:tc>
        <w:tc>
          <w:tcPr>
            <w:tcW w:w="504" w:type="pct"/>
          </w:tcPr>
          <w:p w14:paraId="34D8EEB6" w14:textId="77777777" w:rsidR="007B05A8" w:rsidRPr="00B44B19" w:rsidRDefault="007B05A8" w:rsidP="009C6543">
            <w:pPr>
              <w:spacing w:after="0" w:line="240" w:lineRule="auto"/>
              <w:jc w:val="both"/>
              <w:rPr>
                <w:rFonts w:cs="Times New Roman"/>
                <w:noProof/>
                <w:sz w:val="16"/>
                <w:szCs w:val="16"/>
              </w:rPr>
            </w:pPr>
            <w:r w:rsidRPr="00B44B19">
              <w:rPr>
                <w:rFonts w:cs="Times New Roman"/>
                <w:noProof/>
                <w:sz w:val="16"/>
                <w:szCs w:val="16"/>
              </w:rPr>
              <w:t>Indėlis į strategijas</w:t>
            </w:r>
          </w:p>
        </w:tc>
        <w:tc>
          <w:tcPr>
            <w:tcW w:w="438" w:type="pct"/>
          </w:tcPr>
          <w:p w14:paraId="014A78F7" w14:textId="77777777" w:rsidR="007B05A8" w:rsidRPr="00B44B19" w:rsidRDefault="007B05A8" w:rsidP="009C6543">
            <w:pPr>
              <w:spacing w:after="0" w:line="240" w:lineRule="auto"/>
              <w:jc w:val="center"/>
              <w:rPr>
                <w:rFonts w:cs="Times New Roman"/>
                <w:noProof/>
                <w:sz w:val="16"/>
                <w:szCs w:val="16"/>
              </w:rPr>
            </w:pPr>
            <w:r w:rsidRPr="00B44B19">
              <w:rPr>
                <w:rFonts w:cs="Times New Roman"/>
                <w:sz w:val="16"/>
                <w:szCs w:val="16"/>
              </w:rPr>
              <w:t>0</w:t>
            </w:r>
          </w:p>
        </w:tc>
        <w:tc>
          <w:tcPr>
            <w:tcW w:w="479" w:type="pct"/>
          </w:tcPr>
          <w:p w14:paraId="210F3BBA" w14:textId="77777777" w:rsidR="007B05A8" w:rsidRPr="00B44B19" w:rsidRDefault="007B05A8" w:rsidP="009C6543">
            <w:pPr>
              <w:spacing w:after="0" w:line="240" w:lineRule="auto"/>
              <w:jc w:val="center"/>
              <w:rPr>
                <w:rFonts w:cs="Times New Roman"/>
                <w:sz w:val="16"/>
                <w:szCs w:val="20"/>
              </w:rPr>
            </w:pPr>
            <w:r w:rsidRPr="00B44B19">
              <w:rPr>
                <w:rFonts w:cs="Times New Roman"/>
                <w:noProof/>
                <w:sz w:val="16"/>
                <w:szCs w:val="16"/>
              </w:rPr>
              <w:t>2</w:t>
            </w:r>
          </w:p>
        </w:tc>
      </w:tr>
    </w:tbl>
    <w:p w14:paraId="3A5B5E6B" w14:textId="77777777" w:rsidR="001517E2" w:rsidRPr="00B44B19" w:rsidRDefault="001517E2" w:rsidP="00471A41">
      <w:pPr>
        <w:spacing w:after="0" w:line="240" w:lineRule="auto"/>
        <w:jc w:val="both"/>
        <w:rPr>
          <w:rFonts w:cs="Times New Roman"/>
          <w:b/>
          <w:sz w:val="22"/>
        </w:rPr>
        <w:sectPr w:rsidR="001517E2" w:rsidRPr="00B44B19" w:rsidSect="00931C78">
          <w:pgSz w:w="11906" w:h="16838"/>
          <w:pgMar w:top="1276" w:right="567" w:bottom="1134" w:left="1701" w:header="567" w:footer="567" w:gutter="0"/>
          <w:cols w:space="1296"/>
          <w:docGrid w:linePitch="360"/>
        </w:sectPr>
      </w:pPr>
    </w:p>
    <w:p w14:paraId="5E41F71A" w14:textId="77777777" w:rsidR="00471A41" w:rsidRPr="00B44B19" w:rsidRDefault="00471A41" w:rsidP="001517E2">
      <w:pPr>
        <w:spacing w:after="0" w:line="240" w:lineRule="auto"/>
        <w:jc w:val="both"/>
        <w:rPr>
          <w:rFonts w:cs="Times New Roman"/>
          <w:sz w:val="16"/>
          <w:szCs w:val="16"/>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5"/>
        <w:gridCol w:w="835"/>
        <w:gridCol w:w="975"/>
        <w:gridCol w:w="1255"/>
        <w:gridCol w:w="3906"/>
        <w:gridCol w:w="975"/>
        <w:gridCol w:w="975"/>
        <w:gridCol w:w="1115"/>
        <w:gridCol w:w="975"/>
        <w:gridCol w:w="975"/>
        <w:gridCol w:w="960"/>
      </w:tblGrid>
      <w:tr w:rsidR="00055C93" w:rsidRPr="00B44B19" w14:paraId="0A05C3F1" w14:textId="77777777" w:rsidTr="009C6543">
        <w:trPr>
          <w:trHeight w:val="736"/>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B17E2F"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428D77"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39F780"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D8F1A6"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BB226E"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3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24A77D"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3A0B81"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D803F8"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1D0C19"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65F99B" w14:textId="77777777" w:rsidR="00055C93" w:rsidRPr="00B44B19" w:rsidRDefault="00055C93" w:rsidP="009C6543">
            <w:pPr>
              <w:spacing w:after="0" w:line="240" w:lineRule="auto"/>
              <w:jc w:val="center"/>
              <w:rPr>
                <w:rFonts w:cs="Times New Roman"/>
                <w:b/>
                <w:noProof/>
                <w:sz w:val="16"/>
                <w:szCs w:val="16"/>
              </w:rPr>
            </w:pPr>
            <w:r w:rsidRPr="00B44B19">
              <w:rPr>
                <w:rFonts w:cs="Times New Roman"/>
                <w:b/>
                <w:noProof/>
                <w:sz w:val="16"/>
                <w:szCs w:val="16"/>
              </w:rPr>
              <w:t>Siek</w:t>
            </w:r>
            <w:r w:rsidR="00ED312D"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257B4A" w14:textId="77777777" w:rsidR="00055C93" w:rsidRPr="00B44B19" w:rsidRDefault="00055C93" w:rsidP="00386895">
            <w:pPr>
              <w:spacing w:after="0" w:line="240" w:lineRule="auto"/>
              <w:jc w:val="center"/>
              <w:rPr>
                <w:rFonts w:cs="Times New Roman"/>
                <w:b/>
                <w:noProof/>
                <w:sz w:val="16"/>
                <w:szCs w:val="16"/>
              </w:rPr>
            </w:pPr>
            <w:r w:rsidRPr="00B44B19">
              <w:rPr>
                <w:rFonts w:cs="Times New Roman"/>
                <w:b/>
                <w:noProof/>
                <w:sz w:val="16"/>
                <w:szCs w:val="16"/>
              </w:rPr>
              <w:t xml:space="preserve">Duomenų šaltinis </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F78067" w14:textId="77777777" w:rsidR="00055C93" w:rsidRPr="00B44B19" w:rsidRDefault="00055C93" w:rsidP="00386895">
            <w:pPr>
              <w:spacing w:after="0" w:line="240" w:lineRule="auto"/>
              <w:jc w:val="center"/>
              <w:rPr>
                <w:rFonts w:cs="Times New Roman"/>
                <w:b/>
                <w:noProof/>
                <w:sz w:val="16"/>
                <w:szCs w:val="16"/>
              </w:rPr>
            </w:pPr>
            <w:r w:rsidRPr="00B44B19">
              <w:rPr>
                <w:rFonts w:cs="Times New Roman"/>
                <w:b/>
                <w:noProof/>
                <w:sz w:val="16"/>
                <w:szCs w:val="16"/>
              </w:rPr>
              <w:t xml:space="preserve">Pastabos </w:t>
            </w:r>
          </w:p>
        </w:tc>
      </w:tr>
      <w:tr w:rsidR="00055C93" w:rsidRPr="00B44B19" w14:paraId="4E9CC756" w14:textId="77777777" w:rsidTr="00FD3727">
        <w:trPr>
          <w:trHeight w:val="333"/>
        </w:trPr>
        <w:tc>
          <w:tcPr>
            <w:tcW w:w="317" w:type="pct"/>
            <w:vMerge w:val="restart"/>
            <w:tcBorders>
              <w:top w:val="single" w:sz="12" w:space="0" w:color="auto"/>
            </w:tcBorders>
          </w:tcPr>
          <w:p w14:paraId="1A3AB238"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2. Žalesnė Lietuva</w:t>
            </w:r>
          </w:p>
        </w:tc>
        <w:tc>
          <w:tcPr>
            <w:tcW w:w="328" w:type="pct"/>
            <w:vMerge w:val="restart"/>
            <w:tcBorders>
              <w:top w:val="single" w:sz="12" w:space="0" w:color="auto"/>
            </w:tcBorders>
          </w:tcPr>
          <w:p w14:paraId="58D3D4A0"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2.7.</w:t>
            </w:r>
          </w:p>
        </w:tc>
        <w:tc>
          <w:tcPr>
            <w:tcW w:w="281" w:type="pct"/>
            <w:vMerge w:val="restart"/>
            <w:tcBorders>
              <w:top w:val="single" w:sz="12" w:space="0" w:color="auto"/>
            </w:tcBorders>
          </w:tcPr>
          <w:p w14:paraId="5190E680"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SaF</w:t>
            </w:r>
          </w:p>
        </w:tc>
        <w:tc>
          <w:tcPr>
            <w:tcW w:w="328" w:type="pct"/>
            <w:vMerge w:val="restart"/>
            <w:tcBorders>
              <w:top w:val="single" w:sz="12" w:space="0" w:color="auto"/>
            </w:tcBorders>
          </w:tcPr>
          <w:p w14:paraId="3EE79750"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Visa Lietuva</w:t>
            </w:r>
          </w:p>
        </w:tc>
        <w:tc>
          <w:tcPr>
            <w:tcW w:w="422" w:type="pct"/>
            <w:tcBorders>
              <w:top w:val="single" w:sz="12" w:space="0" w:color="auto"/>
            </w:tcBorders>
          </w:tcPr>
          <w:p w14:paraId="55A4B798" w14:textId="77777777" w:rsidR="00055C93" w:rsidRPr="00B44B19" w:rsidRDefault="00055C93" w:rsidP="009C6543">
            <w:pPr>
              <w:spacing w:after="0" w:line="240" w:lineRule="auto"/>
              <w:jc w:val="both"/>
              <w:rPr>
                <w:rFonts w:cs="Times New Roman"/>
                <w:sz w:val="16"/>
                <w:szCs w:val="16"/>
              </w:rPr>
            </w:pPr>
            <w:r w:rsidRPr="00B44B19">
              <w:rPr>
                <w:rFonts w:eastAsia="Times New Roman" w:cs="Times New Roman"/>
                <w:sz w:val="16"/>
                <w:szCs w:val="16"/>
              </w:rPr>
              <w:t>RCR52</w:t>
            </w:r>
          </w:p>
        </w:tc>
        <w:tc>
          <w:tcPr>
            <w:tcW w:w="1314" w:type="pct"/>
            <w:tcBorders>
              <w:top w:val="single" w:sz="12" w:space="0" w:color="auto"/>
            </w:tcBorders>
          </w:tcPr>
          <w:p w14:paraId="2B2432C3" w14:textId="77777777" w:rsidR="00055C93" w:rsidRPr="00B44B19" w:rsidRDefault="00055C93" w:rsidP="009C6543">
            <w:pPr>
              <w:spacing w:after="0" w:line="240" w:lineRule="auto"/>
              <w:rPr>
                <w:rFonts w:cs="Times New Roman"/>
                <w:strike/>
                <w:sz w:val="16"/>
                <w:szCs w:val="16"/>
              </w:rPr>
            </w:pPr>
            <w:r w:rsidRPr="00B44B19">
              <w:rPr>
                <w:rFonts w:cs="Times New Roman"/>
                <w:sz w:val="16"/>
                <w:szCs w:val="16"/>
              </w:rPr>
              <w:t>Rekultivuota žemė, naudojama žaliesiems plotams, socialiniams būstams, ekonominei arba kitai paskirčiai</w:t>
            </w:r>
          </w:p>
        </w:tc>
        <w:tc>
          <w:tcPr>
            <w:tcW w:w="328" w:type="pct"/>
            <w:tcBorders>
              <w:top w:val="single" w:sz="12" w:space="0" w:color="auto"/>
            </w:tcBorders>
          </w:tcPr>
          <w:p w14:paraId="26BC35F0"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Hektarai</w:t>
            </w:r>
          </w:p>
        </w:tc>
        <w:tc>
          <w:tcPr>
            <w:tcW w:w="328" w:type="pct"/>
            <w:tcBorders>
              <w:top w:val="single" w:sz="12" w:space="0" w:color="auto"/>
            </w:tcBorders>
          </w:tcPr>
          <w:p w14:paraId="1D6DFC86"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Borders>
              <w:top w:val="single" w:sz="12" w:space="0" w:color="auto"/>
            </w:tcBorders>
          </w:tcPr>
          <w:p w14:paraId="1F7D6D55"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2021</w:t>
            </w:r>
          </w:p>
        </w:tc>
        <w:tc>
          <w:tcPr>
            <w:tcW w:w="328" w:type="pct"/>
            <w:tcBorders>
              <w:top w:val="single" w:sz="12" w:space="0" w:color="auto"/>
            </w:tcBorders>
          </w:tcPr>
          <w:p w14:paraId="29D828C0" w14:textId="7852147A" w:rsidR="00055C93" w:rsidRPr="00B44B19" w:rsidRDefault="00B97119" w:rsidP="009C6543">
            <w:pPr>
              <w:spacing w:after="0" w:line="240" w:lineRule="auto"/>
              <w:jc w:val="center"/>
              <w:rPr>
                <w:rFonts w:cs="Times New Roman"/>
                <w:noProof/>
                <w:sz w:val="16"/>
                <w:szCs w:val="16"/>
              </w:rPr>
            </w:pPr>
            <w:r w:rsidRPr="00B44B19">
              <w:rPr>
                <w:rFonts w:cs="Times New Roman"/>
                <w:noProof/>
                <w:sz w:val="16"/>
                <w:szCs w:val="16"/>
              </w:rPr>
              <w:t>7</w:t>
            </w:r>
          </w:p>
        </w:tc>
        <w:tc>
          <w:tcPr>
            <w:tcW w:w="328" w:type="pct"/>
            <w:tcBorders>
              <w:top w:val="single" w:sz="12" w:space="0" w:color="auto"/>
            </w:tcBorders>
          </w:tcPr>
          <w:p w14:paraId="64A0238A" w14:textId="77777777" w:rsidR="00055C93" w:rsidRPr="00B44B19" w:rsidRDefault="00414AFB" w:rsidP="009C6543">
            <w:pPr>
              <w:spacing w:after="0" w:line="240" w:lineRule="auto"/>
              <w:jc w:val="both"/>
              <w:rPr>
                <w:rFonts w:cs="Times New Roman"/>
                <w:noProof/>
                <w:sz w:val="16"/>
                <w:szCs w:val="16"/>
              </w:rPr>
            </w:pPr>
            <w:r w:rsidRPr="00B44B19">
              <w:rPr>
                <w:rFonts w:cs="Times New Roman"/>
                <w:noProof/>
                <w:sz w:val="16"/>
                <w:szCs w:val="16"/>
              </w:rPr>
              <w:t>Projektų duomenys</w:t>
            </w:r>
          </w:p>
        </w:tc>
        <w:tc>
          <w:tcPr>
            <w:tcW w:w="323" w:type="pct"/>
            <w:tcBorders>
              <w:top w:val="single" w:sz="12" w:space="0" w:color="auto"/>
            </w:tcBorders>
          </w:tcPr>
          <w:p w14:paraId="6E806482" w14:textId="77777777" w:rsidR="00055C93" w:rsidRPr="00B44B19" w:rsidRDefault="00055C93" w:rsidP="009C6543">
            <w:pPr>
              <w:spacing w:after="0" w:line="240" w:lineRule="auto"/>
              <w:jc w:val="both"/>
              <w:rPr>
                <w:rFonts w:cs="Times New Roman"/>
                <w:b/>
                <w:noProof/>
                <w:sz w:val="16"/>
                <w:szCs w:val="16"/>
              </w:rPr>
            </w:pPr>
          </w:p>
        </w:tc>
      </w:tr>
      <w:tr w:rsidR="00055C93" w:rsidRPr="00B44B19" w14:paraId="5AE9F0A0" w14:textId="77777777" w:rsidTr="009C6543">
        <w:trPr>
          <w:trHeight w:val="417"/>
        </w:trPr>
        <w:tc>
          <w:tcPr>
            <w:tcW w:w="317" w:type="pct"/>
            <w:vMerge/>
          </w:tcPr>
          <w:p w14:paraId="6F980EAC" w14:textId="77777777" w:rsidR="00055C93" w:rsidRPr="00B44B19" w:rsidRDefault="00055C93" w:rsidP="009C6543">
            <w:pPr>
              <w:spacing w:after="0" w:line="240" w:lineRule="auto"/>
              <w:jc w:val="both"/>
              <w:rPr>
                <w:rFonts w:cs="Times New Roman"/>
                <w:noProof/>
                <w:sz w:val="16"/>
                <w:szCs w:val="16"/>
              </w:rPr>
            </w:pPr>
          </w:p>
        </w:tc>
        <w:tc>
          <w:tcPr>
            <w:tcW w:w="328" w:type="pct"/>
            <w:vMerge/>
          </w:tcPr>
          <w:p w14:paraId="3777D3EC" w14:textId="77777777" w:rsidR="00055C93" w:rsidRPr="00B44B19" w:rsidRDefault="00055C93" w:rsidP="009C6543">
            <w:pPr>
              <w:spacing w:after="0" w:line="240" w:lineRule="auto"/>
              <w:jc w:val="both"/>
              <w:rPr>
                <w:rFonts w:cs="Times New Roman"/>
                <w:noProof/>
                <w:sz w:val="16"/>
                <w:szCs w:val="16"/>
              </w:rPr>
            </w:pPr>
          </w:p>
        </w:tc>
        <w:tc>
          <w:tcPr>
            <w:tcW w:w="281" w:type="pct"/>
            <w:vMerge/>
          </w:tcPr>
          <w:p w14:paraId="0B09CCE5" w14:textId="77777777" w:rsidR="00055C93" w:rsidRPr="00B44B19" w:rsidRDefault="00055C93" w:rsidP="009C6543">
            <w:pPr>
              <w:spacing w:after="0" w:line="240" w:lineRule="auto"/>
              <w:jc w:val="both"/>
              <w:rPr>
                <w:rFonts w:cs="Times New Roman"/>
                <w:noProof/>
                <w:sz w:val="16"/>
                <w:szCs w:val="16"/>
              </w:rPr>
            </w:pPr>
          </w:p>
        </w:tc>
        <w:tc>
          <w:tcPr>
            <w:tcW w:w="328" w:type="pct"/>
            <w:vMerge/>
          </w:tcPr>
          <w:p w14:paraId="12061D99" w14:textId="77777777" w:rsidR="00055C93" w:rsidRPr="00B44B19" w:rsidRDefault="00055C93" w:rsidP="009C6543">
            <w:pPr>
              <w:spacing w:after="0" w:line="240" w:lineRule="auto"/>
              <w:jc w:val="both"/>
              <w:rPr>
                <w:rFonts w:cs="Times New Roman"/>
                <w:noProof/>
                <w:sz w:val="16"/>
                <w:szCs w:val="16"/>
              </w:rPr>
            </w:pPr>
          </w:p>
        </w:tc>
        <w:tc>
          <w:tcPr>
            <w:tcW w:w="422" w:type="pct"/>
          </w:tcPr>
          <w:p w14:paraId="0FAA3719" w14:textId="77777777" w:rsidR="00055C93" w:rsidRPr="00B44B19" w:rsidRDefault="00055C93" w:rsidP="009C6543">
            <w:pPr>
              <w:spacing w:after="0" w:line="240" w:lineRule="auto"/>
              <w:jc w:val="both"/>
              <w:rPr>
                <w:rFonts w:eastAsia="Times New Roman" w:cs="Times New Roman"/>
                <w:sz w:val="16"/>
                <w:szCs w:val="16"/>
              </w:rPr>
            </w:pPr>
            <w:r w:rsidRPr="00B44B19">
              <w:rPr>
                <w:rFonts w:eastAsia="Times New Roman" w:cs="Times New Roman"/>
                <w:sz w:val="16"/>
                <w:szCs w:val="16"/>
              </w:rPr>
              <w:t>RCR95</w:t>
            </w:r>
          </w:p>
        </w:tc>
        <w:tc>
          <w:tcPr>
            <w:tcW w:w="1314" w:type="pct"/>
          </w:tcPr>
          <w:p w14:paraId="10107C9F" w14:textId="77777777" w:rsidR="00055C93" w:rsidRPr="00B44B19" w:rsidRDefault="00055C93" w:rsidP="00DC7257">
            <w:pPr>
              <w:spacing w:after="0" w:line="240" w:lineRule="auto"/>
              <w:rPr>
                <w:rFonts w:eastAsia="Times New Roman" w:cs="Times New Roman"/>
                <w:sz w:val="16"/>
                <w:szCs w:val="16"/>
              </w:rPr>
            </w:pPr>
            <w:r w:rsidRPr="00B44B19">
              <w:rPr>
                <w:rFonts w:eastAsia="Times New Roman" w:cs="Times New Roman"/>
                <w:sz w:val="16"/>
                <w:szCs w:val="16"/>
              </w:rPr>
              <w:t xml:space="preserve">Gyventojai, galintys naudotis nauja ar </w:t>
            </w:r>
            <w:r w:rsidR="00DC7257" w:rsidRPr="00B44B19">
              <w:rPr>
                <w:rFonts w:eastAsia="Times New Roman" w:cs="Times New Roman"/>
                <w:sz w:val="16"/>
                <w:szCs w:val="16"/>
              </w:rPr>
              <w:t xml:space="preserve">patobulinta </w:t>
            </w:r>
            <w:r w:rsidRPr="00B44B19">
              <w:rPr>
                <w:rFonts w:eastAsia="Times New Roman" w:cs="Times New Roman"/>
                <w:sz w:val="16"/>
                <w:szCs w:val="16"/>
              </w:rPr>
              <w:t>žaliąja infrastruktūra</w:t>
            </w:r>
          </w:p>
        </w:tc>
        <w:tc>
          <w:tcPr>
            <w:tcW w:w="328" w:type="pct"/>
          </w:tcPr>
          <w:p w14:paraId="63899EA0"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asmenys</w:t>
            </w:r>
          </w:p>
        </w:tc>
        <w:tc>
          <w:tcPr>
            <w:tcW w:w="328" w:type="pct"/>
          </w:tcPr>
          <w:p w14:paraId="3197492D"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13DF1027"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6F7B629C" w14:textId="7FE892BD" w:rsidR="00055C93" w:rsidRPr="00B44B19" w:rsidRDefault="00B97119" w:rsidP="009C6543">
            <w:pPr>
              <w:spacing w:after="0" w:line="240" w:lineRule="auto"/>
              <w:jc w:val="center"/>
              <w:rPr>
                <w:rFonts w:cs="Times New Roman"/>
                <w:noProof/>
                <w:sz w:val="16"/>
                <w:szCs w:val="16"/>
                <w:lang w:val="en-US"/>
              </w:rPr>
            </w:pPr>
            <w:r w:rsidRPr="00B44B19">
              <w:rPr>
                <w:rFonts w:cs="Times New Roman"/>
                <w:noProof/>
                <w:sz w:val="16"/>
                <w:szCs w:val="16"/>
                <w:lang w:val="en-US"/>
              </w:rPr>
              <w:t>231 033</w:t>
            </w:r>
          </w:p>
        </w:tc>
        <w:tc>
          <w:tcPr>
            <w:tcW w:w="328" w:type="pct"/>
          </w:tcPr>
          <w:p w14:paraId="6B82EE95" w14:textId="77777777" w:rsidR="00055C93" w:rsidRPr="00B44B19" w:rsidRDefault="00414AFB" w:rsidP="009C6543">
            <w:pPr>
              <w:spacing w:after="0" w:line="240" w:lineRule="auto"/>
              <w:jc w:val="both"/>
              <w:rPr>
                <w:rFonts w:cs="Times New Roman"/>
                <w:noProof/>
                <w:sz w:val="16"/>
                <w:szCs w:val="16"/>
                <w:lang w:val="en-US"/>
              </w:rPr>
            </w:pPr>
            <w:r w:rsidRPr="00B44B19">
              <w:rPr>
                <w:rFonts w:cs="Times New Roman"/>
                <w:noProof/>
                <w:sz w:val="16"/>
                <w:szCs w:val="16"/>
              </w:rPr>
              <w:t>Projektų duomenys</w:t>
            </w:r>
          </w:p>
        </w:tc>
        <w:tc>
          <w:tcPr>
            <w:tcW w:w="323" w:type="pct"/>
          </w:tcPr>
          <w:p w14:paraId="1907CA55" w14:textId="77777777" w:rsidR="00055C93" w:rsidRPr="00B44B19" w:rsidRDefault="00055C93" w:rsidP="009C6543">
            <w:pPr>
              <w:spacing w:after="0" w:line="240" w:lineRule="auto"/>
              <w:jc w:val="both"/>
              <w:rPr>
                <w:rFonts w:cs="Times New Roman"/>
                <w:b/>
                <w:noProof/>
                <w:sz w:val="16"/>
                <w:szCs w:val="16"/>
              </w:rPr>
            </w:pPr>
          </w:p>
        </w:tc>
      </w:tr>
      <w:tr w:rsidR="00055C93" w:rsidRPr="00B44B19" w14:paraId="2A895904" w14:textId="77777777" w:rsidTr="009C6543">
        <w:trPr>
          <w:trHeight w:val="417"/>
        </w:trPr>
        <w:tc>
          <w:tcPr>
            <w:tcW w:w="317" w:type="pct"/>
            <w:vMerge/>
          </w:tcPr>
          <w:p w14:paraId="5BC10A7B" w14:textId="77777777" w:rsidR="00055C93" w:rsidRPr="00B44B19" w:rsidRDefault="00055C93" w:rsidP="009C6543">
            <w:pPr>
              <w:spacing w:after="0" w:line="240" w:lineRule="auto"/>
              <w:jc w:val="both"/>
              <w:rPr>
                <w:rFonts w:cs="Times New Roman"/>
                <w:noProof/>
                <w:sz w:val="16"/>
                <w:szCs w:val="16"/>
              </w:rPr>
            </w:pPr>
          </w:p>
        </w:tc>
        <w:tc>
          <w:tcPr>
            <w:tcW w:w="328" w:type="pct"/>
            <w:vMerge/>
          </w:tcPr>
          <w:p w14:paraId="17BC0127" w14:textId="77777777" w:rsidR="00055C93" w:rsidRPr="00B44B19" w:rsidRDefault="00055C93" w:rsidP="009C6543">
            <w:pPr>
              <w:spacing w:after="0" w:line="240" w:lineRule="auto"/>
              <w:jc w:val="both"/>
              <w:rPr>
                <w:rFonts w:cs="Times New Roman"/>
                <w:noProof/>
                <w:sz w:val="16"/>
                <w:szCs w:val="16"/>
              </w:rPr>
            </w:pPr>
          </w:p>
        </w:tc>
        <w:tc>
          <w:tcPr>
            <w:tcW w:w="281" w:type="pct"/>
            <w:vMerge/>
          </w:tcPr>
          <w:p w14:paraId="2285014C" w14:textId="77777777" w:rsidR="00055C93" w:rsidRPr="00B44B19" w:rsidRDefault="00055C93" w:rsidP="009C6543">
            <w:pPr>
              <w:spacing w:after="0" w:line="240" w:lineRule="auto"/>
              <w:jc w:val="both"/>
              <w:rPr>
                <w:rFonts w:cs="Times New Roman"/>
                <w:noProof/>
                <w:sz w:val="16"/>
                <w:szCs w:val="16"/>
              </w:rPr>
            </w:pPr>
          </w:p>
        </w:tc>
        <w:tc>
          <w:tcPr>
            <w:tcW w:w="328" w:type="pct"/>
            <w:vMerge/>
          </w:tcPr>
          <w:p w14:paraId="638F8910" w14:textId="77777777" w:rsidR="00055C93" w:rsidRPr="00B44B19" w:rsidRDefault="00055C93" w:rsidP="009C6543">
            <w:pPr>
              <w:spacing w:after="0" w:line="240" w:lineRule="auto"/>
              <w:jc w:val="both"/>
              <w:rPr>
                <w:rFonts w:cs="Times New Roman"/>
                <w:noProof/>
                <w:sz w:val="16"/>
                <w:szCs w:val="16"/>
              </w:rPr>
            </w:pPr>
          </w:p>
        </w:tc>
        <w:tc>
          <w:tcPr>
            <w:tcW w:w="422" w:type="pct"/>
          </w:tcPr>
          <w:p w14:paraId="148A1D75" w14:textId="77777777" w:rsidR="00055C93" w:rsidRPr="00B44B19" w:rsidRDefault="00055C93" w:rsidP="002A0DF7">
            <w:pPr>
              <w:spacing w:after="0" w:line="240" w:lineRule="auto"/>
              <w:jc w:val="both"/>
              <w:rPr>
                <w:rFonts w:eastAsia="Times New Roman" w:cs="Times New Roman"/>
                <w:sz w:val="16"/>
                <w:szCs w:val="16"/>
              </w:rPr>
            </w:pPr>
            <w:r w:rsidRPr="00B44B19">
              <w:rPr>
                <w:rFonts w:eastAsia="Times New Roman" w:cs="Times New Roman"/>
                <w:sz w:val="16"/>
                <w:szCs w:val="16"/>
              </w:rPr>
              <w:t>Specialus</w:t>
            </w:r>
            <w:r w:rsidR="002A126F" w:rsidRPr="00B44B19">
              <w:rPr>
                <w:rFonts w:eastAsia="Times New Roman" w:cs="Times New Roman"/>
                <w:sz w:val="16"/>
                <w:szCs w:val="16"/>
              </w:rPr>
              <w:t>is</w:t>
            </w:r>
            <w:r w:rsidRPr="00B44B19">
              <w:rPr>
                <w:rFonts w:eastAsia="Times New Roman" w:cs="Times New Roman"/>
                <w:sz w:val="16"/>
                <w:szCs w:val="16"/>
              </w:rPr>
              <w:t xml:space="preserve"> </w:t>
            </w:r>
          </w:p>
        </w:tc>
        <w:tc>
          <w:tcPr>
            <w:tcW w:w="1314" w:type="pct"/>
          </w:tcPr>
          <w:p w14:paraId="1198C189" w14:textId="77777777" w:rsidR="00055C93" w:rsidRPr="00B44B19" w:rsidRDefault="00055C93" w:rsidP="009C6543">
            <w:pPr>
              <w:spacing w:after="0"/>
              <w:rPr>
                <w:rFonts w:eastAsia="Times New Roman" w:cs="Times New Roman"/>
                <w:sz w:val="16"/>
                <w:szCs w:val="16"/>
              </w:rPr>
            </w:pPr>
            <w:r w:rsidRPr="00B44B19">
              <w:rPr>
                <w:rFonts w:cs="Times New Roman"/>
                <w:sz w:val="16"/>
                <w:szCs w:val="16"/>
              </w:rPr>
              <w:t>Rūšių, kurių apsaugos būklė nepalanki, populiacijos dalis, kuriai taikytos apsaugos priemonės</w:t>
            </w:r>
          </w:p>
        </w:tc>
        <w:tc>
          <w:tcPr>
            <w:tcW w:w="328" w:type="pct"/>
          </w:tcPr>
          <w:p w14:paraId="2C4568CE"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procentai</w:t>
            </w:r>
          </w:p>
        </w:tc>
        <w:tc>
          <w:tcPr>
            <w:tcW w:w="328" w:type="pct"/>
          </w:tcPr>
          <w:p w14:paraId="7DD27DF9"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0F37C32E"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694769CA" w14:textId="77777777" w:rsidR="00055C93" w:rsidRPr="00B44B19" w:rsidRDefault="00055C93" w:rsidP="009C6543">
            <w:pPr>
              <w:spacing w:after="0" w:line="240" w:lineRule="auto"/>
              <w:jc w:val="center"/>
              <w:rPr>
                <w:rFonts w:cs="Times New Roman"/>
                <w:noProof/>
                <w:sz w:val="16"/>
                <w:szCs w:val="16"/>
                <w:lang w:val="en-US"/>
              </w:rPr>
            </w:pPr>
            <w:r w:rsidRPr="00B44B19">
              <w:rPr>
                <w:rFonts w:cs="Times New Roman"/>
                <w:noProof/>
                <w:sz w:val="16"/>
                <w:szCs w:val="16"/>
                <w:lang w:val="en-US"/>
              </w:rPr>
              <w:t>30</w:t>
            </w:r>
          </w:p>
        </w:tc>
        <w:tc>
          <w:tcPr>
            <w:tcW w:w="328" w:type="pct"/>
          </w:tcPr>
          <w:p w14:paraId="73B25F6B" w14:textId="77777777" w:rsidR="00055C93" w:rsidRPr="00B44B19" w:rsidRDefault="00414AFB" w:rsidP="009C6543">
            <w:pPr>
              <w:spacing w:after="0" w:line="240" w:lineRule="auto"/>
              <w:jc w:val="both"/>
              <w:rPr>
                <w:rFonts w:cs="Times New Roman"/>
                <w:noProof/>
                <w:sz w:val="16"/>
                <w:szCs w:val="16"/>
              </w:rPr>
            </w:pPr>
            <w:r w:rsidRPr="00B44B19">
              <w:rPr>
                <w:rFonts w:cs="Times New Roman"/>
                <w:noProof/>
                <w:sz w:val="16"/>
                <w:szCs w:val="16"/>
              </w:rPr>
              <w:t>Projektų duomenys</w:t>
            </w:r>
          </w:p>
        </w:tc>
        <w:tc>
          <w:tcPr>
            <w:tcW w:w="323" w:type="pct"/>
          </w:tcPr>
          <w:p w14:paraId="1D038170" w14:textId="77777777" w:rsidR="00055C93" w:rsidRPr="00B44B19" w:rsidRDefault="00055C93" w:rsidP="009C6543">
            <w:pPr>
              <w:spacing w:after="0" w:line="240" w:lineRule="auto"/>
              <w:jc w:val="both"/>
              <w:rPr>
                <w:rFonts w:cs="Times New Roman"/>
                <w:b/>
                <w:noProof/>
                <w:sz w:val="16"/>
                <w:szCs w:val="16"/>
              </w:rPr>
            </w:pPr>
          </w:p>
        </w:tc>
      </w:tr>
      <w:tr w:rsidR="00055C93" w:rsidRPr="00B44B19" w14:paraId="7DF2EC59" w14:textId="77777777" w:rsidTr="009C6543">
        <w:trPr>
          <w:trHeight w:val="417"/>
        </w:trPr>
        <w:tc>
          <w:tcPr>
            <w:tcW w:w="317" w:type="pct"/>
            <w:vMerge/>
          </w:tcPr>
          <w:p w14:paraId="7228B230" w14:textId="77777777" w:rsidR="00055C93" w:rsidRPr="00B44B19" w:rsidRDefault="00055C93" w:rsidP="009C6543">
            <w:pPr>
              <w:spacing w:after="0" w:line="240" w:lineRule="auto"/>
              <w:jc w:val="both"/>
              <w:rPr>
                <w:rFonts w:cs="Times New Roman"/>
                <w:noProof/>
                <w:sz w:val="16"/>
                <w:szCs w:val="16"/>
              </w:rPr>
            </w:pPr>
          </w:p>
        </w:tc>
        <w:tc>
          <w:tcPr>
            <w:tcW w:w="328" w:type="pct"/>
            <w:vMerge/>
          </w:tcPr>
          <w:p w14:paraId="1E48BD12" w14:textId="77777777" w:rsidR="00055C93" w:rsidRPr="00B44B19" w:rsidRDefault="00055C93" w:rsidP="009C6543">
            <w:pPr>
              <w:spacing w:after="0" w:line="240" w:lineRule="auto"/>
              <w:jc w:val="both"/>
              <w:rPr>
                <w:rFonts w:cs="Times New Roman"/>
                <w:noProof/>
                <w:sz w:val="16"/>
                <w:szCs w:val="16"/>
              </w:rPr>
            </w:pPr>
          </w:p>
        </w:tc>
        <w:tc>
          <w:tcPr>
            <w:tcW w:w="281" w:type="pct"/>
            <w:vMerge/>
          </w:tcPr>
          <w:p w14:paraId="678A2916" w14:textId="77777777" w:rsidR="00055C93" w:rsidRPr="00B44B19" w:rsidRDefault="00055C93" w:rsidP="009C6543">
            <w:pPr>
              <w:spacing w:after="0" w:line="240" w:lineRule="auto"/>
              <w:jc w:val="both"/>
              <w:rPr>
                <w:rFonts w:cs="Times New Roman"/>
                <w:noProof/>
                <w:sz w:val="16"/>
                <w:szCs w:val="16"/>
              </w:rPr>
            </w:pPr>
          </w:p>
        </w:tc>
        <w:tc>
          <w:tcPr>
            <w:tcW w:w="328" w:type="pct"/>
            <w:vMerge/>
          </w:tcPr>
          <w:p w14:paraId="3A57311F" w14:textId="77777777" w:rsidR="00055C93" w:rsidRPr="00B44B19" w:rsidRDefault="00055C93" w:rsidP="009C6543">
            <w:pPr>
              <w:spacing w:after="0" w:line="240" w:lineRule="auto"/>
              <w:jc w:val="both"/>
              <w:rPr>
                <w:rFonts w:cs="Times New Roman"/>
                <w:noProof/>
                <w:sz w:val="16"/>
                <w:szCs w:val="16"/>
              </w:rPr>
            </w:pPr>
          </w:p>
        </w:tc>
        <w:tc>
          <w:tcPr>
            <w:tcW w:w="422" w:type="pct"/>
          </w:tcPr>
          <w:p w14:paraId="3E043CF7" w14:textId="77777777" w:rsidR="00055C93" w:rsidRPr="00B44B19" w:rsidRDefault="00055C93" w:rsidP="002A0DF7">
            <w:pPr>
              <w:spacing w:after="0" w:line="240" w:lineRule="auto"/>
              <w:jc w:val="both"/>
              <w:rPr>
                <w:rFonts w:eastAsia="Times New Roman" w:cs="Times New Roman"/>
                <w:sz w:val="16"/>
                <w:szCs w:val="16"/>
              </w:rPr>
            </w:pPr>
            <w:r w:rsidRPr="00B44B19">
              <w:rPr>
                <w:rFonts w:eastAsia="Times New Roman" w:cs="Times New Roman"/>
                <w:sz w:val="16"/>
                <w:szCs w:val="16"/>
              </w:rPr>
              <w:t>Specialus</w:t>
            </w:r>
            <w:r w:rsidR="002A126F" w:rsidRPr="00B44B19">
              <w:rPr>
                <w:rFonts w:eastAsia="Times New Roman" w:cs="Times New Roman"/>
                <w:sz w:val="16"/>
                <w:szCs w:val="16"/>
              </w:rPr>
              <w:t>is</w:t>
            </w:r>
            <w:r w:rsidRPr="00B44B19">
              <w:rPr>
                <w:rFonts w:eastAsia="Times New Roman" w:cs="Times New Roman"/>
                <w:sz w:val="16"/>
                <w:szCs w:val="16"/>
              </w:rPr>
              <w:t xml:space="preserve"> </w:t>
            </w:r>
          </w:p>
        </w:tc>
        <w:tc>
          <w:tcPr>
            <w:tcW w:w="1314" w:type="pct"/>
          </w:tcPr>
          <w:p w14:paraId="43A3AD3E" w14:textId="77777777" w:rsidR="00055C93" w:rsidRPr="00B44B19" w:rsidRDefault="00055C93" w:rsidP="009C6543">
            <w:pPr>
              <w:spacing w:after="0" w:line="240" w:lineRule="auto"/>
              <w:rPr>
                <w:rFonts w:eastAsia="Times New Roman" w:cs="Times New Roman"/>
                <w:sz w:val="16"/>
                <w:szCs w:val="16"/>
                <w:lang w:val="en-GB"/>
              </w:rPr>
            </w:pPr>
            <w:r w:rsidRPr="00B44B19">
              <w:rPr>
                <w:rFonts w:eastAsia="Times New Roman" w:cs="Times New Roman"/>
                <w:sz w:val="16"/>
                <w:szCs w:val="16"/>
              </w:rPr>
              <w:t>Aplinkosaugos sistemų efektyvumo padidėjimas</w:t>
            </w:r>
          </w:p>
        </w:tc>
        <w:tc>
          <w:tcPr>
            <w:tcW w:w="328" w:type="pct"/>
          </w:tcPr>
          <w:p w14:paraId="7939F15F" w14:textId="77777777" w:rsidR="00055C93" w:rsidRPr="00B44B19" w:rsidRDefault="00055C93" w:rsidP="009C6543">
            <w:pPr>
              <w:spacing w:after="0" w:line="240" w:lineRule="auto"/>
              <w:jc w:val="both"/>
              <w:rPr>
                <w:rFonts w:cs="Times New Roman"/>
                <w:noProof/>
                <w:sz w:val="16"/>
                <w:szCs w:val="16"/>
              </w:rPr>
            </w:pPr>
            <w:r w:rsidRPr="00B44B19">
              <w:rPr>
                <w:rFonts w:cs="Times New Roman"/>
                <w:noProof/>
                <w:sz w:val="16"/>
                <w:szCs w:val="16"/>
              </w:rPr>
              <w:t>procentai</w:t>
            </w:r>
          </w:p>
        </w:tc>
        <w:tc>
          <w:tcPr>
            <w:tcW w:w="328" w:type="pct"/>
          </w:tcPr>
          <w:p w14:paraId="3EEDBF26"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41CAF58A" w14:textId="77777777" w:rsidR="00055C93" w:rsidRPr="00B44B19" w:rsidRDefault="00055C93" w:rsidP="009C6543">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223A75B8" w14:textId="77777777" w:rsidR="00055C93" w:rsidRPr="00B44B19" w:rsidRDefault="00055C93" w:rsidP="009C6543">
            <w:pPr>
              <w:spacing w:after="0" w:line="240" w:lineRule="auto"/>
              <w:jc w:val="center"/>
              <w:rPr>
                <w:rFonts w:cs="Times New Roman"/>
                <w:noProof/>
                <w:sz w:val="16"/>
                <w:szCs w:val="16"/>
                <w:lang w:val="en-US"/>
              </w:rPr>
            </w:pPr>
            <w:r w:rsidRPr="00B44B19">
              <w:rPr>
                <w:rFonts w:cs="Times New Roman"/>
                <w:noProof/>
                <w:sz w:val="16"/>
                <w:szCs w:val="16"/>
                <w:lang w:val="en-US"/>
              </w:rPr>
              <w:t>20</w:t>
            </w:r>
          </w:p>
        </w:tc>
        <w:tc>
          <w:tcPr>
            <w:tcW w:w="328" w:type="pct"/>
          </w:tcPr>
          <w:p w14:paraId="37C2CB5E" w14:textId="77777777" w:rsidR="00055C93" w:rsidRPr="00B44B19" w:rsidRDefault="00414AFB" w:rsidP="009C6543">
            <w:pPr>
              <w:spacing w:after="0" w:line="240" w:lineRule="auto"/>
              <w:jc w:val="both"/>
              <w:rPr>
                <w:rFonts w:cs="Times New Roman"/>
                <w:noProof/>
                <w:sz w:val="16"/>
                <w:szCs w:val="16"/>
              </w:rPr>
            </w:pPr>
            <w:r w:rsidRPr="00B44B19">
              <w:rPr>
                <w:rFonts w:cs="Times New Roman"/>
                <w:noProof/>
                <w:sz w:val="16"/>
                <w:szCs w:val="16"/>
              </w:rPr>
              <w:t>Projektų duomenys</w:t>
            </w:r>
          </w:p>
        </w:tc>
        <w:tc>
          <w:tcPr>
            <w:tcW w:w="323" w:type="pct"/>
          </w:tcPr>
          <w:p w14:paraId="47009F7A" w14:textId="77777777" w:rsidR="00055C93" w:rsidRPr="00B44B19" w:rsidRDefault="00055C93" w:rsidP="009C6543">
            <w:pPr>
              <w:spacing w:after="0" w:line="240" w:lineRule="auto"/>
              <w:jc w:val="both"/>
              <w:rPr>
                <w:rFonts w:cs="Times New Roman"/>
                <w:b/>
                <w:noProof/>
                <w:sz w:val="16"/>
                <w:szCs w:val="16"/>
              </w:rPr>
            </w:pPr>
          </w:p>
        </w:tc>
      </w:tr>
    </w:tbl>
    <w:p w14:paraId="6B621B26" w14:textId="77777777" w:rsidR="001517E2" w:rsidRPr="00B44B19" w:rsidRDefault="001517E2" w:rsidP="00471A41">
      <w:pPr>
        <w:spacing w:after="0" w:line="240" w:lineRule="auto"/>
        <w:jc w:val="both"/>
        <w:rPr>
          <w:rFonts w:cs="Times New Roman"/>
          <w:b/>
          <w:szCs w:val="24"/>
        </w:rPr>
        <w:sectPr w:rsidR="001517E2" w:rsidRPr="00B44B19" w:rsidSect="00931C78">
          <w:pgSz w:w="16838" w:h="11906" w:orient="landscape"/>
          <w:pgMar w:top="1701" w:right="1276" w:bottom="567" w:left="1134" w:header="567" w:footer="567" w:gutter="0"/>
          <w:cols w:space="1296"/>
          <w:docGrid w:linePitch="360"/>
        </w:sectPr>
      </w:pPr>
    </w:p>
    <w:p w14:paraId="2DB874B8" w14:textId="77777777" w:rsidR="00FE2852" w:rsidRPr="00B44B19" w:rsidRDefault="00471A41" w:rsidP="00471A41">
      <w:pPr>
        <w:spacing w:before="240" w:after="240" w:line="240" w:lineRule="auto"/>
        <w:jc w:val="both"/>
        <w:rPr>
          <w:rFonts w:eastAsia="Calibri" w:cs="Times New Roman"/>
          <w:i/>
          <w:noProof/>
          <w:szCs w:val="20"/>
          <w:lang w:eastAsia="lt-LT" w:bidi="lt-LT"/>
        </w:rPr>
      </w:pPr>
      <w:r w:rsidRPr="00B44B19">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ayout w:type="fixed"/>
        <w:tblLook w:val="04A0" w:firstRow="1" w:lastRow="0" w:firstColumn="1" w:lastColumn="0" w:noHBand="0" w:noVBand="1"/>
      </w:tblPr>
      <w:tblGrid>
        <w:gridCol w:w="1101"/>
        <w:gridCol w:w="850"/>
        <w:gridCol w:w="1134"/>
        <w:gridCol w:w="1134"/>
        <w:gridCol w:w="4111"/>
        <w:gridCol w:w="1417"/>
      </w:tblGrid>
      <w:tr w:rsidR="00055C93" w:rsidRPr="00B44B19" w14:paraId="18555B40" w14:textId="77777777" w:rsidTr="00830FA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6290AF" w14:textId="77777777" w:rsidR="00055C93" w:rsidRPr="00B44B19" w:rsidRDefault="00055C93" w:rsidP="009C6543">
            <w:pPr>
              <w:rPr>
                <w:rFonts w:eastAsia="Times New Roman" w:cs="Times New Roman"/>
                <w:b/>
                <w:iCs/>
                <w:noProof/>
                <w:sz w:val="20"/>
              </w:rPr>
            </w:pPr>
            <w:r w:rsidRPr="00B44B19">
              <w:rPr>
                <w:rFonts w:cs="Times New Roman"/>
                <w:b/>
                <w:noProof/>
                <w:sz w:val="20"/>
              </w:rPr>
              <w:t>4 lentelė. 1 matmuo. Intervencinių priemonių sritis</w:t>
            </w:r>
          </w:p>
        </w:tc>
      </w:tr>
      <w:tr w:rsidR="00055C93" w:rsidRPr="00B44B19" w14:paraId="6BF26A7B" w14:textId="77777777" w:rsidTr="00830FA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9A5947"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5FC705"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62D693"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CE6B05"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Konkretus uždavinys</w:t>
            </w:r>
          </w:p>
        </w:tc>
        <w:tc>
          <w:tcPr>
            <w:tcW w:w="411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EC5956"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2C0CC3"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Suma (EUR)</w:t>
            </w:r>
          </w:p>
        </w:tc>
      </w:tr>
      <w:tr w:rsidR="00055C93" w:rsidRPr="00B44B19" w14:paraId="67AB8276" w14:textId="77777777" w:rsidTr="00821D6E">
        <w:tc>
          <w:tcPr>
            <w:tcW w:w="1101" w:type="dxa"/>
            <w:vMerge w:val="restart"/>
            <w:tcBorders>
              <w:top w:val="single" w:sz="12" w:space="0" w:color="auto"/>
            </w:tcBorders>
          </w:tcPr>
          <w:p w14:paraId="4DEBE220"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w:t>
            </w:r>
          </w:p>
        </w:tc>
        <w:tc>
          <w:tcPr>
            <w:tcW w:w="850" w:type="dxa"/>
            <w:vMerge w:val="restart"/>
            <w:tcBorders>
              <w:top w:val="single" w:sz="12" w:space="0" w:color="auto"/>
            </w:tcBorders>
          </w:tcPr>
          <w:p w14:paraId="6D4EBFC3"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SaF</w:t>
            </w:r>
          </w:p>
        </w:tc>
        <w:tc>
          <w:tcPr>
            <w:tcW w:w="1134" w:type="dxa"/>
            <w:vMerge w:val="restart"/>
            <w:tcBorders>
              <w:top w:val="single" w:sz="12" w:space="0" w:color="auto"/>
            </w:tcBorders>
          </w:tcPr>
          <w:p w14:paraId="011F8964"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31E66405"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2.7</w:t>
            </w:r>
          </w:p>
        </w:tc>
        <w:tc>
          <w:tcPr>
            <w:tcW w:w="4111" w:type="dxa"/>
            <w:tcBorders>
              <w:top w:val="single" w:sz="12" w:space="0" w:color="auto"/>
              <w:bottom w:val="single" w:sz="4" w:space="0" w:color="auto"/>
            </w:tcBorders>
            <w:vAlign w:val="center"/>
          </w:tcPr>
          <w:p w14:paraId="6E97F17A" w14:textId="77777777" w:rsidR="00055C93" w:rsidRPr="00B44B19" w:rsidRDefault="00055C93" w:rsidP="00830FA9">
            <w:pPr>
              <w:rPr>
                <w:rFonts w:eastAsia="Times New Roman" w:cs="Times New Roman"/>
                <w:iCs/>
                <w:noProof/>
                <w:sz w:val="20"/>
              </w:rPr>
            </w:pPr>
            <w:r w:rsidRPr="00B44B19">
              <w:rPr>
                <w:rFonts w:eastAsia="Times New Roman" w:cs="Times New Roman"/>
                <w:iCs/>
                <w:noProof/>
                <w:sz w:val="20"/>
              </w:rPr>
              <w:t>073</w:t>
            </w:r>
            <w:r w:rsidR="00830FA9" w:rsidRPr="00B44B19">
              <w:rPr>
                <w:rFonts w:eastAsia="Times New Roman" w:cs="Times New Roman"/>
                <w:iCs/>
                <w:noProof/>
                <w:sz w:val="20"/>
              </w:rPr>
              <w:t xml:space="preserve"> </w:t>
            </w:r>
            <w:r w:rsidR="004168C9" w:rsidRPr="00B44B19">
              <w:rPr>
                <w:rFonts w:eastAsia="Times New Roman" w:cs="Times New Roman"/>
                <w:iCs/>
                <w:noProof/>
                <w:sz w:val="20"/>
              </w:rPr>
              <w:t>–</w:t>
            </w:r>
            <w:r w:rsidR="00830FA9" w:rsidRPr="00B44B19">
              <w:rPr>
                <w:rFonts w:eastAsia="Times New Roman" w:cs="Times New Roman"/>
                <w:iCs/>
                <w:noProof/>
                <w:sz w:val="20"/>
              </w:rPr>
              <w:t xml:space="preserve"> Pramoninių vietovių ir užterštos žemės valymas</w:t>
            </w:r>
          </w:p>
        </w:tc>
        <w:tc>
          <w:tcPr>
            <w:tcW w:w="1417" w:type="dxa"/>
            <w:tcBorders>
              <w:top w:val="single" w:sz="12" w:space="0" w:color="auto"/>
              <w:bottom w:val="single" w:sz="4" w:space="0" w:color="auto"/>
            </w:tcBorders>
          </w:tcPr>
          <w:p w14:paraId="5617BC9C" w14:textId="29FDE4D4" w:rsidR="00055C93" w:rsidRPr="00B44B19" w:rsidRDefault="00D84372" w:rsidP="00D84372">
            <w:pPr>
              <w:jc w:val="right"/>
              <w:rPr>
                <w:rFonts w:eastAsia="Times New Roman" w:cs="Times New Roman"/>
                <w:iCs/>
                <w:noProof/>
                <w:sz w:val="20"/>
              </w:rPr>
            </w:pPr>
            <w:r w:rsidRPr="00B44B19">
              <w:rPr>
                <w:rFonts w:cs="Times New Roman"/>
                <w:color w:val="000000"/>
                <w:sz w:val="20"/>
                <w:szCs w:val="20"/>
              </w:rPr>
              <w:t>4 298 472</w:t>
            </w:r>
            <w:r w:rsidR="00055C93" w:rsidRPr="00B44B19">
              <w:rPr>
                <w:rFonts w:eastAsia="Times New Roman" w:cs="Times New Roman"/>
                <w:iCs/>
                <w:noProof/>
                <w:sz w:val="20"/>
              </w:rPr>
              <w:t>,00</w:t>
            </w:r>
          </w:p>
        </w:tc>
      </w:tr>
      <w:tr w:rsidR="00055C93" w:rsidRPr="00B44B19" w14:paraId="30B6294E" w14:textId="77777777" w:rsidTr="00821D6E">
        <w:tc>
          <w:tcPr>
            <w:tcW w:w="1101" w:type="dxa"/>
            <w:vMerge/>
            <w:tcBorders>
              <w:top w:val="single" w:sz="12" w:space="0" w:color="auto"/>
            </w:tcBorders>
          </w:tcPr>
          <w:p w14:paraId="39B8E83F" w14:textId="77777777" w:rsidR="00055C93" w:rsidRPr="00B44B19" w:rsidRDefault="00055C93" w:rsidP="009C6543">
            <w:pPr>
              <w:jc w:val="center"/>
              <w:rPr>
                <w:rFonts w:eastAsia="Times New Roman" w:cs="Times New Roman"/>
                <w:iCs/>
                <w:noProof/>
                <w:sz w:val="20"/>
              </w:rPr>
            </w:pPr>
          </w:p>
        </w:tc>
        <w:tc>
          <w:tcPr>
            <w:tcW w:w="850" w:type="dxa"/>
            <w:vMerge/>
            <w:tcBorders>
              <w:top w:val="single" w:sz="12" w:space="0" w:color="auto"/>
            </w:tcBorders>
          </w:tcPr>
          <w:p w14:paraId="05B28AA3" w14:textId="77777777" w:rsidR="00055C93" w:rsidRPr="00B44B19" w:rsidRDefault="00055C93" w:rsidP="009C6543">
            <w:pPr>
              <w:rPr>
                <w:rFonts w:eastAsia="Times New Roman" w:cs="Times New Roman"/>
                <w:iCs/>
                <w:noProof/>
                <w:sz w:val="20"/>
              </w:rPr>
            </w:pPr>
          </w:p>
        </w:tc>
        <w:tc>
          <w:tcPr>
            <w:tcW w:w="1134" w:type="dxa"/>
            <w:vMerge/>
            <w:tcBorders>
              <w:top w:val="single" w:sz="12" w:space="0" w:color="auto"/>
            </w:tcBorders>
          </w:tcPr>
          <w:p w14:paraId="2D7D4936" w14:textId="77777777" w:rsidR="00055C93" w:rsidRPr="00B44B19" w:rsidRDefault="00055C93" w:rsidP="009C6543">
            <w:pPr>
              <w:rPr>
                <w:rFonts w:eastAsia="Times New Roman" w:cs="Times New Roman"/>
                <w:iCs/>
                <w:noProof/>
                <w:sz w:val="20"/>
              </w:rPr>
            </w:pPr>
          </w:p>
        </w:tc>
        <w:tc>
          <w:tcPr>
            <w:tcW w:w="1134" w:type="dxa"/>
            <w:vMerge/>
            <w:tcBorders>
              <w:top w:val="single" w:sz="12" w:space="0" w:color="auto"/>
            </w:tcBorders>
          </w:tcPr>
          <w:p w14:paraId="3A6E66B9" w14:textId="77777777" w:rsidR="00055C93" w:rsidRPr="00B44B19" w:rsidRDefault="00055C93" w:rsidP="009C6543">
            <w:pPr>
              <w:jc w:val="center"/>
              <w:rPr>
                <w:rFonts w:eastAsia="Times New Roman" w:cs="Times New Roman"/>
                <w:iCs/>
                <w:noProof/>
                <w:sz w:val="20"/>
              </w:rPr>
            </w:pPr>
          </w:p>
        </w:tc>
        <w:tc>
          <w:tcPr>
            <w:tcW w:w="4111" w:type="dxa"/>
            <w:tcBorders>
              <w:top w:val="single" w:sz="4" w:space="0" w:color="auto"/>
              <w:bottom w:val="single" w:sz="4" w:space="0" w:color="auto"/>
            </w:tcBorders>
            <w:vAlign w:val="center"/>
          </w:tcPr>
          <w:p w14:paraId="38679356" w14:textId="77777777" w:rsidR="00055C93" w:rsidRPr="00B44B19" w:rsidDel="00CA64E7" w:rsidRDefault="00055C93" w:rsidP="00830FA9">
            <w:pPr>
              <w:rPr>
                <w:rFonts w:eastAsia="Times New Roman" w:cs="Times New Roman"/>
                <w:iCs/>
                <w:noProof/>
                <w:sz w:val="20"/>
              </w:rPr>
            </w:pPr>
            <w:r w:rsidRPr="00B44B19">
              <w:rPr>
                <w:rFonts w:eastAsia="Times New Roman" w:cs="Times New Roman"/>
                <w:iCs/>
                <w:noProof/>
                <w:sz w:val="20"/>
              </w:rPr>
              <w:t>077</w:t>
            </w:r>
            <w:r w:rsidR="00830FA9" w:rsidRPr="00B44B19">
              <w:rPr>
                <w:rFonts w:eastAsia="Times New Roman" w:cs="Times New Roman"/>
                <w:iCs/>
                <w:noProof/>
                <w:sz w:val="20"/>
              </w:rPr>
              <w:t xml:space="preserve"> </w:t>
            </w:r>
            <w:r w:rsidR="004168C9" w:rsidRPr="00B44B19">
              <w:rPr>
                <w:rFonts w:eastAsia="Times New Roman" w:cs="Times New Roman"/>
                <w:iCs/>
                <w:noProof/>
                <w:sz w:val="20"/>
              </w:rPr>
              <w:t>–</w:t>
            </w:r>
            <w:r w:rsidR="00830FA9" w:rsidRPr="00B44B19">
              <w:rPr>
                <w:rFonts w:eastAsia="Times New Roman" w:cs="Times New Roman"/>
                <w:iCs/>
                <w:noProof/>
                <w:sz w:val="20"/>
              </w:rPr>
              <w:t xml:space="preserve"> Oro kokybės užtikrinimo ir triukšmo mažinimo priemonės</w:t>
            </w:r>
          </w:p>
        </w:tc>
        <w:tc>
          <w:tcPr>
            <w:tcW w:w="1417" w:type="dxa"/>
            <w:tcBorders>
              <w:top w:val="single" w:sz="4" w:space="0" w:color="auto"/>
              <w:bottom w:val="single" w:sz="4" w:space="0" w:color="auto"/>
            </w:tcBorders>
          </w:tcPr>
          <w:p w14:paraId="788C12B2" w14:textId="0C405EB4" w:rsidR="00055C93" w:rsidRPr="00B44B19" w:rsidRDefault="00D84372" w:rsidP="00D84372">
            <w:pPr>
              <w:jc w:val="right"/>
              <w:rPr>
                <w:rFonts w:eastAsia="Times New Roman" w:cs="Times New Roman"/>
                <w:iCs/>
                <w:noProof/>
                <w:sz w:val="20"/>
              </w:rPr>
            </w:pPr>
            <w:r w:rsidRPr="00B44B19">
              <w:rPr>
                <w:rFonts w:cs="Times New Roman"/>
                <w:color w:val="000000"/>
                <w:sz w:val="20"/>
                <w:szCs w:val="20"/>
              </w:rPr>
              <w:t>4 900 000</w:t>
            </w:r>
            <w:r w:rsidR="00055C93" w:rsidRPr="00B44B19">
              <w:rPr>
                <w:rFonts w:eastAsia="Times New Roman" w:cs="Times New Roman"/>
                <w:iCs/>
                <w:noProof/>
                <w:sz w:val="20"/>
              </w:rPr>
              <w:t>,00</w:t>
            </w:r>
          </w:p>
        </w:tc>
      </w:tr>
      <w:tr w:rsidR="00055C93" w:rsidRPr="00B44B19" w14:paraId="74E56CD7" w14:textId="77777777" w:rsidTr="00821D6E">
        <w:tc>
          <w:tcPr>
            <w:tcW w:w="1101" w:type="dxa"/>
            <w:vMerge/>
          </w:tcPr>
          <w:p w14:paraId="575B6BE1" w14:textId="77777777" w:rsidR="00055C93" w:rsidRPr="00B44B19" w:rsidRDefault="00055C93" w:rsidP="009C6543">
            <w:pPr>
              <w:rPr>
                <w:rFonts w:eastAsia="Times New Roman" w:cs="Times New Roman"/>
                <w:iCs/>
                <w:noProof/>
                <w:sz w:val="20"/>
              </w:rPr>
            </w:pPr>
          </w:p>
        </w:tc>
        <w:tc>
          <w:tcPr>
            <w:tcW w:w="850" w:type="dxa"/>
            <w:vMerge/>
          </w:tcPr>
          <w:p w14:paraId="694668B5" w14:textId="77777777" w:rsidR="00055C93" w:rsidRPr="00B44B19" w:rsidRDefault="00055C93" w:rsidP="009C6543">
            <w:pPr>
              <w:rPr>
                <w:rFonts w:eastAsia="Times New Roman" w:cs="Times New Roman"/>
                <w:b/>
                <w:iCs/>
                <w:noProof/>
                <w:sz w:val="20"/>
              </w:rPr>
            </w:pPr>
          </w:p>
        </w:tc>
        <w:tc>
          <w:tcPr>
            <w:tcW w:w="1134" w:type="dxa"/>
            <w:vMerge/>
          </w:tcPr>
          <w:p w14:paraId="4D2BDD04" w14:textId="77777777" w:rsidR="00055C93" w:rsidRPr="00B44B19" w:rsidRDefault="00055C93" w:rsidP="009C6543">
            <w:pPr>
              <w:rPr>
                <w:rFonts w:eastAsia="Times New Roman" w:cs="Times New Roman"/>
                <w:iCs/>
                <w:noProof/>
                <w:sz w:val="20"/>
              </w:rPr>
            </w:pPr>
          </w:p>
        </w:tc>
        <w:tc>
          <w:tcPr>
            <w:tcW w:w="1134" w:type="dxa"/>
            <w:vMerge/>
          </w:tcPr>
          <w:p w14:paraId="26CAC68F" w14:textId="77777777" w:rsidR="00055C93" w:rsidRPr="00B44B19" w:rsidRDefault="00055C93" w:rsidP="009C6543">
            <w:pPr>
              <w:rPr>
                <w:rFonts w:eastAsia="Times New Roman" w:cs="Times New Roman"/>
                <w:b/>
                <w:iCs/>
                <w:noProof/>
                <w:sz w:val="20"/>
              </w:rPr>
            </w:pPr>
          </w:p>
        </w:tc>
        <w:tc>
          <w:tcPr>
            <w:tcW w:w="4111" w:type="dxa"/>
            <w:tcBorders>
              <w:top w:val="single" w:sz="4" w:space="0" w:color="auto"/>
              <w:bottom w:val="single" w:sz="4" w:space="0" w:color="auto"/>
            </w:tcBorders>
            <w:vAlign w:val="center"/>
          </w:tcPr>
          <w:p w14:paraId="4C302933" w14:textId="77777777" w:rsidR="00055C93" w:rsidRPr="00B44B19" w:rsidRDefault="00055C93" w:rsidP="00830FA9">
            <w:pPr>
              <w:rPr>
                <w:rFonts w:eastAsia="Times New Roman" w:cs="Times New Roman"/>
                <w:iCs/>
                <w:noProof/>
                <w:sz w:val="20"/>
              </w:rPr>
            </w:pPr>
            <w:r w:rsidRPr="00B44B19">
              <w:rPr>
                <w:rFonts w:eastAsia="Times New Roman" w:cs="Times New Roman"/>
                <w:iCs/>
                <w:noProof/>
                <w:sz w:val="20"/>
              </w:rPr>
              <w:t>078</w:t>
            </w:r>
            <w:r w:rsidR="00830FA9" w:rsidRPr="00B44B19">
              <w:rPr>
                <w:rFonts w:eastAsia="Times New Roman" w:cs="Times New Roman"/>
                <w:iCs/>
                <w:noProof/>
                <w:sz w:val="20"/>
              </w:rPr>
              <w:t xml:space="preserve"> </w:t>
            </w:r>
            <w:r w:rsidR="004168C9" w:rsidRPr="00B44B19">
              <w:rPr>
                <w:rFonts w:eastAsia="Times New Roman" w:cs="Times New Roman"/>
                <w:iCs/>
                <w:noProof/>
                <w:sz w:val="20"/>
              </w:rPr>
              <w:t>–</w:t>
            </w:r>
            <w:r w:rsidR="00830FA9" w:rsidRPr="00B44B19">
              <w:rPr>
                <w:rFonts w:eastAsia="Times New Roman" w:cs="Times New Roman"/>
                <w:iCs/>
                <w:noProof/>
                <w:sz w:val="20"/>
              </w:rPr>
              <w:t xml:space="preserve"> „Natura 2000“ teritorijų apsauga, atkūrimas ir tausus naudojimas</w:t>
            </w:r>
          </w:p>
        </w:tc>
        <w:tc>
          <w:tcPr>
            <w:tcW w:w="1417" w:type="dxa"/>
            <w:tcBorders>
              <w:top w:val="single" w:sz="4" w:space="0" w:color="auto"/>
              <w:bottom w:val="single" w:sz="4" w:space="0" w:color="auto"/>
            </w:tcBorders>
          </w:tcPr>
          <w:p w14:paraId="6EA96DC7" w14:textId="77777777" w:rsidR="00055C93" w:rsidRPr="00B44B19" w:rsidRDefault="00055C93" w:rsidP="00821D6E">
            <w:pPr>
              <w:jc w:val="right"/>
              <w:rPr>
                <w:rFonts w:eastAsia="Times New Roman" w:cs="Times New Roman"/>
                <w:iCs/>
                <w:noProof/>
                <w:sz w:val="20"/>
              </w:rPr>
            </w:pPr>
            <w:r w:rsidRPr="00B44B19">
              <w:rPr>
                <w:rFonts w:eastAsia="Times New Roman" w:cs="Times New Roman"/>
                <w:iCs/>
                <w:noProof/>
                <w:sz w:val="20"/>
              </w:rPr>
              <w:t>43 000 000,00</w:t>
            </w:r>
          </w:p>
        </w:tc>
      </w:tr>
      <w:tr w:rsidR="00055C93" w:rsidRPr="00B44B19" w14:paraId="5E035B80" w14:textId="77777777" w:rsidTr="00821D6E">
        <w:tc>
          <w:tcPr>
            <w:tcW w:w="1101" w:type="dxa"/>
            <w:vMerge/>
          </w:tcPr>
          <w:p w14:paraId="208D768F" w14:textId="77777777" w:rsidR="00055C93" w:rsidRPr="00B44B19" w:rsidRDefault="00055C93" w:rsidP="009C6543">
            <w:pPr>
              <w:rPr>
                <w:rFonts w:eastAsia="Times New Roman" w:cs="Times New Roman"/>
                <w:iCs/>
                <w:noProof/>
                <w:sz w:val="20"/>
              </w:rPr>
            </w:pPr>
          </w:p>
        </w:tc>
        <w:tc>
          <w:tcPr>
            <w:tcW w:w="850" w:type="dxa"/>
            <w:vMerge/>
          </w:tcPr>
          <w:p w14:paraId="6E0A0890" w14:textId="77777777" w:rsidR="00055C93" w:rsidRPr="00B44B19" w:rsidRDefault="00055C93" w:rsidP="009C6543">
            <w:pPr>
              <w:rPr>
                <w:rFonts w:eastAsia="Times New Roman" w:cs="Times New Roman"/>
                <w:b/>
                <w:iCs/>
                <w:noProof/>
                <w:sz w:val="20"/>
              </w:rPr>
            </w:pPr>
          </w:p>
        </w:tc>
        <w:tc>
          <w:tcPr>
            <w:tcW w:w="1134" w:type="dxa"/>
            <w:vMerge/>
          </w:tcPr>
          <w:p w14:paraId="11F77A7F" w14:textId="77777777" w:rsidR="00055C93" w:rsidRPr="00B44B19" w:rsidRDefault="00055C93" w:rsidP="009C6543">
            <w:pPr>
              <w:rPr>
                <w:rFonts w:eastAsia="Times New Roman" w:cs="Times New Roman"/>
                <w:iCs/>
                <w:noProof/>
                <w:sz w:val="20"/>
              </w:rPr>
            </w:pPr>
          </w:p>
        </w:tc>
        <w:tc>
          <w:tcPr>
            <w:tcW w:w="1134" w:type="dxa"/>
            <w:vMerge/>
          </w:tcPr>
          <w:p w14:paraId="5E23091E" w14:textId="77777777" w:rsidR="00055C93" w:rsidRPr="00B44B19" w:rsidRDefault="00055C93" w:rsidP="009C6543">
            <w:pPr>
              <w:rPr>
                <w:rFonts w:eastAsia="Times New Roman" w:cs="Times New Roman"/>
                <w:b/>
                <w:iCs/>
                <w:noProof/>
                <w:sz w:val="20"/>
              </w:rPr>
            </w:pPr>
          </w:p>
        </w:tc>
        <w:tc>
          <w:tcPr>
            <w:tcW w:w="4111" w:type="dxa"/>
            <w:tcBorders>
              <w:top w:val="single" w:sz="4" w:space="0" w:color="auto"/>
            </w:tcBorders>
            <w:vAlign w:val="center"/>
          </w:tcPr>
          <w:p w14:paraId="01219979" w14:textId="77777777" w:rsidR="00055C93" w:rsidRPr="00B44B19" w:rsidRDefault="00055C93" w:rsidP="00830FA9">
            <w:pPr>
              <w:rPr>
                <w:rFonts w:eastAsia="Times New Roman" w:cs="Times New Roman"/>
                <w:iCs/>
                <w:noProof/>
                <w:sz w:val="20"/>
              </w:rPr>
            </w:pPr>
            <w:r w:rsidRPr="00B44B19">
              <w:rPr>
                <w:rFonts w:eastAsia="Times New Roman" w:cs="Times New Roman"/>
                <w:iCs/>
                <w:noProof/>
                <w:sz w:val="20"/>
              </w:rPr>
              <w:t>079</w:t>
            </w:r>
            <w:r w:rsidR="00830FA9" w:rsidRPr="00B44B19">
              <w:rPr>
                <w:rFonts w:eastAsia="Times New Roman" w:cs="Times New Roman"/>
                <w:iCs/>
                <w:noProof/>
                <w:sz w:val="20"/>
              </w:rPr>
              <w:t xml:space="preserve"> </w:t>
            </w:r>
            <w:r w:rsidR="004168C9" w:rsidRPr="00B44B19">
              <w:rPr>
                <w:rFonts w:eastAsia="Times New Roman" w:cs="Times New Roman"/>
                <w:iCs/>
                <w:noProof/>
                <w:sz w:val="20"/>
              </w:rPr>
              <w:t>–</w:t>
            </w:r>
            <w:r w:rsidR="00830FA9" w:rsidRPr="00B44B19">
              <w:rPr>
                <w:rFonts w:eastAsia="Times New Roman" w:cs="Times New Roman"/>
                <w:iCs/>
                <w:noProof/>
                <w:sz w:val="20"/>
              </w:rPr>
              <w:t xml:space="preserve"> Gamtos ir biologinės įvairovės apsauga, gamtos paveldas ir ištekliai, žalioji ir mėlynoji infrastruktūros</w:t>
            </w:r>
          </w:p>
        </w:tc>
        <w:tc>
          <w:tcPr>
            <w:tcW w:w="1417" w:type="dxa"/>
            <w:tcBorders>
              <w:top w:val="single" w:sz="4" w:space="0" w:color="auto"/>
            </w:tcBorders>
          </w:tcPr>
          <w:p w14:paraId="010954B5" w14:textId="21A2253D" w:rsidR="00055C93" w:rsidRPr="00B44B19" w:rsidRDefault="00D84372" w:rsidP="00D84372">
            <w:pPr>
              <w:jc w:val="right"/>
              <w:rPr>
                <w:rFonts w:eastAsia="Times New Roman" w:cs="Times New Roman"/>
                <w:iCs/>
                <w:noProof/>
                <w:sz w:val="20"/>
              </w:rPr>
            </w:pPr>
            <w:r w:rsidRPr="00B44B19">
              <w:rPr>
                <w:rFonts w:cs="Times New Roman"/>
                <w:color w:val="000000"/>
                <w:sz w:val="20"/>
                <w:szCs w:val="20"/>
              </w:rPr>
              <w:t>89 700 000</w:t>
            </w:r>
            <w:r w:rsidR="00055C93" w:rsidRPr="00B44B19">
              <w:rPr>
                <w:rFonts w:eastAsia="Times New Roman" w:cs="Times New Roman"/>
                <w:iCs/>
                <w:noProof/>
                <w:sz w:val="20"/>
              </w:rPr>
              <w:t>,00</w:t>
            </w:r>
          </w:p>
        </w:tc>
      </w:tr>
    </w:tbl>
    <w:p w14:paraId="41DA283C" w14:textId="77777777" w:rsidR="00055C93" w:rsidRPr="00B44B19" w:rsidRDefault="00055C93" w:rsidP="00821D6E">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98"/>
        <w:gridCol w:w="850"/>
        <w:gridCol w:w="1132"/>
        <w:gridCol w:w="1134"/>
        <w:gridCol w:w="3928"/>
        <w:gridCol w:w="1624"/>
      </w:tblGrid>
      <w:tr w:rsidR="00055C93" w:rsidRPr="00B44B19" w14:paraId="49CA592A" w14:textId="77777777" w:rsidTr="00D27D25">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9465226" w14:textId="77777777" w:rsidR="00055C93" w:rsidRPr="00B44B19" w:rsidRDefault="00055C93" w:rsidP="00EF76E6">
            <w:pPr>
              <w:rPr>
                <w:rFonts w:eastAsia="Times New Roman" w:cs="Times New Roman"/>
                <w:b/>
                <w:iCs/>
                <w:noProof/>
                <w:sz w:val="20"/>
              </w:rPr>
            </w:pPr>
            <w:r w:rsidRPr="00B44B19">
              <w:rPr>
                <w:rFonts w:cs="Times New Roman"/>
                <w:b/>
                <w:noProof/>
                <w:sz w:val="20"/>
              </w:rPr>
              <w:t xml:space="preserve">5 lentelė. 2 matmuo. </w:t>
            </w:r>
            <w:r w:rsidR="00EF76E6" w:rsidRPr="00B44B19">
              <w:rPr>
                <w:rFonts w:cs="Times New Roman"/>
                <w:b/>
                <w:noProof/>
                <w:sz w:val="20"/>
              </w:rPr>
              <w:t>Finansavimo</w:t>
            </w:r>
            <w:r w:rsidR="00DE169C" w:rsidRPr="00B44B19">
              <w:rPr>
                <w:rFonts w:cs="Times New Roman"/>
                <w:b/>
                <w:noProof/>
                <w:sz w:val="20"/>
              </w:rPr>
              <w:t xml:space="preserve"> </w:t>
            </w:r>
            <w:r w:rsidRPr="00B44B19">
              <w:rPr>
                <w:rFonts w:cs="Times New Roman"/>
                <w:b/>
                <w:noProof/>
                <w:sz w:val="20"/>
              </w:rPr>
              <w:t>forma</w:t>
            </w:r>
          </w:p>
        </w:tc>
      </w:tr>
      <w:tr w:rsidR="00055C93" w:rsidRPr="00B44B19" w14:paraId="5F5ABE32" w14:textId="77777777" w:rsidTr="00D27D25">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CB8688"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50D4A"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Fondas</w:t>
            </w:r>
          </w:p>
        </w:tc>
        <w:tc>
          <w:tcPr>
            <w:tcW w:w="113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0B895A"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A127BF"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Konkretus uždavinys</w:t>
            </w:r>
          </w:p>
        </w:tc>
        <w:tc>
          <w:tcPr>
            <w:tcW w:w="39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7EB35D"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Kodas</w:t>
            </w:r>
          </w:p>
        </w:tc>
        <w:tc>
          <w:tcPr>
            <w:tcW w:w="16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B3BCB1"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Suma (EUR)</w:t>
            </w:r>
          </w:p>
        </w:tc>
      </w:tr>
      <w:tr w:rsidR="00055C93" w:rsidRPr="00B44B19" w14:paraId="274132D4" w14:textId="77777777" w:rsidTr="00D27D25">
        <w:tc>
          <w:tcPr>
            <w:tcW w:w="1098" w:type="dxa"/>
            <w:tcBorders>
              <w:top w:val="single" w:sz="12" w:space="0" w:color="auto"/>
            </w:tcBorders>
          </w:tcPr>
          <w:p w14:paraId="373F7395"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w:t>
            </w:r>
          </w:p>
        </w:tc>
        <w:tc>
          <w:tcPr>
            <w:tcW w:w="850" w:type="dxa"/>
            <w:tcBorders>
              <w:top w:val="single" w:sz="12" w:space="0" w:color="auto"/>
            </w:tcBorders>
          </w:tcPr>
          <w:p w14:paraId="1841F8CB"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SaF</w:t>
            </w:r>
          </w:p>
        </w:tc>
        <w:tc>
          <w:tcPr>
            <w:tcW w:w="1132" w:type="dxa"/>
            <w:tcBorders>
              <w:top w:val="single" w:sz="12" w:space="0" w:color="auto"/>
              <w:bottom w:val="single" w:sz="4" w:space="0" w:color="auto"/>
            </w:tcBorders>
          </w:tcPr>
          <w:p w14:paraId="35F2392C"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Visa Lietuva</w:t>
            </w:r>
          </w:p>
        </w:tc>
        <w:tc>
          <w:tcPr>
            <w:tcW w:w="1134" w:type="dxa"/>
            <w:tcBorders>
              <w:top w:val="single" w:sz="12" w:space="0" w:color="auto"/>
            </w:tcBorders>
          </w:tcPr>
          <w:p w14:paraId="28881405" w14:textId="77777777" w:rsidR="00055C93" w:rsidRPr="00B44B19" w:rsidRDefault="00055C93" w:rsidP="009C6543">
            <w:pPr>
              <w:jc w:val="center"/>
              <w:rPr>
                <w:rFonts w:eastAsia="Times New Roman" w:cs="Times New Roman"/>
                <w:b/>
                <w:iCs/>
                <w:noProof/>
                <w:sz w:val="20"/>
              </w:rPr>
            </w:pPr>
            <w:r w:rsidRPr="00B44B19">
              <w:rPr>
                <w:rFonts w:eastAsia="Times New Roman" w:cs="Times New Roman"/>
                <w:iCs/>
                <w:noProof/>
                <w:sz w:val="20"/>
              </w:rPr>
              <w:t>2.7</w:t>
            </w:r>
          </w:p>
        </w:tc>
        <w:tc>
          <w:tcPr>
            <w:tcW w:w="3928" w:type="dxa"/>
            <w:tcBorders>
              <w:top w:val="single" w:sz="12" w:space="0" w:color="auto"/>
              <w:bottom w:val="single" w:sz="4" w:space="0" w:color="auto"/>
            </w:tcBorders>
          </w:tcPr>
          <w:p w14:paraId="0774BECA" w14:textId="77777777" w:rsidR="00055C93" w:rsidRPr="00B44B19" w:rsidRDefault="00055C93" w:rsidP="00830FA9">
            <w:pPr>
              <w:rPr>
                <w:rFonts w:eastAsia="Times New Roman" w:cs="Times New Roman"/>
                <w:iCs/>
                <w:noProof/>
                <w:szCs w:val="24"/>
              </w:rPr>
            </w:pPr>
            <w:r w:rsidRPr="00B44B19">
              <w:rPr>
                <w:rFonts w:eastAsia="Times New Roman" w:cs="Times New Roman"/>
                <w:iCs/>
                <w:noProof/>
                <w:sz w:val="20"/>
              </w:rPr>
              <w:t>01</w:t>
            </w:r>
            <w:r w:rsidR="00830FA9" w:rsidRPr="00B44B19">
              <w:rPr>
                <w:rFonts w:eastAsia="Times New Roman" w:cs="Times New Roman"/>
                <w:iCs/>
                <w:noProof/>
                <w:sz w:val="20"/>
              </w:rPr>
              <w:t xml:space="preserve"> </w:t>
            </w:r>
            <w:r w:rsidR="004168C9" w:rsidRPr="00B44B19">
              <w:rPr>
                <w:rFonts w:eastAsia="Times New Roman" w:cs="Times New Roman"/>
                <w:iCs/>
                <w:noProof/>
                <w:sz w:val="20"/>
              </w:rPr>
              <w:t>–</w:t>
            </w:r>
            <w:r w:rsidR="00830FA9" w:rsidRPr="00B44B19">
              <w:rPr>
                <w:rFonts w:eastAsia="Times New Roman" w:cs="Times New Roman"/>
                <w:iCs/>
                <w:noProof/>
                <w:sz w:val="20"/>
              </w:rPr>
              <w:t xml:space="preserve"> Dotacija</w:t>
            </w:r>
          </w:p>
        </w:tc>
        <w:tc>
          <w:tcPr>
            <w:tcW w:w="1624" w:type="dxa"/>
            <w:tcBorders>
              <w:top w:val="single" w:sz="12" w:space="0" w:color="auto"/>
              <w:bottom w:val="single" w:sz="4" w:space="0" w:color="auto"/>
            </w:tcBorders>
          </w:tcPr>
          <w:p w14:paraId="24C7FCFD" w14:textId="21C4CFEC" w:rsidR="00055C93" w:rsidRPr="00B44B19" w:rsidRDefault="00D84372" w:rsidP="00D84372">
            <w:pPr>
              <w:jc w:val="right"/>
              <w:rPr>
                <w:rFonts w:eastAsia="Times New Roman" w:cs="Times New Roman"/>
                <w:iCs/>
                <w:noProof/>
                <w:sz w:val="20"/>
              </w:rPr>
            </w:pPr>
            <w:r w:rsidRPr="00B44B19">
              <w:rPr>
                <w:rFonts w:cs="Times New Roman"/>
                <w:color w:val="000000"/>
                <w:sz w:val="20"/>
                <w:szCs w:val="20"/>
              </w:rPr>
              <w:t>141 898 472</w:t>
            </w:r>
            <w:r w:rsidR="00055C93" w:rsidRPr="00B44B19">
              <w:rPr>
                <w:rFonts w:eastAsia="Times New Roman" w:cs="Times New Roman"/>
                <w:iCs/>
                <w:noProof/>
                <w:sz w:val="20"/>
              </w:rPr>
              <w:t>,00</w:t>
            </w:r>
          </w:p>
        </w:tc>
      </w:tr>
    </w:tbl>
    <w:p w14:paraId="0B47BC58" w14:textId="77777777" w:rsidR="00055C93" w:rsidRPr="00B44B19" w:rsidRDefault="00055C93" w:rsidP="00821D6E">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98"/>
        <w:gridCol w:w="849"/>
        <w:gridCol w:w="1132"/>
        <w:gridCol w:w="1134"/>
        <w:gridCol w:w="3929"/>
        <w:gridCol w:w="1624"/>
      </w:tblGrid>
      <w:tr w:rsidR="00055C93" w:rsidRPr="00B44B19" w14:paraId="62F0DC15" w14:textId="77777777" w:rsidTr="00D27D25">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A1140D4" w14:textId="77777777" w:rsidR="00055C93" w:rsidRPr="00B44B19" w:rsidRDefault="00055C93" w:rsidP="009C6543">
            <w:pPr>
              <w:rPr>
                <w:rFonts w:eastAsia="Times New Roman" w:cs="Times New Roman"/>
                <w:b/>
                <w:iCs/>
                <w:noProof/>
                <w:sz w:val="20"/>
              </w:rPr>
            </w:pPr>
            <w:r w:rsidRPr="00B44B19">
              <w:rPr>
                <w:rFonts w:cs="Times New Roman"/>
                <w:b/>
                <w:noProof/>
                <w:sz w:val="20"/>
              </w:rPr>
              <w:t xml:space="preserve">6 lentelė. 3 matmuo. </w:t>
            </w:r>
            <w:r w:rsidR="00DE169C" w:rsidRPr="00B44B19">
              <w:rPr>
                <w:rFonts w:cs="Times New Roman"/>
                <w:b/>
                <w:noProof/>
                <w:sz w:val="20"/>
              </w:rPr>
              <w:t>Teritorinis įgyvendinimo mechanizmas ir pagrindinė teritorinė sritis</w:t>
            </w:r>
          </w:p>
        </w:tc>
      </w:tr>
      <w:tr w:rsidR="00055C93" w:rsidRPr="00B44B19" w14:paraId="6546C675" w14:textId="77777777" w:rsidTr="00D27D25">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37EE04"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B2E7DE"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Fondas</w:t>
            </w:r>
          </w:p>
        </w:tc>
        <w:tc>
          <w:tcPr>
            <w:tcW w:w="113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76165F"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453BEA"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Konkretus uždavinys</w:t>
            </w:r>
          </w:p>
        </w:tc>
        <w:tc>
          <w:tcPr>
            <w:tcW w:w="392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184E28"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Kodas</w:t>
            </w:r>
          </w:p>
        </w:tc>
        <w:tc>
          <w:tcPr>
            <w:tcW w:w="162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7B3FAD" w14:textId="77777777" w:rsidR="00055C93" w:rsidRPr="00B44B19" w:rsidRDefault="00055C93" w:rsidP="009C6543">
            <w:pPr>
              <w:jc w:val="center"/>
              <w:rPr>
                <w:rFonts w:eastAsia="Times New Roman" w:cs="Times New Roman"/>
                <w:b/>
                <w:iCs/>
                <w:noProof/>
                <w:sz w:val="20"/>
              </w:rPr>
            </w:pPr>
            <w:r w:rsidRPr="00B44B19">
              <w:rPr>
                <w:rFonts w:cs="Times New Roman"/>
                <w:b/>
                <w:noProof/>
                <w:sz w:val="20"/>
              </w:rPr>
              <w:t>Suma (EUR)</w:t>
            </w:r>
          </w:p>
        </w:tc>
      </w:tr>
      <w:tr w:rsidR="00055C93" w:rsidRPr="00B44B19" w14:paraId="187053F9" w14:textId="77777777" w:rsidTr="00D27D25">
        <w:tc>
          <w:tcPr>
            <w:tcW w:w="1098" w:type="dxa"/>
            <w:vMerge w:val="restart"/>
            <w:tcBorders>
              <w:top w:val="single" w:sz="12" w:space="0" w:color="auto"/>
            </w:tcBorders>
          </w:tcPr>
          <w:p w14:paraId="67386505"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w:t>
            </w:r>
          </w:p>
        </w:tc>
        <w:tc>
          <w:tcPr>
            <w:tcW w:w="849" w:type="dxa"/>
            <w:vMerge w:val="restart"/>
            <w:tcBorders>
              <w:top w:val="single" w:sz="12" w:space="0" w:color="auto"/>
            </w:tcBorders>
          </w:tcPr>
          <w:p w14:paraId="79886DF2" w14:textId="77777777" w:rsidR="00055C93" w:rsidRPr="00B44B19" w:rsidRDefault="00055C93" w:rsidP="00830FA9">
            <w:pPr>
              <w:jc w:val="center"/>
              <w:rPr>
                <w:rFonts w:eastAsia="Times New Roman" w:cs="Times New Roman"/>
                <w:iCs/>
                <w:noProof/>
                <w:sz w:val="20"/>
              </w:rPr>
            </w:pPr>
            <w:r w:rsidRPr="00B44B19">
              <w:rPr>
                <w:rFonts w:eastAsia="Times New Roman" w:cs="Times New Roman"/>
                <w:iCs/>
                <w:noProof/>
                <w:sz w:val="20"/>
              </w:rPr>
              <w:t>SaF</w:t>
            </w:r>
          </w:p>
        </w:tc>
        <w:tc>
          <w:tcPr>
            <w:tcW w:w="1132" w:type="dxa"/>
            <w:vMerge w:val="restart"/>
            <w:tcBorders>
              <w:top w:val="single" w:sz="12" w:space="0" w:color="auto"/>
            </w:tcBorders>
          </w:tcPr>
          <w:p w14:paraId="01EEC3CB" w14:textId="77777777" w:rsidR="00055C93" w:rsidRPr="00B44B19" w:rsidRDefault="00055C93" w:rsidP="009C6543">
            <w:pPr>
              <w:rPr>
                <w:rFonts w:eastAsia="Times New Roman" w:cs="Times New Roman"/>
                <w:iCs/>
                <w:noProof/>
                <w:sz w:val="20"/>
              </w:rPr>
            </w:pPr>
            <w:r w:rsidRPr="00B44B19">
              <w:rPr>
                <w:rFonts w:eastAsia="Times New Roman" w:cs="Times New Roman"/>
                <w:iCs/>
                <w:noProof/>
                <w:sz w:val="20"/>
              </w:rPr>
              <w:t>Visa Lietuva</w:t>
            </w:r>
          </w:p>
        </w:tc>
        <w:tc>
          <w:tcPr>
            <w:tcW w:w="1134" w:type="dxa"/>
            <w:vMerge w:val="restart"/>
            <w:tcBorders>
              <w:top w:val="single" w:sz="12" w:space="0" w:color="auto"/>
            </w:tcBorders>
          </w:tcPr>
          <w:p w14:paraId="3FDA055C" w14:textId="77777777" w:rsidR="00055C93" w:rsidRPr="00B44B19" w:rsidRDefault="00055C93" w:rsidP="009C6543">
            <w:pPr>
              <w:jc w:val="center"/>
              <w:rPr>
                <w:rFonts w:eastAsia="Times New Roman" w:cs="Times New Roman"/>
                <w:iCs/>
                <w:noProof/>
                <w:sz w:val="20"/>
              </w:rPr>
            </w:pPr>
            <w:r w:rsidRPr="00B44B19">
              <w:rPr>
                <w:rFonts w:eastAsia="Times New Roman" w:cs="Times New Roman"/>
                <w:iCs/>
                <w:noProof/>
                <w:sz w:val="20"/>
              </w:rPr>
              <w:t>2.7</w:t>
            </w:r>
          </w:p>
        </w:tc>
        <w:tc>
          <w:tcPr>
            <w:tcW w:w="3929" w:type="dxa"/>
            <w:tcBorders>
              <w:top w:val="single" w:sz="12" w:space="0" w:color="auto"/>
              <w:bottom w:val="single" w:sz="4" w:space="0" w:color="auto"/>
            </w:tcBorders>
          </w:tcPr>
          <w:p w14:paraId="2A0C6042" w14:textId="77777777" w:rsidR="00055C93" w:rsidRPr="00B44B19" w:rsidRDefault="001A413C" w:rsidP="00883E38">
            <w:pPr>
              <w:rPr>
                <w:rFonts w:eastAsia="Times New Roman" w:cs="Times New Roman"/>
                <w:iCs/>
                <w:noProof/>
                <w:sz w:val="20"/>
              </w:rPr>
            </w:pPr>
            <w:r w:rsidRPr="00B44B19">
              <w:rPr>
                <w:rFonts w:eastAsia="Times New Roman" w:cs="Times New Roman"/>
                <w:iCs/>
                <w:noProof/>
                <w:sz w:val="20"/>
              </w:rPr>
              <w:t xml:space="preserve">02 </w:t>
            </w:r>
            <w:r w:rsidR="00883E38" w:rsidRPr="00B44B19">
              <w:rPr>
                <w:rFonts w:eastAsia="Times New Roman" w:cs="Times New Roman"/>
                <w:iCs/>
                <w:noProof/>
                <w:sz w:val="20"/>
              </w:rPr>
              <w:t>–</w:t>
            </w:r>
            <w:r w:rsidRPr="00B44B19">
              <w:rPr>
                <w:rFonts w:eastAsia="Times New Roman" w:cs="Times New Roman"/>
                <w:iCs/>
                <w:noProof/>
                <w:sz w:val="20"/>
              </w:rPr>
              <w:t xml:space="preserve"> Miestai</w:t>
            </w:r>
            <w:r w:rsidR="00883E38" w:rsidRPr="00B44B19">
              <w:rPr>
                <w:rFonts w:eastAsia="Times New Roman" w:cs="Times New Roman"/>
                <w:iCs/>
                <w:noProof/>
                <w:sz w:val="20"/>
              </w:rPr>
              <w:t xml:space="preserve">, miesteliai ir priemiesčiai </w:t>
            </w:r>
          </w:p>
        </w:tc>
        <w:tc>
          <w:tcPr>
            <w:tcW w:w="1624" w:type="dxa"/>
            <w:tcBorders>
              <w:top w:val="single" w:sz="12" w:space="0" w:color="auto"/>
              <w:bottom w:val="single" w:sz="4" w:space="0" w:color="auto"/>
            </w:tcBorders>
          </w:tcPr>
          <w:p w14:paraId="37D5998C" w14:textId="16694616" w:rsidR="00055C93" w:rsidRPr="00B44B19" w:rsidRDefault="00D84372" w:rsidP="00D84372">
            <w:pPr>
              <w:jc w:val="right"/>
              <w:rPr>
                <w:rFonts w:eastAsia="Times New Roman" w:cs="Times New Roman"/>
                <w:b/>
                <w:iCs/>
                <w:noProof/>
                <w:sz w:val="20"/>
              </w:rPr>
            </w:pPr>
            <w:r w:rsidRPr="00B44B19">
              <w:rPr>
                <w:rFonts w:cs="Times New Roman"/>
                <w:color w:val="000000"/>
                <w:sz w:val="20"/>
                <w:szCs w:val="20"/>
              </w:rPr>
              <w:t>12 766 667</w:t>
            </w:r>
            <w:r w:rsidR="00883E38" w:rsidRPr="00B44B19">
              <w:rPr>
                <w:rFonts w:eastAsia="Times New Roman" w:cs="Times New Roman"/>
                <w:iCs/>
                <w:noProof/>
                <w:sz w:val="20"/>
              </w:rPr>
              <w:t>,00</w:t>
            </w:r>
          </w:p>
        </w:tc>
      </w:tr>
      <w:tr w:rsidR="00C9421F" w:rsidRPr="00B44B19" w14:paraId="0F1DD2CC" w14:textId="77777777" w:rsidTr="00D27D25">
        <w:tc>
          <w:tcPr>
            <w:tcW w:w="1098" w:type="dxa"/>
            <w:vMerge/>
          </w:tcPr>
          <w:p w14:paraId="28522F35" w14:textId="77777777" w:rsidR="00C9421F" w:rsidRPr="00B44B19" w:rsidRDefault="00C9421F" w:rsidP="009C6543">
            <w:pPr>
              <w:rPr>
                <w:rFonts w:eastAsia="Times New Roman" w:cs="Times New Roman"/>
                <w:b/>
                <w:iCs/>
                <w:noProof/>
                <w:sz w:val="20"/>
              </w:rPr>
            </w:pPr>
          </w:p>
        </w:tc>
        <w:tc>
          <w:tcPr>
            <w:tcW w:w="849" w:type="dxa"/>
            <w:vMerge/>
          </w:tcPr>
          <w:p w14:paraId="73E9BD1F" w14:textId="77777777" w:rsidR="00C9421F" w:rsidRPr="00B44B19" w:rsidRDefault="00C9421F" w:rsidP="009C6543">
            <w:pPr>
              <w:rPr>
                <w:rFonts w:eastAsia="Times New Roman" w:cs="Times New Roman"/>
                <w:b/>
                <w:iCs/>
                <w:noProof/>
                <w:sz w:val="20"/>
              </w:rPr>
            </w:pPr>
          </w:p>
        </w:tc>
        <w:tc>
          <w:tcPr>
            <w:tcW w:w="1132" w:type="dxa"/>
            <w:vMerge/>
          </w:tcPr>
          <w:p w14:paraId="6909494B" w14:textId="77777777" w:rsidR="00C9421F" w:rsidRPr="00B44B19" w:rsidRDefault="00C9421F" w:rsidP="009C6543">
            <w:pPr>
              <w:rPr>
                <w:rFonts w:eastAsia="Times New Roman" w:cs="Times New Roman"/>
                <w:b/>
                <w:iCs/>
                <w:noProof/>
                <w:sz w:val="20"/>
              </w:rPr>
            </w:pPr>
          </w:p>
        </w:tc>
        <w:tc>
          <w:tcPr>
            <w:tcW w:w="1134" w:type="dxa"/>
            <w:vMerge/>
          </w:tcPr>
          <w:p w14:paraId="244DA5FA" w14:textId="77777777" w:rsidR="00C9421F" w:rsidRPr="00B44B19" w:rsidRDefault="00C9421F" w:rsidP="009C6543">
            <w:pPr>
              <w:rPr>
                <w:rFonts w:eastAsia="Times New Roman" w:cs="Times New Roman"/>
                <w:b/>
                <w:iCs/>
                <w:noProof/>
                <w:sz w:val="20"/>
              </w:rPr>
            </w:pPr>
          </w:p>
        </w:tc>
        <w:tc>
          <w:tcPr>
            <w:tcW w:w="3929" w:type="dxa"/>
            <w:tcBorders>
              <w:top w:val="single" w:sz="4" w:space="0" w:color="auto"/>
            </w:tcBorders>
          </w:tcPr>
          <w:p w14:paraId="51E53898" w14:textId="77777777" w:rsidR="00C9421F" w:rsidRPr="00B44B19" w:rsidRDefault="00C9421F" w:rsidP="00830FA9">
            <w:pPr>
              <w:rPr>
                <w:rFonts w:eastAsia="Times New Roman" w:cs="Times New Roman"/>
                <w:iCs/>
                <w:noProof/>
                <w:sz w:val="20"/>
              </w:rPr>
            </w:pPr>
            <w:r w:rsidRPr="00B44B19">
              <w:rPr>
                <w:rFonts w:eastAsia="Times New Roman" w:cs="Times New Roman"/>
                <w:iCs/>
                <w:noProof/>
                <w:sz w:val="20"/>
              </w:rPr>
              <w:t>08 – Kitų rūšių tikslinės teritorijos</w:t>
            </w:r>
          </w:p>
        </w:tc>
        <w:tc>
          <w:tcPr>
            <w:tcW w:w="1624" w:type="dxa"/>
            <w:tcBorders>
              <w:top w:val="single" w:sz="4" w:space="0" w:color="auto"/>
            </w:tcBorders>
          </w:tcPr>
          <w:p w14:paraId="61B8F1B7" w14:textId="5FB27A0E" w:rsidR="00C9421F" w:rsidRPr="00B44B19" w:rsidRDefault="00D84372" w:rsidP="00D84372">
            <w:pPr>
              <w:jc w:val="right"/>
              <w:rPr>
                <w:rFonts w:eastAsia="Times New Roman" w:cs="Times New Roman"/>
                <w:iCs/>
                <w:noProof/>
                <w:sz w:val="20"/>
              </w:rPr>
            </w:pPr>
            <w:r w:rsidRPr="00B44B19">
              <w:rPr>
                <w:rFonts w:cs="Times New Roman"/>
                <w:color w:val="000000"/>
                <w:sz w:val="20"/>
                <w:szCs w:val="20"/>
              </w:rPr>
              <w:t>12 766 667</w:t>
            </w:r>
            <w:r w:rsidR="00C9421F" w:rsidRPr="00B44B19">
              <w:rPr>
                <w:rFonts w:eastAsia="Times New Roman" w:cs="Times New Roman"/>
                <w:iCs/>
                <w:noProof/>
                <w:sz w:val="20"/>
              </w:rPr>
              <w:t>,00</w:t>
            </w:r>
          </w:p>
        </w:tc>
      </w:tr>
      <w:tr w:rsidR="00C9421F" w:rsidRPr="00B44B19" w14:paraId="0C7766E0" w14:textId="77777777" w:rsidTr="00D27D25">
        <w:tc>
          <w:tcPr>
            <w:tcW w:w="1098" w:type="dxa"/>
            <w:vMerge/>
          </w:tcPr>
          <w:p w14:paraId="062CA35F" w14:textId="77777777" w:rsidR="00C9421F" w:rsidRPr="00B44B19" w:rsidRDefault="00C9421F" w:rsidP="009C6543">
            <w:pPr>
              <w:rPr>
                <w:rFonts w:eastAsia="Times New Roman" w:cs="Times New Roman"/>
                <w:b/>
                <w:iCs/>
                <w:noProof/>
                <w:sz w:val="20"/>
              </w:rPr>
            </w:pPr>
          </w:p>
        </w:tc>
        <w:tc>
          <w:tcPr>
            <w:tcW w:w="849" w:type="dxa"/>
            <w:vMerge/>
          </w:tcPr>
          <w:p w14:paraId="79841D05" w14:textId="77777777" w:rsidR="00C9421F" w:rsidRPr="00B44B19" w:rsidRDefault="00C9421F" w:rsidP="009C6543">
            <w:pPr>
              <w:rPr>
                <w:rFonts w:eastAsia="Times New Roman" w:cs="Times New Roman"/>
                <w:b/>
                <w:iCs/>
                <w:noProof/>
                <w:sz w:val="20"/>
              </w:rPr>
            </w:pPr>
          </w:p>
        </w:tc>
        <w:tc>
          <w:tcPr>
            <w:tcW w:w="1132" w:type="dxa"/>
            <w:vMerge/>
          </w:tcPr>
          <w:p w14:paraId="5C5A3AC8" w14:textId="77777777" w:rsidR="00C9421F" w:rsidRPr="00B44B19" w:rsidRDefault="00C9421F" w:rsidP="009C6543">
            <w:pPr>
              <w:rPr>
                <w:rFonts w:eastAsia="Times New Roman" w:cs="Times New Roman"/>
                <w:b/>
                <w:iCs/>
                <w:noProof/>
                <w:sz w:val="20"/>
              </w:rPr>
            </w:pPr>
          </w:p>
        </w:tc>
        <w:tc>
          <w:tcPr>
            <w:tcW w:w="1134" w:type="dxa"/>
            <w:vMerge/>
          </w:tcPr>
          <w:p w14:paraId="0C8DEF23" w14:textId="77777777" w:rsidR="00C9421F" w:rsidRPr="00B44B19" w:rsidRDefault="00C9421F" w:rsidP="009C6543">
            <w:pPr>
              <w:rPr>
                <w:rFonts w:eastAsia="Times New Roman" w:cs="Times New Roman"/>
                <w:b/>
                <w:iCs/>
                <w:noProof/>
                <w:sz w:val="20"/>
              </w:rPr>
            </w:pPr>
          </w:p>
        </w:tc>
        <w:tc>
          <w:tcPr>
            <w:tcW w:w="3929" w:type="dxa"/>
            <w:tcBorders>
              <w:top w:val="single" w:sz="4" w:space="0" w:color="auto"/>
            </w:tcBorders>
          </w:tcPr>
          <w:p w14:paraId="3C1BDB72" w14:textId="77777777" w:rsidR="00C9421F" w:rsidRPr="00B44B19" w:rsidRDefault="00C9421F" w:rsidP="00830FA9">
            <w:pPr>
              <w:rPr>
                <w:rFonts w:eastAsia="Times New Roman" w:cs="Times New Roman"/>
                <w:iCs/>
                <w:noProof/>
                <w:sz w:val="20"/>
              </w:rPr>
            </w:pPr>
            <w:r w:rsidRPr="00B44B19">
              <w:rPr>
                <w:rFonts w:eastAsia="Times New Roman" w:cs="Times New Roman"/>
                <w:iCs/>
                <w:noProof/>
                <w:sz w:val="20"/>
              </w:rPr>
              <w:t xml:space="preserve">33 </w:t>
            </w:r>
            <w:r w:rsidR="004168C9" w:rsidRPr="00B44B19">
              <w:rPr>
                <w:rFonts w:eastAsia="Times New Roman" w:cs="Times New Roman"/>
                <w:iCs/>
                <w:noProof/>
                <w:sz w:val="20"/>
              </w:rPr>
              <w:t>–</w:t>
            </w:r>
            <w:r w:rsidRPr="00B44B19">
              <w:rPr>
                <w:rFonts w:eastAsia="Times New Roman" w:cs="Times New Roman"/>
                <w:iCs/>
                <w:noProof/>
                <w:sz w:val="20"/>
              </w:rPr>
              <w:t xml:space="preserve"> Nesiorientuojant į teritoriškumą</w:t>
            </w:r>
          </w:p>
        </w:tc>
        <w:tc>
          <w:tcPr>
            <w:tcW w:w="1624" w:type="dxa"/>
            <w:tcBorders>
              <w:top w:val="single" w:sz="4" w:space="0" w:color="auto"/>
            </w:tcBorders>
          </w:tcPr>
          <w:p w14:paraId="13BE7411" w14:textId="5D01508A" w:rsidR="00C9421F" w:rsidRPr="00B44B19" w:rsidRDefault="00D84372" w:rsidP="00D84372">
            <w:pPr>
              <w:jc w:val="right"/>
              <w:rPr>
                <w:rFonts w:eastAsia="Times New Roman" w:cs="Times New Roman"/>
                <w:b/>
                <w:iCs/>
                <w:noProof/>
                <w:sz w:val="20"/>
              </w:rPr>
            </w:pPr>
            <w:r w:rsidRPr="00B44B19">
              <w:rPr>
                <w:rFonts w:cs="Times New Roman"/>
                <w:color w:val="000000"/>
                <w:sz w:val="20"/>
                <w:szCs w:val="20"/>
              </w:rPr>
              <w:t>116 365 138</w:t>
            </w:r>
            <w:r w:rsidR="00C9421F" w:rsidRPr="00B44B19">
              <w:rPr>
                <w:rFonts w:eastAsia="Times New Roman" w:cs="Times New Roman"/>
                <w:iCs/>
                <w:noProof/>
                <w:sz w:val="20"/>
              </w:rPr>
              <w:t>,00</w:t>
            </w:r>
          </w:p>
        </w:tc>
      </w:tr>
    </w:tbl>
    <w:p w14:paraId="5BB269C7" w14:textId="77777777" w:rsidR="00055C93" w:rsidRPr="00B44B19" w:rsidRDefault="00055C93" w:rsidP="00821D6E">
      <w:pPr>
        <w:spacing w:after="0" w:line="240" w:lineRule="auto"/>
        <w:rPr>
          <w:rFonts w:eastAsia="Times New Roman" w:cs="Times New Roman"/>
          <w:iCs/>
          <w:noProof/>
          <w:sz w:val="20"/>
          <w:szCs w:val="20"/>
        </w:rPr>
      </w:pPr>
    </w:p>
    <w:tbl>
      <w:tblPr>
        <w:tblStyle w:val="Lentelstinklelis27"/>
        <w:tblW w:w="9747" w:type="dxa"/>
        <w:tblLook w:val="04A0" w:firstRow="1" w:lastRow="0" w:firstColumn="1" w:lastColumn="0" w:noHBand="0" w:noVBand="1"/>
      </w:tblPr>
      <w:tblGrid>
        <w:gridCol w:w="1101"/>
        <w:gridCol w:w="850"/>
        <w:gridCol w:w="1134"/>
        <w:gridCol w:w="1134"/>
        <w:gridCol w:w="4021"/>
        <w:gridCol w:w="1507"/>
      </w:tblGrid>
      <w:tr w:rsidR="00E053E4" w:rsidRPr="00B44B19" w14:paraId="5ED31E94" w14:textId="77777777" w:rsidTr="008E75B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690DF4B" w14:textId="77777777" w:rsidR="00E053E4" w:rsidRPr="00B44B19" w:rsidRDefault="00E053E4" w:rsidP="00E053E4">
            <w:pPr>
              <w:rPr>
                <w:b/>
                <w:iCs/>
                <w:noProof/>
                <w:sz w:val="20"/>
                <w:szCs w:val="20"/>
              </w:rPr>
            </w:pPr>
            <w:r w:rsidRPr="00B44B19">
              <w:rPr>
                <w:b/>
                <w:noProof/>
                <w:sz w:val="20"/>
                <w:szCs w:val="20"/>
              </w:rPr>
              <w:t xml:space="preserve">7 lentelė. 7 matmuo. </w:t>
            </w:r>
            <w:r w:rsidRPr="00B44B19">
              <w:rPr>
                <w:b/>
                <w:sz w:val="20"/>
                <w:szCs w:val="20"/>
              </w:rPr>
              <w:t>ESF+, ERPF, S</w:t>
            </w:r>
            <w:r w:rsidR="004168C9" w:rsidRPr="00B44B19">
              <w:rPr>
                <w:b/>
                <w:sz w:val="20"/>
                <w:szCs w:val="20"/>
              </w:rPr>
              <w:t>a</w:t>
            </w:r>
            <w:r w:rsidRPr="00B44B19">
              <w:rPr>
                <w:b/>
                <w:sz w:val="20"/>
                <w:szCs w:val="20"/>
              </w:rPr>
              <w:t>F ir TPF lyčių lygybės matmuo</w:t>
            </w:r>
          </w:p>
        </w:tc>
      </w:tr>
      <w:tr w:rsidR="00E053E4" w:rsidRPr="00B44B19" w14:paraId="6EFAA2AB" w14:textId="77777777" w:rsidTr="0074794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4907E7" w14:textId="77777777" w:rsidR="00E053E4" w:rsidRPr="00B44B19" w:rsidRDefault="00E053E4" w:rsidP="00E053E4">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C11796" w14:textId="77777777" w:rsidR="00E053E4" w:rsidRPr="00B44B19" w:rsidRDefault="00E053E4" w:rsidP="00E053E4">
            <w:pPr>
              <w:jc w:val="center"/>
              <w:rPr>
                <w:b/>
                <w:iCs/>
                <w:noProof/>
                <w:sz w:val="20"/>
              </w:rPr>
            </w:pPr>
            <w:r w:rsidRPr="00B44B19">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B2BA32" w14:textId="77777777" w:rsidR="00E053E4" w:rsidRPr="00B44B19" w:rsidRDefault="00E053E4" w:rsidP="00E053E4">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9DEECC" w14:textId="77777777" w:rsidR="00E053E4" w:rsidRPr="00B44B19" w:rsidRDefault="00E053E4" w:rsidP="00E053E4">
            <w:pPr>
              <w:jc w:val="center"/>
              <w:rPr>
                <w:b/>
                <w:iCs/>
                <w:noProof/>
                <w:sz w:val="20"/>
              </w:rPr>
            </w:pPr>
            <w:r w:rsidRPr="00B44B19">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DEF1C1" w14:textId="77777777" w:rsidR="00E053E4" w:rsidRPr="00B44B19" w:rsidRDefault="00E053E4" w:rsidP="00E053E4">
            <w:pPr>
              <w:jc w:val="center"/>
              <w:rPr>
                <w:b/>
                <w:iCs/>
                <w:noProof/>
                <w:sz w:val="20"/>
              </w:rPr>
            </w:pPr>
            <w:r w:rsidRPr="00B44B19">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ED7DA9" w14:textId="77777777" w:rsidR="00E053E4" w:rsidRPr="00B44B19" w:rsidRDefault="00E053E4" w:rsidP="00E053E4">
            <w:pPr>
              <w:jc w:val="center"/>
              <w:rPr>
                <w:b/>
                <w:iCs/>
                <w:noProof/>
                <w:sz w:val="20"/>
              </w:rPr>
            </w:pPr>
            <w:r w:rsidRPr="00B44B19">
              <w:rPr>
                <w:b/>
                <w:noProof/>
                <w:sz w:val="20"/>
              </w:rPr>
              <w:t>Suma (EUR)</w:t>
            </w:r>
          </w:p>
        </w:tc>
      </w:tr>
      <w:tr w:rsidR="00E053E4" w:rsidRPr="00B44B19" w14:paraId="2F0525A4" w14:textId="77777777" w:rsidTr="0074794D">
        <w:trPr>
          <w:trHeight w:val="490"/>
        </w:trPr>
        <w:tc>
          <w:tcPr>
            <w:tcW w:w="1101" w:type="dxa"/>
            <w:tcBorders>
              <w:top w:val="single" w:sz="12" w:space="0" w:color="auto"/>
            </w:tcBorders>
          </w:tcPr>
          <w:p w14:paraId="203F7801" w14:textId="77777777" w:rsidR="00E053E4" w:rsidRPr="00B44B19" w:rsidRDefault="00E053E4" w:rsidP="00E053E4">
            <w:pPr>
              <w:jc w:val="center"/>
              <w:rPr>
                <w:iCs/>
                <w:noProof/>
                <w:sz w:val="20"/>
              </w:rPr>
            </w:pPr>
            <w:r w:rsidRPr="00B44B19">
              <w:rPr>
                <w:iCs/>
                <w:noProof/>
                <w:sz w:val="20"/>
              </w:rPr>
              <w:t>2.</w:t>
            </w:r>
          </w:p>
        </w:tc>
        <w:tc>
          <w:tcPr>
            <w:tcW w:w="850" w:type="dxa"/>
            <w:tcBorders>
              <w:top w:val="single" w:sz="12" w:space="0" w:color="auto"/>
            </w:tcBorders>
          </w:tcPr>
          <w:p w14:paraId="3DEB77D5" w14:textId="77777777" w:rsidR="00E053E4" w:rsidRPr="00B44B19" w:rsidRDefault="00E053E4" w:rsidP="00E053E4">
            <w:pPr>
              <w:jc w:val="center"/>
              <w:rPr>
                <w:iCs/>
                <w:noProof/>
                <w:sz w:val="20"/>
              </w:rPr>
            </w:pPr>
            <w:r w:rsidRPr="00B44B19">
              <w:rPr>
                <w:iCs/>
                <w:noProof/>
                <w:sz w:val="20"/>
              </w:rPr>
              <w:t>SaF</w:t>
            </w:r>
          </w:p>
        </w:tc>
        <w:tc>
          <w:tcPr>
            <w:tcW w:w="1134" w:type="dxa"/>
            <w:tcBorders>
              <w:top w:val="single" w:sz="12" w:space="0" w:color="auto"/>
            </w:tcBorders>
          </w:tcPr>
          <w:p w14:paraId="0D610C6F" w14:textId="77777777" w:rsidR="00E053E4" w:rsidRPr="00B44B19" w:rsidRDefault="00E053E4" w:rsidP="00E053E4">
            <w:pPr>
              <w:rPr>
                <w:iCs/>
                <w:noProof/>
                <w:sz w:val="20"/>
              </w:rPr>
            </w:pPr>
            <w:r w:rsidRPr="00B44B19">
              <w:rPr>
                <w:iCs/>
                <w:noProof/>
                <w:sz w:val="20"/>
              </w:rPr>
              <w:t>Visa Lietuva</w:t>
            </w:r>
          </w:p>
        </w:tc>
        <w:tc>
          <w:tcPr>
            <w:tcW w:w="1134" w:type="dxa"/>
            <w:tcBorders>
              <w:top w:val="single" w:sz="12" w:space="0" w:color="auto"/>
            </w:tcBorders>
          </w:tcPr>
          <w:p w14:paraId="5F26C0EF" w14:textId="77777777" w:rsidR="00E053E4" w:rsidRPr="00B44B19" w:rsidRDefault="00E053E4" w:rsidP="00E053E4">
            <w:pPr>
              <w:jc w:val="center"/>
              <w:rPr>
                <w:iCs/>
                <w:noProof/>
                <w:sz w:val="20"/>
              </w:rPr>
            </w:pPr>
            <w:r w:rsidRPr="00B44B19">
              <w:rPr>
                <w:iCs/>
                <w:noProof/>
                <w:sz w:val="20"/>
              </w:rPr>
              <w:t>2.7.</w:t>
            </w:r>
          </w:p>
        </w:tc>
        <w:tc>
          <w:tcPr>
            <w:tcW w:w="4021" w:type="dxa"/>
            <w:tcBorders>
              <w:top w:val="single" w:sz="12" w:space="0" w:color="auto"/>
            </w:tcBorders>
          </w:tcPr>
          <w:p w14:paraId="6CC47D05" w14:textId="77777777" w:rsidR="00E053E4" w:rsidRPr="00B44B19" w:rsidRDefault="00E053E4" w:rsidP="004168C9">
            <w:pPr>
              <w:rPr>
                <w:iCs/>
                <w:noProof/>
                <w:sz w:val="20"/>
              </w:rPr>
            </w:pPr>
            <w:r w:rsidRPr="00B44B19">
              <w:rPr>
                <w:iCs/>
                <w:noProof/>
                <w:sz w:val="20"/>
              </w:rPr>
              <w:t xml:space="preserve">03 </w:t>
            </w:r>
            <w:r w:rsidR="004168C9" w:rsidRPr="00B44B19">
              <w:rPr>
                <w:iCs/>
                <w:noProof/>
                <w:sz w:val="20"/>
              </w:rPr>
              <w:t>–</w:t>
            </w:r>
            <w:r w:rsidRPr="00B44B19">
              <w:rPr>
                <w:iCs/>
                <w:noProof/>
                <w:sz w:val="20"/>
              </w:rPr>
              <w:t xml:space="preserve"> Neutralumas lyties požiūriu</w:t>
            </w:r>
          </w:p>
        </w:tc>
        <w:tc>
          <w:tcPr>
            <w:tcW w:w="1507" w:type="dxa"/>
            <w:tcBorders>
              <w:top w:val="single" w:sz="12" w:space="0" w:color="auto"/>
            </w:tcBorders>
          </w:tcPr>
          <w:p w14:paraId="48FD0DBF" w14:textId="0F984BA9" w:rsidR="00E053E4" w:rsidRPr="00B44B19" w:rsidRDefault="00D84372" w:rsidP="00D84372">
            <w:pPr>
              <w:jc w:val="right"/>
              <w:rPr>
                <w:iCs/>
                <w:noProof/>
                <w:sz w:val="20"/>
              </w:rPr>
            </w:pPr>
            <w:r w:rsidRPr="00B44B19">
              <w:rPr>
                <w:color w:val="000000"/>
                <w:sz w:val="20"/>
                <w:szCs w:val="20"/>
              </w:rPr>
              <w:t>141 898 472</w:t>
            </w:r>
            <w:r w:rsidR="00E053E4" w:rsidRPr="00B44B19">
              <w:rPr>
                <w:iCs/>
                <w:noProof/>
                <w:sz w:val="20"/>
              </w:rPr>
              <w:t>,00</w:t>
            </w:r>
          </w:p>
        </w:tc>
      </w:tr>
    </w:tbl>
    <w:p w14:paraId="7381C277" w14:textId="77777777" w:rsidR="009952B9" w:rsidRPr="00B44B19" w:rsidRDefault="009952B9">
      <w:pPr>
        <w:rPr>
          <w:rFonts w:cs="Times New Roman"/>
          <w:bCs/>
          <w:szCs w:val="24"/>
        </w:rPr>
      </w:pPr>
      <w:r w:rsidRPr="00B44B19">
        <w:rPr>
          <w:rFonts w:cs="Times New Roman"/>
          <w:bCs/>
          <w:szCs w:val="24"/>
        </w:rPr>
        <w:br w:type="page"/>
      </w:r>
    </w:p>
    <w:p w14:paraId="540E50C8" w14:textId="77777777" w:rsidR="009952B9" w:rsidRPr="00B44B19" w:rsidRDefault="009952B9" w:rsidP="00D456C1">
      <w:pPr>
        <w:pStyle w:val="Antrat1"/>
      </w:pPr>
      <w:bookmarkStart w:id="31" w:name="_Toc223435422"/>
      <w:r w:rsidRPr="00B44B19">
        <w:lastRenderedPageBreak/>
        <w:t>3 Prio</w:t>
      </w:r>
      <w:r w:rsidR="00344476" w:rsidRPr="00B44B19">
        <w:t>ritetas. Geriau sujungta Lietuva</w:t>
      </w:r>
      <w:bookmarkEnd w:id="31"/>
    </w:p>
    <w:p w14:paraId="443DE4BE" w14:textId="77777777" w:rsidR="00D5397E" w:rsidRPr="00B44B19" w:rsidRDefault="00B533DF" w:rsidP="00D456C1">
      <w:pPr>
        <w:pStyle w:val="Antrat2"/>
      </w:pPr>
      <w:bookmarkStart w:id="32" w:name="_Toc223435423"/>
      <w:r w:rsidRPr="00B44B19">
        <w:t>Konkretus uždavinys – 3.1</w:t>
      </w:r>
      <w:r w:rsidR="00D5397E" w:rsidRPr="00B44B19">
        <w:t xml:space="preserve">. </w:t>
      </w:r>
      <w:r w:rsidR="001B4E21" w:rsidRPr="00B44B19">
        <w:rPr>
          <w:lang w:bidi="lt-LT"/>
        </w:rPr>
        <w:t>Plėtoti klimato kaitai atsparų, pažangų, saugų, tvarų ir įvairiarūšį TEN-T</w:t>
      </w:r>
      <w:bookmarkEnd w:id="32"/>
    </w:p>
    <w:p w14:paraId="157D2FEF" w14:textId="77777777" w:rsidR="00D5397E" w:rsidRPr="00B44B19" w:rsidRDefault="00D5397E" w:rsidP="001E5B12">
      <w:pPr>
        <w:pStyle w:val="Stilius1"/>
        <w:rPr>
          <w:rFonts w:cs="Times New Roman"/>
        </w:rPr>
      </w:pPr>
      <w:r w:rsidRPr="00B44B19">
        <w:rPr>
          <w:rFonts w:cs="Times New Roman"/>
        </w:rPr>
        <w:t>Įgyvendinamos veiklos</w:t>
      </w:r>
    </w:p>
    <w:tbl>
      <w:tblPr>
        <w:tblStyle w:val="Lentelstinklelis"/>
        <w:tblW w:w="9634" w:type="dxa"/>
        <w:tblLook w:val="04A0" w:firstRow="1" w:lastRow="0" w:firstColumn="1" w:lastColumn="0" w:noHBand="0" w:noVBand="1"/>
      </w:tblPr>
      <w:tblGrid>
        <w:gridCol w:w="9634"/>
      </w:tblGrid>
      <w:tr w:rsidR="00D5397E" w:rsidRPr="00B44B19" w14:paraId="6AC5DE89" w14:textId="77777777" w:rsidTr="00D27D25">
        <w:tc>
          <w:tcPr>
            <w:tcW w:w="9634" w:type="dxa"/>
          </w:tcPr>
          <w:p w14:paraId="7EA48E4E" w14:textId="77777777" w:rsidR="005F0F10" w:rsidRPr="00B44B19" w:rsidRDefault="00040174" w:rsidP="0095093F">
            <w:pPr>
              <w:snapToGrid w:val="0"/>
              <w:spacing w:before="60" w:after="60"/>
              <w:jc w:val="both"/>
              <w:rPr>
                <w:rFonts w:eastAsia="Times New Roman" w:cs="Times New Roman"/>
                <w:szCs w:val="24"/>
              </w:rPr>
            </w:pPr>
            <w:r w:rsidRPr="00B44B19">
              <w:rPr>
                <w:rFonts w:eastAsia="Times New Roman" w:cs="Times New Roman"/>
                <w:sz w:val="22"/>
                <w:szCs w:val="24"/>
              </w:rPr>
              <w:t xml:space="preserve">Lietuvos junglumo su ES šalimis problematikos analizė SPP atskleidė, kad nė vienas TEN-T geležinkelių ruožas ir didesnė dalis automobilių kelių neatitinka jiems Europos </w:t>
            </w:r>
            <w:r w:rsidR="00A27016" w:rsidRPr="00B44B19">
              <w:rPr>
                <w:rFonts w:eastAsia="Times New Roman" w:cs="Times New Roman"/>
                <w:sz w:val="22"/>
                <w:szCs w:val="24"/>
              </w:rPr>
              <w:t xml:space="preserve">Parlamento </w:t>
            </w:r>
            <w:r w:rsidRPr="00B44B19">
              <w:rPr>
                <w:rFonts w:eastAsia="Times New Roman" w:cs="Times New Roman"/>
                <w:sz w:val="22"/>
                <w:szCs w:val="24"/>
              </w:rPr>
              <w:t>ir Tarybos reglamente (ES) Nr. 1315/2013 dėl Sąjungos transeuropinio transporto tinklo plėtros gairių, (toliau – TEN-T gairės) numatytų visų reikalavimų, todėl, siekiant atitikti nustatytus reikalavimus ir kuo labiau išnaudoti bendrą šalies susisiekimo potencialą, labiau integruotis į ES transporto tinklą, sudarant sąlygas subalansuotai šalies regionų plėtrai, būtina investuoti į nepertraukiamą transportavimo grandinę TEN-T gerinant skirtingų transporto rūšių junglumą Lietuvos teritorijoje, kuris yra pasiekiamas per transporto infrastruktūros techninių parametrų gerinimą, trūkstamų grandžių ar jungčių tiesimą.</w:t>
            </w:r>
          </w:p>
          <w:p w14:paraId="09F4462B" w14:textId="4C84D6A5" w:rsidR="005F0F10" w:rsidRPr="00B44B19" w:rsidRDefault="005F0F10" w:rsidP="0095093F">
            <w:pPr>
              <w:snapToGrid w:val="0"/>
              <w:spacing w:before="60" w:after="60"/>
              <w:jc w:val="both"/>
              <w:rPr>
                <w:rFonts w:eastAsia="Times New Roman" w:cs="Times New Roman"/>
                <w:sz w:val="22"/>
                <w:szCs w:val="24"/>
                <w:lang w:eastAsia="lt-LT"/>
              </w:rPr>
            </w:pPr>
            <w:r w:rsidRPr="00B44B19">
              <w:rPr>
                <w:rFonts w:eastAsia="Times New Roman" w:cs="Times New Roman"/>
                <w:bCs/>
                <w:sz w:val="22"/>
                <w:szCs w:val="24"/>
              </w:rPr>
              <w:t>G</w:t>
            </w:r>
            <w:r w:rsidRPr="00B44B19">
              <w:rPr>
                <w:rFonts w:eastAsia="Times New Roman" w:cs="Times New Roman"/>
                <w:bCs/>
                <w:sz w:val="22"/>
                <w:szCs w:val="24"/>
                <w:lang w:eastAsia="lt-LT"/>
              </w:rPr>
              <w:t xml:space="preserve">eležinkelio elektrifikacija siekiama padidinti Lietuvos saugumą ir integraciją į ES bendrąją rinką, sumažinti priklausomybę nuo iškastinio kuro ir pereiti prie atsinaujinančių energijos išteklių naudojimo geležinkelių subsektoriuje. </w:t>
            </w:r>
            <w:r w:rsidR="00DA4342" w:rsidRPr="00B44B19">
              <w:rPr>
                <w:rFonts w:eastAsia="Times New Roman" w:cs="Times New Roman"/>
                <w:bCs/>
                <w:sz w:val="22"/>
                <w:szCs w:val="24"/>
                <w:lang w:eastAsia="lt-LT"/>
              </w:rPr>
              <w:t>Įgyvendinus</w:t>
            </w:r>
            <w:r w:rsidR="00A27016" w:rsidRPr="00B44B19">
              <w:rPr>
                <w:rFonts w:eastAsia="Times New Roman" w:cs="Times New Roman"/>
                <w:bCs/>
                <w:sz w:val="22"/>
                <w:szCs w:val="24"/>
                <w:lang w:eastAsia="lt-LT"/>
              </w:rPr>
              <w:t>Veiksmų</w:t>
            </w:r>
            <w:r w:rsidRPr="00B44B19">
              <w:rPr>
                <w:rFonts w:eastAsia="Times New Roman" w:cs="Times New Roman"/>
                <w:bCs/>
                <w:sz w:val="22"/>
                <w:szCs w:val="24"/>
                <w:lang w:eastAsia="lt-LT"/>
              </w:rPr>
              <w:t xml:space="preserve"> </w:t>
            </w:r>
            <w:r w:rsidR="00A27016" w:rsidRPr="00B44B19">
              <w:rPr>
                <w:rFonts w:eastAsia="Times New Roman" w:cs="Times New Roman"/>
                <w:bCs/>
                <w:sz w:val="22"/>
                <w:szCs w:val="24"/>
                <w:lang w:eastAsia="lt-LT"/>
              </w:rPr>
              <w:t>p</w:t>
            </w:r>
            <w:r w:rsidRPr="00B44B19">
              <w:rPr>
                <w:rFonts w:eastAsia="Times New Roman" w:cs="Times New Roman"/>
                <w:bCs/>
                <w:sz w:val="22"/>
                <w:szCs w:val="24"/>
                <w:lang w:eastAsia="lt-LT"/>
              </w:rPr>
              <w:t xml:space="preserve">rogramos projektus, užbaigus ruožo Kaišiadorys–Klaipėda elektrifikavimą elektrifikuotas geležinkelių tinklas sudarys apie </w:t>
            </w:r>
            <w:r w:rsidR="004F74A1" w:rsidRPr="00B44B19">
              <w:rPr>
                <w:rFonts w:eastAsia="Times New Roman" w:cs="Times New Roman"/>
                <w:bCs/>
                <w:sz w:val="22"/>
                <w:szCs w:val="24"/>
                <w:lang w:eastAsia="lt-LT"/>
              </w:rPr>
              <w:t>25</w:t>
            </w:r>
            <w:r w:rsidRPr="00B44B19">
              <w:rPr>
                <w:rFonts w:eastAsia="Times New Roman" w:cs="Times New Roman"/>
                <w:bCs/>
                <w:sz w:val="22"/>
                <w:szCs w:val="24"/>
                <w:lang w:eastAsia="lt-LT"/>
              </w:rPr>
              <w:t xml:space="preserve"> % viso geležinkelių tinklo Lietuvoje. </w:t>
            </w:r>
            <w:r w:rsidR="009B0FE9" w:rsidRPr="00B44B19">
              <w:rPr>
                <w:rFonts w:eastAsia="Times New Roman" w:cs="Times New Roman"/>
                <w:bCs/>
                <w:sz w:val="22"/>
                <w:szCs w:val="24"/>
                <w:lang w:eastAsia="lt-LT"/>
              </w:rPr>
              <w:t>Š</w:t>
            </w:r>
            <w:r w:rsidRPr="00B44B19">
              <w:rPr>
                <w:rFonts w:eastAsia="Times New Roman" w:cs="Times New Roman"/>
                <w:bCs/>
                <w:sz w:val="22"/>
                <w:szCs w:val="24"/>
                <w:lang w:eastAsia="lt-LT"/>
              </w:rPr>
              <w:t xml:space="preserve">alies geležinkeliais elektrine </w:t>
            </w:r>
            <w:r w:rsidR="00234D13" w:rsidRPr="00B44B19">
              <w:rPr>
                <w:rFonts w:eastAsia="Times New Roman" w:cs="Times New Roman"/>
                <w:bCs/>
                <w:sz w:val="22"/>
                <w:szCs w:val="24"/>
                <w:lang w:eastAsia="lt-LT"/>
              </w:rPr>
              <w:t xml:space="preserve">trauka traukiamais traukiniais </w:t>
            </w:r>
            <w:r w:rsidRPr="00B44B19">
              <w:rPr>
                <w:rFonts w:eastAsia="Times New Roman" w:cs="Times New Roman"/>
                <w:bCs/>
                <w:sz w:val="22"/>
                <w:szCs w:val="24"/>
                <w:lang w:eastAsia="lt-LT"/>
              </w:rPr>
              <w:t xml:space="preserve">vežami tik keleiviai, tačiau įgyvendinus minėtą elektrifikacijos projektą elektrine </w:t>
            </w:r>
            <w:r w:rsidR="00234D13" w:rsidRPr="00B44B19">
              <w:rPr>
                <w:rFonts w:eastAsia="Times New Roman" w:cs="Times New Roman"/>
                <w:bCs/>
                <w:sz w:val="22"/>
                <w:szCs w:val="24"/>
                <w:lang w:eastAsia="lt-LT"/>
              </w:rPr>
              <w:t>trauka traukiamais traukiniais</w:t>
            </w:r>
            <w:r w:rsidRPr="00B44B19">
              <w:rPr>
                <w:rFonts w:eastAsia="Times New Roman" w:cs="Times New Roman"/>
                <w:bCs/>
                <w:sz w:val="22"/>
                <w:szCs w:val="24"/>
                <w:lang w:eastAsia="lt-LT"/>
              </w:rPr>
              <w:t xml:space="preserve"> galės būti gabenami ir kroviniai. </w:t>
            </w:r>
            <w:r w:rsidR="00234D13" w:rsidRPr="00B44B19">
              <w:rPr>
                <w:rFonts w:eastAsia="Times New Roman" w:cs="Times New Roman"/>
                <w:bCs/>
                <w:sz w:val="22"/>
                <w:szCs w:val="24"/>
                <w:lang w:eastAsia="lt-LT"/>
              </w:rPr>
              <w:t xml:space="preserve">Ketinama </w:t>
            </w:r>
            <w:r w:rsidR="00040174" w:rsidRPr="00B44B19">
              <w:rPr>
                <w:rFonts w:eastAsia="Times New Roman" w:cs="Times New Roman"/>
                <w:bCs/>
                <w:sz w:val="22"/>
                <w:szCs w:val="24"/>
                <w:lang w:eastAsia="lt-LT"/>
              </w:rPr>
              <w:t>toliau vystyti ir tobulinti geležinkelių infrastruktūrą, plėtojant įvairiarūšio vežimo galimybes, didinant šio transporto patrauklumą keleiviams, užtikrinant eismo saugą ir mažinant fatališkų nelaimingų atsitikimų skaičių. Be to, iki 2025 m. bus atnaujin</w:t>
            </w:r>
            <w:r w:rsidR="004F74A1" w:rsidRPr="00B44B19">
              <w:rPr>
                <w:rFonts w:eastAsia="Times New Roman" w:cs="Times New Roman"/>
                <w:bCs/>
                <w:sz w:val="22"/>
                <w:szCs w:val="24"/>
                <w:lang w:eastAsia="lt-LT"/>
              </w:rPr>
              <w:t>a</w:t>
            </w:r>
            <w:r w:rsidR="00040174" w:rsidRPr="00B44B19">
              <w:rPr>
                <w:rFonts w:eastAsia="Times New Roman" w:cs="Times New Roman"/>
                <w:bCs/>
                <w:sz w:val="22"/>
                <w:szCs w:val="24"/>
                <w:lang w:eastAsia="lt-LT"/>
              </w:rPr>
              <w:t xml:space="preserve">mas geležinkelio </w:t>
            </w:r>
            <w:r w:rsidR="00234D13" w:rsidRPr="00B44B19">
              <w:rPr>
                <w:rFonts w:eastAsia="Times New Roman" w:cs="Times New Roman"/>
                <w:bCs/>
                <w:sz w:val="22"/>
                <w:szCs w:val="24"/>
                <w:lang w:eastAsia="lt-LT"/>
              </w:rPr>
              <w:t>riedmenų, traukiamų elektrine</w:t>
            </w:r>
            <w:r w:rsidR="00040174" w:rsidRPr="00B44B19">
              <w:rPr>
                <w:rFonts w:eastAsia="Times New Roman" w:cs="Times New Roman"/>
                <w:bCs/>
                <w:sz w:val="22"/>
                <w:szCs w:val="24"/>
                <w:lang w:eastAsia="lt-LT"/>
              </w:rPr>
              <w:t xml:space="preserve"> trauka, parkas, jiems įsigyti bus naudojami vežėjo nuosavi finansavimo šaltiniai arba paskolos.</w:t>
            </w:r>
            <w:r w:rsidRPr="00B44B19">
              <w:rPr>
                <w:rFonts w:eastAsia="Times New Roman" w:cs="Times New Roman"/>
                <w:bCs/>
                <w:sz w:val="22"/>
                <w:szCs w:val="24"/>
                <w:lang w:eastAsia="lt-LT"/>
              </w:rPr>
              <w:t xml:space="preserve"> </w:t>
            </w:r>
          </w:p>
          <w:p w14:paraId="7B348E99" w14:textId="77777777" w:rsidR="005F0F10" w:rsidRPr="00B44B19" w:rsidRDefault="005F0F10" w:rsidP="0095093F">
            <w:pPr>
              <w:spacing w:before="60" w:after="60"/>
              <w:jc w:val="both"/>
              <w:rPr>
                <w:rFonts w:eastAsia="Times New Roman" w:cs="Times New Roman"/>
                <w:bCs/>
                <w:sz w:val="22"/>
                <w:lang w:eastAsia="lt-LT"/>
              </w:rPr>
            </w:pPr>
            <w:r w:rsidRPr="00B44B19">
              <w:rPr>
                <w:rFonts w:eastAsia="Times New Roman" w:cs="Times New Roman"/>
                <w:bCs/>
                <w:sz w:val="22"/>
              </w:rPr>
              <w:t>Kalbant apie TEN-T kelių tinklą, nors Lietuva per pastaruosius metus pasiekė reikšmingą pažangą, baigtumo rodikliai vis dar yra žemesni negu kitų ES šalių vidurkis ir neatitinka kai kurių TEN-T techninių parametrų reikalavimų. Vienas</w:t>
            </w:r>
            <w:r w:rsidRPr="00B44B19">
              <w:rPr>
                <w:rFonts w:eastAsia="Times New Roman" w:cs="Times New Roman"/>
                <w:bCs/>
                <w:sz w:val="22"/>
                <w:lang w:eastAsia="lt-LT"/>
              </w:rPr>
              <w:t xml:space="preserve"> kertinių TEN-T koridorių – kelias </w:t>
            </w:r>
            <w:r w:rsidR="00040174" w:rsidRPr="00B44B19">
              <w:rPr>
                <w:rFonts w:eastAsia="Times New Roman" w:cs="Times New Roman"/>
                <w:bCs/>
                <w:sz w:val="22"/>
                <w:lang w:eastAsia="lt-LT"/>
              </w:rPr>
              <w:t xml:space="preserve">„Via Baltica“, </w:t>
            </w:r>
            <w:r w:rsidRPr="00B44B19">
              <w:rPr>
                <w:rFonts w:eastAsia="Times New Roman" w:cs="Times New Roman"/>
                <w:bCs/>
                <w:sz w:val="22"/>
                <w:lang w:eastAsia="lt-LT"/>
              </w:rPr>
              <w:t xml:space="preserve">jungiantis kelio E67 ruožą nuo Varšuvos iki Talino, Lietuvoje atskiruose ruožuose artėja prie pralaidumo ribos, o saugumo požiūriu yra avaringiausias magistralinis kelias Lietuvoje. Esama kelių infrastruktūra neatitinka TEN-T būtinų infrastruktūros komponentų, tokių kaip aplinkkeliai, atskiros TEN-T jungtys su regionais, pagrindiniais miestais ir ekonominiais centrais, o kelių transporto informacinių technologijų sistemos neatitinka ES modernių transporto informacinių sistemų lygio. Taip pat 20,35 % Lietuvos TEN-T magistralinių kelių suminio kelio dangos būklės indekso (DBI) reikšmė viršija leistinas ribas. Nepakankami projektiniai TEN-T kelių techniniai parametrai, kurie tenkintų kelių transporto apkrovimo reikalavimus, užtikrintų tinkamą TEN-T pralaidumą ir eismo saugumą. </w:t>
            </w:r>
          </w:p>
          <w:p w14:paraId="2A4F7F84" w14:textId="77777777" w:rsidR="00364026" w:rsidRPr="00B44B19" w:rsidRDefault="005F0F10" w:rsidP="0095093F">
            <w:pPr>
              <w:spacing w:before="60" w:after="60"/>
              <w:jc w:val="both"/>
              <w:rPr>
                <w:rFonts w:eastAsia="Times New Roman" w:cs="Times New Roman"/>
                <w:bCs/>
                <w:sz w:val="22"/>
                <w:lang w:eastAsia="lt-LT"/>
              </w:rPr>
            </w:pPr>
            <w:r w:rsidRPr="00B44B19">
              <w:rPr>
                <w:rFonts w:eastAsia="Times New Roman" w:cs="Times New Roman"/>
                <w:bCs/>
                <w:sz w:val="22"/>
                <w:lang w:eastAsia="lt-LT"/>
              </w:rPr>
              <w:t>Nors žūčių keliuose skaičius mažėja, jis išlieka didesnis nei ES vidurkis. 20</w:t>
            </w:r>
            <w:r w:rsidR="00DC18A7" w:rsidRPr="00B44B19">
              <w:rPr>
                <w:rFonts w:eastAsia="Times New Roman" w:cs="Times New Roman"/>
                <w:bCs/>
                <w:sz w:val="22"/>
                <w:lang w:eastAsia="lt-LT"/>
              </w:rPr>
              <w:t>20</w:t>
            </w:r>
            <w:r w:rsidRPr="00B44B19">
              <w:rPr>
                <w:rFonts w:eastAsia="Times New Roman" w:cs="Times New Roman"/>
                <w:bCs/>
                <w:sz w:val="22"/>
                <w:lang w:eastAsia="lt-LT"/>
              </w:rPr>
              <w:t xml:space="preserve"> m. Europos Sąjungos automobilių keliuose žuvo daugiau kaip </w:t>
            </w:r>
            <w:r w:rsidR="00DC18A7" w:rsidRPr="00B44B19">
              <w:rPr>
                <w:rFonts w:eastAsia="Times New Roman" w:cs="Times New Roman"/>
                <w:bCs/>
                <w:sz w:val="22"/>
                <w:lang w:eastAsia="lt-LT"/>
              </w:rPr>
              <w:t>18</w:t>
            </w:r>
            <w:r w:rsidR="00821D6E" w:rsidRPr="00B44B19">
              <w:rPr>
                <w:rFonts w:eastAsia="Times New Roman" w:cs="Times New Roman"/>
                <w:bCs/>
                <w:sz w:val="22"/>
                <w:lang w:eastAsia="lt-LT"/>
              </w:rPr>
              <w:t> </w:t>
            </w:r>
            <w:r w:rsidRPr="00B44B19">
              <w:rPr>
                <w:rFonts w:eastAsia="Times New Roman" w:cs="Times New Roman"/>
                <w:bCs/>
                <w:sz w:val="22"/>
                <w:lang w:eastAsia="lt-LT"/>
              </w:rPr>
              <w:t>000 žmonių (šis skaičius prilygsta vidutinio dydžio miesto gyventojų skaičiui) ir sužeista ne mažiau kaip 1</w:t>
            </w:r>
            <w:r w:rsidR="00821D6E" w:rsidRPr="00B44B19">
              <w:rPr>
                <w:rFonts w:eastAsia="Times New Roman" w:cs="Times New Roman"/>
                <w:bCs/>
                <w:sz w:val="22"/>
                <w:lang w:eastAsia="lt-LT"/>
              </w:rPr>
              <w:t> </w:t>
            </w:r>
            <w:r w:rsidRPr="00B44B19">
              <w:rPr>
                <w:rFonts w:eastAsia="Times New Roman" w:cs="Times New Roman"/>
                <w:bCs/>
                <w:sz w:val="22"/>
                <w:lang w:eastAsia="lt-LT"/>
              </w:rPr>
              <w:t>300</w:t>
            </w:r>
            <w:r w:rsidR="00821D6E" w:rsidRPr="00B44B19">
              <w:rPr>
                <w:rFonts w:eastAsia="Times New Roman" w:cs="Times New Roman"/>
                <w:bCs/>
                <w:sz w:val="22"/>
                <w:lang w:eastAsia="lt-LT"/>
              </w:rPr>
              <w:t> </w:t>
            </w:r>
            <w:r w:rsidRPr="00B44B19">
              <w:rPr>
                <w:rFonts w:eastAsia="Times New Roman" w:cs="Times New Roman"/>
                <w:bCs/>
                <w:sz w:val="22"/>
                <w:lang w:eastAsia="lt-LT"/>
              </w:rPr>
              <w:t>000 žmonių. 20</w:t>
            </w:r>
            <w:r w:rsidR="00DC18A7" w:rsidRPr="00B44B19">
              <w:rPr>
                <w:rFonts w:eastAsia="Times New Roman" w:cs="Times New Roman"/>
                <w:bCs/>
                <w:sz w:val="22"/>
                <w:lang w:eastAsia="lt-LT"/>
              </w:rPr>
              <w:t>20</w:t>
            </w:r>
            <w:r w:rsidRPr="00B44B19">
              <w:rPr>
                <w:rFonts w:eastAsia="Times New Roman" w:cs="Times New Roman"/>
                <w:bCs/>
                <w:sz w:val="22"/>
                <w:lang w:eastAsia="lt-LT"/>
              </w:rPr>
              <w:t xml:space="preserve"> m. Lietuvos automobilių keliuose žuvo 17</w:t>
            </w:r>
            <w:r w:rsidR="00DC18A7" w:rsidRPr="00B44B19">
              <w:rPr>
                <w:rFonts w:eastAsia="Times New Roman" w:cs="Times New Roman"/>
                <w:bCs/>
                <w:sz w:val="22"/>
                <w:lang w:eastAsia="lt-LT"/>
              </w:rPr>
              <w:t>5</w:t>
            </w:r>
            <w:r w:rsidRPr="00B44B19">
              <w:rPr>
                <w:rFonts w:eastAsia="Times New Roman" w:cs="Times New Roman"/>
                <w:bCs/>
                <w:sz w:val="22"/>
                <w:lang w:eastAsia="lt-LT"/>
              </w:rPr>
              <w:t xml:space="preserve"> eismo dalyv</w:t>
            </w:r>
            <w:r w:rsidR="00401413" w:rsidRPr="00B44B19">
              <w:rPr>
                <w:rFonts w:eastAsia="Times New Roman" w:cs="Times New Roman"/>
                <w:bCs/>
                <w:sz w:val="22"/>
                <w:lang w:eastAsia="lt-LT"/>
              </w:rPr>
              <w:t>iai</w:t>
            </w:r>
            <w:r w:rsidRPr="00B44B19">
              <w:rPr>
                <w:rFonts w:eastAsia="Times New Roman" w:cs="Times New Roman"/>
                <w:bCs/>
                <w:sz w:val="22"/>
                <w:lang w:eastAsia="lt-LT"/>
              </w:rPr>
              <w:t>. Negana to, 20</w:t>
            </w:r>
            <w:r w:rsidR="00DC18A7" w:rsidRPr="00B44B19">
              <w:rPr>
                <w:rFonts w:eastAsia="Times New Roman" w:cs="Times New Roman"/>
                <w:bCs/>
                <w:sz w:val="22"/>
                <w:lang w:eastAsia="lt-LT"/>
              </w:rPr>
              <w:t>20</w:t>
            </w:r>
            <w:r w:rsidRPr="00B44B19">
              <w:rPr>
                <w:rFonts w:eastAsia="Times New Roman" w:cs="Times New Roman"/>
                <w:bCs/>
                <w:sz w:val="22"/>
                <w:lang w:eastAsia="lt-LT"/>
              </w:rPr>
              <w:t xml:space="preserve"> m. duomenimis dėl visų 20</w:t>
            </w:r>
            <w:r w:rsidR="00DC18A7" w:rsidRPr="00B44B19">
              <w:rPr>
                <w:rFonts w:eastAsia="Times New Roman" w:cs="Times New Roman"/>
                <w:bCs/>
                <w:sz w:val="22"/>
                <w:lang w:eastAsia="lt-LT"/>
              </w:rPr>
              <w:t>20</w:t>
            </w:r>
            <w:r w:rsidRPr="00B44B19">
              <w:rPr>
                <w:rFonts w:eastAsia="Times New Roman" w:cs="Times New Roman"/>
                <w:bCs/>
                <w:sz w:val="22"/>
                <w:lang w:eastAsia="lt-LT"/>
              </w:rPr>
              <w:t xml:space="preserve"> m. įvykusių eismo įvykių Lietuvos valstybė patyrė apie </w:t>
            </w:r>
            <w:r w:rsidR="00DC18A7" w:rsidRPr="00B44B19">
              <w:rPr>
                <w:rFonts w:eastAsia="Times New Roman" w:cs="Times New Roman"/>
                <w:bCs/>
                <w:sz w:val="22"/>
                <w:lang w:eastAsia="lt-LT"/>
              </w:rPr>
              <w:t>150,76</w:t>
            </w:r>
            <w:r w:rsidRPr="00B44B19">
              <w:rPr>
                <w:rFonts w:eastAsia="Times New Roman" w:cs="Times New Roman"/>
                <w:bCs/>
                <w:sz w:val="22"/>
                <w:lang w:eastAsia="lt-LT"/>
              </w:rPr>
              <w:t xml:space="preserve"> mln. EUR žalą. Atsižvelgiant į tai, Programos investicijomis bus didinamas transporto infrastruktūros saugumas ir eismo sauga, taip prisidedant </w:t>
            </w:r>
            <w:r w:rsidR="00364026" w:rsidRPr="00B44B19">
              <w:rPr>
                <w:rFonts w:eastAsia="Times New Roman" w:cs="Times New Roman"/>
                <w:bCs/>
                <w:sz w:val="22"/>
                <w:lang w:eastAsia="lt-LT"/>
              </w:rPr>
              <w:t>prie NPP užsibrėžtų tikslų pasiekimo</w:t>
            </w:r>
            <w:r w:rsidR="00BF0B5E" w:rsidRPr="00B44B19">
              <w:rPr>
                <w:rFonts w:eastAsia="Times New Roman" w:cs="Times New Roman"/>
                <w:bCs/>
                <w:sz w:val="22"/>
                <w:lang w:eastAsia="lt-LT"/>
              </w:rPr>
              <w:t xml:space="preserve"> eismo saugumo srityje</w:t>
            </w:r>
            <w:r w:rsidR="00364026" w:rsidRPr="00B44B19">
              <w:rPr>
                <w:rFonts w:eastAsia="Times New Roman" w:cs="Times New Roman"/>
                <w:bCs/>
                <w:sz w:val="22"/>
                <w:lang w:eastAsia="lt-LT"/>
              </w:rPr>
              <w:t>.</w:t>
            </w:r>
          </w:p>
          <w:p w14:paraId="46DBAF36" w14:textId="77777777" w:rsidR="005F0F10" w:rsidRPr="00B44B19" w:rsidRDefault="005F0F10" w:rsidP="0095093F">
            <w:pPr>
              <w:spacing w:before="60" w:after="60"/>
              <w:jc w:val="both"/>
              <w:rPr>
                <w:rFonts w:eastAsia="Times New Roman" w:cs="Times New Roman"/>
                <w:bCs/>
                <w:sz w:val="22"/>
                <w:lang w:eastAsia="lt-LT"/>
              </w:rPr>
            </w:pPr>
            <w:r w:rsidRPr="00B44B19">
              <w:rPr>
                <w:rFonts w:eastAsia="Times New Roman" w:cs="Times New Roman"/>
                <w:bCs/>
                <w:sz w:val="22"/>
                <w:lang w:eastAsia="lt-LT"/>
              </w:rPr>
              <w:t>2010–20</w:t>
            </w:r>
            <w:r w:rsidR="00DC18A7" w:rsidRPr="00B44B19">
              <w:rPr>
                <w:rFonts w:eastAsia="Times New Roman" w:cs="Times New Roman"/>
                <w:bCs/>
                <w:sz w:val="22"/>
                <w:lang w:eastAsia="lt-LT"/>
              </w:rPr>
              <w:t>20</w:t>
            </w:r>
            <w:r w:rsidRPr="00B44B19">
              <w:rPr>
                <w:rFonts w:eastAsia="Times New Roman" w:cs="Times New Roman"/>
                <w:bCs/>
                <w:sz w:val="22"/>
                <w:lang w:eastAsia="lt-LT"/>
              </w:rPr>
              <w:t xml:space="preserve"> m. kelių transportas turėjo didžiausią socialinį-ekonominį poveikį, juo keliavo daugiausiai keleivių. </w:t>
            </w:r>
            <w:r w:rsidR="00401413" w:rsidRPr="00B44B19">
              <w:rPr>
                <w:rFonts w:eastAsia="Times New Roman" w:cs="Times New Roman"/>
                <w:bCs/>
                <w:sz w:val="22"/>
                <w:lang w:eastAsia="lt-LT"/>
              </w:rPr>
              <w:t xml:space="preserve">Augant bendram kelių transporto </w:t>
            </w:r>
            <w:r w:rsidRPr="00B44B19">
              <w:rPr>
                <w:rFonts w:eastAsia="Times New Roman" w:cs="Times New Roman"/>
                <w:bCs/>
                <w:sz w:val="22"/>
                <w:lang w:eastAsia="lt-LT"/>
              </w:rPr>
              <w:t>eismo intensyvumui, taip pat didėja ir keliamas triukšmas, todėl modernizuojant transporto infrastruktūrą didelio eismo intensyvumo ruožuose, kuriuose viršijami triukšmo ribiniai dydžiai, bus įrengtos triukšmo prevencijos ir mažinimo priemonės.</w:t>
            </w:r>
          </w:p>
          <w:p w14:paraId="74DD96A9" w14:textId="77777777" w:rsidR="005F0F10" w:rsidRPr="00B44B19" w:rsidRDefault="00401413" w:rsidP="0095093F">
            <w:pPr>
              <w:spacing w:before="60" w:after="60"/>
              <w:jc w:val="both"/>
              <w:rPr>
                <w:rFonts w:eastAsia="Times New Roman" w:cs="Times New Roman"/>
                <w:noProof/>
                <w:sz w:val="22"/>
              </w:rPr>
            </w:pPr>
            <w:r w:rsidRPr="00B44B19">
              <w:rPr>
                <w:rFonts w:eastAsia="Times New Roman" w:cs="Times New Roman"/>
                <w:bCs/>
                <w:sz w:val="22"/>
                <w:lang w:eastAsia="lt-LT"/>
              </w:rPr>
              <w:t xml:space="preserve">Atsižvelgiant į ES transporto politikos daugiarūšiškumo skatinimo tikslus, plėtojant TEN-T pagrindinį tinklą, Lietuvai svarbu optimizuoti daugiarūšio transporto logistikos grandinių veiklą, </w:t>
            </w:r>
            <w:bookmarkStart w:id="33" w:name="_Hlk88994896"/>
            <w:r w:rsidRPr="00B44B19">
              <w:rPr>
                <w:rFonts w:eastAsia="Times New Roman" w:cs="Times New Roman"/>
                <w:bCs/>
                <w:sz w:val="22"/>
                <w:lang w:eastAsia="lt-LT"/>
              </w:rPr>
              <w:t>įskaitant platesnį efektyviau išteklius naudojančio transporto rūšių naudojimą</w:t>
            </w:r>
            <w:bookmarkEnd w:id="33"/>
            <w:r w:rsidRPr="00B44B19">
              <w:rPr>
                <w:rFonts w:eastAsia="Times New Roman" w:cs="Times New Roman"/>
                <w:bCs/>
                <w:sz w:val="22"/>
                <w:lang w:eastAsia="lt-LT"/>
              </w:rPr>
              <w:t>. Programos investicijos bus nukreiptos efektyvioms nepertraukiamoms transportavimo grandinėms TEN-T užtikrinti bei skirtingų transporto rūšių sąveikumui Lietuvos teritorijoje gerinti.</w:t>
            </w:r>
          </w:p>
          <w:p w14:paraId="73E9CEBF" w14:textId="77777777" w:rsidR="005F0F10" w:rsidRPr="00B44B19" w:rsidRDefault="00401413" w:rsidP="0095093F">
            <w:pPr>
              <w:spacing w:before="60" w:after="60"/>
              <w:jc w:val="both"/>
              <w:rPr>
                <w:rFonts w:eastAsia="Times New Roman" w:cs="Times New Roman"/>
                <w:noProof/>
                <w:sz w:val="22"/>
              </w:rPr>
            </w:pPr>
            <w:r w:rsidRPr="00B44B19">
              <w:rPr>
                <w:rFonts w:eastAsia="Times New Roman" w:cs="Times New Roman"/>
                <w:sz w:val="22"/>
              </w:rPr>
              <w:lastRenderedPageBreak/>
              <w:t>Veiksmų rūšys, siekiant užtikrinti efektyvią, nepertraukiamą transportavimo grandinę TEN-T, gerinti skirtingų transporto rūšių junglumą Lietuvos teritorijoje ir užtikrinti, kad TEN-T infrastruktūra Lietuvoje atitiktų TEN-T gairėse nustatytus reikalavimus:</w:t>
            </w:r>
          </w:p>
          <w:p w14:paraId="29CDB3C6" w14:textId="27746650" w:rsidR="004F74A1" w:rsidRPr="00B44B19" w:rsidRDefault="004F74A1" w:rsidP="004F74A1">
            <w:pPr>
              <w:spacing w:before="60" w:after="60"/>
              <w:jc w:val="both"/>
              <w:rPr>
                <w:rFonts w:cs="Times New Roman"/>
                <w:i/>
                <w:color w:val="000000"/>
                <w:szCs w:val="24"/>
              </w:rPr>
            </w:pPr>
            <w:r w:rsidRPr="00B44B19">
              <w:rPr>
                <w:rFonts w:cs="Times New Roman"/>
                <w:b/>
                <w:noProof/>
                <w:sz w:val="22"/>
              </w:rPr>
              <w:t>T</w:t>
            </w:r>
            <w:r w:rsidRPr="00B44B19">
              <w:rPr>
                <w:rFonts w:cs="Times New Roman"/>
                <w:b/>
                <w:bCs/>
                <w:noProof/>
                <w:sz w:val="22"/>
              </w:rPr>
              <w:t>obulinti ir plėtoti TEN-T geležinkelių infrastruktūrą</w:t>
            </w:r>
            <w:r w:rsidRPr="00B44B19">
              <w:rPr>
                <w:rFonts w:cs="Times New Roman"/>
                <w:bCs/>
                <w:noProof/>
                <w:sz w:val="22"/>
              </w:rPr>
              <w:t xml:space="preserve">, </w:t>
            </w:r>
            <w:r w:rsidRPr="00B44B19">
              <w:rPr>
                <w:rFonts w:cs="Times New Roman"/>
                <w:noProof/>
                <w:sz w:val="22"/>
              </w:rPr>
              <w:t>gerinti aplinkosauginius parametrus ir didinti eismo saugą TEN-T geležinkeliuose, užtikrinant sąveiką su kitų transporto rūšių TEN-T infrastruktūra.</w:t>
            </w:r>
            <w:r w:rsidRPr="00B44B19">
              <w:rPr>
                <w:rFonts w:cs="Times New Roman"/>
                <w:iCs/>
                <w:sz w:val="22"/>
              </w:rPr>
              <w:t xml:space="preserve"> Numatoma tobulinti pagrindinių geležinkelių linijų infrastruktūrą, nutiesti geležinkelių kontaktinį tinklą Kaišiadorys–Klaipėda ruože remiantis LTIPP projektų iki 2030 m. sąraše identifikuotais prioritetiniais ruožais</w:t>
            </w:r>
            <w:r w:rsidRPr="00B44B19">
              <w:rPr>
                <w:rFonts w:cs="Times New Roman"/>
                <w:iCs/>
                <w:strike/>
                <w:sz w:val="22"/>
              </w:rPr>
              <w:t xml:space="preserve">. </w:t>
            </w:r>
            <w:r w:rsidRPr="00B44B19">
              <w:rPr>
                <w:rFonts w:cs="Times New Roman"/>
                <w:iCs/>
                <w:spacing w:val="-2"/>
                <w:sz w:val="22"/>
                <w:lang w:eastAsia="lt-LT"/>
              </w:rPr>
              <w:t>Siekiant gerinti eismo saugą ir sumažinti žmonių sveikatai žalingą triukšmo poveikį, numatomas eismo saugos priemonių, prireikus eliminuojant vieno lygio sankryžas, įrengiant pėsčiųjų perėjas ir rekonstruojant pėsčiųjų tiltus per geležinkelį, ir triukšmo mažinimo priemonių, tokių kaip triukšmą slopinančių sienučių, geležinkelių tinkle įrengimas. Taip pat, siekiant</w:t>
            </w:r>
            <w:r w:rsidR="00214188" w:rsidRPr="00B44B19">
              <w:rPr>
                <w:rFonts w:cs="Times New Roman"/>
                <w:iCs/>
                <w:spacing w:val="-2"/>
                <w:sz w:val="22"/>
                <w:lang w:eastAsia="lt-LT"/>
              </w:rPr>
              <w:t xml:space="preserve"> padaryti patogesnį ir saugesnį įlipimą į vagoną ir išlipimą iš jo visiems traukinio keleiviams, </w:t>
            </w:r>
            <w:r w:rsidRPr="00B44B19">
              <w:rPr>
                <w:rFonts w:cs="Times New Roman"/>
                <w:iCs/>
                <w:spacing w:val="-2"/>
                <w:sz w:val="22"/>
                <w:lang w:eastAsia="lt-LT"/>
              </w:rPr>
              <w:t>numatoma</w:t>
            </w:r>
            <w:r w:rsidR="00214188" w:rsidRPr="00B44B19">
              <w:rPr>
                <w:rFonts w:cs="Times New Roman"/>
                <w:iCs/>
                <w:spacing w:val="-2"/>
                <w:sz w:val="22"/>
                <w:lang w:eastAsia="lt-LT"/>
              </w:rPr>
              <w:t xml:space="preserve"> </w:t>
            </w:r>
            <w:r w:rsidRPr="00B44B19">
              <w:rPr>
                <w:rFonts w:cs="Times New Roman"/>
                <w:iCs/>
                <w:spacing w:val="-2"/>
                <w:sz w:val="22"/>
                <w:lang w:eastAsia="lt-LT"/>
              </w:rPr>
              <w:t>rekonstruoti peronus geležinkelių stotyse</w:t>
            </w:r>
            <w:r w:rsidR="00214188" w:rsidRPr="00B44B19">
              <w:rPr>
                <w:rFonts w:cs="Times New Roman"/>
                <w:iCs/>
                <w:spacing w:val="-2"/>
                <w:sz w:val="22"/>
                <w:lang w:eastAsia="lt-LT"/>
              </w:rPr>
              <w:t>, juos pritaikant vienalygei prieigai</w:t>
            </w:r>
            <w:r w:rsidRPr="00B44B19">
              <w:rPr>
                <w:rFonts w:cs="Times New Roman"/>
                <w:iCs/>
                <w:spacing w:val="-2"/>
                <w:sz w:val="22"/>
                <w:lang w:eastAsia="lt-LT"/>
              </w:rPr>
              <w:t xml:space="preserve">. Siekiant </w:t>
            </w:r>
            <w:r w:rsidRPr="00B44B19">
              <w:rPr>
                <w:rFonts w:cs="Times New Roman"/>
                <w:sz w:val="22"/>
              </w:rPr>
              <w:t>neelektrifikuotose geležinkelio linijose eksploatuoti elektrinius-baterinius traukinius (</w:t>
            </w:r>
            <w:r w:rsidRPr="00B44B19">
              <w:rPr>
                <w:rFonts w:cs="Times New Roman"/>
                <w:i/>
                <w:iCs/>
                <w:sz w:val="22"/>
              </w:rPr>
              <w:t>BEMU riedmenys</w:t>
            </w:r>
            <w:r w:rsidRPr="00B44B19">
              <w:rPr>
                <w:rFonts w:cs="Times New Roman"/>
                <w:sz w:val="22"/>
              </w:rPr>
              <w:t>), geležinkelio stotyse numatoma įrengti traukinių įkrovimo infrastruktūrą.</w:t>
            </w:r>
            <w:r w:rsidRPr="00B44B19">
              <w:rPr>
                <w:rFonts w:cs="Times New Roman"/>
                <w:iCs/>
                <w:spacing w:val="-2"/>
                <w:sz w:val="22"/>
                <w:lang w:eastAsia="lt-LT"/>
              </w:rPr>
              <w:t xml:space="preserve"> Prioritetą numatoma teikti geležinkelių kontaktinio tinklo nutiesimui bei saugos ir aplinkosaugos priemonių diegimui. Taip pat bus atsižvelgiama į TEN-T pagrindinio geležinkelių tinklo tobulinimo ir plėtros poreikį, siekiant užtikrinti, kad TEN-T pagrindinio geležinkelių tinklo infrastruktūra Lietuvoje atitiktų TEN-T gairėse nustatytus reikalavimus. </w:t>
            </w:r>
            <w:r w:rsidRPr="00B44B19">
              <w:rPr>
                <w:rFonts w:cs="Times New Roman"/>
                <w:iCs/>
                <w:sz w:val="22"/>
              </w:rPr>
              <w:t>Ši veikla bus įgyvendinama visoje Lietuvoje.</w:t>
            </w:r>
          </w:p>
          <w:p w14:paraId="77DE3B1A" w14:textId="77777777" w:rsidR="005F0F10" w:rsidRPr="00B44B19" w:rsidRDefault="005F0F10" w:rsidP="0095093F">
            <w:pPr>
              <w:spacing w:before="60" w:after="60"/>
              <w:jc w:val="both"/>
              <w:rPr>
                <w:rFonts w:eastAsia="Times New Roman" w:cs="Times New Roman"/>
                <w:iCs/>
                <w:sz w:val="22"/>
              </w:rPr>
            </w:pPr>
            <w:bookmarkStart w:id="34" w:name="_Hlk43992565"/>
            <w:r w:rsidRPr="00B44B19">
              <w:rPr>
                <w:rFonts w:eastAsia="Times New Roman" w:cs="Times New Roman"/>
                <w:b/>
                <w:noProof/>
                <w:sz w:val="22"/>
              </w:rPr>
              <w:t>T</w:t>
            </w:r>
            <w:r w:rsidRPr="00B44B19">
              <w:rPr>
                <w:rFonts w:eastAsia="Times New Roman" w:cs="Times New Roman"/>
                <w:b/>
                <w:bCs/>
                <w:noProof/>
                <w:sz w:val="22"/>
              </w:rPr>
              <w:t>obulinti ir plėtoti TEN-T kelių tinklą</w:t>
            </w:r>
            <w:r w:rsidRPr="00B44B19">
              <w:rPr>
                <w:rFonts w:eastAsia="Times New Roman" w:cs="Times New Roman"/>
                <w:sz w:val="16"/>
                <w:szCs w:val="16"/>
              </w:rPr>
              <w:t>,</w:t>
            </w:r>
            <w:r w:rsidRPr="00B44B19">
              <w:rPr>
                <w:rFonts w:eastAsia="Times New Roman" w:cs="Times New Roman"/>
                <w:noProof/>
                <w:sz w:val="22"/>
              </w:rPr>
              <w:t xml:space="preserve"> </w:t>
            </w:r>
            <w:bookmarkEnd w:id="34"/>
            <w:r w:rsidR="00B22871" w:rsidRPr="00B44B19">
              <w:rPr>
                <w:rFonts w:eastAsia="Times New Roman" w:cs="Times New Roman"/>
                <w:sz w:val="22"/>
              </w:rPr>
              <w:t xml:space="preserve">drauge </w:t>
            </w:r>
            <w:r w:rsidRPr="00B44B19">
              <w:rPr>
                <w:rFonts w:eastAsia="Times New Roman" w:cs="Times New Roman"/>
                <w:noProof/>
                <w:sz w:val="22"/>
              </w:rPr>
              <w:t>dieg</w:t>
            </w:r>
            <w:r w:rsidR="00D7316D" w:rsidRPr="00B44B19">
              <w:rPr>
                <w:rFonts w:eastAsia="Times New Roman" w:cs="Times New Roman"/>
                <w:noProof/>
                <w:sz w:val="22"/>
              </w:rPr>
              <w:t>iant</w:t>
            </w:r>
            <w:r w:rsidRPr="00B44B19">
              <w:rPr>
                <w:rFonts w:eastAsia="Times New Roman" w:cs="Times New Roman"/>
                <w:noProof/>
                <w:sz w:val="22"/>
              </w:rPr>
              <w:t xml:space="preserve"> </w:t>
            </w:r>
            <w:r w:rsidR="007633AE" w:rsidRPr="00B44B19">
              <w:rPr>
                <w:rFonts w:eastAsia="Times New Roman" w:cs="Times New Roman"/>
                <w:noProof/>
                <w:sz w:val="22"/>
              </w:rPr>
              <w:t>ITS</w:t>
            </w:r>
            <w:r w:rsidRPr="00B44B19">
              <w:rPr>
                <w:rFonts w:eastAsia="Times New Roman" w:cs="Times New Roman"/>
                <w:noProof/>
                <w:sz w:val="22"/>
              </w:rPr>
              <w:t xml:space="preserve">, eismo saugumo ir </w:t>
            </w:r>
            <w:r w:rsidR="008C4CF8" w:rsidRPr="00B44B19">
              <w:rPr>
                <w:rFonts w:eastAsia="Times New Roman" w:cs="Times New Roman"/>
                <w:sz w:val="22"/>
              </w:rPr>
              <w:t>aplinkosaugos</w:t>
            </w:r>
            <w:r w:rsidRPr="00B44B19">
              <w:rPr>
                <w:rFonts w:eastAsia="Times New Roman" w:cs="Times New Roman"/>
                <w:noProof/>
                <w:sz w:val="22"/>
              </w:rPr>
              <w:t xml:space="preserve"> priemones, kad būtų pasiekti TEN-T kelių techniniai parametrai, kurie tenkintų kelių transporto apkrovimo reikalavimus, užtikrintų tinkamą TEN-T eismo saugumą ir pralaidumą.</w:t>
            </w:r>
            <w:r w:rsidRPr="00B44B19">
              <w:rPr>
                <w:rFonts w:eastAsia="Times New Roman" w:cs="Times New Roman"/>
                <w:iCs/>
                <w:sz w:val="22"/>
              </w:rPr>
              <w:t xml:space="preserve"> Numatoma tęsti TEN-T kelių transporto infrastruktūros modernizavimą ir plėtrą intensyviausiuose ir avaringiausiuose kelių ruožuose, kelių transporto eismo saugos ir aplinkosauginių parametrų gerinimą, </w:t>
            </w:r>
            <w:r w:rsidR="00794836" w:rsidRPr="00B44B19">
              <w:rPr>
                <w:rFonts w:eastAsia="Times New Roman" w:cs="Times New Roman"/>
                <w:iCs/>
                <w:sz w:val="22"/>
              </w:rPr>
              <w:t>TEN-T kelių</w:t>
            </w:r>
            <w:bookmarkStart w:id="35" w:name="_Hlk104384420"/>
            <w:r w:rsidR="00794836" w:rsidRPr="00B44B19">
              <w:rPr>
                <w:rFonts w:eastAsia="Times New Roman" w:cs="Times New Roman"/>
                <w:iCs/>
                <w:sz w:val="22"/>
              </w:rPr>
              <w:t xml:space="preserve"> </w:t>
            </w:r>
            <w:bookmarkEnd w:id="35"/>
            <w:r w:rsidR="00794836" w:rsidRPr="00B44B19">
              <w:rPr>
                <w:rFonts w:eastAsia="Times New Roman" w:cs="Times New Roman"/>
                <w:iCs/>
                <w:sz w:val="22"/>
              </w:rPr>
              <w:t>rekonstrukciją ir plėtrą, ITS diegimą.</w:t>
            </w:r>
            <w:r w:rsidRPr="00B44B19">
              <w:rPr>
                <w:rFonts w:eastAsia="Times New Roman" w:cs="Times New Roman"/>
                <w:iCs/>
                <w:sz w:val="22"/>
              </w:rPr>
              <w:t xml:space="preserve"> Prioritetas bus teikiamas TEN-T pagrindinio kelių tinklo tobulinimui ir plėtrai</w:t>
            </w:r>
            <w:r w:rsidRPr="00B44B19">
              <w:rPr>
                <w:rFonts w:eastAsia="Times New Roman" w:cs="Times New Roman"/>
              </w:rPr>
              <w:t xml:space="preserve"> </w:t>
            </w:r>
            <w:r w:rsidRPr="00B44B19">
              <w:rPr>
                <w:rFonts w:eastAsia="Times New Roman" w:cs="Times New Roman"/>
                <w:iCs/>
                <w:sz w:val="22"/>
              </w:rPr>
              <w:t xml:space="preserve">intensyviausiuose, avaringiausiuose ir nepakankamų techninių parametrų kelių </w:t>
            </w:r>
            <w:r w:rsidR="008C4CF8" w:rsidRPr="00B44B19">
              <w:rPr>
                <w:rFonts w:eastAsia="Times New Roman" w:cs="Times New Roman"/>
                <w:iCs/>
                <w:sz w:val="22"/>
              </w:rPr>
              <w:t xml:space="preserve">ruožuose, remiantis </w:t>
            </w:r>
            <w:r w:rsidR="008C4CF8" w:rsidRPr="00B44B19">
              <w:rPr>
                <w:rFonts w:eastAsia="Times New Roman" w:cs="Times New Roman"/>
                <w:bCs/>
                <w:sz w:val="22"/>
                <w:szCs w:val="24"/>
                <w:lang w:eastAsia="lt-LT"/>
              </w:rPr>
              <w:t>LTIPP</w:t>
            </w:r>
            <w:r w:rsidRPr="00B44B19">
              <w:rPr>
                <w:rFonts w:eastAsia="Times New Roman" w:cs="Times New Roman"/>
                <w:bCs/>
                <w:sz w:val="22"/>
                <w:szCs w:val="24"/>
                <w:lang w:eastAsia="lt-LT"/>
              </w:rPr>
              <w:t xml:space="preserve"> projektų iki 2030 m. sąraše identifikuotais prioritetiniais ruožais</w:t>
            </w:r>
            <w:r w:rsidRPr="00B44B19">
              <w:rPr>
                <w:rFonts w:eastAsia="Times New Roman" w:cs="Times New Roman"/>
                <w:iCs/>
                <w:sz w:val="22"/>
              </w:rPr>
              <w:t xml:space="preserve">, siekiant užtikrinti, kad TEN-T kelių infrastruktūra Lietuvoje atitiktų </w:t>
            </w:r>
            <w:r w:rsidR="008C4CF8" w:rsidRPr="00B44B19">
              <w:rPr>
                <w:rFonts w:eastAsia="Times New Roman" w:cs="Times New Roman"/>
                <w:iCs/>
                <w:sz w:val="22"/>
              </w:rPr>
              <w:t xml:space="preserve">TEN-T gairėse nustatytus reikalavimus, </w:t>
            </w:r>
            <w:r w:rsidRPr="00B44B19">
              <w:rPr>
                <w:rFonts w:eastAsia="Times New Roman" w:cs="Times New Roman"/>
                <w:iCs/>
                <w:sz w:val="22"/>
              </w:rPr>
              <w:t xml:space="preserve">ir eismo saugai keliuose užtikrinti. </w:t>
            </w:r>
            <w:r w:rsidR="00794836" w:rsidRPr="00B44B19">
              <w:rPr>
                <w:rFonts w:eastAsia="Times New Roman" w:cs="Times New Roman"/>
                <w:iCs/>
                <w:sz w:val="22"/>
              </w:rPr>
              <w:t xml:space="preserve">Veiklos dalis, finansuojama SaF lėšomis,  bus įgyvendinama visoje Lietuvoje, veiklos dalis, finansuojama ERPF lėšomis – VVL regione. </w:t>
            </w:r>
          </w:p>
          <w:p w14:paraId="22E29DA1" w14:textId="77777777" w:rsidR="00CF752A" w:rsidRPr="00B44B19" w:rsidRDefault="00334B0C" w:rsidP="0095093F">
            <w:pPr>
              <w:spacing w:before="60" w:after="60"/>
              <w:jc w:val="both"/>
              <w:rPr>
                <w:rFonts w:cs="Times New Roman"/>
                <w:iCs/>
                <w:sz w:val="22"/>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r w:rsidR="002D4C4E" w:rsidRPr="00B44B19">
              <w:rPr>
                <w:rFonts w:eastAsia="Times New Roman" w:cs="Times New Roman"/>
                <w:noProof/>
                <w:sz w:val="22"/>
              </w:rPr>
              <w:t>.</w:t>
            </w:r>
          </w:p>
        </w:tc>
      </w:tr>
    </w:tbl>
    <w:p w14:paraId="43F71EB0" w14:textId="77777777" w:rsidR="00D5397E" w:rsidRPr="00B44B19" w:rsidRDefault="00D5397E" w:rsidP="00830FA9">
      <w:pPr>
        <w:pStyle w:val="Stilius1"/>
        <w:rPr>
          <w:rFonts w:cs="Times New Roman"/>
          <w:szCs w:val="24"/>
        </w:rPr>
      </w:pPr>
      <w:r w:rsidRPr="00B44B19">
        <w:rPr>
          <w:rFonts w:cs="Times New Roman"/>
          <w:szCs w:val="24"/>
        </w:rPr>
        <w:lastRenderedPageBreak/>
        <w:t>Pagrindinės tikslinės grupės</w:t>
      </w:r>
    </w:p>
    <w:tbl>
      <w:tblPr>
        <w:tblStyle w:val="Lentelstinklelis"/>
        <w:tblW w:w="0" w:type="auto"/>
        <w:tblLook w:val="04A0" w:firstRow="1" w:lastRow="0" w:firstColumn="1" w:lastColumn="0" w:noHBand="0" w:noVBand="1"/>
      </w:tblPr>
      <w:tblGrid>
        <w:gridCol w:w="9628"/>
      </w:tblGrid>
      <w:tr w:rsidR="00D5397E" w:rsidRPr="00B44B19" w14:paraId="7985F88D" w14:textId="77777777" w:rsidTr="00D5397E">
        <w:tc>
          <w:tcPr>
            <w:tcW w:w="9854" w:type="dxa"/>
          </w:tcPr>
          <w:p w14:paraId="7A611595" w14:textId="77777777" w:rsidR="00D5397E" w:rsidRPr="00B44B19" w:rsidRDefault="003B5BEC" w:rsidP="0095093F">
            <w:pPr>
              <w:spacing w:before="60" w:after="60"/>
              <w:jc w:val="both"/>
              <w:rPr>
                <w:rFonts w:cs="Times New Roman"/>
                <w:bCs/>
                <w:sz w:val="22"/>
              </w:rPr>
            </w:pPr>
            <w:r w:rsidRPr="00B44B19">
              <w:rPr>
                <w:rFonts w:eastAsia="Calibri" w:cs="Times New Roman"/>
                <w:bCs/>
                <w:sz w:val="22"/>
              </w:rPr>
              <w:t>Patrauklesnio keleivinio transporto, taip pat ir krovininio transporto naudotojai, kuriems bus užtikrinta galimybė judėti ekologiškiau, tvariau ir saugiau.</w:t>
            </w:r>
          </w:p>
        </w:tc>
      </w:tr>
    </w:tbl>
    <w:p w14:paraId="239D2A24" w14:textId="77777777" w:rsidR="00D5397E" w:rsidRPr="00B44B19" w:rsidRDefault="00D5397E" w:rsidP="00830FA9">
      <w:pPr>
        <w:pStyle w:val="Stilius1"/>
        <w:rPr>
          <w:rFonts w:eastAsia="Times New Roman" w:cs="Times New Roman"/>
          <w:iCs/>
          <w:noProof/>
          <w:szCs w:val="24"/>
          <w:lang w:eastAsia="lt-LT" w:bidi="lt-LT"/>
        </w:rPr>
      </w:pPr>
      <w:r w:rsidRPr="00B44B19">
        <w:rPr>
          <w:rFonts w:cs="Times New Roman"/>
          <w:noProof/>
          <w:szCs w:val="24"/>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30FA9" w:rsidRPr="00B44B19" w14:paraId="78E59AA1" w14:textId="77777777" w:rsidTr="00830FA9">
        <w:tc>
          <w:tcPr>
            <w:tcW w:w="9854" w:type="dxa"/>
          </w:tcPr>
          <w:p w14:paraId="5F6676BA" w14:textId="77777777" w:rsidR="00830FA9" w:rsidRPr="00B44B19" w:rsidRDefault="00830FA9" w:rsidP="0095093F">
            <w:pPr>
              <w:pStyle w:val="Stilius1"/>
              <w:spacing w:before="60" w:after="60"/>
              <w:jc w:val="both"/>
              <w:rPr>
                <w:rFonts w:cs="Times New Roman"/>
                <w:b w:val="0"/>
                <w:i w:val="0"/>
                <w:color w:val="auto"/>
                <w:szCs w:val="24"/>
              </w:rPr>
            </w:pPr>
            <w:r w:rsidRPr="00B44B19">
              <w:rPr>
                <w:rFonts w:eastAsia="Calibri" w:cs="Times New Roman"/>
                <w:b w:val="0"/>
                <w:i w:val="0"/>
                <w:noProof/>
                <w:color w:val="auto"/>
                <w:sz w:val="22"/>
                <w:lang w:eastAsia="lt-LT" w:bidi="lt-LT"/>
              </w:rPr>
              <w:t>Vykdant numatytas veiklas bus siekiama užtikrinti lygybės, įtraukties ir nediskriminavimo principus.</w:t>
            </w:r>
            <w:r w:rsidRPr="00B44B19">
              <w:rPr>
                <w:rFonts w:eastAsia="Calibri" w:cs="Times New Roman"/>
                <w:b w:val="0"/>
                <w:i w:val="0"/>
                <w:color w:val="auto"/>
                <w:sz w:val="22"/>
              </w:rPr>
              <w:t xml:space="preserve"> </w:t>
            </w:r>
            <w:r w:rsidR="008C4CF8" w:rsidRPr="00B44B19">
              <w:rPr>
                <w:rFonts w:eastAsia="Calibri" w:cs="Times New Roman"/>
                <w:b w:val="0"/>
                <w:i w:val="0"/>
                <w:color w:val="auto"/>
                <w:sz w:val="22"/>
              </w:rPr>
              <w:t>Transporto infrastruktūra bus kuriama ir plėtojama laikantis universalaus dizaino principų ir pritaikyta naudotis žmonėms, turintiems specialiųjų poreikių</w:t>
            </w:r>
            <w:r w:rsidRPr="00B44B19">
              <w:rPr>
                <w:rFonts w:eastAsia="Calibri" w:cs="Times New Roman"/>
                <w:b w:val="0"/>
                <w:i w:val="0"/>
                <w:color w:val="auto"/>
                <w:sz w:val="22"/>
              </w:rPr>
              <w:t>.</w:t>
            </w:r>
          </w:p>
        </w:tc>
      </w:tr>
    </w:tbl>
    <w:p w14:paraId="1B6A0342" w14:textId="77777777" w:rsidR="00D5397E" w:rsidRPr="00B44B19" w:rsidRDefault="00D5397E" w:rsidP="00830FA9">
      <w:pPr>
        <w:pStyle w:val="Stilius1"/>
        <w:rPr>
          <w:rFonts w:cs="Times New Roman"/>
          <w:szCs w:val="24"/>
        </w:rPr>
      </w:pPr>
      <w:r w:rsidRPr="00B44B19">
        <w:rPr>
          <w:rFonts w:cs="Times New Roman"/>
          <w:szCs w:val="24"/>
        </w:rPr>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628"/>
      </w:tblGrid>
      <w:tr w:rsidR="00D5397E" w:rsidRPr="00B44B19" w14:paraId="5652913D" w14:textId="77777777" w:rsidTr="00D5397E">
        <w:tc>
          <w:tcPr>
            <w:tcW w:w="9854" w:type="dxa"/>
          </w:tcPr>
          <w:p w14:paraId="4D0BBCB0" w14:textId="77777777" w:rsidR="00D5397E" w:rsidRPr="00B44B19" w:rsidRDefault="005206B7" w:rsidP="0095093F">
            <w:pPr>
              <w:spacing w:before="60" w:after="60"/>
              <w:jc w:val="both"/>
              <w:rPr>
                <w:rFonts w:cs="Times New Roman"/>
                <w:bCs/>
                <w:sz w:val="22"/>
              </w:rPr>
            </w:pPr>
            <w:r w:rsidRPr="00B44B19">
              <w:rPr>
                <w:rFonts w:cs="Times New Roman"/>
                <w:bCs/>
                <w:sz w:val="22"/>
              </w:rPr>
              <w:t>Visa Lietuva</w:t>
            </w:r>
          </w:p>
        </w:tc>
      </w:tr>
    </w:tbl>
    <w:p w14:paraId="389AC12E" w14:textId="77777777" w:rsidR="00D5397E" w:rsidRPr="00B44B19" w:rsidRDefault="00D5397E" w:rsidP="00830FA9">
      <w:pPr>
        <w:pStyle w:val="Stilius1"/>
        <w:rPr>
          <w:rFonts w:cs="Times New Roman"/>
          <w:szCs w:val="24"/>
        </w:rPr>
      </w:pPr>
      <w:r w:rsidRPr="00B44B19">
        <w:rPr>
          <w:rFonts w:cs="Times New Roman"/>
          <w:szCs w:val="24"/>
        </w:rPr>
        <w:t>Tarpregioniniai, tarp sienų ir tarpvalstybiniai veiksmai</w:t>
      </w:r>
    </w:p>
    <w:tbl>
      <w:tblPr>
        <w:tblStyle w:val="Lentelstinklelis"/>
        <w:tblW w:w="0" w:type="auto"/>
        <w:tblLook w:val="04A0" w:firstRow="1" w:lastRow="0" w:firstColumn="1" w:lastColumn="0" w:noHBand="0" w:noVBand="1"/>
      </w:tblPr>
      <w:tblGrid>
        <w:gridCol w:w="9628"/>
      </w:tblGrid>
      <w:tr w:rsidR="00D5397E" w:rsidRPr="00B44B19" w14:paraId="08074E9F" w14:textId="77777777" w:rsidTr="00D5397E">
        <w:tc>
          <w:tcPr>
            <w:tcW w:w="9854" w:type="dxa"/>
          </w:tcPr>
          <w:p w14:paraId="23F1CA65" w14:textId="77777777" w:rsidR="008C4CF8" w:rsidRPr="00B44B19" w:rsidRDefault="00993B5D" w:rsidP="0095093F">
            <w:pPr>
              <w:spacing w:before="60" w:after="60"/>
              <w:jc w:val="both"/>
              <w:rPr>
                <w:rFonts w:eastAsia="Calibri" w:cs="Times New Roman"/>
                <w:bCs/>
                <w:sz w:val="22"/>
              </w:rPr>
            </w:pPr>
            <w:r w:rsidRPr="00B44B19">
              <w:rPr>
                <w:rFonts w:eastAsia="Calibri" w:cs="Times New Roman"/>
                <w:bCs/>
                <w:sz w:val="22"/>
              </w:rPr>
              <w:t>N</w:t>
            </w:r>
            <w:r w:rsidR="008C4CF8" w:rsidRPr="00B44B19">
              <w:rPr>
                <w:rFonts w:eastAsia="Calibri" w:cs="Times New Roman"/>
                <w:bCs/>
                <w:sz w:val="22"/>
              </w:rPr>
              <w:t>umatoma sudaryti visas galimybes</w:t>
            </w:r>
            <w:r w:rsidRPr="00B44B19">
              <w:rPr>
                <w:rFonts w:eastAsia="Calibri" w:cs="Times New Roman"/>
                <w:bCs/>
                <w:sz w:val="22"/>
              </w:rPr>
              <w:t xml:space="preserve"> prireikus</w:t>
            </w:r>
            <w:r w:rsidR="008C4CF8" w:rsidRPr="00B44B19">
              <w:rPr>
                <w:rFonts w:eastAsia="Calibri" w:cs="Times New Roman"/>
                <w:bCs/>
                <w:sz w:val="22"/>
              </w:rPr>
              <w:t xml:space="preserve"> juos atlikti.</w:t>
            </w:r>
          </w:p>
          <w:p w14:paraId="0DEE3F83" w14:textId="77777777" w:rsidR="00D5397E" w:rsidRPr="00B44B19" w:rsidRDefault="008C4CF8" w:rsidP="0095093F">
            <w:pPr>
              <w:spacing w:before="60" w:after="60"/>
              <w:jc w:val="both"/>
              <w:rPr>
                <w:rFonts w:cs="Times New Roman"/>
                <w:bCs/>
                <w:sz w:val="22"/>
              </w:rPr>
            </w:pPr>
            <w:r w:rsidRPr="00B44B19">
              <w:rPr>
                <w:rFonts w:eastAsia="Calibri" w:cs="Times New Roman"/>
                <w:sz w:val="22"/>
              </w:rPr>
              <w:t>„Via Baltica“ transporto koridorius, kurį numatoma plėtoti bendradarbiaujant su kaimyninėmis valstybėmis, sutampa su Europos kelio E67 ruožu nuo Varšuvos iki Talino.</w:t>
            </w:r>
          </w:p>
        </w:tc>
      </w:tr>
    </w:tbl>
    <w:p w14:paraId="1B5FEEEC" w14:textId="77777777" w:rsidR="00D5397E" w:rsidRPr="00B44B19" w:rsidRDefault="00D5397E" w:rsidP="00830FA9">
      <w:pPr>
        <w:pStyle w:val="Stilius1"/>
        <w:rPr>
          <w:rFonts w:cs="Times New Roman"/>
          <w:szCs w:val="24"/>
        </w:rPr>
      </w:pPr>
      <w:r w:rsidRPr="00B44B19">
        <w:rPr>
          <w:rFonts w:cs="Times New Roman"/>
          <w:szCs w:val="24"/>
        </w:rPr>
        <w:t>Planuojamas finansinių priemonių naudojimas</w:t>
      </w:r>
    </w:p>
    <w:tbl>
      <w:tblPr>
        <w:tblStyle w:val="Lentelstinklelis"/>
        <w:tblW w:w="0" w:type="auto"/>
        <w:tblLook w:val="04A0" w:firstRow="1" w:lastRow="0" w:firstColumn="1" w:lastColumn="0" w:noHBand="0" w:noVBand="1"/>
      </w:tblPr>
      <w:tblGrid>
        <w:gridCol w:w="9628"/>
      </w:tblGrid>
      <w:tr w:rsidR="00D5397E" w:rsidRPr="00B44B19" w14:paraId="04DBE8F8" w14:textId="77777777" w:rsidTr="00471A41">
        <w:tc>
          <w:tcPr>
            <w:tcW w:w="9747" w:type="dxa"/>
          </w:tcPr>
          <w:p w14:paraId="4A5DA050" w14:textId="77777777" w:rsidR="00D5397E" w:rsidRPr="00B44B19" w:rsidRDefault="00166EC1" w:rsidP="0095093F">
            <w:pPr>
              <w:spacing w:before="60" w:after="60"/>
              <w:jc w:val="both"/>
              <w:rPr>
                <w:rFonts w:cs="Times New Roman"/>
                <w:bCs/>
                <w:sz w:val="22"/>
              </w:rPr>
            </w:pPr>
            <w:r w:rsidRPr="00B44B19">
              <w:rPr>
                <w:rFonts w:eastAsia="Calibri" w:cs="Times New Roman"/>
                <w:bCs/>
                <w:sz w:val="22"/>
              </w:rPr>
              <w:t>–</w:t>
            </w:r>
          </w:p>
        </w:tc>
      </w:tr>
    </w:tbl>
    <w:p w14:paraId="038525A6" w14:textId="77777777" w:rsidR="00344476" w:rsidRPr="00B44B19" w:rsidRDefault="00471A41" w:rsidP="00830FA9">
      <w:pPr>
        <w:pStyle w:val="Stilius1"/>
        <w:rPr>
          <w:rFonts w:eastAsia="Calibri" w:cs="Times New Roman"/>
          <w:noProof/>
          <w:szCs w:val="24"/>
          <w:lang w:eastAsia="lt-LT" w:bidi="lt-LT"/>
        </w:rPr>
      </w:pPr>
      <w:r w:rsidRPr="00B44B19">
        <w:rPr>
          <w:rFonts w:cs="Times New Roman"/>
          <w:szCs w:val="24"/>
        </w:rPr>
        <w:t>Rodikliai</w:t>
      </w:r>
    </w:p>
    <w:p w14:paraId="26020395" w14:textId="77777777" w:rsidR="00471A41" w:rsidRPr="00B44B19" w:rsidRDefault="00471A41" w:rsidP="00344476">
      <w:pPr>
        <w:spacing w:before="240" w:after="0" w:line="240" w:lineRule="auto"/>
        <w:jc w:val="both"/>
        <w:rPr>
          <w:rFonts w:eastAsia="Calibri" w:cs="Times New Roman"/>
          <w:b/>
          <w:noProof/>
          <w:sz w:val="22"/>
          <w:lang w:eastAsia="lt-LT" w:bidi="lt-LT"/>
        </w:rPr>
      </w:pPr>
      <w:r w:rsidRPr="00B44B19">
        <w:rPr>
          <w:rFonts w:cs="Times New Roman"/>
          <w:b/>
          <w:sz w:val="22"/>
        </w:rPr>
        <w:lastRenderedPageBreak/>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67"/>
        <w:gridCol w:w="819"/>
        <w:gridCol w:w="961"/>
        <w:gridCol w:w="1243"/>
        <w:gridCol w:w="1795"/>
        <w:gridCol w:w="968"/>
        <w:gridCol w:w="967"/>
        <w:gridCol w:w="934"/>
      </w:tblGrid>
      <w:tr w:rsidR="00851BB9" w:rsidRPr="00B44B19" w14:paraId="398B88C5" w14:textId="77777777" w:rsidTr="00293AD5">
        <w:trPr>
          <w:trHeight w:val="698"/>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504066"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C357A8"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069043"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Fondas</w:t>
            </w:r>
          </w:p>
        </w:tc>
        <w:tc>
          <w:tcPr>
            <w:tcW w:w="50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D93813"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4913A9"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83FD4F"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997B0B"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122970"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CCA2BB"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Siek</w:t>
            </w:r>
            <w:r w:rsidR="00315FE5" w:rsidRPr="00B44B19">
              <w:rPr>
                <w:rFonts w:cs="Times New Roman"/>
                <w:b/>
                <w:noProof/>
                <w:sz w:val="16"/>
                <w:szCs w:val="16"/>
              </w:rPr>
              <w:t>tina reikšmė</w:t>
            </w:r>
            <w:r w:rsidRPr="00B44B19">
              <w:rPr>
                <w:rFonts w:cs="Times New Roman"/>
                <w:b/>
                <w:noProof/>
                <w:sz w:val="16"/>
                <w:szCs w:val="16"/>
              </w:rPr>
              <w:t xml:space="preserve"> (2029 m.)</w:t>
            </w:r>
          </w:p>
        </w:tc>
      </w:tr>
      <w:tr w:rsidR="00B20FF1" w:rsidRPr="00B44B19" w14:paraId="40D58D57" w14:textId="77777777" w:rsidTr="00293AD5">
        <w:trPr>
          <w:trHeight w:val="340"/>
        </w:trPr>
        <w:tc>
          <w:tcPr>
            <w:tcW w:w="496" w:type="pct"/>
            <w:vMerge w:val="restart"/>
            <w:tcBorders>
              <w:top w:val="single" w:sz="12" w:space="0" w:color="auto"/>
            </w:tcBorders>
          </w:tcPr>
          <w:p w14:paraId="390AC72E" w14:textId="77777777" w:rsidR="00B20FF1" w:rsidRPr="00B44B19" w:rsidRDefault="00B20FF1" w:rsidP="00251C89">
            <w:pPr>
              <w:spacing w:after="0" w:line="240" w:lineRule="auto"/>
              <w:rPr>
                <w:rFonts w:cs="Times New Roman"/>
                <w:noProof/>
                <w:sz w:val="16"/>
                <w:szCs w:val="16"/>
              </w:rPr>
            </w:pPr>
            <w:r w:rsidRPr="00B44B19">
              <w:rPr>
                <w:rFonts w:cs="Times New Roman"/>
                <w:noProof/>
                <w:sz w:val="16"/>
                <w:szCs w:val="16"/>
              </w:rPr>
              <w:t>3. Geriau sujungta Lietuva</w:t>
            </w:r>
          </w:p>
        </w:tc>
        <w:tc>
          <w:tcPr>
            <w:tcW w:w="503" w:type="pct"/>
            <w:vMerge w:val="restart"/>
            <w:tcBorders>
              <w:top w:val="single" w:sz="12" w:space="0" w:color="auto"/>
            </w:tcBorders>
          </w:tcPr>
          <w:p w14:paraId="6D8812D7" w14:textId="77777777" w:rsidR="00B20FF1" w:rsidRPr="00B44B19" w:rsidRDefault="00B20FF1" w:rsidP="00251C89">
            <w:pPr>
              <w:spacing w:after="0" w:line="240" w:lineRule="auto"/>
              <w:rPr>
                <w:rFonts w:cs="Times New Roman"/>
                <w:noProof/>
                <w:sz w:val="16"/>
                <w:szCs w:val="16"/>
              </w:rPr>
            </w:pPr>
            <w:r w:rsidRPr="00B44B19">
              <w:rPr>
                <w:rFonts w:cs="Times New Roman"/>
                <w:noProof/>
                <w:sz w:val="16"/>
                <w:szCs w:val="16"/>
              </w:rPr>
              <w:t>3.1.</w:t>
            </w:r>
          </w:p>
        </w:tc>
        <w:tc>
          <w:tcPr>
            <w:tcW w:w="426" w:type="pct"/>
            <w:vMerge w:val="restart"/>
            <w:tcBorders>
              <w:top w:val="single" w:sz="12" w:space="0" w:color="auto"/>
            </w:tcBorders>
          </w:tcPr>
          <w:p w14:paraId="1847A7DC" w14:textId="77777777" w:rsidR="00B20FF1" w:rsidRPr="00B44B19" w:rsidRDefault="00B20FF1" w:rsidP="00251C89">
            <w:pPr>
              <w:spacing w:after="0" w:line="240" w:lineRule="auto"/>
              <w:rPr>
                <w:rFonts w:cs="Times New Roman"/>
                <w:noProof/>
                <w:sz w:val="16"/>
                <w:szCs w:val="16"/>
              </w:rPr>
            </w:pPr>
            <w:r w:rsidRPr="00B44B19">
              <w:rPr>
                <w:rFonts w:cs="Times New Roman"/>
                <w:noProof/>
                <w:sz w:val="16"/>
                <w:szCs w:val="16"/>
              </w:rPr>
              <w:t>SaF</w:t>
            </w:r>
          </w:p>
        </w:tc>
        <w:tc>
          <w:tcPr>
            <w:tcW w:w="500" w:type="pct"/>
            <w:vMerge w:val="restart"/>
            <w:tcBorders>
              <w:top w:val="single" w:sz="12" w:space="0" w:color="auto"/>
            </w:tcBorders>
          </w:tcPr>
          <w:p w14:paraId="0FFF702D" w14:textId="77777777" w:rsidR="00B20FF1" w:rsidRPr="00B44B19" w:rsidRDefault="00B20FF1" w:rsidP="00251C89">
            <w:pPr>
              <w:spacing w:after="0" w:line="240" w:lineRule="auto"/>
              <w:rPr>
                <w:rFonts w:cs="Times New Roman"/>
                <w:noProof/>
                <w:sz w:val="16"/>
                <w:szCs w:val="16"/>
              </w:rPr>
            </w:pPr>
            <w:r w:rsidRPr="00B44B19">
              <w:rPr>
                <w:rFonts w:cs="Times New Roman"/>
                <w:noProof/>
                <w:sz w:val="16"/>
                <w:szCs w:val="16"/>
              </w:rPr>
              <w:t>Visa Lietuva</w:t>
            </w:r>
          </w:p>
        </w:tc>
        <w:tc>
          <w:tcPr>
            <w:tcW w:w="647" w:type="pct"/>
            <w:tcBorders>
              <w:top w:val="single" w:sz="12" w:space="0" w:color="auto"/>
            </w:tcBorders>
          </w:tcPr>
          <w:p w14:paraId="557F2C3D" w14:textId="77777777" w:rsidR="00B20FF1" w:rsidRPr="00B44B19" w:rsidRDefault="00B20FF1" w:rsidP="00251C89">
            <w:pPr>
              <w:spacing w:after="0" w:line="240" w:lineRule="auto"/>
              <w:rPr>
                <w:rFonts w:cs="Times New Roman"/>
                <w:noProof/>
                <w:sz w:val="16"/>
                <w:szCs w:val="16"/>
              </w:rPr>
            </w:pPr>
            <w:r w:rsidRPr="00B44B19">
              <w:rPr>
                <w:rFonts w:eastAsia="Calibri" w:cs="Times New Roman"/>
                <w:noProof/>
                <w:color w:val="000000"/>
                <w:sz w:val="16"/>
                <w:szCs w:val="16"/>
                <w:lang w:eastAsia="lt-LT" w:bidi="lt-LT"/>
              </w:rPr>
              <w:t>RCO49</w:t>
            </w:r>
          </w:p>
        </w:tc>
        <w:tc>
          <w:tcPr>
            <w:tcW w:w="934" w:type="pct"/>
            <w:tcBorders>
              <w:top w:val="single" w:sz="12" w:space="0" w:color="auto"/>
            </w:tcBorders>
          </w:tcPr>
          <w:p w14:paraId="0AD0FB5A" w14:textId="77777777" w:rsidR="00B20FF1" w:rsidRPr="00B44B19" w:rsidRDefault="00B20FF1" w:rsidP="00251C89">
            <w:pPr>
              <w:spacing w:after="0" w:line="240" w:lineRule="auto"/>
              <w:rPr>
                <w:rFonts w:cs="Times New Roman"/>
                <w:noProof/>
                <w:sz w:val="16"/>
                <w:szCs w:val="16"/>
              </w:rPr>
            </w:pPr>
            <w:r w:rsidRPr="00B44B19">
              <w:rPr>
                <w:rFonts w:cs="Times New Roman"/>
                <w:noProof/>
                <w:sz w:val="16"/>
                <w:szCs w:val="16"/>
              </w:rPr>
              <w:t>Rekonstruotų arba modernizuotų geležinkelių ilgis – TEN-T</w:t>
            </w:r>
          </w:p>
        </w:tc>
        <w:tc>
          <w:tcPr>
            <w:tcW w:w="504" w:type="pct"/>
            <w:tcBorders>
              <w:top w:val="single" w:sz="12" w:space="0" w:color="auto"/>
            </w:tcBorders>
          </w:tcPr>
          <w:p w14:paraId="0E476159" w14:textId="77777777" w:rsidR="00B20FF1" w:rsidRPr="00B44B19" w:rsidRDefault="00B20FF1" w:rsidP="00251C89">
            <w:pPr>
              <w:spacing w:after="0" w:line="240" w:lineRule="auto"/>
              <w:rPr>
                <w:rFonts w:cs="Times New Roman"/>
                <w:bCs/>
                <w:iCs/>
                <w:noProof/>
                <w:sz w:val="16"/>
                <w:szCs w:val="16"/>
              </w:rPr>
            </w:pPr>
            <w:r w:rsidRPr="00B44B19">
              <w:rPr>
                <w:rFonts w:cs="Times New Roman"/>
                <w:bCs/>
                <w:iCs/>
                <w:noProof/>
                <w:sz w:val="16"/>
                <w:szCs w:val="16"/>
              </w:rPr>
              <w:t>Km</w:t>
            </w:r>
          </w:p>
        </w:tc>
        <w:tc>
          <w:tcPr>
            <w:tcW w:w="503" w:type="pct"/>
            <w:tcBorders>
              <w:top w:val="single" w:sz="12" w:space="0" w:color="auto"/>
            </w:tcBorders>
          </w:tcPr>
          <w:p w14:paraId="636E48E7" w14:textId="77777777" w:rsidR="00B20FF1" w:rsidRPr="00B44B19" w:rsidRDefault="00B20FF1" w:rsidP="00251C89">
            <w:pPr>
              <w:spacing w:after="0" w:line="240" w:lineRule="auto"/>
              <w:jc w:val="center"/>
              <w:rPr>
                <w:rFonts w:cs="Times New Roman"/>
                <w:bCs/>
                <w:iCs/>
                <w:noProof/>
                <w:sz w:val="16"/>
                <w:szCs w:val="16"/>
              </w:rPr>
            </w:pPr>
            <w:r w:rsidRPr="00B44B19">
              <w:rPr>
                <w:rFonts w:cs="Times New Roman"/>
                <w:bCs/>
                <w:iCs/>
                <w:noProof/>
                <w:sz w:val="16"/>
                <w:szCs w:val="16"/>
              </w:rPr>
              <w:t>0</w:t>
            </w:r>
          </w:p>
        </w:tc>
        <w:tc>
          <w:tcPr>
            <w:tcW w:w="486" w:type="pct"/>
            <w:tcBorders>
              <w:top w:val="single" w:sz="12" w:space="0" w:color="auto"/>
            </w:tcBorders>
          </w:tcPr>
          <w:p w14:paraId="18EFC141" w14:textId="499E341E" w:rsidR="00B20FF1" w:rsidRPr="00B44B19" w:rsidRDefault="00447F60" w:rsidP="00251C89">
            <w:pPr>
              <w:spacing w:after="0" w:line="240" w:lineRule="auto"/>
              <w:jc w:val="center"/>
              <w:rPr>
                <w:rFonts w:cs="Times New Roman"/>
                <w:bCs/>
                <w:iCs/>
                <w:noProof/>
                <w:sz w:val="16"/>
                <w:szCs w:val="16"/>
              </w:rPr>
            </w:pPr>
            <w:r w:rsidRPr="00B44B19">
              <w:rPr>
                <w:rFonts w:cs="Times New Roman"/>
                <w:bCs/>
                <w:iCs/>
                <w:noProof/>
                <w:sz w:val="16"/>
                <w:szCs w:val="16"/>
              </w:rPr>
              <w:t>321</w:t>
            </w:r>
          </w:p>
        </w:tc>
      </w:tr>
      <w:tr w:rsidR="00B20FF1" w:rsidRPr="00B44B19" w14:paraId="53B4864E" w14:textId="77777777" w:rsidTr="00293AD5">
        <w:trPr>
          <w:trHeight w:val="340"/>
        </w:trPr>
        <w:tc>
          <w:tcPr>
            <w:tcW w:w="496" w:type="pct"/>
            <w:vMerge/>
          </w:tcPr>
          <w:p w14:paraId="7B66CAC0" w14:textId="77777777" w:rsidR="00B20FF1" w:rsidRPr="00B44B19" w:rsidRDefault="00B20FF1" w:rsidP="00251C89">
            <w:pPr>
              <w:spacing w:after="0" w:line="240" w:lineRule="auto"/>
              <w:rPr>
                <w:rFonts w:cs="Times New Roman"/>
                <w:noProof/>
                <w:sz w:val="16"/>
                <w:szCs w:val="16"/>
              </w:rPr>
            </w:pPr>
          </w:p>
        </w:tc>
        <w:tc>
          <w:tcPr>
            <w:tcW w:w="503" w:type="pct"/>
            <w:vMerge/>
          </w:tcPr>
          <w:p w14:paraId="317D3225" w14:textId="77777777" w:rsidR="00B20FF1" w:rsidRPr="00B44B19" w:rsidRDefault="00B20FF1" w:rsidP="00251C89">
            <w:pPr>
              <w:spacing w:after="0" w:line="240" w:lineRule="auto"/>
              <w:rPr>
                <w:rFonts w:cs="Times New Roman"/>
                <w:noProof/>
                <w:sz w:val="16"/>
                <w:szCs w:val="16"/>
                <w:highlight w:val="yellow"/>
              </w:rPr>
            </w:pPr>
          </w:p>
        </w:tc>
        <w:tc>
          <w:tcPr>
            <w:tcW w:w="426" w:type="pct"/>
            <w:vMerge/>
          </w:tcPr>
          <w:p w14:paraId="2AF97BCD" w14:textId="77777777" w:rsidR="00B20FF1" w:rsidRPr="00B44B19" w:rsidRDefault="00B20FF1" w:rsidP="00251C89">
            <w:pPr>
              <w:spacing w:after="0" w:line="240" w:lineRule="auto"/>
              <w:rPr>
                <w:rFonts w:cs="Times New Roman"/>
                <w:noProof/>
                <w:sz w:val="16"/>
                <w:szCs w:val="16"/>
              </w:rPr>
            </w:pPr>
          </w:p>
        </w:tc>
        <w:tc>
          <w:tcPr>
            <w:tcW w:w="500" w:type="pct"/>
            <w:vMerge/>
          </w:tcPr>
          <w:p w14:paraId="400F3074" w14:textId="77777777" w:rsidR="00B20FF1" w:rsidRPr="00B44B19" w:rsidRDefault="00B20FF1" w:rsidP="00251C89">
            <w:pPr>
              <w:spacing w:after="0" w:line="240" w:lineRule="auto"/>
              <w:rPr>
                <w:rFonts w:cs="Times New Roman"/>
                <w:noProof/>
                <w:sz w:val="16"/>
                <w:szCs w:val="16"/>
              </w:rPr>
            </w:pPr>
          </w:p>
        </w:tc>
        <w:tc>
          <w:tcPr>
            <w:tcW w:w="647" w:type="pct"/>
          </w:tcPr>
          <w:p w14:paraId="21C2A8D6" w14:textId="77777777" w:rsidR="00B20FF1" w:rsidRPr="00B44B19" w:rsidRDefault="00B20FF1" w:rsidP="00251C89">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RCO45</w:t>
            </w:r>
          </w:p>
        </w:tc>
        <w:tc>
          <w:tcPr>
            <w:tcW w:w="934" w:type="pct"/>
          </w:tcPr>
          <w:p w14:paraId="43D3D34A" w14:textId="77777777" w:rsidR="00B20FF1" w:rsidRPr="00B44B19" w:rsidRDefault="00B20FF1" w:rsidP="00251C89">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Rekonstruotų ar</w:t>
            </w:r>
            <w:r w:rsidR="00496ABD" w:rsidRPr="00B44B19">
              <w:rPr>
                <w:rFonts w:eastAsia="Calibri" w:cs="Times New Roman"/>
                <w:noProof/>
                <w:color w:val="000000"/>
                <w:sz w:val="16"/>
                <w:szCs w:val="16"/>
                <w:lang w:eastAsia="lt-LT" w:bidi="lt-LT"/>
              </w:rPr>
              <w:t>ba</w:t>
            </w:r>
            <w:r w:rsidRPr="00B44B19">
              <w:rPr>
                <w:rFonts w:eastAsia="Calibri" w:cs="Times New Roman"/>
                <w:noProof/>
                <w:color w:val="000000"/>
                <w:sz w:val="16"/>
                <w:szCs w:val="16"/>
                <w:lang w:eastAsia="lt-LT" w:bidi="lt-LT"/>
              </w:rPr>
              <w:t xml:space="preserve"> modernizuotų kelių ilgis – TEN-T</w:t>
            </w:r>
          </w:p>
        </w:tc>
        <w:tc>
          <w:tcPr>
            <w:tcW w:w="504" w:type="pct"/>
          </w:tcPr>
          <w:p w14:paraId="305D848B" w14:textId="77777777" w:rsidR="00B20FF1" w:rsidRPr="00B44B19" w:rsidRDefault="00B20FF1" w:rsidP="00251C89">
            <w:pPr>
              <w:spacing w:after="0" w:line="240" w:lineRule="auto"/>
              <w:rPr>
                <w:rFonts w:cs="Times New Roman"/>
                <w:bCs/>
                <w:iCs/>
                <w:noProof/>
                <w:sz w:val="16"/>
                <w:szCs w:val="16"/>
              </w:rPr>
            </w:pPr>
            <w:r w:rsidRPr="00B44B19">
              <w:rPr>
                <w:rFonts w:cs="Times New Roman"/>
                <w:bCs/>
                <w:iCs/>
                <w:noProof/>
                <w:sz w:val="16"/>
                <w:szCs w:val="16"/>
              </w:rPr>
              <w:t>Km</w:t>
            </w:r>
          </w:p>
        </w:tc>
        <w:tc>
          <w:tcPr>
            <w:tcW w:w="503" w:type="pct"/>
          </w:tcPr>
          <w:p w14:paraId="0EB286FD" w14:textId="77777777" w:rsidR="00B20FF1" w:rsidRPr="00B44B19" w:rsidRDefault="00B20FF1" w:rsidP="00251C89">
            <w:pPr>
              <w:spacing w:after="0" w:line="240" w:lineRule="auto"/>
              <w:jc w:val="center"/>
              <w:rPr>
                <w:rFonts w:cs="Times New Roman"/>
                <w:bCs/>
                <w:iCs/>
                <w:noProof/>
                <w:sz w:val="16"/>
                <w:szCs w:val="16"/>
              </w:rPr>
            </w:pPr>
            <w:r w:rsidRPr="00B44B19">
              <w:rPr>
                <w:rFonts w:cs="Times New Roman"/>
                <w:bCs/>
                <w:iCs/>
                <w:noProof/>
                <w:sz w:val="16"/>
                <w:szCs w:val="16"/>
              </w:rPr>
              <w:t>60,03</w:t>
            </w:r>
          </w:p>
        </w:tc>
        <w:tc>
          <w:tcPr>
            <w:tcW w:w="486" w:type="pct"/>
          </w:tcPr>
          <w:p w14:paraId="71F15E1E" w14:textId="609B5561" w:rsidR="00B20FF1" w:rsidRPr="00B44B19" w:rsidRDefault="009E21DD" w:rsidP="00251C89">
            <w:pPr>
              <w:spacing w:after="0" w:line="240" w:lineRule="auto"/>
              <w:jc w:val="center"/>
              <w:rPr>
                <w:rFonts w:cs="Times New Roman"/>
                <w:bCs/>
                <w:iCs/>
                <w:noProof/>
                <w:sz w:val="16"/>
                <w:szCs w:val="16"/>
              </w:rPr>
            </w:pPr>
            <w:r w:rsidRPr="00B44B19">
              <w:rPr>
                <w:rFonts w:cs="Times New Roman"/>
                <w:bCs/>
                <w:iCs/>
                <w:noProof/>
                <w:sz w:val="16"/>
                <w:szCs w:val="16"/>
              </w:rPr>
              <w:t>58,39</w:t>
            </w:r>
          </w:p>
        </w:tc>
      </w:tr>
      <w:tr w:rsidR="009E21DD" w:rsidRPr="00B44B19" w14:paraId="308030B0" w14:textId="77777777" w:rsidTr="00293AD5">
        <w:trPr>
          <w:trHeight w:val="340"/>
        </w:trPr>
        <w:tc>
          <w:tcPr>
            <w:tcW w:w="496" w:type="pct"/>
            <w:vMerge/>
          </w:tcPr>
          <w:p w14:paraId="3DA05D5F" w14:textId="77777777" w:rsidR="009E21DD" w:rsidRPr="00B44B19" w:rsidRDefault="009E21DD" w:rsidP="009E21DD">
            <w:pPr>
              <w:spacing w:after="0" w:line="240" w:lineRule="auto"/>
              <w:rPr>
                <w:rFonts w:cs="Times New Roman"/>
                <w:noProof/>
                <w:sz w:val="16"/>
                <w:szCs w:val="16"/>
              </w:rPr>
            </w:pPr>
          </w:p>
        </w:tc>
        <w:tc>
          <w:tcPr>
            <w:tcW w:w="503" w:type="pct"/>
            <w:vMerge/>
          </w:tcPr>
          <w:p w14:paraId="4C2ACFB1" w14:textId="77777777" w:rsidR="009E21DD" w:rsidRPr="00B44B19" w:rsidRDefault="009E21DD" w:rsidP="009E21DD">
            <w:pPr>
              <w:spacing w:after="0" w:line="240" w:lineRule="auto"/>
              <w:rPr>
                <w:rFonts w:cs="Times New Roman"/>
                <w:noProof/>
                <w:sz w:val="16"/>
                <w:szCs w:val="16"/>
                <w:highlight w:val="yellow"/>
              </w:rPr>
            </w:pPr>
          </w:p>
        </w:tc>
        <w:tc>
          <w:tcPr>
            <w:tcW w:w="426" w:type="pct"/>
            <w:vMerge/>
          </w:tcPr>
          <w:p w14:paraId="216E8C66" w14:textId="77777777" w:rsidR="009E21DD" w:rsidRPr="00B44B19" w:rsidRDefault="009E21DD" w:rsidP="009E21DD">
            <w:pPr>
              <w:spacing w:after="0" w:line="240" w:lineRule="auto"/>
              <w:rPr>
                <w:rFonts w:cs="Times New Roman"/>
                <w:noProof/>
                <w:sz w:val="16"/>
                <w:szCs w:val="16"/>
              </w:rPr>
            </w:pPr>
          </w:p>
        </w:tc>
        <w:tc>
          <w:tcPr>
            <w:tcW w:w="500" w:type="pct"/>
            <w:vMerge/>
          </w:tcPr>
          <w:p w14:paraId="290CE964" w14:textId="77777777" w:rsidR="009E21DD" w:rsidRPr="00B44B19" w:rsidRDefault="009E21DD" w:rsidP="009E21DD">
            <w:pPr>
              <w:spacing w:after="0" w:line="240" w:lineRule="auto"/>
              <w:rPr>
                <w:rFonts w:cs="Times New Roman"/>
                <w:noProof/>
                <w:sz w:val="16"/>
                <w:szCs w:val="16"/>
              </w:rPr>
            </w:pPr>
          </w:p>
        </w:tc>
        <w:tc>
          <w:tcPr>
            <w:tcW w:w="647" w:type="pct"/>
          </w:tcPr>
          <w:p w14:paraId="6F626DFA" w14:textId="46654F22" w:rsidR="009E21DD" w:rsidRPr="00B44B19" w:rsidRDefault="009E21DD" w:rsidP="009E21DD">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Specialusis</w:t>
            </w:r>
          </w:p>
        </w:tc>
        <w:tc>
          <w:tcPr>
            <w:tcW w:w="934" w:type="pct"/>
          </w:tcPr>
          <w:p w14:paraId="2E22090E" w14:textId="37999F32" w:rsidR="009E21DD" w:rsidRPr="00B44B19" w:rsidRDefault="009E21DD" w:rsidP="009E21DD">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Įdiegtos saugų eismą gerinančios priemonės TEN-T keliuose</w:t>
            </w:r>
          </w:p>
        </w:tc>
        <w:tc>
          <w:tcPr>
            <w:tcW w:w="504" w:type="pct"/>
          </w:tcPr>
          <w:p w14:paraId="6AC23407" w14:textId="1B7D24D2" w:rsidR="009E21DD" w:rsidRPr="00B44B19" w:rsidRDefault="009E21DD" w:rsidP="009E21DD">
            <w:pPr>
              <w:spacing w:after="0" w:line="240" w:lineRule="auto"/>
              <w:rPr>
                <w:rFonts w:cs="Times New Roman"/>
                <w:bCs/>
                <w:iCs/>
                <w:noProof/>
                <w:sz w:val="16"/>
                <w:szCs w:val="16"/>
              </w:rPr>
            </w:pPr>
            <w:r w:rsidRPr="00B44B19">
              <w:rPr>
                <w:rFonts w:cs="Times New Roman"/>
                <w:bCs/>
                <w:iCs/>
                <w:noProof/>
                <w:sz w:val="16"/>
                <w:szCs w:val="16"/>
              </w:rPr>
              <w:t>Skaičius</w:t>
            </w:r>
          </w:p>
        </w:tc>
        <w:tc>
          <w:tcPr>
            <w:tcW w:w="503" w:type="pct"/>
          </w:tcPr>
          <w:p w14:paraId="3752D77F" w14:textId="2AFA5618" w:rsidR="009E21DD" w:rsidRPr="00B44B19" w:rsidRDefault="009E21DD" w:rsidP="009E21DD">
            <w:pPr>
              <w:spacing w:after="0" w:line="240" w:lineRule="auto"/>
              <w:jc w:val="center"/>
              <w:rPr>
                <w:rFonts w:cs="Times New Roman"/>
                <w:bCs/>
                <w:iCs/>
                <w:noProof/>
                <w:sz w:val="16"/>
                <w:szCs w:val="16"/>
                <w:lang w:val="en-US"/>
              </w:rPr>
            </w:pPr>
            <w:r w:rsidRPr="00B44B19">
              <w:rPr>
                <w:rFonts w:cs="Times New Roman"/>
                <w:bCs/>
                <w:iCs/>
                <w:noProof/>
                <w:sz w:val="16"/>
                <w:szCs w:val="16"/>
              </w:rPr>
              <w:t>0</w:t>
            </w:r>
          </w:p>
        </w:tc>
        <w:tc>
          <w:tcPr>
            <w:tcW w:w="486" w:type="pct"/>
          </w:tcPr>
          <w:p w14:paraId="0021ECA5" w14:textId="60C5AD56" w:rsidR="009E21DD" w:rsidRPr="00B44B19" w:rsidRDefault="009E21DD" w:rsidP="009E21DD">
            <w:pPr>
              <w:spacing w:after="0" w:line="240" w:lineRule="auto"/>
              <w:jc w:val="center"/>
              <w:rPr>
                <w:rFonts w:cs="Times New Roman"/>
                <w:bCs/>
                <w:iCs/>
                <w:noProof/>
                <w:sz w:val="16"/>
                <w:szCs w:val="16"/>
              </w:rPr>
            </w:pPr>
            <w:r w:rsidRPr="00B44B19">
              <w:rPr>
                <w:rFonts w:cs="Times New Roman"/>
                <w:bCs/>
                <w:iCs/>
                <w:noProof/>
                <w:sz w:val="16"/>
                <w:szCs w:val="16"/>
              </w:rPr>
              <w:t>3</w:t>
            </w:r>
          </w:p>
        </w:tc>
      </w:tr>
      <w:tr w:rsidR="009E21DD" w:rsidRPr="00B44B19" w14:paraId="3355519E" w14:textId="77777777" w:rsidTr="00293AD5">
        <w:trPr>
          <w:trHeight w:val="340"/>
        </w:trPr>
        <w:tc>
          <w:tcPr>
            <w:tcW w:w="496" w:type="pct"/>
            <w:vMerge/>
          </w:tcPr>
          <w:p w14:paraId="05586CF7" w14:textId="77777777" w:rsidR="009E21DD" w:rsidRPr="00B44B19" w:rsidRDefault="009E21DD" w:rsidP="009E21DD">
            <w:pPr>
              <w:spacing w:after="0" w:line="240" w:lineRule="auto"/>
              <w:rPr>
                <w:rFonts w:cs="Times New Roman"/>
                <w:noProof/>
                <w:sz w:val="16"/>
                <w:szCs w:val="16"/>
              </w:rPr>
            </w:pPr>
          </w:p>
        </w:tc>
        <w:tc>
          <w:tcPr>
            <w:tcW w:w="503" w:type="pct"/>
            <w:vMerge/>
          </w:tcPr>
          <w:p w14:paraId="2C58F455" w14:textId="77777777" w:rsidR="009E21DD" w:rsidRPr="00B44B19" w:rsidRDefault="009E21DD" w:rsidP="009E21DD">
            <w:pPr>
              <w:spacing w:after="0" w:line="240" w:lineRule="auto"/>
              <w:rPr>
                <w:rFonts w:cs="Times New Roman"/>
                <w:noProof/>
                <w:sz w:val="16"/>
                <w:szCs w:val="16"/>
                <w:highlight w:val="yellow"/>
              </w:rPr>
            </w:pPr>
          </w:p>
        </w:tc>
        <w:tc>
          <w:tcPr>
            <w:tcW w:w="426" w:type="pct"/>
            <w:vMerge/>
          </w:tcPr>
          <w:p w14:paraId="6BA227FC" w14:textId="77777777" w:rsidR="009E21DD" w:rsidRPr="00B44B19" w:rsidRDefault="009E21DD" w:rsidP="009E21DD">
            <w:pPr>
              <w:spacing w:after="0" w:line="240" w:lineRule="auto"/>
              <w:rPr>
                <w:rFonts w:cs="Times New Roman"/>
                <w:noProof/>
                <w:sz w:val="16"/>
                <w:szCs w:val="16"/>
              </w:rPr>
            </w:pPr>
          </w:p>
        </w:tc>
        <w:tc>
          <w:tcPr>
            <w:tcW w:w="500" w:type="pct"/>
            <w:vMerge/>
          </w:tcPr>
          <w:p w14:paraId="46E4D6D9" w14:textId="77777777" w:rsidR="009E21DD" w:rsidRPr="00B44B19" w:rsidRDefault="009E21DD" w:rsidP="009E21DD">
            <w:pPr>
              <w:spacing w:after="0" w:line="240" w:lineRule="auto"/>
              <w:rPr>
                <w:rFonts w:cs="Times New Roman"/>
                <w:noProof/>
                <w:sz w:val="16"/>
                <w:szCs w:val="16"/>
              </w:rPr>
            </w:pPr>
          </w:p>
        </w:tc>
        <w:tc>
          <w:tcPr>
            <w:tcW w:w="647" w:type="pct"/>
          </w:tcPr>
          <w:p w14:paraId="541316AD" w14:textId="77777777"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934" w:type="pct"/>
          </w:tcPr>
          <w:p w14:paraId="7B59CE80" w14:textId="77777777"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Įdiegtos saugų eismą gerinančios ir aplinkosaugos priemonės geležinkeliuose</w:t>
            </w:r>
          </w:p>
        </w:tc>
        <w:tc>
          <w:tcPr>
            <w:tcW w:w="504" w:type="pct"/>
          </w:tcPr>
          <w:p w14:paraId="3F53F4AB" w14:textId="77777777" w:rsidR="009E21DD" w:rsidRPr="00B44B19" w:rsidRDefault="009E21DD" w:rsidP="009E21DD">
            <w:pPr>
              <w:spacing w:after="0" w:line="240" w:lineRule="auto"/>
              <w:rPr>
                <w:rFonts w:cs="Times New Roman"/>
                <w:bCs/>
                <w:iCs/>
                <w:noProof/>
                <w:sz w:val="16"/>
                <w:szCs w:val="16"/>
              </w:rPr>
            </w:pPr>
            <w:r w:rsidRPr="00B44B19">
              <w:rPr>
                <w:rFonts w:cs="Times New Roman"/>
                <w:bCs/>
                <w:iCs/>
                <w:noProof/>
                <w:sz w:val="16"/>
                <w:szCs w:val="16"/>
              </w:rPr>
              <w:t>Skaičius</w:t>
            </w:r>
          </w:p>
        </w:tc>
        <w:tc>
          <w:tcPr>
            <w:tcW w:w="503" w:type="pct"/>
          </w:tcPr>
          <w:p w14:paraId="12DE1AD1" w14:textId="77777777" w:rsidR="009E21DD" w:rsidRPr="00B44B19" w:rsidRDefault="009E21DD" w:rsidP="009E21DD">
            <w:pPr>
              <w:spacing w:after="0" w:line="240" w:lineRule="auto"/>
              <w:jc w:val="center"/>
              <w:rPr>
                <w:rFonts w:cs="Times New Roman"/>
                <w:bCs/>
                <w:iCs/>
                <w:noProof/>
                <w:sz w:val="16"/>
                <w:szCs w:val="16"/>
                <w:lang w:val="en-US"/>
              </w:rPr>
            </w:pPr>
            <w:r w:rsidRPr="00B44B19">
              <w:rPr>
                <w:rFonts w:cs="Times New Roman"/>
                <w:bCs/>
                <w:iCs/>
                <w:noProof/>
                <w:sz w:val="16"/>
                <w:szCs w:val="16"/>
                <w:lang w:val="en-US"/>
              </w:rPr>
              <w:t>13</w:t>
            </w:r>
          </w:p>
        </w:tc>
        <w:tc>
          <w:tcPr>
            <w:tcW w:w="486" w:type="pct"/>
          </w:tcPr>
          <w:p w14:paraId="6DB77D78" w14:textId="3EDDA96F" w:rsidR="009E21DD" w:rsidRPr="00B44B19" w:rsidRDefault="009E21DD" w:rsidP="009E21DD">
            <w:pPr>
              <w:spacing w:after="0" w:line="240" w:lineRule="auto"/>
              <w:jc w:val="center"/>
              <w:rPr>
                <w:rFonts w:cs="Times New Roman"/>
                <w:bCs/>
                <w:iCs/>
                <w:noProof/>
                <w:sz w:val="16"/>
                <w:szCs w:val="16"/>
              </w:rPr>
            </w:pPr>
            <w:r w:rsidRPr="00B44B19">
              <w:rPr>
                <w:rFonts w:cs="Times New Roman"/>
                <w:bCs/>
                <w:iCs/>
                <w:noProof/>
                <w:sz w:val="16"/>
                <w:szCs w:val="16"/>
              </w:rPr>
              <w:t>37</w:t>
            </w:r>
          </w:p>
        </w:tc>
      </w:tr>
      <w:tr w:rsidR="009E21DD" w:rsidRPr="00B44B19" w14:paraId="2D1F2B01" w14:textId="77777777" w:rsidTr="00293AD5">
        <w:trPr>
          <w:trHeight w:val="340"/>
        </w:trPr>
        <w:tc>
          <w:tcPr>
            <w:tcW w:w="496" w:type="pct"/>
            <w:vMerge/>
          </w:tcPr>
          <w:p w14:paraId="6B28D8F6" w14:textId="77777777" w:rsidR="009E21DD" w:rsidRPr="00B44B19" w:rsidRDefault="009E21DD" w:rsidP="009E21DD">
            <w:pPr>
              <w:spacing w:after="0" w:line="240" w:lineRule="auto"/>
              <w:rPr>
                <w:rFonts w:cs="Times New Roman"/>
                <w:noProof/>
                <w:sz w:val="16"/>
                <w:szCs w:val="16"/>
              </w:rPr>
            </w:pPr>
          </w:p>
        </w:tc>
        <w:tc>
          <w:tcPr>
            <w:tcW w:w="503" w:type="pct"/>
            <w:vMerge/>
          </w:tcPr>
          <w:p w14:paraId="191848E9" w14:textId="77777777" w:rsidR="009E21DD" w:rsidRPr="00B44B19" w:rsidRDefault="009E21DD" w:rsidP="009E21DD">
            <w:pPr>
              <w:spacing w:after="0" w:line="240" w:lineRule="auto"/>
              <w:rPr>
                <w:rFonts w:cs="Times New Roman"/>
                <w:noProof/>
                <w:sz w:val="16"/>
                <w:szCs w:val="16"/>
                <w:highlight w:val="yellow"/>
              </w:rPr>
            </w:pPr>
          </w:p>
        </w:tc>
        <w:tc>
          <w:tcPr>
            <w:tcW w:w="426" w:type="pct"/>
            <w:vMerge/>
            <w:tcBorders>
              <w:bottom w:val="nil"/>
            </w:tcBorders>
          </w:tcPr>
          <w:p w14:paraId="53B1C9B7" w14:textId="77777777" w:rsidR="009E21DD" w:rsidRPr="00B44B19" w:rsidRDefault="009E21DD" w:rsidP="009E21DD">
            <w:pPr>
              <w:spacing w:after="0" w:line="240" w:lineRule="auto"/>
              <w:rPr>
                <w:rFonts w:cs="Times New Roman"/>
                <w:noProof/>
                <w:sz w:val="16"/>
                <w:szCs w:val="16"/>
              </w:rPr>
            </w:pPr>
          </w:p>
        </w:tc>
        <w:tc>
          <w:tcPr>
            <w:tcW w:w="500" w:type="pct"/>
            <w:vMerge/>
            <w:tcBorders>
              <w:bottom w:val="nil"/>
            </w:tcBorders>
          </w:tcPr>
          <w:p w14:paraId="66945EB9" w14:textId="77777777" w:rsidR="009E21DD" w:rsidRPr="00B44B19" w:rsidRDefault="009E21DD" w:rsidP="009E21DD">
            <w:pPr>
              <w:spacing w:after="0" w:line="240" w:lineRule="auto"/>
              <w:rPr>
                <w:rFonts w:cs="Times New Roman"/>
                <w:noProof/>
                <w:sz w:val="16"/>
                <w:szCs w:val="16"/>
              </w:rPr>
            </w:pPr>
          </w:p>
        </w:tc>
        <w:tc>
          <w:tcPr>
            <w:tcW w:w="647" w:type="pct"/>
          </w:tcPr>
          <w:p w14:paraId="6502D8F7" w14:textId="77777777"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934" w:type="pct"/>
          </w:tcPr>
          <w:p w14:paraId="394A5BF0" w14:textId="3E5E985A"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Geležinkelių stotyse esantys peronai rekonstruoti, juos pritaikant vienalygei prieigai</w:t>
            </w:r>
          </w:p>
        </w:tc>
        <w:tc>
          <w:tcPr>
            <w:tcW w:w="504" w:type="pct"/>
          </w:tcPr>
          <w:p w14:paraId="74B5E8B7" w14:textId="77777777" w:rsidR="009E21DD" w:rsidRPr="00B44B19" w:rsidRDefault="009E21DD" w:rsidP="009E21DD">
            <w:pPr>
              <w:spacing w:after="0" w:line="240" w:lineRule="auto"/>
              <w:rPr>
                <w:rFonts w:cs="Times New Roman"/>
                <w:bCs/>
                <w:iCs/>
                <w:noProof/>
                <w:sz w:val="16"/>
                <w:szCs w:val="16"/>
              </w:rPr>
            </w:pPr>
            <w:r w:rsidRPr="00B44B19">
              <w:rPr>
                <w:rFonts w:cs="Times New Roman"/>
                <w:bCs/>
                <w:iCs/>
                <w:noProof/>
                <w:sz w:val="16"/>
                <w:szCs w:val="16"/>
              </w:rPr>
              <w:t>Skaičius</w:t>
            </w:r>
          </w:p>
        </w:tc>
        <w:tc>
          <w:tcPr>
            <w:tcW w:w="503" w:type="pct"/>
          </w:tcPr>
          <w:p w14:paraId="01ADAF38" w14:textId="77777777" w:rsidR="009E21DD" w:rsidRPr="00B44B19" w:rsidRDefault="009E21DD" w:rsidP="009E21DD">
            <w:pPr>
              <w:spacing w:after="0" w:line="240" w:lineRule="auto"/>
              <w:jc w:val="center"/>
              <w:rPr>
                <w:rFonts w:cs="Times New Roman"/>
                <w:bCs/>
                <w:iCs/>
                <w:noProof/>
                <w:sz w:val="16"/>
                <w:szCs w:val="16"/>
                <w:lang w:val="en-US"/>
              </w:rPr>
            </w:pPr>
            <w:r w:rsidRPr="00B44B19">
              <w:rPr>
                <w:rFonts w:cs="Times New Roman"/>
                <w:bCs/>
                <w:iCs/>
                <w:noProof/>
                <w:sz w:val="16"/>
                <w:szCs w:val="16"/>
                <w:lang w:val="en-US"/>
              </w:rPr>
              <w:t>0</w:t>
            </w:r>
          </w:p>
        </w:tc>
        <w:tc>
          <w:tcPr>
            <w:tcW w:w="486" w:type="pct"/>
          </w:tcPr>
          <w:p w14:paraId="7F2798D5" w14:textId="4E07961A" w:rsidR="009E21DD" w:rsidRPr="00B44B19" w:rsidRDefault="009E21DD" w:rsidP="009E21DD">
            <w:pPr>
              <w:spacing w:after="0" w:line="240" w:lineRule="auto"/>
              <w:jc w:val="center"/>
              <w:rPr>
                <w:rFonts w:cs="Times New Roman"/>
                <w:bCs/>
                <w:iCs/>
                <w:noProof/>
                <w:sz w:val="16"/>
                <w:szCs w:val="16"/>
              </w:rPr>
            </w:pPr>
            <w:r w:rsidRPr="00B44B19">
              <w:rPr>
                <w:rFonts w:cs="Times New Roman"/>
                <w:bCs/>
                <w:iCs/>
                <w:noProof/>
                <w:sz w:val="16"/>
                <w:szCs w:val="16"/>
              </w:rPr>
              <w:t>52</w:t>
            </w:r>
          </w:p>
        </w:tc>
      </w:tr>
      <w:tr w:rsidR="009E21DD" w:rsidRPr="00B44B19" w14:paraId="7CCA6A99" w14:textId="77777777" w:rsidTr="00293AD5">
        <w:trPr>
          <w:trHeight w:val="340"/>
        </w:trPr>
        <w:tc>
          <w:tcPr>
            <w:tcW w:w="496" w:type="pct"/>
            <w:vMerge/>
          </w:tcPr>
          <w:p w14:paraId="66EE541B" w14:textId="77777777" w:rsidR="009E21DD" w:rsidRPr="00B44B19" w:rsidRDefault="009E21DD" w:rsidP="009E21DD">
            <w:pPr>
              <w:spacing w:after="0" w:line="240" w:lineRule="auto"/>
              <w:rPr>
                <w:rFonts w:cs="Times New Roman"/>
                <w:noProof/>
                <w:sz w:val="16"/>
                <w:szCs w:val="16"/>
              </w:rPr>
            </w:pPr>
          </w:p>
        </w:tc>
        <w:tc>
          <w:tcPr>
            <w:tcW w:w="503" w:type="pct"/>
            <w:vMerge/>
            <w:tcBorders>
              <w:right w:val="single" w:sz="4" w:space="0" w:color="auto"/>
            </w:tcBorders>
          </w:tcPr>
          <w:p w14:paraId="601D782F" w14:textId="77777777" w:rsidR="009E21DD" w:rsidRPr="00B44B19" w:rsidRDefault="009E21DD" w:rsidP="009E21DD">
            <w:pPr>
              <w:spacing w:after="0" w:line="240" w:lineRule="auto"/>
              <w:rPr>
                <w:rFonts w:cs="Times New Roman"/>
                <w:noProof/>
                <w:sz w:val="16"/>
                <w:szCs w:val="16"/>
                <w:highlight w:val="yellow"/>
              </w:rPr>
            </w:pPr>
          </w:p>
        </w:tc>
        <w:tc>
          <w:tcPr>
            <w:tcW w:w="426" w:type="pct"/>
            <w:tcBorders>
              <w:top w:val="nil"/>
              <w:left w:val="single" w:sz="4" w:space="0" w:color="auto"/>
              <w:bottom w:val="single" w:sz="4" w:space="0" w:color="auto"/>
              <w:right w:val="single" w:sz="4" w:space="0" w:color="auto"/>
            </w:tcBorders>
          </w:tcPr>
          <w:p w14:paraId="65987DE3" w14:textId="77777777" w:rsidR="009E21DD" w:rsidRPr="00B44B19" w:rsidRDefault="009E21DD" w:rsidP="009E21DD">
            <w:pPr>
              <w:spacing w:after="0" w:line="240" w:lineRule="auto"/>
              <w:rPr>
                <w:rFonts w:cs="Times New Roman"/>
                <w:noProof/>
                <w:sz w:val="16"/>
                <w:szCs w:val="16"/>
              </w:rPr>
            </w:pPr>
          </w:p>
        </w:tc>
        <w:tc>
          <w:tcPr>
            <w:tcW w:w="500" w:type="pct"/>
            <w:tcBorders>
              <w:top w:val="nil"/>
              <w:left w:val="single" w:sz="4" w:space="0" w:color="auto"/>
              <w:bottom w:val="single" w:sz="4" w:space="0" w:color="auto"/>
              <w:right w:val="single" w:sz="4" w:space="0" w:color="auto"/>
            </w:tcBorders>
          </w:tcPr>
          <w:p w14:paraId="26224D00" w14:textId="77777777" w:rsidR="009E21DD" w:rsidRPr="00B44B19" w:rsidRDefault="009E21DD" w:rsidP="009E21DD">
            <w:pPr>
              <w:spacing w:after="0" w:line="240" w:lineRule="auto"/>
              <w:rPr>
                <w:rFonts w:cs="Times New Roman"/>
                <w:noProof/>
                <w:sz w:val="16"/>
                <w:szCs w:val="16"/>
              </w:rPr>
            </w:pPr>
          </w:p>
        </w:tc>
        <w:tc>
          <w:tcPr>
            <w:tcW w:w="647" w:type="pct"/>
          </w:tcPr>
          <w:p w14:paraId="0CF0C32F" w14:textId="2C2F5EBB"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RCO59</w:t>
            </w:r>
          </w:p>
        </w:tc>
        <w:tc>
          <w:tcPr>
            <w:tcW w:w="934" w:type="pct"/>
          </w:tcPr>
          <w:p w14:paraId="0B7C8ECF" w14:textId="3051FFDB"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cs="Times New Roman"/>
                <w:sz w:val="16"/>
                <w:szCs w:val="16"/>
              </w:rPr>
              <w:t>Alternatyviųjų degalų infrastruktūra (degalų papildymo / įkrovimo punktai)</w:t>
            </w:r>
          </w:p>
        </w:tc>
        <w:tc>
          <w:tcPr>
            <w:tcW w:w="504" w:type="pct"/>
          </w:tcPr>
          <w:p w14:paraId="447F5F89" w14:textId="54D138D1" w:rsidR="009E21DD" w:rsidRPr="00B44B19" w:rsidRDefault="009E21DD" w:rsidP="009E21DD">
            <w:pPr>
              <w:spacing w:after="0" w:line="240" w:lineRule="auto"/>
              <w:rPr>
                <w:rFonts w:cs="Times New Roman"/>
                <w:iCs/>
                <w:noProof/>
                <w:sz w:val="16"/>
                <w:szCs w:val="16"/>
              </w:rPr>
            </w:pPr>
            <w:r w:rsidRPr="00B44B19">
              <w:rPr>
                <w:rFonts w:cs="Times New Roman"/>
                <w:iCs/>
                <w:noProof/>
                <w:sz w:val="16"/>
                <w:szCs w:val="16"/>
              </w:rPr>
              <w:t>Skaičius</w:t>
            </w:r>
          </w:p>
        </w:tc>
        <w:tc>
          <w:tcPr>
            <w:tcW w:w="503" w:type="pct"/>
          </w:tcPr>
          <w:p w14:paraId="6580D76B" w14:textId="797D95F8" w:rsidR="009E21DD" w:rsidRPr="00B44B19" w:rsidRDefault="009E21DD" w:rsidP="009E21DD">
            <w:pPr>
              <w:spacing w:after="0" w:line="240" w:lineRule="auto"/>
              <w:jc w:val="center"/>
              <w:rPr>
                <w:rFonts w:cs="Times New Roman"/>
                <w:iCs/>
                <w:noProof/>
                <w:sz w:val="16"/>
                <w:szCs w:val="16"/>
                <w:lang w:val="en-US"/>
              </w:rPr>
            </w:pPr>
            <w:r w:rsidRPr="00B44B19">
              <w:rPr>
                <w:rFonts w:cs="Times New Roman"/>
                <w:iCs/>
                <w:noProof/>
                <w:sz w:val="16"/>
                <w:szCs w:val="16"/>
              </w:rPr>
              <w:t>0</w:t>
            </w:r>
          </w:p>
        </w:tc>
        <w:tc>
          <w:tcPr>
            <w:tcW w:w="486" w:type="pct"/>
          </w:tcPr>
          <w:p w14:paraId="1AD51D1C" w14:textId="61EF4872" w:rsidR="009E21DD" w:rsidRPr="00B44B19" w:rsidRDefault="009E21DD" w:rsidP="009E21DD">
            <w:pPr>
              <w:spacing w:after="0" w:line="240" w:lineRule="auto"/>
              <w:jc w:val="center"/>
              <w:rPr>
                <w:rFonts w:cs="Times New Roman"/>
                <w:iCs/>
                <w:noProof/>
                <w:sz w:val="16"/>
                <w:szCs w:val="16"/>
              </w:rPr>
            </w:pPr>
            <w:r w:rsidRPr="00B44B19">
              <w:rPr>
                <w:rFonts w:cs="Times New Roman"/>
                <w:iCs/>
                <w:noProof/>
                <w:sz w:val="16"/>
                <w:szCs w:val="16"/>
              </w:rPr>
              <w:t>1</w:t>
            </w:r>
          </w:p>
        </w:tc>
      </w:tr>
      <w:tr w:rsidR="009E21DD" w:rsidRPr="00B44B19" w14:paraId="5DFA7FB9" w14:textId="77777777" w:rsidTr="00293AD5">
        <w:trPr>
          <w:trHeight w:val="340"/>
        </w:trPr>
        <w:tc>
          <w:tcPr>
            <w:tcW w:w="496" w:type="pct"/>
            <w:vMerge/>
          </w:tcPr>
          <w:p w14:paraId="1FC18714" w14:textId="77777777" w:rsidR="009E21DD" w:rsidRPr="00B44B19" w:rsidRDefault="009E21DD" w:rsidP="009E21DD">
            <w:pPr>
              <w:spacing w:after="0" w:line="240" w:lineRule="auto"/>
              <w:rPr>
                <w:rFonts w:cs="Times New Roman"/>
                <w:noProof/>
                <w:sz w:val="16"/>
                <w:szCs w:val="16"/>
              </w:rPr>
            </w:pPr>
          </w:p>
        </w:tc>
        <w:tc>
          <w:tcPr>
            <w:tcW w:w="503" w:type="pct"/>
            <w:vMerge/>
          </w:tcPr>
          <w:p w14:paraId="5E67C934" w14:textId="77777777" w:rsidR="009E21DD" w:rsidRPr="00B44B19" w:rsidRDefault="009E21DD" w:rsidP="009E21DD">
            <w:pPr>
              <w:spacing w:after="0" w:line="240" w:lineRule="auto"/>
              <w:rPr>
                <w:rFonts w:cs="Times New Roman"/>
                <w:noProof/>
                <w:sz w:val="16"/>
                <w:szCs w:val="16"/>
                <w:highlight w:val="yellow"/>
              </w:rPr>
            </w:pPr>
          </w:p>
        </w:tc>
        <w:tc>
          <w:tcPr>
            <w:tcW w:w="426" w:type="pct"/>
            <w:tcBorders>
              <w:top w:val="single" w:sz="4" w:space="0" w:color="auto"/>
            </w:tcBorders>
          </w:tcPr>
          <w:p w14:paraId="4E9EBFE8" w14:textId="77777777" w:rsidR="009E21DD" w:rsidRPr="00B44B19" w:rsidRDefault="009E21DD" w:rsidP="009E21DD">
            <w:pPr>
              <w:spacing w:after="0" w:line="240" w:lineRule="auto"/>
              <w:rPr>
                <w:rFonts w:cs="Times New Roman"/>
                <w:noProof/>
                <w:sz w:val="16"/>
                <w:szCs w:val="16"/>
              </w:rPr>
            </w:pPr>
            <w:r w:rsidRPr="00B44B19">
              <w:rPr>
                <w:rFonts w:cs="Times New Roman"/>
                <w:noProof/>
                <w:sz w:val="16"/>
                <w:szCs w:val="16"/>
              </w:rPr>
              <w:t>ERPF</w:t>
            </w:r>
          </w:p>
        </w:tc>
        <w:tc>
          <w:tcPr>
            <w:tcW w:w="500" w:type="pct"/>
            <w:tcBorders>
              <w:top w:val="single" w:sz="4" w:space="0" w:color="auto"/>
            </w:tcBorders>
          </w:tcPr>
          <w:p w14:paraId="3B351653" w14:textId="77777777" w:rsidR="009E21DD" w:rsidRPr="00B44B19" w:rsidRDefault="009E21DD" w:rsidP="009E21DD">
            <w:pPr>
              <w:spacing w:after="0" w:line="240" w:lineRule="auto"/>
              <w:rPr>
                <w:rFonts w:cs="Times New Roman"/>
                <w:noProof/>
                <w:sz w:val="16"/>
                <w:szCs w:val="16"/>
              </w:rPr>
            </w:pPr>
            <w:r w:rsidRPr="00B44B19">
              <w:rPr>
                <w:rFonts w:cs="Times New Roman"/>
                <w:noProof/>
                <w:sz w:val="16"/>
                <w:szCs w:val="16"/>
              </w:rPr>
              <w:t>VVL regionas</w:t>
            </w:r>
          </w:p>
        </w:tc>
        <w:tc>
          <w:tcPr>
            <w:tcW w:w="647" w:type="pct"/>
          </w:tcPr>
          <w:p w14:paraId="7EA64F55" w14:textId="77777777"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RCO45</w:t>
            </w:r>
          </w:p>
        </w:tc>
        <w:tc>
          <w:tcPr>
            <w:tcW w:w="934" w:type="pct"/>
          </w:tcPr>
          <w:p w14:paraId="4D3E6045" w14:textId="77777777" w:rsidR="009E21DD" w:rsidRPr="00B44B19" w:rsidRDefault="009E21DD" w:rsidP="009E21DD">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 xml:space="preserve">Rekonstruotų arba modernizuotų kelių ilgis – TEN-T </w:t>
            </w:r>
          </w:p>
        </w:tc>
        <w:tc>
          <w:tcPr>
            <w:tcW w:w="504" w:type="pct"/>
          </w:tcPr>
          <w:p w14:paraId="6D002296" w14:textId="77777777" w:rsidR="009E21DD" w:rsidRPr="00B44B19" w:rsidRDefault="009E21DD" w:rsidP="009E21DD">
            <w:pPr>
              <w:spacing w:after="0" w:line="240" w:lineRule="auto"/>
              <w:rPr>
                <w:rFonts w:cs="Times New Roman"/>
                <w:bCs/>
                <w:iCs/>
                <w:noProof/>
                <w:sz w:val="16"/>
                <w:szCs w:val="16"/>
              </w:rPr>
            </w:pPr>
            <w:r w:rsidRPr="00B44B19">
              <w:rPr>
                <w:rFonts w:cs="Times New Roman"/>
                <w:bCs/>
                <w:iCs/>
                <w:noProof/>
                <w:sz w:val="16"/>
                <w:szCs w:val="16"/>
              </w:rPr>
              <w:t>Km</w:t>
            </w:r>
          </w:p>
        </w:tc>
        <w:tc>
          <w:tcPr>
            <w:tcW w:w="503" w:type="pct"/>
          </w:tcPr>
          <w:p w14:paraId="393BC76F" w14:textId="77777777" w:rsidR="009E21DD" w:rsidRPr="00B44B19" w:rsidRDefault="009E21DD" w:rsidP="009E21DD">
            <w:pPr>
              <w:spacing w:after="0" w:line="240" w:lineRule="auto"/>
              <w:jc w:val="center"/>
              <w:rPr>
                <w:rFonts w:cs="Times New Roman"/>
                <w:bCs/>
                <w:iCs/>
                <w:noProof/>
                <w:sz w:val="16"/>
                <w:szCs w:val="16"/>
                <w:lang w:val="en-US"/>
              </w:rPr>
            </w:pPr>
            <w:r w:rsidRPr="00B44B19">
              <w:rPr>
                <w:rFonts w:cs="Times New Roman"/>
                <w:bCs/>
                <w:iCs/>
                <w:noProof/>
                <w:sz w:val="16"/>
                <w:szCs w:val="16"/>
              </w:rPr>
              <w:t>12,06</w:t>
            </w:r>
          </w:p>
        </w:tc>
        <w:tc>
          <w:tcPr>
            <w:tcW w:w="486" w:type="pct"/>
          </w:tcPr>
          <w:p w14:paraId="455EB960" w14:textId="422752EA" w:rsidR="009E21DD" w:rsidRPr="00B44B19" w:rsidRDefault="009E21DD" w:rsidP="009E21DD">
            <w:pPr>
              <w:spacing w:after="0" w:line="240" w:lineRule="auto"/>
              <w:jc w:val="center"/>
              <w:rPr>
                <w:rFonts w:cs="Times New Roman"/>
                <w:bCs/>
                <w:iCs/>
                <w:noProof/>
                <w:sz w:val="16"/>
                <w:szCs w:val="16"/>
              </w:rPr>
            </w:pPr>
            <w:r w:rsidRPr="00B44B19">
              <w:rPr>
                <w:rFonts w:cs="Times New Roman"/>
                <w:bCs/>
                <w:iCs/>
                <w:noProof/>
                <w:sz w:val="16"/>
                <w:szCs w:val="16"/>
              </w:rPr>
              <w:t>6,85</w:t>
            </w:r>
          </w:p>
        </w:tc>
      </w:tr>
    </w:tbl>
    <w:p w14:paraId="6E02D2F7" w14:textId="77777777" w:rsidR="00471A41" w:rsidRPr="00B44B19" w:rsidRDefault="00471A41" w:rsidP="00471A41">
      <w:pPr>
        <w:spacing w:after="0" w:line="240" w:lineRule="auto"/>
        <w:jc w:val="both"/>
        <w:rPr>
          <w:rFonts w:cs="Times New Roman"/>
          <w:b/>
          <w:bCs/>
          <w:szCs w:val="24"/>
        </w:rPr>
      </w:pPr>
    </w:p>
    <w:p w14:paraId="7D644A1C" w14:textId="77777777" w:rsidR="00CC2709" w:rsidRPr="00B44B19" w:rsidRDefault="00CC2709" w:rsidP="00471A41">
      <w:pPr>
        <w:spacing w:after="0" w:line="240" w:lineRule="auto"/>
        <w:rPr>
          <w:rFonts w:cs="Times New Roman"/>
          <w:b/>
          <w:sz w:val="20"/>
          <w:szCs w:val="24"/>
        </w:rPr>
        <w:sectPr w:rsidR="00CC2709" w:rsidRPr="00B44B19" w:rsidSect="00931C78">
          <w:pgSz w:w="11906" w:h="16838"/>
          <w:pgMar w:top="1276" w:right="567" w:bottom="1134" w:left="1701" w:header="567" w:footer="567" w:gutter="0"/>
          <w:cols w:space="1296"/>
          <w:docGrid w:linePitch="360"/>
        </w:sectPr>
      </w:pPr>
    </w:p>
    <w:p w14:paraId="0B7C0218" w14:textId="77777777" w:rsidR="00471A41" w:rsidRPr="00B44B19" w:rsidRDefault="00471A41" w:rsidP="00471A41">
      <w:pPr>
        <w:spacing w:after="0" w:line="240" w:lineRule="auto"/>
        <w:rPr>
          <w:rFonts w:cs="Times New Roman"/>
          <w:szCs w:val="24"/>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75"/>
        <w:gridCol w:w="838"/>
        <w:gridCol w:w="975"/>
        <w:gridCol w:w="1255"/>
        <w:gridCol w:w="3208"/>
        <w:gridCol w:w="1252"/>
        <w:gridCol w:w="1115"/>
        <w:gridCol w:w="1115"/>
        <w:gridCol w:w="1115"/>
        <w:gridCol w:w="1118"/>
        <w:gridCol w:w="957"/>
      </w:tblGrid>
      <w:tr w:rsidR="00851BB9" w:rsidRPr="00B44B19" w14:paraId="14AD77B5" w14:textId="77777777" w:rsidTr="00251C89">
        <w:trPr>
          <w:trHeight w:val="872"/>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69182E"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D15ECC"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2E99E5"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D29B50"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9D43F2"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448CBC"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D7B867"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CA126C"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318C42"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DE7D58" w14:textId="77777777" w:rsidR="00851BB9" w:rsidRPr="00B44B19" w:rsidRDefault="00851BB9" w:rsidP="00251C89">
            <w:pPr>
              <w:spacing w:after="0" w:line="240" w:lineRule="auto"/>
              <w:jc w:val="center"/>
              <w:rPr>
                <w:rFonts w:cs="Times New Roman"/>
                <w:b/>
                <w:noProof/>
                <w:sz w:val="16"/>
                <w:szCs w:val="16"/>
              </w:rPr>
            </w:pPr>
            <w:r w:rsidRPr="00B44B19">
              <w:rPr>
                <w:rFonts w:cs="Times New Roman"/>
                <w:b/>
                <w:noProof/>
                <w:sz w:val="16"/>
                <w:szCs w:val="16"/>
              </w:rPr>
              <w:t>Siek</w:t>
            </w:r>
            <w:r w:rsidR="00F83D1E" w:rsidRPr="00B44B19">
              <w:rPr>
                <w:rFonts w:cs="Times New Roman"/>
                <w:b/>
                <w:noProof/>
                <w:sz w:val="16"/>
                <w:szCs w:val="16"/>
              </w:rPr>
              <w:t>tina reikšmė</w:t>
            </w:r>
            <w:r w:rsidRPr="00B44B19">
              <w:rPr>
                <w:rFonts w:cs="Times New Roman"/>
                <w:b/>
                <w:noProof/>
                <w:sz w:val="16"/>
                <w:szCs w:val="16"/>
              </w:rPr>
              <w:t>(2029 m.)</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7B69BD" w14:textId="77777777" w:rsidR="00851BB9" w:rsidRPr="00B44B19" w:rsidRDefault="009430A3" w:rsidP="00251C89">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47084" w14:textId="77777777" w:rsidR="00851BB9" w:rsidRPr="00B44B19" w:rsidRDefault="009430A3" w:rsidP="00251C89">
            <w:pPr>
              <w:spacing w:after="0" w:line="240" w:lineRule="auto"/>
              <w:jc w:val="center"/>
              <w:rPr>
                <w:rFonts w:cs="Times New Roman"/>
                <w:b/>
                <w:noProof/>
                <w:sz w:val="16"/>
                <w:szCs w:val="16"/>
              </w:rPr>
            </w:pPr>
            <w:r w:rsidRPr="00B44B19">
              <w:rPr>
                <w:rFonts w:cs="Times New Roman"/>
                <w:b/>
                <w:noProof/>
                <w:sz w:val="16"/>
                <w:szCs w:val="16"/>
              </w:rPr>
              <w:t>Pastabos</w:t>
            </w:r>
          </w:p>
        </w:tc>
      </w:tr>
      <w:tr w:rsidR="00851BB9" w:rsidRPr="00B44B19" w14:paraId="17461E5C" w14:textId="77777777" w:rsidTr="00251C89">
        <w:trPr>
          <w:trHeight w:val="402"/>
        </w:trPr>
        <w:tc>
          <w:tcPr>
            <w:tcW w:w="317" w:type="pct"/>
            <w:vMerge w:val="restart"/>
            <w:tcBorders>
              <w:top w:val="single" w:sz="12" w:space="0" w:color="auto"/>
            </w:tcBorders>
          </w:tcPr>
          <w:p w14:paraId="5DD6290D" w14:textId="77777777" w:rsidR="00851BB9" w:rsidRPr="00B44B19" w:rsidRDefault="00851BB9" w:rsidP="00251C89">
            <w:pPr>
              <w:spacing w:after="0" w:line="240" w:lineRule="auto"/>
              <w:rPr>
                <w:rFonts w:cs="Times New Roman"/>
                <w:noProof/>
                <w:sz w:val="16"/>
                <w:szCs w:val="16"/>
              </w:rPr>
            </w:pPr>
            <w:r w:rsidRPr="00B44B19">
              <w:rPr>
                <w:rFonts w:cs="Times New Roman"/>
                <w:noProof/>
                <w:sz w:val="16"/>
                <w:szCs w:val="16"/>
              </w:rPr>
              <w:t>3. Geriau sujungta Lietuva</w:t>
            </w:r>
          </w:p>
        </w:tc>
        <w:tc>
          <w:tcPr>
            <w:tcW w:w="328" w:type="pct"/>
            <w:vMerge w:val="restart"/>
            <w:tcBorders>
              <w:top w:val="single" w:sz="12" w:space="0" w:color="auto"/>
            </w:tcBorders>
          </w:tcPr>
          <w:p w14:paraId="7BF1D0CE" w14:textId="77777777" w:rsidR="00851BB9" w:rsidRPr="00B44B19" w:rsidRDefault="00851BB9" w:rsidP="00251C89">
            <w:pPr>
              <w:spacing w:after="0" w:line="240" w:lineRule="auto"/>
              <w:rPr>
                <w:rFonts w:cs="Times New Roman"/>
                <w:noProof/>
                <w:sz w:val="16"/>
                <w:szCs w:val="16"/>
              </w:rPr>
            </w:pPr>
            <w:r w:rsidRPr="00B44B19">
              <w:rPr>
                <w:rFonts w:cs="Times New Roman"/>
                <w:noProof/>
                <w:sz w:val="16"/>
                <w:szCs w:val="16"/>
              </w:rPr>
              <w:t>3.1</w:t>
            </w:r>
          </w:p>
        </w:tc>
        <w:tc>
          <w:tcPr>
            <w:tcW w:w="282" w:type="pct"/>
            <w:vMerge w:val="restart"/>
            <w:tcBorders>
              <w:top w:val="single" w:sz="12" w:space="0" w:color="auto"/>
            </w:tcBorders>
          </w:tcPr>
          <w:p w14:paraId="06E45D0F" w14:textId="77777777" w:rsidR="00851BB9" w:rsidRPr="00B44B19" w:rsidRDefault="00851BB9" w:rsidP="00251C89">
            <w:pPr>
              <w:spacing w:after="0" w:line="240" w:lineRule="auto"/>
              <w:rPr>
                <w:rFonts w:cs="Times New Roman"/>
                <w:noProof/>
                <w:sz w:val="16"/>
                <w:szCs w:val="16"/>
              </w:rPr>
            </w:pPr>
            <w:r w:rsidRPr="00B44B19">
              <w:rPr>
                <w:rFonts w:cs="Times New Roman"/>
                <w:noProof/>
                <w:sz w:val="16"/>
                <w:szCs w:val="16"/>
              </w:rPr>
              <w:t>SaF</w:t>
            </w:r>
          </w:p>
        </w:tc>
        <w:tc>
          <w:tcPr>
            <w:tcW w:w="328" w:type="pct"/>
            <w:vMerge w:val="restart"/>
            <w:tcBorders>
              <w:top w:val="single" w:sz="12" w:space="0" w:color="auto"/>
            </w:tcBorders>
          </w:tcPr>
          <w:p w14:paraId="01D2C36C" w14:textId="77777777" w:rsidR="00851BB9" w:rsidRPr="00B44B19" w:rsidRDefault="00851BB9" w:rsidP="00251C89">
            <w:pPr>
              <w:spacing w:after="0" w:line="240" w:lineRule="auto"/>
              <w:rPr>
                <w:rFonts w:cs="Times New Roman"/>
                <w:noProof/>
                <w:sz w:val="16"/>
                <w:szCs w:val="16"/>
              </w:rPr>
            </w:pPr>
            <w:r w:rsidRPr="00B44B19">
              <w:rPr>
                <w:rFonts w:cs="Times New Roman"/>
                <w:noProof/>
                <w:sz w:val="16"/>
                <w:szCs w:val="16"/>
              </w:rPr>
              <w:t>Visa Lietuva</w:t>
            </w:r>
          </w:p>
        </w:tc>
        <w:tc>
          <w:tcPr>
            <w:tcW w:w="422" w:type="pct"/>
            <w:tcBorders>
              <w:top w:val="single" w:sz="12" w:space="0" w:color="auto"/>
            </w:tcBorders>
          </w:tcPr>
          <w:p w14:paraId="0D9FB7D7" w14:textId="77777777" w:rsidR="00851BB9" w:rsidRPr="00B44B19" w:rsidRDefault="00851BB9" w:rsidP="00251C89">
            <w:pPr>
              <w:spacing w:after="0" w:line="240" w:lineRule="auto"/>
              <w:jc w:val="both"/>
              <w:rPr>
                <w:rFonts w:cs="Times New Roman"/>
                <w:noProof/>
                <w:sz w:val="16"/>
                <w:szCs w:val="16"/>
              </w:rPr>
            </w:pPr>
            <w:r w:rsidRPr="00B44B19">
              <w:rPr>
                <w:rFonts w:cs="Times New Roman"/>
                <w:noProof/>
                <w:sz w:val="16"/>
                <w:szCs w:val="16"/>
              </w:rPr>
              <w:t>RCR29</w:t>
            </w:r>
          </w:p>
        </w:tc>
        <w:tc>
          <w:tcPr>
            <w:tcW w:w="1079" w:type="pct"/>
            <w:tcBorders>
              <w:top w:val="single" w:sz="12" w:space="0" w:color="auto"/>
            </w:tcBorders>
          </w:tcPr>
          <w:p w14:paraId="435C7006" w14:textId="77777777" w:rsidR="00851BB9" w:rsidRPr="00B44B19" w:rsidRDefault="00851BB9" w:rsidP="00251C89">
            <w:pPr>
              <w:spacing w:after="0" w:line="240" w:lineRule="auto"/>
              <w:rPr>
                <w:rFonts w:cs="Times New Roman"/>
                <w:noProof/>
                <w:sz w:val="16"/>
                <w:szCs w:val="16"/>
              </w:rPr>
            </w:pPr>
            <w:r w:rsidRPr="00B44B19">
              <w:rPr>
                <w:rFonts w:cs="Times New Roman"/>
                <w:noProof/>
                <w:sz w:val="16"/>
                <w:szCs w:val="16"/>
              </w:rPr>
              <w:t>Numatomas išmetamas šiltnamio efektą sukeliančių dujų kiekis</w:t>
            </w:r>
          </w:p>
        </w:tc>
        <w:tc>
          <w:tcPr>
            <w:tcW w:w="421" w:type="pct"/>
            <w:tcBorders>
              <w:top w:val="single" w:sz="12" w:space="0" w:color="auto"/>
            </w:tcBorders>
          </w:tcPr>
          <w:p w14:paraId="4C427A82" w14:textId="77777777" w:rsidR="00851BB9" w:rsidRPr="00B44B19" w:rsidRDefault="00851BB9" w:rsidP="00251C89">
            <w:pPr>
              <w:spacing w:after="0" w:line="240" w:lineRule="auto"/>
              <w:jc w:val="both"/>
              <w:rPr>
                <w:rFonts w:cs="Times New Roman"/>
                <w:iCs/>
                <w:noProof/>
                <w:sz w:val="16"/>
                <w:szCs w:val="16"/>
              </w:rPr>
            </w:pPr>
            <w:r w:rsidRPr="00B44B19">
              <w:rPr>
                <w:rFonts w:cs="Times New Roman"/>
                <w:iCs/>
                <w:noProof/>
                <w:sz w:val="16"/>
                <w:szCs w:val="16"/>
              </w:rPr>
              <w:t>Tonos CO2 ekvivalentu per metus</w:t>
            </w:r>
          </w:p>
        </w:tc>
        <w:tc>
          <w:tcPr>
            <w:tcW w:w="375" w:type="pct"/>
            <w:tcBorders>
              <w:top w:val="single" w:sz="12" w:space="0" w:color="auto"/>
            </w:tcBorders>
          </w:tcPr>
          <w:p w14:paraId="2D62AF62" w14:textId="67E79E6D" w:rsidR="00851BB9" w:rsidRPr="00B44B19" w:rsidRDefault="00B276A3" w:rsidP="00251C89">
            <w:pPr>
              <w:spacing w:after="0" w:line="240" w:lineRule="auto"/>
              <w:jc w:val="center"/>
              <w:rPr>
                <w:rFonts w:cs="Times New Roman"/>
                <w:iCs/>
                <w:noProof/>
                <w:sz w:val="16"/>
                <w:szCs w:val="16"/>
              </w:rPr>
            </w:pPr>
            <w:r w:rsidRPr="00B44B19">
              <w:rPr>
                <w:rFonts w:cs="Times New Roman"/>
                <w:iCs/>
                <w:noProof/>
                <w:sz w:val="16"/>
                <w:szCs w:val="16"/>
              </w:rPr>
              <w:t>30 910</w:t>
            </w:r>
          </w:p>
        </w:tc>
        <w:tc>
          <w:tcPr>
            <w:tcW w:w="375" w:type="pct"/>
            <w:tcBorders>
              <w:top w:val="single" w:sz="12" w:space="0" w:color="auto"/>
            </w:tcBorders>
          </w:tcPr>
          <w:p w14:paraId="3DEF1A7E" w14:textId="77777777" w:rsidR="00851BB9" w:rsidRPr="00B44B19" w:rsidRDefault="00851BB9" w:rsidP="00251C89">
            <w:pPr>
              <w:spacing w:after="0" w:line="240" w:lineRule="auto"/>
              <w:jc w:val="center"/>
              <w:rPr>
                <w:rFonts w:cs="Times New Roman"/>
                <w:bCs/>
                <w:noProof/>
                <w:sz w:val="16"/>
                <w:szCs w:val="16"/>
              </w:rPr>
            </w:pPr>
            <w:r w:rsidRPr="00B44B19">
              <w:rPr>
                <w:rFonts w:cs="Times New Roman"/>
                <w:bCs/>
                <w:noProof/>
                <w:sz w:val="16"/>
                <w:szCs w:val="16"/>
              </w:rPr>
              <w:t>2020</w:t>
            </w:r>
          </w:p>
        </w:tc>
        <w:tc>
          <w:tcPr>
            <w:tcW w:w="375" w:type="pct"/>
            <w:tcBorders>
              <w:top w:val="single" w:sz="12" w:space="0" w:color="auto"/>
            </w:tcBorders>
          </w:tcPr>
          <w:p w14:paraId="18D83016" w14:textId="591FC942" w:rsidR="00851BB9" w:rsidRPr="00B44B19" w:rsidRDefault="00B276A3" w:rsidP="00251C89">
            <w:pPr>
              <w:spacing w:after="0" w:line="240" w:lineRule="auto"/>
              <w:jc w:val="center"/>
              <w:rPr>
                <w:rFonts w:cs="Times New Roman"/>
                <w:b/>
                <w:noProof/>
                <w:sz w:val="16"/>
                <w:szCs w:val="16"/>
              </w:rPr>
            </w:pPr>
            <w:r w:rsidRPr="00B44B19">
              <w:rPr>
                <w:rFonts w:cs="Times New Roman"/>
                <w:sz w:val="16"/>
                <w:szCs w:val="16"/>
              </w:rPr>
              <w:t>6</w:t>
            </w:r>
            <w:r w:rsidR="008A4488" w:rsidRPr="00B44B19">
              <w:rPr>
                <w:rFonts w:cs="Times New Roman"/>
                <w:sz w:val="16"/>
                <w:szCs w:val="16"/>
              </w:rPr>
              <w:t xml:space="preserve"> </w:t>
            </w:r>
            <w:r w:rsidRPr="00B44B19">
              <w:rPr>
                <w:rFonts w:cs="Times New Roman"/>
                <w:sz w:val="16"/>
                <w:szCs w:val="16"/>
              </w:rPr>
              <w:t>900</w:t>
            </w:r>
          </w:p>
        </w:tc>
        <w:tc>
          <w:tcPr>
            <w:tcW w:w="376" w:type="pct"/>
            <w:tcBorders>
              <w:top w:val="single" w:sz="12" w:space="0" w:color="auto"/>
            </w:tcBorders>
          </w:tcPr>
          <w:p w14:paraId="38B98D71" w14:textId="77777777" w:rsidR="00851BB9" w:rsidRPr="00B44B19" w:rsidRDefault="005603BB" w:rsidP="00251C89">
            <w:pPr>
              <w:spacing w:after="0" w:line="240" w:lineRule="auto"/>
              <w:rPr>
                <w:rFonts w:cs="Times New Roman"/>
                <w:noProof/>
                <w:sz w:val="16"/>
                <w:szCs w:val="16"/>
              </w:rPr>
            </w:pPr>
            <w:r w:rsidRPr="00B44B19">
              <w:rPr>
                <w:rFonts w:cs="Times New Roman"/>
                <w:noProof/>
                <w:sz w:val="16"/>
                <w:szCs w:val="16"/>
              </w:rPr>
              <w:t>Projektų duomenys</w:t>
            </w:r>
          </w:p>
        </w:tc>
        <w:tc>
          <w:tcPr>
            <w:tcW w:w="322" w:type="pct"/>
            <w:tcBorders>
              <w:top w:val="single" w:sz="12" w:space="0" w:color="auto"/>
            </w:tcBorders>
          </w:tcPr>
          <w:p w14:paraId="4173EC89" w14:textId="62347F2C" w:rsidR="00851BB9" w:rsidRPr="00B44B19" w:rsidRDefault="00851BB9" w:rsidP="00754CAE">
            <w:pPr>
              <w:spacing w:after="0" w:line="240" w:lineRule="auto"/>
              <w:jc w:val="both"/>
              <w:rPr>
                <w:rFonts w:eastAsia="Calibri" w:cs="Times New Roman"/>
                <w:i/>
                <w:noProof/>
                <w:sz w:val="14"/>
                <w:szCs w:val="14"/>
                <w:lang w:eastAsia="lt-LT" w:bidi="lt-LT"/>
              </w:rPr>
            </w:pPr>
          </w:p>
        </w:tc>
      </w:tr>
      <w:tr w:rsidR="00851BB9" w:rsidRPr="00B44B19" w14:paraId="1529901E" w14:textId="77777777" w:rsidTr="00251C89">
        <w:trPr>
          <w:trHeight w:val="559"/>
        </w:trPr>
        <w:tc>
          <w:tcPr>
            <w:tcW w:w="317" w:type="pct"/>
            <w:vMerge/>
          </w:tcPr>
          <w:p w14:paraId="78077A0C"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51E21B44" w14:textId="77777777" w:rsidR="00851BB9" w:rsidRPr="00B44B19" w:rsidRDefault="00851BB9" w:rsidP="00251C89">
            <w:pPr>
              <w:spacing w:after="0" w:line="240" w:lineRule="auto"/>
              <w:jc w:val="both"/>
              <w:rPr>
                <w:rFonts w:cs="Times New Roman"/>
                <w:noProof/>
                <w:sz w:val="16"/>
                <w:szCs w:val="16"/>
              </w:rPr>
            </w:pPr>
          </w:p>
        </w:tc>
        <w:tc>
          <w:tcPr>
            <w:tcW w:w="282" w:type="pct"/>
            <w:vMerge/>
          </w:tcPr>
          <w:p w14:paraId="6A3CD1BF"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3A47889E" w14:textId="77777777" w:rsidR="00851BB9" w:rsidRPr="00B44B19" w:rsidRDefault="00851BB9" w:rsidP="00251C89">
            <w:pPr>
              <w:spacing w:after="0" w:line="240" w:lineRule="auto"/>
              <w:jc w:val="both"/>
              <w:rPr>
                <w:rFonts w:cs="Times New Roman"/>
                <w:noProof/>
                <w:sz w:val="14"/>
                <w:szCs w:val="14"/>
                <w:highlight w:val="yellow"/>
              </w:rPr>
            </w:pPr>
          </w:p>
        </w:tc>
        <w:tc>
          <w:tcPr>
            <w:tcW w:w="422" w:type="pct"/>
            <w:tcBorders>
              <w:bottom w:val="single" w:sz="4" w:space="0" w:color="auto"/>
            </w:tcBorders>
          </w:tcPr>
          <w:p w14:paraId="6550F561" w14:textId="77777777" w:rsidR="00851BB9" w:rsidRPr="00B44B19" w:rsidRDefault="00851BB9" w:rsidP="00251C89">
            <w:pPr>
              <w:spacing w:after="0" w:line="240" w:lineRule="auto"/>
              <w:jc w:val="both"/>
              <w:rPr>
                <w:rFonts w:cs="Times New Roman"/>
                <w:noProof/>
                <w:sz w:val="16"/>
                <w:szCs w:val="16"/>
              </w:rPr>
            </w:pPr>
            <w:r w:rsidRPr="00B44B19">
              <w:rPr>
                <w:rFonts w:cs="Times New Roman"/>
                <w:noProof/>
                <w:sz w:val="16"/>
                <w:szCs w:val="16"/>
              </w:rPr>
              <w:t>RCR55</w:t>
            </w:r>
          </w:p>
        </w:tc>
        <w:tc>
          <w:tcPr>
            <w:tcW w:w="1079" w:type="pct"/>
            <w:tcBorders>
              <w:bottom w:val="single" w:sz="4" w:space="0" w:color="auto"/>
            </w:tcBorders>
          </w:tcPr>
          <w:p w14:paraId="6DE27E3A" w14:textId="77777777" w:rsidR="00851BB9" w:rsidRPr="00B44B19" w:rsidRDefault="00851BB9" w:rsidP="00251C89">
            <w:pPr>
              <w:spacing w:after="0" w:line="240" w:lineRule="auto"/>
              <w:rPr>
                <w:rFonts w:eastAsia="Times New Roman" w:cs="Times New Roman"/>
                <w:sz w:val="16"/>
                <w:szCs w:val="16"/>
                <w:lang w:eastAsia="lt-LT" w:bidi="ml-IN"/>
              </w:rPr>
            </w:pPr>
            <w:r w:rsidRPr="00B44B19">
              <w:rPr>
                <w:rFonts w:cs="Times New Roman"/>
                <w:noProof/>
                <w:sz w:val="16"/>
                <w:szCs w:val="16"/>
              </w:rPr>
              <w:t>Naujai pastatytų, rekonstruotų, atnaujintų arba modernizuotų kelių  naudotojų skaičius per metus</w:t>
            </w:r>
          </w:p>
        </w:tc>
        <w:tc>
          <w:tcPr>
            <w:tcW w:w="421" w:type="pct"/>
            <w:tcBorders>
              <w:bottom w:val="single" w:sz="4" w:space="0" w:color="auto"/>
            </w:tcBorders>
          </w:tcPr>
          <w:p w14:paraId="251157CE" w14:textId="77777777" w:rsidR="00851BB9" w:rsidRPr="00B44B19" w:rsidRDefault="0070369F" w:rsidP="00251C89">
            <w:pPr>
              <w:spacing w:after="0" w:line="240" w:lineRule="auto"/>
              <w:jc w:val="both"/>
              <w:rPr>
                <w:rFonts w:cs="Times New Roman"/>
                <w:iCs/>
                <w:noProof/>
                <w:sz w:val="16"/>
                <w:szCs w:val="16"/>
              </w:rPr>
            </w:pPr>
            <w:r w:rsidRPr="00B44B19">
              <w:rPr>
                <w:rFonts w:cs="Times New Roman"/>
                <w:iCs/>
                <w:noProof/>
                <w:sz w:val="16"/>
                <w:szCs w:val="16"/>
              </w:rPr>
              <w:t>Keleivių km per metus</w:t>
            </w:r>
          </w:p>
        </w:tc>
        <w:tc>
          <w:tcPr>
            <w:tcW w:w="375" w:type="pct"/>
            <w:tcBorders>
              <w:bottom w:val="single" w:sz="4" w:space="0" w:color="auto"/>
            </w:tcBorders>
          </w:tcPr>
          <w:p w14:paraId="2562407F" w14:textId="79A4AB54" w:rsidR="00EE031B" w:rsidRPr="00B44B19" w:rsidRDefault="009E21DD" w:rsidP="0074794D">
            <w:pPr>
              <w:spacing w:after="0" w:line="240" w:lineRule="auto"/>
              <w:jc w:val="center"/>
              <w:rPr>
                <w:rFonts w:cs="Times New Roman"/>
                <w:iCs/>
                <w:noProof/>
                <w:sz w:val="16"/>
                <w:szCs w:val="16"/>
              </w:rPr>
            </w:pPr>
            <w:r w:rsidRPr="00B44B19">
              <w:rPr>
                <w:rFonts w:cs="Times New Roman"/>
                <w:iCs/>
                <w:noProof/>
                <w:sz w:val="16"/>
                <w:szCs w:val="16"/>
              </w:rPr>
              <w:t>280 079 804</w:t>
            </w:r>
          </w:p>
        </w:tc>
        <w:tc>
          <w:tcPr>
            <w:tcW w:w="375" w:type="pct"/>
            <w:tcBorders>
              <w:bottom w:val="single" w:sz="4" w:space="0" w:color="auto"/>
            </w:tcBorders>
          </w:tcPr>
          <w:p w14:paraId="455106A0" w14:textId="77777777" w:rsidR="00851BB9" w:rsidRPr="00B44B19" w:rsidRDefault="00851BB9" w:rsidP="00251C89">
            <w:pPr>
              <w:spacing w:after="0" w:line="240" w:lineRule="auto"/>
              <w:jc w:val="center"/>
              <w:rPr>
                <w:rFonts w:cs="Times New Roman"/>
                <w:bCs/>
                <w:noProof/>
                <w:sz w:val="16"/>
                <w:szCs w:val="16"/>
              </w:rPr>
            </w:pPr>
            <w:r w:rsidRPr="00B44B19">
              <w:rPr>
                <w:rFonts w:cs="Times New Roman"/>
                <w:bCs/>
                <w:noProof/>
                <w:sz w:val="16"/>
                <w:szCs w:val="16"/>
              </w:rPr>
              <w:t>202</w:t>
            </w:r>
            <w:r w:rsidR="00EE031B" w:rsidRPr="00B44B19">
              <w:rPr>
                <w:rFonts w:cs="Times New Roman"/>
                <w:bCs/>
                <w:noProof/>
                <w:sz w:val="16"/>
                <w:szCs w:val="16"/>
              </w:rPr>
              <w:t>1</w:t>
            </w:r>
          </w:p>
        </w:tc>
        <w:tc>
          <w:tcPr>
            <w:tcW w:w="375" w:type="pct"/>
            <w:tcBorders>
              <w:bottom w:val="single" w:sz="4" w:space="0" w:color="auto"/>
            </w:tcBorders>
          </w:tcPr>
          <w:p w14:paraId="507814B2" w14:textId="3D4DAAEE" w:rsidR="00EE031B" w:rsidRPr="00B44B19" w:rsidRDefault="009E21DD" w:rsidP="0074794D">
            <w:pPr>
              <w:spacing w:after="0" w:line="240" w:lineRule="auto"/>
              <w:jc w:val="center"/>
              <w:rPr>
                <w:rFonts w:cs="Times New Roman"/>
                <w:bCs/>
                <w:noProof/>
                <w:sz w:val="16"/>
                <w:szCs w:val="16"/>
              </w:rPr>
            </w:pPr>
            <w:r w:rsidRPr="00B44B19">
              <w:rPr>
                <w:rFonts w:cs="Times New Roman"/>
                <w:bCs/>
                <w:noProof/>
                <w:sz w:val="16"/>
                <w:szCs w:val="16"/>
              </w:rPr>
              <w:t>295 070 433</w:t>
            </w:r>
          </w:p>
        </w:tc>
        <w:tc>
          <w:tcPr>
            <w:tcW w:w="376" w:type="pct"/>
            <w:tcBorders>
              <w:bottom w:val="single" w:sz="4" w:space="0" w:color="auto"/>
            </w:tcBorders>
          </w:tcPr>
          <w:p w14:paraId="29BED213" w14:textId="77777777" w:rsidR="00851BB9" w:rsidRPr="00B44B19" w:rsidRDefault="005603BB" w:rsidP="00251C89">
            <w:pPr>
              <w:spacing w:after="0" w:line="240" w:lineRule="auto"/>
              <w:rPr>
                <w:rFonts w:cs="Times New Roman"/>
                <w:noProof/>
                <w:sz w:val="16"/>
                <w:szCs w:val="16"/>
              </w:rPr>
            </w:pPr>
            <w:r w:rsidRPr="00B44B19">
              <w:rPr>
                <w:rFonts w:cs="Times New Roman"/>
                <w:noProof/>
                <w:sz w:val="16"/>
                <w:szCs w:val="16"/>
              </w:rPr>
              <w:t>Projektų duomenys</w:t>
            </w:r>
          </w:p>
        </w:tc>
        <w:tc>
          <w:tcPr>
            <w:tcW w:w="322" w:type="pct"/>
            <w:tcBorders>
              <w:bottom w:val="single" w:sz="4" w:space="0" w:color="auto"/>
            </w:tcBorders>
          </w:tcPr>
          <w:p w14:paraId="188DDB7A" w14:textId="77777777" w:rsidR="00851BB9" w:rsidRPr="00B44B19" w:rsidRDefault="00851BB9" w:rsidP="00251C89">
            <w:pPr>
              <w:spacing w:after="0" w:line="240" w:lineRule="auto"/>
              <w:jc w:val="both"/>
              <w:rPr>
                <w:rFonts w:eastAsia="Calibri" w:cs="Times New Roman"/>
                <w:i/>
                <w:noProof/>
                <w:sz w:val="14"/>
                <w:szCs w:val="14"/>
                <w:lang w:eastAsia="lt-LT" w:bidi="lt-LT"/>
              </w:rPr>
            </w:pPr>
          </w:p>
        </w:tc>
      </w:tr>
      <w:tr w:rsidR="00851BB9" w:rsidRPr="00B44B19" w14:paraId="055247E0" w14:textId="77777777" w:rsidTr="00251C89">
        <w:trPr>
          <w:trHeight w:val="559"/>
        </w:trPr>
        <w:tc>
          <w:tcPr>
            <w:tcW w:w="317" w:type="pct"/>
            <w:vMerge/>
          </w:tcPr>
          <w:p w14:paraId="768A9C99"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3EA68148" w14:textId="77777777" w:rsidR="00851BB9" w:rsidRPr="00B44B19" w:rsidRDefault="00851BB9" w:rsidP="00251C89">
            <w:pPr>
              <w:spacing w:after="0" w:line="240" w:lineRule="auto"/>
              <w:jc w:val="both"/>
              <w:rPr>
                <w:rFonts w:cs="Times New Roman"/>
                <w:noProof/>
                <w:sz w:val="16"/>
                <w:szCs w:val="16"/>
              </w:rPr>
            </w:pPr>
          </w:p>
        </w:tc>
        <w:tc>
          <w:tcPr>
            <w:tcW w:w="282" w:type="pct"/>
            <w:vMerge/>
          </w:tcPr>
          <w:p w14:paraId="14BA8FFC"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54326E71" w14:textId="77777777" w:rsidR="00851BB9" w:rsidRPr="00B44B19" w:rsidRDefault="00851BB9" w:rsidP="00251C89">
            <w:pPr>
              <w:spacing w:after="0" w:line="240" w:lineRule="auto"/>
              <w:jc w:val="both"/>
              <w:rPr>
                <w:rFonts w:cs="Times New Roman"/>
                <w:noProof/>
                <w:sz w:val="14"/>
                <w:szCs w:val="14"/>
                <w:highlight w:val="yellow"/>
              </w:rPr>
            </w:pPr>
          </w:p>
        </w:tc>
        <w:tc>
          <w:tcPr>
            <w:tcW w:w="422" w:type="pct"/>
          </w:tcPr>
          <w:p w14:paraId="2DC3D239" w14:textId="77777777" w:rsidR="00851BB9" w:rsidRPr="00B44B19" w:rsidRDefault="00851BB9" w:rsidP="00251C89">
            <w:pPr>
              <w:spacing w:after="0" w:line="240" w:lineRule="auto"/>
              <w:jc w:val="both"/>
              <w:rPr>
                <w:rFonts w:cs="Times New Roman"/>
                <w:noProof/>
                <w:sz w:val="16"/>
                <w:szCs w:val="16"/>
              </w:rPr>
            </w:pPr>
            <w:r w:rsidRPr="00B44B19">
              <w:rPr>
                <w:rFonts w:eastAsia="Calibri" w:cs="Times New Roman"/>
                <w:noProof/>
                <w:color w:val="000000"/>
                <w:sz w:val="16"/>
                <w:szCs w:val="16"/>
                <w:lang w:eastAsia="lt-LT" w:bidi="lt-LT"/>
              </w:rPr>
              <w:t>RCR56</w:t>
            </w:r>
          </w:p>
        </w:tc>
        <w:tc>
          <w:tcPr>
            <w:tcW w:w="1079" w:type="pct"/>
          </w:tcPr>
          <w:p w14:paraId="4C64A122" w14:textId="77777777" w:rsidR="00851BB9" w:rsidRPr="00B44B19" w:rsidRDefault="00851BB9" w:rsidP="00251C89">
            <w:pPr>
              <w:spacing w:after="0" w:line="240" w:lineRule="auto"/>
              <w:rPr>
                <w:rFonts w:eastAsia="Times New Roman" w:cs="Times New Roman"/>
                <w:sz w:val="16"/>
                <w:szCs w:val="16"/>
                <w:lang w:eastAsia="lt-LT" w:bidi="ml-IN"/>
              </w:rPr>
            </w:pPr>
            <w:r w:rsidRPr="00B44B19">
              <w:rPr>
                <w:rFonts w:cs="Times New Roman"/>
                <w:noProof/>
                <w:sz w:val="16"/>
                <w:szCs w:val="16"/>
              </w:rPr>
              <w:t xml:space="preserve">Dėl patobulintos kelių infrastruktūros sutaupytas laikas </w:t>
            </w:r>
          </w:p>
        </w:tc>
        <w:tc>
          <w:tcPr>
            <w:tcW w:w="421" w:type="pct"/>
          </w:tcPr>
          <w:p w14:paraId="4B8679AE" w14:textId="77777777" w:rsidR="00851BB9" w:rsidRPr="00B44B19" w:rsidRDefault="00451F65" w:rsidP="00EE031B">
            <w:pPr>
              <w:spacing w:after="0" w:line="240" w:lineRule="auto"/>
              <w:jc w:val="both"/>
              <w:rPr>
                <w:rFonts w:cs="Times New Roman"/>
                <w:iCs/>
                <w:noProof/>
                <w:sz w:val="16"/>
                <w:szCs w:val="16"/>
              </w:rPr>
            </w:pPr>
            <w:r w:rsidRPr="00B44B19">
              <w:rPr>
                <w:rFonts w:cs="Times New Roman"/>
                <w:iCs/>
                <w:sz w:val="16"/>
                <w:szCs w:val="16"/>
              </w:rPr>
              <w:t>Darbo dienų</w:t>
            </w:r>
            <w:r w:rsidR="004E36A7" w:rsidRPr="00B44B19">
              <w:rPr>
                <w:rFonts w:cs="Times New Roman"/>
                <w:iCs/>
                <w:sz w:val="16"/>
                <w:szCs w:val="16"/>
              </w:rPr>
              <w:t xml:space="preserve"> per metus</w:t>
            </w:r>
          </w:p>
        </w:tc>
        <w:tc>
          <w:tcPr>
            <w:tcW w:w="375" w:type="pct"/>
          </w:tcPr>
          <w:p w14:paraId="00F6EA5F" w14:textId="77777777" w:rsidR="00EE031B" w:rsidRPr="00B44B19" w:rsidRDefault="00A22FD8" w:rsidP="0074794D">
            <w:pPr>
              <w:spacing w:after="0" w:line="240" w:lineRule="auto"/>
              <w:jc w:val="center"/>
              <w:rPr>
                <w:rFonts w:cs="Times New Roman"/>
                <w:iCs/>
                <w:noProof/>
                <w:sz w:val="16"/>
                <w:szCs w:val="16"/>
              </w:rPr>
            </w:pPr>
            <w:r w:rsidRPr="00B44B19">
              <w:rPr>
                <w:rFonts w:cs="Times New Roman"/>
                <w:iCs/>
                <w:noProof/>
                <w:sz w:val="16"/>
                <w:szCs w:val="16"/>
              </w:rPr>
              <w:t>0</w:t>
            </w:r>
          </w:p>
        </w:tc>
        <w:tc>
          <w:tcPr>
            <w:tcW w:w="375" w:type="pct"/>
          </w:tcPr>
          <w:p w14:paraId="1B89F00B" w14:textId="77777777" w:rsidR="00851BB9" w:rsidRPr="00B44B19" w:rsidRDefault="00851BB9" w:rsidP="00251C89">
            <w:pPr>
              <w:spacing w:after="0" w:line="240" w:lineRule="auto"/>
              <w:jc w:val="center"/>
              <w:rPr>
                <w:rFonts w:cs="Times New Roman"/>
                <w:bCs/>
                <w:noProof/>
                <w:sz w:val="16"/>
                <w:szCs w:val="16"/>
              </w:rPr>
            </w:pPr>
            <w:r w:rsidRPr="00B44B19">
              <w:rPr>
                <w:rFonts w:cs="Times New Roman"/>
                <w:bCs/>
                <w:noProof/>
                <w:sz w:val="16"/>
                <w:szCs w:val="16"/>
              </w:rPr>
              <w:t>202</w:t>
            </w:r>
            <w:r w:rsidR="00EE031B" w:rsidRPr="00B44B19">
              <w:rPr>
                <w:rFonts w:cs="Times New Roman"/>
                <w:bCs/>
                <w:noProof/>
                <w:sz w:val="16"/>
                <w:szCs w:val="16"/>
              </w:rPr>
              <w:t>1</w:t>
            </w:r>
          </w:p>
        </w:tc>
        <w:tc>
          <w:tcPr>
            <w:tcW w:w="375" w:type="pct"/>
          </w:tcPr>
          <w:p w14:paraId="15CA8BF3" w14:textId="67A33836" w:rsidR="00EE031B" w:rsidRPr="00B44B19" w:rsidRDefault="009E21DD" w:rsidP="0074794D">
            <w:pPr>
              <w:spacing w:after="0" w:line="240" w:lineRule="auto"/>
              <w:jc w:val="center"/>
              <w:rPr>
                <w:rFonts w:cs="Times New Roman"/>
                <w:bCs/>
                <w:noProof/>
                <w:sz w:val="16"/>
                <w:szCs w:val="16"/>
              </w:rPr>
            </w:pPr>
            <w:r w:rsidRPr="00B44B19">
              <w:rPr>
                <w:rFonts w:cs="Times New Roman"/>
                <w:bCs/>
                <w:sz w:val="16"/>
                <w:szCs w:val="16"/>
              </w:rPr>
              <w:t>52 997</w:t>
            </w:r>
          </w:p>
        </w:tc>
        <w:tc>
          <w:tcPr>
            <w:tcW w:w="376" w:type="pct"/>
          </w:tcPr>
          <w:p w14:paraId="16679FDE" w14:textId="77777777" w:rsidR="00851BB9" w:rsidRPr="00B44B19" w:rsidRDefault="005603BB" w:rsidP="00251C89">
            <w:pPr>
              <w:spacing w:after="0" w:line="240" w:lineRule="auto"/>
              <w:rPr>
                <w:rFonts w:cs="Times New Roman"/>
                <w:noProof/>
                <w:sz w:val="16"/>
                <w:szCs w:val="16"/>
              </w:rPr>
            </w:pPr>
            <w:r w:rsidRPr="00B44B19">
              <w:rPr>
                <w:rFonts w:cs="Times New Roman"/>
                <w:noProof/>
                <w:sz w:val="16"/>
                <w:szCs w:val="16"/>
              </w:rPr>
              <w:t>Projektų duomenys</w:t>
            </w:r>
          </w:p>
        </w:tc>
        <w:tc>
          <w:tcPr>
            <w:tcW w:w="322" w:type="pct"/>
          </w:tcPr>
          <w:p w14:paraId="206CB46C" w14:textId="77777777" w:rsidR="00851BB9" w:rsidRPr="00B44B19" w:rsidRDefault="00851BB9" w:rsidP="00251C89">
            <w:pPr>
              <w:spacing w:after="0" w:line="240" w:lineRule="auto"/>
              <w:jc w:val="both"/>
              <w:rPr>
                <w:rFonts w:eastAsia="Calibri" w:cs="Times New Roman"/>
                <w:i/>
                <w:noProof/>
                <w:sz w:val="14"/>
                <w:szCs w:val="14"/>
                <w:lang w:eastAsia="lt-LT" w:bidi="lt-LT"/>
              </w:rPr>
            </w:pPr>
          </w:p>
        </w:tc>
      </w:tr>
      <w:tr w:rsidR="00851BB9" w:rsidRPr="00B44B19" w14:paraId="08AC117A" w14:textId="77777777" w:rsidTr="00251C89">
        <w:trPr>
          <w:trHeight w:val="185"/>
        </w:trPr>
        <w:tc>
          <w:tcPr>
            <w:tcW w:w="317" w:type="pct"/>
            <w:vMerge/>
          </w:tcPr>
          <w:p w14:paraId="60ABC27B"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3850C43F" w14:textId="77777777" w:rsidR="00851BB9" w:rsidRPr="00B44B19" w:rsidRDefault="00851BB9" w:rsidP="00251C89">
            <w:pPr>
              <w:spacing w:after="0" w:line="240" w:lineRule="auto"/>
              <w:jc w:val="both"/>
              <w:rPr>
                <w:rFonts w:cs="Times New Roman"/>
                <w:noProof/>
                <w:sz w:val="16"/>
                <w:szCs w:val="16"/>
              </w:rPr>
            </w:pPr>
          </w:p>
        </w:tc>
        <w:tc>
          <w:tcPr>
            <w:tcW w:w="282" w:type="pct"/>
            <w:vMerge/>
          </w:tcPr>
          <w:p w14:paraId="0D857D61"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5527B992" w14:textId="77777777" w:rsidR="00851BB9" w:rsidRPr="00B44B19" w:rsidRDefault="00851BB9" w:rsidP="00251C89">
            <w:pPr>
              <w:spacing w:after="0" w:line="240" w:lineRule="auto"/>
              <w:jc w:val="both"/>
              <w:rPr>
                <w:rFonts w:cs="Times New Roman"/>
                <w:noProof/>
                <w:sz w:val="14"/>
                <w:szCs w:val="14"/>
                <w:highlight w:val="yellow"/>
              </w:rPr>
            </w:pPr>
          </w:p>
        </w:tc>
        <w:tc>
          <w:tcPr>
            <w:tcW w:w="422" w:type="pct"/>
          </w:tcPr>
          <w:p w14:paraId="7006ECE1" w14:textId="77777777" w:rsidR="00851BB9" w:rsidRPr="00B44B19" w:rsidRDefault="00851BB9" w:rsidP="00251C89">
            <w:pPr>
              <w:spacing w:after="0" w:line="240" w:lineRule="auto"/>
              <w:jc w:val="both"/>
              <w:rPr>
                <w:rFonts w:cs="Times New Roman"/>
                <w:noProof/>
                <w:sz w:val="16"/>
                <w:szCs w:val="16"/>
              </w:rPr>
            </w:pPr>
            <w:r w:rsidRPr="00B44B19">
              <w:rPr>
                <w:rFonts w:eastAsia="Calibri" w:cs="Times New Roman"/>
                <w:noProof/>
                <w:color w:val="000000"/>
                <w:sz w:val="16"/>
                <w:szCs w:val="16"/>
                <w:lang w:eastAsia="lt-LT" w:bidi="lt-LT"/>
              </w:rPr>
              <w:t>Specialusis</w:t>
            </w:r>
          </w:p>
        </w:tc>
        <w:tc>
          <w:tcPr>
            <w:tcW w:w="1079" w:type="pct"/>
          </w:tcPr>
          <w:p w14:paraId="54BA6195" w14:textId="77777777" w:rsidR="00851BB9" w:rsidRPr="00B44B19" w:rsidRDefault="00851BB9" w:rsidP="00251C89">
            <w:pPr>
              <w:spacing w:after="0" w:line="240" w:lineRule="auto"/>
              <w:rPr>
                <w:rFonts w:cs="Times New Roman"/>
                <w:noProof/>
                <w:sz w:val="16"/>
                <w:szCs w:val="16"/>
              </w:rPr>
            </w:pPr>
            <w:r w:rsidRPr="00B44B19">
              <w:rPr>
                <w:rFonts w:eastAsia="Calibri" w:cs="Times New Roman"/>
                <w:noProof/>
                <w:sz w:val="16"/>
                <w:szCs w:val="16"/>
                <w:lang w:eastAsia="lt-LT" w:bidi="lt-LT"/>
              </w:rPr>
              <w:t xml:space="preserve">Žuvusiųjų ir sužeistųjų </w:t>
            </w:r>
            <w:r w:rsidR="004E36A7" w:rsidRPr="00B44B19">
              <w:rPr>
                <w:rFonts w:eastAsia="Calibri" w:cs="Times New Roman"/>
                <w:sz w:val="16"/>
                <w:szCs w:val="16"/>
                <w:lang w:eastAsia="lt-LT" w:bidi="lt-LT"/>
              </w:rPr>
              <w:t xml:space="preserve">geležinkelių </w:t>
            </w:r>
            <w:r w:rsidRPr="00B44B19">
              <w:rPr>
                <w:rFonts w:eastAsia="Calibri" w:cs="Times New Roman"/>
                <w:noProof/>
                <w:sz w:val="16"/>
                <w:szCs w:val="16"/>
                <w:lang w:eastAsia="lt-LT" w:bidi="lt-LT"/>
              </w:rPr>
              <w:t>pervažose skaičius</w:t>
            </w:r>
          </w:p>
        </w:tc>
        <w:tc>
          <w:tcPr>
            <w:tcW w:w="421" w:type="pct"/>
          </w:tcPr>
          <w:p w14:paraId="0D3E7610" w14:textId="77777777" w:rsidR="00851BB9" w:rsidRPr="00B44B19" w:rsidRDefault="00851BB9" w:rsidP="00251C89">
            <w:pPr>
              <w:spacing w:after="0" w:line="240" w:lineRule="auto"/>
              <w:jc w:val="both"/>
              <w:rPr>
                <w:rFonts w:cs="Times New Roman"/>
                <w:iCs/>
                <w:noProof/>
                <w:sz w:val="16"/>
                <w:szCs w:val="16"/>
              </w:rPr>
            </w:pPr>
            <w:r w:rsidRPr="00B44B19">
              <w:rPr>
                <w:rFonts w:cs="Times New Roman"/>
                <w:bCs/>
                <w:iCs/>
                <w:noProof/>
                <w:sz w:val="16"/>
                <w:szCs w:val="16"/>
              </w:rPr>
              <w:t>Skaičius</w:t>
            </w:r>
            <w:r w:rsidR="00B01454" w:rsidRPr="00B44B19">
              <w:rPr>
                <w:rFonts w:cs="Times New Roman"/>
                <w:bCs/>
                <w:iCs/>
                <w:noProof/>
                <w:sz w:val="16"/>
                <w:szCs w:val="16"/>
              </w:rPr>
              <w:t xml:space="preserve"> per metus</w:t>
            </w:r>
          </w:p>
        </w:tc>
        <w:tc>
          <w:tcPr>
            <w:tcW w:w="375" w:type="pct"/>
          </w:tcPr>
          <w:p w14:paraId="3043EAA0" w14:textId="77777777" w:rsidR="00851BB9" w:rsidRPr="00B44B19" w:rsidRDefault="00851BB9" w:rsidP="00251C89">
            <w:pPr>
              <w:spacing w:after="0" w:line="240" w:lineRule="auto"/>
              <w:jc w:val="center"/>
              <w:rPr>
                <w:rFonts w:cs="Times New Roman"/>
                <w:iCs/>
                <w:noProof/>
                <w:sz w:val="16"/>
                <w:szCs w:val="16"/>
              </w:rPr>
            </w:pPr>
            <w:r w:rsidRPr="00B44B19">
              <w:rPr>
                <w:rFonts w:cs="Times New Roman"/>
                <w:iCs/>
                <w:noProof/>
                <w:sz w:val="16"/>
                <w:szCs w:val="16"/>
              </w:rPr>
              <w:t>1</w:t>
            </w:r>
          </w:p>
        </w:tc>
        <w:tc>
          <w:tcPr>
            <w:tcW w:w="375" w:type="pct"/>
          </w:tcPr>
          <w:p w14:paraId="388CD969" w14:textId="77777777" w:rsidR="00851BB9" w:rsidRPr="00B44B19" w:rsidRDefault="00851BB9" w:rsidP="00251C89">
            <w:pPr>
              <w:spacing w:after="0" w:line="240" w:lineRule="auto"/>
              <w:jc w:val="center"/>
              <w:rPr>
                <w:rFonts w:cs="Times New Roman"/>
                <w:bCs/>
                <w:noProof/>
                <w:sz w:val="16"/>
                <w:szCs w:val="16"/>
              </w:rPr>
            </w:pPr>
            <w:r w:rsidRPr="00B44B19">
              <w:rPr>
                <w:rFonts w:cs="Times New Roman"/>
                <w:bCs/>
                <w:noProof/>
                <w:sz w:val="16"/>
                <w:szCs w:val="16"/>
              </w:rPr>
              <w:t>2020</w:t>
            </w:r>
          </w:p>
        </w:tc>
        <w:tc>
          <w:tcPr>
            <w:tcW w:w="375" w:type="pct"/>
          </w:tcPr>
          <w:p w14:paraId="0E7D7075" w14:textId="77777777" w:rsidR="00851BB9" w:rsidRPr="00B44B19" w:rsidRDefault="00851BB9" w:rsidP="00251C89">
            <w:pPr>
              <w:spacing w:after="0" w:line="240" w:lineRule="auto"/>
              <w:jc w:val="center"/>
              <w:rPr>
                <w:rFonts w:cs="Times New Roman"/>
                <w:sz w:val="16"/>
                <w:szCs w:val="16"/>
              </w:rPr>
            </w:pPr>
            <w:r w:rsidRPr="00B44B19">
              <w:rPr>
                <w:rFonts w:cs="Times New Roman"/>
                <w:sz w:val="16"/>
                <w:szCs w:val="16"/>
              </w:rPr>
              <w:t>0</w:t>
            </w:r>
          </w:p>
        </w:tc>
        <w:tc>
          <w:tcPr>
            <w:tcW w:w="376" w:type="pct"/>
          </w:tcPr>
          <w:p w14:paraId="7D4FEDC6" w14:textId="77777777" w:rsidR="00851BB9" w:rsidRPr="00B44B19" w:rsidRDefault="008B14EA" w:rsidP="00251C89">
            <w:pPr>
              <w:spacing w:after="0" w:line="240" w:lineRule="auto"/>
              <w:jc w:val="both"/>
              <w:rPr>
                <w:rFonts w:cs="Times New Roman"/>
                <w:noProof/>
                <w:sz w:val="16"/>
                <w:szCs w:val="16"/>
              </w:rPr>
            </w:pPr>
            <w:r w:rsidRPr="00B44B19">
              <w:rPr>
                <w:rFonts w:cs="Times New Roman"/>
                <w:noProof/>
                <w:sz w:val="16"/>
                <w:szCs w:val="16"/>
              </w:rPr>
              <w:t>Projektų duomenys</w:t>
            </w:r>
          </w:p>
        </w:tc>
        <w:tc>
          <w:tcPr>
            <w:tcW w:w="322" w:type="pct"/>
          </w:tcPr>
          <w:p w14:paraId="7E61CAC0" w14:textId="77777777" w:rsidR="00851BB9" w:rsidRPr="00B44B19" w:rsidRDefault="005F4AE7" w:rsidP="00251C89">
            <w:pPr>
              <w:spacing w:after="0" w:line="240" w:lineRule="auto"/>
              <w:jc w:val="both"/>
              <w:rPr>
                <w:rFonts w:eastAsia="Calibri" w:cs="Times New Roman"/>
                <w:i/>
                <w:noProof/>
                <w:sz w:val="14"/>
                <w:szCs w:val="14"/>
                <w:lang w:eastAsia="lt-LT" w:bidi="lt-LT"/>
              </w:rPr>
            </w:pPr>
            <w:r w:rsidRPr="00B44B19">
              <w:rPr>
                <w:rFonts w:eastAsia="Calibri" w:cs="Times New Roman"/>
                <w:i/>
                <w:noProof/>
                <w:sz w:val="14"/>
                <w:szCs w:val="14"/>
                <w:lang w:eastAsia="lt-LT" w:bidi="lt-LT"/>
              </w:rPr>
              <w:t>Dėl technin</w:t>
            </w:r>
            <w:r w:rsidR="00754CAE" w:rsidRPr="00B44B19">
              <w:rPr>
                <w:rFonts w:eastAsia="Calibri" w:cs="Times New Roman"/>
                <w:i/>
                <w:noProof/>
                <w:sz w:val="14"/>
                <w:szCs w:val="14"/>
                <w:lang w:eastAsia="lt-LT" w:bidi="lt-LT"/>
              </w:rPr>
              <w:t>ių apribojimų SFC2021</w:t>
            </w:r>
            <w:r w:rsidRPr="00B44B19">
              <w:rPr>
                <w:rFonts w:eastAsia="Calibri" w:cs="Times New Roman"/>
                <w:i/>
                <w:noProof/>
                <w:sz w:val="14"/>
                <w:szCs w:val="14"/>
                <w:lang w:eastAsia="lt-LT" w:bidi="lt-LT"/>
              </w:rPr>
              <w:t xml:space="preserve"> siektina rodiklio reikšmė (2029 m.) nurodoma 0,01.</w:t>
            </w:r>
          </w:p>
        </w:tc>
      </w:tr>
      <w:tr w:rsidR="00851BB9" w:rsidRPr="00B44B19" w14:paraId="03A5D695" w14:textId="77777777" w:rsidTr="00251C89">
        <w:trPr>
          <w:trHeight w:val="185"/>
        </w:trPr>
        <w:tc>
          <w:tcPr>
            <w:tcW w:w="317" w:type="pct"/>
            <w:vMerge/>
          </w:tcPr>
          <w:p w14:paraId="4C27342F"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1709D820" w14:textId="77777777" w:rsidR="00851BB9" w:rsidRPr="00B44B19" w:rsidRDefault="00851BB9" w:rsidP="00251C89">
            <w:pPr>
              <w:spacing w:after="0" w:line="240" w:lineRule="auto"/>
              <w:jc w:val="both"/>
              <w:rPr>
                <w:rFonts w:cs="Times New Roman"/>
                <w:noProof/>
                <w:sz w:val="16"/>
                <w:szCs w:val="16"/>
              </w:rPr>
            </w:pPr>
          </w:p>
        </w:tc>
        <w:tc>
          <w:tcPr>
            <w:tcW w:w="282" w:type="pct"/>
            <w:vMerge/>
          </w:tcPr>
          <w:p w14:paraId="6FB5106D"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10440669" w14:textId="77777777" w:rsidR="00851BB9" w:rsidRPr="00B44B19" w:rsidRDefault="00851BB9" w:rsidP="00251C89">
            <w:pPr>
              <w:spacing w:after="0" w:line="240" w:lineRule="auto"/>
              <w:jc w:val="both"/>
              <w:rPr>
                <w:rFonts w:cs="Times New Roman"/>
                <w:noProof/>
                <w:sz w:val="14"/>
                <w:szCs w:val="14"/>
                <w:highlight w:val="yellow"/>
              </w:rPr>
            </w:pPr>
          </w:p>
        </w:tc>
        <w:tc>
          <w:tcPr>
            <w:tcW w:w="422" w:type="pct"/>
          </w:tcPr>
          <w:p w14:paraId="1CB69156" w14:textId="77777777" w:rsidR="00851BB9" w:rsidRPr="00B44B19" w:rsidRDefault="00851BB9" w:rsidP="00251C8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1079" w:type="pct"/>
          </w:tcPr>
          <w:p w14:paraId="22F243A5" w14:textId="77777777" w:rsidR="00851BB9" w:rsidRPr="00B44B19" w:rsidRDefault="00D77F74" w:rsidP="00D77F74">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Gyventojų, gyvenančių ir veikiančių triukšmo prevencijos zonose, dalis, kuriai sumažintas geležinkelių keliamas triukšmas</w:t>
            </w:r>
          </w:p>
        </w:tc>
        <w:tc>
          <w:tcPr>
            <w:tcW w:w="421" w:type="pct"/>
          </w:tcPr>
          <w:p w14:paraId="4319DBA5" w14:textId="77777777" w:rsidR="00851BB9" w:rsidRPr="00B44B19" w:rsidRDefault="00851BB9" w:rsidP="00251C89">
            <w:pPr>
              <w:spacing w:after="0" w:line="240" w:lineRule="auto"/>
              <w:jc w:val="both"/>
              <w:rPr>
                <w:rFonts w:cs="Times New Roman"/>
                <w:bCs/>
                <w:iCs/>
                <w:noProof/>
                <w:sz w:val="16"/>
                <w:szCs w:val="16"/>
              </w:rPr>
            </w:pPr>
            <w:r w:rsidRPr="00B44B19">
              <w:rPr>
                <w:rFonts w:cs="Times New Roman"/>
                <w:bCs/>
                <w:iCs/>
                <w:noProof/>
                <w:sz w:val="16"/>
                <w:szCs w:val="16"/>
              </w:rPr>
              <w:t>Procentai</w:t>
            </w:r>
          </w:p>
        </w:tc>
        <w:tc>
          <w:tcPr>
            <w:tcW w:w="375" w:type="pct"/>
          </w:tcPr>
          <w:p w14:paraId="520C2673" w14:textId="77777777" w:rsidR="00851BB9" w:rsidRPr="00B44B19" w:rsidRDefault="00851BB9" w:rsidP="00251C89">
            <w:pPr>
              <w:spacing w:after="0" w:line="240" w:lineRule="auto"/>
              <w:jc w:val="center"/>
              <w:rPr>
                <w:rFonts w:cs="Times New Roman"/>
                <w:iCs/>
                <w:noProof/>
                <w:sz w:val="16"/>
                <w:szCs w:val="16"/>
              </w:rPr>
            </w:pPr>
            <w:r w:rsidRPr="00B44B19">
              <w:rPr>
                <w:rFonts w:cs="Times New Roman"/>
                <w:iCs/>
                <w:noProof/>
                <w:sz w:val="16"/>
                <w:szCs w:val="16"/>
              </w:rPr>
              <w:t>100</w:t>
            </w:r>
          </w:p>
        </w:tc>
        <w:tc>
          <w:tcPr>
            <w:tcW w:w="375" w:type="pct"/>
          </w:tcPr>
          <w:p w14:paraId="372BFDFE" w14:textId="77777777" w:rsidR="00851BB9" w:rsidRPr="00B44B19" w:rsidRDefault="00851BB9" w:rsidP="00251C89">
            <w:pPr>
              <w:spacing w:after="0" w:line="240" w:lineRule="auto"/>
              <w:jc w:val="center"/>
              <w:rPr>
                <w:rFonts w:cs="Times New Roman"/>
                <w:bCs/>
                <w:noProof/>
                <w:sz w:val="16"/>
                <w:szCs w:val="16"/>
              </w:rPr>
            </w:pPr>
            <w:r w:rsidRPr="00B44B19">
              <w:rPr>
                <w:rFonts w:cs="Times New Roman"/>
                <w:bCs/>
                <w:noProof/>
                <w:sz w:val="16"/>
                <w:szCs w:val="16"/>
              </w:rPr>
              <w:t>2020</w:t>
            </w:r>
          </w:p>
        </w:tc>
        <w:tc>
          <w:tcPr>
            <w:tcW w:w="375" w:type="pct"/>
          </w:tcPr>
          <w:p w14:paraId="2DBBC88D" w14:textId="77777777" w:rsidR="00851BB9" w:rsidRPr="00B44B19" w:rsidRDefault="00851BB9" w:rsidP="00251C89">
            <w:pPr>
              <w:spacing w:after="0" w:line="240" w:lineRule="auto"/>
              <w:jc w:val="center"/>
              <w:rPr>
                <w:rFonts w:cs="Times New Roman"/>
                <w:sz w:val="16"/>
                <w:szCs w:val="16"/>
              </w:rPr>
            </w:pPr>
            <w:r w:rsidRPr="00B44B19">
              <w:rPr>
                <w:rFonts w:cs="Times New Roman"/>
                <w:sz w:val="16"/>
                <w:szCs w:val="16"/>
              </w:rPr>
              <w:t>69</w:t>
            </w:r>
          </w:p>
        </w:tc>
        <w:tc>
          <w:tcPr>
            <w:tcW w:w="376" w:type="pct"/>
          </w:tcPr>
          <w:p w14:paraId="18098372" w14:textId="77777777" w:rsidR="00851BB9" w:rsidRPr="00B44B19" w:rsidRDefault="005478E3" w:rsidP="00251C89">
            <w:pPr>
              <w:spacing w:after="0" w:line="240" w:lineRule="auto"/>
              <w:jc w:val="both"/>
              <w:rPr>
                <w:rFonts w:cs="Times New Roman"/>
                <w:noProof/>
                <w:sz w:val="16"/>
                <w:szCs w:val="16"/>
              </w:rPr>
            </w:pPr>
            <w:r w:rsidRPr="00B44B19">
              <w:rPr>
                <w:rFonts w:cs="Times New Roman"/>
                <w:noProof/>
                <w:sz w:val="16"/>
                <w:szCs w:val="16"/>
              </w:rPr>
              <w:t>P</w:t>
            </w:r>
            <w:r w:rsidR="008B14EA" w:rsidRPr="00B44B19">
              <w:rPr>
                <w:rFonts w:cs="Times New Roman"/>
                <w:noProof/>
                <w:sz w:val="16"/>
                <w:szCs w:val="16"/>
              </w:rPr>
              <w:t xml:space="preserve">rojektų duomenys </w:t>
            </w:r>
          </w:p>
        </w:tc>
        <w:tc>
          <w:tcPr>
            <w:tcW w:w="322" w:type="pct"/>
          </w:tcPr>
          <w:p w14:paraId="4004650F" w14:textId="77777777" w:rsidR="00851BB9" w:rsidRPr="00B44B19" w:rsidRDefault="00851BB9" w:rsidP="00251C89">
            <w:pPr>
              <w:spacing w:after="0" w:line="240" w:lineRule="auto"/>
              <w:jc w:val="both"/>
              <w:rPr>
                <w:rFonts w:eastAsia="Calibri" w:cs="Times New Roman"/>
                <w:i/>
                <w:noProof/>
                <w:sz w:val="14"/>
                <w:szCs w:val="14"/>
                <w:lang w:eastAsia="lt-LT" w:bidi="lt-LT"/>
              </w:rPr>
            </w:pPr>
          </w:p>
        </w:tc>
      </w:tr>
      <w:tr w:rsidR="002D52D1" w:rsidRPr="00B44B19" w14:paraId="0CF48B2B" w14:textId="77777777" w:rsidTr="00251C89">
        <w:trPr>
          <w:trHeight w:val="185"/>
        </w:trPr>
        <w:tc>
          <w:tcPr>
            <w:tcW w:w="317" w:type="pct"/>
            <w:vMerge/>
          </w:tcPr>
          <w:p w14:paraId="73C03D6A" w14:textId="77777777" w:rsidR="002D52D1" w:rsidRPr="00B44B19" w:rsidRDefault="002D52D1" w:rsidP="00251C89">
            <w:pPr>
              <w:spacing w:after="0" w:line="240" w:lineRule="auto"/>
              <w:jc w:val="both"/>
              <w:rPr>
                <w:rFonts w:cs="Times New Roman"/>
                <w:noProof/>
                <w:sz w:val="16"/>
                <w:szCs w:val="16"/>
              </w:rPr>
            </w:pPr>
          </w:p>
        </w:tc>
        <w:tc>
          <w:tcPr>
            <w:tcW w:w="328" w:type="pct"/>
            <w:vMerge/>
          </w:tcPr>
          <w:p w14:paraId="31010CD6" w14:textId="77777777" w:rsidR="002D52D1" w:rsidRPr="00B44B19" w:rsidRDefault="002D52D1" w:rsidP="00251C89">
            <w:pPr>
              <w:spacing w:after="0" w:line="240" w:lineRule="auto"/>
              <w:jc w:val="both"/>
              <w:rPr>
                <w:rFonts w:cs="Times New Roman"/>
                <w:noProof/>
                <w:sz w:val="16"/>
                <w:szCs w:val="16"/>
              </w:rPr>
            </w:pPr>
          </w:p>
        </w:tc>
        <w:tc>
          <w:tcPr>
            <w:tcW w:w="282" w:type="pct"/>
            <w:vMerge/>
          </w:tcPr>
          <w:p w14:paraId="10563501" w14:textId="77777777" w:rsidR="002D52D1" w:rsidRPr="00B44B19" w:rsidRDefault="002D52D1" w:rsidP="00251C89">
            <w:pPr>
              <w:spacing w:after="0" w:line="240" w:lineRule="auto"/>
              <w:jc w:val="both"/>
              <w:rPr>
                <w:rFonts w:cs="Times New Roman"/>
                <w:noProof/>
                <w:sz w:val="16"/>
                <w:szCs w:val="16"/>
              </w:rPr>
            </w:pPr>
          </w:p>
        </w:tc>
        <w:tc>
          <w:tcPr>
            <w:tcW w:w="328" w:type="pct"/>
            <w:vMerge/>
          </w:tcPr>
          <w:p w14:paraId="563C10DF" w14:textId="77777777" w:rsidR="002D52D1" w:rsidRPr="00B44B19" w:rsidRDefault="002D52D1" w:rsidP="00251C89">
            <w:pPr>
              <w:spacing w:after="0" w:line="240" w:lineRule="auto"/>
              <w:jc w:val="both"/>
              <w:rPr>
                <w:rFonts w:cs="Times New Roman"/>
                <w:noProof/>
                <w:sz w:val="14"/>
                <w:szCs w:val="14"/>
                <w:highlight w:val="yellow"/>
              </w:rPr>
            </w:pPr>
          </w:p>
        </w:tc>
        <w:tc>
          <w:tcPr>
            <w:tcW w:w="422" w:type="pct"/>
          </w:tcPr>
          <w:p w14:paraId="59602CFA" w14:textId="77777777" w:rsidR="002D52D1" w:rsidRPr="00B44B19" w:rsidRDefault="002D52D1" w:rsidP="00251C8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1079" w:type="pct"/>
          </w:tcPr>
          <w:p w14:paraId="59AA5739" w14:textId="14164262" w:rsidR="002D52D1" w:rsidRPr="00B44B19" w:rsidRDefault="002D52D1" w:rsidP="00251C89">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Peronų, pritaikytų </w:t>
            </w:r>
            <w:r w:rsidR="00D402C7" w:rsidRPr="00B44B19">
              <w:rPr>
                <w:rFonts w:eastAsia="Calibri" w:cs="Times New Roman"/>
                <w:noProof/>
                <w:sz w:val="16"/>
                <w:szCs w:val="16"/>
                <w:lang w:eastAsia="lt-LT" w:bidi="lt-LT"/>
              </w:rPr>
              <w:t>vienalygei prieigai,</w:t>
            </w:r>
            <w:r w:rsidRPr="00B44B19">
              <w:rPr>
                <w:rFonts w:eastAsia="Calibri" w:cs="Times New Roman"/>
                <w:noProof/>
                <w:sz w:val="16"/>
                <w:szCs w:val="16"/>
                <w:lang w:eastAsia="lt-LT" w:bidi="lt-LT"/>
              </w:rPr>
              <w:t xml:space="preserve"> dalis</w:t>
            </w:r>
          </w:p>
        </w:tc>
        <w:tc>
          <w:tcPr>
            <w:tcW w:w="421" w:type="pct"/>
          </w:tcPr>
          <w:p w14:paraId="76E10ED4" w14:textId="77777777" w:rsidR="002D52D1" w:rsidRPr="00B44B19" w:rsidRDefault="002D52D1" w:rsidP="00251C89">
            <w:pPr>
              <w:spacing w:after="0" w:line="240" w:lineRule="auto"/>
              <w:jc w:val="both"/>
              <w:rPr>
                <w:rFonts w:cs="Times New Roman"/>
                <w:bCs/>
                <w:iCs/>
                <w:sz w:val="16"/>
                <w:szCs w:val="16"/>
              </w:rPr>
            </w:pPr>
            <w:r w:rsidRPr="00B44B19">
              <w:rPr>
                <w:rFonts w:cs="Times New Roman"/>
                <w:bCs/>
                <w:iCs/>
                <w:sz w:val="16"/>
                <w:szCs w:val="16"/>
              </w:rPr>
              <w:t>Procentai</w:t>
            </w:r>
          </w:p>
        </w:tc>
        <w:tc>
          <w:tcPr>
            <w:tcW w:w="375" w:type="pct"/>
          </w:tcPr>
          <w:p w14:paraId="3302D526" w14:textId="34FD6266" w:rsidR="002D52D1" w:rsidRPr="00B44B19" w:rsidRDefault="00D402C7" w:rsidP="00251C89">
            <w:pPr>
              <w:spacing w:after="0" w:line="240" w:lineRule="auto"/>
              <w:jc w:val="center"/>
              <w:rPr>
                <w:rFonts w:cs="Times New Roman"/>
                <w:iCs/>
                <w:noProof/>
                <w:sz w:val="16"/>
                <w:szCs w:val="16"/>
              </w:rPr>
            </w:pPr>
            <w:r w:rsidRPr="00B44B19">
              <w:rPr>
                <w:rFonts w:cs="Times New Roman"/>
                <w:iCs/>
                <w:noProof/>
                <w:sz w:val="16"/>
                <w:szCs w:val="16"/>
              </w:rPr>
              <w:t>0</w:t>
            </w:r>
          </w:p>
        </w:tc>
        <w:tc>
          <w:tcPr>
            <w:tcW w:w="375" w:type="pct"/>
          </w:tcPr>
          <w:p w14:paraId="0EB7EFA5" w14:textId="77B4B0C1" w:rsidR="002D52D1" w:rsidRPr="00B44B19" w:rsidRDefault="00D402C7" w:rsidP="00251C89">
            <w:pPr>
              <w:spacing w:after="0" w:line="240" w:lineRule="auto"/>
              <w:jc w:val="center"/>
              <w:rPr>
                <w:rFonts w:cs="Times New Roman"/>
                <w:bCs/>
                <w:noProof/>
                <w:sz w:val="16"/>
                <w:szCs w:val="16"/>
              </w:rPr>
            </w:pPr>
            <w:r w:rsidRPr="00B44B19">
              <w:rPr>
                <w:rFonts w:cs="Times New Roman"/>
                <w:bCs/>
                <w:noProof/>
                <w:sz w:val="16"/>
                <w:szCs w:val="16"/>
              </w:rPr>
              <w:t>2024</w:t>
            </w:r>
          </w:p>
        </w:tc>
        <w:tc>
          <w:tcPr>
            <w:tcW w:w="375" w:type="pct"/>
          </w:tcPr>
          <w:p w14:paraId="41714271" w14:textId="617DEB63" w:rsidR="002D52D1" w:rsidRPr="00B44B19" w:rsidRDefault="00D402C7" w:rsidP="00284635">
            <w:pPr>
              <w:spacing w:after="0" w:line="240" w:lineRule="auto"/>
              <w:jc w:val="center"/>
              <w:rPr>
                <w:rFonts w:cs="Times New Roman"/>
                <w:sz w:val="16"/>
                <w:szCs w:val="16"/>
              </w:rPr>
            </w:pPr>
            <w:r w:rsidRPr="00B44B19">
              <w:rPr>
                <w:rFonts w:cs="Times New Roman"/>
                <w:sz w:val="16"/>
                <w:szCs w:val="16"/>
              </w:rPr>
              <w:t>100</w:t>
            </w:r>
          </w:p>
        </w:tc>
        <w:tc>
          <w:tcPr>
            <w:tcW w:w="376" w:type="pct"/>
          </w:tcPr>
          <w:p w14:paraId="310EB70D" w14:textId="77777777" w:rsidR="002D52D1" w:rsidRPr="00B44B19" w:rsidRDefault="002D52D1" w:rsidP="00251C89">
            <w:pPr>
              <w:spacing w:after="0" w:line="240" w:lineRule="auto"/>
              <w:jc w:val="both"/>
              <w:rPr>
                <w:rFonts w:cs="Times New Roman"/>
                <w:noProof/>
                <w:sz w:val="16"/>
                <w:szCs w:val="16"/>
              </w:rPr>
            </w:pPr>
            <w:r w:rsidRPr="00B44B19">
              <w:rPr>
                <w:rFonts w:cs="Times New Roman"/>
                <w:noProof/>
                <w:sz w:val="16"/>
                <w:szCs w:val="16"/>
              </w:rPr>
              <w:t>Infrastruktūros valdytojo ataskaita</w:t>
            </w:r>
          </w:p>
        </w:tc>
        <w:tc>
          <w:tcPr>
            <w:tcW w:w="322" w:type="pct"/>
          </w:tcPr>
          <w:p w14:paraId="1C914AF0" w14:textId="77777777" w:rsidR="002D52D1" w:rsidRPr="00B44B19" w:rsidRDefault="002D52D1" w:rsidP="00251C89">
            <w:pPr>
              <w:spacing w:after="0" w:line="240" w:lineRule="auto"/>
              <w:jc w:val="both"/>
              <w:rPr>
                <w:rFonts w:eastAsia="Calibri" w:cs="Times New Roman"/>
                <w:i/>
                <w:noProof/>
                <w:sz w:val="14"/>
                <w:szCs w:val="14"/>
                <w:highlight w:val="yellow"/>
                <w:lang w:eastAsia="lt-LT" w:bidi="lt-LT"/>
              </w:rPr>
            </w:pPr>
          </w:p>
        </w:tc>
      </w:tr>
      <w:tr w:rsidR="004E36A7" w:rsidRPr="00B44B19" w14:paraId="26DB7E3F" w14:textId="77777777" w:rsidTr="00251C89">
        <w:trPr>
          <w:trHeight w:val="185"/>
        </w:trPr>
        <w:tc>
          <w:tcPr>
            <w:tcW w:w="317" w:type="pct"/>
            <w:vMerge/>
          </w:tcPr>
          <w:p w14:paraId="1C8BAA05" w14:textId="77777777" w:rsidR="004E36A7" w:rsidRPr="00B44B19" w:rsidRDefault="004E36A7" w:rsidP="00251C89">
            <w:pPr>
              <w:spacing w:after="0" w:line="240" w:lineRule="auto"/>
              <w:jc w:val="both"/>
              <w:rPr>
                <w:rFonts w:cs="Times New Roman"/>
                <w:noProof/>
                <w:sz w:val="16"/>
                <w:szCs w:val="16"/>
              </w:rPr>
            </w:pPr>
          </w:p>
        </w:tc>
        <w:tc>
          <w:tcPr>
            <w:tcW w:w="328" w:type="pct"/>
            <w:vMerge/>
          </w:tcPr>
          <w:p w14:paraId="35063A8A" w14:textId="77777777" w:rsidR="004E36A7" w:rsidRPr="00B44B19" w:rsidRDefault="004E36A7" w:rsidP="00251C89">
            <w:pPr>
              <w:spacing w:after="0" w:line="240" w:lineRule="auto"/>
              <w:jc w:val="both"/>
              <w:rPr>
                <w:rFonts w:cs="Times New Roman"/>
                <w:noProof/>
                <w:sz w:val="16"/>
                <w:szCs w:val="16"/>
              </w:rPr>
            </w:pPr>
          </w:p>
        </w:tc>
        <w:tc>
          <w:tcPr>
            <w:tcW w:w="282" w:type="pct"/>
            <w:vMerge/>
          </w:tcPr>
          <w:p w14:paraId="4B0086DD" w14:textId="77777777" w:rsidR="004E36A7" w:rsidRPr="00B44B19" w:rsidRDefault="004E36A7" w:rsidP="00251C89">
            <w:pPr>
              <w:spacing w:after="0" w:line="240" w:lineRule="auto"/>
              <w:jc w:val="both"/>
              <w:rPr>
                <w:rFonts w:cs="Times New Roman"/>
                <w:noProof/>
                <w:sz w:val="16"/>
                <w:szCs w:val="16"/>
              </w:rPr>
            </w:pPr>
          </w:p>
        </w:tc>
        <w:tc>
          <w:tcPr>
            <w:tcW w:w="328" w:type="pct"/>
            <w:vMerge/>
          </w:tcPr>
          <w:p w14:paraId="6E42B81B" w14:textId="77777777" w:rsidR="004E36A7" w:rsidRPr="00B44B19" w:rsidRDefault="004E36A7" w:rsidP="00251C89">
            <w:pPr>
              <w:spacing w:after="0" w:line="240" w:lineRule="auto"/>
              <w:jc w:val="both"/>
              <w:rPr>
                <w:rFonts w:cs="Times New Roman"/>
                <w:noProof/>
                <w:sz w:val="14"/>
                <w:szCs w:val="14"/>
                <w:highlight w:val="yellow"/>
              </w:rPr>
            </w:pPr>
          </w:p>
        </w:tc>
        <w:tc>
          <w:tcPr>
            <w:tcW w:w="422" w:type="pct"/>
          </w:tcPr>
          <w:p w14:paraId="109DCC43" w14:textId="77777777" w:rsidR="004E36A7" w:rsidRPr="00B44B19" w:rsidRDefault="004E36A7" w:rsidP="00251C8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1079" w:type="pct"/>
          </w:tcPr>
          <w:p w14:paraId="10B1E1E9" w14:textId="36BC133A" w:rsidR="004E36A7" w:rsidRPr="00B44B19" w:rsidRDefault="004E36A7" w:rsidP="00467A1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Žuvusiųjų TEN-T keliuose skaičius</w:t>
            </w:r>
          </w:p>
        </w:tc>
        <w:tc>
          <w:tcPr>
            <w:tcW w:w="421" w:type="pct"/>
          </w:tcPr>
          <w:p w14:paraId="13346AA2" w14:textId="77777777" w:rsidR="004E36A7" w:rsidRPr="00B44B19" w:rsidRDefault="004E36A7" w:rsidP="00467A17">
            <w:pPr>
              <w:spacing w:after="0" w:line="240" w:lineRule="auto"/>
              <w:jc w:val="both"/>
              <w:rPr>
                <w:rFonts w:cs="Times New Roman"/>
                <w:bCs/>
                <w:iCs/>
                <w:sz w:val="16"/>
                <w:szCs w:val="16"/>
              </w:rPr>
            </w:pPr>
            <w:r w:rsidRPr="00B44B19">
              <w:rPr>
                <w:rFonts w:cs="Times New Roman"/>
                <w:bCs/>
                <w:iCs/>
                <w:sz w:val="16"/>
                <w:szCs w:val="16"/>
              </w:rPr>
              <w:t>Skaičius per metus</w:t>
            </w:r>
          </w:p>
        </w:tc>
        <w:tc>
          <w:tcPr>
            <w:tcW w:w="375" w:type="pct"/>
          </w:tcPr>
          <w:p w14:paraId="5CEB8B29" w14:textId="77777777" w:rsidR="004E36A7" w:rsidRPr="00B44B19" w:rsidRDefault="004E36A7" w:rsidP="00251C89">
            <w:pPr>
              <w:spacing w:after="0" w:line="240" w:lineRule="auto"/>
              <w:jc w:val="center"/>
              <w:rPr>
                <w:rFonts w:cs="Times New Roman"/>
                <w:iCs/>
                <w:noProof/>
                <w:sz w:val="16"/>
                <w:szCs w:val="16"/>
              </w:rPr>
            </w:pPr>
            <w:r w:rsidRPr="00B44B19">
              <w:rPr>
                <w:rFonts w:cs="Times New Roman"/>
                <w:iCs/>
                <w:noProof/>
                <w:sz w:val="16"/>
                <w:szCs w:val="16"/>
              </w:rPr>
              <w:t>54</w:t>
            </w:r>
          </w:p>
        </w:tc>
        <w:tc>
          <w:tcPr>
            <w:tcW w:w="375" w:type="pct"/>
          </w:tcPr>
          <w:p w14:paraId="53469A95" w14:textId="77777777" w:rsidR="004E36A7" w:rsidRPr="00B44B19" w:rsidRDefault="004E36A7" w:rsidP="00251C89">
            <w:pPr>
              <w:spacing w:after="0" w:line="240" w:lineRule="auto"/>
              <w:jc w:val="center"/>
              <w:rPr>
                <w:rFonts w:cs="Times New Roman"/>
                <w:bCs/>
                <w:noProof/>
                <w:sz w:val="16"/>
                <w:szCs w:val="16"/>
              </w:rPr>
            </w:pPr>
            <w:r w:rsidRPr="00B44B19">
              <w:rPr>
                <w:rFonts w:cs="Times New Roman"/>
                <w:bCs/>
                <w:noProof/>
                <w:sz w:val="16"/>
                <w:szCs w:val="16"/>
              </w:rPr>
              <w:t>2019</w:t>
            </w:r>
          </w:p>
        </w:tc>
        <w:tc>
          <w:tcPr>
            <w:tcW w:w="375" w:type="pct"/>
          </w:tcPr>
          <w:p w14:paraId="56A5152D" w14:textId="77777777" w:rsidR="004E36A7" w:rsidRPr="00B44B19" w:rsidRDefault="004E36A7" w:rsidP="00990887">
            <w:pPr>
              <w:spacing w:after="0" w:line="240" w:lineRule="auto"/>
              <w:jc w:val="center"/>
              <w:rPr>
                <w:rFonts w:cs="Times New Roman"/>
                <w:sz w:val="16"/>
                <w:szCs w:val="16"/>
              </w:rPr>
            </w:pPr>
            <w:r w:rsidRPr="00B44B19">
              <w:rPr>
                <w:rFonts w:cs="Times New Roman"/>
                <w:sz w:val="16"/>
                <w:szCs w:val="16"/>
              </w:rPr>
              <w:t>26</w:t>
            </w:r>
          </w:p>
        </w:tc>
        <w:tc>
          <w:tcPr>
            <w:tcW w:w="376" w:type="pct"/>
          </w:tcPr>
          <w:p w14:paraId="162A5164" w14:textId="77777777" w:rsidR="004E36A7" w:rsidRPr="00B44B19" w:rsidRDefault="004E36A7" w:rsidP="00251C89">
            <w:pPr>
              <w:spacing w:after="0" w:line="240" w:lineRule="auto"/>
              <w:jc w:val="both"/>
              <w:rPr>
                <w:rFonts w:cs="Times New Roman"/>
                <w:noProof/>
                <w:sz w:val="16"/>
                <w:szCs w:val="16"/>
              </w:rPr>
            </w:pPr>
            <w:r w:rsidRPr="00B44B19">
              <w:rPr>
                <w:rFonts w:cs="Times New Roman"/>
                <w:noProof/>
                <w:sz w:val="16"/>
                <w:szCs w:val="16"/>
              </w:rPr>
              <w:t>Infrastruktūros valdytojo ataskaita</w:t>
            </w:r>
          </w:p>
        </w:tc>
        <w:tc>
          <w:tcPr>
            <w:tcW w:w="322" w:type="pct"/>
          </w:tcPr>
          <w:p w14:paraId="70812E56" w14:textId="77777777" w:rsidR="004E36A7" w:rsidRPr="00B44B19" w:rsidRDefault="004E36A7" w:rsidP="00251C89">
            <w:pPr>
              <w:spacing w:after="0" w:line="240" w:lineRule="auto"/>
              <w:jc w:val="both"/>
              <w:rPr>
                <w:rFonts w:eastAsia="Calibri" w:cs="Times New Roman"/>
                <w:i/>
                <w:noProof/>
                <w:sz w:val="14"/>
                <w:szCs w:val="14"/>
                <w:highlight w:val="yellow"/>
                <w:lang w:eastAsia="lt-LT" w:bidi="lt-LT"/>
              </w:rPr>
            </w:pPr>
          </w:p>
        </w:tc>
      </w:tr>
      <w:tr w:rsidR="00851BB9" w:rsidRPr="00B44B19" w14:paraId="31A4EA02" w14:textId="77777777" w:rsidTr="00251C89">
        <w:trPr>
          <w:trHeight w:val="185"/>
        </w:trPr>
        <w:tc>
          <w:tcPr>
            <w:tcW w:w="317" w:type="pct"/>
            <w:vMerge/>
          </w:tcPr>
          <w:p w14:paraId="4D870B08"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50BF0B12" w14:textId="77777777" w:rsidR="00851BB9" w:rsidRPr="00B44B19" w:rsidRDefault="00851BB9" w:rsidP="00251C89">
            <w:pPr>
              <w:spacing w:after="0" w:line="240" w:lineRule="auto"/>
              <w:jc w:val="both"/>
              <w:rPr>
                <w:rFonts w:cs="Times New Roman"/>
                <w:noProof/>
                <w:sz w:val="16"/>
                <w:szCs w:val="16"/>
              </w:rPr>
            </w:pPr>
          </w:p>
        </w:tc>
        <w:tc>
          <w:tcPr>
            <w:tcW w:w="282" w:type="pct"/>
            <w:vMerge w:val="restart"/>
          </w:tcPr>
          <w:p w14:paraId="4C189139" w14:textId="77777777" w:rsidR="00851BB9" w:rsidRPr="00B44B19" w:rsidRDefault="00851BB9" w:rsidP="00251C89">
            <w:pPr>
              <w:spacing w:after="0" w:line="240" w:lineRule="auto"/>
              <w:jc w:val="both"/>
              <w:rPr>
                <w:rFonts w:cs="Times New Roman"/>
                <w:noProof/>
                <w:sz w:val="16"/>
                <w:szCs w:val="16"/>
              </w:rPr>
            </w:pPr>
            <w:r w:rsidRPr="00B44B19">
              <w:rPr>
                <w:rFonts w:cs="Times New Roman"/>
                <w:noProof/>
                <w:sz w:val="16"/>
                <w:szCs w:val="16"/>
              </w:rPr>
              <w:t>ERPF</w:t>
            </w:r>
          </w:p>
        </w:tc>
        <w:tc>
          <w:tcPr>
            <w:tcW w:w="328" w:type="pct"/>
            <w:vMerge w:val="restart"/>
          </w:tcPr>
          <w:p w14:paraId="65880FD2" w14:textId="77777777" w:rsidR="00851BB9" w:rsidRPr="00B44B19" w:rsidRDefault="00851BB9" w:rsidP="00251C89">
            <w:pPr>
              <w:spacing w:after="0" w:line="240" w:lineRule="auto"/>
              <w:jc w:val="both"/>
              <w:rPr>
                <w:rFonts w:cs="Times New Roman"/>
                <w:noProof/>
                <w:sz w:val="16"/>
                <w:szCs w:val="16"/>
                <w:highlight w:val="yellow"/>
              </w:rPr>
            </w:pPr>
            <w:r w:rsidRPr="00B44B19">
              <w:rPr>
                <w:rFonts w:cs="Times New Roman"/>
                <w:noProof/>
                <w:sz w:val="16"/>
                <w:szCs w:val="16"/>
              </w:rPr>
              <w:t>VVL regionas</w:t>
            </w:r>
          </w:p>
        </w:tc>
        <w:tc>
          <w:tcPr>
            <w:tcW w:w="422" w:type="pct"/>
            <w:shd w:val="clear" w:color="auto" w:fill="FFFFFF" w:themeFill="background1"/>
          </w:tcPr>
          <w:p w14:paraId="2FD3DC82" w14:textId="77777777" w:rsidR="00851BB9" w:rsidRPr="00B44B19" w:rsidRDefault="00851BB9" w:rsidP="00251C8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RCR55</w:t>
            </w:r>
          </w:p>
        </w:tc>
        <w:tc>
          <w:tcPr>
            <w:tcW w:w="1079" w:type="pct"/>
            <w:shd w:val="clear" w:color="auto" w:fill="FFFFFF" w:themeFill="background1"/>
          </w:tcPr>
          <w:p w14:paraId="6DBF2C4F" w14:textId="77777777" w:rsidR="00851BB9" w:rsidRPr="00B44B19" w:rsidRDefault="00851BB9" w:rsidP="00251C89">
            <w:pPr>
              <w:spacing w:after="0" w:line="240" w:lineRule="auto"/>
              <w:rPr>
                <w:rFonts w:eastAsia="Calibri" w:cs="Times New Roman"/>
                <w:noProof/>
                <w:sz w:val="16"/>
                <w:szCs w:val="16"/>
                <w:lang w:eastAsia="lt-LT" w:bidi="lt-LT"/>
              </w:rPr>
            </w:pPr>
            <w:r w:rsidRPr="00B44B19">
              <w:rPr>
                <w:rFonts w:cs="Times New Roman"/>
                <w:noProof/>
                <w:sz w:val="16"/>
                <w:szCs w:val="16"/>
              </w:rPr>
              <w:t>Naujai pastatytų, rekonstruotų, atnaujintų arba modernizuotų kelių naudotojų skaičius per metus</w:t>
            </w:r>
          </w:p>
        </w:tc>
        <w:tc>
          <w:tcPr>
            <w:tcW w:w="421" w:type="pct"/>
            <w:shd w:val="clear" w:color="auto" w:fill="FFFFFF" w:themeFill="background1"/>
          </w:tcPr>
          <w:p w14:paraId="5A13BEAB" w14:textId="77777777" w:rsidR="00851BB9" w:rsidRPr="00B44B19" w:rsidRDefault="00284635" w:rsidP="00251C89">
            <w:pPr>
              <w:spacing w:after="0" w:line="240" w:lineRule="auto"/>
              <w:jc w:val="both"/>
              <w:rPr>
                <w:rFonts w:cs="Times New Roman"/>
                <w:bCs/>
                <w:iCs/>
                <w:noProof/>
                <w:sz w:val="16"/>
                <w:szCs w:val="16"/>
              </w:rPr>
            </w:pPr>
            <w:r w:rsidRPr="00B44B19">
              <w:rPr>
                <w:rFonts w:cs="Times New Roman"/>
                <w:iCs/>
                <w:noProof/>
                <w:sz w:val="16"/>
                <w:szCs w:val="16"/>
              </w:rPr>
              <w:t>Keleivių km per metus</w:t>
            </w:r>
          </w:p>
        </w:tc>
        <w:tc>
          <w:tcPr>
            <w:tcW w:w="375" w:type="pct"/>
            <w:shd w:val="clear" w:color="auto" w:fill="FFFFFF" w:themeFill="background1"/>
          </w:tcPr>
          <w:p w14:paraId="42869C95" w14:textId="7BB061F4" w:rsidR="00990887" w:rsidRPr="00B44B19" w:rsidRDefault="009E21DD" w:rsidP="0074794D">
            <w:pPr>
              <w:spacing w:after="0" w:line="240" w:lineRule="auto"/>
              <w:jc w:val="center"/>
              <w:rPr>
                <w:rFonts w:cs="Times New Roman"/>
                <w:iCs/>
                <w:noProof/>
                <w:sz w:val="16"/>
                <w:szCs w:val="16"/>
              </w:rPr>
            </w:pPr>
            <w:r w:rsidRPr="00B44B19">
              <w:rPr>
                <w:rFonts w:cs="Times New Roman"/>
                <w:iCs/>
                <w:noProof/>
                <w:sz w:val="16"/>
                <w:szCs w:val="16"/>
              </w:rPr>
              <w:t>97 546 146</w:t>
            </w:r>
          </w:p>
        </w:tc>
        <w:tc>
          <w:tcPr>
            <w:tcW w:w="375" w:type="pct"/>
            <w:shd w:val="clear" w:color="auto" w:fill="FFFFFF" w:themeFill="background1"/>
          </w:tcPr>
          <w:p w14:paraId="4131E0A3" w14:textId="77777777" w:rsidR="00851BB9" w:rsidRPr="00B44B19" w:rsidRDefault="00851BB9" w:rsidP="00251C89">
            <w:pPr>
              <w:spacing w:after="0" w:line="240" w:lineRule="auto"/>
              <w:jc w:val="center"/>
              <w:rPr>
                <w:rFonts w:cs="Times New Roman"/>
                <w:bCs/>
                <w:noProof/>
                <w:sz w:val="16"/>
                <w:szCs w:val="16"/>
              </w:rPr>
            </w:pPr>
            <w:r w:rsidRPr="00B44B19">
              <w:rPr>
                <w:rFonts w:cs="Times New Roman"/>
                <w:bCs/>
                <w:noProof/>
                <w:sz w:val="16"/>
                <w:szCs w:val="16"/>
              </w:rPr>
              <w:t>202</w:t>
            </w:r>
            <w:r w:rsidR="00990887" w:rsidRPr="00B44B19">
              <w:rPr>
                <w:rFonts w:cs="Times New Roman"/>
                <w:bCs/>
                <w:noProof/>
                <w:sz w:val="16"/>
                <w:szCs w:val="16"/>
              </w:rPr>
              <w:t>1</w:t>
            </w:r>
          </w:p>
        </w:tc>
        <w:tc>
          <w:tcPr>
            <w:tcW w:w="375" w:type="pct"/>
            <w:shd w:val="clear" w:color="auto" w:fill="FFFFFF" w:themeFill="background1"/>
          </w:tcPr>
          <w:p w14:paraId="3183A542" w14:textId="38AAD4E3" w:rsidR="00990887" w:rsidRPr="00B44B19" w:rsidRDefault="009E21DD" w:rsidP="0074794D">
            <w:pPr>
              <w:spacing w:after="0" w:line="240" w:lineRule="auto"/>
              <w:jc w:val="center"/>
              <w:rPr>
                <w:rFonts w:cs="Times New Roman"/>
                <w:sz w:val="16"/>
                <w:szCs w:val="16"/>
              </w:rPr>
            </w:pPr>
            <w:r w:rsidRPr="00B44B19">
              <w:rPr>
                <w:rFonts w:cs="Times New Roman"/>
                <w:sz w:val="16"/>
                <w:szCs w:val="16"/>
              </w:rPr>
              <w:t>102 689 912</w:t>
            </w:r>
          </w:p>
        </w:tc>
        <w:tc>
          <w:tcPr>
            <w:tcW w:w="376" w:type="pct"/>
            <w:shd w:val="clear" w:color="auto" w:fill="FFFFFF" w:themeFill="background1"/>
          </w:tcPr>
          <w:p w14:paraId="226798DD" w14:textId="77777777" w:rsidR="00851BB9" w:rsidRPr="00B44B19" w:rsidRDefault="008E5C74" w:rsidP="008B14EA">
            <w:pPr>
              <w:spacing w:after="0" w:line="240" w:lineRule="auto"/>
              <w:jc w:val="both"/>
              <w:rPr>
                <w:rFonts w:cs="Times New Roman"/>
                <w:noProof/>
                <w:sz w:val="16"/>
                <w:szCs w:val="16"/>
              </w:rPr>
            </w:pPr>
            <w:r w:rsidRPr="00B44B19">
              <w:rPr>
                <w:rFonts w:cs="Times New Roman"/>
                <w:noProof/>
                <w:sz w:val="16"/>
                <w:szCs w:val="16"/>
              </w:rPr>
              <w:t>P</w:t>
            </w:r>
            <w:r w:rsidR="008B14EA" w:rsidRPr="00B44B19">
              <w:rPr>
                <w:rFonts w:cs="Times New Roman"/>
                <w:noProof/>
                <w:sz w:val="16"/>
                <w:szCs w:val="16"/>
              </w:rPr>
              <w:t>rojektų duomenys</w:t>
            </w:r>
          </w:p>
        </w:tc>
        <w:tc>
          <w:tcPr>
            <w:tcW w:w="322" w:type="pct"/>
            <w:shd w:val="clear" w:color="auto" w:fill="FFFFFF" w:themeFill="background1"/>
          </w:tcPr>
          <w:p w14:paraId="7B601F7D" w14:textId="77777777" w:rsidR="00851BB9" w:rsidRPr="00B44B19" w:rsidRDefault="00851BB9" w:rsidP="00251C89">
            <w:pPr>
              <w:spacing w:after="0" w:line="240" w:lineRule="auto"/>
              <w:jc w:val="both"/>
              <w:rPr>
                <w:rFonts w:eastAsia="Calibri" w:cs="Times New Roman"/>
                <w:i/>
                <w:noProof/>
                <w:sz w:val="14"/>
                <w:szCs w:val="14"/>
                <w:highlight w:val="yellow"/>
                <w:lang w:eastAsia="lt-LT" w:bidi="lt-LT"/>
              </w:rPr>
            </w:pPr>
          </w:p>
        </w:tc>
      </w:tr>
      <w:tr w:rsidR="00851BB9" w:rsidRPr="00B44B19" w14:paraId="396973DD" w14:textId="77777777" w:rsidTr="00251C89">
        <w:trPr>
          <w:trHeight w:val="185"/>
        </w:trPr>
        <w:tc>
          <w:tcPr>
            <w:tcW w:w="317" w:type="pct"/>
            <w:vMerge/>
          </w:tcPr>
          <w:p w14:paraId="1EB22246"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32D99F36" w14:textId="77777777" w:rsidR="00851BB9" w:rsidRPr="00B44B19" w:rsidRDefault="00851BB9" w:rsidP="00251C89">
            <w:pPr>
              <w:spacing w:after="0" w:line="240" w:lineRule="auto"/>
              <w:jc w:val="both"/>
              <w:rPr>
                <w:rFonts w:cs="Times New Roman"/>
                <w:noProof/>
                <w:sz w:val="16"/>
                <w:szCs w:val="16"/>
              </w:rPr>
            </w:pPr>
          </w:p>
        </w:tc>
        <w:tc>
          <w:tcPr>
            <w:tcW w:w="282" w:type="pct"/>
            <w:vMerge/>
          </w:tcPr>
          <w:p w14:paraId="61BDB4E7" w14:textId="77777777" w:rsidR="00851BB9" w:rsidRPr="00B44B19" w:rsidRDefault="00851BB9" w:rsidP="00251C89">
            <w:pPr>
              <w:spacing w:after="0" w:line="240" w:lineRule="auto"/>
              <w:jc w:val="both"/>
              <w:rPr>
                <w:rFonts w:cs="Times New Roman"/>
                <w:noProof/>
                <w:sz w:val="16"/>
                <w:szCs w:val="16"/>
              </w:rPr>
            </w:pPr>
          </w:p>
        </w:tc>
        <w:tc>
          <w:tcPr>
            <w:tcW w:w="328" w:type="pct"/>
            <w:vMerge/>
          </w:tcPr>
          <w:p w14:paraId="45D1FD66" w14:textId="77777777" w:rsidR="00851BB9" w:rsidRPr="00B44B19" w:rsidRDefault="00851BB9" w:rsidP="00251C89">
            <w:pPr>
              <w:spacing w:after="0" w:line="240" w:lineRule="auto"/>
              <w:jc w:val="both"/>
              <w:rPr>
                <w:rFonts w:cs="Times New Roman"/>
                <w:noProof/>
                <w:sz w:val="14"/>
                <w:szCs w:val="14"/>
                <w:highlight w:val="yellow"/>
              </w:rPr>
            </w:pPr>
          </w:p>
        </w:tc>
        <w:tc>
          <w:tcPr>
            <w:tcW w:w="422" w:type="pct"/>
          </w:tcPr>
          <w:p w14:paraId="23F31915" w14:textId="77777777" w:rsidR="00851BB9" w:rsidRPr="00B44B19" w:rsidRDefault="00851BB9" w:rsidP="00251C8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 xml:space="preserve">RCR56 </w:t>
            </w:r>
          </w:p>
        </w:tc>
        <w:tc>
          <w:tcPr>
            <w:tcW w:w="1079" w:type="pct"/>
          </w:tcPr>
          <w:p w14:paraId="40160B1A" w14:textId="77777777" w:rsidR="00851BB9" w:rsidRPr="00B44B19" w:rsidRDefault="00851BB9" w:rsidP="00251C89">
            <w:pPr>
              <w:spacing w:after="0" w:line="240" w:lineRule="auto"/>
              <w:rPr>
                <w:rFonts w:eastAsia="Calibri" w:cs="Times New Roman"/>
                <w:noProof/>
                <w:sz w:val="16"/>
                <w:szCs w:val="16"/>
                <w:lang w:eastAsia="lt-LT" w:bidi="lt-LT"/>
              </w:rPr>
            </w:pPr>
            <w:r w:rsidRPr="00B44B19">
              <w:rPr>
                <w:rFonts w:cs="Times New Roman"/>
                <w:noProof/>
                <w:sz w:val="16"/>
                <w:szCs w:val="16"/>
              </w:rPr>
              <w:t>Dėl patobulintos kelių infrastruktūros sutaupytas laikas</w:t>
            </w:r>
          </w:p>
        </w:tc>
        <w:tc>
          <w:tcPr>
            <w:tcW w:w="421" w:type="pct"/>
          </w:tcPr>
          <w:p w14:paraId="28B4C16F" w14:textId="77777777" w:rsidR="00851BB9" w:rsidRPr="00B44B19" w:rsidRDefault="00451F65" w:rsidP="00990887">
            <w:pPr>
              <w:spacing w:after="0" w:line="240" w:lineRule="auto"/>
              <w:jc w:val="both"/>
              <w:rPr>
                <w:rFonts w:cs="Times New Roman"/>
                <w:bCs/>
                <w:iCs/>
                <w:noProof/>
                <w:sz w:val="16"/>
                <w:szCs w:val="16"/>
              </w:rPr>
            </w:pPr>
            <w:r w:rsidRPr="00B44B19">
              <w:rPr>
                <w:rFonts w:cs="Times New Roman"/>
                <w:iCs/>
                <w:sz w:val="16"/>
                <w:szCs w:val="16"/>
              </w:rPr>
              <w:t>Darbo dienų</w:t>
            </w:r>
            <w:r w:rsidR="004E36A7" w:rsidRPr="00B44B19">
              <w:rPr>
                <w:rFonts w:cs="Times New Roman"/>
                <w:iCs/>
                <w:sz w:val="16"/>
                <w:szCs w:val="16"/>
              </w:rPr>
              <w:t xml:space="preserve"> per metus</w:t>
            </w:r>
          </w:p>
        </w:tc>
        <w:tc>
          <w:tcPr>
            <w:tcW w:w="375" w:type="pct"/>
          </w:tcPr>
          <w:p w14:paraId="396D82C3" w14:textId="77777777" w:rsidR="00990887" w:rsidRPr="00B44B19" w:rsidRDefault="00BC49B0" w:rsidP="0074794D">
            <w:pPr>
              <w:spacing w:after="0" w:line="240" w:lineRule="auto"/>
              <w:jc w:val="center"/>
              <w:rPr>
                <w:rFonts w:cs="Times New Roman"/>
                <w:iCs/>
                <w:noProof/>
                <w:sz w:val="16"/>
                <w:szCs w:val="16"/>
              </w:rPr>
            </w:pPr>
            <w:r w:rsidRPr="00B44B19">
              <w:rPr>
                <w:rFonts w:cs="Times New Roman"/>
                <w:iCs/>
                <w:noProof/>
                <w:sz w:val="16"/>
                <w:szCs w:val="16"/>
              </w:rPr>
              <w:t>0</w:t>
            </w:r>
          </w:p>
        </w:tc>
        <w:tc>
          <w:tcPr>
            <w:tcW w:w="375" w:type="pct"/>
          </w:tcPr>
          <w:p w14:paraId="393E3899" w14:textId="77777777" w:rsidR="00851BB9" w:rsidRPr="00B44B19" w:rsidRDefault="00851BB9" w:rsidP="00990887">
            <w:pPr>
              <w:spacing w:after="0" w:line="240" w:lineRule="auto"/>
              <w:jc w:val="center"/>
              <w:rPr>
                <w:rFonts w:cs="Times New Roman"/>
                <w:bCs/>
                <w:noProof/>
                <w:sz w:val="16"/>
                <w:szCs w:val="16"/>
              </w:rPr>
            </w:pPr>
            <w:r w:rsidRPr="00B44B19">
              <w:rPr>
                <w:rFonts w:cs="Times New Roman"/>
                <w:bCs/>
                <w:noProof/>
                <w:sz w:val="16"/>
                <w:szCs w:val="16"/>
              </w:rPr>
              <w:t>202</w:t>
            </w:r>
            <w:r w:rsidR="00990887" w:rsidRPr="00B44B19">
              <w:rPr>
                <w:rFonts w:cs="Times New Roman"/>
                <w:bCs/>
                <w:noProof/>
                <w:sz w:val="16"/>
                <w:szCs w:val="16"/>
              </w:rPr>
              <w:t>1</w:t>
            </w:r>
          </w:p>
        </w:tc>
        <w:tc>
          <w:tcPr>
            <w:tcW w:w="375" w:type="pct"/>
          </w:tcPr>
          <w:p w14:paraId="230E238B" w14:textId="0CB5DD10" w:rsidR="00990887" w:rsidRPr="00B44B19" w:rsidRDefault="009E21DD" w:rsidP="0074794D">
            <w:pPr>
              <w:spacing w:after="0" w:line="240" w:lineRule="auto"/>
              <w:jc w:val="center"/>
              <w:rPr>
                <w:rFonts w:cs="Times New Roman"/>
                <w:sz w:val="16"/>
                <w:szCs w:val="16"/>
              </w:rPr>
            </w:pPr>
            <w:r w:rsidRPr="00B44B19">
              <w:rPr>
                <w:rFonts w:cs="Times New Roman"/>
                <w:sz w:val="16"/>
                <w:szCs w:val="16"/>
              </w:rPr>
              <w:t>23 864</w:t>
            </w:r>
          </w:p>
        </w:tc>
        <w:tc>
          <w:tcPr>
            <w:tcW w:w="376" w:type="pct"/>
          </w:tcPr>
          <w:p w14:paraId="70765CCA" w14:textId="77777777" w:rsidR="00851BB9" w:rsidRPr="00B44B19" w:rsidRDefault="008E5C74" w:rsidP="008B14EA">
            <w:pPr>
              <w:spacing w:after="0" w:line="240" w:lineRule="auto"/>
              <w:jc w:val="both"/>
              <w:rPr>
                <w:rFonts w:cs="Times New Roman"/>
                <w:noProof/>
                <w:sz w:val="16"/>
                <w:szCs w:val="16"/>
              </w:rPr>
            </w:pPr>
            <w:r w:rsidRPr="00B44B19">
              <w:rPr>
                <w:rFonts w:cs="Times New Roman"/>
                <w:noProof/>
                <w:sz w:val="16"/>
                <w:szCs w:val="16"/>
              </w:rPr>
              <w:t>P</w:t>
            </w:r>
            <w:r w:rsidR="008B14EA" w:rsidRPr="00B44B19">
              <w:rPr>
                <w:rFonts w:cs="Times New Roman"/>
                <w:noProof/>
                <w:sz w:val="16"/>
                <w:szCs w:val="16"/>
              </w:rPr>
              <w:t>rojektų duomenys</w:t>
            </w:r>
          </w:p>
        </w:tc>
        <w:tc>
          <w:tcPr>
            <w:tcW w:w="322" w:type="pct"/>
          </w:tcPr>
          <w:p w14:paraId="07D2B4A9" w14:textId="77777777" w:rsidR="00851BB9" w:rsidRPr="00B44B19" w:rsidRDefault="00851BB9" w:rsidP="00251C89">
            <w:pPr>
              <w:spacing w:after="0" w:line="240" w:lineRule="auto"/>
              <w:jc w:val="both"/>
              <w:rPr>
                <w:rFonts w:eastAsia="Calibri" w:cs="Times New Roman"/>
                <w:i/>
                <w:noProof/>
                <w:sz w:val="14"/>
                <w:szCs w:val="14"/>
                <w:highlight w:val="yellow"/>
                <w:lang w:eastAsia="lt-LT" w:bidi="lt-LT"/>
              </w:rPr>
            </w:pPr>
          </w:p>
        </w:tc>
      </w:tr>
    </w:tbl>
    <w:p w14:paraId="1D8EAF2B" w14:textId="77777777" w:rsidR="00CC2709" w:rsidRPr="00B44B19" w:rsidRDefault="00CC2709" w:rsidP="00471A41">
      <w:pPr>
        <w:spacing w:after="0" w:line="240" w:lineRule="auto"/>
        <w:jc w:val="both"/>
        <w:rPr>
          <w:rFonts w:cs="Times New Roman"/>
          <w:b/>
          <w:bCs/>
          <w:szCs w:val="24"/>
        </w:rPr>
        <w:sectPr w:rsidR="00CC2709" w:rsidRPr="00B44B19" w:rsidSect="00931C78">
          <w:pgSz w:w="16838" w:h="11906" w:orient="landscape"/>
          <w:pgMar w:top="1701" w:right="1276" w:bottom="567" w:left="1134" w:header="567" w:footer="567" w:gutter="0"/>
          <w:cols w:space="1296"/>
          <w:docGrid w:linePitch="360"/>
        </w:sectPr>
      </w:pPr>
    </w:p>
    <w:p w14:paraId="05E2BBD9" w14:textId="77777777" w:rsidR="00D5397E" w:rsidRPr="00B44B19" w:rsidRDefault="00471A41" w:rsidP="00830FA9">
      <w:pPr>
        <w:pStyle w:val="Stilius1"/>
        <w:rPr>
          <w:rFonts w:cs="Times New Roman"/>
          <w:noProof/>
          <w:szCs w:val="24"/>
          <w:lang w:eastAsia="lt-LT" w:bidi="lt-LT"/>
        </w:rPr>
      </w:pPr>
      <w:r w:rsidRPr="00B44B19">
        <w:rPr>
          <w:rFonts w:cs="Times New Roman"/>
          <w:noProof/>
          <w:szCs w:val="24"/>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082"/>
        <w:gridCol w:w="846"/>
        <w:gridCol w:w="1299"/>
        <w:gridCol w:w="1134"/>
        <w:gridCol w:w="3969"/>
        <w:gridCol w:w="1559"/>
      </w:tblGrid>
      <w:tr w:rsidR="00851BB9" w:rsidRPr="00B44B19" w14:paraId="38293C09"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64D2249" w14:textId="77777777" w:rsidR="00851BB9" w:rsidRPr="00B44B19" w:rsidRDefault="00851BB9" w:rsidP="00251C89">
            <w:pPr>
              <w:rPr>
                <w:rFonts w:eastAsia="Times New Roman" w:cs="Times New Roman"/>
                <w:b/>
                <w:iCs/>
                <w:noProof/>
                <w:sz w:val="20"/>
              </w:rPr>
            </w:pPr>
            <w:r w:rsidRPr="00B44B19">
              <w:rPr>
                <w:rFonts w:cs="Times New Roman"/>
                <w:b/>
                <w:noProof/>
                <w:sz w:val="20"/>
              </w:rPr>
              <w:t>4 lentelė. 1 matmuo. Intervencinių priemonių sritis</w:t>
            </w:r>
          </w:p>
        </w:tc>
      </w:tr>
      <w:tr w:rsidR="00851BB9" w:rsidRPr="00B44B19" w14:paraId="27286A8C" w14:textId="77777777" w:rsidTr="003B113E">
        <w:tc>
          <w:tcPr>
            <w:tcW w:w="10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F1063B"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Prioriteto Nr.</w:t>
            </w:r>
          </w:p>
        </w:tc>
        <w:tc>
          <w:tcPr>
            <w:tcW w:w="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88BA8E"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Fondas</w:t>
            </w:r>
          </w:p>
        </w:tc>
        <w:tc>
          <w:tcPr>
            <w:tcW w:w="12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9D178"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95DA6A"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E8C4B1"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CE65E9"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Suma (EUR)</w:t>
            </w:r>
          </w:p>
        </w:tc>
      </w:tr>
      <w:tr w:rsidR="0074794D" w:rsidRPr="00B44B19" w14:paraId="7174E538" w14:textId="77777777" w:rsidTr="003B113E">
        <w:tc>
          <w:tcPr>
            <w:tcW w:w="1082" w:type="dxa"/>
            <w:vMerge w:val="restart"/>
          </w:tcPr>
          <w:p w14:paraId="548C519A" w14:textId="77777777" w:rsidR="0074794D" w:rsidRPr="00B44B19" w:rsidRDefault="0074794D" w:rsidP="00251C89">
            <w:pPr>
              <w:jc w:val="center"/>
              <w:rPr>
                <w:rFonts w:eastAsia="Times New Roman" w:cs="Times New Roman"/>
                <w:iCs/>
                <w:noProof/>
                <w:sz w:val="20"/>
              </w:rPr>
            </w:pPr>
            <w:r w:rsidRPr="00B44B19">
              <w:rPr>
                <w:rFonts w:eastAsia="Times New Roman" w:cs="Times New Roman"/>
                <w:iCs/>
                <w:noProof/>
                <w:sz w:val="20"/>
              </w:rPr>
              <w:t>3.</w:t>
            </w:r>
          </w:p>
        </w:tc>
        <w:tc>
          <w:tcPr>
            <w:tcW w:w="846" w:type="dxa"/>
          </w:tcPr>
          <w:p w14:paraId="26236B7F" w14:textId="77777777" w:rsidR="0074794D" w:rsidRPr="00B44B19" w:rsidRDefault="0074794D" w:rsidP="00251C89">
            <w:pPr>
              <w:jc w:val="center"/>
              <w:rPr>
                <w:rFonts w:eastAsia="Times New Roman" w:cs="Times New Roman"/>
                <w:iCs/>
                <w:noProof/>
                <w:sz w:val="20"/>
              </w:rPr>
            </w:pPr>
            <w:r w:rsidRPr="00B44B19">
              <w:rPr>
                <w:rFonts w:eastAsia="Times New Roman" w:cs="Times New Roman"/>
                <w:bCs/>
                <w:iCs/>
                <w:noProof/>
                <w:sz w:val="20"/>
              </w:rPr>
              <w:t>ERPF</w:t>
            </w:r>
          </w:p>
        </w:tc>
        <w:tc>
          <w:tcPr>
            <w:tcW w:w="1299" w:type="dxa"/>
          </w:tcPr>
          <w:p w14:paraId="37DFA5DA" w14:textId="77777777" w:rsidR="0074794D" w:rsidRPr="00B44B19" w:rsidRDefault="0074794D" w:rsidP="00251C89">
            <w:pPr>
              <w:rPr>
                <w:rFonts w:cs="Times New Roman"/>
                <w:noProof/>
                <w:sz w:val="20"/>
                <w:szCs w:val="20"/>
              </w:rPr>
            </w:pPr>
            <w:r w:rsidRPr="00B44B19">
              <w:rPr>
                <w:rFonts w:eastAsia="Times New Roman" w:cs="Times New Roman"/>
                <w:iCs/>
                <w:noProof/>
                <w:sz w:val="20"/>
              </w:rPr>
              <w:t>VVL regionas</w:t>
            </w:r>
          </w:p>
        </w:tc>
        <w:tc>
          <w:tcPr>
            <w:tcW w:w="1134" w:type="dxa"/>
            <w:vMerge w:val="restart"/>
          </w:tcPr>
          <w:p w14:paraId="19EA7750" w14:textId="77777777" w:rsidR="0074794D" w:rsidRPr="00B44B19" w:rsidRDefault="0074794D" w:rsidP="00251C89">
            <w:pPr>
              <w:jc w:val="center"/>
              <w:rPr>
                <w:rFonts w:eastAsia="Times New Roman" w:cs="Times New Roman"/>
                <w:iCs/>
                <w:noProof/>
                <w:sz w:val="20"/>
              </w:rPr>
            </w:pPr>
            <w:r w:rsidRPr="00B44B19">
              <w:rPr>
                <w:rFonts w:eastAsia="Times New Roman" w:cs="Times New Roman"/>
                <w:iCs/>
                <w:noProof/>
                <w:sz w:val="20"/>
              </w:rPr>
              <w:t>3.1</w:t>
            </w:r>
          </w:p>
        </w:tc>
        <w:tc>
          <w:tcPr>
            <w:tcW w:w="3969" w:type="dxa"/>
            <w:vMerge w:val="restart"/>
            <w:tcBorders>
              <w:top w:val="single" w:sz="4" w:space="0" w:color="auto"/>
            </w:tcBorders>
          </w:tcPr>
          <w:p w14:paraId="52EFE6BE" w14:textId="77777777" w:rsidR="0074794D" w:rsidRPr="00B44B19" w:rsidRDefault="0074794D" w:rsidP="004E36A7">
            <w:pPr>
              <w:rPr>
                <w:rFonts w:eastAsia="Times New Roman" w:cs="Times New Roman"/>
                <w:bCs/>
                <w:iCs/>
                <w:noProof/>
                <w:sz w:val="20"/>
              </w:rPr>
            </w:pPr>
            <w:r w:rsidRPr="00B44B19">
              <w:rPr>
                <w:rFonts w:eastAsia="Times New Roman" w:cs="Times New Roman"/>
                <w:bCs/>
                <w:iCs/>
                <w:noProof/>
                <w:sz w:val="20"/>
              </w:rPr>
              <w:t xml:space="preserve">091 </w:t>
            </w:r>
            <w:r w:rsidR="004E36A7" w:rsidRPr="00B44B19">
              <w:rPr>
                <w:rFonts w:eastAsia="Times New Roman" w:cs="Times New Roman"/>
                <w:bCs/>
                <w:iCs/>
                <w:noProof/>
                <w:sz w:val="20"/>
              </w:rPr>
              <w:t>–</w:t>
            </w:r>
            <w:r w:rsidRPr="00B44B19">
              <w:rPr>
                <w:rFonts w:eastAsia="Times New Roman" w:cs="Times New Roman"/>
                <w:bCs/>
                <w:iCs/>
                <w:noProof/>
                <w:sz w:val="20"/>
              </w:rPr>
              <w:t xml:space="preserve"> Rekonstruoti ar modernizuoti greitkeliai ir keliai – TEN-T pagrindinis tinklas</w:t>
            </w:r>
          </w:p>
        </w:tc>
        <w:tc>
          <w:tcPr>
            <w:tcW w:w="1559" w:type="dxa"/>
            <w:tcBorders>
              <w:top w:val="single" w:sz="4" w:space="0" w:color="auto"/>
              <w:bottom w:val="single" w:sz="4" w:space="0" w:color="auto"/>
            </w:tcBorders>
          </w:tcPr>
          <w:p w14:paraId="5873E715" w14:textId="75F3A8ED" w:rsidR="0074794D" w:rsidRPr="00B44B19" w:rsidRDefault="009D6A95" w:rsidP="009D6A95">
            <w:pPr>
              <w:jc w:val="right"/>
              <w:rPr>
                <w:rFonts w:eastAsia="Times New Roman" w:cs="Times New Roman"/>
                <w:bCs/>
                <w:iCs/>
                <w:noProof/>
                <w:sz w:val="20"/>
              </w:rPr>
            </w:pPr>
            <w:r w:rsidRPr="00B44B19">
              <w:rPr>
                <w:rFonts w:cs="Times New Roman"/>
                <w:color w:val="000000"/>
                <w:sz w:val="20"/>
                <w:szCs w:val="20"/>
              </w:rPr>
              <w:t>15 845 339</w:t>
            </w:r>
            <w:r w:rsidR="0074794D" w:rsidRPr="00B44B19">
              <w:rPr>
                <w:rFonts w:cs="Times New Roman"/>
                <w:bCs/>
                <w:noProof/>
                <w:sz w:val="20"/>
              </w:rPr>
              <w:t>,00</w:t>
            </w:r>
          </w:p>
        </w:tc>
      </w:tr>
      <w:tr w:rsidR="0074794D" w:rsidRPr="00B44B19" w14:paraId="2A9928A2" w14:textId="77777777" w:rsidTr="003B113E">
        <w:tc>
          <w:tcPr>
            <w:tcW w:w="1082" w:type="dxa"/>
            <w:vMerge/>
          </w:tcPr>
          <w:p w14:paraId="2C8A9852" w14:textId="77777777" w:rsidR="0074794D" w:rsidRPr="00B44B19" w:rsidRDefault="0074794D" w:rsidP="00251C89">
            <w:pPr>
              <w:jc w:val="center"/>
              <w:rPr>
                <w:rFonts w:eastAsia="Times New Roman" w:cs="Times New Roman"/>
                <w:iCs/>
                <w:noProof/>
                <w:sz w:val="20"/>
              </w:rPr>
            </w:pPr>
          </w:p>
        </w:tc>
        <w:tc>
          <w:tcPr>
            <w:tcW w:w="846" w:type="dxa"/>
            <w:vMerge w:val="restart"/>
          </w:tcPr>
          <w:p w14:paraId="5C0248BF" w14:textId="77777777" w:rsidR="0074794D" w:rsidRPr="00B44B19" w:rsidRDefault="0074794D" w:rsidP="00251C89">
            <w:pPr>
              <w:jc w:val="center"/>
              <w:rPr>
                <w:rFonts w:eastAsia="Times New Roman" w:cs="Times New Roman"/>
                <w:iCs/>
                <w:noProof/>
                <w:sz w:val="20"/>
              </w:rPr>
            </w:pPr>
            <w:r w:rsidRPr="00B44B19">
              <w:rPr>
                <w:rFonts w:eastAsia="Times New Roman" w:cs="Times New Roman"/>
                <w:iCs/>
                <w:noProof/>
                <w:sz w:val="20"/>
              </w:rPr>
              <w:t>SaF</w:t>
            </w:r>
          </w:p>
        </w:tc>
        <w:tc>
          <w:tcPr>
            <w:tcW w:w="1299" w:type="dxa"/>
            <w:vMerge w:val="restart"/>
          </w:tcPr>
          <w:p w14:paraId="5EADA1C0" w14:textId="77777777" w:rsidR="0074794D" w:rsidRPr="00B44B19" w:rsidRDefault="0074794D" w:rsidP="00251C89">
            <w:pPr>
              <w:rPr>
                <w:rFonts w:eastAsia="Times New Roman" w:cs="Times New Roman"/>
                <w:iCs/>
                <w:noProof/>
                <w:sz w:val="20"/>
                <w:szCs w:val="20"/>
              </w:rPr>
            </w:pPr>
            <w:r w:rsidRPr="00B44B19">
              <w:rPr>
                <w:rFonts w:cs="Times New Roman"/>
                <w:noProof/>
                <w:sz w:val="20"/>
                <w:szCs w:val="20"/>
              </w:rPr>
              <w:t>Visa Lietuva</w:t>
            </w:r>
          </w:p>
        </w:tc>
        <w:tc>
          <w:tcPr>
            <w:tcW w:w="1134" w:type="dxa"/>
            <w:vMerge/>
          </w:tcPr>
          <w:p w14:paraId="46231ED6" w14:textId="77777777" w:rsidR="0074794D" w:rsidRPr="00B44B19" w:rsidRDefault="0074794D" w:rsidP="00251C89">
            <w:pPr>
              <w:jc w:val="center"/>
              <w:rPr>
                <w:rFonts w:eastAsia="Times New Roman" w:cs="Times New Roman"/>
                <w:iCs/>
                <w:noProof/>
                <w:sz w:val="20"/>
              </w:rPr>
            </w:pPr>
          </w:p>
        </w:tc>
        <w:tc>
          <w:tcPr>
            <w:tcW w:w="3969" w:type="dxa"/>
            <w:vMerge/>
            <w:tcBorders>
              <w:bottom w:val="single" w:sz="4" w:space="0" w:color="auto"/>
            </w:tcBorders>
          </w:tcPr>
          <w:p w14:paraId="4C62DAA6" w14:textId="77777777" w:rsidR="0074794D" w:rsidRPr="00B44B19" w:rsidRDefault="0074794D" w:rsidP="003F2BD2">
            <w:pPr>
              <w:rPr>
                <w:rFonts w:eastAsia="Times New Roman" w:cs="Times New Roman"/>
                <w:bCs/>
                <w:iCs/>
                <w:noProof/>
                <w:sz w:val="20"/>
              </w:rPr>
            </w:pPr>
          </w:p>
        </w:tc>
        <w:tc>
          <w:tcPr>
            <w:tcW w:w="1559" w:type="dxa"/>
            <w:tcBorders>
              <w:top w:val="single" w:sz="4" w:space="0" w:color="auto"/>
              <w:bottom w:val="single" w:sz="4" w:space="0" w:color="auto"/>
            </w:tcBorders>
          </w:tcPr>
          <w:p w14:paraId="076AE328" w14:textId="4451D6EC" w:rsidR="0074794D" w:rsidRPr="00B44B19" w:rsidRDefault="009D6A95" w:rsidP="009D6A95">
            <w:pPr>
              <w:jc w:val="right"/>
              <w:rPr>
                <w:rFonts w:eastAsia="Times New Roman" w:cs="Times New Roman"/>
                <w:bCs/>
                <w:iCs/>
                <w:noProof/>
                <w:sz w:val="20"/>
              </w:rPr>
            </w:pPr>
            <w:r w:rsidRPr="00B44B19">
              <w:rPr>
                <w:rFonts w:cs="Times New Roman"/>
                <w:color w:val="000000"/>
                <w:sz w:val="20"/>
                <w:szCs w:val="20"/>
              </w:rPr>
              <w:t>42 323 333</w:t>
            </w:r>
            <w:r w:rsidR="0074794D" w:rsidRPr="00B44B19">
              <w:rPr>
                <w:rFonts w:eastAsia="Times New Roman" w:cs="Times New Roman"/>
                <w:bCs/>
                <w:iCs/>
                <w:noProof/>
                <w:sz w:val="20"/>
              </w:rPr>
              <w:t>,00</w:t>
            </w:r>
          </w:p>
        </w:tc>
      </w:tr>
      <w:tr w:rsidR="0074794D" w:rsidRPr="00B44B19" w14:paraId="77D9C7F4" w14:textId="77777777" w:rsidTr="003B113E">
        <w:tc>
          <w:tcPr>
            <w:tcW w:w="1082" w:type="dxa"/>
            <w:vMerge/>
          </w:tcPr>
          <w:p w14:paraId="50B8A40B" w14:textId="77777777" w:rsidR="0074794D" w:rsidRPr="00B44B19" w:rsidRDefault="0074794D" w:rsidP="00251C89">
            <w:pPr>
              <w:rPr>
                <w:rFonts w:eastAsia="Times New Roman" w:cs="Times New Roman"/>
                <w:iCs/>
                <w:noProof/>
                <w:sz w:val="20"/>
                <w:highlight w:val="yellow"/>
              </w:rPr>
            </w:pPr>
          </w:p>
        </w:tc>
        <w:tc>
          <w:tcPr>
            <w:tcW w:w="846" w:type="dxa"/>
            <w:vMerge/>
          </w:tcPr>
          <w:p w14:paraId="567A27FD" w14:textId="77777777" w:rsidR="0074794D" w:rsidRPr="00B44B19" w:rsidRDefault="0074794D" w:rsidP="00251C89">
            <w:pPr>
              <w:rPr>
                <w:rFonts w:eastAsia="Times New Roman" w:cs="Times New Roman"/>
                <w:b/>
                <w:iCs/>
                <w:noProof/>
                <w:sz w:val="20"/>
                <w:highlight w:val="yellow"/>
              </w:rPr>
            </w:pPr>
          </w:p>
        </w:tc>
        <w:tc>
          <w:tcPr>
            <w:tcW w:w="1299" w:type="dxa"/>
            <w:vMerge/>
          </w:tcPr>
          <w:p w14:paraId="275D07A1" w14:textId="77777777" w:rsidR="0074794D" w:rsidRPr="00B44B19" w:rsidRDefault="0074794D" w:rsidP="00251C89">
            <w:pPr>
              <w:rPr>
                <w:rFonts w:eastAsia="Times New Roman" w:cs="Times New Roman"/>
                <w:iCs/>
                <w:noProof/>
                <w:sz w:val="20"/>
                <w:highlight w:val="yellow"/>
              </w:rPr>
            </w:pPr>
          </w:p>
        </w:tc>
        <w:tc>
          <w:tcPr>
            <w:tcW w:w="1134" w:type="dxa"/>
            <w:vMerge/>
          </w:tcPr>
          <w:p w14:paraId="36FA627D" w14:textId="77777777" w:rsidR="0074794D" w:rsidRPr="00B44B19" w:rsidRDefault="0074794D" w:rsidP="00251C89">
            <w:pPr>
              <w:rPr>
                <w:rFonts w:eastAsia="Times New Roman" w:cs="Times New Roman"/>
                <w:b/>
                <w:iCs/>
                <w:noProof/>
                <w:sz w:val="20"/>
                <w:highlight w:val="yellow"/>
              </w:rPr>
            </w:pPr>
          </w:p>
        </w:tc>
        <w:tc>
          <w:tcPr>
            <w:tcW w:w="3969" w:type="dxa"/>
            <w:tcBorders>
              <w:top w:val="single" w:sz="4" w:space="0" w:color="auto"/>
              <w:bottom w:val="single" w:sz="4" w:space="0" w:color="auto"/>
            </w:tcBorders>
          </w:tcPr>
          <w:p w14:paraId="3EA11553" w14:textId="77777777" w:rsidR="0074794D" w:rsidRPr="00B44B19" w:rsidRDefault="0074794D" w:rsidP="004E36A7">
            <w:pPr>
              <w:rPr>
                <w:rFonts w:eastAsia="Times New Roman" w:cs="Times New Roman"/>
                <w:bCs/>
                <w:iCs/>
                <w:noProof/>
                <w:sz w:val="20"/>
              </w:rPr>
            </w:pPr>
            <w:r w:rsidRPr="00B44B19">
              <w:rPr>
                <w:rFonts w:eastAsia="Times New Roman" w:cs="Times New Roman"/>
                <w:bCs/>
                <w:iCs/>
                <w:noProof/>
                <w:sz w:val="20"/>
              </w:rPr>
              <w:t xml:space="preserve">092 </w:t>
            </w:r>
            <w:r w:rsidR="004E36A7" w:rsidRPr="00B44B19">
              <w:rPr>
                <w:rFonts w:eastAsia="Times New Roman" w:cs="Times New Roman"/>
                <w:bCs/>
                <w:iCs/>
                <w:noProof/>
                <w:sz w:val="20"/>
              </w:rPr>
              <w:t>–</w:t>
            </w:r>
            <w:r w:rsidRPr="00B44B19">
              <w:rPr>
                <w:rFonts w:eastAsia="Times New Roman" w:cs="Times New Roman"/>
                <w:bCs/>
                <w:iCs/>
                <w:noProof/>
                <w:sz w:val="20"/>
              </w:rPr>
              <w:t xml:space="preserve"> Rekonstruoti ar modernizuoti greitkeliai ir keliai – TEN-T visuotinis tinklas</w:t>
            </w:r>
          </w:p>
        </w:tc>
        <w:tc>
          <w:tcPr>
            <w:tcW w:w="1559" w:type="dxa"/>
            <w:tcBorders>
              <w:top w:val="single" w:sz="4" w:space="0" w:color="auto"/>
              <w:bottom w:val="single" w:sz="4" w:space="0" w:color="auto"/>
            </w:tcBorders>
          </w:tcPr>
          <w:p w14:paraId="44BBE8AB" w14:textId="6BAD12DA" w:rsidR="0074794D" w:rsidRPr="00B44B19" w:rsidRDefault="009D6A95" w:rsidP="009D6A95">
            <w:pPr>
              <w:jc w:val="right"/>
              <w:rPr>
                <w:rFonts w:eastAsia="Times New Roman" w:cs="Times New Roman"/>
                <w:bCs/>
                <w:iCs/>
                <w:noProof/>
                <w:sz w:val="20"/>
              </w:rPr>
            </w:pPr>
            <w:r w:rsidRPr="00B44B19">
              <w:rPr>
                <w:rFonts w:cs="Times New Roman"/>
                <w:color w:val="000000"/>
                <w:sz w:val="20"/>
                <w:szCs w:val="20"/>
              </w:rPr>
              <w:t>68 566 940</w:t>
            </w:r>
            <w:r w:rsidR="0074794D" w:rsidRPr="00B44B19">
              <w:rPr>
                <w:rFonts w:eastAsia="Times New Roman" w:cs="Times New Roman"/>
                <w:bCs/>
                <w:iCs/>
                <w:noProof/>
                <w:sz w:val="20"/>
              </w:rPr>
              <w:t>,00</w:t>
            </w:r>
          </w:p>
        </w:tc>
      </w:tr>
      <w:tr w:rsidR="00085D01" w:rsidRPr="00B44B19" w14:paraId="395ACB0C" w14:textId="77777777" w:rsidTr="003B113E">
        <w:tc>
          <w:tcPr>
            <w:tcW w:w="1082" w:type="dxa"/>
            <w:vMerge/>
          </w:tcPr>
          <w:p w14:paraId="1DC2E32E" w14:textId="77777777" w:rsidR="00085D01" w:rsidRPr="00B44B19" w:rsidRDefault="00085D01" w:rsidP="00251C89">
            <w:pPr>
              <w:rPr>
                <w:rFonts w:eastAsia="Times New Roman" w:cs="Times New Roman"/>
                <w:iCs/>
                <w:noProof/>
                <w:sz w:val="20"/>
                <w:highlight w:val="yellow"/>
              </w:rPr>
            </w:pPr>
          </w:p>
        </w:tc>
        <w:tc>
          <w:tcPr>
            <w:tcW w:w="846" w:type="dxa"/>
            <w:vMerge/>
          </w:tcPr>
          <w:p w14:paraId="589219D3" w14:textId="77777777" w:rsidR="00085D01" w:rsidRPr="00B44B19" w:rsidRDefault="00085D01" w:rsidP="00251C89">
            <w:pPr>
              <w:rPr>
                <w:rFonts w:eastAsia="Times New Roman" w:cs="Times New Roman"/>
                <w:b/>
                <w:iCs/>
                <w:noProof/>
                <w:sz w:val="20"/>
                <w:highlight w:val="yellow"/>
              </w:rPr>
            </w:pPr>
          </w:p>
        </w:tc>
        <w:tc>
          <w:tcPr>
            <w:tcW w:w="1299" w:type="dxa"/>
            <w:vMerge/>
          </w:tcPr>
          <w:p w14:paraId="77F5A3BE" w14:textId="77777777" w:rsidR="00085D01" w:rsidRPr="00B44B19" w:rsidRDefault="00085D01" w:rsidP="00251C89">
            <w:pPr>
              <w:rPr>
                <w:rFonts w:eastAsia="Times New Roman" w:cs="Times New Roman"/>
                <w:iCs/>
                <w:noProof/>
                <w:sz w:val="20"/>
                <w:highlight w:val="yellow"/>
              </w:rPr>
            </w:pPr>
          </w:p>
        </w:tc>
        <w:tc>
          <w:tcPr>
            <w:tcW w:w="1134" w:type="dxa"/>
            <w:vMerge/>
          </w:tcPr>
          <w:p w14:paraId="2597A60A" w14:textId="77777777" w:rsidR="00085D01" w:rsidRPr="00B44B19" w:rsidRDefault="00085D01" w:rsidP="00251C89">
            <w:pPr>
              <w:rPr>
                <w:rFonts w:eastAsia="Times New Roman" w:cs="Times New Roman"/>
                <w:b/>
                <w:iCs/>
                <w:noProof/>
                <w:sz w:val="20"/>
                <w:highlight w:val="yellow"/>
              </w:rPr>
            </w:pPr>
          </w:p>
        </w:tc>
        <w:tc>
          <w:tcPr>
            <w:tcW w:w="3969" w:type="dxa"/>
            <w:tcBorders>
              <w:top w:val="single" w:sz="4" w:space="0" w:color="auto"/>
              <w:bottom w:val="single" w:sz="4" w:space="0" w:color="auto"/>
            </w:tcBorders>
          </w:tcPr>
          <w:p w14:paraId="45C98468" w14:textId="77777777" w:rsidR="00085D01" w:rsidRPr="00B44B19" w:rsidRDefault="00085D01" w:rsidP="003F2BD2">
            <w:pPr>
              <w:rPr>
                <w:rFonts w:eastAsia="Times New Roman" w:cs="Times New Roman"/>
                <w:bCs/>
                <w:iCs/>
                <w:noProof/>
                <w:sz w:val="20"/>
              </w:rPr>
            </w:pPr>
            <w:r w:rsidRPr="00B44B19">
              <w:rPr>
                <w:rFonts w:eastAsia="Times New Roman" w:cs="Times New Roman"/>
                <w:bCs/>
                <w:iCs/>
                <w:noProof/>
                <w:sz w:val="20"/>
              </w:rPr>
              <w:t>100 – Rekonstruoti ar modernizuoti geležinkeliai – TEN-T pagrindinis tinklas</w:t>
            </w:r>
          </w:p>
        </w:tc>
        <w:tc>
          <w:tcPr>
            <w:tcW w:w="1559" w:type="dxa"/>
            <w:tcBorders>
              <w:top w:val="single" w:sz="4" w:space="0" w:color="auto"/>
              <w:bottom w:val="single" w:sz="4" w:space="0" w:color="auto"/>
            </w:tcBorders>
          </w:tcPr>
          <w:p w14:paraId="5EE95B27" w14:textId="683A5EE0" w:rsidR="00085D01" w:rsidRPr="00B44B19" w:rsidRDefault="00E9212D" w:rsidP="00B20FF1">
            <w:pPr>
              <w:jc w:val="right"/>
              <w:rPr>
                <w:rFonts w:eastAsia="Times New Roman" w:cs="Times New Roman"/>
                <w:bCs/>
                <w:iCs/>
                <w:noProof/>
                <w:sz w:val="20"/>
              </w:rPr>
            </w:pPr>
            <w:r w:rsidRPr="00B44B19">
              <w:rPr>
                <w:rFonts w:eastAsia="Times New Roman" w:cs="Times New Roman"/>
                <w:bCs/>
                <w:iCs/>
                <w:noProof/>
                <w:sz w:val="20"/>
              </w:rPr>
              <w:t>142 906 390,00</w:t>
            </w:r>
          </w:p>
        </w:tc>
      </w:tr>
      <w:tr w:rsidR="0037014A" w:rsidRPr="00B44B19" w14:paraId="33C6FBA3" w14:textId="77777777" w:rsidTr="003B113E">
        <w:tc>
          <w:tcPr>
            <w:tcW w:w="1082" w:type="dxa"/>
            <w:vMerge/>
          </w:tcPr>
          <w:p w14:paraId="6B2C6A11" w14:textId="77777777" w:rsidR="0037014A" w:rsidRPr="00B44B19" w:rsidRDefault="0037014A" w:rsidP="00251C89">
            <w:pPr>
              <w:rPr>
                <w:rFonts w:eastAsia="Times New Roman" w:cs="Times New Roman"/>
                <w:iCs/>
                <w:noProof/>
                <w:sz w:val="20"/>
                <w:highlight w:val="yellow"/>
              </w:rPr>
            </w:pPr>
          </w:p>
        </w:tc>
        <w:tc>
          <w:tcPr>
            <w:tcW w:w="846" w:type="dxa"/>
            <w:vMerge/>
          </w:tcPr>
          <w:p w14:paraId="21EDFECC" w14:textId="77777777" w:rsidR="0037014A" w:rsidRPr="00B44B19" w:rsidRDefault="0037014A" w:rsidP="00251C89">
            <w:pPr>
              <w:rPr>
                <w:rFonts w:eastAsia="Times New Roman" w:cs="Times New Roman"/>
                <w:b/>
                <w:iCs/>
                <w:noProof/>
                <w:sz w:val="20"/>
                <w:highlight w:val="yellow"/>
              </w:rPr>
            </w:pPr>
          </w:p>
        </w:tc>
        <w:tc>
          <w:tcPr>
            <w:tcW w:w="1299" w:type="dxa"/>
            <w:vMerge/>
          </w:tcPr>
          <w:p w14:paraId="42548BE3" w14:textId="77777777" w:rsidR="0037014A" w:rsidRPr="00B44B19" w:rsidRDefault="0037014A" w:rsidP="00251C89">
            <w:pPr>
              <w:rPr>
                <w:rFonts w:eastAsia="Times New Roman" w:cs="Times New Roman"/>
                <w:iCs/>
                <w:noProof/>
                <w:sz w:val="20"/>
                <w:highlight w:val="yellow"/>
              </w:rPr>
            </w:pPr>
          </w:p>
        </w:tc>
        <w:tc>
          <w:tcPr>
            <w:tcW w:w="1134" w:type="dxa"/>
            <w:vMerge/>
          </w:tcPr>
          <w:p w14:paraId="40874AA6" w14:textId="77777777" w:rsidR="0037014A" w:rsidRPr="00B44B19" w:rsidRDefault="0037014A" w:rsidP="00251C89">
            <w:pPr>
              <w:rPr>
                <w:rFonts w:eastAsia="Times New Roman" w:cs="Times New Roman"/>
                <w:b/>
                <w:iCs/>
                <w:noProof/>
                <w:sz w:val="20"/>
                <w:highlight w:val="yellow"/>
              </w:rPr>
            </w:pPr>
          </w:p>
        </w:tc>
        <w:tc>
          <w:tcPr>
            <w:tcW w:w="3969" w:type="dxa"/>
            <w:tcBorders>
              <w:top w:val="single" w:sz="4" w:space="0" w:color="auto"/>
              <w:bottom w:val="single" w:sz="4" w:space="0" w:color="auto"/>
            </w:tcBorders>
          </w:tcPr>
          <w:p w14:paraId="21478B36" w14:textId="77777777" w:rsidR="0037014A" w:rsidRPr="00B44B19" w:rsidRDefault="0037014A" w:rsidP="004E36A7">
            <w:pPr>
              <w:rPr>
                <w:rFonts w:cs="Times New Roman"/>
                <w:bCs/>
                <w:noProof/>
                <w:sz w:val="20"/>
              </w:rPr>
            </w:pPr>
            <w:r w:rsidRPr="00B44B19">
              <w:rPr>
                <w:rFonts w:cs="Times New Roman"/>
                <w:bCs/>
                <w:noProof/>
                <w:sz w:val="20"/>
              </w:rPr>
              <w:t>101 – Rekonstruoti ar modernizuoti geležinkeliai – TEN-T visuotinis tinklas</w:t>
            </w:r>
          </w:p>
        </w:tc>
        <w:tc>
          <w:tcPr>
            <w:tcW w:w="1559" w:type="dxa"/>
            <w:tcBorders>
              <w:top w:val="single" w:sz="4" w:space="0" w:color="auto"/>
              <w:bottom w:val="single" w:sz="4" w:space="0" w:color="auto"/>
            </w:tcBorders>
          </w:tcPr>
          <w:p w14:paraId="50B46657" w14:textId="2256AA2B" w:rsidR="0037014A" w:rsidRPr="00B44B19" w:rsidRDefault="00E9212D" w:rsidP="00251C89">
            <w:pPr>
              <w:jc w:val="right"/>
              <w:rPr>
                <w:rFonts w:cs="Times New Roman"/>
                <w:bCs/>
                <w:noProof/>
                <w:sz w:val="20"/>
              </w:rPr>
            </w:pPr>
            <w:r w:rsidRPr="00B44B19">
              <w:rPr>
                <w:rFonts w:cs="Times New Roman"/>
                <w:bCs/>
                <w:noProof/>
                <w:sz w:val="20"/>
              </w:rPr>
              <w:t>13 744 864,00</w:t>
            </w:r>
          </w:p>
        </w:tc>
      </w:tr>
      <w:tr w:rsidR="00085D01" w:rsidRPr="00B44B19" w14:paraId="5FB8DEAB" w14:textId="77777777" w:rsidTr="003B113E">
        <w:tc>
          <w:tcPr>
            <w:tcW w:w="1082" w:type="dxa"/>
            <w:vMerge/>
          </w:tcPr>
          <w:p w14:paraId="73B0627F" w14:textId="77777777" w:rsidR="00085D01" w:rsidRPr="00B44B19" w:rsidRDefault="00085D01" w:rsidP="00251C89">
            <w:pPr>
              <w:rPr>
                <w:rFonts w:eastAsia="Times New Roman" w:cs="Times New Roman"/>
                <w:iCs/>
                <w:noProof/>
                <w:sz w:val="20"/>
                <w:highlight w:val="yellow"/>
              </w:rPr>
            </w:pPr>
          </w:p>
        </w:tc>
        <w:tc>
          <w:tcPr>
            <w:tcW w:w="846" w:type="dxa"/>
            <w:vMerge/>
          </w:tcPr>
          <w:p w14:paraId="50BF8A83" w14:textId="77777777" w:rsidR="00085D01" w:rsidRPr="00B44B19" w:rsidRDefault="00085D01" w:rsidP="00251C89">
            <w:pPr>
              <w:rPr>
                <w:rFonts w:eastAsia="Times New Roman" w:cs="Times New Roman"/>
                <w:b/>
                <w:iCs/>
                <w:noProof/>
                <w:sz w:val="20"/>
                <w:highlight w:val="yellow"/>
              </w:rPr>
            </w:pPr>
          </w:p>
        </w:tc>
        <w:tc>
          <w:tcPr>
            <w:tcW w:w="1299" w:type="dxa"/>
            <w:vMerge/>
          </w:tcPr>
          <w:p w14:paraId="5F319E7A" w14:textId="77777777" w:rsidR="00085D01" w:rsidRPr="00B44B19" w:rsidRDefault="00085D01" w:rsidP="00251C89">
            <w:pPr>
              <w:rPr>
                <w:rFonts w:eastAsia="Times New Roman" w:cs="Times New Roman"/>
                <w:iCs/>
                <w:noProof/>
                <w:sz w:val="20"/>
                <w:highlight w:val="yellow"/>
              </w:rPr>
            </w:pPr>
          </w:p>
        </w:tc>
        <w:tc>
          <w:tcPr>
            <w:tcW w:w="1134" w:type="dxa"/>
            <w:vMerge/>
          </w:tcPr>
          <w:p w14:paraId="0D9994D3" w14:textId="77777777" w:rsidR="00085D01" w:rsidRPr="00B44B19" w:rsidRDefault="00085D01" w:rsidP="00251C89">
            <w:pPr>
              <w:rPr>
                <w:rFonts w:eastAsia="Times New Roman" w:cs="Times New Roman"/>
                <w:b/>
                <w:iCs/>
                <w:noProof/>
                <w:sz w:val="20"/>
                <w:highlight w:val="yellow"/>
              </w:rPr>
            </w:pPr>
          </w:p>
        </w:tc>
        <w:tc>
          <w:tcPr>
            <w:tcW w:w="3969" w:type="dxa"/>
            <w:tcBorders>
              <w:top w:val="single" w:sz="4" w:space="0" w:color="auto"/>
              <w:bottom w:val="single" w:sz="4" w:space="0" w:color="auto"/>
            </w:tcBorders>
          </w:tcPr>
          <w:p w14:paraId="57EF28B6" w14:textId="6F6505AA" w:rsidR="00085D01" w:rsidRPr="00B44B19" w:rsidRDefault="00C27BEE" w:rsidP="004E36A7">
            <w:pPr>
              <w:rPr>
                <w:rFonts w:cs="Times New Roman"/>
                <w:bCs/>
                <w:noProof/>
                <w:sz w:val="20"/>
              </w:rPr>
            </w:pPr>
            <w:r w:rsidRPr="00B44B19">
              <w:rPr>
                <w:rFonts w:cs="Times New Roman"/>
                <w:bCs/>
                <w:noProof/>
                <w:sz w:val="20"/>
              </w:rPr>
              <w:t>103 – Kiti rekonstruoti arba modernizuoti geležinkeliai – elektrifikuoti / netaršūs</w:t>
            </w:r>
          </w:p>
        </w:tc>
        <w:tc>
          <w:tcPr>
            <w:tcW w:w="1559" w:type="dxa"/>
            <w:tcBorders>
              <w:top w:val="single" w:sz="4" w:space="0" w:color="auto"/>
              <w:bottom w:val="single" w:sz="4" w:space="0" w:color="auto"/>
            </w:tcBorders>
          </w:tcPr>
          <w:p w14:paraId="0CF9A197" w14:textId="11974BF0" w:rsidR="00085D01" w:rsidRPr="00B44B19" w:rsidRDefault="00C27BEE" w:rsidP="00251C89">
            <w:pPr>
              <w:jc w:val="right"/>
              <w:rPr>
                <w:rFonts w:cs="Times New Roman"/>
                <w:bCs/>
                <w:noProof/>
                <w:sz w:val="20"/>
              </w:rPr>
            </w:pPr>
            <w:r w:rsidRPr="00B44B19">
              <w:rPr>
                <w:rFonts w:cs="Times New Roman"/>
                <w:bCs/>
                <w:noProof/>
                <w:sz w:val="20"/>
              </w:rPr>
              <w:t xml:space="preserve">2 900 000,00 </w:t>
            </w:r>
          </w:p>
        </w:tc>
      </w:tr>
    </w:tbl>
    <w:p w14:paraId="214C99A3" w14:textId="77777777" w:rsidR="00851BB9" w:rsidRPr="00B44B19" w:rsidRDefault="00851BB9" w:rsidP="00821D6E">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276"/>
        <w:gridCol w:w="1134"/>
        <w:gridCol w:w="3920"/>
        <w:gridCol w:w="1608"/>
      </w:tblGrid>
      <w:tr w:rsidR="00851BB9" w:rsidRPr="00B44B19" w14:paraId="537A391A"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AEB59E" w14:textId="77777777" w:rsidR="00851BB9" w:rsidRPr="00B44B19" w:rsidRDefault="00851BB9" w:rsidP="000A4C22">
            <w:pPr>
              <w:rPr>
                <w:rFonts w:eastAsia="Times New Roman" w:cs="Times New Roman"/>
                <w:b/>
                <w:iCs/>
                <w:noProof/>
                <w:sz w:val="20"/>
              </w:rPr>
            </w:pPr>
            <w:r w:rsidRPr="00B44B19">
              <w:rPr>
                <w:rFonts w:cs="Times New Roman"/>
                <w:b/>
                <w:noProof/>
                <w:sz w:val="20"/>
              </w:rPr>
              <w:t xml:space="preserve">5 lentelė. 2 matmuo. </w:t>
            </w:r>
            <w:r w:rsidR="000A4C22" w:rsidRPr="00B44B19">
              <w:rPr>
                <w:rFonts w:cs="Times New Roman"/>
                <w:b/>
                <w:noProof/>
                <w:sz w:val="20"/>
              </w:rPr>
              <w:t>Finansavimo</w:t>
            </w:r>
            <w:r w:rsidR="006D29AF" w:rsidRPr="00B44B19">
              <w:rPr>
                <w:rFonts w:cs="Times New Roman"/>
                <w:b/>
                <w:noProof/>
                <w:sz w:val="20"/>
              </w:rPr>
              <w:t xml:space="preserve"> </w:t>
            </w:r>
            <w:r w:rsidRPr="00B44B19">
              <w:rPr>
                <w:rFonts w:cs="Times New Roman"/>
                <w:b/>
                <w:noProof/>
                <w:sz w:val="20"/>
              </w:rPr>
              <w:t>forma</w:t>
            </w:r>
          </w:p>
        </w:tc>
      </w:tr>
      <w:tr w:rsidR="00851BB9" w:rsidRPr="00B44B19" w14:paraId="18647AF2"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ED77F5"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1FBFDB"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1003D5"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6FE2F7"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Konkretus uždavinys</w:t>
            </w:r>
          </w:p>
        </w:tc>
        <w:tc>
          <w:tcPr>
            <w:tcW w:w="39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62D660"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Kodas</w:t>
            </w:r>
          </w:p>
        </w:tc>
        <w:tc>
          <w:tcPr>
            <w:tcW w:w="16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C70701"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Suma (EUR)</w:t>
            </w:r>
          </w:p>
        </w:tc>
      </w:tr>
      <w:tr w:rsidR="001A35D3" w:rsidRPr="00B44B19" w14:paraId="2EDB105C" w14:textId="77777777" w:rsidTr="003B113E">
        <w:tc>
          <w:tcPr>
            <w:tcW w:w="1101" w:type="dxa"/>
            <w:vMerge w:val="restart"/>
            <w:tcBorders>
              <w:top w:val="single" w:sz="12" w:space="0" w:color="auto"/>
            </w:tcBorders>
          </w:tcPr>
          <w:p w14:paraId="61CD57A0"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3.</w:t>
            </w:r>
          </w:p>
        </w:tc>
        <w:tc>
          <w:tcPr>
            <w:tcW w:w="850" w:type="dxa"/>
            <w:tcBorders>
              <w:top w:val="single" w:sz="12" w:space="0" w:color="auto"/>
              <w:bottom w:val="single" w:sz="4" w:space="0" w:color="auto"/>
            </w:tcBorders>
          </w:tcPr>
          <w:p w14:paraId="1DA77A6E"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4" w:space="0" w:color="auto"/>
            </w:tcBorders>
          </w:tcPr>
          <w:p w14:paraId="3D10979E" w14:textId="77777777" w:rsidR="001A35D3" w:rsidRPr="00B44B19" w:rsidRDefault="001A35D3" w:rsidP="00251C89">
            <w:pPr>
              <w:rPr>
                <w:rFonts w:eastAsia="Times New Roman" w:cs="Times New Roman"/>
                <w:iCs/>
                <w:noProof/>
                <w:sz w:val="20"/>
                <w:szCs w:val="20"/>
              </w:rPr>
            </w:pPr>
            <w:r w:rsidRPr="00B44B19">
              <w:rPr>
                <w:rFonts w:cs="Times New Roman"/>
                <w:noProof/>
                <w:sz w:val="20"/>
                <w:szCs w:val="20"/>
              </w:rPr>
              <w:t>Visa Lietuva</w:t>
            </w:r>
          </w:p>
        </w:tc>
        <w:tc>
          <w:tcPr>
            <w:tcW w:w="1134" w:type="dxa"/>
            <w:vMerge w:val="restart"/>
            <w:tcBorders>
              <w:top w:val="single" w:sz="12" w:space="0" w:color="auto"/>
            </w:tcBorders>
          </w:tcPr>
          <w:p w14:paraId="40955114" w14:textId="77777777" w:rsidR="001A35D3" w:rsidRPr="00B44B19" w:rsidRDefault="001A35D3" w:rsidP="00251C89">
            <w:pPr>
              <w:jc w:val="center"/>
              <w:rPr>
                <w:rFonts w:eastAsia="Times New Roman" w:cs="Times New Roman"/>
                <w:b/>
                <w:iCs/>
                <w:noProof/>
                <w:sz w:val="20"/>
              </w:rPr>
            </w:pPr>
            <w:r w:rsidRPr="00B44B19">
              <w:rPr>
                <w:rFonts w:eastAsia="Times New Roman" w:cs="Times New Roman"/>
                <w:iCs/>
                <w:noProof/>
                <w:sz w:val="20"/>
              </w:rPr>
              <w:t>3.1</w:t>
            </w:r>
          </w:p>
        </w:tc>
        <w:tc>
          <w:tcPr>
            <w:tcW w:w="3920" w:type="dxa"/>
            <w:vMerge w:val="restart"/>
            <w:tcBorders>
              <w:top w:val="single" w:sz="12" w:space="0" w:color="auto"/>
            </w:tcBorders>
          </w:tcPr>
          <w:p w14:paraId="3B544D73" w14:textId="77777777" w:rsidR="001A35D3" w:rsidRPr="00B44B19" w:rsidRDefault="001A35D3" w:rsidP="00FB012A">
            <w:pPr>
              <w:rPr>
                <w:rFonts w:eastAsia="Times New Roman" w:cs="Times New Roman"/>
                <w:iCs/>
                <w:noProof/>
                <w:sz w:val="20"/>
              </w:rPr>
            </w:pPr>
            <w:r w:rsidRPr="00B44B19">
              <w:rPr>
                <w:rFonts w:eastAsia="Times New Roman" w:cs="Times New Roman"/>
                <w:iCs/>
                <w:noProof/>
                <w:sz w:val="20"/>
              </w:rPr>
              <w:t>01</w:t>
            </w:r>
            <w:r w:rsidR="00FB012A" w:rsidRPr="00B44B19">
              <w:rPr>
                <w:rFonts w:eastAsia="Times New Roman" w:cs="Times New Roman"/>
                <w:iCs/>
                <w:noProof/>
                <w:sz w:val="20"/>
              </w:rPr>
              <w:t xml:space="preserve"> </w:t>
            </w:r>
            <w:r w:rsidR="004E36A7" w:rsidRPr="00B44B19">
              <w:rPr>
                <w:rFonts w:eastAsia="Times New Roman" w:cs="Times New Roman"/>
                <w:iCs/>
                <w:noProof/>
                <w:sz w:val="20"/>
              </w:rPr>
              <w:t>–</w:t>
            </w:r>
            <w:r w:rsidR="00FB012A" w:rsidRPr="00B44B19">
              <w:rPr>
                <w:rFonts w:eastAsia="Times New Roman" w:cs="Times New Roman"/>
                <w:iCs/>
                <w:noProof/>
                <w:sz w:val="20"/>
              </w:rPr>
              <w:t xml:space="preserve"> Dotacija</w:t>
            </w:r>
          </w:p>
        </w:tc>
        <w:tc>
          <w:tcPr>
            <w:tcW w:w="1608" w:type="dxa"/>
            <w:tcBorders>
              <w:top w:val="single" w:sz="12" w:space="0" w:color="auto"/>
              <w:bottom w:val="single" w:sz="4" w:space="0" w:color="auto"/>
            </w:tcBorders>
          </w:tcPr>
          <w:p w14:paraId="2C2BFECF" w14:textId="7C267691" w:rsidR="001A35D3" w:rsidRPr="00B44B19" w:rsidRDefault="009D6A95" w:rsidP="009D6A95">
            <w:pPr>
              <w:jc w:val="right"/>
              <w:rPr>
                <w:rFonts w:eastAsia="Times New Roman" w:cs="Times New Roman"/>
                <w:bCs/>
                <w:iCs/>
                <w:noProof/>
                <w:sz w:val="20"/>
                <w:szCs w:val="20"/>
              </w:rPr>
            </w:pPr>
            <w:r w:rsidRPr="00B44B19">
              <w:rPr>
                <w:rFonts w:cs="Times New Roman"/>
                <w:color w:val="000000"/>
                <w:sz w:val="20"/>
                <w:szCs w:val="20"/>
              </w:rPr>
              <w:t>270 441 527</w:t>
            </w:r>
            <w:r w:rsidR="0008189A" w:rsidRPr="00B44B19">
              <w:rPr>
                <w:rFonts w:eastAsia="Calibri" w:cs="Times New Roman"/>
                <w:bCs/>
                <w:color w:val="000000"/>
                <w:sz w:val="20"/>
                <w:szCs w:val="20"/>
              </w:rPr>
              <w:t>,00</w:t>
            </w:r>
          </w:p>
        </w:tc>
      </w:tr>
      <w:tr w:rsidR="001A35D3" w:rsidRPr="00B44B19" w14:paraId="04779E32" w14:textId="77777777" w:rsidTr="003B113E">
        <w:tc>
          <w:tcPr>
            <w:tcW w:w="1101" w:type="dxa"/>
            <w:vMerge/>
          </w:tcPr>
          <w:p w14:paraId="250F6600" w14:textId="77777777" w:rsidR="001A35D3" w:rsidRPr="00B44B19" w:rsidRDefault="001A35D3" w:rsidP="00251C89">
            <w:pPr>
              <w:jc w:val="center"/>
              <w:rPr>
                <w:rFonts w:eastAsia="Times New Roman" w:cs="Times New Roman"/>
                <w:iCs/>
                <w:noProof/>
                <w:sz w:val="20"/>
              </w:rPr>
            </w:pPr>
          </w:p>
        </w:tc>
        <w:tc>
          <w:tcPr>
            <w:tcW w:w="850" w:type="dxa"/>
            <w:tcBorders>
              <w:top w:val="single" w:sz="4" w:space="0" w:color="auto"/>
            </w:tcBorders>
          </w:tcPr>
          <w:p w14:paraId="5AC8D9E7"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4" w:space="0" w:color="auto"/>
              <w:bottom w:val="single" w:sz="4" w:space="0" w:color="auto"/>
            </w:tcBorders>
          </w:tcPr>
          <w:p w14:paraId="665C4CD4" w14:textId="77777777" w:rsidR="001A35D3" w:rsidRPr="00B44B19" w:rsidRDefault="001A35D3" w:rsidP="00251C89">
            <w:pPr>
              <w:rPr>
                <w:rFonts w:cs="Times New Roman"/>
                <w:noProof/>
                <w:sz w:val="20"/>
                <w:szCs w:val="20"/>
              </w:rPr>
            </w:pPr>
            <w:r w:rsidRPr="00B44B19">
              <w:rPr>
                <w:rFonts w:cs="Times New Roman"/>
                <w:noProof/>
                <w:sz w:val="20"/>
                <w:szCs w:val="20"/>
              </w:rPr>
              <w:t>VVL regionas</w:t>
            </w:r>
          </w:p>
        </w:tc>
        <w:tc>
          <w:tcPr>
            <w:tcW w:w="1134" w:type="dxa"/>
            <w:vMerge/>
          </w:tcPr>
          <w:p w14:paraId="7DFC6004" w14:textId="77777777" w:rsidR="001A35D3" w:rsidRPr="00B44B19" w:rsidRDefault="001A35D3" w:rsidP="00251C89">
            <w:pPr>
              <w:jc w:val="center"/>
              <w:rPr>
                <w:rFonts w:eastAsia="Times New Roman" w:cs="Times New Roman"/>
                <w:iCs/>
                <w:noProof/>
                <w:sz w:val="20"/>
              </w:rPr>
            </w:pPr>
          </w:p>
        </w:tc>
        <w:tc>
          <w:tcPr>
            <w:tcW w:w="3920" w:type="dxa"/>
            <w:vMerge/>
            <w:tcBorders>
              <w:bottom w:val="single" w:sz="4" w:space="0" w:color="auto"/>
            </w:tcBorders>
          </w:tcPr>
          <w:p w14:paraId="55FC7515" w14:textId="77777777" w:rsidR="001A35D3" w:rsidRPr="00B44B19" w:rsidRDefault="001A35D3" w:rsidP="00251C89">
            <w:pPr>
              <w:jc w:val="center"/>
              <w:rPr>
                <w:rFonts w:eastAsia="Times New Roman" w:cs="Times New Roman"/>
                <w:iCs/>
                <w:noProof/>
                <w:sz w:val="20"/>
              </w:rPr>
            </w:pPr>
          </w:p>
        </w:tc>
        <w:tc>
          <w:tcPr>
            <w:tcW w:w="1608" w:type="dxa"/>
            <w:tcBorders>
              <w:top w:val="single" w:sz="4" w:space="0" w:color="auto"/>
              <w:bottom w:val="single" w:sz="4" w:space="0" w:color="auto"/>
            </w:tcBorders>
          </w:tcPr>
          <w:p w14:paraId="51249BBE" w14:textId="6A9F93B5" w:rsidR="001A35D3" w:rsidRPr="00B44B19" w:rsidRDefault="009D6A95" w:rsidP="009D6A95">
            <w:pPr>
              <w:jc w:val="right"/>
              <w:rPr>
                <w:rFonts w:eastAsia="Calibri" w:cs="Times New Roman"/>
                <w:color w:val="000000"/>
                <w:sz w:val="20"/>
                <w:szCs w:val="20"/>
              </w:rPr>
            </w:pPr>
            <w:r w:rsidRPr="00B44B19">
              <w:rPr>
                <w:rFonts w:cs="Times New Roman"/>
                <w:color w:val="000000"/>
                <w:sz w:val="20"/>
                <w:szCs w:val="20"/>
              </w:rPr>
              <w:t>15 845 339</w:t>
            </w:r>
            <w:r w:rsidR="003F2BD2" w:rsidRPr="00B44B19">
              <w:rPr>
                <w:rFonts w:eastAsia="Calibri" w:cs="Times New Roman"/>
                <w:color w:val="000000"/>
                <w:sz w:val="20"/>
                <w:szCs w:val="20"/>
              </w:rPr>
              <w:t>,00</w:t>
            </w:r>
          </w:p>
        </w:tc>
      </w:tr>
    </w:tbl>
    <w:p w14:paraId="7BFC934A" w14:textId="77777777" w:rsidR="00851BB9" w:rsidRPr="00B44B19" w:rsidRDefault="00851BB9" w:rsidP="00821D6E">
      <w:pPr>
        <w:spacing w:after="0" w:line="240" w:lineRule="auto"/>
        <w:rPr>
          <w:rFonts w:cs="Times New Roman"/>
          <w:sz w:val="20"/>
          <w:szCs w:val="20"/>
        </w:rPr>
      </w:pPr>
    </w:p>
    <w:tbl>
      <w:tblPr>
        <w:tblStyle w:val="Lentelstinklelis"/>
        <w:tblW w:w="9889" w:type="dxa"/>
        <w:tblLayout w:type="fixed"/>
        <w:tblLook w:val="04A0" w:firstRow="1" w:lastRow="0" w:firstColumn="1" w:lastColumn="0" w:noHBand="0" w:noVBand="1"/>
      </w:tblPr>
      <w:tblGrid>
        <w:gridCol w:w="1101"/>
        <w:gridCol w:w="850"/>
        <w:gridCol w:w="1276"/>
        <w:gridCol w:w="1134"/>
        <w:gridCol w:w="3969"/>
        <w:gridCol w:w="1559"/>
      </w:tblGrid>
      <w:tr w:rsidR="00851BB9" w:rsidRPr="00B44B19" w14:paraId="0683B2FC"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3AB87C1" w14:textId="77777777" w:rsidR="00851BB9" w:rsidRPr="00B44B19" w:rsidRDefault="00851BB9" w:rsidP="00251C89">
            <w:pPr>
              <w:rPr>
                <w:rFonts w:eastAsia="Times New Roman" w:cs="Times New Roman"/>
                <w:b/>
                <w:iCs/>
                <w:noProof/>
                <w:sz w:val="20"/>
              </w:rPr>
            </w:pPr>
            <w:r w:rsidRPr="00B44B19">
              <w:rPr>
                <w:rFonts w:cs="Times New Roman"/>
                <w:b/>
                <w:noProof/>
                <w:sz w:val="20"/>
              </w:rPr>
              <w:t xml:space="preserve">6 lentelė. 3 matmuo. </w:t>
            </w:r>
            <w:r w:rsidR="006D29AF" w:rsidRPr="00B44B19">
              <w:rPr>
                <w:rFonts w:cs="Times New Roman"/>
                <w:b/>
                <w:noProof/>
                <w:sz w:val="20"/>
              </w:rPr>
              <w:t>Teritorinis įgyvendinimo mechanizmas ir pagrindinė teritorinė sritis</w:t>
            </w:r>
          </w:p>
        </w:tc>
      </w:tr>
      <w:tr w:rsidR="00851BB9" w:rsidRPr="00B44B19" w14:paraId="4403D612"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76260C"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9E4C30"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D9F42"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338E4E"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E70C66"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D3522A" w14:textId="77777777" w:rsidR="00851BB9" w:rsidRPr="00B44B19" w:rsidRDefault="00851BB9" w:rsidP="00251C89">
            <w:pPr>
              <w:jc w:val="center"/>
              <w:rPr>
                <w:rFonts w:eastAsia="Times New Roman" w:cs="Times New Roman"/>
                <w:b/>
                <w:iCs/>
                <w:noProof/>
                <w:sz w:val="20"/>
              </w:rPr>
            </w:pPr>
            <w:r w:rsidRPr="00B44B19">
              <w:rPr>
                <w:rFonts w:cs="Times New Roman"/>
                <w:b/>
                <w:noProof/>
                <w:sz w:val="20"/>
              </w:rPr>
              <w:t>Suma (EUR)</w:t>
            </w:r>
          </w:p>
        </w:tc>
      </w:tr>
      <w:tr w:rsidR="001A35D3" w:rsidRPr="00B44B19" w14:paraId="4417E524" w14:textId="77777777" w:rsidTr="003B113E">
        <w:tc>
          <w:tcPr>
            <w:tcW w:w="1101" w:type="dxa"/>
            <w:vMerge w:val="restart"/>
            <w:tcBorders>
              <w:top w:val="single" w:sz="12" w:space="0" w:color="auto"/>
            </w:tcBorders>
          </w:tcPr>
          <w:p w14:paraId="62384EF2"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3.</w:t>
            </w:r>
          </w:p>
        </w:tc>
        <w:tc>
          <w:tcPr>
            <w:tcW w:w="850" w:type="dxa"/>
            <w:tcBorders>
              <w:top w:val="single" w:sz="12" w:space="0" w:color="auto"/>
              <w:bottom w:val="single" w:sz="4" w:space="0" w:color="auto"/>
            </w:tcBorders>
          </w:tcPr>
          <w:p w14:paraId="25399506"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SaF</w:t>
            </w:r>
          </w:p>
        </w:tc>
        <w:tc>
          <w:tcPr>
            <w:tcW w:w="1276" w:type="dxa"/>
            <w:tcBorders>
              <w:top w:val="single" w:sz="12" w:space="0" w:color="auto"/>
              <w:bottom w:val="single" w:sz="4" w:space="0" w:color="auto"/>
            </w:tcBorders>
          </w:tcPr>
          <w:p w14:paraId="2D16CB5E" w14:textId="77777777" w:rsidR="001A35D3" w:rsidRPr="00B44B19" w:rsidRDefault="001A35D3" w:rsidP="00251C89">
            <w:pPr>
              <w:rPr>
                <w:rFonts w:eastAsia="Times New Roman" w:cs="Times New Roman"/>
                <w:iCs/>
                <w:noProof/>
                <w:sz w:val="20"/>
                <w:szCs w:val="20"/>
              </w:rPr>
            </w:pPr>
            <w:r w:rsidRPr="00B44B19">
              <w:rPr>
                <w:rFonts w:cs="Times New Roman"/>
                <w:noProof/>
                <w:sz w:val="20"/>
                <w:szCs w:val="20"/>
              </w:rPr>
              <w:t>Visa Lietuva</w:t>
            </w:r>
          </w:p>
        </w:tc>
        <w:tc>
          <w:tcPr>
            <w:tcW w:w="1134" w:type="dxa"/>
            <w:vMerge w:val="restart"/>
            <w:tcBorders>
              <w:top w:val="single" w:sz="12" w:space="0" w:color="auto"/>
            </w:tcBorders>
          </w:tcPr>
          <w:p w14:paraId="5E8493DD"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3.1</w:t>
            </w:r>
          </w:p>
        </w:tc>
        <w:tc>
          <w:tcPr>
            <w:tcW w:w="3969" w:type="dxa"/>
            <w:vMerge w:val="restart"/>
            <w:tcBorders>
              <w:top w:val="single" w:sz="12" w:space="0" w:color="auto"/>
            </w:tcBorders>
          </w:tcPr>
          <w:p w14:paraId="1F296066" w14:textId="77777777" w:rsidR="001A35D3" w:rsidRPr="00B44B19" w:rsidRDefault="001A35D3" w:rsidP="00FB012A">
            <w:pPr>
              <w:rPr>
                <w:rFonts w:eastAsia="Times New Roman" w:cs="Times New Roman"/>
                <w:iCs/>
                <w:noProof/>
                <w:sz w:val="20"/>
              </w:rPr>
            </w:pPr>
            <w:r w:rsidRPr="00B44B19">
              <w:rPr>
                <w:rFonts w:eastAsia="Times New Roman" w:cs="Times New Roman"/>
                <w:iCs/>
                <w:noProof/>
                <w:sz w:val="20"/>
              </w:rPr>
              <w:t>33</w:t>
            </w:r>
            <w:r w:rsidR="00FB012A" w:rsidRPr="00B44B19">
              <w:rPr>
                <w:rFonts w:eastAsia="Times New Roman" w:cs="Times New Roman"/>
                <w:iCs/>
                <w:noProof/>
                <w:sz w:val="20"/>
              </w:rPr>
              <w:t xml:space="preserve"> </w:t>
            </w:r>
            <w:r w:rsidR="004E36A7" w:rsidRPr="00B44B19">
              <w:rPr>
                <w:rFonts w:eastAsia="Times New Roman" w:cs="Times New Roman"/>
                <w:iCs/>
                <w:noProof/>
                <w:sz w:val="20"/>
              </w:rPr>
              <w:t>–</w:t>
            </w:r>
            <w:r w:rsidR="00FB012A" w:rsidRPr="00B44B19">
              <w:rPr>
                <w:rFonts w:eastAsia="Times New Roman" w:cs="Times New Roman"/>
                <w:iCs/>
                <w:noProof/>
                <w:sz w:val="20"/>
              </w:rPr>
              <w:t xml:space="preserve"> Nesiorientuojant į teritoriškumą</w:t>
            </w:r>
          </w:p>
        </w:tc>
        <w:tc>
          <w:tcPr>
            <w:tcW w:w="1559" w:type="dxa"/>
            <w:tcBorders>
              <w:top w:val="single" w:sz="12" w:space="0" w:color="auto"/>
              <w:bottom w:val="single" w:sz="4" w:space="0" w:color="auto"/>
            </w:tcBorders>
          </w:tcPr>
          <w:p w14:paraId="1163FE1A" w14:textId="1CEBE7D2" w:rsidR="001A35D3" w:rsidRPr="00B44B19" w:rsidRDefault="009D6A95" w:rsidP="009D6A95">
            <w:pPr>
              <w:jc w:val="both"/>
              <w:rPr>
                <w:rFonts w:eastAsia="Times New Roman" w:cs="Times New Roman"/>
                <w:bCs/>
                <w:iCs/>
                <w:noProof/>
                <w:sz w:val="20"/>
              </w:rPr>
            </w:pPr>
            <w:r w:rsidRPr="00B44B19">
              <w:rPr>
                <w:rFonts w:cs="Times New Roman"/>
                <w:color w:val="000000"/>
                <w:sz w:val="20"/>
                <w:szCs w:val="20"/>
              </w:rPr>
              <w:t>270 441 527</w:t>
            </w:r>
            <w:r w:rsidR="0008189A" w:rsidRPr="00B44B19">
              <w:rPr>
                <w:rFonts w:eastAsia="Calibri" w:cs="Times New Roman"/>
                <w:bCs/>
                <w:color w:val="000000"/>
                <w:sz w:val="20"/>
                <w:szCs w:val="20"/>
              </w:rPr>
              <w:t>,00</w:t>
            </w:r>
          </w:p>
        </w:tc>
      </w:tr>
      <w:tr w:rsidR="001A35D3" w:rsidRPr="00B44B19" w14:paraId="65C83B40" w14:textId="77777777" w:rsidTr="003B113E">
        <w:tc>
          <w:tcPr>
            <w:tcW w:w="1101" w:type="dxa"/>
            <w:vMerge/>
            <w:tcBorders>
              <w:bottom w:val="single" w:sz="4" w:space="0" w:color="auto"/>
            </w:tcBorders>
          </w:tcPr>
          <w:p w14:paraId="63BE6AAC" w14:textId="77777777" w:rsidR="001A35D3" w:rsidRPr="00B44B19" w:rsidRDefault="001A35D3" w:rsidP="00251C89">
            <w:pPr>
              <w:jc w:val="center"/>
              <w:rPr>
                <w:rFonts w:eastAsia="Times New Roman" w:cs="Times New Roman"/>
                <w:iCs/>
                <w:noProof/>
                <w:sz w:val="20"/>
              </w:rPr>
            </w:pPr>
          </w:p>
        </w:tc>
        <w:tc>
          <w:tcPr>
            <w:tcW w:w="850" w:type="dxa"/>
            <w:tcBorders>
              <w:top w:val="single" w:sz="4" w:space="0" w:color="auto"/>
              <w:bottom w:val="single" w:sz="4" w:space="0" w:color="auto"/>
            </w:tcBorders>
          </w:tcPr>
          <w:p w14:paraId="1B0F2519" w14:textId="77777777" w:rsidR="001A35D3" w:rsidRPr="00B44B19" w:rsidRDefault="001A35D3" w:rsidP="00251C89">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4" w:space="0" w:color="auto"/>
              <w:bottom w:val="single" w:sz="4" w:space="0" w:color="auto"/>
            </w:tcBorders>
          </w:tcPr>
          <w:p w14:paraId="2F0EF70A" w14:textId="77777777" w:rsidR="001A35D3" w:rsidRPr="00B44B19" w:rsidRDefault="001A35D3" w:rsidP="00251C89">
            <w:pPr>
              <w:rPr>
                <w:rFonts w:cs="Times New Roman"/>
                <w:noProof/>
                <w:sz w:val="20"/>
                <w:szCs w:val="20"/>
              </w:rPr>
            </w:pPr>
            <w:r w:rsidRPr="00B44B19">
              <w:rPr>
                <w:rFonts w:cs="Times New Roman"/>
                <w:noProof/>
                <w:sz w:val="20"/>
                <w:szCs w:val="20"/>
              </w:rPr>
              <w:t>VVL regionas</w:t>
            </w:r>
          </w:p>
        </w:tc>
        <w:tc>
          <w:tcPr>
            <w:tcW w:w="1134" w:type="dxa"/>
            <w:vMerge/>
            <w:tcBorders>
              <w:bottom w:val="single" w:sz="4" w:space="0" w:color="auto"/>
            </w:tcBorders>
          </w:tcPr>
          <w:p w14:paraId="6C2814FE" w14:textId="77777777" w:rsidR="001A35D3" w:rsidRPr="00B44B19" w:rsidRDefault="001A35D3" w:rsidP="00251C89">
            <w:pPr>
              <w:jc w:val="center"/>
              <w:rPr>
                <w:rFonts w:eastAsia="Times New Roman" w:cs="Times New Roman"/>
                <w:iCs/>
                <w:noProof/>
                <w:sz w:val="20"/>
              </w:rPr>
            </w:pPr>
          </w:p>
        </w:tc>
        <w:tc>
          <w:tcPr>
            <w:tcW w:w="3969" w:type="dxa"/>
            <w:vMerge/>
            <w:tcBorders>
              <w:bottom w:val="single" w:sz="4" w:space="0" w:color="auto"/>
            </w:tcBorders>
          </w:tcPr>
          <w:p w14:paraId="58BA56B9" w14:textId="77777777" w:rsidR="001A35D3" w:rsidRPr="00B44B19" w:rsidRDefault="001A35D3" w:rsidP="00251C89">
            <w:pPr>
              <w:jc w:val="center"/>
              <w:rPr>
                <w:rFonts w:eastAsia="Times New Roman" w:cs="Times New Roman"/>
                <w:iCs/>
                <w:noProof/>
                <w:sz w:val="20"/>
              </w:rPr>
            </w:pPr>
          </w:p>
        </w:tc>
        <w:tc>
          <w:tcPr>
            <w:tcW w:w="1559" w:type="dxa"/>
            <w:tcBorders>
              <w:top w:val="single" w:sz="4" w:space="0" w:color="auto"/>
              <w:bottom w:val="single" w:sz="4" w:space="0" w:color="auto"/>
            </w:tcBorders>
          </w:tcPr>
          <w:p w14:paraId="7F9DDA2F" w14:textId="5B015F7F" w:rsidR="001A35D3" w:rsidRPr="00B44B19" w:rsidRDefault="009D6A95" w:rsidP="009D6A95">
            <w:pPr>
              <w:jc w:val="right"/>
              <w:rPr>
                <w:rFonts w:eastAsia="Calibri" w:cs="Times New Roman"/>
                <w:color w:val="000000"/>
                <w:sz w:val="20"/>
                <w:szCs w:val="20"/>
              </w:rPr>
            </w:pPr>
            <w:r w:rsidRPr="00B44B19">
              <w:rPr>
                <w:rFonts w:cs="Times New Roman"/>
                <w:color w:val="000000"/>
                <w:sz w:val="20"/>
                <w:szCs w:val="20"/>
              </w:rPr>
              <w:t>15 845 339</w:t>
            </w:r>
            <w:r w:rsidR="0008189A" w:rsidRPr="00B44B19">
              <w:rPr>
                <w:rFonts w:eastAsia="Calibri" w:cs="Times New Roman"/>
                <w:color w:val="000000"/>
                <w:sz w:val="20"/>
                <w:szCs w:val="20"/>
              </w:rPr>
              <w:t>,00</w:t>
            </w:r>
          </w:p>
        </w:tc>
      </w:tr>
    </w:tbl>
    <w:p w14:paraId="4D9601F5" w14:textId="77777777" w:rsidR="00E438B8" w:rsidRPr="00B44B19" w:rsidRDefault="00E438B8" w:rsidP="00821D6E">
      <w:pPr>
        <w:spacing w:after="0" w:line="240" w:lineRule="auto"/>
        <w:rPr>
          <w:rFonts w:cs="Times New Roman"/>
          <w:sz w:val="20"/>
          <w:szCs w:val="20"/>
        </w:rPr>
      </w:pPr>
    </w:p>
    <w:tbl>
      <w:tblPr>
        <w:tblStyle w:val="Lentelstinklelis28"/>
        <w:tblW w:w="9889" w:type="dxa"/>
        <w:tblLayout w:type="fixed"/>
        <w:tblLook w:val="04A0" w:firstRow="1" w:lastRow="0" w:firstColumn="1" w:lastColumn="0" w:noHBand="0" w:noVBand="1"/>
      </w:tblPr>
      <w:tblGrid>
        <w:gridCol w:w="1101"/>
        <w:gridCol w:w="850"/>
        <w:gridCol w:w="1276"/>
        <w:gridCol w:w="1134"/>
        <w:gridCol w:w="3879"/>
        <w:gridCol w:w="1649"/>
      </w:tblGrid>
      <w:tr w:rsidR="0082031A" w:rsidRPr="00B44B19" w14:paraId="3F6E7083" w14:textId="77777777" w:rsidTr="003B113E">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ED5E993" w14:textId="77777777" w:rsidR="0082031A" w:rsidRPr="00B44B19" w:rsidRDefault="0082031A" w:rsidP="0082031A">
            <w:pPr>
              <w:rPr>
                <w:b/>
                <w:iCs/>
                <w:noProof/>
                <w:sz w:val="20"/>
                <w:szCs w:val="20"/>
              </w:rPr>
            </w:pPr>
            <w:r w:rsidRPr="00B44B19">
              <w:rPr>
                <w:b/>
                <w:noProof/>
                <w:sz w:val="20"/>
                <w:szCs w:val="20"/>
              </w:rPr>
              <w:t xml:space="preserve">7 lentelė. 7 matmuo. </w:t>
            </w:r>
            <w:r w:rsidRPr="00B44B19">
              <w:rPr>
                <w:b/>
                <w:sz w:val="20"/>
                <w:szCs w:val="20"/>
              </w:rPr>
              <w:t>ESF+, ERPF, S</w:t>
            </w:r>
            <w:r w:rsidR="004E36A7" w:rsidRPr="00B44B19">
              <w:rPr>
                <w:b/>
                <w:sz w:val="20"/>
                <w:szCs w:val="20"/>
              </w:rPr>
              <w:t>a</w:t>
            </w:r>
            <w:r w:rsidRPr="00B44B19">
              <w:rPr>
                <w:b/>
                <w:sz w:val="20"/>
                <w:szCs w:val="20"/>
              </w:rPr>
              <w:t>F ir TPF lyčių lygybės matmuo</w:t>
            </w:r>
          </w:p>
        </w:tc>
      </w:tr>
      <w:tr w:rsidR="0082031A" w:rsidRPr="00B44B19" w14:paraId="2EAC6ECB" w14:textId="77777777" w:rsidTr="003B11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DF2FB4" w14:textId="77777777" w:rsidR="0082031A" w:rsidRPr="00B44B19" w:rsidRDefault="0082031A" w:rsidP="0082031A">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35C543" w14:textId="77777777" w:rsidR="0082031A" w:rsidRPr="00B44B19" w:rsidRDefault="0082031A" w:rsidP="0082031A">
            <w:pPr>
              <w:jc w:val="center"/>
              <w:rPr>
                <w:b/>
                <w:iCs/>
                <w:noProof/>
                <w:sz w:val="20"/>
              </w:rPr>
            </w:pPr>
            <w:r w:rsidRPr="00B44B19">
              <w:rPr>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DD7002" w14:textId="77777777" w:rsidR="0082031A" w:rsidRPr="00B44B19" w:rsidRDefault="0082031A" w:rsidP="0082031A">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1EE04F" w14:textId="77777777" w:rsidR="0082031A" w:rsidRPr="00B44B19" w:rsidRDefault="0082031A" w:rsidP="0082031A">
            <w:pPr>
              <w:jc w:val="center"/>
              <w:rPr>
                <w:b/>
                <w:iCs/>
                <w:noProof/>
                <w:sz w:val="20"/>
              </w:rPr>
            </w:pPr>
            <w:r w:rsidRPr="00B44B19">
              <w:rPr>
                <w:b/>
                <w:noProof/>
                <w:sz w:val="20"/>
              </w:rPr>
              <w:t>Konkretus uždavinys</w:t>
            </w:r>
          </w:p>
        </w:tc>
        <w:tc>
          <w:tcPr>
            <w:tcW w:w="3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8FF989" w14:textId="77777777" w:rsidR="0082031A" w:rsidRPr="00B44B19" w:rsidRDefault="0082031A" w:rsidP="0082031A">
            <w:pPr>
              <w:jc w:val="center"/>
              <w:rPr>
                <w:b/>
                <w:iCs/>
                <w:noProof/>
                <w:sz w:val="20"/>
              </w:rPr>
            </w:pPr>
            <w:r w:rsidRPr="00B44B19">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64D781" w14:textId="77777777" w:rsidR="0082031A" w:rsidRPr="00B44B19" w:rsidRDefault="0082031A" w:rsidP="0082031A">
            <w:pPr>
              <w:jc w:val="center"/>
              <w:rPr>
                <w:b/>
                <w:iCs/>
                <w:noProof/>
                <w:sz w:val="20"/>
              </w:rPr>
            </w:pPr>
            <w:r w:rsidRPr="00B44B19">
              <w:rPr>
                <w:b/>
                <w:noProof/>
                <w:sz w:val="20"/>
              </w:rPr>
              <w:t>Suma (EUR)</w:t>
            </w:r>
          </w:p>
        </w:tc>
      </w:tr>
      <w:tr w:rsidR="0082031A" w:rsidRPr="00B44B19" w14:paraId="2A20221C" w14:textId="77777777" w:rsidTr="003B113E">
        <w:tc>
          <w:tcPr>
            <w:tcW w:w="1101" w:type="dxa"/>
            <w:vMerge w:val="restart"/>
            <w:tcBorders>
              <w:top w:val="single" w:sz="12" w:space="0" w:color="auto"/>
            </w:tcBorders>
          </w:tcPr>
          <w:p w14:paraId="2823300C" w14:textId="77777777" w:rsidR="0082031A" w:rsidRPr="00B44B19" w:rsidRDefault="0082031A" w:rsidP="0082031A">
            <w:pPr>
              <w:jc w:val="center"/>
              <w:rPr>
                <w:iCs/>
                <w:noProof/>
                <w:sz w:val="20"/>
              </w:rPr>
            </w:pPr>
            <w:r w:rsidRPr="00B44B19">
              <w:rPr>
                <w:iCs/>
                <w:noProof/>
                <w:sz w:val="20"/>
              </w:rPr>
              <w:t>3.</w:t>
            </w:r>
          </w:p>
        </w:tc>
        <w:tc>
          <w:tcPr>
            <w:tcW w:w="850" w:type="dxa"/>
            <w:tcBorders>
              <w:top w:val="single" w:sz="12" w:space="0" w:color="auto"/>
            </w:tcBorders>
          </w:tcPr>
          <w:p w14:paraId="68F70F14" w14:textId="77777777" w:rsidR="0082031A" w:rsidRPr="00B44B19" w:rsidRDefault="0082031A" w:rsidP="0082031A">
            <w:pPr>
              <w:jc w:val="center"/>
              <w:rPr>
                <w:iCs/>
                <w:noProof/>
                <w:sz w:val="20"/>
              </w:rPr>
            </w:pPr>
            <w:r w:rsidRPr="00B44B19">
              <w:rPr>
                <w:iCs/>
                <w:noProof/>
                <w:sz w:val="20"/>
              </w:rPr>
              <w:t>SaF</w:t>
            </w:r>
          </w:p>
        </w:tc>
        <w:tc>
          <w:tcPr>
            <w:tcW w:w="1276" w:type="dxa"/>
            <w:tcBorders>
              <w:top w:val="single" w:sz="12" w:space="0" w:color="auto"/>
            </w:tcBorders>
          </w:tcPr>
          <w:p w14:paraId="690A607C" w14:textId="77777777" w:rsidR="0082031A" w:rsidRPr="00B44B19" w:rsidRDefault="0082031A" w:rsidP="0082031A">
            <w:pPr>
              <w:rPr>
                <w:iCs/>
                <w:noProof/>
                <w:sz w:val="20"/>
              </w:rPr>
            </w:pPr>
            <w:r w:rsidRPr="00B44B19">
              <w:rPr>
                <w:iCs/>
                <w:noProof/>
                <w:sz w:val="20"/>
              </w:rPr>
              <w:t>Visa Lietuva</w:t>
            </w:r>
          </w:p>
        </w:tc>
        <w:tc>
          <w:tcPr>
            <w:tcW w:w="1134" w:type="dxa"/>
            <w:vMerge w:val="restart"/>
            <w:tcBorders>
              <w:top w:val="single" w:sz="12" w:space="0" w:color="auto"/>
            </w:tcBorders>
          </w:tcPr>
          <w:p w14:paraId="4E24564E" w14:textId="77777777" w:rsidR="0082031A" w:rsidRPr="00B44B19" w:rsidRDefault="0082031A" w:rsidP="0082031A">
            <w:pPr>
              <w:jc w:val="center"/>
              <w:rPr>
                <w:iCs/>
                <w:noProof/>
                <w:sz w:val="20"/>
              </w:rPr>
            </w:pPr>
            <w:r w:rsidRPr="00B44B19">
              <w:rPr>
                <w:iCs/>
                <w:noProof/>
                <w:sz w:val="20"/>
              </w:rPr>
              <w:t>3.1</w:t>
            </w:r>
          </w:p>
        </w:tc>
        <w:tc>
          <w:tcPr>
            <w:tcW w:w="3879" w:type="dxa"/>
            <w:vMerge w:val="restart"/>
            <w:tcBorders>
              <w:top w:val="single" w:sz="12" w:space="0" w:color="auto"/>
            </w:tcBorders>
          </w:tcPr>
          <w:p w14:paraId="630FBF55" w14:textId="77777777" w:rsidR="0082031A" w:rsidRPr="00B44B19" w:rsidRDefault="0082031A" w:rsidP="0082031A">
            <w:pPr>
              <w:rPr>
                <w:iCs/>
                <w:noProof/>
                <w:sz w:val="20"/>
              </w:rPr>
            </w:pPr>
            <w:r w:rsidRPr="00B44B19">
              <w:rPr>
                <w:iCs/>
                <w:noProof/>
                <w:sz w:val="20"/>
              </w:rPr>
              <w:t xml:space="preserve">03 </w:t>
            </w:r>
            <w:r w:rsidR="004E36A7" w:rsidRPr="00B44B19">
              <w:rPr>
                <w:iCs/>
                <w:noProof/>
                <w:sz w:val="20"/>
              </w:rPr>
              <w:t>–</w:t>
            </w:r>
            <w:r w:rsidRPr="00B44B19">
              <w:rPr>
                <w:iCs/>
                <w:noProof/>
                <w:sz w:val="20"/>
              </w:rPr>
              <w:t xml:space="preserve"> Neutralumas lyties požiūriu</w:t>
            </w:r>
          </w:p>
        </w:tc>
        <w:tc>
          <w:tcPr>
            <w:tcW w:w="1649" w:type="dxa"/>
            <w:tcBorders>
              <w:top w:val="single" w:sz="12" w:space="0" w:color="auto"/>
            </w:tcBorders>
          </w:tcPr>
          <w:p w14:paraId="6E2C0747" w14:textId="0DA50B7B" w:rsidR="0082031A" w:rsidRPr="00B44B19" w:rsidRDefault="00CE3167" w:rsidP="00CE3167">
            <w:pPr>
              <w:jc w:val="right"/>
              <w:rPr>
                <w:iCs/>
                <w:noProof/>
                <w:sz w:val="20"/>
              </w:rPr>
            </w:pPr>
            <w:r w:rsidRPr="00B44B19">
              <w:rPr>
                <w:color w:val="000000"/>
                <w:sz w:val="20"/>
                <w:szCs w:val="20"/>
              </w:rPr>
              <w:t>270 441 527</w:t>
            </w:r>
            <w:r w:rsidR="0082031A" w:rsidRPr="00B44B19">
              <w:rPr>
                <w:iCs/>
                <w:noProof/>
                <w:sz w:val="20"/>
              </w:rPr>
              <w:t>,00</w:t>
            </w:r>
          </w:p>
        </w:tc>
      </w:tr>
      <w:tr w:rsidR="0082031A" w:rsidRPr="00B44B19" w14:paraId="20214AB5" w14:textId="77777777" w:rsidTr="003B113E">
        <w:tc>
          <w:tcPr>
            <w:tcW w:w="1101" w:type="dxa"/>
            <w:vMerge/>
          </w:tcPr>
          <w:p w14:paraId="2DC954A1" w14:textId="77777777" w:rsidR="0082031A" w:rsidRPr="00B44B19" w:rsidRDefault="0082031A" w:rsidP="0082031A">
            <w:pPr>
              <w:jc w:val="center"/>
              <w:rPr>
                <w:iCs/>
                <w:noProof/>
                <w:sz w:val="20"/>
              </w:rPr>
            </w:pPr>
          </w:p>
        </w:tc>
        <w:tc>
          <w:tcPr>
            <w:tcW w:w="850" w:type="dxa"/>
          </w:tcPr>
          <w:p w14:paraId="1FC070C4" w14:textId="77777777" w:rsidR="0082031A" w:rsidRPr="00B44B19" w:rsidRDefault="0082031A" w:rsidP="0082031A">
            <w:pPr>
              <w:jc w:val="center"/>
              <w:rPr>
                <w:iCs/>
                <w:noProof/>
                <w:sz w:val="20"/>
              </w:rPr>
            </w:pPr>
            <w:r w:rsidRPr="00B44B19">
              <w:rPr>
                <w:iCs/>
                <w:noProof/>
                <w:sz w:val="20"/>
              </w:rPr>
              <w:t>ERPF</w:t>
            </w:r>
          </w:p>
        </w:tc>
        <w:tc>
          <w:tcPr>
            <w:tcW w:w="1276" w:type="dxa"/>
          </w:tcPr>
          <w:p w14:paraId="34B2E599" w14:textId="77777777" w:rsidR="0082031A" w:rsidRPr="00B44B19" w:rsidRDefault="0082031A" w:rsidP="0082031A">
            <w:pPr>
              <w:rPr>
                <w:iCs/>
                <w:noProof/>
                <w:sz w:val="20"/>
              </w:rPr>
            </w:pPr>
            <w:r w:rsidRPr="00B44B19">
              <w:rPr>
                <w:iCs/>
                <w:noProof/>
                <w:sz w:val="20"/>
              </w:rPr>
              <w:t>VVL regionas</w:t>
            </w:r>
          </w:p>
        </w:tc>
        <w:tc>
          <w:tcPr>
            <w:tcW w:w="1134" w:type="dxa"/>
            <w:vMerge/>
          </w:tcPr>
          <w:p w14:paraId="4E1EE29E" w14:textId="77777777" w:rsidR="0082031A" w:rsidRPr="00B44B19" w:rsidRDefault="0082031A" w:rsidP="0082031A">
            <w:pPr>
              <w:jc w:val="center"/>
              <w:rPr>
                <w:iCs/>
                <w:noProof/>
                <w:sz w:val="20"/>
              </w:rPr>
            </w:pPr>
          </w:p>
        </w:tc>
        <w:tc>
          <w:tcPr>
            <w:tcW w:w="3879" w:type="dxa"/>
            <w:vMerge/>
          </w:tcPr>
          <w:p w14:paraId="11E89E8B" w14:textId="77777777" w:rsidR="0082031A" w:rsidRPr="00B44B19" w:rsidRDefault="0082031A" w:rsidP="0082031A">
            <w:pPr>
              <w:jc w:val="center"/>
              <w:rPr>
                <w:iCs/>
                <w:noProof/>
                <w:sz w:val="20"/>
              </w:rPr>
            </w:pPr>
          </w:p>
        </w:tc>
        <w:tc>
          <w:tcPr>
            <w:tcW w:w="1649" w:type="dxa"/>
          </w:tcPr>
          <w:p w14:paraId="2416F77D" w14:textId="0FB62BBA" w:rsidR="0082031A" w:rsidRPr="00B44B19" w:rsidRDefault="00CE3167" w:rsidP="00CE3167">
            <w:pPr>
              <w:jc w:val="right"/>
              <w:rPr>
                <w:iCs/>
                <w:noProof/>
                <w:sz w:val="20"/>
              </w:rPr>
            </w:pPr>
            <w:r w:rsidRPr="00B44B19">
              <w:rPr>
                <w:color w:val="000000"/>
                <w:sz w:val="20"/>
                <w:szCs w:val="20"/>
              </w:rPr>
              <w:t>15 845 339</w:t>
            </w:r>
            <w:r w:rsidR="0082031A" w:rsidRPr="00B44B19">
              <w:rPr>
                <w:iCs/>
                <w:noProof/>
                <w:sz w:val="20"/>
              </w:rPr>
              <w:t>,00</w:t>
            </w:r>
          </w:p>
        </w:tc>
      </w:tr>
    </w:tbl>
    <w:p w14:paraId="383BC27E" w14:textId="77777777" w:rsidR="00D5397E" w:rsidRPr="00B44B19" w:rsidRDefault="00D5397E" w:rsidP="00D456C1">
      <w:pPr>
        <w:pStyle w:val="Antrat2"/>
      </w:pPr>
      <w:bookmarkStart w:id="36" w:name="_Toc223435424"/>
      <w:r w:rsidRPr="00B44B19">
        <w:t>Konkretus uždavinys – 3.</w:t>
      </w:r>
      <w:r w:rsidR="00141C67" w:rsidRPr="00B44B19">
        <w:t>2</w:t>
      </w:r>
      <w:r w:rsidRPr="00B44B19">
        <w:t xml:space="preserve">. </w:t>
      </w:r>
      <w:r w:rsidR="001B4E21" w:rsidRPr="00B44B19">
        <w:rPr>
          <w:lang w:bidi="lt-LT"/>
        </w:rPr>
        <w:t>Plėtoti ir stiprinti tvarų, klimato kaitai atsparų, pažangų ir įvairiarūšį nacionalinį, regioninį ir vietos judumą, įskaitant geresnes galimybes naudotis TEN-T ir tarpvalstybinį judumą</w:t>
      </w:r>
      <w:bookmarkEnd w:id="36"/>
    </w:p>
    <w:p w14:paraId="67A13336" w14:textId="77777777" w:rsidR="00D5397E" w:rsidRPr="00B44B19" w:rsidRDefault="00D5397E" w:rsidP="001E5B12">
      <w:pPr>
        <w:pStyle w:val="Stilius1"/>
        <w:rPr>
          <w:rFonts w:cs="Times New Roman"/>
        </w:rPr>
      </w:pPr>
      <w:r w:rsidRPr="00B44B19">
        <w:rPr>
          <w:rFonts w:cs="Times New Roman"/>
        </w:rPr>
        <w:t>Įgyvendinamos veiklos</w:t>
      </w:r>
    </w:p>
    <w:tbl>
      <w:tblPr>
        <w:tblStyle w:val="Lentelstinklelis"/>
        <w:tblW w:w="0" w:type="auto"/>
        <w:tblLook w:val="04A0" w:firstRow="1" w:lastRow="0" w:firstColumn="1" w:lastColumn="0" w:noHBand="0" w:noVBand="1"/>
      </w:tblPr>
      <w:tblGrid>
        <w:gridCol w:w="9628"/>
      </w:tblGrid>
      <w:tr w:rsidR="00D5397E" w:rsidRPr="00B44B19" w14:paraId="308C37FA" w14:textId="77777777" w:rsidTr="00D5397E">
        <w:tc>
          <w:tcPr>
            <w:tcW w:w="9854" w:type="dxa"/>
          </w:tcPr>
          <w:p w14:paraId="2E369DD9" w14:textId="77777777" w:rsidR="00FD3B5B" w:rsidRPr="00B44B19" w:rsidRDefault="00FD3B5B" w:rsidP="00F6437F">
            <w:pPr>
              <w:snapToGrid w:val="0"/>
              <w:spacing w:before="60" w:after="60"/>
              <w:jc w:val="both"/>
              <w:rPr>
                <w:rFonts w:eastAsia="Times New Roman" w:cs="Times New Roman"/>
                <w:sz w:val="22"/>
              </w:rPr>
            </w:pPr>
            <w:r w:rsidRPr="00B44B19">
              <w:rPr>
                <w:rFonts w:eastAsia="Times New Roman" w:cs="Times New Roman"/>
                <w:sz w:val="22"/>
              </w:rPr>
              <w:t>Šio uždavinio investicijos prisideda prie darnaus, švaraus ir saugaus judumo užtikrinimo bei regioninio junglumo stiprinimo.</w:t>
            </w:r>
          </w:p>
          <w:p w14:paraId="005251A5" w14:textId="77777777" w:rsidR="00FD3B5B" w:rsidRPr="00B44B19" w:rsidRDefault="00FD3B5B" w:rsidP="00F6437F">
            <w:pPr>
              <w:snapToGrid w:val="0"/>
              <w:spacing w:before="60" w:after="60"/>
              <w:jc w:val="both"/>
              <w:rPr>
                <w:rFonts w:eastAsia="Times New Roman" w:cs="Times New Roman"/>
                <w:sz w:val="22"/>
              </w:rPr>
            </w:pPr>
            <w:r w:rsidRPr="00B44B19">
              <w:rPr>
                <w:rFonts w:eastAsia="Times New Roman" w:cs="Times New Roman"/>
                <w:sz w:val="22"/>
              </w:rPr>
              <w:t xml:space="preserve">Susisiekimo sistema yra viena iš labiausiai integruotų į Europos rinką Lietuvos ūkio šakų, turinti labai didelę reikšmę šalies ekonomikai. Darnaus vystymosi tikslų rekomendacijose pažymima, kad siekiant tvaraus ir darnaus ekonomikos sektoriaus augimo bei žmonių gerovės didinimo kuriama tarpvalstybinė ir regioninė susisiekimo infrastruktūra turėtų užtikrinti ekonominių, socialinių, ekologinių ir kultūrinių aspektų sąveiką. Darnios, atsparios ir visuomenės poreikius atitinkančios transporto infrastruktūros kūrimas turi užtikrinti bazinių viešųjų paslaugų prieinamumą regionuose visoms socialinėms grupėms, </w:t>
            </w:r>
            <w:r w:rsidR="00E04130" w:rsidRPr="00B44B19">
              <w:rPr>
                <w:rFonts w:eastAsia="Times New Roman" w:cs="Times New Roman"/>
                <w:sz w:val="22"/>
              </w:rPr>
              <w:t>ši infrastruktūra turi būti pritaikyta prie klimato kaitos poveikio, ypatingą dėmesį sutelkiant į ŠESD emisijų mažinimą ir taip užtikrinant klimato kaitos švelninimą.</w:t>
            </w:r>
          </w:p>
          <w:p w14:paraId="7112E92D" w14:textId="77777777" w:rsidR="00FD3B5B" w:rsidRPr="00B44B19" w:rsidRDefault="00FD3B5B" w:rsidP="00F6437F">
            <w:pPr>
              <w:snapToGrid w:val="0"/>
              <w:spacing w:before="60" w:after="60"/>
              <w:jc w:val="both"/>
              <w:rPr>
                <w:rFonts w:eastAsia="Times New Roman" w:cs="Times New Roman"/>
                <w:sz w:val="22"/>
              </w:rPr>
            </w:pPr>
            <w:r w:rsidRPr="00B44B19">
              <w:rPr>
                <w:rFonts w:eastAsia="Times New Roman" w:cs="Times New Roman"/>
                <w:sz w:val="22"/>
              </w:rPr>
              <w:t>Siekiant Europos modernios žaliosios ir įtraukiosios ekonomikos transformacijos, visoms sritims, taip pat ir transporto sektoriui, keliami pertvarkos uždaviniai, susiję su ekonomikos augimu</w:t>
            </w:r>
            <w:r w:rsidR="00E04130" w:rsidRPr="00B44B19">
              <w:rPr>
                <w:rFonts w:eastAsia="Times New Roman" w:cs="Times New Roman"/>
                <w:sz w:val="22"/>
              </w:rPr>
              <w:t>,</w:t>
            </w:r>
            <w:r w:rsidRPr="00B44B19">
              <w:rPr>
                <w:rFonts w:eastAsia="Times New Roman" w:cs="Times New Roman"/>
                <w:sz w:val="22"/>
              </w:rPr>
              <w:t xml:space="preserve"> atsietu nuo išteklių naudojimo</w:t>
            </w:r>
            <w:r w:rsidR="00E04130" w:rsidRPr="00B44B19">
              <w:rPr>
                <w:rFonts w:eastAsia="Times New Roman" w:cs="Times New Roman"/>
                <w:sz w:val="22"/>
              </w:rPr>
              <w:t>,</w:t>
            </w:r>
            <w:r w:rsidRPr="00B44B19">
              <w:rPr>
                <w:rFonts w:eastAsia="Times New Roman" w:cs="Times New Roman"/>
                <w:sz w:val="22"/>
              </w:rPr>
              <w:t xml:space="preserve"> </w:t>
            </w:r>
            <w:r w:rsidR="00E04130" w:rsidRPr="00B44B19">
              <w:rPr>
                <w:rFonts w:eastAsia="Times New Roman" w:cs="Times New Roman"/>
                <w:sz w:val="22"/>
              </w:rPr>
              <w:t xml:space="preserve">ir </w:t>
            </w:r>
            <w:r w:rsidRPr="00B44B19">
              <w:rPr>
                <w:rFonts w:eastAsia="Times New Roman" w:cs="Times New Roman"/>
                <w:sz w:val="22"/>
              </w:rPr>
              <w:t>nuliniu ŠESD emisijos efektu.</w:t>
            </w:r>
          </w:p>
          <w:p w14:paraId="7D885310" w14:textId="77777777" w:rsidR="00FD3B5B" w:rsidRPr="00B44B19" w:rsidRDefault="00FD3B5B" w:rsidP="00F6437F">
            <w:pPr>
              <w:snapToGrid w:val="0"/>
              <w:spacing w:before="60" w:after="60"/>
              <w:jc w:val="both"/>
              <w:rPr>
                <w:rFonts w:eastAsia="Times New Roman" w:cs="Times New Roman"/>
                <w:bCs/>
                <w:sz w:val="22"/>
                <w:lang w:eastAsia="lt-LT"/>
              </w:rPr>
            </w:pPr>
            <w:r w:rsidRPr="00B44B19">
              <w:rPr>
                <w:rFonts w:eastAsia="Times New Roman" w:cs="Times New Roman"/>
                <w:bCs/>
                <w:sz w:val="22"/>
                <w:lang w:eastAsia="lt-LT"/>
              </w:rPr>
              <w:lastRenderedPageBreak/>
              <w:t xml:space="preserve">Šalies vidaus susisiekimo sistema yra vienas iš esminių veiksnių, lemiančių tvarų regionų centrų ekonomikos augimą ir turinčių didelę reikšmę Lietuvos ekonominei ir socialinei raidai. Darni susisiekimo infrastruktūra </w:t>
            </w:r>
            <w:r w:rsidR="00E04130" w:rsidRPr="00B44B19">
              <w:rPr>
                <w:rFonts w:eastAsia="Times New Roman" w:cs="Times New Roman"/>
                <w:bCs/>
                <w:sz w:val="22"/>
                <w:lang w:eastAsia="lt-LT"/>
              </w:rPr>
              <w:t xml:space="preserve">– </w:t>
            </w:r>
            <w:r w:rsidRPr="00B44B19">
              <w:rPr>
                <w:rFonts w:eastAsia="Times New Roman" w:cs="Times New Roman"/>
                <w:bCs/>
                <w:sz w:val="22"/>
                <w:lang w:eastAsia="lt-LT"/>
              </w:rPr>
              <w:t xml:space="preserve">yra regioninės plėtros ir junglumo pagrindas, kuris didina gyventojų </w:t>
            </w:r>
            <w:r w:rsidR="00E04130" w:rsidRPr="00B44B19">
              <w:rPr>
                <w:rFonts w:eastAsia="Times New Roman" w:cs="Times New Roman"/>
                <w:bCs/>
                <w:sz w:val="22"/>
                <w:lang w:eastAsia="lt-LT"/>
              </w:rPr>
              <w:t>junglumą su miestais</w:t>
            </w:r>
            <w:r w:rsidRPr="00B44B19">
              <w:rPr>
                <w:rFonts w:eastAsia="Times New Roman" w:cs="Times New Roman"/>
                <w:bCs/>
                <w:sz w:val="22"/>
                <w:lang w:eastAsia="lt-LT"/>
              </w:rPr>
              <w:t xml:space="preserve">, mažina atokumą, plečia bendradarbiavimą, sukuria patrauklias sąlygas </w:t>
            </w:r>
            <w:r w:rsidR="00E04130" w:rsidRPr="00B44B19">
              <w:rPr>
                <w:rFonts w:eastAsia="Times New Roman" w:cs="Times New Roman"/>
                <w:bCs/>
                <w:sz w:val="22"/>
                <w:lang w:eastAsia="lt-LT"/>
              </w:rPr>
              <w:t>investicijoms į</w:t>
            </w:r>
            <w:r w:rsidRPr="00B44B19">
              <w:rPr>
                <w:rFonts w:eastAsia="Times New Roman" w:cs="Times New Roman"/>
                <w:bCs/>
                <w:sz w:val="22"/>
                <w:lang w:eastAsia="lt-LT"/>
              </w:rPr>
              <w:t xml:space="preserve"> šalies regionus, skatina vidinį turizmą, gerina verslo sąlygas, užtikrina laisvą prekių ir paslaugų judėjimą. </w:t>
            </w:r>
            <w:r w:rsidR="00E04130" w:rsidRPr="00B44B19">
              <w:rPr>
                <w:rFonts w:eastAsia="Times New Roman" w:cs="Times New Roman"/>
                <w:bCs/>
                <w:sz w:val="22"/>
                <w:lang w:eastAsia="lt-LT"/>
              </w:rPr>
              <w:t>Vis dėlto, kaip atskleidė LTIPP, susisiekimas su regionais šalyje yra nepakankamas.</w:t>
            </w:r>
            <w:r w:rsidRPr="00B44B19">
              <w:rPr>
                <w:rFonts w:eastAsia="Times New Roman" w:cs="Times New Roman"/>
                <w:bCs/>
                <w:sz w:val="22"/>
                <w:lang w:eastAsia="lt-LT"/>
              </w:rPr>
              <w:t xml:space="preserve"> Dalis Lietuvos kaimo ar priemiestinių teritorijų gyventojų yra izoliuoti nuo didesnių darbo vietas kuriančių centrų. </w:t>
            </w:r>
            <w:r w:rsidR="00E04130" w:rsidRPr="00B44B19">
              <w:rPr>
                <w:rFonts w:eastAsia="Times New Roman" w:cs="Times New Roman"/>
                <w:bCs/>
                <w:sz w:val="22"/>
                <w:lang w:eastAsia="lt-LT"/>
              </w:rPr>
              <w:t xml:space="preserve">Siekiant geresnio miesto ir kaimo vietovių junglumo ir geografiškai subalansuotos regionų ekonominės plėtros, bus plėtojama valstybinės reikšmės kelių infrastruktūra remiantis LTIPP projektų iki 2030 m. sąraše identifikuotais prioritetiniais kelių ruožais, susiekimo bevariklėmis transporto priemonėmis infrastruktūra šalia valstybinės reikšmės kelių už miesto esančiose apgyvendintose teritorijose ar susisiekimui tarp jų, siekiant sukurti vientisą tarpmiestinį kelionėms dviračiais ir kitomis priemonėmis tinkamą infrastruktūrą, kuri pratęstų miestuose pagal DJMP plėtojamą bevariklių transporto priemonių infrastruktūrą. Daug dėmesio bus skiriama darnioms transporto sistemoms, sudarančioms tinkamas sąlygas taršai mažinti. Siekiant pagerinti valstybinės ir vietinės reikšmės kelių techninius parametrus, keliai regionuose bus rekonstruojami užtikrinant eismo saugą, mažinant juodųjų dėmių </w:t>
            </w:r>
            <w:r w:rsidR="00AC088F" w:rsidRPr="00B44B19">
              <w:rPr>
                <w:rFonts w:eastAsia="Times New Roman" w:cs="Times New Roman"/>
                <w:bCs/>
                <w:sz w:val="22"/>
                <w:lang w:eastAsia="lt-LT"/>
              </w:rPr>
              <w:t xml:space="preserve">ir avaringų vietų </w:t>
            </w:r>
            <w:r w:rsidR="00E04130" w:rsidRPr="00B44B19">
              <w:rPr>
                <w:rFonts w:eastAsia="Times New Roman" w:cs="Times New Roman"/>
                <w:bCs/>
                <w:sz w:val="22"/>
                <w:lang w:eastAsia="lt-LT"/>
              </w:rPr>
              <w:t xml:space="preserve">skaičių </w:t>
            </w:r>
            <w:r w:rsidR="00BF0B5E" w:rsidRPr="00B44B19">
              <w:rPr>
                <w:rFonts w:eastAsia="Times New Roman" w:cs="Times New Roman"/>
                <w:bCs/>
                <w:sz w:val="22"/>
                <w:lang w:eastAsia="lt-LT"/>
              </w:rPr>
              <w:t>keliuose, taip</w:t>
            </w:r>
            <w:r w:rsidR="00E04130" w:rsidRPr="00B44B19">
              <w:rPr>
                <w:rFonts w:eastAsia="Times New Roman" w:cs="Times New Roman"/>
                <w:bCs/>
                <w:sz w:val="22"/>
                <w:lang w:eastAsia="lt-LT"/>
              </w:rPr>
              <w:t xml:space="preserve"> siekiant įgyvendinti </w:t>
            </w:r>
            <w:r w:rsidR="00AC088F" w:rsidRPr="00B44B19">
              <w:rPr>
                <w:rFonts w:eastAsia="Times New Roman" w:cs="Times New Roman"/>
                <w:bCs/>
                <w:sz w:val="22"/>
                <w:lang w:eastAsia="lt-LT"/>
              </w:rPr>
              <w:t>NPP</w:t>
            </w:r>
            <w:r w:rsidR="00E04130" w:rsidRPr="00B44B19">
              <w:rPr>
                <w:rFonts w:eastAsia="Times New Roman" w:cs="Times New Roman"/>
                <w:bCs/>
                <w:sz w:val="22"/>
                <w:lang w:eastAsia="lt-LT"/>
              </w:rPr>
              <w:t xml:space="preserve"> užsibrėžtus tikslus iki 2030 m.</w:t>
            </w:r>
          </w:p>
          <w:p w14:paraId="71E794CE" w14:textId="77777777" w:rsidR="00E04130" w:rsidRPr="00B44B19" w:rsidRDefault="00E04130" w:rsidP="00F6437F">
            <w:pPr>
              <w:snapToGrid w:val="0"/>
              <w:spacing w:before="60" w:after="60"/>
              <w:jc w:val="both"/>
              <w:rPr>
                <w:rFonts w:eastAsia="Times New Roman" w:cs="Times New Roman"/>
                <w:sz w:val="22"/>
              </w:rPr>
            </w:pPr>
            <w:r w:rsidRPr="00B44B19">
              <w:rPr>
                <w:rFonts w:eastAsia="Times New Roman" w:cs="Times New Roman"/>
                <w:sz w:val="22"/>
              </w:rPr>
              <w:t>Įgyvendinus šį konkretų uždavinį, pagerinus šalies transporto tinklo infrastruktūros techninius parametrus ir įdiegus saugaus eismo inžinerinę infrastruktūrą, bus sudarytos sąlygos patogiai ir saugiai keliauti viešuoju keleiviniu transportu</w:t>
            </w:r>
            <w:r w:rsidR="00794836" w:rsidRPr="00B44B19">
              <w:rPr>
                <w:rFonts w:eastAsia="Times New Roman" w:cs="Times New Roman"/>
                <w:sz w:val="22"/>
              </w:rPr>
              <w:t xml:space="preserve"> įskaitant atnaujintu </w:t>
            </w:r>
            <w:r w:rsidRPr="00B44B19">
              <w:rPr>
                <w:rFonts w:eastAsia="Times New Roman" w:cs="Times New Roman"/>
                <w:sz w:val="22"/>
              </w:rPr>
              <w:t xml:space="preserve">Programos 8.1 uždavinio ir EGADP investicijomis. Taip tikimasi sutrumpinti keleivių kelionės ir krovinių transportavimo laiką, užtikrinti eismo saugą, transporto saugumą, sumažinti avaringumą ir taršą. </w:t>
            </w:r>
            <w:r w:rsidRPr="00B44B19">
              <w:rPr>
                <w:rFonts w:eastAsia="Times New Roman" w:cs="Times New Roman"/>
                <w:bCs/>
                <w:sz w:val="22"/>
                <w:lang w:eastAsia="lt-LT"/>
              </w:rPr>
              <w:t xml:space="preserve">Numatoma, kad šios investicijos prisidės prie spartesnės regionų ekonominės plėtros, </w:t>
            </w:r>
            <w:r w:rsidRPr="00B44B19">
              <w:rPr>
                <w:rFonts w:eastAsia="Times New Roman" w:cs="Times New Roman"/>
                <w:sz w:val="22"/>
              </w:rPr>
              <w:t>naujų darbo vietų kūrimo, verslo diversifikavimo sąlygų sudarymo, padidins gamybos produktyvumą ir ekonomikos konkurencingumą.</w:t>
            </w:r>
          </w:p>
          <w:p w14:paraId="5C4496C0" w14:textId="77777777" w:rsidR="00FD3B5B" w:rsidRPr="00B44B19" w:rsidRDefault="00FD3B5B" w:rsidP="00F6437F">
            <w:pPr>
              <w:spacing w:before="60" w:after="60"/>
              <w:jc w:val="both"/>
              <w:rPr>
                <w:rFonts w:eastAsia="Times New Roman" w:cs="Times New Roman"/>
                <w:noProof/>
                <w:sz w:val="22"/>
              </w:rPr>
            </w:pPr>
            <w:r w:rsidRPr="00B44B19">
              <w:rPr>
                <w:rFonts w:eastAsia="Times New Roman" w:cs="Times New Roman"/>
                <w:noProof/>
                <w:sz w:val="22"/>
              </w:rPr>
              <w:t>Veiksmų rūšys, siekiant sudaryti geresnes sąlygas miesto ir kaimo vietovių junglumui:</w:t>
            </w:r>
          </w:p>
          <w:p w14:paraId="4E581D97" w14:textId="77777777" w:rsidR="00816250" w:rsidRPr="00B44B19" w:rsidRDefault="00E04130" w:rsidP="00F6437F">
            <w:pPr>
              <w:spacing w:before="60" w:after="60"/>
              <w:jc w:val="both"/>
              <w:rPr>
                <w:rFonts w:eastAsia="Times New Roman" w:cs="Times New Roman"/>
                <w:noProof/>
                <w:sz w:val="22"/>
              </w:rPr>
            </w:pPr>
            <w:r w:rsidRPr="00B44B19">
              <w:rPr>
                <w:rFonts w:eastAsia="Times New Roman" w:cs="Times New Roman"/>
                <w:b/>
                <w:sz w:val="22"/>
              </w:rPr>
              <w:t>Tobulinti ir rekonstruoti valstybinės reikšmės kelius (regionų jungtis su TEN-T</w:t>
            </w:r>
            <w:r w:rsidR="00BF0B5E" w:rsidRPr="00B44B19">
              <w:rPr>
                <w:rFonts w:eastAsia="Times New Roman" w:cs="Times New Roman"/>
                <w:b/>
                <w:sz w:val="22"/>
              </w:rPr>
              <w:t>)</w:t>
            </w:r>
            <w:r w:rsidR="00BF0B5E" w:rsidRPr="00B44B19">
              <w:rPr>
                <w:rFonts w:eastAsia="Times New Roman" w:cs="Times New Roman"/>
                <w:bCs/>
                <w:sz w:val="22"/>
              </w:rPr>
              <w:t>,</w:t>
            </w:r>
            <w:r w:rsidR="00BF0B5E" w:rsidRPr="00B44B19">
              <w:rPr>
                <w:rFonts w:eastAsia="Times New Roman" w:cs="Times New Roman"/>
                <w:b/>
                <w:sz w:val="22"/>
              </w:rPr>
              <w:t xml:space="preserve"> </w:t>
            </w:r>
            <w:r w:rsidR="00BF0B5E" w:rsidRPr="00B44B19">
              <w:rPr>
                <w:rFonts w:eastAsia="Times New Roman" w:cs="Times New Roman"/>
                <w:sz w:val="22"/>
              </w:rPr>
              <w:t>r</w:t>
            </w:r>
            <w:r w:rsidRPr="00B44B19">
              <w:rPr>
                <w:rFonts w:eastAsia="Times New Roman" w:cs="Times New Roman"/>
                <w:sz w:val="22"/>
              </w:rPr>
              <w:t xml:space="preserve">emiantis </w:t>
            </w:r>
            <w:r w:rsidRPr="00B44B19">
              <w:rPr>
                <w:rFonts w:eastAsia="Times New Roman" w:cs="Times New Roman"/>
                <w:bCs/>
                <w:sz w:val="22"/>
                <w:lang w:eastAsia="lt-LT"/>
              </w:rPr>
              <w:t>LTIPP</w:t>
            </w:r>
            <w:r w:rsidRPr="00B44B19">
              <w:rPr>
                <w:rFonts w:eastAsia="Times New Roman" w:cs="Times New Roman"/>
                <w:sz w:val="22"/>
              </w:rPr>
              <w:t xml:space="preserve"> projektų iki 2030 m. sąraše identifikuotais prioritetiniais kelių ruožais, taip užtikrinant geresnį regioninį </w:t>
            </w:r>
            <w:r w:rsidR="00BF0B5E" w:rsidRPr="00B44B19">
              <w:rPr>
                <w:rFonts w:eastAsia="Times New Roman" w:cs="Times New Roman"/>
                <w:sz w:val="22"/>
              </w:rPr>
              <w:t>junglumą, ir</w:t>
            </w:r>
            <w:r w:rsidR="00BF0B5E" w:rsidRPr="00B44B19">
              <w:rPr>
                <w:rFonts w:eastAsia="Times New Roman" w:cs="Times New Roman"/>
                <w:b/>
                <w:sz w:val="22"/>
              </w:rPr>
              <w:t xml:space="preserve"> didinti eismo saugą vietinės reikšmės keliuose</w:t>
            </w:r>
            <w:r w:rsidR="00BF0B5E" w:rsidRPr="00B44B19">
              <w:rPr>
                <w:rStyle w:val="Komentaronuoroda"/>
                <w:rFonts w:cs="Times New Roman"/>
                <w:sz w:val="22"/>
                <w:szCs w:val="22"/>
              </w:rPr>
              <w:t>.</w:t>
            </w:r>
          </w:p>
          <w:p w14:paraId="2573FB87" w14:textId="77777777" w:rsidR="00647CDE" w:rsidRPr="00B44B19" w:rsidRDefault="00BF0B5E" w:rsidP="00F6437F">
            <w:pPr>
              <w:spacing w:before="60" w:after="60"/>
              <w:jc w:val="both"/>
              <w:rPr>
                <w:rFonts w:eastAsia="Times New Roman" w:cs="Times New Roman"/>
                <w:iCs/>
                <w:sz w:val="22"/>
              </w:rPr>
            </w:pPr>
            <w:r w:rsidRPr="00B44B19">
              <w:rPr>
                <w:rFonts w:eastAsia="Times New Roman" w:cs="Times New Roman"/>
                <w:sz w:val="22"/>
              </w:rPr>
              <w:t xml:space="preserve">Siekiama užtikrinti tinkamus regioninių valstybinės reikšmės kelių techninius parametrus, didinti eismo saugą ir atitiktį aplinkosaugos reikalavimams, drauge diegiant </w:t>
            </w:r>
            <w:r w:rsidR="007633AE" w:rsidRPr="00B44B19">
              <w:rPr>
                <w:rFonts w:eastAsia="Times New Roman" w:cs="Times New Roman"/>
                <w:sz w:val="22"/>
              </w:rPr>
              <w:t>ITS</w:t>
            </w:r>
            <w:r w:rsidRPr="00B44B19">
              <w:rPr>
                <w:rFonts w:eastAsia="Times New Roman" w:cs="Times New Roman"/>
                <w:sz w:val="22"/>
              </w:rPr>
              <w:t xml:space="preserve">. </w:t>
            </w:r>
            <w:r w:rsidR="00E04130" w:rsidRPr="00B44B19">
              <w:rPr>
                <w:rFonts w:eastAsia="Times New Roman" w:cs="Times New Roman"/>
                <w:iCs/>
                <w:sz w:val="22"/>
              </w:rPr>
              <w:t>Numatoma tęsti savivaldybių susisiekimo infrastruktūros tobulinimą, diegiant eismo saugos priemones vietinės reikšmės keliuose</w:t>
            </w:r>
            <w:r w:rsidRPr="00B44B19">
              <w:rPr>
                <w:rFonts w:eastAsia="Times New Roman" w:cs="Times New Roman"/>
                <w:iCs/>
                <w:sz w:val="22"/>
              </w:rPr>
              <w:t xml:space="preserve">, mažinti juodųjų dėmių ir avaringų </w:t>
            </w:r>
            <w:r w:rsidR="00794836" w:rsidRPr="00B44B19">
              <w:rPr>
                <w:rFonts w:eastAsia="Times New Roman" w:cs="Times New Roman"/>
                <w:iCs/>
                <w:sz w:val="22"/>
              </w:rPr>
              <w:t xml:space="preserve">vietų, </w:t>
            </w:r>
            <w:r w:rsidR="00794836" w:rsidRPr="00B44B19">
              <w:rPr>
                <w:rFonts w:eastAsia="Times New Roman" w:cs="Times New Roman"/>
                <w:color w:val="000000"/>
                <w:sz w:val="22"/>
                <w:lang w:eastAsia="lt-LT"/>
              </w:rPr>
              <w:t>nustatytų vadovaujantis Juodųjų dėmių nustatymo, tyrimo ir šalinimo reikalavimų ir tvarkos aprašo nuostatomis,</w:t>
            </w:r>
            <w:r w:rsidR="00794836" w:rsidRPr="00B44B19">
              <w:rPr>
                <w:rFonts w:eastAsia="Times New Roman" w:cs="Times New Roman"/>
                <w:iCs/>
                <w:sz w:val="22"/>
              </w:rPr>
              <w:t xml:space="preserve"> skaičių.</w:t>
            </w:r>
            <w:r w:rsidR="00E04130" w:rsidRPr="00B44B19">
              <w:rPr>
                <w:rFonts w:eastAsia="Times New Roman" w:cs="Times New Roman"/>
                <w:iCs/>
                <w:sz w:val="22"/>
              </w:rPr>
              <w:t xml:space="preserve"> Siekiant pagerinti valstybinės reikšmės kelių techninius parametrus, daugeliu atvejų regionuose bus tobulinami ir rekonstruojami keliai, užtikrinant eismo saugą (įrengiant eismo saugos priemones), mažinant juodųjų dėmių </w:t>
            </w:r>
            <w:r w:rsidR="00AC088F" w:rsidRPr="00B44B19">
              <w:rPr>
                <w:rFonts w:eastAsia="Times New Roman" w:cs="Times New Roman"/>
                <w:iCs/>
                <w:sz w:val="22"/>
              </w:rPr>
              <w:t xml:space="preserve">ir avaringų vietų </w:t>
            </w:r>
            <w:r w:rsidR="00E04130" w:rsidRPr="00B44B19">
              <w:rPr>
                <w:rFonts w:eastAsia="Times New Roman" w:cs="Times New Roman"/>
                <w:iCs/>
                <w:sz w:val="22"/>
              </w:rPr>
              <w:t xml:space="preserve">skaičių </w:t>
            </w:r>
            <w:r w:rsidR="00794836" w:rsidRPr="00B44B19">
              <w:rPr>
                <w:rFonts w:eastAsia="Times New Roman" w:cs="Times New Roman"/>
                <w:iCs/>
                <w:sz w:val="22"/>
              </w:rPr>
              <w:t xml:space="preserve">keliuose, prireikus eliminuojant </w:t>
            </w:r>
            <w:r w:rsidR="00E04130" w:rsidRPr="00B44B19">
              <w:rPr>
                <w:rFonts w:eastAsia="Times New Roman" w:cs="Times New Roman"/>
                <w:iCs/>
                <w:sz w:val="22"/>
              </w:rPr>
              <w:t xml:space="preserve">vieno lygio kelių bei pėstiesiems skirtos infrastruktūros susikirtimus su </w:t>
            </w:r>
            <w:r w:rsidR="00794836" w:rsidRPr="00B44B19">
              <w:rPr>
                <w:rFonts w:eastAsia="Times New Roman" w:cs="Times New Roman"/>
                <w:iCs/>
                <w:sz w:val="22"/>
              </w:rPr>
              <w:t xml:space="preserve">geležinkeliais, diegiant aplinkosaugos priemones </w:t>
            </w:r>
            <w:r w:rsidR="00E04130" w:rsidRPr="00B44B19">
              <w:rPr>
                <w:rFonts w:eastAsia="Times New Roman" w:cs="Times New Roman"/>
                <w:iCs/>
                <w:sz w:val="22"/>
              </w:rPr>
              <w:t>(triukšmo mažinimo, gyvūnų apsaugos). Ši veikla bus įgyvendinama VVL regione.</w:t>
            </w:r>
          </w:p>
          <w:p w14:paraId="02FADE12" w14:textId="69AF2DA6" w:rsidR="005B7833" w:rsidRPr="00B44B19" w:rsidRDefault="005B7833" w:rsidP="00D27D25">
            <w:pPr>
              <w:spacing w:before="60" w:after="60"/>
              <w:jc w:val="both"/>
              <w:rPr>
                <w:rFonts w:cs="Times New Roman"/>
                <w:i/>
                <w:color w:val="000000"/>
                <w:sz w:val="22"/>
              </w:rPr>
            </w:pPr>
            <w:r w:rsidRPr="00B44B19">
              <w:rPr>
                <w:rFonts w:cs="Times New Roman"/>
                <w:b/>
                <w:bCs/>
                <w:iCs/>
                <w:color w:val="000000"/>
                <w:sz w:val="22"/>
              </w:rPr>
              <w:t>Plėtoti dviračių ir pėsčiųjų infrastruktūrą šalia valstybinės reikšmės kelių</w:t>
            </w:r>
            <w:r w:rsidRPr="00B44B19">
              <w:rPr>
                <w:rFonts w:cs="Times New Roman"/>
                <w:iCs/>
                <w:color w:val="000000"/>
                <w:sz w:val="22"/>
              </w:rPr>
              <w:t>, prioritetą teikiant vientisų dviračių trasų įrengimui šalia valstybinės reikšmės kelių sujungiant jas su savivaldybių dviračių takais</w:t>
            </w:r>
            <w:r w:rsidRPr="00B44B19">
              <w:rPr>
                <w:rFonts w:cs="Times New Roman"/>
                <w:sz w:val="22"/>
              </w:rPr>
              <w:t xml:space="preserve"> </w:t>
            </w:r>
            <w:r w:rsidRPr="00B44B19">
              <w:rPr>
                <w:rFonts w:cs="Times New Roman"/>
                <w:iCs/>
                <w:color w:val="000000"/>
                <w:sz w:val="22"/>
              </w:rPr>
              <w:t>ir didžiausią esamų bei potencialių naudotojų skaičių turinčių pėsčiųjų ir dviračių takų rekonstravimo darbus. Ši veikla bus įgyvendinama VVL regione.</w:t>
            </w:r>
          </w:p>
          <w:p w14:paraId="2C78C78D" w14:textId="77777777" w:rsidR="00CF752A" w:rsidRPr="00B44B19" w:rsidRDefault="00334B0C" w:rsidP="00F6437F">
            <w:pPr>
              <w:spacing w:before="60" w:after="60"/>
              <w:jc w:val="both"/>
              <w:rPr>
                <w:rFonts w:cs="Times New Roman"/>
                <w:iCs/>
                <w:sz w:val="22"/>
                <w:lang w:bidi="lt-LT"/>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r w:rsidR="00FD3727" w:rsidRPr="00B44B19">
              <w:rPr>
                <w:rFonts w:eastAsia="Times New Roman" w:cs="Times New Roman"/>
                <w:noProof/>
                <w:sz w:val="22"/>
              </w:rPr>
              <w:t>.</w:t>
            </w:r>
          </w:p>
        </w:tc>
      </w:tr>
    </w:tbl>
    <w:p w14:paraId="0E4C3DCD" w14:textId="77777777" w:rsidR="00D5397E" w:rsidRPr="00B44B19" w:rsidRDefault="00D5397E" w:rsidP="001E5B12">
      <w:pPr>
        <w:pStyle w:val="Stilius1"/>
        <w:rPr>
          <w:rFonts w:cs="Times New Roman"/>
        </w:rPr>
      </w:pPr>
      <w:r w:rsidRPr="00B44B19">
        <w:rPr>
          <w:rFonts w:cs="Times New Roman"/>
        </w:rPr>
        <w:lastRenderedPageBreak/>
        <w:t>Pagrindinės tikslinės grupės</w:t>
      </w:r>
    </w:p>
    <w:tbl>
      <w:tblPr>
        <w:tblStyle w:val="Lentelstinklelis"/>
        <w:tblW w:w="0" w:type="auto"/>
        <w:tblLook w:val="04A0" w:firstRow="1" w:lastRow="0" w:firstColumn="1" w:lastColumn="0" w:noHBand="0" w:noVBand="1"/>
      </w:tblPr>
      <w:tblGrid>
        <w:gridCol w:w="9628"/>
      </w:tblGrid>
      <w:tr w:rsidR="00D5397E" w:rsidRPr="00B44B19" w14:paraId="72CC33CA" w14:textId="77777777" w:rsidTr="00D5397E">
        <w:tc>
          <w:tcPr>
            <w:tcW w:w="9854" w:type="dxa"/>
          </w:tcPr>
          <w:p w14:paraId="1DEB9BFE" w14:textId="77777777" w:rsidR="00D5397E" w:rsidRPr="00B44B19" w:rsidRDefault="00E04130" w:rsidP="0095093F">
            <w:pPr>
              <w:spacing w:before="60" w:after="60"/>
              <w:jc w:val="both"/>
              <w:rPr>
                <w:rFonts w:cs="Times New Roman"/>
                <w:bCs/>
                <w:sz w:val="22"/>
              </w:rPr>
            </w:pPr>
            <w:r w:rsidRPr="00B44B19">
              <w:rPr>
                <w:rFonts w:eastAsia="Calibri" w:cs="Times New Roman"/>
                <w:bCs/>
                <w:sz w:val="22"/>
              </w:rPr>
              <w:t>Mažiau išsivysčiusių regionų gyventojai, kuriems naudojantis tvaresne ir saugesne infrastruktūra bus lengviau pasiekiami ekonominiai centrai bei viešosios paslaugos.</w:t>
            </w:r>
          </w:p>
        </w:tc>
      </w:tr>
    </w:tbl>
    <w:p w14:paraId="1EEBC864" w14:textId="77777777" w:rsidR="00D5397E" w:rsidRPr="00B44B19" w:rsidRDefault="00D5397E" w:rsidP="001E5B12">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p w14:paraId="56736F7B" w14:textId="77777777" w:rsidR="00D5397E" w:rsidRPr="00B44B19" w:rsidRDefault="001A35D3" w:rsidP="00D27D25">
      <w:pPr>
        <w:pBdr>
          <w:top w:val="single" w:sz="4" w:space="1" w:color="auto"/>
          <w:left w:val="single" w:sz="4" w:space="4" w:color="auto"/>
          <w:bottom w:val="single" w:sz="4" w:space="1" w:color="auto"/>
          <w:right w:val="single" w:sz="4" w:space="1" w:color="auto"/>
        </w:pBdr>
        <w:spacing w:before="60" w:after="60" w:line="240" w:lineRule="auto"/>
        <w:jc w:val="both"/>
        <w:rPr>
          <w:rFonts w:eastAsia="Calibri" w:cs="Times New Roman"/>
          <w:sz w:val="22"/>
          <w:lang w:eastAsia="lt-LT" w:bidi="lt-LT"/>
        </w:rPr>
      </w:pPr>
      <w:r w:rsidRPr="00B44B19">
        <w:rPr>
          <w:rFonts w:eastAsia="Calibri" w:cs="Times New Roman"/>
          <w:noProof/>
          <w:sz w:val="22"/>
          <w:lang w:eastAsia="lt-LT" w:bidi="lt-LT"/>
        </w:rPr>
        <w:t>Vykdant numatytas veiklas bus siekiama užtikrinti lygybės, įtraukties ir nediskriminavimo principus.</w:t>
      </w:r>
      <w:r w:rsidRPr="00B44B19">
        <w:rPr>
          <w:rFonts w:eastAsia="Calibri" w:cs="Times New Roman"/>
          <w:sz w:val="22"/>
          <w:lang w:eastAsia="lt-LT" w:bidi="lt-LT"/>
        </w:rPr>
        <w:t xml:space="preserve"> </w:t>
      </w:r>
      <w:r w:rsidRPr="00B44B19">
        <w:rPr>
          <w:rFonts w:eastAsia="Calibri" w:cs="Times New Roman"/>
          <w:sz w:val="22"/>
        </w:rPr>
        <w:t xml:space="preserve">Transporto infrastruktūra bus kuriama laikantis universalaus dizaino principų ir pritaikyta naudotis </w:t>
      </w:r>
      <w:r w:rsidR="00E04130" w:rsidRPr="00B44B19">
        <w:rPr>
          <w:rFonts w:eastAsia="Calibri" w:cs="Times New Roman"/>
          <w:sz w:val="22"/>
        </w:rPr>
        <w:t>žmonėms, turintiems specialiųjų poreikių</w:t>
      </w:r>
      <w:r w:rsidRPr="00B44B19">
        <w:rPr>
          <w:rFonts w:eastAsia="Calibri" w:cs="Times New Roman"/>
          <w:sz w:val="22"/>
        </w:rPr>
        <w:t>.</w:t>
      </w:r>
    </w:p>
    <w:p w14:paraId="2588A2A5" w14:textId="77777777" w:rsidR="00D5397E" w:rsidRPr="00B44B19" w:rsidRDefault="00D5397E" w:rsidP="001E5B12">
      <w:pPr>
        <w:pStyle w:val="Stilius1"/>
        <w:rPr>
          <w:rFonts w:cs="Times New Roman"/>
        </w:rPr>
      </w:pPr>
      <w:r w:rsidRPr="00B44B19">
        <w:rPr>
          <w:rFonts w:cs="Times New Roman"/>
        </w:rPr>
        <w:lastRenderedPageBreak/>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628"/>
      </w:tblGrid>
      <w:tr w:rsidR="00D5397E" w:rsidRPr="00B44B19" w14:paraId="7C1CB87A" w14:textId="77777777" w:rsidTr="00D5397E">
        <w:tc>
          <w:tcPr>
            <w:tcW w:w="9854" w:type="dxa"/>
          </w:tcPr>
          <w:p w14:paraId="05D44912" w14:textId="77777777" w:rsidR="00D5397E" w:rsidRPr="00B44B19" w:rsidRDefault="00947A7E" w:rsidP="0095093F">
            <w:pPr>
              <w:spacing w:before="60" w:after="60"/>
              <w:jc w:val="both"/>
              <w:rPr>
                <w:rFonts w:cs="Times New Roman"/>
                <w:bCs/>
                <w:sz w:val="22"/>
              </w:rPr>
            </w:pPr>
            <w:r w:rsidRPr="00B44B19">
              <w:rPr>
                <w:rFonts w:cs="Times New Roman"/>
                <w:bCs/>
                <w:sz w:val="22"/>
              </w:rPr>
              <w:t>VVL</w:t>
            </w:r>
            <w:r w:rsidR="00546008" w:rsidRPr="00B44B19">
              <w:rPr>
                <w:rFonts w:cs="Times New Roman"/>
                <w:bCs/>
                <w:sz w:val="22"/>
              </w:rPr>
              <w:t xml:space="preserve"> regionas</w:t>
            </w:r>
          </w:p>
          <w:p w14:paraId="3C03E2B3" w14:textId="77777777" w:rsidR="003617C9" w:rsidRPr="00B44B19" w:rsidRDefault="00E04130" w:rsidP="0095093F">
            <w:pPr>
              <w:spacing w:before="60" w:after="60"/>
              <w:jc w:val="both"/>
              <w:rPr>
                <w:rFonts w:cs="Times New Roman"/>
                <w:bCs/>
                <w:sz w:val="22"/>
              </w:rPr>
            </w:pPr>
            <w:r w:rsidRPr="00B44B19">
              <w:rPr>
                <w:rFonts w:cs="Times New Roman"/>
                <w:bCs/>
                <w:sz w:val="22"/>
              </w:rPr>
              <w:t xml:space="preserve">Uždavinio investicijomis gali būti remiama dalis tvarios miestų ir </w:t>
            </w:r>
            <w:r w:rsidR="004C2FDD" w:rsidRPr="00B44B19">
              <w:rPr>
                <w:rFonts w:cs="Times New Roman"/>
                <w:bCs/>
                <w:sz w:val="22"/>
              </w:rPr>
              <w:t>FZ</w:t>
            </w:r>
            <w:r w:rsidRPr="00B44B19">
              <w:rPr>
                <w:rFonts w:cs="Times New Roman"/>
                <w:bCs/>
                <w:sz w:val="22"/>
              </w:rPr>
              <w:t xml:space="preserve"> plėtros veiksmų, įgyvendinamų panaudojant ITI, šias investicijas derinant su Programos 5 prioriteto investicijomis siekiant bendrų tikslų eismo saugumo srityje. Investicijų apimtis ir (ar) detalumas derinami su atitinkamomis ministerijomis rengiant </w:t>
            </w:r>
            <w:r w:rsidR="00FB2EC7" w:rsidRPr="00B44B19">
              <w:rPr>
                <w:rFonts w:cs="Times New Roman"/>
                <w:bCs/>
                <w:sz w:val="22"/>
              </w:rPr>
              <w:t>n</w:t>
            </w:r>
            <w:r w:rsidRPr="00B44B19">
              <w:rPr>
                <w:rFonts w:cs="Times New Roman"/>
                <w:bCs/>
                <w:sz w:val="22"/>
              </w:rPr>
              <w:t xml:space="preserve">acionalines plėtros programas ir </w:t>
            </w:r>
            <w:r w:rsidR="00FB2EC7" w:rsidRPr="00B44B19">
              <w:rPr>
                <w:rFonts w:cs="Times New Roman"/>
                <w:bCs/>
                <w:sz w:val="22"/>
              </w:rPr>
              <w:t xml:space="preserve">teritorines strategijas ir </w:t>
            </w:r>
            <w:r w:rsidRPr="00B44B19">
              <w:rPr>
                <w:rFonts w:cs="Times New Roman"/>
                <w:bCs/>
                <w:sz w:val="22"/>
              </w:rPr>
              <w:t>priklauso nuo pasirenkamų uždavinių turinio.</w:t>
            </w:r>
          </w:p>
        </w:tc>
      </w:tr>
    </w:tbl>
    <w:p w14:paraId="74DE1D26" w14:textId="77777777" w:rsidR="00D5397E" w:rsidRPr="00B44B19" w:rsidRDefault="00D5397E" w:rsidP="001E5B12">
      <w:pPr>
        <w:pStyle w:val="Stilius1"/>
        <w:rPr>
          <w:rFonts w:cs="Times New Roman"/>
        </w:rPr>
      </w:pPr>
      <w:r w:rsidRPr="00B44B19">
        <w:rPr>
          <w:rFonts w:cs="Times New Roman"/>
        </w:rPr>
        <w:t>Tarpregioniniai, tarp sienų ir tarpvalstybiniai veiksmai</w:t>
      </w:r>
    </w:p>
    <w:tbl>
      <w:tblPr>
        <w:tblStyle w:val="Lentelstinklelis"/>
        <w:tblW w:w="9634" w:type="dxa"/>
        <w:tblLook w:val="04A0" w:firstRow="1" w:lastRow="0" w:firstColumn="1" w:lastColumn="0" w:noHBand="0" w:noVBand="1"/>
      </w:tblPr>
      <w:tblGrid>
        <w:gridCol w:w="9634"/>
      </w:tblGrid>
      <w:tr w:rsidR="00E140AC" w:rsidRPr="00B44B19" w14:paraId="15DE26D3" w14:textId="77777777" w:rsidTr="00D27D25">
        <w:tc>
          <w:tcPr>
            <w:tcW w:w="9634" w:type="dxa"/>
          </w:tcPr>
          <w:p w14:paraId="08112C53" w14:textId="77777777" w:rsidR="00E140AC" w:rsidRPr="00B44B19" w:rsidRDefault="00E140AC" w:rsidP="0095093F">
            <w:pPr>
              <w:spacing w:before="60" w:after="60"/>
              <w:jc w:val="both"/>
              <w:rPr>
                <w:rFonts w:cs="Times New Roman"/>
                <w:bCs/>
                <w:sz w:val="22"/>
              </w:rPr>
            </w:pPr>
            <w:r w:rsidRPr="00B44B19">
              <w:rPr>
                <w:rFonts w:cs="Times New Roman"/>
                <w:sz w:val="22"/>
                <w:szCs w:val="20"/>
              </w:rPr>
              <w:t xml:space="preserve">Numatoma sudaryti visas galimybes prireikus juos atlikti. Planuojama įtraukti </w:t>
            </w:r>
            <w:r w:rsidRPr="00B44B19">
              <w:rPr>
                <w:rFonts w:eastAsia="Times New Roman" w:cs="Times New Roman"/>
                <w:sz w:val="22"/>
                <w:szCs w:val="20"/>
              </w:rPr>
              <w:t>tarptautinius partnerius, ypač keičiantis gerąja praktika, tiek nacionaliniu, tiek atskirų savivaldybių lygmeniu.</w:t>
            </w:r>
          </w:p>
        </w:tc>
      </w:tr>
    </w:tbl>
    <w:p w14:paraId="068428C0" w14:textId="77777777" w:rsidR="00D5397E" w:rsidRPr="00B44B19" w:rsidRDefault="00D5397E" w:rsidP="001E5B12">
      <w:pPr>
        <w:pStyle w:val="Stilius1"/>
        <w:rPr>
          <w:rFonts w:cs="Times New Roman"/>
        </w:rPr>
      </w:pPr>
      <w:r w:rsidRPr="00B44B19">
        <w:rPr>
          <w:rFonts w:cs="Times New Roman"/>
        </w:rPr>
        <w:t>Planuojamas finansinių priemonių naudojimas</w:t>
      </w:r>
    </w:p>
    <w:tbl>
      <w:tblPr>
        <w:tblStyle w:val="Lentelstinklelis"/>
        <w:tblW w:w="0" w:type="auto"/>
        <w:tblLook w:val="04A0" w:firstRow="1" w:lastRow="0" w:firstColumn="1" w:lastColumn="0" w:noHBand="0" w:noVBand="1"/>
      </w:tblPr>
      <w:tblGrid>
        <w:gridCol w:w="9628"/>
      </w:tblGrid>
      <w:tr w:rsidR="00D5397E" w:rsidRPr="00B44B19" w14:paraId="268AB536" w14:textId="77777777" w:rsidTr="00D5397E">
        <w:tc>
          <w:tcPr>
            <w:tcW w:w="9854" w:type="dxa"/>
          </w:tcPr>
          <w:p w14:paraId="171BF4CA" w14:textId="77777777" w:rsidR="00D5397E" w:rsidRPr="00B44B19" w:rsidRDefault="00166EC1" w:rsidP="0095093F">
            <w:pPr>
              <w:spacing w:before="60" w:after="60"/>
              <w:jc w:val="both"/>
              <w:rPr>
                <w:rFonts w:cs="Times New Roman"/>
                <w:bCs/>
                <w:sz w:val="22"/>
              </w:rPr>
            </w:pPr>
            <w:r w:rsidRPr="00B44B19">
              <w:rPr>
                <w:rFonts w:eastAsia="Calibri" w:cs="Times New Roman"/>
                <w:bCs/>
                <w:sz w:val="22"/>
              </w:rPr>
              <w:t>–</w:t>
            </w:r>
          </w:p>
        </w:tc>
      </w:tr>
    </w:tbl>
    <w:p w14:paraId="3256AB90" w14:textId="77777777" w:rsidR="00344476" w:rsidRPr="00B44B19" w:rsidRDefault="00786CD2" w:rsidP="001E5B12">
      <w:pPr>
        <w:pStyle w:val="Stilius1"/>
        <w:rPr>
          <w:rFonts w:eastAsia="Calibri" w:cs="Times New Roman"/>
          <w:noProof/>
          <w:szCs w:val="20"/>
          <w:lang w:eastAsia="lt-LT" w:bidi="lt-LT"/>
        </w:rPr>
      </w:pPr>
      <w:r w:rsidRPr="00B44B19">
        <w:rPr>
          <w:rFonts w:cs="Times New Roman"/>
        </w:rPr>
        <w:t>Rodikliai</w:t>
      </w:r>
    </w:p>
    <w:p w14:paraId="42009013" w14:textId="77777777" w:rsidR="00786CD2" w:rsidRPr="00B44B19" w:rsidRDefault="00786CD2" w:rsidP="00344476">
      <w:pPr>
        <w:spacing w:before="240" w:after="0" w:line="240" w:lineRule="auto"/>
        <w:jc w:val="both"/>
        <w:rPr>
          <w:rFonts w:cs="Times New Roman"/>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5"/>
        <w:gridCol w:w="819"/>
        <w:gridCol w:w="965"/>
        <w:gridCol w:w="1241"/>
        <w:gridCol w:w="1795"/>
        <w:gridCol w:w="968"/>
        <w:gridCol w:w="980"/>
        <w:gridCol w:w="920"/>
      </w:tblGrid>
      <w:tr w:rsidR="001A35D3" w:rsidRPr="00B44B19" w14:paraId="18E88461" w14:textId="77777777" w:rsidTr="0095093F">
        <w:trPr>
          <w:trHeight w:val="684"/>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A3FDCC"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4C4D3A"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3BAD45"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730C01"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A05755"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 xml:space="preserve">Identifikavimo numeris </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4330F8"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BA72CF"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1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D34B6F"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01D22B" w14:textId="77777777" w:rsidR="001A35D3" w:rsidRPr="00B44B19" w:rsidRDefault="001A35D3" w:rsidP="00251C89">
            <w:pPr>
              <w:spacing w:after="0" w:line="240" w:lineRule="auto"/>
              <w:jc w:val="center"/>
              <w:rPr>
                <w:rFonts w:cs="Times New Roman"/>
                <w:b/>
                <w:noProof/>
                <w:sz w:val="16"/>
                <w:szCs w:val="16"/>
              </w:rPr>
            </w:pPr>
            <w:r w:rsidRPr="00B44B19">
              <w:rPr>
                <w:rFonts w:cs="Times New Roman"/>
                <w:b/>
                <w:noProof/>
                <w:sz w:val="16"/>
                <w:szCs w:val="16"/>
              </w:rPr>
              <w:t>Siek</w:t>
            </w:r>
            <w:r w:rsidR="00F83D1E" w:rsidRPr="00B44B19">
              <w:rPr>
                <w:rFonts w:cs="Times New Roman"/>
                <w:b/>
                <w:noProof/>
                <w:sz w:val="16"/>
                <w:szCs w:val="16"/>
              </w:rPr>
              <w:t>tina reikšmė</w:t>
            </w:r>
            <w:r w:rsidRPr="00B44B19">
              <w:rPr>
                <w:rFonts w:cs="Times New Roman"/>
                <w:b/>
                <w:noProof/>
                <w:sz w:val="16"/>
                <w:szCs w:val="16"/>
              </w:rPr>
              <w:t xml:space="preserve"> (2029 m.)</w:t>
            </w:r>
          </w:p>
        </w:tc>
      </w:tr>
      <w:tr w:rsidR="0011314E" w:rsidRPr="00B44B19" w14:paraId="083F34B6" w14:textId="77777777" w:rsidTr="00251C89">
        <w:trPr>
          <w:trHeight w:val="332"/>
        </w:trPr>
        <w:tc>
          <w:tcPr>
            <w:tcW w:w="497" w:type="pct"/>
            <w:vMerge w:val="restart"/>
            <w:tcBorders>
              <w:top w:val="single" w:sz="12" w:space="0" w:color="auto"/>
            </w:tcBorders>
          </w:tcPr>
          <w:p w14:paraId="2B2B3F07" w14:textId="77777777" w:rsidR="0011314E" w:rsidRPr="00B44B19" w:rsidRDefault="0011314E" w:rsidP="00251C89">
            <w:pPr>
              <w:spacing w:after="0" w:line="240" w:lineRule="auto"/>
              <w:jc w:val="both"/>
              <w:rPr>
                <w:rFonts w:cs="Times New Roman"/>
                <w:noProof/>
                <w:sz w:val="16"/>
                <w:szCs w:val="16"/>
              </w:rPr>
            </w:pPr>
            <w:r w:rsidRPr="00B44B19">
              <w:rPr>
                <w:rFonts w:cs="Times New Roman"/>
                <w:noProof/>
                <w:sz w:val="16"/>
                <w:szCs w:val="16"/>
              </w:rPr>
              <w:t>3. Geriau sujungta Lietuva</w:t>
            </w:r>
          </w:p>
        </w:tc>
        <w:tc>
          <w:tcPr>
            <w:tcW w:w="502" w:type="pct"/>
            <w:vMerge w:val="restart"/>
            <w:tcBorders>
              <w:top w:val="single" w:sz="12" w:space="0" w:color="auto"/>
            </w:tcBorders>
          </w:tcPr>
          <w:p w14:paraId="351DB574" w14:textId="77777777" w:rsidR="0011314E" w:rsidRPr="00B44B19" w:rsidRDefault="0011314E" w:rsidP="00251C89">
            <w:pPr>
              <w:spacing w:after="0" w:line="240" w:lineRule="auto"/>
              <w:jc w:val="both"/>
              <w:rPr>
                <w:rFonts w:cs="Times New Roman"/>
                <w:noProof/>
                <w:sz w:val="16"/>
                <w:szCs w:val="16"/>
              </w:rPr>
            </w:pPr>
            <w:r w:rsidRPr="00B44B19">
              <w:rPr>
                <w:rFonts w:cs="Times New Roman"/>
                <w:noProof/>
                <w:sz w:val="16"/>
                <w:szCs w:val="16"/>
              </w:rPr>
              <w:t>3.2.</w:t>
            </w:r>
          </w:p>
        </w:tc>
        <w:tc>
          <w:tcPr>
            <w:tcW w:w="426" w:type="pct"/>
            <w:vMerge w:val="restart"/>
            <w:tcBorders>
              <w:top w:val="single" w:sz="12" w:space="0" w:color="auto"/>
            </w:tcBorders>
          </w:tcPr>
          <w:p w14:paraId="4FC6E8AC" w14:textId="77777777" w:rsidR="0011314E" w:rsidRPr="00B44B19" w:rsidRDefault="0011314E" w:rsidP="00251C89">
            <w:pPr>
              <w:spacing w:after="0" w:line="240" w:lineRule="auto"/>
              <w:jc w:val="both"/>
              <w:rPr>
                <w:rFonts w:cs="Times New Roman"/>
                <w:noProof/>
                <w:sz w:val="16"/>
                <w:szCs w:val="16"/>
              </w:rPr>
            </w:pPr>
            <w:r w:rsidRPr="00B44B19">
              <w:rPr>
                <w:rFonts w:cs="Times New Roman"/>
                <w:noProof/>
                <w:sz w:val="16"/>
                <w:szCs w:val="16"/>
              </w:rPr>
              <w:t xml:space="preserve">ERPF </w:t>
            </w:r>
          </w:p>
        </w:tc>
        <w:tc>
          <w:tcPr>
            <w:tcW w:w="502" w:type="pct"/>
            <w:vMerge w:val="restart"/>
            <w:tcBorders>
              <w:top w:val="single" w:sz="12" w:space="0" w:color="auto"/>
            </w:tcBorders>
          </w:tcPr>
          <w:p w14:paraId="1CD8FDE8" w14:textId="77777777" w:rsidR="0011314E" w:rsidRPr="00B44B19" w:rsidRDefault="0011314E" w:rsidP="00251C89">
            <w:pPr>
              <w:spacing w:after="0" w:line="240" w:lineRule="auto"/>
              <w:rPr>
                <w:rFonts w:cs="Times New Roman"/>
                <w:noProof/>
                <w:sz w:val="16"/>
                <w:szCs w:val="16"/>
              </w:rPr>
            </w:pPr>
            <w:r w:rsidRPr="00B44B19">
              <w:rPr>
                <w:rFonts w:cs="Times New Roman"/>
                <w:noProof/>
                <w:sz w:val="16"/>
                <w:szCs w:val="16"/>
              </w:rPr>
              <w:t>VVL regionas</w:t>
            </w:r>
          </w:p>
        </w:tc>
        <w:tc>
          <w:tcPr>
            <w:tcW w:w="646" w:type="pct"/>
            <w:tcBorders>
              <w:top w:val="single" w:sz="12" w:space="0" w:color="auto"/>
            </w:tcBorders>
          </w:tcPr>
          <w:p w14:paraId="4B916494" w14:textId="77777777" w:rsidR="0011314E" w:rsidRPr="00B44B19" w:rsidRDefault="0011314E" w:rsidP="00251C89">
            <w:pPr>
              <w:spacing w:after="0" w:line="240" w:lineRule="auto"/>
              <w:jc w:val="both"/>
              <w:rPr>
                <w:rFonts w:cs="Times New Roman"/>
                <w:noProof/>
                <w:sz w:val="16"/>
                <w:szCs w:val="16"/>
              </w:rPr>
            </w:pPr>
            <w:r w:rsidRPr="00B44B19">
              <w:rPr>
                <w:rFonts w:cs="Times New Roman"/>
                <w:noProof/>
                <w:sz w:val="16"/>
                <w:szCs w:val="16"/>
                <w:lang w:bidi="lt-LT"/>
              </w:rPr>
              <w:t>RCO46</w:t>
            </w:r>
          </w:p>
        </w:tc>
        <w:tc>
          <w:tcPr>
            <w:tcW w:w="934" w:type="pct"/>
            <w:tcBorders>
              <w:top w:val="single" w:sz="12" w:space="0" w:color="auto"/>
            </w:tcBorders>
          </w:tcPr>
          <w:p w14:paraId="23CC5D8E" w14:textId="77777777" w:rsidR="0011314E" w:rsidRPr="00B44B19" w:rsidRDefault="0011314E" w:rsidP="00251C89">
            <w:pPr>
              <w:tabs>
                <w:tab w:val="left" w:pos="1276"/>
              </w:tabs>
              <w:spacing w:after="0" w:line="240" w:lineRule="auto"/>
              <w:rPr>
                <w:rFonts w:cs="Times New Roman"/>
                <w:noProof/>
                <w:sz w:val="16"/>
                <w:szCs w:val="16"/>
              </w:rPr>
            </w:pPr>
            <w:r w:rsidRPr="00B44B19">
              <w:rPr>
                <w:rFonts w:cs="Times New Roman"/>
                <w:noProof/>
                <w:sz w:val="16"/>
                <w:szCs w:val="16"/>
              </w:rPr>
              <w:t>Rekonstruotų arba modernizuotų kelių ilgis – ne TEN-T</w:t>
            </w:r>
          </w:p>
        </w:tc>
        <w:tc>
          <w:tcPr>
            <w:tcW w:w="504" w:type="pct"/>
            <w:tcBorders>
              <w:top w:val="single" w:sz="12" w:space="0" w:color="auto"/>
            </w:tcBorders>
          </w:tcPr>
          <w:p w14:paraId="722DD79D" w14:textId="77777777" w:rsidR="0011314E" w:rsidRPr="00B44B19" w:rsidRDefault="0011314E" w:rsidP="00251C89">
            <w:pPr>
              <w:spacing w:after="0" w:line="240" w:lineRule="auto"/>
              <w:jc w:val="both"/>
              <w:rPr>
                <w:rFonts w:cs="Times New Roman"/>
                <w:bCs/>
                <w:iCs/>
                <w:noProof/>
                <w:sz w:val="16"/>
                <w:szCs w:val="16"/>
              </w:rPr>
            </w:pPr>
            <w:r w:rsidRPr="00B44B19">
              <w:rPr>
                <w:rFonts w:cs="Times New Roman"/>
                <w:bCs/>
                <w:iCs/>
                <w:noProof/>
                <w:sz w:val="16"/>
                <w:szCs w:val="16"/>
              </w:rPr>
              <w:t>Km</w:t>
            </w:r>
          </w:p>
        </w:tc>
        <w:tc>
          <w:tcPr>
            <w:tcW w:w="510" w:type="pct"/>
            <w:tcBorders>
              <w:top w:val="single" w:sz="12" w:space="0" w:color="auto"/>
            </w:tcBorders>
          </w:tcPr>
          <w:p w14:paraId="63B5A9BA" w14:textId="77777777" w:rsidR="0011314E" w:rsidRPr="00B44B19" w:rsidRDefault="0011314E" w:rsidP="00251C89">
            <w:pPr>
              <w:spacing w:after="0" w:line="240" w:lineRule="auto"/>
              <w:jc w:val="center"/>
              <w:rPr>
                <w:rFonts w:cs="Times New Roman"/>
                <w:bCs/>
                <w:noProof/>
                <w:sz w:val="16"/>
                <w:szCs w:val="16"/>
                <w:highlight w:val="yellow"/>
              </w:rPr>
            </w:pPr>
            <w:r w:rsidRPr="00B44B19">
              <w:rPr>
                <w:rFonts w:cs="Times New Roman"/>
                <w:bCs/>
                <w:noProof/>
                <w:sz w:val="16"/>
                <w:szCs w:val="16"/>
              </w:rPr>
              <w:t>15,23</w:t>
            </w:r>
          </w:p>
        </w:tc>
        <w:tc>
          <w:tcPr>
            <w:tcW w:w="479" w:type="pct"/>
            <w:tcBorders>
              <w:top w:val="single" w:sz="12" w:space="0" w:color="auto"/>
            </w:tcBorders>
          </w:tcPr>
          <w:p w14:paraId="4B3D42F9" w14:textId="77777777" w:rsidR="0011314E" w:rsidRPr="00B44B19" w:rsidRDefault="0011314E" w:rsidP="00251C89">
            <w:pPr>
              <w:spacing w:after="0" w:line="240" w:lineRule="auto"/>
              <w:jc w:val="center"/>
              <w:rPr>
                <w:rFonts w:cs="Times New Roman"/>
                <w:bCs/>
                <w:noProof/>
                <w:sz w:val="16"/>
                <w:szCs w:val="16"/>
                <w:highlight w:val="yellow"/>
              </w:rPr>
            </w:pPr>
            <w:r w:rsidRPr="00B44B19">
              <w:rPr>
                <w:rFonts w:cs="Times New Roman"/>
                <w:bCs/>
                <w:noProof/>
                <w:sz w:val="16"/>
                <w:szCs w:val="16"/>
              </w:rPr>
              <w:t>60,67</w:t>
            </w:r>
          </w:p>
        </w:tc>
      </w:tr>
      <w:tr w:rsidR="0011314E" w:rsidRPr="00B44B19" w14:paraId="0650E03F" w14:textId="77777777" w:rsidTr="00251C89">
        <w:trPr>
          <w:trHeight w:val="332"/>
        </w:trPr>
        <w:tc>
          <w:tcPr>
            <w:tcW w:w="497" w:type="pct"/>
            <w:vMerge/>
          </w:tcPr>
          <w:p w14:paraId="7BD5CCF5"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5424BE9A" w14:textId="77777777" w:rsidR="0011314E" w:rsidRPr="00B44B19" w:rsidRDefault="0011314E" w:rsidP="00251C89">
            <w:pPr>
              <w:spacing w:after="0" w:line="240" w:lineRule="auto"/>
              <w:jc w:val="both"/>
              <w:rPr>
                <w:rFonts w:cs="Times New Roman"/>
                <w:noProof/>
                <w:sz w:val="16"/>
                <w:szCs w:val="16"/>
              </w:rPr>
            </w:pPr>
          </w:p>
        </w:tc>
        <w:tc>
          <w:tcPr>
            <w:tcW w:w="426" w:type="pct"/>
            <w:vMerge/>
          </w:tcPr>
          <w:p w14:paraId="20B0ED7E"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3E93C28E" w14:textId="77777777" w:rsidR="0011314E" w:rsidRPr="00B44B19" w:rsidRDefault="0011314E" w:rsidP="00251C89">
            <w:pPr>
              <w:spacing w:after="0" w:line="240" w:lineRule="auto"/>
              <w:jc w:val="both"/>
              <w:rPr>
                <w:rFonts w:cs="Times New Roman"/>
                <w:noProof/>
                <w:sz w:val="16"/>
                <w:szCs w:val="16"/>
              </w:rPr>
            </w:pPr>
          </w:p>
        </w:tc>
        <w:tc>
          <w:tcPr>
            <w:tcW w:w="646" w:type="pct"/>
          </w:tcPr>
          <w:p w14:paraId="459B9BE0" w14:textId="77777777" w:rsidR="0011314E" w:rsidRPr="00B44B19" w:rsidRDefault="0011314E" w:rsidP="00251C89">
            <w:pPr>
              <w:spacing w:after="0" w:line="240" w:lineRule="auto"/>
              <w:jc w:val="both"/>
              <w:rPr>
                <w:rFonts w:eastAsia="Calibri" w:cs="Times New Roman"/>
                <w:sz w:val="16"/>
                <w:szCs w:val="16"/>
                <w:lang w:val="en-US" w:eastAsia="en-GB" w:bidi="lt-LT"/>
              </w:rPr>
            </w:pPr>
            <w:r w:rsidRPr="00B44B19">
              <w:rPr>
                <w:rFonts w:eastAsia="Calibri" w:cs="Times New Roman"/>
                <w:sz w:val="16"/>
                <w:szCs w:val="16"/>
                <w:lang w:eastAsia="en-GB" w:bidi="lt-LT"/>
              </w:rPr>
              <w:t>Specialusis</w:t>
            </w:r>
          </w:p>
        </w:tc>
        <w:tc>
          <w:tcPr>
            <w:tcW w:w="934" w:type="pct"/>
          </w:tcPr>
          <w:p w14:paraId="7DB7B57D" w14:textId="77777777" w:rsidR="0011314E" w:rsidRPr="00B44B19" w:rsidRDefault="0011314E" w:rsidP="00543783">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Įdiegtos saugų eismą gerinančios priemonės vietinės reikšmės keliuose (gatvėse)</w:t>
            </w:r>
          </w:p>
        </w:tc>
        <w:tc>
          <w:tcPr>
            <w:tcW w:w="504" w:type="pct"/>
          </w:tcPr>
          <w:p w14:paraId="0BBA89CE" w14:textId="77777777" w:rsidR="0011314E" w:rsidRPr="00B44B19" w:rsidRDefault="0011314E" w:rsidP="00251C89">
            <w:pPr>
              <w:spacing w:after="0" w:line="240" w:lineRule="auto"/>
              <w:jc w:val="both"/>
              <w:rPr>
                <w:rFonts w:cs="Times New Roman"/>
                <w:bCs/>
                <w:iCs/>
                <w:noProof/>
                <w:sz w:val="16"/>
                <w:szCs w:val="16"/>
              </w:rPr>
            </w:pPr>
            <w:r w:rsidRPr="00B44B19">
              <w:rPr>
                <w:rFonts w:cs="Times New Roman"/>
                <w:bCs/>
                <w:iCs/>
                <w:noProof/>
                <w:sz w:val="16"/>
                <w:szCs w:val="16"/>
              </w:rPr>
              <w:t>Skaičius</w:t>
            </w:r>
          </w:p>
        </w:tc>
        <w:tc>
          <w:tcPr>
            <w:tcW w:w="510" w:type="pct"/>
          </w:tcPr>
          <w:p w14:paraId="0E454E06" w14:textId="77777777" w:rsidR="0011314E" w:rsidRPr="00B44B19" w:rsidRDefault="0011314E" w:rsidP="00251C89">
            <w:pPr>
              <w:spacing w:after="0" w:line="240" w:lineRule="auto"/>
              <w:jc w:val="center"/>
              <w:rPr>
                <w:rFonts w:cs="Times New Roman"/>
                <w:bCs/>
                <w:noProof/>
                <w:sz w:val="16"/>
                <w:szCs w:val="16"/>
              </w:rPr>
            </w:pPr>
            <w:r w:rsidRPr="00B44B19">
              <w:rPr>
                <w:rFonts w:cs="Times New Roman"/>
                <w:bCs/>
                <w:noProof/>
                <w:sz w:val="16"/>
                <w:szCs w:val="16"/>
              </w:rPr>
              <w:t>3</w:t>
            </w:r>
          </w:p>
        </w:tc>
        <w:tc>
          <w:tcPr>
            <w:tcW w:w="479" w:type="pct"/>
          </w:tcPr>
          <w:p w14:paraId="13CEF9C6" w14:textId="007715FF" w:rsidR="0011314E" w:rsidRPr="00B44B19" w:rsidRDefault="00742D18" w:rsidP="00251C89">
            <w:pPr>
              <w:spacing w:after="0" w:line="240" w:lineRule="auto"/>
              <w:jc w:val="center"/>
              <w:rPr>
                <w:rFonts w:cs="Times New Roman"/>
                <w:bCs/>
                <w:noProof/>
                <w:sz w:val="16"/>
                <w:szCs w:val="16"/>
              </w:rPr>
            </w:pPr>
            <w:r w:rsidRPr="00B44B19">
              <w:rPr>
                <w:rFonts w:cs="Times New Roman"/>
                <w:bCs/>
                <w:noProof/>
                <w:sz w:val="16"/>
                <w:szCs w:val="16"/>
              </w:rPr>
              <w:t>9</w:t>
            </w:r>
          </w:p>
        </w:tc>
      </w:tr>
      <w:tr w:rsidR="0011314E" w:rsidRPr="00B44B19" w14:paraId="54DCF055" w14:textId="77777777" w:rsidTr="00251C89">
        <w:trPr>
          <w:trHeight w:val="332"/>
        </w:trPr>
        <w:tc>
          <w:tcPr>
            <w:tcW w:w="497" w:type="pct"/>
            <w:vMerge/>
          </w:tcPr>
          <w:p w14:paraId="67B79704"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09297542" w14:textId="77777777" w:rsidR="0011314E" w:rsidRPr="00B44B19" w:rsidRDefault="0011314E" w:rsidP="00251C89">
            <w:pPr>
              <w:spacing w:after="0" w:line="240" w:lineRule="auto"/>
              <w:jc w:val="both"/>
              <w:rPr>
                <w:rFonts w:cs="Times New Roman"/>
                <w:noProof/>
                <w:sz w:val="16"/>
                <w:szCs w:val="16"/>
              </w:rPr>
            </w:pPr>
          </w:p>
        </w:tc>
        <w:tc>
          <w:tcPr>
            <w:tcW w:w="426" w:type="pct"/>
            <w:vMerge/>
          </w:tcPr>
          <w:p w14:paraId="168421AC"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660C7BE7" w14:textId="77777777" w:rsidR="0011314E" w:rsidRPr="00B44B19" w:rsidRDefault="0011314E" w:rsidP="00251C89">
            <w:pPr>
              <w:spacing w:after="0" w:line="240" w:lineRule="auto"/>
              <w:jc w:val="both"/>
              <w:rPr>
                <w:rFonts w:cs="Times New Roman"/>
                <w:noProof/>
                <w:sz w:val="16"/>
                <w:szCs w:val="16"/>
              </w:rPr>
            </w:pPr>
          </w:p>
        </w:tc>
        <w:tc>
          <w:tcPr>
            <w:tcW w:w="646" w:type="pct"/>
          </w:tcPr>
          <w:p w14:paraId="07FA4482" w14:textId="77777777" w:rsidR="0011314E" w:rsidRPr="00B44B19" w:rsidRDefault="0011314E" w:rsidP="00251C89">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RCO58</w:t>
            </w:r>
          </w:p>
        </w:tc>
        <w:tc>
          <w:tcPr>
            <w:tcW w:w="934" w:type="pct"/>
          </w:tcPr>
          <w:p w14:paraId="2722DECF" w14:textId="77777777" w:rsidR="0011314E" w:rsidRPr="00B44B19" w:rsidRDefault="0011314E" w:rsidP="00251C89">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Dviračiams skirta infrastruktūra, kuriai suteikta parama</w:t>
            </w:r>
          </w:p>
        </w:tc>
        <w:tc>
          <w:tcPr>
            <w:tcW w:w="504" w:type="pct"/>
          </w:tcPr>
          <w:p w14:paraId="7FCA6BC9" w14:textId="77777777" w:rsidR="0011314E" w:rsidRPr="00B44B19" w:rsidRDefault="0011314E" w:rsidP="00251C89">
            <w:pPr>
              <w:spacing w:after="0" w:line="240" w:lineRule="auto"/>
              <w:jc w:val="both"/>
              <w:rPr>
                <w:rFonts w:cs="Times New Roman"/>
                <w:bCs/>
                <w:iCs/>
                <w:noProof/>
                <w:sz w:val="16"/>
                <w:szCs w:val="16"/>
              </w:rPr>
            </w:pPr>
            <w:r w:rsidRPr="00B44B19">
              <w:rPr>
                <w:rFonts w:cs="Times New Roman"/>
                <w:bCs/>
                <w:iCs/>
                <w:noProof/>
                <w:sz w:val="16"/>
                <w:szCs w:val="16"/>
              </w:rPr>
              <w:t>Km</w:t>
            </w:r>
          </w:p>
        </w:tc>
        <w:tc>
          <w:tcPr>
            <w:tcW w:w="510" w:type="pct"/>
          </w:tcPr>
          <w:p w14:paraId="1395EDE4" w14:textId="77777777" w:rsidR="0011314E" w:rsidRPr="00B44B19" w:rsidRDefault="0011314E" w:rsidP="00251C89">
            <w:pPr>
              <w:spacing w:after="0" w:line="240" w:lineRule="auto"/>
              <w:jc w:val="center"/>
              <w:rPr>
                <w:rFonts w:cs="Times New Roman"/>
                <w:bCs/>
                <w:noProof/>
                <w:sz w:val="16"/>
                <w:szCs w:val="16"/>
              </w:rPr>
            </w:pPr>
            <w:r w:rsidRPr="00B44B19">
              <w:rPr>
                <w:rFonts w:cs="Times New Roman"/>
                <w:bCs/>
                <w:noProof/>
                <w:sz w:val="16"/>
                <w:szCs w:val="16"/>
              </w:rPr>
              <w:t>14,71</w:t>
            </w:r>
          </w:p>
        </w:tc>
        <w:tc>
          <w:tcPr>
            <w:tcW w:w="479" w:type="pct"/>
          </w:tcPr>
          <w:p w14:paraId="79D3FEA5" w14:textId="73937F32" w:rsidR="0011314E" w:rsidRPr="00B44B19" w:rsidRDefault="00742D18" w:rsidP="00251C89">
            <w:pPr>
              <w:spacing w:after="0" w:line="240" w:lineRule="auto"/>
              <w:jc w:val="center"/>
              <w:rPr>
                <w:rFonts w:cs="Times New Roman"/>
                <w:bCs/>
                <w:noProof/>
                <w:sz w:val="16"/>
                <w:szCs w:val="16"/>
              </w:rPr>
            </w:pPr>
            <w:r w:rsidRPr="00B44B19">
              <w:rPr>
                <w:rFonts w:cs="Times New Roman"/>
                <w:bCs/>
                <w:noProof/>
                <w:sz w:val="16"/>
                <w:szCs w:val="16"/>
              </w:rPr>
              <w:t>30,59</w:t>
            </w:r>
          </w:p>
        </w:tc>
      </w:tr>
      <w:tr w:rsidR="0011314E" w:rsidRPr="00B44B19" w14:paraId="32B1F416" w14:textId="77777777" w:rsidTr="00251C89">
        <w:trPr>
          <w:trHeight w:val="332"/>
        </w:trPr>
        <w:tc>
          <w:tcPr>
            <w:tcW w:w="497" w:type="pct"/>
            <w:vMerge/>
          </w:tcPr>
          <w:p w14:paraId="3AFCD867"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1106B3FF" w14:textId="77777777" w:rsidR="0011314E" w:rsidRPr="00B44B19" w:rsidRDefault="0011314E" w:rsidP="00251C89">
            <w:pPr>
              <w:spacing w:after="0" w:line="240" w:lineRule="auto"/>
              <w:jc w:val="both"/>
              <w:rPr>
                <w:rFonts w:cs="Times New Roman"/>
                <w:noProof/>
                <w:sz w:val="16"/>
                <w:szCs w:val="16"/>
              </w:rPr>
            </w:pPr>
          </w:p>
        </w:tc>
        <w:tc>
          <w:tcPr>
            <w:tcW w:w="426" w:type="pct"/>
            <w:vMerge/>
          </w:tcPr>
          <w:p w14:paraId="4934098A"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6C5ECD0B" w14:textId="77777777" w:rsidR="0011314E" w:rsidRPr="00B44B19" w:rsidRDefault="0011314E" w:rsidP="00251C89">
            <w:pPr>
              <w:spacing w:after="0" w:line="240" w:lineRule="auto"/>
              <w:jc w:val="both"/>
              <w:rPr>
                <w:rFonts w:cs="Times New Roman"/>
                <w:noProof/>
                <w:sz w:val="16"/>
                <w:szCs w:val="16"/>
              </w:rPr>
            </w:pPr>
          </w:p>
        </w:tc>
        <w:tc>
          <w:tcPr>
            <w:tcW w:w="646" w:type="pct"/>
          </w:tcPr>
          <w:p w14:paraId="0BED1E01" w14:textId="77777777" w:rsidR="0011314E" w:rsidRPr="00B44B19" w:rsidRDefault="0011314E" w:rsidP="00251C89">
            <w:pPr>
              <w:spacing w:after="0" w:line="240" w:lineRule="auto"/>
              <w:jc w:val="both"/>
              <w:rPr>
                <w:rFonts w:eastAsia="Calibri" w:cs="Times New Roman"/>
                <w:sz w:val="16"/>
                <w:szCs w:val="16"/>
                <w:lang w:eastAsia="en-GB" w:bidi="lt-LT"/>
              </w:rPr>
            </w:pPr>
            <w:r w:rsidRPr="00B44B19">
              <w:rPr>
                <w:rFonts w:cs="Times New Roman"/>
                <w:sz w:val="16"/>
                <w:szCs w:val="16"/>
                <w:lang w:eastAsia="en-GB"/>
              </w:rPr>
              <w:t>RCO74</w:t>
            </w:r>
          </w:p>
        </w:tc>
        <w:tc>
          <w:tcPr>
            <w:tcW w:w="934" w:type="pct"/>
          </w:tcPr>
          <w:p w14:paraId="22A4BB58" w14:textId="77777777" w:rsidR="0011314E" w:rsidRPr="00B44B19" w:rsidRDefault="0011314E" w:rsidP="00251C89">
            <w:pPr>
              <w:spacing w:after="0" w:line="240" w:lineRule="auto"/>
              <w:rPr>
                <w:rFonts w:eastAsia="Calibri" w:cs="Times New Roman"/>
                <w:sz w:val="16"/>
                <w:szCs w:val="16"/>
                <w:lang w:eastAsia="en-GB" w:bidi="lt-LT"/>
              </w:rPr>
            </w:pPr>
            <w:r w:rsidRPr="00B44B19">
              <w:rPr>
                <w:rFonts w:cs="Times New Roman"/>
                <w:sz w:val="16"/>
                <w:szCs w:val="16"/>
                <w:lang w:eastAsia="en-GB"/>
              </w:rPr>
              <w:t>Gyventojai, kuriems taikomi projektai, vykdomi pagal integruotas teritorinio vystymo programas</w:t>
            </w:r>
          </w:p>
        </w:tc>
        <w:tc>
          <w:tcPr>
            <w:tcW w:w="504" w:type="pct"/>
          </w:tcPr>
          <w:p w14:paraId="24B3F48A" w14:textId="77777777" w:rsidR="0011314E" w:rsidRPr="00B44B19" w:rsidRDefault="0011314E" w:rsidP="00251C89">
            <w:pPr>
              <w:spacing w:after="0" w:line="240" w:lineRule="auto"/>
              <w:jc w:val="both"/>
              <w:rPr>
                <w:rFonts w:cs="Times New Roman"/>
                <w:bCs/>
                <w:iCs/>
                <w:noProof/>
                <w:sz w:val="16"/>
                <w:szCs w:val="16"/>
              </w:rPr>
            </w:pPr>
            <w:r w:rsidRPr="00B44B19">
              <w:rPr>
                <w:rFonts w:cs="Times New Roman"/>
                <w:noProof/>
                <w:sz w:val="16"/>
                <w:szCs w:val="16"/>
              </w:rPr>
              <w:t>Asmenys</w:t>
            </w:r>
          </w:p>
        </w:tc>
        <w:tc>
          <w:tcPr>
            <w:tcW w:w="510" w:type="pct"/>
          </w:tcPr>
          <w:p w14:paraId="26B9163F" w14:textId="77777777" w:rsidR="0011314E" w:rsidRPr="00B44B19" w:rsidRDefault="0011314E" w:rsidP="00251C89">
            <w:pPr>
              <w:spacing w:after="0" w:line="240" w:lineRule="auto"/>
              <w:jc w:val="center"/>
              <w:rPr>
                <w:rFonts w:cs="Times New Roman"/>
                <w:bCs/>
                <w:noProof/>
                <w:sz w:val="16"/>
                <w:szCs w:val="16"/>
              </w:rPr>
            </w:pPr>
            <w:r w:rsidRPr="00B44B19">
              <w:rPr>
                <w:rFonts w:cs="Times New Roman"/>
                <w:sz w:val="16"/>
                <w:szCs w:val="16"/>
              </w:rPr>
              <w:t xml:space="preserve"> 0</w:t>
            </w:r>
          </w:p>
        </w:tc>
        <w:tc>
          <w:tcPr>
            <w:tcW w:w="479" w:type="pct"/>
          </w:tcPr>
          <w:p w14:paraId="259726A3" w14:textId="77777777" w:rsidR="0011314E" w:rsidRPr="00B44B19" w:rsidRDefault="0011314E" w:rsidP="00251C89">
            <w:pPr>
              <w:spacing w:after="0" w:line="240" w:lineRule="auto"/>
              <w:jc w:val="center"/>
              <w:rPr>
                <w:rFonts w:cs="Times New Roman"/>
                <w:bCs/>
                <w:noProof/>
                <w:sz w:val="16"/>
                <w:szCs w:val="16"/>
              </w:rPr>
            </w:pPr>
            <w:r w:rsidRPr="00B44B19">
              <w:rPr>
                <w:rFonts w:cs="Times New Roman"/>
                <w:bCs/>
                <w:noProof/>
                <w:sz w:val="16"/>
                <w:szCs w:val="16"/>
              </w:rPr>
              <w:t>189 906</w:t>
            </w:r>
          </w:p>
        </w:tc>
      </w:tr>
      <w:tr w:rsidR="0011314E" w:rsidRPr="00B44B19" w14:paraId="25618A48" w14:textId="77777777" w:rsidTr="00251C89">
        <w:trPr>
          <w:trHeight w:val="332"/>
        </w:trPr>
        <w:tc>
          <w:tcPr>
            <w:tcW w:w="497" w:type="pct"/>
            <w:vMerge/>
          </w:tcPr>
          <w:p w14:paraId="6FEDC4A9"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0F9E6AFA" w14:textId="77777777" w:rsidR="0011314E" w:rsidRPr="00B44B19" w:rsidRDefault="0011314E" w:rsidP="00251C89">
            <w:pPr>
              <w:spacing w:after="0" w:line="240" w:lineRule="auto"/>
              <w:jc w:val="both"/>
              <w:rPr>
                <w:rFonts w:cs="Times New Roman"/>
                <w:noProof/>
                <w:sz w:val="16"/>
                <w:szCs w:val="16"/>
              </w:rPr>
            </w:pPr>
          </w:p>
        </w:tc>
        <w:tc>
          <w:tcPr>
            <w:tcW w:w="426" w:type="pct"/>
            <w:vMerge/>
          </w:tcPr>
          <w:p w14:paraId="4B7ABBBB" w14:textId="77777777" w:rsidR="0011314E" w:rsidRPr="00B44B19" w:rsidRDefault="0011314E" w:rsidP="00251C89">
            <w:pPr>
              <w:spacing w:after="0" w:line="240" w:lineRule="auto"/>
              <w:jc w:val="both"/>
              <w:rPr>
                <w:rFonts w:cs="Times New Roman"/>
                <w:noProof/>
                <w:sz w:val="16"/>
                <w:szCs w:val="16"/>
              </w:rPr>
            </w:pPr>
          </w:p>
        </w:tc>
        <w:tc>
          <w:tcPr>
            <w:tcW w:w="502" w:type="pct"/>
            <w:vMerge/>
          </w:tcPr>
          <w:p w14:paraId="3E80D6A4" w14:textId="77777777" w:rsidR="0011314E" w:rsidRPr="00B44B19" w:rsidRDefault="0011314E" w:rsidP="00251C89">
            <w:pPr>
              <w:spacing w:after="0" w:line="240" w:lineRule="auto"/>
              <w:jc w:val="both"/>
              <w:rPr>
                <w:rFonts w:cs="Times New Roman"/>
                <w:noProof/>
                <w:sz w:val="16"/>
                <w:szCs w:val="16"/>
              </w:rPr>
            </w:pPr>
          </w:p>
        </w:tc>
        <w:tc>
          <w:tcPr>
            <w:tcW w:w="646" w:type="pct"/>
          </w:tcPr>
          <w:p w14:paraId="6FB72605" w14:textId="77777777" w:rsidR="0011314E" w:rsidRPr="00B44B19" w:rsidRDefault="0011314E" w:rsidP="00251C89">
            <w:pPr>
              <w:spacing w:after="0" w:line="240" w:lineRule="auto"/>
              <w:jc w:val="both"/>
              <w:rPr>
                <w:rFonts w:eastAsia="Calibri" w:cs="Times New Roman"/>
                <w:sz w:val="16"/>
                <w:szCs w:val="16"/>
                <w:lang w:eastAsia="en-GB" w:bidi="lt-LT"/>
              </w:rPr>
            </w:pPr>
            <w:r w:rsidRPr="00B44B19">
              <w:rPr>
                <w:rFonts w:cs="Times New Roman"/>
                <w:bCs/>
                <w:noProof/>
                <w:sz w:val="16"/>
                <w:szCs w:val="16"/>
              </w:rPr>
              <w:t>RCO75</w:t>
            </w:r>
          </w:p>
        </w:tc>
        <w:tc>
          <w:tcPr>
            <w:tcW w:w="934" w:type="pct"/>
          </w:tcPr>
          <w:p w14:paraId="603A82DA" w14:textId="77777777" w:rsidR="0011314E" w:rsidRPr="00B44B19" w:rsidRDefault="0011314E" w:rsidP="00251C89">
            <w:pPr>
              <w:spacing w:after="0" w:line="240" w:lineRule="auto"/>
              <w:rPr>
                <w:rFonts w:eastAsia="Calibri" w:cs="Times New Roman"/>
                <w:sz w:val="16"/>
                <w:szCs w:val="16"/>
                <w:lang w:eastAsia="en-GB" w:bidi="lt-LT"/>
              </w:rPr>
            </w:pPr>
            <w:r w:rsidRPr="00B44B19">
              <w:rPr>
                <w:rFonts w:cs="Times New Roman"/>
                <w:sz w:val="16"/>
                <w:szCs w:val="16"/>
              </w:rPr>
              <w:t>Integruotos teritorinio vystymo strategijos, kurioms suteikta parama</w:t>
            </w:r>
          </w:p>
        </w:tc>
        <w:tc>
          <w:tcPr>
            <w:tcW w:w="504" w:type="pct"/>
          </w:tcPr>
          <w:p w14:paraId="3FBADAE8" w14:textId="77777777" w:rsidR="0011314E" w:rsidRPr="00B44B19" w:rsidRDefault="0011314E" w:rsidP="00251C89">
            <w:pPr>
              <w:spacing w:after="0" w:line="240" w:lineRule="auto"/>
              <w:jc w:val="both"/>
              <w:rPr>
                <w:rFonts w:cs="Times New Roman"/>
                <w:bCs/>
                <w:iCs/>
                <w:noProof/>
                <w:sz w:val="16"/>
                <w:szCs w:val="16"/>
              </w:rPr>
            </w:pPr>
            <w:r w:rsidRPr="00B44B19">
              <w:rPr>
                <w:rFonts w:cs="Times New Roman"/>
                <w:noProof/>
                <w:sz w:val="16"/>
                <w:szCs w:val="16"/>
              </w:rPr>
              <w:t>Indėlis į strategijas</w:t>
            </w:r>
          </w:p>
        </w:tc>
        <w:tc>
          <w:tcPr>
            <w:tcW w:w="510" w:type="pct"/>
          </w:tcPr>
          <w:p w14:paraId="7E6CDDD4" w14:textId="77777777" w:rsidR="0011314E" w:rsidRPr="00B44B19" w:rsidRDefault="0011314E" w:rsidP="00251C89">
            <w:pPr>
              <w:spacing w:after="0" w:line="240" w:lineRule="auto"/>
              <w:jc w:val="center"/>
              <w:rPr>
                <w:rFonts w:cs="Times New Roman"/>
                <w:bCs/>
                <w:noProof/>
                <w:sz w:val="16"/>
                <w:szCs w:val="16"/>
              </w:rPr>
            </w:pPr>
            <w:r w:rsidRPr="00B44B19">
              <w:rPr>
                <w:rFonts w:cs="Times New Roman"/>
                <w:sz w:val="16"/>
                <w:szCs w:val="16"/>
              </w:rPr>
              <w:t>0</w:t>
            </w:r>
          </w:p>
        </w:tc>
        <w:tc>
          <w:tcPr>
            <w:tcW w:w="479" w:type="pct"/>
          </w:tcPr>
          <w:p w14:paraId="31870F45" w14:textId="77777777" w:rsidR="0011314E" w:rsidRPr="00B44B19" w:rsidRDefault="0011314E" w:rsidP="00251C89">
            <w:pPr>
              <w:spacing w:after="0" w:line="240" w:lineRule="auto"/>
              <w:jc w:val="center"/>
              <w:rPr>
                <w:rFonts w:cs="Times New Roman"/>
                <w:bCs/>
                <w:noProof/>
                <w:sz w:val="16"/>
                <w:szCs w:val="16"/>
              </w:rPr>
            </w:pPr>
            <w:r w:rsidRPr="00B44B19">
              <w:rPr>
                <w:rFonts w:cs="Times New Roman"/>
                <w:bCs/>
                <w:noProof/>
                <w:sz w:val="16"/>
                <w:szCs w:val="16"/>
              </w:rPr>
              <w:t>2</w:t>
            </w:r>
          </w:p>
        </w:tc>
      </w:tr>
    </w:tbl>
    <w:p w14:paraId="2A02B92F" w14:textId="77777777" w:rsidR="00786CD2" w:rsidRPr="00B44B19" w:rsidRDefault="00786CD2" w:rsidP="00786CD2">
      <w:pPr>
        <w:spacing w:after="0" w:line="240" w:lineRule="auto"/>
        <w:rPr>
          <w:rFonts w:cs="Times New Roman"/>
          <w:szCs w:val="24"/>
        </w:rPr>
      </w:pPr>
    </w:p>
    <w:p w14:paraId="45870F6C" w14:textId="77777777" w:rsidR="00CC2709" w:rsidRPr="00B44B19" w:rsidRDefault="00CC2709" w:rsidP="00786CD2">
      <w:pPr>
        <w:spacing w:after="0" w:line="240" w:lineRule="auto"/>
        <w:rPr>
          <w:rFonts w:cs="Times New Roman"/>
          <w:b/>
          <w:sz w:val="20"/>
          <w:szCs w:val="24"/>
        </w:rPr>
        <w:sectPr w:rsidR="00CC2709" w:rsidRPr="00B44B19" w:rsidSect="00931C78">
          <w:pgSz w:w="11906" w:h="16838"/>
          <w:pgMar w:top="1276" w:right="567" w:bottom="1134" w:left="1701" w:header="567" w:footer="567" w:gutter="0"/>
          <w:cols w:space="1296"/>
          <w:docGrid w:linePitch="360"/>
        </w:sectPr>
      </w:pPr>
    </w:p>
    <w:p w14:paraId="696789C8" w14:textId="77777777" w:rsidR="00786CD2" w:rsidRPr="00B44B19" w:rsidRDefault="00786CD2" w:rsidP="00786CD2">
      <w:pPr>
        <w:spacing w:after="0" w:line="240" w:lineRule="auto"/>
        <w:rPr>
          <w:rFonts w:cs="Times New Roman"/>
          <w:szCs w:val="24"/>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75"/>
        <w:gridCol w:w="838"/>
        <w:gridCol w:w="975"/>
        <w:gridCol w:w="1255"/>
        <w:gridCol w:w="3208"/>
        <w:gridCol w:w="1252"/>
        <w:gridCol w:w="1115"/>
        <w:gridCol w:w="1115"/>
        <w:gridCol w:w="1115"/>
        <w:gridCol w:w="1118"/>
        <w:gridCol w:w="957"/>
      </w:tblGrid>
      <w:tr w:rsidR="00B108E3" w:rsidRPr="00B44B19" w14:paraId="3566D773" w14:textId="77777777" w:rsidTr="00A74AFA">
        <w:trPr>
          <w:trHeight w:val="872"/>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1DBEE8"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31B0C9"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57D514"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9633BC"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4B9A79"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71F25E"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6BD4E5"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D31960"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815CF4"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D7D7C2"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Siek</w:t>
            </w:r>
            <w:r w:rsidR="00F83D1E" w:rsidRPr="00B44B19">
              <w:rPr>
                <w:rFonts w:cs="Times New Roman"/>
                <w:b/>
                <w:noProof/>
                <w:sz w:val="16"/>
                <w:szCs w:val="16"/>
              </w:rPr>
              <w:t>tina reikšmė</w:t>
            </w:r>
            <w:r w:rsidRPr="00B44B19">
              <w:rPr>
                <w:rFonts w:cs="Times New Roman"/>
                <w:b/>
                <w:noProof/>
                <w:sz w:val="16"/>
                <w:szCs w:val="16"/>
              </w:rPr>
              <w:t xml:space="preserve"> (2029 m.)</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7CDC29"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16CA96" w14:textId="77777777" w:rsidR="00B108E3" w:rsidRPr="00B44B19" w:rsidRDefault="00B108E3" w:rsidP="00A74AFA">
            <w:pPr>
              <w:spacing w:after="0" w:line="240" w:lineRule="auto"/>
              <w:jc w:val="center"/>
              <w:rPr>
                <w:rFonts w:cs="Times New Roman"/>
                <w:b/>
                <w:noProof/>
                <w:sz w:val="16"/>
                <w:szCs w:val="16"/>
              </w:rPr>
            </w:pPr>
            <w:r w:rsidRPr="00B44B19">
              <w:rPr>
                <w:rFonts w:cs="Times New Roman"/>
                <w:b/>
                <w:noProof/>
                <w:sz w:val="16"/>
                <w:szCs w:val="16"/>
              </w:rPr>
              <w:t>Pastabos</w:t>
            </w:r>
          </w:p>
        </w:tc>
      </w:tr>
      <w:tr w:rsidR="00B108E3" w:rsidRPr="00B44B19" w14:paraId="1A6E456F" w14:textId="77777777" w:rsidTr="00A74AFA">
        <w:trPr>
          <w:trHeight w:val="402"/>
        </w:trPr>
        <w:tc>
          <w:tcPr>
            <w:tcW w:w="317" w:type="pct"/>
            <w:vMerge w:val="restart"/>
            <w:tcBorders>
              <w:top w:val="single" w:sz="12" w:space="0" w:color="auto"/>
            </w:tcBorders>
          </w:tcPr>
          <w:p w14:paraId="45643377" w14:textId="77777777" w:rsidR="00B108E3" w:rsidRPr="00B44B19" w:rsidRDefault="00B108E3" w:rsidP="00A74AFA">
            <w:pPr>
              <w:spacing w:after="0" w:line="240" w:lineRule="auto"/>
              <w:rPr>
                <w:rFonts w:cs="Times New Roman"/>
                <w:noProof/>
                <w:sz w:val="16"/>
                <w:szCs w:val="16"/>
              </w:rPr>
            </w:pPr>
            <w:r w:rsidRPr="00B44B19">
              <w:rPr>
                <w:rFonts w:cs="Times New Roman"/>
                <w:noProof/>
                <w:sz w:val="16"/>
                <w:szCs w:val="16"/>
              </w:rPr>
              <w:t>3. Geriau sujungta Lietuva</w:t>
            </w:r>
          </w:p>
        </w:tc>
        <w:tc>
          <w:tcPr>
            <w:tcW w:w="328" w:type="pct"/>
            <w:vMerge w:val="restart"/>
            <w:tcBorders>
              <w:top w:val="single" w:sz="12" w:space="0" w:color="auto"/>
            </w:tcBorders>
          </w:tcPr>
          <w:p w14:paraId="30172A28" w14:textId="77777777" w:rsidR="00B108E3" w:rsidRPr="00B44B19" w:rsidRDefault="00B108E3" w:rsidP="00A74AFA">
            <w:pPr>
              <w:spacing w:after="0" w:line="240" w:lineRule="auto"/>
              <w:rPr>
                <w:rFonts w:cs="Times New Roman"/>
                <w:noProof/>
                <w:sz w:val="16"/>
                <w:szCs w:val="16"/>
              </w:rPr>
            </w:pPr>
            <w:r w:rsidRPr="00B44B19">
              <w:rPr>
                <w:rFonts w:cs="Times New Roman"/>
                <w:noProof/>
                <w:sz w:val="16"/>
                <w:szCs w:val="16"/>
              </w:rPr>
              <w:t>3.2</w:t>
            </w:r>
          </w:p>
        </w:tc>
        <w:tc>
          <w:tcPr>
            <w:tcW w:w="282" w:type="pct"/>
            <w:vMerge w:val="restart"/>
            <w:tcBorders>
              <w:top w:val="single" w:sz="12" w:space="0" w:color="auto"/>
            </w:tcBorders>
          </w:tcPr>
          <w:p w14:paraId="03B916C7" w14:textId="77777777" w:rsidR="00B108E3" w:rsidRPr="00B44B19" w:rsidRDefault="00B108E3" w:rsidP="00A74AFA">
            <w:pPr>
              <w:spacing w:after="0" w:line="240" w:lineRule="auto"/>
              <w:rPr>
                <w:rFonts w:cs="Times New Roman"/>
                <w:noProof/>
                <w:sz w:val="16"/>
                <w:szCs w:val="16"/>
              </w:rPr>
            </w:pPr>
            <w:r w:rsidRPr="00B44B19">
              <w:rPr>
                <w:rFonts w:cs="Times New Roman"/>
                <w:noProof/>
                <w:sz w:val="16"/>
                <w:szCs w:val="16"/>
              </w:rPr>
              <w:t>ERPF</w:t>
            </w:r>
          </w:p>
        </w:tc>
        <w:tc>
          <w:tcPr>
            <w:tcW w:w="328" w:type="pct"/>
            <w:vMerge w:val="restart"/>
            <w:tcBorders>
              <w:top w:val="single" w:sz="12" w:space="0" w:color="auto"/>
            </w:tcBorders>
          </w:tcPr>
          <w:p w14:paraId="6EAB8664" w14:textId="77777777" w:rsidR="00B108E3" w:rsidRPr="00B44B19" w:rsidRDefault="00B108E3" w:rsidP="00A74AFA">
            <w:pPr>
              <w:spacing w:after="0" w:line="240" w:lineRule="auto"/>
              <w:rPr>
                <w:rFonts w:cs="Times New Roman"/>
                <w:noProof/>
                <w:sz w:val="16"/>
                <w:szCs w:val="16"/>
              </w:rPr>
            </w:pPr>
            <w:r w:rsidRPr="00B44B19">
              <w:rPr>
                <w:rFonts w:cs="Times New Roman"/>
                <w:noProof/>
                <w:sz w:val="16"/>
                <w:szCs w:val="16"/>
              </w:rPr>
              <w:t>VVL regionas</w:t>
            </w:r>
          </w:p>
        </w:tc>
        <w:tc>
          <w:tcPr>
            <w:tcW w:w="422" w:type="pct"/>
            <w:tcBorders>
              <w:top w:val="single" w:sz="12" w:space="0" w:color="auto"/>
            </w:tcBorders>
          </w:tcPr>
          <w:p w14:paraId="454F89B6" w14:textId="77777777" w:rsidR="00B108E3" w:rsidRPr="00B44B19" w:rsidRDefault="00B108E3" w:rsidP="00A74AFA">
            <w:pPr>
              <w:spacing w:after="0" w:line="240" w:lineRule="auto"/>
              <w:jc w:val="both"/>
              <w:rPr>
                <w:rFonts w:cs="Times New Roman"/>
                <w:noProof/>
                <w:sz w:val="16"/>
                <w:szCs w:val="16"/>
              </w:rPr>
            </w:pPr>
            <w:r w:rsidRPr="00B44B19">
              <w:rPr>
                <w:rFonts w:cs="Times New Roman"/>
                <w:noProof/>
                <w:sz w:val="16"/>
                <w:szCs w:val="16"/>
              </w:rPr>
              <w:t>RCR55</w:t>
            </w:r>
          </w:p>
        </w:tc>
        <w:tc>
          <w:tcPr>
            <w:tcW w:w="1079" w:type="pct"/>
            <w:tcBorders>
              <w:top w:val="single" w:sz="12" w:space="0" w:color="auto"/>
            </w:tcBorders>
          </w:tcPr>
          <w:p w14:paraId="1762EDCD" w14:textId="77777777" w:rsidR="00B108E3" w:rsidRPr="00B44B19" w:rsidRDefault="00B108E3" w:rsidP="00A74AFA">
            <w:pPr>
              <w:spacing w:after="0" w:line="240" w:lineRule="auto"/>
              <w:rPr>
                <w:rFonts w:cs="Times New Roman"/>
                <w:noProof/>
                <w:sz w:val="16"/>
                <w:szCs w:val="16"/>
              </w:rPr>
            </w:pPr>
            <w:r w:rsidRPr="00B44B19">
              <w:rPr>
                <w:rFonts w:cs="Times New Roman"/>
                <w:noProof/>
                <w:sz w:val="16"/>
                <w:szCs w:val="16"/>
              </w:rPr>
              <w:t>Naujai pastatytų, rekonstruotų, atnaujintų arba modernizuotų kelių  naudotojų skaičius per metus</w:t>
            </w:r>
          </w:p>
        </w:tc>
        <w:tc>
          <w:tcPr>
            <w:tcW w:w="421" w:type="pct"/>
            <w:tcBorders>
              <w:top w:val="single" w:sz="12" w:space="0" w:color="auto"/>
            </w:tcBorders>
          </w:tcPr>
          <w:p w14:paraId="49498D6A" w14:textId="77777777" w:rsidR="00B108E3" w:rsidRPr="00B44B19" w:rsidRDefault="002F7612" w:rsidP="00A74AFA">
            <w:pPr>
              <w:spacing w:after="0" w:line="240" w:lineRule="auto"/>
              <w:jc w:val="both"/>
              <w:rPr>
                <w:rFonts w:cs="Times New Roman"/>
                <w:iCs/>
                <w:noProof/>
                <w:sz w:val="16"/>
                <w:szCs w:val="16"/>
              </w:rPr>
            </w:pPr>
            <w:r w:rsidRPr="00B44B19">
              <w:rPr>
                <w:rFonts w:cs="Times New Roman"/>
                <w:iCs/>
                <w:noProof/>
                <w:sz w:val="16"/>
                <w:szCs w:val="16"/>
              </w:rPr>
              <w:t>Keleivių km per metus</w:t>
            </w:r>
          </w:p>
        </w:tc>
        <w:tc>
          <w:tcPr>
            <w:tcW w:w="375" w:type="pct"/>
            <w:tcBorders>
              <w:top w:val="single" w:sz="12" w:space="0" w:color="auto"/>
            </w:tcBorders>
          </w:tcPr>
          <w:p w14:paraId="25C30156" w14:textId="77777777" w:rsidR="00B108E3" w:rsidRPr="00B44B19" w:rsidRDefault="00B108E3" w:rsidP="00A74AFA">
            <w:pPr>
              <w:spacing w:after="0" w:line="240" w:lineRule="auto"/>
              <w:jc w:val="center"/>
              <w:rPr>
                <w:rFonts w:cs="Times New Roman"/>
                <w:iCs/>
                <w:noProof/>
                <w:sz w:val="16"/>
                <w:szCs w:val="16"/>
              </w:rPr>
            </w:pPr>
            <w:r w:rsidRPr="00B44B19">
              <w:rPr>
                <w:rFonts w:cs="Times New Roman"/>
                <w:iCs/>
                <w:noProof/>
                <w:sz w:val="16"/>
                <w:szCs w:val="16"/>
              </w:rPr>
              <w:t>19 109 504</w:t>
            </w:r>
          </w:p>
        </w:tc>
        <w:tc>
          <w:tcPr>
            <w:tcW w:w="375" w:type="pct"/>
            <w:tcBorders>
              <w:top w:val="single" w:sz="12" w:space="0" w:color="auto"/>
            </w:tcBorders>
          </w:tcPr>
          <w:p w14:paraId="45171450" w14:textId="77777777" w:rsidR="00B108E3" w:rsidRPr="00B44B19" w:rsidRDefault="00B108E3" w:rsidP="00A74AFA">
            <w:pPr>
              <w:spacing w:after="0" w:line="240" w:lineRule="auto"/>
              <w:jc w:val="center"/>
              <w:rPr>
                <w:rFonts w:cs="Times New Roman"/>
                <w:bCs/>
                <w:noProof/>
                <w:sz w:val="16"/>
                <w:szCs w:val="16"/>
              </w:rPr>
            </w:pPr>
            <w:r w:rsidRPr="00B44B19">
              <w:rPr>
                <w:rFonts w:cs="Times New Roman"/>
                <w:bCs/>
                <w:noProof/>
                <w:sz w:val="16"/>
                <w:szCs w:val="16"/>
              </w:rPr>
              <w:t>2021</w:t>
            </w:r>
          </w:p>
        </w:tc>
        <w:tc>
          <w:tcPr>
            <w:tcW w:w="375" w:type="pct"/>
            <w:tcBorders>
              <w:top w:val="single" w:sz="12" w:space="0" w:color="auto"/>
            </w:tcBorders>
          </w:tcPr>
          <w:p w14:paraId="21731343" w14:textId="77777777" w:rsidR="00B108E3" w:rsidRPr="00B44B19" w:rsidRDefault="00B108E3" w:rsidP="00A74AFA">
            <w:pPr>
              <w:spacing w:after="0" w:line="240" w:lineRule="auto"/>
              <w:jc w:val="center"/>
              <w:rPr>
                <w:rFonts w:cs="Times New Roman"/>
                <w:b/>
                <w:noProof/>
                <w:sz w:val="16"/>
                <w:szCs w:val="16"/>
              </w:rPr>
            </w:pPr>
            <w:r w:rsidRPr="00B44B19">
              <w:rPr>
                <w:rFonts w:cs="Times New Roman"/>
                <w:sz w:val="16"/>
                <w:szCs w:val="16"/>
              </w:rPr>
              <w:t>20 189 340</w:t>
            </w:r>
          </w:p>
        </w:tc>
        <w:tc>
          <w:tcPr>
            <w:tcW w:w="376" w:type="pct"/>
            <w:tcBorders>
              <w:top w:val="single" w:sz="12" w:space="0" w:color="auto"/>
            </w:tcBorders>
          </w:tcPr>
          <w:p w14:paraId="56B6AEC8" w14:textId="77777777" w:rsidR="00B108E3" w:rsidRPr="00B44B19" w:rsidRDefault="00AA0E2C" w:rsidP="00A74AFA">
            <w:pPr>
              <w:spacing w:after="0" w:line="240" w:lineRule="auto"/>
              <w:rPr>
                <w:rFonts w:cs="Times New Roman"/>
                <w:noProof/>
                <w:sz w:val="16"/>
                <w:szCs w:val="16"/>
              </w:rPr>
            </w:pPr>
            <w:r w:rsidRPr="00B44B19">
              <w:rPr>
                <w:rFonts w:cs="Times New Roman"/>
                <w:noProof/>
                <w:sz w:val="16"/>
                <w:szCs w:val="16"/>
              </w:rPr>
              <w:t>Projektų duomenys</w:t>
            </w:r>
          </w:p>
        </w:tc>
        <w:tc>
          <w:tcPr>
            <w:tcW w:w="322" w:type="pct"/>
            <w:tcBorders>
              <w:top w:val="single" w:sz="12" w:space="0" w:color="auto"/>
            </w:tcBorders>
          </w:tcPr>
          <w:p w14:paraId="395C0666" w14:textId="77777777" w:rsidR="00B108E3" w:rsidRPr="00B44B19" w:rsidRDefault="00B108E3" w:rsidP="00A74AFA">
            <w:pPr>
              <w:spacing w:after="0" w:line="240" w:lineRule="auto"/>
              <w:jc w:val="both"/>
              <w:rPr>
                <w:rFonts w:eastAsia="Calibri" w:cs="Times New Roman"/>
                <w:i/>
                <w:noProof/>
                <w:sz w:val="14"/>
                <w:szCs w:val="14"/>
                <w:lang w:eastAsia="lt-LT" w:bidi="lt-LT"/>
              </w:rPr>
            </w:pPr>
          </w:p>
        </w:tc>
      </w:tr>
      <w:tr w:rsidR="00B108E3" w:rsidRPr="00B44B19" w14:paraId="72B51FC3" w14:textId="77777777" w:rsidTr="00A74AFA">
        <w:trPr>
          <w:trHeight w:val="559"/>
        </w:trPr>
        <w:tc>
          <w:tcPr>
            <w:tcW w:w="317" w:type="pct"/>
            <w:vMerge/>
          </w:tcPr>
          <w:p w14:paraId="136A66A7" w14:textId="77777777" w:rsidR="00B108E3" w:rsidRPr="00B44B19" w:rsidRDefault="00B108E3" w:rsidP="00A74AFA">
            <w:pPr>
              <w:spacing w:after="0" w:line="240" w:lineRule="auto"/>
              <w:jc w:val="both"/>
              <w:rPr>
                <w:rFonts w:cs="Times New Roman"/>
                <w:noProof/>
                <w:sz w:val="16"/>
                <w:szCs w:val="16"/>
              </w:rPr>
            </w:pPr>
          </w:p>
        </w:tc>
        <w:tc>
          <w:tcPr>
            <w:tcW w:w="328" w:type="pct"/>
            <w:vMerge/>
          </w:tcPr>
          <w:p w14:paraId="73F0D866" w14:textId="77777777" w:rsidR="00B108E3" w:rsidRPr="00B44B19" w:rsidRDefault="00B108E3" w:rsidP="00A74AFA">
            <w:pPr>
              <w:spacing w:after="0" w:line="240" w:lineRule="auto"/>
              <w:jc w:val="both"/>
              <w:rPr>
                <w:rFonts w:cs="Times New Roman"/>
                <w:noProof/>
                <w:sz w:val="16"/>
                <w:szCs w:val="16"/>
              </w:rPr>
            </w:pPr>
          </w:p>
        </w:tc>
        <w:tc>
          <w:tcPr>
            <w:tcW w:w="282" w:type="pct"/>
            <w:vMerge/>
          </w:tcPr>
          <w:p w14:paraId="79AAC90C" w14:textId="77777777" w:rsidR="00B108E3" w:rsidRPr="00B44B19" w:rsidRDefault="00B108E3" w:rsidP="00A74AFA">
            <w:pPr>
              <w:spacing w:after="0" w:line="240" w:lineRule="auto"/>
              <w:jc w:val="both"/>
              <w:rPr>
                <w:rFonts w:cs="Times New Roman"/>
                <w:noProof/>
                <w:sz w:val="16"/>
                <w:szCs w:val="16"/>
              </w:rPr>
            </w:pPr>
          </w:p>
        </w:tc>
        <w:tc>
          <w:tcPr>
            <w:tcW w:w="328" w:type="pct"/>
            <w:vMerge/>
          </w:tcPr>
          <w:p w14:paraId="27EFC546" w14:textId="77777777" w:rsidR="00B108E3" w:rsidRPr="00B44B19" w:rsidRDefault="00B108E3" w:rsidP="00A74AFA">
            <w:pPr>
              <w:spacing w:after="0" w:line="240" w:lineRule="auto"/>
              <w:jc w:val="both"/>
              <w:rPr>
                <w:rFonts w:cs="Times New Roman"/>
                <w:noProof/>
                <w:sz w:val="14"/>
                <w:szCs w:val="14"/>
                <w:highlight w:val="yellow"/>
              </w:rPr>
            </w:pPr>
          </w:p>
        </w:tc>
        <w:tc>
          <w:tcPr>
            <w:tcW w:w="422" w:type="pct"/>
          </w:tcPr>
          <w:p w14:paraId="346FE845" w14:textId="77777777" w:rsidR="00B108E3" w:rsidRPr="00B44B19" w:rsidRDefault="00B108E3" w:rsidP="00A74AFA">
            <w:pPr>
              <w:spacing w:after="0" w:line="240" w:lineRule="auto"/>
              <w:jc w:val="both"/>
              <w:rPr>
                <w:rFonts w:cs="Times New Roman"/>
                <w:noProof/>
                <w:sz w:val="16"/>
                <w:szCs w:val="16"/>
              </w:rPr>
            </w:pPr>
            <w:r w:rsidRPr="00B44B19">
              <w:rPr>
                <w:rFonts w:eastAsia="Calibri" w:cs="Times New Roman"/>
                <w:noProof/>
                <w:color w:val="000000"/>
                <w:sz w:val="16"/>
                <w:szCs w:val="16"/>
                <w:lang w:eastAsia="lt-LT" w:bidi="lt-LT"/>
              </w:rPr>
              <w:t>RCR56</w:t>
            </w:r>
          </w:p>
        </w:tc>
        <w:tc>
          <w:tcPr>
            <w:tcW w:w="1079" w:type="pct"/>
          </w:tcPr>
          <w:p w14:paraId="442E70BD" w14:textId="77777777" w:rsidR="00B108E3" w:rsidRPr="00B44B19" w:rsidRDefault="00B108E3" w:rsidP="00A74AFA">
            <w:pPr>
              <w:spacing w:after="0" w:line="240" w:lineRule="auto"/>
              <w:rPr>
                <w:rFonts w:eastAsia="Times New Roman" w:cs="Times New Roman"/>
                <w:sz w:val="16"/>
                <w:szCs w:val="16"/>
                <w:lang w:eastAsia="lt-LT" w:bidi="ml-IN"/>
              </w:rPr>
            </w:pPr>
            <w:r w:rsidRPr="00B44B19">
              <w:rPr>
                <w:rFonts w:cs="Times New Roman"/>
                <w:noProof/>
                <w:sz w:val="16"/>
                <w:szCs w:val="16"/>
              </w:rPr>
              <w:t xml:space="preserve">Dėl patobulintos kelių infrastruktūros sutaupytas laikas </w:t>
            </w:r>
          </w:p>
        </w:tc>
        <w:tc>
          <w:tcPr>
            <w:tcW w:w="421" w:type="pct"/>
          </w:tcPr>
          <w:p w14:paraId="44A7DC0D" w14:textId="77777777" w:rsidR="00B108E3" w:rsidRPr="00B44B19" w:rsidRDefault="00DA3E8A" w:rsidP="00DA3E8A">
            <w:pPr>
              <w:spacing w:after="0" w:line="240" w:lineRule="auto"/>
              <w:jc w:val="both"/>
              <w:rPr>
                <w:rFonts w:cs="Times New Roman"/>
                <w:iCs/>
                <w:noProof/>
                <w:sz w:val="16"/>
                <w:szCs w:val="16"/>
              </w:rPr>
            </w:pPr>
            <w:r w:rsidRPr="00B44B19">
              <w:rPr>
                <w:rFonts w:cs="Times New Roman"/>
                <w:iCs/>
                <w:sz w:val="16"/>
                <w:szCs w:val="16"/>
              </w:rPr>
              <w:t xml:space="preserve">Darbo </w:t>
            </w:r>
            <w:r w:rsidR="00E04130" w:rsidRPr="00B44B19">
              <w:rPr>
                <w:rFonts w:cs="Times New Roman"/>
                <w:iCs/>
                <w:sz w:val="16"/>
                <w:szCs w:val="16"/>
              </w:rPr>
              <w:t>dienų per metus</w:t>
            </w:r>
          </w:p>
        </w:tc>
        <w:tc>
          <w:tcPr>
            <w:tcW w:w="375" w:type="pct"/>
          </w:tcPr>
          <w:p w14:paraId="76B1ACF2" w14:textId="77777777" w:rsidR="00B108E3" w:rsidRPr="00B44B19" w:rsidRDefault="00DA3E8A" w:rsidP="00A74AFA">
            <w:pPr>
              <w:spacing w:after="0" w:line="240" w:lineRule="auto"/>
              <w:jc w:val="center"/>
              <w:rPr>
                <w:rFonts w:cs="Times New Roman"/>
                <w:iCs/>
                <w:noProof/>
                <w:sz w:val="16"/>
                <w:szCs w:val="16"/>
              </w:rPr>
            </w:pPr>
            <w:r w:rsidRPr="00B44B19">
              <w:rPr>
                <w:rFonts w:cs="Times New Roman"/>
                <w:iCs/>
                <w:noProof/>
                <w:sz w:val="16"/>
                <w:szCs w:val="16"/>
              </w:rPr>
              <w:t>0</w:t>
            </w:r>
          </w:p>
        </w:tc>
        <w:tc>
          <w:tcPr>
            <w:tcW w:w="375" w:type="pct"/>
          </w:tcPr>
          <w:p w14:paraId="1944B208" w14:textId="77777777" w:rsidR="00B108E3" w:rsidRPr="00B44B19" w:rsidRDefault="00B108E3" w:rsidP="00A74AFA">
            <w:pPr>
              <w:spacing w:after="0" w:line="240" w:lineRule="auto"/>
              <w:jc w:val="center"/>
              <w:rPr>
                <w:rFonts w:cs="Times New Roman"/>
                <w:bCs/>
                <w:noProof/>
                <w:sz w:val="16"/>
                <w:szCs w:val="16"/>
              </w:rPr>
            </w:pPr>
            <w:r w:rsidRPr="00B44B19">
              <w:rPr>
                <w:rFonts w:cs="Times New Roman"/>
                <w:bCs/>
                <w:noProof/>
                <w:sz w:val="16"/>
                <w:szCs w:val="16"/>
              </w:rPr>
              <w:t>2021</w:t>
            </w:r>
          </w:p>
        </w:tc>
        <w:tc>
          <w:tcPr>
            <w:tcW w:w="375" w:type="pct"/>
          </w:tcPr>
          <w:p w14:paraId="7B6EA8F5" w14:textId="77777777" w:rsidR="00B108E3" w:rsidRPr="00B44B19" w:rsidRDefault="00B108E3" w:rsidP="00A74AFA">
            <w:pPr>
              <w:spacing w:after="0" w:line="240" w:lineRule="auto"/>
              <w:jc w:val="center"/>
              <w:rPr>
                <w:rFonts w:cs="Times New Roman"/>
                <w:bCs/>
                <w:noProof/>
                <w:sz w:val="16"/>
                <w:szCs w:val="16"/>
              </w:rPr>
            </w:pPr>
            <w:r w:rsidRPr="00B44B19">
              <w:rPr>
                <w:rFonts w:cs="Times New Roman"/>
                <w:bCs/>
                <w:sz w:val="16"/>
                <w:szCs w:val="16"/>
              </w:rPr>
              <w:t>6 066</w:t>
            </w:r>
          </w:p>
        </w:tc>
        <w:tc>
          <w:tcPr>
            <w:tcW w:w="376" w:type="pct"/>
          </w:tcPr>
          <w:p w14:paraId="5F54A6DA" w14:textId="77777777" w:rsidR="00B108E3" w:rsidRPr="00B44B19" w:rsidRDefault="00AA0E2C" w:rsidP="00A74AFA">
            <w:pPr>
              <w:spacing w:after="0" w:line="240" w:lineRule="auto"/>
              <w:rPr>
                <w:rFonts w:cs="Times New Roman"/>
                <w:noProof/>
                <w:sz w:val="16"/>
                <w:szCs w:val="16"/>
              </w:rPr>
            </w:pPr>
            <w:r w:rsidRPr="00B44B19">
              <w:rPr>
                <w:rFonts w:cs="Times New Roman"/>
                <w:noProof/>
                <w:sz w:val="16"/>
                <w:szCs w:val="16"/>
              </w:rPr>
              <w:t>Projektų duomenys</w:t>
            </w:r>
          </w:p>
        </w:tc>
        <w:tc>
          <w:tcPr>
            <w:tcW w:w="322" w:type="pct"/>
          </w:tcPr>
          <w:p w14:paraId="4D91F01B" w14:textId="77777777" w:rsidR="00B108E3" w:rsidRPr="00B44B19" w:rsidRDefault="00B108E3" w:rsidP="00A74AFA">
            <w:pPr>
              <w:spacing w:after="0" w:line="240" w:lineRule="auto"/>
              <w:jc w:val="both"/>
              <w:rPr>
                <w:rFonts w:eastAsia="Calibri" w:cs="Times New Roman"/>
                <w:i/>
                <w:noProof/>
                <w:sz w:val="14"/>
                <w:szCs w:val="14"/>
                <w:lang w:eastAsia="lt-LT" w:bidi="lt-LT"/>
              </w:rPr>
            </w:pPr>
          </w:p>
        </w:tc>
      </w:tr>
      <w:tr w:rsidR="00B108E3" w:rsidRPr="00B44B19" w14:paraId="7D5B2860" w14:textId="77777777" w:rsidTr="00A74AFA">
        <w:trPr>
          <w:trHeight w:val="185"/>
        </w:trPr>
        <w:tc>
          <w:tcPr>
            <w:tcW w:w="317" w:type="pct"/>
            <w:vMerge/>
          </w:tcPr>
          <w:p w14:paraId="29906185" w14:textId="77777777" w:rsidR="00B108E3" w:rsidRPr="00B44B19" w:rsidRDefault="00B108E3" w:rsidP="00A74AFA">
            <w:pPr>
              <w:spacing w:after="0" w:line="240" w:lineRule="auto"/>
              <w:jc w:val="both"/>
              <w:rPr>
                <w:rFonts w:cs="Times New Roman"/>
                <w:noProof/>
                <w:sz w:val="16"/>
                <w:szCs w:val="16"/>
              </w:rPr>
            </w:pPr>
          </w:p>
        </w:tc>
        <w:tc>
          <w:tcPr>
            <w:tcW w:w="328" w:type="pct"/>
            <w:vMerge/>
          </w:tcPr>
          <w:p w14:paraId="22F9F187" w14:textId="77777777" w:rsidR="00B108E3" w:rsidRPr="00B44B19" w:rsidRDefault="00B108E3" w:rsidP="00A74AFA">
            <w:pPr>
              <w:spacing w:after="0" w:line="240" w:lineRule="auto"/>
              <w:jc w:val="both"/>
              <w:rPr>
                <w:rFonts w:cs="Times New Roman"/>
                <w:noProof/>
                <w:sz w:val="16"/>
                <w:szCs w:val="16"/>
              </w:rPr>
            </w:pPr>
          </w:p>
        </w:tc>
        <w:tc>
          <w:tcPr>
            <w:tcW w:w="282" w:type="pct"/>
            <w:vMerge/>
          </w:tcPr>
          <w:p w14:paraId="69B38316" w14:textId="77777777" w:rsidR="00B108E3" w:rsidRPr="00B44B19" w:rsidRDefault="00B108E3" w:rsidP="00A74AFA">
            <w:pPr>
              <w:spacing w:after="0" w:line="240" w:lineRule="auto"/>
              <w:jc w:val="both"/>
              <w:rPr>
                <w:rFonts w:cs="Times New Roman"/>
                <w:noProof/>
                <w:sz w:val="16"/>
                <w:szCs w:val="16"/>
              </w:rPr>
            </w:pPr>
          </w:p>
        </w:tc>
        <w:tc>
          <w:tcPr>
            <w:tcW w:w="328" w:type="pct"/>
            <w:vMerge/>
          </w:tcPr>
          <w:p w14:paraId="26B8C1EE" w14:textId="77777777" w:rsidR="00B108E3" w:rsidRPr="00B44B19" w:rsidRDefault="00B108E3" w:rsidP="00A74AFA">
            <w:pPr>
              <w:spacing w:after="0" w:line="240" w:lineRule="auto"/>
              <w:jc w:val="both"/>
              <w:rPr>
                <w:rFonts w:cs="Times New Roman"/>
                <w:noProof/>
                <w:sz w:val="14"/>
                <w:szCs w:val="14"/>
                <w:highlight w:val="yellow"/>
              </w:rPr>
            </w:pPr>
          </w:p>
        </w:tc>
        <w:tc>
          <w:tcPr>
            <w:tcW w:w="422" w:type="pct"/>
          </w:tcPr>
          <w:p w14:paraId="18F48042" w14:textId="77777777" w:rsidR="00B108E3" w:rsidRPr="00B44B19" w:rsidRDefault="00B108E3" w:rsidP="00A74AFA">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1079" w:type="pct"/>
          </w:tcPr>
          <w:p w14:paraId="76E931AD" w14:textId="77777777" w:rsidR="00B108E3" w:rsidRPr="00B44B19" w:rsidRDefault="00DD735F" w:rsidP="00DD735F">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Panaikintos juodosios dėmės ar avaringos vietos vietinės reikšmės keliuose </w:t>
            </w:r>
            <w:r w:rsidR="00FE3775" w:rsidRPr="00B44B19">
              <w:rPr>
                <w:rFonts w:eastAsia="Calibri" w:cs="Times New Roman"/>
                <w:noProof/>
                <w:sz w:val="16"/>
                <w:szCs w:val="16"/>
                <w:lang w:eastAsia="lt-LT" w:bidi="lt-LT"/>
              </w:rPr>
              <w:t>(</w:t>
            </w:r>
            <w:r w:rsidRPr="00B44B19">
              <w:rPr>
                <w:rFonts w:eastAsia="Calibri" w:cs="Times New Roman"/>
                <w:noProof/>
                <w:sz w:val="16"/>
                <w:szCs w:val="16"/>
                <w:lang w:eastAsia="lt-LT" w:bidi="lt-LT"/>
              </w:rPr>
              <w:t>gatvėse</w:t>
            </w:r>
            <w:r w:rsidR="00FE3775" w:rsidRPr="00B44B19">
              <w:rPr>
                <w:rFonts w:eastAsia="Calibri" w:cs="Times New Roman"/>
                <w:noProof/>
                <w:sz w:val="16"/>
                <w:szCs w:val="16"/>
                <w:lang w:eastAsia="lt-LT" w:bidi="lt-LT"/>
              </w:rPr>
              <w:t>)</w:t>
            </w:r>
            <w:r w:rsidRPr="00B44B19">
              <w:rPr>
                <w:rFonts w:eastAsia="Calibri" w:cs="Times New Roman"/>
                <w:noProof/>
                <w:sz w:val="16"/>
                <w:szCs w:val="16"/>
                <w:lang w:eastAsia="lt-LT" w:bidi="lt-LT"/>
              </w:rPr>
              <w:t xml:space="preserve"> </w:t>
            </w:r>
          </w:p>
        </w:tc>
        <w:tc>
          <w:tcPr>
            <w:tcW w:w="421" w:type="pct"/>
          </w:tcPr>
          <w:p w14:paraId="6B23A18C" w14:textId="77777777" w:rsidR="00B108E3" w:rsidRPr="00B44B19" w:rsidRDefault="0008692A" w:rsidP="00DD735F">
            <w:pPr>
              <w:spacing w:after="0" w:line="240" w:lineRule="auto"/>
              <w:jc w:val="both"/>
              <w:rPr>
                <w:rFonts w:cs="Times New Roman"/>
                <w:bCs/>
                <w:iCs/>
                <w:noProof/>
                <w:sz w:val="16"/>
                <w:szCs w:val="16"/>
              </w:rPr>
            </w:pPr>
            <w:r w:rsidRPr="00B44B19">
              <w:rPr>
                <w:rFonts w:cs="Times New Roman"/>
                <w:bCs/>
                <w:iCs/>
                <w:noProof/>
                <w:sz w:val="16"/>
                <w:szCs w:val="16"/>
              </w:rPr>
              <w:t>Skaičius</w:t>
            </w:r>
            <w:r w:rsidR="002F7612" w:rsidRPr="00B44B19">
              <w:rPr>
                <w:rFonts w:cs="Times New Roman"/>
                <w:bCs/>
                <w:iCs/>
                <w:noProof/>
                <w:sz w:val="16"/>
                <w:szCs w:val="16"/>
              </w:rPr>
              <w:t xml:space="preserve"> </w:t>
            </w:r>
          </w:p>
        </w:tc>
        <w:tc>
          <w:tcPr>
            <w:tcW w:w="375" w:type="pct"/>
          </w:tcPr>
          <w:p w14:paraId="50F960AF" w14:textId="77777777" w:rsidR="00B108E3" w:rsidRPr="00B44B19" w:rsidRDefault="00DD735F" w:rsidP="00A74AFA">
            <w:pPr>
              <w:spacing w:after="0" w:line="240" w:lineRule="auto"/>
              <w:jc w:val="center"/>
              <w:rPr>
                <w:rFonts w:cs="Times New Roman"/>
                <w:iCs/>
                <w:noProof/>
                <w:sz w:val="16"/>
                <w:szCs w:val="16"/>
              </w:rPr>
            </w:pPr>
            <w:r w:rsidRPr="00B44B19">
              <w:rPr>
                <w:rFonts w:cs="Times New Roman"/>
                <w:iCs/>
                <w:noProof/>
                <w:sz w:val="16"/>
                <w:szCs w:val="16"/>
              </w:rPr>
              <w:t>0</w:t>
            </w:r>
          </w:p>
        </w:tc>
        <w:tc>
          <w:tcPr>
            <w:tcW w:w="375" w:type="pct"/>
          </w:tcPr>
          <w:p w14:paraId="09FEF7EA" w14:textId="77777777" w:rsidR="00B108E3" w:rsidRPr="00B44B19" w:rsidRDefault="00DD735F" w:rsidP="00A74AFA">
            <w:pPr>
              <w:spacing w:after="0" w:line="240" w:lineRule="auto"/>
              <w:jc w:val="center"/>
              <w:rPr>
                <w:rFonts w:cs="Times New Roman"/>
                <w:bCs/>
                <w:noProof/>
                <w:sz w:val="16"/>
                <w:szCs w:val="16"/>
              </w:rPr>
            </w:pPr>
            <w:r w:rsidRPr="00B44B19">
              <w:rPr>
                <w:rFonts w:cs="Times New Roman"/>
                <w:bCs/>
                <w:noProof/>
                <w:sz w:val="16"/>
                <w:szCs w:val="16"/>
              </w:rPr>
              <w:t>2021</w:t>
            </w:r>
          </w:p>
        </w:tc>
        <w:tc>
          <w:tcPr>
            <w:tcW w:w="375" w:type="pct"/>
          </w:tcPr>
          <w:p w14:paraId="1579736C" w14:textId="7C839DC5" w:rsidR="00B108E3" w:rsidRPr="00B44B19" w:rsidRDefault="00742D18" w:rsidP="00A74AFA">
            <w:pPr>
              <w:spacing w:after="0" w:line="240" w:lineRule="auto"/>
              <w:jc w:val="center"/>
              <w:rPr>
                <w:rFonts w:cs="Times New Roman"/>
                <w:sz w:val="16"/>
                <w:szCs w:val="16"/>
              </w:rPr>
            </w:pPr>
            <w:r w:rsidRPr="00B44B19">
              <w:rPr>
                <w:rFonts w:cs="Times New Roman"/>
                <w:sz w:val="16"/>
                <w:szCs w:val="16"/>
              </w:rPr>
              <w:t>9</w:t>
            </w:r>
          </w:p>
        </w:tc>
        <w:tc>
          <w:tcPr>
            <w:tcW w:w="376" w:type="pct"/>
          </w:tcPr>
          <w:p w14:paraId="6F4DBE8A" w14:textId="77777777" w:rsidR="00B108E3" w:rsidRPr="00B44B19" w:rsidRDefault="00B108E3" w:rsidP="00A74AFA">
            <w:pPr>
              <w:spacing w:after="0" w:line="240" w:lineRule="auto"/>
              <w:jc w:val="both"/>
              <w:rPr>
                <w:rFonts w:cs="Times New Roman"/>
                <w:noProof/>
                <w:sz w:val="16"/>
                <w:szCs w:val="16"/>
              </w:rPr>
            </w:pPr>
            <w:r w:rsidRPr="00B44B19">
              <w:rPr>
                <w:rFonts w:cs="Times New Roman"/>
                <w:noProof/>
                <w:sz w:val="16"/>
                <w:szCs w:val="16"/>
              </w:rPr>
              <w:t>Infrastruktūros valdytojo ataskaita</w:t>
            </w:r>
          </w:p>
        </w:tc>
        <w:tc>
          <w:tcPr>
            <w:tcW w:w="322" w:type="pct"/>
          </w:tcPr>
          <w:p w14:paraId="149398D7" w14:textId="77777777" w:rsidR="00B108E3" w:rsidRPr="00B44B19" w:rsidRDefault="00B108E3" w:rsidP="00A74AFA">
            <w:pPr>
              <w:spacing w:after="0" w:line="240" w:lineRule="auto"/>
              <w:jc w:val="both"/>
              <w:rPr>
                <w:rFonts w:eastAsia="Calibri" w:cs="Times New Roman"/>
                <w:i/>
                <w:noProof/>
                <w:sz w:val="14"/>
                <w:szCs w:val="14"/>
                <w:highlight w:val="yellow"/>
                <w:lang w:eastAsia="lt-LT" w:bidi="lt-LT"/>
              </w:rPr>
            </w:pPr>
          </w:p>
        </w:tc>
      </w:tr>
      <w:tr w:rsidR="00B108E3" w:rsidRPr="00B44B19" w14:paraId="46D3F638" w14:textId="77777777" w:rsidTr="00A74AFA">
        <w:trPr>
          <w:trHeight w:val="185"/>
        </w:trPr>
        <w:tc>
          <w:tcPr>
            <w:tcW w:w="317" w:type="pct"/>
            <w:vMerge/>
          </w:tcPr>
          <w:p w14:paraId="2D28D486" w14:textId="77777777" w:rsidR="00B108E3" w:rsidRPr="00B44B19" w:rsidRDefault="00B108E3" w:rsidP="00A74AFA">
            <w:pPr>
              <w:spacing w:after="0" w:line="240" w:lineRule="auto"/>
              <w:jc w:val="both"/>
              <w:rPr>
                <w:rFonts w:cs="Times New Roman"/>
                <w:noProof/>
                <w:sz w:val="16"/>
                <w:szCs w:val="16"/>
              </w:rPr>
            </w:pPr>
          </w:p>
        </w:tc>
        <w:tc>
          <w:tcPr>
            <w:tcW w:w="328" w:type="pct"/>
            <w:vMerge/>
          </w:tcPr>
          <w:p w14:paraId="126DF704" w14:textId="77777777" w:rsidR="00B108E3" w:rsidRPr="00B44B19" w:rsidRDefault="00B108E3" w:rsidP="00A74AFA">
            <w:pPr>
              <w:spacing w:after="0" w:line="240" w:lineRule="auto"/>
              <w:jc w:val="both"/>
              <w:rPr>
                <w:rFonts w:cs="Times New Roman"/>
                <w:noProof/>
                <w:sz w:val="16"/>
                <w:szCs w:val="16"/>
              </w:rPr>
            </w:pPr>
          </w:p>
        </w:tc>
        <w:tc>
          <w:tcPr>
            <w:tcW w:w="282" w:type="pct"/>
            <w:vMerge/>
          </w:tcPr>
          <w:p w14:paraId="1FAA223B" w14:textId="77777777" w:rsidR="00B108E3" w:rsidRPr="00B44B19" w:rsidRDefault="00B108E3" w:rsidP="00A74AFA">
            <w:pPr>
              <w:spacing w:after="0" w:line="240" w:lineRule="auto"/>
              <w:jc w:val="both"/>
              <w:rPr>
                <w:rFonts w:cs="Times New Roman"/>
                <w:noProof/>
                <w:sz w:val="16"/>
                <w:szCs w:val="16"/>
              </w:rPr>
            </w:pPr>
          </w:p>
        </w:tc>
        <w:tc>
          <w:tcPr>
            <w:tcW w:w="328" w:type="pct"/>
            <w:vMerge/>
          </w:tcPr>
          <w:p w14:paraId="5CEFF9BD" w14:textId="77777777" w:rsidR="00B108E3" w:rsidRPr="00B44B19" w:rsidRDefault="00B108E3" w:rsidP="00A74AFA">
            <w:pPr>
              <w:spacing w:after="0" w:line="240" w:lineRule="auto"/>
              <w:jc w:val="both"/>
              <w:rPr>
                <w:rFonts w:cs="Times New Roman"/>
                <w:noProof/>
                <w:sz w:val="14"/>
                <w:szCs w:val="14"/>
                <w:highlight w:val="yellow"/>
              </w:rPr>
            </w:pPr>
          </w:p>
        </w:tc>
        <w:tc>
          <w:tcPr>
            <w:tcW w:w="422" w:type="pct"/>
          </w:tcPr>
          <w:p w14:paraId="7D4CAC5C" w14:textId="77777777" w:rsidR="00B108E3" w:rsidRPr="00B44B19" w:rsidRDefault="00B108E3" w:rsidP="00A74AFA">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1079" w:type="pct"/>
          </w:tcPr>
          <w:p w14:paraId="017D4A6C" w14:textId="77777777" w:rsidR="00B108E3" w:rsidRPr="00B44B19" w:rsidRDefault="00B108E3" w:rsidP="00A74AFA">
            <w:pPr>
              <w:spacing w:after="0" w:line="240" w:lineRule="auto"/>
              <w:rPr>
                <w:rFonts w:eastAsia="Calibri" w:cs="Times New Roman"/>
                <w:noProof/>
                <w:sz w:val="16"/>
                <w:szCs w:val="16"/>
                <w:lang w:eastAsia="lt-LT" w:bidi="lt-LT"/>
              </w:rPr>
            </w:pPr>
            <w:r w:rsidRPr="00B44B19">
              <w:rPr>
                <w:rFonts w:eastAsia="Calibri" w:cs="Times New Roman"/>
                <w:sz w:val="16"/>
                <w:szCs w:val="16"/>
              </w:rPr>
              <w:t>Dviračiams skirtos infrastruktūros metinis naudotojų skaičius</w:t>
            </w:r>
          </w:p>
        </w:tc>
        <w:tc>
          <w:tcPr>
            <w:tcW w:w="421" w:type="pct"/>
          </w:tcPr>
          <w:p w14:paraId="3E9CD498" w14:textId="77777777" w:rsidR="00B108E3" w:rsidRPr="00B44B19" w:rsidRDefault="00E04130" w:rsidP="00FE3775">
            <w:pPr>
              <w:spacing w:after="0" w:line="240" w:lineRule="auto"/>
              <w:jc w:val="both"/>
              <w:rPr>
                <w:rFonts w:cs="Times New Roman"/>
                <w:bCs/>
                <w:iCs/>
                <w:noProof/>
                <w:sz w:val="16"/>
                <w:szCs w:val="16"/>
              </w:rPr>
            </w:pPr>
            <w:r w:rsidRPr="00B44B19">
              <w:rPr>
                <w:rFonts w:cs="Times New Roman"/>
                <w:bCs/>
                <w:iCs/>
                <w:sz w:val="16"/>
                <w:szCs w:val="16"/>
              </w:rPr>
              <w:t>Naudotoj</w:t>
            </w:r>
            <w:r w:rsidR="00FE3775" w:rsidRPr="00B44B19">
              <w:rPr>
                <w:rFonts w:cs="Times New Roman"/>
                <w:bCs/>
                <w:iCs/>
                <w:sz w:val="16"/>
                <w:szCs w:val="16"/>
              </w:rPr>
              <w:t>ai</w:t>
            </w:r>
            <w:r w:rsidRPr="00B44B19">
              <w:rPr>
                <w:rFonts w:cs="Times New Roman"/>
                <w:bCs/>
                <w:iCs/>
                <w:sz w:val="16"/>
                <w:szCs w:val="16"/>
              </w:rPr>
              <w:t xml:space="preserve"> per metus</w:t>
            </w:r>
          </w:p>
        </w:tc>
        <w:tc>
          <w:tcPr>
            <w:tcW w:w="375" w:type="pct"/>
          </w:tcPr>
          <w:p w14:paraId="2194B060" w14:textId="77777777" w:rsidR="00B108E3" w:rsidRPr="00B44B19" w:rsidRDefault="00B108E3" w:rsidP="00A74AFA">
            <w:pPr>
              <w:spacing w:after="0" w:line="240" w:lineRule="auto"/>
              <w:jc w:val="center"/>
              <w:rPr>
                <w:rFonts w:cs="Times New Roman"/>
                <w:iCs/>
                <w:noProof/>
                <w:sz w:val="16"/>
                <w:szCs w:val="16"/>
              </w:rPr>
            </w:pPr>
            <w:r w:rsidRPr="00B44B19">
              <w:rPr>
                <w:rFonts w:cs="Times New Roman"/>
                <w:iCs/>
                <w:noProof/>
                <w:sz w:val="16"/>
                <w:szCs w:val="16"/>
              </w:rPr>
              <w:t>0</w:t>
            </w:r>
          </w:p>
        </w:tc>
        <w:tc>
          <w:tcPr>
            <w:tcW w:w="375" w:type="pct"/>
          </w:tcPr>
          <w:p w14:paraId="603F1A0E" w14:textId="77777777" w:rsidR="00B108E3" w:rsidRPr="00B44B19" w:rsidRDefault="00B108E3" w:rsidP="00A74AFA">
            <w:pPr>
              <w:spacing w:after="0" w:line="240" w:lineRule="auto"/>
              <w:jc w:val="center"/>
              <w:rPr>
                <w:rFonts w:cs="Times New Roman"/>
                <w:bCs/>
                <w:noProof/>
                <w:sz w:val="16"/>
                <w:szCs w:val="16"/>
              </w:rPr>
            </w:pPr>
            <w:r w:rsidRPr="00B44B19">
              <w:rPr>
                <w:rFonts w:cs="Times New Roman"/>
                <w:bCs/>
                <w:noProof/>
                <w:sz w:val="16"/>
                <w:szCs w:val="16"/>
              </w:rPr>
              <w:t>2021</w:t>
            </w:r>
          </w:p>
        </w:tc>
        <w:tc>
          <w:tcPr>
            <w:tcW w:w="375" w:type="pct"/>
          </w:tcPr>
          <w:p w14:paraId="6FD77A5A" w14:textId="29A0C5A1" w:rsidR="00B108E3" w:rsidRPr="00B44B19" w:rsidRDefault="00742D18" w:rsidP="00A74AFA">
            <w:pPr>
              <w:spacing w:after="0" w:line="240" w:lineRule="auto"/>
              <w:jc w:val="center"/>
              <w:rPr>
                <w:rFonts w:cs="Times New Roman"/>
                <w:sz w:val="16"/>
                <w:szCs w:val="16"/>
              </w:rPr>
            </w:pPr>
            <w:r w:rsidRPr="00B44B19">
              <w:rPr>
                <w:rFonts w:cs="Times New Roman"/>
                <w:sz w:val="16"/>
                <w:szCs w:val="16"/>
              </w:rPr>
              <w:t>4 963</w:t>
            </w:r>
          </w:p>
        </w:tc>
        <w:tc>
          <w:tcPr>
            <w:tcW w:w="376" w:type="pct"/>
          </w:tcPr>
          <w:p w14:paraId="387DC4C8" w14:textId="77777777" w:rsidR="00B108E3" w:rsidRPr="00B44B19" w:rsidRDefault="00AA0E2C" w:rsidP="00A74AFA">
            <w:pPr>
              <w:spacing w:after="0" w:line="240" w:lineRule="auto"/>
              <w:jc w:val="both"/>
              <w:rPr>
                <w:rFonts w:cs="Times New Roman"/>
                <w:noProof/>
                <w:sz w:val="16"/>
                <w:szCs w:val="16"/>
              </w:rPr>
            </w:pPr>
            <w:r w:rsidRPr="00B44B19">
              <w:rPr>
                <w:rFonts w:cs="Times New Roman"/>
                <w:noProof/>
                <w:sz w:val="16"/>
                <w:szCs w:val="16"/>
              </w:rPr>
              <w:t>Projektų duomenys</w:t>
            </w:r>
          </w:p>
        </w:tc>
        <w:tc>
          <w:tcPr>
            <w:tcW w:w="322" w:type="pct"/>
          </w:tcPr>
          <w:p w14:paraId="4BF310AF" w14:textId="77777777" w:rsidR="00B108E3" w:rsidRPr="00B44B19" w:rsidRDefault="00B108E3" w:rsidP="00A74AFA">
            <w:pPr>
              <w:spacing w:after="0" w:line="240" w:lineRule="auto"/>
              <w:jc w:val="both"/>
              <w:rPr>
                <w:rFonts w:eastAsia="Calibri" w:cs="Times New Roman"/>
                <w:i/>
                <w:noProof/>
                <w:sz w:val="14"/>
                <w:szCs w:val="14"/>
                <w:highlight w:val="yellow"/>
                <w:lang w:eastAsia="lt-LT" w:bidi="lt-LT"/>
              </w:rPr>
            </w:pPr>
          </w:p>
        </w:tc>
      </w:tr>
    </w:tbl>
    <w:p w14:paraId="4C99AAB8" w14:textId="77777777" w:rsidR="00B108E3" w:rsidRPr="00B44B19" w:rsidRDefault="00B108E3" w:rsidP="00786CD2">
      <w:pPr>
        <w:spacing w:after="0" w:line="240" w:lineRule="auto"/>
        <w:rPr>
          <w:rFonts w:cs="Times New Roman"/>
          <w:szCs w:val="24"/>
        </w:rPr>
        <w:sectPr w:rsidR="00B108E3" w:rsidRPr="00B44B19" w:rsidSect="00931C78">
          <w:pgSz w:w="16838" w:h="11906" w:orient="landscape"/>
          <w:pgMar w:top="1701" w:right="1276" w:bottom="567" w:left="1134" w:header="567" w:footer="567" w:gutter="0"/>
          <w:cols w:space="1296"/>
          <w:docGrid w:linePitch="360"/>
        </w:sectPr>
      </w:pPr>
    </w:p>
    <w:p w14:paraId="3E372FA8" w14:textId="77777777" w:rsidR="0066383D" w:rsidRPr="00B44B19" w:rsidRDefault="00786CD2"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8"/>
        <w:gridCol w:w="850"/>
        <w:gridCol w:w="1269"/>
        <w:gridCol w:w="1134"/>
        <w:gridCol w:w="3865"/>
        <w:gridCol w:w="1392"/>
      </w:tblGrid>
      <w:tr w:rsidR="00895372" w:rsidRPr="00B44B19" w14:paraId="45C3C7DB" w14:textId="77777777" w:rsidTr="0099199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62C1F90" w14:textId="77777777" w:rsidR="00895372" w:rsidRPr="00B44B19" w:rsidRDefault="00895372" w:rsidP="0099199B">
            <w:pPr>
              <w:rPr>
                <w:rFonts w:eastAsia="Times New Roman" w:cs="Times New Roman"/>
                <w:b/>
                <w:iCs/>
                <w:noProof/>
                <w:sz w:val="20"/>
              </w:rPr>
            </w:pPr>
            <w:r w:rsidRPr="00B44B19">
              <w:rPr>
                <w:rFonts w:cs="Times New Roman"/>
                <w:b/>
                <w:noProof/>
                <w:sz w:val="20"/>
              </w:rPr>
              <w:t>4 lentelė. 1 matmuo. Intervencinių priemonių sritis</w:t>
            </w:r>
          </w:p>
        </w:tc>
      </w:tr>
      <w:tr w:rsidR="00895372" w:rsidRPr="00B44B19" w14:paraId="1B76A6D3" w14:textId="77777777" w:rsidTr="009430A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D6EFA8"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B4C45F"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DE16CD"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1DA057"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9CE70C"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588F19"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Suma (EUR)</w:t>
            </w:r>
          </w:p>
        </w:tc>
      </w:tr>
      <w:tr w:rsidR="00496EDB" w:rsidRPr="00B44B19" w14:paraId="2AFC7B9F" w14:textId="77777777" w:rsidTr="009430A3">
        <w:tc>
          <w:tcPr>
            <w:tcW w:w="1101" w:type="dxa"/>
            <w:vMerge w:val="restart"/>
            <w:tcBorders>
              <w:top w:val="single" w:sz="12" w:space="0" w:color="auto"/>
            </w:tcBorders>
          </w:tcPr>
          <w:p w14:paraId="31EAA021" w14:textId="77777777" w:rsidR="00496EDB" w:rsidRPr="00B44B19" w:rsidRDefault="00496EDB" w:rsidP="0099199B">
            <w:pPr>
              <w:jc w:val="center"/>
              <w:rPr>
                <w:rFonts w:eastAsia="Times New Roman" w:cs="Times New Roman"/>
                <w:iCs/>
                <w:noProof/>
                <w:sz w:val="20"/>
              </w:rPr>
            </w:pPr>
            <w:r w:rsidRPr="00B44B19">
              <w:rPr>
                <w:rFonts w:eastAsia="Times New Roman" w:cs="Times New Roman"/>
                <w:iCs/>
                <w:noProof/>
                <w:sz w:val="20"/>
              </w:rPr>
              <w:t>3.</w:t>
            </w:r>
          </w:p>
        </w:tc>
        <w:tc>
          <w:tcPr>
            <w:tcW w:w="850" w:type="dxa"/>
            <w:vMerge w:val="restart"/>
            <w:tcBorders>
              <w:top w:val="single" w:sz="12" w:space="0" w:color="auto"/>
            </w:tcBorders>
          </w:tcPr>
          <w:p w14:paraId="110DE3AA" w14:textId="77777777" w:rsidR="00496EDB" w:rsidRPr="00B44B19" w:rsidRDefault="00496EDB" w:rsidP="0099199B">
            <w:pPr>
              <w:jc w:val="center"/>
              <w:rPr>
                <w:rFonts w:eastAsia="Times New Roman" w:cs="Times New Roman"/>
                <w:iCs/>
                <w:noProof/>
                <w:sz w:val="20"/>
              </w:rPr>
            </w:pPr>
            <w:r w:rsidRPr="00B44B19">
              <w:rPr>
                <w:rFonts w:eastAsia="Times New Roman" w:cs="Times New Roman"/>
                <w:iCs/>
                <w:noProof/>
                <w:sz w:val="20"/>
              </w:rPr>
              <w:t>ERPF</w:t>
            </w:r>
          </w:p>
        </w:tc>
        <w:tc>
          <w:tcPr>
            <w:tcW w:w="1276" w:type="dxa"/>
            <w:vMerge w:val="restart"/>
            <w:tcBorders>
              <w:top w:val="single" w:sz="12" w:space="0" w:color="auto"/>
            </w:tcBorders>
          </w:tcPr>
          <w:p w14:paraId="5CE3A3C8" w14:textId="77777777" w:rsidR="00496EDB" w:rsidRPr="00B44B19" w:rsidRDefault="00496EDB" w:rsidP="0099199B">
            <w:pPr>
              <w:rPr>
                <w:rFonts w:eastAsia="Times New Roman" w:cs="Times New Roman"/>
                <w:iCs/>
                <w:noProof/>
                <w:sz w:val="20"/>
              </w:rPr>
            </w:pPr>
            <w:r w:rsidRPr="00B44B19">
              <w:rPr>
                <w:rFonts w:eastAsia="Times New Roman" w:cs="Times New Roman"/>
                <w:iCs/>
                <w:noProof/>
                <w:sz w:val="20"/>
              </w:rPr>
              <w:t>VVL regionas</w:t>
            </w:r>
          </w:p>
        </w:tc>
        <w:tc>
          <w:tcPr>
            <w:tcW w:w="1134" w:type="dxa"/>
            <w:vMerge w:val="restart"/>
            <w:tcBorders>
              <w:top w:val="single" w:sz="12" w:space="0" w:color="auto"/>
            </w:tcBorders>
          </w:tcPr>
          <w:p w14:paraId="240F243F" w14:textId="77777777" w:rsidR="00496EDB" w:rsidRPr="00B44B19" w:rsidRDefault="00496EDB" w:rsidP="00141C67">
            <w:pPr>
              <w:jc w:val="center"/>
              <w:rPr>
                <w:rFonts w:eastAsia="Times New Roman" w:cs="Times New Roman"/>
                <w:iCs/>
                <w:noProof/>
                <w:sz w:val="20"/>
              </w:rPr>
            </w:pPr>
            <w:r w:rsidRPr="00B44B19">
              <w:rPr>
                <w:rFonts w:eastAsia="Times New Roman" w:cs="Times New Roman"/>
                <w:iCs/>
                <w:noProof/>
                <w:sz w:val="20"/>
              </w:rPr>
              <w:t>3.2</w:t>
            </w:r>
          </w:p>
        </w:tc>
        <w:tc>
          <w:tcPr>
            <w:tcW w:w="3969" w:type="dxa"/>
            <w:tcBorders>
              <w:top w:val="single" w:sz="12" w:space="0" w:color="auto"/>
              <w:bottom w:val="single" w:sz="4" w:space="0" w:color="auto"/>
            </w:tcBorders>
          </w:tcPr>
          <w:p w14:paraId="73EE50A3" w14:textId="77777777" w:rsidR="00496EDB" w:rsidRPr="00B44B19" w:rsidRDefault="00496EDB" w:rsidP="00800EA1">
            <w:pPr>
              <w:rPr>
                <w:rFonts w:eastAsia="Times New Roman" w:cs="Times New Roman"/>
                <w:iCs/>
                <w:noProof/>
                <w:sz w:val="20"/>
              </w:rPr>
            </w:pPr>
            <w:r w:rsidRPr="00B44B19">
              <w:rPr>
                <w:rFonts w:eastAsia="Times New Roman" w:cs="Times New Roman"/>
                <w:iCs/>
                <w:noProof/>
                <w:sz w:val="20"/>
              </w:rPr>
              <w:t>083</w:t>
            </w:r>
            <w:r w:rsidR="00800EA1" w:rsidRPr="00B44B19">
              <w:rPr>
                <w:rFonts w:eastAsia="Times New Roman" w:cs="Times New Roman"/>
                <w:iCs/>
                <w:noProof/>
                <w:sz w:val="20"/>
              </w:rPr>
              <w:t xml:space="preserve"> </w:t>
            </w:r>
            <w:r w:rsidR="00E04130" w:rsidRPr="00B44B19">
              <w:rPr>
                <w:rFonts w:eastAsia="Times New Roman" w:cs="Times New Roman"/>
                <w:iCs/>
                <w:noProof/>
                <w:sz w:val="20"/>
              </w:rPr>
              <w:t>–</w:t>
            </w:r>
            <w:r w:rsidR="00800EA1" w:rsidRPr="00B44B19">
              <w:rPr>
                <w:rFonts w:eastAsia="Times New Roman" w:cs="Times New Roman"/>
                <w:iCs/>
                <w:noProof/>
                <w:sz w:val="20"/>
              </w:rPr>
              <w:t xml:space="preserve"> Dviračių infrastruktūra</w:t>
            </w:r>
          </w:p>
        </w:tc>
        <w:tc>
          <w:tcPr>
            <w:tcW w:w="1417" w:type="dxa"/>
            <w:tcBorders>
              <w:top w:val="single" w:sz="12" w:space="0" w:color="auto"/>
              <w:bottom w:val="single" w:sz="4" w:space="0" w:color="auto"/>
            </w:tcBorders>
          </w:tcPr>
          <w:p w14:paraId="18986F8F" w14:textId="17CA760D" w:rsidR="00496EDB" w:rsidRPr="00B44B19" w:rsidRDefault="000F4375" w:rsidP="000F4375">
            <w:pPr>
              <w:jc w:val="right"/>
              <w:rPr>
                <w:rFonts w:eastAsia="Times New Roman" w:cs="Times New Roman"/>
                <w:iCs/>
                <w:noProof/>
                <w:sz w:val="20"/>
              </w:rPr>
            </w:pPr>
            <w:r w:rsidRPr="00B44B19">
              <w:rPr>
                <w:rFonts w:cs="Times New Roman"/>
                <w:color w:val="000000"/>
                <w:sz w:val="20"/>
                <w:szCs w:val="20"/>
              </w:rPr>
              <w:t>14 700 000</w:t>
            </w:r>
            <w:r w:rsidR="00496EDB" w:rsidRPr="00B44B19">
              <w:rPr>
                <w:rFonts w:eastAsia="Times New Roman" w:cs="Times New Roman"/>
                <w:iCs/>
                <w:noProof/>
                <w:sz w:val="20"/>
              </w:rPr>
              <w:t>,00</w:t>
            </w:r>
          </w:p>
        </w:tc>
      </w:tr>
      <w:tr w:rsidR="00496EDB" w:rsidRPr="00B44B19" w14:paraId="19F435F8" w14:textId="77777777" w:rsidTr="009430A3">
        <w:tc>
          <w:tcPr>
            <w:tcW w:w="1101" w:type="dxa"/>
            <w:vMerge/>
          </w:tcPr>
          <w:p w14:paraId="331F3EDB" w14:textId="77777777" w:rsidR="00496EDB" w:rsidRPr="00B44B19" w:rsidRDefault="00496EDB" w:rsidP="0099199B">
            <w:pPr>
              <w:rPr>
                <w:rFonts w:eastAsia="Times New Roman" w:cs="Times New Roman"/>
                <w:iCs/>
                <w:noProof/>
                <w:sz w:val="20"/>
              </w:rPr>
            </w:pPr>
          </w:p>
        </w:tc>
        <w:tc>
          <w:tcPr>
            <w:tcW w:w="850" w:type="dxa"/>
            <w:vMerge/>
          </w:tcPr>
          <w:p w14:paraId="50BB24F5" w14:textId="77777777" w:rsidR="00496EDB" w:rsidRPr="00B44B19" w:rsidRDefault="00496EDB" w:rsidP="0099199B">
            <w:pPr>
              <w:rPr>
                <w:rFonts w:eastAsia="Times New Roman" w:cs="Times New Roman"/>
                <w:b/>
                <w:iCs/>
                <w:noProof/>
                <w:sz w:val="20"/>
              </w:rPr>
            </w:pPr>
          </w:p>
        </w:tc>
        <w:tc>
          <w:tcPr>
            <w:tcW w:w="1276" w:type="dxa"/>
            <w:vMerge/>
          </w:tcPr>
          <w:p w14:paraId="3685BD32" w14:textId="77777777" w:rsidR="00496EDB" w:rsidRPr="00B44B19" w:rsidRDefault="00496EDB" w:rsidP="0099199B">
            <w:pPr>
              <w:rPr>
                <w:rFonts w:eastAsia="Times New Roman" w:cs="Times New Roman"/>
                <w:iCs/>
                <w:noProof/>
                <w:sz w:val="20"/>
              </w:rPr>
            </w:pPr>
          </w:p>
        </w:tc>
        <w:tc>
          <w:tcPr>
            <w:tcW w:w="1134" w:type="dxa"/>
            <w:vMerge/>
          </w:tcPr>
          <w:p w14:paraId="43B7FA1C" w14:textId="77777777" w:rsidR="00496EDB" w:rsidRPr="00B44B19" w:rsidRDefault="00496EDB" w:rsidP="0099199B">
            <w:pPr>
              <w:rPr>
                <w:rFonts w:eastAsia="Times New Roman" w:cs="Times New Roman"/>
                <w:b/>
                <w:iCs/>
                <w:noProof/>
                <w:sz w:val="20"/>
              </w:rPr>
            </w:pPr>
          </w:p>
        </w:tc>
        <w:tc>
          <w:tcPr>
            <w:tcW w:w="3969" w:type="dxa"/>
            <w:tcBorders>
              <w:top w:val="single" w:sz="4" w:space="0" w:color="auto"/>
            </w:tcBorders>
          </w:tcPr>
          <w:p w14:paraId="0402E0F0" w14:textId="77777777" w:rsidR="00496EDB" w:rsidRPr="00B44B19" w:rsidRDefault="00496EDB" w:rsidP="00800EA1">
            <w:pPr>
              <w:rPr>
                <w:rFonts w:eastAsia="Times New Roman" w:cs="Times New Roman"/>
                <w:iCs/>
                <w:noProof/>
                <w:sz w:val="20"/>
              </w:rPr>
            </w:pPr>
            <w:r w:rsidRPr="00B44B19">
              <w:rPr>
                <w:rFonts w:eastAsia="Times New Roman" w:cs="Times New Roman"/>
                <w:iCs/>
                <w:noProof/>
                <w:sz w:val="20"/>
              </w:rPr>
              <w:t>093</w:t>
            </w:r>
            <w:r w:rsidR="00800EA1" w:rsidRPr="00B44B19">
              <w:rPr>
                <w:rFonts w:eastAsia="Times New Roman" w:cs="Times New Roman"/>
                <w:iCs/>
                <w:noProof/>
                <w:sz w:val="20"/>
              </w:rPr>
              <w:t xml:space="preserve"> </w:t>
            </w:r>
            <w:r w:rsidR="00E04130" w:rsidRPr="00B44B19">
              <w:rPr>
                <w:rFonts w:eastAsia="Times New Roman" w:cs="Times New Roman"/>
                <w:iCs/>
                <w:noProof/>
                <w:sz w:val="20"/>
              </w:rPr>
              <w:t>–</w:t>
            </w:r>
            <w:r w:rsidR="00800EA1" w:rsidRPr="00B44B19">
              <w:rPr>
                <w:rFonts w:eastAsia="Times New Roman" w:cs="Times New Roman"/>
                <w:iCs/>
                <w:noProof/>
                <w:sz w:val="20"/>
              </w:rPr>
              <w:t xml:space="preserve"> Kiti rekonstruoti ar modernizuoti keliai (greitkeliai, nacionaliniai, regioniniai ar vietos keliai)</w:t>
            </w:r>
          </w:p>
        </w:tc>
        <w:tc>
          <w:tcPr>
            <w:tcW w:w="1417" w:type="dxa"/>
            <w:tcBorders>
              <w:top w:val="single" w:sz="4" w:space="0" w:color="auto"/>
            </w:tcBorders>
          </w:tcPr>
          <w:p w14:paraId="7D7C05B7" w14:textId="4D1F8BEA" w:rsidR="00496EDB" w:rsidRPr="00B44B19" w:rsidRDefault="000F4375" w:rsidP="000F4375">
            <w:pPr>
              <w:jc w:val="right"/>
              <w:rPr>
                <w:rFonts w:eastAsia="Times New Roman" w:cs="Times New Roman"/>
                <w:iCs/>
                <w:noProof/>
                <w:sz w:val="20"/>
              </w:rPr>
            </w:pPr>
            <w:r w:rsidRPr="00B44B19">
              <w:rPr>
                <w:rFonts w:cs="Times New Roman"/>
                <w:color w:val="000000"/>
                <w:sz w:val="20"/>
                <w:szCs w:val="20"/>
              </w:rPr>
              <w:t>62 958 750</w:t>
            </w:r>
            <w:r w:rsidR="00496EDB" w:rsidRPr="00B44B19">
              <w:rPr>
                <w:rFonts w:eastAsia="Times New Roman" w:cs="Times New Roman"/>
                <w:iCs/>
                <w:noProof/>
                <w:sz w:val="20"/>
              </w:rPr>
              <w:t>,00</w:t>
            </w:r>
          </w:p>
        </w:tc>
      </w:tr>
    </w:tbl>
    <w:p w14:paraId="48C72191" w14:textId="77777777" w:rsidR="00895372" w:rsidRPr="00B44B19" w:rsidRDefault="00895372" w:rsidP="00821D6E">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9"/>
        <w:gridCol w:w="850"/>
        <w:gridCol w:w="1270"/>
        <w:gridCol w:w="1134"/>
        <w:gridCol w:w="3861"/>
        <w:gridCol w:w="1394"/>
      </w:tblGrid>
      <w:tr w:rsidR="00895372" w:rsidRPr="00B44B19" w14:paraId="5FABE322" w14:textId="77777777" w:rsidTr="0099199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A5F938A" w14:textId="77777777" w:rsidR="00895372" w:rsidRPr="00B44B19" w:rsidRDefault="00895372" w:rsidP="007752C3">
            <w:pPr>
              <w:rPr>
                <w:rFonts w:eastAsia="Times New Roman" w:cs="Times New Roman"/>
                <w:b/>
                <w:iCs/>
                <w:noProof/>
                <w:sz w:val="20"/>
              </w:rPr>
            </w:pPr>
            <w:r w:rsidRPr="00B44B19">
              <w:rPr>
                <w:rFonts w:cs="Times New Roman"/>
                <w:b/>
                <w:noProof/>
                <w:sz w:val="20"/>
              </w:rPr>
              <w:t xml:space="preserve">5 lentelė. 2 matmuo. </w:t>
            </w:r>
            <w:r w:rsidR="007752C3" w:rsidRPr="00B44B19">
              <w:rPr>
                <w:rFonts w:cs="Times New Roman"/>
                <w:b/>
                <w:noProof/>
                <w:sz w:val="20"/>
              </w:rPr>
              <w:t>Finansavimo</w:t>
            </w:r>
            <w:r w:rsidR="0007617D" w:rsidRPr="00B44B19">
              <w:rPr>
                <w:rFonts w:cs="Times New Roman"/>
                <w:b/>
                <w:noProof/>
                <w:sz w:val="20"/>
              </w:rPr>
              <w:t xml:space="preserve"> </w:t>
            </w:r>
            <w:r w:rsidRPr="00B44B19">
              <w:rPr>
                <w:rFonts w:cs="Times New Roman"/>
                <w:b/>
                <w:noProof/>
                <w:sz w:val="20"/>
              </w:rPr>
              <w:t>forma</w:t>
            </w:r>
          </w:p>
        </w:tc>
      </w:tr>
      <w:tr w:rsidR="00895372" w:rsidRPr="00B44B19" w14:paraId="52358563" w14:textId="77777777" w:rsidTr="009430A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356C90"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92A8A6"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CEE6E"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33AAD6"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2D820D"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E2E9F1" w14:textId="77777777" w:rsidR="00895372" w:rsidRPr="00B44B19" w:rsidRDefault="00895372" w:rsidP="0099199B">
            <w:pPr>
              <w:jc w:val="center"/>
              <w:rPr>
                <w:rFonts w:eastAsia="Times New Roman" w:cs="Times New Roman"/>
                <w:b/>
                <w:iCs/>
                <w:noProof/>
                <w:sz w:val="20"/>
              </w:rPr>
            </w:pPr>
            <w:r w:rsidRPr="00B44B19">
              <w:rPr>
                <w:rFonts w:cs="Times New Roman"/>
                <w:b/>
                <w:noProof/>
                <w:sz w:val="20"/>
              </w:rPr>
              <w:t>Suma (EUR)</w:t>
            </w:r>
          </w:p>
        </w:tc>
      </w:tr>
      <w:tr w:rsidR="00150440" w:rsidRPr="00B44B19" w14:paraId="55CF5E16" w14:textId="77777777" w:rsidTr="009430A3">
        <w:tc>
          <w:tcPr>
            <w:tcW w:w="1101" w:type="dxa"/>
            <w:tcBorders>
              <w:top w:val="single" w:sz="12" w:space="0" w:color="auto"/>
            </w:tcBorders>
          </w:tcPr>
          <w:p w14:paraId="6A4B01B3" w14:textId="77777777" w:rsidR="00150440" w:rsidRPr="00B44B19" w:rsidRDefault="00150440" w:rsidP="0099199B">
            <w:pPr>
              <w:jc w:val="center"/>
              <w:rPr>
                <w:rFonts w:eastAsia="Times New Roman" w:cs="Times New Roman"/>
                <w:iCs/>
                <w:noProof/>
                <w:sz w:val="20"/>
              </w:rPr>
            </w:pPr>
            <w:r w:rsidRPr="00B44B19">
              <w:rPr>
                <w:rFonts w:eastAsia="Times New Roman" w:cs="Times New Roman"/>
                <w:iCs/>
                <w:noProof/>
                <w:sz w:val="20"/>
              </w:rPr>
              <w:t>3.</w:t>
            </w:r>
          </w:p>
        </w:tc>
        <w:tc>
          <w:tcPr>
            <w:tcW w:w="850" w:type="dxa"/>
            <w:tcBorders>
              <w:top w:val="single" w:sz="12" w:space="0" w:color="auto"/>
            </w:tcBorders>
          </w:tcPr>
          <w:p w14:paraId="5A8D2EF4" w14:textId="77777777" w:rsidR="00150440" w:rsidRPr="00B44B19" w:rsidRDefault="00150440" w:rsidP="0099199B">
            <w:pPr>
              <w:jc w:val="center"/>
              <w:rPr>
                <w:rFonts w:eastAsia="Times New Roman" w:cs="Times New Roman"/>
                <w:iCs/>
                <w:noProof/>
                <w:sz w:val="20"/>
              </w:rPr>
            </w:pPr>
            <w:r w:rsidRPr="00B44B19">
              <w:rPr>
                <w:rFonts w:eastAsia="Times New Roman" w:cs="Times New Roman"/>
                <w:iCs/>
                <w:noProof/>
                <w:sz w:val="20"/>
              </w:rPr>
              <w:t>ERPF</w:t>
            </w:r>
          </w:p>
        </w:tc>
        <w:tc>
          <w:tcPr>
            <w:tcW w:w="1276" w:type="dxa"/>
            <w:tcBorders>
              <w:top w:val="single" w:sz="12" w:space="0" w:color="auto"/>
            </w:tcBorders>
          </w:tcPr>
          <w:p w14:paraId="754F3B4D" w14:textId="77777777" w:rsidR="00150440" w:rsidRPr="00B44B19" w:rsidRDefault="00947A7E" w:rsidP="0099199B">
            <w:pPr>
              <w:rPr>
                <w:rFonts w:eastAsia="Times New Roman" w:cs="Times New Roman"/>
                <w:iCs/>
                <w:noProof/>
                <w:sz w:val="20"/>
              </w:rPr>
            </w:pPr>
            <w:r w:rsidRPr="00B44B19">
              <w:rPr>
                <w:rFonts w:eastAsia="Times New Roman" w:cs="Times New Roman"/>
                <w:iCs/>
                <w:noProof/>
                <w:sz w:val="20"/>
              </w:rPr>
              <w:t>VVL</w:t>
            </w:r>
            <w:r w:rsidR="00150440" w:rsidRPr="00B44B19">
              <w:rPr>
                <w:rFonts w:eastAsia="Times New Roman" w:cs="Times New Roman"/>
                <w:iCs/>
                <w:noProof/>
                <w:sz w:val="20"/>
              </w:rPr>
              <w:t xml:space="preserve"> regionas</w:t>
            </w:r>
          </w:p>
        </w:tc>
        <w:tc>
          <w:tcPr>
            <w:tcW w:w="1134" w:type="dxa"/>
            <w:tcBorders>
              <w:top w:val="single" w:sz="12" w:space="0" w:color="auto"/>
            </w:tcBorders>
          </w:tcPr>
          <w:p w14:paraId="7BA2F20E" w14:textId="77777777" w:rsidR="00150440" w:rsidRPr="00B44B19" w:rsidRDefault="00150440" w:rsidP="00141C67">
            <w:pPr>
              <w:jc w:val="center"/>
              <w:rPr>
                <w:rFonts w:eastAsia="Times New Roman" w:cs="Times New Roman"/>
                <w:b/>
                <w:iCs/>
                <w:noProof/>
                <w:sz w:val="20"/>
              </w:rPr>
            </w:pPr>
            <w:r w:rsidRPr="00B44B19">
              <w:rPr>
                <w:rFonts w:eastAsia="Times New Roman" w:cs="Times New Roman"/>
                <w:iCs/>
                <w:noProof/>
                <w:sz w:val="20"/>
              </w:rPr>
              <w:t>3.</w:t>
            </w:r>
            <w:r w:rsidR="00141C67" w:rsidRPr="00B44B19">
              <w:rPr>
                <w:rFonts w:eastAsia="Times New Roman" w:cs="Times New Roman"/>
                <w:iCs/>
                <w:noProof/>
                <w:sz w:val="20"/>
              </w:rPr>
              <w:t>2</w:t>
            </w:r>
          </w:p>
        </w:tc>
        <w:tc>
          <w:tcPr>
            <w:tcW w:w="3969" w:type="dxa"/>
            <w:tcBorders>
              <w:top w:val="single" w:sz="12" w:space="0" w:color="auto"/>
            </w:tcBorders>
          </w:tcPr>
          <w:p w14:paraId="352CF14E" w14:textId="77777777" w:rsidR="00150440" w:rsidRPr="00B44B19" w:rsidRDefault="00150440" w:rsidP="00800EA1">
            <w:pPr>
              <w:rPr>
                <w:rFonts w:eastAsia="Times New Roman" w:cs="Times New Roman"/>
                <w:bCs/>
                <w:iCs/>
                <w:noProof/>
                <w:sz w:val="20"/>
              </w:rPr>
            </w:pPr>
            <w:r w:rsidRPr="00B44B19">
              <w:rPr>
                <w:rFonts w:eastAsia="Times New Roman" w:cs="Times New Roman"/>
                <w:bCs/>
                <w:iCs/>
                <w:noProof/>
                <w:sz w:val="20"/>
              </w:rPr>
              <w:t>01</w:t>
            </w:r>
            <w:r w:rsidR="00800EA1" w:rsidRPr="00B44B19">
              <w:rPr>
                <w:rFonts w:eastAsia="Times New Roman" w:cs="Times New Roman"/>
                <w:bCs/>
                <w:iCs/>
                <w:noProof/>
                <w:sz w:val="20"/>
              </w:rPr>
              <w:t xml:space="preserve"> </w:t>
            </w:r>
            <w:r w:rsidR="00E04130" w:rsidRPr="00B44B19">
              <w:rPr>
                <w:rFonts w:eastAsia="Times New Roman" w:cs="Times New Roman"/>
                <w:bCs/>
                <w:iCs/>
                <w:noProof/>
                <w:sz w:val="20"/>
              </w:rPr>
              <w:t>–</w:t>
            </w:r>
            <w:r w:rsidR="00800EA1" w:rsidRPr="00B44B19">
              <w:rPr>
                <w:rFonts w:eastAsia="Times New Roman" w:cs="Times New Roman"/>
                <w:bCs/>
                <w:iCs/>
                <w:noProof/>
                <w:sz w:val="20"/>
              </w:rPr>
              <w:t xml:space="preserve"> Dotacija</w:t>
            </w:r>
          </w:p>
        </w:tc>
        <w:tc>
          <w:tcPr>
            <w:tcW w:w="1417" w:type="dxa"/>
            <w:tcBorders>
              <w:top w:val="single" w:sz="12" w:space="0" w:color="auto"/>
              <w:bottom w:val="single" w:sz="4" w:space="0" w:color="auto"/>
            </w:tcBorders>
          </w:tcPr>
          <w:p w14:paraId="18321EAC" w14:textId="4E477CE1" w:rsidR="00150440" w:rsidRPr="00B44B19" w:rsidRDefault="000F4375" w:rsidP="000F4375">
            <w:pPr>
              <w:jc w:val="right"/>
              <w:rPr>
                <w:rFonts w:eastAsia="Times New Roman" w:cs="Times New Roman"/>
                <w:bCs/>
                <w:iCs/>
                <w:noProof/>
                <w:sz w:val="20"/>
              </w:rPr>
            </w:pPr>
            <w:r w:rsidRPr="00B44B19">
              <w:rPr>
                <w:rFonts w:cs="Times New Roman"/>
                <w:color w:val="000000"/>
                <w:sz w:val="20"/>
                <w:szCs w:val="20"/>
              </w:rPr>
              <w:t>77 658 750</w:t>
            </w:r>
            <w:r w:rsidR="00150440" w:rsidRPr="00B44B19">
              <w:rPr>
                <w:rFonts w:eastAsia="Times New Roman" w:cs="Times New Roman"/>
                <w:bCs/>
                <w:iCs/>
                <w:noProof/>
                <w:sz w:val="20"/>
              </w:rPr>
              <w:t>,00</w:t>
            </w:r>
          </w:p>
        </w:tc>
      </w:tr>
    </w:tbl>
    <w:p w14:paraId="0F595547" w14:textId="77777777" w:rsidR="00E438B8" w:rsidRPr="00B44B19" w:rsidRDefault="00E438B8" w:rsidP="00821D6E">
      <w:pPr>
        <w:spacing w:after="0" w:line="240" w:lineRule="auto"/>
        <w:rPr>
          <w:rFonts w:cs="Times New Roman"/>
          <w:bCs/>
          <w:sz w:val="20"/>
          <w:szCs w:val="20"/>
        </w:rPr>
      </w:pPr>
    </w:p>
    <w:tbl>
      <w:tblPr>
        <w:tblStyle w:val="Lentelstinklelis"/>
        <w:tblW w:w="0" w:type="auto"/>
        <w:tblLook w:val="04A0" w:firstRow="1" w:lastRow="0" w:firstColumn="1" w:lastColumn="0" w:noHBand="0" w:noVBand="1"/>
      </w:tblPr>
      <w:tblGrid>
        <w:gridCol w:w="1098"/>
        <w:gridCol w:w="850"/>
        <w:gridCol w:w="1268"/>
        <w:gridCol w:w="1134"/>
        <w:gridCol w:w="3868"/>
        <w:gridCol w:w="1390"/>
      </w:tblGrid>
      <w:tr w:rsidR="003617C9" w:rsidRPr="00B44B19" w14:paraId="53807656" w14:textId="77777777" w:rsidTr="00893029">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292BC1" w14:textId="77777777" w:rsidR="003617C9" w:rsidRPr="00B44B19" w:rsidRDefault="003617C9" w:rsidP="00893029">
            <w:pPr>
              <w:rPr>
                <w:rFonts w:eastAsia="Times New Roman" w:cs="Times New Roman"/>
                <w:b/>
                <w:iCs/>
                <w:noProof/>
                <w:sz w:val="20"/>
              </w:rPr>
            </w:pPr>
            <w:r w:rsidRPr="00B44B19">
              <w:rPr>
                <w:rFonts w:cs="Times New Roman"/>
                <w:b/>
                <w:noProof/>
                <w:sz w:val="20"/>
              </w:rPr>
              <w:t>6 lentelė. 3 matmuo. Teritorinis įgyvendinimo mechanizmas ir pagrindinė teritorinė sritis</w:t>
            </w:r>
          </w:p>
        </w:tc>
      </w:tr>
      <w:tr w:rsidR="003617C9" w:rsidRPr="00B44B19" w14:paraId="567325BA" w14:textId="77777777" w:rsidTr="0089302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489863"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ACAF5"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Fondas</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18ED4D"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547AB6"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F48CDB"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CC8766"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Suma (EUR)</w:t>
            </w:r>
          </w:p>
        </w:tc>
      </w:tr>
      <w:tr w:rsidR="003617C9" w:rsidRPr="00B44B19" w14:paraId="64D0F814" w14:textId="77777777" w:rsidTr="00423E48">
        <w:trPr>
          <w:trHeight w:val="230"/>
        </w:trPr>
        <w:tc>
          <w:tcPr>
            <w:tcW w:w="1101" w:type="dxa"/>
            <w:vMerge w:val="restart"/>
            <w:tcBorders>
              <w:top w:val="single" w:sz="12" w:space="0" w:color="auto"/>
            </w:tcBorders>
          </w:tcPr>
          <w:p w14:paraId="1A7B29F6"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3.</w:t>
            </w:r>
          </w:p>
        </w:tc>
        <w:tc>
          <w:tcPr>
            <w:tcW w:w="850" w:type="dxa"/>
            <w:vMerge w:val="restart"/>
            <w:tcBorders>
              <w:top w:val="single" w:sz="12" w:space="0" w:color="auto"/>
            </w:tcBorders>
          </w:tcPr>
          <w:p w14:paraId="02059099"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ERPF</w:t>
            </w:r>
          </w:p>
        </w:tc>
        <w:tc>
          <w:tcPr>
            <w:tcW w:w="1276" w:type="dxa"/>
            <w:vMerge w:val="restart"/>
            <w:tcBorders>
              <w:top w:val="single" w:sz="12" w:space="0" w:color="auto"/>
            </w:tcBorders>
          </w:tcPr>
          <w:p w14:paraId="2A88E2F9" w14:textId="77777777" w:rsidR="003617C9" w:rsidRPr="00B44B19" w:rsidRDefault="003617C9" w:rsidP="00893029">
            <w:pPr>
              <w:rPr>
                <w:rFonts w:eastAsia="Times New Roman" w:cs="Times New Roman"/>
                <w:iCs/>
                <w:noProof/>
                <w:sz w:val="20"/>
              </w:rPr>
            </w:pPr>
            <w:r w:rsidRPr="00B44B19">
              <w:rPr>
                <w:rFonts w:eastAsia="Times New Roman" w:cs="Times New Roman"/>
                <w:iCs/>
                <w:noProof/>
                <w:sz w:val="20"/>
              </w:rPr>
              <w:t>VVL regionas</w:t>
            </w:r>
          </w:p>
        </w:tc>
        <w:tc>
          <w:tcPr>
            <w:tcW w:w="1134" w:type="dxa"/>
            <w:vMerge w:val="restart"/>
            <w:tcBorders>
              <w:top w:val="single" w:sz="12" w:space="0" w:color="auto"/>
            </w:tcBorders>
          </w:tcPr>
          <w:p w14:paraId="6078366F"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3.2</w:t>
            </w:r>
          </w:p>
        </w:tc>
        <w:tc>
          <w:tcPr>
            <w:tcW w:w="3969" w:type="dxa"/>
            <w:tcBorders>
              <w:top w:val="single" w:sz="12" w:space="0" w:color="auto"/>
              <w:bottom w:val="single" w:sz="4" w:space="0" w:color="auto"/>
            </w:tcBorders>
          </w:tcPr>
          <w:p w14:paraId="7ECD3835" w14:textId="77777777" w:rsidR="003617C9" w:rsidRPr="00B44B19" w:rsidRDefault="003617C9" w:rsidP="00423E48">
            <w:pPr>
              <w:rPr>
                <w:rFonts w:eastAsia="Times New Roman" w:cs="Times New Roman"/>
                <w:bCs/>
                <w:iCs/>
                <w:noProof/>
                <w:sz w:val="20"/>
              </w:rPr>
            </w:pPr>
            <w:r w:rsidRPr="00B44B19">
              <w:rPr>
                <w:rFonts w:eastAsia="Times New Roman" w:cs="Times New Roman"/>
                <w:bCs/>
                <w:iCs/>
                <w:noProof/>
                <w:sz w:val="20"/>
              </w:rPr>
              <w:t>02</w:t>
            </w:r>
            <w:r w:rsidR="00E04130" w:rsidRPr="00B44B19">
              <w:rPr>
                <w:rFonts w:eastAsia="Times New Roman" w:cs="Times New Roman"/>
                <w:bCs/>
                <w:iCs/>
                <w:noProof/>
                <w:sz w:val="20"/>
              </w:rPr>
              <w:t xml:space="preserve"> –</w:t>
            </w:r>
            <w:r w:rsidRPr="00B44B19">
              <w:rPr>
                <w:rFonts w:eastAsia="Times New Roman" w:cs="Times New Roman"/>
                <w:bCs/>
                <w:iCs/>
                <w:noProof/>
                <w:sz w:val="20"/>
              </w:rPr>
              <w:t xml:space="preserve"> Miestai, miesteliai ir priemiesčiai</w:t>
            </w:r>
          </w:p>
        </w:tc>
        <w:tc>
          <w:tcPr>
            <w:tcW w:w="1417" w:type="dxa"/>
            <w:tcBorders>
              <w:top w:val="single" w:sz="12" w:space="0" w:color="auto"/>
            </w:tcBorders>
          </w:tcPr>
          <w:p w14:paraId="21F23B12" w14:textId="278E9AA8" w:rsidR="003617C9" w:rsidRPr="00B44B19" w:rsidRDefault="000F4375" w:rsidP="000F4375">
            <w:pPr>
              <w:jc w:val="right"/>
              <w:rPr>
                <w:rFonts w:eastAsia="Times New Roman" w:cs="Times New Roman"/>
                <w:b/>
                <w:iCs/>
                <w:noProof/>
                <w:sz w:val="20"/>
              </w:rPr>
            </w:pPr>
            <w:r w:rsidRPr="00B44B19">
              <w:rPr>
                <w:rFonts w:cs="Times New Roman"/>
                <w:color w:val="000000"/>
                <w:sz w:val="20"/>
                <w:szCs w:val="20"/>
              </w:rPr>
              <w:t>7 766 264</w:t>
            </w:r>
            <w:r w:rsidR="003617C9" w:rsidRPr="00B44B19">
              <w:rPr>
                <w:rFonts w:eastAsia="Times New Roman" w:cs="Times New Roman"/>
                <w:bCs/>
                <w:iCs/>
                <w:noProof/>
                <w:sz w:val="20"/>
              </w:rPr>
              <w:t>,00</w:t>
            </w:r>
          </w:p>
        </w:tc>
      </w:tr>
      <w:tr w:rsidR="003617C9" w:rsidRPr="00B44B19" w14:paraId="6F7602BE" w14:textId="77777777" w:rsidTr="00423E48">
        <w:trPr>
          <w:trHeight w:val="227"/>
        </w:trPr>
        <w:tc>
          <w:tcPr>
            <w:tcW w:w="1101" w:type="dxa"/>
            <w:vMerge/>
          </w:tcPr>
          <w:p w14:paraId="3FCA0F9A" w14:textId="77777777" w:rsidR="003617C9" w:rsidRPr="00B44B19" w:rsidRDefault="003617C9" w:rsidP="00893029">
            <w:pPr>
              <w:jc w:val="center"/>
              <w:rPr>
                <w:rFonts w:eastAsia="Times New Roman" w:cs="Times New Roman"/>
                <w:iCs/>
                <w:noProof/>
                <w:sz w:val="20"/>
              </w:rPr>
            </w:pPr>
          </w:p>
        </w:tc>
        <w:tc>
          <w:tcPr>
            <w:tcW w:w="850" w:type="dxa"/>
            <w:vMerge/>
          </w:tcPr>
          <w:p w14:paraId="45C555D8" w14:textId="77777777" w:rsidR="003617C9" w:rsidRPr="00B44B19" w:rsidRDefault="003617C9" w:rsidP="00893029">
            <w:pPr>
              <w:jc w:val="center"/>
              <w:rPr>
                <w:rFonts w:eastAsia="Times New Roman" w:cs="Times New Roman"/>
                <w:iCs/>
                <w:noProof/>
                <w:sz w:val="20"/>
              </w:rPr>
            </w:pPr>
          </w:p>
        </w:tc>
        <w:tc>
          <w:tcPr>
            <w:tcW w:w="1276" w:type="dxa"/>
            <w:vMerge/>
          </w:tcPr>
          <w:p w14:paraId="3E7B2393" w14:textId="77777777" w:rsidR="003617C9" w:rsidRPr="00B44B19" w:rsidRDefault="003617C9" w:rsidP="00893029">
            <w:pPr>
              <w:rPr>
                <w:rFonts w:eastAsia="Times New Roman" w:cs="Times New Roman"/>
                <w:iCs/>
                <w:noProof/>
                <w:sz w:val="20"/>
              </w:rPr>
            </w:pPr>
          </w:p>
        </w:tc>
        <w:tc>
          <w:tcPr>
            <w:tcW w:w="1134" w:type="dxa"/>
            <w:vMerge/>
          </w:tcPr>
          <w:p w14:paraId="15108BA8" w14:textId="77777777" w:rsidR="003617C9" w:rsidRPr="00B44B19" w:rsidRDefault="003617C9" w:rsidP="00893029">
            <w:pPr>
              <w:jc w:val="center"/>
              <w:rPr>
                <w:rFonts w:eastAsia="Times New Roman" w:cs="Times New Roman"/>
                <w:iCs/>
                <w:noProof/>
                <w:sz w:val="20"/>
              </w:rPr>
            </w:pPr>
          </w:p>
        </w:tc>
        <w:tc>
          <w:tcPr>
            <w:tcW w:w="3969" w:type="dxa"/>
            <w:tcBorders>
              <w:top w:val="single" w:sz="4" w:space="0" w:color="auto"/>
              <w:bottom w:val="single" w:sz="4" w:space="0" w:color="auto"/>
            </w:tcBorders>
          </w:tcPr>
          <w:p w14:paraId="36CA69EC" w14:textId="77777777" w:rsidR="003617C9" w:rsidRPr="00B44B19" w:rsidRDefault="003617C9" w:rsidP="00423E48">
            <w:pPr>
              <w:rPr>
                <w:rFonts w:eastAsia="Times New Roman" w:cs="Times New Roman"/>
                <w:bCs/>
                <w:iCs/>
                <w:noProof/>
                <w:sz w:val="20"/>
              </w:rPr>
            </w:pPr>
            <w:r w:rsidRPr="00B44B19">
              <w:rPr>
                <w:rFonts w:eastAsia="Times New Roman" w:cs="Times New Roman"/>
                <w:bCs/>
                <w:iCs/>
                <w:noProof/>
                <w:sz w:val="20"/>
              </w:rPr>
              <w:t>08</w:t>
            </w:r>
            <w:r w:rsidR="00E04130" w:rsidRPr="00B44B19">
              <w:rPr>
                <w:rFonts w:eastAsia="Times New Roman" w:cs="Times New Roman"/>
                <w:bCs/>
                <w:iCs/>
                <w:noProof/>
                <w:sz w:val="20"/>
              </w:rPr>
              <w:t xml:space="preserve"> –</w:t>
            </w:r>
            <w:r w:rsidRPr="00B44B19">
              <w:rPr>
                <w:rFonts w:eastAsia="Times New Roman" w:cs="Times New Roman"/>
                <w:bCs/>
                <w:iCs/>
                <w:noProof/>
                <w:sz w:val="20"/>
              </w:rPr>
              <w:t xml:space="preserve"> Kitų rūšių tikslinės teritorijos</w:t>
            </w:r>
          </w:p>
        </w:tc>
        <w:tc>
          <w:tcPr>
            <w:tcW w:w="1417" w:type="dxa"/>
          </w:tcPr>
          <w:p w14:paraId="0E4E5DED" w14:textId="24CFED7C" w:rsidR="003617C9" w:rsidRPr="00B44B19" w:rsidRDefault="000F4375" w:rsidP="000F4375">
            <w:pPr>
              <w:jc w:val="right"/>
              <w:rPr>
                <w:rFonts w:eastAsia="Times New Roman" w:cs="Times New Roman"/>
                <w:bCs/>
                <w:iCs/>
                <w:noProof/>
                <w:sz w:val="20"/>
              </w:rPr>
            </w:pPr>
            <w:r w:rsidRPr="00B44B19">
              <w:rPr>
                <w:rFonts w:cs="Times New Roman"/>
                <w:color w:val="000000"/>
                <w:sz w:val="20"/>
                <w:szCs w:val="20"/>
              </w:rPr>
              <w:t>3 882 549</w:t>
            </w:r>
            <w:r w:rsidR="003617C9" w:rsidRPr="00B44B19">
              <w:rPr>
                <w:rFonts w:eastAsia="Times New Roman" w:cs="Times New Roman"/>
                <w:bCs/>
                <w:iCs/>
                <w:noProof/>
                <w:sz w:val="20"/>
              </w:rPr>
              <w:t>,00</w:t>
            </w:r>
          </w:p>
        </w:tc>
      </w:tr>
      <w:tr w:rsidR="003617C9" w:rsidRPr="00B44B19" w14:paraId="74C1B9E6" w14:textId="77777777" w:rsidTr="00893029">
        <w:trPr>
          <w:trHeight w:val="230"/>
        </w:trPr>
        <w:tc>
          <w:tcPr>
            <w:tcW w:w="1101" w:type="dxa"/>
            <w:vMerge/>
          </w:tcPr>
          <w:p w14:paraId="1D543554" w14:textId="77777777" w:rsidR="003617C9" w:rsidRPr="00B44B19" w:rsidRDefault="003617C9" w:rsidP="00893029">
            <w:pPr>
              <w:jc w:val="center"/>
              <w:rPr>
                <w:rFonts w:eastAsia="Times New Roman" w:cs="Times New Roman"/>
                <w:iCs/>
                <w:noProof/>
                <w:sz w:val="20"/>
              </w:rPr>
            </w:pPr>
          </w:p>
        </w:tc>
        <w:tc>
          <w:tcPr>
            <w:tcW w:w="850" w:type="dxa"/>
            <w:vMerge/>
          </w:tcPr>
          <w:p w14:paraId="428E8632" w14:textId="77777777" w:rsidR="003617C9" w:rsidRPr="00B44B19" w:rsidRDefault="003617C9" w:rsidP="00893029">
            <w:pPr>
              <w:jc w:val="center"/>
              <w:rPr>
                <w:rFonts w:eastAsia="Times New Roman" w:cs="Times New Roman"/>
                <w:iCs/>
                <w:noProof/>
                <w:sz w:val="20"/>
              </w:rPr>
            </w:pPr>
          </w:p>
        </w:tc>
        <w:tc>
          <w:tcPr>
            <w:tcW w:w="1276" w:type="dxa"/>
            <w:vMerge/>
            <w:tcBorders>
              <w:bottom w:val="single" w:sz="4" w:space="0" w:color="auto"/>
            </w:tcBorders>
          </w:tcPr>
          <w:p w14:paraId="70BF0C38" w14:textId="77777777" w:rsidR="003617C9" w:rsidRPr="00B44B19" w:rsidRDefault="003617C9" w:rsidP="00893029">
            <w:pPr>
              <w:rPr>
                <w:rFonts w:eastAsia="Times New Roman" w:cs="Times New Roman"/>
                <w:iCs/>
                <w:noProof/>
                <w:sz w:val="20"/>
              </w:rPr>
            </w:pPr>
          </w:p>
        </w:tc>
        <w:tc>
          <w:tcPr>
            <w:tcW w:w="1134" w:type="dxa"/>
            <w:vMerge/>
          </w:tcPr>
          <w:p w14:paraId="6C44BB4C" w14:textId="77777777" w:rsidR="003617C9" w:rsidRPr="00B44B19" w:rsidRDefault="003617C9" w:rsidP="00893029">
            <w:pPr>
              <w:jc w:val="center"/>
              <w:rPr>
                <w:rFonts w:eastAsia="Times New Roman" w:cs="Times New Roman"/>
                <w:iCs/>
                <w:noProof/>
                <w:sz w:val="20"/>
              </w:rPr>
            </w:pPr>
          </w:p>
        </w:tc>
        <w:tc>
          <w:tcPr>
            <w:tcW w:w="3969" w:type="dxa"/>
            <w:tcBorders>
              <w:top w:val="single" w:sz="4" w:space="0" w:color="auto"/>
              <w:bottom w:val="single" w:sz="4" w:space="0" w:color="auto"/>
            </w:tcBorders>
          </w:tcPr>
          <w:p w14:paraId="23D255A9" w14:textId="77777777" w:rsidR="003617C9" w:rsidRPr="00B44B19" w:rsidRDefault="003617C9" w:rsidP="00893029">
            <w:pPr>
              <w:rPr>
                <w:rFonts w:eastAsia="Times New Roman" w:cs="Times New Roman"/>
                <w:bCs/>
                <w:iCs/>
                <w:noProof/>
                <w:sz w:val="20"/>
              </w:rPr>
            </w:pPr>
            <w:r w:rsidRPr="00B44B19">
              <w:rPr>
                <w:rFonts w:eastAsia="Times New Roman" w:cs="Times New Roman"/>
                <w:bCs/>
                <w:iCs/>
                <w:noProof/>
                <w:sz w:val="20"/>
              </w:rPr>
              <w:t xml:space="preserve">33 </w:t>
            </w:r>
            <w:r w:rsidR="00E04130" w:rsidRPr="00B44B19">
              <w:rPr>
                <w:rFonts w:eastAsia="Times New Roman" w:cs="Times New Roman"/>
                <w:bCs/>
                <w:iCs/>
                <w:noProof/>
                <w:sz w:val="20"/>
              </w:rPr>
              <w:t>–</w:t>
            </w:r>
            <w:r w:rsidRPr="00B44B19">
              <w:rPr>
                <w:rFonts w:eastAsia="Times New Roman" w:cs="Times New Roman"/>
                <w:bCs/>
                <w:iCs/>
                <w:noProof/>
                <w:sz w:val="20"/>
              </w:rPr>
              <w:t xml:space="preserve"> Nesiorientuojant į teritoriškumą</w:t>
            </w:r>
          </w:p>
        </w:tc>
        <w:tc>
          <w:tcPr>
            <w:tcW w:w="1417" w:type="dxa"/>
            <w:tcBorders>
              <w:bottom w:val="single" w:sz="4" w:space="0" w:color="auto"/>
            </w:tcBorders>
          </w:tcPr>
          <w:p w14:paraId="572D0265" w14:textId="2728B123" w:rsidR="003617C9" w:rsidRPr="00B44B19" w:rsidRDefault="000F4375" w:rsidP="000F4375">
            <w:pPr>
              <w:jc w:val="right"/>
              <w:rPr>
                <w:rFonts w:eastAsia="Times New Roman" w:cs="Times New Roman"/>
                <w:bCs/>
                <w:iCs/>
                <w:noProof/>
                <w:sz w:val="20"/>
              </w:rPr>
            </w:pPr>
            <w:r w:rsidRPr="00B44B19">
              <w:rPr>
                <w:rFonts w:cs="Times New Roman"/>
                <w:color w:val="000000"/>
                <w:sz w:val="20"/>
                <w:szCs w:val="20"/>
              </w:rPr>
              <w:t>66 009 937</w:t>
            </w:r>
            <w:r w:rsidR="003617C9" w:rsidRPr="00B44B19">
              <w:rPr>
                <w:rFonts w:eastAsia="Times New Roman" w:cs="Times New Roman"/>
                <w:sz w:val="20"/>
                <w:szCs w:val="20"/>
              </w:rPr>
              <w:t>,00</w:t>
            </w:r>
          </w:p>
        </w:tc>
      </w:tr>
    </w:tbl>
    <w:p w14:paraId="4705AB42" w14:textId="77777777" w:rsidR="003617C9" w:rsidRPr="00B44B19" w:rsidRDefault="003617C9" w:rsidP="00821D6E">
      <w:pPr>
        <w:spacing w:after="0" w:line="240" w:lineRule="auto"/>
        <w:rPr>
          <w:rFonts w:cs="Times New Roman"/>
          <w:bCs/>
          <w:sz w:val="20"/>
          <w:szCs w:val="20"/>
        </w:rPr>
      </w:pPr>
    </w:p>
    <w:tbl>
      <w:tblPr>
        <w:tblStyle w:val="Lentelstinklelis29"/>
        <w:tblW w:w="9624" w:type="dxa"/>
        <w:tblLook w:val="04A0" w:firstRow="1" w:lastRow="0" w:firstColumn="1" w:lastColumn="0" w:noHBand="0" w:noVBand="1"/>
      </w:tblPr>
      <w:tblGrid>
        <w:gridCol w:w="1099"/>
        <w:gridCol w:w="850"/>
        <w:gridCol w:w="1272"/>
        <w:gridCol w:w="1134"/>
        <w:gridCol w:w="3903"/>
        <w:gridCol w:w="1366"/>
      </w:tblGrid>
      <w:tr w:rsidR="00041C9E" w:rsidRPr="00B44B19" w14:paraId="5B150540" w14:textId="77777777" w:rsidTr="00123B07">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87E2CF" w14:textId="77777777" w:rsidR="00041C9E" w:rsidRPr="00B44B19" w:rsidRDefault="00041C9E" w:rsidP="00041C9E">
            <w:pPr>
              <w:rPr>
                <w:b/>
                <w:iCs/>
                <w:noProof/>
                <w:sz w:val="20"/>
                <w:szCs w:val="20"/>
              </w:rPr>
            </w:pPr>
            <w:r w:rsidRPr="00B44B19">
              <w:rPr>
                <w:b/>
                <w:noProof/>
                <w:sz w:val="20"/>
                <w:szCs w:val="20"/>
              </w:rPr>
              <w:t xml:space="preserve">7 lentelė. 7 matmuo. </w:t>
            </w:r>
            <w:r w:rsidRPr="00B44B19">
              <w:rPr>
                <w:b/>
                <w:sz w:val="20"/>
                <w:szCs w:val="20"/>
              </w:rPr>
              <w:t>ESF+, ERPF, S</w:t>
            </w:r>
            <w:r w:rsidR="00E04130" w:rsidRPr="00B44B19">
              <w:rPr>
                <w:b/>
                <w:sz w:val="20"/>
                <w:szCs w:val="20"/>
              </w:rPr>
              <w:t>a</w:t>
            </w:r>
            <w:r w:rsidRPr="00B44B19">
              <w:rPr>
                <w:b/>
                <w:sz w:val="20"/>
                <w:szCs w:val="20"/>
              </w:rPr>
              <w:t>F ir TPF lyčių lygybės matmuo</w:t>
            </w:r>
          </w:p>
        </w:tc>
      </w:tr>
      <w:tr w:rsidR="00041C9E" w:rsidRPr="00B44B19" w14:paraId="357DCBB1" w14:textId="77777777" w:rsidTr="00123B07">
        <w:tc>
          <w:tcPr>
            <w:tcW w:w="10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775139" w14:textId="77777777" w:rsidR="00041C9E" w:rsidRPr="00B44B19" w:rsidRDefault="00041C9E" w:rsidP="00041C9E">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73E3E8" w14:textId="77777777" w:rsidR="00041C9E" w:rsidRPr="00B44B19" w:rsidRDefault="00041C9E" w:rsidP="00041C9E">
            <w:pPr>
              <w:jc w:val="center"/>
              <w:rPr>
                <w:b/>
                <w:iCs/>
                <w:noProof/>
                <w:sz w:val="20"/>
              </w:rPr>
            </w:pPr>
            <w:r w:rsidRPr="00B44B19">
              <w:rPr>
                <w:b/>
                <w:noProof/>
                <w:sz w:val="20"/>
              </w:rPr>
              <w:t>Fondas</w:t>
            </w:r>
          </w:p>
        </w:tc>
        <w:tc>
          <w:tcPr>
            <w:tcW w:w="127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FAF9D8" w14:textId="77777777" w:rsidR="00041C9E" w:rsidRPr="00B44B19" w:rsidRDefault="00041C9E" w:rsidP="00041C9E">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4FC702" w14:textId="77777777" w:rsidR="00041C9E" w:rsidRPr="00B44B19" w:rsidRDefault="00041C9E" w:rsidP="00041C9E">
            <w:pPr>
              <w:jc w:val="center"/>
              <w:rPr>
                <w:b/>
                <w:iCs/>
                <w:noProof/>
                <w:sz w:val="20"/>
              </w:rPr>
            </w:pPr>
            <w:r w:rsidRPr="00B44B19">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27502" w14:textId="77777777" w:rsidR="00041C9E" w:rsidRPr="00B44B19" w:rsidRDefault="00041C9E" w:rsidP="00041C9E">
            <w:pPr>
              <w:jc w:val="center"/>
              <w:rPr>
                <w:b/>
                <w:iCs/>
                <w:noProof/>
                <w:sz w:val="20"/>
              </w:rPr>
            </w:pPr>
            <w:r w:rsidRPr="00B44B19">
              <w:rPr>
                <w:b/>
                <w:noProof/>
                <w:sz w:val="20"/>
              </w:rPr>
              <w:t>Kodas</w:t>
            </w:r>
          </w:p>
        </w:tc>
        <w:tc>
          <w:tcPr>
            <w:tcW w:w="13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9FD366" w14:textId="77777777" w:rsidR="00041C9E" w:rsidRPr="00B44B19" w:rsidRDefault="00041C9E" w:rsidP="00041C9E">
            <w:pPr>
              <w:jc w:val="center"/>
              <w:rPr>
                <w:b/>
                <w:iCs/>
                <w:noProof/>
                <w:sz w:val="20"/>
              </w:rPr>
            </w:pPr>
            <w:r w:rsidRPr="00B44B19">
              <w:rPr>
                <w:b/>
                <w:noProof/>
                <w:sz w:val="20"/>
              </w:rPr>
              <w:t>Suma (EUR)</w:t>
            </w:r>
          </w:p>
        </w:tc>
      </w:tr>
      <w:tr w:rsidR="00041C9E" w:rsidRPr="00B44B19" w14:paraId="37879E6C" w14:textId="77777777" w:rsidTr="00123B07">
        <w:trPr>
          <w:trHeight w:val="245"/>
        </w:trPr>
        <w:tc>
          <w:tcPr>
            <w:tcW w:w="1099" w:type="dxa"/>
            <w:tcBorders>
              <w:top w:val="single" w:sz="12" w:space="0" w:color="auto"/>
            </w:tcBorders>
          </w:tcPr>
          <w:p w14:paraId="35FC24C3" w14:textId="77777777" w:rsidR="00041C9E" w:rsidRPr="00B44B19" w:rsidRDefault="00041C9E" w:rsidP="00041C9E">
            <w:pPr>
              <w:jc w:val="center"/>
              <w:rPr>
                <w:iCs/>
                <w:noProof/>
                <w:sz w:val="20"/>
              </w:rPr>
            </w:pPr>
            <w:r w:rsidRPr="00B44B19">
              <w:rPr>
                <w:iCs/>
                <w:noProof/>
                <w:sz w:val="20"/>
              </w:rPr>
              <w:t>3.</w:t>
            </w:r>
          </w:p>
        </w:tc>
        <w:tc>
          <w:tcPr>
            <w:tcW w:w="850" w:type="dxa"/>
            <w:tcBorders>
              <w:top w:val="single" w:sz="12" w:space="0" w:color="auto"/>
            </w:tcBorders>
          </w:tcPr>
          <w:p w14:paraId="251B100D" w14:textId="77777777" w:rsidR="00041C9E" w:rsidRPr="00B44B19" w:rsidRDefault="00041C9E" w:rsidP="00041C9E">
            <w:pPr>
              <w:jc w:val="center"/>
              <w:rPr>
                <w:iCs/>
                <w:noProof/>
                <w:sz w:val="20"/>
              </w:rPr>
            </w:pPr>
            <w:r w:rsidRPr="00B44B19">
              <w:rPr>
                <w:iCs/>
                <w:noProof/>
                <w:sz w:val="20"/>
              </w:rPr>
              <w:t>ERPF</w:t>
            </w:r>
          </w:p>
        </w:tc>
        <w:tc>
          <w:tcPr>
            <w:tcW w:w="1272" w:type="dxa"/>
            <w:tcBorders>
              <w:top w:val="single" w:sz="12" w:space="0" w:color="auto"/>
            </w:tcBorders>
          </w:tcPr>
          <w:p w14:paraId="1A4399F1" w14:textId="77777777" w:rsidR="00041C9E" w:rsidRPr="00B44B19" w:rsidRDefault="00041C9E" w:rsidP="00041C9E">
            <w:pPr>
              <w:rPr>
                <w:iCs/>
                <w:noProof/>
                <w:sz w:val="20"/>
              </w:rPr>
            </w:pPr>
            <w:r w:rsidRPr="00B44B19">
              <w:rPr>
                <w:iCs/>
                <w:noProof/>
                <w:sz w:val="20"/>
              </w:rPr>
              <w:t>VVL regionas</w:t>
            </w:r>
          </w:p>
        </w:tc>
        <w:tc>
          <w:tcPr>
            <w:tcW w:w="1134" w:type="dxa"/>
            <w:tcBorders>
              <w:top w:val="single" w:sz="12" w:space="0" w:color="auto"/>
            </w:tcBorders>
          </w:tcPr>
          <w:p w14:paraId="2E757683" w14:textId="77777777" w:rsidR="00041C9E" w:rsidRPr="00B44B19" w:rsidRDefault="00041C9E" w:rsidP="00041C9E">
            <w:pPr>
              <w:jc w:val="center"/>
              <w:rPr>
                <w:iCs/>
                <w:noProof/>
                <w:sz w:val="20"/>
              </w:rPr>
            </w:pPr>
            <w:r w:rsidRPr="00B44B19">
              <w:rPr>
                <w:iCs/>
                <w:noProof/>
                <w:sz w:val="20"/>
              </w:rPr>
              <w:t>3.2</w:t>
            </w:r>
          </w:p>
        </w:tc>
        <w:tc>
          <w:tcPr>
            <w:tcW w:w="3903" w:type="dxa"/>
            <w:tcBorders>
              <w:top w:val="single" w:sz="12" w:space="0" w:color="auto"/>
            </w:tcBorders>
          </w:tcPr>
          <w:p w14:paraId="6B504FC3" w14:textId="77777777" w:rsidR="00041C9E" w:rsidRPr="00B44B19" w:rsidRDefault="00041C9E" w:rsidP="00041C9E">
            <w:pPr>
              <w:rPr>
                <w:iCs/>
                <w:noProof/>
                <w:sz w:val="20"/>
              </w:rPr>
            </w:pPr>
            <w:r w:rsidRPr="00B44B19">
              <w:rPr>
                <w:iCs/>
                <w:noProof/>
                <w:sz w:val="20"/>
              </w:rPr>
              <w:t xml:space="preserve">03 </w:t>
            </w:r>
            <w:r w:rsidR="00E04130" w:rsidRPr="00B44B19">
              <w:rPr>
                <w:iCs/>
                <w:noProof/>
                <w:sz w:val="20"/>
              </w:rPr>
              <w:t>–</w:t>
            </w:r>
            <w:r w:rsidRPr="00B44B19">
              <w:rPr>
                <w:iCs/>
                <w:noProof/>
                <w:sz w:val="20"/>
              </w:rPr>
              <w:t xml:space="preserve"> Neutralumas lyties požiūriu</w:t>
            </w:r>
          </w:p>
        </w:tc>
        <w:tc>
          <w:tcPr>
            <w:tcW w:w="1366" w:type="dxa"/>
            <w:tcBorders>
              <w:top w:val="single" w:sz="12" w:space="0" w:color="auto"/>
            </w:tcBorders>
          </w:tcPr>
          <w:p w14:paraId="0310D352" w14:textId="5F2055AB" w:rsidR="00041C9E" w:rsidRPr="00B44B19" w:rsidRDefault="000F4375" w:rsidP="000F4375">
            <w:pPr>
              <w:jc w:val="right"/>
              <w:rPr>
                <w:iCs/>
                <w:noProof/>
                <w:sz w:val="20"/>
              </w:rPr>
            </w:pPr>
            <w:r w:rsidRPr="00B44B19">
              <w:rPr>
                <w:color w:val="000000"/>
                <w:sz w:val="20"/>
                <w:szCs w:val="20"/>
              </w:rPr>
              <w:t>77 658 750</w:t>
            </w:r>
            <w:r w:rsidR="00041C9E" w:rsidRPr="00B44B19">
              <w:rPr>
                <w:iCs/>
                <w:noProof/>
                <w:sz w:val="20"/>
              </w:rPr>
              <w:t>,00</w:t>
            </w:r>
          </w:p>
        </w:tc>
      </w:tr>
    </w:tbl>
    <w:p w14:paraId="68D56076" w14:textId="77777777" w:rsidR="009952B9" w:rsidRPr="00B44B19" w:rsidRDefault="009952B9">
      <w:pPr>
        <w:rPr>
          <w:rFonts w:cs="Times New Roman"/>
          <w:bCs/>
          <w:szCs w:val="24"/>
        </w:rPr>
      </w:pPr>
      <w:r w:rsidRPr="00B44B19">
        <w:rPr>
          <w:rFonts w:cs="Times New Roman"/>
          <w:bCs/>
          <w:szCs w:val="24"/>
        </w:rPr>
        <w:br w:type="page"/>
      </w:r>
    </w:p>
    <w:p w14:paraId="5CE28DCB" w14:textId="77777777" w:rsidR="009952B9" w:rsidRPr="00B44B19" w:rsidRDefault="009952B9" w:rsidP="00D456C1">
      <w:pPr>
        <w:pStyle w:val="Antrat1"/>
      </w:pPr>
      <w:bookmarkStart w:id="37" w:name="_Toc223435425"/>
      <w:r w:rsidRPr="00B44B19">
        <w:lastRenderedPageBreak/>
        <w:t>4 Prioritetas. Socialiai atsakingesnė Lietuva</w:t>
      </w:r>
      <w:bookmarkEnd w:id="37"/>
    </w:p>
    <w:p w14:paraId="7A669968" w14:textId="77777777" w:rsidR="009952B9" w:rsidRPr="00B44B19" w:rsidRDefault="009952B9" w:rsidP="00D456C1">
      <w:pPr>
        <w:pStyle w:val="Antrat2"/>
      </w:pPr>
      <w:bookmarkStart w:id="38" w:name="_Toc223435426"/>
      <w:r w:rsidRPr="00B44B19">
        <w:t>Konkretus uždavinys – 4.1</w:t>
      </w:r>
      <w:r w:rsidR="00015A7B" w:rsidRPr="00B44B19">
        <w:t>.</w:t>
      </w:r>
      <w:r w:rsidRPr="00B44B19">
        <w:t xml:space="preserve"> </w:t>
      </w:r>
      <w:r w:rsidR="001B4E21" w:rsidRPr="00B44B19">
        <w:rPr>
          <w:lang w:bidi="lt-LT"/>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bookmarkEnd w:id="38"/>
    </w:p>
    <w:p w14:paraId="4D1823DD" w14:textId="77777777" w:rsidR="00EF291A" w:rsidRPr="00B44B19" w:rsidRDefault="00EF291A" w:rsidP="001E5B12">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31"/>
        <w:tblW w:w="9634" w:type="dxa"/>
        <w:tblLook w:val="04A0" w:firstRow="1" w:lastRow="0" w:firstColumn="1" w:lastColumn="0" w:noHBand="0" w:noVBand="1"/>
      </w:tblPr>
      <w:tblGrid>
        <w:gridCol w:w="9634"/>
      </w:tblGrid>
      <w:tr w:rsidR="00EF291A" w:rsidRPr="00B44B19" w14:paraId="09EC189E" w14:textId="77777777" w:rsidTr="00123B07">
        <w:tc>
          <w:tcPr>
            <w:tcW w:w="9634" w:type="dxa"/>
          </w:tcPr>
          <w:p w14:paraId="3224C381" w14:textId="77777777" w:rsidR="00DC0156" w:rsidRPr="00B44B19" w:rsidRDefault="00DC0156" w:rsidP="007D0221">
            <w:pPr>
              <w:spacing w:before="60" w:after="60"/>
              <w:jc w:val="both"/>
              <w:rPr>
                <w:rFonts w:ascii="Times New Roman" w:eastAsia="Calibri" w:hAnsi="Times New Roman" w:cs="Times New Roman"/>
              </w:rPr>
            </w:pPr>
            <w:r w:rsidRPr="00B44B19">
              <w:rPr>
                <w:rFonts w:ascii="Times New Roman" w:eastAsia="Calibri" w:hAnsi="Times New Roman" w:cs="Times New Roman"/>
              </w:rPr>
              <w:t xml:space="preserve">Dėl pandemijos </w:t>
            </w:r>
            <w:r w:rsidR="002F4119" w:rsidRPr="00B44B19">
              <w:rPr>
                <w:rFonts w:ascii="Times New Roman" w:eastAsia="Calibri" w:hAnsi="Times New Roman" w:cs="Times New Roman"/>
              </w:rPr>
              <w:t>DR</w:t>
            </w:r>
            <w:r w:rsidRPr="00B44B19">
              <w:rPr>
                <w:rFonts w:ascii="Times New Roman" w:eastAsia="Calibri" w:hAnsi="Times New Roman" w:cs="Times New Roman"/>
              </w:rPr>
              <w:t xml:space="preserve"> pradėjo smarkiai trauktis. 2020 m. liepos 1 d. bedarbių buvo 208 tūkst., t. y. beveik trečdaliu daugiau nei 2020 m. sausio 1 d. (151,5 tūkst.). Augant nedarbo lygiui, tikėtina, kad dėl kvalifikacijos bei gebėjimų neatitik</w:t>
            </w:r>
            <w:r w:rsidR="00B83AF1" w:rsidRPr="00B44B19">
              <w:rPr>
                <w:rFonts w:ascii="Times New Roman" w:eastAsia="Calibri" w:hAnsi="Times New Roman" w:cs="Times New Roman"/>
              </w:rPr>
              <w:t>ties</w:t>
            </w:r>
            <w:r w:rsidRPr="00B44B19">
              <w:rPr>
                <w:rFonts w:ascii="Times New Roman" w:eastAsia="Calibri" w:hAnsi="Times New Roman" w:cs="Times New Roman"/>
              </w:rPr>
              <w:t xml:space="preserve"> </w:t>
            </w:r>
            <w:r w:rsidR="002F4119" w:rsidRPr="00B44B19">
              <w:rPr>
                <w:rFonts w:ascii="Times New Roman" w:eastAsia="Calibri" w:hAnsi="Times New Roman" w:cs="Times New Roman"/>
              </w:rPr>
              <w:t>DR</w:t>
            </w:r>
            <w:r w:rsidRPr="00B44B19">
              <w:rPr>
                <w:rFonts w:ascii="Times New Roman" w:eastAsia="Calibri" w:hAnsi="Times New Roman" w:cs="Times New Roman"/>
              </w:rPr>
              <w:t xml:space="preserve"> poreikiams didės ir į </w:t>
            </w:r>
            <w:r w:rsidR="002F4119" w:rsidRPr="00B44B19">
              <w:rPr>
                <w:rFonts w:ascii="Times New Roman" w:eastAsia="Calibri" w:hAnsi="Times New Roman" w:cs="Times New Roman"/>
              </w:rPr>
              <w:t>DR</w:t>
            </w:r>
            <w:r w:rsidRPr="00B44B19">
              <w:rPr>
                <w:rFonts w:ascii="Times New Roman" w:eastAsia="Calibri" w:hAnsi="Times New Roman" w:cs="Times New Roman"/>
              </w:rPr>
              <w:t xml:space="preserve"> sunkiau besiintegruojančių asmenų (ilgalaikių bedarbių, jaunimo, vyresnio amžiaus asmenų, nekvalifikuotų asmenų, neįgaliųjų) nedarbas. Tokį didėjimą</w:t>
            </w:r>
            <w:r w:rsidR="003B2F5D" w:rsidRPr="00B44B19">
              <w:rPr>
                <w:rFonts w:ascii="Times New Roman" w:eastAsia="Calibri" w:hAnsi="Times New Roman" w:cs="Times New Roman"/>
              </w:rPr>
              <w:t>, manytina,</w:t>
            </w:r>
            <w:r w:rsidRPr="00B44B19">
              <w:rPr>
                <w:rFonts w:ascii="Times New Roman" w:eastAsia="Calibri" w:hAnsi="Times New Roman" w:cs="Times New Roman"/>
              </w:rPr>
              <w:t xml:space="preserve"> lem</w:t>
            </w:r>
            <w:r w:rsidR="003B2F5D" w:rsidRPr="00B44B19">
              <w:rPr>
                <w:rFonts w:ascii="Times New Roman" w:eastAsia="Calibri" w:hAnsi="Times New Roman" w:cs="Times New Roman"/>
              </w:rPr>
              <w:t>s</w:t>
            </w:r>
            <w:r w:rsidRPr="00B44B19">
              <w:rPr>
                <w:rFonts w:ascii="Times New Roman" w:eastAsia="Calibri" w:hAnsi="Times New Roman" w:cs="Times New Roman"/>
              </w:rPr>
              <w:t xml:space="preserve"> ir diegiamos inovacijos, spartėjantys automatizacijos, robotizacijos ir skaitmenizacijos procesai. Mažėjant vietinių žmogiškųjų išteklių pasiūlai, svarbu </w:t>
            </w:r>
            <w:r w:rsidR="00F20642" w:rsidRPr="00B44B19">
              <w:rPr>
                <w:rFonts w:ascii="Times New Roman" w:eastAsia="Calibri" w:hAnsi="Times New Roman" w:cs="Times New Roman"/>
              </w:rPr>
              <w:t>sukurti</w:t>
            </w:r>
            <w:r w:rsidRPr="00B44B19">
              <w:rPr>
                <w:rFonts w:ascii="Times New Roman" w:eastAsia="Calibri" w:hAnsi="Times New Roman" w:cs="Times New Roman"/>
              </w:rPr>
              <w:t xml:space="preserve"> palanki</w:t>
            </w:r>
            <w:r w:rsidR="00F20642" w:rsidRPr="00B44B19">
              <w:rPr>
                <w:rFonts w:ascii="Times New Roman" w:eastAsia="Calibri" w:hAnsi="Times New Roman" w:cs="Times New Roman"/>
              </w:rPr>
              <w:t>as</w:t>
            </w:r>
            <w:r w:rsidRPr="00B44B19">
              <w:rPr>
                <w:rFonts w:ascii="Times New Roman" w:eastAsia="Calibri" w:hAnsi="Times New Roman" w:cs="Times New Roman"/>
              </w:rPr>
              <w:t xml:space="preserve"> sąlyg</w:t>
            </w:r>
            <w:r w:rsidR="00F20642" w:rsidRPr="00B44B19">
              <w:rPr>
                <w:rFonts w:ascii="Times New Roman" w:eastAsia="Calibri" w:hAnsi="Times New Roman" w:cs="Times New Roman"/>
              </w:rPr>
              <w:t>as</w:t>
            </w:r>
            <w:r w:rsidRPr="00B44B19">
              <w:rPr>
                <w:rFonts w:ascii="Times New Roman" w:eastAsia="Calibri" w:hAnsi="Times New Roman" w:cs="Times New Roman"/>
              </w:rPr>
              <w:t xml:space="preserve"> visiems darbingo amžiaus </w:t>
            </w:r>
            <w:r w:rsidR="00F20642" w:rsidRPr="00B44B19">
              <w:rPr>
                <w:rFonts w:ascii="Times New Roman" w:eastAsia="Calibri" w:hAnsi="Times New Roman" w:cs="Times New Roman"/>
              </w:rPr>
              <w:t xml:space="preserve">asmenims </w:t>
            </w:r>
            <w:r w:rsidRPr="00B44B19">
              <w:rPr>
                <w:rFonts w:ascii="Times New Roman" w:eastAsia="Calibri" w:hAnsi="Times New Roman" w:cs="Times New Roman"/>
              </w:rPr>
              <w:t xml:space="preserve">įsitraukti į </w:t>
            </w:r>
            <w:r w:rsidR="002F4119" w:rsidRPr="00B44B19">
              <w:rPr>
                <w:rFonts w:ascii="Times New Roman" w:eastAsia="Calibri" w:hAnsi="Times New Roman" w:cs="Times New Roman"/>
              </w:rPr>
              <w:t>DR</w:t>
            </w:r>
            <w:r w:rsidRPr="00B44B19">
              <w:rPr>
                <w:rFonts w:ascii="Times New Roman" w:eastAsia="Calibri" w:hAnsi="Times New Roman" w:cs="Times New Roman"/>
              </w:rPr>
              <w:t xml:space="preserve">. Šiems pokyčiams būtina lankstesnė </w:t>
            </w:r>
            <w:r w:rsidR="002F4119" w:rsidRPr="00B44B19">
              <w:rPr>
                <w:rFonts w:ascii="Times New Roman" w:eastAsia="Calibri" w:hAnsi="Times New Roman" w:cs="Times New Roman"/>
              </w:rPr>
              <w:t>DR</w:t>
            </w:r>
            <w:r w:rsidRPr="00B44B19">
              <w:rPr>
                <w:rFonts w:ascii="Times New Roman" w:eastAsia="Calibri" w:hAnsi="Times New Roman" w:cs="Times New Roman"/>
              </w:rPr>
              <w:t xml:space="preserve">: dirbančių asmenų motyvacija ir gebėjimas prisitaikyti prie naujų sąlygų (žinių ekonomikos, </w:t>
            </w:r>
            <w:r w:rsidR="00714D8E" w:rsidRPr="00B44B19">
              <w:rPr>
                <w:rFonts w:ascii="Times New Roman" w:hAnsi="Times New Roman" w:cs="Times New Roman"/>
              </w:rPr>
              <w:t>skaitmeninės ir žaliosios transformacijos</w:t>
            </w:r>
            <w:r w:rsidRPr="00B44B19">
              <w:rPr>
                <w:rFonts w:ascii="Times New Roman" w:eastAsia="Calibri" w:hAnsi="Times New Roman" w:cs="Times New Roman"/>
              </w:rPr>
              <w:t>) ir darbdavių lankstumas.</w:t>
            </w:r>
            <w:r w:rsidR="00F20642" w:rsidRPr="00B44B19">
              <w:rPr>
                <w:rFonts w:ascii="Times New Roman" w:eastAsia="Calibri" w:hAnsi="Times New Roman" w:cs="Times New Roman"/>
              </w:rPr>
              <w:t xml:space="preserve"> Taip pat svarbu užtikrinti saugią ir sveiką darbo aplinką. </w:t>
            </w:r>
            <w:r w:rsidRPr="00B44B19">
              <w:rPr>
                <w:rFonts w:ascii="Times New Roman" w:eastAsia="Calibri" w:hAnsi="Times New Roman" w:cs="Times New Roman"/>
              </w:rPr>
              <w:t xml:space="preserve">Įgyvendinant užimtumą skatinančias priemones, bus </w:t>
            </w:r>
            <w:r w:rsidR="00F20642" w:rsidRPr="00B44B19">
              <w:rPr>
                <w:rFonts w:ascii="Times New Roman" w:eastAsia="Calibri" w:hAnsi="Times New Roman" w:cs="Times New Roman"/>
              </w:rPr>
              <w:t xml:space="preserve">daugiau </w:t>
            </w:r>
            <w:r w:rsidRPr="00B44B19">
              <w:rPr>
                <w:rFonts w:ascii="Times New Roman" w:eastAsia="Calibri" w:hAnsi="Times New Roman" w:cs="Times New Roman"/>
              </w:rPr>
              <w:t>galimyb</w:t>
            </w:r>
            <w:r w:rsidR="00F20642" w:rsidRPr="00B44B19">
              <w:rPr>
                <w:rFonts w:ascii="Times New Roman" w:eastAsia="Calibri" w:hAnsi="Times New Roman" w:cs="Times New Roman"/>
              </w:rPr>
              <w:t>ių įsidarbinti</w:t>
            </w:r>
            <w:r w:rsidRPr="00B44B19">
              <w:rPr>
                <w:rFonts w:ascii="Times New Roman" w:eastAsia="Calibri" w:hAnsi="Times New Roman" w:cs="Times New Roman"/>
              </w:rPr>
              <w:t xml:space="preserve"> (specialias priemones </w:t>
            </w:r>
            <w:r w:rsidR="00F20642" w:rsidRPr="00B44B19">
              <w:rPr>
                <w:rFonts w:ascii="Times New Roman" w:eastAsia="Calibri" w:hAnsi="Times New Roman" w:cs="Times New Roman"/>
              </w:rPr>
              <w:t>taikyti</w:t>
            </w:r>
            <w:r w:rsidRPr="00B44B19">
              <w:rPr>
                <w:rFonts w:ascii="Times New Roman" w:eastAsia="Calibri" w:hAnsi="Times New Roman" w:cs="Times New Roman"/>
              </w:rPr>
              <w:t xml:space="preserve"> pažeidžiami</w:t>
            </w:r>
            <w:r w:rsidR="00F20642" w:rsidRPr="00B44B19">
              <w:rPr>
                <w:rFonts w:ascii="Times New Roman" w:eastAsia="Calibri" w:hAnsi="Times New Roman" w:cs="Times New Roman"/>
              </w:rPr>
              <w:t xml:space="preserve">ausiems </w:t>
            </w:r>
            <w:r w:rsidR="002F4119" w:rsidRPr="00B44B19">
              <w:rPr>
                <w:rFonts w:ascii="Times New Roman" w:eastAsia="Calibri" w:hAnsi="Times New Roman" w:cs="Times New Roman"/>
              </w:rPr>
              <w:t>DR</w:t>
            </w:r>
            <w:r w:rsidR="00F20642" w:rsidRPr="00B44B19">
              <w:rPr>
                <w:rFonts w:ascii="Times New Roman" w:eastAsia="Calibri" w:hAnsi="Times New Roman" w:cs="Times New Roman"/>
              </w:rPr>
              <w:t xml:space="preserve"> dalyviams</w:t>
            </w:r>
            <w:r w:rsidRPr="00B44B19">
              <w:rPr>
                <w:rFonts w:ascii="Times New Roman" w:eastAsia="Calibri" w:hAnsi="Times New Roman" w:cs="Times New Roman"/>
              </w:rPr>
              <w:t xml:space="preserve">), </w:t>
            </w:r>
            <w:r w:rsidR="00F20642" w:rsidRPr="00B44B19">
              <w:rPr>
                <w:rFonts w:ascii="Times New Roman" w:eastAsia="Calibri" w:hAnsi="Times New Roman" w:cs="Times New Roman"/>
              </w:rPr>
              <w:t xml:space="preserve">didės </w:t>
            </w:r>
            <w:r w:rsidRPr="00B44B19">
              <w:rPr>
                <w:rFonts w:ascii="Times New Roman" w:eastAsia="Calibri" w:hAnsi="Times New Roman" w:cs="Times New Roman"/>
              </w:rPr>
              <w:t>verslumas ir savarankiškas užimtumas (ypač sociali</w:t>
            </w:r>
            <w:r w:rsidR="00F20642" w:rsidRPr="00B44B19">
              <w:rPr>
                <w:rFonts w:ascii="Times New Roman" w:eastAsia="Calibri" w:hAnsi="Times New Roman" w:cs="Times New Roman"/>
              </w:rPr>
              <w:t>ai</w:t>
            </w:r>
            <w:r w:rsidRPr="00B44B19">
              <w:rPr>
                <w:rFonts w:ascii="Times New Roman" w:eastAsia="Calibri" w:hAnsi="Times New Roman" w:cs="Times New Roman"/>
              </w:rPr>
              <w:t xml:space="preserve"> pažeidžiamų asmenų grup</w:t>
            </w:r>
            <w:r w:rsidR="00F20642" w:rsidRPr="00B44B19">
              <w:rPr>
                <w:rFonts w:ascii="Times New Roman" w:eastAsia="Calibri" w:hAnsi="Times New Roman" w:cs="Times New Roman"/>
              </w:rPr>
              <w:t>ių</w:t>
            </w:r>
            <w:r w:rsidRPr="00B44B19">
              <w:rPr>
                <w:rFonts w:ascii="Times New Roman" w:eastAsia="Calibri" w:hAnsi="Times New Roman" w:cs="Times New Roman"/>
              </w:rPr>
              <w:t xml:space="preserve">), judumas, skatinamos karjeros planavimo ir konsultavimo priemonės, padedančios prisitaikyti prie </w:t>
            </w:r>
            <w:r w:rsidR="002F4119" w:rsidRPr="00B44B19">
              <w:rPr>
                <w:rFonts w:ascii="Times New Roman" w:eastAsia="Calibri" w:hAnsi="Times New Roman" w:cs="Times New Roman"/>
              </w:rPr>
              <w:t>DR</w:t>
            </w:r>
            <w:r w:rsidRPr="00B44B19">
              <w:rPr>
                <w:rFonts w:ascii="Times New Roman" w:eastAsia="Calibri" w:hAnsi="Times New Roman" w:cs="Times New Roman"/>
              </w:rPr>
              <w:t>.</w:t>
            </w:r>
          </w:p>
          <w:p w14:paraId="476D0D1F" w14:textId="77777777" w:rsidR="00DC0156" w:rsidRPr="00B44B19" w:rsidRDefault="00D32DD7" w:rsidP="007D0221">
            <w:pPr>
              <w:spacing w:before="60" w:after="60"/>
              <w:jc w:val="both"/>
              <w:rPr>
                <w:rFonts w:ascii="Times New Roman" w:eastAsia="Calibri" w:hAnsi="Times New Roman" w:cs="Times New Roman"/>
              </w:rPr>
            </w:pPr>
            <w:r w:rsidRPr="00B44B19">
              <w:rPr>
                <w:rFonts w:ascii="Times New Roman" w:eastAsia="Times New Roman" w:hAnsi="Times New Roman" w:cs="Times New Roman"/>
                <w:lang w:eastAsia="en-US" w:bidi="ar-SA"/>
              </w:rPr>
              <w:t>Veiksmų rūšys,</w:t>
            </w:r>
            <w:r w:rsidR="00DC0156" w:rsidRPr="00B44B19">
              <w:rPr>
                <w:rFonts w:ascii="Times New Roman" w:eastAsia="Calibri" w:hAnsi="Times New Roman" w:cs="Times New Roman"/>
              </w:rPr>
              <w:t xml:space="preserve"> siekiant suteikti daugiau galimybių įsidarbinti visiems darbo ieškantiems asmenims ar</w:t>
            </w:r>
            <w:r w:rsidR="00F20642" w:rsidRPr="00B44B19">
              <w:rPr>
                <w:rFonts w:ascii="Times New Roman" w:eastAsia="Calibri" w:hAnsi="Times New Roman" w:cs="Times New Roman"/>
              </w:rPr>
              <w:t xml:space="preserve"> socialiai</w:t>
            </w:r>
            <w:r w:rsidR="00DC0156" w:rsidRPr="00B44B19">
              <w:rPr>
                <w:rFonts w:ascii="Times New Roman" w:eastAsia="Calibri" w:hAnsi="Times New Roman" w:cs="Times New Roman"/>
              </w:rPr>
              <w:t xml:space="preserve"> pažeidžiamiems darbuotojams išlikti </w:t>
            </w:r>
            <w:r w:rsidR="002F4119" w:rsidRPr="00B44B19">
              <w:rPr>
                <w:rFonts w:ascii="Times New Roman" w:eastAsia="Calibri" w:hAnsi="Times New Roman" w:cs="Times New Roman"/>
              </w:rPr>
              <w:t>DR</w:t>
            </w:r>
            <w:r w:rsidR="00DC0156" w:rsidRPr="00B44B19">
              <w:rPr>
                <w:rFonts w:ascii="Times New Roman" w:eastAsia="Calibri" w:hAnsi="Times New Roman" w:cs="Times New Roman"/>
              </w:rPr>
              <w:t>, skatinti savarankišką darbą ir gerinti darbo sąlygas:</w:t>
            </w:r>
          </w:p>
          <w:p w14:paraId="3D9D2F42" w14:textId="77777777" w:rsidR="00DC0156" w:rsidRPr="00B44B19" w:rsidRDefault="00DC0156" w:rsidP="007D0221">
            <w:pPr>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Didinti bedarbių galimybes įsidarbinti ar grįžti į </w:t>
            </w:r>
            <w:r w:rsidR="002F4119" w:rsidRPr="00B44B19">
              <w:rPr>
                <w:rFonts w:ascii="Times New Roman" w:eastAsia="Calibri" w:hAnsi="Times New Roman" w:cs="Times New Roman"/>
                <w:b/>
              </w:rPr>
              <w:t>DR</w:t>
            </w:r>
            <w:r w:rsidRPr="00B44B19">
              <w:rPr>
                <w:rFonts w:ascii="Times New Roman" w:eastAsia="Calibri" w:hAnsi="Times New Roman" w:cs="Times New Roman"/>
              </w:rPr>
              <w:t xml:space="preserve">: siekti optimalios darbo jėgos pasiūlos atitikties </w:t>
            </w:r>
            <w:r w:rsidR="002F4119" w:rsidRPr="00B44B19">
              <w:rPr>
                <w:rFonts w:ascii="Times New Roman" w:eastAsia="Calibri" w:hAnsi="Times New Roman" w:cs="Times New Roman"/>
              </w:rPr>
              <w:t>DR</w:t>
            </w:r>
            <w:r w:rsidRPr="00B44B19">
              <w:rPr>
                <w:rFonts w:ascii="Times New Roman" w:eastAsia="Calibri" w:hAnsi="Times New Roman" w:cs="Times New Roman"/>
              </w:rPr>
              <w:t xml:space="preserve"> poreikiams ir naujiems </w:t>
            </w:r>
            <w:r w:rsidR="009D4C9D" w:rsidRPr="00B44B19">
              <w:rPr>
                <w:rFonts w:ascii="Times New Roman" w:eastAsia="Calibri" w:hAnsi="Times New Roman" w:cs="Times New Roman"/>
              </w:rPr>
              <w:t xml:space="preserve">ketvirtosios pramonės revoliucijos </w:t>
            </w:r>
            <w:r w:rsidRPr="00B44B19">
              <w:rPr>
                <w:rFonts w:ascii="Times New Roman" w:eastAsia="Calibri" w:hAnsi="Times New Roman" w:cs="Times New Roman"/>
              </w:rPr>
              <w:t>„Pramonė 4.0“ (didieji duomenys, dirbtinis intelektas, daiktų internetas, robotika ir pan.) iššūkiams per individualizuotas ADRP priemones, kompetencijų ir gebėjimų ugdymą, motyvacijos didinimą, sprendžiant struktūrinio nedarbo problemas (</w:t>
            </w:r>
            <w:r w:rsidRPr="00B44B19">
              <w:rPr>
                <w:rFonts w:ascii="Times New Roman" w:eastAsia="Calibri" w:hAnsi="Times New Roman" w:cs="Times New Roman"/>
                <w:bCs/>
              </w:rPr>
              <w:t>parama mokymuisi</w:t>
            </w:r>
            <w:r w:rsidR="00714D8E" w:rsidRPr="00B44B19">
              <w:rPr>
                <w:rFonts w:ascii="Times New Roman" w:eastAsia="Calibri" w:hAnsi="Times New Roman" w:cs="Times New Roman"/>
                <w:bCs/>
              </w:rPr>
              <w:t xml:space="preserve"> (įskaitant ir žaliųjų įgūdžių ugdymą)</w:t>
            </w:r>
            <w:r w:rsidRPr="00B44B19">
              <w:rPr>
                <w:rFonts w:ascii="Times New Roman" w:eastAsia="Calibri" w:hAnsi="Times New Roman" w:cs="Times New Roman"/>
                <w:bCs/>
              </w:rPr>
              <w:t xml:space="preserve">, parama judumui, remiamas įdarbinimas, parama darbo vietoms steigti, </w:t>
            </w:r>
            <w:r w:rsidR="002F4119" w:rsidRPr="00B44B19">
              <w:rPr>
                <w:rFonts w:ascii="Times New Roman" w:eastAsia="Calibri" w:hAnsi="Times New Roman" w:cs="Times New Roman"/>
                <w:bCs/>
              </w:rPr>
              <w:t>DR</w:t>
            </w:r>
            <w:r w:rsidRPr="00B44B19">
              <w:rPr>
                <w:rFonts w:ascii="Times New Roman" w:eastAsia="Calibri" w:hAnsi="Times New Roman" w:cs="Times New Roman"/>
                <w:bCs/>
              </w:rPr>
              <w:t xml:space="preserve"> paslaugos ir kitos bedarbių užimtumo gebėjimus ir galimybes didinančios priemonės ar paslaugos, atitinkančios tikslinių grupių poreikius; neformalus</w:t>
            </w:r>
            <w:r w:rsidR="00F20642" w:rsidRPr="00B44B19">
              <w:rPr>
                <w:rFonts w:ascii="Times New Roman" w:eastAsia="Calibri" w:hAnsi="Times New Roman" w:cs="Times New Roman"/>
                <w:bCs/>
              </w:rPr>
              <w:t>is</w:t>
            </w:r>
            <w:r w:rsidRPr="00B44B19">
              <w:rPr>
                <w:rFonts w:ascii="Times New Roman" w:eastAsia="Calibri" w:hAnsi="Times New Roman" w:cs="Times New Roman"/>
                <w:bCs/>
              </w:rPr>
              <w:t xml:space="preserve"> švietimas, suteikiantis bendr</w:t>
            </w:r>
            <w:r w:rsidR="00F20642" w:rsidRPr="00B44B19">
              <w:rPr>
                <w:rFonts w:ascii="Times New Roman" w:eastAsia="Calibri" w:hAnsi="Times New Roman" w:cs="Times New Roman"/>
                <w:bCs/>
              </w:rPr>
              <w:t>ųjų</w:t>
            </w:r>
            <w:r w:rsidRPr="00B44B19">
              <w:rPr>
                <w:rFonts w:ascii="Times New Roman" w:eastAsia="Calibri" w:hAnsi="Times New Roman" w:cs="Times New Roman"/>
                <w:bCs/>
              </w:rPr>
              <w:t xml:space="preserve"> ir speciali</w:t>
            </w:r>
            <w:r w:rsidR="00F20642" w:rsidRPr="00B44B19">
              <w:rPr>
                <w:rFonts w:ascii="Times New Roman" w:eastAsia="Calibri" w:hAnsi="Times New Roman" w:cs="Times New Roman"/>
                <w:bCs/>
              </w:rPr>
              <w:t>ųjų</w:t>
            </w:r>
            <w:r w:rsidRPr="00B44B19">
              <w:rPr>
                <w:rFonts w:ascii="Times New Roman" w:eastAsia="Calibri" w:hAnsi="Times New Roman" w:cs="Times New Roman"/>
                <w:bCs/>
              </w:rPr>
              <w:t xml:space="preserve"> gebėjim</w:t>
            </w:r>
            <w:r w:rsidR="00F20642" w:rsidRPr="00B44B19">
              <w:rPr>
                <w:rFonts w:ascii="Times New Roman" w:eastAsia="Calibri" w:hAnsi="Times New Roman" w:cs="Times New Roman"/>
                <w:bCs/>
              </w:rPr>
              <w:t>ų</w:t>
            </w:r>
            <w:r w:rsidRPr="00B44B19">
              <w:rPr>
                <w:rFonts w:ascii="Times New Roman" w:eastAsia="Calibri" w:hAnsi="Times New Roman" w:cs="Times New Roman"/>
                <w:bCs/>
              </w:rPr>
              <w:t>)</w:t>
            </w:r>
            <w:r w:rsidRPr="00B44B19">
              <w:rPr>
                <w:rFonts w:ascii="Times New Roman" w:eastAsia="Calibri" w:hAnsi="Times New Roman" w:cs="Times New Roman"/>
              </w:rPr>
              <w:t>. Prioritetas teikiamas ribot</w:t>
            </w:r>
            <w:r w:rsidR="00F20642" w:rsidRPr="00B44B19">
              <w:rPr>
                <w:rFonts w:ascii="Times New Roman" w:eastAsia="Calibri" w:hAnsi="Times New Roman" w:cs="Times New Roman"/>
              </w:rPr>
              <w:t>ų</w:t>
            </w:r>
            <w:r w:rsidRPr="00B44B19">
              <w:rPr>
                <w:rFonts w:ascii="Times New Roman" w:eastAsia="Calibri" w:hAnsi="Times New Roman" w:cs="Times New Roman"/>
              </w:rPr>
              <w:t xml:space="preserve"> ir vidutin</w:t>
            </w:r>
            <w:r w:rsidR="00F20642" w:rsidRPr="00B44B19">
              <w:rPr>
                <w:rFonts w:ascii="Times New Roman" w:eastAsia="Calibri" w:hAnsi="Times New Roman" w:cs="Times New Roman"/>
              </w:rPr>
              <w:t>ių</w:t>
            </w:r>
            <w:r w:rsidRPr="00B44B19">
              <w:rPr>
                <w:rFonts w:ascii="Times New Roman" w:eastAsia="Calibri" w:hAnsi="Times New Roman" w:cs="Times New Roman"/>
              </w:rPr>
              <w:t xml:space="preserve"> įsidarbinimo galimyb</w:t>
            </w:r>
            <w:r w:rsidR="00F20642" w:rsidRPr="00B44B19">
              <w:rPr>
                <w:rFonts w:ascii="Times New Roman" w:eastAsia="Calibri" w:hAnsi="Times New Roman" w:cs="Times New Roman"/>
              </w:rPr>
              <w:t>ių</w:t>
            </w:r>
            <w:r w:rsidRPr="00B44B19">
              <w:rPr>
                <w:rFonts w:ascii="Times New Roman" w:eastAsia="Calibri" w:hAnsi="Times New Roman" w:cs="Times New Roman"/>
              </w:rPr>
              <w:t xml:space="preserve"> turintiems bedarbiams, ypač nekvalifikuotiems asmenims, ilgalaikiams bedarbiams, vyresnio amžiaus asmenims, NEET jaunimui, migrantams. Ši veikla bus įgyvendinama VVL ir Sostinės regionuose.</w:t>
            </w:r>
          </w:p>
          <w:p w14:paraId="522ADE60" w14:textId="1D4D3368" w:rsidR="00DC0156" w:rsidRPr="00B44B19" w:rsidRDefault="00DC0156" w:rsidP="007D0221">
            <w:pPr>
              <w:spacing w:before="60" w:after="60"/>
              <w:jc w:val="both"/>
              <w:rPr>
                <w:rFonts w:ascii="Times New Roman" w:eastAsia="Calibri" w:hAnsi="Times New Roman" w:cs="Times New Roman"/>
              </w:rPr>
            </w:pPr>
            <w:r w:rsidRPr="00B44B19">
              <w:rPr>
                <w:rFonts w:ascii="Times New Roman" w:eastAsia="Calibri" w:hAnsi="Times New Roman" w:cs="Times New Roman"/>
                <w:b/>
              </w:rPr>
              <w:t>Skatinti neįgaliųjų užimtumą</w:t>
            </w:r>
            <w:r w:rsidRPr="00B44B19">
              <w:rPr>
                <w:rFonts w:ascii="Times New Roman" w:eastAsia="Calibri" w:hAnsi="Times New Roman" w:cs="Times New Roman"/>
              </w:rPr>
              <w:t>: didinti (atkurti) neįgaliųjų profesinius gebėjimus, ugdyti bendruosius</w:t>
            </w:r>
            <w:r w:rsidR="003E15D6" w:rsidRPr="00B44B19">
              <w:rPr>
                <w:rFonts w:ascii="Times New Roman" w:eastAsia="Calibri" w:hAnsi="Times New Roman" w:cs="Times New Roman"/>
              </w:rPr>
              <w:t xml:space="preserve"> ir specialiuosius gebėjimus, įskaitant skaitmeninius gebėjimus,</w:t>
            </w:r>
            <w:r w:rsidR="000C5E31" w:rsidRPr="00B44B19">
              <w:rPr>
                <w:rFonts w:ascii="Times New Roman" w:eastAsia="Calibri" w:hAnsi="Times New Roman" w:cs="Times New Roman"/>
              </w:rPr>
              <w:t xml:space="preserve"> </w:t>
            </w:r>
            <w:r w:rsidRPr="00B44B19">
              <w:rPr>
                <w:rFonts w:ascii="Times New Roman" w:eastAsia="Calibri" w:hAnsi="Times New Roman" w:cs="Times New Roman"/>
              </w:rPr>
              <w:t xml:space="preserve">bei atliepti </w:t>
            </w:r>
            <w:r w:rsidR="00F20642" w:rsidRPr="00B44B19">
              <w:rPr>
                <w:rFonts w:ascii="Times New Roman" w:eastAsia="Calibri" w:hAnsi="Times New Roman" w:cs="Times New Roman"/>
              </w:rPr>
              <w:t xml:space="preserve">neįgaliųjų </w:t>
            </w:r>
            <w:r w:rsidRPr="00B44B19">
              <w:rPr>
                <w:rFonts w:ascii="Times New Roman" w:eastAsia="Calibri" w:hAnsi="Times New Roman" w:cs="Times New Roman"/>
              </w:rPr>
              <w:t xml:space="preserve">individualios pagalbos poreikius ir taip prisidėti prie neįgaliųjų skurdo ir atskirties mažinimo (pvz., </w:t>
            </w:r>
            <w:r w:rsidRPr="00B44B19">
              <w:rPr>
                <w:rFonts w:ascii="Times New Roman" w:eastAsia="Calibri" w:hAnsi="Times New Roman" w:cs="Times New Roman"/>
                <w:bCs/>
              </w:rPr>
              <w:t xml:space="preserve">profesinių gebėjimų įvertinimas, profesinis orientavimas ir konsultavimas, profesinių gebėjimų atkūrimas arba naujų </w:t>
            </w:r>
            <w:r w:rsidR="00F20642" w:rsidRPr="00B44B19">
              <w:rPr>
                <w:rFonts w:ascii="Times New Roman" w:eastAsia="Calibri" w:hAnsi="Times New Roman" w:cs="Times New Roman"/>
                <w:bCs/>
              </w:rPr>
              <w:t xml:space="preserve">profesinių gebėjimų </w:t>
            </w:r>
            <w:r w:rsidRPr="00B44B19">
              <w:rPr>
                <w:rFonts w:ascii="Times New Roman" w:eastAsia="Calibri" w:hAnsi="Times New Roman" w:cs="Times New Roman"/>
                <w:bCs/>
              </w:rPr>
              <w:t xml:space="preserve">ugdymas; atvejo vadyba, pagalba atliekant įsidarbinimo procedūras, lydimoji pagalba įsidarbinus, darbo asistento paslaugos, techninės ir IT pagalbos priemonės, padedančios </w:t>
            </w:r>
            <w:r w:rsidR="003E15D6" w:rsidRPr="00B44B19">
              <w:rPr>
                <w:rFonts w:ascii="Times New Roman" w:eastAsia="Calibri" w:hAnsi="Times New Roman" w:cs="Times New Roman"/>
                <w:bCs/>
              </w:rPr>
              <w:t xml:space="preserve">ir skatinančios </w:t>
            </w:r>
            <w:r w:rsidRPr="00B44B19">
              <w:rPr>
                <w:rFonts w:ascii="Times New Roman" w:eastAsia="Calibri" w:hAnsi="Times New Roman" w:cs="Times New Roman"/>
                <w:bCs/>
              </w:rPr>
              <w:t xml:space="preserve">dalyvauti </w:t>
            </w:r>
            <w:r w:rsidR="002F4119" w:rsidRPr="00B44B19">
              <w:rPr>
                <w:rFonts w:ascii="Times New Roman" w:eastAsia="Calibri" w:hAnsi="Times New Roman" w:cs="Times New Roman"/>
                <w:bCs/>
              </w:rPr>
              <w:t>DR</w:t>
            </w:r>
            <w:r w:rsidRPr="00B44B19">
              <w:rPr>
                <w:rFonts w:ascii="Times New Roman" w:eastAsia="Calibri" w:hAnsi="Times New Roman" w:cs="Times New Roman"/>
                <w:bCs/>
              </w:rPr>
              <w:t>; kitos paslaugos ir priemonės, skatinančios neįgaliųjų užimtumą)</w:t>
            </w:r>
            <w:r w:rsidRPr="00B44B19">
              <w:rPr>
                <w:rFonts w:ascii="Times New Roman" w:eastAsia="Calibri" w:hAnsi="Times New Roman" w:cs="Times New Roman"/>
              </w:rPr>
              <w:t>. Ši veikla bus įgyvendin</w:t>
            </w:r>
            <w:r w:rsidR="00B869CF" w:rsidRPr="00B44B19">
              <w:rPr>
                <w:rFonts w:ascii="Times New Roman" w:eastAsia="Calibri" w:hAnsi="Times New Roman" w:cs="Times New Roman"/>
              </w:rPr>
              <w:t>ama VVL ir Sostinės regionuose.</w:t>
            </w:r>
          </w:p>
          <w:p w14:paraId="51A1FC30" w14:textId="768365AC" w:rsidR="00DC0156" w:rsidRPr="00B44B19" w:rsidRDefault="00DC0156" w:rsidP="007D0221">
            <w:pPr>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Didinti vyresnio amžiaus asmenų potencialą dalyvauti </w:t>
            </w:r>
            <w:r w:rsidR="002F4119" w:rsidRPr="00B44B19">
              <w:rPr>
                <w:rFonts w:ascii="Times New Roman" w:eastAsia="Calibri" w:hAnsi="Times New Roman" w:cs="Times New Roman"/>
                <w:b/>
              </w:rPr>
              <w:t>DR</w:t>
            </w:r>
            <w:r w:rsidRPr="00B44B19">
              <w:rPr>
                <w:rFonts w:ascii="Times New Roman" w:eastAsia="Calibri" w:hAnsi="Times New Roman" w:cs="Times New Roman"/>
              </w:rPr>
              <w:t xml:space="preserve">: </w:t>
            </w:r>
            <w:r w:rsidR="00F20642" w:rsidRPr="00B44B19">
              <w:rPr>
                <w:rFonts w:ascii="Times New Roman" w:eastAsia="Calibri" w:hAnsi="Times New Roman" w:cs="Times New Roman"/>
              </w:rPr>
              <w:t xml:space="preserve">skatinti </w:t>
            </w:r>
            <w:r w:rsidRPr="00B44B19">
              <w:rPr>
                <w:rFonts w:ascii="Times New Roman" w:eastAsia="Calibri" w:hAnsi="Times New Roman" w:cs="Times New Roman"/>
              </w:rPr>
              <w:t xml:space="preserve">kurti </w:t>
            </w:r>
            <w:r w:rsidR="00B91F86" w:rsidRPr="00B44B19">
              <w:rPr>
                <w:rFonts w:ascii="Times New Roman" w:eastAsia="Calibri" w:hAnsi="Times New Roman" w:cs="Times New Roman"/>
              </w:rPr>
              <w:t xml:space="preserve">darbo vietas, užtikrinant vyresnio </w:t>
            </w:r>
            <w:r w:rsidRPr="00B44B19">
              <w:rPr>
                <w:rFonts w:ascii="Times New Roman" w:eastAsia="Calibri" w:hAnsi="Times New Roman" w:cs="Times New Roman"/>
              </w:rPr>
              <w:t>amži</w:t>
            </w:r>
            <w:r w:rsidR="00B91F86" w:rsidRPr="00B44B19">
              <w:rPr>
                <w:rFonts w:ascii="Times New Roman" w:eastAsia="Calibri" w:hAnsi="Times New Roman" w:cs="Times New Roman"/>
              </w:rPr>
              <w:t>aus asmenims</w:t>
            </w:r>
            <w:r w:rsidRPr="00B44B19">
              <w:rPr>
                <w:rFonts w:ascii="Times New Roman" w:eastAsia="Calibri" w:hAnsi="Times New Roman" w:cs="Times New Roman"/>
              </w:rPr>
              <w:t xml:space="preserve"> palankias </w:t>
            </w:r>
            <w:r w:rsidR="00B91F86" w:rsidRPr="00B44B19">
              <w:rPr>
                <w:rFonts w:ascii="Times New Roman" w:eastAsia="Calibri" w:hAnsi="Times New Roman" w:cs="Times New Roman"/>
              </w:rPr>
              <w:t xml:space="preserve">sąlygas </w:t>
            </w:r>
            <w:r w:rsidRPr="00B44B19">
              <w:rPr>
                <w:rFonts w:ascii="Times New Roman" w:eastAsia="Calibri" w:hAnsi="Times New Roman" w:cs="Times New Roman"/>
              </w:rPr>
              <w:t>d</w:t>
            </w:r>
            <w:r w:rsidR="00DE5A2E" w:rsidRPr="00B44B19">
              <w:rPr>
                <w:rFonts w:ascii="Times New Roman" w:eastAsia="Calibri" w:hAnsi="Times New Roman" w:cs="Times New Roman"/>
              </w:rPr>
              <w:t>i</w:t>
            </w:r>
            <w:r w:rsidRPr="00B44B19">
              <w:rPr>
                <w:rFonts w:ascii="Times New Roman" w:eastAsia="Calibri" w:hAnsi="Times New Roman" w:cs="Times New Roman"/>
              </w:rPr>
              <w:t>rb</w:t>
            </w:r>
            <w:r w:rsidR="00B91F86" w:rsidRPr="00B44B19">
              <w:rPr>
                <w:rFonts w:ascii="Times New Roman" w:eastAsia="Calibri" w:hAnsi="Times New Roman" w:cs="Times New Roman"/>
              </w:rPr>
              <w:t>ti pagal galimybes, susijusias su amžiumi</w:t>
            </w:r>
            <w:r w:rsidRPr="00B44B19">
              <w:rPr>
                <w:rFonts w:ascii="Times New Roman" w:eastAsia="Calibri" w:hAnsi="Times New Roman" w:cs="Times New Roman"/>
              </w:rPr>
              <w:t xml:space="preserve"> (diegti </w:t>
            </w:r>
            <w:r w:rsidR="00B91F86" w:rsidRPr="00B44B19">
              <w:rPr>
                <w:rFonts w:ascii="Times New Roman" w:eastAsia="Calibri" w:hAnsi="Times New Roman" w:cs="Times New Roman"/>
              </w:rPr>
              <w:t>tokių</w:t>
            </w:r>
            <w:r w:rsidRPr="00B44B19">
              <w:rPr>
                <w:rFonts w:ascii="Times New Roman" w:eastAsia="Calibri" w:hAnsi="Times New Roman" w:cs="Times New Roman"/>
              </w:rPr>
              <w:t xml:space="preserve"> darbo vietų kūrimo programas ir priemones, ugdyti </w:t>
            </w:r>
            <w:r w:rsidR="00B91F86" w:rsidRPr="00B44B19">
              <w:rPr>
                <w:rFonts w:ascii="Times New Roman" w:eastAsia="Calibri" w:hAnsi="Times New Roman" w:cs="Times New Roman"/>
              </w:rPr>
              <w:t xml:space="preserve">šiuo metu </w:t>
            </w:r>
            <w:r w:rsidR="002F4119" w:rsidRPr="00B44B19">
              <w:rPr>
                <w:rFonts w:ascii="Times New Roman" w:eastAsia="Calibri" w:hAnsi="Times New Roman" w:cs="Times New Roman"/>
              </w:rPr>
              <w:t>DR</w:t>
            </w:r>
            <w:r w:rsidR="00B91F86" w:rsidRPr="00B44B19">
              <w:rPr>
                <w:rFonts w:ascii="Times New Roman" w:eastAsia="Calibri" w:hAnsi="Times New Roman" w:cs="Times New Roman"/>
              </w:rPr>
              <w:t xml:space="preserve"> </w:t>
            </w:r>
            <w:r w:rsidRPr="00B44B19">
              <w:rPr>
                <w:rFonts w:ascii="Times New Roman" w:eastAsia="Calibri" w:hAnsi="Times New Roman" w:cs="Times New Roman"/>
              </w:rPr>
              <w:t xml:space="preserve">reikalingus bendruosius </w:t>
            </w:r>
            <w:r w:rsidR="00B91F86" w:rsidRPr="00B44B19">
              <w:rPr>
                <w:rFonts w:ascii="Times New Roman" w:eastAsia="Calibri" w:hAnsi="Times New Roman" w:cs="Times New Roman"/>
              </w:rPr>
              <w:t xml:space="preserve">vyresnio amžiaus asmenų </w:t>
            </w:r>
            <w:r w:rsidRPr="00B44B19">
              <w:rPr>
                <w:rFonts w:ascii="Times New Roman" w:eastAsia="Calibri" w:hAnsi="Times New Roman" w:cs="Times New Roman"/>
              </w:rPr>
              <w:t>gebėjimus, formuoti pozityvų požiūrį į vyresnio amžiaus darbuotojus). Ši veikla bus įgyvendinama VVL ir Sostinės regionuose.</w:t>
            </w:r>
          </w:p>
          <w:p w14:paraId="4E54AC2E" w14:textId="77777777" w:rsidR="00DC0156" w:rsidRPr="00B44B19" w:rsidRDefault="00B91F86" w:rsidP="007D0221">
            <w:pPr>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Skatinti </w:t>
            </w:r>
            <w:r w:rsidR="00DC0156" w:rsidRPr="00B44B19">
              <w:rPr>
                <w:rFonts w:ascii="Times New Roman" w:eastAsia="Calibri" w:hAnsi="Times New Roman" w:cs="Times New Roman"/>
                <w:b/>
              </w:rPr>
              <w:t>savarankišką užimtumą ir darbo vietų kūrimą padedant jauniems verslams įsitvirtinti rinkoje</w:t>
            </w:r>
            <w:r w:rsidR="00DC0156" w:rsidRPr="00B44B19">
              <w:rPr>
                <w:rFonts w:ascii="Times New Roman" w:eastAsia="Calibri" w:hAnsi="Times New Roman" w:cs="Times New Roman"/>
              </w:rPr>
              <w:t xml:space="preserve">: </w:t>
            </w:r>
            <w:r w:rsidRPr="00B44B19">
              <w:rPr>
                <w:rFonts w:ascii="Times New Roman" w:eastAsia="Calibri" w:hAnsi="Times New Roman" w:cs="Times New Roman"/>
              </w:rPr>
              <w:t xml:space="preserve">kompensuoti </w:t>
            </w:r>
            <w:r w:rsidR="00DC0156" w:rsidRPr="00B44B19">
              <w:rPr>
                <w:rFonts w:ascii="Times New Roman" w:eastAsia="Calibri" w:hAnsi="Times New Roman" w:cs="Times New Roman"/>
              </w:rPr>
              <w:t>darbo užmokesčio išlaidas</w:t>
            </w:r>
            <w:r w:rsidRPr="00B44B19">
              <w:rPr>
                <w:rFonts w:ascii="Times New Roman" w:eastAsia="Calibri" w:hAnsi="Times New Roman" w:cs="Times New Roman"/>
              </w:rPr>
              <w:t xml:space="preserve"> paskolos, teikiamos pagal priemonę</w:t>
            </w:r>
            <w:r w:rsidR="00DC0156" w:rsidRPr="00B44B19">
              <w:rPr>
                <w:rFonts w:ascii="Times New Roman" w:eastAsia="Calibri" w:hAnsi="Times New Roman" w:cs="Times New Roman"/>
              </w:rPr>
              <w:t xml:space="preserve"> </w:t>
            </w:r>
            <w:r w:rsidRPr="00B44B19">
              <w:rPr>
                <w:rFonts w:ascii="Times New Roman" w:eastAsia="Calibri" w:hAnsi="Times New Roman" w:cs="Times New Roman"/>
              </w:rPr>
              <w:t>„</w:t>
            </w:r>
            <w:r w:rsidR="00DC0156" w:rsidRPr="00B44B19">
              <w:rPr>
                <w:rFonts w:ascii="Times New Roman" w:eastAsia="Calibri" w:hAnsi="Times New Roman" w:cs="Times New Roman"/>
              </w:rPr>
              <w:t>Verslumo skatinimo fond</w:t>
            </w:r>
            <w:r w:rsidRPr="00B44B19">
              <w:rPr>
                <w:rFonts w:ascii="Times New Roman" w:eastAsia="Calibri" w:hAnsi="Times New Roman" w:cs="Times New Roman"/>
              </w:rPr>
              <w:t>as“</w:t>
            </w:r>
            <w:r w:rsidR="00DC0156" w:rsidRPr="00B44B19">
              <w:rPr>
                <w:rFonts w:ascii="Times New Roman" w:eastAsia="Calibri" w:hAnsi="Times New Roman" w:cs="Times New Roman"/>
              </w:rPr>
              <w:t xml:space="preserve"> gavėjams, </w:t>
            </w:r>
            <w:r w:rsidR="00242BC8" w:rsidRPr="00B44B19">
              <w:rPr>
                <w:rFonts w:ascii="Times New Roman" w:eastAsia="Calibri" w:hAnsi="Times New Roman" w:cs="Times New Roman"/>
              </w:rPr>
              <w:t xml:space="preserve">rengti </w:t>
            </w:r>
            <w:r w:rsidR="00DC0156" w:rsidRPr="00B44B19">
              <w:rPr>
                <w:rFonts w:ascii="Times New Roman" w:eastAsia="Calibri" w:hAnsi="Times New Roman" w:cs="Times New Roman"/>
              </w:rPr>
              <w:t>mokym</w:t>
            </w:r>
            <w:r w:rsidR="00242BC8" w:rsidRPr="00B44B19">
              <w:rPr>
                <w:rFonts w:ascii="Times New Roman" w:eastAsia="Calibri" w:hAnsi="Times New Roman" w:cs="Times New Roman"/>
              </w:rPr>
              <w:t>us</w:t>
            </w:r>
            <w:r w:rsidR="00DC0156" w:rsidRPr="00B44B19">
              <w:rPr>
                <w:rFonts w:ascii="Times New Roman" w:eastAsia="Calibri" w:hAnsi="Times New Roman" w:cs="Times New Roman"/>
              </w:rPr>
              <w:t xml:space="preserve">, </w:t>
            </w:r>
            <w:r w:rsidR="00242BC8" w:rsidRPr="00B44B19">
              <w:rPr>
                <w:rFonts w:ascii="Times New Roman" w:eastAsia="Calibri" w:hAnsi="Times New Roman" w:cs="Times New Roman"/>
              </w:rPr>
              <w:t xml:space="preserve">teikti </w:t>
            </w:r>
            <w:r w:rsidR="00DC0156" w:rsidRPr="00B44B19">
              <w:rPr>
                <w:rFonts w:ascii="Times New Roman" w:eastAsia="Calibri" w:hAnsi="Times New Roman" w:cs="Times New Roman"/>
              </w:rPr>
              <w:t>individuali</w:t>
            </w:r>
            <w:r w:rsidR="00242BC8" w:rsidRPr="00B44B19">
              <w:rPr>
                <w:rFonts w:ascii="Times New Roman" w:eastAsia="Calibri" w:hAnsi="Times New Roman" w:cs="Times New Roman"/>
              </w:rPr>
              <w:t>a</w:t>
            </w:r>
            <w:r w:rsidR="00DC0156" w:rsidRPr="00B44B19">
              <w:rPr>
                <w:rFonts w:ascii="Times New Roman" w:eastAsia="Calibri" w:hAnsi="Times New Roman" w:cs="Times New Roman"/>
              </w:rPr>
              <w:t>s konsultacij</w:t>
            </w:r>
            <w:r w:rsidR="00242BC8" w:rsidRPr="00B44B19">
              <w:rPr>
                <w:rFonts w:ascii="Times New Roman" w:eastAsia="Calibri" w:hAnsi="Times New Roman" w:cs="Times New Roman"/>
              </w:rPr>
              <w:t>a</w:t>
            </w:r>
            <w:r w:rsidR="00DC0156" w:rsidRPr="00B44B19">
              <w:rPr>
                <w:rFonts w:ascii="Times New Roman" w:eastAsia="Calibri" w:hAnsi="Times New Roman" w:cs="Times New Roman"/>
              </w:rPr>
              <w:t xml:space="preserve">s ir </w:t>
            </w:r>
            <w:r w:rsidR="00242BC8" w:rsidRPr="00B44B19">
              <w:rPr>
                <w:rFonts w:ascii="Times New Roman" w:eastAsia="Calibri" w:hAnsi="Times New Roman" w:cs="Times New Roman"/>
              </w:rPr>
              <w:t xml:space="preserve">įgyvendinti </w:t>
            </w:r>
            <w:r w:rsidR="00DC0156" w:rsidRPr="00B44B19">
              <w:rPr>
                <w:rFonts w:ascii="Times New Roman" w:eastAsia="Calibri" w:hAnsi="Times New Roman" w:cs="Times New Roman"/>
              </w:rPr>
              <w:t>kit</w:t>
            </w:r>
            <w:r w:rsidR="00242BC8" w:rsidRPr="00B44B19">
              <w:rPr>
                <w:rFonts w:ascii="Times New Roman" w:eastAsia="Calibri" w:hAnsi="Times New Roman" w:cs="Times New Roman"/>
              </w:rPr>
              <w:t>a</w:t>
            </w:r>
            <w:r w:rsidR="00DC0156" w:rsidRPr="00B44B19">
              <w:rPr>
                <w:rFonts w:ascii="Times New Roman" w:eastAsia="Calibri" w:hAnsi="Times New Roman" w:cs="Times New Roman"/>
              </w:rPr>
              <w:t xml:space="preserve">s verslumą </w:t>
            </w:r>
            <w:r w:rsidR="00DC0156" w:rsidRPr="00B44B19">
              <w:rPr>
                <w:rFonts w:ascii="Times New Roman" w:eastAsia="Calibri" w:hAnsi="Times New Roman" w:cs="Times New Roman"/>
              </w:rPr>
              <w:lastRenderedPageBreak/>
              <w:t>skatinančios priemonės. Prioritetas teikiamas socialiniam verslui ir tiems, kuri</w:t>
            </w:r>
            <w:r w:rsidR="00242BC8" w:rsidRPr="00B44B19">
              <w:rPr>
                <w:rFonts w:ascii="Times New Roman" w:eastAsia="Calibri" w:hAnsi="Times New Roman" w:cs="Times New Roman"/>
              </w:rPr>
              <w:t>ų</w:t>
            </w:r>
            <w:r w:rsidR="00DC0156" w:rsidRPr="00B44B19">
              <w:rPr>
                <w:rFonts w:ascii="Times New Roman" w:eastAsia="Calibri" w:hAnsi="Times New Roman" w:cs="Times New Roman"/>
              </w:rPr>
              <w:t xml:space="preserve"> galimyb</w:t>
            </w:r>
            <w:r w:rsidR="00242BC8" w:rsidRPr="00B44B19">
              <w:rPr>
                <w:rFonts w:ascii="Times New Roman" w:eastAsia="Calibri" w:hAnsi="Times New Roman" w:cs="Times New Roman"/>
              </w:rPr>
              <w:t>ė</w:t>
            </w:r>
            <w:r w:rsidR="00DC0156" w:rsidRPr="00B44B19">
              <w:rPr>
                <w:rFonts w:ascii="Times New Roman" w:eastAsia="Calibri" w:hAnsi="Times New Roman" w:cs="Times New Roman"/>
              </w:rPr>
              <w:t>s gauti finansavimą rinkos sąlygomis</w:t>
            </w:r>
            <w:r w:rsidR="00242BC8" w:rsidRPr="00B44B19">
              <w:rPr>
                <w:rFonts w:ascii="Times New Roman" w:eastAsia="Calibri" w:hAnsi="Times New Roman" w:cs="Times New Roman"/>
              </w:rPr>
              <w:t xml:space="preserve"> yra ribotos</w:t>
            </w:r>
            <w:r w:rsidR="00DC0156" w:rsidRPr="00B44B19">
              <w:rPr>
                <w:rFonts w:ascii="Times New Roman" w:eastAsia="Calibri" w:hAnsi="Times New Roman" w:cs="Times New Roman"/>
              </w:rPr>
              <w:t>. Ši veikla bus įgyvendin</w:t>
            </w:r>
            <w:r w:rsidR="00B869CF" w:rsidRPr="00B44B19">
              <w:rPr>
                <w:rFonts w:ascii="Times New Roman" w:eastAsia="Calibri" w:hAnsi="Times New Roman" w:cs="Times New Roman"/>
              </w:rPr>
              <w:t>ama VVL ir Sostinės regionuose.</w:t>
            </w:r>
          </w:p>
          <w:p w14:paraId="215E4C63" w14:textId="77777777" w:rsidR="00DC0156" w:rsidRPr="00B44B19" w:rsidRDefault="00242BC8" w:rsidP="007D0221">
            <w:pPr>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Plėtoti </w:t>
            </w:r>
            <w:r w:rsidR="00DC0156" w:rsidRPr="00B44B19">
              <w:rPr>
                <w:rFonts w:ascii="Times New Roman" w:eastAsia="Calibri" w:hAnsi="Times New Roman" w:cs="Times New Roman"/>
                <w:b/>
              </w:rPr>
              <w:t>socialinį dialogą, siekiant kurti kokybiškas darbo vietas ir didinti konkurencingumą</w:t>
            </w:r>
            <w:r w:rsidR="00DC0156" w:rsidRPr="00B44B19">
              <w:rPr>
                <w:rFonts w:ascii="Times New Roman" w:eastAsia="Calibri" w:hAnsi="Times New Roman" w:cs="Times New Roman"/>
              </w:rPr>
              <w:t>: ugdyti darbdavių ir profesinių sąjungų kompetencijas ir gebėjimus; keisti darbdavių organizacijų ir valdžios institucijų požiūrį į socialinį dialogą ir jo svarbą; daugiau dėmesio skirti švietimui socialinio dialogo klausimais; skatinti narystę profesinėse sąjungose ir kolektyvinių sutarčių sudarymą. Prioritetas teikiamas privačiam sektoriui. Ši veikla bus įgyvendin</w:t>
            </w:r>
            <w:r w:rsidR="00B869CF" w:rsidRPr="00B44B19">
              <w:rPr>
                <w:rFonts w:ascii="Times New Roman" w:eastAsia="Calibri" w:hAnsi="Times New Roman" w:cs="Times New Roman"/>
              </w:rPr>
              <w:t>ama VVL ir Sostinės regionuose.</w:t>
            </w:r>
          </w:p>
          <w:p w14:paraId="39A5261E" w14:textId="77777777" w:rsidR="00EF291A" w:rsidRPr="00B44B19" w:rsidRDefault="00DC0156" w:rsidP="007D0221">
            <w:pPr>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Kurti saugesnę ir geriau pritaikytą darbo aplinką: </w:t>
            </w:r>
            <w:r w:rsidRPr="00B44B19">
              <w:rPr>
                <w:rFonts w:ascii="Times New Roman" w:eastAsia="Calibri" w:hAnsi="Times New Roman" w:cs="Times New Roman"/>
              </w:rPr>
              <w:t xml:space="preserve">efektyvinti profesinės rizikos valdymą </w:t>
            </w:r>
            <w:r w:rsidRPr="00B44B19">
              <w:rPr>
                <w:rFonts w:ascii="Times New Roman" w:eastAsia="Calibri" w:hAnsi="Times New Roman" w:cs="Times New Roman"/>
                <w:iCs/>
              </w:rPr>
              <w:t xml:space="preserve">tobulinant profesinės rizikos vertinimo ir priežiūros </w:t>
            </w:r>
            <w:r w:rsidRPr="00B44B19">
              <w:rPr>
                <w:rFonts w:ascii="Times New Roman" w:eastAsia="Calibri" w:hAnsi="Times New Roman" w:cs="Times New Roman"/>
                <w:bCs/>
                <w:iCs/>
              </w:rPr>
              <w:t>(kontrolės)</w:t>
            </w:r>
            <w:r w:rsidRPr="00B44B19">
              <w:rPr>
                <w:rFonts w:ascii="Times New Roman" w:eastAsia="Calibri" w:hAnsi="Times New Roman" w:cs="Times New Roman"/>
                <w:b/>
                <w:bCs/>
                <w:iCs/>
              </w:rPr>
              <w:t xml:space="preserve"> </w:t>
            </w:r>
            <w:r w:rsidRPr="00B44B19">
              <w:rPr>
                <w:rFonts w:ascii="Times New Roman" w:eastAsia="Calibri" w:hAnsi="Times New Roman" w:cs="Times New Roman"/>
                <w:iCs/>
              </w:rPr>
              <w:t>metodus, didinant profesinės rizikos vertinimo ir profesinės rizikos priežiūros kompetencijas, dalinantis gerąja patirtimi, vykdant aktyvią komunikaciją ir viešinimą</w:t>
            </w:r>
            <w:r w:rsidRPr="00B44B19">
              <w:rPr>
                <w:rFonts w:ascii="Times New Roman" w:eastAsia="Calibri" w:hAnsi="Times New Roman" w:cs="Times New Roman"/>
              </w:rPr>
              <w:t>. Ši veikla bus įgyvendinama VVL ir Sostinės regionuose.</w:t>
            </w:r>
          </w:p>
          <w:p w14:paraId="0FB41090" w14:textId="77777777" w:rsidR="00CF752A" w:rsidRPr="00B44B19" w:rsidRDefault="00334B0C" w:rsidP="007D0221">
            <w:pPr>
              <w:spacing w:before="60" w:after="60"/>
              <w:jc w:val="both"/>
              <w:rPr>
                <w:rFonts w:ascii="Times New Roman" w:eastAsia="Calibri"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0E64FC" w:rsidRPr="00B44B19">
              <w:rPr>
                <w:rFonts w:ascii="Times New Roman" w:eastAsia="Times New Roman" w:hAnsi="Times New Roman" w:cs="Times New Roman"/>
                <w:noProof/>
                <w:szCs w:val="24"/>
              </w:rPr>
              <w:t>.</w:t>
            </w:r>
          </w:p>
        </w:tc>
      </w:tr>
    </w:tbl>
    <w:p w14:paraId="417910A2" w14:textId="77777777" w:rsidR="00EF291A" w:rsidRPr="00B44B19" w:rsidRDefault="00EF291A" w:rsidP="001E5B12">
      <w:pPr>
        <w:pStyle w:val="Stilius1"/>
        <w:rPr>
          <w:rFonts w:cs="Times New Roman"/>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96EDB" w:rsidRPr="00B44B19" w14:paraId="3224F4C7" w14:textId="77777777" w:rsidTr="00496EDB">
        <w:tc>
          <w:tcPr>
            <w:tcW w:w="9854" w:type="dxa"/>
          </w:tcPr>
          <w:p w14:paraId="5C7FE945" w14:textId="77777777" w:rsidR="00496EDB" w:rsidRPr="00B44B19" w:rsidRDefault="00496EDB" w:rsidP="007D0221">
            <w:pPr>
              <w:spacing w:before="60" w:after="60"/>
              <w:jc w:val="both"/>
              <w:rPr>
                <w:rFonts w:eastAsia="Times New Roman" w:cs="Times New Roman"/>
                <w:iCs/>
                <w:noProof/>
                <w:szCs w:val="24"/>
                <w:lang w:eastAsia="lt-LT" w:bidi="lt-LT"/>
              </w:rPr>
            </w:pPr>
            <w:r w:rsidRPr="00B44B19">
              <w:rPr>
                <w:rFonts w:eastAsia="Calibri" w:cs="Times New Roman"/>
                <w:noProof/>
                <w:sz w:val="22"/>
                <w:lang w:eastAsia="lt-LT" w:bidi="lt-LT"/>
              </w:rPr>
              <w:t>Bedarbiai (prioritetas teikiamas ribot</w:t>
            </w:r>
            <w:r w:rsidR="005E3652" w:rsidRPr="00B44B19">
              <w:rPr>
                <w:rFonts w:eastAsia="Calibri" w:cs="Times New Roman"/>
                <w:noProof/>
                <w:sz w:val="22"/>
                <w:lang w:eastAsia="lt-LT" w:bidi="lt-LT"/>
              </w:rPr>
              <w:t>ų</w:t>
            </w:r>
            <w:r w:rsidRPr="00B44B19">
              <w:rPr>
                <w:rFonts w:eastAsia="Calibri" w:cs="Times New Roman"/>
                <w:noProof/>
                <w:sz w:val="22"/>
                <w:lang w:eastAsia="lt-LT" w:bidi="lt-LT"/>
              </w:rPr>
              <w:t xml:space="preserve"> ir vidutin</w:t>
            </w:r>
            <w:r w:rsidR="005E3652" w:rsidRPr="00B44B19">
              <w:rPr>
                <w:rFonts w:eastAsia="Calibri" w:cs="Times New Roman"/>
                <w:noProof/>
                <w:sz w:val="22"/>
                <w:lang w:eastAsia="lt-LT" w:bidi="lt-LT"/>
              </w:rPr>
              <w:t>ių</w:t>
            </w:r>
            <w:r w:rsidRPr="00B44B19">
              <w:rPr>
                <w:rFonts w:eastAsia="Calibri" w:cs="Times New Roman"/>
                <w:noProof/>
                <w:sz w:val="22"/>
                <w:lang w:eastAsia="lt-LT" w:bidi="lt-LT"/>
              </w:rPr>
              <w:t xml:space="preserve"> įsidarbinimo galimyb</w:t>
            </w:r>
            <w:r w:rsidR="007046A2" w:rsidRPr="00B44B19">
              <w:rPr>
                <w:rFonts w:eastAsia="Calibri" w:cs="Times New Roman"/>
                <w:noProof/>
                <w:sz w:val="22"/>
                <w:lang w:eastAsia="lt-LT" w:bidi="lt-LT"/>
              </w:rPr>
              <w:t>ių</w:t>
            </w:r>
            <w:r w:rsidRPr="00B44B19">
              <w:rPr>
                <w:rFonts w:eastAsia="Calibri" w:cs="Times New Roman"/>
                <w:noProof/>
                <w:sz w:val="22"/>
                <w:lang w:eastAsia="lt-LT" w:bidi="lt-LT"/>
              </w:rPr>
              <w:t xml:space="preserve"> turintiems bedarbiams, ypač nekvalifikuotiems asmenims, ilgalaikiams bedarbiams, vyresnio amžiaus asmenims, NEET jaunimui, migrantams), neįgalūs suaugę asmenys, vyresnio amžiaus asmenys</w:t>
            </w:r>
            <w:r w:rsidR="007046A2" w:rsidRPr="00B44B19">
              <w:rPr>
                <w:rFonts w:eastAsia="Calibri" w:cs="Times New Roman"/>
                <w:noProof/>
                <w:sz w:val="22"/>
                <w:lang w:eastAsia="lt-LT" w:bidi="lt-LT"/>
              </w:rPr>
              <w:t>;</w:t>
            </w:r>
            <w:r w:rsidRPr="00B44B19">
              <w:rPr>
                <w:rFonts w:eastAsia="Calibri" w:cs="Times New Roman"/>
                <w:noProof/>
                <w:sz w:val="22"/>
                <w:lang w:eastAsia="lt-LT" w:bidi="lt-LT"/>
              </w:rPr>
              <w:t xml:space="preserve"> darbdaviai ir jų organizacijos</w:t>
            </w:r>
            <w:r w:rsidR="007046A2" w:rsidRPr="00B44B19">
              <w:rPr>
                <w:rFonts w:eastAsia="Calibri" w:cs="Times New Roman"/>
                <w:noProof/>
                <w:sz w:val="22"/>
                <w:lang w:eastAsia="lt-LT" w:bidi="lt-LT"/>
              </w:rPr>
              <w:t>;</w:t>
            </w:r>
            <w:r w:rsidRPr="00B44B19">
              <w:rPr>
                <w:rFonts w:eastAsia="Calibri" w:cs="Times New Roman"/>
                <w:noProof/>
                <w:sz w:val="22"/>
                <w:lang w:eastAsia="lt-LT" w:bidi="lt-LT"/>
              </w:rPr>
              <w:t xml:space="preserve"> darbuotojai ir jų organizacijos</w:t>
            </w:r>
            <w:r w:rsidR="007046A2" w:rsidRPr="00B44B19">
              <w:rPr>
                <w:rFonts w:eastAsia="Calibri" w:cs="Times New Roman"/>
                <w:noProof/>
                <w:sz w:val="22"/>
                <w:lang w:eastAsia="lt-LT" w:bidi="lt-LT"/>
              </w:rPr>
              <w:t>; paskolos, teikiamos pagal priemonę</w:t>
            </w:r>
            <w:r w:rsidRPr="00B44B19">
              <w:rPr>
                <w:rFonts w:eastAsia="Calibri" w:cs="Times New Roman"/>
                <w:noProof/>
                <w:sz w:val="22"/>
                <w:lang w:eastAsia="lt-LT" w:bidi="lt-LT"/>
              </w:rPr>
              <w:t xml:space="preserve"> </w:t>
            </w:r>
            <w:r w:rsidR="007046A2" w:rsidRPr="00B44B19">
              <w:rPr>
                <w:rFonts w:eastAsia="Calibri" w:cs="Times New Roman"/>
                <w:noProof/>
                <w:sz w:val="22"/>
                <w:lang w:eastAsia="lt-LT" w:bidi="lt-LT"/>
              </w:rPr>
              <w:t>„</w:t>
            </w:r>
            <w:r w:rsidRPr="00B44B19">
              <w:rPr>
                <w:rFonts w:eastAsia="Calibri" w:cs="Times New Roman"/>
                <w:sz w:val="22"/>
              </w:rPr>
              <w:t>Verslumo skatinimo fond</w:t>
            </w:r>
            <w:r w:rsidR="007046A2" w:rsidRPr="00B44B19">
              <w:rPr>
                <w:rFonts w:eastAsia="Calibri" w:cs="Times New Roman"/>
                <w:sz w:val="22"/>
              </w:rPr>
              <w:t>as“,</w:t>
            </w:r>
            <w:r w:rsidRPr="00B44B19">
              <w:rPr>
                <w:rFonts w:eastAsia="Calibri" w:cs="Times New Roman"/>
                <w:sz w:val="22"/>
              </w:rPr>
              <w:t xml:space="preserve"> gavėjai</w:t>
            </w:r>
            <w:r w:rsidRPr="00B44B19">
              <w:rPr>
                <w:rFonts w:eastAsia="Calibri" w:cs="Times New Roman"/>
                <w:noProof/>
                <w:sz w:val="22"/>
                <w:lang w:eastAsia="lt-LT" w:bidi="lt-LT"/>
              </w:rPr>
              <w:t xml:space="preserve"> ir jų darbuotojai, Valstybinė darbo inspekcija prie Socialinės apsaugos ir darbo ministerijos.</w:t>
            </w:r>
          </w:p>
        </w:tc>
      </w:tr>
    </w:tbl>
    <w:p w14:paraId="4ECF41AC" w14:textId="77777777" w:rsidR="00EF291A" w:rsidRPr="00B44B19" w:rsidRDefault="00EF291A" w:rsidP="001E5B12">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96EDB" w:rsidRPr="00B44B19" w14:paraId="150BBCAD" w14:textId="77777777" w:rsidTr="00496EDB">
        <w:tc>
          <w:tcPr>
            <w:tcW w:w="9854" w:type="dxa"/>
          </w:tcPr>
          <w:p w14:paraId="001732FD" w14:textId="77777777" w:rsidR="00496EDB" w:rsidRPr="00B44B19" w:rsidRDefault="00496EDB" w:rsidP="007D0221">
            <w:pPr>
              <w:spacing w:before="60" w:after="60"/>
              <w:jc w:val="both"/>
              <w:rPr>
                <w:rFonts w:eastAsia="Calibri" w:cs="Times New Roman"/>
                <w:noProof/>
                <w:szCs w:val="24"/>
                <w:lang w:eastAsia="lt-LT" w:bidi="lt-LT"/>
              </w:rPr>
            </w:pPr>
            <w:r w:rsidRPr="00B44B19">
              <w:rPr>
                <w:rFonts w:eastAsia="Calibri" w:cs="Times New Roman"/>
                <w:noProof/>
                <w:sz w:val="22"/>
                <w:lang w:eastAsia="lt-LT" w:bidi="lt-LT"/>
              </w:rPr>
              <w:t xml:space="preserve">Vykdant veiklas siekiama didinti galimybes sėkmingai integruotis ir (ar) išsilaikyti </w:t>
            </w:r>
            <w:r w:rsidR="002F4119" w:rsidRPr="00B44B19">
              <w:rPr>
                <w:rFonts w:eastAsia="Calibri" w:cs="Times New Roman"/>
                <w:noProof/>
                <w:sz w:val="22"/>
                <w:lang w:eastAsia="lt-LT" w:bidi="lt-LT"/>
              </w:rPr>
              <w:t>DR</w:t>
            </w:r>
            <w:r w:rsidRPr="00B44B19">
              <w:rPr>
                <w:rFonts w:eastAsia="Calibri" w:cs="Times New Roman"/>
                <w:noProof/>
                <w:sz w:val="22"/>
                <w:lang w:eastAsia="lt-LT" w:bidi="lt-LT"/>
              </w:rPr>
              <w:t xml:space="preserve"> asmenims, </w:t>
            </w:r>
            <w:r w:rsidR="007046A2" w:rsidRPr="00B44B19">
              <w:rPr>
                <w:rFonts w:eastAsia="Calibri" w:cs="Times New Roman"/>
                <w:noProof/>
                <w:sz w:val="22"/>
                <w:lang w:eastAsia="lt-LT" w:bidi="lt-LT"/>
              </w:rPr>
              <w:t>galintiems patirti</w:t>
            </w:r>
            <w:r w:rsidRPr="00B44B19">
              <w:rPr>
                <w:rFonts w:eastAsia="Calibri" w:cs="Times New Roman"/>
                <w:noProof/>
                <w:sz w:val="22"/>
                <w:lang w:eastAsia="lt-LT" w:bidi="lt-LT"/>
              </w:rPr>
              <w:t xml:space="preserve"> nelygybę, atskirtį ir diskriminavimą </w:t>
            </w:r>
            <w:r w:rsidR="002F4119" w:rsidRPr="00B44B19">
              <w:rPr>
                <w:rFonts w:eastAsia="Calibri" w:cs="Times New Roman"/>
                <w:noProof/>
                <w:sz w:val="22"/>
                <w:lang w:eastAsia="lt-LT" w:bidi="lt-LT"/>
              </w:rPr>
              <w:t>DR</w:t>
            </w:r>
            <w:r w:rsidRPr="00B44B19">
              <w:rPr>
                <w:rFonts w:eastAsia="Calibri" w:cs="Times New Roman"/>
                <w:noProof/>
                <w:sz w:val="22"/>
                <w:lang w:eastAsia="lt-LT" w:bidi="lt-LT"/>
              </w:rPr>
              <w:t>.</w:t>
            </w:r>
          </w:p>
        </w:tc>
      </w:tr>
    </w:tbl>
    <w:p w14:paraId="7E51E521" w14:textId="77777777" w:rsidR="00EF291A" w:rsidRPr="00B44B19" w:rsidRDefault="00EF291A" w:rsidP="001E5B12">
      <w:pPr>
        <w:pStyle w:val="Stilius1"/>
        <w:rPr>
          <w:rFonts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96EDB" w:rsidRPr="00B44B19" w14:paraId="18318C07" w14:textId="77777777" w:rsidTr="00496EDB">
        <w:tc>
          <w:tcPr>
            <w:tcW w:w="9854" w:type="dxa"/>
          </w:tcPr>
          <w:p w14:paraId="26D017E6" w14:textId="77777777" w:rsidR="00496EDB" w:rsidRPr="00B44B19" w:rsidRDefault="00307A1E" w:rsidP="007D0221">
            <w:pPr>
              <w:spacing w:before="60" w:after="60"/>
              <w:jc w:val="both"/>
              <w:rPr>
                <w:rFonts w:cs="Times New Roman"/>
                <w:bCs/>
                <w:color w:val="000000"/>
                <w:sz w:val="22"/>
              </w:rPr>
            </w:pPr>
            <w:r w:rsidRPr="00B44B19">
              <w:rPr>
                <w:rFonts w:eastAsia="Calibri" w:cs="Times New Roman"/>
                <w:noProof/>
                <w:sz w:val="22"/>
                <w:lang w:eastAsia="lt-LT" w:bidi="lt-LT"/>
              </w:rPr>
              <w:t>VVL regionas, Sostinės regionas.</w:t>
            </w:r>
          </w:p>
        </w:tc>
      </w:tr>
    </w:tbl>
    <w:p w14:paraId="3FD5A83B" w14:textId="77777777" w:rsidR="00307A1E" w:rsidRPr="00B44B19" w:rsidRDefault="00EF291A" w:rsidP="001E5B12">
      <w:pPr>
        <w:pStyle w:val="Stilius1"/>
        <w:rPr>
          <w:rFonts w:cs="Times New Roman"/>
          <w:noProof/>
          <w:lang w:eastAsia="lt-LT" w:bidi="lt-LT"/>
        </w:rPr>
      </w:pPr>
      <w:r w:rsidRPr="00B44B19">
        <w:rPr>
          <w:rFonts w:cs="Times New Roman"/>
          <w:noProof/>
          <w:lang w:eastAsia="lt-LT" w:bidi="lt-LT"/>
        </w:rPr>
        <w:t>Tarpregioniniai, tarp sienų ir tarpvalstybiniai veiksmai</w:t>
      </w:r>
    </w:p>
    <w:tbl>
      <w:tblPr>
        <w:tblStyle w:val="Lentelstinklelis"/>
        <w:tblW w:w="0" w:type="auto"/>
        <w:tblLook w:val="04A0" w:firstRow="1" w:lastRow="0" w:firstColumn="1" w:lastColumn="0" w:noHBand="0" w:noVBand="1"/>
      </w:tblPr>
      <w:tblGrid>
        <w:gridCol w:w="9628"/>
      </w:tblGrid>
      <w:tr w:rsidR="00307A1E" w:rsidRPr="00B44B19" w14:paraId="604C29FA" w14:textId="77777777" w:rsidTr="00307A1E">
        <w:tc>
          <w:tcPr>
            <w:tcW w:w="9854" w:type="dxa"/>
          </w:tcPr>
          <w:p w14:paraId="02A3C86A" w14:textId="77777777" w:rsidR="00307A1E" w:rsidRPr="00B44B19" w:rsidRDefault="00993B5D" w:rsidP="007D0221">
            <w:pPr>
              <w:spacing w:before="60" w:after="60"/>
              <w:jc w:val="both"/>
              <w:rPr>
                <w:rFonts w:eastAsia="Calibri" w:cs="Times New Roman"/>
                <w:noProof/>
                <w:szCs w:val="24"/>
                <w:lang w:val="fr-BE" w:eastAsia="lt-LT" w:bidi="lt-LT"/>
              </w:rPr>
            </w:pPr>
            <w:r w:rsidRPr="00B44B19">
              <w:rPr>
                <w:rFonts w:eastAsia="Calibri" w:cs="Times New Roman"/>
                <w:bCs/>
                <w:noProof/>
                <w:sz w:val="22"/>
                <w:lang w:eastAsia="lt-LT" w:bidi="lt-LT"/>
              </w:rPr>
              <w:t>Numatoma sudaryti visas galimybes prireikus juos atlikti</w:t>
            </w:r>
            <w:r w:rsidR="00307A1E" w:rsidRPr="00B44B19">
              <w:rPr>
                <w:rFonts w:eastAsia="Calibri" w:cs="Times New Roman"/>
                <w:noProof/>
                <w:sz w:val="22"/>
                <w:lang w:eastAsia="lt-LT" w:bidi="lt-LT"/>
              </w:rPr>
              <w:t>.</w:t>
            </w:r>
          </w:p>
        </w:tc>
      </w:tr>
    </w:tbl>
    <w:p w14:paraId="64F340C0" w14:textId="77777777" w:rsidR="00EF291A" w:rsidRPr="00B44B19" w:rsidRDefault="00EF291A" w:rsidP="001E5B12">
      <w:pPr>
        <w:pStyle w:val="Stilius1"/>
        <w:rPr>
          <w:rFonts w:cs="Times New Roman"/>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307A1E" w:rsidRPr="00B44B19" w14:paraId="41A623AE" w14:textId="77777777" w:rsidTr="00307A1E">
        <w:tc>
          <w:tcPr>
            <w:tcW w:w="9854" w:type="dxa"/>
          </w:tcPr>
          <w:p w14:paraId="6307E9ED" w14:textId="77777777" w:rsidR="00307A1E" w:rsidRPr="00B44B19" w:rsidRDefault="007046A2" w:rsidP="007D0221">
            <w:pPr>
              <w:spacing w:before="60" w:after="60"/>
              <w:jc w:val="both"/>
              <w:rPr>
                <w:rFonts w:eastAsia="Times New Roman" w:cs="Times New Roman"/>
                <w:iCs/>
                <w:noProof/>
                <w:szCs w:val="24"/>
                <w:lang w:eastAsia="lt-LT" w:bidi="lt-LT"/>
              </w:rPr>
            </w:pPr>
            <w:r w:rsidRPr="00B44B19">
              <w:rPr>
                <w:rFonts w:eastAsia="Calibri" w:cs="Times New Roman"/>
                <w:noProof/>
                <w:sz w:val="22"/>
                <w:lang w:eastAsia="lt-LT" w:bidi="lt-LT"/>
              </w:rPr>
              <w:t>–</w:t>
            </w:r>
          </w:p>
        </w:tc>
      </w:tr>
    </w:tbl>
    <w:p w14:paraId="1DB3AA59" w14:textId="77777777" w:rsidR="00344476" w:rsidRPr="00B44B19" w:rsidRDefault="00786CD2" w:rsidP="001E5B12">
      <w:pPr>
        <w:pStyle w:val="Stilius1"/>
        <w:rPr>
          <w:rFonts w:eastAsia="Calibri" w:cs="Times New Roman"/>
          <w:noProof/>
          <w:szCs w:val="20"/>
          <w:lang w:eastAsia="lt-LT" w:bidi="lt-LT"/>
        </w:rPr>
      </w:pPr>
      <w:r w:rsidRPr="00B44B19">
        <w:rPr>
          <w:rFonts w:cs="Times New Roman"/>
        </w:rPr>
        <w:t>Rodikliai</w:t>
      </w:r>
    </w:p>
    <w:p w14:paraId="109ACD89" w14:textId="77777777" w:rsidR="00786CD2" w:rsidRPr="00B44B19" w:rsidRDefault="00786CD2" w:rsidP="00307A1E">
      <w:pPr>
        <w:spacing w:before="240" w:after="0" w:line="240" w:lineRule="auto"/>
        <w:jc w:val="both"/>
        <w:rPr>
          <w:rFonts w:cs="Times New Roman"/>
          <w:b/>
          <w:sz w:val="20"/>
          <w:szCs w:val="20"/>
        </w:rPr>
      </w:pPr>
      <w:r w:rsidRPr="00B44B19">
        <w:rPr>
          <w:rFonts w:cs="Times New Roman"/>
          <w:b/>
          <w:sz w:val="20"/>
          <w:szCs w:val="20"/>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63"/>
        <w:gridCol w:w="832"/>
        <w:gridCol w:w="955"/>
        <w:gridCol w:w="1257"/>
        <w:gridCol w:w="1645"/>
        <w:gridCol w:w="986"/>
        <w:gridCol w:w="970"/>
        <w:gridCol w:w="913"/>
      </w:tblGrid>
      <w:tr w:rsidR="005E69E4" w:rsidRPr="00B44B19" w14:paraId="61BD7BEE" w14:textId="77777777" w:rsidTr="007D0221">
        <w:trPr>
          <w:trHeight w:val="775"/>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CBB2E6"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AE8E3"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Konkretus uždavinys</w:t>
            </w:r>
          </w:p>
        </w:tc>
        <w:tc>
          <w:tcPr>
            <w:tcW w:w="4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E5234F"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Fondas</w:t>
            </w:r>
          </w:p>
        </w:tc>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88552E"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Regiono kategorija</w:t>
            </w:r>
          </w:p>
        </w:tc>
        <w:tc>
          <w:tcPr>
            <w:tcW w:w="65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38AA7E"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Identifikavimo numeris</w:t>
            </w:r>
          </w:p>
        </w:tc>
        <w:tc>
          <w:tcPr>
            <w:tcW w:w="85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F16303"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Rodiklis</w:t>
            </w:r>
          </w:p>
        </w:tc>
        <w:tc>
          <w:tcPr>
            <w:tcW w:w="5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704F9E"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Matavimo vienetas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AB4A93"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Tarpinė reikšmė (2024 m.)</w:t>
            </w:r>
          </w:p>
        </w:tc>
        <w:tc>
          <w:tcPr>
            <w:tcW w:w="4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8ABA4" w14:textId="77777777" w:rsidR="005E69E4" w:rsidRPr="00B44B19" w:rsidRDefault="005E69E4" w:rsidP="005E69E4">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Siek</w:t>
            </w:r>
            <w:r w:rsidR="00153EEB" w:rsidRPr="00B44B19">
              <w:rPr>
                <w:rFonts w:eastAsia="Times New Roman" w:cs="Times New Roman"/>
                <w:b/>
                <w:noProof/>
                <w:sz w:val="16"/>
                <w:szCs w:val="16"/>
              </w:rPr>
              <w:t>tina reikšmė</w:t>
            </w:r>
            <w:r w:rsidRPr="00B44B19">
              <w:rPr>
                <w:rFonts w:eastAsia="Times New Roman" w:cs="Times New Roman"/>
                <w:b/>
                <w:noProof/>
                <w:sz w:val="16"/>
                <w:szCs w:val="16"/>
              </w:rPr>
              <w:t xml:space="preserve"> (2029 m.)</w:t>
            </w:r>
          </w:p>
        </w:tc>
      </w:tr>
      <w:tr w:rsidR="005E69E4" w:rsidRPr="00B44B19" w14:paraId="0F5F4694" w14:textId="77777777" w:rsidTr="006A186A">
        <w:trPr>
          <w:trHeight w:val="443"/>
        </w:trPr>
        <w:tc>
          <w:tcPr>
            <w:tcW w:w="566" w:type="pct"/>
            <w:vMerge w:val="restart"/>
            <w:tcBorders>
              <w:top w:val="single" w:sz="12" w:space="0" w:color="auto"/>
            </w:tcBorders>
          </w:tcPr>
          <w:p w14:paraId="3D4852FF" w14:textId="77777777" w:rsidR="005E69E4" w:rsidRPr="00B44B19" w:rsidRDefault="005E69E4" w:rsidP="005E69E4">
            <w:pPr>
              <w:spacing w:after="0" w:line="240" w:lineRule="auto"/>
              <w:jc w:val="both"/>
              <w:rPr>
                <w:rFonts w:eastAsia="Times New Roman" w:cs="Times New Roman"/>
                <w:noProof/>
                <w:sz w:val="16"/>
                <w:szCs w:val="16"/>
              </w:rPr>
            </w:pPr>
            <w:r w:rsidRPr="00B44B19">
              <w:rPr>
                <w:rFonts w:eastAsia="Times New Roman" w:cs="Times New Roman"/>
                <w:noProof/>
                <w:sz w:val="16"/>
                <w:szCs w:val="16"/>
              </w:rPr>
              <w:t>4. Socialiai atsakingesnė Lietuva</w:t>
            </w:r>
          </w:p>
        </w:tc>
        <w:tc>
          <w:tcPr>
            <w:tcW w:w="501" w:type="pct"/>
            <w:vMerge w:val="restart"/>
            <w:tcBorders>
              <w:top w:val="single" w:sz="12" w:space="0" w:color="auto"/>
            </w:tcBorders>
          </w:tcPr>
          <w:p w14:paraId="1AA4CBF1" w14:textId="77777777" w:rsidR="005E69E4" w:rsidRPr="00B44B19" w:rsidRDefault="005E69E4" w:rsidP="005E69E4">
            <w:pPr>
              <w:spacing w:after="0" w:line="240" w:lineRule="auto"/>
              <w:jc w:val="both"/>
              <w:rPr>
                <w:rFonts w:eastAsia="Times New Roman" w:cs="Times New Roman"/>
                <w:noProof/>
                <w:sz w:val="16"/>
                <w:szCs w:val="16"/>
              </w:rPr>
            </w:pPr>
            <w:r w:rsidRPr="00B44B19">
              <w:rPr>
                <w:rFonts w:eastAsia="Times New Roman" w:cs="Times New Roman"/>
                <w:noProof/>
                <w:sz w:val="16"/>
                <w:szCs w:val="16"/>
              </w:rPr>
              <w:t>4.1.</w:t>
            </w:r>
          </w:p>
        </w:tc>
        <w:tc>
          <w:tcPr>
            <w:tcW w:w="433" w:type="pct"/>
            <w:vMerge w:val="restart"/>
            <w:tcBorders>
              <w:top w:val="single" w:sz="12" w:space="0" w:color="auto"/>
            </w:tcBorders>
          </w:tcPr>
          <w:p w14:paraId="3F30A515" w14:textId="77777777" w:rsidR="005E69E4" w:rsidRPr="00B44B19" w:rsidRDefault="005E69E4" w:rsidP="005E69E4">
            <w:pPr>
              <w:spacing w:after="0" w:line="240" w:lineRule="auto"/>
              <w:jc w:val="both"/>
              <w:rPr>
                <w:rFonts w:eastAsia="Times New Roman" w:cs="Times New Roman"/>
                <w:noProof/>
                <w:sz w:val="16"/>
                <w:szCs w:val="16"/>
              </w:rPr>
            </w:pPr>
            <w:r w:rsidRPr="00B44B19">
              <w:rPr>
                <w:rFonts w:eastAsia="Times New Roman" w:cs="Times New Roman"/>
                <w:noProof/>
                <w:sz w:val="16"/>
                <w:szCs w:val="16"/>
              </w:rPr>
              <w:t>ESF+</w:t>
            </w:r>
          </w:p>
        </w:tc>
        <w:tc>
          <w:tcPr>
            <w:tcW w:w="497" w:type="pct"/>
            <w:tcBorders>
              <w:top w:val="single" w:sz="12" w:space="0" w:color="auto"/>
            </w:tcBorders>
          </w:tcPr>
          <w:p w14:paraId="4839E9E0"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Borders>
              <w:top w:val="single" w:sz="12" w:space="0" w:color="auto"/>
            </w:tcBorders>
          </w:tcPr>
          <w:p w14:paraId="70CE08A5"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EECO01</w:t>
            </w:r>
          </w:p>
        </w:tc>
        <w:tc>
          <w:tcPr>
            <w:tcW w:w="856" w:type="pct"/>
            <w:tcBorders>
              <w:top w:val="single" w:sz="12" w:space="0" w:color="auto"/>
            </w:tcBorders>
          </w:tcPr>
          <w:p w14:paraId="2B2E8CB7"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Bendras dalyvių skaičius</w:t>
            </w:r>
          </w:p>
        </w:tc>
        <w:tc>
          <w:tcPr>
            <w:tcW w:w="513" w:type="pct"/>
            <w:tcBorders>
              <w:top w:val="single" w:sz="12" w:space="0" w:color="auto"/>
            </w:tcBorders>
          </w:tcPr>
          <w:p w14:paraId="33D91C2D"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Borders>
              <w:top w:val="single" w:sz="12" w:space="0" w:color="auto"/>
            </w:tcBorders>
          </w:tcPr>
          <w:p w14:paraId="2B1AC011" w14:textId="77777777" w:rsidR="005E69E4" w:rsidRPr="00B44B19" w:rsidDel="006B1C5F"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2 288</w:t>
            </w:r>
          </w:p>
        </w:tc>
        <w:tc>
          <w:tcPr>
            <w:tcW w:w="475" w:type="pct"/>
            <w:tcBorders>
              <w:top w:val="single" w:sz="12" w:space="0" w:color="auto"/>
            </w:tcBorders>
          </w:tcPr>
          <w:p w14:paraId="3C471E39" w14:textId="29E06E8C" w:rsidR="005E69E4" w:rsidRPr="00B44B19" w:rsidDel="006B1C5F" w:rsidRDefault="00E43F16"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6 576</w:t>
            </w:r>
          </w:p>
        </w:tc>
      </w:tr>
      <w:tr w:rsidR="005E69E4" w:rsidRPr="00B44B19" w14:paraId="57FA54EF" w14:textId="77777777" w:rsidTr="006A186A">
        <w:trPr>
          <w:trHeight w:val="443"/>
        </w:trPr>
        <w:tc>
          <w:tcPr>
            <w:tcW w:w="566" w:type="pct"/>
            <w:vMerge/>
          </w:tcPr>
          <w:p w14:paraId="55235562"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478F8497"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67DE7596"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5C51E870"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4D4EEE92"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EECO01</w:t>
            </w:r>
          </w:p>
        </w:tc>
        <w:tc>
          <w:tcPr>
            <w:tcW w:w="856" w:type="pct"/>
          </w:tcPr>
          <w:p w14:paraId="682347BB"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Bendras dalyvių skaičius</w:t>
            </w:r>
          </w:p>
        </w:tc>
        <w:tc>
          <w:tcPr>
            <w:tcW w:w="513" w:type="pct"/>
          </w:tcPr>
          <w:p w14:paraId="2C83B1F8"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534F332F" w14:textId="77777777" w:rsidR="005E69E4" w:rsidRPr="00B44B19" w:rsidDel="006B1C5F"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14 012</w:t>
            </w:r>
          </w:p>
        </w:tc>
        <w:tc>
          <w:tcPr>
            <w:tcW w:w="475" w:type="pct"/>
          </w:tcPr>
          <w:p w14:paraId="206B85D7" w14:textId="21FDBC77" w:rsidR="005E69E4" w:rsidRPr="00B44B19" w:rsidDel="006B1C5F" w:rsidRDefault="00E43F16"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40 279</w:t>
            </w:r>
          </w:p>
        </w:tc>
      </w:tr>
      <w:tr w:rsidR="005E69E4" w:rsidRPr="00B44B19" w14:paraId="58A6A060" w14:textId="77777777" w:rsidTr="006A186A">
        <w:trPr>
          <w:trHeight w:val="443"/>
        </w:trPr>
        <w:tc>
          <w:tcPr>
            <w:tcW w:w="566" w:type="pct"/>
            <w:vMerge/>
          </w:tcPr>
          <w:p w14:paraId="399927C5" w14:textId="77777777" w:rsidR="005E69E4" w:rsidRPr="00B44B19" w:rsidRDefault="005E69E4" w:rsidP="005E69E4">
            <w:pPr>
              <w:spacing w:after="0" w:line="240" w:lineRule="auto"/>
              <w:jc w:val="both"/>
              <w:rPr>
                <w:rFonts w:eastAsia="Times New Roman" w:cs="Times New Roman"/>
                <w:b/>
                <w:noProof/>
                <w:sz w:val="14"/>
                <w:szCs w:val="14"/>
              </w:rPr>
            </w:pPr>
          </w:p>
        </w:tc>
        <w:tc>
          <w:tcPr>
            <w:tcW w:w="501" w:type="pct"/>
            <w:vMerge/>
          </w:tcPr>
          <w:p w14:paraId="43978D54" w14:textId="77777777" w:rsidR="005E69E4" w:rsidRPr="00B44B19" w:rsidRDefault="005E69E4" w:rsidP="005E69E4">
            <w:pPr>
              <w:spacing w:after="0" w:line="240" w:lineRule="auto"/>
              <w:jc w:val="both"/>
              <w:rPr>
                <w:rFonts w:eastAsia="Times New Roman" w:cs="Times New Roman"/>
                <w:b/>
                <w:noProof/>
                <w:sz w:val="14"/>
                <w:szCs w:val="14"/>
              </w:rPr>
            </w:pPr>
          </w:p>
        </w:tc>
        <w:tc>
          <w:tcPr>
            <w:tcW w:w="433" w:type="pct"/>
            <w:vMerge/>
          </w:tcPr>
          <w:p w14:paraId="2815A469" w14:textId="77777777" w:rsidR="005E69E4" w:rsidRPr="00B44B19" w:rsidRDefault="005E69E4" w:rsidP="005E69E4">
            <w:pPr>
              <w:spacing w:after="0" w:line="240" w:lineRule="auto"/>
              <w:jc w:val="both"/>
              <w:rPr>
                <w:rFonts w:eastAsia="Times New Roman" w:cs="Times New Roman"/>
                <w:b/>
                <w:noProof/>
                <w:sz w:val="14"/>
                <w:szCs w:val="14"/>
              </w:rPr>
            </w:pPr>
          </w:p>
        </w:tc>
        <w:tc>
          <w:tcPr>
            <w:tcW w:w="497" w:type="pct"/>
          </w:tcPr>
          <w:p w14:paraId="61512244"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009C678B"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EECO02</w:t>
            </w:r>
          </w:p>
        </w:tc>
        <w:tc>
          <w:tcPr>
            <w:tcW w:w="856" w:type="pct"/>
          </w:tcPr>
          <w:p w14:paraId="0B3CF500" w14:textId="77777777" w:rsidR="005E69E4" w:rsidRPr="00B44B19" w:rsidRDefault="005E69E4" w:rsidP="005E69E4">
            <w:pPr>
              <w:tabs>
                <w:tab w:val="left" w:pos="7560"/>
              </w:tabs>
              <w:spacing w:after="0" w:line="240" w:lineRule="auto"/>
              <w:rPr>
                <w:rFonts w:eastAsia="Times New Roman" w:cs="Times New Roman"/>
                <w:noProof/>
                <w:sz w:val="16"/>
                <w:szCs w:val="16"/>
              </w:rPr>
            </w:pPr>
            <w:r w:rsidRPr="00B44B19">
              <w:rPr>
                <w:rFonts w:eastAsia="Times New Roman" w:cs="Times New Roman"/>
                <w:sz w:val="16"/>
                <w:szCs w:val="16"/>
                <w:lang w:eastAsia="lt-LT"/>
              </w:rPr>
              <w:t>Bedarbiai, įskaitant ilgalaikius bedarbius</w:t>
            </w:r>
          </w:p>
        </w:tc>
        <w:tc>
          <w:tcPr>
            <w:tcW w:w="513" w:type="pct"/>
          </w:tcPr>
          <w:p w14:paraId="3C8FA8A4"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6E455DED"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2 288</w:t>
            </w:r>
          </w:p>
        </w:tc>
        <w:tc>
          <w:tcPr>
            <w:tcW w:w="475" w:type="pct"/>
          </w:tcPr>
          <w:p w14:paraId="7631340C" w14:textId="1E33DF46" w:rsidR="005E69E4" w:rsidRPr="00B44B19" w:rsidRDefault="00E43F16"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6 576</w:t>
            </w:r>
          </w:p>
        </w:tc>
      </w:tr>
      <w:tr w:rsidR="005E69E4" w:rsidRPr="00B44B19" w14:paraId="0DC3F59B" w14:textId="77777777" w:rsidTr="006A186A">
        <w:trPr>
          <w:trHeight w:val="521"/>
        </w:trPr>
        <w:tc>
          <w:tcPr>
            <w:tcW w:w="566" w:type="pct"/>
            <w:vMerge/>
          </w:tcPr>
          <w:p w14:paraId="0B6371FF" w14:textId="77777777" w:rsidR="005E69E4" w:rsidRPr="00B44B19" w:rsidDel="00E160C3" w:rsidRDefault="005E69E4" w:rsidP="005E69E4">
            <w:pPr>
              <w:spacing w:after="0" w:line="240" w:lineRule="auto"/>
              <w:jc w:val="both"/>
              <w:rPr>
                <w:rFonts w:eastAsia="Times New Roman" w:cs="Times New Roman"/>
                <w:noProof/>
                <w:sz w:val="16"/>
                <w:szCs w:val="16"/>
              </w:rPr>
            </w:pPr>
          </w:p>
        </w:tc>
        <w:tc>
          <w:tcPr>
            <w:tcW w:w="501" w:type="pct"/>
            <w:vMerge/>
          </w:tcPr>
          <w:p w14:paraId="0119056E" w14:textId="77777777" w:rsidR="005E69E4" w:rsidRPr="00B44B19" w:rsidDel="00E160C3" w:rsidRDefault="005E69E4" w:rsidP="005E69E4">
            <w:pPr>
              <w:spacing w:after="0" w:line="240" w:lineRule="auto"/>
              <w:jc w:val="both"/>
              <w:rPr>
                <w:rFonts w:eastAsia="Times New Roman" w:cs="Times New Roman"/>
                <w:noProof/>
                <w:sz w:val="16"/>
                <w:szCs w:val="16"/>
              </w:rPr>
            </w:pPr>
          </w:p>
        </w:tc>
        <w:tc>
          <w:tcPr>
            <w:tcW w:w="433" w:type="pct"/>
            <w:vMerge/>
          </w:tcPr>
          <w:p w14:paraId="37F1EC82" w14:textId="77777777" w:rsidR="005E69E4" w:rsidRPr="00B44B19" w:rsidDel="00E160C3" w:rsidRDefault="005E69E4" w:rsidP="005E69E4">
            <w:pPr>
              <w:spacing w:after="0" w:line="240" w:lineRule="auto"/>
              <w:jc w:val="both"/>
              <w:rPr>
                <w:rFonts w:eastAsia="Times New Roman" w:cs="Times New Roman"/>
                <w:noProof/>
                <w:sz w:val="16"/>
                <w:szCs w:val="16"/>
              </w:rPr>
            </w:pPr>
          </w:p>
        </w:tc>
        <w:tc>
          <w:tcPr>
            <w:tcW w:w="497" w:type="pct"/>
          </w:tcPr>
          <w:p w14:paraId="570AFCC3" w14:textId="77777777" w:rsidR="005E69E4" w:rsidRPr="00B44B19" w:rsidDel="00E160C3"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5B8F995C"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EECO02</w:t>
            </w:r>
          </w:p>
        </w:tc>
        <w:tc>
          <w:tcPr>
            <w:tcW w:w="856" w:type="pct"/>
          </w:tcPr>
          <w:p w14:paraId="2EFB3411" w14:textId="77777777" w:rsidR="005E69E4" w:rsidRPr="00B44B19" w:rsidDel="00E160C3"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Bedarbiai, įskaitant ilgalaikius bedarbius</w:t>
            </w:r>
          </w:p>
        </w:tc>
        <w:tc>
          <w:tcPr>
            <w:tcW w:w="513" w:type="pct"/>
          </w:tcPr>
          <w:p w14:paraId="76093B40" w14:textId="77777777" w:rsidR="005E69E4" w:rsidRPr="00B44B19" w:rsidDel="00E160C3" w:rsidRDefault="005E69E4" w:rsidP="005E69E4">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5B33069A"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14 012</w:t>
            </w:r>
          </w:p>
        </w:tc>
        <w:tc>
          <w:tcPr>
            <w:tcW w:w="475" w:type="pct"/>
          </w:tcPr>
          <w:p w14:paraId="4F9121A1" w14:textId="47094331" w:rsidR="005E69E4" w:rsidRPr="00B44B19" w:rsidRDefault="00E43F16"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40 279</w:t>
            </w:r>
          </w:p>
        </w:tc>
      </w:tr>
      <w:tr w:rsidR="005E69E4" w:rsidRPr="00B44B19" w14:paraId="6CA4198D" w14:textId="77777777" w:rsidTr="006A186A">
        <w:trPr>
          <w:trHeight w:val="367"/>
        </w:trPr>
        <w:tc>
          <w:tcPr>
            <w:tcW w:w="566" w:type="pct"/>
            <w:vMerge/>
          </w:tcPr>
          <w:p w14:paraId="31B2062A" w14:textId="77777777" w:rsidR="005E69E4" w:rsidRPr="00B44B19" w:rsidRDefault="005E69E4" w:rsidP="005E69E4">
            <w:pPr>
              <w:spacing w:after="0" w:line="240" w:lineRule="auto"/>
              <w:jc w:val="both"/>
              <w:rPr>
                <w:rFonts w:eastAsia="Times New Roman" w:cs="Times New Roman"/>
                <w:b/>
                <w:noProof/>
                <w:sz w:val="14"/>
                <w:szCs w:val="14"/>
              </w:rPr>
            </w:pPr>
          </w:p>
        </w:tc>
        <w:tc>
          <w:tcPr>
            <w:tcW w:w="501" w:type="pct"/>
            <w:vMerge/>
          </w:tcPr>
          <w:p w14:paraId="15A33E58" w14:textId="77777777" w:rsidR="005E69E4" w:rsidRPr="00B44B19" w:rsidRDefault="005E69E4" w:rsidP="005E69E4">
            <w:pPr>
              <w:spacing w:after="0" w:line="240" w:lineRule="auto"/>
              <w:jc w:val="both"/>
              <w:rPr>
                <w:rFonts w:eastAsia="Times New Roman" w:cs="Times New Roman"/>
                <w:b/>
                <w:noProof/>
                <w:sz w:val="14"/>
                <w:szCs w:val="14"/>
              </w:rPr>
            </w:pPr>
          </w:p>
        </w:tc>
        <w:tc>
          <w:tcPr>
            <w:tcW w:w="433" w:type="pct"/>
            <w:vMerge/>
          </w:tcPr>
          <w:p w14:paraId="329B7B94" w14:textId="77777777" w:rsidR="005E69E4" w:rsidRPr="00B44B19" w:rsidRDefault="005E69E4" w:rsidP="005E69E4">
            <w:pPr>
              <w:spacing w:after="0" w:line="240" w:lineRule="auto"/>
              <w:jc w:val="both"/>
              <w:rPr>
                <w:rFonts w:eastAsia="Times New Roman" w:cs="Times New Roman"/>
                <w:b/>
                <w:noProof/>
                <w:sz w:val="14"/>
                <w:szCs w:val="14"/>
              </w:rPr>
            </w:pPr>
          </w:p>
        </w:tc>
        <w:tc>
          <w:tcPr>
            <w:tcW w:w="497" w:type="pct"/>
          </w:tcPr>
          <w:p w14:paraId="11E0ACCB"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73519AEB"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noProof/>
                <w:sz w:val="16"/>
                <w:szCs w:val="16"/>
              </w:rPr>
              <w:t>EECO07</w:t>
            </w:r>
          </w:p>
        </w:tc>
        <w:tc>
          <w:tcPr>
            <w:tcW w:w="856" w:type="pct"/>
          </w:tcPr>
          <w:p w14:paraId="1CB12BE6"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18-29 metų jaunuoliai</w:t>
            </w:r>
          </w:p>
        </w:tc>
        <w:tc>
          <w:tcPr>
            <w:tcW w:w="513" w:type="pct"/>
          </w:tcPr>
          <w:p w14:paraId="53EDDA37" w14:textId="77777777" w:rsidR="005E69E4" w:rsidRPr="00B44B19" w:rsidRDefault="005E69E4" w:rsidP="005E69E4">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66D94AA4"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458</w:t>
            </w:r>
          </w:p>
        </w:tc>
        <w:tc>
          <w:tcPr>
            <w:tcW w:w="475" w:type="pct"/>
          </w:tcPr>
          <w:p w14:paraId="39116D8A"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1 525</w:t>
            </w:r>
          </w:p>
        </w:tc>
      </w:tr>
      <w:tr w:rsidR="005E69E4" w:rsidRPr="00B44B19" w14:paraId="04AA5315" w14:textId="77777777" w:rsidTr="006A186A">
        <w:trPr>
          <w:trHeight w:val="367"/>
        </w:trPr>
        <w:tc>
          <w:tcPr>
            <w:tcW w:w="566" w:type="pct"/>
            <w:vMerge/>
          </w:tcPr>
          <w:p w14:paraId="6E752EEE" w14:textId="77777777" w:rsidR="005E69E4" w:rsidRPr="00B44B19" w:rsidRDefault="005E69E4" w:rsidP="005E69E4">
            <w:pPr>
              <w:spacing w:after="0" w:line="240" w:lineRule="auto"/>
              <w:jc w:val="both"/>
              <w:rPr>
                <w:rFonts w:eastAsia="Times New Roman" w:cs="Times New Roman"/>
                <w:b/>
                <w:noProof/>
                <w:sz w:val="14"/>
                <w:szCs w:val="14"/>
              </w:rPr>
            </w:pPr>
          </w:p>
        </w:tc>
        <w:tc>
          <w:tcPr>
            <w:tcW w:w="501" w:type="pct"/>
            <w:vMerge/>
          </w:tcPr>
          <w:p w14:paraId="20965247" w14:textId="77777777" w:rsidR="005E69E4" w:rsidRPr="00B44B19" w:rsidRDefault="005E69E4" w:rsidP="005E69E4">
            <w:pPr>
              <w:spacing w:after="0" w:line="240" w:lineRule="auto"/>
              <w:jc w:val="both"/>
              <w:rPr>
                <w:rFonts w:eastAsia="Times New Roman" w:cs="Times New Roman"/>
                <w:b/>
                <w:noProof/>
                <w:sz w:val="14"/>
                <w:szCs w:val="14"/>
              </w:rPr>
            </w:pPr>
          </w:p>
        </w:tc>
        <w:tc>
          <w:tcPr>
            <w:tcW w:w="433" w:type="pct"/>
            <w:vMerge/>
          </w:tcPr>
          <w:p w14:paraId="41DF4456" w14:textId="77777777" w:rsidR="005E69E4" w:rsidRPr="00B44B19" w:rsidRDefault="005E69E4" w:rsidP="005E69E4">
            <w:pPr>
              <w:spacing w:after="0" w:line="240" w:lineRule="auto"/>
              <w:jc w:val="both"/>
              <w:rPr>
                <w:rFonts w:eastAsia="Times New Roman" w:cs="Times New Roman"/>
                <w:b/>
                <w:noProof/>
                <w:sz w:val="14"/>
                <w:szCs w:val="14"/>
              </w:rPr>
            </w:pPr>
          </w:p>
        </w:tc>
        <w:tc>
          <w:tcPr>
            <w:tcW w:w="497" w:type="pct"/>
          </w:tcPr>
          <w:p w14:paraId="2D4D6937"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0DCA31E2"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noProof/>
                <w:sz w:val="16"/>
                <w:szCs w:val="16"/>
              </w:rPr>
              <w:t>EECO07</w:t>
            </w:r>
          </w:p>
        </w:tc>
        <w:tc>
          <w:tcPr>
            <w:tcW w:w="856" w:type="pct"/>
          </w:tcPr>
          <w:p w14:paraId="20E868D8"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18-29 metų jaunuoliai</w:t>
            </w:r>
          </w:p>
        </w:tc>
        <w:tc>
          <w:tcPr>
            <w:tcW w:w="513" w:type="pct"/>
          </w:tcPr>
          <w:p w14:paraId="0F0AF3B9" w14:textId="77777777" w:rsidR="005E69E4" w:rsidRPr="00B44B19" w:rsidRDefault="005E69E4" w:rsidP="005E69E4">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3234BE19"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2 802</w:t>
            </w:r>
          </w:p>
        </w:tc>
        <w:tc>
          <w:tcPr>
            <w:tcW w:w="475" w:type="pct"/>
          </w:tcPr>
          <w:p w14:paraId="2C6DA045"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9 341</w:t>
            </w:r>
          </w:p>
        </w:tc>
      </w:tr>
      <w:tr w:rsidR="005E69E4" w:rsidRPr="00B44B19" w14:paraId="43DBC72C" w14:textId="77777777" w:rsidTr="006A186A">
        <w:trPr>
          <w:trHeight w:val="367"/>
        </w:trPr>
        <w:tc>
          <w:tcPr>
            <w:tcW w:w="566" w:type="pct"/>
            <w:vMerge/>
          </w:tcPr>
          <w:p w14:paraId="15420235" w14:textId="77777777" w:rsidR="005E69E4" w:rsidRPr="00B44B19" w:rsidRDefault="005E69E4" w:rsidP="005E69E4">
            <w:pPr>
              <w:spacing w:after="0" w:line="240" w:lineRule="auto"/>
              <w:jc w:val="both"/>
              <w:rPr>
                <w:rFonts w:eastAsia="Times New Roman" w:cs="Times New Roman"/>
                <w:b/>
                <w:noProof/>
                <w:sz w:val="14"/>
                <w:szCs w:val="14"/>
              </w:rPr>
            </w:pPr>
          </w:p>
        </w:tc>
        <w:tc>
          <w:tcPr>
            <w:tcW w:w="501" w:type="pct"/>
            <w:vMerge/>
          </w:tcPr>
          <w:p w14:paraId="205B59DD" w14:textId="77777777" w:rsidR="005E69E4" w:rsidRPr="00B44B19" w:rsidRDefault="005E69E4" w:rsidP="005E69E4">
            <w:pPr>
              <w:spacing w:after="0" w:line="240" w:lineRule="auto"/>
              <w:jc w:val="both"/>
              <w:rPr>
                <w:rFonts w:eastAsia="Times New Roman" w:cs="Times New Roman"/>
                <w:b/>
                <w:noProof/>
                <w:sz w:val="14"/>
                <w:szCs w:val="14"/>
              </w:rPr>
            </w:pPr>
          </w:p>
        </w:tc>
        <w:tc>
          <w:tcPr>
            <w:tcW w:w="433" w:type="pct"/>
            <w:vMerge/>
          </w:tcPr>
          <w:p w14:paraId="6B932602" w14:textId="77777777" w:rsidR="005E69E4" w:rsidRPr="00B44B19" w:rsidRDefault="005E69E4" w:rsidP="005E69E4">
            <w:pPr>
              <w:spacing w:after="0" w:line="240" w:lineRule="auto"/>
              <w:jc w:val="both"/>
              <w:rPr>
                <w:rFonts w:eastAsia="Times New Roman" w:cs="Times New Roman"/>
                <w:b/>
                <w:noProof/>
                <w:sz w:val="14"/>
                <w:szCs w:val="14"/>
              </w:rPr>
            </w:pPr>
          </w:p>
        </w:tc>
        <w:tc>
          <w:tcPr>
            <w:tcW w:w="497" w:type="pct"/>
          </w:tcPr>
          <w:p w14:paraId="072619CF"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5BB8D012"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sz w:val="16"/>
                <w:szCs w:val="16"/>
                <w:lang w:eastAsia="en-GB"/>
              </w:rPr>
              <w:t>EECO12</w:t>
            </w:r>
          </w:p>
        </w:tc>
        <w:tc>
          <w:tcPr>
            <w:tcW w:w="856" w:type="pct"/>
          </w:tcPr>
          <w:p w14:paraId="5C133361"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Dalyviai, turintys negalią</w:t>
            </w:r>
          </w:p>
        </w:tc>
        <w:tc>
          <w:tcPr>
            <w:tcW w:w="513" w:type="pct"/>
          </w:tcPr>
          <w:p w14:paraId="67A6FF34" w14:textId="77777777" w:rsidR="005E69E4" w:rsidRPr="00B44B19" w:rsidRDefault="005E69E4" w:rsidP="005E69E4">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Asmenys</w:t>
            </w:r>
          </w:p>
        </w:tc>
        <w:tc>
          <w:tcPr>
            <w:tcW w:w="505" w:type="pct"/>
          </w:tcPr>
          <w:p w14:paraId="0C996E79" w14:textId="77777777" w:rsidR="005E69E4" w:rsidRPr="00B44B19" w:rsidRDefault="002A1B90"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163</w:t>
            </w:r>
          </w:p>
        </w:tc>
        <w:tc>
          <w:tcPr>
            <w:tcW w:w="475" w:type="pct"/>
          </w:tcPr>
          <w:p w14:paraId="752FBFBE" w14:textId="77777777" w:rsidR="005E69E4" w:rsidRPr="00B44B19" w:rsidRDefault="002A1B90"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544</w:t>
            </w:r>
          </w:p>
        </w:tc>
      </w:tr>
      <w:tr w:rsidR="005E69E4" w:rsidRPr="00B44B19" w14:paraId="5CA692D9" w14:textId="77777777" w:rsidTr="006A186A">
        <w:trPr>
          <w:trHeight w:val="337"/>
        </w:trPr>
        <w:tc>
          <w:tcPr>
            <w:tcW w:w="566" w:type="pct"/>
            <w:vMerge/>
          </w:tcPr>
          <w:p w14:paraId="6174B33B"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550CCCE0"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671CA389"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50BAA9C4"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240FACBB"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sz w:val="16"/>
                <w:szCs w:val="16"/>
                <w:lang w:eastAsia="en-GB"/>
              </w:rPr>
              <w:t>EECO12</w:t>
            </w:r>
          </w:p>
        </w:tc>
        <w:tc>
          <w:tcPr>
            <w:tcW w:w="856" w:type="pct"/>
          </w:tcPr>
          <w:p w14:paraId="08624453"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Dalyviai, turintys negalią</w:t>
            </w:r>
          </w:p>
        </w:tc>
        <w:tc>
          <w:tcPr>
            <w:tcW w:w="513" w:type="pct"/>
          </w:tcPr>
          <w:p w14:paraId="3CE3D515"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0B725190" w14:textId="77777777" w:rsidR="005E69E4" w:rsidRPr="00B44B19" w:rsidRDefault="00467B2A"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1 358</w:t>
            </w:r>
          </w:p>
        </w:tc>
        <w:tc>
          <w:tcPr>
            <w:tcW w:w="475" w:type="pct"/>
          </w:tcPr>
          <w:p w14:paraId="3BAFA701" w14:textId="77777777" w:rsidR="005E69E4" w:rsidRPr="00B44B19" w:rsidRDefault="00467B2A"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4 525</w:t>
            </w:r>
          </w:p>
        </w:tc>
      </w:tr>
      <w:tr w:rsidR="005E69E4" w:rsidRPr="00B44B19" w14:paraId="2031E02C" w14:textId="77777777" w:rsidTr="006A186A">
        <w:trPr>
          <w:trHeight w:val="383"/>
        </w:trPr>
        <w:tc>
          <w:tcPr>
            <w:tcW w:w="566" w:type="pct"/>
            <w:vMerge/>
          </w:tcPr>
          <w:p w14:paraId="7D5C8597"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617DEE3C"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372961B8"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4996953A"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30E7B38E"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sz w:val="16"/>
                <w:szCs w:val="16"/>
                <w:lang w:eastAsia="en-GB"/>
              </w:rPr>
              <w:t>EECO08</w:t>
            </w:r>
          </w:p>
        </w:tc>
        <w:tc>
          <w:tcPr>
            <w:tcW w:w="856" w:type="pct"/>
          </w:tcPr>
          <w:p w14:paraId="43E00E20" w14:textId="77777777" w:rsidR="005E69E4" w:rsidRPr="00B44B19" w:rsidRDefault="0084688E"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55 metų ir vyresnių dalyvių skaičius</w:t>
            </w:r>
          </w:p>
        </w:tc>
        <w:tc>
          <w:tcPr>
            <w:tcW w:w="513" w:type="pct"/>
          </w:tcPr>
          <w:p w14:paraId="058ABCAB"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367493D6" w14:textId="77777777" w:rsidR="005E69E4" w:rsidRPr="00B44B19" w:rsidRDefault="00B52DA7"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177</w:t>
            </w:r>
          </w:p>
        </w:tc>
        <w:tc>
          <w:tcPr>
            <w:tcW w:w="475" w:type="pct"/>
          </w:tcPr>
          <w:p w14:paraId="3158368F" w14:textId="77777777" w:rsidR="005E69E4" w:rsidRPr="00B44B19" w:rsidRDefault="00B52DA7"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886</w:t>
            </w:r>
          </w:p>
        </w:tc>
      </w:tr>
      <w:tr w:rsidR="005E69E4" w:rsidRPr="00B44B19" w14:paraId="481E354D" w14:textId="77777777" w:rsidTr="006A186A">
        <w:trPr>
          <w:trHeight w:val="419"/>
        </w:trPr>
        <w:tc>
          <w:tcPr>
            <w:tcW w:w="566" w:type="pct"/>
            <w:vMerge/>
          </w:tcPr>
          <w:p w14:paraId="3471B1C1"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08BD14AE"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58CF0956"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19A615F1"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13A46F08"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sz w:val="16"/>
                <w:szCs w:val="16"/>
                <w:lang w:eastAsia="en-GB"/>
              </w:rPr>
              <w:t>EECO08</w:t>
            </w:r>
          </w:p>
        </w:tc>
        <w:tc>
          <w:tcPr>
            <w:tcW w:w="856" w:type="pct"/>
          </w:tcPr>
          <w:p w14:paraId="26444D64" w14:textId="77777777" w:rsidR="005E69E4" w:rsidRPr="00B44B19" w:rsidRDefault="0084688E"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55 metų ir vyresnių dalyvių skaičius</w:t>
            </w:r>
          </w:p>
        </w:tc>
        <w:tc>
          <w:tcPr>
            <w:tcW w:w="513" w:type="pct"/>
          </w:tcPr>
          <w:p w14:paraId="2559B3BF"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7D51659F" w14:textId="77777777" w:rsidR="005E69E4" w:rsidRPr="00B44B19" w:rsidRDefault="004218CF"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764</w:t>
            </w:r>
          </w:p>
        </w:tc>
        <w:tc>
          <w:tcPr>
            <w:tcW w:w="475" w:type="pct"/>
          </w:tcPr>
          <w:p w14:paraId="36B490A7" w14:textId="77777777" w:rsidR="005E69E4" w:rsidRPr="00B44B19" w:rsidRDefault="003273DF"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3 820</w:t>
            </w:r>
          </w:p>
        </w:tc>
      </w:tr>
      <w:tr w:rsidR="005E69E4" w:rsidRPr="00B44B19" w14:paraId="2119B67F" w14:textId="77777777" w:rsidTr="006A186A">
        <w:trPr>
          <w:trHeight w:val="385"/>
        </w:trPr>
        <w:tc>
          <w:tcPr>
            <w:tcW w:w="566" w:type="pct"/>
            <w:vMerge/>
          </w:tcPr>
          <w:p w14:paraId="49EFB49F"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0BF115F3"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3AE3CB1E"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4FF40E72"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60DB0F5E"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sz w:val="16"/>
                <w:szCs w:val="16"/>
                <w:lang w:eastAsia="en-GB"/>
              </w:rPr>
              <w:t>EECO19</w:t>
            </w:r>
          </w:p>
        </w:tc>
        <w:tc>
          <w:tcPr>
            <w:tcW w:w="856" w:type="pct"/>
          </w:tcPr>
          <w:p w14:paraId="4EE96ED3"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Paramą gavusių labai mažų, mažųjų ir vidutinių įmonių (įskaitant kooperatines įmones ir socialinės įmones) skaičius</w:t>
            </w:r>
          </w:p>
        </w:tc>
        <w:tc>
          <w:tcPr>
            <w:tcW w:w="513" w:type="pct"/>
          </w:tcPr>
          <w:p w14:paraId="6C4D8125" w14:textId="77777777" w:rsidR="005E69E4" w:rsidRPr="00B44B19" w:rsidRDefault="000F179C" w:rsidP="005E69E4">
            <w:pPr>
              <w:spacing w:after="0" w:line="240" w:lineRule="auto"/>
              <w:rPr>
                <w:rFonts w:eastAsia="Times New Roman" w:cs="Times New Roman"/>
                <w:noProof/>
                <w:sz w:val="16"/>
                <w:szCs w:val="16"/>
              </w:rPr>
            </w:pPr>
            <w:r w:rsidRPr="00B44B19">
              <w:rPr>
                <w:rFonts w:eastAsia="Times New Roman" w:cs="Times New Roman"/>
                <w:noProof/>
                <w:sz w:val="16"/>
                <w:szCs w:val="16"/>
              </w:rPr>
              <w:t>Įmonių skaičius</w:t>
            </w:r>
          </w:p>
        </w:tc>
        <w:tc>
          <w:tcPr>
            <w:tcW w:w="505" w:type="pct"/>
          </w:tcPr>
          <w:p w14:paraId="7460693E" w14:textId="77777777" w:rsidR="005E69E4" w:rsidRPr="00B44B19" w:rsidRDefault="00A72AA2"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7</w:t>
            </w:r>
          </w:p>
        </w:tc>
        <w:tc>
          <w:tcPr>
            <w:tcW w:w="475" w:type="pct"/>
          </w:tcPr>
          <w:p w14:paraId="31B252A8"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74</w:t>
            </w:r>
          </w:p>
        </w:tc>
      </w:tr>
      <w:tr w:rsidR="005E69E4" w:rsidRPr="00B44B19" w14:paraId="41BBFE7F" w14:textId="77777777" w:rsidTr="006A186A">
        <w:trPr>
          <w:trHeight w:val="303"/>
        </w:trPr>
        <w:tc>
          <w:tcPr>
            <w:tcW w:w="566" w:type="pct"/>
            <w:vMerge/>
          </w:tcPr>
          <w:p w14:paraId="727AFA34"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72DD9573"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39BB40A8"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5FAC4BD0"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6FE56225" w14:textId="77777777" w:rsidR="005E69E4" w:rsidRPr="00B44B19" w:rsidRDefault="005E69E4" w:rsidP="005E69E4">
            <w:pPr>
              <w:spacing w:after="0" w:line="240" w:lineRule="auto"/>
              <w:rPr>
                <w:rFonts w:eastAsia="Times New Roman" w:cs="Times New Roman"/>
                <w:sz w:val="16"/>
                <w:szCs w:val="16"/>
                <w:lang w:eastAsia="en-GB"/>
              </w:rPr>
            </w:pPr>
            <w:r w:rsidRPr="00B44B19">
              <w:rPr>
                <w:rFonts w:eastAsia="Times New Roman" w:cs="Times New Roman"/>
                <w:sz w:val="16"/>
                <w:szCs w:val="16"/>
                <w:lang w:eastAsia="en-GB"/>
              </w:rPr>
              <w:t xml:space="preserve"> EECO19</w:t>
            </w:r>
          </w:p>
        </w:tc>
        <w:tc>
          <w:tcPr>
            <w:tcW w:w="856" w:type="pct"/>
          </w:tcPr>
          <w:p w14:paraId="4DF321BF"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Paramą gavusių labai mažų, mažųjų ir vidutinių įmonių (įskaitant kooperatines įmones ir socialinės įmones) skaičius</w:t>
            </w:r>
          </w:p>
        </w:tc>
        <w:tc>
          <w:tcPr>
            <w:tcW w:w="513" w:type="pct"/>
          </w:tcPr>
          <w:p w14:paraId="0362836B" w14:textId="77777777" w:rsidR="005E69E4" w:rsidRPr="00B44B19" w:rsidRDefault="000F179C" w:rsidP="005E69E4">
            <w:pPr>
              <w:spacing w:after="0" w:line="240" w:lineRule="auto"/>
              <w:rPr>
                <w:rFonts w:eastAsia="Times New Roman" w:cs="Times New Roman"/>
                <w:noProof/>
                <w:sz w:val="16"/>
                <w:szCs w:val="16"/>
              </w:rPr>
            </w:pPr>
            <w:r w:rsidRPr="00B44B19">
              <w:rPr>
                <w:rFonts w:eastAsia="Times New Roman" w:cs="Times New Roman"/>
                <w:noProof/>
                <w:sz w:val="16"/>
                <w:szCs w:val="16"/>
              </w:rPr>
              <w:t>Įmonių skaičius</w:t>
            </w:r>
          </w:p>
        </w:tc>
        <w:tc>
          <w:tcPr>
            <w:tcW w:w="505" w:type="pct"/>
          </w:tcPr>
          <w:p w14:paraId="755849FA" w14:textId="77777777" w:rsidR="005E69E4" w:rsidRPr="00B44B19" w:rsidRDefault="006D56AC"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32</w:t>
            </w:r>
          </w:p>
        </w:tc>
        <w:tc>
          <w:tcPr>
            <w:tcW w:w="475" w:type="pct"/>
          </w:tcPr>
          <w:p w14:paraId="571AFF2B" w14:textId="77777777" w:rsidR="005E69E4" w:rsidRPr="00B44B19" w:rsidRDefault="005E69E4"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319</w:t>
            </w:r>
          </w:p>
        </w:tc>
      </w:tr>
      <w:tr w:rsidR="005E69E4" w:rsidRPr="00B44B19" w14:paraId="6B0E828C" w14:textId="77777777" w:rsidTr="006A186A">
        <w:trPr>
          <w:trHeight w:val="521"/>
        </w:trPr>
        <w:tc>
          <w:tcPr>
            <w:tcW w:w="566" w:type="pct"/>
            <w:vMerge/>
          </w:tcPr>
          <w:p w14:paraId="641F1ADD" w14:textId="77777777" w:rsidR="005E69E4" w:rsidRPr="00B44B19" w:rsidRDefault="005E69E4" w:rsidP="005E69E4">
            <w:pPr>
              <w:spacing w:after="0" w:line="240" w:lineRule="auto"/>
              <w:jc w:val="both"/>
              <w:rPr>
                <w:rFonts w:eastAsia="Times New Roman" w:cs="Times New Roman"/>
                <w:b/>
                <w:noProof/>
                <w:sz w:val="14"/>
                <w:szCs w:val="14"/>
              </w:rPr>
            </w:pPr>
          </w:p>
        </w:tc>
        <w:tc>
          <w:tcPr>
            <w:tcW w:w="501" w:type="pct"/>
            <w:vMerge/>
          </w:tcPr>
          <w:p w14:paraId="18566A20" w14:textId="77777777" w:rsidR="005E69E4" w:rsidRPr="00B44B19" w:rsidRDefault="005E69E4" w:rsidP="005E69E4">
            <w:pPr>
              <w:spacing w:after="0" w:line="240" w:lineRule="auto"/>
              <w:jc w:val="both"/>
              <w:rPr>
                <w:rFonts w:eastAsia="Times New Roman" w:cs="Times New Roman"/>
                <w:b/>
                <w:noProof/>
                <w:sz w:val="14"/>
                <w:szCs w:val="14"/>
              </w:rPr>
            </w:pPr>
          </w:p>
        </w:tc>
        <w:tc>
          <w:tcPr>
            <w:tcW w:w="433" w:type="pct"/>
            <w:vMerge/>
          </w:tcPr>
          <w:p w14:paraId="46321F4C" w14:textId="77777777" w:rsidR="005E69E4" w:rsidRPr="00B44B19" w:rsidRDefault="005E69E4" w:rsidP="005E69E4">
            <w:pPr>
              <w:spacing w:after="0" w:line="240" w:lineRule="auto"/>
              <w:jc w:val="both"/>
              <w:rPr>
                <w:rFonts w:eastAsia="Times New Roman" w:cs="Times New Roman"/>
                <w:b/>
                <w:noProof/>
                <w:sz w:val="14"/>
                <w:szCs w:val="14"/>
              </w:rPr>
            </w:pPr>
          </w:p>
        </w:tc>
        <w:tc>
          <w:tcPr>
            <w:tcW w:w="497" w:type="pct"/>
          </w:tcPr>
          <w:p w14:paraId="0BE78001"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4B264E3A" w14:textId="77777777" w:rsidR="005E69E4" w:rsidRPr="00B44B19" w:rsidRDefault="005E69E4" w:rsidP="005E69E4">
            <w:pPr>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56" w:type="pct"/>
          </w:tcPr>
          <w:p w14:paraId="1793D2D3"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Organizacijos ir įmonės, dalyvavusios veiklose, skirtose vystyti socialinį dialogą</w:t>
            </w:r>
          </w:p>
        </w:tc>
        <w:tc>
          <w:tcPr>
            <w:tcW w:w="513" w:type="pct"/>
          </w:tcPr>
          <w:p w14:paraId="1D0BB4A2" w14:textId="77777777" w:rsidR="005E69E4" w:rsidRPr="00B44B19" w:rsidRDefault="00676615" w:rsidP="005E69E4">
            <w:pPr>
              <w:spacing w:after="0" w:line="240" w:lineRule="auto"/>
              <w:rPr>
                <w:rFonts w:eastAsia="Times New Roman" w:cs="Times New Roman"/>
                <w:noProof/>
                <w:sz w:val="16"/>
                <w:szCs w:val="16"/>
              </w:rPr>
            </w:pPr>
            <w:r w:rsidRPr="00B44B19">
              <w:rPr>
                <w:rFonts w:eastAsia="Times New Roman" w:cs="Times New Roman"/>
                <w:noProof/>
                <w:sz w:val="16"/>
                <w:szCs w:val="16"/>
              </w:rPr>
              <w:t>Skaičius</w:t>
            </w:r>
          </w:p>
        </w:tc>
        <w:tc>
          <w:tcPr>
            <w:tcW w:w="505" w:type="pct"/>
          </w:tcPr>
          <w:p w14:paraId="651D655E" w14:textId="77777777" w:rsidR="005E69E4" w:rsidRPr="00B44B19" w:rsidRDefault="007A6E38"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17</w:t>
            </w:r>
          </w:p>
        </w:tc>
        <w:tc>
          <w:tcPr>
            <w:tcW w:w="475" w:type="pct"/>
          </w:tcPr>
          <w:p w14:paraId="33C6C208" w14:textId="77777777" w:rsidR="005E69E4" w:rsidRPr="00B44B19" w:rsidRDefault="007A6E38"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112</w:t>
            </w:r>
          </w:p>
        </w:tc>
      </w:tr>
      <w:tr w:rsidR="005E69E4" w:rsidRPr="00B44B19" w14:paraId="37662F6E" w14:textId="77777777" w:rsidTr="006A186A">
        <w:trPr>
          <w:trHeight w:val="521"/>
        </w:trPr>
        <w:tc>
          <w:tcPr>
            <w:tcW w:w="566" w:type="pct"/>
            <w:vMerge/>
          </w:tcPr>
          <w:p w14:paraId="26B3264D"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41D1321D"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117C49B8"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6824E0BF"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69CEF579" w14:textId="77777777" w:rsidR="005E69E4" w:rsidRPr="00B44B19" w:rsidRDefault="005E69E4" w:rsidP="005E69E4">
            <w:pPr>
              <w:spacing w:after="0" w:line="240" w:lineRule="auto"/>
              <w:rPr>
                <w:rFonts w:eastAsia="Times New Roman" w:cs="Times New Roman"/>
                <w:sz w:val="16"/>
                <w:szCs w:val="16"/>
                <w:lang w:eastAsia="lt-LT"/>
              </w:rPr>
            </w:pPr>
            <w:r w:rsidRPr="00B44B19">
              <w:rPr>
                <w:rFonts w:eastAsia="Times New Roman" w:cs="Times New Roman"/>
                <w:sz w:val="16"/>
                <w:szCs w:val="16"/>
                <w:lang w:eastAsia="en-GB"/>
              </w:rPr>
              <w:t>Specialusis</w:t>
            </w:r>
          </w:p>
        </w:tc>
        <w:tc>
          <w:tcPr>
            <w:tcW w:w="856" w:type="pct"/>
          </w:tcPr>
          <w:p w14:paraId="43AC06FD"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Organizacijos ir įmonės, dalyvavusios veiklose, skirtose vystyti socialinį dialogą</w:t>
            </w:r>
          </w:p>
        </w:tc>
        <w:tc>
          <w:tcPr>
            <w:tcW w:w="513" w:type="pct"/>
          </w:tcPr>
          <w:p w14:paraId="3994DE32" w14:textId="77777777" w:rsidR="005E69E4" w:rsidRPr="00B44B19" w:rsidRDefault="00676615" w:rsidP="005E69E4">
            <w:pPr>
              <w:spacing w:after="0" w:line="240" w:lineRule="auto"/>
              <w:rPr>
                <w:rFonts w:eastAsia="Times New Roman" w:cs="Times New Roman"/>
                <w:noProof/>
                <w:sz w:val="16"/>
                <w:szCs w:val="16"/>
              </w:rPr>
            </w:pPr>
            <w:r w:rsidRPr="00B44B19">
              <w:rPr>
                <w:rFonts w:eastAsia="Times New Roman" w:cs="Times New Roman"/>
                <w:noProof/>
                <w:sz w:val="16"/>
                <w:szCs w:val="16"/>
              </w:rPr>
              <w:t>Skaičius</w:t>
            </w:r>
          </w:p>
        </w:tc>
        <w:tc>
          <w:tcPr>
            <w:tcW w:w="505" w:type="pct"/>
          </w:tcPr>
          <w:p w14:paraId="1F1CE62E" w14:textId="77777777" w:rsidR="005E69E4" w:rsidRPr="00B44B19" w:rsidRDefault="00093FA7"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83</w:t>
            </w:r>
          </w:p>
        </w:tc>
        <w:tc>
          <w:tcPr>
            <w:tcW w:w="475" w:type="pct"/>
          </w:tcPr>
          <w:p w14:paraId="32B72729" w14:textId="77777777" w:rsidR="005E69E4" w:rsidRPr="00B44B19" w:rsidRDefault="00093FA7"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556</w:t>
            </w:r>
          </w:p>
        </w:tc>
      </w:tr>
      <w:tr w:rsidR="005E69E4" w:rsidRPr="00B44B19" w14:paraId="266C8C65" w14:textId="77777777" w:rsidTr="006A186A">
        <w:trPr>
          <w:trHeight w:val="521"/>
        </w:trPr>
        <w:tc>
          <w:tcPr>
            <w:tcW w:w="566" w:type="pct"/>
            <w:vMerge/>
          </w:tcPr>
          <w:p w14:paraId="66365923"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4E068D2C"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6C62BBAE"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22C6F53A"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Sostinės regionas</w:t>
            </w:r>
          </w:p>
        </w:tc>
        <w:tc>
          <w:tcPr>
            <w:tcW w:w="654" w:type="pct"/>
          </w:tcPr>
          <w:p w14:paraId="45BA8504" w14:textId="77777777" w:rsidR="005E69E4" w:rsidRPr="00B44B19" w:rsidRDefault="005E69E4" w:rsidP="005E69E4">
            <w:pPr>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56" w:type="pct"/>
          </w:tcPr>
          <w:p w14:paraId="1F8DC737"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Asmenys, dalyvavę veiklose, skirtose didinti rizikos vertinimo ir priežiūros (kontrolės) kompetencijas</w:t>
            </w:r>
          </w:p>
        </w:tc>
        <w:tc>
          <w:tcPr>
            <w:tcW w:w="513" w:type="pct"/>
          </w:tcPr>
          <w:p w14:paraId="1D205DE0"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7DBE2C7E" w14:textId="77777777" w:rsidR="005E69E4" w:rsidRPr="00B44B19" w:rsidRDefault="009548E2"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201</w:t>
            </w:r>
          </w:p>
        </w:tc>
        <w:tc>
          <w:tcPr>
            <w:tcW w:w="475" w:type="pct"/>
          </w:tcPr>
          <w:p w14:paraId="03BDE0FA" w14:textId="77777777" w:rsidR="005E69E4" w:rsidRPr="00B44B19" w:rsidRDefault="009548E2"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2 010</w:t>
            </w:r>
          </w:p>
        </w:tc>
      </w:tr>
      <w:tr w:rsidR="005E69E4" w:rsidRPr="00B44B19" w14:paraId="4AFA66D9" w14:textId="77777777" w:rsidTr="006A186A">
        <w:trPr>
          <w:trHeight w:val="521"/>
        </w:trPr>
        <w:tc>
          <w:tcPr>
            <w:tcW w:w="566" w:type="pct"/>
            <w:vMerge/>
          </w:tcPr>
          <w:p w14:paraId="2D52D3A9" w14:textId="77777777" w:rsidR="005E69E4" w:rsidRPr="00B44B19" w:rsidRDefault="005E69E4" w:rsidP="005E69E4">
            <w:pPr>
              <w:spacing w:after="0" w:line="240" w:lineRule="auto"/>
              <w:jc w:val="both"/>
              <w:rPr>
                <w:rFonts w:eastAsia="Times New Roman" w:cs="Times New Roman"/>
                <w:noProof/>
                <w:sz w:val="16"/>
                <w:szCs w:val="16"/>
              </w:rPr>
            </w:pPr>
          </w:p>
        </w:tc>
        <w:tc>
          <w:tcPr>
            <w:tcW w:w="501" w:type="pct"/>
            <w:vMerge/>
          </w:tcPr>
          <w:p w14:paraId="5D8ED37C" w14:textId="77777777" w:rsidR="005E69E4" w:rsidRPr="00B44B19" w:rsidRDefault="005E69E4" w:rsidP="005E69E4">
            <w:pPr>
              <w:spacing w:after="0" w:line="240" w:lineRule="auto"/>
              <w:jc w:val="both"/>
              <w:rPr>
                <w:rFonts w:eastAsia="Times New Roman" w:cs="Times New Roman"/>
                <w:noProof/>
                <w:sz w:val="16"/>
                <w:szCs w:val="16"/>
              </w:rPr>
            </w:pPr>
          </w:p>
        </w:tc>
        <w:tc>
          <w:tcPr>
            <w:tcW w:w="433" w:type="pct"/>
            <w:vMerge/>
          </w:tcPr>
          <w:p w14:paraId="4B5414C3" w14:textId="77777777" w:rsidR="005E69E4" w:rsidRPr="00B44B19" w:rsidRDefault="005E69E4" w:rsidP="005E69E4">
            <w:pPr>
              <w:spacing w:after="0" w:line="240" w:lineRule="auto"/>
              <w:jc w:val="both"/>
              <w:rPr>
                <w:rFonts w:eastAsia="Times New Roman" w:cs="Times New Roman"/>
                <w:noProof/>
                <w:sz w:val="16"/>
                <w:szCs w:val="16"/>
              </w:rPr>
            </w:pPr>
          </w:p>
        </w:tc>
        <w:tc>
          <w:tcPr>
            <w:tcW w:w="497" w:type="pct"/>
          </w:tcPr>
          <w:p w14:paraId="73AD5913"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VVL regionas</w:t>
            </w:r>
          </w:p>
        </w:tc>
        <w:tc>
          <w:tcPr>
            <w:tcW w:w="654" w:type="pct"/>
          </w:tcPr>
          <w:p w14:paraId="5C3F1EBE" w14:textId="77777777" w:rsidR="005E69E4" w:rsidRPr="00B44B19" w:rsidRDefault="005E69E4" w:rsidP="005E69E4">
            <w:pPr>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56" w:type="pct"/>
          </w:tcPr>
          <w:p w14:paraId="7C8B4E24" w14:textId="77777777" w:rsidR="005E69E4" w:rsidRPr="00B44B19" w:rsidRDefault="005E69E4" w:rsidP="005E69E4">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Asmenys, dalyvavę veiklose, skirtose didinti rizikos vertinimo ir priežiūros (kontrolės) kompetencijas</w:t>
            </w:r>
          </w:p>
        </w:tc>
        <w:tc>
          <w:tcPr>
            <w:tcW w:w="513" w:type="pct"/>
          </w:tcPr>
          <w:p w14:paraId="0741A33B" w14:textId="77777777" w:rsidR="005E69E4" w:rsidRPr="00B44B19" w:rsidRDefault="005E69E4" w:rsidP="005E69E4">
            <w:pPr>
              <w:spacing w:after="0" w:line="240" w:lineRule="auto"/>
              <w:rPr>
                <w:rFonts w:eastAsia="Times New Roman" w:cs="Times New Roman"/>
                <w:noProof/>
                <w:sz w:val="16"/>
                <w:szCs w:val="16"/>
              </w:rPr>
            </w:pPr>
            <w:r w:rsidRPr="00B44B19">
              <w:rPr>
                <w:rFonts w:eastAsia="Times New Roman" w:cs="Times New Roman"/>
                <w:noProof/>
                <w:sz w:val="16"/>
                <w:szCs w:val="16"/>
              </w:rPr>
              <w:t>Asmenys</w:t>
            </w:r>
          </w:p>
        </w:tc>
        <w:tc>
          <w:tcPr>
            <w:tcW w:w="505" w:type="pct"/>
          </w:tcPr>
          <w:p w14:paraId="7C1FD47D" w14:textId="77777777" w:rsidR="005E69E4" w:rsidRPr="00B44B19" w:rsidRDefault="00AF7A52"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487</w:t>
            </w:r>
          </w:p>
        </w:tc>
        <w:tc>
          <w:tcPr>
            <w:tcW w:w="475" w:type="pct"/>
          </w:tcPr>
          <w:p w14:paraId="6C27B93E" w14:textId="77777777" w:rsidR="005E69E4" w:rsidRPr="00B44B19" w:rsidRDefault="00AF7A52" w:rsidP="005E69E4">
            <w:pPr>
              <w:spacing w:after="0" w:line="240" w:lineRule="auto"/>
              <w:jc w:val="center"/>
              <w:rPr>
                <w:rFonts w:eastAsia="Times New Roman" w:cs="Times New Roman"/>
                <w:noProof/>
                <w:sz w:val="16"/>
                <w:szCs w:val="16"/>
              </w:rPr>
            </w:pPr>
            <w:r w:rsidRPr="00B44B19">
              <w:rPr>
                <w:rFonts w:eastAsia="Times New Roman" w:cs="Times New Roman"/>
                <w:noProof/>
                <w:sz w:val="16"/>
                <w:szCs w:val="16"/>
              </w:rPr>
              <w:t>4 865</w:t>
            </w:r>
          </w:p>
        </w:tc>
      </w:tr>
    </w:tbl>
    <w:p w14:paraId="03487F42" w14:textId="77777777" w:rsidR="005E69E4" w:rsidRPr="00B44B19" w:rsidRDefault="005E69E4" w:rsidP="00307A1E">
      <w:pPr>
        <w:spacing w:before="240" w:after="0" w:line="240" w:lineRule="auto"/>
        <w:jc w:val="both"/>
        <w:rPr>
          <w:rFonts w:cs="Times New Roman"/>
          <w:b/>
          <w:sz w:val="20"/>
          <w:szCs w:val="24"/>
        </w:rPr>
      </w:pPr>
    </w:p>
    <w:p w14:paraId="0F46B416" w14:textId="77777777" w:rsidR="00143D60" w:rsidRPr="00B44B19" w:rsidRDefault="00143D60" w:rsidP="00143D60">
      <w:pPr>
        <w:spacing w:after="0" w:line="240" w:lineRule="auto"/>
        <w:rPr>
          <w:rFonts w:cs="Times New Roman"/>
          <w:b/>
          <w:sz w:val="20"/>
          <w:szCs w:val="24"/>
        </w:rPr>
        <w:sectPr w:rsidR="00143D60" w:rsidRPr="00B44B19" w:rsidSect="00931C78">
          <w:pgSz w:w="11906" w:h="16838"/>
          <w:pgMar w:top="1276" w:right="567" w:bottom="1134" w:left="1701" w:header="567" w:footer="567" w:gutter="0"/>
          <w:cols w:space="1296"/>
          <w:docGrid w:linePitch="360"/>
        </w:sectPr>
      </w:pPr>
    </w:p>
    <w:p w14:paraId="267770CF" w14:textId="77777777" w:rsidR="00F47D0F" w:rsidRPr="00B44B19" w:rsidRDefault="00786CD2" w:rsidP="00143D60">
      <w:pPr>
        <w:spacing w:after="0" w:line="240" w:lineRule="auto"/>
        <w:rPr>
          <w:rFonts w:cs="Times New Roman"/>
          <w:b/>
          <w:sz w:val="20"/>
          <w:szCs w:val="24"/>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484"/>
        <w:gridCol w:w="975"/>
        <w:gridCol w:w="975"/>
        <w:gridCol w:w="1115"/>
        <w:gridCol w:w="975"/>
        <w:gridCol w:w="1115"/>
        <w:gridCol w:w="1100"/>
      </w:tblGrid>
      <w:tr w:rsidR="00F47D0F" w:rsidRPr="00B44B19" w14:paraId="5CB967EB" w14:textId="77777777" w:rsidTr="006A186A">
        <w:trPr>
          <w:trHeight w:val="872"/>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2F843F"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F156ED"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A0AD79"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2BB9AD"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7ED69A"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FB8C21"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3B9656"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030FE3"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8540DC"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15FB66"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Siek</w:t>
            </w:r>
            <w:r w:rsidR="00770E64" w:rsidRPr="00B44B19">
              <w:rPr>
                <w:rFonts w:eastAsia="Times New Roman" w:cs="Times New Roman"/>
                <w:b/>
                <w:noProof/>
                <w:sz w:val="16"/>
                <w:szCs w:val="16"/>
              </w:rPr>
              <w:t>tina reikšmė</w:t>
            </w:r>
            <w:r w:rsidRPr="00B44B19">
              <w:rPr>
                <w:rFonts w:eastAsia="Times New Roman"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5A2E1E"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 xml:space="preserve">Duomenų šaltinis </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A7FD9E" w14:textId="77777777" w:rsidR="00F47D0F" w:rsidRPr="00B44B19" w:rsidRDefault="00F47D0F" w:rsidP="00F47D0F">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Pastabos</w:t>
            </w:r>
          </w:p>
        </w:tc>
      </w:tr>
      <w:tr w:rsidR="00F47D0F" w:rsidRPr="00B44B19" w14:paraId="40DFE58D" w14:textId="77777777" w:rsidTr="006A186A">
        <w:trPr>
          <w:trHeight w:val="347"/>
        </w:trPr>
        <w:tc>
          <w:tcPr>
            <w:tcW w:w="364" w:type="pct"/>
            <w:vMerge w:val="restart"/>
            <w:tcBorders>
              <w:top w:val="single" w:sz="12" w:space="0" w:color="auto"/>
            </w:tcBorders>
          </w:tcPr>
          <w:p w14:paraId="4FD49430" w14:textId="77777777" w:rsidR="00F47D0F" w:rsidRPr="00B44B19" w:rsidRDefault="00F47D0F" w:rsidP="00F47D0F">
            <w:pPr>
              <w:spacing w:after="0" w:line="240" w:lineRule="auto"/>
              <w:jc w:val="both"/>
              <w:rPr>
                <w:rFonts w:eastAsia="Times New Roman" w:cs="Times New Roman"/>
                <w:b/>
                <w:noProof/>
                <w:sz w:val="16"/>
                <w:szCs w:val="16"/>
              </w:rPr>
            </w:pPr>
            <w:r w:rsidRPr="00B44B19">
              <w:rPr>
                <w:rFonts w:eastAsia="Times New Roman" w:cs="Times New Roman"/>
                <w:noProof/>
                <w:sz w:val="16"/>
                <w:szCs w:val="16"/>
              </w:rPr>
              <w:t>4. Socialiai atsakingesnė Lietuva</w:t>
            </w:r>
          </w:p>
        </w:tc>
        <w:tc>
          <w:tcPr>
            <w:tcW w:w="328" w:type="pct"/>
            <w:vMerge w:val="restart"/>
            <w:tcBorders>
              <w:top w:val="single" w:sz="12" w:space="0" w:color="auto"/>
            </w:tcBorders>
          </w:tcPr>
          <w:p w14:paraId="2945CBE8" w14:textId="77777777" w:rsidR="00F47D0F" w:rsidRPr="00B44B19" w:rsidRDefault="00F47D0F" w:rsidP="00F47D0F">
            <w:pPr>
              <w:spacing w:after="0" w:line="240" w:lineRule="auto"/>
              <w:jc w:val="both"/>
              <w:rPr>
                <w:rFonts w:eastAsia="Times New Roman" w:cs="Times New Roman"/>
                <w:b/>
                <w:noProof/>
                <w:sz w:val="16"/>
                <w:szCs w:val="16"/>
              </w:rPr>
            </w:pPr>
            <w:r w:rsidRPr="00B44B19">
              <w:rPr>
                <w:rFonts w:eastAsia="Times New Roman" w:cs="Times New Roman"/>
                <w:noProof/>
                <w:sz w:val="16"/>
                <w:szCs w:val="16"/>
              </w:rPr>
              <w:t>4.1.</w:t>
            </w:r>
          </w:p>
        </w:tc>
        <w:tc>
          <w:tcPr>
            <w:tcW w:w="281" w:type="pct"/>
            <w:vMerge w:val="restart"/>
            <w:tcBorders>
              <w:top w:val="single" w:sz="12" w:space="0" w:color="auto"/>
            </w:tcBorders>
          </w:tcPr>
          <w:p w14:paraId="75AC4E48" w14:textId="77777777" w:rsidR="00F47D0F" w:rsidRPr="00B44B19" w:rsidRDefault="00F47D0F" w:rsidP="00F47D0F">
            <w:pPr>
              <w:spacing w:after="0" w:line="240" w:lineRule="auto"/>
              <w:jc w:val="both"/>
              <w:rPr>
                <w:rFonts w:eastAsia="Times New Roman" w:cs="Times New Roman"/>
                <w:b/>
                <w:noProof/>
                <w:sz w:val="16"/>
                <w:szCs w:val="16"/>
              </w:rPr>
            </w:pPr>
            <w:r w:rsidRPr="00B44B19">
              <w:rPr>
                <w:rFonts w:eastAsia="Times New Roman" w:cs="Times New Roman"/>
                <w:noProof/>
                <w:sz w:val="16"/>
                <w:szCs w:val="16"/>
              </w:rPr>
              <w:t>ESF+</w:t>
            </w:r>
          </w:p>
        </w:tc>
        <w:tc>
          <w:tcPr>
            <w:tcW w:w="328" w:type="pct"/>
            <w:tcBorders>
              <w:top w:val="single" w:sz="12" w:space="0" w:color="auto"/>
            </w:tcBorders>
          </w:tcPr>
          <w:p w14:paraId="6E44198A"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Borders>
              <w:top w:val="single" w:sz="12" w:space="0" w:color="auto"/>
            </w:tcBorders>
          </w:tcPr>
          <w:p w14:paraId="4594A6DD"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EECR03</w:t>
            </w:r>
          </w:p>
        </w:tc>
        <w:tc>
          <w:tcPr>
            <w:tcW w:w="1172" w:type="pct"/>
            <w:tcBorders>
              <w:top w:val="single" w:sz="12" w:space="0" w:color="auto"/>
            </w:tcBorders>
          </w:tcPr>
          <w:p w14:paraId="72D23D21" w14:textId="77777777" w:rsidR="00F47D0F" w:rsidRPr="00B44B19" w:rsidRDefault="00F47D0F" w:rsidP="00F47D0F">
            <w:pPr>
              <w:spacing w:after="0" w:line="240" w:lineRule="auto"/>
              <w:rPr>
                <w:rFonts w:eastAsia="Times New Roman" w:cs="Times New Roman"/>
                <w:b/>
                <w:noProof/>
                <w:sz w:val="16"/>
                <w:szCs w:val="16"/>
              </w:rPr>
            </w:pPr>
            <w:r w:rsidRPr="00B44B19">
              <w:rPr>
                <w:rFonts w:eastAsia="Times New Roman" w:cs="Times New Roman"/>
                <w:sz w:val="16"/>
                <w:szCs w:val="16"/>
                <w:lang w:eastAsia="lt-LT"/>
              </w:rPr>
              <w:t>Dalyviai, pasibaigus jų dalyvavimui įgyjantys kvalifikaciją</w:t>
            </w:r>
          </w:p>
        </w:tc>
        <w:tc>
          <w:tcPr>
            <w:tcW w:w="328" w:type="pct"/>
            <w:tcBorders>
              <w:top w:val="single" w:sz="12" w:space="0" w:color="auto"/>
            </w:tcBorders>
          </w:tcPr>
          <w:p w14:paraId="06801AD2" w14:textId="77777777" w:rsidR="00F47D0F" w:rsidRPr="00B44B19" w:rsidRDefault="00F47D0F" w:rsidP="00F47D0F">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Asmenys</w:t>
            </w:r>
          </w:p>
        </w:tc>
        <w:tc>
          <w:tcPr>
            <w:tcW w:w="328" w:type="pct"/>
            <w:tcBorders>
              <w:top w:val="single" w:sz="12" w:space="0" w:color="auto"/>
            </w:tcBorders>
          </w:tcPr>
          <w:p w14:paraId="7B919944" w14:textId="49638292"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3 239</w:t>
            </w:r>
          </w:p>
        </w:tc>
        <w:tc>
          <w:tcPr>
            <w:tcW w:w="375" w:type="pct"/>
            <w:tcBorders>
              <w:top w:val="single" w:sz="12" w:space="0" w:color="auto"/>
            </w:tcBorders>
          </w:tcPr>
          <w:p w14:paraId="1BB1C1A3"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Borders>
              <w:top w:val="single" w:sz="12" w:space="0" w:color="auto"/>
            </w:tcBorders>
          </w:tcPr>
          <w:p w14:paraId="0D5E4E7A" w14:textId="0994F7BB"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3 187</w:t>
            </w:r>
          </w:p>
        </w:tc>
        <w:tc>
          <w:tcPr>
            <w:tcW w:w="375" w:type="pct"/>
            <w:tcBorders>
              <w:top w:val="single" w:sz="12" w:space="0" w:color="auto"/>
            </w:tcBorders>
          </w:tcPr>
          <w:p w14:paraId="75F56400"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Borders>
              <w:top w:val="single" w:sz="12" w:space="0" w:color="auto"/>
            </w:tcBorders>
          </w:tcPr>
          <w:p w14:paraId="620A515A"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3C3892CD" w14:textId="77777777" w:rsidTr="006A186A">
        <w:trPr>
          <w:trHeight w:val="258"/>
        </w:trPr>
        <w:tc>
          <w:tcPr>
            <w:tcW w:w="364" w:type="pct"/>
            <w:vMerge/>
          </w:tcPr>
          <w:p w14:paraId="687635BA"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19F802CE"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5A905155"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6D8D0211"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55953E5C"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EECR03</w:t>
            </w:r>
          </w:p>
        </w:tc>
        <w:tc>
          <w:tcPr>
            <w:tcW w:w="1172" w:type="pct"/>
          </w:tcPr>
          <w:p w14:paraId="598636BF" w14:textId="77777777" w:rsidR="00F47D0F" w:rsidRPr="00B44B19" w:rsidRDefault="00F47D0F" w:rsidP="00F47D0F">
            <w:pPr>
              <w:tabs>
                <w:tab w:val="left" w:pos="2268"/>
                <w:tab w:val="left" w:pos="7560"/>
              </w:tabs>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Dalyviai, pasibaigus jų dalyvavimui įgyjantys kvalifikaciją</w:t>
            </w:r>
          </w:p>
        </w:tc>
        <w:tc>
          <w:tcPr>
            <w:tcW w:w="328" w:type="pct"/>
          </w:tcPr>
          <w:p w14:paraId="0CEF29BD"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4E20DDCC" w14:textId="32F0687F"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17 010</w:t>
            </w:r>
          </w:p>
        </w:tc>
        <w:tc>
          <w:tcPr>
            <w:tcW w:w="375" w:type="pct"/>
          </w:tcPr>
          <w:p w14:paraId="5DE9C668"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6C6D61D0" w14:textId="4BE5A661"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16 731</w:t>
            </w:r>
          </w:p>
        </w:tc>
        <w:tc>
          <w:tcPr>
            <w:tcW w:w="375" w:type="pct"/>
          </w:tcPr>
          <w:p w14:paraId="3B4E6731"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49D99BBE"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7C2B157E" w14:textId="77777777" w:rsidTr="006A186A">
        <w:trPr>
          <w:trHeight w:val="471"/>
        </w:trPr>
        <w:tc>
          <w:tcPr>
            <w:tcW w:w="364" w:type="pct"/>
            <w:vMerge/>
          </w:tcPr>
          <w:p w14:paraId="6164A6F3"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6D65A85E"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6FF91428"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41874608"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7D96725A"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EECR04</w:t>
            </w:r>
          </w:p>
        </w:tc>
        <w:tc>
          <w:tcPr>
            <w:tcW w:w="1172" w:type="pct"/>
          </w:tcPr>
          <w:p w14:paraId="0FADD18C" w14:textId="77777777" w:rsidR="00F47D0F" w:rsidRPr="00B44B19" w:rsidRDefault="00F47D0F" w:rsidP="00F47D0F">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Dalyviai, pasibaigus jų dalyvavimui dirbantys, įskaitant savarankišką darbą</w:t>
            </w:r>
          </w:p>
        </w:tc>
        <w:tc>
          <w:tcPr>
            <w:tcW w:w="328" w:type="pct"/>
          </w:tcPr>
          <w:p w14:paraId="1A4C9C3D"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0812825E" w14:textId="442CB3B3"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4 378</w:t>
            </w:r>
          </w:p>
        </w:tc>
        <w:tc>
          <w:tcPr>
            <w:tcW w:w="375" w:type="pct"/>
          </w:tcPr>
          <w:p w14:paraId="491FF816"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6A7D36B6" w14:textId="7133D3BF" w:rsidR="00F47D0F" w:rsidRPr="00B44B19" w:rsidRDefault="00E43F16" w:rsidP="00BD4772">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3 133</w:t>
            </w:r>
          </w:p>
        </w:tc>
        <w:tc>
          <w:tcPr>
            <w:tcW w:w="375" w:type="pct"/>
          </w:tcPr>
          <w:p w14:paraId="60A8D256"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479A0E80"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464C025D" w14:textId="77777777" w:rsidTr="006A186A">
        <w:trPr>
          <w:trHeight w:val="398"/>
        </w:trPr>
        <w:tc>
          <w:tcPr>
            <w:tcW w:w="364" w:type="pct"/>
            <w:vMerge/>
          </w:tcPr>
          <w:p w14:paraId="1BE4908A"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2A89CB16"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0340D360"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68F9CF2E"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528E1897"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EECR04</w:t>
            </w:r>
          </w:p>
        </w:tc>
        <w:tc>
          <w:tcPr>
            <w:tcW w:w="1172" w:type="pct"/>
          </w:tcPr>
          <w:p w14:paraId="30523385" w14:textId="77777777" w:rsidR="00F47D0F" w:rsidRPr="00B44B19" w:rsidRDefault="00F47D0F" w:rsidP="00F47D0F">
            <w:pPr>
              <w:tabs>
                <w:tab w:val="left" w:pos="7560"/>
              </w:tabs>
              <w:spacing w:after="0" w:line="240" w:lineRule="auto"/>
              <w:rPr>
                <w:rFonts w:eastAsia="Times New Roman" w:cs="Times New Roman"/>
                <w:sz w:val="16"/>
                <w:szCs w:val="16"/>
                <w:lang w:eastAsia="lt-LT"/>
              </w:rPr>
            </w:pPr>
            <w:r w:rsidRPr="00B44B19">
              <w:rPr>
                <w:rFonts w:eastAsia="Times New Roman" w:cs="Times New Roman"/>
                <w:sz w:val="16"/>
                <w:szCs w:val="16"/>
                <w:lang w:eastAsia="lt-LT"/>
              </w:rPr>
              <w:t xml:space="preserve">Dalyviai, pasibaigus jų dalyvavimui dirbantys, įskaitant savarankišką darbą </w:t>
            </w:r>
          </w:p>
        </w:tc>
        <w:tc>
          <w:tcPr>
            <w:tcW w:w="328" w:type="pct"/>
          </w:tcPr>
          <w:p w14:paraId="5C8F46E9"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7FA0516D" w14:textId="6C4F4816"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27 428</w:t>
            </w:r>
          </w:p>
        </w:tc>
        <w:tc>
          <w:tcPr>
            <w:tcW w:w="375" w:type="pct"/>
          </w:tcPr>
          <w:p w14:paraId="4460BB4F"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4DFE9127" w14:textId="25BEB4E9" w:rsidR="00F47D0F" w:rsidRPr="00B44B19" w:rsidRDefault="00E43F16" w:rsidP="005C2192">
            <w:pPr>
              <w:spacing w:after="0" w:line="240" w:lineRule="auto"/>
              <w:jc w:val="center"/>
              <w:rPr>
                <w:rFonts w:eastAsia="Times New Roman" w:cs="Times New Roman"/>
                <w:noProof/>
                <w:sz w:val="16"/>
                <w:szCs w:val="16"/>
              </w:rPr>
            </w:pPr>
            <w:r w:rsidRPr="00B44B19">
              <w:rPr>
                <w:rFonts w:eastAsia="Times New Roman" w:cs="Times New Roman"/>
                <w:noProof/>
                <w:sz w:val="16"/>
                <w:szCs w:val="16"/>
              </w:rPr>
              <w:t>19 574</w:t>
            </w:r>
          </w:p>
        </w:tc>
        <w:tc>
          <w:tcPr>
            <w:tcW w:w="375" w:type="pct"/>
          </w:tcPr>
          <w:p w14:paraId="3A135BA3"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13AF4739"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2FB5D651" w14:textId="77777777" w:rsidTr="006A186A">
        <w:trPr>
          <w:trHeight w:val="378"/>
        </w:trPr>
        <w:tc>
          <w:tcPr>
            <w:tcW w:w="364" w:type="pct"/>
            <w:vMerge/>
          </w:tcPr>
          <w:p w14:paraId="6D038D83"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vMerge/>
          </w:tcPr>
          <w:p w14:paraId="3C58D1BA" w14:textId="77777777" w:rsidR="00F47D0F" w:rsidRPr="00B44B19" w:rsidRDefault="00F47D0F" w:rsidP="00F47D0F">
            <w:pPr>
              <w:spacing w:after="0" w:line="240" w:lineRule="auto"/>
              <w:jc w:val="both"/>
              <w:rPr>
                <w:rFonts w:eastAsia="Times New Roman" w:cs="Times New Roman"/>
                <w:b/>
                <w:noProof/>
                <w:sz w:val="16"/>
                <w:szCs w:val="16"/>
              </w:rPr>
            </w:pPr>
          </w:p>
        </w:tc>
        <w:tc>
          <w:tcPr>
            <w:tcW w:w="281" w:type="pct"/>
            <w:vMerge/>
          </w:tcPr>
          <w:p w14:paraId="36729F38"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tcPr>
          <w:p w14:paraId="6652E83B"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15A404D1"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EECR05</w:t>
            </w:r>
          </w:p>
        </w:tc>
        <w:tc>
          <w:tcPr>
            <w:tcW w:w="1172" w:type="pct"/>
          </w:tcPr>
          <w:p w14:paraId="5059702F" w14:textId="77777777" w:rsidR="00F47D0F" w:rsidRPr="00B44B19" w:rsidRDefault="00F47D0F" w:rsidP="00F47D0F">
            <w:pPr>
              <w:tabs>
                <w:tab w:val="left" w:pos="7560"/>
              </w:tabs>
              <w:spacing w:after="0" w:line="240" w:lineRule="auto"/>
              <w:rPr>
                <w:rFonts w:eastAsia="Times New Roman" w:cs="Times New Roman"/>
                <w:b/>
                <w:noProof/>
                <w:sz w:val="16"/>
                <w:szCs w:val="16"/>
              </w:rPr>
            </w:pPr>
            <w:r w:rsidRPr="00B44B19">
              <w:rPr>
                <w:rFonts w:eastAsia="Times New Roman" w:cs="Times New Roman"/>
                <w:sz w:val="16"/>
                <w:szCs w:val="16"/>
                <w:lang w:eastAsia="lt-LT"/>
              </w:rPr>
              <w:t>Dalyviai, kurie per šešis mėnesius nuo dalyvavimo pabaigos pradėjo dirbti, įskaitant savarankišką darbą</w:t>
            </w:r>
          </w:p>
        </w:tc>
        <w:tc>
          <w:tcPr>
            <w:tcW w:w="328" w:type="pct"/>
          </w:tcPr>
          <w:p w14:paraId="1231A600" w14:textId="77777777" w:rsidR="00F47D0F" w:rsidRPr="00B44B19" w:rsidRDefault="00F47D0F" w:rsidP="00F47D0F">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Asmenys</w:t>
            </w:r>
          </w:p>
        </w:tc>
        <w:tc>
          <w:tcPr>
            <w:tcW w:w="328" w:type="pct"/>
          </w:tcPr>
          <w:p w14:paraId="15BA0932" w14:textId="202F1C7F"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3 406</w:t>
            </w:r>
          </w:p>
        </w:tc>
        <w:tc>
          <w:tcPr>
            <w:tcW w:w="375" w:type="pct"/>
          </w:tcPr>
          <w:p w14:paraId="1CFF89AD"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12516268" w14:textId="4A650369"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3 617</w:t>
            </w:r>
          </w:p>
        </w:tc>
        <w:tc>
          <w:tcPr>
            <w:tcW w:w="375" w:type="pct"/>
          </w:tcPr>
          <w:p w14:paraId="5738D7DE"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3ABE404E"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4EEAFA91" w14:textId="77777777" w:rsidTr="006A186A">
        <w:trPr>
          <w:trHeight w:val="437"/>
        </w:trPr>
        <w:tc>
          <w:tcPr>
            <w:tcW w:w="364" w:type="pct"/>
            <w:vMerge/>
          </w:tcPr>
          <w:p w14:paraId="6DEB9D11" w14:textId="77777777" w:rsidR="00F47D0F" w:rsidRPr="00B44B19" w:rsidDel="009A28F6" w:rsidRDefault="00F47D0F" w:rsidP="00F47D0F">
            <w:pPr>
              <w:spacing w:after="0" w:line="240" w:lineRule="auto"/>
              <w:jc w:val="both"/>
              <w:rPr>
                <w:rFonts w:eastAsia="Times New Roman" w:cs="Times New Roman"/>
                <w:noProof/>
                <w:sz w:val="16"/>
                <w:szCs w:val="16"/>
              </w:rPr>
            </w:pPr>
          </w:p>
        </w:tc>
        <w:tc>
          <w:tcPr>
            <w:tcW w:w="328" w:type="pct"/>
            <w:vMerge/>
          </w:tcPr>
          <w:p w14:paraId="02F5857F" w14:textId="77777777" w:rsidR="00F47D0F" w:rsidRPr="00B44B19" w:rsidDel="009A28F6" w:rsidRDefault="00F47D0F" w:rsidP="00F47D0F">
            <w:pPr>
              <w:spacing w:after="0" w:line="240" w:lineRule="auto"/>
              <w:jc w:val="both"/>
              <w:rPr>
                <w:rFonts w:eastAsia="Times New Roman" w:cs="Times New Roman"/>
                <w:noProof/>
                <w:sz w:val="16"/>
                <w:szCs w:val="16"/>
              </w:rPr>
            </w:pPr>
          </w:p>
        </w:tc>
        <w:tc>
          <w:tcPr>
            <w:tcW w:w="281" w:type="pct"/>
            <w:vMerge/>
          </w:tcPr>
          <w:p w14:paraId="200F1768" w14:textId="77777777" w:rsidR="00F47D0F" w:rsidRPr="00B44B19" w:rsidDel="009A28F6" w:rsidRDefault="00F47D0F" w:rsidP="00F47D0F">
            <w:pPr>
              <w:spacing w:after="0" w:line="240" w:lineRule="auto"/>
              <w:jc w:val="both"/>
              <w:rPr>
                <w:rFonts w:eastAsia="Times New Roman" w:cs="Times New Roman"/>
                <w:noProof/>
                <w:sz w:val="16"/>
                <w:szCs w:val="16"/>
              </w:rPr>
            </w:pPr>
          </w:p>
        </w:tc>
        <w:tc>
          <w:tcPr>
            <w:tcW w:w="328" w:type="pct"/>
          </w:tcPr>
          <w:p w14:paraId="7E01A215" w14:textId="77777777" w:rsidR="00F47D0F" w:rsidRPr="00B44B19" w:rsidDel="009A28F6"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1FB40467"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EECR05</w:t>
            </w:r>
          </w:p>
        </w:tc>
        <w:tc>
          <w:tcPr>
            <w:tcW w:w="1172" w:type="pct"/>
          </w:tcPr>
          <w:p w14:paraId="5819B829" w14:textId="77777777" w:rsidR="00F47D0F" w:rsidRPr="00B44B19" w:rsidDel="009A28F6" w:rsidRDefault="00F47D0F" w:rsidP="00F47D0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Dalyviai, kurie per šešis mėnesius nuo dalyvavimo pabaigos pradėjo dirbti, įskaitant savarankišką darbą</w:t>
            </w:r>
          </w:p>
        </w:tc>
        <w:tc>
          <w:tcPr>
            <w:tcW w:w="328" w:type="pct"/>
          </w:tcPr>
          <w:p w14:paraId="6DBAE771" w14:textId="77777777" w:rsidR="00F47D0F" w:rsidRPr="00B44B19" w:rsidDel="009A28F6"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364DBF21" w14:textId="2040B3BB"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20 865</w:t>
            </w:r>
          </w:p>
        </w:tc>
        <w:tc>
          <w:tcPr>
            <w:tcW w:w="375" w:type="pct"/>
          </w:tcPr>
          <w:p w14:paraId="5FAA302D"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1F070A5D" w14:textId="6D3BC594" w:rsidR="00F47D0F" w:rsidRPr="00B44B19" w:rsidRDefault="00E43F16"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22 154</w:t>
            </w:r>
          </w:p>
        </w:tc>
        <w:tc>
          <w:tcPr>
            <w:tcW w:w="375" w:type="pct"/>
          </w:tcPr>
          <w:p w14:paraId="6C25475B"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6D2F6963"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5BBA70CB" w14:textId="77777777" w:rsidTr="006A186A">
        <w:trPr>
          <w:trHeight w:val="345"/>
        </w:trPr>
        <w:tc>
          <w:tcPr>
            <w:tcW w:w="364" w:type="pct"/>
            <w:vMerge/>
          </w:tcPr>
          <w:p w14:paraId="279B7367"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11A71162"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5152A3B5"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6A5F3F0D"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6302CFEE"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7DEFC11D" w14:textId="77777777" w:rsidR="00F47D0F" w:rsidRPr="00B44B19" w:rsidRDefault="00F47D0F" w:rsidP="004A497A">
            <w:pPr>
              <w:tabs>
                <w:tab w:val="left" w:pos="2268"/>
                <w:tab w:val="left" w:pos="7560"/>
              </w:tabs>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 xml:space="preserve">Dalyviai, turintys negalią, kurie baigė </w:t>
            </w:r>
            <w:r w:rsidR="004A497A" w:rsidRPr="00B44B19">
              <w:rPr>
                <w:rFonts w:eastAsia="Times New Roman" w:cs="Times New Roman"/>
                <w:sz w:val="16"/>
                <w:szCs w:val="16"/>
                <w:lang w:eastAsia="lt-LT"/>
              </w:rPr>
              <w:t>integracijos į darbo rink</w:t>
            </w:r>
            <w:r w:rsidR="00FE1C0D" w:rsidRPr="00B44B19">
              <w:rPr>
                <w:rFonts w:eastAsia="Times New Roman" w:cs="Times New Roman"/>
                <w:sz w:val="16"/>
                <w:szCs w:val="16"/>
                <w:lang w:eastAsia="lt-LT"/>
              </w:rPr>
              <w:t>ą</w:t>
            </w:r>
            <w:r w:rsidRPr="00B44B19">
              <w:rPr>
                <w:rFonts w:eastAsia="Times New Roman" w:cs="Times New Roman"/>
                <w:sz w:val="16"/>
                <w:szCs w:val="16"/>
                <w:lang w:eastAsia="lt-LT"/>
              </w:rPr>
              <w:t xml:space="preserve"> programas</w:t>
            </w:r>
          </w:p>
        </w:tc>
        <w:tc>
          <w:tcPr>
            <w:tcW w:w="328" w:type="pct"/>
          </w:tcPr>
          <w:p w14:paraId="71D065B3"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62DA8115" w14:textId="77777777" w:rsidR="00F47D0F" w:rsidRPr="00B44B19" w:rsidRDefault="004E6948"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445</w:t>
            </w:r>
          </w:p>
        </w:tc>
        <w:tc>
          <w:tcPr>
            <w:tcW w:w="375" w:type="pct"/>
          </w:tcPr>
          <w:p w14:paraId="7396E29C"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7E806EA8" w14:textId="77777777" w:rsidR="00F47D0F" w:rsidRPr="00B44B19" w:rsidRDefault="008477B8"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435</w:t>
            </w:r>
          </w:p>
        </w:tc>
        <w:tc>
          <w:tcPr>
            <w:tcW w:w="375" w:type="pct"/>
          </w:tcPr>
          <w:p w14:paraId="20222A21"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59B6FAA5"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0E4F6025" w14:textId="77777777" w:rsidTr="006A186A">
        <w:trPr>
          <w:trHeight w:val="148"/>
        </w:trPr>
        <w:tc>
          <w:tcPr>
            <w:tcW w:w="364" w:type="pct"/>
            <w:vMerge/>
          </w:tcPr>
          <w:p w14:paraId="1A860852"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22F9ECD6"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68FF8650"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2DD08A39"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34537A69"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018BCF7C" w14:textId="77777777" w:rsidR="00F47D0F" w:rsidRPr="00B44B19" w:rsidRDefault="00F47D0F" w:rsidP="00123155">
            <w:pPr>
              <w:tabs>
                <w:tab w:val="left" w:pos="2268"/>
                <w:tab w:val="left" w:pos="7560"/>
              </w:tabs>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Dalyviai</w:t>
            </w:r>
            <w:r w:rsidR="008D6ABD" w:rsidRPr="00B44B19">
              <w:rPr>
                <w:rFonts w:eastAsia="Times New Roman" w:cs="Times New Roman"/>
                <w:sz w:val="16"/>
                <w:szCs w:val="16"/>
                <w:lang w:eastAsia="lt-LT"/>
              </w:rPr>
              <w:t xml:space="preserve">, </w:t>
            </w:r>
            <w:r w:rsidRPr="00B44B19">
              <w:rPr>
                <w:rFonts w:eastAsia="Times New Roman" w:cs="Times New Roman"/>
                <w:sz w:val="16"/>
                <w:szCs w:val="16"/>
                <w:lang w:eastAsia="lt-LT"/>
              </w:rPr>
              <w:t xml:space="preserve">turintys negalią, kurie baigė </w:t>
            </w:r>
            <w:r w:rsidR="00123155" w:rsidRPr="00B44B19">
              <w:rPr>
                <w:rFonts w:eastAsia="Times New Roman" w:cs="Times New Roman"/>
                <w:sz w:val="16"/>
                <w:szCs w:val="16"/>
                <w:lang w:eastAsia="lt-LT"/>
              </w:rPr>
              <w:t>integracijos į darbo rinką</w:t>
            </w:r>
            <w:r w:rsidRPr="00B44B19">
              <w:rPr>
                <w:rFonts w:eastAsia="Times New Roman" w:cs="Times New Roman"/>
                <w:sz w:val="16"/>
                <w:szCs w:val="16"/>
                <w:lang w:eastAsia="lt-LT"/>
              </w:rPr>
              <w:t xml:space="preserve"> programas</w:t>
            </w:r>
          </w:p>
        </w:tc>
        <w:tc>
          <w:tcPr>
            <w:tcW w:w="328" w:type="pct"/>
          </w:tcPr>
          <w:p w14:paraId="6BA38A82"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7C057B7C" w14:textId="77777777" w:rsidR="00F47D0F" w:rsidRPr="00B44B19" w:rsidRDefault="004E6948"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3 705</w:t>
            </w:r>
          </w:p>
        </w:tc>
        <w:tc>
          <w:tcPr>
            <w:tcW w:w="375" w:type="pct"/>
          </w:tcPr>
          <w:p w14:paraId="795F3CC1"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55AAA9EE" w14:textId="77777777" w:rsidR="00F47D0F" w:rsidRPr="00B44B19" w:rsidRDefault="00AE6914"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3 620</w:t>
            </w:r>
          </w:p>
        </w:tc>
        <w:tc>
          <w:tcPr>
            <w:tcW w:w="375" w:type="pct"/>
          </w:tcPr>
          <w:p w14:paraId="0F45E602"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07958657"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2C48CCC3" w14:textId="77777777" w:rsidTr="006A186A">
        <w:trPr>
          <w:trHeight w:val="380"/>
        </w:trPr>
        <w:tc>
          <w:tcPr>
            <w:tcW w:w="364" w:type="pct"/>
            <w:vMerge/>
          </w:tcPr>
          <w:p w14:paraId="1628292F"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1DC0BD54"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062BFD69"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60A559F8"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42795B1B"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Specialusis</w:t>
            </w:r>
          </w:p>
        </w:tc>
        <w:tc>
          <w:tcPr>
            <w:tcW w:w="1172" w:type="pct"/>
          </w:tcPr>
          <w:p w14:paraId="44A8F6BF" w14:textId="77777777" w:rsidR="00F47D0F" w:rsidRPr="00B44B19" w:rsidRDefault="00F47D0F" w:rsidP="006904D6">
            <w:pPr>
              <w:tabs>
                <w:tab w:val="left" w:pos="2268"/>
                <w:tab w:val="left" w:pos="7560"/>
              </w:tabs>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 xml:space="preserve">55 metų ir vyresnių asmenų, kurie po dalyvavimo </w:t>
            </w:r>
            <w:r w:rsidR="006904D6" w:rsidRPr="00B44B19">
              <w:rPr>
                <w:rFonts w:eastAsia="Times New Roman" w:cs="Times New Roman"/>
                <w:sz w:val="16"/>
                <w:szCs w:val="16"/>
                <w:lang w:eastAsia="lt-LT"/>
              </w:rPr>
              <w:t xml:space="preserve">veiklose </w:t>
            </w:r>
            <w:r w:rsidRPr="00B44B19">
              <w:rPr>
                <w:rFonts w:eastAsia="Times New Roman" w:cs="Times New Roman"/>
                <w:sz w:val="16"/>
                <w:szCs w:val="16"/>
                <w:lang w:eastAsia="lt-LT"/>
              </w:rPr>
              <w:t>įgijo kompetencijas, dalis</w:t>
            </w:r>
          </w:p>
        </w:tc>
        <w:tc>
          <w:tcPr>
            <w:tcW w:w="328" w:type="pct"/>
          </w:tcPr>
          <w:p w14:paraId="210ED25C"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p>
        </w:tc>
        <w:tc>
          <w:tcPr>
            <w:tcW w:w="328" w:type="pct"/>
          </w:tcPr>
          <w:p w14:paraId="50A8C626"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88,63</w:t>
            </w:r>
          </w:p>
        </w:tc>
        <w:tc>
          <w:tcPr>
            <w:tcW w:w="375" w:type="pct"/>
          </w:tcPr>
          <w:p w14:paraId="75C67884"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2020</w:t>
            </w:r>
          </w:p>
        </w:tc>
        <w:tc>
          <w:tcPr>
            <w:tcW w:w="328" w:type="pct"/>
          </w:tcPr>
          <w:p w14:paraId="5A0A628D"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90</w:t>
            </w:r>
          </w:p>
        </w:tc>
        <w:tc>
          <w:tcPr>
            <w:tcW w:w="375" w:type="pct"/>
          </w:tcPr>
          <w:p w14:paraId="5B73AC23"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7F9FB0A6"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60821ECF" w14:textId="77777777" w:rsidTr="006A186A">
        <w:trPr>
          <w:trHeight w:val="402"/>
        </w:trPr>
        <w:tc>
          <w:tcPr>
            <w:tcW w:w="364" w:type="pct"/>
            <w:vMerge/>
          </w:tcPr>
          <w:p w14:paraId="7FE42370" w14:textId="77777777" w:rsidR="00F47D0F" w:rsidRPr="00B44B19" w:rsidDel="009A28F6" w:rsidRDefault="00F47D0F" w:rsidP="00F47D0F">
            <w:pPr>
              <w:spacing w:after="0" w:line="240" w:lineRule="auto"/>
              <w:jc w:val="both"/>
              <w:rPr>
                <w:rFonts w:eastAsia="Times New Roman" w:cs="Times New Roman"/>
                <w:noProof/>
                <w:sz w:val="16"/>
                <w:szCs w:val="16"/>
              </w:rPr>
            </w:pPr>
          </w:p>
        </w:tc>
        <w:tc>
          <w:tcPr>
            <w:tcW w:w="328" w:type="pct"/>
            <w:vMerge/>
          </w:tcPr>
          <w:p w14:paraId="6E306E47" w14:textId="77777777" w:rsidR="00F47D0F" w:rsidRPr="00B44B19" w:rsidDel="009A28F6" w:rsidRDefault="00F47D0F" w:rsidP="00F47D0F">
            <w:pPr>
              <w:spacing w:after="0" w:line="240" w:lineRule="auto"/>
              <w:jc w:val="both"/>
              <w:rPr>
                <w:rFonts w:eastAsia="Times New Roman" w:cs="Times New Roman"/>
                <w:noProof/>
                <w:sz w:val="16"/>
                <w:szCs w:val="16"/>
              </w:rPr>
            </w:pPr>
          </w:p>
        </w:tc>
        <w:tc>
          <w:tcPr>
            <w:tcW w:w="281" w:type="pct"/>
            <w:vMerge/>
          </w:tcPr>
          <w:p w14:paraId="53039DE4" w14:textId="77777777" w:rsidR="00F47D0F" w:rsidRPr="00B44B19" w:rsidDel="009A28F6" w:rsidRDefault="00F47D0F" w:rsidP="00F47D0F">
            <w:pPr>
              <w:spacing w:after="0" w:line="240" w:lineRule="auto"/>
              <w:jc w:val="both"/>
              <w:rPr>
                <w:rFonts w:eastAsia="Times New Roman" w:cs="Times New Roman"/>
                <w:noProof/>
                <w:sz w:val="16"/>
                <w:szCs w:val="16"/>
              </w:rPr>
            </w:pPr>
          </w:p>
        </w:tc>
        <w:tc>
          <w:tcPr>
            <w:tcW w:w="328" w:type="pct"/>
          </w:tcPr>
          <w:p w14:paraId="4CCD16A8" w14:textId="77777777" w:rsidR="00F47D0F" w:rsidRPr="00B44B19" w:rsidDel="009A28F6"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72EB1B45"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40822A04" w14:textId="77777777" w:rsidR="00F47D0F" w:rsidRPr="00B44B19" w:rsidDel="009A28F6" w:rsidRDefault="00F47D0F" w:rsidP="006904D6">
            <w:pPr>
              <w:tabs>
                <w:tab w:val="left" w:pos="2268"/>
                <w:tab w:val="left" w:pos="7560"/>
              </w:tabs>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 xml:space="preserve">55 metų ir vyresnių asmenų, kurie po dalyvavimo </w:t>
            </w:r>
            <w:r w:rsidR="006904D6" w:rsidRPr="00B44B19">
              <w:rPr>
                <w:rFonts w:eastAsia="Times New Roman" w:cs="Times New Roman"/>
                <w:sz w:val="16"/>
                <w:szCs w:val="16"/>
                <w:lang w:eastAsia="lt-LT"/>
              </w:rPr>
              <w:t xml:space="preserve">veiklose </w:t>
            </w:r>
            <w:r w:rsidRPr="00B44B19">
              <w:rPr>
                <w:rFonts w:eastAsia="Times New Roman" w:cs="Times New Roman"/>
                <w:sz w:val="16"/>
                <w:szCs w:val="16"/>
                <w:lang w:eastAsia="lt-LT"/>
              </w:rPr>
              <w:t>įgijo kompetencijas, dalis</w:t>
            </w:r>
          </w:p>
        </w:tc>
        <w:tc>
          <w:tcPr>
            <w:tcW w:w="328" w:type="pct"/>
          </w:tcPr>
          <w:p w14:paraId="5C92B058" w14:textId="77777777" w:rsidR="00F47D0F" w:rsidRPr="00B44B19" w:rsidRDefault="00F47D0F" w:rsidP="00F47D0F">
            <w:pPr>
              <w:rPr>
                <w:rFonts w:eastAsia="Times New Roman" w:cs="Times New Roman"/>
                <w:sz w:val="16"/>
                <w:szCs w:val="16"/>
              </w:rPr>
            </w:pPr>
            <w:r w:rsidRPr="00B44B19">
              <w:rPr>
                <w:rFonts w:eastAsia="Times New Roman" w:cs="Times New Roman"/>
                <w:noProof/>
                <w:sz w:val="16"/>
                <w:szCs w:val="16"/>
              </w:rPr>
              <w:t>Procentai</w:t>
            </w:r>
          </w:p>
        </w:tc>
        <w:tc>
          <w:tcPr>
            <w:tcW w:w="328" w:type="pct"/>
          </w:tcPr>
          <w:p w14:paraId="02841875"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88,63</w:t>
            </w:r>
          </w:p>
        </w:tc>
        <w:tc>
          <w:tcPr>
            <w:tcW w:w="375" w:type="pct"/>
          </w:tcPr>
          <w:p w14:paraId="20AAF6FB"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2020</w:t>
            </w:r>
          </w:p>
        </w:tc>
        <w:tc>
          <w:tcPr>
            <w:tcW w:w="328" w:type="pct"/>
          </w:tcPr>
          <w:p w14:paraId="59D1B0AF"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90</w:t>
            </w:r>
          </w:p>
        </w:tc>
        <w:tc>
          <w:tcPr>
            <w:tcW w:w="375" w:type="pct"/>
          </w:tcPr>
          <w:p w14:paraId="5C740E93"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6B6017E8"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7664BBAF" w14:textId="77777777" w:rsidTr="006A186A">
        <w:trPr>
          <w:trHeight w:val="407"/>
        </w:trPr>
        <w:tc>
          <w:tcPr>
            <w:tcW w:w="364" w:type="pct"/>
            <w:vMerge/>
          </w:tcPr>
          <w:p w14:paraId="7AE4CB07"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vMerge/>
          </w:tcPr>
          <w:p w14:paraId="364DD7F6" w14:textId="77777777" w:rsidR="00F47D0F" w:rsidRPr="00B44B19" w:rsidRDefault="00F47D0F" w:rsidP="00F47D0F">
            <w:pPr>
              <w:spacing w:after="0" w:line="240" w:lineRule="auto"/>
              <w:jc w:val="both"/>
              <w:rPr>
                <w:rFonts w:eastAsia="Times New Roman" w:cs="Times New Roman"/>
                <w:b/>
                <w:noProof/>
                <w:sz w:val="16"/>
                <w:szCs w:val="16"/>
              </w:rPr>
            </w:pPr>
          </w:p>
        </w:tc>
        <w:tc>
          <w:tcPr>
            <w:tcW w:w="281" w:type="pct"/>
            <w:vMerge/>
          </w:tcPr>
          <w:p w14:paraId="6362BB20"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tcPr>
          <w:p w14:paraId="5DB1B4C2"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0570532B"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4133402F" w14:textId="77777777" w:rsidR="00F47D0F" w:rsidRPr="00B44B19" w:rsidRDefault="00F47D0F" w:rsidP="00423E48">
            <w:pPr>
              <w:tabs>
                <w:tab w:val="left" w:pos="7560"/>
              </w:tabs>
              <w:spacing w:after="0" w:line="240" w:lineRule="auto"/>
              <w:rPr>
                <w:rFonts w:eastAsia="Times New Roman" w:cs="Times New Roman"/>
                <w:b/>
                <w:noProof/>
                <w:sz w:val="16"/>
                <w:szCs w:val="16"/>
              </w:rPr>
            </w:pPr>
            <w:r w:rsidRPr="00B44B19">
              <w:rPr>
                <w:rFonts w:eastAsia="Times New Roman" w:cs="Times New Roman"/>
                <w:sz w:val="16"/>
                <w:szCs w:val="16"/>
                <w:lang w:eastAsia="lt-LT"/>
              </w:rPr>
              <w:t>Sėkmingai veikiančių paramą gavusių labai mažų, mažųjų ir vidutinių įmonių (įskaitant kooperatines įmones ir socialin</w:t>
            </w:r>
            <w:r w:rsidR="00B46E78" w:rsidRPr="00B44B19">
              <w:rPr>
                <w:rFonts w:eastAsia="Times New Roman" w:cs="Times New Roman"/>
                <w:sz w:val="16"/>
                <w:szCs w:val="16"/>
                <w:lang w:eastAsia="lt-LT"/>
              </w:rPr>
              <w:t>e</w:t>
            </w:r>
            <w:r w:rsidRPr="00B44B19">
              <w:rPr>
                <w:rFonts w:eastAsia="Times New Roman" w:cs="Times New Roman"/>
                <w:sz w:val="16"/>
                <w:szCs w:val="16"/>
                <w:lang w:eastAsia="lt-LT"/>
              </w:rPr>
              <w:t>s įmones</w:t>
            </w:r>
            <w:r w:rsidR="00B46E78" w:rsidRPr="00B44B19">
              <w:rPr>
                <w:rFonts w:eastAsia="Times New Roman" w:cs="Times New Roman"/>
                <w:sz w:val="16"/>
                <w:szCs w:val="16"/>
                <w:lang w:eastAsia="lt-LT"/>
              </w:rPr>
              <w:t>)</w:t>
            </w:r>
            <w:r w:rsidR="00F94B5D" w:rsidRPr="00B44B19">
              <w:rPr>
                <w:rFonts w:eastAsia="Times New Roman" w:cs="Times New Roman"/>
                <w:sz w:val="16"/>
                <w:szCs w:val="16"/>
                <w:lang w:eastAsia="lt-LT"/>
              </w:rPr>
              <w:t>,</w:t>
            </w:r>
            <w:r w:rsidR="00C30389" w:rsidRPr="00B44B19">
              <w:rPr>
                <w:rFonts w:eastAsia="Times New Roman" w:cs="Times New Roman"/>
                <w:sz w:val="16"/>
                <w:szCs w:val="16"/>
                <w:lang w:eastAsia="lt-LT"/>
              </w:rPr>
              <w:t xml:space="preserve"> dalis</w:t>
            </w:r>
          </w:p>
        </w:tc>
        <w:tc>
          <w:tcPr>
            <w:tcW w:w="328" w:type="pct"/>
          </w:tcPr>
          <w:p w14:paraId="66322151" w14:textId="77777777" w:rsidR="00F47D0F" w:rsidRPr="00B44B19" w:rsidRDefault="00F47D0F" w:rsidP="00F47D0F">
            <w:pPr>
              <w:rPr>
                <w:rFonts w:eastAsia="Times New Roman" w:cs="Times New Roman"/>
                <w:sz w:val="16"/>
                <w:szCs w:val="16"/>
              </w:rPr>
            </w:pPr>
            <w:r w:rsidRPr="00B44B19">
              <w:rPr>
                <w:rFonts w:eastAsia="Times New Roman" w:cs="Times New Roman"/>
                <w:noProof/>
                <w:sz w:val="16"/>
                <w:szCs w:val="16"/>
              </w:rPr>
              <w:t>Procentai</w:t>
            </w:r>
          </w:p>
        </w:tc>
        <w:tc>
          <w:tcPr>
            <w:tcW w:w="328" w:type="pct"/>
          </w:tcPr>
          <w:p w14:paraId="2C34FCE4" w14:textId="77777777" w:rsidR="00F47D0F" w:rsidRPr="00B44B19" w:rsidRDefault="004E6948"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98</w:t>
            </w:r>
          </w:p>
        </w:tc>
        <w:tc>
          <w:tcPr>
            <w:tcW w:w="375" w:type="pct"/>
          </w:tcPr>
          <w:p w14:paraId="07D66FDA"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488DBA70"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80</w:t>
            </w:r>
          </w:p>
        </w:tc>
        <w:tc>
          <w:tcPr>
            <w:tcW w:w="375" w:type="pct"/>
          </w:tcPr>
          <w:p w14:paraId="00363608"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Audito, apskaitos, turto vertinimo ir nemokumo valdymo tarnybos prie Lietuvos Respublikos finansų ministerijos duomenys</w:t>
            </w:r>
          </w:p>
        </w:tc>
        <w:tc>
          <w:tcPr>
            <w:tcW w:w="370" w:type="pct"/>
          </w:tcPr>
          <w:p w14:paraId="3AC36E21"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6DCC6813" w14:textId="77777777" w:rsidTr="006A186A">
        <w:trPr>
          <w:trHeight w:val="427"/>
        </w:trPr>
        <w:tc>
          <w:tcPr>
            <w:tcW w:w="364" w:type="pct"/>
            <w:vMerge/>
          </w:tcPr>
          <w:p w14:paraId="11810CAE"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1ED03C77"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35AC5F1F"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30CA0373"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50F32ECA"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1C56D753" w14:textId="77777777" w:rsidR="00F47D0F" w:rsidRPr="00B44B19" w:rsidRDefault="00F47D0F" w:rsidP="00423E48">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Sėkmingai veikiančių paramą gavusių labai mažų, mažųjų ir vidutinių įmonių (įskaitant kooperatines įmones ir socialin</w:t>
            </w:r>
            <w:r w:rsidR="00B46E78" w:rsidRPr="00B44B19">
              <w:rPr>
                <w:rFonts w:eastAsia="Times New Roman" w:cs="Times New Roman"/>
                <w:sz w:val="16"/>
                <w:szCs w:val="16"/>
                <w:lang w:eastAsia="lt-LT"/>
              </w:rPr>
              <w:t>e</w:t>
            </w:r>
            <w:r w:rsidRPr="00B44B19">
              <w:rPr>
                <w:rFonts w:eastAsia="Times New Roman" w:cs="Times New Roman"/>
                <w:sz w:val="16"/>
                <w:szCs w:val="16"/>
                <w:lang w:eastAsia="lt-LT"/>
              </w:rPr>
              <w:t>s įmones</w:t>
            </w:r>
            <w:r w:rsidR="00B46E78" w:rsidRPr="00B44B19">
              <w:rPr>
                <w:rFonts w:eastAsia="Times New Roman" w:cs="Times New Roman"/>
                <w:sz w:val="16"/>
                <w:szCs w:val="16"/>
                <w:lang w:eastAsia="lt-LT"/>
              </w:rPr>
              <w:t>)</w:t>
            </w:r>
            <w:r w:rsidR="00F94B5D" w:rsidRPr="00B44B19">
              <w:rPr>
                <w:rFonts w:eastAsia="Times New Roman" w:cs="Times New Roman"/>
                <w:sz w:val="16"/>
                <w:szCs w:val="16"/>
                <w:lang w:eastAsia="lt-LT"/>
              </w:rPr>
              <w:t>,</w:t>
            </w:r>
            <w:r w:rsidR="00C30389" w:rsidRPr="00B44B19">
              <w:rPr>
                <w:rFonts w:eastAsia="Times New Roman" w:cs="Times New Roman"/>
                <w:sz w:val="16"/>
                <w:szCs w:val="16"/>
                <w:lang w:eastAsia="lt-LT"/>
              </w:rPr>
              <w:t xml:space="preserve"> dalis</w:t>
            </w:r>
          </w:p>
        </w:tc>
        <w:tc>
          <w:tcPr>
            <w:tcW w:w="328" w:type="pct"/>
          </w:tcPr>
          <w:p w14:paraId="4A8F39C2" w14:textId="77777777" w:rsidR="00F47D0F" w:rsidRPr="00B44B19" w:rsidRDefault="00F47D0F" w:rsidP="00F47D0F">
            <w:pPr>
              <w:rPr>
                <w:rFonts w:eastAsia="Times New Roman" w:cs="Times New Roman"/>
                <w:sz w:val="16"/>
                <w:szCs w:val="16"/>
              </w:rPr>
            </w:pPr>
            <w:r w:rsidRPr="00B44B19">
              <w:rPr>
                <w:rFonts w:eastAsia="Times New Roman" w:cs="Times New Roman"/>
                <w:noProof/>
                <w:sz w:val="16"/>
                <w:szCs w:val="16"/>
              </w:rPr>
              <w:t>Procentai</w:t>
            </w:r>
          </w:p>
        </w:tc>
        <w:tc>
          <w:tcPr>
            <w:tcW w:w="328" w:type="pct"/>
          </w:tcPr>
          <w:p w14:paraId="73A7A090" w14:textId="77777777" w:rsidR="00F47D0F" w:rsidRPr="00B44B19" w:rsidRDefault="004E6948"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98</w:t>
            </w:r>
          </w:p>
        </w:tc>
        <w:tc>
          <w:tcPr>
            <w:tcW w:w="375" w:type="pct"/>
          </w:tcPr>
          <w:p w14:paraId="00C7B365"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0839DF92"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80</w:t>
            </w:r>
          </w:p>
        </w:tc>
        <w:tc>
          <w:tcPr>
            <w:tcW w:w="375" w:type="pct"/>
          </w:tcPr>
          <w:p w14:paraId="2F428828"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 xml:space="preserve">Audito, apskaitos, turto vertinimo ir nemokumo valdymo tarnybos prie </w:t>
            </w:r>
            <w:r w:rsidRPr="00B44B19">
              <w:rPr>
                <w:rFonts w:eastAsia="Times New Roman" w:cs="Times New Roman"/>
                <w:noProof/>
                <w:sz w:val="16"/>
                <w:szCs w:val="16"/>
              </w:rPr>
              <w:lastRenderedPageBreak/>
              <w:t>Lietuvos Respublikos finansų ministerijos duomenys</w:t>
            </w:r>
          </w:p>
        </w:tc>
        <w:tc>
          <w:tcPr>
            <w:tcW w:w="370" w:type="pct"/>
          </w:tcPr>
          <w:p w14:paraId="266E3AA4"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4F05823B" w14:textId="77777777" w:rsidTr="006A186A">
        <w:trPr>
          <w:trHeight w:val="562"/>
        </w:trPr>
        <w:tc>
          <w:tcPr>
            <w:tcW w:w="364" w:type="pct"/>
            <w:vMerge/>
          </w:tcPr>
          <w:p w14:paraId="55C195D4"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vMerge/>
          </w:tcPr>
          <w:p w14:paraId="7E9DBE0E" w14:textId="77777777" w:rsidR="00F47D0F" w:rsidRPr="00B44B19" w:rsidRDefault="00F47D0F" w:rsidP="00F47D0F">
            <w:pPr>
              <w:spacing w:after="0" w:line="240" w:lineRule="auto"/>
              <w:jc w:val="both"/>
              <w:rPr>
                <w:rFonts w:eastAsia="Times New Roman" w:cs="Times New Roman"/>
                <w:b/>
                <w:noProof/>
                <w:sz w:val="16"/>
                <w:szCs w:val="16"/>
              </w:rPr>
            </w:pPr>
          </w:p>
        </w:tc>
        <w:tc>
          <w:tcPr>
            <w:tcW w:w="281" w:type="pct"/>
            <w:vMerge/>
          </w:tcPr>
          <w:p w14:paraId="04910957"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tcPr>
          <w:p w14:paraId="4B1FF199"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23844DC1"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25A7B06B" w14:textId="77777777" w:rsidR="00F47D0F" w:rsidRPr="00B44B19" w:rsidRDefault="00F47D0F" w:rsidP="00144D62">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Organizacijų ir įmonių, kuriose per šešis mėnesius po dalyvavimo veiklose, skirtose socialin</w:t>
            </w:r>
            <w:r w:rsidR="00144D62" w:rsidRPr="00B44B19">
              <w:rPr>
                <w:rFonts w:eastAsia="Times New Roman" w:cs="Times New Roman"/>
                <w:sz w:val="16"/>
                <w:szCs w:val="16"/>
                <w:lang w:eastAsia="lt-LT"/>
              </w:rPr>
              <w:t>iam</w:t>
            </w:r>
            <w:r w:rsidRPr="00B44B19">
              <w:rPr>
                <w:rFonts w:eastAsia="Times New Roman" w:cs="Times New Roman"/>
                <w:sz w:val="16"/>
                <w:szCs w:val="16"/>
                <w:lang w:eastAsia="lt-LT"/>
              </w:rPr>
              <w:t xml:space="preserve"> dialog</w:t>
            </w:r>
            <w:r w:rsidR="00144D62" w:rsidRPr="00B44B19">
              <w:rPr>
                <w:rFonts w:eastAsia="Times New Roman" w:cs="Times New Roman"/>
                <w:sz w:val="16"/>
                <w:szCs w:val="16"/>
                <w:lang w:eastAsia="lt-LT"/>
              </w:rPr>
              <w:t>ui vystyti</w:t>
            </w:r>
            <w:r w:rsidR="00676F63" w:rsidRPr="00B44B19">
              <w:rPr>
                <w:rFonts w:eastAsia="Times New Roman" w:cs="Times New Roman"/>
                <w:sz w:val="16"/>
                <w:szCs w:val="16"/>
                <w:lang w:eastAsia="lt-LT"/>
              </w:rPr>
              <w:t xml:space="preserve"> </w:t>
            </w:r>
            <w:r w:rsidRPr="00B44B19">
              <w:rPr>
                <w:rFonts w:eastAsia="Times New Roman" w:cs="Times New Roman"/>
                <w:sz w:val="16"/>
                <w:szCs w:val="16"/>
                <w:lang w:eastAsia="lt-LT"/>
              </w:rPr>
              <w:t>pabaigos</w:t>
            </w:r>
            <w:r w:rsidR="00676F63" w:rsidRPr="00B44B19">
              <w:rPr>
                <w:rFonts w:eastAsia="Times New Roman" w:cs="Times New Roman"/>
                <w:sz w:val="16"/>
                <w:szCs w:val="16"/>
                <w:lang w:eastAsia="lt-LT"/>
              </w:rPr>
              <w:t>,</w:t>
            </w:r>
            <w:r w:rsidRPr="00B44B19">
              <w:rPr>
                <w:rFonts w:eastAsia="Times New Roman" w:cs="Times New Roman"/>
                <w:sz w:val="16"/>
                <w:szCs w:val="16"/>
                <w:lang w:eastAsia="lt-LT"/>
              </w:rPr>
              <w:t xml:space="preserve"> įvyko </w:t>
            </w:r>
            <w:r w:rsidR="001F4AD1" w:rsidRPr="00B44B19">
              <w:rPr>
                <w:rFonts w:eastAsia="Times New Roman" w:cs="Times New Roman"/>
                <w:sz w:val="16"/>
                <w:szCs w:val="16"/>
                <w:lang w:eastAsia="lt-LT"/>
              </w:rPr>
              <w:t xml:space="preserve">teigiamas </w:t>
            </w:r>
            <w:r w:rsidRPr="00B44B19">
              <w:rPr>
                <w:rFonts w:eastAsia="Times New Roman" w:cs="Times New Roman"/>
                <w:sz w:val="16"/>
                <w:szCs w:val="16"/>
                <w:lang w:eastAsia="lt-LT"/>
              </w:rPr>
              <w:t xml:space="preserve">pokytis, dalis </w:t>
            </w:r>
          </w:p>
        </w:tc>
        <w:tc>
          <w:tcPr>
            <w:tcW w:w="328" w:type="pct"/>
          </w:tcPr>
          <w:p w14:paraId="2D27C167" w14:textId="77777777" w:rsidR="00F47D0F" w:rsidRPr="00B44B19" w:rsidRDefault="00F47D0F" w:rsidP="00F47D0F">
            <w:pPr>
              <w:rPr>
                <w:rFonts w:eastAsia="Times New Roman" w:cs="Times New Roman"/>
              </w:rPr>
            </w:pPr>
            <w:r w:rsidRPr="00B44B19">
              <w:rPr>
                <w:rFonts w:eastAsia="Times New Roman" w:cs="Times New Roman"/>
                <w:noProof/>
                <w:sz w:val="16"/>
                <w:szCs w:val="16"/>
              </w:rPr>
              <w:t>Procentai</w:t>
            </w:r>
          </w:p>
        </w:tc>
        <w:tc>
          <w:tcPr>
            <w:tcW w:w="328" w:type="pct"/>
          </w:tcPr>
          <w:p w14:paraId="69335FA9"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375" w:type="pct"/>
          </w:tcPr>
          <w:p w14:paraId="72E9CF07"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0EB82A52"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30</w:t>
            </w:r>
          </w:p>
        </w:tc>
        <w:tc>
          <w:tcPr>
            <w:tcW w:w="375" w:type="pct"/>
          </w:tcPr>
          <w:p w14:paraId="4A3C391F"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Apklausos duomenys</w:t>
            </w:r>
          </w:p>
        </w:tc>
        <w:tc>
          <w:tcPr>
            <w:tcW w:w="370" w:type="pct"/>
          </w:tcPr>
          <w:p w14:paraId="03682FFC"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630A141C" w14:textId="77777777" w:rsidTr="006A186A">
        <w:trPr>
          <w:trHeight w:val="562"/>
        </w:trPr>
        <w:tc>
          <w:tcPr>
            <w:tcW w:w="364" w:type="pct"/>
            <w:vMerge/>
          </w:tcPr>
          <w:p w14:paraId="2161E74E"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vMerge/>
          </w:tcPr>
          <w:p w14:paraId="43F354F5" w14:textId="77777777" w:rsidR="00F47D0F" w:rsidRPr="00B44B19" w:rsidRDefault="00F47D0F" w:rsidP="00F47D0F">
            <w:pPr>
              <w:spacing w:after="0" w:line="240" w:lineRule="auto"/>
              <w:jc w:val="both"/>
              <w:rPr>
                <w:rFonts w:eastAsia="Times New Roman" w:cs="Times New Roman"/>
                <w:noProof/>
                <w:sz w:val="16"/>
                <w:szCs w:val="16"/>
              </w:rPr>
            </w:pPr>
          </w:p>
        </w:tc>
        <w:tc>
          <w:tcPr>
            <w:tcW w:w="281" w:type="pct"/>
            <w:vMerge/>
          </w:tcPr>
          <w:p w14:paraId="690F08A1" w14:textId="77777777" w:rsidR="00F47D0F" w:rsidRPr="00B44B19" w:rsidRDefault="00F47D0F" w:rsidP="00F47D0F">
            <w:pPr>
              <w:spacing w:after="0" w:line="240" w:lineRule="auto"/>
              <w:jc w:val="both"/>
              <w:rPr>
                <w:rFonts w:eastAsia="Times New Roman" w:cs="Times New Roman"/>
                <w:noProof/>
                <w:sz w:val="16"/>
                <w:szCs w:val="16"/>
              </w:rPr>
            </w:pPr>
          </w:p>
        </w:tc>
        <w:tc>
          <w:tcPr>
            <w:tcW w:w="328" w:type="pct"/>
          </w:tcPr>
          <w:p w14:paraId="00CAE93A"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0361F64B"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603252C4" w14:textId="77777777" w:rsidR="00F47D0F" w:rsidRPr="00B44B19" w:rsidRDefault="00F47D0F" w:rsidP="00144D62">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Organizacijų ir įmonių, kuriose per šešis mėnesius po dalyvavimo veiklose, skirtose socialin</w:t>
            </w:r>
            <w:r w:rsidR="00144D62" w:rsidRPr="00B44B19">
              <w:rPr>
                <w:rFonts w:eastAsia="Times New Roman" w:cs="Times New Roman"/>
                <w:sz w:val="16"/>
                <w:szCs w:val="16"/>
                <w:lang w:eastAsia="lt-LT"/>
              </w:rPr>
              <w:t>iam</w:t>
            </w:r>
            <w:r w:rsidRPr="00B44B19">
              <w:rPr>
                <w:rFonts w:eastAsia="Times New Roman" w:cs="Times New Roman"/>
                <w:sz w:val="16"/>
                <w:szCs w:val="16"/>
                <w:lang w:eastAsia="lt-LT"/>
              </w:rPr>
              <w:t xml:space="preserve"> dialog</w:t>
            </w:r>
            <w:r w:rsidR="00144D62" w:rsidRPr="00B44B19">
              <w:rPr>
                <w:rFonts w:eastAsia="Times New Roman" w:cs="Times New Roman"/>
                <w:sz w:val="16"/>
                <w:szCs w:val="16"/>
                <w:lang w:eastAsia="lt-LT"/>
              </w:rPr>
              <w:t>ui vystyti</w:t>
            </w:r>
            <w:r w:rsidRPr="00B44B19">
              <w:rPr>
                <w:rFonts w:eastAsia="Times New Roman" w:cs="Times New Roman"/>
                <w:sz w:val="16"/>
                <w:szCs w:val="16"/>
                <w:lang w:eastAsia="lt-LT"/>
              </w:rPr>
              <w:t>,</w:t>
            </w:r>
            <w:r w:rsidR="00676F63" w:rsidRPr="00B44B19">
              <w:rPr>
                <w:rFonts w:eastAsia="Times New Roman" w:cs="Times New Roman"/>
                <w:sz w:val="16"/>
                <w:szCs w:val="16"/>
                <w:lang w:eastAsia="lt-LT"/>
              </w:rPr>
              <w:t xml:space="preserve"> </w:t>
            </w:r>
            <w:r w:rsidRPr="00B44B19">
              <w:rPr>
                <w:rFonts w:eastAsia="Times New Roman" w:cs="Times New Roman"/>
                <w:sz w:val="16"/>
                <w:szCs w:val="16"/>
                <w:lang w:eastAsia="lt-LT"/>
              </w:rPr>
              <w:t>pabaigos</w:t>
            </w:r>
            <w:r w:rsidR="00676F63" w:rsidRPr="00B44B19">
              <w:rPr>
                <w:rFonts w:eastAsia="Times New Roman" w:cs="Times New Roman"/>
                <w:sz w:val="16"/>
                <w:szCs w:val="16"/>
                <w:lang w:eastAsia="lt-LT"/>
              </w:rPr>
              <w:t>,</w:t>
            </w:r>
            <w:r w:rsidRPr="00B44B19">
              <w:rPr>
                <w:rFonts w:eastAsia="Times New Roman" w:cs="Times New Roman"/>
                <w:sz w:val="16"/>
                <w:szCs w:val="16"/>
                <w:lang w:eastAsia="lt-LT"/>
              </w:rPr>
              <w:t xml:space="preserve"> įvyko </w:t>
            </w:r>
            <w:r w:rsidR="001F4AD1" w:rsidRPr="00B44B19">
              <w:rPr>
                <w:rFonts w:eastAsia="Times New Roman" w:cs="Times New Roman"/>
                <w:sz w:val="16"/>
                <w:szCs w:val="16"/>
                <w:lang w:eastAsia="lt-LT"/>
              </w:rPr>
              <w:t xml:space="preserve">teigiamas </w:t>
            </w:r>
            <w:r w:rsidRPr="00B44B19">
              <w:rPr>
                <w:rFonts w:eastAsia="Times New Roman" w:cs="Times New Roman"/>
                <w:sz w:val="16"/>
                <w:szCs w:val="16"/>
                <w:lang w:eastAsia="lt-LT"/>
              </w:rPr>
              <w:t>pokytis, dalis</w:t>
            </w:r>
          </w:p>
        </w:tc>
        <w:tc>
          <w:tcPr>
            <w:tcW w:w="328" w:type="pct"/>
          </w:tcPr>
          <w:p w14:paraId="059E2565" w14:textId="77777777" w:rsidR="00F47D0F" w:rsidRPr="00B44B19" w:rsidRDefault="00F47D0F" w:rsidP="00F47D0F">
            <w:pPr>
              <w:rPr>
                <w:rFonts w:eastAsia="Times New Roman" w:cs="Times New Roman"/>
              </w:rPr>
            </w:pPr>
            <w:r w:rsidRPr="00B44B19">
              <w:rPr>
                <w:rFonts w:eastAsia="Times New Roman" w:cs="Times New Roman"/>
                <w:noProof/>
                <w:sz w:val="16"/>
                <w:szCs w:val="16"/>
              </w:rPr>
              <w:t>Procentai</w:t>
            </w:r>
          </w:p>
        </w:tc>
        <w:tc>
          <w:tcPr>
            <w:tcW w:w="328" w:type="pct"/>
          </w:tcPr>
          <w:p w14:paraId="1F0D5568"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375" w:type="pct"/>
          </w:tcPr>
          <w:p w14:paraId="5D9235B8"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4D23C3DC"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30</w:t>
            </w:r>
          </w:p>
        </w:tc>
        <w:tc>
          <w:tcPr>
            <w:tcW w:w="375" w:type="pct"/>
          </w:tcPr>
          <w:p w14:paraId="701DBDF7"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Apklausos duomenys</w:t>
            </w:r>
          </w:p>
        </w:tc>
        <w:tc>
          <w:tcPr>
            <w:tcW w:w="370" w:type="pct"/>
          </w:tcPr>
          <w:p w14:paraId="400D8DEA"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2525E9DC" w14:textId="77777777" w:rsidTr="006A186A">
        <w:trPr>
          <w:trHeight w:val="562"/>
        </w:trPr>
        <w:tc>
          <w:tcPr>
            <w:tcW w:w="364" w:type="pct"/>
            <w:vMerge/>
          </w:tcPr>
          <w:p w14:paraId="14B268AA"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vMerge/>
          </w:tcPr>
          <w:p w14:paraId="1B660A37" w14:textId="77777777" w:rsidR="00F47D0F" w:rsidRPr="00B44B19" w:rsidRDefault="00F47D0F" w:rsidP="00F47D0F">
            <w:pPr>
              <w:spacing w:after="0" w:line="240" w:lineRule="auto"/>
              <w:jc w:val="both"/>
              <w:rPr>
                <w:rFonts w:eastAsia="Times New Roman" w:cs="Times New Roman"/>
                <w:b/>
                <w:noProof/>
                <w:sz w:val="16"/>
                <w:szCs w:val="16"/>
              </w:rPr>
            </w:pPr>
          </w:p>
        </w:tc>
        <w:tc>
          <w:tcPr>
            <w:tcW w:w="281" w:type="pct"/>
            <w:vMerge/>
          </w:tcPr>
          <w:p w14:paraId="34A2AC42" w14:textId="77777777" w:rsidR="00F47D0F" w:rsidRPr="00B44B19" w:rsidRDefault="00F47D0F" w:rsidP="00F47D0F">
            <w:pPr>
              <w:spacing w:after="0" w:line="240" w:lineRule="auto"/>
              <w:jc w:val="both"/>
              <w:rPr>
                <w:rFonts w:eastAsia="Times New Roman" w:cs="Times New Roman"/>
                <w:b/>
                <w:noProof/>
                <w:sz w:val="16"/>
                <w:szCs w:val="16"/>
              </w:rPr>
            </w:pPr>
          </w:p>
        </w:tc>
        <w:tc>
          <w:tcPr>
            <w:tcW w:w="328" w:type="pct"/>
          </w:tcPr>
          <w:p w14:paraId="5FB7365E"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12AD9E8D"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29A83801" w14:textId="77777777" w:rsidR="00F47D0F" w:rsidRPr="00B44B19" w:rsidRDefault="00F47D0F" w:rsidP="00F47D0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 xml:space="preserve">Asmenų, kurie po dalyvavimo </w:t>
            </w:r>
            <w:r w:rsidR="00B53DCF" w:rsidRPr="00B44B19">
              <w:rPr>
                <w:rFonts w:eastAsia="Times New Roman" w:cs="Times New Roman"/>
                <w:sz w:val="16"/>
                <w:szCs w:val="16"/>
                <w:lang w:eastAsia="lt-LT"/>
              </w:rPr>
              <w:t xml:space="preserve">veiklose </w:t>
            </w:r>
            <w:r w:rsidRPr="00B44B19">
              <w:rPr>
                <w:rFonts w:eastAsia="Times New Roman" w:cs="Times New Roman"/>
                <w:sz w:val="16"/>
                <w:szCs w:val="16"/>
                <w:lang w:eastAsia="lt-LT"/>
              </w:rPr>
              <w:t>įgijo arba patobulino profesinės rizikos vertinimo ir priežiūros (kontrolės) kompetencijas, dalis</w:t>
            </w:r>
          </w:p>
        </w:tc>
        <w:tc>
          <w:tcPr>
            <w:tcW w:w="328" w:type="pct"/>
          </w:tcPr>
          <w:p w14:paraId="35793B5B" w14:textId="77777777" w:rsidR="00F47D0F" w:rsidRPr="00B44B19" w:rsidRDefault="00F47D0F" w:rsidP="00F47D0F">
            <w:pPr>
              <w:rPr>
                <w:rFonts w:eastAsia="Times New Roman" w:cs="Times New Roman"/>
              </w:rPr>
            </w:pPr>
            <w:r w:rsidRPr="00B44B19">
              <w:rPr>
                <w:rFonts w:eastAsia="Times New Roman" w:cs="Times New Roman"/>
                <w:noProof/>
                <w:sz w:val="16"/>
                <w:szCs w:val="16"/>
              </w:rPr>
              <w:t>Procentai</w:t>
            </w:r>
          </w:p>
        </w:tc>
        <w:tc>
          <w:tcPr>
            <w:tcW w:w="328" w:type="pct"/>
          </w:tcPr>
          <w:p w14:paraId="06E6E65B" w14:textId="77777777" w:rsidR="00F47D0F" w:rsidRPr="00B44B19" w:rsidRDefault="004E6FA3"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91</w:t>
            </w:r>
          </w:p>
        </w:tc>
        <w:tc>
          <w:tcPr>
            <w:tcW w:w="375" w:type="pct"/>
          </w:tcPr>
          <w:p w14:paraId="631FF1CB"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5B8BF68D"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95</w:t>
            </w:r>
          </w:p>
        </w:tc>
        <w:tc>
          <w:tcPr>
            <w:tcW w:w="375" w:type="pct"/>
          </w:tcPr>
          <w:p w14:paraId="237E5817"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41062E2A" w14:textId="77777777" w:rsidR="00F47D0F" w:rsidRPr="00B44B19" w:rsidRDefault="00F47D0F" w:rsidP="00F47D0F">
            <w:pPr>
              <w:spacing w:after="0" w:line="240" w:lineRule="auto"/>
              <w:jc w:val="both"/>
              <w:rPr>
                <w:rFonts w:eastAsia="Times New Roman" w:cs="Times New Roman"/>
                <w:b/>
                <w:noProof/>
                <w:sz w:val="16"/>
                <w:szCs w:val="16"/>
              </w:rPr>
            </w:pPr>
          </w:p>
        </w:tc>
      </w:tr>
      <w:tr w:rsidR="00F47D0F" w:rsidRPr="00B44B19" w14:paraId="23276288" w14:textId="77777777" w:rsidTr="006A186A">
        <w:trPr>
          <w:trHeight w:val="562"/>
        </w:trPr>
        <w:tc>
          <w:tcPr>
            <w:tcW w:w="364" w:type="pct"/>
            <w:vMerge/>
          </w:tcPr>
          <w:p w14:paraId="3A896647" w14:textId="77777777" w:rsidR="00F47D0F" w:rsidRPr="00B44B19" w:rsidDel="00EA470D" w:rsidRDefault="00F47D0F" w:rsidP="00F47D0F">
            <w:pPr>
              <w:spacing w:after="0" w:line="240" w:lineRule="auto"/>
              <w:jc w:val="both"/>
              <w:rPr>
                <w:rFonts w:eastAsia="Times New Roman" w:cs="Times New Roman"/>
                <w:noProof/>
                <w:sz w:val="16"/>
                <w:szCs w:val="16"/>
              </w:rPr>
            </w:pPr>
          </w:p>
        </w:tc>
        <w:tc>
          <w:tcPr>
            <w:tcW w:w="328" w:type="pct"/>
            <w:vMerge/>
          </w:tcPr>
          <w:p w14:paraId="442584F7" w14:textId="77777777" w:rsidR="00F47D0F" w:rsidRPr="00B44B19" w:rsidDel="00EA470D" w:rsidRDefault="00F47D0F" w:rsidP="00F47D0F">
            <w:pPr>
              <w:spacing w:after="0" w:line="240" w:lineRule="auto"/>
              <w:jc w:val="both"/>
              <w:rPr>
                <w:rFonts w:eastAsia="Times New Roman" w:cs="Times New Roman"/>
                <w:noProof/>
                <w:sz w:val="16"/>
                <w:szCs w:val="16"/>
              </w:rPr>
            </w:pPr>
          </w:p>
        </w:tc>
        <w:tc>
          <w:tcPr>
            <w:tcW w:w="281" w:type="pct"/>
            <w:vMerge/>
          </w:tcPr>
          <w:p w14:paraId="6E6AC308" w14:textId="77777777" w:rsidR="00F47D0F" w:rsidRPr="00B44B19" w:rsidDel="00EA470D" w:rsidRDefault="00F47D0F" w:rsidP="00F47D0F">
            <w:pPr>
              <w:spacing w:after="0" w:line="240" w:lineRule="auto"/>
              <w:jc w:val="both"/>
              <w:rPr>
                <w:rFonts w:eastAsia="Times New Roman" w:cs="Times New Roman"/>
                <w:noProof/>
                <w:sz w:val="16"/>
                <w:szCs w:val="16"/>
              </w:rPr>
            </w:pPr>
          </w:p>
        </w:tc>
        <w:tc>
          <w:tcPr>
            <w:tcW w:w="328" w:type="pct"/>
          </w:tcPr>
          <w:p w14:paraId="10C8F8CE" w14:textId="77777777" w:rsidR="00F47D0F" w:rsidRPr="00B44B19" w:rsidDel="00EA470D"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08FDA3B9"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sz w:val="16"/>
                <w:szCs w:val="16"/>
                <w:lang w:eastAsia="en-GB"/>
              </w:rPr>
              <w:t>Specialusis</w:t>
            </w:r>
          </w:p>
        </w:tc>
        <w:tc>
          <w:tcPr>
            <w:tcW w:w="1172" w:type="pct"/>
          </w:tcPr>
          <w:p w14:paraId="057E9C1E" w14:textId="77777777" w:rsidR="00F47D0F" w:rsidRPr="00B44B19" w:rsidDel="00EA470D" w:rsidRDefault="00F47D0F" w:rsidP="00F47D0F">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Asmenų, kurie po dalyvavimo</w:t>
            </w:r>
            <w:r w:rsidR="00B53DCF" w:rsidRPr="00B44B19">
              <w:rPr>
                <w:rFonts w:eastAsia="Times New Roman" w:cs="Times New Roman"/>
                <w:sz w:val="16"/>
                <w:szCs w:val="16"/>
                <w:lang w:eastAsia="lt-LT"/>
              </w:rPr>
              <w:t xml:space="preserve"> veiklose</w:t>
            </w:r>
            <w:r w:rsidRPr="00B44B19">
              <w:rPr>
                <w:rFonts w:eastAsia="Times New Roman" w:cs="Times New Roman"/>
                <w:sz w:val="16"/>
                <w:szCs w:val="16"/>
                <w:lang w:eastAsia="lt-LT"/>
              </w:rPr>
              <w:t xml:space="preserve"> įgijo arba patobulino profesinės rizikos vertinimo ir priežiūros (kontrolės) kompetencijas, dalis</w:t>
            </w:r>
          </w:p>
        </w:tc>
        <w:tc>
          <w:tcPr>
            <w:tcW w:w="328" w:type="pct"/>
          </w:tcPr>
          <w:p w14:paraId="6537EF4E" w14:textId="77777777" w:rsidR="00F47D0F" w:rsidRPr="00B44B19" w:rsidDel="00EA470D"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p>
        </w:tc>
        <w:tc>
          <w:tcPr>
            <w:tcW w:w="328" w:type="pct"/>
          </w:tcPr>
          <w:p w14:paraId="2DE47D52" w14:textId="77777777" w:rsidR="00F47D0F" w:rsidRPr="00B44B19" w:rsidRDefault="004E6FA3"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91</w:t>
            </w:r>
          </w:p>
        </w:tc>
        <w:tc>
          <w:tcPr>
            <w:tcW w:w="375" w:type="pct"/>
          </w:tcPr>
          <w:p w14:paraId="31A8818A"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2021</w:t>
            </w:r>
          </w:p>
        </w:tc>
        <w:tc>
          <w:tcPr>
            <w:tcW w:w="328" w:type="pct"/>
          </w:tcPr>
          <w:p w14:paraId="287E614D" w14:textId="77777777" w:rsidR="00F47D0F" w:rsidRPr="00B44B19" w:rsidRDefault="00F47D0F" w:rsidP="00F47D0F">
            <w:pPr>
              <w:spacing w:after="0" w:line="240" w:lineRule="auto"/>
              <w:jc w:val="center"/>
              <w:rPr>
                <w:rFonts w:eastAsia="Times New Roman" w:cs="Times New Roman"/>
                <w:noProof/>
                <w:sz w:val="16"/>
                <w:szCs w:val="16"/>
              </w:rPr>
            </w:pPr>
            <w:r w:rsidRPr="00B44B19">
              <w:rPr>
                <w:rFonts w:eastAsia="Times New Roman" w:cs="Times New Roman"/>
                <w:noProof/>
                <w:sz w:val="16"/>
                <w:szCs w:val="16"/>
              </w:rPr>
              <w:t>95</w:t>
            </w:r>
          </w:p>
        </w:tc>
        <w:tc>
          <w:tcPr>
            <w:tcW w:w="375" w:type="pct"/>
          </w:tcPr>
          <w:p w14:paraId="13679C78" w14:textId="77777777" w:rsidR="00F47D0F" w:rsidRPr="00B44B19" w:rsidRDefault="00F47D0F" w:rsidP="00F47D0F">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70" w:type="pct"/>
          </w:tcPr>
          <w:p w14:paraId="08EA64BD" w14:textId="77777777" w:rsidR="00F47D0F" w:rsidRPr="00B44B19" w:rsidRDefault="00F47D0F" w:rsidP="00F47D0F">
            <w:pPr>
              <w:spacing w:after="0" w:line="240" w:lineRule="auto"/>
              <w:jc w:val="both"/>
              <w:rPr>
                <w:rFonts w:eastAsia="Times New Roman" w:cs="Times New Roman"/>
                <w:b/>
                <w:noProof/>
                <w:sz w:val="16"/>
                <w:szCs w:val="16"/>
              </w:rPr>
            </w:pPr>
          </w:p>
        </w:tc>
      </w:tr>
    </w:tbl>
    <w:p w14:paraId="38FBB3E7" w14:textId="77777777" w:rsidR="00786CD2" w:rsidRPr="00B44B19" w:rsidRDefault="00786CD2" w:rsidP="00143D60">
      <w:pPr>
        <w:spacing w:after="0" w:line="240" w:lineRule="auto"/>
        <w:rPr>
          <w:rFonts w:eastAsia="Times New Roman" w:cs="Times New Roman"/>
          <w:b/>
          <w:iCs/>
          <w:noProof/>
          <w:szCs w:val="24"/>
          <w:lang w:eastAsia="lt-LT" w:bidi="lt-LT"/>
        </w:rPr>
      </w:pPr>
    </w:p>
    <w:p w14:paraId="2B317D1C" w14:textId="77777777" w:rsidR="00143D60" w:rsidRPr="00B44B19" w:rsidRDefault="00143D60" w:rsidP="00786CD2">
      <w:pPr>
        <w:spacing w:before="240" w:after="240" w:line="240" w:lineRule="auto"/>
        <w:jc w:val="both"/>
        <w:rPr>
          <w:rFonts w:eastAsia="Calibri" w:cs="Times New Roman"/>
          <w:b/>
          <w:noProof/>
          <w:szCs w:val="20"/>
          <w:lang w:eastAsia="lt-LT" w:bidi="lt-LT"/>
        </w:rPr>
        <w:sectPr w:rsidR="00143D60" w:rsidRPr="00B44B19" w:rsidSect="00931C78">
          <w:pgSz w:w="16838" w:h="11906" w:orient="landscape"/>
          <w:pgMar w:top="1701" w:right="1276" w:bottom="567" w:left="1134" w:header="567" w:footer="567" w:gutter="0"/>
          <w:cols w:space="1296"/>
          <w:docGrid w:linePitch="360"/>
        </w:sectPr>
      </w:pPr>
    </w:p>
    <w:p w14:paraId="24996CFF" w14:textId="77777777" w:rsidR="00344476" w:rsidRPr="00B44B19" w:rsidRDefault="00786CD2"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40"/>
        <w:tblW w:w="9889" w:type="dxa"/>
        <w:tblLook w:val="04A0" w:firstRow="1" w:lastRow="0" w:firstColumn="1" w:lastColumn="0" w:noHBand="0" w:noVBand="1"/>
      </w:tblPr>
      <w:tblGrid>
        <w:gridCol w:w="1101"/>
        <w:gridCol w:w="850"/>
        <w:gridCol w:w="1558"/>
        <w:gridCol w:w="1134"/>
        <w:gridCol w:w="3687"/>
        <w:gridCol w:w="1559"/>
      </w:tblGrid>
      <w:tr w:rsidR="004B6ADD" w:rsidRPr="00B44B19" w14:paraId="228360EE"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CF7339A" w14:textId="77777777" w:rsidR="004B6ADD" w:rsidRPr="00B44B19" w:rsidRDefault="004B6ADD" w:rsidP="004B6ADD">
            <w:pPr>
              <w:rPr>
                <w:b/>
                <w:iCs/>
                <w:noProof/>
                <w:sz w:val="20"/>
              </w:rPr>
            </w:pPr>
            <w:r w:rsidRPr="00B44B19">
              <w:rPr>
                <w:b/>
                <w:noProof/>
                <w:sz w:val="20"/>
              </w:rPr>
              <w:t>4 lentelė. 1 matmuo</w:t>
            </w:r>
            <w:r w:rsidR="001F6E55" w:rsidRPr="00B44B19">
              <w:rPr>
                <w:b/>
                <w:noProof/>
                <w:sz w:val="20"/>
              </w:rPr>
              <w:t>:</w:t>
            </w:r>
            <w:r w:rsidRPr="00B44B19">
              <w:rPr>
                <w:b/>
                <w:noProof/>
                <w:sz w:val="20"/>
              </w:rPr>
              <w:t xml:space="preserve"> </w:t>
            </w:r>
            <w:r w:rsidR="001F6E55" w:rsidRPr="00B44B19">
              <w:rPr>
                <w:b/>
                <w:noProof/>
                <w:sz w:val="20"/>
              </w:rPr>
              <w:t>i</w:t>
            </w:r>
            <w:r w:rsidRPr="00B44B19">
              <w:rPr>
                <w:b/>
                <w:noProof/>
                <w:sz w:val="20"/>
              </w:rPr>
              <w:t>ntervencinių priemonių sritis</w:t>
            </w:r>
          </w:p>
        </w:tc>
      </w:tr>
      <w:tr w:rsidR="004B6ADD" w:rsidRPr="00B44B19" w14:paraId="7E959C0D"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2A56F7" w14:textId="77777777" w:rsidR="004B6ADD" w:rsidRPr="00B44B19" w:rsidRDefault="004B6ADD" w:rsidP="004B6ADD">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5706AA" w14:textId="77777777" w:rsidR="004B6ADD" w:rsidRPr="00B44B19" w:rsidRDefault="004B6ADD" w:rsidP="004B6ADD">
            <w:pPr>
              <w:jc w:val="center"/>
              <w:rPr>
                <w:b/>
                <w:iCs/>
                <w:noProof/>
                <w:sz w:val="20"/>
              </w:rPr>
            </w:pPr>
            <w:r w:rsidRPr="00B44B19">
              <w:rPr>
                <w:b/>
                <w:noProof/>
                <w:sz w:val="20"/>
              </w:rPr>
              <w:t>Fondas</w:t>
            </w:r>
          </w:p>
        </w:tc>
        <w:tc>
          <w:tcPr>
            <w:tcW w:w="155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A785CA" w14:textId="77777777" w:rsidR="004B6ADD" w:rsidRPr="00B44B19" w:rsidRDefault="004B6ADD" w:rsidP="004B6ADD">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C49503" w14:textId="77777777" w:rsidR="004B6ADD" w:rsidRPr="00B44B19" w:rsidRDefault="004B6ADD" w:rsidP="004B6ADD">
            <w:pPr>
              <w:jc w:val="center"/>
              <w:rPr>
                <w:b/>
                <w:iCs/>
                <w:noProof/>
                <w:sz w:val="20"/>
              </w:rPr>
            </w:pPr>
            <w:r w:rsidRPr="00B44B19">
              <w:rPr>
                <w:b/>
                <w:noProof/>
                <w:sz w:val="20"/>
              </w:rPr>
              <w:t>Konkretus uždavinys</w:t>
            </w:r>
          </w:p>
        </w:tc>
        <w:tc>
          <w:tcPr>
            <w:tcW w:w="36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956D07" w14:textId="77777777" w:rsidR="004B6ADD" w:rsidRPr="00B44B19" w:rsidRDefault="004B6ADD" w:rsidP="004B6ADD">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8496AF" w14:textId="77777777" w:rsidR="004B6ADD" w:rsidRPr="00B44B19" w:rsidRDefault="004B6ADD" w:rsidP="004B6ADD">
            <w:pPr>
              <w:jc w:val="center"/>
              <w:rPr>
                <w:b/>
                <w:iCs/>
                <w:noProof/>
                <w:sz w:val="20"/>
              </w:rPr>
            </w:pPr>
            <w:r w:rsidRPr="00B44B19">
              <w:rPr>
                <w:b/>
                <w:noProof/>
                <w:sz w:val="20"/>
              </w:rPr>
              <w:t>Suma (EUR)</w:t>
            </w:r>
          </w:p>
        </w:tc>
      </w:tr>
      <w:tr w:rsidR="004B6ADD" w:rsidRPr="00B44B19" w14:paraId="35C6BC2F" w14:textId="77777777" w:rsidTr="00C4496A">
        <w:tc>
          <w:tcPr>
            <w:tcW w:w="1101" w:type="dxa"/>
            <w:vMerge w:val="restart"/>
            <w:tcBorders>
              <w:top w:val="single" w:sz="12" w:space="0" w:color="auto"/>
            </w:tcBorders>
          </w:tcPr>
          <w:p w14:paraId="4C908ED1" w14:textId="77777777" w:rsidR="004B6ADD" w:rsidRPr="00B44B19" w:rsidRDefault="004B6ADD" w:rsidP="004B6ADD">
            <w:pPr>
              <w:jc w:val="center"/>
              <w:rPr>
                <w:iCs/>
                <w:noProof/>
                <w:sz w:val="20"/>
              </w:rPr>
            </w:pPr>
            <w:r w:rsidRPr="00B44B19">
              <w:rPr>
                <w:iCs/>
                <w:noProof/>
                <w:sz w:val="20"/>
              </w:rPr>
              <w:t>4</w:t>
            </w:r>
          </w:p>
        </w:tc>
        <w:tc>
          <w:tcPr>
            <w:tcW w:w="850" w:type="dxa"/>
            <w:vMerge w:val="restart"/>
            <w:tcBorders>
              <w:top w:val="single" w:sz="12" w:space="0" w:color="auto"/>
            </w:tcBorders>
          </w:tcPr>
          <w:p w14:paraId="60C3B793" w14:textId="77777777" w:rsidR="004B6ADD" w:rsidRPr="00B44B19" w:rsidRDefault="004B6ADD" w:rsidP="004B6ADD">
            <w:pPr>
              <w:jc w:val="center"/>
              <w:rPr>
                <w:iCs/>
                <w:noProof/>
                <w:sz w:val="20"/>
              </w:rPr>
            </w:pPr>
            <w:r w:rsidRPr="00B44B19">
              <w:rPr>
                <w:iCs/>
                <w:noProof/>
                <w:sz w:val="20"/>
              </w:rPr>
              <w:t>ESF+</w:t>
            </w:r>
          </w:p>
        </w:tc>
        <w:tc>
          <w:tcPr>
            <w:tcW w:w="1558" w:type="dxa"/>
            <w:tcBorders>
              <w:top w:val="single" w:sz="12" w:space="0" w:color="auto"/>
            </w:tcBorders>
          </w:tcPr>
          <w:p w14:paraId="4F665F76" w14:textId="77777777" w:rsidR="004B6ADD" w:rsidRPr="00B44B19" w:rsidRDefault="004B6ADD" w:rsidP="004B6ADD">
            <w:pPr>
              <w:rPr>
                <w:iCs/>
                <w:noProof/>
                <w:sz w:val="20"/>
              </w:rPr>
            </w:pPr>
            <w:r w:rsidRPr="00B44B19">
              <w:rPr>
                <w:iCs/>
                <w:noProof/>
                <w:sz w:val="20"/>
              </w:rPr>
              <w:t>Sostinės regionas</w:t>
            </w:r>
          </w:p>
        </w:tc>
        <w:tc>
          <w:tcPr>
            <w:tcW w:w="1134" w:type="dxa"/>
            <w:vMerge w:val="restart"/>
            <w:tcBorders>
              <w:top w:val="single" w:sz="12" w:space="0" w:color="auto"/>
            </w:tcBorders>
          </w:tcPr>
          <w:p w14:paraId="256922A3" w14:textId="77777777" w:rsidR="004B6ADD" w:rsidRPr="00B44B19" w:rsidRDefault="004B6ADD" w:rsidP="004B6ADD">
            <w:pPr>
              <w:jc w:val="center"/>
              <w:rPr>
                <w:iCs/>
                <w:noProof/>
                <w:sz w:val="20"/>
              </w:rPr>
            </w:pPr>
            <w:r w:rsidRPr="00B44B19">
              <w:rPr>
                <w:iCs/>
                <w:noProof/>
                <w:sz w:val="20"/>
              </w:rPr>
              <w:t>4.1</w:t>
            </w:r>
          </w:p>
        </w:tc>
        <w:tc>
          <w:tcPr>
            <w:tcW w:w="3687" w:type="dxa"/>
            <w:vMerge w:val="restart"/>
            <w:tcBorders>
              <w:top w:val="single" w:sz="12" w:space="0" w:color="auto"/>
            </w:tcBorders>
          </w:tcPr>
          <w:p w14:paraId="4D6288DA" w14:textId="77777777" w:rsidR="004B6ADD" w:rsidRPr="00B44B19" w:rsidRDefault="004B6ADD" w:rsidP="004B6ADD">
            <w:pPr>
              <w:rPr>
                <w:iCs/>
                <w:noProof/>
                <w:sz w:val="20"/>
              </w:rPr>
            </w:pPr>
            <w:r w:rsidRPr="00B44B19">
              <w:rPr>
                <w:iCs/>
                <w:noProof/>
                <w:sz w:val="20"/>
              </w:rPr>
              <w:t xml:space="preserve">134 </w:t>
            </w:r>
            <w:r w:rsidR="001F6E55" w:rsidRPr="00B44B19">
              <w:rPr>
                <w:iCs/>
                <w:noProof/>
                <w:sz w:val="20"/>
              </w:rPr>
              <w:t>–</w:t>
            </w:r>
            <w:r w:rsidRPr="00B44B19">
              <w:rPr>
                <w:iCs/>
                <w:noProof/>
                <w:sz w:val="20"/>
              </w:rPr>
              <w:t xml:space="preserve"> Priemonės, kuriomis gerinamos galimybės įsidarbinti</w:t>
            </w:r>
          </w:p>
        </w:tc>
        <w:tc>
          <w:tcPr>
            <w:tcW w:w="1559" w:type="dxa"/>
            <w:tcBorders>
              <w:top w:val="single" w:sz="12" w:space="0" w:color="auto"/>
            </w:tcBorders>
          </w:tcPr>
          <w:p w14:paraId="5828F187" w14:textId="2917A4E5" w:rsidR="004B6ADD" w:rsidRPr="00B44B19" w:rsidRDefault="002664C7" w:rsidP="002664C7">
            <w:pPr>
              <w:jc w:val="right"/>
              <w:rPr>
                <w:iCs/>
                <w:noProof/>
                <w:sz w:val="20"/>
              </w:rPr>
            </w:pPr>
            <w:r w:rsidRPr="00B44B19">
              <w:rPr>
                <w:color w:val="000000"/>
                <w:sz w:val="20"/>
                <w:szCs w:val="20"/>
              </w:rPr>
              <w:t>14 638 042</w:t>
            </w:r>
            <w:r w:rsidR="004B6ADD" w:rsidRPr="00B44B19">
              <w:rPr>
                <w:iCs/>
                <w:noProof/>
                <w:sz w:val="20"/>
              </w:rPr>
              <w:t>,00</w:t>
            </w:r>
          </w:p>
        </w:tc>
      </w:tr>
      <w:tr w:rsidR="004B6ADD" w:rsidRPr="00B44B19" w14:paraId="1CAE4AF5" w14:textId="77777777" w:rsidTr="00C4496A">
        <w:tc>
          <w:tcPr>
            <w:tcW w:w="1101" w:type="dxa"/>
            <w:vMerge/>
          </w:tcPr>
          <w:p w14:paraId="242E1F62" w14:textId="77777777" w:rsidR="004B6ADD" w:rsidRPr="00B44B19" w:rsidRDefault="004B6ADD" w:rsidP="004B6ADD">
            <w:pPr>
              <w:jc w:val="center"/>
              <w:rPr>
                <w:iCs/>
                <w:noProof/>
                <w:sz w:val="20"/>
              </w:rPr>
            </w:pPr>
          </w:p>
        </w:tc>
        <w:tc>
          <w:tcPr>
            <w:tcW w:w="850" w:type="dxa"/>
            <w:vMerge/>
          </w:tcPr>
          <w:p w14:paraId="1876B0F2" w14:textId="77777777" w:rsidR="004B6ADD" w:rsidRPr="00B44B19" w:rsidRDefault="004B6ADD" w:rsidP="004B6ADD">
            <w:pPr>
              <w:jc w:val="center"/>
              <w:rPr>
                <w:iCs/>
                <w:noProof/>
                <w:sz w:val="20"/>
              </w:rPr>
            </w:pPr>
          </w:p>
        </w:tc>
        <w:tc>
          <w:tcPr>
            <w:tcW w:w="1558" w:type="dxa"/>
          </w:tcPr>
          <w:p w14:paraId="1C6EEC30" w14:textId="77777777" w:rsidR="004B6ADD" w:rsidRPr="00B44B19" w:rsidRDefault="004B6ADD" w:rsidP="004B6ADD">
            <w:pPr>
              <w:rPr>
                <w:iCs/>
                <w:noProof/>
                <w:sz w:val="20"/>
              </w:rPr>
            </w:pPr>
            <w:r w:rsidRPr="00B44B19">
              <w:rPr>
                <w:iCs/>
                <w:noProof/>
                <w:sz w:val="20"/>
              </w:rPr>
              <w:t>VVL regionas</w:t>
            </w:r>
          </w:p>
        </w:tc>
        <w:tc>
          <w:tcPr>
            <w:tcW w:w="1134" w:type="dxa"/>
            <w:vMerge/>
          </w:tcPr>
          <w:p w14:paraId="6667B0B9" w14:textId="77777777" w:rsidR="004B6ADD" w:rsidRPr="00B44B19" w:rsidRDefault="004B6ADD" w:rsidP="004B6ADD">
            <w:pPr>
              <w:jc w:val="center"/>
              <w:rPr>
                <w:iCs/>
                <w:noProof/>
                <w:sz w:val="20"/>
              </w:rPr>
            </w:pPr>
          </w:p>
        </w:tc>
        <w:tc>
          <w:tcPr>
            <w:tcW w:w="3687" w:type="dxa"/>
            <w:vMerge/>
          </w:tcPr>
          <w:p w14:paraId="32F38765" w14:textId="77777777" w:rsidR="004B6ADD" w:rsidRPr="00B44B19" w:rsidRDefault="004B6ADD" w:rsidP="004B6ADD">
            <w:pPr>
              <w:rPr>
                <w:iCs/>
                <w:noProof/>
                <w:sz w:val="20"/>
              </w:rPr>
            </w:pPr>
          </w:p>
        </w:tc>
        <w:tc>
          <w:tcPr>
            <w:tcW w:w="1559" w:type="dxa"/>
          </w:tcPr>
          <w:p w14:paraId="439DED88" w14:textId="0B1DAED9" w:rsidR="004B6ADD" w:rsidRPr="00B44B19" w:rsidRDefault="002664C7" w:rsidP="002664C7">
            <w:pPr>
              <w:jc w:val="right"/>
              <w:rPr>
                <w:iCs/>
                <w:noProof/>
                <w:sz w:val="20"/>
              </w:rPr>
            </w:pPr>
            <w:r w:rsidRPr="00B44B19">
              <w:rPr>
                <w:color w:val="000000"/>
                <w:sz w:val="20"/>
                <w:szCs w:val="20"/>
              </w:rPr>
              <w:t>158 343 928</w:t>
            </w:r>
            <w:r w:rsidR="004B6ADD" w:rsidRPr="00B44B19">
              <w:rPr>
                <w:iCs/>
                <w:noProof/>
                <w:sz w:val="20"/>
              </w:rPr>
              <w:t>,00</w:t>
            </w:r>
          </w:p>
        </w:tc>
      </w:tr>
      <w:tr w:rsidR="004B6ADD" w:rsidRPr="00B44B19" w14:paraId="5B24C51C" w14:textId="77777777" w:rsidTr="00C4496A">
        <w:tc>
          <w:tcPr>
            <w:tcW w:w="1101" w:type="dxa"/>
            <w:vMerge/>
          </w:tcPr>
          <w:p w14:paraId="657E5698" w14:textId="77777777" w:rsidR="004B6ADD" w:rsidRPr="00B44B19" w:rsidRDefault="004B6ADD" w:rsidP="004B6ADD">
            <w:pPr>
              <w:jc w:val="center"/>
              <w:rPr>
                <w:iCs/>
                <w:noProof/>
                <w:sz w:val="20"/>
              </w:rPr>
            </w:pPr>
          </w:p>
        </w:tc>
        <w:tc>
          <w:tcPr>
            <w:tcW w:w="850" w:type="dxa"/>
            <w:vMerge/>
          </w:tcPr>
          <w:p w14:paraId="3ACCEAE6" w14:textId="77777777" w:rsidR="004B6ADD" w:rsidRPr="00B44B19" w:rsidRDefault="004B6ADD" w:rsidP="004B6ADD">
            <w:pPr>
              <w:jc w:val="center"/>
              <w:rPr>
                <w:iCs/>
                <w:noProof/>
                <w:sz w:val="20"/>
              </w:rPr>
            </w:pPr>
          </w:p>
        </w:tc>
        <w:tc>
          <w:tcPr>
            <w:tcW w:w="1558" w:type="dxa"/>
          </w:tcPr>
          <w:p w14:paraId="625C3FB0" w14:textId="77777777" w:rsidR="004B6ADD" w:rsidRPr="00B44B19" w:rsidRDefault="004B6ADD" w:rsidP="004B6ADD">
            <w:pPr>
              <w:rPr>
                <w:iCs/>
                <w:noProof/>
                <w:sz w:val="20"/>
              </w:rPr>
            </w:pPr>
            <w:r w:rsidRPr="00B44B19">
              <w:rPr>
                <w:iCs/>
                <w:noProof/>
                <w:sz w:val="20"/>
              </w:rPr>
              <w:t>Sostinės regionas</w:t>
            </w:r>
          </w:p>
        </w:tc>
        <w:tc>
          <w:tcPr>
            <w:tcW w:w="1134" w:type="dxa"/>
            <w:vMerge/>
          </w:tcPr>
          <w:p w14:paraId="08041D61" w14:textId="77777777" w:rsidR="004B6ADD" w:rsidRPr="00B44B19" w:rsidRDefault="004B6ADD" w:rsidP="004B6ADD">
            <w:pPr>
              <w:jc w:val="center"/>
              <w:rPr>
                <w:iCs/>
                <w:noProof/>
                <w:sz w:val="20"/>
              </w:rPr>
            </w:pPr>
          </w:p>
        </w:tc>
        <w:tc>
          <w:tcPr>
            <w:tcW w:w="3687" w:type="dxa"/>
            <w:vMerge w:val="restart"/>
          </w:tcPr>
          <w:p w14:paraId="20E7CEEF" w14:textId="77777777" w:rsidR="004B6ADD" w:rsidRPr="00B44B19" w:rsidRDefault="004B6ADD" w:rsidP="004B6ADD">
            <w:pPr>
              <w:rPr>
                <w:iCs/>
                <w:noProof/>
                <w:sz w:val="20"/>
              </w:rPr>
            </w:pPr>
            <w:r w:rsidRPr="00B44B19">
              <w:rPr>
                <w:iCs/>
                <w:noProof/>
                <w:sz w:val="20"/>
              </w:rPr>
              <w:t xml:space="preserve">136 </w:t>
            </w:r>
            <w:r w:rsidR="001F6E55" w:rsidRPr="00B44B19">
              <w:rPr>
                <w:iCs/>
                <w:noProof/>
                <w:sz w:val="20"/>
              </w:rPr>
              <w:t>–</w:t>
            </w:r>
            <w:r w:rsidRPr="00B44B19">
              <w:rPr>
                <w:iCs/>
                <w:noProof/>
                <w:sz w:val="20"/>
              </w:rPr>
              <w:t xml:space="preserve"> Specialioji parama jaunimo užimtumui ir jaunimo socioekonominei integracijai</w:t>
            </w:r>
          </w:p>
        </w:tc>
        <w:tc>
          <w:tcPr>
            <w:tcW w:w="1559" w:type="dxa"/>
          </w:tcPr>
          <w:p w14:paraId="77FA5F3E" w14:textId="77777777" w:rsidR="004B6ADD" w:rsidRPr="00B44B19" w:rsidRDefault="004B6ADD" w:rsidP="00C4496A">
            <w:pPr>
              <w:jc w:val="right"/>
              <w:rPr>
                <w:iCs/>
                <w:noProof/>
                <w:sz w:val="20"/>
              </w:rPr>
            </w:pPr>
            <w:r w:rsidRPr="00B44B19">
              <w:rPr>
                <w:iCs/>
                <w:noProof/>
                <w:sz w:val="20"/>
              </w:rPr>
              <w:t>3 793 434,00</w:t>
            </w:r>
          </w:p>
        </w:tc>
      </w:tr>
      <w:tr w:rsidR="004B6ADD" w:rsidRPr="00B44B19" w14:paraId="1E66C582" w14:textId="77777777" w:rsidTr="00C4496A">
        <w:tc>
          <w:tcPr>
            <w:tcW w:w="1101" w:type="dxa"/>
            <w:vMerge/>
          </w:tcPr>
          <w:p w14:paraId="2CAA991E" w14:textId="77777777" w:rsidR="004B6ADD" w:rsidRPr="00B44B19" w:rsidRDefault="004B6ADD" w:rsidP="004B6ADD">
            <w:pPr>
              <w:jc w:val="center"/>
              <w:rPr>
                <w:iCs/>
                <w:noProof/>
                <w:sz w:val="20"/>
              </w:rPr>
            </w:pPr>
          </w:p>
        </w:tc>
        <w:tc>
          <w:tcPr>
            <w:tcW w:w="850" w:type="dxa"/>
            <w:vMerge/>
          </w:tcPr>
          <w:p w14:paraId="27C0D47D" w14:textId="77777777" w:rsidR="004B6ADD" w:rsidRPr="00B44B19" w:rsidRDefault="004B6ADD" w:rsidP="004B6ADD">
            <w:pPr>
              <w:jc w:val="center"/>
              <w:rPr>
                <w:iCs/>
                <w:noProof/>
                <w:sz w:val="20"/>
              </w:rPr>
            </w:pPr>
          </w:p>
        </w:tc>
        <w:tc>
          <w:tcPr>
            <w:tcW w:w="1558" w:type="dxa"/>
          </w:tcPr>
          <w:p w14:paraId="2BA488EB" w14:textId="77777777" w:rsidR="004B6ADD" w:rsidRPr="00B44B19" w:rsidRDefault="004B6ADD" w:rsidP="004B6ADD">
            <w:pPr>
              <w:rPr>
                <w:iCs/>
                <w:noProof/>
                <w:sz w:val="20"/>
              </w:rPr>
            </w:pPr>
            <w:r w:rsidRPr="00B44B19">
              <w:rPr>
                <w:iCs/>
                <w:noProof/>
                <w:sz w:val="20"/>
              </w:rPr>
              <w:t>VVL regionas</w:t>
            </w:r>
          </w:p>
        </w:tc>
        <w:tc>
          <w:tcPr>
            <w:tcW w:w="1134" w:type="dxa"/>
            <w:vMerge/>
          </w:tcPr>
          <w:p w14:paraId="62255A1D" w14:textId="77777777" w:rsidR="004B6ADD" w:rsidRPr="00B44B19" w:rsidRDefault="004B6ADD" w:rsidP="004B6ADD">
            <w:pPr>
              <w:jc w:val="center"/>
              <w:rPr>
                <w:iCs/>
                <w:noProof/>
                <w:sz w:val="20"/>
              </w:rPr>
            </w:pPr>
          </w:p>
        </w:tc>
        <w:tc>
          <w:tcPr>
            <w:tcW w:w="3687" w:type="dxa"/>
            <w:vMerge/>
          </w:tcPr>
          <w:p w14:paraId="4DFEF3F5" w14:textId="77777777" w:rsidR="004B6ADD" w:rsidRPr="00B44B19" w:rsidRDefault="004B6ADD" w:rsidP="004B6ADD">
            <w:pPr>
              <w:rPr>
                <w:iCs/>
                <w:noProof/>
                <w:sz w:val="20"/>
              </w:rPr>
            </w:pPr>
          </w:p>
        </w:tc>
        <w:tc>
          <w:tcPr>
            <w:tcW w:w="1559" w:type="dxa"/>
          </w:tcPr>
          <w:p w14:paraId="48E1EDA6" w14:textId="77777777" w:rsidR="004B6ADD" w:rsidRPr="00B44B19" w:rsidRDefault="004B6ADD" w:rsidP="00C4496A">
            <w:pPr>
              <w:jc w:val="right"/>
              <w:rPr>
                <w:iCs/>
                <w:noProof/>
                <w:sz w:val="20"/>
              </w:rPr>
            </w:pPr>
            <w:r w:rsidRPr="00B44B19">
              <w:rPr>
                <w:iCs/>
                <w:noProof/>
                <w:sz w:val="20"/>
              </w:rPr>
              <w:t>39 881 197,00</w:t>
            </w:r>
          </w:p>
        </w:tc>
      </w:tr>
      <w:tr w:rsidR="004B6ADD" w:rsidRPr="00B44B19" w14:paraId="3C7B9AEB" w14:textId="77777777" w:rsidTr="00C4496A">
        <w:tc>
          <w:tcPr>
            <w:tcW w:w="1101" w:type="dxa"/>
            <w:vMerge/>
          </w:tcPr>
          <w:p w14:paraId="67B3DBA6" w14:textId="77777777" w:rsidR="004B6ADD" w:rsidRPr="00B44B19" w:rsidRDefault="004B6ADD" w:rsidP="004B6ADD">
            <w:pPr>
              <w:jc w:val="center"/>
              <w:rPr>
                <w:iCs/>
                <w:noProof/>
                <w:sz w:val="20"/>
              </w:rPr>
            </w:pPr>
          </w:p>
        </w:tc>
        <w:tc>
          <w:tcPr>
            <w:tcW w:w="850" w:type="dxa"/>
            <w:vMerge/>
          </w:tcPr>
          <w:p w14:paraId="79FE5DD2" w14:textId="77777777" w:rsidR="004B6ADD" w:rsidRPr="00B44B19" w:rsidRDefault="004B6ADD" w:rsidP="004B6ADD">
            <w:pPr>
              <w:jc w:val="center"/>
              <w:rPr>
                <w:iCs/>
                <w:noProof/>
                <w:sz w:val="20"/>
              </w:rPr>
            </w:pPr>
          </w:p>
        </w:tc>
        <w:tc>
          <w:tcPr>
            <w:tcW w:w="1558" w:type="dxa"/>
          </w:tcPr>
          <w:p w14:paraId="2E623E6C" w14:textId="77777777" w:rsidR="004B6ADD" w:rsidRPr="00B44B19" w:rsidRDefault="004B6ADD" w:rsidP="004B6ADD">
            <w:pPr>
              <w:rPr>
                <w:iCs/>
                <w:noProof/>
                <w:sz w:val="20"/>
              </w:rPr>
            </w:pPr>
            <w:r w:rsidRPr="00B44B19">
              <w:rPr>
                <w:iCs/>
                <w:noProof/>
                <w:sz w:val="20"/>
              </w:rPr>
              <w:t>Sostinės regionas</w:t>
            </w:r>
          </w:p>
        </w:tc>
        <w:tc>
          <w:tcPr>
            <w:tcW w:w="1134" w:type="dxa"/>
            <w:vMerge/>
          </w:tcPr>
          <w:p w14:paraId="0A0175E7" w14:textId="77777777" w:rsidR="004B6ADD" w:rsidRPr="00B44B19" w:rsidRDefault="004B6ADD" w:rsidP="004B6ADD">
            <w:pPr>
              <w:jc w:val="center"/>
              <w:rPr>
                <w:iCs/>
                <w:noProof/>
                <w:sz w:val="20"/>
              </w:rPr>
            </w:pPr>
          </w:p>
        </w:tc>
        <w:tc>
          <w:tcPr>
            <w:tcW w:w="3687" w:type="dxa"/>
            <w:vMerge w:val="restart"/>
          </w:tcPr>
          <w:p w14:paraId="7514C906" w14:textId="77777777" w:rsidR="004B6ADD" w:rsidRPr="00B44B19" w:rsidRDefault="004B6ADD" w:rsidP="004B6ADD">
            <w:pPr>
              <w:rPr>
                <w:iCs/>
                <w:noProof/>
                <w:sz w:val="20"/>
              </w:rPr>
            </w:pPr>
            <w:r w:rsidRPr="00B44B19">
              <w:rPr>
                <w:iCs/>
                <w:noProof/>
                <w:sz w:val="20"/>
              </w:rPr>
              <w:t xml:space="preserve">137 </w:t>
            </w:r>
            <w:r w:rsidR="001F6E55" w:rsidRPr="00B44B19">
              <w:rPr>
                <w:iCs/>
                <w:noProof/>
                <w:sz w:val="20"/>
              </w:rPr>
              <w:t>–</w:t>
            </w:r>
            <w:r w:rsidRPr="00B44B19">
              <w:rPr>
                <w:iCs/>
                <w:noProof/>
                <w:sz w:val="20"/>
              </w:rPr>
              <w:t xml:space="preserve"> Parama savarankiškam darbui ir verslo startuoliams</w:t>
            </w:r>
          </w:p>
        </w:tc>
        <w:tc>
          <w:tcPr>
            <w:tcW w:w="1559" w:type="dxa"/>
          </w:tcPr>
          <w:p w14:paraId="3970EE88" w14:textId="77777777" w:rsidR="004B6ADD" w:rsidRPr="00B44B19" w:rsidRDefault="004B6ADD" w:rsidP="00C4496A">
            <w:pPr>
              <w:jc w:val="right"/>
              <w:rPr>
                <w:iCs/>
                <w:noProof/>
                <w:sz w:val="20"/>
              </w:rPr>
            </w:pPr>
            <w:r w:rsidRPr="00B44B19">
              <w:rPr>
                <w:iCs/>
                <w:noProof/>
                <w:sz w:val="20"/>
              </w:rPr>
              <w:t>922 115,00</w:t>
            </w:r>
          </w:p>
        </w:tc>
      </w:tr>
      <w:tr w:rsidR="004B6ADD" w:rsidRPr="00B44B19" w14:paraId="58A9B4DB" w14:textId="77777777" w:rsidTr="00C4496A">
        <w:tc>
          <w:tcPr>
            <w:tcW w:w="1101" w:type="dxa"/>
            <w:vMerge/>
          </w:tcPr>
          <w:p w14:paraId="6CF2F618" w14:textId="77777777" w:rsidR="004B6ADD" w:rsidRPr="00B44B19" w:rsidRDefault="004B6ADD" w:rsidP="004B6ADD">
            <w:pPr>
              <w:jc w:val="center"/>
              <w:rPr>
                <w:iCs/>
                <w:noProof/>
                <w:sz w:val="20"/>
              </w:rPr>
            </w:pPr>
          </w:p>
        </w:tc>
        <w:tc>
          <w:tcPr>
            <w:tcW w:w="850" w:type="dxa"/>
            <w:vMerge/>
          </w:tcPr>
          <w:p w14:paraId="3FD7F6EC" w14:textId="77777777" w:rsidR="004B6ADD" w:rsidRPr="00B44B19" w:rsidRDefault="004B6ADD" w:rsidP="004B6ADD">
            <w:pPr>
              <w:jc w:val="center"/>
              <w:rPr>
                <w:iCs/>
                <w:noProof/>
                <w:sz w:val="20"/>
              </w:rPr>
            </w:pPr>
          </w:p>
        </w:tc>
        <w:tc>
          <w:tcPr>
            <w:tcW w:w="1558" w:type="dxa"/>
          </w:tcPr>
          <w:p w14:paraId="5B288D7B" w14:textId="77777777" w:rsidR="004B6ADD" w:rsidRPr="00B44B19" w:rsidRDefault="004B6ADD" w:rsidP="004B6ADD">
            <w:pPr>
              <w:rPr>
                <w:iCs/>
                <w:noProof/>
                <w:sz w:val="20"/>
              </w:rPr>
            </w:pPr>
            <w:r w:rsidRPr="00B44B19">
              <w:rPr>
                <w:iCs/>
                <w:noProof/>
                <w:sz w:val="20"/>
              </w:rPr>
              <w:t>VVL regionas</w:t>
            </w:r>
          </w:p>
        </w:tc>
        <w:tc>
          <w:tcPr>
            <w:tcW w:w="1134" w:type="dxa"/>
            <w:vMerge/>
          </w:tcPr>
          <w:p w14:paraId="3DC8880B" w14:textId="77777777" w:rsidR="004B6ADD" w:rsidRPr="00B44B19" w:rsidRDefault="004B6ADD" w:rsidP="004B6ADD">
            <w:pPr>
              <w:jc w:val="center"/>
              <w:rPr>
                <w:iCs/>
                <w:noProof/>
                <w:sz w:val="20"/>
              </w:rPr>
            </w:pPr>
          </w:p>
        </w:tc>
        <w:tc>
          <w:tcPr>
            <w:tcW w:w="3687" w:type="dxa"/>
            <w:vMerge/>
          </w:tcPr>
          <w:p w14:paraId="5117D819" w14:textId="77777777" w:rsidR="004B6ADD" w:rsidRPr="00B44B19" w:rsidRDefault="004B6ADD" w:rsidP="004B6ADD">
            <w:pPr>
              <w:rPr>
                <w:iCs/>
                <w:noProof/>
                <w:sz w:val="20"/>
              </w:rPr>
            </w:pPr>
          </w:p>
        </w:tc>
        <w:tc>
          <w:tcPr>
            <w:tcW w:w="1559" w:type="dxa"/>
          </w:tcPr>
          <w:p w14:paraId="1ACA2993" w14:textId="77777777" w:rsidR="004B6ADD" w:rsidRPr="00B44B19" w:rsidRDefault="004B6ADD" w:rsidP="00C4496A">
            <w:pPr>
              <w:jc w:val="right"/>
              <w:rPr>
                <w:iCs/>
                <w:noProof/>
                <w:sz w:val="20"/>
              </w:rPr>
            </w:pPr>
            <w:r w:rsidRPr="00B44B19">
              <w:rPr>
                <w:iCs/>
                <w:noProof/>
                <w:sz w:val="20"/>
              </w:rPr>
              <w:t>6 777 085,00</w:t>
            </w:r>
          </w:p>
        </w:tc>
      </w:tr>
      <w:tr w:rsidR="004B6ADD" w:rsidRPr="00B44B19" w14:paraId="06BE1B90" w14:textId="77777777" w:rsidTr="00C4496A">
        <w:tc>
          <w:tcPr>
            <w:tcW w:w="1101" w:type="dxa"/>
            <w:vMerge/>
          </w:tcPr>
          <w:p w14:paraId="018C2834" w14:textId="77777777" w:rsidR="004B6ADD" w:rsidRPr="00B44B19" w:rsidRDefault="004B6ADD" w:rsidP="004B6ADD">
            <w:pPr>
              <w:jc w:val="center"/>
              <w:rPr>
                <w:iCs/>
                <w:noProof/>
                <w:sz w:val="20"/>
              </w:rPr>
            </w:pPr>
          </w:p>
        </w:tc>
        <w:tc>
          <w:tcPr>
            <w:tcW w:w="850" w:type="dxa"/>
            <w:vMerge/>
          </w:tcPr>
          <w:p w14:paraId="78EF02EB" w14:textId="77777777" w:rsidR="004B6ADD" w:rsidRPr="00B44B19" w:rsidRDefault="004B6ADD" w:rsidP="004B6ADD">
            <w:pPr>
              <w:jc w:val="center"/>
              <w:rPr>
                <w:iCs/>
                <w:noProof/>
                <w:sz w:val="20"/>
              </w:rPr>
            </w:pPr>
          </w:p>
        </w:tc>
        <w:tc>
          <w:tcPr>
            <w:tcW w:w="1558" w:type="dxa"/>
          </w:tcPr>
          <w:p w14:paraId="044FDBC6" w14:textId="77777777" w:rsidR="004B6ADD" w:rsidRPr="00B44B19" w:rsidRDefault="004B6ADD" w:rsidP="004B6ADD">
            <w:pPr>
              <w:rPr>
                <w:iCs/>
                <w:noProof/>
                <w:sz w:val="20"/>
              </w:rPr>
            </w:pPr>
            <w:r w:rsidRPr="00B44B19">
              <w:rPr>
                <w:iCs/>
                <w:noProof/>
                <w:sz w:val="20"/>
              </w:rPr>
              <w:t>Sostinės regionas</w:t>
            </w:r>
          </w:p>
        </w:tc>
        <w:tc>
          <w:tcPr>
            <w:tcW w:w="1134" w:type="dxa"/>
            <w:vMerge/>
          </w:tcPr>
          <w:p w14:paraId="06AEF740" w14:textId="77777777" w:rsidR="004B6ADD" w:rsidRPr="00B44B19" w:rsidRDefault="004B6ADD" w:rsidP="004B6ADD">
            <w:pPr>
              <w:jc w:val="center"/>
              <w:rPr>
                <w:iCs/>
                <w:noProof/>
                <w:sz w:val="20"/>
              </w:rPr>
            </w:pPr>
          </w:p>
        </w:tc>
        <w:tc>
          <w:tcPr>
            <w:tcW w:w="3687" w:type="dxa"/>
            <w:vMerge w:val="restart"/>
          </w:tcPr>
          <w:p w14:paraId="01500E32" w14:textId="77777777" w:rsidR="004B6ADD" w:rsidRPr="00B44B19" w:rsidRDefault="004B6ADD" w:rsidP="004B6ADD">
            <w:pPr>
              <w:rPr>
                <w:iCs/>
                <w:noProof/>
                <w:sz w:val="20"/>
              </w:rPr>
            </w:pPr>
            <w:r w:rsidRPr="00B44B19">
              <w:rPr>
                <w:iCs/>
                <w:noProof/>
                <w:sz w:val="20"/>
              </w:rPr>
              <w:t xml:space="preserve">144 </w:t>
            </w:r>
            <w:r w:rsidR="001F6E55" w:rsidRPr="00B44B19">
              <w:rPr>
                <w:iCs/>
                <w:noProof/>
                <w:sz w:val="20"/>
              </w:rPr>
              <w:t>–</w:t>
            </w:r>
            <w:r w:rsidRPr="00B44B19">
              <w:rPr>
                <w:iCs/>
                <w:noProof/>
                <w:sz w:val="20"/>
              </w:rPr>
              <w:t xml:space="preserve"> Sveikos ir gerai pritaikytos darbo aplinkos priemonės, skirtos sveikatos sutrikimo rizikai mažinti, įskaitant fizinio aktyvumo skatinimą</w:t>
            </w:r>
          </w:p>
        </w:tc>
        <w:tc>
          <w:tcPr>
            <w:tcW w:w="1559" w:type="dxa"/>
          </w:tcPr>
          <w:p w14:paraId="773D53A0" w14:textId="77777777" w:rsidR="004B6ADD" w:rsidRPr="00B44B19" w:rsidRDefault="004B6ADD" w:rsidP="00C4496A">
            <w:pPr>
              <w:jc w:val="right"/>
              <w:rPr>
                <w:iCs/>
                <w:noProof/>
                <w:sz w:val="20"/>
              </w:rPr>
            </w:pPr>
            <w:r w:rsidRPr="00B44B19">
              <w:rPr>
                <w:iCs/>
                <w:noProof/>
                <w:sz w:val="20"/>
              </w:rPr>
              <w:t>490 000,00</w:t>
            </w:r>
          </w:p>
        </w:tc>
      </w:tr>
      <w:tr w:rsidR="004B6ADD" w:rsidRPr="00B44B19" w14:paraId="28966A28" w14:textId="77777777" w:rsidTr="00C4496A">
        <w:tc>
          <w:tcPr>
            <w:tcW w:w="1101" w:type="dxa"/>
            <w:vMerge/>
          </w:tcPr>
          <w:p w14:paraId="46341AAF" w14:textId="77777777" w:rsidR="004B6ADD" w:rsidRPr="00B44B19" w:rsidRDefault="004B6ADD" w:rsidP="004B6ADD">
            <w:pPr>
              <w:jc w:val="center"/>
              <w:rPr>
                <w:iCs/>
                <w:noProof/>
                <w:sz w:val="20"/>
              </w:rPr>
            </w:pPr>
          </w:p>
        </w:tc>
        <w:tc>
          <w:tcPr>
            <w:tcW w:w="850" w:type="dxa"/>
            <w:vMerge/>
          </w:tcPr>
          <w:p w14:paraId="57F08E54" w14:textId="77777777" w:rsidR="004B6ADD" w:rsidRPr="00B44B19" w:rsidRDefault="004B6ADD" w:rsidP="004B6ADD">
            <w:pPr>
              <w:jc w:val="center"/>
              <w:rPr>
                <w:iCs/>
                <w:noProof/>
                <w:sz w:val="20"/>
              </w:rPr>
            </w:pPr>
          </w:p>
        </w:tc>
        <w:tc>
          <w:tcPr>
            <w:tcW w:w="1558" w:type="dxa"/>
          </w:tcPr>
          <w:p w14:paraId="429115CA" w14:textId="77777777" w:rsidR="004B6ADD" w:rsidRPr="00B44B19" w:rsidRDefault="004B6ADD" w:rsidP="004B6ADD">
            <w:pPr>
              <w:rPr>
                <w:iCs/>
                <w:noProof/>
                <w:sz w:val="20"/>
              </w:rPr>
            </w:pPr>
            <w:r w:rsidRPr="00B44B19">
              <w:rPr>
                <w:iCs/>
                <w:noProof/>
                <w:sz w:val="20"/>
              </w:rPr>
              <w:t>VVL regionas</w:t>
            </w:r>
          </w:p>
        </w:tc>
        <w:tc>
          <w:tcPr>
            <w:tcW w:w="1134" w:type="dxa"/>
            <w:vMerge/>
          </w:tcPr>
          <w:p w14:paraId="52FDC817" w14:textId="77777777" w:rsidR="004B6ADD" w:rsidRPr="00B44B19" w:rsidRDefault="004B6ADD" w:rsidP="004B6ADD">
            <w:pPr>
              <w:jc w:val="center"/>
              <w:rPr>
                <w:iCs/>
                <w:noProof/>
                <w:sz w:val="20"/>
              </w:rPr>
            </w:pPr>
          </w:p>
        </w:tc>
        <w:tc>
          <w:tcPr>
            <w:tcW w:w="3687" w:type="dxa"/>
            <w:vMerge/>
          </w:tcPr>
          <w:p w14:paraId="6CF1EECC" w14:textId="77777777" w:rsidR="004B6ADD" w:rsidRPr="00B44B19" w:rsidRDefault="004B6ADD" w:rsidP="004B6ADD">
            <w:pPr>
              <w:jc w:val="center"/>
              <w:rPr>
                <w:iCs/>
                <w:noProof/>
                <w:sz w:val="20"/>
              </w:rPr>
            </w:pPr>
          </w:p>
        </w:tc>
        <w:tc>
          <w:tcPr>
            <w:tcW w:w="1559" w:type="dxa"/>
          </w:tcPr>
          <w:p w14:paraId="1862FD26" w14:textId="77777777" w:rsidR="004B6ADD" w:rsidRPr="00B44B19" w:rsidRDefault="004B6ADD" w:rsidP="00C4496A">
            <w:pPr>
              <w:jc w:val="right"/>
              <w:rPr>
                <w:iCs/>
                <w:noProof/>
                <w:sz w:val="20"/>
              </w:rPr>
            </w:pPr>
            <w:r w:rsidRPr="00B44B19">
              <w:rPr>
                <w:iCs/>
                <w:noProof/>
                <w:sz w:val="20"/>
              </w:rPr>
              <w:t>1 075 250,00</w:t>
            </w:r>
          </w:p>
        </w:tc>
      </w:tr>
    </w:tbl>
    <w:p w14:paraId="2D7341B8" w14:textId="77777777" w:rsidR="004B6ADD" w:rsidRPr="00B44B19" w:rsidRDefault="004B6ADD" w:rsidP="00C4496A">
      <w:pPr>
        <w:spacing w:after="0" w:line="240" w:lineRule="auto"/>
        <w:rPr>
          <w:rFonts w:eastAsia="Times New Roman" w:cs="Times New Roman"/>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B44B19" w14:paraId="3E818E70"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9AD0ABC" w14:textId="77777777" w:rsidR="004B6ADD" w:rsidRPr="00B44B19" w:rsidRDefault="004B6ADD" w:rsidP="001F6E55">
            <w:pPr>
              <w:rPr>
                <w:b/>
                <w:iCs/>
                <w:noProof/>
                <w:sz w:val="20"/>
              </w:rPr>
            </w:pPr>
            <w:r w:rsidRPr="00B44B19">
              <w:rPr>
                <w:b/>
                <w:noProof/>
                <w:sz w:val="20"/>
              </w:rPr>
              <w:t>5 lentelė. 2 matmuo</w:t>
            </w:r>
            <w:r w:rsidR="001F6E55" w:rsidRPr="00B44B19">
              <w:rPr>
                <w:b/>
                <w:noProof/>
                <w:sz w:val="20"/>
              </w:rPr>
              <w:t>:</w:t>
            </w:r>
            <w:r w:rsidRPr="00B44B19">
              <w:rPr>
                <w:b/>
                <w:noProof/>
                <w:sz w:val="20"/>
              </w:rPr>
              <w:t xml:space="preserve"> </w:t>
            </w:r>
            <w:r w:rsidR="001F6E55" w:rsidRPr="00B44B19">
              <w:rPr>
                <w:b/>
                <w:noProof/>
                <w:sz w:val="20"/>
              </w:rPr>
              <w:t>f</w:t>
            </w:r>
            <w:r w:rsidR="00897CCA" w:rsidRPr="00B44B19">
              <w:rPr>
                <w:b/>
                <w:noProof/>
                <w:sz w:val="20"/>
              </w:rPr>
              <w:t>inansavimo</w:t>
            </w:r>
            <w:r w:rsidR="0007617D" w:rsidRPr="00B44B19">
              <w:rPr>
                <w:b/>
                <w:noProof/>
                <w:sz w:val="20"/>
              </w:rPr>
              <w:t xml:space="preserve"> </w:t>
            </w:r>
            <w:r w:rsidRPr="00B44B19">
              <w:rPr>
                <w:b/>
                <w:noProof/>
                <w:sz w:val="20"/>
              </w:rPr>
              <w:t>forma</w:t>
            </w:r>
          </w:p>
        </w:tc>
      </w:tr>
      <w:tr w:rsidR="004B6ADD" w:rsidRPr="00B44B19" w14:paraId="17F514A8" w14:textId="77777777"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4224C0" w14:textId="77777777" w:rsidR="004B6ADD" w:rsidRPr="00B44B19" w:rsidRDefault="004B6ADD" w:rsidP="004B6ADD">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8886DC" w14:textId="77777777" w:rsidR="004B6ADD" w:rsidRPr="00B44B19" w:rsidRDefault="004B6ADD" w:rsidP="004B6ADD">
            <w:pPr>
              <w:jc w:val="center"/>
              <w:rPr>
                <w:b/>
                <w:iCs/>
                <w:noProof/>
                <w:sz w:val="20"/>
              </w:rPr>
            </w:pPr>
            <w:r w:rsidRPr="00B44B19">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AA66BD" w14:textId="77777777" w:rsidR="004B6ADD" w:rsidRPr="00B44B19" w:rsidRDefault="004B6ADD" w:rsidP="004B6ADD">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3418B5" w14:textId="77777777" w:rsidR="004B6ADD" w:rsidRPr="00B44B19" w:rsidRDefault="004B6ADD" w:rsidP="004B6ADD">
            <w:pPr>
              <w:jc w:val="center"/>
              <w:rPr>
                <w:b/>
                <w:iCs/>
                <w:noProof/>
                <w:sz w:val="20"/>
              </w:rPr>
            </w:pPr>
            <w:r w:rsidRPr="00B44B1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A4AC80" w14:textId="77777777" w:rsidR="004B6ADD" w:rsidRPr="00B44B19" w:rsidRDefault="004B6ADD" w:rsidP="004B6ADD">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7A6EAF" w14:textId="77777777" w:rsidR="004B6ADD" w:rsidRPr="00B44B19" w:rsidRDefault="004B6ADD" w:rsidP="004B6ADD">
            <w:pPr>
              <w:jc w:val="center"/>
              <w:rPr>
                <w:b/>
                <w:iCs/>
                <w:noProof/>
                <w:sz w:val="20"/>
              </w:rPr>
            </w:pPr>
            <w:r w:rsidRPr="00B44B19">
              <w:rPr>
                <w:b/>
                <w:noProof/>
                <w:sz w:val="20"/>
              </w:rPr>
              <w:t>Suma (EUR)</w:t>
            </w:r>
          </w:p>
        </w:tc>
      </w:tr>
      <w:tr w:rsidR="004B6ADD" w:rsidRPr="00B44B19" w14:paraId="14389B98" w14:textId="77777777" w:rsidTr="00C4496A">
        <w:tc>
          <w:tcPr>
            <w:tcW w:w="1101" w:type="dxa"/>
            <w:vMerge w:val="restart"/>
            <w:tcBorders>
              <w:top w:val="single" w:sz="12" w:space="0" w:color="auto"/>
            </w:tcBorders>
          </w:tcPr>
          <w:p w14:paraId="302625DB" w14:textId="77777777" w:rsidR="004B6ADD" w:rsidRPr="00B44B19" w:rsidRDefault="004B6ADD" w:rsidP="004B6ADD">
            <w:pPr>
              <w:jc w:val="center"/>
              <w:rPr>
                <w:iCs/>
                <w:noProof/>
                <w:sz w:val="20"/>
              </w:rPr>
            </w:pPr>
            <w:r w:rsidRPr="00B44B19">
              <w:rPr>
                <w:iCs/>
                <w:noProof/>
                <w:sz w:val="20"/>
              </w:rPr>
              <w:t>4</w:t>
            </w:r>
          </w:p>
        </w:tc>
        <w:tc>
          <w:tcPr>
            <w:tcW w:w="850" w:type="dxa"/>
            <w:vMerge w:val="restart"/>
            <w:tcBorders>
              <w:top w:val="single" w:sz="12" w:space="0" w:color="auto"/>
            </w:tcBorders>
          </w:tcPr>
          <w:p w14:paraId="42871E92" w14:textId="77777777" w:rsidR="004B6ADD" w:rsidRPr="00B44B19" w:rsidRDefault="004B6ADD" w:rsidP="004B6ADD">
            <w:pPr>
              <w:jc w:val="center"/>
              <w:rPr>
                <w:iCs/>
                <w:noProof/>
                <w:sz w:val="20"/>
              </w:rPr>
            </w:pPr>
            <w:r w:rsidRPr="00B44B19">
              <w:rPr>
                <w:iCs/>
                <w:noProof/>
                <w:sz w:val="20"/>
              </w:rPr>
              <w:t>ESF+</w:t>
            </w:r>
          </w:p>
        </w:tc>
        <w:tc>
          <w:tcPr>
            <w:tcW w:w="1559" w:type="dxa"/>
            <w:tcBorders>
              <w:top w:val="single" w:sz="12" w:space="0" w:color="auto"/>
            </w:tcBorders>
          </w:tcPr>
          <w:p w14:paraId="54ACA2FA" w14:textId="77777777" w:rsidR="004B6ADD" w:rsidRPr="00B44B19" w:rsidRDefault="004B6ADD" w:rsidP="004B6ADD">
            <w:pPr>
              <w:rPr>
                <w:iCs/>
                <w:noProof/>
                <w:sz w:val="20"/>
              </w:rPr>
            </w:pPr>
            <w:r w:rsidRPr="00B44B19">
              <w:rPr>
                <w:iCs/>
                <w:noProof/>
                <w:sz w:val="20"/>
              </w:rPr>
              <w:t>Sostinės regionas</w:t>
            </w:r>
          </w:p>
        </w:tc>
        <w:tc>
          <w:tcPr>
            <w:tcW w:w="1134" w:type="dxa"/>
            <w:vMerge w:val="restart"/>
            <w:tcBorders>
              <w:top w:val="single" w:sz="12" w:space="0" w:color="auto"/>
            </w:tcBorders>
          </w:tcPr>
          <w:p w14:paraId="7DF525C9" w14:textId="77777777" w:rsidR="004B6ADD" w:rsidRPr="00B44B19" w:rsidRDefault="004B6ADD" w:rsidP="004B6ADD">
            <w:pPr>
              <w:jc w:val="center"/>
              <w:rPr>
                <w:iCs/>
                <w:noProof/>
                <w:sz w:val="20"/>
              </w:rPr>
            </w:pPr>
            <w:r w:rsidRPr="00B44B19">
              <w:rPr>
                <w:iCs/>
                <w:noProof/>
                <w:sz w:val="20"/>
              </w:rPr>
              <w:t>4.1</w:t>
            </w:r>
          </w:p>
        </w:tc>
        <w:tc>
          <w:tcPr>
            <w:tcW w:w="3686" w:type="dxa"/>
            <w:vMerge w:val="restart"/>
            <w:tcBorders>
              <w:top w:val="single" w:sz="12" w:space="0" w:color="auto"/>
            </w:tcBorders>
          </w:tcPr>
          <w:p w14:paraId="40B78F79" w14:textId="77777777" w:rsidR="004B6ADD" w:rsidRPr="00B44B19" w:rsidRDefault="004B6ADD" w:rsidP="004B6ADD">
            <w:pPr>
              <w:rPr>
                <w:iCs/>
                <w:noProof/>
                <w:sz w:val="20"/>
              </w:rPr>
            </w:pPr>
            <w:r w:rsidRPr="00B44B19">
              <w:rPr>
                <w:iCs/>
                <w:noProof/>
                <w:sz w:val="20"/>
              </w:rPr>
              <w:t xml:space="preserve">01 </w:t>
            </w:r>
            <w:r w:rsidR="001F6E55" w:rsidRPr="00B44B19">
              <w:rPr>
                <w:iCs/>
                <w:noProof/>
                <w:sz w:val="20"/>
              </w:rPr>
              <w:t>–</w:t>
            </w:r>
            <w:r w:rsidRPr="00B44B19">
              <w:rPr>
                <w:iCs/>
                <w:noProof/>
                <w:sz w:val="20"/>
              </w:rPr>
              <w:t xml:space="preserve"> Dotacija</w:t>
            </w:r>
          </w:p>
        </w:tc>
        <w:tc>
          <w:tcPr>
            <w:tcW w:w="1559" w:type="dxa"/>
            <w:tcBorders>
              <w:top w:val="single" w:sz="12" w:space="0" w:color="auto"/>
            </w:tcBorders>
          </w:tcPr>
          <w:p w14:paraId="5D07EDBF" w14:textId="0CC98384" w:rsidR="004B6ADD" w:rsidRPr="00B44B19" w:rsidRDefault="004A3859" w:rsidP="004A3859">
            <w:pPr>
              <w:jc w:val="right"/>
              <w:rPr>
                <w:iCs/>
                <w:noProof/>
                <w:sz w:val="20"/>
              </w:rPr>
            </w:pPr>
            <w:r w:rsidRPr="00B44B19">
              <w:rPr>
                <w:color w:val="000000"/>
                <w:sz w:val="20"/>
                <w:szCs w:val="20"/>
              </w:rPr>
              <w:t>19 843 591</w:t>
            </w:r>
            <w:r w:rsidR="004B6ADD" w:rsidRPr="00B44B19">
              <w:rPr>
                <w:bCs/>
                <w:iCs/>
                <w:noProof/>
                <w:sz w:val="20"/>
              </w:rPr>
              <w:t>,00</w:t>
            </w:r>
          </w:p>
        </w:tc>
      </w:tr>
      <w:tr w:rsidR="004B6ADD" w:rsidRPr="00B44B19" w14:paraId="055E616D" w14:textId="77777777" w:rsidTr="00C4496A">
        <w:tc>
          <w:tcPr>
            <w:tcW w:w="1101" w:type="dxa"/>
            <w:vMerge/>
          </w:tcPr>
          <w:p w14:paraId="5AB5DC93" w14:textId="77777777" w:rsidR="004B6ADD" w:rsidRPr="00B44B19" w:rsidRDefault="004B6ADD" w:rsidP="004B6ADD">
            <w:pPr>
              <w:jc w:val="center"/>
              <w:rPr>
                <w:iCs/>
                <w:noProof/>
                <w:sz w:val="20"/>
              </w:rPr>
            </w:pPr>
          </w:p>
        </w:tc>
        <w:tc>
          <w:tcPr>
            <w:tcW w:w="850" w:type="dxa"/>
            <w:vMerge/>
          </w:tcPr>
          <w:p w14:paraId="0DDBE2C0" w14:textId="77777777" w:rsidR="004B6ADD" w:rsidRPr="00B44B19" w:rsidRDefault="004B6ADD" w:rsidP="004B6ADD">
            <w:pPr>
              <w:jc w:val="center"/>
              <w:rPr>
                <w:iCs/>
                <w:noProof/>
                <w:sz w:val="20"/>
              </w:rPr>
            </w:pPr>
          </w:p>
        </w:tc>
        <w:tc>
          <w:tcPr>
            <w:tcW w:w="1559" w:type="dxa"/>
          </w:tcPr>
          <w:p w14:paraId="47969014" w14:textId="77777777" w:rsidR="004B6ADD" w:rsidRPr="00B44B19" w:rsidRDefault="004B6ADD" w:rsidP="004B6ADD">
            <w:pPr>
              <w:rPr>
                <w:iCs/>
                <w:noProof/>
                <w:sz w:val="20"/>
              </w:rPr>
            </w:pPr>
            <w:r w:rsidRPr="00B44B19">
              <w:rPr>
                <w:iCs/>
                <w:noProof/>
                <w:sz w:val="20"/>
              </w:rPr>
              <w:t>VVL regionas</w:t>
            </w:r>
          </w:p>
        </w:tc>
        <w:tc>
          <w:tcPr>
            <w:tcW w:w="1134" w:type="dxa"/>
            <w:vMerge/>
          </w:tcPr>
          <w:p w14:paraId="76222F2C" w14:textId="77777777" w:rsidR="004B6ADD" w:rsidRPr="00B44B19" w:rsidRDefault="004B6ADD" w:rsidP="004B6ADD">
            <w:pPr>
              <w:jc w:val="center"/>
              <w:rPr>
                <w:iCs/>
                <w:noProof/>
                <w:sz w:val="20"/>
              </w:rPr>
            </w:pPr>
          </w:p>
        </w:tc>
        <w:tc>
          <w:tcPr>
            <w:tcW w:w="3686" w:type="dxa"/>
            <w:vMerge/>
          </w:tcPr>
          <w:p w14:paraId="18789802" w14:textId="77777777" w:rsidR="004B6ADD" w:rsidRPr="00B44B19" w:rsidRDefault="004B6ADD" w:rsidP="004B6ADD">
            <w:pPr>
              <w:jc w:val="center"/>
              <w:rPr>
                <w:iCs/>
                <w:noProof/>
                <w:sz w:val="20"/>
              </w:rPr>
            </w:pPr>
          </w:p>
        </w:tc>
        <w:tc>
          <w:tcPr>
            <w:tcW w:w="1559" w:type="dxa"/>
          </w:tcPr>
          <w:p w14:paraId="656C434A" w14:textId="29C719C6" w:rsidR="004B6ADD" w:rsidRPr="00B44B19" w:rsidRDefault="004A3859" w:rsidP="004A3859">
            <w:pPr>
              <w:jc w:val="right"/>
              <w:rPr>
                <w:iCs/>
                <w:noProof/>
                <w:sz w:val="20"/>
              </w:rPr>
            </w:pPr>
            <w:r w:rsidRPr="00B44B19">
              <w:rPr>
                <w:color w:val="000000"/>
                <w:sz w:val="20"/>
                <w:szCs w:val="20"/>
              </w:rPr>
              <w:t>206 077 460</w:t>
            </w:r>
            <w:r w:rsidR="004B6ADD" w:rsidRPr="00B44B19">
              <w:rPr>
                <w:iCs/>
                <w:noProof/>
                <w:sz w:val="20"/>
              </w:rPr>
              <w:t>,00</w:t>
            </w:r>
          </w:p>
        </w:tc>
      </w:tr>
    </w:tbl>
    <w:p w14:paraId="10CC4986" w14:textId="77777777" w:rsidR="004B6ADD" w:rsidRPr="00B44B19"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B44B19" w14:paraId="4DC79FC3"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82D52A1" w14:textId="77777777" w:rsidR="004B6ADD" w:rsidRPr="00B44B19" w:rsidRDefault="004B6ADD" w:rsidP="004B6ADD">
            <w:pPr>
              <w:rPr>
                <w:b/>
                <w:iCs/>
                <w:noProof/>
                <w:sz w:val="20"/>
              </w:rPr>
            </w:pPr>
            <w:r w:rsidRPr="00B44B19">
              <w:rPr>
                <w:b/>
                <w:noProof/>
                <w:sz w:val="20"/>
              </w:rPr>
              <w:t>6 lentelė. 3 matmuo</w:t>
            </w:r>
            <w:r w:rsidR="001F6E55" w:rsidRPr="00B44B19">
              <w:rPr>
                <w:b/>
                <w:noProof/>
                <w:sz w:val="20"/>
              </w:rPr>
              <w:t>:</w:t>
            </w:r>
            <w:r w:rsidRPr="00B44B19">
              <w:rPr>
                <w:b/>
                <w:noProof/>
                <w:sz w:val="20"/>
              </w:rPr>
              <w:t xml:space="preserve"> </w:t>
            </w:r>
            <w:r w:rsidR="001F6E55" w:rsidRPr="00B44B19">
              <w:rPr>
                <w:b/>
                <w:noProof/>
                <w:sz w:val="20"/>
              </w:rPr>
              <w:t>t</w:t>
            </w:r>
            <w:r w:rsidR="0007617D" w:rsidRPr="00B44B19">
              <w:rPr>
                <w:b/>
                <w:noProof/>
                <w:sz w:val="20"/>
              </w:rPr>
              <w:t>eritorinis įgyvendinimo mechanizmas ir pagrindinė teritorinė sritis</w:t>
            </w:r>
          </w:p>
        </w:tc>
      </w:tr>
      <w:tr w:rsidR="004B6ADD" w:rsidRPr="00B44B19" w14:paraId="6FAB490F"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48DB4C" w14:textId="77777777" w:rsidR="004B6ADD" w:rsidRPr="00B44B19" w:rsidRDefault="004B6ADD" w:rsidP="004B6ADD">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11DC2F" w14:textId="77777777" w:rsidR="004B6ADD" w:rsidRPr="00B44B19" w:rsidRDefault="004B6ADD" w:rsidP="004B6ADD">
            <w:pPr>
              <w:jc w:val="center"/>
              <w:rPr>
                <w:b/>
                <w:iCs/>
                <w:noProof/>
                <w:sz w:val="20"/>
              </w:rPr>
            </w:pPr>
            <w:r w:rsidRPr="00B44B19">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38CE5D" w14:textId="77777777" w:rsidR="004B6ADD" w:rsidRPr="00B44B19" w:rsidRDefault="004B6ADD" w:rsidP="004B6ADD">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51B713" w14:textId="77777777" w:rsidR="004B6ADD" w:rsidRPr="00B44B19" w:rsidRDefault="004B6ADD" w:rsidP="004B6ADD">
            <w:pPr>
              <w:jc w:val="center"/>
              <w:rPr>
                <w:b/>
                <w:iCs/>
                <w:noProof/>
                <w:sz w:val="20"/>
              </w:rPr>
            </w:pPr>
            <w:r w:rsidRPr="00B44B1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E94651" w14:textId="77777777" w:rsidR="004B6ADD" w:rsidRPr="00B44B19" w:rsidRDefault="004B6ADD" w:rsidP="004B6ADD">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3B7959" w14:textId="77777777" w:rsidR="004B6ADD" w:rsidRPr="00B44B19" w:rsidRDefault="004B6ADD" w:rsidP="004B6ADD">
            <w:pPr>
              <w:jc w:val="center"/>
              <w:rPr>
                <w:b/>
                <w:iCs/>
                <w:noProof/>
                <w:sz w:val="20"/>
              </w:rPr>
            </w:pPr>
            <w:r w:rsidRPr="00B44B19">
              <w:rPr>
                <w:b/>
                <w:noProof/>
                <w:sz w:val="20"/>
              </w:rPr>
              <w:t>Suma (EUR)</w:t>
            </w:r>
          </w:p>
        </w:tc>
      </w:tr>
      <w:tr w:rsidR="004B6ADD" w:rsidRPr="00B44B19" w14:paraId="302D9F17" w14:textId="77777777" w:rsidTr="00C4496A">
        <w:tc>
          <w:tcPr>
            <w:tcW w:w="1101" w:type="dxa"/>
            <w:vMerge w:val="restart"/>
            <w:tcBorders>
              <w:top w:val="single" w:sz="12" w:space="0" w:color="auto"/>
            </w:tcBorders>
          </w:tcPr>
          <w:p w14:paraId="191EBCB6" w14:textId="77777777" w:rsidR="004B6ADD" w:rsidRPr="00B44B19" w:rsidRDefault="004B6ADD" w:rsidP="004B6ADD">
            <w:pPr>
              <w:jc w:val="center"/>
              <w:rPr>
                <w:b/>
                <w:iCs/>
                <w:noProof/>
                <w:sz w:val="20"/>
              </w:rPr>
            </w:pPr>
            <w:r w:rsidRPr="00B44B19">
              <w:rPr>
                <w:iCs/>
                <w:noProof/>
                <w:sz w:val="20"/>
              </w:rPr>
              <w:t>4</w:t>
            </w:r>
          </w:p>
        </w:tc>
        <w:tc>
          <w:tcPr>
            <w:tcW w:w="850" w:type="dxa"/>
            <w:vMerge w:val="restart"/>
            <w:tcBorders>
              <w:top w:val="single" w:sz="12" w:space="0" w:color="auto"/>
            </w:tcBorders>
          </w:tcPr>
          <w:p w14:paraId="4B3A5A1F" w14:textId="77777777" w:rsidR="004B6ADD" w:rsidRPr="00B44B19" w:rsidRDefault="004B6ADD" w:rsidP="004B6ADD">
            <w:pPr>
              <w:jc w:val="center"/>
              <w:rPr>
                <w:b/>
                <w:iCs/>
                <w:noProof/>
                <w:sz w:val="20"/>
              </w:rPr>
            </w:pPr>
            <w:r w:rsidRPr="00B44B19">
              <w:rPr>
                <w:iCs/>
                <w:noProof/>
                <w:sz w:val="20"/>
              </w:rPr>
              <w:t>ESF+</w:t>
            </w:r>
          </w:p>
        </w:tc>
        <w:tc>
          <w:tcPr>
            <w:tcW w:w="1559" w:type="dxa"/>
            <w:tcBorders>
              <w:top w:val="single" w:sz="12" w:space="0" w:color="auto"/>
            </w:tcBorders>
          </w:tcPr>
          <w:p w14:paraId="18A04675" w14:textId="77777777" w:rsidR="004B6ADD" w:rsidRPr="00B44B19" w:rsidRDefault="004B6ADD" w:rsidP="004B6ADD">
            <w:pPr>
              <w:rPr>
                <w:iCs/>
                <w:noProof/>
                <w:sz w:val="20"/>
              </w:rPr>
            </w:pPr>
            <w:r w:rsidRPr="00B44B19">
              <w:rPr>
                <w:iCs/>
                <w:noProof/>
                <w:sz w:val="20"/>
              </w:rPr>
              <w:t>Sostinės regionas</w:t>
            </w:r>
          </w:p>
        </w:tc>
        <w:tc>
          <w:tcPr>
            <w:tcW w:w="1134" w:type="dxa"/>
            <w:vMerge w:val="restart"/>
            <w:tcBorders>
              <w:top w:val="single" w:sz="12" w:space="0" w:color="auto"/>
            </w:tcBorders>
          </w:tcPr>
          <w:p w14:paraId="57BBBF42" w14:textId="77777777" w:rsidR="004B6ADD" w:rsidRPr="00B44B19" w:rsidRDefault="004B6ADD" w:rsidP="004B6ADD">
            <w:pPr>
              <w:jc w:val="center"/>
              <w:rPr>
                <w:b/>
                <w:iCs/>
                <w:noProof/>
                <w:sz w:val="20"/>
              </w:rPr>
            </w:pPr>
            <w:r w:rsidRPr="00B44B19">
              <w:rPr>
                <w:iCs/>
                <w:noProof/>
                <w:sz w:val="20"/>
              </w:rPr>
              <w:t>4.1</w:t>
            </w:r>
          </w:p>
        </w:tc>
        <w:tc>
          <w:tcPr>
            <w:tcW w:w="3686" w:type="dxa"/>
            <w:vMerge w:val="restart"/>
            <w:tcBorders>
              <w:top w:val="single" w:sz="12" w:space="0" w:color="auto"/>
            </w:tcBorders>
          </w:tcPr>
          <w:p w14:paraId="58A52F20" w14:textId="77777777" w:rsidR="004B6ADD" w:rsidRPr="00B44B19" w:rsidRDefault="004B6ADD" w:rsidP="004B6ADD">
            <w:pPr>
              <w:rPr>
                <w:iCs/>
                <w:noProof/>
                <w:sz w:val="20"/>
              </w:rPr>
            </w:pPr>
            <w:r w:rsidRPr="00B44B19">
              <w:rPr>
                <w:iCs/>
                <w:noProof/>
                <w:sz w:val="20"/>
              </w:rPr>
              <w:t xml:space="preserve">33 </w:t>
            </w:r>
            <w:r w:rsidR="001F6E55" w:rsidRPr="00B44B19">
              <w:rPr>
                <w:iCs/>
                <w:noProof/>
                <w:sz w:val="20"/>
              </w:rPr>
              <w:t>–</w:t>
            </w:r>
            <w:r w:rsidRPr="00B44B19">
              <w:rPr>
                <w:iCs/>
                <w:noProof/>
                <w:sz w:val="20"/>
              </w:rPr>
              <w:t xml:space="preserve"> Nesiorientuojant į teritoriškumą</w:t>
            </w:r>
          </w:p>
        </w:tc>
        <w:tc>
          <w:tcPr>
            <w:tcW w:w="1559" w:type="dxa"/>
            <w:tcBorders>
              <w:top w:val="single" w:sz="12" w:space="0" w:color="auto"/>
            </w:tcBorders>
          </w:tcPr>
          <w:p w14:paraId="540DCAE5" w14:textId="56348AF5" w:rsidR="004B6ADD" w:rsidRPr="00B44B19" w:rsidRDefault="004A3859" w:rsidP="004A3859">
            <w:pPr>
              <w:jc w:val="right"/>
              <w:rPr>
                <w:iCs/>
                <w:noProof/>
                <w:sz w:val="20"/>
              </w:rPr>
            </w:pPr>
            <w:r w:rsidRPr="00B44B19">
              <w:rPr>
                <w:color w:val="000000"/>
                <w:sz w:val="20"/>
                <w:szCs w:val="20"/>
              </w:rPr>
              <w:t>19 843 591</w:t>
            </w:r>
            <w:r w:rsidR="004B6ADD" w:rsidRPr="00B44B19">
              <w:rPr>
                <w:bCs/>
                <w:iCs/>
                <w:noProof/>
                <w:sz w:val="20"/>
              </w:rPr>
              <w:t>,00</w:t>
            </w:r>
          </w:p>
        </w:tc>
      </w:tr>
      <w:tr w:rsidR="004B6ADD" w:rsidRPr="00B44B19" w14:paraId="554051CF" w14:textId="77777777" w:rsidTr="00C4496A">
        <w:tc>
          <w:tcPr>
            <w:tcW w:w="1101" w:type="dxa"/>
            <w:vMerge/>
          </w:tcPr>
          <w:p w14:paraId="613CFE69" w14:textId="77777777" w:rsidR="004B6ADD" w:rsidRPr="00B44B19" w:rsidRDefault="004B6ADD" w:rsidP="004B6ADD">
            <w:pPr>
              <w:jc w:val="center"/>
              <w:rPr>
                <w:b/>
                <w:iCs/>
                <w:noProof/>
                <w:sz w:val="20"/>
              </w:rPr>
            </w:pPr>
          </w:p>
        </w:tc>
        <w:tc>
          <w:tcPr>
            <w:tcW w:w="850" w:type="dxa"/>
            <w:vMerge/>
          </w:tcPr>
          <w:p w14:paraId="7BF8DFCD" w14:textId="77777777" w:rsidR="004B6ADD" w:rsidRPr="00B44B19" w:rsidRDefault="004B6ADD" w:rsidP="004B6ADD">
            <w:pPr>
              <w:jc w:val="center"/>
              <w:rPr>
                <w:b/>
                <w:iCs/>
                <w:noProof/>
                <w:sz w:val="20"/>
              </w:rPr>
            </w:pPr>
          </w:p>
        </w:tc>
        <w:tc>
          <w:tcPr>
            <w:tcW w:w="1559" w:type="dxa"/>
          </w:tcPr>
          <w:p w14:paraId="15AEBDA0" w14:textId="77777777" w:rsidR="004B6ADD" w:rsidRPr="00B44B19" w:rsidRDefault="004B6ADD" w:rsidP="004B6ADD">
            <w:pPr>
              <w:rPr>
                <w:iCs/>
                <w:noProof/>
                <w:sz w:val="20"/>
              </w:rPr>
            </w:pPr>
            <w:r w:rsidRPr="00B44B19">
              <w:rPr>
                <w:iCs/>
                <w:noProof/>
                <w:sz w:val="20"/>
              </w:rPr>
              <w:t>VVL regionas</w:t>
            </w:r>
          </w:p>
        </w:tc>
        <w:tc>
          <w:tcPr>
            <w:tcW w:w="1134" w:type="dxa"/>
            <w:vMerge/>
          </w:tcPr>
          <w:p w14:paraId="6BAD6A3B" w14:textId="77777777" w:rsidR="004B6ADD" w:rsidRPr="00B44B19" w:rsidRDefault="004B6ADD" w:rsidP="004B6ADD">
            <w:pPr>
              <w:jc w:val="center"/>
              <w:rPr>
                <w:b/>
                <w:iCs/>
                <w:noProof/>
                <w:sz w:val="20"/>
              </w:rPr>
            </w:pPr>
          </w:p>
        </w:tc>
        <w:tc>
          <w:tcPr>
            <w:tcW w:w="3686" w:type="dxa"/>
            <w:vMerge/>
          </w:tcPr>
          <w:p w14:paraId="76D141BB" w14:textId="77777777" w:rsidR="004B6ADD" w:rsidRPr="00B44B19" w:rsidRDefault="004B6ADD" w:rsidP="004B6ADD">
            <w:pPr>
              <w:jc w:val="center"/>
              <w:rPr>
                <w:iCs/>
                <w:noProof/>
                <w:sz w:val="20"/>
              </w:rPr>
            </w:pPr>
          </w:p>
        </w:tc>
        <w:tc>
          <w:tcPr>
            <w:tcW w:w="1559" w:type="dxa"/>
          </w:tcPr>
          <w:p w14:paraId="54D39D24" w14:textId="38C3C487" w:rsidR="004B6ADD" w:rsidRPr="00B44B19" w:rsidRDefault="004A3859" w:rsidP="004A3859">
            <w:pPr>
              <w:jc w:val="right"/>
              <w:rPr>
                <w:iCs/>
                <w:noProof/>
                <w:sz w:val="20"/>
              </w:rPr>
            </w:pPr>
            <w:r w:rsidRPr="00B44B19">
              <w:rPr>
                <w:color w:val="000000"/>
                <w:sz w:val="20"/>
                <w:szCs w:val="20"/>
              </w:rPr>
              <w:t>206 077 460</w:t>
            </w:r>
            <w:r w:rsidR="004B6ADD" w:rsidRPr="00B44B19">
              <w:rPr>
                <w:iCs/>
                <w:noProof/>
                <w:sz w:val="20"/>
              </w:rPr>
              <w:t>,00</w:t>
            </w:r>
          </w:p>
        </w:tc>
      </w:tr>
    </w:tbl>
    <w:p w14:paraId="1F8F42F9" w14:textId="77777777" w:rsidR="004B6ADD" w:rsidRPr="00B44B19"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B44B19" w14:paraId="36A895F5"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6091CF4" w14:textId="77777777" w:rsidR="004B6ADD" w:rsidRPr="00B44B19" w:rsidRDefault="004B6ADD" w:rsidP="004B6ADD">
            <w:pPr>
              <w:rPr>
                <w:b/>
                <w:iCs/>
                <w:noProof/>
                <w:sz w:val="20"/>
              </w:rPr>
            </w:pPr>
            <w:r w:rsidRPr="00B44B19">
              <w:rPr>
                <w:b/>
                <w:noProof/>
                <w:sz w:val="20"/>
              </w:rPr>
              <w:t>7 lentelė. 6 matmuo</w:t>
            </w:r>
            <w:r w:rsidR="001F6E55" w:rsidRPr="00B44B19">
              <w:rPr>
                <w:b/>
                <w:noProof/>
                <w:sz w:val="20"/>
              </w:rPr>
              <w:t>:</w:t>
            </w:r>
            <w:r w:rsidRPr="00B44B19">
              <w:rPr>
                <w:b/>
                <w:noProof/>
                <w:sz w:val="20"/>
              </w:rPr>
              <w:t xml:space="preserve"> ESF+ antrinės temos</w:t>
            </w:r>
          </w:p>
        </w:tc>
      </w:tr>
      <w:tr w:rsidR="004B6ADD" w:rsidRPr="00B44B19" w14:paraId="4C8B4EA4"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8D9F42" w14:textId="77777777" w:rsidR="004B6ADD" w:rsidRPr="00B44B19" w:rsidRDefault="004B6ADD" w:rsidP="004B6ADD">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239D36" w14:textId="77777777" w:rsidR="004B6ADD" w:rsidRPr="00B44B19" w:rsidRDefault="004B6ADD" w:rsidP="004B6ADD">
            <w:pPr>
              <w:jc w:val="center"/>
              <w:rPr>
                <w:b/>
                <w:iCs/>
                <w:noProof/>
                <w:sz w:val="20"/>
              </w:rPr>
            </w:pPr>
            <w:r w:rsidRPr="00B44B19">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5312BB" w14:textId="77777777" w:rsidR="004B6ADD" w:rsidRPr="00B44B19" w:rsidRDefault="004B6ADD" w:rsidP="004B6ADD">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028245" w14:textId="77777777" w:rsidR="004B6ADD" w:rsidRPr="00B44B19" w:rsidRDefault="004B6ADD" w:rsidP="004B6ADD">
            <w:pPr>
              <w:jc w:val="center"/>
              <w:rPr>
                <w:b/>
                <w:iCs/>
                <w:noProof/>
                <w:sz w:val="20"/>
              </w:rPr>
            </w:pPr>
            <w:r w:rsidRPr="00B44B1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4C9850" w14:textId="77777777" w:rsidR="004B6ADD" w:rsidRPr="00B44B19" w:rsidRDefault="004B6ADD" w:rsidP="004B6ADD">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7C09A8" w14:textId="77777777" w:rsidR="004B6ADD" w:rsidRPr="00B44B19" w:rsidRDefault="004B6ADD" w:rsidP="004B6ADD">
            <w:pPr>
              <w:jc w:val="center"/>
              <w:rPr>
                <w:b/>
                <w:iCs/>
                <w:noProof/>
                <w:sz w:val="20"/>
              </w:rPr>
            </w:pPr>
            <w:r w:rsidRPr="00B44B19">
              <w:rPr>
                <w:b/>
                <w:noProof/>
                <w:sz w:val="20"/>
              </w:rPr>
              <w:t>Suma (EUR)</w:t>
            </w:r>
          </w:p>
        </w:tc>
      </w:tr>
      <w:tr w:rsidR="004B6ADD" w:rsidRPr="00B44B19" w14:paraId="1D8E15BA" w14:textId="77777777" w:rsidTr="00C4496A">
        <w:tc>
          <w:tcPr>
            <w:tcW w:w="1101" w:type="dxa"/>
            <w:vMerge w:val="restart"/>
            <w:tcBorders>
              <w:top w:val="single" w:sz="12" w:space="0" w:color="auto"/>
            </w:tcBorders>
          </w:tcPr>
          <w:p w14:paraId="1754D6E7" w14:textId="77777777" w:rsidR="004B6ADD" w:rsidRPr="00B44B19" w:rsidRDefault="004B6ADD" w:rsidP="004B6ADD">
            <w:pPr>
              <w:jc w:val="center"/>
              <w:rPr>
                <w:iCs/>
                <w:noProof/>
                <w:sz w:val="20"/>
              </w:rPr>
            </w:pPr>
            <w:r w:rsidRPr="00B44B19">
              <w:rPr>
                <w:iCs/>
                <w:noProof/>
                <w:sz w:val="20"/>
              </w:rPr>
              <w:t>4</w:t>
            </w:r>
          </w:p>
        </w:tc>
        <w:tc>
          <w:tcPr>
            <w:tcW w:w="850" w:type="dxa"/>
            <w:vMerge w:val="restart"/>
            <w:tcBorders>
              <w:top w:val="single" w:sz="12" w:space="0" w:color="auto"/>
            </w:tcBorders>
          </w:tcPr>
          <w:p w14:paraId="2CC50FEB" w14:textId="77777777" w:rsidR="004B6ADD" w:rsidRPr="00B44B19" w:rsidRDefault="004B6ADD" w:rsidP="004B6ADD">
            <w:pPr>
              <w:jc w:val="center"/>
              <w:rPr>
                <w:iCs/>
                <w:noProof/>
                <w:sz w:val="20"/>
              </w:rPr>
            </w:pPr>
            <w:r w:rsidRPr="00B44B19">
              <w:rPr>
                <w:iCs/>
                <w:noProof/>
                <w:sz w:val="20"/>
              </w:rPr>
              <w:t>ESF+</w:t>
            </w:r>
          </w:p>
        </w:tc>
        <w:tc>
          <w:tcPr>
            <w:tcW w:w="1559" w:type="dxa"/>
            <w:tcBorders>
              <w:top w:val="single" w:sz="12" w:space="0" w:color="auto"/>
            </w:tcBorders>
          </w:tcPr>
          <w:p w14:paraId="1F008676" w14:textId="77777777" w:rsidR="004B6ADD" w:rsidRPr="00B44B19" w:rsidRDefault="004B6ADD" w:rsidP="004B6ADD">
            <w:pPr>
              <w:rPr>
                <w:iCs/>
                <w:noProof/>
                <w:sz w:val="20"/>
              </w:rPr>
            </w:pPr>
            <w:r w:rsidRPr="00B44B19">
              <w:rPr>
                <w:iCs/>
                <w:noProof/>
                <w:sz w:val="20"/>
              </w:rPr>
              <w:t>Sostinės regionas</w:t>
            </w:r>
          </w:p>
        </w:tc>
        <w:tc>
          <w:tcPr>
            <w:tcW w:w="1134" w:type="dxa"/>
            <w:vMerge w:val="restart"/>
            <w:tcBorders>
              <w:top w:val="single" w:sz="12" w:space="0" w:color="auto"/>
            </w:tcBorders>
          </w:tcPr>
          <w:p w14:paraId="72331968" w14:textId="77777777" w:rsidR="004B6ADD" w:rsidRPr="00B44B19" w:rsidRDefault="004B6ADD" w:rsidP="004B6ADD">
            <w:pPr>
              <w:jc w:val="center"/>
              <w:rPr>
                <w:iCs/>
                <w:noProof/>
                <w:sz w:val="20"/>
              </w:rPr>
            </w:pPr>
            <w:r w:rsidRPr="00B44B19">
              <w:rPr>
                <w:iCs/>
                <w:noProof/>
                <w:sz w:val="20"/>
              </w:rPr>
              <w:t>4.1</w:t>
            </w:r>
          </w:p>
        </w:tc>
        <w:tc>
          <w:tcPr>
            <w:tcW w:w="3686" w:type="dxa"/>
            <w:vMerge w:val="restart"/>
            <w:tcBorders>
              <w:top w:val="single" w:sz="12" w:space="0" w:color="auto"/>
            </w:tcBorders>
          </w:tcPr>
          <w:p w14:paraId="2D62A1FE" w14:textId="77777777" w:rsidR="004B6ADD" w:rsidRPr="00B44B19" w:rsidRDefault="004B6ADD" w:rsidP="004B6ADD">
            <w:pPr>
              <w:rPr>
                <w:iCs/>
                <w:noProof/>
                <w:sz w:val="20"/>
              </w:rPr>
            </w:pPr>
            <w:r w:rsidRPr="00B44B19">
              <w:rPr>
                <w:iCs/>
                <w:noProof/>
                <w:sz w:val="20"/>
              </w:rPr>
              <w:t xml:space="preserve">07 </w:t>
            </w:r>
            <w:r w:rsidR="001F6E55" w:rsidRPr="00B44B19">
              <w:rPr>
                <w:iCs/>
                <w:noProof/>
                <w:sz w:val="20"/>
              </w:rPr>
              <w:t>–</w:t>
            </w:r>
            <w:r w:rsidRPr="00B44B19">
              <w:rPr>
                <w:iCs/>
                <w:noProof/>
                <w:sz w:val="20"/>
              </w:rPr>
              <w:t xml:space="preserve"> Socialinių partnerių gebėjimų stiprinimas</w:t>
            </w:r>
          </w:p>
        </w:tc>
        <w:tc>
          <w:tcPr>
            <w:tcW w:w="1559" w:type="dxa"/>
            <w:tcBorders>
              <w:top w:val="single" w:sz="12" w:space="0" w:color="auto"/>
            </w:tcBorders>
          </w:tcPr>
          <w:p w14:paraId="3BED66D0" w14:textId="77777777" w:rsidR="004B6ADD" w:rsidRPr="00B44B19" w:rsidRDefault="004B6ADD" w:rsidP="00C4496A">
            <w:pPr>
              <w:jc w:val="right"/>
              <w:rPr>
                <w:iCs/>
                <w:noProof/>
                <w:sz w:val="20"/>
              </w:rPr>
            </w:pPr>
            <w:r w:rsidRPr="00B44B19">
              <w:rPr>
                <w:iCs/>
                <w:noProof/>
                <w:sz w:val="20"/>
              </w:rPr>
              <w:t>174 900,00</w:t>
            </w:r>
          </w:p>
        </w:tc>
      </w:tr>
      <w:tr w:rsidR="004B6ADD" w:rsidRPr="00B44B19" w14:paraId="67FA89F8" w14:textId="77777777" w:rsidTr="00C4496A">
        <w:tc>
          <w:tcPr>
            <w:tcW w:w="1101" w:type="dxa"/>
            <w:vMerge/>
          </w:tcPr>
          <w:p w14:paraId="6EE44414" w14:textId="77777777" w:rsidR="004B6ADD" w:rsidRPr="00B44B19" w:rsidRDefault="004B6ADD" w:rsidP="004B6ADD">
            <w:pPr>
              <w:jc w:val="center"/>
              <w:rPr>
                <w:iCs/>
                <w:noProof/>
                <w:sz w:val="20"/>
              </w:rPr>
            </w:pPr>
          </w:p>
        </w:tc>
        <w:tc>
          <w:tcPr>
            <w:tcW w:w="850" w:type="dxa"/>
            <w:vMerge/>
          </w:tcPr>
          <w:p w14:paraId="4614A65B" w14:textId="77777777" w:rsidR="004B6ADD" w:rsidRPr="00B44B19" w:rsidRDefault="004B6ADD" w:rsidP="004B6ADD">
            <w:pPr>
              <w:jc w:val="center"/>
              <w:rPr>
                <w:iCs/>
                <w:noProof/>
                <w:sz w:val="20"/>
              </w:rPr>
            </w:pPr>
          </w:p>
        </w:tc>
        <w:tc>
          <w:tcPr>
            <w:tcW w:w="1559" w:type="dxa"/>
          </w:tcPr>
          <w:p w14:paraId="213ECAE6" w14:textId="77777777" w:rsidR="004B6ADD" w:rsidRPr="00B44B19" w:rsidRDefault="004B6ADD" w:rsidP="004B6ADD">
            <w:pPr>
              <w:rPr>
                <w:iCs/>
                <w:noProof/>
                <w:sz w:val="20"/>
              </w:rPr>
            </w:pPr>
            <w:r w:rsidRPr="00B44B19">
              <w:rPr>
                <w:iCs/>
                <w:noProof/>
                <w:sz w:val="20"/>
              </w:rPr>
              <w:t>VVL regionas</w:t>
            </w:r>
          </w:p>
        </w:tc>
        <w:tc>
          <w:tcPr>
            <w:tcW w:w="1134" w:type="dxa"/>
            <w:vMerge/>
          </w:tcPr>
          <w:p w14:paraId="00FAAB3B" w14:textId="77777777" w:rsidR="004B6ADD" w:rsidRPr="00B44B19" w:rsidRDefault="004B6ADD" w:rsidP="004B6ADD">
            <w:pPr>
              <w:jc w:val="center"/>
              <w:rPr>
                <w:iCs/>
                <w:noProof/>
                <w:sz w:val="20"/>
              </w:rPr>
            </w:pPr>
          </w:p>
        </w:tc>
        <w:tc>
          <w:tcPr>
            <w:tcW w:w="3686" w:type="dxa"/>
            <w:vMerge/>
          </w:tcPr>
          <w:p w14:paraId="2B87A976" w14:textId="77777777" w:rsidR="004B6ADD" w:rsidRPr="00B44B19" w:rsidRDefault="004B6ADD" w:rsidP="004B6ADD">
            <w:pPr>
              <w:rPr>
                <w:iCs/>
                <w:noProof/>
                <w:sz w:val="20"/>
              </w:rPr>
            </w:pPr>
          </w:p>
        </w:tc>
        <w:tc>
          <w:tcPr>
            <w:tcW w:w="1559" w:type="dxa"/>
          </w:tcPr>
          <w:p w14:paraId="0E7CE219" w14:textId="77777777" w:rsidR="004B6ADD" w:rsidRPr="00B44B19" w:rsidRDefault="004B6ADD" w:rsidP="00C4496A">
            <w:pPr>
              <w:jc w:val="right"/>
              <w:rPr>
                <w:iCs/>
                <w:noProof/>
                <w:sz w:val="20"/>
              </w:rPr>
            </w:pPr>
            <w:r w:rsidRPr="00B44B19">
              <w:rPr>
                <w:iCs/>
                <w:noProof/>
                <w:sz w:val="20"/>
              </w:rPr>
              <w:t>1 475 100,00</w:t>
            </w:r>
          </w:p>
        </w:tc>
      </w:tr>
      <w:tr w:rsidR="004B6ADD" w:rsidRPr="00B44B19" w14:paraId="5F90C6C8" w14:textId="77777777" w:rsidTr="00C4496A">
        <w:tc>
          <w:tcPr>
            <w:tcW w:w="1101" w:type="dxa"/>
            <w:vMerge/>
          </w:tcPr>
          <w:p w14:paraId="118BF016" w14:textId="77777777" w:rsidR="004B6ADD" w:rsidRPr="00B44B19" w:rsidRDefault="004B6ADD" w:rsidP="004B6ADD">
            <w:pPr>
              <w:jc w:val="center"/>
              <w:rPr>
                <w:iCs/>
                <w:noProof/>
                <w:sz w:val="20"/>
              </w:rPr>
            </w:pPr>
          </w:p>
        </w:tc>
        <w:tc>
          <w:tcPr>
            <w:tcW w:w="850" w:type="dxa"/>
            <w:vMerge/>
          </w:tcPr>
          <w:p w14:paraId="408636E3" w14:textId="77777777" w:rsidR="004B6ADD" w:rsidRPr="00B44B19" w:rsidRDefault="004B6ADD" w:rsidP="004B6ADD">
            <w:pPr>
              <w:jc w:val="center"/>
              <w:rPr>
                <w:iCs/>
                <w:noProof/>
                <w:sz w:val="20"/>
              </w:rPr>
            </w:pPr>
          </w:p>
        </w:tc>
        <w:tc>
          <w:tcPr>
            <w:tcW w:w="1559" w:type="dxa"/>
          </w:tcPr>
          <w:p w14:paraId="77F47376" w14:textId="77777777" w:rsidR="004B6ADD" w:rsidRPr="00B44B19" w:rsidRDefault="004B6ADD" w:rsidP="004B6ADD">
            <w:pPr>
              <w:rPr>
                <w:iCs/>
                <w:noProof/>
                <w:sz w:val="20"/>
              </w:rPr>
            </w:pPr>
            <w:r w:rsidRPr="00B44B19">
              <w:rPr>
                <w:iCs/>
                <w:noProof/>
                <w:sz w:val="20"/>
              </w:rPr>
              <w:t>Sostinės regionas</w:t>
            </w:r>
          </w:p>
        </w:tc>
        <w:tc>
          <w:tcPr>
            <w:tcW w:w="1134" w:type="dxa"/>
            <w:vMerge/>
          </w:tcPr>
          <w:p w14:paraId="77FE5D44" w14:textId="77777777" w:rsidR="004B6ADD" w:rsidRPr="00B44B19" w:rsidRDefault="004B6ADD" w:rsidP="004B6ADD">
            <w:pPr>
              <w:jc w:val="center"/>
              <w:rPr>
                <w:iCs/>
                <w:noProof/>
                <w:sz w:val="20"/>
              </w:rPr>
            </w:pPr>
          </w:p>
        </w:tc>
        <w:tc>
          <w:tcPr>
            <w:tcW w:w="3686" w:type="dxa"/>
            <w:vMerge w:val="restart"/>
          </w:tcPr>
          <w:p w14:paraId="744CED04" w14:textId="77777777" w:rsidR="004B6ADD" w:rsidRPr="00B44B19" w:rsidRDefault="004B6ADD" w:rsidP="004B6ADD">
            <w:pPr>
              <w:rPr>
                <w:iCs/>
                <w:noProof/>
                <w:sz w:val="20"/>
              </w:rPr>
            </w:pPr>
            <w:r w:rsidRPr="00B44B19">
              <w:rPr>
                <w:iCs/>
                <w:noProof/>
                <w:sz w:val="20"/>
              </w:rPr>
              <w:t xml:space="preserve">09 </w:t>
            </w:r>
            <w:r w:rsidR="001F6E55" w:rsidRPr="00B44B19">
              <w:rPr>
                <w:iCs/>
                <w:noProof/>
                <w:sz w:val="20"/>
              </w:rPr>
              <w:t>–</w:t>
            </w:r>
            <w:r w:rsidRPr="00B44B19">
              <w:rPr>
                <w:iCs/>
                <w:noProof/>
                <w:sz w:val="20"/>
              </w:rPr>
              <w:t xml:space="preserve"> Netaikoma</w:t>
            </w:r>
          </w:p>
        </w:tc>
        <w:tc>
          <w:tcPr>
            <w:tcW w:w="1559" w:type="dxa"/>
          </w:tcPr>
          <w:p w14:paraId="462DA146" w14:textId="77777777" w:rsidR="004B6ADD" w:rsidRPr="00B44B19" w:rsidRDefault="004B6ADD" w:rsidP="00C4496A">
            <w:pPr>
              <w:jc w:val="right"/>
              <w:rPr>
                <w:iCs/>
                <w:noProof/>
                <w:sz w:val="20"/>
              </w:rPr>
            </w:pPr>
            <w:r w:rsidRPr="00B44B19">
              <w:rPr>
                <w:iCs/>
                <w:noProof/>
                <w:sz w:val="20"/>
              </w:rPr>
              <w:t>3 308 523,00</w:t>
            </w:r>
          </w:p>
        </w:tc>
      </w:tr>
      <w:tr w:rsidR="004B6ADD" w:rsidRPr="00B44B19" w14:paraId="4ACD4BE8" w14:textId="77777777" w:rsidTr="00C4496A">
        <w:tc>
          <w:tcPr>
            <w:tcW w:w="1101" w:type="dxa"/>
            <w:vMerge/>
          </w:tcPr>
          <w:p w14:paraId="5026C404" w14:textId="77777777" w:rsidR="004B6ADD" w:rsidRPr="00B44B19" w:rsidRDefault="004B6ADD" w:rsidP="004B6ADD">
            <w:pPr>
              <w:jc w:val="center"/>
              <w:rPr>
                <w:iCs/>
                <w:noProof/>
                <w:sz w:val="20"/>
              </w:rPr>
            </w:pPr>
          </w:p>
        </w:tc>
        <w:tc>
          <w:tcPr>
            <w:tcW w:w="850" w:type="dxa"/>
            <w:vMerge/>
          </w:tcPr>
          <w:p w14:paraId="7A3AB3BA" w14:textId="77777777" w:rsidR="004B6ADD" w:rsidRPr="00B44B19" w:rsidRDefault="004B6ADD" w:rsidP="004B6ADD">
            <w:pPr>
              <w:jc w:val="center"/>
              <w:rPr>
                <w:iCs/>
                <w:noProof/>
                <w:sz w:val="20"/>
              </w:rPr>
            </w:pPr>
          </w:p>
        </w:tc>
        <w:tc>
          <w:tcPr>
            <w:tcW w:w="1559" w:type="dxa"/>
          </w:tcPr>
          <w:p w14:paraId="390DE473" w14:textId="77777777" w:rsidR="004B6ADD" w:rsidRPr="00B44B19" w:rsidRDefault="004B6ADD" w:rsidP="004B6ADD">
            <w:pPr>
              <w:rPr>
                <w:iCs/>
                <w:noProof/>
                <w:sz w:val="20"/>
              </w:rPr>
            </w:pPr>
            <w:r w:rsidRPr="00B44B19">
              <w:rPr>
                <w:iCs/>
                <w:noProof/>
                <w:sz w:val="20"/>
              </w:rPr>
              <w:t>VVL regionas</w:t>
            </w:r>
          </w:p>
        </w:tc>
        <w:tc>
          <w:tcPr>
            <w:tcW w:w="1134" w:type="dxa"/>
            <w:vMerge/>
          </w:tcPr>
          <w:p w14:paraId="6501EF9C" w14:textId="77777777" w:rsidR="004B6ADD" w:rsidRPr="00B44B19" w:rsidRDefault="004B6ADD" w:rsidP="004B6ADD">
            <w:pPr>
              <w:jc w:val="center"/>
              <w:rPr>
                <w:iCs/>
                <w:noProof/>
                <w:sz w:val="20"/>
              </w:rPr>
            </w:pPr>
          </w:p>
        </w:tc>
        <w:tc>
          <w:tcPr>
            <w:tcW w:w="3686" w:type="dxa"/>
            <w:vMerge/>
          </w:tcPr>
          <w:p w14:paraId="165219BA" w14:textId="77777777" w:rsidR="004B6ADD" w:rsidRPr="00B44B19" w:rsidRDefault="004B6ADD" w:rsidP="004B6ADD">
            <w:pPr>
              <w:rPr>
                <w:iCs/>
                <w:noProof/>
                <w:sz w:val="20"/>
              </w:rPr>
            </w:pPr>
          </w:p>
        </w:tc>
        <w:tc>
          <w:tcPr>
            <w:tcW w:w="1559" w:type="dxa"/>
          </w:tcPr>
          <w:p w14:paraId="66B1B72E" w14:textId="77777777" w:rsidR="004B6ADD" w:rsidRPr="00B44B19" w:rsidRDefault="004B6ADD" w:rsidP="00C4496A">
            <w:pPr>
              <w:jc w:val="right"/>
              <w:rPr>
                <w:iCs/>
                <w:noProof/>
                <w:sz w:val="20"/>
              </w:rPr>
            </w:pPr>
            <w:r w:rsidRPr="00B44B19">
              <w:rPr>
                <w:iCs/>
                <w:noProof/>
                <w:sz w:val="20"/>
              </w:rPr>
              <w:t>32 589 377,00</w:t>
            </w:r>
          </w:p>
        </w:tc>
      </w:tr>
      <w:tr w:rsidR="004B6ADD" w:rsidRPr="00B44B19" w14:paraId="0308E723" w14:textId="77777777" w:rsidTr="00C4496A">
        <w:tc>
          <w:tcPr>
            <w:tcW w:w="1101" w:type="dxa"/>
            <w:vMerge/>
          </w:tcPr>
          <w:p w14:paraId="40E5E836" w14:textId="77777777" w:rsidR="004B6ADD" w:rsidRPr="00B44B19" w:rsidRDefault="004B6ADD" w:rsidP="004B6ADD">
            <w:pPr>
              <w:jc w:val="center"/>
              <w:rPr>
                <w:iCs/>
                <w:noProof/>
                <w:sz w:val="20"/>
              </w:rPr>
            </w:pPr>
          </w:p>
        </w:tc>
        <w:tc>
          <w:tcPr>
            <w:tcW w:w="850" w:type="dxa"/>
            <w:vMerge/>
          </w:tcPr>
          <w:p w14:paraId="4F0A2CCB" w14:textId="77777777" w:rsidR="004B6ADD" w:rsidRPr="00B44B19" w:rsidRDefault="004B6ADD" w:rsidP="004B6ADD">
            <w:pPr>
              <w:jc w:val="center"/>
              <w:rPr>
                <w:iCs/>
                <w:noProof/>
                <w:sz w:val="20"/>
              </w:rPr>
            </w:pPr>
          </w:p>
        </w:tc>
        <w:tc>
          <w:tcPr>
            <w:tcW w:w="1559" w:type="dxa"/>
          </w:tcPr>
          <w:p w14:paraId="54654508" w14:textId="77777777" w:rsidR="004B6ADD" w:rsidRPr="00B44B19" w:rsidRDefault="004B6ADD" w:rsidP="004B6ADD">
            <w:pPr>
              <w:rPr>
                <w:iCs/>
                <w:noProof/>
                <w:sz w:val="20"/>
              </w:rPr>
            </w:pPr>
            <w:r w:rsidRPr="00B44B19">
              <w:rPr>
                <w:iCs/>
                <w:noProof/>
                <w:sz w:val="20"/>
              </w:rPr>
              <w:t>Sostinės regionas</w:t>
            </w:r>
          </w:p>
        </w:tc>
        <w:tc>
          <w:tcPr>
            <w:tcW w:w="1134" w:type="dxa"/>
            <w:vMerge/>
          </w:tcPr>
          <w:p w14:paraId="4C162337" w14:textId="77777777" w:rsidR="004B6ADD" w:rsidRPr="00B44B19" w:rsidRDefault="004B6ADD" w:rsidP="004B6ADD">
            <w:pPr>
              <w:jc w:val="center"/>
              <w:rPr>
                <w:iCs/>
                <w:noProof/>
                <w:sz w:val="20"/>
              </w:rPr>
            </w:pPr>
          </w:p>
        </w:tc>
        <w:tc>
          <w:tcPr>
            <w:tcW w:w="3686" w:type="dxa"/>
            <w:vMerge w:val="restart"/>
          </w:tcPr>
          <w:p w14:paraId="0851D09F" w14:textId="77777777" w:rsidR="004B6ADD" w:rsidRPr="00B44B19" w:rsidRDefault="004B6ADD" w:rsidP="004B6ADD">
            <w:pPr>
              <w:rPr>
                <w:iCs/>
                <w:noProof/>
                <w:sz w:val="20"/>
              </w:rPr>
            </w:pPr>
            <w:r w:rsidRPr="00B44B19">
              <w:rPr>
                <w:iCs/>
                <w:noProof/>
                <w:sz w:val="20"/>
              </w:rPr>
              <w:t xml:space="preserve">10 </w:t>
            </w:r>
            <w:r w:rsidR="001F6E55" w:rsidRPr="00B44B19">
              <w:rPr>
                <w:iCs/>
                <w:noProof/>
                <w:sz w:val="20"/>
              </w:rPr>
              <w:t>–</w:t>
            </w:r>
            <w:r w:rsidRPr="00B44B19">
              <w:rPr>
                <w:iCs/>
                <w:noProof/>
                <w:sz w:val="20"/>
              </w:rPr>
              <w:t xml:space="preserve"> Europos semestre nustatytų problemų sprendimas</w:t>
            </w:r>
          </w:p>
        </w:tc>
        <w:tc>
          <w:tcPr>
            <w:tcW w:w="1559" w:type="dxa"/>
          </w:tcPr>
          <w:p w14:paraId="45BD1CDB" w14:textId="49573B9F" w:rsidR="004B6ADD" w:rsidRPr="00B44B19" w:rsidRDefault="001153D2" w:rsidP="001153D2">
            <w:pPr>
              <w:jc w:val="right"/>
              <w:rPr>
                <w:iCs/>
                <w:noProof/>
                <w:sz w:val="20"/>
              </w:rPr>
            </w:pPr>
            <w:r w:rsidRPr="00B44B19">
              <w:rPr>
                <w:color w:val="000000"/>
                <w:sz w:val="20"/>
                <w:szCs w:val="20"/>
              </w:rPr>
              <w:t>16 360 168</w:t>
            </w:r>
            <w:r w:rsidR="004B6ADD" w:rsidRPr="00B44B19">
              <w:rPr>
                <w:iCs/>
                <w:noProof/>
                <w:sz w:val="20"/>
              </w:rPr>
              <w:t>,00</w:t>
            </w:r>
          </w:p>
        </w:tc>
      </w:tr>
      <w:tr w:rsidR="004B6ADD" w:rsidRPr="00B44B19" w14:paraId="10CFB9EA" w14:textId="77777777" w:rsidTr="00C4496A">
        <w:tc>
          <w:tcPr>
            <w:tcW w:w="1101" w:type="dxa"/>
            <w:vMerge/>
          </w:tcPr>
          <w:p w14:paraId="0797DA92" w14:textId="77777777" w:rsidR="004B6ADD" w:rsidRPr="00B44B19" w:rsidRDefault="004B6ADD" w:rsidP="004B6ADD">
            <w:pPr>
              <w:jc w:val="center"/>
              <w:rPr>
                <w:iCs/>
                <w:noProof/>
                <w:sz w:val="20"/>
              </w:rPr>
            </w:pPr>
          </w:p>
        </w:tc>
        <w:tc>
          <w:tcPr>
            <w:tcW w:w="850" w:type="dxa"/>
            <w:vMerge/>
          </w:tcPr>
          <w:p w14:paraId="67A8D700" w14:textId="77777777" w:rsidR="004B6ADD" w:rsidRPr="00B44B19" w:rsidRDefault="004B6ADD" w:rsidP="004B6ADD">
            <w:pPr>
              <w:jc w:val="center"/>
              <w:rPr>
                <w:iCs/>
                <w:noProof/>
                <w:sz w:val="20"/>
              </w:rPr>
            </w:pPr>
          </w:p>
        </w:tc>
        <w:tc>
          <w:tcPr>
            <w:tcW w:w="1559" w:type="dxa"/>
          </w:tcPr>
          <w:p w14:paraId="534D022B" w14:textId="77777777" w:rsidR="004B6ADD" w:rsidRPr="00B44B19" w:rsidRDefault="004B6ADD" w:rsidP="004B6ADD">
            <w:pPr>
              <w:rPr>
                <w:iCs/>
                <w:noProof/>
                <w:sz w:val="20"/>
              </w:rPr>
            </w:pPr>
            <w:r w:rsidRPr="00B44B19">
              <w:rPr>
                <w:iCs/>
                <w:noProof/>
                <w:sz w:val="20"/>
              </w:rPr>
              <w:t>VVL regionas</w:t>
            </w:r>
          </w:p>
        </w:tc>
        <w:tc>
          <w:tcPr>
            <w:tcW w:w="1134" w:type="dxa"/>
            <w:vMerge/>
          </w:tcPr>
          <w:p w14:paraId="4C58FABF" w14:textId="77777777" w:rsidR="004B6ADD" w:rsidRPr="00B44B19" w:rsidRDefault="004B6ADD" w:rsidP="004B6ADD">
            <w:pPr>
              <w:jc w:val="center"/>
              <w:rPr>
                <w:iCs/>
                <w:noProof/>
                <w:sz w:val="20"/>
              </w:rPr>
            </w:pPr>
          </w:p>
        </w:tc>
        <w:tc>
          <w:tcPr>
            <w:tcW w:w="3686" w:type="dxa"/>
            <w:vMerge/>
          </w:tcPr>
          <w:p w14:paraId="0C984409" w14:textId="77777777" w:rsidR="004B6ADD" w:rsidRPr="00B44B19" w:rsidRDefault="004B6ADD" w:rsidP="004B6ADD">
            <w:pPr>
              <w:jc w:val="center"/>
              <w:rPr>
                <w:iCs/>
                <w:noProof/>
                <w:sz w:val="20"/>
              </w:rPr>
            </w:pPr>
          </w:p>
        </w:tc>
        <w:tc>
          <w:tcPr>
            <w:tcW w:w="1559" w:type="dxa"/>
          </w:tcPr>
          <w:p w14:paraId="4876CE28" w14:textId="32970EAA" w:rsidR="004B6ADD" w:rsidRPr="00B44B19" w:rsidRDefault="001153D2" w:rsidP="001153D2">
            <w:pPr>
              <w:jc w:val="right"/>
              <w:rPr>
                <w:iCs/>
                <w:noProof/>
                <w:sz w:val="20"/>
              </w:rPr>
            </w:pPr>
            <w:r w:rsidRPr="00B44B19">
              <w:rPr>
                <w:color w:val="000000"/>
                <w:sz w:val="20"/>
                <w:szCs w:val="20"/>
              </w:rPr>
              <w:t>172 012 983</w:t>
            </w:r>
            <w:r w:rsidR="004B6ADD" w:rsidRPr="00B44B19">
              <w:rPr>
                <w:iCs/>
                <w:noProof/>
                <w:sz w:val="20"/>
              </w:rPr>
              <w:t>,00</w:t>
            </w:r>
          </w:p>
        </w:tc>
      </w:tr>
    </w:tbl>
    <w:p w14:paraId="0C1BF045" w14:textId="77777777" w:rsidR="004B6ADD" w:rsidRPr="00B44B19" w:rsidRDefault="004B6ADD" w:rsidP="00C4496A">
      <w:pPr>
        <w:spacing w:after="0" w:line="240" w:lineRule="auto"/>
        <w:rPr>
          <w:rFonts w:eastAsia="Times New Roman" w:cs="Times New Roman"/>
          <w:iCs/>
          <w:noProof/>
          <w:sz w:val="20"/>
          <w:szCs w:val="20"/>
        </w:rPr>
      </w:pPr>
    </w:p>
    <w:tbl>
      <w:tblPr>
        <w:tblStyle w:val="Lentelstinklelis40"/>
        <w:tblW w:w="9889" w:type="dxa"/>
        <w:tblLook w:val="04A0" w:firstRow="1" w:lastRow="0" w:firstColumn="1" w:lastColumn="0" w:noHBand="0" w:noVBand="1"/>
      </w:tblPr>
      <w:tblGrid>
        <w:gridCol w:w="1101"/>
        <w:gridCol w:w="850"/>
        <w:gridCol w:w="1559"/>
        <w:gridCol w:w="1134"/>
        <w:gridCol w:w="3686"/>
        <w:gridCol w:w="1559"/>
      </w:tblGrid>
      <w:tr w:rsidR="004B6ADD" w:rsidRPr="00B44B19" w14:paraId="12AB1AAF"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6DD4BA1" w14:textId="77777777" w:rsidR="004B6ADD" w:rsidRPr="00B44B19" w:rsidRDefault="004B6ADD" w:rsidP="004B6ADD">
            <w:pPr>
              <w:rPr>
                <w:b/>
                <w:iCs/>
                <w:noProof/>
                <w:sz w:val="20"/>
                <w:szCs w:val="20"/>
              </w:rPr>
            </w:pPr>
            <w:r w:rsidRPr="00B44B19">
              <w:rPr>
                <w:b/>
                <w:noProof/>
                <w:sz w:val="20"/>
                <w:szCs w:val="20"/>
              </w:rPr>
              <w:t>8 lentelė. 7 matmuo</w:t>
            </w:r>
            <w:r w:rsidR="001F6E55" w:rsidRPr="00B44B19">
              <w:rPr>
                <w:b/>
                <w:noProof/>
                <w:sz w:val="20"/>
                <w:szCs w:val="20"/>
              </w:rPr>
              <w:t>:</w:t>
            </w:r>
            <w:r w:rsidRPr="00B44B19">
              <w:rPr>
                <w:b/>
                <w:noProof/>
                <w:sz w:val="20"/>
                <w:szCs w:val="20"/>
              </w:rPr>
              <w:t xml:space="preserve"> </w:t>
            </w:r>
            <w:r w:rsidRPr="00B44B19">
              <w:rPr>
                <w:b/>
                <w:sz w:val="20"/>
                <w:szCs w:val="20"/>
              </w:rPr>
              <w:t>ESF+, ERPF, S</w:t>
            </w:r>
            <w:r w:rsidR="001F6E55" w:rsidRPr="00B44B19">
              <w:rPr>
                <w:b/>
                <w:sz w:val="20"/>
                <w:szCs w:val="20"/>
              </w:rPr>
              <w:t>a</w:t>
            </w:r>
            <w:r w:rsidRPr="00B44B19">
              <w:rPr>
                <w:b/>
                <w:sz w:val="20"/>
                <w:szCs w:val="20"/>
              </w:rPr>
              <w:t>F ir TPF lyčių lygybės matmuo</w:t>
            </w:r>
          </w:p>
        </w:tc>
      </w:tr>
      <w:tr w:rsidR="004B6ADD" w:rsidRPr="00B44B19" w14:paraId="6AA187BF"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2B7215" w14:textId="77777777" w:rsidR="004B6ADD" w:rsidRPr="00B44B19" w:rsidRDefault="004B6ADD" w:rsidP="004B6ADD">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C4668C" w14:textId="77777777" w:rsidR="004B6ADD" w:rsidRPr="00B44B19" w:rsidRDefault="004B6ADD" w:rsidP="004B6ADD">
            <w:pPr>
              <w:jc w:val="center"/>
              <w:rPr>
                <w:b/>
                <w:iCs/>
                <w:noProof/>
                <w:sz w:val="20"/>
              </w:rPr>
            </w:pPr>
            <w:r w:rsidRPr="00B44B19">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9ED74F" w14:textId="77777777" w:rsidR="004B6ADD" w:rsidRPr="00B44B19" w:rsidRDefault="004B6ADD" w:rsidP="004B6ADD">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B6D25B" w14:textId="77777777" w:rsidR="004B6ADD" w:rsidRPr="00B44B19" w:rsidRDefault="004B6ADD" w:rsidP="004B6ADD">
            <w:pPr>
              <w:jc w:val="center"/>
              <w:rPr>
                <w:b/>
                <w:iCs/>
                <w:noProof/>
                <w:sz w:val="20"/>
              </w:rPr>
            </w:pPr>
            <w:r w:rsidRPr="00B44B1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B0D30A" w14:textId="77777777" w:rsidR="004B6ADD" w:rsidRPr="00B44B19" w:rsidRDefault="004B6ADD" w:rsidP="004B6ADD">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9CE247" w14:textId="77777777" w:rsidR="004B6ADD" w:rsidRPr="00B44B19" w:rsidRDefault="004B6ADD" w:rsidP="004B6ADD">
            <w:pPr>
              <w:jc w:val="center"/>
              <w:rPr>
                <w:b/>
                <w:iCs/>
                <w:noProof/>
                <w:sz w:val="20"/>
              </w:rPr>
            </w:pPr>
            <w:r w:rsidRPr="00B44B19">
              <w:rPr>
                <w:b/>
                <w:noProof/>
                <w:sz w:val="20"/>
              </w:rPr>
              <w:t>Suma (EUR)</w:t>
            </w:r>
          </w:p>
        </w:tc>
      </w:tr>
      <w:tr w:rsidR="00B05ED9" w:rsidRPr="00B44B19" w14:paraId="12BAA443" w14:textId="77777777" w:rsidTr="00C4496A">
        <w:tc>
          <w:tcPr>
            <w:tcW w:w="1101" w:type="dxa"/>
            <w:vMerge w:val="restart"/>
            <w:tcBorders>
              <w:top w:val="single" w:sz="12" w:space="0" w:color="auto"/>
            </w:tcBorders>
          </w:tcPr>
          <w:p w14:paraId="51E18EF1" w14:textId="77777777" w:rsidR="00B05ED9" w:rsidRPr="00B44B19" w:rsidRDefault="00B05ED9" w:rsidP="004B6ADD">
            <w:pPr>
              <w:jc w:val="center"/>
              <w:rPr>
                <w:iCs/>
                <w:noProof/>
                <w:sz w:val="20"/>
              </w:rPr>
            </w:pPr>
            <w:r w:rsidRPr="00B44B19">
              <w:rPr>
                <w:iCs/>
                <w:noProof/>
                <w:sz w:val="20"/>
              </w:rPr>
              <w:t>4</w:t>
            </w:r>
          </w:p>
        </w:tc>
        <w:tc>
          <w:tcPr>
            <w:tcW w:w="850" w:type="dxa"/>
            <w:vMerge w:val="restart"/>
            <w:tcBorders>
              <w:top w:val="single" w:sz="12" w:space="0" w:color="auto"/>
            </w:tcBorders>
          </w:tcPr>
          <w:p w14:paraId="5535843F" w14:textId="77777777" w:rsidR="00B05ED9" w:rsidRPr="00B44B19" w:rsidRDefault="00B05ED9" w:rsidP="004B6ADD">
            <w:pPr>
              <w:jc w:val="center"/>
              <w:rPr>
                <w:iCs/>
                <w:noProof/>
                <w:sz w:val="20"/>
              </w:rPr>
            </w:pPr>
            <w:r w:rsidRPr="00B44B19">
              <w:rPr>
                <w:iCs/>
                <w:noProof/>
                <w:sz w:val="20"/>
              </w:rPr>
              <w:t>ESF+</w:t>
            </w:r>
          </w:p>
        </w:tc>
        <w:tc>
          <w:tcPr>
            <w:tcW w:w="1559" w:type="dxa"/>
            <w:tcBorders>
              <w:top w:val="single" w:sz="12" w:space="0" w:color="auto"/>
            </w:tcBorders>
          </w:tcPr>
          <w:p w14:paraId="011F56C8" w14:textId="77777777" w:rsidR="00B05ED9" w:rsidRPr="00B44B19" w:rsidRDefault="00B05ED9" w:rsidP="004B6ADD">
            <w:pPr>
              <w:rPr>
                <w:iCs/>
                <w:noProof/>
                <w:sz w:val="20"/>
              </w:rPr>
            </w:pPr>
            <w:r w:rsidRPr="00B44B19">
              <w:rPr>
                <w:iCs/>
                <w:noProof/>
                <w:sz w:val="20"/>
              </w:rPr>
              <w:t>Sostinės regionas</w:t>
            </w:r>
          </w:p>
        </w:tc>
        <w:tc>
          <w:tcPr>
            <w:tcW w:w="1134" w:type="dxa"/>
            <w:vMerge w:val="restart"/>
            <w:tcBorders>
              <w:top w:val="single" w:sz="12" w:space="0" w:color="auto"/>
            </w:tcBorders>
          </w:tcPr>
          <w:p w14:paraId="2A50EDBB" w14:textId="77777777" w:rsidR="00B05ED9" w:rsidRPr="00B44B19" w:rsidRDefault="00B05ED9" w:rsidP="004B6ADD">
            <w:pPr>
              <w:jc w:val="center"/>
              <w:rPr>
                <w:iCs/>
                <w:noProof/>
                <w:sz w:val="20"/>
              </w:rPr>
            </w:pPr>
            <w:r w:rsidRPr="00B44B19">
              <w:rPr>
                <w:iCs/>
                <w:noProof/>
                <w:sz w:val="20"/>
              </w:rPr>
              <w:t>4.1</w:t>
            </w:r>
          </w:p>
        </w:tc>
        <w:tc>
          <w:tcPr>
            <w:tcW w:w="3686" w:type="dxa"/>
            <w:vMerge w:val="restart"/>
            <w:tcBorders>
              <w:top w:val="single" w:sz="12" w:space="0" w:color="auto"/>
            </w:tcBorders>
          </w:tcPr>
          <w:p w14:paraId="7DBCE5D0" w14:textId="77777777" w:rsidR="00B05ED9" w:rsidRPr="00B44B19" w:rsidRDefault="00B05ED9" w:rsidP="00BA535F">
            <w:pPr>
              <w:rPr>
                <w:iCs/>
                <w:noProof/>
                <w:sz w:val="20"/>
              </w:rPr>
            </w:pPr>
            <w:r w:rsidRPr="00B44B19">
              <w:rPr>
                <w:iCs/>
                <w:noProof/>
                <w:sz w:val="20"/>
              </w:rPr>
              <w:t>02 – Lyčių aspekto integravimas</w:t>
            </w:r>
          </w:p>
        </w:tc>
        <w:tc>
          <w:tcPr>
            <w:tcW w:w="1559" w:type="dxa"/>
            <w:tcBorders>
              <w:top w:val="single" w:sz="12" w:space="0" w:color="auto"/>
            </w:tcBorders>
          </w:tcPr>
          <w:p w14:paraId="52C961D2" w14:textId="681A69AB" w:rsidR="00B05ED9" w:rsidRPr="00B44B19" w:rsidRDefault="004A3859" w:rsidP="004A3859">
            <w:pPr>
              <w:jc w:val="right"/>
              <w:rPr>
                <w:iCs/>
                <w:noProof/>
                <w:sz w:val="20"/>
              </w:rPr>
            </w:pPr>
            <w:r w:rsidRPr="00B44B19">
              <w:rPr>
                <w:color w:val="000000"/>
                <w:sz w:val="20"/>
                <w:szCs w:val="20"/>
              </w:rPr>
              <w:t>19 353 591</w:t>
            </w:r>
            <w:r w:rsidR="00B05ED9" w:rsidRPr="00B44B19">
              <w:rPr>
                <w:iCs/>
                <w:noProof/>
                <w:sz w:val="20"/>
              </w:rPr>
              <w:t>,00</w:t>
            </w:r>
          </w:p>
        </w:tc>
      </w:tr>
      <w:tr w:rsidR="00B05ED9" w:rsidRPr="00B44B19" w14:paraId="7E2D966D" w14:textId="77777777" w:rsidTr="00C4496A">
        <w:tc>
          <w:tcPr>
            <w:tcW w:w="1101" w:type="dxa"/>
            <w:vMerge/>
          </w:tcPr>
          <w:p w14:paraId="1D3C5231" w14:textId="77777777" w:rsidR="00B05ED9" w:rsidRPr="00B44B19" w:rsidRDefault="00B05ED9" w:rsidP="004B6ADD">
            <w:pPr>
              <w:jc w:val="center"/>
              <w:rPr>
                <w:iCs/>
                <w:noProof/>
                <w:sz w:val="20"/>
              </w:rPr>
            </w:pPr>
          </w:p>
        </w:tc>
        <w:tc>
          <w:tcPr>
            <w:tcW w:w="850" w:type="dxa"/>
            <w:vMerge/>
          </w:tcPr>
          <w:p w14:paraId="2E29EFF4" w14:textId="77777777" w:rsidR="00B05ED9" w:rsidRPr="00B44B19" w:rsidRDefault="00B05ED9" w:rsidP="004B6ADD">
            <w:pPr>
              <w:jc w:val="center"/>
              <w:rPr>
                <w:iCs/>
                <w:noProof/>
                <w:sz w:val="20"/>
              </w:rPr>
            </w:pPr>
          </w:p>
        </w:tc>
        <w:tc>
          <w:tcPr>
            <w:tcW w:w="1559" w:type="dxa"/>
          </w:tcPr>
          <w:p w14:paraId="19E7286D" w14:textId="77777777" w:rsidR="00B05ED9" w:rsidRPr="00B44B19" w:rsidRDefault="00B05ED9" w:rsidP="004B6ADD">
            <w:pPr>
              <w:rPr>
                <w:iCs/>
                <w:noProof/>
                <w:sz w:val="20"/>
              </w:rPr>
            </w:pPr>
            <w:r w:rsidRPr="00B44B19">
              <w:rPr>
                <w:iCs/>
                <w:noProof/>
                <w:sz w:val="20"/>
              </w:rPr>
              <w:t>VVL regionas</w:t>
            </w:r>
          </w:p>
        </w:tc>
        <w:tc>
          <w:tcPr>
            <w:tcW w:w="1134" w:type="dxa"/>
            <w:vMerge/>
          </w:tcPr>
          <w:p w14:paraId="5406ADB2" w14:textId="77777777" w:rsidR="00B05ED9" w:rsidRPr="00B44B19" w:rsidRDefault="00B05ED9" w:rsidP="004B6ADD">
            <w:pPr>
              <w:jc w:val="center"/>
              <w:rPr>
                <w:iCs/>
                <w:noProof/>
                <w:sz w:val="20"/>
              </w:rPr>
            </w:pPr>
          </w:p>
        </w:tc>
        <w:tc>
          <w:tcPr>
            <w:tcW w:w="3686" w:type="dxa"/>
            <w:vMerge/>
          </w:tcPr>
          <w:p w14:paraId="1F42662D" w14:textId="77777777" w:rsidR="00B05ED9" w:rsidRPr="00B44B19" w:rsidRDefault="00B05ED9" w:rsidP="004B6ADD">
            <w:pPr>
              <w:jc w:val="center"/>
              <w:rPr>
                <w:iCs/>
                <w:noProof/>
                <w:sz w:val="20"/>
              </w:rPr>
            </w:pPr>
          </w:p>
        </w:tc>
        <w:tc>
          <w:tcPr>
            <w:tcW w:w="1559" w:type="dxa"/>
          </w:tcPr>
          <w:p w14:paraId="51567E06" w14:textId="5854C420" w:rsidR="00B05ED9" w:rsidRPr="00B44B19" w:rsidRDefault="004A3859" w:rsidP="004A3859">
            <w:pPr>
              <w:jc w:val="right"/>
              <w:rPr>
                <w:iCs/>
                <w:noProof/>
                <w:sz w:val="20"/>
              </w:rPr>
            </w:pPr>
            <w:r w:rsidRPr="00B44B19">
              <w:rPr>
                <w:color w:val="000000"/>
                <w:sz w:val="20"/>
                <w:szCs w:val="20"/>
              </w:rPr>
              <w:t>205 002 210</w:t>
            </w:r>
            <w:r w:rsidR="00B05ED9" w:rsidRPr="00B44B19">
              <w:rPr>
                <w:iCs/>
                <w:noProof/>
                <w:sz w:val="20"/>
              </w:rPr>
              <w:t>,00</w:t>
            </w:r>
          </w:p>
        </w:tc>
      </w:tr>
      <w:tr w:rsidR="00B05ED9" w:rsidRPr="00B44B19" w14:paraId="0E56E7F6" w14:textId="77777777" w:rsidTr="00C4496A">
        <w:tc>
          <w:tcPr>
            <w:tcW w:w="1101" w:type="dxa"/>
            <w:vMerge/>
          </w:tcPr>
          <w:p w14:paraId="35F0C32B" w14:textId="77777777" w:rsidR="00B05ED9" w:rsidRPr="00B44B19" w:rsidRDefault="00B05ED9" w:rsidP="004B6ADD">
            <w:pPr>
              <w:jc w:val="center"/>
              <w:rPr>
                <w:iCs/>
                <w:noProof/>
                <w:sz w:val="20"/>
              </w:rPr>
            </w:pPr>
          </w:p>
        </w:tc>
        <w:tc>
          <w:tcPr>
            <w:tcW w:w="850" w:type="dxa"/>
            <w:vMerge/>
          </w:tcPr>
          <w:p w14:paraId="707C0DED" w14:textId="77777777" w:rsidR="00B05ED9" w:rsidRPr="00B44B19" w:rsidRDefault="00B05ED9" w:rsidP="004B6ADD">
            <w:pPr>
              <w:jc w:val="center"/>
              <w:rPr>
                <w:iCs/>
                <w:noProof/>
                <w:sz w:val="20"/>
              </w:rPr>
            </w:pPr>
          </w:p>
        </w:tc>
        <w:tc>
          <w:tcPr>
            <w:tcW w:w="1559" w:type="dxa"/>
          </w:tcPr>
          <w:p w14:paraId="622F3DF9" w14:textId="77777777" w:rsidR="00B05ED9" w:rsidRPr="00B44B19" w:rsidRDefault="00B05ED9" w:rsidP="00BA535F">
            <w:pPr>
              <w:rPr>
                <w:iCs/>
                <w:noProof/>
                <w:sz w:val="20"/>
              </w:rPr>
            </w:pPr>
            <w:r w:rsidRPr="00B44B19">
              <w:rPr>
                <w:iCs/>
                <w:noProof/>
                <w:sz w:val="20"/>
              </w:rPr>
              <w:t>Sostinės regionas</w:t>
            </w:r>
          </w:p>
        </w:tc>
        <w:tc>
          <w:tcPr>
            <w:tcW w:w="1134" w:type="dxa"/>
            <w:vMerge/>
          </w:tcPr>
          <w:p w14:paraId="4969637B" w14:textId="77777777" w:rsidR="00B05ED9" w:rsidRPr="00B44B19" w:rsidRDefault="00B05ED9" w:rsidP="004B6ADD">
            <w:pPr>
              <w:jc w:val="center"/>
              <w:rPr>
                <w:iCs/>
                <w:noProof/>
                <w:sz w:val="20"/>
              </w:rPr>
            </w:pPr>
          </w:p>
        </w:tc>
        <w:tc>
          <w:tcPr>
            <w:tcW w:w="3686" w:type="dxa"/>
            <w:vMerge w:val="restart"/>
          </w:tcPr>
          <w:p w14:paraId="6B1A4058" w14:textId="77777777" w:rsidR="00B05ED9" w:rsidRPr="00B44B19" w:rsidRDefault="00B05ED9" w:rsidP="00B05ED9">
            <w:pPr>
              <w:rPr>
                <w:iCs/>
                <w:noProof/>
                <w:sz w:val="20"/>
              </w:rPr>
            </w:pPr>
            <w:r w:rsidRPr="00B44B19">
              <w:rPr>
                <w:iCs/>
                <w:noProof/>
                <w:sz w:val="20"/>
              </w:rPr>
              <w:t>03 – Neutralumas lyties požiūriu</w:t>
            </w:r>
          </w:p>
        </w:tc>
        <w:tc>
          <w:tcPr>
            <w:tcW w:w="1559" w:type="dxa"/>
          </w:tcPr>
          <w:p w14:paraId="692367ED" w14:textId="77777777" w:rsidR="00B05ED9" w:rsidRPr="00B44B19" w:rsidRDefault="00B05ED9" w:rsidP="00BA535F">
            <w:pPr>
              <w:jc w:val="right"/>
              <w:rPr>
                <w:iCs/>
                <w:noProof/>
                <w:sz w:val="20"/>
              </w:rPr>
            </w:pPr>
            <w:r w:rsidRPr="00B44B19">
              <w:rPr>
                <w:bCs/>
                <w:iCs/>
                <w:noProof/>
                <w:sz w:val="20"/>
              </w:rPr>
              <w:t>490 000,00</w:t>
            </w:r>
          </w:p>
        </w:tc>
      </w:tr>
      <w:tr w:rsidR="00B05ED9" w:rsidRPr="00B44B19" w14:paraId="1A6A5F56" w14:textId="77777777" w:rsidTr="00C4496A">
        <w:tc>
          <w:tcPr>
            <w:tcW w:w="1101" w:type="dxa"/>
            <w:vMerge/>
          </w:tcPr>
          <w:p w14:paraId="370D7B52" w14:textId="77777777" w:rsidR="00B05ED9" w:rsidRPr="00B44B19" w:rsidRDefault="00B05ED9" w:rsidP="004B6ADD">
            <w:pPr>
              <w:jc w:val="center"/>
              <w:rPr>
                <w:iCs/>
                <w:noProof/>
                <w:sz w:val="20"/>
              </w:rPr>
            </w:pPr>
          </w:p>
        </w:tc>
        <w:tc>
          <w:tcPr>
            <w:tcW w:w="850" w:type="dxa"/>
            <w:vMerge/>
          </w:tcPr>
          <w:p w14:paraId="1B40C00C" w14:textId="77777777" w:rsidR="00B05ED9" w:rsidRPr="00B44B19" w:rsidRDefault="00B05ED9" w:rsidP="004B6ADD">
            <w:pPr>
              <w:jc w:val="center"/>
              <w:rPr>
                <w:iCs/>
                <w:noProof/>
                <w:sz w:val="20"/>
              </w:rPr>
            </w:pPr>
          </w:p>
        </w:tc>
        <w:tc>
          <w:tcPr>
            <w:tcW w:w="1559" w:type="dxa"/>
          </w:tcPr>
          <w:p w14:paraId="1E145C3C" w14:textId="77777777" w:rsidR="00B05ED9" w:rsidRPr="00B44B19" w:rsidRDefault="00B05ED9" w:rsidP="00BA535F">
            <w:pPr>
              <w:rPr>
                <w:iCs/>
                <w:noProof/>
                <w:sz w:val="20"/>
              </w:rPr>
            </w:pPr>
            <w:r w:rsidRPr="00B44B19">
              <w:rPr>
                <w:iCs/>
                <w:noProof/>
                <w:sz w:val="20"/>
              </w:rPr>
              <w:t>VVL regionas</w:t>
            </w:r>
          </w:p>
        </w:tc>
        <w:tc>
          <w:tcPr>
            <w:tcW w:w="1134" w:type="dxa"/>
            <w:vMerge/>
          </w:tcPr>
          <w:p w14:paraId="0E233567" w14:textId="77777777" w:rsidR="00B05ED9" w:rsidRPr="00B44B19" w:rsidRDefault="00B05ED9" w:rsidP="004B6ADD">
            <w:pPr>
              <w:jc w:val="center"/>
              <w:rPr>
                <w:iCs/>
                <w:noProof/>
                <w:sz w:val="20"/>
              </w:rPr>
            </w:pPr>
          </w:p>
        </w:tc>
        <w:tc>
          <w:tcPr>
            <w:tcW w:w="3686" w:type="dxa"/>
            <w:vMerge/>
          </w:tcPr>
          <w:p w14:paraId="77C46E75" w14:textId="77777777" w:rsidR="00B05ED9" w:rsidRPr="00B44B19" w:rsidRDefault="00B05ED9" w:rsidP="004B6ADD">
            <w:pPr>
              <w:jc w:val="center"/>
              <w:rPr>
                <w:iCs/>
                <w:noProof/>
                <w:sz w:val="20"/>
              </w:rPr>
            </w:pPr>
          </w:p>
        </w:tc>
        <w:tc>
          <w:tcPr>
            <w:tcW w:w="1559" w:type="dxa"/>
          </w:tcPr>
          <w:p w14:paraId="45CE67A1" w14:textId="77777777" w:rsidR="00B05ED9" w:rsidRPr="00B44B19" w:rsidRDefault="00B05ED9" w:rsidP="00BA535F">
            <w:pPr>
              <w:jc w:val="right"/>
              <w:rPr>
                <w:iCs/>
                <w:noProof/>
                <w:sz w:val="20"/>
              </w:rPr>
            </w:pPr>
            <w:r w:rsidRPr="00B44B19">
              <w:rPr>
                <w:iCs/>
                <w:noProof/>
                <w:sz w:val="20"/>
              </w:rPr>
              <w:t>1 075 250,00</w:t>
            </w:r>
          </w:p>
        </w:tc>
      </w:tr>
    </w:tbl>
    <w:p w14:paraId="7DD82388" w14:textId="77777777" w:rsidR="00B20FF1" w:rsidRPr="00B44B19" w:rsidRDefault="00B20FF1" w:rsidP="00B20FF1">
      <w:pPr>
        <w:rPr>
          <w:rFonts w:cs="Times New Roman"/>
        </w:rPr>
      </w:pPr>
    </w:p>
    <w:p w14:paraId="67D80892" w14:textId="77777777" w:rsidR="00EF291A" w:rsidRPr="00B44B19" w:rsidRDefault="006A1C51" w:rsidP="00D456C1">
      <w:pPr>
        <w:pStyle w:val="Antrat2"/>
      </w:pPr>
      <w:bookmarkStart w:id="39" w:name="_Toc223435427"/>
      <w:r w:rsidRPr="00B44B19">
        <w:lastRenderedPageBreak/>
        <w:t>Konkretus uždavinys – 4.</w:t>
      </w:r>
      <w:r w:rsidR="00D973F5" w:rsidRPr="00B44B19">
        <w:t>2</w:t>
      </w:r>
      <w:r w:rsidR="00015A7B" w:rsidRPr="00B44B19">
        <w:t>.</w:t>
      </w:r>
      <w:r w:rsidRPr="00B44B19">
        <w:t xml:space="preserve"> </w:t>
      </w:r>
      <w:r w:rsidR="001B4E21" w:rsidRPr="00B44B19">
        <w:rPr>
          <w:lang w:bidi="lt-LT"/>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bookmarkEnd w:id="39"/>
    </w:p>
    <w:p w14:paraId="65CDC618" w14:textId="77777777" w:rsidR="006A1C51" w:rsidRPr="00B44B19" w:rsidRDefault="006A1C51" w:rsidP="001E5B12">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3"/>
        <w:tblW w:w="9634" w:type="dxa"/>
        <w:tblLook w:val="04A0" w:firstRow="1" w:lastRow="0" w:firstColumn="1" w:lastColumn="0" w:noHBand="0" w:noVBand="1"/>
      </w:tblPr>
      <w:tblGrid>
        <w:gridCol w:w="9634"/>
      </w:tblGrid>
      <w:tr w:rsidR="00C14EA4" w:rsidRPr="00B44B19" w14:paraId="4AA07530" w14:textId="77777777" w:rsidTr="00123B07">
        <w:tc>
          <w:tcPr>
            <w:tcW w:w="9634" w:type="dxa"/>
          </w:tcPr>
          <w:p w14:paraId="223566A1" w14:textId="77777777" w:rsidR="007E00FD" w:rsidRPr="00B44B19" w:rsidRDefault="007E00FD" w:rsidP="007D0221">
            <w:pPr>
              <w:spacing w:before="60" w:after="60"/>
              <w:jc w:val="both"/>
              <w:rPr>
                <w:rFonts w:ascii="Times New Roman" w:hAnsi="Times New Roman" w:cs="Times New Roman"/>
                <w:shd w:val="clear" w:color="auto" w:fill="D6E3BC" w:themeFill="accent3" w:themeFillTint="66"/>
              </w:rPr>
            </w:pPr>
            <w:r w:rsidRPr="00B44B19">
              <w:rPr>
                <w:rFonts w:ascii="Times New Roman" w:hAnsi="Times New Roman" w:cs="Times New Roman"/>
              </w:rPr>
              <w:t>Pagrindinis šių intervencijų uždavinys yra didinti švietimo sistemos kokybę ir rezultatyv</w:t>
            </w:r>
            <w:r w:rsidR="00665638" w:rsidRPr="00B44B19">
              <w:rPr>
                <w:rFonts w:ascii="Times New Roman" w:hAnsi="Times New Roman" w:cs="Times New Roman"/>
              </w:rPr>
              <w:t>u</w:t>
            </w:r>
            <w:r w:rsidRPr="00B44B19">
              <w:rPr>
                <w:rFonts w:ascii="Times New Roman" w:hAnsi="Times New Roman" w:cs="Times New Roman"/>
              </w:rPr>
              <w:t xml:space="preserve">mą, prioritetą skiriant </w:t>
            </w:r>
            <w:r w:rsidR="00424290" w:rsidRPr="00B44B19">
              <w:rPr>
                <w:rFonts w:ascii="Times New Roman" w:hAnsi="Times New Roman" w:cs="Times New Roman"/>
              </w:rPr>
              <w:t>reikalingiems švietimo specialistams pritraukti ir vaikų dalyvavimui ankstyvojo ugdymo programose didinti</w:t>
            </w:r>
            <w:r w:rsidRPr="00B44B19">
              <w:rPr>
                <w:rFonts w:ascii="Times New Roman" w:hAnsi="Times New Roman" w:cs="Times New Roman"/>
              </w:rPr>
              <w:t>.</w:t>
            </w:r>
          </w:p>
          <w:p w14:paraId="75AEF525" w14:textId="77777777" w:rsidR="007E00FD" w:rsidRPr="00B44B19" w:rsidRDefault="007E00FD" w:rsidP="007D0221">
            <w:pPr>
              <w:spacing w:before="60" w:after="60"/>
              <w:jc w:val="both"/>
              <w:rPr>
                <w:rFonts w:ascii="Times New Roman" w:hAnsi="Times New Roman" w:cs="Times New Roman"/>
                <w:shd w:val="clear" w:color="auto" w:fill="D6E3BC" w:themeFill="accent3" w:themeFillTint="66"/>
              </w:rPr>
            </w:pPr>
            <w:r w:rsidRPr="00B44B19">
              <w:rPr>
                <w:rFonts w:ascii="Times New Roman" w:hAnsi="Times New Roman" w:cs="Times New Roman"/>
              </w:rPr>
              <w:t>Vidutinis šalies mokytojų amžius siekia apie 50 metų. Siekti aukštesnių rezultatų ir pažangos yra sudėtinga, nes mokyklose trūksta pagalbos mokiniui specialistų. 2017 m. jokio pagalbos mokiniui specialisto nebuvo 9</w:t>
            </w:r>
            <w:r w:rsidR="00C93D8C" w:rsidRPr="00B44B19">
              <w:rPr>
                <w:rFonts w:ascii="Times New Roman" w:hAnsi="Times New Roman" w:cs="Times New Roman"/>
              </w:rPr>
              <w:t> %</w:t>
            </w:r>
            <w:r w:rsidRPr="00B44B19">
              <w:rPr>
                <w:rFonts w:ascii="Times New Roman" w:hAnsi="Times New Roman" w:cs="Times New Roman"/>
              </w:rPr>
              <w:t xml:space="preserve"> BU mokyklų, daugiau nei pusė šalies mokyklų (50,6</w:t>
            </w:r>
            <w:r w:rsidR="00C93D8C" w:rsidRPr="00B44B19">
              <w:rPr>
                <w:rFonts w:ascii="Times New Roman" w:hAnsi="Times New Roman" w:cs="Times New Roman"/>
              </w:rPr>
              <w:t> %</w:t>
            </w:r>
            <w:r w:rsidRPr="00B44B19">
              <w:rPr>
                <w:rFonts w:ascii="Times New Roman" w:hAnsi="Times New Roman" w:cs="Times New Roman"/>
              </w:rPr>
              <w:t>) neturėjo psichologo, o specialiojo pedagogo ar logopedo neturėjo 28,3</w:t>
            </w:r>
            <w:r w:rsidR="00C93D8C" w:rsidRPr="00B44B19">
              <w:rPr>
                <w:rFonts w:ascii="Times New Roman" w:hAnsi="Times New Roman" w:cs="Times New Roman"/>
              </w:rPr>
              <w:t> %</w:t>
            </w:r>
            <w:r w:rsidRPr="00B44B19">
              <w:rPr>
                <w:rFonts w:ascii="Times New Roman" w:hAnsi="Times New Roman" w:cs="Times New Roman"/>
              </w:rPr>
              <w:t xml:space="preserve"> mokyklų. Švietimo sistema susiduria su dideliais žmogiškųjų resursų iššūkiais, trukdančiais užtikrinti jos kokybę ir rezultatyvumą. 2020 m. </w:t>
            </w:r>
            <w:r w:rsidR="005222EB" w:rsidRPr="00B44B19">
              <w:rPr>
                <w:rFonts w:ascii="Times New Roman" w:hAnsi="Times New Roman" w:cs="Times New Roman"/>
              </w:rPr>
              <w:t>pandemijos</w:t>
            </w:r>
            <w:r w:rsidR="00424290" w:rsidRPr="00B44B19">
              <w:rPr>
                <w:rFonts w:ascii="Times New Roman" w:hAnsi="Times New Roman" w:cs="Times New Roman"/>
              </w:rPr>
              <w:t xml:space="preserve"> metu išryškėjo kokybiško</w:t>
            </w:r>
            <w:r w:rsidRPr="00B44B19">
              <w:rPr>
                <w:rFonts w:ascii="Times New Roman" w:hAnsi="Times New Roman" w:cs="Times New Roman"/>
              </w:rPr>
              <w:t xml:space="preserve"> nuotolinio ugdymo užtikrinimo sunkumai, susiję su dalies mokytojų turimų kompetencijų nepakankamumu dirbti karantino sąlygomis, su skaitmeninio raštingumo gebėjimais.</w:t>
            </w:r>
          </w:p>
          <w:p w14:paraId="53FF714B" w14:textId="77777777" w:rsidR="007E00FD" w:rsidRPr="00B44B19" w:rsidRDefault="007E00FD" w:rsidP="007D0221">
            <w:pPr>
              <w:spacing w:before="60" w:after="60"/>
              <w:jc w:val="both"/>
              <w:rPr>
                <w:rFonts w:ascii="Times New Roman" w:hAnsi="Times New Roman" w:cs="Times New Roman"/>
                <w:shd w:val="clear" w:color="auto" w:fill="D6E3BC" w:themeFill="accent3" w:themeFillTint="66"/>
              </w:rPr>
            </w:pPr>
            <w:r w:rsidRPr="00B44B19">
              <w:rPr>
                <w:rFonts w:ascii="Times New Roman" w:hAnsi="Times New Roman" w:cs="Times New Roman"/>
              </w:rPr>
              <w:t xml:space="preserve">Labai svarbus aspektas, nulemiantis mokinių pasiekimus, yra vaikų dalyvavimas ankstyvojo ugdymo programose. Nuo vaiko gimimo iki aštuonerių metų sparčiai formuojasi fiziniai, socialiniai, emociniai ir pažintiniai gebėjimai. Tiems, kurie nuo bendraamžių atsilieka jau ankstyvajame amžiuje, vėliau yra sunku juos pasivyti. Tarptautiniai tyrimai rodo, kad vaikų, dalyvaujančių kokybiškose ankstyvojo ugdymo programose, pasiekimai yra aukštesni. Vaikus įtraukus į institucinį ugdymą metais anksčiau ir jiems suteikus kokybišką ugdymą, </w:t>
            </w:r>
            <w:r w:rsidR="00424290" w:rsidRPr="00B44B19">
              <w:rPr>
                <w:rFonts w:ascii="Times New Roman" w:hAnsi="Times New Roman" w:cs="Times New Roman"/>
              </w:rPr>
              <w:t>anksčiau pradėtas regioninių skirtumų valdymas,</w:t>
            </w:r>
            <w:r w:rsidRPr="00B44B19">
              <w:rPr>
                <w:rFonts w:ascii="Times New Roman" w:hAnsi="Times New Roman" w:cs="Times New Roman"/>
              </w:rPr>
              <w:t xml:space="preserve"> sustiprėtų vaikų pasirengimas pradiniam ugdymui. 2014–2020 m. laikotarpiu šioje srityje nebuvo vykdoma intervencijų ES lėšomis.</w:t>
            </w:r>
          </w:p>
          <w:p w14:paraId="09AA36F8" w14:textId="77777777" w:rsidR="007E00FD" w:rsidRPr="00B44B19" w:rsidRDefault="007E00FD" w:rsidP="007D0221">
            <w:pPr>
              <w:spacing w:before="60" w:after="60"/>
              <w:jc w:val="both"/>
              <w:rPr>
                <w:rFonts w:ascii="Times New Roman" w:hAnsi="Times New Roman" w:cs="Times New Roman"/>
                <w:shd w:val="clear" w:color="auto" w:fill="D6E3BC" w:themeFill="accent3" w:themeFillTint="66"/>
              </w:rPr>
            </w:pPr>
            <w:r w:rsidRPr="00B44B19">
              <w:rPr>
                <w:rFonts w:ascii="Times New Roman" w:hAnsi="Times New Roman" w:cs="Times New Roman"/>
              </w:rPr>
              <w:t>Mažai užsakoma tyrimų, skirtų bendrosios švietimo politikos krypties pagrindimui nustatyti, vyrauja į konkrečias siauros srities problemas nukreipti tyrimai. Tikimasi, kad edukacijos tyrimai padės modernizuoti mokymo programas, mokymo medžiagą ir prisidės prie įrodymais grindžiamos švietimo politikos. Kad būtų atliekami kokybiškesni edukacijos tyrimai ir švietimo sistemos dalyviai priimtų duomenimis grįstus sprendimus, reikia stiprinti edukologijos doktorantūros studijas, kurios didintų edukologijos doktorantūros absolventų skaičių. 2014–2020 m. laikotarpiu šioje srityje nebuvo vykdoma intervencijų ES lėšomis.</w:t>
            </w:r>
          </w:p>
          <w:p w14:paraId="620B9112" w14:textId="77777777" w:rsidR="007E00FD" w:rsidRPr="00B44B19" w:rsidRDefault="007E00FD" w:rsidP="007D0221">
            <w:pPr>
              <w:spacing w:before="60" w:after="60"/>
              <w:jc w:val="both"/>
              <w:rPr>
                <w:rFonts w:ascii="Times New Roman" w:hAnsi="Times New Roman" w:cs="Times New Roman"/>
                <w:shd w:val="clear" w:color="auto" w:fill="D6E3BC" w:themeFill="accent3" w:themeFillTint="66"/>
              </w:rPr>
            </w:pPr>
            <w:r w:rsidRPr="00B44B19">
              <w:rPr>
                <w:rFonts w:ascii="Times New Roman" w:hAnsi="Times New Roman" w:cs="Times New Roman"/>
              </w:rPr>
              <w:t>Veik</w:t>
            </w:r>
            <w:r w:rsidR="006060F2" w:rsidRPr="00B44B19">
              <w:rPr>
                <w:rFonts w:ascii="Times New Roman" w:hAnsi="Times New Roman" w:cs="Times New Roman"/>
              </w:rPr>
              <w:t>smų rūšys</w:t>
            </w:r>
            <w:r w:rsidRPr="00B44B19">
              <w:rPr>
                <w:rFonts w:ascii="Times New Roman" w:hAnsi="Times New Roman" w:cs="Times New Roman"/>
              </w:rPr>
              <w:t>, siekiant didinti švietimo sistemos kokybę ir rezultatyvumą:</w:t>
            </w:r>
          </w:p>
          <w:p w14:paraId="70C95C97" w14:textId="77777777" w:rsidR="007E00FD" w:rsidRPr="00B44B19" w:rsidRDefault="007E00FD" w:rsidP="007D0221">
            <w:pPr>
              <w:spacing w:before="60" w:after="60"/>
              <w:jc w:val="both"/>
              <w:rPr>
                <w:rFonts w:ascii="Times New Roman" w:hAnsi="Times New Roman" w:cs="Times New Roman"/>
                <w:shd w:val="clear" w:color="auto" w:fill="D6E3BC" w:themeFill="accent3" w:themeFillTint="66"/>
              </w:rPr>
            </w:pPr>
            <w:r w:rsidRPr="00B44B19">
              <w:rPr>
                <w:rFonts w:ascii="Times New Roman" w:hAnsi="Times New Roman" w:cs="Times New Roman"/>
                <w:b/>
                <w:bCs/>
              </w:rPr>
              <w:t>Pritraukti naujus švietimo specialistus ir sukurti pagalbos mokytojui ir mokiniui sistemą</w:t>
            </w:r>
            <w:r w:rsidRPr="00B44B19">
              <w:rPr>
                <w:rFonts w:ascii="Times New Roman" w:hAnsi="Times New Roman" w:cs="Times New Roman"/>
                <w:bCs/>
              </w:rPr>
              <w:t>:</w:t>
            </w:r>
            <w:r w:rsidRPr="00B44B19">
              <w:rPr>
                <w:rFonts w:ascii="Times New Roman" w:hAnsi="Times New Roman" w:cs="Times New Roman"/>
              </w:rPr>
              <w:t xml:space="preserve"> skatinti mokytojų, švietimo pagalbos specialistų, mokyklų vadovų ir kitų švietimo sistemai reikalingų įvairių sričių specialistų pritraukimą dirbti efektyviai veikiančiose mokyklose, tobulinti jų turimas ir suteikti naujas dalykines ir skaitmenines kompetencijas, skatinant nuolatinį mokymąsi ir mentorystę, skatinti švietimo įstaigų bendradarbiavimą ir gerosios praktikos sklaidą, gerinti pagalbos mokiniui sistemos veiksmingumą tokiu būdu ugdant kiekvieno vaiko kūrybiškumą, informatinį mąstymą, verslumą, finansinį ir skaitmeninį raštingumą ir kitus gebėjimus; pritaikyti ugdymo turinį ir metodikas </w:t>
            </w:r>
            <w:r w:rsidR="00424290" w:rsidRPr="00B44B19">
              <w:rPr>
                <w:rFonts w:ascii="Times New Roman" w:hAnsi="Times New Roman" w:cs="Times New Roman"/>
              </w:rPr>
              <w:t>kokybiškam lanksčiam / nuotoliniam ugdymui vykdyti</w:t>
            </w:r>
            <w:r w:rsidRPr="00B44B19">
              <w:rPr>
                <w:rFonts w:ascii="Times New Roman" w:hAnsi="Times New Roman" w:cs="Times New Roman"/>
              </w:rPr>
              <w:t>. Ši veikla bus įgyvendinama VVL ir Sostinės regionuose.</w:t>
            </w:r>
          </w:p>
          <w:p w14:paraId="77F21320" w14:textId="77777777" w:rsidR="00373F89" w:rsidRPr="00B44B19" w:rsidRDefault="00373F89"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Skatinti duomenimis ir moksliniais tyrimais grįstą švietimo sistemą</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color w:val="181717"/>
              </w:rPr>
              <w:t>siekiant gerinti edukologijos doktorantūros studijų kokybę</w:t>
            </w:r>
            <w:r w:rsidR="004A468C" w:rsidRPr="00B44B19">
              <w:rPr>
                <w:rFonts w:ascii="Times New Roman" w:eastAsia="Times New Roman" w:hAnsi="Times New Roman" w:cs="Times New Roman"/>
                <w:color w:val="181717"/>
              </w:rPr>
              <w:t>,</w:t>
            </w:r>
            <w:r w:rsidRPr="00B44B19">
              <w:rPr>
                <w:rFonts w:ascii="Times New Roman" w:eastAsia="Times New Roman" w:hAnsi="Times New Roman" w:cs="Times New Roman"/>
                <w:color w:val="181717"/>
              </w:rPr>
              <w:t xml:space="preserve"> tobulinti dėstytojų ir tyrėjų kompetencijas, pritraukti aukščiausios kompetencijos tyrėjus ir dėstytojus iš užsienio, finansuoti edukologijos doktorantūros jungtines studijas su stipriausiais universitetais ir doktorantūros studijas užsienyje. Didinant švietimo sistemos kokybę ir rezultatyvumą</w:t>
            </w:r>
            <w:r w:rsidR="004A468C" w:rsidRPr="00B44B19">
              <w:rPr>
                <w:rFonts w:ascii="Times New Roman" w:eastAsia="Times New Roman" w:hAnsi="Times New Roman" w:cs="Times New Roman"/>
                <w:color w:val="181717"/>
              </w:rPr>
              <w:t>,</w:t>
            </w:r>
            <w:r w:rsidRPr="00B44B19">
              <w:rPr>
                <w:rFonts w:ascii="Times New Roman" w:eastAsia="Times New Roman" w:hAnsi="Times New Roman" w:cs="Times New Roman"/>
                <w:color w:val="181717"/>
              </w:rPr>
              <w:t xml:space="preserve"> vykdyti kompleksines mokslinių tyrimų programas bendradarbiaujant su Lietuvos bei užsienio tyrėjais, skatinti dalyvavimą tarptautinėse švietimo tyrimų programose ir (ar) projektuose stiprinant edukologijos mokslo ir švietimo politikos tyrimų potencialą.</w:t>
            </w:r>
            <w:r w:rsidRPr="00B44B19">
              <w:rPr>
                <w:rFonts w:ascii="Times New Roman" w:eastAsia="Times New Roman" w:hAnsi="Times New Roman" w:cs="Times New Roman"/>
              </w:rPr>
              <w:t xml:space="preserve"> </w:t>
            </w:r>
            <w:r w:rsidR="00C725C6" w:rsidRPr="00B44B19">
              <w:rPr>
                <w:rFonts w:ascii="Times New Roman" w:eastAsia="Times New Roman" w:hAnsi="Times New Roman" w:cs="Times New Roman"/>
              </w:rPr>
              <w:t>Ši veikla bus įgyvendinama VVL ir Sostinės regionuose.</w:t>
            </w:r>
          </w:p>
          <w:p w14:paraId="1CD49FA6" w14:textId="77777777" w:rsidR="006A1C51" w:rsidRPr="00B44B19" w:rsidRDefault="007E00FD" w:rsidP="007D0221">
            <w:pPr>
              <w:spacing w:before="60" w:after="60"/>
              <w:jc w:val="both"/>
              <w:rPr>
                <w:rFonts w:ascii="Times New Roman" w:hAnsi="Times New Roman" w:cs="Times New Roman"/>
              </w:rPr>
            </w:pPr>
            <w:r w:rsidRPr="00B44B19">
              <w:rPr>
                <w:rFonts w:ascii="Times New Roman" w:hAnsi="Times New Roman" w:cs="Times New Roman"/>
                <w:b/>
                <w:bCs/>
              </w:rPr>
              <w:t>Ankstinti privalomojo ugdymo pradžią, kad būtų užtikrintas spartesnis mokinių pasiekimų gerėjimas</w:t>
            </w:r>
            <w:r w:rsidRPr="00B44B19">
              <w:rPr>
                <w:rFonts w:ascii="Times New Roman" w:hAnsi="Times New Roman" w:cs="Times New Roman"/>
              </w:rPr>
              <w:t xml:space="preserve">: </w:t>
            </w:r>
            <w:r w:rsidR="00AF67C4" w:rsidRPr="00B44B19">
              <w:rPr>
                <w:rFonts w:ascii="Times New Roman" w:hAnsi="Times New Roman" w:cs="Times New Roman"/>
              </w:rPr>
              <w:t>kuriant šiuolaikišką ikimokyklinio ugdymo turinį bei tobulinant mokytojų (ikimokyklinio, priešmokyklinio ir pradinio ugdymo) kvalifikaciją, diegiant naujus metodus ir teikiant rekomendacijas dėl ugdymo turinio pritaikymo jaunesnio amžiaus mokiniams.</w:t>
            </w:r>
            <w:r w:rsidRPr="00B44B19">
              <w:rPr>
                <w:rFonts w:ascii="Times New Roman" w:hAnsi="Times New Roman" w:cs="Times New Roman"/>
              </w:rPr>
              <w:t xml:space="preserve"> Skatinti ankstesnę ir didesnę įtrauktį į ikimokyklinį ugdymą kaimo vietovėse, numatant kompleksines priemones, didinant visuomenės ir </w:t>
            </w:r>
            <w:r w:rsidRPr="00B44B19">
              <w:rPr>
                <w:rFonts w:ascii="Times New Roman" w:hAnsi="Times New Roman" w:cs="Times New Roman"/>
              </w:rPr>
              <w:lastRenderedPageBreak/>
              <w:t>bendruomenių įsitraukimą bei vykdant tėvų švietimą. Ši veikla bus įgyvendinama VVL ir Sostinės regionuose.</w:t>
            </w:r>
          </w:p>
          <w:p w14:paraId="23FD61DF" w14:textId="77777777" w:rsidR="00CF752A" w:rsidRPr="00B44B19" w:rsidRDefault="00334B0C" w:rsidP="007D0221">
            <w:pPr>
              <w:spacing w:before="60" w:after="60"/>
              <w:jc w:val="both"/>
              <w:rPr>
                <w:rFonts w:ascii="Times New Roman" w:hAnsi="Times New Roman" w:cs="Times New Roman"/>
                <w:shd w:val="clear" w:color="auto" w:fill="D6E3BC" w:themeFill="accent3" w:themeFillTint="66"/>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FD3727" w:rsidRPr="00B44B19">
              <w:rPr>
                <w:rFonts w:ascii="Times New Roman" w:eastAsia="Times New Roman" w:hAnsi="Times New Roman" w:cs="Times New Roman"/>
                <w:noProof/>
                <w:szCs w:val="24"/>
              </w:rPr>
              <w:t>.</w:t>
            </w:r>
          </w:p>
        </w:tc>
      </w:tr>
    </w:tbl>
    <w:p w14:paraId="08BC8FBA" w14:textId="77777777" w:rsidR="002C23AB" w:rsidRPr="00B44B19" w:rsidRDefault="002C23AB" w:rsidP="001E5B12">
      <w:pPr>
        <w:pStyle w:val="Stilius1"/>
        <w:rPr>
          <w:rFonts w:cs="Times New Roman"/>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307A1E" w:rsidRPr="00B44B19" w14:paraId="420F2297" w14:textId="77777777" w:rsidTr="00307A1E">
        <w:tc>
          <w:tcPr>
            <w:tcW w:w="9854" w:type="dxa"/>
          </w:tcPr>
          <w:p w14:paraId="44E28B84" w14:textId="77777777" w:rsidR="00307A1E" w:rsidRPr="00B44B19" w:rsidRDefault="00E66DA4" w:rsidP="007D0221">
            <w:pPr>
              <w:spacing w:before="60" w:after="60"/>
              <w:jc w:val="both"/>
              <w:rPr>
                <w:rFonts w:eastAsia="Times New Roman" w:cs="Times New Roman"/>
                <w:iCs/>
                <w:noProof/>
                <w:szCs w:val="24"/>
                <w:lang w:eastAsia="lt-LT" w:bidi="lt-LT"/>
              </w:rPr>
            </w:pPr>
            <w:r w:rsidRPr="00B44B19">
              <w:rPr>
                <w:rFonts w:cs="Times New Roman"/>
                <w:noProof/>
                <w:sz w:val="22"/>
                <w:lang w:eastAsia="lt-LT"/>
              </w:rPr>
              <w:t>Mokytojai, švietimo pagalbos specialistai, mokyklų vadovai, mokykos bendruomenė, mokiniai, ikimokyklinio, priešmokyklinio amžiaus vaikai ir jų tėvai, globėjai, ikimokyklinio, priešmokyklinio ir pradinio ugdymo pedagogai, edukologijos doktorantūros studijų studentai ir dėstytojai, tyrimus atliekantys dėstytojai, tyrėjai.</w:t>
            </w:r>
          </w:p>
        </w:tc>
      </w:tr>
    </w:tbl>
    <w:p w14:paraId="59AEDA50" w14:textId="77777777" w:rsidR="002C23AB" w:rsidRPr="00B44B19" w:rsidRDefault="002C23AB" w:rsidP="001E5B12">
      <w:pPr>
        <w:pStyle w:val="Stilius1"/>
        <w:rPr>
          <w:rFonts w:cs="Times New Roman"/>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307A1E" w:rsidRPr="00B44B19" w14:paraId="4C8FFC6E" w14:textId="77777777" w:rsidTr="00307A1E">
        <w:tc>
          <w:tcPr>
            <w:tcW w:w="9854" w:type="dxa"/>
          </w:tcPr>
          <w:p w14:paraId="23FA18A3" w14:textId="77777777" w:rsidR="00307A1E" w:rsidRPr="00B44B19" w:rsidRDefault="00307A1E" w:rsidP="007D0221">
            <w:pPr>
              <w:spacing w:before="60" w:after="60"/>
              <w:jc w:val="both"/>
              <w:rPr>
                <w:rFonts w:eastAsia="Times New Roman" w:cs="Times New Roman"/>
                <w:b/>
                <w:i/>
                <w:iCs/>
                <w:noProof/>
                <w:szCs w:val="24"/>
                <w:lang w:eastAsia="lt-LT" w:bidi="lt-LT"/>
              </w:rPr>
            </w:pPr>
            <w:r w:rsidRPr="00B44B19">
              <w:rPr>
                <w:rFonts w:eastAsia="Calibri" w:cs="Times New Roman"/>
                <w:noProof/>
                <w:sz w:val="22"/>
                <w:lang w:eastAsia="lt-LT" w:bidi="lt-LT"/>
              </w:rPr>
              <w:t>Vykdant numatytas veiklas siekiama užtikrinti lygybės, įtraukties ir nediskriminavimo principus. Veiksmai, užtikrinantys lygybės, įtraukties ir nediskriminavimo principų skatinimą, bus integruoti į projektų atranką nustatant, kad projektai, aktyviai prisidedantys prie principų įgyvendinimo, įgyja papildomą prioritetą</w:t>
            </w:r>
            <w:r w:rsidRPr="00B44B19">
              <w:rPr>
                <w:rFonts w:eastAsia="Calibri" w:cs="Times New Roman"/>
                <w:sz w:val="22"/>
                <w:lang w:eastAsia="lt-LT" w:bidi="lt-LT"/>
              </w:rPr>
              <w:t>.</w:t>
            </w:r>
          </w:p>
        </w:tc>
      </w:tr>
    </w:tbl>
    <w:p w14:paraId="4AD3F249" w14:textId="77777777" w:rsidR="00251C89" w:rsidRPr="00B44B19" w:rsidRDefault="002C23AB" w:rsidP="001E5B12">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251C89" w:rsidRPr="00B44B19" w14:paraId="415B2FC7" w14:textId="77777777" w:rsidTr="00251C89">
        <w:tc>
          <w:tcPr>
            <w:tcW w:w="9854" w:type="dxa"/>
          </w:tcPr>
          <w:p w14:paraId="4002AAB1" w14:textId="77777777" w:rsidR="00251C89" w:rsidRPr="00B44B19" w:rsidRDefault="00251C89" w:rsidP="007D0221">
            <w:pPr>
              <w:spacing w:before="60" w:after="60"/>
              <w:jc w:val="both"/>
              <w:rPr>
                <w:rFonts w:cs="Times New Roman"/>
                <w:bCs/>
                <w:color w:val="000000"/>
                <w:sz w:val="22"/>
              </w:rPr>
            </w:pPr>
            <w:r w:rsidRPr="00B44B19">
              <w:rPr>
                <w:rFonts w:eastAsia="Times New Roman" w:cs="Times New Roman"/>
                <w:noProof/>
                <w:sz w:val="22"/>
              </w:rPr>
              <w:t xml:space="preserve">VVL regionas, </w:t>
            </w:r>
            <w:r w:rsidRPr="00B44B19">
              <w:rPr>
                <w:rFonts w:eastAsia="Calibri" w:cs="Times New Roman"/>
                <w:sz w:val="22"/>
              </w:rPr>
              <w:t>Sostinės regionas</w:t>
            </w:r>
            <w:r w:rsidR="009C66BD" w:rsidRPr="00B44B19">
              <w:rPr>
                <w:rFonts w:eastAsia="Calibri" w:cs="Times New Roman"/>
                <w:sz w:val="22"/>
              </w:rPr>
              <w:t>.</w:t>
            </w:r>
          </w:p>
        </w:tc>
      </w:tr>
    </w:tbl>
    <w:p w14:paraId="6244B936" w14:textId="77777777" w:rsidR="002C23AB" w:rsidRPr="00B44B19" w:rsidRDefault="002C23AB" w:rsidP="001E5B12">
      <w:pPr>
        <w:pStyle w:val="Stilius1"/>
        <w:rPr>
          <w:rFonts w:cs="Times New Roman"/>
          <w:noProof/>
          <w:lang w:eastAsia="lt-LT" w:bidi="lt-LT"/>
        </w:rPr>
      </w:pPr>
      <w:r w:rsidRPr="00B44B19">
        <w:rPr>
          <w:rFonts w:cs="Times New Roman"/>
          <w:noProof/>
          <w:lang w:eastAsia="lt-LT" w:bidi="lt-LT"/>
        </w:rPr>
        <w:t>Tarpregioniniai</w:t>
      </w:r>
      <w:r w:rsidR="00993B5D" w:rsidRPr="00B44B19">
        <w:rPr>
          <w:rFonts w:cs="Times New Roman"/>
          <w:noProof/>
          <w:lang w:eastAsia="lt-LT" w:bidi="lt-LT"/>
        </w:rPr>
        <w:t>, tarp sienų</w:t>
      </w:r>
      <w:r w:rsidRPr="00B44B19">
        <w:rPr>
          <w:rFonts w:cs="Times New Roman"/>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251C89" w:rsidRPr="00B44B19" w14:paraId="7B8E0B34" w14:textId="77777777" w:rsidTr="00251C89">
        <w:tc>
          <w:tcPr>
            <w:tcW w:w="9854" w:type="dxa"/>
          </w:tcPr>
          <w:p w14:paraId="0182373F" w14:textId="77777777" w:rsidR="00251C89" w:rsidRPr="00B44B19" w:rsidRDefault="00993B5D" w:rsidP="007D0221">
            <w:pPr>
              <w:spacing w:before="60" w:after="60"/>
              <w:jc w:val="both"/>
              <w:rPr>
                <w:rFonts w:eastAsia="Calibri" w:cs="Times New Roman"/>
                <w:b/>
                <w:i/>
                <w:noProof/>
                <w:szCs w:val="24"/>
                <w:lang w:eastAsia="lt-LT" w:bidi="lt-LT"/>
              </w:rPr>
            </w:pPr>
            <w:r w:rsidRPr="00B44B19">
              <w:rPr>
                <w:rFonts w:eastAsia="Calibri" w:cs="Times New Roman"/>
                <w:bCs/>
                <w:noProof/>
                <w:sz w:val="22"/>
                <w:lang w:eastAsia="lt-LT" w:bidi="lt-LT"/>
              </w:rPr>
              <w:t>Numatoma sudaryti visas galimybes prireikus juos atlikti</w:t>
            </w:r>
          </w:p>
        </w:tc>
      </w:tr>
    </w:tbl>
    <w:p w14:paraId="1350C740" w14:textId="77777777" w:rsidR="002C23AB" w:rsidRPr="00B44B19" w:rsidRDefault="002C23AB" w:rsidP="001E5B12">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251C89" w:rsidRPr="00B44B19" w14:paraId="08A8C5D5" w14:textId="77777777" w:rsidTr="00251C89">
        <w:tc>
          <w:tcPr>
            <w:tcW w:w="9854" w:type="dxa"/>
          </w:tcPr>
          <w:p w14:paraId="1CF89CEC" w14:textId="77777777" w:rsidR="00251C89" w:rsidRPr="00B44B19" w:rsidRDefault="001F6E55" w:rsidP="007D0221">
            <w:pPr>
              <w:spacing w:before="60" w:after="60"/>
              <w:jc w:val="both"/>
              <w:rPr>
                <w:rFonts w:cs="Times New Roman"/>
                <w:b/>
                <w:i/>
                <w:szCs w:val="24"/>
              </w:rPr>
            </w:pPr>
            <w:r w:rsidRPr="00B44B19">
              <w:rPr>
                <w:rFonts w:eastAsia="Calibri" w:cs="Times New Roman"/>
                <w:noProof/>
                <w:sz w:val="22"/>
                <w:lang w:eastAsia="lt-LT" w:bidi="lt-LT"/>
              </w:rPr>
              <w:t>–</w:t>
            </w:r>
          </w:p>
        </w:tc>
      </w:tr>
    </w:tbl>
    <w:p w14:paraId="4DBA236B" w14:textId="77777777" w:rsidR="00DA7B46" w:rsidRPr="00B44B19" w:rsidRDefault="00786CD2" w:rsidP="001E5B12">
      <w:pPr>
        <w:pStyle w:val="Stilius1"/>
        <w:rPr>
          <w:rFonts w:eastAsia="Calibri" w:cs="Times New Roman"/>
          <w:noProof/>
          <w:szCs w:val="20"/>
          <w:lang w:eastAsia="lt-LT" w:bidi="lt-LT"/>
        </w:rPr>
      </w:pPr>
      <w:r w:rsidRPr="00B44B19">
        <w:rPr>
          <w:rFonts w:cs="Times New Roman"/>
        </w:rPr>
        <w:t>Rodikliai</w:t>
      </w:r>
    </w:p>
    <w:p w14:paraId="78ED8BB2" w14:textId="77777777" w:rsidR="00786CD2" w:rsidRPr="00B44B19" w:rsidRDefault="00786CD2" w:rsidP="007E00FD">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53"/>
        <w:gridCol w:w="715"/>
        <w:gridCol w:w="944"/>
        <w:gridCol w:w="1243"/>
        <w:gridCol w:w="1797"/>
        <w:gridCol w:w="968"/>
        <w:gridCol w:w="967"/>
        <w:gridCol w:w="934"/>
      </w:tblGrid>
      <w:tr w:rsidR="007E00FD" w:rsidRPr="00B44B19" w14:paraId="52E9FA22" w14:textId="77777777" w:rsidTr="00743681">
        <w:trPr>
          <w:trHeight w:val="860"/>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1524F9"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Prioritetas</w:t>
            </w:r>
          </w:p>
        </w:tc>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38414B"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3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2DB61C"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Fondas</w:t>
            </w:r>
          </w:p>
        </w:tc>
        <w:tc>
          <w:tcPr>
            <w:tcW w:w="4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B01E2C"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825B33"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F16582"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CFE5A0"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8E3D9"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39C290"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Siek</w:t>
            </w:r>
            <w:r w:rsidR="004F36EF" w:rsidRPr="00B44B19">
              <w:rPr>
                <w:rFonts w:cs="Times New Roman"/>
                <w:b/>
                <w:noProof/>
                <w:sz w:val="16"/>
                <w:szCs w:val="16"/>
              </w:rPr>
              <w:t>tina reikšmė</w:t>
            </w:r>
            <w:r w:rsidRPr="00B44B19">
              <w:rPr>
                <w:rFonts w:cs="Times New Roman"/>
                <w:b/>
                <w:noProof/>
                <w:sz w:val="16"/>
                <w:szCs w:val="16"/>
              </w:rPr>
              <w:t xml:space="preserve"> (2029 m.)</w:t>
            </w:r>
          </w:p>
        </w:tc>
      </w:tr>
      <w:tr w:rsidR="007E00FD" w:rsidRPr="00B44B19" w14:paraId="6CCC6908" w14:textId="77777777" w:rsidTr="00743681">
        <w:trPr>
          <w:trHeight w:val="340"/>
        </w:trPr>
        <w:tc>
          <w:tcPr>
            <w:tcW w:w="566" w:type="pct"/>
            <w:vMerge w:val="restart"/>
            <w:tcBorders>
              <w:top w:val="single" w:sz="12" w:space="0" w:color="auto"/>
            </w:tcBorders>
          </w:tcPr>
          <w:p w14:paraId="752DD2CC"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Style w:val="normaltextrun"/>
                <w:rFonts w:cs="Times New Roman"/>
                <w:color w:val="000000"/>
                <w:sz w:val="16"/>
                <w:szCs w:val="16"/>
                <w:shd w:val="clear" w:color="auto" w:fill="FFFFFF"/>
              </w:rPr>
              <w:t>4.Socialiai atsakingesnė Lietuva</w:t>
            </w:r>
          </w:p>
        </w:tc>
        <w:tc>
          <w:tcPr>
            <w:tcW w:w="496" w:type="pct"/>
            <w:vMerge w:val="restart"/>
            <w:tcBorders>
              <w:top w:val="single" w:sz="12" w:space="0" w:color="auto"/>
            </w:tcBorders>
          </w:tcPr>
          <w:p w14:paraId="79FCE440" w14:textId="77777777" w:rsidR="007E00FD" w:rsidRPr="00B44B19" w:rsidRDefault="007E00FD" w:rsidP="00743681">
            <w:pPr>
              <w:spacing w:after="0" w:line="240" w:lineRule="auto"/>
              <w:jc w:val="both"/>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4.2.</w:t>
            </w:r>
          </w:p>
        </w:tc>
        <w:tc>
          <w:tcPr>
            <w:tcW w:w="372" w:type="pct"/>
            <w:vMerge w:val="restart"/>
            <w:tcBorders>
              <w:top w:val="single" w:sz="12" w:space="0" w:color="auto"/>
            </w:tcBorders>
          </w:tcPr>
          <w:p w14:paraId="75CD6D1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ESF</w:t>
            </w:r>
            <w:r w:rsidR="00C97EEF" w:rsidRPr="00B44B19">
              <w:rPr>
                <w:rFonts w:eastAsia="Times New Roman" w:cs="Times New Roman"/>
                <w:sz w:val="16"/>
                <w:szCs w:val="16"/>
                <w:lang w:eastAsia="lt-LT"/>
              </w:rPr>
              <w:t>+</w:t>
            </w:r>
          </w:p>
        </w:tc>
        <w:tc>
          <w:tcPr>
            <w:tcW w:w="491" w:type="pct"/>
            <w:tcBorders>
              <w:top w:val="single" w:sz="12" w:space="0" w:color="auto"/>
              <w:bottom w:val="single" w:sz="4" w:space="0" w:color="auto"/>
            </w:tcBorders>
          </w:tcPr>
          <w:p w14:paraId="64DF500A"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14:paraId="660E887D"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w:t>
            </w:r>
            <w:r w:rsidR="002D7A41" w:rsidRPr="00B44B19">
              <w:rPr>
                <w:rFonts w:eastAsia="Times New Roman" w:cs="Times New Roman"/>
                <w:sz w:val="16"/>
                <w:szCs w:val="16"/>
                <w:lang w:eastAsia="lt-LT"/>
              </w:rPr>
              <w:t>O</w:t>
            </w:r>
            <w:r w:rsidRPr="00B44B19">
              <w:rPr>
                <w:rFonts w:eastAsia="Times New Roman" w:cs="Times New Roman"/>
                <w:sz w:val="16"/>
                <w:szCs w:val="16"/>
                <w:lang w:eastAsia="lt-LT"/>
              </w:rPr>
              <w:t>11</w:t>
            </w:r>
          </w:p>
        </w:tc>
        <w:tc>
          <w:tcPr>
            <w:tcW w:w="935" w:type="pct"/>
            <w:tcBorders>
              <w:top w:val="single" w:sz="12" w:space="0" w:color="auto"/>
              <w:bottom w:val="single" w:sz="4" w:space="0" w:color="auto"/>
            </w:tcBorders>
          </w:tcPr>
          <w:p w14:paraId="56972316" w14:textId="77777777" w:rsidR="007E00FD" w:rsidRPr="00B44B19" w:rsidRDefault="007E00FD" w:rsidP="00C87EA0">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Asmenys, turintys </w:t>
            </w:r>
            <w:r w:rsidR="00864C22" w:rsidRPr="00B44B19">
              <w:rPr>
                <w:rFonts w:eastAsia="Times New Roman" w:cs="Times New Roman"/>
                <w:sz w:val="16"/>
                <w:szCs w:val="16"/>
                <w:lang w:eastAsia="lt-LT"/>
              </w:rPr>
              <w:t xml:space="preserve">tretinį </w:t>
            </w:r>
            <w:r w:rsidRPr="00B44B19">
              <w:rPr>
                <w:rFonts w:eastAsia="Times New Roman" w:cs="Times New Roman"/>
                <w:sz w:val="16"/>
                <w:szCs w:val="16"/>
                <w:lang w:eastAsia="lt-LT"/>
              </w:rPr>
              <w:t>(ISCED 5–8)</w:t>
            </w:r>
          </w:p>
        </w:tc>
        <w:tc>
          <w:tcPr>
            <w:tcW w:w="504" w:type="pct"/>
            <w:tcBorders>
              <w:top w:val="single" w:sz="12" w:space="0" w:color="auto"/>
              <w:bottom w:val="single" w:sz="4" w:space="0" w:color="auto"/>
            </w:tcBorders>
          </w:tcPr>
          <w:p w14:paraId="7F29F09C"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12" w:space="0" w:color="auto"/>
              <w:bottom w:val="single" w:sz="4" w:space="0" w:color="auto"/>
            </w:tcBorders>
          </w:tcPr>
          <w:p w14:paraId="070086EA" w14:textId="77777777" w:rsidR="007E00FD" w:rsidRPr="00B44B19" w:rsidRDefault="007E00FD"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940</w:t>
            </w:r>
          </w:p>
        </w:tc>
        <w:tc>
          <w:tcPr>
            <w:tcW w:w="486" w:type="pct"/>
            <w:tcBorders>
              <w:top w:val="single" w:sz="12" w:space="0" w:color="auto"/>
              <w:bottom w:val="single" w:sz="4" w:space="0" w:color="auto"/>
            </w:tcBorders>
          </w:tcPr>
          <w:p w14:paraId="3A446466" w14:textId="77777777" w:rsidR="007E00FD" w:rsidRPr="00B44B19" w:rsidRDefault="007E00FD"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6 28</w:t>
            </w:r>
            <w:r w:rsidR="00A85A53" w:rsidRPr="00B44B19">
              <w:rPr>
                <w:rFonts w:eastAsia="Times New Roman" w:cs="Times New Roman"/>
                <w:sz w:val="16"/>
                <w:szCs w:val="16"/>
                <w:lang w:val="en-US" w:eastAsia="lt-LT"/>
              </w:rPr>
              <w:t>5</w:t>
            </w:r>
          </w:p>
        </w:tc>
      </w:tr>
      <w:tr w:rsidR="007E00FD" w:rsidRPr="00B44B19" w14:paraId="6BA4AE58" w14:textId="77777777" w:rsidTr="00743681">
        <w:trPr>
          <w:trHeight w:val="340"/>
        </w:trPr>
        <w:tc>
          <w:tcPr>
            <w:tcW w:w="566" w:type="pct"/>
            <w:vMerge/>
          </w:tcPr>
          <w:p w14:paraId="78E638C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331D71FA" w14:textId="77777777" w:rsidR="007E00FD" w:rsidRPr="00B44B19"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0BAA6083"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22452927"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5248936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w:t>
            </w:r>
            <w:r w:rsidR="002D7A41" w:rsidRPr="00B44B19">
              <w:rPr>
                <w:rFonts w:eastAsia="Times New Roman" w:cs="Times New Roman"/>
                <w:sz w:val="16"/>
                <w:szCs w:val="16"/>
                <w:lang w:eastAsia="lt-LT"/>
              </w:rPr>
              <w:t>O</w:t>
            </w:r>
            <w:r w:rsidRPr="00B44B19">
              <w:rPr>
                <w:rFonts w:eastAsia="Times New Roman" w:cs="Times New Roman"/>
                <w:sz w:val="16"/>
                <w:szCs w:val="16"/>
                <w:lang w:eastAsia="lt-LT"/>
              </w:rPr>
              <w:t>11</w:t>
            </w:r>
          </w:p>
        </w:tc>
        <w:tc>
          <w:tcPr>
            <w:tcW w:w="935" w:type="pct"/>
            <w:tcBorders>
              <w:top w:val="single" w:sz="4" w:space="0" w:color="auto"/>
              <w:bottom w:val="single" w:sz="4" w:space="0" w:color="auto"/>
            </w:tcBorders>
          </w:tcPr>
          <w:p w14:paraId="454BFF9B" w14:textId="77777777" w:rsidR="007E00FD" w:rsidRPr="00B44B19" w:rsidRDefault="007E00FD" w:rsidP="00864C22">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Asmenys, turintys </w:t>
            </w:r>
            <w:r w:rsidR="00864C22" w:rsidRPr="00B44B19">
              <w:rPr>
                <w:rFonts w:eastAsia="Times New Roman" w:cs="Times New Roman"/>
                <w:sz w:val="16"/>
                <w:szCs w:val="16"/>
                <w:lang w:eastAsia="lt-LT"/>
              </w:rPr>
              <w:t xml:space="preserve">tretinį </w:t>
            </w:r>
            <w:r w:rsidRPr="00B44B19">
              <w:rPr>
                <w:rFonts w:eastAsia="Times New Roman" w:cs="Times New Roman"/>
                <w:sz w:val="16"/>
                <w:szCs w:val="16"/>
                <w:lang w:eastAsia="lt-LT"/>
              </w:rPr>
              <w:t>išsilavinimą (ISCED 5–8)</w:t>
            </w:r>
          </w:p>
        </w:tc>
        <w:tc>
          <w:tcPr>
            <w:tcW w:w="504" w:type="pct"/>
            <w:tcBorders>
              <w:top w:val="single" w:sz="4" w:space="0" w:color="auto"/>
              <w:bottom w:val="single" w:sz="4" w:space="0" w:color="auto"/>
            </w:tcBorders>
          </w:tcPr>
          <w:p w14:paraId="0F99BCB2"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17E8B4E9" w14:textId="77777777" w:rsidR="007E00FD" w:rsidRPr="00B44B19" w:rsidRDefault="007E00FD"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2 690</w:t>
            </w:r>
          </w:p>
        </w:tc>
        <w:tc>
          <w:tcPr>
            <w:tcW w:w="486" w:type="pct"/>
            <w:tcBorders>
              <w:top w:val="single" w:sz="4" w:space="0" w:color="auto"/>
              <w:bottom w:val="single" w:sz="4" w:space="0" w:color="auto"/>
            </w:tcBorders>
          </w:tcPr>
          <w:p w14:paraId="5571039E" w14:textId="399823CB" w:rsidR="007E00FD" w:rsidRPr="00B44B19" w:rsidRDefault="00CB07C4"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15 191</w:t>
            </w:r>
          </w:p>
        </w:tc>
      </w:tr>
      <w:tr w:rsidR="007E00FD" w:rsidRPr="00B44B19" w14:paraId="5910BEF9" w14:textId="77777777" w:rsidTr="00743681">
        <w:trPr>
          <w:trHeight w:val="340"/>
        </w:trPr>
        <w:tc>
          <w:tcPr>
            <w:tcW w:w="566" w:type="pct"/>
            <w:vMerge/>
          </w:tcPr>
          <w:p w14:paraId="27C16007"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408DC256" w14:textId="77777777" w:rsidR="007E00FD" w:rsidRPr="00B44B19"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19653642"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5ADF53B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449BC091"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5" w:type="pct"/>
            <w:tcBorders>
              <w:top w:val="single" w:sz="4" w:space="0" w:color="auto"/>
              <w:bottom w:val="single" w:sz="4" w:space="0" w:color="auto"/>
            </w:tcBorders>
          </w:tcPr>
          <w:p w14:paraId="263744C8"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Atlikti edukaciniai tyrimai</w:t>
            </w:r>
          </w:p>
        </w:tc>
        <w:tc>
          <w:tcPr>
            <w:tcW w:w="504" w:type="pct"/>
            <w:tcBorders>
              <w:top w:val="single" w:sz="4" w:space="0" w:color="auto"/>
              <w:bottom w:val="single" w:sz="4" w:space="0" w:color="auto"/>
            </w:tcBorders>
          </w:tcPr>
          <w:p w14:paraId="315678C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503" w:type="pct"/>
            <w:tcBorders>
              <w:top w:val="single" w:sz="4" w:space="0" w:color="auto"/>
              <w:bottom w:val="single" w:sz="4" w:space="0" w:color="auto"/>
            </w:tcBorders>
          </w:tcPr>
          <w:p w14:paraId="5D647F79" w14:textId="77777777" w:rsidR="007E00FD" w:rsidRPr="00B44B19" w:rsidRDefault="007E00FD"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w:t>
            </w:r>
          </w:p>
        </w:tc>
        <w:tc>
          <w:tcPr>
            <w:tcW w:w="486" w:type="pct"/>
            <w:tcBorders>
              <w:top w:val="single" w:sz="4" w:space="0" w:color="auto"/>
              <w:bottom w:val="single" w:sz="4" w:space="0" w:color="auto"/>
            </w:tcBorders>
          </w:tcPr>
          <w:p w14:paraId="737B3798"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10</w:t>
            </w:r>
          </w:p>
        </w:tc>
      </w:tr>
      <w:tr w:rsidR="007E00FD" w:rsidRPr="00B44B19" w14:paraId="04E61B7C" w14:textId="77777777" w:rsidTr="00743681">
        <w:trPr>
          <w:trHeight w:val="411"/>
        </w:trPr>
        <w:tc>
          <w:tcPr>
            <w:tcW w:w="566" w:type="pct"/>
            <w:vMerge/>
          </w:tcPr>
          <w:p w14:paraId="727B40ED"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7D76C891" w14:textId="77777777" w:rsidR="007E00FD" w:rsidRPr="00B44B19"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50F96846"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0B221A2D"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3652F48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5" w:type="pct"/>
            <w:tcBorders>
              <w:top w:val="single" w:sz="4" w:space="0" w:color="auto"/>
              <w:bottom w:val="single" w:sz="4" w:space="0" w:color="auto"/>
            </w:tcBorders>
          </w:tcPr>
          <w:p w14:paraId="277BEA7D"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Atlikti edukaciniai tyrimai</w:t>
            </w:r>
          </w:p>
        </w:tc>
        <w:tc>
          <w:tcPr>
            <w:tcW w:w="504" w:type="pct"/>
            <w:tcBorders>
              <w:top w:val="single" w:sz="4" w:space="0" w:color="auto"/>
              <w:bottom w:val="single" w:sz="4" w:space="0" w:color="auto"/>
            </w:tcBorders>
          </w:tcPr>
          <w:p w14:paraId="57DF722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503" w:type="pct"/>
            <w:tcBorders>
              <w:top w:val="single" w:sz="4" w:space="0" w:color="auto"/>
              <w:bottom w:val="single" w:sz="4" w:space="0" w:color="auto"/>
            </w:tcBorders>
          </w:tcPr>
          <w:p w14:paraId="322B63F0" w14:textId="77777777" w:rsidR="007E00FD" w:rsidRPr="00B44B19" w:rsidRDefault="007E00FD"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3</w:t>
            </w:r>
          </w:p>
        </w:tc>
        <w:tc>
          <w:tcPr>
            <w:tcW w:w="486" w:type="pct"/>
            <w:tcBorders>
              <w:top w:val="single" w:sz="4" w:space="0" w:color="auto"/>
              <w:bottom w:val="single" w:sz="4" w:space="0" w:color="auto"/>
            </w:tcBorders>
          </w:tcPr>
          <w:p w14:paraId="45A5CE3F"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w:t>
            </w:r>
          </w:p>
        </w:tc>
      </w:tr>
      <w:tr w:rsidR="007E00FD" w:rsidRPr="00B44B19" w14:paraId="658E7507" w14:textId="77777777" w:rsidTr="00743681">
        <w:trPr>
          <w:trHeight w:val="411"/>
        </w:trPr>
        <w:tc>
          <w:tcPr>
            <w:tcW w:w="566" w:type="pct"/>
            <w:vMerge/>
          </w:tcPr>
          <w:p w14:paraId="0AB91A4C"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7A329C90" w14:textId="77777777" w:rsidR="007E00FD" w:rsidRPr="00B44B19" w:rsidRDefault="007E00FD" w:rsidP="00743681">
            <w:pPr>
              <w:spacing w:after="0" w:line="240" w:lineRule="auto"/>
              <w:jc w:val="both"/>
              <w:textAlignment w:val="baseline"/>
              <w:rPr>
                <w:rFonts w:eastAsia="Times New Roman" w:cs="Times New Roman"/>
                <w:sz w:val="16"/>
                <w:szCs w:val="16"/>
                <w:lang w:val="en-US" w:eastAsia="lt-LT"/>
              </w:rPr>
            </w:pPr>
          </w:p>
        </w:tc>
        <w:tc>
          <w:tcPr>
            <w:tcW w:w="372" w:type="pct"/>
            <w:vMerge/>
          </w:tcPr>
          <w:p w14:paraId="02AD410B"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bottom w:val="single" w:sz="4" w:space="0" w:color="auto"/>
            </w:tcBorders>
          </w:tcPr>
          <w:p w14:paraId="4BA4F8DF"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12EC4D7F"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5" w:type="pct"/>
            <w:tcBorders>
              <w:top w:val="single" w:sz="4" w:space="0" w:color="auto"/>
              <w:bottom w:val="single" w:sz="4" w:space="0" w:color="auto"/>
            </w:tcBorders>
          </w:tcPr>
          <w:p w14:paraId="0E65BA63"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Tarptautinės švietimo ir ugdymo srities tyrimų programos ir / ar projektai, kuriuose dalyvavo tyrėjai</w:t>
            </w:r>
          </w:p>
        </w:tc>
        <w:tc>
          <w:tcPr>
            <w:tcW w:w="504" w:type="pct"/>
            <w:tcBorders>
              <w:top w:val="single" w:sz="4" w:space="0" w:color="auto"/>
              <w:bottom w:val="single" w:sz="4" w:space="0" w:color="auto"/>
            </w:tcBorders>
          </w:tcPr>
          <w:p w14:paraId="6FAC12BF"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37581EBA"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w:t>
            </w:r>
          </w:p>
        </w:tc>
        <w:tc>
          <w:tcPr>
            <w:tcW w:w="486" w:type="pct"/>
            <w:tcBorders>
              <w:top w:val="single" w:sz="4" w:space="0" w:color="auto"/>
              <w:bottom w:val="single" w:sz="4" w:space="0" w:color="auto"/>
            </w:tcBorders>
          </w:tcPr>
          <w:p w14:paraId="4A9F8A6E"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6</w:t>
            </w:r>
          </w:p>
        </w:tc>
      </w:tr>
      <w:tr w:rsidR="007E00FD" w:rsidRPr="00B44B19" w14:paraId="598384DF" w14:textId="77777777" w:rsidTr="00743681">
        <w:trPr>
          <w:trHeight w:val="411"/>
        </w:trPr>
        <w:tc>
          <w:tcPr>
            <w:tcW w:w="566" w:type="pct"/>
            <w:vMerge/>
          </w:tcPr>
          <w:p w14:paraId="252C69EE"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6" w:type="pct"/>
            <w:vMerge/>
          </w:tcPr>
          <w:p w14:paraId="33E8A7E1"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72" w:type="pct"/>
            <w:vMerge/>
          </w:tcPr>
          <w:p w14:paraId="7F7D231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491" w:type="pct"/>
            <w:tcBorders>
              <w:top w:val="single" w:sz="4" w:space="0" w:color="auto"/>
            </w:tcBorders>
          </w:tcPr>
          <w:p w14:paraId="7EB87768"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tcBorders>
          </w:tcPr>
          <w:p w14:paraId="05C9BE68"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5" w:type="pct"/>
            <w:tcBorders>
              <w:top w:val="single" w:sz="4" w:space="0" w:color="auto"/>
            </w:tcBorders>
          </w:tcPr>
          <w:p w14:paraId="279A455E"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Tarptautinės švietimo ir ugdymo srities tyrimų programos ir / ar projektai, kuriuose dalyvavo tyrėjai</w:t>
            </w:r>
          </w:p>
        </w:tc>
        <w:tc>
          <w:tcPr>
            <w:tcW w:w="504" w:type="pct"/>
            <w:tcBorders>
              <w:top w:val="single" w:sz="4" w:space="0" w:color="auto"/>
            </w:tcBorders>
          </w:tcPr>
          <w:p w14:paraId="6463F9B8"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tcBorders>
          </w:tcPr>
          <w:p w14:paraId="6A6FE820"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3</w:t>
            </w:r>
          </w:p>
        </w:tc>
        <w:tc>
          <w:tcPr>
            <w:tcW w:w="486" w:type="pct"/>
            <w:tcBorders>
              <w:top w:val="single" w:sz="4" w:space="0" w:color="auto"/>
            </w:tcBorders>
          </w:tcPr>
          <w:p w14:paraId="6228FD1F"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21</w:t>
            </w:r>
          </w:p>
        </w:tc>
      </w:tr>
    </w:tbl>
    <w:p w14:paraId="258D4D75" w14:textId="77777777" w:rsidR="00D10D27" w:rsidRPr="00B44B19" w:rsidRDefault="00D10D27" w:rsidP="00D10D27">
      <w:pPr>
        <w:spacing w:after="0" w:line="240" w:lineRule="auto"/>
        <w:rPr>
          <w:rFonts w:cs="Times New Roman"/>
          <w:b/>
          <w:sz w:val="20"/>
          <w:szCs w:val="24"/>
        </w:rPr>
        <w:sectPr w:rsidR="00D10D27" w:rsidRPr="00B44B19" w:rsidSect="00931C78">
          <w:pgSz w:w="11906" w:h="16838"/>
          <w:pgMar w:top="1276" w:right="567" w:bottom="1134" w:left="1701" w:header="567" w:footer="567" w:gutter="0"/>
          <w:cols w:space="1296"/>
          <w:docGrid w:linePitch="360"/>
        </w:sectPr>
      </w:pPr>
    </w:p>
    <w:p w14:paraId="38E1514E" w14:textId="77777777" w:rsidR="00786CD2" w:rsidRPr="00B44B19" w:rsidRDefault="00786CD2" w:rsidP="00D10D27">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484"/>
        <w:gridCol w:w="975"/>
        <w:gridCol w:w="975"/>
        <w:gridCol w:w="1115"/>
        <w:gridCol w:w="975"/>
        <w:gridCol w:w="1115"/>
        <w:gridCol w:w="1100"/>
      </w:tblGrid>
      <w:tr w:rsidR="007E00FD" w:rsidRPr="00B44B19" w14:paraId="7944D61B" w14:textId="77777777" w:rsidTr="00743681">
        <w:trPr>
          <w:trHeight w:val="750"/>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F8E1F9"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01CF9F"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86C926"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DF8E19"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5B2004"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E7DF24"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684FEF"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CF2E03"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24E6AF"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B286E5"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Siek</w:t>
            </w:r>
            <w:r w:rsidR="004F36EF" w:rsidRPr="00B44B19">
              <w:rPr>
                <w:rFonts w:cs="Times New Roman"/>
                <w:b/>
                <w:noProof/>
                <w:sz w:val="16"/>
                <w:szCs w:val="16"/>
              </w:rPr>
              <w:t>tina reikšmė</w:t>
            </w:r>
            <w:r w:rsidRPr="00B44B19">
              <w:rPr>
                <w:rFonts w:cs="Times New Roman"/>
                <w:b/>
                <w:noProof/>
                <w:sz w:val="16"/>
                <w:szCs w:val="16"/>
              </w:rPr>
              <w:t>(2029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DB5F4"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Duomenų šaltinis [200]</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6A3A22" w14:textId="77777777" w:rsidR="007E00FD" w:rsidRPr="00B44B19" w:rsidRDefault="007E00FD" w:rsidP="00743681">
            <w:pPr>
              <w:spacing w:after="0" w:line="240" w:lineRule="auto"/>
              <w:jc w:val="center"/>
              <w:rPr>
                <w:rFonts w:cs="Times New Roman"/>
                <w:b/>
                <w:noProof/>
                <w:sz w:val="16"/>
                <w:szCs w:val="16"/>
              </w:rPr>
            </w:pPr>
            <w:r w:rsidRPr="00B44B19">
              <w:rPr>
                <w:rFonts w:cs="Times New Roman"/>
                <w:b/>
                <w:noProof/>
                <w:sz w:val="16"/>
                <w:szCs w:val="16"/>
              </w:rPr>
              <w:t>Pastabos [200]</w:t>
            </w:r>
          </w:p>
        </w:tc>
      </w:tr>
      <w:tr w:rsidR="007E00FD" w:rsidRPr="00B44B19" w14:paraId="5B0C0FBA" w14:textId="77777777" w:rsidTr="00743681">
        <w:trPr>
          <w:trHeight w:val="347"/>
        </w:trPr>
        <w:tc>
          <w:tcPr>
            <w:tcW w:w="364" w:type="pct"/>
            <w:vMerge w:val="restart"/>
            <w:tcBorders>
              <w:top w:val="single" w:sz="12" w:space="0" w:color="auto"/>
            </w:tcBorders>
          </w:tcPr>
          <w:p w14:paraId="60D6CD02"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14:paraId="2B83A1AA"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4.2.</w:t>
            </w:r>
          </w:p>
        </w:tc>
        <w:tc>
          <w:tcPr>
            <w:tcW w:w="281" w:type="pct"/>
            <w:vMerge w:val="restart"/>
            <w:tcBorders>
              <w:top w:val="single" w:sz="12" w:space="0" w:color="auto"/>
            </w:tcBorders>
          </w:tcPr>
          <w:p w14:paraId="73DDCBB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ESF</w:t>
            </w:r>
            <w:r w:rsidR="00C97EEF" w:rsidRPr="00B44B19">
              <w:rPr>
                <w:rFonts w:eastAsia="Times New Roman" w:cs="Times New Roman"/>
                <w:sz w:val="16"/>
                <w:szCs w:val="16"/>
                <w:lang w:eastAsia="lt-LT"/>
              </w:rPr>
              <w:t>+</w:t>
            </w:r>
          </w:p>
        </w:tc>
        <w:tc>
          <w:tcPr>
            <w:tcW w:w="328" w:type="pct"/>
            <w:tcBorders>
              <w:top w:val="single" w:sz="12" w:space="0" w:color="auto"/>
              <w:bottom w:val="single" w:sz="4" w:space="0" w:color="auto"/>
            </w:tcBorders>
          </w:tcPr>
          <w:p w14:paraId="1EDD77AA"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31446730"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EECR03</w:t>
            </w:r>
          </w:p>
        </w:tc>
        <w:tc>
          <w:tcPr>
            <w:tcW w:w="1172" w:type="pct"/>
            <w:tcBorders>
              <w:top w:val="single" w:sz="12" w:space="0" w:color="auto"/>
              <w:bottom w:val="single" w:sz="4" w:space="0" w:color="auto"/>
            </w:tcBorders>
          </w:tcPr>
          <w:p w14:paraId="28375948" w14:textId="77777777" w:rsidR="007E00FD" w:rsidRPr="00B44B19" w:rsidRDefault="00154B52"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Dalyviai, pasibaigus jų dalyvavimui įgyjantys kvalifikaciją</w:t>
            </w:r>
          </w:p>
        </w:tc>
        <w:tc>
          <w:tcPr>
            <w:tcW w:w="328" w:type="pct"/>
            <w:tcBorders>
              <w:top w:val="single" w:sz="12" w:space="0" w:color="auto"/>
              <w:bottom w:val="single" w:sz="4" w:space="0" w:color="auto"/>
            </w:tcBorders>
          </w:tcPr>
          <w:p w14:paraId="6E68E583"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328" w:type="pct"/>
            <w:tcBorders>
              <w:top w:val="single" w:sz="12" w:space="0" w:color="auto"/>
              <w:bottom w:val="single" w:sz="4" w:space="0" w:color="auto"/>
            </w:tcBorders>
          </w:tcPr>
          <w:p w14:paraId="4939C1EF" w14:textId="77777777" w:rsidR="007E00FD" w:rsidRPr="00B44B19" w:rsidRDefault="009A73C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139</w:t>
            </w:r>
          </w:p>
        </w:tc>
        <w:tc>
          <w:tcPr>
            <w:tcW w:w="375" w:type="pct"/>
            <w:tcBorders>
              <w:top w:val="single" w:sz="12" w:space="0" w:color="auto"/>
              <w:bottom w:val="single" w:sz="4" w:space="0" w:color="auto"/>
            </w:tcBorders>
          </w:tcPr>
          <w:p w14:paraId="47D1C4AA"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12" w:space="0" w:color="auto"/>
              <w:bottom w:val="single" w:sz="4" w:space="0" w:color="auto"/>
            </w:tcBorders>
          </w:tcPr>
          <w:p w14:paraId="55729B9A"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5 350</w:t>
            </w:r>
          </w:p>
        </w:tc>
        <w:tc>
          <w:tcPr>
            <w:tcW w:w="375" w:type="pct"/>
            <w:tcBorders>
              <w:top w:val="single" w:sz="12" w:space="0" w:color="auto"/>
              <w:bottom w:val="single" w:sz="4" w:space="0" w:color="auto"/>
            </w:tcBorders>
          </w:tcPr>
          <w:p w14:paraId="28C847BA"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w:t>
            </w:r>
            <w:r w:rsidR="00977B9B" w:rsidRPr="00B44B19">
              <w:rPr>
                <w:rFonts w:eastAsia="Times New Roman" w:cs="Times New Roman"/>
                <w:sz w:val="16"/>
                <w:szCs w:val="16"/>
                <w:lang w:eastAsia="lt-LT"/>
              </w:rPr>
              <w:t>ų duomenys</w:t>
            </w:r>
          </w:p>
        </w:tc>
        <w:tc>
          <w:tcPr>
            <w:tcW w:w="370" w:type="pct"/>
            <w:tcBorders>
              <w:top w:val="single" w:sz="12" w:space="0" w:color="auto"/>
              <w:bottom w:val="single" w:sz="4" w:space="0" w:color="auto"/>
            </w:tcBorders>
          </w:tcPr>
          <w:p w14:paraId="267469D0" w14:textId="77777777" w:rsidR="007E00FD" w:rsidRPr="00B44B19" w:rsidRDefault="007E00FD" w:rsidP="00743681">
            <w:pPr>
              <w:spacing w:after="0" w:line="480" w:lineRule="auto"/>
              <w:jc w:val="both"/>
              <w:rPr>
                <w:rFonts w:cs="Times New Roman"/>
                <w:b/>
                <w:noProof/>
                <w:sz w:val="14"/>
                <w:szCs w:val="14"/>
              </w:rPr>
            </w:pPr>
          </w:p>
        </w:tc>
      </w:tr>
      <w:tr w:rsidR="007E00FD" w:rsidRPr="00B44B19" w14:paraId="3CC8BA70" w14:textId="77777777" w:rsidTr="00743681">
        <w:trPr>
          <w:trHeight w:val="400"/>
        </w:trPr>
        <w:tc>
          <w:tcPr>
            <w:tcW w:w="364" w:type="pct"/>
            <w:vMerge/>
          </w:tcPr>
          <w:p w14:paraId="78C43120"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28" w:type="pct"/>
            <w:vMerge/>
          </w:tcPr>
          <w:p w14:paraId="199DA1AC"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4F4FFF80"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B09BE4C"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FD6398F"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EECR03</w:t>
            </w:r>
          </w:p>
        </w:tc>
        <w:tc>
          <w:tcPr>
            <w:tcW w:w="1172" w:type="pct"/>
            <w:tcBorders>
              <w:top w:val="single" w:sz="4" w:space="0" w:color="auto"/>
              <w:bottom w:val="single" w:sz="4" w:space="0" w:color="auto"/>
            </w:tcBorders>
          </w:tcPr>
          <w:p w14:paraId="686AF585" w14:textId="77777777" w:rsidR="007E00FD" w:rsidRPr="00B44B19" w:rsidRDefault="00154B52"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Dalyviai, pasibaigus jų dalyvavimui įgyjantys kvalifikaciją</w:t>
            </w:r>
          </w:p>
        </w:tc>
        <w:tc>
          <w:tcPr>
            <w:tcW w:w="328" w:type="pct"/>
            <w:tcBorders>
              <w:top w:val="single" w:sz="4" w:space="0" w:color="auto"/>
              <w:bottom w:val="single" w:sz="4" w:space="0" w:color="auto"/>
            </w:tcBorders>
          </w:tcPr>
          <w:p w14:paraId="6A59CF9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328" w:type="pct"/>
            <w:tcBorders>
              <w:top w:val="single" w:sz="4" w:space="0" w:color="auto"/>
              <w:bottom w:val="single" w:sz="4" w:space="0" w:color="auto"/>
            </w:tcBorders>
          </w:tcPr>
          <w:p w14:paraId="127E0A16" w14:textId="77777777" w:rsidR="007E00FD" w:rsidRPr="00B44B19" w:rsidRDefault="009A73C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339</w:t>
            </w:r>
          </w:p>
        </w:tc>
        <w:tc>
          <w:tcPr>
            <w:tcW w:w="375" w:type="pct"/>
            <w:tcBorders>
              <w:top w:val="single" w:sz="4" w:space="0" w:color="auto"/>
              <w:bottom w:val="single" w:sz="4" w:space="0" w:color="auto"/>
            </w:tcBorders>
          </w:tcPr>
          <w:p w14:paraId="085597E1"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56B05AD1" w14:textId="1CA1EAFB" w:rsidR="007E00FD" w:rsidRPr="00B44B19" w:rsidRDefault="00CB07C4"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12 913</w:t>
            </w:r>
          </w:p>
        </w:tc>
        <w:tc>
          <w:tcPr>
            <w:tcW w:w="375" w:type="pct"/>
            <w:tcBorders>
              <w:top w:val="single" w:sz="4" w:space="0" w:color="auto"/>
              <w:bottom w:val="single" w:sz="4" w:space="0" w:color="auto"/>
            </w:tcBorders>
          </w:tcPr>
          <w:p w14:paraId="4698FA16" w14:textId="77777777" w:rsidR="007E00FD" w:rsidRPr="00B44B19" w:rsidRDefault="00977B9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5BF08FD" w14:textId="77777777" w:rsidR="007E00FD" w:rsidRPr="00B44B19" w:rsidRDefault="007E00FD" w:rsidP="00743681">
            <w:pPr>
              <w:spacing w:after="0" w:line="480" w:lineRule="auto"/>
              <w:jc w:val="both"/>
              <w:rPr>
                <w:rFonts w:cs="Times New Roman"/>
                <w:b/>
                <w:noProof/>
                <w:sz w:val="14"/>
                <w:szCs w:val="14"/>
              </w:rPr>
            </w:pPr>
          </w:p>
        </w:tc>
      </w:tr>
      <w:tr w:rsidR="007E00FD" w:rsidRPr="00B44B19" w14:paraId="508F04BE" w14:textId="77777777" w:rsidTr="00743681">
        <w:trPr>
          <w:trHeight w:val="547"/>
        </w:trPr>
        <w:tc>
          <w:tcPr>
            <w:tcW w:w="364" w:type="pct"/>
            <w:vMerge/>
          </w:tcPr>
          <w:p w14:paraId="7BA51D25" w14:textId="77777777" w:rsidR="007E00FD" w:rsidRPr="00B44B19"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085C1911"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503A6822"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BB9BAB6"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4F3CDA91"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72" w:type="pct"/>
            <w:tcBorders>
              <w:top w:val="single" w:sz="4" w:space="0" w:color="auto"/>
              <w:bottom w:val="single" w:sz="4" w:space="0" w:color="auto"/>
            </w:tcBorders>
          </w:tcPr>
          <w:p w14:paraId="6C99CFA7"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Atliktų edukacinių tyrimų pagrindu parengtos publikacijos</w:t>
            </w:r>
          </w:p>
        </w:tc>
        <w:tc>
          <w:tcPr>
            <w:tcW w:w="328" w:type="pct"/>
            <w:tcBorders>
              <w:top w:val="single" w:sz="4" w:space="0" w:color="auto"/>
              <w:bottom w:val="single" w:sz="4" w:space="0" w:color="auto"/>
            </w:tcBorders>
          </w:tcPr>
          <w:p w14:paraId="63C037D8"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328" w:type="pct"/>
            <w:tcBorders>
              <w:top w:val="single" w:sz="4" w:space="0" w:color="auto"/>
              <w:bottom w:val="single" w:sz="4" w:space="0" w:color="auto"/>
            </w:tcBorders>
          </w:tcPr>
          <w:p w14:paraId="602B552C"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796F74EA"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43E51F7B"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10</w:t>
            </w:r>
          </w:p>
        </w:tc>
        <w:tc>
          <w:tcPr>
            <w:tcW w:w="375" w:type="pct"/>
            <w:tcBorders>
              <w:top w:val="single" w:sz="4" w:space="0" w:color="auto"/>
              <w:bottom w:val="single" w:sz="4" w:space="0" w:color="auto"/>
            </w:tcBorders>
          </w:tcPr>
          <w:p w14:paraId="47F58FDE" w14:textId="77777777" w:rsidR="007E00FD" w:rsidRPr="00B44B19" w:rsidRDefault="00977B9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29D1DDA" w14:textId="77777777" w:rsidR="007E00FD" w:rsidRPr="00B44B19" w:rsidRDefault="007E00FD" w:rsidP="00743681">
            <w:pPr>
              <w:spacing w:after="0" w:line="480" w:lineRule="auto"/>
              <w:jc w:val="both"/>
              <w:rPr>
                <w:rFonts w:cs="Times New Roman"/>
                <w:b/>
                <w:noProof/>
                <w:sz w:val="14"/>
                <w:szCs w:val="14"/>
              </w:rPr>
            </w:pPr>
          </w:p>
        </w:tc>
      </w:tr>
      <w:tr w:rsidR="007E00FD" w:rsidRPr="00B44B19" w14:paraId="4E73570D" w14:textId="77777777" w:rsidTr="00743681">
        <w:trPr>
          <w:trHeight w:val="707"/>
        </w:trPr>
        <w:tc>
          <w:tcPr>
            <w:tcW w:w="364" w:type="pct"/>
            <w:vMerge/>
          </w:tcPr>
          <w:p w14:paraId="19B5D0FB" w14:textId="77777777" w:rsidR="007E00FD" w:rsidRPr="00B44B19"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6F1EEC7F"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1063B0A3"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5B7C114A"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1B026F0"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72" w:type="pct"/>
            <w:tcBorders>
              <w:top w:val="single" w:sz="4" w:space="0" w:color="auto"/>
              <w:bottom w:val="single" w:sz="4" w:space="0" w:color="auto"/>
            </w:tcBorders>
          </w:tcPr>
          <w:p w14:paraId="1DD2A3F9"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Atliktų edukacinių tyrimų pagrindu parengtos publikacijos</w:t>
            </w:r>
          </w:p>
        </w:tc>
        <w:tc>
          <w:tcPr>
            <w:tcW w:w="328" w:type="pct"/>
            <w:tcBorders>
              <w:top w:val="single" w:sz="4" w:space="0" w:color="auto"/>
              <w:bottom w:val="single" w:sz="4" w:space="0" w:color="auto"/>
            </w:tcBorders>
          </w:tcPr>
          <w:p w14:paraId="34E958AE"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328" w:type="pct"/>
            <w:tcBorders>
              <w:top w:val="single" w:sz="4" w:space="0" w:color="auto"/>
              <w:bottom w:val="single" w:sz="4" w:space="0" w:color="auto"/>
            </w:tcBorders>
          </w:tcPr>
          <w:p w14:paraId="76FBE127"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37F97C1F"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791B7AEA"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w:t>
            </w:r>
          </w:p>
        </w:tc>
        <w:tc>
          <w:tcPr>
            <w:tcW w:w="375" w:type="pct"/>
            <w:tcBorders>
              <w:top w:val="single" w:sz="4" w:space="0" w:color="auto"/>
              <w:bottom w:val="single" w:sz="4" w:space="0" w:color="auto"/>
            </w:tcBorders>
          </w:tcPr>
          <w:p w14:paraId="2E47520E" w14:textId="77777777" w:rsidR="007E00FD" w:rsidRPr="00B44B19" w:rsidRDefault="00977B9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1239E0F" w14:textId="77777777" w:rsidR="007E00FD" w:rsidRPr="00B44B19" w:rsidRDefault="007E00FD" w:rsidP="00743681">
            <w:pPr>
              <w:spacing w:after="0" w:line="480" w:lineRule="auto"/>
              <w:jc w:val="both"/>
              <w:rPr>
                <w:rFonts w:cs="Times New Roman"/>
                <w:b/>
                <w:noProof/>
                <w:sz w:val="14"/>
                <w:szCs w:val="14"/>
              </w:rPr>
            </w:pPr>
          </w:p>
        </w:tc>
      </w:tr>
      <w:tr w:rsidR="007E00FD" w:rsidRPr="00B44B19" w14:paraId="4A89656D" w14:textId="77777777" w:rsidTr="00743681">
        <w:trPr>
          <w:trHeight w:val="707"/>
        </w:trPr>
        <w:tc>
          <w:tcPr>
            <w:tcW w:w="364" w:type="pct"/>
            <w:vMerge/>
          </w:tcPr>
          <w:p w14:paraId="39DF7101" w14:textId="77777777" w:rsidR="007E00FD" w:rsidRPr="00B44B19"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4BFF0C27"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12821760"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23C7843C"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3828BAC7"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72" w:type="pct"/>
            <w:tcBorders>
              <w:top w:val="single" w:sz="4" w:space="0" w:color="auto"/>
              <w:bottom w:val="single" w:sz="4" w:space="0" w:color="auto"/>
            </w:tcBorders>
          </w:tcPr>
          <w:p w14:paraId="0D923AFD"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Tarptautinėse švietimo ir ugdymo srities tyrimų programose ir / ar projektuose dalyvavusių tyrėjų, mokslinio tyrimo rezultatų ataskaitos</w:t>
            </w:r>
          </w:p>
        </w:tc>
        <w:tc>
          <w:tcPr>
            <w:tcW w:w="328" w:type="pct"/>
            <w:tcBorders>
              <w:top w:val="single" w:sz="4" w:space="0" w:color="auto"/>
              <w:bottom w:val="single" w:sz="4" w:space="0" w:color="auto"/>
            </w:tcBorders>
          </w:tcPr>
          <w:p w14:paraId="3DEDB575"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328" w:type="pct"/>
            <w:tcBorders>
              <w:top w:val="single" w:sz="4" w:space="0" w:color="auto"/>
              <w:bottom w:val="single" w:sz="4" w:space="0" w:color="auto"/>
            </w:tcBorders>
          </w:tcPr>
          <w:p w14:paraId="63571029"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1E13D9C0"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7A9560F4"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6</w:t>
            </w:r>
          </w:p>
        </w:tc>
        <w:tc>
          <w:tcPr>
            <w:tcW w:w="375" w:type="pct"/>
            <w:tcBorders>
              <w:top w:val="single" w:sz="4" w:space="0" w:color="auto"/>
              <w:bottom w:val="single" w:sz="4" w:space="0" w:color="auto"/>
            </w:tcBorders>
          </w:tcPr>
          <w:p w14:paraId="4FB57869" w14:textId="77777777" w:rsidR="007E00FD" w:rsidRPr="00B44B19" w:rsidRDefault="00977B9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FD93313" w14:textId="77777777" w:rsidR="007E00FD" w:rsidRPr="00B44B19" w:rsidRDefault="007E00FD" w:rsidP="00743681">
            <w:pPr>
              <w:spacing w:after="0" w:line="480" w:lineRule="auto"/>
              <w:jc w:val="both"/>
              <w:rPr>
                <w:rFonts w:cs="Times New Roman"/>
                <w:b/>
                <w:noProof/>
                <w:sz w:val="14"/>
                <w:szCs w:val="14"/>
              </w:rPr>
            </w:pPr>
          </w:p>
        </w:tc>
      </w:tr>
      <w:tr w:rsidR="007E00FD" w:rsidRPr="00B44B19" w14:paraId="03BE2B3D" w14:textId="77777777" w:rsidTr="00743681">
        <w:trPr>
          <w:trHeight w:val="707"/>
        </w:trPr>
        <w:tc>
          <w:tcPr>
            <w:tcW w:w="364" w:type="pct"/>
            <w:vMerge/>
          </w:tcPr>
          <w:p w14:paraId="1404D473" w14:textId="77777777" w:rsidR="007E00FD" w:rsidRPr="00B44B19" w:rsidRDefault="007E00FD"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18570F0E"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281" w:type="pct"/>
            <w:vMerge/>
          </w:tcPr>
          <w:p w14:paraId="5EE9464E"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tcBorders>
          </w:tcPr>
          <w:p w14:paraId="363AFD5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tcBorders>
          </w:tcPr>
          <w:p w14:paraId="1015FF1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72" w:type="pct"/>
            <w:tcBorders>
              <w:top w:val="single" w:sz="4" w:space="0" w:color="auto"/>
            </w:tcBorders>
          </w:tcPr>
          <w:p w14:paraId="36E82BAA" w14:textId="77777777" w:rsidR="007E00FD" w:rsidRPr="00B44B19" w:rsidRDefault="007E00FD"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Tarptautinėse švietimo ir ugdymo srities tyrimų programose ir / ar projektuose dalyvavusių tyrėjų, mokslinio tyrimo rezultatų ataskaitos</w:t>
            </w:r>
          </w:p>
        </w:tc>
        <w:tc>
          <w:tcPr>
            <w:tcW w:w="328" w:type="pct"/>
            <w:tcBorders>
              <w:top w:val="single" w:sz="4" w:space="0" w:color="auto"/>
            </w:tcBorders>
          </w:tcPr>
          <w:p w14:paraId="03DFDA79" w14:textId="77777777" w:rsidR="007E00FD" w:rsidRPr="00B44B19" w:rsidRDefault="007E00FD"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328" w:type="pct"/>
            <w:tcBorders>
              <w:top w:val="single" w:sz="4" w:space="0" w:color="auto"/>
            </w:tcBorders>
          </w:tcPr>
          <w:p w14:paraId="3DCD12E6"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tcBorders>
          </w:tcPr>
          <w:p w14:paraId="7F5ACB35"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tcBorders>
          </w:tcPr>
          <w:p w14:paraId="59329F4C" w14:textId="77777777" w:rsidR="007E00FD" w:rsidRPr="00B44B19" w:rsidRDefault="007E00FD"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21</w:t>
            </w:r>
          </w:p>
        </w:tc>
        <w:tc>
          <w:tcPr>
            <w:tcW w:w="375" w:type="pct"/>
            <w:tcBorders>
              <w:top w:val="single" w:sz="4" w:space="0" w:color="auto"/>
            </w:tcBorders>
          </w:tcPr>
          <w:p w14:paraId="061607F2" w14:textId="77777777" w:rsidR="007E00FD" w:rsidRPr="00B44B19" w:rsidRDefault="00977B9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tcBorders>
          </w:tcPr>
          <w:p w14:paraId="163B8085" w14:textId="77777777" w:rsidR="007E00FD" w:rsidRPr="00B44B19" w:rsidRDefault="007E00FD" w:rsidP="00743681">
            <w:pPr>
              <w:spacing w:after="0" w:line="480" w:lineRule="auto"/>
              <w:jc w:val="both"/>
              <w:rPr>
                <w:rFonts w:cs="Times New Roman"/>
                <w:b/>
                <w:noProof/>
                <w:sz w:val="14"/>
                <w:szCs w:val="14"/>
              </w:rPr>
            </w:pPr>
          </w:p>
        </w:tc>
      </w:tr>
    </w:tbl>
    <w:p w14:paraId="318D6A20" w14:textId="77777777" w:rsidR="00D10D27" w:rsidRPr="00B44B19" w:rsidRDefault="00D10D27" w:rsidP="00786CD2">
      <w:pPr>
        <w:jc w:val="both"/>
        <w:rPr>
          <w:rFonts w:cs="Times New Roman"/>
          <w:b/>
          <w:szCs w:val="24"/>
        </w:rPr>
        <w:sectPr w:rsidR="00D10D27" w:rsidRPr="00B44B19" w:rsidSect="00931C78">
          <w:pgSz w:w="16838" w:h="11906" w:orient="landscape"/>
          <w:pgMar w:top="1701" w:right="1276" w:bottom="567" w:left="1134" w:header="567" w:footer="567" w:gutter="0"/>
          <w:cols w:space="1296"/>
          <w:docGrid w:linePitch="360"/>
        </w:sectPr>
      </w:pPr>
    </w:p>
    <w:p w14:paraId="192D127D" w14:textId="77777777" w:rsidR="00786CD2" w:rsidRPr="00B44B19" w:rsidRDefault="00786CD2"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418"/>
        <w:gridCol w:w="1134"/>
        <w:gridCol w:w="3969"/>
        <w:gridCol w:w="1417"/>
      </w:tblGrid>
      <w:tr w:rsidR="007E00FD" w:rsidRPr="00B44B19" w14:paraId="183092ED" w14:textId="77777777" w:rsidTr="00C97EEF">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2AF61C" w14:textId="77777777" w:rsidR="007E00FD" w:rsidRPr="00B44B19" w:rsidRDefault="007E00FD" w:rsidP="00743681">
            <w:pPr>
              <w:rPr>
                <w:rFonts w:eastAsia="Times New Roman" w:cs="Times New Roman"/>
                <w:b/>
                <w:iCs/>
                <w:noProof/>
                <w:sz w:val="20"/>
              </w:rPr>
            </w:pPr>
            <w:r w:rsidRPr="00B44B19">
              <w:rPr>
                <w:rFonts w:cs="Times New Roman"/>
                <w:b/>
                <w:noProof/>
                <w:sz w:val="20"/>
              </w:rPr>
              <w:t>4 lentelė. 1 matmuo. Intervencinių priemonių sritis</w:t>
            </w:r>
          </w:p>
        </w:tc>
      </w:tr>
      <w:tr w:rsidR="007E00FD" w:rsidRPr="00B44B19" w14:paraId="58EFAD06" w14:textId="77777777" w:rsidTr="00C97EE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81403A" w14:textId="77777777" w:rsidR="007E00FD" w:rsidRPr="00B44B19" w:rsidRDefault="007E00FD" w:rsidP="0074368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89B866" w14:textId="77777777" w:rsidR="007E00FD" w:rsidRPr="00B44B19" w:rsidRDefault="007E00FD" w:rsidP="00743681">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741E43" w14:textId="77777777" w:rsidR="007E00FD" w:rsidRPr="00B44B19" w:rsidRDefault="007E00FD" w:rsidP="0074368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B9B7E6" w14:textId="77777777" w:rsidR="007E00FD" w:rsidRPr="00B44B19" w:rsidRDefault="007E00FD" w:rsidP="00743681">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D0B7F1" w14:textId="77777777" w:rsidR="007E00FD" w:rsidRPr="00B44B19" w:rsidRDefault="007E00FD" w:rsidP="00743681">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2D53AC" w14:textId="77777777" w:rsidR="007E00FD" w:rsidRPr="00B44B19" w:rsidRDefault="007E00FD" w:rsidP="00743681">
            <w:pPr>
              <w:jc w:val="center"/>
              <w:rPr>
                <w:rFonts w:eastAsia="Times New Roman" w:cs="Times New Roman"/>
                <w:b/>
                <w:iCs/>
                <w:noProof/>
                <w:sz w:val="20"/>
              </w:rPr>
            </w:pPr>
            <w:r w:rsidRPr="00B44B19">
              <w:rPr>
                <w:rFonts w:cs="Times New Roman"/>
                <w:b/>
                <w:noProof/>
                <w:sz w:val="20"/>
              </w:rPr>
              <w:t>Suma (EUR)</w:t>
            </w:r>
          </w:p>
        </w:tc>
      </w:tr>
      <w:tr w:rsidR="007E00FD" w:rsidRPr="00B44B19" w14:paraId="3B649AE4" w14:textId="77777777" w:rsidTr="00C97EEF">
        <w:tc>
          <w:tcPr>
            <w:tcW w:w="1101" w:type="dxa"/>
            <w:vMerge w:val="restart"/>
            <w:tcBorders>
              <w:top w:val="single" w:sz="12" w:space="0" w:color="auto"/>
            </w:tcBorders>
          </w:tcPr>
          <w:p w14:paraId="7DCD9A37" w14:textId="77777777" w:rsidR="007E00FD" w:rsidRPr="00B44B19" w:rsidRDefault="007E00FD" w:rsidP="0074368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53A2246B" w14:textId="77777777" w:rsidR="007E00FD" w:rsidRPr="00B44B19" w:rsidRDefault="007E00FD" w:rsidP="0074368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C97EEF"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0E5C0134" w14:textId="77777777" w:rsidR="007E00FD" w:rsidRPr="00B44B19" w:rsidRDefault="007E00FD"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7AA6E3AE" w14:textId="77777777" w:rsidR="007E00FD" w:rsidRPr="00B44B19" w:rsidRDefault="007E00FD" w:rsidP="0074368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4.2</w:t>
            </w:r>
          </w:p>
        </w:tc>
        <w:tc>
          <w:tcPr>
            <w:tcW w:w="3969" w:type="dxa"/>
            <w:vMerge w:val="restart"/>
            <w:tcBorders>
              <w:top w:val="single" w:sz="12" w:space="0" w:color="auto"/>
            </w:tcBorders>
          </w:tcPr>
          <w:p w14:paraId="6F798876" w14:textId="77777777" w:rsidR="007E00FD" w:rsidRPr="00B44B19" w:rsidRDefault="007E00FD" w:rsidP="00DC13A3">
            <w:pPr>
              <w:textAlignment w:val="baseline"/>
              <w:rPr>
                <w:rFonts w:eastAsia="Times New Roman" w:cs="Times New Roman"/>
                <w:sz w:val="20"/>
                <w:szCs w:val="20"/>
                <w:lang w:eastAsia="lt-LT"/>
              </w:rPr>
            </w:pPr>
            <w:r w:rsidRPr="00B44B19">
              <w:rPr>
                <w:rFonts w:eastAsia="Times New Roman" w:cs="Times New Roman"/>
                <w:sz w:val="20"/>
                <w:szCs w:val="20"/>
                <w:lang w:eastAsia="lt-LT"/>
              </w:rPr>
              <w:t>14</w:t>
            </w:r>
            <w:r w:rsidR="00DC13A3" w:rsidRPr="00B44B19">
              <w:rPr>
                <w:rFonts w:eastAsia="Times New Roman" w:cs="Times New Roman"/>
                <w:sz w:val="20"/>
                <w:szCs w:val="20"/>
                <w:lang w:eastAsia="lt-LT"/>
              </w:rPr>
              <w:t>8</w:t>
            </w:r>
            <w:r w:rsidR="00C97EEF" w:rsidRPr="00B44B19">
              <w:rPr>
                <w:rFonts w:eastAsia="Times New Roman" w:cs="Times New Roman"/>
                <w:sz w:val="20"/>
                <w:szCs w:val="20"/>
                <w:lang w:eastAsia="lt-LT"/>
              </w:rPr>
              <w:t xml:space="preserve"> </w:t>
            </w:r>
            <w:r w:rsidR="00424290" w:rsidRPr="00B44B19">
              <w:rPr>
                <w:rFonts w:eastAsia="Times New Roman" w:cs="Times New Roman"/>
                <w:sz w:val="20"/>
                <w:szCs w:val="20"/>
                <w:lang w:eastAsia="lt-LT"/>
              </w:rPr>
              <w:t>–</w:t>
            </w:r>
            <w:r w:rsidR="00C97EEF" w:rsidRPr="00B44B19">
              <w:rPr>
                <w:rFonts w:eastAsia="Times New Roman" w:cs="Times New Roman"/>
                <w:sz w:val="20"/>
                <w:szCs w:val="20"/>
                <w:lang w:eastAsia="lt-LT"/>
              </w:rPr>
              <w:t xml:space="preserve"> </w:t>
            </w:r>
            <w:r w:rsidR="00DC13A3" w:rsidRPr="00B44B19">
              <w:rPr>
                <w:rFonts w:eastAsia="Times New Roman" w:cs="Times New Roman"/>
                <w:sz w:val="20"/>
                <w:szCs w:val="20"/>
                <w:lang w:eastAsia="lt-LT"/>
              </w:rPr>
              <w:t>Parama ikimokykliniam ugdymui ir priežiūrai (išskyrus infrastruktūrą)</w:t>
            </w:r>
          </w:p>
        </w:tc>
        <w:tc>
          <w:tcPr>
            <w:tcW w:w="1417" w:type="dxa"/>
            <w:tcBorders>
              <w:top w:val="single" w:sz="12" w:space="0" w:color="auto"/>
              <w:bottom w:val="single" w:sz="4" w:space="0" w:color="auto"/>
            </w:tcBorders>
          </w:tcPr>
          <w:p w14:paraId="2475199E" w14:textId="77777777" w:rsidR="007E00FD" w:rsidRPr="00B44B19" w:rsidRDefault="007E00FD"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658 000,00</w:t>
            </w:r>
          </w:p>
        </w:tc>
      </w:tr>
      <w:tr w:rsidR="007E00FD" w:rsidRPr="00B44B19" w14:paraId="63F58FF6" w14:textId="77777777" w:rsidTr="00C97EEF">
        <w:tc>
          <w:tcPr>
            <w:tcW w:w="1101" w:type="dxa"/>
            <w:vMerge/>
          </w:tcPr>
          <w:p w14:paraId="1D96E42A" w14:textId="77777777" w:rsidR="007E00FD" w:rsidRPr="00B44B19" w:rsidRDefault="007E00FD" w:rsidP="00743681">
            <w:pPr>
              <w:jc w:val="center"/>
              <w:textAlignment w:val="baseline"/>
              <w:rPr>
                <w:rFonts w:eastAsia="Times New Roman" w:cs="Times New Roman"/>
                <w:sz w:val="20"/>
                <w:szCs w:val="20"/>
                <w:lang w:eastAsia="lt-LT"/>
              </w:rPr>
            </w:pPr>
          </w:p>
        </w:tc>
        <w:tc>
          <w:tcPr>
            <w:tcW w:w="850" w:type="dxa"/>
            <w:vMerge/>
          </w:tcPr>
          <w:p w14:paraId="40BBCFBD" w14:textId="77777777" w:rsidR="007E00FD" w:rsidRPr="00B44B19"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001D4D25" w14:textId="77777777" w:rsidR="007E00FD" w:rsidRPr="00B44B19" w:rsidRDefault="007E00FD"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7F2542DA" w14:textId="77777777" w:rsidR="007E00FD" w:rsidRPr="00B44B19" w:rsidRDefault="007E00FD" w:rsidP="00743681">
            <w:pPr>
              <w:jc w:val="center"/>
              <w:textAlignment w:val="baseline"/>
              <w:rPr>
                <w:rFonts w:eastAsia="Times New Roman" w:cs="Times New Roman"/>
                <w:sz w:val="20"/>
                <w:szCs w:val="20"/>
                <w:lang w:eastAsia="lt-LT"/>
              </w:rPr>
            </w:pPr>
          </w:p>
        </w:tc>
        <w:tc>
          <w:tcPr>
            <w:tcW w:w="3969" w:type="dxa"/>
            <w:vMerge/>
            <w:tcBorders>
              <w:bottom w:val="single" w:sz="4" w:space="0" w:color="auto"/>
            </w:tcBorders>
          </w:tcPr>
          <w:p w14:paraId="5382B129" w14:textId="77777777" w:rsidR="007E00FD" w:rsidRPr="00B44B19" w:rsidRDefault="007E00FD" w:rsidP="00C97EEF">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7D365CF" w14:textId="77777777" w:rsidR="007E00FD" w:rsidRPr="00B44B19" w:rsidRDefault="007E00FD"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2 876 400,00</w:t>
            </w:r>
          </w:p>
        </w:tc>
      </w:tr>
      <w:tr w:rsidR="007E00FD" w:rsidRPr="00B44B19" w14:paraId="287B472D" w14:textId="77777777" w:rsidTr="00C97EEF">
        <w:tc>
          <w:tcPr>
            <w:tcW w:w="1101" w:type="dxa"/>
            <w:vMerge/>
          </w:tcPr>
          <w:p w14:paraId="5EA0C16F" w14:textId="77777777" w:rsidR="007E00FD" w:rsidRPr="00B44B19" w:rsidRDefault="007E00FD" w:rsidP="00743681">
            <w:pPr>
              <w:jc w:val="center"/>
              <w:textAlignment w:val="baseline"/>
              <w:rPr>
                <w:rFonts w:eastAsia="Times New Roman" w:cs="Times New Roman"/>
                <w:sz w:val="20"/>
                <w:szCs w:val="20"/>
                <w:lang w:eastAsia="lt-LT"/>
              </w:rPr>
            </w:pPr>
          </w:p>
        </w:tc>
        <w:tc>
          <w:tcPr>
            <w:tcW w:w="850" w:type="dxa"/>
            <w:vMerge/>
          </w:tcPr>
          <w:p w14:paraId="58299CD5" w14:textId="77777777" w:rsidR="007E00FD" w:rsidRPr="00B44B19"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4F728B98" w14:textId="77777777" w:rsidR="007E00FD" w:rsidRPr="00B44B19" w:rsidRDefault="007E00FD"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7862157D" w14:textId="77777777" w:rsidR="007E00FD" w:rsidRPr="00B44B19" w:rsidRDefault="007E00FD" w:rsidP="00743681">
            <w:pPr>
              <w:jc w:val="center"/>
              <w:textAlignment w:val="baseline"/>
              <w:rPr>
                <w:rFonts w:eastAsia="Times New Roman" w:cs="Times New Roman"/>
                <w:sz w:val="20"/>
                <w:szCs w:val="20"/>
                <w:lang w:eastAsia="lt-LT"/>
              </w:rPr>
            </w:pPr>
          </w:p>
        </w:tc>
        <w:tc>
          <w:tcPr>
            <w:tcW w:w="3969" w:type="dxa"/>
            <w:vMerge w:val="restart"/>
            <w:tcBorders>
              <w:top w:val="single" w:sz="4" w:space="0" w:color="auto"/>
            </w:tcBorders>
          </w:tcPr>
          <w:p w14:paraId="65DF635B" w14:textId="77777777" w:rsidR="007E00FD" w:rsidRPr="00B44B19" w:rsidRDefault="007E00FD" w:rsidP="00DC13A3">
            <w:pPr>
              <w:textAlignment w:val="baseline"/>
              <w:rPr>
                <w:rFonts w:eastAsia="Times New Roman" w:cs="Times New Roman"/>
                <w:sz w:val="20"/>
                <w:szCs w:val="20"/>
                <w:lang w:eastAsia="lt-LT"/>
              </w:rPr>
            </w:pPr>
            <w:r w:rsidRPr="00B44B19">
              <w:rPr>
                <w:rFonts w:eastAsia="Times New Roman" w:cs="Times New Roman"/>
                <w:sz w:val="20"/>
                <w:szCs w:val="20"/>
                <w:lang w:eastAsia="lt-LT"/>
              </w:rPr>
              <w:t>14</w:t>
            </w:r>
            <w:r w:rsidR="00DC13A3" w:rsidRPr="00B44B19">
              <w:rPr>
                <w:rFonts w:eastAsia="Times New Roman" w:cs="Times New Roman"/>
                <w:sz w:val="20"/>
                <w:szCs w:val="20"/>
                <w:lang w:eastAsia="lt-LT"/>
              </w:rPr>
              <w:t>9</w:t>
            </w:r>
            <w:r w:rsidR="00C97EEF" w:rsidRPr="00B44B19">
              <w:rPr>
                <w:rFonts w:eastAsia="Times New Roman" w:cs="Times New Roman"/>
                <w:sz w:val="20"/>
                <w:szCs w:val="20"/>
                <w:lang w:eastAsia="lt-LT"/>
              </w:rPr>
              <w:t xml:space="preserve"> </w:t>
            </w:r>
            <w:r w:rsidR="00424290" w:rsidRPr="00B44B19">
              <w:rPr>
                <w:rFonts w:eastAsia="Times New Roman" w:cs="Times New Roman"/>
                <w:sz w:val="20"/>
                <w:szCs w:val="20"/>
                <w:lang w:eastAsia="lt-LT"/>
              </w:rPr>
              <w:t>–</w:t>
            </w:r>
            <w:r w:rsidR="00C97EEF" w:rsidRPr="00B44B19">
              <w:rPr>
                <w:rFonts w:eastAsia="Times New Roman" w:cs="Times New Roman"/>
                <w:sz w:val="20"/>
                <w:szCs w:val="20"/>
                <w:lang w:eastAsia="lt-LT"/>
              </w:rPr>
              <w:t xml:space="preserve"> </w:t>
            </w:r>
            <w:r w:rsidR="00DC13A3" w:rsidRPr="00B44B19">
              <w:rPr>
                <w:rFonts w:eastAsia="Times New Roman" w:cs="Times New Roman"/>
                <w:sz w:val="20"/>
                <w:szCs w:val="20"/>
                <w:lang w:eastAsia="lt-LT"/>
              </w:rPr>
              <w:t>Parama pradiniam ir pagrindiniam ugdymui (išskyrus infrastruktūrą)</w:t>
            </w:r>
          </w:p>
        </w:tc>
        <w:tc>
          <w:tcPr>
            <w:tcW w:w="1417" w:type="dxa"/>
            <w:tcBorders>
              <w:top w:val="single" w:sz="4" w:space="0" w:color="auto"/>
              <w:bottom w:val="single" w:sz="4" w:space="0" w:color="auto"/>
            </w:tcBorders>
          </w:tcPr>
          <w:p w14:paraId="45F37924" w14:textId="77777777" w:rsidR="007E00FD" w:rsidRPr="00B44B19" w:rsidRDefault="007E00FD"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8 279 910,00</w:t>
            </w:r>
          </w:p>
        </w:tc>
      </w:tr>
      <w:tr w:rsidR="007E00FD" w:rsidRPr="00B44B19" w14:paraId="244D8E13" w14:textId="77777777" w:rsidTr="00C97EEF">
        <w:tc>
          <w:tcPr>
            <w:tcW w:w="1101" w:type="dxa"/>
            <w:vMerge/>
          </w:tcPr>
          <w:p w14:paraId="1C664ECF" w14:textId="77777777" w:rsidR="007E00FD" w:rsidRPr="00B44B19" w:rsidRDefault="007E00FD" w:rsidP="00743681">
            <w:pPr>
              <w:jc w:val="center"/>
              <w:textAlignment w:val="baseline"/>
              <w:rPr>
                <w:rFonts w:eastAsia="Times New Roman" w:cs="Times New Roman"/>
                <w:sz w:val="20"/>
                <w:szCs w:val="20"/>
                <w:lang w:eastAsia="lt-LT"/>
              </w:rPr>
            </w:pPr>
          </w:p>
        </w:tc>
        <w:tc>
          <w:tcPr>
            <w:tcW w:w="850" w:type="dxa"/>
            <w:vMerge/>
          </w:tcPr>
          <w:p w14:paraId="1BEA1D4A" w14:textId="77777777" w:rsidR="007E00FD" w:rsidRPr="00B44B19"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7F725B4C" w14:textId="77777777" w:rsidR="007E00FD" w:rsidRPr="00B44B19" w:rsidRDefault="007E00FD"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61257462" w14:textId="77777777" w:rsidR="007E00FD" w:rsidRPr="00B44B19" w:rsidRDefault="007E00FD" w:rsidP="00743681">
            <w:pPr>
              <w:jc w:val="center"/>
              <w:textAlignment w:val="baseline"/>
              <w:rPr>
                <w:rFonts w:eastAsia="Times New Roman" w:cs="Times New Roman"/>
                <w:sz w:val="20"/>
                <w:szCs w:val="20"/>
                <w:lang w:eastAsia="lt-LT"/>
              </w:rPr>
            </w:pPr>
          </w:p>
        </w:tc>
        <w:tc>
          <w:tcPr>
            <w:tcW w:w="3969" w:type="dxa"/>
            <w:vMerge/>
          </w:tcPr>
          <w:p w14:paraId="74EEC484" w14:textId="77777777" w:rsidR="007E00FD" w:rsidRPr="00B44B19" w:rsidRDefault="007E00FD" w:rsidP="00C97EEF">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06F5F1E5" w14:textId="0AC0568F" w:rsidR="007E00FD" w:rsidRPr="00B44B19" w:rsidRDefault="00951957" w:rsidP="00951957">
            <w:pPr>
              <w:jc w:val="right"/>
              <w:rPr>
                <w:rFonts w:eastAsia="Times New Roman" w:cs="Times New Roman"/>
                <w:sz w:val="20"/>
                <w:szCs w:val="20"/>
                <w:lang w:eastAsia="lt-LT"/>
              </w:rPr>
            </w:pPr>
            <w:r w:rsidRPr="00B44B19">
              <w:rPr>
                <w:rFonts w:cs="Times New Roman"/>
                <w:color w:val="000000"/>
                <w:sz w:val="20"/>
                <w:szCs w:val="20"/>
              </w:rPr>
              <w:t>30 928 363</w:t>
            </w:r>
            <w:r w:rsidR="007E00FD" w:rsidRPr="00B44B19">
              <w:rPr>
                <w:rFonts w:eastAsia="Times New Roman" w:cs="Times New Roman"/>
                <w:sz w:val="20"/>
                <w:szCs w:val="20"/>
                <w:lang w:eastAsia="lt-LT"/>
              </w:rPr>
              <w:t>,00</w:t>
            </w:r>
          </w:p>
        </w:tc>
      </w:tr>
      <w:tr w:rsidR="007E00FD" w:rsidRPr="00B44B19" w14:paraId="69D0791F" w14:textId="77777777" w:rsidTr="00C97EEF">
        <w:tc>
          <w:tcPr>
            <w:tcW w:w="1101" w:type="dxa"/>
            <w:vMerge/>
          </w:tcPr>
          <w:p w14:paraId="4E502500" w14:textId="77777777" w:rsidR="007E00FD" w:rsidRPr="00B44B19" w:rsidRDefault="007E00FD" w:rsidP="00743681">
            <w:pPr>
              <w:jc w:val="center"/>
              <w:textAlignment w:val="baseline"/>
              <w:rPr>
                <w:rFonts w:eastAsia="Times New Roman" w:cs="Times New Roman"/>
                <w:sz w:val="20"/>
                <w:szCs w:val="20"/>
                <w:lang w:eastAsia="lt-LT"/>
              </w:rPr>
            </w:pPr>
          </w:p>
        </w:tc>
        <w:tc>
          <w:tcPr>
            <w:tcW w:w="850" w:type="dxa"/>
            <w:vMerge/>
          </w:tcPr>
          <w:p w14:paraId="73A85062" w14:textId="77777777" w:rsidR="007E00FD" w:rsidRPr="00B44B19"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1B20A236" w14:textId="77777777" w:rsidR="007E00FD" w:rsidRPr="00B44B19" w:rsidRDefault="007E00FD"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4DFBA697" w14:textId="77777777" w:rsidR="007E00FD" w:rsidRPr="00B44B19" w:rsidRDefault="007E00FD" w:rsidP="00743681">
            <w:pPr>
              <w:jc w:val="center"/>
              <w:textAlignment w:val="baseline"/>
              <w:rPr>
                <w:rFonts w:eastAsia="Times New Roman" w:cs="Times New Roman"/>
                <w:sz w:val="20"/>
                <w:szCs w:val="20"/>
                <w:lang w:eastAsia="lt-LT"/>
              </w:rPr>
            </w:pPr>
          </w:p>
        </w:tc>
        <w:tc>
          <w:tcPr>
            <w:tcW w:w="3969" w:type="dxa"/>
            <w:vMerge w:val="restart"/>
          </w:tcPr>
          <w:p w14:paraId="4A32D8CE" w14:textId="77777777" w:rsidR="007E00FD" w:rsidRPr="00B44B19" w:rsidRDefault="007E00FD" w:rsidP="00DC13A3">
            <w:pPr>
              <w:textAlignment w:val="baseline"/>
              <w:rPr>
                <w:rFonts w:eastAsia="Times New Roman" w:cs="Times New Roman"/>
                <w:sz w:val="20"/>
                <w:szCs w:val="20"/>
                <w:lang w:eastAsia="lt-LT"/>
              </w:rPr>
            </w:pPr>
            <w:r w:rsidRPr="00B44B19">
              <w:rPr>
                <w:rFonts w:eastAsia="Times New Roman" w:cs="Times New Roman"/>
                <w:sz w:val="20"/>
                <w:szCs w:val="20"/>
                <w:lang w:eastAsia="lt-LT"/>
              </w:rPr>
              <w:t>1</w:t>
            </w:r>
            <w:r w:rsidR="00DC13A3" w:rsidRPr="00B44B19">
              <w:rPr>
                <w:rFonts w:eastAsia="Times New Roman" w:cs="Times New Roman"/>
                <w:sz w:val="20"/>
                <w:szCs w:val="20"/>
                <w:lang w:eastAsia="lt-LT"/>
              </w:rPr>
              <w:t>50</w:t>
            </w:r>
            <w:r w:rsidR="00C97EEF" w:rsidRPr="00B44B19">
              <w:rPr>
                <w:rFonts w:eastAsia="Times New Roman" w:cs="Times New Roman"/>
                <w:sz w:val="20"/>
                <w:szCs w:val="20"/>
                <w:lang w:eastAsia="lt-LT"/>
              </w:rPr>
              <w:t xml:space="preserve"> </w:t>
            </w:r>
            <w:r w:rsidR="00424290" w:rsidRPr="00B44B19">
              <w:rPr>
                <w:rFonts w:eastAsia="Times New Roman" w:cs="Times New Roman"/>
                <w:sz w:val="20"/>
                <w:szCs w:val="20"/>
                <w:lang w:eastAsia="lt-LT"/>
              </w:rPr>
              <w:t>–</w:t>
            </w:r>
            <w:r w:rsidR="00C97EEF" w:rsidRPr="00B44B19">
              <w:rPr>
                <w:rFonts w:eastAsia="Times New Roman" w:cs="Times New Roman"/>
                <w:sz w:val="20"/>
                <w:szCs w:val="20"/>
                <w:lang w:eastAsia="lt-LT"/>
              </w:rPr>
              <w:t xml:space="preserve"> </w:t>
            </w:r>
            <w:r w:rsidR="00DC13A3" w:rsidRPr="00B44B19">
              <w:rPr>
                <w:rFonts w:eastAsia="Times New Roman" w:cs="Times New Roman"/>
                <w:sz w:val="20"/>
                <w:szCs w:val="20"/>
                <w:lang w:eastAsia="lt-LT"/>
              </w:rPr>
              <w:t>Parama tretiniam mokslui (išskyrus infrastruktūrą)</w:t>
            </w:r>
          </w:p>
        </w:tc>
        <w:tc>
          <w:tcPr>
            <w:tcW w:w="1417" w:type="dxa"/>
            <w:tcBorders>
              <w:top w:val="single" w:sz="4" w:space="0" w:color="auto"/>
              <w:bottom w:val="single" w:sz="4" w:space="0" w:color="auto"/>
            </w:tcBorders>
          </w:tcPr>
          <w:p w14:paraId="1BB42A89" w14:textId="77777777" w:rsidR="007E00FD" w:rsidRPr="00B44B19" w:rsidRDefault="007E00FD"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3 784 598,00</w:t>
            </w:r>
          </w:p>
        </w:tc>
      </w:tr>
      <w:tr w:rsidR="007E00FD" w:rsidRPr="00B44B19" w14:paraId="02146C8C" w14:textId="77777777" w:rsidTr="00C97EEF">
        <w:tc>
          <w:tcPr>
            <w:tcW w:w="1101" w:type="dxa"/>
            <w:vMerge/>
          </w:tcPr>
          <w:p w14:paraId="7DC392AB" w14:textId="77777777" w:rsidR="007E00FD" w:rsidRPr="00B44B19" w:rsidRDefault="007E00FD" w:rsidP="00743681">
            <w:pPr>
              <w:jc w:val="center"/>
              <w:textAlignment w:val="baseline"/>
              <w:rPr>
                <w:rFonts w:eastAsia="Times New Roman" w:cs="Times New Roman"/>
                <w:sz w:val="20"/>
                <w:szCs w:val="20"/>
                <w:lang w:eastAsia="lt-LT"/>
              </w:rPr>
            </w:pPr>
          </w:p>
        </w:tc>
        <w:tc>
          <w:tcPr>
            <w:tcW w:w="850" w:type="dxa"/>
            <w:vMerge/>
          </w:tcPr>
          <w:p w14:paraId="52DEA65A" w14:textId="77777777" w:rsidR="007E00FD" w:rsidRPr="00B44B19" w:rsidRDefault="007E00FD" w:rsidP="00743681">
            <w:pPr>
              <w:jc w:val="center"/>
              <w:textAlignment w:val="baseline"/>
              <w:rPr>
                <w:rFonts w:eastAsia="Times New Roman" w:cs="Times New Roman"/>
                <w:sz w:val="20"/>
                <w:szCs w:val="20"/>
                <w:lang w:eastAsia="lt-LT"/>
              </w:rPr>
            </w:pPr>
          </w:p>
        </w:tc>
        <w:tc>
          <w:tcPr>
            <w:tcW w:w="1418" w:type="dxa"/>
            <w:tcBorders>
              <w:top w:val="single" w:sz="4" w:space="0" w:color="auto"/>
            </w:tcBorders>
          </w:tcPr>
          <w:p w14:paraId="42A0AAD4" w14:textId="77777777" w:rsidR="007E00FD" w:rsidRPr="00B44B19" w:rsidRDefault="007E00FD"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28C66294" w14:textId="77777777" w:rsidR="007E00FD" w:rsidRPr="00B44B19" w:rsidRDefault="007E00FD" w:rsidP="00743681">
            <w:pPr>
              <w:jc w:val="center"/>
              <w:textAlignment w:val="baseline"/>
              <w:rPr>
                <w:rFonts w:eastAsia="Times New Roman" w:cs="Times New Roman"/>
                <w:sz w:val="20"/>
                <w:szCs w:val="20"/>
                <w:lang w:eastAsia="lt-LT"/>
              </w:rPr>
            </w:pPr>
          </w:p>
        </w:tc>
        <w:tc>
          <w:tcPr>
            <w:tcW w:w="3969" w:type="dxa"/>
            <w:vMerge/>
          </w:tcPr>
          <w:p w14:paraId="5DC0A041" w14:textId="77777777" w:rsidR="007E00FD" w:rsidRPr="00B44B19" w:rsidRDefault="007E00FD" w:rsidP="00743681">
            <w:pPr>
              <w:jc w:val="center"/>
              <w:textAlignment w:val="baseline"/>
              <w:rPr>
                <w:rFonts w:eastAsia="Times New Roman" w:cs="Times New Roman"/>
                <w:sz w:val="20"/>
                <w:szCs w:val="20"/>
                <w:lang w:eastAsia="lt-LT"/>
              </w:rPr>
            </w:pPr>
          </w:p>
        </w:tc>
        <w:tc>
          <w:tcPr>
            <w:tcW w:w="1417" w:type="dxa"/>
            <w:tcBorders>
              <w:top w:val="single" w:sz="4" w:space="0" w:color="auto"/>
            </w:tcBorders>
          </w:tcPr>
          <w:p w14:paraId="41D0CB4F" w14:textId="77777777" w:rsidR="007E00FD" w:rsidRPr="00B44B19" w:rsidRDefault="007E00FD"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16 291 052,00</w:t>
            </w:r>
          </w:p>
        </w:tc>
      </w:tr>
    </w:tbl>
    <w:p w14:paraId="6494D7FA" w14:textId="77777777" w:rsidR="007E00FD" w:rsidRPr="00B44B19" w:rsidRDefault="007E00FD" w:rsidP="00C4496A">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3A88C830" w14:textId="77777777" w:rsidTr="00C97EEF">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D2E769A" w14:textId="77777777" w:rsidR="0066383D" w:rsidRPr="00B44B19" w:rsidRDefault="0066383D" w:rsidP="00897CCA">
            <w:pPr>
              <w:rPr>
                <w:rFonts w:eastAsia="Times New Roman" w:cs="Times New Roman"/>
                <w:b/>
                <w:iCs/>
                <w:noProof/>
                <w:sz w:val="20"/>
              </w:rPr>
            </w:pPr>
            <w:r w:rsidRPr="00B44B19">
              <w:rPr>
                <w:rFonts w:cs="Times New Roman"/>
                <w:b/>
                <w:noProof/>
                <w:sz w:val="20"/>
              </w:rPr>
              <w:t xml:space="preserve">5 lentelė. 2 matmuo. </w:t>
            </w:r>
            <w:r w:rsidR="00897CCA" w:rsidRPr="00B44B19">
              <w:rPr>
                <w:rFonts w:cs="Times New Roman"/>
                <w:b/>
                <w:noProof/>
                <w:sz w:val="20"/>
              </w:rPr>
              <w:t>Finansavimo</w:t>
            </w:r>
            <w:r w:rsidR="0007617D" w:rsidRPr="00B44B19">
              <w:rPr>
                <w:rFonts w:cs="Times New Roman"/>
                <w:b/>
                <w:noProof/>
                <w:sz w:val="20"/>
              </w:rPr>
              <w:t xml:space="preserve"> </w:t>
            </w:r>
            <w:r w:rsidRPr="00B44B19">
              <w:rPr>
                <w:rFonts w:cs="Times New Roman"/>
                <w:b/>
                <w:noProof/>
                <w:sz w:val="20"/>
              </w:rPr>
              <w:t>forma</w:t>
            </w:r>
          </w:p>
        </w:tc>
      </w:tr>
      <w:tr w:rsidR="0066383D" w:rsidRPr="00B44B19" w14:paraId="60A13F66"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74B5E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7317F1"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6A34CC"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782B1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19AE93"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4B379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E00FD" w:rsidRPr="00B44B19" w14:paraId="43F4560A" w14:textId="77777777" w:rsidTr="00E648BD">
        <w:tc>
          <w:tcPr>
            <w:tcW w:w="1101" w:type="dxa"/>
            <w:vMerge w:val="restart"/>
            <w:tcBorders>
              <w:top w:val="single" w:sz="12" w:space="0" w:color="auto"/>
            </w:tcBorders>
          </w:tcPr>
          <w:p w14:paraId="250A2332" w14:textId="77777777" w:rsidR="007E00FD" w:rsidRPr="00B44B19" w:rsidRDefault="007E00FD" w:rsidP="00934E54">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10F4EFB0" w14:textId="77777777" w:rsidR="007E00FD" w:rsidRPr="00B44B19" w:rsidRDefault="007E00FD" w:rsidP="00934E54">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C97EEF"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1F9BE118" w14:textId="77777777" w:rsidR="007E00FD" w:rsidRPr="00B44B19" w:rsidRDefault="007E00FD" w:rsidP="00A63B60">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3A172B5D" w14:textId="77777777" w:rsidR="007E00FD" w:rsidRPr="00B44B19" w:rsidRDefault="007E00FD" w:rsidP="00934E54">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4.2</w:t>
            </w:r>
          </w:p>
        </w:tc>
        <w:tc>
          <w:tcPr>
            <w:tcW w:w="3969" w:type="dxa"/>
            <w:vMerge w:val="restart"/>
            <w:tcBorders>
              <w:top w:val="single" w:sz="12" w:space="0" w:color="auto"/>
            </w:tcBorders>
          </w:tcPr>
          <w:p w14:paraId="25E759DD" w14:textId="77777777" w:rsidR="007E00FD" w:rsidRPr="00B44B19" w:rsidRDefault="007E00FD" w:rsidP="00E648BD">
            <w:pPr>
              <w:textAlignment w:val="baseline"/>
              <w:rPr>
                <w:rFonts w:eastAsia="Times New Roman" w:cs="Times New Roman"/>
                <w:sz w:val="20"/>
                <w:szCs w:val="20"/>
                <w:lang w:eastAsia="lt-LT"/>
              </w:rPr>
            </w:pPr>
            <w:r w:rsidRPr="00B44B19">
              <w:rPr>
                <w:rFonts w:eastAsia="Times New Roman" w:cs="Times New Roman"/>
                <w:sz w:val="20"/>
                <w:szCs w:val="20"/>
                <w:lang w:eastAsia="lt-LT"/>
              </w:rPr>
              <w:t>01</w:t>
            </w:r>
            <w:r w:rsidR="00E648BD" w:rsidRPr="00B44B19">
              <w:rPr>
                <w:rFonts w:eastAsia="Times New Roman" w:cs="Times New Roman"/>
                <w:sz w:val="20"/>
                <w:szCs w:val="20"/>
                <w:lang w:eastAsia="lt-LT"/>
              </w:rPr>
              <w:t xml:space="preserve"> – Dotacija</w:t>
            </w:r>
          </w:p>
        </w:tc>
        <w:tc>
          <w:tcPr>
            <w:tcW w:w="1417" w:type="dxa"/>
            <w:tcBorders>
              <w:top w:val="single" w:sz="12" w:space="0" w:color="auto"/>
              <w:bottom w:val="single" w:sz="4" w:space="0" w:color="auto"/>
            </w:tcBorders>
          </w:tcPr>
          <w:p w14:paraId="376F4D46" w14:textId="77777777" w:rsidR="007E00FD" w:rsidRPr="00B44B19" w:rsidRDefault="007E00FD" w:rsidP="00743681">
            <w:pPr>
              <w:jc w:val="right"/>
              <w:textAlignment w:val="baseline"/>
              <w:rPr>
                <w:rFonts w:eastAsia="Times New Roman" w:cs="Times New Roman"/>
                <w:sz w:val="20"/>
                <w:szCs w:val="20"/>
                <w:lang w:val="en-US" w:eastAsia="lt-LT"/>
              </w:rPr>
            </w:pPr>
            <w:r w:rsidRPr="00B44B19">
              <w:rPr>
                <w:rFonts w:eastAsia="Times New Roman" w:cs="Times New Roman"/>
                <w:sz w:val="20"/>
                <w:szCs w:val="20"/>
                <w:lang w:val="en-US" w:eastAsia="lt-LT"/>
              </w:rPr>
              <w:t>12 722 508,00</w:t>
            </w:r>
          </w:p>
        </w:tc>
      </w:tr>
      <w:tr w:rsidR="007E00FD" w:rsidRPr="00B44B19" w14:paraId="0689CB3E" w14:textId="77777777" w:rsidTr="00E648BD">
        <w:tc>
          <w:tcPr>
            <w:tcW w:w="1101" w:type="dxa"/>
            <w:vMerge/>
          </w:tcPr>
          <w:p w14:paraId="0F958EC9" w14:textId="77777777" w:rsidR="007E00FD" w:rsidRPr="00B44B19" w:rsidRDefault="007E00FD" w:rsidP="00934E54">
            <w:pPr>
              <w:jc w:val="center"/>
              <w:textAlignment w:val="baseline"/>
              <w:rPr>
                <w:rFonts w:eastAsia="Times New Roman" w:cs="Times New Roman"/>
                <w:sz w:val="20"/>
                <w:szCs w:val="20"/>
                <w:lang w:eastAsia="lt-LT"/>
              </w:rPr>
            </w:pPr>
          </w:p>
        </w:tc>
        <w:tc>
          <w:tcPr>
            <w:tcW w:w="850" w:type="dxa"/>
            <w:vMerge/>
          </w:tcPr>
          <w:p w14:paraId="77935DA1" w14:textId="77777777" w:rsidR="007E00FD" w:rsidRPr="00B44B19" w:rsidRDefault="007E00FD" w:rsidP="00934E54">
            <w:pPr>
              <w:jc w:val="center"/>
              <w:textAlignment w:val="baseline"/>
              <w:rPr>
                <w:rFonts w:eastAsia="Times New Roman" w:cs="Times New Roman"/>
                <w:sz w:val="20"/>
                <w:szCs w:val="20"/>
                <w:lang w:eastAsia="lt-LT"/>
              </w:rPr>
            </w:pPr>
          </w:p>
        </w:tc>
        <w:tc>
          <w:tcPr>
            <w:tcW w:w="1418" w:type="dxa"/>
            <w:tcBorders>
              <w:top w:val="single" w:sz="4" w:space="0" w:color="auto"/>
            </w:tcBorders>
          </w:tcPr>
          <w:p w14:paraId="6B7BD48F" w14:textId="77777777" w:rsidR="007E00FD" w:rsidRPr="00B44B19" w:rsidRDefault="007E00FD" w:rsidP="00A63B60">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8966185" w14:textId="77777777" w:rsidR="007E00FD" w:rsidRPr="00B44B19" w:rsidRDefault="007E00FD" w:rsidP="00934E54">
            <w:pPr>
              <w:jc w:val="center"/>
              <w:textAlignment w:val="baseline"/>
              <w:rPr>
                <w:rFonts w:eastAsia="Times New Roman" w:cs="Times New Roman"/>
                <w:sz w:val="20"/>
                <w:szCs w:val="20"/>
                <w:lang w:eastAsia="lt-LT"/>
              </w:rPr>
            </w:pPr>
          </w:p>
        </w:tc>
        <w:tc>
          <w:tcPr>
            <w:tcW w:w="3969" w:type="dxa"/>
            <w:vMerge/>
          </w:tcPr>
          <w:p w14:paraId="0C27F0A1" w14:textId="77777777" w:rsidR="007E00FD" w:rsidRPr="00B44B19" w:rsidRDefault="007E00FD" w:rsidP="00934E54">
            <w:pPr>
              <w:jc w:val="center"/>
              <w:textAlignment w:val="baseline"/>
              <w:rPr>
                <w:rFonts w:eastAsia="Times New Roman" w:cs="Times New Roman"/>
                <w:sz w:val="20"/>
                <w:szCs w:val="20"/>
                <w:lang w:eastAsia="lt-LT"/>
              </w:rPr>
            </w:pPr>
          </w:p>
        </w:tc>
        <w:tc>
          <w:tcPr>
            <w:tcW w:w="1417" w:type="dxa"/>
            <w:tcBorders>
              <w:top w:val="single" w:sz="4" w:space="0" w:color="auto"/>
            </w:tcBorders>
          </w:tcPr>
          <w:p w14:paraId="734704A3" w14:textId="0FC56858" w:rsidR="007E00FD" w:rsidRPr="00B44B19" w:rsidRDefault="00E04A7D" w:rsidP="00E04A7D">
            <w:pPr>
              <w:jc w:val="right"/>
              <w:rPr>
                <w:rFonts w:eastAsia="Times New Roman" w:cs="Times New Roman"/>
                <w:sz w:val="20"/>
                <w:szCs w:val="20"/>
                <w:lang w:eastAsia="lt-LT"/>
              </w:rPr>
            </w:pPr>
            <w:r w:rsidRPr="00B44B19">
              <w:rPr>
                <w:rFonts w:cs="Times New Roman"/>
                <w:color w:val="000000"/>
                <w:sz w:val="20"/>
                <w:szCs w:val="20"/>
              </w:rPr>
              <w:t>50 095 815</w:t>
            </w:r>
            <w:r w:rsidR="007E00FD" w:rsidRPr="00B44B19">
              <w:rPr>
                <w:rFonts w:eastAsia="Times New Roman" w:cs="Times New Roman"/>
                <w:sz w:val="20"/>
                <w:szCs w:val="20"/>
                <w:lang w:eastAsia="lt-LT"/>
              </w:rPr>
              <w:t>,00</w:t>
            </w:r>
          </w:p>
        </w:tc>
      </w:tr>
    </w:tbl>
    <w:p w14:paraId="6F46BDE5"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1C34E8B7"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EFF920" w14:textId="77777777" w:rsidR="0066383D" w:rsidRPr="00B44B19" w:rsidRDefault="0066383D" w:rsidP="0066383D">
            <w:pPr>
              <w:rPr>
                <w:rFonts w:eastAsia="Times New Roman" w:cs="Times New Roman"/>
                <w:b/>
                <w:iCs/>
                <w:noProof/>
                <w:sz w:val="20"/>
              </w:rPr>
            </w:pPr>
            <w:r w:rsidRPr="00B44B19">
              <w:rPr>
                <w:rFonts w:cs="Times New Roman"/>
                <w:b/>
                <w:noProof/>
                <w:sz w:val="20"/>
              </w:rPr>
              <w:t xml:space="preserve">6 lentelė. 3 matmuo. </w:t>
            </w:r>
            <w:r w:rsidR="00494435" w:rsidRPr="00B44B19">
              <w:rPr>
                <w:rFonts w:cs="Times New Roman"/>
                <w:b/>
                <w:noProof/>
                <w:sz w:val="20"/>
              </w:rPr>
              <w:t>Teritorinis įgyvendinimo mechanizmas ir pagrindinė teritorinė sritis</w:t>
            </w:r>
          </w:p>
        </w:tc>
      </w:tr>
      <w:tr w:rsidR="0066383D" w:rsidRPr="00B44B19" w14:paraId="274D8D3B"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D06EC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3687E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8B14A"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862DD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994F4B"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83E74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E00FD" w:rsidRPr="00B44B19" w14:paraId="562E3B81" w14:textId="77777777" w:rsidTr="00E648BD">
        <w:tc>
          <w:tcPr>
            <w:tcW w:w="1101" w:type="dxa"/>
            <w:vMerge w:val="restart"/>
            <w:tcBorders>
              <w:top w:val="single" w:sz="12" w:space="0" w:color="auto"/>
            </w:tcBorders>
          </w:tcPr>
          <w:p w14:paraId="652FC781" w14:textId="77777777" w:rsidR="007E00FD" w:rsidRPr="00B44B19" w:rsidRDefault="007E00FD"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75058D1B" w14:textId="77777777" w:rsidR="007E00FD" w:rsidRPr="00B44B19" w:rsidRDefault="007E00FD"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C97EEF"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71033E90" w14:textId="77777777" w:rsidR="007E00FD" w:rsidRPr="00B44B19" w:rsidRDefault="007E00FD"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248420F6" w14:textId="77777777" w:rsidR="007E00FD" w:rsidRPr="00B44B19" w:rsidRDefault="007E00FD" w:rsidP="003D2857">
            <w:pPr>
              <w:jc w:val="center"/>
              <w:rPr>
                <w:rFonts w:eastAsia="Times New Roman" w:cs="Times New Roman"/>
                <w:iCs/>
                <w:noProof/>
                <w:sz w:val="20"/>
              </w:rPr>
            </w:pPr>
            <w:r w:rsidRPr="00B44B19">
              <w:rPr>
                <w:rFonts w:eastAsia="Times New Roman" w:cs="Times New Roman"/>
                <w:iCs/>
                <w:noProof/>
                <w:sz w:val="20"/>
              </w:rPr>
              <w:t>4.2</w:t>
            </w:r>
          </w:p>
        </w:tc>
        <w:tc>
          <w:tcPr>
            <w:tcW w:w="3969" w:type="dxa"/>
            <w:vMerge w:val="restart"/>
            <w:tcBorders>
              <w:top w:val="single" w:sz="12" w:space="0" w:color="auto"/>
            </w:tcBorders>
          </w:tcPr>
          <w:p w14:paraId="7BF14093" w14:textId="77777777" w:rsidR="007E00FD" w:rsidRPr="00B44B19" w:rsidRDefault="007E00FD" w:rsidP="00E648BD">
            <w:pPr>
              <w:rPr>
                <w:rFonts w:eastAsia="Times New Roman" w:cs="Times New Roman"/>
                <w:iCs/>
                <w:noProof/>
                <w:sz w:val="20"/>
              </w:rPr>
            </w:pPr>
            <w:r w:rsidRPr="00B44B19">
              <w:rPr>
                <w:rFonts w:eastAsia="Times New Roman" w:cs="Times New Roman"/>
                <w:iCs/>
                <w:noProof/>
                <w:sz w:val="20"/>
              </w:rPr>
              <w:t>33</w:t>
            </w:r>
            <w:r w:rsidR="00E648BD" w:rsidRPr="00B44B19">
              <w:rPr>
                <w:rFonts w:eastAsia="Times New Roman" w:cs="Times New Roman"/>
                <w:iCs/>
                <w:noProof/>
                <w:sz w:val="20"/>
              </w:rPr>
              <w:t xml:space="preserve"> </w:t>
            </w:r>
            <w:r w:rsidR="00424290" w:rsidRPr="00B44B19">
              <w:rPr>
                <w:rFonts w:eastAsia="Times New Roman" w:cs="Times New Roman"/>
                <w:iCs/>
                <w:noProof/>
                <w:sz w:val="20"/>
              </w:rPr>
              <w:t>–</w:t>
            </w:r>
            <w:r w:rsidR="00E648BD" w:rsidRPr="00B44B19">
              <w:rPr>
                <w:rFonts w:eastAsia="Times New Roman" w:cs="Times New Roman"/>
                <w:iCs/>
                <w:noProof/>
                <w:sz w:val="20"/>
              </w:rPr>
              <w:t xml:space="preserve"> Nesiorientuojant į teritoriškumą</w:t>
            </w:r>
          </w:p>
        </w:tc>
        <w:tc>
          <w:tcPr>
            <w:tcW w:w="1417" w:type="dxa"/>
            <w:tcBorders>
              <w:top w:val="single" w:sz="12" w:space="0" w:color="auto"/>
              <w:bottom w:val="single" w:sz="4" w:space="0" w:color="auto"/>
            </w:tcBorders>
          </w:tcPr>
          <w:p w14:paraId="714744FB" w14:textId="77777777" w:rsidR="007E00FD" w:rsidRPr="00B44B19" w:rsidRDefault="007E00FD" w:rsidP="00743681">
            <w:pPr>
              <w:jc w:val="right"/>
              <w:textAlignment w:val="baseline"/>
              <w:rPr>
                <w:rFonts w:eastAsia="Times New Roman" w:cs="Times New Roman"/>
                <w:sz w:val="20"/>
                <w:szCs w:val="20"/>
                <w:lang w:val="en-US" w:eastAsia="lt-LT"/>
              </w:rPr>
            </w:pPr>
            <w:r w:rsidRPr="00B44B19">
              <w:rPr>
                <w:rFonts w:eastAsia="Times New Roman" w:cs="Times New Roman"/>
                <w:sz w:val="20"/>
                <w:szCs w:val="20"/>
                <w:lang w:val="en-US" w:eastAsia="lt-LT"/>
              </w:rPr>
              <w:t>12 722 508,00</w:t>
            </w:r>
          </w:p>
        </w:tc>
      </w:tr>
      <w:tr w:rsidR="007E00FD" w:rsidRPr="00B44B19" w14:paraId="208DEA23" w14:textId="77777777" w:rsidTr="00E648BD">
        <w:tc>
          <w:tcPr>
            <w:tcW w:w="1101" w:type="dxa"/>
            <w:vMerge/>
          </w:tcPr>
          <w:p w14:paraId="46ADBA7A" w14:textId="77777777" w:rsidR="007E00FD" w:rsidRPr="00B44B19" w:rsidRDefault="007E00FD" w:rsidP="0066383D">
            <w:pPr>
              <w:rPr>
                <w:rFonts w:eastAsia="Times New Roman" w:cs="Times New Roman"/>
                <w:b/>
                <w:iCs/>
                <w:noProof/>
                <w:sz w:val="20"/>
              </w:rPr>
            </w:pPr>
          </w:p>
        </w:tc>
        <w:tc>
          <w:tcPr>
            <w:tcW w:w="850" w:type="dxa"/>
            <w:vMerge/>
          </w:tcPr>
          <w:p w14:paraId="11D7A268" w14:textId="77777777" w:rsidR="007E00FD" w:rsidRPr="00B44B19" w:rsidRDefault="007E00FD" w:rsidP="0066383D">
            <w:pPr>
              <w:rPr>
                <w:rFonts w:eastAsia="Times New Roman" w:cs="Times New Roman"/>
                <w:b/>
                <w:iCs/>
                <w:noProof/>
                <w:sz w:val="20"/>
              </w:rPr>
            </w:pPr>
          </w:p>
        </w:tc>
        <w:tc>
          <w:tcPr>
            <w:tcW w:w="1418" w:type="dxa"/>
            <w:tcBorders>
              <w:top w:val="single" w:sz="4" w:space="0" w:color="auto"/>
            </w:tcBorders>
          </w:tcPr>
          <w:p w14:paraId="187E1938" w14:textId="77777777" w:rsidR="007E00FD" w:rsidRPr="00B44B19" w:rsidRDefault="007E00FD" w:rsidP="0066383D">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389A3DFB" w14:textId="77777777" w:rsidR="007E00FD" w:rsidRPr="00B44B19" w:rsidRDefault="007E00FD" w:rsidP="0066383D">
            <w:pPr>
              <w:rPr>
                <w:rFonts w:eastAsia="Times New Roman" w:cs="Times New Roman"/>
                <w:b/>
                <w:iCs/>
                <w:noProof/>
                <w:sz w:val="20"/>
              </w:rPr>
            </w:pPr>
          </w:p>
        </w:tc>
        <w:tc>
          <w:tcPr>
            <w:tcW w:w="3969" w:type="dxa"/>
            <w:vMerge/>
          </w:tcPr>
          <w:p w14:paraId="10488859" w14:textId="77777777" w:rsidR="007E00FD" w:rsidRPr="00B44B19" w:rsidRDefault="007E00FD" w:rsidP="0066383D">
            <w:pPr>
              <w:rPr>
                <w:rFonts w:eastAsia="Times New Roman" w:cs="Times New Roman"/>
                <w:b/>
                <w:iCs/>
                <w:noProof/>
                <w:sz w:val="20"/>
              </w:rPr>
            </w:pPr>
          </w:p>
        </w:tc>
        <w:tc>
          <w:tcPr>
            <w:tcW w:w="1417" w:type="dxa"/>
            <w:tcBorders>
              <w:top w:val="single" w:sz="4" w:space="0" w:color="auto"/>
            </w:tcBorders>
          </w:tcPr>
          <w:p w14:paraId="49A380B8" w14:textId="2340BAE2" w:rsidR="007E00FD" w:rsidRPr="00B44B19" w:rsidRDefault="00E04A7D" w:rsidP="00E04A7D">
            <w:pPr>
              <w:jc w:val="right"/>
              <w:rPr>
                <w:rFonts w:eastAsia="Times New Roman" w:cs="Times New Roman"/>
                <w:sz w:val="20"/>
                <w:szCs w:val="20"/>
                <w:lang w:eastAsia="lt-LT"/>
              </w:rPr>
            </w:pPr>
            <w:r w:rsidRPr="00B44B19">
              <w:rPr>
                <w:rFonts w:cs="Times New Roman"/>
                <w:color w:val="000000"/>
                <w:sz w:val="20"/>
                <w:szCs w:val="20"/>
              </w:rPr>
              <w:t>50 095 815</w:t>
            </w:r>
            <w:r w:rsidR="007E00FD" w:rsidRPr="00B44B19">
              <w:rPr>
                <w:rFonts w:eastAsia="Times New Roman" w:cs="Times New Roman"/>
                <w:sz w:val="20"/>
                <w:szCs w:val="20"/>
                <w:lang w:eastAsia="lt-LT"/>
              </w:rPr>
              <w:t>,00</w:t>
            </w:r>
          </w:p>
        </w:tc>
      </w:tr>
    </w:tbl>
    <w:p w14:paraId="7F5C0BA4"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31F5EC33"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93784FF" w14:textId="77777777" w:rsidR="0066383D" w:rsidRPr="00B44B19" w:rsidRDefault="0066383D" w:rsidP="0066383D">
            <w:pPr>
              <w:rPr>
                <w:rFonts w:eastAsia="Times New Roman" w:cs="Times New Roman"/>
                <w:b/>
                <w:iCs/>
                <w:noProof/>
                <w:sz w:val="20"/>
              </w:rPr>
            </w:pPr>
            <w:r w:rsidRPr="00B44B19">
              <w:rPr>
                <w:rFonts w:cs="Times New Roman"/>
                <w:b/>
                <w:noProof/>
                <w:sz w:val="20"/>
              </w:rPr>
              <w:t>7 lentelė. 6 matmuo. ESF+ antrinės temos</w:t>
            </w:r>
          </w:p>
        </w:tc>
      </w:tr>
      <w:tr w:rsidR="0066383D" w:rsidRPr="00B44B19" w14:paraId="25A95655"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7337E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341E1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73204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AA78B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E7044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9B661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E00FD" w:rsidRPr="00B44B19" w14:paraId="352EFEB1" w14:textId="77777777" w:rsidTr="00E648BD">
        <w:tc>
          <w:tcPr>
            <w:tcW w:w="1101" w:type="dxa"/>
            <w:vMerge w:val="restart"/>
            <w:tcBorders>
              <w:top w:val="single" w:sz="12" w:space="0" w:color="auto"/>
            </w:tcBorders>
          </w:tcPr>
          <w:p w14:paraId="6C61AEA7" w14:textId="77777777" w:rsidR="007E00FD" w:rsidRPr="00B44B19" w:rsidRDefault="007E00FD"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7A762A36" w14:textId="77777777" w:rsidR="007E00FD" w:rsidRPr="00B44B19" w:rsidRDefault="007E00FD"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E648BD"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223E490A" w14:textId="77777777" w:rsidR="007E00FD" w:rsidRPr="00B44B19" w:rsidRDefault="007E00FD"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4A84BC01" w14:textId="77777777" w:rsidR="007E00FD" w:rsidRPr="00B44B19" w:rsidRDefault="007E00FD" w:rsidP="003D2857">
            <w:pPr>
              <w:jc w:val="center"/>
              <w:rPr>
                <w:rFonts w:eastAsia="Times New Roman" w:cs="Times New Roman"/>
                <w:b/>
                <w:iCs/>
                <w:noProof/>
                <w:sz w:val="20"/>
              </w:rPr>
            </w:pPr>
            <w:r w:rsidRPr="00B44B19">
              <w:rPr>
                <w:rFonts w:eastAsia="Times New Roman" w:cs="Times New Roman"/>
                <w:iCs/>
                <w:noProof/>
                <w:sz w:val="20"/>
              </w:rPr>
              <w:t>4.2</w:t>
            </w:r>
          </w:p>
        </w:tc>
        <w:tc>
          <w:tcPr>
            <w:tcW w:w="3969" w:type="dxa"/>
            <w:vMerge w:val="restart"/>
            <w:tcBorders>
              <w:top w:val="single" w:sz="12" w:space="0" w:color="auto"/>
            </w:tcBorders>
          </w:tcPr>
          <w:p w14:paraId="612D551E" w14:textId="77777777" w:rsidR="007E00FD" w:rsidRPr="00B44B19" w:rsidRDefault="007E00FD" w:rsidP="00E648BD">
            <w:pPr>
              <w:rPr>
                <w:rFonts w:eastAsia="Times New Roman" w:cs="Times New Roman"/>
                <w:iCs/>
                <w:noProof/>
                <w:sz w:val="20"/>
              </w:rPr>
            </w:pPr>
            <w:r w:rsidRPr="00B44B19">
              <w:rPr>
                <w:rFonts w:eastAsia="Times New Roman" w:cs="Times New Roman"/>
                <w:iCs/>
                <w:noProof/>
                <w:sz w:val="20"/>
              </w:rPr>
              <w:t>09</w:t>
            </w:r>
            <w:r w:rsidR="00E648BD" w:rsidRPr="00B44B19">
              <w:rPr>
                <w:rFonts w:eastAsia="Times New Roman" w:cs="Times New Roman"/>
                <w:iCs/>
                <w:noProof/>
                <w:sz w:val="20"/>
              </w:rPr>
              <w:t xml:space="preserve"> </w:t>
            </w:r>
            <w:r w:rsidR="00424290" w:rsidRPr="00B44B19">
              <w:rPr>
                <w:rFonts w:eastAsia="Times New Roman" w:cs="Times New Roman"/>
                <w:iCs/>
                <w:noProof/>
                <w:sz w:val="20"/>
              </w:rPr>
              <w:t>–</w:t>
            </w:r>
            <w:r w:rsidR="00E648BD" w:rsidRPr="00B44B19">
              <w:rPr>
                <w:rFonts w:eastAsia="Times New Roman" w:cs="Times New Roman"/>
                <w:iCs/>
                <w:noProof/>
                <w:sz w:val="20"/>
              </w:rPr>
              <w:t xml:space="preserve"> Netaikoma</w:t>
            </w:r>
          </w:p>
        </w:tc>
        <w:tc>
          <w:tcPr>
            <w:tcW w:w="1417" w:type="dxa"/>
            <w:tcBorders>
              <w:top w:val="single" w:sz="12" w:space="0" w:color="auto"/>
              <w:bottom w:val="single" w:sz="4" w:space="0" w:color="auto"/>
            </w:tcBorders>
          </w:tcPr>
          <w:p w14:paraId="2327492D" w14:textId="77777777" w:rsidR="007E00FD" w:rsidRPr="00B44B19" w:rsidRDefault="007E00FD" w:rsidP="00743681">
            <w:pPr>
              <w:jc w:val="right"/>
              <w:textAlignment w:val="baseline"/>
              <w:rPr>
                <w:rFonts w:eastAsia="Times New Roman" w:cs="Times New Roman"/>
                <w:sz w:val="20"/>
                <w:szCs w:val="20"/>
                <w:lang w:val="en-US" w:eastAsia="lt-LT"/>
              </w:rPr>
            </w:pPr>
            <w:r w:rsidRPr="00B44B19">
              <w:rPr>
                <w:rFonts w:eastAsia="Times New Roman" w:cs="Times New Roman"/>
                <w:sz w:val="20"/>
                <w:szCs w:val="20"/>
                <w:lang w:val="en-US" w:eastAsia="lt-LT"/>
              </w:rPr>
              <w:t>12 722 508,00</w:t>
            </w:r>
          </w:p>
        </w:tc>
      </w:tr>
      <w:tr w:rsidR="007E00FD" w:rsidRPr="00B44B19" w14:paraId="32E376A4" w14:textId="77777777" w:rsidTr="00E648BD">
        <w:tc>
          <w:tcPr>
            <w:tcW w:w="1101" w:type="dxa"/>
            <w:vMerge/>
          </w:tcPr>
          <w:p w14:paraId="66EDA0BE" w14:textId="77777777" w:rsidR="007E00FD" w:rsidRPr="00B44B19" w:rsidRDefault="007E00FD" w:rsidP="0066383D">
            <w:pPr>
              <w:rPr>
                <w:rFonts w:eastAsia="Times New Roman" w:cs="Times New Roman"/>
                <w:b/>
                <w:iCs/>
                <w:noProof/>
                <w:sz w:val="20"/>
              </w:rPr>
            </w:pPr>
          </w:p>
        </w:tc>
        <w:tc>
          <w:tcPr>
            <w:tcW w:w="850" w:type="dxa"/>
            <w:vMerge/>
          </w:tcPr>
          <w:p w14:paraId="453C8E10" w14:textId="77777777" w:rsidR="007E00FD" w:rsidRPr="00B44B19" w:rsidRDefault="007E00FD" w:rsidP="0066383D">
            <w:pPr>
              <w:rPr>
                <w:rFonts w:eastAsia="Times New Roman" w:cs="Times New Roman"/>
                <w:b/>
                <w:iCs/>
                <w:noProof/>
                <w:sz w:val="20"/>
              </w:rPr>
            </w:pPr>
          </w:p>
        </w:tc>
        <w:tc>
          <w:tcPr>
            <w:tcW w:w="1418" w:type="dxa"/>
            <w:tcBorders>
              <w:top w:val="single" w:sz="4" w:space="0" w:color="auto"/>
            </w:tcBorders>
          </w:tcPr>
          <w:p w14:paraId="3F22CB03" w14:textId="77777777" w:rsidR="007E00FD" w:rsidRPr="00B44B19" w:rsidRDefault="007E00FD" w:rsidP="0066383D">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34D30BB5" w14:textId="77777777" w:rsidR="007E00FD" w:rsidRPr="00B44B19" w:rsidRDefault="007E00FD" w:rsidP="0066383D">
            <w:pPr>
              <w:rPr>
                <w:rFonts w:eastAsia="Times New Roman" w:cs="Times New Roman"/>
                <w:b/>
                <w:iCs/>
                <w:noProof/>
                <w:sz w:val="20"/>
              </w:rPr>
            </w:pPr>
          </w:p>
        </w:tc>
        <w:tc>
          <w:tcPr>
            <w:tcW w:w="3969" w:type="dxa"/>
            <w:vMerge/>
          </w:tcPr>
          <w:p w14:paraId="1F74DB86" w14:textId="77777777" w:rsidR="007E00FD" w:rsidRPr="00B44B19" w:rsidRDefault="007E00FD" w:rsidP="0066383D">
            <w:pPr>
              <w:rPr>
                <w:rFonts w:eastAsia="Times New Roman" w:cs="Times New Roman"/>
                <w:b/>
                <w:iCs/>
                <w:noProof/>
                <w:sz w:val="20"/>
              </w:rPr>
            </w:pPr>
          </w:p>
        </w:tc>
        <w:tc>
          <w:tcPr>
            <w:tcW w:w="1417" w:type="dxa"/>
            <w:tcBorders>
              <w:top w:val="single" w:sz="4" w:space="0" w:color="auto"/>
            </w:tcBorders>
          </w:tcPr>
          <w:p w14:paraId="61166311" w14:textId="054E2B73" w:rsidR="007E00FD" w:rsidRPr="00B44B19" w:rsidRDefault="00BC3AA5" w:rsidP="00BC3AA5">
            <w:pPr>
              <w:jc w:val="right"/>
              <w:rPr>
                <w:rFonts w:eastAsia="Times New Roman" w:cs="Times New Roman"/>
                <w:sz w:val="20"/>
                <w:szCs w:val="20"/>
                <w:lang w:eastAsia="lt-LT"/>
              </w:rPr>
            </w:pPr>
            <w:r w:rsidRPr="00B44B19">
              <w:rPr>
                <w:rFonts w:cs="Times New Roman"/>
                <w:color w:val="000000"/>
                <w:sz w:val="20"/>
                <w:szCs w:val="20"/>
              </w:rPr>
              <w:t>50 095 815</w:t>
            </w:r>
            <w:r w:rsidR="007E00FD" w:rsidRPr="00B44B19">
              <w:rPr>
                <w:rFonts w:eastAsia="Times New Roman" w:cs="Times New Roman"/>
                <w:sz w:val="20"/>
                <w:szCs w:val="20"/>
                <w:lang w:eastAsia="lt-LT"/>
              </w:rPr>
              <w:t>,00</w:t>
            </w:r>
          </w:p>
        </w:tc>
      </w:tr>
    </w:tbl>
    <w:p w14:paraId="5B4B47E5" w14:textId="77777777" w:rsidR="00E438B8" w:rsidRPr="00B44B19" w:rsidRDefault="00E438B8" w:rsidP="00C4496A">
      <w:pPr>
        <w:spacing w:after="0" w:line="240" w:lineRule="auto"/>
        <w:rPr>
          <w:rFonts w:cs="Times New Roman"/>
          <w:sz w:val="20"/>
          <w:szCs w:val="20"/>
        </w:rPr>
      </w:pPr>
    </w:p>
    <w:tbl>
      <w:tblPr>
        <w:tblStyle w:val="Lentelstinklelis35"/>
        <w:tblW w:w="9889" w:type="dxa"/>
        <w:tblLayout w:type="fixed"/>
        <w:tblLook w:val="04A0" w:firstRow="1" w:lastRow="0" w:firstColumn="1" w:lastColumn="0" w:noHBand="0" w:noVBand="1"/>
      </w:tblPr>
      <w:tblGrid>
        <w:gridCol w:w="1093"/>
        <w:gridCol w:w="858"/>
        <w:gridCol w:w="1418"/>
        <w:gridCol w:w="1134"/>
        <w:gridCol w:w="3969"/>
        <w:gridCol w:w="1417"/>
      </w:tblGrid>
      <w:tr w:rsidR="00592B05" w:rsidRPr="00B44B19" w14:paraId="37885206" w14:textId="77777777" w:rsidTr="00793E42">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211FF9E" w14:textId="77777777" w:rsidR="00592B05" w:rsidRPr="00B44B19" w:rsidRDefault="00592B05" w:rsidP="00592B05">
            <w:pPr>
              <w:rPr>
                <w:b/>
                <w:iCs/>
                <w:noProof/>
                <w:sz w:val="20"/>
                <w:szCs w:val="20"/>
              </w:rPr>
            </w:pPr>
            <w:r w:rsidRPr="00B44B19">
              <w:rPr>
                <w:b/>
                <w:noProof/>
                <w:sz w:val="20"/>
                <w:szCs w:val="20"/>
              </w:rPr>
              <w:t xml:space="preserve">8 lentelė. 7 matmuo. </w:t>
            </w:r>
            <w:r w:rsidRPr="00B44B19">
              <w:rPr>
                <w:b/>
                <w:sz w:val="20"/>
                <w:szCs w:val="20"/>
              </w:rPr>
              <w:t>ESF+, ERPF, S</w:t>
            </w:r>
            <w:r w:rsidR="00424290" w:rsidRPr="00B44B19">
              <w:rPr>
                <w:b/>
                <w:sz w:val="20"/>
                <w:szCs w:val="20"/>
              </w:rPr>
              <w:t>a</w:t>
            </w:r>
            <w:r w:rsidRPr="00B44B19">
              <w:rPr>
                <w:b/>
                <w:sz w:val="20"/>
                <w:szCs w:val="20"/>
              </w:rPr>
              <w:t>F ir TPF lyčių lygybės matmuo</w:t>
            </w:r>
          </w:p>
        </w:tc>
      </w:tr>
      <w:tr w:rsidR="00592B05" w:rsidRPr="00B44B19" w14:paraId="7851A5E2" w14:textId="77777777" w:rsidTr="00793E42">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BF9350" w14:textId="77777777" w:rsidR="00592B05" w:rsidRPr="00B44B19" w:rsidRDefault="00592B05" w:rsidP="00592B05">
            <w:pPr>
              <w:jc w:val="center"/>
              <w:rPr>
                <w:b/>
                <w:iCs/>
                <w:noProof/>
                <w:sz w:val="20"/>
              </w:rPr>
            </w:pPr>
            <w:r w:rsidRPr="00B44B19">
              <w:rPr>
                <w:b/>
                <w:noProof/>
                <w:sz w:val="20"/>
              </w:rPr>
              <w:t>Prioriteto Nr.</w:t>
            </w:r>
          </w:p>
        </w:tc>
        <w:tc>
          <w:tcPr>
            <w:tcW w:w="85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832373" w14:textId="77777777" w:rsidR="00592B05" w:rsidRPr="00B44B19" w:rsidRDefault="00592B05" w:rsidP="00592B05">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F3E63E" w14:textId="77777777" w:rsidR="00592B05" w:rsidRPr="00B44B19" w:rsidRDefault="00592B05" w:rsidP="00592B05">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D4AED8" w14:textId="77777777" w:rsidR="00592B05" w:rsidRPr="00B44B19" w:rsidRDefault="00592B05" w:rsidP="00592B05">
            <w:pPr>
              <w:jc w:val="center"/>
              <w:rPr>
                <w:b/>
                <w:iCs/>
                <w:noProof/>
                <w:sz w:val="20"/>
              </w:rPr>
            </w:pPr>
            <w:r w:rsidRPr="00B44B19">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445189" w14:textId="77777777" w:rsidR="00592B05" w:rsidRPr="00B44B19" w:rsidRDefault="00592B05" w:rsidP="00592B05">
            <w:pPr>
              <w:jc w:val="center"/>
              <w:rPr>
                <w:b/>
                <w:iCs/>
                <w:noProof/>
                <w:sz w:val="20"/>
              </w:rPr>
            </w:pPr>
            <w:r w:rsidRPr="00B44B1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F8D009" w14:textId="77777777" w:rsidR="00592B05" w:rsidRPr="00B44B19" w:rsidRDefault="00592B05" w:rsidP="00592B05">
            <w:pPr>
              <w:jc w:val="center"/>
              <w:rPr>
                <w:b/>
                <w:iCs/>
                <w:noProof/>
                <w:sz w:val="20"/>
              </w:rPr>
            </w:pPr>
            <w:r w:rsidRPr="00B44B19">
              <w:rPr>
                <w:b/>
                <w:noProof/>
                <w:sz w:val="20"/>
              </w:rPr>
              <w:t>Suma (EUR)</w:t>
            </w:r>
          </w:p>
        </w:tc>
      </w:tr>
      <w:tr w:rsidR="00793E42" w:rsidRPr="00B44B19" w14:paraId="2A9A3A10" w14:textId="77777777" w:rsidTr="00793E42">
        <w:tc>
          <w:tcPr>
            <w:tcW w:w="1093" w:type="dxa"/>
            <w:vMerge w:val="restart"/>
            <w:tcBorders>
              <w:top w:val="single" w:sz="12" w:space="0" w:color="auto"/>
            </w:tcBorders>
          </w:tcPr>
          <w:p w14:paraId="6F55CD47" w14:textId="77777777" w:rsidR="00793E42" w:rsidRPr="00B44B19" w:rsidRDefault="00793E42" w:rsidP="00592B05">
            <w:pPr>
              <w:jc w:val="center"/>
              <w:rPr>
                <w:iCs/>
                <w:noProof/>
                <w:sz w:val="20"/>
              </w:rPr>
            </w:pPr>
            <w:r w:rsidRPr="00B44B19">
              <w:rPr>
                <w:sz w:val="20"/>
                <w:szCs w:val="20"/>
                <w:lang w:eastAsia="lt-LT"/>
              </w:rPr>
              <w:t>4</w:t>
            </w:r>
          </w:p>
        </w:tc>
        <w:tc>
          <w:tcPr>
            <w:tcW w:w="858" w:type="dxa"/>
            <w:vMerge w:val="restart"/>
            <w:tcBorders>
              <w:top w:val="single" w:sz="12" w:space="0" w:color="auto"/>
            </w:tcBorders>
          </w:tcPr>
          <w:p w14:paraId="49B11880" w14:textId="77777777" w:rsidR="00793E42" w:rsidRPr="00B44B19" w:rsidRDefault="00793E42" w:rsidP="00592B05">
            <w:pPr>
              <w:jc w:val="center"/>
              <w:rPr>
                <w:iCs/>
                <w:noProof/>
                <w:sz w:val="20"/>
              </w:rPr>
            </w:pPr>
            <w:r w:rsidRPr="00B44B19">
              <w:rPr>
                <w:sz w:val="20"/>
                <w:szCs w:val="20"/>
                <w:lang w:eastAsia="lt-LT"/>
              </w:rPr>
              <w:t>ESF+</w:t>
            </w:r>
          </w:p>
        </w:tc>
        <w:tc>
          <w:tcPr>
            <w:tcW w:w="1418" w:type="dxa"/>
            <w:tcBorders>
              <w:top w:val="single" w:sz="12" w:space="0" w:color="auto"/>
            </w:tcBorders>
          </w:tcPr>
          <w:p w14:paraId="2A05BC25" w14:textId="77777777" w:rsidR="00793E42" w:rsidRPr="00B44B19" w:rsidRDefault="00793E42" w:rsidP="00592B05">
            <w:pPr>
              <w:rPr>
                <w:iCs/>
                <w:noProof/>
                <w:sz w:val="20"/>
              </w:rPr>
            </w:pPr>
            <w:r w:rsidRPr="00B44B19">
              <w:rPr>
                <w:sz w:val="20"/>
                <w:szCs w:val="20"/>
                <w:lang w:eastAsia="lt-LT"/>
              </w:rPr>
              <w:t>Sostinės regionas</w:t>
            </w:r>
          </w:p>
        </w:tc>
        <w:tc>
          <w:tcPr>
            <w:tcW w:w="1134" w:type="dxa"/>
            <w:vMerge w:val="restart"/>
            <w:tcBorders>
              <w:top w:val="single" w:sz="12" w:space="0" w:color="auto"/>
            </w:tcBorders>
          </w:tcPr>
          <w:p w14:paraId="390FA285" w14:textId="77777777" w:rsidR="00793E42" w:rsidRPr="00B44B19" w:rsidRDefault="00793E42" w:rsidP="00592B05">
            <w:pPr>
              <w:jc w:val="center"/>
              <w:rPr>
                <w:iCs/>
                <w:noProof/>
                <w:sz w:val="20"/>
              </w:rPr>
            </w:pPr>
            <w:r w:rsidRPr="00B44B19">
              <w:rPr>
                <w:iCs/>
                <w:noProof/>
                <w:sz w:val="20"/>
              </w:rPr>
              <w:t>4.2</w:t>
            </w:r>
          </w:p>
        </w:tc>
        <w:tc>
          <w:tcPr>
            <w:tcW w:w="3969" w:type="dxa"/>
            <w:vMerge w:val="restart"/>
            <w:tcBorders>
              <w:top w:val="single" w:sz="12" w:space="0" w:color="auto"/>
            </w:tcBorders>
          </w:tcPr>
          <w:p w14:paraId="27DAA24F" w14:textId="77777777" w:rsidR="00793E42" w:rsidRPr="00B44B19" w:rsidRDefault="00793E42" w:rsidP="00424290">
            <w:pPr>
              <w:rPr>
                <w:iCs/>
                <w:noProof/>
                <w:sz w:val="20"/>
              </w:rPr>
            </w:pPr>
            <w:r w:rsidRPr="00B44B19">
              <w:rPr>
                <w:iCs/>
                <w:noProof/>
                <w:sz w:val="20"/>
              </w:rPr>
              <w:t>02 – Lyčių aspekto integravimas</w:t>
            </w:r>
          </w:p>
        </w:tc>
        <w:tc>
          <w:tcPr>
            <w:tcW w:w="1417" w:type="dxa"/>
            <w:tcBorders>
              <w:top w:val="single" w:sz="12" w:space="0" w:color="auto"/>
            </w:tcBorders>
          </w:tcPr>
          <w:p w14:paraId="099169F3" w14:textId="77777777" w:rsidR="00793E42" w:rsidRPr="00B44B19" w:rsidRDefault="00793E42" w:rsidP="00793E42">
            <w:pPr>
              <w:jc w:val="right"/>
              <w:rPr>
                <w:iCs/>
                <w:noProof/>
                <w:sz w:val="20"/>
              </w:rPr>
            </w:pPr>
            <w:r w:rsidRPr="00B44B19">
              <w:rPr>
                <w:iCs/>
                <w:noProof/>
                <w:sz w:val="20"/>
              </w:rPr>
              <w:t>2 734 481,00</w:t>
            </w:r>
          </w:p>
        </w:tc>
      </w:tr>
      <w:tr w:rsidR="00793E42" w:rsidRPr="00B44B19" w14:paraId="4037B287" w14:textId="77777777" w:rsidTr="00793E42">
        <w:tc>
          <w:tcPr>
            <w:tcW w:w="1093" w:type="dxa"/>
            <w:vMerge/>
          </w:tcPr>
          <w:p w14:paraId="79B246C9" w14:textId="77777777" w:rsidR="00793E42" w:rsidRPr="00B44B19" w:rsidRDefault="00793E42" w:rsidP="00592B05">
            <w:pPr>
              <w:jc w:val="center"/>
              <w:rPr>
                <w:iCs/>
                <w:noProof/>
                <w:sz w:val="20"/>
              </w:rPr>
            </w:pPr>
          </w:p>
        </w:tc>
        <w:tc>
          <w:tcPr>
            <w:tcW w:w="858" w:type="dxa"/>
            <w:vMerge/>
          </w:tcPr>
          <w:p w14:paraId="47527818" w14:textId="77777777" w:rsidR="00793E42" w:rsidRPr="00B44B19" w:rsidRDefault="00793E42" w:rsidP="00592B05">
            <w:pPr>
              <w:jc w:val="center"/>
              <w:rPr>
                <w:iCs/>
                <w:noProof/>
                <w:sz w:val="20"/>
              </w:rPr>
            </w:pPr>
          </w:p>
        </w:tc>
        <w:tc>
          <w:tcPr>
            <w:tcW w:w="1418" w:type="dxa"/>
          </w:tcPr>
          <w:p w14:paraId="41D5F9ED" w14:textId="77777777" w:rsidR="00793E42" w:rsidRPr="00B44B19" w:rsidRDefault="00793E42" w:rsidP="00592B05">
            <w:pPr>
              <w:rPr>
                <w:iCs/>
                <w:noProof/>
                <w:sz w:val="20"/>
              </w:rPr>
            </w:pPr>
            <w:r w:rsidRPr="00B44B19">
              <w:rPr>
                <w:sz w:val="20"/>
                <w:szCs w:val="20"/>
                <w:lang w:eastAsia="lt-LT"/>
              </w:rPr>
              <w:t>VVL regionas</w:t>
            </w:r>
          </w:p>
        </w:tc>
        <w:tc>
          <w:tcPr>
            <w:tcW w:w="1134" w:type="dxa"/>
            <w:vMerge/>
          </w:tcPr>
          <w:p w14:paraId="48E1BE55" w14:textId="77777777" w:rsidR="00793E42" w:rsidRPr="00B44B19" w:rsidRDefault="00793E42" w:rsidP="00592B05">
            <w:pPr>
              <w:jc w:val="center"/>
              <w:rPr>
                <w:iCs/>
                <w:noProof/>
                <w:sz w:val="20"/>
              </w:rPr>
            </w:pPr>
          </w:p>
        </w:tc>
        <w:tc>
          <w:tcPr>
            <w:tcW w:w="3969" w:type="dxa"/>
            <w:vMerge/>
          </w:tcPr>
          <w:p w14:paraId="174F966D" w14:textId="77777777" w:rsidR="00793E42" w:rsidRPr="00B44B19" w:rsidRDefault="00793E42" w:rsidP="00592B05">
            <w:pPr>
              <w:jc w:val="center"/>
              <w:rPr>
                <w:iCs/>
                <w:noProof/>
                <w:sz w:val="20"/>
              </w:rPr>
            </w:pPr>
          </w:p>
        </w:tc>
        <w:tc>
          <w:tcPr>
            <w:tcW w:w="1417" w:type="dxa"/>
          </w:tcPr>
          <w:p w14:paraId="634A9B61" w14:textId="77777777" w:rsidR="00793E42" w:rsidRPr="00B44B19" w:rsidRDefault="00793E42" w:rsidP="00592B05">
            <w:pPr>
              <w:jc w:val="right"/>
              <w:rPr>
                <w:iCs/>
                <w:noProof/>
                <w:sz w:val="20"/>
                <w:lang w:val="en-US"/>
              </w:rPr>
            </w:pPr>
            <w:r w:rsidRPr="00B44B19">
              <w:rPr>
                <w:iCs/>
                <w:noProof/>
                <w:sz w:val="20"/>
                <w:lang w:val="en-US"/>
              </w:rPr>
              <w:t>11 770 736,00</w:t>
            </w:r>
          </w:p>
        </w:tc>
      </w:tr>
      <w:tr w:rsidR="00793E42" w:rsidRPr="00B44B19" w14:paraId="4ED40296" w14:textId="77777777" w:rsidTr="00793E42">
        <w:tc>
          <w:tcPr>
            <w:tcW w:w="1093" w:type="dxa"/>
            <w:vMerge/>
          </w:tcPr>
          <w:p w14:paraId="33C8BA2A" w14:textId="77777777" w:rsidR="00793E42" w:rsidRPr="00B44B19" w:rsidRDefault="00793E42" w:rsidP="00592B05">
            <w:pPr>
              <w:jc w:val="center"/>
              <w:rPr>
                <w:iCs/>
                <w:noProof/>
                <w:sz w:val="20"/>
              </w:rPr>
            </w:pPr>
          </w:p>
        </w:tc>
        <w:tc>
          <w:tcPr>
            <w:tcW w:w="858" w:type="dxa"/>
            <w:vMerge/>
          </w:tcPr>
          <w:p w14:paraId="369A9DEC" w14:textId="77777777" w:rsidR="00793E42" w:rsidRPr="00B44B19" w:rsidRDefault="00793E42" w:rsidP="00592B05">
            <w:pPr>
              <w:jc w:val="center"/>
              <w:rPr>
                <w:iCs/>
                <w:noProof/>
                <w:sz w:val="20"/>
              </w:rPr>
            </w:pPr>
          </w:p>
        </w:tc>
        <w:tc>
          <w:tcPr>
            <w:tcW w:w="1418" w:type="dxa"/>
          </w:tcPr>
          <w:p w14:paraId="64A93735" w14:textId="77777777" w:rsidR="00793E42" w:rsidRPr="00B44B19" w:rsidRDefault="00793E42" w:rsidP="002E0C6A">
            <w:pPr>
              <w:rPr>
                <w:iCs/>
                <w:noProof/>
                <w:sz w:val="20"/>
              </w:rPr>
            </w:pPr>
            <w:r w:rsidRPr="00B44B19">
              <w:rPr>
                <w:sz w:val="20"/>
                <w:szCs w:val="20"/>
                <w:lang w:eastAsia="lt-LT"/>
              </w:rPr>
              <w:t>Sostinės regionas</w:t>
            </w:r>
          </w:p>
        </w:tc>
        <w:tc>
          <w:tcPr>
            <w:tcW w:w="1134" w:type="dxa"/>
            <w:vMerge/>
          </w:tcPr>
          <w:p w14:paraId="4AB7C93D" w14:textId="77777777" w:rsidR="00793E42" w:rsidRPr="00B44B19" w:rsidRDefault="00793E42" w:rsidP="00592B05">
            <w:pPr>
              <w:jc w:val="center"/>
              <w:rPr>
                <w:iCs/>
                <w:noProof/>
                <w:sz w:val="20"/>
              </w:rPr>
            </w:pPr>
          </w:p>
        </w:tc>
        <w:tc>
          <w:tcPr>
            <w:tcW w:w="3969" w:type="dxa"/>
            <w:vMerge w:val="restart"/>
          </w:tcPr>
          <w:p w14:paraId="07B012F6" w14:textId="77777777" w:rsidR="00793E42" w:rsidRPr="00B44B19" w:rsidRDefault="00793E42" w:rsidP="002E0C6A">
            <w:pPr>
              <w:rPr>
                <w:iCs/>
                <w:noProof/>
                <w:sz w:val="20"/>
              </w:rPr>
            </w:pPr>
            <w:r w:rsidRPr="00B44B19">
              <w:rPr>
                <w:iCs/>
                <w:noProof/>
                <w:sz w:val="20"/>
              </w:rPr>
              <w:t>03 – Neutralumas lyties požiūriu</w:t>
            </w:r>
          </w:p>
        </w:tc>
        <w:tc>
          <w:tcPr>
            <w:tcW w:w="1417" w:type="dxa"/>
          </w:tcPr>
          <w:p w14:paraId="08D42D21" w14:textId="77777777" w:rsidR="00793E42" w:rsidRPr="00B44B19" w:rsidRDefault="00793E42" w:rsidP="002E0C6A">
            <w:pPr>
              <w:jc w:val="right"/>
              <w:rPr>
                <w:iCs/>
                <w:noProof/>
                <w:sz w:val="20"/>
              </w:rPr>
            </w:pPr>
            <w:r w:rsidRPr="00B44B19">
              <w:rPr>
                <w:sz w:val="20"/>
                <w:szCs w:val="20"/>
                <w:lang w:val="en-US" w:eastAsia="lt-LT"/>
              </w:rPr>
              <w:t>9 988 027,00</w:t>
            </w:r>
          </w:p>
        </w:tc>
      </w:tr>
      <w:tr w:rsidR="00793E42" w:rsidRPr="00B44B19" w14:paraId="27B8ECF1" w14:textId="77777777" w:rsidTr="00793E42">
        <w:tc>
          <w:tcPr>
            <w:tcW w:w="1093" w:type="dxa"/>
            <w:vMerge/>
          </w:tcPr>
          <w:p w14:paraId="367405CA" w14:textId="77777777" w:rsidR="00793E42" w:rsidRPr="00B44B19" w:rsidRDefault="00793E42" w:rsidP="00592B05">
            <w:pPr>
              <w:jc w:val="center"/>
              <w:rPr>
                <w:iCs/>
                <w:noProof/>
                <w:sz w:val="20"/>
              </w:rPr>
            </w:pPr>
          </w:p>
        </w:tc>
        <w:tc>
          <w:tcPr>
            <w:tcW w:w="858" w:type="dxa"/>
            <w:vMerge/>
          </w:tcPr>
          <w:p w14:paraId="1C0EF34C" w14:textId="77777777" w:rsidR="00793E42" w:rsidRPr="00B44B19" w:rsidRDefault="00793E42" w:rsidP="00592B05">
            <w:pPr>
              <w:jc w:val="center"/>
              <w:rPr>
                <w:iCs/>
                <w:noProof/>
                <w:sz w:val="20"/>
              </w:rPr>
            </w:pPr>
          </w:p>
        </w:tc>
        <w:tc>
          <w:tcPr>
            <w:tcW w:w="1418" w:type="dxa"/>
          </w:tcPr>
          <w:p w14:paraId="04986715" w14:textId="77777777" w:rsidR="00793E42" w:rsidRPr="00B44B19" w:rsidRDefault="00793E42" w:rsidP="002E0C6A">
            <w:pPr>
              <w:rPr>
                <w:iCs/>
                <w:noProof/>
                <w:sz w:val="20"/>
              </w:rPr>
            </w:pPr>
            <w:r w:rsidRPr="00B44B19">
              <w:rPr>
                <w:sz w:val="20"/>
                <w:szCs w:val="20"/>
                <w:lang w:eastAsia="lt-LT"/>
              </w:rPr>
              <w:t>VVL regionas</w:t>
            </w:r>
          </w:p>
        </w:tc>
        <w:tc>
          <w:tcPr>
            <w:tcW w:w="1134" w:type="dxa"/>
            <w:vMerge/>
          </w:tcPr>
          <w:p w14:paraId="65B73425" w14:textId="77777777" w:rsidR="00793E42" w:rsidRPr="00B44B19" w:rsidRDefault="00793E42" w:rsidP="00592B05">
            <w:pPr>
              <w:jc w:val="center"/>
              <w:rPr>
                <w:iCs/>
                <w:noProof/>
                <w:sz w:val="20"/>
              </w:rPr>
            </w:pPr>
          </w:p>
        </w:tc>
        <w:tc>
          <w:tcPr>
            <w:tcW w:w="3969" w:type="dxa"/>
            <w:vMerge/>
          </w:tcPr>
          <w:p w14:paraId="40584D07" w14:textId="77777777" w:rsidR="00793E42" w:rsidRPr="00B44B19" w:rsidRDefault="00793E42" w:rsidP="00592B05">
            <w:pPr>
              <w:jc w:val="center"/>
              <w:rPr>
                <w:iCs/>
                <w:noProof/>
                <w:sz w:val="20"/>
              </w:rPr>
            </w:pPr>
          </w:p>
        </w:tc>
        <w:tc>
          <w:tcPr>
            <w:tcW w:w="1417" w:type="dxa"/>
          </w:tcPr>
          <w:p w14:paraId="168FDA5D" w14:textId="22E588DC" w:rsidR="00793E42" w:rsidRPr="00B44B19" w:rsidRDefault="00E04A7D" w:rsidP="00E04A7D">
            <w:pPr>
              <w:jc w:val="right"/>
              <w:rPr>
                <w:sz w:val="20"/>
                <w:szCs w:val="20"/>
                <w:lang w:eastAsia="lt-LT"/>
              </w:rPr>
            </w:pPr>
            <w:r w:rsidRPr="00B44B19">
              <w:rPr>
                <w:color w:val="000000"/>
                <w:sz w:val="20"/>
                <w:szCs w:val="20"/>
              </w:rPr>
              <w:t>38 325 079</w:t>
            </w:r>
            <w:r w:rsidR="00793E42" w:rsidRPr="00B44B19">
              <w:rPr>
                <w:sz w:val="20"/>
                <w:szCs w:val="20"/>
                <w:lang w:eastAsia="lt-LT"/>
              </w:rPr>
              <w:t>,00</w:t>
            </w:r>
          </w:p>
        </w:tc>
      </w:tr>
    </w:tbl>
    <w:p w14:paraId="7C669424" w14:textId="77777777" w:rsidR="007D7AC9" w:rsidRPr="00B44B19" w:rsidRDefault="007D7AC9" w:rsidP="00D456C1">
      <w:pPr>
        <w:pStyle w:val="Antrat2"/>
      </w:pPr>
      <w:bookmarkStart w:id="40" w:name="_Toc223435428"/>
      <w:r w:rsidRPr="00B44B19">
        <w:t>Konkretus uždavinys – 4.</w:t>
      </w:r>
      <w:r w:rsidR="00D973F5" w:rsidRPr="00B44B19">
        <w:t>3</w:t>
      </w:r>
      <w:r w:rsidR="00015A7B" w:rsidRPr="00B44B19">
        <w:t>.</w:t>
      </w:r>
      <w:r w:rsidRPr="00B44B19">
        <w:t xml:space="preserve"> </w:t>
      </w:r>
      <w:r w:rsidR="001B4E21" w:rsidRPr="00B44B19">
        <w:rPr>
          <w:lang w:bidi="lt-LT"/>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bookmarkEnd w:id="40"/>
    </w:p>
    <w:p w14:paraId="361DD2A3" w14:textId="77777777" w:rsidR="000C5E31" w:rsidRPr="00B44B19" w:rsidRDefault="000C5E31" w:rsidP="001E5B12">
      <w:pPr>
        <w:pStyle w:val="Stilius1"/>
        <w:rPr>
          <w:rFonts w:cs="Times New Roman"/>
          <w:noProof/>
          <w:lang w:eastAsia="lt-LT" w:bidi="lt-LT"/>
        </w:rPr>
      </w:pPr>
    </w:p>
    <w:p w14:paraId="30B9EAB2" w14:textId="77777777" w:rsidR="000C5E31" w:rsidRPr="00B44B19" w:rsidRDefault="000C5E31" w:rsidP="001E5B12">
      <w:pPr>
        <w:pStyle w:val="Stilius1"/>
        <w:rPr>
          <w:rFonts w:cs="Times New Roman"/>
          <w:noProof/>
          <w:lang w:eastAsia="lt-LT" w:bidi="lt-LT"/>
        </w:rPr>
      </w:pPr>
    </w:p>
    <w:p w14:paraId="064E2AEF" w14:textId="3126989F" w:rsidR="007D7AC9" w:rsidRPr="00B44B19" w:rsidRDefault="007D7AC9" w:rsidP="001E5B12">
      <w:pPr>
        <w:pStyle w:val="Stilius1"/>
        <w:rPr>
          <w:rFonts w:eastAsia="Times New Roman" w:cs="Times New Roman"/>
          <w:iCs/>
          <w:noProof/>
          <w:lang w:eastAsia="lt-LT" w:bidi="lt-LT"/>
        </w:rPr>
      </w:pPr>
      <w:r w:rsidRPr="00B44B19">
        <w:rPr>
          <w:rFonts w:cs="Times New Roman"/>
          <w:noProof/>
          <w:lang w:eastAsia="lt-LT" w:bidi="lt-LT"/>
        </w:rPr>
        <w:lastRenderedPageBreak/>
        <w:t>Įgyvendinamos veiklos</w:t>
      </w:r>
    </w:p>
    <w:tbl>
      <w:tblPr>
        <w:tblStyle w:val="Lentelstinklelis"/>
        <w:tblW w:w="9923" w:type="dxa"/>
        <w:tblInd w:w="-34" w:type="dxa"/>
        <w:tblLook w:val="04A0" w:firstRow="1" w:lastRow="0" w:firstColumn="1" w:lastColumn="0" w:noHBand="0" w:noVBand="1"/>
      </w:tblPr>
      <w:tblGrid>
        <w:gridCol w:w="9923"/>
      </w:tblGrid>
      <w:tr w:rsidR="007D7AC9" w:rsidRPr="00B44B19" w14:paraId="2E52784A" w14:textId="77777777" w:rsidTr="00424077">
        <w:tc>
          <w:tcPr>
            <w:tcW w:w="9923" w:type="dxa"/>
          </w:tcPr>
          <w:p w14:paraId="7FD1BE0E" w14:textId="77777777" w:rsidR="00E559C2" w:rsidRPr="00B44B19" w:rsidRDefault="007E00FD" w:rsidP="007D0221">
            <w:pPr>
              <w:spacing w:before="60" w:after="60"/>
              <w:jc w:val="both"/>
              <w:rPr>
                <w:rFonts w:eastAsia="Calibri" w:cs="Times New Roman"/>
                <w:sz w:val="22"/>
              </w:rPr>
            </w:pPr>
            <w:r w:rsidRPr="00B44B19">
              <w:rPr>
                <w:rFonts w:eastAsia="Times New Roman" w:cs="Times New Roman"/>
                <w:noProof/>
                <w:sz w:val="22"/>
              </w:rPr>
              <w:t>Pagrindinis šių intervencijų uždavinys yra didinti švietimo prieinamumą asmenims, patiriantiems atskirtį. Lietuvos švietimo sistemoje aktualiausi iššūkiai išlieka: 1) mokinių pasiekimų skirtumai susiję su SEK statusu ir gyvenamąja vietove – dalyvavimas ikimokykliniame ugdyme kaimo vietovėse žemas, žemiausius pasiekimus turinčių mokinių dalis nemažėja (</w:t>
            </w:r>
            <w:r w:rsidR="00424290" w:rsidRPr="00B44B19">
              <w:rPr>
                <w:rFonts w:eastAsia="Times New Roman" w:cs="Times New Roman"/>
                <w:noProof/>
                <w:sz w:val="22"/>
              </w:rPr>
              <w:t>gamtos mokslų – didėja</w:t>
            </w:r>
            <w:r w:rsidRPr="00B44B19">
              <w:rPr>
                <w:rFonts w:eastAsia="Times New Roman" w:cs="Times New Roman"/>
                <w:noProof/>
                <w:sz w:val="22"/>
              </w:rPr>
              <w:t xml:space="preserve">); 2) didelei daliai specialiosiose mokyklos besimokančių vaikų skiriamas mokymasis namuose, nes mokyklos nepasirengusios jų priimti; 3) </w:t>
            </w:r>
            <w:r w:rsidRPr="00B44B19">
              <w:rPr>
                <w:rFonts w:eastAsia="Times New Roman" w:cs="Times New Roman"/>
                <w:sz w:val="22"/>
              </w:rPr>
              <w:t>komandinio darbo (pvz.</w:t>
            </w:r>
            <w:r w:rsidR="00424290" w:rsidRPr="00B44B19">
              <w:rPr>
                <w:rFonts w:eastAsia="Times New Roman" w:cs="Times New Roman"/>
                <w:sz w:val="22"/>
              </w:rPr>
              <w:t>,</w:t>
            </w:r>
            <w:r w:rsidRPr="00B44B19">
              <w:rPr>
                <w:rFonts w:eastAsia="Times New Roman" w:cs="Times New Roman"/>
                <w:sz w:val="22"/>
              </w:rPr>
              <w:t xml:space="preserve"> kelių mokytojų kartu su pagalbos mokiniui specialistais ir kt. suderintas veikimas tuo pačiu metu toje pačioje klasėje) organizavimas bendros paskirties klasėje (grupėje), kai joje yra įvairių ugdymosi poreikių turin</w:t>
            </w:r>
            <w:r w:rsidR="000E3A30" w:rsidRPr="00B44B19">
              <w:rPr>
                <w:rFonts w:eastAsia="Times New Roman" w:cs="Times New Roman"/>
                <w:sz w:val="22"/>
              </w:rPr>
              <w:t>čių</w:t>
            </w:r>
            <w:r w:rsidRPr="00B44B19">
              <w:rPr>
                <w:rFonts w:eastAsia="Times New Roman" w:cs="Times New Roman"/>
                <w:sz w:val="22"/>
              </w:rPr>
              <w:t xml:space="preserve"> mokini</w:t>
            </w:r>
            <w:r w:rsidR="000E3A30" w:rsidRPr="00B44B19">
              <w:rPr>
                <w:rFonts w:eastAsia="Times New Roman" w:cs="Times New Roman"/>
                <w:sz w:val="22"/>
              </w:rPr>
              <w:t>ų</w:t>
            </w:r>
            <w:r w:rsidRPr="00B44B19">
              <w:rPr>
                <w:rFonts w:eastAsia="Times New Roman" w:cs="Times New Roman"/>
                <w:sz w:val="22"/>
              </w:rPr>
              <w:t xml:space="preserve"> (pvz.</w:t>
            </w:r>
            <w:r w:rsidR="00424290" w:rsidRPr="00B44B19">
              <w:rPr>
                <w:rFonts w:eastAsia="Times New Roman" w:cs="Times New Roman"/>
                <w:sz w:val="22"/>
              </w:rPr>
              <w:t>,</w:t>
            </w:r>
            <w:r w:rsidRPr="00B44B19">
              <w:rPr>
                <w:rFonts w:eastAsia="Times New Roman" w:cs="Times New Roman"/>
                <w:sz w:val="22"/>
              </w:rPr>
              <w:t xml:space="preserve"> gabūs, turintys didelių ar labai didelių specialiųjų ugdymosi poreikių dėl fizinės ar intelekto negalios, dėl nepalankių artimosios aplinkos veiksnių, dėl kultūrinių, kalbinių skirtumų ir pan.); 4) įtraukiųjų klasių (grupių) kūrimas vietoje esančių specialiųjų klasių; 5) švietimo pagalbos ir kitų paslaugų, esančių už mokyklos ribų, pasitelkimas</w:t>
            </w:r>
            <w:r w:rsidR="000E3A30" w:rsidRPr="00B44B19">
              <w:rPr>
                <w:rFonts w:eastAsia="Times New Roman" w:cs="Times New Roman"/>
                <w:sz w:val="22"/>
              </w:rPr>
              <w:t>,</w:t>
            </w:r>
            <w:r w:rsidRPr="00B44B19">
              <w:rPr>
                <w:rFonts w:eastAsia="Times New Roman" w:cs="Times New Roman"/>
                <w:sz w:val="22"/>
              </w:rPr>
              <w:t xml:space="preserve"> kuriant tinkamas sąlygas bendrosios paskirties mokyklose ugdytis įvairių ugdymosi poreikių turintiems asmenims; 6)</w:t>
            </w:r>
            <w:r w:rsidRPr="00B44B19">
              <w:rPr>
                <w:rFonts w:eastAsia="Times New Roman" w:cs="Times New Roman"/>
                <w:noProof/>
                <w:sz w:val="22"/>
              </w:rPr>
              <w:t xml:space="preserve"> įgyvendinamos visos dienos mokyklos iniciatyvos savivaldybėse yra mažai susijusios su mokinių pasiekimų ir įtraukties didinimu ir yra orientuotos į priežiūros paslaugas; 7) nepakankama parama riboja mokinių iš nepalankias sąlygas turinčių grupių dalyvavimą profesiniame mokyme ir gali tapti jų iškritimo iš švietimo sistemos priežastimi; 8) s</w:t>
            </w:r>
            <w:r w:rsidRPr="00B44B19">
              <w:rPr>
                <w:rFonts w:eastAsia="Calibri" w:cs="Times New Roman"/>
                <w:sz w:val="22"/>
              </w:rPr>
              <w:t>ocialiai jautrių, socialinės atskirties ir mažai atstovaujamų studentų grupių galimybės studijuoti ir baigti studijas yra ribotos.</w:t>
            </w:r>
            <w:r w:rsidRPr="00B44B19">
              <w:rPr>
                <w:rFonts w:eastAsia="Times New Roman" w:cs="Times New Roman"/>
                <w:noProof/>
                <w:sz w:val="22"/>
              </w:rPr>
              <w:t xml:space="preserve"> Atsižvelgiant į šiuos iššūkius, prioritetas bus skiriamas veiksmams, kurie gerina asmenų, patiriančių atskirtį, įtrauktį suteikiant švietimo pagalbą, koordinuotai teikiamas paslaugas  bei padidinant ikimokyklinio ugdymo (įskaitant ir vaiko garantiją) ir visos dienos mokyklos paslaugas asmenims, patiriantiems atskirtį.</w:t>
            </w:r>
          </w:p>
          <w:p w14:paraId="2C7517DF" w14:textId="77777777" w:rsidR="00E559C2" w:rsidRPr="00B44B19" w:rsidRDefault="00E559C2" w:rsidP="007D0221">
            <w:pPr>
              <w:spacing w:before="60" w:after="60"/>
              <w:jc w:val="both"/>
              <w:rPr>
                <w:rFonts w:eastAsia="Calibri" w:cs="Times New Roman"/>
                <w:sz w:val="22"/>
              </w:rPr>
            </w:pPr>
            <w:r w:rsidRPr="00B44B19">
              <w:rPr>
                <w:rFonts w:eastAsia="Calibri" w:cs="Times New Roman"/>
                <w:sz w:val="22"/>
              </w:rPr>
              <w:t>Lietuvoje yra numatyta galimybė skirti privalomąjį ikimokyklinį ugdymą vaikui, kuris auga šeimoje, patiriančioje socialinę riziką. Valstybė</w:t>
            </w:r>
            <w:r w:rsidR="00424290" w:rsidRPr="00B44B19">
              <w:rPr>
                <w:rFonts w:eastAsia="Calibri" w:cs="Times New Roman"/>
                <w:sz w:val="22"/>
              </w:rPr>
              <w:t>,</w:t>
            </w:r>
            <w:r w:rsidRPr="00B44B19">
              <w:rPr>
                <w:rFonts w:eastAsia="Calibri" w:cs="Times New Roman"/>
                <w:sz w:val="22"/>
              </w:rPr>
              <w:t xml:space="preserve"> siekdama prisidėti prie Vaiko garantijų sistemos įgyvendinimo, įsipareigotų ES lėšomis padengti </w:t>
            </w:r>
            <w:r w:rsidR="00AF67C4" w:rsidRPr="00B44B19">
              <w:rPr>
                <w:rFonts w:eastAsia="Times New Roman" w:cs="Times New Roman"/>
                <w:color w:val="000000" w:themeColor="text1"/>
                <w:sz w:val="22"/>
              </w:rPr>
              <w:t>vaikų, kurie yra ugdomi pagal ikimokyklinio ar priešmokyklinio ugdymo programas (įskaitant ir privalomąjį ikimokyklinį ugdymą) ir auga socialinę riziką patiriančiose šeimose, ugdymo</w:t>
            </w:r>
            <w:r w:rsidR="00AF67C4" w:rsidRPr="00B44B19">
              <w:rPr>
                <w:rFonts w:eastAsia="Times New Roman" w:cs="Times New Roman"/>
                <w:sz w:val="22"/>
              </w:rPr>
              <w:t xml:space="preserve"> </w:t>
            </w:r>
            <w:r w:rsidRPr="00B44B19">
              <w:rPr>
                <w:rFonts w:eastAsia="Calibri" w:cs="Times New Roman"/>
                <w:sz w:val="22"/>
              </w:rPr>
              <w:t xml:space="preserve"> išlaidas (įskaitant neformalųjį ugdymą, ugdymo priemones, maitinimą ir transporto išlaidas), tokiu būdu maksimaliai </w:t>
            </w:r>
            <w:r w:rsidR="00424290" w:rsidRPr="00B44B19">
              <w:rPr>
                <w:rFonts w:eastAsia="Calibri" w:cs="Times New Roman"/>
                <w:sz w:val="22"/>
              </w:rPr>
              <w:t>užtikrindama</w:t>
            </w:r>
            <w:r w:rsidRPr="00B44B19">
              <w:rPr>
                <w:rFonts w:eastAsia="Calibri" w:cs="Times New Roman"/>
                <w:sz w:val="22"/>
              </w:rPr>
              <w:t xml:space="preserve"> ankstyvą vaiko įtrauktį į švietimo sistemą.</w:t>
            </w:r>
          </w:p>
          <w:p w14:paraId="2321985C" w14:textId="77777777" w:rsidR="007E00FD" w:rsidRPr="00B44B19" w:rsidRDefault="007E00FD" w:rsidP="007D0221">
            <w:pPr>
              <w:spacing w:before="60" w:after="60"/>
              <w:jc w:val="both"/>
              <w:rPr>
                <w:rFonts w:eastAsia="Times New Roman" w:cs="Times New Roman"/>
                <w:noProof/>
                <w:sz w:val="22"/>
              </w:rPr>
            </w:pPr>
            <w:r w:rsidRPr="00B44B19">
              <w:rPr>
                <w:rFonts w:eastAsia="Calibri" w:cs="Times New Roman"/>
                <w:sz w:val="22"/>
              </w:rPr>
              <w:t xml:space="preserve">Didinant studijų prieinamumą dėmesys bus skiriamas </w:t>
            </w:r>
            <w:r w:rsidR="00424290" w:rsidRPr="00B44B19">
              <w:rPr>
                <w:rFonts w:eastAsia="Calibri" w:cs="Times New Roman"/>
                <w:sz w:val="22"/>
              </w:rPr>
              <w:t>nepakankamų</w:t>
            </w:r>
            <w:r w:rsidRPr="00B44B19">
              <w:rPr>
                <w:rFonts w:eastAsia="Calibri" w:cs="Times New Roman"/>
                <w:sz w:val="22"/>
              </w:rPr>
              <w:t xml:space="preserve"> studijavimo sąlygų, atitinkančių studentų specifinę situaciją, sudarymui, studijų sąlygų pritaikymui aukštosiose mokyklose, mažinant sunkumus bendraujant ir bendra</w:t>
            </w:r>
            <w:r w:rsidRPr="00B44B19">
              <w:rPr>
                <w:rFonts w:eastAsia="Calibri" w:cs="Times New Roman"/>
                <w:color w:val="000000" w:themeColor="text1"/>
                <w:sz w:val="22"/>
              </w:rPr>
              <w:t xml:space="preserve">darbiaujant su dėstytojais ir aukštųjų mokyklų </w:t>
            </w:r>
            <w:r w:rsidRPr="00B44B19">
              <w:rPr>
                <w:rFonts w:eastAsia="Calibri" w:cs="Times New Roman"/>
                <w:sz w:val="22"/>
              </w:rPr>
              <w:t>administra</w:t>
            </w:r>
            <w:r w:rsidRPr="00B44B19">
              <w:rPr>
                <w:rFonts w:eastAsia="Calibri" w:cs="Times New Roman"/>
                <w:color w:val="000000" w:themeColor="text1"/>
                <w:sz w:val="22"/>
              </w:rPr>
              <w:t>cijos darbuotojais.</w:t>
            </w:r>
            <w:r w:rsidRPr="00B44B19">
              <w:rPr>
                <w:rFonts w:eastAsia="Times New Roman" w:cs="Times New Roman"/>
                <w:noProof/>
                <w:sz w:val="22"/>
              </w:rPr>
              <w:t xml:space="preserve"> </w:t>
            </w:r>
            <w:r w:rsidRPr="00B44B19">
              <w:rPr>
                <w:rFonts w:eastAsia="Calibri" w:cs="Times New Roman"/>
                <w:sz w:val="22"/>
              </w:rPr>
              <w:t xml:space="preserve">Gerinant mokinių iš nepalankias sąlygas turinčių grupių profesinio mokymo prieinamumą būtinas </w:t>
            </w:r>
            <w:r w:rsidRPr="00B44B19">
              <w:rPr>
                <w:rFonts w:cs="Times New Roman"/>
                <w:sz w:val="22"/>
              </w:rPr>
              <w:t xml:space="preserve">neformaliojo ugdymo paslaugų užtikrinimas, švietimo pagalbos teikimas, </w:t>
            </w:r>
            <w:r w:rsidRPr="00B44B19">
              <w:rPr>
                <w:rFonts w:eastAsia="Calibri" w:cs="Times New Roman"/>
                <w:sz w:val="22"/>
              </w:rPr>
              <w:t xml:space="preserve">mokinių aprūpinimas mokymo priemonėmis, </w:t>
            </w:r>
            <w:r w:rsidRPr="00B44B19">
              <w:rPr>
                <w:rFonts w:cs="Times New Roman"/>
                <w:sz w:val="22"/>
              </w:rPr>
              <w:t>profesinio mokymo įstaigų pedagogų, švietimo pagalbos specialistų kvalifikacijos tobulinimas, mokomosios medžiagos bendriesiems gebėjimams parengimas</w:t>
            </w:r>
            <w:r w:rsidR="00B869CF" w:rsidRPr="00B44B19">
              <w:rPr>
                <w:rFonts w:eastAsia="Calibri" w:cs="Times New Roman"/>
                <w:sz w:val="22"/>
              </w:rPr>
              <w:t>.</w:t>
            </w:r>
          </w:p>
          <w:p w14:paraId="5ADECCCC" w14:textId="77777777" w:rsidR="007E00FD" w:rsidRPr="00B44B19" w:rsidRDefault="007E00FD" w:rsidP="007D0221">
            <w:pPr>
              <w:spacing w:before="60" w:after="60"/>
              <w:jc w:val="both"/>
              <w:rPr>
                <w:rFonts w:eastAsia="Times New Roman" w:cs="Times New Roman"/>
                <w:noProof/>
                <w:sz w:val="22"/>
              </w:rPr>
            </w:pPr>
            <w:r w:rsidRPr="00B44B19">
              <w:rPr>
                <w:rFonts w:eastAsia="Times New Roman" w:cs="Times New Roman"/>
                <w:noProof/>
                <w:sz w:val="22"/>
              </w:rPr>
              <w:t xml:space="preserve">2014–2020 m. intervencijos buvo nukreiptos į ugdymo kokybės ir mokinių pasiekimų gerinimą bei anksti iš švietimo sistemos pasitraukusių ir BU programos nebaigusių asmenų skaičiaus mažinimą. Tiek nacionaliniu, tiek regioniniu lygmeniu investicijų poveikis nėra pakankamas, todėl 2021–2027 m. intervencijos planuojamos siekiant padidinti švietimo prieinamumą asmenims, patiriantiems atskirtį, suteikti švietimo pagalbą, užtikrinti vienodo starto galimybes švietime papildant </w:t>
            </w:r>
            <w:r w:rsidR="00A32770" w:rsidRPr="00B44B19">
              <w:rPr>
                <w:rFonts w:eastAsia="Times New Roman" w:cs="Times New Roman"/>
                <w:noProof/>
                <w:sz w:val="22"/>
              </w:rPr>
              <w:t xml:space="preserve">2014–2020 m. </w:t>
            </w:r>
            <w:r w:rsidR="00B869CF" w:rsidRPr="00B44B19">
              <w:rPr>
                <w:rFonts w:eastAsia="Times New Roman" w:cs="Times New Roman"/>
                <w:noProof/>
                <w:sz w:val="22"/>
              </w:rPr>
              <w:t>periodo veiklas.</w:t>
            </w:r>
          </w:p>
          <w:p w14:paraId="3063A3F9" w14:textId="77777777" w:rsidR="007E00FD" w:rsidRPr="00B44B19" w:rsidRDefault="00424290" w:rsidP="007D0221">
            <w:pPr>
              <w:spacing w:before="60" w:after="60"/>
              <w:jc w:val="both"/>
              <w:rPr>
                <w:rFonts w:eastAsia="Calibri" w:cs="Times New Roman"/>
                <w:sz w:val="22"/>
              </w:rPr>
            </w:pPr>
            <w:r w:rsidRPr="00B44B19">
              <w:rPr>
                <w:rFonts w:eastAsia="Times New Roman" w:cs="Times New Roman"/>
                <w:noProof/>
                <w:sz w:val="22"/>
              </w:rPr>
              <w:t>2014–2020 m. socialiai</w:t>
            </w:r>
            <w:r w:rsidRPr="00B44B19">
              <w:rPr>
                <w:rFonts w:eastAsia="Calibri" w:cs="Times New Roman"/>
                <w:sz w:val="22"/>
              </w:rPr>
              <w:t xml:space="preserve"> jautrūs, socialinės atskirties sunkumų patiriantys ir mažai atstovaujami studentai turėjo galimybę </w:t>
            </w:r>
            <w:r w:rsidR="007E00FD" w:rsidRPr="00B44B19">
              <w:rPr>
                <w:rFonts w:eastAsia="Calibri" w:cs="Times New Roman"/>
                <w:sz w:val="22"/>
              </w:rPr>
              <w:t xml:space="preserve">gauti tikslinę išmoką, kurią panaudojo studijų prieinamumui ir šalino konkrečiai jiems iškilusias kliūtis. Ši veikla pasiteisino, todėl planuojama ją tęsti ir </w:t>
            </w:r>
            <w:r w:rsidR="007E00FD" w:rsidRPr="00B44B19">
              <w:rPr>
                <w:rFonts w:eastAsia="Times New Roman" w:cs="Times New Roman"/>
                <w:noProof/>
                <w:sz w:val="22"/>
              </w:rPr>
              <w:t>2021–2027 m.</w:t>
            </w:r>
          </w:p>
          <w:p w14:paraId="79965694" w14:textId="3D947380" w:rsidR="007E00FD" w:rsidRPr="00B44B19" w:rsidRDefault="007E00FD" w:rsidP="009752E6">
            <w:pPr>
              <w:spacing w:before="60"/>
              <w:jc w:val="both"/>
              <w:rPr>
                <w:rFonts w:eastAsia="Times New Roman" w:cs="Times New Roman"/>
                <w:noProof/>
                <w:sz w:val="22"/>
              </w:rPr>
            </w:pPr>
            <w:r w:rsidRPr="00B44B19">
              <w:rPr>
                <w:rFonts w:eastAsia="Calibri" w:cs="Times New Roman"/>
                <w:sz w:val="22"/>
              </w:rPr>
              <w:t>2014–2020 m. intervencijos pirmą kartą buvo nukreiptos į mokinių iš socialiai jautrių grupių profesinio mokymo prieinamumo gerinimą, aprūpinant juos mokymo priemonėmis ir darbo drabužiais, organizuojant mokymus profesinio mokymo įstaigų personalui. Akivaizdu, kad paskatų ir pagalbos sistemą mokiniams iš nepalankias sąlygas turinčių grupių profesinio mokymo įstaigose būtina plėsti ir tobulinti.</w:t>
            </w:r>
          </w:p>
          <w:p w14:paraId="178464C7" w14:textId="77777777" w:rsidR="007E00FD" w:rsidRPr="00B44B19" w:rsidRDefault="007E00FD" w:rsidP="009752E6">
            <w:pPr>
              <w:spacing w:before="60"/>
              <w:jc w:val="both"/>
              <w:rPr>
                <w:rFonts w:eastAsia="Times New Roman" w:cs="Times New Roman"/>
                <w:noProof/>
                <w:sz w:val="22"/>
              </w:rPr>
            </w:pPr>
            <w:r w:rsidRPr="00B44B19">
              <w:rPr>
                <w:rFonts w:eastAsia="Times New Roman" w:cs="Times New Roman"/>
                <w:noProof/>
                <w:sz w:val="22"/>
              </w:rPr>
              <w:t>Veik</w:t>
            </w:r>
            <w:r w:rsidR="00436421" w:rsidRPr="00B44B19">
              <w:rPr>
                <w:rFonts w:eastAsia="Times New Roman" w:cs="Times New Roman"/>
                <w:noProof/>
                <w:sz w:val="22"/>
              </w:rPr>
              <w:t>smų rūšys</w:t>
            </w:r>
            <w:r w:rsidRPr="00B44B19">
              <w:rPr>
                <w:rFonts w:eastAsia="Times New Roman" w:cs="Times New Roman"/>
                <w:noProof/>
                <w:sz w:val="22"/>
              </w:rPr>
              <w:t>, siekiant didinti švietimo sistemos prieinamumą ir įtrauktį:</w:t>
            </w:r>
          </w:p>
          <w:p w14:paraId="4D1AE741" w14:textId="77777777" w:rsidR="006A3770" w:rsidRPr="00B44B19" w:rsidRDefault="007E00FD" w:rsidP="009752E6">
            <w:pPr>
              <w:spacing w:before="60"/>
              <w:jc w:val="both"/>
              <w:rPr>
                <w:rFonts w:cs="Times New Roman"/>
                <w:sz w:val="22"/>
              </w:rPr>
            </w:pPr>
            <w:r w:rsidRPr="00B44B19">
              <w:rPr>
                <w:rFonts w:cs="Times New Roman"/>
                <w:b/>
                <w:bCs/>
                <w:sz w:val="22"/>
              </w:rPr>
              <w:t xml:space="preserve">Pagerinti švietimo įtrauktį asmenims, patiriantiems atskirtį </w:t>
            </w:r>
            <w:r w:rsidRPr="00B44B19">
              <w:rPr>
                <w:rFonts w:eastAsia="Times New Roman" w:cs="Times New Roman"/>
                <w:b/>
                <w:noProof/>
                <w:sz w:val="22"/>
              </w:rPr>
              <w:t>ar socialines rizikas, dėl kurių kyla grėsmė patirti socialinę atskirtį</w:t>
            </w:r>
            <w:r w:rsidRPr="00B44B19">
              <w:rPr>
                <w:rFonts w:cs="Times New Roman"/>
                <w:b/>
                <w:bCs/>
                <w:sz w:val="22"/>
              </w:rPr>
              <w:t>, suteikti švietimo pagalbą bei koordinuotai teikiamas paslaugas</w:t>
            </w:r>
            <w:r w:rsidR="00FF65D6" w:rsidRPr="00B44B19">
              <w:rPr>
                <w:rFonts w:cs="Times New Roman"/>
                <w:b/>
                <w:bCs/>
                <w:sz w:val="22"/>
              </w:rPr>
              <w:t xml:space="preserve"> (įskaitant ir sveikatos priežiūros paslaugas)</w:t>
            </w:r>
            <w:r w:rsidRPr="00B44B19">
              <w:rPr>
                <w:rFonts w:cs="Times New Roman"/>
                <w:sz w:val="22"/>
              </w:rPr>
              <w:t>: vaikams</w:t>
            </w:r>
            <w:r w:rsidR="00424290" w:rsidRPr="00B44B19">
              <w:rPr>
                <w:rFonts w:cs="Times New Roman"/>
                <w:sz w:val="22"/>
              </w:rPr>
              <w:t>,</w:t>
            </w:r>
            <w:r w:rsidRPr="00B44B19">
              <w:rPr>
                <w:rFonts w:cs="Times New Roman"/>
                <w:sz w:val="22"/>
              </w:rPr>
              <w:t xml:space="preserve"> turintiems specialiųjų ugdymosi poreikių, nepalankiomis gyvenimo sąlygomis gyvenantiems vaikams, tautinių mažumų bendruomenių vaikams (</w:t>
            </w:r>
            <w:r w:rsidR="00424290" w:rsidRPr="00B44B19">
              <w:rPr>
                <w:rFonts w:cs="Times New Roman"/>
                <w:sz w:val="22"/>
              </w:rPr>
              <w:t xml:space="preserve">romams </w:t>
            </w:r>
            <w:r w:rsidRPr="00B44B19">
              <w:rPr>
                <w:rFonts w:cs="Times New Roman"/>
                <w:sz w:val="22"/>
              </w:rPr>
              <w:t xml:space="preserve">ir kt.), grįžusiems ir atvykusiems iš užsienio ir </w:t>
            </w:r>
            <w:r w:rsidR="00424290" w:rsidRPr="00B44B19">
              <w:rPr>
                <w:rFonts w:cs="Times New Roman"/>
                <w:sz w:val="22"/>
              </w:rPr>
              <w:t xml:space="preserve">kt. </w:t>
            </w:r>
            <w:r w:rsidRPr="00B44B19">
              <w:rPr>
                <w:rFonts w:cs="Times New Roman"/>
                <w:sz w:val="22"/>
              </w:rPr>
              <w:t xml:space="preserve">pasiekimų skirtumų regionuose mažinimas, teikiant ankstyvąją intervenciją, individualią ugdymo ir švietimo pagalbą bei koordinuotai teikiamas paslaugas įvairių ugdymo poreikių turintiems vaikams; lituanistinio švietimo paslaugų plėtojimas ir gerinimas. Ši veikla bus įgyvendinama </w:t>
            </w:r>
            <w:r w:rsidR="006A3770" w:rsidRPr="00B44B19">
              <w:rPr>
                <w:rFonts w:cs="Times New Roman"/>
                <w:sz w:val="22"/>
              </w:rPr>
              <w:t xml:space="preserve">VVL ir Sostinės regionuose. </w:t>
            </w:r>
          </w:p>
          <w:p w14:paraId="1C2694F6" w14:textId="5FF938DE" w:rsidR="007E00FD" w:rsidRPr="00B44B19" w:rsidRDefault="007E00FD" w:rsidP="007D0221">
            <w:pPr>
              <w:spacing w:before="60" w:after="60"/>
              <w:jc w:val="both"/>
              <w:rPr>
                <w:rFonts w:cs="Times New Roman"/>
                <w:sz w:val="22"/>
              </w:rPr>
            </w:pPr>
            <w:r w:rsidRPr="00B44B19">
              <w:rPr>
                <w:rFonts w:eastAsia="Times New Roman" w:cs="Times New Roman"/>
                <w:b/>
                <w:bCs/>
                <w:sz w:val="22"/>
              </w:rPr>
              <w:lastRenderedPageBreak/>
              <w:t>Didinti mokymosi ir švietimo pagalbos teikimą klasės (grupės) lygmeniu,</w:t>
            </w:r>
            <w:r w:rsidRPr="00B44B19">
              <w:rPr>
                <w:rFonts w:eastAsia="Cambria" w:cs="Times New Roman"/>
                <w:b/>
                <w:bCs/>
                <w:color w:val="4F81BD" w:themeColor="accent1"/>
                <w:sz w:val="22"/>
              </w:rPr>
              <w:t xml:space="preserve"> </w:t>
            </w:r>
            <w:r w:rsidRPr="00B44B19">
              <w:rPr>
                <w:rFonts w:eastAsia="Times New Roman" w:cs="Times New Roman"/>
                <w:b/>
                <w:bCs/>
                <w:sz w:val="22"/>
              </w:rPr>
              <w:t>sudarant tinkamas sąlygas įtraukties būdu ugdytis įvairių ugdymosi poreikių turintiems mokiniams</w:t>
            </w:r>
            <w:r w:rsidRPr="00B44B19">
              <w:rPr>
                <w:rFonts w:eastAsia="Times New Roman" w:cs="Times New Roman"/>
                <w:sz w:val="22"/>
              </w:rPr>
              <w:t xml:space="preserve">: dviejų ar daugiau mokytojų veikla vienu metu toje pačioje klasėje (grupėje) kartu su švietimo pagalbos specialistais, kitais pagalbą mokiniui teikiančiais darbuotojais taikant </w:t>
            </w:r>
            <w:r w:rsidR="002000C3" w:rsidRPr="00B44B19">
              <w:rPr>
                <w:rFonts w:eastAsia="Times New Roman" w:cs="Times New Roman"/>
                <w:sz w:val="22"/>
              </w:rPr>
              <w:t>universalaus</w:t>
            </w:r>
            <w:r w:rsidRPr="00B44B19">
              <w:rPr>
                <w:rFonts w:eastAsia="Times New Roman" w:cs="Times New Roman"/>
                <w:sz w:val="22"/>
              </w:rPr>
              <w:t xml:space="preserve"> dizaino ugdyme principą; įtraukiųjų klasių modelio sukūrimas ir diegimas; </w:t>
            </w:r>
            <w:r w:rsidR="00853B4B" w:rsidRPr="00B44B19">
              <w:rPr>
                <w:rFonts w:eastAsia="Times New Roman" w:cs="Times New Roman"/>
                <w:sz w:val="22"/>
              </w:rPr>
              <w:t xml:space="preserve">mobiliu </w:t>
            </w:r>
            <w:r w:rsidRPr="00B44B19">
              <w:rPr>
                <w:rFonts w:eastAsia="Times New Roman" w:cs="Times New Roman"/>
                <w:sz w:val="22"/>
              </w:rPr>
              <w:t>ir nuotoliniu būdu teikiamų mokymosi ir švietimo pagalbos paslaugų organizavimas ir teikimas, kai klasėse (grupėse) įtraukties būdu ugdomi specialiųjų ugdymosi poreikių dėl išskirtinių gabumų, negalių ar nepalankių socialinių aplinkos veiksnių turintys mokiniai.</w:t>
            </w:r>
            <w:r w:rsidR="006A3770" w:rsidRPr="00B44B19">
              <w:rPr>
                <w:rFonts w:cs="Times New Roman"/>
                <w:sz w:val="22"/>
              </w:rPr>
              <w:t xml:space="preserve"> Ši veikla bus įgyvendinama VVL ir Sostinės regionuose.</w:t>
            </w:r>
          </w:p>
          <w:p w14:paraId="0F2D6DDF" w14:textId="77777777" w:rsidR="007E00FD" w:rsidRPr="00B44B19" w:rsidRDefault="007E00FD" w:rsidP="007D0221">
            <w:pPr>
              <w:spacing w:before="60" w:after="60"/>
              <w:jc w:val="both"/>
              <w:rPr>
                <w:rFonts w:eastAsia="Times New Roman" w:cs="Times New Roman"/>
                <w:sz w:val="22"/>
              </w:rPr>
            </w:pPr>
            <w:r w:rsidRPr="00B44B19">
              <w:rPr>
                <w:rFonts w:cs="Times New Roman"/>
                <w:b/>
                <w:bCs/>
                <w:sz w:val="22"/>
              </w:rPr>
              <w:t xml:space="preserve">Užtikrinant vienodas starto švietime galimybes, padidinti ikimokyklinio ugdymo ir visos dienos mokyklos prieinamas paslaugas asmenims, patiriantiems atskirtį ar socialines rizikas, dėl kurių kyla grėsmė patirti socialinę atskirtį: </w:t>
            </w:r>
            <w:r w:rsidRPr="00B44B19">
              <w:rPr>
                <w:rFonts w:eastAsia="Times New Roman" w:cs="Times New Roman"/>
                <w:noProof/>
                <w:sz w:val="22"/>
              </w:rPr>
              <w:t>ikimokyklinio ir visos dienos mokyklos ugdymo prieinamumo vaikams, patiriantiems atskirtį, gerinimas</w:t>
            </w:r>
            <w:r w:rsidR="00FF65D6" w:rsidRPr="00B44B19">
              <w:rPr>
                <w:rFonts w:eastAsia="Times New Roman" w:cs="Times New Roman"/>
                <w:noProof/>
                <w:sz w:val="22"/>
              </w:rPr>
              <w:t>, sukuriant ir įdiegiant priemonių įtraukiam ugdymui ir švietimo pagalbai ikimokyklinio, priešmokyklinio ir bendrojo ugdymo mokyklose užtikrinti paketą, sudarant sąlygas jose vykdyti visos dienos veiklas bei sukuriant įstaigų, vykdančių ikimokyklinio ugdymo programas, stiprinimo paketą, apimantį mokymąsi vieniems iš kitų</w:t>
            </w:r>
            <w:r w:rsidRPr="00B44B19">
              <w:rPr>
                <w:rFonts w:eastAsia="Times New Roman" w:cs="Times New Roman"/>
                <w:noProof/>
                <w:sz w:val="22"/>
              </w:rPr>
              <w:t xml:space="preserve">. </w:t>
            </w:r>
            <w:r w:rsidRPr="00B44B19">
              <w:rPr>
                <w:rFonts w:eastAsia="Times New Roman" w:cs="Times New Roman"/>
                <w:sz w:val="22"/>
              </w:rPr>
              <w:t xml:space="preserve">Ši veikla bus įgyvendinama VVL regione. </w:t>
            </w:r>
          </w:p>
          <w:p w14:paraId="5CDCC8F2" w14:textId="73E39062" w:rsidR="007E00FD" w:rsidRPr="00B44B19" w:rsidRDefault="00494DE0" w:rsidP="007D0221">
            <w:pPr>
              <w:spacing w:before="60" w:after="60"/>
              <w:jc w:val="both"/>
              <w:rPr>
                <w:rFonts w:cs="Times New Roman"/>
                <w:sz w:val="22"/>
              </w:rPr>
            </w:pPr>
            <w:r w:rsidRPr="00B44B19">
              <w:rPr>
                <w:rFonts w:cs="Times New Roman"/>
                <w:b/>
                <w:bCs/>
                <w:sz w:val="22"/>
              </w:rPr>
              <w:t xml:space="preserve">Ikimokyklinio </w:t>
            </w:r>
            <w:r w:rsidRPr="00B44B19">
              <w:rPr>
                <w:rFonts w:eastAsia="Times New Roman" w:cs="Times New Roman"/>
                <w:b/>
                <w:bCs/>
                <w:color w:val="000000" w:themeColor="text1"/>
                <w:sz w:val="22"/>
              </w:rPr>
              <w:t xml:space="preserve">(įskaitant privalomąjį) ir priešmokyklinio </w:t>
            </w:r>
            <w:r w:rsidRPr="00B44B19">
              <w:rPr>
                <w:rFonts w:cs="Times New Roman"/>
                <w:b/>
                <w:bCs/>
                <w:sz w:val="22"/>
              </w:rPr>
              <w:t xml:space="preserve">ugdymo užtikrinimas socialinę atskirtį, skurdą ar socialines rizikas, dėl kurių kyla grėsmė patirti socialinę atskirtį, patiriantiems vaikams (Vaiko garantijų sistemos įgyvendinimas </w:t>
            </w:r>
            <w:r w:rsidRPr="00B44B19">
              <w:rPr>
                <w:rFonts w:eastAsia="Times New Roman" w:cs="Times New Roman"/>
                <w:b/>
                <w:bCs/>
                <w:sz w:val="22"/>
              </w:rPr>
              <w:t xml:space="preserve">bei tėvų (globėjų) ir ugdymo įstaigų vykdančių ikimokyklinio ir/ar priešmokyklinio ugdymo </w:t>
            </w:r>
            <w:r w:rsidR="002000C3" w:rsidRPr="00B44B19">
              <w:rPr>
                <w:rFonts w:eastAsia="Times New Roman" w:cs="Times New Roman"/>
                <w:b/>
                <w:bCs/>
                <w:sz w:val="22"/>
              </w:rPr>
              <w:t>programas</w:t>
            </w:r>
            <w:r w:rsidRPr="00B44B19">
              <w:rPr>
                <w:rFonts w:eastAsia="Times New Roman" w:cs="Times New Roman"/>
                <w:b/>
                <w:bCs/>
                <w:sz w:val="22"/>
              </w:rPr>
              <w:t xml:space="preserve"> personalo neformalus švietimas</w:t>
            </w:r>
            <w:r w:rsidRPr="00B44B19">
              <w:rPr>
                <w:rFonts w:cs="Times New Roman"/>
                <w:b/>
                <w:bCs/>
                <w:sz w:val="22"/>
              </w:rPr>
              <w:t xml:space="preserve">). </w:t>
            </w:r>
            <w:r w:rsidRPr="00B44B19">
              <w:rPr>
                <w:rFonts w:cs="Times New Roman"/>
                <w:sz w:val="22"/>
              </w:rPr>
              <w:t>Ši veikla bus įgyvendinama VVL ir Sostinės regionuose.</w:t>
            </w:r>
          </w:p>
          <w:p w14:paraId="1D15C9F4" w14:textId="77777777" w:rsidR="007D7AC9" w:rsidRPr="00B44B19" w:rsidRDefault="007E00FD" w:rsidP="007D0221">
            <w:pPr>
              <w:spacing w:before="60" w:after="60"/>
              <w:jc w:val="both"/>
              <w:rPr>
                <w:rFonts w:cs="Times New Roman"/>
                <w:sz w:val="22"/>
              </w:rPr>
            </w:pPr>
            <w:r w:rsidRPr="00B44B19">
              <w:rPr>
                <w:rFonts w:cs="Times New Roman"/>
                <w:b/>
                <w:sz w:val="22"/>
              </w:rPr>
              <w:t xml:space="preserve">Socialinės ir finansinės paskatos bei pagalba profesinio mokymo įstaigų mokiniams ir aukštųjų mokyklų studentams iš nepalankias sąlygas turinčių grupių. </w:t>
            </w:r>
            <w:r w:rsidRPr="00B44B19">
              <w:rPr>
                <w:rFonts w:cs="Times New Roman"/>
                <w:sz w:val="22"/>
              </w:rPr>
              <w:t>Ši veikla bus įgyvendinama VVL ir Sostinės regionuose.</w:t>
            </w:r>
          </w:p>
          <w:p w14:paraId="67F1478A" w14:textId="77777777" w:rsidR="00CF752A" w:rsidRPr="00B44B19" w:rsidRDefault="00334B0C" w:rsidP="007D0221">
            <w:pPr>
              <w:spacing w:before="60" w:after="60"/>
              <w:jc w:val="both"/>
              <w:rPr>
                <w:rFonts w:eastAsiaTheme="minorEastAsia" w:cs="Times New Roman"/>
                <w:sz w:val="22"/>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r w:rsidR="002D4C4E" w:rsidRPr="00B44B19">
              <w:rPr>
                <w:rFonts w:eastAsia="Times New Roman" w:cs="Times New Roman"/>
                <w:noProof/>
                <w:sz w:val="22"/>
              </w:rPr>
              <w:t>.</w:t>
            </w:r>
          </w:p>
        </w:tc>
      </w:tr>
    </w:tbl>
    <w:p w14:paraId="2CDD6BBA" w14:textId="77777777" w:rsidR="00E92BFA" w:rsidRPr="00B44B19" w:rsidRDefault="00E92BFA" w:rsidP="001E5B12">
      <w:pPr>
        <w:pStyle w:val="Stilius1"/>
        <w:rPr>
          <w:rFonts w:cs="Times New Roman"/>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251C89" w:rsidRPr="00B44B19" w14:paraId="084A6772" w14:textId="77777777" w:rsidTr="00251C89">
        <w:tc>
          <w:tcPr>
            <w:tcW w:w="9854" w:type="dxa"/>
          </w:tcPr>
          <w:p w14:paraId="457A84EE" w14:textId="77777777" w:rsidR="00251C89" w:rsidRPr="00B44B19" w:rsidRDefault="00251C89" w:rsidP="007D0221">
            <w:pPr>
              <w:spacing w:before="60" w:after="60"/>
              <w:jc w:val="both"/>
              <w:rPr>
                <w:rFonts w:eastAsia="Times New Roman" w:cs="Times New Roman"/>
                <w:iCs/>
                <w:noProof/>
                <w:szCs w:val="24"/>
                <w:lang w:eastAsia="lt-LT" w:bidi="lt-LT"/>
              </w:rPr>
            </w:pPr>
            <w:r w:rsidRPr="00B44B19">
              <w:rPr>
                <w:rFonts w:eastAsia="Times New Roman" w:cs="Times New Roman"/>
                <w:noProof/>
                <w:sz w:val="22"/>
                <w:lang w:eastAsia="lt-LT" w:bidi="lt-LT"/>
              </w:rPr>
              <w:t>Asmenys, patiriantys atskirtį (taip pat ir dėl negalios)</w:t>
            </w:r>
            <w:r w:rsidR="00E061DB" w:rsidRPr="00B44B19">
              <w:rPr>
                <w:rFonts w:eastAsia="Times New Roman" w:cs="Times New Roman"/>
                <w:noProof/>
                <w:sz w:val="22"/>
                <w:lang w:eastAsia="lt-LT" w:bidi="lt-LT"/>
              </w:rPr>
              <w:t>, skurdą</w:t>
            </w:r>
            <w:r w:rsidRPr="00B44B19">
              <w:rPr>
                <w:rFonts w:eastAsia="Times New Roman" w:cs="Times New Roman"/>
                <w:noProof/>
                <w:sz w:val="22"/>
                <w:lang w:eastAsia="lt-LT" w:bidi="lt-LT"/>
              </w:rPr>
              <w:t xml:space="preserve"> ar socialines rizikas, dėl kurių kyla grėsmė patirti socialinę atskirtį, ir dirbantys su šiais asmeninimis, ikimokyklinio, priešmokyklinio, </w:t>
            </w:r>
            <w:r w:rsidRPr="00B44B19">
              <w:rPr>
                <w:rFonts w:eastAsia="Times New Roman" w:cs="Times New Roman"/>
                <w:sz w:val="22"/>
              </w:rPr>
              <w:t xml:space="preserve">bendrojo ugdymo </w:t>
            </w:r>
            <w:r w:rsidR="00494DE0" w:rsidRPr="00B44B19">
              <w:rPr>
                <w:rFonts w:eastAsia="Times New Roman" w:cs="Times New Roman"/>
                <w:sz w:val="22"/>
              </w:rPr>
              <w:t>bendrojo ugdymo programas vykdančių</w:t>
            </w:r>
            <w:r w:rsidRPr="00B44B19">
              <w:rPr>
                <w:rFonts w:eastAsia="Times New Roman" w:cs="Times New Roman"/>
                <w:sz w:val="22"/>
              </w:rPr>
              <w:t xml:space="preserve"> įstaigų </w:t>
            </w:r>
            <w:r w:rsidR="00E061DB" w:rsidRPr="00B44B19">
              <w:rPr>
                <w:rFonts w:eastAsia="Times New Roman" w:cs="Times New Roman"/>
                <w:sz w:val="22"/>
              </w:rPr>
              <w:t xml:space="preserve">vadovai, </w:t>
            </w:r>
            <w:r w:rsidRPr="00B44B19">
              <w:rPr>
                <w:rFonts w:eastAsia="Times New Roman" w:cs="Times New Roman"/>
                <w:sz w:val="22"/>
              </w:rPr>
              <w:t>mokiniai</w:t>
            </w:r>
            <w:r w:rsidRPr="00B44B19">
              <w:rPr>
                <w:rFonts w:eastAsia="Times New Roman" w:cs="Times New Roman"/>
                <w:noProof/>
                <w:sz w:val="22"/>
                <w:lang w:eastAsia="lt-LT" w:bidi="lt-LT"/>
              </w:rPr>
              <w:t xml:space="preserve">, mokytojai, mokyklos bendruomenė, švietimo pagalbos specialistai, užsienio lietuviai, taip pat į Lietuvą atvykstantys/sugrįžtantys asmenys </w:t>
            </w:r>
            <w:r w:rsidRPr="00B44B19">
              <w:rPr>
                <w:rFonts w:eastAsia="Times New Roman" w:cs="Times New Roman"/>
                <w:sz w:val="22"/>
              </w:rPr>
              <w:t>ir dirbantys su šiais asmenimis pedagoginiai darbuotojai, kiti pagalbą mokiniui teikiantys asmenys</w:t>
            </w:r>
            <w:r w:rsidRPr="00B44B19">
              <w:rPr>
                <w:rFonts w:eastAsia="Times New Roman" w:cs="Times New Roman"/>
                <w:noProof/>
                <w:sz w:val="22"/>
                <w:lang w:eastAsia="lt-LT" w:bidi="lt-LT"/>
              </w:rPr>
              <w:t xml:space="preserve">, </w:t>
            </w:r>
            <w:r w:rsidRPr="00B44B19">
              <w:rPr>
                <w:rFonts w:eastAsia="Calibri" w:cs="Times New Roman"/>
                <w:sz w:val="22"/>
              </w:rPr>
              <w:t>socialiai jautrių, socialinės atskirties ir mažai atstovaujamų grupių studentai, Lietuvos aukštųjų mokyklų darbuotojai, profesinio mokymo įstaigų mokiniai iš nepalankias sąlygas turinčių grupių.</w:t>
            </w:r>
          </w:p>
        </w:tc>
      </w:tr>
    </w:tbl>
    <w:p w14:paraId="296F30BF" w14:textId="77777777" w:rsidR="00E92BFA" w:rsidRPr="00B44B19" w:rsidRDefault="00E92BFA" w:rsidP="001E5B12">
      <w:pPr>
        <w:pStyle w:val="Stilius1"/>
        <w:rPr>
          <w:rFonts w:cs="Times New Roman"/>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251C89" w:rsidRPr="00B44B19" w14:paraId="0B023F7C" w14:textId="77777777" w:rsidTr="00251C89">
        <w:tc>
          <w:tcPr>
            <w:tcW w:w="9854" w:type="dxa"/>
          </w:tcPr>
          <w:p w14:paraId="29ADC8EF" w14:textId="77777777" w:rsidR="00251C89" w:rsidRPr="00B44B19" w:rsidRDefault="00251C89" w:rsidP="007D0221">
            <w:pPr>
              <w:spacing w:before="60" w:after="60"/>
              <w:jc w:val="both"/>
              <w:rPr>
                <w:rFonts w:eastAsia="Times New Roman" w:cs="Times New Roman"/>
                <w:iCs/>
                <w:noProof/>
                <w:szCs w:val="24"/>
                <w:lang w:eastAsia="lt-LT" w:bidi="lt-LT"/>
              </w:rPr>
            </w:pPr>
            <w:r w:rsidRPr="00B44B19">
              <w:rPr>
                <w:rFonts w:eastAsia="Times New Roman" w:cs="Times New Roman"/>
                <w:noProof/>
                <w:sz w:val="22"/>
                <w:lang w:eastAsia="lt-LT" w:bidi="lt-LT"/>
              </w:rPr>
              <w:t>Vykdant numatytas veiklas siekiama užtikrinti paslaugų prieinamumą atskirtį patiriantiems žmonėms.</w:t>
            </w:r>
          </w:p>
        </w:tc>
      </w:tr>
    </w:tbl>
    <w:p w14:paraId="704A3689" w14:textId="77777777" w:rsidR="00E92BFA" w:rsidRPr="00B44B19" w:rsidRDefault="00E92BFA" w:rsidP="001E5B12">
      <w:pPr>
        <w:pStyle w:val="Stilius1"/>
        <w:rPr>
          <w:rFonts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251C89" w:rsidRPr="00B44B19" w14:paraId="2B9B7517" w14:textId="77777777" w:rsidTr="00251C89">
        <w:tc>
          <w:tcPr>
            <w:tcW w:w="9854" w:type="dxa"/>
          </w:tcPr>
          <w:p w14:paraId="6A1B1257" w14:textId="77777777" w:rsidR="00251C89" w:rsidRPr="00B44B19" w:rsidRDefault="00251C89" w:rsidP="007D0221">
            <w:pPr>
              <w:spacing w:before="60" w:after="60"/>
              <w:jc w:val="both"/>
              <w:rPr>
                <w:rFonts w:eastAsia="Calibri" w:cs="Times New Roman"/>
                <w:noProof/>
                <w:sz w:val="22"/>
                <w:lang w:eastAsia="lt-LT" w:bidi="lt-LT"/>
              </w:rPr>
            </w:pPr>
            <w:r w:rsidRPr="00B44B19">
              <w:rPr>
                <w:rFonts w:eastAsia="Times New Roman" w:cs="Times New Roman"/>
                <w:noProof/>
                <w:sz w:val="22"/>
                <w:lang w:eastAsia="lt-LT" w:bidi="lt-LT"/>
              </w:rPr>
              <w:t>VVL regionas</w:t>
            </w:r>
            <w:r w:rsidRPr="00B44B19">
              <w:rPr>
                <w:rFonts w:eastAsia="Calibri" w:cs="Times New Roman"/>
                <w:noProof/>
                <w:sz w:val="22"/>
                <w:lang w:eastAsia="lt-LT" w:bidi="lt-LT"/>
              </w:rPr>
              <w:t xml:space="preserve"> ir Sostinės regionas</w:t>
            </w:r>
          </w:p>
        </w:tc>
      </w:tr>
    </w:tbl>
    <w:p w14:paraId="05E7B2E6" w14:textId="77777777" w:rsidR="00E92BFA" w:rsidRPr="00B44B19" w:rsidRDefault="00E92BFA" w:rsidP="001E5B12">
      <w:pPr>
        <w:pStyle w:val="Stilius1"/>
        <w:rPr>
          <w:rFonts w:cs="Times New Roman"/>
          <w:noProof/>
          <w:lang w:eastAsia="lt-LT" w:bidi="lt-LT"/>
        </w:rPr>
      </w:pPr>
      <w:r w:rsidRPr="00B44B19">
        <w:rPr>
          <w:rFonts w:cs="Times New Roman"/>
          <w:noProof/>
          <w:lang w:eastAsia="lt-LT" w:bidi="lt-LT"/>
        </w:rPr>
        <w:t>Tarpregioniniai</w:t>
      </w:r>
      <w:r w:rsidR="00993B5D" w:rsidRPr="00B44B19">
        <w:rPr>
          <w:rFonts w:cs="Times New Roman"/>
          <w:noProof/>
          <w:lang w:eastAsia="lt-LT" w:bidi="lt-LT"/>
        </w:rPr>
        <w:t>, tarp sienų</w:t>
      </w:r>
      <w:r w:rsidRPr="00B44B19">
        <w:rPr>
          <w:rFonts w:cs="Times New Roman"/>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251C89" w:rsidRPr="00B44B19" w14:paraId="7B156381" w14:textId="77777777" w:rsidTr="00251C89">
        <w:tc>
          <w:tcPr>
            <w:tcW w:w="9854" w:type="dxa"/>
          </w:tcPr>
          <w:p w14:paraId="24C6D63B" w14:textId="77777777" w:rsidR="00251C89" w:rsidRPr="00B44B19" w:rsidRDefault="00993B5D" w:rsidP="007D0221">
            <w:pPr>
              <w:spacing w:before="60" w:after="60"/>
              <w:jc w:val="both"/>
              <w:rPr>
                <w:rFonts w:eastAsia="Times New Roman" w:cs="Times New Roman"/>
                <w:b/>
                <w:i/>
                <w:iCs/>
                <w:noProof/>
                <w:szCs w:val="24"/>
                <w:lang w:eastAsia="lt-LT" w:bidi="lt-LT"/>
              </w:rPr>
            </w:pPr>
            <w:r w:rsidRPr="00B44B19">
              <w:rPr>
                <w:rFonts w:eastAsia="Calibri" w:cs="Times New Roman"/>
                <w:bCs/>
                <w:noProof/>
                <w:sz w:val="22"/>
                <w:lang w:eastAsia="lt-LT" w:bidi="lt-LT"/>
              </w:rPr>
              <w:t>Numatoma sudaryti visas galimybes prireikus juos atlikti</w:t>
            </w:r>
            <w:r w:rsidR="00937F01" w:rsidRPr="00B44B19">
              <w:rPr>
                <w:rFonts w:eastAsia="Calibri" w:cs="Times New Roman"/>
                <w:bCs/>
                <w:noProof/>
                <w:sz w:val="22"/>
                <w:lang w:eastAsia="lt-LT" w:bidi="lt-LT"/>
              </w:rPr>
              <w:t>.</w:t>
            </w:r>
          </w:p>
        </w:tc>
      </w:tr>
    </w:tbl>
    <w:p w14:paraId="7E975667" w14:textId="77777777" w:rsidR="00E92BFA" w:rsidRPr="00B44B19" w:rsidRDefault="00E92BFA" w:rsidP="001E5B12">
      <w:pPr>
        <w:pStyle w:val="Stilius1"/>
        <w:rPr>
          <w:rFonts w:cs="Times New Roman"/>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251C89" w:rsidRPr="00B44B19" w14:paraId="756EC813" w14:textId="77777777" w:rsidTr="00251C89">
        <w:tc>
          <w:tcPr>
            <w:tcW w:w="9854" w:type="dxa"/>
          </w:tcPr>
          <w:p w14:paraId="0EDAA814" w14:textId="77777777" w:rsidR="00251C89" w:rsidRPr="00B44B19" w:rsidRDefault="001F6E55" w:rsidP="007D0221">
            <w:pPr>
              <w:spacing w:before="60" w:after="60"/>
              <w:jc w:val="both"/>
              <w:rPr>
                <w:rFonts w:eastAsia="Times New Roman" w:cs="Times New Roman"/>
                <w:b/>
                <w:i/>
                <w:iCs/>
                <w:noProof/>
                <w:szCs w:val="24"/>
                <w:lang w:eastAsia="lt-LT" w:bidi="lt-LT"/>
              </w:rPr>
            </w:pPr>
            <w:r w:rsidRPr="00B44B19">
              <w:rPr>
                <w:rFonts w:eastAsia="Calibri" w:cs="Times New Roman"/>
                <w:noProof/>
                <w:sz w:val="22"/>
                <w:lang w:eastAsia="lt-LT" w:bidi="lt-LT"/>
              </w:rPr>
              <w:t>–</w:t>
            </w:r>
          </w:p>
        </w:tc>
      </w:tr>
    </w:tbl>
    <w:p w14:paraId="35FE85AD" w14:textId="77777777" w:rsidR="00DA7B46" w:rsidRPr="00B44B19" w:rsidRDefault="00786CD2" w:rsidP="001E5B12">
      <w:pPr>
        <w:pStyle w:val="Stilius1"/>
        <w:rPr>
          <w:rFonts w:eastAsia="Calibri" w:cs="Times New Roman"/>
          <w:noProof/>
          <w:szCs w:val="20"/>
          <w:lang w:eastAsia="lt-LT" w:bidi="lt-LT"/>
        </w:rPr>
      </w:pPr>
      <w:r w:rsidRPr="00B44B19">
        <w:rPr>
          <w:rFonts w:cs="Times New Roman"/>
        </w:rPr>
        <w:t>Rodikliai</w:t>
      </w:r>
      <w:r w:rsidRPr="00B44B19">
        <w:rPr>
          <w:rFonts w:eastAsia="Calibri" w:cs="Times New Roman"/>
          <w:noProof/>
          <w:szCs w:val="20"/>
          <w:lang w:eastAsia="lt-LT" w:bidi="lt-LT"/>
        </w:rPr>
        <w:t xml:space="preserve"> </w:t>
      </w:r>
    </w:p>
    <w:p w14:paraId="005B1299" w14:textId="77777777" w:rsidR="00786CD2" w:rsidRPr="00B44B19" w:rsidRDefault="00786CD2" w:rsidP="00251C89">
      <w:pPr>
        <w:spacing w:before="240" w:after="0" w:line="240" w:lineRule="auto"/>
        <w:jc w:val="both"/>
        <w:rPr>
          <w:rFonts w:cs="Times New Roman"/>
          <w:bCs/>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969"/>
        <w:gridCol w:w="825"/>
        <w:gridCol w:w="968"/>
        <w:gridCol w:w="1243"/>
        <w:gridCol w:w="1666"/>
        <w:gridCol w:w="968"/>
        <w:gridCol w:w="968"/>
        <w:gridCol w:w="909"/>
      </w:tblGrid>
      <w:tr w:rsidR="00743681" w:rsidRPr="00B44B19" w14:paraId="3C1A1ED8" w14:textId="77777777" w:rsidTr="007D0221">
        <w:trPr>
          <w:trHeight w:val="634"/>
          <w:tblHeader/>
        </w:trPr>
        <w:tc>
          <w:tcPr>
            <w:tcW w:w="56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E51567"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lastRenderedPageBreak/>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72F580"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40F2A2"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92777"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5BC84F"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2074DD"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3006EC"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864DE5"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6732F1"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Siek</w:t>
            </w:r>
            <w:r w:rsidR="00321AA4" w:rsidRPr="00B44B19">
              <w:rPr>
                <w:rFonts w:cs="Times New Roman"/>
                <w:b/>
                <w:noProof/>
                <w:sz w:val="16"/>
                <w:szCs w:val="16"/>
              </w:rPr>
              <w:t>tina reikšmė</w:t>
            </w:r>
            <w:r w:rsidRPr="00B44B19">
              <w:rPr>
                <w:rFonts w:cs="Times New Roman"/>
                <w:b/>
                <w:noProof/>
                <w:sz w:val="16"/>
                <w:szCs w:val="16"/>
              </w:rPr>
              <w:t xml:space="preserve"> (2029 m.)</w:t>
            </w:r>
          </w:p>
        </w:tc>
      </w:tr>
      <w:tr w:rsidR="00743681" w:rsidRPr="00B44B19" w14:paraId="4827EA6D" w14:textId="77777777" w:rsidTr="00743681">
        <w:trPr>
          <w:trHeight w:val="340"/>
        </w:trPr>
        <w:tc>
          <w:tcPr>
            <w:tcW w:w="568" w:type="pct"/>
            <w:vMerge w:val="restart"/>
            <w:tcBorders>
              <w:top w:val="single" w:sz="12" w:space="0" w:color="auto"/>
            </w:tcBorders>
          </w:tcPr>
          <w:p w14:paraId="511E0F65"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r w:rsidRPr="00B44B19">
              <w:rPr>
                <w:rStyle w:val="normaltextrun"/>
                <w:rFonts w:cs="Times New Roman"/>
                <w:color w:val="000000"/>
                <w:sz w:val="16"/>
                <w:szCs w:val="16"/>
                <w:shd w:val="clear" w:color="auto" w:fill="FFFFFF"/>
              </w:rPr>
              <w:t>4.Socialiai atsakingesnė Lietuva</w:t>
            </w:r>
          </w:p>
        </w:tc>
        <w:tc>
          <w:tcPr>
            <w:tcW w:w="504" w:type="pct"/>
            <w:vMerge w:val="restart"/>
            <w:tcBorders>
              <w:top w:val="single" w:sz="12" w:space="0" w:color="auto"/>
            </w:tcBorders>
          </w:tcPr>
          <w:p w14:paraId="0941881C" w14:textId="77777777" w:rsidR="00743681" w:rsidRPr="00B44B19" w:rsidRDefault="00743681" w:rsidP="00743681">
            <w:pPr>
              <w:spacing w:after="0" w:line="240" w:lineRule="auto"/>
              <w:jc w:val="both"/>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4.3.</w:t>
            </w:r>
          </w:p>
        </w:tc>
        <w:tc>
          <w:tcPr>
            <w:tcW w:w="429" w:type="pct"/>
            <w:vMerge w:val="restart"/>
            <w:tcBorders>
              <w:top w:val="single" w:sz="12" w:space="0" w:color="auto"/>
            </w:tcBorders>
          </w:tcPr>
          <w:p w14:paraId="320F5BA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ESF</w:t>
            </w:r>
            <w:r w:rsidR="00C16D49" w:rsidRPr="00B44B19">
              <w:rPr>
                <w:rFonts w:eastAsia="Times New Roman" w:cs="Times New Roman"/>
                <w:sz w:val="16"/>
                <w:szCs w:val="16"/>
                <w:lang w:eastAsia="lt-LT"/>
              </w:rPr>
              <w:t>+</w:t>
            </w:r>
          </w:p>
        </w:tc>
        <w:tc>
          <w:tcPr>
            <w:tcW w:w="504" w:type="pct"/>
            <w:tcBorders>
              <w:top w:val="single" w:sz="12" w:space="0" w:color="auto"/>
              <w:bottom w:val="single" w:sz="4" w:space="0" w:color="auto"/>
            </w:tcBorders>
          </w:tcPr>
          <w:p w14:paraId="123C32CC"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14:paraId="2A756BC4"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EECO06</w:t>
            </w:r>
          </w:p>
        </w:tc>
        <w:tc>
          <w:tcPr>
            <w:tcW w:w="867" w:type="pct"/>
            <w:tcBorders>
              <w:top w:val="single" w:sz="12" w:space="0" w:color="auto"/>
              <w:bottom w:val="single" w:sz="4" w:space="0" w:color="auto"/>
            </w:tcBorders>
          </w:tcPr>
          <w:p w14:paraId="75B405C2"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Jaunesnių nei 18 metų vaikų skaičius</w:t>
            </w:r>
          </w:p>
        </w:tc>
        <w:tc>
          <w:tcPr>
            <w:tcW w:w="504" w:type="pct"/>
            <w:tcBorders>
              <w:top w:val="single" w:sz="12" w:space="0" w:color="auto"/>
              <w:bottom w:val="single" w:sz="4" w:space="0" w:color="auto"/>
            </w:tcBorders>
          </w:tcPr>
          <w:p w14:paraId="164DCF3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12" w:space="0" w:color="auto"/>
              <w:bottom w:val="single" w:sz="4" w:space="0" w:color="auto"/>
            </w:tcBorders>
          </w:tcPr>
          <w:p w14:paraId="42139F57"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188</w:t>
            </w:r>
          </w:p>
        </w:tc>
        <w:tc>
          <w:tcPr>
            <w:tcW w:w="473" w:type="pct"/>
            <w:tcBorders>
              <w:top w:val="single" w:sz="12" w:space="0" w:color="auto"/>
              <w:bottom w:val="single" w:sz="4" w:space="0" w:color="auto"/>
            </w:tcBorders>
          </w:tcPr>
          <w:p w14:paraId="05D49A16"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1 214</w:t>
            </w:r>
          </w:p>
        </w:tc>
      </w:tr>
      <w:tr w:rsidR="00743681" w:rsidRPr="00B44B19" w14:paraId="563A0B38" w14:textId="77777777" w:rsidTr="00743681">
        <w:trPr>
          <w:trHeight w:val="340"/>
        </w:trPr>
        <w:tc>
          <w:tcPr>
            <w:tcW w:w="568" w:type="pct"/>
            <w:vMerge/>
            <w:tcBorders>
              <w:top w:val="single" w:sz="12" w:space="0" w:color="auto"/>
            </w:tcBorders>
          </w:tcPr>
          <w:p w14:paraId="3E59266C"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7D23DA5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637D3FE2"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5708A521"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01B3CFA3"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EECO06</w:t>
            </w:r>
          </w:p>
        </w:tc>
        <w:tc>
          <w:tcPr>
            <w:tcW w:w="867" w:type="pct"/>
            <w:tcBorders>
              <w:top w:val="single" w:sz="4" w:space="0" w:color="auto"/>
              <w:bottom w:val="single" w:sz="4" w:space="0" w:color="auto"/>
            </w:tcBorders>
          </w:tcPr>
          <w:p w14:paraId="6A316239"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Jaunesnių nei 18 metų vaikų skaičius</w:t>
            </w:r>
          </w:p>
        </w:tc>
        <w:tc>
          <w:tcPr>
            <w:tcW w:w="504" w:type="pct"/>
            <w:tcBorders>
              <w:top w:val="single" w:sz="4" w:space="0" w:color="auto"/>
              <w:bottom w:val="single" w:sz="4" w:space="0" w:color="auto"/>
            </w:tcBorders>
          </w:tcPr>
          <w:p w14:paraId="039225E4"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4" w:space="0" w:color="auto"/>
              <w:bottom w:val="single" w:sz="4" w:space="0" w:color="auto"/>
            </w:tcBorders>
          </w:tcPr>
          <w:p w14:paraId="18C445A4"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1 11</w:t>
            </w:r>
            <w:r w:rsidR="000E083C" w:rsidRPr="00B44B19">
              <w:rPr>
                <w:rFonts w:eastAsia="Times New Roman" w:cs="Times New Roman"/>
                <w:sz w:val="16"/>
                <w:szCs w:val="16"/>
                <w:lang w:eastAsia="lt-LT"/>
              </w:rPr>
              <w:t>5</w:t>
            </w:r>
          </w:p>
        </w:tc>
        <w:tc>
          <w:tcPr>
            <w:tcW w:w="473" w:type="pct"/>
            <w:tcBorders>
              <w:top w:val="single" w:sz="4" w:space="0" w:color="auto"/>
              <w:bottom w:val="single" w:sz="4" w:space="0" w:color="auto"/>
            </w:tcBorders>
          </w:tcPr>
          <w:p w14:paraId="3CB065B1" w14:textId="77777777" w:rsidR="00743681" w:rsidRPr="00B44B19" w:rsidRDefault="00743681" w:rsidP="00ED4973">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7 </w:t>
            </w:r>
            <w:r w:rsidR="00ED4973" w:rsidRPr="00B44B19">
              <w:rPr>
                <w:rFonts w:eastAsia="Times New Roman" w:cs="Times New Roman"/>
                <w:sz w:val="16"/>
                <w:szCs w:val="16"/>
                <w:lang w:eastAsia="lt-LT"/>
              </w:rPr>
              <w:t>150</w:t>
            </w:r>
          </w:p>
        </w:tc>
      </w:tr>
      <w:tr w:rsidR="00743681" w:rsidRPr="00B44B19" w14:paraId="2FE1DE7D" w14:textId="77777777" w:rsidTr="00743681">
        <w:trPr>
          <w:trHeight w:val="340"/>
        </w:trPr>
        <w:tc>
          <w:tcPr>
            <w:tcW w:w="568" w:type="pct"/>
            <w:vMerge/>
            <w:tcBorders>
              <w:top w:val="single" w:sz="12" w:space="0" w:color="auto"/>
            </w:tcBorders>
          </w:tcPr>
          <w:p w14:paraId="0BCD4DF8"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5E34E8C7"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2ED2F14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6D7F52EF"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489D9DB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EECO11</w:t>
            </w:r>
          </w:p>
        </w:tc>
        <w:tc>
          <w:tcPr>
            <w:tcW w:w="867" w:type="pct"/>
            <w:tcBorders>
              <w:top w:val="single" w:sz="4" w:space="0" w:color="auto"/>
              <w:bottom w:val="single" w:sz="4" w:space="0" w:color="auto"/>
            </w:tcBorders>
          </w:tcPr>
          <w:p w14:paraId="61B8A8A2"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 turintys tretinį išsilavinimą</w:t>
            </w:r>
            <w:r w:rsidR="002D7A41" w:rsidRPr="00B44B19">
              <w:rPr>
                <w:rFonts w:eastAsia="Times New Roman" w:cs="Times New Roman"/>
                <w:sz w:val="16"/>
                <w:szCs w:val="16"/>
                <w:lang w:eastAsia="lt-LT"/>
              </w:rPr>
              <w:t xml:space="preserve"> (ISCED 5–8)</w:t>
            </w:r>
          </w:p>
        </w:tc>
        <w:tc>
          <w:tcPr>
            <w:tcW w:w="504" w:type="pct"/>
            <w:tcBorders>
              <w:top w:val="single" w:sz="4" w:space="0" w:color="auto"/>
              <w:bottom w:val="single" w:sz="4" w:space="0" w:color="auto"/>
            </w:tcBorders>
          </w:tcPr>
          <w:p w14:paraId="042A344F"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4" w:space="0" w:color="auto"/>
              <w:bottom w:val="single" w:sz="4" w:space="0" w:color="auto"/>
            </w:tcBorders>
          </w:tcPr>
          <w:p w14:paraId="62256BED" w14:textId="77777777" w:rsidR="00743681" w:rsidRPr="00B44B19" w:rsidRDefault="00BE17AB"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1 275</w:t>
            </w:r>
          </w:p>
        </w:tc>
        <w:tc>
          <w:tcPr>
            <w:tcW w:w="473" w:type="pct"/>
            <w:tcBorders>
              <w:top w:val="single" w:sz="4" w:space="0" w:color="auto"/>
              <w:bottom w:val="single" w:sz="4" w:space="0" w:color="auto"/>
            </w:tcBorders>
          </w:tcPr>
          <w:p w14:paraId="50AA49E6" w14:textId="77777777" w:rsidR="00743681" w:rsidRPr="00B44B19" w:rsidRDefault="00C435FF"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7 470</w:t>
            </w:r>
          </w:p>
        </w:tc>
      </w:tr>
      <w:tr w:rsidR="00743681" w:rsidRPr="00B44B19" w14:paraId="6AB40D21" w14:textId="77777777" w:rsidTr="00743681">
        <w:trPr>
          <w:trHeight w:val="340"/>
        </w:trPr>
        <w:tc>
          <w:tcPr>
            <w:tcW w:w="568" w:type="pct"/>
            <w:vMerge/>
            <w:tcBorders>
              <w:top w:val="single" w:sz="12" w:space="0" w:color="auto"/>
            </w:tcBorders>
          </w:tcPr>
          <w:p w14:paraId="07212466"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1D7E1F5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0A86297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57F1D601"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73ABD667"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67" w:type="pct"/>
            <w:tcBorders>
              <w:top w:val="single" w:sz="4" w:space="0" w:color="auto"/>
              <w:bottom w:val="single" w:sz="4" w:space="0" w:color="auto"/>
            </w:tcBorders>
          </w:tcPr>
          <w:p w14:paraId="224D18CB"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Mokiniai iš nepalankias sąlygas turinčių asmenų grupių, kuriems buvo skirta parama profesinio mokymo prieinamumui gerinti</w:t>
            </w:r>
          </w:p>
        </w:tc>
        <w:tc>
          <w:tcPr>
            <w:tcW w:w="504" w:type="pct"/>
            <w:tcBorders>
              <w:top w:val="single" w:sz="4" w:space="0" w:color="auto"/>
              <w:bottom w:val="single" w:sz="4" w:space="0" w:color="auto"/>
            </w:tcBorders>
          </w:tcPr>
          <w:p w14:paraId="02BCE277"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4" w:space="0" w:color="auto"/>
              <w:bottom w:val="single" w:sz="4" w:space="0" w:color="auto"/>
            </w:tcBorders>
          </w:tcPr>
          <w:p w14:paraId="2348A3FB"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w:t>
            </w:r>
          </w:p>
        </w:tc>
        <w:tc>
          <w:tcPr>
            <w:tcW w:w="473" w:type="pct"/>
            <w:tcBorders>
              <w:top w:val="single" w:sz="4" w:space="0" w:color="auto"/>
              <w:bottom w:val="single" w:sz="4" w:space="0" w:color="auto"/>
            </w:tcBorders>
          </w:tcPr>
          <w:p w14:paraId="34C7A93B"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130</w:t>
            </w:r>
          </w:p>
        </w:tc>
      </w:tr>
      <w:tr w:rsidR="00743681" w:rsidRPr="00B44B19" w14:paraId="737182B4" w14:textId="77777777" w:rsidTr="00743681">
        <w:trPr>
          <w:trHeight w:val="340"/>
        </w:trPr>
        <w:tc>
          <w:tcPr>
            <w:tcW w:w="568" w:type="pct"/>
            <w:vMerge/>
            <w:tcBorders>
              <w:top w:val="single" w:sz="12" w:space="0" w:color="auto"/>
            </w:tcBorders>
          </w:tcPr>
          <w:p w14:paraId="18689CE2"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0057412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2E6C223B"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056A04D6"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4F48279C"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67" w:type="pct"/>
            <w:tcBorders>
              <w:top w:val="single" w:sz="4" w:space="0" w:color="auto"/>
              <w:bottom w:val="single" w:sz="4" w:space="0" w:color="auto"/>
            </w:tcBorders>
          </w:tcPr>
          <w:p w14:paraId="1E246969"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Mokiniai iš nepalankias sąlygas turinčių asmenų grupių, kuriems buvo skirta parama profesinio mokymo prieinamumui gerinti</w:t>
            </w:r>
          </w:p>
        </w:tc>
        <w:tc>
          <w:tcPr>
            <w:tcW w:w="504" w:type="pct"/>
            <w:tcBorders>
              <w:top w:val="single" w:sz="4" w:space="0" w:color="auto"/>
              <w:bottom w:val="single" w:sz="4" w:space="0" w:color="auto"/>
            </w:tcBorders>
          </w:tcPr>
          <w:p w14:paraId="75EC9D8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4" w:space="0" w:color="auto"/>
              <w:bottom w:val="single" w:sz="4" w:space="0" w:color="auto"/>
            </w:tcBorders>
          </w:tcPr>
          <w:p w14:paraId="11647A0C" w14:textId="77777777" w:rsidR="00743681" w:rsidRPr="00B44B19" w:rsidRDefault="00743681"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100</w:t>
            </w:r>
          </w:p>
        </w:tc>
        <w:tc>
          <w:tcPr>
            <w:tcW w:w="473" w:type="pct"/>
            <w:tcBorders>
              <w:top w:val="single" w:sz="4" w:space="0" w:color="auto"/>
              <w:bottom w:val="single" w:sz="4" w:space="0" w:color="auto"/>
            </w:tcBorders>
          </w:tcPr>
          <w:p w14:paraId="56AAD9C7"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660</w:t>
            </w:r>
          </w:p>
        </w:tc>
      </w:tr>
      <w:tr w:rsidR="00743681" w:rsidRPr="00B44B19" w14:paraId="2F1A74CE" w14:textId="77777777" w:rsidTr="00743681">
        <w:trPr>
          <w:trHeight w:val="340"/>
        </w:trPr>
        <w:tc>
          <w:tcPr>
            <w:tcW w:w="568" w:type="pct"/>
            <w:vMerge/>
            <w:tcBorders>
              <w:top w:val="single" w:sz="12" w:space="0" w:color="auto"/>
            </w:tcBorders>
          </w:tcPr>
          <w:p w14:paraId="64B0244E"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504" w:type="pct"/>
            <w:vMerge/>
            <w:tcBorders>
              <w:top w:val="single" w:sz="12" w:space="0" w:color="auto"/>
            </w:tcBorders>
          </w:tcPr>
          <w:p w14:paraId="546DBA5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Borders>
              <w:top w:val="single" w:sz="12" w:space="0" w:color="auto"/>
            </w:tcBorders>
          </w:tcPr>
          <w:p w14:paraId="1092C565"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69AB7E18"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731146B7"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67" w:type="pct"/>
            <w:tcBorders>
              <w:top w:val="single" w:sz="4" w:space="0" w:color="auto"/>
              <w:bottom w:val="single" w:sz="4" w:space="0" w:color="auto"/>
            </w:tcBorders>
          </w:tcPr>
          <w:p w14:paraId="78D2DF2D"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Socialiai jautrių, socialinės atskirties ir/ ar mažai atstovaujamų grupių studentai, kuriems buvo skirta tikslinė išmoka studijų prieinamumui gerinti</w:t>
            </w:r>
          </w:p>
        </w:tc>
        <w:tc>
          <w:tcPr>
            <w:tcW w:w="504" w:type="pct"/>
            <w:tcBorders>
              <w:top w:val="single" w:sz="4" w:space="0" w:color="auto"/>
              <w:bottom w:val="single" w:sz="4" w:space="0" w:color="auto"/>
            </w:tcBorders>
          </w:tcPr>
          <w:p w14:paraId="4CC8B590"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4" w:space="0" w:color="auto"/>
              <w:bottom w:val="single" w:sz="4" w:space="0" w:color="auto"/>
            </w:tcBorders>
          </w:tcPr>
          <w:p w14:paraId="4AEA24A9"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w:t>
            </w:r>
          </w:p>
        </w:tc>
        <w:tc>
          <w:tcPr>
            <w:tcW w:w="473" w:type="pct"/>
            <w:tcBorders>
              <w:top w:val="single" w:sz="4" w:space="0" w:color="auto"/>
              <w:bottom w:val="single" w:sz="4" w:space="0" w:color="auto"/>
            </w:tcBorders>
          </w:tcPr>
          <w:p w14:paraId="138D4EF3"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120</w:t>
            </w:r>
          </w:p>
        </w:tc>
      </w:tr>
      <w:tr w:rsidR="00743681" w:rsidRPr="00B44B19" w14:paraId="61AC7C40" w14:textId="77777777" w:rsidTr="00743681">
        <w:trPr>
          <w:trHeight w:val="340"/>
        </w:trPr>
        <w:tc>
          <w:tcPr>
            <w:tcW w:w="568" w:type="pct"/>
            <w:vMerge/>
          </w:tcPr>
          <w:p w14:paraId="24FFC2FA"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c>
          <w:tcPr>
            <w:tcW w:w="504" w:type="pct"/>
            <w:vMerge/>
          </w:tcPr>
          <w:p w14:paraId="02E7B6E2"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429" w:type="pct"/>
            <w:vMerge/>
          </w:tcPr>
          <w:p w14:paraId="0E5FA936"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504" w:type="pct"/>
            <w:tcBorders>
              <w:top w:val="single" w:sz="4" w:space="0" w:color="auto"/>
              <w:bottom w:val="single" w:sz="4" w:space="0" w:color="auto"/>
            </w:tcBorders>
          </w:tcPr>
          <w:p w14:paraId="06EB3D70"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09A09A6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67" w:type="pct"/>
            <w:tcBorders>
              <w:top w:val="single" w:sz="4" w:space="0" w:color="auto"/>
              <w:bottom w:val="single" w:sz="4" w:space="0" w:color="auto"/>
            </w:tcBorders>
          </w:tcPr>
          <w:p w14:paraId="714F208D"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Socialiai jautrių, socialinės atskirties ir/ ar mažai atstovaujamų grupių studentai, kuriems buvo skirta tikslinė išmoka studijų prieinamumui gerinti</w:t>
            </w:r>
          </w:p>
        </w:tc>
        <w:tc>
          <w:tcPr>
            <w:tcW w:w="504" w:type="pct"/>
            <w:tcBorders>
              <w:top w:val="single" w:sz="4" w:space="0" w:color="auto"/>
              <w:bottom w:val="single" w:sz="4" w:space="0" w:color="auto"/>
            </w:tcBorders>
          </w:tcPr>
          <w:p w14:paraId="03A0AC9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4" w:type="pct"/>
            <w:tcBorders>
              <w:top w:val="single" w:sz="4" w:space="0" w:color="auto"/>
              <w:bottom w:val="single" w:sz="4" w:space="0" w:color="auto"/>
            </w:tcBorders>
          </w:tcPr>
          <w:p w14:paraId="460A284C" w14:textId="77777777" w:rsidR="00743681" w:rsidRPr="00B44B19" w:rsidRDefault="00743681" w:rsidP="0074368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90</w:t>
            </w:r>
          </w:p>
        </w:tc>
        <w:tc>
          <w:tcPr>
            <w:tcW w:w="473" w:type="pct"/>
            <w:tcBorders>
              <w:top w:val="single" w:sz="4" w:space="0" w:color="auto"/>
              <w:bottom w:val="single" w:sz="4" w:space="0" w:color="auto"/>
            </w:tcBorders>
          </w:tcPr>
          <w:p w14:paraId="0EB8C6BA"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590</w:t>
            </w:r>
          </w:p>
        </w:tc>
      </w:tr>
    </w:tbl>
    <w:p w14:paraId="3127834F" w14:textId="77777777" w:rsidR="005D02EB" w:rsidRPr="00B44B19" w:rsidRDefault="005D02EB" w:rsidP="005D02EB">
      <w:pPr>
        <w:spacing w:after="0" w:line="240" w:lineRule="auto"/>
        <w:rPr>
          <w:rFonts w:cs="Times New Roman"/>
          <w:b/>
          <w:sz w:val="20"/>
          <w:szCs w:val="24"/>
        </w:rPr>
        <w:sectPr w:rsidR="005D02EB" w:rsidRPr="00B44B19" w:rsidSect="00931C78">
          <w:pgSz w:w="11906" w:h="16838"/>
          <w:pgMar w:top="1276" w:right="567" w:bottom="1134" w:left="1701" w:header="567" w:footer="567" w:gutter="0"/>
          <w:cols w:space="1296"/>
          <w:docGrid w:linePitch="360"/>
        </w:sectPr>
      </w:pPr>
    </w:p>
    <w:p w14:paraId="53E5424B" w14:textId="77777777" w:rsidR="00786CD2" w:rsidRPr="00B44B19" w:rsidRDefault="00786CD2" w:rsidP="005D02EB">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624"/>
        <w:gridCol w:w="975"/>
        <w:gridCol w:w="975"/>
        <w:gridCol w:w="1115"/>
        <w:gridCol w:w="975"/>
        <w:gridCol w:w="975"/>
        <w:gridCol w:w="1100"/>
      </w:tblGrid>
      <w:tr w:rsidR="00743681" w:rsidRPr="00B44B19" w14:paraId="733C2E78" w14:textId="77777777" w:rsidTr="00743681">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2D13DC"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5FA5E1"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6B831B"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915889"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FE3C50"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2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5C99EA"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9591C"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2C5C5E"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E049C7"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7B4A02"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Siek</w:t>
            </w:r>
            <w:r w:rsidR="003F643D" w:rsidRPr="00B44B19">
              <w:rPr>
                <w:rFonts w:cs="Times New Roman"/>
                <w:b/>
                <w:noProof/>
                <w:sz w:val="16"/>
                <w:szCs w:val="16"/>
              </w:rPr>
              <w:t>tina reikšmė</w:t>
            </w:r>
            <w:r w:rsidRPr="00B44B19">
              <w:rPr>
                <w:rFonts w:cs="Times New Roman"/>
                <w:b/>
                <w:noProof/>
                <w:sz w:val="16"/>
                <w:szCs w:val="16"/>
              </w:rPr>
              <w:t>(2029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D30C2A"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866E24" w14:textId="77777777" w:rsidR="00743681" w:rsidRPr="00B44B19" w:rsidRDefault="00743681" w:rsidP="00743681">
            <w:pPr>
              <w:spacing w:after="0" w:line="240" w:lineRule="auto"/>
              <w:jc w:val="center"/>
              <w:rPr>
                <w:rFonts w:cs="Times New Roman"/>
                <w:b/>
                <w:noProof/>
                <w:sz w:val="16"/>
                <w:szCs w:val="16"/>
              </w:rPr>
            </w:pPr>
            <w:r w:rsidRPr="00B44B19">
              <w:rPr>
                <w:rFonts w:cs="Times New Roman"/>
                <w:b/>
                <w:noProof/>
                <w:sz w:val="16"/>
                <w:szCs w:val="16"/>
              </w:rPr>
              <w:t>Pastabos</w:t>
            </w:r>
          </w:p>
        </w:tc>
      </w:tr>
      <w:tr w:rsidR="00743681" w:rsidRPr="00B44B19" w14:paraId="2ADCF5A9" w14:textId="77777777" w:rsidTr="00743681">
        <w:trPr>
          <w:trHeight w:val="376"/>
        </w:trPr>
        <w:tc>
          <w:tcPr>
            <w:tcW w:w="364" w:type="pct"/>
            <w:vMerge w:val="restart"/>
            <w:tcBorders>
              <w:top w:val="single" w:sz="12" w:space="0" w:color="auto"/>
            </w:tcBorders>
          </w:tcPr>
          <w:p w14:paraId="66CFB82A"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r w:rsidRPr="00B44B19">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14:paraId="49D905C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4.3.</w:t>
            </w:r>
          </w:p>
        </w:tc>
        <w:tc>
          <w:tcPr>
            <w:tcW w:w="281" w:type="pct"/>
            <w:vMerge w:val="restart"/>
            <w:tcBorders>
              <w:top w:val="single" w:sz="12" w:space="0" w:color="auto"/>
            </w:tcBorders>
          </w:tcPr>
          <w:p w14:paraId="25BFEAC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ESF</w:t>
            </w:r>
            <w:r w:rsidR="00C16D49" w:rsidRPr="00B44B19">
              <w:rPr>
                <w:rFonts w:eastAsia="Times New Roman" w:cs="Times New Roman"/>
                <w:sz w:val="16"/>
                <w:szCs w:val="16"/>
                <w:lang w:eastAsia="lt-LT"/>
              </w:rPr>
              <w:t>+</w:t>
            </w:r>
          </w:p>
        </w:tc>
        <w:tc>
          <w:tcPr>
            <w:tcW w:w="328" w:type="pct"/>
            <w:tcBorders>
              <w:top w:val="single" w:sz="12" w:space="0" w:color="auto"/>
              <w:bottom w:val="single" w:sz="4" w:space="0" w:color="auto"/>
            </w:tcBorders>
          </w:tcPr>
          <w:p w14:paraId="4E9DB5D2"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13550C9D"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12" w:space="0" w:color="auto"/>
              <w:bottom w:val="single" w:sz="4" w:space="0" w:color="auto"/>
            </w:tcBorders>
          </w:tcPr>
          <w:p w14:paraId="40D195E9"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Švietimo pagalbą ne trumpiau kaip 3 mėn. gavusių vaikų</w:t>
            </w:r>
            <w:r w:rsidR="008A1513" w:rsidRPr="00B44B19">
              <w:rPr>
                <w:rFonts w:eastAsia="Times New Roman" w:cs="Times New Roman"/>
                <w:sz w:val="16"/>
                <w:szCs w:val="16"/>
                <w:lang w:eastAsia="lt-LT"/>
              </w:rPr>
              <w:t>,</w:t>
            </w:r>
            <w:r w:rsidRPr="00B44B19">
              <w:rPr>
                <w:rFonts w:eastAsia="Times New Roman" w:cs="Times New Roman"/>
                <w:sz w:val="16"/>
                <w:szCs w:val="16"/>
                <w:lang w:eastAsia="lt-LT"/>
              </w:rPr>
              <w:t xml:space="preserve"> dalis</w:t>
            </w:r>
          </w:p>
        </w:tc>
        <w:tc>
          <w:tcPr>
            <w:tcW w:w="328" w:type="pct"/>
            <w:tcBorders>
              <w:top w:val="single" w:sz="12" w:space="0" w:color="auto"/>
              <w:bottom w:val="single" w:sz="4" w:space="0" w:color="auto"/>
            </w:tcBorders>
          </w:tcPr>
          <w:p w14:paraId="4370F24C"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12" w:space="0" w:color="auto"/>
              <w:bottom w:val="single" w:sz="4" w:space="0" w:color="auto"/>
            </w:tcBorders>
          </w:tcPr>
          <w:p w14:paraId="5F0C219A"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12" w:space="0" w:color="auto"/>
              <w:bottom w:val="single" w:sz="4" w:space="0" w:color="auto"/>
            </w:tcBorders>
          </w:tcPr>
          <w:p w14:paraId="6F720289"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12" w:space="0" w:color="auto"/>
              <w:bottom w:val="single" w:sz="4" w:space="0" w:color="auto"/>
            </w:tcBorders>
          </w:tcPr>
          <w:p w14:paraId="03D829B3"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85</w:t>
            </w:r>
          </w:p>
        </w:tc>
        <w:tc>
          <w:tcPr>
            <w:tcW w:w="328" w:type="pct"/>
            <w:tcBorders>
              <w:top w:val="single" w:sz="12" w:space="0" w:color="auto"/>
              <w:bottom w:val="single" w:sz="4" w:space="0" w:color="auto"/>
            </w:tcBorders>
          </w:tcPr>
          <w:p w14:paraId="16C4691C" w14:textId="77777777" w:rsidR="00743681" w:rsidRPr="00B44B19" w:rsidRDefault="00743681" w:rsidP="00A55A3C">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 </w:t>
            </w:r>
            <w:r w:rsidR="00A55A3C" w:rsidRPr="00B44B19">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14:paraId="080109AD"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5BE5DBB7" w14:textId="77777777" w:rsidTr="00743681">
        <w:trPr>
          <w:trHeight w:val="376"/>
        </w:trPr>
        <w:tc>
          <w:tcPr>
            <w:tcW w:w="364" w:type="pct"/>
            <w:vMerge/>
            <w:tcBorders>
              <w:top w:val="single" w:sz="12" w:space="0" w:color="auto"/>
            </w:tcBorders>
          </w:tcPr>
          <w:p w14:paraId="79C916A1"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14:paraId="32760E35"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14:paraId="760BDA7F"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3FCA32C6"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B0A9A7D"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70D58EF7"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Švietimo pagalbą ne trumpiau kaip 3 mėn. gavusių vaikų</w:t>
            </w:r>
            <w:r w:rsidR="008A1513" w:rsidRPr="00B44B19">
              <w:rPr>
                <w:rFonts w:eastAsia="Times New Roman" w:cs="Times New Roman"/>
                <w:sz w:val="16"/>
                <w:szCs w:val="16"/>
                <w:lang w:eastAsia="lt-LT"/>
              </w:rPr>
              <w:t>,</w:t>
            </w:r>
            <w:r w:rsidRPr="00B44B19">
              <w:rPr>
                <w:rFonts w:eastAsia="Times New Roman" w:cs="Times New Roman"/>
                <w:sz w:val="16"/>
                <w:szCs w:val="16"/>
                <w:lang w:eastAsia="lt-LT"/>
              </w:rPr>
              <w:t xml:space="preserve"> dalis</w:t>
            </w:r>
          </w:p>
        </w:tc>
        <w:tc>
          <w:tcPr>
            <w:tcW w:w="328" w:type="pct"/>
            <w:tcBorders>
              <w:top w:val="single" w:sz="4" w:space="0" w:color="auto"/>
              <w:bottom w:val="single" w:sz="4" w:space="0" w:color="auto"/>
            </w:tcBorders>
          </w:tcPr>
          <w:p w14:paraId="4BDA869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196A98F1"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297A049C"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490F8AD8"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85</w:t>
            </w:r>
          </w:p>
        </w:tc>
        <w:tc>
          <w:tcPr>
            <w:tcW w:w="328" w:type="pct"/>
            <w:tcBorders>
              <w:top w:val="single" w:sz="4" w:space="0" w:color="auto"/>
              <w:bottom w:val="single" w:sz="4" w:space="0" w:color="auto"/>
            </w:tcBorders>
          </w:tcPr>
          <w:p w14:paraId="744E66D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 </w:t>
            </w:r>
            <w:r w:rsidR="00A55A3C"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ECB64C5"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384CEB" w:rsidRPr="00B44B19" w14:paraId="3E594C33" w14:textId="77777777" w:rsidTr="00743681">
        <w:trPr>
          <w:trHeight w:val="376"/>
        </w:trPr>
        <w:tc>
          <w:tcPr>
            <w:tcW w:w="364" w:type="pct"/>
            <w:vMerge/>
            <w:tcBorders>
              <w:top w:val="single" w:sz="12" w:space="0" w:color="auto"/>
            </w:tcBorders>
          </w:tcPr>
          <w:p w14:paraId="1C2AE8F4" w14:textId="77777777" w:rsidR="00384CEB" w:rsidRPr="00B44B19" w:rsidRDefault="00384CEB"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14:paraId="35379A94" w14:textId="77777777" w:rsidR="00384CEB" w:rsidRPr="00B44B19" w:rsidRDefault="00384CEB"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14:paraId="3131F39D" w14:textId="77777777" w:rsidR="00384CEB" w:rsidRPr="00B44B19" w:rsidRDefault="00384CEB"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45B8B53" w14:textId="77777777" w:rsidR="00384CEB" w:rsidRPr="00B44B19" w:rsidRDefault="00384CE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26FCDF52" w14:textId="77777777" w:rsidR="00384CEB" w:rsidRPr="00B44B19" w:rsidRDefault="00384CE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4E102368" w14:textId="77777777" w:rsidR="00384CEB" w:rsidRPr="00B44B19" w:rsidRDefault="00384CEB"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Asmenų, kurie dalyvavę mokymuose įgijo kompetenciją, dalis</w:t>
            </w:r>
          </w:p>
        </w:tc>
        <w:tc>
          <w:tcPr>
            <w:tcW w:w="328" w:type="pct"/>
            <w:tcBorders>
              <w:top w:val="single" w:sz="4" w:space="0" w:color="auto"/>
              <w:bottom w:val="single" w:sz="4" w:space="0" w:color="auto"/>
            </w:tcBorders>
          </w:tcPr>
          <w:p w14:paraId="5C2B25B8" w14:textId="77777777" w:rsidR="00384CEB" w:rsidRPr="00B44B19" w:rsidRDefault="00384CE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7E52F4FB" w14:textId="77777777" w:rsidR="00384CEB" w:rsidRPr="00B44B19" w:rsidRDefault="00384CEB"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4F8D4C06" w14:textId="77777777" w:rsidR="00384CEB" w:rsidRPr="00B44B19" w:rsidRDefault="00384CEB"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7AAA7258" w14:textId="77777777" w:rsidR="00384CEB" w:rsidRPr="00B44B19" w:rsidRDefault="00384CEB"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80</w:t>
            </w:r>
          </w:p>
        </w:tc>
        <w:tc>
          <w:tcPr>
            <w:tcW w:w="328" w:type="pct"/>
            <w:tcBorders>
              <w:top w:val="single" w:sz="4" w:space="0" w:color="auto"/>
              <w:bottom w:val="single" w:sz="4" w:space="0" w:color="auto"/>
            </w:tcBorders>
          </w:tcPr>
          <w:p w14:paraId="77F196F2" w14:textId="77777777" w:rsidR="00384CEB" w:rsidRPr="00B44B19" w:rsidRDefault="00384CEB"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A38C139" w14:textId="77777777" w:rsidR="00384CEB" w:rsidRPr="00B44B19" w:rsidRDefault="00384CEB"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347429A0" w14:textId="77777777" w:rsidTr="00743681">
        <w:trPr>
          <w:trHeight w:val="376"/>
        </w:trPr>
        <w:tc>
          <w:tcPr>
            <w:tcW w:w="364" w:type="pct"/>
            <w:vMerge/>
            <w:tcBorders>
              <w:top w:val="single" w:sz="12" w:space="0" w:color="auto"/>
            </w:tcBorders>
          </w:tcPr>
          <w:p w14:paraId="02CD059E" w14:textId="77777777" w:rsidR="00743681" w:rsidRPr="00B44B19" w:rsidRDefault="00743681" w:rsidP="00743681">
            <w:pPr>
              <w:spacing w:after="0" w:line="240" w:lineRule="auto"/>
              <w:jc w:val="both"/>
              <w:textAlignment w:val="baseline"/>
              <w:rPr>
                <w:rStyle w:val="normaltextrun"/>
                <w:rFonts w:cs="Times New Roman"/>
                <w:color w:val="000000"/>
                <w:sz w:val="16"/>
                <w:szCs w:val="16"/>
                <w:shd w:val="clear" w:color="auto" w:fill="FFFFFF"/>
              </w:rPr>
            </w:pPr>
          </w:p>
        </w:tc>
        <w:tc>
          <w:tcPr>
            <w:tcW w:w="328" w:type="pct"/>
            <w:vMerge/>
            <w:tcBorders>
              <w:top w:val="single" w:sz="12" w:space="0" w:color="auto"/>
            </w:tcBorders>
          </w:tcPr>
          <w:p w14:paraId="0E5D1DA6"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Borders>
              <w:top w:val="single" w:sz="12" w:space="0" w:color="auto"/>
            </w:tcBorders>
          </w:tcPr>
          <w:p w14:paraId="254712F8"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32AF7E46"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118C1687"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4648FD61"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Vaikų, augančių socialinės rizikos šeimose, kurie yra privalomai ugdomi pagal ikimokyklinio </w:t>
            </w:r>
            <w:r w:rsidR="004B7769" w:rsidRPr="00B44B19">
              <w:rPr>
                <w:rFonts w:eastAsia="Times New Roman" w:cs="Times New Roman"/>
                <w:sz w:val="16"/>
                <w:szCs w:val="16"/>
                <w:lang w:eastAsia="lt-LT"/>
              </w:rPr>
              <w:t xml:space="preserve">ar priešmokyklinio </w:t>
            </w:r>
            <w:r w:rsidRPr="00B44B19">
              <w:rPr>
                <w:rFonts w:eastAsia="Times New Roman" w:cs="Times New Roman"/>
                <w:sz w:val="16"/>
                <w:szCs w:val="16"/>
                <w:lang w:eastAsia="lt-LT"/>
              </w:rPr>
              <w:t>ugdymo programas ne trumpiau kaip 6 mėn., dalis</w:t>
            </w:r>
          </w:p>
        </w:tc>
        <w:tc>
          <w:tcPr>
            <w:tcW w:w="328" w:type="pct"/>
            <w:tcBorders>
              <w:top w:val="single" w:sz="4" w:space="0" w:color="auto"/>
              <w:bottom w:val="single" w:sz="4" w:space="0" w:color="auto"/>
            </w:tcBorders>
          </w:tcPr>
          <w:p w14:paraId="792D3EE3"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57D283B3"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42133FF8"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7789F40B"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80</w:t>
            </w:r>
          </w:p>
        </w:tc>
        <w:tc>
          <w:tcPr>
            <w:tcW w:w="328" w:type="pct"/>
            <w:tcBorders>
              <w:top w:val="single" w:sz="4" w:space="0" w:color="auto"/>
              <w:bottom w:val="single" w:sz="4" w:space="0" w:color="auto"/>
            </w:tcBorders>
          </w:tcPr>
          <w:p w14:paraId="026439D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 </w:t>
            </w:r>
            <w:r w:rsidR="00A55A3C"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5A0CB477"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2BA6032D" w14:textId="77777777" w:rsidTr="00743681">
        <w:trPr>
          <w:trHeight w:val="427"/>
        </w:trPr>
        <w:tc>
          <w:tcPr>
            <w:tcW w:w="364" w:type="pct"/>
            <w:vMerge/>
          </w:tcPr>
          <w:p w14:paraId="676DBB49"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77B6C964"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3A58F46B"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01A586B7"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62DC5C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6509AFC6"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Vaikų, augančių socialinės rizikos šeimose, kurie yra privalomai ugdomi pagal ikimokyklinio </w:t>
            </w:r>
            <w:r w:rsidR="004B7769" w:rsidRPr="00B44B19">
              <w:rPr>
                <w:rFonts w:eastAsia="Times New Roman" w:cs="Times New Roman"/>
                <w:sz w:val="16"/>
                <w:szCs w:val="16"/>
                <w:lang w:eastAsia="lt-LT"/>
              </w:rPr>
              <w:t xml:space="preserve">ar priešmokyklinio </w:t>
            </w:r>
            <w:r w:rsidRPr="00B44B19">
              <w:rPr>
                <w:rFonts w:eastAsia="Times New Roman" w:cs="Times New Roman"/>
                <w:sz w:val="16"/>
                <w:szCs w:val="16"/>
                <w:lang w:eastAsia="lt-LT"/>
              </w:rPr>
              <w:t>ugdymo programas ne trumpiau kaip 6 mėn., dalis</w:t>
            </w:r>
          </w:p>
        </w:tc>
        <w:tc>
          <w:tcPr>
            <w:tcW w:w="328" w:type="pct"/>
            <w:tcBorders>
              <w:top w:val="single" w:sz="4" w:space="0" w:color="auto"/>
              <w:bottom w:val="single" w:sz="4" w:space="0" w:color="auto"/>
            </w:tcBorders>
          </w:tcPr>
          <w:p w14:paraId="3FA9189F"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55224F7F"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20509CC5"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4F9AFF0B"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80</w:t>
            </w:r>
          </w:p>
        </w:tc>
        <w:tc>
          <w:tcPr>
            <w:tcW w:w="328" w:type="pct"/>
            <w:tcBorders>
              <w:top w:val="single" w:sz="4" w:space="0" w:color="auto"/>
              <w:bottom w:val="single" w:sz="4" w:space="0" w:color="auto"/>
            </w:tcBorders>
          </w:tcPr>
          <w:p w14:paraId="08371BCC"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 </w:t>
            </w:r>
            <w:r w:rsidR="00A55A3C"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5320992"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4229EC28" w14:textId="77777777" w:rsidTr="00743681">
        <w:trPr>
          <w:trHeight w:val="419"/>
        </w:trPr>
        <w:tc>
          <w:tcPr>
            <w:tcW w:w="364" w:type="pct"/>
            <w:vMerge/>
          </w:tcPr>
          <w:p w14:paraId="1AD4A6B9"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6B0CC4B9"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63E3CBE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3512C0A0"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2B74943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3265DC04"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cs="Times New Roman"/>
                <w:sz w:val="16"/>
                <w:szCs w:val="16"/>
              </w:rPr>
              <w:t>Mokinių iš nepalankias sąlygas turinčių asmenų grupių, kuriems buvo skirta parama profesinio mokymo prieinamumui gerinti, dalis</w:t>
            </w:r>
          </w:p>
        </w:tc>
        <w:tc>
          <w:tcPr>
            <w:tcW w:w="328" w:type="pct"/>
            <w:tcBorders>
              <w:top w:val="single" w:sz="4" w:space="0" w:color="auto"/>
              <w:bottom w:val="single" w:sz="4" w:space="0" w:color="auto"/>
            </w:tcBorders>
          </w:tcPr>
          <w:p w14:paraId="08B6527C"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55870808"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384C0275"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57071D64"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4</w:t>
            </w:r>
          </w:p>
        </w:tc>
        <w:tc>
          <w:tcPr>
            <w:tcW w:w="328" w:type="pct"/>
            <w:tcBorders>
              <w:top w:val="single" w:sz="4" w:space="0" w:color="auto"/>
              <w:bottom w:val="single" w:sz="4" w:space="0" w:color="auto"/>
            </w:tcBorders>
          </w:tcPr>
          <w:p w14:paraId="46FF6BD4" w14:textId="77777777" w:rsidR="00743681" w:rsidRPr="00B44B19" w:rsidRDefault="00A55A3C"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FD89070"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79B3DE9A" w14:textId="77777777" w:rsidTr="00743681">
        <w:trPr>
          <w:trHeight w:val="543"/>
        </w:trPr>
        <w:tc>
          <w:tcPr>
            <w:tcW w:w="364" w:type="pct"/>
            <w:vMerge/>
          </w:tcPr>
          <w:p w14:paraId="5D55A1B5"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39297B2A"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0766CF0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0E201D8D"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011A68F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6D389A4C"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cs="Times New Roman"/>
                <w:sz w:val="16"/>
                <w:szCs w:val="16"/>
              </w:rPr>
              <w:t>Mokinių iš nepalankias sąlygas turinčių asmenų grupių, kuriems buvo skirta parama profesinio mokymo prieinamumui gerinti, dalis</w:t>
            </w:r>
          </w:p>
        </w:tc>
        <w:tc>
          <w:tcPr>
            <w:tcW w:w="328" w:type="pct"/>
            <w:tcBorders>
              <w:top w:val="single" w:sz="4" w:space="0" w:color="auto"/>
              <w:bottom w:val="single" w:sz="4" w:space="0" w:color="auto"/>
            </w:tcBorders>
          </w:tcPr>
          <w:p w14:paraId="2F845105"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0224F221"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5E699023"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12CB78BE"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4</w:t>
            </w:r>
          </w:p>
        </w:tc>
        <w:tc>
          <w:tcPr>
            <w:tcW w:w="328" w:type="pct"/>
            <w:tcBorders>
              <w:top w:val="single" w:sz="4" w:space="0" w:color="auto"/>
              <w:bottom w:val="single" w:sz="4" w:space="0" w:color="auto"/>
            </w:tcBorders>
          </w:tcPr>
          <w:p w14:paraId="22E3DC54" w14:textId="77777777" w:rsidR="00743681" w:rsidRPr="00B44B19" w:rsidRDefault="00A55A3C"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1A884B0C"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411B4ED0" w14:textId="77777777" w:rsidTr="00743681">
        <w:trPr>
          <w:trHeight w:val="539"/>
        </w:trPr>
        <w:tc>
          <w:tcPr>
            <w:tcW w:w="364" w:type="pct"/>
            <w:vMerge/>
          </w:tcPr>
          <w:p w14:paraId="046FB295"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4C22C2B0"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6C93BB7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7A8CBDA4"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045439F0"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2E3F5B52" w14:textId="77777777" w:rsidR="00743681" w:rsidRPr="00B44B19" w:rsidRDefault="00743681" w:rsidP="00743681">
            <w:pPr>
              <w:spacing w:after="0" w:line="240" w:lineRule="auto"/>
              <w:textAlignment w:val="baseline"/>
              <w:rPr>
                <w:rFonts w:eastAsia="Times New Roman" w:cs="Times New Roman"/>
                <w:sz w:val="16"/>
                <w:szCs w:val="16"/>
                <w:lang w:eastAsia="lt-LT"/>
              </w:rPr>
            </w:pPr>
            <w:r w:rsidRPr="00B44B19">
              <w:rPr>
                <w:rFonts w:cs="Times New Roman"/>
                <w:sz w:val="16"/>
                <w:szCs w:val="16"/>
              </w:rPr>
              <w:t>Socialiai jautrių, socialinės atskirties ir/ar mažai atstovaujamų grupių studentų, gavusių tikslinę išmoką studijų prieinamumui gerinti, dalis</w:t>
            </w:r>
          </w:p>
        </w:tc>
        <w:tc>
          <w:tcPr>
            <w:tcW w:w="328" w:type="pct"/>
            <w:tcBorders>
              <w:top w:val="single" w:sz="4" w:space="0" w:color="auto"/>
              <w:bottom w:val="single" w:sz="4" w:space="0" w:color="auto"/>
            </w:tcBorders>
          </w:tcPr>
          <w:p w14:paraId="4F9F15E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25192DB2" w14:textId="77777777" w:rsidR="00743681" w:rsidRPr="00B44B19" w:rsidRDefault="007A3BB4"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1,59</w:t>
            </w:r>
          </w:p>
        </w:tc>
        <w:tc>
          <w:tcPr>
            <w:tcW w:w="375" w:type="pct"/>
            <w:tcBorders>
              <w:top w:val="single" w:sz="4" w:space="0" w:color="auto"/>
              <w:bottom w:val="single" w:sz="4" w:space="0" w:color="auto"/>
            </w:tcBorders>
          </w:tcPr>
          <w:p w14:paraId="51FABE29"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1B5E0316"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1,29</w:t>
            </w:r>
          </w:p>
        </w:tc>
        <w:tc>
          <w:tcPr>
            <w:tcW w:w="328" w:type="pct"/>
            <w:tcBorders>
              <w:top w:val="single" w:sz="4" w:space="0" w:color="auto"/>
              <w:bottom w:val="single" w:sz="4" w:space="0" w:color="auto"/>
            </w:tcBorders>
          </w:tcPr>
          <w:p w14:paraId="00A934D1" w14:textId="77777777" w:rsidR="00743681" w:rsidRPr="00B44B19" w:rsidRDefault="00A55A3C"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65BF6E3"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r w:rsidR="00743681" w:rsidRPr="00B44B19" w14:paraId="4392F25C" w14:textId="77777777" w:rsidTr="00743681">
        <w:trPr>
          <w:trHeight w:val="707"/>
        </w:trPr>
        <w:tc>
          <w:tcPr>
            <w:tcW w:w="364" w:type="pct"/>
            <w:vMerge/>
          </w:tcPr>
          <w:p w14:paraId="4FAB599A"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c>
          <w:tcPr>
            <w:tcW w:w="328" w:type="pct"/>
            <w:vMerge/>
          </w:tcPr>
          <w:p w14:paraId="7B995331"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281" w:type="pct"/>
            <w:vMerge/>
          </w:tcPr>
          <w:p w14:paraId="44196E5E"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1EABF7D3"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64F0DCD"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219" w:type="pct"/>
            <w:tcBorders>
              <w:top w:val="single" w:sz="4" w:space="0" w:color="auto"/>
              <w:bottom w:val="single" w:sz="4" w:space="0" w:color="auto"/>
            </w:tcBorders>
          </w:tcPr>
          <w:p w14:paraId="61D15B7F" w14:textId="77777777" w:rsidR="00743681" w:rsidRPr="00B44B19" w:rsidRDefault="00743681" w:rsidP="00743681">
            <w:pPr>
              <w:spacing w:after="0" w:line="240" w:lineRule="auto"/>
              <w:textAlignment w:val="baseline"/>
              <w:rPr>
                <w:rFonts w:cs="Times New Roman"/>
                <w:sz w:val="16"/>
                <w:szCs w:val="16"/>
              </w:rPr>
            </w:pPr>
            <w:r w:rsidRPr="00B44B19">
              <w:rPr>
                <w:rFonts w:cs="Times New Roman"/>
                <w:sz w:val="16"/>
                <w:szCs w:val="16"/>
              </w:rPr>
              <w:t>Socialiai jautrių, socialinės atskirties ir/ar mažai atstovaujamų grupių studentų, gavusių tikslinę išmoką studijų prieinamumui gerinti, dalis</w:t>
            </w:r>
          </w:p>
        </w:tc>
        <w:tc>
          <w:tcPr>
            <w:tcW w:w="328" w:type="pct"/>
            <w:tcBorders>
              <w:top w:val="single" w:sz="4" w:space="0" w:color="auto"/>
              <w:bottom w:val="single" w:sz="4" w:space="0" w:color="auto"/>
            </w:tcBorders>
          </w:tcPr>
          <w:p w14:paraId="37AFF1CD" w14:textId="77777777" w:rsidR="00743681" w:rsidRPr="00B44B19" w:rsidRDefault="00743681"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73DC1711" w14:textId="77777777" w:rsidR="00743681" w:rsidRPr="00B44B19" w:rsidRDefault="007A3BB4"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1,59</w:t>
            </w:r>
          </w:p>
        </w:tc>
        <w:tc>
          <w:tcPr>
            <w:tcW w:w="375" w:type="pct"/>
            <w:tcBorders>
              <w:top w:val="single" w:sz="4" w:space="0" w:color="auto"/>
              <w:bottom w:val="single" w:sz="4" w:space="0" w:color="auto"/>
            </w:tcBorders>
          </w:tcPr>
          <w:p w14:paraId="5D6DDFF5"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5B35B2B6" w14:textId="77777777" w:rsidR="00743681" w:rsidRPr="00B44B19" w:rsidRDefault="00743681" w:rsidP="0074368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1,29</w:t>
            </w:r>
          </w:p>
        </w:tc>
        <w:tc>
          <w:tcPr>
            <w:tcW w:w="328" w:type="pct"/>
            <w:tcBorders>
              <w:top w:val="single" w:sz="4" w:space="0" w:color="auto"/>
              <w:bottom w:val="single" w:sz="4" w:space="0" w:color="auto"/>
            </w:tcBorders>
          </w:tcPr>
          <w:p w14:paraId="3615E1DC" w14:textId="77777777" w:rsidR="00743681" w:rsidRPr="00B44B19" w:rsidRDefault="00A55A3C" w:rsidP="0074368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086846D" w14:textId="77777777" w:rsidR="00743681" w:rsidRPr="00B44B19" w:rsidRDefault="00743681" w:rsidP="00743681">
            <w:pPr>
              <w:spacing w:after="0" w:line="240" w:lineRule="auto"/>
              <w:jc w:val="both"/>
              <w:textAlignment w:val="baseline"/>
              <w:rPr>
                <w:rFonts w:cs="Times New Roman"/>
                <w:color w:val="000000"/>
                <w:sz w:val="16"/>
                <w:szCs w:val="16"/>
                <w:shd w:val="clear" w:color="auto" w:fill="FFFFFF"/>
              </w:rPr>
            </w:pPr>
          </w:p>
        </w:tc>
      </w:tr>
    </w:tbl>
    <w:p w14:paraId="77688611" w14:textId="77777777" w:rsidR="005D02EB" w:rsidRPr="00B44B19" w:rsidRDefault="005D02EB" w:rsidP="00786CD2">
      <w:pPr>
        <w:spacing w:before="240" w:after="240" w:line="240" w:lineRule="auto"/>
        <w:jc w:val="both"/>
        <w:rPr>
          <w:rFonts w:eastAsia="Calibri" w:cs="Times New Roman"/>
          <w:b/>
          <w:noProof/>
          <w:szCs w:val="20"/>
          <w:lang w:eastAsia="lt-LT" w:bidi="lt-LT"/>
        </w:rPr>
        <w:sectPr w:rsidR="005D02EB" w:rsidRPr="00B44B19" w:rsidSect="00931C78">
          <w:pgSz w:w="16838" w:h="11906" w:orient="landscape"/>
          <w:pgMar w:top="1701" w:right="1276" w:bottom="567" w:left="1134" w:header="567" w:footer="567" w:gutter="0"/>
          <w:cols w:space="1296"/>
          <w:docGrid w:linePitch="360"/>
        </w:sectPr>
      </w:pPr>
    </w:p>
    <w:p w14:paraId="7FEC2CE3" w14:textId="77777777" w:rsidR="00786CD2" w:rsidRPr="00B44B19" w:rsidRDefault="00786CD2" w:rsidP="001E5B12">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743681" w:rsidRPr="00B44B19" w14:paraId="17476BAA" w14:textId="77777777" w:rsidTr="0074368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2830444" w14:textId="77777777" w:rsidR="00743681" w:rsidRPr="00B44B19" w:rsidRDefault="00743681" w:rsidP="00743681">
            <w:pPr>
              <w:rPr>
                <w:rFonts w:eastAsia="Times New Roman" w:cs="Times New Roman"/>
                <w:b/>
                <w:iCs/>
                <w:noProof/>
                <w:sz w:val="20"/>
              </w:rPr>
            </w:pPr>
            <w:r w:rsidRPr="00B44B19">
              <w:rPr>
                <w:rFonts w:cs="Times New Roman"/>
                <w:b/>
                <w:noProof/>
                <w:sz w:val="20"/>
              </w:rPr>
              <w:t>4 lentelė. 1 matmuo</w:t>
            </w:r>
            <w:r w:rsidR="001F6E55" w:rsidRPr="00B44B19">
              <w:rPr>
                <w:rFonts w:cs="Times New Roman"/>
                <w:b/>
                <w:noProof/>
                <w:sz w:val="20"/>
              </w:rPr>
              <w:t>:</w:t>
            </w:r>
            <w:r w:rsidRPr="00B44B19">
              <w:rPr>
                <w:rFonts w:cs="Times New Roman"/>
                <w:b/>
                <w:noProof/>
                <w:sz w:val="20"/>
              </w:rPr>
              <w:t xml:space="preserve"> </w:t>
            </w:r>
            <w:r w:rsidR="001F6E55" w:rsidRPr="00B44B19">
              <w:rPr>
                <w:rFonts w:cs="Times New Roman"/>
                <w:b/>
                <w:noProof/>
                <w:sz w:val="20"/>
              </w:rPr>
              <w:t>i</w:t>
            </w:r>
            <w:r w:rsidRPr="00B44B19">
              <w:rPr>
                <w:rFonts w:cs="Times New Roman"/>
                <w:b/>
                <w:noProof/>
                <w:sz w:val="20"/>
              </w:rPr>
              <w:t>ntervencinių priemonių sritis</w:t>
            </w:r>
          </w:p>
        </w:tc>
      </w:tr>
      <w:tr w:rsidR="00743681" w:rsidRPr="00B44B19" w14:paraId="77F1FB00"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FA0CC2" w14:textId="77777777" w:rsidR="00743681" w:rsidRPr="00B44B19" w:rsidRDefault="00743681" w:rsidP="0074368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C84A8F" w14:textId="77777777" w:rsidR="00743681" w:rsidRPr="00B44B19" w:rsidRDefault="00743681" w:rsidP="00743681">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E15938" w14:textId="77777777" w:rsidR="00743681" w:rsidRPr="00B44B19" w:rsidRDefault="00743681" w:rsidP="0074368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288A30" w14:textId="77777777" w:rsidR="00743681" w:rsidRPr="00B44B19" w:rsidRDefault="00743681" w:rsidP="00743681">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4A5343" w14:textId="77777777" w:rsidR="00743681" w:rsidRPr="00B44B19" w:rsidRDefault="00743681" w:rsidP="00743681">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692D0B" w14:textId="77777777" w:rsidR="00743681" w:rsidRPr="00B44B19" w:rsidRDefault="00743681" w:rsidP="00743681">
            <w:pPr>
              <w:jc w:val="center"/>
              <w:rPr>
                <w:rFonts w:eastAsia="Times New Roman" w:cs="Times New Roman"/>
                <w:b/>
                <w:iCs/>
                <w:noProof/>
                <w:sz w:val="20"/>
              </w:rPr>
            </w:pPr>
            <w:r w:rsidRPr="00B44B19">
              <w:rPr>
                <w:rFonts w:cs="Times New Roman"/>
                <w:b/>
                <w:noProof/>
                <w:sz w:val="20"/>
              </w:rPr>
              <w:t>Suma (EUR)</w:t>
            </w:r>
          </w:p>
        </w:tc>
      </w:tr>
      <w:tr w:rsidR="00743681" w:rsidRPr="00B44B19" w14:paraId="4F022C1D" w14:textId="77777777" w:rsidTr="00E648BD">
        <w:tc>
          <w:tcPr>
            <w:tcW w:w="1101" w:type="dxa"/>
            <w:vMerge w:val="restart"/>
            <w:tcBorders>
              <w:top w:val="single" w:sz="12" w:space="0" w:color="auto"/>
            </w:tcBorders>
          </w:tcPr>
          <w:p w14:paraId="19372072" w14:textId="77777777" w:rsidR="00743681" w:rsidRPr="00B44B19" w:rsidRDefault="00743681" w:rsidP="0074368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72E46930" w14:textId="77777777" w:rsidR="00743681" w:rsidRPr="00B44B19" w:rsidRDefault="00743681" w:rsidP="0074368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E648BD"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3FA443FC" w14:textId="77777777" w:rsidR="00743681" w:rsidRPr="00B44B19" w:rsidRDefault="00743681"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1BD0E39B" w14:textId="77777777" w:rsidR="00743681" w:rsidRPr="00B44B19" w:rsidRDefault="00743681" w:rsidP="0074368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4.3</w:t>
            </w:r>
          </w:p>
        </w:tc>
        <w:tc>
          <w:tcPr>
            <w:tcW w:w="3827" w:type="dxa"/>
            <w:vMerge w:val="restart"/>
            <w:tcBorders>
              <w:top w:val="single" w:sz="12" w:space="0" w:color="auto"/>
            </w:tcBorders>
          </w:tcPr>
          <w:p w14:paraId="37B8689B" w14:textId="77777777" w:rsidR="00743681" w:rsidRPr="00B44B19" w:rsidRDefault="00743681" w:rsidP="00E648BD">
            <w:pPr>
              <w:textAlignment w:val="baseline"/>
              <w:rPr>
                <w:rFonts w:eastAsia="Times New Roman" w:cs="Times New Roman"/>
                <w:sz w:val="20"/>
                <w:szCs w:val="20"/>
                <w:lang w:eastAsia="lt-LT"/>
              </w:rPr>
            </w:pPr>
            <w:r w:rsidRPr="00B44B19">
              <w:rPr>
                <w:rFonts w:eastAsia="Times New Roman" w:cs="Times New Roman"/>
                <w:sz w:val="20"/>
                <w:szCs w:val="20"/>
                <w:lang w:eastAsia="lt-LT"/>
              </w:rPr>
              <w:t>14</w:t>
            </w:r>
            <w:r w:rsidR="00E648BD" w:rsidRPr="00B44B19">
              <w:rPr>
                <w:rFonts w:eastAsia="Times New Roman" w:cs="Times New Roman"/>
                <w:sz w:val="20"/>
                <w:szCs w:val="20"/>
                <w:lang w:eastAsia="lt-LT"/>
              </w:rPr>
              <w:t xml:space="preserve">8 </w:t>
            </w:r>
            <w:r w:rsidR="00853B4B" w:rsidRPr="00B44B19">
              <w:rPr>
                <w:rFonts w:eastAsia="Times New Roman" w:cs="Times New Roman"/>
                <w:sz w:val="20"/>
                <w:szCs w:val="20"/>
                <w:lang w:eastAsia="lt-LT"/>
              </w:rPr>
              <w:t>–</w:t>
            </w:r>
            <w:r w:rsidR="00E648BD" w:rsidRPr="00B44B19">
              <w:rPr>
                <w:rFonts w:eastAsia="Times New Roman" w:cs="Times New Roman"/>
                <w:sz w:val="20"/>
                <w:szCs w:val="20"/>
                <w:lang w:eastAsia="lt-LT"/>
              </w:rPr>
              <w:t xml:space="preserve"> Parama ikimokykliniam ugdymui ir priežiūrai (išskyrus infrastruktūrą)</w:t>
            </w:r>
          </w:p>
        </w:tc>
        <w:tc>
          <w:tcPr>
            <w:tcW w:w="1559" w:type="dxa"/>
            <w:tcBorders>
              <w:top w:val="single" w:sz="12" w:space="0" w:color="auto"/>
              <w:bottom w:val="single" w:sz="4" w:space="0" w:color="auto"/>
            </w:tcBorders>
          </w:tcPr>
          <w:p w14:paraId="3891DE19"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4 910 062,00</w:t>
            </w:r>
          </w:p>
        </w:tc>
      </w:tr>
      <w:tr w:rsidR="00743681" w:rsidRPr="00B44B19" w14:paraId="3377EF45" w14:textId="77777777" w:rsidTr="00E648BD">
        <w:tc>
          <w:tcPr>
            <w:tcW w:w="1101" w:type="dxa"/>
            <w:vMerge/>
          </w:tcPr>
          <w:p w14:paraId="216335DF" w14:textId="77777777" w:rsidR="00743681" w:rsidRPr="00B44B19" w:rsidRDefault="00743681" w:rsidP="00743681">
            <w:pPr>
              <w:jc w:val="center"/>
              <w:textAlignment w:val="baseline"/>
              <w:rPr>
                <w:rFonts w:eastAsia="Times New Roman" w:cs="Times New Roman"/>
                <w:sz w:val="20"/>
                <w:szCs w:val="20"/>
                <w:lang w:eastAsia="lt-LT"/>
              </w:rPr>
            </w:pPr>
          </w:p>
        </w:tc>
        <w:tc>
          <w:tcPr>
            <w:tcW w:w="850" w:type="dxa"/>
            <w:vMerge/>
          </w:tcPr>
          <w:p w14:paraId="76165D9C" w14:textId="77777777" w:rsidR="00743681" w:rsidRPr="00B44B19"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53123350" w14:textId="77777777" w:rsidR="00743681" w:rsidRPr="00B44B19" w:rsidRDefault="00743681"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7C4777D3" w14:textId="77777777" w:rsidR="00743681" w:rsidRPr="00B44B19" w:rsidRDefault="00743681" w:rsidP="00743681">
            <w:pPr>
              <w:jc w:val="center"/>
              <w:textAlignment w:val="baseline"/>
              <w:rPr>
                <w:rFonts w:eastAsia="Times New Roman" w:cs="Times New Roman"/>
                <w:sz w:val="20"/>
                <w:szCs w:val="20"/>
                <w:lang w:eastAsia="lt-LT"/>
              </w:rPr>
            </w:pPr>
          </w:p>
        </w:tc>
        <w:tc>
          <w:tcPr>
            <w:tcW w:w="3827" w:type="dxa"/>
            <w:vMerge/>
            <w:tcBorders>
              <w:bottom w:val="single" w:sz="4" w:space="0" w:color="auto"/>
            </w:tcBorders>
          </w:tcPr>
          <w:p w14:paraId="5CCCCBD7" w14:textId="77777777" w:rsidR="00743681" w:rsidRPr="00B44B19" w:rsidRDefault="00743681" w:rsidP="00E648BD">
            <w:pPr>
              <w:textAlignment w:val="baseline"/>
              <w:rPr>
                <w:rFonts w:eastAsia="Times New Roman" w:cs="Times New Roman"/>
                <w:sz w:val="20"/>
                <w:szCs w:val="20"/>
                <w:lang w:eastAsia="lt-LT"/>
              </w:rPr>
            </w:pPr>
          </w:p>
        </w:tc>
        <w:tc>
          <w:tcPr>
            <w:tcW w:w="1559" w:type="dxa"/>
            <w:tcBorders>
              <w:top w:val="single" w:sz="4" w:space="0" w:color="auto"/>
              <w:bottom w:val="single" w:sz="4" w:space="0" w:color="auto"/>
            </w:tcBorders>
          </w:tcPr>
          <w:p w14:paraId="37B4F06A" w14:textId="77777777" w:rsidR="00743681" w:rsidRPr="00B44B19" w:rsidRDefault="00C82D2E"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60 209 916,00</w:t>
            </w:r>
          </w:p>
        </w:tc>
      </w:tr>
      <w:tr w:rsidR="00743681" w:rsidRPr="00B44B19" w14:paraId="750BD800" w14:textId="77777777" w:rsidTr="00E648BD">
        <w:tc>
          <w:tcPr>
            <w:tcW w:w="1101" w:type="dxa"/>
            <w:vMerge/>
          </w:tcPr>
          <w:p w14:paraId="1B22FEF6" w14:textId="77777777" w:rsidR="00743681" w:rsidRPr="00B44B19" w:rsidRDefault="00743681" w:rsidP="00743681">
            <w:pPr>
              <w:jc w:val="center"/>
              <w:textAlignment w:val="baseline"/>
              <w:rPr>
                <w:rFonts w:eastAsia="Times New Roman" w:cs="Times New Roman"/>
                <w:sz w:val="20"/>
                <w:szCs w:val="20"/>
                <w:lang w:eastAsia="lt-LT"/>
              </w:rPr>
            </w:pPr>
          </w:p>
        </w:tc>
        <w:tc>
          <w:tcPr>
            <w:tcW w:w="850" w:type="dxa"/>
            <w:vMerge/>
          </w:tcPr>
          <w:p w14:paraId="289BF57E" w14:textId="77777777" w:rsidR="00743681" w:rsidRPr="00B44B19"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02259940" w14:textId="77777777" w:rsidR="00743681" w:rsidRPr="00B44B19" w:rsidRDefault="00743681"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7774E1BF" w14:textId="77777777" w:rsidR="00743681" w:rsidRPr="00B44B19" w:rsidRDefault="00743681" w:rsidP="00743681">
            <w:pPr>
              <w:jc w:val="center"/>
              <w:textAlignment w:val="baseline"/>
              <w:rPr>
                <w:rFonts w:eastAsia="Times New Roman" w:cs="Times New Roman"/>
                <w:sz w:val="20"/>
                <w:szCs w:val="20"/>
                <w:lang w:eastAsia="lt-LT"/>
              </w:rPr>
            </w:pPr>
          </w:p>
        </w:tc>
        <w:tc>
          <w:tcPr>
            <w:tcW w:w="3827" w:type="dxa"/>
            <w:vMerge w:val="restart"/>
          </w:tcPr>
          <w:p w14:paraId="5A0550C0" w14:textId="77777777" w:rsidR="00743681" w:rsidRPr="00B44B19" w:rsidRDefault="00743681" w:rsidP="00E648BD">
            <w:pPr>
              <w:textAlignment w:val="baseline"/>
              <w:rPr>
                <w:rFonts w:eastAsia="Times New Roman" w:cs="Times New Roman"/>
                <w:sz w:val="20"/>
                <w:szCs w:val="20"/>
                <w:lang w:eastAsia="lt-LT"/>
              </w:rPr>
            </w:pPr>
            <w:r w:rsidRPr="00B44B19">
              <w:rPr>
                <w:rFonts w:eastAsia="Times New Roman" w:cs="Times New Roman"/>
                <w:sz w:val="20"/>
                <w:szCs w:val="20"/>
                <w:lang w:eastAsia="lt-LT"/>
              </w:rPr>
              <w:t>14</w:t>
            </w:r>
            <w:r w:rsidR="00E648BD" w:rsidRPr="00B44B19">
              <w:rPr>
                <w:rFonts w:eastAsia="Times New Roman" w:cs="Times New Roman"/>
                <w:sz w:val="20"/>
                <w:szCs w:val="20"/>
                <w:lang w:eastAsia="lt-LT"/>
              </w:rPr>
              <w:t xml:space="preserve">9 </w:t>
            </w:r>
            <w:r w:rsidR="00853B4B" w:rsidRPr="00B44B19">
              <w:rPr>
                <w:rFonts w:eastAsia="Times New Roman" w:cs="Times New Roman"/>
                <w:sz w:val="20"/>
                <w:szCs w:val="20"/>
                <w:lang w:eastAsia="lt-LT"/>
              </w:rPr>
              <w:t>–</w:t>
            </w:r>
            <w:r w:rsidR="00E648BD" w:rsidRPr="00B44B19">
              <w:rPr>
                <w:rFonts w:eastAsia="Times New Roman" w:cs="Times New Roman"/>
                <w:sz w:val="20"/>
                <w:szCs w:val="20"/>
                <w:lang w:eastAsia="lt-LT"/>
              </w:rPr>
              <w:t xml:space="preserve"> Parama pradiniam ir pagrindiniam ugdymui (išskyrus infrastruktūrą)</w:t>
            </w:r>
          </w:p>
        </w:tc>
        <w:tc>
          <w:tcPr>
            <w:tcW w:w="1559" w:type="dxa"/>
            <w:tcBorders>
              <w:top w:val="single" w:sz="4" w:space="0" w:color="auto"/>
              <w:bottom w:val="single" w:sz="4" w:space="0" w:color="auto"/>
            </w:tcBorders>
          </w:tcPr>
          <w:p w14:paraId="18F7C9F7"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3 160 000,00</w:t>
            </w:r>
          </w:p>
        </w:tc>
      </w:tr>
      <w:tr w:rsidR="00743681" w:rsidRPr="00B44B19" w14:paraId="3A98D622" w14:textId="77777777" w:rsidTr="00E648BD">
        <w:tc>
          <w:tcPr>
            <w:tcW w:w="1101" w:type="dxa"/>
            <w:vMerge/>
          </w:tcPr>
          <w:p w14:paraId="626A7EF2" w14:textId="77777777" w:rsidR="00743681" w:rsidRPr="00B44B19" w:rsidRDefault="00743681" w:rsidP="00743681">
            <w:pPr>
              <w:jc w:val="center"/>
              <w:textAlignment w:val="baseline"/>
              <w:rPr>
                <w:rFonts w:eastAsia="Times New Roman" w:cs="Times New Roman"/>
                <w:sz w:val="20"/>
                <w:szCs w:val="20"/>
                <w:lang w:eastAsia="lt-LT"/>
              </w:rPr>
            </w:pPr>
          </w:p>
        </w:tc>
        <w:tc>
          <w:tcPr>
            <w:tcW w:w="850" w:type="dxa"/>
            <w:vMerge/>
          </w:tcPr>
          <w:p w14:paraId="2A94E900" w14:textId="77777777" w:rsidR="00743681" w:rsidRPr="00B44B19"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2DBB6BBC" w14:textId="77777777" w:rsidR="00743681" w:rsidRPr="00B44B19" w:rsidRDefault="00743681"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A20D0C2" w14:textId="77777777" w:rsidR="00743681" w:rsidRPr="00B44B19" w:rsidRDefault="00743681" w:rsidP="00743681">
            <w:pPr>
              <w:jc w:val="center"/>
              <w:textAlignment w:val="baseline"/>
              <w:rPr>
                <w:rFonts w:eastAsia="Times New Roman" w:cs="Times New Roman"/>
                <w:sz w:val="20"/>
                <w:szCs w:val="20"/>
                <w:lang w:eastAsia="lt-LT"/>
              </w:rPr>
            </w:pPr>
          </w:p>
        </w:tc>
        <w:tc>
          <w:tcPr>
            <w:tcW w:w="3827" w:type="dxa"/>
            <w:vMerge/>
            <w:tcBorders>
              <w:bottom w:val="single" w:sz="4" w:space="0" w:color="auto"/>
            </w:tcBorders>
          </w:tcPr>
          <w:p w14:paraId="27F56491" w14:textId="77777777" w:rsidR="00743681" w:rsidRPr="00B44B19" w:rsidRDefault="00743681" w:rsidP="00E648BD">
            <w:pPr>
              <w:textAlignment w:val="baseline"/>
              <w:rPr>
                <w:rFonts w:eastAsia="Times New Roman" w:cs="Times New Roman"/>
                <w:sz w:val="20"/>
                <w:szCs w:val="20"/>
                <w:lang w:eastAsia="lt-LT"/>
              </w:rPr>
            </w:pPr>
          </w:p>
        </w:tc>
        <w:tc>
          <w:tcPr>
            <w:tcW w:w="1559" w:type="dxa"/>
            <w:tcBorders>
              <w:top w:val="single" w:sz="4" w:space="0" w:color="auto"/>
              <w:bottom w:val="single" w:sz="4" w:space="0" w:color="auto"/>
            </w:tcBorders>
          </w:tcPr>
          <w:p w14:paraId="0C1FCA19" w14:textId="77777777" w:rsidR="00743681" w:rsidRPr="00B44B19" w:rsidRDefault="00C82D2E"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44 637 628,00</w:t>
            </w:r>
          </w:p>
        </w:tc>
      </w:tr>
      <w:tr w:rsidR="00743681" w:rsidRPr="00B44B19" w14:paraId="28DAED86" w14:textId="77777777" w:rsidTr="00E648BD">
        <w:tc>
          <w:tcPr>
            <w:tcW w:w="1101" w:type="dxa"/>
            <w:vMerge/>
          </w:tcPr>
          <w:p w14:paraId="145BA0E9" w14:textId="77777777" w:rsidR="00743681" w:rsidRPr="00B44B19" w:rsidRDefault="00743681" w:rsidP="00743681">
            <w:pPr>
              <w:jc w:val="center"/>
              <w:textAlignment w:val="baseline"/>
              <w:rPr>
                <w:rFonts w:eastAsia="Times New Roman" w:cs="Times New Roman"/>
                <w:sz w:val="20"/>
                <w:szCs w:val="20"/>
                <w:lang w:eastAsia="lt-LT"/>
              </w:rPr>
            </w:pPr>
          </w:p>
        </w:tc>
        <w:tc>
          <w:tcPr>
            <w:tcW w:w="850" w:type="dxa"/>
            <w:vMerge/>
          </w:tcPr>
          <w:p w14:paraId="1A38B3DC" w14:textId="77777777" w:rsidR="00743681" w:rsidRPr="00B44B19"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bottom w:val="single" w:sz="4" w:space="0" w:color="auto"/>
            </w:tcBorders>
          </w:tcPr>
          <w:p w14:paraId="0C58AEA8" w14:textId="77777777" w:rsidR="00743681" w:rsidRPr="00B44B19" w:rsidRDefault="00743681"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41310B31" w14:textId="77777777" w:rsidR="00743681" w:rsidRPr="00B44B19" w:rsidRDefault="00743681" w:rsidP="00743681">
            <w:pPr>
              <w:jc w:val="center"/>
              <w:textAlignment w:val="baseline"/>
              <w:rPr>
                <w:rFonts w:eastAsia="Times New Roman" w:cs="Times New Roman"/>
                <w:sz w:val="20"/>
                <w:szCs w:val="20"/>
                <w:lang w:eastAsia="lt-LT"/>
              </w:rPr>
            </w:pPr>
          </w:p>
        </w:tc>
        <w:tc>
          <w:tcPr>
            <w:tcW w:w="3827" w:type="dxa"/>
            <w:vMerge w:val="restart"/>
            <w:tcBorders>
              <w:top w:val="single" w:sz="4" w:space="0" w:color="auto"/>
            </w:tcBorders>
          </w:tcPr>
          <w:p w14:paraId="11873E6E" w14:textId="77777777" w:rsidR="00743681" w:rsidRPr="00B44B19" w:rsidRDefault="00743681" w:rsidP="00E648BD">
            <w:pPr>
              <w:textAlignment w:val="baseline"/>
              <w:rPr>
                <w:rFonts w:eastAsia="Times New Roman" w:cs="Times New Roman"/>
                <w:sz w:val="20"/>
                <w:szCs w:val="20"/>
                <w:lang w:eastAsia="lt-LT"/>
              </w:rPr>
            </w:pPr>
            <w:r w:rsidRPr="00B44B19">
              <w:rPr>
                <w:rFonts w:eastAsia="Times New Roman" w:cs="Times New Roman"/>
                <w:sz w:val="20"/>
                <w:szCs w:val="20"/>
                <w:lang w:eastAsia="lt-LT"/>
              </w:rPr>
              <w:t>1</w:t>
            </w:r>
            <w:r w:rsidR="00E648BD" w:rsidRPr="00B44B19">
              <w:rPr>
                <w:rFonts w:eastAsia="Times New Roman" w:cs="Times New Roman"/>
                <w:sz w:val="20"/>
                <w:szCs w:val="20"/>
                <w:lang w:eastAsia="lt-LT"/>
              </w:rPr>
              <w:t xml:space="preserve">50 </w:t>
            </w:r>
            <w:r w:rsidR="00853B4B" w:rsidRPr="00B44B19">
              <w:rPr>
                <w:rFonts w:eastAsia="Times New Roman" w:cs="Times New Roman"/>
                <w:sz w:val="20"/>
                <w:szCs w:val="20"/>
                <w:lang w:eastAsia="lt-LT"/>
              </w:rPr>
              <w:t>–</w:t>
            </w:r>
            <w:r w:rsidR="00E648BD" w:rsidRPr="00B44B19">
              <w:rPr>
                <w:rFonts w:eastAsia="Times New Roman" w:cs="Times New Roman"/>
                <w:sz w:val="20"/>
                <w:szCs w:val="20"/>
                <w:lang w:eastAsia="lt-LT"/>
              </w:rPr>
              <w:t xml:space="preserve"> Parama tretiniam mokslui (išskyrus infrastruktūrą)</w:t>
            </w:r>
          </w:p>
        </w:tc>
        <w:tc>
          <w:tcPr>
            <w:tcW w:w="1559" w:type="dxa"/>
            <w:tcBorders>
              <w:top w:val="single" w:sz="4" w:space="0" w:color="auto"/>
              <w:bottom w:val="single" w:sz="4" w:space="0" w:color="auto"/>
            </w:tcBorders>
          </w:tcPr>
          <w:p w14:paraId="0C72BD75"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1 323 938,00</w:t>
            </w:r>
          </w:p>
        </w:tc>
      </w:tr>
      <w:tr w:rsidR="00743681" w:rsidRPr="00B44B19" w14:paraId="64AA4399" w14:textId="77777777" w:rsidTr="00E648BD">
        <w:tc>
          <w:tcPr>
            <w:tcW w:w="1101" w:type="dxa"/>
            <w:vMerge/>
          </w:tcPr>
          <w:p w14:paraId="71D6F41C" w14:textId="77777777" w:rsidR="00743681" w:rsidRPr="00B44B19" w:rsidRDefault="00743681" w:rsidP="00743681">
            <w:pPr>
              <w:jc w:val="center"/>
              <w:textAlignment w:val="baseline"/>
              <w:rPr>
                <w:rFonts w:eastAsia="Times New Roman" w:cs="Times New Roman"/>
                <w:sz w:val="20"/>
                <w:szCs w:val="20"/>
                <w:lang w:eastAsia="lt-LT"/>
              </w:rPr>
            </w:pPr>
          </w:p>
        </w:tc>
        <w:tc>
          <w:tcPr>
            <w:tcW w:w="850" w:type="dxa"/>
            <w:vMerge/>
          </w:tcPr>
          <w:p w14:paraId="5E5FCC7B" w14:textId="77777777" w:rsidR="00743681" w:rsidRPr="00B44B19" w:rsidRDefault="00743681" w:rsidP="00743681">
            <w:pPr>
              <w:jc w:val="center"/>
              <w:textAlignment w:val="baseline"/>
              <w:rPr>
                <w:rFonts w:eastAsia="Times New Roman" w:cs="Times New Roman"/>
                <w:sz w:val="20"/>
                <w:szCs w:val="20"/>
                <w:lang w:eastAsia="lt-LT"/>
              </w:rPr>
            </w:pPr>
          </w:p>
        </w:tc>
        <w:tc>
          <w:tcPr>
            <w:tcW w:w="1418" w:type="dxa"/>
            <w:tcBorders>
              <w:top w:val="single" w:sz="4" w:space="0" w:color="auto"/>
            </w:tcBorders>
          </w:tcPr>
          <w:p w14:paraId="1C3483B2" w14:textId="77777777" w:rsidR="00743681" w:rsidRPr="00B44B19" w:rsidRDefault="00743681" w:rsidP="0074368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25AD048E" w14:textId="77777777" w:rsidR="00743681" w:rsidRPr="00B44B19" w:rsidRDefault="00743681" w:rsidP="00743681">
            <w:pPr>
              <w:jc w:val="center"/>
              <w:textAlignment w:val="baseline"/>
              <w:rPr>
                <w:rFonts w:eastAsia="Times New Roman" w:cs="Times New Roman"/>
                <w:sz w:val="20"/>
                <w:szCs w:val="20"/>
                <w:lang w:eastAsia="lt-LT"/>
              </w:rPr>
            </w:pPr>
          </w:p>
        </w:tc>
        <w:tc>
          <w:tcPr>
            <w:tcW w:w="3827" w:type="dxa"/>
            <w:vMerge/>
          </w:tcPr>
          <w:p w14:paraId="79947A99" w14:textId="77777777" w:rsidR="00743681" w:rsidRPr="00B44B19" w:rsidRDefault="00743681" w:rsidP="00743681">
            <w:pPr>
              <w:jc w:val="center"/>
              <w:textAlignment w:val="baseline"/>
              <w:rPr>
                <w:rFonts w:eastAsia="Times New Roman" w:cs="Times New Roman"/>
                <w:sz w:val="20"/>
                <w:szCs w:val="20"/>
                <w:lang w:eastAsia="lt-LT"/>
              </w:rPr>
            </w:pPr>
          </w:p>
        </w:tc>
        <w:tc>
          <w:tcPr>
            <w:tcW w:w="1559" w:type="dxa"/>
            <w:tcBorders>
              <w:top w:val="single" w:sz="4" w:space="0" w:color="auto"/>
            </w:tcBorders>
          </w:tcPr>
          <w:p w14:paraId="50303691"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11 166 041,00</w:t>
            </w:r>
          </w:p>
        </w:tc>
      </w:tr>
    </w:tbl>
    <w:p w14:paraId="72F02623" w14:textId="77777777" w:rsidR="00743681" w:rsidRPr="00B44B19" w:rsidRDefault="00743681" w:rsidP="00C4496A">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RPr="00B44B19" w14:paraId="07BAC67D"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1F3F997" w14:textId="77777777" w:rsidR="0066383D" w:rsidRPr="00B44B19" w:rsidRDefault="0066383D" w:rsidP="00897CCA">
            <w:pPr>
              <w:rPr>
                <w:rFonts w:eastAsia="Times New Roman" w:cs="Times New Roman"/>
                <w:b/>
                <w:iCs/>
                <w:noProof/>
                <w:sz w:val="20"/>
              </w:rPr>
            </w:pPr>
            <w:r w:rsidRPr="00B44B19">
              <w:rPr>
                <w:rFonts w:cs="Times New Roman"/>
                <w:b/>
                <w:noProof/>
                <w:sz w:val="20"/>
              </w:rPr>
              <w:t>5 lentelė. 2 matmuo</w:t>
            </w:r>
            <w:r w:rsidR="001F6E55" w:rsidRPr="00B44B19">
              <w:rPr>
                <w:rFonts w:cs="Times New Roman"/>
                <w:b/>
                <w:noProof/>
                <w:sz w:val="20"/>
              </w:rPr>
              <w:t>:</w:t>
            </w:r>
            <w:r w:rsidRPr="00B44B19">
              <w:rPr>
                <w:rFonts w:cs="Times New Roman"/>
                <w:b/>
                <w:noProof/>
                <w:sz w:val="20"/>
              </w:rPr>
              <w:t xml:space="preserve"> </w:t>
            </w:r>
            <w:r w:rsidR="001F6E55" w:rsidRPr="00B44B19">
              <w:rPr>
                <w:rFonts w:cs="Times New Roman"/>
                <w:b/>
                <w:noProof/>
                <w:sz w:val="20"/>
              </w:rPr>
              <w:t>f</w:t>
            </w:r>
            <w:r w:rsidR="00897CCA" w:rsidRPr="00B44B19">
              <w:rPr>
                <w:rFonts w:cs="Times New Roman"/>
                <w:b/>
                <w:noProof/>
                <w:sz w:val="20"/>
              </w:rPr>
              <w:t>inansavimo</w:t>
            </w:r>
            <w:r w:rsidR="008626C9" w:rsidRPr="00B44B19">
              <w:rPr>
                <w:rFonts w:cs="Times New Roman"/>
                <w:b/>
                <w:noProof/>
                <w:sz w:val="20"/>
              </w:rPr>
              <w:t xml:space="preserve"> </w:t>
            </w:r>
            <w:r w:rsidRPr="00B44B19">
              <w:rPr>
                <w:rFonts w:cs="Times New Roman"/>
                <w:b/>
                <w:noProof/>
                <w:sz w:val="20"/>
              </w:rPr>
              <w:t>forma</w:t>
            </w:r>
          </w:p>
        </w:tc>
      </w:tr>
      <w:tr w:rsidR="0066383D" w:rsidRPr="00B44B19" w14:paraId="0C53A80A"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5D587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17C0C3"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AC6E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BC733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9CD7C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0EBC1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43681" w:rsidRPr="00B44B19" w14:paraId="2B25A39D" w14:textId="77777777" w:rsidTr="00E648BD">
        <w:tc>
          <w:tcPr>
            <w:tcW w:w="1101" w:type="dxa"/>
            <w:vMerge w:val="restart"/>
            <w:tcBorders>
              <w:top w:val="single" w:sz="12" w:space="0" w:color="auto"/>
            </w:tcBorders>
          </w:tcPr>
          <w:p w14:paraId="006232B9" w14:textId="77777777" w:rsidR="00743681" w:rsidRPr="00B44B19" w:rsidRDefault="00743681" w:rsidP="00D543AC">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52408154" w14:textId="77777777" w:rsidR="00743681" w:rsidRPr="00B44B19" w:rsidRDefault="00743681" w:rsidP="00D543AC">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E648BD"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0FAE4E1C" w14:textId="77777777" w:rsidR="00743681" w:rsidRPr="00B44B19" w:rsidRDefault="0074368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2CF73AD3" w14:textId="77777777" w:rsidR="00743681" w:rsidRPr="00B44B19" w:rsidRDefault="00743681" w:rsidP="00CF15C2">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4.3</w:t>
            </w:r>
          </w:p>
        </w:tc>
        <w:tc>
          <w:tcPr>
            <w:tcW w:w="3827" w:type="dxa"/>
            <w:vMerge w:val="restart"/>
            <w:tcBorders>
              <w:top w:val="single" w:sz="12" w:space="0" w:color="auto"/>
            </w:tcBorders>
          </w:tcPr>
          <w:p w14:paraId="23988267" w14:textId="77777777" w:rsidR="00743681" w:rsidRPr="00B44B19" w:rsidRDefault="00743681" w:rsidP="00E648BD">
            <w:pPr>
              <w:textAlignment w:val="baseline"/>
              <w:rPr>
                <w:rFonts w:eastAsia="Times New Roman" w:cs="Times New Roman"/>
                <w:sz w:val="20"/>
                <w:szCs w:val="20"/>
                <w:lang w:eastAsia="lt-LT"/>
              </w:rPr>
            </w:pPr>
            <w:r w:rsidRPr="00B44B19">
              <w:rPr>
                <w:rFonts w:eastAsia="Times New Roman" w:cs="Times New Roman"/>
                <w:sz w:val="20"/>
                <w:szCs w:val="20"/>
                <w:lang w:eastAsia="lt-LT"/>
              </w:rPr>
              <w:t>01</w:t>
            </w:r>
            <w:r w:rsidR="00E648BD" w:rsidRPr="00B44B19">
              <w:rPr>
                <w:rFonts w:eastAsia="Times New Roman" w:cs="Times New Roman"/>
                <w:sz w:val="20"/>
                <w:szCs w:val="20"/>
                <w:lang w:eastAsia="lt-LT"/>
              </w:rPr>
              <w:t xml:space="preserve"> </w:t>
            </w:r>
            <w:r w:rsidR="00853B4B" w:rsidRPr="00B44B19">
              <w:rPr>
                <w:rFonts w:eastAsia="Times New Roman" w:cs="Times New Roman"/>
                <w:sz w:val="20"/>
                <w:szCs w:val="20"/>
                <w:lang w:eastAsia="lt-LT"/>
              </w:rPr>
              <w:t>–</w:t>
            </w:r>
            <w:r w:rsidR="00E648BD" w:rsidRPr="00B44B19">
              <w:rPr>
                <w:rFonts w:eastAsia="Times New Roman" w:cs="Times New Roman"/>
                <w:sz w:val="20"/>
                <w:szCs w:val="20"/>
                <w:lang w:eastAsia="lt-LT"/>
              </w:rPr>
              <w:t xml:space="preserve"> Dotacija</w:t>
            </w:r>
          </w:p>
        </w:tc>
        <w:tc>
          <w:tcPr>
            <w:tcW w:w="1559" w:type="dxa"/>
            <w:tcBorders>
              <w:top w:val="single" w:sz="12" w:space="0" w:color="auto"/>
              <w:bottom w:val="single" w:sz="4" w:space="0" w:color="auto"/>
            </w:tcBorders>
          </w:tcPr>
          <w:p w14:paraId="2CCF636A"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9 394 000,00</w:t>
            </w:r>
          </w:p>
        </w:tc>
      </w:tr>
      <w:tr w:rsidR="00743681" w:rsidRPr="00B44B19" w14:paraId="4F4AEABF" w14:textId="77777777" w:rsidTr="00E648BD">
        <w:tc>
          <w:tcPr>
            <w:tcW w:w="1101" w:type="dxa"/>
            <w:vMerge/>
          </w:tcPr>
          <w:p w14:paraId="5E028A29" w14:textId="77777777" w:rsidR="00743681" w:rsidRPr="00B44B19" w:rsidRDefault="00743681" w:rsidP="00AF4D6B">
            <w:pPr>
              <w:textAlignment w:val="baseline"/>
              <w:rPr>
                <w:rFonts w:eastAsia="Times New Roman" w:cs="Times New Roman"/>
                <w:sz w:val="20"/>
                <w:szCs w:val="20"/>
                <w:lang w:eastAsia="lt-LT"/>
              </w:rPr>
            </w:pPr>
          </w:p>
        </w:tc>
        <w:tc>
          <w:tcPr>
            <w:tcW w:w="850" w:type="dxa"/>
            <w:vMerge/>
          </w:tcPr>
          <w:p w14:paraId="227B35B7" w14:textId="77777777" w:rsidR="00743681" w:rsidRPr="00B44B19" w:rsidRDefault="00743681" w:rsidP="00AF4D6B">
            <w:pPr>
              <w:textAlignment w:val="baseline"/>
              <w:rPr>
                <w:rFonts w:eastAsia="Times New Roman" w:cs="Times New Roman"/>
                <w:sz w:val="20"/>
                <w:szCs w:val="20"/>
                <w:lang w:eastAsia="lt-LT"/>
              </w:rPr>
            </w:pPr>
          </w:p>
        </w:tc>
        <w:tc>
          <w:tcPr>
            <w:tcW w:w="1418" w:type="dxa"/>
            <w:tcBorders>
              <w:top w:val="single" w:sz="4" w:space="0" w:color="auto"/>
            </w:tcBorders>
          </w:tcPr>
          <w:p w14:paraId="6BC879C1" w14:textId="77777777" w:rsidR="00743681" w:rsidRPr="00B44B19" w:rsidRDefault="0074368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4F3DDDF" w14:textId="77777777" w:rsidR="00743681" w:rsidRPr="00B44B19" w:rsidRDefault="00743681" w:rsidP="00CF15C2">
            <w:pPr>
              <w:jc w:val="center"/>
              <w:textAlignment w:val="baseline"/>
              <w:rPr>
                <w:rFonts w:eastAsia="Times New Roman" w:cs="Times New Roman"/>
                <w:sz w:val="20"/>
                <w:szCs w:val="20"/>
                <w:lang w:eastAsia="lt-LT"/>
              </w:rPr>
            </w:pPr>
          </w:p>
        </w:tc>
        <w:tc>
          <w:tcPr>
            <w:tcW w:w="3827" w:type="dxa"/>
            <w:vMerge/>
          </w:tcPr>
          <w:p w14:paraId="1A937820" w14:textId="77777777" w:rsidR="00743681" w:rsidRPr="00B44B19" w:rsidRDefault="00743681" w:rsidP="00AF4D6B">
            <w:pPr>
              <w:jc w:val="center"/>
              <w:textAlignment w:val="baseline"/>
              <w:rPr>
                <w:rFonts w:eastAsia="Times New Roman" w:cs="Times New Roman"/>
                <w:sz w:val="20"/>
                <w:szCs w:val="20"/>
                <w:lang w:eastAsia="lt-LT"/>
              </w:rPr>
            </w:pPr>
          </w:p>
        </w:tc>
        <w:tc>
          <w:tcPr>
            <w:tcW w:w="1559" w:type="dxa"/>
            <w:tcBorders>
              <w:top w:val="single" w:sz="4" w:space="0" w:color="auto"/>
            </w:tcBorders>
          </w:tcPr>
          <w:p w14:paraId="26741B60"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116 013 585,00</w:t>
            </w:r>
          </w:p>
        </w:tc>
      </w:tr>
    </w:tbl>
    <w:p w14:paraId="081C760F"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RPr="00B44B19" w14:paraId="147694F6"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6E9DAAA" w14:textId="77777777" w:rsidR="0066383D" w:rsidRPr="00B44B19" w:rsidRDefault="0066383D" w:rsidP="0066383D">
            <w:pPr>
              <w:rPr>
                <w:rFonts w:eastAsia="Times New Roman" w:cs="Times New Roman"/>
                <w:b/>
                <w:iCs/>
                <w:noProof/>
                <w:sz w:val="20"/>
              </w:rPr>
            </w:pPr>
            <w:r w:rsidRPr="00B44B19">
              <w:rPr>
                <w:rFonts w:cs="Times New Roman"/>
                <w:b/>
                <w:noProof/>
                <w:sz w:val="20"/>
              </w:rPr>
              <w:t>6 lentelė. 3 matmuo</w:t>
            </w:r>
            <w:r w:rsidR="001F6E55" w:rsidRPr="00B44B19">
              <w:rPr>
                <w:rFonts w:cs="Times New Roman"/>
                <w:b/>
                <w:noProof/>
                <w:sz w:val="20"/>
              </w:rPr>
              <w:t>:</w:t>
            </w:r>
            <w:r w:rsidRPr="00B44B19">
              <w:rPr>
                <w:rFonts w:cs="Times New Roman"/>
                <w:b/>
                <w:noProof/>
                <w:sz w:val="20"/>
              </w:rPr>
              <w:t xml:space="preserve"> </w:t>
            </w:r>
            <w:r w:rsidR="001F6E55" w:rsidRPr="00B44B19">
              <w:rPr>
                <w:rFonts w:cs="Times New Roman"/>
                <w:b/>
                <w:noProof/>
                <w:sz w:val="20"/>
              </w:rPr>
              <w:t>t</w:t>
            </w:r>
            <w:r w:rsidR="008626C9" w:rsidRPr="00B44B19">
              <w:rPr>
                <w:rFonts w:cs="Times New Roman"/>
                <w:b/>
                <w:noProof/>
                <w:sz w:val="20"/>
              </w:rPr>
              <w:t>eritorinis įgyvendinimo mechanizmas ir pagrindinė teritorinė sritis</w:t>
            </w:r>
          </w:p>
        </w:tc>
      </w:tr>
      <w:tr w:rsidR="0066383D" w:rsidRPr="00B44B19" w14:paraId="03F0D359"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3D55B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0F329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14992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446641"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13937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0D43D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43681" w:rsidRPr="00B44B19" w14:paraId="72FEA623" w14:textId="77777777" w:rsidTr="00E648BD">
        <w:tc>
          <w:tcPr>
            <w:tcW w:w="1101" w:type="dxa"/>
            <w:vMerge w:val="restart"/>
            <w:tcBorders>
              <w:top w:val="single" w:sz="12" w:space="0" w:color="auto"/>
            </w:tcBorders>
          </w:tcPr>
          <w:p w14:paraId="48E8A5F1" w14:textId="77777777" w:rsidR="00743681" w:rsidRPr="00B44B19" w:rsidRDefault="00743681"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2032F9A0" w14:textId="77777777" w:rsidR="00743681" w:rsidRPr="00B44B19" w:rsidRDefault="00743681"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E648BD"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5E9F3841" w14:textId="77777777" w:rsidR="00743681" w:rsidRPr="00B44B19" w:rsidRDefault="00743681"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1D3DFA3F" w14:textId="77777777" w:rsidR="00743681" w:rsidRPr="00B44B19" w:rsidRDefault="00743681" w:rsidP="00CD0168">
            <w:pPr>
              <w:jc w:val="center"/>
              <w:rPr>
                <w:rFonts w:eastAsia="Times New Roman" w:cs="Times New Roman"/>
                <w:b/>
                <w:iCs/>
                <w:noProof/>
                <w:sz w:val="20"/>
              </w:rPr>
            </w:pPr>
            <w:r w:rsidRPr="00B44B19">
              <w:rPr>
                <w:rFonts w:eastAsia="Times New Roman" w:cs="Times New Roman"/>
                <w:sz w:val="20"/>
                <w:szCs w:val="20"/>
                <w:lang w:eastAsia="lt-LT"/>
              </w:rPr>
              <w:t>4.3</w:t>
            </w:r>
          </w:p>
        </w:tc>
        <w:tc>
          <w:tcPr>
            <w:tcW w:w="3827" w:type="dxa"/>
            <w:vMerge w:val="restart"/>
            <w:tcBorders>
              <w:top w:val="single" w:sz="12" w:space="0" w:color="auto"/>
            </w:tcBorders>
          </w:tcPr>
          <w:p w14:paraId="6DB5F430" w14:textId="77777777" w:rsidR="00743681" w:rsidRPr="00B44B19" w:rsidRDefault="00743681" w:rsidP="00E648BD">
            <w:pPr>
              <w:rPr>
                <w:rFonts w:eastAsia="Times New Roman" w:cs="Times New Roman"/>
                <w:iCs/>
                <w:noProof/>
                <w:sz w:val="20"/>
              </w:rPr>
            </w:pPr>
            <w:r w:rsidRPr="00B44B19">
              <w:rPr>
                <w:rFonts w:eastAsia="Times New Roman" w:cs="Times New Roman"/>
                <w:iCs/>
                <w:noProof/>
                <w:sz w:val="20"/>
              </w:rPr>
              <w:t>33</w:t>
            </w:r>
            <w:r w:rsidR="00E648BD" w:rsidRPr="00B44B19">
              <w:rPr>
                <w:rFonts w:eastAsia="Times New Roman" w:cs="Times New Roman"/>
                <w:iCs/>
                <w:noProof/>
                <w:sz w:val="20"/>
              </w:rPr>
              <w:t xml:space="preserve"> </w:t>
            </w:r>
            <w:r w:rsidR="00853B4B" w:rsidRPr="00B44B19">
              <w:rPr>
                <w:rFonts w:eastAsia="Times New Roman" w:cs="Times New Roman"/>
                <w:iCs/>
                <w:noProof/>
                <w:sz w:val="20"/>
              </w:rPr>
              <w:t>–</w:t>
            </w:r>
            <w:r w:rsidR="00E648BD" w:rsidRPr="00B44B19">
              <w:rPr>
                <w:rFonts w:eastAsia="Times New Roman" w:cs="Times New Roman"/>
                <w:iCs/>
                <w:noProof/>
                <w:sz w:val="20"/>
              </w:rPr>
              <w:t xml:space="preserve"> Nesiorientuojant į teritoriškumą</w:t>
            </w:r>
          </w:p>
        </w:tc>
        <w:tc>
          <w:tcPr>
            <w:tcW w:w="1559" w:type="dxa"/>
            <w:tcBorders>
              <w:top w:val="single" w:sz="12" w:space="0" w:color="auto"/>
              <w:bottom w:val="single" w:sz="4" w:space="0" w:color="auto"/>
            </w:tcBorders>
          </w:tcPr>
          <w:p w14:paraId="7865C334"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9 394 000,00</w:t>
            </w:r>
          </w:p>
        </w:tc>
      </w:tr>
      <w:tr w:rsidR="00743681" w:rsidRPr="00B44B19" w14:paraId="59A25E48" w14:textId="77777777" w:rsidTr="00E648BD">
        <w:tc>
          <w:tcPr>
            <w:tcW w:w="1101" w:type="dxa"/>
            <w:vMerge/>
          </w:tcPr>
          <w:p w14:paraId="2E387D7C" w14:textId="77777777" w:rsidR="00743681" w:rsidRPr="00B44B19" w:rsidRDefault="00743681" w:rsidP="0066383D">
            <w:pPr>
              <w:rPr>
                <w:rFonts w:eastAsia="Times New Roman" w:cs="Times New Roman"/>
                <w:b/>
                <w:iCs/>
                <w:noProof/>
                <w:sz w:val="20"/>
              </w:rPr>
            </w:pPr>
          </w:p>
        </w:tc>
        <w:tc>
          <w:tcPr>
            <w:tcW w:w="850" w:type="dxa"/>
            <w:vMerge/>
          </w:tcPr>
          <w:p w14:paraId="4832BFC2" w14:textId="77777777" w:rsidR="00743681" w:rsidRPr="00B44B19" w:rsidRDefault="00743681" w:rsidP="0066383D">
            <w:pPr>
              <w:rPr>
                <w:rFonts w:eastAsia="Times New Roman" w:cs="Times New Roman"/>
                <w:b/>
                <w:iCs/>
                <w:noProof/>
                <w:sz w:val="20"/>
              </w:rPr>
            </w:pPr>
          </w:p>
        </w:tc>
        <w:tc>
          <w:tcPr>
            <w:tcW w:w="1418" w:type="dxa"/>
            <w:tcBorders>
              <w:top w:val="single" w:sz="4" w:space="0" w:color="auto"/>
            </w:tcBorders>
          </w:tcPr>
          <w:p w14:paraId="5DF35AC7" w14:textId="77777777" w:rsidR="00743681" w:rsidRPr="00B44B19" w:rsidRDefault="00743681" w:rsidP="0066383D">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5BEE744F" w14:textId="77777777" w:rsidR="00743681" w:rsidRPr="00B44B19" w:rsidRDefault="00743681" w:rsidP="0066383D">
            <w:pPr>
              <w:rPr>
                <w:rFonts w:eastAsia="Times New Roman" w:cs="Times New Roman"/>
                <w:b/>
                <w:iCs/>
                <w:noProof/>
                <w:sz w:val="20"/>
              </w:rPr>
            </w:pPr>
          </w:p>
        </w:tc>
        <w:tc>
          <w:tcPr>
            <w:tcW w:w="3827" w:type="dxa"/>
            <w:vMerge/>
          </w:tcPr>
          <w:p w14:paraId="65F0E9BE" w14:textId="77777777" w:rsidR="00743681" w:rsidRPr="00B44B19" w:rsidRDefault="00743681" w:rsidP="0066383D">
            <w:pPr>
              <w:rPr>
                <w:rFonts w:eastAsia="Times New Roman" w:cs="Times New Roman"/>
                <w:b/>
                <w:iCs/>
                <w:noProof/>
                <w:sz w:val="20"/>
              </w:rPr>
            </w:pPr>
          </w:p>
        </w:tc>
        <w:tc>
          <w:tcPr>
            <w:tcW w:w="1559" w:type="dxa"/>
            <w:tcBorders>
              <w:top w:val="single" w:sz="4" w:space="0" w:color="auto"/>
            </w:tcBorders>
          </w:tcPr>
          <w:p w14:paraId="6643FF34" w14:textId="77777777" w:rsidR="00743681" w:rsidRPr="00B44B19" w:rsidRDefault="00743681" w:rsidP="0074368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116 013 585,00</w:t>
            </w:r>
          </w:p>
        </w:tc>
      </w:tr>
    </w:tbl>
    <w:p w14:paraId="4507DBAE"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36"/>
        <w:tblW w:w="9889" w:type="dxa"/>
        <w:tblLook w:val="04A0" w:firstRow="1" w:lastRow="0" w:firstColumn="1" w:lastColumn="0" w:noHBand="0" w:noVBand="1"/>
      </w:tblPr>
      <w:tblGrid>
        <w:gridCol w:w="1101"/>
        <w:gridCol w:w="850"/>
        <w:gridCol w:w="1418"/>
        <w:gridCol w:w="1134"/>
        <w:gridCol w:w="3827"/>
        <w:gridCol w:w="1559"/>
      </w:tblGrid>
      <w:tr w:rsidR="004E51DE" w:rsidRPr="00B44B19" w14:paraId="223E074A"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836EC9" w14:textId="77777777" w:rsidR="004E51DE" w:rsidRPr="00B44B19" w:rsidRDefault="004E51DE" w:rsidP="004E51DE">
            <w:pPr>
              <w:rPr>
                <w:b/>
                <w:iCs/>
                <w:noProof/>
                <w:sz w:val="20"/>
              </w:rPr>
            </w:pPr>
            <w:r w:rsidRPr="00B44B19">
              <w:rPr>
                <w:b/>
                <w:noProof/>
                <w:sz w:val="20"/>
              </w:rPr>
              <w:t>7 lentelė. 6 matmuo</w:t>
            </w:r>
            <w:r w:rsidR="001F6E55" w:rsidRPr="00B44B19">
              <w:rPr>
                <w:b/>
                <w:noProof/>
                <w:sz w:val="20"/>
              </w:rPr>
              <w:t>:</w:t>
            </w:r>
            <w:r w:rsidRPr="00B44B19">
              <w:rPr>
                <w:b/>
                <w:noProof/>
                <w:sz w:val="20"/>
              </w:rPr>
              <w:t xml:space="preserve"> ESF+ antrinės temos</w:t>
            </w:r>
          </w:p>
        </w:tc>
      </w:tr>
      <w:tr w:rsidR="004E51DE" w:rsidRPr="00B44B19" w14:paraId="05B0DE77" w14:textId="77777777"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AA556F" w14:textId="77777777" w:rsidR="004E51DE" w:rsidRPr="00B44B19" w:rsidRDefault="004E51DE" w:rsidP="004E51DE">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9C5BF6" w14:textId="77777777" w:rsidR="004E51DE" w:rsidRPr="00B44B19" w:rsidRDefault="004E51DE" w:rsidP="004E51DE">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80E800" w14:textId="77777777" w:rsidR="004E51DE" w:rsidRPr="00B44B19" w:rsidRDefault="004E51DE" w:rsidP="004E51DE">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511699" w14:textId="77777777" w:rsidR="004E51DE" w:rsidRPr="00B44B19" w:rsidRDefault="004E51DE" w:rsidP="004E51DE">
            <w:pPr>
              <w:jc w:val="center"/>
              <w:rPr>
                <w:b/>
                <w:iCs/>
                <w:noProof/>
                <w:sz w:val="20"/>
              </w:rPr>
            </w:pPr>
            <w:r w:rsidRPr="00B44B19">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CDA2C" w14:textId="77777777" w:rsidR="004E51DE" w:rsidRPr="00B44B19" w:rsidRDefault="004E51DE" w:rsidP="004E51DE">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AACE14" w14:textId="77777777" w:rsidR="004E51DE" w:rsidRPr="00B44B19" w:rsidRDefault="004E51DE" w:rsidP="004E51DE">
            <w:pPr>
              <w:jc w:val="center"/>
              <w:rPr>
                <w:b/>
                <w:iCs/>
                <w:noProof/>
                <w:sz w:val="20"/>
              </w:rPr>
            </w:pPr>
            <w:r w:rsidRPr="00B44B19">
              <w:rPr>
                <w:b/>
                <w:noProof/>
                <w:sz w:val="20"/>
              </w:rPr>
              <w:t>Suma (EUR)</w:t>
            </w:r>
          </w:p>
        </w:tc>
      </w:tr>
      <w:tr w:rsidR="008626C9" w:rsidRPr="00B44B19" w14:paraId="0F0135EB" w14:textId="77777777" w:rsidTr="006A186A">
        <w:tc>
          <w:tcPr>
            <w:tcW w:w="1101" w:type="dxa"/>
            <w:vMerge w:val="restart"/>
            <w:tcBorders>
              <w:top w:val="single" w:sz="12" w:space="0" w:color="auto"/>
            </w:tcBorders>
          </w:tcPr>
          <w:p w14:paraId="6D531ED2" w14:textId="77777777" w:rsidR="008626C9" w:rsidRPr="00B44B19" w:rsidRDefault="008626C9" w:rsidP="004E51DE">
            <w:pPr>
              <w:jc w:val="center"/>
              <w:textAlignment w:val="baseline"/>
              <w:rPr>
                <w:sz w:val="20"/>
                <w:szCs w:val="20"/>
                <w:lang w:eastAsia="lt-LT"/>
              </w:rPr>
            </w:pPr>
            <w:r w:rsidRPr="00B44B19">
              <w:rPr>
                <w:sz w:val="20"/>
                <w:szCs w:val="20"/>
                <w:lang w:eastAsia="lt-LT"/>
              </w:rPr>
              <w:t>4</w:t>
            </w:r>
          </w:p>
        </w:tc>
        <w:tc>
          <w:tcPr>
            <w:tcW w:w="850" w:type="dxa"/>
            <w:vMerge w:val="restart"/>
            <w:tcBorders>
              <w:top w:val="single" w:sz="12" w:space="0" w:color="auto"/>
            </w:tcBorders>
          </w:tcPr>
          <w:p w14:paraId="28D242D8" w14:textId="77777777" w:rsidR="008626C9" w:rsidRPr="00B44B19" w:rsidRDefault="008626C9" w:rsidP="004E51DE">
            <w:pPr>
              <w:jc w:val="center"/>
              <w:textAlignment w:val="baseline"/>
              <w:rPr>
                <w:sz w:val="20"/>
                <w:szCs w:val="20"/>
                <w:lang w:eastAsia="lt-LT"/>
              </w:rPr>
            </w:pPr>
            <w:r w:rsidRPr="00B44B19">
              <w:rPr>
                <w:sz w:val="20"/>
                <w:szCs w:val="20"/>
                <w:lang w:eastAsia="lt-LT"/>
              </w:rPr>
              <w:t>ESF+</w:t>
            </w:r>
          </w:p>
        </w:tc>
        <w:tc>
          <w:tcPr>
            <w:tcW w:w="1418" w:type="dxa"/>
            <w:tcBorders>
              <w:top w:val="single" w:sz="12" w:space="0" w:color="auto"/>
            </w:tcBorders>
          </w:tcPr>
          <w:p w14:paraId="255B2951" w14:textId="77777777" w:rsidR="008626C9" w:rsidRPr="00B44B19" w:rsidRDefault="008626C9" w:rsidP="004E51DE">
            <w:pPr>
              <w:textAlignment w:val="baseline"/>
              <w:rPr>
                <w:sz w:val="20"/>
                <w:szCs w:val="20"/>
                <w:lang w:eastAsia="lt-LT"/>
              </w:rPr>
            </w:pPr>
            <w:r w:rsidRPr="00B44B19">
              <w:rPr>
                <w:sz w:val="20"/>
                <w:szCs w:val="20"/>
                <w:lang w:eastAsia="lt-LT"/>
              </w:rPr>
              <w:t>Sostinės regionas</w:t>
            </w:r>
          </w:p>
        </w:tc>
        <w:tc>
          <w:tcPr>
            <w:tcW w:w="1134" w:type="dxa"/>
            <w:vMerge w:val="restart"/>
            <w:tcBorders>
              <w:top w:val="single" w:sz="12" w:space="0" w:color="auto"/>
            </w:tcBorders>
          </w:tcPr>
          <w:p w14:paraId="354CE1E4" w14:textId="77777777" w:rsidR="008626C9" w:rsidRPr="00B44B19" w:rsidRDefault="008626C9" w:rsidP="004E51DE">
            <w:pPr>
              <w:jc w:val="center"/>
              <w:rPr>
                <w:b/>
                <w:iCs/>
                <w:noProof/>
                <w:sz w:val="20"/>
              </w:rPr>
            </w:pPr>
            <w:r w:rsidRPr="00B44B19">
              <w:rPr>
                <w:sz w:val="20"/>
                <w:szCs w:val="20"/>
                <w:lang w:eastAsia="lt-LT"/>
              </w:rPr>
              <w:t>4.3</w:t>
            </w:r>
          </w:p>
        </w:tc>
        <w:tc>
          <w:tcPr>
            <w:tcW w:w="3827" w:type="dxa"/>
            <w:vMerge w:val="restart"/>
            <w:tcBorders>
              <w:top w:val="single" w:sz="12" w:space="0" w:color="auto"/>
            </w:tcBorders>
          </w:tcPr>
          <w:p w14:paraId="6182BD05" w14:textId="77777777" w:rsidR="008626C9" w:rsidRPr="00B44B19" w:rsidRDefault="008626C9" w:rsidP="0074794D">
            <w:pPr>
              <w:rPr>
                <w:iCs/>
                <w:noProof/>
                <w:sz w:val="20"/>
              </w:rPr>
            </w:pPr>
            <w:r w:rsidRPr="00B44B19">
              <w:rPr>
                <w:iCs/>
                <w:noProof/>
                <w:sz w:val="20"/>
              </w:rPr>
              <w:t>06 – Vaikų skurdo problemos sprendimas</w:t>
            </w:r>
          </w:p>
        </w:tc>
        <w:tc>
          <w:tcPr>
            <w:tcW w:w="1559" w:type="dxa"/>
            <w:tcBorders>
              <w:top w:val="single" w:sz="12" w:space="0" w:color="auto"/>
            </w:tcBorders>
          </w:tcPr>
          <w:p w14:paraId="6F9A56CF" w14:textId="77777777" w:rsidR="008626C9" w:rsidRPr="00B44B19" w:rsidRDefault="008626C9" w:rsidP="0074794D">
            <w:pPr>
              <w:jc w:val="right"/>
              <w:textAlignment w:val="baseline"/>
              <w:rPr>
                <w:sz w:val="20"/>
                <w:szCs w:val="20"/>
                <w:lang w:eastAsia="lt-LT"/>
              </w:rPr>
            </w:pPr>
            <w:r w:rsidRPr="00B44B19">
              <w:rPr>
                <w:sz w:val="20"/>
                <w:szCs w:val="20"/>
                <w:lang w:eastAsia="lt-LT"/>
              </w:rPr>
              <w:t>2 950 062,00</w:t>
            </w:r>
          </w:p>
        </w:tc>
      </w:tr>
      <w:tr w:rsidR="008626C9" w:rsidRPr="00B44B19" w14:paraId="5F66A7D9" w14:textId="77777777" w:rsidTr="006A186A">
        <w:tc>
          <w:tcPr>
            <w:tcW w:w="1101" w:type="dxa"/>
            <w:vMerge/>
          </w:tcPr>
          <w:p w14:paraId="3C7E2F72" w14:textId="77777777" w:rsidR="008626C9" w:rsidRPr="00B44B19" w:rsidRDefault="008626C9" w:rsidP="004E51DE">
            <w:pPr>
              <w:rPr>
                <w:b/>
                <w:iCs/>
                <w:noProof/>
                <w:sz w:val="20"/>
              </w:rPr>
            </w:pPr>
          </w:p>
        </w:tc>
        <w:tc>
          <w:tcPr>
            <w:tcW w:w="850" w:type="dxa"/>
            <w:vMerge/>
          </w:tcPr>
          <w:p w14:paraId="4FEEEF4C" w14:textId="77777777" w:rsidR="008626C9" w:rsidRPr="00B44B19" w:rsidRDefault="008626C9" w:rsidP="004E51DE">
            <w:pPr>
              <w:rPr>
                <w:b/>
                <w:iCs/>
                <w:noProof/>
                <w:sz w:val="20"/>
              </w:rPr>
            </w:pPr>
          </w:p>
        </w:tc>
        <w:tc>
          <w:tcPr>
            <w:tcW w:w="1418" w:type="dxa"/>
          </w:tcPr>
          <w:p w14:paraId="1C5F0A02" w14:textId="77777777" w:rsidR="008626C9" w:rsidRPr="00B44B19" w:rsidRDefault="008626C9" w:rsidP="004E51DE">
            <w:pPr>
              <w:rPr>
                <w:b/>
                <w:iCs/>
                <w:noProof/>
                <w:sz w:val="20"/>
              </w:rPr>
            </w:pPr>
            <w:r w:rsidRPr="00B44B19">
              <w:rPr>
                <w:sz w:val="20"/>
                <w:szCs w:val="20"/>
                <w:lang w:eastAsia="lt-LT"/>
              </w:rPr>
              <w:t>VVL regionas</w:t>
            </w:r>
          </w:p>
        </w:tc>
        <w:tc>
          <w:tcPr>
            <w:tcW w:w="1134" w:type="dxa"/>
            <w:vMerge/>
          </w:tcPr>
          <w:p w14:paraId="050FA893" w14:textId="77777777" w:rsidR="008626C9" w:rsidRPr="00B44B19" w:rsidRDefault="008626C9" w:rsidP="004E51DE">
            <w:pPr>
              <w:rPr>
                <w:b/>
                <w:iCs/>
                <w:noProof/>
                <w:sz w:val="20"/>
              </w:rPr>
            </w:pPr>
          </w:p>
        </w:tc>
        <w:tc>
          <w:tcPr>
            <w:tcW w:w="3827" w:type="dxa"/>
            <w:vMerge/>
          </w:tcPr>
          <w:p w14:paraId="44C2CB92" w14:textId="77777777" w:rsidR="008626C9" w:rsidRPr="00B44B19" w:rsidRDefault="008626C9" w:rsidP="004E51DE">
            <w:pPr>
              <w:rPr>
                <w:b/>
                <w:iCs/>
                <w:noProof/>
                <w:sz w:val="20"/>
              </w:rPr>
            </w:pPr>
          </w:p>
        </w:tc>
        <w:tc>
          <w:tcPr>
            <w:tcW w:w="1559" w:type="dxa"/>
          </w:tcPr>
          <w:p w14:paraId="0008746A" w14:textId="77777777" w:rsidR="008626C9" w:rsidRPr="00B44B19" w:rsidRDefault="008626C9" w:rsidP="0074794D">
            <w:pPr>
              <w:jc w:val="right"/>
              <w:textAlignment w:val="baseline"/>
              <w:rPr>
                <w:sz w:val="20"/>
                <w:szCs w:val="20"/>
                <w:lang w:eastAsia="lt-LT"/>
              </w:rPr>
            </w:pPr>
            <w:r w:rsidRPr="00B44B19">
              <w:rPr>
                <w:sz w:val="20"/>
                <w:szCs w:val="20"/>
                <w:lang w:eastAsia="lt-LT"/>
              </w:rPr>
              <w:t>24 880 716,00</w:t>
            </w:r>
          </w:p>
        </w:tc>
      </w:tr>
      <w:tr w:rsidR="008626C9" w:rsidRPr="00B44B19" w14:paraId="2F80F2E1" w14:textId="77777777" w:rsidTr="006A186A">
        <w:tc>
          <w:tcPr>
            <w:tcW w:w="1101" w:type="dxa"/>
            <w:vMerge/>
          </w:tcPr>
          <w:p w14:paraId="00422985" w14:textId="77777777" w:rsidR="008626C9" w:rsidRPr="00B44B19" w:rsidRDefault="008626C9" w:rsidP="004E51DE">
            <w:pPr>
              <w:rPr>
                <w:b/>
                <w:iCs/>
                <w:noProof/>
                <w:sz w:val="20"/>
              </w:rPr>
            </w:pPr>
          </w:p>
        </w:tc>
        <w:tc>
          <w:tcPr>
            <w:tcW w:w="850" w:type="dxa"/>
            <w:vMerge/>
          </w:tcPr>
          <w:p w14:paraId="053F93D5" w14:textId="77777777" w:rsidR="008626C9" w:rsidRPr="00B44B19" w:rsidRDefault="008626C9" w:rsidP="004E51DE">
            <w:pPr>
              <w:rPr>
                <w:b/>
                <w:iCs/>
                <w:noProof/>
                <w:sz w:val="20"/>
              </w:rPr>
            </w:pPr>
          </w:p>
        </w:tc>
        <w:tc>
          <w:tcPr>
            <w:tcW w:w="1418" w:type="dxa"/>
          </w:tcPr>
          <w:p w14:paraId="731714EA" w14:textId="77777777" w:rsidR="008626C9" w:rsidRPr="00B44B19" w:rsidRDefault="008626C9" w:rsidP="004E51DE">
            <w:pPr>
              <w:rPr>
                <w:sz w:val="20"/>
                <w:szCs w:val="20"/>
                <w:lang w:eastAsia="lt-LT"/>
              </w:rPr>
            </w:pPr>
            <w:r w:rsidRPr="00B44B19">
              <w:rPr>
                <w:sz w:val="20"/>
                <w:szCs w:val="20"/>
                <w:lang w:eastAsia="lt-LT"/>
              </w:rPr>
              <w:t>Sostinės regionas</w:t>
            </w:r>
          </w:p>
        </w:tc>
        <w:tc>
          <w:tcPr>
            <w:tcW w:w="1134" w:type="dxa"/>
            <w:vMerge/>
          </w:tcPr>
          <w:p w14:paraId="578A489B" w14:textId="77777777" w:rsidR="008626C9" w:rsidRPr="00B44B19" w:rsidRDefault="008626C9" w:rsidP="004E51DE">
            <w:pPr>
              <w:rPr>
                <w:b/>
                <w:iCs/>
                <w:noProof/>
                <w:sz w:val="20"/>
              </w:rPr>
            </w:pPr>
          </w:p>
        </w:tc>
        <w:tc>
          <w:tcPr>
            <w:tcW w:w="3827" w:type="dxa"/>
            <w:vMerge w:val="restart"/>
          </w:tcPr>
          <w:p w14:paraId="6F105612" w14:textId="77777777" w:rsidR="008626C9" w:rsidRPr="00B44B19" w:rsidRDefault="008626C9" w:rsidP="004E51DE">
            <w:pPr>
              <w:rPr>
                <w:b/>
                <w:iCs/>
                <w:noProof/>
                <w:sz w:val="20"/>
              </w:rPr>
            </w:pPr>
            <w:r w:rsidRPr="00B44B19">
              <w:rPr>
                <w:iCs/>
                <w:noProof/>
                <w:sz w:val="20"/>
              </w:rPr>
              <w:t xml:space="preserve">09 </w:t>
            </w:r>
            <w:r w:rsidR="00853B4B" w:rsidRPr="00B44B19">
              <w:rPr>
                <w:iCs/>
                <w:noProof/>
                <w:sz w:val="20"/>
              </w:rPr>
              <w:t>–</w:t>
            </w:r>
            <w:r w:rsidRPr="00B44B19">
              <w:rPr>
                <w:iCs/>
                <w:noProof/>
                <w:sz w:val="20"/>
              </w:rPr>
              <w:t xml:space="preserve"> Netaikoma</w:t>
            </w:r>
          </w:p>
        </w:tc>
        <w:tc>
          <w:tcPr>
            <w:tcW w:w="1559" w:type="dxa"/>
          </w:tcPr>
          <w:p w14:paraId="60C2E2BA" w14:textId="77777777" w:rsidR="008626C9" w:rsidRPr="00B44B19" w:rsidRDefault="008626C9" w:rsidP="004E51DE">
            <w:pPr>
              <w:jc w:val="right"/>
              <w:textAlignment w:val="baseline"/>
              <w:rPr>
                <w:sz w:val="20"/>
                <w:szCs w:val="20"/>
                <w:lang w:eastAsia="lt-LT"/>
              </w:rPr>
            </w:pPr>
            <w:r w:rsidRPr="00B44B19">
              <w:rPr>
                <w:sz w:val="20"/>
                <w:szCs w:val="20"/>
                <w:lang w:eastAsia="lt-LT"/>
              </w:rPr>
              <w:t>6 443 938,00</w:t>
            </w:r>
          </w:p>
        </w:tc>
      </w:tr>
      <w:tr w:rsidR="008626C9" w:rsidRPr="00B44B19" w14:paraId="162548D8" w14:textId="77777777" w:rsidTr="006A186A">
        <w:tc>
          <w:tcPr>
            <w:tcW w:w="1101" w:type="dxa"/>
            <w:vMerge/>
          </w:tcPr>
          <w:p w14:paraId="00F27E81" w14:textId="77777777" w:rsidR="008626C9" w:rsidRPr="00B44B19" w:rsidRDefault="008626C9" w:rsidP="004E51DE">
            <w:pPr>
              <w:rPr>
                <w:b/>
                <w:iCs/>
                <w:noProof/>
                <w:sz w:val="20"/>
              </w:rPr>
            </w:pPr>
          </w:p>
        </w:tc>
        <w:tc>
          <w:tcPr>
            <w:tcW w:w="850" w:type="dxa"/>
            <w:vMerge/>
          </w:tcPr>
          <w:p w14:paraId="71EBC964" w14:textId="77777777" w:rsidR="008626C9" w:rsidRPr="00B44B19" w:rsidRDefault="008626C9" w:rsidP="004E51DE">
            <w:pPr>
              <w:rPr>
                <w:b/>
                <w:iCs/>
                <w:noProof/>
                <w:sz w:val="20"/>
              </w:rPr>
            </w:pPr>
          </w:p>
        </w:tc>
        <w:tc>
          <w:tcPr>
            <w:tcW w:w="1418" w:type="dxa"/>
          </w:tcPr>
          <w:p w14:paraId="7D99F9D0" w14:textId="77777777" w:rsidR="008626C9" w:rsidRPr="00B44B19" w:rsidRDefault="008626C9" w:rsidP="004E51DE">
            <w:pPr>
              <w:rPr>
                <w:sz w:val="20"/>
                <w:szCs w:val="20"/>
                <w:lang w:eastAsia="lt-LT"/>
              </w:rPr>
            </w:pPr>
            <w:r w:rsidRPr="00B44B19">
              <w:rPr>
                <w:sz w:val="20"/>
                <w:szCs w:val="20"/>
                <w:lang w:eastAsia="lt-LT"/>
              </w:rPr>
              <w:t>VVL regionas</w:t>
            </w:r>
          </w:p>
        </w:tc>
        <w:tc>
          <w:tcPr>
            <w:tcW w:w="1134" w:type="dxa"/>
            <w:vMerge/>
          </w:tcPr>
          <w:p w14:paraId="171188F1" w14:textId="77777777" w:rsidR="008626C9" w:rsidRPr="00B44B19" w:rsidRDefault="008626C9" w:rsidP="004E51DE">
            <w:pPr>
              <w:rPr>
                <w:b/>
                <w:iCs/>
                <w:noProof/>
                <w:sz w:val="20"/>
              </w:rPr>
            </w:pPr>
          </w:p>
        </w:tc>
        <w:tc>
          <w:tcPr>
            <w:tcW w:w="3827" w:type="dxa"/>
            <w:vMerge/>
          </w:tcPr>
          <w:p w14:paraId="16BF3A14" w14:textId="77777777" w:rsidR="008626C9" w:rsidRPr="00B44B19" w:rsidRDefault="008626C9" w:rsidP="004E51DE">
            <w:pPr>
              <w:rPr>
                <w:b/>
                <w:iCs/>
                <w:noProof/>
                <w:sz w:val="20"/>
              </w:rPr>
            </w:pPr>
          </w:p>
        </w:tc>
        <w:tc>
          <w:tcPr>
            <w:tcW w:w="1559" w:type="dxa"/>
          </w:tcPr>
          <w:p w14:paraId="4123D168" w14:textId="77777777" w:rsidR="008626C9" w:rsidRPr="00B44B19" w:rsidRDefault="008626C9" w:rsidP="004E51DE">
            <w:pPr>
              <w:jc w:val="right"/>
              <w:textAlignment w:val="baseline"/>
              <w:rPr>
                <w:sz w:val="20"/>
                <w:szCs w:val="20"/>
                <w:lang w:eastAsia="lt-LT"/>
              </w:rPr>
            </w:pPr>
            <w:r w:rsidRPr="00B44B19">
              <w:rPr>
                <w:sz w:val="20"/>
                <w:szCs w:val="20"/>
                <w:lang w:eastAsia="lt-LT"/>
              </w:rPr>
              <w:t>91 132 869,00</w:t>
            </w:r>
          </w:p>
        </w:tc>
      </w:tr>
    </w:tbl>
    <w:p w14:paraId="2F683394" w14:textId="77777777" w:rsidR="004E51DE" w:rsidRPr="00B44B19" w:rsidRDefault="004E51DE" w:rsidP="00C4496A">
      <w:pPr>
        <w:spacing w:after="0" w:line="240" w:lineRule="auto"/>
        <w:rPr>
          <w:rFonts w:eastAsia="Times New Roman" w:cs="Times New Roman"/>
          <w:iCs/>
          <w:noProof/>
          <w:sz w:val="20"/>
          <w:szCs w:val="20"/>
        </w:rPr>
      </w:pPr>
    </w:p>
    <w:tbl>
      <w:tblPr>
        <w:tblStyle w:val="Lentelstinklelis37"/>
        <w:tblW w:w="9889" w:type="dxa"/>
        <w:tblLayout w:type="fixed"/>
        <w:tblLook w:val="04A0" w:firstRow="1" w:lastRow="0" w:firstColumn="1" w:lastColumn="0" w:noHBand="0" w:noVBand="1"/>
      </w:tblPr>
      <w:tblGrid>
        <w:gridCol w:w="1095"/>
        <w:gridCol w:w="856"/>
        <w:gridCol w:w="1418"/>
        <w:gridCol w:w="1134"/>
        <w:gridCol w:w="3827"/>
        <w:gridCol w:w="1559"/>
      </w:tblGrid>
      <w:tr w:rsidR="004E51DE" w:rsidRPr="00B44B19" w14:paraId="599E8D2D" w14:textId="77777777" w:rsidTr="00F6383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B8F7594" w14:textId="77777777" w:rsidR="004E51DE" w:rsidRPr="00B44B19" w:rsidRDefault="004E51DE" w:rsidP="004E51DE">
            <w:pPr>
              <w:rPr>
                <w:b/>
                <w:iCs/>
                <w:noProof/>
                <w:sz w:val="20"/>
                <w:szCs w:val="20"/>
              </w:rPr>
            </w:pPr>
            <w:r w:rsidRPr="00B44B19">
              <w:rPr>
                <w:b/>
                <w:noProof/>
                <w:sz w:val="20"/>
                <w:szCs w:val="20"/>
              </w:rPr>
              <w:t>8 lentelė. 7 matmuo</w:t>
            </w:r>
            <w:r w:rsidR="001F6E55" w:rsidRPr="00B44B19">
              <w:rPr>
                <w:b/>
                <w:noProof/>
                <w:sz w:val="20"/>
                <w:szCs w:val="20"/>
              </w:rPr>
              <w:t>:</w:t>
            </w:r>
            <w:r w:rsidRPr="00B44B19">
              <w:rPr>
                <w:b/>
                <w:noProof/>
                <w:sz w:val="20"/>
                <w:szCs w:val="20"/>
              </w:rPr>
              <w:t xml:space="preserve"> </w:t>
            </w:r>
            <w:r w:rsidRPr="00B44B19">
              <w:rPr>
                <w:b/>
                <w:sz w:val="20"/>
                <w:szCs w:val="20"/>
              </w:rPr>
              <w:t>ESF+, ERPF, S</w:t>
            </w:r>
            <w:r w:rsidR="00853B4B" w:rsidRPr="00B44B19">
              <w:rPr>
                <w:b/>
                <w:sz w:val="20"/>
                <w:szCs w:val="20"/>
              </w:rPr>
              <w:t>a</w:t>
            </w:r>
            <w:r w:rsidRPr="00B44B19">
              <w:rPr>
                <w:b/>
                <w:sz w:val="20"/>
                <w:szCs w:val="20"/>
              </w:rPr>
              <w:t>F ir TPF lyčių lygybės matmuo</w:t>
            </w:r>
          </w:p>
        </w:tc>
      </w:tr>
      <w:tr w:rsidR="004E51DE" w:rsidRPr="00B44B19" w14:paraId="26A1BBA2" w14:textId="77777777" w:rsidTr="00F63837">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9ACC18" w14:textId="77777777" w:rsidR="004E51DE" w:rsidRPr="00B44B19" w:rsidRDefault="004E51DE" w:rsidP="004E51DE">
            <w:pPr>
              <w:jc w:val="center"/>
              <w:rPr>
                <w:b/>
                <w:iCs/>
                <w:noProof/>
                <w:sz w:val="20"/>
              </w:rPr>
            </w:pPr>
            <w:r w:rsidRPr="00B44B19">
              <w:rPr>
                <w:b/>
                <w:noProof/>
                <w:sz w:val="20"/>
              </w:rPr>
              <w:t>Prioriteto Nr.</w:t>
            </w:r>
          </w:p>
        </w:tc>
        <w:tc>
          <w:tcPr>
            <w:tcW w:w="85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9478E7" w14:textId="77777777" w:rsidR="004E51DE" w:rsidRPr="00B44B19" w:rsidRDefault="004E51DE" w:rsidP="004E51DE">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EF1B00" w14:textId="77777777" w:rsidR="004E51DE" w:rsidRPr="00B44B19" w:rsidRDefault="004E51DE" w:rsidP="004E51DE">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EB83D4" w14:textId="77777777" w:rsidR="004E51DE" w:rsidRPr="00B44B19" w:rsidRDefault="004E51DE" w:rsidP="004E51DE">
            <w:pPr>
              <w:jc w:val="center"/>
              <w:rPr>
                <w:b/>
                <w:iCs/>
                <w:noProof/>
                <w:sz w:val="20"/>
              </w:rPr>
            </w:pPr>
            <w:r w:rsidRPr="00B44B19">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2D11AA" w14:textId="77777777" w:rsidR="004E51DE" w:rsidRPr="00B44B19" w:rsidRDefault="004E51DE" w:rsidP="004E51DE">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B82B1" w14:textId="77777777" w:rsidR="004E51DE" w:rsidRPr="00B44B19" w:rsidRDefault="004E51DE" w:rsidP="004E51DE">
            <w:pPr>
              <w:jc w:val="center"/>
              <w:rPr>
                <w:b/>
                <w:iCs/>
                <w:noProof/>
                <w:sz w:val="20"/>
              </w:rPr>
            </w:pPr>
            <w:r w:rsidRPr="00B44B19">
              <w:rPr>
                <w:b/>
                <w:noProof/>
                <w:sz w:val="20"/>
              </w:rPr>
              <w:t>Suma (EUR)</w:t>
            </w:r>
          </w:p>
        </w:tc>
      </w:tr>
      <w:tr w:rsidR="00F63837" w:rsidRPr="00B44B19" w14:paraId="404E3F2B" w14:textId="77777777" w:rsidTr="00F63837">
        <w:trPr>
          <w:trHeight w:val="138"/>
        </w:trPr>
        <w:tc>
          <w:tcPr>
            <w:tcW w:w="1095" w:type="dxa"/>
            <w:vMerge w:val="restart"/>
            <w:tcBorders>
              <w:top w:val="single" w:sz="12" w:space="0" w:color="auto"/>
            </w:tcBorders>
          </w:tcPr>
          <w:p w14:paraId="25A80F18" w14:textId="77777777" w:rsidR="00F63837" w:rsidRPr="00B44B19" w:rsidRDefault="00F63837" w:rsidP="004E51DE">
            <w:pPr>
              <w:jc w:val="center"/>
              <w:rPr>
                <w:iCs/>
                <w:noProof/>
                <w:sz w:val="20"/>
              </w:rPr>
            </w:pPr>
            <w:r w:rsidRPr="00B44B19">
              <w:rPr>
                <w:sz w:val="20"/>
                <w:szCs w:val="20"/>
                <w:lang w:eastAsia="lt-LT"/>
              </w:rPr>
              <w:t>4</w:t>
            </w:r>
          </w:p>
        </w:tc>
        <w:tc>
          <w:tcPr>
            <w:tcW w:w="856" w:type="dxa"/>
            <w:vMerge w:val="restart"/>
            <w:tcBorders>
              <w:top w:val="single" w:sz="12" w:space="0" w:color="auto"/>
            </w:tcBorders>
          </w:tcPr>
          <w:p w14:paraId="3B57CC02" w14:textId="77777777" w:rsidR="00F63837" w:rsidRPr="00B44B19" w:rsidRDefault="00F63837" w:rsidP="004E51DE">
            <w:pPr>
              <w:jc w:val="center"/>
              <w:rPr>
                <w:iCs/>
                <w:noProof/>
                <w:sz w:val="20"/>
              </w:rPr>
            </w:pPr>
            <w:r w:rsidRPr="00B44B19">
              <w:rPr>
                <w:sz w:val="20"/>
                <w:szCs w:val="20"/>
                <w:lang w:eastAsia="lt-LT"/>
              </w:rPr>
              <w:t>ESF+</w:t>
            </w:r>
          </w:p>
        </w:tc>
        <w:tc>
          <w:tcPr>
            <w:tcW w:w="1418" w:type="dxa"/>
            <w:tcBorders>
              <w:top w:val="single" w:sz="12" w:space="0" w:color="auto"/>
            </w:tcBorders>
          </w:tcPr>
          <w:p w14:paraId="323A3CB9" w14:textId="77777777" w:rsidR="00F63837" w:rsidRPr="00B44B19" w:rsidRDefault="00F63837" w:rsidP="004E51DE">
            <w:pPr>
              <w:rPr>
                <w:iCs/>
                <w:noProof/>
                <w:sz w:val="20"/>
              </w:rPr>
            </w:pPr>
            <w:r w:rsidRPr="00B44B19">
              <w:rPr>
                <w:sz w:val="20"/>
                <w:szCs w:val="20"/>
                <w:lang w:eastAsia="lt-LT"/>
              </w:rPr>
              <w:t>Sostinės regionas</w:t>
            </w:r>
          </w:p>
        </w:tc>
        <w:tc>
          <w:tcPr>
            <w:tcW w:w="1134" w:type="dxa"/>
            <w:vMerge w:val="restart"/>
            <w:tcBorders>
              <w:top w:val="single" w:sz="12" w:space="0" w:color="auto"/>
            </w:tcBorders>
          </w:tcPr>
          <w:p w14:paraId="7F38506E" w14:textId="77777777" w:rsidR="00F63837" w:rsidRPr="00B44B19" w:rsidRDefault="00F63837" w:rsidP="004E51DE">
            <w:pPr>
              <w:jc w:val="center"/>
              <w:rPr>
                <w:iCs/>
                <w:noProof/>
                <w:sz w:val="20"/>
              </w:rPr>
            </w:pPr>
            <w:r w:rsidRPr="00B44B19">
              <w:rPr>
                <w:sz w:val="20"/>
                <w:szCs w:val="20"/>
                <w:lang w:eastAsia="lt-LT"/>
              </w:rPr>
              <w:t>4.3</w:t>
            </w:r>
          </w:p>
        </w:tc>
        <w:tc>
          <w:tcPr>
            <w:tcW w:w="3827" w:type="dxa"/>
            <w:vMerge w:val="restart"/>
            <w:tcBorders>
              <w:top w:val="single" w:sz="12" w:space="0" w:color="auto"/>
            </w:tcBorders>
          </w:tcPr>
          <w:p w14:paraId="2E729A40" w14:textId="77777777" w:rsidR="00F63837" w:rsidRPr="00B44B19" w:rsidRDefault="00F63837" w:rsidP="00853B4B">
            <w:pPr>
              <w:rPr>
                <w:iCs/>
                <w:noProof/>
                <w:sz w:val="20"/>
              </w:rPr>
            </w:pPr>
            <w:r w:rsidRPr="00B44B19">
              <w:rPr>
                <w:iCs/>
                <w:noProof/>
                <w:sz w:val="20"/>
              </w:rPr>
              <w:t>02 – Lyčių aspekto integravimas</w:t>
            </w:r>
          </w:p>
        </w:tc>
        <w:tc>
          <w:tcPr>
            <w:tcW w:w="1559" w:type="dxa"/>
            <w:tcBorders>
              <w:top w:val="single" w:sz="12" w:space="0" w:color="auto"/>
            </w:tcBorders>
          </w:tcPr>
          <w:p w14:paraId="7D9460B0" w14:textId="77777777" w:rsidR="00F63837" w:rsidRPr="00B44B19" w:rsidRDefault="00F63837" w:rsidP="004E51DE">
            <w:pPr>
              <w:jc w:val="right"/>
              <w:rPr>
                <w:iCs/>
                <w:noProof/>
                <w:sz w:val="20"/>
              </w:rPr>
            </w:pPr>
            <w:r w:rsidRPr="00B44B19">
              <w:rPr>
                <w:iCs/>
                <w:noProof/>
                <w:sz w:val="20"/>
              </w:rPr>
              <w:t>2 950 062,00</w:t>
            </w:r>
          </w:p>
        </w:tc>
      </w:tr>
      <w:tr w:rsidR="00F63837" w:rsidRPr="00B44B19" w14:paraId="428444D1" w14:textId="77777777" w:rsidTr="00F63837">
        <w:tc>
          <w:tcPr>
            <w:tcW w:w="1095" w:type="dxa"/>
            <w:vMerge/>
          </w:tcPr>
          <w:p w14:paraId="14DA1896" w14:textId="77777777" w:rsidR="00F63837" w:rsidRPr="00B44B19" w:rsidRDefault="00F63837" w:rsidP="004E51DE">
            <w:pPr>
              <w:jc w:val="center"/>
              <w:rPr>
                <w:iCs/>
                <w:noProof/>
                <w:sz w:val="20"/>
              </w:rPr>
            </w:pPr>
          </w:p>
        </w:tc>
        <w:tc>
          <w:tcPr>
            <w:tcW w:w="856" w:type="dxa"/>
            <w:vMerge/>
          </w:tcPr>
          <w:p w14:paraId="0DEDDC4E" w14:textId="77777777" w:rsidR="00F63837" w:rsidRPr="00B44B19" w:rsidRDefault="00F63837" w:rsidP="004E51DE">
            <w:pPr>
              <w:jc w:val="center"/>
              <w:rPr>
                <w:iCs/>
                <w:noProof/>
                <w:sz w:val="20"/>
              </w:rPr>
            </w:pPr>
          </w:p>
        </w:tc>
        <w:tc>
          <w:tcPr>
            <w:tcW w:w="1418" w:type="dxa"/>
          </w:tcPr>
          <w:p w14:paraId="79295D72" w14:textId="77777777" w:rsidR="00F63837" w:rsidRPr="00B44B19" w:rsidRDefault="00F63837" w:rsidP="004E51DE">
            <w:pPr>
              <w:rPr>
                <w:iCs/>
                <w:noProof/>
                <w:sz w:val="20"/>
              </w:rPr>
            </w:pPr>
            <w:r w:rsidRPr="00B44B19">
              <w:rPr>
                <w:sz w:val="20"/>
                <w:szCs w:val="20"/>
                <w:lang w:eastAsia="lt-LT"/>
              </w:rPr>
              <w:t>VVL regionas</w:t>
            </w:r>
          </w:p>
        </w:tc>
        <w:tc>
          <w:tcPr>
            <w:tcW w:w="1134" w:type="dxa"/>
            <w:vMerge/>
          </w:tcPr>
          <w:p w14:paraId="42F2D8B2" w14:textId="77777777" w:rsidR="00F63837" w:rsidRPr="00B44B19" w:rsidRDefault="00F63837" w:rsidP="004E51DE">
            <w:pPr>
              <w:jc w:val="center"/>
              <w:rPr>
                <w:iCs/>
                <w:noProof/>
                <w:sz w:val="20"/>
              </w:rPr>
            </w:pPr>
          </w:p>
        </w:tc>
        <w:tc>
          <w:tcPr>
            <w:tcW w:w="3827" w:type="dxa"/>
            <w:vMerge/>
          </w:tcPr>
          <w:p w14:paraId="79700F49" w14:textId="77777777" w:rsidR="00F63837" w:rsidRPr="00B44B19" w:rsidRDefault="00F63837" w:rsidP="004E51DE">
            <w:pPr>
              <w:jc w:val="center"/>
              <w:rPr>
                <w:iCs/>
                <w:noProof/>
                <w:sz w:val="20"/>
              </w:rPr>
            </w:pPr>
          </w:p>
        </w:tc>
        <w:tc>
          <w:tcPr>
            <w:tcW w:w="1559" w:type="dxa"/>
          </w:tcPr>
          <w:p w14:paraId="5B074F91" w14:textId="77777777" w:rsidR="00F63837" w:rsidRPr="00B44B19" w:rsidRDefault="00F63837" w:rsidP="004E51DE">
            <w:pPr>
              <w:jc w:val="right"/>
              <w:rPr>
                <w:iCs/>
                <w:noProof/>
                <w:sz w:val="20"/>
              </w:rPr>
            </w:pPr>
            <w:r w:rsidRPr="00B44B19">
              <w:rPr>
                <w:iCs/>
                <w:noProof/>
                <w:sz w:val="20"/>
              </w:rPr>
              <w:t>24 880 716,00</w:t>
            </w:r>
          </w:p>
        </w:tc>
      </w:tr>
      <w:tr w:rsidR="00F63837" w:rsidRPr="00B44B19" w14:paraId="78A77600" w14:textId="77777777" w:rsidTr="00F63837">
        <w:tc>
          <w:tcPr>
            <w:tcW w:w="1095" w:type="dxa"/>
            <w:vMerge/>
          </w:tcPr>
          <w:p w14:paraId="6750E947" w14:textId="77777777" w:rsidR="00F63837" w:rsidRPr="00B44B19" w:rsidRDefault="00F63837" w:rsidP="004E51DE">
            <w:pPr>
              <w:jc w:val="center"/>
              <w:rPr>
                <w:iCs/>
                <w:noProof/>
                <w:sz w:val="20"/>
              </w:rPr>
            </w:pPr>
          </w:p>
        </w:tc>
        <w:tc>
          <w:tcPr>
            <w:tcW w:w="856" w:type="dxa"/>
            <w:vMerge/>
          </w:tcPr>
          <w:p w14:paraId="26124374" w14:textId="77777777" w:rsidR="00F63837" w:rsidRPr="00B44B19" w:rsidRDefault="00F63837" w:rsidP="004E51DE">
            <w:pPr>
              <w:jc w:val="center"/>
              <w:rPr>
                <w:iCs/>
                <w:noProof/>
                <w:sz w:val="20"/>
              </w:rPr>
            </w:pPr>
          </w:p>
        </w:tc>
        <w:tc>
          <w:tcPr>
            <w:tcW w:w="1418" w:type="dxa"/>
          </w:tcPr>
          <w:p w14:paraId="25B279E1" w14:textId="77777777" w:rsidR="00F63837" w:rsidRPr="00B44B19" w:rsidRDefault="00F63837" w:rsidP="002E0C6A">
            <w:pPr>
              <w:rPr>
                <w:iCs/>
                <w:noProof/>
                <w:sz w:val="20"/>
              </w:rPr>
            </w:pPr>
            <w:r w:rsidRPr="00B44B19">
              <w:rPr>
                <w:sz w:val="20"/>
                <w:szCs w:val="20"/>
                <w:lang w:eastAsia="lt-LT"/>
              </w:rPr>
              <w:t>Sostinės regionas</w:t>
            </w:r>
          </w:p>
        </w:tc>
        <w:tc>
          <w:tcPr>
            <w:tcW w:w="1134" w:type="dxa"/>
            <w:vMerge/>
          </w:tcPr>
          <w:p w14:paraId="4AFA842E" w14:textId="77777777" w:rsidR="00F63837" w:rsidRPr="00B44B19" w:rsidRDefault="00F63837" w:rsidP="004E51DE">
            <w:pPr>
              <w:jc w:val="center"/>
              <w:rPr>
                <w:iCs/>
                <w:noProof/>
                <w:sz w:val="20"/>
              </w:rPr>
            </w:pPr>
          </w:p>
        </w:tc>
        <w:tc>
          <w:tcPr>
            <w:tcW w:w="3827" w:type="dxa"/>
            <w:vMerge w:val="restart"/>
          </w:tcPr>
          <w:p w14:paraId="07ADB194" w14:textId="77777777" w:rsidR="00F63837" w:rsidRPr="00B44B19" w:rsidRDefault="00F63837" w:rsidP="002E0C6A">
            <w:pPr>
              <w:rPr>
                <w:iCs/>
                <w:noProof/>
                <w:sz w:val="20"/>
              </w:rPr>
            </w:pPr>
            <w:r w:rsidRPr="00B44B19">
              <w:rPr>
                <w:iCs/>
                <w:noProof/>
                <w:sz w:val="20"/>
              </w:rPr>
              <w:t>03 – Neutralumas lyties požiūriu</w:t>
            </w:r>
          </w:p>
        </w:tc>
        <w:tc>
          <w:tcPr>
            <w:tcW w:w="1559" w:type="dxa"/>
          </w:tcPr>
          <w:p w14:paraId="2D823E94" w14:textId="77777777" w:rsidR="00F63837" w:rsidRPr="00B44B19" w:rsidRDefault="00F63837" w:rsidP="002E0C6A">
            <w:pPr>
              <w:jc w:val="right"/>
              <w:rPr>
                <w:iCs/>
                <w:noProof/>
                <w:sz w:val="20"/>
              </w:rPr>
            </w:pPr>
            <w:r w:rsidRPr="00B44B19">
              <w:rPr>
                <w:sz w:val="20"/>
                <w:szCs w:val="20"/>
                <w:lang w:eastAsia="lt-LT"/>
              </w:rPr>
              <w:t>6 443 938,00</w:t>
            </w:r>
          </w:p>
        </w:tc>
      </w:tr>
      <w:tr w:rsidR="00F63837" w:rsidRPr="00B44B19" w14:paraId="00FE1C41" w14:textId="77777777" w:rsidTr="00F63837">
        <w:tc>
          <w:tcPr>
            <w:tcW w:w="1095" w:type="dxa"/>
            <w:vMerge/>
          </w:tcPr>
          <w:p w14:paraId="4B66CDB8" w14:textId="77777777" w:rsidR="00F63837" w:rsidRPr="00B44B19" w:rsidRDefault="00F63837" w:rsidP="004E51DE">
            <w:pPr>
              <w:jc w:val="center"/>
              <w:rPr>
                <w:iCs/>
                <w:noProof/>
                <w:sz w:val="20"/>
              </w:rPr>
            </w:pPr>
          </w:p>
        </w:tc>
        <w:tc>
          <w:tcPr>
            <w:tcW w:w="856" w:type="dxa"/>
            <w:vMerge/>
          </w:tcPr>
          <w:p w14:paraId="41EEDF17" w14:textId="77777777" w:rsidR="00F63837" w:rsidRPr="00B44B19" w:rsidRDefault="00F63837" w:rsidP="004E51DE">
            <w:pPr>
              <w:jc w:val="center"/>
              <w:rPr>
                <w:iCs/>
                <w:noProof/>
                <w:sz w:val="20"/>
              </w:rPr>
            </w:pPr>
          </w:p>
        </w:tc>
        <w:tc>
          <w:tcPr>
            <w:tcW w:w="1418" w:type="dxa"/>
          </w:tcPr>
          <w:p w14:paraId="03F147A1" w14:textId="77777777" w:rsidR="00F63837" w:rsidRPr="00B44B19" w:rsidRDefault="00F63837" w:rsidP="002E0C6A">
            <w:pPr>
              <w:rPr>
                <w:iCs/>
                <w:noProof/>
                <w:sz w:val="20"/>
              </w:rPr>
            </w:pPr>
            <w:r w:rsidRPr="00B44B19">
              <w:rPr>
                <w:sz w:val="20"/>
                <w:szCs w:val="20"/>
                <w:lang w:eastAsia="lt-LT"/>
              </w:rPr>
              <w:t>VVL regionas</w:t>
            </w:r>
          </w:p>
        </w:tc>
        <w:tc>
          <w:tcPr>
            <w:tcW w:w="1134" w:type="dxa"/>
            <w:vMerge/>
          </w:tcPr>
          <w:p w14:paraId="5A55AFE6" w14:textId="77777777" w:rsidR="00F63837" w:rsidRPr="00B44B19" w:rsidRDefault="00F63837" w:rsidP="004E51DE">
            <w:pPr>
              <w:jc w:val="center"/>
              <w:rPr>
                <w:iCs/>
                <w:noProof/>
                <w:sz w:val="20"/>
              </w:rPr>
            </w:pPr>
          </w:p>
        </w:tc>
        <w:tc>
          <w:tcPr>
            <w:tcW w:w="3827" w:type="dxa"/>
            <w:vMerge/>
          </w:tcPr>
          <w:p w14:paraId="2449DE2D" w14:textId="77777777" w:rsidR="00F63837" w:rsidRPr="00B44B19" w:rsidRDefault="00F63837" w:rsidP="004E51DE">
            <w:pPr>
              <w:jc w:val="center"/>
              <w:rPr>
                <w:iCs/>
                <w:noProof/>
                <w:sz w:val="20"/>
              </w:rPr>
            </w:pPr>
          </w:p>
        </w:tc>
        <w:tc>
          <w:tcPr>
            <w:tcW w:w="1559" w:type="dxa"/>
          </w:tcPr>
          <w:p w14:paraId="40DD3319" w14:textId="77777777" w:rsidR="00F63837" w:rsidRPr="00B44B19" w:rsidRDefault="00F63837" w:rsidP="004E51DE">
            <w:pPr>
              <w:jc w:val="right"/>
              <w:rPr>
                <w:sz w:val="20"/>
                <w:szCs w:val="20"/>
                <w:lang w:eastAsia="lt-LT"/>
              </w:rPr>
            </w:pPr>
            <w:r w:rsidRPr="00B44B19">
              <w:rPr>
                <w:sz w:val="20"/>
                <w:szCs w:val="20"/>
                <w:lang w:eastAsia="lt-LT"/>
              </w:rPr>
              <w:t>91 132 869,00</w:t>
            </w:r>
          </w:p>
        </w:tc>
      </w:tr>
    </w:tbl>
    <w:p w14:paraId="2F8E98BF" w14:textId="77777777" w:rsidR="00D973F5" w:rsidRPr="00B44B19" w:rsidRDefault="00D973F5" w:rsidP="00D456C1">
      <w:pPr>
        <w:pStyle w:val="Antrat2"/>
      </w:pPr>
      <w:bookmarkStart w:id="41" w:name="_Toc223435429"/>
      <w:r w:rsidRPr="00B44B19">
        <w:t>Konkretus uždavinys – 4.4</w:t>
      </w:r>
      <w:r w:rsidR="00605FE0" w:rsidRPr="00B44B19">
        <w:t>.</w:t>
      </w:r>
      <w:r w:rsidRPr="00B44B19">
        <w:t xml:space="preserve"> </w:t>
      </w:r>
      <w:r w:rsidR="00E06B48" w:rsidRPr="00B44B19">
        <w:rPr>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bookmarkEnd w:id="41"/>
    </w:p>
    <w:p w14:paraId="0C869488" w14:textId="77777777" w:rsidR="00D973F5" w:rsidRPr="00B44B19" w:rsidRDefault="00D973F5" w:rsidP="00783D09">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
        <w:tblW w:w="9889" w:type="dxa"/>
        <w:tblLook w:val="04A0" w:firstRow="1" w:lastRow="0" w:firstColumn="1" w:lastColumn="0" w:noHBand="0" w:noVBand="1"/>
      </w:tblPr>
      <w:tblGrid>
        <w:gridCol w:w="9889"/>
      </w:tblGrid>
      <w:tr w:rsidR="00D973F5" w:rsidRPr="00B44B19" w14:paraId="1E1D97A1" w14:textId="77777777" w:rsidTr="0008019E">
        <w:tc>
          <w:tcPr>
            <w:tcW w:w="9889" w:type="dxa"/>
          </w:tcPr>
          <w:p w14:paraId="21FCECC7" w14:textId="77777777" w:rsidR="00743681" w:rsidRPr="00B44B19" w:rsidRDefault="00743681" w:rsidP="007D0221">
            <w:pPr>
              <w:spacing w:before="60" w:after="60"/>
              <w:jc w:val="both"/>
              <w:rPr>
                <w:rFonts w:eastAsia="Times New Roman" w:cs="Times New Roman"/>
                <w:sz w:val="22"/>
              </w:rPr>
            </w:pPr>
            <w:r w:rsidRPr="00B44B19">
              <w:rPr>
                <w:rFonts w:eastAsia="Times New Roman" w:cs="Times New Roman"/>
                <w:noProof/>
                <w:sz w:val="22"/>
              </w:rPr>
              <w:lastRenderedPageBreak/>
              <w:t xml:space="preserve">Pagrindinis šių intervencijų uždavinys yra prisidėti prie MVG rodiklių didinimo </w:t>
            </w:r>
            <w:r w:rsidRPr="00B44B19">
              <w:rPr>
                <w:rFonts w:cs="Times New Roman"/>
                <w:sz w:val="22"/>
              </w:rPr>
              <w:t>Li</w:t>
            </w:r>
            <w:r w:rsidRPr="00B44B19">
              <w:rPr>
                <w:rFonts w:eastAsiaTheme="minorEastAsia" w:cs="Times New Roman"/>
                <w:sz w:val="22"/>
              </w:rPr>
              <w:t>etuvoje, kuris atsilieka nuo ES vidurkio (2020 m. sudarė 5,9</w:t>
            </w:r>
            <w:r w:rsidR="00C93D8C" w:rsidRPr="00B44B19">
              <w:rPr>
                <w:rFonts w:eastAsiaTheme="minorEastAsia" w:cs="Times New Roman"/>
                <w:sz w:val="22"/>
              </w:rPr>
              <w:t> %</w:t>
            </w:r>
            <w:r w:rsidRPr="00B44B19">
              <w:rPr>
                <w:rFonts w:eastAsiaTheme="minorEastAsia" w:cs="Times New Roman"/>
                <w:sz w:val="22"/>
              </w:rPr>
              <w:t>, o ES vidurkis – 10,9</w:t>
            </w:r>
            <w:r w:rsidR="00C93D8C" w:rsidRPr="00B44B19">
              <w:rPr>
                <w:rFonts w:eastAsiaTheme="minorEastAsia" w:cs="Times New Roman"/>
                <w:sz w:val="22"/>
              </w:rPr>
              <w:t> %</w:t>
            </w:r>
            <w:r w:rsidRPr="00B44B19">
              <w:rPr>
                <w:rFonts w:eastAsiaTheme="minorEastAsia" w:cs="Times New Roman"/>
                <w:sz w:val="22"/>
              </w:rPr>
              <w:t xml:space="preserve">). Suaugusiųjų įsitraukimas į įvairias MVG formas yra nepakankamas, visuomenė, ypač regionuose, nėra susiformavusi teisingų nuostatų MVG srityje. Profesinio mokymo situacija ir tendencijos rodo, kad nėra pakankamai išnaudojamas profesinio mokymo sistemos potencialas sprendžiant įgūdžių pasiūlos ir paklausos neatitikties mažinimą. Nors susiduriama su darbo jėgos trūkumu, profesinis orientavimas nėra pasiekiamas visoms visuomenės grupėms. Susiduriama ir su nepakankamu mokymo paslaugų pritaikymu ateities poreikiams. Suaugusiųjų švietimo sistema neturi galimybių reaguoti į iššūkius, kylančius dėl senėjančios visuomenės ir dėl </w:t>
            </w:r>
            <w:r w:rsidR="002F4119" w:rsidRPr="00B44B19">
              <w:rPr>
                <w:rFonts w:eastAsiaTheme="minorEastAsia" w:cs="Times New Roman"/>
                <w:sz w:val="22"/>
              </w:rPr>
              <w:t>DR</w:t>
            </w:r>
            <w:r w:rsidRPr="00B44B19">
              <w:rPr>
                <w:rFonts w:eastAsiaTheme="minorEastAsia" w:cs="Times New Roman"/>
                <w:sz w:val="22"/>
              </w:rPr>
              <w:t xml:space="preserve"> reikalingų įgūdžių pokyčių, susijusių su inovacijomis. Augantis aukštos kvalifikacijos dirbančiųjų poreikis kelia riziką žemos kvalifikacijos suaugusiųjų užimtumui. Atsižvelgiant į šiuos iššūkius, bus įgyvendinamos į pokytį orientuotos tikslinės intervencijos, prioritetą teikiant inovatyvaus ir asmeninio pasirinkimo galimybėmis grįsto MVG modelio įgyvendinimui. Taip pat numatoma integruoti žemos kvalifikacijos suaugusius asmenis, migrantus, pabėgėlius ir kt. į </w:t>
            </w:r>
            <w:r w:rsidR="002F4119" w:rsidRPr="00B44B19">
              <w:rPr>
                <w:rFonts w:eastAsiaTheme="minorEastAsia" w:cs="Times New Roman"/>
                <w:sz w:val="22"/>
              </w:rPr>
              <w:t>DR</w:t>
            </w:r>
            <w:r w:rsidRPr="00B44B19">
              <w:rPr>
                <w:rFonts w:eastAsiaTheme="minorEastAsia" w:cs="Times New Roman"/>
                <w:sz w:val="22"/>
              </w:rPr>
              <w:t>, tobulinti jų įgūdžius ir bendrąsias kompetencijas, prioritetą teikiant skaitmeninėms kompetencijoms</w:t>
            </w:r>
            <w:r w:rsidRPr="00B44B19">
              <w:rPr>
                <w:rFonts w:eastAsia="Times New Roman" w:cs="Times New Roman"/>
                <w:sz w:val="22"/>
              </w:rPr>
              <w:t xml:space="preserve">. Intervencijos bus vykdomos atsižvelgiant į EBPO Įgūdžių strategijoje </w:t>
            </w:r>
            <w:r w:rsidRPr="00B44B19">
              <w:rPr>
                <w:rFonts w:eastAsia="Times New Roman" w:cs="Times New Roman"/>
                <w:i/>
                <w:iCs/>
                <w:sz w:val="22"/>
              </w:rPr>
              <w:t>(angl. Skills Strategy)</w:t>
            </w:r>
            <w:r w:rsidRPr="00B44B19">
              <w:rPr>
                <w:rFonts w:eastAsia="Times New Roman" w:cs="Times New Roman"/>
                <w:sz w:val="22"/>
              </w:rPr>
              <w:t xml:space="preserve"> pateiktas rekomendacijas.</w:t>
            </w:r>
          </w:p>
          <w:p w14:paraId="7F14556F" w14:textId="77777777" w:rsidR="00743681" w:rsidRPr="00B44B19" w:rsidRDefault="00743681" w:rsidP="007D0221">
            <w:pPr>
              <w:spacing w:before="60" w:after="60"/>
              <w:jc w:val="both"/>
              <w:rPr>
                <w:rFonts w:eastAsia="Times New Roman" w:cs="Times New Roman"/>
                <w:noProof/>
                <w:sz w:val="22"/>
              </w:rPr>
            </w:pPr>
            <w:r w:rsidRPr="00B44B19">
              <w:rPr>
                <w:rFonts w:eastAsia="Times New Roman" w:cs="Times New Roman"/>
                <w:noProof/>
                <w:sz w:val="22"/>
              </w:rPr>
              <w:t xml:space="preserve">2014–2020 m. MVG srityje investicijos buvo skirtos profesinio mokymo ir MVG IT ir registrų plėtrai, </w:t>
            </w:r>
            <w:r w:rsidR="00853B4B" w:rsidRPr="00B44B19">
              <w:rPr>
                <w:rFonts w:eastAsia="Times New Roman" w:cs="Times New Roman"/>
                <w:noProof/>
                <w:sz w:val="22"/>
              </w:rPr>
              <w:t xml:space="preserve">MVG sampratai populiarinti, profesinio mokymo patrauklumui didinti, o naujo periodo investicijos reikalingos </w:t>
            </w:r>
            <w:r w:rsidR="00494DE0" w:rsidRPr="00B44B19">
              <w:rPr>
                <w:rFonts w:eastAsia="Times New Roman" w:cs="Times New Roman"/>
                <w:noProof/>
                <w:sz w:val="22"/>
              </w:rPr>
              <w:t>vieningai MVG sistemai plėtoti</w:t>
            </w:r>
            <w:r w:rsidR="00853B4B" w:rsidRPr="00B44B19">
              <w:rPr>
                <w:rFonts w:eastAsia="Times New Roman" w:cs="Times New Roman"/>
                <w:noProof/>
                <w:sz w:val="22"/>
              </w:rPr>
              <w:t>.</w:t>
            </w:r>
            <w:r w:rsidRPr="00B44B19">
              <w:rPr>
                <w:rFonts w:eastAsia="Times New Roman" w:cs="Times New Roman"/>
                <w:noProof/>
                <w:sz w:val="22"/>
              </w:rPr>
              <w:t xml:space="preserve"> Atnaujinamos MVG sistemos esmė – sudaryti sąlygas asmenims gauti naudingus kompetencijų tobulinimo pasiūlymus, pagrįstus kryptingu asmeniniu pasirinkimu, kuris remtųsi objektyvia informacija apie </w:t>
            </w:r>
            <w:r w:rsidR="002F4119" w:rsidRPr="00B44B19">
              <w:rPr>
                <w:rFonts w:eastAsia="Times New Roman" w:cs="Times New Roman"/>
                <w:noProof/>
                <w:sz w:val="22"/>
              </w:rPr>
              <w:t>DR</w:t>
            </w:r>
            <w:r w:rsidRPr="00B44B19">
              <w:rPr>
                <w:rFonts w:eastAsia="Times New Roman" w:cs="Times New Roman"/>
                <w:noProof/>
                <w:sz w:val="22"/>
              </w:rPr>
              <w:t xml:space="preserve">. Vienas iš numatomų atnaujintos MVG sistemos siekių – užtikrinti geresnį informacijos apie </w:t>
            </w:r>
            <w:r w:rsidR="002F4119" w:rsidRPr="00B44B19">
              <w:rPr>
                <w:rFonts w:eastAsia="Times New Roman" w:cs="Times New Roman"/>
                <w:noProof/>
                <w:sz w:val="22"/>
              </w:rPr>
              <w:t>DR</w:t>
            </w:r>
            <w:r w:rsidRPr="00B44B19">
              <w:rPr>
                <w:rFonts w:eastAsia="Times New Roman" w:cs="Times New Roman"/>
                <w:noProof/>
                <w:sz w:val="22"/>
              </w:rPr>
              <w:t xml:space="preserve"> poreikius perdavimą. Atsižvelgiant į akivaizdžias </w:t>
            </w:r>
            <w:r w:rsidR="00494DE0" w:rsidRPr="00B44B19">
              <w:rPr>
                <w:rFonts w:eastAsia="Times New Roman" w:cs="Times New Roman"/>
                <w:noProof/>
                <w:sz w:val="22"/>
              </w:rPr>
              <w:t>planuojamos MVG sistemos įgyvendinimo</w:t>
            </w:r>
            <w:r w:rsidRPr="00B44B19">
              <w:rPr>
                <w:rFonts w:eastAsia="Times New Roman" w:cs="Times New Roman"/>
                <w:noProof/>
                <w:sz w:val="22"/>
              </w:rPr>
              <w:t xml:space="preserve"> modelio ir </w:t>
            </w:r>
            <w:r w:rsidR="002F4119" w:rsidRPr="00B44B19">
              <w:rPr>
                <w:rFonts w:eastAsia="Times New Roman" w:cs="Times New Roman"/>
                <w:noProof/>
                <w:sz w:val="22"/>
              </w:rPr>
              <w:t>DR</w:t>
            </w:r>
            <w:r w:rsidRPr="00B44B19">
              <w:rPr>
                <w:rFonts w:eastAsia="Times New Roman" w:cs="Times New Roman"/>
                <w:noProof/>
                <w:sz w:val="22"/>
              </w:rPr>
              <w:t xml:space="preserve"> sąsajas, darbdaviai ir partneriai bus skatinami įsitraukti į </w:t>
            </w:r>
            <w:r w:rsidR="00494DE0" w:rsidRPr="00B44B19">
              <w:rPr>
                <w:rFonts w:eastAsia="Times New Roman" w:cs="Times New Roman"/>
                <w:noProof/>
                <w:sz w:val="22"/>
              </w:rPr>
              <w:t>MVG sistemos plėtojimo</w:t>
            </w:r>
            <w:r w:rsidRPr="00B44B19">
              <w:rPr>
                <w:rFonts w:eastAsia="Times New Roman" w:cs="Times New Roman"/>
                <w:noProof/>
                <w:sz w:val="22"/>
              </w:rPr>
              <w:t xml:space="preserve"> veiklas. 2014–2020 m. investicijos buvo skirtos formaliojo ir neformaliojo mokymosi galimybių plėtrai įvairioms besimokančiųjų grupėms (suaugusiesiems, nebaigusiems BU programos; mokytojams, siekianties įgyti aukštojo mokslo kvalifijaciją arba jos dalį; mokiniams iš socialiai jautrių grupių profesiniame mokyme ir pan.), o </w:t>
            </w:r>
            <w:r w:rsidR="00714D8E" w:rsidRPr="00B44B19">
              <w:rPr>
                <w:rFonts w:eastAsia="Times New Roman" w:cs="Times New Roman"/>
                <w:noProof/>
                <w:sz w:val="22"/>
              </w:rPr>
              <w:t>2021</w:t>
            </w:r>
            <w:r w:rsidR="00B869CF" w:rsidRPr="00B44B19">
              <w:rPr>
                <w:rFonts w:eastAsia="Times New Roman" w:cs="Times New Roman"/>
                <w:noProof/>
                <w:sz w:val="22"/>
              </w:rPr>
              <w:t>–</w:t>
            </w:r>
            <w:r w:rsidR="00714D8E" w:rsidRPr="00B44B19">
              <w:rPr>
                <w:rFonts w:eastAsia="Times New Roman" w:cs="Times New Roman"/>
                <w:noProof/>
                <w:sz w:val="22"/>
              </w:rPr>
              <w:t>2027 m.</w:t>
            </w:r>
            <w:r w:rsidRPr="00B44B19">
              <w:rPr>
                <w:rFonts w:eastAsia="Times New Roman" w:cs="Times New Roman"/>
                <w:noProof/>
                <w:sz w:val="22"/>
              </w:rPr>
              <w:t xml:space="preserve"> laikotarpio investicijas tikslinga nukreipti į žemos kvalifikacijos susaugusiuosius tobulinant jų </w:t>
            </w:r>
            <w:r w:rsidR="006A3770" w:rsidRPr="00B44B19">
              <w:rPr>
                <w:rFonts w:eastAsia="Times New Roman" w:cs="Times New Roman"/>
                <w:noProof/>
                <w:sz w:val="22"/>
              </w:rPr>
              <w:t xml:space="preserve">įgūdžius (taip pat atsižvelgiant į žaliųjų įgūdžių svarbą) ir </w:t>
            </w:r>
            <w:r w:rsidRPr="00B44B19">
              <w:rPr>
                <w:rFonts w:eastAsia="Times New Roman" w:cs="Times New Roman"/>
                <w:noProof/>
                <w:sz w:val="22"/>
              </w:rPr>
              <w:t>kompetencijas.</w:t>
            </w:r>
          </w:p>
          <w:p w14:paraId="4A1E824A" w14:textId="77777777" w:rsidR="00743681" w:rsidRPr="00B44B19" w:rsidRDefault="00743681" w:rsidP="007D0221">
            <w:pPr>
              <w:spacing w:before="60" w:after="60"/>
              <w:jc w:val="both"/>
              <w:rPr>
                <w:rFonts w:eastAsia="Times New Roman" w:cs="Times New Roman"/>
                <w:noProof/>
                <w:sz w:val="22"/>
              </w:rPr>
            </w:pPr>
            <w:r w:rsidRPr="00B44B19">
              <w:rPr>
                <w:rFonts w:eastAsia="Times New Roman" w:cs="Times New Roman"/>
                <w:noProof/>
                <w:sz w:val="22"/>
              </w:rPr>
              <w:t>Veik</w:t>
            </w:r>
            <w:r w:rsidR="005562DA" w:rsidRPr="00B44B19">
              <w:rPr>
                <w:rFonts w:eastAsia="Times New Roman" w:cs="Times New Roman"/>
                <w:noProof/>
                <w:sz w:val="22"/>
              </w:rPr>
              <w:t>smų rūšys</w:t>
            </w:r>
            <w:r w:rsidRPr="00B44B19">
              <w:rPr>
                <w:rFonts w:eastAsia="Times New Roman" w:cs="Times New Roman"/>
                <w:noProof/>
                <w:sz w:val="22"/>
              </w:rPr>
              <w:t xml:space="preserve">, siekiant didinti MVG ir pažeidžiamų grupių integraciją į </w:t>
            </w:r>
            <w:r w:rsidR="002F4119" w:rsidRPr="00B44B19">
              <w:rPr>
                <w:rFonts w:eastAsia="Times New Roman" w:cs="Times New Roman"/>
                <w:noProof/>
                <w:sz w:val="22"/>
              </w:rPr>
              <w:t>DR</w:t>
            </w:r>
            <w:r w:rsidRPr="00B44B19">
              <w:rPr>
                <w:rFonts w:eastAsia="Times New Roman" w:cs="Times New Roman"/>
                <w:noProof/>
                <w:sz w:val="22"/>
              </w:rPr>
              <w:t>:</w:t>
            </w:r>
          </w:p>
          <w:p w14:paraId="0F7935F7" w14:textId="7C26E893" w:rsidR="00743681" w:rsidRPr="00B44B19" w:rsidRDefault="00743681" w:rsidP="007D0221">
            <w:pPr>
              <w:spacing w:before="60" w:after="60"/>
              <w:jc w:val="both"/>
              <w:rPr>
                <w:rFonts w:cs="Times New Roman"/>
                <w:sz w:val="22"/>
              </w:rPr>
            </w:pPr>
            <w:r w:rsidRPr="00B44B19">
              <w:rPr>
                <w:rFonts w:cs="Times New Roman"/>
                <w:b/>
                <w:bCs/>
                <w:sz w:val="22"/>
              </w:rPr>
              <w:t>Didinti dalyvavimą MVG</w:t>
            </w:r>
            <w:r w:rsidRPr="00B44B19">
              <w:rPr>
                <w:rFonts w:cs="Times New Roman"/>
                <w:bCs/>
                <w:sz w:val="22"/>
              </w:rPr>
              <w:t xml:space="preserve">: </w:t>
            </w:r>
            <w:r w:rsidR="00494DE0" w:rsidRPr="00B44B19">
              <w:rPr>
                <w:rFonts w:cs="Times New Roman"/>
                <w:sz w:val="22"/>
              </w:rPr>
              <w:t>plėtoti inovatyvią, vieningą,</w:t>
            </w:r>
            <w:r w:rsidR="002000C3" w:rsidRPr="00B44B19">
              <w:rPr>
                <w:rFonts w:cs="Times New Roman"/>
                <w:sz w:val="22"/>
              </w:rPr>
              <w:t xml:space="preserve"> </w:t>
            </w:r>
            <w:r w:rsidR="00494DE0" w:rsidRPr="00B44B19">
              <w:rPr>
                <w:rFonts w:cs="Times New Roman"/>
                <w:sz w:val="22"/>
              </w:rPr>
              <w:t xml:space="preserve">asmeninio pasirinkimo galimybėmis ir </w:t>
            </w:r>
            <w:r w:rsidR="002F4119" w:rsidRPr="00B44B19">
              <w:rPr>
                <w:rFonts w:cs="Times New Roman"/>
                <w:sz w:val="22"/>
              </w:rPr>
              <w:t>DR</w:t>
            </w:r>
            <w:r w:rsidR="006A3770" w:rsidRPr="00B44B19">
              <w:rPr>
                <w:rFonts w:cs="Times New Roman"/>
                <w:sz w:val="22"/>
              </w:rPr>
              <w:t xml:space="preserve"> </w:t>
            </w:r>
            <w:r w:rsidR="00494DE0" w:rsidRPr="00B44B19">
              <w:rPr>
                <w:rFonts w:cs="Times New Roman"/>
                <w:sz w:val="22"/>
              </w:rPr>
              <w:t xml:space="preserve">poreikiais grįstą MVG sistemą, apimančią </w:t>
            </w:r>
            <w:r w:rsidRPr="00B44B19">
              <w:rPr>
                <w:rFonts w:cs="Times New Roman"/>
                <w:sz w:val="22"/>
              </w:rPr>
              <w:t>įvairias profesinio orientavimo, mokymosi, kompetencijų ir kvalifikacijų pripažinimo galimybes besimokantiems, dirbantiems ir nedirbantiems asmenimis. Ši veikla bus įgyvendinama VVL ir Sostinės regionuose.</w:t>
            </w:r>
          </w:p>
          <w:p w14:paraId="3817F97B" w14:textId="77777777" w:rsidR="00D973F5" w:rsidRPr="00B44B19" w:rsidRDefault="00743681" w:rsidP="007D0221">
            <w:pPr>
              <w:spacing w:before="60" w:after="60"/>
              <w:jc w:val="both"/>
              <w:rPr>
                <w:rFonts w:eastAsia="Times New Roman" w:cs="Times New Roman"/>
                <w:sz w:val="22"/>
              </w:rPr>
            </w:pPr>
            <w:r w:rsidRPr="00B44B19">
              <w:rPr>
                <w:rFonts w:cs="Times New Roman"/>
                <w:b/>
                <w:bCs/>
                <w:sz w:val="22"/>
              </w:rPr>
              <w:t xml:space="preserve">Integruoti žemos kvalifikacijos suaugusius asmenis, migrantus, pabėgėlius ir kt. pažeidžiamas grupes į </w:t>
            </w:r>
            <w:r w:rsidR="002F4119" w:rsidRPr="00B44B19">
              <w:rPr>
                <w:rFonts w:cs="Times New Roman"/>
                <w:b/>
                <w:bCs/>
                <w:sz w:val="22"/>
              </w:rPr>
              <w:t>DR</w:t>
            </w:r>
            <w:r w:rsidRPr="00B44B19">
              <w:rPr>
                <w:rFonts w:cs="Times New Roman"/>
                <w:sz w:val="22"/>
              </w:rPr>
              <w:t>: ž</w:t>
            </w:r>
            <w:r w:rsidRPr="00B44B19">
              <w:rPr>
                <w:rFonts w:eastAsia="Times New Roman" w:cs="Times New Roman"/>
                <w:sz w:val="22"/>
              </w:rPr>
              <w:t xml:space="preserve">emos kvalifikacijos suaugusiųjų (ypač vyresnio amžiaus žmonių) įgūdžių (darbinių ir ypač skaitmeninių) tobulinimas, visuomenės atsparumo netikrumui, </w:t>
            </w:r>
            <w:r w:rsidR="00853B4B" w:rsidRPr="00B44B19">
              <w:rPr>
                <w:rFonts w:eastAsia="Times New Roman" w:cs="Times New Roman"/>
                <w:sz w:val="22"/>
              </w:rPr>
              <w:t xml:space="preserve">kurį lemia </w:t>
            </w:r>
            <w:r w:rsidRPr="00B44B19">
              <w:rPr>
                <w:rFonts w:eastAsia="Times New Roman" w:cs="Times New Roman"/>
                <w:sz w:val="22"/>
              </w:rPr>
              <w:t xml:space="preserve">įvairūs globalūs svyravimai, didinimas (pvz., bendrųjų gebėjimų atnaujinimas, įgūdžių versliam karjeros planavimui ugdymas), gyventojų, ypač pažeidžiamų visuomenės grupių narių, perkeliamų gebėjimų ugdymas, siekiant padidinti žemos kvalifikacijos suaugusiųjų galimybes sėkmingiau integruotis į </w:t>
            </w:r>
            <w:r w:rsidR="002F4119" w:rsidRPr="00B44B19">
              <w:rPr>
                <w:rFonts w:eastAsia="Times New Roman" w:cs="Times New Roman"/>
                <w:sz w:val="22"/>
              </w:rPr>
              <w:t>DR</w:t>
            </w:r>
            <w:r w:rsidRPr="00B44B19">
              <w:rPr>
                <w:rFonts w:eastAsia="Times New Roman" w:cs="Times New Roman"/>
                <w:sz w:val="22"/>
              </w:rPr>
              <w:t>; BU sistemos atnaujinimas suaugusiems asmenims (migrantams ir kt.) – suaugusiesiems tinkamų mokymo(si) formų, įskaitant nuotolinį mokymą(si), konsultacijas, įvedimas ir t.</w:t>
            </w:r>
            <w:r w:rsidR="00853B4B" w:rsidRPr="00B44B19">
              <w:rPr>
                <w:rFonts w:eastAsia="Times New Roman" w:cs="Times New Roman"/>
                <w:sz w:val="22"/>
              </w:rPr>
              <w:t xml:space="preserve"> </w:t>
            </w:r>
            <w:r w:rsidRPr="00B44B19">
              <w:rPr>
                <w:rFonts w:eastAsia="Times New Roman" w:cs="Times New Roman"/>
                <w:sz w:val="22"/>
              </w:rPr>
              <w:t>t. Įgyvendinant šias veiklas prioritetas bus teikiamas skaitmeninių įgūdžių tobulinimui. Ši veikla bus įgyvendinama VVL regione.</w:t>
            </w:r>
          </w:p>
          <w:p w14:paraId="0ACAB8BB" w14:textId="77777777" w:rsidR="00CF752A" w:rsidRPr="00B44B19" w:rsidRDefault="00334B0C" w:rsidP="007D0221">
            <w:pPr>
              <w:spacing w:before="60" w:after="60"/>
              <w:jc w:val="both"/>
              <w:rPr>
                <w:rFonts w:eastAsia="Times New Roman" w:cs="Times New Roman"/>
                <w:sz w:val="22"/>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r w:rsidR="002D4C4E" w:rsidRPr="00B44B19">
              <w:rPr>
                <w:rFonts w:eastAsia="Times New Roman" w:cs="Times New Roman"/>
                <w:noProof/>
                <w:sz w:val="22"/>
              </w:rPr>
              <w:t>.</w:t>
            </w:r>
          </w:p>
        </w:tc>
      </w:tr>
    </w:tbl>
    <w:p w14:paraId="704ED014" w14:textId="77777777" w:rsidR="00C73AE6" w:rsidRPr="00B44B19" w:rsidRDefault="007D0221" w:rsidP="00783D09">
      <w:pPr>
        <w:pStyle w:val="Stilius1"/>
        <w:rPr>
          <w:rFonts w:cs="Times New Roman"/>
          <w:noProof/>
          <w:lang w:eastAsia="lt-LT" w:bidi="lt-LT"/>
        </w:rPr>
      </w:pPr>
      <w:r w:rsidRPr="00B44B19">
        <w:rPr>
          <w:rFonts w:cs="Times New Roman"/>
          <w:noProof/>
          <w:lang w:eastAsia="lt-LT" w:bidi="lt-LT"/>
        </w:rPr>
        <w:t>Pagrindinės tikslinės grupės</w:t>
      </w:r>
    </w:p>
    <w:tbl>
      <w:tblPr>
        <w:tblStyle w:val="Lentelstinklelis"/>
        <w:tblW w:w="0" w:type="auto"/>
        <w:tblLook w:val="04A0" w:firstRow="1" w:lastRow="0" w:firstColumn="1" w:lastColumn="0" w:noHBand="0" w:noVBand="1"/>
      </w:tblPr>
      <w:tblGrid>
        <w:gridCol w:w="9628"/>
      </w:tblGrid>
      <w:tr w:rsidR="003412E7" w:rsidRPr="00B44B19" w14:paraId="5DA41B7B" w14:textId="77777777" w:rsidTr="003412E7">
        <w:tc>
          <w:tcPr>
            <w:tcW w:w="9854" w:type="dxa"/>
          </w:tcPr>
          <w:p w14:paraId="1A91923E" w14:textId="77777777" w:rsidR="003412E7" w:rsidRPr="00B44B19" w:rsidRDefault="003412E7" w:rsidP="007D0221">
            <w:pPr>
              <w:spacing w:before="60" w:after="60"/>
              <w:jc w:val="both"/>
              <w:rPr>
                <w:rFonts w:eastAsia="Times New Roman" w:cs="Times New Roman"/>
                <w:b/>
                <w:i/>
                <w:iCs/>
                <w:noProof/>
                <w:szCs w:val="24"/>
                <w:lang w:eastAsia="lt-LT" w:bidi="lt-LT"/>
              </w:rPr>
            </w:pPr>
            <w:r w:rsidRPr="00B44B19">
              <w:rPr>
                <w:rFonts w:eastAsia="Times New Roman" w:cs="Times New Roman"/>
                <w:noProof/>
                <w:sz w:val="22"/>
                <w:lang w:eastAsia="lt-LT" w:bidi="lt-LT"/>
              </w:rPr>
              <w:t>Besimokantys, dirbantys ir nedirbantys asmenys (ne jaunesni negu 16 metų asmenys), pasinaudoję MVG modelio teikiamomis galimybėmis, žemos kvalifikacijos suaugusieji, migrantai, mokiniai, pasinaudoję ugdymo karjerai paslaugomis.</w:t>
            </w:r>
          </w:p>
        </w:tc>
      </w:tr>
    </w:tbl>
    <w:p w14:paraId="7BBF180B" w14:textId="77777777" w:rsidR="00C73AE6" w:rsidRPr="00B44B19" w:rsidRDefault="00C73AE6" w:rsidP="00783D09">
      <w:pPr>
        <w:pStyle w:val="Stilius1"/>
        <w:rPr>
          <w:rFonts w:cs="Times New Roman"/>
          <w:noProof/>
          <w:lang w:eastAsia="lt-LT" w:bidi="lt-LT"/>
        </w:rPr>
      </w:pPr>
      <w:r w:rsidRPr="00B44B19">
        <w:rPr>
          <w:rFonts w:cs="Times New Roman"/>
          <w:noProof/>
          <w:lang w:eastAsia="lt-LT" w:bidi="lt-LT"/>
        </w:rPr>
        <w:t>Veiksmai, užtikrinantys lygybę, įtrauktį ir nediskr</w:t>
      </w:r>
      <w:r w:rsidR="007D0221" w:rsidRPr="00B44B19">
        <w:rPr>
          <w:rFonts w:cs="Times New Roman"/>
          <w:noProof/>
          <w:lang w:eastAsia="lt-LT" w:bidi="lt-LT"/>
        </w:rPr>
        <w:t>iminavimą</w:t>
      </w:r>
    </w:p>
    <w:tbl>
      <w:tblPr>
        <w:tblStyle w:val="Lentelstinklelis"/>
        <w:tblW w:w="0" w:type="auto"/>
        <w:tblLook w:val="04A0" w:firstRow="1" w:lastRow="0" w:firstColumn="1" w:lastColumn="0" w:noHBand="0" w:noVBand="1"/>
      </w:tblPr>
      <w:tblGrid>
        <w:gridCol w:w="9628"/>
      </w:tblGrid>
      <w:tr w:rsidR="003412E7" w:rsidRPr="00B44B19" w14:paraId="4222D865" w14:textId="77777777" w:rsidTr="003412E7">
        <w:tc>
          <w:tcPr>
            <w:tcW w:w="9854" w:type="dxa"/>
          </w:tcPr>
          <w:p w14:paraId="6D0A6072" w14:textId="77777777" w:rsidR="003412E7" w:rsidRPr="00B44B19" w:rsidRDefault="003412E7" w:rsidP="007D0221">
            <w:pPr>
              <w:spacing w:before="60" w:after="60"/>
              <w:jc w:val="both"/>
              <w:rPr>
                <w:rFonts w:eastAsia="Times New Roman" w:cs="Times New Roman"/>
                <w:iCs/>
                <w:noProof/>
                <w:sz w:val="22"/>
                <w:lang w:eastAsia="lt-LT" w:bidi="lt-LT"/>
              </w:rPr>
            </w:pPr>
            <w:r w:rsidRPr="00B44B19">
              <w:rPr>
                <w:rFonts w:eastAsia="Times New Roman" w:cs="Times New Roman"/>
                <w:iCs/>
                <w:noProof/>
                <w:sz w:val="22"/>
                <w:lang w:eastAsia="lt-LT" w:bidi="lt-LT"/>
              </w:rPr>
              <w:t>Vykdant numatytas veiklas bus siekiama užtikrinti paslaugų prieinamumą žemos kvalifikacijos asmenims. Veiksmai, užtikrinantys lygybės, įtraukties ir nediskriminavimo principų skatinimą, bus integruoti į projektų atranką nustatant, kad projektai, aktyviai prisidedantys prie principų įgyvendinimo, įgyja papildomą prioritetą.</w:t>
            </w:r>
          </w:p>
        </w:tc>
      </w:tr>
    </w:tbl>
    <w:p w14:paraId="4DD47295" w14:textId="77777777" w:rsidR="00C73AE6" w:rsidRPr="00B44B19" w:rsidRDefault="00C73AE6" w:rsidP="00783D09">
      <w:pPr>
        <w:pStyle w:val="Stilius1"/>
        <w:rPr>
          <w:rFonts w:eastAsia="Times New Roman" w:cs="Times New Roman"/>
          <w:noProof/>
          <w:lang w:eastAsia="lt-LT" w:bidi="lt-LT"/>
        </w:rPr>
      </w:pPr>
      <w:r w:rsidRPr="00B44B19">
        <w:rPr>
          <w:rFonts w:cs="Times New Roman"/>
          <w:noProof/>
          <w:lang w:eastAsia="lt-LT" w:bidi="lt-LT"/>
        </w:rPr>
        <w:lastRenderedPageBreak/>
        <w:t xml:space="preserve">Konkrečios tikslinės teritorijos, įskaitant planuojamą </w:t>
      </w:r>
      <w:r w:rsidR="007D0221" w:rsidRPr="00B44B19">
        <w:rPr>
          <w:rFonts w:cs="Times New Roman"/>
          <w:noProof/>
          <w:lang w:eastAsia="lt-LT" w:bidi="lt-LT"/>
        </w:rPr>
        <w:t>teritorinių priemonių naudojimą</w:t>
      </w:r>
    </w:p>
    <w:tbl>
      <w:tblPr>
        <w:tblStyle w:val="Lentelstinklelis"/>
        <w:tblW w:w="0" w:type="auto"/>
        <w:tblLook w:val="04A0" w:firstRow="1" w:lastRow="0" w:firstColumn="1" w:lastColumn="0" w:noHBand="0" w:noVBand="1"/>
      </w:tblPr>
      <w:tblGrid>
        <w:gridCol w:w="9628"/>
      </w:tblGrid>
      <w:tr w:rsidR="003412E7" w:rsidRPr="00B44B19" w14:paraId="31FDB280" w14:textId="77777777" w:rsidTr="003412E7">
        <w:tc>
          <w:tcPr>
            <w:tcW w:w="9854" w:type="dxa"/>
          </w:tcPr>
          <w:p w14:paraId="6A3C9A70" w14:textId="77777777" w:rsidR="003412E7" w:rsidRPr="00B44B19" w:rsidRDefault="003412E7" w:rsidP="007D0221">
            <w:pPr>
              <w:spacing w:before="60" w:after="60"/>
              <w:jc w:val="both"/>
              <w:rPr>
                <w:rFonts w:cs="Times New Roman"/>
                <w:bCs/>
                <w:color w:val="000000"/>
                <w:sz w:val="22"/>
              </w:rPr>
            </w:pPr>
            <w:r w:rsidRPr="00B44B19">
              <w:rPr>
                <w:rFonts w:eastAsia="Times New Roman" w:cs="Times New Roman"/>
                <w:noProof/>
                <w:sz w:val="22"/>
                <w:lang w:eastAsia="lt-LT" w:bidi="lt-LT"/>
              </w:rPr>
              <w:t>VVL regionas, Sostinės regionas</w:t>
            </w:r>
            <w:r w:rsidRPr="00B44B19">
              <w:rPr>
                <w:rFonts w:eastAsia="Calibri" w:cs="Times New Roman"/>
                <w:noProof/>
                <w:sz w:val="22"/>
                <w:lang w:eastAsia="lt-LT" w:bidi="lt-LT"/>
              </w:rPr>
              <w:t>.</w:t>
            </w:r>
          </w:p>
        </w:tc>
      </w:tr>
    </w:tbl>
    <w:p w14:paraId="6CB59CFB" w14:textId="77777777" w:rsidR="00C73AE6" w:rsidRPr="00B44B19" w:rsidRDefault="00C73AE6" w:rsidP="00783D09">
      <w:pPr>
        <w:pStyle w:val="Stilius1"/>
        <w:rPr>
          <w:rFonts w:eastAsia="Times New Roman" w:cs="Times New Roman"/>
          <w:iCs/>
          <w:noProof/>
          <w:lang w:eastAsia="lt-LT" w:bidi="lt-LT"/>
        </w:rPr>
      </w:pPr>
      <w:r w:rsidRPr="00B44B19">
        <w:rPr>
          <w:rFonts w:cs="Times New Roman"/>
          <w:noProof/>
          <w:lang w:eastAsia="lt-LT" w:bidi="lt-LT"/>
        </w:rPr>
        <w:t>Tarpregioniniai</w:t>
      </w:r>
      <w:r w:rsidR="00993B5D" w:rsidRPr="00B44B19">
        <w:rPr>
          <w:rFonts w:cs="Times New Roman"/>
          <w:noProof/>
          <w:lang w:eastAsia="lt-LT" w:bidi="lt-LT"/>
        </w:rPr>
        <w:t>, tarp sienų</w:t>
      </w:r>
      <w:r w:rsidRPr="00B44B19">
        <w:rPr>
          <w:rFonts w:cs="Times New Roman"/>
          <w:noProof/>
          <w:lang w:eastAsia="lt-LT" w:bidi="lt-LT"/>
        </w:rPr>
        <w:t xml:space="preserve"> ir tarpvalstybiniai veiks</w:t>
      </w:r>
      <w:r w:rsidR="007D0221" w:rsidRPr="00B44B19">
        <w:rPr>
          <w:rFonts w:cs="Times New Roman"/>
          <w:noProof/>
          <w:lang w:eastAsia="lt-LT" w:bidi="lt-LT"/>
        </w:rPr>
        <w:t>mai</w:t>
      </w:r>
    </w:p>
    <w:tbl>
      <w:tblPr>
        <w:tblStyle w:val="Lentelstinklelis"/>
        <w:tblW w:w="0" w:type="auto"/>
        <w:tblLook w:val="04A0" w:firstRow="1" w:lastRow="0" w:firstColumn="1" w:lastColumn="0" w:noHBand="0" w:noVBand="1"/>
      </w:tblPr>
      <w:tblGrid>
        <w:gridCol w:w="9628"/>
      </w:tblGrid>
      <w:tr w:rsidR="003412E7" w:rsidRPr="00B44B19" w14:paraId="52ACEB6B" w14:textId="77777777" w:rsidTr="003412E7">
        <w:tc>
          <w:tcPr>
            <w:tcW w:w="9854" w:type="dxa"/>
          </w:tcPr>
          <w:p w14:paraId="0E544A23" w14:textId="77777777" w:rsidR="003412E7" w:rsidRPr="00B44B19" w:rsidRDefault="00993B5D" w:rsidP="007D0221">
            <w:pPr>
              <w:spacing w:before="60" w:after="60"/>
              <w:jc w:val="both"/>
              <w:rPr>
                <w:rFonts w:eastAsia="Calibri" w:cs="Times New Roman"/>
                <w:b/>
                <w:i/>
                <w:noProof/>
                <w:szCs w:val="24"/>
                <w:lang w:eastAsia="lt-LT" w:bidi="lt-LT"/>
              </w:rPr>
            </w:pPr>
            <w:r w:rsidRPr="00B44B19">
              <w:rPr>
                <w:rFonts w:eastAsia="Calibri" w:cs="Times New Roman"/>
                <w:bCs/>
                <w:noProof/>
                <w:sz w:val="22"/>
                <w:lang w:eastAsia="lt-LT" w:bidi="lt-LT"/>
              </w:rPr>
              <w:t>Numatoma sudaryti visas galimybes prireikus juos atlikti</w:t>
            </w:r>
            <w:r w:rsidR="00AD66B4" w:rsidRPr="00B44B19">
              <w:rPr>
                <w:rFonts w:eastAsia="Calibri" w:cs="Times New Roman"/>
                <w:bCs/>
                <w:noProof/>
                <w:sz w:val="22"/>
                <w:lang w:eastAsia="lt-LT" w:bidi="lt-LT"/>
              </w:rPr>
              <w:t>.</w:t>
            </w:r>
          </w:p>
        </w:tc>
      </w:tr>
    </w:tbl>
    <w:p w14:paraId="4ED04562" w14:textId="77777777" w:rsidR="00C73AE6" w:rsidRPr="00B44B19" w:rsidRDefault="00C73AE6" w:rsidP="00783D09">
      <w:pPr>
        <w:pStyle w:val="Stilius1"/>
        <w:rPr>
          <w:rFonts w:eastAsia="Times New Roman" w:cs="Times New Roman"/>
          <w:iCs/>
          <w:noProof/>
          <w:lang w:eastAsia="lt-LT" w:bidi="lt-LT"/>
        </w:rPr>
      </w:pPr>
      <w:r w:rsidRPr="00B44B19">
        <w:rPr>
          <w:rFonts w:cs="Times New Roman"/>
          <w:noProof/>
          <w:lang w:eastAsia="lt-LT" w:bidi="lt-LT"/>
        </w:rPr>
        <w:t xml:space="preserve">Planuojamas </w:t>
      </w:r>
      <w:r w:rsidR="007D0221" w:rsidRPr="00B44B19">
        <w:rPr>
          <w:rFonts w:cs="Times New Roman"/>
          <w:noProof/>
          <w:lang w:eastAsia="lt-LT" w:bidi="lt-LT"/>
        </w:rPr>
        <w:t>finansinių priemonių naudojimas</w:t>
      </w:r>
    </w:p>
    <w:tbl>
      <w:tblPr>
        <w:tblStyle w:val="Lentelstinklelis"/>
        <w:tblW w:w="0" w:type="auto"/>
        <w:tblLook w:val="04A0" w:firstRow="1" w:lastRow="0" w:firstColumn="1" w:lastColumn="0" w:noHBand="0" w:noVBand="1"/>
      </w:tblPr>
      <w:tblGrid>
        <w:gridCol w:w="9628"/>
      </w:tblGrid>
      <w:tr w:rsidR="003412E7" w:rsidRPr="00B44B19" w14:paraId="281FC76B" w14:textId="77777777" w:rsidTr="003412E7">
        <w:tc>
          <w:tcPr>
            <w:tcW w:w="9854" w:type="dxa"/>
          </w:tcPr>
          <w:p w14:paraId="27028E74" w14:textId="77777777" w:rsidR="003412E7" w:rsidRPr="00B44B19" w:rsidRDefault="001F6E55" w:rsidP="007D0221">
            <w:pPr>
              <w:spacing w:before="60" w:after="60"/>
              <w:jc w:val="both"/>
              <w:rPr>
                <w:rFonts w:cs="Times New Roman"/>
                <w:b/>
                <w:i/>
                <w:szCs w:val="24"/>
              </w:rPr>
            </w:pPr>
            <w:r w:rsidRPr="00B44B19">
              <w:rPr>
                <w:rFonts w:eastAsia="Calibri" w:cs="Times New Roman"/>
                <w:noProof/>
                <w:sz w:val="22"/>
                <w:lang w:eastAsia="lt-LT" w:bidi="lt-LT"/>
              </w:rPr>
              <w:t>–</w:t>
            </w:r>
          </w:p>
        </w:tc>
      </w:tr>
    </w:tbl>
    <w:p w14:paraId="66320E17" w14:textId="77777777" w:rsidR="00DA7B46" w:rsidRPr="00B44B19" w:rsidRDefault="00786CD2" w:rsidP="00783D09">
      <w:pPr>
        <w:pStyle w:val="Stilius1"/>
        <w:rPr>
          <w:rFonts w:eastAsia="Calibri" w:cs="Times New Roman"/>
          <w:noProof/>
          <w:szCs w:val="20"/>
          <w:lang w:eastAsia="lt-LT" w:bidi="lt-LT"/>
        </w:rPr>
      </w:pPr>
      <w:r w:rsidRPr="00B44B19">
        <w:rPr>
          <w:rFonts w:cs="Times New Roman"/>
        </w:rPr>
        <w:t>Rodikliai</w:t>
      </w:r>
    </w:p>
    <w:p w14:paraId="2953675E" w14:textId="77777777" w:rsidR="00786CD2" w:rsidRPr="00B44B19" w:rsidRDefault="00786CD2" w:rsidP="00245FB1">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59"/>
        <w:gridCol w:w="826"/>
        <w:gridCol w:w="965"/>
        <w:gridCol w:w="1243"/>
        <w:gridCol w:w="1656"/>
        <w:gridCol w:w="968"/>
        <w:gridCol w:w="967"/>
        <w:gridCol w:w="934"/>
      </w:tblGrid>
      <w:tr w:rsidR="00245FB1" w:rsidRPr="00B44B19" w14:paraId="397EE46E" w14:textId="77777777" w:rsidTr="007D0221">
        <w:trPr>
          <w:trHeight w:val="752"/>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B140E9"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141A96"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4CD4B7"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8963B8"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C371C5"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069F0"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1CC7B9"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6CC24"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7242F2"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Siek</w:t>
            </w:r>
            <w:r w:rsidR="00447739" w:rsidRPr="00B44B19">
              <w:rPr>
                <w:rFonts w:cs="Times New Roman"/>
                <w:b/>
                <w:noProof/>
                <w:sz w:val="16"/>
                <w:szCs w:val="16"/>
              </w:rPr>
              <w:t>tina reikšmė</w:t>
            </w:r>
            <w:r w:rsidR="007D0221" w:rsidRPr="00B44B19">
              <w:rPr>
                <w:rFonts w:cs="Times New Roman"/>
                <w:b/>
                <w:noProof/>
                <w:sz w:val="16"/>
                <w:szCs w:val="16"/>
              </w:rPr>
              <w:t xml:space="preserve"> </w:t>
            </w:r>
            <w:r w:rsidRPr="00B44B19">
              <w:rPr>
                <w:rFonts w:cs="Times New Roman"/>
                <w:b/>
                <w:noProof/>
                <w:sz w:val="16"/>
                <w:szCs w:val="16"/>
              </w:rPr>
              <w:t>(2029 m.)</w:t>
            </w:r>
          </w:p>
        </w:tc>
      </w:tr>
      <w:tr w:rsidR="00245FB1" w:rsidRPr="00B44B19" w14:paraId="428312CA" w14:textId="77777777" w:rsidTr="007D0221">
        <w:trPr>
          <w:trHeight w:val="340"/>
        </w:trPr>
        <w:tc>
          <w:tcPr>
            <w:tcW w:w="567" w:type="pct"/>
            <w:vMerge w:val="restart"/>
            <w:tcBorders>
              <w:top w:val="single" w:sz="12" w:space="0" w:color="auto"/>
            </w:tcBorders>
          </w:tcPr>
          <w:p w14:paraId="540E115F"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Style w:val="normaltextrun"/>
                <w:rFonts w:cs="Times New Roman"/>
                <w:color w:val="000000"/>
                <w:sz w:val="16"/>
                <w:szCs w:val="16"/>
                <w:shd w:val="clear" w:color="auto" w:fill="FFFFFF"/>
              </w:rPr>
              <w:t>4.Socialiai atsakingesnė Lietuva</w:t>
            </w:r>
          </w:p>
        </w:tc>
        <w:tc>
          <w:tcPr>
            <w:tcW w:w="499" w:type="pct"/>
            <w:vMerge w:val="restart"/>
            <w:tcBorders>
              <w:top w:val="single" w:sz="12" w:space="0" w:color="auto"/>
            </w:tcBorders>
          </w:tcPr>
          <w:p w14:paraId="3ABD594E"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4.4</w:t>
            </w:r>
          </w:p>
        </w:tc>
        <w:tc>
          <w:tcPr>
            <w:tcW w:w="430" w:type="pct"/>
            <w:vMerge w:val="restart"/>
            <w:tcBorders>
              <w:top w:val="single" w:sz="12" w:space="0" w:color="auto"/>
            </w:tcBorders>
          </w:tcPr>
          <w:p w14:paraId="0D17DF7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ESF</w:t>
            </w:r>
            <w:r w:rsidR="001E68A2" w:rsidRPr="00B44B19">
              <w:rPr>
                <w:rFonts w:eastAsia="Times New Roman" w:cs="Times New Roman"/>
                <w:sz w:val="16"/>
                <w:szCs w:val="16"/>
                <w:lang w:eastAsia="lt-LT"/>
              </w:rPr>
              <w:t>+</w:t>
            </w:r>
          </w:p>
        </w:tc>
        <w:tc>
          <w:tcPr>
            <w:tcW w:w="502" w:type="pct"/>
            <w:tcBorders>
              <w:top w:val="single" w:sz="12" w:space="0" w:color="auto"/>
              <w:bottom w:val="single" w:sz="4" w:space="0" w:color="auto"/>
            </w:tcBorders>
          </w:tcPr>
          <w:p w14:paraId="67E51280"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12" w:space="0" w:color="auto"/>
              <w:bottom w:val="single" w:sz="4" w:space="0" w:color="auto"/>
            </w:tcBorders>
          </w:tcPr>
          <w:p w14:paraId="5A03A7C4"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EECO01</w:t>
            </w:r>
          </w:p>
        </w:tc>
        <w:tc>
          <w:tcPr>
            <w:tcW w:w="862" w:type="pct"/>
            <w:tcBorders>
              <w:top w:val="single" w:sz="12" w:space="0" w:color="auto"/>
              <w:bottom w:val="single" w:sz="4" w:space="0" w:color="auto"/>
            </w:tcBorders>
          </w:tcPr>
          <w:p w14:paraId="5948004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Bendras dalyvių skaičius</w:t>
            </w:r>
          </w:p>
        </w:tc>
        <w:tc>
          <w:tcPr>
            <w:tcW w:w="504" w:type="pct"/>
            <w:tcBorders>
              <w:top w:val="single" w:sz="12" w:space="0" w:color="auto"/>
              <w:bottom w:val="single" w:sz="4" w:space="0" w:color="auto"/>
            </w:tcBorders>
          </w:tcPr>
          <w:p w14:paraId="3A3FFAE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12" w:space="0" w:color="auto"/>
              <w:bottom w:val="single" w:sz="4" w:space="0" w:color="auto"/>
            </w:tcBorders>
          </w:tcPr>
          <w:p w14:paraId="4389A94A"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265</w:t>
            </w:r>
          </w:p>
        </w:tc>
        <w:tc>
          <w:tcPr>
            <w:tcW w:w="486" w:type="pct"/>
            <w:tcBorders>
              <w:top w:val="single" w:sz="12" w:space="0" w:color="auto"/>
              <w:bottom w:val="single" w:sz="4" w:space="0" w:color="auto"/>
            </w:tcBorders>
          </w:tcPr>
          <w:p w14:paraId="13306443"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1 770</w:t>
            </w:r>
          </w:p>
        </w:tc>
      </w:tr>
      <w:tr w:rsidR="00245FB1" w:rsidRPr="00B44B19" w14:paraId="070281A5" w14:textId="77777777" w:rsidTr="007D0221">
        <w:trPr>
          <w:trHeight w:val="340"/>
        </w:trPr>
        <w:tc>
          <w:tcPr>
            <w:tcW w:w="567" w:type="pct"/>
            <w:vMerge/>
            <w:tcBorders>
              <w:top w:val="single" w:sz="12" w:space="0" w:color="auto"/>
            </w:tcBorders>
          </w:tcPr>
          <w:p w14:paraId="3974AEEB" w14:textId="77777777" w:rsidR="00245FB1" w:rsidRPr="00B44B19" w:rsidRDefault="00245FB1" w:rsidP="00245FB1">
            <w:pPr>
              <w:spacing w:after="0" w:line="240" w:lineRule="auto"/>
              <w:textAlignment w:val="baseline"/>
              <w:rPr>
                <w:rStyle w:val="normaltextrun"/>
                <w:rFonts w:cs="Times New Roman"/>
                <w:color w:val="000000"/>
                <w:sz w:val="16"/>
                <w:szCs w:val="16"/>
                <w:shd w:val="clear" w:color="auto" w:fill="FFFFFF"/>
              </w:rPr>
            </w:pPr>
          </w:p>
        </w:tc>
        <w:tc>
          <w:tcPr>
            <w:tcW w:w="499" w:type="pct"/>
            <w:vMerge/>
            <w:tcBorders>
              <w:top w:val="single" w:sz="12" w:space="0" w:color="auto"/>
            </w:tcBorders>
          </w:tcPr>
          <w:p w14:paraId="4C67378D"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p>
        </w:tc>
        <w:tc>
          <w:tcPr>
            <w:tcW w:w="430" w:type="pct"/>
            <w:vMerge/>
            <w:tcBorders>
              <w:top w:val="single" w:sz="12" w:space="0" w:color="auto"/>
            </w:tcBorders>
          </w:tcPr>
          <w:p w14:paraId="2ECAEF52"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3A4BE120"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0C085548"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EECO04</w:t>
            </w:r>
          </w:p>
        </w:tc>
        <w:tc>
          <w:tcPr>
            <w:tcW w:w="862" w:type="pct"/>
            <w:tcBorders>
              <w:top w:val="single" w:sz="4" w:space="0" w:color="auto"/>
              <w:bottom w:val="single" w:sz="4" w:space="0" w:color="auto"/>
            </w:tcBorders>
          </w:tcPr>
          <w:p w14:paraId="36BC57A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Neaktyvūs asmenys</w:t>
            </w:r>
          </w:p>
        </w:tc>
        <w:tc>
          <w:tcPr>
            <w:tcW w:w="504" w:type="pct"/>
            <w:tcBorders>
              <w:top w:val="single" w:sz="4" w:space="0" w:color="auto"/>
              <w:bottom w:val="single" w:sz="4" w:space="0" w:color="auto"/>
            </w:tcBorders>
          </w:tcPr>
          <w:p w14:paraId="727BEA8C"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16E1FC3E"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265</w:t>
            </w:r>
          </w:p>
        </w:tc>
        <w:tc>
          <w:tcPr>
            <w:tcW w:w="486" w:type="pct"/>
            <w:tcBorders>
              <w:top w:val="single" w:sz="4" w:space="0" w:color="auto"/>
              <w:bottom w:val="single" w:sz="4" w:space="0" w:color="auto"/>
            </w:tcBorders>
          </w:tcPr>
          <w:p w14:paraId="769681E7"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1 770</w:t>
            </w:r>
          </w:p>
        </w:tc>
      </w:tr>
      <w:tr w:rsidR="00245FB1" w:rsidRPr="00B44B19" w14:paraId="5846BB30" w14:textId="77777777" w:rsidTr="007D0221">
        <w:trPr>
          <w:trHeight w:val="340"/>
        </w:trPr>
        <w:tc>
          <w:tcPr>
            <w:tcW w:w="567" w:type="pct"/>
            <w:vMerge/>
          </w:tcPr>
          <w:p w14:paraId="06343AD6"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1CC1D772"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5372F0A0"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B861D83"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6327204D"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EECO09</w:t>
            </w:r>
          </w:p>
        </w:tc>
        <w:tc>
          <w:tcPr>
            <w:tcW w:w="862" w:type="pct"/>
            <w:tcBorders>
              <w:top w:val="single" w:sz="4" w:space="0" w:color="auto"/>
              <w:bottom w:val="single" w:sz="4" w:space="0" w:color="auto"/>
            </w:tcBorders>
          </w:tcPr>
          <w:p w14:paraId="6F0F1199"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 turintys pagrindinį arba žemesnį nei pagrindinis išsilavinimą</w:t>
            </w:r>
            <w:r w:rsidR="00B97A01" w:rsidRPr="00B44B19">
              <w:rPr>
                <w:rFonts w:eastAsia="Times New Roman" w:cs="Times New Roman"/>
                <w:sz w:val="16"/>
                <w:szCs w:val="16"/>
                <w:lang w:eastAsia="lt-LT"/>
              </w:rPr>
              <w:t xml:space="preserve"> (ISCED 0–2)</w:t>
            </w:r>
          </w:p>
        </w:tc>
        <w:tc>
          <w:tcPr>
            <w:tcW w:w="504" w:type="pct"/>
            <w:tcBorders>
              <w:top w:val="single" w:sz="4" w:space="0" w:color="auto"/>
              <w:bottom w:val="single" w:sz="4" w:space="0" w:color="auto"/>
            </w:tcBorders>
          </w:tcPr>
          <w:p w14:paraId="3022FC71"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493B3738"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110</w:t>
            </w:r>
          </w:p>
        </w:tc>
        <w:tc>
          <w:tcPr>
            <w:tcW w:w="486" w:type="pct"/>
            <w:tcBorders>
              <w:top w:val="single" w:sz="4" w:space="0" w:color="auto"/>
              <w:bottom w:val="single" w:sz="4" w:space="0" w:color="auto"/>
            </w:tcBorders>
          </w:tcPr>
          <w:p w14:paraId="7FC233B6"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710</w:t>
            </w:r>
          </w:p>
        </w:tc>
      </w:tr>
      <w:tr w:rsidR="00245FB1" w:rsidRPr="00B44B19" w14:paraId="6AEA6F59" w14:textId="77777777" w:rsidTr="007D0221">
        <w:trPr>
          <w:trHeight w:val="340"/>
        </w:trPr>
        <w:tc>
          <w:tcPr>
            <w:tcW w:w="567" w:type="pct"/>
            <w:vMerge/>
          </w:tcPr>
          <w:p w14:paraId="2C87F3D6"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76A21295"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42AFE706"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13EA59F"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0B64B9CE"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EECO10</w:t>
            </w:r>
          </w:p>
        </w:tc>
        <w:tc>
          <w:tcPr>
            <w:tcW w:w="862" w:type="pct"/>
            <w:tcBorders>
              <w:top w:val="single" w:sz="4" w:space="0" w:color="auto"/>
              <w:bottom w:val="single" w:sz="4" w:space="0" w:color="auto"/>
            </w:tcBorders>
          </w:tcPr>
          <w:p w14:paraId="3238BCD3"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Asmenys, turintys vidurinį </w:t>
            </w:r>
            <w:r w:rsidR="00B97A01" w:rsidRPr="00B44B19">
              <w:rPr>
                <w:rFonts w:eastAsia="Times New Roman" w:cs="Times New Roman"/>
                <w:sz w:val="16"/>
                <w:szCs w:val="16"/>
                <w:lang w:eastAsia="lt-LT"/>
              </w:rPr>
              <w:t xml:space="preserve">(ISCED 3) </w:t>
            </w:r>
            <w:r w:rsidRPr="00B44B19">
              <w:rPr>
                <w:rFonts w:eastAsia="Times New Roman" w:cs="Times New Roman"/>
                <w:sz w:val="16"/>
                <w:szCs w:val="16"/>
                <w:lang w:eastAsia="lt-LT"/>
              </w:rPr>
              <w:t xml:space="preserve">arba profesinį (turint vidurinį) </w:t>
            </w:r>
            <w:r w:rsidR="00B97A01" w:rsidRPr="00B44B19">
              <w:rPr>
                <w:rFonts w:eastAsia="Times New Roman" w:cs="Times New Roman"/>
                <w:sz w:val="16"/>
                <w:szCs w:val="16"/>
                <w:lang w:eastAsia="lt-LT"/>
              </w:rPr>
              <w:t xml:space="preserve">(ISCED 4) </w:t>
            </w:r>
            <w:r w:rsidRPr="00B44B19">
              <w:rPr>
                <w:rFonts w:eastAsia="Times New Roman" w:cs="Times New Roman"/>
                <w:sz w:val="16"/>
                <w:szCs w:val="16"/>
                <w:lang w:eastAsia="lt-LT"/>
              </w:rPr>
              <w:t>išsilavinimą</w:t>
            </w:r>
          </w:p>
        </w:tc>
        <w:tc>
          <w:tcPr>
            <w:tcW w:w="504" w:type="pct"/>
            <w:tcBorders>
              <w:top w:val="single" w:sz="4" w:space="0" w:color="auto"/>
              <w:bottom w:val="single" w:sz="4" w:space="0" w:color="auto"/>
            </w:tcBorders>
          </w:tcPr>
          <w:p w14:paraId="45B0ABD7"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25BD31FF"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690</w:t>
            </w:r>
          </w:p>
        </w:tc>
        <w:tc>
          <w:tcPr>
            <w:tcW w:w="486" w:type="pct"/>
            <w:tcBorders>
              <w:top w:val="single" w:sz="4" w:space="0" w:color="auto"/>
              <w:bottom w:val="single" w:sz="4" w:space="0" w:color="auto"/>
            </w:tcBorders>
          </w:tcPr>
          <w:p w14:paraId="6633C3C6"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4 600</w:t>
            </w:r>
          </w:p>
        </w:tc>
      </w:tr>
      <w:tr w:rsidR="00245FB1" w:rsidRPr="00B44B19" w14:paraId="1BCF2F8A" w14:textId="77777777" w:rsidTr="007D0221">
        <w:trPr>
          <w:trHeight w:val="340"/>
        </w:trPr>
        <w:tc>
          <w:tcPr>
            <w:tcW w:w="567" w:type="pct"/>
            <w:vMerge/>
          </w:tcPr>
          <w:p w14:paraId="3EBEA32A"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32866996"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698D6579"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07AC5D2"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3103F496"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EECO15</w:t>
            </w:r>
          </w:p>
        </w:tc>
        <w:tc>
          <w:tcPr>
            <w:tcW w:w="862" w:type="pct"/>
            <w:tcBorders>
              <w:top w:val="single" w:sz="4" w:space="0" w:color="auto"/>
              <w:bottom w:val="single" w:sz="4" w:space="0" w:color="auto"/>
            </w:tcBorders>
          </w:tcPr>
          <w:p w14:paraId="7FCAFC86"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Mažumos (įskaitant marginalizuotas bendruomenes, pavyzdžiui, romus)</w:t>
            </w:r>
          </w:p>
        </w:tc>
        <w:tc>
          <w:tcPr>
            <w:tcW w:w="504" w:type="pct"/>
            <w:tcBorders>
              <w:top w:val="single" w:sz="4" w:space="0" w:color="auto"/>
              <w:bottom w:val="single" w:sz="4" w:space="0" w:color="auto"/>
            </w:tcBorders>
          </w:tcPr>
          <w:p w14:paraId="29469F4F"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155A72A4"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110</w:t>
            </w:r>
          </w:p>
        </w:tc>
        <w:tc>
          <w:tcPr>
            <w:tcW w:w="486" w:type="pct"/>
            <w:tcBorders>
              <w:top w:val="single" w:sz="4" w:space="0" w:color="auto"/>
              <w:bottom w:val="single" w:sz="4" w:space="0" w:color="auto"/>
            </w:tcBorders>
          </w:tcPr>
          <w:p w14:paraId="49ECC85B"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710</w:t>
            </w:r>
          </w:p>
        </w:tc>
      </w:tr>
      <w:tr w:rsidR="00245FB1" w:rsidRPr="00B44B19" w14:paraId="475BADD7" w14:textId="77777777" w:rsidTr="007D0221">
        <w:trPr>
          <w:trHeight w:val="1000"/>
        </w:trPr>
        <w:tc>
          <w:tcPr>
            <w:tcW w:w="567" w:type="pct"/>
            <w:vMerge/>
          </w:tcPr>
          <w:p w14:paraId="765F8ADC"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4A5F0FEF"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3BF320F6"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bottom w:val="single" w:sz="4" w:space="0" w:color="auto"/>
            </w:tcBorders>
          </w:tcPr>
          <w:p w14:paraId="79444EBC"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4C8D8C8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62" w:type="pct"/>
            <w:tcBorders>
              <w:top w:val="single" w:sz="4" w:space="0" w:color="auto"/>
              <w:bottom w:val="single" w:sz="4" w:space="0" w:color="auto"/>
            </w:tcBorders>
          </w:tcPr>
          <w:p w14:paraId="6D5568E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 kurie pasinaudojo mokymosi pasiūlymu, gautu per vieningą elektroninę sistemą</w:t>
            </w:r>
          </w:p>
        </w:tc>
        <w:tc>
          <w:tcPr>
            <w:tcW w:w="504" w:type="pct"/>
            <w:tcBorders>
              <w:top w:val="single" w:sz="4" w:space="0" w:color="auto"/>
              <w:bottom w:val="single" w:sz="4" w:space="0" w:color="auto"/>
            </w:tcBorders>
          </w:tcPr>
          <w:p w14:paraId="00A6D099"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bottom w:val="single" w:sz="4" w:space="0" w:color="auto"/>
            </w:tcBorders>
          </w:tcPr>
          <w:p w14:paraId="1A9D2D2A"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480</w:t>
            </w:r>
          </w:p>
        </w:tc>
        <w:tc>
          <w:tcPr>
            <w:tcW w:w="486" w:type="pct"/>
            <w:tcBorders>
              <w:top w:val="single" w:sz="4" w:space="0" w:color="auto"/>
              <w:bottom w:val="single" w:sz="4" w:space="0" w:color="auto"/>
            </w:tcBorders>
          </w:tcPr>
          <w:p w14:paraId="1ADA64DA"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3 220</w:t>
            </w:r>
          </w:p>
        </w:tc>
      </w:tr>
      <w:tr w:rsidR="00245FB1" w:rsidRPr="00B44B19" w14:paraId="446F37BE" w14:textId="77777777" w:rsidTr="007D0221">
        <w:trPr>
          <w:trHeight w:val="340"/>
        </w:trPr>
        <w:tc>
          <w:tcPr>
            <w:tcW w:w="567" w:type="pct"/>
            <w:vMerge/>
          </w:tcPr>
          <w:p w14:paraId="2328DA80"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499" w:type="pct"/>
            <w:vMerge/>
          </w:tcPr>
          <w:p w14:paraId="715323EF" w14:textId="77777777" w:rsidR="00245FB1" w:rsidRPr="00B44B19" w:rsidRDefault="00245FB1" w:rsidP="00245FB1">
            <w:pPr>
              <w:spacing w:after="0" w:line="240" w:lineRule="auto"/>
              <w:textAlignment w:val="baseline"/>
              <w:rPr>
                <w:rFonts w:eastAsia="Times New Roman" w:cs="Times New Roman"/>
                <w:sz w:val="16"/>
                <w:szCs w:val="16"/>
                <w:lang w:val="en-US" w:eastAsia="lt-LT"/>
              </w:rPr>
            </w:pPr>
          </w:p>
        </w:tc>
        <w:tc>
          <w:tcPr>
            <w:tcW w:w="430" w:type="pct"/>
            <w:vMerge/>
          </w:tcPr>
          <w:p w14:paraId="1D9673F3"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502" w:type="pct"/>
            <w:tcBorders>
              <w:top w:val="single" w:sz="4" w:space="0" w:color="auto"/>
            </w:tcBorders>
          </w:tcPr>
          <w:p w14:paraId="2FEAE8F3"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tcBorders>
          </w:tcPr>
          <w:p w14:paraId="61F78A8B"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862" w:type="pct"/>
            <w:tcBorders>
              <w:top w:val="single" w:sz="4" w:space="0" w:color="auto"/>
            </w:tcBorders>
          </w:tcPr>
          <w:p w14:paraId="708ACF49"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 kurie pasinaudojo mokymosi pasiūlymu, gautu per vieningą elektroninę sistemą</w:t>
            </w:r>
          </w:p>
        </w:tc>
        <w:tc>
          <w:tcPr>
            <w:tcW w:w="504" w:type="pct"/>
            <w:tcBorders>
              <w:top w:val="single" w:sz="4" w:space="0" w:color="auto"/>
            </w:tcBorders>
          </w:tcPr>
          <w:p w14:paraId="183F06B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503" w:type="pct"/>
            <w:tcBorders>
              <w:top w:val="single" w:sz="4" w:space="0" w:color="auto"/>
            </w:tcBorders>
          </w:tcPr>
          <w:p w14:paraId="44F1D3EE"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1 460</w:t>
            </w:r>
          </w:p>
        </w:tc>
        <w:tc>
          <w:tcPr>
            <w:tcW w:w="486" w:type="pct"/>
            <w:tcBorders>
              <w:top w:val="single" w:sz="4" w:space="0" w:color="auto"/>
            </w:tcBorders>
          </w:tcPr>
          <w:p w14:paraId="0C5C1A72" w14:textId="77777777" w:rsidR="00245FB1" w:rsidRPr="00B44B19" w:rsidRDefault="00245FB1"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9 760</w:t>
            </w:r>
          </w:p>
        </w:tc>
      </w:tr>
    </w:tbl>
    <w:p w14:paraId="79BA53EE" w14:textId="77777777" w:rsidR="005D02EB" w:rsidRPr="00B44B19" w:rsidRDefault="005D02EB" w:rsidP="005D02EB">
      <w:pPr>
        <w:spacing w:after="0" w:line="240" w:lineRule="auto"/>
        <w:rPr>
          <w:rFonts w:cs="Times New Roman"/>
          <w:b/>
          <w:sz w:val="20"/>
          <w:szCs w:val="24"/>
        </w:rPr>
        <w:sectPr w:rsidR="005D02EB" w:rsidRPr="00B44B19" w:rsidSect="00931C78">
          <w:pgSz w:w="11906" w:h="16838"/>
          <w:pgMar w:top="1276" w:right="567" w:bottom="1134" w:left="1701" w:header="567" w:footer="567" w:gutter="0"/>
          <w:cols w:space="1296"/>
          <w:docGrid w:linePitch="360"/>
        </w:sectPr>
      </w:pPr>
    </w:p>
    <w:p w14:paraId="7C32BE7A" w14:textId="77777777" w:rsidR="00245FB1" w:rsidRPr="00B44B19" w:rsidRDefault="00786CD2" w:rsidP="00CB2739">
      <w:pPr>
        <w:spacing w:after="0" w:line="240" w:lineRule="auto"/>
        <w:rPr>
          <w:rFonts w:cs="Times New Roman"/>
          <w:b/>
          <w:szCs w:val="24"/>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484"/>
        <w:gridCol w:w="975"/>
        <w:gridCol w:w="975"/>
        <w:gridCol w:w="1115"/>
        <w:gridCol w:w="975"/>
        <w:gridCol w:w="1115"/>
        <w:gridCol w:w="1100"/>
      </w:tblGrid>
      <w:tr w:rsidR="00245FB1" w:rsidRPr="00B44B19" w14:paraId="60A9CE51" w14:textId="77777777" w:rsidTr="00B20FF1">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C2599D"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F4A949"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0F39C6"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283C1E"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9726E8"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BC9495"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9CED2B"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43910B"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2027BE"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A16836"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Siek</w:t>
            </w:r>
            <w:r w:rsidR="00712A03" w:rsidRPr="00B44B19">
              <w:rPr>
                <w:rFonts w:cs="Times New Roman"/>
                <w:b/>
                <w:noProof/>
                <w:sz w:val="16"/>
                <w:szCs w:val="16"/>
              </w:rPr>
              <w:t>tina reikšmė</w:t>
            </w:r>
            <w:r w:rsidRPr="00B44B19">
              <w:rPr>
                <w:rFonts w:cs="Times New Roman"/>
                <w:b/>
                <w:noProof/>
                <w:sz w:val="16"/>
                <w:szCs w:val="16"/>
              </w:rPr>
              <w:t>(2029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279E55"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F1FDFD"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 xml:space="preserve">Pastabos </w:t>
            </w:r>
          </w:p>
        </w:tc>
      </w:tr>
      <w:tr w:rsidR="00245FB1" w:rsidRPr="00B44B19" w14:paraId="00BD5DD7" w14:textId="77777777" w:rsidTr="00B20FF1">
        <w:trPr>
          <w:trHeight w:val="376"/>
        </w:trPr>
        <w:tc>
          <w:tcPr>
            <w:tcW w:w="364" w:type="pct"/>
            <w:vMerge w:val="restart"/>
            <w:tcBorders>
              <w:top w:val="single" w:sz="12" w:space="0" w:color="auto"/>
            </w:tcBorders>
          </w:tcPr>
          <w:p w14:paraId="6D5CD98E"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Style w:val="normaltextrun"/>
                <w:rFonts w:cs="Times New Roman"/>
                <w:color w:val="000000"/>
                <w:sz w:val="16"/>
                <w:szCs w:val="16"/>
                <w:shd w:val="clear" w:color="auto" w:fill="FFFFFF"/>
              </w:rPr>
              <w:t>4. Socialiai atsakingesnė Lietuva</w:t>
            </w:r>
          </w:p>
        </w:tc>
        <w:tc>
          <w:tcPr>
            <w:tcW w:w="328" w:type="pct"/>
            <w:vMerge w:val="restart"/>
            <w:tcBorders>
              <w:top w:val="single" w:sz="12" w:space="0" w:color="auto"/>
            </w:tcBorders>
          </w:tcPr>
          <w:p w14:paraId="1E131E84"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4.4</w:t>
            </w:r>
          </w:p>
        </w:tc>
        <w:tc>
          <w:tcPr>
            <w:tcW w:w="281" w:type="pct"/>
            <w:vMerge w:val="restart"/>
            <w:tcBorders>
              <w:top w:val="single" w:sz="12" w:space="0" w:color="auto"/>
            </w:tcBorders>
          </w:tcPr>
          <w:p w14:paraId="5E86603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ESF</w:t>
            </w:r>
            <w:r w:rsidR="00712A03" w:rsidRPr="00B44B19">
              <w:rPr>
                <w:rFonts w:eastAsia="Times New Roman" w:cs="Times New Roman"/>
                <w:sz w:val="16"/>
                <w:szCs w:val="16"/>
                <w:lang w:eastAsia="lt-LT"/>
              </w:rPr>
              <w:t>+</w:t>
            </w:r>
          </w:p>
        </w:tc>
        <w:tc>
          <w:tcPr>
            <w:tcW w:w="328" w:type="pct"/>
            <w:tcBorders>
              <w:top w:val="single" w:sz="12" w:space="0" w:color="auto"/>
              <w:bottom w:val="single" w:sz="4" w:space="0" w:color="auto"/>
            </w:tcBorders>
          </w:tcPr>
          <w:p w14:paraId="64268CB3"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35F0A3FE"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72" w:type="pct"/>
            <w:tcBorders>
              <w:top w:val="single" w:sz="12" w:space="0" w:color="auto"/>
              <w:bottom w:val="single" w:sz="4" w:space="0" w:color="auto"/>
            </w:tcBorders>
          </w:tcPr>
          <w:p w14:paraId="6BD00F81"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Asmenų, kurie dalyvavę mokymuose įgijo kompetenciją, dalis</w:t>
            </w:r>
          </w:p>
        </w:tc>
        <w:tc>
          <w:tcPr>
            <w:tcW w:w="328" w:type="pct"/>
            <w:tcBorders>
              <w:top w:val="single" w:sz="12" w:space="0" w:color="auto"/>
              <w:bottom w:val="single" w:sz="4" w:space="0" w:color="auto"/>
            </w:tcBorders>
          </w:tcPr>
          <w:p w14:paraId="27EFA59A"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12" w:space="0" w:color="auto"/>
              <w:bottom w:val="single" w:sz="4" w:space="0" w:color="auto"/>
            </w:tcBorders>
          </w:tcPr>
          <w:p w14:paraId="2FB0C16A" w14:textId="77777777" w:rsidR="00245FB1" w:rsidRPr="00B44B19" w:rsidRDefault="00245FB1"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12" w:space="0" w:color="auto"/>
              <w:bottom w:val="single" w:sz="4" w:space="0" w:color="auto"/>
            </w:tcBorders>
          </w:tcPr>
          <w:p w14:paraId="2AF8C964" w14:textId="77777777" w:rsidR="00245FB1" w:rsidRPr="00B44B19" w:rsidRDefault="00245FB1"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12" w:space="0" w:color="auto"/>
              <w:bottom w:val="single" w:sz="4" w:space="0" w:color="auto"/>
            </w:tcBorders>
          </w:tcPr>
          <w:p w14:paraId="2552B88D" w14:textId="77777777" w:rsidR="00245FB1" w:rsidRPr="00B44B19" w:rsidRDefault="00245FB1"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80</w:t>
            </w:r>
          </w:p>
        </w:tc>
        <w:tc>
          <w:tcPr>
            <w:tcW w:w="375" w:type="pct"/>
            <w:tcBorders>
              <w:top w:val="single" w:sz="12" w:space="0" w:color="auto"/>
              <w:bottom w:val="single" w:sz="4" w:space="0" w:color="auto"/>
            </w:tcBorders>
          </w:tcPr>
          <w:p w14:paraId="717ECE0A" w14:textId="77777777" w:rsidR="00245FB1" w:rsidRPr="00B44B19" w:rsidRDefault="00A55A3C"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14:paraId="28B34727" w14:textId="77777777" w:rsidR="00245FB1" w:rsidRPr="00B44B19" w:rsidRDefault="00245FB1" w:rsidP="00245FB1">
            <w:pPr>
              <w:spacing w:after="0" w:line="240" w:lineRule="auto"/>
              <w:jc w:val="both"/>
              <w:rPr>
                <w:rFonts w:cs="Times New Roman"/>
                <w:b/>
                <w:noProof/>
                <w:sz w:val="14"/>
                <w:szCs w:val="14"/>
              </w:rPr>
            </w:pPr>
          </w:p>
        </w:tc>
      </w:tr>
      <w:tr w:rsidR="00245FB1" w:rsidRPr="00B44B19" w14:paraId="7E7113B2" w14:textId="77777777" w:rsidTr="00245FB1">
        <w:trPr>
          <w:trHeight w:val="396"/>
        </w:trPr>
        <w:tc>
          <w:tcPr>
            <w:tcW w:w="364" w:type="pct"/>
            <w:vMerge/>
          </w:tcPr>
          <w:p w14:paraId="7BC5BD32"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328" w:type="pct"/>
            <w:vMerge/>
          </w:tcPr>
          <w:p w14:paraId="6BF81AED"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281" w:type="pct"/>
            <w:vMerge/>
          </w:tcPr>
          <w:p w14:paraId="282DF3E7" w14:textId="77777777" w:rsidR="00245FB1" w:rsidRPr="00B44B19" w:rsidRDefault="00245FB1"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05F2BDDD"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C6A6BB3"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72" w:type="pct"/>
            <w:tcBorders>
              <w:top w:val="single" w:sz="4" w:space="0" w:color="auto"/>
              <w:bottom w:val="single" w:sz="4" w:space="0" w:color="auto"/>
            </w:tcBorders>
          </w:tcPr>
          <w:p w14:paraId="29B29682"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Asmenų, kurie dalyvavę mokymuose įgijo kompetenciją, dalis</w:t>
            </w:r>
          </w:p>
        </w:tc>
        <w:tc>
          <w:tcPr>
            <w:tcW w:w="328" w:type="pct"/>
            <w:tcBorders>
              <w:top w:val="single" w:sz="4" w:space="0" w:color="auto"/>
              <w:bottom w:val="single" w:sz="4" w:space="0" w:color="auto"/>
            </w:tcBorders>
          </w:tcPr>
          <w:p w14:paraId="4344C2F5" w14:textId="77777777" w:rsidR="00245FB1" w:rsidRPr="00B44B19" w:rsidRDefault="00245FB1"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28" w:type="pct"/>
            <w:tcBorders>
              <w:top w:val="single" w:sz="4" w:space="0" w:color="auto"/>
              <w:bottom w:val="single" w:sz="4" w:space="0" w:color="auto"/>
            </w:tcBorders>
          </w:tcPr>
          <w:p w14:paraId="3FF800A7" w14:textId="77777777" w:rsidR="00245FB1" w:rsidRPr="00B44B19" w:rsidRDefault="00245FB1"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283DE3BB" w14:textId="77777777" w:rsidR="00245FB1" w:rsidRPr="00B44B19" w:rsidRDefault="00245FB1"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69564756" w14:textId="77777777" w:rsidR="00245FB1" w:rsidRPr="00B44B19" w:rsidRDefault="00245FB1"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80</w:t>
            </w:r>
          </w:p>
        </w:tc>
        <w:tc>
          <w:tcPr>
            <w:tcW w:w="375" w:type="pct"/>
            <w:tcBorders>
              <w:top w:val="single" w:sz="4" w:space="0" w:color="auto"/>
              <w:bottom w:val="single" w:sz="4" w:space="0" w:color="auto"/>
            </w:tcBorders>
          </w:tcPr>
          <w:p w14:paraId="2DFB963E" w14:textId="77777777" w:rsidR="00245FB1" w:rsidRPr="00B44B19" w:rsidRDefault="00A55A3C"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7BFA6DC" w14:textId="77777777" w:rsidR="00245FB1" w:rsidRPr="00B44B19" w:rsidRDefault="00245FB1" w:rsidP="00245FB1">
            <w:pPr>
              <w:spacing w:after="0" w:line="240" w:lineRule="auto"/>
              <w:jc w:val="both"/>
              <w:rPr>
                <w:rFonts w:cs="Times New Roman"/>
                <w:b/>
                <w:noProof/>
                <w:sz w:val="14"/>
                <w:szCs w:val="14"/>
              </w:rPr>
            </w:pPr>
          </w:p>
        </w:tc>
      </w:tr>
    </w:tbl>
    <w:p w14:paraId="530D8255" w14:textId="77777777" w:rsidR="005D02EB" w:rsidRPr="00B44B19" w:rsidRDefault="005D02EB" w:rsidP="00CB2739">
      <w:pPr>
        <w:spacing w:after="0" w:line="240" w:lineRule="auto"/>
        <w:rPr>
          <w:rFonts w:cs="Times New Roman"/>
          <w:b/>
          <w:szCs w:val="24"/>
        </w:rPr>
      </w:pPr>
    </w:p>
    <w:p w14:paraId="484DDBA8" w14:textId="77777777" w:rsidR="005D02EB" w:rsidRPr="00B44B19" w:rsidRDefault="005D02EB" w:rsidP="00786CD2">
      <w:pPr>
        <w:jc w:val="both"/>
        <w:rPr>
          <w:rFonts w:cs="Times New Roman"/>
          <w:b/>
          <w:szCs w:val="24"/>
        </w:rPr>
        <w:sectPr w:rsidR="005D02EB" w:rsidRPr="00B44B19" w:rsidSect="00931C78">
          <w:pgSz w:w="16838" w:h="11906" w:orient="landscape"/>
          <w:pgMar w:top="1701" w:right="1276" w:bottom="567" w:left="1134" w:header="567" w:footer="567" w:gutter="0"/>
          <w:cols w:space="1296"/>
          <w:docGrid w:linePitch="360"/>
        </w:sectPr>
      </w:pPr>
    </w:p>
    <w:p w14:paraId="6DF0A1A2" w14:textId="77777777" w:rsidR="00E92BFA" w:rsidRPr="00B44B19" w:rsidRDefault="00786CD2"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13EFCCE0"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75A961" w14:textId="77777777" w:rsidR="0066383D" w:rsidRPr="00B44B19" w:rsidRDefault="0066383D" w:rsidP="0066383D">
            <w:pPr>
              <w:rPr>
                <w:rFonts w:eastAsia="Times New Roman" w:cs="Times New Roman"/>
                <w:b/>
                <w:iCs/>
                <w:noProof/>
                <w:sz w:val="20"/>
              </w:rPr>
            </w:pPr>
            <w:r w:rsidRPr="00B44B19">
              <w:rPr>
                <w:rFonts w:cs="Times New Roman"/>
                <w:b/>
                <w:noProof/>
                <w:sz w:val="20"/>
              </w:rPr>
              <w:t>4 lentelė. 1 matmuo</w:t>
            </w:r>
            <w:r w:rsidR="001F6E55" w:rsidRPr="00B44B19">
              <w:rPr>
                <w:rFonts w:cs="Times New Roman"/>
                <w:b/>
                <w:noProof/>
                <w:sz w:val="20"/>
              </w:rPr>
              <w:t>:</w:t>
            </w:r>
            <w:r w:rsidRPr="00B44B19">
              <w:rPr>
                <w:rFonts w:cs="Times New Roman"/>
                <w:b/>
                <w:noProof/>
                <w:sz w:val="20"/>
              </w:rPr>
              <w:t xml:space="preserve"> </w:t>
            </w:r>
            <w:r w:rsidR="001F6E55" w:rsidRPr="00B44B19">
              <w:rPr>
                <w:rFonts w:cs="Times New Roman"/>
                <w:b/>
                <w:noProof/>
                <w:sz w:val="20"/>
              </w:rPr>
              <w:t>i</w:t>
            </w:r>
            <w:r w:rsidRPr="00B44B19">
              <w:rPr>
                <w:rFonts w:cs="Times New Roman"/>
                <w:b/>
                <w:noProof/>
                <w:sz w:val="20"/>
              </w:rPr>
              <w:t>ntervencinių priemonių sritis</w:t>
            </w:r>
          </w:p>
        </w:tc>
      </w:tr>
      <w:tr w:rsidR="0066383D" w:rsidRPr="00B44B19" w14:paraId="03E8B55F" w14:textId="77777777" w:rsidTr="00167E6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9370A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55E19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BBD10B"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4F6A82"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B6036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AE2C5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245FB1" w:rsidRPr="00B44B19" w14:paraId="6A9D9EB5" w14:textId="77777777" w:rsidTr="00167E6C">
        <w:tc>
          <w:tcPr>
            <w:tcW w:w="1101" w:type="dxa"/>
            <w:vMerge w:val="restart"/>
            <w:tcBorders>
              <w:top w:val="single" w:sz="12" w:space="0" w:color="auto"/>
            </w:tcBorders>
          </w:tcPr>
          <w:p w14:paraId="1182AFDE" w14:textId="77777777" w:rsidR="00245FB1" w:rsidRPr="00B44B19" w:rsidRDefault="00245FB1" w:rsidP="00AC7470">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5DA18D85" w14:textId="77777777" w:rsidR="00245FB1" w:rsidRPr="00B44B19" w:rsidRDefault="00245FB1" w:rsidP="00AC7470">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E648BD"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19BF1829" w14:textId="77777777" w:rsidR="00245FB1" w:rsidRPr="00B44B19" w:rsidRDefault="00245FB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530EA580" w14:textId="77777777" w:rsidR="00245FB1" w:rsidRPr="00B44B19" w:rsidRDefault="00245FB1" w:rsidP="00AC7470">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4.4</w:t>
            </w:r>
          </w:p>
        </w:tc>
        <w:tc>
          <w:tcPr>
            <w:tcW w:w="3969" w:type="dxa"/>
            <w:vMerge w:val="restart"/>
            <w:tcBorders>
              <w:top w:val="single" w:sz="12" w:space="0" w:color="auto"/>
            </w:tcBorders>
          </w:tcPr>
          <w:p w14:paraId="73EFF9B6" w14:textId="77777777" w:rsidR="00245FB1" w:rsidRPr="00B44B19" w:rsidRDefault="00245FB1" w:rsidP="00853B4B">
            <w:pPr>
              <w:textAlignment w:val="baseline"/>
              <w:rPr>
                <w:rFonts w:eastAsia="Times New Roman" w:cs="Times New Roman"/>
                <w:sz w:val="20"/>
                <w:szCs w:val="20"/>
                <w:lang w:eastAsia="lt-LT"/>
              </w:rPr>
            </w:pPr>
            <w:r w:rsidRPr="00B44B19">
              <w:rPr>
                <w:rFonts w:eastAsia="Times New Roman" w:cs="Times New Roman"/>
                <w:sz w:val="20"/>
                <w:szCs w:val="20"/>
                <w:lang w:eastAsia="lt-LT"/>
              </w:rPr>
              <w:t>1</w:t>
            </w:r>
            <w:r w:rsidR="00E648BD" w:rsidRPr="00B44B19">
              <w:rPr>
                <w:rFonts w:eastAsia="Times New Roman" w:cs="Times New Roman"/>
                <w:sz w:val="20"/>
                <w:szCs w:val="20"/>
                <w:lang w:eastAsia="lt-LT"/>
              </w:rPr>
              <w:t xml:space="preserve">51 </w:t>
            </w:r>
            <w:r w:rsidR="00853B4B" w:rsidRPr="00B44B19">
              <w:rPr>
                <w:rFonts w:eastAsia="Times New Roman" w:cs="Times New Roman"/>
                <w:sz w:val="20"/>
                <w:szCs w:val="20"/>
                <w:lang w:eastAsia="lt-LT"/>
              </w:rPr>
              <w:t>–</w:t>
            </w:r>
            <w:r w:rsidR="00E648BD" w:rsidRPr="00B44B19">
              <w:rPr>
                <w:rFonts w:eastAsia="Times New Roman" w:cs="Times New Roman"/>
                <w:sz w:val="20"/>
                <w:szCs w:val="20"/>
                <w:lang w:eastAsia="lt-LT"/>
              </w:rPr>
              <w:t xml:space="preserve"> Parama suaugusiųjų švietimui (išskyrus infrastruktūrą)</w:t>
            </w:r>
          </w:p>
        </w:tc>
        <w:tc>
          <w:tcPr>
            <w:tcW w:w="1417" w:type="dxa"/>
            <w:tcBorders>
              <w:top w:val="single" w:sz="12" w:space="0" w:color="auto"/>
              <w:bottom w:val="single" w:sz="4" w:space="0" w:color="auto"/>
            </w:tcBorders>
          </w:tcPr>
          <w:p w14:paraId="584BAFA1"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6 291 922,00</w:t>
            </w:r>
          </w:p>
        </w:tc>
      </w:tr>
      <w:tr w:rsidR="00245FB1" w:rsidRPr="00B44B19" w14:paraId="49F4D159" w14:textId="77777777" w:rsidTr="00E648BD">
        <w:tc>
          <w:tcPr>
            <w:tcW w:w="1101" w:type="dxa"/>
            <w:vMerge/>
          </w:tcPr>
          <w:p w14:paraId="3BDE832F" w14:textId="77777777" w:rsidR="00245FB1" w:rsidRPr="00B44B19" w:rsidRDefault="00245FB1" w:rsidP="00AC7470">
            <w:pPr>
              <w:jc w:val="center"/>
              <w:textAlignment w:val="baseline"/>
              <w:rPr>
                <w:rFonts w:eastAsia="Times New Roman" w:cs="Times New Roman"/>
                <w:sz w:val="20"/>
                <w:szCs w:val="20"/>
                <w:lang w:eastAsia="lt-LT"/>
              </w:rPr>
            </w:pPr>
          </w:p>
        </w:tc>
        <w:tc>
          <w:tcPr>
            <w:tcW w:w="850" w:type="dxa"/>
            <w:vMerge/>
          </w:tcPr>
          <w:p w14:paraId="625B7E76" w14:textId="77777777" w:rsidR="00245FB1" w:rsidRPr="00B44B19" w:rsidRDefault="00245FB1" w:rsidP="00AC7470">
            <w:pPr>
              <w:jc w:val="center"/>
              <w:textAlignment w:val="baseline"/>
              <w:rPr>
                <w:rFonts w:eastAsia="Times New Roman" w:cs="Times New Roman"/>
                <w:sz w:val="20"/>
                <w:szCs w:val="20"/>
                <w:lang w:eastAsia="lt-LT"/>
              </w:rPr>
            </w:pPr>
          </w:p>
        </w:tc>
        <w:tc>
          <w:tcPr>
            <w:tcW w:w="1418" w:type="dxa"/>
            <w:tcBorders>
              <w:top w:val="single" w:sz="4" w:space="0" w:color="auto"/>
            </w:tcBorders>
          </w:tcPr>
          <w:p w14:paraId="6B0F4D48" w14:textId="77777777" w:rsidR="00245FB1" w:rsidRPr="00B44B19" w:rsidRDefault="00245FB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4514A9E2" w14:textId="77777777" w:rsidR="00245FB1" w:rsidRPr="00B44B19" w:rsidRDefault="00245FB1" w:rsidP="00AC7470">
            <w:pPr>
              <w:jc w:val="center"/>
              <w:textAlignment w:val="baseline"/>
              <w:rPr>
                <w:rFonts w:eastAsia="Times New Roman" w:cs="Times New Roman"/>
                <w:sz w:val="20"/>
                <w:szCs w:val="20"/>
                <w:lang w:eastAsia="lt-LT"/>
              </w:rPr>
            </w:pPr>
          </w:p>
        </w:tc>
        <w:tc>
          <w:tcPr>
            <w:tcW w:w="3969" w:type="dxa"/>
            <w:vMerge/>
          </w:tcPr>
          <w:p w14:paraId="44C61E24" w14:textId="77777777" w:rsidR="00245FB1" w:rsidRPr="00B44B19" w:rsidRDefault="00245FB1" w:rsidP="00AF4D6B">
            <w:pPr>
              <w:jc w:val="center"/>
              <w:textAlignment w:val="baseline"/>
              <w:rPr>
                <w:rFonts w:eastAsia="Times New Roman" w:cs="Times New Roman"/>
                <w:sz w:val="20"/>
                <w:szCs w:val="20"/>
                <w:lang w:eastAsia="lt-LT"/>
              </w:rPr>
            </w:pPr>
          </w:p>
        </w:tc>
        <w:tc>
          <w:tcPr>
            <w:tcW w:w="1417" w:type="dxa"/>
            <w:tcBorders>
              <w:top w:val="single" w:sz="4" w:space="0" w:color="auto"/>
            </w:tcBorders>
          </w:tcPr>
          <w:p w14:paraId="7F7F1926" w14:textId="77777777" w:rsidR="00245FB1" w:rsidRPr="00B44B19" w:rsidRDefault="00245FB1" w:rsidP="00AC7470">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58 208 053,00</w:t>
            </w:r>
          </w:p>
        </w:tc>
      </w:tr>
    </w:tbl>
    <w:p w14:paraId="501017A0"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577E5483"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4673C3B" w14:textId="77777777" w:rsidR="0066383D" w:rsidRPr="00B44B19" w:rsidRDefault="0066383D" w:rsidP="00897CCA">
            <w:pPr>
              <w:rPr>
                <w:rFonts w:eastAsia="Times New Roman" w:cs="Times New Roman"/>
                <w:b/>
                <w:iCs/>
                <w:noProof/>
                <w:sz w:val="20"/>
              </w:rPr>
            </w:pPr>
            <w:r w:rsidRPr="00B44B19">
              <w:rPr>
                <w:rFonts w:cs="Times New Roman"/>
                <w:b/>
                <w:noProof/>
                <w:sz w:val="20"/>
              </w:rPr>
              <w:t>5 lentelė. 2 matmuo</w:t>
            </w:r>
            <w:r w:rsidR="001F6E55" w:rsidRPr="00B44B19">
              <w:rPr>
                <w:rFonts w:cs="Times New Roman"/>
                <w:b/>
                <w:noProof/>
                <w:sz w:val="20"/>
              </w:rPr>
              <w:t>:</w:t>
            </w:r>
            <w:r w:rsidRPr="00B44B19">
              <w:rPr>
                <w:rFonts w:cs="Times New Roman"/>
                <w:b/>
                <w:noProof/>
                <w:sz w:val="20"/>
              </w:rPr>
              <w:t xml:space="preserve"> </w:t>
            </w:r>
            <w:r w:rsidR="001F6E55" w:rsidRPr="00B44B19">
              <w:rPr>
                <w:rFonts w:cs="Times New Roman"/>
                <w:b/>
                <w:noProof/>
                <w:sz w:val="20"/>
              </w:rPr>
              <w:t>f</w:t>
            </w:r>
            <w:r w:rsidR="00897CCA" w:rsidRPr="00B44B19">
              <w:rPr>
                <w:rFonts w:cs="Times New Roman"/>
                <w:b/>
                <w:noProof/>
                <w:sz w:val="20"/>
              </w:rPr>
              <w:t>inansavimo</w:t>
            </w:r>
            <w:r w:rsidR="00F06A10" w:rsidRPr="00B44B19">
              <w:rPr>
                <w:rFonts w:cs="Times New Roman"/>
                <w:b/>
                <w:noProof/>
                <w:sz w:val="20"/>
              </w:rPr>
              <w:t xml:space="preserve"> </w:t>
            </w:r>
            <w:r w:rsidRPr="00B44B19">
              <w:rPr>
                <w:rFonts w:cs="Times New Roman"/>
                <w:b/>
                <w:noProof/>
                <w:sz w:val="20"/>
              </w:rPr>
              <w:t>forma</w:t>
            </w:r>
          </w:p>
        </w:tc>
      </w:tr>
      <w:tr w:rsidR="0066383D" w:rsidRPr="00B44B19" w14:paraId="67A997FA"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7CFE7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3A925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0BEFA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F6161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BB29B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3BD00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245FB1" w:rsidRPr="00B44B19" w14:paraId="63C25FC2" w14:textId="77777777" w:rsidTr="00E648BD">
        <w:tc>
          <w:tcPr>
            <w:tcW w:w="1101" w:type="dxa"/>
            <w:vMerge w:val="restart"/>
            <w:tcBorders>
              <w:top w:val="single" w:sz="12" w:space="0" w:color="auto"/>
            </w:tcBorders>
          </w:tcPr>
          <w:p w14:paraId="70384B6D" w14:textId="77777777" w:rsidR="00245FB1" w:rsidRPr="00B44B19" w:rsidRDefault="00245FB1" w:rsidP="00C56DB4">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3AB28D3C" w14:textId="77777777" w:rsidR="00245FB1" w:rsidRPr="00B44B19" w:rsidRDefault="00245FB1" w:rsidP="00CD0168">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E648BD"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6EE0FB5B" w14:textId="77777777" w:rsidR="00245FB1" w:rsidRPr="00B44B19" w:rsidRDefault="00245FB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4817B39D" w14:textId="77777777" w:rsidR="00245FB1" w:rsidRPr="00B44B19" w:rsidRDefault="00245FB1" w:rsidP="00C56DB4">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4.4</w:t>
            </w:r>
          </w:p>
        </w:tc>
        <w:tc>
          <w:tcPr>
            <w:tcW w:w="3969" w:type="dxa"/>
            <w:vMerge w:val="restart"/>
            <w:tcBorders>
              <w:top w:val="single" w:sz="12" w:space="0" w:color="auto"/>
            </w:tcBorders>
          </w:tcPr>
          <w:p w14:paraId="50527B0E" w14:textId="77777777" w:rsidR="00245FB1" w:rsidRPr="00B44B19" w:rsidRDefault="00245FB1" w:rsidP="00853B4B">
            <w:pPr>
              <w:textAlignment w:val="baseline"/>
              <w:rPr>
                <w:rFonts w:eastAsia="Times New Roman" w:cs="Times New Roman"/>
                <w:sz w:val="20"/>
                <w:szCs w:val="20"/>
                <w:lang w:eastAsia="lt-LT"/>
              </w:rPr>
            </w:pPr>
            <w:r w:rsidRPr="00B44B19">
              <w:rPr>
                <w:rFonts w:eastAsia="Times New Roman" w:cs="Times New Roman"/>
                <w:sz w:val="20"/>
                <w:szCs w:val="20"/>
                <w:lang w:eastAsia="lt-LT"/>
              </w:rPr>
              <w:t>01</w:t>
            </w:r>
            <w:r w:rsidR="00DC13A3" w:rsidRPr="00B44B19">
              <w:rPr>
                <w:rFonts w:eastAsia="Times New Roman" w:cs="Times New Roman"/>
                <w:sz w:val="20"/>
                <w:szCs w:val="20"/>
                <w:lang w:eastAsia="lt-LT"/>
              </w:rPr>
              <w:t xml:space="preserve"> </w:t>
            </w:r>
            <w:r w:rsidR="00853B4B" w:rsidRPr="00B44B19">
              <w:rPr>
                <w:rFonts w:eastAsia="Times New Roman" w:cs="Times New Roman"/>
                <w:sz w:val="20"/>
                <w:szCs w:val="20"/>
                <w:lang w:eastAsia="lt-LT"/>
              </w:rPr>
              <w:t>–</w:t>
            </w:r>
            <w:r w:rsidR="00DC13A3" w:rsidRPr="00B44B19">
              <w:rPr>
                <w:rFonts w:eastAsia="Times New Roman" w:cs="Times New Roman"/>
                <w:sz w:val="20"/>
                <w:szCs w:val="20"/>
                <w:lang w:eastAsia="lt-LT"/>
              </w:rPr>
              <w:t xml:space="preserve"> Dotacija</w:t>
            </w:r>
          </w:p>
        </w:tc>
        <w:tc>
          <w:tcPr>
            <w:tcW w:w="1417" w:type="dxa"/>
            <w:tcBorders>
              <w:top w:val="single" w:sz="12" w:space="0" w:color="auto"/>
              <w:bottom w:val="single" w:sz="4" w:space="0" w:color="auto"/>
            </w:tcBorders>
          </w:tcPr>
          <w:p w14:paraId="0747ACF1"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6 291 922,00</w:t>
            </w:r>
          </w:p>
        </w:tc>
      </w:tr>
      <w:tr w:rsidR="00245FB1" w:rsidRPr="00B44B19" w14:paraId="6E7486C1" w14:textId="77777777" w:rsidTr="00E648BD">
        <w:tc>
          <w:tcPr>
            <w:tcW w:w="1101" w:type="dxa"/>
            <w:vMerge/>
          </w:tcPr>
          <w:p w14:paraId="32E076E2" w14:textId="77777777" w:rsidR="00245FB1" w:rsidRPr="00B44B19" w:rsidRDefault="00245FB1" w:rsidP="00C56DB4">
            <w:pPr>
              <w:jc w:val="center"/>
              <w:textAlignment w:val="baseline"/>
              <w:rPr>
                <w:rFonts w:eastAsia="Times New Roman" w:cs="Times New Roman"/>
                <w:sz w:val="20"/>
                <w:szCs w:val="20"/>
                <w:lang w:eastAsia="lt-LT"/>
              </w:rPr>
            </w:pPr>
          </w:p>
        </w:tc>
        <w:tc>
          <w:tcPr>
            <w:tcW w:w="850" w:type="dxa"/>
            <w:vMerge/>
          </w:tcPr>
          <w:p w14:paraId="683D9B09" w14:textId="77777777" w:rsidR="00245FB1" w:rsidRPr="00B44B19" w:rsidRDefault="00245FB1" w:rsidP="00AF4D6B">
            <w:pPr>
              <w:textAlignment w:val="baseline"/>
              <w:rPr>
                <w:rFonts w:eastAsia="Times New Roman" w:cs="Times New Roman"/>
                <w:sz w:val="20"/>
                <w:szCs w:val="20"/>
                <w:lang w:eastAsia="lt-LT"/>
              </w:rPr>
            </w:pPr>
          </w:p>
        </w:tc>
        <w:tc>
          <w:tcPr>
            <w:tcW w:w="1418" w:type="dxa"/>
            <w:tcBorders>
              <w:top w:val="single" w:sz="4" w:space="0" w:color="auto"/>
            </w:tcBorders>
          </w:tcPr>
          <w:p w14:paraId="1E71876E" w14:textId="77777777" w:rsidR="00245FB1" w:rsidRPr="00B44B19" w:rsidRDefault="00245FB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46554AA" w14:textId="77777777" w:rsidR="00245FB1" w:rsidRPr="00B44B19" w:rsidRDefault="00245FB1" w:rsidP="00C56DB4">
            <w:pPr>
              <w:jc w:val="center"/>
              <w:textAlignment w:val="baseline"/>
              <w:rPr>
                <w:rFonts w:eastAsia="Times New Roman" w:cs="Times New Roman"/>
                <w:sz w:val="20"/>
                <w:szCs w:val="20"/>
                <w:lang w:eastAsia="lt-LT"/>
              </w:rPr>
            </w:pPr>
          </w:p>
        </w:tc>
        <w:tc>
          <w:tcPr>
            <w:tcW w:w="3969" w:type="dxa"/>
            <w:vMerge/>
          </w:tcPr>
          <w:p w14:paraId="3E6DBF19" w14:textId="77777777" w:rsidR="00245FB1" w:rsidRPr="00B44B19" w:rsidRDefault="00245FB1" w:rsidP="00AF4D6B">
            <w:pPr>
              <w:jc w:val="center"/>
              <w:textAlignment w:val="baseline"/>
              <w:rPr>
                <w:rFonts w:eastAsia="Times New Roman" w:cs="Times New Roman"/>
                <w:sz w:val="20"/>
                <w:szCs w:val="20"/>
                <w:lang w:eastAsia="lt-LT"/>
              </w:rPr>
            </w:pPr>
          </w:p>
        </w:tc>
        <w:tc>
          <w:tcPr>
            <w:tcW w:w="1417" w:type="dxa"/>
            <w:tcBorders>
              <w:top w:val="single" w:sz="4" w:space="0" w:color="auto"/>
            </w:tcBorders>
          </w:tcPr>
          <w:p w14:paraId="1348E48C"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58 208 053,00</w:t>
            </w:r>
          </w:p>
        </w:tc>
      </w:tr>
    </w:tbl>
    <w:p w14:paraId="0762874A"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3BC2531D"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9ECC805" w14:textId="77777777" w:rsidR="0066383D" w:rsidRPr="00B44B19" w:rsidRDefault="0066383D" w:rsidP="001F6E55">
            <w:pPr>
              <w:rPr>
                <w:rFonts w:eastAsia="Times New Roman" w:cs="Times New Roman"/>
                <w:b/>
                <w:iCs/>
                <w:noProof/>
                <w:sz w:val="20"/>
              </w:rPr>
            </w:pPr>
            <w:r w:rsidRPr="00B44B19">
              <w:rPr>
                <w:rFonts w:cs="Times New Roman"/>
                <w:b/>
                <w:noProof/>
                <w:sz w:val="20"/>
              </w:rPr>
              <w:t>6 lentelė. 3 matmuo</w:t>
            </w:r>
            <w:r w:rsidR="00833871" w:rsidRPr="00B44B19">
              <w:rPr>
                <w:rFonts w:cs="Times New Roman"/>
                <w:b/>
                <w:noProof/>
                <w:sz w:val="20"/>
              </w:rPr>
              <w:t>:</w:t>
            </w:r>
            <w:r w:rsidRPr="00B44B19">
              <w:rPr>
                <w:rFonts w:cs="Times New Roman"/>
                <w:b/>
                <w:noProof/>
                <w:sz w:val="20"/>
              </w:rPr>
              <w:t xml:space="preserve"> </w:t>
            </w:r>
            <w:r w:rsidR="00833871" w:rsidRPr="00B44B19">
              <w:rPr>
                <w:rFonts w:cs="Times New Roman"/>
                <w:b/>
                <w:noProof/>
                <w:sz w:val="20"/>
              </w:rPr>
              <w:t>t</w:t>
            </w:r>
            <w:r w:rsidR="00F06A10" w:rsidRPr="00B44B19">
              <w:rPr>
                <w:rFonts w:cs="Times New Roman"/>
                <w:b/>
                <w:noProof/>
                <w:sz w:val="20"/>
              </w:rPr>
              <w:t>eritorinis įgyvendinimo mechanizmas ir pagrindinė teritorinė sritis</w:t>
            </w:r>
          </w:p>
        </w:tc>
      </w:tr>
      <w:tr w:rsidR="0066383D" w:rsidRPr="00B44B19" w14:paraId="4066CB45"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FB5D92"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41824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30C32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BA85D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AD02B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4ED5A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245FB1" w:rsidRPr="00B44B19" w14:paraId="63FFC269" w14:textId="77777777" w:rsidTr="00E648BD">
        <w:tc>
          <w:tcPr>
            <w:tcW w:w="1101" w:type="dxa"/>
            <w:vMerge w:val="restart"/>
            <w:tcBorders>
              <w:top w:val="single" w:sz="12" w:space="0" w:color="auto"/>
            </w:tcBorders>
          </w:tcPr>
          <w:p w14:paraId="4290F5FA" w14:textId="77777777" w:rsidR="00245FB1" w:rsidRPr="00B44B19" w:rsidRDefault="00245FB1"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4E393E7A" w14:textId="77777777" w:rsidR="00245FB1" w:rsidRPr="00B44B19" w:rsidRDefault="00245FB1"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CA0665"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051EB32D" w14:textId="77777777" w:rsidR="00245FB1" w:rsidRPr="00B44B19" w:rsidRDefault="00245FB1"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05CC8B8F" w14:textId="77777777" w:rsidR="00245FB1" w:rsidRPr="00B44B19" w:rsidRDefault="00245FB1" w:rsidP="00CD0168">
            <w:pPr>
              <w:jc w:val="center"/>
              <w:rPr>
                <w:rFonts w:eastAsia="Times New Roman" w:cs="Times New Roman"/>
                <w:b/>
                <w:iCs/>
                <w:noProof/>
                <w:sz w:val="20"/>
              </w:rPr>
            </w:pPr>
            <w:r w:rsidRPr="00B44B19">
              <w:rPr>
                <w:rFonts w:eastAsia="Times New Roman" w:cs="Times New Roman"/>
                <w:sz w:val="20"/>
                <w:szCs w:val="20"/>
                <w:lang w:eastAsia="lt-LT"/>
              </w:rPr>
              <w:t>4.4</w:t>
            </w:r>
          </w:p>
        </w:tc>
        <w:tc>
          <w:tcPr>
            <w:tcW w:w="3969" w:type="dxa"/>
            <w:vMerge w:val="restart"/>
            <w:tcBorders>
              <w:top w:val="single" w:sz="12" w:space="0" w:color="auto"/>
            </w:tcBorders>
          </w:tcPr>
          <w:p w14:paraId="1312A7FF" w14:textId="77777777" w:rsidR="00245FB1" w:rsidRPr="00B44B19" w:rsidRDefault="00245FB1" w:rsidP="00853B4B">
            <w:pPr>
              <w:rPr>
                <w:rFonts w:eastAsia="Times New Roman" w:cs="Times New Roman"/>
                <w:iCs/>
                <w:noProof/>
                <w:sz w:val="20"/>
              </w:rPr>
            </w:pPr>
            <w:r w:rsidRPr="00B44B19">
              <w:rPr>
                <w:rFonts w:eastAsia="Times New Roman" w:cs="Times New Roman"/>
                <w:iCs/>
                <w:noProof/>
                <w:sz w:val="20"/>
              </w:rPr>
              <w:t>33</w:t>
            </w:r>
            <w:r w:rsidR="00DC13A3" w:rsidRPr="00B44B19">
              <w:rPr>
                <w:rFonts w:eastAsia="Times New Roman" w:cs="Times New Roman"/>
                <w:iCs/>
                <w:noProof/>
                <w:sz w:val="20"/>
              </w:rPr>
              <w:t xml:space="preserve"> </w:t>
            </w:r>
            <w:r w:rsidR="00853B4B" w:rsidRPr="00B44B19">
              <w:rPr>
                <w:rFonts w:eastAsia="Times New Roman" w:cs="Times New Roman"/>
                <w:iCs/>
                <w:noProof/>
                <w:sz w:val="20"/>
              </w:rPr>
              <w:t>–</w:t>
            </w:r>
            <w:r w:rsidR="00DC13A3" w:rsidRPr="00B44B19">
              <w:rPr>
                <w:rFonts w:eastAsia="Times New Roman" w:cs="Times New Roman"/>
                <w:iCs/>
                <w:noProof/>
                <w:sz w:val="20"/>
              </w:rPr>
              <w:t xml:space="preserve"> Nesiorientuojant į teritoriškumą</w:t>
            </w:r>
          </w:p>
        </w:tc>
        <w:tc>
          <w:tcPr>
            <w:tcW w:w="1417" w:type="dxa"/>
            <w:tcBorders>
              <w:top w:val="single" w:sz="12" w:space="0" w:color="auto"/>
              <w:bottom w:val="single" w:sz="4" w:space="0" w:color="auto"/>
            </w:tcBorders>
          </w:tcPr>
          <w:p w14:paraId="4DC39A35"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6 291 922,00</w:t>
            </w:r>
          </w:p>
        </w:tc>
      </w:tr>
      <w:tr w:rsidR="00245FB1" w:rsidRPr="00B44B19" w14:paraId="0B2DC1A5" w14:textId="77777777" w:rsidTr="00E648BD">
        <w:tc>
          <w:tcPr>
            <w:tcW w:w="1101" w:type="dxa"/>
            <w:vMerge/>
          </w:tcPr>
          <w:p w14:paraId="65D22A35" w14:textId="77777777" w:rsidR="00245FB1" w:rsidRPr="00B44B19" w:rsidRDefault="00245FB1" w:rsidP="0066383D">
            <w:pPr>
              <w:rPr>
                <w:rFonts w:eastAsia="Times New Roman" w:cs="Times New Roman"/>
                <w:b/>
                <w:iCs/>
                <w:noProof/>
                <w:sz w:val="20"/>
              </w:rPr>
            </w:pPr>
          </w:p>
        </w:tc>
        <w:tc>
          <w:tcPr>
            <w:tcW w:w="850" w:type="dxa"/>
            <w:vMerge/>
          </w:tcPr>
          <w:p w14:paraId="4AAA1AF4" w14:textId="77777777" w:rsidR="00245FB1" w:rsidRPr="00B44B19" w:rsidRDefault="00245FB1" w:rsidP="0066383D">
            <w:pPr>
              <w:rPr>
                <w:rFonts w:eastAsia="Times New Roman" w:cs="Times New Roman"/>
                <w:b/>
                <w:iCs/>
                <w:noProof/>
                <w:sz w:val="20"/>
              </w:rPr>
            </w:pPr>
          </w:p>
        </w:tc>
        <w:tc>
          <w:tcPr>
            <w:tcW w:w="1418" w:type="dxa"/>
            <w:tcBorders>
              <w:top w:val="single" w:sz="4" w:space="0" w:color="auto"/>
            </w:tcBorders>
          </w:tcPr>
          <w:p w14:paraId="7AD8EB76" w14:textId="77777777" w:rsidR="00245FB1" w:rsidRPr="00B44B19" w:rsidRDefault="00245FB1" w:rsidP="0066383D">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6ECE127D" w14:textId="77777777" w:rsidR="00245FB1" w:rsidRPr="00B44B19" w:rsidRDefault="00245FB1" w:rsidP="0066383D">
            <w:pPr>
              <w:rPr>
                <w:rFonts w:eastAsia="Times New Roman" w:cs="Times New Roman"/>
                <w:b/>
                <w:iCs/>
                <w:noProof/>
                <w:sz w:val="20"/>
              </w:rPr>
            </w:pPr>
          </w:p>
        </w:tc>
        <w:tc>
          <w:tcPr>
            <w:tcW w:w="3969" w:type="dxa"/>
            <w:vMerge/>
          </w:tcPr>
          <w:p w14:paraId="72A832BA" w14:textId="77777777" w:rsidR="00245FB1" w:rsidRPr="00B44B19" w:rsidRDefault="00245FB1" w:rsidP="0066383D">
            <w:pPr>
              <w:rPr>
                <w:rFonts w:eastAsia="Times New Roman" w:cs="Times New Roman"/>
                <w:b/>
                <w:iCs/>
                <w:noProof/>
                <w:sz w:val="20"/>
              </w:rPr>
            </w:pPr>
          </w:p>
        </w:tc>
        <w:tc>
          <w:tcPr>
            <w:tcW w:w="1417" w:type="dxa"/>
            <w:tcBorders>
              <w:top w:val="single" w:sz="4" w:space="0" w:color="auto"/>
            </w:tcBorders>
          </w:tcPr>
          <w:p w14:paraId="39AF0A5F"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58 208 053,00</w:t>
            </w:r>
          </w:p>
        </w:tc>
      </w:tr>
    </w:tbl>
    <w:p w14:paraId="756A9654" w14:textId="77777777" w:rsidR="0066383D" w:rsidRPr="00B44B19" w:rsidRDefault="0066383D" w:rsidP="00C4496A">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969"/>
        <w:gridCol w:w="1417"/>
      </w:tblGrid>
      <w:tr w:rsidR="0066383D" w:rsidRPr="00B44B19" w14:paraId="093CFE94"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51607FC" w14:textId="77777777" w:rsidR="0066383D" w:rsidRPr="00B44B19" w:rsidRDefault="0066383D" w:rsidP="0066383D">
            <w:pPr>
              <w:rPr>
                <w:rFonts w:eastAsia="Times New Roman" w:cs="Times New Roman"/>
                <w:b/>
                <w:iCs/>
                <w:noProof/>
                <w:sz w:val="20"/>
              </w:rPr>
            </w:pPr>
            <w:r w:rsidRPr="00B44B19">
              <w:rPr>
                <w:rFonts w:cs="Times New Roman"/>
                <w:b/>
                <w:noProof/>
                <w:sz w:val="20"/>
              </w:rPr>
              <w:t>7 lentelė. 6 matmuo</w:t>
            </w:r>
            <w:r w:rsidR="00833871" w:rsidRPr="00B44B19">
              <w:rPr>
                <w:rFonts w:cs="Times New Roman"/>
                <w:b/>
                <w:noProof/>
                <w:sz w:val="20"/>
              </w:rPr>
              <w:t>:</w:t>
            </w:r>
            <w:r w:rsidRPr="00B44B19">
              <w:rPr>
                <w:rFonts w:cs="Times New Roman"/>
                <w:b/>
                <w:noProof/>
                <w:sz w:val="20"/>
              </w:rPr>
              <w:t xml:space="preserve"> ESF+ antrinės temos</w:t>
            </w:r>
          </w:p>
        </w:tc>
      </w:tr>
      <w:tr w:rsidR="0066383D" w:rsidRPr="00B44B19" w14:paraId="7258BFD7" w14:textId="77777777" w:rsidTr="00E648B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FF37C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0C8A9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2E8C6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CCACC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0CF69B"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5D6782"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245FB1" w:rsidRPr="00B44B19" w14:paraId="3C137462" w14:textId="77777777" w:rsidTr="00E648BD">
        <w:tc>
          <w:tcPr>
            <w:tcW w:w="1101" w:type="dxa"/>
            <w:vMerge w:val="restart"/>
            <w:tcBorders>
              <w:top w:val="single" w:sz="12" w:space="0" w:color="auto"/>
            </w:tcBorders>
          </w:tcPr>
          <w:p w14:paraId="51C47E3C" w14:textId="77777777" w:rsidR="00245FB1" w:rsidRPr="00B44B19" w:rsidRDefault="00245FB1"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7A2BA99F" w14:textId="77777777" w:rsidR="00245FB1" w:rsidRPr="00B44B19" w:rsidRDefault="00245FB1"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ESF</w:t>
            </w:r>
            <w:r w:rsidR="00CA0665" w:rsidRPr="00B44B19">
              <w:rPr>
                <w:rFonts w:eastAsia="Times New Roman" w:cs="Times New Roman"/>
                <w:sz w:val="20"/>
                <w:szCs w:val="20"/>
                <w:lang w:eastAsia="lt-LT"/>
              </w:rPr>
              <w:t>+</w:t>
            </w:r>
          </w:p>
        </w:tc>
        <w:tc>
          <w:tcPr>
            <w:tcW w:w="1418" w:type="dxa"/>
            <w:tcBorders>
              <w:top w:val="single" w:sz="12" w:space="0" w:color="auto"/>
              <w:bottom w:val="single" w:sz="4" w:space="0" w:color="auto"/>
            </w:tcBorders>
          </w:tcPr>
          <w:p w14:paraId="78173331" w14:textId="77777777" w:rsidR="00245FB1" w:rsidRPr="00B44B19" w:rsidRDefault="00245FB1"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2D13D783" w14:textId="77777777" w:rsidR="00245FB1" w:rsidRPr="00B44B19" w:rsidRDefault="00245FB1" w:rsidP="00CD0168">
            <w:pPr>
              <w:jc w:val="center"/>
              <w:rPr>
                <w:rFonts w:eastAsia="Times New Roman" w:cs="Times New Roman"/>
                <w:b/>
                <w:iCs/>
                <w:noProof/>
                <w:sz w:val="20"/>
              </w:rPr>
            </w:pPr>
            <w:r w:rsidRPr="00B44B19">
              <w:rPr>
                <w:rFonts w:eastAsia="Times New Roman" w:cs="Times New Roman"/>
                <w:sz w:val="20"/>
                <w:szCs w:val="20"/>
                <w:lang w:eastAsia="lt-LT"/>
              </w:rPr>
              <w:t>4.4</w:t>
            </w:r>
          </w:p>
        </w:tc>
        <w:tc>
          <w:tcPr>
            <w:tcW w:w="3969" w:type="dxa"/>
            <w:vMerge w:val="restart"/>
            <w:tcBorders>
              <w:top w:val="single" w:sz="12" w:space="0" w:color="auto"/>
            </w:tcBorders>
          </w:tcPr>
          <w:p w14:paraId="6D3F880A" w14:textId="77777777" w:rsidR="00245FB1" w:rsidRPr="00B44B19" w:rsidRDefault="00245FB1" w:rsidP="00853B4B">
            <w:pPr>
              <w:rPr>
                <w:rFonts w:eastAsia="Times New Roman" w:cs="Times New Roman"/>
                <w:iCs/>
                <w:noProof/>
                <w:sz w:val="20"/>
              </w:rPr>
            </w:pPr>
            <w:r w:rsidRPr="00B44B19">
              <w:rPr>
                <w:rFonts w:eastAsia="Times New Roman" w:cs="Times New Roman"/>
                <w:iCs/>
                <w:noProof/>
                <w:sz w:val="20"/>
              </w:rPr>
              <w:t>09</w:t>
            </w:r>
            <w:r w:rsidR="0060795E" w:rsidRPr="00B44B19">
              <w:rPr>
                <w:rFonts w:eastAsia="Times New Roman" w:cs="Times New Roman"/>
                <w:iCs/>
                <w:noProof/>
                <w:sz w:val="20"/>
              </w:rPr>
              <w:t xml:space="preserve"> </w:t>
            </w:r>
            <w:r w:rsidR="00853B4B" w:rsidRPr="00B44B19">
              <w:rPr>
                <w:rFonts w:eastAsia="Times New Roman" w:cs="Times New Roman"/>
                <w:iCs/>
                <w:noProof/>
                <w:sz w:val="20"/>
              </w:rPr>
              <w:t>–</w:t>
            </w:r>
            <w:r w:rsidR="0060795E" w:rsidRPr="00B44B19">
              <w:rPr>
                <w:rFonts w:eastAsia="Times New Roman" w:cs="Times New Roman"/>
                <w:iCs/>
                <w:noProof/>
                <w:sz w:val="20"/>
              </w:rPr>
              <w:t xml:space="preserve"> Netaikoma</w:t>
            </w:r>
          </w:p>
        </w:tc>
        <w:tc>
          <w:tcPr>
            <w:tcW w:w="1417" w:type="dxa"/>
            <w:tcBorders>
              <w:top w:val="single" w:sz="12" w:space="0" w:color="auto"/>
              <w:bottom w:val="single" w:sz="4" w:space="0" w:color="auto"/>
            </w:tcBorders>
          </w:tcPr>
          <w:p w14:paraId="3952E477"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6 291 922,00</w:t>
            </w:r>
          </w:p>
        </w:tc>
      </w:tr>
      <w:tr w:rsidR="00245FB1" w:rsidRPr="00B44B19" w14:paraId="3FFC16F4" w14:textId="77777777" w:rsidTr="00E648BD">
        <w:tc>
          <w:tcPr>
            <w:tcW w:w="1101" w:type="dxa"/>
            <w:vMerge/>
          </w:tcPr>
          <w:p w14:paraId="5164B48F" w14:textId="77777777" w:rsidR="00245FB1" w:rsidRPr="00B44B19" w:rsidRDefault="00245FB1" w:rsidP="0066383D">
            <w:pPr>
              <w:rPr>
                <w:rFonts w:eastAsia="Times New Roman" w:cs="Times New Roman"/>
                <w:b/>
                <w:iCs/>
                <w:noProof/>
                <w:sz w:val="20"/>
              </w:rPr>
            </w:pPr>
          </w:p>
        </w:tc>
        <w:tc>
          <w:tcPr>
            <w:tcW w:w="850" w:type="dxa"/>
            <w:vMerge/>
          </w:tcPr>
          <w:p w14:paraId="1F6FAD70" w14:textId="77777777" w:rsidR="00245FB1" w:rsidRPr="00B44B19" w:rsidRDefault="00245FB1" w:rsidP="0066383D">
            <w:pPr>
              <w:rPr>
                <w:rFonts w:eastAsia="Times New Roman" w:cs="Times New Roman"/>
                <w:b/>
                <w:iCs/>
                <w:noProof/>
                <w:sz w:val="20"/>
              </w:rPr>
            </w:pPr>
          </w:p>
        </w:tc>
        <w:tc>
          <w:tcPr>
            <w:tcW w:w="1418" w:type="dxa"/>
            <w:tcBorders>
              <w:top w:val="single" w:sz="4" w:space="0" w:color="auto"/>
            </w:tcBorders>
          </w:tcPr>
          <w:p w14:paraId="1A5D7336" w14:textId="77777777" w:rsidR="00245FB1" w:rsidRPr="00B44B19" w:rsidRDefault="00245FB1" w:rsidP="0066383D">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0E19AA13" w14:textId="77777777" w:rsidR="00245FB1" w:rsidRPr="00B44B19" w:rsidRDefault="00245FB1" w:rsidP="0066383D">
            <w:pPr>
              <w:rPr>
                <w:rFonts w:eastAsia="Times New Roman" w:cs="Times New Roman"/>
                <w:b/>
                <w:iCs/>
                <w:noProof/>
                <w:sz w:val="20"/>
              </w:rPr>
            </w:pPr>
          </w:p>
        </w:tc>
        <w:tc>
          <w:tcPr>
            <w:tcW w:w="3969" w:type="dxa"/>
            <w:vMerge/>
          </w:tcPr>
          <w:p w14:paraId="099E4B03" w14:textId="77777777" w:rsidR="00245FB1" w:rsidRPr="00B44B19" w:rsidRDefault="00245FB1" w:rsidP="0066383D">
            <w:pPr>
              <w:rPr>
                <w:rFonts w:eastAsia="Times New Roman" w:cs="Times New Roman"/>
                <w:b/>
                <w:iCs/>
                <w:noProof/>
                <w:sz w:val="20"/>
              </w:rPr>
            </w:pPr>
          </w:p>
        </w:tc>
        <w:tc>
          <w:tcPr>
            <w:tcW w:w="1417" w:type="dxa"/>
            <w:tcBorders>
              <w:top w:val="single" w:sz="4" w:space="0" w:color="auto"/>
            </w:tcBorders>
          </w:tcPr>
          <w:p w14:paraId="18B056BC"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58 208 053,00</w:t>
            </w:r>
          </w:p>
        </w:tc>
      </w:tr>
    </w:tbl>
    <w:p w14:paraId="4509725F" w14:textId="77777777" w:rsidR="00E438B8" w:rsidRPr="00B44B19" w:rsidRDefault="00E438B8" w:rsidP="00C4496A">
      <w:pPr>
        <w:spacing w:after="0" w:line="240" w:lineRule="auto"/>
        <w:rPr>
          <w:rFonts w:cs="Times New Roman"/>
          <w:sz w:val="20"/>
          <w:szCs w:val="20"/>
        </w:rPr>
      </w:pPr>
    </w:p>
    <w:tbl>
      <w:tblPr>
        <w:tblStyle w:val="Lentelstinklelis38"/>
        <w:tblW w:w="9889" w:type="dxa"/>
        <w:tblLook w:val="04A0" w:firstRow="1" w:lastRow="0" w:firstColumn="1" w:lastColumn="0" w:noHBand="0" w:noVBand="1"/>
      </w:tblPr>
      <w:tblGrid>
        <w:gridCol w:w="1101"/>
        <w:gridCol w:w="850"/>
        <w:gridCol w:w="1418"/>
        <w:gridCol w:w="1134"/>
        <w:gridCol w:w="3969"/>
        <w:gridCol w:w="1417"/>
      </w:tblGrid>
      <w:tr w:rsidR="00696DF7" w:rsidRPr="00B44B19" w14:paraId="336DFE04"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75774A" w14:textId="77777777" w:rsidR="00696DF7" w:rsidRPr="00B44B19" w:rsidRDefault="00696DF7" w:rsidP="00833871">
            <w:pPr>
              <w:rPr>
                <w:b/>
                <w:iCs/>
                <w:noProof/>
                <w:sz w:val="20"/>
                <w:szCs w:val="20"/>
              </w:rPr>
            </w:pPr>
            <w:r w:rsidRPr="00B44B19">
              <w:rPr>
                <w:b/>
                <w:noProof/>
                <w:sz w:val="20"/>
                <w:szCs w:val="20"/>
              </w:rPr>
              <w:t>8 lentelė. 7 matmuo</w:t>
            </w:r>
            <w:r w:rsidR="00833871" w:rsidRPr="00B44B19">
              <w:rPr>
                <w:b/>
                <w:noProof/>
                <w:sz w:val="20"/>
                <w:szCs w:val="20"/>
              </w:rPr>
              <w:t xml:space="preserve">: </w:t>
            </w:r>
            <w:r w:rsidRPr="00B44B19">
              <w:rPr>
                <w:b/>
                <w:sz w:val="20"/>
                <w:szCs w:val="20"/>
              </w:rPr>
              <w:t>ESF+, ERPF, S</w:t>
            </w:r>
            <w:r w:rsidR="00853B4B" w:rsidRPr="00B44B19">
              <w:rPr>
                <w:b/>
                <w:sz w:val="20"/>
                <w:szCs w:val="20"/>
              </w:rPr>
              <w:t>a</w:t>
            </w:r>
            <w:r w:rsidRPr="00B44B19">
              <w:rPr>
                <w:b/>
                <w:sz w:val="20"/>
                <w:szCs w:val="20"/>
              </w:rPr>
              <w:t>F ir TPF lyčių lygybės matmuo</w:t>
            </w:r>
          </w:p>
        </w:tc>
      </w:tr>
      <w:tr w:rsidR="00696DF7" w:rsidRPr="00B44B19" w14:paraId="339DCF7D" w14:textId="77777777" w:rsidTr="00C449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6B8C5" w14:textId="77777777" w:rsidR="00696DF7" w:rsidRPr="00B44B19" w:rsidRDefault="00696DF7" w:rsidP="00696DF7">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B24D4" w14:textId="77777777" w:rsidR="00696DF7" w:rsidRPr="00B44B19" w:rsidRDefault="00696DF7" w:rsidP="00696DF7">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208287" w14:textId="77777777" w:rsidR="00696DF7" w:rsidRPr="00B44B19" w:rsidRDefault="00696DF7" w:rsidP="00696DF7">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3C40A5" w14:textId="77777777" w:rsidR="00696DF7" w:rsidRPr="00B44B19" w:rsidRDefault="00696DF7" w:rsidP="00696DF7">
            <w:pPr>
              <w:jc w:val="center"/>
              <w:rPr>
                <w:b/>
                <w:iCs/>
                <w:noProof/>
                <w:sz w:val="20"/>
              </w:rPr>
            </w:pPr>
            <w:r w:rsidRPr="00B44B19">
              <w:rPr>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88DE59" w14:textId="77777777" w:rsidR="00696DF7" w:rsidRPr="00B44B19" w:rsidRDefault="00696DF7" w:rsidP="00696DF7">
            <w:pPr>
              <w:jc w:val="center"/>
              <w:rPr>
                <w:b/>
                <w:iCs/>
                <w:noProof/>
                <w:sz w:val="20"/>
              </w:rPr>
            </w:pPr>
            <w:r w:rsidRPr="00B44B1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C6BF19" w14:textId="77777777" w:rsidR="00696DF7" w:rsidRPr="00B44B19" w:rsidRDefault="00696DF7" w:rsidP="00696DF7">
            <w:pPr>
              <w:jc w:val="center"/>
              <w:rPr>
                <w:b/>
                <w:iCs/>
                <w:noProof/>
                <w:sz w:val="20"/>
              </w:rPr>
            </w:pPr>
            <w:r w:rsidRPr="00B44B19">
              <w:rPr>
                <w:b/>
                <w:noProof/>
                <w:sz w:val="20"/>
              </w:rPr>
              <w:t>Suma (EUR)</w:t>
            </w:r>
          </w:p>
        </w:tc>
      </w:tr>
      <w:tr w:rsidR="00696DF7" w:rsidRPr="00B44B19" w14:paraId="39541C5E" w14:textId="77777777" w:rsidTr="00C4496A">
        <w:tc>
          <w:tcPr>
            <w:tcW w:w="1101" w:type="dxa"/>
            <w:vMerge w:val="restart"/>
            <w:tcBorders>
              <w:top w:val="single" w:sz="12" w:space="0" w:color="auto"/>
            </w:tcBorders>
          </w:tcPr>
          <w:p w14:paraId="482DCB19" w14:textId="77777777" w:rsidR="00696DF7" w:rsidRPr="00B44B19" w:rsidRDefault="00696DF7" w:rsidP="00696DF7">
            <w:pPr>
              <w:jc w:val="center"/>
              <w:rPr>
                <w:iCs/>
                <w:noProof/>
                <w:sz w:val="20"/>
              </w:rPr>
            </w:pPr>
            <w:r w:rsidRPr="00B44B19">
              <w:rPr>
                <w:sz w:val="20"/>
                <w:szCs w:val="20"/>
                <w:lang w:eastAsia="lt-LT"/>
              </w:rPr>
              <w:t>4</w:t>
            </w:r>
          </w:p>
        </w:tc>
        <w:tc>
          <w:tcPr>
            <w:tcW w:w="850" w:type="dxa"/>
            <w:vMerge w:val="restart"/>
            <w:tcBorders>
              <w:top w:val="single" w:sz="12" w:space="0" w:color="auto"/>
            </w:tcBorders>
          </w:tcPr>
          <w:p w14:paraId="1FD54C02" w14:textId="77777777" w:rsidR="00696DF7" w:rsidRPr="00B44B19" w:rsidRDefault="00696DF7" w:rsidP="00696DF7">
            <w:pPr>
              <w:jc w:val="center"/>
              <w:rPr>
                <w:iCs/>
                <w:noProof/>
                <w:sz w:val="20"/>
              </w:rPr>
            </w:pPr>
            <w:r w:rsidRPr="00B44B19">
              <w:rPr>
                <w:sz w:val="20"/>
                <w:szCs w:val="20"/>
                <w:lang w:eastAsia="lt-LT"/>
              </w:rPr>
              <w:t>ESF</w:t>
            </w:r>
            <w:r w:rsidR="00CA0665" w:rsidRPr="00B44B19">
              <w:rPr>
                <w:sz w:val="20"/>
                <w:szCs w:val="20"/>
                <w:lang w:eastAsia="lt-LT"/>
              </w:rPr>
              <w:t>+</w:t>
            </w:r>
          </w:p>
        </w:tc>
        <w:tc>
          <w:tcPr>
            <w:tcW w:w="1418" w:type="dxa"/>
            <w:tcBorders>
              <w:top w:val="single" w:sz="12" w:space="0" w:color="auto"/>
            </w:tcBorders>
          </w:tcPr>
          <w:p w14:paraId="54D1BEF8" w14:textId="77777777" w:rsidR="00696DF7" w:rsidRPr="00B44B19" w:rsidRDefault="00696DF7" w:rsidP="00696DF7">
            <w:pPr>
              <w:rPr>
                <w:iCs/>
                <w:noProof/>
                <w:sz w:val="20"/>
              </w:rPr>
            </w:pPr>
            <w:r w:rsidRPr="00B44B19">
              <w:rPr>
                <w:sz w:val="20"/>
                <w:szCs w:val="20"/>
                <w:lang w:eastAsia="lt-LT"/>
              </w:rPr>
              <w:t>Sostinės regionas</w:t>
            </w:r>
          </w:p>
        </w:tc>
        <w:tc>
          <w:tcPr>
            <w:tcW w:w="1134" w:type="dxa"/>
            <w:vMerge w:val="restart"/>
            <w:tcBorders>
              <w:top w:val="single" w:sz="12" w:space="0" w:color="auto"/>
            </w:tcBorders>
          </w:tcPr>
          <w:p w14:paraId="0D980C8F" w14:textId="77777777" w:rsidR="00696DF7" w:rsidRPr="00B44B19" w:rsidRDefault="00696DF7" w:rsidP="00696DF7">
            <w:pPr>
              <w:jc w:val="center"/>
              <w:rPr>
                <w:iCs/>
                <w:noProof/>
                <w:sz w:val="20"/>
              </w:rPr>
            </w:pPr>
            <w:r w:rsidRPr="00B44B19">
              <w:rPr>
                <w:sz w:val="20"/>
                <w:szCs w:val="20"/>
                <w:lang w:eastAsia="lt-LT"/>
              </w:rPr>
              <w:t>4.4</w:t>
            </w:r>
          </w:p>
        </w:tc>
        <w:tc>
          <w:tcPr>
            <w:tcW w:w="3969" w:type="dxa"/>
            <w:vMerge w:val="restart"/>
            <w:tcBorders>
              <w:top w:val="single" w:sz="12" w:space="0" w:color="auto"/>
            </w:tcBorders>
          </w:tcPr>
          <w:p w14:paraId="1D2682F9" w14:textId="77777777" w:rsidR="00696DF7" w:rsidRPr="00B44B19" w:rsidRDefault="00696DF7" w:rsidP="00494DE0">
            <w:pPr>
              <w:rPr>
                <w:iCs/>
                <w:noProof/>
                <w:sz w:val="20"/>
              </w:rPr>
            </w:pPr>
            <w:r w:rsidRPr="00B44B19">
              <w:rPr>
                <w:iCs/>
                <w:noProof/>
                <w:sz w:val="20"/>
              </w:rPr>
              <w:t>0</w:t>
            </w:r>
            <w:r w:rsidR="00494DE0" w:rsidRPr="00B44B19">
              <w:rPr>
                <w:iCs/>
                <w:noProof/>
                <w:sz w:val="20"/>
              </w:rPr>
              <w:t>2</w:t>
            </w:r>
            <w:r w:rsidRPr="00B44B19">
              <w:rPr>
                <w:iCs/>
                <w:noProof/>
                <w:sz w:val="20"/>
              </w:rPr>
              <w:t xml:space="preserve"> </w:t>
            </w:r>
            <w:r w:rsidR="00853B4B" w:rsidRPr="00B44B19">
              <w:rPr>
                <w:iCs/>
                <w:noProof/>
                <w:sz w:val="20"/>
              </w:rPr>
              <w:t>–</w:t>
            </w:r>
            <w:r w:rsidRPr="00B44B19">
              <w:rPr>
                <w:iCs/>
                <w:noProof/>
                <w:sz w:val="20"/>
              </w:rPr>
              <w:t xml:space="preserve"> </w:t>
            </w:r>
            <w:r w:rsidR="00494DE0" w:rsidRPr="00B44B19">
              <w:rPr>
                <w:iCs/>
                <w:noProof/>
                <w:sz w:val="20"/>
              </w:rPr>
              <w:t>Lyčių aspekto integravimas</w:t>
            </w:r>
          </w:p>
        </w:tc>
        <w:tc>
          <w:tcPr>
            <w:tcW w:w="1417" w:type="dxa"/>
            <w:tcBorders>
              <w:top w:val="single" w:sz="12" w:space="0" w:color="auto"/>
            </w:tcBorders>
          </w:tcPr>
          <w:p w14:paraId="697B46B2" w14:textId="77777777" w:rsidR="00696DF7" w:rsidRPr="00B44B19" w:rsidRDefault="00696DF7" w:rsidP="00696DF7">
            <w:pPr>
              <w:jc w:val="right"/>
              <w:rPr>
                <w:iCs/>
                <w:noProof/>
                <w:sz w:val="20"/>
              </w:rPr>
            </w:pPr>
            <w:r w:rsidRPr="00B44B19">
              <w:rPr>
                <w:sz w:val="20"/>
                <w:szCs w:val="20"/>
                <w:lang w:eastAsia="lt-LT"/>
              </w:rPr>
              <w:t>6 291 922,00</w:t>
            </w:r>
          </w:p>
        </w:tc>
      </w:tr>
      <w:tr w:rsidR="00696DF7" w:rsidRPr="00B44B19" w14:paraId="548DF78A" w14:textId="77777777" w:rsidTr="00C4496A">
        <w:tc>
          <w:tcPr>
            <w:tcW w:w="1101" w:type="dxa"/>
            <w:vMerge/>
          </w:tcPr>
          <w:p w14:paraId="6AD105BB" w14:textId="77777777" w:rsidR="00696DF7" w:rsidRPr="00B44B19" w:rsidRDefault="00696DF7" w:rsidP="00696DF7">
            <w:pPr>
              <w:jc w:val="center"/>
              <w:rPr>
                <w:iCs/>
                <w:noProof/>
                <w:sz w:val="20"/>
              </w:rPr>
            </w:pPr>
          </w:p>
        </w:tc>
        <w:tc>
          <w:tcPr>
            <w:tcW w:w="850" w:type="dxa"/>
            <w:vMerge/>
          </w:tcPr>
          <w:p w14:paraId="6FD5D0FD" w14:textId="77777777" w:rsidR="00696DF7" w:rsidRPr="00B44B19" w:rsidRDefault="00696DF7" w:rsidP="00696DF7">
            <w:pPr>
              <w:jc w:val="center"/>
              <w:rPr>
                <w:iCs/>
                <w:noProof/>
                <w:sz w:val="20"/>
              </w:rPr>
            </w:pPr>
          </w:p>
        </w:tc>
        <w:tc>
          <w:tcPr>
            <w:tcW w:w="1418" w:type="dxa"/>
          </w:tcPr>
          <w:p w14:paraId="78BF7610" w14:textId="77777777" w:rsidR="00696DF7" w:rsidRPr="00B44B19" w:rsidRDefault="00696DF7" w:rsidP="00696DF7">
            <w:pPr>
              <w:rPr>
                <w:iCs/>
                <w:noProof/>
                <w:sz w:val="20"/>
              </w:rPr>
            </w:pPr>
            <w:r w:rsidRPr="00B44B19">
              <w:rPr>
                <w:sz w:val="20"/>
                <w:szCs w:val="20"/>
                <w:lang w:eastAsia="lt-LT"/>
              </w:rPr>
              <w:t>VVL regionas</w:t>
            </w:r>
          </w:p>
        </w:tc>
        <w:tc>
          <w:tcPr>
            <w:tcW w:w="1134" w:type="dxa"/>
            <w:vMerge/>
          </w:tcPr>
          <w:p w14:paraId="64214343" w14:textId="77777777" w:rsidR="00696DF7" w:rsidRPr="00B44B19" w:rsidRDefault="00696DF7" w:rsidP="00696DF7">
            <w:pPr>
              <w:jc w:val="center"/>
              <w:rPr>
                <w:iCs/>
                <w:noProof/>
                <w:sz w:val="20"/>
              </w:rPr>
            </w:pPr>
          </w:p>
        </w:tc>
        <w:tc>
          <w:tcPr>
            <w:tcW w:w="3969" w:type="dxa"/>
            <w:vMerge/>
          </w:tcPr>
          <w:p w14:paraId="6B1E607E" w14:textId="77777777" w:rsidR="00696DF7" w:rsidRPr="00B44B19" w:rsidRDefault="00696DF7" w:rsidP="00696DF7">
            <w:pPr>
              <w:jc w:val="center"/>
              <w:rPr>
                <w:iCs/>
                <w:noProof/>
                <w:sz w:val="20"/>
              </w:rPr>
            </w:pPr>
          </w:p>
        </w:tc>
        <w:tc>
          <w:tcPr>
            <w:tcW w:w="1417" w:type="dxa"/>
          </w:tcPr>
          <w:p w14:paraId="0768A4FB" w14:textId="77777777" w:rsidR="00696DF7" w:rsidRPr="00B44B19" w:rsidRDefault="00696DF7" w:rsidP="00696DF7">
            <w:pPr>
              <w:jc w:val="right"/>
              <w:rPr>
                <w:iCs/>
                <w:noProof/>
                <w:sz w:val="20"/>
              </w:rPr>
            </w:pPr>
            <w:r w:rsidRPr="00B44B19">
              <w:rPr>
                <w:sz w:val="20"/>
                <w:szCs w:val="20"/>
                <w:lang w:eastAsia="lt-LT"/>
              </w:rPr>
              <w:t>58 208 053,00</w:t>
            </w:r>
          </w:p>
        </w:tc>
      </w:tr>
    </w:tbl>
    <w:p w14:paraId="655E5879" w14:textId="77777777" w:rsidR="00C73AE6" w:rsidRPr="00B44B19" w:rsidRDefault="00C73AE6" w:rsidP="00D456C1">
      <w:pPr>
        <w:pStyle w:val="Antrat2"/>
      </w:pPr>
      <w:bookmarkStart w:id="42" w:name="_Toc223435430"/>
      <w:r w:rsidRPr="00B44B19">
        <w:t>Konkretus uždavinys – 4.</w:t>
      </w:r>
      <w:r w:rsidR="00C70FEA" w:rsidRPr="00B44B19">
        <w:t>5</w:t>
      </w:r>
      <w:r w:rsidR="00605FE0" w:rsidRPr="00B44B19">
        <w:t>.</w:t>
      </w:r>
      <w:r w:rsidRPr="00B44B19">
        <w:t xml:space="preserve"> </w:t>
      </w:r>
      <w:r w:rsidR="00E06B48" w:rsidRPr="00B44B19">
        <w:rPr>
          <w:lang w:bidi="lt-LT"/>
        </w:rPr>
        <w:t>Gerinti vienodas galimybes naudotis įtraukiomis ir kokybiškomis švietimo, mokymo ir mokymosi visą gyvenimą paslaugomis plėtojant prieinamą infrastruktūrą,</w:t>
      </w:r>
      <w:r w:rsidR="00EB167A" w:rsidRPr="00B44B19">
        <w:rPr>
          <w:lang w:bidi="lt-LT"/>
        </w:rPr>
        <w:t xml:space="preserve"> be kita ko, didint</w:t>
      </w:r>
      <w:r w:rsidR="00E06B48" w:rsidRPr="00B44B19">
        <w:rPr>
          <w:lang w:bidi="lt-LT"/>
        </w:rPr>
        <w:t xml:space="preserve"> atsparumą naudojantis nuotoliniu ir internetiniu švietimu bei mokymu (ERPF)</w:t>
      </w:r>
      <w:bookmarkEnd w:id="42"/>
    </w:p>
    <w:p w14:paraId="6F751703" w14:textId="77777777" w:rsidR="00C73AE6" w:rsidRPr="00B44B19" w:rsidRDefault="00C73AE6" w:rsidP="00783D09">
      <w:pPr>
        <w:pStyle w:val="Stilius1"/>
        <w:rPr>
          <w:rFonts w:cs="Times New Roman"/>
          <w:noProof/>
          <w:sz w:val="22"/>
        </w:rPr>
      </w:pPr>
      <w:r w:rsidRPr="00B44B19">
        <w:rPr>
          <w:rFonts w:cs="Times New Roman"/>
          <w:noProof/>
        </w:rPr>
        <w:t>Įgyvendinamos veiklos</w:t>
      </w:r>
    </w:p>
    <w:tbl>
      <w:tblPr>
        <w:tblStyle w:val="Lentelstinklelis"/>
        <w:tblW w:w="9668" w:type="dxa"/>
        <w:tblInd w:w="-34" w:type="dxa"/>
        <w:tblLook w:val="04A0" w:firstRow="1" w:lastRow="0" w:firstColumn="1" w:lastColumn="0" w:noHBand="0" w:noVBand="1"/>
      </w:tblPr>
      <w:tblGrid>
        <w:gridCol w:w="9668"/>
      </w:tblGrid>
      <w:tr w:rsidR="0008030E" w:rsidRPr="00B44B19" w14:paraId="7CF99D7F" w14:textId="77777777" w:rsidTr="00123B07">
        <w:tc>
          <w:tcPr>
            <w:tcW w:w="9668" w:type="dxa"/>
          </w:tcPr>
          <w:p w14:paraId="7A00ADFF"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 xml:space="preserve">Šių intervencijų uždavinys yra didinti švietimo paslaugų prieinamumą, </w:t>
            </w:r>
            <w:r w:rsidR="00665638" w:rsidRPr="00B44B19">
              <w:rPr>
                <w:rFonts w:eastAsia="Times New Roman" w:cs="Times New Roman"/>
                <w:noProof/>
                <w:sz w:val="22"/>
              </w:rPr>
              <w:t xml:space="preserve">mažinti </w:t>
            </w:r>
            <w:r w:rsidRPr="00B44B19">
              <w:rPr>
                <w:rFonts w:eastAsia="Times New Roman" w:cs="Times New Roman"/>
                <w:noProof/>
                <w:sz w:val="22"/>
              </w:rPr>
              <w:t xml:space="preserve">atskirtį ar socialines rizikas, dėl kurių kyla grėsmė patirti socialinę atskirtį, patiriantiems vaikams, gerinant reikalingą infrastruktūrą, o taip pat BU mokyklas, profesines mokyklas ir PRC aprūpinti reikalingiausia infrastruktūra, siekiant atliepti </w:t>
            </w:r>
            <w:r w:rsidR="009D4C9D" w:rsidRPr="00B44B19">
              <w:rPr>
                <w:rFonts w:eastAsia="Times New Roman" w:cs="Times New Roman"/>
                <w:noProof/>
                <w:sz w:val="22"/>
                <w:lang w:bidi="lt-LT"/>
              </w:rPr>
              <w:t>ketvirtosios pramonės revoliucijos</w:t>
            </w:r>
            <w:r w:rsidR="009D4C9D" w:rsidRPr="00B44B19">
              <w:rPr>
                <w:rFonts w:eastAsia="Times New Roman" w:cs="Times New Roman"/>
                <w:noProof/>
                <w:sz w:val="22"/>
              </w:rPr>
              <w:t xml:space="preserve"> </w:t>
            </w:r>
            <w:r w:rsidRPr="00B44B19">
              <w:rPr>
                <w:rFonts w:eastAsia="Times New Roman" w:cs="Times New Roman"/>
                <w:noProof/>
                <w:sz w:val="22"/>
              </w:rPr>
              <w:t xml:space="preserve">„Pramonė 4.0“ ir kitus naujus </w:t>
            </w:r>
            <w:r w:rsidR="002F4119" w:rsidRPr="00B44B19">
              <w:rPr>
                <w:rFonts w:eastAsia="Times New Roman" w:cs="Times New Roman"/>
                <w:noProof/>
                <w:sz w:val="22"/>
              </w:rPr>
              <w:t>DR</w:t>
            </w:r>
            <w:r w:rsidRPr="00B44B19">
              <w:rPr>
                <w:rFonts w:eastAsia="Times New Roman" w:cs="Times New Roman"/>
                <w:noProof/>
                <w:sz w:val="22"/>
              </w:rPr>
              <w:t xml:space="preserve"> poreikius.</w:t>
            </w:r>
          </w:p>
          <w:p w14:paraId="071FFCA9"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 xml:space="preserve">Pagal Neįgaliųjų teisių konvenciją valstybė turi užtikrinti, kad neįgalieji turėtų galimybę įgyti visiems tinkamą, kokybišką ir nemokamą išsilavinimą. Ugdymo įstaigų pasiekiamumas aktualus ir neįgaliesiems, ir kitiems kaimiškųjų vietovių </w:t>
            </w:r>
            <w:r w:rsidR="00A71282" w:rsidRPr="00B44B19">
              <w:rPr>
                <w:rFonts w:eastAsia="Times New Roman" w:cs="Times New Roman"/>
                <w:noProof/>
                <w:sz w:val="22"/>
              </w:rPr>
              <w:t xml:space="preserve">mokiniams, todėl numatoma </w:t>
            </w:r>
            <w:r w:rsidRPr="00B44B19">
              <w:rPr>
                <w:rFonts w:eastAsia="Times New Roman" w:cs="Times New Roman"/>
                <w:noProof/>
                <w:sz w:val="22"/>
              </w:rPr>
              <w:t>investuoti į efektyviai veikiančių (</w:t>
            </w:r>
            <w:r w:rsidR="00A71282" w:rsidRPr="00B44B19">
              <w:rPr>
                <w:rFonts w:eastAsia="Times New Roman" w:cs="Times New Roman"/>
                <w:noProof/>
                <w:sz w:val="22"/>
              </w:rPr>
              <w:t xml:space="preserve">turinčių </w:t>
            </w:r>
            <w:r w:rsidRPr="00B44B19">
              <w:rPr>
                <w:rFonts w:eastAsia="Times New Roman" w:cs="Times New Roman"/>
                <w:noProof/>
                <w:sz w:val="22"/>
              </w:rPr>
              <w:t xml:space="preserve">nemažiau kaip 200 mokinių) mokyklų aplinkos pritaikymą įvairias fizines negalias turinčių vaikų, jų tėvų/globėjų, mokyklų personalo </w:t>
            </w:r>
            <w:r w:rsidR="00A71282" w:rsidRPr="00B44B19">
              <w:rPr>
                <w:rFonts w:eastAsia="Times New Roman" w:cs="Times New Roman"/>
                <w:noProof/>
                <w:sz w:val="22"/>
              </w:rPr>
              <w:t xml:space="preserve">poreikiams, taip </w:t>
            </w:r>
            <w:r w:rsidRPr="00B44B19">
              <w:rPr>
                <w:rFonts w:eastAsia="Times New Roman" w:cs="Times New Roman"/>
                <w:noProof/>
                <w:sz w:val="22"/>
              </w:rPr>
              <w:t xml:space="preserve">pat aprūpinant minėtas mokyklas transporto priemonėmis </w:t>
            </w:r>
            <w:r w:rsidR="00A71282" w:rsidRPr="00B44B19">
              <w:rPr>
                <w:rFonts w:eastAsia="Times New Roman" w:cs="Times New Roman"/>
                <w:noProof/>
                <w:sz w:val="22"/>
              </w:rPr>
              <w:t>pritaikytomis pavėžėti neįgaliuosius mokinius.</w:t>
            </w:r>
            <w:r w:rsidRPr="00B44B19">
              <w:rPr>
                <w:rFonts w:eastAsia="Times New Roman" w:cs="Times New Roman"/>
                <w:noProof/>
                <w:sz w:val="22"/>
              </w:rPr>
              <w:t xml:space="preserve"> 2014–2020 m. intervencijos buvo vykdomos vadovaujantis Statybų techniniais reikalavimais dėl horizontaliųjų kriterijų, tačiau konkrečios </w:t>
            </w:r>
            <w:r w:rsidR="006A3770" w:rsidRPr="00B44B19">
              <w:rPr>
                <w:rFonts w:eastAsia="Times New Roman" w:cs="Times New Roman"/>
                <w:noProof/>
                <w:sz w:val="22"/>
              </w:rPr>
              <w:t xml:space="preserve">priemonės </w:t>
            </w:r>
            <w:r w:rsidR="006A3770" w:rsidRPr="00B44B19">
              <w:rPr>
                <w:rStyle w:val="Bodytext1"/>
                <w:rFonts w:cs="Times New Roman"/>
                <w:sz w:val="22"/>
                <w:lang w:val="lv-LV" w:eastAsia="lv-LV" w:bidi="lv-LV"/>
              </w:rPr>
              <w:t>infrastruktūros pritaikymui neįgaliesiems</w:t>
            </w:r>
            <w:r w:rsidR="006A3770" w:rsidRPr="00B44B19">
              <w:rPr>
                <w:rFonts w:eastAsia="Times New Roman" w:cs="Times New Roman"/>
                <w:noProof/>
                <w:sz w:val="22"/>
              </w:rPr>
              <w:t xml:space="preserve"> nebuvo</w:t>
            </w:r>
            <w:r w:rsidRPr="00B44B19">
              <w:rPr>
                <w:rFonts w:eastAsia="Times New Roman" w:cs="Times New Roman"/>
                <w:noProof/>
                <w:sz w:val="22"/>
              </w:rPr>
              <w:t xml:space="preserve"> skirtos, o pavežėjimo paslaugos buvo teikiamos BU mokykloms.</w:t>
            </w:r>
          </w:p>
          <w:p w14:paraId="712C9DF5"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lastRenderedPageBreak/>
              <w:t xml:space="preserve">Vaikų dalyvavimas ikimokykliniame ugdyme sudaro prielaidas sėkmingai mokytis mokykloje. Kaimo vietovėse dalyvavimo ikimokykliniame ugdyme aprėptis yra </w:t>
            </w:r>
            <w:r w:rsidR="00A71282" w:rsidRPr="00B44B19">
              <w:rPr>
                <w:rFonts w:eastAsia="Times New Roman" w:cs="Times New Roman"/>
                <w:noProof/>
                <w:sz w:val="22"/>
              </w:rPr>
              <w:t xml:space="preserve">žymiai </w:t>
            </w:r>
            <w:r w:rsidRPr="00B44B19">
              <w:rPr>
                <w:rFonts w:eastAsia="Times New Roman" w:cs="Times New Roman"/>
                <w:noProof/>
                <w:sz w:val="22"/>
              </w:rPr>
              <w:t xml:space="preserve">mažesnė nei miestuose dėl nutolusių ikimokyklinio ugdymo įstaigų. Didžiuosiuose miestuose dalyvavimo ikimokykliniame ugdyme aprėptis yra aukšta, tačiau susiduriama su </w:t>
            </w:r>
            <w:r w:rsidR="00A71282" w:rsidRPr="00B44B19">
              <w:rPr>
                <w:rFonts w:eastAsia="Times New Roman" w:cs="Times New Roman"/>
                <w:noProof/>
                <w:sz w:val="22"/>
              </w:rPr>
              <w:t xml:space="preserve">ugdymo </w:t>
            </w:r>
            <w:r w:rsidRPr="00B44B19">
              <w:rPr>
                <w:rFonts w:eastAsia="Times New Roman" w:cs="Times New Roman"/>
                <w:noProof/>
                <w:sz w:val="22"/>
              </w:rPr>
              <w:t>vietų, ypač arti vaiko gyvenamosios vietos, trūkumu. Investuojant į naujų ikimokyklinio ugdymo vietų kūrimą numatoma investicijas paskirstyti</w:t>
            </w:r>
            <w:r w:rsidR="00665638" w:rsidRPr="00B44B19">
              <w:rPr>
                <w:rFonts w:eastAsia="Times New Roman" w:cs="Times New Roman"/>
                <w:noProof/>
                <w:sz w:val="22"/>
              </w:rPr>
              <w:t>,</w:t>
            </w:r>
            <w:r w:rsidRPr="00B44B19">
              <w:rPr>
                <w:rFonts w:eastAsia="Times New Roman" w:cs="Times New Roman"/>
                <w:noProof/>
                <w:sz w:val="22"/>
              </w:rPr>
              <w:t xml:space="preserve"> atsižvelgiant į konkrečių regionų ikimokyklinio ugdymo aprėptį, vaikų skaičių ir vietų trūkumą, skatinant regionus didesnį dėmesį teikti vaikų iš kaimiškųjų vietovių dalyvavimo ikimokykliniame ugdyme galimyb</w:t>
            </w:r>
            <w:r w:rsidR="00A71282" w:rsidRPr="00B44B19">
              <w:rPr>
                <w:rFonts w:eastAsia="Times New Roman" w:cs="Times New Roman"/>
                <w:noProof/>
                <w:sz w:val="22"/>
              </w:rPr>
              <w:t>ėms</w:t>
            </w:r>
            <w:r w:rsidRPr="00B44B19">
              <w:rPr>
                <w:rFonts w:eastAsia="Times New Roman" w:cs="Times New Roman"/>
                <w:noProof/>
                <w:sz w:val="22"/>
              </w:rPr>
              <w:t xml:space="preserve"> gerin</w:t>
            </w:r>
            <w:r w:rsidR="00A71282" w:rsidRPr="00B44B19">
              <w:rPr>
                <w:rFonts w:eastAsia="Times New Roman" w:cs="Times New Roman"/>
                <w:noProof/>
                <w:sz w:val="22"/>
              </w:rPr>
              <w:t>ti</w:t>
            </w:r>
            <w:r w:rsidRPr="00B44B19">
              <w:rPr>
                <w:rFonts w:eastAsia="Times New Roman" w:cs="Times New Roman"/>
                <w:noProof/>
                <w:sz w:val="22"/>
              </w:rPr>
              <w:t xml:space="preserve"> ir aprėp</w:t>
            </w:r>
            <w:r w:rsidR="00A71282" w:rsidRPr="00B44B19">
              <w:rPr>
                <w:rFonts w:eastAsia="Times New Roman" w:cs="Times New Roman"/>
                <w:noProof/>
                <w:sz w:val="22"/>
              </w:rPr>
              <w:t>čiai</w:t>
            </w:r>
            <w:r w:rsidRPr="00B44B19">
              <w:rPr>
                <w:rFonts w:eastAsia="Times New Roman" w:cs="Times New Roman"/>
                <w:noProof/>
                <w:sz w:val="22"/>
              </w:rPr>
              <w:t xml:space="preserve"> didin</w:t>
            </w:r>
            <w:r w:rsidR="00A71282" w:rsidRPr="00B44B19">
              <w:rPr>
                <w:rFonts w:eastAsia="Times New Roman" w:cs="Times New Roman"/>
                <w:noProof/>
                <w:sz w:val="22"/>
              </w:rPr>
              <w:t>ti</w:t>
            </w:r>
            <w:r w:rsidRPr="00B44B19">
              <w:rPr>
                <w:rFonts w:eastAsia="Times New Roman" w:cs="Times New Roman"/>
                <w:noProof/>
                <w:sz w:val="22"/>
              </w:rPr>
              <w:t>.</w:t>
            </w:r>
          </w:p>
          <w:p w14:paraId="57B4B38B"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Visos dienos mokyklų steigimas siejamas su geresniais mokymosi rezultatais, individualia mokymosi pažanga, socialine įtrauktimi ir lygiomis galimybėmis, formaliojo ir neformaliojo ugdymo derme bei integracija, mokyklos atsivėrimu bendruomenei, individualaus pasirinkimo galimybėmis, mokyklos erdvių bei mokymosi formų praplėtimu ir atsivėrimu kasdieniam gyvenimui. 2014</w:t>
            </w:r>
            <w:r w:rsidR="00A71282" w:rsidRPr="00B44B19">
              <w:rPr>
                <w:rFonts w:eastAsia="Times New Roman" w:cs="Times New Roman"/>
                <w:noProof/>
                <w:sz w:val="22"/>
              </w:rPr>
              <w:t>–</w:t>
            </w:r>
            <w:r w:rsidRPr="00B44B19">
              <w:rPr>
                <w:rFonts w:eastAsia="Times New Roman" w:cs="Times New Roman"/>
                <w:noProof/>
                <w:sz w:val="22"/>
              </w:rPr>
              <w:t>2020 m. šioje srityje nebuvo vykdoma intervencijų ES lėšomis.</w:t>
            </w:r>
          </w:p>
          <w:p w14:paraId="4A58B8EE"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 xml:space="preserve">Kadangi už ikimokyklinio, priešmokyklinio ir BU mokyklų tinklą ir jose teikiamų paslaugų prieinamumą yra atsakingos savivaldybės, investicijos, sprendžiant ikimokyklinio ugdymo prieinamumo ir kuriant visos dienos mokyklos paslaugų tinklo klausimus, yra tampriai susijusios su miestų ir kitų gyvenamųjų teritorijų vystymu ir planavimu. ITI metodas, derinant 5.1 ir 5.2 uždavinių veiksmus, skirtus švietimo paslaugų infrastruktūros ir jos prieinamumo plėtrai miestuose ir kitose gyvenamosiose teritorijose, skatins darnesnį ir efektyvesnį miestų ir </w:t>
            </w:r>
            <w:r w:rsidR="004C2FDD" w:rsidRPr="00B44B19">
              <w:rPr>
                <w:rFonts w:eastAsia="Times New Roman" w:cs="Times New Roman"/>
                <w:noProof/>
                <w:sz w:val="22"/>
              </w:rPr>
              <w:t>FZ</w:t>
            </w:r>
            <w:r w:rsidRPr="00B44B19">
              <w:rPr>
                <w:rFonts w:eastAsia="Times New Roman" w:cs="Times New Roman"/>
                <w:noProof/>
                <w:sz w:val="22"/>
              </w:rPr>
              <w:t xml:space="preserve"> vystymą, tuo pačiu užtikrinant didesnį ikimokyklinio ugdymo ir visos dienos mokyklos paslaugų prieinamumą bei didesnę įtrauktį į ankstyvąjį ugdymą.</w:t>
            </w:r>
          </w:p>
          <w:p w14:paraId="48BB6FB5"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Atsižvelgiant į tai, kad švietimo pagalba yra nepakankama, numatoma regioniniu principu stiprinti švietimo pagalbos teikimą, kuriant regioninius švietimo pagalbos metodinius konsultacinius centrus, kurie regionuose būtų steigiami specialiosios mokyklos</w:t>
            </w:r>
            <w:r w:rsidR="00A71282" w:rsidRPr="00B44B19">
              <w:rPr>
                <w:rFonts w:eastAsia="Times New Roman" w:cs="Times New Roman"/>
                <w:noProof/>
                <w:sz w:val="22"/>
              </w:rPr>
              <w:t xml:space="preserve"> </w:t>
            </w:r>
            <w:r w:rsidRPr="00B44B19">
              <w:rPr>
                <w:rFonts w:eastAsia="Times New Roman" w:cs="Times New Roman"/>
                <w:noProof/>
                <w:sz w:val="22"/>
              </w:rPr>
              <w:t>/</w:t>
            </w:r>
            <w:r w:rsidR="00A71282" w:rsidRPr="00B44B19">
              <w:rPr>
                <w:rFonts w:eastAsia="Times New Roman" w:cs="Times New Roman"/>
                <w:noProof/>
                <w:sz w:val="22"/>
              </w:rPr>
              <w:t xml:space="preserve"> </w:t>
            </w:r>
            <w:r w:rsidRPr="00B44B19">
              <w:rPr>
                <w:rFonts w:eastAsia="Times New Roman" w:cs="Times New Roman"/>
                <w:noProof/>
                <w:sz w:val="22"/>
              </w:rPr>
              <w:t xml:space="preserve">specialiojo ugdymo centro bazėje, </w:t>
            </w:r>
            <w:r w:rsidR="00C728A3" w:rsidRPr="00B44B19">
              <w:rPr>
                <w:rFonts w:eastAsia="Times New Roman" w:cs="Times New Roman"/>
                <w:noProof/>
                <w:sz w:val="22"/>
              </w:rPr>
              <w:t>su</w:t>
            </w:r>
            <w:r w:rsidRPr="00B44B19">
              <w:rPr>
                <w:rFonts w:eastAsia="Times New Roman" w:cs="Times New Roman"/>
                <w:noProof/>
                <w:sz w:val="22"/>
              </w:rPr>
              <w:t xml:space="preserve">jungiant regione </w:t>
            </w:r>
            <w:r w:rsidR="00C728A3" w:rsidRPr="00B44B19">
              <w:rPr>
                <w:rFonts w:eastAsia="Times New Roman" w:cs="Times New Roman"/>
                <w:noProof/>
                <w:sz w:val="22"/>
              </w:rPr>
              <w:t>p</w:t>
            </w:r>
            <w:r w:rsidRPr="00B44B19">
              <w:rPr>
                <w:rFonts w:eastAsia="Times New Roman" w:cs="Times New Roman"/>
                <w:noProof/>
                <w:sz w:val="22"/>
              </w:rPr>
              <w:t>edagoginės psichologinės tarnybos</w:t>
            </w:r>
            <w:r w:rsidR="00C728A3" w:rsidRPr="00B44B19">
              <w:rPr>
                <w:rFonts w:eastAsia="Times New Roman" w:cs="Times New Roman"/>
                <w:noProof/>
                <w:sz w:val="22"/>
              </w:rPr>
              <w:t xml:space="preserve"> </w:t>
            </w:r>
            <w:r w:rsidRPr="00B44B19">
              <w:rPr>
                <w:rFonts w:eastAsia="Times New Roman" w:cs="Times New Roman"/>
                <w:noProof/>
                <w:sz w:val="22"/>
              </w:rPr>
              <w:t>/</w:t>
            </w:r>
            <w:r w:rsidR="00C728A3" w:rsidRPr="00B44B19">
              <w:rPr>
                <w:rFonts w:eastAsia="Times New Roman" w:cs="Times New Roman"/>
                <w:noProof/>
                <w:sz w:val="22"/>
              </w:rPr>
              <w:t xml:space="preserve"> š</w:t>
            </w:r>
            <w:r w:rsidRPr="00B44B19">
              <w:rPr>
                <w:rFonts w:eastAsia="Times New Roman" w:cs="Times New Roman"/>
                <w:noProof/>
                <w:sz w:val="22"/>
              </w:rPr>
              <w:t>vietimo pagalbos tarnybos ir mokykloje/centre turimus žmogiškuosius išteklius, pritaikant infrastuktūrą ši</w:t>
            </w:r>
            <w:r w:rsidR="00C728A3" w:rsidRPr="00B44B19">
              <w:rPr>
                <w:rFonts w:eastAsia="Times New Roman" w:cs="Times New Roman"/>
                <w:noProof/>
                <w:sz w:val="22"/>
              </w:rPr>
              <w:t>oms</w:t>
            </w:r>
            <w:r w:rsidRPr="00B44B19">
              <w:rPr>
                <w:rFonts w:eastAsia="Times New Roman" w:cs="Times New Roman"/>
                <w:noProof/>
                <w:sz w:val="22"/>
              </w:rPr>
              <w:t xml:space="preserve"> funkcij</w:t>
            </w:r>
            <w:r w:rsidR="00C728A3" w:rsidRPr="00B44B19">
              <w:rPr>
                <w:rFonts w:eastAsia="Times New Roman" w:cs="Times New Roman"/>
                <w:noProof/>
                <w:sz w:val="22"/>
              </w:rPr>
              <w:t>oms</w:t>
            </w:r>
            <w:r w:rsidRPr="00B44B19">
              <w:rPr>
                <w:rFonts w:eastAsia="Times New Roman" w:cs="Times New Roman"/>
                <w:noProof/>
                <w:sz w:val="22"/>
              </w:rPr>
              <w:t xml:space="preserve"> vykdy</w:t>
            </w:r>
            <w:r w:rsidR="00C728A3" w:rsidRPr="00B44B19">
              <w:rPr>
                <w:rFonts w:eastAsia="Times New Roman" w:cs="Times New Roman"/>
                <w:noProof/>
                <w:sz w:val="22"/>
              </w:rPr>
              <w:t>ti</w:t>
            </w:r>
            <w:r w:rsidRPr="00B44B19">
              <w:rPr>
                <w:rFonts w:eastAsia="Times New Roman" w:cs="Times New Roman"/>
                <w:noProof/>
                <w:sz w:val="22"/>
              </w:rPr>
              <w:t>: individualių ugdymosi poreikių vertinimo, rekomendacijų mokykloms teikimo, mokyklų ir tėvų konsultavimo dėl mokinių, turinčių SUP ugdymo, aprūpinimo metodinėmis ir individualiomis mokymosi priemonėmis.</w:t>
            </w:r>
          </w:p>
          <w:p w14:paraId="59B94626"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 xml:space="preserve">Lietuvos mokinių skaitymo gebėjimai, matematinis ir gamtamokslinis raštingumas yra statistiškai reikšmingai žemesni už EBPO vidurkį. Pasiekimų patikrinimo rezultatai labai skiriasi pagal gyvenamosios vietovės dydį. Optimizavus mokyklas ir pasiekus, kad nebūtų mokyklų, kuriose yra mažiau nei 200 mokinių, mokinių pasiekimai būtų pagerinti 9 % ir būtų sutaupoma 9,9 mln. Eur. Todėl investicijomis bus skatinama mokyklų konsolidacija, investuojant į mokyklas, kurios turi ne mažiau nei 200 mokinių (t. y. veikia efektyviai). Tik apie trečdalis BU mokyklų turi gamtos ir tiksliųjų mokslų laboratorijas (miestuose tokių mokyklų dvigubai daugiau nei kaimuose). Dalis esamų laboratorijų yra pasenusios (nešiuolaikiškos). EBPO tyrimas rodo, kad ugdymui skirtų skaitmeninių technologijų trūkumas ar netinkamumas trukdo mokykloje teikti kokybišką ugdymą. Gerai IKT aprūpintose Lietuvos mokyklose, kuriose interneto greitis daugiau kaip 100 Mbps, mokosi 39 % (ES vidurkis – 52 %) pagrindinio ir 53 % (ES vidurkis – 72 %) vidurinio ugdymo mokinių. Šios problemos dar labiau išryškėjo 2020 m. </w:t>
            </w:r>
            <w:r w:rsidR="007739F5" w:rsidRPr="00B44B19">
              <w:rPr>
                <w:rFonts w:eastAsia="Times New Roman" w:cs="Times New Roman"/>
                <w:noProof/>
                <w:sz w:val="22"/>
              </w:rPr>
              <w:t>pandemijos</w:t>
            </w:r>
            <w:r w:rsidRPr="00B44B19">
              <w:rPr>
                <w:rFonts w:eastAsia="Times New Roman" w:cs="Times New Roman"/>
                <w:noProof/>
                <w:sz w:val="22"/>
              </w:rPr>
              <w:t xml:space="preserve"> metu, kuomet buvo įvestas visuotinis nuotolinis ugdymas. 2014–2020 m. laikotarpiu investicijos buvo skirtos BU mokyklų ir neformaliojo švietimo įstaigų aprūpinimui priemonėmis, skirtomis gamtos ir technologinių mokslų mokymui, tačiau dėl nedidelės lėšų apimties (padidėjusios tik dėl </w:t>
            </w:r>
            <w:r w:rsidR="007739F5" w:rsidRPr="00B44B19">
              <w:rPr>
                <w:rFonts w:eastAsia="Times New Roman" w:cs="Times New Roman"/>
                <w:noProof/>
                <w:sz w:val="22"/>
              </w:rPr>
              <w:t>pandemijos</w:t>
            </w:r>
            <w:r w:rsidRPr="00B44B19">
              <w:rPr>
                <w:rFonts w:eastAsia="Times New Roman" w:cs="Times New Roman"/>
                <w:noProof/>
                <w:sz w:val="22"/>
              </w:rPr>
              <w:t xml:space="preserve"> susidariusio IT priemonių poreikio), intervencijas tikslinga tęsti, aprūpinant efektyviai veikiančias BU mokyklas laboratorine įranga ir priemonėmis.</w:t>
            </w:r>
          </w:p>
          <w:p w14:paraId="33C50004"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 xml:space="preserve">MVG rodiklio regioniniai skirtumai dideli. Bus įgyvendinamos tikslinės intervencijos, siekiant atliepti </w:t>
            </w:r>
            <w:r w:rsidR="002F4119" w:rsidRPr="00B44B19">
              <w:rPr>
                <w:rFonts w:eastAsia="Times New Roman" w:cs="Times New Roman"/>
                <w:noProof/>
                <w:sz w:val="22"/>
              </w:rPr>
              <w:t>DR</w:t>
            </w:r>
            <w:r w:rsidRPr="00B44B19">
              <w:rPr>
                <w:rFonts w:eastAsia="Times New Roman" w:cs="Times New Roman"/>
                <w:noProof/>
                <w:sz w:val="22"/>
              </w:rPr>
              <w:t xml:space="preserve"> poreikius ir regioninio balanso išlaikymą, aprūpinant praktiniam profesiniam mokymui regionuose reikalinga įranga ir priemonėmis, atsižvelgiant į EBPO Įgūdžių strategijos įžvalgas. 2014–2020 m. laikotarpiu investicijos skirtos profesinio mokymo įstaigų ir sektorinių praktinio mokymo centrų infrastruktūrai bei įrangai, tačiau</w:t>
            </w:r>
            <w:r w:rsidR="00665638" w:rsidRPr="00B44B19">
              <w:rPr>
                <w:rFonts w:eastAsia="Times New Roman" w:cs="Times New Roman"/>
                <w:noProof/>
                <w:sz w:val="22"/>
              </w:rPr>
              <w:t>,</w:t>
            </w:r>
            <w:r w:rsidRPr="00B44B19">
              <w:rPr>
                <w:rFonts w:eastAsia="Times New Roman" w:cs="Times New Roman"/>
                <w:noProof/>
                <w:sz w:val="22"/>
              </w:rPr>
              <w:t xml:space="preserve"> atliepiant minėtus iššūkius tikslinga tęsti intervencijas, nukreipiant lėšas tik į tikslinės įrangos ir priemonių įsigijimą regionuose. 2018 m. įsteigti PRC, kurių pagrindinis tikslas – stiprinti ir konsoliduoti pedagogų rengimo potencialą, plėtoti edukologijos mokslą. Siekiant, kad PRC kokybiškai ruoštų ateities mokytojus, reikia juos aprūpinti reikalingomis priemonėmis, įrengti laboratorijas.</w:t>
            </w:r>
          </w:p>
          <w:p w14:paraId="279E559F"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noProof/>
                <w:sz w:val="22"/>
              </w:rPr>
              <w:t>Veiksmų rūšys, siekiant gerinti infrastruktūrą atskirtį patiriantiems vaikams bei siekiant gerinti mokyklų aprūpinimą infrastruktūra, reikalinga prisitaiky</w:t>
            </w:r>
            <w:r w:rsidR="00C728A3" w:rsidRPr="00B44B19">
              <w:rPr>
                <w:rFonts w:eastAsia="Times New Roman" w:cs="Times New Roman"/>
                <w:noProof/>
                <w:sz w:val="22"/>
              </w:rPr>
              <w:t>ti</w:t>
            </w:r>
            <w:r w:rsidRPr="00B44B19">
              <w:rPr>
                <w:rFonts w:eastAsia="Times New Roman" w:cs="Times New Roman"/>
                <w:noProof/>
                <w:sz w:val="22"/>
              </w:rPr>
              <w:t xml:space="preserve"> prie naujų </w:t>
            </w:r>
            <w:r w:rsidR="002F4119" w:rsidRPr="00B44B19">
              <w:rPr>
                <w:rFonts w:eastAsia="Times New Roman" w:cs="Times New Roman"/>
                <w:noProof/>
                <w:sz w:val="22"/>
              </w:rPr>
              <w:t>DR</w:t>
            </w:r>
            <w:r w:rsidRPr="00B44B19">
              <w:rPr>
                <w:rFonts w:eastAsia="Times New Roman" w:cs="Times New Roman"/>
                <w:noProof/>
                <w:sz w:val="22"/>
              </w:rPr>
              <w:t xml:space="preserve"> poreikių:</w:t>
            </w:r>
          </w:p>
          <w:p w14:paraId="00478923"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b/>
                <w:bCs/>
                <w:noProof/>
                <w:sz w:val="22"/>
              </w:rPr>
              <w:t>Padidinti ugdymo paslaugų prieinamumą atskirtį ar socialines rizikas, dėl kurių kyla grėsmė patirti socialinę atskirtį, patiriantiems vaikams, kuriant naujas ikimokyklinio ugdymo vietas ir</w:t>
            </w:r>
            <w:r w:rsidRPr="00B44B19">
              <w:rPr>
                <w:rFonts w:eastAsia="Times New Roman" w:cs="Times New Roman"/>
                <w:b/>
                <w:bCs/>
                <w:noProof/>
                <w:sz w:val="22"/>
                <w:u w:val="single"/>
              </w:rPr>
              <w:t xml:space="preserve"> </w:t>
            </w:r>
            <w:r w:rsidRPr="00B44B19">
              <w:rPr>
                <w:rFonts w:eastAsia="Times New Roman" w:cs="Times New Roman"/>
                <w:b/>
                <w:bCs/>
                <w:noProof/>
                <w:sz w:val="22"/>
              </w:rPr>
              <w:t>infrastruktūrą pritaikyti neįgaliesiems efektyviai veikiančiose mokyklose</w:t>
            </w:r>
            <w:r w:rsidRPr="00B44B19">
              <w:rPr>
                <w:rFonts w:eastAsia="Times New Roman" w:cs="Times New Roman"/>
                <w:bCs/>
                <w:noProof/>
                <w:sz w:val="22"/>
              </w:rPr>
              <w:t>:</w:t>
            </w:r>
            <w:r w:rsidRPr="00B44B19">
              <w:rPr>
                <w:rFonts w:eastAsia="Times New Roman" w:cs="Times New Roman"/>
                <w:noProof/>
                <w:sz w:val="22"/>
              </w:rPr>
              <w:t xml:space="preserve"> universalaus dizaino </w:t>
            </w:r>
            <w:r w:rsidRPr="00B44B19">
              <w:rPr>
                <w:rFonts w:eastAsia="Times New Roman" w:cs="Times New Roman"/>
                <w:noProof/>
                <w:sz w:val="22"/>
              </w:rPr>
              <w:lastRenderedPageBreak/>
              <w:t>elementų ir kitų inžinerinių priemonių (pandusai, keltuvai, liftai, taktiliniai ir kiti sprendimai) įrengimas ugdymo įstaigose; neįgali</w:t>
            </w:r>
            <w:r w:rsidR="00C728A3" w:rsidRPr="00B44B19">
              <w:rPr>
                <w:rFonts w:eastAsia="Times New Roman" w:cs="Times New Roman"/>
                <w:noProof/>
                <w:sz w:val="22"/>
              </w:rPr>
              <w:t>esiems</w:t>
            </w:r>
            <w:r w:rsidRPr="00B44B19">
              <w:rPr>
                <w:rFonts w:eastAsia="Times New Roman" w:cs="Times New Roman"/>
                <w:noProof/>
                <w:sz w:val="22"/>
              </w:rPr>
              <w:t xml:space="preserve"> ir kit</w:t>
            </w:r>
            <w:r w:rsidR="00C728A3" w:rsidRPr="00B44B19">
              <w:rPr>
                <w:rFonts w:eastAsia="Times New Roman" w:cs="Times New Roman"/>
                <w:noProof/>
                <w:sz w:val="22"/>
              </w:rPr>
              <w:t>iems</w:t>
            </w:r>
            <w:r w:rsidRPr="00B44B19">
              <w:rPr>
                <w:rFonts w:eastAsia="Times New Roman" w:cs="Times New Roman"/>
                <w:noProof/>
                <w:sz w:val="22"/>
              </w:rPr>
              <w:t xml:space="preserve"> mokini</w:t>
            </w:r>
            <w:r w:rsidR="00C728A3" w:rsidRPr="00B44B19">
              <w:rPr>
                <w:rFonts w:eastAsia="Times New Roman" w:cs="Times New Roman"/>
                <w:noProof/>
                <w:sz w:val="22"/>
              </w:rPr>
              <w:t>ams</w:t>
            </w:r>
            <w:r w:rsidRPr="00B44B19">
              <w:rPr>
                <w:rFonts w:eastAsia="Times New Roman" w:cs="Times New Roman"/>
                <w:noProof/>
                <w:sz w:val="22"/>
              </w:rPr>
              <w:t xml:space="preserve"> pavėžė</w:t>
            </w:r>
            <w:r w:rsidR="00C728A3" w:rsidRPr="00B44B19">
              <w:rPr>
                <w:rFonts w:eastAsia="Times New Roman" w:cs="Times New Roman"/>
                <w:noProof/>
                <w:sz w:val="22"/>
              </w:rPr>
              <w:t>ti</w:t>
            </w:r>
            <w:r w:rsidRPr="00B44B19">
              <w:rPr>
                <w:rFonts w:eastAsia="Times New Roman" w:cs="Times New Roman"/>
                <w:noProof/>
                <w:sz w:val="22"/>
              </w:rPr>
              <w:t xml:space="preserve"> iki ir iš ugdymo įstaigos lengvai pritaikomų transporto priemonių įsigijimas; kuriamos naujos ikimokyklinio ugdymo vietos, dėmesį skiriant ankstyvojo amžiaus vaikų ugdymui. Investuojant į BU mokyklų infrastruktūrą pagal šią veiklą, pirmenybė bus teikiama mokykloms, kuriose mokosi ne mažiau kaip 200 mokinių.</w:t>
            </w:r>
            <w:r w:rsidRPr="00B44B19">
              <w:rPr>
                <w:rFonts w:cs="Times New Roman"/>
                <w:sz w:val="22"/>
              </w:rPr>
              <w:t xml:space="preserve"> </w:t>
            </w:r>
            <w:r w:rsidRPr="00B44B19">
              <w:rPr>
                <w:rFonts w:eastAsia="Times New Roman" w:cs="Times New Roman"/>
                <w:noProof/>
                <w:sz w:val="22"/>
              </w:rPr>
              <w:t>Ši veikla bus įgyvendinama VVL ir Sostinės regionuose.</w:t>
            </w:r>
          </w:p>
          <w:p w14:paraId="5364A50F"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b/>
                <w:bCs/>
                <w:noProof/>
                <w:sz w:val="22"/>
              </w:rPr>
              <w:t xml:space="preserve">Visos dienos mokyklos erdvių </w:t>
            </w:r>
            <w:r w:rsidR="006A3770" w:rsidRPr="00B44B19">
              <w:rPr>
                <w:rFonts w:eastAsia="Times New Roman" w:cs="Times New Roman"/>
                <w:b/>
                <w:bCs/>
                <w:noProof/>
                <w:sz w:val="22"/>
              </w:rPr>
              <w:t>sukūrimas ir pritaikymas ikimokyklinio</w:t>
            </w:r>
            <w:r w:rsidRPr="00B44B19">
              <w:rPr>
                <w:rFonts w:eastAsia="Times New Roman" w:cs="Times New Roman"/>
                <w:b/>
                <w:bCs/>
                <w:noProof/>
                <w:sz w:val="22"/>
              </w:rPr>
              <w:t xml:space="preserve">, priešmokyklinio, pradinio bei pagrindinio ugdymo programas vykdančiose švietimo įstaigose. </w:t>
            </w:r>
            <w:r w:rsidRPr="00B44B19">
              <w:rPr>
                <w:rFonts w:eastAsia="Times New Roman" w:cs="Times New Roman"/>
                <w:noProof/>
                <w:sz w:val="22"/>
              </w:rPr>
              <w:t xml:space="preserve">Ši veikla bus įgyvendinama VVL </w:t>
            </w:r>
            <w:r w:rsidR="00494DE0" w:rsidRPr="00B44B19">
              <w:rPr>
                <w:rFonts w:eastAsia="Times New Roman" w:cs="Times New Roman"/>
                <w:noProof/>
                <w:sz w:val="22"/>
              </w:rPr>
              <w:t>ir Sostinės regionuose.</w:t>
            </w:r>
          </w:p>
          <w:p w14:paraId="571D03C5"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b/>
                <w:bCs/>
                <w:noProof/>
                <w:sz w:val="22"/>
              </w:rPr>
              <w:t>Kompleksinių švietimo pagalbos paslaugų įvairių ugdymosi poreikių turintiems mokiniams plėtra, koncentruojant turimus išteklius ir pritaikant infrastruktūrą bei aprūpinant trūkstama įranga.</w:t>
            </w:r>
            <w:r w:rsidRPr="00B44B19">
              <w:rPr>
                <w:rFonts w:eastAsia="Times New Roman" w:cs="Times New Roman"/>
                <w:noProof/>
                <w:sz w:val="22"/>
              </w:rPr>
              <w:t xml:space="preserve"> Ši veikla bus įgyvendinama VVL ir Sostinės regionuose.</w:t>
            </w:r>
          </w:p>
          <w:p w14:paraId="0F268432"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b/>
                <w:bCs/>
                <w:noProof/>
                <w:sz w:val="22"/>
              </w:rPr>
              <w:t>Gerinti švietimo paslaugų kokybę aprūpinant efektyviai veikiančias BU mokyklas laboratorine įranga ir priemonėmis</w:t>
            </w:r>
            <w:r w:rsidRPr="00B44B19">
              <w:rPr>
                <w:rFonts w:eastAsia="Times New Roman" w:cs="Times New Roman"/>
                <w:bCs/>
                <w:noProof/>
                <w:sz w:val="22"/>
              </w:rPr>
              <w:t xml:space="preserve">: </w:t>
            </w:r>
            <w:r w:rsidRPr="00B44B19">
              <w:rPr>
                <w:rFonts w:eastAsia="Times New Roman" w:cs="Times New Roman"/>
                <w:noProof/>
                <w:sz w:val="22"/>
              </w:rPr>
              <w:t>šiuolaikiškų laboratorijų, skirtų gamtos ir tiksliųjų mokslų bei kalbų mokymui įrengimas ir aprūpinimas reikalinga įranga ir priemonėmis valstybės ir savivaldybių mokyklose; aprūpinimas įranga ir priemonėmis, būtinomis kokybišk</w:t>
            </w:r>
            <w:r w:rsidR="00C728A3" w:rsidRPr="00B44B19">
              <w:rPr>
                <w:rFonts w:eastAsia="Times New Roman" w:cs="Times New Roman"/>
                <w:noProof/>
                <w:sz w:val="22"/>
              </w:rPr>
              <w:t>am</w:t>
            </w:r>
            <w:r w:rsidRPr="00B44B19">
              <w:rPr>
                <w:rFonts w:eastAsia="Times New Roman" w:cs="Times New Roman"/>
                <w:noProof/>
                <w:sz w:val="22"/>
              </w:rPr>
              <w:t xml:space="preserve"> lanks</w:t>
            </w:r>
            <w:r w:rsidR="00C728A3" w:rsidRPr="00B44B19">
              <w:rPr>
                <w:rFonts w:eastAsia="Times New Roman" w:cs="Times New Roman"/>
                <w:noProof/>
                <w:sz w:val="22"/>
              </w:rPr>
              <w:t xml:space="preserve">čiam </w:t>
            </w:r>
            <w:r w:rsidRPr="00B44B19">
              <w:rPr>
                <w:rFonts w:eastAsia="Times New Roman" w:cs="Times New Roman"/>
                <w:noProof/>
                <w:sz w:val="22"/>
              </w:rPr>
              <w:t>/</w:t>
            </w:r>
            <w:r w:rsidR="00C728A3" w:rsidRPr="00B44B19">
              <w:rPr>
                <w:rFonts w:eastAsia="Times New Roman" w:cs="Times New Roman"/>
                <w:noProof/>
                <w:sz w:val="22"/>
              </w:rPr>
              <w:t xml:space="preserve"> </w:t>
            </w:r>
            <w:r w:rsidRPr="00B44B19">
              <w:rPr>
                <w:rFonts w:eastAsia="Times New Roman" w:cs="Times New Roman"/>
                <w:noProof/>
                <w:sz w:val="22"/>
              </w:rPr>
              <w:t>nuotolini</w:t>
            </w:r>
            <w:r w:rsidR="00C728A3" w:rsidRPr="00B44B19">
              <w:rPr>
                <w:rFonts w:eastAsia="Times New Roman" w:cs="Times New Roman"/>
                <w:noProof/>
                <w:sz w:val="22"/>
              </w:rPr>
              <w:t>am</w:t>
            </w:r>
            <w:r w:rsidRPr="00B44B19">
              <w:rPr>
                <w:rFonts w:eastAsia="Times New Roman" w:cs="Times New Roman"/>
                <w:noProof/>
                <w:sz w:val="22"/>
              </w:rPr>
              <w:t xml:space="preserve"> ugdym</w:t>
            </w:r>
            <w:r w:rsidR="00C728A3" w:rsidRPr="00B44B19">
              <w:rPr>
                <w:rFonts w:eastAsia="Times New Roman" w:cs="Times New Roman"/>
                <w:noProof/>
                <w:sz w:val="22"/>
              </w:rPr>
              <w:t>ui</w:t>
            </w:r>
            <w:r w:rsidRPr="00B44B19">
              <w:rPr>
                <w:rFonts w:eastAsia="Times New Roman" w:cs="Times New Roman"/>
                <w:noProof/>
                <w:sz w:val="22"/>
              </w:rPr>
              <w:t xml:space="preserve"> įgyvendin</w:t>
            </w:r>
            <w:r w:rsidR="00C728A3" w:rsidRPr="00B44B19">
              <w:rPr>
                <w:rFonts w:eastAsia="Times New Roman" w:cs="Times New Roman"/>
                <w:noProof/>
                <w:sz w:val="22"/>
              </w:rPr>
              <w:t>ti</w:t>
            </w:r>
            <w:r w:rsidRPr="00B44B19">
              <w:rPr>
                <w:rFonts w:eastAsia="Times New Roman" w:cs="Times New Roman"/>
                <w:noProof/>
                <w:sz w:val="22"/>
              </w:rPr>
              <w:t>. Įgyvendinant šią veiklą bus investuojama tik į bendrojo ugdymo mokyklas, kuriose mokosi ne mažiau kaip 200 mokinių. Ši veikla bus įgyvendinama VVL ir Sostinės regionuose.</w:t>
            </w:r>
          </w:p>
          <w:p w14:paraId="53AA2DA8" w14:textId="77777777" w:rsidR="006C231E" w:rsidRPr="00B44B19" w:rsidRDefault="006C231E" w:rsidP="000C5E31">
            <w:pPr>
              <w:spacing w:before="60" w:after="60"/>
              <w:jc w:val="both"/>
              <w:rPr>
                <w:rFonts w:eastAsia="Times New Roman" w:cs="Times New Roman"/>
                <w:b/>
                <w:bCs/>
                <w:noProof/>
                <w:sz w:val="22"/>
              </w:rPr>
            </w:pPr>
            <w:r w:rsidRPr="00B44B19">
              <w:rPr>
                <w:rFonts w:eastAsia="Times New Roman" w:cs="Times New Roman"/>
                <w:b/>
                <w:bCs/>
                <w:noProof/>
                <w:sz w:val="22"/>
              </w:rPr>
              <w:t>Profesinių mokyklų regionuose infrastruktūros gerinimas pritaikant naujiems iššūkiams</w:t>
            </w:r>
            <w:r w:rsidRPr="00B44B19">
              <w:rPr>
                <w:rFonts w:eastAsia="Times New Roman" w:cs="Times New Roman"/>
                <w:bCs/>
                <w:noProof/>
                <w:sz w:val="22"/>
              </w:rPr>
              <w:t xml:space="preserve">: </w:t>
            </w:r>
            <w:r w:rsidRPr="00B44B19">
              <w:rPr>
                <w:rFonts w:eastAsia="Times New Roman" w:cs="Times New Roman"/>
                <w:noProof/>
                <w:sz w:val="22"/>
              </w:rPr>
              <w:t xml:space="preserve">aprūpinti praktiniam profesiniam mokymui regionuose reikalinga įranga ir priemonėmis, susijusiomis su </w:t>
            </w:r>
            <w:r w:rsidR="009D4C9D" w:rsidRPr="00B44B19">
              <w:rPr>
                <w:rFonts w:eastAsia="Times New Roman" w:cs="Times New Roman"/>
                <w:noProof/>
                <w:sz w:val="22"/>
                <w:lang w:bidi="lt-LT"/>
              </w:rPr>
              <w:t>ketvirtąja pramonės revoliucija</w:t>
            </w:r>
            <w:r w:rsidR="009D4C9D" w:rsidRPr="00B44B19">
              <w:rPr>
                <w:rFonts w:eastAsia="Times New Roman" w:cs="Times New Roman"/>
                <w:noProof/>
                <w:sz w:val="22"/>
              </w:rPr>
              <w:t xml:space="preserve"> </w:t>
            </w:r>
            <w:r w:rsidRPr="00B44B19">
              <w:rPr>
                <w:rFonts w:eastAsia="Times New Roman" w:cs="Times New Roman"/>
                <w:noProof/>
                <w:sz w:val="22"/>
              </w:rPr>
              <w:t>„Pramonė 4.0“, skaitmeninimu ir žaliąja transformacija, siekiant didinti dalyvavimą MVG. Ši veikla bus įgyvendinama VVL regione.</w:t>
            </w:r>
          </w:p>
          <w:p w14:paraId="42A6686A" w14:textId="77777777" w:rsidR="006C231E" w:rsidRPr="00B44B19" w:rsidRDefault="006C231E" w:rsidP="000C5E31">
            <w:pPr>
              <w:spacing w:before="60" w:after="60"/>
              <w:jc w:val="both"/>
              <w:rPr>
                <w:rFonts w:eastAsia="Times New Roman" w:cs="Times New Roman"/>
                <w:noProof/>
                <w:sz w:val="22"/>
              </w:rPr>
            </w:pPr>
            <w:r w:rsidRPr="00B44B19">
              <w:rPr>
                <w:rFonts w:eastAsia="Times New Roman" w:cs="Times New Roman"/>
                <w:b/>
                <w:bCs/>
                <w:noProof/>
                <w:sz w:val="22"/>
              </w:rPr>
              <w:t>Sukurti mokytoj</w:t>
            </w:r>
            <w:r w:rsidR="00C728A3" w:rsidRPr="00B44B19">
              <w:rPr>
                <w:rFonts w:eastAsia="Times New Roman" w:cs="Times New Roman"/>
                <w:b/>
                <w:bCs/>
                <w:noProof/>
                <w:sz w:val="22"/>
              </w:rPr>
              <w:t>ams</w:t>
            </w:r>
            <w:r w:rsidRPr="00B44B19">
              <w:rPr>
                <w:rFonts w:eastAsia="Times New Roman" w:cs="Times New Roman"/>
                <w:b/>
                <w:bCs/>
                <w:noProof/>
                <w:sz w:val="22"/>
              </w:rPr>
              <w:t xml:space="preserve"> reng</w:t>
            </w:r>
            <w:r w:rsidR="00C728A3" w:rsidRPr="00B44B19">
              <w:rPr>
                <w:rFonts w:eastAsia="Times New Roman" w:cs="Times New Roman"/>
                <w:b/>
                <w:bCs/>
                <w:noProof/>
                <w:sz w:val="22"/>
              </w:rPr>
              <w:t>ti</w:t>
            </w:r>
            <w:r w:rsidRPr="00B44B19">
              <w:rPr>
                <w:rFonts w:eastAsia="Times New Roman" w:cs="Times New Roman"/>
                <w:b/>
                <w:bCs/>
                <w:noProof/>
                <w:sz w:val="22"/>
              </w:rPr>
              <w:t xml:space="preserve"> ir edukologijos doktorantūr</w:t>
            </w:r>
            <w:r w:rsidR="00C728A3" w:rsidRPr="00B44B19">
              <w:rPr>
                <w:rFonts w:eastAsia="Times New Roman" w:cs="Times New Roman"/>
                <w:b/>
                <w:bCs/>
                <w:noProof/>
                <w:sz w:val="22"/>
              </w:rPr>
              <w:t>ai</w:t>
            </w:r>
            <w:r w:rsidRPr="00B44B19">
              <w:rPr>
                <w:rFonts w:eastAsia="Times New Roman" w:cs="Times New Roman"/>
                <w:b/>
                <w:bCs/>
                <w:noProof/>
                <w:sz w:val="22"/>
              </w:rPr>
              <w:t xml:space="preserve"> vykdy</w:t>
            </w:r>
            <w:r w:rsidR="00C728A3" w:rsidRPr="00B44B19">
              <w:rPr>
                <w:rFonts w:eastAsia="Times New Roman" w:cs="Times New Roman"/>
                <w:b/>
                <w:bCs/>
                <w:noProof/>
                <w:sz w:val="22"/>
              </w:rPr>
              <w:t>ti</w:t>
            </w:r>
            <w:r w:rsidRPr="00B44B19">
              <w:rPr>
                <w:rFonts w:eastAsia="Times New Roman" w:cs="Times New Roman"/>
                <w:b/>
                <w:bCs/>
                <w:noProof/>
                <w:sz w:val="22"/>
              </w:rPr>
              <w:t xml:space="preserve"> reikalingą infrastruktūrą</w:t>
            </w:r>
            <w:r w:rsidRPr="00B44B19">
              <w:rPr>
                <w:rFonts w:eastAsia="Times New Roman" w:cs="Times New Roman"/>
                <w:bCs/>
                <w:noProof/>
                <w:sz w:val="22"/>
              </w:rPr>
              <w:t>:</w:t>
            </w:r>
            <w:r w:rsidRPr="00B44B19">
              <w:rPr>
                <w:rFonts w:eastAsia="Times New Roman" w:cs="Times New Roman"/>
                <w:noProof/>
                <w:sz w:val="22"/>
              </w:rPr>
              <w:t xml:space="preserve"> išvystyti PRC ugdymo technologijų laboratorijas, ypatingą dėmesį skiriant pagalbos mokiniui specialistų rengimui (įrengti ir pritaikyti laboratorinę, kūrybinę, simuliacinę pedagoginę aplinką ir ugdymo priemones, nuotolinio mokymo plėtra). Ši veikla bus įgyvendinama VVL ir Sostinės regionuose.</w:t>
            </w:r>
          </w:p>
          <w:p w14:paraId="050070F2" w14:textId="77777777" w:rsidR="00CF752A" w:rsidRPr="00B44B19" w:rsidRDefault="006C231E" w:rsidP="000C5E31">
            <w:pPr>
              <w:spacing w:before="60" w:after="60"/>
              <w:jc w:val="both"/>
              <w:rPr>
                <w:rFonts w:eastAsiaTheme="minorEastAsia" w:cs="Times New Roman"/>
                <w:sz w:val="22"/>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p>
        </w:tc>
      </w:tr>
    </w:tbl>
    <w:p w14:paraId="0F1C0A13" w14:textId="77777777" w:rsidR="001D7B61" w:rsidRPr="00B44B19" w:rsidRDefault="001D7B61" w:rsidP="00783D09">
      <w:pPr>
        <w:pStyle w:val="Stilius1"/>
        <w:rPr>
          <w:rFonts w:cs="Times New Roman"/>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Ind w:w="-34" w:type="dxa"/>
        <w:tblLook w:val="04A0" w:firstRow="1" w:lastRow="0" w:firstColumn="1" w:lastColumn="0" w:noHBand="0" w:noVBand="1"/>
      </w:tblPr>
      <w:tblGrid>
        <w:gridCol w:w="9662"/>
      </w:tblGrid>
      <w:tr w:rsidR="000A0920" w:rsidRPr="00B44B19" w14:paraId="45EC0588" w14:textId="77777777" w:rsidTr="00783D09">
        <w:tc>
          <w:tcPr>
            <w:tcW w:w="9888" w:type="dxa"/>
          </w:tcPr>
          <w:p w14:paraId="41BB34F9" w14:textId="77777777" w:rsidR="000A0920" w:rsidRPr="00B44B19" w:rsidRDefault="000A0920" w:rsidP="007D0221">
            <w:pPr>
              <w:spacing w:before="60" w:after="60"/>
              <w:jc w:val="both"/>
              <w:rPr>
                <w:rFonts w:eastAsia="Calibri" w:cs="Times New Roman"/>
                <w:b/>
                <w:i/>
                <w:noProof/>
                <w:szCs w:val="24"/>
                <w:lang w:eastAsia="lt-LT" w:bidi="lt-LT"/>
              </w:rPr>
            </w:pPr>
            <w:r w:rsidRPr="00B44B19">
              <w:rPr>
                <w:rFonts w:eastAsia="Times New Roman" w:cs="Times New Roman"/>
                <w:noProof/>
                <w:sz w:val="22"/>
                <w:lang w:eastAsia="lt-LT" w:bidi="lt-LT"/>
              </w:rPr>
              <w:t xml:space="preserve">Atskirtį </w:t>
            </w:r>
            <w:r w:rsidR="002D0396" w:rsidRPr="00B44B19">
              <w:rPr>
                <w:rFonts w:eastAsia="Times New Roman" w:cs="Times New Roman"/>
                <w:noProof/>
                <w:sz w:val="22"/>
                <w:lang w:eastAsia="lt-LT" w:bidi="lt-LT"/>
              </w:rPr>
              <w:t xml:space="preserve">(taip pat ir dėl negalios) </w:t>
            </w:r>
            <w:r w:rsidRPr="00B44B19">
              <w:rPr>
                <w:rFonts w:eastAsia="Times New Roman" w:cs="Times New Roman"/>
                <w:noProof/>
                <w:sz w:val="22"/>
                <w:lang w:eastAsia="lt-LT" w:bidi="lt-LT"/>
              </w:rPr>
              <w:t>ar socialines rizikas, dėl kurių kyla grėsmė patirti socialinę atskirtį, patiriantys vaikai, mokiniai, ikimokyklinio ir priešmokylinio amžiaus vaikai</w:t>
            </w:r>
            <w:r w:rsidR="008A71A1" w:rsidRPr="00B44B19">
              <w:rPr>
                <w:rFonts w:eastAsia="Times New Roman" w:cs="Times New Roman"/>
                <w:noProof/>
                <w:sz w:val="22"/>
                <w:lang w:eastAsia="lt-LT" w:bidi="lt-LT"/>
              </w:rPr>
              <w:t>,</w:t>
            </w:r>
            <w:r w:rsidR="008A71A1" w:rsidRPr="00B44B19">
              <w:rPr>
                <w:rFonts w:cs="Times New Roman"/>
              </w:rPr>
              <w:t xml:space="preserve"> </w:t>
            </w:r>
            <w:r w:rsidR="008A71A1" w:rsidRPr="00B44B19">
              <w:rPr>
                <w:rFonts w:eastAsia="Times New Roman" w:cs="Times New Roman"/>
                <w:noProof/>
                <w:sz w:val="22"/>
                <w:lang w:eastAsia="lt-LT" w:bidi="lt-LT"/>
              </w:rPr>
              <w:t>kiti asmenys su negalia (vaikų tėvai, mokytojai ir kt.)</w:t>
            </w:r>
            <w:r w:rsidRPr="00B44B19">
              <w:rPr>
                <w:rFonts w:eastAsia="Times New Roman" w:cs="Times New Roman"/>
                <w:noProof/>
                <w:sz w:val="22"/>
                <w:lang w:eastAsia="lt-LT" w:bidi="lt-LT"/>
              </w:rPr>
              <w:t>; MVG veiklose dalyvaujantys suaugusieji, mokytojai, studentai, kurie studijuoja pagal mokytojų rengimo studijų programas ir/ar aukštą ekonominę vertę kuriančias specialybes, dėstytojai, kurie dirba su mokytojų rengimo studijų programomis, edukologijos doktorantai.</w:t>
            </w:r>
          </w:p>
        </w:tc>
      </w:tr>
    </w:tbl>
    <w:p w14:paraId="0A9CFA6A" w14:textId="77777777" w:rsidR="001D7B61" w:rsidRPr="00B44B19" w:rsidRDefault="001D7B61" w:rsidP="00783D09">
      <w:pPr>
        <w:pStyle w:val="Stilius1"/>
        <w:rPr>
          <w:rFonts w:cs="Times New Roman"/>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Ind w:w="-34" w:type="dxa"/>
        <w:tblLook w:val="04A0" w:firstRow="1" w:lastRow="0" w:firstColumn="1" w:lastColumn="0" w:noHBand="0" w:noVBand="1"/>
      </w:tblPr>
      <w:tblGrid>
        <w:gridCol w:w="9662"/>
      </w:tblGrid>
      <w:tr w:rsidR="000A0920" w:rsidRPr="00B44B19" w14:paraId="75B83B5C" w14:textId="77777777" w:rsidTr="00783D09">
        <w:tc>
          <w:tcPr>
            <w:tcW w:w="9888" w:type="dxa"/>
          </w:tcPr>
          <w:p w14:paraId="433F7D57" w14:textId="77777777" w:rsidR="000A0920" w:rsidRPr="00B44B19" w:rsidRDefault="000A0920" w:rsidP="007D0221">
            <w:pPr>
              <w:spacing w:before="60" w:after="60"/>
              <w:jc w:val="both"/>
              <w:rPr>
                <w:rFonts w:eastAsia="Times New Roman" w:cs="Times New Roman"/>
                <w:b/>
                <w:i/>
                <w:iCs/>
                <w:noProof/>
                <w:szCs w:val="24"/>
                <w:lang w:eastAsia="lt-LT" w:bidi="lt-LT"/>
              </w:rPr>
            </w:pPr>
            <w:r w:rsidRPr="00B44B19">
              <w:rPr>
                <w:rFonts w:eastAsia="Calibri" w:cs="Times New Roman"/>
                <w:noProof/>
                <w:sz w:val="22"/>
                <w:lang w:eastAsia="lt-LT" w:bidi="lt-LT"/>
              </w:rPr>
              <w:t>Vykdant numatytas veiklas bus siekiama užtikrinti paslaugų prieinamumą atskirtį ar socialines rizikas, dėl kurių kyla grėsmė patirti socialinę atskirtį, patiriantiems vaikams bei pritaikyti mokymų paslaugas negalią turintiems vaikams. O taip pat užtikrinti lygybės, įtraukties ir nediskriminavimo principus. Kuriant ar atnaujinant infrastruktūrą bus taikomi universalaus dizaino principai. Veiksmai, užtikrinantys lygybės, įtraukties ir nediskriminavimo principų skatinimą, bus integruoti į projektų atranką nustatant, kad projektai, aktyviai prisidedantys prie principų įgyvendinimo, įgyja papildomą prioritetą.</w:t>
            </w:r>
          </w:p>
        </w:tc>
      </w:tr>
    </w:tbl>
    <w:p w14:paraId="37CA2093" w14:textId="77777777" w:rsidR="001D7B61" w:rsidRPr="00B44B19" w:rsidRDefault="001D7B61" w:rsidP="00783D09">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Ind w:w="-34" w:type="dxa"/>
        <w:tblLook w:val="04A0" w:firstRow="1" w:lastRow="0" w:firstColumn="1" w:lastColumn="0" w:noHBand="0" w:noVBand="1"/>
      </w:tblPr>
      <w:tblGrid>
        <w:gridCol w:w="9662"/>
      </w:tblGrid>
      <w:tr w:rsidR="000A0920" w:rsidRPr="00B44B19" w14:paraId="4F19996B" w14:textId="77777777" w:rsidTr="00783D09">
        <w:tc>
          <w:tcPr>
            <w:tcW w:w="9888" w:type="dxa"/>
          </w:tcPr>
          <w:p w14:paraId="60506D75" w14:textId="77777777" w:rsidR="000A0920" w:rsidRPr="00B44B19" w:rsidRDefault="000A0920" w:rsidP="007D0221">
            <w:pPr>
              <w:spacing w:before="60" w:after="60"/>
              <w:jc w:val="both"/>
              <w:rPr>
                <w:rFonts w:cs="Times New Roman"/>
                <w:bCs/>
                <w:color w:val="000000"/>
                <w:sz w:val="22"/>
              </w:rPr>
            </w:pPr>
            <w:r w:rsidRPr="00B44B19">
              <w:rPr>
                <w:rFonts w:eastAsia="Times New Roman" w:cs="Times New Roman"/>
                <w:noProof/>
                <w:sz w:val="22"/>
                <w:lang w:eastAsia="lt-LT" w:bidi="lt-LT"/>
              </w:rPr>
              <w:t>VVL regionas, Sostinės regionas.</w:t>
            </w:r>
          </w:p>
          <w:p w14:paraId="08841B57" w14:textId="77777777" w:rsidR="000A0920" w:rsidRPr="00B44B19" w:rsidRDefault="002D0396" w:rsidP="007D0221">
            <w:pPr>
              <w:spacing w:before="60" w:after="60"/>
              <w:jc w:val="both"/>
              <w:rPr>
                <w:rFonts w:eastAsia="Calibri" w:cs="Times New Roman"/>
                <w:b/>
                <w:i/>
                <w:noProof/>
                <w:szCs w:val="24"/>
                <w:lang w:eastAsia="lt-LT" w:bidi="lt-LT"/>
              </w:rPr>
            </w:pPr>
            <w:r w:rsidRPr="00B44B19">
              <w:rPr>
                <w:rFonts w:cs="Times New Roman"/>
                <w:bCs/>
                <w:color w:val="000000"/>
                <w:sz w:val="22"/>
              </w:rPr>
              <w:t xml:space="preserve">Uždavinio investicijomis gali būti remiama dalis tvarios miestų ir </w:t>
            </w:r>
            <w:r w:rsidR="004C2FDD" w:rsidRPr="00B44B19">
              <w:rPr>
                <w:rFonts w:cs="Times New Roman"/>
                <w:bCs/>
                <w:color w:val="000000"/>
                <w:sz w:val="22"/>
              </w:rPr>
              <w:t>FZ</w:t>
            </w:r>
            <w:r w:rsidRPr="00B44B19">
              <w:rPr>
                <w:rFonts w:cs="Times New Roman"/>
                <w:bCs/>
                <w:color w:val="000000"/>
                <w:sz w:val="22"/>
              </w:rPr>
              <w:t xml:space="preserve"> plėtros strategijų veiksmų, įgyvendinamų kaip ITI, šias investicijas derinant su </w:t>
            </w:r>
            <w:r w:rsidR="0024244C" w:rsidRPr="00B44B19">
              <w:rPr>
                <w:rFonts w:cs="Times New Roman"/>
                <w:bCs/>
                <w:color w:val="000000"/>
                <w:sz w:val="22"/>
              </w:rPr>
              <w:t>Programos</w:t>
            </w:r>
            <w:r w:rsidRPr="00B44B19">
              <w:rPr>
                <w:rFonts w:cs="Times New Roman"/>
                <w:bCs/>
                <w:color w:val="000000"/>
                <w:sz w:val="22"/>
              </w:rPr>
              <w:t xml:space="preserve"> 5 prioriteto investicijomis siekiant bendrų tikslų. Investicijų apimtis / detalumas derinami su atitinkamomis ministerijomis rengiant nacionalines plėtros programas ir teritorines strategijas ir priklauso nuo pasirenkamų uždavinių turinio.</w:t>
            </w:r>
          </w:p>
        </w:tc>
      </w:tr>
    </w:tbl>
    <w:p w14:paraId="241F7C48" w14:textId="77777777" w:rsidR="001D7B61" w:rsidRPr="00B44B19" w:rsidRDefault="001D7B61" w:rsidP="00783D09">
      <w:pPr>
        <w:pStyle w:val="Stilius1"/>
        <w:rPr>
          <w:rFonts w:eastAsia="Times New Roman" w:cs="Times New Roman"/>
          <w:iCs/>
          <w:noProof/>
          <w:lang w:eastAsia="lt-LT" w:bidi="lt-LT"/>
        </w:rPr>
      </w:pPr>
      <w:r w:rsidRPr="00B44B19">
        <w:rPr>
          <w:rFonts w:cs="Times New Roman"/>
          <w:noProof/>
          <w:lang w:eastAsia="lt-LT" w:bidi="lt-LT"/>
        </w:rPr>
        <w:t>Tarpregioniniai</w:t>
      </w:r>
      <w:r w:rsidR="00993B5D" w:rsidRPr="00B44B19">
        <w:rPr>
          <w:rFonts w:cs="Times New Roman"/>
          <w:noProof/>
          <w:lang w:eastAsia="lt-LT" w:bidi="lt-LT"/>
        </w:rPr>
        <w:t>, tarp sienų</w:t>
      </w:r>
      <w:r w:rsidRPr="00B44B19">
        <w:rPr>
          <w:rFonts w:cs="Times New Roman"/>
          <w:noProof/>
          <w:lang w:eastAsia="lt-LT" w:bidi="lt-LT"/>
        </w:rPr>
        <w:t xml:space="preserve"> ir tarpvalstybiniai veiksmai </w:t>
      </w:r>
    </w:p>
    <w:tbl>
      <w:tblPr>
        <w:tblStyle w:val="Lentelstinklelis"/>
        <w:tblW w:w="0" w:type="auto"/>
        <w:tblInd w:w="-34" w:type="dxa"/>
        <w:tblLook w:val="04A0" w:firstRow="1" w:lastRow="0" w:firstColumn="1" w:lastColumn="0" w:noHBand="0" w:noVBand="1"/>
      </w:tblPr>
      <w:tblGrid>
        <w:gridCol w:w="9662"/>
      </w:tblGrid>
      <w:tr w:rsidR="000A0920" w:rsidRPr="00B44B19" w14:paraId="137C241B" w14:textId="77777777" w:rsidTr="00783D09">
        <w:tc>
          <w:tcPr>
            <w:tcW w:w="9888" w:type="dxa"/>
          </w:tcPr>
          <w:p w14:paraId="66EFAAE6" w14:textId="77777777" w:rsidR="000A0920" w:rsidRPr="00B44B19" w:rsidRDefault="00993B5D" w:rsidP="007D0221">
            <w:pPr>
              <w:spacing w:before="60" w:after="60"/>
              <w:jc w:val="both"/>
              <w:rPr>
                <w:rFonts w:eastAsia="Calibri" w:cs="Times New Roman"/>
                <w:b/>
                <w:i/>
                <w:noProof/>
                <w:szCs w:val="24"/>
                <w:lang w:eastAsia="lt-LT" w:bidi="lt-LT"/>
              </w:rPr>
            </w:pPr>
            <w:r w:rsidRPr="00B44B19">
              <w:rPr>
                <w:rFonts w:eastAsia="Calibri" w:cs="Times New Roman"/>
                <w:bCs/>
                <w:noProof/>
                <w:sz w:val="22"/>
                <w:lang w:eastAsia="lt-LT" w:bidi="lt-LT"/>
              </w:rPr>
              <w:lastRenderedPageBreak/>
              <w:t>Numatoma sudaryti visas galimybes prireikus juos atlikti</w:t>
            </w:r>
            <w:r w:rsidR="009D4C9D" w:rsidRPr="00B44B19">
              <w:rPr>
                <w:rFonts w:eastAsia="Calibri" w:cs="Times New Roman"/>
                <w:bCs/>
                <w:noProof/>
                <w:sz w:val="22"/>
                <w:lang w:eastAsia="lt-LT" w:bidi="lt-LT"/>
              </w:rPr>
              <w:t>.</w:t>
            </w:r>
          </w:p>
        </w:tc>
      </w:tr>
    </w:tbl>
    <w:p w14:paraId="1C81DE87" w14:textId="77777777" w:rsidR="001D7B61" w:rsidRPr="00B44B19" w:rsidRDefault="001D7B61" w:rsidP="00783D09">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Ind w:w="-34" w:type="dxa"/>
        <w:tblLook w:val="04A0" w:firstRow="1" w:lastRow="0" w:firstColumn="1" w:lastColumn="0" w:noHBand="0" w:noVBand="1"/>
      </w:tblPr>
      <w:tblGrid>
        <w:gridCol w:w="9662"/>
      </w:tblGrid>
      <w:tr w:rsidR="00417303" w:rsidRPr="00B44B19" w14:paraId="3E7961CA" w14:textId="77777777" w:rsidTr="00783D09">
        <w:tc>
          <w:tcPr>
            <w:tcW w:w="9888" w:type="dxa"/>
          </w:tcPr>
          <w:p w14:paraId="3D4295CB" w14:textId="77777777" w:rsidR="00417303" w:rsidRPr="00B44B19" w:rsidRDefault="00833871" w:rsidP="007D0221">
            <w:pPr>
              <w:spacing w:before="60" w:after="60"/>
              <w:jc w:val="both"/>
              <w:rPr>
                <w:rFonts w:cs="Times New Roman"/>
                <w:b/>
                <w:i/>
                <w:szCs w:val="24"/>
              </w:rPr>
            </w:pPr>
            <w:r w:rsidRPr="00B44B19">
              <w:rPr>
                <w:rFonts w:eastAsia="Calibri" w:cs="Times New Roman"/>
                <w:noProof/>
                <w:sz w:val="22"/>
                <w:lang w:eastAsia="lt-LT" w:bidi="lt-LT"/>
              </w:rPr>
              <w:t>–</w:t>
            </w:r>
          </w:p>
        </w:tc>
      </w:tr>
    </w:tbl>
    <w:p w14:paraId="51A96271" w14:textId="77777777" w:rsidR="00D56FF3" w:rsidRPr="00B44B19" w:rsidRDefault="00786CD2" w:rsidP="00783D09">
      <w:pPr>
        <w:pStyle w:val="Stilius1"/>
        <w:rPr>
          <w:rFonts w:eastAsia="Calibri" w:cs="Times New Roman"/>
          <w:noProof/>
          <w:szCs w:val="20"/>
          <w:lang w:eastAsia="lt-LT" w:bidi="lt-LT"/>
        </w:rPr>
      </w:pPr>
      <w:r w:rsidRPr="00B44B19">
        <w:rPr>
          <w:rFonts w:cs="Times New Roman"/>
        </w:rPr>
        <w:t>Rodikliai</w:t>
      </w:r>
    </w:p>
    <w:p w14:paraId="6A325DA4" w14:textId="77777777" w:rsidR="00786CD2" w:rsidRPr="00B44B19" w:rsidRDefault="00786CD2" w:rsidP="00D56FF3">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963"/>
        <w:gridCol w:w="822"/>
        <w:gridCol w:w="970"/>
        <w:gridCol w:w="1243"/>
        <w:gridCol w:w="1795"/>
        <w:gridCol w:w="965"/>
        <w:gridCol w:w="838"/>
        <w:gridCol w:w="922"/>
      </w:tblGrid>
      <w:tr w:rsidR="00245FB1" w:rsidRPr="00B44B19" w14:paraId="41396F3F" w14:textId="77777777" w:rsidTr="00245FB1">
        <w:trPr>
          <w:trHeight w:val="705"/>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3F5F8E"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Prioritetas</w:t>
            </w:r>
          </w:p>
        </w:tc>
        <w:tc>
          <w:tcPr>
            <w:tcW w:w="50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41918A"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795BDD"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Fondas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C5E328"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A8665F"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6C39A1"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Rodiklis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EBBDB7"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3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D9E25B"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CDA4D5"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Siek</w:t>
            </w:r>
            <w:r w:rsidR="00A1676A" w:rsidRPr="00B44B19">
              <w:rPr>
                <w:rFonts w:cs="Times New Roman"/>
                <w:b/>
                <w:noProof/>
                <w:sz w:val="16"/>
                <w:szCs w:val="16"/>
              </w:rPr>
              <w:t>tina reikšmė</w:t>
            </w:r>
            <w:r w:rsidRPr="00B44B19">
              <w:rPr>
                <w:rFonts w:cs="Times New Roman"/>
                <w:b/>
                <w:noProof/>
                <w:sz w:val="16"/>
                <w:szCs w:val="16"/>
              </w:rPr>
              <w:t xml:space="preserve"> (2029 m.)</w:t>
            </w:r>
          </w:p>
        </w:tc>
      </w:tr>
      <w:tr w:rsidR="0011314E" w:rsidRPr="00B44B19" w14:paraId="6F9E1664" w14:textId="77777777" w:rsidTr="00245FB1">
        <w:trPr>
          <w:trHeight w:val="340"/>
        </w:trPr>
        <w:tc>
          <w:tcPr>
            <w:tcW w:w="567" w:type="pct"/>
            <w:vMerge w:val="restart"/>
            <w:tcBorders>
              <w:top w:val="single" w:sz="12" w:space="0" w:color="auto"/>
            </w:tcBorders>
          </w:tcPr>
          <w:p w14:paraId="536DA4FE"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Style w:val="normaltextrun"/>
                <w:rFonts w:cs="Times New Roman"/>
                <w:color w:val="000000"/>
                <w:sz w:val="16"/>
                <w:szCs w:val="16"/>
                <w:shd w:val="clear" w:color="auto" w:fill="FFFFFF"/>
              </w:rPr>
              <w:t>4.Socialiai atsakingesnė Lietuva</w:t>
            </w:r>
          </w:p>
        </w:tc>
        <w:tc>
          <w:tcPr>
            <w:tcW w:w="501" w:type="pct"/>
            <w:vMerge w:val="restart"/>
            <w:tcBorders>
              <w:top w:val="single" w:sz="12" w:space="0" w:color="auto"/>
            </w:tcBorders>
          </w:tcPr>
          <w:p w14:paraId="305F8DB3" w14:textId="77777777" w:rsidR="0011314E" w:rsidRPr="00B44B19" w:rsidRDefault="0011314E" w:rsidP="00245FB1">
            <w:pPr>
              <w:spacing w:after="0" w:line="240" w:lineRule="auto"/>
              <w:jc w:val="both"/>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4.5</w:t>
            </w:r>
          </w:p>
        </w:tc>
        <w:tc>
          <w:tcPr>
            <w:tcW w:w="428" w:type="pct"/>
            <w:vMerge w:val="restart"/>
            <w:tcBorders>
              <w:top w:val="single" w:sz="12" w:space="0" w:color="auto"/>
            </w:tcBorders>
          </w:tcPr>
          <w:p w14:paraId="5CCBD54E"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ERPF</w:t>
            </w:r>
          </w:p>
        </w:tc>
        <w:tc>
          <w:tcPr>
            <w:tcW w:w="505" w:type="pct"/>
            <w:tcBorders>
              <w:top w:val="single" w:sz="12" w:space="0" w:color="auto"/>
              <w:bottom w:val="single" w:sz="4" w:space="0" w:color="auto"/>
            </w:tcBorders>
          </w:tcPr>
          <w:p w14:paraId="12C303E8"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12" w:space="0" w:color="auto"/>
              <w:bottom w:val="single" w:sz="4" w:space="0" w:color="auto"/>
            </w:tcBorders>
          </w:tcPr>
          <w:p w14:paraId="5E79845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RCO67</w:t>
            </w:r>
          </w:p>
        </w:tc>
        <w:tc>
          <w:tcPr>
            <w:tcW w:w="934" w:type="pct"/>
            <w:tcBorders>
              <w:top w:val="single" w:sz="12" w:space="0" w:color="auto"/>
              <w:bottom w:val="single" w:sz="4" w:space="0" w:color="auto"/>
            </w:tcBorders>
          </w:tcPr>
          <w:p w14:paraId="76D6EC1F"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švietimo infrastruktūros mokymo klasių talpumas</w:t>
            </w:r>
          </w:p>
        </w:tc>
        <w:tc>
          <w:tcPr>
            <w:tcW w:w="502" w:type="pct"/>
            <w:tcBorders>
              <w:top w:val="single" w:sz="12" w:space="0" w:color="auto"/>
              <w:bottom w:val="single" w:sz="4" w:space="0" w:color="auto"/>
            </w:tcBorders>
          </w:tcPr>
          <w:p w14:paraId="2E2D5E65"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436" w:type="pct"/>
            <w:tcBorders>
              <w:top w:val="single" w:sz="12" w:space="0" w:color="auto"/>
              <w:bottom w:val="single" w:sz="4" w:space="0" w:color="auto"/>
            </w:tcBorders>
          </w:tcPr>
          <w:p w14:paraId="1D8B095B" w14:textId="77777777" w:rsidR="0011314E" w:rsidRPr="00B44B19" w:rsidRDefault="0011314E"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0</w:t>
            </w:r>
          </w:p>
        </w:tc>
        <w:tc>
          <w:tcPr>
            <w:tcW w:w="480" w:type="pct"/>
            <w:tcBorders>
              <w:top w:val="single" w:sz="12" w:space="0" w:color="auto"/>
              <w:bottom w:val="single" w:sz="4" w:space="0" w:color="auto"/>
            </w:tcBorders>
          </w:tcPr>
          <w:p w14:paraId="79F2B887" w14:textId="5AC02E98" w:rsidR="0011314E" w:rsidRPr="00B44B19" w:rsidRDefault="0060013F" w:rsidP="0000751F">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86 755</w:t>
            </w:r>
          </w:p>
        </w:tc>
      </w:tr>
      <w:tr w:rsidR="0011314E" w:rsidRPr="00B44B19" w14:paraId="51CB4935" w14:textId="77777777" w:rsidTr="00245FB1">
        <w:trPr>
          <w:trHeight w:val="340"/>
        </w:trPr>
        <w:tc>
          <w:tcPr>
            <w:tcW w:w="567" w:type="pct"/>
            <w:vMerge/>
          </w:tcPr>
          <w:p w14:paraId="1ECDE434"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BB86BB1" w14:textId="77777777" w:rsidR="0011314E" w:rsidRPr="00B44B19"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4D08461C"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51766DB9"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475C2BF9"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RCO67</w:t>
            </w:r>
          </w:p>
        </w:tc>
        <w:tc>
          <w:tcPr>
            <w:tcW w:w="934" w:type="pct"/>
            <w:tcBorders>
              <w:top w:val="single" w:sz="4" w:space="0" w:color="auto"/>
              <w:bottom w:val="single" w:sz="4" w:space="0" w:color="auto"/>
            </w:tcBorders>
          </w:tcPr>
          <w:p w14:paraId="360FBA29"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švietimo infrastruktūros mokymo klasių talpumas</w:t>
            </w:r>
          </w:p>
        </w:tc>
        <w:tc>
          <w:tcPr>
            <w:tcW w:w="502" w:type="pct"/>
            <w:tcBorders>
              <w:top w:val="single" w:sz="4" w:space="0" w:color="auto"/>
              <w:bottom w:val="single" w:sz="4" w:space="0" w:color="auto"/>
            </w:tcBorders>
          </w:tcPr>
          <w:p w14:paraId="14659468"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436" w:type="pct"/>
            <w:tcBorders>
              <w:top w:val="single" w:sz="4" w:space="0" w:color="auto"/>
              <w:bottom w:val="single" w:sz="4" w:space="0" w:color="auto"/>
            </w:tcBorders>
          </w:tcPr>
          <w:p w14:paraId="17FB27A2" w14:textId="77777777" w:rsidR="0011314E" w:rsidRPr="00B44B19" w:rsidRDefault="0011314E"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0</w:t>
            </w:r>
          </w:p>
        </w:tc>
        <w:tc>
          <w:tcPr>
            <w:tcW w:w="480" w:type="pct"/>
            <w:tcBorders>
              <w:top w:val="single" w:sz="4" w:space="0" w:color="auto"/>
              <w:bottom w:val="single" w:sz="4" w:space="0" w:color="auto"/>
            </w:tcBorders>
          </w:tcPr>
          <w:p w14:paraId="192C4121" w14:textId="19C872C9" w:rsidR="0011314E" w:rsidRPr="00B44B19" w:rsidRDefault="0060013F" w:rsidP="00F208A0">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251 595</w:t>
            </w:r>
          </w:p>
        </w:tc>
      </w:tr>
      <w:tr w:rsidR="0011314E" w:rsidRPr="00B44B19" w14:paraId="6226C3E1" w14:textId="77777777" w:rsidTr="00245FB1">
        <w:trPr>
          <w:trHeight w:val="340"/>
        </w:trPr>
        <w:tc>
          <w:tcPr>
            <w:tcW w:w="567" w:type="pct"/>
            <w:vMerge/>
          </w:tcPr>
          <w:p w14:paraId="7EC45542"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D07D177" w14:textId="77777777" w:rsidR="0011314E" w:rsidRPr="00B44B19"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3FFBB240"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35F209EE"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2173D0A5"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RCO66</w:t>
            </w:r>
          </w:p>
        </w:tc>
        <w:tc>
          <w:tcPr>
            <w:tcW w:w="934" w:type="pct"/>
            <w:tcBorders>
              <w:top w:val="single" w:sz="4" w:space="0" w:color="auto"/>
              <w:bottom w:val="single" w:sz="4" w:space="0" w:color="auto"/>
            </w:tcBorders>
          </w:tcPr>
          <w:p w14:paraId="731813F8"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vaikų priežiūros infrastruktūros mokymo klasių talpumas</w:t>
            </w:r>
          </w:p>
        </w:tc>
        <w:tc>
          <w:tcPr>
            <w:tcW w:w="502" w:type="pct"/>
            <w:tcBorders>
              <w:top w:val="single" w:sz="4" w:space="0" w:color="auto"/>
              <w:bottom w:val="single" w:sz="4" w:space="0" w:color="auto"/>
            </w:tcBorders>
          </w:tcPr>
          <w:p w14:paraId="7DC2FC9D"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436" w:type="pct"/>
            <w:tcBorders>
              <w:top w:val="single" w:sz="4" w:space="0" w:color="auto"/>
              <w:bottom w:val="single" w:sz="4" w:space="0" w:color="auto"/>
            </w:tcBorders>
          </w:tcPr>
          <w:p w14:paraId="3C62060D" w14:textId="77777777" w:rsidR="0011314E" w:rsidRPr="00B44B19" w:rsidRDefault="0011314E"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0</w:t>
            </w:r>
          </w:p>
        </w:tc>
        <w:tc>
          <w:tcPr>
            <w:tcW w:w="480" w:type="pct"/>
            <w:tcBorders>
              <w:top w:val="single" w:sz="4" w:space="0" w:color="auto"/>
              <w:bottom w:val="single" w:sz="4" w:space="0" w:color="auto"/>
            </w:tcBorders>
          </w:tcPr>
          <w:p w14:paraId="178EF3AC" w14:textId="77777777" w:rsidR="0011314E" w:rsidRPr="00B44B19" w:rsidRDefault="0011314E" w:rsidP="00F208A0">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1 570</w:t>
            </w:r>
          </w:p>
        </w:tc>
      </w:tr>
      <w:tr w:rsidR="0011314E" w:rsidRPr="00B44B19" w14:paraId="4C94810D" w14:textId="77777777" w:rsidTr="00245FB1">
        <w:trPr>
          <w:trHeight w:val="340"/>
        </w:trPr>
        <w:tc>
          <w:tcPr>
            <w:tcW w:w="567" w:type="pct"/>
            <w:vMerge/>
          </w:tcPr>
          <w:p w14:paraId="04358A00"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4FBCDC3" w14:textId="77777777" w:rsidR="0011314E" w:rsidRPr="00B44B19"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1B116851"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05DBA0EE"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55B97219"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RCO66</w:t>
            </w:r>
          </w:p>
        </w:tc>
        <w:tc>
          <w:tcPr>
            <w:tcW w:w="934" w:type="pct"/>
            <w:tcBorders>
              <w:top w:val="single" w:sz="4" w:space="0" w:color="auto"/>
              <w:bottom w:val="single" w:sz="4" w:space="0" w:color="auto"/>
            </w:tcBorders>
          </w:tcPr>
          <w:p w14:paraId="465B064B"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vaikų priežiūros infrastruktūros mokymo klasių talpumas</w:t>
            </w:r>
          </w:p>
        </w:tc>
        <w:tc>
          <w:tcPr>
            <w:tcW w:w="502" w:type="pct"/>
            <w:tcBorders>
              <w:top w:val="single" w:sz="4" w:space="0" w:color="auto"/>
              <w:bottom w:val="single" w:sz="4" w:space="0" w:color="auto"/>
            </w:tcBorders>
          </w:tcPr>
          <w:p w14:paraId="2D0D439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Asmenys</w:t>
            </w:r>
          </w:p>
        </w:tc>
        <w:tc>
          <w:tcPr>
            <w:tcW w:w="436" w:type="pct"/>
            <w:tcBorders>
              <w:top w:val="single" w:sz="4" w:space="0" w:color="auto"/>
              <w:bottom w:val="single" w:sz="4" w:space="0" w:color="auto"/>
            </w:tcBorders>
          </w:tcPr>
          <w:p w14:paraId="70E6B13F" w14:textId="77777777" w:rsidR="0011314E" w:rsidRPr="00B44B19" w:rsidRDefault="0011314E" w:rsidP="00245FB1">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0</w:t>
            </w:r>
          </w:p>
        </w:tc>
        <w:tc>
          <w:tcPr>
            <w:tcW w:w="480" w:type="pct"/>
            <w:tcBorders>
              <w:top w:val="single" w:sz="4" w:space="0" w:color="auto"/>
              <w:bottom w:val="single" w:sz="4" w:space="0" w:color="auto"/>
            </w:tcBorders>
          </w:tcPr>
          <w:p w14:paraId="5D2AC355" w14:textId="77777777" w:rsidR="0011314E" w:rsidRPr="00B44B19" w:rsidRDefault="0011314E" w:rsidP="00F208A0">
            <w:pPr>
              <w:spacing w:after="0" w:line="240" w:lineRule="auto"/>
              <w:jc w:val="center"/>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10 800</w:t>
            </w:r>
          </w:p>
        </w:tc>
      </w:tr>
      <w:tr w:rsidR="0011314E" w:rsidRPr="00B44B19" w14:paraId="12029D94" w14:textId="77777777" w:rsidTr="00245FB1">
        <w:trPr>
          <w:trHeight w:val="340"/>
        </w:trPr>
        <w:tc>
          <w:tcPr>
            <w:tcW w:w="567" w:type="pct"/>
            <w:vMerge/>
          </w:tcPr>
          <w:p w14:paraId="78279C25"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229E4223" w14:textId="77777777" w:rsidR="0011314E" w:rsidRPr="00B44B19" w:rsidRDefault="0011314E" w:rsidP="00245FB1">
            <w:pPr>
              <w:spacing w:after="0" w:line="240" w:lineRule="auto"/>
              <w:jc w:val="both"/>
              <w:textAlignment w:val="baseline"/>
              <w:rPr>
                <w:rFonts w:eastAsia="Times New Roman" w:cs="Times New Roman"/>
                <w:sz w:val="16"/>
                <w:szCs w:val="16"/>
                <w:lang w:val="en-US" w:eastAsia="lt-LT"/>
              </w:rPr>
            </w:pPr>
          </w:p>
        </w:tc>
        <w:tc>
          <w:tcPr>
            <w:tcW w:w="428" w:type="pct"/>
            <w:vMerge/>
          </w:tcPr>
          <w:p w14:paraId="2C5BF49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5EC2D6FD"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73BE8019"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6E453744"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Sukurtų naujų ikimokyklinio ugdymo vietų skaičius</w:t>
            </w:r>
          </w:p>
        </w:tc>
        <w:tc>
          <w:tcPr>
            <w:tcW w:w="502" w:type="pct"/>
            <w:tcBorders>
              <w:top w:val="single" w:sz="4" w:space="0" w:color="auto"/>
              <w:bottom w:val="single" w:sz="4" w:space="0" w:color="auto"/>
            </w:tcBorders>
          </w:tcPr>
          <w:p w14:paraId="7066130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16F4DFF8"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4B40DA46"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390</w:t>
            </w:r>
          </w:p>
        </w:tc>
      </w:tr>
      <w:tr w:rsidR="0011314E" w:rsidRPr="00B44B19" w14:paraId="7B4D4FCC" w14:textId="77777777" w:rsidTr="00245FB1">
        <w:trPr>
          <w:trHeight w:val="340"/>
        </w:trPr>
        <w:tc>
          <w:tcPr>
            <w:tcW w:w="567" w:type="pct"/>
            <w:vMerge/>
          </w:tcPr>
          <w:p w14:paraId="0963EAB2"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92F5D6B"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091FB8E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1052008"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5CAA898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156AE9D8"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Sukurtų naujų ikimokyklinio ugdymo vietų skaičius</w:t>
            </w:r>
          </w:p>
        </w:tc>
        <w:tc>
          <w:tcPr>
            <w:tcW w:w="502" w:type="pct"/>
            <w:tcBorders>
              <w:top w:val="single" w:sz="4" w:space="0" w:color="auto"/>
              <w:bottom w:val="single" w:sz="4" w:space="0" w:color="auto"/>
            </w:tcBorders>
          </w:tcPr>
          <w:p w14:paraId="4199C93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43C99408"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2740C835"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1 620</w:t>
            </w:r>
          </w:p>
        </w:tc>
      </w:tr>
      <w:tr w:rsidR="0011314E" w:rsidRPr="00B44B19" w14:paraId="6ACE4B74" w14:textId="77777777" w:rsidTr="00245FB1">
        <w:trPr>
          <w:trHeight w:val="340"/>
        </w:trPr>
        <w:tc>
          <w:tcPr>
            <w:tcW w:w="567" w:type="pct"/>
            <w:vMerge/>
          </w:tcPr>
          <w:p w14:paraId="5FFB4E4D"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6F7D04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2BFE8B70"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5F381862"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060C597F"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22D21436"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Mokyklos, kuriose buvo įdiegtos universalaus dizaino ir kitos inžinerinės priemonės pritaikant aplinką asmenims turintiems negalią</w:t>
            </w:r>
          </w:p>
        </w:tc>
        <w:tc>
          <w:tcPr>
            <w:tcW w:w="502" w:type="pct"/>
            <w:tcBorders>
              <w:top w:val="single" w:sz="4" w:space="0" w:color="auto"/>
              <w:bottom w:val="single" w:sz="4" w:space="0" w:color="auto"/>
            </w:tcBorders>
          </w:tcPr>
          <w:p w14:paraId="705E227F"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665E5BE5"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4CF84079"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4</w:t>
            </w:r>
          </w:p>
        </w:tc>
      </w:tr>
      <w:tr w:rsidR="0011314E" w:rsidRPr="00B44B19" w14:paraId="5C650597" w14:textId="77777777" w:rsidTr="00245FB1">
        <w:trPr>
          <w:trHeight w:val="340"/>
        </w:trPr>
        <w:tc>
          <w:tcPr>
            <w:tcW w:w="567" w:type="pct"/>
            <w:vMerge/>
          </w:tcPr>
          <w:p w14:paraId="073197C2"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4978F4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156020D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3D87242"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41A41083"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4E1A56D1"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Mokyklos, kuriose buvo įdiegtos universalaus dizaino ir kitos inžinerinės priemonės pritaikant aplinką asmenims turintiems negalią</w:t>
            </w:r>
          </w:p>
        </w:tc>
        <w:tc>
          <w:tcPr>
            <w:tcW w:w="502" w:type="pct"/>
            <w:tcBorders>
              <w:top w:val="single" w:sz="4" w:space="0" w:color="auto"/>
              <w:bottom w:val="single" w:sz="4" w:space="0" w:color="auto"/>
            </w:tcBorders>
          </w:tcPr>
          <w:p w14:paraId="638178F9"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790ADB9E"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30984392"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50</w:t>
            </w:r>
          </w:p>
        </w:tc>
      </w:tr>
      <w:tr w:rsidR="0011314E" w:rsidRPr="00B44B19" w14:paraId="09C3451F" w14:textId="77777777" w:rsidTr="00245FB1">
        <w:trPr>
          <w:trHeight w:val="340"/>
        </w:trPr>
        <w:tc>
          <w:tcPr>
            <w:tcW w:w="567" w:type="pct"/>
            <w:vMerge/>
          </w:tcPr>
          <w:p w14:paraId="2A944B9F"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625DD78"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45ADFBBE"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3E9F75E0"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0679E1A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0CD27DE4"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Išvystyti regioniniai švietimo pagalbos centrai</w:t>
            </w:r>
          </w:p>
        </w:tc>
        <w:tc>
          <w:tcPr>
            <w:tcW w:w="502" w:type="pct"/>
            <w:tcBorders>
              <w:top w:val="single" w:sz="4" w:space="0" w:color="auto"/>
              <w:bottom w:val="single" w:sz="4" w:space="0" w:color="auto"/>
            </w:tcBorders>
          </w:tcPr>
          <w:p w14:paraId="02344C7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2B66A416"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1BB1A994"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w:t>
            </w:r>
          </w:p>
        </w:tc>
      </w:tr>
      <w:tr w:rsidR="0011314E" w:rsidRPr="00B44B19" w14:paraId="57636853" w14:textId="77777777" w:rsidTr="00245FB1">
        <w:trPr>
          <w:trHeight w:val="340"/>
        </w:trPr>
        <w:tc>
          <w:tcPr>
            <w:tcW w:w="567" w:type="pct"/>
            <w:vMerge/>
          </w:tcPr>
          <w:p w14:paraId="233F6C23"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3244531"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317F57C5"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7D56FAC7"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0CDF98CF"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78F6020E"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Išvystyti regioniniai švietimo pagalbos centrai</w:t>
            </w:r>
          </w:p>
        </w:tc>
        <w:tc>
          <w:tcPr>
            <w:tcW w:w="502" w:type="pct"/>
            <w:tcBorders>
              <w:top w:val="single" w:sz="4" w:space="0" w:color="auto"/>
              <w:bottom w:val="single" w:sz="4" w:space="0" w:color="auto"/>
            </w:tcBorders>
          </w:tcPr>
          <w:p w14:paraId="10B9D085"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4381347D"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4EC785C3"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7</w:t>
            </w:r>
          </w:p>
        </w:tc>
      </w:tr>
      <w:tr w:rsidR="0011314E" w:rsidRPr="00B44B19" w14:paraId="1BC4E596" w14:textId="77777777" w:rsidTr="00245FB1">
        <w:trPr>
          <w:trHeight w:val="340"/>
        </w:trPr>
        <w:tc>
          <w:tcPr>
            <w:tcW w:w="567" w:type="pct"/>
            <w:vMerge/>
          </w:tcPr>
          <w:p w14:paraId="1BA613DE"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D54EBB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4DE38A92"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D47DAA2"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389B394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35F1ADD1"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Bendrojo ugdymo mokyklos, kuriose įrengtos gamtos mokslų laboratorijos</w:t>
            </w:r>
          </w:p>
        </w:tc>
        <w:tc>
          <w:tcPr>
            <w:tcW w:w="502" w:type="pct"/>
            <w:tcBorders>
              <w:top w:val="single" w:sz="4" w:space="0" w:color="auto"/>
              <w:bottom w:val="single" w:sz="4" w:space="0" w:color="auto"/>
            </w:tcBorders>
          </w:tcPr>
          <w:p w14:paraId="13A5EDE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5FA4EC51"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550AD61C" w14:textId="39E83C45" w:rsidR="0011314E" w:rsidRPr="00B44B19" w:rsidRDefault="0060013F"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128</w:t>
            </w:r>
          </w:p>
        </w:tc>
      </w:tr>
      <w:tr w:rsidR="0011314E" w:rsidRPr="00B44B19" w14:paraId="4132519B" w14:textId="77777777" w:rsidTr="00245FB1">
        <w:trPr>
          <w:trHeight w:val="340"/>
        </w:trPr>
        <w:tc>
          <w:tcPr>
            <w:tcW w:w="567" w:type="pct"/>
            <w:vMerge/>
          </w:tcPr>
          <w:p w14:paraId="6BA8772B"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38F097FE"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0103D05B"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0A5CE7D0"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2935C53F"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0EDCC716"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Bendrojo ugdymo mokyklos, kuriose įrengtos gamtos mokslų laboratorijos</w:t>
            </w:r>
          </w:p>
        </w:tc>
        <w:tc>
          <w:tcPr>
            <w:tcW w:w="502" w:type="pct"/>
            <w:tcBorders>
              <w:top w:val="single" w:sz="4" w:space="0" w:color="auto"/>
              <w:bottom w:val="single" w:sz="4" w:space="0" w:color="auto"/>
            </w:tcBorders>
          </w:tcPr>
          <w:p w14:paraId="46CE53DF"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74746F08"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31D48656" w14:textId="1D5D0633" w:rsidR="0011314E" w:rsidRPr="00B44B19" w:rsidRDefault="0060013F"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342</w:t>
            </w:r>
          </w:p>
        </w:tc>
      </w:tr>
      <w:tr w:rsidR="0011314E" w:rsidRPr="00B44B19" w14:paraId="7D3ECF3B" w14:textId="77777777" w:rsidTr="00245FB1">
        <w:trPr>
          <w:trHeight w:val="340"/>
        </w:trPr>
        <w:tc>
          <w:tcPr>
            <w:tcW w:w="567" w:type="pct"/>
            <w:vMerge/>
          </w:tcPr>
          <w:p w14:paraId="42718246"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179F7E8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5CC63611"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3B152462"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3521A742"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671A58C7"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Aukštosios mokyklos, esančios pedagogų rengimo kompetencijų centru ar jo dalimi, kuriose sukurta / pritaikyta infrastruktūra</w:t>
            </w:r>
          </w:p>
        </w:tc>
        <w:tc>
          <w:tcPr>
            <w:tcW w:w="502" w:type="pct"/>
            <w:tcBorders>
              <w:top w:val="single" w:sz="4" w:space="0" w:color="auto"/>
              <w:bottom w:val="single" w:sz="4" w:space="0" w:color="auto"/>
            </w:tcBorders>
          </w:tcPr>
          <w:p w14:paraId="78CCC745"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6305A15E"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6A0C845D"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w:t>
            </w:r>
          </w:p>
        </w:tc>
      </w:tr>
      <w:tr w:rsidR="0011314E" w:rsidRPr="00B44B19" w14:paraId="0E33A285" w14:textId="77777777" w:rsidTr="00245FB1">
        <w:trPr>
          <w:trHeight w:val="340"/>
        </w:trPr>
        <w:tc>
          <w:tcPr>
            <w:tcW w:w="567" w:type="pct"/>
            <w:vMerge/>
          </w:tcPr>
          <w:p w14:paraId="6DA0F667"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5319C3E1"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1E7C6F53"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6C77BCD"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4DE5273C"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6B1F18BD"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 xml:space="preserve">Aukštosios mokyklos, esančios pedagogų rengimo kompetencijų </w:t>
            </w:r>
            <w:r w:rsidRPr="00B44B19">
              <w:rPr>
                <w:rFonts w:eastAsia="Times New Roman" w:cs="Times New Roman"/>
                <w:sz w:val="16"/>
                <w:szCs w:val="16"/>
                <w:lang w:eastAsia="lt-LT"/>
              </w:rPr>
              <w:lastRenderedPageBreak/>
              <w:t>centru ar jo dalimi, kuriose sukurta / pritaikyta infrastruktūra</w:t>
            </w:r>
          </w:p>
        </w:tc>
        <w:tc>
          <w:tcPr>
            <w:tcW w:w="502" w:type="pct"/>
            <w:tcBorders>
              <w:top w:val="single" w:sz="4" w:space="0" w:color="auto"/>
              <w:bottom w:val="single" w:sz="4" w:space="0" w:color="auto"/>
            </w:tcBorders>
          </w:tcPr>
          <w:p w14:paraId="2304F2BD"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lastRenderedPageBreak/>
              <w:t>Skaičius</w:t>
            </w:r>
          </w:p>
        </w:tc>
        <w:tc>
          <w:tcPr>
            <w:tcW w:w="436" w:type="pct"/>
            <w:tcBorders>
              <w:top w:val="single" w:sz="4" w:space="0" w:color="auto"/>
              <w:bottom w:val="single" w:sz="4" w:space="0" w:color="auto"/>
            </w:tcBorders>
          </w:tcPr>
          <w:p w14:paraId="0FE0FBAE"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4523EC78"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w:t>
            </w:r>
          </w:p>
        </w:tc>
      </w:tr>
      <w:tr w:rsidR="0011314E" w:rsidRPr="00B44B19" w14:paraId="059E00D8" w14:textId="77777777" w:rsidTr="00245FB1">
        <w:trPr>
          <w:trHeight w:val="340"/>
        </w:trPr>
        <w:tc>
          <w:tcPr>
            <w:tcW w:w="567" w:type="pct"/>
            <w:vMerge/>
          </w:tcPr>
          <w:p w14:paraId="6DEE8382"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7237FF18"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69423912"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C946366"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647" w:type="pct"/>
            <w:tcBorders>
              <w:top w:val="single" w:sz="4" w:space="0" w:color="auto"/>
              <w:bottom w:val="single" w:sz="4" w:space="0" w:color="auto"/>
            </w:tcBorders>
          </w:tcPr>
          <w:p w14:paraId="53B5FD32"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07BF4966"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Tikslinės transporto priemonės</w:t>
            </w:r>
          </w:p>
        </w:tc>
        <w:tc>
          <w:tcPr>
            <w:tcW w:w="502" w:type="pct"/>
            <w:tcBorders>
              <w:top w:val="single" w:sz="4" w:space="0" w:color="auto"/>
              <w:bottom w:val="single" w:sz="4" w:space="0" w:color="auto"/>
            </w:tcBorders>
          </w:tcPr>
          <w:p w14:paraId="506F868D"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6189A769"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78E85F54"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30</w:t>
            </w:r>
          </w:p>
        </w:tc>
      </w:tr>
      <w:tr w:rsidR="0011314E" w:rsidRPr="00B44B19" w14:paraId="3F7F2703" w14:textId="77777777" w:rsidTr="00245FB1">
        <w:trPr>
          <w:trHeight w:val="340"/>
        </w:trPr>
        <w:tc>
          <w:tcPr>
            <w:tcW w:w="567" w:type="pct"/>
            <w:vMerge/>
          </w:tcPr>
          <w:p w14:paraId="19932488"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3CED2283"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7051E2C3"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1075579E"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647" w:type="pct"/>
            <w:tcBorders>
              <w:top w:val="single" w:sz="4" w:space="0" w:color="auto"/>
              <w:bottom w:val="single" w:sz="4" w:space="0" w:color="auto"/>
            </w:tcBorders>
          </w:tcPr>
          <w:p w14:paraId="00AEF6C9"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934" w:type="pct"/>
            <w:tcBorders>
              <w:top w:val="single" w:sz="4" w:space="0" w:color="auto"/>
              <w:bottom w:val="single" w:sz="4" w:space="0" w:color="auto"/>
            </w:tcBorders>
          </w:tcPr>
          <w:p w14:paraId="533E1AD7"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Tikslinės transporto priemonės</w:t>
            </w:r>
          </w:p>
        </w:tc>
        <w:tc>
          <w:tcPr>
            <w:tcW w:w="502" w:type="pct"/>
            <w:tcBorders>
              <w:top w:val="single" w:sz="4" w:space="0" w:color="auto"/>
              <w:bottom w:val="single" w:sz="4" w:space="0" w:color="auto"/>
            </w:tcBorders>
          </w:tcPr>
          <w:p w14:paraId="10988F30"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Skaičius</w:t>
            </w:r>
          </w:p>
        </w:tc>
        <w:tc>
          <w:tcPr>
            <w:tcW w:w="436" w:type="pct"/>
            <w:tcBorders>
              <w:top w:val="single" w:sz="4" w:space="0" w:color="auto"/>
              <w:bottom w:val="single" w:sz="4" w:space="0" w:color="auto"/>
            </w:tcBorders>
          </w:tcPr>
          <w:p w14:paraId="47B9E4A7"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480" w:type="pct"/>
            <w:tcBorders>
              <w:top w:val="single" w:sz="4" w:space="0" w:color="auto"/>
              <w:bottom w:val="single" w:sz="4" w:space="0" w:color="auto"/>
            </w:tcBorders>
          </w:tcPr>
          <w:p w14:paraId="4185A7B2"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122</w:t>
            </w:r>
          </w:p>
        </w:tc>
      </w:tr>
      <w:tr w:rsidR="0011314E" w:rsidRPr="00B44B19" w14:paraId="05FC0BB0" w14:textId="77777777" w:rsidTr="00245FB1">
        <w:trPr>
          <w:trHeight w:val="340"/>
        </w:trPr>
        <w:tc>
          <w:tcPr>
            <w:tcW w:w="567" w:type="pct"/>
            <w:vMerge/>
          </w:tcPr>
          <w:p w14:paraId="0C0885A5"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3DFBBF77"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7DED1EBB"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0CC0D85C"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noProof/>
                <w:sz w:val="16"/>
                <w:szCs w:val="16"/>
              </w:rPr>
              <w:t>Sostinės regionas</w:t>
            </w:r>
          </w:p>
        </w:tc>
        <w:tc>
          <w:tcPr>
            <w:tcW w:w="647" w:type="pct"/>
            <w:tcBorders>
              <w:top w:val="single" w:sz="4" w:space="0" w:color="auto"/>
              <w:bottom w:val="single" w:sz="4" w:space="0" w:color="auto"/>
            </w:tcBorders>
          </w:tcPr>
          <w:p w14:paraId="5D38EE9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noProof/>
                <w:sz w:val="16"/>
                <w:szCs w:val="16"/>
              </w:rPr>
              <w:t>RCO74</w:t>
            </w:r>
          </w:p>
        </w:tc>
        <w:tc>
          <w:tcPr>
            <w:tcW w:w="934" w:type="pct"/>
            <w:tcBorders>
              <w:top w:val="single" w:sz="4" w:space="0" w:color="auto"/>
              <w:bottom w:val="single" w:sz="4" w:space="0" w:color="auto"/>
            </w:tcBorders>
          </w:tcPr>
          <w:p w14:paraId="6C267816"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bCs/>
                <w:noProof/>
                <w:sz w:val="16"/>
                <w:szCs w:val="16"/>
              </w:rPr>
              <w:t>Gyventojai, kuriems taikomi projektai, vykdomi pagal integruotas teritorinio vystymo programas</w:t>
            </w:r>
          </w:p>
        </w:tc>
        <w:tc>
          <w:tcPr>
            <w:tcW w:w="502" w:type="pct"/>
            <w:tcBorders>
              <w:top w:val="single" w:sz="4" w:space="0" w:color="auto"/>
              <w:bottom w:val="single" w:sz="4" w:space="0" w:color="auto"/>
            </w:tcBorders>
          </w:tcPr>
          <w:p w14:paraId="1AD9E4A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iCs/>
                <w:noProof/>
                <w:sz w:val="16"/>
                <w:szCs w:val="16"/>
              </w:rPr>
              <w:t>Asmenys</w:t>
            </w:r>
          </w:p>
        </w:tc>
        <w:tc>
          <w:tcPr>
            <w:tcW w:w="436" w:type="pct"/>
            <w:tcBorders>
              <w:top w:val="single" w:sz="4" w:space="0" w:color="auto"/>
              <w:bottom w:val="single" w:sz="4" w:space="0" w:color="auto"/>
            </w:tcBorders>
          </w:tcPr>
          <w:p w14:paraId="34256323"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0</w:t>
            </w:r>
          </w:p>
        </w:tc>
        <w:tc>
          <w:tcPr>
            <w:tcW w:w="480" w:type="pct"/>
            <w:tcBorders>
              <w:top w:val="single" w:sz="4" w:space="0" w:color="auto"/>
              <w:bottom w:val="single" w:sz="4" w:space="0" w:color="auto"/>
            </w:tcBorders>
          </w:tcPr>
          <w:p w14:paraId="1958FD59"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204 025</w:t>
            </w:r>
          </w:p>
        </w:tc>
      </w:tr>
      <w:tr w:rsidR="0011314E" w:rsidRPr="00B44B19" w14:paraId="72F6ACA5" w14:textId="77777777" w:rsidTr="00245FB1">
        <w:trPr>
          <w:trHeight w:val="340"/>
        </w:trPr>
        <w:tc>
          <w:tcPr>
            <w:tcW w:w="567" w:type="pct"/>
            <w:vMerge/>
          </w:tcPr>
          <w:p w14:paraId="315915F0"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1AB581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655FB4F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3AE2134"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noProof/>
                <w:sz w:val="16"/>
                <w:szCs w:val="16"/>
              </w:rPr>
              <w:t>VVL regionas</w:t>
            </w:r>
          </w:p>
        </w:tc>
        <w:tc>
          <w:tcPr>
            <w:tcW w:w="647" w:type="pct"/>
            <w:tcBorders>
              <w:top w:val="single" w:sz="4" w:space="0" w:color="auto"/>
              <w:bottom w:val="single" w:sz="4" w:space="0" w:color="auto"/>
            </w:tcBorders>
          </w:tcPr>
          <w:p w14:paraId="6A3C8794"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noProof/>
                <w:sz w:val="16"/>
                <w:szCs w:val="16"/>
              </w:rPr>
              <w:t>RCO74</w:t>
            </w:r>
          </w:p>
        </w:tc>
        <w:tc>
          <w:tcPr>
            <w:tcW w:w="934" w:type="pct"/>
            <w:tcBorders>
              <w:top w:val="single" w:sz="4" w:space="0" w:color="auto"/>
              <w:bottom w:val="single" w:sz="4" w:space="0" w:color="auto"/>
            </w:tcBorders>
          </w:tcPr>
          <w:p w14:paraId="2F2A21BE"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bCs/>
                <w:noProof/>
                <w:sz w:val="16"/>
                <w:szCs w:val="16"/>
              </w:rPr>
              <w:t>Gyventojai, kuriems taikomi projektai, vykdomi pagal integruotas teritorinio vystymo programas</w:t>
            </w:r>
          </w:p>
        </w:tc>
        <w:tc>
          <w:tcPr>
            <w:tcW w:w="502" w:type="pct"/>
            <w:tcBorders>
              <w:top w:val="single" w:sz="4" w:space="0" w:color="auto"/>
              <w:bottom w:val="single" w:sz="4" w:space="0" w:color="auto"/>
            </w:tcBorders>
          </w:tcPr>
          <w:p w14:paraId="7E5D3BD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iCs/>
                <w:noProof/>
                <w:sz w:val="16"/>
                <w:szCs w:val="16"/>
              </w:rPr>
              <w:t>Asmenys</w:t>
            </w:r>
          </w:p>
        </w:tc>
        <w:tc>
          <w:tcPr>
            <w:tcW w:w="436" w:type="pct"/>
            <w:tcBorders>
              <w:top w:val="single" w:sz="4" w:space="0" w:color="auto"/>
              <w:bottom w:val="single" w:sz="4" w:space="0" w:color="auto"/>
            </w:tcBorders>
          </w:tcPr>
          <w:p w14:paraId="59CE257C"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0</w:t>
            </w:r>
          </w:p>
        </w:tc>
        <w:tc>
          <w:tcPr>
            <w:tcW w:w="480" w:type="pct"/>
            <w:tcBorders>
              <w:top w:val="single" w:sz="4" w:space="0" w:color="auto"/>
              <w:bottom w:val="single" w:sz="4" w:space="0" w:color="auto"/>
            </w:tcBorders>
          </w:tcPr>
          <w:p w14:paraId="5480F9A9"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189 906</w:t>
            </w:r>
          </w:p>
        </w:tc>
      </w:tr>
      <w:tr w:rsidR="0011314E" w:rsidRPr="00B44B19" w14:paraId="03B8B019" w14:textId="77777777" w:rsidTr="00245FB1">
        <w:trPr>
          <w:trHeight w:val="340"/>
        </w:trPr>
        <w:tc>
          <w:tcPr>
            <w:tcW w:w="567" w:type="pct"/>
            <w:vMerge/>
          </w:tcPr>
          <w:p w14:paraId="7C4A377D"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463FB8DC"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15A3B2E8"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44131FBC"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noProof/>
                <w:sz w:val="16"/>
                <w:szCs w:val="16"/>
              </w:rPr>
              <w:t>Sostinės regionas</w:t>
            </w:r>
          </w:p>
        </w:tc>
        <w:tc>
          <w:tcPr>
            <w:tcW w:w="647" w:type="pct"/>
            <w:tcBorders>
              <w:top w:val="single" w:sz="4" w:space="0" w:color="auto"/>
              <w:bottom w:val="single" w:sz="4" w:space="0" w:color="auto"/>
            </w:tcBorders>
          </w:tcPr>
          <w:p w14:paraId="2CB544A4"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noProof/>
                <w:sz w:val="16"/>
                <w:szCs w:val="16"/>
              </w:rPr>
              <w:t>RCO75</w:t>
            </w:r>
          </w:p>
        </w:tc>
        <w:tc>
          <w:tcPr>
            <w:tcW w:w="934" w:type="pct"/>
            <w:tcBorders>
              <w:top w:val="single" w:sz="4" w:space="0" w:color="auto"/>
              <w:bottom w:val="single" w:sz="4" w:space="0" w:color="auto"/>
            </w:tcBorders>
          </w:tcPr>
          <w:p w14:paraId="41171D26"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bCs/>
                <w:noProof/>
                <w:sz w:val="16"/>
                <w:szCs w:val="16"/>
              </w:rPr>
              <w:t>Integruotos teritorinio vystymo strategijos, kurioms suteikta parama</w:t>
            </w:r>
          </w:p>
        </w:tc>
        <w:tc>
          <w:tcPr>
            <w:tcW w:w="502" w:type="pct"/>
            <w:tcBorders>
              <w:top w:val="single" w:sz="4" w:space="0" w:color="auto"/>
              <w:bottom w:val="single" w:sz="4" w:space="0" w:color="auto"/>
            </w:tcBorders>
          </w:tcPr>
          <w:p w14:paraId="2EC5FEEA"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iCs/>
                <w:noProof/>
                <w:sz w:val="16"/>
                <w:szCs w:val="16"/>
              </w:rPr>
              <w:t>Indėlis į strategijas</w:t>
            </w:r>
          </w:p>
        </w:tc>
        <w:tc>
          <w:tcPr>
            <w:tcW w:w="436" w:type="pct"/>
            <w:tcBorders>
              <w:top w:val="single" w:sz="4" w:space="0" w:color="auto"/>
              <w:bottom w:val="single" w:sz="4" w:space="0" w:color="auto"/>
            </w:tcBorders>
          </w:tcPr>
          <w:p w14:paraId="7CD1351D"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0</w:t>
            </w:r>
          </w:p>
        </w:tc>
        <w:tc>
          <w:tcPr>
            <w:tcW w:w="480" w:type="pct"/>
            <w:tcBorders>
              <w:top w:val="single" w:sz="4" w:space="0" w:color="auto"/>
              <w:bottom w:val="single" w:sz="4" w:space="0" w:color="auto"/>
            </w:tcBorders>
          </w:tcPr>
          <w:p w14:paraId="00EF9F23"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1</w:t>
            </w:r>
          </w:p>
        </w:tc>
      </w:tr>
      <w:tr w:rsidR="0011314E" w:rsidRPr="00B44B19" w14:paraId="220A1F74" w14:textId="77777777" w:rsidTr="00245FB1">
        <w:trPr>
          <w:trHeight w:val="340"/>
        </w:trPr>
        <w:tc>
          <w:tcPr>
            <w:tcW w:w="567" w:type="pct"/>
            <w:vMerge/>
          </w:tcPr>
          <w:p w14:paraId="5F487344" w14:textId="77777777" w:rsidR="0011314E" w:rsidRPr="00B44B19" w:rsidRDefault="0011314E" w:rsidP="00245FB1">
            <w:pPr>
              <w:spacing w:after="0" w:line="240" w:lineRule="auto"/>
              <w:jc w:val="both"/>
              <w:textAlignment w:val="baseline"/>
              <w:rPr>
                <w:rFonts w:cs="Times New Roman"/>
                <w:color w:val="000000"/>
                <w:sz w:val="16"/>
                <w:szCs w:val="16"/>
                <w:shd w:val="clear" w:color="auto" w:fill="FFFFFF"/>
              </w:rPr>
            </w:pPr>
          </w:p>
        </w:tc>
        <w:tc>
          <w:tcPr>
            <w:tcW w:w="501" w:type="pct"/>
            <w:vMerge/>
          </w:tcPr>
          <w:p w14:paraId="797AE84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428" w:type="pct"/>
            <w:vMerge/>
          </w:tcPr>
          <w:p w14:paraId="7B2DCDF2"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p>
        </w:tc>
        <w:tc>
          <w:tcPr>
            <w:tcW w:w="505" w:type="pct"/>
            <w:tcBorders>
              <w:top w:val="single" w:sz="4" w:space="0" w:color="auto"/>
              <w:bottom w:val="single" w:sz="4" w:space="0" w:color="auto"/>
            </w:tcBorders>
          </w:tcPr>
          <w:p w14:paraId="2742BB52"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noProof/>
                <w:sz w:val="16"/>
                <w:szCs w:val="16"/>
              </w:rPr>
              <w:t>VVL regionas</w:t>
            </w:r>
          </w:p>
        </w:tc>
        <w:tc>
          <w:tcPr>
            <w:tcW w:w="647" w:type="pct"/>
            <w:tcBorders>
              <w:top w:val="single" w:sz="4" w:space="0" w:color="auto"/>
              <w:bottom w:val="single" w:sz="4" w:space="0" w:color="auto"/>
            </w:tcBorders>
          </w:tcPr>
          <w:p w14:paraId="4618FCC0"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noProof/>
                <w:sz w:val="16"/>
                <w:szCs w:val="16"/>
              </w:rPr>
              <w:t>RCO75</w:t>
            </w:r>
          </w:p>
        </w:tc>
        <w:tc>
          <w:tcPr>
            <w:tcW w:w="934" w:type="pct"/>
            <w:tcBorders>
              <w:top w:val="single" w:sz="4" w:space="0" w:color="auto"/>
              <w:bottom w:val="single" w:sz="4" w:space="0" w:color="auto"/>
            </w:tcBorders>
          </w:tcPr>
          <w:p w14:paraId="47A521EC" w14:textId="77777777" w:rsidR="0011314E" w:rsidRPr="00B44B19" w:rsidRDefault="0011314E" w:rsidP="00245FB1">
            <w:pPr>
              <w:spacing w:after="0" w:line="240" w:lineRule="auto"/>
              <w:textAlignment w:val="baseline"/>
              <w:rPr>
                <w:rFonts w:eastAsia="Times New Roman" w:cs="Times New Roman"/>
                <w:sz w:val="16"/>
                <w:szCs w:val="16"/>
                <w:lang w:eastAsia="lt-LT"/>
              </w:rPr>
            </w:pPr>
            <w:r w:rsidRPr="00B44B19">
              <w:rPr>
                <w:rFonts w:cs="Times New Roman"/>
                <w:bCs/>
                <w:noProof/>
                <w:sz w:val="16"/>
                <w:szCs w:val="16"/>
              </w:rPr>
              <w:t>Integruotos teritorinio vystymo strategijos, kurioms suteikta parama</w:t>
            </w:r>
          </w:p>
        </w:tc>
        <w:tc>
          <w:tcPr>
            <w:tcW w:w="502" w:type="pct"/>
            <w:tcBorders>
              <w:top w:val="single" w:sz="4" w:space="0" w:color="auto"/>
              <w:bottom w:val="single" w:sz="4" w:space="0" w:color="auto"/>
            </w:tcBorders>
          </w:tcPr>
          <w:p w14:paraId="25134236" w14:textId="77777777" w:rsidR="0011314E" w:rsidRPr="00B44B19" w:rsidRDefault="0011314E" w:rsidP="00245FB1">
            <w:pPr>
              <w:spacing w:after="0" w:line="240" w:lineRule="auto"/>
              <w:jc w:val="both"/>
              <w:textAlignment w:val="baseline"/>
              <w:rPr>
                <w:rFonts w:eastAsia="Times New Roman" w:cs="Times New Roman"/>
                <w:sz w:val="16"/>
                <w:szCs w:val="16"/>
                <w:lang w:eastAsia="lt-LT"/>
              </w:rPr>
            </w:pPr>
            <w:r w:rsidRPr="00B44B19">
              <w:rPr>
                <w:rFonts w:cs="Times New Roman"/>
                <w:bCs/>
                <w:iCs/>
                <w:noProof/>
                <w:sz w:val="16"/>
                <w:szCs w:val="16"/>
              </w:rPr>
              <w:t>Indėlis į strategijas</w:t>
            </w:r>
          </w:p>
        </w:tc>
        <w:tc>
          <w:tcPr>
            <w:tcW w:w="436" w:type="pct"/>
            <w:tcBorders>
              <w:top w:val="single" w:sz="4" w:space="0" w:color="auto"/>
              <w:bottom w:val="single" w:sz="4" w:space="0" w:color="auto"/>
            </w:tcBorders>
          </w:tcPr>
          <w:p w14:paraId="6EDFE589"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0</w:t>
            </w:r>
          </w:p>
        </w:tc>
        <w:tc>
          <w:tcPr>
            <w:tcW w:w="480" w:type="pct"/>
            <w:tcBorders>
              <w:top w:val="single" w:sz="4" w:space="0" w:color="auto"/>
              <w:bottom w:val="single" w:sz="4" w:space="0" w:color="auto"/>
            </w:tcBorders>
          </w:tcPr>
          <w:p w14:paraId="1E75A365" w14:textId="77777777" w:rsidR="0011314E" w:rsidRPr="00B44B19" w:rsidRDefault="0011314E" w:rsidP="00245FB1">
            <w:pPr>
              <w:spacing w:after="0" w:line="240" w:lineRule="auto"/>
              <w:jc w:val="center"/>
              <w:textAlignment w:val="baseline"/>
              <w:rPr>
                <w:rFonts w:eastAsia="Times New Roman" w:cs="Times New Roman"/>
                <w:sz w:val="16"/>
                <w:szCs w:val="16"/>
                <w:lang w:eastAsia="lt-LT"/>
              </w:rPr>
            </w:pPr>
            <w:r w:rsidRPr="00B44B19">
              <w:rPr>
                <w:rFonts w:cs="Times New Roman"/>
                <w:noProof/>
                <w:sz w:val="16"/>
                <w:szCs w:val="16"/>
              </w:rPr>
              <w:t>2</w:t>
            </w:r>
          </w:p>
        </w:tc>
      </w:tr>
    </w:tbl>
    <w:p w14:paraId="79655CBC" w14:textId="77777777" w:rsidR="005D02EB" w:rsidRPr="00B44B19" w:rsidRDefault="005D02EB" w:rsidP="005D02EB">
      <w:pPr>
        <w:spacing w:after="0" w:line="240" w:lineRule="auto"/>
        <w:rPr>
          <w:rFonts w:cs="Times New Roman"/>
          <w:b/>
          <w:sz w:val="20"/>
          <w:szCs w:val="24"/>
        </w:rPr>
        <w:sectPr w:rsidR="005D02EB" w:rsidRPr="00B44B19" w:rsidSect="00931C78">
          <w:pgSz w:w="11906" w:h="16838"/>
          <w:pgMar w:top="1276" w:right="567" w:bottom="1134" w:left="1701" w:header="567" w:footer="567" w:gutter="0"/>
          <w:cols w:space="1296"/>
          <w:docGrid w:linePitch="360"/>
        </w:sectPr>
      </w:pPr>
    </w:p>
    <w:p w14:paraId="40A38FF5" w14:textId="77777777" w:rsidR="00245FB1" w:rsidRPr="00B44B19" w:rsidRDefault="00786CD2" w:rsidP="005D02EB">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344"/>
        <w:gridCol w:w="975"/>
        <w:gridCol w:w="1115"/>
        <w:gridCol w:w="1115"/>
        <w:gridCol w:w="975"/>
        <w:gridCol w:w="1115"/>
        <w:gridCol w:w="1100"/>
      </w:tblGrid>
      <w:tr w:rsidR="00245FB1" w:rsidRPr="00B44B19" w14:paraId="4841EF59" w14:textId="77777777" w:rsidTr="00245FB1">
        <w:trPr>
          <w:trHeight w:val="730"/>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D686FD"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0581B6"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4DE8E1"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EBB756"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E52F8A"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5D9E0C"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84EED3"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CB04E6"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87A2ED"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8240DA"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Siek</w:t>
            </w:r>
            <w:r w:rsidR="00F54F89" w:rsidRPr="00B44B19">
              <w:rPr>
                <w:rFonts w:cs="Times New Roman"/>
                <w:b/>
                <w:noProof/>
                <w:sz w:val="16"/>
                <w:szCs w:val="16"/>
              </w:rPr>
              <w:t>tina reikšmė</w:t>
            </w:r>
            <w:r w:rsidRPr="00B44B19">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FED49E"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2FA10B" w14:textId="77777777" w:rsidR="00245FB1" w:rsidRPr="00B44B19" w:rsidRDefault="00245FB1" w:rsidP="00245FB1">
            <w:pPr>
              <w:spacing w:after="0" w:line="240" w:lineRule="auto"/>
              <w:jc w:val="center"/>
              <w:rPr>
                <w:rFonts w:cs="Times New Roman"/>
                <w:b/>
                <w:noProof/>
                <w:sz w:val="16"/>
                <w:szCs w:val="16"/>
              </w:rPr>
            </w:pPr>
            <w:r w:rsidRPr="00B44B19">
              <w:rPr>
                <w:rFonts w:cs="Times New Roman"/>
                <w:b/>
                <w:noProof/>
                <w:sz w:val="16"/>
                <w:szCs w:val="16"/>
              </w:rPr>
              <w:t xml:space="preserve">Pastabos </w:t>
            </w:r>
          </w:p>
        </w:tc>
      </w:tr>
      <w:tr w:rsidR="00EB167A" w:rsidRPr="00B44B19" w14:paraId="22789929" w14:textId="77777777" w:rsidTr="00245FB1">
        <w:trPr>
          <w:trHeight w:val="400"/>
        </w:trPr>
        <w:tc>
          <w:tcPr>
            <w:tcW w:w="364" w:type="pct"/>
            <w:vMerge w:val="restart"/>
            <w:tcBorders>
              <w:top w:val="single" w:sz="12" w:space="0" w:color="auto"/>
            </w:tcBorders>
          </w:tcPr>
          <w:p w14:paraId="248806B2"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Style w:val="normaltextrun"/>
                <w:rFonts w:cs="Times New Roman"/>
                <w:color w:val="000000"/>
                <w:sz w:val="16"/>
                <w:szCs w:val="16"/>
                <w:shd w:val="clear" w:color="auto" w:fill="FFFFFF"/>
              </w:rPr>
              <w:t>4.Socialiai atsakingesnė Lietuva</w:t>
            </w:r>
          </w:p>
        </w:tc>
        <w:tc>
          <w:tcPr>
            <w:tcW w:w="328" w:type="pct"/>
            <w:vMerge w:val="restart"/>
            <w:tcBorders>
              <w:top w:val="single" w:sz="12" w:space="0" w:color="auto"/>
            </w:tcBorders>
          </w:tcPr>
          <w:p w14:paraId="11759A95" w14:textId="77777777" w:rsidR="00EB167A" w:rsidRPr="00B44B19" w:rsidRDefault="00EB167A" w:rsidP="00245FB1">
            <w:pPr>
              <w:spacing w:after="0" w:line="240" w:lineRule="auto"/>
              <w:textAlignment w:val="baseline"/>
              <w:rPr>
                <w:rFonts w:eastAsia="Times New Roman" w:cs="Times New Roman"/>
                <w:sz w:val="16"/>
                <w:szCs w:val="16"/>
                <w:lang w:val="en-US" w:eastAsia="lt-LT"/>
              </w:rPr>
            </w:pPr>
            <w:r w:rsidRPr="00B44B19">
              <w:rPr>
                <w:rFonts w:eastAsia="Times New Roman" w:cs="Times New Roman"/>
                <w:sz w:val="16"/>
                <w:szCs w:val="16"/>
                <w:lang w:val="en-US" w:eastAsia="lt-LT"/>
              </w:rPr>
              <w:t>4.5.</w:t>
            </w:r>
          </w:p>
        </w:tc>
        <w:tc>
          <w:tcPr>
            <w:tcW w:w="281" w:type="pct"/>
            <w:vMerge w:val="restart"/>
            <w:tcBorders>
              <w:top w:val="single" w:sz="12" w:space="0" w:color="auto"/>
            </w:tcBorders>
          </w:tcPr>
          <w:p w14:paraId="67B7F748"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ERPF</w:t>
            </w:r>
          </w:p>
        </w:tc>
        <w:tc>
          <w:tcPr>
            <w:tcW w:w="328" w:type="pct"/>
            <w:tcBorders>
              <w:top w:val="single" w:sz="12" w:space="0" w:color="auto"/>
              <w:bottom w:val="single" w:sz="4" w:space="0" w:color="auto"/>
            </w:tcBorders>
          </w:tcPr>
          <w:p w14:paraId="179664FE"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12" w:space="0" w:color="auto"/>
              <w:bottom w:val="single" w:sz="4" w:space="0" w:color="auto"/>
            </w:tcBorders>
          </w:tcPr>
          <w:p w14:paraId="7FAD23F5"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RCR71</w:t>
            </w:r>
          </w:p>
        </w:tc>
        <w:tc>
          <w:tcPr>
            <w:tcW w:w="1125" w:type="pct"/>
            <w:tcBorders>
              <w:top w:val="single" w:sz="12" w:space="0" w:color="auto"/>
              <w:bottom w:val="single" w:sz="4" w:space="0" w:color="auto"/>
            </w:tcBorders>
          </w:tcPr>
          <w:p w14:paraId="30497D58"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švietimo infrastruktūros naudotojų skaičius per metus</w:t>
            </w:r>
          </w:p>
        </w:tc>
        <w:tc>
          <w:tcPr>
            <w:tcW w:w="328" w:type="pct"/>
            <w:tcBorders>
              <w:top w:val="single" w:sz="12" w:space="0" w:color="auto"/>
              <w:bottom w:val="single" w:sz="4" w:space="0" w:color="auto"/>
            </w:tcBorders>
          </w:tcPr>
          <w:p w14:paraId="0E5A5EE1"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Naudotojai per metus</w:t>
            </w:r>
          </w:p>
        </w:tc>
        <w:tc>
          <w:tcPr>
            <w:tcW w:w="375" w:type="pct"/>
            <w:tcBorders>
              <w:top w:val="single" w:sz="12" w:space="0" w:color="auto"/>
              <w:bottom w:val="single" w:sz="4" w:space="0" w:color="auto"/>
            </w:tcBorders>
          </w:tcPr>
          <w:p w14:paraId="3BF6A346"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12" w:space="0" w:color="auto"/>
              <w:bottom w:val="single" w:sz="4" w:space="0" w:color="auto"/>
            </w:tcBorders>
          </w:tcPr>
          <w:p w14:paraId="7FE27D7B"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12" w:space="0" w:color="auto"/>
              <w:bottom w:val="single" w:sz="4" w:space="0" w:color="auto"/>
            </w:tcBorders>
          </w:tcPr>
          <w:p w14:paraId="2EF4DBB5" w14:textId="14C391EB" w:rsidR="00EB167A" w:rsidRPr="00B44B19" w:rsidRDefault="0060013F"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86 130</w:t>
            </w:r>
          </w:p>
        </w:tc>
        <w:tc>
          <w:tcPr>
            <w:tcW w:w="375" w:type="pct"/>
            <w:tcBorders>
              <w:top w:val="single" w:sz="12" w:space="0" w:color="auto"/>
              <w:bottom w:val="single" w:sz="4" w:space="0" w:color="auto"/>
            </w:tcBorders>
          </w:tcPr>
          <w:p w14:paraId="029D8AB2"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12" w:space="0" w:color="auto"/>
              <w:bottom w:val="single" w:sz="4" w:space="0" w:color="auto"/>
            </w:tcBorders>
          </w:tcPr>
          <w:p w14:paraId="70DE7D44"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3A9ACC18" w14:textId="77777777" w:rsidTr="00245FB1">
        <w:trPr>
          <w:trHeight w:val="542"/>
        </w:trPr>
        <w:tc>
          <w:tcPr>
            <w:tcW w:w="364" w:type="pct"/>
            <w:vMerge/>
          </w:tcPr>
          <w:p w14:paraId="07988341"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0F0016D" w14:textId="77777777" w:rsidR="00EB167A" w:rsidRPr="00B44B1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1273578A"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DF211A9"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7A9C858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RCR71</w:t>
            </w:r>
          </w:p>
        </w:tc>
        <w:tc>
          <w:tcPr>
            <w:tcW w:w="1125" w:type="pct"/>
            <w:tcBorders>
              <w:top w:val="single" w:sz="4" w:space="0" w:color="auto"/>
              <w:bottom w:val="single" w:sz="4" w:space="0" w:color="auto"/>
            </w:tcBorders>
          </w:tcPr>
          <w:p w14:paraId="61BA86E5"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švietimo infrastruktūros naudotojų skaičius per metus</w:t>
            </w:r>
          </w:p>
        </w:tc>
        <w:tc>
          <w:tcPr>
            <w:tcW w:w="328" w:type="pct"/>
            <w:tcBorders>
              <w:top w:val="single" w:sz="4" w:space="0" w:color="auto"/>
              <w:bottom w:val="single" w:sz="4" w:space="0" w:color="auto"/>
            </w:tcBorders>
          </w:tcPr>
          <w:p w14:paraId="4BD5E1B9"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14:paraId="67414A93"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4ED6D779"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23151048" w14:textId="2DC1B179" w:rsidR="00EB167A" w:rsidRPr="00B44B19" w:rsidRDefault="0060013F"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237 750</w:t>
            </w:r>
          </w:p>
        </w:tc>
        <w:tc>
          <w:tcPr>
            <w:tcW w:w="375" w:type="pct"/>
            <w:tcBorders>
              <w:top w:val="single" w:sz="4" w:space="0" w:color="auto"/>
              <w:bottom w:val="single" w:sz="4" w:space="0" w:color="auto"/>
            </w:tcBorders>
          </w:tcPr>
          <w:p w14:paraId="7A1E4D08"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777E128E"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3E0B6509" w14:textId="77777777" w:rsidTr="00245FB1">
        <w:trPr>
          <w:trHeight w:val="542"/>
        </w:trPr>
        <w:tc>
          <w:tcPr>
            <w:tcW w:w="364" w:type="pct"/>
            <w:vMerge/>
          </w:tcPr>
          <w:p w14:paraId="5F948DF5"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6116D6A7" w14:textId="77777777" w:rsidR="00EB167A" w:rsidRPr="00B44B1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4435BF07"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5CEE3AC5"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3A517F7E"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RCR70</w:t>
            </w:r>
          </w:p>
        </w:tc>
        <w:tc>
          <w:tcPr>
            <w:tcW w:w="1125" w:type="pct"/>
            <w:tcBorders>
              <w:top w:val="single" w:sz="4" w:space="0" w:color="auto"/>
              <w:bottom w:val="single" w:sz="4" w:space="0" w:color="auto"/>
            </w:tcBorders>
          </w:tcPr>
          <w:p w14:paraId="6394DC23"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vaikų priežiūros infrastruktūros naudotojų skaičius per metus</w:t>
            </w:r>
          </w:p>
        </w:tc>
        <w:tc>
          <w:tcPr>
            <w:tcW w:w="328" w:type="pct"/>
            <w:tcBorders>
              <w:top w:val="single" w:sz="4" w:space="0" w:color="auto"/>
              <w:bottom w:val="single" w:sz="4" w:space="0" w:color="auto"/>
            </w:tcBorders>
          </w:tcPr>
          <w:p w14:paraId="60CE22F9"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14:paraId="5F2098C0"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0090E5FB"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51D374B2"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1 335</w:t>
            </w:r>
          </w:p>
        </w:tc>
        <w:tc>
          <w:tcPr>
            <w:tcW w:w="375" w:type="pct"/>
            <w:tcBorders>
              <w:top w:val="single" w:sz="4" w:space="0" w:color="auto"/>
              <w:bottom w:val="single" w:sz="4" w:space="0" w:color="auto"/>
            </w:tcBorders>
          </w:tcPr>
          <w:p w14:paraId="3830B871"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0209BF2"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3B30116C" w14:textId="77777777" w:rsidTr="00245FB1">
        <w:trPr>
          <w:trHeight w:val="542"/>
        </w:trPr>
        <w:tc>
          <w:tcPr>
            <w:tcW w:w="364" w:type="pct"/>
            <w:vMerge/>
          </w:tcPr>
          <w:p w14:paraId="562FE71B"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6C1D2AD" w14:textId="77777777" w:rsidR="00EB167A" w:rsidRPr="00B44B1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54BBDE7C"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6531842"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7CD6745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RCR70</w:t>
            </w:r>
          </w:p>
        </w:tc>
        <w:tc>
          <w:tcPr>
            <w:tcW w:w="1125" w:type="pct"/>
            <w:tcBorders>
              <w:top w:val="single" w:sz="4" w:space="0" w:color="auto"/>
              <w:bottom w:val="single" w:sz="4" w:space="0" w:color="auto"/>
            </w:tcBorders>
          </w:tcPr>
          <w:p w14:paraId="4A39272F"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Naujos arba modernizuotos vaikų priežiūros infrastruktūros naudotojų skaičius per metus</w:t>
            </w:r>
          </w:p>
        </w:tc>
        <w:tc>
          <w:tcPr>
            <w:tcW w:w="328" w:type="pct"/>
            <w:tcBorders>
              <w:top w:val="single" w:sz="4" w:space="0" w:color="auto"/>
              <w:bottom w:val="single" w:sz="4" w:space="0" w:color="auto"/>
            </w:tcBorders>
          </w:tcPr>
          <w:p w14:paraId="0DA1155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Naudotojai per metus</w:t>
            </w:r>
          </w:p>
        </w:tc>
        <w:tc>
          <w:tcPr>
            <w:tcW w:w="375" w:type="pct"/>
            <w:tcBorders>
              <w:top w:val="single" w:sz="4" w:space="0" w:color="auto"/>
              <w:bottom w:val="single" w:sz="4" w:space="0" w:color="auto"/>
            </w:tcBorders>
          </w:tcPr>
          <w:p w14:paraId="77BB4C5D"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676D95BA"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7215E9D8"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8 640</w:t>
            </w:r>
          </w:p>
        </w:tc>
        <w:tc>
          <w:tcPr>
            <w:tcW w:w="375" w:type="pct"/>
            <w:tcBorders>
              <w:top w:val="single" w:sz="4" w:space="0" w:color="auto"/>
              <w:bottom w:val="single" w:sz="4" w:space="0" w:color="auto"/>
            </w:tcBorders>
          </w:tcPr>
          <w:p w14:paraId="4DB8E52D"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493CC3CB"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4A1F8A78" w14:textId="77777777" w:rsidTr="00245FB1">
        <w:trPr>
          <w:trHeight w:val="542"/>
        </w:trPr>
        <w:tc>
          <w:tcPr>
            <w:tcW w:w="364" w:type="pct"/>
            <w:vMerge/>
          </w:tcPr>
          <w:p w14:paraId="3E192B6F"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66A41AF0" w14:textId="77777777" w:rsidR="00EB167A" w:rsidRPr="00B44B19" w:rsidRDefault="00EB167A" w:rsidP="00245FB1">
            <w:pPr>
              <w:spacing w:after="0" w:line="240" w:lineRule="auto"/>
              <w:textAlignment w:val="baseline"/>
              <w:rPr>
                <w:rFonts w:eastAsia="Times New Roman" w:cs="Times New Roman"/>
                <w:sz w:val="16"/>
                <w:szCs w:val="16"/>
                <w:lang w:val="en-US" w:eastAsia="lt-LT"/>
              </w:rPr>
            </w:pPr>
          </w:p>
        </w:tc>
        <w:tc>
          <w:tcPr>
            <w:tcW w:w="281" w:type="pct"/>
            <w:vMerge/>
          </w:tcPr>
          <w:p w14:paraId="40AA4C51"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03EA52D"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5E53A2D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4999DBE1"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Mokyklų, kuriose buvo įdiegtos universalaus dizaino ir kitos inžinerinės priemonės, aplinką pritaikant asmenims turintiems negalią, dalis nuo visų mokyklų</w:t>
            </w:r>
          </w:p>
        </w:tc>
        <w:tc>
          <w:tcPr>
            <w:tcW w:w="328" w:type="pct"/>
            <w:tcBorders>
              <w:top w:val="single" w:sz="4" w:space="0" w:color="auto"/>
              <w:bottom w:val="single" w:sz="4" w:space="0" w:color="auto"/>
            </w:tcBorders>
          </w:tcPr>
          <w:p w14:paraId="2E952A2B"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2B7F8EE3"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14,1</w:t>
            </w:r>
          </w:p>
        </w:tc>
        <w:tc>
          <w:tcPr>
            <w:tcW w:w="375" w:type="pct"/>
            <w:tcBorders>
              <w:top w:val="single" w:sz="4" w:space="0" w:color="auto"/>
              <w:bottom w:val="single" w:sz="4" w:space="0" w:color="auto"/>
            </w:tcBorders>
          </w:tcPr>
          <w:p w14:paraId="57995715"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30AE9872"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15,6</w:t>
            </w:r>
          </w:p>
        </w:tc>
        <w:tc>
          <w:tcPr>
            <w:tcW w:w="375" w:type="pct"/>
            <w:tcBorders>
              <w:top w:val="single" w:sz="4" w:space="0" w:color="auto"/>
              <w:bottom w:val="single" w:sz="4" w:space="0" w:color="auto"/>
            </w:tcBorders>
          </w:tcPr>
          <w:p w14:paraId="351B22C2"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6D11420B"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6E7D3275" w14:textId="77777777" w:rsidTr="00245FB1">
        <w:trPr>
          <w:trHeight w:val="542"/>
        </w:trPr>
        <w:tc>
          <w:tcPr>
            <w:tcW w:w="364" w:type="pct"/>
            <w:vMerge/>
          </w:tcPr>
          <w:p w14:paraId="370FFBC8"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7B3AE77E"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1DCFC3B0"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692F49A"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0EBEA498"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42BD1D3B"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Mokyklų, kuriose buvo įdiegtos universalaus dizaino ir kitos inžinerinės priemonės, aplinką pritaikant asmenims turintiems negalią, dalis nuo visų mokyklų</w:t>
            </w:r>
          </w:p>
        </w:tc>
        <w:tc>
          <w:tcPr>
            <w:tcW w:w="328" w:type="pct"/>
            <w:tcBorders>
              <w:top w:val="single" w:sz="4" w:space="0" w:color="auto"/>
              <w:bottom w:val="single" w:sz="4" w:space="0" w:color="auto"/>
            </w:tcBorders>
          </w:tcPr>
          <w:p w14:paraId="6C173B3F"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5248BF6B"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8,6</w:t>
            </w:r>
          </w:p>
        </w:tc>
        <w:tc>
          <w:tcPr>
            <w:tcW w:w="375" w:type="pct"/>
            <w:tcBorders>
              <w:top w:val="single" w:sz="4" w:space="0" w:color="auto"/>
              <w:bottom w:val="single" w:sz="4" w:space="0" w:color="auto"/>
            </w:tcBorders>
          </w:tcPr>
          <w:p w14:paraId="4BE45C7D"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12BD017A" w14:textId="77777777" w:rsidR="00EB167A" w:rsidRPr="00B44B19" w:rsidRDefault="00EB167A" w:rsidP="003E5225">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15,8</w:t>
            </w:r>
          </w:p>
        </w:tc>
        <w:tc>
          <w:tcPr>
            <w:tcW w:w="375" w:type="pct"/>
            <w:tcBorders>
              <w:top w:val="single" w:sz="4" w:space="0" w:color="auto"/>
              <w:bottom w:val="single" w:sz="4" w:space="0" w:color="auto"/>
            </w:tcBorders>
          </w:tcPr>
          <w:p w14:paraId="77EE6588"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FBA05CD"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7AF209C7" w14:textId="77777777" w:rsidTr="00245FB1">
        <w:trPr>
          <w:trHeight w:val="542"/>
        </w:trPr>
        <w:tc>
          <w:tcPr>
            <w:tcW w:w="364" w:type="pct"/>
            <w:vMerge/>
          </w:tcPr>
          <w:p w14:paraId="54059A0E"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75F3E61F"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28D027B4"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548FE25B"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2EEB9F37"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2047D8E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Mokinių besinaudojančių sukurta visos dienos mokyklos infrastruktūra skaičius</w:t>
            </w:r>
          </w:p>
        </w:tc>
        <w:tc>
          <w:tcPr>
            <w:tcW w:w="328" w:type="pct"/>
            <w:tcBorders>
              <w:top w:val="single" w:sz="4" w:space="0" w:color="auto"/>
              <w:bottom w:val="single" w:sz="4" w:space="0" w:color="auto"/>
            </w:tcBorders>
          </w:tcPr>
          <w:p w14:paraId="7F57BF52"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 per metus</w:t>
            </w:r>
          </w:p>
        </w:tc>
        <w:tc>
          <w:tcPr>
            <w:tcW w:w="375" w:type="pct"/>
            <w:tcBorders>
              <w:top w:val="single" w:sz="4" w:space="0" w:color="auto"/>
              <w:bottom w:val="single" w:sz="4" w:space="0" w:color="auto"/>
            </w:tcBorders>
          </w:tcPr>
          <w:p w14:paraId="6453A499"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77DE6C80"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2AF5726C" w14:textId="77777777" w:rsidR="00EB167A" w:rsidRPr="00B44B19" w:rsidRDefault="00EB167A" w:rsidP="003E5225">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640</w:t>
            </w:r>
          </w:p>
        </w:tc>
        <w:tc>
          <w:tcPr>
            <w:tcW w:w="375" w:type="pct"/>
            <w:tcBorders>
              <w:top w:val="single" w:sz="4" w:space="0" w:color="auto"/>
              <w:bottom w:val="single" w:sz="4" w:space="0" w:color="auto"/>
            </w:tcBorders>
          </w:tcPr>
          <w:p w14:paraId="25335FE5"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EF292AF"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1DA04410" w14:textId="77777777" w:rsidTr="00245FB1">
        <w:trPr>
          <w:trHeight w:val="542"/>
        </w:trPr>
        <w:tc>
          <w:tcPr>
            <w:tcW w:w="364" w:type="pct"/>
            <w:vMerge/>
          </w:tcPr>
          <w:p w14:paraId="326E1F10"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45AA87BF"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3A26898C"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73778D8F"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4C7E8EA6"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2E335F21"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Mokinių besinaudojančių sukurta visos dienos mokyklos infrastruktūra skaičius</w:t>
            </w:r>
          </w:p>
        </w:tc>
        <w:tc>
          <w:tcPr>
            <w:tcW w:w="328" w:type="pct"/>
            <w:tcBorders>
              <w:top w:val="single" w:sz="4" w:space="0" w:color="auto"/>
              <w:bottom w:val="single" w:sz="4" w:space="0" w:color="auto"/>
            </w:tcBorders>
          </w:tcPr>
          <w:p w14:paraId="03D55341"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Asmenys per metus</w:t>
            </w:r>
          </w:p>
        </w:tc>
        <w:tc>
          <w:tcPr>
            <w:tcW w:w="375" w:type="pct"/>
            <w:tcBorders>
              <w:top w:val="single" w:sz="4" w:space="0" w:color="auto"/>
              <w:bottom w:val="single" w:sz="4" w:space="0" w:color="auto"/>
            </w:tcBorders>
          </w:tcPr>
          <w:p w14:paraId="29E7850F"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31E85CE1"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3A3FE1B4"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4 040</w:t>
            </w:r>
          </w:p>
        </w:tc>
        <w:tc>
          <w:tcPr>
            <w:tcW w:w="375" w:type="pct"/>
            <w:tcBorders>
              <w:top w:val="single" w:sz="4" w:space="0" w:color="auto"/>
              <w:bottom w:val="single" w:sz="4" w:space="0" w:color="auto"/>
            </w:tcBorders>
          </w:tcPr>
          <w:p w14:paraId="3FC2988C"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7630AC1"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42FC6729" w14:textId="77777777" w:rsidTr="00245FB1">
        <w:trPr>
          <w:trHeight w:val="542"/>
        </w:trPr>
        <w:tc>
          <w:tcPr>
            <w:tcW w:w="364" w:type="pct"/>
            <w:vMerge/>
          </w:tcPr>
          <w:p w14:paraId="285FEB43"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2D12DD4"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2DD7D23E"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BA95F27"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3BB448B7"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0E565D64"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Bendrojo ugdymo mokyklų, turinčių gamtos mokslų laboratorijas, dalis</w:t>
            </w:r>
          </w:p>
        </w:tc>
        <w:tc>
          <w:tcPr>
            <w:tcW w:w="328" w:type="pct"/>
            <w:tcBorders>
              <w:top w:val="single" w:sz="4" w:space="0" w:color="auto"/>
              <w:bottom w:val="single" w:sz="4" w:space="0" w:color="auto"/>
            </w:tcBorders>
          </w:tcPr>
          <w:p w14:paraId="22496EB1"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762839F7"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47,5</w:t>
            </w:r>
          </w:p>
        </w:tc>
        <w:tc>
          <w:tcPr>
            <w:tcW w:w="375" w:type="pct"/>
            <w:tcBorders>
              <w:top w:val="single" w:sz="4" w:space="0" w:color="auto"/>
              <w:bottom w:val="single" w:sz="4" w:space="0" w:color="auto"/>
            </w:tcBorders>
          </w:tcPr>
          <w:p w14:paraId="0044A561"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2020</w:t>
            </w:r>
          </w:p>
        </w:tc>
        <w:tc>
          <w:tcPr>
            <w:tcW w:w="328" w:type="pct"/>
            <w:tcBorders>
              <w:top w:val="single" w:sz="4" w:space="0" w:color="auto"/>
              <w:bottom w:val="single" w:sz="4" w:space="0" w:color="auto"/>
            </w:tcBorders>
          </w:tcPr>
          <w:p w14:paraId="64893C66" w14:textId="09E871DD" w:rsidR="00EB167A" w:rsidRPr="00B44B19" w:rsidRDefault="0060013F"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66</w:t>
            </w:r>
          </w:p>
        </w:tc>
        <w:tc>
          <w:tcPr>
            <w:tcW w:w="375" w:type="pct"/>
            <w:tcBorders>
              <w:top w:val="single" w:sz="4" w:space="0" w:color="auto"/>
              <w:bottom w:val="single" w:sz="4" w:space="0" w:color="auto"/>
            </w:tcBorders>
          </w:tcPr>
          <w:p w14:paraId="7FDEFDCD"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8BBAD84"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4FEE5135" w14:textId="77777777" w:rsidTr="00245FB1">
        <w:trPr>
          <w:trHeight w:val="542"/>
        </w:trPr>
        <w:tc>
          <w:tcPr>
            <w:tcW w:w="364" w:type="pct"/>
            <w:vMerge/>
          </w:tcPr>
          <w:p w14:paraId="680E714D"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0D1D75E9"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3E412471"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41FD0C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33983D74"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727A4D99"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Bendrojo ugdymo mokyklų, turinčių gamtos mokslų laboratorijas, dalis</w:t>
            </w:r>
          </w:p>
        </w:tc>
        <w:tc>
          <w:tcPr>
            <w:tcW w:w="328" w:type="pct"/>
            <w:tcBorders>
              <w:top w:val="single" w:sz="4" w:space="0" w:color="auto"/>
              <w:bottom w:val="single" w:sz="4" w:space="0" w:color="auto"/>
            </w:tcBorders>
          </w:tcPr>
          <w:p w14:paraId="58FFEB34"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6CEF1735"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41,7</w:t>
            </w:r>
          </w:p>
        </w:tc>
        <w:tc>
          <w:tcPr>
            <w:tcW w:w="375" w:type="pct"/>
            <w:tcBorders>
              <w:top w:val="single" w:sz="4" w:space="0" w:color="auto"/>
              <w:bottom w:val="single" w:sz="4" w:space="0" w:color="auto"/>
            </w:tcBorders>
          </w:tcPr>
          <w:p w14:paraId="2B5A4CFB"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2020</w:t>
            </w:r>
          </w:p>
        </w:tc>
        <w:tc>
          <w:tcPr>
            <w:tcW w:w="328" w:type="pct"/>
            <w:tcBorders>
              <w:top w:val="single" w:sz="4" w:space="0" w:color="auto"/>
              <w:bottom w:val="single" w:sz="4" w:space="0" w:color="auto"/>
            </w:tcBorders>
          </w:tcPr>
          <w:p w14:paraId="4248156C" w14:textId="3564E043" w:rsidR="00EB167A" w:rsidRPr="00B44B19" w:rsidRDefault="0060013F"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84</w:t>
            </w:r>
          </w:p>
        </w:tc>
        <w:tc>
          <w:tcPr>
            <w:tcW w:w="375" w:type="pct"/>
            <w:tcBorders>
              <w:top w:val="single" w:sz="4" w:space="0" w:color="auto"/>
              <w:bottom w:val="single" w:sz="4" w:space="0" w:color="auto"/>
            </w:tcBorders>
          </w:tcPr>
          <w:p w14:paraId="626A9AB6"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2EBE2716"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44858FF6" w14:textId="77777777" w:rsidTr="00245FB1">
        <w:trPr>
          <w:trHeight w:val="542"/>
        </w:trPr>
        <w:tc>
          <w:tcPr>
            <w:tcW w:w="364" w:type="pct"/>
            <w:vMerge/>
          </w:tcPr>
          <w:p w14:paraId="04AE2C68"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28EA5691"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4107C8C6"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62AE346F"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501E84BA"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3DD6BDD2"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Studentų, besinaudojančių sukurta/ pritaikyta pedagogų rengimo centrų ar edukologijos doktorantūrai reikalinga infrastruktūra, dalis</w:t>
            </w:r>
          </w:p>
        </w:tc>
        <w:tc>
          <w:tcPr>
            <w:tcW w:w="328" w:type="pct"/>
            <w:tcBorders>
              <w:top w:val="single" w:sz="4" w:space="0" w:color="auto"/>
              <w:bottom w:val="single" w:sz="4" w:space="0" w:color="auto"/>
            </w:tcBorders>
          </w:tcPr>
          <w:p w14:paraId="723CEA7E"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25FCCF5F"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6EAC430E" w14:textId="77777777" w:rsidR="00EB167A" w:rsidRPr="00B44B19" w:rsidRDefault="00EB167A" w:rsidP="003B5729">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61955E3B"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70</w:t>
            </w:r>
          </w:p>
        </w:tc>
        <w:tc>
          <w:tcPr>
            <w:tcW w:w="375" w:type="pct"/>
            <w:tcBorders>
              <w:top w:val="single" w:sz="4" w:space="0" w:color="auto"/>
              <w:bottom w:val="single" w:sz="4" w:space="0" w:color="auto"/>
            </w:tcBorders>
          </w:tcPr>
          <w:p w14:paraId="3A4CD7DF"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1026911"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409ECA88" w14:textId="77777777" w:rsidTr="0021047B">
        <w:trPr>
          <w:trHeight w:val="542"/>
        </w:trPr>
        <w:tc>
          <w:tcPr>
            <w:tcW w:w="364" w:type="pct"/>
            <w:vMerge/>
          </w:tcPr>
          <w:p w14:paraId="52F0A197"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7473F3CC"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1F5CC010"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4440EF78"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bottom w:val="single" w:sz="4" w:space="0" w:color="auto"/>
            </w:tcBorders>
          </w:tcPr>
          <w:p w14:paraId="0A2F9747"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5ECB399C"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Studentų, besinaudojančių sukurta/ pritaikyta pedagogų rengimo centrų ar edukologijos doktorantūrai reikalinga infrastruktūra, dalis</w:t>
            </w:r>
          </w:p>
        </w:tc>
        <w:tc>
          <w:tcPr>
            <w:tcW w:w="328" w:type="pct"/>
            <w:tcBorders>
              <w:top w:val="single" w:sz="4" w:space="0" w:color="auto"/>
              <w:bottom w:val="single" w:sz="4" w:space="0" w:color="auto"/>
            </w:tcBorders>
          </w:tcPr>
          <w:p w14:paraId="356E0611"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procentas</w:t>
            </w:r>
          </w:p>
        </w:tc>
        <w:tc>
          <w:tcPr>
            <w:tcW w:w="375" w:type="pct"/>
            <w:tcBorders>
              <w:top w:val="single" w:sz="4" w:space="0" w:color="auto"/>
              <w:bottom w:val="single" w:sz="4" w:space="0" w:color="auto"/>
            </w:tcBorders>
          </w:tcPr>
          <w:p w14:paraId="58EB7F55"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5D80D2D1"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32248E31"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70</w:t>
            </w:r>
          </w:p>
        </w:tc>
        <w:tc>
          <w:tcPr>
            <w:tcW w:w="375" w:type="pct"/>
            <w:tcBorders>
              <w:top w:val="single" w:sz="4" w:space="0" w:color="auto"/>
              <w:bottom w:val="single" w:sz="4" w:space="0" w:color="auto"/>
            </w:tcBorders>
          </w:tcPr>
          <w:p w14:paraId="3F6FC7B7"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3E4D901F"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5894AC98" w14:textId="77777777" w:rsidTr="0021047B">
        <w:trPr>
          <w:trHeight w:val="542"/>
        </w:trPr>
        <w:tc>
          <w:tcPr>
            <w:tcW w:w="364" w:type="pct"/>
            <w:vMerge/>
          </w:tcPr>
          <w:p w14:paraId="26CC9202"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110A1EF6"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4C527ABD"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bottom w:val="single" w:sz="4" w:space="0" w:color="auto"/>
            </w:tcBorders>
          </w:tcPr>
          <w:p w14:paraId="133B876B"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Sostinės regionas</w:t>
            </w:r>
          </w:p>
        </w:tc>
        <w:tc>
          <w:tcPr>
            <w:tcW w:w="422" w:type="pct"/>
            <w:tcBorders>
              <w:top w:val="single" w:sz="4" w:space="0" w:color="auto"/>
              <w:bottom w:val="single" w:sz="4" w:space="0" w:color="auto"/>
            </w:tcBorders>
          </w:tcPr>
          <w:p w14:paraId="6DC6D6C8"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bottom w:val="single" w:sz="4" w:space="0" w:color="auto"/>
            </w:tcBorders>
          </w:tcPr>
          <w:p w14:paraId="002A985E"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Vaikų, pasinaudojusių pavežėjimo paslaugomis naujai įsigytomis transporto priemonėmis</w:t>
            </w:r>
          </w:p>
        </w:tc>
        <w:tc>
          <w:tcPr>
            <w:tcW w:w="328" w:type="pct"/>
            <w:tcBorders>
              <w:top w:val="single" w:sz="4" w:space="0" w:color="auto"/>
              <w:bottom w:val="single" w:sz="4" w:space="0" w:color="auto"/>
            </w:tcBorders>
          </w:tcPr>
          <w:p w14:paraId="7D23FC3A"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w:t>
            </w:r>
            <w:r w:rsidR="009A7F92" w:rsidRPr="00B44B19">
              <w:rPr>
                <w:rFonts w:eastAsia="Times New Roman" w:cs="Times New Roman"/>
                <w:sz w:val="16"/>
                <w:szCs w:val="16"/>
                <w:lang w:eastAsia="lt-LT"/>
              </w:rPr>
              <w:t>ys</w:t>
            </w:r>
            <w:r w:rsidRPr="00B44B19">
              <w:rPr>
                <w:rFonts w:eastAsia="Times New Roman" w:cs="Times New Roman"/>
                <w:sz w:val="16"/>
                <w:szCs w:val="16"/>
                <w:lang w:eastAsia="lt-LT"/>
              </w:rPr>
              <w:t xml:space="preserve"> per metus</w:t>
            </w:r>
          </w:p>
        </w:tc>
        <w:tc>
          <w:tcPr>
            <w:tcW w:w="375" w:type="pct"/>
            <w:tcBorders>
              <w:top w:val="single" w:sz="4" w:space="0" w:color="auto"/>
              <w:bottom w:val="single" w:sz="4" w:space="0" w:color="auto"/>
            </w:tcBorders>
          </w:tcPr>
          <w:p w14:paraId="6890321C"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bottom w:val="single" w:sz="4" w:space="0" w:color="auto"/>
            </w:tcBorders>
          </w:tcPr>
          <w:p w14:paraId="7EDF39C1"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bottom w:val="single" w:sz="4" w:space="0" w:color="auto"/>
            </w:tcBorders>
          </w:tcPr>
          <w:p w14:paraId="54B79C4B"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855</w:t>
            </w:r>
          </w:p>
        </w:tc>
        <w:tc>
          <w:tcPr>
            <w:tcW w:w="375" w:type="pct"/>
            <w:tcBorders>
              <w:top w:val="single" w:sz="4" w:space="0" w:color="auto"/>
              <w:bottom w:val="single" w:sz="4" w:space="0" w:color="auto"/>
            </w:tcBorders>
          </w:tcPr>
          <w:p w14:paraId="22F3DAC4"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bottom w:val="single" w:sz="4" w:space="0" w:color="auto"/>
            </w:tcBorders>
          </w:tcPr>
          <w:p w14:paraId="001C4BCD" w14:textId="77777777" w:rsidR="00EB167A" w:rsidRPr="00B44B19" w:rsidRDefault="00EB167A" w:rsidP="00245FB1">
            <w:pPr>
              <w:spacing w:after="0" w:line="240" w:lineRule="auto"/>
              <w:jc w:val="both"/>
              <w:rPr>
                <w:rFonts w:cs="Times New Roman"/>
                <w:b/>
                <w:noProof/>
                <w:sz w:val="16"/>
                <w:szCs w:val="16"/>
              </w:rPr>
            </w:pPr>
          </w:p>
        </w:tc>
      </w:tr>
      <w:tr w:rsidR="00EB167A" w:rsidRPr="00B44B19" w14:paraId="0B470159" w14:textId="77777777" w:rsidTr="00245FB1">
        <w:trPr>
          <w:trHeight w:val="542"/>
        </w:trPr>
        <w:tc>
          <w:tcPr>
            <w:tcW w:w="364" w:type="pct"/>
            <w:vMerge/>
          </w:tcPr>
          <w:p w14:paraId="5AAE3B1B" w14:textId="77777777" w:rsidR="00EB167A" w:rsidRPr="00B44B19" w:rsidRDefault="00EB167A" w:rsidP="00245FB1">
            <w:pPr>
              <w:spacing w:after="0" w:line="240" w:lineRule="auto"/>
              <w:textAlignment w:val="baseline"/>
              <w:rPr>
                <w:rFonts w:cs="Times New Roman"/>
                <w:color w:val="000000"/>
                <w:sz w:val="16"/>
                <w:szCs w:val="16"/>
                <w:shd w:val="clear" w:color="auto" w:fill="FFFFFF"/>
              </w:rPr>
            </w:pPr>
          </w:p>
        </w:tc>
        <w:tc>
          <w:tcPr>
            <w:tcW w:w="328" w:type="pct"/>
            <w:vMerge/>
          </w:tcPr>
          <w:p w14:paraId="691E54A5"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281" w:type="pct"/>
            <w:vMerge/>
          </w:tcPr>
          <w:p w14:paraId="4BA235FA" w14:textId="77777777" w:rsidR="00EB167A" w:rsidRPr="00B44B19" w:rsidRDefault="00EB167A" w:rsidP="00245FB1">
            <w:pPr>
              <w:spacing w:after="0" w:line="240" w:lineRule="auto"/>
              <w:textAlignment w:val="baseline"/>
              <w:rPr>
                <w:rFonts w:eastAsia="Times New Roman" w:cs="Times New Roman"/>
                <w:sz w:val="16"/>
                <w:szCs w:val="16"/>
                <w:lang w:eastAsia="lt-LT"/>
              </w:rPr>
            </w:pPr>
          </w:p>
        </w:tc>
        <w:tc>
          <w:tcPr>
            <w:tcW w:w="328" w:type="pct"/>
            <w:tcBorders>
              <w:top w:val="single" w:sz="4" w:space="0" w:color="auto"/>
            </w:tcBorders>
          </w:tcPr>
          <w:p w14:paraId="28FD9136"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VVL regionas</w:t>
            </w:r>
          </w:p>
        </w:tc>
        <w:tc>
          <w:tcPr>
            <w:tcW w:w="422" w:type="pct"/>
            <w:tcBorders>
              <w:top w:val="single" w:sz="4" w:space="0" w:color="auto"/>
            </w:tcBorders>
          </w:tcPr>
          <w:p w14:paraId="22B892D8"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Specialusis</w:t>
            </w:r>
          </w:p>
        </w:tc>
        <w:tc>
          <w:tcPr>
            <w:tcW w:w="1125" w:type="pct"/>
            <w:tcBorders>
              <w:top w:val="single" w:sz="4" w:space="0" w:color="auto"/>
            </w:tcBorders>
          </w:tcPr>
          <w:p w14:paraId="1DE63439"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Vaikų, pasinaudojusių pavežėjimo paslaugomis naujai įsigytomis transporto priemonėmis</w:t>
            </w:r>
          </w:p>
        </w:tc>
        <w:tc>
          <w:tcPr>
            <w:tcW w:w="328" w:type="pct"/>
            <w:tcBorders>
              <w:top w:val="single" w:sz="4" w:space="0" w:color="auto"/>
            </w:tcBorders>
          </w:tcPr>
          <w:p w14:paraId="236E3AB0" w14:textId="77777777" w:rsidR="00EB167A" w:rsidRPr="00B44B19" w:rsidRDefault="00EB167A" w:rsidP="00245FB1">
            <w:pPr>
              <w:spacing w:after="0" w:line="240" w:lineRule="auto"/>
              <w:textAlignment w:val="baseline"/>
              <w:rPr>
                <w:rFonts w:eastAsia="Times New Roman" w:cs="Times New Roman"/>
                <w:sz w:val="16"/>
                <w:szCs w:val="16"/>
                <w:lang w:eastAsia="lt-LT"/>
              </w:rPr>
            </w:pPr>
            <w:r w:rsidRPr="00B44B19">
              <w:rPr>
                <w:rFonts w:eastAsia="Times New Roman" w:cs="Times New Roman"/>
                <w:sz w:val="16"/>
                <w:szCs w:val="16"/>
                <w:lang w:eastAsia="lt-LT"/>
              </w:rPr>
              <w:t>Asmen</w:t>
            </w:r>
            <w:r w:rsidR="009A7F92" w:rsidRPr="00B44B19">
              <w:rPr>
                <w:rFonts w:eastAsia="Times New Roman" w:cs="Times New Roman"/>
                <w:sz w:val="16"/>
                <w:szCs w:val="16"/>
                <w:lang w:eastAsia="lt-LT"/>
              </w:rPr>
              <w:t>ys</w:t>
            </w:r>
            <w:r w:rsidRPr="00B44B19">
              <w:rPr>
                <w:rFonts w:eastAsia="Times New Roman" w:cs="Times New Roman"/>
                <w:sz w:val="16"/>
                <w:szCs w:val="16"/>
                <w:lang w:eastAsia="lt-LT"/>
              </w:rPr>
              <w:t xml:space="preserve"> per metus</w:t>
            </w:r>
          </w:p>
        </w:tc>
        <w:tc>
          <w:tcPr>
            <w:tcW w:w="375" w:type="pct"/>
            <w:tcBorders>
              <w:top w:val="single" w:sz="4" w:space="0" w:color="auto"/>
            </w:tcBorders>
          </w:tcPr>
          <w:p w14:paraId="56CE2C75"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0</w:t>
            </w:r>
          </w:p>
        </w:tc>
        <w:tc>
          <w:tcPr>
            <w:tcW w:w="375" w:type="pct"/>
            <w:tcBorders>
              <w:top w:val="single" w:sz="4" w:space="0" w:color="auto"/>
            </w:tcBorders>
          </w:tcPr>
          <w:p w14:paraId="3E8C5906"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2021</w:t>
            </w:r>
          </w:p>
        </w:tc>
        <w:tc>
          <w:tcPr>
            <w:tcW w:w="328" w:type="pct"/>
            <w:tcBorders>
              <w:top w:val="single" w:sz="4" w:space="0" w:color="auto"/>
            </w:tcBorders>
          </w:tcPr>
          <w:p w14:paraId="294010D3" w14:textId="77777777" w:rsidR="00EB167A" w:rsidRPr="00B44B19" w:rsidRDefault="00EB167A" w:rsidP="00245FB1">
            <w:pPr>
              <w:spacing w:after="0" w:line="240" w:lineRule="auto"/>
              <w:jc w:val="center"/>
              <w:textAlignment w:val="baseline"/>
              <w:rPr>
                <w:rFonts w:eastAsia="Times New Roman" w:cs="Times New Roman"/>
                <w:sz w:val="16"/>
                <w:szCs w:val="16"/>
                <w:lang w:eastAsia="lt-LT"/>
              </w:rPr>
            </w:pPr>
            <w:r w:rsidRPr="00B44B19">
              <w:rPr>
                <w:rFonts w:eastAsia="Times New Roman" w:cs="Times New Roman"/>
                <w:sz w:val="16"/>
                <w:szCs w:val="16"/>
                <w:lang w:eastAsia="lt-LT"/>
              </w:rPr>
              <w:t>3 480</w:t>
            </w:r>
          </w:p>
        </w:tc>
        <w:tc>
          <w:tcPr>
            <w:tcW w:w="375" w:type="pct"/>
            <w:tcBorders>
              <w:top w:val="single" w:sz="4" w:space="0" w:color="auto"/>
            </w:tcBorders>
          </w:tcPr>
          <w:p w14:paraId="19D239BC" w14:textId="77777777" w:rsidR="00EB167A" w:rsidRPr="00B44B19" w:rsidRDefault="00EB167A" w:rsidP="00245FB1">
            <w:pPr>
              <w:spacing w:after="0" w:line="240" w:lineRule="auto"/>
              <w:jc w:val="both"/>
              <w:textAlignment w:val="baseline"/>
              <w:rPr>
                <w:rFonts w:eastAsia="Times New Roman" w:cs="Times New Roman"/>
                <w:sz w:val="16"/>
                <w:szCs w:val="16"/>
                <w:lang w:eastAsia="lt-LT"/>
              </w:rPr>
            </w:pPr>
            <w:r w:rsidRPr="00B44B19">
              <w:rPr>
                <w:rFonts w:eastAsia="Times New Roman" w:cs="Times New Roman"/>
                <w:sz w:val="16"/>
                <w:szCs w:val="16"/>
                <w:lang w:eastAsia="lt-LT"/>
              </w:rPr>
              <w:t>Projektų duomenys</w:t>
            </w:r>
          </w:p>
        </w:tc>
        <w:tc>
          <w:tcPr>
            <w:tcW w:w="370" w:type="pct"/>
            <w:tcBorders>
              <w:top w:val="single" w:sz="4" w:space="0" w:color="auto"/>
            </w:tcBorders>
          </w:tcPr>
          <w:p w14:paraId="30FD94EC" w14:textId="77777777" w:rsidR="00EB167A" w:rsidRPr="00B44B19" w:rsidRDefault="00EB167A" w:rsidP="00245FB1">
            <w:pPr>
              <w:spacing w:after="0" w:line="240" w:lineRule="auto"/>
              <w:jc w:val="both"/>
              <w:rPr>
                <w:rFonts w:cs="Times New Roman"/>
                <w:b/>
                <w:noProof/>
                <w:sz w:val="16"/>
                <w:szCs w:val="16"/>
              </w:rPr>
            </w:pPr>
          </w:p>
        </w:tc>
      </w:tr>
    </w:tbl>
    <w:p w14:paraId="3E0B5E1E" w14:textId="77777777" w:rsidR="005D02EB" w:rsidRPr="00B44B19" w:rsidRDefault="005D02EB" w:rsidP="00786CD2">
      <w:pPr>
        <w:jc w:val="both"/>
        <w:rPr>
          <w:rFonts w:cs="Times New Roman"/>
          <w:b/>
          <w:szCs w:val="24"/>
        </w:rPr>
        <w:sectPr w:rsidR="005D02EB" w:rsidRPr="00B44B19" w:rsidSect="00931C78">
          <w:pgSz w:w="16838" w:h="11906" w:orient="landscape"/>
          <w:pgMar w:top="1701" w:right="1276" w:bottom="567" w:left="1134" w:header="567" w:footer="567" w:gutter="0"/>
          <w:cols w:space="1296"/>
          <w:docGrid w:linePitch="360"/>
        </w:sectPr>
      </w:pPr>
    </w:p>
    <w:p w14:paraId="552673DF" w14:textId="77777777" w:rsidR="00786CD2" w:rsidRPr="00B44B19" w:rsidRDefault="00786CD2"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245FB1" w:rsidRPr="00B44B19" w14:paraId="66C09E1F" w14:textId="77777777" w:rsidTr="00A817C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381D16" w14:textId="77777777" w:rsidR="00245FB1" w:rsidRPr="00B44B19" w:rsidRDefault="00245FB1" w:rsidP="00833871">
            <w:pPr>
              <w:rPr>
                <w:rFonts w:eastAsia="Times New Roman" w:cs="Times New Roman"/>
                <w:b/>
                <w:iCs/>
                <w:noProof/>
                <w:sz w:val="20"/>
              </w:rPr>
            </w:pPr>
            <w:r w:rsidRPr="00B44B19">
              <w:rPr>
                <w:rFonts w:cs="Times New Roman"/>
                <w:b/>
                <w:noProof/>
                <w:sz w:val="20"/>
              </w:rPr>
              <w:t>4 lentelė. 1 matmuo</w:t>
            </w:r>
            <w:r w:rsidR="00833871" w:rsidRPr="00B44B19">
              <w:rPr>
                <w:rFonts w:cs="Times New Roman"/>
                <w:b/>
                <w:noProof/>
                <w:sz w:val="20"/>
              </w:rPr>
              <w:t>:</w:t>
            </w:r>
            <w:r w:rsidRPr="00B44B19">
              <w:rPr>
                <w:rFonts w:cs="Times New Roman"/>
                <w:b/>
                <w:noProof/>
                <w:sz w:val="20"/>
              </w:rPr>
              <w:t xml:space="preserve"> </w:t>
            </w:r>
            <w:r w:rsidR="00833871" w:rsidRPr="00B44B19">
              <w:rPr>
                <w:rFonts w:cs="Times New Roman"/>
                <w:b/>
                <w:noProof/>
                <w:sz w:val="20"/>
              </w:rPr>
              <w:t xml:space="preserve">intervencinių </w:t>
            </w:r>
            <w:r w:rsidRPr="00B44B19">
              <w:rPr>
                <w:rFonts w:cs="Times New Roman"/>
                <w:b/>
                <w:noProof/>
                <w:sz w:val="20"/>
              </w:rPr>
              <w:t>priemonių sritis</w:t>
            </w:r>
          </w:p>
        </w:tc>
      </w:tr>
      <w:tr w:rsidR="00245FB1" w:rsidRPr="00B44B19" w14:paraId="628AA97D"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7EEFE5" w14:textId="77777777" w:rsidR="00245FB1" w:rsidRPr="00B44B19" w:rsidRDefault="00245FB1" w:rsidP="00245FB1">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C5D57E" w14:textId="77777777" w:rsidR="00245FB1" w:rsidRPr="00B44B19" w:rsidRDefault="00245FB1" w:rsidP="00245FB1">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9C308C" w14:textId="77777777" w:rsidR="00245FB1" w:rsidRPr="00B44B19" w:rsidRDefault="00245FB1" w:rsidP="00245FB1">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FF224F" w14:textId="77777777" w:rsidR="00245FB1" w:rsidRPr="00B44B19" w:rsidRDefault="00245FB1" w:rsidP="00245FB1">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D3F40F" w14:textId="77777777" w:rsidR="00245FB1" w:rsidRPr="00B44B19" w:rsidRDefault="00245FB1" w:rsidP="00245FB1">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46C89B" w14:textId="77777777" w:rsidR="00245FB1" w:rsidRPr="00B44B19" w:rsidRDefault="00245FB1" w:rsidP="00245FB1">
            <w:pPr>
              <w:jc w:val="center"/>
              <w:rPr>
                <w:rFonts w:eastAsia="Times New Roman" w:cs="Times New Roman"/>
                <w:b/>
                <w:iCs/>
                <w:noProof/>
                <w:sz w:val="20"/>
              </w:rPr>
            </w:pPr>
            <w:r w:rsidRPr="00B44B19">
              <w:rPr>
                <w:rFonts w:cs="Times New Roman"/>
                <w:b/>
                <w:noProof/>
                <w:sz w:val="20"/>
              </w:rPr>
              <w:t>Suma (EUR)</w:t>
            </w:r>
          </w:p>
        </w:tc>
      </w:tr>
      <w:tr w:rsidR="00C82D2E" w:rsidRPr="00B44B19" w14:paraId="696E74DF" w14:textId="77777777" w:rsidTr="00AF4DED">
        <w:tc>
          <w:tcPr>
            <w:tcW w:w="1101" w:type="dxa"/>
            <w:vMerge w:val="restart"/>
            <w:tcBorders>
              <w:top w:val="single" w:sz="12" w:space="0" w:color="auto"/>
            </w:tcBorders>
          </w:tcPr>
          <w:p w14:paraId="7C950FAD" w14:textId="77777777" w:rsidR="00C82D2E" w:rsidRPr="00B44B19" w:rsidRDefault="00C82D2E" w:rsidP="00245FB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7D8755EE" w14:textId="77777777" w:rsidR="00C82D2E" w:rsidRPr="00B44B19" w:rsidRDefault="00C82D2E" w:rsidP="00245FB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4BF895DA"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1A99B8EB" w14:textId="77777777" w:rsidR="00C82D2E" w:rsidRPr="00B44B19" w:rsidRDefault="00C82D2E" w:rsidP="00245FB1">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4.5</w:t>
            </w:r>
          </w:p>
        </w:tc>
        <w:tc>
          <w:tcPr>
            <w:tcW w:w="3686" w:type="dxa"/>
            <w:vMerge w:val="restart"/>
            <w:tcBorders>
              <w:top w:val="single" w:sz="12" w:space="0" w:color="auto"/>
            </w:tcBorders>
          </w:tcPr>
          <w:p w14:paraId="1657D85B" w14:textId="77777777" w:rsidR="00C82D2E" w:rsidRPr="00B44B19" w:rsidRDefault="00C82D2E" w:rsidP="0060795E">
            <w:pPr>
              <w:textAlignment w:val="baseline"/>
              <w:rPr>
                <w:rFonts w:eastAsia="Times New Roman" w:cs="Times New Roman"/>
                <w:sz w:val="20"/>
                <w:szCs w:val="20"/>
                <w:lang w:eastAsia="lt-LT"/>
              </w:rPr>
            </w:pPr>
            <w:r w:rsidRPr="00B44B19">
              <w:rPr>
                <w:rFonts w:eastAsia="Times New Roman" w:cs="Times New Roman"/>
                <w:sz w:val="20"/>
                <w:szCs w:val="20"/>
                <w:lang w:eastAsia="lt-LT"/>
              </w:rPr>
              <w:t>077 – Oro kokybės užtikrinimo ir triukšmo mažinimo priemonės</w:t>
            </w:r>
          </w:p>
        </w:tc>
        <w:tc>
          <w:tcPr>
            <w:tcW w:w="1417" w:type="dxa"/>
            <w:tcBorders>
              <w:top w:val="single" w:sz="12" w:space="0" w:color="auto"/>
              <w:bottom w:val="single" w:sz="4" w:space="0" w:color="auto"/>
            </w:tcBorders>
          </w:tcPr>
          <w:p w14:paraId="4313CB63" w14:textId="77777777" w:rsidR="00C82D2E" w:rsidRPr="00B44B19" w:rsidRDefault="00C82D2E"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1 000 000,00</w:t>
            </w:r>
          </w:p>
        </w:tc>
      </w:tr>
      <w:tr w:rsidR="00C82D2E" w:rsidRPr="00B44B19" w14:paraId="39268D14" w14:textId="77777777" w:rsidTr="00AF4DED">
        <w:tc>
          <w:tcPr>
            <w:tcW w:w="1101" w:type="dxa"/>
            <w:vMerge/>
          </w:tcPr>
          <w:p w14:paraId="4D867C08"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3B5123C3"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2D5B60C"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4BB5CBC4"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1856FD24" w14:textId="77777777" w:rsidR="00C82D2E" w:rsidRPr="00B44B19"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C3A06DF" w14:textId="77777777" w:rsidR="00C82D2E" w:rsidRPr="00B44B19" w:rsidRDefault="00C82D2E"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6 800 000,00</w:t>
            </w:r>
          </w:p>
        </w:tc>
      </w:tr>
      <w:tr w:rsidR="00C82D2E" w:rsidRPr="00B44B19" w14:paraId="5DF74A60" w14:textId="77777777" w:rsidTr="00AF4DED">
        <w:tc>
          <w:tcPr>
            <w:tcW w:w="1101" w:type="dxa"/>
            <w:vMerge/>
          </w:tcPr>
          <w:p w14:paraId="16FEF99B"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4EBA71C5"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61AB70D3"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09143BD4"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6847DA14" w14:textId="77777777" w:rsidR="00C82D2E" w:rsidRPr="00B44B19" w:rsidRDefault="00C82D2E" w:rsidP="0060795E">
            <w:pPr>
              <w:textAlignment w:val="baseline"/>
              <w:rPr>
                <w:rFonts w:eastAsia="Times New Roman" w:cs="Times New Roman"/>
                <w:sz w:val="20"/>
                <w:szCs w:val="20"/>
                <w:lang w:eastAsia="lt-LT"/>
              </w:rPr>
            </w:pPr>
            <w:r w:rsidRPr="00B44B19">
              <w:rPr>
                <w:rFonts w:eastAsia="Times New Roman" w:cs="Times New Roman"/>
                <w:sz w:val="20"/>
                <w:szCs w:val="20"/>
                <w:lang w:eastAsia="lt-LT"/>
              </w:rPr>
              <w:t>121 – Ikimokyklinio ugdymo ir priežiūros infrastruktūra</w:t>
            </w:r>
          </w:p>
        </w:tc>
        <w:tc>
          <w:tcPr>
            <w:tcW w:w="1417" w:type="dxa"/>
            <w:tcBorders>
              <w:top w:val="single" w:sz="4" w:space="0" w:color="auto"/>
              <w:bottom w:val="single" w:sz="4" w:space="0" w:color="auto"/>
            </w:tcBorders>
          </w:tcPr>
          <w:p w14:paraId="27861599" w14:textId="77777777" w:rsidR="00C82D2E" w:rsidRPr="00B44B19" w:rsidRDefault="00C82D2E"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 xml:space="preserve">2 261 122,00 </w:t>
            </w:r>
          </w:p>
        </w:tc>
      </w:tr>
      <w:tr w:rsidR="00C82D2E" w:rsidRPr="00B44B19" w14:paraId="337407E2" w14:textId="77777777" w:rsidTr="00A817C1">
        <w:tc>
          <w:tcPr>
            <w:tcW w:w="1101" w:type="dxa"/>
            <w:vMerge/>
          </w:tcPr>
          <w:p w14:paraId="72ED1CC3"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0D756785"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6C110466"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63E2A7E7"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095023A9" w14:textId="77777777" w:rsidR="00C82D2E" w:rsidRPr="00B44B19"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6274BC98" w14:textId="77777777" w:rsidR="00C82D2E" w:rsidRPr="00B44B19" w:rsidRDefault="00C82D2E"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 xml:space="preserve">24 661 268,00 </w:t>
            </w:r>
          </w:p>
        </w:tc>
      </w:tr>
      <w:tr w:rsidR="00C82D2E" w:rsidRPr="00B44B19" w14:paraId="3F06131C" w14:textId="77777777" w:rsidTr="00A817C1">
        <w:tc>
          <w:tcPr>
            <w:tcW w:w="1101" w:type="dxa"/>
            <w:vMerge/>
          </w:tcPr>
          <w:p w14:paraId="055F3BD4"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3186D583"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1CB9BD7C"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1CA70F0C"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4FF90066" w14:textId="77777777" w:rsidR="00C82D2E" w:rsidRPr="00B44B19" w:rsidRDefault="00C82D2E" w:rsidP="0060795E">
            <w:pPr>
              <w:textAlignment w:val="baseline"/>
              <w:rPr>
                <w:rFonts w:eastAsia="Times New Roman" w:cs="Times New Roman"/>
                <w:sz w:val="20"/>
                <w:szCs w:val="20"/>
                <w:lang w:eastAsia="lt-LT"/>
              </w:rPr>
            </w:pPr>
            <w:r w:rsidRPr="00B44B19">
              <w:rPr>
                <w:rFonts w:eastAsia="Times New Roman" w:cs="Times New Roman"/>
                <w:sz w:val="20"/>
                <w:szCs w:val="20"/>
                <w:lang w:eastAsia="lt-LT"/>
              </w:rPr>
              <w:t>122 – Pradinio ir pagrindinio ugdymo infrastruktūra</w:t>
            </w:r>
          </w:p>
        </w:tc>
        <w:tc>
          <w:tcPr>
            <w:tcW w:w="1417" w:type="dxa"/>
            <w:tcBorders>
              <w:top w:val="single" w:sz="4" w:space="0" w:color="auto"/>
              <w:bottom w:val="single" w:sz="4" w:space="0" w:color="auto"/>
            </w:tcBorders>
          </w:tcPr>
          <w:p w14:paraId="1E911602" w14:textId="77777777" w:rsidR="00C82D2E" w:rsidRPr="00B44B19" w:rsidRDefault="00C82D2E"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 xml:space="preserve">9 569 299,00 </w:t>
            </w:r>
          </w:p>
        </w:tc>
      </w:tr>
      <w:tr w:rsidR="00C82D2E" w:rsidRPr="00B44B19" w14:paraId="1AF8692A" w14:textId="77777777" w:rsidTr="00A817C1">
        <w:tc>
          <w:tcPr>
            <w:tcW w:w="1101" w:type="dxa"/>
            <w:vMerge/>
          </w:tcPr>
          <w:p w14:paraId="6717DE7A"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19BEEF33"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4CEB3B30"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774A7B19"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7F61660A" w14:textId="77777777" w:rsidR="00C82D2E" w:rsidRPr="00B44B19"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694867E" w14:textId="77777777" w:rsidR="00C82D2E" w:rsidRPr="00B44B19" w:rsidRDefault="00C82D2E" w:rsidP="00245FB1">
            <w:pPr>
              <w:jc w:val="right"/>
              <w:textAlignment w:val="baseline"/>
              <w:rPr>
                <w:rFonts w:eastAsia="Times New Roman" w:cs="Times New Roman"/>
                <w:sz w:val="20"/>
                <w:szCs w:val="20"/>
                <w:lang w:val="en-US" w:eastAsia="lt-LT"/>
              </w:rPr>
            </w:pPr>
            <w:r w:rsidRPr="00B44B19">
              <w:rPr>
                <w:rFonts w:eastAsia="Times New Roman" w:cs="Times New Roman"/>
                <w:sz w:val="20"/>
                <w:szCs w:val="20"/>
                <w:lang w:val="en-US" w:eastAsia="lt-LT"/>
              </w:rPr>
              <w:t xml:space="preserve">73 550 366,00 </w:t>
            </w:r>
          </w:p>
        </w:tc>
      </w:tr>
      <w:tr w:rsidR="00C82D2E" w:rsidRPr="00B44B19" w14:paraId="6A0A3CBE" w14:textId="77777777" w:rsidTr="00A817C1">
        <w:tc>
          <w:tcPr>
            <w:tcW w:w="1101" w:type="dxa"/>
            <w:vMerge/>
          </w:tcPr>
          <w:p w14:paraId="46E73E7C"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3054E6CD"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44271273"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29FBA6A9"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363575EA" w14:textId="77777777" w:rsidR="00C82D2E" w:rsidRPr="00B44B19" w:rsidRDefault="00C82D2E" w:rsidP="0060795E">
            <w:pPr>
              <w:textAlignment w:val="baseline"/>
              <w:rPr>
                <w:rFonts w:eastAsia="Times New Roman" w:cs="Times New Roman"/>
                <w:sz w:val="20"/>
                <w:szCs w:val="20"/>
                <w:lang w:eastAsia="lt-LT"/>
              </w:rPr>
            </w:pPr>
            <w:r w:rsidRPr="00B44B19">
              <w:rPr>
                <w:rFonts w:eastAsia="Times New Roman" w:cs="Times New Roman"/>
                <w:sz w:val="20"/>
                <w:szCs w:val="20"/>
                <w:lang w:eastAsia="lt-LT"/>
              </w:rPr>
              <w:t>123 – Tretinio mokslo infrastruktūra</w:t>
            </w:r>
          </w:p>
        </w:tc>
        <w:tc>
          <w:tcPr>
            <w:tcW w:w="1417" w:type="dxa"/>
            <w:tcBorders>
              <w:top w:val="single" w:sz="4" w:space="0" w:color="auto"/>
              <w:bottom w:val="single" w:sz="4" w:space="0" w:color="auto"/>
            </w:tcBorders>
          </w:tcPr>
          <w:p w14:paraId="3BF967A7" w14:textId="77777777" w:rsidR="00C82D2E" w:rsidRPr="00B44B19" w:rsidRDefault="00C82D2E" w:rsidP="00245FB1">
            <w:pPr>
              <w:jc w:val="right"/>
              <w:rPr>
                <w:rFonts w:eastAsia="Times New Roman" w:cs="Times New Roman"/>
                <w:sz w:val="20"/>
                <w:szCs w:val="20"/>
                <w:lang w:eastAsia="lt-LT"/>
              </w:rPr>
            </w:pPr>
            <w:r w:rsidRPr="00B44B19">
              <w:rPr>
                <w:rFonts w:eastAsia="Times New Roman" w:cs="Times New Roman"/>
                <w:sz w:val="20"/>
                <w:szCs w:val="20"/>
                <w:lang w:eastAsia="lt-LT"/>
              </w:rPr>
              <w:t>4 203 882,00</w:t>
            </w:r>
          </w:p>
        </w:tc>
      </w:tr>
      <w:tr w:rsidR="00C82D2E" w:rsidRPr="00B44B19" w14:paraId="0A056B39" w14:textId="77777777" w:rsidTr="00A817C1">
        <w:tc>
          <w:tcPr>
            <w:tcW w:w="1101" w:type="dxa"/>
            <w:vMerge/>
          </w:tcPr>
          <w:p w14:paraId="25C94561"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3577537C"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DCA8D32"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1E978624"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3601D7CA" w14:textId="77777777" w:rsidR="00C82D2E" w:rsidRPr="00B44B19" w:rsidRDefault="00C82D2E" w:rsidP="0060795E">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7FC02982" w14:textId="77777777" w:rsidR="00C82D2E" w:rsidRPr="00B44B19" w:rsidRDefault="00C82D2E" w:rsidP="00245FB1">
            <w:pPr>
              <w:jc w:val="right"/>
              <w:rPr>
                <w:rFonts w:eastAsia="Times New Roman" w:cs="Times New Roman"/>
                <w:sz w:val="20"/>
                <w:szCs w:val="20"/>
                <w:lang w:eastAsia="lt-LT"/>
              </w:rPr>
            </w:pPr>
            <w:r w:rsidRPr="00B44B19">
              <w:rPr>
                <w:rFonts w:eastAsia="Times New Roman" w:cs="Times New Roman"/>
                <w:sz w:val="20"/>
                <w:szCs w:val="20"/>
                <w:lang w:eastAsia="lt-LT"/>
              </w:rPr>
              <w:t>5 622 210,00</w:t>
            </w:r>
          </w:p>
        </w:tc>
      </w:tr>
      <w:tr w:rsidR="00C82D2E" w:rsidRPr="00B44B19" w14:paraId="5E090D82" w14:textId="77777777" w:rsidTr="00A817C1">
        <w:tc>
          <w:tcPr>
            <w:tcW w:w="1101" w:type="dxa"/>
            <w:vMerge/>
          </w:tcPr>
          <w:p w14:paraId="0CEF1B17" w14:textId="77777777" w:rsidR="00C82D2E" w:rsidRPr="00B44B19" w:rsidRDefault="00C82D2E" w:rsidP="00245FB1">
            <w:pPr>
              <w:jc w:val="center"/>
              <w:textAlignment w:val="baseline"/>
              <w:rPr>
                <w:rFonts w:eastAsia="Times New Roman" w:cs="Times New Roman"/>
                <w:sz w:val="20"/>
                <w:szCs w:val="20"/>
                <w:lang w:eastAsia="lt-LT"/>
              </w:rPr>
            </w:pPr>
          </w:p>
        </w:tc>
        <w:tc>
          <w:tcPr>
            <w:tcW w:w="850" w:type="dxa"/>
            <w:vMerge/>
          </w:tcPr>
          <w:p w14:paraId="4BEEE95E" w14:textId="77777777" w:rsidR="00C82D2E" w:rsidRPr="00B44B19" w:rsidRDefault="00C82D2E" w:rsidP="00245FB1">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277B94D7" w14:textId="77777777" w:rsidR="00C82D2E" w:rsidRPr="00B44B19" w:rsidRDefault="00C82D2E" w:rsidP="00245FB1">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4B09BFD7" w14:textId="77777777" w:rsidR="00C82D2E" w:rsidRPr="00B44B19" w:rsidRDefault="00C82D2E" w:rsidP="00245FB1">
            <w:pPr>
              <w:jc w:val="center"/>
              <w:textAlignment w:val="baseline"/>
              <w:rPr>
                <w:rFonts w:eastAsia="Times New Roman" w:cs="Times New Roman"/>
                <w:sz w:val="20"/>
                <w:szCs w:val="20"/>
                <w:lang w:eastAsia="lt-LT"/>
              </w:rPr>
            </w:pPr>
          </w:p>
        </w:tc>
        <w:tc>
          <w:tcPr>
            <w:tcW w:w="3686" w:type="dxa"/>
            <w:tcBorders>
              <w:top w:val="single" w:sz="4" w:space="0" w:color="auto"/>
              <w:bottom w:val="single" w:sz="4" w:space="0" w:color="auto"/>
            </w:tcBorders>
          </w:tcPr>
          <w:p w14:paraId="50117CBD" w14:textId="77777777" w:rsidR="00C82D2E" w:rsidRPr="00B44B19" w:rsidRDefault="00C82D2E" w:rsidP="00524DD8">
            <w:pPr>
              <w:textAlignment w:val="baseline"/>
              <w:rPr>
                <w:rFonts w:eastAsia="Times New Roman" w:cs="Times New Roman"/>
                <w:sz w:val="20"/>
                <w:szCs w:val="20"/>
                <w:lang w:eastAsia="lt-LT"/>
              </w:rPr>
            </w:pPr>
            <w:r w:rsidRPr="00B44B19">
              <w:rPr>
                <w:rFonts w:eastAsia="Times New Roman" w:cs="Times New Roman"/>
                <w:sz w:val="20"/>
                <w:szCs w:val="20"/>
                <w:lang w:eastAsia="lt-LT"/>
              </w:rPr>
              <w:t>124 – Profesinio rengimo ir mokymo ir suaugusiųjų švietimo infrastruktūra</w:t>
            </w:r>
          </w:p>
        </w:tc>
        <w:tc>
          <w:tcPr>
            <w:tcW w:w="1417" w:type="dxa"/>
            <w:tcBorders>
              <w:top w:val="single" w:sz="4" w:space="0" w:color="auto"/>
              <w:bottom w:val="single" w:sz="4" w:space="0" w:color="auto"/>
            </w:tcBorders>
          </w:tcPr>
          <w:p w14:paraId="49EB2C23" w14:textId="77777777" w:rsidR="00C82D2E" w:rsidRPr="00B44B19" w:rsidRDefault="00C82D2E" w:rsidP="00245FB1">
            <w:pPr>
              <w:jc w:val="right"/>
              <w:rPr>
                <w:rFonts w:eastAsia="Times New Roman" w:cs="Times New Roman"/>
                <w:sz w:val="20"/>
                <w:szCs w:val="20"/>
                <w:lang w:eastAsia="lt-LT"/>
              </w:rPr>
            </w:pPr>
            <w:r w:rsidRPr="00B44B19">
              <w:rPr>
                <w:rFonts w:eastAsia="Times New Roman" w:cs="Times New Roman"/>
                <w:sz w:val="20"/>
                <w:szCs w:val="20"/>
                <w:lang w:eastAsia="lt-LT"/>
              </w:rPr>
              <w:t>33 032 823,00</w:t>
            </w:r>
          </w:p>
        </w:tc>
      </w:tr>
    </w:tbl>
    <w:p w14:paraId="1C58296B" w14:textId="77777777" w:rsidR="00245FB1" w:rsidRPr="00B44B19" w:rsidRDefault="00245FB1" w:rsidP="00796586">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37"/>
        <w:gridCol w:w="1466"/>
      </w:tblGrid>
      <w:tr w:rsidR="0066383D" w:rsidRPr="00B44B19" w14:paraId="276E1F51"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D39A4A4" w14:textId="77777777" w:rsidR="0066383D" w:rsidRPr="00B44B19" w:rsidRDefault="0066383D" w:rsidP="00897CCA">
            <w:pPr>
              <w:rPr>
                <w:rFonts w:eastAsia="Times New Roman" w:cs="Times New Roman"/>
                <w:b/>
                <w:iCs/>
                <w:noProof/>
                <w:sz w:val="20"/>
              </w:rPr>
            </w:pPr>
            <w:r w:rsidRPr="00B44B19">
              <w:rPr>
                <w:rFonts w:cs="Times New Roman"/>
                <w:b/>
                <w:noProof/>
                <w:sz w:val="20"/>
              </w:rPr>
              <w:t>5 lentelė. 2 matmuo</w:t>
            </w:r>
            <w:r w:rsidR="00833871" w:rsidRPr="00B44B19">
              <w:rPr>
                <w:rFonts w:cs="Times New Roman"/>
                <w:b/>
                <w:noProof/>
                <w:sz w:val="20"/>
              </w:rPr>
              <w:t>:</w:t>
            </w:r>
            <w:r w:rsidRPr="00B44B19">
              <w:rPr>
                <w:rFonts w:cs="Times New Roman"/>
                <w:b/>
                <w:noProof/>
                <w:sz w:val="20"/>
              </w:rPr>
              <w:t xml:space="preserve"> </w:t>
            </w:r>
            <w:r w:rsidR="00833871" w:rsidRPr="00B44B19">
              <w:rPr>
                <w:rFonts w:cs="Times New Roman"/>
                <w:b/>
                <w:noProof/>
                <w:sz w:val="20"/>
              </w:rPr>
              <w:t>f</w:t>
            </w:r>
            <w:r w:rsidR="00897CCA" w:rsidRPr="00B44B19">
              <w:rPr>
                <w:rFonts w:cs="Times New Roman"/>
                <w:b/>
                <w:noProof/>
                <w:sz w:val="20"/>
              </w:rPr>
              <w:t>inansavimo</w:t>
            </w:r>
            <w:r w:rsidR="00F67248" w:rsidRPr="00B44B19">
              <w:rPr>
                <w:rFonts w:cs="Times New Roman"/>
                <w:b/>
                <w:noProof/>
                <w:sz w:val="20"/>
              </w:rPr>
              <w:t xml:space="preserve"> </w:t>
            </w:r>
            <w:r w:rsidRPr="00B44B19">
              <w:rPr>
                <w:rFonts w:cs="Times New Roman"/>
                <w:b/>
                <w:noProof/>
                <w:sz w:val="20"/>
              </w:rPr>
              <w:t>forma</w:t>
            </w:r>
          </w:p>
        </w:tc>
      </w:tr>
      <w:tr w:rsidR="0066383D" w:rsidRPr="00B44B19" w14:paraId="547E54CF"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4241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D97301"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1DAF6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DDD0B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9BCF7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731F23"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245FB1" w:rsidRPr="00B44B19" w14:paraId="680BB6F9" w14:textId="77777777" w:rsidTr="00A817C1">
        <w:tc>
          <w:tcPr>
            <w:tcW w:w="1101" w:type="dxa"/>
            <w:vMerge w:val="restart"/>
            <w:tcBorders>
              <w:top w:val="single" w:sz="12" w:space="0" w:color="auto"/>
            </w:tcBorders>
          </w:tcPr>
          <w:p w14:paraId="0D8873E7" w14:textId="77777777" w:rsidR="00245FB1" w:rsidRPr="00B44B19" w:rsidRDefault="00245FB1" w:rsidP="00192F79">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46D30B35" w14:textId="77777777" w:rsidR="00245FB1" w:rsidRPr="00B44B19" w:rsidRDefault="00245FB1" w:rsidP="00192F79">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2961C320" w14:textId="77777777" w:rsidR="00245FB1" w:rsidRPr="00B44B19" w:rsidRDefault="00245FB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2687786B" w14:textId="77777777" w:rsidR="00245FB1" w:rsidRPr="00B44B19" w:rsidRDefault="00245FB1" w:rsidP="00192F79">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4.5</w:t>
            </w:r>
          </w:p>
        </w:tc>
        <w:tc>
          <w:tcPr>
            <w:tcW w:w="3637" w:type="dxa"/>
            <w:vMerge w:val="restart"/>
            <w:tcBorders>
              <w:top w:val="single" w:sz="12" w:space="0" w:color="auto"/>
            </w:tcBorders>
          </w:tcPr>
          <w:p w14:paraId="362379E3" w14:textId="77777777" w:rsidR="00245FB1" w:rsidRPr="00B44B19" w:rsidRDefault="00245FB1" w:rsidP="00A9186D">
            <w:pPr>
              <w:textAlignment w:val="baseline"/>
              <w:rPr>
                <w:rFonts w:eastAsia="Times New Roman" w:cs="Times New Roman"/>
                <w:sz w:val="20"/>
                <w:szCs w:val="20"/>
                <w:lang w:eastAsia="lt-LT"/>
              </w:rPr>
            </w:pPr>
            <w:r w:rsidRPr="00B44B19">
              <w:rPr>
                <w:rFonts w:eastAsia="Times New Roman" w:cs="Times New Roman"/>
                <w:sz w:val="20"/>
                <w:szCs w:val="20"/>
                <w:lang w:eastAsia="lt-LT"/>
              </w:rPr>
              <w:t>01</w:t>
            </w:r>
            <w:r w:rsidR="00A9186D" w:rsidRPr="00B44B19">
              <w:rPr>
                <w:rFonts w:eastAsia="Times New Roman" w:cs="Times New Roman"/>
                <w:sz w:val="20"/>
                <w:szCs w:val="20"/>
                <w:lang w:eastAsia="lt-LT"/>
              </w:rPr>
              <w:t xml:space="preserve"> </w:t>
            </w:r>
            <w:r w:rsidR="00C728A3" w:rsidRPr="00B44B19">
              <w:rPr>
                <w:rFonts w:eastAsia="Times New Roman" w:cs="Times New Roman"/>
                <w:sz w:val="20"/>
                <w:szCs w:val="20"/>
                <w:lang w:eastAsia="lt-LT"/>
              </w:rPr>
              <w:t>–</w:t>
            </w:r>
            <w:r w:rsidR="00A9186D" w:rsidRPr="00B44B19">
              <w:rPr>
                <w:rFonts w:eastAsia="Times New Roman" w:cs="Times New Roman"/>
                <w:sz w:val="20"/>
                <w:szCs w:val="20"/>
                <w:lang w:eastAsia="lt-LT"/>
              </w:rPr>
              <w:t xml:space="preserve"> Dotacija</w:t>
            </w:r>
          </w:p>
        </w:tc>
        <w:tc>
          <w:tcPr>
            <w:tcW w:w="1466" w:type="dxa"/>
            <w:tcBorders>
              <w:top w:val="single" w:sz="12" w:space="0" w:color="auto"/>
              <w:bottom w:val="single" w:sz="4" w:space="0" w:color="auto"/>
            </w:tcBorders>
          </w:tcPr>
          <w:p w14:paraId="0A07CB37"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17 034 303,00</w:t>
            </w:r>
          </w:p>
        </w:tc>
      </w:tr>
      <w:tr w:rsidR="00245FB1" w:rsidRPr="00B44B19" w14:paraId="782D864F" w14:textId="77777777" w:rsidTr="00A817C1">
        <w:tc>
          <w:tcPr>
            <w:tcW w:w="1101" w:type="dxa"/>
            <w:vMerge/>
          </w:tcPr>
          <w:p w14:paraId="24775EED" w14:textId="77777777" w:rsidR="00245FB1" w:rsidRPr="00B44B19" w:rsidRDefault="00245FB1" w:rsidP="00192F79">
            <w:pPr>
              <w:jc w:val="center"/>
              <w:textAlignment w:val="baseline"/>
              <w:rPr>
                <w:rFonts w:eastAsia="Times New Roman" w:cs="Times New Roman"/>
                <w:sz w:val="20"/>
                <w:szCs w:val="20"/>
                <w:lang w:eastAsia="lt-LT"/>
              </w:rPr>
            </w:pPr>
          </w:p>
        </w:tc>
        <w:tc>
          <w:tcPr>
            <w:tcW w:w="850" w:type="dxa"/>
            <w:vMerge/>
          </w:tcPr>
          <w:p w14:paraId="1281763A" w14:textId="77777777" w:rsidR="00245FB1" w:rsidRPr="00B44B19" w:rsidRDefault="00245FB1" w:rsidP="00192F79">
            <w:pPr>
              <w:jc w:val="center"/>
              <w:textAlignment w:val="baseline"/>
              <w:rPr>
                <w:rFonts w:eastAsia="Times New Roman" w:cs="Times New Roman"/>
                <w:sz w:val="20"/>
                <w:szCs w:val="20"/>
                <w:lang w:eastAsia="lt-LT"/>
              </w:rPr>
            </w:pPr>
          </w:p>
        </w:tc>
        <w:tc>
          <w:tcPr>
            <w:tcW w:w="1701" w:type="dxa"/>
            <w:tcBorders>
              <w:top w:val="single" w:sz="4" w:space="0" w:color="auto"/>
            </w:tcBorders>
          </w:tcPr>
          <w:p w14:paraId="0BA15788" w14:textId="77777777" w:rsidR="00245FB1" w:rsidRPr="00B44B19" w:rsidRDefault="00245FB1" w:rsidP="00AF4D6B">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47A7A252" w14:textId="77777777" w:rsidR="00245FB1" w:rsidRPr="00B44B19" w:rsidRDefault="00245FB1" w:rsidP="00192F79">
            <w:pPr>
              <w:jc w:val="center"/>
              <w:textAlignment w:val="baseline"/>
              <w:rPr>
                <w:rFonts w:eastAsia="Times New Roman" w:cs="Times New Roman"/>
                <w:sz w:val="20"/>
                <w:szCs w:val="20"/>
                <w:lang w:eastAsia="lt-LT"/>
              </w:rPr>
            </w:pPr>
          </w:p>
        </w:tc>
        <w:tc>
          <w:tcPr>
            <w:tcW w:w="3637" w:type="dxa"/>
            <w:vMerge/>
          </w:tcPr>
          <w:p w14:paraId="050AFA2F" w14:textId="77777777" w:rsidR="00245FB1" w:rsidRPr="00B44B19" w:rsidRDefault="00245FB1" w:rsidP="00AF4D6B">
            <w:pPr>
              <w:jc w:val="center"/>
              <w:textAlignment w:val="baseline"/>
              <w:rPr>
                <w:rFonts w:eastAsia="Times New Roman" w:cs="Times New Roman"/>
                <w:sz w:val="20"/>
                <w:szCs w:val="20"/>
                <w:lang w:eastAsia="lt-LT"/>
              </w:rPr>
            </w:pPr>
          </w:p>
        </w:tc>
        <w:tc>
          <w:tcPr>
            <w:tcW w:w="1466" w:type="dxa"/>
            <w:tcBorders>
              <w:top w:val="single" w:sz="4" w:space="0" w:color="auto"/>
            </w:tcBorders>
          </w:tcPr>
          <w:p w14:paraId="112CA11D" w14:textId="77777777" w:rsidR="00245FB1" w:rsidRPr="00B44B19" w:rsidRDefault="00245FB1"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143 666 667,00</w:t>
            </w:r>
          </w:p>
        </w:tc>
      </w:tr>
    </w:tbl>
    <w:p w14:paraId="05868E6C" w14:textId="77777777" w:rsidR="0066383D" w:rsidRPr="00B44B19" w:rsidRDefault="0066383D" w:rsidP="00796586">
      <w:pPr>
        <w:spacing w:after="0" w:line="240" w:lineRule="auto"/>
        <w:rPr>
          <w:rFonts w:eastAsia="Times New Roman" w:cs="Times New Roman"/>
          <w:iCs/>
          <w:noProof/>
          <w:sz w:val="20"/>
          <w:szCs w:val="20"/>
        </w:rPr>
      </w:pPr>
    </w:p>
    <w:tbl>
      <w:tblPr>
        <w:tblStyle w:val="Lentelstinklelis"/>
        <w:tblW w:w="9889" w:type="dxa"/>
        <w:tblLayout w:type="fixed"/>
        <w:tblLook w:val="04A0" w:firstRow="1" w:lastRow="0" w:firstColumn="1" w:lastColumn="0" w:noHBand="0" w:noVBand="1"/>
      </w:tblPr>
      <w:tblGrid>
        <w:gridCol w:w="1101"/>
        <w:gridCol w:w="850"/>
        <w:gridCol w:w="1701"/>
        <w:gridCol w:w="1134"/>
        <w:gridCol w:w="3637"/>
        <w:gridCol w:w="1466"/>
      </w:tblGrid>
      <w:tr w:rsidR="0066383D" w:rsidRPr="00B44B19" w14:paraId="5CDEB919" w14:textId="77777777" w:rsidTr="00A817C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127351" w14:textId="77777777" w:rsidR="0066383D" w:rsidRPr="00B44B19" w:rsidRDefault="0066383D" w:rsidP="0066383D">
            <w:pPr>
              <w:rPr>
                <w:rFonts w:eastAsia="Times New Roman" w:cs="Times New Roman"/>
                <w:b/>
                <w:iCs/>
                <w:noProof/>
                <w:sz w:val="20"/>
              </w:rPr>
            </w:pPr>
            <w:r w:rsidRPr="00B44B19">
              <w:rPr>
                <w:rFonts w:cs="Times New Roman"/>
                <w:b/>
                <w:noProof/>
                <w:sz w:val="20"/>
              </w:rPr>
              <w:t>6 lentelė. 3 matmuo</w:t>
            </w:r>
            <w:r w:rsidR="00833871" w:rsidRPr="00B44B19">
              <w:rPr>
                <w:rFonts w:cs="Times New Roman"/>
                <w:b/>
                <w:noProof/>
                <w:sz w:val="20"/>
              </w:rPr>
              <w:t>:</w:t>
            </w:r>
            <w:r w:rsidRPr="00B44B19">
              <w:rPr>
                <w:rFonts w:cs="Times New Roman"/>
                <w:b/>
                <w:noProof/>
                <w:sz w:val="20"/>
              </w:rPr>
              <w:t xml:space="preserve"> </w:t>
            </w:r>
            <w:r w:rsidR="00833871" w:rsidRPr="00B44B19">
              <w:rPr>
                <w:rFonts w:cs="Times New Roman"/>
                <w:b/>
                <w:noProof/>
                <w:sz w:val="20"/>
              </w:rPr>
              <w:t>t</w:t>
            </w:r>
            <w:r w:rsidR="00F67248" w:rsidRPr="00B44B19">
              <w:rPr>
                <w:rFonts w:cs="Times New Roman"/>
                <w:b/>
                <w:noProof/>
                <w:sz w:val="20"/>
              </w:rPr>
              <w:t>eritorinis įgyvendinimo mechanizmas ir pagrindinė teritorinė sritis</w:t>
            </w:r>
          </w:p>
        </w:tc>
      </w:tr>
      <w:tr w:rsidR="0066383D" w:rsidRPr="00B44B19" w14:paraId="0CA79D72"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6FE9A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63388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7D82B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0C8C3C"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6CA6E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4B9BD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3E16A9" w:rsidRPr="00B44B19" w14:paraId="79260A71" w14:textId="77777777" w:rsidTr="00A817C1">
        <w:tc>
          <w:tcPr>
            <w:tcW w:w="1101" w:type="dxa"/>
            <w:vMerge w:val="restart"/>
            <w:tcBorders>
              <w:top w:val="single" w:sz="12" w:space="0" w:color="auto"/>
            </w:tcBorders>
          </w:tcPr>
          <w:p w14:paraId="154FD351" w14:textId="77777777" w:rsidR="003E16A9" w:rsidRPr="00B44B19" w:rsidRDefault="003E16A9"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326A870B" w14:textId="77777777" w:rsidR="003E16A9" w:rsidRPr="00B44B19" w:rsidRDefault="003E16A9"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3BCB88D0" w14:textId="77777777" w:rsidR="003E16A9" w:rsidRPr="00B44B19" w:rsidRDefault="003E16A9"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0A4C68E9" w14:textId="77777777" w:rsidR="003E16A9" w:rsidRPr="00B44B19" w:rsidRDefault="003E16A9" w:rsidP="00EB6093">
            <w:pPr>
              <w:jc w:val="center"/>
              <w:rPr>
                <w:rFonts w:eastAsia="Times New Roman" w:cs="Times New Roman"/>
                <w:iCs/>
                <w:noProof/>
                <w:sz w:val="20"/>
              </w:rPr>
            </w:pPr>
            <w:r w:rsidRPr="00B44B19">
              <w:rPr>
                <w:rFonts w:eastAsia="Times New Roman" w:cs="Times New Roman"/>
                <w:iCs/>
                <w:noProof/>
                <w:sz w:val="20"/>
              </w:rPr>
              <w:t>4.5</w:t>
            </w:r>
          </w:p>
        </w:tc>
        <w:tc>
          <w:tcPr>
            <w:tcW w:w="3637" w:type="dxa"/>
            <w:vMerge w:val="restart"/>
            <w:tcBorders>
              <w:top w:val="single" w:sz="12" w:space="0" w:color="auto"/>
            </w:tcBorders>
          </w:tcPr>
          <w:p w14:paraId="306161DA" w14:textId="77777777" w:rsidR="003E16A9" w:rsidRPr="00B44B19" w:rsidRDefault="003E16A9" w:rsidP="00A9186D">
            <w:pPr>
              <w:rPr>
                <w:rFonts w:eastAsia="Times New Roman" w:cs="Times New Roman"/>
                <w:iCs/>
                <w:noProof/>
                <w:sz w:val="20"/>
              </w:rPr>
            </w:pPr>
            <w:r w:rsidRPr="00B44B19">
              <w:rPr>
                <w:rFonts w:eastAsia="Times New Roman" w:cs="Times New Roman"/>
                <w:iCs/>
                <w:noProof/>
                <w:sz w:val="20"/>
              </w:rPr>
              <w:t xml:space="preserve">33 </w:t>
            </w:r>
            <w:r w:rsidR="00C728A3" w:rsidRPr="00B44B19">
              <w:rPr>
                <w:rFonts w:eastAsia="Times New Roman" w:cs="Times New Roman"/>
                <w:iCs/>
                <w:noProof/>
                <w:sz w:val="20"/>
              </w:rPr>
              <w:t>–</w:t>
            </w:r>
            <w:r w:rsidRPr="00B44B19">
              <w:rPr>
                <w:rFonts w:eastAsia="Times New Roman" w:cs="Times New Roman"/>
                <w:iCs/>
                <w:noProof/>
                <w:sz w:val="20"/>
              </w:rPr>
              <w:t xml:space="preserve"> Nesiorientuojant į teritoriškumą</w:t>
            </w:r>
          </w:p>
        </w:tc>
        <w:tc>
          <w:tcPr>
            <w:tcW w:w="1466" w:type="dxa"/>
            <w:tcBorders>
              <w:top w:val="single" w:sz="12" w:space="0" w:color="auto"/>
              <w:bottom w:val="single" w:sz="4" w:space="0" w:color="auto"/>
            </w:tcBorders>
          </w:tcPr>
          <w:p w14:paraId="22F3AC4F" w14:textId="77777777" w:rsidR="003E16A9" w:rsidRPr="00B44B19" w:rsidRDefault="003E16A9" w:rsidP="00796586">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15 149 595,00</w:t>
            </w:r>
          </w:p>
        </w:tc>
      </w:tr>
      <w:tr w:rsidR="003E16A9" w:rsidRPr="00B44B19" w14:paraId="505A559F" w14:textId="77777777" w:rsidTr="00CF59C7">
        <w:tc>
          <w:tcPr>
            <w:tcW w:w="1101" w:type="dxa"/>
            <w:vMerge/>
          </w:tcPr>
          <w:p w14:paraId="436B96A6" w14:textId="77777777" w:rsidR="003E16A9" w:rsidRPr="00B44B19" w:rsidRDefault="003E16A9" w:rsidP="0066383D">
            <w:pPr>
              <w:rPr>
                <w:rFonts w:eastAsia="Times New Roman" w:cs="Times New Roman"/>
                <w:b/>
                <w:iCs/>
                <w:noProof/>
                <w:sz w:val="20"/>
              </w:rPr>
            </w:pPr>
          </w:p>
        </w:tc>
        <w:tc>
          <w:tcPr>
            <w:tcW w:w="850" w:type="dxa"/>
            <w:vMerge/>
          </w:tcPr>
          <w:p w14:paraId="117F330D" w14:textId="77777777" w:rsidR="003E16A9" w:rsidRPr="00B44B19" w:rsidRDefault="003E16A9" w:rsidP="0066383D">
            <w:pPr>
              <w:rPr>
                <w:rFonts w:eastAsia="Times New Roman" w:cs="Times New Roman"/>
                <w:b/>
                <w:iCs/>
                <w:noProof/>
                <w:sz w:val="20"/>
              </w:rPr>
            </w:pPr>
          </w:p>
        </w:tc>
        <w:tc>
          <w:tcPr>
            <w:tcW w:w="1701" w:type="dxa"/>
            <w:tcBorders>
              <w:top w:val="single" w:sz="4" w:space="0" w:color="auto"/>
              <w:bottom w:val="single" w:sz="4" w:space="0" w:color="auto"/>
            </w:tcBorders>
          </w:tcPr>
          <w:p w14:paraId="57D63DE8" w14:textId="77777777" w:rsidR="003E16A9" w:rsidRPr="00B44B19" w:rsidRDefault="003E16A9" w:rsidP="0066383D">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5111D25C" w14:textId="77777777" w:rsidR="003E16A9" w:rsidRPr="00B44B19" w:rsidRDefault="003E16A9" w:rsidP="0066383D">
            <w:pPr>
              <w:rPr>
                <w:rFonts w:eastAsia="Times New Roman" w:cs="Times New Roman"/>
                <w:b/>
                <w:iCs/>
                <w:noProof/>
                <w:sz w:val="20"/>
              </w:rPr>
            </w:pPr>
          </w:p>
        </w:tc>
        <w:tc>
          <w:tcPr>
            <w:tcW w:w="3637" w:type="dxa"/>
            <w:vMerge/>
          </w:tcPr>
          <w:p w14:paraId="33BFEE89" w14:textId="77777777" w:rsidR="003E16A9" w:rsidRPr="00B44B19" w:rsidRDefault="003E16A9" w:rsidP="0066383D">
            <w:pPr>
              <w:rPr>
                <w:rFonts w:eastAsia="Times New Roman" w:cs="Times New Roman"/>
                <w:b/>
                <w:iCs/>
                <w:noProof/>
                <w:sz w:val="20"/>
              </w:rPr>
            </w:pPr>
          </w:p>
        </w:tc>
        <w:tc>
          <w:tcPr>
            <w:tcW w:w="1466" w:type="dxa"/>
            <w:tcBorders>
              <w:top w:val="single" w:sz="4" w:space="0" w:color="auto"/>
              <w:bottom w:val="single" w:sz="4" w:space="0" w:color="auto"/>
            </w:tcBorders>
          </w:tcPr>
          <w:p w14:paraId="652ED2D0" w14:textId="77777777" w:rsidR="003E16A9" w:rsidRPr="00B44B19" w:rsidRDefault="003E16A9" w:rsidP="003E16A9">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115 324 505,00</w:t>
            </w:r>
          </w:p>
        </w:tc>
      </w:tr>
      <w:tr w:rsidR="003E16A9" w:rsidRPr="00B44B19" w14:paraId="58716A58" w14:textId="77777777" w:rsidTr="00CF59C7">
        <w:tc>
          <w:tcPr>
            <w:tcW w:w="1101" w:type="dxa"/>
            <w:vMerge/>
          </w:tcPr>
          <w:p w14:paraId="3493895B" w14:textId="77777777" w:rsidR="003E16A9" w:rsidRPr="00B44B19" w:rsidRDefault="003E16A9" w:rsidP="0066383D">
            <w:pPr>
              <w:rPr>
                <w:rFonts w:eastAsia="Times New Roman" w:cs="Times New Roman"/>
                <w:b/>
                <w:iCs/>
                <w:noProof/>
                <w:sz w:val="20"/>
              </w:rPr>
            </w:pPr>
          </w:p>
        </w:tc>
        <w:tc>
          <w:tcPr>
            <w:tcW w:w="850" w:type="dxa"/>
            <w:vMerge/>
          </w:tcPr>
          <w:p w14:paraId="1B0944AC" w14:textId="77777777" w:rsidR="003E16A9" w:rsidRPr="00B44B19" w:rsidRDefault="003E16A9" w:rsidP="0066383D">
            <w:pPr>
              <w:rPr>
                <w:rFonts w:eastAsia="Times New Roman" w:cs="Times New Roman"/>
                <w:b/>
                <w:iCs/>
                <w:noProof/>
                <w:sz w:val="20"/>
              </w:rPr>
            </w:pPr>
          </w:p>
        </w:tc>
        <w:tc>
          <w:tcPr>
            <w:tcW w:w="1701" w:type="dxa"/>
            <w:tcBorders>
              <w:top w:val="single" w:sz="4" w:space="0" w:color="auto"/>
              <w:bottom w:val="single" w:sz="4" w:space="0" w:color="auto"/>
            </w:tcBorders>
          </w:tcPr>
          <w:p w14:paraId="4D9C4171" w14:textId="77777777" w:rsidR="003E16A9" w:rsidRPr="00B44B19" w:rsidRDefault="003E16A9" w:rsidP="0015015F">
            <w:pPr>
              <w:jc w:val="center"/>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7E876669" w14:textId="77777777" w:rsidR="003E16A9" w:rsidRPr="00B44B19" w:rsidRDefault="003E16A9" w:rsidP="0066383D">
            <w:pPr>
              <w:rPr>
                <w:rFonts w:eastAsia="Times New Roman" w:cs="Times New Roman"/>
                <w:b/>
                <w:iCs/>
                <w:noProof/>
                <w:sz w:val="20"/>
              </w:rPr>
            </w:pPr>
          </w:p>
        </w:tc>
        <w:tc>
          <w:tcPr>
            <w:tcW w:w="3637" w:type="dxa"/>
            <w:vMerge w:val="restart"/>
          </w:tcPr>
          <w:p w14:paraId="2B70CC99" w14:textId="77777777" w:rsidR="003E16A9" w:rsidRPr="00B44B19" w:rsidRDefault="003E16A9" w:rsidP="0066383D">
            <w:pPr>
              <w:rPr>
                <w:rFonts w:eastAsia="Times New Roman" w:cs="Times New Roman"/>
                <w:iCs/>
                <w:noProof/>
                <w:sz w:val="20"/>
              </w:rPr>
            </w:pPr>
            <w:r w:rsidRPr="00B44B19">
              <w:rPr>
                <w:rFonts w:eastAsia="Times New Roman" w:cs="Times New Roman"/>
                <w:iCs/>
                <w:noProof/>
                <w:sz w:val="20"/>
              </w:rPr>
              <w:t xml:space="preserve">02 </w:t>
            </w:r>
            <w:r w:rsidR="00C728A3" w:rsidRPr="00B44B19">
              <w:rPr>
                <w:rFonts w:eastAsia="Times New Roman" w:cs="Times New Roman"/>
                <w:iCs/>
                <w:noProof/>
                <w:sz w:val="20"/>
              </w:rPr>
              <w:t>–</w:t>
            </w:r>
            <w:r w:rsidRPr="00B44B19">
              <w:rPr>
                <w:rFonts w:eastAsia="Times New Roman" w:cs="Times New Roman"/>
                <w:iCs/>
                <w:noProof/>
                <w:sz w:val="20"/>
              </w:rPr>
              <w:t xml:space="preserve"> Miestai, miesteliai ir priemiesčiai</w:t>
            </w:r>
          </w:p>
        </w:tc>
        <w:tc>
          <w:tcPr>
            <w:tcW w:w="1466" w:type="dxa"/>
            <w:tcBorders>
              <w:top w:val="single" w:sz="4" w:space="0" w:color="auto"/>
              <w:bottom w:val="single" w:sz="4" w:space="0" w:color="auto"/>
            </w:tcBorders>
          </w:tcPr>
          <w:p w14:paraId="2165C634" w14:textId="77777777" w:rsidR="003E16A9" w:rsidRPr="00B44B19" w:rsidRDefault="003E16A9"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942 354,00</w:t>
            </w:r>
          </w:p>
        </w:tc>
      </w:tr>
      <w:tr w:rsidR="003E16A9" w:rsidRPr="00B44B19" w14:paraId="6E07D657" w14:textId="77777777" w:rsidTr="00CF59C7">
        <w:tc>
          <w:tcPr>
            <w:tcW w:w="1101" w:type="dxa"/>
            <w:vMerge/>
          </w:tcPr>
          <w:p w14:paraId="12098751" w14:textId="77777777" w:rsidR="003E16A9" w:rsidRPr="00B44B19" w:rsidRDefault="003E16A9" w:rsidP="0066383D">
            <w:pPr>
              <w:rPr>
                <w:rFonts w:eastAsia="Times New Roman" w:cs="Times New Roman"/>
                <w:b/>
                <w:iCs/>
                <w:noProof/>
                <w:sz w:val="20"/>
              </w:rPr>
            </w:pPr>
          </w:p>
        </w:tc>
        <w:tc>
          <w:tcPr>
            <w:tcW w:w="850" w:type="dxa"/>
            <w:vMerge/>
          </w:tcPr>
          <w:p w14:paraId="1298DDA2" w14:textId="77777777" w:rsidR="003E16A9" w:rsidRPr="00B44B19" w:rsidRDefault="003E16A9" w:rsidP="0066383D">
            <w:pPr>
              <w:rPr>
                <w:rFonts w:eastAsia="Times New Roman" w:cs="Times New Roman"/>
                <w:b/>
                <w:iCs/>
                <w:noProof/>
                <w:sz w:val="20"/>
              </w:rPr>
            </w:pPr>
          </w:p>
        </w:tc>
        <w:tc>
          <w:tcPr>
            <w:tcW w:w="1701" w:type="dxa"/>
            <w:tcBorders>
              <w:top w:val="single" w:sz="4" w:space="0" w:color="auto"/>
              <w:bottom w:val="single" w:sz="4" w:space="0" w:color="auto"/>
            </w:tcBorders>
          </w:tcPr>
          <w:p w14:paraId="0D7B53F7" w14:textId="77777777" w:rsidR="003E16A9" w:rsidRPr="00B44B19" w:rsidRDefault="003E16A9" w:rsidP="0066383D">
            <w:pPr>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4F50E27A" w14:textId="77777777" w:rsidR="003E16A9" w:rsidRPr="00B44B19" w:rsidRDefault="003E16A9" w:rsidP="0066383D">
            <w:pPr>
              <w:rPr>
                <w:rFonts w:eastAsia="Times New Roman" w:cs="Times New Roman"/>
                <w:b/>
                <w:iCs/>
                <w:noProof/>
                <w:sz w:val="20"/>
              </w:rPr>
            </w:pPr>
          </w:p>
        </w:tc>
        <w:tc>
          <w:tcPr>
            <w:tcW w:w="3637" w:type="dxa"/>
            <w:vMerge/>
          </w:tcPr>
          <w:p w14:paraId="6D0D418D" w14:textId="77777777" w:rsidR="003E16A9" w:rsidRPr="00B44B19" w:rsidRDefault="003E16A9" w:rsidP="0066383D">
            <w:pPr>
              <w:rPr>
                <w:rFonts w:eastAsia="Times New Roman" w:cs="Times New Roman"/>
                <w:b/>
                <w:iCs/>
                <w:noProof/>
                <w:sz w:val="20"/>
              </w:rPr>
            </w:pPr>
          </w:p>
        </w:tc>
        <w:tc>
          <w:tcPr>
            <w:tcW w:w="1466" w:type="dxa"/>
            <w:tcBorders>
              <w:top w:val="single" w:sz="4" w:space="0" w:color="auto"/>
              <w:bottom w:val="single" w:sz="4" w:space="0" w:color="auto"/>
            </w:tcBorders>
          </w:tcPr>
          <w:p w14:paraId="3098B942" w14:textId="77777777" w:rsidR="003E16A9" w:rsidRPr="00B44B19" w:rsidRDefault="003E16A9"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14 171 081,00</w:t>
            </w:r>
          </w:p>
        </w:tc>
      </w:tr>
      <w:tr w:rsidR="003E16A9" w:rsidRPr="00B44B19" w14:paraId="5B8D6E95" w14:textId="77777777" w:rsidTr="00CF59C7">
        <w:tc>
          <w:tcPr>
            <w:tcW w:w="1101" w:type="dxa"/>
            <w:vMerge/>
          </w:tcPr>
          <w:p w14:paraId="3DB6BEBE" w14:textId="77777777" w:rsidR="003E16A9" w:rsidRPr="00B44B19" w:rsidRDefault="003E16A9" w:rsidP="0066383D">
            <w:pPr>
              <w:rPr>
                <w:rFonts w:eastAsia="Times New Roman" w:cs="Times New Roman"/>
                <w:b/>
                <w:iCs/>
                <w:noProof/>
                <w:sz w:val="20"/>
              </w:rPr>
            </w:pPr>
          </w:p>
        </w:tc>
        <w:tc>
          <w:tcPr>
            <w:tcW w:w="850" w:type="dxa"/>
            <w:vMerge/>
          </w:tcPr>
          <w:p w14:paraId="26C051AC" w14:textId="77777777" w:rsidR="003E16A9" w:rsidRPr="00B44B19" w:rsidRDefault="003E16A9" w:rsidP="0066383D">
            <w:pPr>
              <w:rPr>
                <w:rFonts w:eastAsia="Times New Roman" w:cs="Times New Roman"/>
                <w:b/>
                <w:iCs/>
                <w:noProof/>
                <w:sz w:val="20"/>
              </w:rPr>
            </w:pPr>
          </w:p>
        </w:tc>
        <w:tc>
          <w:tcPr>
            <w:tcW w:w="1701" w:type="dxa"/>
            <w:tcBorders>
              <w:top w:val="single" w:sz="4" w:space="0" w:color="auto"/>
              <w:bottom w:val="single" w:sz="4" w:space="0" w:color="auto"/>
            </w:tcBorders>
          </w:tcPr>
          <w:p w14:paraId="3B09F45F" w14:textId="77777777" w:rsidR="003E16A9" w:rsidRPr="00B44B19" w:rsidRDefault="003E16A9" w:rsidP="0066383D">
            <w:pPr>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07F0C5E5" w14:textId="77777777" w:rsidR="003E16A9" w:rsidRPr="00B44B19" w:rsidRDefault="003E16A9" w:rsidP="0066383D">
            <w:pPr>
              <w:rPr>
                <w:rFonts w:eastAsia="Times New Roman" w:cs="Times New Roman"/>
                <w:b/>
                <w:iCs/>
                <w:noProof/>
                <w:sz w:val="20"/>
              </w:rPr>
            </w:pPr>
          </w:p>
        </w:tc>
        <w:tc>
          <w:tcPr>
            <w:tcW w:w="3637" w:type="dxa"/>
            <w:vMerge w:val="restart"/>
          </w:tcPr>
          <w:p w14:paraId="3AE48C74" w14:textId="77777777" w:rsidR="003E16A9" w:rsidRPr="00B44B19" w:rsidRDefault="003E16A9" w:rsidP="0066383D">
            <w:pPr>
              <w:rPr>
                <w:rFonts w:eastAsia="Times New Roman" w:cs="Times New Roman"/>
                <w:b/>
                <w:iCs/>
                <w:noProof/>
                <w:sz w:val="20"/>
              </w:rPr>
            </w:pPr>
            <w:r w:rsidRPr="00B44B19">
              <w:rPr>
                <w:rFonts w:eastAsia="Times New Roman" w:cs="Times New Roman"/>
                <w:noProof/>
                <w:sz w:val="20"/>
                <w:szCs w:val="20"/>
              </w:rPr>
              <w:t xml:space="preserve">08 </w:t>
            </w:r>
            <w:r w:rsidR="00C728A3" w:rsidRPr="00B44B19">
              <w:rPr>
                <w:rFonts w:eastAsia="Times New Roman" w:cs="Times New Roman"/>
                <w:noProof/>
                <w:sz w:val="20"/>
                <w:szCs w:val="20"/>
              </w:rPr>
              <w:t>–</w:t>
            </w:r>
            <w:r w:rsidRPr="00B44B19">
              <w:rPr>
                <w:rFonts w:eastAsia="Times New Roman" w:cs="Times New Roman"/>
                <w:noProof/>
                <w:sz w:val="20"/>
                <w:szCs w:val="20"/>
              </w:rPr>
              <w:t xml:space="preserve"> Kitų rūšių tikslinės teritorijos</w:t>
            </w:r>
          </w:p>
        </w:tc>
        <w:tc>
          <w:tcPr>
            <w:tcW w:w="1466" w:type="dxa"/>
            <w:tcBorders>
              <w:top w:val="single" w:sz="4" w:space="0" w:color="auto"/>
              <w:bottom w:val="single" w:sz="4" w:space="0" w:color="auto"/>
            </w:tcBorders>
          </w:tcPr>
          <w:p w14:paraId="6CED02B3" w14:textId="77777777" w:rsidR="003E16A9" w:rsidRPr="00B44B19" w:rsidRDefault="003E16A9"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942 354,00</w:t>
            </w:r>
          </w:p>
        </w:tc>
      </w:tr>
      <w:tr w:rsidR="003E16A9" w:rsidRPr="00B44B19" w14:paraId="25C03328" w14:textId="77777777" w:rsidTr="00A817C1">
        <w:tc>
          <w:tcPr>
            <w:tcW w:w="1101" w:type="dxa"/>
            <w:vMerge/>
          </w:tcPr>
          <w:p w14:paraId="5BD83726" w14:textId="77777777" w:rsidR="003E16A9" w:rsidRPr="00B44B19" w:rsidRDefault="003E16A9" w:rsidP="0066383D">
            <w:pPr>
              <w:rPr>
                <w:rFonts w:eastAsia="Times New Roman" w:cs="Times New Roman"/>
                <w:b/>
                <w:iCs/>
                <w:noProof/>
                <w:sz w:val="20"/>
              </w:rPr>
            </w:pPr>
          </w:p>
        </w:tc>
        <w:tc>
          <w:tcPr>
            <w:tcW w:w="850" w:type="dxa"/>
            <w:vMerge/>
          </w:tcPr>
          <w:p w14:paraId="10C891A9" w14:textId="77777777" w:rsidR="003E16A9" w:rsidRPr="00B44B19" w:rsidRDefault="003E16A9" w:rsidP="0066383D">
            <w:pPr>
              <w:rPr>
                <w:rFonts w:eastAsia="Times New Roman" w:cs="Times New Roman"/>
                <w:b/>
                <w:iCs/>
                <w:noProof/>
                <w:sz w:val="20"/>
              </w:rPr>
            </w:pPr>
          </w:p>
        </w:tc>
        <w:tc>
          <w:tcPr>
            <w:tcW w:w="1701" w:type="dxa"/>
            <w:tcBorders>
              <w:top w:val="single" w:sz="4" w:space="0" w:color="auto"/>
            </w:tcBorders>
          </w:tcPr>
          <w:p w14:paraId="7988C699" w14:textId="77777777" w:rsidR="003E16A9" w:rsidRPr="00B44B19" w:rsidRDefault="003E16A9" w:rsidP="0066383D">
            <w:pPr>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F37E35B" w14:textId="77777777" w:rsidR="003E16A9" w:rsidRPr="00B44B19" w:rsidRDefault="003E16A9" w:rsidP="0066383D">
            <w:pPr>
              <w:rPr>
                <w:rFonts w:eastAsia="Times New Roman" w:cs="Times New Roman"/>
                <w:b/>
                <w:iCs/>
                <w:noProof/>
                <w:sz w:val="20"/>
              </w:rPr>
            </w:pPr>
          </w:p>
        </w:tc>
        <w:tc>
          <w:tcPr>
            <w:tcW w:w="3637" w:type="dxa"/>
            <w:vMerge/>
          </w:tcPr>
          <w:p w14:paraId="6E19D2A1" w14:textId="77777777" w:rsidR="003E16A9" w:rsidRPr="00B44B19" w:rsidRDefault="003E16A9" w:rsidP="0066383D">
            <w:pPr>
              <w:rPr>
                <w:rFonts w:eastAsia="Times New Roman" w:cs="Times New Roman"/>
                <w:b/>
                <w:iCs/>
                <w:noProof/>
                <w:sz w:val="20"/>
              </w:rPr>
            </w:pPr>
          </w:p>
        </w:tc>
        <w:tc>
          <w:tcPr>
            <w:tcW w:w="1466" w:type="dxa"/>
            <w:tcBorders>
              <w:top w:val="single" w:sz="4" w:space="0" w:color="auto"/>
            </w:tcBorders>
          </w:tcPr>
          <w:p w14:paraId="6FB249A5" w14:textId="77777777" w:rsidR="003E16A9" w:rsidRPr="00B44B19" w:rsidRDefault="003E16A9" w:rsidP="00245FB1">
            <w:pPr>
              <w:jc w:val="right"/>
              <w:textAlignment w:val="baseline"/>
              <w:rPr>
                <w:rFonts w:eastAsia="Times New Roman" w:cs="Times New Roman"/>
                <w:sz w:val="20"/>
                <w:szCs w:val="20"/>
                <w:lang w:eastAsia="lt-LT"/>
              </w:rPr>
            </w:pPr>
            <w:r w:rsidRPr="00B44B19">
              <w:rPr>
                <w:rFonts w:eastAsia="Times New Roman" w:cs="Times New Roman"/>
                <w:sz w:val="20"/>
                <w:szCs w:val="20"/>
                <w:lang w:eastAsia="lt-LT"/>
              </w:rPr>
              <w:t>14 171 081,00</w:t>
            </w:r>
          </w:p>
        </w:tc>
      </w:tr>
    </w:tbl>
    <w:p w14:paraId="597754E1" w14:textId="77777777" w:rsidR="00E438B8" w:rsidRPr="00B44B19" w:rsidRDefault="00E438B8" w:rsidP="0015015F">
      <w:pPr>
        <w:spacing w:after="0" w:line="240" w:lineRule="auto"/>
        <w:rPr>
          <w:rFonts w:cs="Times New Roman"/>
          <w:sz w:val="20"/>
          <w:szCs w:val="20"/>
        </w:rPr>
      </w:pPr>
    </w:p>
    <w:tbl>
      <w:tblPr>
        <w:tblStyle w:val="Lentelstinklelis39"/>
        <w:tblW w:w="9889" w:type="dxa"/>
        <w:tblLook w:val="04A0" w:firstRow="1" w:lastRow="0" w:firstColumn="1" w:lastColumn="0" w:noHBand="0" w:noVBand="1"/>
      </w:tblPr>
      <w:tblGrid>
        <w:gridCol w:w="1101"/>
        <w:gridCol w:w="850"/>
        <w:gridCol w:w="1701"/>
        <w:gridCol w:w="1134"/>
        <w:gridCol w:w="3637"/>
        <w:gridCol w:w="1466"/>
      </w:tblGrid>
      <w:tr w:rsidR="00352597" w:rsidRPr="00B44B19" w14:paraId="6A56A8C5"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00234A" w14:textId="77777777" w:rsidR="00352597" w:rsidRPr="00B44B19" w:rsidRDefault="00352597" w:rsidP="00352597">
            <w:pPr>
              <w:rPr>
                <w:b/>
                <w:iCs/>
                <w:noProof/>
                <w:sz w:val="20"/>
                <w:szCs w:val="20"/>
              </w:rPr>
            </w:pPr>
            <w:r w:rsidRPr="00B44B19">
              <w:rPr>
                <w:b/>
                <w:noProof/>
                <w:sz w:val="20"/>
                <w:szCs w:val="20"/>
              </w:rPr>
              <w:t>8 lentelė. 7 matmuo</w:t>
            </w:r>
            <w:r w:rsidR="00833871" w:rsidRPr="00B44B19">
              <w:rPr>
                <w:b/>
                <w:noProof/>
                <w:sz w:val="20"/>
                <w:szCs w:val="20"/>
              </w:rPr>
              <w:t>:</w:t>
            </w:r>
            <w:r w:rsidRPr="00B44B19">
              <w:rPr>
                <w:b/>
                <w:noProof/>
                <w:sz w:val="20"/>
                <w:szCs w:val="20"/>
              </w:rPr>
              <w:t xml:space="preserve"> </w:t>
            </w:r>
            <w:r w:rsidRPr="00B44B19">
              <w:rPr>
                <w:b/>
                <w:sz w:val="20"/>
                <w:szCs w:val="20"/>
              </w:rPr>
              <w:t>ESF+, ERPF, S</w:t>
            </w:r>
            <w:r w:rsidR="00E92CDE" w:rsidRPr="00B44B19">
              <w:rPr>
                <w:b/>
                <w:sz w:val="20"/>
                <w:szCs w:val="20"/>
              </w:rPr>
              <w:t>a</w:t>
            </w:r>
            <w:r w:rsidRPr="00B44B19">
              <w:rPr>
                <w:b/>
                <w:sz w:val="20"/>
                <w:szCs w:val="20"/>
              </w:rPr>
              <w:t>F ir TPF lyčių lygybės matmuo</w:t>
            </w:r>
          </w:p>
        </w:tc>
      </w:tr>
      <w:tr w:rsidR="00352597" w:rsidRPr="00B44B19" w14:paraId="69297B81" w14:textId="77777777" w:rsidTr="0015015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957412" w14:textId="77777777" w:rsidR="00352597" w:rsidRPr="00B44B19" w:rsidRDefault="00352597" w:rsidP="00352597">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929C9A" w14:textId="77777777" w:rsidR="00352597" w:rsidRPr="00B44B19" w:rsidRDefault="00352597" w:rsidP="00352597">
            <w:pPr>
              <w:jc w:val="center"/>
              <w:rPr>
                <w:b/>
                <w:iCs/>
                <w:noProof/>
                <w:sz w:val="20"/>
              </w:rPr>
            </w:pPr>
            <w:r w:rsidRPr="00B44B19">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8E6D0E" w14:textId="77777777" w:rsidR="00352597" w:rsidRPr="00B44B19" w:rsidRDefault="00352597" w:rsidP="00352597">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FA72E6" w14:textId="77777777" w:rsidR="00352597" w:rsidRPr="00B44B19" w:rsidRDefault="00352597" w:rsidP="00352597">
            <w:pPr>
              <w:jc w:val="center"/>
              <w:rPr>
                <w:b/>
                <w:iCs/>
                <w:noProof/>
                <w:sz w:val="20"/>
              </w:rPr>
            </w:pPr>
            <w:r w:rsidRPr="00B44B19">
              <w:rPr>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16BFF6" w14:textId="77777777" w:rsidR="00352597" w:rsidRPr="00B44B19" w:rsidRDefault="00352597" w:rsidP="00352597">
            <w:pPr>
              <w:jc w:val="center"/>
              <w:rPr>
                <w:b/>
                <w:iCs/>
                <w:noProof/>
                <w:sz w:val="20"/>
              </w:rPr>
            </w:pPr>
            <w:r w:rsidRPr="00B44B19">
              <w:rPr>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CF3B7A" w14:textId="77777777" w:rsidR="00352597" w:rsidRPr="00B44B19" w:rsidRDefault="00352597" w:rsidP="00352597">
            <w:pPr>
              <w:jc w:val="center"/>
              <w:rPr>
                <w:b/>
                <w:iCs/>
                <w:noProof/>
                <w:sz w:val="20"/>
              </w:rPr>
            </w:pPr>
            <w:r w:rsidRPr="00B44B19">
              <w:rPr>
                <w:b/>
                <w:noProof/>
                <w:sz w:val="20"/>
              </w:rPr>
              <w:t>Suma (EUR)</w:t>
            </w:r>
          </w:p>
        </w:tc>
      </w:tr>
      <w:tr w:rsidR="00352597" w:rsidRPr="00B44B19" w14:paraId="36F285FE" w14:textId="77777777" w:rsidTr="0015015F">
        <w:tc>
          <w:tcPr>
            <w:tcW w:w="1101" w:type="dxa"/>
            <w:vMerge w:val="restart"/>
            <w:tcBorders>
              <w:top w:val="single" w:sz="12" w:space="0" w:color="auto"/>
            </w:tcBorders>
          </w:tcPr>
          <w:p w14:paraId="7773E8F0" w14:textId="77777777" w:rsidR="00352597" w:rsidRPr="00B44B19" w:rsidRDefault="00352597" w:rsidP="00352597">
            <w:pPr>
              <w:jc w:val="center"/>
              <w:rPr>
                <w:iCs/>
                <w:noProof/>
                <w:sz w:val="20"/>
              </w:rPr>
            </w:pPr>
            <w:r w:rsidRPr="00B44B19">
              <w:rPr>
                <w:sz w:val="20"/>
                <w:szCs w:val="20"/>
                <w:lang w:eastAsia="lt-LT"/>
              </w:rPr>
              <w:t>4</w:t>
            </w:r>
          </w:p>
        </w:tc>
        <w:tc>
          <w:tcPr>
            <w:tcW w:w="850" w:type="dxa"/>
            <w:vMerge w:val="restart"/>
            <w:tcBorders>
              <w:top w:val="single" w:sz="12" w:space="0" w:color="auto"/>
            </w:tcBorders>
          </w:tcPr>
          <w:p w14:paraId="34BC40AA" w14:textId="77777777" w:rsidR="00352597" w:rsidRPr="00B44B19" w:rsidRDefault="00352597" w:rsidP="00352597">
            <w:pPr>
              <w:jc w:val="center"/>
              <w:rPr>
                <w:iCs/>
                <w:noProof/>
                <w:sz w:val="20"/>
              </w:rPr>
            </w:pPr>
            <w:r w:rsidRPr="00B44B19">
              <w:rPr>
                <w:sz w:val="20"/>
                <w:szCs w:val="20"/>
                <w:lang w:eastAsia="lt-LT"/>
              </w:rPr>
              <w:t>ERPF</w:t>
            </w:r>
          </w:p>
        </w:tc>
        <w:tc>
          <w:tcPr>
            <w:tcW w:w="1701" w:type="dxa"/>
            <w:tcBorders>
              <w:top w:val="single" w:sz="12" w:space="0" w:color="auto"/>
            </w:tcBorders>
          </w:tcPr>
          <w:p w14:paraId="35098ECD" w14:textId="77777777" w:rsidR="00352597" w:rsidRPr="00B44B19" w:rsidRDefault="00352597" w:rsidP="00352597">
            <w:pPr>
              <w:rPr>
                <w:iCs/>
                <w:noProof/>
                <w:sz w:val="20"/>
              </w:rPr>
            </w:pPr>
            <w:r w:rsidRPr="00B44B19">
              <w:rPr>
                <w:sz w:val="20"/>
                <w:szCs w:val="20"/>
                <w:lang w:eastAsia="lt-LT"/>
              </w:rPr>
              <w:t>Sostinės regionas</w:t>
            </w:r>
          </w:p>
        </w:tc>
        <w:tc>
          <w:tcPr>
            <w:tcW w:w="1134" w:type="dxa"/>
            <w:vMerge w:val="restart"/>
            <w:tcBorders>
              <w:top w:val="single" w:sz="12" w:space="0" w:color="auto"/>
            </w:tcBorders>
          </w:tcPr>
          <w:p w14:paraId="4AB82E88" w14:textId="77777777" w:rsidR="00352597" w:rsidRPr="00B44B19" w:rsidRDefault="00352597" w:rsidP="00352597">
            <w:pPr>
              <w:jc w:val="center"/>
              <w:rPr>
                <w:iCs/>
                <w:noProof/>
                <w:sz w:val="20"/>
              </w:rPr>
            </w:pPr>
            <w:r w:rsidRPr="00B44B19">
              <w:rPr>
                <w:iCs/>
                <w:noProof/>
                <w:sz w:val="20"/>
              </w:rPr>
              <w:t>4.5</w:t>
            </w:r>
          </w:p>
        </w:tc>
        <w:tc>
          <w:tcPr>
            <w:tcW w:w="3637" w:type="dxa"/>
            <w:vMerge w:val="restart"/>
            <w:tcBorders>
              <w:top w:val="single" w:sz="12" w:space="0" w:color="auto"/>
            </w:tcBorders>
          </w:tcPr>
          <w:p w14:paraId="16DDEC01" w14:textId="77777777" w:rsidR="00352597" w:rsidRPr="00B44B19" w:rsidRDefault="00352597" w:rsidP="00C728A3">
            <w:pPr>
              <w:rPr>
                <w:iCs/>
                <w:noProof/>
                <w:sz w:val="20"/>
              </w:rPr>
            </w:pPr>
            <w:r w:rsidRPr="00B44B19">
              <w:rPr>
                <w:iCs/>
                <w:noProof/>
                <w:sz w:val="20"/>
              </w:rPr>
              <w:t xml:space="preserve">03 </w:t>
            </w:r>
            <w:r w:rsidR="00C728A3" w:rsidRPr="00B44B19">
              <w:rPr>
                <w:iCs/>
                <w:noProof/>
                <w:sz w:val="20"/>
              </w:rPr>
              <w:t>–</w:t>
            </w:r>
            <w:r w:rsidRPr="00B44B19">
              <w:rPr>
                <w:iCs/>
                <w:noProof/>
                <w:sz w:val="20"/>
              </w:rPr>
              <w:t xml:space="preserve"> Neutralumas lyties požiūriu</w:t>
            </w:r>
          </w:p>
        </w:tc>
        <w:tc>
          <w:tcPr>
            <w:tcW w:w="1466" w:type="dxa"/>
            <w:tcBorders>
              <w:top w:val="single" w:sz="12" w:space="0" w:color="auto"/>
            </w:tcBorders>
          </w:tcPr>
          <w:p w14:paraId="5AB3989C" w14:textId="77777777" w:rsidR="00352597" w:rsidRPr="00B44B19" w:rsidRDefault="005A412C" w:rsidP="00352597">
            <w:pPr>
              <w:jc w:val="right"/>
              <w:rPr>
                <w:iCs/>
                <w:noProof/>
                <w:sz w:val="20"/>
                <w:highlight w:val="yellow"/>
              </w:rPr>
            </w:pPr>
            <w:r w:rsidRPr="00B44B19">
              <w:rPr>
                <w:iCs/>
                <w:noProof/>
                <w:sz w:val="20"/>
              </w:rPr>
              <w:t>17 034 303,00</w:t>
            </w:r>
          </w:p>
        </w:tc>
      </w:tr>
      <w:tr w:rsidR="00352597" w:rsidRPr="00B44B19" w14:paraId="25959F29" w14:textId="77777777" w:rsidTr="0015015F">
        <w:tc>
          <w:tcPr>
            <w:tcW w:w="1101" w:type="dxa"/>
            <w:vMerge/>
          </w:tcPr>
          <w:p w14:paraId="110B3BA4" w14:textId="77777777" w:rsidR="00352597" w:rsidRPr="00B44B19" w:rsidRDefault="00352597" w:rsidP="00352597">
            <w:pPr>
              <w:jc w:val="center"/>
              <w:rPr>
                <w:iCs/>
                <w:noProof/>
                <w:sz w:val="20"/>
              </w:rPr>
            </w:pPr>
          </w:p>
        </w:tc>
        <w:tc>
          <w:tcPr>
            <w:tcW w:w="850" w:type="dxa"/>
            <w:vMerge/>
          </w:tcPr>
          <w:p w14:paraId="76FBB84C" w14:textId="77777777" w:rsidR="00352597" w:rsidRPr="00B44B19" w:rsidRDefault="00352597" w:rsidP="00352597">
            <w:pPr>
              <w:jc w:val="center"/>
              <w:rPr>
                <w:iCs/>
                <w:noProof/>
                <w:sz w:val="20"/>
              </w:rPr>
            </w:pPr>
          </w:p>
        </w:tc>
        <w:tc>
          <w:tcPr>
            <w:tcW w:w="1701" w:type="dxa"/>
          </w:tcPr>
          <w:p w14:paraId="31DA44E1" w14:textId="77777777" w:rsidR="00352597" w:rsidRPr="00B44B19" w:rsidRDefault="00352597" w:rsidP="00352597">
            <w:pPr>
              <w:rPr>
                <w:iCs/>
                <w:noProof/>
                <w:sz w:val="20"/>
              </w:rPr>
            </w:pPr>
            <w:r w:rsidRPr="00B44B19">
              <w:rPr>
                <w:sz w:val="20"/>
                <w:szCs w:val="20"/>
                <w:lang w:eastAsia="lt-LT"/>
              </w:rPr>
              <w:t>VVL regionas</w:t>
            </w:r>
          </w:p>
        </w:tc>
        <w:tc>
          <w:tcPr>
            <w:tcW w:w="1134" w:type="dxa"/>
            <w:vMerge/>
          </w:tcPr>
          <w:p w14:paraId="1D913C97" w14:textId="77777777" w:rsidR="00352597" w:rsidRPr="00B44B19" w:rsidRDefault="00352597" w:rsidP="00352597">
            <w:pPr>
              <w:jc w:val="center"/>
              <w:rPr>
                <w:iCs/>
                <w:noProof/>
                <w:sz w:val="20"/>
              </w:rPr>
            </w:pPr>
          </w:p>
        </w:tc>
        <w:tc>
          <w:tcPr>
            <w:tcW w:w="3637" w:type="dxa"/>
            <w:vMerge/>
          </w:tcPr>
          <w:p w14:paraId="67CE1FF4" w14:textId="77777777" w:rsidR="00352597" w:rsidRPr="00B44B19" w:rsidRDefault="00352597" w:rsidP="00352597">
            <w:pPr>
              <w:jc w:val="center"/>
              <w:rPr>
                <w:iCs/>
                <w:noProof/>
                <w:sz w:val="20"/>
              </w:rPr>
            </w:pPr>
          </w:p>
        </w:tc>
        <w:tc>
          <w:tcPr>
            <w:tcW w:w="1466" w:type="dxa"/>
          </w:tcPr>
          <w:p w14:paraId="69ACCF32" w14:textId="77777777" w:rsidR="00352597" w:rsidRPr="00B44B19" w:rsidRDefault="005A412C" w:rsidP="00352597">
            <w:pPr>
              <w:jc w:val="right"/>
              <w:rPr>
                <w:iCs/>
                <w:noProof/>
                <w:sz w:val="20"/>
                <w:highlight w:val="yellow"/>
              </w:rPr>
            </w:pPr>
            <w:r w:rsidRPr="00B44B19">
              <w:rPr>
                <w:sz w:val="20"/>
                <w:szCs w:val="20"/>
                <w:lang w:eastAsia="lt-LT"/>
              </w:rPr>
              <w:t>143 666 667,00</w:t>
            </w:r>
          </w:p>
        </w:tc>
      </w:tr>
    </w:tbl>
    <w:p w14:paraId="7807B43E" w14:textId="77777777" w:rsidR="004125F6" w:rsidRPr="00B44B19" w:rsidRDefault="004125F6" w:rsidP="00D456C1">
      <w:pPr>
        <w:pStyle w:val="Antrat2"/>
      </w:pPr>
      <w:bookmarkStart w:id="43" w:name="_Toc223435431"/>
      <w:r w:rsidRPr="00B44B19">
        <w:t xml:space="preserve">Konkretus uždavinys – 4.6. </w:t>
      </w:r>
      <w:r w:rsidR="00E06B48" w:rsidRPr="00B44B19">
        <w:rPr>
          <w:iCs/>
          <w:lang w:bidi="lt-LT"/>
        </w:rPr>
        <w:t xml:space="preserve">Stiprinti </w:t>
      </w:r>
      <w:r w:rsidR="00E06B48" w:rsidRPr="00B44B19">
        <w:t>kultūros ir darnaus turizmo vaidmenį ekonominės plėtros, socialinės įtraukties ir socialinių inovacijų srityse (ERPF)</w:t>
      </w:r>
      <w:bookmarkEnd w:id="43"/>
    </w:p>
    <w:p w14:paraId="5A9AB23F" w14:textId="77777777" w:rsidR="004125F6" w:rsidRPr="00B44B19" w:rsidRDefault="004125F6" w:rsidP="00783D09">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
        <w:tblW w:w="9668" w:type="dxa"/>
        <w:tblInd w:w="-34" w:type="dxa"/>
        <w:tblLook w:val="04A0" w:firstRow="1" w:lastRow="0" w:firstColumn="1" w:lastColumn="0" w:noHBand="0" w:noVBand="1"/>
      </w:tblPr>
      <w:tblGrid>
        <w:gridCol w:w="9668"/>
      </w:tblGrid>
      <w:tr w:rsidR="004125F6" w:rsidRPr="00B44B19" w14:paraId="0491B6A3" w14:textId="77777777" w:rsidTr="00D27D25">
        <w:tc>
          <w:tcPr>
            <w:tcW w:w="9668" w:type="dxa"/>
          </w:tcPr>
          <w:p w14:paraId="7BB5014F" w14:textId="77777777" w:rsidR="00A2580C" w:rsidRPr="00B44B19" w:rsidRDefault="00A2580C" w:rsidP="007D0221">
            <w:pPr>
              <w:spacing w:before="60" w:after="60"/>
              <w:jc w:val="both"/>
              <w:rPr>
                <w:rFonts w:eastAsia="Times New Roman" w:cs="Times New Roman"/>
                <w:noProof/>
                <w:sz w:val="22"/>
              </w:rPr>
            </w:pPr>
            <w:r w:rsidRPr="00B44B19">
              <w:rPr>
                <w:rFonts w:eastAsia="Times New Roman" w:cs="Times New Roman"/>
                <w:noProof/>
                <w:sz w:val="22"/>
              </w:rPr>
              <w:t>Pagrindinis šių intervencijų uždavinys yra stiprinti ir efektyviai panaudoti kultūros indėlį į tvarią ir socialiai atsakingą ekonomiką ir užimtumą bei socialinę įtrauktį, didinant kultūros paslaugų įtraukumą ir tolygų prieinamumą, pritaikant visų, ypač pažeidžiamiausių, socialinių grupių poreikiams.</w:t>
            </w:r>
          </w:p>
          <w:p w14:paraId="6A003F83" w14:textId="77777777" w:rsidR="00A2580C" w:rsidRPr="00B44B19" w:rsidRDefault="00A2580C" w:rsidP="007D0221">
            <w:pPr>
              <w:spacing w:before="60" w:after="60"/>
              <w:jc w:val="both"/>
              <w:rPr>
                <w:rFonts w:cs="Times New Roman"/>
                <w:noProof/>
                <w:sz w:val="22"/>
              </w:rPr>
            </w:pPr>
            <w:r w:rsidRPr="00B44B19">
              <w:rPr>
                <w:rFonts w:cs="Times New Roman"/>
                <w:bCs/>
                <w:sz w:val="22"/>
              </w:rPr>
              <w:t xml:space="preserve">Atsižvelgiant į tai, kad </w:t>
            </w:r>
            <w:r w:rsidR="00BE04C6" w:rsidRPr="00B44B19">
              <w:rPr>
                <w:rFonts w:cs="Times New Roman"/>
                <w:bCs/>
                <w:sz w:val="22"/>
              </w:rPr>
              <w:t xml:space="preserve">KKI </w:t>
            </w:r>
            <w:r w:rsidRPr="00B44B19">
              <w:rPr>
                <w:rFonts w:cs="Times New Roman"/>
                <w:bCs/>
                <w:sz w:val="22"/>
              </w:rPr>
              <w:t>srityje dirba santykinai daug</w:t>
            </w:r>
            <w:r w:rsidR="00BE04C6" w:rsidRPr="00B44B19">
              <w:rPr>
                <w:rFonts w:cs="Times New Roman"/>
                <w:bCs/>
                <w:sz w:val="22"/>
              </w:rPr>
              <w:t>iau</w:t>
            </w:r>
            <w:r w:rsidRPr="00B44B19">
              <w:rPr>
                <w:rFonts w:cs="Times New Roman"/>
                <w:bCs/>
                <w:sz w:val="22"/>
              </w:rPr>
              <w:t xml:space="preserve"> jaunimo</w:t>
            </w:r>
            <w:r w:rsidR="00BE04C6" w:rsidRPr="00B44B19">
              <w:rPr>
                <w:rFonts w:cs="Times New Roman"/>
                <w:bCs/>
                <w:sz w:val="22"/>
              </w:rPr>
              <w:t xml:space="preserve"> nei kitose srityse</w:t>
            </w:r>
            <w:r w:rsidRPr="00B44B19">
              <w:rPr>
                <w:rFonts w:cs="Times New Roman"/>
                <w:bCs/>
                <w:sz w:val="22"/>
              </w:rPr>
              <w:t xml:space="preserve">, taip pat dominuoja maži ir mikro verslai bei savarankiškai dirbantys asmenys, individualūs kūrėjai, </w:t>
            </w:r>
            <w:r w:rsidR="00BE04C6" w:rsidRPr="00B44B19">
              <w:rPr>
                <w:rFonts w:cs="Times New Roman"/>
                <w:bCs/>
                <w:sz w:val="22"/>
              </w:rPr>
              <w:t xml:space="preserve">investuojant į KKI veiklų vystymą bus </w:t>
            </w:r>
            <w:r w:rsidRPr="00B44B19">
              <w:rPr>
                <w:rFonts w:cs="Times New Roman"/>
                <w:bCs/>
                <w:sz w:val="22"/>
              </w:rPr>
              <w:t>sprendžiami jautrių nedarbui visuomenės grupių užimtumo iššūkiai, skatinamas darbo ir šeimos įsipareigojimų derinimas.</w:t>
            </w:r>
          </w:p>
          <w:p w14:paraId="269182B2" w14:textId="77777777" w:rsidR="00A2580C" w:rsidRPr="00B44B19" w:rsidRDefault="00A2580C" w:rsidP="007D0221">
            <w:pPr>
              <w:spacing w:before="60" w:after="60"/>
              <w:jc w:val="both"/>
              <w:rPr>
                <w:rFonts w:cs="Times New Roman"/>
                <w:noProof/>
                <w:sz w:val="22"/>
              </w:rPr>
            </w:pPr>
            <w:r w:rsidRPr="00B44B19">
              <w:rPr>
                <w:rFonts w:cs="Times New Roman"/>
                <w:bCs/>
                <w:sz w:val="22"/>
              </w:rPr>
              <w:t>2014–2020 m. laikotarpiu KKI sektorių pasiekusios investicijos buvo labai fragmentiškos ir tik stipriausios ir labiausiai išsivysčiusios KKI įmonės galėjo pasinaudoti 2014</w:t>
            </w:r>
            <w:r w:rsidR="00817F9E" w:rsidRPr="00B44B19">
              <w:rPr>
                <w:rFonts w:cs="Times New Roman"/>
                <w:bCs/>
                <w:sz w:val="22"/>
              </w:rPr>
              <w:t>–</w:t>
            </w:r>
            <w:r w:rsidRPr="00B44B19">
              <w:rPr>
                <w:rFonts w:cs="Times New Roman"/>
                <w:bCs/>
                <w:sz w:val="22"/>
              </w:rPr>
              <w:t xml:space="preserve">2020 m. investicijomis. </w:t>
            </w:r>
            <w:r w:rsidRPr="00B44B19">
              <w:rPr>
                <w:rFonts w:cs="Times New Roman"/>
                <w:noProof/>
                <w:sz w:val="22"/>
              </w:rPr>
              <w:t xml:space="preserve">Remiantis 2014–2020 m. </w:t>
            </w:r>
            <w:r w:rsidR="00796586" w:rsidRPr="00B44B19">
              <w:rPr>
                <w:rFonts w:cs="Times New Roman"/>
                <w:noProof/>
                <w:sz w:val="22"/>
              </w:rPr>
              <w:t>ES</w:t>
            </w:r>
            <w:r w:rsidRPr="00B44B19">
              <w:rPr>
                <w:rFonts w:cs="Times New Roman"/>
                <w:noProof/>
                <w:sz w:val="22"/>
              </w:rPr>
              <w:t xml:space="preserve"> struktūrinių fondų verslo finansavimo ex-ante vertinimo ataskaita, pagrindinė kliūtis startuolių, besivystančių ir mažų įmonių plėtrai yra finansų stoka – 42</w:t>
            </w:r>
            <w:r w:rsidR="00C93D8C" w:rsidRPr="00B44B19">
              <w:rPr>
                <w:rFonts w:cs="Times New Roman"/>
                <w:noProof/>
                <w:sz w:val="22"/>
              </w:rPr>
              <w:t> %</w:t>
            </w:r>
            <w:r w:rsidR="00241178" w:rsidRPr="00B44B19">
              <w:rPr>
                <w:rFonts w:cs="Times New Roman"/>
                <w:noProof/>
                <w:sz w:val="22"/>
              </w:rPr>
              <w:t>.</w:t>
            </w:r>
            <w:r w:rsidRPr="00B44B19">
              <w:rPr>
                <w:rFonts w:cs="Times New Roman"/>
                <w:noProof/>
                <w:sz w:val="22"/>
              </w:rPr>
              <w:t xml:space="preserve"> Vertinimas taip pat nustatė, kad reikia specializuotų, konkretiems sektoriams skirtų akceleravimo programų, tokių kaip KKI sektoriui dedikuota speciali programa. </w:t>
            </w:r>
          </w:p>
          <w:p w14:paraId="374FB50A" w14:textId="77777777" w:rsidR="00D65A7D" w:rsidRPr="00B44B19" w:rsidRDefault="00A2580C" w:rsidP="007D0221">
            <w:pPr>
              <w:spacing w:before="60" w:after="60"/>
              <w:jc w:val="both"/>
              <w:rPr>
                <w:rFonts w:cs="Times New Roman"/>
                <w:sz w:val="22"/>
              </w:rPr>
            </w:pPr>
            <w:r w:rsidRPr="00B44B19">
              <w:rPr>
                <w:rFonts w:cs="Times New Roman"/>
                <w:bCs/>
                <w:sz w:val="22"/>
              </w:rPr>
              <w:lastRenderedPageBreak/>
              <w:t xml:space="preserve">Pandeminė situacija itin sumažino kultūros paslaugų prieinamumą (dėl kultūros objektų priklausomybės nuo fizinio lankytojų srauto), </w:t>
            </w:r>
            <w:r w:rsidRPr="00B44B19">
              <w:rPr>
                <w:rFonts w:cs="Times New Roman"/>
                <w:sz w:val="22"/>
              </w:rPr>
              <w:t>ypač pažeidžiamoms gyventojų grupėms ir išryškino galimybių pasinaudoti paslaugomis iššūk</w:t>
            </w:r>
            <w:r w:rsidR="00665E0A" w:rsidRPr="00B44B19">
              <w:rPr>
                <w:rFonts w:cs="Times New Roman"/>
                <w:sz w:val="22"/>
              </w:rPr>
              <w:t>ius</w:t>
            </w:r>
            <w:r w:rsidRPr="00B44B19">
              <w:rPr>
                <w:rFonts w:cs="Times New Roman"/>
                <w:sz w:val="22"/>
              </w:rPr>
              <w:t xml:space="preserve"> nepriklausomai nuo gyvenamosios vietos ar turint tam tikrų apribojimų (amžiaus, negalios ir pan.). </w:t>
            </w:r>
          </w:p>
          <w:p w14:paraId="07E11A53" w14:textId="77777777" w:rsidR="00A2580C" w:rsidRPr="00B44B19" w:rsidRDefault="00A2580C" w:rsidP="007D0221">
            <w:pPr>
              <w:autoSpaceDE w:val="0"/>
              <w:autoSpaceDN w:val="0"/>
              <w:adjustRightInd w:val="0"/>
              <w:spacing w:before="60" w:after="60"/>
              <w:jc w:val="both"/>
              <w:rPr>
                <w:rFonts w:cs="Times New Roman"/>
                <w:bCs/>
                <w:color w:val="000000"/>
                <w:sz w:val="22"/>
              </w:rPr>
            </w:pPr>
            <w:r w:rsidRPr="00B44B19">
              <w:rPr>
                <w:rFonts w:cs="Times New Roman"/>
                <w:sz w:val="22"/>
              </w:rPr>
              <w:t xml:space="preserve">Šiuos iššūkius padėtų spręsti saugus fizinis ir įtraukus skaitmeninis (virtualus) paslaugų prieinamumas. </w:t>
            </w:r>
            <w:r w:rsidRPr="00B44B19">
              <w:rPr>
                <w:rFonts w:cs="Times New Roman"/>
                <w:bCs/>
                <w:sz w:val="22"/>
              </w:rPr>
              <w:t>2014</w:t>
            </w:r>
            <w:r w:rsidR="00665E0A" w:rsidRPr="00B44B19">
              <w:rPr>
                <w:rFonts w:cs="Times New Roman"/>
                <w:bCs/>
                <w:sz w:val="22"/>
              </w:rPr>
              <w:t>–</w:t>
            </w:r>
            <w:r w:rsidRPr="00B44B19">
              <w:rPr>
                <w:rFonts w:cs="Times New Roman"/>
                <w:bCs/>
                <w:sz w:val="22"/>
              </w:rPr>
              <w:t>2020 m. laikotarpiu investicijos (įskaitant privačius finansavimo šaltinius) į kultūros infrastruktūros ir paveldo objektų aktualizavimą buvo 3 kartus mažesnės nei 2014 m. nustatytas poreikis. Daugiau nei trečdalį visų kultūros infrastruktūros ir paveldo objektų Lietuvoje valdo NVO ir privatūs subjektai, didžiausias invest</w:t>
            </w:r>
            <w:r w:rsidR="00665E0A" w:rsidRPr="00B44B19">
              <w:rPr>
                <w:rFonts w:cs="Times New Roman"/>
                <w:bCs/>
                <w:sz w:val="22"/>
              </w:rPr>
              <w:t>icijų poreikis</w:t>
            </w:r>
            <w:r w:rsidRPr="00B44B19">
              <w:rPr>
                <w:rFonts w:cs="Times New Roman"/>
                <w:bCs/>
                <w:sz w:val="22"/>
              </w:rPr>
              <w:t xml:space="preserve"> </w:t>
            </w:r>
            <w:r w:rsidR="00665E0A" w:rsidRPr="00B44B19">
              <w:rPr>
                <w:rFonts w:cs="Times New Roman"/>
                <w:bCs/>
                <w:sz w:val="22"/>
              </w:rPr>
              <w:t>tenka šiems</w:t>
            </w:r>
            <w:r w:rsidRPr="00B44B19">
              <w:rPr>
                <w:rFonts w:cs="Times New Roman"/>
                <w:bCs/>
                <w:sz w:val="22"/>
              </w:rPr>
              <w:t xml:space="preserve"> objekt</w:t>
            </w:r>
            <w:r w:rsidR="00665E0A" w:rsidRPr="00B44B19">
              <w:rPr>
                <w:rFonts w:cs="Times New Roman"/>
                <w:bCs/>
                <w:sz w:val="22"/>
              </w:rPr>
              <w:t>ams</w:t>
            </w:r>
            <w:r w:rsidRPr="00B44B19">
              <w:rPr>
                <w:rFonts w:cs="Times New Roman"/>
                <w:bCs/>
                <w:sz w:val="22"/>
              </w:rPr>
              <w:t>, taip pat valstybei svarb</w:t>
            </w:r>
            <w:r w:rsidR="00665E0A" w:rsidRPr="00B44B19">
              <w:rPr>
                <w:rFonts w:cs="Times New Roman"/>
                <w:bCs/>
                <w:sz w:val="22"/>
              </w:rPr>
              <w:t>iems</w:t>
            </w:r>
            <w:r w:rsidRPr="00B44B19">
              <w:rPr>
                <w:rFonts w:cs="Times New Roman"/>
                <w:bCs/>
                <w:sz w:val="22"/>
              </w:rPr>
              <w:t xml:space="preserve"> kultūros objekt</w:t>
            </w:r>
            <w:r w:rsidR="00665E0A" w:rsidRPr="00B44B19">
              <w:rPr>
                <w:rFonts w:cs="Times New Roman"/>
                <w:bCs/>
                <w:sz w:val="22"/>
              </w:rPr>
              <w:t>ams</w:t>
            </w:r>
            <w:r w:rsidRPr="00B44B19">
              <w:rPr>
                <w:rFonts w:cs="Times New Roman"/>
                <w:bCs/>
                <w:sz w:val="22"/>
              </w:rPr>
              <w:t xml:space="preserve"> ne Sostinės regione, pritaikant juos įvairių visuomenės grupių poreikiams.</w:t>
            </w:r>
            <w:r w:rsidR="009C487E" w:rsidRPr="00B44B19">
              <w:rPr>
                <w:rFonts w:cs="Times New Roman"/>
                <w:bCs/>
                <w:color w:val="000000"/>
                <w:sz w:val="22"/>
              </w:rPr>
              <w:t xml:space="preserve"> </w:t>
            </w:r>
            <w:r w:rsidR="00BC633F" w:rsidRPr="00B44B19">
              <w:rPr>
                <w:rFonts w:cs="Times New Roman"/>
                <w:bCs/>
                <w:color w:val="000000"/>
                <w:sz w:val="22"/>
              </w:rPr>
              <w:t>EGADP planuojamos investicijos į technologinius ir programinius sprendimus, skaitmeninių kultūros išteklių prieinamumo ir pakartotinio naudojimo įvairiose srityse didinimui, siekiant socialinės ir ekonominės naudos verslui ir visuomenei kasdieniame gyvenime.</w:t>
            </w:r>
          </w:p>
          <w:p w14:paraId="61BBA5E3" w14:textId="77777777" w:rsidR="00A2580C" w:rsidRPr="00B44B19" w:rsidRDefault="00A2580C" w:rsidP="007D0221">
            <w:pPr>
              <w:spacing w:before="60" w:after="60"/>
              <w:jc w:val="both"/>
              <w:rPr>
                <w:rFonts w:eastAsia="Times New Roman" w:cs="Times New Roman"/>
                <w:noProof/>
                <w:sz w:val="22"/>
              </w:rPr>
            </w:pPr>
            <w:r w:rsidRPr="00B44B19">
              <w:rPr>
                <w:rFonts w:eastAsia="Times New Roman" w:cs="Times New Roman"/>
                <w:noProof/>
                <w:sz w:val="22"/>
              </w:rPr>
              <w:t>Veik</w:t>
            </w:r>
            <w:r w:rsidR="00D65A7D" w:rsidRPr="00B44B19">
              <w:rPr>
                <w:rFonts w:eastAsia="Times New Roman" w:cs="Times New Roman"/>
                <w:noProof/>
                <w:sz w:val="22"/>
              </w:rPr>
              <w:t>smų rūšys</w:t>
            </w:r>
            <w:r w:rsidRPr="00B44B19">
              <w:rPr>
                <w:rFonts w:eastAsia="Times New Roman" w:cs="Times New Roman"/>
                <w:noProof/>
                <w:sz w:val="22"/>
              </w:rPr>
              <w:t xml:space="preserve">, siekiant </w:t>
            </w:r>
            <w:r w:rsidRPr="00B44B19">
              <w:rPr>
                <w:rFonts w:eastAsia="Times New Roman" w:cs="Times New Roman"/>
                <w:sz w:val="22"/>
              </w:rPr>
              <w:t>platesnio kultūros potencialo panaudojimo socialinių iššūkių sprendimui ir socialinio-ekonominio tvarumo stiprinimui, kartu didinant kultūros sektoriaus gyvybingumą ir atsparumą</w:t>
            </w:r>
            <w:r w:rsidRPr="00B44B19">
              <w:rPr>
                <w:rFonts w:eastAsia="Times New Roman" w:cs="Times New Roman"/>
                <w:noProof/>
                <w:sz w:val="22"/>
              </w:rPr>
              <w:t>:</w:t>
            </w:r>
          </w:p>
          <w:p w14:paraId="76D7D718" w14:textId="79FC2DEC" w:rsidR="00A2580C" w:rsidRPr="00B44B19" w:rsidRDefault="00A2580C" w:rsidP="007D0221">
            <w:pPr>
              <w:spacing w:before="60" w:after="60"/>
              <w:jc w:val="both"/>
              <w:rPr>
                <w:rFonts w:eastAsia="Times New Roman" w:cs="Times New Roman"/>
                <w:sz w:val="22"/>
              </w:rPr>
            </w:pPr>
            <w:r w:rsidRPr="00B44B19">
              <w:rPr>
                <w:rFonts w:eastAsia="Times New Roman" w:cs="Times New Roman"/>
                <w:b/>
                <w:noProof/>
                <w:sz w:val="22"/>
              </w:rPr>
              <w:t>Skatinti KKI indėlį į tvarią ir socialiai atsakingą ekonomiką</w:t>
            </w:r>
            <w:r w:rsidRPr="00B44B19">
              <w:rPr>
                <w:rFonts w:eastAsia="Times New Roman" w:cs="Times New Roman"/>
                <w:noProof/>
                <w:sz w:val="22"/>
              </w:rPr>
              <w:t xml:space="preserve">: </w:t>
            </w:r>
            <w:r w:rsidRPr="00B44B19">
              <w:rPr>
                <w:rFonts w:eastAsia="Times New Roman" w:cs="Times New Roman"/>
                <w:sz w:val="22"/>
              </w:rPr>
              <w:t>KKI plėtros veiklos, skirtos socialinių ir technologinių inovacijų skatinimui, jaunimo užimtumo, įsidarbinimo galimybių ir tvarių darbo vietų kūrimui.</w:t>
            </w:r>
            <w:r w:rsidRPr="00B44B19">
              <w:rPr>
                <w:rFonts w:cs="Times New Roman"/>
                <w:sz w:val="22"/>
              </w:rPr>
              <w:t xml:space="preserve"> Veiklos nukreiptos į sąlygų sudarymą savarankiškai dirbantiems kūrėjams ir NVO, skatinant kurti socialines inovacijas ir socialinį verslą. </w:t>
            </w:r>
            <w:r w:rsidR="008D592A" w:rsidRPr="00B44B19">
              <w:rPr>
                <w:rFonts w:cs="Times New Roman"/>
                <w:sz w:val="22"/>
              </w:rPr>
              <w:t xml:space="preserve">Siekiant didinti KKI atsparumą krizėms, </w:t>
            </w:r>
            <w:r w:rsidRPr="00B44B19">
              <w:rPr>
                <w:rFonts w:cs="Times New Roman"/>
                <w:sz w:val="22"/>
              </w:rPr>
              <w:t xml:space="preserve">KKI </w:t>
            </w:r>
            <w:r w:rsidRPr="00B44B19">
              <w:rPr>
                <w:rFonts w:eastAsia="Times New Roman" w:cs="Times New Roman"/>
                <w:sz w:val="22"/>
              </w:rPr>
              <w:t>bus skatinamos kurti inovatyvius ir konkurencingus produktus</w:t>
            </w:r>
            <w:r w:rsidR="002000C3" w:rsidRPr="00B44B19">
              <w:rPr>
                <w:rFonts w:eastAsia="Times New Roman" w:cs="Times New Roman"/>
                <w:sz w:val="22"/>
              </w:rPr>
              <w:t>,</w:t>
            </w:r>
            <w:r w:rsidRPr="00B44B19">
              <w:rPr>
                <w:rFonts w:eastAsia="Times New Roman" w:cs="Times New Roman"/>
                <w:sz w:val="22"/>
              </w:rPr>
              <w:t xml:space="preserve"> ir paslaugas, visų pirma prisidedančias prie, bet neapsiribojančias skaitmeninės ir žiedinės ekonomikos plėtra, taikant inovatyvias technologijas, naudojant įvairias verslo veiklos formas, prisitaikant prie besikeičiančių vartotojų poreikių ir ekonomikos sąlygų. </w:t>
            </w:r>
            <w:r w:rsidRPr="00B44B19">
              <w:rPr>
                <w:rFonts w:eastAsia="Times New Roman" w:cs="Times New Roman"/>
                <w:sz w:val="22"/>
                <w:bdr w:val="none" w:sz="0" w:space="0" w:color="auto" w:frame="1"/>
              </w:rPr>
              <w:t xml:space="preserve">KKI sektoriaus nefinansinės vystymo veiklos, tikslinės konsultacijos dėl verslo vystymo, veiklos sprendimų, įskaitant žiedinės ir skaitmeninės transformacijos, tiekimo grandinių, tarptautiškumo ir pan. Nefinansinės paramos priemonės ypač aktualios </w:t>
            </w:r>
            <w:r w:rsidRPr="00B44B19">
              <w:rPr>
                <w:rFonts w:eastAsia="Times New Roman" w:cs="Times New Roman"/>
                <w:noProof/>
                <w:sz w:val="22"/>
              </w:rPr>
              <w:t xml:space="preserve">VVL </w:t>
            </w:r>
            <w:r w:rsidRPr="00B44B19">
              <w:rPr>
                <w:rFonts w:eastAsia="Times New Roman" w:cs="Times New Roman"/>
                <w:sz w:val="22"/>
                <w:bdr w:val="none" w:sz="0" w:space="0" w:color="auto" w:frame="1"/>
              </w:rPr>
              <w:t xml:space="preserve">regione siekiant </w:t>
            </w:r>
            <w:r w:rsidRPr="00B44B19">
              <w:rPr>
                <w:rFonts w:cs="Times New Roman"/>
                <w:bCs/>
                <w:sz w:val="22"/>
              </w:rPr>
              <w:t>užauginti KKI sektoriaus įmones, kur yra tik pirmosios KKI užuomazgos</w:t>
            </w:r>
            <w:r w:rsidRPr="00B44B19">
              <w:rPr>
                <w:rFonts w:eastAsia="Times New Roman" w:cs="Times New Roman"/>
                <w:sz w:val="22"/>
                <w:bdr w:val="none" w:sz="0" w:space="0" w:color="auto" w:frame="1"/>
              </w:rPr>
              <w:t xml:space="preserve">. </w:t>
            </w:r>
            <w:r w:rsidRPr="00B44B19">
              <w:rPr>
                <w:rFonts w:eastAsia="Times New Roman" w:cs="Times New Roman"/>
                <w:sz w:val="22"/>
                <w:shd w:val="clear" w:color="auto" w:fill="FFFFFF"/>
              </w:rPr>
              <w:t>Planuojamos taiklios skatinamojo poveikio</w:t>
            </w:r>
            <w:r w:rsidR="001D6C05" w:rsidRPr="00B44B19">
              <w:rPr>
                <w:rFonts w:eastAsia="Times New Roman" w:cs="Times New Roman"/>
                <w:sz w:val="22"/>
                <w:shd w:val="clear" w:color="auto" w:fill="FFFFFF"/>
              </w:rPr>
              <w:t xml:space="preserve"> dotacinės</w:t>
            </w:r>
            <w:r w:rsidRPr="00B44B19">
              <w:rPr>
                <w:rFonts w:eastAsia="Times New Roman" w:cs="Times New Roman"/>
                <w:sz w:val="22"/>
                <w:shd w:val="clear" w:color="auto" w:fill="FFFFFF"/>
              </w:rPr>
              <w:t xml:space="preserve"> priemonės KKI sektoriaus vystymui</w:t>
            </w:r>
            <w:r w:rsidRPr="00B44B19">
              <w:rPr>
                <w:rFonts w:eastAsia="Times New Roman" w:cs="Times New Roman"/>
                <w:sz w:val="22"/>
              </w:rPr>
              <w:t xml:space="preserve"> ir konkurencingumo (įskaitant startuolių vystymą) didinimui. </w:t>
            </w:r>
            <w:r w:rsidRPr="00B44B19">
              <w:rPr>
                <w:rFonts w:eastAsia="Times New Roman" w:cs="Times New Roman"/>
                <w:noProof/>
                <w:sz w:val="22"/>
              </w:rPr>
              <w:t>Ši veikla bus įgyvendinama VVL ir Sostinės regionuose.</w:t>
            </w:r>
          </w:p>
          <w:p w14:paraId="5163A78F" w14:textId="47490648" w:rsidR="00A2580C" w:rsidRPr="00B44B19" w:rsidRDefault="00A2580C" w:rsidP="007D0221">
            <w:pPr>
              <w:spacing w:before="60" w:after="60"/>
              <w:jc w:val="both"/>
              <w:rPr>
                <w:rFonts w:eastAsia="Times New Roman" w:cs="Times New Roman"/>
                <w:sz w:val="22"/>
              </w:rPr>
            </w:pPr>
            <w:r w:rsidRPr="00B44B19">
              <w:rPr>
                <w:rFonts w:eastAsia="Times New Roman" w:cs="Times New Roman"/>
                <w:b/>
                <w:sz w:val="22"/>
              </w:rPr>
              <w:t xml:space="preserve">Svarbiausių valstybei kultūros objektų modernizavimas </w:t>
            </w:r>
            <w:r w:rsidR="00DE5A2E" w:rsidRPr="00B44B19">
              <w:rPr>
                <w:rFonts w:eastAsia="Times New Roman" w:cs="Times New Roman"/>
                <w:b/>
                <w:sz w:val="22"/>
              </w:rPr>
              <w:t xml:space="preserve">ir kūrimas </w:t>
            </w:r>
            <w:r w:rsidRPr="00B44B19">
              <w:rPr>
                <w:rFonts w:eastAsia="Times New Roman" w:cs="Times New Roman"/>
                <w:b/>
                <w:sz w:val="22"/>
              </w:rPr>
              <w:t>siekiant paslaugų prieinamumo ir įtraukumo didinimo</w:t>
            </w:r>
            <w:r w:rsidRPr="00B44B19">
              <w:rPr>
                <w:rFonts w:eastAsia="Times New Roman" w:cs="Times New Roman"/>
                <w:sz w:val="22"/>
              </w:rPr>
              <w:t>: svarbiausių kultūros infrastruktūros objektų modernizavimas</w:t>
            </w:r>
            <w:r w:rsidR="00DE5A2E" w:rsidRPr="00B44B19">
              <w:rPr>
                <w:rFonts w:eastAsia="Times New Roman" w:cs="Times New Roman"/>
                <w:sz w:val="22"/>
              </w:rPr>
              <w:t>, kūrimas</w:t>
            </w:r>
            <w:r w:rsidRPr="00B44B19">
              <w:rPr>
                <w:rFonts w:eastAsia="Times New Roman" w:cs="Times New Roman"/>
                <w:sz w:val="22"/>
              </w:rPr>
              <w:t xml:space="preserve"> ir įveiklinimas siekiant kultūros paslaugų prieinamumo </w:t>
            </w:r>
            <w:r w:rsidRPr="00B44B19">
              <w:rPr>
                <w:rFonts w:cs="Times New Roman"/>
                <w:sz w:val="22"/>
              </w:rPr>
              <w:t>ir galimybių pasinaudoti paslaugomis nepriklausomai nuo gyvenamosios vietos ar turint tam tikrų apribojimų (amžiaus, negalios ir pan.) didinimo. Atliepiant pandemijos metu išryškėjusią kultūros objektų priklausomybę nuo fizinio lankytojų srauto, planuojamos veiklos užtikrinant saugų fizinį prieinamumą bei skaitmeninių paslaugų įvairovę ir virtualų dalyvavimą kultūros veiklose.</w:t>
            </w:r>
            <w:r w:rsidRPr="00B44B19">
              <w:rPr>
                <w:rFonts w:eastAsia="Times New Roman" w:cs="Times New Roman"/>
                <w:sz w:val="22"/>
              </w:rPr>
              <w:t xml:space="preserve"> Kultūros paslaugų transformacija, orientuojantis į didesnę įvairovę, interaktyvumą, grįžtamąjį ryšį – abipusę komunikaciją tarp kultūros turinio ir lankytojo, suteikiant lankytojui galimybę reflektuoti ir (ar) keisti kultūros turinį, kompensuojant fizinio socialinio kontakto trūkumą, platesnį įtraukumą socialiai pažeidžiamoms visuomenės grupėms. </w:t>
            </w:r>
            <w:r w:rsidR="00DE5A2E" w:rsidRPr="00B44B19">
              <w:rPr>
                <w:rFonts w:eastAsia="Times New Roman" w:cs="Times New Roman"/>
                <w:sz w:val="22"/>
              </w:rPr>
              <w:t xml:space="preserve">Atsižvelgiant į pasikeitusią geopolitinę situaciją, modernizuojami, kuriami valstybės kultūros objektai prisidės ir prie kilnojamųjų kultūros vertybių apsaugos tikslų. </w:t>
            </w:r>
            <w:r w:rsidRPr="00B44B19">
              <w:rPr>
                <w:rFonts w:eastAsia="Times New Roman" w:cs="Times New Roman"/>
                <w:sz w:val="22"/>
              </w:rPr>
              <w:t>Planuojama investuoti į VVL</w:t>
            </w:r>
            <w:r w:rsidR="00DE5A2E" w:rsidRPr="00B44B19">
              <w:rPr>
                <w:rFonts w:eastAsia="Times New Roman" w:cs="Times New Roman"/>
                <w:sz w:val="22"/>
              </w:rPr>
              <w:t xml:space="preserve"> ir Sostinės</w:t>
            </w:r>
            <w:r w:rsidRPr="00B44B19">
              <w:rPr>
                <w:rFonts w:eastAsia="Times New Roman" w:cs="Times New Roman"/>
                <w:sz w:val="22"/>
              </w:rPr>
              <w:t xml:space="preserve"> region</w:t>
            </w:r>
            <w:r w:rsidR="00DE5A2E" w:rsidRPr="00B44B19">
              <w:rPr>
                <w:rFonts w:eastAsia="Times New Roman" w:cs="Times New Roman"/>
                <w:sz w:val="22"/>
              </w:rPr>
              <w:t>uos</w:t>
            </w:r>
            <w:r w:rsidRPr="00B44B19">
              <w:rPr>
                <w:rFonts w:eastAsia="Times New Roman" w:cs="Times New Roman"/>
                <w:sz w:val="22"/>
              </w:rPr>
              <w:t xml:space="preserve">e esančius valstybei svarbiausius objektus, kurie generuoja didžiausią socialinę-ekonominę vertę. </w:t>
            </w:r>
          </w:p>
          <w:p w14:paraId="1C3FACA8" w14:textId="5F04CEA3" w:rsidR="00C74C40" w:rsidRPr="00B44B19" w:rsidRDefault="00C74C40" w:rsidP="00C74C40">
            <w:pPr>
              <w:widowControl w:val="0"/>
              <w:jc w:val="both"/>
              <w:textAlignment w:val="baseline"/>
              <w:rPr>
                <w:rFonts w:cs="Times New Roman"/>
                <w:sz w:val="22"/>
              </w:rPr>
            </w:pPr>
            <w:r w:rsidRPr="00B44B19">
              <w:rPr>
                <w:rFonts w:cs="Times New Roman"/>
                <w:b/>
                <w:bCs/>
                <w:sz w:val="22"/>
              </w:rPr>
              <w:t>„Kultūros infrastruktūros ir paveldo objektų pritaikymas įvairių socialinių grupių poreikiams:</w:t>
            </w:r>
            <w:r w:rsidRPr="00B44B19">
              <w:rPr>
                <w:rFonts w:cs="Times New Roman"/>
                <w:sz w:val="22"/>
              </w:rPr>
              <w:t xml:space="preserve"> atnaujinti kultūros objektus lanksčiai pritaikant įvairių visuomenės grupių poreikiams – įvairioms tarpsektorinėms inovatyvioms socialinėms paslaugoms ir dalyvavimu kultūroje grįstoms socialinės įtraukties veikloms, išnaudojant paveldo ir kultūros objektų atnaujinimo potencialą vietos ekonominės plėtros didinimui, naujų veiklos sričių ir pajamų šaltinių, verslų ir darbo vietų kūrimui, darnaus turizmo vystymuisi. Investicijomis taip pat siekiama sukurti tvarų mechanizmą tolimesniam kultūros paveldo objektų aktualizavimui (finansinės priemonės ir į fondus grąžinamos lėšos, privačių lėšų pritraukimas).</w:t>
            </w:r>
          </w:p>
          <w:p w14:paraId="51CF69C5" w14:textId="6619313C" w:rsidR="00C74C40" w:rsidRPr="00B44B19" w:rsidRDefault="00C74C40" w:rsidP="00C74C40">
            <w:pPr>
              <w:widowControl w:val="0"/>
              <w:jc w:val="both"/>
              <w:textAlignment w:val="baseline"/>
              <w:rPr>
                <w:rFonts w:cs="Times New Roman"/>
                <w:i/>
                <w:color w:val="000000"/>
                <w:sz w:val="22"/>
              </w:rPr>
            </w:pPr>
            <w:r w:rsidRPr="00B44B19">
              <w:rPr>
                <w:rFonts w:cs="Times New Roman"/>
                <w:sz w:val="22"/>
              </w:rPr>
              <w:t>Bus investuojama į viešųjų ir privačių juridinių asmenų – kultūros paveldo objektų savininkų ir / arba valdytojų valdomus kultūros objektus. Ši veikla bus įgyvendinama VVL ir Sostinės regionuose.“</w:t>
            </w:r>
          </w:p>
          <w:p w14:paraId="699141AF" w14:textId="77777777" w:rsidR="001D33CA" w:rsidRPr="00B44B19" w:rsidRDefault="00334B0C" w:rsidP="007D0221">
            <w:pPr>
              <w:spacing w:before="60" w:after="60"/>
              <w:jc w:val="both"/>
              <w:rPr>
                <w:rFonts w:eastAsia="Times New Roman" w:cs="Times New Roman"/>
                <w:sz w:val="22"/>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r w:rsidR="00665E0A" w:rsidRPr="00B44B19">
              <w:rPr>
                <w:rFonts w:eastAsia="Times New Roman" w:cs="Times New Roman"/>
                <w:noProof/>
                <w:sz w:val="22"/>
              </w:rPr>
              <w:t>.</w:t>
            </w:r>
          </w:p>
        </w:tc>
      </w:tr>
    </w:tbl>
    <w:p w14:paraId="65183972" w14:textId="77777777" w:rsidR="004125F6" w:rsidRPr="00B44B19" w:rsidRDefault="004125F6"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17303" w:rsidRPr="00B44B19" w14:paraId="2FF47E80" w14:textId="77777777" w:rsidTr="00417303">
        <w:tc>
          <w:tcPr>
            <w:tcW w:w="9854" w:type="dxa"/>
          </w:tcPr>
          <w:p w14:paraId="6D60A706" w14:textId="77777777" w:rsidR="00417303" w:rsidRPr="00B44B19" w:rsidRDefault="003914C6" w:rsidP="007D0221">
            <w:pPr>
              <w:spacing w:before="60" w:after="60"/>
              <w:jc w:val="both"/>
              <w:rPr>
                <w:rFonts w:eastAsia="Calibri" w:cs="Times New Roman"/>
                <w:b/>
                <w:i/>
                <w:noProof/>
                <w:szCs w:val="24"/>
                <w:lang w:eastAsia="lt-LT" w:bidi="lt-LT"/>
              </w:rPr>
            </w:pPr>
            <w:r w:rsidRPr="00B44B19">
              <w:rPr>
                <w:rFonts w:cs="Times New Roman"/>
                <w:sz w:val="22"/>
              </w:rPr>
              <w:lastRenderedPageBreak/>
              <w:t>SVV</w:t>
            </w:r>
            <w:r w:rsidR="00417303" w:rsidRPr="00B44B19">
              <w:rPr>
                <w:rFonts w:cs="Times New Roman"/>
                <w:sz w:val="22"/>
              </w:rPr>
              <w:t>, įskaitant ne pelno siekiančias organizacijas ir dirbančiuosius savarankiškai</w:t>
            </w:r>
            <w:r w:rsidR="00BD4921" w:rsidRPr="00B44B19">
              <w:rPr>
                <w:rFonts w:cs="Times New Roman"/>
                <w:sz w:val="22"/>
              </w:rPr>
              <w:t xml:space="preserve"> įskaitant NVO, kurių darbuotojai bus žmonės su negalia, vyresnio amžiaus, socialinės rizikos ir atskirties asmenys, šeimos ar vieniši tėvai, derinantys šeimos ir darbo įsipareigojimus, jaunimas, socialiai pažeidžiami, socialinę riziką (atskirtį) patiriantys asmenys</w:t>
            </w:r>
            <w:r w:rsidR="00417303" w:rsidRPr="00B44B19">
              <w:rPr>
                <w:rFonts w:cs="Times New Roman"/>
                <w:sz w:val="22"/>
              </w:rPr>
              <w:t>; kultūros, įskaitant paveldą, objektų lankytojai; kultūros ir paveldo objektų valdytojai.</w:t>
            </w:r>
          </w:p>
        </w:tc>
      </w:tr>
    </w:tbl>
    <w:p w14:paraId="51A5CEF0" w14:textId="77777777" w:rsidR="004125F6" w:rsidRPr="00B44B19" w:rsidRDefault="004125F6" w:rsidP="00783D09">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17303" w:rsidRPr="00B44B19" w14:paraId="7276194E" w14:textId="77777777" w:rsidTr="00417303">
        <w:tc>
          <w:tcPr>
            <w:tcW w:w="9854" w:type="dxa"/>
          </w:tcPr>
          <w:p w14:paraId="6100B03E" w14:textId="77777777" w:rsidR="00417303" w:rsidRPr="00B44B19" w:rsidRDefault="00DC5283" w:rsidP="007D0221">
            <w:pPr>
              <w:spacing w:before="60" w:after="60"/>
              <w:jc w:val="both"/>
              <w:rPr>
                <w:rFonts w:eastAsia="Calibri" w:cs="Times New Roman"/>
                <w:bCs/>
                <w:iCs/>
                <w:noProof/>
                <w:sz w:val="22"/>
                <w:lang w:eastAsia="lt-LT" w:bidi="lt-LT"/>
              </w:rPr>
            </w:pPr>
            <w:r w:rsidRPr="00B44B19">
              <w:rPr>
                <w:rFonts w:eastAsia="Calibri" w:cs="Times New Roman"/>
                <w:bCs/>
                <w:iCs/>
                <w:noProof/>
                <w:sz w:val="22"/>
                <w:lang w:eastAsia="lt-LT" w:bidi="lt-LT"/>
              </w:rPr>
              <w:t>Vystant numatytas veiklas bus siekiama užtikrinti lygybės, įtraukties ir nediskriminavimo principus. Kuriant ar atnaujinant infrastruktūrą planuojami prioritetiniai balai už universalaus dizaino principų taikymą ir geresnį nei teisės aktuose nustatytą pritaikymą žmonėms su negalia ar sutrikimais, vyresnio amžiaus žmonėms ir pan.</w:t>
            </w:r>
          </w:p>
        </w:tc>
      </w:tr>
    </w:tbl>
    <w:p w14:paraId="37B5BCEC" w14:textId="77777777" w:rsidR="004125F6" w:rsidRPr="00B44B19" w:rsidRDefault="004125F6" w:rsidP="00783D09">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17303" w:rsidRPr="00B44B19" w14:paraId="50B7F6CC" w14:textId="77777777" w:rsidTr="00417303">
        <w:tc>
          <w:tcPr>
            <w:tcW w:w="9854" w:type="dxa"/>
          </w:tcPr>
          <w:p w14:paraId="521D7FAD" w14:textId="77777777" w:rsidR="00417303" w:rsidRPr="00B44B19" w:rsidRDefault="00417303" w:rsidP="007D0221">
            <w:pPr>
              <w:spacing w:before="60" w:after="60"/>
              <w:jc w:val="both"/>
              <w:rPr>
                <w:rFonts w:cs="Times New Roman"/>
                <w:bCs/>
                <w:color w:val="000000"/>
                <w:sz w:val="22"/>
              </w:rPr>
            </w:pPr>
            <w:r w:rsidRPr="00B44B19">
              <w:rPr>
                <w:rFonts w:eastAsia="Times New Roman" w:cs="Times New Roman"/>
                <w:noProof/>
                <w:sz w:val="22"/>
              </w:rPr>
              <w:t>VVL regionas, Sostinės regionas</w:t>
            </w:r>
            <w:r w:rsidR="00665E0A" w:rsidRPr="00B44B19">
              <w:rPr>
                <w:rFonts w:eastAsia="Times New Roman" w:cs="Times New Roman"/>
                <w:noProof/>
                <w:sz w:val="22"/>
              </w:rPr>
              <w:t>.</w:t>
            </w:r>
          </w:p>
        </w:tc>
      </w:tr>
    </w:tbl>
    <w:p w14:paraId="3C83DFFA" w14:textId="77777777" w:rsidR="004125F6" w:rsidRPr="00B44B19" w:rsidRDefault="004125F6" w:rsidP="00783D09">
      <w:pPr>
        <w:pStyle w:val="Stilius1"/>
        <w:rPr>
          <w:rFonts w:eastAsia="Times New Roman" w:cs="Times New Roman"/>
          <w:iCs/>
          <w:noProof/>
          <w:lang w:eastAsia="lt-LT" w:bidi="lt-LT"/>
        </w:rPr>
      </w:pPr>
      <w:r w:rsidRPr="00B44B19">
        <w:rPr>
          <w:rFonts w:cs="Times New Roman"/>
          <w:noProof/>
          <w:lang w:eastAsia="lt-LT" w:bidi="lt-LT"/>
        </w:rPr>
        <w:t>Tarpregioniniai</w:t>
      </w:r>
      <w:r w:rsidR="00993B5D" w:rsidRPr="00B44B19">
        <w:rPr>
          <w:rFonts w:cs="Times New Roman"/>
          <w:noProof/>
          <w:lang w:eastAsia="lt-LT" w:bidi="lt-LT"/>
        </w:rPr>
        <w:t>, tarp sienų</w:t>
      </w:r>
      <w:r w:rsidRPr="00B44B19">
        <w:rPr>
          <w:rFonts w:cs="Times New Roman"/>
          <w:noProof/>
          <w:lang w:eastAsia="lt-LT" w:bidi="lt-LT"/>
        </w:rPr>
        <w:t xml:space="preserve"> ir tarpvalstybiniai veiksmai </w:t>
      </w:r>
    </w:p>
    <w:tbl>
      <w:tblPr>
        <w:tblStyle w:val="Lentelstinklelis"/>
        <w:tblW w:w="0" w:type="auto"/>
        <w:tblLook w:val="04A0" w:firstRow="1" w:lastRow="0" w:firstColumn="1" w:lastColumn="0" w:noHBand="0" w:noVBand="1"/>
      </w:tblPr>
      <w:tblGrid>
        <w:gridCol w:w="9628"/>
      </w:tblGrid>
      <w:tr w:rsidR="00417303" w:rsidRPr="00B44B19" w14:paraId="35911F86" w14:textId="77777777" w:rsidTr="00417303">
        <w:tc>
          <w:tcPr>
            <w:tcW w:w="9854" w:type="dxa"/>
          </w:tcPr>
          <w:p w14:paraId="2A345AEE" w14:textId="77777777" w:rsidR="00417303" w:rsidRPr="00B44B19" w:rsidRDefault="00993B5D" w:rsidP="007D0221">
            <w:pPr>
              <w:spacing w:before="60" w:after="60"/>
              <w:jc w:val="both"/>
              <w:rPr>
                <w:rFonts w:eastAsia="Calibri" w:cs="Times New Roman"/>
                <w:b/>
                <w:i/>
                <w:noProof/>
                <w:sz w:val="22"/>
                <w:lang w:eastAsia="lt-LT" w:bidi="lt-LT"/>
              </w:rPr>
            </w:pPr>
            <w:r w:rsidRPr="00B44B19">
              <w:rPr>
                <w:rFonts w:eastAsia="Calibri" w:cs="Times New Roman"/>
                <w:bCs/>
                <w:noProof/>
                <w:sz w:val="22"/>
                <w:lang w:eastAsia="lt-LT" w:bidi="lt-LT"/>
              </w:rPr>
              <w:t>Numatoma sudaryti visas galimybes prireikus juos atlikti</w:t>
            </w:r>
            <w:r w:rsidR="003914C6" w:rsidRPr="00B44B19">
              <w:rPr>
                <w:rFonts w:eastAsia="Calibri" w:cs="Times New Roman"/>
                <w:bCs/>
                <w:noProof/>
                <w:sz w:val="22"/>
                <w:lang w:eastAsia="lt-LT" w:bidi="lt-LT"/>
              </w:rPr>
              <w:t>.</w:t>
            </w:r>
          </w:p>
        </w:tc>
      </w:tr>
    </w:tbl>
    <w:p w14:paraId="1B7320F6" w14:textId="77777777" w:rsidR="004125F6" w:rsidRPr="00B44B19" w:rsidRDefault="004125F6" w:rsidP="00783D09">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417303" w:rsidRPr="00B44B19" w14:paraId="149252BC" w14:textId="77777777" w:rsidTr="00417303">
        <w:tc>
          <w:tcPr>
            <w:tcW w:w="9854" w:type="dxa"/>
          </w:tcPr>
          <w:p w14:paraId="3CDC4AC4" w14:textId="17E58C95" w:rsidR="00FC1672" w:rsidRPr="00B44B19" w:rsidRDefault="00DE5A2E" w:rsidP="002000C3">
            <w:pPr>
              <w:jc w:val="both"/>
              <w:rPr>
                <w:rFonts w:cs="Times New Roman"/>
                <w:i/>
                <w:color w:val="000000"/>
                <w:sz w:val="22"/>
                <w:lang w:bidi="lt-LT"/>
              </w:rPr>
            </w:pPr>
            <w:r w:rsidRPr="00B44B19">
              <w:rPr>
                <w:rFonts w:cs="Times New Roman"/>
                <w:sz w:val="22"/>
                <w:lang w:eastAsia="lt-LT"/>
              </w:rPr>
              <w:t xml:space="preserve">Atsižvelgiant į </w:t>
            </w:r>
            <w:r w:rsidR="00FC1672" w:rsidRPr="00B44B19">
              <w:rPr>
                <w:rFonts w:cs="Times New Roman"/>
                <w:sz w:val="22"/>
                <w:lang w:eastAsia="lt-LT"/>
              </w:rPr>
              <w:t>K</w:t>
            </w:r>
            <w:r w:rsidR="00FC1672" w:rsidRPr="00B44B19">
              <w:rPr>
                <w:rFonts w:cs="Times New Roman"/>
                <w:sz w:val="22"/>
              </w:rPr>
              <w:t>ultūros sektoriaus finansinių priemonių išankstin</w:t>
            </w:r>
            <w:r w:rsidRPr="00B44B19">
              <w:rPr>
                <w:rFonts w:cs="Times New Roman"/>
                <w:sz w:val="22"/>
              </w:rPr>
              <w:t>į</w:t>
            </w:r>
            <w:r w:rsidR="00FC1672" w:rsidRPr="00B44B19">
              <w:rPr>
                <w:rFonts w:cs="Times New Roman"/>
                <w:sz w:val="22"/>
              </w:rPr>
              <w:t xml:space="preserve"> vertinim</w:t>
            </w:r>
            <w:r w:rsidRPr="00B44B19">
              <w:rPr>
                <w:rFonts w:cs="Times New Roman"/>
                <w:sz w:val="22"/>
              </w:rPr>
              <w:t>ą</w:t>
            </w:r>
            <w:r w:rsidR="00FC1672" w:rsidRPr="00B44B19">
              <w:rPr>
                <w:rFonts w:cs="Times New Roman"/>
                <w:sz w:val="22"/>
              </w:rPr>
              <w:t xml:space="preserve">, kuris nurodo esamą rinkos trūkumą ir kuris dar nėra visas padengtas, finansiškai gyvybinga veikla </w:t>
            </w:r>
            <w:r w:rsidR="00FC1672" w:rsidRPr="00B44B19">
              <w:rPr>
                <w:rFonts w:cs="Times New Roman"/>
                <w:sz w:val="22"/>
                <w:lang w:eastAsia="lt-LT"/>
              </w:rPr>
              <w:t>„</w:t>
            </w:r>
            <w:r w:rsidR="00FC1672" w:rsidRPr="00B44B19">
              <w:rPr>
                <w:rFonts w:cs="Times New Roman"/>
                <w:sz w:val="22"/>
              </w:rPr>
              <w:t>Kultūros infrastruktūros ir paveldo objektų lankstus pritaikymas įvairių socialinių grupių poreikiams</w:t>
            </w:r>
            <w:r w:rsidR="00FC1672" w:rsidRPr="00B44B19">
              <w:rPr>
                <w:rFonts w:cs="Times New Roman"/>
                <w:sz w:val="22"/>
                <w:lang w:eastAsia="lt-LT"/>
              </w:rPr>
              <w:t>“</w:t>
            </w:r>
            <w:r w:rsidR="00FC1672" w:rsidRPr="00B44B19">
              <w:rPr>
                <w:rFonts w:cs="Times New Roman"/>
                <w:sz w:val="22"/>
              </w:rPr>
              <w:t xml:space="preserve"> bus finansuojama taikant finansinę priemonę ir derinant ją su dotacija įgyvendinant vieną projektą, kuri bus naudojama, kaip paskata ir rizikos valdymo priemonė.</w:t>
            </w:r>
          </w:p>
          <w:p w14:paraId="11DADE64" w14:textId="77777777" w:rsidR="004A5CBC" w:rsidRPr="00B44B19" w:rsidRDefault="003B2B34" w:rsidP="002000C3">
            <w:pPr>
              <w:jc w:val="both"/>
              <w:rPr>
                <w:rFonts w:cs="Times New Roman"/>
                <w:sz w:val="22"/>
                <w:lang w:eastAsia="lt-LT"/>
              </w:rPr>
            </w:pPr>
            <w:r w:rsidRPr="00B44B19">
              <w:rPr>
                <w:rFonts w:cs="Times New Roman"/>
                <w:sz w:val="22"/>
                <w:lang w:eastAsia="lt-LT"/>
              </w:rPr>
              <w:t>Planuojama numatyti galimybę pasinaudoti BNR 68 str. 2 d. esančia nuostata, kuri leidžia investuoti naujo laikotarpio lėšas į 2014</w:t>
            </w:r>
            <w:r w:rsidR="00A4270D" w:rsidRPr="00B44B19">
              <w:rPr>
                <w:rFonts w:cs="Times New Roman"/>
                <w:sz w:val="22"/>
                <w:lang w:eastAsia="lt-LT"/>
              </w:rPr>
              <w:t>–</w:t>
            </w:r>
            <w:r w:rsidRPr="00B44B19">
              <w:rPr>
                <w:rFonts w:cs="Times New Roman"/>
                <w:sz w:val="22"/>
                <w:lang w:eastAsia="lt-LT"/>
              </w:rPr>
              <w:t>2020 m. laikotarpi</w:t>
            </w:r>
            <w:r w:rsidR="00061DB9" w:rsidRPr="00B44B19">
              <w:rPr>
                <w:rFonts w:cs="Times New Roman"/>
                <w:sz w:val="22"/>
                <w:lang w:eastAsia="lt-LT"/>
              </w:rPr>
              <w:t>u pradėtas finansines priemones</w:t>
            </w:r>
            <w:r w:rsidRPr="00B44B19">
              <w:rPr>
                <w:rFonts w:cs="Times New Roman"/>
                <w:sz w:val="22"/>
                <w:lang w:eastAsia="lt-LT"/>
              </w:rPr>
              <w:t>, nes pareiškėjai ir spręstinos problemos išlieka tokios pačios bei aktualios.</w:t>
            </w:r>
          </w:p>
        </w:tc>
      </w:tr>
    </w:tbl>
    <w:p w14:paraId="4C7CB6CF" w14:textId="77777777" w:rsidR="00D56FF3" w:rsidRPr="00B44B19" w:rsidRDefault="002B441C" w:rsidP="00783D09">
      <w:pPr>
        <w:pStyle w:val="Stilius1"/>
        <w:rPr>
          <w:rFonts w:eastAsia="Calibri" w:cs="Times New Roman"/>
          <w:noProof/>
          <w:szCs w:val="20"/>
          <w:lang w:eastAsia="lt-LT" w:bidi="lt-LT"/>
        </w:rPr>
      </w:pPr>
      <w:r w:rsidRPr="00B44B19">
        <w:rPr>
          <w:rFonts w:cs="Times New Roman"/>
        </w:rPr>
        <w:t>Rodikliai</w:t>
      </w:r>
    </w:p>
    <w:p w14:paraId="677E0C19" w14:textId="77777777" w:rsidR="002B441C" w:rsidRPr="00B44B19" w:rsidRDefault="002B441C" w:rsidP="00D56FF3">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960"/>
        <w:gridCol w:w="824"/>
        <w:gridCol w:w="968"/>
        <w:gridCol w:w="1243"/>
        <w:gridCol w:w="1662"/>
        <w:gridCol w:w="970"/>
        <w:gridCol w:w="968"/>
        <w:gridCol w:w="922"/>
      </w:tblGrid>
      <w:tr w:rsidR="00A2580C" w:rsidRPr="00B44B19" w14:paraId="11C1742D" w14:textId="77777777" w:rsidTr="008B3B20">
        <w:trPr>
          <w:trHeight w:val="554"/>
          <w:tblHeader/>
        </w:trPr>
        <w:tc>
          <w:tcPr>
            <w:tcW w:w="5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A3004F"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4FBFC0"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7BF58D"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880308"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E91776"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35BD45"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AACAC5"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31C514"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625E1F"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Siek</w:t>
            </w:r>
            <w:r w:rsidR="0087660D" w:rsidRPr="00B44B19">
              <w:rPr>
                <w:rFonts w:cs="Times New Roman"/>
                <w:b/>
                <w:noProof/>
                <w:sz w:val="16"/>
                <w:szCs w:val="16"/>
              </w:rPr>
              <w:t>tina reikšmė</w:t>
            </w:r>
            <w:r w:rsidRPr="00B44B19">
              <w:rPr>
                <w:rFonts w:cs="Times New Roman"/>
                <w:b/>
                <w:noProof/>
                <w:sz w:val="16"/>
                <w:szCs w:val="16"/>
              </w:rPr>
              <w:t>(2029 m.)</w:t>
            </w:r>
          </w:p>
        </w:tc>
      </w:tr>
      <w:tr w:rsidR="00A2580C" w:rsidRPr="00B44B19" w14:paraId="143DA77E" w14:textId="77777777" w:rsidTr="008B3B20">
        <w:trPr>
          <w:trHeight w:val="340"/>
        </w:trPr>
        <w:tc>
          <w:tcPr>
            <w:tcW w:w="567" w:type="pct"/>
            <w:vMerge w:val="restart"/>
            <w:tcBorders>
              <w:top w:val="single" w:sz="12" w:space="0" w:color="auto"/>
            </w:tcBorders>
          </w:tcPr>
          <w:p w14:paraId="45929C91"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 Socialiai atsakingesnė Lietuva</w:t>
            </w:r>
          </w:p>
        </w:tc>
        <w:tc>
          <w:tcPr>
            <w:tcW w:w="499" w:type="pct"/>
            <w:vMerge w:val="restart"/>
            <w:tcBorders>
              <w:top w:val="single" w:sz="12" w:space="0" w:color="auto"/>
            </w:tcBorders>
          </w:tcPr>
          <w:p w14:paraId="248D45B0"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4.6.</w:t>
            </w:r>
          </w:p>
        </w:tc>
        <w:tc>
          <w:tcPr>
            <w:tcW w:w="429" w:type="pct"/>
            <w:vMerge w:val="restart"/>
            <w:tcBorders>
              <w:top w:val="single" w:sz="12" w:space="0" w:color="auto"/>
            </w:tcBorders>
          </w:tcPr>
          <w:p w14:paraId="5AB730B3"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ERPF</w:t>
            </w:r>
          </w:p>
        </w:tc>
        <w:tc>
          <w:tcPr>
            <w:tcW w:w="504" w:type="pct"/>
            <w:tcBorders>
              <w:top w:val="single" w:sz="12" w:space="0" w:color="auto"/>
              <w:bottom w:val="single" w:sz="4" w:space="0" w:color="auto"/>
            </w:tcBorders>
          </w:tcPr>
          <w:p w14:paraId="40D432F8"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647" w:type="pct"/>
            <w:tcBorders>
              <w:top w:val="single" w:sz="12" w:space="0" w:color="auto"/>
              <w:bottom w:val="single" w:sz="4" w:space="0" w:color="auto"/>
            </w:tcBorders>
          </w:tcPr>
          <w:p w14:paraId="27B43C2C" w14:textId="77777777" w:rsidR="00A2580C" w:rsidRPr="00B44B19" w:rsidRDefault="00A2580C" w:rsidP="00A2580C">
            <w:pPr>
              <w:spacing w:after="0" w:line="240" w:lineRule="auto"/>
              <w:jc w:val="both"/>
              <w:rPr>
                <w:rFonts w:cs="Times New Roman"/>
                <w:b/>
                <w:noProof/>
                <w:sz w:val="16"/>
                <w:szCs w:val="16"/>
              </w:rPr>
            </w:pPr>
            <w:r w:rsidRPr="00B44B19">
              <w:rPr>
                <w:rFonts w:eastAsia="Calibri" w:cs="Times New Roman"/>
                <w:sz w:val="16"/>
                <w:szCs w:val="16"/>
                <w:lang w:eastAsia="en-GB" w:bidi="lt-LT"/>
              </w:rPr>
              <w:t>RCO01</w:t>
            </w:r>
          </w:p>
        </w:tc>
        <w:tc>
          <w:tcPr>
            <w:tcW w:w="865" w:type="pct"/>
            <w:tcBorders>
              <w:top w:val="single" w:sz="12" w:space="0" w:color="auto"/>
              <w:bottom w:val="single" w:sz="4" w:space="0" w:color="auto"/>
            </w:tcBorders>
          </w:tcPr>
          <w:p w14:paraId="487522ED" w14:textId="77777777" w:rsidR="00A2580C" w:rsidRPr="00B44B19" w:rsidRDefault="00A2580C" w:rsidP="00A2580C">
            <w:pPr>
              <w:spacing w:after="0" w:line="240" w:lineRule="auto"/>
              <w:rPr>
                <w:rFonts w:cs="Times New Roman"/>
                <w:b/>
                <w:i/>
                <w:noProof/>
                <w:sz w:val="16"/>
                <w:szCs w:val="16"/>
              </w:rPr>
            </w:pPr>
            <w:r w:rsidRPr="00B44B19">
              <w:rPr>
                <w:rFonts w:eastAsia="Calibri" w:cs="Times New Roman"/>
                <w:sz w:val="16"/>
                <w:szCs w:val="16"/>
                <w:lang w:eastAsia="en-GB" w:bidi="lt-LT"/>
              </w:rPr>
              <w:t>Paramą gavusios įmonės (iš kurių: labai mažos, mažosios</w:t>
            </w:r>
            <w:r w:rsidR="00BA56A5" w:rsidRPr="00B44B19">
              <w:rPr>
                <w:rFonts w:eastAsia="Calibri" w:cs="Times New Roman"/>
                <w:sz w:val="16"/>
                <w:szCs w:val="16"/>
                <w:lang w:eastAsia="en-GB" w:bidi="lt-LT"/>
              </w:rPr>
              <w:t>,</w:t>
            </w:r>
            <w:r w:rsidRPr="00B44B19">
              <w:rPr>
                <w:rFonts w:eastAsia="Calibri" w:cs="Times New Roman"/>
                <w:sz w:val="16"/>
                <w:szCs w:val="16"/>
                <w:lang w:eastAsia="en-GB" w:bidi="lt-LT"/>
              </w:rPr>
              <w:t xml:space="preserve"> vidutinės ir didelės</w:t>
            </w:r>
            <w:r w:rsidR="00665E0A" w:rsidRPr="00B44B19">
              <w:rPr>
                <w:rFonts w:eastAsia="Calibri" w:cs="Times New Roman"/>
                <w:sz w:val="16"/>
                <w:szCs w:val="16"/>
                <w:lang w:eastAsia="en-GB" w:bidi="lt-LT"/>
              </w:rPr>
              <w:t>)</w:t>
            </w:r>
          </w:p>
        </w:tc>
        <w:tc>
          <w:tcPr>
            <w:tcW w:w="505" w:type="pct"/>
            <w:tcBorders>
              <w:top w:val="single" w:sz="12" w:space="0" w:color="auto"/>
              <w:bottom w:val="single" w:sz="4" w:space="0" w:color="auto"/>
            </w:tcBorders>
          </w:tcPr>
          <w:p w14:paraId="50C9A7C0" w14:textId="77777777" w:rsidR="00A2580C" w:rsidRPr="00B44B19" w:rsidRDefault="00A2580C" w:rsidP="00A2580C">
            <w:pPr>
              <w:spacing w:after="0" w:line="240" w:lineRule="auto"/>
              <w:jc w:val="both"/>
              <w:rPr>
                <w:rFonts w:cs="Times New Roman"/>
                <w:b/>
                <w:i/>
                <w:noProof/>
                <w:sz w:val="16"/>
                <w:szCs w:val="16"/>
              </w:rPr>
            </w:pPr>
            <w:r w:rsidRPr="00B44B19">
              <w:rPr>
                <w:rFonts w:cs="Times New Roman"/>
                <w:noProof/>
                <w:sz w:val="16"/>
                <w:szCs w:val="16"/>
              </w:rPr>
              <w:t>Įmonės</w:t>
            </w:r>
          </w:p>
        </w:tc>
        <w:tc>
          <w:tcPr>
            <w:tcW w:w="504" w:type="pct"/>
            <w:tcBorders>
              <w:top w:val="single" w:sz="12" w:space="0" w:color="auto"/>
              <w:bottom w:val="single" w:sz="4" w:space="0" w:color="auto"/>
            </w:tcBorders>
          </w:tcPr>
          <w:p w14:paraId="63355FCB"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9</w:t>
            </w:r>
          </w:p>
        </w:tc>
        <w:tc>
          <w:tcPr>
            <w:tcW w:w="482" w:type="pct"/>
            <w:tcBorders>
              <w:top w:val="single" w:sz="12" w:space="0" w:color="auto"/>
              <w:bottom w:val="single" w:sz="4" w:space="0" w:color="auto"/>
            </w:tcBorders>
          </w:tcPr>
          <w:p w14:paraId="11A8CFEE" w14:textId="1B03B4D0" w:rsidR="00A2580C" w:rsidRPr="00B44B19" w:rsidRDefault="008B3B20" w:rsidP="00A2580C">
            <w:pPr>
              <w:spacing w:after="0" w:line="240" w:lineRule="auto"/>
              <w:jc w:val="center"/>
              <w:rPr>
                <w:rFonts w:cs="Times New Roman"/>
                <w:bCs/>
                <w:iCs/>
                <w:noProof/>
                <w:sz w:val="16"/>
                <w:szCs w:val="16"/>
              </w:rPr>
            </w:pPr>
            <w:r w:rsidRPr="00B44B19">
              <w:rPr>
                <w:rFonts w:cs="Times New Roman"/>
                <w:bCs/>
                <w:iCs/>
                <w:noProof/>
                <w:sz w:val="16"/>
                <w:szCs w:val="16"/>
              </w:rPr>
              <w:t>87</w:t>
            </w:r>
          </w:p>
        </w:tc>
      </w:tr>
      <w:tr w:rsidR="00A2580C" w:rsidRPr="00B44B19" w14:paraId="3E9D9E04" w14:textId="77777777" w:rsidTr="008B3B20">
        <w:trPr>
          <w:trHeight w:val="340"/>
        </w:trPr>
        <w:tc>
          <w:tcPr>
            <w:tcW w:w="567" w:type="pct"/>
            <w:vMerge/>
          </w:tcPr>
          <w:p w14:paraId="1C4F51EF"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2A070A67"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6B26DD51"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4D056CB4"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64280E07"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en-GB" w:bidi="lt-LT"/>
              </w:rPr>
              <w:t>RCO01</w:t>
            </w:r>
          </w:p>
        </w:tc>
        <w:tc>
          <w:tcPr>
            <w:tcW w:w="865" w:type="pct"/>
            <w:tcBorders>
              <w:top w:val="single" w:sz="4" w:space="0" w:color="auto"/>
              <w:bottom w:val="single" w:sz="4" w:space="0" w:color="auto"/>
            </w:tcBorders>
          </w:tcPr>
          <w:p w14:paraId="6FAF1E2C" w14:textId="77777777" w:rsidR="00A2580C" w:rsidRPr="00B44B19" w:rsidRDefault="00A2580C" w:rsidP="00A2580C">
            <w:pPr>
              <w:spacing w:after="0" w:line="240" w:lineRule="auto"/>
              <w:rPr>
                <w:rFonts w:cs="Times New Roman"/>
                <w:noProof/>
                <w:sz w:val="16"/>
                <w:szCs w:val="16"/>
              </w:rPr>
            </w:pPr>
            <w:r w:rsidRPr="00B44B19">
              <w:rPr>
                <w:rFonts w:eastAsia="Calibri" w:cs="Times New Roman"/>
                <w:sz w:val="16"/>
                <w:szCs w:val="16"/>
                <w:lang w:eastAsia="en-GB" w:bidi="lt-LT"/>
              </w:rPr>
              <w:t>Paramą gavusios įmonės (iš kurių: labai mažos, mažosios</w:t>
            </w:r>
            <w:r w:rsidR="00BA56A5" w:rsidRPr="00B44B19">
              <w:rPr>
                <w:rFonts w:eastAsia="Calibri" w:cs="Times New Roman"/>
                <w:sz w:val="16"/>
                <w:szCs w:val="16"/>
                <w:lang w:eastAsia="en-GB" w:bidi="lt-LT"/>
              </w:rPr>
              <w:t>,</w:t>
            </w:r>
            <w:r w:rsidRPr="00B44B19">
              <w:rPr>
                <w:rFonts w:eastAsia="Calibri" w:cs="Times New Roman"/>
                <w:sz w:val="16"/>
                <w:szCs w:val="16"/>
                <w:lang w:eastAsia="en-GB" w:bidi="lt-LT"/>
              </w:rPr>
              <w:t xml:space="preserve"> vidutinės ir didelės</w:t>
            </w:r>
            <w:r w:rsidR="00665E0A" w:rsidRPr="00B44B19">
              <w:rPr>
                <w:rFonts w:eastAsia="Calibri" w:cs="Times New Roman"/>
                <w:sz w:val="16"/>
                <w:szCs w:val="16"/>
                <w:lang w:eastAsia="en-GB" w:bidi="lt-LT"/>
              </w:rPr>
              <w:t>)</w:t>
            </w:r>
          </w:p>
        </w:tc>
        <w:tc>
          <w:tcPr>
            <w:tcW w:w="505" w:type="pct"/>
            <w:tcBorders>
              <w:top w:val="single" w:sz="4" w:space="0" w:color="auto"/>
              <w:bottom w:val="single" w:sz="4" w:space="0" w:color="auto"/>
            </w:tcBorders>
          </w:tcPr>
          <w:p w14:paraId="2C2572F3"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Įmonės</w:t>
            </w:r>
          </w:p>
        </w:tc>
        <w:tc>
          <w:tcPr>
            <w:tcW w:w="504" w:type="pct"/>
            <w:tcBorders>
              <w:top w:val="single" w:sz="4" w:space="0" w:color="auto"/>
              <w:bottom w:val="single" w:sz="4" w:space="0" w:color="auto"/>
            </w:tcBorders>
          </w:tcPr>
          <w:p w14:paraId="33B79C96"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8</w:t>
            </w:r>
          </w:p>
        </w:tc>
        <w:tc>
          <w:tcPr>
            <w:tcW w:w="482" w:type="pct"/>
            <w:tcBorders>
              <w:top w:val="single" w:sz="4" w:space="0" w:color="auto"/>
              <w:bottom w:val="single" w:sz="4" w:space="0" w:color="auto"/>
            </w:tcBorders>
          </w:tcPr>
          <w:p w14:paraId="25FEE4D6" w14:textId="783C4D4D" w:rsidR="00A2580C" w:rsidRPr="00B44B19" w:rsidRDefault="008B3B20" w:rsidP="00A2580C">
            <w:pPr>
              <w:spacing w:after="0" w:line="240" w:lineRule="auto"/>
              <w:jc w:val="center"/>
              <w:rPr>
                <w:rFonts w:cs="Times New Roman"/>
                <w:bCs/>
                <w:iCs/>
                <w:noProof/>
                <w:sz w:val="16"/>
                <w:szCs w:val="16"/>
              </w:rPr>
            </w:pPr>
            <w:r w:rsidRPr="00B44B19">
              <w:rPr>
                <w:rFonts w:cs="Times New Roman"/>
                <w:bCs/>
                <w:iCs/>
                <w:noProof/>
                <w:sz w:val="16"/>
                <w:szCs w:val="16"/>
              </w:rPr>
              <w:t>59</w:t>
            </w:r>
          </w:p>
        </w:tc>
      </w:tr>
      <w:tr w:rsidR="00A2580C" w:rsidRPr="00B44B19" w14:paraId="3A33CE2E" w14:textId="77777777" w:rsidTr="008B3B20">
        <w:trPr>
          <w:trHeight w:val="340"/>
        </w:trPr>
        <w:tc>
          <w:tcPr>
            <w:tcW w:w="567" w:type="pct"/>
            <w:vMerge/>
          </w:tcPr>
          <w:p w14:paraId="3FC3C2BD"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5412AAD8"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6B3106AB"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52D9C508" w14:textId="77777777" w:rsidR="00A2580C" w:rsidRPr="00B44B19" w:rsidRDefault="00A2580C" w:rsidP="00A2580C">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0768A7F0" w14:textId="77777777" w:rsidR="00A2580C" w:rsidRPr="00B44B19" w:rsidRDefault="00A2580C" w:rsidP="00A2580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RCO02</w:t>
            </w:r>
          </w:p>
        </w:tc>
        <w:tc>
          <w:tcPr>
            <w:tcW w:w="865" w:type="pct"/>
            <w:tcBorders>
              <w:top w:val="single" w:sz="4" w:space="0" w:color="auto"/>
              <w:bottom w:val="single" w:sz="4" w:space="0" w:color="auto"/>
            </w:tcBorders>
          </w:tcPr>
          <w:p w14:paraId="54FF6878" w14:textId="77777777" w:rsidR="00A2580C" w:rsidRPr="00B44B19" w:rsidRDefault="00A2580C" w:rsidP="00A2580C">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Paramą dotacijomis gavusios įmonės</w:t>
            </w:r>
          </w:p>
        </w:tc>
        <w:tc>
          <w:tcPr>
            <w:tcW w:w="505" w:type="pct"/>
            <w:tcBorders>
              <w:top w:val="single" w:sz="4" w:space="0" w:color="auto"/>
              <w:bottom w:val="single" w:sz="4" w:space="0" w:color="auto"/>
            </w:tcBorders>
          </w:tcPr>
          <w:p w14:paraId="6557ABF8"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Įmonės</w:t>
            </w:r>
          </w:p>
        </w:tc>
        <w:tc>
          <w:tcPr>
            <w:tcW w:w="504" w:type="pct"/>
            <w:tcBorders>
              <w:top w:val="single" w:sz="4" w:space="0" w:color="auto"/>
              <w:bottom w:val="single" w:sz="4" w:space="0" w:color="auto"/>
            </w:tcBorders>
          </w:tcPr>
          <w:p w14:paraId="6F6D23E7"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1</w:t>
            </w:r>
          </w:p>
        </w:tc>
        <w:tc>
          <w:tcPr>
            <w:tcW w:w="482" w:type="pct"/>
            <w:tcBorders>
              <w:top w:val="single" w:sz="4" w:space="0" w:color="auto"/>
              <w:bottom w:val="single" w:sz="4" w:space="0" w:color="auto"/>
            </w:tcBorders>
          </w:tcPr>
          <w:p w14:paraId="49075AD1" w14:textId="3C6E7696" w:rsidR="00A2580C" w:rsidRPr="00B44B19" w:rsidRDefault="008B3B20" w:rsidP="00A2580C">
            <w:pPr>
              <w:spacing w:after="0" w:line="240" w:lineRule="auto"/>
              <w:jc w:val="center"/>
              <w:rPr>
                <w:rFonts w:cs="Times New Roman"/>
                <w:bCs/>
                <w:iCs/>
                <w:noProof/>
                <w:sz w:val="16"/>
                <w:szCs w:val="16"/>
              </w:rPr>
            </w:pPr>
            <w:r w:rsidRPr="00B44B19">
              <w:rPr>
                <w:rFonts w:cs="Times New Roman"/>
                <w:bCs/>
                <w:iCs/>
                <w:noProof/>
                <w:sz w:val="16"/>
                <w:szCs w:val="16"/>
              </w:rPr>
              <w:t>14</w:t>
            </w:r>
          </w:p>
        </w:tc>
      </w:tr>
      <w:tr w:rsidR="00A2580C" w:rsidRPr="00B44B19" w14:paraId="75569E3E" w14:textId="77777777" w:rsidTr="008B3B20">
        <w:trPr>
          <w:trHeight w:val="340"/>
        </w:trPr>
        <w:tc>
          <w:tcPr>
            <w:tcW w:w="567" w:type="pct"/>
            <w:vMerge/>
          </w:tcPr>
          <w:p w14:paraId="707994C6"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034D5683"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48FC8654"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1ABA1AD7"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70A457CF"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en-GB" w:bidi="lt-LT"/>
              </w:rPr>
              <w:t>RCO02</w:t>
            </w:r>
          </w:p>
        </w:tc>
        <w:tc>
          <w:tcPr>
            <w:tcW w:w="865" w:type="pct"/>
            <w:tcBorders>
              <w:top w:val="single" w:sz="4" w:space="0" w:color="auto"/>
              <w:bottom w:val="single" w:sz="4" w:space="0" w:color="auto"/>
            </w:tcBorders>
          </w:tcPr>
          <w:p w14:paraId="6BC998C2" w14:textId="77777777" w:rsidR="00A2580C" w:rsidRPr="00B44B19" w:rsidRDefault="00A2580C" w:rsidP="00A2580C">
            <w:pPr>
              <w:spacing w:after="0" w:line="240" w:lineRule="auto"/>
              <w:rPr>
                <w:rFonts w:cs="Times New Roman"/>
                <w:noProof/>
                <w:sz w:val="16"/>
                <w:szCs w:val="16"/>
              </w:rPr>
            </w:pPr>
            <w:r w:rsidRPr="00B44B19">
              <w:rPr>
                <w:rFonts w:eastAsia="Calibri" w:cs="Times New Roman"/>
                <w:sz w:val="16"/>
                <w:szCs w:val="16"/>
                <w:lang w:eastAsia="en-GB" w:bidi="lt-LT"/>
              </w:rPr>
              <w:t>Paramą dotacijomis gavusios įmonės</w:t>
            </w:r>
          </w:p>
        </w:tc>
        <w:tc>
          <w:tcPr>
            <w:tcW w:w="505" w:type="pct"/>
            <w:tcBorders>
              <w:top w:val="single" w:sz="4" w:space="0" w:color="auto"/>
              <w:bottom w:val="single" w:sz="4" w:space="0" w:color="auto"/>
            </w:tcBorders>
          </w:tcPr>
          <w:p w14:paraId="2FF62E5B"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Įmonės</w:t>
            </w:r>
          </w:p>
        </w:tc>
        <w:tc>
          <w:tcPr>
            <w:tcW w:w="504" w:type="pct"/>
            <w:tcBorders>
              <w:top w:val="single" w:sz="4" w:space="0" w:color="auto"/>
              <w:bottom w:val="single" w:sz="4" w:space="0" w:color="auto"/>
            </w:tcBorders>
          </w:tcPr>
          <w:p w14:paraId="125D37D9"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3</w:t>
            </w:r>
          </w:p>
        </w:tc>
        <w:tc>
          <w:tcPr>
            <w:tcW w:w="482" w:type="pct"/>
            <w:tcBorders>
              <w:top w:val="single" w:sz="4" w:space="0" w:color="auto"/>
              <w:bottom w:val="single" w:sz="4" w:space="0" w:color="auto"/>
            </w:tcBorders>
          </w:tcPr>
          <w:p w14:paraId="1D342AB2" w14:textId="74C83CD1" w:rsidR="00A2580C" w:rsidRPr="00B44B19" w:rsidRDefault="008B3B20" w:rsidP="00A2580C">
            <w:pPr>
              <w:spacing w:after="0" w:line="240" w:lineRule="auto"/>
              <w:jc w:val="center"/>
              <w:rPr>
                <w:rFonts w:cs="Times New Roman"/>
                <w:bCs/>
                <w:iCs/>
                <w:noProof/>
                <w:sz w:val="16"/>
                <w:szCs w:val="16"/>
              </w:rPr>
            </w:pPr>
            <w:r w:rsidRPr="00B44B19">
              <w:rPr>
                <w:rFonts w:cs="Times New Roman"/>
                <w:bCs/>
                <w:iCs/>
                <w:noProof/>
                <w:sz w:val="16"/>
                <w:szCs w:val="16"/>
              </w:rPr>
              <w:t>16</w:t>
            </w:r>
          </w:p>
        </w:tc>
      </w:tr>
      <w:tr w:rsidR="00A2580C" w:rsidRPr="00B44B19" w14:paraId="6CDE3E8D" w14:textId="77777777" w:rsidTr="008B3B20">
        <w:trPr>
          <w:trHeight w:val="340"/>
        </w:trPr>
        <w:tc>
          <w:tcPr>
            <w:tcW w:w="567" w:type="pct"/>
            <w:vMerge/>
          </w:tcPr>
          <w:p w14:paraId="061E6F9B"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58AC4F52"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656BD79A"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753B0E7A" w14:textId="77777777" w:rsidR="00A2580C" w:rsidRPr="00B44B19" w:rsidRDefault="00A2580C" w:rsidP="00A2580C">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75A74EDC" w14:textId="77777777" w:rsidR="00A2580C" w:rsidRPr="00B44B19" w:rsidRDefault="00A2580C" w:rsidP="00A2580C">
            <w:pPr>
              <w:spacing w:after="0" w:line="240" w:lineRule="auto"/>
              <w:jc w:val="both"/>
              <w:rPr>
                <w:rFonts w:eastAsia="Calibri" w:cs="Times New Roman"/>
                <w:sz w:val="16"/>
                <w:szCs w:val="16"/>
                <w:lang w:eastAsia="en-GB" w:bidi="lt-LT"/>
              </w:rPr>
            </w:pPr>
            <w:r w:rsidRPr="00B44B19">
              <w:rPr>
                <w:rFonts w:cs="Times New Roman"/>
                <w:sz w:val="16"/>
                <w:szCs w:val="16"/>
                <w:lang w:eastAsia="en-GB"/>
              </w:rPr>
              <w:t>RCO04</w:t>
            </w:r>
          </w:p>
        </w:tc>
        <w:tc>
          <w:tcPr>
            <w:tcW w:w="865" w:type="pct"/>
            <w:tcBorders>
              <w:top w:val="single" w:sz="4" w:space="0" w:color="auto"/>
              <w:bottom w:val="single" w:sz="4" w:space="0" w:color="auto"/>
            </w:tcBorders>
          </w:tcPr>
          <w:p w14:paraId="2E894788" w14:textId="77777777" w:rsidR="00A2580C" w:rsidRPr="00B44B19" w:rsidRDefault="00A2580C" w:rsidP="00A2580C">
            <w:pPr>
              <w:spacing w:after="0" w:line="240" w:lineRule="auto"/>
              <w:rPr>
                <w:rFonts w:eastAsia="Calibri" w:cs="Times New Roman"/>
                <w:sz w:val="16"/>
                <w:szCs w:val="16"/>
                <w:lang w:eastAsia="en-GB" w:bidi="lt-LT"/>
              </w:rPr>
            </w:pPr>
            <w:r w:rsidRPr="00B44B19">
              <w:rPr>
                <w:rFonts w:cs="Times New Roman"/>
                <w:sz w:val="16"/>
                <w:szCs w:val="16"/>
                <w:lang w:eastAsia="en-GB"/>
              </w:rPr>
              <w:t>Nefinansinę paramą gavusios įmonės</w:t>
            </w:r>
          </w:p>
        </w:tc>
        <w:tc>
          <w:tcPr>
            <w:tcW w:w="505" w:type="pct"/>
            <w:tcBorders>
              <w:top w:val="single" w:sz="4" w:space="0" w:color="auto"/>
              <w:bottom w:val="single" w:sz="4" w:space="0" w:color="auto"/>
            </w:tcBorders>
          </w:tcPr>
          <w:p w14:paraId="6389FEC0"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Įmonės</w:t>
            </w:r>
          </w:p>
        </w:tc>
        <w:tc>
          <w:tcPr>
            <w:tcW w:w="504" w:type="pct"/>
            <w:tcBorders>
              <w:top w:val="single" w:sz="4" w:space="0" w:color="auto"/>
              <w:bottom w:val="single" w:sz="4" w:space="0" w:color="auto"/>
            </w:tcBorders>
          </w:tcPr>
          <w:p w14:paraId="3FFEFD7E"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7</w:t>
            </w:r>
          </w:p>
        </w:tc>
        <w:tc>
          <w:tcPr>
            <w:tcW w:w="482" w:type="pct"/>
            <w:tcBorders>
              <w:top w:val="single" w:sz="4" w:space="0" w:color="auto"/>
              <w:bottom w:val="single" w:sz="4" w:space="0" w:color="auto"/>
            </w:tcBorders>
          </w:tcPr>
          <w:p w14:paraId="344F9A46"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73</w:t>
            </w:r>
          </w:p>
        </w:tc>
      </w:tr>
      <w:tr w:rsidR="00A2580C" w:rsidRPr="00B44B19" w14:paraId="0A04E4EE" w14:textId="77777777" w:rsidTr="008B3B20">
        <w:trPr>
          <w:trHeight w:val="340"/>
        </w:trPr>
        <w:tc>
          <w:tcPr>
            <w:tcW w:w="567" w:type="pct"/>
            <w:vMerge/>
          </w:tcPr>
          <w:p w14:paraId="2512A03C"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5699DEC2"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6803A4D2"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6ED6FF27"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49076677" w14:textId="77777777" w:rsidR="00A2580C" w:rsidRPr="00B44B19" w:rsidRDefault="00A2580C" w:rsidP="00A2580C">
            <w:pPr>
              <w:spacing w:after="0" w:line="240" w:lineRule="auto"/>
              <w:jc w:val="both"/>
              <w:rPr>
                <w:rFonts w:cs="Times New Roman"/>
                <w:noProof/>
                <w:sz w:val="16"/>
                <w:szCs w:val="16"/>
              </w:rPr>
            </w:pPr>
            <w:r w:rsidRPr="00B44B19">
              <w:rPr>
                <w:rFonts w:cs="Times New Roman"/>
                <w:sz w:val="16"/>
                <w:szCs w:val="16"/>
                <w:lang w:eastAsia="en-GB"/>
              </w:rPr>
              <w:t>RCO04</w:t>
            </w:r>
          </w:p>
        </w:tc>
        <w:tc>
          <w:tcPr>
            <w:tcW w:w="865" w:type="pct"/>
            <w:tcBorders>
              <w:top w:val="single" w:sz="4" w:space="0" w:color="auto"/>
              <w:bottom w:val="single" w:sz="4" w:space="0" w:color="auto"/>
            </w:tcBorders>
          </w:tcPr>
          <w:p w14:paraId="3BF2C144" w14:textId="77777777" w:rsidR="00A2580C" w:rsidRPr="00B44B19" w:rsidRDefault="00A2580C" w:rsidP="00A2580C">
            <w:pPr>
              <w:spacing w:after="0" w:line="240" w:lineRule="auto"/>
              <w:rPr>
                <w:rFonts w:cs="Times New Roman"/>
                <w:noProof/>
                <w:sz w:val="16"/>
                <w:szCs w:val="16"/>
              </w:rPr>
            </w:pPr>
            <w:r w:rsidRPr="00B44B19">
              <w:rPr>
                <w:rFonts w:cs="Times New Roman"/>
                <w:sz w:val="16"/>
                <w:szCs w:val="16"/>
                <w:lang w:eastAsia="en-GB"/>
              </w:rPr>
              <w:t>Nefinansinę paramą gavusios įmonės</w:t>
            </w:r>
          </w:p>
        </w:tc>
        <w:tc>
          <w:tcPr>
            <w:tcW w:w="505" w:type="pct"/>
            <w:tcBorders>
              <w:top w:val="single" w:sz="4" w:space="0" w:color="auto"/>
              <w:bottom w:val="single" w:sz="4" w:space="0" w:color="auto"/>
            </w:tcBorders>
          </w:tcPr>
          <w:p w14:paraId="6AED25F7"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Įmonės</w:t>
            </w:r>
          </w:p>
        </w:tc>
        <w:tc>
          <w:tcPr>
            <w:tcW w:w="504" w:type="pct"/>
            <w:tcBorders>
              <w:top w:val="single" w:sz="4" w:space="0" w:color="auto"/>
              <w:bottom w:val="single" w:sz="4" w:space="0" w:color="auto"/>
            </w:tcBorders>
          </w:tcPr>
          <w:p w14:paraId="26D673E3"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4</w:t>
            </w:r>
          </w:p>
        </w:tc>
        <w:tc>
          <w:tcPr>
            <w:tcW w:w="482" w:type="pct"/>
            <w:tcBorders>
              <w:top w:val="single" w:sz="4" w:space="0" w:color="auto"/>
              <w:bottom w:val="single" w:sz="4" w:space="0" w:color="auto"/>
            </w:tcBorders>
          </w:tcPr>
          <w:p w14:paraId="0C288863"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43</w:t>
            </w:r>
          </w:p>
        </w:tc>
      </w:tr>
      <w:tr w:rsidR="00A2580C" w:rsidRPr="00B44B19" w14:paraId="5631B65F" w14:textId="77777777" w:rsidTr="008B3B20">
        <w:trPr>
          <w:trHeight w:val="340"/>
        </w:trPr>
        <w:tc>
          <w:tcPr>
            <w:tcW w:w="567" w:type="pct"/>
            <w:vMerge/>
          </w:tcPr>
          <w:p w14:paraId="78CF4351"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425677DB"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0A40E919"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773B2411"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32E3A506" w14:textId="77777777" w:rsidR="00A2580C" w:rsidRPr="00B44B19" w:rsidRDefault="00A2580C" w:rsidP="00A2580C">
            <w:pPr>
              <w:spacing w:after="0" w:line="240" w:lineRule="auto"/>
              <w:jc w:val="both"/>
              <w:rPr>
                <w:rFonts w:cs="Times New Roman"/>
                <w:bCs/>
                <w:noProof/>
                <w:sz w:val="16"/>
                <w:szCs w:val="16"/>
              </w:rPr>
            </w:pPr>
            <w:r w:rsidRPr="00B44B19">
              <w:rPr>
                <w:rFonts w:cs="Times New Roman"/>
                <w:bCs/>
                <w:noProof/>
                <w:sz w:val="16"/>
                <w:szCs w:val="16"/>
              </w:rPr>
              <w:t>RCO77</w:t>
            </w:r>
          </w:p>
        </w:tc>
        <w:tc>
          <w:tcPr>
            <w:tcW w:w="865" w:type="pct"/>
            <w:tcBorders>
              <w:top w:val="single" w:sz="4" w:space="0" w:color="auto"/>
              <w:bottom w:val="single" w:sz="4" w:space="0" w:color="auto"/>
            </w:tcBorders>
          </w:tcPr>
          <w:p w14:paraId="623EB2F7" w14:textId="77777777" w:rsidR="00A2580C" w:rsidRPr="00B44B19" w:rsidRDefault="00A2580C" w:rsidP="00A2580C">
            <w:pPr>
              <w:spacing w:after="0" w:line="240" w:lineRule="auto"/>
              <w:rPr>
                <w:rFonts w:cs="Times New Roman"/>
                <w:bCs/>
                <w:noProof/>
                <w:sz w:val="16"/>
                <w:szCs w:val="16"/>
              </w:rPr>
            </w:pPr>
            <w:r w:rsidRPr="00B44B19">
              <w:rPr>
                <w:rFonts w:cs="Times New Roman"/>
                <w:bCs/>
                <w:noProof/>
                <w:sz w:val="16"/>
                <w:szCs w:val="16"/>
              </w:rPr>
              <w:t>Paramą gav</w:t>
            </w:r>
            <w:r w:rsidR="00FE4E04" w:rsidRPr="00B44B19">
              <w:rPr>
                <w:rFonts w:cs="Times New Roman"/>
                <w:bCs/>
                <w:noProof/>
                <w:sz w:val="16"/>
                <w:szCs w:val="16"/>
              </w:rPr>
              <w:t>usių</w:t>
            </w:r>
            <w:r w:rsidRPr="00B44B19">
              <w:rPr>
                <w:rFonts w:cs="Times New Roman"/>
                <w:bCs/>
                <w:noProof/>
                <w:sz w:val="16"/>
                <w:szCs w:val="16"/>
              </w:rPr>
              <w:t xml:space="preserve"> kultūros ir turizmo objekt</w:t>
            </w:r>
            <w:r w:rsidR="00FE4E04" w:rsidRPr="00B44B19">
              <w:rPr>
                <w:rFonts w:cs="Times New Roman"/>
                <w:bCs/>
                <w:noProof/>
                <w:sz w:val="16"/>
                <w:szCs w:val="16"/>
              </w:rPr>
              <w:t>ų skaičius</w:t>
            </w:r>
          </w:p>
        </w:tc>
        <w:tc>
          <w:tcPr>
            <w:tcW w:w="505" w:type="pct"/>
            <w:tcBorders>
              <w:top w:val="single" w:sz="4" w:space="0" w:color="auto"/>
              <w:bottom w:val="single" w:sz="4" w:space="0" w:color="auto"/>
            </w:tcBorders>
          </w:tcPr>
          <w:p w14:paraId="1A649B21" w14:textId="77777777" w:rsidR="00A2580C" w:rsidRPr="00B44B19" w:rsidRDefault="00A2580C" w:rsidP="00A2580C">
            <w:pPr>
              <w:spacing w:after="0" w:line="240" w:lineRule="auto"/>
              <w:jc w:val="both"/>
              <w:rPr>
                <w:rFonts w:cs="Times New Roman"/>
                <w:bCs/>
                <w:noProof/>
                <w:sz w:val="16"/>
                <w:szCs w:val="16"/>
              </w:rPr>
            </w:pPr>
            <w:r w:rsidRPr="00B44B19">
              <w:rPr>
                <w:rFonts w:cs="Times New Roman"/>
                <w:bCs/>
                <w:noProof/>
                <w:sz w:val="16"/>
                <w:szCs w:val="16"/>
              </w:rPr>
              <w:t>Kultūros ir turizmo objektai</w:t>
            </w:r>
          </w:p>
        </w:tc>
        <w:tc>
          <w:tcPr>
            <w:tcW w:w="504" w:type="pct"/>
            <w:tcBorders>
              <w:top w:val="single" w:sz="4" w:space="0" w:color="auto"/>
              <w:bottom w:val="single" w:sz="4" w:space="0" w:color="auto"/>
            </w:tcBorders>
          </w:tcPr>
          <w:p w14:paraId="209FFBF6"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0</w:t>
            </w:r>
          </w:p>
        </w:tc>
        <w:tc>
          <w:tcPr>
            <w:tcW w:w="482" w:type="pct"/>
            <w:tcBorders>
              <w:top w:val="single" w:sz="4" w:space="0" w:color="auto"/>
              <w:bottom w:val="single" w:sz="4" w:space="0" w:color="auto"/>
            </w:tcBorders>
          </w:tcPr>
          <w:p w14:paraId="3491BDF9"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1</w:t>
            </w:r>
          </w:p>
        </w:tc>
      </w:tr>
      <w:tr w:rsidR="00A2580C" w:rsidRPr="00B44B19" w14:paraId="652A2F84" w14:textId="77777777" w:rsidTr="008B3B20">
        <w:trPr>
          <w:trHeight w:val="340"/>
        </w:trPr>
        <w:tc>
          <w:tcPr>
            <w:tcW w:w="567" w:type="pct"/>
            <w:vMerge/>
          </w:tcPr>
          <w:p w14:paraId="4C2E4E33" w14:textId="77777777" w:rsidR="00A2580C" w:rsidRPr="00B44B19" w:rsidRDefault="00A2580C" w:rsidP="00A2580C">
            <w:pPr>
              <w:spacing w:after="0" w:line="240" w:lineRule="auto"/>
              <w:jc w:val="both"/>
              <w:rPr>
                <w:rFonts w:cs="Times New Roman"/>
                <w:noProof/>
                <w:sz w:val="16"/>
                <w:szCs w:val="16"/>
              </w:rPr>
            </w:pPr>
          </w:p>
        </w:tc>
        <w:tc>
          <w:tcPr>
            <w:tcW w:w="499" w:type="pct"/>
            <w:vMerge/>
          </w:tcPr>
          <w:p w14:paraId="277AE5C0" w14:textId="77777777" w:rsidR="00A2580C" w:rsidRPr="00B44B19" w:rsidRDefault="00A2580C" w:rsidP="00A2580C">
            <w:pPr>
              <w:spacing w:after="0" w:line="240" w:lineRule="auto"/>
              <w:jc w:val="both"/>
              <w:rPr>
                <w:rFonts w:cs="Times New Roman"/>
                <w:noProof/>
                <w:sz w:val="16"/>
                <w:szCs w:val="16"/>
              </w:rPr>
            </w:pPr>
          </w:p>
        </w:tc>
        <w:tc>
          <w:tcPr>
            <w:tcW w:w="429" w:type="pct"/>
            <w:vMerge/>
          </w:tcPr>
          <w:p w14:paraId="30CCCDD1" w14:textId="77777777" w:rsidR="00A2580C" w:rsidRPr="00B44B19" w:rsidRDefault="00A2580C" w:rsidP="00A2580C">
            <w:pPr>
              <w:spacing w:after="0" w:line="240" w:lineRule="auto"/>
              <w:jc w:val="both"/>
              <w:rPr>
                <w:rFonts w:cs="Times New Roman"/>
                <w:noProof/>
                <w:sz w:val="16"/>
                <w:szCs w:val="16"/>
              </w:rPr>
            </w:pPr>
          </w:p>
        </w:tc>
        <w:tc>
          <w:tcPr>
            <w:tcW w:w="504" w:type="pct"/>
            <w:tcBorders>
              <w:top w:val="single" w:sz="4" w:space="0" w:color="auto"/>
            </w:tcBorders>
          </w:tcPr>
          <w:p w14:paraId="3C00A750" w14:textId="77777777" w:rsidR="00A2580C" w:rsidRPr="00B44B19" w:rsidRDefault="00A2580C" w:rsidP="00A2580C">
            <w:pPr>
              <w:spacing w:after="0"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tcBorders>
          </w:tcPr>
          <w:p w14:paraId="001F807B" w14:textId="77777777" w:rsidR="00A2580C" w:rsidRPr="00B44B19" w:rsidRDefault="00A2580C" w:rsidP="00A2580C">
            <w:pPr>
              <w:spacing w:after="0" w:line="240" w:lineRule="auto"/>
              <w:jc w:val="both"/>
              <w:rPr>
                <w:rFonts w:cs="Times New Roman"/>
                <w:b/>
                <w:noProof/>
                <w:sz w:val="16"/>
                <w:szCs w:val="16"/>
              </w:rPr>
            </w:pPr>
            <w:r w:rsidRPr="00B44B19">
              <w:rPr>
                <w:rFonts w:cs="Times New Roman"/>
                <w:bCs/>
                <w:noProof/>
                <w:sz w:val="16"/>
                <w:szCs w:val="16"/>
              </w:rPr>
              <w:t>RCO77</w:t>
            </w:r>
          </w:p>
        </w:tc>
        <w:tc>
          <w:tcPr>
            <w:tcW w:w="865" w:type="pct"/>
            <w:tcBorders>
              <w:top w:val="single" w:sz="4" w:space="0" w:color="auto"/>
            </w:tcBorders>
          </w:tcPr>
          <w:p w14:paraId="5390AF0C" w14:textId="77777777" w:rsidR="00A2580C" w:rsidRPr="00B44B19" w:rsidRDefault="00A2580C" w:rsidP="00FE4E04">
            <w:pPr>
              <w:spacing w:after="0" w:line="240" w:lineRule="auto"/>
              <w:rPr>
                <w:rFonts w:cs="Times New Roman"/>
                <w:b/>
                <w:i/>
                <w:noProof/>
                <w:sz w:val="16"/>
                <w:szCs w:val="16"/>
              </w:rPr>
            </w:pPr>
            <w:r w:rsidRPr="00B44B19">
              <w:rPr>
                <w:rFonts w:cs="Times New Roman"/>
                <w:bCs/>
                <w:noProof/>
                <w:sz w:val="16"/>
                <w:szCs w:val="16"/>
              </w:rPr>
              <w:t>Paramą gav</w:t>
            </w:r>
            <w:r w:rsidR="00FE4E04" w:rsidRPr="00B44B19">
              <w:rPr>
                <w:rFonts w:cs="Times New Roman"/>
                <w:bCs/>
                <w:noProof/>
                <w:sz w:val="16"/>
                <w:szCs w:val="16"/>
              </w:rPr>
              <w:t>usių</w:t>
            </w:r>
            <w:r w:rsidRPr="00B44B19">
              <w:rPr>
                <w:rFonts w:cs="Times New Roman"/>
                <w:bCs/>
                <w:noProof/>
                <w:sz w:val="16"/>
                <w:szCs w:val="16"/>
              </w:rPr>
              <w:t xml:space="preserve"> kultūros ir turizmo </w:t>
            </w:r>
            <w:r w:rsidR="00FE4E04" w:rsidRPr="00B44B19">
              <w:rPr>
                <w:rFonts w:cs="Times New Roman"/>
                <w:bCs/>
                <w:noProof/>
                <w:sz w:val="16"/>
                <w:szCs w:val="16"/>
              </w:rPr>
              <w:t>objektų skaičius</w:t>
            </w:r>
          </w:p>
        </w:tc>
        <w:tc>
          <w:tcPr>
            <w:tcW w:w="505" w:type="pct"/>
            <w:tcBorders>
              <w:top w:val="single" w:sz="4" w:space="0" w:color="auto"/>
            </w:tcBorders>
          </w:tcPr>
          <w:p w14:paraId="70983A52" w14:textId="77777777" w:rsidR="00A2580C" w:rsidRPr="00B44B19" w:rsidRDefault="00A2580C" w:rsidP="00A2580C">
            <w:pPr>
              <w:spacing w:after="0" w:line="240" w:lineRule="auto"/>
              <w:jc w:val="both"/>
              <w:rPr>
                <w:rFonts w:cs="Times New Roman"/>
                <w:b/>
                <w:i/>
                <w:noProof/>
                <w:sz w:val="16"/>
                <w:szCs w:val="16"/>
              </w:rPr>
            </w:pPr>
            <w:r w:rsidRPr="00B44B19">
              <w:rPr>
                <w:rFonts w:cs="Times New Roman"/>
                <w:bCs/>
                <w:noProof/>
                <w:sz w:val="16"/>
                <w:szCs w:val="16"/>
              </w:rPr>
              <w:t>Kultūros ir turizmo objektai</w:t>
            </w:r>
          </w:p>
        </w:tc>
        <w:tc>
          <w:tcPr>
            <w:tcW w:w="504" w:type="pct"/>
            <w:tcBorders>
              <w:top w:val="single" w:sz="4" w:space="0" w:color="auto"/>
            </w:tcBorders>
          </w:tcPr>
          <w:p w14:paraId="1B0257A6"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0</w:t>
            </w:r>
          </w:p>
        </w:tc>
        <w:tc>
          <w:tcPr>
            <w:tcW w:w="482" w:type="pct"/>
            <w:tcBorders>
              <w:top w:val="single" w:sz="4" w:space="0" w:color="auto"/>
            </w:tcBorders>
          </w:tcPr>
          <w:p w14:paraId="43E93885" w14:textId="77777777" w:rsidR="00A2580C" w:rsidRPr="00B44B19" w:rsidRDefault="00A2580C" w:rsidP="00A2580C">
            <w:pPr>
              <w:spacing w:after="0" w:line="240" w:lineRule="auto"/>
              <w:jc w:val="center"/>
              <w:rPr>
                <w:rFonts w:cs="Times New Roman"/>
                <w:bCs/>
                <w:iCs/>
                <w:noProof/>
                <w:sz w:val="16"/>
                <w:szCs w:val="16"/>
              </w:rPr>
            </w:pPr>
            <w:r w:rsidRPr="00B44B19">
              <w:rPr>
                <w:rFonts w:cs="Times New Roman"/>
                <w:bCs/>
                <w:iCs/>
                <w:noProof/>
                <w:sz w:val="16"/>
                <w:szCs w:val="16"/>
              </w:rPr>
              <w:t>47</w:t>
            </w:r>
          </w:p>
        </w:tc>
      </w:tr>
    </w:tbl>
    <w:p w14:paraId="1E6DB5B2" w14:textId="77777777" w:rsidR="002B441C" w:rsidRPr="00B44B19" w:rsidRDefault="002B441C" w:rsidP="00786CD2">
      <w:pPr>
        <w:spacing w:line="240" w:lineRule="auto"/>
        <w:jc w:val="both"/>
        <w:rPr>
          <w:rFonts w:cs="Times New Roman"/>
          <w:b/>
          <w:szCs w:val="24"/>
        </w:rPr>
        <w:sectPr w:rsidR="002B441C" w:rsidRPr="00B44B19" w:rsidSect="00931C78">
          <w:pgSz w:w="11906" w:h="16838"/>
          <w:pgMar w:top="1276" w:right="567" w:bottom="1134" w:left="1701" w:header="567" w:footer="567" w:gutter="0"/>
          <w:cols w:space="1296"/>
          <w:docGrid w:linePitch="360"/>
        </w:sectPr>
      </w:pPr>
    </w:p>
    <w:p w14:paraId="71E01FDD" w14:textId="77777777" w:rsidR="002B441C" w:rsidRPr="00B44B19" w:rsidRDefault="002B441C" w:rsidP="00A2580C">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6"/>
        <w:gridCol w:w="1394"/>
        <w:gridCol w:w="3344"/>
        <w:gridCol w:w="975"/>
        <w:gridCol w:w="975"/>
        <w:gridCol w:w="1115"/>
        <w:gridCol w:w="1115"/>
        <w:gridCol w:w="975"/>
        <w:gridCol w:w="1100"/>
      </w:tblGrid>
      <w:tr w:rsidR="00A2580C" w:rsidRPr="00B44B19" w14:paraId="0BB62034" w14:textId="77777777" w:rsidTr="00167E6C">
        <w:trPr>
          <w:trHeight w:val="103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3355F3"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2751E13"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0F8DB9"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BCF5B4"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2AF234"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9A7960"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2F3276"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AFC9DB"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DFD378"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C04E35"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Siek</w:t>
            </w:r>
            <w:r w:rsidR="002B1AE9"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84EFCA"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EFFC7D"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Pastabos</w:t>
            </w:r>
          </w:p>
        </w:tc>
      </w:tr>
      <w:tr w:rsidR="00A2580C" w:rsidRPr="00B44B19" w14:paraId="63A6BFEB" w14:textId="77777777" w:rsidTr="00167E6C">
        <w:trPr>
          <w:trHeight w:val="518"/>
        </w:trPr>
        <w:tc>
          <w:tcPr>
            <w:tcW w:w="364" w:type="pct"/>
            <w:vMerge w:val="restart"/>
            <w:tcBorders>
              <w:top w:val="single" w:sz="12" w:space="0" w:color="auto"/>
            </w:tcBorders>
          </w:tcPr>
          <w:p w14:paraId="64FE27BB"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4.Socialiai atsakingesnė Lietuva</w:t>
            </w:r>
          </w:p>
        </w:tc>
        <w:tc>
          <w:tcPr>
            <w:tcW w:w="328" w:type="pct"/>
            <w:vMerge w:val="restart"/>
            <w:tcBorders>
              <w:top w:val="single" w:sz="12" w:space="0" w:color="auto"/>
            </w:tcBorders>
          </w:tcPr>
          <w:p w14:paraId="05471DA9"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4.6</w:t>
            </w:r>
          </w:p>
        </w:tc>
        <w:tc>
          <w:tcPr>
            <w:tcW w:w="281" w:type="pct"/>
            <w:vMerge w:val="restart"/>
            <w:tcBorders>
              <w:top w:val="single" w:sz="12" w:space="0" w:color="auto"/>
            </w:tcBorders>
          </w:tcPr>
          <w:p w14:paraId="14497F04"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ERPF</w:t>
            </w:r>
          </w:p>
        </w:tc>
        <w:tc>
          <w:tcPr>
            <w:tcW w:w="328" w:type="pct"/>
            <w:tcBorders>
              <w:top w:val="single" w:sz="12" w:space="0" w:color="auto"/>
              <w:bottom w:val="single" w:sz="4" w:space="0" w:color="auto"/>
            </w:tcBorders>
          </w:tcPr>
          <w:p w14:paraId="629A6CC8" w14:textId="77777777" w:rsidR="00A2580C" w:rsidRPr="00B44B19" w:rsidRDefault="00A2580C" w:rsidP="00A2580C">
            <w:pPr>
              <w:spacing w:after="0" w:line="240" w:lineRule="auto"/>
              <w:rPr>
                <w:rFonts w:cs="Times New Roman"/>
                <w:noProof/>
                <w:sz w:val="16"/>
                <w:szCs w:val="16"/>
              </w:rPr>
            </w:pPr>
            <w:r w:rsidRPr="00B44B19">
              <w:rPr>
                <w:rFonts w:eastAsia="Calibri" w:cs="Times New Roman"/>
                <w:sz w:val="16"/>
                <w:szCs w:val="16"/>
                <w:lang w:eastAsia="lt-LT" w:bidi="lt-LT"/>
              </w:rPr>
              <w:t>Sostinės regionas</w:t>
            </w:r>
          </w:p>
        </w:tc>
        <w:tc>
          <w:tcPr>
            <w:tcW w:w="469" w:type="pct"/>
            <w:tcBorders>
              <w:top w:val="single" w:sz="12" w:space="0" w:color="auto"/>
              <w:bottom w:val="single" w:sz="4" w:space="0" w:color="auto"/>
            </w:tcBorders>
          </w:tcPr>
          <w:p w14:paraId="594C1490"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RCR02</w:t>
            </w:r>
          </w:p>
        </w:tc>
        <w:tc>
          <w:tcPr>
            <w:tcW w:w="1125" w:type="pct"/>
            <w:tcBorders>
              <w:top w:val="single" w:sz="12" w:space="0" w:color="auto"/>
              <w:bottom w:val="single" w:sz="4" w:space="0" w:color="auto"/>
            </w:tcBorders>
          </w:tcPr>
          <w:p w14:paraId="56BDC555" w14:textId="77777777" w:rsidR="00A2580C" w:rsidRPr="00B44B19" w:rsidRDefault="00A2580C" w:rsidP="00736BB0">
            <w:pPr>
              <w:tabs>
                <w:tab w:val="left" w:pos="7560"/>
              </w:tabs>
              <w:spacing w:after="0" w:line="240" w:lineRule="auto"/>
              <w:rPr>
                <w:rFonts w:cs="Times New Roman"/>
                <w:noProof/>
                <w:sz w:val="16"/>
                <w:szCs w:val="16"/>
              </w:rPr>
            </w:pPr>
            <w:r w:rsidRPr="00B44B19">
              <w:rPr>
                <w:rFonts w:cs="Times New Roman"/>
                <w:sz w:val="16"/>
                <w:szCs w:val="16"/>
                <w:lang w:eastAsia="en-GB"/>
              </w:rPr>
              <w:t xml:space="preserve">Privačiosios investicijos, </w:t>
            </w:r>
            <w:r w:rsidR="00736BB0" w:rsidRPr="00B44B19">
              <w:rPr>
                <w:rFonts w:cs="Times New Roman"/>
                <w:sz w:val="16"/>
                <w:szCs w:val="16"/>
                <w:lang w:eastAsia="en-GB"/>
              </w:rPr>
              <w:t xml:space="preserve">papildančios </w:t>
            </w:r>
            <w:r w:rsidRPr="00B44B19">
              <w:rPr>
                <w:rFonts w:cs="Times New Roman"/>
                <w:sz w:val="16"/>
                <w:szCs w:val="16"/>
                <w:lang w:eastAsia="en-GB"/>
              </w:rPr>
              <w:t>viešąją paramą (iš kurių: dotacijos, finansinės priemonės)</w:t>
            </w:r>
          </w:p>
        </w:tc>
        <w:tc>
          <w:tcPr>
            <w:tcW w:w="328" w:type="pct"/>
            <w:tcBorders>
              <w:top w:val="single" w:sz="12" w:space="0" w:color="auto"/>
              <w:bottom w:val="single" w:sz="4" w:space="0" w:color="auto"/>
            </w:tcBorders>
          </w:tcPr>
          <w:p w14:paraId="494832BB"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eurai</w:t>
            </w:r>
          </w:p>
        </w:tc>
        <w:tc>
          <w:tcPr>
            <w:tcW w:w="328" w:type="pct"/>
            <w:tcBorders>
              <w:top w:val="single" w:sz="12" w:space="0" w:color="auto"/>
              <w:bottom w:val="single" w:sz="4" w:space="0" w:color="auto"/>
            </w:tcBorders>
          </w:tcPr>
          <w:p w14:paraId="71CF1C81"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375" w:type="pct"/>
            <w:tcBorders>
              <w:top w:val="single" w:sz="12" w:space="0" w:color="auto"/>
              <w:bottom w:val="single" w:sz="4" w:space="0" w:color="auto"/>
            </w:tcBorders>
          </w:tcPr>
          <w:p w14:paraId="31856245" w14:textId="77777777" w:rsidR="00A2580C" w:rsidRPr="00B44B19" w:rsidRDefault="00B17B0F" w:rsidP="00A2580C">
            <w:pPr>
              <w:spacing w:after="0" w:line="240" w:lineRule="auto"/>
              <w:jc w:val="center"/>
              <w:rPr>
                <w:rFonts w:cs="Times New Roman"/>
                <w:noProof/>
                <w:sz w:val="16"/>
                <w:szCs w:val="16"/>
              </w:rPr>
            </w:pPr>
            <w:r w:rsidRPr="00B44B19">
              <w:rPr>
                <w:rFonts w:cs="Times New Roman"/>
                <w:noProof/>
                <w:sz w:val="16"/>
                <w:szCs w:val="16"/>
              </w:rPr>
              <w:t>2021</w:t>
            </w:r>
          </w:p>
        </w:tc>
        <w:tc>
          <w:tcPr>
            <w:tcW w:w="375" w:type="pct"/>
            <w:tcBorders>
              <w:top w:val="single" w:sz="12" w:space="0" w:color="auto"/>
              <w:bottom w:val="single" w:sz="4" w:space="0" w:color="auto"/>
            </w:tcBorders>
          </w:tcPr>
          <w:p w14:paraId="6517D000" w14:textId="6DA83488" w:rsidR="00A2580C" w:rsidRPr="00B44B19" w:rsidRDefault="009C7A1E" w:rsidP="00A2580C">
            <w:pPr>
              <w:spacing w:after="0" w:line="240" w:lineRule="auto"/>
              <w:jc w:val="center"/>
              <w:rPr>
                <w:rFonts w:cs="Times New Roman"/>
                <w:noProof/>
                <w:sz w:val="16"/>
                <w:szCs w:val="16"/>
              </w:rPr>
            </w:pPr>
            <w:r w:rsidRPr="00B44B19">
              <w:rPr>
                <w:rFonts w:cs="Times New Roman"/>
                <w:noProof/>
                <w:sz w:val="16"/>
                <w:szCs w:val="16"/>
              </w:rPr>
              <w:t>2 316 952,00</w:t>
            </w:r>
          </w:p>
        </w:tc>
        <w:tc>
          <w:tcPr>
            <w:tcW w:w="328" w:type="pct"/>
            <w:tcBorders>
              <w:top w:val="single" w:sz="12" w:space="0" w:color="auto"/>
              <w:bottom w:val="single" w:sz="4" w:space="0" w:color="auto"/>
            </w:tcBorders>
          </w:tcPr>
          <w:p w14:paraId="5D936F28" w14:textId="77777777" w:rsidR="00A2580C" w:rsidRPr="00B44B19" w:rsidRDefault="00CB7A56" w:rsidP="00A2580C">
            <w:pPr>
              <w:spacing w:after="0" w:line="240" w:lineRule="auto"/>
              <w:jc w:val="both"/>
              <w:rPr>
                <w:rFonts w:cs="Times New Roman"/>
                <w:noProof/>
                <w:sz w:val="16"/>
                <w:szCs w:val="16"/>
              </w:rPr>
            </w:pPr>
            <w:r w:rsidRPr="00B44B19">
              <w:rPr>
                <w:rFonts w:cs="Times New Roman"/>
                <w:noProof/>
                <w:sz w:val="16"/>
                <w:szCs w:val="16"/>
              </w:rPr>
              <w:t>Projektų duomenys</w:t>
            </w:r>
          </w:p>
        </w:tc>
        <w:tc>
          <w:tcPr>
            <w:tcW w:w="370" w:type="pct"/>
            <w:tcBorders>
              <w:top w:val="single" w:sz="12" w:space="0" w:color="auto"/>
              <w:bottom w:val="single" w:sz="4" w:space="0" w:color="auto"/>
            </w:tcBorders>
          </w:tcPr>
          <w:p w14:paraId="7C1C4598" w14:textId="77777777" w:rsidR="00A2580C" w:rsidRPr="00B44B19" w:rsidRDefault="00A2580C" w:rsidP="00A2580C">
            <w:pPr>
              <w:spacing w:after="0" w:line="240" w:lineRule="auto"/>
              <w:jc w:val="both"/>
              <w:rPr>
                <w:rFonts w:cs="Times New Roman"/>
                <w:b/>
                <w:noProof/>
                <w:sz w:val="14"/>
                <w:szCs w:val="14"/>
              </w:rPr>
            </w:pPr>
          </w:p>
        </w:tc>
      </w:tr>
      <w:tr w:rsidR="00A2580C" w:rsidRPr="00B44B19" w14:paraId="06FEABB1" w14:textId="77777777" w:rsidTr="00167E6C">
        <w:trPr>
          <w:trHeight w:val="517"/>
        </w:trPr>
        <w:tc>
          <w:tcPr>
            <w:tcW w:w="364" w:type="pct"/>
            <w:vMerge/>
          </w:tcPr>
          <w:p w14:paraId="0F1D8333" w14:textId="77777777" w:rsidR="00A2580C" w:rsidRPr="00B44B19" w:rsidRDefault="00A2580C" w:rsidP="00A2580C">
            <w:pPr>
              <w:spacing w:after="0" w:line="240" w:lineRule="auto"/>
              <w:jc w:val="both"/>
              <w:rPr>
                <w:rFonts w:cs="Times New Roman"/>
                <w:noProof/>
                <w:sz w:val="16"/>
                <w:szCs w:val="16"/>
              </w:rPr>
            </w:pPr>
          </w:p>
        </w:tc>
        <w:tc>
          <w:tcPr>
            <w:tcW w:w="328" w:type="pct"/>
            <w:vMerge/>
          </w:tcPr>
          <w:p w14:paraId="7A3EF36C"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5C0D6367" w14:textId="77777777" w:rsidR="00A2580C" w:rsidRPr="00B44B19" w:rsidRDefault="00A2580C" w:rsidP="00A2580C">
            <w:pPr>
              <w:spacing w:after="0" w:line="240" w:lineRule="auto"/>
              <w:jc w:val="both"/>
              <w:rPr>
                <w:rFonts w:cs="Times New Roman"/>
                <w:noProof/>
                <w:sz w:val="16"/>
                <w:szCs w:val="16"/>
              </w:rPr>
            </w:pPr>
          </w:p>
        </w:tc>
        <w:tc>
          <w:tcPr>
            <w:tcW w:w="328" w:type="pct"/>
            <w:tcBorders>
              <w:top w:val="single" w:sz="4" w:space="0" w:color="auto"/>
              <w:bottom w:val="single" w:sz="4" w:space="0" w:color="auto"/>
            </w:tcBorders>
          </w:tcPr>
          <w:p w14:paraId="08AB5949" w14:textId="77777777" w:rsidR="00A2580C" w:rsidRPr="00B44B19" w:rsidRDefault="00A2580C" w:rsidP="00A2580C">
            <w:pPr>
              <w:spacing w:after="0" w:line="240" w:lineRule="auto"/>
              <w:rPr>
                <w:rFonts w:cs="Times New Roman"/>
                <w:noProof/>
                <w:sz w:val="16"/>
                <w:szCs w:val="16"/>
              </w:rPr>
            </w:pPr>
            <w:r w:rsidRPr="00B44B19">
              <w:rPr>
                <w:rFonts w:eastAsia="Calibri" w:cs="Times New Roman"/>
                <w:sz w:val="16"/>
                <w:szCs w:val="16"/>
                <w:lang w:eastAsia="lt-LT" w:bidi="lt-LT"/>
              </w:rPr>
              <w:t>VVL regionas</w:t>
            </w:r>
          </w:p>
        </w:tc>
        <w:tc>
          <w:tcPr>
            <w:tcW w:w="469" w:type="pct"/>
            <w:tcBorders>
              <w:top w:val="single" w:sz="4" w:space="0" w:color="auto"/>
              <w:bottom w:val="single" w:sz="4" w:space="0" w:color="auto"/>
            </w:tcBorders>
          </w:tcPr>
          <w:p w14:paraId="308D0A74"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RCR02</w:t>
            </w:r>
          </w:p>
        </w:tc>
        <w:tc>
          <w:tcPr>
            <w:tcW w:w="1125" w:type="pct"/>
            <w:tcBorders>
              <w:top w:val="single" w:sz="4" w:space="0" w:color="auto"/>
              <w:bottom w:val="single" w:sz="4" w:space="0" w:color="auto"/>
            </w:tcBorders>
          </w:tcPr>
          <w:p w14:paraId="2DD6E22D" w14:textId="77777777" w:rsidR="00A2580C" w:rsidRPr="00B44B19" w:rsidRDefault="00A2580C" w:rsidP="00736BB0">
            <w:pPr>
              <w:tabs>
                <w:tab w:val="left" w:pos="7560"/>
              </w:tabs>
              <w:spacing w:after="0" w:line="240" w:lineRule="auto"/>
              <w:rPr>
                <w:rFonts w:cs="Times New Roman"/>
                <w:noProof/>
                <w:sz w:val="16"/>
                <w:szCs w:val="16"/>
              </w:rPr>
            </w:pPr>
            <w:r w:rsidRPr="00B44B19">
              <w:rPr>
                <w:rFonts w:cs="Times New Roman"/>
                <w:sz w:val="16"/>
                <w:szCs w:val="16"/>
                <w:lang w:eastAsia="en-GB"/>
              </w:rPr>
              <w:t xml:space="preserve">Privačiosios investicijos, </w:t>
            </w:r>
            <w:r w:rsidR="00736BB0" w:rsidRPr="00B44B19">
              <w:rPr>
                <w:rFonts w:cs="Times New Roman"/>
                <w:sz w:val="16"/>
                <w:szCs w:val="16"/>
                <w:lang w:eastAsia="en-GB"/>
              </w:rPr>
              <w:t xml:space="preserve">papildančios </w:t>
            </w:r>
            <w:r w:rsidRPr="00B44B19">
              <w:rPr>
                <w:rFonts w:cs="Times New Roman"/>
                <w:sz w:val="16"/>
                <w:szCs w:val="16"/>
                <w:lang w:eastAsia="en-GB"/>
              </w:rPr>
              <w:t>viešąją paramą (iš kurių: dotacijos, finansinės priemonės)</w:t>
            </w:r>
          </w:p>
        </w:tc>
        <w:tc>
          <w:tcPr>
            <w:tcW w:w="328" w:type="pct"/>
            <w:tcBorders>
              <w:top w:val="single" w:sz="4" w:space="0" w:color="auto"/>
              <w:bottom w:val="single" w:sz="4" w:space="0" w:color="auto"/>
            </w:tcBorders>
          </w:tcPr>
          <w:p w14:paraId="27AFB09D"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eurai</w:t>
            </w:r>
          </w:p>
        </w:tc>
        <w:tc>
          <w:tcPr>
            <w:tcW w:w="328" w:type="pct"/>
            <w:tcBorders>
              <w:top w:val="single" w:sz="4" w:space="0" w:color="auto"/>
              <w:bottom w:val="single" w:sz="4" w:space="0" w:color="auto"/>
            </w:tcBorders>
          </w:tcPr>
          <w:p w14:paraId="1A174FD4"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375" w:type="pct"/>
            <w:tcBorders>
              <w:top w:val="single" w:sz="4" w:space="0" w:color="auto"/>
              <w:bottom w:val="single" w:sz="4" w:space="0" w:color="auto"/>
            </w:tcBorders>
          </w:tcPr>
          <w:p w14:paraId="0B5E34DC" w14:textId="77777777" w:rsidR="00A2580C" w:rsidRPr="00B44B19" w:rsidRDefault="00B17B0F" w:rsidP="00A2580C">
            <w:pPr>
              <w:spacing w:after="0" w:line="240" w:lineRule="auto"/>
              <w:jc w:val="center"/>
              <w:rPr>
                <w:rFonts w:cs="Times New Roman"/>
                <w:noProof/>
                <w:sz w:val="16"/>
                <w:szCs w:val="16"/>
              </w:rPr>
            </w:pPr>
            <w:r w:rsidRPr="00B44B19">
              <w:rPr>
                <w:rFonts w:cs="Times New Roman"/>
                <w:noProof/>
                <w:sz w:val="16"/>
                <w:szCs w:val="16"/>
              </w:rPr>
              <w:t>2021</w:t>
            </w:r>
          </w:p>
        </w:tc>
        <w:tc>
          <w:tcPr>
            <w:tcW w:w="375" w:type="pct"/>
            <w:tcBorders>
              <w:top w:val="single" w:sz="4" w:space="0" w:color="auto"/>
              <w:bottom w:val="single" w:sz="4" w:space="0" w:color="auto"/>
            </w:tcBorders>
          </w:tcPr>
          <w:p w14:paraId="381EA248" w14:textId="1A814C54" w:rsidR="00A2580C" w:rsidRPr="00B44B19" w:rsidRDefault="009C7A1E" w:rsidP="000B7D44">
            <w:pPr>
              <w:spacing w:after="0" w:line="240" w:lineRule="auto"/>
              <w:jc w:val="center"/>
              <w:rPr>
                <w:rFonts w:cs="Times New Roman"/>
                <w:noProof/>
                <w:sz w:val="16"/>
                <w:szCs w:val="16"/>
              </w:rPr>
            </w:pPr>
            <w:r w:rsidRPr="00B44B19">
              <w:rPr>
                <w:rFonts w:cs="Times New Roman"/>
                <w:noProof/>
                <w:sz w:val="16"/>
                <w:szCs w:val="16"/>
              </w:rPr>
              <w:t>1 986 036,00</w:t>
            </w:r>
          </w:p>
        </w:tc>
        <w:tc>
          <w:tcPr>
            <w:tcW w:w="328" w:type="pct"/>
            <w:tcBorders>
              <w:top w:val="single" w:sz="4" w:space="0" w:color="auto"/>
              <w:bottom w:val="single" w:sz="4" w:space="0" w:color="auto"/>
            </w:tcBorders>
          </w:tcPr>
          <w:p w14:paraId="0A446D24" w14:textId="77777777" w:rsidR="00A2580C" w:rsidRPr="00B44B19" w:rsidRDefault="00CB7A56" w:rsidP="00A2580C">
            <w:pPr>
              <w:spacing w:after="0" w:line="240" w:lineRule="auto"/>
              <w:jc w:val="both"/>
              <w:rPr>
                <w:rFonts w:cs="Times New Roman"/>
                <w:noProof/>
                <w:sz w:val="16"/>
                <w:szCs w:val="16"/>
              </w:rPr>
            </w:pPr>
            <w:r w:rsidRPr="00B44B19">
              <w:rPr>
                <w:rFonts w:cs="Times New Roman"/>
                <w:noProof/>
                <w:sz w:val="16"/>
                <w:szCs w:val="16"/>
              </w:rPr>
              <w:t>Projektų duomenys</w:t>
            </w:r>
          </w:p>
        </w:tc>
        <w:tc>
          <w:tcPr>
            <w:tcW w:w="370" w:type="pct"/>
            <w:tcBorders>
              <w:top w:val="single" w:sz="4" w:space="0" w:color="auto"/>
              <w:bottom w:val="single" w:sz="4" w:space="0" w:color="auto"/>
            </w:tcBorders>
          </w:tcPr>
          <w:p w14:paraId="7E1BAE67" w14:textId="77777777" w:rsidR="00A2580C" w:rsidRPr="00B44B19" w:rsidRDefault="00A2580C" w:rsidP="00A2580C">
            <w:pPr>
              <w:spacing w:after="0" w:line="240" w:lineRule="auto"/>
              <w:jc w:val="both"/>
              <w:rPr>
                <w:rFonts w:cs="Times New Roman"/>
                <w:b/>
                <w:noProof/>
                <w:sz w:val="14"/>
                <w:szCs w:val="14"/>
              </w:rPr>
            </w:pPr>
          </w:p>
        </w:tc>
      </w:tr>
      <w:tr w:rsidR="00A2580C" w:rsidRPr="00B44B19" w14:paraId="668E6F09" w14:textId="77777777" w:rsidTr="00167E6C">
        <w:trPr>
          <w:trHeight w:val="359"/>
        </w:trPr>
        <w:tc>
          <w:tcPr>
            <w:tcW w:w="364" w:type="pct"/>
            <w:vMerge/>
          </w:tcPr>
          <w:p w14:paraId="730D6BF5" w14:textId="77777777" w:rsidR="00A2580C" w:rsidRPr="00B44B19" w:rsidRDefault="00A2580C" w:rsidP="00A2580C">
            <w:pPr>
              <w:spacing w:after="0" w:line="240" w:lineRule="auto"/>
              <w:jc w:val="both"/>
              <w:rPr>
                <w:rFonts w:cs="Times New Roman"/>
                <w:noProof/>
                <w:sz w:val="16"/>
                <w:szCs w:val="16"/>
              </w:rPr>
            </w:pPr>
          </w:p>
        </w:tc>
        <w:tc>
          <w:tcPr>
            <w:tcW w:w="328" w:type="pct"/>
            <w:vMerge/>
          </w:tcPr>
          <w:p w14:paraId="64F37ADB"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6BBD1047" w14:textId="77777777" w:rsidR="00A2580C" w:rsidRPr="00B44B19" w:rsidRDefault="00A2580C" w:rsidP="00A2580C">
            <w:pPr>
              <w:spacing w:after="0" w:line="240" w:lineRule="auto"/>
              <w:jc w:val="both"/>
              <w:rPr>
                <w:rFonts w:cs="Times New Roman"/>
                <w:noProof/>
                <w:sz w:val="16"/>
                <w:szCs w:val="16"/>
              </w:rPr>
            </w:pPr>
          </w:p>
        </w:tc>
        <w:tc>
          <w:tcPr>
            <w:tcW w:w="328" w:type="pct"/>
            <w:tcBorders>
              <w:top w:val="single" w:sz="4" w:space="0" w:color="auto"/>
              <w:bottom w:val="single" w:sz="4" w:space="0" w:color="auto"/>
            </w:tcBorders>
          </w:tcPr>
          <w:p w14:paraId="4F266323" w14:textId="77777777" w:rsidR="00A2580C" w:rsidRPr="00B44B19" w:rsidRDefault="00A2580C" w:rsidP="00A2580C">
            <w:pPr>
              <w:spacing w:after="0" w:line="240" w:lineRule="auto"/>
              <w:rPr>
                <w:rFonts w:cs="Times New Roman"/>
                <w:noProof/>
                <w:sz w:val="16"/>
                <w:szCs w:val="16"/>
              </w:rPr>
            </w:pPr>
            <w:r w:rsidRPr="00B44B19">
              <w:rPr>
                <w:rFonts w:eastAsia="Calibri" w:cs="Times New Roman"/>
                <w:sz w:val="16"/>
                <w:szCs w:val="16"/>
                <w:lang w:eastAsia="lt-LT" w:bidi="lt-LT"/>
              </w:rPr>
              <w:t>Sostinės regionas</w:t>
            </w:r>
          </w:p>
        </w:tc>
        <w:tc>
          <w:tcPr>
            <w:tcW w:w="469" w:type="pct"/>
            <w:tcBorders>
              <w:top w:val="single" w:sz="4" w:space="0" w:color="auto"/>
              <w:bottom w:val="single" w:sz="4" w:space="0" w:color="auto"/>
            </w:tcBorders>
          </w:tcPr>
          <w:p w14:paraId="0EB60C8F"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RCR77</w:t>
            </w:r>
          </w:p>
        </w:tc>
        <w:tc>
          <w:tcPr>
            <w:tcW w:w="1125" w:type="pct"/>
            <w:tcBorders>
              <w:top w:val="single" w:sz="4" w:space="0" w:color="auto"/>
              <w:bottom w:val="single" w:sz="4" w:space="0" w:color="auto"/>
            </w:tcBorders>
          </w:tcPr>
          <w:p w14:paraId="790C916D" w14:textId="77777777" w:rsidR="00A2580C" w:rsidRPr="00B44B19" w:rsidRDefault="00A2580C" w:rsidP="00A2580C">
            <w:pPr>
              <w:tabs>
                <w:tab w:val="left" w:pos="7560"/>
              </w:tabs>
              <w:spacing w:after="0" w:line="240" w:lineRule="auto"/>
              <w:rPr>
                <w:rFonts w:cs="Times New Roman"/>
                <w:noProof/>
                <w:sz w:val="16"/>
                <w:szCs w:val="16"/>
              </w:rPr>
            </w:pPr>
            <w:r w:rsidRPr="00B44B19">
              <w:rPr>
                <w:rFonts w:cs="Times New Roman"/>
                <w:noProof/>
                <w:sz w:val="16"/>
                <w:szCs w:val="16"/>
              </w:rPr>
              <w:t>Paramą gavusių kultūros ir turizmo objektų lankytojai</w:t>
            </w:r>
          </w:p>
        </w:tc>
        <w:tc>
          <w:tcPr>
            <w:tcW w:w="328" w:type="pct"/>
            <w:tcBorders>
              <w:top w:val="single" w:sz="4" w:space="0" w:color="auto"/>
              <w:bottom w:val="single" w:sz="4" w:space="0" w:color="auto"/>
            </w:tcBorders>
          </w:tcPr>
          <w:p w14:paraId="72340DBD"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 xml:space="preserve">Lankytojai </w:t>
            </w:r>
            <w:r w:rsidR="00381A44" w:rsidRPr="00B44B19">
              <w:rPr>
                <w:rFonts w:cs="Times New Roman"/>
                <w:noProof/>
                <w:sz w:val="16"/>
                <w:szCs w:val="16"/>
              </w:rPr>
              <w:t>per</w:t>
            </w:r>
            <w:r w:rsidRPr="00B44B19">
              <w:rPr>
                <w:rFonts w:cs="Times New Roman"/>
                <w:noProof/>
                <w:sz w:val="16"/>
                <w:szCs w:val="16"/>
              </w:rPr>
              <w:t xml:space="preserve"> metus</w:t>
            </w:r>
          </w:p>
        </w:tc>
        <w:tc>
          <w:tcPr>
            <w:tcW w:w="328" w:type="pct"/>
            <w:tcBorders>
              <w:top w:val="single" w:sz="4" w:space="0" w:color="auto"/>
              <w:bottom w:val="single" w:sz="4" w:space="0" w:color="auto"/>
            </w:tcBorders>
          </w:tcPr>
          <w:p w14:paraId="51FFF156"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15 564</w:t>
            </w:r>
          </w:p>
        </w:tc>
        <w:tc>
          <w:tcPr>
            <w:tcW w:w="375" w:type="pct"/>
            <w:tcBorders>
              <w:top w:val="single" w:sz="4" w:space="0" w:color="auto"/>
              <w:bottom w:val="single" w:sz="4" w:space="0" w:color="auto"/>
            </w:tcBorders>
          </w:tcPr>
          <w:p w14:paraId="62DA5CD0"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2019</w:t>
            </w:r>
          </w:p>
        </w:tc>
        <w:tc>
          <w:tcPr>
            <w:tcW w:w="375" w:type="pct"/>
            <w:tcBorders>
              <w:top w:val="single" w:sz="4" w:space="0" w:color="auto"/>
              <w:bottom w:val="single" w:sz="4" w:space="0" w:color="auto"/>
            </w:tcBorders>
          </w:tcPr>
          <w:p w14:paraId="6E2778F7"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26 650</w:t>
            </w:r>
          </w:p>
        </w:tc>
        <w:tc>
          <w:tcPr>
            <w:tcW w:w="328" w:type="pct"/>
            <w:tcBorders>
              <w:top w:val="single" w:sz="4" w:space="0" w:color="auto"/>
              <w:bottom w:val="single" w:sz="4" w:space="0" w:color="auto"/>
            </w:tcBorders>
          </w:tcPr>
          <w:p w14:paraId="7B58A106" w14:textId="77777777" w:rsidR="00A2580C" w:rsidRPr="00B44B19" w:rsidRDefault="00CB7A56" w:rsidP="00A2580C">
            <w:pPr>
              <w:spacing w:after="0" w:line="240" w:lineRule="auto"/>
              <w:jc w:val="both"/>
              <w:rPr>
                <w:rFonts w:cs="Times New Roman"/>
                <w:noProof/>
                <w:sz w:val="16"/>
                <w:szCs w:val="16"/>
              </w:rPr>
            </w:pPr>
            <w:r w:rsidRPr="00B44B19">
              <w:rPr>
                <w:rFonts w:cs="Times New Roman"/>
                <w:noProof/>
                <w:sz w:val="16"/>
                <w:szCs w:val="16"/>
              </w:rPr>
              <w:t>Projektų duomenys</w:t>
            </w:r>
          </w:p>
        </w:tc>
        <w:tc>
          <w:tcPr>
            <w:tcW w:w="370" w:type="pct"/>
            <w:tcBorders>
              <w:top w:val="single" w:sz="4" w:space="0" w:color="auto"/>
              <w:bottom w:val="single" w:sz="4" w:space="0" w:color="auto"/>
            </w:tcBorders>
          </w:tcPr>
          <w:p w14:paraId="122668C8" w14:textId="77777777" w:rsidR="00A2580C" w:rsidRPr="00B44B19" w:rsidRDefault="00A2580C" w:rsidP="00A2580C">
            <w:pPr>
              <w:spacing w:after="0" w:line="240" w:lineRule="auto"/>
              <w:jc w:val="both"/>
              <w:rPr>
                <w:rFonts w:cs="Times New Roman"/>
                <w:b/>
                <w:noProof/>
                <w:sz w:val="14"/>
                <w:szCs w:val="14"/>
              </w:rPr>
            </w:pPr>
          </w:p>
        </w:tc>
      </w:tr>
      <w:tr w:rsidR="00A2580C" w:rsidRPr="00B44B19" w14:paraId="06654953" w14:textId="77777777" w:rsidTr="00167E6C">
        <w:trPr>
          <w:trHeight w:val="407"/>
        </w:trPr>
        <w:tc>
          <w:tcPr>
            <w:tcW w:w="364" w:type="pct"/>
            <w:vMerge/>
          </w:tcPr>
          <w:p w14:paraId="014696D2" w14:textId="77777777" w:rsidR="00A2580C" w:rsidRPr="00B44B19" w:rsidRDefault="00A2580C" w:rsidP="00A2580C">
            <w:pPr>
              <w:spacing w:after="0" w:line="240" w:lineRule="auto"/>
              <w:jc w:val="both"/>
              <w:rPr>
                <w:rFonts w:cs="Times New Roman"/>
                <w:noProof/>
                <w:sz w:val="16"/>
                <w:szCs w:val="16"/>
              </w:rPr>
            </w:pPr>
          </w:p>
        </w:tc>
        <w:tc>
          <w:tcPr>
            <w:tcW w:w="328" w:type="pct"/>
            <w:vMerge/>
          </w:tcPr>
          <w:p w14:paraId="0C14B502"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1170C27B" w14:textId="77777777" w:rsidR="00A2580C" w:rsidRPr="00B44B19" w:rsidRDefault="00A2580C" w:rsidP="00A2580C">
            <w:pPr>
              <w:spacing w:after="0" w:line="240" w:lineRule="auto"/>
              <w:jc w:val="both"/>
              <w:rPr>
                <w:rFonts w:cs="Times New Roman"/>
                <w:noProof/>
                <w:sz w:val="16"/>
                <w:szCs w:val="16"/>
              </w:rPr>
            </w:pPr>
          </w:p>
        </w:tc>
        <w:tc>
          <w:tcPr>
            <w:tcW w:w="328" w:type="pct"/>
            <w:tcBorders>
              <w:top w:val="single" w:sz="4" w:space="0" w:color="auto"/>
            </w:tcBorders>
          </w:tcPr>
          <w:p w14:paraId="2DE1A2DE" w14:textId="77777777" w:rsidR="00A2580C" w:rsidRPr="00B44B19" w:rsidRDefault="00A2580C" w:rsidP="00A2580C">
            <w:pPr>
              <w:spacing w:after="0" w:line="240" w:lineRule="auto"/>
              <w:rPr>
                <w:rFonts w:cs="Times New Roman"/>
                <w:noProof/>
                <w:sz w:val="16"/>
                <w:szCs w:val="16"/>
              </w:rPr>
            </w:pPr>
            <w:r w:rsidRPr="00B44B19">
              <w:rPr>
                <w:rFonts w:eastAsia="Calibri" w:cs="Times New Roman"/>
                <w:sz w:val="16"/>
                <w:szCs w:val="16"/>
                <w:lang w:eastAsia="lt-LT" w:bidi="lt-LT"/>
              </w:rPr>
              <w:t>VVL regionas</w:t>
            </w:r>
          </w:p>
        </w:tc>
        <w:tc>
          <w:tcPr>
            <w:tcW w:w="469" w:type="pct"/>
            <w:tcBorders>
              <w:top w:val="single" w:sz="4" w:space="0" w:color="auto"/>
            </w:tcBorders>
          </w:tcPr>
          <w:p w14:paraId="4431E6FE"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RCR77</w:t>
            </w:r>
          </w:p>
        </w:tc>
        <w:tc>
          <w:tcPr>
            <w:tcW w:w="1125" w:type="pct"/>
            <w:tcBorders>
              <w:top w:val="single" w:sz="4" w:space="0" w:color="auto"/>
            </w:tcBorders>
          </w:tcPr>
          <w:p w14:paraId="49777348" w14:textId="77777777" w:rsidR="00A2580C" w:rsidRPr="00B44B19" w:rsidRDefault="00A2580C" w:rsidP="00A2580C">
            <w:pPr>
              <w:tabs>
                <w:tab w:val="left" w:pos="7560"/>
              </w:tabs>
              <w:spacing w:after="0" w:line="240" w:lineRule="auto"/>
              <w:rPr>
                <w:rFonts w:cs="Times New Roman"/>
                <w:noProof/>
                <w:sz w:val="16"/>
                <w:szCs w:val="16"/>
              </w:rPr>
            </w:pPr>
            <w:r w:rsidRPr="00B44B19">
              <w:rPr>
                <w:rFonts w:cs="Times New Roman"/>
                <w:noProof/>
                <w:sz w:val="16"/>
                <w:szCs w:val="16"/>
              </w:rPr>
              <w:t>Paramą gavusių kultūros ir turizmo objektų lankytojai</w:t>
            </w:r>
          </w:p>
        </w:tc>
        <w:tc>
          <w:tcPr>
            <w:tcW w:w="328" w:type="pct"/>
            <w:tcBorders>
              <w:top w:val="single" w:sz="4" w:space="0" w:color="auto"/>
            </w:tcBorders>
          </w:tcPr>
          <w:p w14:paraId="068E5A97"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 xml:space="preserve">Lankytojai </w:t>
            </w:r>
            <w:r w:rsidR="00381A44" w:rsidRPr="00B44B19">
              <w:rPr>
                <w:rFonts w:cs="Times New Roman"/>
                <w:noProof/>
                <w:sz w:val="16"/>
                <w:szCs w:val="16"/>
              </w:rPr>
              <w:t>per</w:t>
            </w:r>
            <w:r w:rsidRPr="00B44B19">
              <w:rPr>
                <w:rFonts w:cs="Times New Roman"/>
                <w:noProof/>
                <w:sz w:val="16"/>
                <w:szCs w:val="16"/>
              </w:rPr>
              <w:t xml:space="preserve"> metus</w:t>
            </w:r>
          </w:p>
        </w:tc>
        <w:tc>
          <w:tcPr>
            <w:tcW w:w="328" w:type="pct"/>
            <w:tcBorders>
              <w:top w:val="single" w:sz="4" w:space="0" w:color="auto"/>
            </w:tcBorders>
          </w:tcPr>
          <w:p w14:paraId="1E3606A2"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597 170</w:t>
            </w:r>
          </w:p>
        </w:tc>
        <w:tc>
          <w:tcPr>
            <w:tcW w:w="375" w:type="pct"/>
            <w:tcBorders>
              <w:top w:val="single" w:sz="4" w:space="0" w:color="auto"/>
            </w:tcBorders>
          </w:tcPr>
          <w:p w14:paraId="19A93C09"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2019</w:t>
            </w:r>
          </w:p>
        </w:tc>
        <w:tc>
          <w:tcPr>
            <w:tcW w:w="375" w:type="pct"/>
            <w:tcBorders>
              <w:top w:val="single" w:sz="4" w:space="0" w:color="auto"/>
            </w:tcBorders>
          </w:tcPr>
          <w:p w14:paraId="0C70EE2E"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1 302</w:t>
            </w:r>
            <w:r w:rsidR="00E91DC4" w:rsidRPr="00B44B19">
              <w:rPr>
                <w:rFonts w:cs="Times New Roman"/>
                <w:noProof/>
                <w:sz w:val="16"/>
                <w:szCs w:val="16"/>
              </w:rPr>
              <w:t> </w:t>
            </w:r>
            <w:r w:rsidRPr="00B44B19">
              <w:rPr>
                <w:rFonts w:cs="Times New Roman"/>
                <w:noProof/>
                <w:sz w:val="16"/>
                <w:szCs w:val="16"/>
              </w:rPr>
              <w:t>696</w:t>
            </w:r>
          </w:p>
        </w:tc>
        <w:tc>
          <w:tcPr>
            <w:tcW w:w="328" w:type="pct"/>
            <w:tcBorders>
              <w:top w:val="single" w:sz="4" w:space="0" w:color="auto"/>
            </w:tcBorders>
          </w:tcPr>
          <w:p w14:paraId="636E0412" w14:textId="77777777" w:rsidR="00A2580C" w:rsidRPr="00B44B19" w:rsidRDefault="00CB7A56" w:rsidP="00A2580C">
            <w:pPr>
              <w:spacing w:after="0" w:line="240" w:lineRule="auto"/>
              <w:jc w:val="both"/>
              <w:rPr>
                <w:rFonts w:cs="Times New Roman"/>
                <w:noProof/>
                <w:sz w:val="16"/>
                <w:szCs w:val="16"/>
              </w:rPr>
            </w:pPr>
            <w:r w:rsidRPr="00B44B19">
              <w:rPr>
                <w:rFonts w:cs="Times New Roman"/>
                <w:noProof/>
                <w:sz w:val="16"/>
                <w:szCs w:val="16"/>
              </w:rPr>
              <w:t>Projektų duomenys</w:t>
            </w:r>
          </w:p>
        </w:tc>
        <w:tc>
          <w:tcPr>
            <w:tcW w:w="370" w:type="pct"/>
            <w:tcBorders>
              <w:top w:val="single" w:sz="4" w:space="0" w:color="auto"/>
            </w:tcBorders>
          </w:tcPr>
          <w:p w14:paraId="0E9F0A92" w14:textId="77777777" w:rsidR="00A2580C" w:rsidRPr="00B44B19" w:rsidRDefault="00A2580C" w:rsidP="00A2580C">
            <w:pPr>
              <w:spacing w:after="0" w:line="240" w:lineRule="auto"/>
              <w:jc w:val="both"/>
              <w:rPr>
                <w:rFonts w:cs="Times New Roman"/>
                <w:b/>
                <w:noProof/>
                <w:sz w:val="14"/>
                <w:szCs w:val="14"/>
              </w:rPr>
            </w:pPr>
          </w:p>
        </w:tc>
      </w:tr>
    </w:tbl>
    <w:p w14:paraId="76BAB729" w14:textId="77777777" w:rsidR="002B441C" w:rsidRPr="00B44B19" w:rsidRDefault="002B441C" w:rsidP="00786CD2">
      <w:pPr>
        <w:spacing w:before="240" w:after="240" w:line="240" w:lineRule="auto"/>
        <w:jc w:val="both"/>
        <w:rPr>
          <w:rFonts w:eastAsia="Calibri" w:cs="Times New Roman"/>
          <w:b/>
          <w:noProof/>
          <w:szCs w:val="20"/>
          <w:lang w:eastAsia="lt-LT" w:bidi="lt-LT"/>
        </w:rPr>
        <w:sectPr w:rsidR="002B441C" w:rsidRPr="00B44B19" w:rsidSect="00931C78">
          <w:pgSz w:w="16838" w:h="11906" w:orient="landscape"/>
          <w:pgMar w:top="1701" w:right="1276" w:bottom="567" w:left="1134" w:header="567" w:footer="567" w:gutter="0"/>
          <w:cols w:space="1296"/>
          <w:docGrid w:linePitch="360"/>
        </w:sectPr>
      </w:pPr>
    </w:p>
    <w:p w14:paraId="7411A111" w14:textId="77777777" w:rsidR="00786CD2" w:rsidRPr="00B44B19" w:rsidRDefault="00786CD2"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A2580C" w:rsidRPr="00B44B19" w14:paraId="04181629" w14:textId="77777777" w:rsidTr="00EA78C5">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35D0F12" w14:textId="77777777" w:rsidR="00A2580C" w:rsidRPr="00B44B19" w:rsidRDefault="00A2580C" w:rsidP="00A2580C">
            <w:pPr>
              <w:rPr>
                <w:rFonts w:eastAsia="Times New Roman" w:cs="Times New Roman"/>
                <w:b/>
                <w:iCs/>
                <w:noProof/>
                <w:sz w:val="20"/>
              </w:rPr>
            </w:pPr>
            <w:r w:rsidRPr="00B44B19">
              <w:rPr>
                <w:rFonts w:cs="Times New Roman"/>
                <w:b/>
                <w:noProof/>
                <w:sz w:val="20"/>
              </w:rPr>
              <w:t>4 lentelė. 1 matmuo</w:t>
            </w:r>
            <w:r w:rsidR="00833871" w:rsidRPr="00B44B19">
              <w:rPr>
                <w:rFonts w:cs="Times New Roman"/>
                <w:b/>
                <w:noProof/>
                <w:sz w:val="20"/>
              </w:rPr>
              <w:t>:</w:t>
            </w:r>
            <w:r w:rsidRPr="00B44B19">
              <w:rPr>
                <w:rFonts w:cs="Times New Roman"/>
                <w:b/>
                <w:noProof/>
                <w:sz w:val="20"/>
              </w:rPr>
              <w:t xml:space="preserve"> </w:t>
            </w:r>
            <w:r w:rsidR="00833871" w:rsidRPr="00B44B19">
              <w:rPr>
                <w:rFonts w:cs="Times New Roman"/>
                <w:b/>
                <w:noProof/>
                <w:sz w:val="20"/>
              </w:rPr>
              <w:t>i</w:t>
            </w:r>
            <w:r w:rsidRPr="00B44B19">
              <w:rPr>
                <w:rFonts w:cs="Times New Roman"/>
                <w:b/>
                <w:noProof/>
                <w:sz w:val="20"/>
              </w:rPr>
              <w:t>ntervencinių priemonių sritis</w:t>
            </w:r>
          </w:p>
        </w:tc>
      </w:tr>
      <w:tr w:rsidR="00A2580C" w:rsidRPr="00B44B19" w14:paraId="73D4680F" w14:textId="77777777" w:rsidTr="00F8763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16D699" w14:textId="77777777" w:rsidR="00A2580C" w:rsidRPr="00B44B19" w:rsidRDefault="00A2580C" w:rsidP="00A2580C">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336BCC" w14:textId="77777777" w:rsidR="00A2580C" w:rsidRPr="00B44B19" w:rsidRDefault="00A2580C" w:rsidP="00A2580C">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B3E23" w14:textId="77777777" w:rsidR="00A2580C" w:rsidRPr="00B44B19" w:rsidRDefault="00A2580C" w:rsidP="00A2580C">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4B9411" w14:textId="77777777" w:rsidR="00A2580C" w:rsidRPr="00B44B19" w:rsidRDefault="00A2580C" w:rsidP="00A2580C">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7C115C" w14:textId="77777777" w:rsidR="00A2580C" w:rsidRPr="00B44B19" w:rsidRDefault="00A2580C" w:rsidP="00A2580C">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B2F7AD" w14:textId="77777777" w:rsidR="00A2580C" w:rsidRPr="00B44B19" w:rsidRDefault="00A2580C" w:rsidP="00A2580C">
            <w:pPr>
              <w:jc w:val="center"/>
              <w:rPr>
                <w:rFonts w:eastAsia="Times New Roman" w:cs="Times New Roman"/>
                <w:b/>
                <w:iCs/>
                <w:noProof/>
                <w:sz w:val="20"/>
              </w:rPr>
            </w:pPr>
            <w:r w:rsidRPr="00B44B19">
              <w:rPr>
                <w:rFonts w:cs="Times New Roman"/>
                <w:b/>
                <w:noProof/>
                <w:sz w:val="20"/>
              </w:rPr>
              <w:t>Suma (EUR)</w:t>
            </w:r>
          </w:p>
        </w:tc>
      </w:tr>
      <w:tr w:rsidR="00F67364" w:rsidRPr="00B44B19" w14:paraId="53A9477B" w14:textId="77777777" w:rsidTr="00F67364">
        <w:tc>
          <w:tcPr>
            <w:tcW w:w="1101" w:type="dxa"/>
            <w:vMerge w:val="restart"/>
            <w:tcBorders>
              <w:top w:val="single" w:sz="12" w:space="0" w:color="auto"/>
            </w:tcBorders>
          </w:tcPr>
          <w:p w14:paraId="34FAD1B0" w14:textId="663E217E" w:rsidR="00F67364" w:rsidRPr="00B44B19" w:rsidRDefault="00F67364" w:rsidP="00A2580C">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154B225C" w14:textId="2C99D701" w:rsidR="00F67364" w:rsidRPr="00B44B19" w:rsidRDefault="00F67364" w:rsidP="00A2580C">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7E71D997" w14:textId="09D6F646" w:rsidR="00F67364" w:rsidRPr="00B44B19" w:rsidRDefault="00F67364" w:rsidP="00A2580C">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70B58291" w14:textId="0E764B36" w:rsidR="00F67364" w:rsidRPr="00B44B19" w:rsidRDefault="00F67364" w:rsidP="00A2580C">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4.6</w:t>
            </w:r>
          </w:p>
        </w:tc>
        <w:tc>
          <w:tcPr>
            <w:tcW w:w="3686" w:type="dxa"/>
            <w:vMerge w:val="restart"/>
            <w:tcBorders>
              <w:top w:val="single" w:sz="12" w:space="0" w:color="auto"/>
            </w:tcBorders>
          </w:tcPr>
          <w:p w14:paraId="7E5EF9AC" w14:textId="48FB2524" w:rsidR="00F67364" w:rsidRPr="00B44B19" w:rsidRDefault="00F67364" w:rsidP="00665E0A">
            <w:pPr>
              <w:widowControl w:val="0"/>
              <w:autoSpaceDE w:val="0"/>
              <w:autoSpaceDN w:val="0"/>
              <w:adjustRightInd w:val="0"/>
              <w:rPr>
                <w:rFonts w:eastAsia="Times New Roman" w:cs="Times New Roman"/>
                <w:sz w:val="20"/>
                <w:szCs w:val="20"/>
                <w:lang w:eastAsia="lt-LT"/>
              </w:rPr>
            </w:pPr>
            <w:r w:rsidRPr="00B44B19">
              <w:rPr>
                <w:rFonts w:eastAsia="Times New Roman" w:cs="Times New Roman"/>
                <w:sz w:val="20"/>
                <w:szCs w:val="20"/>
                <w:lang w:eastAsia="lt-LT"/>
              </w:rPr>
              <w:t>044. Siekiant efektyvaus energijos vartojimo vykdoma viešosios infrastruktūros renovacija arba viešajai infrastruktūrai taikomos energijos vartojimo efektyvumo priemonės, parodomieji projektai ir pagalbinės priemonės</w:t>
            </w:r>
          </w:p>
        </w:tc>
        <w:tc>
          <w:tcPr>
            <w:tcW w:w="1417" w:type="dxa"/>
            <w:tcBorders>
              <w:top w:val="single" w:sz="12" w:space="0" w:color="auto"/>
              <w:bottom w:val="single" w:sz="4" w:space="0" w:color="auto"/>
            </w:tcBorders>
          </w:tcPr>
          <w:p w14:paraId="1C9D2536" w14:textId="1ED13078" w:rsidR="00F67364" w:rsidRPr="00B44B19" w:rsidRDefault="00F67364" w:rsidP="00F67364">
            <w:pPr>
              <w:jc w:val="right"/>
              <w:rPr>
                <w:rFonts w:eastAsia="Times New Roman" w:cs="Times New Roman"/>
                <w:iCs/>
                <w:noProof/>
                <w:sz w:val="20"/>
                <w:szCs w:val="20"/>
              </w:rPr>
            </w:pPr>
            <w:r w:rsidRPr="00B44B19">
              <w:rPr>
                <w:rFonts w:cs="Times New Roman"/>
                <w:color w:val="000000"/>
                <w:sz w:val="20"/>
                <w:szCs w:val="20"/>
              </w:rPr>
              <w:t>1 507 381,00</w:t>
            </w:r>
          </w:p>
        </w:tc>
      </w:tr>
      <w:tr w:rsidR="00F67364" w:rsidRPr="00B44B19" w14:paraId="2F731D25" w14:textId="77777777" w:rsidTr="00F67364">
        <w:tc>
          <w:tcPr>
            <w:tcW w:w="1101" w:type="dxa"/>
            <w:vMerge/>
          </w:tcPr>
          <w:p w14:paraId="36A8FAD7" w14:textId="1CB85268" w:rsidR="00F67364" w:rsidRPr="00B44B19" w:rsidRDefault="00F67364" w:rsidP="00A2580C">
            <w:pPr>
              <w:jc w:val="center"/>
              <w:textAlignment w:val="baseline"/>
              <w:rPr>
                <w:rFonts w:eastAsia="Times New Roman" w:cs="Times New Roman"/>
                <w:sz w:val="20"/>
                <w:szCs w:val="20"/>
                <w:lang w:eastAsia="lt-LT"/>
              </w:rPr>
            </w:pPr>
          </w:p>
        </w:tc>
        <w:tc>
          <w:tcPr>
            <w:tcW w:w="850" w:type="dxa"/>
            <w:vMerge/>
          </w:tcPr>
          <w:p w14:paraId="0BABD975" w14:textId="68E82329" w:rsidR="00F67364" w:rsidRPr="00B44B19" w:rsidRDefault="00F67364"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AC21EB1" w14:textId="77777777" w:rsidR="00F67364" w:rsidRPr="00B44B19" w:rsidRDefault="00F67364" w:rsidP="00A2580C">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64204730" w14:textId="3A1D3B3C" w:rsidR="00F67364" w:rsidRPr="00B44B19" w:rsidRDefault="00F67364" w:rsidP="00A2580C">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4557E2F0" w14:textId="2A52E3D5" w:rsidR="00F67364" w:rsidRPr="00B44B19" w:rsidRDefault="00F67364" w:rsidP="00665E0A">
            <w:pPr>
              <w:widowControl w:val="0"/>
              <w:autoSpaceDE w:val="0"/>
              <w:autoSpaceDN w:val="0"/>
              <w:adjustRightInd w:val="0"/>
              <w:rPr>
                <w:rFonts w:eastAsia="Times New Roman" w:cs="Times New Roman"/>
                <w:sz w:val="20"/>
                <w:szCs w:val="20"/>
                <w:lang w:eastAsia="lt-LT"/>
              </w:rPr>
            </w:pPr>
          </w:p>
        </w:tc>
        <w:tc>
          <w:tcPr>
            <w:tcW w:w="1417" w:type="dxa"/>
            <w:tcBorders>
              <w:top w:val="single" w:sz="4" w:space="0" w:color="auto"/>
              <w:bottom w:val="single" w:sz="4" w:space="0" w:color="auto"/>
            </w:tcBorders>
          </w:tcPr>
          <w:p w14:paraId="57A9FD9C" w14:textId="6D59EAEF" w:rsidR="00F67364" w:rsidRPr="00B44B19" w:rsidRDefault="00F67364" w:rsidP="00F67364">
            <w:pPr>
              <w:jc w:val="right"/>
              <w:rPr>
                <w:rFonts w:eastAsia="Times New Roman" w:cs="Times New Roman"/>
                <w:iCs/>
                <w:noProof/>
                <w:sz w:val="20"/>
                <w:szCs w:val="20"/>
              </w:rPr>
            </w:pPr>
            <w:r w:rsidRPr="00B44B19">
              <w:rPr>
                <w:rFonts w:cs="Times New Roman"/>
                <w:color w:val="000000"/>
                <w:sz w:val="20"/>
                <w:szCs w:val="20"/>
              </w:rPr>
              <w:t>12 969 296</w:t>
            </w:r>
            <w:r w:rsidRPr="00B44B19">
              <w:rPr>
                <w:rFonts w:eastAsia="Times New Roman" w:cs="Times New Roman"/>
                <w:iCs/>
                <w:noProof/>
                <w:sz w:val="20"/>
                <w:szCs w:val="20"/>
              </w:rPr>
              <w:t>,00</w:t>
            </w:r>
          </w:p>
        </w:tc>
      </w:tr>
      <w:tr w:rsidR="00F67364" w:rsidRPr="00B44B19" w14:paraId="16A5F990" w14:textId="77777777" w:rsidTr="00B10447">
        <w:tc>
          <w:tcPr>
            <w:tcW w:w="1101" w:type="dxa"/>
            <w:vMerge/>
          </w:tcPr>
          <w:p w14:paraId="6E31D540" w14:textId="77777777" w:rsidR="00F67364" w:rsidRPr="00B44B19" w:rsidRDefault="00F67364" w:rsidP="00A2580C">
            <w:pPr>
              <w:jc w:val="center"/>
              <w:textAlignment w:val="baseline"/>
              <w:rPr>
                <w:rFonts w:eastAsia="Times New Roman" w:cs="Times New Roman"/>
                <w:sz w:val="20"/>
                <w:szCs w:val="20"/>
                <w:lang w:eastAsia="lt-LT"/>
              </w:rPr>
            </w:pPr>
          </w:p>
        </w:tc>
        <w:tc>
          <w:tcPr>
            <w:tcW w:w="850" w:type="dxa"/>
            <w:vMerge/>
          </w:tcPr>
          <w:p w14:paraId="08CEFD07" w14:textId="77777777" w:rsidR="00F67364" w:rsidRPr="00B44B19" w:rsidRDefault="00F67364"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07CDA3ED" w14:textId="77777777" w:rsidR="00F67364" w:rsidRPr="00B44B19" w:rsidRDefault="00F67364" w:rsidP="00A2580C">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77167F48" w14:textId="77777777" w:rsidR="00F67364" w:rsidRPr="00B44B19" w:rsidRDefault="00F67364" w:rsidP="00A2580C">
            <w:pPr>
              <w:jc w:val="center"/>
              <w:textAlignment w:val="baseline"/>
              <w:rPr>
                <w:rFonts w:eastAsia="Times New Roman" w:cs="Times New Roman"/>
                <w:sz w:val="20"/>
                <w:szCs w:val="20"/>
                <w:lang w:eastAsia="lt-LT"/>
              </w:rPr>
            </w:pPr>
          </w:p>
        </w:tc>
        <w:tc>
          <w:tcPr>
            <w:tcW w:w="3686" w:type="dxa"/>
            <w:vMerge w:val="restart"/>
            <w:tcBorders>
              <w:top w:val="single" w:sz="4" w:space="0" w:color="auto"/>
            </w:tcBorders>
          </w:tcPr>
          <w:p w14:paraId="351DD23C" w14:textId="77777777" w:rsidR="00F67364" w:rsidRPr="00B44B19" w:rsidRDefault="00F67364" w:rsidP="00665E0A">
            <w:pPr>
              <w:widowControl w:val="0"/>
              <w:autoSpaceDE w:val="0"/>
              <w:autoSpaceDN w:val="0"/>
              <w:adjustRightInd w:val="0"/>
              <w:spacing w:line="276" w:lineRule="auto"/>
              <w:rPr>
                <w:rFonts w:eastAsia="Times New Roman" w:cs="Times New Roman"/>
                <w:sz w:val="20"/>
                <w:szCs w:val="20"/>
                <w:lang w:eastAsia="lt-LT"/>
              </w:rPr>
            </w:pPr>
            <w:r w:rsidRPr="00B44B19">
              <w:rPr>
                <w:rFonts w:eastAsia="Times New Roman" w:cs="Times New Roman"/>
                <w:sz w:val="20"/>
                <w:szCs w:val="20"/>
                <w:lang w:eastAsia="lt-LT"/>
              </w:rPr>
              <w:t xml:space="preserve">021 – MVĮ verslo plėtra ir tarptautinimas, įskaitant </w:t>
            </w:r>
            <w:r w:rsidRPr="00B44B19">
              <w:rPr>
                <w:rFonts w:cs="Times New Roman"/>
                <w:color w:val="000000"/>
                <w:kern w:val="2"/>
                <w:sz w:val="20"/>
                <w:szCs w:val="20"/>
              </w:rPr>
              <w:t>gamybines investicijas</w:t>
            </w:r>
          </w:p>
        </w:tc>
        <w:tc>
          <w:tcPr>
            <w:tcW w:w="1417" w:type="dxa"/>
            <w:tcBorders>
              <w:top w:val="single" w:sz="4" w:space="0" w:color="auto"/>
              <w:bottom w:val="single" w:sz="4" w:space="0" w:color="auto"/>
            </w:tcBorders>
          </w:tcPr>
          <w:p w14:paraId="541722FC" w14:textId="0CDFF417" w:rsidR="00F67364" w:rsidRPr="00B44B19" w:rsidRDefault="00F67364" w:rsidP="00F67364">
            <w:pPr>
              <w:jc w:val="right"/>
              <w:rPr>
                <w:rFonts w:eastAsia="Times New Roman" w:cs="Times New Roman"/>
                <w:iCs/>
                <w:noProof/>
                <w:sz w:val="20"/>
                <w:szCs w:val="20"/>
              </w:rPr>
            </w:pPr>
            <w:r w:rsidRPr="00B44B19">
              <w:rPr>
                <w:rFonts w:cs="Times New Roman"/>
                <w:color w:val="000000"/>
                <w:sz w:val="20"/>
                <w:szCs w:val="20"/>
              </w:rPr>
              <w:t>8 592 619</w:t>
            </w:r>
            <w:r w:rsidRPr="00B44B19">
              <w:rPr>
                <w:rFonts w:eastAsia="Times New Roman" w:cs="Times New Roman"/>
                <w:iCs/>
                <w:noProof/>
                <w:sz w:val="20"/>
                <w:szCs w:val="20"/>
              </w:rPr>
              <w:t>,00</w:t>
            </w:r>
          </w:p>
        </w:tc>
      </w:tr>
      <w:tr w:rsidR="00F67364" w:rsidRPr="00B44B19" w14:paraId="076D4B0A" w14:textId="77777777" w:rsidTr="0074794D">
        <w:trPr>
          <w:trHeight w:val="148"/>
        </w:trPr>
        <w:tc>
          <w:tcPr>
            <w:tcW w:w="1101" w:type="dxa"/>
            <w:vMerge/>
          </w:tcPr>
          <w:p w14:paraId="7863BEE2" w14:textId="77777777" w:rsidR="00F67364" w:rsidRPr="00B44B19" w:rsidRDefault="00F67364" w:rsidP="00A2580C">
            <w:pPr>
              <w:jc w:val="center"/>
              <w:textAlignment w:val="baseline"/>
              <w:rPr>
                <w:rFonts w:eastAsia="Times New Roman" w:cs="Times New Roman"/>
                <w:sz w:val="20"/>
                <w:szCs w:val="20"/>
                <w:lang w:eastAsia="lt-LT"/>
              </w:rPr>
            </w:pPr>
          </w:p>
        </w:tc>
        <w:tc>
          <w:tcPr>
            <w:tcW w:w="850" w:type="dxa"/>
            <w:vMerge/>
          </w:tcPr>
          <w:p w14:paraId="259EDF6F" w14:textId="77777777" w:rsidR="00F67364" w:rsidRPr="00B44B19" w:rsidRDefault="00F67364"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AEE7E90" w14:textId="77777777" w:rsidR="00F67364" w:rsidRPr="00B44B19" w:rsidRDefault="00F67364" w:rsidP="00A2580C">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A7A40F8" w14:textId="77777777" w:rsidR="00F67364" w:rsidRPr="00B44B19" w:rsidRDefault="00F67364" w:rsidP="00A2580C">
            <w:pPr>
              <w:jc w:val="center"/>
              <w:textAlignment w:val="baseline"/>
              <w:rPr>
                <w:rFonts w:eastAsia="Times New Roman" w:cs="Times New Roman"/>
                <w:sz w:val="20"/>
                <w:szCs w:val="20"/>
                <w:lang w:eastAsia="lt-LT"/>
              </w:rPr>
            </w:pPr>
          </w:p>
        </w:tc>
        <w:tc>
          <w:tcPr>
            <w:tcW w:w="3686" w:type="dxa"/>
            <w:vMerge/>
          </w:tcPr>
          <w:p w14:paraId="0F1B17BA" w14:textId="77777777" w:rsidR="00F67364" w:rsidRPr="00B44B19" w:rsidRDefault="00F67364" w:rsidP="00A2580C">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1D6A05CD" w14:textId="5679CB6B" w:rsidR="00F67364" w:rsidRPr="00B44B19" w:rsidRDefault="00F67364" w:rsidP="00F67364">
            <w:pPr>
              <w:jc w:val="right"/>
              <w:rPr>
                <w:rFonts w:eastAsia="Times New Roman" w:cs="Times New Roman"/>
                <w:iCs/>
                <w:noProof/>
                <w:sz w:val="20"/>
                <w:szCs w:val="20"/>
              </w:rPr>
            </w:pPr>
            <w:r w:rsidRPr="00B44B19">
              <w:rPr>
                <w:rFonts w:cs="Times New Roman"/>
                <w:color w:val="000000"/>
                <w:sz w:val="20"/>
                <w:szCs w:val="20"/>
              </w:rPr>
              <w:t>10 430 704</w:t>
            </w:r>
            <w:r w:rsidRPr="00B44B19">
              <w:rPr>
                <w:rFonts w:eastAsia="Times New Roman" w:cs="Times New Roman"/>
                <w:iCs/>
                <w:noProof/>
                <w:sz w:val="20"/>
                <w:szCs w:val="20"/>
              </w:rPr>
              <w:t>,00</w:t>
            </w:r>
          </w:p>
        </w:tc>
      </w:tr>
      <w:tr w:rsidR="00F67364" w:rsidRPr="00B44B19" w14:paraId="2FB827E2" w14:textId="77777777" w:rsidTr="00EA78C5">
        <w:tc>
          <w:tcPr>
            <w:tcW w:w="1101" w:type="dxa"/>
            <w:vMerge/>
          </w:tcPr>
          <w:p w14:paraId="06E46FA4" w14:textId="77777777" w:rsidR="00F67364" w:rsidRPr="00B44B19" w:rsidRDefault="00F67364" w:rsidP="00A2580C">
            <w:pPr>
              <w:jc w:val="center"/>
              <w:textAlignment w:val="baseline"/>
              <w:rPr>
                <w:rFonts w:eastAsia="Times New Roman" w:cs="Times New Roman"/>
                <w:sz w:val="20"/>
                <w:szCs w:val="20"/>
                <w:lang w:eastAsia="lt-LT"/>
              </w:rPr>
            </w:pPr>
          </w:p>
        </w:tc>
        <w:tc>
          <w:tcPr>
            <w:tcW w:w="850" w:type="dxa"/>
            <w:vMerge/>
          </w:tcPr>
          <w:p w14:paraId="049B921E" w14:textId="77777777" w:rsidR="00F67364" w:rsidRPr="00B44B19" w:rsidRDefault="00F67364"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F412A77" w14:textId="77777777" w:rsidR="00F67364" w:rsidRPr="00B44B19" w:rsidRDefault="00F67364" w:rsidP="00A2580C">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6206FF74" w14:textId="77777777" w:rsidR="00F67364" w:rsidRPr="00B44B19" w:rsidRDefault="00F67364" w:rsidP="00A2580C">
            <w:pPr>
              <w:jc w:val="center"/>
              <w:textAlignment w:val="baseline"/>
              <w:rPr>
                <w:rFonts w:eastAsia="Times New Roman" w:cs="Times New Roman"/>
                <w:sz w:val="20"/>
                <w:szCs w:val="20"/>
                <w:lang w:eastAsia="lt-LT"/>
              </w:rPr>
            </w:pPr>
          </w:p>
        </w:tc>
        <w:tc>
          <w:tcPr>
            <w:tcW w:w="3686" w:type="dxa"/>
            <w:vMerge w:val="restart"/>
          </w:tcPr>
          <w:p w14:paraId="4182F861" w14:textId="77777777" w:rsidR="00F67364" w:rsidRPr="00B44B19" w:rsidRDefault="00F67364" w:rsidP="00665E0A">
            <w:pPr>
              <w:textAlignment w:val="baseline"/>
              <w:rPr>
                <w:rFonts w:eastAsia="Times New Roman" w:cs="Times New Roman"/>
                <w:sz w:val="20"/>
                <w:szCs w:val="20"/>
                <w:lang w:eastAsia="lt-LT"/>
              </w:rPr>
            </w:pPr>
            <w:r w:rsidRPr="00B44B19">
              <w:rPr>
                <w:rFonts w:eastAsia="Times New Roman" w:cs="Times New Roman"/>
                <w:sz w:val="20"/>
                <w:szCs w:val="20"/>
                <w:lang w:eastAsia="lt-LT"/>
              </w:rPr>
              <w:t>166 – Kultūros paveldo ir kultūros paslaugų apsauga, plėtojimas ir skatinimas</w:t>
            </w:r>
          </w:p>
        </w:tc>
        <w:tc>
          <w:tcPr>
            <w:tcW w:w="1417" w:type="dxa"/>
            <w:tcBorders>
              <w:top w:val="single" w:sz="4" w:space="0" w:color="auto"/>
              <w:bottom w:val="single" w:sz="4" w:space="0" w:color="auto"/>
            </w:tcBorders>
          </w:tcPr>
          <w:p w14:paraId="587F8903" w14:textId="77777777" w:rsidR="00F67364" w:rsidRPr="00B44B19" w:rsidRDefault="00F67364" w:rsidP="00A2580C">
            <w:pPr>
              <w:jc w:val="right"/>
              <w:rPr>
                <w:rFonts w:eastAsia="Times New Roman" w:cs="Times New Roman"/>
                <w:iCs/>
                <w:noProof/>
                <w:sz w:val="20"/>
                <w:szCs w:val="20"/>
              </w:rPr>
            </w:pPr>
            <w:r w:rsidRPr="00B44B19">
              <w:rPr>
                <w:rFonts w:eastAsia="Times New Roman" w:cs="Times New Roman"/>
                <w:iCs/>
                <w:noProof/>
                <w:sz w:val="20"/>
                <w:szCs w:val="20"/>
              </w:rPr>
              <w:t>500 000,00</w:t>
            </w:r>
          </w:p>
        </w:tc>
      </w:tr>
      <w:tr w:rsidR="00F67364" w:rsidRPr="00B44B19" w14:paraId="12CF529B" w14:textId="77777777" w:rsidTr="00EA78C5">
        <w:tc>
          <w:tcPr>
            <w:tcW w:w="1101" w:type="dxa"/>
            <w:vMerge/>
          </w:tcPr>
          <w:p w14:paraId="46DEE33D" w14:textId="77777777" w:rsidR="00F67364" w:rsidRPr="00B44B19" w:rsidRDefault="00F67364" w:rsidP="00A2580C">
            <w:pPr>
              <w:jc w:val="center"/>
              <w:textAlignment w:val="baseline"/>
              <w:rPr>
                <w:rFonts w:eastAsia="Times New Roman" w:cs="Times New Roman"/>
                <w:sz w:val="20"/>
                <w:szCs w:val="20"/>
                <w:lang w:eastAsia="lt-LT"/>
              </w:rPr>
            </w:pPr>
          </w:p>
        </w:tc>
        <w:tc>
          <w:tcPr>
            <w:tcW w:w="850" w:type="dxa"/>
            <w:vMerge/>
          </w:tcPr>
          <w:p w14:paraId="6FC088B4" w14:textId="77777777" w:rsidR="00F67364" w:rsidRPr="00B44B19" w:rsidRDefault="00F67364" w:rsidP="00A2580C">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484950A9" w14:textId="77777777" w:rsidR="00F67364" w:rsidRPr="00B44B19" w:rsidRDefault="00F67364" w:rsidP="00A2580C">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3FA83332" w14:textId="77777777" w:rsidR="00F67364" w:rsidRPr="00B44B19" w:rsidRDefault="00F67364" w:rsidP="00A2580C">
            <w:pPr>
              <w:jc w:val="center"/>
              <w:textAlignment w:val="baseline"/>
              <w:rPr>
                <w:rFonts w:eastAsia="Times New Roman" w:cs="Times New Roman"/>
                <w:sz w:val="20"/>
                <w:szCs w:val="20"/>
                <w:lang w:eastAsia="lt-LT"/>
              </w:rPr>
            </w:pPr>
          </w:p>
        </w:tc>
        <w:tc>
          <w:tcPr>
            <w:tcW w:w="3686" w:type="dxa"/>
            <w:vMerge/>
            <w:tcBorders>
              <w:bottom w:val="single" w:sz="4" w:space="0" w:color="auto"/>
            </w:tcBorders>
          </w:tcPr>
          <w:p w14:paraId="32C0C9CD" w14:textId="77777777" w:rsidR="00F67364" w:rsidRPr="00B44B19" w:rsidRDefault="00F67364" w:rsidP="00A2580C">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290A7FA3" w14:textId="77777777" w:rsidR="00F67364" w:rsidRPr="00B44B19" w:rsidRDefault="00F67364" w:rsidP="0076506D">
            <w:pPr>
              <w:jc w:val="right"/>
              <w:rPr>
                <w:rFonts w:eastAsia="Times New Roman" w:cs="Times New Roman"/>
                <w:iCs/>
                <w:noProof/>
                <w:sz w:val="20"/>
                <w:szCs w:val="20"/>
              </w:rPr>
            </w:pPr>
            <w:r w:rsidRPr="00B44B19">
              <w:rPr>
                <w:rFonts w:eastAsia="Times New Roman" w:cs="Times New Roman"/>
                <w:iCs/>
                <w:noProof/>
                <w:sz w:val="20"/>
                <w:szCs w:val="20"/>
              </w:rPr>
              <w:t>60 000 000,00</w:t>
            </w:r>
          </w:p>
        </w:tc>
      </w:tr>
    </w:tbl>
    <w:p w14:paraId="36A0B53D" w14:textId="77777777" w:rsidR="00A2580C" w:rsidRPr="00B44B19" w:rsidRDefault="00A2580C" w:rsidP="00796586">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86"/>
        <w:gridCol w:w="1417"/>
      </w:tblGrid>
      <w:tr w:rsidR="00EB6093" w:rsidRPr="00B44B19" w14:paraId="48512E68" w14:textId="77777777" w:rsidTr="0099199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E55B017" w14:textId="77777777" w:rsidR="00EB6093" w:rsidRPr="00B44B19" w:rsidRDefault="00EB6093" w:rsidP="0072018B">
            <w:pPr>
              <w:rPr>
                <w:rFonts w:eastAsia="Times New Roman" w:cs="Times New Roman"/>
                <w:b/>
                <w:iCs/>
                <w:noProof/>
                <w:sz w:val="20"/>
              </w:rPr>
            </w:pPr>
            <w:bookmarkStart w:id="44" w:name="_Hlk163554615"/>
            <w:r w:rsidRPr="00B44B19">
              <w:rPr>
                <w:rFonts w:cs="Times New Roman"/>
                <w:b/>
                <w:noProof/>
                <w:sz w:val="20"/>
              </w:rPr>
              <w:t>5 lentelė. 2 matmuo</w:t>
            </w:r>
            <w:r w:rsidR="00833871" w:rsidRPr="00B44B19">
              <w:rPr>
                <w:rFonts w:cs="Times New Roman"/>
                <w:b/>
                <w:noProof/>
                <w:sz w:val="20"/>
              </w:rPr>
              <w:t>:</w:t>
            </w:r>
            <w:r w:rsidRPr="00B44B19">
              <w:rPr>
                <w:rFonts w:cs="Times New Roman"/>
                <w:b/>
                <w:noProof/>
                <w:sz w:val="20"/>
              </w:rPr>
              <w:t xml:space="preserve"> </w:t>
            </w:r>
            <w:bookmarkStart w:id="45" w:name="_Hlk163554394"/>
            <w:r w:rsidR="00833871" w:rsidRPr="00B44B19">
              <w:rPr>
                <w:rFonts w:cs="Times New Roman"/>
                <w:b/>
                <w:noProof/>
                <w:sz w:val="20"/>
              </w:rPr>
              <w:t>f</w:t>
            </w:r>
            <w:r w:rsidR="0072018B" w:rsidRPr="00B44B19">
              <w:rPr>
                <w:rFonts w:cs="Times New Roman"/>
                <w:b/>
                <w:noProof/>
                <w:sz w:val="20"/>
              </w:rPr>
              <w:t>inansavimo</w:t>
            </w:r>
            <w:r w:rsidR="00872FEE" w:rsidRPr="00B44B19">
              <w:rPr>
                <w:rFonts w:cs="Times New Roman"/>
                <w:b/>
                <w:noProof/>
                <w:sz w:val="20"/>
              </w:rPr>
              <w:t xml:space="preserve"> </w:t>
            </w:r>
            <w:r w:rsidRPr="00B44B19">
              <w:rPr>
                <w:rFonts w:cs="Times New Roman"/>
                <w:b/>
                <w:noProof/>
                <w:sz w:val="20"/>
              </w:rPr>
              <w:t>forma</w:t>
            </w:r>
            <w:bookmarkEnd w:id="45"/>
          </w:p>
        </w:tc>
      </w:tr>
      <w:tr w:rsidR="00EB6093" w:rsidRPr="00B44B19" w14:paraId="088A192E" w14:textId="7777777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6E33A1"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BF9E40"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26D358"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86A57E"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87BA65"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06BCE9"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Suma (EUR)</w:t>
            </w:r>
          </w:p>
        </w:tc>
      </w:tr>
      <w:tr w:rsidR="00B456F4" w:rsidRPr="00B44B19" w14:paraId="457426A8" w14:textId="77777777" w:rsidTr="00EA78C5">
        <w:tc>
          <w:tcPr>
            <w:tcW w:w="1101" w:type="dxa"/>
            <w:vMerge w:val="restart"/>
            <w:tcBorders>
              <w:top w:val="single" w:sz="12" w:space="0" w:color="auto"/>
            </w:tcBorders>
          </w:tcPr>
          <w:p w14:paraId="34F4A7B8" w14:textId="77777777" w:rsidR="00B456F4" w:rsidRPr="00B44B19" w:rsidRDefault="00B456F4"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28D3058D" w14:textId="77777777" w:rsidR="00B456F4" w:rsidRPr="00B44B19" w:rsidRDefault="00B456F4"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4288C58B" w14:textId="77777777" w:rsidR="00B456F4" w:rsidRPr="00B44B19" w:rsidRDefault="00B456F4"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140F3EBD" w14:textId="77777777" w:rsidR="00B456F4" w:rsidRPr="00B44B19" w:rsidRDefault="00B456F4" w:rsidP="00EB6093">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4.6</w:t>
            </w:r>
          </w:p>
        </w:tc>
        <w:tc>
          <w:tcPr>
            <w:tcW w:w="3686" w:type="dxa"/>
            <w:vMerge w:val="restart"/>
            <w:tcBorders>
              <w:top w:val="single" w:sz="12" w:space="0" w:color="auto"/>
            </w:tcBorders>
          </w:tcPr>
          <w:p w14:paraId="27E698F3" w14:textId="77777777" w:rsidR="00B456F4" w:rsidRPr="00B44B19" w:rsidRDefault="00B456F4" w:rsidP="00665E0A">
            <w:pPr>
              <w:textAlignment w:val="baseline"/>
              <w:rPr>
                <w:rFonts w:eastAsia="Times New Roman" w:cs="Times New Roman"/>
                <w:sz w:val="20"/>
                <w:szCs w:val="20"/>
                <w:lang w:eastAsia="lt-LT"/>
              </w:rPr>
            </w:pPr>
            <w:r w:rsidRPr="00B44B19">
              <w:rPr>
                <w:rFonts w:eastAsia="Times New Roman" w:cs="Times New Roman"/>
                <w:sz w:val="20"/>
                <w:szCs w:val="20"/>
                <w:lang w:eastAsia="lt-LT"/>
              </w:rPr>
              <w:t>01 – Dotacija</w:t>
            </w:r>
          </w:p>
        </w:tc>
        <w:tc>
          <w:tcPr>
            <w:tcW w:w="1417" w:type="dxa"/>
            <w:tcBorders>
              <w:top w:val="single" w:sz="12" w:space="0" w:color="auto"/>
              <w:bottom w:val="single" w:sz="4" w:space="0" w:color="auto"/>
            </w:tcBorders>
          </w:tcPr>
          <w:p w14:paraId="54867645" w14:textId="04C86840" w:rsidR="00B456F4" w:rsidRPr="00B44B19" w:rsidRDefault="00613E99" w:rsidP="00613E99">
            <w:pPr>
              <w:jc w:val="right"/>
              <w:rPr>
                <w:rFonts w:eastAsia="Times New Roman" w:cs="Times New Roman"/>
                <w:sz w:val="20"/>
                <w:szCs w:val="20"/>
                <w:lang w:eastAsia="lt-LT"/>
              </w:rPr>
            </w:pPr>
            <w:r w:rsidRPr="00B44B19">
              <w:rPr>
                <w:rFonts w:cs="Times New Roman"/>
                <w:color w:val="000000"/>
                <w:sz w:val="20"/>
                <w:szCs w:val="20"/>
              </w:rPr>
              <w:t>10 100 000</w:t>
            </w:r>
            <w:r w:rsidR="00B456F4" w:rsidRPr="00B44B19">
              <w:rPr>
                <w:rFonts w:eastAsia="Times New Roman" w:cs="Times New Roman"/>
                <w:iCs/>
                <w:noProof/>
                <w:sz w:val="20"/>
                <w:szCs w:val="20"/>
                <w:lang w:val="en-US"/>
              </w:rPr>
              <w:t>,00</w:t>
            </w:r>
          </w:p>
        </w:tc>
      </w:tr>
      <w:tr w:rsidR="00B456F4" w:rsidRPr="00B44B19" w14:paraId="6B781F0F" w14:textId="77777777" w:rsidTr="00EA78C5">
        <w:tc>
          <w:tcPr>
            <w:tcW w:w="1101" w:type="dxa"/>
            <w:vMerge/>
          </w:tcPr>
          <w:p w14:paraId="13FBE2F6" w14:textId="77777777" w:rsidR="00B456F4" w:rsidRPr="00B44B19" w:rsidRDefault="00B456F4" w:rsidP="0099199B">
            <w:pPr>
              <w:jc w:val="center"/>
              <w:textAlignment w:val="baseline"/>
              <w:rPr>
                <w:rFonts w:eastAsia="Times New Roman" w:cs="Times New Roman"/>
                <w:sz w:val="20"/>
                <w:szCs w:val="20"/>
                <w:lang w:eastAsia="lt-LT"/>
              </w:rPr>
            </w:pPr>
          </w:p>
        </w:tc>
        <w:tc>
          <w:tcPr>
            <w:tcW w:w="850" w:type="dxa"/>
            <w:vMerge/>
          </w:tcPr>
          <w:p w14:paraId="413EA85F" w14:textId="77777777" w:rsidR="00B456F4" w:rsidRPr="00B44B19" w:rsidRDefault="00B456F4"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1BCE1669" w14:textId="77777777" w:rsidR="00B456F4" w:rsidRPr="00B44B19" w:rsidRDefault="00B456F4"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4C3E8213" w14:textId="77777777" w:rsidR="00B456F4" w:rsidRPr="00B44B19" w:rsidRDefault="00B456F4" w:rsidP="0099199B">
            <w:pPr>
              <w:jc w:val="center"/>
              <w:textAlignment w:val="baseline"/>
              <w:rPr>
                <w:rFonts w:eastAsia="Times New Roman" w:cs="Times New Roman"/>
                <w:sz w:val="20"/>
                <w:szCs w:val="20"/>
                <w:lang w:eastAsia="lt-LT"/>
              </w:rPr>
            </w:pPr>
          </w:p>
        </w:tc>
        <w:tc>
          <w:tcPr>
            <w:tcW w:w="3686" w:type="dxa"/>
            <w:vMerge/>
          </w:tcPr>
          <w:p w14:paraId="1510FB21" w14:textId="77777777" w:rsidR="00B456F4" w:rsidRPr="00B44B19" w:rsidRDefault="00B456F4" w:rsidP="00EA78C5">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477EEDDD" w14:textId="6AE68200" w:rsidR="00B456F4" w:rsidRPr="00B44B19" w:rsidRDefault="00613E99" w:rsidP="00A2580C">
            <w:pPr>
              <w:jc w:val="right"/>
              <w:textAlignment w:val="baseline"/>
              <w:rPr>
                <w:rFonts w:eastAsia="Times New Roman" w:cs="Times New Roman"/>
                <w:sz w:val="20"/>
                <w:szCs w:val="20"/>
                <w:lang w:eastAsia="lt-LT"/>
              </w:rPr>
            </w:pPr>
            <w:r w:rsidRPr="00B44B19">
              <w:rPr>
                <w:rFonts w:eastAsia="Times New Roman" w:cs="Times New Roman"/>
                <w:iCs/>
                <w:noProof/>
                <w:sz w:val="20"/>
                <w:szCs w:val="20"/>
              </w:rPr>
              <w:t>78 400 000</w:t>
            </w:r>
            <w:r w:rsidR="00B456F4" w:rsidRPr="00B44B19">
              <w:rPr>
                <w:rFonts w:eastAsia="Times New Roman" w:cs="Times New Roman"/>
                <w:iCs/>
                <w:noProof/>
                <w:sz w:val="20"/>
                <w:szCs w:val="20"/>
              </w:rPr>
              <w:t>,00</w:t>
            </w:r>
          </w:p>
        </w:tc>
      </w:tr>
      <w:tr w:rsidR="00B456F4" w:rsidRPr="00B44B19" w14:paraId="7816F018" w14:textId="77777777" w:rsidTr="00EA78C5">
        <w:tc>
          <w:tcPr>
            <w:tcW w:w="1101" w:type="dxa"/>
            <w:vMerge/>
          </w:tcPr>
          <w:p w14:paraId="7A4C723D" w14:textId="77777777" w:rsidR="00B456F4" w:rsidRPr="00B44B19" w:rsidRDefault="00B456F4" w:rsidP="0099199B">
            <w:pPr>
              <w:jc w:val="center"/>
              <w:textAlignment w:val="baseline"/>
              <w:rPr>
                <w:rFonts w:eastAsia="Times New Roman" w:cs="Times New Roman"/>
                <w:sz w:val="20"/>
                <w:szCs w:val="20"/>
                <w:lang w:eastAsia="lt-LT"/>
              </w:rPr>
            </w:pPr>
          </w:p>
        </w:tc>
        <w:tc>
          <w:tcPr>
            <w:tcW w:w="850" w:type="dxa"/>
            <w:vMerge/>
          </w:tcPr>
          <w:p w14:paraId="61C78EA9" w14:textId="77777777" w:rsidR="00B456F4" w:rsidRPr="00B44B19" w:rsidRDefault="00B456F4"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FB8D704" w14:textId="77777777" w:rsidR="00B456F4" w:rsidRPr="00B44B19" w:rsidRDefault="00B456F4" w:rsidP="009A301C">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tcPr>
          <w:p w14:paraId="311D8454" w14:textId="77777777" w:rsidR="00B456F4" w:rsidRPr="00B44B19" w:rsidRDefault="00B456F4" w:rsidP="0099199B">
            <w:pPr>
              <w:jc w:val="center"/>
              <w:textAlignment w:val="baseline"/>
              <w:rPr>
                <w:rFonts w:eastAsia="Times New Roman" w:cs="Times New Roman"/>
                <w:sz w:val="20"/>
                <w:szCs w:val="20"/>
                <w:lang w:eastAsia="lt-LT"/>
              </w:rPr>
            </w:pPr>
          </w:p>
        </w:tc>
        <w:tc>
          <w:tcPr>
            <w:tcW w:w="3686" w:type="dxa"/>
            <w:vMerge w:val="restart"/>
          </w:tcPr>
          <w:p w14:paraId="546A561E" w14:textId="77777777" w:rsidR="00B456F4" w:rsidRPr="00B44B19" w:rsidRDefault="00B456F4" w:rsidP="00665E0A">
            <w:pPr>
              <w:textAlignment w:val="baseline"/>
              <w:rPr>
                <w:rFonts w:eastAsia="Times New Roman" w:cs="Times New Roman"/>
                <w:sz w:val="20"/>
                <w:szCs w:val="20"/>
                <w:lang w:eastAsia="lt-LT"/>
              </w:rPr>
            </w:pPr>
            <w:r w:rsidRPr="00B44B19">
              <w:rPr>
                <w:rFonts w:eastAsia="Times New Roman" w:cs="Times New Roman"/>
                <w:sz w:val="20"/>
                <w:szCs w:val="20"/>
                <w:lang w:eastAsia="lt-LT"/>
              </w:rPr>
              <w:t>03 – Naudojantis finansinėmis priemonėmis teikiama parama: paskola</w:t>
            </w:r>
          </w:p>
        </w:tc>
        <w:tc>
          <w:tcPr>
            <w:tcW w:w="1417" w:type="dxa"/>
            <w:tcBorders>
              <w:top w:val="single" w:sz="4" w:space="0" w:color="auto"/>
              <w:bottom w:val="single" w:sz="4" w:space="0" w:color="auto"/>
            </w:tcBorders>
          </w:tcPr>
          <w:p w14:paraId="4D76C589" w14:textId="281620E1" w:rsidR="00B456F4" w:rsidRPr="00B44B19" w:rsidRDefault="00613E99" w:rsidP="00613E99">
            <w:pPr>
              <w:jc w:val="right"/>
              <w:rPr>
                <w:rFonts w:cs="Times New Roman"/>
                <w:iCs/>
                <w:strike/>
                <w:noProof/>
                <w:sz w:val="20"/>
              </w:rPr>
            </w:pPr>
            <w:r w:rsidRPr="00B44B19">
              <w:rPr>
                <w:rFonts w:cs="Times New Roman"/>
                <w:color w:val="000000"/>
                <w:sz w:val="20"/>
                <w:szCs w:val="20"/>
              </w:rPr>
              <w:t>360 500</w:t>
            </w:r>
            <w:r w:rsidR="00B456F4" w:rsidRPr="00B44B19">
              <w:rPr>
                <w:rFonts w:cs="Times New Roman"/>
                <w:iCs/>
                <w:noProof/>
                <w:sz w:val="20"/>
              </w:rPr>
              <w:t>,00</w:t>
            </w:r>
          </w:p>
          <w:p w14:paraId="0E76A14E" w14:textId="3766AD07" w:rsidR="00B456F4" w:rsidRPr="00B44B19" w:rsidRDefault="00B456F4" w:rsidP="00A2580C">
            <w:pPr>
              <w:jc w:val="right"/>
              <w:textAlignment w:val="baseline"/>
              <w:rPr>
                <w:rFonts w:eastAsia="Times New Roman" w:cs="Times New Roman"/>
                <w:sz w:val="20"/>
                <w:szCs w:val="20"/>
                <w:lang w:eastAsia="lt-LT"/>
              </w:rPr>
            </w:pPr>
          </w:p>
        </w:tc>
      </w:tr>
      <w:tr w:rsidR="00B456F4" w:rsidRPr="00B44B19" w14:paraId="5C7B2098" w14:textId="77777777" w:rsidTr="003040E3">
        <w:tc>
          <w:tcPr>
            <w:tcW w:w="1101" w:type="dxa"/>
            <w:vMerge/>
          </w:tcPr>
          <w:p w14:paraId="2305C2DB" w14:textId="77777777" w:rsidR="00B456F4" w:rsidRPr="00B44B19" w:rsidRDefault="00B456F4" w:rsidP="0099199B">
            <w:pPr>
              <w:jc w:val="center"/>
              <w:textAlignment w:val="baseline"/>
              <w:rPr>
                <w:rFonts w:eastAsia="Times New Roman" w:cs="Times New Roman"/>
                <w:sz w:val="20"/>
                <w:szCs w:val="20"/>
                <w:lang w:eastAsia="lt-LT"/>
              </w:rPr>
            </w:pPr>
          </w:p>
        </w:tc>
        <w:tc>
          <w:tcPr>
            <w:tcW w:w="850" w:type="dxa"/>
            <w:vMerge/>
          </w:tcPr>
          <w:p w14:paraId="2F110208" w14:textId="77777777" w:rsidR="00B456F4" w:rsidRPr="00B44B19" w:rsidRDefault="00B456F4" w:rsidP="0099199B">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3A87C8C5" w14:textId="77777777" w:rsidR="00B456F4" w:rsidRPr="00B44B19" w:rsidRDefault="00B456F4" w:rsidP="009A301C">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062DFB92" w14:textId="77777777" w:rsidR="00B456F4" w:rsidRPr="00B44B19" w:rsidRDefault="00B456F4" w:rsidP="0099199B">
            <w:pPr>
              <w:jc w:val="center"/>
              <w:textAlignment w:val="baseline"/>
              <w:rPr>
                <w:rFonts w:eastAsia="Times New Roman" w:cs="Times New Roman"/>
                <w:sz w:val="20"/>
                <w:szCs w:val="20"/>
                <w:lang w:eastAsia="lt-LT"/>
              </w:rPr>
            </w:pPr>
          </w:p>
        </w:tc>
        <w:tc>
          <w:tcPr>
            <w:tcW w:w="3686" w:type="dxa"/>
            <w:vMerge/>
          </w:tcPr>
          <w:p w14:paraId="2D18C6E3" w14:textId="77777777" w:rsidR="00B456F4" w:rsidRPr="00B44B19" w:rsidRDefault="00B456F4" w:rsidP="0099199B">
            <w:pPr>
              <w:jc w:val="cente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3F100E98" w14:textId="73F81A59" w:rsidR="00B456F4" w:rsidRPr="00B44B19" w:rsidRDefault="00613E99" w:rsidP="00B456F4">
            <w:pPr>
              <w:jc w:val="right"/>
              <w:textAlignment w:val="baseline"/>
              <w:rPr>
                <w:rFonts w:cs="Times New Roman"/>
                <w:iCs/>
                <w:strike/>
                <w:noProof/>
                <w:sz w:val="20"/>
              </w:rPr>
            </w:pPr>
            <w:r w:rsidRPr="00B44B19">
              <w:rPr>
                <w:rFonts w:cs="Times New Roman"/>
                <w:iCs/>
                <w:noProof/>
                <w:sz w:val="20"/>
              </w:rPr>
              <w:t>3 605 000</w:t>
            </w:r>
            <w:r w:rsidR="00B456F4" w:rsidRPr="00B44B19">
              <w:rPr>
                <w:rFonts w:cs="Times New Roman"/>
                <w:iCs/>
                <w:noProof/>
                <w:sz w:val="20"/>
              </w:rPr>
              <w:t>,00</w:t>
            </w:r>
          </w:p>
          <w:p w14:paraId="2A92CACF" w14:textId="6545F94A" w:rsidR="00B456F4" w:rsidRPr="00B44B19" w:rsidRDefault="00B456F4" w:rsidP="00A2580C">
            <w:pPr>
              <w:jc w:val="right"/>
              <w:textAlignment w:val="baseline"/>
              <w:rPr>
                <w:rFonts w:eastAsia="Times New Roman" w:cs="Times New Roman"/>
                <w:sz w:val="20"/>
                <w:szCs w:val="20"/>
                <w:lang w:eastAsia="lt-LT"/>
              </w:rPr>
            </w:pPr>
          </w:p>
        </w:tc>
      </w:tr>
      <w:tr w:rsidR="00B456F4" w:rsidRPr="00B44B19" w14:paraId="23BA0821" w14:textId="77777777" w:rsidTr="003040E3">
        <w:tc>
          <w:tcPr>
            <w:tcW w:w="1101" w:type="dxa"/>
            <w:vMerge/>
          </w:tcPr>
          <w:p w14:paraId="0CB036FC" w14:textId="77777777" w:rsidR="00B456F4" w:rsidRPr="00B44B19" w:rsidRDefault="00B456F4" w:rsidP="00B456F4">
            <w:pPr>
              <w:jc w:val="center"/>
              <w:textAlignment w:val="baseline"/>
              <w:rPr>
                <w:rFonts w:eastAsia="Times New Roman" w:cs="Times New Roman"/>
                <w:sz w:val="20"/>
                <w:szCs w:val="20"/>
                <w:lang w:eastAsia="lt-LT"/>
              </w:rPr>
            </w:pPr>
          </w:p>
        </w:tc>
        <w:tc>
          <w:tcPr>
            <w:tcW w:w="850" w:type="dxa"/>
            <w:vMerge/>
          </w:tcPr>
          <w:p w14:paraId="5F3A0BA8" w14:textId="77777777" w:rsidR="00B456F4" w:rsidRPr="00B44B19" w:rsidRDefault="00B456F4" w:rsidP="00B456F4">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50DE0904" w14:textId="69021EDA" w:rsidR="00B456F4" w:rsidRPr="00B44B19" w:rsidRDefault="00B456F4" w:rsidP="00B456F4">
            <w:pPr>
              <w:textAlignment w:val="baseline"/>
              <w:rPr>
                <w:rFonts w:eastAsia="Times New Roman" w:cs="Times New Roman"/>
                <w:sz w:val="20"/>
                <w:szCs w:val="20"/>
                <w:lang w:eastAsia="lt-LT"/>
              </w:rPr>
            </w:pPr>
            <w:r w:rsidRPr="00B44B19">
              <w:rPr>
                <w:rFonts w:eastAsia="Times New Roman" w:cs="Times New Roman"/>
                <w:sz w:val="20"/>
                <w:szCs w:val="20"/>
                <w:lang w:eastAsia="lt-LT"/>
              </w:rPr>
              <w:t xml:space="preserve">Sostinės regionas </w:t>
            </w:r>
          </w:p>
        </w:tc>
        <w:tc>
          <w:tcPr>
            <w:tcW w:w="1134" w:type="dxa"/>
            <w:vMerge/>
          </w:tcPr>
          <w:p w14:paraId="710CC840" w14:textId="77777777" w:rsidR="00B456F4" w:rsidRPr="00B44B19" w:rsidRDefault="00B456F4" w:rsidP="00B456F4">
            <w:pPr>
              <w:jc w:val="center"/>
              <w:textAlignment w:val="baseline"/>
              <w:rPr>
                <w:rFonts w:eastAsia="Times New Roman" w:cs="Times New Roman"/>
                <w:sz w:val="20"/>
                <w:szCs w:val="20"/>
                <w:lang w:eastAsia="lt-LT"/>
              </w:rPr>
            </w:pPr>
          </w:p>
        </w:tc>
        <w:tc>
          <w:tcPr>
            <w:tcW w:w="3686" w:type="dxa"/>
            <w:vMerge w:val="restart"/>
          </w:tcPr>
          <w:p w14:paraId="126B2B60" w14:textId="677DB396" w:rsidR="00B456F4" w:rsidRPr="00B44B19" w:rsidRDefault="00B456F4" w:rsidP="003D3CB2">
            <w:pPr>
              <w:textAlignment w:val="baseline"/>
              <w:rPr>
                <w:rFonts w:eastAsia="Times New Roman" w:cs="Times New Roman"/>
                <w:sz w:val="20"/>
                <w:szCs w:val="20"/>
                <w:lang w:eastAsia="lt-LT"/>
              </w:rPr>
            </w:pPr>
            <w:r w:rsidRPr="00B44B19">
              <w:rPr>
                <w:rFonts w:eastAsia="Times New Roman" w:cs="Times New Roman"/>
                <w:sz w:val="20"/>
                <w:szCs w:val="20"/>
                <w:lang w:eastAsia="lt-LT"/>
              </w:rPr>
              <w:t>05 – Naudojantis finansinėmis priemonėmis teikiama parama: dotacijos, suteiktos vykdant finansinės priemonės veiksmą</w:t>
            </w:r>
          </w:p>
        </w:tc>
        <w:tc>
          <w:tcPr>
            <w:tcW w:w="1417" w:type="dxa"/>
            <w:tcBorders>
              <w:top w:val="single" w:sz="4" w:space="0" w:color="auto"/>
              <w:bottom w:val="single" w:sz="4" w:space="0" w:color="auto"/>
            </w:tcBorders>
          </w:tcPr>
          <w:p w14:paraId="346BB98C" w14:textId="2FAF05B2" w:rsidR="00B456F4" w:rsidRPr="00B44B19" w:rsidRDefault="00B456F4" w:rsidP="00B456F4">
            <w:pPr>
              <w:jc w:val="right"/>
              <w:textAlignment w:val="baseline"/>
              <w:rPr>
                <w:rFonts w:eastAsia="Times New Roman" w:cs="Times New Roman"/>
                <w:iCs/>
                <w:noProof/>
                <w:sz w:val="20"/>
                <w:szCs w:val="20"/>
              </w:rPr>
            </w:pPr>
            <w:r w:rsidRPr="00B44B19">
              <w:rPr>
                <w:rFonts w:cs="Times New Roman"/>
                <w:sz w:val="20"/>
              </w:rPr>
              <w:t>139 500,00</w:t>
            </w:r>
          </w:p>
        </w:tc>
      </w:tr>
      <w:tr w:rsidR="00B456F4" w:rsidRPr="00B44B19" w14:paraId="72BCB95E" w14:textId="77777777" w:rsidTr="00EA78C5">
        <w:tc>
          <w:tcPr>
            <w:tcW w:w="1101" w:type="dxa"/>
            <w:vMerge/>
          </w:tcPr>
          <w:p w14:paraId="5FED3471" w14:textId="77777777" w:rsidR="00B456F4" w:rsidRPr="00B44B19" w:rsidRDefault="00B456F4" w:rsidP="00B456F4">
            <w:pPr>
              <w:jc w:val="center"/>
              <w:textAlignment w:val="baseline"/>
              <w:rPr>
                <w:rFonts w:eastAsia="Times New Roman" w:cs="Times New Roman"/>
                <w:sz w:val="20"/>
                <w:szCs w:val="20"/>
                <w:lang w:eastAsia="lt-LT"/>
              </w:rPr>
            </w:pPr>
          </w:p>
        </w:tc>
        <w:tc>
          <w:tcPr>
            <w:tcW w:w="850" w:type="dxa"/>
            <w:vMerge/>
          </w:tcPr>
          <w:p w14:paraId="2A01BBE1" w14:textId="77777777" w:rsidR="00B456F4" w:rsidRPr="00B44B19" w:rsidRDefault="00B456F4" w:rsidP="00B456F4">
            <w:pPr>
              <w:jc w:val="center"/>
              <w:textAlignment w:val="baseline"/>
              <w:rPr>
                <w:rFonts w:eastAsia="Times New Roman" w:cs="Times New Roman"/>
                <w:sz w:val="20"/>
                <w:szCs w:val="20"/>
                <w:lang w:eastAsia="lt-LT"/>
              </w:rPr>
            </w:pPr>
          </w:p>
        </w:tc>
        <w:tc>
          <w:tcPr>
            <w:tcW w:w="1701" w:type="dxa"/>
            <w:tcBorders>
              <w:top w:val="single" w:sz="4" w:space="0" w:color="auto"/>
            </w:tcBorders>
          </w:tcPr>
          <w:p w14:paraId="1F915EA3" w14:textId="7307D743" w:rsidR="00B456F4" w:rsidRPr="00B44B19" w:rsidRDefault="00B456F4" w:rsidP="00B456F4">
            <w:pPr>
              <w:textAlignment w:val="baseline"/>
              <w:rPr>
                <w:rFonts w:eastAsia="Times New Roman" w:cs="Times New Roman"/>
                <w:sz w:val="20"/>
                <w:szCs w:val="20"/>
                <w:lang w:eastAsia="lt-LT"/>
              </w:rPr>
            </w:pPr>
            <w:r w:rsidRPr="00B44B19">
              <w:rPr>
                <w:rFonts w:eastAsia="Times New Roman" w:cs="Times New Roman"/>
                <w:sz w:val="20"/>
                <w:szCs w:val="20"/>
                <w:lang w:eastAsia="lt-LT"/>
              </w:rPr>
              <w:t xml:space="preserve">VVL regionas </w:t>
            </w:r>
          </w:p>
        </w:tc>
        <w:tc>
          <w:tcPr>
            <w:tcW w:w="1134" w:type="dxa"/>
            <w:vMerge/>
          </w:tcPr>
          <w:p w14:paraId="26E85A06" w14:textId="77777777" w:rsidR="00B456F4" w:rsidRPr="00B44B19" w:rsidRDefault="00B456F4" w:rsidP="00B456F4">
            <w:pPr>
              <w:jc w:val="center"/>
              <w:textAlignment w:val="baseline"/>
              <w:rPr>
                <w:rFonts w:eastAsia="Times New Roman" w:cs="Times New Roman"/>
                <w:sz w:val="20"/>
                <w:szCs w:val="20"/>
                <w:lang w:eastAsia="lt-LT"/>
              </w:rPr>
            </w:pPr>
          </w:p>
        </w:tc>
        <w:tc>
          <w:tcPr>
            <w:tcW w:w="3686" w:type="dxa"/>
            <w:vMerge/>
          </w:tcPr>
          <w:p w14:paraId="3AD2649B" w14:textId="77777777" w:rsidR="00B456F4" w:rsidRPr="00B44B19" w:rsidRDefault="00B456F4" w:rsidP="00B456F4">
            <w:pPr>
              <w:jc w:val="center"/>
              <w:textAlignment w:val="baseline"/>
              <w:rPr>
                <w:rFonts w:eastAsia="Times New Roman" w:cs="Times New Roman"/>
                <w:sz w:val="20"/>
                <w:szCs w:val="20"/>
                <w:lang w:eastAsia="lt-LT"/>
              </w:rPr>
            </w:pPr>
          </w:p>
        </w:tc>
        <w:tc>
          <w:tcPr>
            <w:tcW w:w="1417" w:type="dxa"/>
            <w:tcBorders>
              <w:top w:val="single" w:sz="4" w:space="0" w:color="auto"/>
            </w:tcBorders>
          </w:tcPr>
          <w:p w14:paraId="346A72A3" w14:textId="687A5208" w:rsidR="00B456F4" w:rsidRPr="00B44B19" w:rsidRDefault="00B456F4" w:rsidP="00B456F4">
            <w:pPr>
              <w:jc w:val="right"/>
              <w:textAlignment w:val="baseline"/>
              <w:rPr>
                <w:rFonts w:eastAsia="Times New Roman" w:cs="Times New Roman"/>
                <w:iCs/>
                <w:noProof/>
                <w:sz w:val="20"/>
                <w:szCs w:val="20"/>
              </w:rPr>
            </w:pPr>
            <w:r w:rsidRPr="00B44B19">
              <w:rPr>
                <w:rFonts w:cs="Times New Roman"/>
                <w:sz w:val="20"/>
              </w:rPr>
              <w:t>1 395 000,00</w:t>
            </w:r>
          </w:p>
        </w:tc>
      </w:tr>
      <w:bookmarkEnd w:id="44"/>
    </w:tbl>
    <w:p w14:paraId="7A9E464D" w14:textId="77777777" w:rsidR="00EB6093" w:rsidRPr="00B44B19" w:rsidRDefault="00EB6093" w:rsidP="00796586">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686"/>
        <w:gridCol w:w="1417"/>
      </w:tblGrid>
      <w:tr w:rsidR="00EB6093" w:rsidRPr="00B44B19" w14:paraId="6E8FA8FF" w14:textId="77777777" w:rsidTr="0099199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4FBE512" w14:textId="77777777" w:rsidR="00EB6093" w:rsidRPr="00B44B19" w:rsidRDefault="00EB6093" w:rsidP="0099199B">
            <w:pPr>
              <w:rPr>
                <w:rFonts w:eastAsia="Times New Roman" w:cs="Times New Roman"/>
                <w:b/>
                <w:iCs/>
                <w:noProof/>
                <w:sz w:val="20"/>
              </w:rPr>
            </w:pPr>
            <w:r w:rsidRPr="00B44B19">
              <w:rPr>
                <w:rFonts w:cs="Times New Roman"/>
                <w:b/>
                <w:noProof/>
                <w:sz w:val="20"/>
              </w:rPr>
              <w:t>6 lentelė. 3 matmuo</w:t>
            </w:r>
            <w:r w:rsidR="00833871" w:rsidRPr="00B44B19">
              <w:rPr>
                <w:rFonts w:cs="Times New Roman"/>
                <w:b/>
                <w:noProof/>
                <w:sz w:val="20"/>
              </w:rPr>
              <w:t>.</w:t>
            </w:r>
            <w:r w:rsidRPr="00B44B19">
              <w:rPr>
                <w:rFonts w:cs="Times New Roman"/>
                <w:b/>
                <w:noProof/>
                <w:sz w:val="20"/>
              </w:rPr>
              <w:t xml:space="preserve"> </w:t>
            </w:r>
            <w:r w:rsidR="00833871" w:rsidRPr="00B44B19">
              <w:rPr>
                <w:rFonts w:cs="Times New Roman"/>
                <w:b/>
                <w:noProof/>
                <w:sz w:val="20"/>
              </w:rPr>
              <w:t>t</w:t>
            </w:r>
            <w:r w:rsidR="00872FEE" w:rsidRPr="00B44B19">
              <w:rPr>
                <w:rFonts w:cs="Times New Roman"/>
                <w:b/>
                <w:noProof/>
                <w:sz w:val="20"/>
              </w:rPr>
              <w:t>eritorinis įgyvendinimo mechanizmas ir pagrindinė teritorinė sritis</w:t>
            </w:r>
          </w:p>
        </w:tc>
      </w:tr>
      <w:tr w:rsidR="00EB6093" w:rsidRPr="00B44B19" w14:paraId="3F19B9DA" w14:textId="7777777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532717"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0F58EC"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D33F15"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27F14D"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610DBC"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58BB64" w14:textId="77777777" w:rsidR="00EB6093" w:rsidRPr="00B44B19" w:rsidRDefault="00EB6093" w:rsidP="0099199B">
            <w:pPr>
              <w:jc w:val="center"/>
              <w:rPr>
                <w:rFonts w:eastAsia="Times New Roman" w:cs="Times New Roman"/>
                <w:b/>
                <w:iCs/>
                <w:noProof/>
                <w:sz w:val="20"/>
              </w:rPr>
            </w:pPr>
            <w:r w:rsidRPr="00B44B19">
              <w:rPr>
                <w:rFonts w:cs="Times New Roman"/>
                <w:b/>
                <w:noProof/>
                <w:sz w:val="20"/>
              </w:rPr>
              <w:t>Suma (EUR)</w:t>
            </w:r>
          </w:p>
        </w:tc>
      </w:tr>
      <w:tr w:rsidR="00A2580C" w:rsidRPr="00B44B19" w14:paraId="2D269FB2" w14:textId="77777777" w:rsidTr="00EA78C5">
        <w:tc>
          <w:tcPr>
            <w:tcW w:w="1101" w:type="dxa"/>
            <w:vMerge w:val="restart"/>
            <w:tcBorders>
              <w:top w:val="single" w:sz="12" w:space="0" w:color="auto"/>
            </w:tcBorders>
          </w:tcPr>
          <w:p w14:paraId="58FBC7D2" w14:textId="77777777" w:rsidR="00A2580C" w:rsidRPr="00B44B19" w:rsidRDefault="00A2580C"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4E2DA525" w14:textId="77777777" w:rsidR="00A2580C" w:rsidRPr="00B44B19" w:rsidRDefault="00A2580C" w:rsidP="0099199B">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48255ED2" w14:textId="77777777" w:rsidR="00A2580C" w:rsidRPr="00B44B19" w:rsidRDefault="00A2580C" w:rsidP="0099199B">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5CB38B15" w14:textId="77777777" w:rsidR="00A2580C" w:rsidRPr="00B44B19" w:rsidRDefault="00A2580C" w:rsidP="00EB6093">
            <w:pPr>
              <w:jc w:val="center"/>
              <w:rPr>
                <w:rFonts w:eastAsia="Times New Roman" w:cs="Times New Roman"/>
                <w:iCs/>
                <w:noProof/>
                <w:sz w:val="20"/>
              </w:rPr>
            </w:pPr>
            <w:r w:rsidRPr="00B44B19">
              <w:rPr>
                <w:rFonts w:eastAsia="Times New Roman" w:cs="Times New Roman"/>
                <w:iCs/>
                <w:noProof/>
                <w:sz w:val="20"/>
              </w:rPr>
              <w:t>4.6</w:t>
            </w:r>
          </w:p>
        </w:tc>
        <w:tc>
          <w:tcPr>
            <w:tcW w:w="3686" w:type="dxa"/>
            <w:vMerge w:val="restart"/>
            <w:tcBorders>
              <w:top w:val="single" w:sz="12" w:space="0" w:color="auto"/>
            </w:tcBorders>
          </w:tcPr>
          <w:p w14:paraId="6EEB9AF0" w14:textId="77777777" w:rsidR="00A2580C" w:rsidRPr="00B44B19" w:rsidRDefault="00EA78C5" w:rsidP="00665E0A">
            <w:pPr>
              <w:rPr>
                <w:rFonts w:eastAsia="Times New Roman" w:cs="Times New Roman"/>
                <w:iCs/>
                <w:noProof/>
                <w:sz w:val="20"/>
              </w:rPr>
            </w:pPr>
            <w:r w:rsidRPr="00B44B19">
              <w:rPr>
                <w:rFonts w:eastAsia="Times New Roman" w:cs="Times New Roman"/>
                <w:iCs/>
                <w:noProof/>
                <w:sz w:val="20"/>
              </w:rPr>
              <w:t xml:space="preserve">33 </w:t>
            </w:r>
            <w:r w:rsidR="00665E0A" w:rsidRPr="00B44B19">
              <w:rPr>
                <w:rFonts w:eastAsia="Times New Roman" w:cs="Times New Roman"/>
                <w:iCs/>
                <w:noProof/>
                <w:sz w:val="20"/>
              </w:rPr>
              <w:t xml:space="preserve">– </w:t>
            </w:r>
            <w:r w:rsidRPr="00B44B19">
              <w:rPr>
                <w:rFonts w:eastAsia="Times New Roman" w:cs="Times New Roman"/>
                <w:iCs/>
                <w:noProof/>
                <w:sz w:val="20"/>
              </w:rPr>
              <w:t>Nesiorientuojant į teritoriškumą</w:t>
            </w:r>
          </w:p>
        </w:tc>
        <w:tc>
          <w:tcPr>
            <w:tcW w:w="1417" w:type="dxa"/>
            <w:tcBorders>
              <w:top w:val="single" w:sz="12" w:space="0" w:color="auto"/>
              <w:bottom w:val="single" w:sz="4" w:space="0" w:color="auto"/>
            </w:tcBorders>
          </w:tcPr>
          <w:p w14:paraId="5FA3E21F" w14:textId="77777777" w:rsidR="00A2580C" w:rsidRPr="00B44B19" w:rsidRDefault="00A2580C" w:rsidP="00A2580C">
            <w:pPr>
              <w:jc w:val="right"/>
              <w:rPr>
                <w:rFonts w:eastAsia="Times New Roman" w:cs="Times New Roman"/>
                <w:iCs/>
                <w:noProof/>
                <w:sz w:val="20"/>
              </w:rPr>
            </w:pPr>
            <w:r w:rsidRPr="00B44B19">
              <w:rPr>
                <w:rFonts w:eastAsia="Times New Roman" w:cs="Times New Roman"/>
                <w:iCs/>
                <w:noProof/>
                <w:sz w:val="20"/>
              </w:rPr>
              <w:t>10 600 000,00</w:t>
            </w:r>
          </w:p>
        </w:tc>
      </w:tr>
      <w:tr w:rsidR="00A2580C" w:rsidRPr="00B44B19" w14:paraId="7BC2F382" w14:textId="77777777" w:rsidTr="00EA78C5">
        <w:tc>
          <w:tcPr>
            <w:tcW w:w="1101" w:type="dxa"/>
            <w:vMerge/>
          </w:tcPr>
          <w:p w14:paraId="3DC940BD" w14:textId="77777777" w:rsidR="00A2580C" w:rsidRPr="00B44B19" w:rsidRDefault="00A2580C" w:rsidP="0099199B">
            <w:pPr>
              <w:rPr>
                <w:rFonts w:eastAsia="Times New Roman" w:cs="Times New Roman"/>
                <w:b/>
                <w:iCs/>
                <w:noProof/>
                <w:sz w:val="20"/>
              </w:rPr>
            </w:pPr>
          </w:p>
        </w:tc>
        <w:tc>
          <w:tcPr>
            <w:tcW w:w="850" w:type="dxa"/>
            <w:vMerge/>
          </w:tcPr>
          <w:p w14:paraId="6CC55AAA" w14:textId="77777777" w:rsidR="00A2580C" w:rsidRPr="00B44B19" w:rsidRDefault="00A2580C" w:rsidP="0099199B">
            <w:pPr>
              <w:rPr>
                <w:rFonts w:eastAsia="Times New Roman" w:cs="Times New Roman"/>
                <w:b/>
                <w:iCs/>
                <w:noProof/>
                <w:sz w:val="20"/>
              </w:rPr>
            </w:pPr>
          </w:p>
        </w:tc>
        <w:tc>
          <w:tcPr>
            <w:tcW w:w="1701" w:type="dxa"/>
            <w:tcBorders>
              <w:top w:val="single" w:sz="4" w:space="0" w:color="auto"/>
            </w:tcBorders>
          </w:tcPr>
          <w:p w14:paraId="6A341AF3" w14:textId="77777777" w:rsidR="00A2580C" w:rsidRPr="00B44B19" w:rsidRDefault="00A2580C" w:rsidP="0099199B">
            <w:pPr>
              <w:rPr>
                <w:rFonts w:eastAsia="Times New Roman" w:cs="Times New Roman"/>
                <w:b/>
                <w:iCs/>
                <w:noProof/>
                <w:sz w:val="20"/>
              </w:rPr>
            </w:pPr>
            <w:r w:rsidRPr="00B44B19">
              <w:rPr>
                <w:rFonts w:eastAsia="Times New Roman" w:cs="Times New Roman"/>
                <w:sz w:val="20"/>
                <w:szCs w:val="20"/>
                <w:lang w:eastAsia="lt-LT"/>
              </w:rPr>
              <w:t>VVL regionas</w:t>
            </w:r>
          </w:p>
        </w:tc>
        <w:tc>
          <w:tcPr>
            <w:tcW w:w="1134" w:type="dxa"/>
            <w:vMerge/>
          </w:tcPr>
          <w:p w14:paraId="6BFACB65" w14:textId="77777777" w:rsidR="00A2580C" w:rsidRPr="00B44B19" w:rsidRDefault="00A2580C" w:rsidP="0099199B">
            <w:pPr>
              <w:rPr>
                <w:rFonts w:eastAsia="Times New Roman" w:cs="Times New Roman"/>
                <w:b/>
                <w:iCs/>
                <w:noProof/>
                <w:sz w:val="20"/>
              </w:rPr>
            </w:pPr>
          </w:p>
        </w:tc>
        <w:tc>
          <w:tcPr>
            <w:tcW w:w="3686" w:type="dxa"/>
            <w:vMerge/>
          </w:tcPr>
          <w:p w14:paraId="0F59C9D8" w14:textId="77777777" w:rsidR="00A2580C" w:rsidRPr="00B44B19" w:rsidRDefault="00A2580C" w:rsidP="0099199B">
            <w:pPr>
              <w:rPr>
                <w:rFonts w:eastAsia="Times New Roman" w:cs="Times New Roman"/>
                <w:b/>
                <w:iCs/>
                <w:noProof/>
                <w:sz w:val="20"/>
              </w:rPr>
            </w:pPr>
          </w:p>
        </w:tc>
        <w:tc>
          <w:tcPr>
            <w:tcW w:w="1417" w:type="dxa"/>
            <w:tcBorders>
              <w:top w:val="single" w:sz="4" w:space="0" w:color="auto"/>
            </w:tcBorders>
          </w:tcPr>
          <w:p w14:paraId="02A12988" w14:textId="12B6A4B8" w:rsidR="00A2580C" w:rsidRPr="00B44B19" w:rsidRDefault="00A2580C" w:rsidP="00A2580C">
            <w:pPr>
              <w:jc w:val="right"/>
              <w:rPr>
                <w:rFonts w:eastAsia="Times New Roman" w:cs="Times New Roman"/>
                <w:iCs/>
                <w:noProof/>
                <w:sz w:val="20"/>
              </w:rPr>
            </w:pPr>
            <w:r w:rsidRPr="00B44B19">
              <w:rPr>
                <w:rFonts w:eastAsia="Times New Roman" w:cs="Times New Roman"/>
                <w:iCs/>
                <w:noProof/>
                <w:sz w:val="20"/>
              </w:rPr>
              <w:t>8</w:t>
            </w:r>
            <w:r w:rsidR="003D1DCB" w:rsidRPr="00B44B19">
              <w:rPr>
                <w:rFonts w:eastAsia="Times New Roman" w:cs="Times New Roman"/>
                <w:iCs/>
                <w:noProof/>
                <w:sz w:val="20"/>
              </w:rPr>
              <w:t>3</w:t>
            </w:r>
            <w:r w:rsidRPr="00B44B19">
              <w:rPr>
                <w:rFonts w:eastAsia="Times New Roman" w:cs="Times New Roman"/>
                <w:iCs/>
                <w:noProof/>
                <w:sz w:val="20"/>
              </w:rPr>
              <w:t> 400 000,00</w:t>
            </w:r>
          </w:p>
        </w:tc>
      </w:tr>
    </w:tbl>
    <w:p w14:paraId="0104CFC6" w14:textId="77777777" w:rsidR="00423E48" w:rsidRPr="00B44B19" w:rsidRDefault="00423E48" w:rsidP="00423E48">
      <w:pPr>
        <w:spacing w:after="0" w:line="240" w:lineRule="auto"/>
        <w:rPr>
          <w:rFonts w:cs="Times New Roman"/>
        </w:rPr>
      </w:pPr>
    </w:p>
    <w:tbl>
      <w:tblPr>
        <w:tblStyle w:val="Lentelstinklelis"/>
        <w:tblW w:w="9889" w:type="dxa"/>
        <w:tblLayout w:type="fixed"/>
        <w:tblLook w:val="04A0" w:firstRow="1" w:lastRow="0" w:firstColumn="1" w:lastColumn="0" w:noHBand="0" w:noVBand="1"/>
      </w:tblPr>
      <w:tblGrid>
        <w:gridCol w:w="1101"/>
        <w:gridCol w:w="850"/>
        <w:gridCol w:w="1701"/>
        <w:gridCol w:w="1134"/>
        <w:gridCol w:w="3686"/>
        <w:gridCol w:w="1417"/>
      </w:tblGrid>
      <w:tr w:rsidR="00C50ACA" w:rsidRPr="00B44B19" w14:paraId="0C968415" w14:textId="77777777" w:rsidTr="00893029">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0A3879E" w14:textId="77777777" w:rsidR="00C50ACA" w:rsidRPr="00B44B19" w:rsidRDefault="00C50ACA" w:rsidP="00893029">
            <w:pPr>
              <w:rPr>
                <w:rFonts w:eastAsia="Times New Roman" w:cs="Times New Roman"/>
                <w:b/>
                <w:iCs/>
                <w:noProof/>
                <w:sz w:val="20"/>
              </w:rPr>
            </w:pPr>
            <w:r w:rsidRPr="00B44B19">
              <w:rPr>
                <w:rFonts w:cs="Times New Roman"/>
                <w:b/>
                <w:noProof/>
                <w:sz w:val="20"/>
                <w:szCs w:val="20"/>
              </w:rPr>
              <w:t>8 lentelė. 7 matmuo</w:t>
            </w:r>
            <w:r w:rsidR="00833871" w:rsidRPr="00B44B19">
              <w:rPr>
                <w:rFonts w:cs="Times New Roman"/>
                <w:b/>
                <w:noProof/>
                <w:sz w:val="20"/>
                <w:szCs w:val="20"/>
              </w:rPr>
              <w:t>:</w:t>
            </w:r>
            <w:r w:rsidRPr="00B44B19">
              <w:rPr>
                <w:rFonts w:cs="Times New Roman"/>
                <w:b/>
                <w:noProof/>
                <w:sz w:val="20"/>
                <w:szCs w:val="20"/>
              </w:rPr>
              <w:t xml:space="preserve"> </w:t>
            </w:r>
            <w:r w:rsidRPr="00B44B19">
              <w:rPr>
                <w:rFonts w:eastAsia="Calibri" w:cs="Times New Roman"/>
                <w:b/>
                <w:sz w:val="20"/>
                <w:szCs w:val="20"/>
              </w:rPr>
              <w:t>ESF+, ERPF, S</w:t>
            </w:r>
            <w:r w:rsidR="00833871" w:rsidRPr="00B44B19">
              <w:rPr>
                <w:rFonts w:eastAsia="Calibri" w:cs="Times New Roman"/>
                <w:b/>
                <w:sz w:val="20"/>
                <w:szCs w:val="20"/>
              </w:rPr>
              <w:t>a</w:t>
            </w:r>
            <w:r w:rsidRPr="00B44B19">
              <w:rPr>
                <w:rFonts w:eastAsia="Calibri" w:cs="Times New Roman"/>
                <w:b/>
                <w:sz w:val="20"/>
                <w:szCs w:val="20"/>
              </w:rPr>
              <w:t>F ir TPF lyčių lygybės matmuo</w:t>
            </w:r>
          </w:p>
        </w:tc>
      </w:tr>
      <w:tr w:rsidR="00C50ACA" w:rsidRPr="00B44B19" w14:paraId="60F294A0" w14:textId="77777777" w:rsidTr="0089302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55C3C8" w14:textId="77777777" w:rsidR="00C50ACA" w:rsidRPr="00B44B19" w:rsidRDefault="00C50ACA" w:rsidP="00893029">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447695" w14:textId="77777777" w:rsidR="00C50ACA" w:rsidRPr="00B44B19" w:rsidRDefault="00C50ACA" w:rsidP="00893029">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8606AF" w14:textId="77777777" w:rsidR="00C50ACA" w:rsidRPr="00B44B19" w:rsidRDefault="00C50ACA" w:rsidP="00893029">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BB53EB" w14:textId="77777777" w:rsidR="00C50ACA" w:rsidRPr="00B44B19" w:rsidRDefault="00C50ACA" w:rsidP="00893029">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8F513E" w14:textId="77777777" w:rsidR="00C50ACA" w:rsidRPr="00B44B19" w:rsidRDefault="00C50ACA" w:rsidP="00893029">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2C562C" w14:textId="77777777" w:rsidR="00C50ACA" w:rsidRPr="00B44B19" w:rsidRDefault="00C50ACA" w:rsidP="00893029">
            <w:pPr>
              <w:jc w:val="center"/>
              <w:rPr>
                <w:rFonts w:eastAsia="Times New Roman" w:cs="Times New Roman"/>
                <w:b/>
                <w:iCs/>
                <w:noProof/>
                <w:sz w:val="20"/>
              </w:rPr>
            </w:pPr>
            <w:r w:rsidRPr="00B44B19">
              <w:rPr>
                <w:rFonts w:cs="Times New Roman"/>
                <w:b/>
                <w:noProof/>
                <w:sz w:val="20"/>
              </w:rPr>
              <w:t>Suma (EUR)</w:t>
            </w:r>
          </w:p>
        </w:tc>
      </w:tr>
      <w:tr w:rsidR="00C50ACA" w:rsidRPr="00B44B19" w14:paraId="6884DCF0" w14:textId="77777777" w:rsidTr="00893029">
        <w:tc>
          <w:tcPr>
            <w:tcW w:w="1101" w:type="dxa"/>
            <w:vMerge w:val="restart"/>
            <w:tcBorders>
              <w:top w:val="single" w:sz="12" w:space="0" w:color="auto"/>
            </w:tcBorders>
          </w:tcPr>
          <w:p w14:paraId="553C9DC5" w14:textId="77777777" w:rsidR="00C50ACA" w:rsidRPr="00B44B19" w:rsidRDefault="00C50ACA" w:rsidP="00893029">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w:t>
            </w:r>
          </w:p>
        </w:tc>
        <w:tc>
          <w:tcPr>
            <w:tcW w:w="850" w:type="dxa"/>
            <w:vMerge w:val="restart"/>
            <w:tcBorders>
              <w:top w:val="single" w:sz="12" w:space="0" w:color="auto"/>
            </w:tcBorders>
          </w:tcPr>
          <w:p w14:paraId="117D766C" w14:textId="77777777" w:rsidR="00C50ACA" w:rsidRPr="00B44B19" w:rsidRDefault="00C50ACA" w:rsidP="00893029">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ERPF</w:t>
            </w:r>
          </w:p>
        </w:tc>
        <w:tc>
          <w:tcPr>
            <w:tcW w:w="1701" w:type="dxa"/>
            <w:tcBorders>
              <w:top w:val="single" w:sz="12" w:space="0" w:color="auto"/>
              <w:bottom w:val="single" w:sz="4" w:space="0" w:color="auto"/>
            </w:tcBorders>
          </w:tcPr>
          <w:p w14:paraId="1534B746" w14:textId="77777777" w:rsidR="00C50ACA" w:rsidRPr="00B44B19" w:rsidRDefault="00C50ACA" w:rsidP="00893029">
            <w:pPr>
              <w:textAlignment w:val="baseline"/>
              <w:rPr>
                <w:rFonts w:eastAsia="Times New Roman" w:cs="Times New Roman"/>
                <w:sz w:val="20"/>
                <w:szCs w:val="20"/>
                <w:lang w:eastAsia="lt-LT"/>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2267A816" w14:textId="77777777" w:rsidR="00C50ACA" w:rsidRPr="00B44B19" w:rsidRDefault="00C50ACA" w:rsidP="00893029">
            <w:pPr>
              <w:jc w:val="center"/>
              <w:textAlignment w:val="baseline"/>
              <w:rPr>
                <w:rFonts w:eastAsia="Times New Roman" w:cs="Times New Roman"/>
                <w:sz w:val="20"/>
                <w:szCs w:val="20"/>
                <w:lang w:eastAsia="lt-LT"/>
              </w:rPr>
            </w:pPr>
            <w:r w:rsidRPr="00B44B19">
              <w:rPr>
                <w:rFonts w:eastAsia="Times New Roman" w:cs="Times New Roman"/>
                <w:sz w:val="20"/>
                <w:szCs w:val="20"/>
                <w:lang w:eastAsia="lt-LT"/>
              </w:rPr>
              <w:t>4.6</w:t>
            </w:r>
          </w:p>
        </w:tc>
        <w:tc>
          <w:tcPr>
            <w:tcW w:w="3686" w:type="dxa"/>
            <w:vMerge w:val="restart"/>
            <w:tcBorders>
              <w:top w:val="single" w:sz="12" w:space="0" w:color="auto"/>
            </w:tcBorders>
          </w:tcPr>
          <w:p w14:paraId="7DA81B8C" w14:textId="77777777" w:rsidR="00C50ACA" w:rsidRPr="00B44B19" w:rsidRDefault="00C50ACA" w:rsidP="00665E0A">
            <w:pPr>
              <w:textAlignment w:val="baseline"/>
              <w:rPr>
                <w:rFonts w:eastAsia="Times New Roman" w:cs="Times New Roman"/>
                <w:sz w:val="20"/>
                <w:szCs w:val="20"/>
                <w:lang w:eastAsia="lt-LT"/>
              </w:rPr>
            </w:pPr>
            <w:r w:rsidRPr="00B44B19">
              <w:rPr>
                <w:rFonts w:eastAsia="Times New Roman" w:cs="Times New Roman"/>
                <w:iCs/>
                <w:noProof/>
                <w:sz w:val="20"/>
              </w:rPr>
              <w:t xml:space="preserve">03 </w:t>
            </w:r>
            <w:r w:rsidR="00665E0A" w:rsidRPr="00B44B19">
              <w:rPr>
                <w:rFonts w:eastAsia="Times New Roman" w:cs="Times New Roman"/>
                <w:iCs/>
                <w:noProof/>
                <w:sz w:val="20"/>
              </w:rPr>
              <w:t xml:space="preserve">– </w:t>
            </w:r>
            <w:r w:rsidRPr="00B44B19">
              <w:rPr>
                <w:rFonts w:eastAsia="Times New Roman" w:cs="Times New Roman"/>
                <w:iCs/>
                <w:noProof/>
                <w:sz w:val="20"/>
              </w:rPr>
              <w:t>Neutralumas lyties požiūriu</w:t>
            </w:r>
          </w:p>
        </w:tc>
        <w:tc>
          <w:tcPr>
            <w:tcW w:w="1417" w:type="dxa"/>
            <w:tcBorders>
              <w:top w:val="single" w:sz="12" w:space="0" w:color="auto"/>
              <w:bottom w:val="single" w:sz="4" w:space="0" w:color="auto"/>
            </w:tcBorders>
          </w:tcPr>
          <w:p w14:paraId="3535B59B" w14:textId="03D9EA35" w:rsidR="00C50ACA" w:rsidRPr="00B44B19" w:rsidRDefault="00C50ACA" w:rsidP="00893029">
            <w:pPr>
              <w:jc w:val="right"/>
              <w:rPr>
                <w:rFonts w:eastAsia="Times New Roman" w:cs="Times New Roman"/>
                <w:sz w:val="20"/>
                <w:szCs w:val="20"/>
              </w:rPr>
            </w:pPr>
            <w:r w:rsidRPr="00B44B19">
              <w:rPr>
                <w:rFonts w:eastAsia="Times New Roman" w:cs="Times New Roman"/>
                <w:sz w:val="20"/>
                <w:szCs w:val="20"/>
              </w:rPr>
              <w:t xml:space="preserve">10 </w:t>
            </w:r>
            <w:r w:rsidR="003D1DCB" w:rsidRPr="00B44B19">
              <w:rPr>
                <w:rFonts w:eastAsia="Times New Roman" w:cs="Times New Roman"/>
                <w:sz w:val="20"/>
                <w:szCs w:val="20"/>
              </w:rPr>
              <w:t xml:space="preserve">600 </w:t>
            </w:r>
            <w:r w:rsidRPr="00B44B19">
              <w:rPr>
                <w:rFonts w:eastAsia="Times New Roman" w:cs="Times New Roman"/>
                <w:sz w:val="20"/>
                <w:szCs w:val="20"/>
              </w:rPr>
              <w:t>000,00</w:t>
            </w:r>
          </w:p>
        </w:tc>
      </w:tr>
      <w:tr w:rsidR="00C50ACA" w:rsidRPr="00B44B19" w14:paraId="00410D6C" w14:textId="77777777" w:rsidTr="00893029">
        <w:tc>
          <w:tcPr>
            <w:tcW w:w="1101" w:type="dxa"/>
            <w:vMerge/>
          </w:tcPr>
          <w:p w14:paraId="4C1CD707" w14:textId="77777777" w:rsidR="00C50ACA" w:rsidRPr="00B44B19" w:rsidRDefault="00C50ACA" w:rsidP="00893029">
            <w:pPr>
              <w:jc w:val="center"/>
              <w:textAlignment w:val="baseline"/>
              <w:rPr>
                <w:rFonts w:eastAsia="Times New Roman" w:cs="Times New Roman"/>
                <w:sz w:val="20"/>
                <w:szCs w:val="20"/>
                <w:lang w:eastAsia="lt-LT"/>
              </w:rPr>
            </w:pPr>
          </w:p>
        </w:tc>
        <w:tc>
          <w:tcPr>
            <w:tcW w:w="850" w:type="dxa"/>
            <w:vMerge/>
          </w:tcPr>
          <w:p w14:paraId="0971FA58" w14:textId="77777777" w:rsidR="00C50ACA" w:rsidRPr="00B44B19" w:rsidRDefault="00C50ACA" w:rsidP="00893029">
            <w:pPr>
              <w:jc w:val="center"/>
              <w:textAlignment w:val="baseline"/>
              <w:rPr>
                <w:rFonts w:eastAsia="Times New Roman" w:cs="Times New Roman"/>
                <w:sz w:val="20"/>
                <w:szCs w:val="20"/>
                <w:lang w:eastAsia="lt-LT"/>
              </w:rPr>
            </w:pPr>
          </w:p>
        </w:tc>
        <w:tc>
          <w:tcPr>
            <w:tcW w:w="1701" w:type="dxa"/>
            <w:tcBorders>
              <w:top w:val="single" w:sz="4" w:space="0" w:color="auto"/>
              <w:bottom w:val="single" w:sz="4" w:space="0" w:color="auto"/>
            </w:tcBorders>
          </w:tcPr>
          <w:p w14:paraId="749DAA6D" w14:textId="77777777" w:rsidR="00C50ACA" w:rsidRPr="00B44B19" w:rsidRDefault="00C50ACA" w:rsidP="00893029">
            <w:pPr>
              <w:textAlignment w:val="baseline"/>
              <w:rPr>
                <w:rFonts w:eastAsia="Times New Roman" w:cs="Times New Roman"/>
                <w:sz w:val="20"/>
                <w:szCs w:val="20"/>
                <w:lang w:eastAsia="lt-LT"/>
              </w:rPr>
            </w:pPr>
            <w:r w:rsidRPr="00B44B19">
              <w:rPr>
                <w:rFonts w:eastAsia="Times New Roman" w:cs="Times New Roman"/>
                <w:sz w:val="20"/>
                <w:szCs w:val="20"/>
                <w:lang w:eastAsia="lt-LT"/>
              </w:rPr>
              <w:t>VVL regionas</w:t>
            </w:r>
          </w:p>
        </w:tc>
        <w:tc>
          <w:tcPr>
            <w:tcW w:w="1134" w:type="dxa"/>
            <w:vMerge/>
          </w:tcPr>
          <w:p w14:paraId="5FA01B18" w14:textId="77777777" w:rsidR="00C50ACA" w:rsidRPr="00B44B19" w:rsidRDefault="00C50ACA" w:rsidP="00893029">
            <w:pPr>
              <w:jc w:val="center"/>
              <w:textAlignment w:val="baseline"/>
              <w:rPr>
                <w:rFonts w:eastAsia="Times New Roman" w:cs="Times New Roman"/>
                <w:sz w:val="20"/>
                <w:szCs w:val="20"/>
                <w:lang w:eastAsia="lt-LT"/>
              </w:rPr>
            </w:pPr>
          </w:p>
        </w:tc>
        <w:tc>
          <w:tcPr>
            <w:tcW w:w="3686" w:type="dxa"/>
            <w:vMerge/>
          </w:tcPr>
          <w:p w14:paraId="1C3C5F88" w14:textId="77777777" w:rsidR="00C50ACA" w:rsidRPr="00B44B19" w:rsidRDefault="00C50ACA" w:rsidP="00893029">
            <w:pPr>
              <w:textAlignment w:val="baseline"/>
              <w:rPr>
                <w:rFonts w:eastAsia="Times New Roman" w:cs="Times New Roman"/>
                <w:sz w:val="20"/>
                <w:szCs w:val="20"/>
                <w:lang w:eastAsia="lt-LT"/>
              </w:rPr>
            </w:pPr>
          </w:p>
        </w:tc>
        <w:tc>
          <w:tcPr>
            <w:tcW w:w="1417" w:type="dxa"/>
            <w:tcBorders>
              <w:top w:val="single" w:sz="4" w:space="0" w:color="auto"/>
              <w:bottom w:val="single" w:sz="4" w:space="0" w:color="auto"/>
            </w:tcBorders>
          </w:tcPr>
          <w:p w14:paraId="5329A8E4" w14:textId="018D3215" w:rsidR="00C50ACA" w:rsidRPr="00B44B19" w:rsidRDefault="00C50ACA" w:rsidP="00893029">
            <w:pPr>
              <w:jc w:val="right"/>
              <w:rPr>
                <w:rFonts w:eastAsia="Times New Roman" w:cs="Times New Roman"/>
                <w:sz w:val="20"/>
                <w:szCs w:val="20"/>
              </w:rPr>
            </w:pPr>
            <w:r w:rsidRPr="00B44B19">
              <w:rPr>
                <w:rFonts w:eastAsia="Times New Roman" w:cs="Times New Roman"/>
                <w:sz w:val="20"/>
                <w:szCs w:val="20"/>
              </w:rPr>
              <w:t>8</w:t>
            </w:r>
            <w:r w:rsidR="003D1DCB" w:rsidRPr="00B44B19">
              <w:rPr>
                <w:rFonts w:eastAsia="Times New Roman" w:cs="Times New Roman"/>
                <w:sz w:val="20"/>
                <w:szCs w:val="20"/>
              </w:rPr>
              <w:t>3</w:t>
            </w:r>
            <w:r w:rsidRPr="00B44B19">
              <w:rPr>
                <w:rFonts w:eastAsia="Times New Roman" w:cs="Times New Roman"/>
                <w:sz w:val="20"/>
                <w:szCs w:val="20"/>
              </w:rPr>
              <w:t xml:space="preserve"> </w:t>
            </w:r>
            <w:r w:rsidR="003D1DCB" w:rsidRPr="00B44B19">
              <w:rPr>
                <w:rFonts w:eastAsia="Times New Roman" w:cs="Times New Roman"/>
                <w:sz w:val="20"/>
                <w:szCs w:val="20"/>
              </w:rPr>
              <w:t>400 </w:t>
            </w:r>
            <w:r w:rsidRPr="00B44B19">
              <w:rPr>
                <w:rFonts w:eastAsia="Times New Roman" w:cs="Times New Roman"/>
                <w:sz w:val="20"/>
                <w:szCs w:val="20"/>
              </w:rPr>
              <w:t>000,00</w:t>
            </w:r>
          </w:p>
        </w:tc>
      </w:tr>
    </w:tbl>
    <w:p w14:paraId="25D7B6B6" w14:textId="77777777" w:rsidR="00EF291A" w:rsidRPr="00B44B19" w:rsidRDefault="00EF291A" w:rsidP="00D456C1">
      <w:pPr>
        <w:pStyle w:val="Antrat2"/>
      </w:pPr>
      <w:bookmarkStart w:id="46" w:name="_Toc223435432"/>
      <w:r w:rsidRPr="00B44B19">
        <w:t>Konkretus</w:t>
      </w:r>
      <w:r w:rsidR="00547B01" w:rsidRPr="00B44B19">
        <w:t xml:space="preserve"> uždavinys – 4.</w:t>
      </w:r>
      <w:r w:rsidR="004125F6" w:rsidRPr="00B44B19">
        <w:t>7.</w:t>
      </w:r>
      <w:r w:rsidRPr="00B44B19">
        <w:t xml:space="preserve"> </w:t>
      </w:r>
      <w:r w:rsidR="0087288C" w:rsidRPr="00B44B19">
        <w:rPr>
          <w:lang w:bidi="lt-LT"/>
        </w:rPr>
        <w:t>Skatinti aktyvią įtrauktį, siekiant propaguoti lygias galimybes, nediskriminavimą ir aktyvų dalyvavimą, ir gerinti įsidarbinamumą, ypač palankių sąlygų neturinčių grupių</w:t>
      </w:r>
      <w:bookmarkEnd w:id="46"/>
    </w:p>
    <w:p w14:paraId="5F893424"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4"/>
        <w:tblW w:w="9634" w:type="dxa"/>
        <w:tblLook w:val="04A0" w:firstRow="1" w:lastRow="0" w:firstColumn="1" w:lastColumn="0" w:noHBand="0" w:noVBand="1"/>
      </w:tblPr>
      <w:tblGrid>
        <w:gridCol w:w="9634"/>
      </w:tblGrid>
      <w:tr w:rsidR="00EF291A" w:rsidRPr="00B44B19" w14:paraId="1D35216A" w14:textId="77777777" w:rsidTr="00D27D25">
        <w:tc>
          <w:tcPr>
            <w:tcW w:w="9634" w:type="dxa"/>
          </w:tcPr>
          <w:p w14:paraId="2DA2229E" w14:textId="77777777" w:rsidR="00F514F2" w:rsidRPr="00B44B19" w:rsidRDefault="00F61E84"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Ypa</w:t>
            </w:r>
            <w:r w:rsidR="00833871" w:rsidRPr="00B44B19">
              <w:rPr>
                <w:rFonts w:ascii="Times New Roman" w:eastAsia="Times New Roman" w:hAnsi="Times New Roman" w:cs="Times New Roman"/>
              </w:rPr>
              <w:t>č didelį</w:t>
            </w:r>
            <w:r w:rsidRPr="00B44B19">
              <w:rPr>
                <w:rFonts w:ascii="Times New Roman" w:eastAsia="Times New Roman" w:hAnsi="Times New Roman" w:cs="Times New Roman"/>
              </w:rPr>
              <w:t xml:space="preserve"> skurd</w:t>
            </w:r>
            <w:r w:rsidR="00833871"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ir socialin</w:t>
            </w:r>
            <w:r w:rsidR="00833871" w:rsidRPr="00B44B19">
              <w:rPr>
                <w:rFonts w:ascii="Times New Roman" w:eastAsia="Times New Roman" w:hAnsi="Times New Roman" w:cs="Times New Roman"/>
              </w:rPr>
              <w:t>ę</w:t>
            </w:r>
            <w:r w:rsidRPr="00B44B19">
              <w:rPr>
                <w:rFonts w:ascii="Times New Roman" w:eastAsia="Times New Roman" w:hAnsi="Times New Roman" w:cs="Times New Roman"/>
              </w:rPr>
              <w:t xml:space="preserve"> atskirt</w:t>
            </w:r>
            <w:r w:rsidR="00833871" w:rsidRPr="00B44B19">
              <w:rPr>
                <w:rFonts w:ascii="Times New Roman" w:eastAsia="Times New Roman" w:hAnsi="Times New Roman" w:cs="Times New Roman"/>
              </w:rPr>
              <w:t xml:space="preserve">į </w:t>
            </w:r>
            <w:r w:rsidRPr="00B44B19">
              <w:rPr>
                <w:rFonts w:ascii="Times New Roman" w:eastAsia="Times New Roman" w:hAnsi="Times New Roman" w:cs="Times New Roman"/>
              </w:rPr>
              <w:t xml:space="preserve">dažniausiai patiria sunkiai į </w:t>
            </w:r>
            <w:r w:rsidR="002F4119" w:rsidRPr="00B44B19">
              <w:rPr>
                <w:rFonts w:ascii="Times New Roman" w:eastAsia="Times New Roman" w:hAnsi="Times New Roman" w:cs="Times New Roman"/>
              </w:rPr>
              <w:t>DR</w:t>
            </w:r>
            <w:r w:rsidRPr="00B44B19">
              <w:rPr>
                <w:rFonts w:ascii="Times New Roman" w:eastAsia="Times New Roman" w:hAnsi="Times New Roman" w:cs="Times New Roman"/>
              </w:rPr>
              <w:t xml:space="preserve"> </w:t>
            </w:r>
            <w:r w:rsidR="00833871" w:rsidRPr="00B44B19">
              <w:rPr>
                <w:rFonts w:ascii="Times New Roman" w:eastAsia="Times New Roman" w:hAnsi="Times New Roman" w:cs="Times New Roman"/>
              </w:rPr>
              <w:t xml:space="preserve">integruojami </w:t>
            </w:r>
            <w:r w:rsidRPr="00B44B19">
              <w:rPr>
                <w:rFonts w:ascii="Times New Roman" w:eastAsia="Times New Roman" w:hAnsi="Times New Roman" w:cs="Times New Roman"/>
              </w:rPr>
              <w:t xml:space="preserve">arba joje ilgai neišsilaikantys asmenys. </w:t>
            </w:r>
            <w:r w:rsidR="00833871" w:rsidRPr="00B44B19">
              <w:rPr>
                <w:rFonts w:ascii="Times New Roman" w:eastAsia="Times New Roman" w:hAnsi="Times New Roman" w:cs="Times New Roman"/>
              </w:rPr>
              <w:t>Jie</w:t>
            </w:r>
            <w:r w:rsidRPr="00B44B19">
              <w:rPr>
                <w:rFonts w:ascii="Times New Roman" w:eastAsia="Times New Roman" w:hAnsi="Times New Roman" w:cs="Times New Roman"/>
              </w:rPr>
              <w:t xml:space="preserve"> neturi socialinių įgūdžių arba </w:t>
            </w:r>
            <w:r w:rsidR="00833871" w:rsidRPr="00B44B19">
              <w:rPr>
                <w:rFonts w:ascii="Times New Roman" w:eastAsia="Times New Roman" w:hAnsi="Times New Roman" w:cs="Times New Roman"/>
              </w:rPr>
              <w:t xml:space="preserve">šie įgūdžiai </w:t>
            </w:r>
            <w:r w:rsidRPr="00B44B19">
              <w:rPr>
                <w:rFonts w:ascii="Times New Roman" w:eastAsia="Times New Roman" w:hAnsi="Times New Roman" w:cs="Times New Roman"/>
              </w:rPr>
              <w:t xml:space="preserve">nepakankami, </w:t>
            </w:r>
            <w:r w:rsidR="00833871" w:rsidRPr="00B44B19">
              <w:rPr>
                <w:rFonts w:ascii="Times New Roman" w:eastAsia="Times New Roman" w:hAnsi="Times New Roman" w:cs="Times New Roman"/>
              </w:rPr>
              <w:t xml:space="preserve">jie </w:t>
            </w:r>
            <w:r w:rsidRPr="00B44B19">
              <w:rPr>
                <w:rFonts w:ascii="Times New Roman" w:eastAsia="Times New Roman" w:hAnsi="Times New Roman" w:cs="Times New Roman"/>
              </w:rPr>
              <w:t>yra diskriminuojami, neturi kvalifikacij</w:t>
            </w:r>
            <w:r w:rsidR="00833871" w:rsidRPr="00B44B19">
              <w:rPr>
                <w:rFonts w:ascii="Times New Roman" w:eastAsia="Times New Roman" w:hAnsi="Times New Roman" w:cs="Times New Roman"/>
              </w:rPr>
              <w:t>os ar ją yra praradę</w:t>
            </w:r>
            <w:r w:rsidRPr="00B44B19">
              <w:rPr>
                <w:rFonts w:ascii="Times New Roman" w:eastAsia="Times New Roman" w:hAnsi="Times New Roman" w:cs="Times New Roman"/>
              </w:rPr>
              <w:t>, ilgą laiką nedalyvav</w:t>
            </w:r>
            <w:r w:rsidR="00833871" w:rsidRPr="00B44B19">
              <w:rPr>
                <w:rFonts w:ascii="Times New Roman" w:eastAsia="Times New Roman" w:hAnsi="Times New Roman" w:cs="Times New Roman"/>
              </w:rPr>
              <w:t>o</w:t>
            </w:r>
            <w:r w:rsidRPr="00B44B19">
              <w:rPr>
                <w:rFonts w:ascii="Times New Roman" w:eastAsia="Times New Roman" w:hAnsi="Times New Roman" w:cs="Times New Roman"/>
              </w:rPr>
              <w:t xml:space="preserve"> </w:t>
            </w:r>
            <w:r w:rsidR="002F4119" w:rsidRPr="00B44B19">
              <w:rPr>
                <w:rFonts w:ascii="Times New Roman" w:eastAsia="Times New Roman" w:hAnsi="Times New Roman" w:cs="Times New Roman"/>
              </w:rPr>
              <w:t>DR</w:t>
            </w:r>
            <w:r w:rsidRPr="00B44B19">
              <w:rPr>
                <w:rFonts w:ascii="Times New Roman" w:eastAsia="Times New Roman" w:hAnsi="Times New Roman" w:cs="Times New Roman"/>
              </w:rPr>
              <w:t xml:space="preserve">, </w:t>
            </w:r>
            <w:r w:rsidR="00833871" w:rsidRPr="00B44B19">
              <w:rPr>
                <w:rFonts w:ascii="Times New Roman" w:eastAsia="Times New Roman" w:hAnsi="Times New Roman" w:cs="Times New Roman"/>
              </w:rPr>
              <w:t xml:space="preserve">yra </w:t>
            </w:r>
            <w:r w:rsidRPr="00B44B19">
              <w:rPr>
                <w:rFonts w:ascii="Times New Roman" w:eastAsia="Times New Roman" w:hAnsi="Times New Roman" w:cs="Times New Roman"/>
              </w:rPr>
              <w:t xml:space="preserve">grįžę iš įkalinimo įstaigų, turi sveikatos problemų ir kt. Siekiant tvarios šių asmenų grupių, įskaitant ir socialiniame būste gyvenančius socialinę riziką patiriančius asmenis, integracijos į </w:t>
            </w:r>
            <w:r w:rsidR="002F4119" w:rsidRPr="00B44B19">
              <w:rPr>
                <w:rFonts w:ascii="Times New Roman" w:eastAsia="Times New Roman" w:hAnsi="Times New Roman" w:cs="Times New Roman"/>
              </w:rPr>
              <w:t>DR</w:t>
            </w:r>
            <w:r w:rsidR="00F514F2" w:rsidRPr="00B44B19">
              <w:rPr>
                <w:rFonts w:ascii="Times New Roman" w:eastAsia="Times New Roman" w:hAnsi="Times New Roman" w:cs="Times New Roman"/>
              </w:rPr>
              <w:t>,</w:t>
            </w:r>
            <w:r w:rsidRPr="00B44B19">
              <w:rPr>
                <w:rFonts w:ascii="Times New Roman" w:eastAsia="Times New Roman" w:hAnsi="Times New Roman" w:cs="Times New Roman"/>
              </w:rPr>
              <w:t xml:space="preserve"> svarbu atkurti ir ugdyti jų motyvaciją, socialinius bei darbinius gebėjimus, todėl planuojama plėtoti socialinės integracijos paslaugas. Spręsti socialinės atskirties problemas gali padėti savanoriška veikla, todėl ši veikla bus plečiama. </w:t>
            </w:r>
          </w:p>
          <w:p w14:paraId="4016E390" w14:textId="77777777" w:rsidR="00F514F2" w:rsidRPr="00B44B19" w:rsidRDefault="00F514F2"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lastRenderedPageBreak/>
              <w:t>M</w:t>
            </w:r>
            <w:r w:rsidR="00F61E84" w:rsidRPr="00B44B19">
              <w:rPr>
                <w:rFonts w:ascii="Times New Roman" w:eastAsia="Times New Roman" w:hAnsi="Times New Roman" w:cs="Times New Roman"/>
              </w:rPr>
              <w:t xml:space="preserve">oterų ir vyrų padėtis skiriasi daugelyje sričių, </w:t>
            </w:r>
            <w:r w:rsidRPr="00B44B19">
              <w:rPr>
                <w:rFonts w:ascii="Times New Roman" w:eastAsia="Times New Roman" w:hAnsi="Times New Roman" w:cs="Times New Roman"/>
              </w:rPr>
              <w:t xml:space="preserve">todėl </w:t>
            </w:r>
            <w:r w:rsidR="00F61E84" w:rsidRPr="00B44B19">
              <w:rPr>
                <w:rFonts w:ascii="Times New Roman" w:eastAsia="Times New Roman" w:hAnsi="Times New Roman" w:cs="Times New Roman"/>
              </w:rPr>
              <w:t>bus siekiama didesnės lygybės ir smurto artimoje aplinkoje mažėjimo</w:t>
            </w:r>
            <w:r w:rsidRPr="00B44B19">
              <w:rPr>
                <w:rFonts w:ascii="Times New Roman" w:eastAsia="Times New Roman" w:hAnsi="Times New Roman" w:cs="Times New Roman"/>
              </w:rPr>
              <w:t>,</w:t>
            </w:r>
            <w:r w:rsidR="00F61E84" w:rsidRPr="00B44B19">
              <w:rPr>
                <w:rFonts w:ascii="Times New Roman" w:eastAsia="Times New Roman" w:hAnsi="Times New Roman" w:cs="Times New Roman"/>
              </w:rPr>
              <w:t xml:space="preserve"> šalinant seksizmo padarinius, didinant sąmoningumą, tarpusavio supratimą ir toleranciją, geriau informuojant visuomenę apie diskriminacijos apraiškas. </w:t>
            </w:r>
          </w:p>
          <w:p w14:paraId="4924CED3" w14:textId="77777777" w:rsidR="00F61E84" w:rsidRPr="00B44B19" w:rsidRDefault="00F61E84"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Numatom</w:t>
            </w:r>
            <w:r w:rsidR="00F514F2" w:rsidRPr="00B44B19">
              <w:rPr>
                <w:rFonts w:ascii="Times New Roman" w:eastAsia="Times New Roman" w:hAnsi="Times New Roman" w:cs="Times New Roman"/>
              </w:rPr>
              <w:t>a vykdyti</w:t>
            </w:r>
            <w:r w:rsidRPr="00B44B19">
              <w:rPr>
                <w:rFonts w:ascii="Times New Roman" w:eastAsia="Times New Roman" w:hAnsi="Times New Roman" w:cs="Times New Roman"/>
              </w:rPr>
              <w:t xml:space="preserve"> veikl</w:t>
            </w:r>
            <w:r w:rsidR="00F514F2" w:rsidRPr="00B44B19">
              <w:rPr>
                <w:rFonts w:ascii="Times New Roman" w:eastAsia="Times New Roman" w:hAnsi="Times New Roman" w:cs="Times New Roman"/>
              </w:rPr>
              <w:t>a</w:t>
            </w:r>
            <w:r w:rsidRPr="00B44B19">
              <w:rPr>
                <w:rFonts w:ascii="Times New Roman" w:eastAsia="Times New Roman" w:hAnsi="Times New Roman" w:cs="Times New Roman"/>
              </w:rPr>
              <w:t>s, skirt</w:t>
            </w:r>
            <w:r w:rsidR="00F514F2" w:rsidRPr="00B44B19">
              <w:rPr>
                <w:rFonts w:ascii="Times New Roman" w:eastAsia="Times New Roman" w:hAnsi="Times New Roman" w:cs="Times New Roman"/>
              </w:rPr>
              <w:t>a</w:t>
            </w:r>
            <w:r w:rsidRPr="00B44B19">
              <w:rPr>
                <w:rFonts w:ascii="Times New Roman" w:eastAsia="Times New Roman" w:hAnsi="Times New Roman" w:cs="Times New Roman"/>
              </w:rPr>
              <w:t>s vietos bendruomenių dalyvavim</w:t>
            </w:r>
            <w:r w:rsidR="00F514F2" w:rsidRPr="00B44B19">
              <w:rPr>
                <w:rFonts w:ascii="Times New Roman" w:eastAsia="Times New Roman" w:hAnsi="Times New Roman" w:cs="Times New Roman"/>
              </w:rPr>
              <w:t>ui,</w:t>
            </w:r>
            <w:r w:rsidRPr="00B44B19">
              <w:rPr>
                <w:rFonts w:ascii="Times New Roman" w:eastAsia="Times New Roman" w:hAnsi="Times New Roman" w:cs="Times New Roman"/>
              </w:rPr>
              <w:t xml:space="preserve"> sprendžiant aktualias gyventojų skurdo ir atskirties problemas</w:t>
            </w:r>
            <w:r w:rsidR="00F514F2" w:rsidRPr="00B44B19">
              <w:rPr>
                <w:rFonts w:ascii="Times New Roman" w:eastAsia="Times New Roman" w:hAnsi="Times New Roman" w:cs="Times New Roman"/>
              </w:rPr>
              <w:t>, skatinti</w:t>
            </w:r>
            <w:r w:rsidRPr="00B44B19">
              <w:rPr>
                <w:rFonts w:ascii="Times New Roman" w:eastAsia="Times New Roman" w:hAnsi="Times New Roman" w:cs="Times New Roman"/>
              </w:rPr>
              <w:t>.</w:t>
            </w:r>
          </w:p>
          <w:p w14:paraId="241F4162" w14:textId="77777777" w:rsidR="00F61E84" w:rsidRPr="00B44B19" w:rsidRDefault="00F61E84"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Veiksmų rūšys, siekiant didinti socialiai pažeidžiamų, socialinę riziką </w:t>
            </w:r>
            <w:r w:rsidR="00F514F2" w:rsidRPr="00B44B19">
              <w:rPr>
                <w:rFonts w:ascii="Times New Roman" w:eastAsia="Times New Roman" w:hAnsi="Times New Roman" w:cs="Times New Roman"/>
              </w:rPr>
              <w:t>(</w:t>
            </w:r>
            <w:r w:rsidRPr="00B44B19">
              <w:rPr>
                <w:rFonts w:ascii="Times New Roman" w:eastAsia="Times New Roman" w:hAnsi="Times New Roman" w:cs="Times New Roman"/>
              </w:rPr>
              <w:t>atskirtį</w:t>
            </w:r>
            <w:r w:rsidR="00F514F2" w:rsidRPr="00B44B19">
              <w:rPr>
                <w:rFonts w:ascii="Times New Roman" w:eastAsia="Times New Roman" w:hAnsi="Times New Roman" w:cs="Times New Roman"/>
              </w:rPr>
              <w:t>)</w:t>
            </w:r>
            <w:r w:rsidRPr="00B44B19">
              <w:rPr>
                <w:rFonts w:ascii="Times New Roman" w:eastAsia="Times New Roman" w:hAnsi="Times New Roman" w:cs="Times New Roman"/>
              </w:rPr>
              <w:t xml:space="preserve"> patiriančių</w:t>
            </w:r>
            <w:r w:rsidRPr="00B44B19" w:rsidDel="00100A43">
              <w:rPr>
                <w:rFonts w:ascii="Times New Roman" w:eastAsia="Times New Roman" w:hAnsi="Times New Roman" w:cs="Times New Roman"/>
              </w:rPr>
              <w:t xml:space="preserve"> </w:t>
            </w:r>
            <w:r w:rsidRPr="00B44B19">
              <w:rPr>
                <w:rFonts w:ascii="Times New Roman" w:eastAsia="Times New Roman" w:hAnsi="Times New Roman" w:cs="Times New Roman"/>
              </w:rPr>
              <w:t>asmenų įtrauktį, aktyvų dalyvavimą ir lygias galimybes:</w:t>
            </w:r>
          </w:p>
          <w:p w14:paraId="5E1C0013" w14:textId="77777777" w:rsidR="00F61E84" w:rsidRPr="00B44B19" w:rsidRDefault="00F61E84"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Užtikrinti pagalbą tiems, kuriems labiausiai jos reikia</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rPr>
              <w:t xml:space="preserve">plėtoti </w:t>
            </w:r>
            <w:r w:rsidRPr="00B44B19">
              <w:rPr>
                <w:rFonts w:ascii="Times New Roman" w:eastAsia="Times New Roman" w:hAnsi="Times New Roman" w:cs="Times New Roman"/>
              </w:rPr>
              <w:t>socialinės integracijos, įskaitant kultūros edukaciją bei kūrybingumo skatinimą, paslaug</w:t>
            </w:r>
            <w:r w:rsidR="00F514F2" w:rsidRPr="00B44B19">
              <w:rPr>
                <w:rFonts w:ascii="Times New Roman" w:eastAsia="Times New Roman" w:hAnsi="Times New Roman" w:cs="Times New Roman"/>
              </w:rPr>
              <w:t>a</w:t>
            </w:r>
            <w:r w:rsidRPr="00B44B19">
              <w:rPr>
                <w:rFonts w:ascii="Times New Roman" w:eastAsia="Times New Roman" w:hAnsi="Times New Roman" w:cs="Times New Roman"/>
              </w:rPr>
              <w:t>s, didina</w:t>
            </w:r>
            <w:r w:rsidR="00F514F2" w:rsidRPr="00B44B19">
              <w:rPr>
                <w:rFonts w:ascii="Times New Roman" w:eastAsia="Times New Roman" w:hAnsi="Times New Roman" w:cs="Times New Roman"/>
              </w:rPr>
              <w:t>nčias</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noProof/>
              </w:rPr>
              <w:t xml:space="preserve">socialiai pažeidžiamų, socialinę riziką (atskirtį) patiriančių asmenų </w:t>
            </w:r>
            <w:r w:rsidRPr="00B44B19">
              <w:rPr>
                <w:rFonts w:ascii="Times New Roman" w:eastAsia="Times New Roman" w:hAnsi="Times New Roman" w:cs="Times New Roman"/>
              </w:rPr>
              <w:t>socialinę integraciją ir galimyb</w:t>
            </w:r>
            <w:r w:rsidR="00F514F2" w:rsidRPr="00B44B19">
              <w:rPr>
                <w:rFonts w:ascii="Times New Roman" w:eastAsia="Times New Roman" w:hAnsi="Times New Roman" w:cs="Times New Roman"/>
              </w:rPr>
              <w:t>es</w:t>
            </w:r>
            <w:r w:rsidRPr="00B44B19">
              <w:rPr>
                <w:rFonts w:ascii="Times New Roman" w:eastAsia="Times New Roman" w:hAnsi="Times New Roman" w:cs="Times New Roman"/>
              </w:rPr>
              <w:t xml:space="preserve"> dalyvauti </w:t>
            </w:r>
            <w:r w:rsidR="002F4119" w:rsidRPr="00B44B19">
              <w:rPr>
                <w:rFonts w:ascii="Times New Roman" w:eastAsia="Times New Roman" w:hAnsi="Times New Roman" w:cs="Times New Roman"/>
              </w:rPr>
              <w:t>DR</w:t>
            </w:r>
            <w:r w:rsidRPr="00B44B19">
              <w:rPr>
                <w:rFonts w:ascii="Times New Roman" w:eastAsia="Times New Roman" w:hAnsi="Times New Roman" w:cs="Times New Roman"/>
                <w:noProof/>
              </w:rPr>
              <w:t>;</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rPr>
              <w:t xml:space="preserve">taikyti </w:t>
            </w:r>
            <w:r w:rsidRPr="00B44B19">
              <w:rPr>
                <w:rFonts w:ascii="Times New Roman" w:eastAsia="Times New Roman" w:hAnsi="Times New Roman" w:cs="Times New Roman"/>
              </w:rPr>
              <w:t>paslaugų grįžusiems iš įkalinimo įstaigų sistem</w:t>
            </w:r>
            <w:r w:rsidR="00F514F2"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ir </w:t>
            </w:r>
            <w:r w:rsidR="00F514F2" w:rsidRPr="00B44B19">
              <w:rPr>
                <w:rFonts w:ascii="Times New Roman" w:eastAsia="Times New Roman" w:hAnsi="Times New Roman" w:cs="Times New Roman"/>
              </w:rPr>
              <w:t xml:space="preserve">ją </w:t>
            </w:r>
            <w:r w:rsidRPr="00B44B19">
              <w:rPr>
                <w:rFonts w:ascii="Times New Roman" w:eastAsia="Times New Roman" w:hAnsi="Times New Roman" w:cs="Times New Roman"/>
              </w:rPr>
              <w:t>tobulin</w:t>
            </w:r>
            <w:r w:rsidR="00F514F2" w:rsidRPr="00B44B19">
              <w:rPr>
                <w:rFonts w:ascii="Times New Roman" w:eastAsia="Times New Roman" w:hAnsi="Times New Roman" w:cs="Times New Roman"/>
              </w:rPr>
              <w:t>ti</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rPr>
              <w:t xml:space="preserve">plėtoti </w:t>
            </w:r>
            <w:r w:rsidRPr="00B44B19">
              <w:rPr>
                <w:rFonts w:ascii="Times New Roman" w:eastAsia="Times New Roman" w:hAnsi="Times New Roman" w:cs="Times New Roman"/>
              </w:rPr>
              <w:t>darbo su jaunimu sistem</w:t>
            </w:r>
            <w:r w:rsidR="00F514F2"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siekiant didesnės jų integracijos; </w:t>
            </w:r>
            <w:r w:rsidR="00F514F2" w:rsidRPr="00B44B19">
              <w:rPr>
                <w:rFonts w:ascii="Times New Roman" w:eastAsia="Times New Roman" w:hAnsi="Times New Roman" w:cs="Times New Roman"/>
              </w:rPr>
              <w:t xml:space="preserve">teikti </w:t>
            </w:r>
            <w:r w:rsidRPr="00B44B19">
              <w:rPr>
                <w:rFonts w:ascii="Times New Roman" w:eastAsia="Times New Roman" w:hAnsi="Times New Roman" w:cs="Times New Roman"/>
              </w:rPr>
              <w:t>koordinuot</w:t>
            </w:r>
            <w:r w:rsidR="00F514F2"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intervencin</w:t>
            </w:r>
            <w:r w:rsidR="00F514F2" w:rsidRPr="00B44B19">
              <w:rPr>
                <w:rFonts w:ascii="Times New Roman" w:eastAsia="Times New Roman" w:hAnsi="Times New Roman" w:cs="Times New Roman"/>
              </w:rPr>
              <w:t>ę</w:t>
            </w:r>
            <w:r w:rsidRPr="00B44B19">
              <w:rPr>
                <w:rFonts w:ascii="Times New Roman" w:eastAsia="Times New Roman" w:hAnsi="Times New Roman" w:cs="Times New Roman"/>
              </w:rPr>
              <w:t xml:space="preserve"> pagalb</w:t>
            </w:r>
            <w:r w:rsidR="00F514F2" w:rsidRPr="00B44B19">
              <w:rPr>
                <w:rFonts w:ascii="Times New Roman" w:eastAsia="Times New Roman" w:hAnsi="Times New Roman" w:cs="Times New Roman"/>
              </w:rPr>
              <w:t>ą asmenims, patiriantiems benamystę</w:t>
            </w:r>
            <w:r w:rsidRPr="00B44B19">
              <w:rPr>
                <w:rFonts w:ascii="Times New Roman" w:eastAsia="Times New Roman" w:hAnsi="Times New Roman" w:cs="Times New Roman"/>
              </w:rPr>
              <w:t xml:space="preserve">. Ši veikla bus įgyvendinama VVL ir Sostinės regionuose. </w:t>
            </w:r>
          </w:p>
          <w:p w14:paraId="733BD0EF" w14:textId="77777777" w:rsidR="00F61E84" w:rsidRPr="00B44B19" w:rsidRDefault="00F61E84"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Skatinti moterų ir vyrų lygybę</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rPr>
              <w:t xml:space="preserve">gerinti </w:t>
            </w:r>
            <w:r w:rsidRPr="00B44B19">
              <w:rPr>
                <w:rFonts w:ascii="Times New Roman" w:eastAsia="Times New Roman" w:hAnsi="Times New Roman" w:cs="Times New Roman"/>
              </w:rPr>
              <w:t>žmogaus teisių padėt</w:t>
            </w:r>
            <w:r w:rsidR="00F514F2" w:rsidRPr="00B44B19">
              <w:rPr>
                <w:rFonts w:ascii="Times New Roman" w:eastAsia="Times New Roman" w:hAnsi="Times New Roman" w:cs="Times New Roman"/>
              </w:rPr>
              <w:t>į</w:t>
            </w:r>
            <w:r w:rsidRPr="00B44B19">
              <w:rPr>
                <w:rFonts w:ascii="Times New Roman" w:eastAsia="Times New Roman" w:hAnsi="Times New Roman" w:cs="Times New Roman"/>
              </w:rPr>
              <w:t xml:space="preserve"> ir </w:t>
            </w:r>
            <w:r w:rsidR="00F514F2" w:rsidRPr="00B44B19">
              <w:rPr>
                <w:rFonts w:ascii="Times New Roman" w:eastAsia="Times New Roman" w:hAnsi="Times New Roman" w:cs="Times New Roman"/>
              </w:rPr>
              <w:t xml:space="preserve">šalinti </w:t>
            </w:r>
            <w:r w:rsidRPr="00B44B19">
              <w:rPr>
                <w:rFonts w:ascii="Times New Roman" w:eastAsia="Times New Roman" w:hAnsi="Times New Roman" w:cs="Times New Roman"/>
              </w:rPr>
              <w:t>seksizmo padarini</w:t>
            </w:r>
            <w:r w:rsidR="00F514F2" w:rsidRPr="00B44B19">
              <w:rPr>
                <w:rFonts w:ascii="Times New Roman" w:eastAsia="Times New Roman" w:hAnsi="Times New Roman" w:cs="Times New Roman"/>
              </w:rPr>
              <w:t>us, keičiant</w:t>
            </w:r>
            <w:r w:rsidRPr="00B44B19">
              <w:rPr>
                <w:rFonts w:ascii="Times New Roman" w:eastAsia="Times New Roman" w:hAnsi="Times New Roman" w:cs="Times New Roman"/>
              </w:rPr>
              <w:t xml:space="preserve"> visuomenės nuostat</w:t>
            </w:r>
            <w:r w:rsidR="00F514F2" w:rsidRPr="00B44B19">
              <w:rPr>
                <w:rFonts w:ascii="Times New Roman" w:eastAsia="Times New Roman" w:hAnsi="Times New Roman" w:cs="Times New Roman"/>
              </w:rPr>
              <w:t>as</w:t>
            </w:r>
            <w:r w:rsidRPr="00B44B19">
              <w:rPr>
                <w:rFonts w:ascii="Times New Roman" w:eastAsia="Times New Roman" w:hAnsi="Times New Roman" w:cs="Times New Roman"/>
              </w:rPr>
              <w:t xml:space="preserve"> ir </w:t>
            </w:r>
            <w:r w:rsidR="00F514F2" w:rsidRPr="00B44B19">
              <w:rPr>
                <w:rFonts w:ascii="Times New Roman" w:eastAsia="Times New Roman" w:hAnsi="Times New Roman" w:cs="Times New Roman"/>
              </w:rPr>
              <w:t xml:space="preserve">integruojant </w:t>
            </w:r>
            <w:r w:rsidRPr="00B44B19">
              <w:rPr>
                <w:rFonts w:ascii="Times New Roman" w:eastAsia="Times New Roman" w:hAnsi="Times New Roman" w:cs="Times New Roman"/>
              </w:rPr>
              <w:t>lyčių lygybės aspekt</w:t>
            </w:r>
            <w:r w:rsidR="00F514F2"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vietos savivaldos lygiu, siekiant mažinti paplitusius stereotipus</w:t>
            </w:r>
            <w:r w:rsidR="00F514F2"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rPr>
              <w:t xml:space="preserve">susijusius su </w:t>
            </w:r>
            <w:r w:rsidRPr="00B44B19">
              <w:rPr>
                <w:rFonts w:ascii="Times New Roman" w:eastAsia="Times New Roman" w:hAnsi="Times New Roman" w:cs="Times New Roman"/>
              </w:rPr>
              <w:t>lyti</w:t>
            </w:r>
            <w:r w:rsidR="00F514F2" w:rsidRPr="00B44B19">
              <w:rPr>
                <w:rFonts w:ascii="Times New Roman" w:eastAsia="Times New Roman" w:hAnsi="Times New Roman" w:cs="Times New Roman"/>
              </w:rPr>
              <w:t>mis</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rPr>
              <w:t xml:space="preserve">mažinti </w:t>
            </w:r>
            <w:r w:rsidRPr="00B44B19">
              <w:rPr>
                <w:rFonts w:ascii="Times New Roman" w:eastAsia="Times New Roman" w:hAnsi="Times New Roman" w:cs="Times New Roman"/>
              </w:rPr>
              <w:t>smurt</w:t>
            </w:r>
            <w:r w:rsidR="00F514F2"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artimoje aplinkoje, užtikrinant tinkamą smurto prevenciją ir pagalbą nukentėjusiems nuo smurto. Ši veikla bus įgyvendinama VVL ir Sostinės regionuose. </w:t>
            </w:r>
          </w:p>
          <w:p w14:paraId="58CB6093" w14:textId="6B5A79F8" w:rsidR="00F61E84" w:rsidRPr="00B44B19" w:rsidRDefault="00F61E84"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Stiprinti ir plėtoti savanorystę</w:t>
            </w:r>
            <w:r w:rsidRPr="00B44B19">
              <w:rPr>
                <w:rFonts w:ascii="Times New Roman" w:eastAsia="Times New Roman" w:hAnsi="Times New Roman" w:cs="Times New Roman"/>
              </w:rPr>
              <w:t xml:space="preserve">: </w:t>
            </w:r>
            <w:r w:rsidR="002000C3" w:rsidRPr="00B44B19">
              <w:rPr>
                <w:rFonts w:ascii="Times New Roman" w:eastAsia="Times New Roman" w:hAnsi="Times New Roman" w:cs="Times New Roman"/>
              </w:rPr>
              <w:t>skatinti</w:t>
            </w:r>
            <w:r w:rsidR="00F514F2" w:rsidRPr="00B44B19">
              <w:rPr>
                <w:rFonts w:ascii="Times New Roman" w:eastAsia="Times New Roman" w:hAnsi="Times New Roman" w:cs="Times New Roman"/>
              </w:rPr>
              <w:t xml:space="preserve"> </w:t>
            </w:r>
            <w:r w:rsidRPr="00B44B19">
              <w:rPr>
                <w:rFonts w:ascii="Times New Roman" w:eastAsia="Times New Roman" w:hAnsi="Times New Roman" w:cs="Times New Roman"/>
              </w:rPr>
              <w:t>socialin</w:t>
            </w:r>
            <w:r w:rsidR="00F514F2" w:rsidRPr="00B44B19">
              <w:rPr>
                <w:rFonts w:ascii="Times New Roman" w:eastAsia="Times New Roman" w:hAnsi="Times New Roman" w:cs="Times New Roman"/>
              </w:rPr>
              <w:t>ę</w:t>
            </w:r>
            <w:r w:rsidRPr="00B44B19">
              <w:rPr>
                <w:rFonts w:ascii="Times New Roman" w:eastAsia="Times New Roman" w:hAnsi="Times New Roman" w:cs="Times New Roman"/>
              </w:rPr>
              <w:t xml:space="preserve"> įtraukt</w:t>
            </w:r>
            <w:r w:rsidR="00F514F2" w:rsidRPr="00B44B19">
              <w:rPr>
                <w:rFonts w:ascii="Times New Roman" w:eastAsia="Times New Roman" w:hAnsi="Times New Roman" w:cs="Times New Roman"/>
              </w:rPr>
              <w:t>į,</w:t>
            </w:r>
            <w:r w:rsidRPr="00B44B19">
              <w:rPr>
                <w:rFonts w:ascii="Times New Roman" w:eastAsia="Times New Roman" w:hAnsi="Times New Roman" w:cs="Times New Roman"/>
              </w:rPr>
              <w:t xml:space="preserve"> sudarant sąlygas įsitraukti į ilgalaikę, kompetencijas ugdančią savanorišką veiklą,</w:t>
            </w:r>
            <w:r w:rsidRPr="00B44B19">
              <w:rPr>
                <w:rFonts w:ascii="Times New Roman" w:eastAsia="Times New Roman" w:hAnsi="Times New Roman" w:cs="Times New Roman"/>
                <w:b/>
              </w:rPr>
              <w:t xml:space="preserve"> </w:t>
            </w:r>
            <w:r w:rsidRPr="00B44B19">
              <w:rPr>
                <w:rFonts w:ascii="Times New Roman" w:eastAsia="Times New Roman" w:hAnsi="Times New Roman" w:cs="Times New Roman"/>
              </w:rPr>
              <w:t>kuriant ir įgyvendinant nacionalinį savanoriškos veiklos modelį. Ši veikla bus įgyvendinama VVL ir Sostinės regionuose.</w:t>
            </w:r>
          </w:p>
          <w:p w14:paraId="0D44DC12" w14:textId="77777777" w:rsidR="00EF291A" w:rsidRPr="00B44B19" w:rsidRDefault="00F61E84" w:rsidP="007D0221">
            <w:pPr>
              <w:spacing w:before="60" w:after="60"/>
              <w:jc w:val="both"/>
              <w:rPr>
                <w:rFonts w:ascii="Times New Roman" w:eastAsia="Times New Roman" w:hAnsi="Times New Roman" w:cs="Times New Roman"/>
                <w:lang w:eastAsia="en-US" w:bidi="ar-SA"/>
              </w:rPr>
            </w:pPr>
            <w:r w:rsidRPr="00B44B19">
              <w:rPr>
                <w:rFonts w:ascii="Times New Roman" w:eastAsia="Times New Roman" w:hAnsi="Times New Roman" w:cs="Times New Roman"/>
                <w:b/>
                <w:lang w:eastAsia="en-US" w:bidi="ar-SA"/>
              </w:rPr>
              <w:t>Skatinti aktyvesnį vietos bendruomenių dalyvavimą</w:t>
            </w:r>
            <w:r w:rsidRPr="00B44B19">
              <w:rPr>
                <w:rFonts w:ascii="Times New Roman" w:eastAsia="Times New Roman" w:hAnsi="Times New Roman" w:cs="Times New Roman"/>
              </w:rPr>
              <w:t xml:space="preserve">: </w:t>
            </w:r>
            <w:r w:rsidR="00F514F2" w:rsidRPr="00B44B19">
              <w:rPr>
                <w:rFonts w:ascii="Times New Roman" w:eastAsia="Times New Roman" w:hAnsi="Times New Roman" w:cs="Times New Roman"/>
                <w:lang w:eastAsia="en-US" w:bidi="ar-SA"/>
              </w:rPr>
              <w:t>rengiant ir įgyvendinant</w:t>
            </w:r>
            <w:r w:rsidRPr="00B44B19">
              <w:rPr>
                <w:rFonts w:ascii="Times New Roman" w:eastAsia="Times New Roman" w:hAnsi="Times New Roman" w:cs="Times New Roman"/>
                <w:lang w:eastAsia="en-US" w:bidi="ar-SA"/>
              </w:rPr>
              <w:t xml:space="preserve"> vietos plėtros strategij</w:t>
            </w:r>
            <w:r w:rsidR="00F514F2" w:rsidRPr="00B44B19">
              <w:rPr>
                <w:rFonts w:ascii="Times New Roman" w:eastAsia="Times New Roman" w:hAnsi="Times New Roman" w:cs="Times New Roman"/>
                <w:lang w:eastAsia="en-US" w:bidi="ar-SA"/>
              </w:rPr>
              <w:t>as</w:t>
            </w:r>
            <w:r w:rsidRPr="00B44B19">
              <w:rPr>
                <w:rFonts w:ascii="Times New Roman" w:eastAsia="Times New Roman" w:hAnsi="Times New Roman" w:cs="Times New Roman"/>
                <w:lang w:eastAsia="en-US" w:bidi="ar-SA"/>
              </w:rPr>
              <w:t xml:space="preserve"> spręsti vietos bendruomenei aktualias gyventojų skurdo ir atskirties problemas, t. y. taikyti prevencines priemones socialiai pažeidžiamiems ir socialin</w:t>
            </w:r>
            <w:r w:rsidR="004B635A" w:rsidRPr="00B44B19">
              <w:rPr>
                <w:rFonts w:ascii="Times New Roman" w:eastAsia="Times New Roman" w:hAnsi="Times New Roman" w:cs="Times New Roman"/>
                <w:lang w:eastAsia="en-US" w:bidi="ar-SA"/>
              </w:rPr>
              <w:t>ę</w:t>
            </w:r>
            <w:r w:rsidRPr="00B44B19">
              <w:rPr>
                <w:rFonts w:ascii="Times New Roman" w:eastAsia="Times New Roman" w:hAnsi="Times New Roman" w:cs="Times New Roman"/>
                <w:lang w:eastAsia="en-US" w:bidi="ar-SA"/>
              </w:rPr>
              <w:t xml:space="preserve"> rizik</w:t>
            </w:r>
            <w:r w:rsidR="004B635A" w:rsidRPr="00B44B19">
              <w:rPr>
                <w:rFonts w:ascii="Times New Roman" w:eastAsia="Times New Roman" w:hAnsi="Times New Roman" w:cs="Times New Roman"/>
                <w:lang w:eastAsia="en-US" w:bidi="ar-SA"/>
              </w:rPr>
              <w:t>ą</w:t>
            </w:r>
            <w:r w:rsidRPr="00B44B19">
              <w:rPr>
                <w:rFonts w:ascii="Times New Roman" w:eastAsia="Times New Roman" w:hAnsi="Times New Roman" w:cs="Times New Roman"/>
                <w:lang w:eastAsia="en-US" w:bidi="ar-SA"/>
              </w:rPr>
              <w:t xml:space="preserve"> </w:t>
            </w:r>
            <w:r w:rsidR="004B635A" w:rsidRPr="00B44B19">
              <w:rPr>
                <w:rFonts w:ascii="Times New Roman" w:eastAsia="Times New Roman" w:hAnsi="Times New Roman" w:cs="Times New Roman"/>
                <w:lang w:eastAsia="en-US" w:bidi="ar-SA"/>
              </w:rPr>
              <w:t xml:space="preserve">patiriantiems </w:t>
            </w:r>
            <w:r w:rsidRPr="00B44B19">
              <w:rPr>
                <w:rFonts w:ascii="Times New Roman" w:eastAsia="Times New Roman" w:hAnsi="Times New Roman" w:cs="Times New Roman"/>
                <w:lang w:eastAsia="en-US" w:bidi="ar-SA"/>
              </w:rPr>
              <w:t xml:space="preserve">asmenims, padėti socialinę atskirtį patiriantiems </w:t>
            </w:r>
            <w:r w:rsidR="004B635A" w:rsidRPr="00B44B19">
              <w:rPr>
                <w:rFonts w:ascii="Times New Roman" w:eastAsia="Times New Roman" w:hAnsi="Times New Roman" w:cs="Times New Roman"/>
                <w:lang w:eastAsia="en-US" w:bidi="ar-SA"/>
              </w:rPr>
              <w:t xml:space="preserve">asmenims </w:t>
            </w:r>
            <w:r w:rsidRPr="00B44B19">
              <w:rPr>
                <w:rFonts w:ascii="Times New Roman" w:eastAsia="Times New Roman" w:hAnsi="Times New Roman" w:cs="Times New Roman"/>
                <w:lang w:eastAsia="en-US" w:bidi="ar-SA"/>
              </w:rPr>
              <w:t xml:space="preserve">įsitraukti į visavertį visuomenės gyvenimą, </w:t>
            </w:r>
            <w:r w:rsidR="004B635A" w:rsidRPr="00B44B19">
              <w:rPr>
                <w:rFonts w:ascii="Times New Roman" w:eastAsia="Times New Roman" w:hAnsi="Times New Roman" w:cs="Times New Roman"/>
                <w:lang w:eastAsia="en-US" w:bidi="ar-SA"/>
              </w:rPr>
              <w:t xml:space="preserve">o </w:t>
            </w:r>
            <w:r w:rsidRPr="00B44B19">
              <w:rPr>
                <w:rFonts w:ascii="Times New Roman" w:eastAsia="Times New Roman" w:hAnsi="Times New Roman" w:cs="Times New Roman"/>
                <w:lang w:eastAsia="en-US" w:bidi="ar-SA"/>
              </w:rPr>
              <w:t xml:space="preserve">asmenims iš pažeidžiamų grupių – įsitraukti į </w:t>
            </w:r>
            <w:r w:rsidR="002F4119" w:rsidRPr="00B44B19">
              <w:rPr>
                <w:rFonts w:ascii="Times New Roman" w:eastAsia="Times New Roman" w:hAnsi="Times New Roman" w:cs="Times New Roman"/>
                <w:lang w:eastAsia="en-US" w:bidi="ar-SA"/>
              </w:rPr>
              <w:t>DR</w:t>
            </w:r>
            <w:r w:rsidRPr="00B44B19">
              <w:rPr>
                <w:rFonts w:ascii="Times New Roman" w:eastAsia="Times New Roman" w:hAnsi="Times New Roman" w:cs="Times New Roman"/>
                <w:lang w:eastAsia="en-US" w:bidi="ar-SA"/>
              </w:rPr>
              <w:t xml:space="preserve"> (įskaitant ėmimąsi savarankiško darbo, verslo) ir joje išsilaikyti. Ši veikla bus įgyvendinama VVL ir Sostinės regionuose.</w:t>
            </w:r>
          </w:p>
          <w:p w14:paraId="25BB4AE6" w14:textId="77777777" w:rsidR="00EA57D7" w:rsidRPr="00B44B19" w:rsidRDefault="00334B0C" w:rsidP="007D022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D46D92" w:rsidRPr="00B44B19">
              <w:rPr>
                <w:rFonts w:ascii="Times New Roman" w:eastAsia="Times New Roman" w:hAnsi="Times New Roman" w:cs="Times New Roman"/>
                <w:noProof/>
                <w:szCs w:val="24"/>
              </w:rPr>
              <w:t>.</w:t>
            </w:r>
          </w:p>
        </w:tc>
      </w:tr>
    </w:tbl>
    <w:p w14:paraId="1A4F9A67" w14:textId="187FDF42"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17303" w:rsidRPr="00B44B19" w14:paraId="7911F3E8" w14:textId="77777777" w:rsidTr="00417303">
        <w:tc>
          <w:tcPr>
            <w:tcW w:w="9854" w:type="dxa"/>
          </w:tcPr>
          <w:p w14:paraId="7AE3326A" w14:textId="77777777" w:rsidR="00417303" w:rsidRPr="00B44B19" w:rsidRDefault="00417303" w:rsidP="007D0221">
            <w:pPr>
              <w:spacing w:before="60" w:after="60"/>
              <w:jc w:val="both"/>
              <w:rPr>
                <w:rFonts w:eastAsia="Calibri" w:cs="Times New Roman"/>
                <w:b/>
                <w:i/>
                <w:noProof/>
                <w:szCs w:val="24"/>
                <w:lang w:eastAsia="lt-LT" w:bidi="lt-LT"/>
              </w:rPr>
            </w:pPr>
            <w:r w:rsidRPr="00B44B19">
              <w:rPr>
                <w:rFonts w:eastAsia="Times New Roman" w:cs="Times New Roman"/>
                <w:noProof/>
                <w:sz w:val="22"/>
                <w:lang w:eastAsia="lt-LT" w:bidi="lt-LT"/>
              </w:rPr>
              <w:t>Socialiai pažeidžiami, socialinę riziką (atskirtį) patiriantys asmenys; asmenys, besiruošiantys išeiti ir išėję iš įkalinimo vietų; romai; mažiau galimybių turintis jaunimas</w:t>
            </w:r>
            <w:r w:rsidR="00B05ED9" w:rsidRPr="00B44B19">
              <w:rPr>
                <w:rFonts w:eastAsia="Times New Roman" w:cs="Times New Roman"/>
                <w:noProof/>
                <w:sz w:val="22"/>
                <w:lang w:eastAsia="lt-LT" w:bidi="lt-LT"/>
              </w:rPr>
              <w:t xml:space="preserve">; migrantai; </w:t>
            </w:r>
            <w:r w:rsidRPr="00B44B19">
              <w:rPr>
                <w:rFonts w:eastAsia="Times New Roman" w:cs="Times New Roman"/>
                <w:noProof/>
                <w:sz w:val="22"/>
                <w:lang w:eastAsia="lt-LT" w:bidi="lt-LT"/>
              </w:rPr>
              <w:t xml:space="preserve">apsaugos nuo smurto artimoje aplinkoje srityje dirbantys asmenys; smurtą patiriantys asmenys, savivaldos, verslo, NVO ir žiniasklaidos atstovai; visuomenė; </w:t>
            </w:r>
            <w:r w:rsidR="004B635A" w:rsidRPr="00B44B19">
              <w:rPr>
                <w:rFonts w:eastAsia="Times New Roman" w:cs="Times New Roman"/>
                <w:noProof/>
                <w:sz w:val="22"/>
                <w:lang w:eastAsia="lt-LT" w:bidi="lt-LT"/>
              </w:rPr>
              <w:t xml:space="preserve">organizacijos ir asmenys, dalyvaujantys įgyvendinant </w:t>
            </w:r>
            <w:r w:rsidRPr="00B44B19">
              <w:rPr>
                <w:rFonts w:eastAsia="Times New Roman" w:cs="Times New Roman"/>
                <w:noProof/>
                <w:sz w:val="22"/>
                <w:lang w:eastAsia="lt-LT" w:bidi="lt-LT"/>
              </w:rPr>
              <w:t>nacionalin</w:t>
            </w:r>
            <w:r w:rsidR="004B635A" w:rsidRPr="00B44B19">
              <w:rPr>
                <w:rFonts w:eastAsia="Times New Roman" w:cs="Times New Roman"/>
                <w:noProof/>
                <w:sz w:val="22"/>
                <w:lang w:eastAsia="lt-LT" w:bidi="lt-LT"/>
              </w:rPr>
              <w:t>į</w:t>
            </w:r>
            <w:r w:rsidRPr="00B44B19">
              <w:rPr>
                <w:rFonts w:eastAsia="Times New Roman" w:cs="Times New Roman"/>
                <w:noProof/>
                <w:sz w:val="22"/>
                <w:lang w:eastAsia="lt-LT" w:bidi="lt-LT"/>
              </w:rPr>
              <w:t xml:space="preserve"> savanoriškos veiklos model</w:t>
            </w:r>
            <w:r w:rsidR="004B635A" w:rsidRPr="00B44B19">
              <w:rPr>
                <w:rFonts w:eastAsia="Times New Roman" w:cs="Times New Roman"/>
                <w:noProof/>
                <w:sz w:val="22"/>
                <w:lang w:eastAsia="lt-LT" w:bidi="lt-LT"/>
              </w:rPr>
              <w:t>į.</w:t>
            </w:r>
            <w:r w:rsidRPr="00B44B19">
              <w:rPr>
                <w:rFonts w:eastAsia="Times New Roman" w:cs="Times New Roman"/>
                <w:noProof/>
                <w:sz w:val="22"/>
                <w:lang w:eastAsia="lt-LT" w:bidi="lt-LT"/>
              </w:rPr>
              <w:t xml:space="preserve"> </w:t>
            </w:r>
          </w:p>
        </w:tc>
      </w:tr>
    </w:tbl>
    <w:p w14:paraId="40C6FE99"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17303" w:rsidRPr="00B44B19" w14:paraId="193DDC0A" w14:textId="77777777" w:rsidTr="00417303">
        <w:tc>
          <w:tcPr>
            <w:tcW w:w="9854" w:type="dxa"/>
          </w:tcPr>
          <w:p w14:paraId="2D21FC0A" w14:textId="77777777" w:rsidR="00417303" w:rsidRPr="00B44B19" w:rsidRDefault="00417303" w:rsidP="007D0221">
            <w:pPr>
              <w:spacing w:before="60" w:after="60"/>
              <w:jc w:val="both"/>
              <w:rPr>
                <w:rFonts w:eastAsia="Calibri" w:cs="Times New Roman"/>
                <w:noProof/>
                <w:sz w:val="22"/>
                <w:lang w:eastAsia="lt-LT" w:bidi="lt-LT"/>
              </w:rPr>
            </w:pPr>
            <w:r w:rsidRPr="00B44B19">
              <w:rPr>
                <w:rFonts w:eastAsia="Calibri" w:cs="Times New Roman"/>
                <w:noProof/>
                <w:sz w:val="22"/>
                <w:lang w:eastAsia="lt-LT" w:bidi="lt-LT"/>
              </w:rPr>
              <w:t>Numatytos pirmoji ir antroji veiklos skirtos vyrų ir moterų lygyb</w:t>
            </w:r>
            <w:r w:rsidR="004B635A" w:rsidRPr="00B44B19">
              <w:rPr>
                <w:rFonts w:eastAsia="Calibri" w:cs="Times New Roman"/>
                <w:noProof/>
                <w:sz w:val="22"/>
                <w:lang w:eastAsia="lt-LT" w:bidi="lt-LT"/>
              </w:rPr>
              <w:t>ei,</w:t>
            </w:r>
            <w:r w:rsidRPr="00B44B19">
              <w:rPr>
                <w:rFonts w:eastAsia="Calibri" w:cs="Times New Roman"/>
                <w:noProof/>
                <w:sz w:val="22"/>
                <w:lang w:eastAsia="lt-LT" w:bidi="lt-LT"/>
              </w:rPr>
              <w:t xml:space="preserve"> socialiai pažeidžiamų, socialinę riziką ir atskirtį patiriančių</w:t>
            </w:r>
            <w:r w:rsidRPr="00B44B19" w:rsidDel="00100A43">
              <w:rPr>
                <w:rFonts w:eastAsia="Calibri" w:cs="Times New Roman"/>
                <w:noProof/>
                <w:sz w:val="22"/>
                <w:lang w:eastAsia="lt-LT" w:bidi="lt-LT"/>
              </w:rPr>
              <w:t xml:space="preserve"> </w:t>
            </w:r>
            <w:r w:rsidRPr="00B44B19">
              <w:rPr>
                <w:rFonts w:eastAsia="Calibri" w:cs="Times New Roman"/>
                <w:noProof/>
                <w:sz w:val="22"/>
                <w:lang w:eastAsia="lt-LT" w:bidi="lt-LT"/>
              </w:rPr>
              <w:t>asmenų įtrauk</w:t>
            </w:r>
            <w:r w:rsidR="004B635A" w:rsidRPr="00B44B19">
              <w:rPr>
                <w:rFonts w:eastAsia="Calibri" w:cs="Times New Roman"/>
                <w:noProof/>
                <w:sz w:val="22"/>
                <w:lang w:eastAsia="lt-LT" w:bidi="lt-LT"/>
              </w:rPr>
              <w:t>čiai</w:t>
            </w:r>
            <w:r w:rsidRPr="00B44B19">
              <w:rPr>
                <w:rFonts w:eastAsia="Calibri" w:cs="Times New Roman"/>
                <w:noProof/>
                <w:sz w:val="22"/>
                <w:lang w:eastAsia="lt-LT" w:bidi="lt-LT"/>
              </w:rPr>
              <w:t>, aktyv</w:t>
            </w:r>
            <w:r w:rsidR="004B635A" w:rsidRPr="00B44B19">
              <w:rPr>
                <w:rFonts w:eastAsia="Calibri" w:cs="Times New Roman"/>
                <w:noProof/>
                <w:sz w:val="22"/>
                <w:lang w:eastAsia="lt-LT" w:bidi="lt-LT"/>
              </w:rPr>
              <w:t>iam</w:t>
            </w:r>
            <w:r w:rsidRPr="00B44B19">
              <w:rPr>
                <w:rFonts w:eastAsia="Calibri" w:cs="Times New Roman"/>
                <w:noProof/>
                <w:sz w:val="22"/>
                <w:lang w:eastAsia="lt-LT" w:bidi="lt-LT"/>
              </w:rPr>
              <w:t xml:space="preserve"> dalyvavim</w:t>
            </w:r>
            <w:r w:rsidR="004B635A" w:rsidRPr="00B44B19">
              <w:rPr>
                <w:rFonts w:eastAsia="Calibri" w:cs="Times New Roman"/>
                <w:noProof/>
                <w:sz w:val="22"/>
                <w:lang w:eastAsia="lt-LT" w:bidi="lt-LT"/>
              </w:rPr>
              <w:t>ui</w:t>
            </w:r>
            <w:r w:rsidRPr="00B44B19">
              <w:rPr>
                <w:rFonts w:eastAsia="Calibri" w:cs="Times New Roman"/>
                <w:noProof/>
                <w:sz w:val="22"/>
                <w:lang w:eastAsia="lt-LT" w:bidi="lt-LT"/>
              </w:rPr>
              <w:t xml:space="preserve"> ir lygi</w:t>
            </w:r>
            <w:r w:rsidR="004B635A" w:rsidRPr="00B44B19">
              <w:rPr>
                <w:rFonts w:eastAsia="Calibri" w:cs="Times New Roman"/>
                <w:noProof/>
                <w:sz w:val="22"/>
                <w:lang w:eastAsia="lt-LT" w:bidi="lt-LT"/>
              </w:rPr>
              <w:t>oms</w:t>
            </w:r>
            <w:r w:rsidRPr="00B44B19">
              <w:rPr>
                <w:rFonts w:eastAsia="Calibri" w:cs="Times New Roman"/>
                <w:noProof/>
                <w:sz w:val="22"/>
                <w:lang w:eastAsia="lt-LT" w:bidi="lt-LT"/>
              </w:rPr>
              <w:t xml:space="preserve"> galimyb</w:t>
            </w:r>
            <w:r w:rsidR="004B635A" w:rsidRPr="00B44B19">
              <w:rPr>
                <w:rFonts w:eastAsia="Calibri" w:cs="Times New Roman"/>
                <w:noProof/>
                <w:sz w:val="22"/>
                <w:lang w:eastAsia="lt-LT" w:bidi="lt-LT"/>
              </w:rPr>
              <w:t>ėm</w:t>
            </w:r>
            <w:r w:rsidRPr="00B44B19">
              <w:rPr>
                <w:rFonts w:eastAsia="Calibri" w:cs="Times New Roman"/>
                <w:noProof/>
                <w:sz w:val="22"/>
                <w:lang w:eastAsia="lt-LT" w:bidi="lt-LT"/>
              </w:rPr>
              <w:t>s</w:t>
            </w:r>
            <w:r w:rsidR="004B635A" w:rsidRPr="00B44B19">
              <w:rPr>
                <w:rFonts w:eastAsia="Calibri" w:cs="Times New Roman"/>
                <w:noProof/>
                <w:sz w:val="22"/>
                <w:lang w:eastAsia="lt-LT" w:bidi="lt-LT"/>
              </w:rPr>
              <w:t xml:space="preserve"> skatinti</w:t>
            </w:r>
            <w:r w:rsidRPr="00B44B19">
              <w:rPr>
                <w:rFonts w:eastAsia="Calibri" w:cs="Times New Roman"/>
                <w:noProof/>
                <w:sz w:val="22"/>
                <w:lang w:eastAsia="lt-LT" w:bidi="lt-LT"/>
              </w:rPr>
              <w:t>.</w:t>
            </w:r>
          </w:p>
          <w:p w14:paraId="0BCED7EA" w14:textId="77777777" w:rsidR="00417303" w:rsidRPr="00B44B19" w:rsidRDefault="00417303" w:rsidP="007D0221">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t>Vykdant numatytą ketvirtąją veiklą užtikrinama, kad projekt</w:t>
            </w:r>
            <w:r w:rsidR="0070633A" w:rsidRPr="00B44B19">
              <w:rPr>
                <w:rFonts w:eastAsia="Calibri" w:cs="Times New Roman"/>
                <w:noProof/>
                <w:sz w:val="22"/>
                <w:lang w:eastAsia="lt-LT" w:bidi="lt-LT"/>
              </w:rPr>
              <w:t>ų</w:t>
            </w:r>
            <w:r w:rsidRPr="00B44B19">
              <w:rPr>
                <w:rFonts w:eastAsia="Calibri" w:cs="Times New Roman"/>
                <w:noProof/>
                <w:sz w:val="22"/>
                <w:lang w:eastAsia="lt-LT" w:bidi="lt-LT"/>
              </w:rPr>
              <w:t xml:space="preserve"> veiklos ir rezultatai būtų prieinami </w:t>
            </w:r>
            <w:r w:rsidR="0070633A" w:rsidRPr="00B44B19">
              <w:rPr>
                <w:rFonts w:eastAsia="Calibri" w:cs="Times New Roman"/>
                <w:noProof/>
                <w:sz w:val="22"/>
                <w:lang w:eastAsia="lt-LT" w:bidi="lt-LT"/>
              </w:rPr>
              <w:t xml:space="preserve">įvairių </w:t>
            </w:r>
            <w:r w:rsidRPr="00B44B19">
              <w:rPr>
                <w:rFonts w:eastAsia="Calibri" w:cs="Times New Roman"/>
                <w:noProof/>
                <w:sz w:val="22"/>
                <w:lang w:eastAsia="lt-LT" w:bidi="lt-LT"/>
              </w:rPr>
              <w:t>poreikių turintiems asmenims (pvz.</w:t>
            </w:r>
            <w:r w:rsidR="0070633A" w:rsidRPr="00B44B19">
              <w:rPr>
                <w:rFonts w:eastAsia="Calibri" w:cs="Times New Roman"/>
                <w:noProof/>
                <w:sz w:val="22"/>
                <w:lang w:eastAsia="lt-LT" w:bidi="lt-LT"/>
              </w:rPr>
              <w:t>:</w:t>
            </w:r>
            <w:r w:rsidRPr="00B44B19">
              <w:rPr>
                <w:rFonts w:eastAsia="Calibri" w:cs="Times New Roman"/>
                <w:noProof/>
                <w:sz w:val="22"/>
                <w:lang w:eastAsia="lt-LT" w:bidi="lt-LT"/>
              </w:rPr>
              <w:t xml:space="preserve"> projektų veiklos organizuojamos patalpose, prieinamose judėjimo, regos ar kitą negalią turintiems asmenims; vykdant projektų veiklas prireikus užtikrinamas vertimas į gestų ar kitą kalbą), </w:t>
            </w:r>
            <w:r w:rsidR="0070633A" w:rsidRPr="00B44B19">
              <w:rPr>
                <w:rFonts w:eastAsia="Calibri" w:cs="Times New Roman"/>
                <w:noProof/>
                <w:sz w:val="22"/>
                <w:lang w:eastAsia="lt-LT" w:bidi="lt-LT"/>
              </w:rPr>
              <w:t>kad</w:t>
            </w:r>
            <w:r w:rsidRPr="00B44B19">
              <w:rPr>
                <w:rFonts w:eastAsia="Calibri" w:cs="Times New Roman"/>
                <w:noProof/>
                <w:sz w:val="22"/>
                <w:lang w:eastAsia="lt-LT" w:bidi="lt-LT"/>
              </w:rPr>
              <w:t xml:space="preserve"> į veiklas kartu su tikslinėmis grupėmis </w:t>
            </w:r>
            <w:r w:rsidR="0070633A" w:rsidRPr="00B44B19">
              <w:rPr>
                <w:rFonts w:eastAsia="Calibri" w:cs="Times New Roman"/>
                <w:noProof/>
                <w:sz w:val="22"/>
                <w:lang w:eastAsia="lt-LT" w:bidi="lt-LT"/>
              </w:rPr>
              <w:t xml:space="preserve">būtų </w:t>
            </w:r>
            <w:r w:rsidRPr="00B44B19">
              <w:rPr>
                <w:rFonts w:eastAsia="Calibri" w:cs="Times New Roman"/>
                <w:noProof/>
                <w:sz w:val="22"/>
                <w:lang w:eastAsia="lt-LT" w:bidi="lt-LT"/>
              </w:rPr>
              <w:t xml:space="preserve">įtraukti ir </w:t>
            </w:r>
            <w:r w:rsidR="0070633A" w:rsidRPr="00B44B19">
              <w:rPr>
                <w:rFonts w:eastAsia="Calibri" w:cs="Times New Roman"/>
                <w:noProof/>
                <w:sz w:val="22"/>
                <w:lang w:eastAsia="lt-LT" w:bidi="lt-LT"/>
              </w:rPr>
              <w:t xml:space="preserve">kiti </w:t>
            </w:r>
            <w:r w:rsidRPr="00B44B19">
              <w:rPr>
                <w:rFonts w:eastAsia="Calibri" w:cs="Times New Roman"/>
                <w:noProof/>
                <w:sz w:val="22"/>
                <w:lang w:eastAsia="lt-LT" w:bidi="lt-LT"/>
              </w:rPr>
              <w:t>bendruomenės nari</w:t>
            </w:r>
            <w:r w:rsidR="0070633A" w:rsidRPr="00B44B19">
              <w:rPr>
                <w:rFonts w:eastAsia="Calibri" w:cs="Times New Roman"/>
                <w:noProof/>
                <w:sz w:val="22"/>
                <w:lang w:eastAsia="lt-LT" w:bidi="lt-LT"/>
              </w:rPr>
              <w:t>ai</w:t>
            </w:r>
            <w:r w:rsidRPr="00B44B19">
              <w:rPr>
                <w:rFonts w:eastAsia="Calibri" w:cs="Times New Roman"/>
                <w:noProof/>
                <w:sz w:val="22"/>
                <w:lang w:eastAsia="lt-LT" w:bidi="lt-LT"/>
              </w:rPr>
              <w:t xml:space="preserve">, taip mažinant tikslinių grupių stigmatizavimą ir sudarant </w:t>
            </w:r>
            <w:r w:rsidR="0070633A" w:rsidRPr="00B44B19">
              <w:rPr>
                <w:rFonts w:eastAsia="Calibri" w:cs="Times New Roman"/>
                <w:noProof/>
                <w:sz w:val="22"/>
                <w:lang w:eastAsia="lt-LT" w:bidi="lt-LT"/>
              </w:rPr>
              <w:t>sąlygas</w:t>
            </w:r>
            <w:r w:rsidRPr="00B44B19">
              <w:rPr>
                <w:rFonts w:eastAsia="Calibri" w:cs="Times New Roman"/>
                <w:noProof/>
                <w:sz w:val="22"/>
                <w:lang w:eastAsia="lt-LT" w:bidi="lt-LT"/>
              </w:rPr>
              <w:t xml:space="preserve"> tikslinių grupių </w:t>
            </w:r>
            <w:r w:rsidR="0070633A" w:rsidRPr="00B44B19">
              <w:rPr>
                <w:rFonts w:eastAsia="Calibri" w:cs="Times New Roman"/>
                <w:noProof/>
                <w:sz w:val="22"/>
                <w:lang w:eastAsia="lt-LT" w:bidi="lt-LT"/>
              </w:rPr>
              <w:t xml:space="preserve">asmenims </w:t>
            </w:r>
            <w:r w:rsidRPr="00B44B19">
              <w:rPr>
                <w:rFonts w:eastAsia="Calibri" w:cs="Times New Roman"/>
                <w:noProof/>
                <w:sz w:val="22"/>
                <w:lang w:eastAsia="lt-LT" w:bidi="lt-LT"/>
              </w:rPr>
              <w:t>užmegzti draugiškus ryšius su bendruomenės nariais.</w:t>
            </w:r>
          </w:p>
        </w:tc>
      </w:tr>
    </w:tbl>
    <w:p w14:paraId="752F2FAA" w14:textId="77777777" w:rsidR="00EF291A" w:rsidRPr="00B44B19" w:rsidRDefault="00EF291A" w:rsidP="00783D09">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17303" w:rsidRPr="00B44B19" w14:paraId="3D5ED3D4" w14:textId="77777777" w:rsidTr="00417303">
        <w:tc>
          <w:tcPr>
            <w:tcW w:w="9854" w:type="dxa"/>
          </w:tcPr>
          <w:p w14:paraId="2E448A44" w14:textId="77777777" w:rsidR="00417303" w:rsidRPr="00B44B19" w:rsidRDefault="00417303" w:rsidP="007D0221">
            <w:pPr>
              <w:spacing w:before="60" w:after="60"/>
              <w:jc w:val="both"/>
              <w:rPr>
                <w:rFonts w:cs="Times New Roman"/>
                <w:bCs/>
                <w:color w:val="000000"/>
                <w:sz w:val="22"/>
              </w:rPr>
            </w:pPr>
            <w:r w:rsidRPr="00B44B19">
              <w:rPr>
                <w:rFonts w:eastAsia="Times New Roman" w:cs="Times New Roman"/>
                <w:noProof/>
                <w:sz w:val="22"/>
              </w:rPr>
              <w:t xml:space="preserve">VVL regionas, </w:t>
            </w:r>
            <w:r w:rsidRPr="00B44B19">
              <w:rPr>
                <w:rFonts w:eastAsia="Calibri" w:cs="Times New Roman"/>
                <w:sz w:val="22"/>
              </w:rPr>
              <w:t>Sostinės regionas</w:t>
            </w:r>
            <w:r w:rsidR="00E91DC4" w:rsidRPr="00B44B19">
              <w:rPr>
                <w:rFonts w:eastAsia="Calibri" w:cs="Times New Roman"/>
                <w:sz w:val="22"/>
              </w:rPr>
              <w:t>.</w:t>
            </w:r>
          </w:p>
          <w:p w14:paraId="16790FC6" w14:textId="77777777" w:rsidR="00417303" w:rsidRPr="00B44B19" w:rsidRDefault="00DC7B9B" w:rsidP="007D0221">
            <w:pPr>
              <w:spacing w:before="60" w:after="60"/>
              <w:jc w:val="both"/>
              <w:rPr>
                <w:rFonts w:eastAsia="Calibri" w:cs="Times New Roman"/>
                <w:noProof/>
                <w:sz w:val="22"/>
                <w:lang w:eastAsia="lt-LT" w:bidi="lt-LT"/>
              </w:rPr>
            </w:pPr>
            <w:r w:rsidRPr="00B44B19">
              <w:rPr>
                <w:rFonts w:eastAsia="Calibri" w:cs="Times New Roman"/>
                <w:noProof/>
                <w:sz w:val="22"/>
                <w:lang w:eastAsia="lt-LT" w:bidi="lt-LT"/>
              </w:rPr>
              <w:t>Šio</w:t>
            </w:r>
            <w:r w:rsidR="0070633A" w:rsidRPr="00B44B19">
              <w:rPr>
                <w:rFonts w:eastAsia="Calibri" w:cs="Times New Roman"/>
                <w:noProof/>
                <w:sz w:val="22"/>
                <w:lang w:eastAsia="lt-LT" w:bidi="lt-LT"/>
              </w:rPr>
              <w:t>s</w:t>
            </w:r>
            <w:r w:rsidRPr="00B44B19">
              <w:rPr>
                <w:rFonts w:eastAsia="Calibri" w:cs="Times New Roman"/>
                <w:noProof/>
                <w:sz w:val="22"/>
                <w:lang w:eastAsia="lt-LT" w:bidi="lt-LT"/>
              </w:rPr>
              <w:t xml:space="preserve"> veiklos, susijusios su BIVP, bus įgyvendinamos taikant integruoto teritorijų vystymo metodo BIVP formą tikslinėse teritorijose: miestuose, kurie yra savivaldybių centrai ir (arba) kuriuose gyvena daugiau nei 6 tūkst. gyventojų, ir </w:t>
            </w:r>
            <w:r w:rsidR="0070633A" w:rsidRPr="00B44B19">
              <w:rPr>
                <w:rFonts w:eastAsia="Calibri" w:cs="Times New Roman"/>
                <w:noProof/>
                <w:sz w:val="22"/>
                <w:lang w:eastAsia="lt-LT" w:bidi="lt-LT"/>
              </w:rPr>
              <w:t xml:space="preserve">anksčiau </w:t>
            </w:r>
            <w:r w:rsidRPr="00B44B19">
              <w:rPr>
                <w:rFonts w:eastAsia="Calibri" w:cs="Times New Roman"/>
                <w:noProof/>
                <w:sz w:val="22"/>
                <w:lang w:eastAsia="lt-LT" w:bidi="lt-LT"/>
              </w:rPr>
              <w:t xml:space="preserve">nurodytų miestų apylinkėse. Socialinės rizikos ir pažeidžiamų grupių </w:t>
            </w:r>
            <w:r w:rsidRPr="00B44B19">
              <w:rPr>
                <w:rFonts w:eastAsia="Calibri" w:cs="Times New Roman"/>
                <w:noProof/>
                <w:sz w:val="22"/>
                <w:lang w:eastAsia="lt-LT" w:bidi="lt-LT"/>
              </w:rPr>
              <w:lastRenderedPageBreak/>
              <w:t>atskirties problemos yra aktualios tiek VVL, tiek Sostinės regione, todėl veikla, skirta BIVP metod</w:t>
            </w:r>
            <w:r w:rsidR="00AA3921" w:rsidRPr="00B44B19">
              <w:rPr>
                <w:rFonts w:eastAsia="Calibri" w:cs="Times New Roman"/>
                <w:noProof/>
                <w:sz w:val="22"/>
                <w:lang w:eastAsia="lt-LT" w:bidi="lt-LT"/>
              </w:rPr>
              <w:t>ui</w:t>
            </w:r>
            <w:r w:rsidRPr="00B44B19">
              <w:rPr>
                <w:rFonts w:eastAsia="Calibri" w:cs="Times New Roman"/>
                <w:noProof/>
                <w:sz w:val="22"/>
                <w:lang w:eastAsia="lt-LT" w:bidi="lt-LT"/>
              </w:rPr>
              <w:t xml:space="preserve"> taiky</w:t>
            </w:r>
            <w:r w:rsidR="00AA3921" w:rsidRPr="00B44B19">
              <w:rPr>
                <w:rFonts w:eastAsia="Calibri" w:cs="Times New Roman"/>
                <w:noProof/>
                <w:sz w:val="22"/>
                <w:lang w:eastAsia="lt-LT" w:bidi="lt-LT"/>
              </w:rPr>
              <w:t>ti</w:t>
            </w:r>
            <w:r w:rsidRPr="00B44B19">
              <w:rPr>
                <w:rFonts w:eastAsia="Calibri" w:cs="Times New Roman"/>
                <w:noProof/>
                <w:sz w:val="22"/>
                <w:lang w:eastAsia="lt-LT" w:bidi="lt-LT"/>
              </w:rPr>
              <w:t>, bus įgyvendinama abiejuose regionuose.</w:t>
            </w:r>
          </w:p>
        </w:tc>
      </w:tr>
    </w:tbl>
    <w:p w14:paraId="79F14EFE"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417303" w:rsidRPr="00B44B19" w14:paraId="27CA8B7C" w14:textId="77777777" w:rsidTr="00417303">
        <w:tc>
          <w:tcPr>
            <w:tcW w:w="9854" w:type="dxa"/>
          </w:tcPr>
          <w:p w14:paraId="39706474" w14:textId="77777777" w:rsidR="00417303" w:rsidRPr="00B44B19" w:rsidRDefault="00417303" w:rsidP="007D0221">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t xml:space="preserve">Siekiant ETBT programų ir </w:t>
            </w:r>
            <w:r w:rsidR="0070633A" w:rsidRPr="00B44B19">
              <w:rPr>
                <w:rFonts w:eastAsia="Calibri" w:cs="Times New Roman"/>
                <w:noProof/>
                <w:sz w:val="22"/>
                <w:lang w:eastAsia="lt-LT" w:bidi="lt-LT"/>
              </w:rPr>
              <w:t xml:space="preserve">ketvirtosios </w:t>
            </w:r>
            <w:r w:rsidRPr="00B44B19">
              <w:rPr>
                <w:rFonts w:eastAsia="Calibri" w:cs="Times New Roman"/>
                <w:noProof/>
                <w:sz w:val="22"/>
                <w:lang w:eastAsia="lt-LT" w:bidi="lt-LT"/>
              </w:rPr>
              <w:t xml:space="preserve">veiklos sinergijos, šalies pasienyje veikiančios VVG </w:t>
            </w:r>
            <w:r w:rsidR="0070633A" w:rsidRPr="00B44B19">
              <w:rPr>
                <w:rFonts w:eastAsia="Calibri" w:cs="Times New Roman"/>
                <w:noProof/>
                <w:sz w:val="22"/>
                <w:lang w:eastAsia="lt-LT" w:bidi="lt-LT"/>
              </w:rPr>
              <w:t xml:space="preserve">bus skatinamos, </w:t>
            </w:r>
            <w:r w:rsidRPr="00B44B19">
              <w:rPr>
                <w:rFonts w:eastAsia="Calibri" w:cs="Times New Roman"/>
                <w:noProof/>
                <w:sz w:val="22"/>
                <w:lang w:eastAsia="lt-LT" w:bidi="lt-LT"/>
              </w:rPr>
              <w:t>rengiant vietos plėtros strategijas įvertinti veiksmus, planuojamus remti pagal ETBT programas.</w:t>
            </w:r>
          </w:p>
        </w:tc>
      </w:tr>
    </w:tbl>
    <w:p w14:paraId="2055E99E"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417303" w:rsidRPr="00B44B19" w14:paraId="079C5757" w14:textId="77777777" w:rsidTr="00417303">
        <w:tc>
          <w:tcPr>
            <w:tcW w:w="9854" w:type="dxa"/>
          </w:tcPr>
          <w:p w14:paraId="1AF01683" w14:textId="77777777" w:rsidR="00417303" w:rsidRPr="00B44B19" w:rsidRDefault="0070633A" w:rsidP="007D0221">
            <w:pPr>
              <w:spacing w:before="60" w:after="60"/>
              <w:jc w:val="both"/>
              <w:rPr>
                <w:rFonts w:cs="Times New Roman"/>
                <w:b/>
                <w:i/>
                <w:szCs w:val="24"/>
              </w:rPr>
            </w:pPr>
            <w:r w:rsidRPr="00B44B19">
              <w:rPr>
                <w:rFonts w:eastAsia="Times New Roman" w:cs="Times New Roman"/>
                <w:noProof/>
                <w:sz w:val="22"/>
                <w:lang w:eastAsia="lt-LT" w:bidi="lt-LT"/>
              </w:rPr>
              <w:t>–</w:t>
            </w:r>
          </w:p>
        </w:tc>
      </w:tr>
    </w:tbl>
    <w:p w14:paraId="13CF5D7B" w14:textId="77777777" w:rsidR="00D56FF3" w:rsidRPr="00B44B19" w:rsidRDefault="002B441C" w:rsidP="00783D09">
      <w:pPr>
        <w:pStyle w:val="Stilius1"/>
        <w:rPr>
          <w:rFonts w:eastAsia="Calibri" w:cs="Times New Roman"/>
          <w:noProof/>
          <w:szCs w:val="20"/>
          <w:lang w:eastAsia="lt-LT" w:bidi="lt-LT"/>
        </w:rPr>
      </w:pPr>
      <w:r w:rsidRPr="00B44B19">
        <w:rPr>
          <w:rFonts w:cs="Times New Roman"/>
        </w:rPr>
        <w:t>Rodikliai</w:t>
      </w:r>
    </w:p>
    <w:p w14:paraId="1541E5FE" w14:textId="77777777" w:rsidR="002B441C" w:rsidRPr="00B44B19" w:rsidRDefault="002B441C" w:rsidP="00D56FF3">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68"/>
        <w:gridCol w:w="828"/>
        <w:gridCol w:w="968"/>
        <w:gridCol w:w="1245"/>
        <w:gridCol w:w="1660"/>
        <w:gridCol w:w="988"/>
        <w:gridCol w:w="968"/>
        <w:gridCol w:w="894"/>
      </w:tblGrid>
      <w:tr w:rsidR="00A2580C" w:rsidRPr="00B44B19" w14:paraId="73AC161E" w14:textId="77777777" w:rsidTr="00A2580C">
        <w:trPr>
          <w:trHeight w:val="759"/>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20FE7E"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Prioritetas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CFEA9C"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683D6A"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08BDB7"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62BD6B"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98497"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Rodiklis</w:t>
            </w:r>
          </w:p>
        </w:tc>
        <w:tc>
          <w:tcPr>
            <w:tcW w:w="51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308313"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21513D"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3642C4"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Siek</w:t>
            </w:r>
            <w:r w:rsidR="009C612E" w:rsidRPr="00B44B19">
              <w:rPr>
                <w:rFonts w:cs="Times New Roman"/>
                <w:b/>
                <w:noProof/>
                <w:sz w:val="16"/>
                <w:szCs w:val="16"/>
              </w:rPr>
              <w:t>tina reikšmė</w:t>
            </w:r>
            <w:r w:rsidRPr="00B44B19">
              <w:rPr>
                <w:rFonts w:cs="Times New Roman"/>
                <w:b/>
                <w:noProof/>
                <w:sz w:val="16"/>
                <w:szCs w:val="16"/>
              </w:rPr>
              <w:t>(2029 m.)</w:t>
            </w:r>
          </w:p>
        </w:tc>
      </w:tr>
      <w:tr w:rsidR="00A2580C" w:rsidRPr="00B44B19" w14:paraId="52D376FA" w14:textId="77777777" w:rsidTr="00A2580C">
        <w:trPr>
          <w:trHeight w:val="332"/>
        </w:trPr>
        <w:tc>
          <w:tcPr>
            <w:tcW w:w="566" w:type="pct"/>
            <w:vMerge w:val="restart"/>
            <w:tcBorders>
              <w:top w:val="single" w:sz="12" w:space="0" w:color="auto"/>
            </w:tcBorders>
          </w:tcPr>
          <w:p w14:paraId="2BD97097"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 Socialiai atsakingesnė Lietuva</w:t>
            </w:r>
          </w:p>
        </w:tc>
        <w:tc>
          <w:tcPr>
            <w:tcW w:w="504" w:type="pct"/>
            <w:vMerge w:val="restart"/>
            <w:tcBorders>
              <w:top w:val="single" w:sz="12" w:space="0" w:color="auto"/>
            </w:tcBorders>
          </w:tcPr>
          <w:p w14:paraId="4FC115B7"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4.7</w:t>
            </w:r>
          </w:p>
        </w:tc>
        <w:tc>
          <w:tcPr>
            <w:tcW w:w="431" w:type="pct"/>
            <w:vMerge w:val="restart"/>
            <w:tcBorders>
              <w:top w:val="single" w:sz="12" w:space="0" w:color="auto"/>
            </w:tcBorders>
          </w:tcPr>
          <w:p w14:paraId="3D6AE48C"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ESF+</w:t>
            </w:r>
          </w:p>
        </w:tc>
        <w:tc>
          <w:tcPr>
            <w:tcW w:w="504" w:type="pct"/>
            <w:tcBorders>
              <w:top w:val="single" w:sz="12" w:space="0" w:color="auto"/>
            </w:tcBorders>
          </w:tcPr>
          <w:p w14:paraId="48CEAB3F"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Sostinės regionas</w:t>
            </w:r>
          </w:p>
        </w:tc>
        <w:tc>
          <w:tcPr>
            <w:tcW w:w="648" w:type="pct"/>
            <w:tcBorders>
              <w:top w:val="single" w:sz="12" w:space="0" w:color="auto"/>
            </w:tcBorders>
          </w:tcPr>
          <w:p w14:paraId="3B8C684D"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Borders>
              <w:top w:val="single" w:sz="12" w:space="0" w:color="auto"/>
            </w:tcBorders>
          </w:tcPr>
          <w:p w14:paraId="148A38B4" w14:textId="77777777" w:rsidR="00A2580C" w:rsidRPr="00B44B19" w:rsidRDefault="00A2580C" w:rsidP="00A2580C">
            <w:pPr>
              <w:spacing w:after="0" w:line="240" w:lineRule="auto"/>
              <w:rPr>
                <w:rFonts w:eastAsia="Calibri" w:cs="Times New Roman"/>
                <w:noProof/>
                <w:sz w:val="16"/>
                <w:szCs w:val="16"/>
                <w:lang w:eastAsia="lt-LT" w:bidi="lt-LT"/>
              </w:rPr>
            </w:pPr>
            <w:r w:rsidRPr="00B44B19">
              <w:rPr>
                <w:rFonts w:eastAsia="Calibri" w:cs="Times New Roman"/>
                <w:sz w:val="16"/>
                <w:szCs w:val="16"/>
                <w:lang w:eastAsia="lt-LT" w:bidi="lt-LT"/>
              </w:rPr>
              <w:t>Socialiai pažeidžiami, socialinę riziką (atskirtį) patiriantys asmenys</w:t>
            </w:r>
          </w:p>
        </w:tc>
        <w:tc>
          <w:tcPr>
            <w:tcW w:w="514" w:type="pct"/>
            <w:tcBorders>
              <w:top w:val="single" w:sz="12" w:space="0" w:color="auto"/>
            </w:tcBorders>
          </w:tcPr>
          <w:p w14:paraId="15AE05FE" w14:textId="77777777" w:rsidR="00A2580C" w:rsidRPr="00B44B19" w:rsidRDefault="00A2580C" w:rsidP="00A2580C">
            <w:pPr>
              <w:spacing w:after="0" w:line="240" w:lineRule="auto"/>
              <w:rPr>
                <w:rFonts w:cs="Times New Roman"/>
                <w:i/>
                <w:noProof/>
                <w:sz w:val="16"/>
                <w:szCs w:val="16"/>
              </w:rPr>
            </w:pPr>
            <w:r w:rsidRPr="00B44B19">
              <w:rPr>
                <w:rFonts w:cs="Times New Roman"/>
                <w:noProof/>
                <w:sz w:val="16"/>
                <w:szCs w:val="16"/>
              </w:rPr>
              <w:t>Asmenys</w:t>
            </w:r>
          </w:p>
        </w:tc>
        <w:tc>
          <w:tcPr>
            <w:tcW w:w="504" w:type="pct"/>
            <w:tcBorders>
              <w:top w:val="single" w:sz="12" w:space="0" w:color="auto"/>
            </w:tcBorders>
          </w:tcPr>
          <w:p w14:paraId="5028A861" w14:textId="77777777" w:rsidR="00A2580C" w:rsidRPr="00B44B19" w:rsidRDefault="00803200" w:rsidP="00A2580C">
            <w:pPr>
              <w:spacing w:after="0" w:line="240" w:lineRule="auto"/>
              <w:jc w:val="center"/>
              <w:rPr>
                <w:rFonts w:cs="Times New Roman"/>
                <w:noProof/>
                <w:sz w:val="16"/>
                <w:szCs w:val="16"/>
              </w:rPr>
            </w:pPr>
            <w:r w:rsidRPr="00B44B19">
              <w:rPr>
                <w:rFonts w:cs="Times New Roman"/>
                <w:noProof/>
                <w:sz w:val="16"/>
                <w:szCs w:val="16"/>
              </w:rPr>
              <w:t>725</w:t>
            </w:r>
          </w:p>
        </w:tc>
        <w:tc>
          <w:tcPr>
            <w:tcW w:w="465" w:type="pct"/>
            <w:tcBorders>
              <w:top w:val="single" w:sz="12" w:space="0" w:color="auto"/>
            </w:tcBorders>
          </w:tcPr>
          <w:p w14:paraId="42D0798A" w14:textId="77777777" w:rsidR="00A2580C" w:rsidRPr="00B44B19" w:rsidRDefault="00803200" w:rsidP="00A2580C">
            <w:pPr>
              <w:spacing w:after="0" w:line="240" w:lineRule="auto"/>
              <w:jc w:val="center"/>
              <w:rPr>
                <w:rFonts w:cs="Times New Roman"/>
                <w:noProof/>
                <w:sz w:val="16"/>
                <w:szCs w:val="16"/>
              </w:rPr>
            </w:pPr>
            <w:r w:rsidRPr="00B44B19">
              <w:rPr>
                <w:rFonts w:cs="Times New Roman"/>
                <w:noProof/>
                <w:sz w:val="16"/>
                <w:szCs w:val="16"/>
              </w:rPr>
              <w:t>3 627</w:t>
            </w:r>
          </w:p>
        </w:tc>
      </w:tr>
      <w:tr w:rsidR="00A2580C" w:rsidRPr="00B44B19" w14:paraId="07CE17A1" w14:textId="77777777" w:rsidTr="00A2580C">
        <w:trPr>
          <w:trHeight w:val="332"/>
        </w:trPr>
        <w:tc>
          <w:tcPr>
            <w:tcW w:w="566" w:type="pct"/>
            <w:vMerge/>
          </w:tcPr>
          <w:p w14:paraId="1588387A" w14:textId="77777777" w:rsidR="00A2580C" w:rsidRPr="00B44B19" w:rsidRDefault="00A2580C" w:rsidP="00A2580C">
            <w:pPr>
              <w:spacing w:after="0" w:line="240" w:lineRule="auto"/>
              <w:jc w:val="both"/>
              <w:rPr>
                <w:rFonts w:cs="Times New Roman"/>
                <w:noProof/>
                <w:sz w:val="16"/>
                <w:szCs w:val="16"/>
              </w:rPr>
            </w:pPr>
          </w:p>
        </w:tc>
        <w:tc>
          <w:tcPr>
            <w:tcW w:w="504" w:type="pct"/>
            <w:vMerge/>
          </w:tcPr>
          <w:p w14:paraId="25EB6A20" w14:textId="77777777" w:rsidR="00A2580C" w:rsidRPr="00B44B19" w:rsidRDefault="00A2580C" w:rsidP="00A2580C">
            <w:pPr>
              <w:spacing w:after="0" w:line="240" w:lineRule="auto"/>
              <w:jc w:val="both"/>
              <w:rPr>
                <w:rFonts w:cs="Times New Roman"/>
                <w:noProof/>
                <w:sz w:val="16"/>
                <w:szCs w:val="16"/>
              </w:rPr>
            </w:pPr>
          </w:p>
        </w:tc>
        <w:tc>
          <w:tcPr>
            <w:tcW w:w="431" w:type="pct"/>
            <w:vMerge/>
          </w:tcPr>
          <w:p w14:paraId="5353243E" w14:textId="77777777" w:rsidR="00A2580C" w:rsidRPr="00B44B19" w:rsidRDefault="00A2580C" w:rsidP="00A2580C">
            <w:pPr>
              <w:spacing w:after="0" w:line="240" w:lineRule="auto"/>
              <w:jc w:val="both"/>
              <w:rPr>
                <w:rFonts w:cs="Times New Roman"/>
                <w:noProof/>
                <w:sz w:val="16"/>
                <w:szCs w:val="16"/>
              </w:rPr>
            </w:pPr>
          </w:p>
        </w:tc>
        <w:tc>
          <w:tcPr>
            <w:tcW w:w="504" w:type="pct"/>
          </w:tcPr>
          <w:p w14:paraId="37A23777"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 xml:space="preserve">VVL regionas </w:t>
            </w:r>
          </w:p>
        </w:tc>
        <w:tc>
          <w:tcPr>
            <w:tcW w:w="648" w:type="pct"/>
          </w:tcPr>
          <w:p w14:paraId="65369B02"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7AE58034"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Socialiai pažeidžiami, socialinę riziką (atskirtį) patiriantys asmenys</w:t>
            </w:r>
          </w:p>
        </w:tc>
        <w:tc>
          <w:tcPr>
            <w:tcW w:w="514" w:type="pct"/>
          </w:tcPr>
          <w:p w14:paraId="51743AFC"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Asmenys</w:t>
            </w:r>
          </w:p>
        </w:tc>
        <w:tc>
          <w:tcPr>
            <w:tcW w:w="504" w:type="pct"/>
          </w:tcPr>
          <w:p w14:paraId="7307A531" w14:textId="77777777" w:rsidR="00A2580C" w:rsidRPr="00B44B19" w:rsidRDefault="00C03D01" w:rsidP="00A2580C">
            <w:pPr>
              <w:spacing w:after="0" w:line="240" w:lineRule="auto"/>
              <w:jc w:val="center"/>
              <w:rPr>
                <w:rFonts w:cs="Times New Roman"/>
                <w:noProof/>
                <w:sz w:val="16"/>
                <w:szCs w:val="16"/>
              </w:rPr>
            </w:pPr>
            <w:r w:rsidRPr="00B44B19">
              <w:rPr>
                <w:rFonts w:cs="Times New Roman"/>
                <w:noProof/>
                <w:sz w:val="16"/>
                <w:szCs w:val="16"/>
              </w:rPr>
              <w:t>2 542</w:t>
            </w:r>
          </w:p>
        </w:tc>
        <w:tc>
          <w:tcPr>
            <w:tcW w:w="465" w:type="pct"/>
          </w:tcPr>
          <w:p w14:paraId="07594C3B" w14:textId="77777777" w:rsidR="00A2580C" w:rsidRPr="00B44B19" w:rsidRDefault="00BB4593" w:rsidP="00A2580C">
            <w:pPr>
              <w:spacing w:after="0" w:line="240" w:lineRule="auto"/>
              <w:jc w:val="center"/>
              <w:rPr>
                <w:rFonts w:cs="Times New Roman"/>
                <w:noProof/>
                <w:sz w:val="16"/>
                <w:szCs w:val="16"/>
              </w:rPr>
            </w:pPr>
            <w:r w:rsidRPr="00B44B19">
              <w:rPr>
                <w:rFonts w:cs="Times New Roman"/>
                <w:noProof/>
                <w:sz w:val="16"/>
                <w:szCs w:val="16"/>
              </w:rPr>
              <w:t>12 709</w:t>
            </w:r>
          </w:p>
        </w:tc>
      </w:tr>
      <w:tr w:rsidR="00A2580C" w:rsidRPr="00B44B19" w14:paraId="2B8D7E27" w14:textId="77777777" w:rsidTr="00A2580C">
        <w:trPr>
          <w:trHeight w:val="332"/>
        </w:trPr>
        <w:tc>
          <w:tcPr>
            <w:tcW w:w="566" w:type="pct"/>
            <w:vMerge/>
          </w:tcPr>
          <w:p w14:paraId="086D24B4" w14:textId="77777777" w:rsidR="00A2580C" w:rsidRPr="00B44B19" w:rsidRDefault="00A2580C" w:rsidP="00A2580C">
            <w:pPr>
              <w:spacing w:after="0" w:line="240" w:lineRule="auto"/>
              <w:jc w:val="both"/>
              <w:rPr>
                <w:rFonts w:cs="Times New Roman"/>
                <w:noProof/>
                <w:sz w:val="16"/>
                <w:szCs w:val="16"/>
              </w:rPr>
            </w:pPr>
          </w:p>
        </w:tc>
        <w:tc>
          <w:tcPr>
            <w:tcW w:w="504" w:type="pct"/>
            <w:vMerge/>
          </w:tcPr>
          <w:p w14:paraId="5E25BD1E" w14:textId="77777777" w:rsidR="00A2580C" w:rsidRPr="00B44B19" w:rsidRDefault="00A2580C" w:rsidP="00A2580C">
            <w:pPr>
              <w:spacing w:after="0" w:line="240" w:lineRule="auto"/>
              <w:jc w:val="both"/>
              <w:rPr>
                <w:rFonts w:cs="Times New Roman"/>
                <w:noProof/>
                <w:sz w:val="16"/>
                <w:szCs w:val="16"/>
              </w:rPr>
            </w:pPr>
          </w:p>
        </w:tc>
        <w:tc>
          <w:tcPr>
            <w:tcW w:w="431" w:type="pct"/>
            <w:vMerge/>
          </w:tcPr>
          <w:p w14:paraId="68D51CC9" w14:textId="77777777" w:rsidR="00A2580C" w:rsidRPr="00B44B19" w:rsidRDefault="00A2580C" w:rsidP="00A2580C">
            <w:pPr>
              <w:spacing w:after="0" w:line="240" w:lineRule="auto"/>
              <w:jc w:val="both"/>
              <w:rPr>
                <w:rFonts w:cs="Times New Roman"/>
                <w:noProof/>
                <w:sz w:val="16"/>
                <w:szCs w:val="16"/>
              </w:rPr>
            </w:pPr>
          </w:p>
        </w:tc>
        <w:tc>
          <w:tcPr>
            <w:tcW w:w="504" w:type="pct"/>
          </w:tcPr>
          <w:p w14:paraId="52BE32A5"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Sostinės regionas</w:t>
            </w:r>
          </w:p>
        </w:tc>
        <w:tc>
          <w:tcPr>
            <w:tcW w:w="648" w:type="pct"/>
          </w:tcPr>
          <w:p w14:paraId="65A9C5CC"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3D16057E"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Įgyvendintos informacinės kampanijos, skirtos skatinti moterų ir vyrų lygybę bei gerinti apsaugą nuo smurto artimoje aplinkoje</w:t>
            </w:r>
          </w:p>
        </w:tc>
        <w:tc>
          <w:tcPr>
            <w:tcW w:w="514" w:type="pct"/>
          </w:tcPr>
          <w:p w14:paraId="10DD7936" w14:textId="77777777" w:rsidR="00A2580C" w:rsidRPr="00B44B19" w:rsidRDefault="00C54CAD"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Pr>
          <w:p w14:paraId="1B7FB634"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465" w:type="pct"/>
          </w:tcPr>
          <w:p w14:paraId="0D7DBB77"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w:t>
            </w:r>
          </w:p>
        </w:tc>
      </w:tr>
      <w:tr w:rsidR="00A2580C" w:rsidRPr="00B44B19" w14:paraId="7FDE4C56" w14:textId="77777777" w:rsidTr="00A2580C">
        <w:trPr>
          <w:trHeight w:val="332"/>
        </w:trPr>
        <w:tc>
          <w:tcPr>
            <w:tcW w:w="566" w:type="pct"/>
            <w:vMerge/>
          </w:tcPr>
          <w:p w14:paraId="6E2D614D" w14:textId="77777777" w:rsidR="00A2580C" w:rsidRPr="00B44B19" w:rsidRDefault="00A2580C" w:rsidP="00A2580C">
            <w:pPr>
              <w:spacing w:after="0" w:line="240" w:lineRule="auto"/>
              <w:jc w:val="both"/>
              <w:rPr>
                <w:rFonts w:cs="Times New Roman"/>
                <w:noProof/>
                <w:sz w:val="16"/>
                <w:szCs w:val="16"/>
              </w:rPr>
            </w:pPr>
          </w:p>
        </w:tc>
        <w:tc>
          <w:tcPr>
            <w:tcW w:w="504" w:type="pct"/>
            <w:vMerge/>
          </w:tcPr>
          <w:p w14:paraId="5DFABD95" w14:textId="77777777" w:rsidR="00A2580C" w:rsidRPr="00B44B19" w:rsidRDefault="00A2580C" w:rsidP="00A2580C">
            <w:pPr>
              <w:spacing w:after="0" w:line="240" w:lineRule="auto"/>
              <w:jc w:val="both"/>
              <w:rPr>
                <w:rFonts w:cs="Times New Roman"/>
                <w:noProof/>
                <w:sz w:val="16"/>
                <w:szCs w:val="16"/>
              </w:rPr>
            </w:pPr>
          </w:p>
        </w:tc>
        <w:tc>
          <w:tcPr>
            <w:tcW w:w="431" w:type="pct"/>
            <w:vMerge/>
          </w:tcPr>
          <w:p w14:paraId="7747EBA5" w14:textId="77777777" w:rsidR="00A2580C" w:rsidRPr="00B44B19" w:rsidRDefault="00A2580C" w:rsidP="00A2580C">
            <w:pPr>
              <w:spacing w:after="0" w:line="240" w:lineRule="auto"/>
              <w:jc w:val="both"/>
              <w:rPr>
                <w:rFonts w:cs="Times New Roman"/>
                <w:noProof/>
                <w:sz w:val="16"/>
                <w:szCs w:val="16"/>
              </w:rPr>
            </w:pPr>
          </w:p>
        </w:tc>
        <w:tc>
          <w:tcPr>
            <w:tcW w:w="504" w:type="pct"/>
          </w:tcPr>
          <w:p w14:paraId="1D281613"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VVL regionas</w:t>
            </w:r>
          </w:p>
        </w:tc>
        <w:tc>
          <w:tcPr>
            <w:tcW w:w="648" w:type="pct"/>
          </w:tcPr>
          <w:p w14:paraId="25E39791"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273A6627"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Įgyvendintos informacinės kampanijos, skirtos skatinti moterų ir vyrų lygybę bei gerinti apsaugą nuo smurto artimoje aplinkoje</w:t>
            </w:r>
          </w:p>
        </w:tc>
        <w:tc>
          <w:tcPr>
            <w:tcW w:w="514" w:type="pct"/>
          </w:tcPr>
          <w:p w14:paraId="066D9CCB" w14:textId="77777777" w:rsidR="00A2580C" w:rsidRPr="00B44B19" w:rsidRDefault="00C54CAD"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Pr>
          <w:p w14:paraId="3624DB2F"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465" w:type="pct"/>
          </w:tcPr>
          <w:p w14:paraId="3EF95FD5"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3</w:t>
            </w:r>
          </w:p>
        </w:tc>
      </w:tr>
      <w:tr w:rsidR="00A2580C" w:rsidRPr="00B44B19" w14:paraId="001F13B5" w14:textId="77777777" w:rsidTr="00A2580C">
        <w:trPr>
          <w:trHeight w:val="332"/>
        </w:trPr>
        <w:tc>
          <w:tcPr>
            <w:tcW w:w="566" w:type="pct"/>
            <w:vMerge/>
          </w:tcPr>
          <w:p w14:paraId="0E2376E8" w14:textId="77777777" w:rsidR="00A2580C" w:rsidRPr="00B44B19" w:rsidRDefault="00A2580C" w:rsidP="00A2580C">
            <w:pPr>
              <w:spacing w:after="0" w:line="240" w:lineRule="auto"/>
              <w:jc w:val="both"/>
              <w:rPr>
                <w:rFonts w:cs="Times New Roman"/>
                <w:noProof/>
                <w:sz w:val="16"/>
                <w:szCs w:val="16"/>
              </w:rPr>
            </w:pPr>
          </w:p>
        </w:tc>
        <w:tc>
          <w:tcPr>
            <w:tcW w:w="504" w:type="pct"/>
            <w:vMerge/>
          </w:tcPr>
          <w:p w14:paraId="019558E8" w14:textId="77777777" w:rsidR="00A2580C" w:rsidRPr="00B44B19" w:rsidRDefault="00A2580C" w:rsidP="00A2580C">
            <w:pPr>
              <w:spacing w:after="0" w:line="240" w:lineRule="auto"/>
              <w:jc w:val="both"/>
              <w:rPr>
                <w:rFonts w:cs="Times New Roman"/>
                <w:noProof/>
                <w:sz w:val="16"/>
                <w:szCs w:val="16"/>
              </w:rPr>
            </w:pPr>
          </w:p>
        </w:tc>
        <w:tc>
          <w:tcPr>
            <w:tcW w:w="431" w:type="pct"/>
            <w:vMerge/>
          </w:tcPr>
          <w:p w14:paraId="59807FB7" w14:textId="77777777" w:rsidR="00A2580C" w:rsidRPr="00B44B19" w:rsidRDefault="00A2580C" w:rsidP="00A2580C">
            <w:pPr>
              <w:spacing w:after="0" w:line="240" w:lineRule="auto"/>
              <w:jc w:val="both"/>
              <w:rPr>
                <w:rFonts w:cs="Times New Roman"/>
                <w:noProof/>
                <w:sz w:val="16"/>
                <w:szCs w:val="16"/>
              </w:rPr>
            </w:pPr>
          </w:p>
        </w:tc>
        <w:tc>
          <w:tcPr>
            <w:tcW w:w="504" w:type="pct"/>
          </w:tcPr>
          <w:p w14:paraId="31B07B9B"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Sostinės regionas</w:t>
            </w:r>
          </w:p>
        </w:tc>
        <w:tc>
          <w:tcPr>
            <w:tcW w:w="648" w:type="pct"/>
          </w:tcPr>
          <w:p w14:paraId="5A82AC5E"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621B81CA" w14:textId="77777777" w:rsidR="00A2580C" w:rsidRPr="00B44B19" w:rsidRDefault="003616B2" w:rsidP="002B61A9">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Asmenys, dalyvavę veiklose, suteikiančiose žinias ir (ar) gebėjimus </w:t>
            </w:r>
            <w:r w:rsidR="002B61A9" w:rsidRPr="00B44B19">
              <w:rPr>
                <w:rFonts w:eastAsia="Calibri" w:cs="Times New Roman"/>
                <w:sz w:val="16"/>
                <w:szCs w:val="16"/>
                <w:lang w:eastAsia="lt-LT" w:bidi="lt-LT"/>
              </w:rPr>
              <w:t>moterų ir vyrų</w:t>
            </w:r>
            <w:r w:rsidR="00483986" w:rsidRPr="00B44B19">
              <w:rPr>
                <w:rFonts w:eastAsia="Calibri" w:cs="Times New Roman"/>
                <w:sz w:val="16"/>
                <w:szCs w:val="16"/>
                <w:lang w:eastAsia="lt-LT" w:bidi="lt-LT"/>
              </w:rPr>
              <w:t xml:space="preserve"> lygybės bei apsaugos nuo </w:t>
            </w:r>
            <w:r w:rsidRPr="00B44B19">
              <w:rPr>
                <w:rFonts w:eastAsia="Calibri" w:cs="Times New Roman"/>
                <w:sz w:val="16"/>
                <w:szCs w:val="16"/>
                <w:lang w:eastAsia="lt-LT" w:bidi="lt-LT"/>
              </w:rPr>
              <w:t>smurto artimoje aplinkoje srityse</w:t>
            </w:r>
          </w:p>
        </w:tc>
        <w:tc>
          <w:tcPr>
            <w:tcW w:w="514" w:type="pct"/>
          </w:tcPr>
          <w:p w14:paraId="544F14F2"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4" w:type="pct"/>
          </w:tcPr>
          <w:p w14:paraId="78E37DB3" w14:textId="77777777" w:rsidR="00A2580C" w:rsidRPr="00B44B19" w:rsidRDefault="00483986" w:rsidP="00A2580C">
            <w:pPr>
              <w:spacing w:after="0" w:line="240" w:lineRule="auto"/>
              <w:jc w:val="center"/>
              <w:rPr>
                <w:rFonts w:cs="Times New Roman"/>
                <w:noProof/>
                <w:sz w:val="16"/>
                <w:szCs w:val="16"/>
              </w:rPr>
            </w:pPr>
            <w:r w:rsidRPr="00B44B19">
              <w:rPr>
                <w:rFonts w:cs="Times New Roman"/>
                <w:noProof/>
                <w:sz w:val="16"/>
                <w:szCs w:val="16"/>
              </w:rPr>
              <w:t>149</w:t>
            </w:r>
          </w:p>
        </w:tc>
        <w:tc>
          <w:tcPr>
            <w:tcW w:w="465" w:type="pct"/>
          </w:tcPr>
          <w:p w14:paraId="4A5A2A8C" w14:textId="77777777" w:rsidR="00A2580C" w:rsidRPr="00B44B19" w:rsidRDefault="00483986" w:rsidP="00A2580C">
            <w:pPr>
              <w:spacing w:after="0" w:line="240" w:lineRule="auto"/>
              <w:jc w:val="center"/>
              <w:rPr>
                <w:rFonts w:cs="Times New Roman"/>
                <w:noProof/>
                <w:sz w:val="16"/>
                <w:szCs w:val="16"/>
              </w:rPr>
            </w:pPr>
            <w:r w:rsidRPr="00B44B19">
              <w:rPr>
                <w:rFonts w:cs="Times New Roman"/>
                <w:noProof/>
                <w:sz w:val="16"/>
                <w:szCs w:val="16"/>
              </w:rPr>
              <w:t>745</w:t>
            </w:r>
          </w:p>
        </w:tc>
      </w:tr>
      <w:tr w:rsidR="00A2580C" w:rsidRPr="00B44B19" w14:paraId="06F34C40" w14:textId="77777777" w:rsidTr="00A2580C">
        <w:trPr>
          <w:trHeight w:val="332"/>
        </w:trPr>
        <w:tc>
          <w:tcPr>
            <w:tcW w:w="566" w:type="pct"/>
            <w:vMerge/>
          </w:tcPr>
          <w:p w14:paraId="4343A7DF" w14:textId="77777777" w:rsidR="00A2580C" w:rsidRPr="00B44B19" w:rsidRDefault="00A2580C" w:rsidP="00A2580C">
            <w:pPr>
              <w:spacing w:after="0" w:line="240" w:lineRule="auto"/>
              <w:jc w:val="both"/>
              <w:rPr>
                <w:rFonts w:cs="Times New Roman"/>
                <w:noProof/>
                <w:sz w:val="16"/>
                <w:szCs w:val="16"/>
              </w:rPr>
            </w:pPr>
          </w:p>
        </w:tc>
        <w:tc>
          <w:tcPr>
            <w:tcW w:w="504" w:type="pct"/>
            <w:vMerge/>
          </w:tcPr>
          <w:p w14:paraId="158BFACB" w14:textId="77777777" w:rsidR="00A2580C" w:rsidRPr="00B44B19" w:rsidRDefault="00A2580C" w:rsidP="00A2580C">
            <w:pPr>
              <w:spacing w:after="0" w:line="240" w:lineRule="auto"/>
              <w:jc w:val="both"/>
              <w:rPr>
                <w:rFonts w:cs="Times New Roman"/>
                <w:noProof/>
                <w:sz w:val="16"/>
                <w:szCs w:val="16"/>
              </w:rPr>
            </w:pPr>
          </w:p>
        </w:tc>
        <w:tc>
          <w:tcPr>
            <w:tcW w:w="431" w:type="pct"/>
            <w:vMerge/>
          </w:tcPr>
          <w:p w14:paraId="36210B5F" w14:textId="77777777" w:rsidR="00A2580C" w:rsidRPr="00B44B19" w:rsidRDefault="00A2580C" w:rsidP="00A2580C">
            <w:pPr>
              <w:spacing w:after="0" w:line="240" w:lineRule="auto"/>
              <w:jc w:val="both"/>
              <w:rPr>
                <w:rFonts w:cs="Times New Roman"/>
                <w:noProof/>
                <w:sz w:val="16"/>
                <w:szCs w:val="16"/>
              </w:rPr>
            </w:pPr>
          </w:p>
        </w:tc>
        <w:tc>
          <w:tcPr>
            <w:tcW w:w="504" w:type="pct"/>
          </w:tcPr>
          <w:p w14:paraId="2CBE1C3F" w14:textId="77777777" w:rsidR="00A2580C" w:rsidRPr="00B44B19" w:rsidRDefault="00A2580C" w:rsidP="00A2580C">
            <w:pPr>
              <w:spacing w:after="0" w:line="240" w:lineRule="auto"/>
              <w:rPr>
                <w:rFonts w:cs="Times New Roman"/>
                <w:noProof/>
                <w:sz w:val="16"/>
                <w:szCs w:val="16"/>
              </w:rPr>
            </w:pPr>
            <w:r w:rsidRPr="00B44B19">
              <w:rPr>
                <w:rFonts w:cs="Times New Roman"/>
                <w:noProof/>
                <w:sz w:val="16"/>
                <w:szCs w:val="16"/>
              </w:rPr>
              <w:t>VVL regionas</w:t>
            </w:r>
          </w:p>
        </w:tc>
        <w:tc>
          <w:tcPr>
            <w:tcW w:w="648" w:type="pct"/>
          </w:tcPr>
          <w:p w14:paraId="144E6379"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1E4AD07B" w14:textId="77777777" w:rsidR="00A2580C" w:rsidRPr="00B44B19" w:rsidRDefault="003616B2" w:rsidP="002B61A9">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Asmenys, dalyvavę veiklose, suteikiančiose žinias ir (ar) gebėjimus </w:t>
            </w:r>
            <w:r w:rsidR="002B61A9" w:rsidRPr="00B44B19">
              <w:rPr>
                <w:rFonts w:eastAsia="Calibri" w:cs="Times New Roman"/>
                <w:sz w:val="16"/>
                <w:szCs w:val="16"/>
                <w:lang w:eastAsia="lt-LT" w:bidi="lt-LT"/>
              </w:rPr>
              <w:t>moterų ir vyrų</w:t>
            </w:r>
            <w:r w:rsidR="00483986" w:rsidRPr="00B44B19">
              <w:rPr>
                <w:rFonts w:eastAsia="Calibri" w:cs="Times New Roman"/>
                <w:sz w:val="16"/>
                <w:szCs w:val="16"/>
                <w:lang w:eastAsia="lt-LT" w:bidi="lt-LT"/>
              </w:rPr>
              <w:t xml:space="preserve"> lygybės bei apsaugos nuo </w:t>
            </w:r>
            <w:r w:rsidRPr="00B44B19">
              <w:rPr>
                <w:rFonts w:eastAsia="Calibri" w:cs="Times New Roman"/>
                <w:sz w:val="16"/>
                <w:szCs w:val="16"/>
                <w:lang w:eastAsia="lt-LT" w:bidi="lt-LT"/>
              </w:rPr>
              <w:t>smurto artimoje aplinkoje srityse</w:t>
            </w:r>
          </w:p>
        </w:tc>
        <w:tc>
          <w:tcPr>
            <w:tcW w:w="514" w:type="pct"/>
          </w:tcPr>
          <w:p w14:paraId="372CC903"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4" w:type="pct"/>
          </w:tcPr>
          <w:p w14:paraId="4C28591F" w14:textId="77777777" w:rsidR="00A2580C" w:rsidRPr="00B44B19" w:rsidRDefault="00794DCF" w:rsidP="00A2580C">
            <w:pPr>
              <w:spacing w:after="0" w:line="240" w:lineRule="auto"/>
              <w:jc w:val="center"/>
              <w:rPr>
                <w:rFonts w:cs="Times New Roman"/>
                <w:noProof/>
                <w:sz w:val="16"/>
                <w:szCs w:val="16"/>
              </w:rPr>
            </w:pPr>
            <w:r w:rsidRPr="00B44B19">
              <w:rPr>
                <w:rFonts w:cs="Times New Roman"/>
                <w:noProof/>
                <w:sz w:val="16"/>
                <w:szCs w:val="16"/>
              </w:rPr>
              <w:t>933</w:t>
            </w:r>
          </w:p>
        </w:tc>
        <w:tc>
          <w:tcPr>
            <w:tcW w:w="465" w:type="pct"/>
          </w:tcPr>
          <w:p w14:paraId="42EFDCB8" w14:textId="77777777" w:rsidR="00A2580C" w:rsidRPr="00B44B19" w:rsidRDefault="00794DCF" w:rsidP="00A2580C">
            <w:pPr>
              <w:spacing w:after="0" w:line="240" w:lineRule="auto"/>
              <w:jc w:val="center"/>
              <w:rPr>
                <w:rFonts w:cs="Times New Roman"/>
                <w:noProof/>
                <w:sz w:val="16"/>
                <w:szCs w:val="16"/>
              </w:rPr>
            </w:pPr>
            <w:r w:rsidRPr="00B44B19">
              <w:rPr>
                <w:rFonts w:cs="Times New Roman"/>
                <w:noProof/>
                <w:sz w:val="16"/>
                <w:szCs w:val="16"/>
              </w:rPr>
              <w:t>4 664</w:t>
            </w:r>
          </w:p>
        </w:tc>
      </w:tr>
      <w:tr w:rsidR="00A2580C" w:rsidRPr="00B44B19" w14:paraId="093D1099" w14:textId="77777777" w:rsidTr="00A2580C">
        <w:trPr>
          <w:trHeight w:val="332"/>
        </w:trPr>
        <w:tc>
          <w:tcPr>
            <w:tcW w:w="566" w:type="pct"/>
            <w:vMerge/>
          </w:tcPr>
          <w:p w14:paraId="3EC0D8B7" w14:textId="77777777" w:rsidR="00A2580C" w:rsidRPr="00B44B19" w:rsidDel="000426E1" w:rsidRDefault="00A2580C" w:rsidP="00A2580C">
            <w:pPr>
              <w:spacing w:after="0" w:line="240" w:lineRule="auto"/>
              <w:jc w:val="both"/>
              <w:rPr>
                <w:rFonts w:cs="Times New Roman"/>
                <w:noProof/>
                <w:sz w:val="16"/>
                <w:szCs w:val="16"/>
              </w:rPr>
            </w:pPr>
          </w:p>
        </w:tc>
        <w:tc>
          <w:tcPr>
            <w:tcW w:w="504" w:type="pct"/>
            <w:vMerge/>
          </w:tcPr>
          <w:p w14:paraId="0746B76E" w14:textId="77777777" w:rsidR="00A2580C" w:rsidRPr="00B44B19" w:rsidDel="000426E1" w:rsidRDefault="00A2580C" w:rsidP="00A2580C">
            <w:pPr>
              <w:spacing w:after="0" w:line="240" w:lineRule="auto"/>
              <w:jc w:val="both"/>
              <w:rPr>
                <w:rFonts w:cs="Times New Roman"/>
                <w:noProof/>
                <w:sz w:val="16"/>
                <w:szCs w:val="16"/>
              </w:rPr>
            </w:pPr>
          </w:p>
        </w:tc>
        <w:tc>
          <w:tcPr>
            <w:tcW w:w="431" w:type="pct"/>
            <w:vMerge/>
          </w:tcPr>
          <w:p w14:paraId="3EF7AD5C" w14:textId="77777777" w:rsidR="00A2580C" w:rsidRPr="00B44B19" w:rsidDel="000426E1" w:rsidRDefault="00A2580C" w:rsidP="00A2580C">
            <w:pPr>
              <w:spacing w:after="0" w:line="240" w:lineRule="auto"/>
              <w:jc w:val="both"/>
              <w:rPr>
                <w:rFonts w:cs="Times New Roman"/>
                <w:noProof/>
                <w:sz w:val="16"/>
                <w:szCs w:val="16"/>
              </w:rPr>
            </w:pPr>
          </w:p>
        </w:tc>
        <w:tc>
          <w:tcPr>
            <w:tcW w:w="504" w:type="pct"/>
          </w:tcPr>
          <w:p w14:paraId="3EC27751" w14:textId="77777777" w:rsidR="00A2580C" w:rsidRPr="00B44B19" w:rsidDel="000426E1" w:rsidRDefault="00A2580C" w:rsidP="00A2580C">
            <w:pPr>
              <w:spacing w:after="0" w:line="240" w:lineRule="auto"/>
              <w:rPr>
                <w:rFonts w:cs="Times New Roman"/>
                <w:noProof/>
                <w:sz w:val="16"/>
                <w:szCs w:val="16"/>
              </w:rPr>
            </w:pPr>
            <w:r w:rsidRPr="00B44B19">
              <w:rPr>
                <w:rFonts w:cs="Times New Roman"/>
                <w:noProof/>
                <w:sz w:val="16"/>
                <w:szCs w:val="16"/>
              </w:rPr>
              <w:t>Sostinės regionas</w:t>
            </w:r>
          </w:p>
        </w:tc>
        <w:tc>
          <w:tcPr>
            <w:tcW w:w="648" w:type="pct"/>
          </w:tcPr>
          <w:p w14:paraId="4568308C"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491B47B2" w14:textId="77777777" w:rsidR="00A2580C" w:rsidRPr="00B44B19" w:rsidDel="000426E1"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Sukurtas ir įgyvendinamas nacionalinis savanoriško</w:t>
            </w:r>
            <w:r w:rsidR="004C758A" w:rsidRPr="00B44B19">
              <w:rPr>
                <w:rFonts w:eastAsia="Calibri" w:cs="Times New Roman"/>
                <w:sz w:val="16"/>
                <w:szCs w:val="16"/>
                <w:lang w:eastAsia="lt-LT" w:bidi="lt-LT"/>
              </w:rPr>
              <w:t>s</w:t>
            </w:r>
            <w:r w:rsidRPr="00B44B19">
              <w:rPr>
                <w:rFonts w:eastAsia="Calibri" w:cs="Times New Roman"/>
                <w:sz w:val="16"/>
                <w:szCs w:val="16"/>
                <w:lang w:eastAsia="lt-LT" w:bidi="lt-LT"/>
              </w:rPr>
              <w:t xml:space="preserve"> veiklos modelis</w:t>
            </w:r>
            <w:r w:rsidRPr="00B44B19">
              <w:rPr>
                <w:rStyle w:val="Puslapioinaosnuoroda"/>
                <w:rFonts w:eastAsia="Calibri" w:cs="Times New Roman"/>
                <w:sz w:val="16"/>
                <w:szCs w:val="16"/>
                <w:lang w:eastAsia="lt-LT" w:bidi="lt-LT"/>
              </w:rPr>
              <w:footnoteReference w:id="2"/>
            </w:r>
          </w:p>
        </w:tc>
        <w:tc>
          <w:tcPr>
            <w:tcW w:w="514" w:type="pct"/>
          </w:tcPr>
          <w:p w14:paraId="369A5387" w14:textId="77777777" w:rsidR="00A2580C" w:rsidRPr="00B44B19" w:rsidDel="000426E1" w:rsidRDefault="00C54CAD"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Pr>
          <w:p w14:paraId="5983300B"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465" w:type="pct"/>
          </w:tcPr>
          <w:p w14:paraId="18D6F336"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1</w:t>
            </w:r>
          </w:p>
        </w:tc>
      </w:tr>
      <w:tr w:rsidR="00A2580C" w:rsidRPr="00B44B19" w14:paraId="0735BEFF" w14:textId="77777777" w:rsidTr="00A2580C">
        <w:trPr>
          <w:trHeight w:val="332"/>
        </w:trPr>
        <w:tc>
          <w:tcPr>
            <w:tcW w:w="566" w:type="pct"/>
            <w:vMerge/>
          </w:tcPr>
          <w:p w14:paraId="06B276FB" w14:textId="77777777" w:rsidR="00A2580C" w:rsidRPr="00B44B19" w:rsidDel="000426E1" w:rsidRDefault="00A2580C" w:rsidP="00A2580C">
            <w:pPr>
              <w:spacing w:after="0" w:line="240" w:lineRule="auto"/>
              <w:jc w:val="both"/>
              <w:rPr>
                <w:rFonts w:cs="Times New Roman"/>
                <w:noProof/>
                <w:sz w:val="16"/>
                <w:szCs w:val="16"/>
              </w:rPr>
            </w:pPr>
          </w:p>
        </w:tc>
        <w:tc>
          <w:tcPr>
            <w:tcW w:w="504" w:type="pct"/>
            <w:vMerge/>
          </w:tcPr>
          <w:p w14:paraId="078B33E8" w14:textId="77777777" w:rsidR="00A2580C" w:rsidRPr="00B44B19" w:rsidDel="000426E1" w:rsidRDefault="00A2580C" w:rsidP="00A2580C">
            <w:pPr>
              <w:spacing w:after="0" w:line="240" w:lineRule="auto"/>
              <w:jc w:val="both"/>
              <w:rPr>
                <w:rFonts w:cs="Times New Roman"/>
                <w:noProof/>
                <w:sz w:val="16"/>
                <w:szCs w:val="16"/>
              </w:rPr>
            </w:pPr>
          </w:p>
        </w:tc>
        <w:tc>
          <w:tcPr>
            <w:tcW w:w="431" w:type="pct"/>
            <w:vMerge/>
          </w:tcPr>
          <w:p w14:paraId="02531205" w14:textId="77777777" w:rsidR="00A2580C" w:rsidRPr="00B44B19" w:rsidDel="000426E1" w:rsidRDefault="00A2580C" w:rsidP="00A2580C">
            <w:pPr>
              <w:spacing w:after="0" w:line="240" w:lineRule="auto"/>
              <w:jc w:val="both"/>
              <w:rPr>
                <w:rFonts w:cs="Times New Roman"/>
                <w:noProof/>
                <w:sz w:val="16"/>
                <w:szCs w:val="16"/>
              </w:rPr>
            </w:pPr>
          </w:p>
        </w:tc>
        <w:tc>
          <w:tcPr>
            <w:tcW w:w="504" w:type="pct"/>
          </w:tcPr>
          <w:p w14:paraId="47E6E8E9" w14:textId="77777777" w:rsidR="00A2580C" w:rsidRPr="00B44B19" w:rsidDel="000426E1" w:rsidRDefault="00A2580C" w:rsidP="00A2580C">
            <w:pPr>
              <w:spacing w:after="0" w:line="240" w:lineRule="auto"/>
              <w:rPr>
                <w:rFonts w:cs="Times New Roman"/>
                <w:noProof/>
                <w:sz w:val="16"/>
                <w:szCs w:val="16"/>
              </w:rPr>
            </w:pPr>
            <w:r w:rsidRPr="00B44B19">
              <w:rPr>
                <w:rFonts w:cs="Times New Roman"/>
                <w:noProof/>
                <w:sz w:val="16"/>
                <w:szCs w:val="16"/>
              </w:rPr>
              <w:t>VVL regionas</w:t>
            </w:r>
          </w:p>
        </w:tc>
        <w:tc>
          <w:tcPr>
            <w:tcW w:w="648" w:type="pct"/>
          </w:tcPr>
          <w:p w14:paraId="00821B1A"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1A566081" w14:textId="77777777" w:rsidR="00A2580C" w:rsidRPr="00B44B19" w:rsidDel="000426E1"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Sukurtas ir įgyvendinamas nacionalinis savanoriško</w:t>
            </w:r>
            <w:r w:rsidR="004C758A" w:rsidRPr="00B44B19">
              <w:rPr>
                <w:rFonts w:eastAsia="Calibri" w:cs="Times New Roman"/>
                <w:sz w:val="16"/>
                <w:szCs w:val="16"/>
                <w:lang w:eastAsia="lt-LT" w:bidi="lt-LT"/>
              </w:rPr>
              <w:t>s</w:t>
            </w:r>
            <w:r w:rsidRPr="00B44B19">
              <w:rPr>
                <w:rFonts w:eastAsia="Calibri" w:cs="Times New Roman"/>
                <w:sz w:val="16"/>
                <w:szCs w:val="16"/>
                <w:lang w:eastAsia="lt-LT" w:bidi="lt-LT"/>
              </w:rPr>
              <w:t xml:space="preserve"> veiklos modelis</w:t>
            </w:r>
          </w:p>
        </w:tc>
        <w:tc>
          <w:tcPr>
            <w:tcW w:w="514" w:type="pct"/>
          </w:tcPr>
          <w:p w14:paraId="7EC10735" w14:textId="77777777" w:rsidR="00A2580C" w:rsidRPr="00B44B19" w:rsidDel="000426E1" w:rsidRDefault="00C54CAD"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Pr>
          <w:p w14:paraId="4E3E797F"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w:t>
            </w:r>
          </w:p>
        </w:tc>
        <w:tc>
          <w:tcPr>
            <w:tcW w:w="465" w:type="pct"/>
          </w:tcPr>
          <w:p w14:paraId="4DC7DB52"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w:t>
            </w:r>
          </w:p>
        </w:tc>
      </w:tr>
      <w:tr w:rsidR="00A2580C" w:rsidRPr="00B44B19" w14:paraId="29CAAA0E" w14:textId="77777777" w:rsidTr="00A2580C">
        <w:trPr>
          <w:trHeight w:val="332"/>
        </w:trPr>
        <w:tc>
          <w:tcPr>
            <w:tcW w:w="566" w:type="pct"/>
            <w:vMerge/>
          </w:tcPr>
          <w:p w14:paraId="33ECE6D3" w14:textId="77777777" w:rsidR="00A2580C" w:rsidRPr="00B44B19" w:rsidDel="000426E1" w:rsidRDefault="00A2580C" w:rsidP="00A2580C">
            <w:pPr>
              <w:spacing w:after="0" w:line="240" w:lineRule="auto"/>
              <w:jc w:val="both"/>
              <w:rPr>
                <w:rFonts w:cs="Times New Roman"/>
                <w:noProof/>
                <w:sz w:val="16"/>
                <w:szCs w:val="16"/>
              </w:rPr>
            </w:pPr>
          </w:p>
        </w:tc>
        <w:tc>
          <w:tcPr>
            <w:tcW w:w="504" w:type="pct"/>
            <w:vMerge/>
          </w:tcPr>
          <w:p w14:paraId="225FEA3F" w14:textId="77777777" w:rsidR="00A2580C" w:rsidRPr="00B44B19" w:rsidDel="000426E1" w:rsidRDefault="00A2580C" w:rsidP="00A2580C">
            <w:pPr>
              <w:spacing w:after="0" w:line="240" w:lineRule="auto"/>
              <w:jc w:val="both"/>
              <w:rPr>
                <w:rFonts w:cs="Times New Roman"/>
                <w:noProof/>
                <w:sz w:val="16"/>
                <w:szCs w:val="16"/>
              </w:rPr>
            </w:pPr>
          </w:p>
        </w:tc>
        <w:tc>
          <w:tcPr>
            <w:tcW w:w="431" w:type="pct"/>
            <w:vMerge/>
          </w:tcPr>
          <w:p w14:paraId="54AA3233" w14:textId="77777777" w:rsidR="00A2580C" w:rsidRPr="00B44B19" w:rsidDel="000426E1" w:rsidRDefault="00A2580C" w:rsidP="00A2580C">
            <w:pPr>
              <w:spacing w:after="0" w:line="240" w:lineRule="auto"/>
              <w:jc w:val="both"/>
              <w:rPr>
                <w:rFonts w:cs="Times New Roman"/>
                <w:noProof/>
                <w:sz w:val="16"/>
                <w:szCs w:val="16"/>
              </w:rPr>
            </w:pPr>
          </w:p>
        </w:tc>
        <w:tc>
          <w:tcPr>
            <w:tcW w:w="504" w:type="pct"/>
          </w:tcPr>
          <w:p w14:paraId="2054BB07" w14:textId="77777777" w:rsidR="00A2580C" w:rsidRPr="00B44B19" w:rsidDel="000426E1" w:rsidRDefault="00A2580C" w:rsidP="00A2580C">
            <w:pPr>
              <w:spacing w:after="0" w:line="240" w:lineRule="auto"/>
              <w:rPr>
                <w:rFonts w:cs="Times New Roman"/>
                <w:noProof/>
                <w:sz w:val="16"/>
                <w:szCs w:val="16"/>
              </w:rPr>
            </w:pPr>
            <w:r w:rsidRPr="00B44B19">
              <w:rPr>
                <w:rFonts w:cs="Times New Roman"/>
                <w:noProof/>
                <w:sz w:val="16"/>
                <w:szCs w:val="16"/>
              </w:rPr>
              <w:t>Sostinės regionas</w:t>
            </w:r>
          </w:p>
        </w:tc>
        <w:tc>
          <w:tcPr>
            <w:tcW w:w="648" w:type="pct"/>
          </w:tcPr>
          <w:p w14:paraId="6D97AF9E"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6F392373" w14:textId="77777777" w:rsidR="00A2580C" w:rsidRPr="00B44B19" w:rsidDel="000426E1"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Asmenys, savanorišką veiklą vykdantys </w:t>
            </w:r>
            <w:r w:rsidRPr="00B44B19">
              <w:rPr>
                <w:rFonts w:eastAsia="Calibri" w:cs="Times New Roman"/>
                <w:sz w:val="16"/>
                <w:szCs w:val="16"/>
                <w:lang w:eastAsia="lt-LT" w:bidi="lt-LT"/>
              </w:rPr>
              <w:lastRenderedPageBreak/>
              <w:t>pagal nacionalinį savanoriškos veiklos modelį</w:t>
            </w:r>
          </w:p>
        </w:tc>
        <w:tc>
          <w:tcPr>
            <w:tcW w:w="514" w:type="pct"/>
          </w:tcPr>
          <w:p w14:paraId="7E11F812" w14:textId="77777777" w:rsidR="00A2580C" w:rsidRPr="00B44B19" w:rsidDel="000426E1"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lastRenderedPageBreak/>
              <w:t>Asmenys</w:t>
            </w:r>
          </w:p>
        </w:tc>
        <w:tc>
          <w:tcPr>
            <w:tcW w:w="504" w:type="pct"/>
          </w:tcPr>
          <w:p w14:paraId="1266D024" w14:textId="77777777" w:rsidR="00A2580C" w:rsidRPr="00B44B19" w:rsidRDefault="00634946" w:rsidP="00A2580C">
            <w:pPr>
              <w:spacing w:after="0" w:line="240" w:lineRule="auto"/>
              <w:jc w:val="center"/>
              <w:rPr>
                <w:rFonts w:cs="Times New Roman"/>
                <w:noProof/>
                <w:sz w:val="16"/>
                <w:szCs w:val="16"/>
              </w:rPr>
            </w:pPr>
            <w:r w:rsidRPr="00B44B19">
              <w:rPr>
                <w:rFonts w:cs="Times New Roman"/>
                <w:noProof/>
                <w:sz w:val="16"/>
                <w:szCs w:val="16"/>
              </w:rPr>
              <w:t>138</w:t>
            </w:r>
          </w:p>
        </w:tc>
        <w:tc>
          <w:tcPr>
            <w:tcW w:w="465" w:type="pct"/>
          </w:tcPr>
          <w:p w14:paraId="0D4BA376" w14:textId="77777777" w:rsidR="00A2580C" w:rsidRPr="00B44B19" w:rsidRDefault="00634946" w:rsidP="00A2580C">
            <w:pPr>
              <w:spacing w:after="0" w:line="240" w:lineRule="auto"/>
              <w:jc w:val="center"/>
              <w:rPr>
                <w:rFonts w:cs="Times New Roman"/>
                <w:noProof/>
                <w:sz w:val="16"/>
                <w:szCs w:val="16"/>
              </w:rPr>
            </w:pPr>
            <w:r w:rsidRPr="00B44B19">
              <w:rPr>
                <w:rFonts w:cs="Times New Roman"/>
                <w:noProof/>
                <w:sz w:val="16"/>
                <w:szCs w:val="16"/>
              </w:rPr>
              <w:t>1 377</w:t>
            </w:r>
          </w:p>
        </w:tc>
      </w:tr>
      <w:tr w:rsidR="00A2580C" w:rsidRPr="00B44B19" w14:paraId="6A4B000A" w14:textId="77777777" w:rsidTr="00A2580C">
        <w:trPr>
          <w:trHeight w:val="332"/>
        </w:trPr>
        <w:tc>
          <w:tcPr>
            <w:tcW w:w="566" w:type="pct"/>
            <w:vMerge/>
          </w:tcPr>
          <w:p w14:paraId="5EEA99CD" w14:textId="77777777" w:rsidR="00A2580C" w:rsidRPr="00B44B19" w:rsidDel="000426E1" w:rsidRDefault="00A2580C" w:rsidP="00A2580C">
            <w:pPr>
              <w:spacing w:after="0" w:line="240" w:lineRule="auto"/>
              <w:jc w:val="both"/>
              <w:rPr>
                <w:rFonts w:cs="Times New Roman"/>
                <w:noProof/>
                <w:sz w:val="16"/>
                <w:szCs w:val="16"/>
              </w:rPr>
            </w:pPr>
          </w:p>
        </w:tc>
        <w:tc>
          <w:tcPr>
            <w:tcW w:w="504" w:type="pct"/>
            <w:vMerge/>
          </w:tcPr>
          <w:p w14:paraId="691B2895" w14:textId="77777777" w:rsidR="00A2580C" w:rsidRPr="00B44B19" w:rsidDel="000426E1" w:rsidRDefault="00A2580C" w:rsidP="00A2580C">
            <w:pPr>
              <w:spacing w:after="0" w:line="240" w:lineRule="auto"/>
              <w:jc w:val="both"/>
              <w:rPr>
                <w:rFonts w:cs="Times New Roman"/>
                <w:noProof/>
                <w:sz w:val="16"/>
                <w:szCs w:val="16"/>
              </w:rPr>
            </w:pPr>
          </w:p>
        </w:tc>
        <w:tc>
          <w:tcPr>
            <w:tcW w:w="431" w:type="pct"/>
            <w:vMerge/>
          </w:tcPr>
          <w:p w14:paraId="51F0D789" w14:textId="77777777" w:rsidR="00A2580C" w:rsidRPr="00B44B19" w:rsidDel="000426E1" w:rsidRDefault="00A2580C" w:rsidP="00A2580C">
            <w:pPr>
              <w:spacing w:after="0" w:line="240" w:lineRule="auto"/>
              <w:jc w:val="both"/>
              <w:rPr>
                <w:rFonts w:cs="Times New Roman"/>
                <w:noProof/>
                <w:sz w:val="16"/>
                <w:szCs w:val="16"/>
              </w:rPr>
            </w:pPr>
          </w:p>
        </w:tc>
        <w:tc>
          <w:tcPr>
            <w:tcW w:w="504" w:type="pct"/>
          </w:tcPr>
          <w:p w14:paraId="1F8982D4" w14:textId="77777777" w:rsidR="00A2580C" w:rsidRPr="00B44B19" w:rsidDel="000426E1" w:rsidRDefault="00A2580C" w:rsidP="00A2580C">
            <w:pPr>
              <w:spacing w:after="0" w:line="240" w:lineRule="auto"/>
              <w:rPr>
                <w:rFonts w:cs="Times New Roman"/>
                <w:noProof/>
                <w:sz w:val="16"/>
                <w:szCs w:val="16"/>
              </w:rPr>
            </w:pPr>
            <w:r w:rsidRPr="00B44B19">
              <w:rPr>
                <w:rFonts w:cs="Times New Roman"/>
                <w:noProof/>
                <w:sz w:val="16"/>
                <w:szCs w:val="16"/>
              </w:rPr>
              <w:t>VVL regionas</w:t>
            </w:r>
          </w:p>
        </w:tc>
        <w:tc>
          <w:tcPr>
            <w:tcW w:w="648" w:type="pct"/>
          </w:tcPr>
          <w:p w14:paraId="796CD39B"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4" w:type="pct"/>
          </w:tcPr>
          <w:p w14:paraId="5EFEE448" w14:textId="77777777" w:rsidR="00A2580C" w:rsidRPr="00B44B19" w:rsidDel="000426E1"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savanorišką veiklą vykdantys pagal nacionalinį savanoriškos veiklos modelį</w:t>
            </w:r>
          </w:p>
        </w:tc>
        <w:tc>
          <w:tcPr>
            <w:tcW w:w="514" w:type="pct"/>
          </w:tcPr>
          <w:p w14:paraId="73888B79" w14:textId="77777777" w:rsidR="00A2580C" w:rsidRPr="00B44B19" w:rsidDel="000426E1"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4" w:type="pct"/>
          </w:tcPr>
          <w:p w14:paraId="585BA1AF" w14:textId="77777777" w:rsidR="00A2580C" w:rsidRPr="00B44B19" w:rsidRDefault="009264B6" w:rsidP="00A2580C">
            <w:pPr>
              <w:spacing w:after="0" w:line="240" w:lineRule="auto"/>
              <w:jc w:val="center"/>
              <w:rPr>
                <w:rFonts w:cs="Times New Roman"/>
                <w:noProof/>
                <w:sz w:val="16"/>
                <w:szCs w:val="16"/>
              </w:rPr>
            </w:pPr>
            <w:r w:rsidRPr="00B44B19">
              <w:rPr>
                <w:rFonts w:cs="Times New Roman"/>
                <w:noProof/>
                <w:sz w:val="16"/>
                <w:szCs w:val="16"/>
              </w:rPr>
              <w:t>484</w:t>
            </w:r>
          </w:p>
        </w:tc>
        <w:tc>
          <w:tcPr>
            <w:tcW w:w="465" w:type="pct"/>
          </w:tcPr>
          <w:p w14:paraId="4E5692CF" w14:textId="77777777" w:rsidR="00A2580C" w:rsidRPr="00B44B19" w:rsidRDefault="009264B6" w:rsidP="00A2580C">
            <w:pPr>
              <w:spacing w:after="0" w:line="240" w:lineRule="auto"/>
              <w:jc w:val="center"/>
              <w:rPr>
                <w:rFonts w:cs="Times New Roman"/>
                <w:noProof/>
                <w:sz w:val="16"/>
                <w:szCs w:val="16"/>
              </w:rPr>
            </w:pPr>
            <w:r w:rsidRPr="00B44B19">
              <w:rPr>
                <w:rFonts w:cs="Times New Roman"/>
                <w:noProof/>
                <w:sz w:val="16"/>
                <w:szCs w:val="16"/>
              </w:rPr>
              <w:t>4 835</w:t>
            </w:r>
          </w:p>
        </w:tc>
      </w:tr>
      <w:tr w:rsidR="00A2580C" w:rsidRPr="00B44B19" w14:paraId="27E1A0B7" w14:textId="77777777" w:rsidTr="00A2580C">
        <w:trPr>
          <w:trHeight w:val="332"/>
        </w:trPr>
        <w:tc>
          <w:tcPr>
            <w:tcW w:w="566" w:type="pct"/>
            <w:vMerge/>
          </w:tcPr>
          <w:p w14:paraId="5A4D6E9A" w14:textId="77777777" w:rsidR="00A2580C" w:rsidRPr="00B44B19" w:rsidDel="000426E1" w:rsidRDefault="00A2580C" w:rsidP="00A2580C">
            <w:pPr>
              <w:spacing w:after="0" w:line="240" w:lineRule="auto"/>
              <w:jc w:val="both"/>
              <w:rPr>
                <w:rFonts w:cs="Times New Roman"/>
                <w:noProof/>
                <w:sz w:val="16"/>
                <w:szCs w:val="16"/>
              </w:rPr>
            </w:pPr>
          </w:p>
        </w:tc>
        <w:tc>
          <w:tcPr>
            <w:tcW w:w="504" w:type="pct"/>
            <w:vMerge/>
          </w:tcPr>
          <w:p w14:paraId="6798E428" w14:textId="77777777" w:rsidR="00A2580C" w:rsidRPr="00B44B19" w:rsidDel="000426E1" w:rsidRDefault="00A2580C" w:rsidP="00A2580C">
            <w:pPr>
              <w:spacing w:after="0" w:line="240" w:lineRule="auto"/>
              <w:jc w:val="both"/>
              <w:rPr>
                <w:rFonts w:cs="Times New Roman"/>
                <w:noProof/>
                <w:sz w:val="16"/>
                <w:szCs w:val="16"/>
              </w:rPr>
            </w:pPr>
          </w:p>
        </w:tc>
        <w:tc>
          <w:tcPr>
            <w:tcW w:w="431" w:type="pct"/>
            <w:vMerge/>
          </w:tcPr>
          <w:p w14:paraId="6F75C70B" w14:textId="77777777" w:rsidR="00A2580C" w:rsidRPr="00B44B19" w:rsidDel="000426E1" w:rsidRDefault="00A2580C" w:rsidP="00A2580C">
            <w:pPr>
              <w:spacing w:after="0" w:line="240" w:lineRule="auto"/>
              <w:jc w:val="both"/>
              <w:rPr>
                <w:rFonts w:cs="Times New Roman"/>
                <w:noProof/>
                <w:sz w:val="16"/>
                <w:szCs w:val="16"/>
              </w:rPr>
            </w:pPr>
          </w:p>
        </w:tc>
        <w:tc>
          <w:tcPr>
            <w:tcW w:w="504" w:type="pct"/>
          </w:tcPr>
          <w:p w14:paraId="1461DC26" w14:textId="77777777" w:rsidR="00A2580C" w:rsidRPr="00B44B19" w:rsidDel="000426E1" w:rsidRDefault="00A2580C" w:rsidP="00A2580C">
            <w:pPr>
              <w:spacing w:after="0" w:line="240" w:lineRule="auto"/>
              <w:rPr>
                <w:rFonts w:cs="Times New Roman"/>
                <w:noProof/>
                <w:sz w:val="16"/>
                <w:szCs w:val="16"/>
              </w:rPr>
            </w:pPr>
            <w:r w:rsidRPr="00B44B19">
              <w:rPr>
                <w:rFonts w:cs="Times New Roman"/>
                <w:noProof/>
                <w:sz w:val="16"/>
                <w:szCs w:val="16"/>
              </w:rPr>
              <w:t>VVL regionas</w:t>
            </w:r>
          </w:p>
        </w:tc>
        <w:tc>
          <w:tcPr>
            <w:tcW w:w="648" w:type="pct"/>
          </w:tcPr>
          <w:p w14:paraId="094747B1"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4" w:type="pct"/>
          </w:tcPr>
          <w:p w14:paraId="0E961963"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BIVP projektai, kuriuos įgyvendino NVO ir (arba) kurie įgyvendinti kartu su partneriu</w:t>
            </w:r>
          </w:p>
        </w:tc>
        <w:tc>
          <w:tcPr>
            <w:tcW w:w="514" w:type="pct"/>
          </w:tcPr>
          <w:p w14:paraId="2F589467" w14:textId="77777777" w:rsidR="00A2580C" w:rsidRPr="00B44B19" w:rsidRDefault="00551C15"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Pr>
          <w:p w14:paraId="7441F80D"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465" w:type="pct"/>
          </w:tcPr>
          <w:p w14:paraId="21D5F340" w14:textId="77777777" w:rsidR="00A2580C" w:rsidRPr="00B44B19" w:rsidRDefault="00A2580C" w:rsidP="00A2580C">
            <w:pPr>
              <w:spacing w:after="0" w:line="240" w:lineRule="auto"/>
              <w:jc w:val="center"/>
              <w:rPr>
                <w:rFonts w:cs="Times New Roman"/>
                <w:strike/>
                <w:noProof/>
                <w:sz w:val="16"/>
                <w:szCs w:val="16"/>
              </w:rPr>
            </w:pPr>
            <w:r w:rsidRPr="00B44B19">
              <w:rPr>
                <w:rFonts w:cs="Times New Roman"/>
                <w:noProof/>
                <w:sz w:val="16"/>
                <w:szCs w:val="16"/>
              </w:rPr>
              <w:t>650</w:t>
            </w:r>
          </w:p>
        </w:tc>
      </w:tr>
      <w:tr w:rsidR="00A2580C" w:rsidRPr="00B44B19" w14:paraId="7209275A" w14:textId="77777777" w:rsidTr="00A2580C">
        <w:trPr>
          <w:trHeight w:val="332"/>
        </w:trPr>
        <w:tc>
          <w:tcPr>
            <w:tcW w:w="566" w:type="pct"/>
            <w:vMerge/>
          </w:tcPr>
          <w:p w14:paraId="15DF4461" w14:textId="77777777" w:rsidR="00A2580C" w:rsidRPr="00B44B19" w:rsidDel="000426E1" w:rsidRDefault="00A2580C" w:rsidP="00A2580C">
            <w:pPr>
              <w:spacing w:after="0" w:line="240" w:lineRule="auto"/>
              <w:jc w:val="both"/>
              <w:rPr>
                <w:rFonts w:cs="Times New Roman"/>
                <w:noProof/>
                <w:sz w:val="16"/>
                <w:szCs w:val="16"/>
              </w:rPr>
            </w:pPr>
          </w:p>
        </w:tc>
        <w:tc>
          <w:tcPr>
            <w:tcW w:w="504" w:type="pct"/>
            <w:vMerge/>
          </w:tcPr>
          <w:p w14:paraId="314F040C" w14:textId="77777777" w:rsidR="00A2580C" w:rsidRPr="00B44B19" w:rsidDel="000426E1" w:rsidRDefault="00A2580C" w:rsidP="00A2580C">
            <w:pPr>
              <w:spacing w:after="0" w:line="240" w:lineRule="auto"/>
              <w:jc w:val="both"/>
              <w:rPr>
                <w:rFonts w:cs="Times New Roman"/>
                <w:noProof/>
                <w:sz w:val="16"/>
                <w:szCs w:val="16"/>
              </w:rPr>
            </w:pPr>
          </w:p>
        </w:tc>
        <w:tc>
          <w:tcPr>
            <w:tcW w:w="431" w:type="pct"/>
            <w:vMerge/>
          </w:tcPr>
          <w:p w14:paraId="3F5B0CC9" w14:textId="77777777" w:rsidR="00A2580C" w:rsidRPr="00B44B19" w:rsidDel="000426E1" w:rsidRDefault="00A2580C" w:rsidP="00A2580C">
            <w:pPr>
              <w:spacing w:after="0" w:line="240" w:lineRule="auto"/>
              <w:jc w:val="both"/>
              <w:rPr>
                <w:rFonts w:cs="Times New Roman"/>
                <w:noProof/>
                <w:sz w:val="16"/>
                <w:szCs w:val="16"/>
              </w:rPr>
            </w:pPr>
          </w:p>
        </w:tc>
        <w:tc>
          <w:tcPr>
            <w:tcW w:w="504" w:type="pct"/>
          </w:tcPr>
          <w:p w14:paraId="23065F5A" w14:textId="77777777" w:rsidR="00A2580C" w:rsidRPr="00B44B19" w:rsidDel="000426E1" w:rsidRDefault="00A2580C" w:rsidP="00A2580C">
            <w:pPr>
              <w:spacing w:after="0" w:line="240" w:lineRule="auto"/>
              <w:rPr>
                <w:rFonts w:cs="Times New Roman"/>
                <w:noProof/>
                <w:sz w:val="16"/>
                <w:szCs w:val="16"/>
              </w:rPr>
            </w:pPr>
            <w:r w:rsidRPr="00B44B19">
              <w:rPr>
                <w:rFonts w:cs="Times New Roman"/>
                <w:noProof/>
                <w:sz w:val="16"/>
                <w:szCs w:val="16"/>
              </w:rPr>
              <w:t>Sostinės regionas</w:t>
            </w:r>
          </w:p>
        </w:tc>
        <w:tc>
          <w:tcPr>
            <w:tcW w:w="648" w:type="pct"/>
          </w:tcPr>
          <w:p w14:paraId="4684BB7D"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4" w:type="pct"/>
          </w:tcPr>
          <w:p w14:paraId="6D19824C" w14:textId="77777777" w:rsidR="00A2580C" w:rsidRPr="00B44B19" w:rsidRDefault="00A2580C"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BIVP projektai, kuriuos įgyvendino NVO ir (arba) kurie įgyvendinti kartu su partneriu</w:t>
            </w:r>
          </w:p>
        </w:tc>
        <w:tc>
          <w:tcPr>
            <w:tcW w:w="514" w:type="pct"/>
          </w:tcPr>
          <w:p w14:paraId="06A8A04A" w14:textId="77777777" w:rsidR="00A2580C" w:rsidRPr="00B44B19" w:rsidRDefault="00551C15" w:rsidP="00A2580C">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Pr>
          <w:p w14:paraId="0E19E1F8"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465" w:type="pct"/>
          </w:tcPr>
          <w:p w14:paraId="11FEAB95" w14:textId="20C6FA31" w:rsidR="00A2580C" w:rsidRPr="00B44B19" w:rsidRDefault="00B535FA" w:rsidP="00A2580C">
            <w:pPr>
              <w:spacing w:after="0" w:line="240" w:lineRule="auto"/>
              <w:jc w:val="center"/>
              <w:rPr>
                <w:rFonts w:cs="Times New Roman"/>
                <w:strike/>
                <w:noProof/>
                <w:sz w:val="16"/>
                <w:szCs w:val="16"/>
              </w:rPr>
            </w:pPr>
            <w:r w:rsidRPr="00B44B19">
              <w:rPr>
                <w:rFonts w:cs="Times New Roman"/>
                <w:noProof/>
                <w:sz w:val="16"/>
                <w:szCs w:val="16"/>
              </w:rPr>
              <w:t>105</w:t>
            </w:r>
          </w:p>
        </w:tc>
      </w:tr>
    </w:tbl>
    <w:p w14:paraId="643798AF" w14:textId="77777777" w:rsidR="002B441C" w:rsidRPr="00B44B19" w:rsidRDefault="002B441C" w:rsidP="002B441C">
      <w:pPr>
        <w:spacing w:after="0" w:line="240" w:lineRule="auto"/>
        <w:rPr>
          <w:rFonts w:cs="Times New Roman"/>
          <w:b/>
          <w:sz w:val="20"/>
          <w:szCs w:val="24"/>
        </w:rPr>
        <w:sectPr w:rsidR="002B441C" w:rsidRPr="00B44B19" w:rsidSect="00931C78">
          <w:pgSz w:w="11906" w:h="16838"/>
          <w:pgMar w:top="1276" w:right="567" w:bottom="1134" w:left="1701" w:header="567" w:footer="567" w:gutter="0"/>
          <w:cols w:space="1296"/>
          <w:docGrid w:linePitch="360"/>
        </w:sectPr>
      </w:pPr>
    </w:p>
    <w:p w14:paraId="43E96E7B" w14:textId="77777777" w:rsidR="00A2580C" w:rsidRPr="00B44B19" w:rsidRDefault="002B441C" w:rsidP="002B441C">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115"/>
        <w:gridCol w:w="835"/>
        <w:gridCol w:w="1115"/>
        <w:gridCol w:w="1255"/>
        <w:gridCol w:w="3208"/>
        <w:gridCol w:w="975"/>
        <w:gridCol w:w="978"/>
        <w:gridCol w:w="1115"/>
        <w:gridCol w:w="975"/>
        <w:gridCol w:w="1115"/>
        <w:gridCol w:w="1097"/>
      </w:tblGrid>
      <w:tr w:rsidR="00A2580C" w:rsidRPr="00B44B19" w14:paraId="3776BD44" w14:textId="77777777" w:rsidTr="00A2580C">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4036A7"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Prioritetas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D99EE"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8723A5"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6F1ECD"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D583F" w14:textId="77777777" w:rsidR="00A2580C" w:rsidRPr="00B44B19" w:rsidRDefault="00417303" w:rsidP="00A2580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2F1E17" w14:textId="77777777" w:rsidR="00A2580C" w:rsidRPr="00B44B19" w:rsidRDefault="00417303" w:rsidP="00A2580C">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A20A7B"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78FE61"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C3A614"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C73B1D"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Siek</w:t>
            </w:r>
            <w:r w:rsidR="00860C59" w:rsidRPr="00B44B19">
              <w:rPr>
                <w:rFonts w:cs="Times New Roman"/>
                <w:b/>
                <w:noProof/>
                <w:sz w:val="16"/>
                <w:szCs w:val="16"/>
              </w:rPr>
              <w:t>tina reikšmė</w:t>
            </w:r>
            <w:r w:rsidRPr="00B44B19">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3385F4"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A6A0E1" w14:textId="77777777" w:rsidR="00A2580C" w:rsidRPr="00B44B19" w:rsidRDefault="00A2580C" w:rsidP="00A2580C">
            <w:pPr>
              <w:spacing w:after="0" w:line="240" w:lineRule="auto"/>
              <w:jc w:val="center"/>
              <w:rPr>
                <w:rFonts w:cs="Times New Roman"/>
                <w:b/>
                <w:noProof/>
                <w:sz w:val="16"/>
                <w:szCs w:val="16"/>
              </w:rPr>
            </w:pPr>
            <w:r w:rsidRPr="00B44B19">
              <w:rPr>
                <w:rFonts w:cs="Times New Roman"/>
                <w:b/>
                <w:noProof/>
                <w:sz w:val="16"/>
                <w:szCs w:val="16"/>
              </w:rPr>
              <w:t>Pastabos</w:t>
            </w:r>
          </w:p>
        </w:tc>
      </w:tr>
      <w:tr w:rsidR="00A2580C" w:rsidRPr="00B44B19" w14:paraId="402285D4" w14:textId="77777777" w:rsidTr="00A2580C">
        <w:trPr>
          <w:trHeight w:val="532"/>
        </w:trPr>
        <w:tc>
          <w:tcPr>
            <w:tcW w:w="364" w:type="pct"/>
            <w:vMerge w:val="restart"/>
            <w:tcBorders>
              <w:top w:val="single" w:sz="12" w:space="0" w:color="auto"/>
            </w:tcBorders>
          </w:tcPr>
          <w:p w14:paraId="6147B856"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4.Socialiai atsakingesnė Lietuva</w:t>
            </w:r>
          </w:p>
        </w:tc>
        <w:tc>
          <w:tcPr>
            <w:tcW w:w="375" w:type="pct"/>
            <w:vMerge w:val="restart"/>
            <w:tcBorders>
              <w:top w:val="single" w:sz="12" w:space="0" w:color="auto"/>
            </w:tcBorders>
          </w:tcPr>
          <w:p w14:paraId="1777A4E5"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4.7</w:t>
            </w:r>
          </w:p>
        </w:tc>
        <w:tc>
          <w:tcPr>
            <w:tcW w:w="281" w:type="pct"/>
            <w:vMerge w:val="restart"/>
            <w:tcBorders>
              <w:top w:val="single" w:sz="12" w:space="0" w:color="auto"/>
            </w:tcBorders>
          </w:tcPr>
          <w:p w14:paraId="63FD9D03"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ESF+</w:t>
            </w:r>
          </w:p>
        </w:tc>
        <w:tc>
          <w:tcPr>
            <w:tcW w:w="375" w:type="pct"/>
            <w:tcBorders>
              <w:top w:val="single" w:sz="12" w:space="0" w:color="auto"/>
            </w:tcBorders>
          </w:tcPr>
          <w:p w14:paraId="137D624C"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Borders>
              <w:top w:val="single" w:sz="12" w:space="0" w:color="auto"/>
            </w:tcBorders>
          </w:tcPr>
          <w:p w14:paraId="4C30A7CB"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Specialusis</w:t>
            </w:r>
          </w:p>
        </w:tc>
        <w:tc>
          <w:tcPr>
            <w:tcW w:w="1079" w:type="pct"/>
            <w:tcBorders>
              <w:top w:val="single" w:sz="12" w:space="0" w:color="auto"/>
            </w:tcBorders>
          </w:tcPr>
          <w:p w14:paraId="01A1FAB4" w14:textId="77777777" w:rsidR="00A2580C" w:rsidRPr="00B44B19" w:rsidRDefault="00A2580C" w:rsidP="0070633A">
            <w:pPr>
              <w:autoSpaceDE w:val="0"/>
              <w:autoSpaceDN w:val="0"/>
              <w:adjustRightInd w:val="0"/>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Socialiai pažeidžiamų, socialinę riziką (atskirtį) patiriančių asmenų, kurie po dalyvavimo </w:t>
            </w:r>
            <w:r w:rsidR="00CB66FA" w:rsidRPr="00B44B19">
              <w:rPr>
                <w:rFonts w:eastAsia="Calibri" w:cs="Times New Roman"/>
                <w:sz w:val="16"/>
                <w:szCs w:val="16"/>
                <w:lang w:eastAsia="lt-LT" w:bidi="lt-LT"/>
              </w:rPr>
              <w:t xml:space="preserve">veiklose </w:t>
            </w:r>
            <w:r w:rsidRPr="00B44B19">
              <w:rPr>
                <w:rFonts w:eastAsia="Calibri" w:cs="Times New Roman"/>
                <w:sz w:val="16"/>
                <w:szCs w:val="16"/>
                <w:lang w:eastAsia="lt-LT" w:bidi="lt-LT"/>
              </w:rPr>
              <w:t>pradėjo savanoriauti, mokytis, ieškoti darbo arba dirbti, įskaitant savarankišką darbą, dalis</w:t>
            </w:r>
          </w:p>
        </w:tc>
        <w:tc>
          <w:tcPr>
            <w:tcW w:w="328" w:type="pct"/>
            <w:tcBorders>
              <w:top w:val="single" w:sz="12" w:space="0" w:color="auto"/>
            </w:tcBorders>
          </w:tcPr>
          <w:p w14:paraId="3E1B8AB5"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Borders>
              <w:top w:val="single" w:sz="12" w:space="0" w:color="auto"/>
            </w:tcBorders>
          </w:tcPr>
          <w:p w14:paraId="41A507E3"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13</w:t>
            </w:r>
          </w:p>
        </w:tc>
        <w:tc>
          <w:tcPr>
            <w:tcW w:w="375" w:type="pct"/>
            <w:tcBorders>
              <w:top w:val="single" w:sz="12" w:space="0" w:color="auto"/>
            </w:tcBorders>
          </w:tcPr>
          <w:p w14:paraId="732C755D"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2020</w:t>
            </w:r>
          </w:p>
        </w:tc>
        <w:tc>
          <w:tcPr>
            <w:tcW w:w="328" w:type="pct"/>
            <w:tcBorders>
              <w:top w:val="single" w:sz="12" w:space="0" w:color="auto"/>
            </w:tcBorders>
          </w:tcPr>
          <w:p w14:paraId="0B9F7231"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30</w:t>
            </w:r>
          </w:p>
        </w:tc>
        <w:tc>
          <w:tcPr>
            <w:tcW w:w="375" w:type="pct"/>
            <w:tcBorders>
              <w:top w:val="single" w:sz="12" w:space="0" w:color="auto"/>
            </w:tcBorders>
          </w:tcPr>
          <w:p w14:paraId="7EEC6996"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Projektų duomenys</w:t>
            </w:r>
          </w:p>
        </w:tc>
        <w:tc>
          <w:tcPr>
            <w:tcW w:w="369" w:type="pct"/>
            <w:tcBorders>
              <w:top w:val="single" w:sz="12" w:space="0" w:color="auto"/>
            </w:tcBorders>
          </w:tcPr>
          <w:p w14:paraId="4E9B8AA4"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15DB9EF3" w14:textId="77777777" w:rsidTr="00A2580C">
        <w:trPr>
          <w:trHeight w:val="545"/>
        </w:trPr>
        <w:tc>
          <w:tcPr>
            <w:tcW w:w="364" w:type="pct"/>
            <w:vMerge/>
          </w:tcPr>
          <w:p w14:paraId="0774DE1A"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297934E2"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29EE86BD" w14:textId="77777777" w:rsidR="00A2580C" w:rsidRPr="00B44B19" w:rsidRDefault="00A2580C" w:rsidP="00A2580C">
            <w:pPr>
              <w:spacing w:after="0" w:line="240" w:lineRule="auto"/>
              <w:jc w:val="both"/>
              <w:rPr>
                <w:rFonts w:cs="Times New Roman"/>
                <w:noProof/>
                <w:sz w:val="16"/>
                <w:szCs w:val="16"/>
              </w:rPr>
            </w:pPr>
          </w:p>
        </w:tc>
        <w:tc>
          <w:tcPr>
            <w:tcW w:w="375" w:type="pct"/>
          </w:tcPr>
          <w:p w14:paraId="3EB3C2D2"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1145DB0B"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3FF0E5ED" w14:textId="77777777" w:rsidR="00A2580C" w:rsidRPr="00B44B19"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Socialiai pažeidžiamų, socialinę riziką (atskirtį) patiriančių asmenų, kurie po dalyvavimo </w:t>
            </w:r>
            <w:r w:rsidR="00CB66FA" w:rsidRPr="00B44B19">
              <w:rPr>
                <w:rFonts w:eastAsia="Calibri" w:cs="Times New Roman"/>
                <w:sz w:val="16"/>
                <w:szCs w:val="16"/>
                <w:lang w:eastAsia="lt-LT" w:bidi="lt-LT"/>
              </w:rPr>
              <w:t xml:space="preserve">veiklose </w:t>
            </w:r>
            <w:r w:rsidRPr="00B44B19">
              <w:rPr>
                <w:rFonts w:eastAsia="Calibri" w:cs="Times New Roman"/>
                <w:sz w:val="16"/>
                <w:szCs w:val="16"/>
                <w:lang w:eastAsia="lt-LT" w:bidi="lt-LT"/>
              </w:rPr>
              <w:t>pradėjo savanoriauti, mokytis, ieškoti darbo arba dirbti, įskaitant savarankišką darbą, dalis</w:t>
            </w:r>
          </w:p>
        </w:tc>
        <w:tc>
          <w:tcPr>
            <w:tcW w:w="328" w:type="pct"/>
          </w:tcPr>
          <w:p w14:paraId="17B18007"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0F895899"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13</w:t>
            </w:r>
          </w:p>
        </w:tc>
        <w:tc>
          <w:tcPr>
            <w:tcW w:w="375" w:type="pct"/>
          </w:tcPr>
          <w:p w14:paraId="2318A712"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2020</w:t>
            </w:r>
          </w:p>
        </w:tc>
        <w:tc>
          <w:tcPr>
            <w:tcW w:w="328" w:type="pct"/>
          </w:tcPr>
          <w:p w14:paraId="03CE2DF1"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30</w:t>
            </w:r>
          </w:p>
        </w:tc>
        <w:tc>
          <w:tcPr>
            <w:tcW w:w="375" w:type="pct"/>
          </w:tcPr>
          <w:p w14:paraId="17C52635"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Projektų duomenys</w:t>
            </w:r>
          </w:p>
        </w:tc>
        <w:tc>
          <w:tcPr>
            <w:tcW w:w="369" w:type="pct"/>
          </w:tcPr>
          <w:p w14:paraId="015786D1"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1D6BEEB5" w14:textId="77777777" w:rsidTr="00A2580C">
        <w:trPr>
          <w:trHeight w:val="411"/>
        </w:trPr>
        <w:tc>
          <w:tcPr>
            <w:tcW w:w="364" w:type="pct"/>
            <w:vMerge/>
          </w:tcPr>
          <w:p w14:paraId="256D8B66"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76899318"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16DCE968" w14:textId="77777777" w:rsidR="00A2580C" w:rsidRPr="00B44B19" w:rsidRDefault="00A2580C" w:rsidP="00A2580C">
            <w:pPr>
              <w:spacing w:after="0" w:line="240" w:lineRule="auto"/>
              <w:jc w:val="both"/>
              <w:rPr>
                <w:rFonts w:cs="Times New Roman"/>
                <w:noProof/>
                <w:sz w:val="16"/>
                <w:szCs w:val="16"/>
              </w:rPr>
            </w:pPr>
          </w:p>
        </w:tc>
        <w:tc>
          <w:tcPr>
            <w:tcW w:w="375" w:type="pct"/>
          </w:tcPr>
          <w:p w14:paraId="33F30962"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0DBBBCD6"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7648151C" w14:textId="77777777" w:rsidR="00A2580C" w:rsidRPr="00B44B19"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Socialiai pažeidžiamų, socialinę riziką (atskirtį) patiriančių</w:t>
            </w:r>
            <w:r w:rsidRPr="00B44B19" w:rsidDel="00F60750">
              <w:rPr>
                <w:rFonts w:eastAsia="Calibri" w:cs="Times New Roman"/>
                <w:sz w:val="16"/>
                <w:szCs w:val="16"/>
                <w:lang w:eastAsia="lt-LT" w:bidi="lt-LT"/>
              </w:rPr>
              <w:t xml:space="preserve"> </w:t>
            </w:r>
            <w:r w:rsidRPr="00B44B19">
              <w:rPr>
                <w:rFonts w:eastAsia="Calibri" w:cs="Times New Roman"/>
                <w:sz w:val="16"/>
                <w:szCs w:val="16"/>
                <w:lang w:eastAsia="lt-LT" w:bidi="lt-LT"/>
              </w:rPr>
              <w:t>asmenų, kurie teigia, kad paslaugos padarė teigiamą poveikį, dalis</w:t>
            </w:r>
          </w:p>
        </w:tc>
        <w:tc>
          <w:tcPr>
            <w:tcW w:w="328" w:type="pct"/>
          </w:tcPr>
          <w:p w14:paraId="465EDC4A"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4035EC4F"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FB75BFA"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68507862"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60</w:t>
            </w:r>
          </w:p>
        </w:tc>
        <w:tc>
          <w:tcPr>
            <w:tcW w:w="375" w:type="pct"/>
          </w:tcPr>
          <w:p w14:paraId="72273D76"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Apklausos duomenys</w:t>
            </w:r>
          </w:p>
        </w:tc>
        <w:tc>
          <w:tcPr>
            <w:tcW w:w="369" w:type="pct"/>
          </w:tcPr>
          <w:p w14:paraId="666DCD5A"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2777FF41" w14:textId="77777777" w:rsidTr="00A2580C">
        <w:trPr>
          <w:trHeight w:val="417"/>
        </w:trPr>
        <w:tc>
          <w:tcPr>
            <w:tcW w:w="364" w:type="pct"/>
            <w:vMerge/>
          </w:tcPr>
          <w:p w14:paraId="50B156A4"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3E55B6F5"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7958A5A0" w14:textId="77777777" w:rsidR="00A2580C" w:rsidRPr="00B44B19" w:rsidRDefault="00A2580C" w:rsidP="00A2580C">
            <w:pPr>
              <w:spacing w:after="0" w:line="240" w:lineRule="auto"/>
              <w:jc w:val="both"/>
              <w:rPr>
                <w:rFonts w:cs="Times New Roman"/>
                <w:noProof/>
                <w:sz w:val="16"/>
                <w:szCs w:val="16"/>
              </w:rPr>
            </w:pPr>
          </w:p>
        </w:tc>
        <w:tc>
          <w:tcPr>
            <w:tcW w:w="375" w:type="pct"/>
          </w:tcPr>
          <w:p w14:paraId="58D6D60C"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44DE6BFE"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23E1BCC0" w14:textId="77777777" w:rsidR="00A2580C" w:rsidRPr="00B44B19" w:rsidRDefault="00A2580C" w:rsidP="00A2580C">
            <w:pPr>
              <w:autoSpaceDE w:val="0"/>
              <w:autoSpaceDN w:val="0"/>
              <w:adjustRightInd w:val="0"/>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Socialiai pažeidžiamų, socialinę riziką (atskirtį) patiriančių</w:t>
            </w:r>
            <w:r w:rsidRPr="00B44B19" w:rsidDel="00F60750">
              <w:rPr>
                <w:rFonts w:eastAsia="Calibri" w:cs="Times New Roman"/>
                <w:sz w:val="16"/>
                <w:szCs w:val="16"/>
                <w:lang w:eastAsia="lt-LT" w:bidi="lt-LT"/>
              </w:rPr>
              <w:t xml:space="preserve"> </w:t>
            </w:r>
            <w:r w:rsidRPr="00B44B19">
              <w:rPr>
                <w:rFonts w:eastAsia="Calibri" w:cs="Times New Roman"/>
                <w:sz w:val="16"/>
                <w:szCs w:val="16"/>
                <w:lang w:eastAsia="lt-LT" w:bidi="lt-LT"/>
              </w:rPr>
              <w:t>asmenų, kurie teigia, kad gaunamos paslaugos padarė teigiamą poveikį, dalis</w:t>
            </w:r>
          </w:p>
        </w:tc>
        <w:tc>
          <w:tcPr>
            <w:tcW w:w="328" w:type="pct"/>
          </w:tcPr>
          <w:p w14:paraId="2612E48C"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3DD69DAF"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D6C1FB5"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68095A7D"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60</w:t>
            </w:r>
          </w:p>
        </w:tc>
        <w:tc>
          <w:tcPr>
            <w:tcW w:w="375" w:type="pct"/>
          </w:tcPr>
          <w:p w14:paraId="49E15170"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Apklausos duomenys</w:t>
            </w:r>
          </w:p>
        </w:tc>
        <w:tc>
          <w:tcPr>
            <w:tcW w:w="369" w:type="pct"/>
          </w:tcPr>
          <w:p w14:paraId="63FE2255"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792CB376" w14:textId="77777777" w:rsidTr="00A2580C">
        <w:trPr>
          <w:trHeight w:val="543"/>
        </w:trPr>
        <w:tc>
          <w:tcPr>
            <w:tcW w:w="364" w:type="pct"/>
            <w:vMerge/>
          </w:tcPr>
          <w:p w14:paraId="41883B6D"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225CA422"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57117688" w14:textId="77777777" w:rsidR="00A2580C" w:rsidRPr="00B44B19" w:rsidRDefault="00A2580C" w:rsidP="00A2580C">
            <w:pPr>
              <w:spacing w:after="0" w:line="240" w:lineRule="auto"/>
              <w:jc w:val="both"/>
              <w:rPr>
                <w:rFonts w:cs="Times New Roman"/>
                <w:noProof/>
                <w:sz w:val="16"/>
                <w:szCs w:val="16"/>
              </w:rPr>
            </w:pPr>
          </w:p>
        </w:tc>
        <w:tc>
          <w:tcPr>
            <w:tcW w:w="375" w:type="pct"/>
          </w:tcPr>
          <w:p w14:paraId="53FD1280"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2EBBA333"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6F70A82D" w14:textId="77777777" w:rsidR="00A2580C" w:rsidRPr="00B44B19" w:rsidRDefault="00A2580C" w:rsidP="00A80D66">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Asmenų, kurie </w:t>
            </w:r>
            <w:r w:rsidR="00A80D66" w:rsidRPr="00B44B19">
              <w:rPr>
                <w:rFonts w:eastAsia="Calibri" w:cs="Times New Roman"/>
                <w:sz w:val="16"/>
                <w:szCs w:val="16"/>
                <w:lang w:eastAsia="lt-LT" w:bidi="lt-LT"/>
              </w:rPr>
              <w:t>baigę dalyvauti</w:t>
            </w:r>
            <w:r w:rsidRPr="00B44B19">
              <w:rPr>
                <w:rFonts w:eastAsia="Calibri" w:cs="Times New Roman"/>
                <w:sz w:val="16"/>
                <w:szCs w:val="16"/>
                <w:lang w:eastAsia="lt-LT" w:bidi="lt-LT"/>
              </w:rPr>
              <w:t xml:space="preserve"> veiklose, skatinančiose moterų ir vyrų lygybę bei apsaugą nuo smurto artimoje aplinkoje, įgijo kompetencijų, dalis</w:t>
            </w:r>
          </w:p>
        </w:tc>
        <w:tc>
          <w:tcPr>
            <w:tcW w:w="328" w:type="pct"/>
          </w:tcPr>
          <w:p w14:paraId="4FF0BF95"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61F28D12" w14:textId="77777777" w:rsidR="00A2580C" w:rsidRPr="00B44B19" w:rsidRDefault="00A80D66" w:rsidP="00A2580C">
            <w:pPr>
              <w:spacing w:after="0" w:line="240" w:lineRule="auto"/>
              <w:jc w:val="center"/>
              <w:rPr>
                <w:rFonts w:cs="Times New Roman"/>
                <w:noProof/>
                <w:sz w:val="16"/>
                <w:szCs w:val="16"/>
              </w:rPr>
            </w:pPr>
            <w:r w:rsidRPr="00B44B19">
              <w:rPr>
                <w:rFonts w:cs="Times New Roman"/>
                <w:noProof/>
                <w:sz w:val="16"/>
                <w:szCs w:val="16"/>
              </w:rPr>
              <w:t>85</w:t>
            </w:r>
          </w:p>
        </w:tc>
        <w:tc>
          <w:tcPr>
            <w:tcW w:w="375" w:type="pct"/>
          </w:tcPr>
          <w:p w14:paraId="311AD27E"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6D09F547"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85</w:t>
            </w:r>
          </w:p>
        </w:tc>
        <w:tc>
          <w:tcPr>
            <w:tcW w:w="375" w:type="pct"/>
          </w:tcPr>
          <w:p w14:paraId="321385E7"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Projektų duomenys</w:t>
            </w:r>
          </w:p>
        </w:tc>
        <w:tc>
          <w:tcPr>
            <w:tcW w:w="369" w:type="pct"/>
          </w:tcPr>
          <w:p w14:paraId="3204B1FB"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042D15A4" w14:textId="77777777" w:rsidTr="00A2580C">
        <w:trPr>
          <w:trHeight w:val="565"/>
        </w:trPr>
        <w:tc>
          <w:tcPr>
            <w:tcW w:w="364" w:type="pct"/>
            <w:vMerge/>
          </w:tcPr>
          <w:p w14:paraId="42EDA86F"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326379D3"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2D4562C7" w14:textId="77777777" w:rsidR="00A2580C" w:rsidRPr="00B44B19" w:rsidRDefault="00A2580C" w:rsidP="00A2580C">
            <w:pPr>
              <w:spacing w:after="0" w:line="240" w:lineRule="auto"/>
              <w:jc w:val="both"/>
              <w:rPr>
                <w:rFonts w:cs="Times New Roman"/>
                <w:noProof/>
                <w:sz w:val="16"/>
                <w:szCs w:val="16"/>
              </w:rPr>
            </w:pPr>
          </w:p>
        </w:tc>
        <w:tc>
          <w:tcPr>
            <w:tcW w:w="375" w:type="pct"/>
          </w:tcPr>
          <w:p w14:paraId="59EB3EF0"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30DA6471"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454C0211" w14:textId="77777777" w:rsidR="00A2580C" w:rsidRPr="00B44B19" w:rsidRDefault="00A2580C" w:rsidP="00A80D66">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Asmenų, kurie </w:t>
            </w:r>
            <w:r w:rsidR="00A80D66" w:rsidRPr="00B44B19">
              <w:rPr>
                <w:rFonts w:eastAsia="Calibri" w:cs="Times New Roman"/>
                <w:sz w:val="16"/>
                <w:szCs w:val="16"/>
                <w:lang w:eastAsia="lt-LT" w:bidi="lt-LT"/>
              </w:rPr>
              <w:t>baigę dalyvauti</w:t>
            </w:r>
            <w:r w:rsidRPr="00B44B19">
              <w:rPr>
                <w:rFonts w:eastAsia="Calibri" w:cs="Times New Roman"/>
                <w:sz w:val="16"/>
                <w:szCs w:val="16"/>
                <w:lang w:eastAsia="lt-LT" w:bidi="lt-LT"/>
              </w:rPr>
              <w:t xml:space="preserve"> veiklose, skatinančiuose moterų ir vyrų lygybę bei apsaugą nuo smurto artimoje aplinkoje, įgijo kompetencijų, dalis</w:t>
            </w:r>
          </w:p>
        </w:tc>
        <w:tc>
          <w:tcPr>
            <w:tcW w:w="328" w:type="pct"/>
          </w:tcPr>
          <w:p w14:paraId="0FF816CD"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3B8F7B08" w14:textId="77777777" w:rsidR="00A2580C" w:rsidRPr="00B44B19" w:rsidRDefault="00A80D66" w:rsidP="00A2580C">
            <w:pPr>
              <w:spacing w:after="0" w:line="240" w:lineRule="auto"/>
              <w:jc w:val="center"/>
              <w:rPr>
                <w:rFonts w:cs="Times New Roman"/>
                <w:noProof/>
                <w:sz w:val="16"/>
                <w:szCs w:val="16"/>
              </w:rPr>
            </w:pPr>
            <w:r w:rsidRPr="00B44B19">
              <w:rPr>
                <w:rFonts w:cs="Times New Roman"/>
                <w:noProof/>
                <w:sz w:val="16"/>
                <w:szCs w:val="16"/>
              </w:rPr>
              <w:t>85</w:t>
            </w:r>
          </w:p>
        </w:tc>
        <w:tc>
          <w:tcPr>
            <w:tcW w:w="375" w:type="pct"/>
          </w:tcPr>
          <w:p w14:paraId="0A6FC377"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7CAA72BC"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85</w:t>
            </w:r>
          </w:p>
        </w:tc>
        <w:tc>
          <w:tcPr>
            <w:tcW w:w="375" w:type="pct"/>
          </w:tcPr>
          <w:p w14:paraId="32009394"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Projektų duomenys</w:t>
            </w:r>
          </w:p>
        </w:tc>
        <w:tc>
          <w:tcPr>
            <w:tcW w:w="369" w:type="pct"/>
          </w:tcPr>
          <w:p w14:paraId="5B2A6337"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5BAB2FB2" w14:textId="77777777" w:rsidTr="00A2580C">
        <w:trPr>
          <w:trHeight w:val="559"/>
        </w:trPr>
        <w:tc>
          <w:tcPr>
            <w:tcW w:w="364" w:type="pct"/>
            <w:vMerge/>
          </w:tcPr>
          <w:p w14:paraId="50A3F431"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3CDBDDCF"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59D91827" w14:textId="77777777" w:rsidR="00A2580C" w:rsidRPr="00B44B19" w:rsidRDefault="00A2580C" w:rsidP="00A2580C">
            <w:pPr>
              <w:spacing w:after="0" w:line="240" w:lineRule="auto"/>
              <w:jc w:val="both"/>
              <w:rPr>
                <w:rFonts w:cs="Times New Roman"/>
                <w:noProof/>
                <w:sz w:val="16"/>
                <w:szCs w:val="16"/>
              </w:rPr>
            </w:pPr>
          </w:p>
        </w:tc>
        <w:tc>
          <w:tcPr>
            <w:tcW w:w="375" w:type="pct"/>
          </w:tcPr>
          <w:p w14:paraId="788074B8"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730AADE7"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7BBE68E1" w14:textId="77777777" w:rsidR="00A2580C" w:rsidRPr="00B44B19" w:rsidRDefault="00A2580C" w:rsidP="00A2580C">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Asmenų, sėkmingai baigusių dalyvauti savanoriškoje veikloje pagal nacionalinį savanoriškos veiklos modelį, dalis</w:t>
            </w:r>
          </w:p>
        </w:tc>
        <w:tc>
          <w:tcPr>
            <w:tcW w:w="328" w:type="pct"/>
          </w:tcPr>
          <w:p w14:paraId="52CA8A94"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3F333FEF"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2C288A71"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w:t>
            </w:r>
            <w:r w:rsidR="00B2490B" w:rsidRPr="00B44B19">
              <w:rPr>
                <w:rFonts w:cs="Times New Roman"/>
                <w:noProof/>
                <w:sz w:val="16"/>
                <w:szCs w:val="16"/>
              </w:rPr>
              <w:t>1</w:t>
            </w:r>
          </w:p>
        </w:tc>
        <w:tc>
          <w:tcPr>
            <w:tcW w:w="328" w:type="pct"/>
          </w:tcPr>
          <w:p w14:paraId="2A53E9FE"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30</w:t>
            </w:r>
          </w:p>
        </w:tc>
        <w:tc>
          <w:tcPr>
            <w:tcW w:w="375" w:type="pct"/>
          </w:tcPr>
          <w:p w14:paraId="7044800D"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Projektų duomenys</w:t>
            </w:r>
          </w:p>
        </w:tc>
        <w:tc>
          <w:tcPr>
            <w:tcW w:w="369" w:type="pct"/>
          </w:tcPr>
          <w:p w14:paraId="0EF15734"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7AAA570A" w14:textId="77777777" w:rsidTr="00A2580C">
        <w:trPr>
          <w:trHeight w:val="553"/>
        </w:trPr>
        <w:tc>
          <w:tcPr>
            <w:tcW w:w="364" w:type="pct"/>
            <w:vMerge/>
          </w:tcPr>
          <w:p w14:paraId="51519648"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41FF2119"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73A586DC" w14:textId="77777777" w:rsidR="00A2580C" w:rsidRPr="00B44B19" w:rsidRDefault="00A2580C" w:rsidP="00A2580C">
            <w:pPr>
              <w:spacing w:after="0" w:line="240" w:lineRule="auto"/>
              <w:jc w:val="both"/>
              <w:rPr>
                <w:rFonts w:cs="Times New Roman"/>
                <w:noProof/>
                <w:sz w:val="16"/>
                <w:szCs w:val="16"/>
              </w:rPr>
            </w:pPr>
          </w:p>
        </w:tc>
        <w:tc>
          <w:tcPr>
            <w:tcW w:w="375" w:type="pct"/>
          </w:tcPr>
          <w:p w14:paraId="30338A67"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44515B39"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00257054" w14:textId="77777777" w:rsidR="00A2580C" w:rsidRPr="00B44B19" w:rsidRDefault="00A2580C" w:rsidP="00A2580C">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Asmenų, sėkmingai baigusių dalyvauti savanoriškoje veikloje pagal nacionalinį savanoriškos veiklos modelį, dalis</w:t>
            </w:r>
          </w:p>
        </w:tc>
        <w:tc>
          <w:tcPr>
            <w:tcW w:w="328" w:type="pct"/>
          </w:tcPr>
          <w:p w14:paraId="3752F918"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052AD881"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7C07300"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202</w:t>
            </w:r>
            <w:r w:rsidR="00B2490B" w:rsidRPr="00B44B19">
              <w:rPr>
                <w:rFonts w:cs="Times New Roman"/>
                <w:noProof/>
                <w:sz w:val="16"/>
                <w:szCs w:val="16"/>
              </w:rPr>
              <w:t>1</w:t>
            </w:r>
          </w:p>
        </w:tc>
        <w:tc>
          <w:tcPr>
            <w:tcW w:w="328" w:type="pct"/>
          </w:tcPr>
          <w:p w14:paraId="0D08B24D"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30</w:t>
            </w:r>
          </w:p>
        </w:tc>
        <w:tc>
          <w:tcPr>
            <w:tcW w:w="375" w:type="pct"/>
          </w:tcPr>
          <w:p w14:paraId="21ACEBA6"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Projektų duomenys</w:t>
            </w:r>
          </w:p>
        </w:tc>
        <w:tc>
          <w:tcPr>
            <w:tcW w:w="369" w:type="pct"/>
          </w:tcPr>
          <w:p w14:paraId="01D8F136"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005FBCB2" w14:textId="77777777" w:rsidTr="00A2580C">
        <w:trPr>
          <w:trHeight w:val="547"/>
        </w:trPr>
        <w:tc>
          <w:tcPr>
            <w:tcW w:w="364" w:type="pct"/>
            <w:vMerge/>
          </w:tcPr>
          <w:p w14:paraId="73DA2433"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12ABBC54"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6164A979" w14:textId="77777777" w:rsidR="00A2580C" w:rsidRPr="00B44B19" w:rsidRDefault="00A2580C" w:rsidP="00A2580C">
            <w:pPr>
              <w:spacing w:after="0" w:line="240" w:lineRule="auto"/>
              <w:jc w:val="both"/>
              <w:rPr>
                <w:rFonts w:cs="Times New Roman"/>
                <w:noProof/>
                <w:sz w:val="16"/>
                <w:szCs w:val="16"/>
              </w:rPr>
            </w:pPr>
          </w:p>
        </w:tc>
        <w:tc>
          <w:tcPr>
            <w:tcW w:w="375" w:type="pct"/>
          </w:tcPr>
          <w:p w14:paraId="6DC66151"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6E9062E0"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342E0E5B" w14:textId="77777777" w:rsidR="00A2580C" w:rsidRPr="00B44B19" w:rsidRDefault="00436F94" w:rsidP="00DF3589">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BIVP projektų veiklų dalyvių</w:t>
            </w:r>
            <w:r w:rsidR="00A2580C" w:rsidRPr="00B44B19">
              <w:rPr>
                <w:rFonts w:eastAsia="Calibri" w:cs="Times New Roman"/>
                <w:sz w:val="16"/>
                <w:szCs w:val="16"/>
                <w:lang w:eastAsia="lt-LT" w:bidi="lt-LT"/>
              </w:rPr>
              <w:t xml:space="preserve">, kurie </w:t>
            </w:r>
            <w:r w:rsidR="00F65EA9" w:rsidRPr="00B44B19">
              <w:rPr>
                <w:rFonts w:eastAsia="Calibri" w:cs="Times New Roman"/>
                <w:sz w:val="16"/>
                <w:szCs w:val="16"/>
                <w:lang w:eastAsia="lt-LT" w:bidi="lt-LT"/>
              </w:rPr>
              <w:t xml:space="preserve">po </w:t>
            </w:r>
            <w:r w:rsidR="00A2580C" w:rsidRPr="00B44B19">
              <w:rPr>
                <w:rFonts w:eastAsia="Calibri" w:cs="Times New Roman"/>
                <w:sz w:val="16"/>
                <w:szCs w:val="16"/>
                <w:lang w:eastAsia="lt-LT" w:bidi="lt-LT"/>
              </w:rPr>
              <w:t>dalyva</w:t>
            </w:r>
            <w:r w:rsidR="00F65EA9" w:rsidRPr="00B44B19">
              <w:rPr>
                <w:rFonts w:eastAsia="Calibri" w:cs="Times New Roman"/>
                <w:sz w:val="16"/>
                <w:szCs w:val="16"/>
                <w:lang w:eastAsia="lt-LT" w:bidi="lt-LT"/>
              </w:rPr>
              <w:t>vimo</w:t>
            </w:r>
            <w:r w:rsidR="00A2580C" w:rsidRPr="00B44B19">
              <w:rPr>
                <w:rFonts w:eastAsia="Calibri" w:cs="Times New Roman"/>
                <w:sz w:val="16"/>
                <w:szCs w:val="16"/>
                <w:lang w:eastAsia="lt-LT" w:bidi="lt-LT"/>
              </w:rPr>
              <w:t xml:space="preserve"> veiklose toliau dalyvauja socialinei integracijai skirtose veiklose ir (ar) darbo rinkoje</w:t>
            </w:r>
            <w:r w:rsidRPr="00B44B19">
              <w:rPr>
                <w:rFonts w:eastAsia="Calibri" w:cs="Times New Roman"/>
                <w:sz w:val="16"/>
                <w:szCs w:val="16"/>
                <w:lang w:eastAsia="lt-LT" w:bidi="lt-LT"/>
              </w:rPr>
              <w:t>, dalis</w:t>
            </w:r>
          </w:p>
        </w:tc>
        <w:tc>
          <w:tcPr>
            <w:tcW w:w="328" w:type="pct"/>
          </w:tcPr>
          <w:p w14:paraId="65E990F3"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4C6A9697" w14:textId="77777777" w:rsidR="00A2580C" w:rsidRPr="00B44B19" w:rsidRDefault="00F42800" w:rsidP="00A2580C">
            <w:pPr>
              <w:spacing w:after="0" w:line="240" w:lineRule="auto"/>
              <w:jc w:val="center"/>
              <w:rPr>
                <w:rFonts w:cs="Times New Roman"/>
                <w:noProof/>
                <w:sz w:val="16"/>
                <w:szCs w:val="16"/>
              </w:rPr>
            </w:pPr>
            <w:r w:rsidRPr="00B44B19">
              <w:rPr>
                <w:rFonts w:cs="Times New Roman"/>
                <w:noProof/>
                <w:sz w:val="16"/>
                <w:szCs w:val="16"/>
              </w:rPr>
              <w:t>31</w:t>
            </w:r>
          </w:p>
        </w:tc>
        <w:tc>
          <w:tcPr>
            <w:tcW w:w="375" w:type="pct"/>
          </w:tcPr>
          <w:p w14:paraId="301FF04E" w14:textId="77777777" w:rsidR="00A2580C" w:rsidRPr="00B44B19" w:rsidRDefault="00F42800" w:rsidP="00A2580C">
            <w:pPr>
              <w:spacing w:after="0" w:line="240" w:lineRule="auto"/>
              <w:jc w:val="center"/>
              <w:rPr>
                <w:rFonts w:cs="Times New Roman"/>
                <w:noProof/>
                <w:sz w:val="16"/>
                <w:szCs w:val="16"/>
              </w:rPr>
            </w:pPr>
            <w:r w:rsidRPr="00B44B19">
              <w:rPr>
                <w:rFonts w:cs="Times New Roman"/>
                <w:noProof/>
                <w:sz w:val="16"/>
                <w:szCs w:val="16"/>
              </w:rPr>
              <w:t>2022</w:t>
            </w:r>
          </w:p>
        </w:tc>
        <w:tc>
          <w:tcPr>
            <w:tcW w:w="328" w:type="pct"/>
          </w:tcPr>
          <w:p w14:paraId="5452A4D2"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40</w:t>
            </w:r>
          </w:p>
        </w:tc>
        <w:tc>
          <w:tcPr>
            <w:tcW w:w="375" w:type="pct"/>
          </w:tcPr>
          <w:p w14:paraId="0189E6E2" w14:textId="77777777" w:rsidR="00A2580C" w:rsidRPr="00B44B19" w:rsidRDefault="00A2580C" w:rsidP="00A2580C">
            <w:pPr>
              <w:spacing w:after="0" w:line="240" w:lineRule="auto"/>
              <w:jc w:val="both"/>
              <w:rPr>
                <w:rFonts w:cs="Times New Roman"/>
                <w:b/>
                <w:noProof/>
                <w:sz w:val="16"/>
                <w:szCs w:val="16"/>
              </w:rPr>
            </w:pPr>
            <w:r w:rsidRPr="00B44B19">
              <w:rPr>
                <w:rFonts w:eastAsia="Calibri" w:cs="Times New Roman"/>
                <w:noProof/>
                <w:sz w:val="16"/>
                <w:szCs w:val="16"/>
              </w:rPr>
              <w:t>Tyrimo ataskaitos</w:t>
            </w:r>
          </w:p>
        </w:tc>
        <w:tc>
          <w:tcPr>
            <w:tcW w:w="369" w:type="pct"/>
          </w:tcPr>
          <w:p w14:paraId="226B105E" w14:textId="77777777" w:rsidR="00A2580C" w:rsidRPr="00B44B19" w:rsidRDefault="00A2580C" w:rsidP="00A2580C">
            <w:pPr>
              <w:spacing w:after="0" w:line="240" w:lineRule="auto"/>
              <w:jc w:val="both"/>
              <w:rPr>
                <w:rFonts w:cs="Times New Roman"/>
                <w:b/>
                <w:noProof/>
                <w:sz w:val="16"/>
                <w:szCs w:val="16"/>
              </w:rPr>
            </w:pPr>
          </w:p>
        </w:tc>
      </w:tr>
      <w:tr w:rsidR="00A2580C" w:rsidRPr="00B44B19" w14:paraId="7DD416DD" w14:textId="77777777" w:rsidTr="00A2580C">
        <w:trPr>
          <w:trHeight w:val="222"/>
        </w:trPr>
        <w:tc>
          <w:tcPr>
            <w:tcW w:w="364" w:type="pct"/>
            <w:vMerge/>
          </w:tcPr>
          <w:p w14:paraId="73D6AFC5" w14:textId="77777777" w:rsidR="00A2580C" w:rsidRPr="00B44B19" w:rsidRDefault="00A2580C" w:rsidP="00A2580C">
            <w:pPr>
              <w:spacing w:after="0" w:line="240" w:lineRule="auto"/>
              <w:jc w:val="both"/>
              <w:rPr>
                <w:rFonts w:cs="Times New Roman"/>
                <w:noProof/>
                <w:sz w:val="16"/>
                <w:szCs w:val="16"/>
              </w:rPr>
            </w:pPr>
          </w:p>
        </w:tc>
        <w:tc>
          <w:tcPr>
            <w:tcW w:w="375" w:type="pct"/>
            <w:vMerge/>
          </w:tcPr>
          <w:p w14:paraId="0E221C7C" w14:textId="77777777" w:rsidR="00A2580C" w:rsidRPr="00B44B19" w:rsidRDefault="00A2580C" w:rsidP="00A2580C">
            <w:pPr>
              <w:spacing w:after="0" w:line="240" w:lineRule="auto"/>
              <w:jc w:val="both"/>
              <w:rPr>
                <w:rFonts w:cs="Times New Roman"/>
                <w:noProof/>
                <w:sz w:val="16"/>
                <w:szCs w:val="16"/>
              </w:rPr>
            </w:pPr>
          </w:p>
        </w:tc>
        <w:tc>
          <w:tcPr>
            <w:tcW w:w="281" w:type="pct"/>
            <w:vMerge/>
          </w:tcPr>
          <w:p w14:paraId="4DAB6756" w14:textId="77777777" w:rsidR="00A2580C" w:rsidRPr="00B44B19" w:rsidRDefault="00A2580C" w:rsidP="00A2580C">
            <w:pPr>
              <w:spacing w:after="0" w:line="240" w:lineRule="auto"/>
              <w:jc w:val="both"/>
              <w:rPr>
                <w:rFonts w:cs="Times New Roman"/>
                <w:noProof/>
                <w:sz w:val="16"/>
                <w:szCs w:val="16"/>
              </w:rPr>
            </w:pPr>
          </w:p>
        </w:tc>
        <w:tc>
          <w:tcPr>
            <w:tcW w:w="375" w:type="pct"/>
          </w:tcPr>
          <w:p w14:paraId="43A8211D" w14:textId="77777777" w:rsidR="00A2580C" w:rsidRPr="00B44B19" w:rsidRDefault="00A2580C" w:rsidP="00A2580C">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240B2B55" w14:textId="77777777" w:rsidR="00A2580C" w:rsidRPr="00B44B19" w:rsidRDefault="00A2580C" w:rsidP="00A2580C">
            <w:pPr>
              <w:spacing w:after="0" w:line="240" w:lineRule="auto"/>
              <w:jc w:val="both"/>
              <w:rPr>
                <w:rFonts w:cs="Times New Roman"/>
                <w:b/>
                <w:noProof/>
                <w:sz w:val="16"/>
                <w:szCs w:val="16"/>
              </w:rPr>
            </w:pPr>
            <w:r w:rsidRPr="00B44B19">
              <w:rPr>
                <w:rFonts w:cs="Times New Roman"/>
                <w:noProof/>
                <w:sz w:val="16"/>
                <w:szCs w:val="16"/>
              </w:rPr>
              <w:t>Specialusis</w:t>
            </w:r>
          </w:p>
        </w:tc>
        <w:tc>
          <w:tcPr>
            <w:tcW w:w="1079" w:type="pct"/>
          </w:tcPr>
          <w:p w14:paraId="5B8A0E87" w14:textId="77777777" w:rsidR="00A2580C" w:rsidRPr="00B44B19" w:rsidRDefault="00436F94" w:rsidP="00A2580C">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BIVP projektų veiklų dalyvių</w:t>
            </w:r>
            <w:r w:rsidR="00A2580C" w:rsidRPr="00B44B19">
              <w:rPr>
                <w:rFonts w:eastAsia="Calibri" w:cs="Times New Roman"/>
                <w:sz w:val="16"/>
                <w:szCs w:val="16"/>
                <w:lang w:eastAsia="lt-LT" w:bidi="lt-LT"/>
              </w:rPr>
              <w:t xml:space="preserve">, kurie </w:t>
            </w:r>
            <w:r w:rsidR="00F65EA9" w:rsidRPr="00B44B19">
              <w:rPr>
                <w:rFonts w:eastAsia="Calibri" w:cs="Times New Roman"/>
                <w:sz w:val="16"/>
                <w:szCs w:val="16"/>
                <w:lang w:eastAsia="lt-LT" w:bidi="lt-LT"/>
              </w:rPr>
              <w:t xml:space="preserve">po </w:t>
            </w:r>
            <w:r w:rsidR="00A2580C" w:rsidRPr="00B44B19">
              <w:rPr>
                <w:rFonts w:eastAsia="Calibri" w:cs="Times New Roman"/>
                <w:sz w:val="16"/>
                <w:szCs w:val="16"/>
                <w:lang w:eastAsia="lt-LT" w:bidi="lt-LT"/>
              </w:rPr>
              <w:t>dalyva</w:t>
            </w:r>
            <w:r w:rsidR="00F65EA9" w:rsidRPr="00B44B19">
              <w:rPr>
                <w:rFonts w:eastAsia="Calibri" w:cs="Times New Roman"/>
                <w:sz w:val="16"/>
                <w:szCs w:val="16"/>
                <w:lang w:eastAsia="lt-LT" w:bidi="lt-LT"/>
              </w:rPr>
              <w:t>vimo</w:t>
            </w:r>
            <w:r w:rsidR="00A2580C" w:rsidRPr="00B44B19">
              <w:rPr>
                <w:rFonts w:eastAsia="Calibri" w:cs="Times New Roman"/>
                <w:sz w:val="16"/>
                <w:szCs w:val="16"/>
                <w:lang w:eastAsia="lt-LT" w:bidi="lt-LT"/>
              </w:rPr>
              <w:t xml:space="preserve"> veiklose toliau dalyvauja socialinei integracijai skirtose veiklose ir (ar) darbo rinkoje</w:t>
            </w:r>
            <w:r w:rsidRPr="00B44B19">
              <w:rPr>
                <w:rFonts w:eastAsia="Calibri" w:cs="Times New Roman"/>
                <w:sz w:val="16"/>
                <w:szCs w:val="16"/>
                <w:lang w:eastAsia="lt-LT" w:bidi="lt-LT"/>
              </w:rPr>
              <w:t>, dalis</w:t>
            </w:r>
          </w:p>
        </w:tc>
        <w:tc>
          <w:tcPr>
            <w:tcW w:w="328" w:type="pct"/>
          </w:tcPr>
          <w:p w14:paraId="5A5C4927" w14:textId="77777777" w:rsidR="00A2580C" w:rsidRPr="00B44B19" w:rsidRDefault="00A2580C" w:rsidP="00A2580C">
            <w:pPr>
              <w:rPr>
                <w:rFonts w:cs="Times New Roman"/>
                <w:sz w:val="16"/>
                <w:szCs w:val="16"/>
              </w:rPr>
            </w:pPr>
            <w:r w:rsidRPr="00B44B19">
              <w:rPr>
                <w:rFonts w:cs="Times New Roman"/>
                <w:noProof/>
                <w:sz w:val="16"/>
                <w:szCs w:val="16"/>
              </w:rPr>
              <w:t>Procentai</w:t>
            </w:r>
          </w:p>
        </w:tc>
        <w:tc>
          <w:tcPr>
            <w:tcW w:w="329" w:type="pct"/>
          </w:tcPr>
          <w:p w14:paraId="216F3D87" w14:textId="77777777" w:rsidR="00A2580C" w:rsidRPr="00B44B19" w:rsidRDefault="00F42800" w:rsidP="00A2580C">
            <w:pPr>
              <w:spacing w:after="0" w:line="240" w:lineRule="auto"/>
              <w:jc w:val="center"/>
              <w:rPr>
                <w:rFonts w:cs="Times New Roman"/>
                <w:noProof/>
                <w:sz w:val="16"/>
                <w:szCs w:val="16"/>
              </w:rPr>
            </w:pPr>
            <w:r w:rsidRPr="00B44B19">
              <w:rPr>
                <w:rFonts w:cs="Times New Roman"/>
                <w:noProof/>
                <w:sz w:val="16"/>
                <w:szCs w:val="16"/>
              </w:rPr>
              <w:t>31</w:t>
            </w:r>
          </w:p>
        </w:tc>
        <w:tc>
          <w:tcPr>
            <w:tcW w:w="375" w:type="pct"/>
          </w:tcPr>
          <w:p w14:paraId="43982E26" w14:textId="77777777" w:rsidR="00A2580C" w:rsidRPr="00B44B19" w:rsidRDefault="00F42800" w:rsidP="00A2580C">
            <w:pPr>
              <w:spacing w:after="0" w:line="240" w:lineRule="auto"/>
              <w:jc w:val="center"/>
              <w:rPr>
                <w:rFonts w:cs="Times New Roman"/>
                <w:noProof/>
                <w:sz w:val="16"/>
                <w:szCs w:val="16"/>
              </w:rPr>
            </w:pPr>
            <w:r w:rsidRPr="00B44B19">
              <w:rPr>
                <w:rFonts w:cs="Times New Roman"/>
                <w:noProof/>
                <w:sz w:val="16"/>
                <w:szCs w:val="16"/>
              </w:rPr>
              <w:t>2022</w:t>
            </w:r>
          </w:p>
        </w:tc>
        <w:tc>
          <w:tcPr>
            <w:tcW w:w="328" w:type="pct"/>
          </w:tcPr>
          <w:p w14:paraId="402F33EF" w14:textId="77777777" w:rsidR="00A2580C" w:rsidRPr="00B44B19" w:rsidRDefault="00A2580C" w:rsidP="00A2580C">
            <w:pPr>
              <w:spacing w:after="0" w:line="240" w:lineRule="auto"/>
              <w:jc w:val="center"/>
              <w:rPr>
                <w:rFonts w:cs="Times New Roman"/>
                <w:noProof/>
                <w:sz w:val="16"/>
                <w:szCs w:val="16"/>
              </w:rPr>
            </w:pPr>
            <w:r w:rsidRPr="00B44B19">
              <w:rPr>
                <w:rFonts w:cs="Times New Roman"/>
                <w:noProof/>
                <w:sz w:val="16"/>
                <w:szCs w:val="16"/>
              </w:rPr>
              <w:t>40</w:t>
            </w:r>
          </w:p>
        </w:tc>
        <w:tc>
          <w:tcPr>
            <w:tcW w:w="375" w:type="pct"/>
          </w:tcPr>
          <w:p w14:paraId="6DE82047" w14:textId="77777777" w:rsidR="00A2580C" w:rsidRPr="00B44B19" w:rsidRDefault="00A2580C" w:rsidP="00A2580C">
            <w:pPr>
              <w:spacing w:after="0" w:line="240" w:lineRule="auto"/>
              <w:jc w:val="both"/>
              <w:rPr>
                <w:rFonts w:cs="Times New Roman"/>
                <w:b/>
                <w:noProof/>
                <w:sz w:val="16"/>
                <w:szCs w:val="16"/>
              </w:rPr>
            </w:pPr>
            <w:r w:rsidRPr="00B44B19">
              <w:rPr>
                <w:rFonts w:eastAsia="Calibri" w:cs="Times New Roman"/>
                <w:noProof/>
                <w:sz w:val="16"/>
                <w:szCs w:val="16"/>
              </w:rPr>
              <w:t>Tyrimo ataskaitos</w:t>
            </w:r>
          </w:p>
        </w:tc>
        <w:tc>
          <w:tcPr>
            <w:tcW w:w="369" w:type="pct"/>
          </w:tcPr>
          <w:p w14:paraId="7D2B366E" w14:textId="77777777" w:rsidR="00A2580C" w:rsidRPr="00B44B19" w:rsidRDefault="00A2580C" w:rsidP="00A2580C">
            <w:pPr>
              <w:spacing w:after="0" w:line="240" w:lineRule="auto"/>
              <w:jc w:val="both"/>
              <w:rPr>
                <w:rFonts w:cs="Times New Roman"/>
                <w:b/>
                <w:noProof/>
                <w:sz w:val="16"/>
                <w:szCs w:val="16"/>
              </w:rPr>
            </w:pPr>
          </w:p>
        </w:tc>
      </w:tr>
    </w:tbl>
    <w:p w14:paraId="4C7E14B2" w14:textId="77777777" w:rsidR="002B441C" w:rsidRPr="00B44B19" w:rsidRDefault="002B441C" w:rsidP="002B441C">
      <w:pPr>
        <w:spacing w:after="0" w:line="240" w:lineRule="auto"/>
        <w:rPr>
          <w:rFonts w:eastAsia="Times New Roman" w:cs="Times New Roman"/>
          <w:b/>
          <w:iCs/>
          <w:noProof/>
          <w:szCs w:val="24"/>
          <w:lang w:eastAsia="lt-LT" w:bidi="lt-LT"/>
        </w:rPr>
      </w:pPr>
    </w:p>
    <w:p w14:paraId="1BECC69C" w14:textId="77777777" w:rsidR="002B441C" w:rsidRPr="00B44B19" w:rsidRDefault="002B441C" w:rsidP="00786CD2">
      <w:pPr>
        <w:jc w:val="both"/>
        <w:rPr>
          <w:rFonts w:cs="Times New Roman"/>
          <w:b/>
          <w:szCs w:val="24"/>
        </w:rPr>
        <w:sectPr w:rsidR="002B441C" w:rsidRPr="00B44B19" w:rsidSect="00931C78">
          <w:pgSz w:w="16838" w:h="11906" w:orient="landscape"/>
          <w:pgMar w:top="1701" w:right="1276" w:bottom="567" w:left="1134" w:header="567" w:footer="567" w:gutter="0"/>
          <w:cols w:space="1296"/>
          <w:docGrid w:linePitch="360"/>
        </w:sectPr>
      </w:pPr>
    </w:p>
    <w:p w14:paraId="658C0F42" w14:textId="77777777" w:rsidR="00786CD2" w:rsidRPr="00B44B19" w:rsidRDefault="00786CD2"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544"/>
        <w:gridCol w:w="1559"/>
      </w:tblGrid>
      <w:tr w:rsidR="0066383D" w:rsidRPr="00B44B19" w14:paraId="28D4AD94"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93246D8" w14:textId="77777777" w:rsidR="0066383D" w:rsidRPr="00B44B19" w:rsidRDefault="0066383D" w:rsidP="0070633A">
            <w:pPr>
              <w:rPr>
                <w:rFonts w:eastAsia="Times New Roman" w:cs="Times New Roman"/>
                <w:b/>
                <w:iCs/>
                <w:noProof/>
                <w:sz w:val="20"/>
              </w:rPr>
            </w:pPr>
            <w:r w:rsidRPr="00B44B19">
              <w:rPr>
                <w:rFonts w:cs="Times New Roman"/>
                <w:b/>
                <w:noProof/>
                <w:sz w:val="20"/>
              </w:rPr>
              <w:t>4 lentelė. 1 matmuo</w:t>
            </w:r>
            <w:r w:rsidR="0070633A" w:rsidRPr="00B44B19">
              <w:rPr>
                <w:rFonts w:cs="Times New Roman"/>
                <w:b/>
                <w:noProof/>
                <w:sz w:val="20"/>
              </w:rPr>
              <w:t>:</w:t>
            </w:r>
            <w:r w:rsidRPr="00B44B19">
              <w:rPr>
                <w:rFonts w:cs="Times New Roman"/>
                <w:b/>
                <w:noProof/>
                <w:sz w:val="20"/>
              </w:rPr>
              <w:t xml:space="preserve"> </w:t>
            </w:r>
            <w:r w:rsidR="0070633A" w:rsidRPr="00B44B19">
              <w:rPr>
                <w:rFonts w:cs="Times New Roman"/>
                <w:b/>
                <w:noProof/>
                <w:sz w:val="20"/>
              </w:rPr>
              <w:t>i</w:t>
            </w:r>
            <w:r w:rsidRPr="00B44B19">
              <w:rPr>
                <w:rFonts w:cs="Times New Roman"/>
                <w:b/>
                <w:noProof/>
                <w:sz w:val="20"/>
              </w:rPr>
              <w:t>ntervencinių priemonių sritis</w:t>
            </w:r>
          </w:p>
        </w:tc>
      </w:tr>
      <w:tr w:rsidR="0066383D" w:rsidRPr="00B44B19" w14:paraId="06A8E6AE"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13C9D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32934C"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4996D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2B8FF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3FC25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104161"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A2580C" w:rsidRPr="00B44B19" w14:paraId="65115E1D" w14:textId="77777777" w:rsidTr="00F903B1">
        <w:tc>
          <w:tcPr>
            <w:tcW w:w="1101" w:type="dxa"/>
            <w:vMerge w:val="restart"/>
            <w:tcBorders>
              <w:top w:val="single" w:sz="12" w:space="0" w:color="auto"/>
            </w:tcBorders>
          </w:tcPr>
          <w:p w14:paraId="18A65CC8" w14:textId="77777777" w:rsidR="00A2580C" w:rsidRPr="00B44B19" w:rsidRDefault="00A2580C" w:rsidP="0092310B">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414227A4" w14:textId="77777777" w:rsidR="00A2580C" w:rsidRPr="00B44B19" w:rsidRDefault="00A2580C" w:rsidP="0092310B">
            <w:pPr>
              <w:jc w:val="center"/>
              <w:rPr>
                <w:rFonts w:eastAsia="Times New Roman" w:cs="Times New Roman"/>
                <w:iCs/>
                <w:noProof/>
                <w:sz w:val="20"/>
              </w:rPr>
            </w:pPr>
            <w:r w:rsidRPr="00B44B19">
              <w:rPr>
                <w:rFonts w:eastAsia="Times New Roman" w:cs="Times New Roman"/>
                <w:iCs/>
                <w:noProof/>
                <w:sz w:val="20"/>
              </w:rPr>
              <w:t>ESF</w:t>
            </w:r>
            <w:r w:rsidR="00EA78C5" w:rsidRPr="00B44B19">
              <w:rPr>
                <w:rFonts w:eastAsia="Times New Roman" w:cs="Times New Roman"/>
                <w:iCs/>
                <w:noProof/>
                <w:sz w:val="20"/>
              </w:rPr>
              <w:t>+</w:t>
            </w:r>
          </w:p>
        </w:tc>
        <w:tc>
          <w:tcPr>
            <w:tcW w:w="1701" w:type="dxa"/>
            <w:tcBorders>
              <w:top w:val="single" w:sz="12" w:space="0" w:color="auto"/>
              <w:bottom w:val="single" w:sz="4" w:space="0" w:color="auto"/>
            </w:tcBorders>
          </w:tcPr>
          <w:p w14:paraId="21F7A741" w14:textId="77777777" w:rsidR="00A2580C" w:rsidRPr="00B44B19" w:rsidRDefault="00A2580C" w:rsidP="00C96C84">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34D838F0" w14:textId="77777777" w:rsidR="00A2580C" w:rsidRPr="00B44B19" w:rsidRDefault="00A2580C" w:rsidP="0092310B">
            <w:pPr>
              <w:jc w:val="center"/>
              <w:rPr>
                <w:rFonts w:eastAsia="Times New Roman" w:cs="Times New Roman"/>
                <w:iCs/>
                <w:noProof/>
                <w:sz w:val="20"/>
              </w:rPr>
            </w:pPr>
            <w:r w:rsidRPr="00B44B19">
              <w:rPr>
                <w:rFonts w:eastAsia="Times New Roman" w:cs="Times New Roman"/>
                <w:iCs/>
                <w:noProof/>
                <w:sz w:val="20"/>
              </w:rPr>
              <w:t>4.7</w:t>
            </w:r>
          </w:p>
        </w:tc>
        <w:tc>
          <w:tcPr>
            <w:tcW w:w="3544" w:type="dxa"/>
            <w:vMerge w:val="restart"/>
            <w:tcBorders>
              <w:top w:val="single" w:sz="12" w:space="0" w:color="auto"/>
            </w:tcBorders>
          </w:tcPr>
          <w:p w14:paraId="660D1E3C" w14:textId="77777777" w:rsidR="00A2580C" w:rsidRPr="00B44B19" w:rsidRDefault="00EA78C5" w:rsidP="00EA78C5">
            <w:pPr>
              <w:rPr>
                <w:rFonts w:eastAsia="Times New Roman" w:cs="Times New Roman"/>
                <w:iCs/>
                <w:noProof/>
                <w:sz w:val="20"/>
              </w:rPr>
            </w:pPr>
            <w:r w:rsidRPr="00B44B19">
              <w:rPr>
                <w:rFonts w:eastAsia="Times New Roman" w:cs="Times New Roman"/>
                <w:iCs/>
                <w:noProof/>
                <w:sz w:val="20"/>
              </w:rPr>
              <w:t xml:space="preserve">152 </w:t>
            </w:r>
            <w:r w:rsidR="0070633A" w:rsidRPr="00B44B19">
              <w:rPr>
                <w:rFonts w:eastAsia="Times New Roman" w:cs="Times New Roman"/>
                <w:iCs/>
                <w:noProof/>
                <w:sz w:val="20"/>
              </w:rPr>
              <w:t>–</w:t>
            </w:r>
            <w:r w:rsidRPr="00B44B19">
              <w:rPr>
                <w:rFonts w:eastAsia="Times New Roman" w:cs="Times New Roman"/>
                <w:iCs/>
                <w:noProof/>
                <w:sz w:val="20"/>
              </w:rPr>
              <w:t xml:space="preserve"> Priemonės, kuriomis skatinamos lygios galimybės ir aktyvus dalyvavimas visuomenėje</w:t>
            </w:r>
          </w:p>
        </w:tc>
        <w:tc>
          <w:tcPr>
            <w:tcW w:w="1559" w:type="dxa"/>
            <w:tcBorders>
              <w:top w:val="single" w:sz="12" w:space="0" w:color="auto"/>
              <w:bottom w:val="single" w:sz="4" w:space="0" w:color="auto"/>
            </w:tcBorders>
          </w:tcPr>
          <w:p w14:paraId="204DD5D7" w14:textId="14CABE97" w:rsidR="00A2580C" w:rsidRPr="00B44B19" w:rsidRDefault="0035509D" w:rsidP="00A2580C">
            <w:pPr>
              <w:jc w:val="right"/>
              <w:rPr>
                <w:rFonts w:eastAsia="Times New Roman" w:cs="Times New Roman"/>
                <w:iCs/>
                <w:noProof/>
                <w:sz w:val="20"/>
              </w:rPr>
            </w:pPr>
            <w:r w:rsidRPr="00B44B19">
              <w:rPr>
                <w:rFonts w:eastAsia="Times New Roman" w:cs="Times New Roman"/>
                <w:iCs/>
                <w:noProof/>
                <w:sz w:val="20"/>
              </w:rPr>
              <w:t>2 642 800 </w:t>
            </w:r>
            <w:r w:rsidR="00A2580C" w:rsidRPr="00B44B19">
              <w:rPr>
                <w:rFonts w:eastAsia="Times New Roman" w:cs="Times New Roman"/>
                <w:iCs/>
                <w:noProof/>
                <w:sz w:val="20"/>
              </w:rPr>
              <w:t>,00</w:t>
            </w:r>
          </w:p>
        </w:tc>
      </w:tr>
      <w:tr w:rsidR="00A2580C" w:rsidRPr="00B44B19" w14:paraId="2D1ACA66" w14:textId="77777777" w:rsidTr="00F903B1">
        <w:tc>
          <w:tcPr>
            <w:tcW w:w="1101" w:type="dxa"/>
            <w:vMerge/>
          </w:tcPr>
          <w:p w14:paraId="66546389" w14:textId="77777777" w:rsidR="00A2580C" w:rsidRPr="00B44B19" w:rsidRDefault="00A2580C" w:rsidP="0092310B">
            <w:pPr>
              <w:jc w:val="center"/>
              <w:rPr>
                <w:rFonts w:eastAsia="Times New Roman" w:cs="Times New Roman"/>
                <w:iCs/>
                <w:noProof/>
                <w:sz w:val="20"/>
              </w:rPr>
            </w:pPr>
          </w:p>
        </w:tc>
        <w:tc>
          <w:tcPr>
            <w:tcW w:w="850" w:type="dxa"/>
            <w:vMerge/>
          </w:tcPr>
          <w:p w14:paraId="4E7B7947"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71E871F4" w14:textId="77777777" w:rsidR="00A2580C" w:rsidRPr="00B44B19" w:rsidRDefault="00A2580C" w:rsidP="00C96C84">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D68A3AF" w14:textId="77777777" w:rsidR="00A2580C" w:rsidRPr="00B44B19" w:rsidRDefault="00A2580C" w:rsidP="0092310B">
            <w:pPr>
              <w:jc w:val="center"/>
              <w:rPr>
                <w:rFonts w:cs="Times New Roman"/>
              </w:rPr>
            </w:pPr>
          </w:p>
        </w:tc>
        <w:tc>
          <w:tcPr>
            <w:tcW w:w="3544" w:type="dxa"/>
            <w:vMerge/>
            <w:tcBorders>
              <w:bottom w:val="single" w:sz="4" w:space="0" w:color="auto"/>
            </w:tcBorders>
          </w:tcPr>
          <w:p w14:paraId="325C6F21" w14:textId="77777777" w:rsidR="00A2580C" w:rsidRPr="00B44B19" w:rsidRDefault="00A2580C" w:rsidP="00EA78C5">
            <w:pPr>
              <w:rPr>
                <w:rFonts w:eastAsia="Times New Roman" w:cs="Times New Roman"/>
                <w:iCs/>
                <w:noProof/>
                <w:sz w:val="20"/>
              </w:rPr>
            </w:pPr>
          </w:p>
        </w:tc>
        <w:tc>
          <w:tcPr>
            <w:tcW w:w="1559" w:type="dxa"/>
            <w:tcBorders>
              <w:top w:val="single" w:sz="4" w:space="0" w:color="auto"/>
              <w:bottom w:val="single" w:sz="4" w:space="0" w:color="auto"/>
            </w:tcBorders>
          </w:tcPr>
          <w:p w14:paraId="1F2016E3" w14:textId="77777777" w:rsidR="00A2580C" w:rsidRPr="00B44B19" w:rsidRDefault="00A2580C" w:rsidP="00846119">
            <w:pPr>
              <w:jc w:val="right"/>
              <w:rPr>
                <w:rFonts w:eastAsia="Times New Roman" w:cs="Times New Roman"/>
                <w:iCs/>
                <w:noProof/>
                <w:sz w:val="20"/>
              </w:rPr>
            </w:pPr>
            <w:r w:rsidRPr="00B44B19">
              <w:rPr>
                <w:rFonts w:eastAsia="Times New Roman" w:cs="Times New Roman"/>
                <w:iCs/>
                <w:noProof/>
                <w:sz w:val="20"/>
              </w:rPr>
              <w:t>25 831 333,00</w:t>
            </w:r>
          </w:p>
        </w:tc>
      </w:tr>
      <w:tr w:rsidR="00A2580C" w:rsidRPr="00B44B19" w14:paraId="75BF8FEB" w14:textId="77777777" w:rsidTr="00F903B1">
        <w:tc>
          <w:tcPr>
            <w:tcW w:w="1101" w:type="dxa"/>
            <w:vMerge/>
          </w:tcPr>
          <w:p w14:paraId="77D36CEA" w14:textId="77777777" w:rsidR="00A2580C" w:rsidRPr="00B44B19" w:rsidRDefault="00A2580C" w:rsidP="0092310B">
            <w:pPr>
              <w:jc w:val="center"/>
              <w:rPr>
                <w:rFonts w:eastAsia="Times New Roman" w:cs="Times New Roman"/>
                <w:iCs/>
                <w:noProof/>
                <w:sz w:val="20"/>
              </w:rPr>
            </w:pPr>
          </w:p>
        </w:tc>
        <w:tc>
          <w:tcPr>
            <w:tcW w:w="850" w:type="dxa"/>
            <w:vMerge/>
          </w:tcPr>
          <w:p w14:paraId="05064040"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5BDB98D0" w14:textId="77777777" w:rsidR="00A2580C" w:rsidRPr="00B44B19" w:rsidRDefault="00A2580C" w:rsidP="00C96C84">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12823AEF" w14:textId="77777777" w:rsidR="00A2580C" w:rsidRPr="00B44B19" w:rsidRDefault="00A2580C" w:rsidP="0092310B">
            <w:pPr>
              <w:jc w:val="center"/>
              <w:rPr>
                <w:rFonts w:cs="Times New Roman"/>
              </w:rPr>
            </w:pPr>
          </w:p>
        </w:tc>
        <w:tc>
          <w:tcPr>
            <w:tcW w:w="3544" w:type="dxa"/>
            <w:vMerge w:val="restart"/>
            <w:tcBorders>
              <w:top w:val="single" w:sz="4" w:space="0" w:color="auto"/>
            </w:tcBorders>
          </w:tcPr>
          <w:p w14:paraId="291B8E5C" w14:textId="77777777" w:rsidR="00A2580C" w:rsidRPr="00B44B19" w:rsidRDefault="00A2580C" w:rsidP="00EA78C5">
            <w:pPr>
              <w:rPr>
                <w:rFonts w:eastAsia="Times New Roman" w:cs="Times New Roman"/>
                <w:iCs/>
                <w:noProof/>
                <w:sz w:val="20"/>
              </w:rPr>
            </w:pPr>
            <w:r w:rsidRPr="00B44B19">
              <w:rPr>
                <w:rFonts w:eastAsia="Times New Roman" w:cs="Times New Roman"/>
                <w:iCs/>
                <w:noProof/>
                <w:sz w:val="20"/>
              </w:rPr>
              <w:t>15</w:t>
            </w:r>
            <w:r w:rsidR="00EA78C5" w:rsidRPr="00B44B19">
              <w:rPr>
                <w:rFonts w:eastAsia="Times New Roman" w:cs="Times New Roman"/>
                <w:iCs/>
                <w:noProof/>
                <w:sz w:val="20"/>
              </w:rPr>
              <w:t xml:space="preserve">3 </w:t>
            </w:r>
            <w:r w:rsidR="0070633A" w:rsidRPr="00B44B19">
              <w:rPr>
                <w:rFonts w:eastAsia="Times New Roman" w:cs="Times New Roman"/>
                <w:iCs/>
                <w:noProof/>
                <w:sz w:val="20"/>
              </w:rPr>
              <w:t>–</w:t>
            </w:r>
            <w:r w:rsidR="00EA78C5" w:rsidRPr="00B44B19">
              <w:rPr>
                <w:rFonts w:eastAsia="Times New Roman" w:cs="Times New Roman"/>
                <w:iCs/>
                <w:noProof/>
                <w:sz w:val="20"/>
              </w:rPr>
              <w:t xml:space="preserve"> Būdai integruoti palankių sąlygų neturinčius asmenis ir grąžinti juos į darbo rinką</w:t>
            </w:r>
          </w:p>
        </w:tc>
        <w:tc>
          <w:tcPr>
            <w:tcW w:w="1559" w:type="dxa"/>
            <w:tcBorders>
              <w:top w:val="single" w:sz="4" w:space="0" w:color="auto"/>
              <w:bottom w:val="single" w:sz="4" w:space="0" w:color="auto"/>
            </w:tcBorders>
          </w:tcPr>
          <w:p w14:paraId="2131275B" w14:textId="77777777" w:rsidR="00A2580C" w:rsidRPr="00B44B19" w:rsidRDefault="00A2580C" w:rsidP="00A2580C">
            <w:pPr>
              <w:jc w:val="right"/>
              <w:rPr>
                <w:rFonts w:eastAsia="Times New Roman" w:cs="Times New Roman"/>
                <w:iCs/>
                <w:noProof/>
                <w:sz w:val="20"/>
              </w:rPr>
            </w:pPr>
            <w:r w:rsidRPr="00B44B19">
              <w:rPr>
                <w:rFonts w:eastAsia="Times New Roman" w:cs="Times New Roman"/>
                <w:iCs/>
                <w:noProof/>
                <w:sz w:val="20"/>
              </w:rPr>
              <w:t>5 571 58</w:t>
            </w:r>
            <w:r w:rsidR="0037014A" w:rsidRPr="00B44B19">
              <w:rPr>
                <w:rFonts w:eastAsia="Times New Roman" w:cs="Times New Roman"/>
                <w:iCs/>
                <w:noProof/>
                <w:sz w:val="20"/>
              </w:rPr>
              <w:t>6</w:t>
            </w:r>
            <w:r w:rsidRPr="00B44B19">
              <w:rPr>
                <w:rFonts w:eastAsia="Times New Roman" w:cs="Times New Roman"/>
                <w:iCs/>
                <w:noProof/>
                <w:sz w:val="20"/>
              </w:rPr>
              <w:t>,00</w:t>
            </w:r>
          </w:p>
        </w:tc>
      </w:tr>
      <w:tr w:rsidR="00A2580C" w:rsidRPr="00B44B19" w14:paraId="2DAD4BB2" w14:textId="77777777" w:rsidTr="00F903B1">
        <w:tc>
          <w:tcPr>
            <w:tcW w:w="1101" w:type="dxa"/>
            <w:vMerge/>
          </w:tcPr>
          <w:p w14:paraId="51011D9C" w14:textId="77777777" w:rsidR="00A2580C" w:rsidRPr="00B44B19" w:rsidRDefault="00A2580C" w:rsidP="0092310B">
            <w:pPr>
              <w:jc w:val="center"/>
              <w:rPr>
                <w:rFonts w:eastAsia="Times New Roman" w:cs="Times New Roman"/>
                <w:iCs/>
                <w:noProof/>
                <w:sz w:val="20"/>
              </w:rPr>
            </w:pPr>
          </w:p>
        </w:tc>
        <w:tc>
          <w:tcPr>
            <w:tcW w:w="850" w:type="dxa"/>
            <w:vMerge/>
          </w:tcPr>
          <w:p w14:paraId="32D9D199"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694AB1F2" w14:textId="77777777" w:rsidR="00A2580C" w:rsidRPr="00B44B19" w:rsidRDefault="00A2580C" w:rsidP="00C96C84">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199892C" w14:textId="77777777" w:rsidR="00A2580C" w:rsidRPr="00B44B19" w:rsidRDefault="00A2580C" w:rsidP="0092310B">
            <w:pPr>
              <w:jc w:val="center"/>
              <w:rPr>
                <w:rFonts w:cs="Times New Roman"/>
              </w:rPr>
            </w:pPr>
          </w:p>
        </w:tc>
        <w:tc>
          <w:tcPr>
            <w:tcW w:w="3544" w:type="dxa"/>
            <w:vMerge/>
            <w:tcBorders>
              <w:bottom w:val="single" w:sz="4" w:space="0" w:color="auto"/>
            </w:tcBorders>
          </w:tcPr>
          <w:p w14:paraId="2A304B48" w14:textId="77777777" w:rsidR="00A2580C" w:rsidRPr="00B44B19" w:rsidRDefault="00A2580C" w:rsidP="0092310B">
            <w:pPr>
              <w:jc w:val="center"/>
              <w:rPr>
                <w:rFonts w:eastAsia="Times New Roman" w:cs="Times New Roman"/>
                <w:iCs/>
                <w:noProof/>
                <w:sz w:val="20"/>
              </w:rPr>
            </w:pPr>
          </w:p>
        </w:tc>
        <w:tc>
          <w:tcPr>
            <w:tcW w:w="1559" w:type="dxa"/>
            <w:tcBorders>
              <w:top w:val="single" w:sz="4" w:space="0" w:color="auto"/>
              <w:bottom w:val="single" w:sz="4" w:space="0" w:color="auto"/>
            </w:tcBorders>
          </w:tcPr>
          <w:p w14:paraId="19C4CB05" w14:textId="77777777" w:rsidR="00A2580C" w:rsidRPr="00B44B19" w:rsidRDefault="00A2580C" w:rsidP="00846119">
            <w:pPr>
              <w:jc w:val="right"/>
              <w:rPr>
                <w:rFonts w:eastAsia="Times New Roman" w:cs="Times New Roman"/>
                <w:iCs/>
                <w:noProof/>
                <w:sz w:val="20"/>
              </w:rPr>
            </w:pPr>
            <w:r w:rsidRPr="00B44B19">
              <w:rPr>
                <w:rFonts w:eastAsia="Times New Roman" w:cs="Times New Roman"/>
                <w:iCs/>
                <w:noProof/>
                <w:sz w:val="20"/>
              </w:rPr>
              <w:t>33 186 25</w:t>
            </w:r>
            <w:r w:rsidR="0037014A" w:rsidRPr="00B44B19">
              <w:rPr>
                <w:rFonts w:eastAsia="Times New Roman" w:cs="Times New Roman"/>
                <w:iCs/>
                <w:noProof/>
                <w:sz w:val="20"/>
              </w:rPr>
              <w:t>3</w:t>
            </w:r>
            <w:r w:rsidRPr="00B44B19">
              <w:rPr>
                <w:rFonts w:eastAsia="Times New Roman" w:cs="Times New Roman"/>
                <w:iCs/>
                <w:noProof/>
                <w:sz w:val="20"/>
              </w:rPr>
              <w:t>,00</w:t>
            </w:r>
          </w:p>
        </w:tc>
      </w:tr>
    </w:tbl>
    <w:p w14:paraId="6C3DAD13" w14:textId="77777777" w:rsidR="0066383D" w:rsidRPr="00B44B19" w:rsidRDefault="0066383D" w:rsidP="00417303">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rsidRPr="00B44B19" w14:paraId="5FB903CD"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525A1B3" w14:textId="77777777" w:rsidR="0066383D" w:rsidRPr="00B44B19" w:rsidRDefault="0066383D" w:rsidP="0070633A">
            <w:pPr>
              <w:rPr>
                <w:rFonts w:eastAsia="Times New Roman" w:cs="Times New Roman"/>
                <w:b/>
                <w:iCs/>
                <w:noProof/>
                <w:sz w:val="20"/>
              </w:rPr>
            </w:pPr>
            <w:r w:rsidRPr="00B44B19">
              <w:rPr>
                <w:rFonts w:cs="Times New Roman"/>
                <w:b/>
                <w:noProof/>
                <w:sz w:val="20"/>
              </w:rPr>
              <w:t>5 lentelė. 2 matmuo</w:t>
            </w:r>
            <w:r w:rsidR="0070633A" w:rsidRPr="00B44B19">
              <w:rPr>
                <w:rFonts w:cs="Times New Roman"/>
                <w:b/>
                <w:noProof/>
                <w:sz w:val="20"/>
              </w:rPr>
              <w:t>:</w:t>
            </w:r>
            <w:r w:rsidRPr="00B44B19">
              <w:rPr>
                <w:rFonts w:cs="Times New Roman"/>
                <w:b/>
                <w:noProof/>
                <w:sz w:val="20"/>
              </w:rPr>
              <w:t xml:space="preserve"> </w:t>
            </w:r>
            <w:r w:rsidR="0070633A" w:rsidRPr="00B44B19">
              <w:rPr>
                <w:rFonts w:cs="Times New Roman"/>
                <w:b/>
                <w:noProof/>
                <w:sz w:val="20"/>
              </w:rPr>
              <w:t>f</w:t>
            </w:r>
            <w:r w:rsidR="0043624A" w:rsidRPr="00B44B19">
              <w:rPr>
                <w:rFonts w:cs="Times New Roman"/>
                <w:b/>
                <w:noProof/>
                <w:sz w:val="20"/>
              </w:rPr>
              <w:t>inansavimo</w:t>
            </w:r>
            <w:r w:rsidR="009351C0" w:rsidRPr="00B44B19">
              <w:rPr>
                <w:rFonts w:cs="Times New Roman"/>
                <w:b/>
                <w:noProof/>
                <w:sz w:val="20"/>
              </w:rPr>
              <w:t xml:space="preserve"> </w:t>
            </w:r>
            <w:r w:rsidRPr="00B44B19">
              <w:rPr>
                <w:rFonts w:cs="Times New Roman"/>
                <w:b/>
                <w:noProof/>
                <w:sz w:val="20"/>
              </w:rPr>
              <w:t>forma</w:t>
            </w:r>
          </w:p>
        </w:tc>
      </w:tr>
      <w:tr w:rsidR="0066383D" w:rsidRPr="00B44B19" w14:paraId="61F0F9AE"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D3BD0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0731B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B55E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EC6F7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7DFB0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5307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B05ED9" w:rsidRPr="00B44B19" w14:paraId="7401E5FD" w14:textId="77777777" w:rsidTr="00F903B1">
        <w:tc>
          <w:tcPr>
            <w:tcW w:w="1101" w:type="dxa"/>
            <w:vMerge w:val="restart"/>
            <w:tcBorders>
              <w:top w:val="single" w:sz="12" w:space="0" w:color="auto"/>
            </w:tcBorders>
          </w:tcPr>
          <w:p w14:paraId="74A767BE" w14:textId="77777777" w:rsidR="00B05ED9" w:rsidRPr="00B44B19" w:rsidRDefault="00B05ED9" w:rsidP="0092310B">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5543D491" w14:textId="77777777" w:rsidR="00B05ED9" w:rsidRPr="00B44B19" w:rsidRDefault="00B05ED9" w:rsidP="0092310B">
            <w:pPr>
              <w:jc w:val="center"/>
              <w:rPr>
                <w:rFonts w:eastAsia="Times New Roman" w:cs="Times New Roman"/>
                <w:iCs/>
                <w:noProof/>
                <w:sz w:val="20"/>
              </w:rPr>
            </w:pPr>
            <w:r w:rsidRPr="00B44B19">
              <w:rPr>
                <w:rFonts w:eastAsia="Times New Roman" w:cs="Times New Roman"/>
                <w:iCs/>
                <w:noProof/>
                <w:sz w:val="20"/>
              </w:rPr>
              <w:t>ESF+</w:t>
            </w:r>
          </w:p>
        </w:tc>
        <w:tc>
          <w:tcPr>
            <w:tcW w:w="1701" w:type="dxa"/>
            <w:tcBorders>
              <w:top w:val="single" w:sz="12" w:space="0" w:color="auto"/>
              <w:bottom w:val="single" w:sz="4" w:space="0" w:color="auto"/>
            </w:tcBorders>
          </w:tcPr>
          <w:p w14:paraId="263E91EC" w14:textId="77777777" w:rsidR="00B05ED9" w:rsidRPr="00B44B19" w:rsidRDefault="00B05ED9" w:rsidP="00C96C84">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4970DD01" w14:textId="77777777" w:rsidR="00B05ED9" w:rsidRPr="00B44B19" w:rsidRDefault="00B05ED9" w:rsidP="0092310B">
            <w:pPr>
              <w:jc w:val="center"/>
              <w:rPr>
                <w:rFonts w:eastAsia="Times New Roman" w:cs="Times New Roman"/>
                <w:iCs/>
                <w:noProof/>
                <w:sz w:val="20"/>
              </w:rPr>
            </w:pPr>
            <w:r w:rsidRPr="00B44B19">
              <w:rPr>
                <w:rFonts w:eastAsia="Times New Roman" w:cs="Times New Roman"/>
                <w:iCs/>
                <w:noProof/>
                <w:sz w:val="20"/>
              </w:rPr>
              <w:t>4.7</w:t>
            </w:r>
          </w:p>
        </w:tc>
        <w:tc>
          <w:tcPr>
            <w:tcW w:w="3544" w:type="dxa"/>
            <w:vMerge w:val="restart"/>
            <w:tcBorders>
              <w:top w:val="single" w:sz="12" w:space="0" w:color="auto"/>
            </w:tcBorders>
          </w:tcPr>
          <w:p w14:paraId="09DB5A24" w14:textId="77777777" w:rsidR="00B05ED9" w:rsidRPr="00B44B19" w:rsidRDefault="00B05ED9" w:rsidP="00EA78C5">
            <w:pPr>
              <w:rPr>
                <w:rFonts w:eastAsia="Times New Roman" w:cs="Times New Roman"/>
                <w:iCs/>
                <w:noProof/>
                <w:sz w:val="20"/>
              </w:rPr>
            </w:pPr>
            <w:r w:rsidRPr="00B44B19">
              <w:rPr>
                <w:rFonts w:eastAsia="Times New Roman" w:cs="Times New Roman"/>
                <w:iCs/>
                <w:noProof/>
                <w:sz w:val="20"/>
              </w:rPr>
              <w:t>01 – Dotacija</w:t>
            </w:r>
          </w:p>
        </w:tc>
        <w:tc>
          <w:tcPr>
            <w:tcW w:w="1559" w:type="dxa"/>
            <w:tcBorders>
              <w:top w:val="single" w:sz="12" w:space="0" w:color="auto"/>
              <w:bottom w:val="single" w:sz="4" w:space="0" w:color="auto"/>
            </w:tcBorders>
          </w:tcPr>
          <w:p w14:paraId="3F1DC456" w14:textId="7862160B" w:rsidR="00B05ED9" w:rsidRPr="00B44B19" w:rsidRDefault="0035509D" w:rsidP="00BA535F">
            <w:pPr>
              <w:jc w:val="right"/>
              <w:rPr>
                <w:rFonts w:eastAsia="Times New Roman" w:cs="Times New Roman"/>
                <w:iCs/>
                <w:noProof/>
                <w:sz w:val="20"/>
              </w:rPr>
            </w:pPr>
            <w:r w:rsidRPr="00B44B19">
              <w:rPr>
                <w:rFonts w:cs="Times New Roman"/>
                <w:color w:val="000000"/>
                <w:sz w:val="20"/>
                <w:szCs w:val="20"/>
              </w:rPr>
              <w:t>8 214 386</w:t>
            </w:r>
            <w:r w:rsidR="00B05ED9" w:rsidRPr="00B44B19">
              <w:rPr>
                <w:rFonts w:cs="Times New Roman"/>
                <w:color w:val="000000"/>
                <w:sz w:val="20"/>
                <w:szCs w:val="20"/>
              </w:rPr>
              <w:t>,00</w:t>
            </w:r>
          </w:p>
        </w:tc>
      </w:tr>
      <w:tr w:rsidR="00B05ED9" w:rsidRPr="00B44B19" w14:paraId="0ABAFC53" w14:textId="77777777" w:rsidTr="00F903B1">
        <w:tc>
          <w:tcPr>
            <w:tcW w:w="1101" w:type="dxa"/>
            <w:vMerge/>
          </w:tcPr>
          <w:p w14:paraId="07E11772" w14:textId="77777777" w:rsidR="00B05ED9" w:rsidRPr="00B44B19" w:rsidRDefault="00B05ED9" w:rsidP="0092310B">
            <w:pPr>
              <w:jc w:val="center"/>
              <w:rPr>
                <w:rFonts w:eastAsia="Times New Roman" w:cs="Times New Roman"/>
                <w:iCs/>
                <w:noProof/>
                <w:sz w:val="20"/>
              </w:rPr>
            </w:pPr>
          </w:p>
        </w:tc>
        <w:tc>
          <w:tcPr>
            <w:tcW w:w="850" w:type="dxa"/>
            <w:vMerge/>
          </w:tcPr>
          <w:p w14:paraId="614D1FB1" w14:textId="77777777" w:rsidR="00B05ED9" w:rsidRPr="00B44B19" w:rsidRDefault="00B05ED9" w:rsidP="0092310B">
            <w:pPr>
              <w:jc w:val="center"/>
              <w:rPr>
                <w:rFonts w:eastAsia="Times New Roman" w:cs="Times New Roman"/>
                <w:iCs/>
                <w:noProof/>
                <w:sz w:val="20"/>
              </w:rPr>
            </w:pPr>
          </w:p>
        </w:tc>
        <w:tc>
          <w:tcPr>
            <w:tcW w:w="1701" w:type="dxa"/>
            <w:tcBorders>
              <w:top w:val="single" w:sz="4" w:space="0" w:color="auto"/>
            </w:tcBorders>
          </w:tcPr>
          <w:p w14:paraId="66C5BABD" w14:textId="77777777" w:rsidR="00B05ED9" w:rsidRPr="00B44B19" w:rsidRDefault="00B05ED9" w:rsidP="00C96C84">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A99E503" w14:textId="77777777" w:rsidR="00B05ED9" w:rsidRPr="00B44B19" w:rsidRDefault="00B05ED9" w:rsidP="0092310B">
            <w:pPr>
              <w:jc w:val="center"/>
              <w:rPr>
                <w:rFonts w:cs="Times New Roman"/>
              </w:rPr>
            </w:pPr>
          </w:p>
        </w:tc>
        <w:tc>
          <w:tcPr>
            <w:tcW w:w="3544" w:type="dxa"/>
            <w:vMerge/>
          </w:tcPr>
          <w:p w14:paraId="0CF383B4" w14:textId="77777777" w:rsidR="00B05ED9" w:rsidRPr="00B44B19" w:rsidRDefault="00B05ED9" w:rsidP="0092310B">
            <w:pPr>
              <w:jc w:val="center"/>
              <w:rPr>
                <w:rFonts w:eastAsia="Times New Roman" w:cs="Times New Roman"/>
                <w:iCs/>
                <w:noProof/>
                <w:sz w:val="20"/>
              </w:rPr>
            </w:pPr>
          </w:p>
        </w:tc>
        <w:tc>
          <w:tcPr>
            <w:tcW w:w="1559" w:type="dxa"/>
            <w:tcBorders>
              <w:top w:val="single" w:sz="4" w:space="0" w:color="auto"/>
            </w:tcBorders>
          </w:tcPr>
          <w:p w14:paraId="75103B2C" w14:textId="2AEFA10B" w:rsidR="00B05ED9" w:rsidRPr="00B44B19" w:rsidRDefault="00B05ED9" w:rsidP="00BA535F">
            <w:pPr>
              <w:jc w:val="right"/>
              <w:rPr>
                <w:rFonts w:eastAsia="Times New Roman" w:cs="Times New Roman"/>
                <w:iCs/>
                <w:noProof/>
                <w:sz w:val="20"/>
              </w:rPr>
            </w:pPr>
            <w:r w:rsidRPr="00B44B19">
              <w:rPr>
                <w:rFonts w:cs="Times New Roman"/>
                <w:color w:val="000000"/>
                <w:sz w:val="20"/>
                <w:szCs w:val="20"/>
              </w:rPr>
              <w:t>59 017 58</w:t>
            </w:r>
            <w:r w:rsidR="0037014A" w:rsidRPr="00B44B19">
              <w:rPr>
                <w:rFonts w:cs="Times New Roman"/>
                <w:color w:val="000000"/>
                <w:sz w:val="20"/>
                <w:szCs w:val="20"/>
              </w:rPr>
              <w:t>6</w:t>
            </w:r>
            <w:r w:rsidRPr="00B44B19">
              <w:rPr>
                <w:rFonts w:cs="Times New Roman"/>
                <w:color w:val="000000"/>
                <w:sz w:val="20"/>
                <w:szCs w:val="20"/>
              </w:rPr>
              <w:t>,00</w:t>
            </w:r>
          </w:p>
        </w:tc>
      </w:tr>
    </w:tbl>
    <w:p w14:paraId="426EC103" w14:textId="77777777" w:rsidR="0066383D" w:rsidRPr="00B44B19" w:rsidRDefault="0066383D" w:rsidP="00417303">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rsidRPr="00B44B19" w14:paraId="545545EB"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DEF6728" w14:textId="77777777" w:rsidR="0066383D" w:rsidRPr="00B44B19" w:rsidRDefault="0066383D" w:rsidP="0070633A">
            <w:pPr>
              <w:rPr>
                <w:rFonts w:eastAsia="Times New Roman" w:cs="Times New Roman"/>
                <w:b/>
                <w:iCs/>
                <w:noProof/>
                <w:sz w:val="20"/>
              </w:rPr>
            </w:pPr>
            <w:r w:rsidRPr="00B44B19">
              <w:rPr>
                <w:rFonts w:cs="Times New Roman"/>
                <w:b/>
                <w:noProof/>
                <w:sz w:val="20"/>
              </w:rPr>
              <w:t>6 lentelė. 3 matmuo</w:t>
            </w:r>
            <w:r w:rsidR="0070633A" w:rsidRPr="00B44B19">
              <w:rPr>
                <w:rFonts w:cs="Times New Roman"/>
                <w:b/>
                <w:noProof/>
                <w:sz w:val="20"/>
              </w:rPr>
              <w:t>:</w:t>
            </w:r>
            <w:r w:rsidRPr="00B44B19">
              <w:rPr>
                <w:rFonts w:cs="Times New Roman"/>
                <w:b/>
                <w:noProof/>
                <w:sz w:val="20"/>
              </w:rPr>
              <w:t xml:space="preserve"> </w:t>
            </w:r>
            <w:r w:rsidR="0070633A" w:rsidRPr="00B44B19">
              <w:rPr>
                <w:rFonts w:cs="Times New Roman"/>
                <w:b/>
                <w:noProof/>
                <w:sz w:val="20"/>
              </w:rPr>
              <w:t>t</w:t>
            </w:r>
            <w:r w:rsidR="009351C0" w:rsidRPr="00B44B19">
              <w:rPr>
                <w:rFonts w:cs="Times New Roman"/>
                <w:b/>
                <w:noProof/>
                <w:sz w:val="20"/>
              </w:rPr>
              <w:t>eritorinis įgyvendinimo mechanizmas ir pagrindinė teritorinė sritis</w:t>
            </w:r>
          </w:p>
        </w:tc>
      </w:tr>
      <w:tr w:rsidR="0066383D" w:rsidRPr="00B44B19" w14:paraId="734DFC95"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6820C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BEA5B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E96B5B"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C822C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EBFAC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0051C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A2580C" w:rsidRPr="00B44B19" w14:paraId="7FE4DEA8" w14:textId="77777777" w:rsidTr="00F903B1">
        <w:tc>
          <w:tcPr>
            <w:tcW w:w="1101" w:type="dxa"/>
            <w:vMerge w:val="restart"/>
            <w:tcBorders>
              <w:top w:val="single" w:sz="12" w:space="0" w:color="auto"/>
            </w:tcBorders>
          </w:tcPr>
          <w:p w14:paraId="11DFD04D" w14:textId="77777777" w:rsidR="00A2580C" w:rsidRPr="00B44B19" w:rsidRDefault="00A2580C" w:rsidP="00A130E7">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5246CA4D" w14:textId="77777777" w:rsidR="00A2580C" w:rsidRPr="00B44B19" w:rsidRDefault="00A2580C" w:rsidP="00A130E7">
            <w:pPr>
              <w:jc w:val="center"/>
              <w:rPr>
                <w:rFonts w:eastAsia="Times New Roman" w:cs="Times New Roman"/>
                <w:iCs/>
                <w:noProof/>
                <w:sz w:val="20"/>
              </w:rPr>
            </w:pPr>
            <w:r w:rsidRPr="00B44B19">
              <w:rPr>
                <w:rFonts w:eastAsia="Times New Roman" w:cs="Times New Roman"/>
                <w:iCs/>
                <w:noProof/>
                <w:sz w:val="20"/>
              </w:rPr>
              <w:t>ESF</w:t>
            </w:r>
            <w:r w:rsidR="00EA78C5" w:rsidRPr="00B44B19">
              <w:rPr>
                <w:rFonts w:eastAsia="Times New Roman" w:cs="Times New Roman"/>
                <w:iCs/>
                <w:noProof/>
                <w:sz w:val="20"/>
              </w:rPr>
              <w:t>+</w:t>
            </w:r>
          </w:p>
        </w:tc>
        <w:tc>
          <w:tcPr>
            <w:tcW w:w="1701" w:type="dxa"/>
            <w:tcBorders>
              <w:top w:val="single" w:sz="12" w:space="0" w:color="auto"/>
              <w:bottom w:val="single" w:sz="4" w:space="0" w:color="auto"/>
            </w:tcBorders>
          </w:tcPr>
          <w:p w14:paraId="00CBCBE3" w14:textId="77777777" w:rsidR="00A2580C" w:rsidRPr="00B44B19" w:rsidRDefault="00A2580C" w:rsidP="00A130E7">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255963C3" w14:textId="77777777" w:rsidR="00A2580C" w:rsidRPr="00B44B19" w:rsidRDefault="00A2580C" w:rsidP="00A130E7">
            <w:pPr>
              <w:jc w:val="center"/>
              <w:rPr>
                <w:rFonts w:eastAsia="Times New Roman" w:cs="Times New Roman"/>
                <w:iCs/>
                <w:noProof/>
                <w:sz w:val="20"/>
              </w:rPr>
            </w:pPr>
            <w:r w:rsidRPr="00B44B19">
              <w:rPr>
                <w:rFonts w:eastAsia="Times New Roman" w:cs="Times New Roman"/>
                <w:iCs/>
                <w:noProof/>
                <w:sz w:val="20"/>
              </w:rPr>
              <w:t>4.7</w:t>
            </w:r>
          </w:p>
        </w:tc>
        <w:tc>
          <w:tcPr>
            <w:tcW w:w="3544" w:type="dxa"/>
            <w:vMerge w:val="restart"/>
            <w:tcBorders>
              <w:top w:val="single" w:sz="12" w:space="0" w:color="auto"/>
            </w:tcBorders>
          </w:tcPr>
          <w:p w14:paraId="7154EE54" w14:textId="77777777" w:rsidR="00A2580C" w:rsidRPr="00B44B19" w:rsidRDefault="009351C0" w:rsidP="009351C0">
            <w:pPr>
              <w:rPr>
                <w:rFonts w:eastAsia="Times New Roman" w:cs="Times New Roman"/>
                <w:iCs/>
                <w:noProof/>
                <w:sz w:val="20"/>
                <w:szCs w:val="20"/>
              </w:rPr>
            </w:pPr>
            <w:r w:rsidRPr="00B44B19">
              <w:rPr>
                <w:rFonts w:eastAsia="Times New Roman" w:cs="Times New Roman"/>
                <w:iCs/>
                <w:noProof/>
                <w:sz w:val="20"/>
                <w:szCs w:val="20"/>
              </w:rPr>
              <w:t xml:space="preserve">10 </w:t>
            </w:r>
            <w:r w:rsidR="0070633A" w:rsidRPr="00B44B19">
              <w:rPr>
                <w:rFonts w:eastAsia="Times New Roman" w:cs="Times New Roman"/>
                <w:iCs/>
                <w:noProof/>
                <w:sz w:val="20"/>
                <w:szCs w:val="20"/>
              </w:rPr>
              <w:t>–</w:t>
            </w:r>
            <w:r w:rsidRPr="00B44B19">
              <w:rPr>
                <w:rFonts w:eastAsia="Times New Roman" w:cs="Times New Roman"/>
                <w:iCs/>
                <w:noProof/>
                <w:sz w:val="20"/>
                <w:szCs w:val="20"/>
              </w:rPr>
              <w:t xml:space="preserve"> Miestai, miesteliai ir priemiesčiai </w:t>
            </w:r>
          </w:p>
        </w:tc>
        <w:tc>
          <w:tcPr>
            <w:tcW w:w="1559" w:type="dxa"/>
            <w:tcBorders>
              <w:top w:val="single" w:sz="12" w:space="0" w:color="auto"/>
              <w:bottom w:val="single" w:sz="4" w:space="0" w:color="auto"/>
            </w:tcBorders>
          </w:tcPr>
          <w:p w14:paraId="62480496" w14:textId="65F4A638" w:rsidR="00A2580C" w:rsidRPr="00B44B19" w:rsidRDefault="0035509D" w:rsidP="00D632AD">
            <w:pPr>
              <w:jc w:val="right"/>
              <w:rPr>
                <w:rFonts w:eastAsia="Times New Roman" w:cs="Times New Roman"/>
                <w:iCs/>
                <w:strike/>
                <w:noProof/>
                <w:sz w:val="20"/>
                <w:szCs w:val="20"/>
              </w:rPr>
            </w:pPr>
            <w:r w:rsidRPr="00B44B19">
              <w:rPr>
                <w:rFonts w:cs="Times New Roman"/>
                <w:color w:val="000000"/>
                <w:sz w:val="20"/>
                <w:szCs w:val="20"/>
              </w:rPr>
              <w:t>1 981 011</w:t>
            </w:r>
            <w:r w:rsidR="009351C0" w:rsidRPr="00B44B19">
              <w:rPr>
                <w:rFonts w:cs="Times New Roman"/>
                <w:color w:val="000000"/>
                <w:sz w:val="20"/>
                <w:szCs w:val="20"/>
              </w:rPr>
              <w:t>,00</w:t>
            </w:r>
          </w:p>
        </w:tc>
      </w:tr>
      <w:tr w:rsidR="00A2580C" w:rsidRPr="00B44B19" w14:paraId="1CBB7AA2" w14:textId="77777777" w:rsidTr="00F903B1">
        <w:tc>
          <w:tcPr>
            <w:tcW w:w="1101" w:type="dxa"/>
            <w:vMerge/>
          </w:tcPr>
          <w:p w14:paraId="0A3ED004" w14:textId="77777777" w:rsidR="00A2580C" w:rsidRPr="00B44B19" w:rsidRDefault="00A2580C" w:rsidP="00AC0D7E">
            <w:pPr>
              <w:jc w:val="center"/>
              <w:rPr>
                <w:rFonts w:eastAsia="Times New Roman" w:cs="Times New Roman"/>
                <w:iCs/>
                <w:noProof/>
                <w:sz w:val="20"/>
              </w:rPr>
            </w:pPr>
          </w:p>
        </w:tc>
        <w:tc>
          <w:tcPr>
            <w:tcW w:w="850" w:type="dxa"/>
            <w:vMerge/>
          </w:tcPr>
          <w:p w14:paraId="26BEDC08" w14:textId="77777777" w:rsidR="00A2580C" w:rsidRPr="00B44B19" w:rsidRDefault="00A2580C" w:rsidP="00A130E7">
            <w:pPr>
              <w:jc w:val="center"/>
              <w:rPr>
                <w:rFonts w:eastAsia="Times New Roman" w:cs="Times New Roman"/>
                <w:iCs/>
                <w:noProof/>
                <w:sz w:val="20"/>
              </w:rPr>
            </w:pPr>
          </w:p>
        </w:tc>
        <w:tc>
          <w:tcPr>
            <w:tcW w:w="1701" w:type="dxa"/>
            <w:tcBorders>
              <w:top w:val="single" w:sz="4" w:space="0" w:color="auto"/>
              <w:bottom w:val="single" w:sz="4" w:space="0" w:color="auto"/>
            </w:tcBorders>
          </w:tcPr>
          <w:p w14:paraId="030BE9B0" w14:textId="77777777" w:rsidR="00A2580C" w:rsidRPr="00B44B19" w:rsidRDefault="00A2580C" w:rsidP="00A130E7">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B10C30D" w14:textId="77777777" w:rsidR="00A2580C" w:rsidRPr="00B44B19" w:rsidRDefault="00A2580C" w:rsidP="00A130E7">
            <w:pPr>
              <w:jc w:val="center"/>
              <w:rPr>
                <w:rFonts w:cs="Times New Roman"/>
              </w:rPr>
            </w:pPr>
          </w:p>
        </w:tc>
        <w:tc>
          <w:tcPr>
            <w:tcW w:w="3544" w:type="dxa"/>
            <w:vMerge/>
            <w:tcBorders>
              <w:bottom w:val="single" w:sz="4" w:space="0" w:color="auto"/>
            </w:tcBorders>
          </w:tcPr>
          <w:p w14:paraId="4D17B9D1" w14:textId="77777777" w:rsidR="00A2580C" w:rsidRPr="00B44B19" w:rsidRDefault="00A2580C" w:rsidP="00EA78C5">
            <w:pPr>
              <w:rPr>
                <w:rFonts w:eastAsia="Times New Roman" w:cs="Times New Roman"/>
                <w:iCs/>
                <w:noProof/>
                <w:sz w:val="20"/>
                <w:szCs w:val="20"/>
              </w:rPr>
            </w:pPr>
          </w:p>
        </w:tc>
        <w:tc>
          <w:tcPr>
            <w:tcW w:w="1559" w:type="dxa"/>
            <w:tcBorders>
              <w:top w:val="single" w:sz="4" w:space="0" w:color="auto"/>
              <w:bottom w:val="single" w:sz="4" w:space="0" w:color="auto"/>
            </w:tcBorders>
          </w:tcPr>
          <w:p w14:paraId="22406DA8" w14:textId="77777777" w:rsidR="00A2580C" w:rsidRPr="00B44B19" w:rsidRDefault="009351C0" w:rsidP="00D632AD">
            <w:pPr>
              <w:jc w:val="right"/>
              <w:rPr>
                <w:rFonts w:eastAsia="Times New Roman" w:cs="Times New Roman"/>
                <w:iCs/>
                <w:strike/>
                <w:noProof/>
                <w:sz w:val="28"/>
                <w:szCs w:val="28"/>
              </w:rPr>
            </w:pPr>
            <w:r w:rsidRPr="00B44B19">
              <w:rPr>
                <w:rFonts w:cs="Times New Roman"/>
                <w:color w:val="000000"/>
                <w:sz w:val="20"/>
                <w:szCs w:val="20"/>
              </w:rPr>
              <w:t>20 779 686,00</w:t>
            </w:r>
          </w:p>
        </w:tc>
      </w:tr>
      <w:tr w:rsidR="00A2580C" w:rsidRPr="00B44B19" w14:paraId="0C07B533" w14:textId="77777777" w:rsidTr="00F903B1">
        <w:tc>
          <w:tcPr>
            <w:tcW w:w="1101" w:type="dxa"/>
            <w:vMerge/>
          </w:tcPr>
          <w:p w14:paraId="5F5C5FF5" w14:textId="77777777" w:rsidR="00A2580C" w:rsidRPr="00B44B19" w:rsidRDefault="00A2580C" w:rsidP="00AC0D7E">
            <w:pPr>
              <w:jc w:val="center"/>
              <w:rPr>
                <w:rFonts w:eastAsia="Times New Roman" w:cs="Times New Roman"/>
                <w:iCs/>
                <w:noProof/>
                <w:sz w:val="20"/>
              </w:rPr>
            </w:pPr>
          </w:p>
        </w:tc>
        <w:tc>
          <w:tcPr>
            <w:tcW w:w="850" w:type="dxa"/>
            <w:vMerge/>
          </w:tcPr>
          <w:p w14:paraId="75DA224D"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4C62DE2E" w14:textId="77777777" w:rsidR="00A2580C" w:rsidRPr="00B44B19" w:rsidRDefault="00A2580C" w:rsidP="00C96C84">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07F26E72" w14:textId="77777777" w:rsidR="00A2580C" w:rsidRPr="00B44B19" w:rsidRDefault="00A2580C" w:rsidP="0092310B">
            <w:pPr>
              <w:jc w:val="center"/>
              <w:rPr>
                <w:rFonts w:eastAsia="Times New Roman" w:cs="Times New Roman"/>
                <w:iCs/>
                <w:noProof/>
                <w:sz w:val="20"/>
              </w:rPr>
            </w:pPr>
          </w:p>
        </w:tc>
        <w:tc>
          <w:tcPr>
            <w:tcW w:w="3544" w:type="dxa"/>
            <w:vMerge w:val="restart"/>
            <w:tcBorders>
              <w:top w:val="single" w:sz="4" w:space="0" w:color="auto"/>
            </w:tcBorders>
          </w:tcPr>
          <w:p w14:paraId="7A83B5D2" w14:textId="77777777" w:rsidR="00A2580C" w:rsidRPr="00B44B19" w:rsidRDefault="00A2580C" w:rsidP="00EA78C5">
            <w:pPr>
              <w:rPr>
                <w:rFonts w:eastAsia="Times New Roman" w:cs="Times New Roman"/>
                <w:iCs/>
                <w:noProof/>
                <w:sz w:val="20"/>
              </w:rPr>
            </w:pPr>
            <w:r w:rsidRPr="00B44B19">
              <w:rPr>
                <w:rFonts w:eastAsia="Times New Roman" w:cs="Times New Roman"/>
                <w:iCs/>
                <w:noProof/>
                <w:sz w:val="20"/>
              </w:rPr>
              <w:t>33</w:t>
            </w:r>
            <w:r w:rsidR="00EA78C5" w:rsidRPr="00B44B19">
              <w:rPr>
                <w:rFonts w:eastAsia="Times New Roman" w:cs="Times New Roman"/>
                <w:iCs/>
                <w:noProof/>
                <w:sz w:val="20"/>
              </w:rPr>
              <w:t xml:space="preserve"> </w:t>
            </w:r>
            <w:r w:rsidR="0070633A" w:rsidRPr="00B44B19">
              <w:rPr>
                <w:rFonts w:eastAsia="Times New Roman" w:cs="Times New Roman"/>
                <w:iCs/>
                <w:noProof/>
                <w:sz w:val="20"/>
              </w:rPr>
              <w:t>–</w:t>
            </w:r>
            <w:r w:rsidR="00EA78C5" w:rsidRPr="00B44B19">
              <w:rPr>
                <w:rFonts w:eastAsia="Times New Roman" w:cs="Times New Roman"/>
                <w:iCs/>
                <w:noProof/>
                <w:sz w:val="20"/>
              </w:rPr>
              <w:t xml:space="preserve"> Nesiorientuojant į teritoriškumą</w:t>
            </w:r>
          </w:p>
        </w:tc>
        <w:tc>
          <w:tcPr>
            <w:tcW w:w="1559" w:type="dxa"/>
            <w:tcBorders>
              <w:top w:val="single" w:sz="4" w:space="0" w:color="auto"/>
              <w:bottom w:val="single" w:sz="4" w:space="0" w:color="auto"/>
            </w:tcBorders>
          </w:tcPr>
          <w:p w14:paraId="29E33226" w14:textId="77777777" w:rsidR="00A2580C" w:rsidRPr="00B44B19" w:rsidRDefault="00A2580C" w:rsidP="00A2580C">
            <w:pPr>
              <w:jc w:val="right"/>
              <w:rPr>
                <w:rFonts w:eastAsia="Times New Roman" w:cs="Times New Roman"/>
                <w:iCs/>
                <w:noProof/>
                <w:sz w:val="20"/>
              </w:rPr>
            </w:pPr>
            <w:r w:rsidRPr="00B44B19">
              <w:rPr>
                <w:rFonts w:eastAsia="Times New Roman" w:cs="Times New Roman"/>
                <w:iCs/>
                <w:noProof/>
                <w:sz w:val="20"/>
              </w:rPr>
              <w:t>6 233 37</w:t>
            </w:r>
            <w:r w:rsidR="0037014A" w:rsidRPr="00B44B19">
              <w:rPr>
                <w:rFonts w:eastAsia="Times New Roman" w:cs="Times New Roman"/>
                <w:iCs/>
                <w:noProof/>
                <w:sz w:val="20"/>
              </w:rPr>
              <w:t>5</w:t>
            </w:r>
            <w:r w:rsidRPr="00B44B19">
              <w:rPr>
                <w:rFonts w:eastAsia="Times New Roman" w:cs="Times New Roman"/>
                <w:iCs/>
                <w:noProof/>
                <w:sz w:val="20"/>
              </w:rPr>
              <w:t>,00</w:t>
            </w:r>
          </w:p>
        </w:tc>
      </w:tr>
      <w:tr w:rsidR="00A2580C" w:rsidRPr="00B44B19" w14:paraId="23085B4C" w14:textId="77777777" w:rsidTr="00F903B1">
        <w:tc>
          <w:tcPr>
            <w:tcW w:w="1101" w:type="dxa"/>
            <w:vMerge/>
          </w:tcPr>
          <w:p w14:paraId="1EBF0D64" w14:textId="77777777" w:rsidR="00A2580C" w:rsidRPr="00B44B19" w:rsidRDefault="00A2580C" w:rsidP="0092310B">
            <w:pPr>
              <w:jc w:val="center"/>
              <w:rPr>
                <w:rFonts w:eastAsia="Times New Roman" w:cs="Times New Roman"/>
                <w:iCs/>
                <w:noProof/>
                <w:sz w:val="20"/>
              </w:rPr>
            </w:pPr>
          </w:p>
        </w:tc>
        <w:tc>
          <w:tcPr>
            <w:tcW w:w="850" w:type="dxa"/>
            <w:vMerge/>
          </w:tcPr>
          <w:p w14:paraId="22718115"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tcBorders>
          </w:tcPr>
          <w:p w14:paraId="7771CE9A" w14:textId="77777777" w:rsidR="00A2580C" w:rsidRPr="00B44B19" w:rsidRDefault="00A2580C" w:rsidP="00C96C84">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640FF130" w14:textId="77777777" w:rsidR="00A2580C" w:rsidRPr="00B44B19" w:rsidRDefault="00A2580C" w:rsidP="0092310B">
            <w:pPr>
              <w:jc w:val="center"/>
              <w:rPr>
                <w:rFonts w:cs="Times New Roman"/>
              </w:rPr>
            </w:pPr>
          </w:p>
        </w:tc>
        <w:tc>
          <w:tcPr>
            <w:tcW w:w="3544" w:type="dxa"/>
            <w:vMerge/>
          </w:tcPr>
          <w:p w14:paraId="52A4B965" w14:textId="77777777" w:rsidR="00A2580C" w:rsidRPr="00B44B19" w:rsidRDefault="00A2580C" w:rsidP="0092310B">
            <w:pPr>
              <w:jc w:val="center"/>
              <w:rPr>
                <w:rFonts w:eastAsia="Times New Roman" w:cs="Times New Roman"/>
                <w:iCs/>
                <w:noProof/>
                <w:sz w:val="20"/>
              </w:rPr>
            </w:pPr>
          </w:p>
        </w:tc>
        <w:tc>
          <w:tcPr>
            <w:tcW w:w="1559" w:type="dxa"/>
            <w:tcBorders>
              <w:top w:val="single" w:sz="4" w:space="0" w:color="auto"/>
            </w:tcBorders>
          </w:tcPr>
          <w:p w14:paraId="1469344E" w14:textId="77777777" w:rsidR="00A2580C" w:rsidRPr="00B44B19" w:rsidRDefault="00A2580C" w:rsidP="00954954">
            <w:pPr>
              <w:jc w:val="right"/>
              <w:rPr>
                <w:rFonts w:eastAsia="Times New Roman" w:cs="Times New Roman"/>
                <w:iCs/>
                <w:noProof/>
                <w:sz w:val="20"/>
              </w:rPr>
            </w:pPr>
            <w:r w:rsidRPr="00B44B19">
              <w:rPr>
                <w:rFonts w:eastAsia="Times New Roman" w:cs="Times New Roman"/>
                <w:iCs/>
                <w:noProof/>
                <w:sz w:val="20"/>
              </w:rPr>
              <w:t>38 237 9</w:t>
            </w:r>
            <w:r w:rsidR="0037014A" w:rsidRPr="00B44B19">
              <w:rPr>
                <w:rFonts w:eastAsia="Times New Roman" w:cs="Times New Roman"/>
                <w:iCs/>
                <w:noProof/>
                <w:sz w:val="20"/>
              </w:rPr>
              <w:t>00</w:t>
            </w:r>
            <w:r w:rsidRPr="00B44B19">
              <w:rPr>
                <w:rFonts w:eastAsia="Times New Roman" w:cs="Times New Roman"/>
                <w:iCs/>
                <w:noProof/>
                <w:sz w:val="20"/>
              </w:rPr>
              <w:t>,00</w:t>
            </w:r>
          </w:p>
        </w:tc>
      </w:tr>
    </w:tbl>
    <w:p w14:paraId="12A3269D" w14:textId="77777777" w:rsidR="0066383D" w:rsidRPr="00B44B19" w:rsidRDefault="0066383D" w:rsidP="00417303">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66383D" w:rsidRPr="00B44B19" w14:paraId="47629762"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0D0AC3" w14:textId="77777777" w:rsidR="0066383D" w:rsidRPr="00B44B19" w:rsidRDefault="0066383D" w:rsidP="0070633A">
            <w:pPr>
              <w:rPr>
                <w:rFonts w:eastAsia="Times New Roman" w:cs="Times New Roman"/>
                <w:b/>
                <w:iCs/>
                <w:noProof/>
                <w:sz w:val="20"/>
              </w:rPr>
            </w:pPr>
            <w:r w:rsidRPr="00B44B19">
              <w:rPr>
                <w:rFonts w:cs="Times New Roman"/>
                <w:b/>
                <w:noProof/>
                <w:sz w:val="20"/>
              </w:rPr>
              <w:t>7 lentelė. 6 matmuo</w:t>
            </w:r>
            <w:r w:rsidR="0070633A" w:rsidRPr="00B44B19">
              <w:rPr>
                <w:rFonts w:cs="Times New Roman"/>
                <w:b/>
                <w:noProof/>
                <w:sz w:val="20"/>
              </w:rPr>
              <w:t>:</w:t>
            </w:r>
            <w:r w:rsidRPr="00B44B19">
              <w:rPr>
                <w:rFonts w:cs="Times New Roman"/>
                <w:b/>
                <w:noProof/>
                <w:sz w:val="20"/>
              </w:rPr>
              <w:t xml:space="preserve"> ESF+ antrinės temos</w:t>
            </w:r>
          </w:p>
        </w:tc>
      </w:tr>
      <w:tr w:rsidR="0066383D" w:rsidRPr="00B44B19" w14:paraId="3AD994BF" w14:textId="77777777" w:rsidTr="00F903B1">
        <w:trPr>
          <w:trHeight w:val="549"/>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565B73"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FF243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E33B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B2E17A"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80D1AC"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F890D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A2580C" w:rsidRPr="00B44B19" w14:paraId="4982DE1F" w14:textId="77777777" w:rsidTr="00F903B1">
        <w:tc>
          <w:tcPr>
            <w:tcW w:w="1101" w:type="dxa"/>
            <w:vMerge w:val="restart"/>
            <w:tcBorders>
              <w:top w:val="single" w:sz="12" w:space="0" w:color="auto"/>
            </w:tcBorders>
          </w:tcPr>
          <w:p w14:paraId="482C3AE7" w14:textId="77777777" w:rsidR="00A2580C" w:rsidRPr="00B44B19" w:rsidRDefault="00A2580C" w:rsidP="0092310B">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63DC8FC0" w14:textId="77777777" w:rsidR="00A2580C" w:rsidRPr="00B44B19" w:rsidRDefault="00A2580C" w:rsidP="0092310B">
            <w:pPr>
              <w:jc w:val="center"/>
              <w:rPr>
                <w:rFonts w:eastAsia="Times New Roman" w:cs="Times New Roman"/>
                <w:iCs/>
                <w:noProof/>
                <w:sz w:val="20"/>
              </w:rPr>
            </w:pPr>
            <w:r w:rsidRPr="00B44B19">
              <w:rPr>
                <w:rFonts w:eastAsia="Times New Roman" w:cs="Times New Roman"/>
                <w:iCs/>
                <w:noProof/>
                <w:sz w:val="20"/>
              </w:rPr>
              <w:t>ESF</w:t>
            </w:r>
            <w:r w:rsidR="00EA78C5" w:rsidRPr="00B44B19">
              <w:rPr>
                <w:rFonts w:eastAsia="Times New Roman" w:cs="Times New Roman"/>
                <w:iCs/>
                <w:noProof/>
                <w:sz w:val="20"/>
              </w:rPr>
              <w:t>+</w:t>
            </w:r>
          </w:p>
        </w:tc>
        <w:tc>
          <w:tcPr>
            <w:tcW w:w="1701" w:type="dxa"/>
            <w:tcBorders>
              <w:top w:val="single" w:sz="12" w:space="0" w:color="auto"/>
              <w:bottom w:val="single" w:sz="4" w:space="0" w:color="auto"/>
            </w:tcBorders>
          </w:tcPr>
          <w:p w14:paraId="1F839ECE" w14:textId="77777777" w:rsidR="00A2580C" w:rsidRPr="00B44B19" w:rsidRDefault="00A2580C" w:rsidP="00C75119">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17700773" w14:textId="77777777" w:rsidR="00A2580C" w:rsidRPr="00B44B19" w:rsidRDefault="00A2580C" w:rsidP="0092310B">
            <w:pPr>
              <w:jc w:val="center"/>
              <w:rPr>
                <w:rFonts w:eastAsia="Times New Roman" w:cs="Times New Roman"/>
                <w:iCs/>
                <w:noProof/>
                <w:sz w:val="20"/>
              </w:rPr>
            </w:pPr>
            <w:r w:rsidRPr="00B44B19">
              <w:rPr>
                <w:rFonts w:eastAsia="Times New Roman" w:cs="Times New Roman"/>
                <w:iCs/>
                <w:noProof/>
                <w:sz w:val="20"/>
              </w:rPr>
              <w:t>4.7</w:t>
            </w:r>
          </w:p>
        </w:tc>
        <w:tc>
          <w:tcPr>
            <w:tcW w:w="3544" w:type="dxa"/>
            <w:vMerge w:val="restart"/>
            <w:tcBorders>
              <w:top w:val="single" w:sz="12" w:space="0" w:color="auto"/>
            </w:tcBorders>
          </w:tcPr>
          <w:p w14:paraId="3FDA8C9C" w14:textId="77777777" w:rsidR="00A2580C" w:rsidRPr="00B44B19" w:rsidRDefault="00A2580C" w:rsidP="00EA78C5">
            <w:pPr>
              <w:rPr>
                <w:rFonts w:eastAsia="Times New Roman" w:cs="Times New Roman"/>
                <w:iCs/>
                <w:noProof/>
                <w:sz w:val="20"/>
              </w:rPr>
            </w:pPr>
            <w:r w:rsidRPr="00B44B19">
              <w:rPr>
                <w:rFonts w:eastAsia="Times New Roman" w:cs="Times New Roman"/>
                <w:iCs/>
                <w:noProof/>
                <w:sz w:val="20"/>
              </w:rPr>
              <w:t>05</w:t>
            </w:r>
            <w:r w:rsidR="00EA78C5" w:rsidRPr="00B44B19">
              <w:rPr>
                <w:rFonts w:eastAsia="Times New Roman" w:cs="Times New Roman"/>
                <w:iCs/>
                <w:noProof/>
                <w:sz w:val="20"/>
              </w:rPr>
              <w:t xml:space="preserve"> </w:t>
            </w:r>
            <w:r w:rsidR="0070633A" w:rsidRPr="00B44B19">
              <w:rPr>
                <w:rFonts w:eastAsia="Times New Roman" w:cs="Times New Roman"/>
                <w:iCs/>
                <w:noProof/>
                <w:sz w:val="20"/>
              </w:rPr>
              <w:t>–</w:t>
            </w:r>
            <w:r w:rsidR="00EA78C5" w:rsidRPr="00B44B19">
              <w:rPr>
                <w:rFonts w:eastAsia="Times New Roman" w:cs="Times New Roman"/>
                <w:iCs/>
                <w:noProof/>
                <w:sz w:val="20"/>
              </w:rPr>
              <w:t xml:space="preserve"> Nediskriminavimas</w:t>
            </w:r>
          </w:p>
        </w:tc>
        <w:tc>
          <w:tcPr>
            <w:tcW w:w="1559" w:type="dxa"/>
            <w:tcBorders>
              <w:top w:val="single" w:sz="12" w:space="0" w:color="auto"/>
              <w:bottom w:val="single" w:sz="4" w:space="0" w:color="auto"/>
            </w:tcBorders>
          </w:tcPr>
          <w:p w14:paraId="3E51219A" w14:textId="77777777" w:rsidR="00A2580C" w:rsidRPr="00B44B19" w:rsidRDefault="00A2580C" w:rsidP="00A2580C">
            <w:pPr>
              <w:jc w:val="right"/>
              <w:rPr>
                <w:rFonts w:eastAsia="Times New Roman" w:cs="Times New Roman"/>
                <w:iCs/>
                <w:noProof/>
                <w:sz w:val="20"/>
              </w:rPr>
            </w:pPr>
            <w:r w:rsidRPr="00B44B19">
              <w:rPr>
                <w:rFonts w:eastAsia="Times New Roman" w:cs="Times New Roman"/>
                <w:iCs/>
                <w:noProof/>
                <w:sz w:val="20"/>
              </w:rPr>
              <w:t>296 3</w:t>
            </w:r>
            <w:r w:rsidR="0037014A" w:rsidRPr="00B44B19">
              <w:rPr>
                <w:rFonts w:eastAsia="Times New Roman" w:cs="Times New Roman"/>
                <w:iCs/>
                <w:noProof/>
                <w:sz w:val="20"/>
              </w:rPr>
              <w:t>21</w:t>
            </w:r>
            <w:r w:rsidRPr="00B44B19">
              <w:rPr>
                <w:rFonts w:eastAsia="Times New Roman" w:cs="Times New Roman"/>
                <w:iCs/>
                <w:noProof/>
                <w:sz w:val="20"/>
              </w:rPr>
              <w:t>,00</w:t>
            </w:r>
          </w:p>
        </w:tc>
      </w:tr>
      <w:tr w:rsidR="00A2580C" w:rsidRPr="00B44B19" w14:paraId="385D9829" w14:textId="77777777" w:rsidTr="00F903B1">
        <w:tc>
          <w:tcPr>
            <w:tcW w:w="1101" w:type="dxa"/>
            <w:vMerge/>
          </w:tcPr>
          <w:p w14:paraId="3C90288C" w14:textId="77777777" w:rsidR="00A2580C" w:rsidRPr="00B44B19" w:rsidRDefault="00A2580C" w:rsidP="0092310B">
            <w:pPr>
              <w:jc w:val="center"/>
              <w:rPr>
                <w:rFonts w:eastAsia="Times New Roman" w:cs="Times New Roman"/>
                <w:iCs/>
                <w:noProof/>
                <w:sz w:val="20"/>
              </w:rPr>
            </w:pPr>
          </w:p>
        </w:tc>
        <w:tc>
          <w:tcPr>
            <w:tcW w:w="850" w:type="dxa"/>
            <w:vMerge/>
          </w:tcPr>
          <w:p w14:paraId="0170622C"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4F72E742" w14:textId="77777777" w:rsidR="00A2580C" w:rsidRPr="00B44B19" w:rsidRDefault="00A2580C" w:rsidP="00C75119">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061EAE71" w14:textId="77777777" w:rsidR="00A2580C" w:rsidRPr="00B44B19" w:rsidRDefault="00A2580C" w:rsidP="0092310B">
            <w:pPr>
              <w:jc w:val="center"/>
              <w:rPr>
                <w:rFonts w:cs="Times New Roman"/>
              </w:rPr>
            </w:pPr>
          </w:p>
        </w:tc>
        <w:tc>
          <w:tcPr>
            <w:tcW w:w="3544" w:type="dxa"/>
            <w:vMerge/>
            <w:tcBorders>
              <w:bottom w:val="single" w:sz="4" w:space="0" w:color="auto"/>
            </w:tcBorders>
          </w:tcPr>
          <w:p w14:paraId="6216CD5C" w14:textId="77777777" w:rsidR="00A2580C" w:rsidRPr="00B44B19" w:rsidRDefault="00A2580C" w:rsidP="00EA78C5">
            <w:pPr>
              <w:rPr>
                <w:rFonts w:eastAsia="Times New Roman" w:cs="Times New Roman"/>
                <w:iCs/>
                <w:noProof/>
                <w:sz w:val="20"/>
              </w:rPr>
            </w:pPr>
          </w:p>
        </w:tc>
        <w:tc>
          <w:tcPr>
            <w:tcW w:w="1559" w:type="dxa"/>
            <w:tcBorders>
              <w:top w:val="single" w:sz="4" w:space="0" w:color="auto"/>
              <w:bottom w:val="single" w:sz="4" w:space="0" w:color="auto"/>
            </w:tcBorders>
          </w:tcPr>
          <w:p w14:paraId="1FD137FD" w14:textId="77777777" w:rsidR="00A2580C" w:rsidRPr="00B44B19" w:rsidRDefault="00A2580C" w:rsidP="00954954">
            <w:pPr>
              <w:jc w:val="right"/>
              <w:rPr>
                <w:rFonts w:eastAsia="Times New Roman" w:cs="Times New Roman"/>
                <w:iCs/>
                <w:noProof/>
                <w:sz w:val="20"/>
              </w:rPr>
            </w:pPr>
            <w:r w:rsidRPr="00B44B19">
              <w:rPr>
                <w:rFonts w:eastAsia="Times New Roman" w:cs="Times New Roman"/>
                <w:iCs/>
                <w:noProof/>
                <w:sz w:val="20"/>
              </w:rPr>
              <w:t>1 969 28</w:t>
            </w:r>
            <w:r w:rsidR="0037014A" w:rsidRPr="00B44B19">
              <w:rPr>
                <w:rFonts w:eastAsia="Times New Roman" w:cs="Times New Roman"/>
                <w:iCs/>
                <w:noProof/>
                <w:sz w:val="20"/>
              </w:rPr>
              <w:t>3</w:t>
            </w:r>
            <w:r w:rsidRPr="00B44B19">
              <w:rPr>
                <w:rFonts w:eastAsia="Times New Roman" w:cs="Times New Roman"/>
                <w:iCs/>
                <w:noProof/>
                <w:sz w:val="20"/>
              </w:rPr>
              <w:t>,00</w:t>
            </w:r>
          </w:p>
        </w:tc>
      </w:tr>
      <w:tr w:rsidR="00A2580C" w:rsidRPr="00B44B19" w14:paraId="1436E280" w14:textId="77777777" w:rsidTr="00F903B1">
        <w:tc>
          <w:tcPr>
            <w:tcW w:w="1101" w:type="dxa"/>
            <w:vMerge/>
          </w:tcPr>
          <w:p w14:paraId="79A34005" w14:textId="77777777" w:rsidR="00A2580C" w:rsidRPr="00B44B19" w:rsidRDefault="00A2580C" w:rsidP="0092310B">
            <w:pPr>
              <w:jc w:val="center"/>
              <w:rPr>
                <w:rFonts w:eastAsia="Times New Roman" w:cs="Times New Roman"/>
                <w:iCs/>
                <w:noProof/>
                <w:sz w:val="20"/>
              </w:rPr>
            </w:pPr>
          </w:p>
        </w:tc>
        <w:tc>
          <w:tcPr>
            <w:tcW w:w="850" w:type="dxa"/>
            <w:vMerge/>
          </w:tcPr>
          <w:p w14:paraId="06DC0BF0"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42C29D13" w14:textId="77777777" w:rsidR="00A2580C" w:rsidRPr="00B44B19" w:rsidRDefault="00A2580C" w:rsidP="00C75119">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3F10C628" w14:textId="77777777" w:rsidR="00A2580C" w:rsidRPr="00B44B19" w:rsidRDefault="00A2580C" w:rsidP="0092310B">
            <w:pPr>
              <w:jc w:val="center"/>
              <w:rPr>
                <w:rFonts w:eastAsia="Times New Roman" w:cs="Times New Roman"/>
                <w:iCs/>
                <w:noProof/>
                <w:sz w:val="20"/>
              </w:rPr>
            </w:pPr>
          </w:p>
        </w:tc>
        <w:tc>
          <w:tcPr>
            <w:tcW w:w="3544" w:type="dxa"/>
            <w:vMerge w:val="restart"/>
            <w:tcBorders>
              <w:top w:val="single" w:sz="4" w:space="0" w:color="auto"/>
            </w:tcBorders>
          </w:tcPr>
          <w:p w14:paraId="018EC7B9" w14:textId="77777777" w:rsidR="00A2580C" w:rsidRPr="00B44B19" w:rsidRDefault="00A2580C" w:rsidP="00EA78C5">
            <w:pPr>
              <w:rPr>
                <w:rFonts w:eastAsia="Times New Roman" w:cs="Times New Roman"/>
                <w:iCs/>
                <w:noProof/>
                <w:sz w:val="20"/>
              </w:rPr>
            </w:pPr>
            <w:r w:rsidRPr="00B44B19">
              <w:rPr>
                <w:rFonts w:eastAsia="Times New Roman" w:cs="Times New Roman"/>
                <w:iCs/>
                <w:noProof/>
                <w:sz w:val="20"/>
              </w:rPr>
              <w:t>08</w:t>
            </w:r>
            <w:r w:rsidR="00EA78C5" w:rsidRPr="00B44B19">
              <w:rPr>
                <w:rFonts w:eastAsia="Times New Roman" w:cs="Times New Roman"/>
                <w:iCs/>
                <w:noProof/>
                <w:sz w:val="20"/>
              </w:rPr>
              <w:t xml:space="preserve"> </w:t>
            </w:r>
            <w:r w:rsidR="0070633A" w:rsidRPr="00B44B19">
              <w:rPr>
                <w:rFonts w:eastAsia="Times New Roman" w:cs="Times New Roman"/>
                <w:iCs/>
                <w:noProof/>
                <w:sz w:val="20"/>
              </w:rPr>
              <w:t>–</w:t>
            </w:r>
            <w:r w:rsidR="00EA78C5" w:rsidRPr="00B44B19">
              <w:rPr>
                <w:rFonts w:eastAsia="Times New Roman" w:cs="Times New Roman"/>
                <w:iCs/>
                <w:noProof/>
                <w:sz w:val="20"/>
              </w:rPr>
              <w:t xml:space="preserve"> Pilietinės visuomenės organizacijų gebėjimų stiprinimas</w:t>
            </w:r>
          </w:p>
        </w:tc>
        <w:tc>
          <w:tcPr>
            <w:tcW w:w="1559" w:type="dxa"/>
            <w:tcBorders>
              <w:top w:val="single" w:sz="4" w:space="0" w:color="auto"/>
              <w:bottom w:val="single" w:sz="4" w:space="0" w:color="auto"/>
            </w:tcBorders>
          </w:tcPr>
          <w:p w14:paraId="5D90B9DB" w14:textId="77777777" w:rsidR="00A2580C" w:rsidRPr="00B44B19" w:rsidRDefault="00A2580C" w:rsidP="00A2580C">
            <w:pPr>
              <w:jc w:val="right"/>
              <w:rPr>
                <w:rFonts w:eastAsia="Times New Roman" w:cs="Times New Roman"/>
                <w:iCs/>
                <w:noProof/>
                <w:sz w:val="20"/>
              </w:rPr>
            </w:pPr>
            <w:r w:rsidRPr="00B44B19">
              <w:rPr>
                <w:rFonts w:eastAsia="Times New Roman" w:cs="Times New Roman"/>
                <w:iCs/>
                <w:noProof/>
                <w:sz w:val="20"/>
              </w:rPr>
              <w:t>365 471,00</w:t>
            </w:r>
          </w:p>
        </w:tc>
      </w:tr>
      <w:tr w:rsidR="00A2580C" w:rsidRPr="00B44B19" w14:paraId="3FCDD141" w14:textId="77777777" w:rsidTr="00F903B1">
        <w:tc>
          <w:tcPr>
            <w:tcW w:w="1101" w:type="dxa"/>
            <w:vMerge/>
          </w:tcPr>
          <w:p w14:paraId="189C0292" w14:textId="77777777" w:rsidR="00A2580C" w:rsidRPr="00B44B19" w:rsidRDefault="00A2580C" w:rsidP="0092310B">
            <w:pPr>
              <w:jc w:val="center"/>
              <w:rPr>
                <w:rFonts w:eastAsia="Times New Roman" w:cs="Times New Roman"/>
                <w:iCs/>
                <w:noProof/>
                <w:sz w:val="20"/>
              </w:rPr>
            </w:pPr>
          </w:p>
        </w:tc>
        <w:tc>
          <w:tcPr>
            <w:tcW w:w="850" w:type="dxa"/>
            <w:vMerge/>
          </w:tcPr>
          <w:p w14:paraId="341B6C1D" w14:textId="77777777" w:rsidR="00A2580C" w:rsidRPr="00B44B19" w:rsidRDefault="00A2580C"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1B0F5C8B" w14:textId="77777777" w:rsidR="00A2580C" w:rsidRPr="00B44B19" w:rsidRDefault="00A2580C" w:rsidP="00C75119">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375E0954" w14:textId="77777777" w:rsidR="00A2580C" w:rsidRPr="00B44B19" w:rsidRDefault="00A2580C" w:rsidP="0092310B">
            <w:pPr>
              <w:jc w:val="center"/>
              <w:rPr>
                <w:rFonts w:cs="Times New Roman"/>
              </w:rPr>
            </w:pPr>
          </w:p>
        </w:tc>
        <w:tc>
          <w:tcPr>
            <w:tcW w:w="3544" w:type="dxa"/>
            <w:vMerge/>
            <w:tcBorders>
              <w:bottom w:val="single" w:sz="4" w:space="0" w:color="auto"/>
            </w:tcBorders>
          </w:tcPr>
          <w:p w14:paraId="2D98A446" w14:textId="77777777" w:rsidR="00A2580C" w:rsidRPr="00B44B19" w:rsidRDefault="00A2580C" w:rsidP="00EA78C5">
            <w:pPr>
              <w:rPr>
                <w:rFonts w:eastAsia="Times New Roman" w:cs="Times New Roman"/>
                <w:iCs/>
                <w:noProof/>
                <w:sz w:val="20"/>
              </w:rPr>
            </w:pPr>
          </w:p>
        </w:tc>
        <w:tc>
          <w:tcPr>
            <w:tcW w:w="1559" w:type="dxa"/>
            <w:tcBorders>
              <w:top w:val="single" w:sz="4" w:space="0" w:color="auto"/>
              <w:bottom w:val="single" w:sz="4" w:space="0" w:color="auto"/>
            </w:tcBorders>
          </w:tcPr>
          <w:p w14:paraId="53E2D337" w14:textId="77777777" w:rsidR="00A2580C" w:rsidRPr="00B44B19" w:rsidRDefault="00A2580C" w:rsidP="00954954">
            <w:pPr>
              <w:jc w:val="right"/>
              <w:rPr>
                <w:rFonts w:eastAsia="Times New Roman" w:cs="Times New Roman"/>
                <w:iCs/>
                <w:noProof/>
                <w:sz w:val="20"/>
              </w:rPr>
            </w:pPr>
            <w:r w:rsidRPr="00B44B19">
              <w:rPr>
                <w:rFonts w:eastAsia="Times New Roman" w:cs="Times New Roman"/>
                <w:iCs/>
                <w:noProof/>
                <w:sz w:val="20"/>
              </w:rPr>
              <w:t>3 082 365,00</w:t>
            </w:r>
          </w:p>
        </w:tc>
      </w:tr>
      <w:tr w:rsidR="00B05ED9" w:rsidRPr="00B44B19" w14:paraId="3FC3CDB7" w14:textId="77777777" w:rsidTr="00F903B1">
        <w:tc>
          <w:tcPr>
            <w:tcW w:w="1101" w:type="dxa"/>
            <w:vMerge/>
          </w:tcPr>
          <w:p w14:paraId="55E17025" w14:textId="77777777" w:rsidR="00B05ED9" w:rsidRPr="00B44B19" w:rsidRDefault="00B05ED9" w:rsidP="0092310B">
            <w:pPr>
              <w:jc w:val="center"/>
              <w:rPr>
                <w:rFonts w:eastAsia="Times New Roman" w:cs="Times New Roman"/>
                <w:iCs/>
                <w:noProof/>
                <w:sz w:val="20"/>
              </w:rPr>
            </w:pPr>
          </w:p>
        </w:tc>
        <w:tc>
          <w:tcPr>
            <w:tcW w:w="850" w:type="dxa"/>
            <w:vMerge/>
          </w:tcPr>
          <w:p w14:paraId="44982ADC" w14:textId="77777777" w:rsidR="00B05ED9" w:rsidRPr="00B44B19" w:rsidRDefault="00B05ED9" w:rsidP="0092310B">
            <w:pPr>
              <w:jc w:val="center"/>
              <w:rPr>
                <w:rFonts w:eastAsia="Times New Roman" w:cs="Times New Roman"/>
                <w:iCs/>
                <w:noProof/>
                <w:sz w:val="20"/>
              </w:rPr>
            </w:pPr>
          </w:p>
        </w:tc>
        <w:tc>
          <w:tcPr>
            <w:tcW w:w="1701" w:type="dxa"/>
            <w:tcBorders>
              <w:top w:val="single" w:sz="4" w:space="0" w:color="auto"/>
              <w:bottom w:val="single" w:sz="4" w:space="0" w:color="auto"/>
            </w:tcBorders>
          </w:tcPr>
          <w:p w14:paraId="1CB11796" w14:textId="77777777" w:rsidR="00B05ED9" w:rsidRPr="00B44B19" w:rsidRDefault="00B05ED9" w:rsidP="00C75119">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50E28AEA" w14:textId="77777777" w:rsidR="00B05ED9" w:rsidRPr="00B44B19" w:rsidRDefault="00B05ED9" w:rsidP="0092310B">
            <w:pPr>
              <w:jc w:val="center"/>
              <w:rPr>
                <w:rFonts w:eastAsia="Times New Roman" w:cs="Times New Roman"/>
                <w:iCs/>
                <w:noProof/>
                <w:sz w:val="20"/>
              </w:rPr>
            </w:pPr>
          </w:p>
        </w:tc>
        <w:tc>
          <w:tcPr>
            <w:tcW w:w="3544" w:type="dxa"/>
            <w:vMerge w:val="restart"/>
            <w:tcBorders>
              <w:top w:val="single" w:sz="4" w:space="0" w:color="auto"/>
            </w:tcBorders>
          </w:tcPr>
          <w:p w14:paraId="1DF82068" w14:textId="77777777" w:rsidR="00B05ED9" w:rsidRPr="00B44B19" w:rsidRDefault="00B05ED9" w:rsidP="00EA78C5">
            <w:pPr>
              <w:rPr>
                <w:rFonts w:eastAsia="Times New Roman" w:cs="Times New Roman"/>
                <w:iCs/>
                <w:noProof/>
                <w:sz w:val="20"/>
              </w:rPr>
            </w:pPr>
            <w:r w:rsidRPr="00B44B19">
              <w:rPr>
                <w:rFonts w:eastAsia="Times New Roman" w:cs="Times New Roman"/>
                <w:iCs/>
                <w:noProof/>
                <w:sz w:val="20"/>
              </w:rPr>
              <w:t>09 – Netaikoma</w:t>
            </w:r>
          </w:p>
        </w:tc>
        <w:tc>
          <w:tcPr>
            <w:tcW w:w="1559" w:type="dxa"/>
            <w:tcBorders>
              <w:top w:val="single" w:sz="4" w:space="0" w:color="auto"/>
              <w:bottom w:val="single" w:sz="4" w:space="0" w:color="auto"/>
            </w:tcBorders>
          </w:tcPr>
          <w:p w14:paraId="52FFF0C0" w14:textId="7599A6DB" w:rsidR="00B05ED9" w:rsidRPr="00B44B19" w:rsidRDefault="0035509D" w:rsidP="0035509D">
            <w:pPr>
              <w:jc w:val="right"/>
              <w:rPr>
                <w:rFonts w:eastAsia="Times New Roman" w:cs="Times New Roman"/>
                <w:iCs/>
                <w:noProof/>
                <w:sz w:val="20"/>
              </w:rPr>
            </w:pPr>
            <w:r w:rsidRPr="00B44B19">
              <w:rPr>
                <w:rFonts w:cs="Times New Roman"/>
                <w:color w:val="000000"/>
                <w:sz w:val="20"/>
                <w:szCs w:val="20"/>
              </w:rPr>
              <w:t>7 552 594</w:t>
            </w:r>
            <w:r w:rsidR="00B05ED9" w:rsidRPr="00B44B19">
              <w:rPr>
                <w:rFonts w:cs="Times New Roman"/>
                <w:color w:val="000000"/>
                <w:sz w:val="20"/>
                <w:szCs w:val="20"/>
              </w:rPr>
              <w:t>,00</w:t>
            </w:r>
          </w:p>
        </w:tc>
      </w:tr>
      <w:tr w:rsidR="00B05ED9" w:rsidRPr="00B44B19" w14:paraId="2807EAB7" w14:textId="77777777" w:rsidTr="00F903B1">
        <w:tc>
          <w:tcPr>
            <w:tcW w:w="1101" w:type="dxa"/>
            <w:vMerge/>
          </w:tcPr>
          <w:p w14:paraId="55B7C8C2" w14:textId="77777777" w:rsidR="00B05ED9" w:rsidRPr="00B44B19" w:rsidRDefault="00B05ED9" w:rsidP="0092310B">
            <w:pPr>
              <w:jc w:val="center"/>
              <w:rPr>
                <w:rFonts w:eastAsia="Times New Roman" w:cs="Times New Roman"/>
                <w:iCs/>
                <w:noProof/>
                <w:sz w:val="20"/>
              </w:rPr>
            </w:pPr>
          </w:p>
        </w:tc>
        <w:tc>
          <w:tcPr>
            <w:tcW w:w="850" w:type="dxa"/>
            <w:vMerge/>
          </w:tcPr>
          <w:p w14:paraId="069DAE2B" w14:textId="77777777" w:rsidR="00B05ED9" w:rsidRPr="00B44B19" w:rsidRDefault="00B05ED9" w:rsidP="0092310B">
            <w:pPr>
              <w:jc w:val="center"/>
              <w:rPr>
                <w:rFonts w:eastAsia="Times New Roman" w:cs="Times New Roman"/>
                <w:iCs/>
                <w:noProof/>
                <w:sz w:val="20"/>
              </w:rPr>
            </w:pPr>
          </w:p>
        </w:tc>
        <w:tc>
          <w:tcPr>
            <w:tcW w:w="1701" w:type="dxa"/>
            <w:tcBorders>
              <w:top w:val="single" w:sz="4" w:space="0" w:color="auto"/>
            </w:tcBorders>
          </w:tcPr>
          <w:p w14:paraId="6A2F6C7A" w14:textId="77777777" w:rsidR="00B05ED9" w:rsidRPr="00B44B19" w:rsidRDefault="00B05ED9" w:rsidP="00C75119">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386181C0" w14:textId="77777777" w:rsidR="00B05ED9" w:rsidRPr="00B44B19" w:rsidRDefault="00B05ED9" w:rsidP="0092310B">
            <w:pPr>
              <w:jc w:val="center"/>
              <w:rPr>
                <w:rFonts w:cs="Times New Roman"/>
              </w:rPr>
            </w:pPr>
          </w:p>
        </w:tc>
        <w:tc>
          <w:tcPr>
            <w:tcW w:w="3544" w:type="dxa"/>
            <w:vMerge/>
          </w:tcPr>
          <w:p w14:paraId="0FBB7F24" w14:textId="77777777" w:rsidR="00B05ED9" w:rsidRPr="00B44B19" w:rsidRDefault="00B05ED9" w:rsidP="0092310B">
            <w:pPr>
              <w:jc w:val="center"/>
              <w:rPr>
                <w:rFonts w:eastAsia="Times New Roman" w:cs="Times New Roman"/>
                <w:iCs/>
                <w:noProof/>
                <w:sz w:val="20"/>
              </w:rPr>
            </w:pPr>
          </w:p>
        </w:tc>
        <w:tc>
          <w:tcPr>
            <w:tcW w:w="1559" w:type="dxa"/>
            <w:tcBorders>
              <w:top w:val="single" w:sz="4" w:space="0" w:color="auto"/>
            </w:tcBorders>
          </w:tcPr>
          <w:p w14:paraId="27093A22" w14:textId="77777777" w:rsidR="00B05ED9" w:rsidRPr="00B44B19" w:rsidRDefault="00B05ED9" w:rsidP="00BA535F">
            <w:pPr>
              <w:jc w:val="right"/>
              <w:rPr>
                <w:rFonts w:eastAsia="Times New Roman" w:cs="Times New Roman"/>
                <w:iCs/>
                <w:noProof/>
                <w:sz w:val="20"/>
              </w:rPr>
            </w:pPr>
            <w:r w:rsidRPr="00B44B19">
              <w:rPr>
                <w:rFonts w:cs="Times New Roman"/>
                <w:color w:val="000000"/>
                <w:sz w:val="20"/>
                <w:szCs w:val="20"/>
              </w:rPr>
              <w:t>53 965 938,00</w:t>
            </w:r>
          </w:p>
        </w:tc>
      </w:tr>
    </w:tbl>
    <w:p w14:paraId="52C44971" w14:textId="77777777" w:rsidR="00595B07" w:rsidRPr="00B44B19" w:rsidRDefault="00595B07" w:rsidP="00417303">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544"/>
        <w:gridCol w:w="1559"/>
      </w:tblGrid>
      <w:tr w:rsidR="00595B07" w:rsidRPr="00B44B19" w14:paraId="40A4139E" w14:textId="77777777" w:rsidTr="00595B0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F426185" w14:textId="77777777" w:rsidR="00595B07" w:rsidRPr="00B44B19" w:rsidRDefault="00595B07" w:rsidP="0070633A">
            <w:pPr>
              <w:rPr>
                <w:rFonts w:eastAsia="Times New Roman" w:cs="Times New Roman"/>
                <w:b/>
                <w:iCs/>
                <w:noProof/>
                <w:sz w:val="20"/>
                <w:szCs w:val="20"/>
              </w:rPr>
            </w:pPr>
            <w:r w:rsidRPr="00B44B19">
              <w:rPr>
                <w:rFonts w:cs="Times New Roman"/>
                <w:b/>
                <w:noProof/>
                <w:sz w:val="20"/>
                <w:szCs w:val="20"/>
              </w:rPr>
              <w:t>8 lentelė. 7 matmuo</w:t>
            </w:r>
            <w:r w:rsidR="0070633A" w:rsidRPr="00B44B19">
              <w:rPr>
                <w:rFonts w:cs="Times New Roman"/>
                <w:b/>
                <w:noProof/>
                <w:sz w:val="20"/>
                <w:szCs w:val="20"/>
              </w:rPr>
              <w:t>:</w:t>
            </w:r>
            <w:r w:rsidRPr="00B44B19">
              <w:rPr>
                <w:rFonts w:cs="Times New Roman"/>
                <w:b/>
                <w:noProof/>
                <w:sz w:val="20"/>
                <w:szCs w:val="20"/>
              </w:rPr>
              <w:t xml:space="preserve"> </w:t>
            </w:r>
            <w:r w:rsidRPr="00B44B19">
              <w:rPr>
                <w:rFonts w:eastAsia="Calibri" w:cs="Times New Roman"/>
                <w:b/>
                <w:sz w:val="20"/>
                <w:szCs w:val="20"/>
              </w:rPr>
              <w:t>ESF+, ERPF, S</w:t>
            </w:r>
            <w:r w:rsidR="0070633A" w:rsidRPr="00B44B19">
              <w:rPr>
                <w:rFonts w:eastAsia="Calibri" w:cs="Times New Roman"/>
                <w:b/>
                <w:sz w:val="20"/>
                <w:szCs w:val="20"/>
              </w:rPr>
              <w:t>a</w:t>
            </w:r>
            <w:r w:rsidRPr="00B44B19">
              <w:rPr>
                <w:rFonts w:eastAsia="Calibri" w:cs="Times New Roman"/>
                <w:b/>
                <w:sz w:val="20"/>
                <w:szCs w:val="20"/>
              </w:rPr>
              <w:t>F ir TPF lyčių lygybės matmuo</w:t>
            </w:r>
          </w:p>
        </w:tc>
      </w:tr>
      <w:tr w:rsidR="00595B07" w:rsidRPr="00B44B19" w14:paraId="685B4EC9" w14:textId="77777777" w:rsidTr="00EA78C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91683E" w14:textId="77777777" w:rsidR="00595B07" w:rsidRPr="00B44B19" w:rsidRDefault="00595B07" w:rsidP="00595B07">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58F62D" w14:textId="77777777" w:rsidR="00595B07" w:rsidRPr="00B44B19" w:rsidRDefault="00595B07" w:rsidP="00595B07">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90CAA" w14:textId="77777777" w:rsidR="00595B07" w:rsidRPr="00B44B19" w:rsidRDefault="00595B07" w:rsidP="00595B07">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97BA63" w14:textId="77777777" w:rsidR="00595B07" w:rsidRPr="00B44B19" w:rsidRDefault="00595B07" w:rsidP="00595B07">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D63FA2" w14:textId="77777777" w:rsidR="00595B07" w:rsidRPr="00B44B19" w:rsidRDefault="00595B07" w:rsidP="00595B07">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53F143" w14:textId="77777777" w:rsidR="00595B07" w:rsidRPr="00B44B19" w:rsidRDefault="00595B07" w:rsidP="00595B07">
            <w:pPr>
              <w:jc w:val="center"/>
              <w:rPr>
                <w:rFonts w:eastAsia="Times New Roman" w:cs="Times New Roman"/>
                <w:b/>
                <w:iCs/>
                <w:noProof/>
                <w:sz w:val="20"/>
              </w:rPr>
            </w:pPr>
            <w:r w:rsidRPr="00B44B19">
              <w:rPr>
                <w:rFonts w:cs="Times New Roman"/>
                <w:b/>
                <w:noProof/>
                <w:sz w:val="20"/>
              </w:rPr>
              <w:t>Suma (EUR)</w:t>
            </w:r>
          </w:p>
        </w:tc>
      </w:tr>
      <w:tr w:rsidR="00595B07" w:rsidRPr="00B44B19" w14:paraId="01429CA1" w14:textId="77777777" w:rsidTr="00EA78C5">
        <w:tc>
          <w:tcPr>
            <w:tcW w:w="1101" w:type="dxa"/>
            <w:vMerge w:val="restart"/>
            <w:tcBorders>
              <w:top w:val="single" w:sz="12" w:space="0" w:color="auto"/>
            </w:tcBorders>
          </w:tcPr>
          <w:p w14:paraId="11EA5EBF" w14:textId="77777777" w:rsidR="00595B07" w:rsidRPr="00B44B19" w:rsidRDefault="00595B07" w:rsidP="00595B07">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6741842D" w14:textId="77777777" w:rsidR="00595B07" w:rsidRPr="00B44B19" w:rsidRDefault="00595B07" w:rsidP="00595B07">
            <w:pPr>
              <w:jc w:val="center"/>
              <w:rPr>
                <w:rFonts w:eastAsia="Times New Roman" w:cs="Times New Roman"/>
                <w:iCs/>
                <w:noProof/>
                <w:sz w:val="20"/>
              </w:rPr>
            </w:pPr>
            <w:r w:rsidRPr="00B44B19">
              <w:rPr>
                <w:rFonts w:eastAsia="Times New Roman" w:cs="Times New Roman"/>
                <w:iCs/>
                <w:noProof/>
                <w:sz w:val="20"/>
              </w:rPr>
              <w:t>ESF</w:t>
            </w:r>
            <w:r w:rsidR="009351C0" w:rsidRPr="00B44B19">
              <w:rPr>
                <w:rFonts w:eastAsia="Times New Roman" w:cs="Times New Roman"/>
                <w:iCs/>
                <w:noProof/>
                <w:sz w:val="20"/>
              </w:rPr>
              <w:t>+</w:t>
            </w:r>
          </w:p>
        </w:tc>
        <w:tc>
          <w:tcPr>
            <w:tcW w:w="1701" w:type="dxa"/>
            <w:tcBorders>
              <w:top w:val="single" w:sz="12" w:space="0" w:color="auto"/>
              <w:bottom w:val="single" w:sz="4" w:space="0" w:color="auto"/>
            </w:tcBorders>
          </w:tcPr>
          <w:p w14:paraId="5778946D" w14:textId="77777777" w:rsidR="00595B07" w:rsidRPr="00B44B19" w:rsidRDefault="00595B07" w:rsidP="00595B07">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47E310E2" w14:textId="77777777" w:rsidR="00595B07" w:rsidRPr="00B44B19" w:rsidRDefault="00595B07" w:rsidP="00595B07">
            <w:pPr>
              <w:jc w:val="center"/>
              <w:rPr>
                <w:rFonts w:eastAsia="Times New Roman" w:cs="Times New Roman"/>
                <w:iCs/>
                <w:noProof/>
                <w:sz w:val="20"/>
              </w:rPr>
            </w:pPr>
            <w:r w:rsidRPr="00B44B19">
              <w:rPr>
                <w:rFonts w:eastAsia="Times New Roman" w:cs="Times New Roman"/>
                <w:iCs/>
                <w:noProof/>
                <w:sz w:val="20"/>
              </w:rPr>
              <w:t>4.7</w:t>
            </w:r>
          </w:p>
        </w:tc>
        <w:tc>
          <w:tcPr>
            <w:tcW w:w="3544" w:type="dxa"/>
            <w:vMerge w:val="restart"/>
            <w:tcBorders>
              <w:top w:val="single" w:sz="12" w:space="0" w:color="auto"/>
            </w:tcBorders>
          </w:tcPr>
          <w:p w14:paraId="6D0B8E88" w14:textId="77777777" w:rsidR="00595B07" w:rsidRPr="00B44B19" w:rsidRDefault="00595B07" w:rsidP="00EA78C5">
            <w:pPr>
              <w:rPr>
                <w:rFonts w:eastAsia="Times New Roman" w:cs="Times New Roman"/>
                <w:iCs/>
                <w:noProof/>
                <w:sz w:val="20"/>
              </w:rPr>
            </w:pPr>
            <w:r w:rsidRPr="00B44B19">
              <w:rPr>
                <w:rFonts w:eastAsia="Times New Roman" w:cs="Times New Roman"/>
                <w:iCs/>
                <w:noProof/>
                <w:sz w:val="20"/>
              </w:rPr>
              <w:t>01</w:t>
            </w:r>
            <w:r w:rsidR="00EA78C5" w:rsidRPr="00B44B19">
              <w:rPr>
                <w:rFonts w:eastAsia="Times New Roman" w:cs="Times New Roman"/>
                <w:iCs/>
                <w:noProof/>
                <w:sz w:val="20"/>
              </w:rPr>
              <w:t xml:space="preserve"> </w:t>
            </w:r>
            <w:r w:rsidR="0070633A" w:rsidRPr="00B44B19">
              <w:rPr>
                <w:rFonts w:eastAsia="Times New Roman" w:cs="Times New Roman"/>
                <w:iCs/>
                <w:noProof/>
                <w:sz w:val="20"/>
              </w:rPr>
              <w:t>–</w:t>
            </w:r>
            <w:r w:rsidR="00EA78C5" w:rsidRPr="00B44B19">
              <w:rPr>
                <w:rFonts w:eastAsia="Times New Roman" w:cs="Times New Roman"/>
                <w:iCs/>
                <w:noProof/>
                <w:sz w:val="20"/>
              </w:rPr>
              <w:t xml:space="preserve"> </w:t>
            </w:r>
            <w:r w:rsidR="001776AF" w:rsidRPr="00B44B19">
              <w:rPr>
                <w:rFonts w:eastAsia="Times New Roman" w:cs="Times New Roman"/>
                <w:iCs/>
                <w:noProof/>
                <w:sz w:val="20"/>
              </w:rPr>
              <w:t>Orientavimasis į lyčių aspektą</w:t>
            </w:r>
          </w:p>
        </w:tc>
        <w:tc>
          <w:tcPr>
            <w:tcW w:w="1559" w:type="dxa"/>
            <w:tcBorders>
              <w:top w:val="single" w:sz="12" w:space="0" w:color="auto"/>
              <w:bottom w:val="single" w:sz="4" w:space="0" w:color="auto"/>
            </w:tcBorders>
          </w:tcPr>
          <w:p w14:paraId="6F67EED7" w14:textId="77777777" w:rsidR="00595B07" w:rsidRPr="00B44B19" w:rsidRDefault="00604AFF" w:rsidP="00595B07">
            <w:pPr>
              <w:jc w:val="right"/>
              <w:rPr>
                <w:rFonts w:eastAsia="Times New Roman" w:cs="Times New Roman"/>
                <w:iCs/>
                <w:noProof/>
                <w:sz w:val="20"/>
              </w:rPr>
            </w:pPr>
            <w:r w:rsidRPr="00B44B19">
              <w:rPr>
                <w:rFonts w:eastAsia="Times New Roman" w:cs="Times New Roman"/>
                <w:iCs/>
                <w:noProof/>
                <w:sz w:val="20"/>
              </w:rPr>
              <w:t>296 318</w:t>
            </w:r>
            <w:r w:rsidR="00595B07" w:rsidRPr="00B44B19">
              <w:rPr>
                <w:rFonts w:eastAsia="Times New Roman" w:cs="Times New Roman"/>
                <w:iCs/>
                <w:noProof/>
                <w:sz w:val="20"/>
              </w:rPr>
              <w:t>,00</w:t>
            </w:r>
          </w:p>
        </w:tc>
      </w:tr>
      <w:tr w:rsidR="00595B07" w:rsidRPr="00B44B19" w14:paraId="1F621038" w14:textId="77777777" w:rsidTr="00EA78C5">
        <w:tc>
          <w:tcPr>
            <w:tcW w:w="1101" w:type="dxa"/>
            <w:vMerge/>
          </w:tcPr>
          <w:p w14:paraId="737F7CF7" w14:textId="77777777" w:rsidR="00595B07" w:rsidRPr="00B44B19" w:rsidRDefault="00595B07" w:rsidP="00595B07">
            <w:pPr>
              <w:jc w:val="center"/>
              <w:rPr>
                <w:rFonts w:eastAsia="Times New Roman" w:cs="Times New Roman"/>
                <w:iCs/>
                <w:noProof/>
                <w:sz w:val="20"/>
              </w:rPr>
            </w:pPr>
          </w:p>
        </w:tc>
        <w:tc>
          <w:tcPr>
            <w:tcW w:w="850" w:type="dxa"/>
            <w:vMerge/>
          </w:tcPr>
          <w:p w14:paraId="7CE9FD93" w14:textId="77777777" w:rsidR="00595B07" w:rsidRPr="00B44B19" w:rsidRDefault="00595B07" w:rsidP="00595B07">
            <w:pPr>
              <w:jc w:val="center"/>
              <w:rPr>
                <w:rFonts w:eastAsia="Times New Roman" w:cs="Times New Roman"/>
                <w:iCs/>
                <w:noProof/>
                <w:sz w:val="20"/>
              </w:rPr>
            </w:pPr>
          </w:p>
        </w:tc>
        <w:tc>
          <w:tcPr>
            <w:tcW w:w="1701" w:type="dxa"/>
            <w:tcBorders>
              <w:top w:val="single" w:sz="4" w:space="0" w:color="auto"/>
              <w:bottom w:val="single" w:sz="4" w:space="0" w:color="auto"/>
            </w:tcBorders>
          </w:tcPr>
          <w:p w14:paraId="37B1E0B8" w14:textId="77777777" w:rsidR="00595B07" w:rsidRPr="00B44B19" w:rsidRDefault="00595B07" w:rsidP="00595B07">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3E06D779" w14:textId="77777777" w:rsidR="00595B07" w:rsidRPr="00B44B19" w:rsidRDefault="00595B07" w:rsidP="00595B07">
            <w:pPr>
              <w:jc w:val="center"/>
              <w:rPr>
                <w:rFonts w:eastAsia="Times New Roman" w:cs="Times New Roman"/>
                <w:iCs/>
                <w:noProof/>
                <w:sz w:val="20"/>
              </w:rPr>
            </w:pPr>
          </w:p>
        </w:tc>
        <w:tc>
          <w:tcPr>
            <w:tcW w:w="3544" w:type="dxa"/>
            <w:vMerge/>
            <w:tcBorders>
              <w:bottom w:val="single" w:sz="4" w:space="0" w:color="auto"/>
            </w:tcBorders>
          </w:tcPr>
          <w:p w14:paraId="278514A0" w14:textId="77777777" w:rsidR="00595B07" w:rsidRPr="00B44B19" w:rsidRDefault="00595B07" w:rsidP="00EA78C5">
            <w:pPr>
              <w:rPr>
                <w:rFonts w:eastAsia="Times New Roman" w:cs="Times New Roman"/>
                <w:iCs/>
                <w:noProof/>
                <w:sz w:val="20"/>
              </w:rPr>
            </w:pPr>
          </w:p>
        </w:tc>
        <w:tc>
          <w:tcPr>
            <w:tcW w:w="1559" w:type="dxa"/>
            <w:tcBorders>
              <w:top w:val="single" w:sz="4" w:space="0" w:color="auto"/>
              <w:bottom w:val="single" w:sz="4" w:space="0" w:color="auto"/>
            </w:tcBorders>
          </w:tcPr>
          <w:p w14:paraId="37750588" w14:textId="77777777" w:rsidR="00595B07" w:rsidRPr="00B44B19" w:rsidRDefault="00595B07" w:rsidP="00595B07">
            <w:pPr>
              <w:jc w:val="right"/>
              <w:rPr>
                <w:rFonts w:eastAsia="Times New Roman" w:cs="Times New Roman"/>
                <w:iCs/>
                <w:noProof/>
                <w:sz w:val="20"/>
              </w:rPr>
            </w:pPr>
            <w:r w:rsidRPr="00B44B19">
              <w:rPr>
                <w:rFonts w:eastAsia="Times New Roman" w:cs="Times New Roman"/>
                <w:iCs/>
                <w:noProof/>
                <w:sz w:val="20"/>
              </w:rPr>
              <w:t>1 969 282,00</w:t>
            </w:r>
          </w:p>
        </w:tc>
      </w:tr>
      <w:tr w:rsidR="00595B07" w:rsidRPr="00B44B19" w14:paraId="6F816C7F" w14:textId="77777777" w:rsidTr="00EA78C5">
        <w:tc>
          <w:tcPr>
            <w:tcW w:w="1101" w:type="dxa"/>
            <w:vMerge/>
          </w:tcPr>
          <w:p w14:paraId="1014F7B5" w14:textId="77777777" w:rsidR="00595B07" w:rsidRPr="00B44B19" w:rsidRDefault="00595B07" w:rsidP="00595B07">
            <w:pPr>
              <w:jc w:val="center"/>
              <w:rPr>
                <w:rFonts w:eastAsia="Times New Roman" w:cs="Times New Roman"/>
                <w:iCs/>
                <w:noProof/>
                <w:sz w:val="20"/>
              </w:rPr>
            </w:pPr>
          </w:p>
        </w:tc>
        <w:tc>
          <w:tcPr>
            <w:tcW w:w="850" w:type="dxa"/>
            <w:vMerge/>
          </w:tcPr>
          <w:p w14:paraId="0F6F998C" w14:textId="77777777" w:rsidR="00595B07" w:rsidRPr="00B44B19" w:rsidRDefault="00595B07" w:rsidP="00595B07">
            <w:pPr>
              <w:jc w:val="center"/>
              <w:rPr>
                <w:rFonts w:eastAsia="Times New Roman" w:cs="Times New Roman"/>
                <w:iCs/>
                <w:noProof/>
                <w:sz w:val="20"/>
              </w:rPr>
            </w:pPr>
          </w:p>
        </w:tc>
        <w:tc>
          <w:tcPr>
            <w:tcW w:w="1701" w:type="dxa"/>
            <w:tcBorders>
              <w:top w:val="single" w:sz="4" w:space="0" w:color="auto"/>
              <w:bottom w:val="single" w:sz="4" w:space="0" w:color="auto"/>
            </w:tcBorders>
          </w:tcPr>
          <w:p w14:paraId="47624B94" w14:textId="77777777" w:rsidR="00595B07" w:rsidRPr="00B44B19" w:rsidRDefault="00595B07" w:rsidP="00595B07">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20FA3DB1" w14:textId="77777777" w:rsidR="00595B07" w:rsidRPr="00B44B19" w:rsidRDefault="00595B07" w:rsidP="00595B07">
            <w:pPr>
              <w:jc w:val="center"/>
              <w:rPr>
                <w:rFonts w:eastAsia="Times New Roman" w:cs="Times New Roman"/>
                <w:iCs/>
                <w:noProof/>
                <w:sz w:val="20"/>
              </w:rPr>
            </w:pPr>
          </w:p>
        </w:tc>
        <w:tc>
          <w:tcPr>
            <w:tcW w:w="3544" w:type="dxa"/>
            <w:vMerge w:val="restart"/>
            <w:tcBorders>
              <w:top w:val="single" w:sz="4" w:space="0" w:color="auto"/>
            </w:tcBorders>
          </w:tcPr>
          <w:p w14:paraId="3B1D695F" w14:textId="77777777" w:rsidR="00595B07" w:rsidRPr="00B44B19" w:rsidRDefault="00052295" w:rsidP="0070633A">
            <w:pPr>
              <w:rPr>
                <w:rFonts w:eastAsia="Times New Roman" w:cs="Times New Roman"/>
                <w:iCs/>
                <w:noProof/>
                <w:sz w:val="20"/>
              </w:rPr>
            </w:pPr>
            <w:r w:rsidRPr="00B44B19">
              <w:rPr>
                <w:rFonts w:cs="Times New Roman"/>
                <w:iCs/>
                <w:noProof/>
                <w:sz w:val="20"/>
              </w:rPr>
              <w:t>02 – Lyčių aspekto integravimas</w:t>
            </w:r>
          </w:p>
        </w:tc>
        <w:tc>
          <w:tcPr>
            <w:tcW w:w="1559" w:type="dxa"/>
            <w:tcBorders>
              <w:top w:val="single" w:sz="4" w:space="0" w:color="auto"/>
              <w:bottom w:val="single" w:sz="4" w:space="0" w:color="auto"/>
            </w:tcBorders>
          </w:tcPr>
          <w:p w14:paraId="72603295" w14:textId="6C93F871" w:rsidR="00595B07" w:rsidRPr="00B44B19" w:rsidRDefault="0035509D" w:rsidP="00595B07">
            <w:pPr>
              <w:jc w:val="right"/>
              <w:rPr>
                <w:rFonts w:eastAsia="Times New Roman" w:cs="Times New Roman"/>
                <w:iCs/>
                <w:noProof/>
                <w:sz w:val="20"/>
              </w:rPr>
            </w:pPr>
            <w:r w:rsidRPr="00B44B19">
              <w:rPr>
                <w:rFonts w:eastAsia="Times New Roman" w:cs="Times New Roman"/>
                <w:iCs/>
                <w:noProof/>
                <w:sz w:val="20"/>
              </w:rPr>
              <w:t>7 918 068 </w:t>
            </w:r>
            <w:r w:rsidR="00595B07" w:rsidRPr="00B44B19">
              <w:rPr>
                <w:rFonts w:eastAsia="Times New Roman" w:cs="Times New Roman"/>
                <w:iCs/>
                <w:noProof/>
                <w:sz w:val="20"/>
              </w:rPr>
              <w:t>,00</w:t>
            </w:r>
          </w:p>
        </w:tc>
      </w:tr>
      <w:tr w:rsidR="00595B07" w:rsidRPr="00B44B19" w14:paraId="37F9C47C" w14:textId="77777777" w:rsidTr="00EA78C5">
        <w:tc>
          <w:tcPr>
            <w:tcW w:w="1101" w:type="dxa"/>
            <w:vMerge/>
          </w:tcPr>
          <w:p w14:paraId="532C3368" w14:textId="77777777" w:rsidR="00595B07" w:rsidRPr="00B44B19" w:rsidRDefault="00595B07" w:rsidP="00595B07">
            <w:pPr>
              <w:jc w:val="center"/>
              <w:rPr>
                <w:rFonts w:eastAsia="Times New Roman" w:cs="Times New Roman"/>
                <w:iCs/>
                <w:noProof/>
                <w:sz w:val="20"/>
              </w:rPr>
            </w:pPr>
          </w:p>
        </w:tc>
        <w:tc>
          <w:tcPr>
            <w:tcW w:w="850" w:type="dxa"/>
            <w:vMerge/>
          </w:tcPr>
          <w:p w14:paraId="61BCEC94" w14:textId="77777777" w:rsidR="00595B07" w:rsidRPr="00B44B19" w:rsidRDefault="00595B07" w:rsidP="00595B07">
            <w:pPr>
              <w:jc w:val="center"/>
              <w:rPr>
                <w:rFonts w:eastAsia="Times New Roman" w:cs="Times New Roman"/>
                <w:iCs/>
                <w:noProof/>
                <w:sz w:val="20"/>
              </w:rPr>
            </w:pPr>
          </w:p>
        </w:tc>
        <w:tc>
          <w:tcPr>
            <w:tcW w:w="1701" w:type="dxa"/>
            <w:tcBorders>
              <w:top w:val="single" w:sz="4" w:space="0" w:color="auto"/>
              <w:bottom w:val="single" w:sz="4" w:space="0" w:color="auto"/>
            </w:tcBorders>
          </w:tcPr>
          <w:p w14:paraId="27CCD4C4" w14:textId="77777777" w:rsidR="00595B07" w:rsidRPr="00B44B19" w:rsidRDefault="00595B07" w:rsidP="00595B07">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780B255D" w14:textId="77777777" w:rsidR="00595B07" w:rsidRPr="00B44B19" w:rsidRDefault="00595B07" w:rsidP="00595B07">
            <w:pPr>
              <w:jc w:val="center"/>
              <w:rPr>
                <w:rFonts w:eastAsia="Times New Roman" w:cs="Times New Roman"/>
                <w:iCs/>
                <w:noProof/>
                <w:sz w:val="20"/>
              </w:rPr>
            </w:pPr>
          </w:p>
        </w:tc>
        <w:tc>
          <w:tcPr>
            <w:tcW w:w="3544" w:type="dxa"/>
            <w:vMerge/>
          </w:tcPr>
          <w:p w14:paraId="5EA54989" w14:textId="77777777" w:rsidR="00595B07" w:rsidRPr="00B44B19" w:rsidRDefault="00595B07" w:rsidP="00595B07">
            <w:pPr>
              <w:jc w:val="center"/>
              <w:rPr>
                <w:rFonts w:eastAsia="Times New Roman" w:cs="Times New Roman"/>
                <w:iCs/>
                <w:noProof/>
                <w:sz w:val="20"/>
              </w:rPr>
            </w:pPr>
          </w:p>
        </w:tc>
        <w:tc>
          <w:tcPr>
            <w:tcW w:w="1559" w:type="dxa"/>
            <w:tcBorders>
              <w:top w:val="single" w:sz="4" w:space="0" w:color="auto"/>
              <w:bottom w:val="single" w:sz="4" w:space="0" w:color="auto"/>
            </w:tcBorders>
          </w:tcPr>
          <w:p w14:paraId="0602E437" w14:textId="77777777" w:rsidR="00595B07" w:rsidRPr="00B44B19" w:rsidRDefault="00595B07" w:rsidP="00595B07">
            <w:pPr>
              <w:jc w:val="right"/>
              <w:rPr>
                <w:rFonts w:eastAsia="Times New Roman" w:cs="Times New Roman"/>
                <w:iCs/>
                <w:noProof/>
                <w:sz w:val="20"/>
              </w:rPr>
            </w:pPr>
            <w:r w:rsidRPr="00B44B19">
              <w:rPr>
                <w:rFonts w:eastAsia="Times New Roman" w:cs="Times New Roman"/>
                <w:iCs/>
                <w:noProof/>
                <w:sz w:val="20"/>
              </w:rPr>
              <w:t>57 048 30</w:t>
            </w:r>
            <w:r w:rsidR="003811EC" w:rsidRPr="00B44B19">
              <w:rPr>
                <w:rFonts w:eastAsia="Times New Roman" w:cs="Times New Roman"/>
                <w:iCs/>
                <w:noProof/>
                <w:sz w:val="20"/>
              </w:rPr>
              <w:t>4</w:t>
            </w:r>
            <w:r w:rsidRPr="00B44B19">
              <w:rPr>
                <w:rFonts w:eastAsia="Times New Roman" w:cs="Times New Roman"/>
                <w:iCs/>
                <w:noProof/>
                <w:sz w:val="20"/>
              </w:rPr>
              <w:t>,00</w:t>
            </w:r>
          </w:p>
        </w:tc>
      </w:tr>
    </w:tbl>
    <w:p w14:paraId="03F38CDC" w14:textId="77777777" w:rsidR="00EF291A" w:rsidRPr="00B44B19" w:rsidRDefault="00EF291A" w:rsidP="00D456C1">
      <w:pPr>
        <w:pStyle w:val="Antrat2"/>
      </w:pPr>
      <w:bookmarkStart w:id="47" w:name="_Toc223435433"/>
      <w:r w:rsidRPr="00B44B19">
        <w:t>Konkretus uždavinys – 4.</w:t>
      </w:r>
      <w:r w:rsidR="004125F6" w:rsidRPr="00B44B19">
        <w:t>8.</w:t>
      </w:r>
      <w:r w:rsidRPr="00B44B19">
        <w:t xml:space="preserve"> </w:t>
      </w:r>
      <w:r w:rsidR="0087288C" w:rsidRPr="00B44B19">
        <w:rPr>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bookmarkEnd w:id="47"/>
    </w:p>
    <w:p w14:paraId="316F9629"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4"/>
        <w:tblW w:w="9634" w:type="dxa"/>
        <w:tblLook w:val="04A0" w:firstRow="1" w:lastRow="0" w:firstColumn="1" w:lastColumn="0" w:noHBand="0" w:noVBand="1"/>
      </w:tblPr>
      <w:tblGrid>
        <w:gridCol w:w="9634"/>
      </w:tblGrid>
      <w:tr w:rsidR="00EF291A" w:rsidRPr="00B44B19" w14:paraId="53676D18" w14:textId="77777777" w:rsidTr="00D27D25">
        <w:tc>
          <w:tcPr>
            <w:tcW w:w="9634" w:type="dxa"/>
          </w:tcPr>
          <w:p w14:paraId="20E06C40" w14:textId="77777777" w:rsidR="00D43304" w:rsidRPr="00B44B19" w:rsidRDefault="00652AC9" w:rsidP="008674D1">
            <w:pPr>
              <w:spacing w:before="60" w:after="60"/>
              <w:jc w:val="both"/>
              <w:rPr>
                <w:rFonts w:ascii="Times New Roman" w:hAnsi="Times New Roman" w:cs="Times New Roman"/>
              </w:rPr>
            </w:pPr>
            <w:r w:rsidRPr="00B44B19">
              <w:rPr>
                <w:rFonts w:ascii="Times New Roman" w:hAnsi="Times New Roman" w:cs="Times New Roman"/>
              </w:rPr>
              <w:lastRenderedPageBreak/>
              <w:t>2020 m. i</w:t>
            </w:r>
            <w:r w:rsidR="00D43304" w:rsidRPr="00B44B19">
              <w:rPr>
                <w:rFonts w:ascii="Times New Roman" w:hAnsi="Times New Roman" w:cs="Times New Roman"/>
              </w:rPr>
              <w:t xml:space="preserve">ntegruotas ir bendruomenines (neįskaitant bendrųjų socialinių) paslaugas </w:t>
            </w:r>
            <w:r w:rsidRPr="00B44B19">
              <w:rPr>
                <w:rFonts w:ascii="Times New Roman" w:hAnsi="Times New Roman" w:cs="Times New Roman"/>
              </w:rPr>
              <w:t>gavo 6,2 %</w:t>
            </w:r>
            <w:r w:rsidR="006A198B" w:rsidRPr="00B44B19">
              <w:rPr>
                <w:rFonts w:ascii="Times New Roman" w:hAnsi="Times New Roman" w:cs="Times New Roman"/>
              </w:rPr>
              <w:t xml:space="preserve"> </w:t>
            </w:r>
            <w:r w:rsidR="00D43304" w:rsidRPr="00B44B19">
              <w:rPr>
                <w:rFonts w:ascii="Times New Roman" w:hAnsi="Times New Roman" w:cs="Times New Roman"/>
              </w:rPr>
              <w:t>senatvės pensijos amžiaus</w:t>
            </w:r>
            <w:r w:rsidR="00D4751D" w:rsidRPr="00B44B19">
              <w:rPr>
                <w:rFonts w:ascii="Times New Roman" w:hAnsi="Times New Roman" w:cs="Times New Roman"/>
              </w:rPr>
              <w:t xml:space="preserve"> sulaukę </w:t>
            </w:r>
            <w:r w:rsidR="00D43304" w:rsidRPr="00B44B19">
              <w:rPr>
                <w:rFonts w:ascii="Times New Roman" w:hAnsi="Times New Roman" w:cs="Times New Roman"/>
              </w:rPr>
              <w:t>asmen</w:t>
            </w:r>
            <w:r w:rsidR="00D4751D" w:rsidRPr="00B44B19">
              <w:rPr>
                <w:rFonts w:ascii="Times New Roman" w:hAnsi="Times New Roman" w:cs="Times New Roman"/>
              </w:rPr>
              <w:t>y</w:t>
            </w:r>
            <w:r w:rsidR="00D43304" w:rsidRPr="00B44B19">
              <w:rPr>
                <w:rFonts w:ascii="Times New Roman" w:hAnsi="Times New Roman" w:cs="Times New Roman"/>
              </w:rPr>
              <w:t>s ir asmen</w:t>
            </w:r>
            <w:r w:rsidR="00D4751D" w:rsidRPr="00B44B19">
              <w:rPr>
                <w:rFonts w:ascii="Times New Roman" w:hAnsi="Times New Roman" w:cs="Times New Roman"/>
              </w:rPr>
              <w:t>y</w:t>
            </w:r>
            <w:r w:rsidR="00D43304" w:rsidRPr="00B44B19">
              <w:rPr>
                <w:rFonts w:ascii="Times New Roman" w:hAnsi="Times New Roman" w:cs="Times New Roman"/>
              </w:rPr>
              <w:t>s</w:t>
            </w:r>
            <w:r w:rsidR="00D4751D" w:rsidRPr="00B44B19">
              <w:rPr>
                <w:rFonts w:ascii="Times New Roman" w:hAnsi="Times New Roman" w:cs="Times New Roman"/>
              </w:rPr>
              <w:t>,</w:t>
            </w:r>
            <w:r w:rsidR="00D43304" w:rsidRPr="00B44B19">
              <w:rPr>
                <w:rFonts w:ascii="Times New Roman" w:hAnsi="Times New Roman" w:cs="Times New Roman"/>
              </w:rPr>
              <w:t xml:space="preserve"> </w:t>
            </w:r>
            <w:r w:rsidR="00D4751D" w:rsidRPr="00B44B19">
              <w:rPr>
                <w:rFonts w:ascii="Times New Roman" w:hAnsi="Times New Roman" w:cs="Times New Roman"/>
              </w:rPr>
              <w:t>turintys</w:t>
            </w:r>
            <w:r w:rsidR="00D43304" w:rsidRPr="00B44B19">
              <w:rPr>
                <w:rFonts w:ascii="Times New Roman" w:hAnsi="Times New Roman" w:cs="Times New Roman"/>
              </w:rPr>
              <w:t xml:space="preserve"> negali</w:t>
            </w:r>
            <w:r w:rsidR="00D4751D" w:rsidRPr="00B44B19">
              <w:rPr>
                <w:rFonts w:ascii="Times New Roman" w:hAnsi="Times New Roman" w:cs="Times New Roman"/>
              </w:rPr>
              <w:t>ą</w:t>
            </w:r>
            <w:r w:rsidR="00D43304" w:rsidRPr="00B44B19">
              <w:rPr>
                <w:rFonts w:ascii="Times New Roman" w:hAnsi="Times New Roman" w:cs="Times New Roman"/>
              </w:rPr>
              <w:t xml:space="preserve">. Siekiama, kad </w:t>
            </w:r>
            <w:r w:rsidR="00D4751D" w:rsidRPr="00B44B19">
              <w:rPr>
                <w:rFonts w:ascii="Times New Roman" w:hAnsi="Times New Roman" w:cs="Times New Roman"/>
              </w:rPr>
              <w:t xml:space="preserve">šis </w:t>
            </w:r>
            <w:r w:rsidR="00D43304" w:rsidRPr="00B44B19">
              <w:rPr>
                <w:rFonts w:ascii="Times New Roman" w:hAnsi="Times New Roman" w:cs="Times New Roman"/>
              </w:rPr>
              <w:t xml:space="preserve">rodiklis 2030 m. </w:t>
            </w:r>
            <w:r w:rsidR="00D4751D" w:rsidRPr="00B44B19">
              <w:rPr>
                <w:rFonts w:ascii="Times New Roman" w:hAnsi="Times New Roman" w:cs="Times New Roman"/>
              </w:rPr>
              <w:t>būtų</w:t>
            </w:r>
            <w:r w:rsidR="00D43304" w:rsidRPr="00B44B19">
              <w:rPr>
                <w:rFonts w:ascii="Times New Roman" w:hAnsi="Times New Roman" w:cs="Times New Roman"/>
              </w:rPr>
              <w:t xml:space="preserve"> 12 %. </w:t>
            </w:r>
          </w:p>
          <w:p w14:paraId="5CA5A66B"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rPr>
              <w:t xml:space="preserve">Perėjimas nuo institucinės globos prie šeimoje ir bendruomenėje teikiamų paslaugų išlieka iššūkiu. Reikia įgyvendinti intelekto ir (ar) psichikos negalią turinčių asmenų institucinės globos pertvarką, plėtoti nestacionarias ir bendruomenines paslaugas tėvų globos netekusiems vaikams, jaunuoliams. </w:t>
            </w:r>
          </w:p>
          <w:p w14:paraId="59EE4889" w14:textId="77777777" w:rsidR="00D43304" w:rsidRPr="00B44B19" w:rsidRDefault="005D76A4" w:rsidP="008674D1">
            <w:pPr>
              <w:spacing w:before="60" w:after="60"/>
              <w:jc w:val="both"/>
              <w:rPr>
                <w:rFonts w:ascii="Times New Roman" w:hAnsi="Times New Roman" w:cs="Times New Roman"/>
              </w:rPr>
            </w:pPr>
            <w:r w:rsidRPr="00B44B19">
              <w:rPr>
                <w:rFonts w:ascii="Times New Roman" w:hAnsi="Times New Roman" w:cs="Times New Roman"/>
              </w:rPr>
              <w:t>A</w:t>
            </w:r>
            <w:r w:rsidR="00D43304" w:rsidRPr="00B44B19">
              <w:rPr>
                <w:rFonts w:ascii="Times New Roman" w:hAnsi="Times New Roman" w:cs="Times New Roman"/>
              </w:rPr>
              <w:t xml:space="preserve">ktuali išlieka vaikų skurdo, socialinės atskirties problema. Skurdo </w:t>
            </w:r>
            <w:r w:rsidR="00D4751D" w:rsidRPr="00B44B19">
              <w:rPr>
                <w:rFonts w:ascii="Times New Roman" w:hAnsi="Times New Roman" w:cs="Times New Roman"/>
              </w:rPr>
              <w:t>požiūriu</w:t>
            </w:r>
            <w:r w:rsidR="00D43304" w:rsidRPr="00B44B19">
              <w:rPr>
                <w:rFonts w:ascii="Times New Roman" w:hAnsi="Times New Roman" w:cs="Times New Roman"/>
              </w:rPr>
              <w:t xml:space="preserve"> pažeidžiamiausi yra asmenys su vaikais, daugiavaikės šeimos, vieniši tėvai, neįgalieji. Socialinė atskirtis gali grėsti ir tiems vaikams, kurių materialinė padėtis patenkinama ar net labai gera, bet kurie negali </w:t>
            </w:r>
            <w:r w:rsidR="00D4751D" w:rsidRPr="00B44B19">
              <w:rPr>
                <w:rFonts w:ascii="Times New Roman" w:hAnsi="Times New Roman" w:cs="Times New Roman"/>
              </w:rPr>
              <w:t xml:space="preserve">naudotis </w:t>
            </w:r>
            <w:r w:rsidR="00D43304" w:rsidRPr="00B44B19">
              <w:rPr>
                <w:rFonts w:ascii="Times New Roman" w:hAnsi="Times New Roman" w:cs="Times New Roman"/>
              </w:rPr>
              <w:t>visomis savo teisėmis. Todėl svarbu plėtoti ir stiprinti sisteminę pagalbą vaikams ir šeimoms, kuri padėtų užtikrinti tinkamą visų vaikų visų teisių įgyvendinimą, kurtų palankią aplinką vaik</w:t>
            </w:r>
            <w:r w:rsidR="00D4751D" w:rsidRPr="00B44B19">
              <w:rPr>
                <w:rFonts w:ascii="Times New Roman" w:hAnsi="Times New Roman" w:cs="Times New Roman"/>
              </w:rPr>
              <w:t>ams</w:t>
            </w:r>
            <w:r w:rsidR="00D43304" w:rsidRPr="00B44B19">
              <w:rPr>
                <w:rFonts w:ascii="Times New Roman" w:hAnsi="Times New Roman" w:cs="Times New Roman"/>
              </w:rPr>
              <w:t xml:space="preserve"> ir šeim</w:t>
            </w:r>
            <w:r w:rsidR="00D4751D" w:rsidRPr="00B44B19">
              <w:rPr>
                <w:rFonts w:ascii="Times New Roman" w:hAnsi="Times New Roman" w:cs="Times New Roman"/>
              </w:rPr>
              <w:t>oms</w:t>
            </w:r>
            <w:r w:rsidR="00D43304" w:rsidRPr="00B44B19">
              <w:rPr>
                <w:rFonts w:ascii="Times New Roman" w:hAnsi="Times New Roman" w:cs="Times New Roman"/>
              </w:rPr>
              <w:t>.</w:t>
            </w:r>
            <w:r w:rsidR="00D43304" w:rsidRPr="00B44B19">
              <w:rPr>
                <w:rFonts w:ascii="Times New Roman" w:hAnsi="Times New Roman" w:cs="Times New Roman"/>
                <w:sz w:val="20"/>
                <w:szCs w:val="20"/>
                <w:lang w:eastAsia="en-US" w:bidi="ar-SA"/>
              </w:rPr>
              <w:t xml:space="preserve"> </w:t>
            </w:r>
            <w:r w:rsidR="00D4751D" w:rsidRPr="00B44B19">
              <w:rPr>
                <w:rFonts w:ascii="Times New Roman" w:hAnsi="Times New Roman" w:cs="Times New Roman"/>
              </w:rPr>
              <w:t xml:space="preserve">Taip pat </w:t>
            </w:r>
            <w:r w:rsidR="00D43304" w:rsidRPr="00B44B19">
              <w:rPr>
                <w:rFonts w:ascii="Times New Roman" w:hAnsi="Times New Roman" w:cs="Times New Roman"/>
              </w:rPr>
              <w:t>numatoma daug dėmesio skirti vaikų sveikatos stiprinimui, teikiant kokybiškas sveikatos priežiūros paslaugas bei įgyvendinant prevencines programas.</w:t>
            </w:r>
          </w:p>
          <w:p w14:paraId="25619EAA"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rPr>
              <w:t>Psichoaktyvių</w:t>
            </w:r>
            <w:r w:rsidR="00D4751D" w:rsidRPr="00B44B19">
              <w:rPr>
                <w:rFonts w:ascii="Times New Roman" w:hAnsi="Times New Roman" w:cs="Times New Roman"/>
              </w:rPr>
              <w:t>jų</w:t>
            </w:r>
            <w:r w:rsidRPr="00B44B19">
              <w:rPr>
                <w:rFonts w:ascii="Times New Roman" w:hAnsi="Times New Roman" w:cs="Times New Roman"/>
              </w:rPr>
              <w:t xml:space="preserve"> medžiagų vartojimas ir priklausomyb</w:t>
            </w:r>
            <w:r w:rsidR="00C3328E" w:rsidRPr="00B44B19">
              <w:rPr>
                <w:rFonts w:ascii="Times New Roman" w:hAnsi="Times New Roman" w:cs="Times New Roman"/>
              </w:rPr>
              <w:t>ės</w:t>
            </w:r>
            <w:r w:rsidRPr="00B44B19">
              <w:rPr>
                <w:rFonts w:ascii="Times New Roman" w:hAnsi="Times New Roman" w:cs="Times New Roman"/>
              </w:rPr>
              <w:t xml:space="preserve"> yra opi Lietuvos problema (Lietuva yra viena lyderių pagal </w:t>
            </w:r>
            <w:r w:rsidR="00C3328E" w:rsidRPr="00B44B19">
              <w:rPr>
                <w:rFonts w:ascii="Times New Roman" w:hAnsi="Times New Roman" w:cs="Times New Roman"/>
              </w:rPr>
              <w:t xml:space="preserve">suvartojamo </w:t>
            </w:r>
            <w:r w:rsidRPr="00B44B19">
              <w:rPr>
                <w:rFonts w:ascii="Times New Roman" w:hAnsi="Times New Roman" w:cs="Times New Roman"/>
              </w:rPr>
              <w:t xml:space="preserve">alkoholio </w:t>
            </w:r>
            <w:r w:rsidR="00C3328E" w:rsidRPr="00B44B19">
              <w:rPr>
                <w:rFonts w:ascii="Times New Roman" w:hAnsi="Times New Roman" w:cs="Times New Roman"/>
              </w:rPr>
              <w:t>kiekį</w:t>
            </w:r>
            <w:r w:rsidRPr="00B44B19">
              <w:rPr>
                <w:rFonts w:ascii="Times New Roman" w:hAnsi="Times New Roman" w:cs="Times New Roman"/>
              </w:rPr>
              <w:t xml:space="preserve">), todėl reikia gerinti psichologinės ir socialinės reabilitacijos paslaugų prieinamumą. Trūksta paslaugų nuo psichoaktyviųjų medžiagų priklausomiems vaikams </w:t>
            </w:r>
            <w:r w:rsidR="00232A76" w:rsidRPr="00B44B19">
              <w:rPr>
                <w:rFonts w:ascii="Times New Roman" w:hAnsi="Times New Roman" w:cs="Times New Roman"/>
              </w:rPr>
              <w:t xml:space="preserve">ir </w:t>
            </w:r>
            <w:r w:rsidRPr="00B44B19">
              <w:rPr>
                <w:rFonts w:ascii="Times New Roman" w:hAnsi="Times New Roman" w:cs="Times New Roman"/>
              </w:rPr>
              <w:t xml:space="preserve">asmenims, auginantiems vaikus. </w:t>
            </w:r>
          </w:p>
          <w:p w14:paraId="2D10B301"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rPr>
              <w:t xml:space="preserve">Numatoma </w:t>
            </w:r>
            <w:r w:rsidR="00232A76" w:rsidRPr="00B44B19">
              <w:rPr>
                <w:rFonts w:ascii="Times New Roman" w:hAnsi="Times New Roman" w:cs="Times New Roman"/>
              </w:rPr>
              <w:t xml:space="preserve">tobulinti </w:t>
            </w:r>
            <w:r w:rsidRPr="00B44B19">
              <w:rPr>
                <w:rFonts w:ascii="Times New Roman" w:hAnsi="Times New Roman" w:cs="Times New Roman"/>
              </w:rPr>
              <w:t>socialinės srities viešųjų paslaugų dalijimo</w:t>
            </w:r>
            <w:r w:rsidR="00232A76" w:rsidRPr="00B44B19">
              <w:rPr>
                <w:rFonts w:ascii="Times New Roman" w:hAnsi="Times New Roman" w:cs="Times New Roman"/>
              </w:rPr>
              <w:t>si</w:t>
            </w:r>
            <w:r w:rsidRPr="00B44B19">
              <w:rPr>
                <w:rFonts w:ascii="Times New Roman" w:hAnsi="Times New Roman" w:cs="Times New Roman"/>
              </w:rPr>
              <w:t xml:space="preserve"> su nevyriausybinėms ir bendruomeninėms organizacijoms modelį ir taip prisidėti prie socialinės ekonomikos plėtros.</w:t>
            </w:r>
          </w:p>
          <w:p w14:paraId="74AFFFA2" w14:textId="77777777" w:rsidR="00D43304" w:rsidRPr="00B44B19" w:rsidRDefault="00D43304" w:rsidP="008674D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Sveikatos priežiūros sistemos paslaugų kokybės ir prieinamumo gerinimo bus siekiama investuojant į pirminę asmens ir visuomenės sveikatos priežiūrą, kuri yra svarbi siekiant sustiprinti ligų prevenciją ir padėti žmonėms aktyviau </w:t>
            </w:r>
            <w:r w:rsidR="00AD6F91" w:rsidRPr="00B44B19">
              <w:rPr>
                <w:rFonts w:ascii="Times New Roman" w:eastAsia="Times New Roman" w:hAnsi="Times New Roman" w:cs="Times New Roman"/>
              </w:rPr>
              <w:t xml:space="preserve">rūpintis </w:t>
            </w:r>
            <w:r w:rsidRPr="00B44B19">
              <w:rPr>
                <w:rFonts w:ascii="Times New Roman" w:eastAsia="Times New Roman" w:hAnsi="Times New Roman" w:cs="Times New Roman"/>
              </w:rPr>
              <w:t xml:space="preserve">savo </w:t>
            </w:r>
            <w:r w:rsidR="00C90AAC" w:rsidRPr="00B44B19">
              <w:rPr>
                <w:rFonts w:ascii="Times New Roman" w:eastAsia="Times New Roman" w:hAnsi="Times New Roman" w:cs="Times New Roman"/>
              </w:rPr>
              <w:t>sveikata</w:t>
            </w:r>
            <w:r w:rsidRPr="00B44B19">
              <w:rPr>
                <w:rFonts w:ascii="Times New Roman" w:eastAsia="Times New Roman" w:hAnsi="Times New Roman" w:cs="Times New Roman"/>
              </w:rPr>
              <w:t xml:space="preserve">. Taip pat investicijos planuojamos į ambulatorinės pagalbos plėtrą, integruotų paslaugų plėtrą bei tikslinių grupių asmenų ir sveikatos specialistų skaitmeninio sveikatos raštingumo didinimą. </w:t>
            </w:r>
          </w:p>
          <w:p w14:paraId="1EEED4A0" w14:textId="77777777" w:rsidR="00D43304" w:rsidRPr="00B44B19" w:rsidRDefault="00D43304" w:rsidP="008674D1">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Toliau išlieka svarbios investicijos, </w:t>
            </w:r>
            <w:r w:rsidR="00AD6F91" w:rsidRPr="00B44B19">
              <w:rPr>
                <w:rFonts w:ascii="Times New Roman" w:eastAsia="Times New Roman" w:hAnsi="Times New Roman" w:cs="Times New Roman"/>
              </w:rPr>
              <w:t xml:space="preserve">skirtos sveikatos tausojimui ir stiprinimui skatinti, sveikatos raštingumui ugdyti, gydymo priemonių veiksmingumui ir rezultatams gerinti bei lėtinių ligų ir sunkių traumų valdymo efektyvumui didinti </w:t>
            </w:r>
            <w:r w:rsidRPr="00B44B19">
              <w:rPr>
                <w:rFonts w:ascii="Times New Roman" w:eastAsia="Times New Roman" w:hAnsi="Times New Roman" w:cs="Times New Roman"/>
              </w:rPr>
              <w:t xml:space="preserve">skatinant inovatyvių paslaugų teikimo modelių, susietų su pasiektais rezultatais, diegimą. </w:t>
            </w:r>
          </w:p>
          <w:p w14:paraId="4B5FD1D2"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rPr>
              <w:t xml:space="preserve">Investicijos prisidės ir prie bendrų su teritorinėmis strategijomis tikslų pasiekimo ITI metodu, užtikrinant sveikatos priežiūros paslaugų prieinamumo didinimą socialiai pažeidžiamoms grupėms, </w:t>
            </w:r>
            <w:r w:rsidR="00ED25BF" w:rsidRPr="00B44B19">
              <w:rPr>
                <w:rFonts w:ascii="Times New Roman" w:hAnsi="Times New Roman" w:cs="Times New Roman"/>
              </w:rPr>
              <w:t xml:space="preserve">o </w:t>
            </w:r>
            <w:r w:rsidRPr="00B44B19">
              <w:rPr>
                <w:rFonts w:ascii="Times New Roman" w:hAnsi="Times New Roman" w:cs="Times New Roman"/>
              </w:rPr>
              <w:t>5 prioriteto 5.1 ir 5.2 uždavinių veiklos prisidės prie šio uždavinio tikslų.</w:t>
            </w:r>
            <w:r w:rsidRPr="00B44B19">
              <w:rPr>
                <w:rFonts w:ascii="Times New Roman" w:hAnsi="Times New Roman" w:cs="Times New Roman"/>
                <w:sz w:val="24"/>
                <w:highlight w:val="yellow"/>
                <w:lang w:eastAsia="en-US" w:bidi="ar-SA"/>
              </w:rPr>
              <w:t xml:space="preserve"> </w:t>
            </w:r>
          </w:p>
          <w:p w14:paraId="36013B02"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rPr>
              <w:t xml:space="preserve">Veiksmų rūšys, siekiant didinti socialinių, sveikatos ir </w:t>
            </w:r>
            <w:r w:rsidR="004264C4" w:rsidRPr="00B44B19">
              <w:rPr>
                <w:rFonts w:ascii="Times New Roman" w:hAnsi="Times New Roman" w:cs="Times New Roman"/>
              </w:rPr>
              <w:t>IPP</w:t>
            </w:r>
            <w:r w:rsidRPr="00B44B19">
              <w:rPr>
                <w:rFonts w:ascii="Times New Roman" w:hAnsi="Times New Roman" w:cs="Times New Roman"/>
              </w:rPr>
              <w:t xml:space="preserve"> kokybę, įvairovę ir prieinamumą, užtikrinti asmens, šeimos, bendruomenės socialinę gerovę, </w:t>
            </w:r>
            <w:r w:rsidR="00232A76" w:rsidRPr="00B44B19">
              <w:rPr>
                <w:rFonts w:ascii="Times New Roman" w:eastAsia="Times New Roman" w:hAnsi="Times New Roman" w:cs="Times New Roman"/>
              </w:rPr>
              <w:t xml:space="preserve">ir </w:t>
            </w:r>
            <w:r w:rsidRPr="00B44B19">
              <w:rPr>
                <w:rFonts w:ascii="Times New Roman" w:eastAsia="Times New Roman" w:hAnsi="Times New Roman" w:cs="Times New Roman"/>
              </w:rPr>
              <w:t>sumažinti regioninius sveikatos priežiūros skirtumus</w:t>
            </w:r>
            <w:r w:rsidRPr="00B44B19">
              <w:rPr>
                <w:rFonts w:ascii="Times New Roman" w:hAnsi="Times New Roman" w:cs="Times New Roman"/>
              </w:rPr>
              <w:t>:</w:t>
            </w:r>
          </w:p>
          <w:p w14:paraId="68418DC5"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b/>
              </w:rPr>
              <w:t>Užtikrinti perėjimą nuo institucinės globos prie bendruomeninių paslaugų</w:t>
            </w:r>
            <w:r w:rsidRPr="00B44B19">
              <w:rPr>
                <w:rFonts w:ascii="Times New Roman" w:hAnsi="Times New Roman" w:cs="Times New Roman"/>
              </w:rPr>
              <w:t>: kurti, teikti ir plėtoti nestacionarias ir bendruomenines paslaugas: apgyvendinimo su parama, dienos užimtumo, pagalbos šeimai, socialinių dirbtuvių ir k</w:t>
            </w:r>
            <w:r w:rsidR="00232A76" w:rsidRPr="00B44B19">
              <w:rPr>
                <w:rFonts w:ascii="Times New Roman" w:hAnsi="Times New Roman" w:cs="Times New Roman"/>
              </w:rPr>
              <w:t>itos</w:t>
            </w:r>
            <w:r w:rsidRPr="00B44B19">
              <w:rPr>
                <w:rFonts w:ascii="Times New Roman" w:hAnsi="Times New Roman" w:cs="Times New Roman"/>
              </w:rPr>
              <w:t xml:space="preserve"> paslaug</w:t>
            </w:r>
            <w:r w:rsidR="00232A76" w:rsidRPr="00B44B19">
              <w:rPr>
                <w:rFonts w:ascii="Times New Roman" w:hAnsi="Times New Roman" w:cs="Times New Roman"/>
              </w:rPr>
              <w:t>o</w:t>
            </w:r>
            <w:r w:rsidRPr="00B44B19">
              <w:rPr>
                <w:rFonts w:ascii="Times New Roman" w:hAnsi="Times New Roman" w:cs="Times New Roman"/>
              </w:rPr>
              <w:t>s intelekto ir (ar) psichikos negalią turintiems asmenims; apsaugoto būsto, palydėjimo, pagalbos, konsultavimo ir kitos paslaugos netekusiems tėvų globos vaikams ir jaunuoliams</w:t>
            </w:r>
            <w:r w:rsidR="00232A76" w:rsidRPr="00B44B19">
              <w:rPr>
                <w:rFonts w:ascii="Times New Roman" w:hAnsi="Times New Roman" w:cs="Times New Roman"/>
              </w:rPr>
              <w:t>; skatinti</w:t>
            </w:r>
            <w:r w:rsidRPr="00B44B19">
              <w:rPr>
                <w:rFonts w:ascii="Times New Roman" w:hAnsi="Times New Roman" w:cs="Times New Roman"/>
              </w:rPr>
              <w:t xml:space="preserve"> vaikų glob</w:t>
            </w:r>
            <w:r w:rsidR="00232A76" w:rsidRPr="00B44B19">
              <w:rPr>
                <w:rFonts w:ascii="Times New Roman" w:hAnsi="Times New Roman" w:cs="Times New Roman"/>
              </w:rPr>
              <w:t>ą</w:t>
            </w:r>
            <w:r w:rsidRPr="00B44B19">
              <w:rPr>
                <w:rFonts w:ascii="Times New Roman" w:hAnsi="Times New Roman" w:cs="Times New Roman"/>
              </w:rPr>
              <w:t xml:space="preserve"> ir įvaikinim</w:t>
            </w:r>
            <w:r w:rsidR="00232A76" w:rsidRPr="00B44B19">
              <w:rPr>
                <w:rFonts w:ascii="Times New Roman" w:hAnsi="Times New Roman" w:cs="Times New Roman"/>
              </w:rPr>
              <w:t>ą</w:t>
            </w:r>
            <w:r w:rsidRPr="00B44B19">
              <w:rPr>
                <w:rFonts w:ascii="Times New Roman" w:hAnsi="Times New Roman" w:cs="Times New Roman"/>
              </w:rPr>
              <w:t>. Ši veikla bus įgyvendinama VVL ir Sostinės regionuose.</w:t>
            </w:r>
          </w:p>
          <w:p w14:paraId="35E8BACC" w14:textId="09060C0B" w:rsidR="00D43304" w:rsidRPr="00B44B19" w:rsidRDefault="00232A76" w:rsidP="008674D1">
            <w:pPr>
              <w:spacing w:before="60" w:after="60"/>
              <w:jc w:val="both"/>
              <w:rPr>
                <w:rFonts w:ascii="Times New Roman" w:hAnsi="Times New Roman" w:cs="Times New Roman"/>
              </w:rPr>
            </w:pPr>
            <w:r w:rsidRPr="00B44B19">
              <w:rPr>
                <w:rFonts w:ascii="Times New Roman" w:hAnsi="Times New Roman" w:cs="Times New Roman"/>
                <w:b/>
              </w:rPr>
              <w:t xml:space="preserve">Plėtoti </w:t>
            </w:r>
            <w:r w:rsidR="00D43304" w:rsidRPr="00B44B19">
              <w:rPr>
                <w:rFonts w:ascii="Times New Roman" w:hAnsi="Times New Roman" w:cs="Times New Roman"/>
                <w:b/>
              </w:rPr>
              <w:t>kompleksines paslaugas šeimoms</w:t>
            </w:r>
            <w:r w:rsidR="00D43304" w:rsidRPr="00B44B19">
              <w:rPr>
                <w:rFonts w:ascii="Times New Roman" w:hAnsi="Times New Roman" w:cs="Times New Roman"/>
              </w:rPr>
              <w:t xml:space="preserve">: </w:t>
            </w:r>
            <w:r w:rsidRPr="00B44B19">
              <w:rPr>
                <w:rFonts w:ascii="Times New Roman" w:hAnsi="Times New Roman" w:cs="Times New Roman"/>
              </w:rPr>
              <w:t>kuri</w:t>
            </w:r>
            <w:r w:rsidR="00C90AAC" w:rsidRPr="00B44B19">
              <w:rPr>
                <w:rFonts w:ascii="Times New Roman" w:hAnsi="Times New Roman" w:cs="Times New Roman"/>
              </w:rPr>
              <w:t>an</w:t>
            </w:r>
            <w:r w:rsidRPr="00B44B19">
              <w:rPr>
                <w:rFonts w:ascii="Times New Roman" w:hAnsi="Times New Roman" w:cs="Times New Roman"/>
              </w:rPr>
              <w:t xml:space="preserve">t </w:t>
            </w:r>
            <w:r w:rsidR="00D43304" w:rsidRPr="00B44B19">
              <w:rPr>
                <w:rFonts w:ascii="Times New Roman" w:hAnsi="Times New Roman" w:cs="Times New Roman"/>
              </w:rPr>
              <w:t>saugi</w:t>
            </w:r>
            <w:r w:rsidRPr="00B44B19">
              <w:rPr>
                <w:rFonts w:ascii="Times New Roman" w:hAnsi="Times New Roman" w:cs="Times New Roman"/>
              </w:rPr>
              <w:t>ą</w:t>
            </w:r>
            <w:r w:rsidR="00D43304" w:rsidRPr="00B44B19">
              <w:rPr>
                <w:rFonts w:ascii="Times New Roman" w:hAnsi="Times New Roman" w:cs="Times New Roman"/>
              </w:rPr>
              <w:t>, sveik</w:t>
            </w:r>
            <w:r w:rsidRPr="00B44B19">
              <w:rPr>
                <w:rFonts w:ascii="Times New Roman" w:hAnsi="Times New Roman" w:cs="Times New Roman"/>
              </w:rPr>
              <w:t>ą</w:t>
            </w:r>
            <w:r w:rsidR="00D43304" w:rsidRPr="00B44B19">
              <w:rPr>
                <w:rFonts w:ascii="Times New Roman" w:hAnsi="Times New Roman" w:cs="Times New Roman"/>
              </w:rPr>
              <w:t xml:space="preserve"> ir darni</w:t>
            </w:r>
            <w:r w:rsidRPr="00B44B19">
              <w:rPr>
                <w:rFonts w:ascii="Times New Roman" w:hAnsi="Times New Roman" w:cs="Times New Roman"/>
              </w:rPr>
              <w:t>ą</w:t>
            </w:r>
            <w:r w:rsidR="00D43304" w:rsidRPr="00B44B19">
              <w:rPr>
                <w:rFonts w:ascii="Times New Roman" w:hAnsi="Times New Roman" w:cs="Times New Roman"/>
              </w:rPr>
              <w:t xml:space="preserve"> aplink</w:t>
            </w:r>
            <w:r w:rsidRPr="00B44B19">
              <w:rPr>
                <w:rFonts w:ascii="Times New Roman" w:hAnsi="Times New Roman" w:cs="Times New Roman"/>
              </w:rPr>
              <w:t>ą,</w:t>
            </w:r>
            <w:r w:rsidR="00D43304" w:rsidRPr="00B44B19">
              <w:rPr>
                <w:rFonts w:ascii="Times New Roman" w:hAnsi="Times New Roman" w:cs="Times New Roman"/>
              </w:rPr>
              <w:t xml:space="preserve"> </w:t>
            </w:r>
            <w:r w:rsidRPr="00B44B19">
              <w:rPr>
                <w:rFonts w:ascii="Times New Roman" w:hAnsi="Times New Roman" w:cs="Times New Roman"/>
              </w:rPr>
              <w:t>plėtoti</w:t>
            </w:r>
            <w:r w:rsidR="00D43304" w:rsidRPr="00B44B19">
              <w:rPr>
                <w:rFonts w:ascii="Times New Roman" w:hAnsi="Times New Roman" w:cs="Times New Roman"/>
              </w:rPr>
              <w:t xml:space="preserve"> paslaugas, skirtas padėti šeimoms įveikti sunkumus ir krizes, didinti tėvų sąmoningumą, ugdyti gebėjimus tinkamai auklėti vaikus, derinti šeim</w:t>
            </w:r>
            <w:r w:rsidRPr="00B44B19">
              <w:rPr>
                <w:rFonts w:ascii="Times New Roman" w:hAnsi="Times New Roman" w:cs="Times New Roman"/>
              </w:rPr>
              <w:t>os</w:t>
            </w:r>
            <w:r w:rsidR="00D43304" w:rsidRPr="00B44B19">
              <w:rPr>
                <w:rFonts w:ascii="Times New Roman" w:hAnsi="Times New Roman" w:cs="Times New Roman"/>
              </w:rPr>
              <w:t xml:space="preserve"> ir darbo įsipareigojimus bei kitas šeimų gyvenimo kokybę </w:t>
            </w:r>
            <w:r w:rsidRPr="00B44B19">
              <w:rPr>
                <w:rFonts w:ascii="Times New Roman" w:hAnsi="Times New Roman" w:cs="Times New Roman"/>
              </w:rPr>
              <w:t xml:space="preserve">gerinančias </w:t>
            </w:r>
            <w:r w:rsidR="00D43304" w:rsidRPr="00B44B19">
              <w:rPr>
                <w:rFonts w:ascii="Times New Roman" w:hAnsi="Times New Roman" w:cs="Times New Roman"/>
              </w:rPr>
              <w:t>paslaugas. Ši veikla bus įgyvendinama VVL ir Sostinės regionuose.</w:t>
            </w:r>
          </w:p>
          <w:p w14:paraId="3C530418" w14:textId="77777777" w:rsidR="00D43304" w:rsidRPr="00B44B19" w:rsidRDefault="00232A76" w:rsidP="008674D1">
            <w:pPr>
              <w:spacing w:before="60" w:after="60"/>
              <w:jc w:val="both"/>
              <w:rPr>
                <w:rFonts w:ascii="Times New Roman" w:hAnsi="Times New Roman" w:cs="Times New Roman"/>
              </w:rPr>
            </w:pPr>
            <w:r w:rsidRPr="00B44B19">
              <w:rPr>
                <w:rFonts w:ascii="Times New Roman" w:hAnsi="Times New Roman" w:cs="Times New Roman"/>
                <w:b/>
              </w:rPr>
              <w:t>Didinti p</w:t>
            </w:r>
            <w:r w:rsidR="00D43304" w:rsidRPr="00B44B19">
              <w:rPr>
                <w:rFonts w:ascii="Times New Roman" w:hAnsi="Times New Roman" w:cs="Times New Roman"/>
                <w:b/>
              </w:rPr>
              <w:t xml:space="preserve">aslaugų vaikams, kuriems gresia skurdas arba socialinė atskirtis, </w:t>
            </w:r>
            <w:r w:rsidRPr="00B44B19">
              <w:rPr>
                <w:rFonts w:ascii="Times New Roman" w:hAnsi="Times New Roman" w:cs="Times New Roman"/>
                <w:b/>
              </w:rPr>
              <w:t>prieinamumą</w:t>
            </w:r>
            <w:r w:rsidR="00D43304" w:rsidRPr="00B44B19">
              <w:rPr>
                <w:rFonts w:ascii="Times New Roman" w:hAnsi="Times New Roman" w:cs="Times New Roman"/>
                <w:b/>
              </w:rPr>
              <w:t xml:space="preserve"> įgyvendinant </w:t>
            </w:r>
            <w:r w:rsidRPr="00B44B19">
              <w:rPr>
                <w:rFonts w:ascii="Times New Roman" w:hAnsi="Times New Roman" w:cs="Times New Roman"/>
                <w:b/>
              </w:rPr>
              <w:t>v</w:t>
            </w:r>
            <w:r w:rsidR="00D43304" w:rsidRPr="00B44B19">
              <w:rPr>
                <w:rFonts w:ascii="Times New Roman" w:hAnsi="Times New Roman" w:cs="Times New Roman"/>
                <w:b/>
              </w:rPr>
              <w:t>aiko garantijų sistemą</w:t>
            </w:r>
            <w:r w:rsidR="00D43304" w:rsidRPr="00B44B19">
              <w:rPr>
                <w:rFonts w:ascii="Times New Roman" w:hAnsi="Times New Roman" w:cs="Times New Roman"/>
              </w:rPr>
              <w:t xml:space="preserve">: </w:t>
            </w:r>
            <w:r w:rsidRPr="00B44B19">
              <w:rPr>
                <w:rFonts w:ascii="Times New Roman" w:hAnsi="Times New Roman" w:cs="Times New Roman"/>
              </w:rPr>
              <w:t xml:space="preserve">plėtoti </w:t>
            </w:r>
            <w:r w:rsidR="00D43304" w:rsidRPr="00B44B19">
              <w:rPr>
                <w:rFonts w:ascii="Times New Roman" w:hAnsi="Times New Roman" w:cs="Times New Roman"/>
              </w:rPr>
              <w:t>paslaug</w:t>
            </w:r>
            <w:r w:rsidRPr="00B44B19">
              <w:rPr>
                <w:rFonts w:ascii="Times New Roman" w:hAnsi="Times New Roman" w:cs="Times New Roman"/>
              </w:rPr>
              <w:t>a</w:t>
            </w:r>
            <w:r w:rsidR="00D43304" w:rsidRPr="00B44B19">
              <w:rPr>
                <w:rFonts w:ascii="Times New Roman" w:hAnsi="Times New Roman" w:cs="Times New Roman"/>
              </w:rPr>
              <w:t>s vaikams su negalia, vaikams, dėl savo sveikatos būklės ar raidos sutrikimų turi</w:t>
            </w:r>
            <w:r w:rsidRPr="00B44B19">
              <w:rPr>
                <w:rFonts w:ascii="Times New Roman" w:hAnsi="Times New Roman" w:cs="Times New Roman"/>
              </w:rPr>
              <w:t>ntiems</w:t>
            </w:r>
            <w:r w:rsidR="00D43304" w:rsidRPr="00B44B19">
              <w:rPr>
                <w:rFonts w:ascii="Times New Roman" w:hAnsi="Times New Roman" w:cs="Times New Roman"/>
              </w:rPr>
              <w:t xml:space="preserve"> specialiųjų poreikių, </w:t>
            </w:r>
            <w:r w:rsidRPr="00B44B19">
              <w:rPr>
                <w:rFonts w:ascii="Times New Roman" w:hAnsi="Times New Roman" w:cs="Times New Roman"/>
              </w:rPr>
              <w:t xml:space="preserve">taip pat </w:t>
            </w:r>
            <w:r w:rsidR="00D43304" w:rsidRPr="00B44B19">
              <w:rPr>
                <w:rFonts w:ascii="Times New Roman" w:hAnsi="Times New Roman" w:cs="Times New Roman"/>
              </w:rPr>
              <w:t xml:space="preserve">jų šeimos nariams; </w:t>
            </w:r>
            <w:r w:rsidRPr="00B44B19">
              <w:rPr>
                <w:rFonts w:ascii="Times New Roman" w:hAnsi="Times New Roman" w:cs="Times New Roman"/>
              </w:rPr>
              <w:t xml:space="preserve">skatinti </w:t>
            </w:r>
            <w:r w:rsidR="00D43304" w:rsidRPr="00B44B19">
              <w:rPr>
                <w:rFonts w:ascii="Times New Roman" w:hAnsi="Times New Roman" w:cs="Times New Roman"/>
              </w:rPr>
              <w:t>neformali</w:t>
            </w:r>
            <w:r w:rsidRPr="00B44B19">
              <w:rPr>
                <w:rFonts w:ascii="Times New Roman" w:hAnsi="Times New Roman" w:cs="Times New Roman"/>
              </w:rPr>
              <w:t>ą</w:t>
            </w:r>
            <w:r w:rsidR="00D43304" w:rsidRPr="00B44B19">
              <w:rPr>
                <w:rFonts w:ascii="Times New Roman" w:hAnsi="Times New Roman" w:cs="Times New Roman"/>
              </w:rPr>
              <w:t xml:space="preserve"> priežiūr</w:t>
            </w:r>
            <w:r w:rsidRPr="00B44B19">
              <w:rPr>
                <w:rFonts w:ascii="Times New Roman" w:hAnsi="Times New Roman" w:cs="Times New Roman"/>
              </w:rPr>
              <w:t>ą</w:t>
            </w:r>
            <w:r w:rsidR="00D43304" w:rsidRPr="00B44B19">
              <w:rPr>
                <w:rFonts w:ascii="Times New Roman" w:hAnsi="Times New Roman" w:cs="Times New Roman"/>
              </w:rPr>
              <w:t xml:space="preserve"> ir savigalb</w:t>
            </w:r>
            <w:r w:rsidRPr="00B44B19">
              <w:rPr>
                <w:rFonts w:ascii="Times New Roman" w:hAnsi="Times New Roman" w:cs="Times New Roman"/>
              </w:rPr>
              <w:t>ą</w:t>
            </w:r>
            <w:r w:rsidR="00D43304" w:rsidRPr="00B44B19">
              <w:rPr>
                <w:rFonts w:ascii="Times New Roman" w:hAnsi="Times New Roman" w:cs="Times New Roman"/>
              </w:rPr>
              <w:t xml:space="preserve">; </w:t>
            </w:r>
            <w:r w:rsidRPr="00B44B19">
              <w:rPr>
                <w:rFonts w:ascii="Times New Roman" w:hAnsi="Times New Roman" w:cs="Times New Roman"/>
              </w:rPr>
              <w:t xml:space="preserve">plėtoti </w:t>
            </w:r>
            <w:r w:rsidR="00D43304" w:rsidRPr="00B44B19">
              <w:rPr>
                <w:rFonts w:ascii="Times New Roman" w:hAnsi="Times New Roman" w:cs="Times New Roman"/>
              </w:rPr>
              <w:t>psichosocialinę negalią turinčių vaikų ir jų šeimos narių ar globėjų psichikos sveikatą ir psichologinę gerovę stiprinanči</w:t>
            </w:r>
            <w:r w:rsidRPr="00B44B19">
              <w:rPr>
                <w:rFonts w:ascii="Times New Roman" w:hAnsi="Times New Roman" w:cs="Times New Roman"/>
              </w:rPr>
              <w:t>a</w:t>
            </w:r>
            <w:r w:rsidR="00D43304" w:rsidRPr="00B44B19">
              <w:rPr>
                <w:rFonts w:ascii="Times New Roman" w:hAnsi="Times New Roman" w:cs="Times New Roman"/>
              </w:rPr>
              <w:t>s paslaug</w:t>
            </w:r>
            <w:r w:rsidRPr="00B44B19">
              <w:rPr>
                <w:rFonts w:ascii="Times New Roman" w:hAnsi="Times New Roman" w:cs="Times New Roman"/>
              </w:rPr>
              <w:t>a</w:t>
            </w:r>
            <w:r w:rsidR="00D43304" w:rsidRPr="00B44B19">
              <w:rPr>
                <w:rFonts w:ascii="Times New Roman" w:hAnsi="Times New Roman" w:cs="Times New Roman"/>
              </w:rPr>
              <w:t>s; kit</w:t>
            </w:r>
            <w:r w:rsidRPr="00B44B19">
              <w:rPr>
                <w:rFonts w:ascii="Times New Roman" w:hAnsi="Times New Roman" w:cs="Times New Roman"/>
              </w:rPr>
              <w:t>a</w:t>
            </w:r>
            <w:r w:rsidR="00D43304" w:rsidRPr="00B44B19">
              <w:rPr>
                <w:rFonts w:ascii="Times New Roman" w:hAnsi="Times New Roman" w:cs="Times New Roman"/>
              </w:rPr>
              <w:t xml:space="preserve">s </w:t>
            </w:r>
            <w:r w:rsidR="00ED25BF" w:rsidRPr="00B44B19">
              <w:rPr>
                <w:rFonts w:ascii="Times New Roman" w:hAnsi="Times New Roman" w:cs="Times New Roman"/>
              </w:rPr>
              <w:t xml:space="preserve">vaikų padėčiai gerinti ir sveikatai stiprinti </w:t>
            </w:r>
            <w:r w:rsidR="00D43304" w:rsidRPr="00B44B19">
              <w:rPr>
                <w:rFonts w:ascii="Times New Roman" w:hAnsi="Times New Roman" w:cs="Times New Roman"/>
              </w:rPr>
              <w:t>skirt</w:t>
            </w:r>
            <w:r w:rsidRPr="00B44B19">
              <w:rPr>
                <w:rFonts w:ascii="Times New Roman" w:hAnsi="Times New Roman" w:cs="Times New Roman"/>
              </w:rPr>
              <w:t>a</w:t>
            </w:r>
            <w:r w:rsidR="00D43304" w:rsidRPr="00B44B19">
              <w:rPr>
                <w:rFonts w:ascii="Times New Roman" w:hAnsi="Times New Roman" w:cs="Times New Roman"/>
              </w:rPr>
              <w:t xml:space="preserve">s </w:t>
            </w:r>
            <w:r w:rsidR="00FF5D0B" w:rsidRPr="00B44B19">
              <w:rPr>
                <w:rFonts w:ascii="Times New Roman" w:hAnsi="Times New Roman" w:cs="Times New Roman"/>
              </w:rPr>
              <w:t xml:space="preserve">paslaugas </w:t>
            </w:r>
            <w:r w:rsidR="00D43304" w:rsidRPr="00B44B19">
              <w:rPr>
                <w:rFonts w:ascii="Times New Roman" w:hAnsi="Times New Roman" w:cs="Times New Roman"/>
              </w:rPr>
              <w:t>bei prevencin</w:t>
            </w:r>
            <w:r w:rsidRPr="00B44B19">
              <w:rPr>
                <w:rFonts w:ascii="Times New Roman" w:hAnsi="Times New Roman" w:cs="Times New Roman"/>
              </w:rPr>
              <w:t>e</w:t>
            </w:r>
            <w:r w:rsidR="00D43304" w:rsidRPr="00B44B19">
              <w:rPr>
                <w:rFonts w:ascii="Times New Roman" w:hAnsi="Times New Roman" w:cs="Times New Roman"/>
              </w:rPr>
              <w:t>s program</w:t>
            </w:r>
            <w:r w:rsidRPr="00B44B19">
              <w:rPr>
                <w:rFonts w:ascii="Times New Roman" w:hAnsi="Times New Roman" w:cs="Times New Roman"/>
              </w:rPr>
              <w:t>a</w:t>
            </w:r>
            <w:r w:rsidR="00D43304" w:rsidRPr="00B44B19">
              <w:rPr>
                <w:rFonts w:ascii="Times New Roman" w:hAnsi="Times New Roman" w:cs="Times New Roman"/>
              </w:rPr>
              <w:t xml:space="preserve">s; </w:t>
            </w:r>
            <w:r w:rsidRPr="00B44B19">
              <w:rPr>
                <w:rFonts w:ascii="Times New Roman" w:hAnsi="Times New Roman" w:cs="Times New Roman"/>
              </w:rPr>
              <w:t xml:space="preserve">tobulinti </w:t>
            </w:r>
            <w:r w:rsidR="00D43304" w:rsidRPr="00B44B19">
              <w:rPr>
                <w:rFonts w:ascii="Times New Roman" w:hAnsi="Times New Roman" w:cs="Times New Roman"/>
              </w:rPr>
              <w:t>specialistų kvalifikacij</w:t>
            </w:r>
            <w:r w:rsidRPr="00B44B19">
              <w:rPr>
                <w:rFonts w:ascii="Times New Roman" w:hAnsi="Times New Roman" w:cs="Times New Roman"/>
              </w:rPr>
              <w:t>ą</w:t>
            </w:r>
            <w:r w:rsidR="00D43304" w:rsidRPr="00B44B19">
              <w:rPr>
                <w:rFonts w:ascii="Times New Roman" w:hAnsi="Times New Roman" w:cs="Times New Roman"/>
              </w:rPr>
              <w:t xml:space="preserve">. Ši veikla bus įgyvendinama VVL ir Sostinės regionuose. </w:t>
            </w:r>
          </w:p>
          <w:p w14:paraId="57D0DA58" w14:textId="77777777" w:rsidR="00D43304" w:rsidRPr="00B44B19" w:rsidRDefault="00D43304" w:rsidP="008674D1">
            <w:pPr>
              <w:spacing w:before="60" w:after="60"/>
              <w:jc w:val="both"/>
              <w:rPr>
                <w:rFonts w:ascii="Times New Roman" w:hAnsi="Times New Roman" w:cs="Times New Roman"/>
              </w:rPr>
            </w:pPr>
            <w:r w:rsidRPr="00B44B19">
              <w:rPr>
                <w:rFonts w:ascii="Times New Roman" w:hAnsi="Times New Roman" w:cs="Times New Roman"/>
                <w:b/>
              </w:rPr>
              <w:t xml:space="preserve">Vykdyti nuo </w:t>
            </w:r>
            <w:r w:rsidR="00ED25BF" w:rsidRPr="00B44B19">
              <w:rPr>
                <w:rFonts w:ascii="Times New Roman" w:hAnsi="Times New Roman" w:cs="Times New Roman"/>
                <w:b/>
              </w:rPr>
              <w:t>psichoaktyviųjų</w:t>
            </w:r>
            <w:r w:rsidRPr="00B44B19">
              <w:rPr>
                <w:rFonts w:ascii="Times New Roman" w:hAnsi="Times New Roman" w:cs="Times New Roman"/>
                <w:b/>
              </w:rPr>
              <w:t xml:space="preserve"> medžiagų priklausomų asmenų psichosocialinę reabilitaciją ir reintegraciją</w:t>
            </w:r>
            <w:r w:rsidRPr="00B44B19">
              <w:rPr>
                <w:rFonts w:ascii="Times New Roman" w:hAnsi="Times New Roman" w:cs="Times New Roman"/>
              </w:rPr>
              <w:t xml:space="preserve">: </w:t>
            </w:r>
            <w:r w:rsidR="00232A76" w:rsidRPr="00B44B19">
              <w:rPr>
                <w:rFonts w:ascii="Times New Roman" w:hAnsi="Times New Roman" w:cs="Times New Roman"/>
              </w:rPr>
              <w:t xml:space="preserve">vykdant </w:t>
            </w:r>
            <w:r w:rsidRPr="00B44B19">
              <w:rPr>
                <w:rFonts w:ascii="Times New Roman" w:hAnsi="Times New Roman" w:cs="Times New Roman"/>
              </w:rPr>
              <w:t>reabilitacijos ir reint</w:t>
            </w:r>
            <w:r w:rsidR="00C90AAC" w:rsidRPr="00B44B19">
              <w:rPr>
                <w:rFonts w:ascii="Times New Roman" w:hAnsi="Times New Roman" w:cs="Times New Roman"/>
              </w:rPr>
              <w:t>e</w:t>
            </w:r>
            <w:r w:rsidRPr="00B44B19">
              <w:rPr>
                <w:rFonts w:ascii="Times New Roman" w:hAnsi="Times New Roman" w:cs="Times New Roman"/>
              </w:rPr>
              <w:t>gracijos veikl</w:t>
            </w:r>
            <w:r w:rsidR="00232A76" w:rsidRPr="00B44B19">
              <w:rPr>
                <w:rFonts w:ascii="Times New Roman" w:hAnsi="Times New Roman" w:cs="Times New Roman"/>
              </w:rPr>
              <w:t>as,</w:t>
            </w:r>
            <w:r w:rsidRPr="00B44B19">
              <w:rPr>
                <w:rFonts w:ascii="Times New Roman" w:hAnsi="Times New Roman" w:cs="Times New Roman"/>
              </w:rPr>
              <w:t xml:space="preserve"> ypa</w:t>
            </w:r>
            <w:r w:rsidR="00232A76" w:rsidRPr="00B44B19">
              <w:rPr>
                <w:rFonts w:ascii="Times New Roman" w:hAnsi="Times New Roman" w:cs="Times New Roman"/>
              </w:rPr>
              <w:t>č</w:t>
            </w:r>
            <w:r w:rsidRPr="00B44B19">
              <w:rPr>
                <w:rFonts w:ascii="Times New Roman" w:hAnsi="Times New Roman" w:cs="Times New Roman"/>
              </w:rPr>
              <w:t xml:space="preserve"> </w:t>
            </w:r>
            <w:r w:rsidR="00232A76" w:rsidRPr="00B44B19">
              <w:rPr>
                <w:rFonts w:ascii="Times New Roman" w:hAnsi="Times New Roman" w:cs="Times New Roman"/>
              </w:rPr>
              <w:t xml:space="preserve">daug </w:t>
            </w:r>
            <w:r w:rsidRPr="00B44B19">
              <w:rPr>
                <w:rFonts w:ascii="Times New Roman" w:hAnsi="Times New Roman" w:cs="Times New Roman"/>
              </w:rPr>
              <w:t>dėmes</w:t>
            </w:r>
            <w:r w:rsidR="00232A76" w:rsidRPr="00B44B19">
              <w:rPr>
                <w:rFonts w:ascii="Times New Roman" w:hAnsi="Times New Roman" w:cs="Times New Roman"/>
              </w:rPr>
              <w:t>io</w:t>
            </w:r>
            <w:r w:rsidRPr="00B44B19">
              <w:rPr>
                <w:rFonts w:ascii="Times New Roman" w:hAnsi="Times New Roman" w:cs="Times New Roman"/>
              </w:rPr>
              <w:t xml:space="preserve"> </w:t>
            </w:r>
            <w:r w:rsidR="00232A76" w:rsidRPr="00B44B19">
              <w:rPr>
                <w:rFonts w:ascii="Times New Roman" w:hAnsi="Times New Roman" w:cs="Times New Roman"/>
              </w:rPr>
              <w:t xml:space="preserve">numatoma </w:t>
            </w:r>
            <w:r w:rsidRPr="00B44B19">
              <w:rPr>
                <w:rFonts w:ascii="Times New Roman" w:hAnsi="Times New Roman" w:cs="Times New Roman"/>
              </w:rPr>
              <w:t>skir</w:t>
            </w:r>
            <w:r w:rsidR="00232A76" w:rsidRPr="00B44B19">
              <w:rPr>
                <w:rFonts w:ascii="Times New Roman" w:hAnsi="Times New Roman" w:cs="Times New Roman"/>
              </w:rPr>
              <w:t>ti</w:t>
            </w:r>
            <w:r w:rsidRPr="00B44B19">
              <w:rPr>
                <w:rFonts w:ascii="Times New Roman" w:hAnsi="Times New Roman" w:cs="Times New Roman"/>
              </w:rPr>
              <w:t xml:space="preserve"> paslaugų vaikams ar asmenims, auginantiems vaikus, </w:t>
            </w:r>
            <w:r w:rsidR="00C004FC" w:rsidRPr="00B44B19">
              <w:rPr>
                <w:rFonts w:ascii="Times New Roman" w:hAnsi="Times New Roman" w:cs="Times New Roman"/>
              </w:rPr>
              <w:t>prieinamumo</w:t>
            </w:r>
            <w:r w:rsidR="00232A76" w:rsidRPr="00B44B19">
              <w:rPr>
                <w:rFonts w:ascii="Times New Roman" w:hAnsi="Times New Roman" w:cs="Times New Roman"/>
              </w:rPr>
              <w:t xml:space="preserve"> </w:t>
            </w:r>
            <w:r w:rsidRPr="00B44B19">
              <w:rPr>
                <w:rFonts w:ascii="Times New Roman" w:hAnsi="Times New Roman" w:cs="Times New Roman"/>
              </w:rPr>
              <w:t xml:space="preserve">didinimui. Ši veikla bus įgyvendinama VVL ir Sostinės regionuose. </w:t>
            </w:r>
          </w:p>
          <w:p w14:paraId="025542B5" w14:textId="77777777" w:rsidR="00D43304" w:rsidRPr="00B44B19" w:rsidRDefault="00232A76" w:rsidP="008674D1">
            <w:pPr>
              <w:spacing w:before="60" w:after="60"/>
              <w:jc w:val="both"/>
              <w:rPr>
                <w:rFonts w:ascii="Times New Roman" w:hAnsi="Times New Roman" w:cs="Times New Roman"/>
              </w:rPr>
            </w:pPr>
            <w:r w:rsidRPr="00B44B19">
              <w:rPr>
                <w:rFonts w:ascii="Times New Roman" w:hAnsi="Times New Roman" w:cs="Times New Roman"/>
                <w:b/>
              </w:rPr>
              <w:lastRenderedPageBreak/>
              <w:t xml:space="preserve">Tobulinti </w:t>
            </w:r>
            <w:r w:rsidR="00D43304" w:rsidRPr="00B44B19">
              <w:rPr>
                <w:rFonts w:ascii="Times New Roman" w:hAnsi="Times New Roman" w:cs="Times New Roman"/>
                <w:b/>
              </w:rPr>
              <w:t xml:space="preserve">socialinės srities viešųjų paslaugų pasidalijimo su </w:t>
            </w:r>
            <w:r w:rsidR="00ED25BF" w:rsidRPr="00B44B19">
              <w:rPr>
                <w:rFonts w:ascii="Times New Roman" w:hAnsi="Times New Roman" w:cs="Times New Roman"/>
                <w:b/>
              </w:rPr>
              <w:t>nevyriausybinėmis ir bendruomeninėmis</w:t>
            </w:r>
            <w:r w:rsidR="00D43304" w:rsidRPr="00B44B19">
              <w:rPr>
                <w:rFonts w:ascii="Times New Roman" w:hAnsi="Times New Roman" w:cs="Times New Roman"/>
                <w:b/>
              </w:rPr>
              <w:t xml:space="preserve"> </w:t>
            </w:r>
            <w:r w:rsidR="00ED25BF" w:rsidRPr="00B44B19">
              <w:rPr>
                <w:rFonts w:ascii="Times New Roman" w:hAnsi="Times New Roman" w:cs="Times New Roman"/>
                <w:b/>
              </w:rPr>
              <w:t>organizacijomis</w:t>
            </w:r>
            <w:r w:rsidR="00D43304" w:rsidRPr="00B44B19">
              <w:rPr>
                <w:rFonts w:ascii="Times New Roman" w:hAnsi="Times New Roman" w:cs="Times New Roman"/>
                <w:b/>
              </w:rPr>
              <w:t xml:space="preserve"> modelį</w:t>
            </w:r>
            <w:r w:rsidR="00D43304" w:rsidRPr="00B44B19">
              <w:rPr>
                <w:rFonts w:ascii="Times New Roman" w:hAnsi="Times New Roman" w:cs="Times New Roman"/>
              </w:rPr>
              <w:t>: prisidedant prie Lietuvos socialinės ekonomikos skatinimo</w:t>
            </w:r>
            <w:r w:rsidR="00835DEA" w:rsidRPr="00B44B19">
              <w:rPr>
                <w:rFonts w:ascii="Times New Roman" w:hAnsi="Times New Roman" w:cs="Times New Roman"/>
              </w:rPr>
              <w:t>, tobulinti paslaugų pasidalijimo modelį</w:t>
            </w:r>
            <w:r w:rsidR="00D43304" w:rsidRPr="00B44B19">
              <w:rPr>
                <w:rFonts w:ascii="Times New Roman" w:hAnsi="Times New Roman" w:cs="Times New Roman"/>
              </w:rPr>
              <w:t>. Ši veikla bus įgyvendinama VVL ir Sostinės regionuose.</w:t>
            </w:r>
          </w:p>
          <w:p w14:paraId="1BECB9FA" w14:textId="77777777" w:rsidR="00D43304" w:rsidRPr="00B44B19" w:rsidRDefault="00D43304" w:rsidP="008674D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bCs/>
              </w:rPr>
              <w:t>Skatinti prevencines priemones, stiprinančias visuomenės sveikatą bei psichologinę gerovę ir atsparumą</w:t>
            </w:r>
            <w:r w:rsidRPr="00B44B19">
              <w:rPr>
                <w:rFonts w:ascii="Times New Roman" w:eastAsia="Times New Roman" w:hAnsi="Times New Roman" w:cs="Times New Roman"/>
              </w:rPr>
              <w:t>:</w:t>
            </w:r>
            <w:r w:rsidRPr="00B44B19">
              <w:rPr>
                <w:rFonts w:ascii="Times New Roman" w:eastAsia="Times New Roman" w:hAnsi="Times New Roman" w:cs="Times New Roman"/>
                <w:bCs/>
              </w:rPr>
              <w:t xml:space="preserve"> integruoto visuomenės sveikatos priežiūros modelio, inovatyvių visuomenės sveikatos paslaugų sukūrimas ir įdiegimas, rizikos sveikatai veiksnių, lemiančių lėtinių neinfekcinių, užkrečiamųjų ligų, profesinių ligų plitimą bei naujai atsirandančių grėsmių ir iššūkių valdymo gerinimas, sveikatos raštingumo, visuomenės sveikatos paslaugų prieinamumo ir kokybės tikslinėms grupėms didinimas. Įgyvendinant prevencines priemones numatoma didinti psichikos sveikatos stiprinimo, priklausomybės ligų ir savižudybių prevencijos paslaugų prieinamumą ir skatinti įvairias iniciatyvas tikslinėse grupėse. Prevencinės priemonės apimtų sveikatos priežiūros specialistų kvalifikacijos tobulinimą, bandomųjų projektų, naujų iniciatyvų diegimą, skaitmeninių ir inovatyvių priemonių ir bendruomeninių iniciatyvų skatinimą. Šios veiklos bus įgyvendinamos VVL ir Sostinės regionuose.</w:t>
            </w:r>
          </w:p>
          <w:p w14:paraId="63A76358" w14:textId="46CBCF77" w:rsidR="00D43304" w:rsidRPr="00B44B19" w:rsidRDefault="00D43304" w:rsidP="008674D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t xml:space="preserve">Stiprinti </w:t>
            </w:r>
            <w:r w:rsidR="003F1297" w:rsidRPr="00B44B19">
              <w:rPr>
                <w:rFonts w:ascii="Times New Roman" w:eastAsia="Times New Roman" w:hAnsi="Times New Roman" w:cs="Times New Roman"/>
                <w:b/>
              </w:rPr>
              <w:t>PSP</w:t>
            </w:r>
            <w:r w:rsidRPr="00B44B19">
              <w:rPr>
                <w:rFonts w:ascii="Times New Roman" w:eastAsia="Times New Roman" w:hAnsi="Times New Roman" w:cs="Times New Roman"/>
                <w:bCs/>
              </w:rPr>
              <w:t>: numatoma didinti PSP komandos teikiamų paslaugų spektrą,</w:t>
            </w:r>
            <w:r w:rsidRPr="00B44B19">
              <w:rPr>
                <w:rFonts w:ascii="Times New Roman" w:hAnsi="Times New Roman" w:cs="Times New Roman"/>
              </w:rPr>
              <w:t xml:space="preserve"> </w:t>
            </w:r>
            <w:r w:rsidRPr="00B44B19">
              <w:rPr>
                <w:rFonts w:ascii="Times New Roman" w:eastAsia="Times New Roman" w:hAnsi="Times New Roman" w:cs="Times New Roman"/>
                <w:bCs/>
              </w:rPr>
              <w:t>finansuoti PSP komandos narių kompetencijų stiprinimą, integruotų paslaugų teikimą. Stiprinant užkrečiamų ligų valdymą numatoma investicijas skirti infekcijų kontrolės komandų formavimui, specialistų kvalifikacijos tobulinimui ir perkvalifikavimui, tęsti socialinę paramą rizikos grupėms ambulatorinio tuberkuliozės gydymo metu stiprinti pacientų bei jų artimųjų žinias ir įgūdžius, ypač susijusius su savarankišku lėtinių ligų valdymu. Numatoma tobulinti PSP įstaigų veiklos vertinimo sistemą, diegti paciento kelio PSP grandyje modelį integruojant visuomenės sveikatos priežiūros paslaugas. Numatoma didelį dėmesį skirti naujų inovatyvių PSP veiklos ir efektyvių paslaugų teikimo modelių sukūrimui, išbandymui, diegimui ir jau esamų plėtojimui</w:t>
            </w:r>
            <w:r w:rsidR="005D76A4" w:rsidRPr="00B44B19">
              <w:rPr>
                <w:rFonts w:ascii="Times New Roman" w:eastAsia="Times New Roman" w:hAnsi="Times New Roman" w:cs="Times New Roman"/>
                <w:bCs/>
              </w:rPr>
              <w:t>,</w:t>
            </w:r>
            <w:r w:rsidRPr="00B44B19">
              <w:rPr>
                <w:rFonts w:ascii="Times New Roman" w:eastAsia="Times New Roman" w:hAnsi="Times New Roman" w:cs="Times New Roman"/>
                <w:bCs/>
              </w:rPr>
              <w:t xml:space="preserve"> gerinant neįgaliųjų ir turinčių specialių poreikių bei poliligotų pacientų priežiūrą, stiprinant tęstinę ir integruotą psichikos sveikatos priežiūrą (taikant atvejo vadybą, diegiant inovatyvius modelius ir teikiant paslaugas bendruomenėje). Šios veiklos bus įgyvendinamos VVL</w:t>
            </w:r>
            <w:r w:rsidR="00E61F7C" w:rsidRPr="00B44B19">
              <w:rPr>
                <w:rFonts w:ascii="Times New Roman" w:eastAsia="Times New Roman" w:hAnsi="Times New Roman" w:cs="Times New Roman"/>
                <w:bCs/>
              </w:rPr>
              <w:t xml:space="preserve"> ir Sostinės</w:t>
            </w:r>
            <w:r w:rsidRPr="00B44B19">
              <w:rPr>
                <w:rFonts w:ascii="Times New Roman" w:eastAsia="Times New Roman" w:hAnsi="Times New Roman" w:cs="Times New Roman"/>
                <w:bCs/>
              </w:rPr>
              <w:t xml:space="preserve"> region</w:t>
            </w:r>
            <w:r w:rsidR="00E61F7C" w:rsidRPr="00B44B19">
              <w:rPr>
                <w:rFonts w:ascii="Times New Roman" w:eastAsia="Times New Roman" w:hAnsi="Times New Roman" w:cs="Times New Roman"/>
                <w:bCs/>
              </w:rPr>
              <w:t>uos</w:t>
            </w:r>
            <w:r w:rsidRPr="00B44B19">
              <w:rPr>
                <w:rFonts w:ascii="Times New Roman" w:eastAsia="Times New Roman" w:hAnsi="Times New Roman" w:cs="Times New Roman"/>
                <w:bCs/>
              </w:rPr>
              <w:t>e.</w:t>
            </w:r>
          </w:p>
          <w:p w14:paraId="279B084D" w14:textId="03AEFD37" w:rsidR="00D43304" w:rsidRPr="00B44B19" w:rsidRDefault="00D43304" w:rsidP="008674D1">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t>Gerinti aukštos kokybės specializuotos sveikatos priežiūros prieinamumą</w:t>
            </w:r>
            <w:r w:rsidRPr="00B44B19">
              <w:rPr>
                <w:rFonts w:ascii="Times New Roman" w:eastAsia="Times New Roman" w:hAnsi="Times New Roman" w:cs="Times New Roman"/>
              </w:rPr>
              <w:t xml:space="preserve">: </w:t>
            </w:r>
            <w:r w:rsidR="00ED25BF" w:rsidRPr="00B44B19">
              <w:rPr>
                <w:rFonts w:ascii="Times New Roman" w:eastAsia="Times New Roman" w:hAnsi="Times New Roman" w:cs="Times New Roman"/>
                <w:bCs/>
              </w:rPr>
              <w:t xml:space="preserve">prioritetas </w:t>
            </w:r>
            <w:r w:rsidRPr="00B44B19">
              <w:rPr>
                <w:rFonts w:ascii="Times New Roman" w:eastAsia="Times New Roman" w:hAnsi="Times New Roman" w:cs="Times New Roman"/>
                <w:bCs/>
              </w:rPr>
              <w:t>bus teikiamas sveikatos priežiūros specialistų kvalifikacijos tobulinimui, trūkstamų specialybių reik</w:t>
            </w:r>
            <w:r w:rsidR="00ED25BF" w:rsidRPr="00B44B19">
              <w:rPr>
                <w:rFonts w:ascii="Times New Roman" w:eastAsia="Times New Roman" w:hAnsi="Times New Roman" w:cs="Times New Roman"/>
                <w:bCs/>
              </w:rPr>
              <w:t xml:space="preserve">iamos kvalifikacijos įgijimui, </w:t>
            </w:r>
            <w:r w:rsidRPr="00B44B19">
              <w:rPr>
                <w:rFonts w:ascii="Times New Roman" w:eastAsia="Times New Roman" w:hAnsi="Times New Roman" w:cs="Times New Roman"/>
                <w:bCs/>
              </w:rPr>
              <w:t xml:space="preserve">diagnostikos ir gydymo standartų, valdymo metodinių dokumentų parengimui ir įdiegimui, tikslinių asmenų grupių sveikatos raštingumo didinimui, pacientų įgalinimo veikloms, arčiau bendruomenės teikiamų paslaugų prieinamumo didinimui. Planuojama skatinti inovatyvių paslaugų teikimo modelių sukūrimą ir įdiegimą, esamų paslaugų teikimo modelių tobulinimą. Numatoma finansuoti bandomųjų paslaugų teikimo ir apmokėjimo modelių sukūrimą, išbandymą, įdiegimą. Šios veiklos bus įgyvendinamos </w:t>
            </w:r>
            <w:r w:rsidR="00E61F7C" w:rsidRPr="00B44B19">
              <w:rPr>
                <w:rFonts w:ascii="Times New Roman" w:eastAsia="Times New Roman" w:hAnsi="Times New Roman" w:cs="Times New Roman"/>
                <w:bCs/>
              </w:rPr>
              <w:t>VVL ir Sostinės regionuose.</w:t>
            </w:r>
          </w:p>
          <w:p w14:paraId="019A49F1" w14:textId="77777777" w:rsidR="00D43304" w:rsidRPr="00B44B19" w:rsidRDefault="00D43304" w:rsidP="008674D1">
            <w:pPr>
              <w:spacing w:before="60" w:after="60"/>
              <w:jc w:val="both"/>
              <w:rPr>
                <w:rFonts w:ascii="Times New Roman" w:eastAsia="Times New Roman" w:hAnsi="Times New Roman" w:cs="Times New Roman"/>
                <w:bCs/>
                <w:iCs/>
              </w:rPr>
            </w:pPr>
            <w:r w:rsidRPr="00B44B19">
              <w:rPr>
                <w:rFonts w:ascii="Times New Roman" w:eastAsia="Times New Roman" w:hAnsi="Times New Roman" w:cs="Times New Roman"/>
                <w:b/>
              </w:rPr>
              <w:t xml:space="preserve">Plėtoti </w:t>
            </w:r>
            <w:r w:rsidR="004264C4" w:rsidRPr="00B44B19">
              <w:rPr>
                <w:rFonts w:ascii="Times New Roman" w:eastAsia="Times New Roman" w:hAnsi="Times New Roman" w:cs="Times New Roman"/>
                <w:b/>
              </w:rPr>
              <w:t xml:space="preserve">IPP </w:t>
            </w:r>
            <w:r w:rsidRPr="00B44B19">
              <w:rPr>
                <w:rFonts w:ascii="Times New Roman" w:eastAsia="Times New Roman" w:hAnsi="Times New Roman" w:cs="Times New Roman"/>
                <w:b/>
              </w:rPr>
              <w:t>sistemą:</w:t>
            </w:r>
            <w:r w:rsidRPr="00B44B19">
              <w:rPr>
                <w:rFonts w:ascii="Times New Roman" w:eastAsia="Times New Roman" w:hAnsi="Times New Roman" w:cs="Times New Roman"/>
                <w:bCs/>
              </w:rPr>
              <w:t xml:space="preserve"> numatoma finansuoti specialistų, teikiančių </w:t>
            </w:r>
            <w:r w:rsidR="004264C4" w:rsidRPr="00B44B19">
              <w:rPr>
                <w:rFonts w:ascii="Times New Roman" w:eastAsia="Times New Roman" w:hAnsi="Times New Roman" w:cs="Times New Roman"/>
                <w:bCs/>
              </w:rPr>
              <w:t>IPP</w:t>
            </w:r>
            <w:r w:rsidRPr="00B44B19">
              <w:rPr>
                <w:rFonts w:ascii="Times New Roman" w:eastAsia="Times New Roman" w:hAnsi="Times New Roman" w:cs="Times New Roman"/>
                <w:bCs/>
              </w:rPr>
              <w:t xml:space="preserve"> stacionarinėje ir ambulatorinėje grandyse, kompetencijų bei kvalifikacijos įgijimą. Investicijos bus nukreiptos metodologinio centro</w:t>
            </w:r>
            <w:r w:rsidR="00ED25BF"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xml:space="preserve">sukūrimui. </w:t>
            </w:r>
            <w:r w:rsidRPr="00B44B19">
              <w:rPr>
                <w:rFonts w:ascii="Times New Roman" w:eastAsia="Times New Roman" w:hAnsi="Times New Roman" w:cs="Times New Roman"/>
                <w:bCs/>
                <w:iCs/>
              </w:rPr>
              <w:t xml:space="preserve">Taip pat bus finansuojamas tikslinių </w:t>
            </w:r>
            <w:r w:rsidR="004264C4" w:rsidRPr="00B44B19">
              <w:rPr>
                <w:rFonts w:ascii="Times New Roman" w:eastAsia="Times New Roman" w:hAnsi="Times New Roman" w:cs="Times New Roman"/>
                <w:bCs/>
                <w:iCs/>
              </w:rPr>
              <w:t>IPP</w:t>
            </w:r>
            <w:r w:rsidRPr="00B44B19">
              <w:rPr>
                <w:rFonts w:ascii="Times New Roman" w:eastAsia="Times New Roman" w:hAnsi="Times New Roman" w:cs="Times New Roman"/>
                <w:bCs/>
                <w:iCs/>
              </w:rPr>
              <w:t xml:space="preserve"> diegimas (</w:t>
            </w:r>
            <w:r w:rsidR="00ED25BF" w:rsidRPr="00B44B19">
              <w:rPr>
                <w:rFonts w:ascii="Times New Roman" w:eastAsia="Times New Roman" w:hAnsi="Times New Roman" w:cs="Times New Roman"/>
                <w:bCs/>
                <w:iCs/>
              </w:rPr>
              <w:t>ypač demencijos ir Alzheimerio ligų srityse</w:t>
            </w:r>
            <w:r w:rsidRPr="00B44B19">
              <w:rPr>
                <w:rFonts w:ascii="Times New Roman" w:eastAsia="Times New Roman" w:hAnsi="Times New Roman" w:cs="Times New Roman"/>
                <w:bCs/>
                <w:iCs/>
              </w:rPr>
              <w:t>) ir plėtojimas savivaldybių lygmens ASPĮ bei integralios pagalbos paslaugų užtikrinimas asmenims, kurie negali pasirūpinti savimi</w:t>
            </w:r>
            <w:r w:rsidRPr="00B44B19">
              <w:rPr>
                <w:rFonts w:ascii="Times New Roman" w:eastAsia="Times New Roman" w:hAnsi="Times New Roman" w:cs="Times New Roman"/>
                <w:iCs/>
              </w:rPr>
              <w:t>; šeimos narių konsultavimas</w:t>
            </w:r>
            <w:r w:rsidRPr="00B44B19">
              <w:rPr>
                <w:rFonts w:ascii="Times New Roman" w:eastAsia="Times New Roman" w:hAnsi="Times New Roman" w:cs="Times New Roman"/>
                <w:bCs/>
                <w:iCs/>
              </w:rPr>
              <w:t>. Šios veiklos bus įgyvendinamos VVL ir Sostinės regionuose.</w:t>
            </w:r>
          </w:p>
          <w:p w14:paraId="17135F78" w14:textId="612A9697" w:rsidR="00D43304" w:rsidRPr="00B44B19" w:rsidRDefault="00D43304" w:rsidP="008674D1">
            <w:pPr>
              <w:spacing w:before="60" w:after="60"/>
              <w:jc w:val="both"/>
              <w:rPr>
                <w:rFonts w:ascii="Times New Roman" w:hAnsi="Times New Roman" w:cs="Times New Roman"/>
              </w:rPr>
            </w:pPr>
            <w:r w:rsidRPr="00B44B19">
              <w:rPr>
                <w:rFonts w:ascii="Times New Roman" w:eastAsia="Times New Roman" w:hAnsi="Times New Roman" w:cs="Times New Roman"/>
                <w:b/>
                <w:bCs/>
                <w:lang w:eastAsia="en-US" w:bidi="ar-SA"/>
              </w:rPr>
              <w:t>Užtikrinti sveikatos specialistų pasiūlą:</w:t>
            </w:r>
            <w:r w:rsidRPr="00B44B19">
              <w:rPr>
                <w:rFonts w:ascii="Times New Roman" w:eastAsia="Times New Roman" w:hAnsi="Times New Roman" w:cs="Times New Roman"/>
                <w:bCs/>
                <w:lang w:eastAsia="en-US" w:bidi="ar-SA"/>
              </w:rPr>
              <w:t xml:space="preserve"> </w:t>
            </w:r>
            <w:r w:rsidRPr="00B44B19">
              <w:rPr>
                <w:rFonts w:ascii="Times New Roman" w:eastAsia="Times New Roman" w:hAnsi="Times New Roman" w:cs="Times New Roman"/>
                <w:lang w:eastAsia="en-US" w:bidi="ar-SA"/>
              </w:rPr>
              <w:t xml:space="preserve">investuoti į specialistų rengimą, siekiant </w:t>
            </w:r>
            <w:r w:rsidR="006A198B" w:rsidRPr="00B44B19">
              <w:rPr>
                <w:rFonts w:ascii="Times New Roman" w:eastAsia="Times New Roman" w:hAnsi="Times New Roman" w:cs="Times New Roman"/>
                <w:lang w:eastAsia="en-US" w:bidi="ar-SA"/>
              </w:rPr>
              <w:t xml:space="preserve">juos </w:t>
            </w:r>
            <w:r w:rsidRPr="00B44B19">
              <w:rPr>
                <w:rFonts w:ascii="Times New Roman" w:eastAsia="Times New Roman" w:hAnsi="Times New Roman" w:cs="Times New Roman"/>
                <w:lang w:eastAsia="en-US" w:bidi="ar-SA"/>
              </w:rPr>
              <w:t xml:space="preserve">pritraukti darbui sveikatos sistemos prioritetinėse investavimo srityse; </w:t>
            </w:r>
            <w:r w:rsidRPr="00B44B19">
              <w:rPr>
                <w:rFonts w:ascii="Times New Roman" w:eastAsia="Times New Roman" w:hAnsi="Times New Roman" w:cs="Times New Roman"/>
                <w:bCs/>
                <w:lang w:eastAsia="en-US" w:bidi="ar-SA"/>
              </w:rPr>
              <w:t xml:space="preserve">įgyvendinti paskatų sveikatos priežiūros specialistams </w:t>
            </w:r>
            <w:r w:rsidR="00C90AAC" w:rsidRPr="00B44B19">
              <w:rPr>
                <w:rFonts w:ascii="Times New Roman" w:eastAsia="Times New Roman" w:hAnsi="Times New Roman" w:cs="Times New Roman"/>
                <w:bCs/>
                <w:lang w:eastAsia="en-US" w:bidi="ar-SA"/>
              </w:rPr>
              <w:t>priemones ir iniciatyvas, skirtas</w:t>
            </w:r>
            <w:r w:rsidR="00ED25BF" w:rsidRPr="00B44B19">
              <w:rPr>
                <w:rFonts w:ascii="Times New Roman" w:eastAsia="Times New Roman" w:hAnsi="Times New Roman" w:cs="Times New Roman"/>
                <w:bCs/>
                <w:lang w:eastAsia="en-US" w:bidi="ar-SA"/>
              </w:rPr>
              <w:t xml:space="preserve"> specialistų trūkumui spręsti regionų</w:t>
            </w:r>
            <w:r w:rsidRPr="00B44B19">
              <w:rPr>
                <w:rFonts w:ascii="Times New Roman" w:eastAsia="Times New Roman" w:hAnsi="Times New Roman" w:cs="Times New Roman"/>
                <w:bCs/>
                <w:lang w:eastAsia="en-US" w:bidi="ar-SA"/>
              </w:rPr>
              <w:t xml:space="preserve"> lygmeniu. Šios veiklos bus įgyvendinamos </w:t>
            </w:r>
            <w:r w:rsidR="00E61F7C" w:rsidRPr="00B44B19">
              <w:rPr>
                <w:rFonts w:ascii="Times New Roman" w:eastAsia="Times New Roman" w:hAnsi="Times New Roman" w:cs="Times New Roman"/>
                <w:bCs/>
              </w:rPr>
              <w:t>VVL ir Sostinės regionuose.</w:t>
            </w:r>
          </w:p>
          <w:p w14:paraId="5D424BEB" w14:textId="77777777" w:rsidR="00EA57D7" w:rsidRPr="00B44B19" w:rsidRDefault="00D43304" w:rsidP="008674D1">
            <w:pPr>
              <w:spacing w:before="60" w:after="60"/>
              <w:jc w:val="both"/>
              <w:rPr>
                <w:rFonts w:ascii="Times New Roman"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p>
        </w:tc>
      </w:tr>
    </w:tbl>
    <w:p w14:paraId="41D11779"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17303" w:rsidRPr="00B44B19" w14:paraId="40EBF7C4" w14:textId="77777777" w:rsidTr="00417303">
        <w:tc>
          <w:tcPr>
            <w:tcW w:w="9854" w:type="dxa"/>
          </w:tcPr>
          <w:p w14:paraId="0D7E4A10" w14:textId="77777777" w:rsidR="00417303" w:rsidRPr="00B44B19" w:rsidRDefault="008327AE" w:rsidP="008674D1">
            <w:pPr>
              <w:spacing w:before="60" w:after="60"/>
              <w:jc w:val="both"/>
              <w:rPr>
                <w:rFonts w:eastAsia="Calibri" w:cs="Times New Roman"/>
                <w:noProof/>
                <w:sz w:val="22"/>
                <w:lang w:eastAsia="lt-LT" w:bidi="lt-LT"/>
              </w:rPr>
            </w:pPr>
            <w:r w:rsidRPr="00B44B19">
              <w:rPr>
                <w:rFonts w:eastAsia="Calibri" w:cs="Times New Roman"/>
                <w:noProof/>
                <w:sz w:val="22"/>
                <w:lang w:eastAsia="lt-LT" w:bidi="lt-LT"/>
              </w:rPr>
              <w:t>Asmenys, turintys intelekto ir (ar) psichikos negalią, ir jų šeimos (globėjai, rūpintojai); vaikai ir jauni asmenys, netekę tėvų globos; šeimos; asmenys, kuriems nustatytas socialinių paslaugų poreikis bei jų artimieji; vaikai, kuriems gresia skurdas arba socialinė atskirtis, ir jų šeimos (globėjai, rūpintojai); nuo psichoaktyvių</w:t>
            </w:r>
            <w:r w:rsidR="00C90AAC" w:rsidRPr="00B44B19">
              <w:rPr>
                <w:rFonts w:eastAsia="Calibri" w:cs="Times New Roman"/>
                <w:noProof/>
                <w:sz w:val="22"/>
                <w:lang w:eastAsia="lt-LT" w:bidi="lt-LT"/>
              </w:rPr>
              <w:t>jų</w:t>
            </w:r>
            <w:r w:rsidRPr="00B44B19">
              <w:rPr>
                <w:rFonts w:eastAsia="Calibri" w:cs="Times New Roman"/>
                <w:noProof/>
                <w:sz w:val="22"/>
                <w:lang w:eastAsia="lt-LT" w:bidi="lt-LT"/>
              </w:rPr>
              <w:t xml:space="preserve"> medžiagų priklausomi asmenys; paslaugas teikiančios ir administruojančios organizacijos (įstaigos); paslaugas teikiantys ir (ar) administruojantys darbuotojai</w:t>
            </w:r>
            <w:r w:rsidR="00052295" w:rsidRPr="00B44B19">
              <w:rPr>
                <w:rFonts w:eastAsia="Calibri" w:cs="Times New Roman"/>
                <w:noProof/>
                <w:sz w:val="22"/>
                <w:lang w:eastAsia="lt-LT" w:bidi="lt-LT"/>
              </w:rPr>
              <w:t xml:space="preserve">: </w:t>
            </w:r>
            <w:r w:rsidRPr="00B44B19">
              <w:rPr>
                <w:rFonts w:eastAsia="Calibri" w:cs="Times New Roman"/>
                <w:noProof/>
                <w:sz w:val="22"/>
                <w:lang w:eastAsia="lt-LT" w:bidi="lt-LT"/>
              </w:rPr>
              <w:t>socialiai pažeidžiami, socialinę riziką (atskirtį) patiriantys asmenys, įskaitant psichosocialinę negalią turin</w:t>
            </w:r>
            <w:r w:rsidR="00835DEA" w:rsidRPr="00B44B19">
              <w:rPr>
                <w:rFonts w:eastAsia="Calibri" w:cs="Times New Roman"/>
                <w:noProof/>
                <w:sz w:val="22"/>
                <w:lang w:eastAsia="lt-LT" w:bidi="lt-LT"/>
              </w:rPr>
              <w:t>čius</w:t>
            </w:r>
            <w:r w:rsidRPr="00B44B19">
              <w:rPr>
                <w:rFonts w:eastAsia="Calibri" w:cs="Times New Roman"/>
                <w:noProof/>
                <w:sz w:val="22"/>
                <w:lang w:eastAsia="lt-LT" w:bidi="lt-LT"/>
              </w:rPr>
              <w:t xml:space="preserve"> vaik</w:t>
            </w:r>
            <w:r w:rsidR="00835DEA" w:rsidRPr="00B44B19">
              <w:rPr>
                <w:rFonts w:eastAsia="Calibri" w:cs="Times New Roman"/>
                <w:noProof/>
                <w:sz w:val="22"/>
                <w:lang w:eastAsia="lt-LT" w:bidi="lt-LT"/>
              </w:rPr>
              <w:t>us</w:t>
            </w:r>
            <w:r w:rsidRPr="00B44B19">
              <w:rPr>
                <w:rFonts w:eastAsia="Calibri" w:cs="Times New Roman"/>
                <w:noProof/>
                <w:sz w:val="22"/>
                <w:lang w:eastAsia="lt-LT" w:bidi="lt-LT"/>
              </w:rPr>
              <w:t xml:space="preserve"> ir ju šeimos nari</w:t>
            </w:r>
            <w:r w:rsidR="00835DEA" w:rsidRPr="00B44B19">
              <w:rPr>
                <w:rFonts w:eastAsia="Calibri" w:cs="Times New Roman"/>
                <w:noProof/>
                <w:sz w:val="22"/>
                <w:lang w:eastAsia="lt-LT" w:bidi="lt-LT"/>
              </w:rPr>
              <w:t>us</w:t>
            </w:r>
            <w:r w:rsidRPr="00B44B19">
              <w:rPr>
                <w:rFonts w:eastAsia="Calibri" w:cs="Times New Roman"/>
                <w:noProof/>
                <w:sz w:val="22"/>
                <w:lang w:eastAsia="lt-LT" w:bidi="lt-LT"/>
              </w:rPr>
              <w:t xml:space="preserve"> bei globėj</w:t>
            </w:r>
            <w:r w:rsidR="00835DEA" w:rsidRPr="00B44B19">
              <w:rPr>
                <w:rFonts w:eastAsia="Calibri" w:cs="Times New Roman"/>
                <w:noProof/>
                <w:sz w:val="22"/>
                <w:lang w:eastAsia="lt-LT" w:bidi="lt-LT"/>
              </w:rPr>
              <w:t>us</w:t>
            </w:r>
            <w:r w:rsidRPr="00B44B19">
              <w:rPr>
                <w:rFonts w:eastAsia="Calibri" w:cs="Times New Roman"/>
                <w:noProof/>
                <w:sz w:val="22"/>
                <w:lang w:eastAsia="lt-LT" w:bidi="lt-LT"/>
              </w:rPr>
              <w:t>; neįgalūs asmenys</w:t>
            </w:r>
            <w:r w:rsidR="00052295" w:rsidRPr="00B44B19">
              <w:rPr>
                <w:rFonts w:eastAsia="Calibri" w:cs="Times New Roman"/>
                <w:noProof/>
                <w:sz w:val="22"/>
                <w:lang w:eastAsia="lt-LT" w:bidi="lt-LT"/>
              </w:rPr>
              <w:t xml:space="preserve">: </w:t>
            </w:r>
            <w:r w:rsidRPr="00B44B19">
              <w:rPr>
                <w:rFonts w:eastAsia="Calibri" w:cs="Times New Roman"/>
                <w:noProof/>
                <w:sz w:val="22"/>
                <w:lang w:eastAsia="lt-LT" w:bidi="lt-LT"/>
              </w:rPr>
              <w:t xml:space="preserve">senyvo amžiaus asmenys; vaikai; jaunimas; rizikos sveikatai veiksnius patiriantys asmenys; asmenys, priskiriami pagrindinių lėtinių neinfekcinių ligų didelės rizikos grupėms; </w:t>
            </w:r>
            <w:r w:rsidRPr="00B44B19">
              <w:rPr>
                <w:rFonts w:eastAsia="Calibri" w:cs="Times New Roman"/>
                <w:noProof/>
                <w:sz w:val="22"/>
                <w:lang w:eastAsia="lt-LT" w:bidi="lt-LT"/>
              </w:rPr>
              <w:lastRenderedPageBreak/>
              <w:t>asmenys, sergantys daugybinėmis lėtinėmis ligomis; asmenys, kuriems nustatytas ilgalaikės priežiūros poreikis; asmens ir visuomenės sveikatos priežiūros specialistai ir kiti sveikatos priežiūros srityje dirbantys specialistai.</w:t>
            </w:r>
          </w:p>
        </w:tc>
      </w:tr>
    </w:tbl>
    <w:p w14:paraId="378CFDA2"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17303" w:rsidRPr="00B44B19" w14:paraId="72163A83" w14:textId="77777777" w:rsidTr="00417303">
        <w:tc>
          <w:tcPr>
            <w:tcW w:w="9854" w:type="dxa"/>
          </w:tcPr>
          <w:p w14:paraId="36EB0B1D" w14:textId="77777777" w:rsidR="00417303" w:rsidRPr="00B44B19" w:rsidRDefault="008327AE" w:rsidP="008674D1">
            <w:pPr>
              <w:spacing w:before="60" w:after="60"/>
              <w:jc w:val="both"/>
              <w:rPr>
                <w:rFonts w:eastAsia="Calibri" w:cs="Times New Roman"/>
                <w:b/>
                <w:i/>
                <w:noProof/>
                <w:szCs w:val="24"/>
                <w:lang w:eastAsia="lt-LT" w:bidi="lt-LT"/>
              </w:rPr>
            </w:pPr>
            <w:r w:rsidRPr="00B44B19">
              <w:rPr>
                <w:rFonts w:cs="Times New Roman"/>
                <w:sz w:val="22"/>
              </w:rPr>
              <w:t>Vykdant numatytas veiklas</w:t>
            </w:r>
            <w:r w:rsidR="00D43A78" w:rsidRPr="00B44B19">
              <w:rPr>
                <w:rFonts w:cs="Times New Roman"/>
                <w:sz w:val="22"/>
              </w:rPr>
              <w:t>,</w:t>
            </w:r>
            <w:r w:rsidRPr="00B44B19">
              <w:rPr>
                <w:rFonts w:cs="Times New Roman"/>
                <w:sz w:val="22"/>
              </w:rPr>
              <w:t xml:space="preserve"> prisidedama prie </w:t>
            </w:r>
            <w:r w:rsidR="00D43A78" w:rsidRPr="00B44B19">
              <w:rPr>
                <w:rFonts w:cs="Times New Roman"/>
                <w:sz w:val="22"/>
              </w:rPr>
              <w:t>i</w:t>
            </w:r>
            <w:r w:rsidRPr="00B44B19">
              <w:rPr>
                <w:rFonts w:cs="Times New Roman"/>
                <w:sz w:val="22"/>
              </w:rPr>
              <w:t>nstitucinės globos pertvarkos. Pertvarka įgyvendinama siekiant skatinti ir užtikrinti visų neįgaliųjų visapusišką ir lygiateisį naudojimąsi visomis žmogaus teisėmis ir pagrindinėmis laisvėmis, skatinti pagarbą šių asmenų prigimtiniam orumui, kaip nustatyta Neįgaliųjų teisių konvencijoje. Tiesiogiai lygybės ir nediskriminavimo dėl negalios, amžiaus, socialinės padėties principas bus įgyvendinamas per veiklas, skirtas nestacionari</w:t>
            </w:r>
            <w:r w:rsidR="00D43A78" w:rsidRPr="00B44B19">
              <w:rPr>
                <w:rFonts w:cs="Times New Roman"/>
                <w:sz w:val="22"/>
              </w:rPr>
              <w:t>oms</w:t>
            </w:r>
            <w:r w:rsidRPr="00B44B19">
              <w:rPr>
                <w:rFonts w:cs="Times New Roman"/>
                <w:sz w:val="22"/>
              </w:rPr>
              <w:t>, bendruomenin</w:t>
            </w:r>
            <w:r w:rsidR="00D43A78" w:rsidRPr="00B44B19">
              <w:rPr>
                <w:rFonts w:cs="Times New Roman"/>
                <w:sz w:val="22"/>
              </w:rPr>
              <w:t>ėms</w:t>
            </w:r>
            <w:r w:rsidRPr="00B44B19">
              <w:rPr>
                <w:rFonts w:cs="Times New Roman"/>
                <w:sz w:val="22"/>
              </w:rPr>
              <w:t xml:space="preserve"> paslaug</w:t>
            </w:r>
            <w:r w:rsidR="00D43A78" w:rsidRPr="00B44B19">
              <w:rPr>
                <w:rFonts w:cs="Times New Roman"/>
                <w:sz w:val="22"/>
              </w:rPr>
              <w:t>oms plėtoti</w:t>
            </w:r>
            <w:r w:rsidRPr="00B44B19">
              <w:rPr>
                <w:rFonts w:cs="Times New Roman"/>
                <w:sz w:val="22"/>
              </w:rPr>
              <w:t xml:space="preserve"> asmenims, kuriems nustatytas socialinių paslaugų poreikis ir kurie negali pasirūpinti savimi. Be to, dalis paslaugų suteiks galimybę įsidarbinti ir padidinti namų ūkio pajamas asmenims, kurie prižiūri savimi pasirūpinti negalinčius šeimos narius, sugrįžti į </w:t>
            </w:r>
            <w:r w:rsidR="002F4119" w:rsidRPr="00B44B19">
              <w:rPr>
                <w:rFonts w:cs="Times New Roman"/>
                <w:sz w:val="22"/>
              </w:rPr>
              <w:t>DR</w:t>
            </w:r>
            <w:r w:rsidRPr="00B44B19">
              <w:rPr>
                <w:rFonts w:cs="Times New Roman"/>
                <w:sz w:val="22"/>
              </w:rPr>
              <w:t xml:space="preserve"> ir gauti pajamas asmenims iš specifinių socialinės rizikos grupių (pvz., priklausomybių turintiems asmenims).</w:t>
            </w:r>
          </w:p>
        </w:tc>
      </w:tr>
    </w:tbl>
    <w:p w14:paraId="59CFB1C5" w14:textId="77777777" w:rsidR="00EF291A" w:rsidRPr="00B44B19" w:rsidRDefault="00EF291A" w:rsidP="00783D09">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93EF2" w:rsidRPr="00B44B19" w14:paraId="36F6E117" w14:textId="77777777" w:rsidTr="00493EF2">
        <w:tc>
          <w:tcPr>
            <w:tcW w:w="9854" w:type="dxa"/>
          </w:tcPr>
          <w:p w14:paraId="0FE3A7EA" w14:textId="77777777" w:rsidR="00493EF2" w:rsidRPr="00B44B19" w:rsidRDefault="00493EF2" w:rsidP="008674D1">
            <w:pPr>
              <w:spacing w:before="60" w:after="60"/>
              <w:jc w:val="both"/>
              <w:rPr>
                <w:rFonts w:cs="Times New Roman"/>
                <w:bCs/>
                <w:color w:val="000000"/>
                <w:sz w:val="22"/>
              </w:rPr>
            </w:pPr>
            <w:r w:rsidRPr="00B44B19">
              <w:rPr>
                <w:rFonts w:eastAsia="Calibri" w:cs="Times New Roman"/>
                <w:noProof/>
                <w:sz w:val="22"/>
                <w:lang w:eastAsia="lt-LT" w:bidi="lt-LT"/>
              </w:rPr>
              <w:t>VVL regionas, Sostinės regionas</w:t>
            </w:r>
            <w:r w:rsidRPr="00B44B19">
              <w:rPr>
                <w:rFonts w:cs="Times New Roman"/>
                <w:bCs/>
                <w:color w:val="000000"/>
                <w:sz w:val="22"/>
              </w:rPr>
              <w:t>.</w:t>
            </w:r>
          </w:p>
          <w:p w14:paraId="2BAD6B37" w14:textId="77777777" w:rsidR="00D945B2" w:rsidRPr="00B44B19" w:rsidRDefault="00D43A78" w:rsidP="008674D1">
            <w:pPr>
              <w:spacing w:before="60" w:after="60"/>
              <w:jc w:val="both"/>
              <w:rPr>
                <w:rFonts w:cs="Times New Roman"/>
                <w:bCs/>
                <w:color w:val="000000"/>
                <w:sz w:val="22"/>
              </w:rPr>
            </w:pPr>
            <w:r w:rsidRPr="00B44B19">
              <w:rPr>
                <w:rFonts w:cs="Times New Roman"/>
                <w:bCs/>
                <w:color w:val="000000"/>
                <w:sz w:val="22"/>
              </w:rPr>
              <w:t>Įgyvendinant u</w:t>
            </w:r>
            <w:r w:rsidR="00D945B2" w:rsidRPr="00B44B19">
              <w:rPr>
                <w:rFonts w:cs="Times New Roman"/>
                <w:bCs/>
                <w:color w:val="000000"/>
                <w:sz w:val="22"/>
              </w:rPr>
              <w:t>ždavin</w:t>
            </w:r>
            <w:r w:rsidRPr="00B44B19">
              <w:rPr>
                <w:rFonts w:cs="Times New Roman"/>
                <w:bCs/>
                <w:color w:val="000000"/>
                <w:sz w:val="22"/>
              </w:rPr>
              <w:t>į numatytomis</w:t>
            </w:r>
            <w:r w:rsidR="00D945B2" w:rsidRPr="00B44B19">
              <w:rPr>
                <w:rFonts w:cs="Times New Roman"/>
                <w:bCs/>
                <w:color w:val="000000"/>
                <w:sz w:val="22"/>
              </w:rPr>
              <w:t xml:space="preserve"> investicijomis gali būti remiama dalis tvarios miestų ir </w:t>
            </w:r>
            <w:r w:rsidR="004C2FDD" w:rsidRPr="00B44B19">
              <w:rPr>
                <w:rFonts w:cs="Times New Roman"/>
                <w:bCs/>
                <w:color w:val="000000"/>
                <w:sz w:val="22"/>
              </w:rPr>
              <w:t>FZ</w:t>
            </w:r>
            <w:r w:rsidR="00D945B2" w:rsidRPr="00B44B19">
              <w:rPr>
                <w:rFonts w:cs="Times New Roman"/>
                <w:bCs/>
                <w:color w:val="000000"/>
                <w:sz w:val="22"/>
              </w:rPr>
              <w:t xml:space="preserve"> plėtros veiksmų įgyvendinamų ITI būdu, šias investicijas derinant su Programos 5 prioriteto 5.1 ir 5.2 uždavini</w:t>
            </w:r>
            <w:r w:rsidRPr="00B44B19">
              <w:rPr>
                <w:rFonts w:cs="Times New Roman"/>
                <w:bCs/>
                <w:color w:val="000000"/>
                <w:sz w:val="22"/>
              </w:rPr>
              <w:t>ais,</w:t>
            </w:r>
            <w:r w:rsidR="00D945B2" w:rsidRPr="00B44B19">
              <w:rPr>
                <w:rFonts w:cs="Times New Roman"/>
                <w:bCs/>
                <w:color w:val="000000"/>
                <w:sz w:val="22"/>
              </w:rPr>
              <w:t xml:space="preserve"> siekiant bendrų tikslų sveikatos priežiūros srityje. Investicijų apimtis / detalumas derinami su atitinkamomis ministerijomis</w:t>
            </w:r>
            <w:r w:rsidRPr="00B44B19">
              <w:rPr>
                <w:rFonts w:cs="Times New Roman"/>
                <w:bCs/>
                <w:color w:val="000000"/>
                <w:sz w:val="22"/>
              </w:rPr>
              <w:t>,</w:t>
            </w:r>
            <w:r w:rsidR="00D945B2" w:rsidRPr="00B44B19">
              <w:rPr>
                <w:rFonts w:cs="Times New Roman"/>
                <w:bCs/>
                <w:color w:val="000000"/>
                <w:sz w:val="22"/>
              </w:rPr>
              <w:t xml:space="preserve"> rengiant nacionalines plėtros programas ir teritorines strategijas</w:t>
            </w:r>
            <w:r w:rsidRPr="00B44B19">
              <w:rPr>
                <w:rFonts w:cs="Times New Roman"/>
                <w:bCs/>
                <w:color w:val="000000"/>
                <w:sz w:val="22"/>
              </w:rPr>
              <w:t>,</w:t>
            </w:r>
            <w:r w:rsidR="00D945B2" w:rsidRPr="00B44B19">
              <w:rPr>
                <w:rFonts w:cs="Times New Roman"/>
                <w:bCs/>
                <w:color w:val="000000"/>
                <w:sz w:val="22"/>
              </w:rPr>
              <w:t xml:space="preserve"> ir priklauso nuo pasirenkamų uždavinių turinio.</w:t>
            </w:r>
          </w:p>
        </w:tc>
      </w:tr>
    </w:tbl>
    <w:p w14:paraId="38260D77"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493EF2" w:rsidRPr="00B44B19" w14:paraId="647742E6" w14:textId="77777777" w:rsidTr="00493EF2">
        <w:tc>
          <w:tcPr>
            <w:tcW w:w="9854" w:type="dxa"/>
          </w:tcPr>
          <w:p w14:paraId="26DF6D77" w14:textId="77777777" w:rsidR="00493EF2" w:rsidRPr="00B44B19" w:rsidRDefault="00993B5D" w:rsidP="008674D1">
            <w:pPr>
              <w:spacing w:before="60" w:after="60"/>
              <w:jc w:val="both"/>
              <w:rPr>
                <w:rFonts w:eastAsia="Calibri" w:cs="Times New Roman"/>
                <w:b/>
                <w:i/>
                <w:noProof/>
                <w:szCs w:val="24"/>
                <w:lang w:eastAsia="lt-LT" w:bidi="lt-LT"/>
              </w:rPr>
            </w:pPr>
            <w:r w:rsidRPr="00B44B19">
              <w:rPr>
                <w:rFonts w:eastAsia="Calibri" w:cs="Times New Roman"/>
                <w:bCs/>
                <w:noProof/>
                <w:sz w:val="22"/>
                <w:lang w:eastAsia="lt-LT" w:bidi="lt-LT"/>
              </w:rPr>
              <w:t>Numatoma sudaryti visas galimybes prireikus juos atlikti</w:t>
            </w:r>
            <w:r w:rsidR="00493EF2" w:rsidRPr="00B44B19">
              <w:rPr>
                <w:rFonts w:eastAsia="Calibri" w:cs="Times New Roman"/>
                <w:noProof/>
                <w:sz w:val="22"/>
                <w:lang w:eastAsia="lt-LT" w:bidi="lt-LT"/>
              </w:rPr>
              <w:t>.</w:t>
            </w:r>
          </w:p>
        </w:tc>
      </w:tr>
    </w:tbl>
    <w:p w14:paraId="4E4E5522"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493EF2" w:rsidRPr="00B44B19" w14:paraId="581415F6" w14:textId="77777777" w:rsidTr="00493EF2">
        <w:tc>
          <w:tcPr>
            <w:tcW w:w="9854" w:type="dxa"/>
          </w:tcPr>
          <w:p w14:paraId="2E24E28D" w14:textId="77777777" w:rsidR="00493EF2" w:rsidRPr="00B44B19" w:rsidRDefault="00D43A78" w:rsidP="008674D1">
            <w:pPr>
              <w:spacing w:before="60" w:after="60"/>
              <w:jc w:val="both"/>
              <w:rPr>
                <w:rFonts w:cs="Times New Roman"/>
                <w:b/>
                <w:i/>
                <w:szCs w:val="24"/>
              </w:rPr>
            </w:pPr>
            <w:r w:rsidRPr="00B44B19">
              <w:rPr>
                <w:rFonts w:eastAsia="Calibri" w:cs="Times New Roman"/>
                <w:noProof/>
                <w:sz w:val="22"/>
                <w:lang w:eastAsia="lt-LT" w:bidi="lt-LT"/>
              </w:rPr>
              <w:t>–</w:t>
            </w:r>
          </w:p>
        </w:tc>
      </w:tr>
    </w:tbl>
    <w:p w14:paraId="159B56EF" w14:textId="77777777" w:rsidR="00D56FF3" w:rsidRPr="00B44B19" w:rsidRDefault="00CB51A9" w:rsidP="00783D09">
      <w:pPr>
        <w:pStyle w:val="Stilius1"/>
        <w:rPr>
          <w:rFonts w:eastAsia="Calibri" w:cs="Times New Roman"/>
          <w:noProof/>
          <w:szCs w:val="20"/>
          <w:lang w:eastAsia="lt-LT" w:bidi="lt-LT"/>
        </w:rPr>
      </w:pPr>
      <w:r w:rsidRPr="00B44B19">
        <w:rPr>
          <w:rFonts w:cs="Times New Roman"/>
        </w:rPr>
        <w:t>Rodikliai</w:t>
      </w:r>
    </w:p>
    <w:p w14:paraId="0362DD21" w14:textId="77777777" w:rsidR="00CB51A9" w:rsidRPr="00B44B19" w:rsidRDefault="00CB51A9" w:rsidP="00D56FF3">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959"/>
        <w:gridCol w:w="709"/>
        <w:gridCol w:w="947"/>
        <w:gridCol w:w="1241"/>
        <w:gridCol w:w="1658"/>
        <w:gridCol w:w="1105"/>
        <w:gridCol w:w="967"/>
        <w:gridCol w:w="934"/>
      </w:tblGrid>
      <w:tr w:rsidR="00595B07" w:rsidRPr="00B44B19" w14:paraId="52FD120A" w14:textId="77777777" w:rsidTr="00595B07">
        <w:trPr>
          <w:trHeight w:val="773"/>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C9E75A"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Prioritetas</w:t>
            </w:r>
          </w:p>
        </w:tc>
        <w:tc>
          <w:tcPr>
            <w:tcW w:w="49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BD0931"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3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1657B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Fondas</w:t>
            </w:r>
          </w:p>
        </w:tc>
        <w:tc>
          <w:tcPr>
            <w:tcW w:w="49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2F2FAB"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446B17"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CD457E"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Rodiklis</w:t>
            </w:r>
          </w:p>
        </w:tc>
        <w:tc>
          <w:tcPr>
            <w:tcW w:w="5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EFE17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A890C1"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61AC0"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Siek</w:t>
            </w:r>
            <w:r w:rsidR="005D53AF" w:rsidRPr="00B44B19">
              <w:rPr>
                <w:rFonts w:cs="Times New Roman"/>
                <w:b/>
                <w:noProof/>
                <w:sz w:val="16"/>
                <w:szCs w:val="16"/>
              </w:rPr>
              <w:t>tina reikšmė</w:t>
            </w:r>
            <w:r w:rsidR="008674D1" w:rsidRPr="00B44B19">
              <w:rPr>
                <w:rFonts w:cs="Times New Roman"/>
                <w:b/>
                <w:noProof/>
                <w:sz w:val="16"/>
                <w:szCs w:val="16"/>
              </w:rPr>
              <w:t xml:space="preserve"> </w:t>
            </w:r>
            <w:r w:rsidRPr="00B44B19">
              <w:rPr>
                <w:rFonts w:cs="Times New Roman"/>
                <w:b/>
                <w:noProof/>
                <w:sz w:val="16"/>
                <w:szCs w:val="16"/>
              </w:rPr>
              <w:t>(2029 m.)</w:t>
            </w:r>
          </w:p>
        </w:tc>
      </w:tr>
      <w:tr w:rsidR="00B10447" w:rsidRPr="00B44B19" w14:paraId="1C69843E" w14:textId="77777777" w:rsidTr="00595B07">
        <w:trPr>
          <w:trHeight w:val="332"/>
        </w:trPr>
        <w:tc>
          <w:tcPr>
            <w:tcW w:w="566" w:type="pct"/>
            <w:vMerge w:val="restart"/>
            <w:tcBorders>
              <w:top w:val="single" w:sz="12" w:space="0" w:color="auto"/>
            </w:tcBorders>
          </w:tcPr>
          <w:p w14:paraId="51A9DEC0" w14:textId="77777777" w:rsidR="00B10447" w:rsidRPr="00B44B19" w:rsidRDefault="00B10447" w:rsidP="00595B07">
            <w:pPr>
              <w:spacing w:after="0" w:line="240" w:lineRule="auto"/>
              <w:jc w:val="both"/>
              <w:rPr>
                <w:rFonts w:cs="Times New Roman"/>
                <w:noProof/>
                <w:sz w:val="16"/>
                <w:szCs w:val="16"/>
              </w:rPr>
            </w:pPr>
            <w:r w:rsidRPr="00B44B19">
              <w:rPr>
                <w:rFonts w:cs="Times New Roman"/>
                <w:noProof/>
                <w:sz w:val="16"/>
                <w:szCs w:val="16"/>
              </w:rPr>
              <w:t>4. Socialiai atsakingesnė Lietuva</w:t>
            </w:r>
          </w:p>
        </w:tc>
        <w:tc>
          <w:tcPr>
            <w:tcW w:w="499" w:type="pct"/>
            <w:vMerge w:val="restart"/>
            <w:tcBorders>
              <w:top w:val="single" w:sz="12" w:space="0" w:color="auto"/>
            </w:tcBorders>
          </w:tcPr>
          <w:p w14:paraId="7CD352C6" w14:textId="77777777" w:rsidR="00B10447" w:rsidRPr="00B44B19" w:rsidRDefault="00B10447" w:rsidP="00595B07">
            <w:pPr>
              <w:spacing w:after="0" w:line="240" w:lineRule="auto"/>
              <w:jc w:val="both"/>
              <w:rPr>
                <w:rFonts w:cs="Times New Roman"/>
                <w:noProof/>
                <w:sz w:val="16"/>
                <w:szCs w:val="16"/>
              </w:rPr>
            </w:pPr>
            <w:r w:rsidRPr="00B44B19">
              <w:rPr>
                <w:rFonts w:cs="Times New Roman"/>
                <w:noProof/>
                <w:sz w:val="16"/>
                <w:szCs w:val="16"/>
              </w:rPr>
              <w:t>4.8.</w:t>
            </w:r>
          </w:p>
        </w:tc>
        <w:tc>
          <w:tcPr>
            <w:tcW w:w="369" w:type="pct"/>
            <w:vMerge w:val="restart"/>
            <w:tcBorders>
              <w:top w:val="single" w:sz="12" w:space="0" w:color="auto"/>
            </w:tcBorders>
          </w:tcPr>
          <w:p w14:paraId="521B6CC4" w14:textId="77777777" w:rsidR="00B10447" w:rsidRPr="00B44B19" w:rsidRDefault="00B10447" w:rsidP="00595B07">
            <w:pPr>
              <w:spacing w:after="0" w:line="240" w:lineRule="auto"/>
              <w:jc w:val="both"/>
              <w:rPr>
                <w:rFonts w:cs="Times New Roman"/>
                <w:noProof/>
                <w:sz w:val="16"/>
                <w:szCs w:val="16"/>
              </w:rPr>
            </w:pPr>
            <w:r w:rsidRPr="00B44B19">
              <w:rPr>
                <w:rFonts w:cs="Times New Roman"/>
                <w:noProof/>
                <w:sz w:val="16"/>
                <w:szCs w:val="16"/>
              </w:rPr>
              <w:t>ESF+</w:t>
            </w:r>
          </w:p>
        </w:tc>
        <w:tc>
          <w:tcPr>
            <w:tcW w:w="493" w:type="pct"/>
            <w:tcBorders>
              <w:top w:val="single" w:sz="12" w:space="0" w:color="auto"/>
            </w:tcBorders>
          </w:tcPr>
          <w:p w14:paraId="01287858"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Sostinės regionas</w:t>
            </w:r>
          </w:p>
        </w:tc>
        <w:tc>
          <w:tcPr>
            <w:tcW w:w="646" w:type="pct"/>
            <w:tcBorders>
              <w:top w:val="single" w:sz="12" w:space="0" w:color="auto"/>
            </w:tcBorders>
          </w:tcPr>
          <w:p w14:paraId="089D72FB"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Borders>
              <w:top w:val="single" w:sz="12" w:space="0" w:color="auto"/>
            </w:tcBorders>
          </w:tcPr>
          <w:p w14:paraId="1B50C4B4" w14:textId="77777777" w:rsidR="00B10447" w:rsidRPr="00B44B19" w:rsidRDefault="00B10447" w:rsidP="00595B07">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Institucinės globos pertvarkos tikslinių grupių asmenys, gavę bendruomenines paslaugas</w:t>
            </w:r>
          </w:p>
        </w:tc>
        <w:tc>
          <w:tcPr>
            <w:tcW w:w="575" w:type="pct"/>
            <w:tcBorders>
              <w:top w:val="single" w:sz="12" w:space="0" w:color="auto"/>
            </w:tcBorders>
          </w:tcPr>
          <w:p w14:paraId="0496F13E" w14:textId="77777777" w:rsidR="00B10447" w:rsidRPr="00B44B19" w:rsidRDefault="00B10447" w:rsidP="00595B07">
            <w:pPr>
              <w:spacing w:after="0" w:line="240" w:lineRule="auto"/>
              <w:rPr>
                <w:rFonts w:cs="Times New Roman"/>
                <w:i/>
                <w:noProof/>
                <w:sz w:val="16"/>
                <w:szCs w:val="16"/>
              </w:rPr>
            </w:pPr>
            <w:r w:rsidRPr="00B44B19">
              <w:rPr>
                <w:rFonts w:eastAsia="Calibri" w:cs="Times New Roman"/>
                <w:sz w:val="16"/>
                <w:szCs w:val="16"/>
                <w:lang w:eastAsia="lt-LT" w:bidi="lt-LT"/>
              </w:rPr>
              <w:t>Asmenys</w:t>
            </w:r>
          </w:p>
        </w:tc>
        <w:tc>
          <w:tcPr>
            <w:tcW w:w="503" w:type="pct"/>
            <w:tcBorders>
              <w:top w:val="single" w:sz="12" w:space="0" w:color="auto"/>
            </w:tcBorders>
          </w:tcPr>
          <w:p w14:paraId="2DB18A10"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111</w:t>
            </w:r>
          </w:p>
        </w:tc>
        <w:tc>
          <w:tcPr>
            <w:tcW w:w="486" w:type="pct"/>
            <w:tcBorders>
              <w:top w:val="single" w:sz="12" w:space="0" w:color="auto"/>
            </w:tcBorders>
          </w:tcPr>
          <w:p w14:paraId="0F0A624B"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555</w:t>
            </w:r>
          </w:p>
        </w:tc>
      </w:tr>
      <w:tr w:rsidR="00B10447" w:rsidRPr="00B44B19" w14:paraId="59A77903" w14:textId="77777777" w:rsidTr="00595B07">
        <w:trPr>
          <w:trHeight w:val="332"/>
        </w:trPr>
        <w:tc>
          <w:tcPr>
            <w:tcW w:w="566" w:type="pct"/>
            <w:vMerge/>
          </w:tcPr>
          <w:p w14:paraId="17030812"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6A594595"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7DCF5FAC" w14:textId="77777777" w:rsidR="00B10447" w:rsidRPr="00B44B19" w:rsidRDefault="00B10447" w:rsidP="00595B07">
            <w:pPr>
              <w:spacing w:after="0" w:line="240" w:lineRule="auto"/>
              <w:jc w:val="both"/>
              <w:rPr>
                <w:rFonts w:cs="Times New Roman"/>
                <w:noProof/>
                <w:sz w:val="16"/>
                <w:szCs w:val="16"/>
              </w:rPr>
            </w:pPr>
          </w:p>
        </w:tc>
        <w:tc>
          <w:tcPr>
            <w:tcW w:w="493" w:type="pct"/>
          </w:tcPr>
          <w:p w14:paraId="17963948"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792032EE"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634EC201" w14:textId="77777777" w:rsidR="00B10447" w:rsidRPr="00B44B19" w:rsidRDefault="00B10447" w:rsidP="00595B07">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Institucinės globos pertvarkos tikslinių grupių asmenys, gavę bendruomenines paslaugas</w:t>
            </w:r>
          </w:p>
        </w:tc>
        <w:tc>
          <w:tcPr>
            <w:tcW w:w="575" w:type="pct"/>
          </w:tcPr>
          <w:p w14:paraId="5F758FC8"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3C19C951"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551</w:t>
            </w:r>
          </w:p>
        </w:tc>
        <w:tc>
          <w:tcPr>
            <w:tcW w:w="486" w:type="pct"/>
          </w:tcPr>
          <w:p w14:paraId="444D0437"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2 756</w:t>
            </w:r>
          </w:p>
        </w:tc>
      </w:tr>
      <w:tr w:rsidR="00B10447" w:rsidRPr="00B44B19" w14:paraId="5F6BB56D" w14:textId="77777777" w:rsidTr="00595B07">
        <w:trPr>
          <w:trHeight w:val="332"/>
        </w:trPr>
        <w:tc>
          <w:tcPr>
            <w:tcW w:w="566" w:type="pct"/>
            <w:vMerge/>
          </w:tcPr>
          <w:p w14:paraId="08DA496D"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393F8C33"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55F263CE" w14:textId="77777777" w:rsidR="00B10447" w:rsidRPr="00B44B19" w:rsidRDefault="00B10447" w:rsidP="00595B07">
            <w:pPr>
              <w:spacing w:after="0" w:line="240" w:lineRule="auto"/>
              <w:jc w:val="both"/>
              <w:rPr>
                <w:rFonts w:cs="Times New Roman"/>
                <w:noProof/>
                <w:sz w:val="16"/>
                <w:szCs w:val="16"/>
              </w:rPr>
            </w:pPr>
          </w:p>
        </w:tc>
        <w:tc>
          <w:tcPr>
            <w:tcW w:w="493" w:type="pct"/>
          </w:tcPr>
          <w:p w14:paraId="4EEBC986"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469F04E7"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5D8BE8FC" w14:textId="77777777" w:rsidR="00B10447" w:rsidRPr="00B44B19" w:rsidRDefault="00B10447" w:rsidP="00595B07">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kompleksines paslaugas šeimai</w:t>
            </w:r>
          </w:p>
        </w:tc>
        <w:tc>
          <w:tcPr>
            <w:tcW w:w="575" w:type="pct"/>
          </w:tcPr>
          <w:p w14:paraId="5B75E7EF"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554F943D"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4 041</w:t>
            </w:r>
          </w:p>
        </w:tc>
        <w:tc>
          <w:tcPr>
            <w:tcW w:w="486" w:type="pct"/>
          </w:tcPr>
          <w:p w14:paraId="68F6CEE2"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11 545</w:t>
            </w:r>
          </w:p>
        </w:tc>
      </w:tr>
      <w:tr w:rsidR="00B10447" w:rsidRPr="00B44B19" w14:paraId="584E3FA9" w14:textId="77777777" w:rsidTr="00595B07">
        <w:trPr>
          <w:trHeight w:val="332"/>
        </w:trPr>
        <w:tc>
          <w:tcPr>
            <w:tcW w:w="566" w:type="pct"/>
            <w:vMerge/>
          </w:tcPr>
          <w:p w14:paraId="421C0411"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47D4E87A"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4DE7642A" w14:textId="77777777" w:rsidR="00B10447" w:rsidRPr="00B44B19" w:rsidRDefault="00B10447" w:rsidP="00595B07">
            <w:pPr>
              <w:spacing w:after="0" w:line="240" w:lineRule="auto"/>
              <w:jc w:val="both"/>
              <w:rPr>
                <w:rFonts w:cs="Times New Roman"/>
                <w:noProof/>
                <w:sz w:val="16"/>
                <w:szCs w:val="16"/>
              </w:rPr>
            </w:pPr>
          </w:p>
        </w:tc>
        <w:tc>
          <w:tcPr>
            <w:tcW w:w="493" w:type="pct"/>
          </w:tcPr>
          <w:p w14:paraId="40FA82EA"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657D14CF"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0A94462F" w14:textId="77777777" w:rsidR="00B10447" w:rsidRPr="00B44B19" w:rsidRDefault="00B10447" w:rsidP="00595B07">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kompleksines paslaugas šeimai</w:t>
            </w:r>
          </w:p>
        </w:tc>
        <w:tc>
          <w:tcPr>
            <w:tcW w:w="575" w:type="pct"/>
          </w:tcPr>
          <w:p w14:paraId="75552BA6"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5F787072"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22 217</w:t>
            </w:r>
          </w:p>
        </w:tc>
        <w:tc>
          <w:tcPr>
            <w:tcW w:w="486" w:type="pct"/>
          </w:tcPr>
          <w:p w14:paraId="2A7EAA0B"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63 478</w:t>
            </w:r>
          </w:p>
        </w:tc>
      </w:tr>
      <w:tr w:rsidR="00B10447" w:rsidRPr="00B44B19" w14:paraId="7D7F182B" w14:textId="77777777" w:rsidTr="00595B07">
        <w:trPr>
          <w:trHeight w:val="332"/>
        </w:trPr>
        <w:tc>
          <w:tcPr>
            <w:tcW w:w="566" w:type="pct"/>
            <w:vMerge/>
          </w:tcPr>
          <w:p w14:paraId="4CED242A"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40913D11"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1EE09EE7" w14:textId="77777777" w:rsidR="00B10447" w:rsidRPr="00B44B19" w:rsidRDefault="00B10447" w:rsidP="00595B07">
            <w:pPr>
              <w:spacing w:after="0" w:line="240" w:lineRule="auto"/>
              <w:jc w:val="both"/>
              <w:rPr>
                <w:rFonts w:cs="Times New Roman"/>
                <w:noProof/>
                <w:sz w:val="16"/>
                <w:szCs w:val="16"/>
              </w:rPr>
            </w:pPr>
          </w:p>
        </w:tc>
        <w:tc>
          <w:tcPr>
            <w:tcW w:w="493" w:type="pct"/>
          </w:tcPr>
          <w:p w14:paraId="2A3CC2B6"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78067BD5"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2BC991AB" w14:textId="77777777" w:rsidR="00B10447" w:rsidRPr="00B44B19" w:rsidRDefault="00B10447" w:rsidP="00CC2D40">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bendruomenines paslaugas, susijusias su vaiko garantijų sistema</w:t>
            </w:r>
          </w:p>
        </w:tc>
        <w:tc>
          <w:tcPr>
            <w:tcW w:w="575" w:type="pct"/>
          </w:tcPr>
          <w:p w14:paraId="6EE60730"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09AEB3E0"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274</w:t>
            </w:r>
          </w:p>
        </w:tc>
        <w:tc>
          <w:tcPr>
            <w:tcW w:w="486" w:type="pct"/>
          </w:tcPr>
          <w:p w14:paraId="0E376089"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912</w:t>
            </w:r>
          </w:p>
        </w:tc>
      </w:tr>
      <w:tr w:rsidR="00B10447" w:rsidRPr="00B44B19" w14:paraId="4C942C21" w14:textId="77777777" w:rsidTr="00595B07">
        <w:trPr>
          <w:trHeight w:val="332"/>
        </w:trPr>
        <w:tc>
          <w:tcPr>
            <w:tcW w:w="566" w:type="pct"/>
            <w:vMerge/>
          </w:tcPr>
          <w:p w14:paraId="0FCF36DD"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1B787EE6"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78A90362" w14:textId="77777777" w:rsidR="00B10447" w:rsidRPr="00B44B19" w:rsidRDefault="00B10447" w:rsidP="00595B07">
            <w:pPr>
              <w:spacing w:after="0" w:line="240" w:lineRule="auto"/>
              <w:jc w:val="both"/>
              <w:rPr>
                <w:rFonts w:cs="Times New Roman"/>
                <w:noProof/>
                <w:sz w:val="16"/>
                <w:szCs w:val="16"/>
              </w:rPr>
            </w:pPr>
          </w:p>
        </w:tc>
        <w:tc>
          <w:tcPr>
            <w:tcW w:w="493" w:type="pct"/>
          </w:tcPr>
          <w:p w14:paraId="06F3D1E6"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52C80B71"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5F6BD24E" w14:textId="77777777" w:rsidR="00B10447" w:rsidRPr="00B44B19" w:rsidRDefault="00B10447" w:rsidP="00CC2D40">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bendruomenines paslaugas, susijusias su vaiko garantijų sistema</w:t>
            </w:r>
          </w:p>
        </w:tc>
        <w:tc>
          <w:tcPr>
            <w:tcW w:w="575" w:type="pct"/>
          </w:tcPr>
          <w:p w14:paraId="466FD586"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4B5F51B1"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1 358</w:t>
            </w:r>
          </w:p>
        </w:tc>
        <w:tc>
          <w:tcPr>
            <w:tcW w:w="486" w:type="pct"/>
          </w:tcPr>
          <w:p w14:paraId="22CDCF3D"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4 527</w:t>
            </w:r>
          </w:p>
        </w:tc>
      </w:tr>
      <w:tr w:rsidR="00B10447" w:rsidRPr="00B44B19" w14:paraId="4D6A8707" w14:textId="77777777" w:rsidTr="00595B07">
        <w:trPr>
          <w:trHeight w:val="332"/>
        </w:trPr>
        <w:tc>
          <w:tcPr>
            <w:tcW w:w="566" w:type="pct"/>
            <w:vMerge/>
          </w:tcPr>
          <w:p w14:paraId="6B6DC713"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6D7B22FA"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27F9D36C" w14:textId="77777777" w:rsidR="00B10447" w:rsidRPr="00B44B19" w:rsidRDefault="00B10447" w:rsidP="00595B07">
            <w:pPr>
              <w:spacing w:after="0" w:line="240" w:lineRule="auto"/>
              <w:jc w:val="both"/>
              <w:rPr>
                <w:rFonts w:cs="Times New Roman"/>
                <w:noProof/>
                <w:sz w:val="16"/>
                <w:szCs w:val="16"/>
              </w:rPr>
            </w:pPr>
          </w:p>
        </w:tc>
        <w:tc>
          <w:tcPr>
            <w:tcW w:w="493" w:type="pct"/>
          </w:tcPr>
          <w:p w14:paraId="3630A0CA"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029534F6"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311D7119" w14:textId="77777777" w:rsidR="00B10447" w:rsidRPr="00B44B19" w:rsidRDefault="00B10447" w:rsidP="00595B07">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dalyvavę psichosocialinės reabilitacijos ir (ar) reintegracijos veikloje</w:t>
            </w:r>
          </w:p>
        </w:tc>
        <w:tc>
          <w:tcPr>
            <w:tcW w:w="575" w:type="pct"/>
          </w:tcPr>
          <w:p w14:paraId="51889A9C"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00A02AF1"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69</w:t>
            </w:r>
          </w:p>
        </w:tc>
        <w:tc>
          <w:tcPr>
            <w:tcW w:w="486" w:type="pct"/>
          </w:tcPr>
          <w:p w14:paraId="1B9C11FB"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231</w:t>
            </w:r>
          </w:p>
        </w:tc>
      </w:tr>
      <w:tr w:rsidR="00B10447" w:rsidRPr="00B44B19" w14:paraId="0E7C43CC" w14:textId="77777777" w:rsidTr="00595B07">
        <w:trPr>
          <w:trHeight w:val="332"/>
        </w:trPr>
        <w:tc>
          <w:tcPr>
            <w:tcW w:w="566" w:type="pct"/>
            <w:vMerge/>
          </w:tcPr>
          <w:p w14:paraId="0ACAE968"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2568EC16"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4535CF66" w14:textId="77777777" w:rsidR="00B10447" w:rsidRPr="00B44B19" w:rsidRDefault="00B10447" w:rsidP="00595B07">
            <w:pPr>
              <w:spacing w:after="0" w:line="240" w:lineRule="auto"/>
              <w:jc w:val="both"/>
              <w:rPr>
                <w:rFonts w:cs="Times New Roman"/>
                <w:noProof/>
                <w:sz w:val="16"/>
                <w:szCs w:val="16"/>
              </w:rPr>
            </w:pPr>
          </w:p>
        </w:tc>
        <w:tc>
          <w:tcPr>
            <w:tcW w:w="493" w:type="pct"/>
          </w:tcPr>
          <w:p w14:paraId="3C6259DE"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241E5D03"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3BE2FAE1" w14:textId="77777777" w:rsidR="00B10447" w:rsidRPr="00B44B19" w:rsidRDefault="00B10447" w:rsidP="00595B07">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dalyvavę psichosocialinės reabilitacijos ir (ar) reintegracijos veikloje</w:t>
            </w:r>
          </w:p>
        </w:tc>
        <w:tc>
          <w:tcPr>
            <w:tcW w:w="575" w:type="pct"/>
          </w:tcPr>
          <w:p w14:paraId="0DBF6BD3"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3" w:type="pct"/>
          </w:tcPr>
          <w:p w14:paraId="03982837"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554</w:t>
            </w:r>
          </w:p>
        </w:tc>
        <w:tc>
          <w:tcPr>
            <w:tcW w:w="486" w:type="pct"/>
          </w:tcPr>
          <w:p w14:paraId="7F4B800C"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1 848</w:t>
            </w:r>
          </w:p>
        </w:tc>
      </w:tr>
      <w:tr w:rsidR="00B10447" w:rsidRPr="00B44B19" w14:paraId="165A3635" w14:textId="77777777" w:rsidTr="00595B07">
        <w:trPr>
          <w:trHeight w:val="332"/>
        </w:trPr>
        <w:tc>
          <w:tcPr>
            <w:tcW w:w="566" w:type="pct"/>
            <w:vMerge/>
          </w:tcPr>
          <w:p w14:paraId="5041B144"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033A5479"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6FC76678" w14:textId="77777777" w:rsidR="00B10447" w:rsidRPr="00B44B19" w:rsidRDefault="00B10447" w:rsidP="00595B07">
            <w:pPr>
              <w:spacing w:after="0" w:line="240" w:lineRule="auto"/>
              <w:jc w:val="both"/>
              <w:rPr>
                <w:rFonts w:cs="Times New Roman"/>
                <w:noProof/>
                <w:sz w:val="16"/>
                <w:szCs w:val="16"/>
              </w:rPr>
            </w:pPr>
          </w:p>
        </w:tc>
        <w:tc>
          <w:tcPr>
            <w:tcW w:w="493" w:type="pct"/>
          </w:tcPr>
          <w:p w14:paraId="4FB2F27F"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1F0DC815"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6EC18E37" w14:textId="77777777" w:rsidR="00B10447" w:rsidRPr="00B44B19" w:rsidRDefault="00B10447" w:rsidP="00722A24">
            <w:pPr>
              <w:spacing w:after="0" w:line="240" w:lineRule="auto"/>
              <w:rPr>
                <w:rFonts w:eastAsia="Calibri" w:cs="Times New Roman"/>
                <w:sz w:val="16"/>
                <w:szCs w:val="16"/>
                <w:lang w:eastAsia="en-GB" w:bidi="lt-LT"/>
              </w:rPr>
            </w:pPr>
            <w:r w:rsidRPr="00B44B19">
              <w:rPr>
                <w:rFonts w:eastAsia="Calibri" w:cs="Times New Roman"/>
                <w:sz w:val="16"/>
                <w:szCs w:val="16"/>
                <w:lang w:eastAsia="lt-LT" w:bidi="lt-LT"/>
              </w:rPr>
              <w:t>Savivaldybės, dalyvavusios veiklose, skatinančiose nevyriausybinių ir bendruomeninių organizacijų įtraukimą į socialinės srities viešųjų paslaugų teikimą</w:t>
            </w:r>
          </w:p>
        </w:tc>
        <w:tc>
          <w:tcPr>
            <w:tcW w:w="575" w:type="pct"/>
          </w:tcPr>
          <w:p w14:paraId="1279C3DA" w14:textId="77777777" w:rsidR="00B10447" w:rsidRPr="00B44B19" w:rsidRDefault="00B10447" w:rsidP="00595B07">
            <w:pPr>
              <w:spacing w:after="0" w:line="240" w:lineRule="auto"/>
              <w:rPr>
                <w:rFonts w:cs="Times New Roman"/>
                <w:i/>
                <w:noProof/>
                <w:sz w:val="16"/>
                <w:szCs w:val="16"/>
              </w:rPr>
            </w:pPr>
            <w:r w:rsidRPr="00B44B19">
              <w:rPr>
                <w:rFonts w:cs="Times New Roman"/>
                <w:noProof/>
                <w:sz w:val="16"/>
                <w:szCs w:val="16"/>
              </w:rPr>
              <w:t>Skaičius</w:t>
            </w:r>
          </w:p>
        </w:tc>
        <w:tc>
          <w:tcPr>
            <w:tcW w:w="503" w:type="pct"/>
          </w:tcPr>
          <w:p w14:paraId="645B3D03"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2</w:t>
            </w:r>
          </w:p>
        </w:tc>
        <w:tc>
          <w:tcPr>
            <w:tcW w:w="486" w:type="pct"/>
          </w:tcPr>
          <w:p w14:paraId="1B408C7C"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6</w:t>
            </w:r>
          </w:p>
        </w:tc>
      </w:tr>
      <w:tr w:rsidR="00B10447" w:rsidRPr="00B44B19" w14:paraId="35306532" w14:textId="77777777" w:rsidTr="00595B07">
        <w:trPr>
          <w:trHeight w:val="332"/>
        </w:trPr>
        <w:tc>
          <w:tcPr>
            <w:tcW w:w="566" w:type="pct"/>
            <w:vMerge/>
          </w:tcPr>
          <w:p w14:paraId="1DDE5BD5"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7675C647"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1F449213" w14:textId="77777777" w:rsidR="00B10447" w:rsidRPr="00B44B19" w:rsidRDefault="00B10447" w:rsidP="00595B07">
            <w:pPr>
              <w:spacing w:after="0" w:line="240" w:lineRule="auto"/>
              <w:jc w:val="both"/>
              <w:rPr>
                <w:rFonts w:cs="Times New Roman"/>
                <w:noProof/>
                <w:sz w:val="16"/>
                <w:szCs w:val="16"/>
              </w:rPr>
            </w:pPr>
          </w:p>
        </w:tc>
        <w:tc>
          <w:tcPr>
            <w:tcW w:w="493" w:type="pct"/>
          </w:tcPr>
          <w:p w14:paraId="24A4952E" w14:textId="77777777" w:rsidR="00B10447" w:rsidRPr="00B44B19" w:rsidRDefault="00B10447" w:rsidP="00595B07">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58FBDAFA"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Specialusis</w:t>
            </w:r>
          </w:p>
        </w:tc>
        <w:tc>
          <w:tcPr>
            <w:tcW w:w="863" w:type="pct"/>
          </w:tcPr>
          <w:p w14:paraId="510C9DC8" w14:textId="77777777" w:rsidR="00B10447" w:rsidRPr="00B44B19" w:rsidRDefault="00B10447" w:rsidP="00722A24">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Savivaldybės, dalyvavusios veiklose, skatinančiose nevyriausybinių ir bendruomeninių organizacijų įtraukimą į socialinės srities viešųjų paslaugų teikimą</w:t>
            </w:r>
          </w:p>
        </w:tc>
        <w:tc>
          <w:tcPr>
            <w:tcW w:w="575" w:type="pct"/>
          </w:tcPr>
          <w:p w14:paraId="6C0DF03F" w14:textId="77777777" w:rsidR="00B10447" w:rsidRPr="00B44B19" w:rsidRDefault="00B10447" w:rsidP="00595B07">
            <w:pPr>
              <w:spacing w:after="0" w:line="240" w:lineRule="auto"/>
              <w:rPr>
                <w:rFonts w:eastAsia="Calibri" w:cs="Times New Roman"/>
                <w:sz w:val="16"/>
                <w:szCs w:val="16"/>
                <w:lang w:eastAsia="lt-LT" w:bidi="lt-LT"/>
              </w:rPr>
            </w:pPr>
            <w:r w:rsidRPr="00B44B19">
              <w:rPr>
                <w:rFonts w:cs="Times New Roman"/>
                <w:noProof/>
                <w:sz w:val="16"/>
                <w:szCs w:val="16"/>
              </w:rPr>
              <w:t>Skaičius</w:t>
            </w:r>
          </w:p>
        </w:tc>
        <w:tc>
          <w:tcPr>
            <w:tcW w:w="503" w:type="pct"/>
          </w:tcPr>
          <w:p w14:paraId="6DC6A4FC"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9</w:t>
            </w:r>
          </w:p>
        </w:tc>
        <w:tc>
          <w:tcPr>
            <w:tcW w:w="486" w:type="pct"/>
          </w:tcPr>
          <w:p w14:paraId="78B43A60" w14:textId="77777777" w:rsidR="00B10447" w:rsidRPr="00B44B19" w:rsidRDefault="00B10447" w:rsidP="00595B07">
            <w:pPr>
              <w:spacing w:after="0" w:line="240" w:lineRule="auto"/>
              <w:jc w:val="center"/>
              <w:rPr>
                <w:rFonts w:cs="Times New Roman"/>
                <w:noProof/>
                <w:sz w:val="16"/>
                <w:szCs w:val="16"/>
              </w:rPr>
            </w:pPr>
            <w:r w:rsidRPr="00B44B19">
              <w:rPr>
                <w:rFonts w:cs="Times New Roman"/>
                <w:noProof/>
                <w:sz w:val="16"/>
                <w:szCs w:val="16"/>
              </w:rPr>
              <w:t>46</w:t>
            </w:r>
          </w:p>
        </w:tc>
      </w:tr>
      <w:tr w:rsidR="00B10447" w:rsidRPr="00B44B19" w14:paraId="29DB6338" w14:textId="77777777" w:rsidTr="00595B07">
        <w:trPr>
          <w:trHeight w:val="332"/>
        </w:trPr>
        <w:tc>
          <w:tcPr>
            <w:tcW w:w="566" w:type="pct"/>
            <w:vMerge/>
          </w:tcPr>
          <w:p w14:paraId="1CA6ED6F"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4AEF6CA0"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5E2723E5" w14:textId="77777777" w:rsidR="00B10447" w:rsidRPr="00B44B19" w:rsidRDefault="00B10447" w:rsidP="00595B07">
            <w:pPr>
              <w:spacing w:after="0" w:line="240" w:lineRule="auto"/>
              <w:jc w:val="both"/>
              <w:rPr>
                <w:rFonts w:cs="Times New Roman"/>
                <w:noProof/>
                <w:sz w:val="16"/>
                <w:szCs w:val="16"/>
              </w:rPr>
            </w:pPr>
          </w:p>
        </w:tc>
        <w:tc>
          <w:tcPr>
            <w:tcW w:w="493" w:type="pct"/>
          </w:tcPr>
          <w:p w14:paraId="1E98E601"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6ABC77B9"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 xml:space="preserve">Specialusis </w:t>
            </w:r>
          </w:p>
        </w:tc>
        <w:tc>
          <w:tcPr>
            <w:tcW w:w="863" w:type="pct"/>
          </w:tcPr>
          <w:p w14:paraId="5B49D95C" w14:textId="77777777" w:rsidR="00B10447" w:rsidRPr="00B44B19" w:rsidRDefault="00B10447" w:rsidP="008327AE">
            <w:pPr>
              <w:tabs>
                <w:tab w:val="left" w:pos="2268"/>
                <w:tab w:val="left" w:pos="7560"/>
              </w:tabs>
              <w:spacing w:after="0" w:line="240" w:lineRule="auto"/>
              <w:rPr>
                <w:rFonts w:cs="Times New Roman"/>
                <w:noProof/>
                <w:sz w:val="16"/>
                <w:szCs w:val="16"/>
              </w:rPr>
            </w:pPr>
            <w:r w:rsidRPr="00B44B19">
              <w:rPr>
                <w:rFonts w:eastAsia="Calibri" w:cs="Times New Roman"/>
                <w:sz w:val="16"/>
                <w:szCs w:val="16"/>
                <w:lang w:eastAsia="lt-LT" w:bidi="lt-LT"/>
              </w:rPr>
              <w:t>Asmenys, dalyvavę sveikatos raštingumo didinimo veiklose</w:t>
            </w:r>
          </w:p>
        </w:tc>
        <w:tc>
          <w:tcPr>
            <w:tcW w:w="575" w:type="pct"/>
          </w:tcPr>
          <w:p w14:paraId="3B248081"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0262A5CA"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2 500</w:t>
            </w:r>
          </w:p>
        </w:tc>
        <w:tc>
          <w:tcPr>
            <w:tcW w:w="486" w:type="pct"/>
          </w:tcPr>
          <w:p w14:paraId="1D7EF074" w14:textId="2A1E3BCE" w:rsidR="00B10447" w:rsidRPr="00B44B19" w:rsidRDefault="008E4BE7" w:rsidP="008327AE">
            <w:pPr>
              <w:spacing w:after="0" w:line="240" w:lineRule="auto"/>
              <w:jc w:val="center"/>
              <w:rPr>
                <w:rFonts w:cs="Times New Roman"/>
                <w:noProof/>
                <w:sz w:val="16"/>
                <w:szCs w:val="16"/>
              </w:rPr>
            </w:pPr>
            <w:r w:rsidRPr="00B44B19">
              <w:rPr>
                <w:rFonts w:cs="Times New Roman"/>
                <w:noProof/>
                <w:sz w:val="16"/>
                <w:szCs w:val="16"/>
              </w:rPr>
              <w:t>22 500</w:t>
            </w:r>
          </w:p>
        </w:tc>
      </w:tr>
      <w:tr w:rsidR="00B10447" w:rsidRPr="00B44B19" w14:paraId="6F4B3DE3" w14:textId="77777777" w:rsidTr="00595B07">
        <w:trPr>
          <w:trHeight w:val="332"/>
        </w:trPr>
        <w:tc>
          <w:tcPr>
            <w:tcW w:w="566" w:type="pct"/>
            <w:vMerge/>
          </w:tcPr>
          <w:p w14:paraId="607A13FD"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465DB70A"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1443C437" w14:textId="77777777" w:rsidR="00B10447" w:rsidRPr="00B44B19" w:rsidRDefault="00B10447" w:rsidP="00595B07">
            <w:pPr>
              <w:spacing w:after="0" w:line="240" w:lineRule="auto"/>
              <w:jc w:val="both"/>
              <w:rPr>
                <w:rFonts w:cs="Times New Roman"/>
                <w:noProof/>
                <w:sz w:val="16"/>
                <w:szCs w:val="16"/>
              </w:rPr>
            </w:pPr>
          </w:p>
        </w:tc>
        <w:tc>
          <w:tcPr>
            <w:tcW w:w="493" w:type="pct"/>
          </w:tcPr>
          <w:p w14:paraId="06CB33B2"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3C8AF29B"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 xml:space="preserve">Specialusis </w:t>
            </w:r>
          </w:p>
        </w:tc>
        <w:tc>
          <w:tcPr>
            <w:tcW w:w="863" w:type="pct"/>
          </w:tcPr>
          <w:p w14:paraId="3989EDF7" w14:textId="77777777" w:rsidR="00B10447" w:rsidRPr="00B44B19" w:rsidRDefault="00B10447" w:rsidP="008327AE">
            <w:pPr>
              <w:spacing w:after="0" w:line="240" w:lineRule="auto"/>
              <w:rPr>
                <w:rFonts w:cs="Times New Roman"/>
                <w:noProof/>
                <w:sz w:val="16"/>
                <w:szCs w:val="16"/>
              </w:rPr>
            </w:pPr>
            <w:r w:rsidRPr="00B44B19">
              <w:rPr>
                <w:rFonts w:eastAsia="Calibri" w:cs="Times New Roman"/>
                <w:sz w:val="16"/>
                <w:szCs w:val="16"/>
                <w:lang w:eastAsia="lt-LT" w:bidi="lt-LT"/>
              </w:rPr>
              <w:t>Asmenys, dalyvavę sveikatos raštingumo didinimo veiklose</w:t>
            </w:r>
          </w:p>
        </w:tc>
        <w:tc>
          <w:tcPr>
            <w:tcW w:w="575" w:type="pct"/>
          </w:tcPr>
          <w:p w14:paraId="7B7AE568"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34BFCE54"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13 600</w:t>
            </w:r>
          </w:p>
        </w:tc>
        <w:tc>
          <w:tcPr>
            <w:tcW w:w="486" w:type="pct"/>
          </w:tcPr>
          <w:p w14:paraId="3D5B369F" w14:textId="73BE5581" w:rsidR="00B10447" w:rsidRPr="00B44B19" w:rsidRDefault="008E4BE7" w:rsidP="008327AE">
            <w:pPr>
              <w:spacing w:after="0" w:line="240" w:lineRule="auto"/>
              <w:jc w:val="center"/>
              <w:rPr>
                <w:rFonts w:cs="Times New Roman"/>
                <w:noProof/>
                <w:sz w:val="16"/>
                <w:szCs w:val="16"/>
              </w:rPr>
            </w:pPr>
            <w:r w:rsidRPr="00B44B19">
              <w:rPr>
                <w:rFonts w:cs="Times New Roman"/>
                <w:noProof/>
                <w:sz w:val="16"/>
                <w:szCs w:val="16"/>
              </w:rPr>
              <w:t>119 535</w:t>
            </w:r>
          </w:p>
        </w:tc>
      </w:tr>
      <w:tr w:rsidR="00B10447" w:rsidRPr="00B44B19" w14:paraId="00DBA75E" w14:textId="77777777" w:rsidTr="00595B07">
        <w:trPr>
          <w:trHeight w:val="332"/>
        </w:trPr>
        <w:tc>
          <w:tcPr>
            <w:tcW w:w="566" w:type="pct"/>
            <w:vMerge/>
          </w:tcPr>
          <w:p w14:paraId="34921C49"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6453E8DF"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02199060" w14:textId="77777777" w:rsidR="00B10447" w:rsidRPr="00B44B19" w:rsidRDefault="00B10447" w:rsidP="00595B07">
            <w:pPr>
              <w:spacing w:after="0" w:line="240" w:lineRule="auto"/>
              <w:jc w:val="both"/>
              <w:rPr>
                <w:rFonts w:cs="Times New Roman"/>
                <w:noProof/>
                <w:sz w:val="16"/>
                <w:szCs w:val="16"/>
              </w:rPr>
            </w:pPr>
          </w:p>
        </w:tc>
        <w:tc>
          <w:tcPr>
            <w:tcW w:w="493" w:type="pct"/>
          </w:tcPr>
          <w:p w14:paraId="29C472CA"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707486E6" w14:textId="77777777" w:rsidR="00B10447" w:rsidRPr="00B44B19" w:rsidRDefault="00B10447" w:rsidP="008327AE">
            <w:pPr>
              <w:spacing w:after="0" w:line="240" w:lineRule="auto"/>
              <w:rPr>
                <w:rFonts w:cs="Times New Roman"/>
                <w:noProof/>
                <w:sz w:val="16"/>
                <w:szCs w:val="16"/>
              </w:rPr>
            </w:pPr>
            <w:r w:rsidRPr="00B44B19">
              <w:rPr>
                <w:rFonts w:cs="Times New Roman"/>
                <w:sz w:val="16"/>
                <w:szCs w:val="16"/>
                <w:lang w:eastAsia="en-GB"/>
              </w:rPr>
              <w:t xml:space="preserve">Specialusis </w:t>
            </w:r>
          </w:p>
        </w:tc>
        <w:tc>
          <w:tcPr>
            <w:tcW w:w="863" w:type="pct"/>
          </w:tcPr>
          <w:p w14:paraId="41681C64" w14:textId="77777777" w:rsidR="00B10447" w:rsidRPr="00B44B19" w:rsidRDefault="00B10447" w:rsidP="008327AE">
            <w:pPr>
              <w:tabs>
                <w:tab w:val="left" w:pos="2268"/>
                <w:tab w:val="left" w:pos="7560"/>
              </w:tabs>
              <w:spacing w:after="0" w:line="240" w:lineRule="auto"/>
              <w:rPr>
                <w:rFonts w:cs="Times New Roman"/>
                <w:noProof/>
                <w:sz w:val="16"/>
                <w:szCs w:val="16"/>
              </w:rPr>
            </w:pPr>
            <w:r w:rsidRPr="00B44B19">
              <w:rPr>
                <w:rFonts w:eastAsia="Calibri" w:cs="Times New Roman"/>
                <w:sz w:val="16"/>
                <w:szCs w:val="16"/>
                <w:lang w:eastAsia="lt-LT" w:bidi="lt-LT"/>
              </w:rPr>
              <w:t>Specialistai, dalyvavę kvalifikacijos tobulinimo / perkvalifikavimo veiklose</w:t>
            </w:r>
          </w:p>
        </w:tc>
        <w:tc>
          <w:tcPr>
            <w:tcW w:w="575" w:type="pct"/>
          </w:tcPr>
          <w:p w14:paraId="52160577"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31DC779B"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320</w:t>
            </w:r>
          </w:p>
        </w:tc>
        <w:tc>
          <w:tcPr>
            <w:tcW w:w="486" w:type="pct"/>
          </w:tcPr>
          <w:p w14:paraId="71E532D2"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1 600</w:t>
            </w:r>
          </w:p>
        </w:tc>
      </w:tr>
      <w:tr w:rsidR="00B10447" w:rsidRPr="00B44B19" w14:paraId="7E7BE050" w14:textId="77777777" w:rsidTr="00595B07">
        <w:trPr>
          <w:trHeight w:val="332"/>
        </w:trPr>
        <w:tc>
          <w:tcPr>
            <w:tcW w:w="566" w:type="pct"/>
            <w:vMerge/>
          </w:tcPr>
          <w:p w14:paraId="05B0650B"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5B210AB2"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1DA440BD" w14:textId="77777777" w:rsidR="00B10447" w:rsidRPr="00B44B19" w:rsidRDefault="00B10447" w:rsidP="00595B07">
            <w:pPr>
              <w:spacing w:after="0" w:line="240" w:lineRule="auto"/>
              <w:jc w:val="both"/>
              <w:rPr>
                <w:rFonts w:cs="Times New Roman"/>
                <w:noProof/>
                <w:sz w:val="16"/>
                <w:szCs w:val="16"/>
              </w:rPr>
            </w:pPr>
          </w:p>
        </w:tc>
        <w:tc>
          <w:tcPr>
            <w:tcW w:w="493" w:type="pct"/>
          </w:tcPr>
          <w:p w14:paraId="415466BB"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5DF5E621" w14:textId="77777777" w:rsidR="00B10447" w:rsidRPr="00B44B19" w:rsidRDefault="00B10447" w:rsidP="008327AE">
            <w:pPr>
              <w:spacing w:after="0" w:line="240" w:lineRule="auto"/>
              <w:rPr>
                <w:rFonts w:cs="Times New Roman"/>
                <w:noProof/>
                <w:sz w:val="16"/>
                <w:szCs w:val="16"/>
              </w:rPr>
            </w:pPr>
            <w:r w:rsidRPr="00B44B19">
              <w:rPr>
                <w:rFonts w:cs="Times New Roman"/>
                <w:sz w:val="16"/>
                <w:szCs w:val="16"/>
                <w:lang w:eastAsia="en-GB"/>
              </w:rPr>
              <w:t xml:space="preserve">Specialusis </w:t>
            </w:r>
          </w:p>
        </w:tc>
        <w:tc>
          <w:tcPr>
            <w:tcW w:w="863" w:type="pct"/>
          </w:tcPr>
          <w:p w14:paraId="3D8A63CB" w14:textId="77777777" w:rsidR="00B10447" w:rsidRPr="00B44B19" w:rsidRDefault="00B10447" w:rsidP="008327AE">
            <w:pPr>
              <w:tabs>
                <w:tab w:val="left" w:pos="7560"/>
              </w:tabs>
              <w:spacing w:after="0" w:line="240" w:lineRule="auto"/>
              <w:rPr>
                <w:rFonts w:cs="Times New Roman"/>
                <w:noProof/>
                <w:sz w:val="16"/>
                <w:szCs w:val="16"/>
              </w:rPr>
            </w:pPr>
            <w:r w:rsidRPr="00B44B19">
              <w:rPr>
                <w:rFonts w:eastAsia="Calibri" w:cs="Times New Roman"/>
                <w:sz w:val="16"/>
                <w:szCs w:val="16"/>
                <w:lang w:eastAsia="lt-LT" w:bidi="lt-LT"/>
              </w:rPr>
              <w:t>Specialistai dalyvavę kvalifikacijos tobulinimo / perkvalifikavimo veiklose</w:t>
            </w:r>
          </w:p>
        </w:tc>
        <w:tc>
          <w:tcPr>
            <w:tcW w:w="575" w:type="pct"/>
          </w:tcPr>
          <w:p w14:paraId="01233A7E"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3F879BC9"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1 832</w:t>
            </w:r>
          </w:p>
        </w:tc>
        <w:tc>
          <w:tcPr>
            <w:tcW w:w="486" w:type="pct"/>
          </w:tcPr>
          <w:p w14:paraId="507047B6" w14:textId="67E32D26" w:rsidR="00B10447" w:rsidRPr="00B44B19" w:rsidRDefault="008E4BE7" w:rsidP="008327AE">
            <w:pPr>
              <w:spacing w:after="0" w:line="240" w:lineRule="auto"/>
              <w:jc w:val="center"/>
              <w:rPr>
                <w:rFonts w:cs="Times New Roman"/>
                <w:noProof/>
                <w:sz w:val="16"/>
                <w:szCs w:val="16"/>
              </w:rPr>
            </w:pPr>
            <w:r w:rsidRPr="00B44B19">
              <w:rPr>
                <w:rFonts w:cs="Times New Roman"/>
                <w:noProof/>
                <w:sz w:val="16"/>
                <w:szCs w:val="16"/>
              </w:rPr>
              <w:t>30 885</w:t>
            </w:r>
          </w:p>
        </w:tc>
      </w:tr>
      <w:tr w:rsidR="00B10447" w:rsidRPr="00B44B19" w14:paraId="1F560C31" w14:textId="77777777" w:rsidTr="00595B07">
        <w:trPr>
          <w:trHeight w:val="332"/>
        </w:trPr>
        <w:tc>
          <w:tcPr>
            <w:tcW w:w="566" w:type="pct"/>
            <w:vMerge/>
          </w:tcPr>
          <w:p w14:paraId="71595D0A"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0C532BC4"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6DC2BDAA" w14:textId="77777777" w:rsidR="00B10447" w:rsidRPr="00B44B19" w:rsidRDefault="00B10447" w:rsidP="00595B07">
            <w:pPr>
              <w:spacing w:after="0" w:line="240" w:lineRule="auto"/>
              <w:jc w:val="both"/>
              <w:rPr>
                <w:rFonts w:cs="Times New Roman"/>
                <w:noProof/>
                <w:sz w:val="16"/>
                <w:szCs w:val="16"/>
              </w:rPr>
            </w:pPr>
          </w:p>
        </w:tc>
        <w:tc>
          <w:tcPr>
            <w:tcW w:w="493" w:type="pct"/>
          </w:tcPr>
          <w:p w14:paraId="62F31D30"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23B3B326" w14:textId="77777777" w:rsidR="00B10447" w:rsidRPr="00B44B19" w:rsidRDefault="00B10447" w:rsidP="008327AE">
            <w:pPr>
              <w:spacing w:after="0" w:line="240" w:lineRule="auto"/>
              <w:rPr>
                <w:rFonts w:cs="Times New Roman"/>
                <w:noProof/>
                <w:sz w:val="16"/>
                <w:szCs w:val="16"/>
              </w:rPr>
            </w:pPr>
            <w:r w:rsidRPr="00B44B19">
              <w:rPr>
                <w:rFonts w:cs="Times New Roman"/>
                <w:sz w:val="16"/>
                <w:szCs w:val="16"/>
                <w:lang w:eastAsia="en-GB"/>
              </w:rPr>
              <w:t xml:space="preserve">Specialusis </w:t>
            </w:r>
          </w:p>
        </w:tc>
        <w:tc>
          <w:tcPr>
            <w:tcW w:w="863" w:type="pct"/>
          </w:tcPr>
          <w:p w14:paraId="3FEC842F"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Psichosocialinę negalią turinčių vaikų ar jų šeimos narių / globėjų, gavusių paslaugas, skaičius</w:t>
            </w:r>
          </w:p>
        </w:tc>
        <w:tc>
          <w:tcPr>
            <w:tcW w:w="575" w:type="pct"/>
          </w:tcPr>
          <w:p w14:paraId="6F97CE92"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2DDCAC87"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75</w:t>
            </w:r>
          </w:p>
        </w:tc>
        <w:tc>
          <w:tcPr>
            <w:tcW w:w="486" w:type="pct"/>
          </w:tcPr>
          <w:p w14:paraId="05D389B1"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750</w:t>
            </w:r>
          </w:p>
        </w:tc>
      </w:tr>
      <w:tr w:rsidR="00B10447" w:rsidRPr="00B44B19" w14:paraId="1A7407B5" w14:textId="77777777" w:rsidTr="00595B07">
        <w:trPr>
          <w:trHeight w:val="332"/>
        </w:trPr>
        <w:tc>
          <w:tcPr>
            <w:tcW w:w="566" w:type="pct"/>
            <w:vMerge/>
          </w:tcPr>
          <w:p w14:paraId="431E72D1"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02278C8D"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4247C1C8" w14:textId="77777777" w:rsidR="00B10447" w:rsidRPr="00B44B19" w:rsidRDefault="00B10447" w:rsidP="00595B07">
            <w:pPr>
              <w:spacing w:after="0" w:line="240" w:lineRule="auto"/>
              <w:jc w:val="both"/>
              <w:rPr>
                <w:rFonts w:cs="Times New Roman"/>
                <w:noProof/>
                <w:sz w:val="16"/>
                <w:szCs w:val="16"/>
              </w:rPr>
            </w:pPr>
          </w:p>
        </w:tc>
        <w:tc>
          <w:tcPr>
            <w:tcW w:w="493" w:type="pct"/>
          </w:tcPr>
          <w:p w14:paraId="55E1F737"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58D5D67D" w14:textId="77777777" w:rsidR="00B10447" w:rsidRPr="00B44B19" w:rsidRDefault="00B10447" w:rsidP="008327AE">
            <w:pPr>
              <w:spacing w:after="0" w:line="240" w:lineRule="auto"/>
              <w:rPr>
                <w:rFonts w:cs="Times New Roman"/>
                <w:noProof/>
                <w:sz w:val="16"/>
                <w:szCs w:val="16"/>
              </w:rPr>
            </w:pPr>
            <w:r w:rsidRPr="00B44B19">
              <w:rPr>
                <w:rFonts w:cs="Times New Roman"/>
                <w:sz w:val="16"/>
                <w:szCs w:val="16"/>
                <w:lang w:eastAsia="en-GB"/>
              </w:rPr>
              <w:t xml:space="preserve">Specialusis </w:t>
            </w:r>
          </w:p>
        </w:tc>
        <w:tc>
          <w:tcPr>
            <w:tcW w:w="863" w:type="pct"/>
          </w:tcPr>
          <w:p w14:paraId="1E926DA0"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Psichosocialinę negalią turinčių vaikų ar jų šeimos narių / globėjų, gavusių paslaugas, skaičius</w:t>
            </w:r>
          </w:p>
        </w:tc>
        <w:tc>
          <w:tcPr>
            <w:tcW w:w="575" w:type="pct"/>
          </w:tcPr>
          <w:p w14:paraId="72846265"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5BBFC3A3"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225</w:t>
            </w:r>
          </w:p>
        </w:tc>
        <w:tc>
          <w:tcPr>
            <w:tcW w:w="486" w:type="pct"/>
          </w:tcPr>
          <w:p w14:paraId="66C1234C"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2 250</w:t>
            </w:r>
          </w:p>
        </w:tc>
      </w:tr>
      <w:tr w:rsidR="00B10447" w:rsidRPr="00B44B19" w14:paraId="112F6B6F" w14:textId="77777777" w:rsidTr="00595B07">
        <w:trPr>
          <w:trHeight w:val="332"/>
        </w:trPr>
        <w:tc>
          <w:tcPr>
            <w:tcW w:w="566" w:type="pct"/>
            <w:vMerge/>
          </w:tcPr>
          <w:p w14:paraId="70587036"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0BD5B012"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1FD05E1C" w14:textId="77777777" w:rsidR="00B10447" w:rsidRPr="00B44B19" w:rsidRDefault="00B10447" w:rsidP="00595B07">
            <w:pPr>
              <w:spacing w:after="0" w:line="240" w:lineRule="auto"/>
              <w:jc w:val="both"/>
              <w:rPr>
                <w:rFonts w:cs="Times New Roman"/>
                <w:noProof/>
                <w:sz w:val="16"/>
                <w:szCs w:val="16"/>
              </w:rPr>
            </w:pPr>
          </w:p>
        </w:tc>
        <w:tc>
          <w:tcPr>
            <w:tcW w:w="493" w:type="pct"/>
          </w:tcPr>
          <w:p w14:paraId="17B71B29"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6699B634"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EECO18</w:t>
            </w:r>
          </w:p>
        </w:tc>
        <w:tc>
          <w:tcPr>
            <w:tcW w:w="863" w:type="pct"/>
          </w:tcPr>
          <w:p w14:paraId="31EFDF94" w14:textId="77777777" w:rsidR="00B10447" w:rsidRPr="00B44B19" w:rsidRDefault="00B10447" w:rsidP="008327AE">
            <w:pPr>
              <w:tabs>
                <w:tab w:val="left" w:pos="2268"/>
                <w:tab w:val="left" w:pos="7560"/>
              </w:tabs>
              <w:spacing w:after="0" w:line="240" w:lineRule="auto"/>
              <w:rPr>
                <w:rFonts w:cs="Times New Roman"/>
                <w:noProof/>
                <w:sz w:val="16"/>
                <w:szCs w:val="16"/>
              </w:rPr>
            </w:pPr>
            <w:r w:rsidRPr="00B44B19">
              <w:rPr>
                <w:rFonts w:cs="Times New Roman"/>
                <w:noProof/>
                <w:sz w:val="16"/>
                <w:szCs w:val="16"/>
              </w:rPr>
              <w:t>Paramą gavusių nacionalinio, regionų ar vietos lygmens viešojo administravimo ar viešąsias paslaugas teikiančių įstaigų skaičius</w:t>
            </w:r>
          </w:p>
        </w:tc>
        <w:tc>
          <w:tcPr>
            <w:tcW w:w="575" w:type="pct"/>
          </w:tcPr>
          <w:p w14:paraId="5A60FFD0"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Subjektų skaičius</w:t>
            </w:r>
          </w:p>
        </w:tc>
        <w:tc>
          <w:tcPr>
            <w:tcW w:w="503" w:type="pct"/>
          </w:tcPr>
          <w:p w14:paraId="5642C09A"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0</w:t>
            </w:r>
          </w:p>
        </w:tc>
        <w:tc>
          <w:tcPr>
            <w:tcW w:w="486" w:type="pct"/>
          </w:tcPr>
          <w:p w14:paraId="59E3BF51"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27</w:t>
            </w:r>
          </w:p>
        </w:tc>
      </w:tr>
      <w:tr w:rsidR="00B10447" w:rsidRPr="00B44B19" w14:paraId="76B520A4" w14:textId="77777777" w:rsidTr="00595B07">
        <w:trPr>
          <w:trHeight w:val="332"/>
        </w:trPr>
        <w:tc>
          <w:tcPr>
            <w:tcW w:w="566" w:type="pct"/>
            <w:vMerge/>
          </w:tcPr>
          <w:p w14:paraId="63392F1B"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23D0F7FA"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22C5EB24" w14:textId="77777777" w:rsidR="00B10447" w:rsidRPr="00B44B19" w:rsidRDefault="00B10447" w:rsidP="00595B07">
            <w:pPr>
              <w:spacing w:after="0" w:line="240" w:lineRule="auto"/>
              <w:jc w:val="both"/>
              <w:rPr>
                <w:rFonts w:cs="Times New Roman"/>
                <w:noProof/>
                <w:sz w:val="16"/>
                <w:szCs w:val="16"/>
              </w:rPr>
            </w:pPr>
          </w:p>
        </w:tc>
        <w:tc>
          <w:tcPr>
            <w:tcW w:w="493" w:type="pct"/>
          </w:tcPr>
          <w:p w14:paraId="1DDA9C32"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66A6F504"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EECO18</w:t>
            </w:r>
          </w:p>
        </w:tc>
        <w:tc>
          <w:tcPr>
            <w:tcW w:w="863" w:type="pct"/>
          </w:tcPr>
          <w:p w14:paraId="2E1285E7" w14:textId="77777777" w:rsidR="00B10447" w:rsidRPr="00B44B19" w:rsidRDefault="00B10447" w:rsidP="008327AE">
            <w:pPr>
              <w:tabs>
                <w:tab w:val="left" w:pos="2268"/>
                <w:tab w:val="left" w:pos="7560"/>
              </w:tabs>
              <w:spacing w:after="0" w:line="240" w:lineRule="auto"/>
              <w:rPr>
                <w:rFonts w:cs="Times New Roman"/>
                <w:noProof/>
                <w:sz w:val="16"/>
                <w:szCs w:val="16"/>
              </w:rPr>
            </w:pPr>
            <w:r w:rsidRPr="00B44B19">
              <w:rPr>
                <w:rFonts w:cs="Times New Roman"/>
                <w:noProof/>
                <w:sz w:val="16"/>
                <w:szCs w:val="16"/>
              </w:rPr>
              <w:t>Paramą gavusių nacionalinio, regionų ar vietos lygmens viešojo administravimo ar viešąsias paslaugas teikiančių įstaigų skaičius</w:t>
            </w:r>
          </w:p>
        </w:tc>
        <w:tc>
          <w:tcPr>
            <w:tcW w:w="575" w:type="pct"/>
          </w:tcPr>
          <w:p w14:paraId="17A7B487"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Subjektų skaičius</w:t>
            </w:r>
          </w:p>
        </w:tc>
        <w:tc>
          <w:tcPr>
            <w:tcW w:w="503" w:type="pct"/>
          </w:tcPr>
          <w:p w14:paraId="17C56F12"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18</w:t>
            </w:r>
          </w:p>
        </w:tc>
        <w:tc>
          <w:tcPr>
            <w:tcW w:w="486" w:type="pct"/>
          </w:tcPr>
          <w:p w14:paraId="0C42B8B8" w14:textId="77777777" w:rsidR="00B10447" w:rsidRPr="00B44B19" w:rsidRDefault="00B10447" w:rsidP="008327AE">
            <w:pPr>
              <w:spacing w:after="0" w:line="240" w:lineRule="auto"/>
              <w:jc w:val="center"/>
              <w:rPr>
                <w:rFonts w:cs="Times New Roman"/>
                <w:noProof/>
                <w:sz w:val="16"/>
                <w:szCs w:val="16"/>
              </w:rPr>
            </w:pPr>
            <w:r w:rsidRPr="00B44B19">
              <w:rPr>
                <w:rFonts w:cs="Times New Roman"/>
                <w:noProof/>
                <w:sz w:val="16"/>
                <w:szCs w:val="16"/>
              </w:rPr>
              <w:t>351</w:t>
            </w:r>
          </w:p>
        </w:tc>
      </w:tr>
      <w:tr w:rsidR="00B10447" w:rsidRPr="00B44B19" w14:paraId="608BF78D" w14:textId="77777777" w:rsidTr="00595B07">
        <w:trPr>
          <w:trHeight w:val="332"/>
        </w:trPr>
        <w:tc>
          <w:tcPr>
            <w:tcW w:w="566" w:type="pct"/>
            <w:vMerge/>
          </w:tcPr>
          <w:p w14:paraId="1DB21D74"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5520B7F1"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633D795B" w14:textId="77777777" w:rsidR="00B10447" w:rsidRPr="00B44B19" w:rsidRDefault="00B10447" w:rsidP="00595B07">
            <w:pPr>
              <w:spacing w:after="0" w:line="240" w:lineRule="auto"/>
              <w:jc w:val="both"/>
              <w:rPr>
                <w:rFonts w:cs="Times New Roman"/>
                <w:noProof/>
                <w:sz w:val="16"/>
                <w:szCs w:val="16"/>
              </w:rPr>
            </w:pPr>
          </w:p>
        </w:tc>
        <w:tc>
          <w:tcPr>
            <w:tcW w:w="493" w:type="pct"/>
          </w:tcPr>
          <w:p w14:paraId="48658BF9"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7AB7A938"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Specialusis </w:t>
            </w:r>
          </w:p>
        </w:tc>
        <w:tc>
          <w:tcPr>
            <w:tcW w:w="863" w:type="pct"/>
          </w:tcPr>
          <w:p w14:paraId="72E3BA68" w14:textId="77777777" w:rsidR="00B10447" w:rsidRPr="00B44B19" w:rsidRDefault="00B10447" w:rsidP="001224B3">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Asmenys, kurie dalyvavo veiklose, skirtose </w:t>
            </w:r>
            <w:r w:rsidRPr="00B44B19">
              <w:rPr>
                <w:rFonts w:eastAsia="Calibri" w:cs="Times New Roman"/>
                <w:sz w:val="16"/>
                <w:szCs w:val="16"/>
                <w:lang w:eastAsia="lt-LT" w:bidi="lt-LT"/>
              </w:rPr>
              <w:lastRenderedPageBreak/>
              <w:t xml:space="preserve">savarankiškam lėtinės ligos valdymui </w:t>
            </w:r>
          </w:p>
        </w:tc>
        <w:tc>
          <w:tcPr>
            <w:tcW w:w="575" w:type="pct"/>
          </w:tcPr>
          <w:p w14:paraId="25732BBB"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lastRenderedPageBreak/>
              <w:t>Asmenys</w:t>
            </w:r>
          </w:p>
        </w:tc>
        <w:tc>
          <w:tcPr>
            <w:tcW w:w="503" w:type="pct"/>
          </w:tcPr>
          <w:p w14:paraId="4E6179D4"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5 000</w:t>
            </w:r>
          </w:p>
        </w:tc>
        <w:tc>
          <w:tcPr>
            <w:tcW w:w="486" w:type="pct"/>
          </w:tcPr>
          <w:p w14:paraId="0C8B8C24"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25 000</w:t>
            </w:r>
          </w:p>
        </w:tc>
      </w:tr>
      <w:tr w:rsidR="00B10447" w:rsidRPr="00B44B19" w14:paraId="6BA7B866" w14:textId="77777777" w:rsidTr="00595B07">
        <w:trPr>
          <w:trHeight w:val="332"/>
        </w:trPr>
        <w:tc>
          <w:tcPr>
            <w:tcW w:w="566" w:type="pct"/>
            <w:vMerge/>
          </w:tcPr>
          <w:p w14:paraId="74A4B815"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6E36F1FD"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4CEE7A8F" w14:textId="77777777" w:rsidR="00B10447" w:rsidRPr="00B44B19" w:rsidRDefault="00B10447" w:rsidP="00595B07">
            <w:pPr>
              <w:spacing w:after="0" w:line="240" w:lineRule="auto"/>
              <w:jc w:val="both"/>
              <w:rPr>
                <w:rFonts w:cs="Times New Roman"/>
                <w:noProof/>
                <w:sz w:val="16"/>
                <w:szCs w:val="16"/>
              </w:rPr>
            </w:pPr>
          </w:p>
        </w:tc>
        <w:tc>
          <w:tcPr>
            <w:tcW w:w="493" w:type="pct"/>
          </w:tcPr>
          <w:p w14:paraId="73E09F55"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0B4D627D"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Specialusis </w:t>
            </w:r>
          </w:p>
        </w:tc>
        <w:tc>
          <w:tcPr>
            <w:tcW w:w="863" w:type="pct"/>
          </w:tcPr>
          <w:p w14:paraId="32C80A63" w14:textId="184D2956" w:rsidR="00B10447" w:rsidRPr="00B44B19" w:rsidRDefault="00B10447" w:rsidP="001224B3">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Tikslinių grupių asmenys, gavę</w:t>
            </w:r>
            <w:r w:rsidR="00E61F7C" w:rsidRPr="00B44B19">
              <w:rPr>
                <w:rFonts w:eastAsia="Calibri" w:cs="Times New Roman"/>
                <w:sz w:val="16"/>
                <w:szCs w:val="16"/>
                <w:lang w:eastAsia="lt-LT" w:bidi="lt-LT"/>
              </w:rPr>
              <w:t xml:space="preserve"> </w:t>
            </w:r>
            <w:r w:rsidRPr="00B44B19">
              <w:rPr>
                <w:rFonts w:eastAsia="Calibri" w:cs="Times New Roman"/>
                <w:sz w:val="16"/>
                <w:szCs w:val="16"/>
                <w:lang w:eastAsia="lt-LT" w:bidi="lt-LT"/>
              </w:rPr>
              <w:t>naujas ar patobulintas psichikos sveikatos priežiūros paslaugas</w:t>
            </w:r>
          </w:p>
        </w:tc>
        <w:tc>
          <w:tcPr>
            <w:tcW w:w="575" w:type="pct"/>
          </w:tcPr>
          <w:p w14:paraId="3F433B8D"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115063EC"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1 050</w:t>
            </w:r>
          </w:p>
        </w:tc>
        <w:tc>
          <w:tcPr>
            <w:tcW w:w="486" w:type="pct"/>
          </w:tcPr>
          <w:p w14:paraId="54160417" w14:textId="1147EB3E" w:rsidR="00B10447" w:rsidRPr="00B44B19" w:rsidRDefault="008E4BE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6 125</w:t>
            </w:r>
          </w:p>
        </w:tc>
      </w:tr>
      <w:tr w:rsidR="00B10447" w:rsidRPr="00B44B19" w14:paraId="5F6E384D" w14:textId="77777777" w:rsidTr="00595B07">
        <w:trPr>
          <w:trHeight w:val="332"/>
        </w:trPr>
        <w:tc>
          <w:tcPr>
            <w:tcW w:w="566" w:type="pct"/>
            <w:vMerge/>
          </w:tcPr>
          <w:p w14:paraId="1C5A1D4A"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482259A7"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68D6373A" w14:textId="77777777" w:rsidR="00B10447" w:rsidRPr="00B44B19" w:rsidRDefault="00B10447" w:rsidP="00595B07">
            <w:pPr>
              <w:spacing w:after="0" w:line="240" w:lineRule="auto"/>
              <w:jc w:val="both"/>
              <w:rPr>
                <w:rFonts w:cs="Times New Roman"/>
                <w:noProof/>
                <w:sz w:val="16"/>
                <w:szCs w:val="16"/>
              </w:rPr>
            </w:pPr>
          </w:p>
        </w:tc>
        <w:tc>
          <w:tcPr>
            <w:tcW w:w="493" w:type="pct"/>
          </w:tcPr>
          <w:p w14:paraId="7D11AAEC"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29D70D6E"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Specialusis </w:t>
            </w:r>
          </w:p>
        </w:tc>
        <w:tc>
          <w:tcPr>
            <w:tcW w:w="863" w:type="pct"/>
          </w:tcPr>
          <w:p w14:paraId="3A2B0BCE"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integralios pagalbos paslaugas</w:t>
            </w:r>
          </w:p>
        </w:tc>
        <w:tc>
          <w:tcPr>
            <w:tcW w:w="575" w:type="pct"/>
          </w:tcPr>
          <w:p w14:paraId="2070A552"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1C82F935"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val="en-US" w:eastAsia="lt-LT" w:bidi="lt-LT"/>
              </w:rPr>
            </w:pPr>
            <w:r w:rsidRPr="00B44B19">
              <w:rPr>
                <w:rFonts w:eastAsia="Calibri" w:cs="Times New Roman"/>
                <w:sz w:val="16"/>
                <w:szCs w:val="16"/>
                <w:lang w:eastAsia="lt-LT" w:bidi="lt-LT"/>
              </w:rPr>
              <w:t>293</w:t>
            </w:r>
          </w:p>
        </w:tc>
        <w:tc>
          <w:tcPr>
            <w:tcW w:w="486" w:type="pct"/>
          </w:tcPr>
          <w:p w14:paraId="679F257E"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cs="Times New Roman"/>
                <w:noProof/>
                <w:sz w:val="16"/>
                <w:szCs w:val="16"/>
              </w:rPr>
              <w:t>975</w:t>
            </w:r>
          </w:p>
        </w:tc>
      </w:tr>
      <w:tr w:rsidR="00B10447" w:rsidRPr="00B44B19" w14:paraId="2FE36A9F" w14:textId="77777777" w:rsidTr="00595B07">
        <w:trPr>
          <w:trHeight w:val="332"/>
        </w:trPr>
        <w:tc>
          <w:tcPr>
            <w:tcW w:w="566" w:type="pct"/>
            <w:vMerge/>
          </w:tcPr>
          <w:p w14:paraId="2272C089"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27510417"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6A16A24C" w14:textId="77777777" w:rsidR="00B10447" w:rsidRPr="00B44B19" w:rsidRDefault="00B10447" w:rsidP="00595B07">
            <w:pPr>
              <w:spacing w:after="0" w:line="240" w:lineRule="auto"/>
              <w:jc w:val="both"/>
              <w:rPr>
                <w:rFonts w:cs="Times New Roman"/>
                <w:noProof/>
                <w:sz w:val="16"/>
                <w:szCs w:val="16"/>
              </w:rPr>
            </w:pPr>
          </w:p>
        </w:tc>
        <w:tc>
          <w:tcPr>
            <w:tcW w:w="493" w:type="pct"/>
          </w:tcPr>
          <w:p w14:paraId="015D2371"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6D2553C1"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Specialusis </w:t>
            </w:r>
          </w:p>
        </w:tc>
        <w:tc>
          <w:tcPr>
            <w:tcW w:w="863" w:type="pct"/>
          </w:tcPr>
          <w:p w14:paraId="4C0B0BAC"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integralios pagalbos paslaugas</w:t>
            </w:r>
          </w:p>
        </w:tc>
        <w:tc>
          <w:tcPr>
            <w:tcW w:w="575" w:type="pct"/>
          </w:tcPr>
          <w:p w14:paraId="5ECBB4E7"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47E7DF94"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1 615</w:t>
            </w:r>
          </w:p>
        </w:tc>
        <w:tc>
          <w:tcPr>
            <w:tcW w:w="486" w:type="pct"/>
          </w:tcPr>
          <w:p w14:paraId="25790C8E"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cs="Times New Roman"/>
                <w:noProof/>
                <w:sz w:val="16"/>
                <w:szCs w:val="16"/>
              </w:rPr>
              <w:t>5 382</w:t>
            </w:r>
          </w:p>
        </w:tc>
      </w:tr>
      <w:tr w:rsidR="00B10447" w:rsidRPr="00B44B19" w14:paraId="3D018317" w14:textId="77777777" w:rsidTr="00595B07">
        <w:trPr>
          <w:trHeight w:val="332"/>
        </w:trPr>
        <w:tc>
          <w:tcPr>
            <w:tcW w:w="566" w:type="pct"/>
            <w:vMerge/>
          </w:tcPr>
          <w:p w14:paraId="427E10BB"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7954ADE5"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40A033D6" w14:textId="77777777" w:rsidR="00B10447" w:rsidRPr="00B44B19" w:rsidRDefault="00B10447" w:rsidP="00595B07">
            <w:pPr>
              <w:spacing w:after="0" w:line="240" w:lineRule="auto"/>
              <w:jc w:val="both"/>
              <w:rPr>
                <w:rFonts w:cs="Times New Roman"/>
                <w:noProof/>
                <w:sz w:val="16"/>
                <w:szCs w:val="16"/>
              </w:rPr>
            </w:pPr>
          </w:p>
        </w:tc>
        <w:tc>
          <w:tcPr>
            <w:tcW w:w="493" w:type="pct"/>
          </w:tcPr>
          <w:p w14:paraId="5CF16624" w14:textId="77777777" w:rsidR="00B10447" w:rsidRPr="00B44B19" w:rsidRDefault="00B10447" w:rsidP="008327AE">
            <w:pPr>
              <w:spacing w:after="0" w:line="240" w:lineRule="auto"/>
              <w:rPr>
                <w:rFonts w:cs="Times New Roman"/>
                <w:noProof/>
                <w:sz w:val="16"/>
                <w:szCs w:val="16"/>
              </w:rPr>
            </w:pPr>
            <w:r w:rsidRPr="00B44B19">
              <w:rPr>
                <w:rFonts w:cs="Times New Roman"/>
                <w:sz w:val="16"/>
                <w:szCs w:val="16"/>
              </w:rPr>
              <w:t>VVL regionas</w:t>
            </w:r>
          </w:p>
        </w:tc>
        <w:tc>
          <w:tcPr>
            <w:tcW w:w="646" w:type="pct"/>
          </w:tcPr>
          <w:p w14:paraId="33E86545"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cs="Times New Roman"/>
                <w:sz w:val="16"/>
                <w:szCs w:val="16"/>
              </w:rPr>
              <w:t xml:space="preserve">Specialusis </w:t>
            </w:r>
          </w:p>
        </w:tc>
        <w:tc>
          <w:tcPr>
            <w:tcW w:w="863" w:type="pct"/>
          </w:tcPr>
          <w:p w14:paraId="7581DB02"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gavę ilgalaikės priežiūros paslaugas</w:t>
            </w:r>
          </w:p>
        </w:tc>
        <w:tc>
          <w:tcPr>
            <w:tcW w:w="575" w:type="pct"/>
          </w:tcPr>
          <w:p w14:paraId="11BBDEDB"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6F61263D"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0</w:t>
            </w:r>
          </w:p>
        </w:tc>
        <w:tc>
          <w:tcPr>
            <w:tcW w:w="486" w:type="pct"/>
          </w:tcPr>
          <w:p w14:paraId="7D04D237" w14:textId="0F18543C" w:rsidR="00B10447" w:rsidRPr="00B44B19" w:rsidRDefault="008E4BE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cs="Times New Roman"/>
                <w:noProof/>
                <w:sz w:val="16"/>
                <w:szCs w:val="16"/>
              </w:rPr>
              <w:t>3 647</w:t>
            </w:r>
          </w:p>
        </w:tc>
      </w:tr>
      <w:tr w:rsidR="00B10447" w:rsidRPr="00B44B19" w14:paraId="1BC84505" w14:textId="77777777" w:rsidTr="00595B07">
        <w:trPr>
          <w:trHeight w:val="332"/>
        </w:trPr>
        <w:tc>
          <w:tcPr>
            <w:tcW w:w="566" w:type="pct"/>
            <w:vMerge/>
          </w:tcPr>
          <w:p w14:paraId="7E0ECD9D"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18F2EC16"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3A57B8C5" w14:textId="77777777" w:rsidR="00B10447" w:rsidRPr="00B44B19" w:rsidRDefault="00B10447" w:rsidP="00595B07">
            <w:pPr>
              <w:spacing w:after="0" w:line="240" w:lineRule="auto"/>
              <w:jc w:val="both"/>
              <w:rPr>
                <w:rFonts w:cs="Times New Roman"/>
                <w:noProof/>
                <w:sz w:val="16"/>
                <w:szCs w:val="16"/>
              </w:rPr>
            </w:pPr>
          </w:p>
        </w:tc>
        <w:tc>
          <w:tcPr>
            <w:tcW w:w="493" w:type="pct"/>
          </w:tcPr>
          <w:p w14:paraId="525840EC"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1EBF7208"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Specialusis </w:t>
            </w:r>
          </w:p>
        </w:tc>
        <w:tc>
          <w:tcPr>
            <w:tcW w:w="863" w:type="pct"/>
          </w:tcPr>
          <w:p w14:paraId="31865DA5" w14:textId="77777777" w:rsidR="00B10447" w:rsidRPr="00B44B19" w:rsidRDefault="00B10447" w:rsidP="008E2B46">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Sveikatos priežiūros įstaigos, įgyvendinusios sveikatos priežiūros specialistų įgalinimo, pritraukimo ir išlaikymo projektus</w:t>
            </w:r>
          </w:p>
        </w:tc>
        <w:tc>
          <w:tcPr>
            <w:tcW w:w="575" w:type="pct"/>
          </w:tcPr>
          <w:p w14:paraId="0AC35A63" w14:textId="77777777" w:rsidR="00B10447" w:rsidRPr="00B44B19" w:rsidRDefault="00B10447" w:rsidP="008327AE">
            <w:pPr>
              <w:spacing w:after="0" w:line="240" w:lineRule="auto"/>
              <w:rPr>
                <w:rFonts w:cs="Times New Roman"/>
                <w:noProof/>
                <w:sz w:val="16"/>
                <w:szCs w:val="16"/>
              </w:rPr>
            </w:pPr>
            <w:r w:rsidRPr="00B44B19">
              <w:rPr>
                <w:rFonts w:cs="Times New Roman"/>
                <w:bCs/>
                <w:noProof/>
                <w:sz w:val="16"/>
                <w:szCs w:val="14"/>
              </w:rPr>
              <w:t>Skaičius</w:t>
            </w:r>
          </w:p>
        </w:tc>
        <w:tc>
          <w:tcPr>
            <w:tcW w:w="503" w:type="pct"/>
          </w:tcPr>
          <w:p w14:paraId="036F3A78"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5</w:t>
            </w:r>
          </w:p>
        </w:tc>
        <w:tc>
          <w:tcPr>
            <w:tcW w:w="486" w:type="pct"/>
          </w:tcPr>
          <w:p w14:paraId="5D22D167"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104</w:t>
            </w:r>
          </w:p>
        </w:tc>
      </w:tr>
      <w:tr w:rsidR="00B10447" w:rsidRPr="00B44B19" w14:paraId="731AC9C7" w14:textId="77777777" w:rsidTr="00595B07">
        <w:trPr>
          <w:trHeight w:val="332"/>
        </w:trPr>
        <w:tc>
          <w:tcPr>
            <w:tcW w:w="566" w:type="pct"/>
            <w:vMerge/>
          </w:tcPr>
          <w:p w14:paraId="6D0C9A2B"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17835D28"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259992FC" w14:textId="77777777" w:rsidR="00B10447" w:rsidRPr="00B44B19" w:rsidRDefault="00B10447" w:rsidP="00595B07">
            <w:pPr>
              <w:spacing w:after="0" w:line="240" w:lineRule="auto"/>
              <w:jc w:val="both"/>
              <w:rPr>
                <w:rFonts w:cs="Times New Roman"/>
                <w:noProof/>
                <w:sz w:val="16"/>
                <w:szCs w:val="16"/>
              </w:rPr>
            </w:pPr>
          </w:p>
        </w:tc>
        <w:tc>
          <w:tcPr>
            <w:tcW w:w="493" w:type="pct"/>
          </w:tcPr>
          <w:p w14:paraId="0FA8A404"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53A8F875"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Specialusis </w:t>
            </w:r>
          </w:p>
        </w:tc>
        <w:tc>
          <w:tcPr>
            <w:tcW w:w="863" w:type="pct"/>
          </w:tcPr>
          <w:p w14:paraId="14507387"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dalyvavę kvalifikacijos įgijimo veiklose</w:t>
            </w:r>
          </w:p>
        </w:tc>
        <w:tc>
          <w:tcPr>
            <w:tcW w:w="575" w:type="pct"/>
          </w:tcPr>
          <w:p w14:paraId="6D6CBF68"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Asmenys</w:t>
            </w:r>
          </w:p>
        </w:tc>
        <w:tc>
          <w:tcPr>
            <w:tcW w:w="503" w:type="pct"/>
          </w:tcPr>
          <w:p w14:paraId="7FF7EFEA"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0</w:t>
            </w:r>
          </w:p>
        </w:tc>
        <w:tc>
          <w:tcPr>
            <w:tcW w:w="486" w:type="pct"/>
          </w:tcPr>
          <w:p w14:paraId="65BBDD04"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240</w:t>
            </w:r>
          </w:p>
        </w:tc>
      </w:tr>
      <w:tr w:rsidR="00B10447" w:rsidRPr="00B44B19" w14:paraId="66668315" w14:textId="77777777" w:rsidTr="00595B07">
        <w:trPr>
          <w:trHeight w:val="332"/>
        </w:trPr>
        <w:tc>
          <w:tcPr>
            <w:tcW w:w="566" w:type="pct"/>
            <w:vMerge/>
          </w:tcPr>
          <w:p w14:paraId="65BBC3A3"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6F4D373A"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004CA54F" w14:textId="77777777" w:rsidR="00B10447" w:rsidRPr="00B44B19" w:rsidRDefault="00B10447" w:rsidP="00595B07">
            <w:pPr>
              <w:spacing w:after="0" w:line="240" w:lineRule="auto"/>
              <w:jc w:val="both"/>
              <w:rPr>
                <w:rFonts w:cs="Times New Roman"/>
                <w:noProof/>
                <w:sz w:val="16"/>
                <w:szCs w:val="16"/>
              </w:rPr>
            </w:pPr>
          </w:p>
        </w:tc>
        <w:tc>
          <w:tcPr>
            <w:tcW w:w="493" w:type="pct"/>
          </w:tcPr>
          <w:p w14:paraId="176E7748"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03E2C5C0"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3" w:type="pct"/>
          </w:tcPr>
          <w:p w14:paraId="2DC90843"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Gyventojai, kuriems taikomi projektai, vykdomi pagal integruotas teritorinio vystymo programas</w:t>
            </w:r>
          </w:p>
        </w:tc>
        <w:tc>
          <w:tcPr>
            <w:tcW w:w="575" w:type="pct"/>
          </w:tcPr>
          <w:p w14:paraId="144EB024"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Asmenys</w:t>
            </w:r>
          </w:p>
        </w:tc>
        <w:tc>
          <w:tcPr>
            <w:tcW w:w="503" w:type="pct"/>
          </w:tcPr>
          <w:p w14:paraId="29C80ACE"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0</w:t>
            </w:r>
          </w:p>
        </w:tc>
        <w:tc>
          <w:tcPr>
            <w:tcW w:w="486" w:type="pct"/>
          </w:tcPr>
          <w:p w14:paraId="7A533D60"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204 025</w:t>
            </w:r>
          </w:p>
        </w:tc>
      </w:tr>
      <w:tr w:rsidR="00B10447" w:rsidRPr="00B44B19" w14:paraId="6F53CEC7" w14:textId="77777777" w:rsidTr="00595B07">
        <w:trPr>
          <w:trHeight w:val="332"/>
        </w:trPr>
        <w:tc>
          <w:tcPr>
            <w:tcW w:w="566" w:type="pct"/>
            <w:vMerge/>
          </w:tcPr>
          <w:p w14:paraId="05BFBC89"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27B08992"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3A9A698D" w14:textId="77777777" w:rsidR="00B10447" w:rsidRPr="00B44B19" w:rsidRDefault="00B10447" w:rsidP="00595B07">
            <w:pPr>
              <w:spacing w:after="0" w:line="240" w:lineRule="auto"/>
              <w:jc w:val="both"/>
              <w:rPr>
                <w:rFonts w:cs="Times New Roman"/>
                <w:noProof/>
                <w:sz w:val="16"/>
                <w:szCs w:val="16"/>
              </w:rPr>
            </w:pPr>
          </w:p>
        </w:tc>
        <w:tc>
          <w:tcPr>
            <w:tcW w:w="493" w:type="pct"/>
          </w:tcPr>
          <w:p w14:paraId="50D012F3"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Sostinės regionas</w:t>
            </w:r>
          </w:p>
        </w:tc>
        <w:tc>
          <w:tcPr>
            <w:tcW w:w="646" w:type="pct"/>
          </w:tcPr>
          <w:p w14:paraId="5973CE1D"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3" w:type="pct"/>
          </w:tcPr>
          <w:p w14:paraId="4AB72692"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Integruotos teritorinio vystymo strategijos, kurioms suteikta parama</w:t>
            </w:r>
          </w:p>
        </w:tc>
        <w:tc>
          <w:tcPr>
            <w:tcW w:w="575" w:type="pct"/>
          </w:tcPr>
          <w:p w14:paraId="6F4F886D"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Indėlis į strategijas</w:t>
            </w:r>
          </w:p>
        </w:tc>
        <w:tc>
          <w:tcPr>
            <w:tcW w:w="503" w:type="pct"/>
          </w:tcPr>
          <w:p w14:paraId="5931B22F"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0</w:t>
            </w:r>
          </w:p>
        </w:tc>
        <w:tc>
          <w:tcPr>
            <w:tcW w:w="486" w:type="pct"/>
          </w:tcPr>
          <w:p w14:paraId="628DA730"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1</w:t>
            </w:r>
          </w:p>
        </w:tc>
      </w:tr>
      <w:tr w:rsidR="00B10447" w:rsidRPr="00B44B19" w14:paraId="6D29B6C2" w14:textId="77777777" w:rsidTr="00595B07">
        <w:trPr>
          <w:trHeight w:val="332"/>
        </w:trPr>
        <w:tc>
          <w:tcPr>
            <w:tcW w:w="566" w:type="pct"/>
            <w:vMerge/>
          </w:tcPr>
          <w:p w14:paraId="7D30892C"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4A0B57F1"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3039953D" w14:textId="77777777" w:rsidR="00B10447" w:rsidRPr="00B44B19" w:rsidRDefault="00B10447" w:rsidP="00595B07">
            <w:pPr>
              <w:spacing w:after="0" w:line="240" w:lineRule="auto"/>
              <w:jc w:val="both"/>
              <w:rPr>
                <w:rFonts w:cs="Times New Roman"/>
                <w:noProof/>
                <w:sz w:val="16"/>
                <w:szCs w:val="16"/>
              </w:rPr>
            </w:pPr>
          </w:p>
        </w:tc>
        <w:tc>
          <w:tcPr>
            <w:tcW w:w="493" w:type="pct"/>
          </w:tcPr>
          <w:p w14:paraId="2C1F1316"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3F2C093C"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3" w:type="pct"/>
          </w:tcPr>
          <w:p w14:paraId="176B1F43"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Gyventojai, kuriems taikomi projektai, vykdomi pagal integruotas teritorinio vystymo programas</w:t>
            </w:r>
          </w:p>
        </w:tc>
        <w:tc>
          <w:tcPr>
            <w:tcW w:w="575" w:type="pct"/>
          </w:tcPr>
          <w:p w14:paraId="039B065D"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Asmenys</w:t>
            </w:r>
          </w:p>
        </w:tc>
        <w:tc>
          <w:tcPr>
            <w:tcW w:w="503" w:type="pct"/>
          </w:tcPr>
          <w:p w14:paraId="6D4FDA06"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0</w:t>
            </w:r>
          </w:p>
        </w:tc>
        <w:tc>
          <w:tcPr>
            <w:tcW w:w="486" w:type="pct"/>
          </w:tcPr>
          <w:p w14:paraId="2B6C19E2"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189 906</w:t>
            </w:r>
          </w:p>
        </w:tc>
      </w:tr>
      <w:tr w:rsidR="00B10447" w:rsidRPr="00B44B19" w14:paraId="757482C0" w14:textId="77777777" w:rsidTr="00595B07">
        <w:trPr>
          <w:trHeight w:val="332"/>
        </w:trPr>
        <w:tc>
          <w:tcPr>
            <w:tcW w:w="566" w:type="pct"/>
            <w:vMerge/>
          </w:tcPr>
          <w:p w14:paraId="74553180" w14:textId="77777777" w:rsidR="00B10447" w:rsidRPr="00B44B19" w:rsidRDefault="00B10447" w:rsidP="00595B07">
            <w:pPr>
              <w:spacing w:after="0" w:line="240" w:lineRule="auto"/>
              <w:jc w:val="both"/>
              <w:rPr>
                <w:rFonts w:cs="Times New Roman"/>
                <w:noProof/>
                <w:sz w:val="16"/>
                <w:szCs w:val="16"/>
              </w:rPr>
            </w:pPr>
          </w:p>
        </w:tc>
        <w:tc>
          <w:tcPr>
            <w:tcW w:w="499" w:type="pct"/>
            <w:vMerge/>
          </w:tcPr>
          <w:p w14:paraId="0358F39D" w14:textId="77777777" w:rsidR="00B10447" w:rsidRPr="00B44B19" w:rsidRDefault="00B10447" w:rsidP="00595B07">
            <w:pPr>
              <w:spacing w:after="0" w:line="240" w:lineRule="auto"/>
              <w:jc w:val="both"/>
              <w:rPr>
                <w:rFonts w:cs="Times New Roman"/>
                <w:noProof/>
                <w:sz w:val="16"/>
                <w:szCs w:val="16"/>
              </w:rPr>
            </w:pPr>
          </w:p>
        </w:tc>
        <w:tc>
          <w:tcPr>
            <w:tcW w:w="369" w:type="pct"/>
            <w:vMerge/>
          </w:tcPr>
          <w:p w14:paraId="0686881C" w14:textId="77777777" w:rsidR="00B10447" w:rsidRPr="00B44B19" w:rsidRDefault="00B10447" w:rsidP="00595B07">
            <w:pPr>
              <w:spacing w:after="0" w:line="240" w:lineRule="auto"/>
              <w:jc w:val="both"/>
              <w:rPr>
                <w:rFonts w:cs="Times New Roman"/>
                <w:noProof/>
                <w:sz w:val="16"/>
                <w:szCs w:val="16"/>
              </w:rPr>
            </w:pPr>
          </w:p>
        </w:tc>
        <w:tc>
          <w:tcPr>
            <w:tcW w:w="493" w:type="pct"/>
          </w:tcPr>
          <w:p w14:paraId="722044E1" w14:textId="77777777" w:rsidR="00B10447" w:rsidRPr="00B44B19" w:rsidRDefault="00B10447" w:rsidP="008327AE">
            <w:pPr>
              <w:spacing w:after="0" w:line="240" w:lineRule="auto"/>
              <w:rPr>
                <w:rFonts w:cs="Times New Roman"/>
                <w:noProof/>
                <w:sz w:val="16"/>
                <w:szCs w:val="16"/>
              </w:rPr>
            </w:pPr>
            <w:r w:rsidRPr="00B44B19">
              <w:rPr>
                <w:rFonts w:cs="Times New Roman"/>
                <w:noProof/>
                <w:sz w:val="16"/>
                <w:szCs w:val="16"/>
              </w:rPr>
              <w:t>VVL regionas</w:t>
            </w:r>
          </w:p>
        </w:tc>
        <w:tc>
          <w:tcPr>
            <w:tcW w:w="646" w:type="pct"/>
          </w:tcPr>
          <w:p w14:paraId="5AFF5A1B"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863" w:type="pct"/>
          </w:tcPr>
          <w:p w14:paraId="1130AD15" w14:textId="77777777" w:rsidR="00B10447" w:rsidRPr="00B44B19" w:rsidRDefault="00B10447" w:rsidP="008327AE">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Integruotos teritorinio vystymo strategijos, kurioms suteikta parama</w:t>
            </w:r>
          </w:p>
        </w:tc>
        <w:tc>
          <w:tcPr>
            <w:tcW w:w="575" w:type="pct"/>
          </w:tcPr>
          <w:p w14:paraId="136CA7FE" w14:textId="77777777" w:rsidR="00B10447" w:rsidRPr="00B44B19" w:rsidRDefault="00B10447" w:rsidP="008327AE">
            <w:pPr>
              <w:spacing w:after="0" w:line="240" w:lineRule="auto"/>
              <w:rPr>
                <w:rFonts w:cs="Times New Roman"/>
                <w:bCs/>
                <w:noProof/>
                <w:sz w:val="16"/>
                <w:szCs w:val="14"/>
              </w:rPr>
            </w:pPr>
            <w:r w:rsidRPr="00B44B19">
              <w:rPr>
                <w:rFonts w:cs="Times New Roman"/>
                <w:bCs/>
                <w:noProof/>
                <w:sz w:val="16"/>
                <w:szCs w:val="14"/>
              </w:rPr>
              <w:t>Indėlis į strategijas</w:t>
            </w:r>
          </w:p>
        </w:tc>
        <w:tc>
          <w:tcPr>
            <w:tcW w:w="503" w:type="pct"/>
          </w:tcPr>
          <w:p w14:paraId="4A7578F0"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0</w:t>
            </w:r>
          </w:p>
        </w:tc>
        <w:tc>
          <w:tcPr>
            <w:tcW w:w="486" w:type="pct"/>
          </w:tcPr>
          <w:p w14:paraId="17AD7BD6" w14:textId="77777777" w:rsidR="00B10447" w:rsidRPr="00B44B19" w:rsidRDefault="00B10447" w:rsidP="008327AE">
            <w:pPr>
              <w:tabs>
                <w:tab w:val="left" w:pos="2268"/>
                <w:tab w:val="left" w:pos="7560"/>
              </w:tabs>
              <w:spacing w:after="0" w:line="240" w:lineRule="auto"/>
              <w:jc w:val="center"/>
              <w:rPr>
                <w:rFonts w:eastAsia="Calibri" w:cs="Times New Roman"/>
                <w:sz w:val="16"/>
                <w:szCs w:val="16"/>
                <w:lang w:eastAsia="lt-LT" w:bidi="lt-LT"/>
              </w:rPr>
            </w:pPr>
            <w:r w:rsidRPr="00B44B19">
              <w:rPr>
                <w:rFonts w:eastAsia="Calibri" w:cs="Times New Roman"/>
                <w:sz w:val="16"/>
                <w:szCs w:val="16"/>
                <w:lang w:eastAsia="lt-LT" w:bidi="lt-LT"/>
              </w:rPr>
              <w:t>2</w:t>
            </w:r>
          </w:p>
        </w:tc>
      </w:tr>
    </w:tbl>
    <w:p w14:paraId="11C900EE" w14:textId="77777777" w:rsidR="00CB51A9" w:rsidRPr="00B44B19" w:rsidRDefault="00CB51A9" w:rsidP="00CB51A9">
      <w:pPr>
        <w:jc w:val="both"/>
        <w:rPr>
          <w:rFonts w:cs="Times New Roman"/>
          <w:b/>
          <w:szCs w:val="24"/>
        </w:rPr>
      </w:pPr>
    </w:p>
    <w:p w14:paraId="673563A1" w14:textId="77777777" w:rsidR="002B441C" w:rsidRPr="00B44B19" w:rsidRDefault="002B441C" w:rsidP="00CB51A9">
      <w:pPr>
        <w:spacing w:after="0" w:line="240" w:lineRule="auto"/>
        <w:rPr>
          <w:rFonts w:cs="Times New Roman"/>
          <w:b/>
          <w:sz w:val="20"/>
          <w:szCs w:val="24"/>
        </w:rPr>
        <w:sectPr w:rsidR="002B441C" w:rsidRPr="00B44B19" w:rsidSect="00931C78">
          <w:pgSz w:w="11906" w:h="16838"/>
          <w:pgMar w:top="1276" w:right="567" w:bottom="1134" w:left="1701" w:header="567" w:footer="567" w:gutter="0"/>
          <w:cols w:space="1296"/>
          <w:docGrid w:linePitch="360"/>
        </w:sectPr>
      </w:pPr>
    </w:p>
    <w:p w14:paraId="063C0809" w14:textId="77777777" w:rsidR="00CB51A9" w:rsidRPr="00B44B19" w:rsidRDefault="00CB51A9" w:rsidP="002B441C">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975"/>
        <w:gridCol w:w="835"/>
        <w:gridCol w:w="978"/>
        <w:gridCol w:w="1255"/>
        <w:gridCol w:w="3344"/>
        <w:gridCol w:w="975"/>
        <w:gridCol w:w="975"/>
        <w:gridCol w:w="1115"/>
        <w:gridCol w:w="1115"/>
        <w:gridCol w:w="1115"/>
        <w:gridCol w:w="1100"/>
      </w:tblGrid>
      <w:tr w:rsidR="00595B07" w:rsidRPr="00B44B19" w14:paraId="2FD5DDB8" w14:textId="77777777" w:rsidTr="00595B07">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0CEE00"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1360B3"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717FAF"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Fondas</w:t>
            </w:r>
          </w:p>
        </w:tc>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3C0914"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35406C"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F5483F"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E190FF"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4671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2EE9C"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38C50A"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Siek</w:t>
            </w:r>
            <w:r w:rsidR="009A78EF" w:rsidRPr="00B44B19">
              <w:rPr>
                <w:rFonts w:cs="Times New Roman"/>
                <w:b/>
                <w:noProof/>
                <w:sz w:val="16"/>
                <w:szCs w:val="16"/>
              </w:rPr>
              <w:t>tina reikšmė</w:t>
            </w:r>
            <w:r w:rsidRPr="00B44B19">
              <w:rPr>
                <w:rFonts w:cs="Times New Roman"/>
                <w:b/>
                <w:noProof/>
                <w:sz w:val="16"/>
                <w:szCs w:val="16"/>
              </w:rPr>
              <w:t xml:space="preserve"> (2029 m.)</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EBFFD3"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C230C6"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Pastabos</w:t>
            </w:r>
          </w:p>
        </w:tc>
      </w:tr>
      <w:tr w:rsidR="008327AE" w:rsidRPr="00B44B19" w14:paraId="50D187A3" w14:textId="77777777" w:rsidTr="00595B07">
        <w:trPr>
          <w:trHeight w:val="532"/>
        </w:trPr>
        <w:tc>
          <w:tcPr>
            <w:tcW w:w="364" w:type="pct"/>
            <w:vMerge w:val="restart"/>
            <w:tcBorders>
              <w:top w:val="single" w:sz="12" w:space="0" w:color="auto"/>
            </w:tcBorders>
          </w:tcPr>
          <w:p w14:paraId="3AA7A1C1"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4. Socialiai atsakingesnė Lietuva</w:t>
            </w:r>
          </w:p>
        </w:tc>
        <w:tc>
          <w:tcPr>
            <w:tcW w:w="328" w:type="pct"/>
            <w:vMerge w:val="restart"/>
            <w:tcBorders>
              <w:top w:val="single" w:sz="12" w:space="0" w:color="auto"/>
            </w:tcBorders>
          </w:tcPr>
          <w:p w14:paraId="4BF52EA5"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4.8.</w:t>
            </w:r>
          </w:p>
        </w:tc>
        <w:tc>
          <w:tcPr>
            <w:tcW w:w="281" w:type="pct"/>
            <w:vMerge w:val="restart"/>
            <w:tcBorders>
              <w:top w:val="single" w:sz="12" w:space="0" w:color="auto"/>
            </w:tcBorders>
          </w:tcPr>
          <w:p w14:paraId="180B5F5D"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ESF+</w:t>
            </w:r>
          </w:p>
        </w:tc>
        <w:tc>
          <w:tcPr>
            <w:tcW w:w="329" w:type="pct"/>
            <w:tcBorders>
              <w:top w:val="single" w:sz="12" w:space="0" w:color="auto"/>
            </w:tcBorders>
          </w:tcPr>
          <w:p w14:paraId="07562A16"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Borders>
              <w:top w:val="single" w:sz="12" w:space="0" w:color="auto"/>
            </w:tcBorders>
          </w:tcPr>
          <w:p w14:paraId="0F99436B"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Borders>
              <w:top w:val="single" w:sz="12" w:space="0" w:color="auto"/>
            </w:tcBorders>
          </w:tcPr>
          <w:p w14:paraId="05BC26E8" w14:textId="77777777" w:rsidR="008327AE" w:rsidRPr="00B44B19" w:rsidRDefault="008327AE" w:rsidP="00595B07">
            <w:pPr>
              <w:tabs>
                <w:tab w:val="left" w:pos="2268"/>
                <w:tab w:val="left" w:pos="7560"/>
              </w:tabs>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Institucinės globos pertvarkos tikslinių grupių asmenų, palankiai vertinančių gaunamų paslaugų kokybę, dalis</w:t>
            </w:r>
          </w:p>
        </w:tc>
        <w:tc>
          <w:tcPr>
            <w:tcW w:w="328" w:type="pct"/>
            <w:tcBorders>
              <w:top w:val="single" w:sz="12" w:space="0" w:color="auto"/>
            </w:tcBorders>
          </w:tcPr>
          <w:p w14:paraId="1E2D4D41"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Borders>
              <w:top w:val="single" w:sz="12" w:space="0" w:color="auto"/>
            </w:tcBorders>
          </w:tcPr>
          <w:p w14:paraId="4AF96837"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90,8</w:t>
            </w:r>
          </w:p>
        </w:tc>
        <w:tc>
          <w:tcPr>
            <w:tcW w:w="375" w:type="pct"/>
            <w:tcBorders>
              <w:top w:val="single" w:sz="12" w:space="0" w:color="auto"/>
            </w:tcBorders>
          </w:tcPr>
          <w:p w14:paraId="5D1FE942"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2020</w:t>
            </w:r>
          </w:p>
        </w:tc>
        <w:tc>
          <w:tcPr>
            <w:tcW w:w="375" w:type="pct"/>
            <w:tcBorders>
              <w:top w:val="single" w:sz="12" w:space="0" w:color="auto"/>
            </w:tcBorders>
          </w:tcPr>
          <w:p w14:paraId="2C447CAB"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95</w:t>
            </w:r>
          </w:p>
        </w:tc>
        <w:tc>
          <w:tcPr>
            <w:tcW w:w="375" w:type="pct"/>
            <w:tcBorders>
              <w:top w:val="single" w:sz="12" w:space="0" w:color="auto"/>
            </w:tcBorders>
          </w:tcPr>
          <w:p w14:paraId="5A6F70FB" w14:textId="77777777" w:rsidR="008327AE" w:rsidRPr="00B44B19" w:rsidRDefault="008327AE" w:rsidP="00595B07">
            <w:pPr>
              <w:spacing w:after="0" w:line="240" w:lineRule="auto"/>
              <w:jc w:val="both"/>
              <w:rPr>
                <w:rFonts w:cs="Times New Roman"/>
                <w:b/>
                <w:noProof/>
                <w:sz w:val="16"/>
                <w:szCs w:val="16"/>
              </w:rPr>
            </w:pPr>
            <w:r w:rsidRPr="00B44B19">
              <w:rPr>
                <w:rFonts w:cs="Times New Roman"/>
                <w:noProof/>
                <w:sz w:val="16"/>
                <w:szCs w:val="16"/>
              </w:rPr>
              <w:t>Apklausos duomenys</w:t>
            </w:r>
          </w:p>
        </w:tc>
        <w:tc>
          <w:tcPr>
            <w:tcW w:w="370" w:type="pct"/>
            <w:tcBorders>
              <w:top w:val="single" w:sz="12" w:space="0" w:color="auto"/>
            </w:tcBorders>
          </w:tcPr>
          <w:p w14:paraId="004E2441"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709AD22" w14:textId="77777777" w:rsidTr="00595B07">
        <w:trPr>
          <w:trHeight w:val="533"/>
        </w:trPr>
        <w:tc>
          <w:tcPr>
            <w:tcW w:w="364" w:type="pct"/>
            <w:vMerge/>
          </w:tcPr>
          <w:p w14:paraId="114D50A3"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5E1B259A"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527E5B1D" w14:textId="77777777" w:rsidR="008327AE" w:rsidRPr="00B44B19" w:rsidRDefault="008327AE" w:rsidP="00595B07">
            <w:pPr>
              <w:spacing w:after="0" w:line="240" w:lineRule="auto"/>
              <w:jc w:val="both"/>
              <w:rPr>
                <w:rFonts w:cs="Times New Roman"/>
                <w:noProof/>
                <w:sz w:val="16"/>
                <w:szCs w:val="16"/>
              </w:rPr>
            </w:pPr>
          </w:p>
        </w:tc>
        <w:tc>
          <w:tcPr>
            <w:tcW w:w="329" w:type="pct"/>
          </w:tcPr>
          <w:p w14:paraId="547A3D07"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7084190C"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16C1C398" w14:textId="77777777" w:rsidR="008327AE" w:rsidRPr="00B44B19" w:rsidRDefault="008327AE" w:rsidP="00595B07">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Institucinės globos pertvarkos tikslinių grupių asmenų, palankiai vertinančių gaunamų paslaugų kokybę, dalis</w:t>
            </w:r>
          </w:p>
        </w:tc>
        <w:tc>
          <w:tcPr>
            <w:tcW w:w="328" w:type="pct"/>
          </w:tcPr>
          <w:p w14:paraId="227956CB"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2403628B"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90,8</w:t>
            </w:r>
          </w:p>
        </w:tc>
        <w:tc>
          <w:tcPr>
            <w:tcW w:w="375" w:type="pct"/>
          </w:tcPr>
          <w:p w14:paraId="30E83C33"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2020</w:t>
            </w:r>
          </w:p>
        </w:tc>
        <w:tc>
          <w:tcPr>
            <w:tcW w:w="375" w:type="pct"/>
          </w:tcPr>
          <w:p w14:paraId="585A31DD"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95</w:t>
            </w:r>
          </w:p>
        </w:tc>
        <w:tc>
          <w:tcPr>
            <w:tcW w:w="375" w:type="pct"/>
          </w:tcPr>
          <w:p w14:paraId="1737D41D" w14:textId="77777777" w:rsidR="008327AE" w:rsidRPr="00B44B19" w:rsidRDefault="008327AE" w:rsidP="00595B07">
            <w:pPr>
              <w:spacing w:after="0" w:line="240" w:lineRule="auto"/>
              <w:jc w:val="both"/>
              <w:rPr>
                <w:rFonts w:cs="Times New Roman"/>
                <w:b/>
                <w:noProof/>
                <w:sz w:val="16"/>
                <w:szCs w:val="16"/>
              </w:rPr>
            </w:pPr>
            <w:r w:rsidRPr="00B44B19">
              <w:rPr>
                <w:rFonts w:cs="Times New Roman"/>
                <w:noProof/>
                <w:sz w:val="16"/>
                <w:szCs w:val="16"/>
              </w:rPr>
              <w:t>Apklausos duomenys</w:t>
            </w:r>
          </w:p>
        </w:tc>
        <w:tc>
          <w:tcPr>
            <w:tcW w:w="370" w:type="pct"/>
          </w:tcPr>
          <w:p w14:paraId="53D1146E"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7856E57A" w14:textId="77777777" w:rsidTr="00595B07">
        <w:trPr>
          <w:trHeight w:val="412"/>
        </w:trPr>
        <w:tc>
          <w:tcPr>
            <w:tcW w:w="364" w:type="pct"/>
            <w:vMerge/>
          </w:tcPr>
          <w:p w14:paraId="6943BDC7"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66D45F9F"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7C6538EA" w14:textId="77777777" w:rsidR="008327AE" w:rsidRPr="00B44B19" w:rsidRDefault="008327AE" w:rsidP="00595B07">
            <w:pPr>
              <w:spacing w:after="0" w:line="240" w:lineRule="auto"/>
              <w:jc w:val="both"/>
              <w:rPr>
                <w:rFonts w:cs="Times New Roman"/>
                <w:noProof/>
                <w:sz w:val="16"/>
                <w:szCs w:val="16"/>
              </w:rPr>
            </w:pPr>
          </w:p>
        </w:tc>
        <w:tc>
          <w:tcPr>
            <w:tcW w:w="329" w:type="pct"/>
          </w:tcPr>
          <w:p w14:paraId="52456743"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4B9751BA"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072724FD" w14:textId="77777777" w:rsidR="008327AE" w:rsidRPr="00B44B19" w:rsidRDefault="008327AE" w:rsidP="00595B07">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Asmenų, kurie teigia, kad kompleksinės paslaugos šeimai padarė teigiamą poveikį, dalis</w:t>
            </w:r>
          </w:p>
        </w:tc>
        <w:tc>
          <w:tcPr>
            <w:tcW w:w="328" w:type="pct"/>
          </w:tcPr>
          <w:p w14:paraId="03C2BE47"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610A5E64"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5D40FCC"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2021</w:t>
            </w:r>
          </w:p>
        </w:tc>
        <w:tc>
          <w:tcPr>
            <w:tcW w:w="375" w:type="pct"/>
          </w:tcPr>
          <w:p w14:paraId="136EED6A"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75</w:t>
            </w:r>
          </w:p>
        </w:tc>
        <w:tc>
          <w:tcPr>
            <w:tcW w:w="375" w:type="pct"/>
          </w:tcPr>
          <w:p w14:paraId="2196A8FE" w14:textId="77777777" w:rsidR="008327AE" w:rsidRPr="00B44B19" w:rsidRDefault="008327AE" w:rsidP="00595B07">
            <w:pPr>
              <w:spacing w:after="0" w:line="240" w:lineRule="auto"/>
              <w:jc w:val="both"/>
              <w:rPr>
                <w:rFonts w:cs="Times New Roman"/>
                <w:b/>
                <w:noProof/>
                <w:sz w:val="16"/>
                <w:szCs w:val="16"/>
              </w:rPr>
            </w:pPr>
            <w:r w:rsidRPr="00B44B19">
              <w:rPr>
                <w:rFonts w:cs="Times New Roman"/>
                <w:noProof/>
                <w:sz w:val="16"/>
                <w:szCs w:val="16"/>
              </w:rPr>
              <w:t>Apklausos duomenys</w:t>
            </w:r>
          </w:p>
        </w:tc>
        <w:tc>
          <w:tcPr>
            <w:tcW w:w="370" w:type="pct"/>
          </w:tcPr>
          <w:p w14:paraId="2BDDD591"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03CA24A6" w14:textId="77777777" w:rsidTr="00595B07">
        <w:trPr>
          <w:trHeight w:val="306"/>
        </w:trPr>
        <w:tc>
          <w:tcPr>
            <w:tcW w:w="364" w:type="pct"/>
            <w:vMerge/>
          </w:tcPr>
          <w:p w14:paraId="38AE764D"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7FD40EA"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69B01BC9" w14:textId="77777777" w:rsidR="008327AE" w:rsidRPr="00B44B19" w:rsidRDefault="008327AE" w:rsidP="00595B07">
            <w:pPr>
              <w:spacing w:after="0" w:line="240" w:lineRule="auto"/>
              <w:jc w:val="both"/>
              <w:rPr>
                <w:rFonts w:cs="Times New Roman"/>
                <w:noProof/>
                <w:sz w:val="16"/>
                <w:szCs w:val="16"/>
              </w:rPr>
            </w:pPr>
          </w:p>
        </w:tc>
        <w:tc>
          <w:tcPr>
            <w:tcW w:w="329" w:type="pct"/>
          </w:tcPr>
          <w:p w14:paraId="2426D280"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0066423C"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6E07A114" w14:textId="77777777" w:rsidR="008327AE" w:rsidRPr="00B44B19" w:rsidRDefault="008327AE" w:rsidP="00595B07">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Asmenų, kurie teigia, kad kompleksinės paslaugos šeimai padarė teigiamą poveikį, dalis</w:t>
            </w:r>
          </w:p>
        </w:tc>
        <w:tc>
          <w:tcPr>
            <w:tcW w:w="328" w:type="pct"/>
          </w:tcPr>
          <w:p w14:paraId="35BB7FB1"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751E8217"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2E718F90"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2021</w:t>
            </w:r>
          </w:p>
        </w:tc>
        <w:tc>
          <w:tcPr>
            <w:tcW w:w="375" w:type="pct"/>
          </w:tcPr>
          <w:p w14:paraId="559D4DAB"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75</w:t>
            </w:r>
          </w:p>
        </w:tc>
        <w:tc>
          <w:tcPr>
            <w:tcW w:w="375" w:type="pct"/>
          </w:tcPr>
          <w:p w14:paraId="0EB98878" w14:textId="77777777" w:rsidR="008327AE" w:rsidRPr="00B44B19" w:rsidRDefault="008327AE" w:rsidP="00595B07">
            <w:pPr>
              <w:spacing w:after="0" w:line="240" w:lineRule="auto"/>
              <w:jc w:val="both"/>
              <w:rPr>
                <w:rFonts w:cs="Times New Roman"/>
                <w:b/>
                <w:noProof/>
                <w:sz w:val="16"/>
                <w:szCs w:val="16"/>
              </w:rPr>
            </w:pPr>
            <w:r w:rsidRPr="00B44B19">
              <w:rPr>
                <w:rFonts w:cs="Times New Roman"/>
                <w:noProof/>
                <w:sz w:val="16"/>
                <w:szCs w:val="16"/>
              </w:rPr>
              <w:t>Apklausos duomenys</w:t>
            </w:r>
          </w:p>
        </w:tc>
        <w:tc>
          <w:tcPr>
            <w:tcW w:w="370" w:type="pct"/>
          </w:tcPr>
          <w:p w14:paraId="7EB513EB"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5C852D34" w14:textId="77777777" w:rsidTr="00595B07">
        <w:trPr>
          <w:trHeight w:val="507"/>
        </w:trPr>
        <w:tc>
          <w:tcPr>
            <w:tcW w:w="364" w:type="pct"/>
            <w:vMerge/>
          </w:tcPr>
          <w:p w14:paraId="7CEC9498"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B0D9670"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73510D0B" w14:textId="77777777" w:rsidR="008327AE" w:rsidRPr="00B44B19" w:rsidRDefault="008327AE" w:rsidP="00595B07">
            <w:pPr>
              <w:spacing w:after="0" w:line="240" w:lineRule="auto"/>
              <w:jc w:val="both"/>
              <w:rPr>
                <w:rFonts w:cs="Times New Roman"/>
                <w:noProof/>
                <w:sz w:val="16"/>
                <w:szCs w:val="16"/>
              </w:rPr>
            </w:pPr>
          </w:p>
        </w:tc>
        <w:tc>
          <w:tcPr>
            <w:tcW w:w="329" w:type="pct"/>
          </w:tcPr>
          <w:p w14:paraId="076E4E58"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2DC03673"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41F5A142" w14:textId="77777777" w:rsidR="008327AE" w:rsidRPr="00B44B19" w:rsidDel="005B03F7" w:rsidRDefault="008327AE" w:rsidP="00B501B7">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Asmenų, palankiai vertinančių bendruomeninių paslaugų, susijusių su </w:t>
            </w:r>
            <w:r w:rsidR="00B501B7" w:rsidRPr="00B44B19">
              <w:rPr>
                <w:rFonts w:eastAsia="Calibri" w:cs="Times New Roman"/>
                <w:sz w:val="16"/>
                <w:szCs w:val="16"/>
                <w:lang w:eastAsia="lt-LT" w:bidi="lt-LT"/>
              </w:rPr>
              <w:t>v</w:t>
            </w:r>
            <w:r w:rsidRPr="00B44B19">
              <w:rPr>
                <w:rFonts w:eastAsia="Calibri" w:cs="Times New Roman"/>
                <w:sz w:val="16"/>
                <w:szCs w:val="16"/>
                <w:lang w:eastAsia="lt-LT" w:bidi="lt-LT"/>
              </w:rPr>
              <w:t xml:space="preserve">aiko garantijų </w:t>
            </w:r>
            <w:r w:rsidR="00B501B7" w:rsidRPr="00B44B19">
              <w:rPr>
                <w:rFonts w:eastAsia="Calibri" w:cs="Times New Roman"/>
                <w:sz w:val="16"/>
                <w:szCs w:val="16"/>
                <w:lang w:eastAsia="lt-LT" w:bidi="lt-LT"/>
              </w:rPr>
              <w:t>sistema</w:t>
            </w:r>
            <w:r w:rsidRPr="00B44B19">
              <w:rPr>
                <w:rFonts w:eastAsia="Calibri" w:cs="Times New Roman"/>
                <w:sz w:val="16"/>
                <w:szCs w:val="16"/>
                <w:lang w:eastAsia="lt-LT" w:bidi="lt-LT"/>
              </w:rPr>
              <w:t>, kokybę, dalis</w:t>
            </w:r>
          </w:p>
        </w:tc>
        <w:tc>
          <w:tcPr>
            <w:tcW w:w="328" w:type="pct"/>
          </w:tcPr>
          <w:p w14:paraId="073845C2"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14D8E2B8"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90,8</w:t>
            </w:r>
          </w:p>
        </w:tc>
        <w:tc>
          <w:tcPr>
            <w:tcW w:w="375" w:type="pct"/>
          </w:tcPr>
          <w:p w14:paraId="5F7E6C02"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2020</w:t>
            </w:r>
          </w:p>
        </w:tc>
        <w:tc>
          <w:tcPr>
            <w:tcW w:w="375" w:type="pct"/>
          </w:tcPr>
          <w:p w14:paraId="1002674A"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95</w:t>
            </w:r>
          </w:p>
        </w:tc>
        <w:tc>
          <w:tcPr>
            <w:tcW w:w="375" w:type="pct"/>
          </w:tcPr>
          <w:p w14:paraId="47413E33"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Apklausos duomenys</w:t>
            </w:r>
          </w:p>
        </w:tc>
        <w:tc>
          <w:tcPr>
            <w:tcW w:w="370" w:type="pct"/>
          </w:tcPr>
          <w:p w14:paraId="2CFC0CD6"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26752FB5" w14:textId="77777777" w:rsidTr="00595B07">
        <w:trPr>
          <w:trHeight w:val="507"/>
        </w:trPr>
        <w:tc>
          <w:tcPr>
            <w:tcW w:w="364" w:type="pct"/>
            <w:vMerge/>
          </w:tcPr>
          <w:p w14:paraId="7C241E52"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0AC285A"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3794C236" w14:textId="77777777" w:rsidR="008327AE" w:rsidRPr="00B44B19" w:rsidRDefault="008327AE" w:rsidP="00595B07">
            <w:pPr>
              <w:spacing w:after="0" w:line="240" w:lineRule="auto"/>
              <w:jc w:val="both"/>
              <w:rPr>
                <w:rFonts w:cs="Times New Roman"/>
                <w:noProof/>
                <w:sz w:val="16"/>
                <w:szCs w:val="16"/>
              </w:rPr>
            </w:pPr>
          </w:p>
        </w:tc>
        <w:tc>
          <w:tcPr>
            <w:tcW w:w="329" w:type="pct"/>
          </w:tcPr>
          <w:p w14:paraId="60EB7053"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434110C5"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322D2FA2" w14:textId="77777777" w:rsidR="008327AE" w:rsidRPr="00B44B19" w:rsidDel="005B03F7" w:rsidRDefault="008327AE" w:rsidP="00B501B7">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Asmenų, palankiai vertinančių bendruomeninių paslaugų, susijusių su </w:t>
            </w:r>
            <w:r w:rsidR="00B501B7" w:rsidRPr="00B44B19">
              <w:rPr>
                <w:rFonts w:eastAsia="Calibri" w:cs="Times New Roman"/>
                <w:sz w:val="16"/>
                <w:szCs w:val="16"/>
                <w:lang w:eastAsia="lt-LT" w:bidi="lt-LT"/>
              </w:rPr>
              <w:t>v</w:t>
            </w:r>
            <w:r w:rsidRPr="00B44B19">
              <w:rPr>
                <w:rFonts w:eastAsia="Calibri" w:cs="Times New Roman"/>
                <w:sz w:val="16"/>
                <w:szCs w:val="16"/>
                <w:lang w:eastAsia="lt-LT" w:bidi="lt-LT"/>
              </w:rPr>
              <w:t xml:space="preserve">aiko garantijų </w:t>
            </w:r>
            <w:r w:rsidR="00B501B7" w:rsidRPr="00B44B19">
              <w:rPr>
                <w:rFonts w:eastAsia="Calibri" w:cs="Times New Roman"/>
                <w:sz w:val="16"/>
                <w:szCs w:val="16"/>
                <w:lang w:eastAsia="lt-LT" w:bidi="lt-LT"/>
              </w:rPr>
              <w:t>sistema</w:t>
            </w:r>
            <w:r w:rsidRPr="00B44B19">
              <w:rPr>
                <w:rFonts w:eastAsia="Calibri" w:cs="Times New Roman"/>
                <w:sz w:val="16"/>
                <w:szCs w:val="16"/>
                <w:lang w:eastAsia="lt-LT" w:bidi="lt-LT"/>
              </w:rPr>
              <w:t>, kokybę, dalis</w:t>
            </w:r>
          </w:p>
        </w:tc>
        <w:tc>
          <w:tcPr>
            <w:tcW w:w="328" w:type="pct"/>
          </w:tcPr>
          <w:p w14:paraId="0A891A12"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48B9CB34"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90,8</w:t>
            </w:r>
          </w:p>
        </w:tc>
        <w:tc>
          <w:tcPr>
            <w:tcW w:w="375" w:type="pct"/>
          </w:tcPr>
          <w:p w14:paraId="1AB5593E"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2020</w:t>
            </w:r>
          </w:p>
        </w:tc>
        <w:tc>
          <w:tcPr>
            <w:tcW w:w="375" w:type="pct"/>
          </w:tcPr>
          <w:p w14:paraId="3A2D60B6"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95</w:t>
            </w:r>
          </w:p>
        </w:tc>
        <w:tc>
          <w:tcPr>
            <w:tcW w:w="375" w:type="pct"/>
          </w:tcPr>
          <w:p w14:paraId="79E40101"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Apklausos duomenys</w:t>
            </w:r>
          </w:p>
        </w:tc>
        <w:tc>
          <w:tcPr>
            <w:tcW w:w="370" w:type="pct"/>
          </w:tcPr>
          <w:p w14:paraId="3B0769DE"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522CCC48" w14:textId="77777777" w:rsidTr="00595B07">
        <w:trPr>
          <w:trHeight w:val="507"/>
        </w:trPr>
        <w:tc>
          <w:tcPr>
            <w:tcW w:w="364" w:type="pct"/>
            <w:vMerge/>
          </w:tcPr>
          <w:p w14:paraId="78B40639"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2D5F9FE2"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48857F96" w14:textId="77777777" w:rsidR="008327AE" w:rsidRPr="00B44B19" w:rsidRDefault="008327AE" w:rsidP="00595B07">
            <w:pPr>
              <w:spacing w:after="0" w:line="240" w:lineRule="auto"/>
              <w:jc w:val="both"/>
              <w:rPr>
                <w:rFonts w:cs="Times New Roman"/>
                <w:noProof/>
                <w:sz w:val="16"/>
                <w:szCs w:val="16"/>
              </w:rPr>
            </w:pPr>
          </w:p>
        </w:tc>
        <w:tc>
          <w:tcPr>
            <w:tcW w:w="329" w:type="pct"/>
          </w:tcPr>
          <w:p w14:paraId="447C7934"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7642A651"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75F356E0" w14:textId="77777777" w:rsidR="008327AE" w:rsidRPr="00B44B19" w:rsidRDefault="008327AE" w:rsidP="00B501B7">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 xml:space="preserve">Asmenų, kurie </w:t>
            </w:r>
            <w:r w:rsidR="00B501B7" w:rsidRPr="00B44B19">
              <w:rPr>
                <w:rFonts w:eastAsia="Calibri" w:cs="Times New Roman"/>
                <w:sz w:val="16"/>
                <w:szCs w:val="16"/>
                <w:lang w:eastAsia="lt-LT" w:bidi="lt-LT"/>
              </w:rPr>
              <w:t>baigę dalyvauti</w:t>
            </w:r>
            <w:r w:rsidRPr="00B44B19">
              <w:rPr>
                <w:rFonts w:eastAsia="Calibri" w:cs="Times New Roman"/>
                <w:sz w:val="16"/>
                <w:szCs w:val="16"/>
                <w:lang w:eastAsia="lt-LT" w:bidi="lt-LT"/>
              </w:rPr>
              <w:t xml:space="preserve"> veiklose pradėjo mokytis, ieškoti darbo, pradėjo dirbti, įskaitant savarankišką darbą, dalis</w:t>
            </w:r>
          </w:p>
        </w:tc>
        <w:tc>
          <w:tcPr>
            <w:tcW w:w="328" w:type="pct"/>
          </w:tcPr>
          <w:p w14:paraId="1358CD7B"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50CFB622"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45</w:t>
            </w:r>
          </w:p>
        </w:tc>
        <w:tc>
          <w:tcPr>
            <w:tcW w:w="375" w:type="pct"/>
          </w:tcPr>
          <w:p w14:paraId="4B8B1702"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2020</w:t>
            </w:r>
          </w:p>
        </w:tc>
        <w:tc>
          <w:tcPr>
            <w:tcW w:w="375" w:type="pct"/>
          </w:tcPr>
          <w:p w14:paraId="31FE8DB5"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45</w:t>
            </w:r>
          </w:p>
        </w:tc>
        <w:tc>
          <w:tcPr>
            <w:tcW w:w="375" w:type="pct"/>
          </w:tcPr>
          <w:p w14:paraId="0D8F1466" w14:textId="77777777" w:rsidR="008327AE" w:rsidRPr="00B44B19" w:rsidRDefault="008327AE" w:rsidP="00595B07">
            <w:pPr>
              <w:spacing w:after="0" w:line="240" w:lineRule="auto"/>
              <w:jc w:val="both"/>
              <w:rPr>
                <w:rFonts w:cs="Times New Roman"/>
                <w:b/>
                <w:noProof/>
                <w:sz w:val="16"/>
                <w:szCs w:val="16"/>
              </w:rPr>
            </w:pPr>
            <w:r w:rsidRPr="00B44B19">
              <w:rPr>
                <w:rFonts w:cs="Times New Roman"/>
                <w:noProof/>
                <w:sz w:val="16"/>
                <w:szCs w:val="16"/>
              </w:rPr>
              <w:t>Projektų duomenys</w:t>
            </w:r>
          </w:p>
        </w:tc>
        <w:tc>
          <w:tcPr>
            <w:tcW w:w="370" w:type="pct"/>
          </w:tcPr>
          <w:p w14:paraId="450E5702"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0614627F" w14:textId="77777777" w:rsidTr="00595B07">
        <w:trPr>
          <w:trHeight w:val="577"/>
        </w:trPr>
        <w:tc>
          <w:tcPr>
            <w:tcW w:w="364" w:type="pct"/>
            <w:vMerge/>
          </w:tcPr>
          <w:p w14:paraId="1BA5B6DB"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3F64BB16"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166A186E" w14:textId="77777777" w:rsidR="008327AE" w:rsidRPr="00B44B19" w:rsidRDefault="008327AE" w:rsidP="00595B07">
            <w:pPr>
              <w:spacing w:after="0" w:line="240" w:lineRule="auto"/>
              <w:jc w:val="both"/>
              <w:rPr>
                <w:rFonts w:cs="Times New Roman"/>
                <w:noProof/>
                <w:sz w:val="16"/>
                <w:szCs w:val="16"/>
              </w:rPr>
            </w:pPr>
          </w:p>
        </w:tc>
        <w:tc>
          <w:tcPr>
            <w:tcW w:w="329" w:type="pct"/>
          </w:tcPr>
          <w:p w14:paraId="7F37FAD7"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219F03DE"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6C641591" w14:textId="77777777" w:rsidR="008327AE" w:rsidRPr="00B44B19" w:rsidRDefault="008327AE" w:rsidP="00B501B7">
            <w:pPr>
              <w:tabs>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Asmenų, kurie </w:t>
            </w:r>
            <w:r w:rsidR="00B501B7" w:rsidRPr="00B44B19">
              <w:rPr>
                <w:rFonts w:eastAsia="Calibri" w:cs="Times New Roman"/>
                <w:sz w:val="16"/>
                <w:szCs w:val="16"/>
                <w:lang w:eastAsia="lt-LT" w:bidi="lt-LT"/>
              </w:rPr>
              <w:t>baigę dalyvauti</w:t>
            </w:r>
            <w:r w:rsidRPr="00B44B19">
              <w:rPr>
                <w:rFonts w:eastAsia="Calibri" w:cs="Times New Roman"/>
                <w:sz w:val="16"/>
                <w:szCs w:val="16"/>
                <w:lang w:eastAsia="lt-LT" w:bidi="lt-LT"/>
              </w:rPr>
              <w:t xml:space="preserve"> veiklose pradėjo mokytis, ieškoti darbo,  pradėjo dirbti, įskaitant savarankišką darbą, dalis</w:t>
            </w:r>
          </w:p>
        </w:tc>
        <w:tc>
          <w:tcPr>
            <w:tcW w:w="328" w:type="pct"/>
          </w:tcPr>
          <w:p w14:paraId="569C452C" w14:textId="77777777" w:rsidR="008327AE" w:rsidRPr="00B44B19" w:rsidRDefault="008327AE" w:rsidP="00595B07">
            <w:pPr>
              <w:rPr>
                <w:rFonts w:cs="Times New Roman"/>
                <w:sz w:val="16"/>
                <w:szCs w:val="16"/>
              </w:rPr>
            </w:pPr>
            <w:r w:rsidRPr="00B44B19">
              <w:rPr>
                <w:rFonts w:cs="Times New Roman"/>
                <w:noProof/>
                <w:sz w:val="16"/>
                <w:szCs w:val="16"/>
              </w:rPr>
              <w:t>Procentai</w:t>
            </w:r>
          </w:p>
        </w:tc>
        <w:tc>
          <w:tcPr>
            <w:tcW w:w="328" w:type="pct"/>
          </w:tcPr>
          <w:p w14:paraId="44169F99"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45</w:t>
            </w:r>
          </w:p>
        </w:tc>
        <w:tc>
          <w:tcPr>
            <w:tcW w:w="375" w:type="pct"/>
          </w:tcPr>
          <w:p w14:paraId="32F578AA"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2020</w:t>
            </w:r>
          </w:p>
        </w:tc>
        <w:tc>
          <w:tcPr>
            <w:tcW w:w="375" w:type="pct"/>
          </w:tcPr>
          <w:p w14:paraId="0E22E18F"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45</w:t>
            </w:r>
          </w:p>
        </w:tc>
        <w:tc>
          <w:tcPr>
            <w:tcW w:w="375" w:type="pct"/>
          </w:tcPr>
          <w:p w14:paraId="6B33EF95" w14:textId="77777777" w:rsidR="008327AE" w:rsidRPr="00B44B19" w:rsidRDefault="008327AE" w:rsidP="00595B07">
            <w:pPr>
              <w:spacing w:after="0" w:line="240" w:lineRule="auto"/>
              <w:jc w:val="both"/>
              <w:rPr>
                <w:rFonts w:cs="Times New Roman"/>
                <w:b/>
                <w:noProof/>
                <w:sz w:val="16"/>
                <w:szCs w:val="16"/>
              </w:rPr>
            </w:pPr>
            <w:r w:rsidRPr="00B44B19">
              <w:rPr>
                <w:rFonts w:cs="Times New Roman"/>
                <w:noProof/>
                <w:sz w:val="16"/>
                <w:szCs w:val="16"/>
              </w:rPr>
              <w:t>Projektų duomenys</w:t>
            </w:r>
          </w:p>
        </w:tc>
        <w:tc>
          <w:tcPr>
            <w:tcW w:w="370" w:type="pct"/>
          </w:tcPr>
          <w:p w14:paraId="427B0FA7"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434215D0" w14:textId="77777777" w:rsidTr="00595B07">
        <w:trPr>
          <w:trHeight w:val="577"/>
        </w:trPr>
        <w:tc>
          <w:tcPr>
            <w:tcW w:w="364" w:type="pct"/>
            <w:vMerge/>
          </w:tcPr>
          <w:p w14:paraId="57135A08"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C71D214"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559515B1" w14:textId="77777777" w:rsidR="008327AE" w:rsidRPr="00B44B19" w:rsidRDefault="008327AE" w:rsidP="00595B07">
            <w:pPr>
              <w:spacing w:after="0" w:line="240" w:lineRule="auto"/>
              <w:jc w:val="both"/>
              <w:rPr>
                <w:rFonts w:cs="Times New Roman"/>
                <w:noProof/>
                <w:sz w:val="16"/>
                <w:szCs w:val="16"/>
              </w:rPr>
            </w:pPr>
          </w:p>
        </w:tc>
        <w:tc>
          <w:tcPr>
            <w:tcW w:w="329" w:type="pct"/>
          </w:tcPr>
          <w:p w14:paraId="536E0BA1"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3FC101A5"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6A68EED4" w14:textId="77777777" w:rsidR="008327AE" w:rsidRPr="00B44B19" w:rsidRDefault="008327AE" w:rsidP="00595B07">
            <w:pPr>
              <w:tabs>
                <w:tab w:val="left" w:pos="7560"/>
              </w:tabs>
              <w:spacing w:after="0" w:line="240" w:lineRule="auto"/>
              <w:rPr>
                <w:rFonts w:cs="Times New Roman"/>
                <w:b/>
                <w:noProof/>
                <w:sz w:val="16"/>
                <w:szCs w:val="16"/>
              </w:rPr>
            </w:pPr>
            <w:r w:rsidRPr="00B44B19">
              <w:rPr>
                <w:rFonts w:eastAsia="Calibri" w:cs="Times New Roman"/>
                <w:sz w:val="16"/>
                <w:szCs w:val="16"/>
                <w:lang w:eastAsia="lt-LT" w:bidi="lt-LT"/>
              </w:rPr>
              <w:t>Savivaldybės, kuriose įvyko teigiamas pokytis įtraukiant nevyriausybines ir bendruomenines organizacijas į socialinės srities viešųjų paslaugų teikimą</w:t>
            </w:r>
          </w:p>
        </w:tc>
        <w:tc>
          <w:tcPr>
            <w:tcW w:w="328" w:type="pct"/>
          </w:tcPr>
          <w:p w14:paraId="569F3DB1" w14:textId="77777777" w:rsidR="008327AE" w:rsidRPr="00B44B19" w:rsidRDefault="008327AE" w:rsidP="00595B07">
            <w:pPr>
              <w:spacing w:after="0" w:line="240" w:lineRule="auto"/>
              <w:jc w:val="both"/>
              <w:rPr>
                <w:rFonts w:eastAsia="Calibri" w:cs="Times New Roman"/>
                <w:sz w:val="16"/>
                <w:szCs w:val="16"/>
                <w:lang w:eastAsia="lt-LT" w:bidi="lt-LT"/>
              </w:rPr>
            </w:pPr>
            <w:r w:rsidRPr="00B44B19">
              <w:rPr>
                <w:rFonts w:cs="Times New Roman"/>
                <w:noProof/>
                <w:sz w:val="16"/>
                <w:szCs w:val="16"/>
              </w:rPr>
              <w:t>Skaičius</w:t>
            </w:r>
          </w:p>
        </w:tc>
        <w:tc>
          <w:tcPr>
            <w:tcW w:w="328" w:type="pct"/>
          </w:tcPr>
          <w:p w14:paraId="360E80C0"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56E0A3C"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2021</w:t>
            </w:r>
          </w:p>
        </w:tc>
        <w:tc>
          <w:tcPr>
            <w:tcW w:w="375" w:type="pct"/>
          </w:tcPr>
          <w:p w14:paraId="498B7A63"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w:t>
            </w:r>
          </w:p>
        </w:tc>
        <w:tc>
          <w:tcPr>
            <w:tcW w:w="375" w:type="pct"/>
          </w:tcPr>
          <w:p w14:paraId="06E2F299"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Apklausos duomenys</w:t>
            </w:r>
          </w:p>
        </w:tc>
        <w:tc>
          <w:tcPr>
            <w:tcW w:w="370" w:type="pct"/>
          </w:tcPr>
          <w:p w14:paraId="4B8187C3"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7D60E3F9" w14:textId="77777777" w:rsidTr="00595B07">
        <w:trPr>
          <w:trHeight w:val="577"/>
        </w:trPr>
        <w:tc>
          <w:tcPr>
            <w:tcW w:w="364" w:type="pct"/>
            <w:vMerge/>
          </w:tcPr>
          <w:p w14:paraId="594B9B76"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4497E1F9"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11C4DAB6" w14:textId="77777777" w:rsidR="008327AE" w:rsidRPr="00B44B19" w:rsidRDefault="008327AE" w:rsidP="00595B07">
            <w:pPr>
              <w:spacing w:after="0" w:line="240" w:lineRule="auto"/>
              <w:jc w:val="both"/>
              <w:rPr>
                <w:rFonts w:cs="Times New Roman"/>
                <w:noProof/>
                <w:sz w:val="16"/>
                <w:szCs w:val="16"/>
              </w:rPr>
            </w:pPr>
          </w:p>
        </w:tc>
        <w:tc>
          <w:tcPr>
            <w:tcW w:w="329" w:type="pct"/>
          </w:tcPr>
          <w:p w14:paraId="48073602"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57AFC5EA" w14:textId="77777777" w:rsidR="008327AE" w:rsidRPr="00B44B19" w:rsidRDefault="008327AE">
            <w:pPr>
              <w:rPr>
                <w:rFonts w:cs="Times New Roman"/>
                <w:sz w:val="16"/>
                <w:szCs w:val="16"/>
              </w:rPr>
            </w:pPr>
            <w:r w:rsidRPr="00B44B19">
              <w:rPr>
                <w:rFonts w:cs="Times New Roman"/>
                <w:sz w:val="16"/>
                <w:szCs w:val="16"/>
              </w:rPr>
              <w:t>Specialusis</w:t>
            </w:r>
          </w:p>
        </w:tc>
        <w:tc>
          <w:tcPr>
            <w:tcW w:w="1125" w:type="pct"/>
          </w:tcPr>
          <w:p w14:paraId="0D487E06" w14:textId="77777777" w:rsidR="008327AE" w:rsidRPr="00B44B19" w:rsidRDefault="008327AE" w:rsidP="00595B07">
            <w:pPr>
              <w:tabs>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Savivaldybės, kuriose įvyko teigiamas pokytis įtraukiant nevyriausybines ir bendruomenines organizacijas į socialinės srities viešųjų paslaugų teikimą</w:t>
            </w:r>
          </w:p>
        </w:tc>
        <w:tc>
          <w:tcPr>
            <w:tcW w:w="328" w:type="pct"/>
          </w:tcPr>
          <w:p w14:paraId="311761C1"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Skaičius</w:t>
            </w:r>
          </w:p>
        </w:tc>
        <w:tc>
          <w:tcPr>
            <w:tcW w:w="328" w:type="pct"/>
          </w:tcPr>
          <w:p w14:paraId="690DFE14"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8D944B8"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2021</w:t>
            </w:r>
          </w:p>
        </w:tc>
        <w:tc>
          <w:tcPr>
            <w:tcW w:w="375" w:type="pct"/>
          </w:tcPr>
          <w:p w14:paraId="222E1F90" w14:textId="77777777" w:rsidR="008327AE" w:rsidRPr="00B44B19" w:rsidRDefault="008327AE" w:rsidP="00595B07">
            <w:pPr>
              <w:spacing w:after="0" w:line="240" w:lineRule="auto"/>
              <w:jc w:val="center"/>
              <w:rPr>
                <w:rFonts w:cs="Times New Roman"/>
                <w:noProof/>
                <w:sz w:val="16"/>
                <w:szCs w:val="16"/>
              </w:rPr>
            </w:pPr>
            <w:r w:rsidRPr="00B44B19">
              <w:rPr>
                <w:rFonts w:cs="Times New Roman"/>
                <w:noProof/>
                <w:sz w:val="16"/>
                <w:szCs w:val="16"/>
              </w:rPr>
              <w:t>14</w:t>
            </w:r>
          </w:p>
        </w:tc>
        <w:tc>
          <w:tcPr>
            <w:tcW w:w="375" w:type="pct"/>
          </w:tcPr>
          <w:p w14:paraId="5E7D8D2F" w14:textId="77777777" w:rsidR="008327AE" w:rsidRPr="00B44B19" w:rsidRDefault="008327AE" w:rsidP="00595B07">
            <w:pPr>
              <w:spacing w:after="0" w:line="240" w:lineRule="auto"/>
              <w:jc w:val="both"/>
              <w:rPr>
                <w:rFonts w:cs="Times New Roman"/>
                <w:noProof/>
                <w:sz w:val="16"/>
                <w:szCs w:val="16"/>
              </w:rPr>
            </w:pPr>
            <w:r w:rsidRPr="00B44B19">
              <w:rPr>
                <w:rFonts w:cs="Times New Roman"/>
                <w:noProof/>
                <w:sz w:val="16"/>
                <w:szCs w:val="16"/>
              </w:rPr>
              <w:t>Apklausos duomenys</w:t>
            </w:r>
          </w:p>
        </w:tc>
        <w:tc>
          <w:tcPr>
            <w:tcW w:w="370" w:type="pct"/>
          </w:tcPr>
          <w:p w14:paraId="119E34EB"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29945543" w14:textId="77777777" w:rsidTr="00595B07">
        <w:trPr>
          <w:trHeight w:val="577"/>
        </w:trPr>
        <w:tc>
          <w:tcPr>
            <w:tcW w:w="364" w:type="pct"/>
            <w:vMerge/>
          </w:tcPr>
          <w:p w14:paraId="0916C80A"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4A04CF6B"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35962705" w14:textId="77777777" w:rsidR="008327AE" w:rsidRPr="00B44B19" w:rsidRDefault="008327AE" w:rsidP="00595B07">
            <w:pPr>
              <w:spacing w:after="0" w:line="240" w:lineRule="auto"/>
              <w:jc w:val="both"/>
              <w:rPr>
                <w:rFonts w:cs="Times New Roman"/>
                <w:noProof/>
                <w:sz w:val="16"/>
                <w:szCs w:val="16"/>
              </w:rPr>
            </w:pPr>
          </w:p>
        </w:tc>
        <w:tc>
          <w:tcPr>
            <w:tcW w:w="329" w:type="pct"/>
          </w:tcPr>
          <w:p w14:paraId="5C63BAEA"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79068383"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09F036FF"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Asmenų</w:t>
            </w:r>
            <w:r w:rsidR="008519F0" w:rsidRPr="00B44B19">
              <w:rPr>
                <w:rFonts w:cs="Times New Roman"/>
                <w:noProof/>
                <w:sz w:val="16"/>
                <w:szCs w:val="16"/>
              </w:rPr>
              <w:t>,</w:t>
            </w:r>
            <w:r w:rsidRPr="00B44B19">
              <w:rPr>
                <w:rFonts w:cs="Times New Roman"/>
                <w:noProof/>
                <w:sz w:val="16"/>
                <w:szCs w:val="16"/>
              </w:rPr>
              <w:t xml:space="preserve"> po dalyvavimo veiklose, pagerinusių sveikatos raštingumo kompetenciją, dalis</w:t>
            </w:r>
          </w:p>
        </w:tc>
        <w:tc>
          <w:tcPr>
            <w:tcW w:w="328" w:type="pct"/>
          </w:tcPr>
          <w:p w14:paraId="5F7A9898"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7D3CF5C0" w14:textId="77777777" w:rsidR="008327AE" w:rsidRPr="00B44B19" w:rsidRDefault="00A443B1" w:rsidP="008327AE">
            <w:pPr>
              <w:spacing w:before="120" w:after="120" w:line="240" w:lineRule="auto"/>
              <w:jc w:val="center"/>
              <w:rPr>
                <w:rFonts w:cs="Times New Roman"/>
                <w:noProof/>
                <w:sz w:val="16"/>
                <w:szCs w:val="16"/>
              </w:rPr>
            </w:pPr>
            <w:r w:rsidRPr="00B44B19">
              <w:rPr>
                <w:rFonts w:cs="Times New Roman"/>
                <w:noProof/>
                <w:sz w:val="16"/>
                <w:szCs w:val="16"/>
              </w:rPr>
              <w:t>75</w:t>
            </w:r>
          </w:p>
        </w:tc>
        <w:tc>
          <w:tcPr>
            <w:tcW w:w="375" w:type="pct"/>
          </w:tcPr>
          <w:p w14:paraId="26ACD497" w14:textId="77777777" w:rsidR="008327AE" w:rsidRPr="00B44B19" w:rsidRDefault="00A443B1" w:rsidP="008327AE">
            <w:pPr>
              <w:spacing w:before="120" w:after="120" w:line="240" w:lineRule="auto"/>
              <w:jc w:val="center"/>
              <w:rPr>
                <w:rFonts w:cs="Times New Roman"/>
                <w:noProof/>
                <w:sz w:val="16"/>
                <w:szCs w:val="16"/>
              </w:rPr>
            </w:pPr>
            <w:r w:rsidRPr="00B44B19">
              <w:rPr>
                <w:rFonts w:cs="Times New Roman"/>
                <w:noProof/>
                <w:sz w:val="16"/>
                <w:szCs w:val="16"/>
              </w:rPr>
              <w:t>2020</w:t>
            </w:r>
          </w:p>
        </w:tc>
        <w:tc>
          <w:tcPr>
            <w:tcW w:w="375" w:type="pct"/>
          </w:tcPr>
          <w:p w14:paraId="4F6478D9"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5C7D0E6C"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Projektų duomenys</w:t>
            </w:r>
          </w:p>
        </w:tc>
        <w:tc>
          <w:tcPr>
            <w:tcW w:w="370" w:type="pct"/>
          </w:tcPr>
          <w:p w14:paraId="449F2D29"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15C4B87" w14:textId="77777777" w:rsidTr="00595B07">
        <w:trPr>
          <w:trHeight w:val="577"/>
        </w:trPr>
        <w:tc>
          <w:tcPr>
            <w:tcW w:w="364" w:type="pct"/>
            <w:vMerge/>
          </w:tcPr>
          <w:p w14:paraId="3A97BD3D"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6A439517"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3DBB7B95" w14:textId="77777777" w:rsidR="008327AE" w:rsidRPr="00B44B19" w:rsidRDefault="008327AE" w:rsidP="00595B07">
            <w:pPr>
              <w:spacing w:after="0" w:line="240" w:lineRule="auto"/>
              <w:jc w:val="both"/>
              <w:rPr>
                <w:rFonts w:cs="Times New Roman"/>
                <w:noProof/>
                <w:sz w:val="16"/>
                <w:szCs w:val="16"/>
              </w:rPr>
            </w:pPr>
          </w:p>
        </w:tc>
        <w:tc>
          <w:tcPr>
            <w:tcW w:w="329" w:type="pct"/>
          </w:tcPr>
          <w:p w14:paraId="5C80D001"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54B89E23"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49979482"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Asmenų</w:t>
            </w:r>
            <w:r w:rsidR="008519F0" w:rsidRPr="00B44B19">
              <w:rPr>
                <w:rFonts w:cs="Times New Roman"/>
                <w:noProof/>
                <w:sz w:val="16"/>
                <w:szCs w:val="16"/>
              </w:rPr>
              <w:t>,</w:t>
            </w:r>
            <w:r w:rsidRPr="00B44B19">
              <w:rPr>
                <w:rFonts w:cs="Times New Roman"/>
                <w:noProof/>
                <w:sz w:val="16"/>
                <w:szCs w:val="16"/>
              </w:rPr>
              <w:t xml:space="preserve"> po dalyvavimo veiklose, pagerinusių sveikatos raštingumo kompetenciją, dalis</w:t>
            </w:r>
          </w:p>
        </w:tc>
        <w:tc>
          <w:tcPr>
            <w:tcW w:w="328" w:type="pct"/>
          </w:tcPr>
          <w:p w14:paraId="5729195D"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5EBEF254" w14:textId="77777777" w:rsidR="008327AE" w:rsidRPr="00B44B19" w:rsidRDefault="00A443B1" w:rsidP="008327AE">
            <w:pPr>
              <w:spacing w:before="120" w:after="120" w:line="240" w:lineRule="auto"/>
              <w:jc w:val="center"/>
              <w:rPr>
                <w:rFonts w:cs="Times New Roman"/>
                <w:noProof/>
                <w:sz w:val="16"/>
                <w:szCs w:val="16"/>
              </w:rPr>
            </w:pPr>
            <w:r w:rsidRPr="00B44B19">
              <w:rPr>
                <w:rFonts w:cs="Times New Roman"/>
                <w:noProof/>
                <w:sz w:val="16"/>
                <w:szCs w:val="16"/>
              </w:rPr>
              <w:t>75</w:t>
            </w:r>
          </w:p>
        </w:tc>
        <w:tc>
          <w:tcPr>
            <w:tcW w:w="375" w:type="pct"/>
          </w:tcPr>
          <w:p w14:paraId="5E636FC8" w14:textId="77777777" w:rsidR="008327AE" w:rsidRPr="00B44B19" w:rsidRDefault="00A443B1" w:rsidP="008327AE">
            <w:pPr>
              <w:spacing w:before="120" w:after="120" w:line="240" w:lineRule="auto"/>
              <w:jc w:val="center"/>
              <w:rPr>
                <w:rFonts w:cs="Times New Roman"/>
                <w:noProof/>
                <w:sz w:val="16"/>
                <w:szCs w:val="16"/>
              </w:rPr>
            </w:pPr>
            <w:r w:rsidRPr="00B44B19">
              <w:rPr>
                <w:rFonts w:cs="Times New Roman"/>
                <w:noProof/>
                <w:sz w:val="16"/>
                <w:szCs w:val="16"/>
              </w:rPr>
              <w:t>2020</w:t>
            </w:r>
          </w:p>
        </w:tc>
        <w:tc>
          <w:tcPr>
            <w:tcW w:w="375" w:type="pct"/>
          </w:tcPr>
          <w:p w14:paraId="27C441BF"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2F1AFA0E" w14:textId="77777777" w:rsidR="008327AE" w:rsidRPr="00B44B19" w:rsidRDefault="008327AE" w:rsidP="008327AE">
            <w:pPr>
              <w:spacing w:after="0" w:line="240" w:lineRule="auto"/>
              <w:rPr>
                <w:rFonts w:cs="Times New Roman"/>
              </w:rPr>
            </w:pPr>
            <w:r w:rsidRPr="00B44B19">
              <w:rPr>
                <w:rFonts w:cs="Times New Roman"/>
                <w:noProof/>
                <w:sz w:val="16"/>
                <w:szCs w:val="16"/>
              </w:rPr>
              <w:t>Projektų duomenys</w:t>
            </w:r>
          </w:p>
        </w:tc>
        <w:tc>
          <w:tcPr>
            <w:tcW w:w="370" w:type="pct"/>
          </w:tcPr>
          <w:p w14:paraId="38F7B15F"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F8F3A28" w14:textId="77777777" w:rsidTr="00595B07">
        <w:trPr>
          <w:trHeight w:val="577"/>
        </w:trPr>
        <w:tc>
          <w:tcPr>
            <w:tcW w:w="364" w:type="pct"/>
            <w:vMerge/>
          </w:tcPr>
          <w:p w14:paraId="1CCA2E7F"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366774F"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5CFBDBE0" w14:textId="77777777" w:rsidR="008327AE" w:rsidRPr="00B44B19" w:rsidRDefault="008327AE" w:rsidP="00595B07">
            <w:pPr>
              <w:spacing w:after="0" w:line="240" w:lineRule="auto"/>
              <w:jc w:val="both"/>
              <w:rPr>
                <w:rFonts w:cs="Times New Roman"/>
                <w:noProof/>
                <w:sz w:val="16"/>
                <w:szCs w:val="16"/>
              </w:rPr>
            </w:pPr>
          </w:p>
        </w:tc>
        <w:tc>
          <w:tcPr>
            <w:tcW w:w="329" w:type="pct"/>
          </w:tcPr>
          <w:p w14:paraId="452F19D5"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3AFEEB14"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608D2AEA"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Specialistų, po dalyvavimo veiklose įgijusių / patobulinusių kvalifikaciją, dalis</w:t>
            </w:r>
          </w:p>
        </w:tc>
        <w:tc>
          <w:tcPr>
            <w:tcW w:w="328" w:type="pct"/>
          </w:tcPr>
          <w:p w14:paraId="22B44C3E"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79DDBC50" w14:textId="77777777" w:rsidR="008327AE" w:rsidRPr="00B44B19" w:rsidRDefault="005359DA" w:rsidP="008327AE">
            <w:pPr>
              <w:spacing w:before="120" w:after="120" w:line="240" w:lineRule="auto"/>
              <w:jc w:val="center"/>
              <w:rPr>
                <w:rFonts w:cs="Times New Roman"/>
                <w:noProof/>
                <w:sz w:val="16"/>
                <w:szCs w:val="16"/>
              </w:rPr>
            </w:pPr>
            <w:r w:rsidRPr="00B44B19">
              <w:rPr>
                <w:rFonts w:cs="Times New Roman"/>
                <w:noProof/>
                <w:sz w:val="16"/>
                <w:szCs w:val="16"/>
              </w:rPr>
              <w:t>38</w:t>
            </w:r>
          </w:p>
        </w:tc>
        <w:tc>
          <w:tcPr>
            <w:tcW w:w="375" w:type="pct"/>
          </w:tcPr>
          <w:p w14:paraId="4A8E4871"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4F7DE8CC"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90</w:t>
            </w:r>
          </w:p>
        </w:tc>
        <w:tc>
          <w:tcPr>
            <w:tcW w:w="375" w:type="pct"/>
          </w:tcPr>
          <w:p w14:paraId="2C58BA78" w14:textId="77777777" w:rsidR="008327AE" w:rsidRPr="00B44B19" w:rsidRDefault="008327AE" w:rsidP="008327AE">
            <w:pPr>
              <w:spacing w:after="0" w:line="240" w:lineRule="auto"/>
              <w:rPr>
                <w:rFonts w:cs="Times New Roman"/>
              </w:rPr>
            </w:pPr>
            <w:r w:rsidRPr="00B44B19">
              <w:rPr>
                <w:rFonts w:cs="Times New Roman"/>
                <w:noProof/>
                <w:sz w:val="16"/>
                <w:szCs w:val="16"/>
              </w:rPr>
              <w:t>Projektų duomenys</w:t>
            </w:r>
          </w:p>
        </w:tc>
        <w:tc>
          <w:tcPr>
            <w:tcW w:w="370" w:type="pct"/>
          </w:tcPr>
          <w:p w14:paraId="62F657B2"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16111F4" w14:textId="77777777" w:rsidTr="00595B07">
        <w:trPr>
          <w:trHeight w:val="577"/>
        </w:trPr>
        <w:tc>
          <w:tcPr>
            <w:tcW w:w="364" w:type="pct"/>
            <w:vMerge/>
          </w:tcPr>
          <w:p w14:paraId="54B6D8FC"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05AF2E31"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2C8BBDD5" w14:textId="77777777" w:rsidR="008327AE" w:rsidRPr="00B44B19" w:rsidRDefault="008327AE" w:rsidP="00595B07">
            <w:pPr>
              <w:spacing w:after="0" w:line="240" w:lineRule="auto"/>
              <w:jc w:val="both"/>
              <w:rPr>
                <w:rFonts w:cs="Times New Roman"/>
                <w:noProof/>
                <w:sz w:val="16"/>
                <w:szCs w:val="16"/>
              </w:rPr>
            </w:pPr>
          </w:p>
        </w:tc>
        <w:tc>
          <w:tcPr>
            <w:tcW w:w="329" w:type="pct"/>
          </w:tcPr>
          <w:p w14:paraId="07FE586B"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4392B1A6"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6DB610A8"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Specialistų, po dalyvavimo veiklose įgijusių / patobulinusių  kvalifikaciją, dalis</w:t>
            </w:r>
          </w:p>
        </w:tc>
        <w:tc>
          <w:tcPr>
            <w:tcW w:w="328" w:type="pct"/>
          </w:tcPr>
          <w:p w14:paraId="7CA9F7AF"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1F90021E" w14:textId="77777777" w:rsidR="008327AE" w:rsidRPr="00B44B19" w:rsidRDefault="005359DA" w:rsidP="008327AE">
            <w:pPr>
              <w:spacing w:before="120" w:after="120" w:line="240" w:lineRule="auto"/>
              <w:jc w:val="center"/>
              <w:rPr>
                <w:rFonts w:cs="Times New Roman"/>
                <w:noProof/>
                <w:sz w:val="16"/>
                <w:szCs w:val="16"/>
              </w:rPr>
            </w:pPr>
            <w:r w:rsidRPr="00B44B19">
              <w:rPr>
                <w:rFonts w:cs="Times New Roman"/>
                <w:noProof/>
                <w:sz w:val="16"/>
                <w:szCs w:val="16"/>
              </w:rPr>
              <w:t>38</w:t>
            </w:r>
          </w:p>
        </w:tc>
        <w:tc>
          <w:tcPr>
            <w:tcW w:w="375" w:type="pct"/>
          </w:tcPr>
          <w:p w14:paraId="72ADF104"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16042888"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90</w:t>
            </w:r>
          </w:p>
        </w:tc>
        <w:tc>
          <w:tcPr>
            <w:tcW w:w="375" w:type="pct"/>
          </w:tcPr>
          <w:p w14:paraId="3893A979" w14:textId="77777777" w:rsidR="008327AE" w:rsidRPr="00B44B19" w:rsidRDefault="008327AE" w:rsidP="008327AE">
            <w:pPr>
              <w:spacing w:after="0" w:line="240" w:lineRule="auto"/>
              <w:rPr>
                <w:rFonts w:cs="Times New Roman"/>
              </w:rPr>
            </w:pPr>
            <w:r w:rsidRPr="00B44B19">
              <w:rPr>
                <w:rFonts w:cs="Times New Roman"/>
                <w:noProof/>
                <w:sz w:val="16"/>
                <w:szCs w:val="16"/>
              </w:rPr>
              <w:t>Projektų duomenys</w:t>
            </w:r>
          </w:p>
        </w:tc>
        <w:tc>
          <w:tcPr>
            <w:tcW w:w="370" w:type="pct"/>
          </w:tcPr>
          <w:p w14:paraId="13D9460D"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BD9CC1C" w14:textId="77777777" w:rsidTr="00595B07">
        <w:trPr>
          <w:trHeight w:val="577"/>
        </w:trPr>
        <w:tc>
          <w:tcPr>
            <w:tcW w:w="364" w:type="pct"/>
            <w:vMerge/>
          </w:tcPr>
          <w:p w14:paraId="53FA7E14"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4BC3A732"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2BF21284" w14:textId="77777777" w:rsidR="008327AE" w:rsidRPr="00B44B19" w:rsidRDefault="008327AE" w:rsidP="00595B07">
            <w:pPr>
              <w:spacing w:after="0" w:line="240" w:lineRule="auto"/>
              <w:jc w:val="both"/>
              <w:rPr>
                <w:rFonts w:cs="Times New Roman"/>
                <w:noProof/>
                <w:sz w:val="16"/>
                <w:szCs w:val="16"/>
              </w:rPr>
            </w:pPr>
          </w:p>
        </w:tc>
        <w:tc>
          <w:tcPr>
            <w:tcW w:w="329" w:type="pct"/>
          </w:tcPr>
          <w:p w14:paraId="00BD1445" w14:textId="77777777" w:rsidR="008327AE" w:rsidRPr="00B44B19" w:rsidRDefault="008327AE" w:rsidP="008327AE">
            <w:pPr>
              <w:spacing w:after="0" w:line="240" w:lineRule="auto"/>
              <w:jc w:val="both"/>
              <w:rPr>
                <w:rFonts w:cs="Times New Roman"/>
                <w:noProof/>
                <w:sz w:val="16"/>
                <w:szCs w:val="16"/>
              </w:rPr>
            </w:pPr>
            <w:r w:rsidRPr="00B44B19">
              <w:rPr>
                <w:rFonts w:cs="Times New Roman"/>
                <w:sz w:val="16"/>
                <w:szCs w:val="16"/>
              </w:rPr>
              <w:t>Sostinės regionas</w:t>
            </w:r>
          </w:p>
        </w:tc>
        <w:tc>
          <w:tcPr>
            <w:tcW w:w="422" w:type="pct"/>
          </w:tcPr>
          <w:p w14:paraId="70BF4506"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74C7EC97"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Psichosocialinę negalią turinčių vaikų šeimos narių / globėjų pasitenkinimas gautomis paslaugomis</w:t>
            </w:r>
          </w:p>
        </w:tc>
        <w:tc>
          <w:tcPr>
            <w:tcW w:w="328" w:type="pct"/>
          </w:tcPr>
          <w:p w14:paraId="34CC5A83"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1EB91E98"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0</w:t>
            </w:r>
          </w:p>
        </w:tc>
        <w:tc>
          <w:tcPr>
            <w:tcW w:w="375" w:type="pct"/>
          </w:tcPr>
          <w:p w14:paraId="3ED7803D"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6C5F87E3"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40</w:t>
            </w:r>
          </w:p>
        </w:tc>
        <w:tc>
          <w:tcPr>
            <w:tcW w:w="375" w:type="pct"/>
          </w:tcPr>
          <w:p w14:paraId="27ED069A"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4B231497"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045A5BC3" w14:textId="77777777" w:rsidTr="00595B07">
        <w:trPr>
          <w:trHeight w:val="577"/>
        </w:trPr>
        <w:tc>
          <w:tcPr>
            <w:tcW w:w="364" w:type="pct"/>
            <w:vMerge/>
          </w:tcPr>
          <w:p w14:paraId="0D780D31"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519EBB0F"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517B195F" w14:textId="77777777" w:rsidR="008327AE" w:rsidRPr="00B44B19" w:rsidRDefault="008327AE" w:rsidP="00595B07">
            <w:pPr>
              <w:spacing w:after="0" w:line="240" w:lineRule="auto"/>
              <w:jc w:val="both"/>
              <w:rPr>
                <w:rFonts w:cs="Times New Roman"/>
                <w:noProof/>
                <w:sz w:val="16"/>
                <w:szCs w:val="16"/>
              </w:rPr>
            </w:pPr>
          </w:p>
        </w:tc>
        <w:tc>
          <w:tcPr>
            <w:tcW w:w="329" w:type="pct"/>
          </w:tcPr>
          <w:p w14:paraId="7A893311" w14:textId="77777777" w:rsidR="008327AE" w:rsidRPr="00B44B19" w:rsidRDefault="008327AE" w:rsidP="008327AE">
            <w:pPr>
              <w:spacing w:after="0" w:line="240" w:lineRule="auto"/>
              <w:jc w:val="both"/>
              <w:rPr>
                <w:rFonts w:cs="Times New Roman"/>
                <w:noProof/>
                <w:sz w:val="16"/>
                <w:szCs w:val="16"/>
              </w:rPr>
            </w:pPr>
            <w:r w:rsidRPr="00B44B19">
              <w:rPr>
                <w:rFonts w:cs="Times New Roman"/>
                <w:sz w:val="16"/>
                <w:szCs w:val="16"/>
              </w:rPr>
              <w:t>VVL regionas</w:t>
            </w:r>
          </w:p>
        </w:tc>
        <w:tc>
          <w:tcPr>
            <w:tcW w:w="422" w:type="pct"/>
          </w:tcPr>
          <w:p w14:paraId="7C79000B"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4903A35A"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Psichosocialinę negalią turinčių vaikų šeimos narių / globėjų pasitenkinimas gautomis paslaugomis</w:t>
            </w:r>
          </w:p>
        </w:tc>
        <w:tc>
          <w:tcPr>
            <w:tcW w:w="328" w:type="pct"/>
          </w:tcPr>
          <w:p w14:paraId="2B9E8931"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7C01D9F0"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0</w:t>
            </w:r>
          </w:p>
        </w:tc>
        <w:tc>
          <w:tcPr>
            <w:tcW w:w="375" w:type="pct"/>
          </w:tcPr>
          <w:p w14:paraId="6E12D4C7"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6379DB97"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40</w:t>
            </w:r>
          </w:p>
        </w:tc>
        <w:tc>
          <w:tcPr>
            <w:tcW w:w="375" w:type="pct"/>
          </w:tcPr>
          <w:p w14:paraId="54EA0F17"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3251BA07"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7F952415" w14:textId="77777777" w:rsidTr="00595B07">
        <w:trPr>
          <w:trHeight w:val="577"/>
        </w:trPr>
        <w:tc>
          <w:tcPr>
            <w:tcW w:w="364" w:type="pct"/>
            <w:vMerge/>
          </w:tcPr>
          <w:p w14:paraId="197F0AAE"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39C96996"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7EE4780E" w14:textId="77777777" w:rsidR="008327AE" w:rsidRPr="00B44B19" w:rsidRDefault="008327AE" w:rsidP="00595B07">
            <w:pPr>
              <w:spacing w:after="0" w:line="240" w:lineRule="auto"/>
              <w:jc w:val="both"/>
              <w:rPr>
                <w:rFonts w:cs="Times New Roman"/>
                <w:noProof/>
                <w:sz w:val="16"/>
                <w:szCs w:val="16"/>
              </w:rPr>
            </w:pPr>
          </w:p>
        </w:tc>
        <w:tc>
          <w:tcPr>
            <w:tcW w:w="329" w:type="pct"/>
          </w:tcPr>
          <w:p w14:paraId="1DDEA5C0" w14:textId="77777777" w:rsidR="008327AE" w:rsidRPr="00B44B19" w:rsidRDefault="008327AE" w:rsidP="008327AE">
            <w:pPr>
              <w:spacing w:after="0" w:line="240" w:lineRule="auto"/>
              <w:jc w:val="both"/>
              <w:rPr>
                <w:rFonts w:cs="Times New Roman"/>
                <w:noProof/>
                <w:sz w:val="16"/>
                <w:szCs w:val="16"/>
              </w:rPr>
            </w:pPr>
            <w:r w:rsidRPr="00B44B19">
              <w:rPr>
                <w:rFonts w:cs="Times New Roman"/>
                <w:sz w:val="16"/>
                <w:szCs w:val="16"/>
              </w:rPr>
              <w:t>Sostinės regionas</w:t>
            </w:r>
          </w:p>
        </w:tc>
        <w:tc>
          <w:tcPr>
            <w:tcW w:w="422" w:type="pct"/>
          </w:tcPr>
          <w:p w14:paraId="0189898D"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146E8EB0"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Asmenų, palankiai vertinančių visuomenės sveikatos priežiūros paslaugų kokybę, dalis</w:t>
            </w:r>
          </w:p>
        </w:tc>
        <w:tc>
          <w:tcPr>
            <w:tcW w:w="328" w:type="pct"/>
          </w:tcPr>
          <w:p w14:paraId="7064ACB5"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61429EFD" w14:textId="77777777" w:rsidR="008327AE" w:rsidRPr="00B44B19" w:rsidRDefault="00C31392" w:rsidP="008327AE">
            <w:pPr>
              <w:spacing w:before="120" w:after="120" w:line="240" w:lineRule="auto"/>
              <w:jc w:val="center"/>
              <w:rPr>
                <w:rFonts w:cs="Times New Roman"/>
                <w:noProof/>
                <w:sz w:val="16"/>
                <w:szCs w:val="16"/>
              </w:rPr>
            </w:pPr>
            <w:r w:rsidRPr="00B44B19">
              <w:rPr>
                <w:rFonts w:cs="Times New Roman"/>
                <w:noProof/>
                <w:sz w:val="16"/>
                <w:szCs w:val="16"/>
              </w:rPr>
              <w:t>58</w:t>
            </w:r>
          </w:p>
        </w:tc>
        <w:tc>
          <w:tcPr>
            <w:tcW w:w="375" w:type="pct"/>
          </w:tcPr>
          <w:p w14:paraId="53DA427A" w14:textId="77777777" w:rsidR="008327AE" w:rsidRPr="00B44B19" w:rsidRDefault="00D11CC2" w:rsidP="008327AE">
            <w:pPr>
              <w:spacing w:before="120" w:after="120" w:line="240" w:lineRule="auto"/>
              <w:jc w:val="center"/>
              <w:rPr>
                <w:rFonts w:cs="Times New Roman"/>
                <w:noProof/>
                <w:sz w:val="16"/>
                <w:szCs w:val="16"/>
              </w:rPr>
            </w:pPr>
            <w:r w:rsidRPr="00B44B19">
              <w:rPr>
                <w:rFonts w:cs="Times New Roman"/>
                <w:noProof/>
                <w:sz w:val="16"/>
                <w:szCs w:val="16"/>
              </w:rPr>
              <w:t>2018</w:t>
            </w:r>
          </w:p>
        </w:tc>
        <w:tc>
          <w:tcPr>
            <w:tcW w:w="375" w:type="pct"/>
          </w:tcPr>
          <w:p w14:paraId="773511BE"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49F6948B"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13AD6F57"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26CDD684" w14:textId="77777777" w:rsidTr="00595B07">
        <w:trPr>
          <w:trHeight w:val="577"/>
        </w:trPr>
        <w:tc>
          <w:tcPr>
            <w:tcW w:w="364" w:type="pct"/>
            <w:vMerge/>
          </w:tcPr>
          <w:p w14:paraId="179644C6"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7AD91F3E"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76907A04" w14:textId="77777777" w:rsidR="008327AE" w:rsidRPr="00B44B19" w:rsidRDefault="008327AE" w:rsidP="00595B07">
            <w:pPr>
              <w:spacing w:after="0" w:line="240" w:lineRule="auto"/>
              <w:jc w:val="both"/>
              <w:rPr>
                <w:rFonts w:cs="Times New Roman"/>
                <w:noProof/>
                <w:sz w:val="16"/>
                <w:szCs w:val="16"/>
              </w:rPr>
            </w:pPr>
          </w:p>
        </w:tc>
        <w:tc>
          <w:tcPr>
            <w:tcW w:w="329" w:type="pct"/>
          </w:tcPr>
          <w:p w14:paraId="1FA5EC42" w14:textId="77777777" w:rsidR="008327AE" w:rsidRPr="00B44B19" w:rsidRDefault="008327AE" w:rsidP="008327AE">
            <w:pPr>
              <w:spacing w:after="0" w:line="240" w:lineRule="auto"/>
              <w:jc w:val="both"/>
              <w:rPr>
                <w:rFonts w:cs="Times New Roman"/>
                <w:noProof/>
                <w:sz w:val="16"/>
                <w:szCs w:val="16"/>
              </w:rPr>
            </w:pPr>
            <w:r w:rsidRPr="00B44B19">
              <w:rPr>
                <w:rFonts w:cs="Times New Roman"/>
                <w:sz w:val="16"/>
                <w:szCs w:val="16"/>
              </w:rPr>
              <w:t>VVL regionas</w:t>
            </w:r>
          </w:p>
        </w:tc>
        <w:tc>
          <w:tcPr>
            <w:tcW w:w="422" w:type="pct"/>
          </w:tcPr>
          <w:p w14:paraId="3B655CBE"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3AA3CAC7"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Asmenų, palankiai vertinančių visuomenės sveikatos priežiūros paslaugų kokybę, dalis</w:t>
            </w:r>
          </w:p>
        </w:tc>
        <w:tc>
          <w:tcPr>
            <w:tcW w:w="328" w:type="pct"/>
          </w:tcPr>
          <w:p w14:paraId="38A70165"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79ED5601" w14:textId="77777777" w:rsidR="008327AE" w:rsidRPr="00B44B19" w:rsidRDefault="00C31392" w:rsidP="008327AE">
            <w:pPr>
              <w:spacing w:before="120" w:after="120" w:line="240" w:lineRule="auto"/>
              <w:jc w:val="center"/>
              <w:rPr>
                <w:rFonts w:cs="Times New Roman"/>
                <w:noProof/>
                <w:sz w:val="16"/>
                <w:szCs w:val="16"/>
              </w:rPr>
            </w:pPr>
            <w:r w:rsidRPr="00B44B19">
              <w:rPr>
                <w:rFonts w:cs="Times New Roman"/>
                <w:noProof/>
                <w:sz w:val="16"/>
                <w:szCs w:val="16"/>
              </w:rPr>
              <w:t>58</w:t>
            </w:r>
          </w:p>
        </w:tc>
        <w:tc>
          <w:tcPr>
            <w:tcW w:w="375" w:type="pct"/>
          </w:tcPr>
          <w:p w14:paraId="21096E29" w14:textId="77777777" w:rsidR="008327AE" w:rsidRPr="00B44B19" w:rsidRDefault="00D11CC2" w:rsidP="008327AE">
            <w:pPr>
              <w:spacing w:before="120" w:after="120" w:line="240" w:lineRule="auto"/>
              <w:jc w:val="center"/>
              <w:rPr>
                <w:rFonts w:cs="Times New Roman"/>
                <w:noProof/>
                <w:sz w:val="16"/>
                <w:szCs w:val="16"/>
              </w:rPr>
            </w:pPr>
            <w:r w:rsidRPr="00B44B19">
              <w:rPr>
                <w:rFonts w:cs="Times New Roman"/>
                <w:noProof/>
                <w:sz w:val="16"/>
                <w:szCs w:val="16"/>
              </w:rPr>
              <w:t>2018</w:t>
            </w:r>
          </w:p>
        </w:tc>
        <w:tc>
          <w:tcPr>
            <w:tcW w:w="375" w:type="pct"/>
          </w:tcPr>
          <w:p w14:paraId="01D3CFDF"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35DA6199"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15DEFE48"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01B6D858" w14:textId="77777777" w:rsidTr="00595B07">
        <w:trPr>
          <w:trHeight w:val="577"/>
        </w:trPr>
        <w:tc>
          <w:tcPr>
            <w:tcW w:w="364" w:type="pct"/>
            <w:vMerge/>
          </w:tcPr>
          <w:p w14:paraId="41AB4EEF"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63FFFD84"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6EAD90DC" w14:textId="77777777" w:rsidR="008327AE" w:rsidRPr="00B44B19" w:rsidRDefault="008327AE" w:rsidP="00595B07">
            <w:pPr>
              <w:spacing w:after="0" w:line="240" w:lineRule="auto"/>
              <w:jc w:val="both"/>
              <w:rPr>
                <w:rFonts w:cs="Times New Roman"/>
                <w:noProof/>
                <w:sz w:val="16"/>
                <w:szCs w:val="16"/>
              </w:rPr>
            </w:pPr>
          </w:p>
        </w:tc>
        <w:tc>
          <w:tcPr>
            <w:tcW w:w="329" w:type="pct"/>
          </w:tcPr>
          <w:p w14:paraId="139B34F2"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444AE67B"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0878C9DD"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Asmenų, teigusių, kad pagerėjo jų gyvenimo kokybė po dalyvavimo veiklose, skirtose savarankiškam lėtinės ligos valdymui, dalis</w:t>
            </w:r>
          </w:p>
        </w:tc>
        <w:tc>
          <w:tcPr>
            <w:tcW w:w="328" w:type="pct"/>
          </w:tcPr>
          <w:p w14:paraId="1CE4DA36"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Procentas</w:t>
            </w:r>
          </w:p>
        </w:tc>
        <w:tc>
          <w:tcPr>
            <w:tcW w:w="328" w:type="pct"/>
          </w:tcPr>
          <w:p w14:paraId="12940291"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0</w:t>
            </w:r>
          </w:p>
        </w:tc>
        <w:tc>
          <w:tcPr>
            <w:tcW w:w="375" w:type="pct"/>
          </w:tcPr>
          <w:p w14:paraId="533329F3"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6CDD2EBC"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70</w:t>
            </w:r>
          </w:p>
        </w:tc>
        <w:tc>
          <w:tcPr>
            <w:tcW w:w="375" w:type="pct"/>
          </w:tcPr>
          <w:p w14:paraId="7C56CBDE"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28D8014E"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45D19D1" w14:textId="77777777" w:rsidTr="00595B07">
        <w:trPr>
          <w:trHeight w:val="577"/>
        </w:trPr>
        <w:tc>
          <w:tcPr>
            <w:tcW w:w="364" w:type="pct"/>
            <w:vMerge/>
          </w:tcPr>
          <w:p w14:paraId="5E9654A0"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483961DB"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5C6BF655" w14:textId="77777777" w:rsidR="008327AE" w:rsidRPr="00B44B19" w:rsidRDefault="008327AE" w:rsidP="00595B07">
            <w:pPr>
              <w:spacing w:after="0" w:line="240" w:lineRule="auto"/>
              <w:jc w:val="both"/>
              <w:rPr>
                <w:rFonts w:cs="Times New Roman"/>
                <w:noProof/>
                <w:sz w:val="16"/>
                <w:szCs w:val="16"/>
              </w:rPr>
            </w:pPr>
          </w:p>
        </w:tc>
        <w:tc>
          <w:tcPr>
            <w:tcW w:w="329" w:type="pct"/>
          </w:tcPr>
          <w:p w14:paraId="34D60AAC"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126442A0"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2B5CBB4F"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Tikslinių grupių asmenų, kurių gyvenimo kokybė pagerėjo gavus naujas ar patobulintas psichikos sveikatos priežiūros paslaugas, dalis</w:t>
            </w:r>
          </w:p>
        </w:tc>
        <w:tc>
          <w:tcPr>
            <w:tcW w:w="328" w:type="pct"/>
          </w:tcPr>
          <w:p w14:paraId="1F8A8E9B"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218DA009"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0</w:t>
            </w:r>
          </w:p>
        </w:tc>
        <w:tc>
          <w:tcPr>
            <w:tcW w:w="375" w:type="pct"/>
          </w:tcPr>
          <w:p w14:paraId="514136EF"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4DE55B78"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25</w:t>
            </w:r>
          </w:p>
        </w:tc>
        <w:tc>
          <w:tcPr>
            <w:tcW w:w="375" w:type="pct"/>
          </w:tcPr>
          <w:p w14:paraId="72F2F2F7"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6D5FEEE8"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4E4F0D55" w14:textId="77777777" w:rsidTr="00595B07">
        <w:trPr>
          <w:trHeight w:val="577"/>
        </w:trPr>
        <w:tc>
          <w:tcPr>
            <w:tcW w:w="364" w:type="pct"/>
            <w:vMerge/>
          </w:tcPr>
          <w:p w14:paraId="52B4312E"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65CF8BC6"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66321181" w14:textId="77777777" w:rsidR="008327AE" w:rsidRPr="00B44B19" w:rsidRDefault="008327AE" w:rsidP="00595B07">
            <w:pPr>
              <w:spacing w:after="0" w:line="240" w:lineRule="auto"/>
              <w:jc w:val="both"/>
              <w:rPr>
                <w:rFonts w:cs="Times New Roman"/>
                <w:noProof/>
                <w:sz w:val="16"/>
                <w:szCs w:val="16"/>
              </w:rPr>
            </w:pPr>
          </w:p>
        </w:tc>
        <w:tc>
          <w:tcPr>
            <w:tcW w:w="329" w:type="pct"/>
          </w:tcPr>
          <w:p w14:paraId="29D67541"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235D0DF7"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43ED7DEB"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Pacientų pasitenkinimas gautomis paslaugomis</w:t>
            </w:r>
          </w:p>
        </w:tc>
        <w:tc>
          <w:tcPr>
            <w:tcW w:w="328" w:type="pct"/>
          </w:tcPr>
          <w:p w14:paraId="09047B43"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0BF9797B" w14:textId="77777777" w:rsidR="008327AE" w:rsidRPr="00B44B19" w:rsidRDefault="00E65905" w:rsidP="008327AE">
            <w:pPr>
              <w:spacing w:before="120" w:after="120" w:line="240" w:lineRule="auto"/>
              <w:jc w:val="center"/>
              <w:rPr>
                <w:rFonts w:cs="Times New Roman"/>
                <w:noProof/>
                <w:sz w:val="16"/>
                <w:szCs w:val="16"/>
              </w:rPr>
            </w:pPr>
            <w:r w:rsidRPr="00B44B19">
              <w:rPr>
                <w:rFonts w:cs="Times New Roman"/>
                <w:noProof/>
                <w:sz w:val="16"/>
                <w:szCs w:val="16"/>
              </w:rPr>
              <w:t>56</w:t>
            </w:r>
          </w:p>
        </w:tc>
        <w:tc>
          <w:tcPr>
            <w:tcW w:w="375" w:type="pct"/>
          </w:tcPr>
          <w:p w14:paraId="7CB629BD" w14:textId="77777777" w:rsidR="008327AE" w:rsidRPr="00B44B19" w:rsidRDefault="003C3611" w:rsidP="008327AE">
            <w:pPr>
              <w:spacing w:before="120" w:after="120" w:line="240" w:lineRule="auto"/>
              <w:jc w:val="center"/>
              <w:rPr>
                <w:rFonts w:cs="Times New Roman"/>
                <w:noProof/>
                <w:sz w:val="16"/>
                <w:szCs w:val="16"/>
              </w:rPr>
            </w:pPr>
            <w:r w:rsidRPr="00B44B19">
              <w:rPr>
                <w:rFonts w:cs="Times New Roman"/>
                <w:noProof/>
                <w:sz w:val="16"/>
                <w:szCs w:val="16"/>
              </w:rPr>
              <w:t>2020</w:t>
            </w:r>
          </w:p>
        </w:tc>
        <w:tc>
          <w:tcPr>
            <w:tcW w:w="375" w:type="pct"/>
          </w:tcPr>
          <w:p w14:paraId="736C317E"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70</w:t>
            </w:r>
          </w:p>
        </w:tc>
        <w:tc>
          <w:tcPr>
            <w:tcW w:w="375" w:type="pct"/>
          </w:tcPr>
          <w:p w14:paraId="18B3961A"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3C922981"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DF262E7" w14:textId="77777777" w:rsidTr="00595B07">
        <w:trPr>
          <w:trHeight w:val="577"/>
        </w:trPr>
        <w:tc>
          <w:tcPr>
            <w:tcW w:w="364" w:type="pct"/>
            <w:vMerge/>
          </w:tcPr>
          <w:p w14:paraId="49BF5D0E"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4D61C07F"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3A229CE2" w14:textId="77777777" w:rsidR="008327AE" w:rsidRPr="00B44B19" w:rsidRDefault="008327AE" w:rsidP="00595B07">
            <w:pPr>
              <w:spacing w:after="0" w:line="240" w:lineRule="auto"/>
              <w:jc w:val="both"/>
              <w:rPr>
                <w:rFonts w:cs="Times New Roman"/>
                <w:noProof/>
                <w:sz w:val="16"/>
                <w:szCs w:val="16"/>
              </w:rPr>
            </w:pPr>
          </w:p>
        </w:tc>
        <w:tc>
          <w:tcPr>
            <w:tcW w:w="329" w:type="pct"/>
          </w:tcPr>
          <w:p w14:paraId="5CE94E49"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7D6D2B98"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602E67B1"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Ilgalaikės priežiūros paslaugų gavėjų, palankiai vertinančių gaunamų paslaugų kokybę, dalis</w:t>
            </w:r>
          </w:p>
        </w:tc>
        <w:tc>
          <w:tcPr>
            <w:tcW w:w="328" w:type="pct"/>
          </w:tcPr>
          <w:p w14:paraId="6F4CECB5"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7521BBCF"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0</w:t>
            </w:r>
          </w:p>
        </w:tc>
        <w:tc>
          <w:tcPr>
            <w:tcW w:w="375" w:type="pct"/>
          </w:tcPr>
          <w:p w14:paraId="2A2EEF4F"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659F6DF5"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304A3C0D" w14:textId="77777777" w:rsidR="008327AE" w:rsidRPr="00B44B19" w:rsidRDefault="008327AE" w:rsidP="008327AE">
            <w:pPr>
              <w:spacing w:after="0" w:line="240" w:lineRule="auto"/>
              <w:rPr>
                <w:rFonts w:cs="Times New Roman"/>
              </w:rPr>
            </w:pPr>
            <w:r w:rsidRPr="00B44B19">
              <w:rPr>
                <w:rFonts w:cs="Times New Roman"/>
                <w:noProof/>
                <w:sz w:val="16"/>
                <w:szCs w:val="16"/>
              </w:rPr>
              <w:t>Apklausos duomenys</w:t>
            </w:r>
          </w:p>
        </w:tc>
        <w:tc>
          <w:tcPr>
            <w:tcW w:w="370" w:type="pct"/>
          </w:tcPr>
          <w:p w14:paraId="2AEE95B7"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4BBF8BA" w14:textId="77777777" w:rsidTr="00595B07">
        <w:trPr>
          <w:trHeight w:val="577"/>
        </w:trPr>
        <w:tc>
          <w:tcPr>
            <w:tcW w:w="364" w:type="pct"/>
            <w:vMerge/>
          </w:tcPr>
          <w:p w14:paraId="76C8EE17"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562CEB6"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0AA0D464" w14:textId="77777777" w:rsidR="008327AE" w:rsidRPr="00B44B19" w:rsidRDefault="008327AE" w:rsidP="00595B07">
            <w:pPr>
              <w:spacing w:after="0" w:line="240" w:lineRule="auto"/>
              <w:jc w:val="both"/>
              <w:rPr>
                <w:rFonts w:cs="Times New Roman"/>
                <w:noProof/>
                <w:sz w:val="16"/>
                <w:szCs w:val="16"/>
              </w:rPr>
            </w:pPr>
          </w:p>
        </w:tc>
        <w:tc>
          <w:tcPr>
            <w:tcW w:w="329" w:type="pct"/>
          </w:tcPr>
          <w:p w14:paraId="5700C39D"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535D3C38"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3ADC168C"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sz w:val="16"/>
                <w:szCs w:val="16"/>
              </w:rPr>
              <w:t>Integralios pagalbos paslaugų gavėjų, palankiai vertinančių gaunamų paslaugų kokybę, dalis</w:t>
            </w:r>
          </w:p>
        </w:tc>
        <w:tc>
          <w:tcPr>
            <w:tcW w:w="328" w:type="pct"/>
          </w:tcPr>
          <w:p w14:paraId="2859C969"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17907EBD"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90,8</w:t>
            </w:r>
          </w:p>
        </w:tc>
        <w:tc>
          <w:tcPr>
            <w:tcW w:w="375" w:type="pct"/>
          </w:tcPr>
          <w:p w14:paraId="1D5AD7FA"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2020</w:t>
            </w:r>
          </w:p>
        </w:tc>
        <w:tc>
          <w:tcPr>
            <w:tcW w:w="375" w:type="pct"/>
          </w:tcPr>
          <w:p w14:paraId="411C57F4"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95</w:t>
            </w:r>
          </w:p>
        </w:tc>
        <w:tc>
          <w:tcPr>
            <w:tcW w:w="375" w:type="pct"/>
          </w:tcPr>
          <w:p w14:paraId="77670613"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46611052"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098B7E49" w14:textId="77777777" w:rsidTr="00595B07">
        <w:trPr>
          <w:trHeight w:val="577"/>
        </w:trPr>
        <w:tc>
          <w:tcPr>
            <w:tcW w:w="364" w:type="pct"/>
            <w:vMerge/>
          </w:tcPr>
          <w:p w14:paraId="0A41B05F"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1517D3DA"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4E271388" w14:textId="77777777" w:rsidR="008327AE" w:rsidRPr="00B44B19" w:rsidRDefault="008327AE" w:rsidP="00595B07">
            <w:pPr>
              <w:spacing w:after="0" w:line="240" w:lineRule="auto"/>
              <w:jc w:val="both"/>
              <w:rPr>
                <w:rFonts w:cs="Times New Roman"/>
                <w:noProof/>
                <w:sz w:val="16"/>
                <w:szCs w:val="16"/>
              </w:rPr>
            </w:pPr>
          </w:p>
        </w:tc>
        <w:tc>
          <w:tcPr>
            <w:tcW w:w="329" w:type="pct"/>
          </w:tcPr>
          <w:p w14:paraId="4C25313B"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49DE82B1"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7848AD78"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sz w:val="16"/>
                <w:szCs w:val="16"/>
              </w:rPr>
              <w:t>Integralios pagalbos paslaugų gavėjų, palankiai vertinančių gaunamų paslaugų kokybę, dalis</w:t>
            </w:r>
          </w:p>
        </w:tc>
        <w:tc>
          <w:tcPr>
            <w:tcW w:w="328" w:type="pct"/>
          </w:tcPr>
          <w:p w14:paraId="1733C763"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3874DEEE"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90,8</w:t>
            </w:r>
          </w:p>
        </w:tc>
        <w:tc>
          <w:tcPr>
            <w:tcW w:w="375" w:type="pct"/>
          </w:tcPr>
          <w:p w14:paraId="7699329D"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2020</w:t>
            </w:r>
          </w:p>
        </w:tc>
        <w:tc>
          <w:tcPr>
            <w:tcW w:w="375" w:type="pct"/>
          </w:tcPr>
          <w:p w14:paraId="6E37AF49"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95</w:t>
            </w:r>
          </w:p>
        </w:tc>
        <w:tc>
          <w:tcPr>
            <w:tcW w:w="375" w:type="pct"/>
          </w:tcPr>
          <w:p w14:paraId="694C8644" w14:textId="77777777" w:rsidR="008327AE" w:rsidRPr="00B44B19" w:rsidRDefault="008327AE" w:rsidP="008327AE">
            <w:pPr>
              <w:spacing w:after="0" w:line="240" w:lineRule="auto"/>
              <w:rPr>
                <w:rFonts w:cs="Times New Roman"/>
                <w:noProof/>
                <w:sz w:val="16"/>
                <w:szCs w:val="16"/>
              </w:rPr>
            </w:pPr>
            <w:r w:rsidRPr="00B44B19">
              <w:rPr>
                <w:rFonts w:cs="Times New Roman"/>
                <w:noProof/>
                <w:sz w:val="16"/>
                <w:szCs w:val="16"/>
              </w:rPr>
              <w:t>Apklausos duomenys</w:t>
            </w:r>
          </w:p>
        </w:tc>
        <w:tc>
          <w:tcPr>
            <w:tcW w:w="370" w:type="pct"/>
          </w:tcPr>
          <w:p w14:paraId="37C7DD8F"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1DF6019B" w14:textId="77777777" w:rsidTr="00595B07">
        <w:trPr>
          <w:trHeight w:val="577"/>
        </w:trPr>
        <w:tc>
          <w:tcPr>
            <w:tcW w:w="364" w:type="pct"/>
            <w:vMerge/>
          </w:tcPr>
          <w:p w14:paraId="477866FF"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7114327B"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2EE17D77" w14:textId="77777777" w:rsidR="008327AE" w:rsidRPr="00B44B19" w:rsidRDefault="008327AE" w:rsidP="00595B07">
            <w:pPr>
              <w:spacing w:after="0" w:line="240" w:lineRule="auto"/>
              <w:jc w:val="both"/>
              <w:rPr>
                <w:rFonts w:cs="Times New Roman"/>
                <w:noProof/>
                <w:sz w:val="16"/>
                <w:szCs w:val="16"/>
              </w:rPr>
            </w:pPr>
          </w:p>
        </w:tc>
        <w:tc>
          <w:tcPr>
            <w:tcW w:w="329" w:type="pct"/>
          </w:tcPr>
          <w:p w14:paraId="1B96FD8C"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0A89A9FF"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5E4B4FB6"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Sveikatos priežiūros specialist</w:t>
            </w:r>
            <w:r w:rsidR="005255E0" w:rsidRPr="00B44B19">
              <w:rPr>
                <w:rFonts w:cs="Times New Roman"/>
                <w:noProof/>
                <w:sz w:val="16"/>
                <w:szCs w:val="16"/>
              </w:rPr>
              <w:t>ų</w:t>
            </w:r>
            <w:r w:rsidRPr="00B44B19">
              <w:rPr>
                <w:rFonts w:cs="Times New Roman"/>
                <w:noProof/>
                <w:sz w:val="16"/>
                <w:szCs w:val="16"/>
              </w:rPr>
              <w:t>, kurie po dalyvavimo veiklose, mažiausiai dvejus metus dirbo sveikatos priežiūros įstaigose</w:t>
            </w:r>
            <w:r w:rsidR="005255E0" w:rsidRPr="00B44B19">
              <w:rPr>
                <w:rFonts w:cs="Times New Roman"/>
                <w:noProof/>
                <w:sz w:val="16"/>
                <w:szCs w:val="16"/>
              </w:rPr>
              <w:t>,dalis</w:t>
            </w:r>
            <w:r w:rsidRPr="00B44B19">
              <w:rPr>
                <w:rFonts w:cs="Times New Roman"/>
                <w:noProof/>
                <w:sz w:val="16"/>
                <w:szCs w:val="16"/>
              </w:rPr>
              <w:t xml:space="preserve"> </w:t>
            </w:r>
          </w:p>
        </w:tc>
        <w:tc>
          <w:tcPr>
            <w:tcW w:w="328" w:type="pct"/>
          </w:tcPr>
          <w:p w14:paraId="0A3DDC2D"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023462C6"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0</w:t>
            </w:r>
          </w:p>
        </w:tc>
        <w:tc>
          <w:tcPr>
            <w:tcW w:w="375" w:type="pct"/>
          </w:tcPr>
          <w:p w14:paraId="2EBDF0CA"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47CB4B54"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5D15AD1B" w14:textId="77777777" w:rsidR="008327AE" w:rsidRPr="00B44B19" w:rsidRDefault="008327AE" w:rsidP="008327AE">
            <w:pPr>
              <w:spacing w:after="0" w:line="240" w:lineRule="auto"/>
              <w:rPr>
                <w:rFonts w:cs="Times New Roman"/>
              </w:rPr>
            </w:pPr>
            <w:r w:rsidRPr="00B44B19">
              <w:rPr>
                <w:rFonts w:cs="Times New Roman"/>
                <w:noProof/>
                <w:sz w:val="16"/>
                <w:szCs w:val="16"/>
              </w:rPr>
              <w:t>Projektų duomenys</w:t>
            </w:r>
          </w:p>
        </w:tc>
        <w:tc>
          <w:tcPr>
            <w:tcW w:w="370" w:type="pct"/>
          </w:tcPr>
          <w:p w14:paraId="239ECB9D" w14:textId="77777777" w:rsidR="008327AE" w:rsidRPr="00B44B19" w:rsidRDefault="008327AE" w:rsidP="00595B07">
            <w:pPr>
              <w:spacing w:after="0" w:line="240" w:lineRule="auto"/>
              <w:jc w:val="both"/>
              <w:rPr>
                <w:rFonts w:cs="Times New Roman"/>
                <w:b/>
                <w:noProof/>
                <w:sz w:val="14"/>
                <w:szCs w:val="14"/>
              </w:rPr>
            </w:pPr>
          </w:p>
        </w:tc>
      </w:tr>
      <w:tr w:rsidR="008327AE" w:rsidRPr="00B44B19" w14:paraId="50822285" w14:textId="77777777" w:rsidTr="00595B07">
        <w:trPr>
          <w:trHeight w:val="577"/>
        </w:trPr>
        <w:tc>
          <w:tcPr>
            <w:tcW w:w="364" w:type="pct"/>
            <w:vMerge/>
          </w:tcPr>
          <w:p w14:paraId="01A85A4C" w14:textId="77777777" w:rsidR="008327AE" w:rsidRPr="00B44B19" w:rsidRDefault="008327AE" w:rsidP="00595B07">
            <w:pPr>
              <w:spacing w:after="0" w:line="240" w:lineRule="auto"/>
              <w:jc w:val="both"/>
              <w:rPr>
                <w:rFonts w:cs="Times New Roman"/>
                <w:noProof/>
                <w:sz w:val="16"/>
                <w:szCs w:val="16"/>
              </w:rPr>
            </w:pPr>
          </w:p>
        </w:tc>
        <w:tc>
          <w:tcPr>
            <w:tcW w:w="328" w:type="pct"/>
            <w:vMerge/>
          </w:tcPr>
          <w:p w14:paraId="329CD7EC" w14:textId="77777777" w:rsidR="008327AE" w:rsidRPr="00B44B19" w:rsidRDefault="008327AE" w:rsidP="00595B07">
            <w:pPr>
              <w:spacing w:after="0" w:line="240" w:lineRule="auto"/>
              <w:jc w:val="both"/>
              <w:rPr>
                <w:rFonts w:cs="Times New Roman"/>
                <w:noProof/>
                <w:sz w:val="16"/>
                <w:szCs w:val="16"/>
              </w:rPr>
            </w:pPr>
          </w:p>
        </w:tc>
        <w:tc>
          <w:tcPr>
            <w:tcW w:w="281" w:type="pct"/>
            <w:vMerge/>
          </w:tcPr>
          <w:p w14:paraId="4614490F" w14:textId="77777777" w:rsidR="008327AE" w:rsidRPr="00B44B19" w:rsidRDefault="008327AE" w:rsidP="00595B07">
            <w:pPr>
              <w:spacing w:after="0" w:line="240" w:lineRule="auto"/>
              <w:jc w:val="both"/>
              <w:rPr>
                <w:rFonts w:cs="Times New Roman"/>
                <w:noProof/>
                <w:sz w:val="16"/>
                <w:szCs w:val="16"/>
              </w:rPr>
            </w:pPr>
          </w:p>
        </w:tc>
        <w:tc>
          <w:tcPr>
            <w:tcW w:w="329" w:type="pct"/>
          </w:tcPr>
          <w:p w14:paraId="13439F01" w14:textId="77777777" w:rsidR="008327AE" w:rsidRPr="00B44B19" w:rsidRDefault="008327AE" w:rsidP="00A53B90">
            <w:pPr>
              <w:spacing w:after="0" w:line="240" w:lineRule="auto"/>
              <w:jc w:val="both"/>
              <w:rPr>
                <w:rFonts w:cs="Times New Roman"/>
                <w:noProof/>
                <w:sz w:val="16"/>
                <w:szCs w:val="16"/>
              </w:rPr>
            </w:pPr>
            <w:r w:rsidRPr="00B44B19">
              <w:rPr>
                <w:rFonts w:cs="Times New Roman"/>
                <w:noProof/>
                <w:sz w:val="16"/>
                <w:szCs w:val="16"/>
              </w:rPr>
              <w:t>VVL</w:t>
            </w:r>
            <w:r w:rsidR="00A53B90" w:rsidRPr="00B44B19">
              <w:rPr>
                <w:rFonts w:cs="Times New Roman"/>
                <w:noProof/>
                <w:sz w:val="16"/>
                <w:szCs w:val="16"/>
              </w:rPr>
              <w:t xml:space="preserve"> </w:t>
            </w:r>
            <w:r w:rsidRPr="00B44B19">
              <w:rPr>
                <w:rFonts w:cs="Times New Roman"/>
                <w:noProof/>
                <w:sz w:val="16"/>
                <w:szCs w:val="16"/>
              </w:rPr>
              <w:t>regionas</w:t>
            </w:r>
          </w:p>
        </w:tc>
        <w:tc>
          <w:tcPr>
            <w:tcW w:w="422" w:type="pct"/>
          </w:tcPr>
          <w:p w14:paraId="24379D5E" w14:textId="77777777" w:rsidR="008327AE" w:rsidRPr="00B44B19" w:rsidRDefault="008327AE" w:rsidP="008327AE">
            <w:pPr>
              <w:spacing w:after="0" w:line="240" w:lineRule="auto"/>
              <w:jc w:val="both"/>
              <w:rPr>
                <w:rFonts w:cs="Times New Roman"/>
                <w:noProof/>
                <w:sz w:val="16"/>
                <w:szCs w:val="16"/>
              </w:rPr>
            </w:pPr>
            <w:r w:rsidRPr="00B44B19">
              <w:rPr>
                <w:rFonts w:cs="Times New Roman"/>
                <w:noProof/>
                <w:sz w:val="16"/>
                <w:szCs w:val="16"/>
              </w:rPr>
              <w:t xml:space="preserve">Specialusis </w:t>
            </w:r>
          </w:p>
        </w:tc>
        <w:tc>
          <w:tcPr>
            <w:tcW w:w="1125" w:type="pct"/>
          </w:tcPr>
          <w:p w14:paraId="049CD4E0" w14:textId="77777777" w:rsidR="008327AE" w:rsidRPr="00B44B19" w:rsidRDefault="008327AE" w:rsidP="008327AE">
            <w:pPr>
              <w:tabs>
                <w:tab w:val="left" w:pos="2268"/>
                <w:tab w:val="left" w:pos="7560"/>
              </w:tabs>
              <w:spacing w:after="0" w:line="240" w:lineRule="auto"/>
              <w:jc w:val="both"/>
              <w:rPr>
                <w:rFonts w:cs="Times New Roman"/>
                <w:noProof/>
                <w:sz w:val="16"/>
                <w:szCs w:val="16"/>
              </w:rPr>
            </w:pPr>
            <w:r w:rsidRPr="00B44B19">
              <w:rPr>
                <w:rFonts w:cs="Times New Roman"/>
                <w:noProof/>
                <w:sz w:val="16"/>
                <w:szCs w:val="16"/>
              </w:rPr>
              <w:t>Asmenų, kurie po dalyvavimo veiklose įgijo kvalifikaciją, dalis</w:t>
            </w:r>
          </w:p>
        </w:tc>
        <w:tc>
          <w:tcPr>
            <w:tcW w:w="328" w:type="pct"/>
          </w:tcPr>
          <w:p w14:paraId="0F9F51EC" w14:textId="77777777" w:rsidR="008327AE" w:rsidRPr="00B44B19" w:rsidRDefault="008327AE" w:rsidP="008327AE">
            <w:pPr>
              <w:spacing w:before="120" w:after="120" w:line="240" w:lineRule="auto"/>
              <w:jc w:val="both"/>
              <w:rPr>
                <w:rFonts w:cs="Times New Roman"/>
                <w:noProof/>
                <w:sz w:val="16"/>
                <w:szCs w:val="16"/>
              </w:rPr>
            </w:pPr>
            <w:r w:rsidRPr="00B44B19">
              <w:rPr>
                <w:rFonts w:cs="Times New Roman"/>
                <w:noProof/>
                <w:sz w:val="16"/>
                <w:szCs w:val="16"/>
              </w:rPr>
              <w:t>Procenta</w:t>
            </w:r>
            <w:r w:rsidR="00B67845" w:rsidRPr="00B44B19">
              <w:rPr>
                <w:rFonts w:cs="Times New Roman"/>
                <w:noProof/>
                <w:sz w:val="16"/>
                <w:szCs w:val="16"/>
              </w:rPr>
              <w:t>i</w:t>
            </w:r>
          </w:p>
        </w:tc>
        <w:tc>
          <w:tcPr>
            <w:tcW w:w="328" w:type="pct"/>
          </w:tcPr>
          <w:p w14:paraId="6E167537" w14:textId="77777777" w:rsidR="008327AE" w:rsidRPr="00B44B19" w:rsidRDefault="00C424FA" w:rsidP="008327AE">
            <w:pPr>
              <w:spacing w:before="120" w:after="120" w:line="240" w:lineRule="auto"/>
              <w:jc w:val="center"/>
              <w:rPr>
                <w:rFonts w:cs="Times New Roman"/>
                <w:noProof/>
                <w:sz w:val="16"/>
                <w:szCs w:val="16"/>
              </w:rPr>
            </w:pPr>
            <w:r w:rsidRPr="00B44B19">
              <w:rPr>
                <w:rFonts w:cs="Times New Roman"/>
                <w:noProof/>
                <w:sz w:val="16"/>
                <w:szCs w:val="16"/>
              </w:rPr>
              <w:t>17</w:t>
            </w:r>
          </w:p>
        </w:tc>
        <w:tc>
          <w:tcPr>
            <w:tcW w:w="375" w:type="pct"/>
          </w:tcPr>
          <w:p w14:paraId="6E9BBECE"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2021</w:t>
            </w:r>
          </w:p>
        </w:tc>
        <w:tc>
          <w:tcPr>
            <w:tcW w:w="375" w:type="pct"/>
          </w:tcPr>
          <w:p w14:paraId="67F3E08A" w14:textId="77777777" w:rsidR="008327AE" w:rsidRPr="00B44B19" w:rsidRDefault="008327AE" w:rsidP="008327AE">
            <w:pPr>
              <w:spacing w:before="120" w:after="120" w:line="240" w:lineRule="auto"/>
              <w:jc w:val="center"/>
              <w:rPr>
                <w:rFonts w:cs="Times New Roman"/>
                <w:noProof/>
                <w:sz w:val="16"/>
                <w:szCs w:val="16"/>
              </w:rPr>
            </w:pPr>
            <w:r w:rsidRPr="00B44B19">
              <w:rPr>
                <w:rFonts w:cs="Times New Roman"/>
                <w:noProof/>
                <w:sz w:val="16"/>
                <w:szCs w:val="16"/>
              </w:rPr>
              <w:t>80</w:t>
            </w:r>
          </w:p>
        </w:tc>
        <w:tc>
          <w:tcPr>
            <w:tcW w:w="375" w:type="pct"/>
          </w:tcPr>
          <w:p w14:paraId="11FA0A24" w14:textId="77777777" w:rsidR="008327AE" w:rsidRPr="00B44B19" w:rsidRDefault="008327AE" w:rsidP="008327AE">
            <w:pPr>
              <w:spacing w:after="0" w:line="240" w:lineRule="auto"/>
              <w:rPr>
                <w:rFonts w:cs="Times New Roman"/>
              </w:rPr>
            </w:pPr>
            <w:r w:rsidRPr="00B44B19">
              <w:rPr>
                <w:rFonts w:cs="Times New Roman"/>
                <w:noProof/>
                <w:sz w:val="16"/>
                <w:szCs w:val="16"/>
              </w:rPr>
              <w:t>Projektų duomenys</w:t>
            </w:r>
          </w:p>
        </w:tc>
        <w:tc>
          <w:tcPr>
            <w:tcW w:w="370" w:type="pct"/>
          </w:tcPr>
          <w:p w14:paraId="4063D228" w14:textId="77777777" w:rsidR="008327AE" w:rsidRPr="00B44B19" w:rsidRDefault="008327AE" w:rsidP="00595B07">
            <w:pPr>
              <w:spacing w:after="0" w:line="240" w:lineRule="auto"/>
              <w:jc w:val="both"/>
              <w:rPr>
                <w:rFonts w:cs="Times New Roman"/>
                <w:b/>
                <w:noProof/>
                <w:sz w:val="14"/>
                <w:szCs w:val="14"/>
              </w:rPr>
            </w:pPr>
          </w:p>
        </w:tc>
      </w:tr>
    </w:tbl>
    <w:p w14:paraId="2B7327ED" w14:textId="77777777" w:rsidR="002B441C" w:rsidRPr="00B44B19" w:rsidRDefault="002B441C" w:rsidP="00786CD2">
      <w:pPr>
        <w:spacing w:before="240" w:after="240" w:line="240" w:lineRule="auto"/>
        <w:jc w:val="both"/>
        <w:rPr>
          <w:rFonts w:eastAsia="Calibri" w:cs="Times New Roman"/>
          <w:b/>
          <w:noProof/>
          <w:szCs w:val="20"/>
          <w:lang w:eastAsia="lt-LT" w:bidi="lt-LT"/>
        </w:rPr>
        <w:sectPr w:rsidR="002B441C" w:rsidRPr="00B44B19" w:rsidSect="00931C78">
          <w:pgSz w:w="16838" w:h="11906" w:orient="landscape"/>
          <w:pgMar w:top="1701" w:right="1276" w:bottom="567" w:left="1134" w:header="567" w:footer="567" w:gutter="0"/>
          <w:cols w:space="1296"/>
          <w:docGrid w:linePitch="360"/>
        </w:sectPr>
      </w:pPr>
    </w:p>
    <w:p w14:paraId="7BCF803E" w14:textId="77777777" w:rsidR="00786CD2" w:rsidRPr="00B44B19" w:rsidRDefault="00786CD2"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276"/>
        <w:gridCol w:w="3495"/>
        <w:gridCol w:w="1466"/>
      </w:tblGrid>
      <w:tr w:rsidR="008327AE" w:rsidRPr="00B44B19" w14:paraId="27084625" w14:textId="77777777" w:rsidTr="00E863B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77BFDC" w14:textId="77777777" w:rsidR="008327AE" w:rsidRPr="00B44B19" w:rsidRDefault="008327AE" w:rsidP="008327AE">
            <w:pPr>
              <w:rPr>
                <w:rFonts w:eastAsia="Times New Roman" w:cs="Times New Roman"/>
                <w:b/>
                <w:iCs/>
                <w:noProof/>
                <w:sz w:val="20"/>
              </w:rPr>
            </w:pPr>
            <w:r w:rsidRPr="00B44B19">
              <w:rPr>
                <w:rFonts w:cs="Times New Roman"/>
                <w:b/>
                <w:noProof/>
                <w:sz w:val="20"/>
              </w:rPr>
              <w:t>4 lentelė. 1 matmuo. Intervencinių priemonių sritis</w:t>
            </w:r>
          </w:p>
        </w:tc>
      </w:tr>
      <w:tr w:rsidR="008327AE" w:rsidRPr="00B44B19" w14:paraId="38996491" w14:textId="77777777" w:rsidTr="00E863B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77D083" w14:textId="77777777" w:rsidR="008327AE" w:rsidRPr="00B44B19" w:rsidRDefault="008327AE" w:rsidP="008327AE">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86E79D" w14:textId="77777777" w:rsidR="008327AE" w:rsidRPr="00B44B19" w:rsidRDefault="008327AE" w:rsidP="008327AE">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704A74" w14:textId="77777777" w:rsidR="008327AE" w:rsidRPr="00B44B19" w:rsidRDefault="008327AE" w:rsidP="008327AE">
            <w:pPr>
              <w:jc w:val="center"/>
              <w:rPr>
                <w:rFonts w:eastAsia="Times New Roman" w:cs="Times New Roman"/>
                <w:b/>
                <w:iCs/>
                <w:noProof/>
                <w:sz w:val="20"/>
              </w:rPr>
            </w:pPr>
            <w:r w:rsidRPr="00B44B19">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E50482" w14:textId="77777777" w:rsidR="008327AE" w:rsidRPr="00B44B19" w:rsidRDefault="008327AE" w:rsidP="008327AE">
            <w:pPr>
              <w:jc w:val="center"/>
              <w:rPr>
                <w:rFonts w:eastAsia="Times New Roman" w:cs="Times New Roman"/>
                <w:b/>
                <w:iCs/>
                <w:noProof/>
                <w:sz w:val="20"/>
              </w:rPr>
            </w:pPr>
            <w:r w:rsidRPr="00B44B19">
              <w:rPr>
                <w:rFonts w:cs="Times New Roman"/>
                <w:b/>
                <w:noProof/>
                <w:sz w:val="20"/>
              </w:rPr>
              <w:t>Konkretus uždavinys</w:t>
            </w:r>
          </w:p>
        </w:tc>
        <w:tc>
          <w:tcPr>
            <w:tcW w:w="34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EAA3D5" w14:textId="77777777" w:rsidR="008327AE" w:rsidRPr="00B44B19" w:rsidRDefault="008327AE" w:rsidP="008327AE">
            <w:pPr>
              <w:jc w:val="center"/>
              <w:rPr>
                <w:rFonts w:eastAsia="Times New Roman" w:cs="Times New Roman"/>
                <w:b/>
                <w:iCs/>
                <w:noProof/>
                <w:sz w:val="20"/>
              </w:rPr>
            </w:pPr>
            <w:r w:rsidRPr="00B44B19">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9BC31E" w14:textId="77777777" w:rsidR="008327AE" w:rsidRPr="00B44B19" w:rsidRDefault="008327AE" w:rsidP="008327AE">
            <w:pPr>
              <w:jc w:val="center"/>
              <w:rPr>
                <w:rFonts w:eastAsia="Times New Roman" w:cs="Times New Roman"/>
                <w:b/>
                <w:iCs/>
                <w:noProof/>
                <w:sz w:val="20"/>
              </w:rPr>
            </w:pPr>
            <w:r w:rsidRPr="00B44B19">
              <w:rPr>
                <w:rFonts w:cs="Times New Roman"/>
                <w:b/>
                <w:noProof/>
                <w:sz w:val="20"/>
              </w:rPr>
              <w:t>Suma (EUR)</w:t>
            </w:r>
          </w:p>
        </w:tc>
      </w:tr>
      <w:tr w:rsidR="008327AE" w:rsidRPr="00B44B19" w14:paraId="40208002" w14:textId="77777777" w:rsidTr="00E863BA">
        <w:tc>
          <w:tcPr>
            <w:tcW w:w="1101" w:type="dxa"/>
            <w:vMerge w:val="restart"/>
            <w:tcBorders>
              <w:top w:val="single" w:sz="12" w:space="0" w:color="auto"/>
            </w:tcBorders>
          </w:tcPr>
          <w:p w14:paraId="6FB3D33C" w14:textId="77777777" w:rsidR="008327AE" w:rsidRPr="00B44B19" w:rsidRDefault="008327AE" w:rsidP="008327AE">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60BB865A" w14:textId="77777777" w:rsidR="008327AE" w:rsidRPr="00B44B19" w:rsidRDefault="008327AE" w:rsidP="008327AE">
            <w:pPr>
              <w:jc w:val="center"/>
              <w:rPr>
                <w:rFonts w:eastAsia="Times New Roman" w:cs="Times New Roman"/>
                <w:iCs/>
                <w:noProof/>
                <w:sz w:val="20"/>
              </w:rPr>
            </w:pPr>
            <w:r w:rsidRPr="00B44B19">
              <w:rPr>
                <w:rFonts w:eastAsia="Times New Roman" w:cs="Times New Roman"/>
                <w:iCs/>
                <w:noProof/>
                <w:sz w:val="20"/>
              </w:rPr>
              <w:t>ESF+</w:t>
            </w:r>
          </w:p>
        </w:tc>
        <w:tc>
          <w:tcPr>
            <w:tcW w:w="1701" w:type="dxa"/>
            <w:tcBorders>
              <w:top w:val="single" w:sz="12" w:space="0" w:color="auto"/>
              <w:bottom w:val="single" w:sz="4" w:space="0" w:color="auto"/>
            </w:tcBorders>
          </w:tcPr>
          <w:p w14:paraId="151E17B8" w14:textId="77777777" w:rsidR="008327AE" w:rsidRPr="00B44B19" w:rsidRDefault="008327AE" w:rsidP="008327AE">
            <w:pPr>
              <w:jc w:val="both"/>
              <w:rPr>
                <w:rFonts w:cs="Times New Roman"/>
                <w:noProof/>
                <w:sz w:val="20"/>
                <w:szCs w:val="20"/>
              </w:rPr>
            </w:pPr>
            <w:r w:rsidRPr="00B44B19">
              <w:rPr>
                <w:rFonts w:cs="Times New Roman"/>
                <w:noProof/>
                <w:sz w:val="20"/>
                <w:szCs w:val="20"/>
              </w:rPr>
              <w:t>Sostinės regionas</w:t>
            </w:r>
          </w:p>
        </w:tc>
        <w:tc>
          <w:tcPr>
            <w:tcW w:w="1276" w:type="dxa"/>
            <w:vMerge w:val="restart"/>
            <w:tcBorders>
              <w:top w:val="single" w:sz="12" w:space="0" w:color="auto"/>
            </w:tcBorders>
          </w:tcPr>
          <w:p w14:paraId="3E80AC56" w14:textId="77777777" w:rsidR="008327AE" w:rsidRPr="00B44B19" w:rsidRDefault="008327AE" w:rsidP="008327AE">
            <w:pPr>
              <w:jc w:val="center"/>
              <w:rPr>
                <w:rFonts w:eastAsia="Times New Roman" w:cs="Times New Roman"/>
                <w:iCs/>
                <w:noProof/>
                <w:sz w:val="20"/>
              </w:rPr>
            </w:pPr>
            <w:r w:rsidRPr="00B44B19">
              <w:rPr>
                <w:rFonts w:eastAsia="Times New Roman" w:cs="Times New Roman"/>
                <w:iCs/>
                <w:noProof/>
                <w:sz w:val="20"/>
              </w:rPr>
              <w:t>4.8</w:t>
            </w:r>
          </w:p>
        </w:tc>
        <w:tc>
          <w:tcPr>
            <w:tcW w:w="3495" w:type="dxa"/>
            <w:vMerge w:val="restart"/>
            <w:tcBorders>
              <w:top w:val="single" w:sz="12" w:space="0" w:color="auto"/>
            </w:tcBorders>
          </w:tcPr>
          <w:p w14:paraId="69602573"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 xml:space="preserve">158 </w:t>
            </w:r>
            <w:r w:rsidR="00D43A78" w:rsidRPr="00B44B19">
              <w:rPr>
                <w:rFonts w:eastAsia="Times New Roman" w:cs="Times New Roman"/>
                <w:iCs/>
                <w:noProof/>
                <w:sz w:val="20"/>
              </w:rPr>
              <w:t>–</w:t>
            </w:r>
            <w:r w:rsidRPr="00B44B19">
              <w:rPr>
                <w:rFonts w:eastAsia="Times New Roman" w:cs="Times New Roman"/>
                <w:iCs/>
                <w:noProof/>
                <w:sz w:val="20"/>
              </w:rPr>
              <w:t xml:space="preserve"> Priemonės, kuriomis gerinamos lygios galimybės laiku naudotis kokybiškomis, tvariomis ir įperkamomis paslaugomis</w:t>
            </w:r>
          </w:p>
        </w:tc>
        <w:tc>
          <w:tcPr>
            <w:tcW w:w="1466" w:type="dxa"/>
            <w:tcBorders>
              <w:top w:val="single" w:sz="12" w:space="0" w:color="auto"/>
              <w:bottom w:val="single" w:sz="4" w:space="0" w:color="auto"/>
            </w:tcBorders>
          </w:tcPr>
          <w:p w14:paraId="28898E30" w14:textId="77777777" w:rsidR="008327AE" w:rsidRPr="00B44B19" w:rsidRDefault="008327AE" w:rsidP="008327AE">
            <w:pPr>
              <w:jc w:val="right"/>
              <w:rPr>
                <w:rFonts w:eastAsia="Times New Roman" w:cs="Times New Roman"/>
                <w:iCs/>
                <w:noProof/>
                <w:sz w:val="20"/>
              </w:rPr>
            </w:pPr>
            <w:r w:rsidRPr="00B44B19">
              <w:rPr>
                <w:rFonts w:eastAsia="Times New Roman" w:cs="Times New Roman"/>
                <w:iCs/>
                <w:noProof/>
                <w:sz w:val="20"/>
              </w:rPr>
              <w:t>17 594 877,00</w:t>
            </w:r>
          </w:p>
        </w:tc>
      </w:tr>
      <w:tr w:rsidR="008327AE" w:rsidRPr="00B44B19" w14:paraId="01B26760" w14:textId="77777777" w:rsidTr="00E863BA">
        <w:tc>
          <w:tcPr>
            <w:tcW w:w="1101" w:type="dxa"/>
            <w:vMerge/>
          </w:tcPr>
          <w:p w14:paraId="39DBABE3" w14:textId="77777777" w:rsidR="008327AE" w:rsidRPr="00B44B19" w:rsidRDefault="008327AE" w:rsidP="008327AE">
            <w:pPr>
              <w:jc w:val="center"/>
              <w:rPr>
                <w:rFonts w:eastAsia="Times New Roman" w:cs="Times New Roman"/>
                <w:iCs/>
                <w:noProof/>
                <w:sz w:val="20"/>
              </w:rPr>
            </w:pPr>
          </w:p>
        </w:tc>
        <w:tc>
          <w:tcPr>
            <w:tcW w:w="850" w:type="dxa"/>
            <w:vMerge/>
          </w:tcPr>
          <w:p w14:paraId="3B5DF12B" w14:textId="77777777" w:rsidR="008327AE" w:rsidRPr="00B44B19" w:rsidRDefault="008327AE" w:rsidP="008327AE">
            <w:pPr>
              <w:jc w:val="center"/>
              <w:rPr>
                <w:rFonts w:eastAsia="Times New Roman" w:cs="Times New Roman"/>
                <w:iCs/>
                <w:noProof/>
                <w:sz w:val="20"/>
              </w:rPr>
            </w:pPr>
          </w:p>
        </w:tc>
        <w:tc>
          <w:tcPr>
            <w:tcW w:w="1701" w:type="dxa"/>
            <w:tcBorders>
              <w:top w:val="single" w:sz="4" w:space="0" w:color="auto"/>
              <w:bottom w:val="single" w:sz="4" w:space="0" w:color="auto"/>
            </w:tcBorders>
          </w:tcPr>
          <w:p w14:paraId="1DF9BFF6" w14:textId="77777777" w:rsidR="008327AE" w:rsidRPr="00B44B19" w:rsidRDefault="008327AE" w:rsidP="008327AE">
            <w:pPr>
              <w:jc w:val="both"/>
              <w:rPr>
                <w:rFonts w:cs="Times New Roman"/>
                <w:noProof/>
                <w:sz w:val="20"/>
                <w:szCs w:val="20"/>
              </w:rPr>
            </w:pPr>
            <w:r w:rsidRPr="00B44B19">
              <w:rPr>
                <w:rFonts w:cs="Times New Roman"/>
                <w:noProof/>
                <w:sz w:val="20"/>
                <w:szCs w:val="20"/>
              </w:rPr>
              <w:t>VVL regionas</w:t>
            </w:r>
          </w:p>
        </w:tc>
        <w:tc>
          <w:tcPr>
            <w:tcW w:w="1276" w:type="dxa"/>
            <w:vMerge/>
          </w:tcPr>
          <w:p w14:paraId="114602D5" w14:textId="77777777" w:rsidR="008327AE" w:rsidRPr="00B44B19" w:rsidRDefault="008327AE" w:rsidP="008327AE">
            <w:pPr>
              <w:jc w:val="center"/>
              <w:rPr>
                <w:rFonts w:cs="Times New Roman"/>
              </w:rPr>
            </w:pPr>
          </w:p>
        </w:tc>
        <w:tc>
          <w:tcPr>
            <w:tcW w:w="3495" w:type="dxa"/>
            <w:vMerge/>
          </w:tcPr>
          <w:p w14:paraId="45E75D46" w14:textId="77777777" w:rsidR="008327AE" w:rsidRPr="00B44B19" w:rsidRDefault="008327AE" w:rsidP="008327AE">
            <w:pPr>
              <w:jc w:val="center"/>
              <w:rPr>
                <w:rFonts w:eastAsia="Times New Roman" w:cs="Times New Roman"/>
                <w:iCs/>
                <w:noProof/>
                <w:sz w:val="20"/>
              </w:rPr>
            </w:pPr>
          </w:p>
        </w:tc>
        <w:tc>
          <w:tcPr>
            <w:tcW w:w="1466" w:type="dxa"/>
            <w:tcBorders>
              <w:top w:val="single" w:sz="4" w:space="0" w:color="auto"/>
              <w:bottom w:val="single" w:sz="4" w:space="0" w:color="auto"/>
            </w:tcBorders>
          </w:tcPr>
          <w:p w14:paraId="57F23399" w14:textId="77777777" w:rsidR="008327AE" w:rsidRPr="00B44B19" w:rsidRDefault="008327AE" w:rsidP="008327AE">
            <w:pPr>
              <w:jc w:val="right"/>
              <w:rPr>
                <w:rFonts w:eastAsia="Times New Roman" w:cs="Times New Roman"/>
                <w:iCs/>
                <w:noProof/>
                <w:sz w:val="20"/>
              </w:rPr>
            </w:pPr>
            <w:r w:rsidRPr="00B44B19">
              <w:rPr>
                <w:rFonts w:eastAsia="Times New Roman" w:cs="Times New Roman"/>
                <w:iCs/>
                <w:noProof/>
                <w:sz w:val="20"/>
              </w:rPr>
              <w:t>157 720 252,00</w:t>
            </w:r>
          </w:p>
        </w:tc>
      </w:tr>
      <w:tr w:rsidR="008327AE" w:rsidRPr="00B44B19" w14:paraId="1C0A25F1" w14:textId="77777777" w:rsidTr="00E863BA">
        <w:tc>
          <w:tcPr>
            <w:tcW w:w="1101" w:type="dxa"/>
            <w:vMerge/>
          </w:tcPr>
          <w:p w14:paraId="34348BD7" w14:textId="77777777" w:rsidR="008327AE" w:rsidRPr="00B44B19" w:rsidRDefault="008327AE" w:rsidP="008327AE">
            <w:pPr>
              <w:jc w:val="center"/>
              <w:rPr>
                <w:rFonts w:eastAsia="Times New Roman" w:cs="Times New Roman"/>
                <w:iCs/>
                <w:noProof/>
                <w:sz w:val="20"/>
              </w:rPr>
            </w:pPr>
          </w:p>
        </w:tc>
        <w:tc>
          <w:tcPr>
            <w:tcW w:w="850" w:type="dxa"/>
            <w:vMerge/>
          </w:tcPr>
          <w:p w14:paraId="5EE59943" w14:textId="77777777" w:rsidR="008327AE" w:rsidRPr="00B44B19" w:rsidRDefault="008327AE" w:rsidP="008327AE">
            <w:pPr>
              <w:jc w:val="center"/>
              <w:rPr>
                <w:rFonts w:eastAsia="Times New Roman" w:cs="Times New Roman"/>
                <w:iCs/>
                <w:noProof/>
                <w:sz w:val="20"/>
              </w:rPr>
            </w:pPr>
          </w:p>
        </w:tc>
        <w:tc>
          <w:tcPr>
            <w:tcW w:w="1701" w:type="dxa"/>
            <w:tcBorders>
              <w:top w:val="single" w:sz="4" w:space="0" w:color="auto"/>
              <w:bottom w:val="single" w:sz="4" w:space="0" w:color="auto"/>
            </w:tcBorders>
          </w:tcPr>
          <w:p w14:paraId="29358E3C"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Sostinės regionas</w:t>
            </w:r>
          </w:p>
        </w:tc>
        <w:tc>
          <w:tcPr>
            <w:tcW w:w="1276" w:type="dxa"/>
            <w:vMerge/>
          </w:tcPr>
          <w:p w14:paraId="069E670C" w14:textId="77777777" w:rsidR="008327AE" w:rsidRPr="00B44B19" w:rsidRDefault="008327AE" w:rsidP="008327AE">
            <w:pPr>
              <w:jc w:val="center"/>
              <w:rPr>
                <w:rFonts w:cs="Times New Roman"/>
              </w:rPr>
            </w:pPr>
          </w:p>
        </w:tc>
        <w:tc>
          <w:tcPr>
            <w:tcW w:w="3495" w:type="dxa"/>
            <w:vMerge w:val="restart"/>
          </w:tcPr>
          <w:p w14:paraId="05E3E345"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 xml:space="preserve">160 </w:t>
            </w:r>
            <w:r w:rsidR="00D43A78" w:rsidRPr="00B44B19">
              <w:rPr>
                <w:rFonts w:eastAsia="Times New Roman" w:cs="Times New Roman"/>
                <w:iCs/>
                <w:noProof/>
                <w:sz w:val="20"/>
              </w:rPr>
              <w:t>–</w:t>
            </w:r>
            <w:r w:rsidRPr="00B44B19">
              <w:rPr>
                <w:rFonts w:eastAsia="Times New Roman" w:cs="Times New Roman"/>
                <w:iCs/>
                <w:noProof/>
                <w:sz w:val="20"/>
              </w:rPr>
              <w:t xml:space="preserve"> Priemonės, kuriomis gerinamas sveikatos priežiūros sistemų prieinamumas, efektyvumas ir atsparumas (išskyrus infrastruktūrą)</w:t>
            </w:r>
          </w:p>
        </w:tc>
        <w:tc>
          <w:tcPr>
            <w:tcW w:w="1466" w:type="dxa"/>
            <w:tcBorders>
              <w:top w:val="single" w:sz="4" w:space="0" w:color="auto"/>
              <w:bottom w:val="single" w:sz="4" w:space="0" w:color="auto"/>
            </w:tcBorders>
          </w:tcPr>
          <w:p w14:paraId="1292927B" w14:textId="5A7979F3" w:rsidR="008327AE" w:rsidRPr="00B44B19" w:rsidRDefault="006F59D5" w:rsidP="006F59D5">
            <w:pPr>
              <w:jc w:val="right"/>
              <w:rPr>
                <w:rFonts w:eastAsia="Times New Roman" w:cs="Times New Roman"/>
                <w:bCs/>
                <w:iCs/>
                <w:noProof/>
                <w:sz w:val="20"/>
              </w:rPr>
            </w:pPr>
            <w:r w:rsidRPr="00B44B19">
              <w:rPr>
                <w:rFonts w:cs="Times New Roman"/>
                <w:color w:val="000000"/>
                <w:sz w:val="20"/>
                <w:szCs w:val="20"/>
              </w:rPr>
              <w:t>5 043 983</w:t>
            </w:r>
            <w:r w:rsidR="008327AE" w:rsidRPr="00B44B19">
              <w:rPr>
                <w:rFonts w:eastAsia="Times New Roman" w:cs="Times New Roman"/>
                <w:bCs/>
                <w:iCs/>
                <w:noProof/>
                <w:sz w:val="20"/>
              </w:rPr>
              <w:t>,00</w:t>
            </w:r>
          </w:p>
        </w:tc>
      </w:tr>
      <w:tr w:rsidR="008327AE" w:rsidRPr="00B44B19" w14:paraId="19D16327" w14:textId="77777777" w:rsidTr="00E863BA">
        <w:tc>
          <w:tcPr>
            <w:tcW w:w="1101" w:type="dxa"/>
            <w:vMerge/>
          </w:tcPr>
          <w:p w14:paraId="4C5E5D4D" w14:textId="77777777" w:rsidR="008327AE" w:rsidRPr="00B44B19" w:rsidRDefault="008327AE" w:rsidP="008327AE">
            <w:pPr>
              <w:jc w:val="center"/>
              <w:rPr>
                <w:rFonts w:eastAsia="Times New Roman" w:cs="Times New Roman"/>
                <w:iCs/>
                <w:noProof/>
                <w:sz w:val="20"/>
              </w:rPr>
            </w:pPr>
          </w:p>
        </w:tc>
        <w:tc>
          <w:tcPr>
            <w:tcW w:w="850" w:type="dxa"/>
            <w:vMerge/>
          </w:tcPr>
          <w:p w14:paraId="5B2E2924" w14:textId="77777777" w:rsidR="008327AE" w:rsidRPr="00B44B19" w:rsidRDefault="008327AE" w:rsidP="008327AE">
            <w:pPr>
              <w:jc w:val="center"/>
              <w:rPr>
                <w:rFonts w:eastAsia="Times New Roman" w:cs="Times New Roman"/>
                <w:iCs/>
                <w:noProof/>
                <w:sz w:val="20"/>
              </w:rPr>
            </w:pPr>
          </w:p>
        </w:tc>
        <w:tc>
          <w:tcPr>
            <w:tcW w:w="1701" w:type="dxa"/>
            <w:tcBorders>
              <w:top w:val="single" w:sz="4" w:space="0" w:color="auto"/>
              <w:bottom w:val="single" w:sz="4" w:space="0" w:color="auto"/>
            </w:tcBorders>
          </w:tcPr>
          <w:p w14:paraId="14ED1F93"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VVL regionas</w:t>
            </w:r>
          </w:p>
        </w:tc>
        <w:tc>
          <w:tcPr>
            <w:tcW w:w="1276" w:type="dxa"/>
            <w:vMerge/>
          </w:tcPr>
          <w:p w14:paraId="67E1078B" w14:textId="77777777" w:rsidR="008327AE" w:rsidRPr="00B44B19" w:rsidRDefault="008327AE" w:rsidP="008327AE">
            <w:pPr>
              <w:jc w:val="center"/>
              <w:rPr>
                <w:rFonts w:cs="Times New Roman"/>
              </w:rPr>
            </w:pPr>
          </w:p>
        </w:tc>
        <w:tc>
          <w:tcPr>
            <w:tcW w:w="3495" w:type="dxa"/>
            <w:vMerge/>
          </w:tcPr>
          <w:p w14:paraId="3EEB41BA" w14:textId="77777777" w:rsidR="008327AE" w:rsidRPr="00B44B19" w:rsidRDefault="008327AE" w:rsidP="008327AE">
            <w:pPr>
              <w:jc w:val="both"/>
              <w:rPr>
                <w:rFonts w:cs="Times New Roman"/>
                <w:noProof/>
                <w:sz w:val="16"/>
                <w:szCs w:val="16"/>
              </w:rPr>
            </w:pPr>
          </w:p>
        </w:tc>
        <w:tc>
          <w:tcPr>
            <w:tcW w:w="1466" w:type="dxa"/>
            <w:tcBorders>
              <w:top w:val="single" w:sz="4" w:space="0" w:color="auto"/>
              <w:bottom w:val="single" w:sz="4" w:space="0" w:color="auto"/>
            </w:tcBorders>
          </w:tcPr>
          <w:p w14:paraId="62455B6E" w14:textId="7D288E54" w:rsidR="008327AE" w:rsidRPr="00B44B19" w:rsidRDefault="006F59D5" w:rsidP="006F59D5">
            <w:pPr>
              <w:jc w:val="right"/>
              <w:rPr>
                <w:rFonts w:eastAsia="Times New Roman" w:cs="Times New Roman"/>
                <w:iCs/>
                <w:noProof/>
                <w:sz w:val="20"/>
              </w:rPr>
            </w:pPr>
            <w:r w:rsidRPr="00B44B19">
              <w:rPr>
                <w:rFonts w:cs="Times New Roman"/>
                <w:color w:val="000000"/>
                <w:sz w:val="20"/>
                <w:szCs w:val="20"/>
              </w:rPr>
              <w:t>112 926 942</w:t>
            </w:r>
            <w:r w:rsidR="008327AE" w:rsidRPr="00B44B19">
              <w:rPr>
                <w:rFonts w:eastAsia="Times New Roman" w:cs="Times New Roman"/>
                <w:iCs/>
                <w:noProof/>
                <w:sz w:val="20"/>
              </w:rPr>
              <w:t>,00</w:t>
            </w:r>
          </w:p>
        </w:tc>
      </w:tr>
      <w:tr w:rsidR="008327AE" w:rsidRPr="00B44B19" w14:paraId="64F87951" w14:textId="77777777" w:rsidTr="00E863BA">
        <w:tc>
          <w:tcPr>
            <w:tcW w:w="1101" w:type="dxa"/>
            <w:vMerge/>
          </w:tcPr>
          <w:p w14:paraId="10D5A0FE" w14:textId="77777777" w:rsidR="008327AE" w:rsidRPr="00B44B19" w:rsidRDefault="008327AE" w:rsidP="008327AE">
            <w:pPr>
              <w:jc w:val="center"/>
              <w:rPr>
                <w:rFonts w:eastAsia="Times New Roman" w:cs="Times New Roman"/>
                <w:iCs/>
                <w:noProof/>
                <w:sz w:val="20"/>
              </w:rPr>
            </w:pPr>
          </w:p>
        </w:tc>
        <w:tc>
          <w:tcPr>
            <w:tcW w:w="850" w:type="dxa"/>
            <w:vMerge/>
          </w:tcPr>
          <w:p w14:paraId="6E8DF13C" w14:textId="77777777" w:rsidR="008327AE" w:rsidRPr="00B44B19" w:rsidRDefault="008327AE" w:rsidP="008327AE">
            <w:pPr>
              <w:jc w:val="center"/>
              <w:rPr>
                <w:rFonts w:eastAsia="Times New Roman" w:cs="Times New Roman"/>
                <w:iCs/>
                <w:noProof/>
                <w:sz w:val="20"/>
              </w:rPr>
            </w:pPr>
          </w:p>
        </w:tc>
        <w:tc>
          <w:tcPr>
            <w:tcW w:w="1701" w:type="dxa"/>
            <w:tcBorders>
              <w:top w:val="single" w:sz="4" w:space="0" w:color="auto"/>
              <w:bottom w:val="single" w:sz="4" w:space="0" w:color="auto"/>
            </w:tcBorders>
          </w:tcPr>
          <w:p w14:paraId="566C7724"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Sostinės regionas</w:t>
            </w:r>
          </w:p>
        </w:tc>
        <w:tc>
          <w:tcPr>
            <w:tcW w:w="1276" w:type="dxa"/>
            <w:vMerge/>
          </w:tcPr>
          <w:p w14:paraId="1A239318" w14:textId="77777777" w:rsidR="008327AE" w:rsidRPr="00B44B19" w:rsidRDefault="008327AE" w:rsidP="008327AE">
            <w:pPr>
              <w:jc w:val="center"/>
              <w:rPr>
                <w:rFonts w:cs="Times New Roman"/>
              </w:rPr>
            </w:pPr>
          </w:p>
        </w:tc>
        <w:tc>
          <w:tcPr>
            <w:tcW w:w="3495" w:type="dxa"/>
            <w:vMerge w:val="restart"/>
          </w:tcPr>
          <w:p w14:paraId="61CED296"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 xml:space="preserve">161 </w:t>
            </w:r>
            <w:r w:rsidR="00D43A78" w:rsidRPr="00B44B19">
              <w:rPr>
                <w:rFonts w:eastAsia="Times New Roman" w:cs="Times New Roman"/>
                <w:iCs/>
                <w:noProof/>
                <w:sz w:val="20"/>
              </w:rPr>
              <w:t>–</w:t>
            </w:r>
            <w:r w:rsidRPr="00B44B19">
              <w:rPr>
                <w:rFonts w:eastAsia="Times New Roman" w:cs="Times New Roman"/>
                <w:iCs/>
                <w:noProof/>
                <w:sz w:val="20"/>
              </w:rPr>
              <w:t xml:space="preserve"> Priemonės, kuriomis gerinamos galimybės naudotis ilgalaikės priežiūros paslaugomis (išskyrus infrastruktūrą)</w:t>
            </w:r>
          </w:p>
        </w:tc>
        <w:tc>
          <w:tcPr>
            <w:tcW w:w="1466" w:type="dxa"/>
            <w:tcBorders>
              <w:top w:val="single" w:sz="4" w:space="0" w:color="auto"/>
              <w:bottom w:val="single" w:sz="4" w:space="0" w:color="auto"/>
            </w:tcBorders>
          </w:tcPr>
          <w:p w14:paraId="5671C0A6" w14:textId="77777777" w:rsidR="008327AE" w:rsidRPr="00B44B19" w:rsidRDefault="008327AE" w:rsidP="008327AE">
            <w:pPr>
              <w:jc w:val="right"/>
              <w:rPr>
                <w:rFonts w:eastAsia="Times New Roman" w:cs="Times New Roman"/>
                <w:iCs/>
                <w:noProof/>
                <w:sz w:val="20"/>
              </w:rPr>
            </w:pPr>
            <w:r w:rsidRPr="00B44B19">
              <w:rPr>
                <w:rFonts w:eastAsia="Times New Roman" w:cs="Times New Roman"/>
                <w:iCs/>
                <w:noProof/>
                <w:sz w:val="20"/>
              </w:rPr>
              <w:t>3 368 100,00</w:t>
            </w:r>
          </w:p>
        </w:tc>
      </w:tr>
      <w:tr w:rsidR="008327AE" w:rsidRPr="00B44B19" w14:paraId="15D72F4A" w14:textId="77777777" w:rsidTr="00E863BA">
        <w:tc>
          <w:tcPr>
            <w:tcW w:w="1101" w:type="dxa"/>
            <w:vMerge/>
          </w:tcPr>
          <w:p w14:paraId="2B53108A" w14:textId="77777777" w:rsidR="008327AE" w:rsidRPr="00B44B19" w:rsidRDefault="008327AE" w:rsidP="008327AE">
            <w:pPr>
              <w:jc w:val="center"/>
              <w:rPr>
                <w:rFonts w:eastAsia="Times New Roman" w:cs="Times New Roman"/>
                <w:iCs/>
                <w:noProof/>
                <w:sz w:val="20"/>
              </w:rPr>
            </w:pPr>
          </w:p>
        </w:tc>
        <w:tc>
          <w:tcPr>
            <w:tcW w:w="850" w:type="dxa"/>
            <w:vMerge/>
          </w:tcPr>
          <w:p w14:paraId="2CAE3821" w14:textId="77777777" w:rsidR="008327AE" w:rsidRPr="00B44B19" w:rsidRDefault="008327AE" w:rsidP="008327AE">
            <w:pPr>
              <w:jc w:val="center"/>
              <w:rPr>
                <w:rFonts w:eastAsia="Times New Roman" w:cs="Times New Roman"/>
                <w:iCs/>
                <w:noProof/>
                <w:sz w:val="20"/>
              </w:rPr>
            </w:pPr>
          </w:p>
        </w:tc>
        <w:tc>
          <w:tcPr>
            <w:tcW w:w="1701" w:type="dxa"/>
            <w:tcBorders>
              <w:top w:val="single" w:sz="4" w:space="0" w:color="auto"/>
              <w:bottom w:val="single" w:sz="4" w:space="0" w:color="auto"/>
            </w:tcBorders>
          </w:tcPr>
          <w:p w14:paraId="32AC1418" w14:textId="77777777" w:rsidR="008327AE" w:rsidRPr="00B44B19" w:rsidRDefault="008327AE" w:rsidP="008327AE">
            <w:pPr>
              <w:rPr>
                <w:rFonts w:eastAsia="Times New Roman" w:cs="Times New Roman"/>
                <w:iCs/>
                <w:noProof/>
                <w:sz w:val="20"/>
              </w:rPr>
            </w:pPr>
            <w:r w:rsidRPr="00B44B19">
              <w:rPr>
                <w:rFonts w:eastAsia="Times New Roman" w:cs="Times New Roman"/>
                <w:iCs/>
                <w:noProof/>
                <w:sz w:val="20"/>
              </w:rPr>
              <w:t>VVL regionas</w:t>
            </w:r>
          </w:p>
        </w:tc>
        <w:tc>
          <w:tcPr>
            <w:tcW w:w="1276" w:type="dxa"/>
            <w:vMerge/>
          </w:tcPr>
          <w:p w14:paraId="0E8BA8D9" w14:textId="77777777" w:rsidR="008327AE" w:rsidRPr="00B44B19" w:rsidRDefault="008327AE" w:rsidP="008327AE">
            <w:pPr>
              <w:jc w:val="center"/>
              <w:rPr>
                <w:rFonts w:cs="Times New Roman"/>
              </w:rPr>
            </w:pPr>
          </w:p>
        </w:tc>
        <w:tc>
          <w:tcPr>
            <w:tcW w:w="3495" w:type="dxa"/>
            <w:vMerge/>
            <w:tcBorders>
              <w:bottom w:val="single" w:sz="4" w:space="0" w:color="auto"/>
            </w:tcBorders>
          </w:tcPr>
          <w:p w14:paraId="1ED9554A" w14:textId="77777777" w:rsidR="008327AE" w:rsidRPr="00B44B19" w:rsidRDefault="008327AE" w:rsidP="008327AE">
            <w:pPr>
              <w:jc w:val="center"/>
              <w:rPr>
                <w:rFonts w:eastAsia="Times New Roman" w:cs="Times New Roman"/>
                <w:iCs/>
                <w:noProof/>
                <w:sz w:val="20"/>
              </w:rPr>
            </w:pPr>
          </w:p>
        </w:tc>
        <w:tc>
          <w:tcPr>
            <w:tcW w:w="1466" w:type="dxa"/>
            <w:tcBorders>
              <w:top w:val="single" w:sz="4" w:space="0" w:color="auto"/>
              <w:bottom w:val="single" w:sz="4" w:space="0" w:color="auto"/>
            </w:tcBorders>
          </w:tcPr>
          <w:p w14:paraId="12A9C42A" w14:textId="17E92381" w:rsidR="008327AE" w:rsidRPr="00B44B19" w:rsidRDefault="006F59D5" w:rsidP="006F59D5">
            <w:pPr>
              <w:jc w:val="right"/>
              <w:rPr>
                <w:rFonts w:eastAsia="Times New Roman" w:cs="Times New Roman"/>
                <w:iCs/>
                <w:noProof/>
                <w:sz w:val="20"/>
              </w:rPr>
            </w:pPr>
            <w:r w:rsidRPr="00B44B19">
              <w:rPr>
                <w:rFonts w:cs="Times New Roman"/>
                <w:color w:val="000000"/>
                <w:sz w:val="20"/>
                <w:szCs w:val="20"/>
              </w:rPr>
              <w:t>55 323 410</w:t>
            </w:r>
            <w:r w:rsidR="00052295" w:rsidRPr="00B44B19">
              <w:rPr>
                <w:rFonts w:eastAsia="Times New Roman" w:cs="Times New Roman"/>
                <w:iCs/>
                <w:noProof/>
                <w:sz w:val="20"/>
                <w:lang w:val="en-US"/>
              </w:rPr>
              <w:t>,00</w:t>
            </w:r>
          </w:p>
        </w:tc>
      </w:tr>
    </w:tbl>
    <w:p w14:paraId="7B3DEDEA" w14:textId="77777777" w:rsidR="008327AE" w:rsidRPr="00B44B19" w:rsidRDefault="008327AE" w:rsidP="00796586">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701"/>
        <w:gridCol w:w="1228"/>
        <w:gridCol w:w="3450"/>
        <w:gridCol w:w="1559"/>
      </w:tblGrid>
      <w:tr w:rsidR="0066383D" w:rsidRPr="00B44B19" w14:paraId="6C41B004" w14:textId="77777777" w:rsidTr="00F903B1">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1DD2784" w14:textId="77777777" w:rsidR="0066383D" w:rsidRPr="00B44B19" w:rsidRDefault="0066383D" w:rsidP="0043624A">
            <w:pPr>
              <w:rPr>
                <w:rFonts w:eastAsia="Times New Roman" w:cs="Times New Roman"/>
                <w:b/>
                <w:iCs/>
                <w:noProof/>
                <w:sz w:val="20"/>
              </w:rPr>
            </w:pPr>
            <w:r w:rsidRPr="00B44B19">
              <w:rPr>
                <w:rFonts w:cs="Times New Roman"/>
                <w:b/>
                <w:noProof/>
                <w:sz w:val="20"/>
              </w:rPr>
              <w:t xml:space="preserve">5 lentelė. 2 matmuo. </w:t>
            </w:r>
            <w:r w:rsidR="0043624A" w:rsidRPr="00B44B19">
              <w:rPr>
                <w:rFonts w:cs="Times New Roman"/>
                <w:b/>
                <w:noProof/>
                <w:sz w:val="20"/>
              </w:rPr>
              <w:t>Finansavimo</w:t>
            </w:r>
            <w:r w:rsidR="00B366B4" w:rsidRPr="00B44B19">
              <w:rPr>
                <w:rFonts w:cs="Times New Roman"/>
                <w:b/>
                <w:noProof/>
                <w:sz w:val="20"/>
              </w:rPr>
              <w:t xml:space="preserve"> </w:t>
            </w:r>
            <w:r w:rsidRPr="00B44B19">
              <w:rPr>
                <w:rFonts w:cs="Times New Roman"/>
                <w:b/>
                <w:noProof/>
                <w:sz w:val="20"/>
              </w:rPr>
              <w:t>forma</w:t>
            </w:r>
          </w:p>
        </w:tc>
      </w:tr>
      <w:tr w:rsidR="0066383D" w:rsidRPr="00B44B19" w14:paraId="6B51C266" w14:textId="77777777" w:rsidTr="00F903B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0A8B1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86616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534572"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2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9BF383"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4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D9E54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3D6B7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052295" w:rsidRPr="00B44B19" w14:paraId="7891AB5D" w14:textId="77777777" w:rsidTr="00F903B1">
        <w:tc>
          <w:tcPr>
            <w:tcW w:w="1101" w:type="dxa"/>
            <w:vMerge w:val="restart"/>
            <w:tcBorders>
              <w:top w:val="single" w:sz="12" w:space="0" w:color="auto"/>
            </w:tcBorders>
          </w:tcPr>
          <w:p w14:paraId="3A9BA609" w14:textId="77777777" w:rsidR="00052295" w:rsidRPr="00B44B19" w:rsidRDefault="00052295" w:rsidP="0092310B">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003D7F2A" w14:textId="77777777" w:rsidR="00052295" w:rsidRPr="00B44B19" w:rsidRDefault="00052295" w:rsidP="0092310B">
            <w:pPr>
              <w:jc w:val="center"/>
              <w:rPr>
                <w:rFonts w:eastAsia="Times New Roman" w:cs="Times New Roman"/>
                <w:iCs/>
                <w:noProof/>
                <w:sz w:val="20"/>
              </w:rPr>
            </w:pPr>
            <w:r w:rsidRPr="00B44B19">
              <w:rPr>
                <w:rFonts w:eastAsia="Times New Roman" w:cs="Times New Roman"/>
                <w:iCs/>
                <w:noProof/>
                <w:sz w:val="20"/>
              </w:rPr>
              <w:t>ESF+</w:t>
            </w:r>
          </w:p>
        </w:tc>
        <w:tc>
          <w:tcPr>
            <w:tcW w:w="1701" w:type="dxa"/>
            <w:tcBorders>
              <w:top w:val="single" w:sz="12" w:space="0" w:color="auto"/>
              <w:bottom w:val="single" w:sz="4" w:space="0" w:color="auto"/>
            </w:tcBorders>
          </w:tcPr>
          <w:p w14:paraId="52442435" w14:textId="77777777" w:rsidR="00052295" w:rsidRPr="00B44B19" w:rsidRDefault="00052295" w:rsidP="0092310B">
            <w:pPr>
              <w:jc w:val="both"/>
              <w:rPr>
                <w:rFonts w:cs="Times New Roman"/>
                <w:noProof/>
                <w:sz w:val="20"/>
                <w:szCs w:val="20"/>
              </w:rPr>
            </w:pPr>
            <w:r w:rsidRPr="00B44B19">
              <w:rPr>
                <w:rFonts w:cs="Times New Roman"/>
                <w:noProof/>
                <w:sz w:val="20"/>
                <w:szCs w:val="20"/>
              </w:rPr>
              <w:t>Sostinės regionas</w:t>
            </w:r>
          </w:p>
        </w:tc>
        <w:tc>
          <w:tcPr>
            <w:tcW w:w="1228" w:type="dxa"/>
            <w:vMerge w:val="restart"/>
            <w:tcBorders>
              <w:top w:val="single" w:sz="12" w:space="0" w:color="auto"/>
            </w:tcBorders>
          </w:tcPr>
          <w:p w14:paraId="1B2DD6B4" w14:textId="77777777" w:rsidR="00052295" w:rsidRPr="00B44B19" w:rsidRDefault="00052295" w:rsidP="0092310B">
            <w:pPr>
              <w:jc w:val="center"/>
              <w:rPr>
                <w:rFonts w:eastAsia="Times New Roman" w:cs="Times New Roman"/>
                <w:iCs/>
                <w:noProof/>
                <w:sz w:val="20"/>
              </w:rPr>
            </w:pPr>
            <w:r w:rsidRPr="00B44B19">
              <w:rPr>
                <w:rFonts w:eastAsia="Times New Roman" w:cs="Times New Roman"/>
                <w:iCs/>
                <w:noProof/>
                <w:sz w:val="20"/>
              </w:rPr>
              <w:t>4.8</w:t>
            </w:r>
          </w:p>
        </w:tc>
        <w:tc>
          <w:tcPr>
            <w:tcW w:w="3450" w:type="dxa"/>
            <w:vMerge w:val="restart"/>
            <w:tcBorders>
              <w:top w:val="single" w:sz="12" w:space="0" w:color="auto"/>
            </w:tcBorders>
          </w:tcPr>
          <w:p w14:paraId="48928A43" w14:textId="77777777" w:rsidR="00052295" w:rsidRPr="00B44B19" w:rsidRDefault="00052295" w:rsidP="001776AF">
            <w:pPr>
              <w:rPr>
                <w:rFonts w:eastAsia="Times New Roman" w:cs="Times New Roman"/>
                <w:iCs/>
                <w:noProof/>
                <w:sz w:val="20"/>
              </w:rPr>
            </w:pPr>
            <w:r w:rsidRPr="00B44B19">
              <w:rPr>
                <w:rFonts w:eastAsia="Times New Roman" w:cs="Times New Roman"/>
                <w:iCs/>
                <w:noProof/>
                <w:sz w:val="20"/>
              </w:rPr>
              <w:t>01 – Dotacija</w:t>
            </w:r>
          </w:p>
        </w:tc>
        <w:tc>
          <w:tcPr>
            <w:tcW w:w="1559" w:type="dxa"/>
            <w:tcBorders>
              <w:top w:val="single" w:sz="12" w:space="0" w:color="auto"/>
              <w:bottom w:val="single" w:sz="4" w:space="0" w:color="auto"/>
            </w:tcBorders>
          </w:tcPr>
          <w:p w14:paraId="38CF0222" w14:textId="3B5FA0CB" w:rsidR="00052295" w:rsidRPr="00B44B19" w:rsidRDefault="00EC4943" w:rsidP="00EC4943">
            <w:pPr>
              <w:jc w:val="right"/>
              <w:rPr>
                <w:rFonts w:eastAsia="Times New Roman" w:cs="Times New Roman"/>
                <w:iCs/>
                <w:noProof/>
                <w:sz w:val="20"/>
              </w:rPr>
            </w:pPr>
            <w:r w:rsidRPr="00B44B19">
              <w:rPr>
                <w:rFonts w:cs="Times New Roman"/>
                <w:color w:val="000000"/>
                <w:sz w:val="20"/>
                <w:szCs w:val="20"/>
              </w:rPr>
              <w:t>26 006 960</w:t>
            </w:r>
            <w:r w:rsidR="00052295" w:rsidRPr="00B44B19">
              <w:rPr>
                <w:rFonts w:eastAsia="Times New Roman" w:cs="Times New Roman"/>
                <w:iCs/>
                <w:noProof/>
                <w:sz w:val="20"/>
              </w:rPr>
              <w:t>,00</w:t>
            </w:r>
          </w:p>
        </w:tc>
      </w:tr>
      <w:tr w:rsidR="00052295" w:rsidRPr="00B44B19" w14:paraId="3240412E" w14:textId="77777777" w:rsidTr="00F903B1">
        <w:tc>
          <w:tcPr>
            <w:tcW w:w="1101" w:type="dxa"/>
            <w:vMerge/>
          </w:tcPr>
          <w:p w14:paraId="076806E6" w14:textId="77777777" w:rsidR="00052295" w:rsidRPr="00B44B19" w:rsidRDefault="00052295" w:rsidP="0092310B">
            <w:pPr>
              <w:jc w:val="center"/>
              <w:rPr>
                <w:rFonts w:eastAsia="Times New Roman" w:cs="Times New Roman"/>
                <w:iCs/>
                <w:noProof/>
                <w:sz w:val="20"/>
              </w:rPr>
            </w:pPr>
          </w:p>
        </w:tc>
        <w:tc>
          <w:tcPr>
            <w:tcW w:w="850" w:type="dxa"/>
            <w:vMerge/>
          </w:tcPr>
          <w:p w14:paraId="3CDD5FA0" w14:textId="77777777" w:rsidR="00052295" w:rsidRPr="00B44B19" w:rsidRDefault="00052295" w:rsidP="0092310B">
            <w:pPr>
              <w:jc w:val="center"/>
              <w:rPr>
                <w:rFonts w:eastAsia="Times New Roman" w:cs="Times New Roman"/>
                <w:iCs/>
                <w:noProof/>
                <w:sz w:val="20"/>
              </w:rPr>
            </w:pPr>
          </w:p>
        </w:tc>
        <w:tc>
          <w:tcPr>
            <w:tcW w:w="1701" w:type="dxa"/>
            <w:tcBorders>
              <w:top w:val="single" w:sz="4" w:space="0" w:color="auto"/>
            </w:tcBorders>
          </w:tcPr>
          <w:p w14:paraId="13AA4E33" w14:textId="77777777" w:rsidR="00052295" w:rsidRPr="00B44B19" w:rsidRDefault="00052295" w:rsidP="0092310B">
            <w:pPr>
              <w:jc w:val="both"/>
              <w:rPr>
                <w:rFonts w:cs="Times New Roman"/>
                <w:noProof/>
                <w:sz w:val="20"/>
                <w:szCs w:val="20"/>
              </w:rPr>
            </w:pPr>
            <w:r w:rsidRPr="00B44B19">
              <w:rPr>
                <w:rFonts w:cs="Times New Roman"/>
                <w:noProof/>
                <w:sz w:val="20"/>
                <w:szCs w:val="20"/>
              </w:rPr>
              <w:t>VVL regionas</w:t>
            </w:r>
          </w:p>
        </w:tc>
        <w:tc>
          <w:tcPr>
            <w:tcW w:w="1228" w:type="dxa"/>
            <w:vMerge/>
          </w:tcPr>
          <w:p w14:paraId="0786C28A" w14:textId="77777777" w:rsidR="00052295" w:rsidRPr="00B44B19" w:rsidRDefault="00052295" w:rsidP="0092310B">
            <w:pPr>
              <w:jc w:val="center"/>
              <w:rPr>
                <w:rFonts w:cs="Times New Roman"/>
              </w:rPr>
            </w:pPr>
          </w:p>
        </w:tc>
        <w:tc>
          <w:tcPr>
            <w:tcW w:w="3450" w:type="dxa"/>
            <w:vMerge/>
          </w:tcPr>
          <w:p w14:paraId="57E1CA99" w14:textId="77777777" w:rsidR="00052295" w:rsidRPr="00B44B19" w:rsidRDefault="00052295" w:rsidP="0092310B">
            <w:pPr>
              <w:jc w:val="center"/>
              <w:rPr>
                <w:rFonts w:eastAsia="Times New Roman" w:cs="Times New Roman"/>
                <w:iCs/>
                <w:noProof/>
                <w:sz w:val="20"/>
              </w:rPr>
            </w:pPr>
          </w:p>
        </w:tc>
        <w:tc>
          <w:tcPr>
            <w:tcW w:w="1559" w:type="dxa"/>
            <w:tcBorders>
              <w:top w:val="single" w:sz="4" w:space="0" w:color="auto"/>
            </w:tcBorders>
          </w:tcPr>
          <w:p w14:paraId="0C263EB4" w14:textId="5EA85241" w:rsidR="00052295" w:rsidRPr="00B44B19" w:rsidRDefault="00EC4943" w:rsidP="00EC4943">
            <w:pPr>
              <w:jc w:val="right"/>
              <w:rPr>
                <w:rFonts w:eastAsia="Times New Roman" w:cs="Times New Roman"/>
                <w:iCs/>
                <w:noProof/>
                <w:sz w:val="20"/>
              </w:rPr>
            </w:pPr>
            <w:r w:rsidRPr="00B44B19">
              <w:rPr>
                <w:rFonts w:cs="Times New Roman"/>
                <w:color w:val="000000"/>
                <w:sz w:val="20"/>
                <w:szCs w:val="20"/>
              </w:rPr>
              <w:t>325 970 604</w:t>
            </w:r>
            <w:r w:rsidR="00052295" w:rsidRPr="00B44B19">
              <w:rPr>
                <w:rFonts w:eastAsia="Times New Roman" w:cs="Times New Roman"/>
                <w:iCs/>
                <w:noProof/>
                <w:sz w:val="20"/>
              </w:rPr>
              <w:t>,00</w:t>
            </w:r>
          </w:p>
        </w:tc>
      </w:tr>
    </w:tbl>
    <w:p w14:paraId="6611479E" w14:textId="77777777" w:rsidR="0066383D" w:rsidRPr="00B44B19" w:rsidRDefault="0066383D" w:rsidP="00796586">
      <w:pPr>
        <w:spacing w:after="0" w:line="240" w:lineRule="auto"/>
        <w:rPr>
          <w:rFonts w:eastAsia="Times New Roman" w:cs="Times New Roman"/>
          <w:iCs/>
          <w:noProof/>
          <w:sz w:val="20"/>
          <w:szCs w:val="20"/>
        </w:rPr>
      </w:pPr>
    </w:p>
    <w:tbl>
      <w:tblPr>
        <w:tblStyle w:val="Lentelstinklelis"/>
        <w:tblW w:w="9889" w:type="dxa"/>
        <w:tblLayout w:type="fixed"/>
        <w:tblLook w:val="04A0" w:firstRow="1" w:lastRow="0" w:firstColumn="1" w:lastColumn="0" w:noHBand="0" w:noVBand="1"/>
      </w:tblPr>
      <w:tblGrid>
        <w:gridCol w:w="1095"/>
        <w:gridCol w:w="849"/>
        <w:gridCol w:w="1708"/>
        <w:gridCol w:w="1134"/>
        <w:gridCol w:w="3544"/>
        <w:gridCol w:w="1559"/>
      </w:tblGrid>
      <w:tr w:rsidR="0031600C" w:rsidRPr="00B44B19" w14:paraId="441580AA" w14:textId="77777777" w:rsidTr="00796586">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FF5644C" w14:textId="77777777" w:rsidR="0031600C" w:rsidRPr="00B44B19" w:rsidRDefault="0031600C" w:rsidP="002526CB">
            <w:pPr>
              <w:rPr>
                <w:rFonts w:eastAsia="Times New Roman" w:cs="Times New Roman"/>
                <w:b/>
                <w:iCs/>
                <w:noProof/>
                <w:sz w:val="20"/>
              </w:rPr>
            </w:pPr>
            <w:r w:rsidRPr="00B44B19">
              <w:rPr>
                <w:rFonts w:cs="Times New Roman"/>
                <w:b/>
                <w:noProof/>
                <w:sz w:val="20"/>
              </w:rPr>
              <w:t>6 lentelė. 3 matmuo. Teritorinis įgyvendinimo mechanizmas ir pagrindinė teritorinė sritis</w:t>
            </w:r>
          </w:p>
        </w:tc>
      </w:tr>
      <w:tr w:rsidR="0031600C" w:rsidRPr="00B44B19" w14:paraId="0E604A24" w14:textId="77777777" w:rsidTr="00423E48">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F5D76C"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55FFA8"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Fondas</w:t>
            </w:r>
          </w:p>
        </w:tc>
        <w:tc>
          <w:tcPr>
            <w:tcW w:w="170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3DBD6D"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98DFEE"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D3856D"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B289E0"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Suma (EUR)</w:t>
            </w:r>
          </w:p>
        </w:tc>
      </w:tr>
      <w:tr w:rsidR="0031600C" w:rsidRPr="00B44B19" w14:paraId="1464D250" w14:textId="77777777" w:rsidTr="00423E48">
        <w:tc>
          <w:tcPr>
            <w:tcW w:w="1095" w:type="dxa"/>
            <w:vMerge w:val="restart"/>
            <w:tcBorders>
              <w:top w:val="single" w:sz="12" w:space="0" w:color="auto"/>
            </w:tcBorders>
          </w:tcPr>
          <w:p w14:paraId="1F0912E8" w14:textId="77777777" w:rsidR="0031600C" w:rsidRPr="00B44B19" w:rsidRDefault="0031600C" w:rsidP="002526CB">
            <w:pPr>
              <w:jc w:val="center"/>
              <w:rPr>
                <w:rFonts w:eastAsia="Times New Roman" w:cs="Times New Roman"/>
                <w:iCs/>
                <w:noProof/>
                <w:sz w:val="20"/>
              </w:rPr>
            </w:pPr>
            <w:bookmarkStart w:id="48" w:name="_Hlk86221259"/>
            <w:r w:rsidRPr="00B44B19">
              <w:rPr>
                <w:rFonts w:eastAsia="Times New Roman" w:cs="Times New Roman"/>
                <w:iCs/>
                <w:noProof/>
                <w:sz w:val="20"/>
              </w:rPr>
              <w:t>4</w:t>
            </w:r>
          </w:p>
        </w:tc>
        <w:tc>
          <w:tcPr>
            <w:tcW w:w="849" w:type="dxa"/>
            <w:vMerge w:val="restart"/>
            <w:tcBorders>
              <w:top w:val="single" w:sz="12" w:space="0" w:color="auto"/>
            </w:tcBorders>
          </w:tcPr>
          <w:p w14:paraId="3A27213A"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ESF+</w:t>
            </w:r>
          </w:p>
        </w:tc>
        <w:tc>
          <w:tcPr>
            <w:tcW w:w="1708" w:type="dxa"/>
            <w:tcBorders>
              <w:top w:val="single" w:sz="12" w:space="0" w:color="auto"/>
              <w:bottom w:val="single" w:sz="4" w:space="0" w:color="auto"/>
            </w:tcBorders>
          </w:tcPr>
          <w:p w14:paraId="0A328AD6"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5004E246" w14:textId="77777777" w:rsidR="0031600C" w:rsidRPr="00B44B19" w:rsidRDefault="0031600C" w:rsidP="002526CB">
            <w:pPr>
              <w:jc w:val="center"/>
              <w:rPr>
                <w:rFonts w:eastAsia="Times New Roman" w:cs="Times New Roman"/>
                <w:iCs/>
                <w:noProof/>
                <w:sz w:val="20"/>
              </w:rPr>
            </w:pPr>
            <w:r w:rsidRPr="00B44B19">
              <w:rPr>
                <w:rFonts w:eastAsia="Times New Roman" w:cs="Times New Roman"/>
                <w:iCs/>
                <w:noProof/>
                <w:sz w:val="20"/>
              </w:rPr>
              <w:t>4.8</w:t>
            </w:r>
          </w:p>
        </w:tc>
        <w:tc>
          <w:tcPr>
            <w:tcW w:w="3544" w:type="dxa"/>
            <w:vMerge w:val="restart"/>
            <w:tcBorders>
              <w:top w:val="single" w:sz="12" w:space="0" w:color="auto"/>
            </w:tcBorders>
          </w:tcPr>
          <w:p w14:paraId="6669698D" w14:textId="77777777" w:rsidR="0031600C" w:rsidRPr="00B44B19" w:rsidRDefault="0031600C" w:rsidP="002526CB">
            <w:pPr>
              <w:rPr>
                <w:rFonts w:eastAsia="Times New Roman" w:cs="Times New Roman"/>
                <w:bCs/>
                <w:iCs/>
                <w:noProof/>
                <w:sz w:val="20"/>
              </w:rPr>
            </w:pPr>
            <w:r w:rsidRPr="00B44B19">
              <w:rPr>
                <w:rFonts w:eastAsia="Times New Roman" w:cs="Times New Roman"/>
                <w:bCs/>
                <w:iCs/>
                <w:noProof/>
                <w:sz w:val="20"/>
              </w:rPr>
              <w:t xml:space="preserve">02 </w:t>
            </w:r>
            <w:r w:rsidR="00D43A78" w:rsidRPr="00B44B19">
              <w:rPr>
                <w:rFonts w:eastAsia="Times New Roman" w:cs="Times New Roman"/>
                <w:bCs/>
                <w:iCs/>
                <w:noProof/>
                <w:sz w:val="20"/>
              </w:rPr>
              <w:t>–</w:t>
            </w:r>
            <w:r w:rsidRPr="00B44B19">
              <w:rPr>
                <w:rFonts w:eastAsia="Times New Roman" w:cs="Times New Roman"/>
                <w:bCs/>
                <w:iCs/>
                <w:noProof/>
                <w:sz w:val="20"/>
              </w:rPr>
              <w:t xml:space="preserve"> Miestai, miesteliai ir priemiesčiai</w:t>
            </w:r>
          </w:p>
        </w:tc>
        <w:tc>
          <w:tcPr>
            <w:tcW w:w="1559" w:type="dxa"/>
            <w:tcBorders>
              <w:top w:val="single" w:sz="12" w:space="0" w:color="auto"/>
              <w:bottom w:val="single" w:sz="4" w:space="0" w:color="auto"/>
            </w:tcBorders>
          </w:tcPr>
          <w:p w14:paraId="7503230E" w14:textId="77777777" w:rsidR="0031600C" w:rsidRPr="00B44B19" w:rsidRDefault="0031600C" w:rsidP="002526CB">
            <w:pPr>
              <w:jc w:val="right"/>
              <w:rPr>
                <w:rFonts w:eastAsia="Times New Roman" w:cs="Times New Roman"/>
                <w:bCs/>
                <w:iCs/>
                <w:noProof/>
                <w:sz w:val="20"/>
              </w:rPr>
            </w:pPr>
            <w:r w:rsidRPr="00B44B19">
              <w:rPr>
                <w:rFonts w:eastAsia="Times New Roman" w:cs="Times New Roman"/>
                <w:bCs/>
                <w:iCs/>
                <w:noProof/>
                <w:sz w:val="20"/>
              </w:rPr>
              <w:t>667 128,00</w:t>
            </w:r>
          </w:p>
        </w:tc>
      </w:tr>
      <w:tr w:rsidR="0031600C" w:rsidRPr="00B44B19" w14:paraId="0F8E8573" w14:textId="77777777" w:rsidTr="00423E48">
        <w:trPr>
          <w:trHeight w:val="223"/>
        </w:trPr>
        <w:tc>
          <w:tcPr>
            <w:tcW w:w="1095" w:type="dxa"/>
            <w:vMerge/>
          </w:tcPr>
          <w:p w14:paraId="7AE51536" w14:textId="77777777" w:rsidR="0031600C" w:rsidRPr="00B44B19" w:rsidRDefault="0031600C" w:rsidP="002526CB">
            <w:pPr>
              <w:jc w:val="center"/>
              <w:rPr>
                <w:rFonts w:eastAsia="Times New Roman" w:cs="Times New Roman"/>
                <w:iCs/>
                <w:noProof/>
                <w:sz w:val="20"/>
              </w:rPr>
            </w:pPr>
          </w:p>
        </w:tc>
        <w:tc>
          <w:tcPr>
            <w:tcW w:w="849" w:type="dxa"/>
            <w:vMerge/>
          </w:tcPr>
          <w:p w14:paraId="416BA3C4" w14:textId="77777777" w:rsidR="0031600C" w:rsidRPr="00B44B19" w:rsidRDefault="0031600C" w:rsidP="002526CB">
            <w:pPr>
              <w:rPr>
                <w:rFonts w:eastAsia="Times New Roman" w:cs="Times New Roman"/>
                <w:iCs/>
                <w:noProof/>
                <w:sz w:val="20"/>
              </w:rPr>
            </w:pPr>
          </w:p>
        </w:tc>
        <w:tc>
          <w:tcPr>
            <w:tcW w:w="1708" w:type="dxa"/>
            <w:tcBorders>
              <w:top w:val="single" w:sz="4" w:space="0" w:color="auto"/>
              <w:bottom w:val="single" w:sz="4" w:space="0" w:color="auto"/>
            </w:tcBorders>
          </w:tcPr>
          <w:p w14:paraId="59766673"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2E453839" w14:textId="77777777" w:rsidR="0031600C" w:rsidRPr="00B44B19" w:rsidRDefault="0031600C" w:rsidP="002526CB">
            <w:pPr>
              <w:jc w:val="center"/>
              <w:rPr>
                <w:rFonts w:eastAsia="Times New Roman" w:cs="Times New Roman"/>
                <w:iCs/>
                <w:noProof/>
                <w:sz w:val="20"/>
              </w:rPr>
            </w:pPr>
          </w:p>
        </w:tc>
        <w:tc>
          <w:tcPr>
            <w:tcW w:w="3544" w:type="dxa"/>
            <w:vMerge/>
          </w:tcPr>
          <w:p w14:paraId="308AB282" w14:textId="77777777" w:rsidR="0031600C" w:rsidRPr="00B44B19" w:rsidRDefault="0031600C" w:rsidP="002526CB">
            <w:pPr>
              <w:spacing w:after="200" w:line="276" w:lineRule="auto"/>
              <w:rPr>
                <w:rFonts w:eastAsia="Times New Roman" w:cs="Times New Roman"/>
                <w:bCs/>
                <w:iCs/>
                <w:noProof/>
                <w:sz w:val="20"/>
              </w:rPr>
            </w:pPr>
          </w:p>
        </w:tc>
        <w:tc>
          <w:tcPr>
            <w:tcW w:w="1559" w:type="dxa"/>
            <w:tcBorders>
              <w:top w:val="single" w:sz="4" w:space="0" w:color="auto"/>
              <w:bottom w:val="single" w:sz="4" w:space="0" w:color="auto"/>
            </w:tcBorders>
          </w:tcPr>
          <w:p w14:paraId="53EEE9DC" w14:textId="77777777" w:rsidR="0031600C" w:rsidRPr="00B44B19" w:rsidRDefault="00193865" w:rsidP="00423E48">
            <w:pPr>
              <w:jc w:val="right"/>
              <w:rPr>
                <w:rFonts w:eastAsia="Times New Roman" w:cs="Times New Roman"/>
                <w:bCs/>
                <w:iCs/>
                <w:noProof/>
                <w:sz w:val="20"/>
              </w:rPr>
            </w:pPr>
            <w:r w:rsidRPr="00B44B19">
              <w:rPr>
                <w:rFonts w:eastAsia="Times New Roman" w:cs="Times New Roman"/>
                <w:bCs/>
                <w:iCs/>
                <w:noProof/>
                <w:sz w:val="20"/>
              </w:rPr>
              <w:t>5 099 215,00</w:t>
            </w:r>
          </w:p>
        </w:tc>
      </w:tr>
      <w:tr w:rsidR="0031600C" w:rsidRPr="00B44B19" w14:paraId="1A0CE739" w14:textId="77777777" w:rsidTr="00423E48">
        <w:tc>
          <w:tcPr>
            <w:tcW w:w="1095" w:type="dxa"/>
            <w:vMerge/>
          </w:tcPr>
          <w:p w14:paraId="69A24F29" w14:textId="77777777" w:rsidR="0031600C" w:rsidRPr="00B44B19" w:rsidRDefault="0031600C" w:rsidP="002526CB">
            <w:pPr>
              <w:jc w:val="center"/>
              <w:rPr>
                <w:rFonts w:eastAsia="Times New Roman" w:cs="Times New Roman"/>
                <w:iCs/>
                <w:noProof/>
                <w:sz w:val="20"/>
              </w:rPr>
            </w:pPr>
          </w:p>
        </w:tc>
        <w:tc>
          <w:tcPr>
            <w:tcW w:w="849" w:type="dxa"/>
            <w:vMerge/>
          </w:tcPr>
          <w:p w14:paraId="12C3D58D" w14:textId="77777777" w:rsidR="0031600C" w:rsidRPr="00B44B19" w:rsidRDefault="0031600C" w:rsidP="002526CB">
            <w:pPr>
              <w:rPr>
                <w:rFonts w:eastAsia="Times New Roman" w:cs="Times New Roman"/>
                <w:iCs/>
                <w:noProof/>
                <w:sz w:val="20"/>
              </w:rPr>
            </w:pPr>
          </w:p>
        </w:tc>
        <w:tc>
          <w:tcPr>
            <w:tcW w:w="1708" w:type="dxa"/>
            <w:tcBorders>
              <w:top w:val="single" w:sz="4" w:space="0" w:color="auto"/>
              <w:bottom w:val="single" w:sz="4" w:space="0" w:color="auto"/>
            </w:tcBorders>
          </w:tcPr>
          <w:p w14:paraId="7DE44D26"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3A709D39" w14:textId="77777777" w:rsidR="0031600C" w:rsidRPr="00B44B19" w:rsidRDefault="0031600C" w:rsidP="002526CB">
            <w:pPr>
              <w:jc w:val="center"/>
              <w:rPr>
                <w:rFonts w:eastAsia="Times New Roman" w:cs="Times New Roman"/>
                <w:iCs/>
                <w:noProof/>
                <w:sz w:val="20"/>
              </w:rPr>
            </w:pPr>
          </w:p>
        </w:tc>
        <w:tc>
          <w:tcPr>
            <w:tcW w:w="3544" w:type="dxa"/>
            <w:vMerge w:val="restart"/>
          </w:tcPr>
          <w:p w14:paraId="0D4C5546" w14:textId="77777777" w:rsidR="0031600C" w:rsidRPr="00B44B19" w:rsidRDefault="0031600C" w:rsidP="002526CB">
            <w:pPr>
              <w:rPr>
                <w:rFonts w:eastAsia="Times New Roman" w:cs="Times New Roman"/>
                <w:bCs/>
                <w:iCs/>
                <w:noProof/>
                <w:sz w:val="20"/>
              </w:rPr>
            </w:pPr>
            <w:r w:rsidRPr="00B44B19">
              <w:rPr>
                <w:rFonts w:eastAsia="Times New Roman" w:cs="Times New Roman"/>
                <w:bCs/>
                <w:iCs/>
                <w:noProof/>
                <w:sz w:val="20"/>
              </w:rPr>
              <w:t xml:space="preserve">08 </w:t>
            </w:r>
            <w:r w:rsidR="00D43A78" w:rsidRPr="00B44B19">
              <w:rPr>
                <w:rFonts w:eastAsia="Times New Roman" w:cs="Times New Roman"/>
                <w:bCs/>
                <w:iCs/>
                <w:noProof/>
                <w:sz w:val="20"/>
              </w:rPr>
              <w:t>–</w:t>
            </w:r>
            <w:r w:rsidRPr="00B44B19">
              <w:rPr>
                <w:rFonts w:eastAsia="Times New Roman" w:cs="Times New Roman"/>
                <w:bCs/>
                <w:iCs/>
                <w:noProof/>
                <w:sz w:val="20"/>
              </w:rPr>
              <w:t xml:space="preserve"> Kitų rūšių tikslinės teritorijos</w:t>
            </w:r>
          </w:p>
        </w:tc>
        <w:tc>
          <w:tcPr>
            <w:tcW w:w="1559" w:type="dxa"/>
            <w:tcBorders>
              <w:top w:val="single" w:sz="4" w:space="0" w:color="auto"/>
              <w:bottom w:val="single" w:sz="4" w:space="0" w:color="auto"/>
            </w:tcBorders>
          </w:tcPr>
          <w:p w14:paraId="44700F6F" w14:textId="77777777" w:rsidR="0031600C" w:rsidRPr="00B44B19" w:rsidRDefault="0031600C" w:rsidP="002526CB">
            <w:pPr>
              <w:jc w:val="right"/>
              <w:rPr>
                <w:rFonts w:eastAsia="Times New Roman" w:cs="Times New Roman"/>
                <w:iCs/>
                <w:noProof/>
                <w:sz w:val="20"/>
              </w:rPr>
            </w:pPr>
            <w:r w:rsidRPr="00B44B19">
              <w:rPr>
                <w:rFonts w:eastAsia="Times New Roman" w:cs="Times New Roman"/>
                <w:bCs/>
                <w:iCs/>
                <w:noProof/>
                <w:sz w:val="20"/>
              </w:rPr>
              <w:t>667 128,00</w:t>
            </w:r>
          </w:p>
        </w:tc>
      </w:tr>
      <w:tr w:rsidR="0031600C" w:rsidRPr="00B44B19" w14:paraId="3F3D4F93" w14:textId="77777777" w:rsidTr="00423E48">
        <w:tc>
          <w:tcPr>
            <w:tcW w:w="1095" w:type="dxa"/>
            <w:vMerge/>
          </w:tcPr>
          <w:p w14:paraId="7C0F3DA3" w14:textId="77777777" w:rsidR="0031600C" w:rsidRPr="00B44B19" w:rsidRDefault="0031600C" w:rsidP="002526CB">
            <w:pPr>
              <w:jc w:val="center"/>
              <w:rPr>
                <w:rFonts w:eastAsia="Times New Roman" w:cs="Times New Roman"/>
                <w:iCs/>
                <w:noProof/>
                <w:sz w:val="20"/>
              </w:rPr>
            </w:pPr>
          </w:p>
        </w:tc>
        <w:tc>
          <w:tcPr>
            <w:tcW w:w="849" w:type="dxa"/>
            <w:vMerge/>
          </w:tcPr>
          <w:p w14:paraId="6FBC7E70" w14:textId="77777777" w:rsidR="0031600C" w:rsidRPr="00B44B19" w:rsidRDefault="0031600C" w:rsidP="002526CB">
            <w:pPr>
              <w:rPr>
                <w:rFonts w:eastAsia="Times New Roman" w:cs="Times New Roman"/>
                <w:iCs/>
                <w:noProof/>
                <w:sz w:val="20"/>
              </w:rPr>
            </w:pPr>
          </w:p>
        </w:tc>
        <w:tc>
          <w:tcPr>
            <w:tcW w:w="1708" w:type="dxa"/>
            <w:tcBorders>
              <w:top w:val="single" w:sz="4" w:space="0" w:color="auto"/>
              <w:bottom w:val="single" w:sz="4" w:space="0" w:color="auto"/>
            </w:tcBorders>
          </w:tcPr>
          <w:p w14:paraId="2D4B8201"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4C728D2" w14:textId="77777777" w:rsidR="0031600C" w:rsidRPr="00B44B19" w:rsidRDefault="0031600C" w:rsidP="002526CB">
            <w:pPr>
              <w:jc w:val="center"/>
              <w:rPr>
                <w:rFonts w:eastAsia="Times New Roman" w:cs="Times New Roman"/>
                <w:iCs/>
                <w:noProof/>
                <w:sz w:val="20"/>
              </w:rPr>
            </w:pPr>
          </w:p>
        </w:tc>
        <w:tc>
          <w:tcPr>
            <w:tcW w:w="3544" w:type="dxa"/>
            <w:vMerge/>
          </w:tcPr>
          <w:p w14:paraId="2775CC91" w14:textId="77777777" w:rsidR="0031600C" w:rsidRPr="00B44B19" w:rsidRDefault="0031600C" w:rsidP="002526CB">
            <w:pPr>
              <w:jc w:val="center"/>
              <w:rPr>
                <w:rFonts w:eastAsia="Times New Roman" w:cs="Times New Roman"/>
                <w:bCs/>
                <w:iCs/>
                <w:noProof/>
                <w:sz w:val="20"/>
              </w:rPr>
            </w:pPr>
          </w:p>
        </w:tc>
        <w:tc>
          <w:tcPr>
            <w:tcW w:w="1559" w:type="dxa"/>
            <w:tcBorders>
              <w:top w:val="single" w:sz="4" w:space="0" w:color="auto"/>
              <w:bottom w:val="single" w:sz="4" w:space="0" w:color="auto"/>
            </w:tcBorders>
          </w:tcPr>
          <w:p w14:paraId="6D35AD11" w14:textId="77777777" w:rsidR="0031600C" w:rsidRPr="00B44B19" w:rsidRDefault="00193865" w:rsidP="00724D41">
            <w:pPr>
              <w:jc w:val="right"/>
              <w:rPr>
                <w:rFonts w:eastAsia="Times New Roman" w:cs="Times New Roman"/>
                <w:iCs/>
                <w:noProof/>
                <w:sz w:val="20"/>
              </w:rPr>
            </w:pPr>
            <w:r w:rsidRPr="00B44B19">
              <w:rPr>
                <w:rFonts w:eastAsia="Times New Roman" w:cs="Times New Roman"/>
                <w:bCs/>
                <w:iCs/>
                <w:noProof/>
                <w:sz w:val="20"/>
              </w:rPr>
              <w:t>5 099 215,00</w:t>
            </w:r>
          </w:p>
        </w:tc>
      </w:tr>
      <w:tr w:rsidR="00052295" w:rsidRPr="00B44B19" w14:paraId="663D2CF1" w14:textId="77777777" w:rsidTr="00423E48">
        <w:tc>
          <w:tcPr>
            <w:tcW w:w="1095" w:type="dxa"/>
            <w:vMerge/>
          </w:tcPr>
          <w:p w14:paraId="2E22918C" w14:textId="77777777" w:rsidR="00052295" w:rsidRPr="00B44B19" w:rsidRDefault="00052295" w:rsidP="002526CB">
            <w:pPr>
              <w:jc w:val="center"/>
              <w:rPr>
                <w:rFonts w:eastAsia="Times New Roman" w:cs="Times New Roman"/>
                <w:iCs/>
                <w:noProof/>
                <w:sz w:val="20"/>
              </w:rPr>
            </w:pPr>
          </w:p>
        </w:tc>
        <w:tc>
          <w:tcPr>
            <w:tcW w:w="849" w:type="dxa"/>
            <w:vMerge/>
          </w:tcPr>
          <w:p w14:paraId="7F3664D9" w14:textId="77777777" w:rsidR="00052295" w:rsidRPr="00B44B19" w:rsidRDefault="00052295" w:rsidP="002526CB">
            <w:pPr>
              <w:rPr>
                <w:rFonts w:eastAsia="Times New Roman" w:cs="Times New Roman"/>
                <w:iCs/>
                <w:noProof/>
                <w:sz w:val="20"/>
              </w:rPr>
            </w:pPr>
          </w:p>
        </w:tc>
        <w:tc>
          <w:tcPr>
            <w:tcW w:w="1708" w:type="dxa"/>
            <w:tcBorders>
              <w:top w:val="single" w:sz="4" w:space="0" w:color="auto"/>
              <w:bottom w:val="single" w:sz="4" w:space="0" w:color="auto"/>
            </w:tcBorders>
          </w:tcPr>
          <w:p w14:paraId="64C7D37D" w14:textId="77777777" w:rsidR="00052295" w:rsidRPr="00B44B19" w:rsidRDefault="00052295" w:rsidP="002526CB">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61094996" w14:textId="77777777" w:rsidR="00052295" w:rsidRPr="00B44B19" w:rsidRDefault="00052295" w:rsidP="002526CB">
            <w:pPr>
              <w:jc w:val="center"/>
              <w:rPr>
                <w:rFonts w:eastAsia="Times New Roman" w:cs="Times New Roman"/>
                <w:iCs/>
                <w:noProof/>
                <w:sz w:val="20"/>
              </w:rPr>
            </w:pPr>
          </w:p>
        </w:tc>
        <w:tc>
          <w:tcPr>
            <w:tcW w:w="3544" w:type="dxa"/>
            <w:vMerge w:val="restart"/>
          </w:tcPr>
          <w:p w14:paraId="3C58DDE7" w14:textId="77777777" w:rsidR="00052295" w:rsidRPr="00B44B19" w:rsidRDefault="00052295" w:rsidP="002526CB">
            <w:pPr>
              <w:rPr>
                <w:rFonts w:eastAsia="Times New Roman" w:cs="Times New Roman"/>
                <w:bCs/>
                <w:iCs/>
                <w:noProof/>
                <w:sz w:val="20"/>
              </w:rPr>
            </w:pPr>
            <w:r w:rsidRPr="00B44B19">
              <w:rPr>
                <w:rFonts w:eastAsia="Times New Roman" w:cs="Times New Roman"/>
                <w:bCs/>
                <w:iCs/>
                <w:noProof/>
                <w:sz w:val="20"/>
              </w:rPr>
              <w:t>33 – Nesiorientuojant į teritoriškumą</w:t>
            </w:r>
          </w:p>
        </w:tc>
        <w:tc>
          <w:tcPr>
            <w:tcW w:w="1559" w:type="dxa"/>
            <w:tcBorders>
              <w:top w:val="single" w:sz="4" w:space="0" w:color="auto"/>
              <w:bottom w:val="single" w:sz="4" w:space="0" w:color="auto"/>
            </w:tcBorders>
          </w:tcPr>
          <w:p w14:paraId="3845BBAA" w14:textId="10FF55DC" w:rsidR="00052295" w:rsidRPr="00B44B19" w:rsidRDefault="00EC4943" w:rsidP="00EC4943">
            <w:pPr>
              <w:jc w:val="right"/>
              <w:rPr>
                <w:rFonts w:eastAsia="Times New Roman" w:cs="Times New Roman"/>
                <w:iCs/>
                <w:noProof/>
                <w:sz w:val="20"/>
              </w:rPr>
            </w:pPr>
            <w:r w:rsidRPr="00B44B19">
              <w:rPr>
                <w:rFonts w:cs="Times New Roman"/>
                <w:color w:val="000000"/>
                <w:sz w:val="20"/>
                <w:szCs w:val="20"/>
              </w:rPr>
              <w:t>24 672 704</w:t>
            </w:r>
            <w:r w:rsidR="00052295" w:rsidRPr="00B44B19">
              <w:rPr>
                <w:rFonts w:eastAsia="Times New Roman" w:cs="Times New Roman"/>
                <w:bCs/>
                <w:iCs/>
                <w:noProof/>
                <w:sz w:val="20"/>
              </w:rPr>
              <w:t>,00</w:t>
            </w:r>
          </w:p>
        </w:tc>
      </w:tr>
      <w:tr w:rsidR="00052295" w:rsidRPr="00B44B19" w14:paraId="3551A42E" w14:textId="77777777" w:rsidTr="00423E48">
        <w:tc>
          <w:tcPr>
            <w:tcW w:w="1095" w:type="dxa"/>
            <w:vMerge/>
          </w:tcPr>
          <w:p w14:paraId="53F1FEA1" w14:textId="77777777" w:rsidR="00052295" w:rsidRPr="00B44B19" w:rsidRDefault="00052295" w:rsidP="002526CB">
            <w:pPr>
              <w:jc w:val="center"/>
              <w:rPr>
                <w:rFonts w:eastAsia="Times New Roman" w:cs="Times New Roman"/>
                <w:iCs/>
                <w:noProof/>
                <w:sz w:val="20"/>
              </w:rPr>
            </w:pPr>
          </w:p>
        </w:tc>
        <w:tc>
          <w:tcPr>
            <w:tcW w:w="849" w:type="dxa"/>
            <w:vMerge/>
          </w:tcPr>
          <w:p w14:paraId="05C2419B" w14:textId="77777777" w:rsidR="00052295" w:rsidRPr="00B44B19" w:rsidRDefault="00052295" w:rsidP="002526CB">
            <w:pPr>
              <w:rPr>
                <w:rFonts w:eastAsia="Times New Roman" w:cs="Times New Roman"/>
                <w:iCs/>
                <w:noProof/>
                <w:sz w:val="20"/>
              </w:rPr>
            </w:pPr>
          </w:p>
        </w:tc>
        <w:tc>
          <w:tcPr>
            <w:tcW w:w="1708" w:type="dxa"/>
            <w:tcBorders>
              <w:top w:val="single" w:sz="4" w:space="0" w:color="auto"/>
            </w:tcBorders>
          </w:tcPr>
          <w:p w14:paraId="085B85FE" w14:textId="77777777" w:rsidR="00052295" w:rsidRPr="00B44B19" w:rsidRDefault="00052295" w:rsidP="002526CB">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3A301AF8" w14:textId="77777777" w:rsidR="00052295" w:rsidRPr="00B44B19" w:rsidRDefault="00052295" w:rsidP="002526CB">
            <w:pPr>
              <w:jc w:val="center"/>
              <w:rPr>
                <w:rFonts w:eastAsia="Times New Roman" w:cs="Times New Roman"/>
                <w:iCs/>
                <w:noProof/>
                <w:sz w:val="20"/>
              </w:rPr>
            </w:pPr>
          </w:p>
        </w:tc>
        <w:tc>
          <w:tcPr>
            <w:tcW w:w="3544" w:type="dxa"/>
            <w:vMerge/>
          </w:tcPr>
          <w:p w14:paraId="628770B0" w14:textId="77777777" w:rsidR="00052295" w:rsidRPr="00B44B19" w:rsidRDefault="00052295" w:rsidP="002526CB">
            <w:pPr>
              <w:jc w:val="center"/>
              <w:rPr>
                <w:rFonts w:eastAsia="Times New Roman" w:cs="Times New Roman"/>
                <w:bCs/>
                <w:iCs/>
                <w:noProof/>
                <w:sz w:val="20"/>
              </w:rPr>
            </w:pPr>
          </w:p>
        </w:tc>
        <w:tc>
          <w:tcPr>
            <w:tcW w:w="1559" w:type="dxa"/>
            <w:tcBorders>
              <w:top w:val="single" w:sz="4" w:space="0" w:color="auto"/>
            </w:tcBorders>
          </w:tcPr>
          <w:p w14:paraId="00FAEC8E" w14:textId="2E2BAC6B" w:rsidR="00052295" w:rsidRPr="00B44B19" w:rsidRDefault="00EC4943" w:rsidP="00EC4943">
            <w:pPr>
              <w:jc w:val="right"/>
              <w:rPr>
                <w:rFonts w:eastAsia="Times New Roman" w:cs="Times New Roman"/>
                <w:iCs/>
                <w:noProof/>
                <w:sz w:val="20"/>
              </w:rPr>
            </w:pPr>
            <w:r w:rsidRPr="00B44B19">
              <w:rPr>
                <w:rFonts w:cs="Times New Roman"/>
                <w:color w:val="000000"/>
                <w:sz w:val="20"/>
                <w:szCs w:val="20"/>
              </w:rPr>
              <w:t>315 772 174</w:t>
            </w:r>
            <w:r w:rsidR="00052295" w:rsidRPr="00B44B19">
              <w:rPr>
                <w:rFonts w:eastAsia="Times New Roman" w:cs="Times New Roman"/>
                <w:iCs/>
                <w:noProof/>
                <w:sz w:val="20"/>
              </w:rPr>
              <w:t>,00</w:t>
            </w:r>
          </w:p>
        </w:tc>
      </w:tr>
      <w:bookmarkEnd w:id="48"/>
    </w:tbl>
    <w:p w14:paraId="18145314" w14:textId="77777777" w:rsidR="0031600C" w:rsidRPr="00B44B19" w:rsidRDefault="0031600C" w:rsidP="00796586">
      <w:pPr>
        <w:spacing w:after="0" w:line="240" w:lineRule="auto"/>
        <w:rPr>
          <w:rFonts w:cs="Times New Roman"/>
          <w:sz w:val="20"/>
          <w:szCs w:val="20"/>
        </w:rPr>
      </w:pPr>
    </w:p>
    <w:tbl>
      <w:tblPr>
        <w:tblStyle w:val="Lentelstinklelis"/>
        <w:tblW w:w="9889" w:type="dxa"/>
        <w:tblLayout w:type="fixed"/>
        <w:tblLook w:val="04A0" w:firstRow="1" w:lastRow="0" w:firstColumn="1" w:lastColumn="0" w:noHBand="0" w:noVBand="1"/>
      </w:tblPr>
      <w:tblGrid>
        <w:gridCol w:w="1101"/>
        <w:gridCol w:w="850"/>
        <w:gridCol w:w="1701"/>
        <w:gridCol w:w="1134"/>
        <w:gridCol w:w="3637"/>
        <w:gridCol w:w="1466"/>
      </w:tblGrid>
      <w:tr w:rsidR="0031600C" w:rsidRPr="00B44B19" w14:paraId="1C9497F7" w14:textId="77777777" w:rsidTr="00423E48">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EC3E77D" w14:textId="77777777" w:rsidR="0031600C" w:rsidRPr="00B44B19" w:rsidRDefault="0031600C" w:rsidP="002526CB">
            <w:pPr>
              <w:rPr>
                <w:rFonts w:eastAsia="Times New Roman" w:cs="Times New Roman"/>
                <w:b/>
                <w:iCs/>
                <w:noProof/>
                <w:sz w:val="20"/>
              </w:rPr>
            </w:pPr>
            <w:r w:rsidRPr="00B44B19">
              <w:rPr>
                <w:rFonts w:cs="Times New Roman"/>
                <w:b/>
                <w:noProof/>
                <w:sz w:val="20"/>
              </w:rPr>
              <w:t>7 lentelė. 6 matmuo. ESF+ antrinės temos</w:t>
            </w:r>
          </w:p>
        </w:tc>
      </w:tr>
      <w:tr w:rsidR="0031600C" w:rsidRPr="00B44B19" w14:paraId="35095CBE" w14:textId="77777777" w:rsidTr="000274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96AFF5"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E8F996"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BBB015"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5EDF22"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Konkretus uždavinys</w:t>
            </w:r>
          </w:p>
        </w:tc>
        <w:tc>
          <w:tcPr>
            <w:tcW w:w="3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A2FC75"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Kodas</w:t>
            </w:r>
          </w:p>
        </w:tc>
        <w:tc>
          <w:tcPr>
            <w:tcW w:w="146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BFDEE" w14:textId="77777777" w:rsidR="0031600C" w:rsidRPr="00B44B19" w:rsidRDefault="0031600C" w:rsidP="002526CB">
            <w:pPr>
              <w:jc w:val="center"/>
              <w:rPr>
                <w:rFonts w:eastAsia="Times New Roman" w:cs="Times New Roman"/>
                <w:b/>
                <w:iCs/>
                <w:noProof/>
                <w:sz w:val="20"/>
              </w:rPr>
            </w:pPr>
            <w:r w:rsidRPr="00B44B19">
              <w:rPr>
                <w:rFonts w:cs="Times New Roman"/>
                <w:b/>
                <w:noProof/>
                <w:sz w:val="20"/>
              </w:rPr>
              <w:t>Suma (EUR)</w:t>
            </w:r>
          </w:p>
        </w:tc>
      </w:tr>
      <w:tr w:rsidR="0031600C" w:rsidRPr="00B44B19" w14:paraId="4B689FB7" w14:textId="77777777" w:rsidTr="0002743E">
        <w:tc>
          <w:tcPr>
            <w:tcW w:w="1101" w:type="dxa"/>
            <w:vMerge w:val="restart"/>
            <w:tcBorders>
              <w:top w:val="single" w:sz="12" w:space="0" w:color="auto"/>
            </w:tcBorders>
          </w:tcPr>
          <w:p w14:paraId="4337B13A" w14:textId="77777777" w:rsidR="0031600C" w:rsidRPr="00B44B19" w:rsidRDefault="0031600C" w:rsidP="002526CB">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4A96CD7E" w14:textId="77777777" w:rsidR="0031600C" w:rsidRPr="00B44B19" w:rsidRDefault="0031600C" w:rsidP="002526CB">
            <w:pPr>
              <w:jc w:val="center"/>
              <w:rPr>
                <w:rFonts w:eastAsia="Times New Roman" w:cs="Times New Roman"/>
                <w:iCs/>
                <w:noProof/>
                <w:sz w:val="20"/>
              </w:rPr>
            </w:pPr>
            <w:r w:rsidRPr="00B44B19">
              <w:rPr>
                <w:rFonts w:eastAsia="Times New Roman" w:cs="Times New Roman"/>
                <w:iCs/>
                <w:noProof/>
                <w:sz w:val="20"/>
              </w:rPr>
              <w:t>ESF+</w:t>
            </w:r>
          </w:p>
        </w:tc>
        <w:tc>
          <w:tcPr>
            <w:tcW w:w="1701" w:type="dxa"/>
            <w:tcBorders>
              <w:top w:val="single" w:sz="12" w:space="0" w:color="auto"/>
              <w:bottom w:val="single" w:sz="4" w:space="0" w:color="auto"/>
            </w:tcBorders>
          </w:tcPr>
          <w:p w14:paraId="1656494C" w14:textId="77777777" w:rsidR="0031600C" w:rsidRPr="00B44B19" w:rsidRDefault="0031600C" w:rsidP="002526CB">
            <w:pPr>
              <w:jc w:val="both"/>
              <w:rPr>
                <w:rFonts w:cs="Times New Roman"/>
                <w:noProof/>
                <w:sz w:val="20"/>
                <w:szCs w:val="20"/>
              </w:rPr>
            </w:pPr>
            <w:r w:rsidRPr="00B44B19">
              <w:rPr>
                <w:rFonts w:cs="Times New Roman"/>
                <w:noProof/>
                <w:sz w:val="20"/>
                <w:szCs w:val="20"/>
              </w:rPr>
              <w:t>Sostinės regionas</w:t>
            </w:r>
          </w:p>
        </w:tc>
        <w:tc>
          <w:tcPr>
            <w:tcW w:w="1134" w:type="dxa"/>
            <w:vMerge w:val="restart"/>
            <w:tcBorders>
              <w:top w:val="single" w:sz="12" w:space="0" w:color="auto"/>
            </w:tcBorders>
          </w:tcPr>
          <w:p w14:paraId="07469904" w14:textId="77777777" w:rsidR="0031600C" w:rsidRPr="00B44B19" w:rsidRDefault="0031600C" w:rsidP="002526CB">
            <w:pPr>
              <w:jc w:val="center"/>
              <w:rPr>
                <w:rFonts w:eastAsia="Times New Roman" w:cs="Times New Roman"/>
                <w:iCs/>
                <w:noProof/>
                <w:sz w:val="20"/>
              </w:rPr>
            </w:pPr>
            <w:r w:rsidRPr="00B44B19">
              <w:rPr>
                <w:rFonts w:eastAsia="Times New Roman" w:cs="Times New Roman"/>
                <w:iCs/>
                <w:noProof/>
                <w:sz w:val="20"/>
              </w:rPr>
              <w:t>4.8</w:t>
            </w:r>
          </w:p>
        </w:tc>
        <w:tc>
          <w:tcPr>
            <w:tcW w:w="3637" w:type="dxa"/>
            <w:vMerge w:val="restart"/>
            <w:tcBorders>
              <w:top w:val="single" w:sz="12" w:space="0" w:color="auto"/>
            </w:tcBorders>
          </w:tcPr>
          <w:p w14:paraId="3A68EEF8"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 xml:space="preserve">06 </w:t>
            </w:r>
            <w:r w:rsidR="00D43A78" w:rsidRPr="00B44B19">
              <w:rPr>
                <w:rFonts w:eastAsia="Times New Roman" w:cs="Times New Roman"/>
                <w:iCs/>
                <w:noProof/>
                <w:sz w:val="20"/>
              </w:rPr>
              <w:t>–</w:t>
            </w:r>
            <w:r w:rsidRPr="00B44B19">
              <w:rPr>
                <w:rFonts w:eastAsia="Times New Roman" w:cs="Times New Roman"/>
                <w:iCs/>
                <w:noProof/>
                <w:sz w:val="20"/>
              </w:rPr>
              <w:t xml:space="preserve"> Vaikų skurdo problemos sprendimas</w:t>
            </w:r>
          </w:p>
        </w:tc>
        <w:tc>
          <w:tcPr>
            <w:tcW w:w="1466" w:type="dxa"/>
            <w:tcBorders>
              <w:top w:val="single" w:sz="12" w:space="0" w:color="auto"/>
              <w:bottom w:val="single" w:sz="4" w:space="0" w:color="auto"/>
            </w:tcBorders>
          </w:tcPr>
          <w:p w14:paraId="66A462A1" w14:textId="77777777" w:rsidR="0031600C" w:rsidRPr="00B44B19" w:rsidRDefault="0031600C" w:rsidP="00DD5B8F">
            <w:pPr>
              <w:jc w:val="right"/>
              <w:rPr>
                <w:rFonts w:eastAsia="Times New Roman" w:cs="Times New Roman"/>
                <w:iCs/>
                <w:noProof/>
                <w:sz w:val="20"/>
              </w:rPr>
            </w:pPr>
            <w:r w:rsidRPr="00B44B19">
              <w:rPr>
                <w:rFonts w:eastAsia="Times New Roman" w:cs="Times New Roman"/>
                <w:iCs/>
                <w:noProof/>
                <w:sz w:val="20"/>
              </w:rPr>
              <w:t>8 174 038,00</w:t>
            </w:r>
          </w:p>
        </w:tc>
      </w:tr>
      <w:tr w:rsidR="0031600C" w:rsidRPr="00B44B19" w14:paraId="7E98F09B" w14:textId="77777777" w:rsidTr="0002743E">
        <w:tc>
          <w:tcPr>
            <w:tcW w:w="1101" w:type="dxa"/>
            <w:vMerge/>
          </w:tcPr>
          <w:p w14:paraId="07C41889" w14:textId="77777777" w:rsidR="0031600C" w:rsidRPr="00B44B19" w:rsidRDefault="0031600C" w:rsidP="002526CB">
            <w:pPr>
              <w:jc w:val="center"/>
              <w:rPr>
                <w:rFonts w:eastAsia="Times New Roman" w:cs="Times New Roman"/>
                <w:iCs/>
                <w:noProof/>
                <w:sz w:val="20"/>
              </w:rPr>
            </w:pPr>
          </w:p>
        </w:tc>
        <w:tc>
          <w:tcPr>
            <w:tcW w:w="850" w:type="dxa"/>
            <w:vMerge/>
          </w:tcPr>
          <w:p w14:paraId="08EDE636"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bottom w:val="single" w:sz="4" w:space="0" w:color="auto"/>
            </w:tcBorders>
          </w:tcPr>
          <w:p w14:paraId="29A56010" w14:textId="77777777" w:rsidR="0031600C" w:rsidRPr="00B44B19" w:rsidRDefault="0031600C" w:rsidP="002526CB">
            <w:pPr>
              <w:jc w:val="both"/>
              <w:rPr>
                <w:rFonts w:cs="Times New Roman"/>
                <w:noProof/>
                <w:sz w:val="20"/>
                <w:szCs w:val="20"/>
              </w:rPr>
            </w:pPr>
            <w:r w:rsidRPr="00B44B19">
              <w:rPr>
                <w:rFonts w:cs="Times New Roman"/>
                <w:noProof/>
                <w:sz w:val="20"/>
                <w:szCs w:val="20"/>
              </w:rPr>
              <w:t>VVL regionas</w:t>
            </w:r>
          </w:p>
        </w:tc>
        <w:tc>
          <w:tcPr>
            <w:tcW w:w="1134" w:type="dxa"/>
            <w:vMerge/>
          </w:tcPr>
          <w:p w14:paraId="4863135D" w14:textId="77777777" w:rsidR="0031600C" w:rsidRPr="00B44B19" w:rsidRDefault="0031600C" w:rsidP="002526CB">
            <w:pPr>
              <w:jc w:val="center"/>
              <w:rPr>
                <w:rFonts w:eastAsia="Times New Roman" w:cs="Times New Roman"/>
                <w:iCs/>
                <w:noProof/>
                <w:sz w:val="20"/>
              </w:rPr>
            </w:pPr>
          </w:p>
        </w:tc>
        <w:tc>
          <w:tcPr>
            <w:tcW w:w="3637" w:type="dxa"/>
            <w:vMerge/>
          </w:tcPr>
          <w:p w14:paraId="1BEAB08D" w14:textId="77777777" w:rsidR="0031600C" w:rsidRPr="00B44B19" w:rsidRDefault="0031600C" w:rsidP="002526CB">
            <w:pPr>
              <w:rPr>
                <w:rFonts w:eastAsia="Times New Roman" w:cs="Times New Roman"/>
                <w:iCs/>
                <w:noProof/>
                <w:sz w:val="20"/>
              </w:rPr>
            </w:pPr>
          </w:p>
        </w:tc>
        <w:tc>
          <w:tcPr>
            <w:tcW w:w="1466" w:type="dxa"/>
            <w:tcBorders>
              <w:top w:val="single" w:sz="4" w:space="0" w:color="auto"/>
              <w:bottom w:val="single" w:sz="4" w:space="0" w:color="auto"/>
            </w:tcBorders>
          </w:tcPr>
          <w:p w14:paraId="1583DBEE" w14:textId="77777777" w:rsidR="0031600C" w:rsidRPr="00B44B19" w:rsidRDefault="0031600C" w:rsidP="00DD5B8F">
            <w:pPr>
              <w:jc w:val="right"/>
              <w:rPr>
                <w:rFonts w:eastAsia="Times New Roman" w:cs="Times New Roman"/>
                <w:iCs/>
                <w:noProof/>
                <w:sz w:val="20"/>
              </w:rPr>
            </w:pPr>
            <w:r w:rsidRPr="00B44B19">
              <w:rPr>
                <w:rFonts w:eastAsia="Times New Roman" w:cs="Times New Roman"/>
                <w:iCs/>
                <w:noProof/>
                <w:sz w:val="20"/>
              </w:rPr>
              <w:t>62 980 072,00</w:t>
            </w:r>
          </w:p>
        </w:tc>
      </w:tr>
      <w:tr w:rsidR="0031600C" w:rsidRPr="00B44B19" w14:paraId="6A46731F" w14:textId="77777777" w:rsidTr="0002743E">
        <w:tc>
          <w:tcPr>
            <w:tcW w:w="1101" w:type="dxa"/>
            <w:vMerge/>
          </w:tcPr>
          <w:p w14:paraId="4C535E86" w14:textId="77777777" w:rsidR="0031600C" w:rsidRPr="00B44B19" w:rsidRDefault="0031600C" w:rsidP="002526CB">
            <w:pPr>
              <w:jc w:val="center"/>
              <w:rPr>
                <w:rFonts w:eastAsia="Times New Roman" w:cs="Times New Roman"/>
                <w:iCs/>
                <w:noProof/>
                <w:sz w:val="20"/>
              </w:rPr>
            </w:pPr>
          </w:p>
        </w:tc>
        <w:tc>
          <w:tcPr>
            <w:tcW w:w="850" w:type="dxa"/>
            <w:vMerge/>
          </w:tcPr>
          <w:p w14:paraId="355E0A08"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bottom w:val="single" w:sz="4" w:space="0" w:color="auto"/>
            </w:tcBorders>
          </w:tcPr>
          <w:p w14:paraId="73B39617" w14:textId="77777777" w:rsidR="0031600C" w:rsidRPr="00B44B19" w:rsidRDefault="0031600C" w:rsidP="002526CB">
            <w:pPr>
              <w:jc w:val="both"/>
              <w:rPr>
                <w:rFonts w:cs="Times New Roman"/>
                <w:noProof/>
                <w:sz w:val="20"/>
                <w:szCs w:val="20"/>
              </w:rPr>
            </w:pPr>
            <w:r w:rsidRPr="00B44B19">
              <w:rPr>
                <w:rFonts w:cs="Times New Roman"/>
                <w:noProof/>
                <w:sz w:val="20"/>
                <w:szCs w:val="20"/>
              </w:rPr>
              <w:t>Sostinės regionas</w:t>
            </w:r>
          </w:p>
        </w:tc>
        <w:tc>
          <w:tcPr>
            <w:tcW w:w="1134" w:type="dxa"/>
            <w:vMerge/>
          </w:tcPr>
          <w:p w14:paraId="4B91F19B" w14:textId="77777777" w:rsidR="0031600C" w:rsidRPr="00B44B19" w:rsidRDefault="0031600C" w:rsidP="002526CB">
            <w:pPr>
              <w:jc w:val="center"/>
              <w:rPr>
                <w:rFonts w:eastAsia="Times New Roman" w:cs="Times New Roman"/>
                <w:iCs/>
                <w:noProof/>
                <w:sz w:val="20"/>
              </w:rPr>
            </w:pPr>
          </w:p>
        </w:tc>
        <w:tc>
          <w:tcPr>
            <w:tcW w:w="3637" w:type="dxa"/>
            <w:vMerge w:val="restart"/>
            <w:tcBorders>
              <w:top w:val="single" w:sz="4" w:space="0" w:color="auto"/>
            </w:tcBorders>
          </w:tcPr>
          <w:p w14:paraId="38EEADE3"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 xml:space="preserve">08 </w:t>
            </w:r>
            <w:r w:rsidR="00D43A78" w:rsidRPr="00B44B19">
              <w:rPr>
                <w:rFonts w:eastAsia="Times New Roman" w:cs="Times New Roman"/>
                <w:iCs/>
                <w:noProof/>
                <w:sz w:val="20"/>
              </w:rPr>
              <w:t>–</w:t>
            </w:r>
            <w:r w:rsidRPr="00B44B19">
              <w:rPr>
                <w:rFonts w:eastAsia="Times New Roman" w:cs="Times New Roman"/>
                <w:iCs/>
                <w:noProof/>
                <w:sz w:val="20"/>
              </w:rPr>
              <w:t xml:space="preserve"> Pilietinės visuomenės organizacijų gebėjimų stiprinimas</w:t>
            </w:r>
          </w:p>
        </w:tc>
        <w:tc>
          <w:tcPr>
            <w:tcW w:w="1466" w:type="dxa"/>
            <w:tcBorders>
              <w:top w:val="single" w:sz="4" w:space="0" w:color="auto"/>
              <w:bottom w:val="single" w:sz="4" w:space="0" w:color="auto"/>
            </w:tcBorders>
          </w:tcPr>
          <w:p w14:paraId="3791AA7E" w14:textId="77777777" w:rsidR="0031600C" w:rsidRPr="00B44B19" w:rsidRDefault="0031600C" w:rsidP="00DD5B8F">
            <w:pPr>
              <w:jc w:val="right"/>
              <w:rPr>
                <w:rFonts w:eastAsia="Times New Roman" w:cs="Times New Roman"/>
                <w:iCs/>
                <w:noProof/>
                <w:sz w:val="20"/>
              </w:rPr>
            </w:pPr>
            <w:r w:rsidRPr="00B44B19">
              <w:rPr>
                <w:rFonts w:eastAsia="Times New Roman" w:cs="Times New Roman"/>
                <w:iCs/>
                <w:noProof/>
                <w:sz w:val="20"/>
              </w:rPr>
              <w:t>115 200,00</w:t>
            </w:r>
          </w:p>
        </w:tc>
      </w:tr>
      <w:tr w:rsidR="0031600C" w:rsidRPr="00B44B19" w14:paraId="39695D0D" w14:textId="77777777" w:rsidTr="0002743E">
        <w:tc>
          <w:tcPr>
            <w:tcW w:w="1101" w:type="dxa"/>
            <w:vMerge/>
          </w:tcPr>
          <w:p w14:paraId="2BBB53D0" w14:textId="77777777" w:rsidR="0031600C" w:rsidRPr="00B44B19" w:rsidRDefault="0031600C" w:rsidP="002526CB">
            <w:pPr>
              <w:jc w:val="center"/>
              <w:rPr>
                <w:rFonts w:eastAsia="Times New Roman" w:cs="Times New Roman"/>
                <w:iCs/>
                <w:noProof/>
                <w:sz w:val="20"/>
              </w:rPr>
            </w:pPr>
          </w:p>
        </w:tc>
        <w:tc>
          <w:tcPr>
            <w:tcW w:w="850" w:type="dxa"/>
            <w:vMerge/>
          </w:tcPr>
          <w:p w14:paraId="4C8B2D73"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bottom w:val="single" w:sz="4" w:space="0" w:color="auto"/>
            </w:tcBorders>
          </w:tcPr>
          <w:p w14:paraId="125B7B48" w14:textId="77777777" w:rsidR="0031600C" w:rsidRPr="00B44B19" w:rsidRDefault="0031600C" w:rsidP="002526CB">
            <w:pPr>
              <w:jc w:val="both"/>
              <w:rPr>
                <w:rFonts w:cs="Times New Roman"/>
                <w:noProof/>
                <w:sz w:val="20"/>
                <w:szCs w:val="20"/>
              </w:rPr>
            </w:pPr>
            <w:r w:rsidRPr="00B44B19">
              <w:rPr>
                <w:rFonts w:cs="Times New Roman"/>
                <w:noProof/>
                <w:sz w:val="20"/>
                <w:szCs w:val="20"/>
              </w:rPr>
              <w:t>VVL regionas</w:t>
            </w:r>
          </w:p>
        </w:tc>
        <w:tc>
          <w:tcPr>
            <w:tcW w:w="1134" w:type="dxa"/>
            <w:vMerge/>
          </w:tcPr>
          <w:p w14:paraId="5A953F37" w14:textId="77777777" w:rsidR="0031600C" w:rsidRPr="00B44B19" w:rsidRDefault="0031600C" w:rsidP="002526CB">
            <w:pPr>
              <w:jc w:val="center"/>
              <w:rPr>
                <w:rFonts w:cs="Times New Roman"/>
              </w:rPr>
            </w:pPr>
          </w:p>
        </w:tc>
        <w:tc>
          <w:tcPr>
            <w:tcW w:w="3637" w:type="dxa"/>
            <w:vMerge/>
            <w:tcBorders>
              <w:bottom w:val="single" w:sz="4" w:space="0" w:color="auto"/>
            </w:tcBorders>
          </w:tcPr>
          <w:p w14:paraId="2AA6F474" w14:textId="77777777" w:rsidR="0031600C" w:rsidRPr="00B44B19" w:rsidRDefault="0031600C" w:rsidP="002526CB">
            <w:pPr>
              <w:jc w:val="center"/>
              <w:rPr>
                <w:rFonts w:eastAsia="Times New Roman" w:cs="Times New Roman"/>
                <w:iCs/>
                <w:noProof/>
                <w:sz w:val="20"/>
              </w:rPr>
            </w:pPr>
          </w:p>
        </w:tc>
        <w:tc>
          <w:tcPr>
            <w:tcW w:w="1466" w:type="dxa"/>
            <w:tcBorders>
              <w:top w:val="single" w:sz="4" w:space="0" w:color="auto"/>
              <w:bottom w:val="single" w:sz="4" w:space="0" w:color="auto"/>
            </w:tcBorders>
          </w:tcPr>
          <w:p w14:paraId="61FCC6F4" w14:textId="77777777" w:rsidR="0031600C" w:rsidRPr="00B44B19" w:rsidRDefault="0031600C" w:rsidP="00DD5B8F">
            <w:pPr>
              <w:jc w:val="right"/>
              <w:rPr>
                <w:rFonts w:eastAsia="Times New Roman" w:cs="Times New Roman"/>
                <w:iCs/>
                <w:noProof/>
                <w:sz w:val="20"/>
              </w:rPr>
            </w:pPr>
            <w:r w:rsidRPr="00B44B19">
              <w:rPr>
                <w:rFonts w:eastAsia="Times New Roman" w:cs="Times New Roman"/>
                <w:iCs/>
                <w:noProof/>
                <w:sz w:val="20"/>
              </w:rPr>
              <w:t>1 501 440,00</w:t>
            </w:r>
          </w:p>
        </w:tc>
      </w:tr>
      <w:tr w:rsidR="0031600C" w:rsidRPr="00B44B19" w14:paraId="651E98F4" w14:textId="77777777" w:rsidTr="0002743E">
        <w:tc>
          <w:tcPr>
            <w:tcW w:w="1101" w:type="dxa"/>
            <w:vMerge/>
          </w:tcPr>
          <w:p w14:paraId="1A239078" w14:textId="77777777" w:rsidR="0031600C" w:rsidRPr="00B44B19" w:rsidRDefault="0031600C" w:rsidP="002526CB">
            <w:pPr>
              <w:jc w:val="center"/>
              <w:rPr>
                <w:rFonts w:eastAsia="Times New Roman" w:cs="Times New Roman"/>
                <w:iCs/>
                <w:noProof/>
                <w:sz w:val="20"/>
              </w:rPr>
            </w:pPr>
          </w:p>
        </w:tc>
        <w:tc>
          <w:tcPr>
            <w:tcW w:w="850" w:type="dxa"/>
            <w:vMerge/>
          </w:tcPr>
          <w:p w14:paraId="616A0FC7"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bottom w:val="single" w:sz="4" w:space="0" w:color="auto"/>
            </w:tcBorders>
          </w:tcPr>
          <w:p w14:paraId="3CEC2A5F" w14:textId="77777777" w:rsidR="0031600C" w:rsidRPr="00B44B19" w:rsidRDefault="0031600C" w:rsidP="002526CB">
            <w:pPr>
              <w:jc w:val="both"/>
              <w:rPr>
                <w:rFonts w:cs="Times New Roman"/>
                <w:noProof/>
                <w:sz w:val="20"/>
                <w:szCs w:val="20"/>
              </w:rPr>
            </w:pPr>
            <w:r w:rsidRPr="00B44B19">
              <w:rPr>
                <w:rFonts w:cs="Times New Roman"/>
                <w:noProof/>
                <w:sz w:val="20"/>
                <w:szCs w:val="20"/>
              </w:rPr>
              <w:t>Sostinės regionas</w:t>
            </w:r>
          </w:p>
        </w:tc>
        <w:tc>
          <w:tcPr>
            <w:tcW w:w="1134" w:type="dxa"/>
            <w:vMerge/>
          </w:tcPr>
          <w:p w14:paraId="4B2259A0" w14:textId="77777777" w:rsidR="0031600C" w:rsidRPr="00B44B19" w:rsidRDefault="0031600C" w:rsidP="002526CB">
            <w:pPr>
              <w:jc w:val="center"/>
              <w:rPr>
                <w:rFonts w:cs="Times New Roman"/>
              </w:rPr>
            </w:pPr>
          </w:p>
        </w:tc>
        <w:tc>
          <w:tcPr>
            <w:tcW w:w="3637" w:type="dxa"/>
            <w:vMerge w:val="restart"/>
            <w:tcBorders>
              <w:top w:val="single" w:sz="4" w:space="0" w:color="auto"/>
            </w:tcBorders>
          </w:tcPr>
          <w:p w14:paraId="7FD5242A"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 xml:space="preserve">09 </w:t>
            </w:r>
            <w:r w:rsidR="00D43A78" w:rsidRPr="00B44B19">
              <w:rPr>
                <w:rFonts w:eastAsia="Times New Roman" w:cs="Times New Roman"/>
                <w:iCs/>
                <w:noProof/>
                <w:sz w:val="20"/>
              </w:rPr>
              <w:t>–</w:t>
            </w:r>
            <w:r w:rsidRPr="00B44B19">
              <w:rPr>
                <w:rFonts w:eastAsia="Times New Roman" w:cs="Times New Roman"/>
                <w:iCs/>
                <w:noProof/>
                <w:sz w:val="20"/>
              </w:rPr>
              <w:t xml:space="preserve"> Netaikoma</w:t>
            </w:r>
          </w:p>
        </w:tc>
        <w:tc>
          <w:tcPr>
            <w:tcW w:w="1466" w:type="dxa"/>
            <w:tcBorders>
              <w:top w:val="single" w:sz="4" w:space="0" w:color="auto"/>
              <w:bottom w:val="single" w:sz="4" w:space="0" w:color="auto"/>
            </w:tcBorders>
          </w:tcPr>
          <w:p w14:paraId="2ED965AE" w14:textId="77777777" w:rsidR="0031600C" w:rsidRPr="00B44B19" w:rsidRDefault="0031600C" w:rsidP="00DD5B8F">
            <w:pPr>
              <w:jc w:val="right"/>
              <w:rPr>
                <w:rFonts w:eastAsia="Times New Roman" w:cs="Times New Roman"/>
                <w:iCs/>
                <w:noProof/>
                <w:sz w:val="20"/>
              </w:rPr>
            </w:pPr>
            <w:r w:rsidRPr="00B44B19">
              <w:rPr>
                <w:rFonts w:eastAsia="Times New Roman" w:cs="Times New Roman"/>
                <w:iCs/>
                <w:noProof/>
                <w:sz w:val="20"/>
              </w:rPr>
              <w:t>14 461 239,00</w:t>
            </w:r>
          </w:p>
        </w:tc>
      </w:tr>
      <w:tr w:rsidR="0031600C" w:rsidRPr="00B44B19" w14:paraId="438F38C7" w14:textId="77777777" w:rsidTr="0002743E">
        <w:tc>
          <w:tcPr>
            <w:tcW w:w="1101" w:type="dxa"/>
            <w:vMerge/>
          </w:tcPr>
          <w:p w14:paraId="61DEB330" w14:textId="77777777" w:rsidR="0031600C" w:rsidRPr="00B44B19" w:rsidRDefault="0031600C" w:rsidP="002526CB">
            <w:pPr>
              <w:jc w:val="center"/>
              <w:rPr>
                <w:rFonts w:eastAsia="Times New Roman" w:cs="Times New Roman"/>
                <w:iCs/>
                <w:noProof/>
                <w:sz w:val="20"/>
              </w:rPr>
            </w:pPr>
          </w:p>
        </w:tc>
        <w:tc>
          <w:tcPr>
            <w:tcW w:w="850" w:type="dxa"/>
            <w:vMerge/>
          </w:tcPr>
          <w:p w14:paraId="378D1D84"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bottom w:val="single" w:sz="4" w:space="0" w:color="auto"/>
            </w:tcBorders>
          </w:tcPr>
          <w:p w14:paraId="3BB22C11" w14:textId="77777777" w:rsidR="0031600C" w:rsidRPr="00B44B19" w:rsidRDefault="0031600C" w:rsidP="002526CB">
            <w:pPr>
              <w:jc w:val="both"/>
              <w:rPr>
                <w:rFonts w:cs="Times New Roman"/>
                <w:noProof/>
                <w:sz w:val="20"/>
                <w:szCs w:val="20"/>
              </w:rPr>
            </w:pPr>
            <w:r w:rsidRPr="00B44B19">
              <w:rPr>
                <w:rFonts w:cs="Times New Roman"/>
                <w:noProof/>
                <w:sz w:val="20"/>
                <w:szCs w:val="20"/>
              </w:rPr>
              <w:t>VVL regionas</w:t>
            </w:r>
          </w:p>
        </w:tc>
        <w:tc>
          <w:tcPr>
            <w:tcW w:w="1134" w:type="dxa"/>
            <w:vMerge/>
          </w:tcPr>
          <w:p w14:paraId="3D515D38" w14:textId="77777777" w:rsidR="0031600C" w:rsidRPr="00B44B19" w:rsidRDefault="0031600C" w:rsidP="002526CB">
            <w:pPr>
              <w:jc w:val="center"/>
              <w:rPr>
                <w:rFonts w:cs="Times New Roman"/>
              </w:rPr>
            </w:pPr>
          </w:p>
        </w:tc>
        <w:tc>
          <w:tcPr>
            <w:tcW w:w="3637" w:type="dxa"/>
            <w:vMerge/>
          </w:tcPr>
          <w:p w14:paraId="75720D66" w14:textId="77777777" w:rsidR="0031600C" w:rsidRPr="00B44B19" w:rsidRDefault="0031600C" w:rsidP="002526CB">
            <w:pPr>
              <w:jc w:val="center"/>
              <w:rPr>
                <w:rFonts w:eastAsia="Times New Roman" w:cs="Times New Roman"/>
                <w:iCs/>
                <w:noProof/>
                <w:sz w:val="20"/>
              </w:rPr>
            </w:pPr>
          </w:p>
        </w:tc>
        <w:tc>
          <w:tcPr>
            <w:tcW w:w="1466" w:type="dxa"/>
            <w:tcBorders>
              <w:top w:val="single" w:sz="4" w:space="0" w:color="auto"/>
              <w:bottom w:val="single" w:sz="4" w:space="0" w:color="auto"/>
            </w:tcBorders>
          </w:tcPr>
          <w:p w14:paraId="3378FD03" w14:textId="77777777" w:rsidR="0031600C" w:rsidRPr="00B44B19" w:rsidRDefault="0031600C" w:rsidP="00DD5B8F">
            <w:pPr>
              <w:jc w:val="right"/>
              <w:rPr>
                <w:rFonts w:eastAsia="Times New Roman" w:cs="Times New Roman"/>
                <w:iCs/>
                <w:noProof/>
                <w:sz w:val="20"/>
              </w:rPr>
            </w:pPr>
            <w:r w:rsidRPr="00B44B19">
              <w:rPr>
                <w:rFonts w:eastAsia="Times New Roman" w:cs="Times New Roman"/>
                <w:iCs/>
                <w:noProof/>
                <w:sz w:val="20"/>
              </w:rPr>
              <w:t>133 978 400,00</w:t>
            </w:r>
          </w:p>
        </w:tc>
      </w:tr>
      <w:tr w:rsidR="0031600C" w:rsidRPr="00B44B19" w14:paraId="4FA7B702" w14:textId="77777777" w:rsidTr="0002743E">
        <w:tc>
          <w:tcPr>
            <w:tcW w:w="1101" w:type="dxa"/>
            <w:vMerge/>
          </w:tcPr>
          <w:p w14:paraId="6881F837" w14:textId="77777777" w:rsidR="0031600C" w:rsidRPr="00B44B19" w:rsidRDefault="0031600C" w:rsidP="002526CB">
            <w:pPr>
              <w:jc w:val="center"/>
              <w:rPr>
                <w:rFonts w:eastAsia="Times New Roman" w:cs="Times New Roman"/>
                <w:iCs/>
                <w:noProof/>
                <w:sz w:val="20"/>
              </w:rPr>
            </w:pPr>
          </w:p>
        </w:tc>
        <w:tc>
          <w:tcPr>
            <w:tcW w:w="850" w:type="dxa"/>
            <w:vMerge/>
          </w:tcPr>
          <w:p w14:paraId="5D1C5296"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bottom w:val="single" w:sz="4" w:space="0" w:color="auto"/>
            </w:tcBorders>
          </w:tcPr>
          <w:p w14:paraId="229920F5"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67921006" w14:textId="77777777" w:rsidR="0031600C" w:rsidRPr="00B44B19" w:rsidRDefault="0031600C" w:rsidP="002526CB">
            <w:pPr>
              <w:jc w:val="center"/>
              <w:rPr>
                <w:rFonts w:cs="Times New Roman"/>
              </w:rPr>
            </w:pPr>
          </w:p>
        </w:tc>
        <w:tc>
          <w:tcPr>
            <w:tcW w:w="3637" w:type="dxa"/>
            <w:vMerge w:val="restart"/>
          </w:tcPr>
          <w:p w14:paraId="697D98C8"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 xml:space="preserve">10 </w:t>
            </w:r>
            <w:r w:rsidR="00D43A78" w:rsidRPr="00B44B19">
              <w:rPr>
                <w:rFonts w:eastAsia="Times New Roman" w:cs="Times New Roman"/>
                <w:iCs/>
                <w:noProof/>
                <w:sz w:val="20"/>
              </w:rPr>
              <w:t>–</w:t>
            </w:r>
            <w:r w:rsidRPr="00B44B19">
              <w:rPr>
                <w:rFonts w:eastAsia="Times New Roman" w:cs="Times New Roman"/>
                <w:iCs/>
                <w:noProof/>
                <w:sz w:val="20"/>
              </w:rPr>
              <w:t xml:space="preserve"> Europos semestre nustatytų problemų sprendimas</w:t>
            </w:r>
          </w:p>
        </w:tc>
        <w:tc>
          <w:tcPr>
            <w:tcW w:w="1466" w:type="dxa"/>
            <w:tcBorders>
              <w:top w:val="single" w:sz="4" w:space="0" w:color="auto"/>
              <w:bottom w:val="single" w:sz="4" w:space="0" w:color="auto"/>
            </w:tcBorders>
          </w:tcPr>
          <w:p w14:paraId="125B325C" w14:textId="1D7EAEED" w:rsidR="0031600C" w:rsidRPr="00B44B19" w:rsidRDefault="004A67E7" w:rsidP="004A67E7">
            <w:pPr>
              <w:jc w:val="right"/>
              <w:rPr>
                <w:rFonts w:eastAsia="Times New Roman" w:cs="Times New Roman"/>
                <w:iCs/>
                <w:noProof/>
                <w:sz w:val="20"/>
              </w:rPr>
            </w:pPr>
            <w:r w:rsidRPr="00B44B19">
              <w:rPr>
                <w:rFonts w:cs="Times New Roman"/>
                <w:color w:val="000000"/>
                <w:sz w:val="20"/>
                <w:szCs w:val="20"/>
              </w:rPr>
              <w:t>3 256 483</w:t>
            </w:r>
            <w:r w:rsidR="0031600C" w:rsidRPr="00B44B19">
              <w:rPr>
                <w:rFonts w:eastAsia="Times New Roman" w:cs="Times New Roman"/>
                <w:iCs/>
                <w:noProof/>
                <w:sz w:val="20"/>
              </w:rPr>
              <w:t>,00</w:t>
            </w:r>
          </w:p>
        </w:tc>
      </w:tr>
      <w:tr w:rsidR="0031600C" w:rsidRPr="00B44B19" w14:paraId="4EE8E685" w14:textId="77777777" w:rsidTr="0002743E">
        <w:tc>
          <w:tcPr>
            <w:tcW w:w="1101" w:type="dxa"/>
            <w:vMerge/>
          </w:tcPr>
          <w:p w14:paraId="70249B6B" w14:textId="77777777" w:rsidR="0031600C" w:rsidRPr="00B44B19" w:rsidRDefault="0031600C" w:rsidP="002526CB">
            <w:pPr>
              <w:jc w:val="center"/>
              <w:rPr>
                <w:rFonts w:eastAsia="Times New Roman" w:cs="Times New Roman"/>
                <w:iCs/>
                <w:noProof/>
                <w:sz w:val="20"/>
              </w:rPr>
            </w:pPr>
          </w:p>
        </w:tc>
        <w:tc>
          <w:tcPr>
            <w:tcW w:w="850" w:type="dxa"/>
            <w:vMerge/>
          </w:tcPr>
          <w:p w14:paraId="476B53F4" w14:textId="77777777" w:rsidR="0031600C" w:rsidRPr="00B44B19" w:rsidRDefault="0031600C" w:rsidP="002526CB">
            <w:pPr>
              <w:jc w:val="center"/>
              <w:rPr>
                <w:rFonts w:eastAsia="Times New Roman" w:cs="Times New Roman"/>
                <w:iCs/>
                <w:noProof/>
                <w:sz w:val="20"/>
              </w:rPr>
            </w:pPr>
          </w:p>
        </w:tc>
        <w:tc>
          <w:tcPr>
            <w:tcW w:w="1701" w:type="dxa"/>
            <w:tcBorders>
              <w:top w:val="single" w:sz="4" w:space="0" w:color="auto"/>
            </w:tcBorders>
          </w:tcPr>
          <w:p w14:paraId="7B8089AF" w14:textId="77777777" w:rsidR="0031600C" w:rsidRPr="00B44B19" w:rsidRDefault="0031600C" w:rsidP="002526CB">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0D2EFACF" w14:textId="77777777" w:rsidR="0031600C" w:rsidRPr="00B44B19" w:rsidRDefault="0031600C" w:rsidP="002526CB">
            <w:pPr>
              <w:jc w:val="center"/>
              <w:rPr>
                <w:rFonts w:cs="Times New Roman"/>
              </w:rPr>
            </w:pPr>
          </w:p>
        </w:tc>
        <w:tc>
          <w:tcPr>
            <w:tcW w:w="3637" w:type="dxa"/>
            <w:vMerge/>
          </w:tcPr>
          <w:p w14:paraId="5E5890F8" w14:textId="77777777" w:rsidR="0031600C" w:rsidRPr="00B44B19" w:rsidRDefault="0031600C" w:rsidP="002526CB">
            <w:pPr>
              <w:jc w:val="center"/>
              <w:rPr>
                <w:rFonts w:eastAsia="Times New Roman" w:cs="Times New Roman"/>
                <w:iCs/>
                <w:noProof/>
                <w:sz w:val="20"/>
              </w:rPr>
            </w:pPr>
          </w:p>
        </w:tc>
        <w:tc>
          <w:tcPr>
            <w:tcW w:w="1466" w:type="dxa"/>
            <w:tcBorders>
              <w:top w:val="single" w:sz="4" w:space="0" w:color="auto"/>
            </w:tcBorders>
          </w:tcPr>
          <w:p w14:paraId="06BE55A9" w14:textId="20097D9C" w:rsidR="0031600C" w:rsidRPr="00B44B19" w:rsidRDefault="004A67E7" w:rsidP="004A67E7">
            <w:pPr>
              <w:jc w:val="right"/>
              <w:rPr>
                <w:rFonts w:eastAsia="Times New Roman" w:cs="Times New Roman"/>
                <w:iCs/>
                <w:noProof/>
                <w:sz w:val="20"/>
              </w:rPr>
            </w:pPr>
            <w:r w:rsidRPr="00B44B19">
              <w:rPr>
                <w:rFonts w:cs="Times New Roman"/>
                <w:color w:val="000000"/>
                <w:sz w:val="20"/>
                <w:szCs w:val="20"/>
              </w:rPr>
              <w:t>127 510 692</w:t>
            </w:r>
            <w:r w:rsidR="0031600C" w:rsidRPr="00B44B19">
              <w:rPr>
                <w:rFonts w:eastAsia="Times New Roman" w:cs="Times New Roman"/>
                <w:iCs/>
                <w:noProof/>
                <w:sz w:val="20"/>
              </w:rPr>
              <w:t>,00</w:t>
            </w:r>
          </w:p>
        </w:tc>
      </w:tr>
    </w:tbl>
    <w:p w14:paraId="57E06A03" w14:textId="77777777" w:rsidR="0031600C" w:rsidRPr="00B44B19" w:rsidRDefault="0031600C" w:rsidP="00796586">
      <w:pPr>
        <w:spacing w:after="0" w:line="240" w:lineRule="auto"/>
        <w:rPr>
          <w:rFonts w:cs="Times New Roman"/>
          <w:sz w:val="20"/>
          <w:szCs w:val="20"/>
        </w:rPr>
      </w:pPr>
    </w:p>
    <w:tbl>
      <w:tblPr>
        <w:tblStyle w:val="Lentelstinklelis41"/>
        <w:tblW w:w="9889" w:type="dxa"/>
        <w:tblLayout w:type="fixed"/>
        <w:tblLook w:val="04A0" w:firstRow="1" w:lastRow="0" w:firstColumn="1" w:lastColumn="0" w:noHBand="0" w:noVBand="1"/>
      </w:tblPr>
      <w:tblGrid>
        <w:gridCol w:w="1101"/>
        <w:gridCol w:w="850"/>
        <w:gridCol w:w="1701"/>
        <w:gridCol w:w="1134"/>
        <w:gridCol w:w="3544"/>
        <w:gridCol w:w="1559"/>
      </w:tblGrid>
      <w:tr w:rsidR="0031600C" w:rsidRPr="00B44B19" w14:paraId="2B4F574F" w14:textId="77777777" w:rsidTr="00DD5B8F">
        <w:trPr>
          <w:tblHeader/>
        </w:trPr>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74FCBEE" w14:textId="77777777" w:rsidR="0031600C" w:rsidRPr="00B44B19" w:rsidRDefault="0031600C" w:rsidP="002526CB">
            <w:pPr>
              <w:rPr>
                <w:b/>
                <w:iCs/>
                <w:noProof/>
                <w:sz w:val="20"/>
                <w:szCs w:val="20"/>
              </w:rPr>
            </w:pPr>
            <w:r w:rsidRPr="00B44B19">
              <w:rPr>
                <w:b/>
                <w:noProof/>
                <w:sz w:val="20"/>
                <w:szCs w:val="20"/>
              </w:rPr>
              <w:t xml:space="preserve">8 lentelė. 7 matmuo. </w:t>
            </w:r>
            <w:r w:rsidRPr="00B44B19">
              <w:rPr>
                <w:b/>
                <w:sz w:val="20"/>
                <w:szCs w:val="20"/>
              </w:rPr>
              <w:t>ESF+, ERPF, SF ir TPF lyčių lygybės matmuo</w:t>
            </w:r>
          </w:p>
        </w:tc>
      </w:tr>
      <w:tr w:rsidR="0031600C" w:rsidRPr="00B44B19" w14:paraId="220ED031" w14:textId="77777777" w:rsidTr="0002743E">
        <w:trPr>
          <w:tblHeader/>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D5301E" w14:textId="77777777" w:rsidR="0031600C" w:rsidRPr="00B44B19" w:rsidRDefault="0031600C" w:rsidP="002526CB">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A3AE24" w14:textId="77777777" w:rsidR="0031600C" w:rsidRPr="00B44B19" w:rsidRDefault="0031600C" w:rsidP="002526CB">
            <w:pPr>
              <w:jc w:val="center"/>
              <w:rPr>
                <w:b/>
                <w:iCs/>
                <w:noProof/>
                <w:sz w:val="20"/>
              </w:rPr>
            </w:pPr>
            <w:r w:rsidRPr="00B44B19">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5C5A3F" w14:textId="77777777" w:rsidR="0031600C" w:rsidRPr="00B44B19" w:rsidRDefault="0031600C" w:rsidP="002526CB">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FEDB16" w14:textId="77777777" w:rsidR="0031600C" w:rsidRPr="00B44B19" w:rsidRDefault="0031600C" w:rsidP="002526CB">
            <w:pPr>
              <w:jc w:val="center"/>
              <w:rPr>
                <w:b/>
                <w:iCs/>
                <w:noProof/>
                <w:sz w:val="20"/>
              </w:rPr>
            </w:pPr>
            <w:r w:rsidRPr="00B44B19">
              <w:rPr>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27974E" w14:textId="77777777" w:rsidR="0031600C" w:rsidRPr="00B44B19" w:rsidRDefault="0031600C" w:rsidP="002526CB">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E49400" w14:textId="77777777" w:rsidR="0031600C" w:rsidRPr="00B44B19" w:rsidRDefault="0031600C" w:rsidP="002526CB">
            <w:pPr>
              <w:jc w:val="center"/>
              <w:rPr>
                <w:b/>
                <w:iCs/>
                <w:noProof/>
                <w:sz w:val="20"/>
              </w:rPr>
            </w:pPr>
            <w:r w:rsidRPr="00B44B19">
              <w:rPr>
                <w:b/>
                <w:noProof/>
                <w:sz w:val="20"/>
              </w:rPr>
              <w:t>Suma (EUR)</w:t>
            </w:r>
          </w:p>
        </w:tc>
      </w:tr>
      <w:tr w:rsidR="00FE65EB" w:rsidRPr="00B44B19" w14:paraId="06932587" w14:textId="77777777" w:rsidTr="0002743E">
        <w:tc>
          <w:tcPr>
            <w:tcW w:w="1101" w:type="dxa"/>
            <w:vMerge w:val="restart"/>
            <w:tcBorders>
              <w:top w:val="single" w:sz="12" w:space="0" w:color="auto"/>
            </w:tcBorders>
          </w:tcPr>
          <w:p w14:paraId="2D55BBF2" w14:textId="77777777" w:rsidR="00FE65EB" w:rsidRPr="00B44B19" w:rsidRDefault="00FE65EB" w:rsidP="002526CB">
            <w:pPr>
              <w:jc w:val="center"/>
              <w:rPr>
                <w:iCs/>
                <w:noProof/>
                <w:sz w:val="20"/>
              </w:rPr>
            </w:pPr>
            <w:r w:rsidRPr="00B44B19">
              <w:rPr>
                <w:iCs/>
                <w:noProof/>
                <w:sz w:val="20"/>
              </w:rPr>
              <w:t>4</w:t>
            </w:r>
          </w:p>
        </w:tc>
        <w:tc>
          <w:tcPr>
            <w:tcW w:w="850" w:type="dxa"/>
            <w:vMerge w:val="restart"/>
            <w:tcBorders>
              <w:top w:val="single" w:sz="12" w:space="0" w:color="auto"/>
            </w:tcBorders>
          </w:tcPr>
          <w:p w14:paraId="4D180C14" w14:textId="77777777" w:rsidR="00FE65EB" w:rsidRPr="00B44B19" w:rsidRDefault="00FE65EB" w:rsidP="002526CB">
            <w:pPr>
              <w:jc w:val="center"/>
              <w:rPr>
                <w:iCs/>
                <w:noProof/>
                <w:sz w:val="20"/>
              </w:rPr>
            </w:pPr>
            <w:r w:rsidRPr="00B44B19">
              <w:rPr>
                <w:iCs/>
                <w:noProof/>
                <w:sz w:val="20"/>
              </w:rPr>
              <w:t>ESF+</w:t>
            </w:r>
          </w:p>
        </w:tc>
        <w:tc>
          <w:tcPr>
            <w:tcW w:w="1701" w:type="dxa"/>
            <w:tcBorders>
              <w:top w:val="single" w:sz="12" w:space="0" w:color="auto"/>
            </w:tcBorders>
          </w:tcPr>
          <w:p w14:paraId="2E943AF3" w14:textId="77777777" w:rsidR="00FE65EB" w:rsidRPr="00B44B19" w:rsidRDefault="00FE65EB" w:rsidP="002526CB">
            <w:pPr>
              <w:rPr>
                <w:iCs/>
                <w:noProof/>
                <w:sz w:val="20"/>
              </w:rPr>
            </w:pPr>
            <w:r w:rsidRPr="00B44B19">
              <w:rPr>
                <w:iCs/>
                <w:noProof/>
                <w:sz w:val="20"/>
              </w:rPr>
              <w:t>Sostinės regionas</w:t>
            </w:r>
          </w:p>
        </w:tc>
        <w:tc>
          <w:tcPr>
            <w:tcW w:w="1134" w:type="dxa"/>
            <w:vMerge w:val="restart"/>
            <w:tcBorders>
              <w:top w:val="single" w:sz="12" w:space="0" w:color="auto"/>
            </w:tcBorders>
          </w:tcPr>
          <w:p w14:paraId="07A65466" w14:textId="77777777" w:rsidR="00FE65EB" w:rsidRPr="00B44B19" w:rsidRDefault="00FE65EB" w:rsidP="002526CB">
            <w:pPr>
              <w:jc w:val="center"/>
              <w:rPr>
                <w:iCs/>
                <w:noProof/>
                <w:sz w:val="20"/>
              </w:rPr>
            </w:pPr>
            <w:r w:rsidRPr="00B44B19">
              <w:rPr>
                <w:iCs/>
                <w:noProof/>
                <w:sz w:val="20"/>
              </w:rPr>
              <w:t>4.8</w:t>
            </w:r>
          </w:p>
        </w:tc>
        <w:tc>
          <w:tcPr>
            <w:tcW w:w="3544" w:type="dxa"/>
            <w:vMerge w:val="restart"/>
            <w:tcBorders>
              <w:top w:val="single" w:sz="12" w:space="0" w:color="auto"/>
            </w:tcBorders>
          </w:tcPr>
          <w:p w14:paraId="1300718C" w14:textId="77777777" w:rsidR="00FE65EB" w:rsidRPr="00B44B19" w:rsidRDefault="00FE65EB" w:rsidP="002526CB">
            <w:pPr>
              <w:rPr>
                <w:iCs/>
                <w:noProof/>
                <w:sz w:val="20"/>
              </w:rPr>
            </w:pPr>
            <w:r w:rsidRPr="00B44B19">
              <w:rPr>
                <w:iCs/>
                <w:noProof/>
                <w:sz w:val="20"/>
              </w:rPr>
              <w:t>02 – Lyčių aspekto integravimas</w:t>
            </w:r>
          </w:p>
        </w:tc>
        <w:tc>
          <w:tcPr>
            <w:tcW w:w="1559" w:type="dxa"/>
            <w:tcBorders>
              <w:top w:val="single" w:sz="12" w:space="0" w:color="auto"/>
            </w:tcBorders>
          </w:tcPr>
          <w:p w14:paraId="1310CCF2" w14:textId="77777777" w:rsidR="00FE65EB" w:rsidRPr="00B44B19" w:rsidRDefault="00FE65EB" w:rsidP="00FE65EB">
            <w:pPr>
              <w:jc w:val="right"/>
              <w:rPr>
                <w:iCs/>
                <w:noProof/>
                <w:sz w:val="20"/>
              </w:rPr>
            </w:pPr>
            <w:r w:rsidRPr="00B44B19">
              <w:rPr>
                <w:iCs/>
                <w:noProof/>
                <w:sz w:val="20"/>
              </w:rPr>
              <w:t>19 961 430,00</w:t>
            </w:r>
          </w:p>
        </w:tc>
      </w:tr>
      <w:tr w:rsidR="00FE65EB" w:rsidRPr="00B44B19" w14:paraId="71CE1812" w14:textId="77777777" w:rsidTr="0002743E">
        <w:tc>
          <w:tcPr>
            <w:tcW w:w="1101" w:type="dxa"/>
            <w:vMerge/>
          </w:tcPr>
          <w:p w14:paraId="561355B4" w14:textId="77777777" w:rsidR="00FE65EB" w:rsidRPr="00B44B19" w:rsidRDefault="00FE65EB" w:rsidP="002526CB">
            <w:pPr>
              <w:jc w:val="center"/>
              <w:rPr>
                <w:iCs/>
                <w:noProof/>
                <w:sz w:val="20"/>
              </w:rPr>
            </w:pPr>
          </w:p>
        </w:tc>
        <w:tc>
          <w:tcPr>
            <w:tcW w:w="850" w:type="dxa"/>
            <w:vMerge/>
          </w:tcPr>
          <w:p w14:paraId="3ECBB3EE" w14:textId="77777777" w:rsidR="00FE65EB" w:rsidRPr="00B44B19" w:rsidRDefault="00FE65EB" w:rsidP="002526CB">
            <w:pPr>
              <w:jc w:val="center"/>
              <w:rPr>
                <w:iCs/>
                <w:noProof/>
                <w:sz w:val="20"/>
              </w:rPr>
            </w:pPr>
          </w:p>
        </w:tc>
        <w:tc>
          <w:tcPr>
            <w:tcW w:w="1701" w:type="dxa"/>
          </w:tcPr>
          <w:p w14:paraId="27C28DA0" w14:textId="77777777" w:rsidR="00FE65EB" w:rsidRPr="00B44B19" w:rsidRDefault="00FE65EB" w:rsidP="002526CB">
            <w:pPr>
              <w:rPr>
                <w:iCs/>
                <w:noProof/>
                <w:sz w:val="20"/>
              </w:rPr>
            </w:pPr>
            <w:r w:rsidRPr="00B44B19">
              <w:rPr>
                <w:iCs/>
                <w:noProof/>
                <w:sz w:val="20"/>
              </w:rPr>
              <w:t>VVL regionas</w:t>
            </w:r>
          </w:p>
        </w:tc>
        <w:tc>
          <w:tcPr>
            <w:tcW w:w="1134" w:type="dxa"/>
            <w:vMerge/>
          </w:tcPr>
          <w:p w14:paraId="6DBFF6A2" w14:textId="77777777" w:rsidR="00FE65EB" w:rsidRPr="00B44B19" w:rsidRDefault="00FE65EB" w:rsidP="002526CB">
            <w:pPr>
              <w:jc w:val="center"/>
              <w:rPr>
                <w:iCs/>
                <w:noProof/>
                <w:sz w:val="20"/>
              </w:rPr>
            </w:pPr>
          </w:p>
        </w:tc>
        <w:tc>
          <w:tcPr>
            <w:tcW w:w="3544" w:type="dxa"/>
            <w:vMerge/>
          </w:tcPr>
          <w:p w14:paraId="786597F0" w14:textId="77777777" w:rsidR="00FE65EB" w:rsidRPr="00B44B19" w:rsidRDefault="00FE65EB" w:rsidP="002526CB">
            <w:pPr>
              <w:jc w:val="center"/>
              <w:rPr>
                <w:iCs/>
                <w:noProof/>
                <w:sz w:val="20"/>
              </w:rPr>
            </w:pPr>
          </w:p>
        </w:tc>
        <w:tc>
          <w:tcPr>
            <w:tcW w:w="1559" w:type="dxa"/>
          </w:tcPr>
          <w:p w14:paraId="6C82D263" w14:textId="77777777" w:rsidR="00FE65EB" w:rsidRPr="00B44B19" w:rsidRDefault="00FE65EB" w:rsidP="00BA535F">
            <w:pPr>
              <w:jc w:val="right"/>
              <w:rPr>
                <w:iCs/>
                <w:noProof/>
                <w:sz w:val="20"/>
              </w:rPr>
            </w:pPr>
            <w:r w:rsidRPr="00B44B19">
              <w:rPr>
                <w:iCs/>
                <w:noProof/>
                <w:sz w:val="20"/>
              </w:rPr>
              <w:t>175 787 903,00</w:t>
            </w:r>
          </w:p>
        </w:tc>
      </w:tr>
      <w:tr w:rsidR="0031600C" w:rsidRPr="00B44B19" w14:paraId="5D24254C" w14:textId="77777777" w:rsidTr="0002743E">
        <w:tc>
          <w:tcPr>
            <w:tcW w:w="1101" w:type="dxa"/>
            <w:vMerge/>
          </w:tcPr>
          <w:p w14:paraId="0A7E7157" w14:textId="77777777" w:rsidR="0031600C" w:rsidRPr="00B44B19" w:rsidRDefault="0031600C" w:rsidP="002526CB">
            <w:pPr>
              <w:jc w:val="center"/>
              <w:rPr>
                <w:iCs/>
                <w:noProof/>
                <w:sz w:val="20"/>
              </w:rPr>
            </w:pPr>
          </w:p>
        </w:tc>
        <w:tc>
          <w:tcPr>
            <w:tcW w:w="850" w:type="dxa"/>
            <w:vMerge/>
          </w:tcPr>
          <w:p w14:paraId="2FCEC164" w14:textId="77777777" w:rsidR="0031600C" w:rsidRPr="00B44B19" w:rsidRDefault="0031600C" w:rsidP="002526CB">
            <w:pPr>
              <w:jc w:val="center"/>
              <w:rPr>
                <w:iCs/>
                <w:noProof/>
                <w:sz w:val="20"/>
              </w:rPr>
            </w:pPr>
          </w:p>
        </w:tc>
        <w:tc>
          <w:tcPr>
            <w:tcW w:w="1701" w:type="dxa"/>
          </w:tcPr>
          <w:p w14:paraId="29DDE84E" w14:textId="77777777" w:rsidR="0031600C" w:rsidRPr="00B44B19" w:rsidRDefault="0031600C" w:rsidP="002526CB">
            <w:pPr>
              <w:rPr>
                <w:iCs/>
                <w:noProof/>
                <w:sz w:val="20"/>
              </w:rPr>
            </w:pPr>
            <w:r w:rsidRPr="00B44B19">
              <w:rPr>
                <w:iCs/>
                <w:noProof/>
                <w:sz w:val="20"/>
              </w:rPr>
              <w:t>Sostinės regionas</w:t>
            </w:r>
          </w:p>
        </w:tc>
        <w:tc>
          <w:tcPr>
            <w:tcW w:w="1134" w:type="dxa"/>
            <w:vMerge/>
          </w:tcPr>
          <w:p w14:paraId="4125BD0C" w14:textId="77777777" w:rsidR="0031600C" w:rsidRPr="00B44B19" w:rsidRDefault="0031600C" w:rsidP="002526CB">
            <w:pPr>
              <w:jc w:val="center"/>
              <w:rPr>
                <w:iCs/>
                <w:noProof/>
                <w:sz w:val="20"/>
              </w:rPr>
            </w:pPr>
          </w:p>
        </w:tc>
        <w:tc>
          <w:tcPr>
            <w:tcW w:w="3544" w:type="dxa"/>
            <w:vMerge w:val="restart"/>
          </w:tcPr>
          <w:p w14:paraId="5FD23E7D" w14:textId="77777777" w:rsidR="0031600C" w:rsidRPr="00B44B19" w:rsidRDefault="0031600C" w:rsidP="002526CB">
            <w:pPr>
              <w:rPr>
                <w:iCs/>
                <w:noProof/>
                <w:sz w:val="20"/>
              </w:rPr>
            </w:pPr>
            <w:r w:rsidRPr="00B44B19">
              <w:rPr>
                <w:iCs/>
                <w:noProof/>
                <w:sz w:val="20"/>
              </w:rPr>
              <w:t xml:space="preserve">03 </w:t>
            </w:r>
            <w:r w:rsidR="00D43A78" w:rsidRPr="00B44B19">
              <w:rPr>
                <w:iCs/>
                <w:noProof/>
                <w:sz w:val="20"/>
              </w:rPr>
              <w:t>–</w:t>
            </w:r>
            <w:r w:rsidRPr="00B44B19">
              <w:rPr>
                <w:iCs/>
                <w:noProof/>
                <w:sz w:val="20"/>
              </w:rPr>
              <w:t xml:space="preserve"> Neutralumas lyties požiūriu</w:t>
            </w:r>
          </w:p>
        </w:tc>
        <w:tc>
          <w:tcPr>
            <w:tcW w:w="1559" w:type="dxa"/>
          </w:tcPr>
          <w:p w14:paraId="1FB4260B" w14:textId="27249666" w:rsidR="0031600C" w:rsidRPr="00B44B19" w:rsidRDefault="004A67E7" w:rsidP="004A67E7">
            <w:pPr>
              <w:jc w:val="right"/>
              <w:rPr>
                <w:iCs/>
                <w:noProof/>
                <w:sz w:val="20"/>
              </w:rPr>
            </w:pPr>
            <w:r w:rsidRPr="00B44B19">
              <w:rPr>
                <w:color w:val="000000"/>
                <w:sz w:val="20"/>
                <w:szCs w:val="20"/>
              </w:rPr>
              <w:t>6 045 530</w:t>
            </w:r>
            <w:r w:rsidR="00FE65EB" w:rsidRPr="00B44B19">
              <w:rPr>
                <w:iCs/>
                <w:noProof/>
                <w:sz w:val="20"/>
              </w:rPr>
              <w:t>,00</w:t>
            </w:r>
          </w:p>
        </w:tc>
      </w:tr>
      <w:tr w:rsidR="00FE65EB" w:rsidRPr="00B44B19" w14:paraId="46213A95" w14:textId="77777777" w:rsidTr="0002743E">
        <w:tc>
          <w:tcPr>
            <w:tcW w:w="1101" w:type="dxa"/>
            <w:vMerge/>
          </w:tcPr>
          <w:p w14:paraId="4EB7C261" w14:textId="77777777" w:rsidR="00FE65EB" w:rsidRPr="00B44B19" w:rsidRDefault="00FE65EB" w:rsidP="002526CB">
            <w:pPr>
              <w:jc w:val="center"/>
              <w:rPr>
                <w:iCs/>
                <w:noProof/>
                <w:sz w:val="20"/>
              </w:rPr>
            </w:pPr>
          </w:p>
        </w:tc>
        <w:tc>
          <w:tcPr>
            <w:tcW w:w="850" w:type="dxa"/>
            <w:vMerge/>
          </w:tcPr>
          <w:p w14:paraId="7AA8E10C" w14:textId="77777777" w:rsidR="00FE65EB" w:rsidRPr="00B44B19" w:rsidRDefault="00FE65EB" w:rsidP="002526CB">
            <w:pPr>
              <w:jc w:val="center"/>
              <w:rPr>
                <w:iCs/>
                <w:noProof/>
                <w:sz w:val="20"/>
              </w:rPr>
            </w:pPr>
          </w:p>
        </w:tc>
        <w:tc>
          <w:tcPr>
            <w:tcW w:w="1701" w:type="dxa"/>
          </w:tcPr>
          <w:p w14:paraId="3BCE7315" w14:textId="77777777" w:rsidR="00FE65EB" w:rsidRPr="00B44B19" w:rsidRDefault="00FE65EB" w:rsidP="002526CB">
            <w:pPr>
              <w:rPr>
                <w:iCs/>
                <w:noProof/>
                <w:sz w:val="20"/>
              </w:rPr>
            </w:pPr>
            <w:r w:rsidRPr="00B44B19">
              <w:rPr>
                <w:iCs/>
                <w:noProof/>
                <w:sz w:val="20"/>
              </w:rPr>
              <w:t>VVL regionas</w:t>
            </w:r>
          </w:p>
        </w:tc>
        <w:tc>
          <w:tcPr>
            <w:tcW w:w="1134" w:type="dxa"/>
            <w:vMerge/>
          </w:tcPr>
          <w:p w14:paraId="7A21D1DB" w14:textId="77777777" w:rsidR="00FE65EB" w:rsidRPr="00B44B19" w:rsidRDefault="00FE65EB" w:rsidP="002526CB">
            <w:pPr>
              <w:jc w:val="center"/>
              <w:rPr>
                <w:iCs/>
                <w:noProof/>
                <w:sz w:val="20"/>
              </w:rPr>
            </w:pPr>
          </w:p>
        </w:tc>
        <w:tc>
          <w:tcPr>
            <w:tcW w:w="3544" w:type="dxa"/>
            <w:vMerge/>
          </w:tcPr>
          <w:p w14:paraId="7E7CA79B" w14:textId="77777777" w:rsidR="00FE65EB" w:rsidRPr="00B44B19" w:rsidRDefault="00FE65EB" w:rsidP="002526CB">
            <w:pPr>
              <w:jc w:val="center"/>
              <w:rPr>
                <w:iCs/>
                <w:noProof/>
                <w:sz w:val="20"/>
              </w:rPr>
            </w:pPr>
          </w:p>
        </w:tc>
        <w:tc>
          <w:tcPr>
            <w:tcW w:w="1559" w:type="dxa"/>
          </w:tcPr>
          <w:p w14:paraId="0F36D8A0" w14:textId="41AAA0E5" w:rsidR="00FE65EB" w:rsidRPr="00B44B19" w:rsidRDefault="004A67E7" w:rsidP="004A67E7">
            <w:pPr>
              <w:jc w:val="right"/>
              <w:rPr>
                <w:iCs/>
                <w:noProof/>
                <w:sz w:val="20"/>
              </w:rPr>
            </w:pPr>
            <w:r w:rsidRPr="00B44B19">
              <w:rPr>
                <w:color w:val="000000"/>
                <w:sz w:val="20"/>
                <w:szCs w:val="20"/>
              </w:rPr>
              <w:t>150 182 701</w:t>
            </w:r>
            <w:r w:rsidR="00FE65EB" w:rsidRPr="00B44B19">
              <w:rPr>
                <w:iCs/>
                <w:noProof/>
                <w:sz w:val="20"/>
              </w:rPr>
              <w:t>,00</w:t>
            </w:r>
          </w:p>
        </w:tc>
      </w:tr>
    </w:tbl>
    <w:p w14:paraId="03D13269" w14:textId="77777777" w:rsidR="00EF291A" w:rsidRPr="00B44B19" w:rsidRDefault="00EF291A" w:rsidP="00D456C1">
      <w:pPr>
        <w:pStyle w:val="Antrat2"/>
      </w:pPr>
      <w:bookmarkStart w:id="49" w:name="_Toc223435434"/>
      <w:r w:rsidRPr="00B44B19">
        <w:lastRenderedPageBreak/>
        <w:t>Konkretus uždavinys – 4.</w:t>
      </w:r>
      <w:r w:rsidR="00442D45" w:rsidRPr="00B44B19">
        <w:t>9.</w:t>
      </w:r>
      <w:r w:rsidRPr="00B44B19">
        <w:t xml:space="preserve"> </w:t>
      </w:r>
      <w:r w:rsidR="0087288C" w:rsidRPr="00B44B19">
        <w:rPr>
          <w:lang w:bidi="lt-LT"/>
        </w:rPr>
        <w:t xml:space="preserve">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w:t>
      </w:r>
      <w:r w:rsidRPr="00B44B19">
        <w:t>(ERPF)</w:t>
      </w:r>
      <w:bookmarkEnd w:id="49"/>
    </w:p>
    <w:p w14:paraId="0B87962D"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4"/>
        <w:tblW w:w="9889" w:type="dxa"/>
        <w:tblLook w:val="04A0" w:firstRow="1" w:lastRow="0" w:firstColumn="1" w:lastColumn="0" w:noHBand="0" w:noVBand="1"/>
      </w:tblPr>
      <w:tblGrid>
        <w:gridCol w:w="9889"/>
      </w:tblGrid>
      <w:tr w:rsidR="00EF291A" w:rsidRPr="00B44B19" w14:paraId="0F5C8F5D" w14:textId="77777777" w:rsidTr="000E6933">
        <w:tc>
          <w:tcPr>
            <w:tcW w:w="9889" w:type="dxa"/>
          </w:tcPr>
          <w:p w14:paraId="6B990061" w14:textId="77777777"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rPr>
              <w:t xml:space="preserve">Mažinant socialinę atskirtį, toliau išlieka poreikis plėtoti socialines paslaugas, </w:t>
            </w:r>
            <w:r w:rsidR="00FE65EB" w:rsidRPr="00B44B19">
              <w:rPr>
                <w:rFonts w:ascii="Times New Roman" w:eastAsia="Calibri" w:hAnsi="Times New Roman" w:cs="Times New Roman"/>
              </w:rPr>
              <w:t xml:space="preserve">ženklią </w:t>
            </w:r>
            <w:r w:rsidRPr="00B44B19">
              <w:rPr>
                <w:rFonts w:ascii="Times New Roman" w:eastAsia="Calibri" w:hAnsi="Times New Roman" w:cs="Times New Roman"/>
              </w:rPr>
              <w:t>investicijų dalį skiriant bendruomenėje teikiamų paslaugų plėtrai, užtikrinant institucinės globos pertvarkos įgyvendinimą. Šios investicijos papildys ESF+ lėšomis numatomas finansuoti paslaugas. Siekiant užtikrinti intelekto ir (ar) psichikos negalią turinčių asmenų, kuriems dėl kitų ligų yra nustatyta vegetacinė ar terminalinė būklė, arba esančių nuolatos agresyviems, teisę į adekvačią kokybišką slaugą ir socialinę globą (ilgalaikę priežiūrą) būtina sukurti tinkamą specializuotą infrastruktūrą. Kartu svarbu diegti socialines inovacijas, užtikrinti žmogaus teisių standartus, skatinti socialinį aktyvumą, kad būtų atliepti įvairių socialinių grupių iššūkiai ir poreikiai. Bus įgyvendinamos integruotos priemonės, skirtos socialinei ir ekonominei marginalizuotų bendruomenių, migrantų ir nepalankias sąlygas turinčių grupių integracijai.</w:t>
            </w:r>
          </w:p>
          <w:p w14:paraId="67B086BE" w14:textId="77777777"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rPr>
              <w:t>Apie 10 tūkst. gyventojų laukia so</w:t>
            </w:r>
            <w:r w:rsidR="00DD5B8F" w:rsidRPr="00B44B19">
              <w:rPr>
                <w:rFonts w:ascii="Times New Roman" w:eastAsia="Calibri" w:hAnsi="Times New Roman" w:cs="Times New Roman"/>
              </w:rPr>
              <w:t>cialinio būsto nuo 3 iki 12 m</w:t>
            </w:r>
            <w:r w:rsidR="00166EC1" w:rsidRPr="00B44B19">
              <w:rPr>
                <w:rFonts w:ascii="Times New Roman" w:eastAsia="Calibri" w:hAnsi="Times New Roman" w:cs="Times New Roman"/>
              </w:rPr>
              <w:t>etų</w:t>
            </w:r>
            <w:r w:rsidRPr="00B44B19">
              <w:rPr>
                <w:rFonts w:ascii="Times New Roman" w:eastAsia="Calibri" w:hAnsi="Times New Roman" w:cs="Times New Roman"/>
              </w:rPr>
              <w:t>, priklausomai nuo savivaldybės. Didžiausias išlieka gausi</w:t>
            </w:r>
            <w:r w:rsidR="00166EC1" w:rsidRPr="00B44B19">
              <w:rPr>
                <w:rFonts w:ascii="Times New Roman" w:eastAsia="Calibri" w:hAnsi="Times New Roman" w:cs="Times New Roman"/>
              </w:rPr>
              <w:t>ų</w:t>
            </w:r>
            <w:r w:rsidRPr="00B44B19">
              <w:rPr>
                <w:rFonts w:ascii="Times New Roman" w:eastAsia="Calibri" w:hAnsi="Times New Roman" w:cs="Times New Roman"/>
              </w:rPr>
              <w:t xml:space="preserve"> šeim</w:t>
            </w:r>
            <w:r w:rsidR="00166EC1" w:rsidRPr="00B44B19">
              <w:rPr>
                <w:rFonts w:ascii="Times New Roman" w:eastAsia="Calibri" w:hAnsi="Times New Roman" w:cs="Times New Roman"/>
              </w:rPr>
              <w:t>ų</w:t>
            </w:r>
            <w:r w:rsidRPr="00B44B19">
              <w:rPr>
                <w:rFonts w:ascii="Times New Roman" w:eastAsia="Calibri" w:hAnsi="Times New Roman" w:cs="Times New Roman"/>
              </w:rPr>
              <w:t xml:space="preserve"> (šeim</w:t>
            </w:r>
            <w:r w:rsidR="00166EC1" w:rsidRPr="00B44B19">
              <w:rPr>
                <w:rFonts w:ascii="Times New Roman" w:eastAsia="Calibri" w:hAnsi="Times New Roman" w:cs="Times New Roman"/>
              </w:rPr>
              <w:t>ų</w:t>
            </w:r>
            <w:r w:rsidRPr="00B44B19">
              <w:rPr>
                <w:rFonts w:ascii="Times New Roman" w:eastAsia="Calibri" w:hAnsi="Times New Roman" w:cs="Times New Roman"/>
              </w:rPr>
              <w:t>, auginanči</w:t>
            </w:r>
            <w:r w:rsidR="00166EC1" w:rsidRPr="00B44B19">
              <w:rPr>
                <w:rFonts w:ascii="Times New Roman" w:eastAsia="Calibri" w:hAnsi="Times New Roman" w:cs="Times New Roman"/>
              </w:rPr>
              <w:t>ų</w:t>
            </w:r>
            <w:r w:rsidRPr="00B44B19">
              <w:rPr>
                <w:rFonts w:ascii="Times New Roman" w:eastAsia="Calibri" w:hAnsi="Times New Roman" w:cs="Times New Roman"/>
              </w:rPr>
              <w:t xml:space="preserve"> tris ir daugiau vaikų) bei neįgali</w:t>
            </w:r>
            <w:r w:rsidR="00166EC1" w:rsidRPr="00B44B19">
              <w:rPr>
                <w:rFonts w:ascii="Times New Roman" w:eastAsia="Calibri" w:hAnsi="Times New Roman" w:cs="Times New Roman"/>
              </w:rPr>
              <w:t>ų</w:t>
            </w:r>
            <w:r w:rsidRPr="00B44B19">
              <w:rPr>
                <w:rFonts w:ascii="Times New Roman" w:eastAsia="Calibri" w:hAnsi="Times New Roman" w:cs="Times New Roman"/>
              </w:rPr>
              <w:t xml:space="preserve"> asmen</w:t>
            </w:r>
            <w:r w:rsidR="00166EC1" w:rsidRPr="00B44B19">
              <w:rPr>
                <w:rFonts w:ascii="Times New Roman" w:eastAsia="Calibri" w:hAnsi="Times New Roman" w:cs="Times New Roman"/>
              </w:rPr>
              <w:t>ų socialinio būsto poreikis</w:t>
            </w:r>
            <w:r w:rsidRPr="00B44B19">
              <w:rPr>
                <w:rFonts w:ascii="Times New Roman" w:eastAsia="Calibri" w:hAnsi="Times New Roman" w:cs="Times New Roman"/>
              </w:rPr>
              <w:t>, nes šioms tikslinėms grupėms tinkamo būsto rinkoje pasiūlos nėra arba ji nepakankama. Investicijo</w:t>
            </w:r>
            <w:r w:rsidR="00166EC1" w:rsidRPr="00B44B19">
              <w:rPr>
                <w:rFonts w:ascii="Times New Roman" w:eastAsia="Calibri" w:hAnsi="Times New Roman" w:cs="Times New Roman"/>
              </w:rPr>
              <w:t>mis</w:t>
            </w:r>
            <w:r w:rsidRPr="00B44B19">
              <w:rPr>
                <w:rFonts w:ascii="Times New Roman" w:eastAsia="Calibri" w:hAnsi="Times New Roman" w:cs="Times New Roman"/>
              </w:rPr>
              <w:t xml:space="preserve"> į socialinį būstą </w:t>
            </w:r>
            <w:r w:rsidR="00166EC1" w:rsidRPr="00B44B19">
              <w:rPr>
                <w:rFonts w:ascii="Times New Roman" w:eastAsia="Calibri" w:hAnsi="Times New Roman" w:cs="Times New Roman"/>
              </w:rPr>
              <w:t xml:space="preserve">bus </w:t>
            </w:r>
            <w:r w:rsidRPr="00B44B19">
              <w:rPr>
                <w:rFonts w:ascii="Times New Roman" w:eastAsia="Calibri" w:hAnsi="Times New Roman" w:cs="Times New Roman"/>
              </w:rPr>
              <w:t>prisid</w:t>
            </w:r>
            <w:r w:rsidR="00166EC1" w:rsidRPr="00B44B19">
              <w:rPr>
                <w:rFonts w:ascii="Times New Roman" w:eastAsia="Calibri" w:hAnsi="Times New Roman" w:cs="Times New Roman"/>
              </w:rPr>
              <w:t>edama</w:t>
            </w:r>
            <w:r w:rsidRPr="00B44B19">
              <w:rPr>
                <w:rFonts w:ascii="Times New Roman" w:eastAsia="Calibri" w:hAnsi="Times New Roman" w:cs="Times New Roman"/>
              </w:rPr>
              <w:t xml:space="preserve"> ir prie </w:t>
            </w:r>
            <w:r w:rsidR="00166EC1" w:rsidRPr="00B44B19">
              <w:rPr>
                <w:rFonts w:ascii="Times New Roman" w:eastAsia="Calibri" w:hAnsi="Times New Roman" w:cs="Times New Roman"/>
              </w:rPr>
              <w:t>v</w:t>
            </w:r>
            <w:r w:rsidRPr="00B44B19">
              <w:rPr>
                <w:rFonts w:ascii="Times New Roman" w:eastAsia="Calibri" w:hAnsi="Times New Roman" w:cs="Times New Roman"/>
              </w:rPr>
              <w:t>aiko garantijų sistemos įgyvendinimo, nes</w:t>
            </w:r>
            <w:r w:rsidR="00166EC1" w:rsidRPr="00B44B19">
              <w:rPr>
                <w:rFonts w:ascii="Times New Roman" w:eastAsia="Calibri" w:hAnsi="Times New Roman" w:cs="Times New Roman"/>
              </w:rPr>
              <w:t xml:space="preserve"> bus</w:t>
            </w:r>
            <w:r w:rsidRPr="00B44B19">
              <w:rPr>
                <w:rFonts w:ascii="Times New Roman" w:eastAsia="Calibri" w:hAnsi="Times New Roman" w:cs="Times New Roman"/>
              </w:rPr>
              <w:t xml:space="preserve"> sudar</w:t>
            </w:r>
            <w:r w:rsidR="00166EC1" w:rsidRPr="00B44B19">
              <w:rPr>
                <w:rFonts w:ascii="Times New Roman" w:eastAsia="Calibri" w:hAnsi="Times New Roman" w:cs="Times New Roman"/>
              </w:rPr>
              <w:t>omos</w:t>
            </w:r>
            <w:r w:rsidRPr="00B44B19">
              <w:rPr>
                <w:rFonts w:ascii="Times New Roman" w:eastAsia="Calibri" w:hAnsi="Times New Roman" w:cs="Times New Roman"/>
              </w:rPr>
              <w:t xml:space="preserve"> sąlyg</w:t>
            </w:r>
            <w:r w:rsidR="00166EC1" w:rsidRPr="00B44B19">
              <w:rPr>
                <w:rFonts w:ascii="Times New Roman" w:eastAsia="Calibri" w:hAnsi="Times New Roman" w:cs="Times New Roman"/>
              </w:rPr>
              <w:t>o</w:t>
            </w:r>
            <w:r w:rsidRPr="00B44B19">
              <w:rPr>
                <w:rFonts w:ascii="Times New Roman" w:eastAsia="Calibri" w:hAnsi="Times New Roman" w:cs="Times New Roman"/>
              </w:rPr>
              <w:t xml:space="preserve">s užkirsti kelią socialinei atskirčiai ir su ja kovoti, didinant šeimose augančių vaikų </w:t>
            </w:r>
            <w:r w:rsidR="0002743E" w:rsidRPr="00B44B19">
              <w:rPr>
                <w:rFonts w:ascii="Times New Roman" w:eastAsia="Calibri" w:hAnsi="Times New Roman" w:cs="Times New Roman"/>
              </w:rPr>
              <w:t>galimybę turėti tinkamą būstą.</w:t>
            </w:r>
          </w:p>
          <w:p w14:paraId="7A2E0A73" w14:textId="77777777" w:rsidR="00746825" w:rsidRPr="00B44B19" w:rsidRDefault="00463247"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rPr>
              <w:t>Viena iš socialinių netolygumų susidarymo priežasčių – gyvenamųjų, paslaugų teikimo ir darbo vietų disbalansas. Darn</w:t>
            </w:r>
            <w:r w:rsidR="00166EC1" w:rsidRPr="00B44B19">
              <w:rPr>
                <w:rFonts w:ascii="Times New Roman" w:eastAsia="Calibri" w:hAnsi="Times New Roman" w:cs="Times New Roman"/>
              </w:rPr>
              <w:t>i</w:t>
            </w:r>
            <w:r w:rsidRPr="00B44B19">
              <w:rPr>
                <w:rFonts w:ascii="Times New Roman" w:eastAsia="Calibri" w:hAnsi="Times New Roman" w:cs="Times New Roman"/>
              </w:rPr>
              <w:t xml:space="preserve"> miestų ir </w:t>
            </w:r>
            <w:r w:rsidR="004C2FDD" w:rsidRPr="00B44B19">
              <w:rPr>
                <w:rFonts w:ascii="Times New Roman" w:eastAsia="Calibri" w:hAnsi="Times New Roman" w:cs="Times New Roman"/>
              </w:rPr>
              <w:t>FZ</w:t>
            </w:r>
            <w:r w:rsidRPr="00B44B19">
              <w:rPr>
                <w:rFonts w:ascii="Times New Roman" w:eastAsia="Calibri" w:hAnsi="Times New Roman" w:cs="Times New Roman"/>
              </w:rPr>
              <w:t xml:space="preserve"> </w:t>
            </w:r>
            <w:r w:rsidR="00166EC1" w:rsidRPr="00B44B19">
              <w:rPr>
                <w:rFonts w:ascii="Times New Roman" w:eastAsia="Calibri" w:hAnsi="Times New Roman" w:cs="Times New Roman"/>
              </w:rPr>
              <w:t xml:space="preserve">plėtra </w:t>
            </w:r>
            <w:r w:rsidRPr="00B44B19">
              <w:rPr>
                <w:rFonts w:ascii="Times New Roman" w:eastAsia="Calibri" w:hAnsi="Times New Roman" w:cs="Times New Roman"/>
              </w:rPr>
              <w:t>leidžia spręsti šį iššūkį ITI metodu, derinat 5.1 ir 5.2 uždavinių veiksmus</w:t>
            </w:r>
            <w:r w:rsidR="00746825" w:rsidRPr="00B44B19">
              <w:rPr>
                <w:rFonts w:ascii="Times New Roman" w:eastAsia="Calibri" w:hAnsi="Times New Roman" w:cs="Times New Roman"/>
              </w:rPr>
              <w:t xml:space="preserve">, </w:t>
            </w:r>
            <w:r w:rsidR="00F707DE" w:rsidRPr="00B44B19">
              <w:rPr>
                <w:rFonts w:ascii="Times New Roman" w:eastAsia="Calibri" w:hAnsi="Times New Roman" w:cs="Times New Roman"/>
              </w:rPr>
              <w:t xml:space="preserve">kuriais siekiama plėtoti </w:t>
            </w:r>
            <w:r w:rsidR="00746825" w:rsidRPr="00B44B19">
              <w:rPr>
                <w:rFonts w:ascii="Times New Roman" w:eastAsia="Calibri" w:hAnsi="Times New Roman" w:cs="Times New Roman"/>
              </w:rPr>
              <w:t>trūkstam</w:t>
            </w:r>
            <w:r w:rsidR="00F707DE" w:rsidRPr="00B44B19">
              <w:rPr>
                <w:rFonts w:ascii="Times New Roman" w:eastAsia="Calibri" w:hAnsi="Times New Roman" w:cs="Times New Roman"/>
              </w:rPr>
              <w:t>ą</w:t>
            </w:r>
            <w:r w:rsidR="00746825" w:rsidRPr="00B44B19">
              <w:rPr>
                <w:rFonts w:ascii="Times New Roman" w:eastAsia="Calibri" w:hAnsi="Times New Roman" w:cs="Times New Roman"/>
              </w:rPr>
              <w:t xml:space="preserve"> socialinių paslaugų infrastruktūr</w:t>
            </w:r>
            <w:r w:rsidR="00F707DE" w:rsidRPr="00B44B19">
              <w:rPr>
                <w:rFonts w:ascii="Times New Roman" w:eastAsia="Calibri" w:hAnsi="Times New Roman" w:cs="Times New Roman"/>
              </w:rPr>
              <w:t>ą</w:t>
            </w:r>
            <w:r w:rsidRPr="00B44B19">
              <w:rPr>
                <w:rFonts w:ascii="Times New Roman" w:hAnsi="Times New Roman" w:cs="Times New Roman"/>
              </w:rPr>
              <w:t xml:space="preserve"> </w:t>
            </w:r>
            <w:r w:rsidRPr="00B44B19">
              <w:rPr>
                <w:rFonts w:ascii="Times New Roman" w:eastAsia="Calibri" w:hAnsi="Times New Roman" w:cs="Times New Roman"/>
              </w:rPr>
              <w:t xml:space="preserve">miestuose, </w:t>
            </w:r>
            <w:r w:rsidR="00F707DE" w:rsidRPr="00B44B19">
              <w:rPr>
                <w:rFonts w:ascii="Times New Roman" w:eastAsia="Calibri" w:hAnsi="Times New Roman" w:cs="Times New Roman"/>
              </w:rPr>
              <w:t xml:space="preserve">kurti </w:t>
            </w:r>
            <w:r w:rsidRPr="00B44B19">
              <w:rPr>
                <w:rFonts w:ascii="Times New Roman" w:eastAsia="Calibri" w:hAnsi="Times New Roman" w:cs="Times New Roman"/>
              </w:rPr>
              <w:t>nauj</w:t>
            </w:r>
            <w:r w:rsidR="00F707DE" w:rsidRPr="00B44B19">
              <w:rPr>
                <w:rFonts w:ascii="Times New Roman" w:eastAsia="Calibri" w:hAnsi="Times New Roman" w:cs="Times New Roman"/>
              </w:rPr>
              <w:t>as</w:t>
            </w:r>
            <w:r w:rsidRPr="00B44B19">
              <w:rPr>
                <w:rFonts w:ascii="Times New Roman" w:eastAsia="Calibri" w:hAnsi="Times New Roman" w:cs="Times New Roman"/>
              </w:rPr>
              <w:t xml:space="preserve"> darbo viet</w:t>
            </w:r>
            <w:r w:rsidR="00F707DE" w:rsidRPr="00B44B19">
              <w:rPr>
                <w:rFonts w:ascii="Times New Roman" w:eastAsia="Calibri" w:hAnsi="Times New Roman" w:cs="Times New Roman"/>
              </w:rPr>
              <w:t>as</w:t>
            </w:r>
            <w:r w:rsidRPr="00B44B19">
              <w:rPr>
                <w:rFonts w:ascii="Times New Roman" w:eastAsia="Calibri" w:hAnsi="Times New Roman" w:cs="Times New Roman"/>
              </w:rPr>
              <w:t xml:space="preserve"> </w:t>
            </w:r>
            <w:r w:rsidR="00746825" w:rsidRPr="00B44B19">
              <w:rPr>
                <w:rFonts w:ascii="Times New Roman" w:eastAsia="Calibri" w:hAnsi="Times New Roman" w:cs="Times New Roman"/>
              </w:rPr>
              <w:t xml:space="preserve">ir </w:t>
            </w:r>
            <w:r w:rsidR="00F707DE" w:rsidRPr="00B44B19">
              <w:rPr>
                <w:rFonts w:ascii="Times New Roman" w:eastAsia="Calibri" w:hAnsi="Times New Roman" w:cs="Times New Roman"/>
              </w:rPr>
              <w:t xml:space="preserve">skatinti </w:t>
            </w:r>
            <w:r w:rsidRPr="00B44B19">
              <w:rPr>
                <w:rFonts w:ascii="Times New Roman" w:eastAsia="Calibri" w:hAnsi="Times New Roman" w:cs="Times New Roman"/>
              </w:rPr>
              <w:t>i</w:t>
            </w:r>
            <w:r w:rsidR="00746825" w:rsidRPr="00B44B19">
              <w:rPr>
                <w:rFonts w:ascii="Times New Roman" w:eastAsia="Calibri" w:hAnsi="Times New Roman" w:cs="Times New Roman"/>
              </w:rPr>
              <w:t>novatyvi</w:t>
            </w:r>
            <w:r w:rsidR="00F707DE" w:rsidRPr="00B44B19">
              <w:rPr>
                <w:rFonts w:ascii="Times New Roman" w:eastAsia="Calibri" w:hAnsi="Times New Roman" w:cs="Times New Roman"/>
              </w:rPr>
              <w:t>a</w:t>
            </w:r>
            <w:r w:rsidR="00746825" w:rsidRPr="00B44B19">
              <w:rPr>
                <w:rFonts w:ascii="Times New Roman" w:eastAsia="Calibri" w:hAnsi="Times New Roman" w:cs="Times New Roman"/>
              </w:rPr>
              <w:t>s socialinės ekonomikos iniciatyv</w:t>
            </w:r>
            <w:r w:rsidR="00F707DE" w:rsidRPr="00B44B19">
              <w:rPr>
                <w:rFonts w:ascii="Times New Roman" w:eastAsia="Calibri" w:hAnsi="Times New Roman" w:cs="Times New Roman"/>
              </w:rPr>
              <w:t>a</w:t>
            </w:r>
            <w:r w:rsidR="00746825" w:rsidRPr="00B44B19">
              <w:rPr>
                <w:rFonts w:ascii="Times New Roman" w:eastAsia="Calibri" w:hAnsi="Times New Roman" w:cs="Times New Roman"/>
              </w:rPr>
              <w:t>s</w:t>
            </w:r>
            <w:r w:rsidR="00F707DE" w:rsidRPr="00B44B19">
              <w:rPr>
                <w:rFonts w:ascii="Times New Roman" w:eastAsia="Calibri" w:hAnsi="Times New Roman" w:cs="Times New Roman"/>
              </w:rPr>
              <w:t>,</w:t>
            </w:r>
            <w:r w:rsidR="00746825" w:rsidRPr="00B44B19">
              <w:rPr>
                <w:rFonts w:ascii="Times New Roman" w:eastAsia="Calibri" w:hAnsi="Times New Roman" w:cs="Times New Roman"/>
              </w:rPr>
              <w:t xml:space="preserve"> </w:t>
            </w:r>
            <w:r w:rsidRPr="00B44B19">
              <w:rPr>
                <w:rFonts w:ascii="Times New Roman" w:eastAsia="Calibri" w:hAnsi="Times New Roman" w:cs="Times New Roman"/>
              </w:rPr>
              <w:t xml:space="preserve">su </w:t>
            </w:r>
            <w:r w:rsidR="00F707DE" w:rsidRPr="00B44B19">
              <w:rPr>
                <w:rFonts w:ascii="Times New Roman" w:eastAsia="Calibri" w:hAnsi="Times New Roman" w:cs="Times New Roman"/>
              </w:rPr>
              <w:t xml:space="preserve">įgyvendinant šį </w:t>
            </w:r>
            <w:r w:rsidRPr="00B44B19">
              <w:rPr>
                <w:rFonts w:ascii="Times New Roman" w:eastAsia="Calibri" w:hAnsi="Times New Roman" w:cs="Times New Roman"/>
              </w:rPr>
              <w:t>uždavin</w:t>
            </w:r>
            <w:r w:rsidR="00F707DE" w:rsidRPr="00B44B19">
              <w:rPr>
                <w:rFonts w:ascii="Times New Roman" w:eastAsia="Calibri" w:hAnsi="Times New Roman" w:cs="Times New Roman"/>
              </w:rPr>
              <w:t>į numatytomis investicijomis į</w:t>
            </w:r>
            <w:r w:rsidRPr="00B44B19">
              <w:rPr>
                <w:rFonts w:ascii="Times New Roman" w:eastAsia="Calibri" w:hAnsi="Times New Roman" w:cs="Times New Roman"/>
              </w:rPr>
              <w:t xml:space="preserve"> socialinių paslaugų ir socialinio būsto plėtr</w:t>
            </w:r>
            <w:r w:rsidR="00F707DE" w:rsidRPr="00B44B19">
              <w:rPr>
                <w:rFonts w:ascii="Times New Roman" w:hAnsi="Times New Roman" w:cs="Times New Roman"/>
              </w:rPr>
              <w:t>ą ir</w:t>
            </w:r>
            <w:r w:rsidRPr="00B44B19">
              <w:rPr>
                <w:rFonts w:ascii="Times New Roman" w:hAnsi="Times New Roman" w:cs="Times New Roman"/>
              </w:rPr>
              <w:t xml:space="preserve"> </w:t>
            </w:r>
            <w:r w:rsidRPr="00B44B19">
              <w:rPr>
                <w:rFonts w:ascii="Times New Roman" w:eastAsia="Calibri" w:hAnsi="Times New Roman" w:cs="Times New Roman"/>
              </w:rPr>
              <w:t xml:space="preserve">taip patenkinti socialinių būsto ir socialinių paslaugų poreikius, kartu užtikrinant judėjimo laisvę ir galimybę prisitaikyti prie </w:t>
            </w:r>
            <w:r w:rsidR="002F4119" w:rsidRPr="00B44B19">
              <w:rPr>
                <w:rFonts w:ascii="Times New Roman" w:eastAsia="Calibri" w:hAnsi="Times New Roman" w:cs="Times New Roman"/>
              </w:rPr>
              <w:t>DR</w:t>
            </w:r>
            <w:r w:rsidRPr="00B44B19">
              <w:rPr>
                <w:rFonts w:ascii="Times New Roman" w:eastAsia="Calibri" w:hAnsi="Times New Roman" w:cs="Times New Roman"/>
              </w:rPr>
              <w:t>.</w:t>
            </w:r>
          </w:p>
          <w:p w14:paraId="5353DF67" w14:textId="77777777"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rPr>
              <w:t>Siekiant didinti skurdo, socialinės atskirties problemų sprendimo efektyvumą, numatyta skatinti socialinio verslo kūrimąsi, plėtrą. Svarbu į šių problemų sprendimą įtraukti vietos bendruomenes, todėl bus taikomas BIVP metodas.</w:t>
            </w:r>
          </w:p>
          <w:p w14:paraId="53AE558C" w14:textId="77777777"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rPr>
              <w:t>Veiksmų rūšys, siekiant gerinti galimybes apsirūpinti būstu ir stiprinti socialines paslaugas:</w:t>
            </w:r>
          </w:p>
          <w:p w14:paraId="6214C19C" w14:textId="5F10F5E3"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Plėtoti </w:t>
            </w:r>
            <w:r w:rsidR="008A0965" w:rsidRPr="00B44B19">
              <w:rPr>
                <w:rFonts w:ascii="Times New Roman" w:eastAsia="Calibri" w:hAnsi="Times New Roman" w:cs="Times New Roman"/>
                <w:b/>
              </w:rPr>
              <w:t xml:space="preserve">socialinio </w:t>
            </w:r>
            <w:r w:rsidRPr="00B44B19">
              <w:rPr>
                <w:rFonts w:ascii="Times New Roman" w:eastAsia="Calibri" w:hAnsi="Times New Roman" w:cs="Times New Roman"/>
                <w:b/>
              </w:rPr>
              <w:t>būst</w:t>
            </w:r>
            <w:r w:rsidR="00F707DE" w:rsidRPr="00B44B19">
              <w:rPr>
                <w:rFonts w:ascii="Times New Roman" w:eastAsia="Calibri" w:hAnsi="Times New Roman" w:cs="Times New Roman"/>
                <w:b/>
              </w:rPr>
              <w:t>o fondą</w:t>
            </w:r>
            <w:r w:rsidRPr="00B44B19">
              <w:rPr>
                <w:rFonts w:ascii="Times New Roman" w:eastAsia="Calibri" w:hAnsi="Times New Roman" w:cs="Times New Roman"/>
              </w:rPr>
              <w:t xml:space="preserve">: </w:t>
            </w:r>
            <w:r w:rsidR="00F707DE" w:rsidRPr="00B44B19">
              <w:rPr>
                <w:rFonts w:ascii="Times New Roman" w:eastAsia="Calibri" w:hAnsi="Times New Roman" w:cs="Times New Roman"/>
              </w:rPr>
              <w:t xml:space="preserve">numatoma plėtoti </w:t>
            </w:r>
            <w:r w:rsidRPr="00B44B19">
              <w:rPr>
                <w:rFonts w:ascii="Times New Roman" w:eastAsia="Calibri" w:hAnsi="Times New Roman" w:cs="Times New Roman"/>
              </w:rPr>
              <w:t>socialinio būsto</w:t>
            </w:r>
            <w:r w:rsidR="00F707DE" w:rsidRPr="00B44B19">
              <w:rPr>
                <w:rFonts w:ascii="Times New Roman" w:eastAsia="Calibri" w:hAnsi="Times New Roman" w:cs="Times New Roman"/>
              </w:rPr>
              <w:t xml:space="preserve"> fondą</w:t>
            </w:r>
            <w:r w:rsidRPr="00B44B19">
              <w:rPr>
                <w:rFonts w:ascii="Times New Roman" w:eastAsia="Calibri" w:hAnsi="Times New Roman" w:cs="Times New Roman"/>
              </w:rPr>
              <w:t xml:space="preserve">, siekiant įgyvendinti vaiko / šeimos </w:t>
            </w:r>
            <w:r w:rsidR="003E15D6" w:rsidRPr="00B44B19">
              <w:rPr>
                <w:rFonts w:ascii="Times New Roman" w:eastAsia="Calibri" w:hAnsi="Times New Roman" w:cs="Times New Roman"/>
              </w:rPr>
              <w:t xml:space="preserve">ar asmens </w:t>
            </w:r>
            <w:r w:rsidRPr="00B44B19">
              <w:rPr>
                <w:rFonts w:ascii="Times New Roman" w:eastAsia="Calibri" w:hAnsi="Times New Roman" w:cs="Times New Roman"/>
              </w:rPr>
              <w:t xml:space="preserve">teisę į tinkamas gyvenimo sąlygas, ir taip didinti nepalankias sąlygas turinčių asmenų, </w:t>
            </w:r>
            <w:r w:rsidR="003E15D6" w:rsidRPr="00B44B19">
              <w:rPr>
                <w:rFonts w:ascii="Times New Roman" w:hAnsi="Times New Roman" w:cs="Times New Roman"/>
              </w:rPr>
              <w:t>t. y. neįgaliųjų, kuriems reikalingas specialiai pritaikytas būstas,</w:t>
            </w:r>
            <w:r w:rsidRPr="00B44B19">
              <w:rPr>
                <w:rFonts w:ascii="Times New Roman" w:eastAsia="Calibri" w:hAnsi="Times New Roman" w:cs="Times New Roman"/>
              </w:rPr>
              <w:t xml:space="preserve"> ir gausių šeimų, integraciją, </w:t>
            </w:r>
            <w:r w:rsidR="00F707DE" w:rsidRPr="00B44B19">
              <w:rPr>
                <w:rFonts w:ascii="Times New Roman" w:eastAsia="Calibri" w:hAnsi="Times New Roman" w:cs="Times New Roman"/>
              </w:rPr>
              <w:t>taip pat</w:t>
            </w:r>
            <w:r w:rsidRPr="00B44B19">
              <w:rPr>
                <w:rFonts w:ascii="Times New Roman" w:eastAsia="Calibri" w:hAnsi="Times New Roman" w:cs="Times New Roman"/>
              </w:rPr>
              <w:t>, atsižvelgiant į bendruosius darnaus vystymosi principus, siekti užtikrinti galimybę naudotis įsidarbinimo, sveikatos priežiūros, švietimo, vaikų priežiūros, socialinėmis, kultūros ir kitomis asmenims (šeimoms) reikalingomis paslaugomis. Ši veikla bus įgyvendinama VVL ir Sostinės regionuose.</w:t>
            </w:r>
          </w:p>
          <w:p w14:paraId="51547123" w14:textId="77777777"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b/>
              </w:rPr>
              <w:t xml:space="preserve">Plėtoti ir modernizuoti paslaugų, reikalingų </w:t>
            </w:r>
            <w:r w:rsidR="00F707DE" w:rsidRPr="00B44B19">
              <w:rPr>
                <w:rFonts w:ascii="Times New Roman" w:eastAsia="Calibri" w:hAnsi="Times New Roman" w:cs="Times New Roman"/>
                <w:b/>
              </w:rPr>
              <w:t xml:space="preserve">institucinės globos pertvarkai </w:t>
            </w:r>
            <w:r w:rsidRPr="00B44B19">
              <w:rPr>
                <w:rFonts w:ascii="Times New Roman" w:eastAsia="Calibri" w:hAnsi="Times New Roman" w:cs="Times New Roman"/>
                <w:b/>
              </w:rPr>
              <w:t>įgyvendinti, infrastruktūrą</w:t>
            </w:r>
            <w:r w:rsidRPr="00B44B19">
              <w:rPr>
                <w:rFonts w:ascii="Times New Roman" w:eastAsia="Calibri" w:hAnsi="Times New Roman" w:cs="Times New Roman"/>
              </w:rPr>
              <w:t xml:space="preserve">: </w:t>
            </w:r>
            <w:r w:rsidR="00F707DE" w:rsidRPr="00B44B19">
              <w:rPr>
                <w:rFonts w:ascii="Times New Roman" w:eastAsia="Calibri" w:hAnsi="Times New Roman" w:cs="Times New Roman"/>
              </w:rPr>
              <w:t xml:space="preserve">plėtoti </w:t>
            </w:r>
            <w:r w:rsidRPr="00B44B19">
              <w:rPr>
                <w:rFonts w:ascii="Times New Roman" w:eastAsia="Calibri" w:hAnsi="Times New Roman" w:cs="Times New Roman"/>
              </w:rPr>
              <w:t>socialinių paslaugų infrastruktūr</w:t>
            </w:r>
            <w:r w:rsidR="00F707DE" w:rsidRPr="00B44B19">
              <w:rPr>
                <w:rFonts w:ascii="Times New Roman" w:eastAsia="Calibri" w:hAnsi="Times New Roman" w:cs="Times New Roman"/>
              </w:rPr>
              <w:t>ą</w:t>
            </w:r>
            <w:r w:rsidRPr="00B44B19">
              <w:rPr>
                <w:rFonts w:ascii="Times New Roman" w:eastAsia="Calibri" w:hAnsi="Times New Roman" w:cs="Times New Roman"/>
              </w:rPr>
              <w:t>, reikaling</w:t>
            </w:r>
            <w:r w:rsidR="00F707DE" w:rsidRPr="00B44B19">
              <w:rPr>
                <w:rFonts w:ascii="Times New Roman" w:eastAsia="Calibri" w:hAnsi="Times New Roman" w:cs="Times New Roman"/>
              </w:rPr>
              <w:t>ą</w:t>
            </w:r>
            <w:r w:rsidRPr="00B44B19">
              <w:rPr>
                <w:rFonts w:ascii="Times New Roman" w:eastAsia="Calibri" w:hAnsi="Times New Roman" w:cs="Times New Roman"/>
              </w:rPr>
              <w:t xml:space="preserve"> pereiti nuo asmenų, turinčių intelekto ir (ar) psichikos negalią</w:t>
            </w:r>
            <w:r w:rsidR="00F707DE" w:rsidRPr="00B44B19">
              <w:rPr>
                <w:rFonts w:ascii="Times New Roman" w:eastAsia="Calibri" w:hAnsi="Times New Roman" w:cs="Times New Roman"/>
              </w:rPr>
              <w:t>,</w:t>
            </w:r>
            <w:r w:rsidRPr="00B44B19">
              <w:rPr>
                <w:rFonts w:ascii="Times New Roman" w:eastAsia="Calibri" w:hAnsi="Times New Roman" w:cs="Times New Roman"/>
              </w:rPr>
              <w:t xml:space="preserve"> institucinės globos prie šeimoje ir bendruomenėje teikiamų paslaugų savivaldybėse ir vietos bendruomenėse tikslinės grupės asmenims, įskaitant ir gyvenančiu</w:t>
            </w:r>
            <w:r w:rsidR="00F707DE" w:rsidRPr="00B44B19">
              <w:rPr>
                <w:rFonts w:ascii="Times New Roman" w:eastAsia="Calibri" w:hAnsi="Times New Roman" w:cs="Times New Roman"/>
              </w:rPr>
              <w:t>osiu</w:t>
            </w:r>
            <w:r w:rsidRPr="00B44B19">
              <w:rPr>
                <w:rFonts w:ascii="Times New Roman" w:eastAsia="Calibri" w:hAnsi="Times New Roman" w:cs="Times New Roman"/>
              </w:rPr>
              <w:t>s namuose (pvz.</w:t>
            </w:r>
            <w:r w:rsidR="00F707DE" w:rsidRPr="00B44B19">
              <w:rPr>
                <w:rFonts w:ascii="Times New Roman" w:eastAsia="Calibri" w:hAnsi="Times New Roman" w:cs="Times New Roman"/>
              </w:rPr>
              <w:t>:</w:t>
            </w:r>
            <w:r w:rsidRPr="00B44B19">
              <w:rPr>
                <w:rFonts w:ascii="Times New Roman" w:eastAsia="Calibri" w:hAnsi="Times New Roman" w:cs="Times New Roman"/>
              </w:rPr>
              <w:t xml:space="preserve"> pereinamojo tipo paslaugų bei nestacionarių socialinių paslaugų infrastruktūra; grupinio ir savarankiško gyvenimo namai; apsaugotas būstas; skaitmeninės, technologinės, inžinerinės ir kitos paslaugų infrastruktūros inovacijos, leidžiančios pagerinti tikslinių grupių asmenų savarankiškumą ir gyvenimo kokybę; įstaigų, teikiančių specializuotas stacionarias slaugos ir globos paslaugas asmenims, kuriems reikalinga intensyvi ir specializuota slaugos ir socialinės globos pagalba, infrastruktūra). Ši veikla bus įgyvendin</w:t>
            </w:r>
            <w:r w:rsidR="0011314E" w:rsidRPr="00B44B19">
              <w:rPr>
                <w:rFonts w:ascii="Times New Roman" w:eastAsia="Calibri" w:hAnsi="Times New Roman" w:cs="Times New Roman"/>
              </w:rPr>
              <w:t>ama VVL ir Sostinės regionuose.</w:t>
            </w:r>
          </w:p>
          <w:p w14:paraId="2F852209" w14:textId="77777777"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b/>
              </w:rPr>
              <w:t>Plėtoti ir modernizuoti nestacionarių socialinių paslaugų infrastruktūrą, siekiant didinti gyventojų socialinę gerovę</w:t>
            </w:r>
            <w:r w:rsidRPr="00B44B19">
              <w:rPr>
                <w:rFonts w:ascii="Times New Roman" w:eastAsia="Calibri" w:hAnsi="Times New Roman" w:cs="Times New Roman"/>
              </w:rPr>
              <w:t xml:space="preserve">: </w:t>
            </w:r>
            <w:r w:rsidR="00F707DE" w:rsidRPr="00B44B19">
              <w:rPr>
                <w:rFonts w:ascii="Times New Roman" w:eastAsia="Calibri" w:hAnsi="Times New Roman" w:cs="Times New Roman"/>
              </w:rPr>
              <w:t xml:space="preserve">plėtoti ir modernizuoti </w:t>
            </w:r>
            <w:r w:rsidRPr="00B44B19">
              <w:rPr>
                <w:rFonts w:ascii="Times New Roman" w:eastAsia="Calibri" w:hAnsi="Times New Roman" w:cs="Times New Roman"/>
              </w:rPr>
              <w:t>nestacionarių, bendruomeninių paslaugų infrastruktūr</w:t>
            </w:r>
            <w:r w:rsidR="00F707DE" w:rsidRPr="00B44B19">
              <w:rPr>
                <w:rFonts w:ascii="Times New Roman" w:eastAsia="Calibri" w:hAnsi="Times New Roman" w:cs="Times New Roman"/>
              </w:rPr>
              <w:t>ą</w:t>
            </w:r>
            <w:r w:rsidRPr="00B44B19">
              <w:rPr>
                <w:rFonts w:ascii="Times New Roman" w:eastAsia="Calibri" w:hAnsi="Times New Roman" w:cs="Times New Roman"/>
              </w:rPr>
              <w:t xml:space="preserve"> socialinę riziką patiriantiems ir socialiai pažeidžiamiems asmenims bei asmenims, kuriems nustatyti socialinių paslaugų poreikiai (išskyrus intelekto ir (ar) psichikos negalią turinčius asmenis) (pvz.</w:t>
            </w:r>
            <w:r w:rsidR="00F707DE" w:rsidRPr="00B44B19">
              <w:rPr>
                <w:rFonts w:ascii="Times New Roman" w:eastAsia="Calibri" w:hAnsi="Times New Roman" w:cs="Times New Roman"/>
              </w:rPr>
              <w:t>:</w:t>
            </w:r>
            <w:r w:rsidRPr="00B44B19">
              <w:rPr>
                <w:rFonts w:ascii="Times New Roman" w:eastAsia="Calibri" w:hAnsi="Times New Roman" w:cs="Times New Roman"/>
              </w:rPr>
              <w:t xml:space="preserve"> krizių ir specializuotos pagalbos centrai (pvz., vaikams / šeimoms; nusikaltimų aukoms); dienos centrai (pvz., asmenims su kompleksine negalia, senyvo amžiaus asmenims); nakvynės namai benamiams; psichologinės ir socialinės reabilitacijos </w:t>
            </w:r>
            <w:r w:rsidRPr="00B44B19">
              <w:rPr>
                <w:rFonts w:ascii="Times New Roman" w:eastAsia="Calibri" w:hAnsi="Times New Roman" w:cs="Times New Roman"/>
              </w:rPr>
              <w:lastRenderedPageBreak/>
              <w:t>centrai (pvz., priklausomoms mamoms su vaikais); psichosocialinės pagalbos įstaigos</w:t>
            </w:r>
            <w:r w:rsidR="000313C0" w:rsidRPr="00B44B19">
              <w:rPr>
                <w:rFonts w:ascii="Times New Roman" w:eastAsia="Calibri" w:hAnsi="Times New Roman" w:cs="Times New Roman"/>
              </w:rPr>
              <w:t xml:space="preserve"> </w:t>
            </w:r>
            <w:r w:rsidRPr="00B44B19">
              <w:rPr>
                <w:rFonts w:ascii="Times New Roman" w:eastAsia="Calibri" w:hAnsi="Times New Roman" w:cs="Times New Roman"/>
              </w:rPr>
              <w:t>/</w:t>
            </w:r>
            <w:r w:rsidR="000313C0" w:rsidRPr="00B44B19">
              <w:rPr>
                <w:rFonts w:ascii="Times New Roman" w:eastAsia="Calibri" w:hAnsi="Times New Roman" w:cs="Times New Roman"/>
              </w:rPr>
              <w:t xml:space="preserve"> </w:t>
            </w:r>
            <w:r w:rsidRPr="00B44B19">
              <w:rPr>
                <w:rFonts w:ascii="Times New Roman" w:eastAsia="Calibri" w:hAnsi="Times New Roman" w:cs="Times New Roman"/>
              </w:rPr>
              <w:t>savarankiško gyvenimo namai (adaptacijos namai) asmenims, priklausomiems nuo psichoaktyviųjų medžiagų ir</w:t>
            </w:r>
            <w:r w:rsidR="000313C0" w:rsidRPr="00B44B19">
              <w:rPr>
                <w:rFonts w:ascii="Times New Roman" w:eastAsia="Calibri" w:hAnsi="Times New Roman" w:cs="Times New Roman"/>
              </w:rPr>
              <w:t xml:space="preserve"> (</w:t>
            </w:r>
            <w:r w:rsidRPr="00B44B19">
              <w:rPr>
                <w:rFonts w:ascii="Times New Roman" w:eastAsia="Calibri" w:hAnsi="Times New Roman" w:cs="Times New Roman"/>
              </w:rPr>
              <w:t>ar</w:t>
            </w:r>
            <w:r w:rsidR="000313C0" w:rsidRPr="00B44B19">
              <w:rPr>
                <w:rFonts w:ascii="Times New Roman" w:eastAsia="Calibri" w:hAnsi="Times New Roman" w:cs="Times New Roman"/>
              </w:rPr>
              <w:t>)</w:t>
            </w:r>
            <w:r w:rsidRPr="00B44B19">
              <w:rPr>
                <w:rFonts w:ascii="Times New Roman" w:eastAsia="Calibri" w:hAnsi="Times New Roman" w:cs="Times New Roman"/>
              </w:rPr>
              <w:t xml:space="preserve"> grįžusiems iš įkalinimo įstaigų; atviri jaunimo centrai ir atviros jaunimo erdvės, teikiančios paslaugas mažiau galimybių turintiems jaunuoliams</w:t>
            </w:r>
            <w:r w:rsidR="000313C0" w:rsidRPr="00B44B19">
              <w:rPr>
                <w:rFonts w:ascii="Times New Roman" w:eastAsia="Calibri" w:hAnsi="Times New Roman" w:cs="Times New Roman"/>
              </w:rPr>
              <w:t>,</w:t>
            </w:r>
            <w:r w:rsidRPr="00B44B19">
              <w:rPr>
                <w:rFonts w:ascii="Times New Roman" w:eastAsia="Calibri" w:hAnsi="Times New Roman" w:cs="Times New Roman"/>
              </w:rPr>
              <w:t xml:space="preserve"> ir kita infrastruktūra, skirta bendruomenin</w:t>
            </w:r>
            <w:r w:rsidR="000313C0" w:rsidRPr="00B44B19">
              <w:rPr>
                <w:rFonts w:ascii="Times New Roman" w:eastAsia="Calibri" w:hAnsi="Times New Roman" w:cs="Times New Roman"/>
              </w:rPr>
              <w:t>ėms</w:t>
            </w:r>
            <w:r w:rsidRPr="00B44B19">
              <w:rPr>
                <w:rFonts w:ascii="Times New Roman" w:eastAsia="Calibri" w:hAnsi="Times New Roman" w:cs="Times New Roman"/>
              </w:rPr>
              <w:t xml:space="preserve"> </w:t>
            </w:r>
            <w:r w:rsidR="00F67FC4" w:rsidRPr="00B44B19">
              <w:rPr>
                <w:rFonts w:ascii="Times New Roman" w:eastAsia="Calibri" w:hAnsi="Times New Roman" w:cs="Times New Roman"/>
              </w:rPr>
              <w:t xml:space="preserve">socialinėms </w:t>
            </w:r>
            <w:r w:rsidRPr="00B44B19">
              <w:rPr>
                <w:rFonts w:ascii="Times New Roman" w:eastAsia="Calibri" w:hAnsi="Times New Roman" w:cs="Times New Roman"/>
              </w:rPr>
              <w:t>paslaug</w:t>
            </w:r>
            <w:r w:rsidR="000313C0" w:rsidRPr="00B44B19">
              <w:rPr>
                <w:rFonts w:ascii="Times New Roman" w:eastAsia="Calibri" w:hAnsi="Times New Roman" w:cs="Times New Roman"/>
              </w:rPr>
              <w:t>oms</w:t>
            </w:r>
            <w:r w:rsidRPr="00B44B19">
              <w:rPr>
                <w:rFonts w:ascii="Times New Roman" w:eastAsia="Calibri" w:hAnsi="Times New Roman" w:cs="Times New Roman"/>
              </w:rPr>
              <w:t xml:space="preserve"> teik</w:t>
            </w:r>
            <w:r w:rsidR="000313C0" w:rsidRPr="00B44B19">
              <w:rPr>
                <w:rFonts w:ascii="Times New Roman" w:eastAsia="Calibri" w:hAnsi="Times New Roman" w:cs="Times New Roman"/>
              </w:rPr>
              <w:t>t</w:t>
            </w:r>
            <w:r w:rsidRPr="00B44B19">
              <w:rPr>
                <w:rFonts w:ascii="Times New Roman" w:eastAsia="Calibri" w:hAnsi="Times New Roman" w:cs="Times New Roman"/>
              </w:rPr>
              <w:t>i, prioritetą teikiant NVO paslaugų infrastruktūrai). Ši veikla bus įgyvendinama VVL ir Sostinės regionuose.</w:t>
            </w:r>
          </w:p>
          <w:p w14:paraId="21777057" w14:textId="4808B9AB" w:rsidR="00746825" w:rsidRPr="00B44B19" w:rsidRDefault="00746825"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b/>
              </w:rPr>
              <w:t>Skatinti bendruomenėse socialinį verslą, padedantį vietoje spręsti pažeidžiamų grupių atskirties problemas</w:t>
            </w:r>
            <w:r w:rsidRPr="00B44B19">
              <w:rPr>
                <w:rFonts w:ascii="Times New Roman" w:eastAsia="Calibri" w:hAnsi="Times New Roman" w:cs="Times New Roman"/>
              </w:rPr>
              <w:t xml:space="preserve">: </w:t>
            </w:r>
            <w:r w:rsidR="000313C0" w:rsidRPr="00B44B19">
              <w:rPr>
                <w:rFonts w:ascii="Times New Roman" w:eastAsia="Calibri" w:hAnsi="Times New Roman" w:cs="Times New Roman"/>
              </w:rPr>
              <w:t xml:space="preserve">palaikyti </w:t>
            </w:r>
            <w:r w:rsidRPr="00B44B19">
              <w:rPr>
                <w:rFonts w:ascii="Times New Roman" w:eastAsia="Calibri" w:hAnsi="Times New Roman" w:cs="Times New Roman"/>
              </w:rPr>
              <w:t>socialinio verslo (t. y. kuriančio darbo vietas, paslaugas ir (ar) prekes sunkiau integruojamoms bendruomenės gyventojų grupėms) kūrim</w:t>
            </w:r>
            <w:r w:rsidR="000313C0" w:rsidRPr="00B44B19">
              <w:rPr>
                <w:rFonts w:ascii="Times New Roman" w:eastAsia="Calibri" w:hAnsi="Times New Roman" w:cs="Times New Roman"/>
              </w:rPr>
              <w:t>ą</w:t>
            </w:r>
            <w:r w:rsidRPr="00B44B19">
              <w:rPr>
                <w:rFonts w:ascii="Times New Roman" w:eastAsia="Calibri" w:hAnsi="Times New Roman" w:cs="Times New Roman"/>
              </w:rPr>
              <w:t>si ir plėtr</w:t>
            </w:r>
            <w:r w:rsidR="000313C0" w:rsidRPr="00B44B19">
              <w:rPr>
                <w:rFonts w:ascii="Times New Roman" w:eastAsia="Calibri" w:hAnsi="Times New Roman" w:cs="Times New Roman"/>
              </w:rPr>
              <w:t>ą</w:t>
            </w:r>
            <w:r w:rsidRPr="00B44B19">
              <w:rPr>
                <w:rFonts w:ascii="Times New Roman" w:eastAsia="Calibri" w:hAnsi="Times New Roman" w:cs="Times New Roman"/>
              </w:rPr>
              <w:t>, per vietos plėtros strategijas remiant reikalingos įrangos įsigijimą, socialinio verslo pradinių produktų ir paslaugų sukūrimą, testavimą, rinkodaros priemonių kūrimą ir taikymą ir kt. Ši veikla bus įgyvendinama VVL ir Sostinės regionuose.</w:t>
            </w:r>
          </w:p>
          <w:p w14:paraId="7E1D6E80" w14:textId="77777777" w:rsidR="00DC069B" w:rsidRPr="00B44B19" w:rsidRDefault="00DC069B"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Calibri" w:hAnsi="Times New Roman" w:cs="Times New Roman"/>
                <w:b/>
              </w:rPr>
              <w:t>Užtikrinti BIVP metodo taikymą:</w:t>
            </w:r>
            <w:r w:rsidRPr="00B44B19">
              <w:rPr>
                <w:rFonts w:ascii="Times New Roman" w:eastAsia="Calibri" w:hAnsi="Times New Roman" w:cs="Times New Roman"/>
              </w:rPr>
              <w:t xml:space="preserve"> parama rengiant, valdant, stebint, vertinant ir aktyviai taikant vietos plėtros strategijas ir stiprinant VVG atstovų kompetencijas (įskaitant VVG tinklaveiką ir bendradarbiavimą su valdžios institucijomis bei partneriais). Ši veikla bus įgyvendinama VVL ir Sostinės regionuose.</w:t>
            </w:r>
          </w:p>
          <w:p w14:paraId="4A252DD8" w14:textId="77777777" w:rsidR="00EA57D7" w:rsidRPr="00B44B19" w:rsidRDefault="00334B0C" w:rsidP="008674D1">
            <w:pPr>
              <w:autoSpaceDE w:val="0"/>
              <w:autoSpaceDN w:val="0"/>
              <w:adjustRightInd w:val="0"/>
              <w:spacing w:before="60" w:after="60"/>
              <w:jc w:val="both"/>
              <w:rPr>
                <w:rFonts w:ascii="Times New Roman" w:eastAsia="Calibri"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D46D92" w:rsidRPr="00B44B19">
              <w:rPr>
                <w:rFonts w:ascii="Times New Roman" w:eastAsia="Times New Roman" w:hAnsi="Times New Roman" w:cs="Times New Roman"/>
                <w:noProof/>
                <w:szCs w:val="24"/>
              </w:rPr>
              <w:t>.</w:t>
            </w:r>
          </w:p>
        </w:tc>
      </w:tr>
    </w:tbl>
    <w:p w14:paraId="6CF498BB"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493EF2" w:rsidRPr="00B44B19" w14:paraId="16DEA4F3" w14:textId="77777777" w:rsidTr="00493EF2">
        <w:tc>
          <w:tcPr>
            <w:tcW w:w="9854" w:type="dxa"/>
          </w:tcPr>
          <w:p w14:paraId="7E9435BE" w14:textId="77777777" w:rsidR="00493EF2" w:rsidRPr="00B44B19" w:rsidRDefault="00493EF2" w:rsidP="008674D1">
            <w:pPr>
              <w:spacing w:before="60" w:after="60"/>
              <w:jc w:val="both"/>
              <w:rPr>
                <w:rFonts w:eastAsia="Calibri" w:cs="Times New Roman"/>
                <w:b/>
                <w:i/>
                <w:noProof/>
                <w:szCs w:val="24"/>
                <w:lang w:eastAsia="lt-LT" w:bidi="lt-LT"/>
              </w:rPr>
            </w:pPr>
            <w:r w:rsidRPr="00B44B19">
              <w:rPr>
                <w:rFonts w:eastAsia="Times New Roman" w:cs="Times New Roman"/>
                <w:noProof/>
                <w:sz w:val="22"/>
                <w:lang w:eastAsia="lt-LT" w:bidi="lt-LT"/>
              </w:rPr>
              <w:t xml:space="preserve">Gausios šeimos; neįgalūs asmenys; asmenys, turintys intelekto </w:t>
            </w:r>
            <w:r w:rsidRPr="00B44B19">
              <w:rPr>
                <w:rFonts w:eastAsia="Times New Roman" w:cs="Times New Roman"/>
                <w:sz w:val="22"/>
                <w:lang w:bidi="ml-IN"/>
              </w:rPr>
              <w:t>ir (ar) psichikos negalią</w:t>
            </w:r>
            <w:r w:rsidRPr="00B44B19">
              <w:rPr>
                <w:rFonts w:eastAsia="Times New Roman" w:cs="Times New Roman"/>
                <w:noProof/>
                <w:sz w:val="22"/>
                <w:lang w:eastAsia="lt-LT" w:bidi="lt-LT"/>
              </w:rPr>
              <w:t>, jų šeimos (globėjai, rūpintojai); s</w:t>
            </w:r>
            <w:r w:rsidRPr="00B44B19">
              <w:rPr>
                <w:rFonts w:eastAsia="Calibri" w:cs="Times New Roman"/>
                <w:sz w:val="22"/>
                <w:lang w:eastAsia="lt-LT" w:bidi="lt-LT"/>
              </w:rPr>
              <w:t>ocialiai pažeidžiami, socialinę riziką (atskirtį) patiriantys asmenys (pvz., nusikaltimų aukos, benamiai, priklausomybėmis sergantys asmenys, grįžę iš įkalinimo įstaigų asmenys, mažiau galimybių turintys jaunuoliai ir kt.); asmenys, kuriems nustatytas socialinių paslaugų poreikis;</w:t>
            </w:r>
            <w:r w:rsidRPr="00B44B19">
              <w:rPr>
                <w:rFonts w:eastAsia="Times New Roman" w:cs="Times New Roman"/>
                <w:noProof/>
                <w:sz w:val="22"/>
                <w:lang w:eastAsia="lt-LT" w:bidi="lt-LT"/>
              </w:rPr>
              <w:t xml:space="preserve"> </w:t>
            </w:r>
            <w:r w:rsidR="008A0965" w:rsidRPr="00B44B19">
              <w:rPr>
                <w:rFonts w:eastAsia="Times New Roman" w:cs="Times New Roman"/>
                <w:noProof/>
                <w:sz w:val="22"/>
                <w:lang w:eastAsia="lt-LT" w:bidi="lt-LT"/>
              </w:rPr>
              <w:t>m</w:t>
            </w:r>
            <w:r w:rsidR="008A0965" w:rsidRPr="00B44B19">
              <w:rPr>
                <w:rFonts w:cs="Times New Roman"/>
              </w:rPr>
              <w:t xml:space="preserve">igrantai, priklausantys pažeidžiamų asmenų grupėms; </w:t>
            </w:r>
            <w:r w:rsidRPr="00B44B19">
              <w:rPr>
                <w:rFonts w:eastAsia="Times New Roman" w:cs="Times New Roman"/>
                <w:noProof/>
                <w:sz w:val="22"/>
                <w:lang w:eastAsia="lt-LT" w:bidi="lt-LT"/>
              </w:rPr>
              <w:t>n</w:t>
            </w:r>
            <w:r w:rsidRPr="00B44B19">
              <w:rPr>
                <w:rFonts w:eastAsia="Calibri" w:cs="Times New Roman"/>
                <w:sz w:val="22"/>
                <w:lang w:eastAsia="lt-LT" w:bidi="lt-LT"/>
              </w:rPr>
              <w:t>epalankias sąlygas turintys vietos gyventojai; n</w:t>
            </w:r>
            <w:r w:rsidRPr="00B44B19">
              <w:rPr>
                <w:rFonts w:eastAsia="Times New Roman" w:cs="Times New Roman"/>
                <w:noProof/>
                <w:sz w:val="22"/>
                <w:lang w:eastAsia="lt-LT" w:bidi="lt-LT"/>
              </w:rPr>
              <w:t>epalankias sąlygas turintys vaikai, mokiniai, ikimokyklinio ir priešmokylinio amžiaus vaikai.</w:t>
            </w:r>
          </w:p>
        </w:tc>
      </w:tr>
    </w:tbl>
    <w:p w14:paraId="766AB98B" w14:textId="77777777" w:rsidR="00EF291A" w:rsidRPr="00B44B19" w:rsidRDefault="00EF291A" w:rsidP="00783D09">
      <w:pPr>
        <w:pStyle w:val="Stilius1"/>
        <w:rPr>
          <w:rFonts w:cs="Times New Roman"/>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93EF2" w:rsidRPr="00B44B19" w14:paraId="797B464A" w14:textId="77777777" w:rsidTr="00493EF2">
        <w:tc>
          <w:tcPr>
            <w:tcW w:w="9854" w:type="dxa"/>
          </w:tcPr>
          <w:p w14:paraId="775CFD55" w14:textId="77777777" w:rsidR="00A52FFB" w:rsidRPr="00B44B19" w:rsidRDefault="00A52FFB" w:rsidP="008674D1">
            <w:pPr>
              <w:spacing w:before="60" w:after="60"/>
              <w:jc w:val="both"/>
              <w:rPr>
                <w:rFonts w:eastAsia="Calibri" w:cs="Times New Roman"/>
                <w:noProof/>
                <w:sz w:val="22"/>
                <w:lang w:eastAsia="lt-LT" w:bidi="lt-LT"/>
              </w:rPr>
            </w:pPr>
            <w:r w:rsidRPr="00B44B19">
              <w:rPr>
                <w:rFonts w:eastAsia="Calibri" w:cs="Times New Roman"/>
                <w:noProof/>
                <w:sz w:val="22"/>
                <w:lang w:eastAsia="lt-LT" w:bidi="lt-LT"/>
              </w:rPr>
              <w:t>Vykdant numatytas veiklas, pagal kurias investuojama į paslaug</w:t>
            </w:r>
            <w:r w:rsidR="000313C0" w:rsidRPr="00B44B19">
              <w:rPr>
                <w:rFonts w:eastAsia="Calibri" w:cs="Times New Roman"/>
                <w:noProof/>
                <w:sz w:val="22"/>
                <w:lang w:eastAsia="lt-LT" w:bidi="lt-LT"/>
              </w:rPr>
              <w:t>ų</w:t>
            </w:r>
            <w:r w:rsidRPr="00B44B19">
              <w:rPr>
                <w:rFonts w:eastAsia="Calibri" w:cs="Times New Roman"/>
                <w:noProof/>
                <w:sz w:val="22"/>
                <w:lang w:eastAsia="lt-LT" w:bidi="lt-LT"/>
              </w:rPr>
              <w:t xml:space="preserve"> neįgaliesiems, gausioms šeimoms, socialiai pažeidžiamiems asmenims bei asmenims, kuriems yra nustatytas socialinių paslaugų poreikis,</w:t>
            </w:r>
            <w:r w:rsidR="000313C0" w:rsidRPr="00B44B19">
              <w:rPr>
                <w:rFonts w:eastAsia="Calibri" w:cs="Times New Roman"/>
                <w:noProof/>
                <w:sz w:val="22"/>
                <w:lang w:eastAsia="lt-LT" w:bidi="lt-LT"/>
              </w:rPr>
              <w:t xml:space="preserve"> teikimo infrastruktūros plėtrą,</w:t>
            </w:r>
            <w:r w:rsidRPr="00B44B19">
              <w:rPr>
                <w:rFonts w:eastAsia="Calibri" w:cs="Times New Roman"/>
                <w:noProof/>
                <w:sz w:val="22"/>
                <w:lang w:eastAsia="lt-LT" w:bidi="lt-LT"/>
              </w:rPr>
              <w:t xml:space="preserve"> bus įgyvendinamas nediskriminavimo dėl </w:t>
            </w:r>
            <w:r w:rsidR="003E15D6" w:rsidRPr="00B44B19">
              <w:rPr>
                <w:rFonts w:eastAsia="Calibri" w:cs="Times New Roman"/>
                <w:noProof/>
                <w:sz w:val="22"/>
                <w:lang w:eastAsia="lt-LT" w:bidi="lt-LT"/>
              </w:rPr>
              <w:t>lyties, rasės, tautybės, pilietybės, kalbos, kilmės, socialinės padėties, tikėjimo, įsitikinimų ar pažiūrų, amžiaus, negalios, lytinės orientacijos, etninės priklausomybės, religijos ar kitų tapatybių </w:t>
            </w:r>
            <w:r w:rsidRPr="00B44B19">
              <w:rPr>
                <w:rFonts w:eastAsia="Calibri" w:cs="Times New Roman"/>
                <w:noProof/>
                <w:sz w:val="22"/>
                <w:lang w:eastAsia="lt-LT" w:bidi="lt-LT"/>
              </w:rPr>
              <w:t>principas. Vykdant veiklas, apimančias infrastruktūros plėt</w:t>
            </w:r>
            <w:r w:rsidR="000313C0" w:rsidRPr="00B44B19">
              <w:rPr>
                <w:rFonts w:eastAsia="Calibri" w:cs="Times New Roman"/>
                <w:noProof/>
                <w:sz w:val="22"/>
                <w:lang w:eastAsia="lt-LT" w:bidi="lt-LT"/>
              </w:rPr>
              <w:t>rą</w:t>
            </w:r>
            <w:r w:rsidRPr="00B44B19">
              <w:rPr>
                <w:rFonts w:eastAsia="Calibri" w:cs="Times New Roman"/>
                <w:noProof/>
                <w:sz w:val="22"/>
                <w:lang w:eastAsia="lt-LT" w:bidi="lt-LT"/>
              </w:rPr>
              <w:t xml:space="preserve"> ar modernizavimą, bus reikalaujama ją pritaikyti pagal universalaus dizaino principus.</w:t>
            </w:r>
          </w:p>
          <w:p w14:paraId="456F9F30" w14:textId="77777777" w:rsidR="00A52FFB" w:rsidRPr="00B44B19" w:rsidRDefault="00A52FFB" w:rsidP="008674D1">
            <w:pPr>
              <w:spacing w:before="60" w:after="60"/>
              <w:jc w:val="both"/>
              <w:rPr>
                <w:rFonts w:eastAsia="Calibri" w:cs="Times New Roman"/>
                <w:noProof/>
                <w:sz w:val="22"/>
                <w:lang w:eastAsia="lt-LT" w:bidi="lt-LT"/>
              </w:rPr>
            </w:pPr>
            <w:r w:rsidRPr="00B44B19">
              <w:rPr>
                <w:rFonts w:eastAsia="Calibri" w:cs="Times New Roman"/>
                <w:noProof/>
                <w:sz w:val="22"/>
                <w:lang w:eastAsia="lt-LT" w:bidi="lt-LT"/>
              </w:rPr>
              <w:t>Be to, dalis paslaugų, kurios bus teikiamos sukurtoje infrastruktūroje, suteiks galimybę įsidarbinti ir padidinti namų ūkio pajamas asmenims, kurie prižiūri savimi pasirūpinti negalinčius šeimos narius</w:t>
            </w:r>
            <w:r w:rsidR="003E15D6" w:rsidRPr="00B44B19">
              <w:rPr>
                <w:rFonts w:eastAsia="Calibri" w:cs="Times New Roman"/>
                <w:noProof/>
                <w:sz w:val="22"/>
                <w:lang w:eastAsia="lt-LT" w:bidi="lt-LT"/>
              </w:rPr>
              <w:t xml:space="preserve"> </w:t>
            </w:r>
            <w:r w:rsidR="003E15D6" w:rsidRPr="00B44B19">
              <w:rPr>
                <w:rFonts w:cs="Times New Roman"/>
                <w:sz w:val="22"/>
                <w:lang w:eastAsia="lt-LT"/>
              </w:rPr>
              <w:t>(kartu tai prisideda prie lyčių lygybės principo įgyvendinimo)</w:t>
            </w:r>
            <w:r w:rsidRPr="00B44B19">
              <w:rPr>
                <w:rFonts w:eastAsia="Calibri" w:cs="Times New Roman"/>
                <w:noProof/>
                <w:sz w:val="22"/>
                <w:lang w:eastAsia="lt-LT" w:bidi="lt-LT"/>
              </w:rPr>
              <w:t xml:space="preserve">, sugrįžti į </w:t>
            </w:r>
            <w:r w:rsidR="002F4119" w:rsidRPr="00B44B19">
              <w:rPr>
                <w:rFonts w:eastAsia="Calibri" w:cs="Times New Roman"/>
                <w:noProof/>
                <w:sz w:val="22"/>
                <w:lang w:eastAsia="lt-LT" w:bidi="lt-LT"/>
              </w:rPr>
              <w:t>DR</w:t>
            </w:r>
            <w:r w:rsidRPr="00B44B19">
              <w:rPr>
                <w:rFonts w:eastAsia="Calibri" w:cs="Times New Roman"/>
                <w:noProof/>
                <w:sz w:val="22"/>
                <w:lang w:eastAsia="lt-LT" w:bidi="lt-LT"/>
              </w:rPr>
              <w:t xml:space="preserve"> ir gauti pajamas asmenims</w:t>
            </w:r>
            <w:r w:rsidR="000313C0" w:rsidRPr="00B44B19">
              <w:rPr>
                <w:rFonts w:eastAsia="Calibri" w:cs="Times New Roman"/>
                <w:noProof/>
                <w:sz w:val="22"/>
                <w:lang w:eastAsia="lt-LT" w:bidi="lt-LT"/>
              </w:rPr>
              <w:t>, priklausantiems</w:t>
            </w:r>
            <w:r w:rsidRPr="00B44B19">
              <w:rPr>
                <w:rFonts w:eastAsia="Calibri" w:cs="Times New Roman"/>
                <w:noProof/>
                <w:sz w:val="22"/>
                <w:lang w:eastAsia="lt-LT" w:bidi="lt-LT"/>
              </w:rPr>
              <w:t xml:space="preserve"> specifin</w:t>
            </w:r>
            <w:r w:rsidR="000313C0" w:rsidRPr="00B44B19">
              <w:rPr>
                <w:rFonts w:eastAsia="Calibri" w:cs="Times New Roman"/>
                <w:noProof/>
                <w:sz w:val="22"/>
                <w:lang w:eastAsia="lt-LT" w:bidi="lt-LT"/>
              </w:rPr>
              <w:t>ėms</w:t>
            </w:r>
            <w:r w:rsidRPr="00B44B19">
              <w:rPr>
                <w:rFonts w:eastAsia="Calibri" w:cs="Times New Roman"/>
                <w:noProof/>
                <w:sz w:val="22"/>
                <w:lang w:eastAsia="lt-LT" w:bidi="lt-LT"/>
              </w:rPr>
              <w:t xml:space="preserve"> socialinės rizikos grup</w:t>
            </w:r>
            <w:r w:rsidR="000313C0" w:rsidRPr="00B44B19">
              <w:rPr>
                <w:rFonts w:eastAsia="Calibri" w:cs="Times New Roman"/>
                <w:noProof/>
                <w:sz w:val="22"/>
                <w:lang w:eastAsia="lt-LT" w:bidi="lt-LT"/>
              </w:rPr>
              <w:t>ėms</w:t>
            </w:r>
            <w:r w:rsidRPr="00B44B19">
              <w:rPr>
                <w:rFonts w:eastAsia="Calibri" w:cs="Times New Roman"/>
                <w:noProof/>
                <w:sz w:val="22"/>
                <w:lang w:eastAsia="lt-LT" w:bidi="lt-LT"/>
              </w:rPr>
              <w:t xml:space="preserve"> (pvz., priklausomybių turintiems, iš įkalinimo įstaigų sugrįžusiems, smurtą </w:t>
            </w:r>
            <w:r w:rsidR="003E15D6" w:rsidRPr="00B44B19">
              <w:rPr>
                <w:rFonts w:eastAsia="Calibri" w:cs="Times New Roman"/>
                <w:noProof/>
                <w:sz w:val="22"/>
                <w:lang w:eastAsia="lt-LT" w:bidi="lt-LT"/>
              </w:rPr>
              <w:t xml:space="preserve">artimoje aplinkoje </w:t>
            </w:r>
            <w:r w:rsidRPr="00B44B19">
              <w:rPr>
                <w:rFonts w:eastAsia="Calibri" w:cs="Times New Roman"/>
                <w:noProof/>
                <w:sz w:val="22"/>
                <w:lang w:eastAsia="lt-LT" w:bidi="lt-LT"/>
              </w:rPr>
              <w:t xml:space="preserve">patyrusiems asmenims). </w:t>
            </w:r>
          </w:p>
          <w:p w14:paraId="663AD146" w14:textId="77777777" w:rsidR="00493EF2" w:rsidRPr="00B44B19" w:rsidRDefault="00A52FFB" w:rsidP="008674D1">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t>Vykdant veiklas numatoma skatinti kurti ir diegti tokius produktus ir paslaugas, kurie būtų pritaikyti įvairių bendruomenės grupių poreikiams (įskaitant negalią turinčius ar valstybinės kalbos nemokančius asmenis).</w:t>
            </w:r>
          </w:p>
        </w:tc>
      </w:tr>
    </w:tbl>
    <w:p w14:paraId="09447940" w14:textId="77777777" w:rsidR="00EF291A" w:rsidRPr="00B44B19" w:rsidRDefault="00EF291A" w:rsidP="00783D09">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493EF2" w:rsidRPr="00B44B19" w14:paraId="6C98338F" w14:textId="77777777" w:rsidTr="00493EF2">
        <w:tc>
          <w:tcPr>
            <w:tcW w:w="9854" w:type="dxa"/>
          </w:tcPr>
          <w:p w14:paraId="22EC432D" w14:textId="77777777" w:rsidR="00493EF2" w:rsidRPr="00B44B19" w:rsidRDefault="00493EF2" w:rsidP="008674D1">
            <w:pPr>
              <w:spacing w:before="60" w:after="60"/>
              <w:jc w:val="both"/>
              <w:rPr>
                <w:rFonts w:cs="Times New Roman"/>
                <w:bCs/>
                <w:color w:val="000000"/>
                <w:sz w:val="22"/>
              </w:rPr>
            </w:pPr>
            <w:r w:rsidRPr="00B44B19">
              <w:rPr>
                <w:rFonts w:eastAsia="Calibri" w:cs="Times New Roman"/>
                <w:noProof/>
                <w:sz w:val="22"/>
                <w:lang w:eastAsia="lt-LT" w:bidi="lt-LT"/>
              </w:rPr>
              <w:t>VVL regionas, Sostinės regionas</w:t>
            </w:r>
            <w:r w:rsidR="00A52FFB" w:rsidRPr="00B44B19">
              <w:rPr>
                <w:rFonts w:eastAsia="Calibri" w:cs="Times New Roman"/>
                <w:noProof/>
                <w:sz w:val="22"/>
                <w:lang w:eastAsia="lt-LT" w:bidi="lt-LT"/>
              </w:rPr>
              <w:t>.</w:t>
            </w:r>
          </w:p>
          <w:p w14:paraId="5CD9CE4B" w14:textId="77777777" w:rsidR="00A52FFB" w:rsidRPr="00B44B19" w:rsidRDefault="000313C0" w:rsidP="008674D1">
            <w:pPr>
              <w:spacing w:before="60" w:after="60"/>
              <w:jc w:val="both"/>
              <w:rPr>
                <w:rFonts w:cs="Times New Roman"/>
                <w:bCs/>
                <w:color w:val="000000"/>
                <w:sz w:val="22"/>
              </w:rPr>
            </w:pPr>
            <w:r w:rsidRPr="00B44B19">
              <w:rPr>
                <w:rFonts w:cs="Times New Roman"/>
                <w:bCs/>
                <w:color w:val="000000"/>
                <w:sz w:val="22"/>
              </w:rPr>
              <w:t>Įgyvendinant u</w:t>
            </w:r>
            <w:r w:rsidR="00A52FFB" w:rsidRPr="00B44B19">
              <w:rPr>
                <w:rFonts w:cs="Times New Roman"/>
                <w:bCs/>
                <w:color w:val="000000"/>
                <w:sz w:val="22"/>
              </w:rPr>
              <w:t>ždavin</w:t>
            </w:r>
            <w:r w:rsidRPr="00B44B19">
              <w:rPr>
                <w:rFonts w:cs="Times New Roman"/>
                <w:bCs/>
                <w:color w:val="000000"/>
                <w:sz w:val="22"/>
              </w:rPr>
              <w:t>į</w:t>
            </w:r>
            <w:r w:rsidR="00A52FFB" w:rsidRPr="00B44B19">
              <w:rPr>
                <w:rFonts w:cs="Times New Roman"/>
                <w:bCs/>
                <w:color w:val="000000"/>
                <w:sz w:val="22"/>
              </w:rPr>
              <w:t xml:space="preserve"> </w:t>
            </w:r>
            <w:r w:rsidRPr="00B44B19">
              <w:rPr>
                <w:rFonts w:cs="Times New Roman"/>
                <w:bCs/>
                <w:color w:val="000000"/>
                <w:sz w:val="22"/>
              </w:rPr>
              <w:t xml:space="preserve">numatytomis </w:t>
            </w:r>
            <w:r w:rsidR="00A52FFB" w:rsidRPr="00B44B19">
              <w:rPr>
                <w:rFonts w:cs="Times New Roman"/>
                <w:bCs/>
                <w:color w:val="000000"/>
                <w:sz w:val="22"/>
              </w:rPr>
              <w:t xml:space="preserve">investicijomis gali būti remiama dalis tvarios miestų ir </w:t>
            </w:r>
            <w:r w:rsidR="004C2FDD" w:rsidRPr="00B44B19">
              <w:rPr>
                <w:rFonts w:cs="Times New Roman"/>
                <w:bCs/>
                <w:color w:val="000000"/>
                <w:sz w:val="22"/>
              </w:rPr>
              <w:t>FZ</w:t>
            </w:r>
            <w:r w:rsidR="00A52FFB" w:rsidRPr="00B44B19">
              <w:rPr>
                <w:rFonts w:cs="Times New Roman"/>
                <w:bCs/>
                <w:color w:val="000000"/>
                <w:sz w:val="22"/>
              </w:rPr>
              <w:t xml:space="preserve"> plėtros strategijų veiksmų, įgyvendinamų kaip ITI, šias investicijas derinant su </w:t>
            </w:r>
            <w:r w:rsidR="0024244C" w:rsidRPr="00B44B19">
              <w:rPr>
                <w:rFonts w:cs="Times New Roman"/>
                <w:bCs/>
                <w:color w:val="000000"/>
                <w:sz w:val="22"/>
              </w:rPr>
              <w:t>Programos</w:t>
            </w:r>
            <w:r w:rsidR="00A52FFB" w:rsidRPr="00B44B19">
              <w:rPr>
                <w:rFonts w:cs="Times New Roman"/>
                <w:bCs/>
                <w:color w:val="000000"/>
                <w:sz w:val="22"/>
              </w:rPr>
              <w:t xml:space="preserve"> 5 prioriteto investicijomis</w:t>
            </w:r>
            <w:r w:rsidRPr="00B44B19">
              <w:rPr>
                <w:rFonts w:cs="Times New Roman"/>
                <w:bCs/>
                <w:color w:val="000000"/>
                <w:sz w:val="22"/>
              </w:rPr>
              <w:t>,</w:t>
            </w:r>
            <w:r w:rsidR="00A52FFB" w:rsidRPr="00B44B19">
              <w:rPr>
                <w:rFonts w:cs="Times New Roman"/>
                <w:bCs/>
                <w:color w:val="000000"/>
                <w:sz w:val="22"/>
              </w:rPr>
              <w:t xml:space="preserve"> siekiant bendrų tikslų. Investicijų apimtis / detalumas derinami su atitinkamomis ministerijomis rengiant nacionalines plėtros programas ir teritorines strategijas</w:t>
            </w:r>
            <w:r w:rsidRPr="00B44B19">
              <w:rPr>
                <w:rFonts w:cs="Times New Roman"/>
                <w:bCs/>
                <w:color w:val="000000"/>
                <w:sz w:val="22"/>
              </w:rPr>
              <w:t>,</w:t>
            </w:r>
            <w:r w:rsidR="00A52FFB" w:rsidRPr="00B44B19">
              <w:rPr>
                <w:rFonts w:cs="Times New Roman"/>
                <w:bCs/>
                <w:color w:val="000000"/>
                <w:sz w:val="22"/>
              </w:rPr>
              <w:t xml:space="preserve"> ir priklauso nuo pasirenkamų uždavinių turinio. </w:t>
            </w:r>
          </w:p>
          <w:p w14:paraId="2ACBEEE3" w14:textId="77777777" w:rsidR="00493EF2" w:rsidRPr="00B44B19" w:rsidRDefault="00DC069B" w:rsidP="008674D1">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t>Šio uždavinio ketvirtoji ir penktoji veiklos bus įgyvendinamos taikant integruoto teritorijų vystymo metodo BIVP formą tikslinėse teritorijose: miestuose, kurie yra savivaldybių centrai ir (arba) kuriuose gyvena daugiau nei 6 tūkst. gyventojų, ir pirmiau nurodytų miestų apylinkėse. Pažeidžiamų grupių atskirties problemos yra aktualios tiek VVL, tiek Sostinės regionuose, todėl veiklos, skirtos BIVP metodui taikyti, bus įgyvendinamos abiejuose regionuose.</w:t>
            </w:r>
          </w:p>
        </w:tc>
      </w:tr>
    </w:tbl>
    <w:p w14:paraId="25FEDE86"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691690" w:rsidRPr="00B44B19" w14:paraId="31134A05" w14:textId="77777777" w:rsidTr="00691690">
        <w:tc>
          <w:tcPr>
            <w:tcW w:w="9854" w:type="dxa"/>
          </w:tcPr>
          <w:p w14:paraId="3DAB91F9" w14:textId="77777777" w:rsidR="00691690" w:rsidRPr="00B44B19" w:rsidRDefault="00993B5D" w:rsidP="008674D1">
            <w:pPr>
              <w:spacing w:before="60" w:after="60"/>
              <w:jc w:val="both"/>
              <w:rPr>
                <w:rFonts w:eastAsia="Calibri" w:cs="Times New Roman"/>
                <w:noProof/>
                <w:sz w:val="22"/>
                <w:lang w:eastAsia="lt-LT" w:bidi="lt-LT"/>
              </w:rPr>
            </w:pPr>
            <w:r w:rsidRPr="00B44B19">
              <w:rPr>
                <w:rFonts w:eastAsia="Calibri" w:cs="Times New Roman"/>
                <w:bCs/>
                <w:noProof/>
                <w:sz w:val="22"/>
                <w:lang w:eastAsia="lt-LT" w:bidi="lt-LT"/>
              </w:rPr>
              <w:t>Numatoma sudaryti visas galimybes prireikus juos atlikti</w:t>
            </w:r>
            <w:r w:rsidR="00691690" w:rsidRPr="00B44B19">
              <w:rPr>
                <w:rFonts w:eastAsia="Calibri" w:cs="Times New Roman"/>
                <w:noProof/>
                <w:sz w:val="22"/>
                <w:lang w:eastAsia="lt-LT" w:bidi="lt-LT"/>
              </w:rPr>
              <w:t>.</w:t>
            </w:r>
          </w:p>
          <w:p w14:paraId="7A0BC862" w14:textId="77777777" w:rsidR="00691690" w:rsidRPr="00B44B19" w:rsidRDefault="00691690" w:rsidP="008674D1">
            <w:pPr>
              <w:spacing w:before="60" w:after="60"/>
              <w:jc w:val="both"/>
              <w:rPr>
                <w:rFonts w:eastAsia="Calibri" w:cs="Times New Roman"/>
                <w:b/>
                <w:i/>
                <w:noProof/>
                <w:szCs w:val="24"/>
                <w:lang w:eastAsia="lt-LT" w:bidi="lt-LT"/>
              </w:rPr>
            </w:pPr>
            <w:r w:rsidRPr="00B44B19">
              <w:rPr>
                <w:rFonts w:eastAsia="Calibri" w:cs="Times New Roman"/>
                <w:noProof/>
                <w:sz w:val="22"/>
                <w:lang w:eastAsia="lt-LT" w:bidi="lt-LT"/>
              </w:rPr>
              <w:t xml:space="preserve">Siekiant ETBT tikslo programų ir šio uždavinio </w:t>
            </w:r>
            <w:r w:rsidR="00DC069B" w:rsidRPr="00B44B19">
              <w:rPr>
                <w:rFonts w:eastAsia="Calibri" w:cs="Times New Roman"/>
                <w:noProof/>
                <w:sz w:val="22"/>
                <w:lang w:eastAsia="lt-LT" w:bidi="lt-LT"/>
              </w:rPr>
              <w:t xml:space="preserve">ketvirtosios </w:t>
            </w:r>
            <w:r w:rsidRPr="00B44B19">
              <w:rPr>
                <w:rFonts w:eastAsia="Calibri" w:cs="Times New Roman"/>
                <w:noProof/>
                <w:sz w:val="22"/>
                <w:lang w:eastAsia="lt-LT" w:bidi="lt-LT"/>
              </w:rPr>
              <w:t>veiklos sinergijos, bus skatinamos šalies pasienyje veikiančios VVG rengiant vietos plėtros strategijas įvertinti veiksmus, planuojamus pagal ETBT tikslo programas.</w:t>
            </w:r>
          </w:p>
        </w:tc>
      </w:tr>
    </w:tbl>
    <w:p w14:paraId="4C0B6361" w14:textId="77777777" w:rsidR="00EF291A" w:rsidRPr="00B44B19" w:rsidRDefault="00EF291A" w:rsidP="00783D09">
      <w:pPr>
        <w:pStyle w:val="Stilius1"/>
        <w:rPr>
          <w:rFonts w:eastAsia="Times New Roman" w:cs="Times New Roman"/>
          <w:iCs/>
          <w:noProof/>
          <w:lang w:eastAsia="lt-LT" w:bidi="lt-LT"/>
        </w:rPr>
      </w:pPr>
      <w:r w:rsidRPr="00B44B19">
        <w:rPr>
          <w:rFonts w:cs="Times New Roman"/>
          <w:noProof/>
          <w:lang w:eastAsia="lt-LT" w:bidi="lt-LT"/>
        </w:rPr>
        <w:t xml:space="preserve">Planuojamas finansinių priemonių naudojimas </w:t>
      </w:r>
    </w:p>
    <w:tbl>
      <w:tblPr>
        <w:tblStyle w:val="Lentelstinklelis"/>
        <w:tblW w:w="0" w:type="auto"/>
        <w:tblLook w:val="04A0" w:firstRow="1" w:lastRow="0" w:firstColumn="1" w:lastColumn="0" w:noHBand="0" w:noVBand="1"/>
      </w:tblPr>
      <w:tblGrid>
        <w:gridCol w:w="9628"/>
      </w:tblGrid>
      <w:tr w:rsidR="00691690" w:rsidRPr="00B44B19" w14:paraId="7E5DA734" w14:textId="77777777" w:rsidTr="00691690">
        <w:tc>
          <w:tcPr>
            <w:tcW w:w="9854" w:type="dxa"/>
          </w:tcPr>
          <w:p w14:paraId="6BF0579A" w14:textId="77777777" w:rsidR="00691690" w:rsidRPr="00B44B19" w:rsidRDefault="00D43A78" w:rsidP="008674D1">
            <w:pPr>
              <w:spacing w:before="60" w:after="60"/>
              <w:jc w:val="both"/>
              <w:rPr>
                <w:rFonts w:cs="Times New Roman"/>
                <w:b/>
                <w:i/>
                <w:szCs w:val="24"/>
              </w:rPr>
            </w:pPr>
            <w:r w:rsidRPr="00B44B19">
              <w:rPr>
                <w:rFonts w:eastAsia="Times New Roman" w:cs="Times New Roman"/>
                <w:noProof/>
                <w:sz w:val="22"/>
                <w:lang w:eastAsia="lt-LT" w:bidi="lt-LT"/>
              </w:rPr>
              <w:t>–</w:t>
            </w:r>
          </w:p>
        </w:tc>
      </w:tr>
    </w:tbl>
    <w:p w14:paraId="69E46442" w14:textId="77777777" w:rsidR="00D56FF3" w:rsidRPr="00B44B19" w:rsidRDefault="00933628" w:rsidP="00783D09">
      <w:pPr>
        <w:pStyle w:val="Stilius1"/>
        <w:rPr>
          <w:rFonts w:eastAsia="Calibri" w:cs="Times New Roman"/>
          <w:noProof/>
          <w:szCs w:val="20"/>
          <w:lang w:eastAsia="lt-LT" w:bidi="lt-LT"/>
        </w:rPr>
      </w:pPr>
      <w:r w:rsidRPr="00B44B19">
        <w:rPr>
          <w:rFonts w:cs="Times New Roman"/>
        </w:rPr>
        <w:t>Rodikliai</w:t>
      </w:r>
    </w:p>
    <w:p w14:paraId="79E7273E" w14:textId="77777777" w:rsidR="00933628" w:rsidRPr="00B44B19" w:rsidRDefault="00933628" w:rsidP="00D56FF3">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65"/>
        <w:gridCol w:w="701"/>
        <w:gridCol w:w="957"/>
        <w:gridCol w:w="1236"/>
        <w:gridCol w:w="1530"/>
        <w:gridCol w:w="1243"/>
        <w:gridCol w:w="967"/>
        <w:gridCol w:w="922"/>
      </w:tblGrid>
      <w:tr w:rsidR="00595B07" w:rsidRPr="00B44B19" w14:paraId="7C14BC84" w14:textId="77777777" w:rsidTr="008674D1">
        <w:trPr>
          <w:trHeight w:val="814"/>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D96B9D"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0223B4"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3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2076AC"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Fondas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758CDC"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A9AEBB"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7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A141D5"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Rodiklis</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6752A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D9EAEA"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15F997"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Siek</w:t>
            </w:r>
            <w:r w:rsidR="00340B0C" w:rsidRPr="00B44B19">
              <w:rPr>
                <w:rFonts w:cs="Times New Roman"/>
                <w:b/>
                <w:noProof/>
                <w:sz w:val="16"/>
                <w:szCs w:val="16"/>
              </w:rPr>
              <w:t>tina reikšmė</w:t>
            </w:r>
            <w:r w:rsidRPr="00B44B19">
              <w:rPr>
                <w:rFonts w:cs="Times New Roman"/>
                <w:b/>
                <w:noProof/>
                <w:sz w:val="16"/>
                <w:szCs w:val="16"/>
              </w:rPr>
              <w:t xml:space="preserve"> (2029 m.)</w:t>
            </w:r>
          </w:p>
        </w:tc>
      </w:tr>
      <w:tr w:rsidR="0011314E" w:rsidRPr="00B44B19" w14:paraId="32CDFF73" w14:textId="77777777" w:rsidTr="00595B07">
        <w:trPr>
          <w:trHeight w:val="332"/>
        </w:trPr>
        <w:tc>
          <w:tcPr>
            <w:tcW w:w="566" w:type="pct"/>
            <w:vMerge w:val="restart"/>
            <w:tcBorders>
              <w:top w:val="single" w:sz="12" w:space="0" w:color="auto"/>
            </w:tcBorders>
          </w:tcPr>
          <w:p w14:paraId="429109AA" w14:textId="77777777" w:rsidR="0011314E" w:rsidRPr="00B44B19" w:rsidRDefault="0011314E" w:rsidP="00595B07">
            <w:pPr>
              <w:spacing w:after="0" w:line="240" w:lineRule="auto"/>
              <w:jc w:val="both"/>
              <w:rPr>
                <w:rFonts w:cs="Times New Roman"/>
                <w:noProof/>
                <w:sz w:val="16"/>
                <w:szCs w:val="16"/>
              </w:rPr>
            </w:pPr>
            <w:r w:rsidRPr="00B44B19">
              <w:rPr>
                <w:rFonts w:cs="Times New Roman"/>
                <w:noProof/>
                <w:sz w:val="16"/>
                <w:szCs w:val="16"/>
              </w:rPr>
              <w:t>4. Socialiai atsakingesnė Lietuva</w:t>
            </w:r>
          </w:p>
        </w:tc>
        <w:tc>
          <w:tcPr>
            <w:tcW w:w="502" w:type="pct"/>
            <w:vMerge w:val="restart"/>
            <w:tcBorders>
              <w:top w:val="single" w:sz="12" w:space="0" w:color="auto"/>
            </w:tcBorders>
          </w:tcPr>
          <w:p w14:paraId="512CA662" w14:textId="77777777" w:rsidR="0011314E" w:rsidRPr="00B44B19" w:rsidRDefault="0011314E" w:rsidP="00595B07">
            <w:pPr>
              <w:spacing w:after="0" w:line="240" w:lineRule="auto"/>
              <w:jc w:val="both"/>
              <w:rPr>
                <w:rFonts w:cs="Times New Roman"/>
                <w:noProof/>
                <w:sz w:val="16"/>
                <w:szCs w:val="16"/>
              </w:rPr>
            </w:pPr>
            <w:r w:rsidRPr="00B44B19">
              <w:rPr>
                <w:rFonts w:cs="Times New Roman"/>
                <w:noProof/>
                <w:sz w:val="16"/>
                <w:szCs w:val="16"/>
              </w:rPr>
              <w:t>4.9.</w:t>
            </w:r>
          </w:p>
        </w:tc>
        <w:tc>
          <w:tcPr>
            <w:tcW w:w="365" w:type="pct"/>
            <w:vMerge w:val="restart"/>
            <w:tcBorders>
              <w:top w:val="single" w:sz="12" w:space="0" w:color="auto"/>
            </w:tcBorders>
          </w:tcPr>
          <w:p w14:paraId="38F7DF75" w14:textId="77777777" w:rsidR="0011314E" w:rsidRPr="00B44B19" w:rsidRDefault="0011314E" w:rsidP="00595B07">
            <w:pPr>
              <w:spacing w:after="0" w:line="240" w:lineRule="auto"/>
              <w:jc w:val="both"/>
              <w:rPr>
                <w:rFonts w:cs="Times New Roman"/>
                <w:noProof/>
                <w:sz w:val="16"/>
                <w:szCs w:val="16"/>
              </w:rPr>
            </w:pPr>
            <w:r w:rsidRPr="00B44B19">
              <w:rPr>
                <w:rFonts w:cs="Times New Roman"/>
                <w:noProof/>
                <w:sz w:val="16"/>
                <w:szCs w:val="16"/>
              </w:rPr>
              <w:t>ERPF</w:t>
            </w:r>
          </w:p>
        </w:tc>
        <w:tc>
          <w:tcPr>
            <w:tcW w:w="498" w:type="pct"/>
            <w:tcBorders>
              <w:top w:val="single" w:sz="12" w:space="0" w:color="auto"/>
            </w:tcBorders>
          </w:tcPr>
          <w:p w14:paraId="18446DE3"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Borders>
              <w:top w:val="single" w:sz="12" w:space="0" w:color="auto"/>
            </w:tcBorders>
          </w:tcPr>
          <w:p w14:paraId="143863E7"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RCO65</w:t>
            </w:r>
          </w:p>
        </w:tc>
        <w:tc>
          <w:tcPr>
            <w:tcW w:w="796" w:type="pct"/>
            <w:tcBorders>
              <w:top w:val="single" w:sz="12" w:space="0" w:color="auto"/>
            </w:tcBorders>
          </w:tcPr>
          <w:p w14:paraId="525D3E81" w14:textId="77777777" w:rsidR="0011314E" w:rsidRPr="00B44B19" w:rsidRDefault="0011314E" w:rsidP="00595B07">
            <w:pPr>
              <w:spacing w:after="0" w:line="240" w:lineRule="auto"/>
              <w:rPr>
                <w:rFonts w:eastAsia="Calibri" w:cs="Times New Roman"/>
                <w:sz w:val="16"/>
                <w:szCs w:val="16"/>
                <w:lang w:eastAsia="en-GB" w:bidi="lt-LT"/>
              </w:rPr>
            </w:pPr>
            <w:r w:rsidRPr="00B44B19">
              <w:rPr>
                <w:rFonts w:eastAsia="Calibri" w:cs="Times New Roman"/>
                <w:noProof/>
                <w:sz w:val="16"/>
                <w:szCs w:val="16"/>
                <w:lang w:eastAsia="lt-LT" w:bidi="lt-LT"/>
              </w:rPr>
              <w:t>Naujų arba modernizuotų socialinių būstų talpumas</w:t>
            </w:r>
          </w:p>
        </w:tc>
        <w:tc>
          <w:tcPr>
            <w:tcW w:w="647" w:type="pct"/>
            <w:tcBorders>
              <w:top w:val="single" w:sz="12" w:space="0" w:color="auto"/>
            </w:tcBorders>
          </w:tcPr>
          <w:p w14:paraId="5E33AD6F"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Asmenys</w:t>
            </w:r>
          </w:p>
        </w:tc>
        <w:tc>
          <w:tcPr>
            <w:tcW w:w="503" w:type="pct"/>
            <w:tcBorders>
              <w:top w:val="single" w:sz="12" w:space="0" w:color="auto"/>
            </w:tcBorders>
          </w:tcPr>
          <w:p w14:paraId="7F915B9B"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Borders>
              <w:top w:val="single" w:sz="12" w:space="0" w:color="auto"/>
            </w:tcBorders>
          </w:tcPr>
          <w:p w14:paraId="067432D0"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411</w:t>
            </w:r>
          </w:p>
        </w:tc>
      </w:tr>
      <w:tr w:rsidR="0011314E" w:rsidRPr="00B44B19" w14:paraId="2FFCFD27" w14:textId="77777777" w:rsidTr="00595B07">
        <w:trPr>
          <w:trHeight w:val="332"/>
        </w:trPr>
        <w:tc>
          <w:tcPr>
            <w:tcW w:w="566" w:type="pct"/>
            <w:vMerge/>
          </w:tcPr>
          <w:p w14:paraId="23CDA6DC" w14:textId="77777777" w:rsidR="0011314E" w:rsidRPr="00B44B19" w:rsidRDefault="0011314E" w:rsidP="00595B07">
            <w:pPr>
              <w:spacing w:after="0" w:line="240" w:lineRule="auto"/>
              <w:jc w:val="both"/>
              <w:rPr>
                <w:rFonts w:cs="Times New Roman"/>
                <w:noProof/>
                <w:sz w:val="16"/>
                <w:szCs w:val="16"/>
              </w:rPr>
            </w:pPr>
          </w:p>
        </w:tc>
        <w:tc>
          <w:tcPr>
            <w:tcW w:w="502" w:type="pct"/>
            <w:vMerge/>
          </w:tcPr>
          <w:p w14:paraId="238715B9" w14:textId="77777777" w:rsidR="0011314E" w:rsidRPr="00B44B19" w:rsidRDefault="0011314E" w:rsidP="00595B07">
            <w:pPr>
              <w:spacing w:after="0" w:line="240" w:lineRule="auto"/>
              <w:jc w:val="both"/>
              <w:rPr>
                <w:rFonts w:cs="Times New Roman"/>
                <w:noProof/>
                <w:sz w:val="16"/>
                <w:szCs w:val="16"/>
              </w:rPr>
            </w:pPr>
          </w:p>
        </w:tc>
        <w:tc>
          <w:tcPr>
            <w:tcW w:w="365" w:type="pct"/>
            <w:vMerge/>
          </w:tcPr>
          <w:p w14:paraId="10591ED8" w14:textId="77777777" w:rsidR="0011314E" w:rsidRPr="00B44B19" w:rsidRDefault="0011314E" w:rsidP="00595B07">
            <w:pPr>
              <w:spacing w:after="0" w:line="240" w:lineRule="auto"/>
              <w:jc w:val="both"/>
              <w:rPr>
                <w:rFonts w:cs="Times New Roman"/>
                <w:noProof/>
                <w:sz w:val="16"/>
                <w:szCs w:val="16"/>
              </w:rPr>
            </w:pPr>
          </w:p>
        </w:tc>
        <w:tc>
          <w:tcPr>
            <w:tcW w:w="498" w:type="pct"/>
          </w:tcPr>
          <w:p w14:paraId="460106A1"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3068373D"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RCO65</w:t>
            </w:r>
          </w:p>
        </w:tc>
        <w:tc>
          <w:tcPr>
            <w:tcW w:w="796" w:type="pct"/>
          </w:tcPr>
          <w:p w14:paraId="291BF674"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noProof/>
                <w:sz w:val="16"/>
                <w:szCs w:val="16"/>
                <w:lang w:eastAsia="lt-LT" w:bidi="lt-LT"/>
              </w:rPr>
              <w:t>Naujų arba modernizuotų socialinių būstų talpumas</w:t>
            </w:r>
          </w:p>
        </w:tc>
        <w:tc>
          <w:tcPr>
            <w:tcW w:w="647" w:type="pct"/>
          </w:tcPr>
          <w:p w14:paraId="30CA8B12"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Asmenys</w:t>
            </w:r>
          </w:p>
        </w:tc>
        <w:tc>
          <w:tcPr>
            <w:tcW w:w="503" w:type="pct"/>
          </w:tcPr>
          <w:p w14:paraId="6545FD97"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491E71B5"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1 649</w:t>
            </w:r>
          </w:p>
        </w:tc>
      </w:tr>
      <w:tr w:rsidR="0011314E" w:rsidRPr="00B44B19" w14:paraId="75D0F8B6" w14:textId="77777777" w:rsidTr="00595B07">
        <w:trPr>
          <w:trHeight w:val="332"/>
        </w:trPr>
        <w:tc>
          <w:tcPr>
            <w:tcW w:w="566" w:type="pct"/>
            <w:vMerge/>
          </w:tcPr>
          <w:p w14:paraId="17889730"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6E1CD3FE"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62FDA305"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3763D873"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0C738142"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796" w:type="pct"/>
          </w:tcPr>
          <w:p w14:paraId="46326D69"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sz w:val="16"/>
                <w:szCs w:val="16"/>
                <w:lang w:eastAsia="lt-LT" w:bidi="lt-LT"/>
              </w:rPr>
              <w:t>Paslaugų asmenims, turintiems intelekto ir (ar) psichikos negalią, vietų skaičius naujoje ar modernizuotoje infrastruktūroje</w:t>
            </w:r>
          </w:p>
        </w:tc>
        <w:tc>
          <w:tcPr>
            <w:tcW w:w="647" w:type="pct"/>
          </w:tcPr>
          <w:p w14:paraId="179C23F9"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Skaičius</w:t>
            </w:r>
          </w:p>
        </w:tc>
        <w:tc>
          <w:tcPr>
            <w:tcW w:w="503" w:type="pct"/>
          </w:tcPr>
          <w:p w14:paraId="5C1CBE3A"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55BAAECE" w14:textId="77777777" w:rsidR="0011314E" w:rsidRPr="00B44B19" w:rsidRDefault="0011314E" w:rsidP="00A044D2">
            <w:pPr>
              <w:spacing w:after="0" w:line="240" w:lineRule="auto"/>
              <w:jc w:val="center"/>
              <w:rPr>
                <w:rFonts w:cs="Times New Roman"/>
                <w:noProof/>
                <w:sz w:val="16"/>
                <w:szCs w:val="16"/>
              </w:rPr>
            </w:pPr>
            <w:r w:rsidRPr="00B44B19">
              <w:rPr>
                <w:rFonts w:cs="Times New Roman"/>
                <w:noProof/>
                <w:sz w:val="16"/>
                <w:szCs w:val="16"/>
              </w:rPr>
              <w:t>823</w:t>
            </w:r>
          </w:p>
        </w:tc>
      </w:tr>
      <w:tr w:rsidR="0011314E" w:rsidRPr="00B44B19" w14:paraId="4458305A" w14:textId="77777777" w:rsidTr="00595B07">
        <w:trPr>
          <w:trHeight w:val="332"/>
        </w:trPr>
        <w:tc>
          <w:tcPr>
            <w:tcW w:w="566" w:type="pct"/>
            <w:vMerge/>
          </w:tcPr>
          <w:p w14:paraId="6CE26330"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4404190E"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6C420839"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3C426041"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597366AB"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796" w:type="pct"/>
          </w:tcPr>
          <w:p w14:paraId="3B368BC8"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sz w:val="16"/>
                <w:szCs w:val="16"/>
                <w:lang w:eastAsia="lt-LT" w:bidi="lt-LT"/>
              </w:rPr>
              <w:t>Paslaugų asmenims, turintiems intelekto ir (ar) psichikos negalią, vietų skaičius naujoje ar modernizuotoje infrastruktūroje</w:t>
            </w:r>
          </w:p>
        </w:tc>
        <w:tc>
          <w:tcPr>
            <w:tcW w:w="647" w:type="pct"/>
          </w:tcPr>
          <w:p w14:paraId="369D5372"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Skaičius</w:t>
            </w:r>
          </w:p>
        </w:tc>
        <w:tc>
          <w:tcPr>
            <w:tcW w:w="503" w:type="pct"/>
          </w:tcPr>
          <w:p w14:paraId="4C970372"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586C0DBF" w14:textId="77777777" w:rsidR="0011314E" w:rsidRPr="00B44B19" w:rsidRDefault="0011314E" w:rsidP="00A044D2">
            <w:pPr>
              <w:spacing w:after="0" w:line="240" w:lineRule="auto"/>
              <w:jc w:val="center"/>
              <w:rPr>
                <w:rFonts w:cs="Times New Roman"/>
                <w:noProof/>
                <w:sz w:val="16"/>
                <w:szCs w:val="16"/>
              </w:rPr>
            </w:pPr>
            <w:r w:rsidRPr="00B44B19">
              <w:rPr>
                <w:rFonts w:cs="Times New Roman"/>
                <w:noProof/>
                <w:sz w:val="16"/>
                <w:szCs w:val="16"/>
              </w:rPr>
              <w:t>3 889</w:t>
            </w:r>
          </w:p>
        </w:tc>
      </w:tr>
      <w:tr w:rsidR="0011314E" w:rsidRPr="00B44B19" w14:paraId="0BFE01C8" w14:textId="77777777" w:rsidTr="00595B07">
        <w:trPr>
          <w:trHeight w:val="332"/>
        </w:trPr>
        <w:tc>
          <w:tcPr>
            <w:tcW w:w="566" w:type="pct"/>
            <w:vMerge/>
          </w:tcPr>
          <w:p w14:paraId="0643CFFB"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728E7725"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5E7DB1AA"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17159DE7" w14:textId="77777777" w:rsidR="0011314E" w:rsidRPr="00B44B19" w:rsidDel="00B72784"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335763E9" w14:textId="77777777" w:rsidR="0011314E" w:rsidRPr="00B44B19" w:rsidDel="00B72784"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796" w:type="pct"/>
          </w:tcPr>
          <w:p w14:paraId="3AA0B5F1" w14:textId="77777777" w:rsidR="0011314E" w:rsidRPr="00B44B19" w:rsidDel="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sz w:val="16"/>
                <w:szCs w:val="16"/>
                <w:lang w:eastAsia="lt-LT" w:bidi="lt-LT"/>
              </w:rPr>
              <w:t>Paslaugų socialiai pažeidžiamiems, socialinę riziką (atskirtį) patiriantiems asmenims vietų skaičius naujoje ar modernizuotoje infrastruktūroje</w:t>
            </w:r>
          </w:p>
        </w:tc>
        <w:tc>
          <w:tcPr>
            <w:tcW w:w="647" w:type="pct"/>
          </w:tcPr>
          <w:p w14:paraId="42709F4A" w14:textId="77777777" w:rsidR="0011314E" w:rsidRPr="00B44B19" w:rsidDel="00B72784" w:rsidRDefault="0011314E" w:rsidP="00595B07">
            <w:pPr>
              <w:rPr>
                <w:rFonts w:cs="Times New Roman"/>
                <w:sz w:val="16"/>
                <w:szCs w:val="16"/>
              </w:rPr>
            </w:pPr>
            <w:r w:rsidRPr="00B44B19">
              <w:rPr>
                <w:rFonts w:cs="Times New Roman"/>
                <w:noProof/>
                <w:sz w:val="16"/>
                <w:szCs w:val="16"/>
              </w:rPr>
              <w:t>Skaičius</w:t>
            </w:r>
          </w:p>
        </w:tc>
        <w:tc>
          <w:tcPr>
            <w:tcW w:w="503" w:type="pct"/>
          </w:tcPr>
          <w:p w14:paraId="759BB152"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70EE9604"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765</w:t>
            </w:r>
          </w:p>
        </w:tc>
      </w:tr>
      <w:tr w:rsidR="0011314E" w:rsidRPr="00B44B19" w14:paraId="046E7D95" w14:textId="77777777" w:rsidTr="00595B07">
        <w:trPr>
          <w:trHeight w:val="332"/>
        </w:trPr>
        <w:tc>
          <w:tcPr>
            <w:tcW w:w="566" w:type="pct"/>
            <w:vMerge/>
          </w:tcPr>
          <w:p w14:paraId="2A96FF8B"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7DD63F93"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1F51E091"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2320DF63" w14:textId="77777777" w:rsidR="0011314E" w:rsidRPr="00B44B19" w:rsidDel="00B72784"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3F26A218" w14:textId="77777777" w:rsidR="0011314E" w:rsidRPr="00B44B19" w:rsidDel="00B72784"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796" w:type="pct"/>
          </w:tcPr>
          <w:p w14:paraId="48255759" w14:textId="77777777" w:rsidR="0011314E" w:rsidRPr="00B44B19" w:rsidDel="00B72784"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sz w:val="16"/>
                <w:szCs w:val="16"/>
                <w:lang w:eastAsia="lt-LT" w:bidi="lt-LT"/>
              </w:rPr>
              <w:t>Paslaugų socialiai pažeidžiamiems, socialinę riziką (atskirtį) patiriantiems asmenims vietų skaičius naujoje ar modernizuotoje infrastruktūroje</w:t>
            </w:r>
          </w:p>
        </w:tc>
        <w:tc>
          <w:tcPr>
            <w:tcW w:w="647" w:type="pct"/>
          </w:tcPr>
          <w:p w14:paraId="5B94C8FF" w14:textId="77777777" w:rsidR="0011314E" w:rsidRPr="00B44B19" w:rsidDel="00B72784" w:rsidRDefault="0011314E" w:rsidP="00595B07">
            <w:pPr>
              <w:spacing w:after="0" w:line="240" w:lineRule="auto"/>
              <w:rPr>
                <w:rFonts w:cs="Times New Roman"/>
                <w:noProof/>
                <w:sz w:val="16"/>
                <w:szCs w:val="16"/>
              </w:rPr>
            </w:pPr>
            <w:r w:rsidRPr="00B44B19">
              <w:rPr>
                <w:rFonts w:cs="Times New Roman"/>
                <w:noProof/>
                <w:sz w:val="16"/>
                <w:szCs w:val="16"/>
              </w:rPr>
              <w:t>Skaičius</w:t>
            </w:r>
          </w:p>
        </w:tc>
        <w:tc>
          <w:tcPr>
            <w:tcW w:w="503" w:type="pct"/>
          </w:tcPr>
          <w:p w14:paraId="75EFCC67"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0B818F98"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1 931</w:t>
            </w:r>
          </w:p>
        </w:tc>
      </w:tr>
      <w:tr w:rsidR="0011314E" w:rsidRPr="00B44B19" w14:paraId="5643F425" w14:textId="77777777" w:rsidTr="00595B07">
        <w:trPr>
          <w:trHeight w:val="332"/>
        </w:trPr>
        <w:tc>
          <w:tcPr>
            <w:tcW w:w="566" w:type="pct"/>
            <w:vMerge/>
          </w:tcPr>
          <w:p w14:paraId="1DD47BEC"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7BA2C873"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2EF0DB11"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6910D53E"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45D1A2F6"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RCO01</w:t>
            </w:r>
          </w:p>
        </w:tc>
        <w:tc>
          <w:tcPr>
            <w:tcW w:w="796" w:type="pct"/>
          </w:tcPr>
          <w:p w14:paraId="16657F60"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cs="Times New Roman"/>
                <w:sz w:val="16"/>
                <w:szCs w:val="16"/>
              </w:rPr>
              <w:t>Paramą gavusios įmonės (iš kurių: labai mažos, mažosios, vidutinės ir didelės)</w:t>
            </w:r>
          </w:p>
        </w:tc>
        <w:tc>
          <w:tcPr>
            <w:tcW w:w="647" w:type="pct"/>
          </w:tcPr>
          <w:p w14:paraId="4ED44EB4" w14:textId="77777777" w:rsidR="0011314E" w:rsidRPr="00B44B19" w:rsidDel="00A61752" w:rsidRDefault="0011314E" w:rsidP="00595B07">
            <w:pPr>
              <w:spacing w:after="0" w:line="240" w:lineRule="auto"/>
              <w:rPr>
                <w:rFonts w:cs="Times New Roman"/>
                <w:noProof/>
                <w:sz w:val="16"/>
                <w:szCs w:val="16"/>
              </w:rPr>
            </w:pPr>
            <w:r w:rsidRPr="00B44B19">
              <w:rPr>
                <w:rFonts w:cs="Times New Roman"/>
                <w:noProof/>
                <w:sz w:val="16"/>
                <w:szCs w:val="16"/>
              </w:rPr>
              <w:t>Įmonės</w:t>
            </w:r>
          </w:p>
        </w:tc>
        <w:tc>
          <w:tcPr>
            <w:tcW w:w="503" w:type="pct"/>
          </w:tcPr>
          <w:p w14:paraId="41DC3E82"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3956E961" w14:textId="49EB42DD" w:rsidR="0011314E" w:rsidRPr="00B44B19" w:rsidRDefault="00EE40C2" w:rsidP="00595B07">
            <w:pPr>
              <w:spacing w:after="0" w:line="240" w:lineRule="auto"/>
              <w:jc w:val="center"/>
              <w:rPr>
                <w:rFonts w:cs="Times New Roman"/>
                <w:noProof/>
                <w:sz w:val="16"/>
                <w:szCs w:val="16"/>
              </w:rPr>
            </w:pPr>
            <w:r w:rsidRPr="00B44B19">
              <w:rPr>
                <w:rFonts w:cs="Times New Roman"/>
                <w:noProof/>
                <w:sz w:val="16"/>
                <w:szCs w:val="16"/>
              </w:rPr>
              <w:t>13</w:t>
            </w:r>
          </w:p>
        </w:tc>
      </w:tr>
      <w:tr w:rsidR="0011314E" w:rsidRPr="00B44B19" w14:paraId="2EBB1B69" w14:textId="77777777" w:rsidTr="00595B07">
        <w:trPr>
          <w:trHeight w:val="332"/>
        </w:trPr>
        <w:tc>
          <w:tcPr>
            <w:tcW w:w="566" w:type="pct"/>
            <w:vMerge/>
          </w:tcPr>
          <w:p w14:paraId="07FA1B58"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20F7A1AA"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5701AE0E"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767F2ADF"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079C9A69"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RCO01</w:t>
            </w:r>
          </w:p>
        </w:tc>
        <w:tc>
          <w:tcPr>
            <w:tcW w:w="796" w:type="pct"/>
          </w:tcPr>
          <w:p w14:paraId="1DDC691E"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cs="Times New Roman"/>
                <w:sz w:val="16"/>
                <w:szCs w:val="16"/>
              </w:rPr>
              <w:t>Paramą gavusios įmonės (iš kurių: labai mažos, mažosios, vidutinės ir didelės)</w:t>
            </w:r>
          </w:p>
        </w:tc>
        <w:tc>
          <w:tcPr>
            <w:tcW w:w="647" w:type="pct"/>
          </w:tcPr>
          <w:p w14:paraId="2BB95581" w14:textId="77777777" w:rsidR="0011314E" w:rsidRPr="00B44B19" w:rsidDel="00A61752" w:rsidRDefault="0011314E" w:rsidP="00595B07">
            <w:pPr>
              <w:spacing w:after="0" w:line="240" w:lineRule="auto"/>
              <w:rPr>
                <w:rFonts w:cs="Times New Roman"/>
                <w:noProof/>
                <w:sz w:val="16"/>
                <w:szCs w:val="16"/>
              </w:rPr>
            </w:pPr>
            <w:r w:rsidRPr="00B44B19">
              <w:rPr>
                <w:rFonts w:cs="Times New Roman"/>
                <w:noProof/>
                <w:sz w:val="16"/>
                <w:szCs w:val="16"/>
              </w:rPr>
              <w:t>Įmonės</w:t>
            </w:r>
          </w:p>
        </w:tc>
        <w:tc>
          <w:tcPr>
            <w:tcW w:w="503" w:type="pct"/>
          </w:tcPr>
          <w:p w14:paraId="0011F2C9"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4B9BAFFB"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129</w:t>
            </w:r>
          </w:p>
        </w:tc>
      </w:tr>
      <w:tr w:rsidR="0011314E" w:rsidRPr="00B44B19" w14:paraId="543A213F" w14:textId="77777777" w:rsidTr="00595B07">
        <w:trPr>
          <w:trHeight w:val="332"/>
        </w:trPr>
        <w:tc>
          <w:tcPr>
            <w:tcW w:w="566" w:type="pct"/>
            <w:vMerge/>
          </w:tcPr>
          <w:p w14:paraId="5B17497C"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276AF8AF"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4DD314DC"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35D41A1C"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24FA6403"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RCO02</w:t>
            </w:r>
          </w:p>
        </w:tc>
        <w:tc>
          <w:tcPr>
            <w:tcW w:w="796" w:type="pct"/>
          </w:tcPr>
          <w:p w14:paraId="34DB97A4"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sz w:val="16"/>
                <w:szCs w:val="16"/>
                <w:lang w:eastAsia="lt-LT" w:bidi="lt-LT"/>
              </w:rPr>
              <w:t>Paramą dotacijomis gavusios įmonės</w:t>
            </w:r>
          </w:p>
        </w:tc>
        <w:tc>
          <w:tcPr>
            <w:tcW w:w="647" w:type="pct"/>
          </w:tcPr>
          <w:p w14:paraId="67552C2B"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Įmonės</w:t>
            </w:r>
          </w:p>
        </w:tc>
        <w:tc>
          <w:tcPr>
            <w:tcW w:w="503" w:type="pct"/>
          </w:tcPr>
          <w:p w14:paraId="498C534C"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2764771B" w14:textId="6170F1AC" w:rsidR="0011314E" w:rsidRPr="00B44B19" w:rsidRDefault="00EE40C2" w:rsidP="00595B07">
            <w:pPr>
              <w:spacing w:after="0" w:line="240" w:lineRule="auto"/>
              <w:jc w:val="center"/>
              <w:rPr>
                <w:rFonts w:cs="Times New Roman"/>
                <w:noProof/>
                <w:sz w:val="16"/>
                <w:szCs w:val="16"/>
              </w:rPr>
            </w:pPr>
            <w:r w:rsidRPr="00B44B19">
              <w:rPr>
                <w:rFonts w:cs="Times New Roman"/>
                <w:noProof/>
                <w:sz w:val="16"/>
                <w:szCs w:val="16"/>
              </w:rPr>
              <w:t>13</w:t>
            </w:r>
          </w:p>
        </w:tc>
      </w:tr>
      <w:tr w:rsidR="0011314E" w:rsidRPr="00B44B19" w14:paraId="68E79794" w14:textId="77777777" w:rsidTr="00595B07">
        <w:trPr>
          <w:trHeight w:val="332"/>
        </w:trPr>
        <w:tc>
          <w:tcPr>
            <w:tcW w:w="566" w:type="pct"/>
            <w:vMerge/>
          </w:tcPr>
          <w:p w14:paraId="551A50F1"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6DA00C55"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30061077"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73B27B2C"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212C2DF0"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RCO02</w:t>
            </w:r>
          </w:p>
        </w:tc>
        <w:tc>
          <w:tcPr>
            <w:tcW w:w="796" w:type="pct"/>
          </w:tcPr>
          <w:p w14:paraId="36EB19D8"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sz w:val="16"/>
                <w:szCs w:val="16"/>
                <w:lang w:eastAsia="lt-LT" w:bidi="lt-LT"/>
              </w:rPr>
              <w:t>Paramą dotacijomis gavusios įmonės</w:t>
            </w:r>
          </w:p>
        </w:tc>
        <w:tc>
          <w:tcPr>
            <w:tcW w:w="647" w:type="pct"/>
          </w:tcPr>
          <w:p w14:paraId="744B3C25"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Įmonės</w:t>
            </w:r>
          </w:p>
        </w:tc>
        <w:tc>
          <w:tcPr>
            <w:tcW w:w="503" w:type="pct"/>
          </w:tcPr>
          <w:p w14:paraId="054F5EFE"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50FBDA03" w14:textId="77777777" w:rsidR="0011314E" w:rsidRPr="00B44B19" w:rsidRDefault="0011314E" w:rsidP="00595B07">
            <w:pPr>
              <w:spacing w:after="0" w:line="240" w:lineRule="auto"/>
              <w:jc w:val="center"/>
              <w:rPr>
                <w:rFonts w:cs="Times New Roman"/>
                <w:noProof/>
                <w:sz w:val="16"/>
                <w:szCs w:val="16"/>
              </w:rPr>
            </w:pPr>
            <w:r w:rsidRPr="00B44B19">
              <w:rPr>
                <w:rFonts w:cs="Times New Roman"/>
                <w:noProof/>
                <w:sz w:val="16"/>
                <w:szCs w:val="16"/>
              </w:rPr>
              <w:t>129</w:t>
            </w:r>
          </w:p>
        </w:tc>
      </w:tr>
      <w:tr w:rsidR="0011314E" w:rsidRPr="00B44B19" w14:paraId="015FA78E" w14:textId="77777777" w:rsidTr="00595B07">
        <w:trPr>
          <w:trHeight w:val="332"/>
        </w:trPr>
        <w:tc>
          <w:tcPr>
            <w:tcW w:w="566" w:type="pct"/>
            <w:vMerge/>
          </w:tcPr>
          <w:p w14:paraId="17AEF796"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2E5D01C5"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4119B8F6"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12D97968" w14:textId="77777777" w:rsidR="0011314E" w:rsidRPr="00B44B19" w:rsidDel="00B72784"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3C133B8F" w14:textId="77777777" w:rsidR="0011314E" w:rsidRPr="00B44B19" w:rsidDel="00B72784"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RCO80</w:t>
            </w:r>
          </w:p>
        </w:tc>
        <w:tc>
          <w:tcPr>
            <w:tcW w:w="796" w:type="pct"/>
          </w:tcPr>
          <w:p w14:paraId="48E0C04E"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noProof/>
                <w:sz w:val="16"/>
                <w:szCs w:val="16"/>
                <w:lang w:eastAsia="lt-LT" w:bidi="lt-LT"/>
              </w:rPr>
              <w:t>Bendruomenės inicijuotos vietos plėtros strategijos, kurioms suteikta parama</w:t>
            </w:r>
          </w:p>
        </w:tc>
        <w:tc>
          <w:tcPr>
            <w:tcW w:w="647" w:type="pct"/>
          </w:tcPr>
          <w:p w14:paraId="713E44A1" w14:textId="77777777" w:rsidR="0011314E" w:rsidRPr="00B44B19" w:rsidRDefault="0011314E" w:rsidP="00595B07">
            <w:pPr>
              <w:spacing w:after="0" w:line="240" w:lineRule="auto"/>
              <w:rPr>
                <w:rFonts w:cs="Times New Roman"/>
                <w:noProof/>
                <w:sz w:val="16"/>
                <w:szCs w:val="16"/>
              </w:rPr>
            </w:pPr>
            <w:r w:rsidRPr="00B44B19">
              <w:rPr>
                <w:rFonts w:eastAsia="Calibri" w:cs="Times New Roman"/>
                <w:noProof/>
                <w:sz w:val="16"/>
                <w:szCs w:val="16"/>
              </w:rPr>
              <w:t>strategijos</w:t>
            </w:r>
          </w:p>
        </w:tc>
        <w:tc>
          <w:tcPr>
            <w:tcW w:w="503" w:type="pct"/>
          </w:tcPr>
          <w:p w14:paraId="7CDBBB96" w14:textId="77777777" w:rsidR="0011314E" w:rsidRPr="00B44B19" w:rsidRDefault="0011314E" w:rsidP="0015015F">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14B8674D" w14:textId="44F44813" w:rsidR="0011314E" w:rsidRPr="00B44B19" w:rsidRDefault="00EE40C2" w:rsidP="00D632AD">
            <w:pPr>
              <w:spacing w:after="0" w:line="240" w:lineRule="auto"/>
              <w:jc w:val="center"/>
              <w:rPr>
                <w:rFonts w:cs="Times New Roman"/>
                <w:noProof/>
                <w:sz w:val="16"/>
                <w:szCs w:val="16"/>
              </w:rPr>
            </w:pPr>
            <w:r w:rsidRPr="00B44B19">
              <w:rPr>
                <w:rFonts w:cs="Times New Roman"/>
                <w:noProof/>
                <w:sz w:val="16"/>
                <w:szCs w:val="16"/>
              </w:rPr>
              <w:t>5</w:t>
            </w:r>
          </w:p>
        </w:tc>
      </w:tr>
      <w:tr w:rsidR="0011314E" w:rsidRPr="00B44B19" w14:paraId="7FA38F88" w14:textId="77777777" w:rsidTr="00595B07">
        <w:trPr>
          <w:trHeight w:val="332"/>
        </w:trPr>
        <w:tc>
          <w:tcPr>
            <w:tcW w:w="566" w:type="pct"/>
            <w:vMerge/>
          </w:tcPr>
          <w:p w14:paraId="4DAB9700"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4ACCBF7B"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2BDAA6E1"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7E40CD5E" w14:textId="77777777" w:rsidR="0011314E" w:rsidRPr="00B44B19" w:rsidDel="00B72784"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171381DE" w14:textId="77777777" w:rsidR="0011314E" w:rsidRPr="00B44B19" w:rsidDel="00B72784"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RCO80</w:t>
            </w:r>
          </w:p>
        </w:tc>
        <w:tc>
          <w:tcPr>
            <w:tcW w:w="796" w:type="pct"/>
          </w:tcPr>
          <w:p w14:paraId="6269D8B8" w14:textId="77777777" w:rsidR="0011314E" w:rsidRPr="00B44B19" w:rsidRDefault="0011314E" w:rsidP="00595B07">
            <w:pPr>
              <w:tabs>
                <w:tab w:val="left" w:pos="315"/>
                <w:tab w:val="left" w:pos="457"/>
              </w:tabs>
              <w:spacing w:after="0" w:line="240" w:lineRule="auto"/>
              <w:contextualSpacing/>
              <w:rPr>
                <w:rFonts w:eastAsia="Calibri" w:cs="Times New Roman"/>
                <w:sz w:val="16"/>
                <w:szCs w:val="16"/>
                <w:lang w:eastAsia="lt-LT" w:bidi="lt-LT"/>
              </w:rPr>
            </w:pPr>
            <w:r w:rsidRPr="00B44B19">
              <w:rPr>
                <w:rFonts w:eastAsia="Calibri" w:cs="Times New Roman"/>
                <w:noProof/>
                <w:sz w:val="16"/>
                <w:szCs w:val="16"/>
                <w:lang w:eastAsia="lt-LT" w:bidi="lt-LT"/>
              </w:rPr>
              <w:t>Bendruomenės inicijuotos vietos plėtros strategijos, kurioms suteikta parama</w:t>
            </w:r>
          </w:p>
        </w:tc>
        <w:tc>
          <w:tcPr>
            <w:tcW w:w="647" w:type="pct"/>
          </w:tcPr>
          <w:p w14:paraId="11ABF818" w14:textId="77777777" w:rsidR="0011314E" w:rsidRPr="00B44B19" w:rsidRDefault="0011314E" w:rsidP="00595B07">
            <w:pPr>
              <w:spacing w:after="0" w:line="240" w:lineRule="auto"/>
              <w:rPr>
                <w:rFonts w:cs="Times New Roman"/>
                <w:noProof/>
                <w:sz w:val="16"/>
                <w:szCs w:val="16"/>
              </w:rPr>
            </w:pPr>
            <w:r w:rsidRPr="00B44B19">
              <w:rPr>
                <w:rFonts w:eastAsia="Calibri" w:cs="Times New Roman"/>
                <w:noProof/>
                <w:sz w:val="16"/>
                <w:szCs w:val="16"/>
              </w:rPr>
              <w:t>strategijos</w:t>
            </w:r>
          </w:p>
        </w:tc>
        <w:tc>
          <w:tcPr>
            <w:tcW w:w="503" w:type="pct"/>
          </w:tcPr>
          <w:p w14:paraId="0D595DC1" w14:textId="77777777" w:rsidR="0011314E" w:rsidRPr="00B44B19" w:rsidRDefault="0011314E" w:rsidP="0015015F">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386E6EF5" w14:textId="6A7DCCA7" w:rsidR="0011314E" w:rsidRPr="00B44B19" w:rsidRDefault="00EE40C2" w:rsidP="00D632AD">
            <w:pPr>
              <w:spacing w:after="0" w:line="240" w:lineRule="auto"/>
              <w:jc w:val="center"/>
              <w:rPr>
                <w:rFonts w:cs="Times New Roman"/>
                <w:noProof/>
                <w:sz w:val="16"/>
                <w:szCs w:val="16"/>
              </w:rPr>
            </w:pPr>
            <w:r w:rsidRPr="00B44B19">
              <w:rPr>
                <w:rFonts w:cs="Times New Roman"/>
                <w:noProof/>
                <w:sz w:val="16"/>
                <w:szCs w:val="16"/>
              </w:rPr>
              <w:t>47</w:t>
            </w:r>
          </w:p>
        </w:tc>
      </w:tr>
      <w:tr w:rsidR="0011314E" w:rsidRPr="00B44B19" w14:paraId="60F6DE27" w14:textId="77777777" w:rsidTr="00595B07">
        <w:trPr>
          <w:trHeight w:val="332"/>
        </w:trPr>
        <w:tc>
          <w:tcPr>
            <w:tcW w:w="566" w:type="pct"/>
            <w:vMerge/>
          </w:tcPr>
          <w:p w14:paraId="40C64F24"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12D6DFF0"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5859B514"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0484B7A1"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72855C86"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796" w:type="pct"/>
          </w:tcPr>
          <w:p w14:paraId="013B7400" w14:textId="77777777" w:rsidR="0011314E" w:rsidRPr="00B44B19"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B44B19">
              <w:rPr>
                <w:rFonts w:eastAsia="Calibri" w:cs="Times New Roman"/>
                <w:noProof/>
                <w:sz w:val="16"/>
                <w:szCs w:val="16"/>
                <w:lang w:eastAsia="lt-LT" w:bidi="lt-LT"/>
              </w:rPr>
              <w:t>Socialinio verslo subjektai, per BIVP projektus gavę paramą socialinio verslo kūrimui ar plėtrai</w:t>
            </w:r>
          </w:p>
        </w:tc>
        <w:tc>
          <w:tcPr>
            <w:tcW w:w="647" w:type="pct"/>
          </w:tcPr>
          <w:p w14:paraId="60DDC617" w14:textId="77777777" w:rsidR="0011314E" w:rsidRPr="00B44B19" w:rsidRDefault="0011314E" w:rsidP="00595B07">
            <w:pPr>
              <w:spacing w:after="0" w:line="240" w:lineRule="auto"/>
              <w:rPr>
                <w:rFonts w:eastAsia="Calibri" w:cs="Times New Roman"/>
                <w:noProof/>
                <w:sz w:val="16"/>
                <w:szCs w:val="16"/>
              </w:rPr>
            </w:pPr>
            <w:r w:rsidRPr="00B44B19">
              <w:rPr>
                <w:rFonts w:eastAsia="Calibri" w:cs="Times New Roman"/>
                <w:noProof/>
                <w:sz w:val="16"/>
                <w:szCs w:val="16"/>
              </w:rPr>
              <w:t>Skaičius</w:t>
            </w:r>
          </w:p>
        </w:tc>
        <w:tc>
          <w:tcPr>
            <w:tcW w:w="503" w:type="pct"/>
          </w:tcPr>
          <w:p w14:paraId="370552FF" w14:textId="77777777" w:rsidR="0011314E" w:rsidRPr="00B44B19" w:rsidRDefault="0011314E" w:rsidP="00A76D71">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624DE27E" w14:textId="77211501" w:rsidR="0011314E" w:rsidRPr="00B44B19" w:rsidRDefault="00EE40C2" w:rsidP="00D632AD">
            <w:pPr>
              <w:spacing w:after="0" w:line="240" w:lineRule="auto"/>
              <w:jc w:val="center"/>
              <w:rPr>
                <w:rFonts w:cs="Times New Roman"/>
                <w:noProof/>
                <w:sz w:val="16"/>
                <w:szCs w:val="16"/>
              </w:rPr>
            </w:pPr>
            <w:r w:rsidRPr="00B44B19">
              <w:rPr>
                <w:rFonts w:cs="Times New Roman"/>
                <w:noProof/>
                <w:sz w:val="16"/>
                <w:szCs w:val="16"/>
              </w:rPr>
              <w:t>13</w:t>
            </w:r>
          </w:p>
        </w:tc>
      </w:tr>
      <w:tr w:rsidR="0011314E" w:rsidRPr="00B44B19" w14:paraId="4F96C4AB" w14:textId="77777777" w:rsidTr="00595B07">
        <w:trPr>
          <w:trHeight w:val="332"/>
        </w:trPr>
        <w:tc>
          <w:tcPr>
            <w:tcW w:w="566" w:type="pct"/>
            <w:vMerge/>
          </w:tcPr>
          <w:p w14:paraId="79B56AF6"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3FD555AE"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7644C6DB"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478DA6CF"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204538BB"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Specialusis</w:t>
            </w:r>
          </w:p>
        </w:tc>
        <w:tc>
          <w:tcPr>
            <w:tcW w:w="796" w:type="pct"/>
          </w:tcPr>
          <w:p w14:paraId="1A9E1622" w14:textId="77777777" w:rsidR="0011314E" w:rsidRPr="00B44B19"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B44B19">
              <w:rPr>
                <w:rFonts w:eastAsia="Calibri" w:cs="Times New Roman"/>
                <w:noProof/>
                <w:sz w:val="16"/>
                <w:szCs w:val="16"/>
                <w:lang w:eastAsia="lt-LT" w:bidi="lt-LT"/>
              </w:rPr>
              <w:t>Socialinio verslo subjektai, per BIVP projektus gavę paramą socialinio verslo kūrimui ar plėtrai</w:t>
            </w:r>
          </w:p>
        </w:tc>
        <w:tc>
          <w:tcPr>
            <w:tcW w:w="647" w:type="pct"/>
          </w:tcPr>
          <w:p w14:paraId="3DC3D2AB" w14:textId="77777777" w:rsidR="0011314E" w:rsidRPr="00B44B19" w:rsidRDefault="0011314E" w:rsidP="00595B07">
            <w:pPr>
              <w:spacing w:after="0" w:line="240" w:lineRule="auto"/>
              <w:rPr>
                <w:rFonts w:eastAsia="Calibri" w:cs="Times New Roman"/>
                <w:noProof/>
                <w:sz w:val="16"/>
                <w:szCs w:val="16"/>
              </w:rPr>
            </w:pPr>
            <w:r w:rsidRPr="00B44B19">
              <w:rPr>
                <w:rFonts w:eastAsia="Calibri" w:cs="Times New Roman"/>
                <w:noProof/>
                <w:sz w:val="16"/>
                <w:szCs w:val="16"/>
              </w:rPr>
              <w:t>Skaičius</w:t>
            </w:r>
          </w:p>
        </w:tc>
        <w:tc>
          <w:tcPr>
            <w:tcW w:w="503" w:type="pct"/>
          </w:tcPr>
          <w:p w14:paraId="1C75CC6E" w14:textId="77777777" w:rsidR="0011314E" w:rsidRPr="00B44B19" w:rsidRDefault="0011314E" w:rsidP="00A76D71">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6E30576C" w14:textId="77777777" w:rsidR="0011314E" w:rsidRPr="00B44B19" w:rsidRDefault="0011314E" w:rsidP="00D632AD">
            <w:pPr>
              <w:spacing w:after="0" w:line="240" w:lineRule="auto"/>
              <w:jc w:val="center"/>
              <w:rPr>
                <w:rFonts w:cs="Times New Roman"/>
                <w:noProof/>
                <w:sz w:val="16"/>
                <w:szCs w:val="16"/>
              </w:rPr>
            </w:pPr>
            <w:r w:rsidRPr="00B44B19">
              <w:rPr>
                <w:rFonts w:cs="Times New Roman"/>
                <w:noProof/>
                <w:sz w:val="16"/>
                <w:szCs w:val="16"/>
              </w:rPr>
              <w:t>129</w:t>
            </w:r>
          </w:p>
        </w:tc>
      </w:tr>
      <w:tr w:rsidR="0011314E" w:rsidRPr="00B44B19" w14:paraId="51B3C003" w14:textId="77777777" w:rsidTr="00595B07">
        <w:trPr>
          <w:trHeight w:val="332"/>
        </w:trPr>
        <w:tc>
          <w:tcPr>
            <w:tcW w:w="566" w:type="pct"/>
            <w:vMerge/>
          </w:tcPr>
          <w:p w14:paraId="6603A677"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351614F9"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2B2F63F5"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541A7D21"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173F2DA3"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RCO74</w:t>
            </w:r>
          </w:p>
        </w:tc>
        <w:tc>
          <w:tcPr>
            <w:tcW w:w="796" w:type="pct"/>
          </w:tcPr>
          <w:p w14:paraId="6DC6871A" w14:textId="77777777" w:rsidR="0011314E" w:rsidRPr="00B44B19"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B44B19">
              <w:rPr>
                <w:rFonts w:eastAsia="Calibri" w:cs="Times New Roman"/>
                <w:noProof/>
                <w:sz w:val="16"/>
                <w:szCs w:val="16"/>
                <w:lang w:eastAsia="lt-LT" w:bidi="lt-LT"/>
              </w:rPr>
              <w:t>Gyventojai, kuriems taikomi projektai, vykdomi pagal integruotas teritorinio vystymo programas</w:t>
            </w:r>
          </w:p>
        </w:tc>
        <w:tc>
          <w:tcPr>
            <w:tcW w:w="647" w:type="pct"/>
          </w:tcPr>
          <w:p w14:paraId="7439D5D2" w14:textId="77777777" w:rsidR="0011314E" w:rsidRPr="00B44B19" w:rsidRDefault="0011314E" w:rsidP="00595B07">
            <w:pPr>
              <w:spacing w:after="0" w:line="240" w:lineRule="auto"/>
              <w:rPr>
                <w:rFonts w:eastAsia="Calibri" w:cs="Times New Roman"/>
                <w:noProof/>
                <w:sz w:val="16"/>
                <w:szCs w:val="16"/>
              </w:rPr>
            </w:pPr>
            <w:r w:rsidRPr="00B44B19">
              <w:rPr>
                <w:rFonts w:eastAsia="Calibri" w:cs="Times New Roman"/>
                <w:noProof/>
                <w:sz w:val="16"/>
                <w:szCs w:val="16"/>
              </w:rPr>
              <w:t>Asmenys</w:t>
            </w:r>
          </w:p>
        </w:tc>
        <w:tc>
          <w:tcPr>
            <w:tcW w:w="503" w:type="pct"/>
          </w:tcPr>
          <w:p w14:paraId="69CCD059" w14:textId="77777777" w:rsidR="0011314E" w:rsidRPr="00B44B19" w:rsidRDefault="0011314E" w:rsidP="00A76D71">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7161D84C" w14:textId="77777777" w:rsidR="0011314E" w:rsidRPr="00B44B19" w:rsidRDefault="0011314E" w:rsidP="00D632AD">
            <w:pPr>
              <w:spacing w:after="0" w:line="240" w:lineRule="auto"/>
              <w:jc w:val="center"/>
              <w:rPr>
                <w:rFonts w:cs="Times New Roman"/>
                <w:noProof/>
                <w:sz w:val="16"/>
                <w:szCs w:val="16"/>
              </w:rPr>
            </w:pPr>
            <w:r w:rsidRPr="00B44B19">
              <w:rPr>
                <w:rFonts w:cs="Times New Roman"/>
                <w:noProof/>
                <w:sz w:val="16"/>
                <w:szCs w:val="16"/>
              </w:rPr>
              <w:t>204 025</w:t>
            </w:r>
          </w:p>
        </w:tc>
      </w:tr>
      <w:tr w:rsidR="0011314E" w:rsidRPr="00B44B19" w14:paraId="19E51717" w14:textId="77777777" w:rsidTr="00595B07">
        <w:trPr>
          <w:trHeight w:val="332"/>
        </w:trPr>
        <w:tc>
          <w:tcPr>
            <w:tcW w:w="566" w:type="pct"/>
            <w:vMerge/>
          </w:tcPr>
          <w:p w14:paraId="77DA1C36"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05793DC1"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1742CB97"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7889155A"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3E05120F"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RCO74</w:t>
            </w:r>
          </w:p>
        </w:tc>
        <w:tc>
          <w:tcPr>
            <w:tcW w:w="796" w:type="pct"/>
          </w:tcPr>
          <w:p w14:paraId="6392A6BC" w14:textId="77777777" w:rsidR="0011314E" w:rsidRPr="00B44B19"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B44B19">
              <w:rPr>
                <w:rFonts w:eastAsia="Calibri" w:cs="Times New Roman"/>
                <w:noProof/>
                <w:sz w:val="16"/>
                <w:szCs w:val="16"/>
                <w:lang w:eastAsia="lt-LT" w:bidi="lt-LT"/>
              </w:rPr>
              <w:t>Gyventojai, kuriems taikomi projektai, vykdomi pagal integruotas teritorinio vystymo programas</w:t>
            </w:r>
          </w:p>
        </w:tc>
        <w:tc>
          <w:tcPr>
            <w:tcW w:w="647" w:type="pct"/>
          </w:tcPr>
          <w:p w14:paraId="0C13599C" w14:textId="77777777" w:rsidR="0011314E" w:rsidRPr="00B44B19" w:rsidRDefault="0011314E" w:rsidP="00595B07">
            <w:pPr>
              <w:spacing w:after="0" w:line="240" w:lineRule="auto"/>
              <w:rPr>
                <w:rFonts w:eastAsia="Calibri" w:cs="Times New Roman"/>
                <w:noProof/>
                <w:sz w:val="16"/>
                <w:szCs w:val="16"/>
              </w:rPr>
            </w:pPr>
            <w:r w:rsidRPr="00B44B19">
              <w:rPr>
                <w:rFonts w:eastAsia="Calibri" w:cs="Times New Roman"/>
                <w:noProof/>
                <w:sz w:val="16"/>
                <w:szCs w:val="16"/>
              </w:rPr>
              <w:t>Asmenys</w:t>
            </w:r>
          </w:p>
        </w:tc>
        <w:tc>
          <w:tcPr>
            <w:tcW w:w="503" w:type="pct"/>
          </w:tcPr>
          <w:p w14:paraId="5D616AF2" w14:textId="77777777" w:rsidR="0011314E" w:rsidRPr="00B44B19" w:rsidRDefault="0011314E" w:rsidP="00A76D71">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7D50A55F" w14:textId="77777777" w:rsidR="0011314E" w:rsidRPr="00B44B19" w:rsidRDefault="0011314E" w:rsidP="00D632AD">
            <w:pPr>
              <w:spacing w:after="0" w:line="240" w:lineRule="auto"/>
              <w:jc w:val="center"/>
              <w:rPr>
                <w:rFonts w:cs="Times New Roman"/>
                <w:noProof/>
                <w:sz w:val="16"/>
                <w:szCs w:val="16"/>
              </w:rPr>
            </w:pPr>
            <w:r w:rsidRPr="00B44B19">
              <w:rPr>
                <w:rFonts w:cs="Times New Roman"/>
                <w:noProof/>
                <w:sz w:val="16"/>
                <w:szCs w:val="16"/>
              </w:rPr>
              <w:t>189 906</w:t>
            </w:r>
          </w:p>
        </w:tc>
      </w:tr>
      <w:tr w:rsidR="0011314E" w:rsidRPr="00B44B19" w14:paraId="5DC518E2" w14:textId="77777777" w:rsidTr="00595B07">
        <w:trPr>
          <w:trHeight w:val="332"/>
        </w:trPr>
        <w:tc>
          <w:tcPr>
            <w:tcW w:w="566" w:type="pct"/>
            <w:vMerge/>
          </w:tcPr>
          <w:p w14:paraId="04B37E4A"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75008172"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2F72E4D5"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65C180F0"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Sostinės regionas</w:t>
            </w:r>
          </w:p>
        </w:tc>
        <w:tc>
          <w:tcPr>
            <w:tcW w:w="643" w:type="pct"/>
          </w:tcPr>
          <w:p w14:paraId="4B7C74EB"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RCO75</w:t>
            </w:r>
          </w:p>
        </w:tc>
        <w:tc>
          <w:tcPr>
            <w:tcW w:w="796" w:type="pct"/>
          </w:tcPr>
          <w:p w14:paraId="009E2D46" w14:textId="77777777" w:rsidR="0011314E" w:rsidRPr="00B44B19"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B44B19">
              <w:rPr>
                <w:rFonts w:eastAsia="Calibri" w:cs="Times New Roman"/>
                <w:noProof/>
                <w:sz w:val="16"/>
                <w:szCs w:val="16"/>
                <w:lang w:eastAsia="lt-LT" w:bidi="lt-LT"/>
              </w:rPr>
              <w:t>Integruotos teritorinio vystymo strategijos, kurioms suteikta parama</w:t>
            </w:r>
          </w:p>
        </w:tc>
        <w:tc>
          <w:tcPr>
            <w:tcW w:w="647" w:type="pct"/>
          </w:tcPr>
          <w:p w14:paraId="4F3B77FF" w14:textId="77777777" w:rsidR="0011314E" w:rsidRPr="00B44B19" w:rsidRDefault="0011314E" w:rsidP="00595B07">
            <w:pPr>
              <w:spacing w:after="0" w:line="240" w:lineRule="auto"/>
              <w:rPr>
                <w:rFonts w:eastAsia="Calibri" w:cs="Times New Roman"/>
                <w:noProof/>
                <w:sz w:val="16"/>
                <w:szCs w:val="16"/>
              </w:rPr>
            </w:pPr>
            <w:r w:rsidRPr="00B44B19">
              <w:rPr>
                <w:rFonts w:eastAsia="Calibri" w:cs="Times New Roman"/>
                <w:noProof/>
                <w:sz w:val="16"/>
                <w:szCs w:val="16"/>
              </w:rPr>
              <w:t>Indėlis į strategijas</w:t>
            </w:r>
          </w:p>
        </w:tc>
        <w:tc>
          <w:tcPr>
            <w:tcW w:w="503" w:type="pct"/>
          </w:tcPr>
          <w:p w14:paraId="377759DD" w14:textId="77777777" w:rsidR="0011314E" w:rsidRPr="00B44B19" w:rsidRDefault="0011314E" w:rsidP="00A76D71">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78BF4B9F" w14:textId="77777777" w:rsidR="0011314E" w:rsidRPr="00B44B19" w:rsidRDefault="0011314E" w:rsidP="00D632AD">
            <w:pPr>
              <w:spacing w:after="0" w:line="240" w:lineRule="auto"/>
              <w:jc w:val="center"/>
              <w:rPr>
                <w:rFonts w:cs="Times New Roman"/>
                <w:noProof/>
                <w:sz w:val="16"/>
                <w:szCs w:val="16"/>
              </w:rPr>
            </w:pPr>
            <w:r w:rsidRPr="00B44B19">
              <w:rPr>
                <w:rFonts w:cs="Times New Roman"/>
                <w:noProof/>
                <w:sz w:val="16"/>
                <w:szCs w:val="16"/>
              </w:rPr>
              <w:t>1</w:t>
            </w:r>
          </w:p>
        </w:tc>
      </w:tr>
      <w:tr w:rsidR="0011314E" w:rsidRPr="00B44B19" w14:paraId="28E4B195" w14:textId="77777777" w:rsidTr="00595B07">
        <w:trPr>
          <w:trHeight w:val="332"/>
        </w:trPr>
        <w:tc>
          <w:tcPr>
            <w:tcW w:w="566" w:type="pct"/>
            <w:vMerge/>
          </w:tcPr>
          <w:p w14:paraId="6D587555" w14:textId="77777777" w:rsidR="0011314E" w:rsidRPr="00B44B19" w:rsidDel="00B72784" w:rsidRDefault="0011314E" w:rsidP="00595B07">
            <w:pPr>
              <w:spacing w:after="0" w:line="240" w:lineRule="auto"/>
              <w:jc w:val="both"/>
              <w:rPr>
                <w:rFonts w:cs="Times New Roman"/>
                <w:noProof/>
                <w:sz w:val="16"/>
                <w:szCs w:val="16"/>
              </w:rPr>
            </w:pPr>
          </w:p>
        </w:tc>
        <w:tc>
          <w:tcPr>
            <w:tcW w:w="502" w:type="pct"/>
            <w:vMerge/>
          </w:tcPr>
          <w:p w14:paraId="759A38E9" w14:textId="77777777" w:rsidR="0011314E" w:rsidRPr="00B44B19" w:rsidDel="00B72784" w:rsidRDefault="0011314E" w:rsidP="00595B07">
            <w:pPr>
              <w:spacing w:after="0" w:line="240" w:lineRule="auto"/>
              <w:jc w:val="both"/>
              <w:rPr>
                <w:rFonts w:cs="Times New Roman"/>
                <w:noProof/>
                <w:sz w:val="16"/>
                <w:szCs w:val="16"/>
              </w:rPr>
            </w:pPr>
          </w:p>
        </w:tc>
        <w:tc>
          <w:tcPr>
            <w:tcW w:w="365" w:type="pct"/>
            <w:vMerge/>
          </w:tcPr>
          <w:p w14:paraId="38862660" w14:textId="77777777" w:rsidR="0011314E" w:rsidRPr="00B44B19" w:rsidDel="00B72784" w:rsidRDefault="0011314E" w:rsidP="00595B07">
            <w:pPr>
              <w:spacing w:after="0" w:line="240" w:lineRule="auto"/>
              <w:jc w:val="both"/>
              <w:rPr>
                <w:rFonts w:cs="Times New Roman"/>
                <w:noProof/>
                <w:sz w:val="16"/>
                <w:szCs w:val="16"/>
              </w:rPr>
            </w:pPr>
          </w:p>
        </w:tc>
        <w:tc>
          <w:tcPr>
            <w:tcW w:w="498" w:type="pct"/>
          </w:tcPr>
          <w:p w14:paraId="0D7B01BA" w14:textId="77777777" w:rsidR="0011314E" w:rsidRPr="00B44B19" w:rsidRDefault="0011314E" w:rsidP="00595B07">
            <w:pPr>
              <w:spacing w:after="0" w:line="240" w:lineRule="auto"/>
              <w:rPr>
                <w:rFonts w:cs="Times New Roman"/>
                <w:noProof/>
                <w:sz w:val="16"/>
                <w:szCs w:val="16"/>
              </w:rPr>
            </w:pPr>
            <w:r w:rsidRPr="00B44B19">
              <w:rPr>
                <w:rFonts w:cs="Times New Roman"/>
                <w:noProof/>
                <w:sz w:val="16"/>
                <w:szCs w:val="16"/>
              </w:rPr>
              <w:t>VVL regionas</w:t>
            </w:r>
          </w:p>
        </w:tc>
        <w:tc>
          <w:tcPr>
            <w:tcW w:w="643" w:type="pct"/>
          </w:tcPr>
          <w:p w14:paraId="42FDEFAC" w14:textId="77777777" w:rsidR="0011314E" w:rsidRPr="00B44B19" w:rsidRDefault="0011314E" w:rsidP="00595B07">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RCO75</w:t>
            </w:r>
          </w:p>
        </w:tc>
        <w:tc>
          <w:tcPr>
            <w:tcW w:w="796" w:type="pct"/>
          </w:tcPr>
          <w:p w14:paraId="22E06EAE" w14:textId="77777777" w:rsidR="0011314E" w:rsidRPr="00B44B19" w:rsidRDefault="0011314E" w:rsidP="00595B07">
            <w:pPr>
              <w:tabs>
                <w:tab w:val="left" w:pos="315"/>
                <w:tab w:val="left" w:pos="457"/>
              </w:tabs>
              <w:spacing w:after="0" w:line="240" w:lineRule="auto"/>
              <w:contextualSpacing/>
              <w:rPr>
                <w:rFonts w:eastAsia="Calibri" w:cs="Times New Roman"/>
                <w:noProof/>
                <w:sz w:val="16"/>
                <w:szCs w:val="16"/>
                <w:lang w:eastAsia="lt-LT" w:bidi="lt-LT"/>
              </w:rPr>
            </w:pPr>
            <w:r w:rsidRPr="00B44B19">
              <w:rPr>
                <w:rFonts w:eastAsia="Calibri" w:cs="Times New Roman"/>
                <w:noProof/>
                <w:sz w:val="16"/>
                <w:szCs w:val="16"/>
                <w:lang w:eastAsia="lt-LT" w:bidi="lt-LT"/>
              </w:rPr>
              <w:t>Integruotos teritorinio vystymo strategijos, kurioms suteikta parama</w:t>
            </w:r>
          </w:p>
        </w:tc>
        <w:tc>
          <w:tcPr>
            <w:tcW w:w="647" w:type="pct"/>
          </w:tcPr>
          <w:p w14:paraId="1702D0D8" w14:textId="77777777" w:rsidR="0011314E" w:rsidRPr="00B44B19" w:rsidRDefault="0011314E" w:rsidP="00595B07">
            <w:pPr>
              <w:spacing w:after="0" w:line="240" w:lineRule="auto"/>
              <w:rPr>
                <w:rFonts w:eastAsia="Calibri" w:cs="Times New Roman"/>
                <w:noProof/>
                <w:sz w:val="16"/>
                <w:szCs w:val="16"/>
              </w:rPr>
            </w:pPr>
            <w:r w:rsidRPr="00B44B19">
              <w:rPr>
                <w:rFonts w:eastAsia="Calibri" w:cs="Times New Roman"/>
                <w:noProof/>
                <w:sz w:val="16"/>
                <w:szCs w:val="16"/>
              </w:rPr>
              <w:t>Indėlis į strategijas</w:t>
            </w:r>
          </w:p>
        </w:tc>
        <w:tc>
          <w:tcPr>
            <w:tcW w:w="503" w:type="pct"/>
          </w:tcPr>
          <w:p w14:paraId="6212BAD2" w14:textId="77777777" w:rsidR="0011314E" w:rsidRPr="00B44B19" w:rsidRDefault="0011314E" w:rsidP="00A76D71">
            <w:pPr>
              <w:spacing w:after="0" w:line="240" w:lineRule="auto"/>
              <w:jc w:val="center"/>
              <w:rPr>
                <w:rFonts w:cs="Times New Roman"/>
                <w:noProof/>
                <w:sz w:val="16"/>
                <w:szCs w:val="16"/>
              </w:rPr>
            </w:pPr>
            <w:r w:rsidRPr="00B44B19">
              <w:rPr>
                <w:rFonts w:cs="Times New Roman"/>
                <w:noProof/>
                <w:sz w:val="16"/>
                <w:szCs w:val="16"/>
              </w:rPr>
              <w:t>0</w:t>
            </w:r>
          </w:p>
        </w:tc>
        <w:tc>
          <w:tcPr>
            <w:tcW w:w="480" w:type="pct"/>
          </w:tcPr>
          <w:p w14:paraId="0395E7A7" w14:textId="77777777" w:rsidR="0011314E" w:rsidRPr="00B44B19" w:rsidRDefault="0011314E" w:rsidP="00D632AD">
            <w:pPr>
              <w:spacing w:after="0" w:line="240" w:lineRule="auto"/>
              <w:jc w:val="center"/>
              <w:rPr>
                <w:rFonts w:cs="Times New Roman"/>
                <w:noProof/>
                <w:sz w:val="16"/>
                <w:szCs w:val="16"/>
              </w:rPr>
            </w:pPr>
            <w:r w:rsidRPr="00B44B19">
              <w:rPr>
                <w:rFonts w:cs="Times New Roman"/>
                <w:noProof/>
                <w:sz w:val="16"/>
                <w:szCs w:val="16"/>
              </w:rPr>
              <w:t>2</w:t>
            </w:r>
          </w:p>
        </w:tc>
      </w:tr>
    </w:tbl>
    <w:p w14:paraId="687D78A5" w14:textId="77777777" w:rsidR="00933628" w:rsidRPr="00B44B19" w:rsidRDefault="00933628" w:rsidP="00933628">
      <w:pPr>
        <w:spacing w:before="120" w:after="120" w:line="240" w:lineRule="auto"/>
        <w:jc w:val="both"/>
        <w:rPr>
          <w:rFonts w:eastAsia="Calibri" w:cs="Times New Roman"/>
          <w:b/>
          <w:noProof/>
          <w:szCs w:val="20"/>
          <w:lang w:eastAsia="lt-LT" w:bidi="lt-LT"/>
        </w:rPr>
      </w:pPr>
    </w:p>
    <w:p w14:paraId="308A31C7" w14:textId="77777777" w:rsidR="00CB51A9" w:rsidRPr="00B44B19" w:rsidRDefault="00CB51A9" w:rsidP="00CB51A9">
      <w:pPr>
        <w:spacing w:after="0" w:line="240" w:lineRule="auto"/>
        <w:rPr>
          <w:rFonts w:cs="Times New Roman"/>
          <w:b/>
          <w:sz w:val="20"/>
          <w:szCs w:val="24"/>
        </w:rPr>
        <w:sectPr w:rsidR="00CB51A9" w:rsidRPr="00B44B19" w:rsidSect="00931C78">
          <w:pgSz w:w="11906" w:h="16838"/>
          <w:pgMar w:top="1276" w:right="567" w:bottom="1134" w:left="1701" w:header="567" w:footer="567" w:gutter="0"/>
          <w:cols w:space="1296"/>
          <w:docGrid w:linePitch="360"/>
        </w:sectPr>
      </w:pPr>
    </w:p>
    <w:p w14:paraId="40A45EFB" w14:textId="77777777" w:rsidR="00595B07" w:rsidRPr="00B44B19" w:rsidRDefault="00933628" w:rsidP="00CB51A9">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5"/>
        <w:gridCol w:w="835"/>
        <w:gridCol w:w="1115"/>
        <w:gridCol w:w="1257"/>
        <w:gridCol w:w="3344"/>
        <w:gridCol w:w="975"/>
        <w:gridCol w:w="975"/>
        <w:gridCol w:w="1115"/>
        <w:gridCol w:w="975"/>
        <w:gridCol w:w="975"/>
        <w:gridCol w:w="1240"/>
      </w:tblGrid>
      <w:tr w:rsidR="00595B07" w:rsidRPr="00B44B19" w14:paraId="3326E1BC" w14:textId="77777777" w:rsidTr="00595B07">
        <w:trPr>
          <w:trHeight w:val="1155"/>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DCAC28"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C566BA"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2D281"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Fondas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5245AC"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47DB2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AE86BC"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73BCE8"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22C541"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F63890"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E4C00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Siek</w:t>
            </w:r>
            <w:r w:rsidR="0009483A"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A6E272"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4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4A0175" w14:textId="77777777" w:rsidR="00595B07" w:rsidRPr="00B44B19" w:rsidRDefault="00595B07" w:rsidP="00595B07">
            <w:pPr>
              <w:spacing w:after="0" w:line="240" w:lineRule="auto"/>
              <w:jc w:val="center"/>
              <w:rPr>
                <w:rFonts w:cs="Times New Roman"/>
                <w:b/>
                <w:noProof/>
                <w:sz w:val="16"/>
                <w:szCs w:val="16"/>
              </w:rPr>
            </w:pPr>
            <w:r w:rsidRPr="00B44B19">
              <w:rPr>
                <w:rFonts w:cs="Times New Roman"/>
                <w:b/>
                <w:noProof/>
                <w:sz w:val="16"/>
                <w:szCs w:val="16"/>
              </w:rPr>
              <w:t>Pastabos</w:t>
            </w:r>
          </w:p>
        </w:tc>
      </w:tr>
      <w:tr w:rsidR="00595B07" w:rsidRPr="00B44B19" w14:paraId="3597C716" w14:textId="77777777" w:rsidTr="00595B07">
        <w:trPr>
          <w:trHeight w:val="392"/>
        </w:trPr>
        <w:tc>
          <w:tcPr>
            <w:tcW w:w="364" w:type="pct"/>
            <w:vMerge w:val="restart"/>
            <w:tcBorders>
              <w:top w:val="single" w:sz="12" w:space="0" w:color="auto"/>
            </w:tcBorders>
          </w:tcPr>
          <w:p w14:paraId="75AEC96D"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4. Socialiai atsakingesnė Lietuva</w:t>
            </w:r>
          </w:p>
        </w:tc>
        <w:tc>
          <w:tcPr>
            <w:tcW w:w="328" w:type="pct"/>
            <w:vMerge w:val="restart"/>
            <w:tcBorders>
              <w:top w:val="single" w:sz="12" w:space="0" w:color="auto"/>
            </w:tcBorders>
          </w:tcPr>
          <w:p w14:paraId="4D725C86"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4.9.</w:t>
            </w:r>
          </w:p>
        </w:tc>
        <w:tc>
          <w:tcPr>
            <w:tcW w:w="281" w:type="pct"/>
            <w:vMerge w:val="restart"/>
            <w:tcBorders>
              <w:top w:val="single" w:sz="12" w:space="0" w:color="auto"/>
            </w:tcBorders>
          </w:tcPr>
          <w:p w14:paraId="37545952"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ERPF</w:t>
            </w:r>
          </w:p>
        </w:tc>
        <w:tc>
          <w:tcPr>
            <w:tcW w:w="375" w:type="pct"/>
            <w:tcBorders>
              <w:top w:val="single" w:sz="12" w:space="0" w:color="auto"/>
            </w:tcBorders>
          </w:tcPr>
          <w:p w14:paraId="39F3740F"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3" w:type="pct"/>
            <w:tcBorders>
              <w:top w:val="single" w:sz="12" w:space="0" w:color="auto"/>
            </w:tcBorders>
          </w:tcPr>
          <w:p w14:paraId="4BB8320C"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RCR67</w:t>
            </w:r>
          </w:p>
        </w:tc>
        <w:tc>
          <w:tcPr>
            <w:tcW w:w="1125" w:type="pct"/>
            <w:tcBorders>
              <w:top w:val="single" w:sz="12" w:space="0" w:color="auto"/>
            </w:tcBorders>
          </w:tcPr>
          <w:p w14:paraId="7464E4F3" w14:textId="77777777" w:rsidR="00595B07" w:rsidRPr="00B44B19"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Naujų arba modernizuotų socialinių būstų naudotojų skaičius per metus</w:t>
            </w:r>
          </w:p>
        </w:tc>
        <w:tc>
          <w:tcPr>
            <w:tcW w:w="328" w:type="pct"/>
            <w:tcBorders>
              <w:top w:val="single" w:sz="12" w:space="0" w:color="auto"/>
            </w:tcBorders>
          </w:tcPr>
          <w:p w14:paraId="5DB04260" w14:textId="77777777" w:rsidR="00595B07" w:rsidRPr="00B44B19" w:rsidRDefault="009C7378" w:rsidP="00595B07">
            <w:pPr>
              <w:spacing w:after="0" w:line="240" w:lineRule="auto"/>
              <w:jc w:val="both"/>
              <w:rPr>
                <w:rFonts w:cs="Times New Roman"/>
                <w:b/>
                <w:noProof/>
                <w:sz w:val="16"/>
                <w:szCs w:val="16"/>
              </w:rPr>
            </w:pPr>
            <w:r w:rsidRPr="00B44B19">
              <w:rPr>
                <w:rFonts w:eastAsia="Calibri" w:cs="Times New Roman"/>
                <w:noProof/>
                <w:sz w:val="16"/>
                <w:szCs w:val="16"/>
              </w:rPr>
              <w:t>Naudotojai per metus</w:t>
            </w:r>
          </w:p>
        </w:tc>
        <w:tc>
          <w:tcPr>
            <w:tcW w:w="328" w:type="pct"/>
            <w:tcBorders>
              <w:top w:val="single" w:sz="12" w:space="0" w:color="auto"/>
            </w:tcBorders>
          </w:tcPr>
          <w:p w14:paraId="4DEF3FB4"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Borders>
              <w:top w:val="single" w:sz="12" w:space="0" w:color="auto"/>
            </w:tcBorders>
          </w:tcPr>
          <w:p w14:paraId="6E6BCCA1"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2021</w:t>
            </w:r>
          </w:p>
        </w:tc>
        <w:tc>
          <w:tcPr>
            <w:tcW w:w="328" w:type="pct"/>
            <w:tcBorders>
              <w:top w:val="single" w:sz="12" w:space="0" w:color="auto"/>
            </w:tcBorders>
          </w:tcPr>
          <w:p w14:paraId="38964070" w14:textId="77777777" w:rsidR="00595B07" w:rsidRPr="00B44B19" w:rsidRDefault="006F0AB1" w:rsidP="00595B07">
            <w:pPr>
              <w:spacing w:after="0" w:line="240" w:lineRule="auto"/>
              <w:jc w:val="center"/>
              <w:rPr>
                <w:rFonts w:cs="Times New Roman"/>
                <w:noProof/>
                <w:sz w:val="16"/>
                <w:szCs w:val="16"/>
              </w:rPr>
            </w:pPr>
            <w:r w:rsidRPr="00B44B19">
              <w:rPr>
                <w:rFonts w:cs="Times New Roman"/>
                <w:noProof/>
                <w:sz w:val="16"/>
                <w:szCs w:val="16"/>
              </w:rPr>
              <w:t>41</w:t>
            </w:r>
            <w:r w:rsidR="00A044D2" w:rsidRPr="00B44B19">
              <w:rPr>
                <w:rFonts w:cs="Times New Roman"/>
                <w:noProof/>
                <w:sz w:val="16"/>
                <w:szCs w:val="16"/>
              </w:rPr>
              <w:t>1</w:t>
            </w:r>
          </w:p>
        </w:tc>
        <w:tc>
          <w:tcPr>
            <w:tcW w:w="328" w:type="pct"/>
            <w:tcBorders>
              <w:top w:val="single" w:sz="12" w:space="0" w:color="auto"/>
            </w:tcBorders>
          </w:tcPr>
          <w:p w14:paraId="7732DD94"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Projektų duomenys</w:t>
            </w:r>
          </w:p>
        </w:tc>
        <w:tc>
          <w:tcPr>
            <w:tcW w:w="417" w:type="pct"/>
            <w:tcBorders>
              <w:top w:val="single" w:sz="12" w:space="0" w:color="auto"/>
            </w:tcBorders>
          </w:tcPr>
          <w:p w14:paraId="756B6F3F"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0DF21269" w14:textId="77777777" w:rsidTr="00595B07">
        <w:trPr>
          <w:trHeight w:val="418"/>
        </w:trPr>
        <w:tc>
          <w:tcPr>
            <w:tcW w:w="364" w:type="pct"/>
            <w:vMerge/>
          </w:tcPr>
          <w:p w14:paraId="1ABD72EF" w14:textId="77777777" w:rsidR="00595B07" w:rsidRPr="00B44B19" w:rsidRDefault="00595B07" w:rsidP="00595B07">
            <w:pPr>
              <w:spacing w:after="0" w:line="240" w:lineRule="auto"/>
              <w:jc w:val="both"/>
              <w:rPr>
                <w:rFonts w:cs="Times New Roman"/>
                <w:noProof/>
                <w:sz w:val="16"/>
                <w:szCs w:val="16"/>
              </w:rPr>
            </w:pPr>
          </w:p>
        </w:tc>
        <w:tc>
          <w:tcPr>
            <w:tcW w:w="328" w:type="pct"/>
            <w:vMerge/>
          </w:tcPr>
          <w:p w14:paraId="70EEE96D" w14:textId="77777777" w:rsidR="00595B07" w:rsidRPr="00B44B19" w:rsidRDefault="00595B07" w:rsidP="00595B07">
            <w:pPr>
              <w:spacing w:after="0" w:line="240" w:lineRule="auto"/>
              <w:jc w:val="both"/>
              <w:rPr>
                <w:rFonts w:cs="Times New Roman"/>
                <w:noProof/>
                <w:sz w:val="16"/>
                <w:szCs w:val="16"/>
              </w:rPr>
            </w:pPr>
          </w:p>
        </w:tc>
        <w:tc>
          <w:tcPr>
            <w:tcW w:w="281" w:type="pct"/>
            <w:vMerge/>
          </w:tcPr>
          <w:p w14:paraId="187DFA0E" w14:textId="77777777" w:rsidR="00595B07" w:rsidRPr="00B44B19" w:rsidRDefault="00595B07" w:rsidP="00595B07">
            <w:pPr>
              <w:spacing w:after="0" w:line="240" w:lineRule="auto"/>
              <w:jc w:val="both"/>
              <w:rPr>
                <w:rFonts w:cs="Times New Roman"/>
                <w:noProof/>
                <w:sz w:val="16"/>
                <w:szCs w:val="16"/>
              </w:rPr>
            </w:pPr>
          </w:p>
        </w:tc>
        <w:tc>
          <w:tcPr>
            <w:tcW w:w="375" w:type="pct"/>
          </w:tcPr>
          <w:p w14:paraId="33EE9D84"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3" w:type="pct"/>
          </w:tcPr>
          <w:p w14:paraId="641D8DCB"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RCR67</w:t>
            </w:r>
          </w:p>
        </w:tc>
        <w:tc>
          <w:tcPr>
            <w:tcW w:w="1125" w:type="pct"/>
          </w:tcPr>
          <w:p w14:paraId="5CD59177" w14:textId="77777777" w:rsidR="00595B07" w:rsidRPr="00B44B19"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Naujų arba modernizuotų socialinių būstų naudotojų skaičius per metus</w:t>
            </w:r>
          </w:p>
        </w:tc>
        <w:tc>
          <w:tcPr>
            <w:tcW w:w="328" w:type="pct"/>
          </w:tcPr>
          <w:p w14:paraId="083A7194" w14:textId="77777777" w:rsidR="00595B07" w:rsidRPr="00B44B19" w:rsidRDefault="009C7378" w:rsidP="00595B07">
            <w:pPr>
              <w:spacing w:after="0" w:line="240" w:lineRule="auto"/>
              <w:jc w:val="both"/>
              <w:rPr>
                <w:rFonts w:cs="Times New Roman"/>
                <w:noProof/>
                <w:sz w:val="16"/>
                <w:szCs w:val="16"/>
              </w:rPr>
            </w:pPr>
            <w:r w:rsidRPr="00B44B19">
              <w:rPr>
                <w:rFonts w:eastAsia="Calibri" w:cs="Times New Roman"/>
                <w:noProof/>
                <w:sz w:val="16"/>
                <w:szCs w:val="16"/>
              </w:rPr>
              <w:t>Naudotojai per metus</w:t>
            </w:r>
          </w:p>
        </w:tc>
        <w:tc>
          <w:tcPr>
            <w:tcW w:w="328" w:type="pct"/>
          </w:tcPr>
          <w:p w14:paraId="4523EB18"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0DFED7A1"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04A30226" w14:textId="77777777" w:rsidR="00595B07" w:rsidRPr="00B44B19" w:rsidRDefault="006F0AB1" w:rsidP="00A044D2">
            <w:pPr>
              <w:spacing w:after="0" w:line="240" w:lineRule="auto"/>
              <w:jc w:val="center"/>
              <w:rPr>
                <w:rFonts w:cs="Times New Roman"/>
                <w:noProof/>
                <w:sz w:val="16"/>
                <w:szCs w:val="16"/>
              </w:rPr>
            </w:pPr>
            <w:r w:rsidRPr="00B44B19">
              <w:rPr>
                <w:rFonts w:cs="Times New Roman"/>
                <w:noProof/>
                <w:sz w:val="16"/>
                <w:szCs w:val="16"/>
              </w:rPr>
              <w:t xml:space="preserve">1 </w:t>
            </w:r>
            <w:r w:rsidR="00A044D2" w:rsidRPr="00B44B19">
              <w:rPr>
                <w:rFonts w:cs="Times New Roman"/>
                <w:noProof/>
                <w:sz w:val="16"/>
                <w:szCs w:val="16"/>
              </w:rPr>
              <w:t>649</w:t>
            </w:r>
          </w:p>
        </w:tc>
        <w:tc>
          <w:tcPr>
            <w:tcW w:w="328" w:type="pct"/>
          </w:tcPr>
          <w:p w14:paraId="7C962A4B" w14:textId="77777777" w:rsidR="00595B07" w:rsidRPr="00B44B19" w:rsidRDefault="00595B07" w:rsidP="00595B07">
            <w:pPr>
              <w:spacing w:after="0" w:line="240" w:lineRule="auto"/>
              <w:rPr>
                <w:rFonts w:cs="Times New Roman"/>
              </w:rPr>
            </w:pPr>
            <w:r w:rsidRPr="00B44B19">
              <w:rPr>
                <w:rFonts w:cs="Times New Roman"/>
                <w:noProof/>
                <w:sz w:val="16"/>
                <w:szCs w:val="16"/>
              </w:rPr>
              <w:t>Projektų duomenys</w:t>
            </w:r>
          </w:p>
        </w:tc>
        <w:tc>
          <w:tcPr>
            <w:tcW w:w="417" w:type="pct"/>
          </w:tcPr>
          <w:p w14:paraId="27E16BD2"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63B9EFEC" w14:textId="77777777" w:rsidTr="00595B07">
        <w:trPr>
          <w:trHeight w:val="547"/>
        </w:trPr>
        <w:tc>
          <w:tcPr>
            <w:tcW w:w="364" w:type="pct"/>
            <w:vMerge/>
          </w:tcPr>
          <w:p w14:paraId="1AB905B0" w14:textId="77777777" w:rsidR="00595B07" w:rsidRPr="00B44B19" w:rsidDel="00B72784" w:rsidRDefault="00595B07" w:rsidP="00595B07">
            <w:pPr>
              <w:spacing w:after="0" w:line="240" w:lineRule="auto"/>
              <w:jc w:val="both"/>
              <w:rPr>
                <w:rFonts w:cs="Times New Roman"/>
                <w:noProof/>
                <w:sz w:val="16"/>
                <w:szCs w:val="16"/>
              </w:rPr>
            </w:pPr>
          </w:p>
        </w:tc>
        <w:tc>
          <w:tcPr>
            <w:tcW w:w="328" w:type="pct"/>
            <w:vMerge/>
          </w:tcPr>
          <w:p w14:paraId="471BE59D" w14:textId="77777777" w:rsidR="00595B07" w:rsidRPr="00B44B19" w:rsidDel="00B72784" w:rsidRDefault="00595B07" w:rsidP="00595B07">
            <w:pPr>
              <w:spacing w:after="0" w:line="240" w:lineRule="auto"/>
              <w:jc w:val="both"/>
              <w:rPr>
                <w:rFonts w:cs="Times New Roman"/>
                <w:noProof/>
                <w:sz w:val="16"/>
                <w:szCs w:val="16"/>
              </w:rPr>
            </w:pPr>
          </w:p>
        </w:tc>
        <w:tc>
          <w:tcPr>
            <w:tcW w:w="281" w:type="pct"/>
            <w:vMerge/>
          </w:tcPr>
          <w:p w14:paraId="1444861D" w14:textId="77777777" w:rsidR="00595B07" w:rsidRPr="00B44B19" w:rsidDel="00B72784" w:rsidRDefault="00595B07" w:rsidP="00595B07">
            <w:pPr>
              <w:spacing w:after="0" w:line="240" w:lineRule="auto"/>
              <w:jc w:val="both"/>
              <w:rPr>
                <w:rFonts w:cs="Times New Roman"/>
                <w:noProof/>
                <w:sz w:val="16"/>
                <w:szCs w:val="16"/>
              </w:rPr>
            </w:pPr>
          </w:p>
        </w:tc>
        <w:tc>
          <w:tcPr>
            <w:tcW w:w="375" w:type="pct"/>
          </w:tcPr>
          <w:p w14:paraId="23D9C45A"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3" w:type="pct"/>
          </w:tcPr>
          <w:p w14:paraId="744E84E9"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034DE525" w14:textId="77777777" w:rsidR="00595B07" w:rsidRPr="00B44B19" w:rsidDel="00B72784"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sz w:val="16"/>
                <w:szCs w:val="16"/>
                <w:lang w:eastAsia="lt-LT" w:bidi="lt-LT"/>
              </w:rPr>
              <w:t>Asmenų, turinčių intelekto ir (ar) psichikos negalią</w:t>
            </w:r>
            <w:r w:rsidRPr="00B44B19">
              <w:rPr>
                <w:rFonts w:eastAsia="Calibri" w:cs="Times New Roman"/>
                <w:noProof/>
                <w:sz w:val="16"/>
                <w:szCs w:val="16"/>
                <w:lang w:eastAsia="lt-LT" w:bidi="lt-LT"/>
              </w:rPr>
              <w:t>, gavusių paslaugas naujoje ar modernizuotoje infrastruktūroje skaičius per metus</w:t>
            </w:r>
          </w:p>
        </w:tc>
        <w:tc>
          <w:tcPr>
            <w:tcW w:w="328" w:type="pct"/>
          </w:tcPr>
          <w:p w14:paraId="5E5C71B7" w14:textId="77777777" w:rsidR="00595B07" w:rsidRPr="00B44B19" w:rsidDel="00B72784" w:rsidRDefault="00595B07" w:rsidP="00595B07">
            <w:pPr>
              <w:spacing w:after="0" w:line="240" w:lineRule="auto"/>
              <w:jc w:val="both"/>
              <w:rPr>
                <w:rFonts w:cs="Times New Roman"/>
                <w:noProof/>
                <w:sz w:val="16"/>
                <w:szCs w:val="16"/>
              </w:rPr>
            </w:pPr>
            <w:r w:rsidRPr="00B44B19">
              <w:rPr>
                <w:rFonts w:eastAsia="Calibri" w:cs="Times New Roman"/>
                <w:noProof/>
                <w:sz w:val="16"/>
                <w:szCs w:val="16"/>
              </w:rPr>
              <w:t>Asmenys</w:t>
            </w:r>
            <w:r w:rsidR="00D20003" w:rsidRPr="00B44B19">
              <w:rPr>
                <w:rFonts w:eastAsia="Calibri" w:cs="Times New Roman"/>
                <w:noProof/>
                <w:sz w:val="16"/>
                <w:szCs w:val="16"/>
              </w:rPr>
              <w:t xml:space="preserve"> per metus</w:t>
            </w:r>
          </w:p>
        </w:tc>
        <w:tc>
          <w:tcPr>
            <w:tcW w:w="328" w:type="pct"/>
          </w:tcPr>
          <w:p w14:paraId="1B8358F2"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18F7EFC4"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w:t>
            </w:r>
            <w:r w:rsidR="00993C1C" w:rsidRPr="00B44B19">
              <w:rPr>
                <w:rFonts w:cs="Times New Roman"/>
                <w:noProof/>
                <w:sz w:val="16"/>
                <w:szCs w:val="16"/>
              </w:rPr>
              <w:t>1</w:t>
            </w:r>
          </w:p>
        </w:tc>
        <w:tc>
          <w:tcPr>
            <w:tcW w:w="328" w:type="pct"/>
          </w:tcPr>
          <w:p w14:paraId="7AB6005A" w14:textId="77777777" w:rsidR="00595B07" w:rsidRPr="00B44B19" w:rsidRDefault="00A044D2" w:rsidP="00A044D2">
            <w:pPr>
              <w:spacing w:after="0" w:line="240" w:lineRule="auto"/>
              <w:jc w:val="center"/>
              <w:rPr>
                <w:rFonts w:cs="Times New Roman"/>
                <w:noProof/>
                <w:sz w:val="16"/>
                <w:szCs w:val="16"/>
              </w:rPr>
            </w:pPr>
            <w:r w:rsidRPr="00B44B19">
              <w:rPr>
                <w:rFonts w:cs="Times New Roman"/>
                <w:noProof/>
                <w:sz w:val="16"/>
                <w:szCs w:val="16"/>
              </w:rPr>
              <w:t>447</w:t>
            </w:r>
          </w:p>
        </w:tc>
        <w:tc>
          <w:tcPr>
            <w:tcW w:w="328" w:type="pct"/>
          </w:tcPr>
          <w:p w14:paraId="333867D8" w14:textId="77777777" w:rsidR="00595B07" w:rsidRPr="00B44B19" w:rsidRDefault="00595B07" w:rsidP="00595B07">
            <w:pPr>
              <w:spacing w:after="0" w:line="240" w:lineRule="auto"/>
              <w:rPr>
                <w:rFonts w:cs="Times New Roman"/>
              </w:rPr>
            </w:pPr>
            <w:r w:rsidRPr="00B44B19">
              <w:rPr>
                <w:rFonts w:cs="Times New Roman"/>
                <w:noProof/>
                <w:sz w:val="16"/>
                <w:szCs w:val="16"/>
              </w:rPr>
              <w:t>Projektų duomenys</w:t>
            </w:r>
          </w:p>
        </w:tc>
        <w:tc>
          <w:tcPr>
            <w:tcW w:w="417" w:type="pct"/>
          </w:tcPr>
          <w:p w14:paraId="15F499B8"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462F93F5" w14:textId="77777777" w:rsidTr="00595B07">
        <w:trPr>
          <w:trHeight w:val="547"/>
        </w:trPr>
        <w:tc>
          <w:tcPr>
            <w:tcW w:w="364" w:type="pct"/>
            <w:vMerge/>
          </w:tcPr>
          <w:p w14:paraId="6F3626E5" w14:textId="77777777" w:rsidR="00595B07" w:rsidRPr="00B44B19" w:rsidDel="00B72784" w:rsidRDefault="00595B07" w:rsidP="00595B07">
            <w:pPr>
              <w:spacing w:after="0" w:line="240" w:lineRule="auto"/>
              <w:jc w:val="both"/>
              <w:rPr>
                <w:rFonts w:cs="Times New Roman"/>
                <w:noProof/>
                <w:sz w:val="16"/>
                <w:szCs w:val="16"/>
              </w:rPr>
            </w:pPr>
          </w:p>
        </w:tc>
        <w:tc>
          <w:tcPr>
            <w:tcW w:w="328" w:type="pct"/>
            <w:vMerge/>
          </w:tcPr>
          <w:p w14:paraId="0B7F0A31" w14:textId="77777777" w:rsidR="00595B07" w:rsidRPr="00B44B19" w:rsidDel="00B72784" w:rsidRDefault="00595B07" w:rsidP="00595B07">
            <w:pPr>
              <w:spacing w:after="0" w:line="240" w:lineRule="auto"/>
              <w:jc w:val="both"/>
              <w:rPr>
                <w:rFonts w:cs="Times New Roman"/>
                <w:noProof/>
                <w:sz w:val="16"/>
                <w:szCs w:val="16"/>
              </w:rPr>
            </w:pPr>
          </w:p>
        </w:tc>
        <w:tc>
          <w:tcPr>
            <w:tcW w:w="281" w:type="pct"/>
            <w:vMerge/>
          </w:tcPr>
          <w:p w14:paraId="23B6BBF7" w14:textId="77777777" w:rsidR="00595B07" w:rsidRPr="00B44B19" w:rsidDel="00B72784" w:rsidRDefault="00595B07" w:rsidP="00595B07">
            <w:pPr>
              <w:spacing w:after="0" w:line="240" w:lineRule="auto"/>
              <w:jc w:val="both"/>
              <w:rPr>
                <w:rFonts w:cs="Times New Roman"/>
                <w:noProof/>
                <w:sz w:val="16"/>
                <w:szCs w:val="16"/>
              </w:rPr>
            </w:pPr>
          </w:p>
        </w:tc>
        <w:tc>
          <w:tcPr>
            <w:tcW w:w="375" w:type="pct"/>
          </w:tcPr>
          <w:p w14:paraId="3455B51E"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3" w:type="pct"/>
          </w:tcPr>
          <w:p w14:paraId="57121730"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6C107DBA" w14:textId="77777777" w:rsidR="00595B07" w:rsidRPr="00B44B19" w:rsidDel="00B72784"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sz w:val="16"/>
                <w:szCs w:val="16"/>
                <w:lang w:eastAsia="lt-LT" w:bidi="lt-LT"/>
              </w:rPr>
              <w:t xml:space="preserve">Asmenų, turinčių intelekto ir (ar) psichikos negalią, </w:t>
            </w:r>
            <w:r w:rsidRPr="00B44B19">
              <w:rPr>
                <w:rFonts w:eastAsia="Calibri" w:cs="Times New Roman"/>
                <w:noProof/>
                <w:sz w:val="16"/>
                <w:szCs w:val="16"/>
                <w:lang w:eastAsia="lt-LT" w:bidi="lt-LT"/>
              </w:rPr>
              <w:t>gavusių paslaugas naujoje ar modernizuotoje infrastruktūroje skaičius per metus</w:t>
            </w:r>
          </w:p>
        </w:tc>
        <w:tc>
          <w:tcPr>
            <w:tcW w:w="328" w:type="pct"/>
          </w:tcPr>
          <w:p w14:paraId="4FB43AFC" w14:textId="77777777" w:rsidR="00595B07" w:rsidRPr="00B44B19" w:rsidDel="00B72784" w:rsidRDefault="00595B07" w:rsidP="00595B07">
            <w:pPr>
              <w:spacing w:after="0" w:line="240" w:lineRule="auto"/>
              <w:jc w:val="both"/>
              <w:rPr>
                <w:rFonts w:cs="Times New Roman"/>
                <w:noProof/>
                <w:sz w:val="16"/>
                <w:szCs w:val="16"/>
              </w:rPr>
            </w:pPr>
            <w:r w:rsidRPr="00B44B19">
              <w:rPr>
                <w:rFonts w:eastAsia="Calibri" w:cs="Times New Roman"/>
                <w:noProof/>
                <w:sz w:val="16"/>
                <w:szCs w:val="16"/>
              </w:rPr>
              <w:t>Asmenys</w:t>
            </w:r>
            <w:r w:rsidR="00D20003" w:rsidRPr="00B44B19">
              <w:rPr>
                <w:rFonts w:eastAsia="Calibri" w:cs="Times New Roman"/>
                <w:noProof/>
                <w:sz w:val="16"/>
                <w:szCs w:val="16"/>
              </w:rPr>
              <w:t xml:space="preserve"> per metus</w:t>
            </w:r>
          </w:p>
        </w:tc>
        <w:tc>
          <w:tcPr>
            <w:tcW w:w="328" w:type="pct"/>
          </w:tcPr>
          <w:p w14:paraId="5047BD79"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6B3CA252"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w:t>
            </w:r>
            <w:r w:rsidR="00993C1C" w:rsidRPr="00B44B19">
              <w:rPr>
                <w:rFonts w:cs="Times New Roman"/>
                <w:noProof/>
                <w:sz w:val="16"/>
                <w:szCs w:val="16"/>
              </w:rPr>
              <w:t>1</w:t>
            </w:r>
          </w:p>
        </w:tc>
        <w:tc>
          <w:tcPr>
            <w:tcW w:w="328" w:type="pct"/>
          </w:tcPr>
          <w:p w14:paraId="102C1C0D" w14:textId="77777777" w:rsidR="00595B07" w:rsidRPr="00B44B19" w:rsidRDefault="004B40D9" w:rsidP="00A044D2">
            <w:pPr>
              <w:spacing w:after="0" w:line="240" w:lineRule="auto"/>
              <w:jc w:val="center"/>
              <w:rPr>
                <w:rFonts w:cs="Times New Roman"/>
                <w:noProof/>
                <w:sz w:val="16"/>
                <w:szCs w:val="16"/>
              </w:rPr>
            </w:pPr>
            <w:r w:rsidRPr="00B44B19">
              <w:rPr>
                <w:rFonts w:cs="Times New Roman"/>
                <w:noProof/>
                <w:sz w:val="16"/>
                <w:szCs w:val="16"/>
              </w:rPr>
              <w:t xml:space="preserve">2 </w:t>
            </w:r>
            <w:r w:rsidR="00A044D2" w:rsidRPr="00B44B19">
              <w:rPr>
                <w:rFonts w:cs="Times New Roman"/>
                <w:noProof/>
                <w:sz w:val="16"/>
                <w:szCs w:val="16"/>
              </w:rPr>
              <w:t>113</w:t>
            </w:r>
          </w:p>
        </w:tc>
        <w:tc>
          <w:tcPr>
            <w:tcW w:w="328" w:type="pct"/>
          </w:tcPr>
          <w:p w14:paraId="073CE6BC" w14:textId="77777777" w:rsidR="00595B07" w:rsidRPr="00B44B19" w:rsidRDefault="00595B07" w:rsidP="00595B07">
            <w:pPr>
              <w:spacing w:after="0" w:line="240" w:lineRule="auto"/>
              <w:rPr>
                <w:rFonts w:cs="Times New Roman"/>
              </w:rPr>
            </w:pPr>
            <w:r w:rsidRPr="00B44B19">
              <w:rPr>
                <w:rFonts w:cs="Times New Roman"/>
                <w:noProof/>
                <w:sz w:val="16"/>
                <w:szCs w:val="16"/>
              </w:rPr>
              <w:t>Projektų duomenys</w:t>
            </w:r>
          </w:p>
        </w:tc>
        <w:tc>
          <w:tcPr>
            <w:tcW w:w="417" w:type="pct"/>
          </w:tcPr>
          <w:p w14:paraId="466C5CC4"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02ECDDB1" w14:textId="77777777" w:rsidTr="00595B07">
        <w:trPr>
          <w:trHeight w:val="770"/>
        </w:trPr>
        <w:tc>
          <w:tcPr>
            <w:tcW w:w="364" w:type="pct"/>
            <w:vMerge/>
          </w:tcPr>
          <w:p w14:paraId="2A4C0628" w14:textId="77777777" w:rsidR="00595B07" w:rsidRPr="00B44B19" w:rsidDel="00B72784" w:rsidRDefault="00595B07" w:rsidP="00595B07">
            <w:pPr>
              <w:spacing w:after="0" w:line="240" w:lineRule="auto"/>
              <w:jc w:val="both"/>
              <w:rPr>
                <w:rFonts w:cs="Times New Roman"/>
                <w:noProof/>
                <w:sz w:val="16"/>
                <w:szCs w:val="16"/>
              </w:rPr>
            </w:pPr>
          </w:p>
        </w:tc>
        <w:tc>
          <w:tcPr>
            <w:tcW w:w="328" w:type="pct"/>
            <w:vMerge/>
          </w:tcPr>
          <w:p w14:paraId="4194F271" w14:textId="77777777" w:rsidR="00595B07" w:rsidRPr="00B44B19" w:rsidDel="00B72784" w:rsidRDefault="00595B07" w:rsidP="00595B07">
            <w:pPr>
              <w:spacing w:after="0" w:line="240" w:lineRule="auto"/>
              <w:jc w:val="both"/>
              <w:rPr>
                <w:rFonts w:cs="Times New Roman"/>
                <w:noProof/>
                <w:sz w:val="16"/>
                <w:szCs w:val="16"/>
              </w:rPr>
            </w:pPr>
          </w:p>
        </w:tc>
        <w:tc>
          <w:tcPr>
            <w:tcW w:w="281" w:type="pct"/>
            <w:vMerge/>
          </w:tcPr>
          <w:p w14:paraId="0A259E96" w14:textId="77777777" w:rsidR="00595B07" w:rsidRPr="00B44B19" w:rsidDel="00B72784" w:rsidRDefault="00595B07" w:rsidP="00595B07">
            <w:pPr>
              <w:spacing w:after="0" w:line="240" w:lineRule="auto"/>
              <w:jc w:val="both"/>
              <w:rPr>
                <w:rFonts w:cs="Times New Roman"/>
                <w:noProof/>
                <w:sz w:val="16"/>
                <w:szCs w:val="16"/>
              </w:rPr>
            </w:pPr>
          </w:p>
        </w:tc>
        <w:tc>
          <w:tcPr>
            <w:tcW w:w="375" w:type="pct"/>
          </w:tcPr>
          <w:p w14:paraId="6041A98C"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3" w:type="pct"/>
          </w:tcPr>
          <w:p w14:paraId="52123D85"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20CEF31B" w14:textId="77777777" w:rsidR="00595B07" w:rsidRPr="00B44B19" w:rsidDel="00B72784"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Asmenų, turinčių </w:t>
            </w:r>
            <w:r w:rsidRPr="00B44B19">
              <w:rPr>
                <w:rFonts w:eastAsia="Calibri" w:cs="Times New Roman"/>
                <w:sz w:val="16"/>
                <w:szCs w:val="16"/>
                <w:lang w:eastAsia="lt-LT" w:bidi="lt-LT"/>
              </w:rPr>
              <w:t>intelekto ir (ar) psichikos negalią</w:t>
            </w:r>
            <w:r w:rsidRPr="00B44B19">
              <w:rPr>
                <w:rFonts w:eastAsia="Calibri" w:cs="Times New Roman"/>
                <w:noProof/>
                <w:sz w:val="16"/>
                <w:szCs w:val="16"/>
                <w:lang w:eastAsia="lt-LT" w:bidi="lt-LT"/>
              </w:rPr>
              <w:t>, gyvenančių stacionariose socialinės globos įstaigose, mažėjimas</w:t>
            </w:r>
          </w:p>
        </w:tc>
        <w:tc>
          <w:tcPr>
            <w:tcW w:w="328" w:type="pct"/>
          </w:tcPr>
          <w:p w14:paraId="3E5119D7"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Asmenys</w:t>
            </w:r>
          </w:p>
        </w:tc>
        <w:tc>
          <w:tcPr>
            <w:tcW w:w="328" w:type="pct"/>
          </w:tcPr>
          <w:p w14:paraId="48592E70"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971</w:t>
            </w:r>
          </w:p>
        </w:tc>
        <w:tc>
          <w:tcPr>
            <w:tcW w:w="375" w:type="pct"/>
          </w:tcPr>
          <w:p w14:paraId="205756A8"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51A427F2"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320</w:t>
            </w:r>
          </w:p>
        </w:tc>
        <w:tc>
          <w:tcPr>
            <w:tcW w:w="328" w:type="pct"/>
          </w:tcPr>
          <w:p w14:paraId="219D629B" w14:textId="77777777" w:rsidR="00595B07" w:rsidRPr="00B44B19" w:rsidRDefault="00595B07" w:rsidP="00595B07">
            <w:pPr>
              <w:spacing w:after="0" w:line="240" w:lineRule="auto"/>
              <w:rPr>
                <w:rFonts w:cs="Times New Roman"/>
              </w:rPr>
            </w:pPr>
            <w:r w:rsidRPr="00B44B19">
              <w:rPr>
                <w:rFonts w:cs="Times New Roman"/>
                <w:noProof/>
                <w:sz w:val="16"/>
                <w:szCs w:val="16"/>
              </w:rPr>
              <w:t>Socialinės apsaugos ir darbo ministerijos duomenys</w:t>
            </w:r>
          </w:p>
        </w:tc>
        <w:tc>
          <w:tcPr>
            <w:tcW w:w="417" w:type="pct"/>
          </w:tcPr>
          <w:p w14:paraId="2DDC992B"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3634FF4B" w14:textId="77777777" w:rsidTr="00595B07">
        <w:trPr>
          <w:trHeight w:val="849"/>
        </w:trPr>
        <w:tc>
          <w:tcPr>
            <w:tcW w:w="364" w:type="pct"/>
            <w:vMerge/>
          </w:tcPr>
          <w:p w14:paraId="54018553" w14:textId="77777777" w:rsidR="00595B07" w:rsidRPr="00B44B19" w:rsidDel="00B72784" w:rsidRDefault="00595B07" w:rsidP="00595B07">
            <w:pPr>
              <w:spacing w:after="0" w:line="240" w:lineRule="auto"/>
              <w:jc w:val="both"/>
              <w:rPr>
                <w:rFonts w:cs="Times New Roman"/>
                <w:noProof/>
                <w:sz w:val="16"/>
                <w:szCs w:val="16"/>
              </w:rPr>
            </w:pPr>
          </w:p>
        </w:tc>
        <w:tc>
          <w:tcPr>
            <w:tcW w:w="328" w:type="pct"/>
            <w:vMerge/>
          </w:tcPr>
          <w:p w14:paraId="59649992" w14:textId="77777777" w:rsidR="00595B07" w:rsidRPr="00B44B19" w:rsidDel="00B72784" w:rsidRDefault="00595B07" w:rsidP="00595B07">
            <w:pPr>
              <w:spacing w:after="0" w:line="240" w:lineRule="auto"/>
              <w:jc w:val="both"/>
              <w:rPr>
                <w:rFonts w:cs="Times New Roman"/>
                <w:noProof/>
                <w:sz w:val="16"/>
                <w:szCs w:val="16"/>
              </w:rPr>
            </w:pPr>
          </w:p>
        </w:tc>
        <w:tc>
          <w:tcPr>
            <w:tcW w:w="281" w:type="pct"/>
            <w:vMerge/>
          </w:tcPr>
          <w:p w14:paraId="03644D69" w14:textId="77777777" w:rsidR="00595B07" w:rsidRPr="00B44B19" w:rsidDel="00B72784" w:rsidRDefault="00595B07" w:rsidP="00595B07">
            <w:pPr>
              <w:spacing w:after="0" w:line="240" w:lineRule="auto"/>
              <w:jc w:val="both"/>
              <w:rPr>
                <w:rFonts w:cs="Times New Roman"/>
                <w:noProof/>
                <w:sz w:val="16"/>
                <w:szCs w:val="16"/>
              </w:rPr>
            </w:pPr>
          </w:p>
        </w:tc>
        <w:tc>
          <w:tcPr>
            <w:tcW w:w="375" w:type="pct"/>
          </w:tcPr>
          <w:p w14:paraId="39FA60AE"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3" w:type="pct"/>
          </w:tcPr>
          <w:p w14:paraId="555BBB24"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3B273C4E" w14:textId="77777777" w:rsidR="00595B07" w:rsidRPr="00B44B19" w:rsidDel="00B72784"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Asmenų, turinčių </w:t>
            </w:r>
            <w:r w:rsidRPr="00B44B19">
              <w:rPr>
                <w:rFonts w:eastAsia="Calibri" w:cs="Times New Roman"/>
                <w:sz w:val="16"/>
                <w:szCs w:val="16"/>
                <w:lang w:eastAsia="lt-LT" w:bidi="lt-LT"/>
              </w:rPr>
              <w:t>intelekto ir (ar) psichikos negalią</w:t>
            </w:r>
            <w:r w:rsidRPr="00B44B19">
              <w:rPr>
                <w:rFonts w:eastAsia="Calibri" w:cs="Times New Roman"/>
                <w:noProof/>
                <w:sz w:val="16"/>
                <w:szCs w:val="16"/>
                <w:lang w:eastAsia="lt-LT" w:bidi="lt-LT"/>
              </w:rPr>
              <w:t>, gyvenančių stacionariose socialinės globos įstaigose, mažėjimas</w:t>
            </w:r>
          </w:p>
        </w:tc>
        <w:tc>
          <w:tcPr>
            <w:tcW w:w="328" w:type="pct"/>
          </w:tcPr>
          <w:p w14:paraId="6B414936"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Asmenys</w:t>
            </w:r>
          </w:p>
        </w:tc>
        <w:tc>
          <w:tcPr>
            <w:tcW w:w="328" w:type="pct"/>
          </w:tcPr>
          <w:p w14:paraId="42A28465"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5 296</w:t>
            </w:r>
          </w:p>
        </w:tc>
        <w:tc>
          <w:tcPr>
            <w:tcW w:w="375" w:type="pct"/>
          </w:tcPr>
          <w:p w14:paraId="6FBDE032"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624EBF45"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1 747</w:t>
            </w:r>
          </w:p>
        </w:tc>
        <w:tc>
          <w:tcPr>
            <w:tcW w:w="328" w:type="pct"/>
          </w:tcPr>
          <w:p w14:paraId="020CA37F" w14:textId="77777777" w:rsidR="00595B07" w:rsidRPr="00B44B19" w:rsidRDefault="00595B07" w:rsidP="00595B07">
            <w:pPr>
              <w:spacing w:after="0" w:line="240" w:lineRule="auto"/>
              <w:rPr>
                <w:rFonts w:cs="Times New Roman"/>
              </w:rPr>
            </w:pPr>
            <w:r w:rsidRPr="00B44B19">
              <w:rPr>
                <w:rFonts w:cs="Times New Roman"/>
                <w:noProof/>
                <w:sz w:val="16"/>
                <w:szCs w:val="16"/>
              </w:rPr>
              <w:t>Socialinės apsaugos ir darbo ministerijos duomenys</w:t>
            </w:r>
          </w:p>
        </w:tc>
        <w:tc>
          <w:tcPr>
            <w:tcW w:w="417" w:type="pct"/>
          </w:tcPr>
          <w:p w14:paraId="39E8E20E"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140BB756" w14:textId="77777777" w:rsidTr="00595B07">
        <w:trPr>
          <w:trHeight w:val="547"/>
        </w:trPr>
        <w:tc>
          <w:tcPr>
            <w:tcW w:w="364" w:type="pct"/>
            <w:vMerge/>
          </w:tcPr>
          <w:p w14:paraId="2A32A050" w14:textId="77777777" w:rsidR="00595B07" w:rsidRPr="00B44B19" w:rsidRDefault="00595B07" w:rsidP="00595B07">
            <w:pPr>
              <w:spacing w:after="0" w:line="240" w:lineRule="auto"/>
              <w:jc w:val="both"/>
              <w:rPr>
                <w:rFonts w:cs="Times New Roman"/>
                <w:noProof/>
                <w:sz w:val="16"/>
                <w:szCs w:val="16"/>
              </w:rPr>
            </w:pPr>
          </w:p>
        </w:tc>
        <w:tc>
          <w:tcPr>
            <w:tcW w:w="328" w:type="pct"/>
            <w:vMerge/>
          </w:tcPr>
          <w:p w14:paraId="733CDC26" w14:textId="77777777" w:rsidR="00595B07" w:rsidRPr="00B44B19" w:rsidRDefault="00595B07" w:rsidP="00595B07">
            <w:pPr>
              <w:spacing w:after="0" w:line="240" w:lineRule="auto"/>
              <w:jc w:val="both"/>
              <w:rPr>
                <w:rFonts w:cs="Times New Roman"/>
                <w:noProof/>
                <w:sz w:val="16"/>
                <w:szCs w:val="16"/>
              </w:rPr>
            </w:pPr>
          </w:p>
        </w:tc>
        <w:tc>
          <w:tcPr>
            <w:tcW w:w="281" w:type="pct"/>
            <w:vMerge/>
          </w:tcPr>
          <w:p w14:paraId="00D69BC3" w14:textId="77777777" w:rsidR="00595B07" w:rsidRPr="00B44B19" w:rsidRDefault="00595B07" w:rsidP="00595B07">
            <w:pPr>
              <w:spacing w:after="0" w:line="240" w:lineRule="auto"/>
              <w:jc w:val="both"/>
              <w:rPr>
                <w:rFonts w:cs="Times New Roman"/>
                <w:noProof/>
                <w:sz w:val="16"/>
                <w:szCs w:val="16"/>
              </w:rPr>
            </w:pPr>
          </w:p>
        </w:tc>
        <w:tc>
          <w:tcPr>
            <w:tcW w:w="375" w:type="pct"/>
          </w:tcPr>
          <w:p w14:paraId="4422485A"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3" w:type="pct"/>
          </w:tcPr>
          <w:p w14:paraId="723E8D98"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64CAF0E9" w14:textId="77777777" w:rsidR="00595B07" w:rsidRPr="00B44B19"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Socialiai pažeidžiamų, </w:t>
            </w:r>
            <w:r w:rsidRPr="00B44B19">
              <w:rPr>
                <w:rFonts w:eastAsia="Calibri" w:cs="Times New Roman"/>
                <w:sz w:val="16"/>
                <w:szCs w:val="16"/>
                <w:lang w:eastAsia="lt-LT" w:bidi="lt-LT"/>
              </w:rPr>
              <w:t>socialinę riziką (atskirtį) patiriančių</w:t>
            </w:r>
            <w:r w:rsidRPr="00B44B19">
              <w:rPr>
                <w:rFonts w:eastAsia="Calibri" w:cs="Times New Roman"/>
                <w:noProof/>
                <w:sz w:val="16"/>
                <w:szCs w:val="16"/>
                <w:lang w:eastAsia="lt-LT" w:bidi="lt-LT"/>
              </w:rPr>
              <w:t xml:space="preserve"> asmenų, gavusių paslaugas naujoje ar modernizuotoje infrastruktūroje skaičius per metus</w:t>
            </w:r>
          </w:p>
        </w:tc>
        <w:tc>
          <w:tcPr>
            <w:tcW w:w="328" w:type="pct"/>
          </w:tcPr>
          <w:p w14:paraId="5888FBAD"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Asmenys</w:t>
            </w:r>
            <w:r w:rsidR="00BC62ED" w:rsidRPr="00B44B19">
              <w:rPr>
                <w:rFonts w:cs="Times New Roman"/>
                <w:noProof/>
                <w:sz w:val="16"/>
                <w:szCs w:val="16"/>
              </w:rPr>
              <w:t xml:space="preserve"> per metus</w:t>
            </w:r>
          </w:p>
        </w:tc>
        <w:tc>
          <w:tcPr>
            <w:tcW w:w="328" w:type="pct"/>
          </w:tcPr>
          <w:p w14:paraId="1A2BFE4E"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24C7C3BD"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w:t>
            </w:r>
            <w:r w:rsidR="00B51423" w:rsidRPr="00B44B19">
              <w:rPr>
                <w:rFonts w:cs="Times New Roman"/>
                <w:noProof/>
                <w:sz w:val="16"/>
                <w:szCs w:val="16"/>
              </w:rPr>
              <w:t>1</w:t>
            </w:r>
          </w:p>
        </w:tc>
        <w:tc>
          <w:tcPr>
            <w:tcW w:w="328" w:type="pct"/>
          </w:tcPr>
          <w:p w14:paraId="1EACF57D" w14:textId="77777777" w:rsidR="00595B07" w:rsidRPr="00B44B19" w:rsidRDefault="00F8022E" w:rsidP="00595B07">
            <w:pPr>
              <w:spacing w:after="0" w:line="240" w:lineRule="auto"/>
              <w:jc w:val="center"/>
              <w:rPr>
                <w:rFonts w:cs="Times New Roman"/>
                <w:noProof/>
                <w:sz w:val="16"/>
                <w:szCs w:val="16"/>
              </w:rPr>
            </w:pPr>
            <w:r w:rsidRPr="00B44B19">
              <w:rPr>
                <w:rFonts w:cs="Times New Roman"/>
                <w:noProof/>
                <w:sz w:val="16"/>
                <w:szCs w:val="16"/>
              </w:rPr>
              <w:t>1 297</w:t>
            </w:r>
          </w:p>
        </w:tc>
        <w:tc>
          <w:tcPr>
            <w:tcW w:w="328" w:type="pct"/>
          </w:tcPr>
          <w:p w14:paraId="6C528F5A" w14:textId="77777777" w:rsidR="00595B07" w:rsidRPr="00B44B19" w:rsidRDefault="00595B07" w:rsidP="00595B07">
            <w:pPr>
              <w:spacing w:after="0" w:line="240" w:lineRule="auto"/>
              <w:rPr>
                <w:rFonts w:cs="Times New Roman"/>
                <w:noProof/>
                <w:sz w:val="16"/>
                <w:szCs w:val="16"/>
              </w:rPr>
            </w:pPr>
            <w:r w:rsidRPr="00B44B19">
              <w:rPr>
                <w:rFonts w:cs="Times New Roman"/>
                <w:noProof/>
                <w:sz w:val="16"/>
                <w:szCs w:val="16"/>
              </w:rPr>
              <w:t>Projektų duomenys</w:t>
            </w:r>
          </w:p>
        </w:tc>
        <w:tc>
          <w:tcPr>
            <w:tcW w:w="417" w:type="pct"/>
          </w:tcPr>
          <w:p w14:paraId="365272D2"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4BD7F30B" w14:textId="77777777" w:rsidTr="00595B07">
        <w:trPr>
          <w:trHeight w:val="547"/>
        </w:trPr>
        <w:tc>
          <w:tcPr>
            <w:tcW w:w="364" w:type="pct"/>
            <w:vMerge/>
          </w:tcPr>
          <w:p w14:paraId="208517F0" w14:textId="77777777" w:rsidR="00595B07" w:rsidRPr="00B44B19" w:rsidRDefault="00595B07" w:rsidP="00595B07">
            <w:pPr>
              <w:spacing w:after="0" w:line="240" w:lineRule="auto"/>
              <w:jc w:val="both"/>
              <w:rPr>
                <w:rFonts w:cs="Times New Roman"/>
                <w:noProof/>
                <w:sz w:val="16"/>
                <w:szCs w:val="16"/>
              </w:rPr>
            </w:pPr>
          </w:p>
        </w:tc>
        <w:tc>
          <w:tcPr>
            <w:tcW w:w="328" w:type="pct"/>
            <w:vMerge/>
          </w:tcPr>
          <w:p w14:paraId="2CF426C8" w14:textId="77777777" w:rsidR="00595B07" w:rsidRPr="00B44B19" w:rsidRDefault="00595B07" w:rsidP="00595B07">
            <w:pPr>
              <w:spacing w:after="0" w:line="240" w:lineRule="auto"/>
              <w:jc w:val="both"/>
              <w:rPr>
                <w:rFonts w:cs="Times New Roman"/>
                <w:noProof/>
                <w:sz w:val="16"/>
                <w:szCs w:val="16"/>
              </w:rPr>
            </w:pPr>
          </w:p>
        </w:tc>
        <w:tc>
          <w:tcPr>
            <w:tcW w:w="281" w:type="pct"/>
            <w:vMerge/>
          </w:tcPr>
          <w:p w14:paraId="2D80A345" w14:textId="77777777" w:rsidR="00595B07" w:rsidRPr="00B44B19" w:rsidRDefault="00595B07" w:rsidP="00595B07">
            <w:pPr>
              <w:spacing w:after="0" w:line="240" w:lineRule="auto"/>
              <w:jc w:val="both"/>
              <w:rPr>
                <w:rFonts w:cs="Times New Roman"/>
                <w:noProof/>
                <w:sz w:val="16"/>
                <w:szCs w:val="16"/>
              </w:rPr>
            </w:pPr>
          </w:p>
        </w:tc>
        <w:tc>
          <w:tcPr>
            <w:tcW w:w="375" w:type="pct"/>
          </w:tcPr>
          <w:p w14:paraId="3B045506"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3" w:type="pct"/>
          </w:tcPr>
          <w:p w14:paraId="303EA18B"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6DC82D95" w14:textId="77777777" w:rsidR="00595B07" w:rsidRPr="00B44B19"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Socialiai pažeidžiamų, </w:t>
            </w:r>
            <w:r w:rsidRPr="00B44B19">
              <w:rPr>
                <w:rFonts w:eastAsia="Calibri" w:cs="Times New Roman"/>
                <w:sz w:val="16"/>
                <w:szCs w:val="16"/>
                <w:lang w:eastAsia="lt-LT" w:bidi="lt-LT"/>
              </w:rPr>
              <w:t>socialinę riziką (atskirtį) patiriančių</w:t>
            </w:r>
            <w:r w:rsidRPr="00B44B19">
              <w:rPr>
                <w:rFonts w:eastAsia="Calibri" w:cs="Times New Roman"/>
                <w:noProof/>
                <w:sz w:val="16"/>
                <w:szCs w:val="16"/>
                <w:lang w:eastAsia="lt-LT" w:bidi="lt-LT"/>
              </w:rPr>
              <w:t xml:space="preserve"> asmenų, gavusių paslaugas naujoje ar modernizuotoje infrastruktūroje skaičius per metus</w:t>
            </w:r>
          </w:p>
        </w:tc>
        <w:tc>
          <w:tcPr>
            <w:tcW w:w="328" w:type="pct"/>
          </w:tcPr>
          <w:p w14:paraId="33899009"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Asmenys</w:t>
            </w:r>
            <w:r w:rsidR="00BC62ED" w:rsidRPr="00B44B19">
              <w:rPr>
                <w:rFonts w:cs="Times New Roman"/>
                <w:noProof/>
                <w:sz w:val="16"/>
                <w:szCs w:val="16"/>
              </w:rPr>
              <w:t xml:space="preserve"> per metus</w:t>
            </w:r>
          </w:p>
        </w:tc>
        <w:tc>
          <w:tcPr>
            <w:tcW w:w="328" w:type="pct"/>
          </w:tcPr>
          <w:p w14:paraId="3F677A1E"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7FC4AA5C"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w:t>
            </w:r>
            <w:r w:rsidR="00B51423" w:rsidRPr="00B44B19">
              <w:rPr>
                <w:rFonts w:cs="Times New Roman"/>
                <w:noProof/>
                <w:sz w:val="16"/>
                <w:szCs w:val="16"/>
              </w:rPr>
              <w:t>1</w:t>
            </w:r>
          </w:p>
        </w:tc>
        <w:tc>
          <w:tcPr>
            <w:tcW w:w="328" w:type="pct"/>
          </w:tcPr>
          <w:p w14:paraId="36C886FB" w14:textId="77777777" w:rsidR="00595B07" w:rsidRPr="00B44B19" w:rsidRDefault="00F8022E" w:rsidP="00595B07">
            <w:pPr>
              <w:spacing w:after="0" w:line="240" w:lineRule="auto"/>
              <w:jc w:val="center"/>
              <w:rPr>
                <w:rFonts w:cs="Times New Roman"/>
                <w:noProof/>
                <w:sz w:val="16"/>
                <w:szCs w:val="16"/>
              </w:rPr>
            </w:pPr>
            <w:r w:rsidRPr="00B44B19">
              <w:rPr>
                <w:rFonts w:cs="Times New Roman"/>
                <w:noProof/>
                <w:sz w:val="16"/>
                <w:szCs w:val="16"/>
              </w:rPr>
              <w:t>3 272</w:t>
            </w:r>
          </w:p>
        </w:tc>
        <w:tc>
          <w:tcPr>
            <w:tcW w:w="328" w:type="pct"/>
          </w:tcPr>
          <w:p w14:paraId="45EF12E4" w14:textId="77777777" w:rsidR="00595B07" w:rsidRPr="00B44B19" w:rsidRDefault="00595B07" w:rsidP="00595B07">
            <w:pPr>
              <w:spacing w:after="0" w:line="240" w:lineRule="auto"/>
              <w:rPr>
                <w:rFonts w:cs="Times New Roman"/>
                <w:noProof/>
                <w:sz w:val="16"/>
                <w:szCs w:val="16"/>
              </w:rPr>
            </w:pPr>
            <w:r w:rsidRPr="00B44B19">
              <w:rPr>
                <w:rFonts w:cs="Times New Roman"/>
                <w:noProof/>
                <w:sz w:val="16"/>
                <w:szCs w:val="16"/>
              </w:rPr>
              <w:t>Projektų duomenys</w:t>
            </w:r>
          </w:p>
        </w:tc>
        <w:tc>
          <w:tcPr>
            <w:tcW w:w="417" w:type="pct"/>
          </w:tcPr>
          <w:p w14:paraId="7FB48825"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4F9B9C20" w14:textId="77777777" w:rsidTr="00595B07">
        <w:trPr>
          <w:trHeight w:val="382"/>
        </w:trPr>
        <w:tc>
          <w:tcPr>
            <w:tcW w:w="364" w:type="pct"/>
            <w:vMerge/>
          </w:tcPr>
          <w:p w14:paraId="3693D3B9" w14:textId="77777777" w:rsidR="00595B07" w:rsidRPr="00B44B19" w:rsidDel="00B72784" w:rsidRDefault="00595B07" w:rsidP="00595B07">
            <w:pPr>
              <w:spacing w:after="0" w:line="240" w:lineRule="auto"/>
              <w:jc w:val="both"/>
              <w:rPr>
                <w:rFonts w:cs="Times New Roman"/>
                <w:noProof/>
                <w:sz w:val="16"/>
                <w:szCs w:val="16"/>
              </w:rPr>
            </w:pPr>
          </w:p>
        </w:tc>
        <w:tc>
          <w:tcPr>
            <w:tcW w:w="328" w:type="pct"/>
            <w:vMerge/>
          </w:tcPr>
          <w:p w14:paraId="602E3B2B" w14:textId="77777777" w:rsidR="00595B07" w:rsidRPr="00B44B19" w:rsidDel="00B72784" w:rsidRDefault="00595B07" w:rsidP="00595B07">
            <w:pPr>
              <w:spacing w:after="0" w:line="240" w:lineRule="auto"/>
              <w:jc w:val="both"/>
              <w:rPr>
                <w:rFonts w:cs="Times New Roman"/>
                <w:noProof/>
                <w:sz w:val="16"/>
                <w:szCs w:val="16"/>
              </w:rPr>
            </w:pPr>
          </w:p>
        </w:tc>
        <w:tc>
          <w:tcPr>
            <w:tcW w:w="281" w:type="pct"/>
            <w:vMerge/>
          </w:tcPr>
          <w:p w14:paraId="68A0CE17" w14:textId="77777777" w:rsidR="00595B07" w:rsidRPr="00B44B19" w:rsidDel="00B72784" w:rsidRDefault="00595B07" w:rsidP="00595B07">
            <w:pPr>
              <w:spacing w:after="0" w:line="240" w:lineRule="auto"/>
              <w:jc w:val="both"/>
              <w:rPr>
                <w:rFonts w:cs="Times New Roman"/>
                <w:noProof/>
                <w:sz w:val="16"/>
                <w:szCs w:val="16"/>
              </w:rPr>
            </w:pPr>
          </w:p>
        </w:tc>
        <w:tc>
          <w:tcPr>
            <w:tcW w:w="375" w:type="pct"/>
          </w:tcPr>
          <w:p w14:paraId="7C0F30A7"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3" w:type="pct"/>
          </w:tcPr>
          <w:p w14:paraId="6DCA70E0" w14:textId="77777777" w:rsidR="00595B07" w:rsidRPr="00B44B19" w:rsidDel="00B72784" w:rsidRDefault="009525A5" w:rsidP="00595B07">
            <w:pPr>
              <w:spacing w:after="0" w:line="240" w:lineRule="auto"/>
              <w:jc w:val="both"/>
              <w:rPr>
                <w:rFonts w:cs="Times New Roman"/>
                <w:noProof/>
                <w:sz w:val="16"/>
                <w:szCs w:val="16"/>
              </w:rPr>
            </w:pPr>
            <w:r w:rsidRPr="00B44B19">
              <w:rPr>
                <w:rFonts w:cs="Times New Roman"/>
                <w:noProof/>
                <w:sz w:val="16"/>
                <w:szCs w:val="16"/>
              </w:rPr>
              <w:t>RCR01</w:t>
            </w:r>
          </w:p>
        </w:tc>
        <w:tc>
          <w:tcPr>
            <w:tcW w:w="1125" w:type="pct"/>
          </w:tcPr>
          <w:p w14:paraId="0A59251C" w14:textId="77777777" w:rsidR="00595B07" w:rsidRPr="00B44B19" w:rsidRDefault="009525A5"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Paramą gavusiuose subjektuose sukurtos darbo vietos</w:t>
            </w:r>
          </w:p>
        </w:tc>
        <w:tc>
          <w:tcPr>
            <w:tcW w:w="328" w:type="pct"/>
          </w:tcPr>
          <w:p w14:paraId="18F14DA9" w14:textId="77777777" w:rsidR="00595B07" w:rsidRPr="00B44B19" w:rsidRDefault="00A0415D" w:rsidP="00595B07">
            <w:pPr>
              <w:spacing w:after="0" w:line="240" w:lineRule="auto"/>
              <w:jc w:val="both"/>
              <w:rPr>
                <w:rFonts w:cs="Times New Roman"/>
                <w:noProof/>
                <w:sz w:val="16"/>
                <w:szCs w:val="16"/>
              </w:rPr>
            </w:pPr>
            <w:r w:rsidRPr="00B44B19">
              <w:rPr>
                <w:rFonts w:cs="Times New Roman"/>
                <w:sz w:val="16"/>
                <w:szCs w:val="16"/>
              </w:rPr>
              <w:t>Vienų metų etato ekvivalentai</w:t>
            </w:r>
          </w:p>
        </w:tc>
        <w:tc>
          <w:tcPr>
            <w:tcW w:w="328" w:type="pct"/>
          </w:tcPr>
          <w:p w14:paraId="7C3CFF7E"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4B228054"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05A20497" w14:textId="4B2FCE9C" w:rsidR="00595B07" w:rsidRPr="00B44B19" w:rsidRDefault="00EE40C2" w:rsidP="00595B07">
            <w:pPr>
              <w:spacing w:after="0" w:line="240" w:lineRule="auto"/>
              <w:jc w:val="center"/>
              <w:rPr>
                <w:rFonts w:cs="Times New Roman"/>
                <w:noProof/>
                <w:sz w:val="16"/>
                <w:szCs w:val="16"/>
              </w:rPr>
            </w:pPr>
            <w:r w:rsidRPr="00B44B19">
              <w:rPr>
                <w:rFonts w:cs="Times New Roman"/>
                <w:noProof/>
                <w:sz w:val="16"/>
                <w:szCs w:val="16"/>
              </w:rPr>
              <w:t>13</w:t>
            </w:r>
          </w:p>
        </w:tc>
        <w:tc>
          <w:tcPr>
            <w:tcW w:w="328" w:type="pct"/>
          </w:tcPr>
          <w:p w14:paraId="3396C1D0"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Projektų duomenys</w:t>
            </w:r>
          </w:p>
        </w:tc>
        <w:tc>
          <w:tcPr>
            <w:tcW w:w="417" w:type="pct"/>
          </w:tcPr>
          <w:p w14:paraId="399621CE"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2AA0EE57" w14:textId="77777777" w:rsidTr="00595B07">
        <w:trPr>
          <w:trHeight w:val="547"/>
        </w:trPr>
        <w:tc>
          <w:tcPr>
            <w:tcW w:w="364" w:type="pct"/>
            <w:vMerge/>
          </w:tcPr>
          <w:p w14:paraId="1FC14B9F" w14:textId="77777777" w:rsidR="00595B07" w:rsidRPr="00B44B19" w:rsidDel="00B72784" w:rsidRDefault="00595B07" w:rsidP="00595B07">
            <w:pPr>
              <w:spacing w:after="0" w:line="240" w:lineRule="auto"/>
              <w:jc w:val="both"/>
              <w:rPr>
                <w:rFonts w:cs="Times New Roman"/>
                <w:noProof/>
                <w:sz w:val="16"/>
                <w:szCs w:val="16"/>
              </w:rPr>
            </w:pPr>
          </w:p>
        </w:tc>
        <w:tc>
          <w:tcPr>
            <w:tcW w:w="328" w:type="pct"/>
            <w:vMerge/>
          </w:tcPr>
          <w:p w14:paraId="557EDDFD" w14:textId="77777777" w:rsidR="00595B07" w:rsidRPr="00B44B19" w:rsidDel="00B72784" w:rsidRDefault="00595B07" w:rsidP="00595B07">
            <w:pPr>
              <w:spacing w:after="0" w:line="240" w:lineRule="auto"/>
              <w:jc w:val="both"/>
              <w:rPr>
                <w:rFonts w:cs="Times New Roman"/>
                <w:noProof/>
                <w:sz w:val="16"/>
                <w:szCs w:val="16"/>
              </w:rPr>
            </w:pPr>
          </w:p>
        </w:tc>
        <w:tc>
          <w:tcPr>
            <w:tcW w:w="281" w:type="pct"/>
            <w:vMerge/>
          </w:tcPr>
          <w:p w14:paraId="7F171AD5" w14:textId="77777777" w:rsidR="00595B07" w:rsidRPr="00B44B19" w:rsidDel="00B72784" w:rsidRDefault="00595B07" w:rsidP="00595B07">
            <w:pPr>
              <w:spacing w:after="0" w:line="240" w:lineRule="auto"/>
              <w:jc w:val="both"/>
              <w:rPr>
                <w:rFonts w:cs="Times New Roman"/>
                <w:noProof/>
                <w:sz w:val="16"/>
                <w:szCs w:val="16"/>
              </w:rPr>
            </w:pPr>
          </w:p>
        </w:tc>
        <w:tc>
          <w:tcPr>
            <w:tcW w:w="375" w:type="pct"/>
          </w:tcPr>
          <w:p w14:paraId="346D5B1C"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3" w:type="pct"/>
          </w:tcPr>
          <w:p w14:paraId="624D1337" w14:textId="77777777" w:rsidR="00595B07" w:rsidRPr="00B44B19" w:rsidDel="00B72784" w:rsidRDefault="009525A5" w:rsidP="00595B07">
            <w:pPr>
              <w:spacing w:after="0" w:line="240" w:lineRule="auto"/>
              <w:jc w:val="both"/>
              <w:rPr>
                <w:rFonts w:cs="Times New Roman"/>
                <w:noProof/>
                <w:sz w:val="16"/>
                <w:szCs w:val="16"/>
              </w:rPr>
            </w:pPr>
            <w:r w:rsidRPr="00B44B19">
              <w:rPr>
                <w:rFonts w:cs="Times New Roman"/>
                <w:noProof/>
                <w:sz w:val="16"/>
                <w:szCs w:val="16"/>
              </w:rPr>
              <w:t>RCR01</w:t>
            </w:r>
          </w:p>
        </w:tc>
        <w:tc>
          <w:tcPr>
            <w:tcW w:w="1125" w:type="pct"/>
          </w:tcPr>
          <w:p w14:paraId="41E72136" w14:textId="77777777" w:rsidR="00595B07" w:rsidRPr="00B44B19" w:rsidRDefault="009525A5"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Paramą gavusiuose subjektuose sukurtos darbo vietos</w:t>
            </w:r>
          </w:p>
        </w:tc>
        <w:tc>
          <w:tcPr>
            <w:tcW w:w="328" w:type="pct"/>
          </w:tcPr>
          <w:p w14:paraId="5AF1F499" w14:textId="77777777" w:rsidR="00595B07" w:rsidRPr="00B44B19" w:rsidRDefault="00A0415D" w:rsidP="00595B07">
            <w:pPr>
              <w:spacing w:after="0" w:line="240" w:lineRule="auto"/>
              <w:jc w:val="both"/>
              <w:rPr>
                <w:rFonts w:cs="Times New Roman"/>
                <w:noProof/>
                <w:sz w:val="16"/>
                <w:szCs w:val="16"/>
              </w:rPr>
            </w:pPr>
            <w:r w:rsidRPr="00B44B19">
              <w:rPr>
                <w:rFonts w:cs="Times New Roman"/>
                <w:sz w:val="16"/>
                <w:szCs w:val="16"/>
              </w:rPr>
              <w:t>Vienų metų etato ekvivalentai</w:t>
            </w:r>
          </w:p>
        </w:tc>
        <w:tc>
          <w:tcPr>
            <w:tcW w:w="328" w:type="pct"/>
          </w:tcPr>
          <w:p w14:paraId="0F418593"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FAE12C5"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3412FC83"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131</w:t>
            </w:r>
          </w:p>
        </w:tc>
        <w:tc>
          <w:tcPr>
            <w:tcW w:w="328" w:type="pct"/>
          </w:tcPr>
          <w:p w14:paraId="576E0B79"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Projektų duomenys</w:t>
            </w:r>
          </w:p>
        </w:tc>
        <w:tc>
          <w:tcPr>
            <w:tcW w:w="417" w:type="pct"/>
          </w:tcPr>
          <w:p w14:paraId="33BB11A6"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57C166B5" w14:textId="77777777" w:rsidTr="00D632AD">
        <w:trPr>
          <w:trHeight w:val="225"/>
        </w:trPr>
        <w:tc>
          <w:tcPr>
            <w:tcW w:w="364" w:type="pct"/>
            <w:vMerge/>
          </w:tcPr>
          <w:p w14:paraId="7AE43BB2" w14:textId="77777777" w:rsidR="00595B07" w:rsidRPr="00B44B19" w:rsidRDefault="00595B07" w:rsidP="00595B07">
            <w:pPr>
              <w:spacing w:after="0" w:line="240" w:lineRule="auto"/>
              <w:jc w:val="both"/>
              <w:rPr>
                <w:rFonts w:cs="Times New Roman"/>
                <w:noProof/>
                <w:sz w:val="16"/>
                <w:szCs w:val="16"/>
              </w:rPr>
            </w:pPr>
          </w:p>
        </w:tc>
        <w:tc>
          <w:tcPr>
            <w:tcW w:w="328" w:type="pct"/>
            <w:vMerge/>
          </w:tcPr>
          <w:p w14:paraId="20D30F6E" w14:textId="77777777" w:rsidR="00595B07" w:rsidRPr="00B44B19" w:rsidRDefault="00595B07" w:rsidP="00595B07">
            <w:pPr>
              <w:spacing w:after="0" w:line="240" w:lineRule="auto"/>
              <w:jc w:val="both"/>
              <w:rPr>
                <w:rFonts w:cs="Times New Roman"/>
                <w:noProof/>
                <w:sz w:val="16"/>
                <w:szCs w:val="16"/>
              </w:rPr>
            </w:pPr>
          </w:p>
        </w:tc>
        <w:tc>
          <w:tcPr>
            <w:tcW w:w="281" w:type="pct"/>
            <w:vMerge/>
          </w:tcPr>
          <w:p w14:paraId="5C03BADD" w14:textId="77777777" w:rsidR="00595B07" w:rsidRPr="00B44B19" w:rsidRDefault="00595B07" w:rsidP="00595B07">
            <w:pPr>
              <w:spacing w:after="0" w:line="240" w:lineRule="auto"/>
              <w:jc w:val="both"/>
              <w:rPr>
                <w:rFonts w:cs="Times New Roman"/>
                <w:noProof/>
                <w:sz w:val="16"/>
                <w:szCs w:val="16"/>
              </w:rPr>
            </w:pPr>
          </w:p>
        </w:tc>
        <w:tc>
          <w:tcPr>
            <w:tcW w:w="375" w:type="pct"/>
          </w:tcPr>
          <w:p w14:paraId="16248A34"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Sostinės regionas</w:t>
            </w:r>
          </w:p>
        </w:tc>
        <w:tc>
          <w:tcPr>
            <w:tcW w:w="423" w:type="pct"/>
          </w:tcPr>
          <w:p w14:paraId="12D69F2C"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4EA509E4" w14:textId="77777777" w:rsidR="00595B07" w:rsidRPr="00B44B19"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Pilietinės visuomenės ir priva</w:t>
            </w:r>
            <w:r w:rsidR="00B754F8" w:rsidRPr="00B44B19">
              <w:rPr>
                <w:rFonts w:eastAsia="Calibri" w:cs="Times New Roman"/>
                <w:noProof/>
                <w:sz w:val="16"/>
                <w:szCs w:val="16"/>
                <w:lang w:eastAsia="lt-LT" w:bidi="lt-LT"/>
              </w:rPr>
              <w:t>čiojo</w:t>
            </w:r>
            <w:r w:rsidRPr="00B44B19">
              <w:rPr>
                <w:rFonts w:eastAsia="Calibri" w:cs="Times New Roman"/>
                <w:noProof/>
                <w:sz w:val="16"/>
                <w:szCs w:val="16"/>
                <w:lang w:eastAsia="lt-LT" w:bidi="lt-LT"/>
              </w:rPr>
              <w:t xml:space="preserve"> sektoriaus subjektai, dalyvavę rengiant ir (ar) įgyvendinant BIVP strategijas</w:t>
            </w:r>
          </w:p>
        </w:tc>
        <w:tc>
          <w:tcPr>
            <w:tcW w:w="328" w:type="pct"/>
          </w:tcPr>
          <w:p w14:paraId="2C793E6E" w14:textId="77777777" w:rsidR="00595B07" w:rsidRPr="00B44B19" w:rsidRDefault="00701A1F" w:rsidP="00595B07">
            <w:pPr>
              <w:spacing w:after="0" w:line="240" w:lineRule="auto"/>
              <w:jc w:val="both"/>
              <w:rPr>
                <w:rFonts w:cs="Times New Roman"/>
                <w:noProof/>
                <w:sz w:val="16"/>
                <w:szCs w:val="16"/>
              </w:rPr>
            </w:pPr>
            <w:r w:rsidRPr="00B44B19">
              <w:rPr>
                <w:rFonts w:eastAsia="Calibri" w:cs="Times New Roman"/>
                <w:noProof/>
                <w:sz w:val="16"/>
                <w:szCs w:val="16"/>
              </w:rPr>
              <w:t>Skaičius</w:t>
            </w:r>
          </w:p>
        </w:tc>
        <w:tc>
          <w:tcPr>
            <w:tcW w:w="328" w:type="pct"/>
          </w:tcPr>
          <w:p w14:paraId="425CCA31"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42</w:t>
            </w:r>
          </w:p>
        </w:tc>
        <w:tc>
          <w:tcPr>
            <w:tcW w:w="375" w:type="pct"/>
          </w:tcPr>
          <w:p w14:paraId="7CC59788"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2020</w:t>
            </w:r>
          </w:p>
        </w:tc>
        <w:tc>
          <w:tcPr>
            <w:tcW w:w="328" w:type="pct"/>
          </w:tcPr>
          <w:p w14:paraId="43534586" w14:textId="77777777" w:rsidR="00595B07" w:rsidRPr="00B44B19" w:rsidRDefault="00ED338F" w:rsidP="00ED338F">
            <w:pPr>
              <w:spacing w:after="0" w:line="240" w:lineRule="auto"/>
              <w:jc w:val="center"/>
              <w:rPr>
                <w:rFonts w:cs="Times New Roman"/>
                <w:noProof/>
                <w:sz w:val="16"/>
                <w:szCs w:val="16"/>
              </w:rPr>
            </w:pPr>
            <w:r w:rsidRPr="00B44B19">
              <w:rPr>
                <w:rFonts w:cs="Times New Roman"/>
                <w:noProof/>
                <w:sz w:val="16"/>
                <w:szCs w:val="16"/>
              </w:rPr>
              <w:t>128</w:t>
            </w:r>
          </w:p>
        </w:tc>
        <w:tc>
          <w:tcPr>
            <w:tcW w:w="328" w:type="pct"/>
          </w:tcPr>
          <w:p w14:paraId="6C9F0F1A"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Tyrimo ataskaita</w:t>
            </w:r>
          </w:p>
        </w:tc>
        <w:tc>
          <w:tcPr>
            <w:tcW w:w="417" w:type="pct"/>
          </w:tcPr>
          <w:p w14:paraId="2D134817" w14:textId="77777777" w:rsidR="00595B07" w:rsidRPr="00B44B19" w:rsidRDefault="00595B07" w:rsidP="00595B07">
            <w:pPr>
              <w:spacing w:after="0" w:line="240" w:lineRule="auto"/>
              <w:jc w:val="both"/>
              <w:rPr>
                <w:rFonts w:cs="Times New Roman"/>
                <w:b/>
                <w:noProof/>
                <w:sz w:val="14"/>
                <w:szCs w:val="14"/>
              </w:rPr>
            </w:pPr>
          </w:p>
        </w:tc>
      </w:tr>
      <w:tr w:rsidR="00595B07" w:rsidRPr="00B44B19" w14:paraId="56B3A4FD" w14:textId="77777777" w:rsidTr="00595B07">
        <w:trPr>
          <w:trHeight w:val="547"/>
        </w:trPr>
        <w:tc>
          <w:tcPr>
            <w:tcW w:w="364" w:type="pct"/>
            <w:vMerge/>
          </w:tcPr>
          <w:p w14:paraId="318E0B1E" w14:textId="77777777" w:rsidR="00595B07" w:rsidRPr="00B44B19" w:rsidRDefault="00595B07" w:rsidP="00595B07">
            <w:pPr>
              <w:spacing w:after="0" w:line="240" w:lineRule="auto"/>
              <w:jc w:val="both"/>
              <w:rPr>
                <w:rFonts w:cs="Times New Roman"/>
                <w:noProof/>
                <w:sz w:val="16"/>
                <w:szCs w:val="16"/>
              </w:rPr>
            </w:pPr>
          </w:p>
        </w:tc>
        <w:tc>
          <w:tcPr>
            <w:tcW w:w="328" w:type="pct"/>
            <w:vMerge/>
          </w:tcPr>
          <w:p w14:paraId="314D3DD0" w14:textId="77777777" w:rsidR="00595B07" w:rsidRPr="00B44B19" w:rsidRDefault="00595B07" w:rsidP="00595B07">
            <w:pPr>
              <w:spacing w:after="0" w:line="240" w:lineRule="auto"/>
              <w:jc w:val="both"/>
              <w:rPr>
                <w:rFonts w:cs="Times New Roman"/>
                <w:noProof/>
                <w:sz w:val="16"/>
                <w:szCs w:val="16"/>
              </w:rPr>
            </w:pPr>
          </w:p>
        </w:tc>
        <w:tc>
          <w:tcPr>
            <w:tcW w:w="281" w:type="pct"/>
            <w:vMerge/>
          </w:tcPr>
          <w:p w14:paraId="7B492C13" w14:textId="77777777" w:rsidR="00595B07" w:rsidRPr="00B44B19" w:rsidRDefault="00595B07" w:rsidP="00595B07">
            <w:pPr>
              <w:spacing w:after="0" w:line="240" w:lineRule="auto"/>
              <w:jc w:val="both"/>
              <w:rPr>
                <w:rFonts w:cs="Times New Roman"/>
                <w:noProof/>
                <w:sz w:val="16"/>
                <w:szCs w:val="16"/>
              </w:rPr>
            </w:pPr>
          </w:p>
        </w:tc>
        <w:tc>
          <w:tcPr>
            <w:tcW w:w="375" w:type="pct"/>
          </w:tcPr>
          <w:p w14:paraId="412CDB19"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VVL regionas</w:t>
            </w:r>
          </w:p>
        </w:tc>
        <w:tc>
          <w:tcPr>
            <w:tcW w:w="423" w:type="pct"/>
          </w:tcPr>
          <w:p w14:paraId="70DE3435" w14:textId="77777777" w:rsidR="00595B07" w:rsidRPr="00B44B19" w:rsidDel="00B72784" w:rsidRDefault="00595B07" w:rsidP="00595B07">
            <w:pPr>
              <w:spacing w:after="0" w:line="240" w:lineRule="auto"/>
              <w:jc w:val="both"/>
              <w:rPr>
                <w:rFonts w:cs="Times New Roman"/>
                <w:noProof/>
                <w:sz w:val="16"/>
                <w:szCs w:val="16"/>
              </w:rPr>
            </w:pPr>
            <w:r w:rsidRPr="00B44B19">
              <w:rPr>
                <w:rFonts w:cs="Times New Roman"/>
                <w:noProof/>
                <w:sz w:val="16"/>
                <w:szCs w:val="16"/>
              </w:rPr>
              <w:t>Specialusis</w:t>
            </w:r>
          </w:p>
        </w:tc>
        <w:tc>
          <w:tcPr>
            <w:tcW w:w="1125" w:type="pct"/>
          </w:tcPr>
          <w:p w14:paraId="1785C533" w14:textId="77777777" w:rsidR="00595B07" w:rsidRPr="00B44B19" w:rsidRDefault="00595B07" w:rsidP="00595B07">
            <w:pPr>
              <w:tabs>
                <w:tab w:val="left" w:pos="7560"/>
              </w:tabs>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Pilietinės visuomenės ir priva</w:t>
            </w:r>
            <w:r w:rsidR="00B754F8" w:rsidRPr="00B44B19">
              <w:rPr>
                <w:rFonts w:eastAsia="Calibri" w:cs="Times New Roman"/>
                <w:noProof/>
                <w:sz w:val="16"/>
                <w:szCs w:val="16"/>
                <w:lang w:eastAsia="lt-LT" w:bidi="lt-LT"/>
              </w:rPr>
              <w:t>čiojo</w:t>
            </w:r>
            <w:r w:rsidRPr="00B44B19">
              <w:rPr>
                <w:rFonts w:eastAsia="Calibri" w:cs="Times New Roman"/>
                <w:noProof/>
                <w:sz w:val="16"/>
                <w:szCs w:val="16"/>
                <w:lang w:eastAsia="lt-LT" w:bidi="lt-LT"/>
              </w:rPr>
              <w:t xml:space="preserve"> sektoriaus subjektai, dalyvavę rengiant ir (ar) įgyvendinant BIVP strategijas</w:t>
            </w:r>
          </w:p>
        </w:tc>
        <w:tc>
          <w:tcPr>
            <w:tcW w:w="328" w:type="pct"/>
          </w:tcPr>
          <w:p w14:paraId="01EAF765" w14:textId="77777777" w:rsidR="00595B07" w:rsidRPr="00B44B19" w:rsidRDefault="00701A1F" w:rsidP="00595B07">
            <w:pPr>
              <w:spacing w:after="0" w:line="240" w:lineRule="auto"/>
              <w:jc w:val="both"/>
              <w:rPr>
                <w:rFonts w:cs="Times New Roman"/>
                <w:noProof/>
                <w:sz w:val="16"/>
                <w:szCs w:val="16"/>
              </w:rPr>
            </w:pPr>
            <w:r w:rsidRPr="00B44B19">
              <w:rPr>
                <w:rFonts w:eastAsia="Calibri" w:cs="Times New Roman"/>
                <w:noProof/>
                <w:sz w:val="16"/>
                <w:szCs w:val="16"/>
              </w:rPr>
              <w:t>Skaičius</w:t>
            </w:r>
          </w:p>
        </w:tc>
        <w:tc>
          <w:tcPr>
            <w:tcW w:w="328" w:type="pct"/>
          </w:tcPr>
          <w:p w14:paraId="2E218435"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373</w:t>
            </w:r>
          </w:p>
        </w:tc>
        <w:tc>
          <w:tcPr>
            <w:tcW w:w="375" w:type="pct"/>
          </w:tcPr>
          <w:p w14:paraId="56D9A6AB" w14:textId="77777777" w:rsidR="00595B07" w:rsidRPr="00B44B19" w:rsidRDefault="00595B07" w:rsidP="00595B07">
            <w:pPr>
              <w:spacing w:after="0" w:line="240" w:lineRule="auto"/>
              <w:jc w:val="center"/>
              <w:rPr>
                <w:rFonts w:cs="Times New Roman"/>
                <w:noProof/>
                <w:sz w:val="16"/>
                <w:szCs w:val="16"/>
              </w:rPr>
            </w:pPr>
            <w:r w:rsidRPr="00B44B19">
              <w:rPr>
                <w:rFonts w:cs="Times New Roman"/>
                <w:noProof/>
                <w:sz w:val="16"/>
                <w:szCs w:val="16"/>
              </w:rPr>
              <w:t>2020</w:t>
            </w:r>
          </w:p>
        </w:tc>
        <w:tc>
          <w:tcPr>
            <w:tcW w:w="328" w:type="pct"/>
          </w:tcPr>
          <w:p w14:paraId="76DBCE8D" w14:textId="77777777" w:rsidR="00595B07" w:rsidRPr="00B44B19" w:rsidRDefault="00923E59" w:rsidP="00595B07">
            <w:pPr>
              <w:spacing w:after="0" w:line="240" w:lineRule="auto"/>
              <w:jc w:val="center"/>
              <w:rPr>
                <w:rFonts w:cs="Times New Roman"/>
                <w:noProof/>
                <w:sz w:val="16"/>
                <w:szCs w:val="16"/>
              </w:rPr>
            </w:pPr>
            <w:r w:rsidRPr="00B44B19">
              <w:rPr>
                <w:rFonts w:cs="Times New Roman"/>
                <w:noProof/>
                <w:sz w:val="16"/>
                <w:szCs w:val="16"/>
              </w:rPr>
              <w:t>688</w:t>
            </w:r>
          </w:p>
        </w:tc>
        <w:tc>
          <w:tcPr>
            <w:tcW w:w="328" w:type="pct"/>
          </w:tcPr>
          <w:p w14:paraId="698FEEA8" w14:textId="77777777" w:rsidR="00595B07" w:rsidRPr="00B44B19" w:rsidRDefault="00595B07" w:rsidP="00595B07">
            <w:pPr>
              <w:spacing w:after="0" w:line="240" w:lineRule="auto"/>
              <w:jc w:val="both"/>
              <w:rPr>
                <w:rFonts w:cs="Times New Roman"/>
                <w:noProof/>
                <w:sz w:val="16"/>
                <w:szCs w:val="16"/>
              </w:rPr>
            </w:pPr>
            <w:r w:rsidRPr="00B44B19">
              <w:rPr>
                <w:rFonts w:cs="Times New Roman"/>
                <w:noProof/>
                <w:sz w:val="16"/>
                <w:szCs w:val="16"/>
              </w:rPr>
              <w:t>Tyrimo ataskaita</w:t>
            </w:r>
          </w:p>
        </w:tc>
        <w:tc>
          <w:tcPr>
            <w:tcW w:w="417" w:type="pct"/>
          </w:tcPr>
          <w:p w14:paraId="51C3918D" w14:textId="77777777" w:rsidR="00595B07" w:rsidRPr="00B44B19" w:rsidRDefault="00595B07" w:rsidP="00595B07">
            <w:pPr>
              <w:spacing w:after="0" w:line="240" w:lineRule="auto"/>
              <w:jc w:val="both"/>
              <w:rPr>
                <w:rFonts w:cs="Times New Roman"/>
                <w:b/>
                <w:noProof/>
                <w:sz w:val="14"/>
                <w:szCs w:val="14"/>
              </w:rPr>
            </w:pPr>
          </w:p>
        </w:tc>
      </w:tr>
    </w:tbl>
    <w:p w14:paraId="44CD64C9" w14:textId="77777777" w:rsidR="00933628" w:rsidRPr="00B44B19" w:rsidRDefault="00933628" w:rsidP="00CB51A9">
      <w:pPr>
        <w:spacing w:after="0" w:line="240" w:lineRule="auto"/>
        <w:rPr>
          <w:rFonts w:eastAsia="Times New Roman" w:cs="Times New Roman"/>
          <w:b/>
          <w:iCs/>
          <w:noProof/>
          <w:szCs w:val="24"/>
          <w:lang w:eastAsia="lt-LT" w:bidi="lt-LT"/>
        </w:rPr>
      </w:pPr>
    </w:p>
    <w:p w14:paraId="16A05BEC" w14:textId="77777777" w:rsidR="00CB51A9" w:rsidRPr="00B44B19" w:rsidRDefault="00CB51A9" w:rsidP="00786CD2">
      <w:pPr>
        <w:spacing w:before="240" w:after="240" w:line="240" w:lineRule="auto"/>
        <w:jc w:val="both"/>
        <w:rPr>
          <w:rFonts w:eastAsia="Calibri" w:cs="Times New Roman"/>
          <w:b/>
          <w:noProof/>
          <w:szCs w:val="20"/>
          <w:lang w:eastAsia="lt-LT" w:bidi="lt-LT"/>
        </w:rPr>
        <w:sectPr w:rsidR="00CB51A9" w:rsidRPr="00B44B19" w:rsidSect="00931C78">
          <w:pgSz w:w="16838" w:h="11906" w:orient="landscape"/>
          <w:pgMar w:top="1701" w:right="1276" w:bottom="567" w:left="1134" w:header="567" w:footer="567" w:gutter="0"/>
          <w:cols w:space="1296"/>
          <w:docGrid w:linePitch="360"/>
        </w:sectPr>
      </w:pPr>
    </w:p>
    <w:p w14:paraId="20F32B9A" w14:textId="77777777" w:rsidR="00786CD2" w:rsidRPr="00B44B19" w:rsidRDefault="00786CD2"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RPr="00B44B19" w14:paraId="439994A7" w14:textId="77777777" w:rsidTr="00864B96">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BDC75A2" w14:textId="77777777" w:rsidR="0066383D" w:rsidRPr="00B44B19" w:rsidRDefault="0066383D" w:rsidP="0066383D">
            <w:pPr>
              <w:rPr>
                <w:rFonts w:eastAsia="Times New Roman" w:cs="Times New Roman"/>
                <w:b/>
                <w:iCs/>
                <w:noProof/>
                <w:sz w:val="20"/>
              </w:rPr>
            </w:pPr>
            <w:r w:rsidRPr="00B44B19">
              <w:rPr>
                <w:rFonts w:cs="Times New Roman"/>
                <w:b/>
                <w:noProof/>
                <w:sz w:val="20"/>
              </w:rPr>
              <w:t>4 lentelė. 1 matmuo. Intervencinių priemonių sritis</w:t>
            </w:r>
          </w:p>
        </w:tc>
      </w:tr>
      <w:tr w:rsidR="0066383D" w:rsidRPr="00B44B19" w14:paraId="06ED7B18" w14:textId="77777777" w:rsidTr="00DB261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E8AB7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0734D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8428DB"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2004F1"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6A71E9"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A0CD3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DB261A" w:rsidRPr="00B44B19" w14:paraId="15FD8CDF" w14:textId="77777777" w:rsidTr="00AF4DED">
        <w:tc>
          <w:tcPr>
            <w:tcW w:w="1101" w:type="dxa"/>
            <w:vMerge w:val="restart"/>
            <w:tcBorders>
              <w:top w:val="single" w:sz="12" w:space="0" w:color="auto"/>
            </w:tcBorders>
          </w:tcPr>
          <w:p w14:paraId="5F97FF8A" w14:textId="77777777" w:rsidR="00DB261A" w:rsidRPr="00B44B19" w:rsidRDefault="00DB261A" w:rsidP="00AC0D7E">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65333755" w14:textId="77777777" w:rsidR="00DB261A" w:rsidRPr="00B44B19" w:rsidRDefault="00DB261A" w:rsidP="00AC0D7E">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78DEAEC9" w14:textId="77777777" w:rsidR="00DB261A" w:rsidRPr="00B44B19" w:rsidRDefault="00DB261A" w:rsidP="00AC0D7E">
            <w:pPr>
              <w:jc w:val="both"/>
              <w:rPr>
                <w:rFonts w:cs="Times New Roman"/>
                <w:noProof/>
                <w:sz w:val="20"/>
                <w:szCs w:val="20"/>
              </w:rPr>
            </w:pPr>
            <w:r w:rsidRPr="00B44B19">
              <w:rPr>
                <w:rFonts w:cs="Times New Roman"/>
                <w:noProof/>
                <w:sz w:val="20"/>
                <w:szCs w:val="20"/>
              </w:rPr>
              <w:t>Sostinės regionas</w:t>
            </w:r>
          </w:p>
        </w:tc>
        <w:tc>
          <w:tcPr>
            <w:tcW w:w="1134" w:type="dxa"/>
            <w:vMerge w:val="restart"/>
            <w:tcBorders>
              <w:top w:val="single" w:sz="12" w:space="0" w:color="auto"/>
            </w:tcBorders>
          </w:tcPr>
          <w:p w14:paraId="11E45F57" w14:textId="77777777" w:rsidR="00DB261A" w:rsidRPr="00B44B19" w:rsidRDefault="00DB261A" w:rsidP="00AC0D7E">
            <w:pPr>
              <w:jc w:val="center"/>
              <w:rPr>
                <w:rFonts w:eastAsia="Times New Roman" w:cs="Times New Roman"/>
                <w:iCs/>
                <w:noProof/>
                <w:sz w:val="20"/>
              </w:rPr>
            </w:pPr>
            <w:r w:rsidRPr="00B44B19">
              <w:rPr>
                <w:rFonts w:eastAsia="Times New Roman" w:cs="Times New Roman"/>
                <w:iCs/>
                <w:noProof/>
                <w:sz w:val="20"/>
              </w:rPr>
              <w:t>4.9</w:t>
            </w:r>
          </w:p>
        </w:tc>
        <w:tc>
          <w:tcPr>
            <w:tcW w:w="3827" w:type="dxa"/>
            <w:vMerge w:val="restart"/>
            <w:tcBorders>
              <w:top w:val="single" w:sz="12" w:space="0" w:color="auto"/>
            </w:tcBorders>
          </w:tcPr>
          <w:p w14:paraId="012A4C13" w14:textId="77777777" w:rsidR="00DB261A" w:rsidRPr="00B44B19" w:rsidRDefault="00DB261A" w:rsidP="00A817C1">
            <w:pPr>
              <w:rPr>
                <w:rFonts w:eastAsia="Times New Roman" w:cs="Times New Roman"/>
                <w:iCs/>
                <w:noProof/>
                <w:sz w:val="20"/>
              </w:rPr>
            </w:pPr>
            <w:r w:rsidRPr="00B44B19">
              <w:rPr>
                <w:rFonts w:eastAsia="Times New Roman" w:cs="Times New Roman"/>
                <w:iCs/>
                <w:noProof/>
                <w:sz w:val="20"/>
              </w:rPr>
              <w:t>043 – Naujų efektyviai energiją vartojančių pastatų statyba</w:t>
            </w:r>
          </w:p>
        </w:tc>
        <w:tc>
          <w:tcPr>
            <w:tcW w:w="1559" w:type="dxa"/>
            <w:tcBorders>
              <w:top w:val="single" w:sz="12" w:space="0" w:color="auto"/>
              <w:bottom w:val="single" w:sz="4" w:space="0" w:color="auto"/>
            </w:tcBorders>
          </w:tcPr>
          <w:p w14:paraId="4EB5229C" w14:textId="77777777" w:rsidR="00DB261A" w:rsidRPr="00B44B19" w:rsidRDefault="00A044D2" w:rsidP="00A044D2">
            <w:pPr>
              <w:jc w:val="right"/>
              <w:rPr>
                <w:rFonts w:eastAsia="Times New Roman" w:cs="Times New Roman"/>
                <w:iCs/>
                <w:noProof/>
                <w:sz w:val="20"/>
              </w:rPr>
            </w:pPr>
            <w:r w:rsidRPr="00B44B19">
              <w:rPr>
                <w:rFonts w:eastAsia="Times New Roman" w:cs="Times New Roman"/>
                <w:iCs/>
                <w:noProof/>
                <w:sz w:val="20"/>
              </w:rPr>
              <w:t>3 102 316</w:t>
            </w:r>
            <w:r w:rsidR="00DB261A" w:rsidRPr="00B44B19">
              <w:rPr>
                <w:rFonts w:eastAsia="Times New Roman" w:cs="Times New Roman"/>
                <w:iCs/>
                <w:noProof/>
                <w:sz w:val="20"/>
              </w:rPr>
              <w:t>,00</w:t>
            </w:r>
          </w:p>
        </w:tc>
      </w:tr>
      <w:tr w:rsidR="00DB261A" w:rsidRPr="00B44B19" w14:paraId="4C39BAA0" w14:textId="77777777" w:rsidTr="00AF4DED">
        <w:tc>
          <w:tcPr>
            <w:tcW w:w="1101" w:type="dxa"/>
            <w:vMerge/>
          </w:tcPr>
          <w:p w14:paraId="3B120FEB" w14:textId="77777777" w:rsidR="00DB261A" w:rsidRPr="00B44B19" w:rsidRDefault="00DB261A" w:rsidP="00AC0D7E">
            <w:pPr>
              <w:jc w:val="center"/>
              <w:rPr>
                <w:rFonts w:eastAsia="Times New Roman" w:cs="Times New Roman"/>
                <w:iCs/>
                <w:noProof/>
                <w:sz w:val="20"/>
              </w:rPr>
            </w:pPr>
          </w:p>
        </w:tc>
        <w:tc>
          <w:tcPr>
            <w:tcW w:w="850" w:type="dxa"/>
            <w:vMerge/>
          </w:tcPr>
          <w:p w14:paraId="3EF97A18" w14:textId="77777777" w:rsidR="00DB261A" w:rsidRPr="00B44B19" w:rsidRDefault="00DB261A" w:rsidP="00AC0D7E">
            <w:pPr>
              <w:jc w:val="center"/>
              <w:rPr>
                <w:rFonts w:eastAsia="Times New Roman" w:cs="Times New Roman"/>
                <w:iCs/>
                <w:noProof/>
                <w:sz w:val="20"/>
              </w:rPr>
            </w:pPr>
          </w:p>
        </w:tc>
        <w:tc>
          <w:tcPr>
            <w:tcW w:w="1418" w:type="dxa"/>
            <w:tcBorders>
              <w:top w:val="single" w:sz="4" w:space="0" w:color="auto"/>
              <w:bottom w:val="single" w:sz="4" w:space="0" w:color="auto"/>
            </w:tcBorders>
          </w:tcPr>
          <w:p w14:paraId="03CDCEC1" w14:textId="77777777" w:rsidR="00DB261A" w:rsidRPr="00B44B19" w:rsidRDefault="00DB261A"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09816209" w14:textId="77777777" w:rsidR="00DB261A" w:rsidRPr="00B44B19" w:rsidRDefault="00DB261A" w:rsidP="00AC0D7E">
            <w:pPr>
              <w:jc w:val="center"/>
              <w:rPr>
                <w:rFonts w:eastAsia="Times New Roman" w:cs="Times New Roman"/>
                <w:iCs/>
                <w:noProof/>
                <w:sz w:val="20"/>
              </w:rPr>
            </w:pPr>
          </w:p>
        </w:tc>
        <w:tc>
          <w:tcPr>
            <w:tcW w:w="3827" w:type="dxa"/>
            <w:vMerge/>
          </w:tcPr>
          <w:p w14:paraId="439AB548" w14:textId="77777777" w:rsidR="00DB261A" w:rsidRPr="00B44B19" w:rsidRDefault="00DB261A" w:rsidP="00A817C1">
            <w:pPr>
              <w:rPr>
                <w:rFonts w:eastAsia="Times New Roman" w:cs="Times New Roman"/>
                <w:iCs/>
                <w:noProof/>
                <w:sz w:val="20"/>
              </w:rPr>
            </w:pPr>
          </w:p>
        </w:tc>
        <w:tc>
          <w:tcPr>
            <w:tcW w:w="1559" w:type="dxa"/>
            <w:tcBorders>
              <w:top w:val="single" w:sz="4" w:space="0" w:color="auto"/>
              <w:bottom w:val="single" w:sz="4" w:space="0" w:color="auto"/>
            </w:tcBorders>
          </w:tcPr>
          <w:p w14:paraId="212965F9" w14:textId="77777777" w:rsidR="00DB261A" w:rsidRPr="00B44B19" w:rsidRDefault="00A044D2" w:rsidP="00595B07">
            <w:pPr>
              <w:jc w:val="right"/>
              <w:rPr>
                <w:rFonts w:eastAsia="Times New Roman" w:cs="Times New Roman"/>
                <w:iCs/>
                <w:noProof/>
                <w:sz w:val="20"/>
              </w:rPr>
            </w:pPr>
            <w:r w:rsidRPr="00B44B19">
              <w:rPr>
                <w:rFonts w:eastAsia="Times New Roman" w:cs="Times New Roman"/>
                <w:iCs/>
                <w:noProof/>
                <w:sz w:val="20"/>
              </w:rPr>
              <w:t>22 591 240</w:t>
            </w:r>
            <w:r w:rsidR="00DB261A" w:rsidRPr="00B44B19">
              <w:rPr>
                <w:rFonts w:eastAsia="Times New Roman" w:cs="Times New Roman"/>
                <w:iCs/>
                <w:noProof/>
                <w:sz w:val="20"/>
              </w:rPr>
              <w:t>,00</w:t>
            </w:r>
          </w:p>
        </w:tc>
      </w:tr>
      <w:tr w:rsidR="00DB261A" w:rsidRPr="00B44B19" w14:paraId="70A91C3D" w14:textId="77777777" w:rsidTr="00AF4DED">
        <w:tc>
          <w:tcPr>
            <w:tcW w:w="1101" w:type="dxa"/>
            <w:vMerge/>
          </w:tcPr>
          <w:p w14:paraId="5DB97CAA" w14:textId="77777777" w:rsidR="00DB261A" w:rsidRPr="00B44B19" w:rsidRDefault="00DB261A" w:rsidP="00AC0D7E">
            <w:pPr>
              <w:jc w:val="center"/>
              <w:rPr>
                <w:rFonts w:eastAsia="Times New Roman" w:cs="Times New Roman"/>
                <w:iCs/>
                <w:noProof/>
                <w:sz w:val="20"/>
              </w:rPr>
            </w:pPr>
          </w:p>
        </w:tc>
        <w:tc>
          <w:tcPr>
            <w:tcW w:w="850" w:type="dxa"/>
            <w:vMerge/>
          </w:tcPr>
          <w:p w14:paraId="2FF07F38" w14:textId="77777777" w:rsidR="00DB261A" w:rsidRPr="00B44B19" w:rsidRDefault="00DB261A" w:rsidP="00AC0D7E">
            <w:pPr>
              <w:jc w:val="center"/>
              <w:rPr>
                <w:rFonts w:eastAsia="Times New Roman" w:cs="Times New Roman"/>
                <w:iCs/>
                <w:noProof/>
                <w:sz w:val="20"/>
              </w:rPr>
            </w:pPr>
          </w:p>
        </w:tc>
        <w:tc>
          <w:tcPr>
            <w:tcW w:w="1418" w:type="dxa"/>
            <w:tcBorders>
              <w:top w:val="single" w:sz="4" w:space="0" w:color="auto"/>
              <w:bottom w:val="single" w:sz="4" w:space="0" w:color="auto"/>
            </w:tcBorders>
          </w:tcPr>
          <w:p w14:paraId="384D4BAE" w14:textId="77777777" w:rsidR="00DB261A" w:rsidRPr="00B44B19" w:rsidRDefault="00DB261A" w:rsidP="00AC0D7E">
            <w:pPr>
              <w:jc w:val="both"/>
              <w:rPr>
                <w:rFonts w:cs="Times New Roman"/>
                <w:noProof/>
                <w:sz w:val="20"/>
                <w:szCs w:val="20"/>
              </w:rPr>
            </w:pPr>
            <w:r w:rsidRPr="00B44B19">
              <w:rPr>
                <w:rFonts w:cs="Times New Roman"/>
                <w:noProof/>
                <w:sz w:val="20"/>
                <w:szCs w:val="20"/>
              </w:rPr>
              <w:t>Sostinės regionas</w:t>
            </w:r>
          </w:p>
        </w:tc>
        <w:tc>
          <w:tcPr>
            <w:tcW w:w="1134" w:type="dxa"/>
            <w:vMerge/>
          </w:tcPr>
          <w:p w14:paraId="085D1EDE" w14:textId="77777777" w:rsidR="00DB261A" w:rsidRPr="00B44B19" w:rsidRDefault="00DB261A" w:rsidP="00AC0D7E">
            <w:pPr>
              <w:jc w:val="center"/>
              <w:rPr>
                <w:rFonts w:eastAsia="Times New Roman" w:cs="Times New Roman"/>
                <w:iCs/>
                <w:noProof/>
                <w:sz w:val="20"/>
              </w:rPr>
            </w:pPr>
          </w:p>
        </w:tc>
        <w:tc>
          <w:tcPr>
            <w:tcW w:w="3827" w:type="dxa"/>
            <w:vMerge w:val="restart"/>
            <w:tcBorders>
              <w:top w:val="single" w:sz="4" w:space="0" w:color="auto"/>
            </w:tcBorders>
          </w:tcPr>
          <w:p w14:paraId="7775D727" w14:textId="77777777" w:rsidR="00DB261A" w:rsidRPr="00B44B19" w:rsidRDefault="00DB261A" w:rsidP="00A817C1">
            <w:pPr>
              <w:rPr>
                <w:rFonts w:eastAsia="Times New Roman" w:cs="Times New Roman"/>
                <w:iCs/>
                <w:noProof/>
                <w:sz w:val="20"/>
              </w:rPr>
            </w:pPr>
            <w:r w:rsidRPr="00B44B19">
              <w:rPr>
                <w:rFonts w:eastAsia="Times New Roman" w:cs="Times New Roman"/>
                <w:iCs/>
                <w:noProof/>
                <w:sz w:val="20"/>
              </w:rPr>
              <w:t>126 – Būstų infrastruktūra (kitiems asmenims nei migrantai, pabėgėliai ir asmenys, kuriems suteikta tarptautinė apsauga arba kurie prašo suteikti tarptautinę apsaugą)</w:t>
            </w:r>
          </w:p>
        </w:tc>
        <w:tc>
          <w:tcPr>
            <w:tcW w:w="1559" w:type="dxa"/>
            <w:tcBorders>
              <w:top w:val="single" w:sz="4" w:space="0" w:color="auto"/>
              <w:bottom w:val="single" w:sz="4" w:space="0" w:color="auto"/>
            </w:tcBorders>
          </w:tcPr>
          <w:p w14:paraId="7ECBEF52" w14:textId="77777777" w:rsidR="00DB261A" w:rsidRPr="00B44B19" w:rsidRDefault="00DB261A" w:rsidP="00A044D2">
            <w:pPr>
              <w:jc w:val="right"/>
              <w:rPr>
                <w:rFonts w:eastAsia="Times New Roman" w:cs="Times New Roman"/>
                <w:iCs/>
                <w:noProof/>
                <w:sz w:val="20"/>
              </w:rPr>
            </w:pPr>
            <w:r w:rsidRPr="00B44B19">
              <w:rPr>
                <w:rFonts w:eastAsia="Times New Roman" w:cs="Times New Roman"/>
                <w:iCs/>
                <w:noProof/>
                <w:sz w:val="20"/>
              </w:rPr>
              <w:t>7</w:t>
            </w:r>
            <w:r w:rsidR="00A044D2" w:rsidRPr="00B44B19">
              <w:rPr>
                <w:rFonts w:eastAsia="Times New Roman" w:cs="Times New Roman"/>
                <w:iCs/>
                <w:noProof/>
                <w:sz w:val="20"/>
              </w:rPr>
              <w:t> 520 105</w:t>
            </w:r>
            <w:r w:rsidRPr="00B44B19">
              <w:rPr>
                <w:rFonts w:eastAsia="Times New Roman" w:cs="Times New Roman"/>
                <w:iCs/>
                <w:noProof/>
                <w:sz w:val="20"/>
              </w:rPr>
              <w:t xml:space="preserve">,00 </w:t>
            </w:r>
          </w:p>
        </w:tc>
      </w:tr>
      <w:tr w:rsidR="00DB261A" w:rsidRPr="00B44B19" w14:paraId="49A03212" w14:textId="77777777" w:rsidTr="00A817C1">
        <w:tc>
          <w:tcPr>
            <w:tcW w:w="1101" w:type="dxa"/>
            <w:vMerge/>
          </w:tcPr>
          <w:p w14:paraId="22AD4F51" w14:textId="77777777" w:rsidR="00DB261A" w:rsidRPr="00B44B19" w:rsidRDefault="00DB261A" w:rsidP="00AC0D7E">
            <w:pPr>
              <w:jc w:val="center"/>
              <w:rPr>
                <w:rFonts w:eastAsia="Times New Roman" w:cs="Times New Roman"/>
                <w:iCs/>
                <w:noProof/>
                <w:sz w:val="20"/>
              </w:rPr>
            </w:pPr>
          </w:p>
        </w:tc>
        <w:tc>
          <w:tcPr>
            <w:tcW w:w="850" w:type="dxa"/>
            <w:vMerge/>
          </w:tcPr>
          <w:p w14:paraId="6DC89357" w14:textId="77777777" w:rsidR="00DB261A" w:rsidRPr="00B44B19" w:rsidRDefault="00DB261A" w:rsidP="00AC0D7E">
            <w:pPr>
              <w:jc w:val="center"/>
              <w:rPr>
                <w:rFonts w:cs="Times New Roman"/>
              </w:rPr>
            </w:pPr>
          </w:p>
        </w:tc>
        <w:tc>
          <w:tcPr>
            <w:tcW w:w="1418" w:type="dxa"/>
            <w:tcBorders>
              <w:top w:val="single" w:sz="4" w:space="0" w:color="auto"/>
              <w:bottom w:val="single" w:sz="4" w:space="0" w:color="auto"/>
            </w:tcBorders>
          </w:tcPr>
          <w:p w14:paraId="42C9644B" w14:textId="77777777" w:rsidR="00DB261A" w:rsidRPr="00B44B19" w:rsidRDefault="00DB261A"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43197C78" w14:textId="77777777" w:rsidR="00DB261A" w:rsidRPr="00B44B19" w:rsidRDefault="00DB261A" w:rsidP="00AC0D7E">
            <w:pPr>
              <w:jc w:val="center"/>
              <w:rPr>
                <w:rFonts w:cs="Times New Roman"/>
              </w:rPr>
            </w:pPr>
          </w:p>
        </w:tc>
        <w:tc>
          <w:tcPr>
            <w:tcW w:w="3827" w:type="dxa"/>
            <w:vMerge/>
            <w:tcBorders>
              <w:bottom w:val="single" w:sz="4" w:space="0" w:color="auto"/>
            </w:tcBorders>
          </w:tcPr>
          <w:p w14:paraId="43C8DEA9" w14:textId="77777777" w:rsidR="00DB261A" w:rsidRPr="00B44B19" w:rsidRDefault="00DB261A" w:rsidP="001776AF">
            <w:pPr>
              <w:rPr>
                <w:rFonts w:eastAsia="Times New Roman" w:cs="Times New Roman"/>
                <w:iCs/>
                <w:noProof/>
                <w:sz w:val="20"/>
              </w:rPr>
            </w:pPr>
          </w:p>
        </w:tc>
        <w:tc>
          <w:tcPr>
            <w:tcW w:w="1559" w:type="dxa"/>
            <w:tcBorders>
              <w:top w:val="single" w:sz="4" w:space="0" w:color="auto"/>
              <w:bottom w:val="single" w:sz="4" w:space="0" w:color="auto"/>
            </w:tcBorders>
          </w:tcPr>
          <w:p w14:paraId="0C12D5C9" w14:textId="77777777" w:rsidR="00DB261A" w:rsidRPr="00B44B19" w:rsidRDefault="00A044D2" w:rsidP="00954954">
            <w:pPr>
              <w:jc w:val="right"/>
              <w:rPr>
                <w:rFonts w:eastAsia="Times New Roman" w:cs="Times New Roman"/>
                <w:iCs/>
                <w:noProof/>
                <w:sz w:val="20"/>
              </w:rPr>
            </w:pPr>
            <w:r w:rsidRPr="00B44B19">
              <w:rPr>
                <w:rFonts w:eastAsia="Times New Roman" w:cs="Times New Roman"/>
                <w:iCs/>
                <w:noProof/>
                <w:sz w:val="20"/>
              </w:rPr>
              <w:t>51 136 713</w:t>
            </w:r>
            <w:r w:rsidR="00DB261A" w:rsidRPr="00B44B19">
              <w:rPr>
                <w:rFonts w:eastAsia="Times New Roman" w:cs="Times New Roman"/>
                <w:iCs/>
                <w:noProof/>
                <w:sz w:val="20"/>
              </w:rPr>
              <w:t xml:space="preserve">,00 </w:t>
            </w:r>
          </w:p>
        </w:tc>
      </w:tr>
      <w:tr w:rsidR="00DB261A" w:rsidRPr="00B44B19" w14:paraId="584EC249" w14:textId="77777777" w:rsidTr="00A817C1">
        <w:tc>
          <w:tcPr>
            <w:tcW w:w="1101" w:type="dxa"/>
            <w:vMerge/>
          </w:tcPr>
          <w:p w14:paraId="21ADC345" w14:textId="77777777" w:rsidR="00DB261A" w:rsidRPr="00B44B19" w:rsidRDefault="00DB261A" w:rsidP="00AC0D7E">
            <w:pPr>
              <w:jc w:val="center"/>
              <w:rPr>
                <w:rFonts w:eastAsia="Times New Roman" w:cs="Times New Roman"/>
                <w:iCs/>
                <w:noProof/>
                <w:sz w:val="20"/>
              </w:rPr>
            </w:pPr>
          </w:p>
        </w:tc>
        <w:tc>
          <w:tcPr>
            <w:tcW w:w="850" w:type="dxa"/>
            <w:vMerge/>
          </w:tcPr>
          <w:p w14:paraId="2228E2AB" w14:textId="77777777" w:rsidR="00DB261A" w:rsidRPr="00B44B19" w:rsidRDefault="00DB261A" w:rsidP="00AC0D7E">
            <w:pPr>
              <w:jc w:val="center"/>
              <w:rPr>
                <w:rFonts w:cs="Times New Roman"/>
              </w:rPr>
            </w:pPr>
          </w:p>
        </w:tc>
        <w:tc>
          <w:tcPr>
            <w:tcW w:w="1418" w:type="dxa"/>
            <w:tcBorders>
              <w:top w:val="single" w:sz="4" w:space="0" w:color="auto"/>
              <w:bottom w:val="single" w:sz="4" w:space="0" w:color="auto"/>
            </w:tcBorders>
          </w:tcPr>
          <w:p w14:paraId="158C813B" w14:textId="77777777" w:rsidR="00DB261A" w:rsidRPr="00B44B19" w:rsidRDefault="00DB261A" w:rsidP="00AC0D7E">
            <w:pPr>
              <w:jc w:val="both"/>
              <w:rPr>
                <w:rFonts w:cs="Times New Roman"/>
                <w:noProof/>
                <w:sz w:val="20"/>
                <w:szCs w:val="20"/>
              </w:rPr>
            </w:pPr>
            <w:r w:rsidRPr="00B44B19">
              <w:rPr>
                <w:rFonts w:cs="Times New Roman"/>
                <w:noProof/>
                <w:sz w:val="20"/>
                <w:szCs w:val="20"/>
              </w:rPr>
              <w:t>Sostinės regionas</w:t>
            </w:r>
          </w:p>
        </w:tc>
        <w:tc>
          <w:tcPr>
            <w:tcW w:w="1134" w:type="dxa"/>
            <w:vMerge/>
          </w:tcPr>
          <w:p w14:paraId="4A46765F" w14:textId="77777777" w:rsidR="00DB261A" w:rsidRPr="00B44B19" w:rsidRDefault="00DB261A" w:rsidP="00AC0D7E">
            <w:pPr>
              <w:jc w:val="center"/>
              <w:rPr>
                <w:rFonts w:cs="Times New Roman"/>
              </w:rPr>
            </w:pPr>
          </w:p>
        </w:tc>
        <w:tc>
          <w:tcPr>
            <w:tcW w:w="3827" w:type="dxa"/>
            <w:vMerge w:val="restart"/>
            <w:tcBorders>
              <w:top w:val="single" w:sz="4" w:space="0" w:color="auto"/>
            </w:tcBorders>
          </w:tcPr>
          <w:p w14:paraId="0C37EE5C" w14:textId="77777777" w:rsidR="00DB261A" w:rsidRPr="00B44B19" w:rsidRDefault="00DB261A" w:rsidP="00A817C1">
            <w:pPr>
              <w:rPr>
                <w:rFonts w:eastAsia="Times New Roman" w:cs="Times New Roman"/>
                <w:iCs/>
                <w:noProof/>
                <w:sz w:val="20"/>
              </w:rPr>
            </w:pPr>
            <w:r w:rsidRPr="00B44B19">
              <w:rPr>
                <w:rFonts w:eastAsia="Times New Roman" w:cs="Times New Roman"/>
                <w:iCs/>
                <w:noProof/>
                <w:sz w:val="20"/>
              </w:rPr>
              <w:t>127 – Kita socialinė infrastruktūra, kuria prisidedama prie socialinės įtraukties bendruomenėje</w:t>
            </w:r>
          </w:p>
        </w:tc>
        <w:tc>
          <w:tcPr>
            <w:tcW w:w="1559" w:type="dxa"/>
            <w:tcBorders>
              <w:top w:val="single" w:sz="4" w:space="0" w:color="auto"/>
              <w:bottom w:val="single" w:sz="4" w:space="0" w:color="auto"/>
            </w:tcBorders>
          </w:tcPr>
          <w:p w14:paraId="58BFFCB6" w14:textId="77777777" w:rsidR="00DB261A" w:rsidRPr="00B44B19" w:rsidRDefault="00A044D2" w:rsidP="00595B07">
            <w:pPr>
              <w:jc w:val="right"/>
              <w:rPr>
                <w:rFonts w:eastAsia="Times New Roman" w:cs="Times New Roman"/>
                <w:iCs/>
                <w:noProof/>
                <w:sz w:val="20"/>
              </w:rPr>
            </w:pPr>
            <w:r w:rsidRPr="00B44B19">
              <w:rPr>
                <w:rFonts w:eastAsia="Times New Roman" w:cs="Times New Roman"/>
                <w:iCs/>
                <w:noProof/>
                <w:sz w:val="20"/>
              </w:rPr>
              <w:t>16 861 260</w:t>
            </w:r>
            <w:r w:rsidR="00DB261A" w:rsidRPr="00B44B19">
              <w:rPr>
                <w:rFonts w:eastAsia="Times New Roman" w:cs="Times New Roman"/>
                <w:iCs/>
                <w:noProof/>
                <w:sz w:val="20"/>
              </w:rPr>
              <w:t>,00</w:t>
            </w:r>
          </w:p>
        </w:tc>
      </w:tr>
      <w:tr w:rsidR="00DB261A" w:rsidRPr="00B44B19" w14:paraId="77342E96" w14:textId="77777777" w:rsidTr="00A817C1">
        <w:tc>
          <w:tcPr>
            <w:tcW w:w="1101" w:type="dxa"/>
            <w:vMerge/>
          </w:tcPr>
          <w:p w14:paraId="60804123" w14:textId="77777777" w:rsidR="00DB261A" w:rsidRPr="00B44B19" w:rsidRDefault="00DB261A" w:rsidP="00AC0D7E">
            <w:pPr>
              <w:jc w:val="center"/>
              <w:rPr>
                <w:rFonts w:eastAsia="Times New Roman" w:cs="Times New Roman"/>
                <w:iCs/>
                <w:noProof/>
                <w:sz w:val="20"/>
              </w:rPr>
            </w:pPr>
          </w:p>
        </w:tc>
        <w:tc>
          <w:tcPr>
            <w:tcW w:w="850" w:type="dxa"/>
            <w:vMerge/>
          </w:tcPr>
          <w:p w14:paraId="334FB4A8" w14:textId="77777777" w:rsidR="00DB261A" w:rsidRPr="00B44B19" w:rsidRDefault="00DB261A" w:rsidP="00AC0D7E">
            <w:pPr>
              <w:jc w:val="center"/>
              <w:rPr>
                <w:rFonts w:cs="Times New Roman"/>
              </w:rPr>
            </w:pPr>
          </w:p>
        </w:tc>
        <w:tc>
          <w:tcPr>
            <w:tcW w:w="1418" w:type="dxa"/>
            <w:tcBorders>
              <w:top w:val="single" w:sz="4" w:space="0" w:color="auto"/>
              <w:bottom w:val="single" w:sz="4" w:space="0" w:color="auto"/>
            </w:tcBorders>
          </w:tcPr>
          <w:p w14:paraId="13D25BD0" w14:textId="77777777" w:rsidR="00DB261A" w:rsidRPr="00B44B19" w:rsidRDefault="00DB261A"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0818F8AF" w14:textId="77777777" w:rsidR="00DB261A" w:rsidRPr="00B44B19" w:rsidRDefault="00DB261A" w:rsidP="00AC0D7E">
            <w:pPr>
              <w:jc w:val="center"/>
              <w:rPr>
                <w:rFonts w:cs="Times New Roman"/>
              </w:rPr>
            </w:pPr>
          </w:p>
        </w:tc>
        <w:tc>
          <w:tcPr>
            <w:tcW w:w="3827" w:type="dxa"/>
            <w:vMerge/>
            <w:tcBorders>
              <w:bottom w:val="single" w:sz="4" w:space="0" w:color="auto"/>
            </w:tcBorders>
          </w:tcPr>
          <w:p w14:paraId="4108F4F1" w14:textId="77777777" w:rsidR="00DB261A" w:rsidRPr="00B44B19" w:rsidRDefault="00DB261A" w:rsidP="001776AF">
            <w:pPr>
              <w:rPr>
                <w:rFonts w:eastAsia="Times New Roman" w:cs="Times New Roman"/>
                <w:iCs/>
                <w:noProof/>
                <w:sz w:val="20"/>
              </w:rPr>
            </w:pPr>
          </w:p>
        </w:tc>
        <w:tc>
          <w:tcPr>
            <w:tcW w:w="1559" w:type="dxa"/>
            <w:tcBorders>
              <w:top w:val="single" w:sz="4" w:space="0" w:color="auto"/>
              <w:bottom w:val="single" w:sz="4" w:space="0" w:color="auto"/>
            </w:tcBorders>
          </w:tcPr>
          <w:p w14:paraId="0FA99134" w14:textId="77777777" w:rsidR="00DB261A" w:rsidRPr="00B44B19" w:rsidRDefault="00A044D2" w:rsidP="00954954">
            <w:pPr>
              <w:jc w:val="right"/>
              <w:rPr>
                <w:rFonts w:eastAsia="Times New Roman" w:cs="Times New Roman"/>
                <w:iCs/>
                <w:noProof/>
                <w:sz w:val="20"/>
              </w:rPr>
            </w:pPr>
            <w:r w:rsidRPr="00B44B19">
              <w:rPr>
                <w:rFonts w:eastAsia="Times New Roman" w:cs="Times New Roman"/>
                <w:iCs/>
                <w:noProof/>
                <w:sz w:val="20"/>
              </w:rPr>
              <w:t>113 991 358</w:t>
            </w:r>
            <w:r w:rsidR="00DB261A" w:rsidRPr="00B44B19">
              <w:rPr>
                <w:rFonts w:eastAsia="Times New Roman" w:cs="Times New Roman"/>
                <w:iCs/>
                <w:noProof/>
                <w:sz w:val="20"/>
              </w:rPr>
              <w:t>,00</w:t>
            </w:r>
          </w:p>
        </w:tc>
      </w:tr>
      <w:tr w:rsidR="00DB261A" w:rsidRPr="00B44B19" w14:paraId="5BA20CB7" w14:textId="77777777" w:rsidTr="00A817C1">
        <w:tc>
          <w:tcPr>
            <w:tcW w:w="1101" w:type="dxa"/>
            <w:vMerge/>
          </w:tcPr>
          <w:p w14:paraId="27EC2143" w14:textId="77777777" w:rsidR="00DB261A" w:rsidRPr="00B44B19" w:rsidRDefault="00DB261A" w:rsidP="00AC0D7E">
            <w:pPr>
              <w:jc w:val="center"/>
              <w:rPr>
                <w:rFonts w:eastAsia="Times New Roman" w:cs="Times New Roman"/>
                <w:iCs/>
                <w:noProof/>
                <w:sz w:val="20"/>
              </w:rPr>
            </w:pPr>
          </w:p>
        </w:tc>
        <w:tc>
          <w:tcPr>
            <w:tcW w:w="850" w:type="dxa"/>
            <w:vMerge/>
          </w:tcPr>
          <w:p w14:paraId="28C4C90E" w14:textId="77777777" w:rsidR="00DB261A" w:rsidRPr="00B44B19" w:rsidRDefault="00DB261A" w:rsidP="00AC0D7E">
            <w:pPr>
              <w:jc w:val="center"/>
              <w:rPr>
                <w:rFonts w:eastAsia="Times New Roman" w:cs="Times New Roman"/>
                <w:iCs/>
                <w:noProof/>
                <w:sz w:val="20"/>
              </w:rPr>
            </w:pPr>
          </w:p>
        </w:tc>
        <w:tc>
          <w:tcPr>
            <w:tcW w:w="1418" w:type="dxa"/>
            <w:tcBorders>
              <w:top w:val="single" w:sz="4" w:space="0" w:color="auto"/>
              <w:bottom w:val="single" w:sz="4" w:space="0" w:color="auto"/>
            </w:tcBorders>
          </w:tcPr>
          <w:p w14:paraId="2061DD07" w14:textId="77777777" w:rsidR="00DB261A" w:rsidRPr="00B44B19" w:rsidRDefault="00DB261A" w:rsidP="00AC0D7E">
            <w:pPr>
              <w:jc w:val="both"/>
              <w:rPr>
                <w:rFonts w:cs="Times New Roman"/>
                <w:noProof/>
                <w:sz w:val="20"/>
                <w:szCs w:val="20"/>
              </w:rPr>
            </w:pPr>
            <w:r w:rsidRPr="00B44B19">
              <w:rPr>
                <w:rFonts w:cs="Times New Roman"/>
                <w:noProof/>
                <w:sz w:val="20"/>
                <w:szCs w:val="20"/>
              </w:rPr>
              <w:t>Sostinės regionas</w:t>
            </w:r>
          </w:p>
        </w:tc>
        <w:tc>
          <w:tcPr>
            <w:tcW w:w="1134" w:type="dxa"/>
            <w:vMerge/>
          </w:tcPr>
          <w:p w14:paraId="65691F32" w14:textId="77777777" w:rsidR="00DB261A" w:rsidRPr="00B44B19" w:rsidRDefault="00DB261A" w:rsidP="00AC0D7E">
            <w:pPr>
              <w:jc w:val="center"/>
              <w:rPr>
                <w:rFonts w:eastAsia="Times New Roman" w:cs="Times New Roman"/>
                <w:iCs/>
                <w:noProof/>
                <w:sz w:val="20"/>
              </w:rPr>
            </w:pPr>
          </w:p>
        </w:tc>
        <w:tc>
          <w:tcPr>
            <w:tcW w:w="3827" w:type="dxa"/>
            <w:vMerge w:val="restart"/>
            <w:tcBorders>
              <w:top w:val="single" w:sz="4" w:space="0" w:color="auto"/>
            </w:tcBorders>
          </w:tcPr>
          <w:p w14:paraId="0CDEB036" w14:textId="77777777" w:rsidR="00DB261A" w:rsidRPr="00B44B19" w:rsidRDefault="00DB261A" w:rsidP="00A817C1">
            <w:pPr>
              <w:rPr>
                <w:rFonts w:eastAsia="Times New Roman" w:cs="Times New Roman"/>
                <w:iCs/>
                <w:noProof/>
                <w:sz w:val="20"/>
              </w:rPr>
            </w:pPr>
            <w:r w:rsidRPr="00B44B19">
              <w:rPr>
                <w:rFonts w:eastAsia="Times New Roman" w:cs="Times New Roman"/>
                <w:iCs/>
                <w:noProof/>
                <w:sz w:val="20"/>
              </w:rPr>
              <w:t>152 – Priemonės, kuriomis skatinamos lygios galimybės ir aktyvus dalyvavimas visuomenėje</w:t>
            </w:r>
          </w:p>
        </w:tc>
        <w:tc>
          <w:tcPr>
            <w:tcW w:w="1559" w:type="dxa"/>
            <w:tcBorders>
              <w:top w:val="single" w:sz="4" w:space="0" w:color="auto"/>
              <w:bottom w:val="single" w:sz="4" w:space="0" w:color="auto"/>
            </w:tcBorders>
          </w:tcPr>
          <w:p w14:paraId="561AC26F" w14:textId="04160B45" w:rsidR="00DB261A" w:rsidRPr="00B44B19" w:rsidRDefault="009C5AE7" w:rsidP="009C5AE7">
            <w:pPr>
              <w:jc w:val="right"/>
              <w:rPr>
                <w:rFonts w:eastAsia="Times New Roman" w:cs="Times New Roman"/>
                <w:iCs/>
                <w:noProof/>
                <w:sz w:val="20"/>
                <w:szCs w:val="20"/>
              </w:rPr>
            </w:pPr>
            <w:r w:rsidRPr="00B44B19">
              <w:rPr>
                <w:rFonts w:cs="Times New Roman"/>
                <w:color w:val="000000"/>
                <w:sz w:val="20"/>
                <w:szCs w:val="20"/>
              </w:rPr>
              <w:t>1 138 476</w:t>
            </w:r>
            <w:r w:rsidR="00DB261A" w:rsidRPr="00B44B19">
              <w:rPr>
                <w:rFonts w:eastAsia="Times New Roman" w:cs="Times New Roman"/>
                <w:iCs/>
                <w:noProof/>
                <w:sz w:val="20"/>
                <w:szCs w:val="20"/>
              </w:rPr>
              <w:t>,00</w:t>
            </w:r>
          </w:p>
        </w:tc>
      </w:tr>
      <w:tr w:rsidR="00DB261A" w:rsidRPr="00B44B19" w14:paraId="7A2CA5A5" w14:textId="77777777" w:rsidTr="00A817C1">
        <w:tc>
          <w:tcPr>
            <w:tcW w:w="1101" w:type="dxa"/>
            <w:vMerge/>
          </w:tcPr>
          <w:p w14:paraId="72CEB400" w14:textId="77777777" w:rsidR="00DB261A" w:rsidRPr="00B44B19" w:rsidRDefault="00DB261A" w:rsidP="00AC0D7E">
            <w:pPr>
              <w:jc w:val="center"/>
              <w:rPr>
                <w:rFonts w:eastAsia="Times New Roman" w:cs="Times New Roman"/>
                <w:iCs/>
                <w:noProof/>
                <w:sz w:val="20"/>
              </w:rPr>
            </w:pPr>
          </w:p>
        </w:tc>
        <w:tc>
          <w:tcPr>
            <w:tcW w:w="850" w:type="dxa"/>
            <w:vMerge/>
          </w:tcPr>
          <w:p w14:paraId="7EDC56F0" w14:textId="77777777" w:rsidR="00DB261A" w:rsidRPr="00B44B19" w:rsidRDefault="00DB261A" w:rsidP="00AC0D7E">
            <w:pPr>
              <w:jc w:val="center"/>
              <w:rPr>
                <w:rFonts w:cs="Times New Roman"/>
              </w:rPr>
            </w:pPr>
          </w:p>
        </w:tc>
        <w:tc>
          <w:tcPr>
            <w:tcW w:w="1418" w:type="dxa"/>
            <w:tcBorders>
              <w:top w:val="single" w:sz="4" w:space="0" w:color="auto"/>
            </w:tcBorders>
          </w:tcPr>
          <w:p w14:paraId="6600279A" w14:textId="77777777" w:rsidR="00DB261A" w:rsidRPr="00B44B19" w:rsidRDefault="00DB261A"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2EFC26DF" w14:textId="77777777" w:rsidR="00DB261A" w:rsidRPr="00B44B19" w:rsidRDefault="00DB261A" w:rsidP="00AC0D7E">
            <w:pPr>
              <w:jc w:val="center"/>
              <w:rPr>
                <w:rFonts w:cs="Times New Roman"/>
              </w:rPr>
            </w:pPr>
          </w:p>
        </w:tc>
        <w:tc>
          <w:tcPr>
            <w:tcW w:w="3827" w:type="dxa"/>
            <w:vMerge/>
          </w:tcPr>
          <w:p w14:paraId="1A6C1061" w14:textId="77777777" w:rsidR="00DB261A" w:rsidRPr="00B44B19" w:rsidRDefault="00DB261A" w:rsidP="00AC0D7E">
            <w:pPr>
              <w:jc w:val="center"/>
              <w:rPr>
                <w:rFonts w:eastAsia="Times New Roman" w:cs="Times New Roman"/>
                <w:iCs/>
                <w:noProof/>
                <w:sz w:val="20"/>
              </w:rPr>
            </w:pPr>
          </w:p>
        </w:tc>
        <w:tc>
          <w:tcPr>
            <w:tcW w:w="1559" w:type="dxa"/>
            <w:tcBorders>
              <w:top w:val="single" w:sz="4" w:space="0" w:color="auto"/>
            </w:tcBorders>
          </w:tcPr>
          <w:p w14:paraId="3EBD2B23" w14:textId="77777777" w:rsidR="00DB261A" w:rsidRPr="00B44B19" w:rsidRDefault="00DB261A" w:rsidP="00292B4E">
            <w:pPr>
              <w:jc w:val="right"/>
              <w:rPr>
                <w:rFonts w:eastAsia="Times New Roman" w:cs="Times New Roman"/>
                <w:iCs/>
                <w:noProof/>
                <w:sz w:val="20"/>
              </w:rPr>
            </w:pPr>
            <w:r w:rsidRPr="00B44B19">
              <w:rPr>
                <w:rFonts w:cs="Times New Roman"/>
                <w:sz w:val="20"/>
                <w:szCs w:val="20"/>
              </w:rPr>
              <w:t>16 338 065</w:t>
            </w:r>
            <w:r w:rsidRPr="00B44B19">
              <w:rPr>
                <w:rFonts w:eastAsia="Times New Roman" w:cs="Times New Roman"/>
                <w:iCs/>
                <w:noProof/>
                <w:sz w:val="20"/>
                <w:szCs w:val="20"/>
              </w:rPr>
              <w:t>,00</w:t>
            </w:r>
          </w:p>
        </w:tc>
      </w:tr>
    </w:tbl>
    <w:p w14:paraId="1DDB932B" w14:textId="77777777" w:rsidR="0066383D" w:rsidRPr="00B44B19" w:rsidRDefault="0066383D" w:rsidP="00691690">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RPr="00B44B19" w14:paraId="0641C0C9"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BA9A593" w14:textId="77777777" w:rsidR="0066383D" w:rsidRPr="00B44B19" w:rsidRDefault="0066383D" w:rsidP="00050A2E">
            <w:pPr>
              <w:rPr>
                <w:rFonts w:eastAsia="Times New Roman" w:cs="Times New Roman"/>
                <w:b/>
                <w:iCs/>
                <w:noProof/>
                <w:sz w:val="20"/>
              </w:rPr>
            </w:pPr>
            <w:r w:rsidRPr="00B44B19">
              <w:rPr>
                <w:rFonts w:cs="Times New Roman"/>
                <w:b/>
                <w:noProof/>
                <w:sz w:val="20"/>
              </w:rPr>
              <w:t>5 lentelė</w:t>
            </w:r>
            <w:r w:rsidR="0001727A" w:rsidRPr="00B44B19">
              <w:rPr>
                <w:rFonts w:cs="Times New Roman"/>
                <w:b/>
                <w:noProof/>
                <w:sz w:val="20"/>
              </w:rPr>
              <w:t>.</w:t>
            </w:r>
            <w:r w:rsidRPr="00B44B19">
              <w:rPr>
                <w:rFonts w:cs="Times New Roman"/>
                <w:b/>
                <w:noProof/>
                <w:sz w:val="20"/>
              </w:rPr>
              <w:t xml:space="preserve"> 2 matmuo</w:t>
            </w:r>
            <w:r w:rsidR="0001727A" w:rsidRPr="00B44B19">
              <w:rPr>
                <w:rFonts w:cs="Times New Roman"/>
                <w:b/>
                <w:noProof/>
                <w:sz w:val="20"/>
              </w:rPr>
              <w:t xml:space="preserve"> </w:t>
            </w:r>
            <w:r w:rsidR="00050A2E" w:rsidRPr="00B44B19">
              <w:rPr>
                <w:rFonts w:cs="Times New Roman"/>
                <w:b/>
                <w:noProof/>
                <w:sz w:val="20"/>
              </w:rPr>
              <w:t>Finansavimo</w:t>
            </w:r>
            <w:r w:rsidR="000A6E4C" w:rsidRPr="00B44B19">
              <w:rPr>
                <w:rFonts w:cs="Times New Roman"/>
                <w:b/>
                <w:noProof/>
                <w:sz w:val="20"/>
              </w:rPr>
              <w:t xml:space="preserve"> </w:t>
            </w:r>
            <w:r w:rsidRPr="00B44B19">
              <w:rPr>
                <w:rFonts w:cs="Times New Roman"/>
                <w:b/>
                <w:noProof/>
                <w:sz w:val="20"/>
              </w:rPr>
              <w:t>forma</w:t>
            </w:r>
          </w:p>
        </w:tc>
      </w:tr>
      <w:tr w:rsidR="0066383D" w:rsidRPr="00B44B19" w14:paraId="68F32B68"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8DA45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E6050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5BC792"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03E05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C23B3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60C4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C1383" w:rsidRPr="00B44B19" w14:paraId="22F9170C" w14:textId="77777777" w:rsidTr="00A817C1">
        <w:tc>
          <w:tcPr>
            <w:tcW w:w="1101" w:type="dxa"/>
            <w:vMerge w:val="restart"/>
            <w:tcBorders>
              <w:top w:val="single" w:sz="12" w:space="0" w:color="auto"/>
            </w:tcBorders>
          </w:tcPr>
          <w:p w14:paraId="53D52686" w14:textId="77777777" w:rsidR="007C1383" w:rsidRPr="00B44B19" w:rsidRDefault="007C1383" w:rsidP="008635CD">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3333B22E" w14:textId="77777777" w:rsidR="007C1383" w:rsidRPr="00B44B19" w:rsidRDefault="007C1383" w:rsidP="00AC0D7E">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61475DD5" w14:textId="77777777" w:rsidR="007C1383" w:rsidRPr="00B44B19" w:rsidRDefault="007C1383" w:rsidP="00AC0D7E">
            <w:pPr>
              <w:jc w:val="both"/>
              <w:rPr>
                <w:rFonts w:cs="Times New Roman"/>
                <w:noProof/>
                <w:sz w:val="20"/>
                <w:szCs w:val="20"/>
              </w:rPr>
            </w:pPr>
            <w:r w:rsidRPr="00B44B19">
              <w:rPr>
                <w:rFonts w:cs="Times New Roman"/>
                <w:noProof/>
                <w:sz w:val="20"/>
                <w:szCs w:val="20"/>
              </w:rPr>
              <w:t>Sostinės regionas</w:t>
            </w:r>
          </w:p>
        </w:tc>
        <w:tc>
          <w:tcPr>
            <w:tcW w:w="1134" w:type="dxa"/>
            <w:vMerge w:val="restart"/>
            <w:tcBorders>
              <w:top w:val="single" w:sz="12" w:space="0" w:color="auto"/>
            </w:tcBorders>
          </w:tcPr>
          <w:p w14:paraId="09E7AD64" w14:textId="77777777" w:rsidR="007C1383" w:rsidRPr="00B44B19" w:rsidRDefault="007C1383" w:rsidP="00AC0D7E">
            <w:pPr>
              <w:jc w:val="center"/>
              <w:rPr>
                <w:rFonts w:eastAsia="Times New Roman" w:cs="Times New Roman"/>
                <w:iCs/>
                <w:noProof/>
                <w:sz w:val="20"/>
              </w:rPr>
            </w:pPr>
            <w:r w:rsidRPr="00B44B19">
              <w:rPr>
                <w:rFonts w:eastAsia="Times New Roman" w:cs="Times New Roman"/>
                <w:iCs/>
                <w:noProof/>
                <w:sz w:val="20"/>
              </w:rPr>
              <w:t>4.9</w:t>
            </w:r>
          </w:p>
        </w:tc>
        <w:tc>
          <w:tcPr>
            <w:tcW w:w="3827" w:type="dxa"/>
            <w:vMerge w:val="restart"/>
            <w:tcBorders>
              <w:top w:val="single" w:sz="12" w:space="0" w:color="auto"/>
            </w:tcBorders>
          </w:tcPr>
          <w:p w14:paraId="17F39638" w14:textId="77777777" w:rsidR="007C1383" w:rsidRPr="00B44B19" w:rsidRDefault="007C1383" w:rsidP="00A817C1">
            <w:pPr>
              <w:rPr>
                <w:rFonts w:eastAsia="Times New Roman" w:cs="Times New Roman"/>
                <w:iCs/>
                <w:noProof/>
                <w:sz w:val="20"/>
              </w:rPr>
            </w:pPr>
            <w:r w:rsidRPr="00B44B19">
              <w:rPr>
                <w:rFonts w:eastAsia="Times New Roman" w:cs="Times New Roman"/>
                <w:iCs/>
                <w:noProof/>
                <w:sz w:val="20"/>
              </w:rPr>
              <w:t>01 – Dotacija</w:t>
            </w:r>
          </w:p>
        </w:tc>
        <w:tc>
          <w:tcPr>
            <w:tcW w:w="1559" w:type="dxa"/>
            <w:tcBorders>
              <w:top w:val="single" w:sz="12" w:space="0" w:color="auto"/>
              <w:bottom w:val="single" w:sz="4" w:space="0" w:color="auto"/>
            </w:tcBorders>
          </w:tcPr>
          <w:p w14:paraId="76D6A15B" w14:textId="5CBB0C50" w:rsidR="007C1383" w:rsidRPr="00B44B19" w:rsidRDefault="009C5AE7" w:rsidP="009C5AE7">
            <w:pPr>
              <w:jc w:val="right"/>
              <w:rPr>
                <w:rFonts w:eastAsia="Times New Roman" w:cs="Times New Roman"/>
                <w:iCs/>
                <w:noProof/>
                <w:sz w:val="20"/>
              </w:rPr>
            </w:pPr>
            <w:r w:rsidRPr="00B44B19">
              <w:rPr>
                <w:rFonts w:cs="Times New Roman"/>
                <w:color w:val="000000"/>
                <w:sz w:val="20"/>
                <w:szCs w:val="20"/>
              </w:rPr>
              <w:t>28 622 157</w:t>
            </w:r>
            <w:r w:rsidR="007C1383" w:rsidRPr="00B44B19">
              <w:rPr>
                <w:rFonts w:cs="Times New Roman"/>
                <w:color w:val="000000"/>
                <w:sz w:val="20"/>
                <w:szCs w:val="20"/>
              </w:rPr>
              <w:t>,00</w:t>
            </w:r>
          </w:p>
        </w:tc>
      </w:tr>
      <w:tr w:rsidR="007C1383" w:rsidRPr="00B44B19" w14:paraId="654C6A5C" w14:textId="77777777" w:rsidTr="00A817C1">
        <w:tc>
          <w:tcPr>
            <w:tcW w:w="1101" w:type="dxa"/>
            <w:vMerge/>
            <w:tcBorders>
              <w:bottom w:val="single" w:sz="4" w:space="0" w:color="auto"/>
            </w:tcBorders>
          </w:tcPr>
          <w:p w14:paraId="48F5EBEB" w14:textId="77777777" w:rsidR="007C1383" w:rsidRPr="00B44B19" w:rsidRDefault="007C1383" w:rsidP="00AC0D7E">
            <w:pPr>
              <w:jc w:val="center"/>
              <w:rPr>
                <w:rFonts w:eastAsia="Times New Roman" w:cs="Times New Roman"/>
                <w:iCs/>
                <w:noProof/>
                <w:sz w:val="20"/>
              </w:rPr>
            </w:pPr>
          </w:p>
        </w:tc>
        <w:tc>
          <w:tcPr>
            <w:tcW w:w="850" w:type="dxa"/>
            <w:vMerge/>
            <w:tcBorders>
              <w:bottom w:val="single" w:sz="4" w:space="0" w:color="auto"/>
            </w:tcBorders>
          </w:tcPr>
          <w:p w14:paraId="1D6877EE" w14:textId="77777777" w:rsidR="007C1383" w:rsidRPr="00B44B19" w:rsidRDefault="007C1383" w:rsidP="00AC0D7E">
            <w:pPr>
              <w:jc w:val="center"/>
              <w:rPr>
                <w:rFonts w:cs="Times New Roman"/>
              </w:rPr>
            </w:pPr>
          </w:p>
        </w:tc>
        <w:tc>
          <w:tcPr>
            <w:tcW w:w="1418" w:type="dxa"/>
            <w:tcBorders>
              <w:top w:val="single" w:sz="4" w:space="0" w:color="auto"/>
              <w:bottom w:val="single" w:sz="4" w:space="0" w:color="auto"/>
            </w:tcBorders>
          </w:tcPr>
          <w:p w14:paraId="4BCDABF8" w14:textId="77777777" w:rsidR="007C1383" w:rsidRPr="00B44B19" w:rsidRDefault="007C1383"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2C4B2003" w14:textId="77777777" w:rsidR="007C1383" w:rsidRPr="00B44B19" w:rsidRDefault="007C1383" w:rsidP="00AC0D7E">
            <w:pPr>
              <w:jc w:val="center"/>
              <w:rPr>
                <w:rFonts w:cs="Times New Roman"/>
              </w:rPr>
            </w:pPr>
          </w:p>
        </w:tc>
        <w:tc>
          <w:tcPr>
            <w:tcW w:w="3827" w:type="dxa"/>
            <w:vMerge/>
          </w:tcPr>
          <w:p w14:paraId="5917E18A" w14:textId="77777777" w:rsidR="007C1383" w:rsidRPr="00B44B19" w:rsidRDefault="007C1383" w:rsidP="00AC0D7E">
            <w:pPr>
              <w:jc w:val="center"/>
              <w:rPr>
                <w:rFonts w:eastAsia="Times New Roman" w:cs="Times New Roman"/>
                <w:iCs/>
                <w:noProof/>
                <w:sz w:val="20"/>
              </w:rPr>
            </w:pPr>
          </w:p>
        </w:tc>
        <w:tc>
          <w:tcPr>
            <w:tcW w:w="1559" w:type="dxa"/>
            <w:tcBorders>
              <w:top w:val="single" w:sz="4" w:space="0" w:color="auto"/>
              <w:bottom w:val="single" w:sz="4" w:space="0" w:color="auto"/>
            </w:tcBorders>
          </w:tcPr>
          <w:p w14:paraId="04344BCB" w14:textId="77777777" w:rsidR="007C1383" w:rsidRPr="00B44B19" w:rsidRDefault="007C1383" w:rsidP="00BA535F">
            <w:pPr>
              <w:jc w:val="right"/>
              <w:rPr>
                <w:rFonts w:eastAsia="Times New Roman" w:cs="Times New Roman"/>
                <w:iCs/>
                <w:noProof/>
                <w:sz w:val="20"/>
              </w:rPr>
            </w:pPr>
            <w:r w:rsidRPr="00B44B19">
              <w:rPr>
                <w:rFonts w:cs="Times New Roman"/>
                <w:color w:val="000000"/>
                <w:sz w:val="20"/>
                <w:szCs w:val="20"/>
              </w:rPr>
              <w:t>204 057 376,00</w:t>
            </w:r>
          </w:p>
        </w:tc>
      </w:tr>
    </w:tbl>
    <w:p w14:paraId="3F992D6E" w14:textId="77777777" w:rsidR="0066383D" w:rsidRPr="00B44B19" w:rsidRDefault="0066383D" w:rsidP="00691690">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418"/>
        <w:gridCol w:w="1134"/>
        <w:gridCol w:w="3827"/>
        <w:gridCol w:w="1559"/>
      </w:tblGrid>
      <w:tr w:rsidR="0066383D" w:rsidRPr="00B44B19" w14:paraId="658D5B8F"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2709EEA" w14:textId="77777777" w:rsidR="0066383D" w:rsidRPr="00B44B19" w:rsidRDefault="0066383D" w:rsidP="0066383D">
            <w:pPr>
              <w:rPr>
                <w:rFonts w:eastAsia="Times New Roman" w:cs="Times New Roman"/>
                <w:b/>
                <w:iCs/>
                <w:noProof/>
                <w:sz w:val="20"/>
              </w:rPr>
            </w:pPr>
            <w:r w:rsidRPr="00B44B19">
              <w:rPr>
                <w:rFonts w:cs="Times New Roman"/>
                <w:b/>
                <w:noProof/>
                <w:sz w:val="20"/>
              </w:rPr>
              <w:t xml:space="preserve">6 lentelė. 3 matmuo. </w:t>
            </w:r>
            <w:r w:rsidR="000A6E4C" w:rsidRPr="00B44B19">
              <w:rPr>
                <w:rFonts w:cs="Times New Roman"/>
                <w:b/>
                <w:noProof/>
                <w:sz w:val="20"/>
              </w:rPr>
              <w:t>Teritorinis įgyvendinimo mechanizmas ir pagrindinė teritorinė sritis</w:t>
            </w:r>
          </w:p>
        </w:tc>
      </w:tr>
      <w:tr w:rsidR="0066383D" w:rsidRPr="00B44B19" w14:paraId="692A6D20" w14:textId="77777777" w:rsidTr="00A817C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FE7428"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BB225D"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1F8C4"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514CC5"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FB0C0B"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09B9D2"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595B07" w:rsidRPr="00B44B19" w14:paraId="35610DCC" w14:textId="77777777" w:rsidTr="00A817C1">
        <w:tc>
          <w:tcPr>
            <w:tcW w:w="1101" w:type="dxa"/>
            <w:vMerge w:val="restart"/>
            <w:tcBorders>
              <w:top w:val="single" w:sz="12" w:space="0" w:color="auto"/>
            </w:tcBorders>
          </w:tcPr>
          <w:p w14:paraId="1BA95B8A" w14:textId="77777777" w:rsidR="00595B07" w:rsidRPr="00B44B19" w:rsidRDefault="00595B07" w:rsidP="006368E3">
            <w:pPr>
              <w:jc w:val="center"/>
              <w:rPr>
                <w:rFonts w:eastAsia="Times New Roman" w:cs="Times New Roman"/>
                <w:sz w:val="20"/>
              </w:rPr>
            </w:pPr>
            <w:r w:rsidRPr="00B44B19">
              <w:rPr>
                <w:rFonts w:eastAsia="Times New Roman" w:cs="Times New Roman"/>
                <w:iCs/>
                <w:noProof/>
                <w:sz w:val="20"/>
              </w:rPr>
              <w:t>4</w:t>
            </w:r>
          </w:p>
        </w:tc>
        <w:tc>
          <w:tcPr>
            <w:tcW w:w="850" w:type="dxa"/>
            <w:vMerge w:val="restart"/>
            <w:tcBorders>
              <w:top w:val="single" w:sz="12" w:space="0" w:color="auto"/>
            </w:tcBorders>
          </w:tcPr>
          <w:p w14:paraId="4B297AB9" w14:textId="77777777" w:rsidR="00595B07" w:rsidRPr="00B44B19" w:rsidRDefault="00595B07" w:rsidP="00AC0D7E">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1155F0E3" w14:textId="77777777" w:rsidR="00595B07" w:rsidRPr="00B44B19" w:rsidRDefault="00595B07" w:rsidP="00AC0D7E">
            <w:pPr>
              <w:jc w:val="both"/>
              <w:rPr>
                <w:rFonts w:cs="Times New Roman"/>
                <w:noProof/>
                <w:sz w:val="20"/>
                <w:szCs w:val="20"/>
              </w:rPr>
            </w:pPr>
            <w:r w:rsidRPr="00B44B19">
              <w:rPr>
                <w:rFonts w:cs="Times New Roman"/>
                <w:noProof/>
                <w:sz w:val="20"/>
                <w:szCs w:val="20"/>
              </w:rPr>
              <w:t>Sostinės regionas</w:t>
            </w:r>
          </w:p>
        </w:tc>
        <w:tc>
          <w:tcPr>
            <w:tcW w:w="1134" w:type="dxa"/>
            <w:vMerge w:val="restart"/>
            <w:tcBorders>
              <w:top w:val="single" w:sz="12" w:space="0" w:color="auto"/>
            </w:tcBorders>
          </w:tcPr>
          <w:p w14:paraId="2906FA99" w14:textId="77777777" w:rsidR="00595B07" w:rsidRPr="00B44B19" w:rsidRDefault="00595B07" w:rsidP="00595B07">
            <w:pPr>
              <w:jc w:val="center"/>
              <w:rPr>
                <w:rFonts w:eastAsia="Times New Roman" w:cs="Times New Roman"/>
                <w:iCs/>
                <w:noProof/>
                <w:sz w:val="20"/>
              </w:rPr>
            </w:pPr>
            <w:r w:rsidRPr="00B44B19">
              <w:rPr>
                <w:rFonts w:eastAsia="Times New Roman" w:cs="Times New Roman"/>
                <w:iCs/>
                <w:noProof/>
                <w:sz w:val="20"/>
              </w:rPr>
              <w:t>4.9</w:t>
            </w:r>
          </w:p>
        </w:tc>
        <w:tc>
          <w:tcPr>
            <w:tcW w:w="3827" w:type="dxa"/>
            <w:vMerge w:val="restart"/>
            <w:tcBorders>
              <w:top w:val="single" w:sz="12" w:space="0" w:color="auto"/>
            </w:tcBorders>
          </w:tcPr>
          <w:p w14:paraId="0BC89A06" w14:textId="77777777" w:rsidR="00595B07" w:rsidRPr="00B44B19" w:rsidRDefault="000A6E4C" w:rsidP="00A817C1">
            <w:pPr>
              <w:rPr>
                <w:rFonts w:eastAsia="Times New Roman" w:cs="Times New Roman"/>
                <w:iCs/>
                <w:noProof/>
                <w:sz w:val="20"/>
              </w:rPr>
            </w:pPr>
            <w:r w:rsidRPr="00B44B19">
              <w:rPr>
                <w:rFonts w:eastAsia="Times New Roman" w:cs="Times New Roman"/>
                <w:iCs/>
                <w:noProof/>
                <w:sz w:val="20"/>
                <w:szCs w:val="20"/>
              </w:rPr>
              <w:t xml:space="preserve">10 </w:t>
            </w:r>
            <w:r w:rsidR="00D43A78" w:rsidRPr="00B44B19">
              <w:rPr>
                <w:rFonts w:eastAsia="Times New Roman" w:cs="Times New Roman"/>
                <w:iCs/>
                <w:noProof/>
                <w:sz w:val="20"/>
                <w:szCs w:val="20"/>
              </w:rPr>
              <w:t>–</w:t>
            </w:r>
            <w:r w:rsidRPr="00B44B19">
              <w:rPr>
                <w:rFonts w:eastAsia="Times New Roman" w:cs="Times New Roman"/>
                <w:iCs/>
                <w:noProof/>
                <w:sz w:val="20"/>
                <w:szCs w:val="20"/>
              </w:rPr>
              <w:t xml:space="preserve"> Miestai, miesteliai ir priemiesčiai</w:t>
            </w:r>
          </w:p>
        </w:tc>
        <w:tc>
          <w:tcPr>
            <w:tcW w:w="1559" w:type="dxa"/>
            <w:tcBorders>
              <w:top w:val="single" w:sz="12" w:space="0" w:color="auto"/>
              <w:bottom w:val="single" w:sz="4" w:space="0" w:color="auto"/>
            </w:tcBorders>
          </w:tcPr>
          <w:p w14:paraId="29C994E0" w14:textId="0ED44663" w:rsidR="00595B07" w:rsidRPr="00B44B19" w:rsidRDefault="009C5AE7" w:rsidP="009C5AE7">
            <w:pPr>
              <w:jc w:val="right"/>
              <w:rPr>
                <w:rFonts w:eastAsia="Times New Roman" w:cs="Times New Roman"/>
                <w:iCs/>
                <w:noProof/>
                <w:sz w:val="20"/>
              </w:rPr>
            </w:pPr>
            <w:r w:rsidRPr="00B44B19">
              <w:rPr>
                <w:rFonts w:cs="Times New Roman"/>
                <w:color w:val="000000"/>
                <w:sz w:val="20"/>
                <w:szCs w:val="20"/>
              </w:rPr>
              <w:t>1 138 476</w:t>
            </w:r>
            <w:r w:rsidR="000A6E4C" w:rsidRPr="00B44B19">
              <w:rPr>
                <w:rFonts w:cs="Times New Roman"/>
                <w:color w:val="000000"/>
                <w:sz w:val="20"/>
                <w:szCs w:val="20"/>
              </w:rPr>
              <w:t>,00</w:t>
            </w:r>
          </w:p>
        </w:tc>
      </w:tr>
      <w:tr w:rsidR="00595B07" w:rsidRPr="00B44B19" w14:paraId="5DABC236" w14:textId="77777777" w:rsidTr="00A817C1">
        <w:tc>
          <w:tcPr>
            <w:tcW w:w="1101" w:type="dxa"/>
            <w:vMerge/>
          </w:tcPr>
          <w:p w14:paraId="675B1C54" w14:textId="77777777" w:rsidR="00595B07" w:rsidRPr="00B44B19" w:rsidRDefault="00595B07" w:rsidP="00AC0D7E">
            <w:pPr>
              <w:jc w:val="center"/>
              <w:rPr>
                <w:rFonts w:eastAsia="Times New Roman" w:cs="Times New Roman"/>
                <w:iCs/>
                <w:noProof/>
                <w:sz w:val="20"/>
              </w:rPr>
            </w:pPr>
          </w:p>
        </w:tc>
        <w:tc>
          <w:tcPr>
            <w:tcW w:w="850" w:type="dxa"/>
            <w:vMerge/>
          </w:tcPr>
          <w:p w14:paraId="2D5ABED3" w14:textId="77777777" w:rsidR="00595B07" w:rsidRPr="00B44B19" w:rsidRDefault="00595B07" w:rsidP="00AC0D7E">
            <w:pPr>
              <w:jc w:val="center"/>
              <w:rPr>
                <w:rFonts w:cs="Times New Roman"/>
              </w:rPr>
            </w:pPr>
          </w:p>
        </w:tc>
        <w:tc>
          <w:tcPr>
            <w:tcW w:w="1418" w:type="dxa"/>
            <w:tcBorders>
              <w:top w:val="single" w:sz="4" w:space="0" w:color="auto"/>
              <w:bottom w:val="single" w:sz="4" w:space="0" w:color="auto"/>
            </w:tcBorders>
          </w:tcPr>
          <w:p w14:paraId="0D57653E" w14:textId="77777777" w:rsidR="00595B07" w:rsidRPr="00B44B19" w:rsidRDefault="00595B07"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6CD3C507" w14:textId="77777777" w:rsidR="00595B07" w:rsidRPr="00B44B19" w:rsidRDefault="00595B07" w:rsidP="00AC0D7E">
            <w:pPr>
              <w:jc w:val="center"/>
              <w:rPr>
                <w:rFonts w:cs="Times New Roman"/>
              </w:rPr>
            </w:pPr>
          </w:p>
        </w:tc>
        <w:tc>
          <w:tcPr>
            <w:tcW w:w="3827" w:type="dxa"/>
            <w:vMerge/>
            <w:tcBorders>
              <w:bottom w:val="single" w:sz="4" w:space="0" w:color="auto"/>
            </w:tcBorders>
          </w:tcPr>
          <w:p w14:paraId="133A7EA7" w14:textId="77777777" w:rsidR="00595B07" w:rsidRPr="00B44B19" w:rsidRDefault="00595B07" w:rsidP="00A817C1">
            <w:pPr>
              <w:rPr>
                <w:rFonts w:eastAsia="Times New Roman" w:cs="Times New Roman"/>
                <w:iCs/>
                <w:noProof/>
                <w:sz w:val="20"/>
              </w:rPr>
            </w:pPr>
          </w:p>
        </w:tc>
        <w:tc>
          <w:tcPr>
            <w:tcW w:w="1559" w:type="dxa"/>
            <w:tcBorders>
              <w:top w:val="single" w:sz="4" w:space="0" w:color="auto"/>
              <w:bottom w:val="single" w:sz="4" w:space="0" w:color="auto"/>
            </w:tcBorders>
          </w:tcPr>
          <w:p w14:paraId="46198FBB" w14:textId="77777777" w:rsidR="00595B07" w:rsidRPr="00B44B19" w:rsidRDefault="000A6E4C" w:rsidP="00B133AE">
            <w:pPr>
              <w:jc w:val="right"/>
              <w:rPr>
                <w:rFonts w:eastAsia="Times New Roman" w:cs="Times New Roman"/>
                <w:iCs/>
                <w:noProof/>
                <w:sz w:val="20"/>
              </w:rPr>
            </w:pPr>
            <w:r w:rsidRPr="00B44B19">
              <w:rPr>
                <w:rFonts w:cs="Times New Roman"/>
                <w:color w:val="000000"/>
                <w:sz w:val="20"/>
                <w:szCs w:val="20"/>
              </w:rPr>
              <w:t>16 338 065,00</w:t>
            </w:r>
          </w:p>
        </w:tc>
      </w:tr>
      <w:tr w:rsidR="007C1383" w:rsidRPr="00B44B19" w14:paraId="5B8B49A4" w14:textId="77777777" w:rsidTr="00CF59C7">
        <w:tc>
          <w:tcPr>
            <w:tcW w:w="1101" w:type="dxa"/>
            <w:vMerge/>
          </w:tcPr>
          <w:p w14:paraId="2146842F" w14:textId="77777777" w:rsidR="007C1383" w:rsidRPr="00B44B19" w:rsidRDefault="007C1383" w:rsidP="00AC0D7E">
            <w:pPr>
              <w:jc w:val="center"/>
              <w:rPr>
                <w:rFonts w:eastAsia="Times New Roman" w:cs="Times New Roman"/>
                <w:iCs/>
                <w:noProof/>
                <w:sz w:val="20"/>
              </w:rPr>
            </w:pPr>
          </w:p>
        </w:tc>
        <w:tc>
          <w:tcPr>
            <w:tcW w:w="850" w:type="dxa"/>
            <w:vMerge/>
          </w:tcPr>
          <w:p w14:paraId="2949CE80" w14:textId="77777777" w:rsidR="007C1383" w:rsidRPr="00B44B19" w:rsidRDefault="007C1383" w:rsidP="00AC0D7E">
            <w:pPr>
              <w:jc w:val="center"/>
              <w:rPr>
                <w:rFonts w:cs="Times New Roman"/>
              </w:rPr>
            </w:pPr>
          </w:p>
        </w:tc>
        <w:tc>
          <w:tcPr>
            <w:tcW w:w="1418" w:type="dxa"/>
            <w:tcBorders>
              <w:top w:val="single" w:sz="4" w:space="0" w:color="auto"/>
              <w:bottom w:val="single" w:sz="4" w:space="0" w:color="auto"/>
            </w:tcBorders>
          </w:tcPr>
          <w:p w14:paraId="0F83CCA9" w14:textId="77777777" w:rsidR="007C1383" w:rsidRPr="00B44B19" w:rsidRDefault="007C1383" w:rsidP="00AC0D7E">
            <w:pPr>
              <w:jc w:val="both"/>
              <w:rPr>
                <w:rFonts w:cs="Times New Roman"/>
                <w:noProof/>
                <w:sz w:val="20"/>
                <w:szCs w:val="20"/>
              </w:rPr>
            </w:pPr>
            <w:r w:rsidRPr="00B44B19">
              <w:rPr>
                <w:rFonts w:cs="Times New Roman"/>
                <w:noProof/>
                <w:sz w:val="20"/>
                <w:szCs w:val="20"/>
              </w:rPr>
              <w:t>Sostinės regionas</w:t>
            </w:r>
          </w:p>
        </w:tc>
        <w:tc>
          <w:tcPr>
            <w:tcW w:w="1134" w:type="dxa"/>
            <w:vMerge/>
          </w:tcPr>
          <w:p w14:paraId="4E4F1FCC" w14:textId="77777777" w:rsidR="007C1383" w:rsidRPr="00B44B19" w:rsidRDefault="007C1383" w:rsidP="00AC0D7E">
            <w:pPr>
              <w:jc w:val="center"/>
              <w:rPr>
                <w:rFonts w:cs="Times New Roman"/>
              </w:rPr>
            </w:pPr>
          </w:p>
        </w:tc>
        <w:tc>
          <w:tcPr>
            <w:tcW w:w="3827" w:type="dxa"/>
            <w:vMerge w:val="restart"/>
          </w:tcPr>
          <w:p w14:paraId="4C83BBFC" w14:textId="77777777" w:rsidR="007C1383" w:rsidRPr="00B44B19" w:rsidRDefault="007C1383" w:rsidP="00A817C1">
            <w:pPr>
              <w:rPr>
                <w:rFonts w:eastAsia="Times New Roman" w:cs="Times New Roman"/>
                <w:iCs/>
                <w:noProof/>
                <w:sz w:val="20"/>
              </w:rPr>
            </w:pPr>
            <w:r w:rsidRPr="00B44B19">
              <w:rPr>
                <w:rFonts w:eastAsia="Times New Roman" w:cs="Times New Roman"/>
                <w:bCs/>
                <w:iCs/>
                <w:noProof/>
                <w:sz w:val="20"/>
                <w:szCs w:val="20"/>
              </w:rPr>
              <w:t xml:space="preserve">02 – </w:t>
            </w:r>
            <w:bookmarkStart w:id="50" w:name="_Hlk86304126"/>
            <w:r w:rsidRPr="00B44B19">
              <w:rPr>
                <w:rFonts w:eastAsia="Times New Roman" w:cs="Times New Roman"/>
                <w:bCs/>
                <w:iCs/>
                <w:noProof/>
                <w:sz w:val="20"/>
                <w:szCs w:val="20"/>
              </w:rPr>
              <w:t>Miestai, miesteliai ir priemiesčiai</w:t>
            </w:r>
            <w:bookmarkEnd w:id="50"/>
          </w:p>
        </w:tc>
        <w:tc>
          <w:tcPr>
            <w:tcW w:w="1559" w:type="dxa"/>
            <w:tcBorders>
              <w:top w:val="single" w:sz="4" w:space="0" w:color="auto"/>
              <w:bottom w:val="single" w:sz="4" w:space="0" w:color="auto"/>
            </w:tcBorders>
          </w:tcPr>
          <w:p w14:paraId="74CF9B72" w14:textId="77777777" w:rsidR="007C1383" w:rsidRPr="00B44B19" w:rsidRDefault="007C1383" w:rsidP="007C1383">
            <w:pPr>
              <w:jc w:val="right"/>
              <w:rPr>
                <w:rFonts w:cs="Times New Roman"/>
                <w:color w:val="000000"/>
                <w:sz w:val="20"/>
                <w:szCs w:val="20"/>
              </w:rPr>
            </w:pPr>
            <w:r w:rsidRPr="00B44B19">
              <w:rPr>
                <w:rFonts w:eastAsia="Times New Roman" w:cs="Times New Roman"/>
                <w:iCs/>
                <w:noProof/>
                <w:sz w:val="20"/>
              </w:rPr>
              <w:t>9 069 615,00</w:t>
            </w:r>
          </w:p>
        </w:tc>
      </w:tr>
      <w:tr w:rsidR="007C1383" w:rsidRPr="00B44B19" w14:paraId="6A75C434" w14:textId="77777777" w:rsidTr="00A817C1">
        <w:tc>
          <w:tcPr>
            <w:tcW w:w="1101" w:type="dxa"/>
            <w:vMerge/>
          </w:tcPr>
          <w:p w14:paraId="099501B5" w14:textId="77777777" w:rsidR="007C1383" w:rsidRPr="00B44B19" w:rsidRDefault="007C1383" w:rsidP="00AC0D7E">
            <w:pPr>
              <w:jc w:val="center"/>
              <w:rPr>
                <w:rFonts w:eastAsia="Times New Roman" w:cs="Times New Roman"/>
                <w:iCs/>
                <w:noProof/>
                <w:sz w:val="20"/>
              </w:rPr>
            </w:pPr>
          </w:p>
        </w:tc>
        <w:tc>
          <w:tcPr>
            <w:tcW w:w="850" w:type="dxa"/>
            <w:vMerge/>
          </w:tcPr>
          <w:p w14:paraId="346F2A29" w14:textId="77777777" w:rsidR="007C1383" w:rsidRPr="00B44B19" w:rsidRDefault="007C1383" w:rsidP="00AC0D7E">
            <w:pPr>
              <w:jc w:val="center"/>
              <w:rPr>
                <w:rFonts w:cs="Times New Roman"/>
              </w:rPr>
            </w:pPr>
          </w:p>
        </w:tc>
        <w:tc>
          <w:tcPr>
            <w:tcW w:w="1418" w:type="dxa"/>
            <w:tcBorders>
              <w:top w:val="single" w:sz="4" w:space="0" w:color="auto"/>
              <w:bottom w:val="single" w:sz="4" w:space="0" w:color="auto"/>
            </w:tcBorders>
          </w:tcPr>
          <w:p w14:paraId="27B14395" w14:textId="77777777" w:rsidR="007C1383" w:rsidRPr="00B44B19" w:rsidRDefault="007C1383"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567A790E" w14:textId="77777777" w:rsidR="007C1383" w:rsidRPr="00B44B19" w:rsidRDefault="007C1383" w:rsidP="00AC0D7E">
            <w:pPr>
              <w:jc w:val="center"/>
              <w:rPr>
                <w:rFonts w:cs="Times New Roman"/>
              </w:rPr>
            </w:pPr>
          </w:p>
        </w:tc>
        <w:tc>
          <w:tcPr>
            <w:tcW w:w="3827" w:type="dxa"/>
            <w:vMerge/>
            <w:tcBorders>
              <w:bottom w:val="single" w:sz="4" w:space="0" w:color="auto"/>
            </w:tcBorders>
          </w:tcPr>
          <w:p w14:paraId="3382E454" w14:textId="77777777" w:rsidR="007C1383" w:rsidRPr="00B44B19" w:rsidRDefault="007C1383" w:rsidP="00A817C1">
            <w:pPr>
              <w:rPr>
                <w:rFonts w:eastAsia="Times New Roman" w:cs="Times New Roman"/>
                <w:iCs/>
                <w:noProof/>
                <w:sz w:val="20"/>
              </w:rPr>
            </w:pPr>
          </w:p>
        </w:tc>
        <w:tc>
          <w:tcPr>
            <w:tcW w:w="1559" w:type="dxa"/>
            <w:tcBorders>
              <w:top w:val="single" w:sz="4" w:space="0" w:color="auto"/>
              <w:bottom w:val="single" w:sz="4" w:space="0" w:color="auto"/>
            </w:tcBorders>
          </w:tcPr>
          <w:p w14:paraId="3F7E46FA" w14:textId="77777777" w:rsidR="007C1383" w:rsidRPr="00B44B19" w:rsidRDefault="007C1383" w:rsidP="007C1383">
            <w:pPr>
              <w:jc w:val="right"/>
              <w:rPr>
                <w:rFonts w:cs="Times New Roman"/>
                <w:color w:val="000000"/>
                <w:sz w:val="20"/>
                <w:szCs w:val="20"/>
              </w:rPr>
            </w:pPr>
            <w:r w:rsidRPr="00B44B19">
              <w:rPr>
                <w:rFonts w:eastAsia="Times New Roman" w:cs="Times New Roman"/>
                <w:iCs/>
                <w:noProof/>
                <w:sz w:val="20"/>
              </w:rPr>
              <w:t>61 947 373,00</w:t>
            </w:r>
          </w:p>
        </w:tc>
      </w:tr>
      <w:tr w:rsidR="00FE0568" w:rsidRPr="00B44B19" w14:paraId="71BD5E77" w14:textId="77777777" w:rsidTr="00CF59C7">
        <w:tc>
          <w:tcPr>
            <w:tcW w:w="1101" w:type="dxa"/>
            <w:vMerge/>
          </w:tcPr>
          <w:p w14:paraId="42F4E17F" w14:textId="77777777" w:rsidR="00FE0568" w:rsidRPr="00B44B19" w:rsidRDefault="00FE0568" w:rsidP="00AC0D7E">
            <w:pPr>
              <w:jc w:val="center"/>
              <w:rPr>
                <w:rFonts w:eastAsia="Times New Roman" w:cs="Times New Roman"/>
                <w:iCs/>
                <w:noProof/>
                <w:sz w:val="20"/>
              </w:rPr>
            </w:pPr>
          </w:p>
        </w:tc>
        <w:tc>
          <w:tcPr>
            <w:tcW w:w="850" w:type="dxa"/>
            <w:vMerge/>
          </w:tcPr>
          <w:p w14:paraId="477BA079" w14:textId="77777777" w:rsidR="00FE0568" w:rsidRPr="00B44B19" w:rsidRDefault="00FE0568" w:rsidP="00AC0D7E">
            <w:pPr>
              <w:jc w:val="center"/>
              <w:rPr>
                <w:rFonts w:cs="Times New Roman"/>
              </w:rPr>
            </w:pPr>
          </w:p>
        </w:tc>
        <w:tc>
          <w:tcPr>
            <w:tcW w:w="1418" w:type="dxa"/>
            <w:tcBorders>
              <w:top w:val="single" w:sz="4" w:space="0" w:color="auto"/>
              <w:bottom w:val="single" w:sz="4" w:space="0" w:color="auto"/>
            </w:tcBorders>
          </w:tcPr>
          <w:p w14:paraId="6CC82BE7" w14:textId="77777777" w:rsidR="00FE0568" w:rsidRPr="00B44B19" w:rsidRDefault="00FE0568" w:rsidP="00AC0D7E">
            <w:pPr>
              <w:jc w:val="both"/>
              <w:rPr>
                <w:rFonts w:cs="Times New Roman"/>
                <w:noProof/>
                <w:sz w:val="20"/>
                <w:szCs w:val="20"/>
              </w:rPr>
            </w:pPr>
            <w:r w:rsidRPr="00B44B19">
              <w:rPr>
                <w:rFonts w:cs="Times New Roman"/>
                <w:noProof/>
                <w:sz w:val="20"/>
                <w:szCs w:val="20"/>
              </w:rPr>
              <w:t>Sostinės regionas</w:t>
            </w:r>
          </w:p>
        </w:tc>
        <w:tc>
          <w:tcPr>
            <w:tcW w:w="1134" w:type="dxa"/>
            <w:vMerge/>
          </w:tcPr>
          <w:p w14:paraId="564936FA" w14:textId="77777777" w:rsidR="00FE0568" w:rsidRPr="00B44B19" w:rsidRDefault="00FE0568" w:rsidP="00AC0D7E">
            <w:pPr>
              <w:jc w:val="center"/>
              <w:rPr>
                <w:rFonts w:cs="Times New Roman"/>
              </w:rPr>
            </w:pPr>
          </w:p>
        </w:tc>
        <w:tc>
          <w:tcPr>
            <w:tcW w:w="3827" w:type="dxa"/>
            <w:vMerge w:val="restart"/>
          </w:tcPr>
          <w:p w14:paraId="51CEEA9D" w14:textId="77777777" w:rsidR="00FE0568" w:rsidRPr="00B44B19" w:rsidRDefault="00FE0568" w:rsidP="00A817C1">
            <w:pPr>
              <w:rPr>
                <w:rFonts w:eastAsia="Times New Roman" w:cs="Times New Roman"/>
                <w:iCs/>
                <w:noProof/>
                <w:sz w:val="20"/>
              </w:rPr>
            </w:pPr>
            <w:bookmarkStart w:id="51" w:name="_Hlk86304355"/>
            <w:r w:rsidRPr="00B44B19">
              <w:rPr>
                <w:rFonts w:eastAsia="Times New Roman" w:cs="Times New Roman"/>
                <w:bCs/>
                <w:iCs/>
                <w:noProof/>
                <w:sz w:val="20"/>
                <w:szCs w:val="20"/>
              </w:rPr>
              <w:t xml:space="preserve">08 </w:t>
            </w:r>
            <w:r w:rsidR="00D43A78" w:rsidRPr="00B44B19">
              <w:rPr>
                <w:rFonts w:eastAsia="Times New Roman" w:cs="Times New Roman"/>
                <w:bCs/>
                <w:iCs/>
                <w:noProof/>
                <w:sz w:val="20"/>
                <w:szCs w:val="20"/>
              </w:rPr>
              <w:t>–</w:t>
            </w:r>
            <w:r w:rsidRPr="00B44B19">
              <w:rPr>
                <w:rFonts w:eastAsia="Times New Roman" w:cs="Times New Roman"/>
                <w:bCs/>
                <w:iCs/>
                <w:noProof/>
                <w:sz w:val="20"/>
                <w:szCs w:val="20"/>
              </w:rPr>
              <w:t xml:space="preserve"> Kitų rūšių tikslinės teritorijos</w:t>
            </w:r>
            <w:bookmarkEnd w:id="51"/>
          </w:p>
        </w:tc>
        <w:tc>
          <w:tcPr>
            <w:tcW w:w="1559" w:type="dxa"/>
            <w:tcBorders>
              <w:top w:val="single" w:sz="4" w:space="0" w:color="auto"/>
              <w:bottom w:val="single" w:sz="4" w:space="0" w:color="auto"/>
            </w:tcBorders>
          </w:tcPr>
          <w:p w14:paraId="0A0B620E" w14:textId="77777777" w:rsidR="00FE0568" w:rsidRPr="00B44B19" w:rsidRDefault="00FE0568" w:rsidP="007C1383">
            <w:pPr>
              <w:jc w:val="right"/>
              <w:rPr>
                <w:rFonts w:cs="Times New Roman"/>
                <w:color w:val="000000"/>
                <w:sz w:val="20"/>
                <w:szCs w:val="20"/>
              </w:rPr>
            </w:pPr>
            <w:r w:rsidRPr="00B44B19">
              <w:rPr>
                <w:rFonts w:eastAsia="Times New Roman" w:cs="Times New Roman"/>
                <w:iCs/>
                <w:noProof/>
                <w:sz w:val="20"/>
              </w:rPr>
              <w:t>9 069</w:t>
            </w:r>
            <w:r w:rsidR="000B7997" w:rsidRPr="00B44B19">
              <w:rPr>
                <w:rFonts w:eastAsia="Times New Roman" w:cs="Times New Roman"/>
                <w:iCs/>
                <w:noProof/>
                <w:sz w:val="20"/>
              </w:rPr>
              <w:t> </w:t>
            </w:r>
            <w:r w:rsidRPr="00B44B19">
              <w:rPr>
                <w:rFonts w:eastAsia="Times New Roman" w:cs="Times New Roman"/>
                <w:iCs/>
                <w:noProof/>
                <w:sz w:val="20"/>
              </w:rPr>
              <w:t>61</w:t>
            </w:r>
            <w:r w:rsidR="00B03F4A" w:rsidRPr="00B44B19">
              <w:rPr>
                <w:rFonts w:eastAsia="Times New Roman" w:cs="Times New Roman"/>
                <w:iCs/>
                <w:noProof/>
                <w:sz w:val="20"/>
              </w:rPr>
              <w:t>5,</w:t>
            </w:r>
            <w:r w:rsidR="000B7997" w:rsidRPr="00B44B19">
              <w:rPr>
                <w:rFonts w:eastAsia="Times New Roman" w:cs="Times New Roman"/>
                <w:iCs/>
                <w:noProof/>
                <w:sz w:val="20"/>
              </w:rPr>
              <w:t>00</w:t>
            </w:r>
          </w:p>
        </w:tc>
      </w:tr>
      <w:tr w:rsidR="00FE0568" w:rsidRPr="00B44B19" w14:paraId="4D96033B" w14:textId="77777777" w:rsidTr="00A817C1">
        <w:tc>
          <w:tcPr>
            <w:tcW w:w="1101" w:type="dxa"/>
            <w:vMerge/>
          </w:tcPr>
          <w:p w14:paraId="08DE01F5" w14:textId="77777777" w:rsidR="00FE0568" w:rsidRPr="00B44B19" w:rsidRDefault="00FE0568" w:rsidP="00AC0D7E">
            <w:pPr>
              <w:jc w:val="center"/>
              <w:rPr>
                <w:rFonts w:eastAsia="Times New Roman" w:cs="Times New Roman"/>
                <w:iCs/>
                <w:noProof/>
                <w:sz w:val="20"/>
              </w:rPr>
            </w:pPr>
          </w:p>
        </w:tc>
        <w:tc>
          <w:tcPr>
            <w:tcW w:w="850" w:type="dxa"/>
            <w:vMerge/>
          </w:tcPr>
          <w:p w14:paraId="47FDB7E5" w14:textId="77777777" w:rsidR="00FE0568" w:rsidRPr="00B44B19" w:rsidRDefault="00FE0568" w:rsidP="00AC0D7E">
            <w:pPr>
              <w:jc w:val="center"/>
              <w:rPr>
                <w:rFonts w:cs="Times New Roman"/>
              </w:rPr>
            </w:pPr>
          </w:p>
        </w:tc>
        <w:tc>
          <w:tcPr>
            <w:tcW w:w="1418" w:type="dxa"/>
            <w:tcBorders>
              <w:top w:val="single" w:sz="4" w:space="0" w:color="auto"/>
              <w:bottom w:val="single" w:sz="4" w:space="0" w:color="auto"/>
            </w:tcBorders>
          </w:tcPr>
          <w:p w14:paraId="6B84A641" w14:textId="77777777" w:rsidR="00FE0568" w:rsidRPr="00B44B19" w:rsidRDefault="00FE0568"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5AEAF230" w14:textId="77777777" w:rsidR="00FE0568" w:rsidRPr="00B44B19" w:rsidRDefault="00FE0568" w:rsidP="00AC0D7E">
            <w:pPr>
              <w:jc w:val="center"/>
              <w:rPr>
                <w:rFonts w:cs="Times New Roman"/>
              </w:rPr>
            </w:pPr>
          </w:p>
        </w:tc>
        <w:tc>
          <w:tcPr>
            <w:tcW w:w="3827" w:type="dxa"/>
            <w:vMerge/>
            <w:tcBorders>
              <w:bottom w:val="single" w:sz="4" w:space="0" w:color="auto"/>
            </w:tcBorders>
          </w:tcPr>
          <w:p w14:paraId="025A0EE8" w14:textId="77777777" w:rsidR="00FE0568" w:rsidRPr="00B44B19" w:rsidRDefault="00FE0568" w:rsidP="00A817C1">
            <w:pPr>
              <w:rPr>
                <w:rFonts w:eastAsia="Times New Roman" w:cs="Times New Roman"/>
                <w:iCs/>
                <w:noProof/>
                <w:sz w:val="20"/>
              </w:rPr>
            </w:pPr>
          </w:p>
        </w:tc>
        <w:tc>
          <w:tcPr>
            <w:tcW w:w="1559" w:type="dxa"/>
            <w:tcBorders>
              <w:top w:val="single" w:sz="4" w:space="0" w:color="auto"/>
              <w:bottom w:val="single" w:sz="4" w:space="0" w:color="auto"/>
            </w:tcBorders>
          </w:tcPr>
          <w:p w14:paraId="53FA8A3C" w14:textId="77777777" w:rsidR="00FE0568" w:rsidRPr="00B44B19" w:rsidRDefault="00FE0568" w:rsidP="007C1383">
            <w:pPr>
              <w:jc w:val="right"/>
              <w:rPr>
                <w:rFonts w:cs="Times New Roman"/>
                <w:color w:val="000000"/>
                <w:sz w:val="20"/>
                <w:szCs w:val="20"/>
              </w:rPr>
            </w:pPr>
            <w:r w:rsidRPr="00B44B19">
              <w:rPr>
                <w:rFonts w:eastAsia="Times New Roman" w:cs="Times New Roman"/>
                <w:iCs/>
                <w:noProof/>
                <w:sz w:val="20"/>
              </w:rPr>
              <w:t>61 947</w:t>
            </w:r>
            <w:r w:rsidR="000B7997" w:rsidRPr="00B44B19">
              <w:rPr>
                <w:rFonts w:eastAsia="Times New Roman" w:cs="Times New Roman"/>
                <w:iCs/>
                <w:noProof/>
                <w:sz w:val="20"/>
              </w:rPr>
              <w:t> </w:t>
            </w:r>
            <w:r w:rsidRPr="00B44B19">
              <w:rPr>
                <w:rFonts w:eastAsia="Times New Roman" w:cs="Times New Roman"/>
                <w:iCs/>
                <w:noProof/>
                <w:sz w:val="20"/>
              </w:rPr>
              <w:t>37</w:t>
            </w:r>
            <w:r w:rsidR="00B03F4A" w:rsidRPr="00B44B19">
              <w:rPr>
                <w:rFonts w:eastAsia="Times New Roman" w:cs="Times New Roman"/>
                <w:iCs/>
                <w:noProof/>
                <w:sz w:val="20"/>
              </w:rPr>
              <w:t>3,</w:t>
            </w:r>
            <w:r w:rsidR="000B7997" w:rsidRPr="00B44B19">
              <w:rPr>
                <w:rFonts w:eastAsia="Times New Roman" w:cs="Times New Roman"/>
                <w:iCs/>
                <w:noProof/>
                <w:sz w:val="20"/>
              </w:rPr>
              <w:t>00</w:t>
            </w:r>
          </w:p>
        </w:tc>
      </w:tr>
      <w:tr w:rsidR="00595B07" w:rsidRPr="00B44B19" w14:paraId="0D7FDA5B" w14:textId="77777777" w:rsidTr="00A817C1">
        <w:tc>
          <w:tcPr>
            <w:tcW w:w="1101" w:type="dxa"/>
            <w:vMerge/>
          </w:tcPr>
          <w:p w14:paraId="0F06BA57" w14:textId="77777777" w:rsidR="00595B07" w:rsidRPr="00B44B19" w:rsidRDefault="00595B07" w:rsidP="00AC0D7E">
            <w:pPr>
              <w:jc w:val="center"/>
              <w:rPr>
                <w:rFonts w:eastAsia="Times New Roman" w:cs="Times New Roman"/>
                <w:iCs/>
                <w:noProof/>
                <w:sz w:val="20"/>
              </w:rPr>
            </w:pPr>
          </w:p>
        </w:tc>
        <w:tc>
          <w:tcPr>
            <w:tcW w:w="850" w:type="dxa"/>
            <w:vMerge/>
          </w:tcPr>
          <w:p w14:paraId="10274F29" w14:textId="77777777" w:rsidR="00595B07" w:rsidRPr="00B44B19" w:rsidRDefault="00595B07" w:rsidP="00AC0D7E">
            <w:pPr>
              <w:jc w:val="center"/>
              <w:rPr>
                <w:rFonts w:eastAsia="Times New Roman" w:cs="Times New Roman"/>
                <w:iCs/>
                <w:noProof/>
                <w:sz w:val="20"/>
              </w:rPr>
            </w:pPr>
          </w:p>
        </w:tc>
        <w:tc>
          <w:tcPr>
            <w:tcW w:w="1418" w:type="dxa"/>
            <w:tcBorders>
              <w:top w:val="single" w:sz="4" w:space="0" w:color="auto"/>
              <w:bottom w:val="single" w:sz="4" w:space="0" w:color="auto"/>
            </w:tcBorders>
          </w:tcPr>
          <w:p w14:paraId="4F148A2C" w14:textId="77777777" w:rsidR="00595B07" w:rsidRPr="00B44B19" w:rsidRDefault="00595B07" w:rsidP="00AC0D7E">
            <w:pPr>
              <w:jc w:val="both"/>
              <w:rPr>
                <w:rFonts w:cs="Times New Roman"/>
                <w:noProof/>
                <w:sz w:val="20"/>
                <w:szCs w:val="20"/>
              </w:rPr>
            </w:pPr>
            <w:r w:rsidRPr="00B44B19">
              <w:rPr>
                <w:rFonts w:cs="Times New Roman"/>
                <w:noProof/>
                <w:sz w:val="20"/>
                <w:szCs w:val="20"/>
              </w:rPr>
              <w:t>Sostinės regionas</w:t>
            </w:r>
          </w:p>
        </w:tc>
        <w:tc>
          <w:tcPr>
            <w:tcW w:w="1134" w:type="dxa"/>
            <w:vMerge/>
          </w:tcPr>
          <w:p w14:paraId="62058F40" w14:textId="77777777" w:rsidR="00595B07" w:rsidRPr="00B44B19" w:rsidRDefault="00595B07" w:rsidP="00AC0D7E">
            <w:pPr>
              <w:jc w:val="center"/>
              <w:rPr>
                <w:rFonts w:eastAsia="Times New Roman" w:cs="Times New Roman"/>
                <w:iCs/>
                <w:noProof/>
                <w:sz w:val="20"/>
              </w:rPr>
            </w:pPr>
          </w:p>
        </w:tc>
        <w:tc>
          <w:tcPr>
            <w:tcW w:w="3827" w:type="dxa"/>
            <w:vMerge w:val="restart"/>
            <w:tcBorders>
              <w:top w:val="single" w:sz="4" w:space="0" w:color="auto"/>
            </w:tcBorders>
          </w:tcPr>
          <w:p w14:paraId="0A557F37" w14:textId="77777777" w:rsidR="00595B07" w:rsidRPr="00B44B19" w:rsidRDefault="00595B07" w:rsidP="00A817C1">
            <w:pPr>
              <w:rPr>
                <w:rFonts w:eastAsia="Times New Roman" w:cs="Times New Roman"/>
                <w:iCs/>
                <w:noProof/>
                <w:sz w:val="20"/>
              </w:rPr>
            </w:pPr>
            <w:r w:rsidRPr="00B44B19">
              <w:rPr>
                <w:rFonts w:eastAsia="Times New Roman" w:cs="Times New Roman"/>
                <w:iCs/>
                <w:noProof/>
                <w:sz w:val="20"/>
              </w:rPr>
              <w:t>33</w:t>
            </w:r>
            <w:r w:rsidR="00A817C1" w:rsidRPr="00B44B19">
              <w:rPr>
                <w:rFonts w:eastAsia="Times New Roman" w:cs="Times New Roman"/>
                <w:iCs/>
                <w:noProof/>
                <w:sz w:val="20"/>
              </w:rPr>
              <w:t xml:space="preserve"> </w:t>
            </w:r>
            <w:r w:rsidR="00D43A78" w:rsidRPr="00B44B19">
              <w:rPr>
                <w:rFonts w:eastAsia="Times New Roman" w:cs="Times New Roman"/>
                <w:iCs/>
                <w:noProof/>
                <w:sz w:val="20"/>
              </w:rPr>
              <w:t>–</w:t>
            </w:r>
            <w:r w:rsidR="00A817C1" w:rsidRPr="00B44B19">
              <w:rPr>
                <w:rFonts w:eastAsia="Times New Roman" w:cs="Times New Roman"/>
                <w:iCs/>
                <w:noProof/>
                <w:sz w:val="20"/>
              </w:rPr>
              <w:t xml:space="preserve"> Nesiorientuojant į teritoriškumą</w:t>
            </w:r>
          </w:p>
        </w:tc>
        <w:tc>
          <w:tcPr>
            <w:tcW w:w="1559" w:type="dxa"/>
            <w:tcBorders>
              <w:top w:val="single" w:sz="4" w:space="0" w:color="auto"/>
              <w:bottom w:val="single" w:sz="4" w:space="0" w:color="auto"/>
            </w:tcBorders>
          </w:tcPr>
          <w:p w14:paraId="0CFE2937" w14:textId="77777777" w:rsidR="00595B07" w:rsidRPr="00B44B19" w:rsidRDefault="00FE0568" w:rsidP="00A817C1">
            <w:pPr>
              <w:jc w:val="right"/>
              <w:rPr>
                <w:rFonts w:eastAsia="Times New Roman" w:cs="Times New Roman"/>
                <w:iCs/>
                <w:noProof/>
                <w:sz w:val="20"/>
              </w:rPr>
            </w:pPr>
            <w:r w:rsidRPr="00B44B19">
              <w:rPr>
                <w:rFonts w:eastAsia="Times New Roman" w:cs="Times New Roman"/>
                <w:iCs/>
                <w:noProof/>
                <w:sz w:val="20"/>
              </w:rPr>
              <w:t>9 344 451,</w:t>
            </w:r>
            <w:r w:rsidR="000B7997" w:rsidRPr="00B44B19">
              <w:rPr>
                <w:rFonts w:eastAsia="Times New Roman" w:cs="Times New Roman"/>
                <w:iCs/>
                <w:noProof/>
                <w:sz w:val="20"/>
              </w:rPr>
              <w:t>00</w:t>
            </w:r>
          </w:p>
        </w:tc>
      </w:tr>
      <w:tr w:rsidR="00595B07" w:rsidRPr="00B44B19" w14:paraId="0E0020A6" w14:textId="77777777" w:rsidTr="00A817C1">
        <w:tc>
          <w:tcPr>
            <w:tcW w:w="1101" w:type="dxa"/>
            <w:vMerge/>
          </w:tcPr>
          <w:p w14:paraId="7CE89173" w14:textId="77777777" w:rsidR="00595B07" w:rsidRPr="00B44B19" w:rsidRDefault="00595B07" w:rsidP="00AC0D7E">
            <w:pPr>
              <w:jc w:val="center"/>
              <w:rPr>
                <w:rFonts w:eastAsia="Times New Roman" w:cs="Times New Roman"/>
                <w:iCs/>
                <w:noProof/>
                <w:sz w:val="20"/>
              </w:rPr>
            </w:pPr>
          </w:p>
        </w:tc>
        <w:tc>
          <w:tcPr>
            <w:tcW w:w="850" w:type="dxa"/>
            <w:vMerge/>
          </w:tcPr>
          <w:p w14:paraId="0120D20E" w14:textId="77777777" w:rsidR="00595B07" w:rsidRPr="00B44B19" w:rsidRDefault="00595B07" w:rsidP="00AC0D7E">
            <w:pPr>
              <w:jc w:val="center"/>
              <w:rPr>
                <w:rFonts w:cs="Times New Roman"/>
              </w:rPr>
            </w:pPr>
          </w:p>
        </w:tc>
        <w:tc>
          <w:tcPr>
            <w:tcW w:w="1418" w:type="dxa"/>
            <w:tcBorders>
              <w:top w:val="single" w:sz="4" w:space="0" w:color="auto"/>
            </w:tcBorders>
          </w:tcPr>
          <w:p w14:paraId="63271E81" w14:textId="77777777" w:rsidR="00595B07" w:rsidRPr="00B44B19" w:rsidRDefault="00595B07" w:rsidP="00AC0D7E">
            <w:pPr>
              <w:jc w:val="both"/>
              <w:rPr>
                <w:rFonts w:cs="Times New Roman"/>
                <w:noProof/>
                <w:sz w:val="20"/>
                <w:szCs w:val="20"/>
              </w:rPr>
            </w:pPr>
            <w:r w:rsidRPr="00B44B19">
              <w:rPr>
                <w:rFonts w:cs="Times New Roman"/>
                <w:noProof/>
                <w:sz w:val="20"/>
                <w:szCs w:val="20"/>
              </w:rPr>
              <w:t>VVL regionas</w:t>
            </w:r>
          </w:p>
        </w:tc>
        <w:tc>
          <w:tcPr>
            <w:tcW w:w="1134" w:type="dxa"/>
            <w:vMerge/>
          </w:tcPr>
          <w:p w14:paraId="6ECA1646" w14:textId="77777777" w:rsidR="00595B07" w:rsidRPr="00B44B19" w:rsidRDefault="00595B07" w:rsidP="00AC0D7E">
            <w:pPr>
              <w:jc w:val="center"/>
              <w:rPr>
                <w:rFonts w:cs="Times New Roman"/>
              </w:rPr>
            </w:pPr>
          </w:p>
        </w:tc>
        <w:tc>
          <w:tcPr>
            <w:tcW w:w="3827" w:type="dxa"/>
            <w:vMerge/>
          </w:tcPr>
          <w:p w14:paraId="59C577CF" w14:textId="77777777" w:rsidR="00595B07" w:rsidRPr="00B44B19" w:rsidRDefault="00595B07" w:rsidP="00AC0D7E">
            <w:pPr>
              <w:jc w:val="center"/>
              <w:rPr>
                <w:rFonts w:eastAsia="Times New Roman" w:cs="Times New Roman"/>
                <w:iCs/>
                <w:noProof/>
                <w:sz w:val="20"/>
              </w:rPr>
            </w:pPr>
          </w:p>
        </w:tc>
        <w:tc>
          <w:tcPr>
            <w:tcW w:w="1559" w:type="dxa"/>
            <w:tcBorders>
              <w:top w:val="single" w:sz="4" w:space="0" w:color="auto"/>
            </w:tcBorders>
          </w:tcPr>
          <w:p w14:paraId="07922E1F" w14:textId="77777777" w:rsidR="00595B07" w:rsidRPr="00B44B19" w:rsidRDefault="00FE0568" w:rsidP="007C1383">
            <w:pPr>
              <w:jc w:val="right"/>
              <w:rPr>
                <w:rFonts w:eastAsia="Times New Roman" w:cs="Times New Roman"/>
                <w:iCs/>
                <w:noProof/>
                <w:sz w:val="20"/>
              </w:rPr>
            </w:pPr>
            <w:r w:rsidRPr="00B44B19">
              <w:rPr>
                <w:rFonts w:eastAsia="Times New Roman" w:cs="Times New Roman"/>
                <w:iCs/>
                <w:noProof/>
                <w:sz w:val="20"/>
              </w:rPr>
              <w:t>63 824 565,</w:t>
            </w:r>
            <w:r w:rsidR="000B7997" w:rsidRPr="00B44B19">
              <w:rPr>
                <w:rFonts w:eastAsia="Times New Roman" w:cs="Times New Roman"/>
                <w:iCs/>
                <w:noProof/>
                <w:sz w:val="20"/>
              </w:rPr>
              <w:t>00</w:t>
            </w:r>
          </w:p>
        </w:tc>
      </w:tr>
    </w:tbl>
    <w:p w14:paraId="35F13B6D" w14:textId="77777777" w:rsidR="00E438B8" w:rsidRPr="00B44B19" w:rsidRDefault="00E438B8" w:rsidP="00A13B21">
      <w:pPr>
        <w:spacing w:after="0"/>
        <w:rPr>
          <w:rFonts w:cs="Times New Roman"/>
        </w:rPr>
      </w:pPr>
    </w:p>
    <w:tbl>
      <w:tblPr>
        <w:tblStyle w:val="Lentelstinklelis42"/>
        <w:tblW w:w="9889" w:type="dxa"/>
        <w:tblLook w:val="04A0" w:firstRow="1" w:lastRow="0" w:firstColumn="1" w:lastColumn="0" w:noHBand="0" w:noVBand="1"/>
      </w:tblPr>
      <w:tblGrid>
        <w:gridCol w:w="1101"/>
        <w:gridCol w:w="850"/>
        <w:gridCol w:w="1418"/>
        <w:gridCol w:w="1275"/>
        <w:gridCol w:w="3686"/>
        <w:gridCol w:w="1559"/>
      </w:tblGrid>
      <w:tr w:rsidR="006368E3" w:rsidRPr="00B44B19" w14:paraId="3DB70DC1"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2818424" w14:textId="77777777" w:rsidR="006368E3" w:rsidRPr="00B44B19" w:rsidRDefault="006368E3" w:rsidP="006368E3">
            <w:pPr>
              <w:rPr>
                <w:b/>
                <w:iCs/>
                <w:noProof/>
                <w:sz w:val="20"/>
                <w:szCs w:val="20"/>
              </w:rPr>
            </w:pPr>
            <w:r w:rsidRPr="00B44B19">
              <w:rPr>
                <w:b/>
                <w:noProof/>
                <w:sz w:val="20"/>
                <w:szCs w:val="20"/>
              </w:rPr>
              <w:t xml:space="preserve">8 lentelė. 7 matmuo. </w:t>
            </w:r>
            <w:r w:rsidRPr="00B44B19">
              <w:rPr>
                <w:b/>
                <w:sz w:val="20"/>
                <w:szCs w:val="20"/>
              </w:rPr>
              <w:t>ESF+, ERPF, SF ir TPF lyčių lygybės matmuo</w:t>
            </w:r>
          </w:p>
        </w:tc>
      </w:tr>
      <w:tr w:rsidR="006368E3" w:rsidRPr="00B44B19" w14:paraId="72C3221E" w14:textId="77777777" w:rsidTr="0002743E">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977331" w14:textId="77777777" w:rsidR="006368E3" w:rsidRPr="00B44B19" w:rsidRDefault="006368E3" w:rsidP="006368E3">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2AF39E" w14:textId="77777777" w:rsidR="006368E3" w:rsidRPr="00B44B19" w:rsidRDefault="006368E3" w:rsidP="006368E3">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D0E5EA" w14:textId="77777777" w:rsidR="006368E3" w:rsidRPr="00B44B19" w:rsidRDefault="006368E3" w:rsidP="006368E3">
            <w:pPr>
              <w:jc w:val="center"/>
              <w:rPr>
                <w:b/>
                <w:iCs/>
                <w:noProof/>
                <w:sz w:val="20"/>
              </w:rPr>
            </w:pPr>
            <w:r w:rsidRPr="00B44B19">
              <w:rPr>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112309" w14:textId="77777777" w:rsidR="006368E3" w:rsidRPr="00B44B19" w:rsidRDefault="006368E3" w:rsidP="006368E3">
            <w:pPr>
              <w:jc w:val="center"/>
              <w:rPr>
                <w:b/>
                <w:iCs/>
                <w:noProof/>
                <w:sz w:val="20"/>
              </w:rPr>
            </w:pPr>
            <w:r w:rsidRPr="00B44B1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7A1916" w14:textId="77777777" w:rsidR="006368E3" w:rsidRPr="00B44B19" w:rsidRDefault="006368E3" w:rsidP="006368E3">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2154E8" w14:textId="77777777" w:rsidR="006368E3" w:rsidRPr="00B44B19" w:rsidRDefault="006368E3" w:rsidP="006368E3">
            <w:pPr>
              <w:jc w:val="center"/>
              <w:rPr>
                <w:b/>
                <w:iCs/>
                <w:noProof/>
                <w:sz w:val="20"/>
              </w:rPr>
            </w:pPr>
            <w:r w:rsidRPr="00B44B19">
              <w:rPr>
                <w:b/>
                <w:noProof/>
                <w:sz w:val="20"/>
              </w:rPr>
              <w:t>Suma (EUR)</w:t>
            </w:r>
          </w:p>
        </w:tc>
      </w:tr>
      <w:tr w:rsidR="006368E3" w:rsidRPr="00B44B19" w14:paraId="12C610D7" w14:textId="77777777" w:rsidTr="0002743E">
        <w:tc>
          <w:tcPr>
            <w:tcW w:w="1101" w:type="dxa"/>
            <w:vMerge w:val="restart"/>
            <w:tcBorders>
              <w:top w:val="single" w:sz="12" w:space="0" w:color="auto"/>
            </w:tcBorders>
          </w:tcPr>
          <w:p w14:paraId="4300D0EF" w14:textId="77777777" w:rsidR="006368E3" w:rsidRPr="00B44B19" w:rsidRDefault="006368E3" w:rsidP="006368E3">
            <w:pPr>
              <w:jc w:val="center"/>
              <w:rPr>
                <w:iCs/>
                <w:noProof/>
                <w:sz w:val="20"/>
              </w:rPr>
            </w:pPr>
            <w:r w:rsidRPr="00B44B19">
              <w:rPr>
                <w:iCs/>
                <w:noProof/>
                <w:sz w:val="20"/>
              </w:rPr>
              <w:t>4</w:t>
            </w:r>
          </w:p>
        </w:tc>
        <w:tc>
          <w:tcPr>
            <w:tcW w:w="850" w:type="dxa"/>
            <w:vMerge w:val="restart"/>
            <w:tcBorders>
              <w:top w:val="single" w:sz="12" w:space="0" w:color="auto"/>
            </w:tcBorders>
          </w:tcPr>
          <w:p w14:paraId="115C3A5E" w14:textId="77777777" w:rsidR="006368E3" w:rsidRPr="00B44B19" w:rsidRDefault="006368E3" w:rsidP="006368E3">
            <w:pPr>
              <w:jc w:val="center"/>
              <w:rPr>
                <w:iCs/>
                <w:noProof/>
                <w:sz w:val="20"/>
              </w:rPr>
            </w:pPr>
            <w:r w:rsidRPr="00B44B19">
              <w:rPr>
                <w:iCs/>
                <w:noProof/>
                <w:sz w:val="20"/>
              </w:rPr>
              <w:t>ERPF</w:t>
            </w:r>
          </w:p>
        </w:tc>
        <w:tc>
          <w:tcPr>
            <w:tcW w:w="1418" w:type="dxa"/>
            <w:tcBorders>
              <w:top w:val="single" w:sz="12" w:space="0" w:color="auto"/>
            </w:tcBorders>
          </w:tcPr>
          <w:p w14:paraId="1A37DDF3" w14:textId="77777777" w:rsidR="006368E3" w:rsidRPr="00B44B19" w:rsidRDefault="006368E3" w:rsidP="006368E3">
            <w:pPr>
              <w:rPr>
                <w:iCs/>
                <w:noProof/>
                <w:sz w:val="20"/>
              </w:rPr>
            </w:pPr>
            <w:r w:rsidRPr="00B44B19">
              <w:rPr>
                <w:noProof/>
                <w:sz w:val="20"/>
                <w:szCs w:val="20"/>
              </w:rPr>
              <w:t>Sostinės regionas</w:t>
            </w:r>
          </w:p>
        </w:tc>
        <w:tc>
          <w:tcPr>
            <w:tcW w:w="1275" w:type="dxa"/>
            <w:vMerge w:val="restart"/>
            <w:tcBorders>
              <w:top w:val="single" w:sz="12" w:space="0" w:color="auto"/>
            </w:tcBorders>
          </w:tcPr>
          <w:p w14:paraId="6C4A76C9" w14:textId="77777777" w:rsidR="006368E3" w:rsidRPr="00B44B19" w:rsidRDefault="006368E3" w:rsidP="006368E3">
            <w:pPr>
              <w:jc w:val="center"/>
              <w:rPr>
                <w:iCs/>
                <w:noProof/>
                <w:sz w:val="20"/>
              </w:rPr>
            </w:pPr>
            <w:r w:rsidRPr="00B44B19">
              <w:rPr>
                <w:iCs/>
                <w:noProof/>
                <w:sz w:val="20"/>
              </w:rPr>
              <w:t>4.9</w:t>
            </w:r>
          </w:p>
        </w:tc>
        <w:tc>
          <w:tcPr>
            <w:tcW w:w="3686" w:type="dxa"/>
            <w:vMerge w:val="restart"/>
            <w:tcBorders>
              <w:top w:val="single" w:sz="12" w:space="0" w:color="auto"/>
            </w:tcBorders>
          </w:tcPr>
          <w:p w14:paraId="7FBBF01B" w14:textId="77777777" w:rsidR="006368E3" w:rsidRPr="00B44B19" w:rsidRDefault="006368E3" w:rsidP="006368E3">
            <w:pPr>
              <w:rPr>
                <w:iCs/>
                <w:noProof/>
                <w:sz w:val="20"/>
              </w:rPr>
            </w:pPr>
            <w:r w:rsidRPr="00B44B19">
              <w:rPr>
                <w:iCs/>
                <w:noProof/>
                <w:sz w:val="20"/>
              </w:rPr>
              <w:t xml:space="preserve">03 </w:t>
            </w:r>
            <w:r w:rsidR="00D43A78" w:rsidRPr="00B44B19">
              <w:rPr>
                <w:iCs/>
                <w:noProof/>
                <w:sz w:val="20"/>
              </w:rPr>
              <w:t>–</w:t>
            </w:r>
            <w:r w:rsidRPr="00B44B19">
              <w:rPr>
                <w:iCs/>
                <w:noProof/>
                <w:sz w:val="20"/>
              </w:rPr>
              <w:t xml:space="preserve"> Neutralumas lyties požiūriu</w:t>
            </w:r>
          </w:p>
        </w:tc>
        <w:tc>
          <w:tcPr>
            <w:tcW w:w="1559" w:type="dxa"/>
            <w:tcBorders>
              <w:top w:val="single" w:sz="12" w:space="0" w:color="auto"/>
            </w:tcBorders>
          </w:tcPr>
          <w:p w14:paraId="67F73C02" w14:textId="009CF7F8" w:rsidR="006368E3" w:rsidRPr="00B44B19" w:rsidRDefault="009C5AE7" w:rsidP="009C5AE7">
            <w:pPr>
              <w:jc w:val="right"/>
              <w:rPr>
                <w:iCs/>
                <w:noProof/>
                <w:sz w:val="20"/>
                <w:highlight w:val="yellow"/>
              </w:rPr>
            </w:pPr>
            <w:r w:rsidRPr="00B44B19">
              <w:rPr>
                <w:color w:val="000000"/>
                <w:sz w:val="20"/>
                <w:szCs w:val="20"/>
              </w:rPr>
              <w:t>28 622 157</w:t>
            </w:r>
            <w:r w:rsidR="000A6E4C" w:rsidRPr="00B44B19">
              <w:rPr>
                <w:color w:val="000000"/>
                <w:sz w:val="20"/>
                <w:szCs w:val="20"/>
              </w:rPr>
              <w:t>,00</w:t>
            </w:r>
          </w:p>
        </w:tc>
      </w:tr>
      <w:tr w:rsidR="006368E3" w:rsidRPr="00B44B19" w14:paraId="7044B73B" w14:textId="77777777" w:rsidTr="0002743E">
        <w:tc>
          <w:tcPr>
            <w:tcW w:w="1101" w:type="dxa"/>
            <w:vMerge/>
          </w:tcPr>
          <w:p w14:paraId="5380C219" w14:textId="77777777" w:rsidR="006368E3" w:rsidRPr="00B44B19" w:rsidRDefault="006368E3" w:rsidP="006368E3">
            <w:pPr>
              <w:jc w:val="center"/>
              <w:rPr>
                <w:iCs/>
                <w:noProof/>
                <w:sz w:val="20"/>
              </w:rPr>
            </w:pPr>
          </w:p>
        </w:tc>
        <w:tc>
          <w:tcPr>
            <w:tcW w:w="850" w:type="dxa"/>
            <w:vMerge/>
          </w:tcPr>
          <w:p w14:paraId="0DA3298E" w14:textId="77777777" w:rsidR="006368E3" w:rsidRPr="00B44B19" w:rsidRDefault="006368E3" w:rsidP="006368E3">
            <w:pPr>
              <w:jc w:val="center"/>
              <w:rPr>
                <w:iCs/>
                <w:noProof/>
                <w:sz w:val="20"/>
              </w:rPr>
            </w:pPr>
          </w:p>
        </w:tc>
        <w:tc>
          <w:tcPr>
            <w:tcW w:w="1418" w:type="dxa"/>
          </w:tcPr>
          <w:p w14:paraId="477DD25A" w14:textId="77777777" w:rsidR="006368E3" w:rsidRPr="00B44B19" w:rsidRDefault="006368E3" w:rsidP="006368E3">
            <w:pPr>
              <w:rPr>
                <w:iCs/>
                <w:noProof/>
                <w:sz w:val="20"/>
              </w:rPr>
            </w:pPr>
            <w:r w:rsidRPr="00B44B19">
              <w:rPr>
                <w:noProof/>
                <w:sz w:val="20"/>
                <w:szCs w:val="20"/>
              </w:rPr>
              <w:t>VVL regionas</w:t>
            </w:r>
          </w:p>
        </w:tc>
        <w:tc>
          <w:tcPr>
            <w:tcW w:w="1275" w:type="dxa"/>
            <w:vMerge/>
          </w:tcPr>
          <w:p w14:paraId="40FB8F27" w14:textId="77777777" w:rsidR="006368E3" w:rsidRPr="00B44B19" w:rsidRDefault="006368E3" w:rsidP="006368E3">
            <w:pPr>
              <w:jc w:val="center"/>
              <w:rPr>
                <w:iCs/>
                <w:noProof/>
                <w:sz w:val="20"/>
              </w:rPr>
            </w:pPr>
          </w:p>
        </w:tc>
        <w:tc>
          <w:tcPr>
            <w:tcW w:w="3686" w:type="dxa"/>
            <w:vMerge/>
          </w:tcPr>
          <w:p w14:paraId="0DAF9773" w14:textId="77777777" w:rsidR="006368E3" w:rsidRPr="00B44B19" w:rsidRDefault="006368E3" w:rsidP="006368E3">
            <w:pPr>
              <w:jc w:val="center"/>
              <w:rPr>
                <w:iCs/>
                <w:noProof/>
                <w:sz w:val="20"/>
              </w:rPr>
            </w:pPr>
          </w:p>
        </w:tc>
        <w:tc>
          <w:tcPr>
            <w:tcW w:w="1559" w:type="dxa"/>
          </w:tcPr>
          <w:p w14:paraId="2451C6CF" w14:textId="77777777" w:rsidR="006368E3" w:rsidRPr="00B44B19" w:rsidRDefault="000A6E4C" w:rsidP="002A3FCE">
            <w:pPr>
              <w:jc w:val="right"/>
              <w:rPr>
                <w:iCs/>
                <w:noProof/>
                <w:sz w:val="20"/>
                <w:highlight w:val="yellow"/>
              </w:rPr>
            </w:pPr>
            <w:r w:rsidRPr="00B44B19">
              <w:rPr>
                <w:color w:val="000000"/>
                <w:sz w:val="20"/>
                <w:szCs w:val="20"/>
              </w:rPr>
              <w:t>204 057 376,00</w:t>
            </w:r>
          </w:p>
        </w:tc>
      </w:tr>
    </w:tbl>
    <w:p w14:paraId="17364FF1" w14:textId="77777777" w:rsidR="002F0AD5" w:rsidRPr="00B44B19" w:rsidRDefault="00D77A59" w:rsidP="00D456C1">
      <w:pPr>
        <w:pStyle w:val="Antrat2"/>
      </w:pPr>
      <w:bookmarkStart w:id="52" w:name="_Toc223435435"/>
      <w:r w:rsidRPr="00B44B19">
        <w:t>Konkretus uždavinys – 4.1</w:t>
      </w:r>
      <w:r w:rsidR="0031600C" w:rsidRPr="00B44B19">
        <w:t>0</w:t>
      </w:r>
      <w:r w:rsidR="006D49AC" w:rsidRPr="00B44B19">
        <w:t>.</w:t>
      </w:r>
      <w:r w:rsidR="002F0AD5" w:rsidRPr="00B44B19">
        <w:t xml:space="preserve"> </w:t>
      </w:r>
      <w:r w:rsidR="00E30265" w:rsidRPr="00B44B19">
        <w:rPr>
          <w:lang w:bidi="lt-LT"/>
        </w:rPr>
        <w:t xml:space="preserve">Užtikrinti vienodas galimybes naudotis sveikatos priežiūros paslaugomis, didinti sveikatos priežiūros sistemų, įskaitant pirminę sveikatos priežiūrą, atsparumą, ir skatinti perėjimą nuo institucinės globos prie globos šeimoje ir bendruomeninės globos </w:t>
      </w:r>
      <w:r w:rsidR="00B676D8" w:rsidRPr="00B44B19">
        <w:t>(ERPF)</w:t>
      </w:r>
      <w:bookmarkEnd w:id="52"/>
    </w:p>
    <w:p w14:paraId="19A58D9F" w14:textId="77777777" w:rsidR="002F0AD5" w:rsidRPr="00B44B19" w:rsidRDefault="002F0AD5" w:rsidP="00783D09">
      <w:pPr>
        <w:pStyle w:val="Stilius1"/>
        <w:rPr>
          <w:rFonts w:eastAsia="Times New Roman" w:cs="Times New Roman"/>
          <w:iCs/>
          <w:noProof/>
          <w:lang w:eastAsia="lt-LT" w:bidi="lt-LT"/>
        </w:rPr>
      </w:pPr>
      <w:r w:rsidRPr="00B44B19">
        <w:rPr>
          <w:rFonts w:cs="Times New Roman"/>
          <w:noProof/>
          <w:lang w:eastAsia="lt-LT" w:bidi="lt-LT"/>
        </w:rPr>
        <w:t>Įgyvendinamos veiklos</w:t>
      </w:r>
    </w:p>
    <w:tbl>
      <w:tblPr>
        <w:tblStyle w:val="Lentelstinklelis4"/>
        <w:tblW w:w="9634" w:type="dxa"/>
        <w:tblLook w:val="04A0" w:firstRow="1" w:lastRow="0" w:firstColumn="1" w:lastColumn="0" w:noHBand="0" w:noVBand="1"/>
      </w:tblPr>
      <w:tblGrid>
        <w:gridCol w:w="9634"/>
      </w:tblGrid>
      <w:tr w:rsidR="002F0AD5" w:rsidRPr="00B44B19" w14:paraId="0B38478E" w14:textId="77777777" w:rsidTr="00123B07">
        <w:tc>
          <w:tcPr>
            <w:tcW w:w="9634" w:type="dxa"/>
          </w:tcPr>
          <w:p w14:paraId="7F36C1A8" w14:textId="77777777" w:rsidR="004F7750" w:rsidRPr="00B44B19" w:rsidRDefault="004F7750" w:rsidP="008674D1">
            <w:pPr>
              <w:spacing w:before="60" w:after="60"/>
              <w:jc w:val="both"/>
              <w:rPr>
                <w:rFonts w:ascii="Times New Roman" w:eastAsia="Calibri" w:hAnsi="Times New Roman" w:cs="Times New Roman"/>
              </w:rPr>
            </w:pPr>
            <w:r w:rsidRPr="00B44B19">
              <w:rPr>
                <w:rFonts w:ascii="Times New Roman" w:eastAsia="Calibri" w:hAnsi="Times New Roman" w:cs="Times New Roman"/>
              </w:rPr>
              <w:lastRenderedPageBreak/>
              <w:t>Investicijas numatoma skirti sveikatos sistemos kokybei, prieinamumui ir efektyvumui gerinti, kad ji geriau reaguotų į dažnesnių lėtinių sveikatos sutrikimų, visuomenės senėjimo ir sveikatos netolygumų iššūkius. Itin svarbu stiprinti PSP grandį (įskaitant psichikos sveikatą), teikiančią visapusišką, tęstinę ir koordinuotą priežiūrą, kuri yra labai svarbi gerinant ligų prevenciją. Siekiant sumažinti išvengiamų hospitalizacijų</w:t>
            </w:r>
            <w:r w:rsidR="008A129B" w:rsidRPr="00B44B19">
              <w:rPr>
                <w:rFonts w:ascii="Times New Roman" w:eastAsia="Calibri" w:hAnsi="Times New Roman" w:cs="Times New Roman"/>
              </w:rPr>
              <w:t xml:space="preserve"> ir išvengiamo mirtingumo</w:t>
            </w:r>
            <w:r w:rsidRPr="00B44B19">
              <w:rPr>
                <w:rFonts w:ascii="Times New Roman" w:eastAsia="Calibri" w:hAnsi="Times New Roman" w:cs="Times New Roman"/>
              </w:rPr>
              <w:t xml:space="preserve"> lygį</w:t>
            </w:r>
            <w:r w:rsidR="00ED25BF" w:rsidRPr="00B44B19">
              <w:rPr>
                <w:rFonts w:ascii="Times New Roman" w:eastAsia="Calibri" w:hAnsi="Times New Roman" w:cs="Times New Roman"/>
              </w:rPr>
              <w:t>,</w:t>
            </w:r>
            <w:r w:rsidRPr="00B44B19">
              <w:rPr>
                <w:rFonts w:ascii="Times New Roman" w:eastAsia="Calibri" w:hAnsi="Times New Roman" w:cs="Times New Roman"/>
              </w:rPr>
              <w:t xml:space="preserve"> numatoma kuo daugiau sveikatos priežiūros problemų išspręsti PSP grandyje tęsiant investicijas į PSP. </w:t>
            </w:r>
          </w:p>
          <w:p w14:paraId="72B0535F" w14:textId="11A2E9A7" w:rsidR="004F7750" w:rsidRPr="00B44B19" w:rsidRDefault="004F7750" w:rsidP="008674D1">
            <w:pPr>
              <w:spacing w:before="60" w:after="60"/>
              <w:jc w:val="both"/>
              <w:rPr>
                <w:rFonts w:ascii="Times New Roman" w:eastAsia="Calibri" w:hAnsi="Times New Roman" w:cs="Times New Roman"/>
              </w:rPr>
            </w:pPr>
            <w:r w:rsidRPr="00B44B19">
              <w:rPr>
                <w:rFonts w:ascii="Times New Roman" w:eastAsia="Calibri" w:hAnsi="Times New Roman" w:cs="Times New Roman"/>
              </w:rPr>
              <w:t>Mažinant regioninius sveikatos priežiūros prieinamumo ir sveikatos rezultatų skirtumus</w:t>
            </w:r>
            <w:r w:rsidR="00665638" w:rsidRPr="00B44B19">
              <w:rPr>
                <w:rFonts w:ascii="Times New Roman" w:eastAsia="Calibri" w:hAnsi="Times New Roman" w:cs="Times New Roman"/>
              </w:rPr>
              <w:t>,</w:t>
            </w:r>
            <w:r w:rsidRPr="00B44B19">
              <w:rPr>
                <w:rFonts w:ascii="Times New Roman" w:eastAsia="Calibri" w:hAnsi="Times New Roman" w:cs="Times New Roman"/>
              </w:rPr>
              <w:t xml:space="preserve"> numatoma plėtoti ekonomiškai efektyvesnes ambulatorines ir dienos stacionaro diagnostikos ir gydymo paslaugas užtikrinant regionų gyventojų poreikius. Senėjant visuomenei</w:t>
            </w:r>
            <w:r w:rsidR="00665638" w:rsidRPr="00B44B19">
              <w:rPr>
                <w:rFonts w:ascii="Times New Roman" w:eastAsia="Calibri" w:hAnsi="Times New Roman" w:cs="Times New Roman"/>
              </w:rPr>
              <w:t>,</w:t>
            </w:r>
            <w:r w:rsidRPr="00B44B19">
              <w:rPr>
                <w:rFonts w:ascii="Times New Roman" w:eastAsia="Calibri" w:hAnsi="Times New Roman" w:cs="Times New Roman"/>
              </w:rPr>
              <w:t xml:space="preserve"> didėja ilgalaikės priežiūros poreikiai. Programa rems sveikatos priežiūros paslaugų ir socialinių paslaugų integravimą bei plėtrą. </w:t>
            </w:r>
            <w:r w:rsidR="007F4828" w:rsidRPr="00B44B19">
              <w:rPr>
                <w:rFonts w:ascii="Times New Roman" w:eastAsia="Calibri" w:hAnsi="Times New Roman" w:cs="Times New Roman"/>
              </w:rPr>
              <w:t>Skaitmeniniai sprendimai</w:t>
            </w:r>
            <w:r w:rsidRPr="00B44B19">
              <w:rPr>
                <w:rFonts w:ascii="Times New Roman" w:eastAsia="Calibri" w:hAnsi="Times New Roman" w:cs="Times New Roman"/>
              </w:rPr>
              <w:t>, kurie sudarytų prielaidas individualizuotai sveikatos priežiūrai, efektyviam sveikatos sistemos resursų valdymui, nėra pakankamai išvystyti, todėl toliau bus diegiami reik</w:t>
            </w:r>
            <w:r w:rsidR="00ED25BF" w:rsidRPr="00B44B19">
              <w:rPr>
                <w:rFonts w:ascii="Times New Roman" w:eastAsia="Calibri" w:hAnsi="Times New Roman" w:cs="Times New Roman"/>
              </w:rPr>
              <w:t>iami</w:t>
            </w:r>
            <w:r w:rsidRPr="00B44B19">
              <w:rPr>
                <w:rFonts w:ascii="Times New Roman" w:eastAsia="Calibri" w:hAnsi="Times New Roman" w:cs="Times New Roman"/>
              </w:rPr>
              <w:t xml:space="preserve"> skaitmeniniai sveikatos </w:t>
            </w:r>
            <w:r w:rsidR="007F4828" w:rsidRPr="00B44B19">
              <w:rPr>
                <w:rFonts w:ascii="Times New Roman" w:eastAsia="Calibri" w:hAnsi="Times New Roman" w:cs="Times New Roman"/>
              </w:rPr>
              <w:t xml:space="preserve">sprendimai (ASPĮ lokalių sistemų vystymas ir veiklos procesų </w:t>
            </w:r>
            <w:r w:rsidR="007F4828" w:rsidRPr="00B44B19">
              <w:rPr>
                <w:rFonts w:ascii="Times New Roman" w:eastAsia="Calibri" w:hAnsi="Times New Roman" w:cs="Times New Roman"/>
                <w:color w:val="000000" w:themeColor="text1"/>
              </w:rPr>
              <w:t>skaitmeninimas, mobilių aplikacijų kūrimas ir pan.).</w:t>
            </w:r>
            <w:r w:rsidR="007F4828" w:rsidRPr="00B44B19">
              <w:rPr>
                <w:rFonts w:ascii="Times New Roman" w:eastAsia="Times New Roman" w:hAnsi="Times New Roman" w:cs="Times New Roman"/>
                <w:color w:val="000000" w:themeColor="text1"/>
              </w:rPr>
              <w:t xml:space="preserve"> </w:t>
            </w:r>
            <w:r w:rsidR="004C5118" w:rsidRPr="00B44B19">
              <w:rPr>
                <w:rFonts w:ascii="Times New Roman" w:eastAsia="Times New Roman" w:hAnsi="Times New Roman" w:cs="Times New Roman"/>
                <w:color w:val="000000" w:themeColor="text1"/>
              </w:rPr>
              <w:t>Programos investicijas numatoma skirti p</w:t>
            </w:r>
            <w:r w:rsidR="007F4828" w:rsidRPr="00B44B19">
              <w:rPr>
                <w:rFonts w:ascii="Times New Roman" w:eastAsia="Times New Roman" w:hAnsi="Times New Roman" w:cs="Times New Roman"/>
                <w:color w:val="000000" w:themeColor="text1"/>
              </w:rPr>
              <w:t xml:space="preserve">agrindinės Lietuvos e. sveikatos sistemos įgyvendinimo priemonės – elektroninės sveikatos paslaugų ir bendradarbiavimo infrastruktūros informacinės sistemos (ESPBI IS) </w:t>
            </w:r>
            <w:r w:rsidR="004C5118" w:rsidRPr="00B44B19">
              <w:rPr>
                <w:rFonts w:ascii="Times New Roman" w:eastAsia="Times New Roman" w:hAnsi="Times New Roman" w:cs="Times New Roman"/>
                <w:color w:val="000000" w:themeColor="text1"/>
              </w:rPr>
              <w:t xml:space="preserve">modernizavimui, o </w:t>
            </w:r>
            <w:r w:rsidR="007F4828" w:rsidRPr="00B44B19">
              <w:rPr>
                <w:rFonts w:ascii="Times New Roman" w:eastAsia="Times New Roman" w:hAnsi="Times New Roman" w:cs="Times New Roman"/>
                <w:color w:val="000000" w:themeColor="text1"/>
              </w:rPr>
              <w:t>EGADP lėšomis</w:t>
            </w:r>
            <w:r w:rsidR="004C5118" w:rsidRPr="00B44B19">
              <w:rPr>
                <w:rFonts w:ascii="Times New Roman" w:eastAsia="Times New Roman" w:hAnsi="Times New Roman" w:cs="Times New Roman"/>
                <w:color w:val="000000" w:themeColor="text1"/>
              </w:rPr>
              <w:t xml:space="preserve"> planuojama </w:t>
            </w:r>
            <w:r w:rsidR="004C5118" w:rsidRPr="00B44B19">
              <w:rPr>
                <w:rFonts w:ascii="Times New Roman" w:eastAsia="Times New Roman" w:hAnsi="Times New Roman" w:cs="Times New Roman"/>
              </w:rPr>
              <w:t>finansuoti ESPBI IS naujų paslaugų sukūrimą</w:t>
            </w:r>
            <w:r w:rsidR="007F4828" w:rsidRPr="00B44B19">
              <w:rPr>
                <w:rFonts w:ascii="Times New Roman" w:eastAsia="Times New Roman" w:hAnsi="Times New Roman" w:cs="Times New Roman"/>
              </w:rPr>
              <w:t xml:space="preserve">. Taip </w:t>
            </w:r>
            <w:r w:rsidR="00711A73" w:rsidRPr="00B44B19">
              <w:rPr>
                <w:rFonts w:ascii="Times New Roman" w:eastAsia="Times New Roman" w:hAnsi="Times New Roman" w:cs="Times New Roman"/>
              </w:rPr>
              <w:t>pat numatoma</w:t>
            </w:r>
            <w:r w:rsidR="008A129B" w:rsidRPr="00B44B19">
              <w:rPr>
                <w:rFonts w:ascii="Times New Roman" w:eastAsia="Times New Roman" w:hAnsi="Times New Roman" w:cs="Times New Roman"/>
              </w:rPr>
              <w:t xml:space="preserve"> konsoliduoti ir</w:t>
            </w:r>
            <w:r w:rsidR="00711A73" w:rsidRPr="00B44B19">
              <w:rPr>
                <w:rFonts w:ascii="Times New Roman" w:eastAsia="Times New Roman" w:hAnsi="Times New Roman" w:cs="Times New Roman"/>
              </w:rPr>
              <w:t xml:space="preserve"> pritaikyti ligoninių tinklą, kad jis taptų efektyvesnis ir labiau atitiktų poreikius. </w:t>
            </w:r>
            <w:r w:rsidRPr="00B44B19">
              <w:rPr>
                <w:rFonts w:ascii="Times New Roman" w:eastAsia="Calibri" w:hAnsi="Times New Roman" w:cs="Times New Roman"/>
              </w:rPr>
              <w:t xml:space="preserve">Investicijas į paslaugų, kurių tolesnė plėtra tiesiogiai susijusi su ligoninių teikiamų stacionarinių aktyviojo gydymo paslaugų apimčių mažinimu bei paslaugų konsolidavimu, </w:t>
            </w:r>
            <w:r w:rsidR="00ED25BF" w:rsidRPr="00B44B19">
              <w:rPr>
                <w:rFonts w:ascii="Times New Roman" w:eastAsia="Calibri" w:hAnsi="Times New Roman" w:cs="Times New Roman"/>
              </w:rPr>
              <w:t xml:space="preserve">infrastruktūrą </w:t>
            </w:r>
            <w:r w:rsidRPr="00B44B19">
              <w:rPr>
                <w:rFonts w:ascii="Times New Roman" w:eastAsia="Calibri" w:hAnsi="Times New Roman" w:cs="Times New Roman"/>
              </w:rPr>
              <w:t xml:space="preserve">numatoma pradėti tik patvirtinus </w:t>
            </w:r>
            <w:r w:rsidR="00EF6116" w:rsidRPr="00B44B19">
              <w:rPr>
                <w:rFonts w:ascii="Times New Roman" w:eastAsia="Calibri" w:hAnsi="Times New Roman" w:cs="Times New Roman"/>
              </w:rPr>
              <w:t>ASPĮ</w:t>
            </w:r>
            <w:r w:rsidRPr="00B44B19">
              <w:rPr>
                <w:rFonts w:ascii="Times New Roman" w:eastAsia="Calibri" w:hAnsi="Times New Roman" w:cs="Times New Roman"/>
              </w:rPr>
              <w:t xml:space="preserve"> modernizavimo veiksmų planą, pagrįstą regioniniu bendradarbiavimo modeliu, siekiant didinti savivaldybių ir regionų </w:t>
            </w:r>
            <w:r w:rsidR="00C90AAC" w:rsidRPr="00B44B19">
              <w:rPr>
                <w:rFonts w:ascii="Times New Roman" w:eastAsia="Calibri" w:hAnsi="Times New Roman" w:cs="Times New Roman"/>
              </w:rPr>
              <w:t>lygiu teikiamų</w:t>
            </w:r>
            <w:r w:rsidRPr="00B44B19">
              <w:rPr>
                <w:rFonts w:ascii="Times New Roman" w:eastAsia="Calibri" w:hAnsi="Times New Roman" w:cs="Times New Roman"/>
              </w:rPr>
              <w:t xml:space="preserve"> paslaugų kokybę, saugą ir efektyvumą, tinkamai pritaikyti infrastruktūrą pagal pasikeitusį paslaugų profilį bei tinkamai išnaudoti turimus žmogiškuosius </w:t>
            </w:r>
            <w:r w:rsidR="00ED25BF" w:rsidRPr="00B44B19">
              <w:rPr>
                <w:rFonts w:ascii="Times New Roman" w:eastAsia="Calibri" w:hAnsi="Times New Roman" w:cs="Times New Roman"/>
              </w:rPr>
              <w:t>išteklius</w:t>
            </w:r>
            <w:r w:rsidRPr="00B44B19">
              <w:rPr>
                <w:rFonts w:ascii="Times New Roman" w:eastAsia="Calibri" w:hAnsi="Times New Roman" w:cs="Times New Roman"/>
              </w:rPr>
              <w:t xml:space="preserve">. Tai investicijos į savivaldybių </w:t>
            </w:r>
            <w:r w:rsidR="00C90AAC" w:rsidRPr="00B44B19">
              <w:rPr>
                <w:rFonts w:ascii="Times New Roman" w:eastAsia="Calibri" w:hAnsi="Times New Roman" w:cs="Times New Roman"/>
              </w:rPr>
              <w:t xml:space="preserve">lygiu </w:t>
            </w:r>
            <w:r w:rsidRPr="00B44B19">
              <w:rPr>
                <w:rFonts w:ascii="Times New Roman" w:eastAsia="Calibri" w:hAnsi="Times New Roman" w:cs="Times New Roman"/>
              </w:rPr>
              <w:t xml:space="preserve">teikiamų bazinių paslaugų infrastruktūros modernizavimą ir į </w:t>
            </w:r>
            <w:r w:rsidR="004264C4" w:rsidRPr="00B44B19">
              <w:rPr>
                <w:rFonts w:ascii="Times New Roman" w:eastAsia="Calibri" w:hAnsi="Times New Roman" w:cs="Times New Roman"/>
              </w:rPr>
              <w:t>IPP</w:t>
            </w:r>
            <w:r w:rsidRPr="00B44B19">
              <w:rPr>
                <w:rFonts w:ascii="Times New Roman" w:eastAsia="Calibri" w:hAnsi="Times New Roman" w:cs="Times New Roman"/>
              </w:rPr>
              <w:t xml:space="preserve"> teikimui reikalingos infrastruktūros sukūrimą. Taip pat numatoma finansuoti socialinių paslaugų įstaigų senyvo amžiaus asmenims infrastruktūros bendruomenėje sukūrimą bei modernizavimą</w:t>
            </w:r>
            <w:r w:rsidR="007F4828" w:rsidRPr="00B44B19">
              <w:rPr>
                <w:rFonts w:ascii="Times New Roman" w:eastAsia="Calibri" w:hAnsi="Times New Roman" w:cs="Times New Roman"/>
              </w:rPr>
              <w:t xml:space="preserve">. Investuojant į infrastruktūros modernizavimą numatoma diegti energetiškai efektyvius ir aplinkai draugiškus sprendimus. </w:t>
            </w:r>
            <w:r w:rsidR="00FE0568" w:rsidRPr="00B44B19">
              <w:rPr>
                <w:rFonts w:ascii="Times New Roman" w:eastAsia="Calibri" w:hAnsi="Times New Roman" w:cs="Times New Roman"/>
              </w:rPr>
              <w:t xml:space="preserve">Darnus miestų ir </w:t>
            </w:r>
            <w:r w:rsidR="004C2FDD" w:rsidRPr="00B44B19">
              <w:rPr>
                <w:rFonts w:ascii="Times New Roman" w:eastAsia="Calibri" w:hAnsi="Times New Roman" w:cs="Times New Roman"/>
              </w:rPr>
              <w:t>FZ</w:t>
            </w:r>
            <w:r w:rsidR="00FE0568" w:rsidRPr="00B44B19">
              <w:rPr>
                <w:rFonts w:ascii="Times New Roman" w:eastAsia="Calibri" w:hAnsi="Times New Roman" w:cs="Times New Roman"/>
              </w:rPr>
              <w:t xml:space="preserve"> vystymas leidžia spręsti šį iššūkį ITI metodu, derinat 5.1 ir 5.2 uždavinių veiksmus, skirtus trūkstamos socialinių </w:t>
            </w:r>
            <w:r w:rsidR="00724D41" w:rsidRPr="00B44B19">
              <w:rPr>
                <w:rFonts w:ascii="Times New Roman" w:eastAsia="Calibri" w:hAnsi="Times New Roman" w:cs="Times New Roman"/>
              </w:rPr>
              <w:t xml:space="preserve">ir sveikatos </w:t>
            </w:r>
            <w:r w:rsidR="00FE0568" w:rsidRPr="00B44B19">
              <w:rPr>
                <w:rFonts w:ascii="Times New Roman" w:eastAsia="Calibri" w:hAnsi="Times New Roman" w:cs="Times New Roman"/>
              </w:rPr>
              <w:t xml:space="preserve">paslaugų infrastruktūros plėtrai miestuose ir inovatyvioms socialinės ekonomikos iniciatyvoms su šio uždavinio remiama socialinių </w:t>
            </w:r>
            <w:r w:rsidR="00724D41" w:rsidRPr="00B44B19">
              <w:rPr>
                <w:rFonts w:ascii="Times New Roman" w:eastAsia="Calibri" w:hAnsi="Times New Roman" w:cs="Times New Roman"/>
              </w:rPr>
              <w:t xml:space="preserve">ir sveikatos </w:t>
            </w:r>
            <w:r w:rsidR="00FE0568" w:rsidRPr="00B44B19">
              <w:rPr>
                <w:rFonts w:ascii="Times New Roman" w:eastAsia="Calibri" w:hAnsi="Times New Roman" w:cs="Times New Roman"/>
              </w:rPr>
              <w:t>paslaugų plėtra.</w:t>
            </w:r>
          </w:p>
          <w:p w14:paraId="717B61C3" w14:textId="77777777" w:rsidR="004F7750" w:rsidRPr="00B44B19" w:rsidRDefault="004F7750" w:rsidP="008674D1">
            <w:pPr>
              <w:spacing w:before="60" w:after="60"/>
              <w:jc w:val="both"/>
              <w:rPr>
                <w:rFonts w:ascii="Times New Roman" w:eastAsia="Calibri" w:hAnsi="Times New Roman" w:cs="Times New Roman"/>
              </w:rPr>
            </w:pPr>
            <w:r w:rsidRPr="00B44B19">
              <w:rPr>
                <w:rFonts w:ascii="Times New Roman" w:eastAsia="Calibri" w:hAnsi="Times New Roman" w:cs="Times New Roman"/>
              </w:rPr>
              <w:t>Užtikrinant regioniniu bendradarbiavimo modeliu pagrįsto ASPĮ tinklo veiklą ir jo pritaikymą ekstremaliosioms situacijoms</w:t>
            </w:r>
            <w:r w:rsidR="00ED25BF" w:rsidRPr="00B44B19">
              <w:rPr>
                <w:rFonts w:ascii="Times New Roman" w:eastAsia="Calibri" w:hAnsi="Times New Roman" w:cs="Times New Roman"/>
              </w:rPr>
              <w:t xml:space="preserve">, taip pat </w:t>
            </w:r>
            <w:r w:rsidRPr="00B44B19">
              <w:rPr>
                <w:rFonts w:ascii="Times New Roman" w:eastAsia="Calibri" w:hAnsi="Times New Roman" w:cs="Times New Roman"/>
              </w:rPr>
              <w:t>numatoma investicijas nukreipti į GMP paslaugų organizavimo ir valdymo pertvarką pagal patvirtintą GMP paslaugų teikimui organizuoti reikalingos infrastruktūros modernizavimo planą. GMP teks didesnis krūvis užtikrinant pacientų, ypač gyvenančių regionuose, kuriems reikalinga skubi stacionarinė priežiūra, transportavimą į šią priežiūrą teikiančias ligonines, tarp jų ir pacientų su ūmiomis būklėmis – į specializuotus centrus.</w:t>
            </w:r>
          </w:p>
          <w:p w14:paraId="25627897" w14:textId="77777777" w:rsidR="004F7750" w:rsidRPr="00B44B19" w:rsidRDefault="004F7750" w:rsidP="008674D1">
            <w:pPr>
              <w:spacing w:before="60" w:after="60"/>
              <w:jc w:val="both"/>
              <w:rPr>
                <w:rFonts w:ascii="Times New Roman" w:eastAsia="Calibri" w:hAnsi="Times New Roman" w:cs="Times New Roman"/>
                <w:bCs/>
              </w:rPr>
            </w:pPr>
            <w:r w:rsidRPr="00B44B19">
              <w:rPr>
                <w:rFonts w:ascii="Times New Roman" w:eastAsia="Calibri" w:hAnsi="Times New Roman" w:cs="Times New Roman"/>
              </w:rPr>
              <w:t>Veik</w:t>
            </w:r>
            <w:r w:rsidR="00711A73" w:rsidRPr="00B44B19">
              <w:rPr>
                <w:rFonts w:ascii="Times New Roman" w:eastAsia="Calibri" w:hAnsi="Times New Roman" w:cs="Times New Roman"/>
              </w:rPr>
              <w:t>smų rūšys</w:t>
            </w:r>
            <w:r w:rsidRPr="00B44B19">
              <w:rPr>
                <w:rFonts w:ascii="Times New Roman" w:eastAsia="Calibri" w:hAnsi="Times New Roman" w:cs="Times New Roman"/>
              </w:rPr>
              <w:t>, siekiant pagerinti sveikatos priežiūros ir ilgalaikės priežiūros kokybę, prieinamumą, veiksmingumą bei sumažinti regioninius sveikatos priežiūros skirtumus</w:t>
            </w:r>
            <w:r w:rsidRPr="00B44B19">
              <w:rPr>
                <w:rFonts w:ascii="Times New Roman" w:eastAsia="Calibri" w:hAnsi="Times New Roman" w:cs="Times New Roman"/>
                <w:bCs/>
              </w:rPr>
              <w:t>:</w:t>
            </w:r>
          </w:p>
          <w:p w14:paraId="4DB91158" w14:textId="77777777" w:rsidR="004F7750" w:rsidRPr="00B44B19" w:rsidRDefault="004F7750" w:rsidP="008674D1">
            <w:pPr>
              <w:spacing w:before="60" w:after="60"/>
              <w:jc w:val="both"/>
              <w:rPr>
                <w:rFonts w:ascii="Times New Roman" w:eastAsia="Calibri" w:hAnsi="Times New Roman" w:cs="Times New Roman"/>
              </w:rPr>
            </w:pPr>
            <w:r w:rsidRPr="00B44B19">
              <w:rPr>
                <w:rFonts w:ascii="Times New Roman" w:eastAsia="Calibri" w:hAnsi="Times New Roman" w:cs="Times New Roman"/>
                <w:b/>
                <w:bCs/>
              </w:rPr>
              <w:t xml:space="preserve">Sustiprinti </w:t>
            </w:r>
            <w:r w:rsidR="003F1297" w:rsidRPr="00B44B19">
              <w:rPr>
                <w:rFonts w:ascii="Times New Roman" w:eastAsia="Calibri" w:hAnsi="Times New Roman" w:cs="Times New Roman"/>
                <w:b/>
                <w:bCs/>
              </w:rPr>
              <w:t>PSP</w:t>
            </w:r>
            <w:r w:rsidRPr="00B44B19">
              <w:rPr>
                <w:rFonts w:ascii="Times New Roman" w:eastAsia="Calibri" w:hAnsi="Times New Roman" w:cs="Times New Roman"/>
                <w:bCs/>
              </w:rPr>
              <w:t xml:space="preserve">: </w:t>
            </w:r>
            <w:r w:rsidRPr="00B44B19">
              <w:rPr>
                <w:rFonts w:ascii="Times New Roman" w:eastAsia="Calibri" w:hAnsi="Times New Roman" w:cs="Times New Roman"/>
              </w:rPr>
              <w:t xml:space="preserve">numatoma finansuoti infrastruktūrą, reikalingą </w:t>
            </w:r>
            <w:r w:rsidR="008A129B" w:rsidRPr="00B44B19">
              <w:rPr>
                <w:rFonts w:ascii="Times New Roman" w:eastAsia="Calibri" w:hAnsi="Times New Roman" w:cs="Times New Roman"/>
              </w:rPr>
              <w:t xml:space="preserve">PSP ir visuomenės sveikatos priežiūros paslaugų integravimui, </w:t>
            </w:r>
            <w:r w:rsidRPr="00B44B19">
              <w:rPr>
                <w:rFonts w:ascii="Times New Roman" w:eastAsia="Calibri" w:hAnsi="Times New Roman" w:cs="Times New Roman"/>
              </w:rPr>
              <w:t>PSP komandų teikiamų paslaugų plėtrai bei paslaugų kokybei ir veiksmingumui gerinti, taip pat ambulatorinių psichikos sveikatos priežiūros paslaugų plėtrai. Prioritetas skiriamas telekomunikacijų technologijų priemonių ir skaitmeninių sprendimų diegimui siekiant plėtoti nuotolines ambulatorines asmens sveikatos priežiūros paslaugas bei užtikrinti tolygų šių paslaugų prieinamumą. Taip pat planuojama finansuoti infrastruktūrą, reikalingą 2014</w:t>
            </w:r>
            <w:r w:rsidR="00ED25BF" w:rsidRPr="00B44B19">
              <w:rPr>
                <w:rFonts w:ascii="Times New Roman" w:eastAsia="Calibri" w:hAnsi="Times New Roman" w:cs="Times New Roman"/>
              </w:rPr>
              <w:t>–</w:t>
            </w:r>
            <w:r w:rsidRPr="00B44B19">
              <w:rPr>
                <w:rFonts w:ascii="Times New Roman" w:eastAsia="Calibri" w:hAnsi="Times New Roman" w:cs="Times New Roman"/>
              </w:rPr>
              <w:t xml:space="preserve">2020 m. laikotarpiu išbandytų modelių, </w:t>
            </w:r>
            <w:r w:rsidR="006F3AE9" w:rsidRPr="00B44B19">
              <w:rPr>
                <w:rFonts w:ascii="Times New Roman" w:eastAsia="Calibri" w:hAnsi="Times New Roman" w:cs="Times New Roman"/>
              </w:rPr>
              <w:t>skirtų neįgaliųjų ir poliligotų pacientų priežiūrai pagerinti,</w:t>
            </w:r>
            <w:r w:rsidRPr="00B44B19">
              <w:rPr>
                <w:rFonts w:ascii="Times New Roman" w:eastAsia="Calibri" w:hAnsi="Times New Roman" w:cs="Times New Roman"/>
              </w:rPr>
              <w:t xml:space="preserve"> pritaikymui bei diegimui nacionaliniu mastu bei naujų inovatyvių ir efektyvių PSP veiklos modelių, ypač skirtų vaikų sveikatos priežiūrai gerinti, bandymui bei įdiegimui. Ši veikla bus įgyvendinama VVL ir Sostinės regionuose.</w:t>
            </w:r>
          </w:p>
          <w:p w14:paraId="4FDB4AAA" w14:textId="39588889" w:rsidR="004F7750" w:rsidRPr="00B44B19" w:rsidRDefault="004F7750" w:rsidP="008674D1">
            <w:pPr>
              <w:spacing w:before="60" w:after="60"/>
              <w:jc w:val="both"/>
              <w:rPr>
                <w:rFonts w:ascii="Times New Roman" w:eastAsia="Calibri" w:hAnsi="Times New Roman" w:cs="Times New Roman"/>
              </w:rPr>
            </w:pPr>
            <w:bookmarkStart w:id="53" w:name="_Hlk71018480"/>
            <w:r w:rsidRPr="00B44B19">
              <w:rPr>
                <w:rFonts w:ascii="Times New Roman" w:eastAsia="Calibri" w:hAnsi="Times New Roman" w:cs="Times New Roman"/>
                <w:b/>
                <w:bCs/>
              </w:rPr>
              <w:t>Modernizuoti GMP paslaugas:</w:t>
            </w:r>
            <w:r w:rsidRPr="00B44B19">
              <w:rPr>
                <w:rFonts w:ascii="Times New Roman" w:eastAsia="Calibri" w:hAnsi="Times New Roman" w:cs="Times New Roman"/>
              </w:rPr>
              <w:t xml:space="preserve"> pereinant nuo fragmentuoto link centralizuotai valdomo GMP tinklo, numatoma finansuoti GMP paslaugų teikimui organizuoti reikalingos infrastruktūros modernizavimą / plėtrą: GMP automobilių su reikiama įranga įsigijimą, GMP </w:t>
            </w:r>
            <w:r w:rsidR="00C90AAC" w:rsidRPr="00B44B19">
              <w:rPr>
                <w:rFonts w:ascii="Times New Roman" w:eastAsia="Calibri" w:hAnsi="Times New Roman" w:cs="Times New Roman"/>
              </w:rPr>
              <w:t xml:space="preserve">brigadoms reikiamos įrangos įsigijimą ir </w:t>
            </w:r>
            <w:r w:rsidRPr="00B44B19">
              <w:rPr>
                <w:rFonts w:ascii="Times New Roman" w:eastAsia="Calibri" w:hAnsi="Times New Roman" w:cs="Times New Roman"/>
              </w:rPr>
              <w:t>patalpų modernizavimą</w:t>
            </w:r>
            <w:r w:rsidR="004C5118" w:rsidRPr="00B44B19">
              <w:rPr>
                <w:rFonts w:ascii="Times New Roman" w:eastAsia="Calibri" w:hAnsi="Times New Roman" w:cs="Times New Roman"/>
              </w:rPr>
              <w:t>, GMP paslaugų valdymo skaitmenizavimą</w:t>
            </w:r>
            <w:r w:rsidR="00C90AAC" w:rsidRPr="00B44B19">
              <w:rPr>
                <w:rFonts w:ascii="Times New Roman" w:eastAsia="Calibri" w:hAnsi="Times New Roman" w:cs="Times New Roman"/>
              </w:rPr>
              <w:t xml:space="preserve">. </w:t>
            </w:r>
            <w:r w:rsidRPr="00B44B19">
              <w:rPr>
                <w:rFonts w:ascii="Times New Roman" w:eastAsia="Calibri" w:hAnsi="Times New Roman" w:cs="Times New Roman"/>
              </w:rPr>
              <w:t xml:space="preserve">Taip pat išliekant ekstremalių situacijų, ypač masinių epidemijų, </w:t>
            </w:r>
            <w:r w:rsidR="008A129B" w:rsidRPr="00B44B19">
              <w:rPr>
                <w:rFonts w:ascii="Times New Roman" w:eastAsia="Calibri" w:hAnsi="Times New Roman" w:cs="Times New Roman"/>
              </w:rPr>
              <w:t xml:space="preserve">branduolinės avarijos, </w:t>
            </w:r>
            <w:r w:rsidRPr="00B44B19">
              <w:rPr>
                <w:rFonts w:ascii="Times New Roman" w:eastAsia="Calibri" w:hAnsi="Times New Roman" w:cs="Times New Roman"/>
              </w:rPr>
              <w:t>grėsmėms</w:t>
            </w:r>
            <w:r w:rsidR="00665638" w:rsidRPr="00B44B19">
              <w:rPr>
                <w:rFonts w:ascii="Times New Roman" w:eastAsia="Calibri" w:hAnsi="Times New Roman" w:cs="Times New Roman"/>
              </w:rPr>
              <w:t>,</w:t>
            </w:r>
            <w:r w:rsidRPr="00B44B19">
              <w:rPr>
                <w:rFonts w:ascii="Times New Roman" w:eastAsia="Calibri" w:hAnsi="Times New Roman" w:cs="Times New Roman"/>
              </w:rPr>
              <w:t xml:space="preserve"> numatomos investicijos į būtiną GMP infrastruktūrą, </w:t>
            </w:r>
            <w:r w:rsidR="006F3AE9" w:rsidRPr="00B44B19">
              <w:rPr>
                <w:rFonts w:ascii="Times New Roman" w:eastAsia="Calibri" w:hAnsi="Times New Roman" w:cs="Times New Roman"/>
              </w:rPr>
              <w:t xml:space="preserve">kad būtų užtikrintas tolygus, nenutrūkstamas ir efektyvus sveikatos priežiūros paslaugų teikimas </w:t>
            </w:r>
            <w:r w:rsidRPr="00B44B19">
              <w:rPr>
                <w:rFonts w:ascii="Times New Roman" w:eastAsia="Calibri" w:hAnsi="Times New Roman" w:cs="Times New Roman"/>
              </w:rPr>
              <w:t>ekstremalių sveikatai situacijų metu. Ši veikla bus įgyvendinama VVL ir Sostinės regionuose.</w:t>
            </w:r>
            <w:r w:rsidRPr="00B44B19">
              <w:rPr>
                <w:rFonts w:ascii="Times New Roman" w:hAnsi="Times New Roman" w:cs="Times New Roman"/>
              </w:rPr>
              <w:t xml:space="preserve"> </w:t>
            </w:r>
          </w:p>
          <w:bookmarkEnd w:id="53"/>
          <w:p w14:paraId="2ACC329A" w14:textId="2E0A47A5" w:rsidR="004F7750" w:rsidRPr="00B44B19" w:rsidRDefault="008A129B" w:rsidP="008674D1">
            <w:pPr>
              <w:spacing w:before="60" w:after="60"/>
              <w:jc w:val="both"/>
              <w:rPr>
                <w:rFonts w:ascii="Times New Roman" w:eastAsia="Calibri" w:hAnsi="Times New Roman" w:cs="Times New Roman"/>
              </w:rPr>
            </w:pPr>
            <w:r w:rsidRPr="00B44B19">
              <w:rPr>
                <w:rFonts w:ascii="Times New Roman" w:eastAsia="Calibri" w:hAnsi="Times New Roman" w:cs="Times New Roman"/>
                <w:b/>
                <w:bCs/>
              </w:rPr>
              <w:t>Gerinti aukštos kokybės specializuotos sveikatos priežiūros prieinamumą</w:t>
            </w:r>
            <w:bookmarkStart w:id="54" w:name="_Hlk71020524"/>
            <w:r w:rsidR="004F7750" w:rsidRPr="00B44B19">
              <w:rPr>
                <w:rFonts w:ascii="Times New Roman" w:eastAsia="Calibri" w:hAnsi="Times New Roman" w:cs="Times New Roman"/>
              </w:rPr>
              <w:t xml:space="preserve">: </w:t>
            </w:r>
            <w:bookmarkEnd w:id="54"/>
            <w:r w:rsidR="004F7750" w:rsidRPr="00B44B19">
              <w:rPr>
                <w:rFonts w:ascii="Times New Roman" w:eastAsia="Calibri" w:hAnsi="Times New Roman" w:cs="Times New Roman"/>
              </w:rPr>
              <w:t xml:space="preserve">numatoma </w:t>
            </w:r>
            <w:bookmarkStart w:id="55" w:name="_Hlk70663043"/>
            <w:r w:rsidR="004F7750" w:rsidRPr="00B44B19">
              <w:rPr>
                <w:rFonts w:ascii="Times New Roman" w:eastAsia="Calibri" w:hAnsi="Times New Roman" w:cs="Times New Roman"/>
              </w:rPr>
              <w:t>finansuoti ASPĮ paslaugų, organizuojamų pagal naują</w:t>
            </w:r>
            <w:r w:rsidR="00A74AFA" w:rsidRPr="00B44B19">
              <w:rPr>
                <w:rFonts w:ascii="Times New Roman" w:hAnsi="Times New Roman" w:cs="Times New Roman"/>
              </w:rPr>
              <w:t xml:space="preserve"> </w:t>
            </w:r>
            <w:r w:rsidR="00A74AFA" w:rsidRPr="00B44B19">
              <w:rPr>
                <w:rFonts w:ascii="Times New Roman" w:eastAsia="Calibri" w:hAnsi="Times New Roman" w:cs="Times New Roman"/>
              </w:rPr>
              <w:t>kompetencijos centrų ir regioninio bendradarbiavimo modelį,</w:t>
            </w:r>
            <w:r w:rsidR="004C5118" w:rsidRPr="00B44B19">
              <w:rPr>
                <w:rFonts w:ascii="Times New Roman" w:eastAsia="Calibri" w:hAnsi="Times New Roman" w:cs="Times New Roman"/>
              </w:rPr>
              <w:t xml:space="preserve"> </w:t>
            </w:r>
            <w:r w:rsidR="004F7750" w:rsidRPr="00B44B19">
              <w:rPr>
                <w:rFonts w:ascii="Times New Roman" w:eastAsia="Calibri" w:hAnsi="Times New Roman" w:cs="Times New Roman"/>
              </w:rPr>
              <w:lastRenderedPageBreak/>
              <w:t xml:space="preserve">infrastruktūros modernizavimą. Parama skiriama savivaldybių </w:t>
            </w:r>
            <w:r w:rsidR="00A74AFA" w:rsidRPr="00B44B19">
              <w:rPr>
                <w:rFonts w:ascii="Times New Roman" w:eastAsia="Calibri" w:hAnsi="Times New Roman" w:cs="Times New Roman"/>
              </w:rPr>
              <w:t xml:space="preserve">ir regiono </w:t>
            </w:r>
            <w:r w:rsidR="00C90AAC" w:rsidRPr="00B44B19">
              <w:rPr>
                <w:rFonts w:ascii="Times New Roman" w:eastAsia="Calibri" w:hAnsi="Times New Roman" w:cs="Times New Roman"/>
              </w:rPr>
              <w:t xml:space="preserve">lygmeniu teikiamų </w:t>
            </w:r>
            <w:r w:rsidR="004F7750" w:rsidRPr="00B44B19">
              <w:rPr>
                <w:rFonts w:ascii="Times New Roman" w:eastAsia="Calibri" w:hAnsi="Times New Roman" w:cs="Times New Roman"/>
              </w:rPr>
              <w:t>skubiosios medicinos pagalbos</w:t>
            </w:r>
            <w:r w:rsidR="00C90AAC" w:rsidRPr="00B44B19">
              <w:rPr>
                <w:rFonts w:ascii="Times New Roman" w:eastAsia="Calibri" w:hAnsi="Times New Roman" w:cs="Times New Roman"/>
              </w:rPr>
              <w:t xml:space="preserve">, intensyvios </w:t>
            </w:r>
            <w:r w:rsidR="004F7750" w:rsidRPr="00B44B19">
              <w:rPr>
                <w:rFonts w:ascii="Times New Roman" w:eastAsia="Calibri" w:hAnsi="Times New Roman" w:cs="Times New Roman"/>
              </w:rPr>
              <w:t xml:space="preserve">terapijos </w:t>
            </w:r>
            <w:r w:rsidR="00C90AAC" w:rsidRPr="00B44B19">
              <w:rPr>
                <w:rFonts w:ascii="Times New Roman" w:eastAsia="Calibri" w:hAnsi="Times New Roman" w:cs="Times New Roman"/>
              </w:rPr>
              <w:t>ir (ar) intensyvios priežiūros paslaugų infrastruktūros</w:t>
            </w:r>
            <w:r w:rsidR="006F3AE9" w:rsidRPr="00B44B19">
              <w:rPr>
                <w:rFonts w:ascii="Times New Roman" w:eastAsia="Calibri" w:hAnsi="Times New Roman" w:cs="Times New Roman"/>
              </w:rPr>
              <w:t xml:space="preserve"> </w:t>
            </w:r>
            <w:r w:rsidR="004F7750" w:rsidRPr="00B44B19">
              <w:rPr>
                <w:rFonts w:ascii="Times New Roman" w:eastAsia="Calibri" w:hAnsi="Times New Roman" w:cs="Times New Roman"/>
              </w:rPr>
              <w:t>modernizavimui</w:t>
            </w:r>
            <w:bookmarkEnd w:id="55"/>
            <w:r w:rsidR="004F7750" w:rsidRPr="00B44B19">
              <w:rPr>
                <w:rFonts w:ascii="Times New Roman" w:eastAsia="Calibri" w:hAnsi="Times New Roman" w:cs="Times New Roman"/>
              </w:rPr>
              <w:t>, naujų, efektyvesnių skubiosios medicinos pagalbos paslaugų teikimo modelių diegimo infrastruktūrai</w:t>
            </w:r>
            <w:r w:rsidR="004C5118" w:rsidRPr="00B44B19">
              <w:rPr>
                <w:rFonts w:ascii="Times New Roman" w:eastAsia="Calibri" w:hAnsi="Times New Roman" w:cs="Times New Roman"/>
              </w:rPr>
              <w:t>, skaitmeninių sprendimų diegimui</w:t>
            </w:r>
            <w:r w:rsidR="004F7750" w:rsidRPr="00B44B19">
              <w:rPr>
                <w:rFonts w:ascii="Times New Roman" w:eastAsia="Calibri" w:hAnsi="Times New Roman" w:cs="Times New Roman"/>
              </w:rPr>
              <w:t xml:space="preserve">. </w:t>
            </w:r>
            <w:r w:rsidR="00C90AAC" w:rsidRPr="00B44B19">
              <w:rPr>
                <w:rFonts w:ascii="Times New Roman" w:eastAsia="Calibri" w:hAnsi="Times New Roman" w:cs="Times New Roman"/>
              </w:rPr>
              <w:t>Planuojama plėtoti</w:t>
            </w:r>
            <w:r w:rsidR="004F7750" w:rsidRPr="00B44B19">
              <w:rPr>
                <w:rFonts w:ascii="Times New Roman" w:eastAsia="Calibri" w:hAnsi="Times New Roman" w:cs="Times New Roman"/>
              </w:rPr>
              <w:t xml:space="preserve"> psichikos sveikatos priežiūros </w:t>
            </w:r>
            <w:r w:rsidRPr="00B44B19">
              <w:rPr>
                <w:rFonts w:ascii="Times New Roman" w:eastAsia="Calibri" w:hAnsi="Times New Roman" w:cs="Times New Roman"/>
              </w:rPr>
              <w:t xml:space="preserve">ambulatorinių ir </w:t>
            </w:r>
            <w:r w:rsidR="004F7750" w:rsidRPr="00B44B19">
              <w:rPr>
                <w:rFonts w:ascii="Times New Roman" w:eastAsia="Calibri" w:hAnsi="Times New Roman" w:cs="Times New Roman"/>
              </w:rPr>
              <w:t xml:space="preserve">dienos stacionaro, psichosocialinės reabilitacijos, ambulatorinių specializuotų, dienos stacionaro, dienos / ambulatorinės chirurgijos paslaugų infrastruktūrą </w:t>
            </w:r>
            <w:r w:rsidR="00C90AAC" w:rsidRPr="00B44B19">
              <w:rPr>
                <w:rFonts w:ascii="Times New Roman" w:eastAsia="Calibri" w:hAnsi="Times New Roman" w:cs="Times New Roman"/>
              </w:rPr>
              <w:t xml:space="preserve">bei stacionarinių </w:t>
            </w:r>
            <w:bookmarkStart w:id="56" w:name="_Hlk70663492"/>
            <w:r w:rsidR="004F7750" w:rsidRPr="00B44B19">
              <w:rPr>
                <w:rFonts w:ascii="Times New Roman" w:eastAsia="Calibri" w:hAnsi="Times New Roman" w:cs="Times New Roman"/>
              </w:rPr>
              <w:t xml:space="preserve">paslaugų, atitinkančių pertvarkos kriterijus, infrastruktūrą </w:t>
            </w:r>
            <w:bookmarkEnd w:id="56"/>
            <w:r w:rsidR="004F7750" w:rsidRPr="00B44B19">
              <w:rPr>
                <w:rFonts w:ascii="Times New Roman" w:eastAsia="Calibri" w:hAnsi="Times New Roman" w:cs="Times New Roman"/>
              </w:rPr>
              <w:t>ir pritaikyti savivaldybių lygmens ASPĮ infrastruktūrą darbui ekstremalių situacijų ir krizių metu</w:t>
            </w:r>
            <w:r w:rsidR="00A74AFA" w:rsidRPr="00B44B19">
              <w:rPr>
                <w:rFonts w:ascii="Times New Roman" w:eastAsia="Calibri" w:hAnsi="Times New Roman" w:cs="Times New Roman"/>
              </w:rPr>
              <w:t>.</w:t>
            </w:r>
            <w:r w:rsidR="004F7750" w:rsidRPr="00B44B19">
              <w:rPr>
                <w:rFonts w:ascii="Times New Roman" w:eastAsia="Calibri" w:hAnsi="Times New Roman" w:cs="Times New Roman"/>
              </w:rPr>
              <w:t xml:space="preserve"> Taip pat planuojama investuoti į integruotos sveikatos priežiūros paslaugų (onkologijos, kardiologijos, neurologijos ir kitose srityse) teikimo modelių infrastruktūros tobulinimą, kad savivaldybių gyventojai laiku gautų aukščiausio lygio, geros kokybės sveikatos priežiūros paslaugas. Ši veikla bus įgyvendinama VVL ir Sostinės regionuose.</w:t>
            </w:r>
          </w:p>
          <w:p w14:paraId="76BE056D" w14:textId="4DB28FB8" w:rsidR="002F0AD5" w:rsidRPr="00B44B19" w:rsidRDefault="004F7750" w:rsidP="008674D1">
            <w:pPr>
              <w:spacing w:before="60" w:after="60"/>
              <w:jc w:val="both"/>
              <w:rPr>
                <w:rFonts w:ascii="Times New Roman" w:eastAsia="Calibri" w:hAnsi="Times New Roman" w:cs="Times New Roman"/>
              </w:rPr>
            </w:pPr>
            <w:r w:rsidRPr="00B44B19">
              <w:rPr>
                <w:rFonts w:ascii="Times New Roman" w:eastAsia="Calibri" w:hAnsi="Times New Roman" w:cs="Times New Roman"/>
                <w:b/>
                <w:bCs/>
              </w:rPr>
              <w:t xml:space="preserve">Plėtoti </w:t>
            </w:r>
            <w:r w:rsidR="004264C4" w:rsidRPr="00B44B19">
              <w:rPr>
                <w:rFonts w:ascii="Times New Roman" w:eastAsia="Calibri" w:hAnsi="Times New Roman" w:cs="Times New Roman"/>
                <w:b/>
                <w:bCs/>
              </w:rPr>
              <w:t>IPP</w:t>
            </w:r>
            <w:r w:rsidRPr="00B44B19">
              <w:rPr>
                <w:rFonts w:ascii="Times New Roman" w:eastAsia="Calibri" w:hAnsi="Times New Roman" w:cs="Times New Roman"/>
                <w:b/>
                <w:bCs/>
              </w:rPr>
              <w:t xml:space="preserve"> sistemą:</w:t>
            </w:r>
            <w:r w:rsidRPr="00B44B19" w:rsidDel="009279D5">
              <w:rPr>
                <w:rFonts w:ascii="Times New Roman" w:eastAsia="Calibri" w:hAnsi="Times New Roman" w:cs="Times New Roman"/>
              </w:rPr>
              <w:t xml:space="preserve"> </w:t>
            </w:r>
            <w:r w:rsidRPr="00B44B19">
              <w:rPr>
                <w:rFonts w:ascii="Times New Roman" w:eastAsia="Calibri" w:hAnsi="Times New Roman" w:cs="Times New Roman"/>
              </w:rPr>
              <w:t xml:space="preserve">įgyvendinant </w:t>
            </w:r>
            <w:r w:rsidR="004264C4" w:rsidRPr="00B44B19">
              <w:rPr>
                <w:rFonts w:ascii="Times New Roman" w:eastAsia="Calibri" w:hAnsi="Times New Roman" w:cs="Times New Roman"/>
              </w:rPr>
              <w:t>IPP</w:t>
            </w:r>
            <w:r w:rsidRPr="00B44B19">
              <w:rPr>
                <w:rFonts w:ascii="Times New Roman" w:eastAsia="Calibri" w:hAnsi="Times New Roman" w:cs="Times New Roman"/>
              </w:rPr>
              <w:t xml:space="preserve"> teikimo reformą</w:t>
            </w:r>
            <w:r w:rsidR="00665638" w:rsidRPr="00B44B19">
              <w:rPr>
                <w:rFonts w:ascii="Times New Roman" w:eastAsia="Calibri" w:hAnsi="Times New Roman" w:cs="Times New Roman"/>
              </w:rPr>
              <w:t>,</w:t>
            </w:r>
            <w:r w:rsidRPr="00B44B19">
              <w:rPr>
                <w:rFonts w:ascii="Times New Roman" w:eastAsia="Calibri" w:hAnsi="Times New Roman" w:cs="Times New Roman"/>
              </w:rPr>
              <w:t xml:space="preserve"> numatoma savivaldyb</w:t>
            </w:r>
            <w:r w:rsidR="00A74AFA" w:rsidRPr="00B44B19">
              <w:rPr>
                <w:rFonts w:ascii="Times New Roman" w:eastAsia="Calibri" w:hAnsi="Times New Roman" w:cs="Times New Roman"/>
              </w:rPr>
              <w:t xml:space="preserve">ėse </w:t>
            </w:r>
            <w:r w:rsidRPr="00B44B19">
              <w:rPr>
                <w:rFonts w:ascii="Times New Roman" w:eastAsia="Calibri" w:hAnsi="Times New Roman" w:cs="Times New Roman"/>
              </w:rPr>
              <w:t xml:space="preserve">plėtoti </w:t>
            </w:r>
            <w:r w:rsidR="00A74AFA" w:rsidRPr="00B44B19">
              <w:rPr>
                <w:rFonts w:ascii="Times New Roman" w:eastAsia="Calibri" w:hAnsi="Times New Roman" w:cs="Times New Roman"/>
              </w:rPr>
              <w:t xml:space="preserve">dienos centrų, teikiančių kompleksines sveikatos priežiūros bei socialines paslaugas, infrastruktūrą, taip pat plėtoti ir modernizuoti </w:t>
            </w:r>
            <w:r w:rsidRPr="00B44B19">
              <w:rPr>
                <w:rFonts w:ascii="Times New Roman" w:eastAsia="Calibri" w:hAnsi="Times New Roman" w:cs="Times New Roman"/>
              </w:rPr>
              <w:t>stacionarin</w:t>
            </w:r>
            <w:r w:rsidR="00A74AFA" w:rsidRPr="00B44B19">
              <w:rPr>
                <w:rFonts w:ascii="Times New Roman" w:eastAsia="Calibri" w:hAnsi="Times New Roman" w:cs="Times New Roman"/>
              </w:rPr>
              <w:t>ių</w:t>
            </w:r>
            <w:r w:rsidRPr="00B44B19">
              <w:rPr>
                <w:rFonts w:ascii="Times New Roman" w:eastAsia="Calibri" w:hAnsi="Times New Roman" w:cs="Times New Roman"/>
              </w:rPr>
              <w:t xml:space="preserve"> slaugos paslaug</w:t>
            </w:r>
            <w:r w:rsidR="00A74AFA" w:rsidRPr="00B44B19">
              <w:rPr>
                <w:rFonts w:ascii="Times New Roman" w:eastAsia="Calibri" w:hAnsi="Times New Roman" w:cs="Times New Roman"/>
              </w:rPr>
              <w:t>ų</w:t>
            </w:r>
            <w:r w:rsidRPr="00B44B19">
              <w:rPr>
                <w:rFonts w:ascii="Times New Roman" w:eastAsia="Calibri" w:hAnsi="Times New Roman" w:cs="Times New Roman"/>
              </w:rPr>
              <w:t xml:space="preserve"> žmonėms, sergantiems </w:t>
            </w:r>
            <w:r w:rsidR="006F3AE9" w:rsidRPr="00B44B19">
              <w:rPr>
                <w:rFonts w:ascii="Times New Roman" w:eastAsia="Calibri" w:hAnsi="Times New Roman" w:cs="Times New Roman"/>
              </w:rPr>
              <w:t>Alzheimerio liga,</w:t>
            </w:r>
            <w:r w:rsidRPr="00B44B19">
              <w:rPr>
                <w:rFonts w:ascii="Times New Roman" w:eastAsia="Calibri" w:hAnsi="Times New Roman" w:cs="Times New Roman"/>
              </w:rPr>
              <w:t xml:space="preserve"> senatvine demencij</w:t>
            </w:r>
            <w:r w:rsidR="004C5118" w:rsidRPr="00B44B19">
              <w:rPr>
                <w:rFonts w:ascii="Times New Roman" w:eastAsia="Calibri" w:hAnsi="Times New Roman" w:cs="Times New Roman"/>
              </w:rPr>
              <w:t xml:space="preserve">a </w:t>
            </w:r>
            <w:r w:rsidRPr="00B44B19">
              <w:rPr>
                <w:rFonts w:ascii="Times New Roman" w:eastAsia="Calibri" w:hAnsi="Times New Roman" w:cs="Times New Roman"/>
              </w:rPr>
              <w:t>bei paliatyviosios pagalbos paslaug</w:t>
            </w:r>
            <w:r w:rsidR="00A74AFA" w:rsidRPr="00B44B19">
              <w:rPr>
                <w:rFonts w:ascii="Times New Roman" w:eastAsia="Calibri" w:hAnsi="Times New Roman" w:cs="Times New Roman"/>
              </w:rPr>
              <w:t>ų infrastruktūrą</w:t>
            </w:r>
            <w:r w:rsidRPr="00B44B19">
              <w:rPr>
                <w:rFonts w:ascii="Times New Roman" w:eastAsia="Calibri" w:hAnsi="Times New Roman" w:cs="Times New Roman"/>
              </w:rPr>
              <w:t xml:space="preserve">, socialinių paslaugų įstaigų senyvo amžiaus asmenims infrastruktūrą bendruomenėje (savarankiško gyvenimo namų, globos namų infrastruktūros plėtra; </w:t>
            </w:r>
            <w:r w:rsidRPr="00B44B19">
              <w:rPr>
                <w:rFonts w:ascii="Times New Roman" w:hAnsi="Times New Roman" w:cs="Times New Roman"/>
              </w:rPr>
              <w:t xml:space="preserve">globos namų ir bendruomeninių paslaugų aplinkos pritaikymas </w:t>
            </w:r>
            <w:r w:rsidR="00643DFD" w:rsidRPr="00B44B19">
              <w:rPr>
                <w:rFonts w:ascii="Times New Roman" w:hAnsi="Times New Roman" w:cs="Times New Roman"/>
              </w:rPr>
              <w:t>Alzhaimerio liga</w:t>
            </w:r>
            <w:r w:rsidRPr="00B44B19">
              <w:rPr>
                <w:rFonts w:ascii="Times New Roman" w:hAnsi="Times New Roman" w:cs="Times New Roman"/>
              </w:rPr>
              <w:t xml:space="preserve">, senatvine demencija sergantiems asmenims, negalią turintiems asmenims; skaitmeninės, technologinės, inžinerinės ir kitos paslaugų infrastruktūros inovacijos, leidžiančios pagerinti tikslinių grupių </w:t>
            </w:r>
            <w:r w:rsidR="006F3AE9" w:rsidRPr="00B44B19">
              <w:rPr>
                <w:rFonts w:ascii="Times New Roman" w:hAnsi="Times New Roman" w:cs="Times New Roman"/>
              </w:rPr>
              <w:t xml:space="preserve">asmenų </w:t>
            </w:r>
            <w:r w:rsidRPr="00B44B19">
              <w:rPr>
                <w:rFonts w:ascii="Times New Roman" w:hAnsi="Times New Roman" w:cs="Times New Roman"/>
              </w:rPr>
              <w:t>savarankiškumą ir gyvenimo kokybę)</w:t>
            </w:r>
            <w:r w:rsidRPr="00B44B19">
              <w:rPr>
                <w:rFonts w:ascii="Times New Roman" w:eastAsia="Calibri" w:hAnsi="Times New Roman" w:cs="Times New Roman"/>
              </w:rPr>
              <w:t xml:space="preserve">. Vykdant </w:t>
            </w:r>
            <w:r w:rsidR="004264C4" w:rsidRPr="00B44B19">
              <w:rPr>
                <w:rFonts w:ascii="Times New Roman" w:eastAsia="Calibri" w:hAnsi="Times New Roman" w:cs="Times New Roman"/>
              </w:rPr>
              <w:t>IPP</w:t>
            </w:r>
            <w:r w:rsidRPr="00B44B19">
              <w:rPr>
                <w:rFonts w:ascii="Times New Roman" w:eastAsia="Calibri" w:hAnsi="Times New Roman" w:cs="Times New Roman"/>
              </w:rPr>
              <w:t xml:space="preserve"> teikti reikalingos infrastruktūros pritaikymo ir modernizavimo veiksmų planą</w:t>
            </w:r>
            <w:r w:rsidR="00665638" w:rsidRPr="00B44B19">
              <w:rPr>
                <w:rFonts w:ascii="Times New Roman" w:eastAsia="Calibri" w:hAnsi="Times New Roman" w:cs="Times New Roman"/>
              </w:rPr>
              <w:t>,</w:t>
            </w:r>
            <w:r w:rsidRPr="00B44B19">
              <w:rPr>
                <w:rFonts w:ascii="Times New Roman" w:eastAsia="Calibri" w:hAnsi="Times New Roman" w:cs="Times New Roman"/>
              </w:rPr>
              <w:t xml:space="preserve"> kiekvienos savivaldybės ir regiono lygmenimis</w:t>
            </w:r>
            <w:r w:rsidRPr="00B44B19" w:rsidDel="003B484F">
              <w:rPr>
                <w:rFonts w:ascii="Times New Roman" w:eastAsia="Calibri" w:hAnsi="Times New Roman" w:cs="Times New Roman"/>
              </w:rPr>
              <w:t xml:space="preserve"> </w:t>
            </w:r>
            <w:r w:rsidRPr="00B44B19">
              <w:rPr>
                <w:rFonts w:ascii="Times New Roman" w:eastAsia="Calibri" w:hAnsi="Times New Roman" w:cs="Times New Roman"/>
              </w:rPr>
              <w:t xml:space="preserve">numatomos investicijos į būtinus infrastruktūrinius pokyčius, kurie apimtų šias paslaugas teikiančių įstaigų patalpų įrengimą, transporto priemonių, skirtų </w:t>
            </w:r>
            <w:r w:rsidR="006F3AE9" w:rsidRPr="00B44B19">
              <w:rPr>
                <w:rFonts w:ascii="Times New Roman" w:eastAsia="Calibri" w:hAnsi="Times New Roman" w:cs="Times New Roman"/>
              </w:rPr>
              <w:t xml:space="preserve">pacientams lankyti </w:t>
            </w:r>
            <w:r w:rsidRPr="00B44B19">
              <w:rPr>
                <w:rFonts w:ascii="Times New Roman" w:eastAsia="Calibri" w:hAnsi="Times New Roman" w:cs="Times New Roman"/>
              </w:rPr>
              <w:t xml:space="preserve">namuose, įsigijimą, inovatyvių technologijų diegimą ir plėtrą, mobilios </w:t>
            </w:r>
            <w:r w:rsidR="006F3AE9" w:rsidRPr="00B44B19">
              <w:rPr>
                <w:rFonts w:ascii="Times New Roman" w:eastAsia="Calibri" w:hAnsi="Times New Roman" w:cs="Times New Roman"/>
              </w:rPr>
              <w:t xml:space="preserve">įrangos, techninės </w:t>
            </w:r>
            <w:r w:rsidRPr="00B44B19">
              <w:rPr>
                <w:rFonts w:ascii="Times New Roman" w:eastAsia="Calibri" w:hAnsi="Times New Roman" w:cs="Times New Roman"/>
              </w:rPr>
              <w:t>pagalbos priemonių įsigijimą. Ši veikla bus įgyvendinama VVL ir Sostinės regionuose.</w:t>
            </w:r>
          </w:p>
          <w:p w14:paraId="11AEB890" w14:textId="2C8D4B84" w:rsidR="00823F78" w:rsidRPr="00B44B19" w:rsidRDefault="00823F78" w:rsidP="008674D1">
            <w:pPr>
              <w:spacing w:before="60" w:after="60"/>
              <w:jc w:val="both"/>
              <w:rPr>
                <w:rFonts w:ascii="Times New Roman" w:eastAsia="Calibri" w:hAnsi="Times New Roman" w:cs="Times New Roman"/>
              </w:rPr>
            </w:pPr>
            <w:r w:rsidRPr="00B44B19">
              <w:rPr>
                <w:rFonts w:ascii="Times New Roman" w:eastAsia="Calibri" w:hAnsi="Times New Roman" w:cs="Times New Roman"/>
              </w:rPr>
              <w:t>Tobulinti e.sveikatos sistemą: numatoma finansuoti ESPBI IS modernizavimą pakeičiant bendrą ESPBI IS architektūrą iš centralizuotos (monolitinės) į atskirų nepriklausomų ir tarpusavyje susijusių sudėtinių komponentų architektūrą, taip užtikrinant efektyvų ir tvarų nacionalinės e.sveikatos sistemos veikimą, patikimumą, našumą bei jos tolesnį vystymą. Ši veikla bus įgyvendinama VVL ir Sostinės regionuose.</w:t>
            </w:r>
          </w:p>
          <w:p w14:paraId="72E30B60" w14:textId="77777777" w:rsidR="00334B0C" w:rsidRPr="00B44B19" w:rsidRDefault="00334B0C" w:rsidP="008674D1">
            <w:pPr>
              <w:spacing w:before="60" w:after="60"/>
              <w:jc w:val="both"/>
              <w:rPr>
                <w:rFonts w:ascii="Times New Roman" w:eastAsia="Times New Roman" w:hAnsi="Times New Roman" w:cs="Times New Roman"/>
                <w:noProof/>
                <w:szCs w:val="24"/>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D46D92" w:rsidRPr="00B44B19">
              <w:rPr>
                <w:rFonts w:ascii="Times New Roman" w:eastAsia="Times New Roman" w:hAnsi="Times New Roman" w:cs="Times New Roman"/>
                <w:noProof/>
                <w:szCs w:val="24"/>
              </w:rPr>
              <w:t>.</w:t>
            </w:r>
          </w:p>
        </w:tc>
      </w:tr>
    </w:tbl>
    <w:p w14:paraId="091DD8CC" w14:textId="77777777" w:rsidR="002F0AD5" w:rsidRPr="00B44B19" w:rsidRDefault="002F0AD5"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Pagrindinės tikslinės grupės </w:t>
      </w:r>
    </w:p>
    <w:tbl>
      <w:tblPr>
        <w:tblStyle w:val="Lentelstinklelis"/>
        <w:tblW w:w="0" w:type="auto"/>
        <w:tblLook w:val="04A0" w:firstRow="1" w:lastRow="0" w:firstColumn="1" w:lastColumn="0" w:noHBand="0" w:noVBand="1"/>
      </w:tblPr>
      <w:tblGrid>
        <w:gridCol w:w="9628"/>
      </w:tblGrid>
      <w:tr w:rsidR="00691690" w:rsidRPr="00B44B19" w14:paraId="4022481A" w14:textId="77777777" w:rsidTr="00691690">
        <w:tc>
          <w:tcPr>
            <w:tcW w:w="9854" w:type="dxa"/>
          </w:tcPr>
          <w:p w14:paraId="5912C527" w14:textId="77777777" w:rsidR="00691690" w:rsidRPr="00B44B19" w:rsidRDefault="00691690" w:rsidP="008674D1">
            <w:pPr>
              <w:spacing w:before="60" w:after="60"/>
              <w:jc w:val="both"/>
              <w:rPr>
                <w:rFonts w:eastAsia="Calibri" w:cs="Times New Roman"/>
                <w:b/>
                <w:i/>
                <w:noProof/>
                <w:szCs w:val="24"/>
                <w:lang w:eastAsia="lt-LT" w:bidi="lt-LT"/>
              </w:rPr>
            </w:pPr>
            <w:r w:rsidRPr="00B44B19">
              <w:rPr>
                <w:rFonts w:eastAsia="Times New Roman" w:cs="Times New Roman"/>
                <w:noProof/>
                <w:sz w:val="22"/>
                <w:lang w:eastAsia="lt-LT" w:bidi="lt-LT"/>
              </w:rPr>
              <w:t>Socialiai pažeidžiami, socialinę riziką (atskirtį) patiriantys asmenys; neįgalūs asmenys, senyvo amžiaus asmenys; vaikai; jaunimas; asmens ir visuomenės sveikatos priežiūros specialistai ir kiti sveikatos priežiūros srityje dirbantys specialistai; asmenys, kuriems nustatytas ilgalaikės priežiūros poreikis; asmenys, priskiriami pagrindinių lėtinių neinfekcinių ligų didelės rizikos grupėms; asmenys, sergantys daugybinėmis lėtinėmis ligomis.</w:t>
            </w:r>
          </w:p>
        </w:tc>
      </w:tr>
    </w:tbl>
    <w:p w14:paraId="7E34EC9A" w14:textId="77777777" w:rsidR="002F0AD5" w:rsidRPr="00B44B19" w:rsidRDefault="002F0AD5" w:rsidP="00783D09">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691690" w:rsidRPr="00B44B19" w14:paraId="0E1D6881" w14:textId="77777777" w:rsidTr="00691690">
        <w:tc>
          <w:tcPr>
            <w:tcW w:w="9854" w:type="dxa"/>
          </w:tcPr>
          <w:p w14:paraId="4F65C402" w14:textId="77777777" w:rsidR="00691690" w:rsidRPr="00B44B19" w:rsidRDefault="00691690" w:rsidP="008674D1">
            <w:pPr>
              <w:spacing w:before="60" w:after="60"/>
              <w:jc w:val="both"/>
              <w:rPr>
                <w:rFonts w:eastAsia="Calibri" w:cs="Times New Roman"/>
                <w:b/>
                <w:i/>
                <w:noProof/>
                <w:szCs w:val="24"/>
                <w:lang w:eastAsia="lt-LT" w:bidi="lt-LT"/>
              </w:rPr>
            </w:pPr>
            <w:r w:rsidRPr="00B44B19">
              <w:rPr>
                <w:rFonts w:eastAsia="Calibri" w:cs="Times New Roman"/>
                <w:sz w:val="22"/>
                <w:lang w:eastAsia="lt-LT" w:bidi="lt-LT"/>
              </w:rPr>
              <w:t>Vykdant veiklas, apimančias infrastruktūros plėtojimą ar modernizavimą, bus reikalaujama ją pritaikyti pagal universalaus dizaino principus.</w:t>
            </w:r>
          </w:p>
        </w:tc>
      </w:tr>
    </w:tbl>
    <w:p w14:paraId="193EE64C" w14:textId="77777777" w:rsidR="002F0AD5" w:rsidRPr="00B44B19" w:rsidRDefault="002F0AD5" w:rsidP="00783D09">
      <w:pPr>
        <w:pStyle w:val="Stilius1"/>
        <w:rPr>
          <w:rFonts w:eastAsia="Times New Roman" w:cs="Times New Roman"/>
          <w:noProof/>
          <w:lang w:eastAsia="lt-LT" w:bidi="lt-LT"/>
        </w:rPr>
      </w:pPr>
      <w:r w:rsidRPr="00B44B19">
        <w:rPr>
          <w:rFonts w:cs="Times New Roman"/>
          <w:noProof/>
          <w:lang w:eastAsia="lt-LT" w:bidi="lt-LT"/>
        </w:rPr>
        <w:t xml:space="preserve">Konkrečios tikslinės teritorijos, įskaitant planuojamą teritorinių priemonių naudojimą </w:t>
      </w:r>
    </w:p>
    <w:tbl>
      <w:tblPr>
        <w:tblStyle w:val="Lentelstinklelis"/>
        <w:tblW w:w="0" w:type="auto"/>
        <w:tblLook w:val="04A0" w:firstRow="1" w:lastRow="0" w:firstColumn="1" w:lastColumn="0" w:noHBand="0" w:noVBand="1"/>
      </w:tblPr>
      <w:tblGrid>
        <w:gridCol w:w="9628"/>
      </w:tblGrid>
      <w:tr w:rsidR="00691690" w:rsidRPr="00B44B19" w14:paraId="793810B5" w14:textId="77777777" w:rsidTr="00691690">
        <w:tc>
          <w:tcPr>
            <w:tcW w:w="9854" w:type="dxa"/>
          </w:tcPr>
          <w:p w14:paraId="1D15A563" w14:textId="77777777" w:rsidR="00691690" w:rsidRPr="00B44B19" w:rsidRDefault="00691690" w:rsidP="008674D1">
            <w:pPr>
              <w:spacing w:before="60" w:after="60"/>
              <w:jc w:val="both"/>
              <w:rPr>
                <w:rFonts w:cs="Times New Roman"/>
                <w:bCs/>
                <w:color w:val="000000"/>
                <w:sz w:val="22"/>
              </w:rPr>
            </w:pPr>
            <w:r w:rsidRPr="00B44B19">
              <w:rPr>
                <w:rFonts w:eastAsia="Calibri" w:cs="Times New Roman"/>
                <w:noProof/>
                <w:sz w:val="22"/>
                <w:lang w:eastAsia="lt-LT" w:bidi="lt-LT"/>
              </w:rPr>
              <w:t>VVL regionas, Sostinės regionas.</w:t>
            </w:r>
          </w:p>
          <w:p w14:paraId="62768E25" w14:textId="77777777" w:rsidR="00691690" w:rsidRPr="00B44B19" w:rsidRDefault="00691690" w:rsidP="008674D1">
            <w:pPr>
              <w:spacing w:before="60" w:after="60"/>
              <w:jc w:val="both"/>
              <w:rPr>
                <w:rFonts w:eastAsia="Calibri" w:cs="Times New Roman"/>
                <w:b/>
                <w:i/>
                <w:noProof/>
                <w:szCs w:val="24"/>
                <w:lang w:eastAsia="lt-LT" w:bidi="lt-LT"/>
              </w:rPr>
            </w:pPr>
            <w:r w:rsidRPr="00B44B19">
              <w:rPr>
                <w:rFonts w:cs="Times New Roman"/>
                <w:bCs/>
                <w:color w:val="000000"/>
                <w:sz w:val="22"/>
              </w:rPr>
              <w:t xml:space="preserve">Uždavinio investicijomis gali būti remiama dalis tvarios miestų ir </w:t>
            </w:r>
            <w:r w:rsidR="004C2FDD" w:rsidRPr="00B44B19">
              <w:rPr>
                <w:rFonts w:cs="Times New Roman"/>
                <w:bCs/>
                <w:color w:val="000000"/>
                <w:sz w:val="22"/>
              </w:rPr>
              <w:t>FZ</w:t>
            </w:r>
            <w:r w:rsidRPr="00B44B19">
              <w:rPr>
                <w:rFonts w:cs="Times New Roman"/>
                <w:bCs/>
                <w:color w:val="000000"/>
                <w:sz w:val="22"/>
              </w:rPr>
              <w:t xml:space="preserve"> plėtros veiksmų įgyvendinamų </w:t>
            </w:r>
            <w:r w:rsidRPr="00B44B19">
              <w:rPr>
                <w:rFonts w:cs="Times New Roman"/>
                <w:bCs/>
                <w:sz w:val="22"/>
              </w:rPr>
              <w:t xml:space="preserve">ITI </w:t>
            </w:r>
            <w:r w:rsidRPr="00B44B19">
              <w:rPr>
                <w:rFonts w:cs="Times New Roman"/>
                <w:bCs/>
                <w:color w:val="000000"/>
                <w:sz w:val="22"/>
              </w:rPr>
              <w:t xml:space="preserve">būdu, šias investicijas derinant su </w:t>
            </w:r>
            <w:r w:rsidR="00C41BAA" w:rsidRPr="00B44B19">
              <w:rPr>
                <w:rFonts w:cs="Times New Roman"/>
                <w:bCs/>
                <w:color w:val="000000"/>
                <w:sz w:val="22"/>
              </w:rPr>
              <w:t xml:space="preserve">Programos </w:t>
            </w:r>
            <w:r w:rsidRPr="00B44B19">
              <w:rPr>
                <w:rFonts w:cs="Times New Roman"/>
                <w:bCs/>
                <w:color w:val="000000"/>
                <w:sz w:val="22"/>
              </w:rPr>
              <w:t>5 prioriteto</w:t>
            </w:r>
            <w:r w:rsidR="00542FB7" w:rsidRPr="00B44B19">
              <w:rPr>
                <w:rFonts w:cs="Times New Roman"/>
                <w:bCs/>
                <w:color w:val="000000"/>
                <w:sz w:val="22"/>
              </w:rPr>
              <w:t xml:space="preserve"> 5.1 ir 5.2 uždavinių </w:t>
            </w:r>
            <w:r w:rsidRPr="00B44B19">
              <w:rPr>
                <w:rFonts w:cs="Times New Roman"/>
                <w:bCs/>
                <w:color w:val="000000"/>
                <w:sz w:val="22"/>
              </w:rPr>
              <w:t xml:space="preserve">investicijomis siekiant bendrų tikslų </w:t>
            </w:r>
            <w:r w:rsidR="00DF5EF1" w:rsidRPr="00B44B19">
              <w:rPr>
                <w:rFonts w:cs="Times New Roman"/>
                <w:bCs/>
                <w:color w:val="000000"/>
                <w:sz w:val="22"/>
              </w:rPr>
              <w:t>socialinių</w:t>
            </w:r>
            <w:r w:rsidRPr="00B44B19">
              <w:rPr>
                <w:rFonts w:cs="Times New Roman"/>
                <w:bCs/>
                <w:color w:val="000000"/>
                <w:sz w:val="22"/>
              </w:rPr>
              <w:t xml:space="preserve"> </w:t>
            </w:r>
            <w:r w:rsidR="00724D41" w:rsidRPr="00B44B19">
              <w:rPr>
                <w:rFonts w:eastAsia="Calibri" w:cs="Times New Roman"/>
              </w:rPr>
              <w:t xml:space="preserve">ir sveikatos </w:t>
            </w:r>
            <w:r w:rsidRPr="00B44B19">
              <w:rPr>
                <w:rFonts w:cs="Times New Roman"/>
                <w:bCs/>
                <w:color w:val="000000"/>
                <w:sz w:val="22"/>
              </w:rPr>
              <w:t>paslaugų plėtros srityje. Investicijų apimtis / detalumas derinami su atitink</w:t>
            </w:r>
            <w:r w:rsidR="00542FB7" w:rsidRPr="00B44B19">
              <w:rPr>
                <w:rFonts w:cs="Times New Roman"/>
                <w:bCs/>
                <w:color w:val="000000"/>
                <w:sz w:val="22"/>
              </w:rPr>
              <w:t>amomis ministerijomis rengiant n</w:t>
            </w:r>
            <w:r w:rsidRPr="00B44B19">
              <w:rPr>
                <w:rFonts w:cs="Times New Roman"/>
                <w:bCs/>
                <w:color w:val="000000"/>
                <w:sz w:val="22"/>
              </w:rPr>
              <w:t xml:space="preserve">acionalines </w:t>
            </w:r>
            <w:r w:rsidR="00542FB7" w:rsidRPr="00B44B19">
              <w:rPr>
                <w:rFonts w:cs="Times New Roman"/>
                <w:bCs/>
                <w:color w:val="000000"/>
                <w:sz w:val="22"/>
              </w:rPr>
              <w:t xml:space="preserve">plėtros programas </w:t>
            </w:r>
            <w:r w:rsidRPr="00B44B19">
              <w:rPr>
                <w:rFonts w:cs="Times New Roman"/>
                <w:bCs/>
                <w:color w:val="000000"/>
                <w:sz w:val="22"/>
              </w:rPr>
              <w:t xml:space="preserve">ir </w:t>
            </w:r>
            <w:r w:rsidR="00542FB7" w:rsidRPr="00B44B19">
              <w:rPr>
                <w:rFonts w:cs="Times New Roman"/>
                <w:bCs/>
                <w:color w:val="000000"/>
                <w:sz w:val="22"/>
              </w:rPr>
              <w:t xml:space="preserve">teritorines strategijas </w:t>
            </w:r>
            <w:r w:rsidRPr="00B44B19">
              <w:rPr>
                <w:rFonts w:cs="Times New Roman"/>
                <w:bCs/>
                <w:color w:val="000000"/>
                <w:sz w:val="22"/>
              </w:rPr>
              <w:t>ir priklauso nuo pasirenkamų uždavinių turinio.</w:t>
            </w:r>
          </w:p>
        </w:tc>
      </w:tr>
    </w:tbl>
    <w:p w14:paraId="76E5E5D6" w14:textId="77777777" w:rsidR="002F0AD5" w:rsidRPr="00B44B19" w:rsidRDefault="002F0AD5" w:rsidP="00783D09">
      <w:pPr>
        <w:pStyle w:val="Stilius1"/>
        <w:rPr>
          <w:rFonts w:eastAsia="Times New Roman" w:cs="Times New Roman"/>
          <w:iCs/>
          <w:noProof/>
          <w:lang w:eastAsia="lt-LT" w:bidi="lt-LT"/>
        </w:rPr>
      </w:pPr>
      <w:r w:rsidRPr="00B44B19">
        <w:rPr>
          <w:rFonts w:cs="Times New Roman"/>
          <w:noProof/>
          <w:lang w:eastAsia="lt-LT" w:bidi="lt-LT"/>
        </w:rPr>
        <w:t xml:space="preserve">Tarpregioniniai, tarp sienų ir tarpvalstybiniai veiksmai </w:t>
      </w:r>
    </w:p>
    <w:tbl>
      <w:tblPr>
        <w:tblStyle w:val="Lentelstinklelis"/>
        <w:tblW w:w="0" w:type="auto"/>
        <w:tblLook w:val="04A0" w:firstRow="1" w:lastRow="0" w:firstColumn="1" w:lastColumn="0" w:noHBand="0" w:noVBand="1"/>
      </w:tblPr>
      <w:tblGrid>
        <w:gridCol w:w="9628"/>
      </w:tblGrid>
      <w:tr w:rsidR="00691690" w:rsidRPr="00B44B19" w14:paraId="1C2EFE13" w14:textId="77777777" w:rsidTr="00691690">
        <w:tc>
          <w:tcPr>
            <w:tcW w:w="9854" w:type="dxa"/>
          </w:tcPr>
          <w:p w14:paraId="6CAF4D22" w14:textId="77777777" w:rsidR="00691690" w:rsidRPr="00B44B19" w:rsidRDefault="00993B5D" w:rsidP="008674D1">
            <w:pPr>
              <w:spacing w:before="60" w:after="60"/>
              <w:jc w:val="both"/>
              <w:rPr>
                <w:rFonts w:eastAsia="Calibri" w:cs="Times New Roman"/>
                <w:b/>
                <w:i/>
                <w:noProof/>
                <w:szCs w:val="24"/>
                <w:lang w:eastAsia="lt-LT" w:bidi="lt-LT"/>
              </w:rPr>
            </w:pPr>
            <w:r w:rsidRPr="00B44B19">
              <w:rPr>
                <w:rFonts w:eastAsia="Calibri" w:cs="Times New Roman"/>
                <w:bCs/>
                <w:noProof/>
                <w:sz w:val="22"/>
                <w:lang w:eastAsia="lt-LT" w:bidi="lt-LT"/>
              </w:rPr>
              <w:t>Numatoma sudaryti visas galimybes prireikus juos atlikti</w:t>
            </w:r>
            <w:r w:rsidR="003F1297" w:rsidRPr="00B44B19">
              <w:rPr>
                <w:rFonts w:eastAsia="Calibri" w:cs="Times New Roman"/>
                <w:bCs/>
                <w:noProof/>
                <w:sz w:val="22"/>
                <w:lang w:eastAsia="lt-LT" w:bidi="lt-LT"/>
              </w:rPr>
              <w:t>.</w:t>
            </w:r>
          </w:p>
        </w:tc>
      </w:tr>
    </w:tbl>
    <w:p w14:paraId="51D5E7F5" w14:textId="77777777" w:rsidR="002F0AD5" w:rsidRPr="00B44B19" w:rsidRDefault="002F0AD5" w:rsidP="00783D09">
      <w:pPr>
        <w:pStyle w:val="Stilius1"/>
        <w:rPr>
          <w:rFonts w:eastAsia="Times New Roman" w:cs="Times New Roman"/>
          <w:iCs/>
          <w:noProof/>
          <w:lang w:eastAsia="lt-LT" w:bidi="lt-LT"/>
        </w:rPr>
      </w:pPr>
      <w:r w:rsidRPr="00B44B19">
        <w:rPr>
          <w:rFonts w:cs="Times New Roman"/>
          <w:noProof/>
          <w:lang w:eastAsia="lt-LT" w:bidi="lt-LT"/>
        </w:rPr>
        <w:lastRenderedPageBreak/>
        <w:t xml:space="preserve">Planuojamas finansinių priemonių naudojimas </w:t>
      </w:r>
    </w:p>
    <w:tbl>
      <w:tblPr>
        <w:tblStyle w:val="Lentelstinklelis"/>
        <w:tblW w:w="0" w:type="auto"/>
        <w:tblLook w:val="04A0" w:firstRow="1" w:lastRow="0" w:firstColumn="1" w:lastColumn="0" w:noHBand="0" w:noVBand="1"/>
      </w:tblPr>
      <w:tblGrid>
        <w:gridCol w:w="9628"/>
      </w:tblGrid>
      <w:tr w:rsidR="00691690" w:rsidRPr="00B44B19" w14:paraId="5D9E788B" w14:textId="77777777" w:rsidTr="00691690">
        <w:tc>
          <w:tcPr>
            <w:tcW w:w="9854" w:type="dxa"/>
          </w:tcPr>
          <w:p w14:paraId="16307FAB" w14:textId="77777777" w:rsidR="00691690" w:rsidRPr="00B44B19" w:rsidRDefault="00D43A78" w:rsidP="008674D1">
            <w:pPr>
              <w:spacing w:before="60" w:after="60"/>
              <w:jc w:val="both"/>
              <w:rPr>
                <w:rFonts w:cs="Times New Roman"/>
                <w:b/>
                <w:i/>
                <w:szCs w:val="24"/>
              </w:rPr>
            </w:pPr>
            <w:r w:rsidRPr="00B44B19">
              <w:rPr>
                <w:rFonts w:eastAsia="Times New Roman" w:cs="Times New Roman"/>
                <w:noProof/>
                <w:sz w:val="22"/>
                <w:lang w:eastAsia="lt-LT" w:bidi="lt-LT"/>
              </w:rPr>
              <w:t>–</w:t>
            </w:r>
          </w:p>
        </w:tc>
      </w:tr>
    </w:tbl>
    <w:p w14:paraId="238359E5" w14:textId="77777777" w:rsidR="0002743E" w:rsidRPr="00B44B19" w:rsidRDefault="0002743E" w:rsidP="008674D1">
      <w:pPr>
        <w:spacing w:before="60" w:after="60"/>
        <w:rPr>
          <w:rFonts w:cs="Times New Roman"/>
        </w:rPr>
      </w:pPr>
    </w:p>
    <w:p w14:paraId="011C612A" w14:textId="77777777" w:rsidR="00D56FF3" w:rsidRPr="00B44B19" w:rsidRDefault="005D02EB" w:rsidP="00783D09">
      <w:pPr>
        <w:pStyle w:val="Stilius1"/>
        <w:rPr>
          <w:rFonts w:eastAsia="Calibri" w:cs="Times New Roman"/>
          <w:noProof/>
          <w:szCs w:val="20"/>
          <w:lang w:eastAsia="lt-LT" w:bidi="lt-LT"/>
        </w:rPr>
      </w:pPr>
      <w:r w:rsidRPr="00B44B19">
        <w:rPr>
          <w:rFonts w:cs="Times New Roman"/>
        </w:rPr>
        <w:t>Rodikliai</w:t>
      </w:r>
      <w:r w:rsidRPr="00B44B19">
        <w:rPr>
          <w:rFonts w:eastAsia="Calibri" w:cs="Times New Roman"/>
          <w:noProof/>
          <w:szCs w:val="20"/>
          <w:lang w:eastAsia="lt-LT" w:bidi="lt-LT"/>
        </w:rPr>
        <w:t xml:space="preserve"> </w:t>
      </w:r>
    </w:p>
    <w:p w14:paraId="38C839DC" w14:textId="77777777" w:rsidR="005D02EB" w:rsidRPr="00B44B19" w:rsidRDefault="005D02EB" w:rsidP="00D56FF3">
      <w:pPr>
        <w:spacing w:before="240" w:after="0" w:line="240" w:lineRule="auto"/>
        <w:jc w:val="both"/>
        <w:rPr>
          <w:rFonts w:cs="Times New Roman"/>
          <w:bCs/>
          <w:szCs w:val="24"/>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965"/>
        <w:gridCol w:w="705"/>
        <w:gridCol w:w="951"/>
        <w:gridCol w:w="1241"/>
        <w:gridCol w:w="1793"/>
        <w:gridCol w:w="970"/>
        <w:gridCol w:w="976"/>
        <w:gridCol w:w="919"/>
      </w:tblGrid>
      <w:tr w:rsidR="004F7750" w:rsidRPr="00B44B19" w14:paraId="19A891C9" w14:textId="77777777" w:rsidTr="00643DFD">
        <w:trPr>
          <w:trHeight w:val="695"/>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609033"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Prioritetas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88F3AE"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36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F93D7E"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Fondas</w:t>
            </w:r>
          </w:p>
        </w:tc>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B8D819"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47224E"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FBE167"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Rodiklis</w:t>
            </w:r>
          </w:p>
        </w:tc>
        <w:tc>
          <w:tcPr>
            <w:tcW w:w="5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0308CE"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759F41"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6B40FA"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Siek</w:t>
            </w:r>
            <w:r w:rsidR="00971A89" w:rsidRPr="00B44B19">
              <w:rPr>
                <w:rFonts w:cs="Times New Roman"/>
                <w:b/>
                <w:noProof/>
                <w:sz w:val="16"/>
                <w:szCs w:val="16"/>
              </w:rPr>
              <w:t>tina reikšmė</w:t>
            </w:r>
            <w:r w:rsidRPr="00B44B19">
              <w:rPr>
                <w:rFonts w:cs="Times New Roman"/>
                <w:b/>
                <w:noProof/>
                <w:sz w:val="16"/>
                <w:szCs w:val="16"/>
              </w:rPr>
              <w:t xml:space="preserve"> (2029 m.)</w:t>
            </w:r>
          </w:p>
        </w:tc>
      </w:tr>
      <w:tr w:rsidR="00B869CF" w:rsidRPr="00B44B19" w14:paraId="63714251" w14:textId="77777777" w:rsidTr="00643DFD">
        <w:trPr>
          <w:trHeight w:val="332"/>
        </w:trPr>
        <w:tc>
          <w:tcPr>
            <w:tcW w:w="566" w:type="pct"/>
            <w:vMerge w:val="restart"/>
            <w:tcBorders>
              <w:top w:val="single" w:sz="12" w:space="0" w:color="auto"/>
            </w:tcBorders>
          </w:tcPr>
          <w:p w14:paraId="72ED9320"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4.Socialiai atsakingesnė Lietuva</w:t>
            </w:r>
          </w:p>
        </w:tc>
        <w:tc>
          <w:tcPr>
            <w:tcW w:w="502" w:type="pct"/>
            <w:vMerge w:val="restart"/>
            <w:tcBorders>
              <w:top w:val="single" w:sz="12" w:space="0" w:color="auto"/>
            </w:tcBorders>
          </w:tcPr>
          <w:p w14:paraId="1F321AED" w14:textId="77777777" w:rsidR="00B869CF" w:rsidRPr="00B44B19" w:rsidRDefault="00B869CF" w:rsidP="004A664D">
            <w:pPr>
              <w:spacing w:after="0" w:line="240" w:lineRule="auto"/>
              <w:jc w:val="both"/>
              <w:rPr>
                <w:rFonts w:cs="Times New Roman"/>
                <w:noProof/>
                <w:sz w:val="16"/>
                <w:szCs w:val="16"/>
              </w:rPr>
            </w:pPr>
            <w:r w:rsidRPr="00B44B19">
              <w:rPr>
                <w:rFonts w:cs="Times New Roman"/>
                <w:noProof/>
                <w:sz w:val="16"/>
                <w:szCs w:val="16"/>
              </w:rPr>
              <w:t>4.10.</w:t>
            </w:r>
          </w:p>
        </w:tc>
        <w:tc>
          <w:tcPr>
            <w:tcW w:w="367" w:type="pct"/>
            <w:vMerge w:val="restart"/>
            <w:tcBorders>
              <w:top w:val="single" w:sz="12" w:space="0" w:color="auto"/>
            </w:tcBorders>
          </w:tcPr>
          <w:p w14:paraId="603FC9F1"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ERPF</w:t>
            </w:r>
          </w:p>
        </w:tc>
        <w:tc>
          <w:tcPr>
            <w:tcW w:w="495" w:type="pct"/>
            <w:tcBorders>
              <w:top w:val="single" w:sz="12" w:space="0" w:color="auto"/>
              <w:bottom w:val="single" w:sz="4" w:space="0" w:color="auto"/>
            </w:tcBorders>
          </w:tcPr>
          <w:p w14:paraId="0A330636"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646" w:type="pct"/>
            <w:tcBorders>
              <w:top w:val="single" w:sz="12" w:space="0" w:color="auto"/>
              <w:bottom w:val="single" w:sz="4" w:space="0" w:color="auto"/>
            </w:tcBorders>
          </w:tcPr>
          <w:p w14:paraId="6281E90E"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RCO69</w:t>
            </w:r>
          </w:p>
        </w:tc>
        <w:tc>
          <w:tcPr>
            <w:tcW w:w="933" w:type="pct"/>
            <w:tcBorders>
              <w:top w:val="single" w:sz="12" w:space="0" w:color="auto"/>
              <w:bottom w:val="single" w:sz="4" w:space="0" w:color="auto"/>
            </w:tcBorders>
          </w:tcPr>
          <w:p w14:paraId="2CD6BB11"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eastAsia="Calibri" w:cs="Times New Roman"/>
                <w:noProof/>
                <w:color w:val="000000"/>
                <w:sz w:val="16"/>
                <w:szCs w:val="16"/>
                <w:lang w:eastAsia="lt-LT" w:bidi="lt-LT"/>
              </w:rPr>
              <w:t>Naujos arba modernizuotos sveikatos priežiūros infrastruktūros talpumas</w:t>
            </w:r>
          </w:p>
        </w:tc>
        <w:tc>
          <w:tcPr>
            <w:tcW w:w="505" w:type="pct"/>
            <w:tcBorders>
              <w:top w:val="single" w:sz="12" w:space="0" w:color="auto"/>
              <w:bottom w:val="single" w:sz="4" w:space="0" w:color="auto"/>
            </w:tcBorders>
          </w:tcPr>
          <w:p w14:paraId="44D3541E"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 per metus</w:t>
            </w:r>
          </w:p>
        </w:tc>
        <w:tc>
          <w:tcPr>
            <w:tcW w:w="508" w:type="pct"/>
            <w:tcBorders>
              <w:top w:val="single" w:sz="12" w:space="0" w:color="auto"/>
              <w:bottom w:val="single" w:sz="4" w:space="0" w:color="auto"/>
            </w:tcBorders>
          </w:tcPr>
          <w:p w14:paraId="7A4ECDAC"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103 000</w:t>
            </w:r>
          </w:p>
        </w:tc>
        <w:tc>
          <w:tcPr>
            <w:tcW w:w="478" w:type="pct"/>
            <w:tcBorders>
              <w:top w:val="single" w:sz="12" w:space="0" w:color="auto"/>
              <w:bottom w:val="single" w:sz="4" w:space="0" w:color="auto"/>
            </w:tcBorders>
          </w:tcPr>
          <w:p w14:paraId="3C354A54" w14:textId="20E19AD2" w:rsidR="00B869CF" w:rsidRPr="00B44B19" w:rsidRDefault="003F3963" w:rsidP="004F7750">
            <w:pPr>
              <w:spacing w:after="0" w:line="240" w:lineRule="auto"/>
              <w:jc w:val="center"/>
              <w:rPr>
                <w:rFonts w:cs="Times New Roman"/>
                <w:noProof/>
                <w:sz w:val="16"/>
                <w:szCs w:val="16"/>
              </w:rPr>
            </w:pPr>
            <w:r w:rsidRPr="00B44B19">
              <w:rPr>
                <w:rFonts w:cs="Times New Roman"/>
                <w:noProof/>
                <w:sz w:val="16"/>
                <w:szCs w:val="16"/>
              </w:rPr>
              <w:t>2 074 200</w:t>
            </w:r>
          </w:p>
        </w:tc>
      </w:tr>
      <w:tr w:rsidR="00B869CF" w:rsidRPr="00B44B19" w14:paraId="6568EBB7" w14:textId="77777777" w:rsidTr="004F7750">
        <w:trPr>
          <w:trHeight w:val="332"/>
        </w:trPr>
        <w:tc>
          <w:tcPr>
            <w:tcW w:w="566" w:type="pct"/>
            <w:vMerge/>
          </w:tcPr>
          <w:p w14:paraId="0B0A1A69"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1DA3E0B9"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32F0E3FD"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5E671F06"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646" w:type="pct"/>
            <w:tcBorders>
              <w:top w:val="single" w:sz="4" w:space="0" w:color="auto"/>
              <w:bottom w:val="single" w:sz="4" w:space="0" w:color="auto"/>
            </w:tcBorders>
          </w:tcPr>
          <w:p w14:paraId="351E1946"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RCO69</w:t>
            </w:r>
          </w:p>
        </w:tc>
        <w:tc>
          <w:tcPr>
            <w:tcW w:w="933" w:type="pct"/>
            <w:tcBorders>
              <w:top w:val="single" w:sz="4" w:space="0" w:color="auto"/>
              <w:bottom w:val="single" w:sz="4" w:space="0" w:color="auto"/>
            </w:tcBorders>
          </w:tcPr>
          <w:p w14:paraId="5EBC6214"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Naujos arba modernizuotos sveikatos priežiūros infrastruktūros talpumas</w:t>
            </w:r>
          </w:p>
        </w:tc>
        <w:tc>
          <w:tcPr>
            <w:tcW w:w="505" w:type="pct"/>
            <w:tcBorders>
              <w:top w:val="single" w:sz="4" w:space="0" w:color="auto"/>
              <w:bottom w:val="single" w:sz="4" w:space="0" w:color="auto"/>
            </w:tcBorders>
          </w:tcPr>
          <w:p w14:paraId="7C0B7653"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 per metus</w:t>
            </w:r>
          </w:p>
        </w:tc>
        <w:tc>
          <w:tcPr>
            <w:tcW w:w="508" w:type="pct"/>
            <w:tcBorders>
              <w:top w:val="single" w:sz="4" w:space="0" w:color="auto"/>
              <w:bottom w:val="single" w:sz="4" w:space="0" w:color="auto"/>
            </w:tcBorders>
          </w:tcPr>
          <w:p w14:paraId="5EC73EEB" w14:textId="77777777" w:rsidR="00B869CF" w:rsidRPr="00B44B19" w:rsidRDefault="00B869CF" w:rsidP="00480328">
            <w:pPr>
              <w:spacing w:after="0" w:line="240" w:lineRule="auto"/>
              <w:jc w:val="center"/>
              <w:rPr>
                <w:rFonts w:cs="Times New Roman"/>
                <w:noProof/>
                <w:sz w:val="16"/>
                <w:szCs w:val="16"/>
              </w:rPr>
            </w:pPr>
            <w:r w:rsidRPr="00B44B19">
              <w:rPr>
                <w:rFonts w:cs="Times New Roman"/>
                <w:noProof/>
                <w:sz w:val="16"/>
                <w:szCs w:val="16"/>
              </w:rPr>
              <w:t>323 000</w:t>
            </w:r>
          </w:p>
        </w:tc>
        <w:tc>
          <w:tcPr>
            <w:tcW w:w="478" w:type="pct"/>
            <w:tcBorders>
              <w:top w:val="single" w:sz="4" w:space="0" w:color="auto"/>
              <w:bottom w:val="single" w:sz="4" w:space="0" w:color="auto"/>
            </w:tcBorders>
          </w:tcPr>
          <w:p w14:paraId="1CC5A573" w14:textId="09FD26D6" w:rsidR="00B869CF" w:rsidRPr="00B44B19" w:rsidRDefault="003F3963" w:rsidP="006258C4">
            <w:pPr>
              <w:spacing w:after="0" w:line="240" w:lineRule="auto"/>
              <w:jc w:val="center"/>
              <w:rPr>
                <w:rFonts w:cs="Times New Roman"/>
                <w:noProof/>
                <w:sz w:val="16"/>
                <w:szCs w:val="16"/>
              </w:rPr>
            </w:pPr>
            <w:r w:rsidRPr="00B44B19">
              <w:rPr>
                <w:rFonts w:cs="Times New Roman"/>
                <w:noProof/>
                <w:sz w:val="16"/>
                <w:szCs w:val="16"/>
              </w:rPr>
              <w:t>6 195 940</w:t>
            </w:r>
          </w:p>
        </w:tc>
      </w:tr>
      <w:tr w:rsidR="00B869CF" w:rsidRPr="00B44B19" w14:paraId="136B8A96" w14:textId="77777777" w:rsidTr="004F7750">
        <w:trPr>
          <w:trHeight w:val="332"/>
        </w:trPr>
        <w:tc>
          <w:tcPr>
            <w:tcW w:w="566" w:type="pct"/>
            <w:vMerge/>
          </w:tcPr>
          <w:p w14:paraId="0527BB81"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6050E62E"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1A9B53E5"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53EE4238"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646" w:type="pct"/>
            <w:tcBorders>
              <w:top w:val="single" w:sz="4" w:space="0" w:color="auto"/>
              <w:bottom w:val="single" w:sz="4" w:space="0" w:color="auto"/>
            </w:tcBorders>
          </w:tcPr>
          <w:p w14:paraId="766F49DD"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r w:rsidRPr="00B44B19" w:rsidDel="00BD0F95">
              <w:rPr>
                <w:rFonts w:eastAsia="Calibri" w:cs="Times New Roman"/>
                <w:sz w:val="16"/>
                <w:szCs w:val="16"/>
                <w:lang w:eastAsia="en-GB" w:bidi="lt-LT"/>
              </w:rPr>
              <w:t xml:space="preserve"> </w:t>
            </w:r>
          </w:p>
        </w:tc>
        <w:tc>
          <w:tcPr>
            <w:tcW w:w="933" w:type="pct"/>
            <w:tcBorders>
              <w:top w:val="single" w:sz="4" w:space="0" w:color="auto"/>
              <w:bottom w:val="single" w:sz="4" w:space="0" w:color="auto"/>
            </w:tcBorders>
          </w:tcPr>
          <w:p w14:paraId="2671963A"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GMP paslaugų infrastruktūros, kuriai skirta parama, pajėgumas</w:t>
            </w:r>
          </w:p>
        </w:tc>
        <w:tc>
          <w:tcPr>
            <w:tcW w:w="505" w:type="pct"/>
            <w:tcBorders>
              <w:top w:val="single" w:sz="4" w:space="0" w:color="auto"/>
              <w:bottom w:val="single" w:sz="4" w:space="0" w:color="auto"/>
            </w:tcBorders>
          </w:tcPr>
          <w:p w14:paraId="6E9CFB1F"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Asmenysper metus</w:t>
            </w:r>
          </w:p>
        </w:tc>
        <w:tc>
          <w:tcPr>
            <w:tcW w:w="508" w:type="pct"/>
            <w:tcBorders>
              <w:top w:val="single" w:sz="4" w:space="0" w:color="auto"/>
              <w:bottom w:val="single" w:sz="4" w:space="0" w:color="auto"/>
            </w:tcBorders>
          </w:tcPr>
          <w:p w14:paraId="175ABC1D"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158 000</w:t>
            </w:r>
          </w:p>
        </w:tc>
        <w:tc>
          <w:tcPr>
            <w:tcW w:w="478" w:type="pct"/>
            <w:tcBorders>
              <w:top w:val="single" w:sz="4" w:space="0" w:color="auto"/>
              <w:bottom w:val="single" w:sz="4" w:space="0" w:color="auto"/>
            </w:tcBorders>
          </w:tcPr>
          <w:p w14:paraId="0EEF7516"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790 000</w:t>
            </w:r>
          </w:p>
        </w:tc>
      </w:tr>
      <w:tr w:rsidR="00B869CF" w:rsidRPr="00B44B19" w14:paraId="2ACD59B3" w14:textId="77777777" w:rsidTr="004F7750">
        <w:trPr>
          <w:trHeight w:val="332"/>
        </w:trPr>
        <w:tc>
          <w:tcPr>
            <w:tcW w:w="566" w:type="pct"/>
            <w:vMerge/>
          </w:tcPr>
          <w:p w14:paraId="1FB05BCF"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4BBEDA55"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73CAC951"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459A0B7B"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646" w:type="pct"/>
            <w:tcBorders>
              <w:top w:val="single" w:sz="4" w:space="0" w:color="auto"/>
              <w:bottom w:val="single" w:sz="4" w:space="0" w:color="auto"/>
            </w:tcBorders>
          </w:tcPr>
          <w:p w14:paraId="41B74C9E"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 xml:space="preserve">Specialusis </w:t>
            </w:r>
          </w:p>
        </w:tc>
        <w:tc>
          <w:tcPr>
            <w:tcW w:w="933" w:type="pct"/>
            <w:tcBorders>
              <w:top w:val="single" w:sz="4" w:space="0" w:color="auto"/>
              <w:bottom w:val="single" w:sz="4" w:space="0" w:color="auto"/>
            </w:tcBorders>
          </w:tcPr>
          <w:p w14:paraId="3003288F"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GMP paslaugų infrastruktūros, kuriai skirta parama, pajėgumas</w:t>
            </w:r>
          </w:p>
        </w:tc>
        <w:tc>
          <w:tcPr>
            <w:tcW w:w="505" w:type="pct"/>
            <w:tcBorders>
              <w:top w:val="single" w:sz="4" w:space="0" w:color="auto"/>
              <w:bottom w:val="single" w:sz="4" w:space="0" w:color="auto"/>
            </w:tcBorders>
          </w:tcPr>
          <w:p w14:paraId="0437C3A7"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 per metus</w:t>
            </w:r>
          </w:p>
        </w:tc>
        <w:tc>
          <w:tcPr>
            <w:tcW w:w="508" w:type="pct"/>
            <w:tcBorders>
              <w:top w:val="single" w:sz="4" w:space="0" w:color="auto"/>
              <w:bottom w:val="single" w:sz="4" w:space="0" w:color="auto"/>
            </w:tcBorders>
          </w:tcPr>
          <w:p w14:paraId="6A599F01"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400 000</w:t>
            </w:r>
          </w:p>
        </w:tc>
        <w:tc>
          <w:tcPr>
            <w:tcW w:w="478" w:type="pct"/>
            <w:tcBorders>
              <w:top w:val="single" w:sz="4" w:space="0" w:color="auto"/>
              <w:bottom w:val="single" w:sz="4" w:space="0" w:color="auto"/>
            </w:tcBorders>
          </w:tcPr>
          <w:p w14:paraId="0B35D231"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2 000 000</w:t>
            </w:r>
          </w:p>
        </w:tc>
      </w:tr>
      <w:tr w:rsidR="00B869CF" w:rsidRPr="00B44B19" w14:paraId="08E4909B" w14:textId="77777777" w:rsidTr="004F7750">
        <w:trPr>
          <w:trHeight w:val="332"/>
        </w:trPr>
        <w:tc>
          <w:tcPr>
            <w:tcW w:w="566" w:type="pct"/>
            <w:vMerge/>
          </w:tcPr>
          <w:p w14:paraId="22F6EED6"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7635542B"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76EAD9F2"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2AB82183"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646" w:type="pct"/>
            <w:tcBorders>
              <w:top w:val="single" w:sz="4" w:space="0" w:color="auto"/>
              <w:bottom w:val="single" w:sz="4" w:space="0" w:color="auto"/>
            </w:tcBorders>
          </w:tcPr>
          <w:p w14:paraId="74EA5728"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RCO70</w:t>
            </w:r>
          </w:p>
        </w:tc>
        <w:tc>
          <w:tcPr>
            <w:tcW w:w="933" w:type="pct"/>
            <w:tcBorders>
              <w:top w:val="single" w:sz="4" w:space="0" w:color="auto"/>
              <w:bottom w:val="single" w:sz="4" w:space="0" w:color="auto"/>
            </w:tcBorders>
          </w:tcPr>
          <w:p w14:paraId="5D1E9F0D"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Naujos arba modernizuotos socialinės rūpybos infrastruktūros (ne būsto) talpumas</w:t>
            </w:r>
          </w:p>
        </w:tc>
        <w:tc>
          <w:tcPr>
            <w:tcW w:w="505" w:type="pct"/>
            <w:tcBorders>
              <w:top w:val="single" w:sz="4" w:space="0" w:color="auto"/>
              <w:bottom w:val="single" w:sz="4" w:space="0" w:color="auto"/>
            </w:tcBorders>
          </w:tcPr>
          <w:p w14:paraId="7AC8A9EF"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 per metus</w:t>
            </w:r>
          </w:p>
        </w:tc>
        <w:tc>
          <w:tcPr>
            <w:tcW w:w="508" w:type="pct"/>
            <w:tcBorders>
              <w:top w:val="single" w:sz="4" w:space="0" w:color="auto"/>
              <w:bottom w:val="single" w:sz="4" w:space="0" w:color="auto"/>
            </w:tcBorders>
          </w:tcPr>
          <w:p w14:paraId="7F2C2B75"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0</w:t>
            </w:r>
          </w:p>
        </w:tc>
        <w:tc>
          <w:tcPr>
            <w:tcW w:w="478" w:type="pct"/>
            <w:tcBorders>
              <w:top w:val="single" w:sz="4" w:space="0" w:color="auto"/>
              <w:bottom w:val="single" w:sz="4" w:space="0" w:color="auto"/>
            </w:tcBorders>
          </w:tcPr>
          <w:p w14:paraId="5C8C2E99"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356</w:t>
            </w:r>
          </w:p>
        </w:tc>
      </w:tr>
      <w:tr w:rsidR="00B869CF" w:rsidRPr="00B44B19" w14:paraId="43B5AA8A" w14:textId="77777777" w:rsidTr="004F7750">
        <w:trPr>
          <w:trHeight w:val="332"/>
        </w:trPr>
        <w:tc>
          <w:tcPr>
            <w:tcW w:w="566" w:type="pct"/>
            <w:vMerge/>
          </w:tcPr>
          <w:p w14:paraId="438C48CD"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77D1A6AD"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40F4429E"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75AC8654"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646" w:type="pct"/>
            <w:tcBorders>
              <w:top w:val="single" w:sz="4" w:space="0" w:color="auto"/>
              <w:bottom w:val="single" w:sz="4" w:space="0" w:color="auto"/>
            </w:tcBorders>
          </w:tcPr>
          <w:p w14:paraId="76AA4A09"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RCO70</w:t>
            </w:r>
          </w:p>
        </w:tc>
        <w:tc>
          <w:tcPr>
            <w:tcW w:w="933" w:type="pct"/>
            <w:tcBorders>
              <w:top w:val="single" w:sz="4" w:space="0" w:color="auto"/>
              <w:bottom w:val="single" w:sz="4" w:space="0" w:color="auto"/>
            </w:tcBorders>
          </w:tcPr>
          <w:p w14:paraId="7DE72F7B"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eastAsia="Calibri" w:cs="Times New Roman"/>
                <w:sz w:val="16"/>
                <w:szCs w:val="16"/>
                <w:lang w:eastAsia="en-GB" w:bidi="lt-LT"/>
              </w:rPr>
              <w:t>Naujos arba modernizuotos socialinės rūpybos infrastruktūros (ne būsto) talpumas</w:t>
            </w:r>
          </w:p>
        </w:tc>
        <w:tc>
          <w:tcPr>
            <w:tcW w:w="505" w:type="pct"/>
            <w:tcBorders>
              <w:top w:val="single" w:sz="4" w:space="0" w:color="auto"/>
              <w:bottom w:val="single" w:sz="4" w:space="0" w:color="auto"/>
            </w:tcBorders>
          </w:tcPr>
          <w:p w14:paraId="29157766"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 per metus</w:t>
            </w:r>
          </w:p>
        </w:tc>
        <w:tc>
          <w:tcPr>
            <w:tcW w:w="508" w:type="pct"/>
            <w:tcBorders>
              <w:top w:val="single" w:sz="4" w:space="0" w:color="auto"/>
              <w:bottom w:val="single" w:sz="4" w:space="0" w:color="auto"/>
            </w:tcBorders>
          </w:tcPr>
          <w:p w14:paraId="37924551"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0</w:t>
            </w:r>
          </w:p>
        </w:tc>
        <w:tc>
          <w:tcPr>
            <w:tcW w:w="478" w:type="pct"/>
            <w:tcBorders>
              <w:top w:val="single" w:sz="4" w:space="0" w:color="auto"/>
              <w:bottom w:val="single" w:sz="4" w:space="0" w:color="auto"/>
            </w:tcBorders>
          </w:tcPr>
          <w:p w14:paraId="017A1649"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1 850</w:t>
            </w:r>
          </w:p>
        </w:tc>
      </w:tr>
      <w:tr w:rsidR="00B869CF" w:rsidRPr="00B44B19" w14:paraId="6C27CF12" w14:textId="77777777" w:rsidTr="004F7750">
        <w:trPr>
          <w:trHeight w:val="332"/>
        </w:trPr>
        <w:tc>
          <w:tcPr>
            <w:tcW w:w="566" w:type="pct"/>
            <w:vMerge/>
          </w:tcPr>
          <w:p w14:paraId="2B5C3691"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0BA63418"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022920EA"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7EE05A37"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646" w:type="pct"/>
            <w:tcBorders>
              <w:top w:val="single" w:sz="4" w:space="0" w:color="auto"/>
              <w:bottom w:val="single" w:sz="4" w:space="0" w:color="auto"/>
            </w:tcBorders>
          </w:tcPr>
          <w:p w14:paraId="7FF1EC6F"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cs="Times New Roman"/>
                <w:bCs/>
                <w:noProof/>
                <w:sz w:val="16"/>
                <w:szCs w:val="16"/>
              </w:rPr>
              <w:t>RCO74</w:t>
            </w:r>
          </w:p>
        </w:tc>
        <w:tc>
          <w:tcPr>
            <w:tcW w:w="933" w:type="pct"/>
            <w:tcBorders>
              <w:top w:val="single" w:sz="4" w:space="0" w:color="auto"/>
              <w:bottom w:val="single" w:sz="4" w:space="0" w:color="auto"/>
            </w:tcBorders>
          </w:tcPr>
          <w:p w14:paraId="7F086A36"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cs="Times New Roman"/>
                <w:bCs/>
                <w:noProof/>
                <w:sz w:val="16"/>
                <w:szCs w:val="16"/>
              </w:rPr>
              <w:t>Gyventojai, kuriems taikomi projektai, vykdomi pagal integruotas teritorinio vystymo programas)</w:t>
            </w:r>
          </w:p>
        </w:tc>
        <w:tc>
          <w:tcPr>
            <w:tcW w:w="505" w:type="pct"/>
            <w:tcBorders>
              <w:top w:val="single" w:sz="4" w:space="0" w:color="auto"/>
              <w:bottom w:val="single" w:sz="4" w:space="0" w:color="auto"/>
            </w:tcBorders>
          </w:tcPr>
          <w:p w14:paraId="00DF9E9E"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w:t>
            </w:r>
          </w:p>
        </w:tc>
        <w:tc>
          <w:tcPr>
            <w:tcW w:w="508" w:type="pct"/>
            <w:tcBorders>
              <w:top w:val="single" w:sz="4" w:space="0" w:color="auto"/>
              <w:bottom w:val="single" w:sz="4" w:space="0" w:color="auto"/>
            </w:tcBorders>
          </w:tcPr>
          <w:p w14:paraId="1DD4D6C3"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0</w:t>
            </w:r>
          </w:p>
        </w:tc>
        <w:tc>
          <w:tcPr>
            <w:tcW w:w="478" w:type="pct"/>
            <w:tcBorders>
              <w:top w:val="single" w:sz="4" w:space="0" w:color="auto"/>
              <w:bottom w:val="single" w:sz="4" w:space="0" w:color="auto"/>
            </w:tcBorders>
          </w:tcPr>
          <w:p w14:paraId="093FB5A2"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204 025</w:t>
            </w:r>
          </w:p>
        </w:tc>
      </w:tr>
      <w:tr w:rsidR="00B869CF" w:rsidRPr="00B44B19" w14:paraId="51D5191A" w14:textId="77777777" w:rsidTr="004F7750">
        <w:trPr>
          <w:trHeight w:val="332"/>
        </w:trPr>
        <w:tc>
          <w:tcPr>
            <w:tcW w:w="566" w:type="pct"/>
            <w:vMerge/>
          </w:tcPr>
          <w:p w14:paraId="4E3FC51C"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7F79A40D"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7897819A"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6753ECF3"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646" w:type="pct"/>
            <w:tcBorders>
              <w:top w:val="single" w:sz="4" w:space="0" w:color="auto"/>
              <w:bottom w:val="single" w:sz="4" w:space="0" w:color="auto"/>
            </w:tcBorders>
          </w:tcPr>
          <w:p w14:paraId="19B617CC"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cs="Times New Roman"/>
                <w:bCs/>
                <w:noProof/>
                <w:sz w:val="16"/>
                <w:szCs w:val="16"/>
              </w:rPr>
              <w:t>RCO74</w:t>
            </w:r>
          </w:p>
        </w:tc>
        <w:tc>
          <w:tcPr>
            <w:tcW w:w="933" w:type="pct"/>
            <w:tcBorders>
              <w:top w:val="single" w:sz="4" w:space="0" w:color="auto"/>
              <w:bottom w:val="single" w:sz="4" w:space="0" w:color="auto"/>
            </w:tcBorders>
          </w:tcPr>
          <w:p w14:paraId="79BBA7B3"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cs="Times New Roman"/>
                <w:bCs/>
                <w:noProof/>
                <w:sz w:val="16"/>
                <w:szCs w:val="16"/>
              </w:rPr>
              <w:t>Gyventojai, kuriems taikomi projektai, vykdomi pagal integruotas teritorinio vystymo programas)</w:t>
            </w:r>
          </w:p>
        </w:tc>
        <w:tc>
          <w:tcPr>
            <w:tcW w:w="505" w:type="pct"/>
            <w:tcBorders>
              <w:top w:val="single" w:sz="4" w:space="0" w:color="auto"/>
              <w:bottom w:val="single" w:sz="4" w:space="0" w:color="auto"/>
            </w:tcBorders>
          </w:tcPr>
          <w:p w14:paraId="2F1D7FE1"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Asmenys</w:t>
            </w:r>
          </w:p>
        </w:tc>
        <w:tc>
          <w:tcPr>
            <w:tcW w:w="508" w:type="pct"/>
            <w:tcBorders>
              <w:top w:val="single" w:sz="4" w:space="0" w:color="auto"/>
              <w:bottom w:val="single" w:sz="4" w:space="0" w:color="auto"/>
            </w:tcBorders>
          </w:tcPr>
          <w:p w14:paraId="19BFAC56"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0</w:t>
            </w:r>
          </w:p>
        </w:tc>
        <w:tc>
          <w:tcPr>
            <w:tcW w:w="478" w:type="pct"/>
            <w:tcBorders>
              <w:top w:val="single" w:sz="4" w:space="0" w:color="auto"/>
              <w:bottom w:val="single" w:sz="4" w:space="0" w:color="auto"/>
            </w:tcBorders>
          </w:tcPr>
          <w:p w14:paraId="694331A9"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189 906</w:t>
            </w:r>
          </w:p>
        </w:tc>
      </w:tr>
      <w:tr w:rsidR="00B869CF" w:rsidRPr="00B44B19" w14:paraId="6FD7CCE6" w14:textId="77777777" w:rsidTr="004F7750">
        <w:trPr>
          <w:trHeight w:val="332"/>
        </w:trPr>
        <w:tc>
          <w:tcPr>
            <w:tcW w:w="566" w:type="pct"/>
            <w:vMerge/>
          </w:tcPr>
          <w:p w14:paraId="7730EC2F"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2AE1BCF0"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311A1263"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50403994"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646" w:type="pct"/>
            <w:tcBorders>
              <w:top w:val="single" w:sz="4" w:space="0" w:color="auto"/>
              <w:bottom w:val="single" w:sz="4" w:space="0" w:color="auto"/>
            </w:tcBorders>
          </w:tcPr>
          <w:p w14:paraId="4AEDC5E5"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cs="Times New Roman"/>
                <w:bCs/>
                <w:noProof/>
                <w:sz w:val="16"/>
                <w:szCs w:val="16"/>
              </w:rPr>
              <w:t>RCO75</w:t>
            </w:r>
          </w:p>
        </w:tc>
        <w:tc>
          <w:tcPr>
            <w:tcW w:w="933" w:type="pct"/>
            <w:tcBorders>
              <w:top w:val="single" w:sz="4" w:space="0" w:color="auto"/>
              <w:bottom w:val="single" w:sz="4" w:space="0" w:color="auto"/>
            </w:tcBorders>
          </w:tcPr>
          <w:p w14:paraId="1ECDC7F2"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cs="Times New Roman"/>
                <w:bCs/>
                <w:noProof/>
                <w:sz w:val="16"/>
                <w:szCs w:val="16"/>
              </w:rPr>
              <w:t>Integruotos teritorinio vystymo strategijos, kurioms suteikta parama</w:t>
            </w:r>
          </w:p>
        </w:tc>
        <w:tc>
          <w:tcPr>
            <w:tcW w:w="505" w:type="pct"/>
            <w:tcBorders>
              <w:top w:val="single" w:sz="4" w:space="0" w:color="auto"/>
              <w:bottom w:val="single" w:sz="4" w:space="0" w:color="auto"/>
            </w:tcBorders>
          </w:tcPr>
          <w:p w14:paraId="577C5C04"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Indėlis į strategijas</w:t>
            </w:r>
          </w:p>
        </w:tc>
        <w:tc>
          <w:tcPr>
            <w:tcW w:w="508" w:type="pct"/>
            <w:tcBorders>
              <w:top w:val="single" w:sz="4" w:space="0" w:color="auto"/>
              <w:bottom w:val="single" w:sz="4" w:space="0" w:color="auto"/>
            </w:tcBorders>
          </w:tcPr>
          <w:p w14:paraId="58E2DBC5"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0</w:t>
            </w:r>
          </w:p>
        </w:tc>
        <w:tc>
          <w:tcPr>
            <w:tcW w:w="478" w:type="pct"/>
            <w:tcBorders>
              <w:top w:val="single" w:sz="4" w:space="0" w:color="auto"/>
              <w:bottom w:val="single" w:sz="4" w:space="0" w:color="auto"/>
            </w:tcBorders>
          </w:tcPr>
          <w:p w14:paraId="1215F800"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1</w:t>
            </w:r>
          </w:p>
        </w:tc>
      </w:tr>
      <w:tr w:rsidR="00B869CF" w:rsidRPr="00B44B19" w14:paraId="19E70ECB" w14:textId="77777777" w:rsidTr="004F7750">
        <w:trPr>
          <w:trHeight w:val="332"/>
        </w:trPr>
        <w:tc>
          <w:tcPr>
            <w:tcW w:w="566" w:type="pct"/>
            <w:vMerge/>
          </w:tcPr>
          <w:p w14:paraId="44DC7689" w14:textId="77777777" w:rsidR="00B869CF" w:rsidRPr="00B44B19" w:rsidRDefault="00B869CF" w:rsidP="004F7750">
            <w:pPr>
              <w:spacing w:after="0" w:line="240" w:lineRule="auto"/>
              <w:jc w:val="both"/>
              <w:rPr>
                <w:rFonts w:cs="Times New Roman"/>
                <w:noProof/>
                <w:sz w:val="16"/>
                <w:szCs w:val="16"/>
              </w:rPr>
            </w:pPr>
          </w:p>
        </w:tc>
        <w:tc>
          <w:tcPr>
            <w:tcW w:w="502" w:type="pct"/>
            <w:vMerge/>
          </w:tcPr>
          <w:p w14:paraId="58BC3DA9" w14:textId="77777777" w:rsidR="00B869CF" w:rsidRPr="00B44B19" w:rsidRDefault="00B869CF" w:rsidP="004F7750">
            <w:pPr>
              <w:spacing w:after="0" w:line="240" w:lineRule="auto"/>
              <w:jc w:val="both"/>
              <w:rPr>
                <w:rFonts w:cs="Times New Roman"/>
                <w:noProof/>
                <w:sz w:val="16"/>
                <w:szCs w:val="16"/>
              </w:rPr>
            </w:pPr>
          </w:p>
        </w:tc>
        <w:tc>
          <w:tcPr>
            <w:tcW w:w="367" w:type="pct"/>
            <w:vMerge/>
          </w:tcPr>
          <w:p w14:paraId="489658B5" w14:textId="77777777" w:rsidR="00B869CF" w:rsidRPr="00B44B19" w:rsidRDefault="00B869CF" w:rsidP="004F7750">
            <w:pPr>
              <w:spacing w:after="0" w:line="240" w:lineRule="auto"/>
              <w:jc w:val="both"/>
              <w:rPr>
                <w:rFonts w:cs="Times New Roman"/>
                <w:noProof/>
                <w:sz w:val="16"/>
                <w:szCs w:val="16"/>
              </w:rPr>
            </w:pPr>
          </w:p>
        </w:tc>
        <w:tc>
          <w:tcPr>
            <w:tcW w:w="495" w:type="pct"/>
            <w:tcBorders>
              <w:top w:val="single" w:sz="4" w:space="0" w:color="auto"/>
              <w:bottom w:val="single" w:sz="4" w:space="0" w:color="auto"/>
            </w:tcBorders>
          </w:tcPr>
          <w:p w14:paraId="4AD5E933" w14:textId="77777777" w:rsidR="00B869CF" w:rsidRPr="00B44B19" w:rsidRDefault="00B869CF"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646" w:type="pct"/>
            <w:tcBorders>
              <w:top w:val="single" w:sz="4" w:space="0" w:color="auto"/>
              <w:bottom w:val="single" w:sz="4" w:space="0" w:color="auto"/>
            </w:tcBorders>
          </w:tcPr>
          <w:p w14:paraId="0B603461" w14:textId="77777777" w:rsidR="00B869CF" w:rsidRPr="00B44B19" w:rsidRDefault="00B869CF" w:rsidP="004F7750">
            <w:pPr>
              <w:spacing w:after="0" w:line="240" w:lineRule="auto"/>
              <w:jc w:val="both"/>
              <w:rPr>
                <w:rFonts w:eastAsia="Calibri" w:cs="Times New Roman"/>
                <w:sz w:val="16"/>
                <w:szCs w:val="16"/>
                <w:lang w:eastAsia="en-GB" w:bidi="lt-LT"/>
              </w:rPr>
            </w:pPr>
            <w:r w:rsidRPr="00B44B19">
              <w:rPr>
                <w:rFonts w:cs="Times New Roman"/>
                <w:bCs/>
                <w:noProof/>
                <w:sz w:val="16"/>
                <w:szCs w:val="16"/>
              </w:rPr>
              <w:t>RCO75</w:t>
            </w:r>
          </w:p>
        </w:tc>
        <w:tc>
          <w:tcPr>
            <w:tcW w:w="933" w:type="pct"/>
            <w:tcBorders>
              <w:top w:val="single" w:sz="4" w:space="0" w:color="auto"/>
              <w:bottom w:val="single" w:sz="4" w:space="0" w:color="auto"/>
            </w:tcBorders>
          </w:tcPr>
          <w:p w14:paraId="04C62178" w14:textId="77777777" w:rsidR="00B869CF" w:rsidRPr="00B44B19" w:rsidRDefault="00B869CF" w:rsidP="004F7750">
            <w:pPr>
              <w:spacing w:after="0" w:line="240" w:lineRule="auto"/>
              <w:rPr>
                <w:rFonts w:eastAsia="Calibri" w:cs="Times New Roman"/>
                <w:sz w:val="16"/>
                <w:szCs w:val="16"/>
                <w:lang w:eastAsia="en-GB" w:bidi="lt-LT"/>
              </w:rPr>
            </w:pPr>
            <w:r w:rsidRPr="00B44B19">
              <w:rPr>
                <w:rFonts w:cs="Times New Roman"/>
                <w:bCs/>
                <w:noProof/>
                <w:sz w:val="16"/>
                <w:szCs w:val="16"/>
              </w:rPr>
              <w:t>Integruotos teritorinio vystymo strategijos, kurioms suteikta parama</w:t>
            </w:r>
          </w:p>
        </w:tc>
        <w:tc>
          <w:tcPr>
            <w:tcW w:w="505" w:type="pct"/>
            <w:tcBorders>
              <w:top w:val="single" w:sz="4" w:space="0" w:color="auto"/>
              <w:bottom w:val="single" w:sz="4" w:space="0" w:color="auto"/>
            </w:tcBorders>
          </w:tcPr>
          <w:p w14:paraId="3FFE9CDC" w14:textId="77777777" w:rsidR="00B869CF" w:rsidRPr="00B44B19" w:rsidRDefault="00B869CF" w:rsidP="00396D2E">
            <w:pPr>
              <w:spacing w:after="0" w:line="240" w:lineRule="auto"/>
              <w:jc w:val="both"/>
              <w:rPr>
                <w:rFonts w:cs="Times New Roman"/>
                <w:bCs/>
                <w:iCs/>
                <w:noProof/>
                <w:sz w:val="16"/>
                <w:szCs w:val="16"/>
              </w:rPr>
            </w:pPr>
            <w:r w:rsidRPr="00B44B19">
              <w:rPr>
                <w:rFonts w:cs="Times New Roman"/>
                <w:bCs/>
                <w:iCs/>
                <w:noProof/>
                <w:sz w:val="16"/>
                <w:szCs w:val="16"/>
              </w:rPr>
              <w:t>Indėlis į strategijas</w:t>
            </w:r>
          </w:p>
        </w:tc>
        <w:tc>
          <w:tcPr>
            <w:tcW w:w="508" w:type="pct"/>
            <w:tcBorders>
              <w:top w:val="single" w:sz="4" w:space="0" w:color="auto"/>
              <w:bottom w:val="single" w:sz="4" w:space="0" w:color="auto"/>
            </w:tcBorders>
          </w:tcPr>
          <w:p w14:paraId="25D47A77"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0</w:t>
            </w:r>
          </w:p>
        </w:tc>
        <w:tc>
          <w:tcPr>
            <w:tcW w:w="478" w:type="pct"/>
            <w:tcBorders>
              <w:top w:val="single" w:sz="4" w:space="0" w:color="auto"/>
              <w:bottom w:val="single" w:sz="4" w:space="0" w:color="auto"/>
            </w:tcBorders>
          </w:tcPr>
          <w:p w14:paraId="636AF933" w14:textId="77777777" w:rsidR="00B869CF" w:rsidRPr="00B44B19" w:rsidRDefault="00B869CF" w:rsidP="004F7750">
            <w:pPr>
              <w:spacing w:after="0" w:line="240" w:lineRule="auto"/>
              <w:jc w:val="center"/>
              <w:rPr>
                <w:rFonts w:cs="Times New Roman"/>
                <w:noProof/>
                <w:sz w:val="16"/>
                <w:szCs w:val="16"/>
              </w:rPr>
            </w:pPr>
            <w:r w:rsidRPr="00B44B19">
              <w:rPr>
                <w:rFonts w:cs="Times New Roman"/>
                <w:noProof/>
                <w:sz w:val="16"/>
                <w:szCs w:val="16"/>
              </w:rPr>
              <w:t>2</w:t>
            </w:r>
          </w:p>
        </w:tc>
      </w:tr>
    </w:tbl>
    <w:p w14:paraId="502F3F7D" w14:textId="77777777" w:rsidR="005D02EB" w:rsidRPr="00B44B19" w:rsidRDefault="005D02EB" w:rsidP="005D02EB">
      <w:pPr>
        <w:spacing w:after="0" w:line="240" w:lineRule="auto"/>
        <w:rPr>
          <w:rFonts w:cs="Times New Roman"/>
          <w:b/>
          <w:sz w:val="20"/>
          <w:szCs w:val="24"/>
        </w:rPr>
      </w:pPr>
    </w:p>
    <w:p w14:paraId="3FA36BA9" w14:textId="77777777" w:rsidR="005D02EB" w:rsidRPr="00B44B19" w:rsidRDefault="005D02EB" w:rsidP="005D02EB">
      <w:pPr>
        <w:spacing w:after="0" w:line="240" w:lineRule="auto"/>
        <w:rPr>
          <w:rFonts w:cs="Times New Roman"/>
          <w:b/>
          <w:sz w:val="20"/>
          <w:szCs w:val="24"/>
        </w:rPr>
        <w:sectPr w:rsidR="005D02EB" w:rsidRPr="00B44B19" w:rsidSect="00931C78">
          <w:pgSz w:w="11906" w:h="16838"/>
          <w:pgMar w:top="1276" w:right="567" w:bottom="1134" w:left="1701" w:header="567" w:footer="567" w:gutter="0"/>
          <w:cols w:space="1296"/>
          <w:docGrid w:linePitch="360"/>
        </w:sectPr>
      </w:pPr>
    </w:p>
    <w:p w14:paraId="7B6616A5" w14:textId="77777777" w:rsidR="005D02EB" w:rsidRPr="00B44B19" w:rsidRDefault="005D02EB" w:rsidP="005D02EB">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5"/>
        <w:gridCol w:w="838"/>
        <w:gridCol w:w="975"/>
        <w:gridCol w:w="1394"/>
        <w:gridCol w:w="3484"/>
        <w:gridCol w:w="975"/>
        <w:gridCol w:w="975"/>
        <w:gridCol w:w="1115"/>
        <w:gridCol w:w="975"/>
        <w:gridCol w:w="975"/>
        <w:gridCol w:w="1100"/>
      </w:tblGrid>
      <w:tr w:rsidR="004F7750" w:rsidRPr="00B44B19" w14:paraId="7BEC38B6" w14:textId="77777777" w:rsidTr="00E67E5C">
        <w:trPr>
          <w:trHeight w:val="1013"/>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7FB97F"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FBF2DC"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A0C4D4"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ABC9DD"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6BFCBF"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C26F2"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FED99F"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EF7C15"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780ADE"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45CD4C"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Siek</w:t>
            </w:r>
            <w:r w:rsidR="001D5B51"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E1D6F9"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 xml:space="preserve">Duomenų šaltinis </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00B351" w14:textId="77777777" w:rsidR="004F7750" w:rsidRPr="00B44B19" w:rsidRDefault="004F7750" w:rsidP="004F7750">
            <w:pPr>
              <w:spacing w:after="0" w:line="240" w:lineRule="auto"/>
              <w:jc w:val="center"/>
              <w:rPr>
                <w:rFonts w:cs="Times New Roman"/>
                <w:b/>
                <w:noProof/>
                <w:sz w:val="16"/>
                <w:szCs w:val="16"/>
              </w:rPr>
            </w:pPr>
            <w:r w:rsidRPr="00B44B19">
              <w:rPr>
                <w:rFonts w:cs="Times New Roman"/>
                <w:b/>
                <w:noProof/>
                <w:sz w:val="16"/>
                <w:szCs w:val="16"/>
              </w:rPr>
              <w:t>Pastabos</w:t>
            </w:r>
          </w:p>
        </w:tc>
      </w:tr>
      <w:tr w:rsidR="004F7750" w:rsidRPr="00B44B19" w14:paraId="79C6C8BD" w14:textId="77777777" w:rsidTr="0002743E">
        <w:trPr>
          <w:trHeight w:val="480"/>
        </w:trPr>
        <w:tc>
          <w:tcPr>
            <w:tcW w:w="364" w:type="pct"/>
            <w:vMerge w:val="restart"/>
          </w:tcPr>
          <w:p w14:paraId="30489BEC" w14:textId="77777777" w:rsidR="004F7750" w:rsidRPr="00B44B19" w:rsidRDefault="004F7750" w:rsidP="004F7750">
            <w:pPr>
              <w:spacing w:after="0" w:line="240" w:lineRule="auto"/>
              <w:jc w:val="both"/>
              <w:rPr>
                <w:rFonts w:cs="Times New Roman"/>
                <w:noProof/>
                <w:sz w:val="16"/>
                <w:szCs w:val="16"/>
              </w:rPr>
            </w:pPr>
            <w:r w:rsidRPr="00B44B19">
              <w:rPr>
                <w:rFonts w:cs="Times New Roman"/>
                <w:noProof/>
                <w:sz w:val="16"/>
                <w:szCs w:val="16"/>
              </w:rPr>
              <w:t>4.Socialiai atsakingesnė Lietuva</w:t>
            </w:r>
          </w:p>
        </w:tc>
        <w:tc>
          <w:tcPr>
            <w:tcW w:w="328" w:type="pct"/>
            <w:vMerge w:val="restart"/>
          </w:tcPr>
          <w:p w14:paraId="6C9285AC" w14:textId="77777777" w:rsidR="004F7750" w:rsidRPr="00B44B19" w:rsidRDefault="004F7750" w:rsidP="004A664D">
            <w:pPr>
              <w:spacing w:after="0" w:line="240" w:lineRule="auto"/>
              <w:jc w:val="both"/>
              <w:rPr>
                <w:rFonts w:cs="Times New Roman"/>
                <w:noProof/>
                <w:sz w:val="16"/>
                <w:szCs w:val="16"/>
              </w:rPr>
            </w:pPr>
            <w:r w:rsidRPr="00B44B19">
              <w:rPr>
                <w:rFonts w:cs="Times New Roman"/>
                <w:noProof/>
                <w:sz w:val="16"/>
                <w:szCs w:val="16"/>
              </w:rPr>
              <w:t>4.</w:t>
            </w:r>
            <w:r w:rsidR="004A664D" w:rsidRPr="00B44B19">
              <w:rPr>
                <w:rFonts w:cs="Times New Roman"/>
                <w:noProof/>
                <w:sz w:val="16"/>
                <w:szCs w:val="16"/>
              </w:rPr>
              <w:t>10</w:t>
            </w:r>
            <w:r w:rsidRPr="00B44B19">
              <w:rPr>
                <w:rFonts w:cs="Times New Roman"/>
                <w:noProof/>
                <w:sz w:val="16"/>
                <w:szCs w:val="16"/>
              </w:rPr>
              <w:t>.</w:t>
            </w:r>
          </w:p>
        </w:tc>
        <w:tc>
          <w:tcPr>
            <w:tcW w:w="282" w:type="pct"/>
            <w:vMerge w:val="restart"/>
          </w:tcPr>
          <w:p w14:paraId="4C1F08A0" w14:textId="77777777" w:rsidR="004F7750" w:rsidRPr="00B44B19" w:rsidRDefault="004F7750" w:rsidP="004F7750">
            <w:pPr>
              <w:spacing w:after="0" w:line="240" w:lineRule="auto"/>
              <w:jc w:val="both"/>
              <w:rPr>
                <w:rFonts w:cs="Times New Roman"/>
                <w:noProof/>
                <w:sz w:val="16"/>
                <w:szCs w:val="16"/>
              </w:rPr>
            </w:pPr>
            <w:r w:rsidRPr="00B44B19">
              <w:rPr>
                <w:rFonts w:cs="Times New Roman"/>
                <w:noProof/>
                <w:sz w:val="16"/>
                <w:szCs w:val="16"/>
              </w:rPr>
              <w:t>ERPF</w:t>
            </w:r>
          </w:p>
        </w:tc>
        <w:tc>
          <w:tcPr>
            <w:tcW w:w="328" w:type="pct"/>
          </w:tcPr>
          <w:p w14:paraId="5D9AC6C1" w14:textId="77777777" w:rsidR="004F7750" w:rsidRPr="00B44B19" w:rsidRDefault="004F7750"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469" w:type="pct"/>
          </w:tcPr>
          <w:p w14:paraId="15C7B1C8" w14:textId="77777777" w:rsidR="004F7750" w:rsidRPr="00B44B19" w:rsidRDefault="00A4692A" w:rsidP="004F7750">
            <w:pPr>
              <w:spacing w:after="0" w:line="240" w:lineRule="auto"/>
              <w:jc w:val="both"/>
              <w:rPr>
                <w:rFonts w:cs="Times New Roman"/>
                <w:bCs/>
                <w:noProof/>
                <w:sz w:val="16"/>
                <w:szCs w:val="16"/>
              </w:rPr>
            </w:pPr>
            <w:r w:rsidRPr="00B44B19">
              <w:rPr>
                <w:rFonts w:cs="Times New Roman"/>
                <w:bCs/>
                <w:noProof/>
                <w:sz w:val="16"/>
                <w:szCs w:val="16"/>
              </w:rPr>
              <w:t>RCR73</w:t>
            </w:r>
          </w:p>
        </w:tc>
        <w:tc>
          <w:tcPr>
            <w:tcW w:w="1172" w:type="pct"/>
          </w:tcPr>
          <w:p w14:paraId="28FC0D11" w14:textId="77777777" w:rsidR="004F7750" w:rsidRPr="00B44B19" w:rsidRDefault="00A4692A" w:rsidP="004F7750">
            <w:pPr>
              <w:tabs>
                <w:tab w:val="left" w:pos="7560"/>
              </w:tabs>
              <w:spacing w:after="0" w:line="240" w:lineRule="auto"/>
              <w:rPr>
                <w:rFonts w:cs="Times New Roman"/>
                <w:bCs/>
                <w:noProof/>
                <w:sz w:val="16"/>
                <w:szCs w:val="16"/>
              </w:rPr>
            </w:pPr>
            <w:r w:rsidRPr="00B44B19">
              <w:rPr>
                <w:rFonts w:cs="Times New Roman"/>
                <w:bCs/>
                <w:noProof/>
                <w:sz w:val="16"/>
                <w:szCs w:val="16"/>
              </w:rPr>
              <w:t>Naujos arba modernizuotos sveikatos priežiūros infrastruktūros naudotojų skaičius per metus</w:t>
            </w:r>
            <w:r w:rsidRPr="00B44B19" w:rsidDel="00A4692A">
              <w:rPr>
                <w:rFonts w:cs="Times New Roman"/>
                <w:bCs/>
                <w:noProof/>
                <w:sz w:val="16"/>
                <w:szCs w:val="16"/>
              </w:rPr>
              <w:t xml:space="preserve"> </w:t>
            </w:r>
          </w:p>
        </w:tc>
        <w:tc>
          <w:tcPr>
            <w:tcW w:w="328" w:type="pct"/>
          </w:tcPr>
          <w:p w14:paraId="688DFC9F" w14:textId="77777777" w:rsidR="004F7750" w:rsidRPr="00B44B19" w:rsidRDefault="006D667E" w:rsidP="00DA61A6">
            <w:pPr>
              <w:spacing w:after="0" w:line="240" w:lineRule="auto"/>
              <w:rPr>
                <w:rFonts w:cs="Times New Roman"/>
                <w:bCs/>
                <w:noProof/>
                <w:sz w:val="16"/>
                <w:szCs w:val="16"/>
              </w:rPr>
            </w:pPr>
            <w:r w:rsidRPr="00B44B19">
              <w:rPr>
                <w:rFonts w:cs="Times New Roman"/>
                <w:bCs/>
                <w:noProof/>
                <w:sz w:val="16"/>
                <w:szCs w:val="16"/>
              </w:rPr>
              <w:t>N</w:t>
            </w:r>
            <w:r w:rsidR="00D716A9" w:rsidRPr="00B44B19">
              <w:rPr>
                <w:rFonts w:cs="Times New Roman"/>
                <w:bCs/>
                <w:noProof/>
                <w:sz w:val="16"/>
                <w:szCs w:val="16"/>
              </w:rPr>
              <w:t>audotoj</w:t>
            </w:r>
            <w:r w:rsidR="00DA61A6" w:rsidRPr="00B44B19">
              <w:rPr>
                <w:rFonts w:cs="Times New Roman"/>
                <w:bCs/>
                <w:noProof/>
                <w:sz w:val="16"/>
                <w:szCs w:val="16"/>
              </w:rPr>
              <w:t>ai</w:t>
            </w:r>
            <w:r w:rsidR="00D716A9" w:rsidRPr="00B44B19">
              <w:rPr>
                <w:rFonts w:cs="Times New Roman"/>
                <w:bCs/>
                <w:noProof/>
                <w:sz w:val="16"/>
                <w:szCs w:val="16"/>
              </w:rPr>
              <w:t xml:space="preserve"> </w:t>
            </w:r>
            <w:r w:rsidRPr="00B44B19">
              <w:rPr>
                <w:rFonts w:cs="Times New Roman"/>
                <w:bCs/>
                <w:noProof/>
                <w:sz w:val="16"/>
                <w:szCs w:val="16"/>
              </w:rPr>
              <w:t>per metus</w:t>
            </w:r>
          </w:p>
        </w:tc>
        <w:tc>
          <w:tcPr>
            <w:tcW w:w="328" w:type="pct"/>
          </w:tcPr>
          <w:p w14:paraId="2A21497D" w14:textId="77777777" w:rsidR="004F7750" w:rsidRPr="00B44B19" w:rsidRDefault="006B2E5C" w:rsidP="004F7750">
            <w:pPr>
              <w:spacing w:after="0" w:line="240" w:lineRule="auto"/>
              <w:jc w:val="center"/>
              <w:rPr>
                <w:rFonts w:cs="Times New Roman"/>
                <w:noProof/>
                <w:sz w:val="16"/>
                <w:szCs w:val="16"/>
              </w:rPr>
            </w:pPr>
            <w:r w:rsidRPr="00B44B19">
              <w:rPr>
                <w:rFonts w:cs="Times New Roman"/>
                <w:noProof/>
                <w:sz w:val="16"/>
                <w:szCs w:val="16"/>
              </w:rPr>
              <w:t>444 280</w:t>
            </w:r>
          </w:p>
        </w:tc>
        <w:tc>
          <w:tcPr>
            <w:tcW w:w="375" w:type="pct"/>
          </w:tcPr>
          <w:p w14:paraId="5A0CFF33" w14:textId="77777777" w:rsidR="004F7750" w:rsidRPr="00B44B19" w:rsidRDefault="006B2E5C" w:rsidP="004F7750">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3FA7299C" w14:textId="4FC795BA" w:rsidR="004F7750" w:rsidRPr="00B44B19" w:rsidRDefault="003F3963" w:rsidP="004F7750">
            <w:pPr>
              <w:spacing w:after="0" w:line="240" w:lineRule="auto"/>
              <w:jc w:val="center"/>
              <w:rPr>
                <w:rFonts w:cs="Times New Roman"/>
                <w:noProof/>
                <w:sz w:val="16"/>
                <w:szCs w:val="16"/>
              </w:rPr>
            </w:pPr>
            <w:r w:rsidRPr="00B44B19">
              <w:rPr>
                <w:rFonts w:cs="Times New Roman"/>
                <w:noProof/>
                <w:sz w:val="16"/>
                <w:szCs w:val="16"/>
              </w:rPr>
              <w:t>1 438 200</w:t>
            </w:r>
          </w:p>
        </w:tc>
        <w:tc>
          <w:tcPr>
            <w:tcW w:w="328" w:type="pct"/>
          </w:tcPr>
          <w:p w14:paraId="0AF41699" w14:textId="77777777" w:rsidR="004F7750" w:rsidRPr="00B44B19" w:rsidRDefault="0006634B" w:rsidP="004F7750">
            <w:pPr>
              <w:spacing w:after="0" w:line="240" w:lineRule="auto"/>
              <w:jc w:val="both"/>
              <w:rPr>
                <w:rFonts w:cs="Times New Roman"/>
                <w:bCs/>
                <w:noProof/>
                <w:sz w:val="16"/>
                <w:szCs w:val="16"/>
              </w:rPr>
            </w:pPr>
            <w:r w:rsidRPr="00B44B19">
              <w:rPr>
                <w:rFonts w:cs="Times New Roman"/>
                <w:bCs/>
                <w:noProof/>
                <w:sz w:val="16"/>
                <w:szCs w:val="16"/>
              </w:rPr>
              <w:t>Projektų duomenys</w:t>
            </w:r>
          </w:p>
        </w:tc>
        <w:tc>
          <w:tcPr>
            <w:tcW w:w="370" w:type="pct"/>
          </w:tcPr>
          <w:p w14:paraId="5113A5A7" w14:textId="77777777" w:rsidR="004F7750" w:rsidRPr="00B44B19" w:rsidRDefault="004F7750" w:rsidP="004F7750">
            <w:pPr>
              <w:spacing w:after="0" w:line="240" w:lineRule="auto"/>
              <w:jc w:val="both"/>
              <w:rPr>
                <w:rFonts w:cs="Times New Roman"/>
                <w:b/>
                <w:noProof/>
                <w:sz w:val="16"/>
                <w:szCs w:val="16"/>
              </w:rPr>
            </w:pPr>
          </w:p>
        </w:tc>
      </w:tr>
      <w:tr w:rsidR="002F5D56" w:rsidRPr="00B44B19" w14:paraId="4D693768" w14:textId="77777777" w:rsidTr="0002743E">
        <w:trPr>
          <w:trHeight w:val="423"/>
        </w:trPr>
        <w:tc>
          <w:tcPr>
            <w:tcW w:w="364" w:type="pct"/>
            <w:vMerge/>
          </w:tcPr>
          <w:p w14:paraId="5A0FE907" w14:textId="77777777" w:rsidR="002F5D56" w:rsidRPr="00B44B19" w:rsidRDefault="002F5D56" w:rsidP="004F7750">
            <w:pPr>
              <w:spacing w:after="0" w:line="240" w:lineRule="auto"/>
              <w:jc w:val="both"/>
              <w:rPr>
                <w:rFonts w:cs="Times New Roman"/>
                <w:noProof/>
                <w:sz w:val="16"/>
                <w:szCs w:val="16"/>
              </w:rPr>
            </w:pPr>
          </w:p>
        </w:tc>
        <w:tc>
          <w:tcPr>
            <w:tcW w:w="328" w:type="pct"/>
            <w:vMerge/>
          </w:tcPr>
          <w:p w14:paraId="2F6BA0D0" w14:textId="77777777" w:rsidR="002F5D56" w:rsidRPr="00B44B19" w:rsidRDefault="002F5D56" w:rsidP="004F7750">
            <w:pPr>
              <w:spacing w:after="0" w:line="240" w:lineRule="auto"/>
              <w:jc w:val="both"/>
              <w:rPr>
                <w:rFonts w:cs="Times New Roman"/>
                <w:noProof/>
                <w:sz w:val="16"/>
                <w:szCs w:val="16"/>
              </w:rPr>
            </w:pPr>
          </w:p>
        </w:tc>
        <w:tc>
          <w:tcPr>
            <w:tcW w:w="282" w:type="pct"/>
            <w:vMerge/>
          </w:tcPr>
          <w:p w14:paraId="4F051B49" w14:textId="77777777" w:rsidR="002F5D56" w:rsidRPr="00B44B19" w:rsidRDefault="002F5D56" w:rsidP="004F7750">
            <w:pPr>
              <w:spacing w:after="0" w:line="240" w:lineRule="auto"/>
              <w:jc w:val="both"/>
              <w:rPr>
                <w:rFonts w:cs="Times New Roman"/>
                <w:noProof/>
                <w:sz w:val="16"/>
                <w:szCs w:val="16"/>
              </w:rPr>
            </w:pPr>
          </w:p>
        </w:tc>
        <w:tc>
          <w:tcPr>
            <w:tcW w:w="328" w:type="pct"/>
          </w:tcPr>
          <w:p w14:paraId="11F4A38D" w14:textId="77777777" w:rsidR="002F5D56" w:rsidRPr="00B44B19" w:rsidRDefault="00A4692A"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469" w:type="pct"/>
          </w:tcPr>
          <w:p w14:paraId="71331E81" w14:textId="77777777" w:rsidR="002F5D56" w:rsidRPr="00B44B19" w:rsidRDefault="00A4692A" w:rsidP="004F7750">
            <w:pPr>
              <w:spacing w:after="0" w:line="240" w:lineRule="auto"/>
              <w:jc w:val="both"/>
              <w:rPr>
                <w:rFonts w:cs="Times New Roman"/>
                <w:bCs/>
                <w:noProof/>
                <w:sz w:val="16"/>
                <w:szCs w:val="16"/>
              </w:rPr>
            </w:pPr>
            <w:r w:rsidRPr="00B44B19">
              <w:rPr>
                <w:rFonts w:cs="Times New Roman"/>
                <w:bCs/>
                <w:noProof/>
                <w:sz w:val="16"/>
                <w:szCs w:val="16"/>
              </w:rPr>
              <w:t>RCR73</w:t>
            </w:r>
          </w:p>
        </w:tc>
        <w:tc>
          <w:tcPr>
            <w:tcW w:w="1172" w:type="pct"/>
          </w:tcPr>
          <w:p w14:paraId="5126233D" w14:textId="77777777" w:rsidR="002F5D56" w:rsidRPr="00B44B19" w:rsidRDefault="00A4692A" w:rsidP="004F7750">
            <w:pPr>
              <w:tabs>
                <w:tab w:val="left" w:pos="7560"/>
              </w:tabs>
              <w:spacing w:after="0" w:line="240" w:lineRule="auto"/>
              <w:rPr>
                <w:rFonts w:cs="Times New Roman"/>
                <w:bCs/>
                <w:noProof/>
                <w:sz w:val="16"/>
                <w:szCs w:val="16"/>
              </w:rPr>
            </w:pPr>
            <w:r w:rsidRPr="00B44B19">
              <w:rPr>
                <w:rFonts w:cs="Times New Roman"/>
                <w:bCs/>
                <w:noProof/>
                <w:sz w:val="16"/>
                <w:szCs w:val="16"/>
              </w:rPr>
              <w:t>Naujos arba modernizuotos sveikatos priežiūros infrastruktūros naudotojų skaičius per metus</w:t>
            </w:r>
          </w:p>
        </w:tc>
        <w:tc>
          <w:tcPr>
            <w:tcW w:w="328" w:type="pct"/>
          </w:tcPr>
          <w:p w14:paraId="3F22B60C" w14:textId="77777777" w:rsidR="002F5D56" w:rsidRPr="00B44B19" w:rsidRDefault="006D667E" w:rsidP="00DA61A6">
            <w:pPr>
              <w:spacing w:after="0" w:line="240" w:lineRule="auto"/>
              <w:rPr>
                <w:rFonts w:cs="Times New Roman"/>
                <w:bCs/>
                <w:noProof/>
                <w:sz w:val="16"/>
                <w:szCs w:val="16"/>
              </w:rPr>
            </w:pPr>
            <w:r w:rsidRPr="00B44B19">
              <w:rPr>
                <w:rFonts w:cs="Times New Roman"/>
                <w:bCs/>
                <w:noProof/>
                <w:sz w:val="16"/>
                <w:szCs w:val="16"/>
              </w:rPr>
              <w:t>Naudotoj</w:t>
            </w:r>
            <w:r w:rsidR="00DA61A6" w:rsidRPr="00B44B19">
              <w:rPr>
                <w:rFonts w:cs="Times New Roman"/>
                <w:bCs/>
                <w:noProof/>
                <w:sz w:val="16"/>
                <w:szCs w:val="16"/>
              </w:rPr>
              <w:t>ai</w:t>
            </w:r>
            <w:r w:rsidR="00D716A9" w:rsidRPr="00B44B19">
              <w:rPr>
                <w:rFonts w:cs="Times New Roman"/>
                <w:bCs/>
                <w:noProof/>
                <w:sz w:val="16"/>
                <w:szCs w:val="16"/>
              </w:rPr>
              <w:t xml:space="preserve"> </w:t>
            </w:r>
            <w:r w:rsidRPr="00B44B19">
              <w:rPr>
                <w:rFonts w:cs="Times New Roman"/>
                <w:bCs/>
                <w:noProof/>
                <w:sz w:val="16"/>
                <w:szCs w:val="16"/>
              </w:rPr>
              <w:t>per metus</w:t>
            </w:r>
          </w:p>
        </w:tc>
        <w:tc>
          <w:tcPr>
            <w:tcW w:w="328" w:type="pct"/>
          </w:tcPr>
          <w:p w14:paraId="31AED0DD" w14:textId="77777777" w:rsidR="002F5D56" w:rsidRPr="00B44B19" w:rsidRDefault="008A7B56" w:rsidP="0026189E">
            <w:pPr>
              <w:spacing w:after="0" w:line="240" w:lineRule="auto"/>
              <w:jc w:val="center"/>
              <w:rPr>
                <w:rFonts w:cs="Times New Roman"/>
                <w:noProof/>
                <w:sz w:val="16"/>
                <w:szCs w:val="16"/>
              </w:rPr>
            </w:pPr>
            <w:r w:rsidRPr="00B44B19">
              <w:rPr>
                <w:rFonts w:cs="Times New Roman"/>
                <w:noProof/>
                <w:sz w:val="16"/>
                <w:szCs w:val="16"/>
              </w:rPr>
              <w:t>1 383 980</w:t>
            </w:r>
          </w:p>
        </w:tc>
        <w:tc>
          <w:tcPr>
            <w:tcW w:w="375" w:type="pct"/>
          </w:tcPr>
          <w:p w14:paraId="1A8F7459" w14:textId="77777777" w:rsidR="002F5D56" w:rsidRPr="00B44B19" w:rsidRDefault="006B2E5C" w:rsidP="004F7750">
            <w:pPr>
              <w:spacing w:after="0" w:line="240" w:lineRule="auto"/>
              <w:jc w:val="center"/>
              <w:rPr>
                <w:rFonts w:cs="Times New Roman"/>
                <w:noProof/>
                <w:sz w:val="16"/>
                <w:szCs w:val="16"/>
              </w:rPr>
            </w:pPr>
            <w:r w:rsidRPr="00B44B19">
              <w:rPr>
                <w:rFonts w:cs="Times New Roman"/>
                <w:noProof/>
                <w:sz w:val="16"/>
                <w:szCs w:val="16"/>
              </w:rPr>
              <w:t>2021</w:t>
            </w:r>
          </w:p>
        </w:tc>
        <w:tc>
          <w:tcPr>
            <w:tcW w:w="328" w:type="pct"/>
          </w:tcPr>
          <w:p w14:paraId="0C6F2771" w14:textId="36C7E8AF" w:rsidR="002F5D56" w:rsidRPr="00B44B19" w:rsidRDefault="003F3963" w:rsidP="00F14BA3">
            <w:pPr>
              <w:spacing w:after="0" w:line="240" w:lineRule="auto"/>
              <w:jc w:val="center"/>
              <w:rPr>
                <w:rFonts w:cs="Times New Roman"/>
                <w:noProof/>
                <w:sz w:val="16"/>
                <w:szCs w:val="16"/>
              </w:rPr>
            </w:pPr>
            <w:r w:rsidRPr="00B44B19">
              <w:rPr>
                <w:rFonts w:cs="Times New Roman"/>
                <w:noProof/>
                <w:sz w:val="16"/>
                <w:szCs w:val="16"/>
              </w:rPr>
              <w:t>4 035 940</w:t>
            </w:r>
          </w:p>
        </w:tc>
        <w:tc>
          <w:tcPr>
            <w:tcW w:w="328" w:type="pct"/>
          </w:tcPr>
          <w:p w14:paraId="1F48DADE" w14:textId="77777777" w:rsidR="002F5D56" w:rsidRPr="00B44B19" w:rsidRDefault="0006634B" w:rsidP="004F7750">
            <w:pPr>
              <w:spacing w:after="0" w:line="240" w:lineRule="auto"/>
              <w:jc w:val="both"/>
              <w:rPr>
                <w:rFonts w:cs="Times New Roman"/>
                <w:bCs/>
                <w:noProof/>
                <w:sz w:val="16"/>
                <w:szCs w:val="16"/>
              </w:rPr>
            </w:pPr>
            <w:r w:rsidRPr="00B44B19">
              <w:rPr>
                <w:rFonts w:cs="Times New Roman"/>
                <w:bCs/>
                <w:noProof/>
                <w:sz w:val="16"/>
                <w:szCs w:val="16"/>
              </w:rPr>
              <w:t>Projektų duomenys</w:t>
            </w:r>
          </w:p>
        </w:tc>
        <w:tc>
          <w:tcPr>
            <w:tcW w:w="370" w:type="pct"/>
          </w:tcPr>
          <w:p w14:paraId="49012EB2" w14:textId="77777777" w:rsidR="002F5D56" w:rsidRPr="00B44B19" w:rsidRDefault="002F5D56" w:rsidP="004F7750">
            <w:pPr>
              <w:spacing w:after="0" w:line="240" w:lineRule="auto"/>
              <w:jc w:val="both"/>
              <w:rPr>
                <w:rFonts w:cs="Times New Roman"/>
                <w:b/>
                <w:noProof/>
                <w:sz w:val="16"/>
                <w:szCs w:val="16"/>
              </w:rPr>
            </w:pPr>
          </w:p>
        </w:tc>
      </w:tr>
      <w:tr w:rsidR="002F5D56" w:rsidRPr="00B44B19" w14:paraId="0EC25240" w14:textId="77777777" w:rsidTr="004F7750">
        <w:trPr>
          <w:trHeight w:val="707"/>
        </w:trPr>
        <w:tc>
          <w:tcPr>
            <w:tcW w:w="364" w:type="pct"/>
            <w:vMerge/>
          </w:tcPr>
          <w:p w14:paraId="587F7B54" w14:textId="77777777" w:rsidR="002F5D56" w:rsidRPr="00B44B19" w:rsidRDefault="002F5D56" w:rsidP="004F7750">
            <w:pPr>
              <w:spacing w:after="0" w:line="240" w:lineRule="auto"/>
              <w:jc w:val="both"/>
              <w:rPr>
                <w:rFonts w:cs="Times New Roman"/>
                <w:noProof/>
                <w:sz w:val="16"/>
                <w:szCs w:val="16"/>
              </w:rPr>
            </w:pPr>
          </w:p>
        </w:tc>
        <w:tc>
          <w:tcPr>
            <w:tcW w:w="328" w:type="pct"/>
            <w:vMerge/>
          </w:tcPr>
          <w:p w14:paraId="2DAB2A98" w14:textId="77777777" w:rsidR="002F5D56" w:rsidRPr="00B44B19" w:rsidRDefault="002F5D56" w:rsidP="004F7750">
            <w:pPr>
              <w:spacing w:after="0" w:line="240" w:lineRule="auto"/>
              <w:jc w:val="both"/>
              <w:rPr>
                <w:rFonts w:cs="Times New Roman"/>
                <w:noProof/>
                <w:sz w:val="16"/>
                <w:szCs w:val="16"/>
              </w:rPr>
            </w:pPr>
          </w:p>
        </w:tc>
        <w:tc>
          <w:tcPr>
            <w:tcW w:w="282" w:type="pct"/>
            <w:vMerge/>
          </w:tcPr>
          <w:p w14:paraId="1A8DE456" w14:textId="77777777" w:rsidR="002F5D56" w:rsidRPr="00B44B19" w:rsidRDefault="002F5D56" w:rsidP="004F7750">
            <w:pPr>
              <w:spacing w:after="0" w:line="240" w:lineRule="auto"/>
              <w:jc w:val="both"/>
              <w:rPr>
                <w:rFonts w:cs="Times New Roman"/>
                <w:noProof/>
                <w:sz w:val="16"/>
                <w:szCs w:val="16"/>
              </w:rPr>
            </w:pPr>
          </w:p>
        </w:tc>
        <w:tc>
          <w:tcPr>
            <w:tcW w:w="328" w:type="pct"/>
          </w:tcPr>
          <w:p w14:paraId="507D65EC" w14:textId="77777777" w:rsidR="002F5D56" w:rsidRPr="00B44B19" w:rsidRDefault="002F5D56"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469" w:type="pct"/>
          </w:tcPr>
          <w:p w14:paraId="75BBEECA" w14:textId="77777777" w:rsidR="002F5D56" w:rsidRPr="00B44B19" w:rsidRDefault="002F5D56" w:rsidP="004F7750">
            <w:pPr>
              <w:spacing w:after="0" w:line="240" w:lineRule="auto"/>
              <w:jc w:val="both"/>
              <w:rPr>
                <w:rFonts w:cs="Times New Roman"/>
                <w:bCs/>
                <w:noProof/>
                <w:sz w:val="16"/>
                <w:szCs w:val="16"/>
              </w:rPr>
            </w:pPr>
            <w:r w:rsidRPr="00B44B19">
              <w:rPr>
                <w:rFonts w:cs="Times New Roman"/>
                <w:bCs/>
                <w:noProof/>
                <w:sz w:val="16"/>
                <w:szCs w:val="16"/>
              </w:rPr>
              <w:t>Specialusis</w:t>
            </w:r>
          </w:p>
        </w:tc>
        <w:tc>
          <w:tcPr>
            <w:tcW w:w="1172" w:type="pct"/>
          </w:tcPr>
          <w:p w14:paraId="45C4B657" w14:textId="77777777" w:rsidR="002F5D56" w:rsidRPr="00B44B19" w:rsidRDefault="007B243A" w:rsidP="007B243A">
            <w:pPr>
              <w:tabs>
                <w:tab w:val="left" w:pos="7560"/>
              </w:tabs>
              <w:spacing w:after="0" w:line="240" w:lineRule="auto"/>
              <w:rPr>
                <w:rFonts w:cs="Times New Roman"/>
                <w:bCs/>
                <w:noProof/>
                <w:sz w:val="16"/>
                <w:szCs w:val="16"/>
              </w:rPr>
            </w:pPr>
            <w:r w:rsidRPr="00B44B19">
              <w:rPr>
                <w:rFonts w:cs="Times New Roman"/>
                <w:bCs/>
                <w:noProof/>
                <w:sz w:val="16"/>
                <w:szCs w:val="16"/>
              </w:rPr>
              <w:t xml:space="preserve">Išvengiamų hospitalizacijų </w:t>
            </w:r>
            <w:r w:rsidR="002F5D56" w:rsidRPr="00B44B19">
              <w:rPr>
                <w:rFonts w:cs="Times New Roman"/>
                <w:bCs/>
                <w:noProof/>
                <w:sz w:val="16"/>
                <w:szCs w:val="16"/>
              </w:rPr>
              <w:t>skaičius</w:t>
            </w:r>
          </w:p>
        </w:tc>
        <w:tc>
          <w:tcPr>
            <w:tcW w:w="328" w:type="pct"/>
          </w:tcPr>
          <w:p w14:paraId="2694044B" w14:textId="77777777" w:rsidR="002F5D56" w:rsidRPr="00B44B19" w:rsidRDefault="007B243A" w:rsidP="004F7750">
            <w:pPr>
              <w:spacing w:after="0" w:line="240" w:lineRule="auto"/>
              <w:rPr>
                <w:rFonts w:cs="Times New Roman"/>
                <w:bCs/>
                <w:noProof/>
                <w:sz w:val="16"/>
                <w:szCs w:val="16"/>
              </w:rPr>
            </w:pPr>
            <w:r w:rsidRPr="00B44B19">
              <w:rPr>
                <w:rFonts w:cs="Times New Roman"/>
                <w:bCs/>
                <w:noProof/>
                <w:sz w:val="16"/>
                <w:szCs w:val="16"/>
              </w:rPr>
              <w:t>Hospitalizacijos tūkstančiui gyventojų</w:t>
            </w:r>
          </w:p>
        </w:tc>
        <w:tc>
          <w:tcPr>
            <w:tcW w:w="328" w:type="pct"/>
          </w:tcPr>
          <w:p w14:paraId="17757F2D" w14:textId="77777777" w:rsidR="002F5D56" w:rsidRPr="00B44B19" w:rsidRDefault="002F5D56" w:rsidP="004F7750">
            <w:pPr>
              <w:spacing w:after="0" w:line="240" w:lineRule="auto"/>
              <w:jc w:val="center"/>
              <w:rPr>
                <w:rFonts w:cs="Times New Roman"/>
                <w:noProof/>
                <w:sz w:val="16"/>
                <w:szCs w:val="16"/>
              </w:rPr>
            </w:pPr>
            <w:r w:rsidRPr="00B44B19">
              <w:rPr>
                <w:rFonts w:cs="Times New Roman"/>
                <w:noProof/>
                <w:sz w:val="16"/>
                <w:szCs w:val="16"/>
              </w:rPr>
              <w:t>25,1</w:t>
            </w:r>
          </w:p>
        </w:tc>
        <w:tc>
          <w:tcPr>
            <w:tcW w:w="375" w:type="pct"/>
          </w:tcPr>
          <w:p w14:paraId="119C913B" w14:textId="77777777" w:rsidR="002F5D56" w:rsidRPr="00B44B19" w:rsidRDefault="002F5D56" w:rsidP="004F7750">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3E7C3A88" w14:textId="77777777" w:rsidR="002F5D56" w:rsidRPr="00B44B19" w:rsidRDefault="002F5D56" w:rsidP="004F7750">
            <w:pPr>
              <w:spacing w:after="0" w:line="240" w:lineRule="auto"/>
              <w:jc w:val="center"/>
              <w:rPr>
                <w:rFonts w:cs="Times New Roman"/>
                <w:noProof/>
                <w:sz w:val="16"/>
                <w:szCs w:val="16"/>
              </w:rPr>
            </w:pPr>
            <w:r w:rsidRPr="00B44B19">
              <w:rPr>
                <w:rFonts w:cs="Times New Roman"/>
                <w:noProof/>
                <w:sz w:val="16"/>
                <w:szCs w:val="16"/>
              </w:rPr>
              <w:t>16</w:t>
            </w:r>
          </w:p>
        </w:tc>
        <w:tc>
          <w:tcPr>
            <w:tcW w:w="328" w:type="pct"/>
          </w:tcPr>
          <w:p w14:paraId="3EDE52CA" w14:textId="77777777" w:rsidR="002F5D56" w:rsidRPr="00B44B19" w:rsidRDefault="002F5D56" w:rsidP="004F7750">
            <w:pPr>
              <w:spacing w:after="0" w:line="240" w:lineRule="auto"/>
              <w:jc w:val="both"/>
              <w:rPr>
                <w:rFonts w:cs="Times New Roman"/>
                <w:bCs/>
                <w:noProof/>
                <w:sz w:val="16"/>
                <w:szCs w:val="16"/>
              </w:rPr>
            </w:pPr>
            <w:r w:rsidRPr="00B44B19">
              <w:rPr>
                <w:rFonts w:cs="Times New Roman"/>
                <w:bCs/>
                <w:noProof/>
                <w:sz w:val="16"/>
                <w:szCs w:val="16"/>
              </w:rPr>
              <w:t>Higienos institutas</w:t>
            </w:r>
          </w:p>
        </w:tc>
        <w:tc>
          <w:tcPr>
            <w:tcW w:w="370" w:type="pct"/>
          </w:tcPr>
          <w:p w14:paraId="721AF1FC" w14:textId="77777777" w:rsidR="002F5D56" w:rsidRPr="00B44B19" w:rsidRDefault="002F5D56" w:rsidP="004F7750">
            <w:pPr>
              <w:spacing w:after="0" w:line="240" w:lineRule="auto"/>
              <w:jc w:val="both"/>
              <w:rPr>
                <w:rFonts w:cs="Times New Roman"/>
                <w:b/>
                <w:noProof/>
                <w:sz w:val="16"/>
                <w:szCs w:val="16"/>
              </w:rPr>
            </w:pPr>
          </w:p>
        </w:tc>
      </w:tr>
      <w:tr w:rsidR="004F7750" w:rsidRPr="00B44B19" w14:paraId="2ADECA7D" w14:textId="77777777" w:rsidTr="004F7750">
        <w:trPr>
          <w:trHeight w:val="707"/>
        </w:trPr>
        <w:tc>
          <w:tcPr>
            <w:tcW w:w="364" w:type="pct"/>
            <w:vMerge/>
          </w:tcPr>
          <w:p w14:paraId="4FDA24E9" w14:textId="77777777" w:rsidR="004F7750" w:rsidRPr="00B44B19" w:rsidRDefault="004F7750" w:rsidP="004F7750">
            <w:pPr>
              <w:spacing w:after="0" w:line="240" w:lineRule="auto"/>
              <w:jc w:val="both"/>
              <w:rPr>
                <w:rFonts w:cs="Times New Roman"/>
                <w:noProof/>
                <w:sz w:val="16"/>
                <w:szCs w:val="16"/>
              </w:rPr>
            </w:pPr>
          </w:p>
        </w:tc>
        <w:tc>
          <w:tcPr>
            <w:tcW w:w="328" w:type="pct"/>
            <w:vMerge/>
          </w:tcPr>
          <w:p w14:paraId="7EC6D94E" w14:textId="77777777" w:rsidR="004F7750" w:rsidRPr="00B44B19" w:rsidRDefault="004F7750" w:rsidP="004F7750">
            <w:pPr>
              <w:spacing w:after="0" w:line="240" w:lineRule="auto"/>
              <w:jc w:val="both"/>
              <w:rPr>
                <w:rFonts w:cs="Times New Roman"/>
                <w:noProof/>
                <w:sz w:val="16"/>
                <w:szCs w:val="16"/>
              </w:rPr>
            </w:pPr>
          </w:p>
        </w:tc>
        <w:tc>
          <w:tcPr>
            <w:tcW w:w="282" w:type="pct"/>
            <w:vMerge/>
          </w:tcPr>
          <w:p w14:paraId="2D8B7D4C" w14:textId="77777777" w:rsidR="004F7750" w:rsidRPr="00B44B19" w:rsidRDefault="004F7750" w:rsidP="004F7750">
            <w:pPr>
              <w:spacing w:after="0" w:line="240" w:lineRule="auto"/>
              <w:jc w:val="both"/>
              <w:rPr>
                <w:rFonts w:cs="Times New Roman"/>
                <w:noProof/>
                <w:sz w:val="16"/>
                <w:szCs w:val="16"/>
              </w:rPr>
            </w:pPr>
          </w:p>
        </w:tc>
        <w:tc>
          <w:tcPr>
            <w:tcW w:w="328" w:type="pct"/>
          </w:tcPr>
          <w:p w14:paraId="5B529F1B" w14:textId="77777777" w:rsidR="004F7750" w:rsidRPr="00B44B19" w:rsidRDefault="004F7750"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469" w:type="pct"/>
          </w:tcPr>
          <w:p w14:paraId="0BAEA820" w14:textId="77777777" w:rsidR="004F7750" w:rsidRPr="00B44B19" w:rsidRDefault="004F7750" w:rsidP="004F7750">
            <w:pPr>
              <w:spacing w:after="0" w:line="240" w:lineRule="auto"/>
              <w:jc w:val="both"/>
              <w:rPr>
                <w:rFonts w:cs="Times New Roman"/>
                <w:bCs/>
                <w:noProof/>
                <w:sz w:val="16"/>
                <w:szCs w:val="16"/>
              </w:rPr>
            </w:pPr>
            <w:r w:rsidRPr="00B44B19">
              <w:rPr>
                <w:rFonts w:cs="Times New Roman"/>
                <w:bCs/>
                <w:noProof/>
                <w:sz w:val="16"/>
                <w:szCs w:val="16"/>
              </w:rPr>
              <w:t>Specialusis</w:t>
            </w:r>
          </w:p>
        </w:tc>
        <w:tc>
          <w:tcPr>
            <w:tcW w:w="1172" w:type="pct"/>
          </w:tcPr>
          <w:p w14:paraId="46749AE2" w14:textId="77777777" w:rsidR="004F7750" w:rsidRPr="00B44B19" w:rsidRDefault="004F7750" w:rsidP="007B243A">
            <w:pPr>
              <w:tabs>
                <w:tab w:val="left" w:pos="7560"/>
              </w:tabs>
              <w:spacing w:after="0" w:line="240" w:lineRule="auto"/>
              <w:rPr>
                <w:rFonts w:cs="Times New Roman"/>
                <w:bCs/>
                <w:noProof/>
                <w:sz w:val="16"/>
                <w:szCs w:val="16"/>
              </w:rPr>
            </w:pPr>
            <w:r w:rsidRPr="00B44B19">
              <w:rPr>
                <w:rFonts w:cs="Times New Roman"/>
                <w:bCs/>
                <w:noProof/>
                <w:sz w:val="16"/>
                <w:szCs w:val="16"/>
              </w:rPr>
              <w:t>Išvengiamų hospitalizacijų</w:t>
            </w:r>
            <w:r w:rsidR="00041626" w:rsidRPr="00B44B19">
              <w:rPr>
                <w:rFonts w:cs="Times New Roman"/>
                <w:bCs/>
                <w:noProof/>
                <w:sz w:val="16"/>
                <w:szCs w:val="16"/>
              </w:rPr>
              <w:t xml:space="preserve"> </w:t>
            </w:r>
            <w:r w:rsidRPr="00B44B19">
              <w:rPr>
                <w:rFonts w:cs="Times New Roman"/>
                <w:bCs/>
                <w:noProof/>
                <w:sz w:val="16"/>
                <w:szCs w:val="16"/>
              </w:rPr>
              <w:t xml:space="preserve">skaičius </w:t>
            </w:r>
          </w:p>
        </w:tc>
        <w:tc>
          <w:tcPr>
            <w:tcW w:w="328" w:type="pct"/>
          </w:tcPr>
          <w:p w14:paraId="02669FFB" w14:textId="77777777" w:rsidR="004F7750" w:rsidRPr="00B44B19" w:rsidRDefault="007B243A" w:rsidP="004F7750">
            <w:pPr>
              <w:spacing w:after="0" w:line="240" w:lineRule="auto"/>
              <w:rPr>
                <w:rFonts w:cs="Times New Roman"/>
                <w:bCs/>
                <w:noProof/>
                <w:sz w:val="16"/>
                <w:szCs w:val="16"/>
              </w:rPr>
            </w:pPr>
            <w:r w:rsidRPr="00B44B19">
              <w:rPr>
                <w:rFonts w:cs="Times New Roman"/>
                <w:bCs/>
                <w:noProof/>
                <w:sz w:val="16"/>
                <w:szCs w:val="16"/>
              </w:rPr>
              <w:t>Hospitalizacijos tūkstančiui gyventojų</w:t>
            </w:r>
          </w:p>
        </w:tc>
        <w:tc>
          <w:tcPr>
            <w:tcW w:w="328" w:type="pct"/>
          </w:tcPr>
          <w:p w14:paraId="3614056D" w14:textId="77777777" w:rsidR="004F7750" w:rsidRPr="00B44B19" w:rsidRDefault="004F7750" w:rsidP="004F7750">
            <w:pPr>
              <w:spacing w:after="0" w:line="240" w:lineRule="auto"/>
              <w:jc w:val="center"/>
              <w:rPr>
                <w:rFonts w:cs="Times New Roman"/>
                <w:noProof/>
                <w:sz w:val="16"/>
                <w:szCs w:val="16"/>
              </w:rPr>
            </w:pPr>
            <w:r w:rsidRPr="00B44B19">
              <w:rPr>
                <w:rFonts w:cs="Times New Roman"/>
                <w:noProof/>
                <w:sz w:val="16"/>
                <w:szCs w:val="16"/>
              </w:rPr>
              <w:t>34,8</w:t>
            </w:r>
          </w:p>
        </w:tc>
        <w:tc>
          <w:tcPr>
            <w:tcW w:w="375" w:type="pct"/>
          </w:tcPr>
          <w:p w14:paraId="3920E4A4" w14:textId="77777777" w:rsidR="004F7750" w:rsidRPr="00B44B19" w:rsidRDefault="004F7750" w:rsidP="004F7750">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3DF04158" w14:textId="77777777" w:rsidR="004F7750" w:rsidRPr="00B44B19" w:rsidRDefault="004F7750" w:rsidP="004F7750">
            <w:pPr>
              <w:spacing w:after="0" w:line="240" w:lineRule="auto"/>
              <w:jc w:val="center"/>
              <w:rPr>
                <w:rFonts w:cs="Times New Roman"/>
                <w:noProof/>
                <w:sz w:val="16"/>
                <w:szCs w:val="16"/>
              </w:rPr>
            </w:pPr>
            <w:r w:rsidRPr="00B44B19">
              <w:rPr>
                <w:rFonts w:cs="Times New Roman"/>
                <w:noProof/>
                <w:sz w:val="16"/>
                <w:szCs w:val="16"/>
              </w:rPr>
              <w:t>16</w:t>
            </w:r>
          </w:p>
        </w:tc>
        <w:tc>
          <w:tcPr>
            <w:tcW w:w="328" w:type="pct"/>
          </w:tcPr>
          <w:p w14:paraId="450797AC" w14:textId="77777777" w:rsidR="004F7750" w:rsidRPr="00B44B19" w:rsidRDefault="004F7750" w:rsidP="004F7750">
            <w:pPr>
              <w:spacing w:after="0" w:line="240" w:lineRule="auto"/>
              <w:jc w:val="both"/>
              <w:rPr>
                <w:rFonts w:cs="Times New Roman"/>
                <w:b/>
                <w:noProof/>
                <w:sz w:val="16"/>
                <w:szCs w:val="16"/>
              </w:rPr>
            </w:pPr>
            <w:r w:rsidRPr="00B44B19">
              <w:rPr>
                <w:rFonts w:cs="Times New Roman"/>
                <w:bCs/>
                <w:noProof/>
                <w:sz w:val="16"/>
                <w:szCs w:val="16"/>
              </w:rPr>
              <w:t>Higienos</w:t>
            </w:r>
            <w:r w:rsidRPr="00B44B19">
              <w:rPr>
                <w:rFonts w:cs="Times New Roman"/>
                <w:b/>
                <w:noProof/>
                <w:sz w:val="16"/>
                <w:szCs w:val="16"/>
              </w:rPr>
              <w:t xml:space="preserve"> </w:t>
            </w:r>
            <w:r w:rsidRPr="00B44B19">
              <w:rPr>
                <w:rFonts w:cs="Times New Roman"/>
                <w:bCs/>
                <w:noProof/>
                <w:sz w:val="16"/>
                <w:szCs w:val="16"/>
              </w:rPr>
              <w:t>institutas</w:t>
            </w:r>
          </w:p>
        </w:tc>
        <w:tc>
          <w:tcPr>
            <w:tcW w:w="370" w:type="pct"/>
          </w:tcPr>
          <w:p w14:paraId="4F527EFF" w14:textId="77777777" w:rsidR="004F7750" w:rsidRPr="00B44B19" w:rsidRDefault="004F7750" w:rsidP="004F7750">
            <w:pPr>
              <w:spacing w:after="0" w:line="240" w:lineRule="auto"/>
              <w:jc w:val="both"/>
              <w:rPr>
                <w:rFonts w:cs="Times New Roman"/>
                <w:b/>
                <w:noProof/>
                <w:sz w:val="16"/>
                <w:szCs w:val="16"/>
              </w:rPr>
            </w:pPr>
          </w:p>
        </w:tc>
      </w:tr>
      <w:tr w:rsidR="006F3AE9" w:rsidRPr="00B44B19" w14:paraId="4FBEF998" w14:textId="77777777" w:rsidTr="0002743E">
        <w:trPr>
          <w:trHeight w:val="565"/>
        </w:trPr>
        <w:tc>
          <w:tcPr>
            <w:tcW w:w="364" w:type="pct"/>
            <w:vMerge/>
          </w:tcPr>
          <w:p w14:paraId="400AECAF" w14:textId="77777777" w:rsidR="006F3AE9" w:rsidRPr="00B44B19" w:rsidRDefault="006F3AE9" w:rsidP="004F7750">
            <w:pPr>
              <w:spacing w:after="0" w:line="240" w:lineRule="auto"/>
              <w:jc w:val="both"/>
              <w:rPr>
                <w:rFonts w:cs="Times New Roman"/>
                <w:noProof/>
                <w:sz w:val="16"/>
                <w:szCs w:val="16"/>
              </w:rPr>
            </w:pPr>
          </w:p>
        </w:tc>
        <w:tc>
          <w:tcPr>
            <w:tcW w:w="328" w:type="pct"/>
            <w:vMerge/>
          </w:tcPr>
          <w:p w14:paraId="7E26D627" w14:textId="77777777" w:rsidR="006F3AE9" w:rsidRPr="00B44B19" w:rsidRDefault="006F3AE9" w:rsidP="004F7750">
            <w:pPr>
              <w:spacing w:after="0" w:line="240" w:lineRule="auto"/>
              <w:jc w:val="both"/>
              <w:rPr>
                <w:rFonts w:cs="Times New Roman"/>
                <w:noProof/>
                <w:sz w:val="16"/>
                <w:szCs w:val="16"/>
              </w:rPr>
            </w:pPr>
          </w:p>
        </w:tc>
        <w:tc>
          <w:tcPr>
            <w:tcW w:w="282" w:type="pct"/>
            <w:vMerge/>
          </w:tcPr>
          <w:p w14:paraId="32F29B8B" w14:textId="77777777" w:rsidR="006F3AE9" w:rsidRPr="00B44B19" w:rsidRDefault="006F3AE9" w:rsidP="004F7750">
            <w:pPr>
              <w:spacing w:after="0" w:line="240" w:lineRule="auto"/>
              <w:jc w:val="both"/>
              <w:rPr>
                <w:rFonts w:cs="Times New Roman"/>
                <w:noProof/>
                <w:sz w:val="16"/>
                <w:szCs w:val="16"/>
              </w:rPr>
            </w:pPr>
          </w:p>
        </w:tc>
        <w:tc>
          <w:tcPr>
            <w:tcW w:w="328" w:type="pct"/>
          </w:tcPr>
          <w:p w14:paraId="2045E343" w14:textId="77777777" w:rsidR="006F3AE9" w:rsidRPr="00B44B19" w:rsidRDefault="006F3AE9"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469" w:type="pct"/>
          </w:tcPr>
          <w:p w14:paraId="342C4AEC"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Specialusis</w:t>
            </w:r>
          </w:p>
        </w:tc>
        <w:tc>
          <w:tcPr>
            <w:tcW w:w="1172" w:type="pct"/>
          </w:tcPr>
          <w:p w14:paraId="22430173" w14:textId="77777777" w:rsidR="006F3AE9" w:rsidRPr="00B44B19" w:rsidRDefault="006F3AE9" w:rsidP="00597086">
            <w:pPr>
              <w:tabs>
                <w:tab w:val="left" w:pos="7560"/>
              </w:tabs>
              <w:spacing w:after="0" w:line="240" w:lineRule="auto"/>
              <w:rPr>
                <w:rFonts w:cs="Times New Roman"/>
                <w:bCs/>
                <w:noProof/>
                <w:sz w:val="16"/>
                <w:szCs w:val="16"/>
              </w:rPr>
            </w:pPr>
            <w:r w:rsidRPr="00B44B19">
              <w:rPr>
                <w:rFonts w:cs="Times New Roman"/>
                <w:bCs/>
                <w:noProof/>
                <w:sz w:val="16"/>
                <w:szCs w:val="16"/>
              </w:rPr>
              <w:t>GMP skubių įvykdytų iškvietimų paslaugų, suteiktų per 15 min. (mieste), dalis</w:t>
            </w:r>
          </w:p>
        </w:tc>
        <w:tc>
          <w:tcPr>
            <w:tcW w:w="328" w:type="pct"/>
          </w:tcPr>
          <w:p w14:paraId="7F9B57B7" w14:textId="77777777" w:rsidR="006F3AE9" w:rsidRPr="00B44B19" w:rsidRDefault="006F3AE9" w:rsidP="004F7750">
            <w:pPr>
              <w:spacing w:after="0" w:line="240" w:lineRule="auto"/>
              <w:rPr>
                <w:rFonts w:cs="Times New Roman"/>
                <w:bCs/>
                <w:noProof/>
                <w:sz w:val="16"/>
                <w:szCs w:val="16"/>
              </w:rPr>
            </w:pPr>
            <w:r w:rsidRPr="00B44B19">
              <w:rPr>
                <w:rFonts w:cs="Times New Roman"/>
                <w:bCs/>
                <w:noProof/>
                <w:sz w:val="16"/>
                <w:szCs w:val="16"/>
              </w:rPr>
              <w:t>Procenta</w:t>
            </w:r>
            <w:r w:rsidR="00DA61A6" w:rsidRPr="00B44B19">
              <w:rPr>
                <w:rFonts w:cs="Times New Roman"/>
                <w:bCs/>
                <w:noProof/>
                <w:sz w:val="16"/>
                <w:szCs w:val="16"/>
              </w:rPr>
              <w:t>i</w:t>
            </w:r>
          </w:p>
        </w:tc>
        <w:tc>
          <w:tcPr>
            <w:tcW w:w="328" w:type="pct"/>
          </w:tcPr>
          <w:p w14:paraId="0580F781" w14:textId="77777777" w:rsidR="006F3AE9" w:rsidRPr="00B44B19" w:rsidRDefault="006F3AE9" w:rsidP="00390851">
            <w:pPr>
              <w:spacing w:after="0" w:line="240" w:lineRule="auto"/>
              <w:jc w:val="center"/>
              <w:rPr>
                <w:rFonts w:cs="Times New Roman"/>
                <w:noProof/>
                <w:sz w:val="16"/>
                <w:szCs w:val="16"/>
              </w:rPr>
            </w:pPr>
            <w:r w:rsidRPr="00B44B19">
              <w:rPr>
                <w:rFonts w:cs="Times New Roman"/>
                <w:noProof/>
                <w:sz w:val="16"/>
                <w:szCs w:val="16"/>
              </w:rPr>
              <w:t xml:space="preserve">91,4 </w:t>
            </w:r>
          </w:p>
        </w:tc>
        <w:tc>
          <w:tcPr>
            <w:tcW w:w="375" w:type="pct"/>
          </w:tcPr>
          <w:p w14:paraId="3FA3B241"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05FA4FC4" w14:textId="77777777" w:rsidR="006F3AE9" w:rsidRPr="00B44B19" w:rsidRDefault="006F3AE9" w:rsidP="00390851">
            <w:pPr>
              <w:spacing w:after="0" w:line="240" w:lineRule="auto"/>
              <w:jc w:val="center"/>
              <w:rPr>
                <w:rFonts w:cs="Times New Roman"/>
                <w:noProof/>
                <w:sz w:val="16"/>
                <w:szCs w:val="16"/>
              </w:rPr>
            </w:pPr>
            <w:r w:rsidRPr="00B44B19">
              <w:rPr>
                <w:rFonts w:cs="Times New Roman"/>
                <w:noProof/>
                <w:sz w:val="16"/>
                <w:szCs w:val="16"/>
              </w:rPr>
              <w:t xml:space="preserve">98 </w:t>
            </w:r>
          </w:p>
        </w:tc>
        <w:tc>
          <w:tcPr>
            <w:tcW w:w="328" w:type="pct"/>
          </w:tcPr>
          <w:p w14:paraId="6ED2D81C"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Valstybinė ligonių kasa</w:t>
            </w:r>
          </w:p>
        </w:tc>
        <w:tc>
          <w:tcPr>
            <w:tcW w:w="370" w:type="pct"/>
          </w:tcPr>
          <w:p w14:paraId="29B99612" w14:textId="77777777" w:rsidR="006F3AE9" w:rsidRPr="00B44B19" w:rsidRDefault="006F3AE9" w:rsidP="004F7750">
            <w:pPr>
              <w:spacing w:after="0" w:line="240" w:lineRule="auto"/>
              <w:jc w:val="both"/>
              <w:rPr>
                <w:rFonts w:cs="Times New Roman"/>
                <w:b/>
                <w:noProof/>
                <w:sz w:val="16"/>
                <w:szCs w:val="16"/>
              </w:rPr>
            </w:pPr>
          </w:p>
        </w:tc>
      </w:tr>
      <w:tr w:rsidR="006F3AE9" w:rsidRPr="00B44B19" w14:paraId="13CA91EE" w14:textId="77777777" w:rsidTr="0002743E">
        <w:trPr>
          <w:trHeight w:val="545"/>
        </w:trPr>
        <w:tc>
          <w:tcPr>
            <w:tcW w:w="364" w:type="pct"/>
            <w:vMerge/>
          </w:tcPr>
          <w:p w14:paraId="6C7A19E0" w14:textId="77777777" w:rsidR="006F3AE9" w:rsidRPr="00B44B19" w:rsidRDefault="006F3AE9" w:rsidP="004F7750">
            <w:pPr>
              <w:spacing w:after="0" w:line="240" w:lineRule="auto"/>
              <w:jc w:val="both"/>
              <w:rPr>
                <w:rFonts w:cs="Times New Roman"/>
                <w:noProof/>
                <w:sz w:val="16"/>
                <w:szCs w:val="16"/>
              </w:rPr>
            </w:pPr>
          </w:p>
        </w:tc>
        <w:tc>
          <w:tcPr>
            <w:tcW w:w="328" w:type="pct"/>
            <w:vMerge/>
          </w:tcPr>
          <w:p w14:paraId="233FA887" w14:textId="77777777" w:rsidR="006F3AE9" w:rsidRPr="00B44B19" w:rsidRDefault="006F3AE9" w:rsidP="004F7750">
            <w:pPr>
              <w:spacing w:after="0" w:line="240" w:lineRule="auto"/>
              <w:jc w:val="both"/>
              <w:rPr>
                <w:rFonts w:cs="Times New Roman"/>
                <w:noProof/>
                <w:sz w:val="16"/>
                <w:szCs w:val="16"/>
              </w:rPr>
            </w:pPr>
          </w:p>
        </w:tc>
        <w:tc>
          <w:tcPr>
            <w:tcW w:w="282" w:type="pct"/>
            <w:vMerge/>
          </w:tcPr>
          <w:p w14:paraId="5C310A26" w14:textId="77777777" w:rsidR="006F3AE9" w:rsidRPr="00B44B19" w:rsidRDefault="006F3AE9" w:rsidP="004F7750">
            <w:pPr>
              <w:spacing w:after="0" w:line="240" w:lineRule="auto"/>
              <w:jc w:val="both"/>
              <w:rPr>
                <w:rFonts w:cs="Times New Roman"/>
                <w:noProof/>
                <w:sz w:val="16"/>
                <w:szCs w:val="16"/>
              </w:rPr>
            </w:pPr>
          </w:p>
        </w:tc>
        <w:tc>
          <w:tcPr>
            <w:tcW w:w="328" w:type="pct"/>
          </w:tcPr>
          <w:p w14:paraId="605F3C1A" w14:textId="77777777" w:rsidR="006F3AE9" w:rsidRPr="00B44B19" w:rsidRDefault="006F3AE9" w:rsidP="004F7750">
            <w:pPr>
              <w:spacing w:after="0" w:line="240" w:lineRule="auto"/>
              <w:jc w:val="both"/>
              <w:rPr>
                <w:rFonts w:cs="Times New Roman"/>
                <w:noProof/>
                <w:sz w:val="16"/>
                <w:szCs w:val="16"/>
              </w:rPr>
            </w:pPr>
            <w:r w:rsidRPr="00B44B19">
              <w:rPr>
                <w:rFonts w:cs="Times New Roman"/>
                <w:noProof/>
                <w:sz w:val="16"/>
                <w:szCs w:val="16"/>
              </w:rPr>
              <w:t>Sostinės regionas</w:t>
            </w:r>
          </w:p>
        </w:tc>
        <w:tc>
          <w:tcPr>
            <w:tcW w:w="469" w:type="pct"/>
          </w:tcPr>
          <w:p w14:paraId="4091ABA7"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Specialusis</w:t>
            </w:r>
          </w:p>
        </w:tc>
        <w:tc>
          <w:tcPr>
            <w:tcW w:w="1172" w:type="pct"/>
          </w:tcPr>
          <w:p w14:paraId="2F730953" w14:textId="77777777" w:rsidR="006F3AE9" w:rsidRPr="00B44B19" w:rsidRDefault="006F3AE9" w:rsidP="00597086">
            <w:pPr>
              <w:tabs>
                <w:tab w:val="left" w:pos="7560"/>
              </w:tabs>
              <w:spacing w:after="0" w:line="240" w:lineRule="auto"/>
              <w:rPr>
                <w:rFonts w:cs="Times New Roman"/>
                <w:bCs/>
                <w:noProof/>
                <w:sz w:val="16"/>
                <w:szCs w:val="16"/>
              </w:rPr>
            </w:pPr>
            <w:r w:rsidRPr="00B44B19">
              <w:rPr>
                <w:rFonts w:cs="Times New Roman"/>
                <w:bCs/>
                <w:noProof/>
                <w:sz w:val="16"/>
                <w:szCs w:val="16"/>
              </w:rPr>
              <w:t>GMP skubių įvykdytų iškvietimų paslaugų, suteiktų per 25 min. (kaime), dalis</w:t>
            </w:r>
          </w:p>
        </w:tc>
        <w:tc>
          <w:tcPr>
            <w:tcW w:w="328" w:type="pct"/>
          </w:tcPr>
          <w:p w14:paraId="6B397EF4" w14:textId="77777777" w:rsidR="006F3AE9" w:rsidRPr="00B44B19" w:rsidRDefault="006F3AE9" w:rsidP="004F7750">
            <w:pPr>
              <w:spacing w:after="0" w:line="240" w:lineRule="auto"/>
              <w:rPr>
                <w:rFonts w:cs="Times New Roman"/>
                <w:bCs/>
                <w:noProof/>
                <w:sz w:val="16"/>
                <w:szCs w:val="16"/>
              </w:rPr>
            </w:pPr>
            <w:r w:rsidRPr="00B44B19">
              <w:rPr>
                <w:rFonts w:cs="Times New Roman"/>
                <w:bCs/>
                <w:noProof/>
                <w:sz w:val="16"/>
                <w:szCs w:val="16"/>
              </w:rPr>
              <w:t>Procenta</w:t>
            </w:r>
            <w:r w:rsidR="00DA61A6" w:rsidRPr="00B44B19">
              <w:rPr>
                <w:rFonts w:cs="Times New Roman"/>
                <w:bCs/>
                <w:noProof/>
                <w:sz w:val="16"/>
                <w:szCs w:val="16"/>
              </w:rPr>
              <w:t>i</w:t>
            </w:r>
          </w:p>
        </w:tc>
        <w:tc>
          <w:tcPr>
            <w:tcW w:w="328" w:type="pct"/>
          </w:tcPr>
          <w:p w14:paraId="17C853A0"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81,6</w:t>
            </w:r>
          </w:p>
        </w:tc>
        <w:tc>
          <w:tcPr>
            <w:tcW w:w="375" w:type="pct"/>
          </w:tcPr>
          <w:p w14:paraId="7B3CD3B3"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67926B2B"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98</w:t>
            </w:r>
          </w:p>
        </w:tc>
        <w:tc>
          <w:tcPr>
            <w:tcW w:w="328" w:type="pct"/>
          </w:tcPr>
          <w:p w14:paraId="7726353F"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Valstybinė ligonių kasa</w:t>
            </w:r>
          </w:p>
        </w:tc>
        <w:tc>
          <w:tcPr>
            <w:tcW w:w="370" w:type="pct"/>
          </w:tcPr>
          <w:p w14:paraId="0FD5AFEB" w14:textId="77777777" w:rsidR="006F3AE9" w:rsidRPr="00B44B19" w:rsidRDefault="006F3AE9" w:rsidP="004F7750">
            <w:pPr>
              <w:spacing w:after="0" w:line="240" w:lineRule="auto"/>
              <w:jc w:val="both"/>
              <w:rPr>
                <w:rFonts w:cs="Times New Roman"/>
                <w:b/>
                <w:noProof/>
                <w:sz w:val="16"/>
                <w:szCs w:val="16"/>
              </w:rPr>
            </w:pPr>
          </w:p>
        </w:tc>
      </w:tr>
      <w:tr w:rsidR="006F3AE9" w:rsidRPr="00B44B19" w14:paraId="48A42621" w14:textId="77777777" w:rsidTr="0002743E">
        <w:trPr>
          <w:trHeight w:val="567"/>
        </w:trPr>
        <w:tc>
          <w:tcPr>
            <w:tcW w:w="364" w:type="pct"/>
            <w:vMerge/>
          </w:tcPr>
          <w:p w14:paraId="5D4D1CD8" w14:textId="77777777" w:rsidR="006F3AE9" w:rsidRPr="00B44B19" w:rsidRDefault="006F3AE9" w:rsidP="004F7750">
            <w:pPr>
              <w:spacing w:after="0" w:line="240" w:lineRule="auto"/>
              <w:jc w:val="both"/>
              <w:rPr>
                <w:rFonts w:cs="Times New Roman"/>
                <w:noProof/>
                <w:sz w:val="16"/>
                <w:szCs w:val="16"/>
              </w:rPr>
            </w:pPr>
          </w:p>
        </w:tc>
        <w:tc>
          <w:tcPr>
            <w:tcW w:w="328" w:type="pct"/>
            <w:vMerge/>
          </w:tcPr>
          <w:p w14:paraId="72586BF3" w14:textId="77777777" w:rsidR="006F3AE9" w:rsidRPr="00B44B19" w:rsidRDefault="006F3AE9" w:rsidP="004F7750">
            <w:pPr>
              <w:spacing w:after="0" w:line="240" w:lineRule="auto"/>
              <w:jc w:val="both"/>
              <w:rPr>
                <w:rFonts w:cs="Times New Roman"/>
                <w:noProof/>
                <w:sz w:val="16"/>
                <w:szCs w:val="16"/>
              </w:rPr>
            </w:pPr>
          </w:p>
        </w:tc>
        <w:tc>
          <w:tcPr>
            <w:tcW w:w="282" w:type="pct"/>
            <w:vMerge/>
          </w:tcPr>
          <w:p w14:paraId="45322F2E" w14:textId="77777777" w:rsidR="006F3AE9" w:rsidRPr="00B44B19" w:rsidRDefault="006F3AE9" w:rsidP="004F7750">
            <w:pPr>
              <w:spacing w:after="0" w:line="240" w:lineRule="auto"/>
              <w:jc w:val="both"/>
              <w:rPr>
                <w:rFonts w:cs="Times New Roman"/>
                <w:noProof/>
                <w:sz w:val="16"/>
                <w:szCs w:val="16"/>
              </w:rPr>
            </w:pPr>
          </w:p>
        </w:tc>
        <w:tc>
          <w:tcPr>
            <w:tcW w:w="328" w:type="pct"/>
          </w:tcPr>
          <w:p w14:paraId="3148D2C0" w14:textId="77777777" w:rsidR="006F3AE9" w:rsidRPr="00B44B19" w:rsidRDefault="006F3AE9"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469" w:type="pct"/>
          </w:tcPr>
          <w:p w14:paraId="51C9DDD3"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Specialusis</w:t>
            </w:r>
          </w:p>
        </w:tc>
        <w:tc>
          <w:tcPr>
            <w:tcW w:w="1172" w:type="pct"/>
          </w:tcPr>
          <w:p w14:paraId="484FCBD5" w14:textId="77777777" w:rsidR="006F3AE9" w:rsidRPr="00B44B19" w:rsidRDefault="006F3AE9" w:rsidP="00597086">
            <w:pPr>
              <w:tabs>
                <w:tab w:val="left" w:pos="7560"/>
              </w:tabs>
              <w:spacing w:after="0" w:line="240" w:lineRule="auto"/>
              <w:rPr>
                <w:rFonts w:cs="Times New Roman"/>
                <w:bCs/>
                <w:noProof/>
                <w:sz w:val="16"/>
                <w:szCs w:val="16"/>
              </w:rPr>
            </w:pPr>
            <w:r w:rsidRPr="00B44B19">
              <w:rPr>
                <w:rFonts w:cs="Times New Roman"/>
                <w:bCs/>
                <w:noProof/>
                <w:sz w:val="16"/>
                <w:szCs w:val="16"/>
              </w:rPr>
              <w:t>GMP skubių įvykdytų iškvietimų paslaugų, suteiktų per 15 min. (mieste), dalis</w:t>
            </w:r>
          </w:p>
        </w:tc>
        <w:tc>
          <w:tcPr>
            <w:tcW w:w="328" w:type="pct"/>
          </w:tcPr>
          <w:p w14:paraId="384B7E99" w14:textId="77777777" w:rsidR="006F3AE9" w:rsidRPr="00B44B19" w:rsidRDefault="006F3AE9" w:rsidP="004F7750">
            <w:pPr>
              <w:spacing w:after="0" w:line="240" w:lineRule="auto"/>
              <w:rPr>
                <w:rFonts w:cs="Times New Roman"/>
                <w:bCs/>
                <w:noProof/>
                <w:sz w:val="16"/>
                <w:szCs w:val="16"/>
              </w:rPr>
            </w:pPr>
            <w:r w:rsidRPr="00B44B19">
              <w:rPr>
                <w:rFonts w:cs="Times New Roman"/>
                <w:bCs/>
                <w:noProof/>
                <w:sz w:val="16"/>
                <w:szCs w:val="16"/>
              </w:rPr>
              <w:t>Procenta</w:t>
            </w:r>
            <w:r w:rsidR="00DA61A6" w:rsidRPr="00B44B19">
              <w:rPr>
                <w:rFonts w:cs="Times New Roman"/>
                <w:bCs/>
                <w:noProof/>
                <w:sz w:val="16"/>
                <w:szCs w:val="16"/>
              </w:rPr>
              <w:t>i</w:t>
            </w:r>
          </w:p>
        </w:tc>
        <w:tc>
          <w:tcPr>
            <w:tcW w:w="328" w:type="pct"/>
          </w:tcPr>
          <w:p w14:paraId="434493B7" w14:textId="77777777" w:rsidR="006F3AE9" w:rsidRPr="00B44B19" w:rsidRDefault="006F3AE9" w:rsidP="00390851">
            <w:pPr>
              <w:spacing w:after="0" w:line="240" w:lineRule="auto"/>
              <w:jc w:val="center"/>
              <w:rPr>
                <w:rFonts w:cs="Times New Roman"/>
                <w:noProof/>
                <w:sz w:val="16"/>
                <w:szCs w:val="16"/>
              </w:rPr>
            </w:pPr>
            <w:r w:rsidRPr="00B44B19">
              <w:rPr>
                <w:rFonts w:cs="Times New Roman"/>
                <w:noProof/>
                <w:sz w:val="16"/>
                <w:szCs w:val="16"/>
              </w:rPr>
              <w:t xml:space="preserve">91,4 </w:t>
            </w:r>
          </w:p>
        </w:tc>
        <w:tc>
          <w:tcPr>
            <w:tcW w:w="375" w:type="pct"/>
          </w:tcPr>
          <w:p w14:paraId="38E3AF0B"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11BF117D"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98</w:t>
            </w:r>
          </w:p>
        </w:tc>
        <w:tc>
          <w:tcPr>
            <w:tcW w:w="328" w:type="pct"/>
          </w:tcPr>
          <w:p w14:paraId="6A0EAFBD" w14:textId="77777777" w:rsidR="006F3AE9" w:rsidRPr="00B44B19" w:rsidRDefault="006F3AE9" w:rsidP="004F7750">
            <w:pPr>
              <w:spacing w:after="0" w:line="240" w:lineRule="auto"/>
              <w:jc w:val="both"/>
              <w:rPr>
                <w:rFonts w:cs="Times New Roman"/>
                <w:b/>
                <w:noProof/>
                <w:sz w:val="16"/>
                <w:szCs w:val="16"/>
              </w:rPr>
            </w:pPr>
            <w:r w:rsidRPr="00B44B19">
              <w:rPr>
                <w:rFonts w:cs="Times New Roman"/>
                <w:bCs/>
                <w:noProof/>
                <w:sz w:val="16"/>
                <w:szCs w:val="16"/>
              </w:rPr>
              <w:t>Valstybinė</w:t>
            </w:r>
            <w:r w:rsidRPr="00B44B19">
              <w:rPr>
                <w:rFonts w:cs="Times New Roman"/>
                <w:b/>
                <w:noProof/>
                <w:sz w:val="16"/>
                <w:szCs w:val="16"/>
              </w:rPr>
              <w:t xml:space="preserve"> </w:t>
            </w:r>
            <w:r w:rsidRPr="00B44B19">
              <w:rPr>
                <w:rFonts w:cs="Times New Roman"/>
                <w:bCs/>
                <w:noProof/>
                <w:sz w:val="16"/>
                <w:szCs w:val="16"/>
              </w:rPr>
              <w:t>ligonių</w:t>
            </w:r>
            <w:r w:rsidRPr="00B44B19">
              <w:rPr>
                <w:rFonts w:cs="Times New Roman"/>
                <w:b/>
                <w:noProof/>
                <w:sz w:val="16"/>
                <w:szCs w:val="16"/>
              </w:rPr>
              <w:t xml:space="preserve"> </w:t>
            </w:r>
            <w:r w:rsidRPr="00B44B19">
              <w:rPr>
                <w:rFonts w:cs="Times New Roman"/>
                <w:bCs/>
                <w:noProof/>
                <w:sz w:val="16"/>
                <w:szCs w:val="16"/>
              </w:rPr>
              <w:t>kasa</w:t>
            </w:r>
          </w:p>
        </w:tc>
        <w:tc>
          <w:tcPr>
            <w:tcW w:w="370" w:type="pct"/>
          </w:tcPr>
          <w:p w14:paraId="5078E2DD" w14:textId="77777777" w:rsidR="006F3AE9" w:rsidRPr="00B44B19" w:rsidRDefault="006F3AE9" w:rsidP="004F7750">
            <w:pPr>
              <w:spacing w:after="0" w:line="240" w:lineRule="auto"/>
              <w:jc w:val="both"/>
              <w:rPr>
                <w:rFonts w:cs="Times New Roman"/>
                <w:b/>
                <w:noProof/>
                <w:sz w:val="16"/>
                <w:szCs w:val="16"/>
              </w:rPr>
            </w:pPr>
          </w:p>
        </w:tc>
      </w:tr>
      <w:tr w:rsidR="006F3AE9" w:rsidRPr="00B44B19" w14:paraId="6B3FB5C0" w14:textId="77777777" w:rsidTr="0002743E">
        <w:trPr>
          <w:trHeight w:val="547"/>
        </w:trPr>
        <w:tc>
          <w:tcPr>
            <w:tcW w:w="364" w:type="pct"/>
            <w:vMerge/>
          </w:tcPr>
          <w:p w14:paraId="5C57A4C4" w14:textId="77777777" w:rsidR="006F3AE9" w:rsidRPr="00B44B19" w:rsidRDefault="006F3AE9" w:rsidP="004F7750">
            <w:pPr>
              <w:spacing w:after="0" w:line="240" w:lineRule="auto"/>
              <w:jc w:val="both"/>
              <w:rPr>
                <w:rFonts w:cs="Times New Roman"/>
                <w:noProof/>
                <w:sz w:val="16"/>
                <w:szCs w:val="16"/>
              </w:rPr>
            </w:pPr>
          </w:p>
        </w:tc>
        <w:tc>
          <w:tcPr>
            <w:tcW w:w="328" w:type="pct"/>
            <w:vMerge/>
          </w:tcPr>
          <w:p w14:paraId="2958D8CF" w14:textId="77777777" w:rsidR="006F3AE9" w:rsidRPr="00B44B19" w:rsidRDefault="006F3AE9" w:rsidP="004F7750">
            <w:pPr>
              <w:spacing w:after="0" w:line="240" w:lineRule="auto"/>
              <w:jc w:val="both"/>
              <w:rPr>
                <w:rFonts w:cs="Times New Roman"/>
                <w:noProof/>
                <w:sz w:val="16"/>
                <w:szCs w:val="16"/>
              </w:rPr>
            </w:pPr>
          </w:p>
        </w:tc>
        <w:tc>
          <w:tcPr>
            <w:tcW w:w="282" w:type="pct"/>
            <w:vMerge/>
          </w:tcPr>
          <w:p w14:paraId="50823C5D" w14:textId="77777777" w:rsidR="006F3AE9" w:rsidRPr="00B44B19" w:rsidRDefault="006F3AE9" w:rsidP="004F7750">
            <w:pPr>
              <w:spacing w:after="0" w:line="240" w:lineRule="auto"/>
              <w:jc w:val="both"/>
              <w:rPr>
                <w:rFonts w:cs="Times New Roman"/>
                <w:noProof/>
                <w:sz w:val="16"/>
                <w:szCs w:val="16"/>
              </w:rPr>
            </w:pPr>
          </w:p>
        </w:tc>
        <w:tc>
          <w:tcPr>
            <w:tcW w:w="328" w:type="pct"/>
          </w:tcPr>
          <w:p w14:paraId="2F529A59" w14:textId="77777777" w:rsidR="006F3AE9" w:rsidRPr="00B44B19" w:rsidRDefault="006F3AE9" w:rsidP="004F7750">
            <w:pPr>
              <w:spacing w:after="0" w:line="240" w:lineRule="auto"/>
              <w:jc w:val="both"/>
              <w:rPr>
                <w:rFonts w:cs="Times New Roman"/>
                <w:noProof/>
                <w:sz w:val="16"/>
                <w:szCs w:val="16"/>
              </w:rPr>
            </w:pPr>
            <w:r w:rsidRPr="00B44B19">
              <w:rPr>
                <w:rFonts w:cs="Times New Roman"/>
                <w:noProof/>
                <w:sz w:val="16"/>
                <w:szCs w:val="16"/>
              </w:rPr>
              <w:t>VVL regionas</w:t>
            </w:r>
          </w:p>
        </w:tc>
        <w:tc>
          <w:tcPr>
            <w:tcW w:w="469" w:type="pct"/>
          </w:tcPr>
          <w:p w14:paraId="0EF804A7"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Specialusis</w:t>
            </w:r>
          </w:p>
        </w:tc>
        <w:tc>
          <w:tcPr>
            <w:tcW w:w="1172" w:type="pct"/>
          </w:tcPr>
          <w:p w14:paraId="5BD7369C" w14:textId="77777777" w:rsidR="006F3AE9" w:rsidRPr="00B44B19" w:rsidRDefault="006F3AE9" w:rsidP="00597086">
            <w:pPr>
              <w:tabs>
                <w:tab w:val="left" w:pos="7560"/>
              </w:tabs>
              <w:spacing w:after="0" w:line="240" w:lineRule="auto"/>
              <w:rPr>
                <w:rFonts w:cs="Times New Roman"/>
                <w:bCs/>
                <w:noProof/>
                <w:sz w:val="16"/>
                <w:szCs w:val="16"/>
              </w:rPr>
            </w:pPr>
            <w:r w:rsidRPr="00B44B19">
              <w:rPr>
                <w:rFonts w:cs="Times New Roman"/>
                <w:bCs/>
                <w:noProof/>
                <w:sz w:val="16"/>
                <w:szCs w:val="16"/>
              </w:rPr>
              <w:t>GMP skubių įvykdytų iškvietimų paslaugų suteiktų per 25 min. (kaime), dalis</w:t>
            </w:r>
          </w:p>
        </w:tc>
        <w:tc>
          <w:tcPr>
            <w:tcW w:w="328" w:type="pct"/>
          </w:tcPr>
          <w:p w14:paraId="6A56E47F" w14:textId="77777777" w:rsidR="006F3AE9" w:rsidRPr="00B44B19" w:rsidRDefault="006F3AE9" w:rsidP="004F7750">
            <w:pPr>
              <w:spacing w:after="0" w:line="240" w:lineRule="auto"/>
              <w:rPr>
                <w:rFonts w:cs="Times New Roman"/>
                <w:bCs/>
                <w:noProof/>
                <w:sz w:val="16"/>
                <w:szCs w:val="16"/>
              </w:rPr>
            </w:pPr>
            <w:r w:rsidRPr="00B44B19">
              <w:rPr>
                <w:rFonts w:cs="Times New Roman"/>
                <w:bCs/>
                <w:noProof/>
                <w:sz w:val="16"/>
                <w:szCs w:val="16"/>
              </w:rPr>
              <w:t>Procenta</w:t>
            </w:r>
            <w:r w:rsidR="00DA61A6" w:rsidRPr="00B44B19">
              <w:rPr>
                <w:rFonts w:cs="Times New Roman"/>
                <w:bCs/>
                <w:noProof/>
                <w:sz w:val="16"/>
                <w:szCs w:val="16"/>
              </w:rPr>
              <w:t>i</w:t>
            </w:r>
          </w:p>
        </w:tc>
        <w:tc>
          <w:tcPr>
            <w:tcW w:w="328" w:type="pct"/>
          </w:tcPr>
          <w:p w14:paraId="2288D692"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81,6</w:t>
            </w:r>
          </w:p>
        </w:tc>
        <w:tc>
          <w:tcPr>
            <w:tcW w:w="375" w:type="pct"/>
          </w:tcPr>
          <w:p w14:paraId="769C713B"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6AB0EE99" w14:textId="77777777" w:rsidR="006F3AE9" w:rsidRPr="00B44B19" w:rsidRDefault="006F3AE9" w:rsidP="004F7750">
            <w:pPr>
              <w:spacing w:after="0" w:line="240" w:lineRule="auto"/>
              <w:jc w:val="center"/>
              <w:rPr>
                <w:rFonts w:cs="Times New Roman"/>
                <w:noProof/>
                <w:sz w:val="16"/>
                <w:szCs w:val="16"/>
              </w:rPr>
            </w:pPr>
            <w:r w:rsidRPr="00B44B19">
              <w:rPr>
                <w:rFonts w:cs="Times New Roman"/>
                <w:noProof/>
                <w:sz w:val="16"/>
                <w:szCs w:val="16"/>
              </w:rPr>
              <w:t>98</w:t>
            </w:r>
          </w:p>
        </w:tc>
        <w:tc>
          <w:tcPr>
            <w:tcW w:w="328" w:type="pct"/>
          </w:tcPr>
          <w:p w14:paraId="20BE61B0" w14:textId="77777777" w:rsidR="006F3AE9" w:rsidRPr="00B44B19" w:rsidRDefault="006F3AE9" w:rsidP="004F7750">
            <w:pPr>
              <w:spacing w:after="0" w:line="240" w:lineRule="auto"/>
              <w:jc w:val="both"/>
              <w:rPr>
                <w:rFonts w:cs="Times New Roman"/>
                <w:bCs/>
                <w:noProof/>
                <w:sz w:val="16"/>
                <w:szCs w:val="16"/>
              </w:rPr>
            </w:pPr>
            <w:r w:rsidRPr="00B44B19">
              <w:rPr>
                <w:rFonts w:cs="Times New Roman"/>
                <w:bCs/>
                <w:noProof/>
                <w:sz w:val="16"/>
                <w:szCs w:val="16"/>
              </w:rPr>
              <w:t>Valstybinė</w:t>
            </w:r>
            <w:r w:rsidRPr="00B44B19">
              <w:rPr>
                <w:rFonts w:cs="Times New Roman"/>
                <w:b/>
                <w:noProof/>
                <w:sz w:val="16"/>
                <w:szCs w:val="16"/>
              </w:rPr>
              <w:t xml:space="preserve"> </w:t>
            </w:r>
            <w:r w:rsidRPr="00B44B19">
              <w:rPr>
                <w:rFonts w:cs="Times New Roman"/>
                <w:bCs/>
                <w:noProof/>
                <w:sz w:val="16"/>
                <w:szCs w:val="16"/>
              </w:rPr>
              <w:t>ligonių</w:t>
            </w:r>
            <w:r w:rsidRPr="00B44B19">
              <w:rPr>
                <w:rFonts w:cs="Times New Roman"/>
                <w:b/>
                <w:noProof/>
                <w:sz w:val="16"/>
                <w:szCs w:val="16"/>
              </w:rPr>
              <w:t xml:space="preserve"> </w:t>
            </w:r>
            <w:r w:rsidRPr="00B44B19">
              <w:rPr>
                <w:rFonts w:cs="Times New Roman"/>
                <w:bCs/>
                <w:noProof/>
                <w:sz w:val="16"/>
                <w:szCs w:val="16"/>
              </w:rPr>
              <w:t>kasa</w:t>
            </w:r>
          </w:p>
        </w:tc>
        <w:tc>
          <w:tcPr>
            <w:tcW w:w="370" w:type="pct"/>
          </w:tcPr>
          <w:p w14:paraId="42B66B50" w14:textId="77777777" w:rsidR="006F3AE9" w:rsidRPr="00B44B19" w:rsidRDefault="006F3AE9" w:rsidP="004F7750">
            <w:pPr>
              <w:spacing w:after="0" w:line="240" w:lineRule="auto"/>
              <w:jc w:val="both"/>
              <w:rPr>
                <w:rFonts w:cs="Times New Roman"/>
                <w:b/>
                <w:noProof/>
                <w:sz w:val="16"/>
                <w:szCs w:val="16"/>
              </w:rPr>
            </w:pPr>
          </w:p>
        </w:tc>
      </w:tr>
      <w:tr w:rsidR="004879AE" w:rsidRPr="00B44B19" w14:paraId="55A062BD" w14:textId="77777777" w:rsidTr="0002743E">
        <w:trPr>
          <w:trHeight w:val="555"/>
        </w:trPr>
        <w:tc>
          <w:tcPr>
            <w:tcW w:w="364" w:type="pct"/>
            <w:vMerge/>
          </w:tcPr>
          <w:p w14:paraId="11DEBD8A" w14:textId="77777777" w:rsidR="004879AE" w:rsidRPr="00B44B19" w:rsidRDefault="004879AE" w:rsidP="004879AE">
            <w:pPr>
              <w:spacing w:after="0" w:line="240" w:lineRule="auto"/>
              <w:jc w:val="both"/>
              <w:rPr>
                <w:rFonts w:cs="Times New Roman"/>
                <w:noProof/>
                <w:sz w:val="16"/>
                <w:szCs w:val="16"/>
              </w:rPr>
            </w:pPr>
          </w:p>
        </w:tc>
        <w:tc>
          <w:tcPr>
            <w:tcW w:w="328" w:type="pct"/>
            <w:vMerge/>
          </w:tcPr>
          <w:p w14:paraId="291A20F0" w14:textId="77777777" w:rsidR="004879AE" w:rsidRPr="00B44B19" w:rsidRDefault="004879AE" w:rsidP="004879AE">
            <w:pPr>
              <w:spacing w:after="0" w:line="240" w:lineRule="auto"/>
              <w:jc w:val="both"/>
              <w:rPr>
                <w:rFonts w:cs="Times New Roman"/>
                <w:noProof/>
                <w:sz w:val="16"/>
                <w:szCs w:val="16"/>
              </w:rPr>
            </w:pPr>
          </w:p>
        </w:tc>
        <w:tc>
          <w:tcPr>
            <w:tcW w:w="282" w:type="pct"/>
            <w:vMerge/>
          </w:tcPr>
          <w:p w14:paraId="6A6E6DCD" w14:textId="77777777" w:rsidR="004879AE" w:rsidRPr="00B44B19" w:rsidRDefault="004879AE" w:rsidP="004879AE">
            <w:pPr>
              <w:spacing w:after="0" w:line="240" w:lineRule="auto"/>
              <w:jc w:val="both"/>
              <w:rPr>
                <w:rFonts w:cs="Times New Roman"/>
                <w:noProof/>
                <w:sz w:val="16"/>
                <w:szCs w:val="16"/>
              </w:rPr>
            </w:pPr>
          </w:p>
        </w:tc>
        <w:tc>
          <w:tcPr>
            <w:tcW w:w="328" w:type="pct"/>
          </w:tcPr>
          <w:p w14:paraId="297750C7" w14:textId="2ABF059C" w:rsidR="004879AE" w:rsidRPr="00B44B19" w:rsidRDefault="004879AE" w:rsidP="004879AE">
            <w:pPr>
              <w:spacing w:after="0" w:line="240" w:lineRule="auto"/>
              <w:jc w:val="both"/>
              <w:rPr>
                <w:rFonts w:cs="Times New Roman"/>
                <w:noProof/>
                <w:color w:val="000000" w:themeColor="text1"/>
                <w:sz w:val="16"/>
                <w:szCs w:val="16"/>
              </w:rPr>
            </w:pPr>
            <w:r w:rsidRPr="00B44B19">
              <w:rPr>
                <w:rFonts w:cs="Times New Roman"/>
                <w:noProof/>
                <w:color w:val="000000" w:themeColor="text1"/>
                <w:sz w:val="16"/>
                <w:szCs w:val="16"/>
              </w:rPr>
              <w:t>Sostinės regionas</w:t>
            </w:r>
          </w:p>
        </w:tc>
        <w:tc>
          <w:tcPr>
            <w:tcW w:w="469" w:type="pct"/>
          </w:tcPr>
          <w:p w14:paraId="6162AD12" w14:textId="7D470058" w:rsidR="004879AE" w:rsidRPr="00B44B19" w:rsidRDefault="004879AE" w:rsidP="004879AE">
            <w:pPr>
              <w:spacing w:after="0" w:line="240" w:lineRule="auto"/>
              <w:jc w:val="both"/>
              <w:rPr>
                <w:rFonts w:cs="Times New Roman"/>
                <w:noProof/>
                <w:color w:val="000000" w:themeColor="text1"/>
                <w:sz w:val="16"/>
                <w:szCs w:val="16"/>
              </w:rPr>
            </w:pPr>
            <w:r w:rsidRPr="00B44B19">
              <w:rPr>
                <w:rFonts w:cs="Times New Roman"/>
                <w:noProof/>
                <w:color w:val="000000" w:themeColor="text1"/>
                <w:sz w:val="16"/>
                <w:szCs w:val="16"/>
              </w:rPr>
              <w:t>RCR72</w:t>
            </w:r>
          </w:p>
        </w:tc>
        <w:tc>
          <w:tcPr>
            <w:tcW w:w="1172" w:type="pct"/>
          </w:tcPr>
          <w:p w14:paraId="27E52588" w14:textId="77777777" w:rsidR="004879AE" w:rsidRPr="00B44B19" w:rsidRDefault="004879AE" w:rsidP="004879AE">
            <w:pPr>
              <w:tabs>
                <w:tab w:val="left" w:pos="7560"/>
              </w:tabs>
              <w:spacing w:after="0" w:line="240" w:lineRule="auto"/>
              <w:rPr>
                <w:rFonts w:cs="Times New Roman"/>
                <w:noProof/>
                <w:color w:val="000000" w:themeColor="text1"/>
                <w:sz w:val="16"/>
                <w:szCs w:val="16"/>
              </w:rPr>
            </w:pPr>
            <w:r w:rsidRPr="00B44B19">
              <w:rPr>
                <w:rFonts w:cs="Times New Roman"/>
                <w:noProof/>
                <w:color w:val="000000" w:themeColor="text1"/>
                <w:sz w:val="16"/>
                <w:szCs w:val="16"/>
              </w:rPr>
              <w:t>Naujų arba modernizuotų e. sveikatos priežiūros</w:t>
            </w:r>
          </w:p>
          <w:p w14:paraId="21967005" w14:textId="1CDDAC19" w:rsidR="004879AE" w:rsidRPr="00B44B19" w:rsidRDefault="004879AE" w:rsidP="004879AE">
            <w:pPr>
              <w:tabs>
                <w:tab w:val="left" w:pos="7560"/>
              </w:tabs>
              <w:spacing w:after="0" w:line="240" w:lineRule="auto"/>
              <w:rPr>
                <w:rFonts w:cs="Times New Roman"/>
                <w:noProof/>
                <w:color w:val="000000" w:themeColor="text1"/>
                <w:sz w:val="16"/>
                <w:szCs w:val="16"/>
              </w:rPr>
            </w:pPr>
            <w:r w:rsidRPr="00B44B19">
              <w:rPr>
                <w:rFonts w:cs="Times New Roman"/>
                <w:noProof/>
                <w:color w:val="000000" w:themeColor="text1"/>
                <w:sz w:val="16"/>
                <w:szCs w:val="16"/>
              </w:rPr>
              <w:t>paslaugų naudotojų skaičius per metus</w:t>
            </w:r>
          </w:p>
        </w:tc>
        <w:tc>
          <w:tcPr>
            <w:tcW w:w="328" w:type="pct"/>
          </w:tcPr>
          <w:p w14:paraId="2354398C" w14:textId="7F1FFED0" w:rsidR="004879AE" w:rsidRPr="00B44B19" w:rsidRDefault="004879AE" w:rsidP="004879AE">
            <w:pPr>
              <w:spacing w:after="0" w:line="240" w:lineRule="auto"/>
              <w:rPr>
                <w:rFonts w:cs="Times New Roman"/>
                <w:noProof/>
                <w:color w:val="000000" w:themeColor="text1"/>
                <w:sz w:val="16"/>
                <w:szCs w:val="16"/>
              </w:rPr>
            </w:pPr>
            <w:r w:rsidRPr="00B44B19">
              <w:rPr>
                <w:rFonts w:cs="Times New Roman"/>
                <w:noProof/>
                <w:color w:val="000000" w:themeColor="text1"/>
                <w:sz w:val="16"/>
                <w:szCs w:val="16"/>
              </w:rPr>
              <w:t>Naudotojai per metus</w:t>
            </w:r>
          </w:p>
        </w:tc>
        <w:tc>
          <w:tcPr>
            <w:tcW w:w="328" w:type="pct"/>
          </w:tcPr>
          <w:p w14:paraId="71307F81" w14:textId="097F7990" w:rsidR="004879AE" w:rsidRPr="00B44B19" w:rsidRDefault="004879AE" w:rsidP="004879AE">
            <w:pPr>
              <w:spacing w:after="0" w:line="240" w:lineRule="auto"/>
              <w:jc w:val="center"/>
              <w:rPr>
                <w:rFonts w:cs="Times New Roman"/>
                <w:noProof/>
                <w:color w:val="000000" w:themeColor="text1"/>
                <w:sz w:val="16"/>
                <w:szCs w:val="16"/>
              </w:rPr>
            </w:pPr>
            <w:r w:rsidRPr="00B44B19">
              <w:rPr>
                <w:rFonts w:cs="Times New Roman"/>
                <w:color w:val="000000" w:themeColor="text1"/>
                <w:sz w:val="16"/>
                <w:szCs w:val="16"/>
              </w:rPr>
              <w:t>0</w:t>
            </w:r>
          </w:p>
        </w:tc>
        <w:tc>
          <w:tcPr>
            <w:tcW w:w="375" w:type="pct"/>
          </w:tcPr>
          <w:p w14:paraId="6C987B49" w14:textId="7A67307F" w:rsidR="004879AE" w:rsidRPr="00B44B19" w:rsidRDefault="004879AE" w:rsidP="004879AE">
            <w:pPr>
              <w:spacing w:after="0" w:line="240" w:lineRule="auto"/>
              <w:jc w:val="center"/>
              <w:rPr>
                <w:rFonts w:cs="Times New Roman"/>
                <w:noProof/>
                <w:color w:val="000000" w:themeColor="text1"/>
                <w:sz w:val="16"/>
                <w:szCs w:val="16"/>
              </w:rPr>
            </w:pPr>
            <w:r w:rsidRPr="00B44B19">
              <w:rPr>
                <w:rFonts w:cs="Times New Roman"/>
                <w:color w:val="000000" w:themeColor="text1"/>
                <w:sz w:val="16"/>
                <w:szCs w:val="16"/>
              </w:rPr>
              <w:t>2024</w:t>
            </w:r>
          </w:p>
        </w:tc>
        <w:tc>
          <w:tcPr>
            <w:tcW w:w="328" w:type="pct"/>
          </w:tcPr>
          <w:p w14:paraId="30BE9070" w14:textId="63BC7843" w:rsidR="004879AE" w:rsidRPr="00B44B19" w:rsidRDefault="004879AE" w:rsidP="004879AE">
            <w:pPr>
              <w:spacing w:after="0" w:line="240" w:lineRule="auto"/>
              <w:jc w:val="center"/>
              <w:rPr>
                <w:rFonts w:cs="Times New Roman"/>
                <w:noProof/>
                <w:color w:val="000000" w:themeColor="text1"/>
                <w:sz w:val="16"/>
                <w:szCs w:val="16"/>
              </w:rPr>
            </w:pPr>
            <w:r w:rsidRPr="00B44B19">
              <w:rPr>
                <w:rFonts w:cs="Times New Roman"/>
                <w:color w:val="000000" w:themeColor="text1"/>
                <w:sz w:val="16"/>
                <w:szCs w:val="16"/>
              </w:rPr>
              <w:t>400 000</w:t>
            </w:r>
          </w:p>
        </w:tc>
        <w:tc>
          <w:tcPr>
            <w:tcW w:w="328" w:type="pct"/>
          </w:tcPr>
          <w:p w14:paraId="19B7E857" w14:textId="505E938E" w:rsidR="004879AE" w:rsidRPr="00B44B19" w:rsidRDefault="004879AE" w:rsidP="004879AE">
            <w:pPr>
              <w:spacing w:after="0" w:line="240" w:lineRule="auto"/>
              <w:jc w:val="both"/>
              <w:rPr>
                <w:rFonts w:cs="Times New Roman"/>
                <w:noProof/>
                <w:color w:val="000000" w:themeColor="text1"/>
                <w:sz w:val="16"/>
                <w:szCs w:val="16"/>
              </w:rPr>
            </w:pPr>
            <w:r w:rsidRPr="00B44B19">
              <w:rPr>
                <w:rFonts w:cs="Times New Roman"/>
                <w:noProof/>
                <w:color w:val="000000" w:themeColor="text1"/>
                <w:sz w:val="16"/>
                <w:szCs w:val="16"/>
              </w:rPr>
              <w:t>Projektų duomenys</w:t>
            </w:r>
          </w:p>
        </w:tc>
        <w:tc>
          <w:tcPr>
            <w:tcW w:w="370" w:type="pct"/>
          </w:tcPr>
          <w:p w14:paraId="3F59084E" w14:textId="77777777" w:rsidR="004879AE" w:rsidRPr="00B44B19" w:rsidRDefault="004879AE" w:rsidP="004879AE">
            <w:pPr>
              <w:spacing w:after="0" w:line="240" w:lineRule="auto"/>
              <w:jc w:val="both"/>
              <w:rPr>
                <w:rFonts w:cs="Times New Roman"/>
                <w:b/>
                <w:noProof/>
                <w:sz w:val="16"/>
                <w:szCs w:val="16"/>
              </w:rPr>
            </w:pPr>
          </w:p>
        </w:tc>
      </w:tr>
      <w:tr w:rsidR="004879AE" w:rsidRPr="00B44B19" w14:paraId="28279471" w14:textId="77777777" w:rsidTr="0002743E">
        <w:trPr>
          <w:trHeight w:val="555"/>
        </w:trPr>
        <w:tc>
          <w:tcPr>
            <w:tcW w:w="364" w:type="pct"/>
            <w:vMerge/>
          </w:tcPr>
          <w:p w14:paraId="6968A61E" w14:textId="77777777" w:rsidR="004879AE" w:rsidRPr="00B44B19" w:rsidRDefault="004879AE" w:rsidP="004879AE">
            <w:pPr>
              <w:spacing w:after="0" w:line="240" w:lineRule="auto"/>
              <w:jc w:val="both"/>
              <w:rPr>
                <w:rFonts w:cs="Times New Roman"/>
                <w:noProof/>
                <w:sz w:val="16"/>
                <w:szCs w:val="16"/>
              </w:rPr>
            </w:pPr>
          </w:p>
        </w:tc>
        <w:tc>
          <w:tcPr>
            <w:tcW w:w="328" w:type="pct"/>
            <w:vMerge/>
          </w:tcPr>
          <w:p w14:paraId="6EB9C874" w14:textId="77777777" w:rsidR="004879AE" w:rsidRPr="00B44B19" w:rsidRDefault="004879AE" w:rsidP="004879AE">
            <w:pPr>
              <w:spacing w:after="0" w:line="240" w:lineRule="auto"/>
              <w:jc w:val="both"/>
              <w:rPr>
                <w:rFonts w:cs="Times New Roman"/>
                <w:noProof/>
                <w:sz w:val="16"/>
                <w:szCs w:val="16"/>
              </w:rPr>
            </w:pPr>
          </w:p>
        </w:tc>
        <w:tc>
          <w:tcPr>
            <w:tcW w:w="282" w:type="pct"/>
            <w:vMerge/>
          </w:tcPr>
          <w:p w14:paraId="684BF822" w14:textId="77777777" w:rsidR="004879AE" w:rsidRPr="00B44B19" w:rsidRDefault="004879AE" w:rsidP="004879AE">
            <w:pPr>
              <w:spacing w:after="0" w:line="240" w:lineRule="auto"/>
              <w:jc w:val="both"/>
              <w:rPr>
                <w:rFonts w:cs="Times New Roman"/>
                <w:noProof/>
                <w:sz w:val="16"/>
                <w:szCs w:val="16"/>
              </w:rPr>
            </w:pPr>
          </w:p>
        </w:tc>
        <w:tc>
          <w:tcPr>
            <w:tcW w:w="328" w:type="pct"/>
          </w:tcPr>
          <w:p w14:paraId="457B2311" w14:textId="574F9A08" w:rsidR="004879AE" w:rsidRPr="00B44B19" w:rsidRDefault="004879AE" w:rsidP="004879AE">
            <w:pPr>
              <w:spacing w:after="0" w:line="240" w:lineRule="auto"/>
              <w:jc w:val="both"/>
              <w:rPr>
                <w:rFonts w:cs="Times New Roman"/>
                <w:noProof/>
                <w:color w:val="000000" w:themeColor="text1"/>
                <w:sz w:val="16"/>
                <w:szCs w:val="16"/>
              </w:rPr>
            </w:pPr>
            <w:r w:rsidRPr="00B44B19">
              <w:rPr>
                <w:rFonts w:cs="Times New Roman"/>
                <w:noProof/>
                <w:color w:val="000000" w:themeColor="text1"/>
                <w:sz w:val="16"/>
                <w:szCs w:val="16"/>
              </w:rPr>
              <w:t>VVL regionas</w:t>
            </w:r>
          </w:p>
        </w:tc>
        <w:tc>
          <w:tcPr>
            <w:tcW w:w="469" w:type="pct"/>
          </w:tcPr>
          <w:p w14:paraId="1FFD208A" w14:textId="23D510E1" w:rsidR="004879AE" w:rsidRPr="00B44B19" w:rsidRDefault="004879AE" w:rsidP="004879AE">
            <w:pPr>
              <w:spacing w:after="0" w:line="240" w:lineRule="auto"/>
              <w:jc w:val="both"/>
              <w:rPr>
                <w:rFonts w:cs="Times New Roman"/>
                <w:noProof/>
                <w:color w:val="000000" w:themeColor="text1"/>
                <w:sz w:val="16"/>
                <w:szCs w:val="16"/>
              </w:rPr>
            </w:pPr>
            <w:r w:rsidRPr="00B44B19">
              <w:rPr>
                <w:rFonts w:cs="Times New Roman"/>
                <w:noProof/>
                <w:color w:val="000000" w:themeColor="text1"/>
                <w:sz w:val="16"/>
                <w:szCs w:val="16"/>
              </w:rPr>
              <w:t>RCR72</w:t>
            </w:r>
          </w:p>
        </w:tc>
        <w:tc>
          <w:tcPr>
            <w:tcW w:w="1172" w:type="pct"/>
          </w:tcPr>
          <w:p w14:paraId="3FF557C3" w14:textId="77777777" w:rsidR="004879AE" w:rsidRPr="00B44B19" w:rsidRDefault="004879AE" w:rsidP="004879AE">
            <w:pPr>
              <w:tabs>
                <w:tab w:val="left" w:pos="7560"/>
              </w:tabs>
              <w:spacing w:after="0" w:line="240" w:lineRule="auto"/>
              <w:rPr>
                <w:rFonts w:cs="Times New Roman"/>
                <w:noProof/>
                <w:color w:val="000000" w:themeColor="text1"/>
                <w:sz w:val="16"/>
                <w:szCs w:val="16"/>
              </w:rPr>
            </w:pPr>
            <w:r w:rsidRPr="00B44B19">
              <w:rPr>
                <w:rFonts w:cs="Times New Roman"/>
                <w:noProof/>
                <w:color w:val="000000" w:themeColor="text1"/>
                <w:sz w:val="16"/>
                <w:szCs w:val="16"/>
              </w:rPr>
              <w:t>Naujų arba modernizuotų e. sveikatos priežiūros</w:t>
            </w:r>
          </w:p>
          <w:p w14:paraId="4CD60E0C" w14:textId="4234AD61" w:rsidR="004879AE" w:rsidRPr="00B44B19" w:rsidRDefault="004879AE" w:rsidP="004879AE">
            <w:pPr>
              <w:tabs>
                <w:tab w:val="left" w:pos="7560"/>
              </w:tabs>
              <w:spacing w:after="0" w:line="240" w:lineRule="auto"/>
              <w:rPr>
                <w:rFonts w:cs="Times New Roman"/>
                <w:noProof/>
                <w:color w:val="000000" w:themeColor="text1"/>
                <w:sz w:val="16"/>
                <w:szCs w:val="16"/>
              </w:rPr>
            </w:pPr>
            <w:r w:rsidRPr="00B44B19">
              <w:rPr>
                <w:rFonts w:cs="Times New Roman"/>
                <w:noProof/>
                <w:color w:val="000000" w:themeColor="text1"/>
                <w:sz w:val="16"/>
                <w:szCs w:val="16"/>
              </w:rPr>
              <w:t>paslaugų naudotojų skaičius per metus</w:t>
            </w:r>
          </w:p>
        </w:tc>
        <w:tc>
          <w:tcPr>
            <w:tcW w:w="328" w:type="pct"/>
          </w:tcPr>
          <w:p w14:paraId="4AE5B9E0" w14:textId="79EC3E66" w:rsidR="004879AE" w:rsidRPr="00B44B19" w:rsidRDefault="004879AE" w:rsidP="004879AE">
            <w:pPr>
              <w:spacing w:after="0" w:line="240" w:lineRule="auto"/>
              <w:rPr>
                <w:rFonts w:cs="Times New Roman"/>
                <w:noProof/>
                <w:color w:val="000000" w:themeColor="text1"/>
                <w:sz w:val="16"/>
                <w:szCs w:val="16"/>
              </w:rPr>
            </w:pPr>
            <w:r w:rsidRPr="00B44B19">
              <w:rPr>
                <w:rFonts w:cs="Times New Roman"/>
                <w:noProof/>
                <w:color w:val="000000" w:themeColor="text1"/>
                <w:sz w:val="16"/>
                <w:szCs w:val="16"/>
              </w:rPr>
              <w:t>Naudotojai per metus</w:t>
            </w:r>
          </w:p>
        </w:tc>
        <w:tc>
          <w:tcPr>
            <w:tcW w:w="328" w:type="pct"/>
          </w:tcPr>
          <w:p w14:paraId="6A18A635" w14:textId="7722B8ED" w:rsidR="004879AE" w:rsidRPr="00B44B19" w:rsidRDefault="004879AE" w:rsidP="004879AE">
            <w:pPr>
              <w:spacing w:after="0" w:line="240" w:lineRule="auto"/>
              <w:jc w:val="center"/>
              <w:rPr>
                <w:rFonts w:cs="Times New Roman"/>
                <w:noProof/>
                <w:color w:val="000000" w:themeColor="text1"/>
                <w:sz w:val="16"/>
                <w:szCs w:val="16"/>
              </w:rPr>
            </w:pPr>
            <w:r w:rsidRPr="00B44B19">
              <w:rPr>
                <w:rFonts w:cs="Times New Roman"/>
                <w:color w:val="000000" w:themeColor="text1"/>
                <w:sz w:val="16"/>
                <w:szCs w:val="16"/>
              </w:rPr>
              <w:t>0</w:t>
            </w:r>
          </w:p>
        </w:tc>
        <w:tc>
          <w:tcPr>
            <w:tcW w:w="375" w:type="pct"/>
          </w:tcPr>
          <w:p w14:paraId="4EAD254E" w14:textId="0A1D4F44" w:rsidR="004879AE" w:rsidRPr="00B44B19" w:rsidRDefault="004879AE" w:rsidP="004879AE">
            <w:pPr>
              <w:spacing w:after="0" w:line="240" w:lineRule="auto"/>
              <w:jc w:val="center"/>
              <w:rPr>
                <w:rFonts w:cs="Times New Roman"/>
                <w:noProof/>
                <w:color w:val="000000" w:themeColor="text1"/>
                <w:sz w:val="16"/>
                <w:szCs w:val="16"/>
              </w:rPr>
            </w:pPr>
            <w:r w:rsidRPr="00B44B19">
              <w:rPr>
                <w:rFonts w:cs="Times New Roman"/>
                <w:color w:val="000000" w:themeColor="text1"/>
                <w:sz w:val="16"/>
                <w:szCs w:val="16"/>
              </w:rPr>
              <w:t>2024</w:t>
            </w:r>
          </w:p>
        </w:tc>
        <w:tc>
          <w:tcPr>
            <w:tcW w:w="328" w:type="pct"/>
          </w:tcPr>
          <w:p w14:paraId="637D0A4F" w14:textId="21769E39" w:rsidR="004879AE" w:rsidRPr="00B44B19" w:rsidRDefault="004879AE" w:rsidP="004879AE">
            <w:pPr>
              <w:spacing w:after="0" w:line="240" w:lineRule="auto"/>
              <w:jc w:val="center"/>
              <w:rPr>
                <w:rFonts w:cs="Times New Roman"/>
                <w:noProof/>
                <w:color w:val="000000" w:themeColor="text1"/>
                <w:sz w:val="16"/>
                <w:szCs w:val="16"/>
              </w:rPr>
            </w:pPr>
            <w:r w:rsidRPr="00B44B19">
              <w:rPr>
                <w:rFonts w:cs="Times New Roman"/>
                <w:color w:val="000000" w:themeColor="text1"/>
                <w:sz w:val="16"/>
                <w:szCs w:val="16"/>
              </w:rPr>
              <w:t>1 000 000</w:t>
            </w:r>
          </w:p>
        </w:tc>
        <w:tc>
          <w:tcPr>
            <w:tcW w:w="328" w:type="pct"/>
          </w:tcPr>
          <w:p w14:paraId="4F0164E5" w14:textId="5EA0C539" w:rsidR="004879AE" w:rsidRPr="00B44B19" w:rsidRDefault="004879AE" w:rsidP="004879AE">
            <w:pPr>
              <w:spacing w:after="0" w:line="240" w:lineRule="auto"/>
              <w:jc w:val="both"/>
              <w:rPr>
                <w:rFonts w:cs="Times New Roman"/>
                <w:noProof/>
                <w:color w:val="000000" w:themeColor="text1"/>
                <w:sz w:val="16"/>
                <w:szCs w:val="16"/>
              </w:rPr>
            </w:pPr>
            <w:r w:rsidRPr="00B44B19">
              <w:rPr>
                <w:rFonts w:cs="Times New Roman"/>
                <w:noProof/>
                <w:color w:val="000000" w:themeColor="text1"/>
                <w:sz w:val="16"/>
                <w:szCs w:val="16"/>
              </w:rPr>
              <w:t>Projektų duomenys</w:t>
            </w:r>
          </w:p>
        </w:tc>
        <w:tc>
          <w:tcPr>
            <w:tcW w:w="370" w:type="pct"/>
          </w:tcPr>
          <w:p w14:paraId="03888A20" w14:textId="77777777" w:rsidR="004879AE" w:rsidRPr="00B44B19" w:rsidRDefault="004879AE" w:rsidP="004879AE">
            <w:pPr>
              <w:spacing w:after="0" w:line="240" w:lineRule="auto"/>
              <w:jc w:val="both"/>
              <w:rPr>
                <w:rFonts w:cs="Times New Roman"/>
                <w:b/>
                <w:noProof/>
                <w:sz w:val="16"/>
                <w:szCs w:val="16"/>
              </w:rPr>
            </w:pPr>
          </w:p>
        </w:tc>
      </w:tr>
      <w:tr w:rsidR="004879AE" w:rsidRPr="00B44B19" w14:paraId="23527DF5" w14:textId="77777777" w:rsidTr="0002743E">
        <w:trPr>
          <w:trHeight w:val="555"/>
        </w:trPr>
        <w:tc>
          <w:tcPr>
            <w:tcW w:w="364" w:type="pct"/>
            <w:vMerge/>
          </w:tcPr>
          <w:p w14:paraId="062C70DA" w14:textId="77777777" w:rsidR="004879AE" w:rsidRPr="00B44B19" w:rsidRDefault="004879AE" w:rsidP="004879AE">
            <w:pPr>
              <w:spacing w:after="0" w:line="240" w:lineRule="auto"/>
              <w:jc w:val="both"/>
              <w:rPr>
                <w:rFonts w:cs="Times New Roman"/>
                <w:noProof/>
                <w:sz w:val="16"/>
                <w:szCs w:val="16"/>
              </w:rPr>
            </w:pPr>
          </w:p>
        </w:tc>
        <w:tc>
          <w:tcPr>
            <w:tcW w:w="328" w:type="pct"/>
            <w:vMerge/>
          </w:tcPr>
          <w:p w14:paraId="71F21676" w14:textId="77777777" w:rsidR="004879AE" w:rsidRPr="00B44B19" w:rsidRDefault="004879AE" w:rsidP="004879AE">
            <w:pPr>
              <w:spacing w:after="0" w:line="240" w:lineRule="auto"/>
              <w:jc w:val="both"/>
              <w:rPr>
                <w:rFonts w:cs="Times New Roman"/>
                <w:noProof/>
                <w:sz w:val="16"/>
                <w:szCs w:val="16"/>
              </w:rPr>
            </w:pPr>
          </w:p>
        </w:tc>
        <w:tc>
          <w:tcPr>
            <w:tcW w:w="282" w:type="pct"/>
            <w:vMerge/>
          </w:tcPr>
          <w:p w14:paraId="6F54A0B4" w14:textId="77777777" w:rsidR="004879AE" w:rsidRPr="00B44B19" w:rsidRDefault="004879AE" w:rsidP="004879AE">
            <w:pPr>
              <w:spacing w:after="0" w:line="240" w:lineRule="auto"/>
              <w:jc w:val="both"/>
              <w:rPr>
                <w:rFonts w:cs="Times New Roman"/>
                <w:noProof/>
                <w:sz w:val="16"/>
                <w:szCs w:val="16"/>
              </w:rPr>
            </w:pPr>
          </w:p>
        </w:tc>
        <w:tc>
          <w:tcPr>
            <w:tcW w:w="328" w:type="pct"/>
          </w:tcPr>
          <w:p w14:paraId="1CA612B4" w14:textId="77777777" w:rsidR="004879AE" w:rsidRPr="00B44B19" w:rsidRDefault="004879AE" w:rsidP="004879AE">
            <w:pPr>
              <w:spacing w:after="0" w:line="240" w:lineRule="auto"/>
              <w:jc w:val="both"/>
              <w:rPr>
                <w:rFonts w:cs="Times New Roman"/>
                <w:noProof/>
                <w:sz w:val="16"/>
                <w:szCs w:val="16"/>
              </w:rPr>
            </w:pPr>
            <w:r w:rsidRPr="00B44B19">
              <w:rPr>
                <w:rFonts w:cs="Times New Roman"/>
                <w:noProof/>
                <w:sz w:val="16"/>
                <w:szCs w:val="16"/>
              </w:rPr>
              <w:t>Sostinės regionas</w:t>
            </w:r>
          </w:p>
        </w:tc>
        <w:tc>
          <w:tcPr>
            <w:tcW w:w="469" w:type="pct"/>
          </w:tcPr>
          <w:p w14:paraId="2A2839DD" w14:textId="77777777" w:rsidR="004879AE" w:rsidRPr="00B44B19" w:rsidRDefault="004879AE" w:rsidP="004879AE">
            <w:pPr>
              <w:spacing w:after="0" w:line="240" w:lineRule="auto"/>
              <w:jc w:val="both"/>
              <w:rPr>
                <w:rFonts w:cs="Times New Roman"/>
                <w:bCs/>
                <w:noProof/>
                <w:sz w:val="16"/>
                <w:szCs w:val="16"/>
              </w:rPr>
            </w:pPr>
            <w:r w:rsidRPr="00B44B19">
              <w:rPr>
                <w:rFonts w:cs="Times New Roman"/>
                <w:bCs/>
                <w:noProof/>
                <w:sz w:val="16"/>
                <w:szCs w:val="16"/>
              </w:rPr>
              <w:t>RCR74</w:t>
            </w:r>
          </w:p>
        </w:tc>
        <w:tc>
          <w:tcPr>
            <w:tcW w:w="1172" w:type="pct"/>
          </w:tcPr>
          <w:p w14:paraId="6440AF25" w14:textId="77777777" w:rsidR="004879AE" w:rsidRPr="00B44B19" w:rsidRDefault="004879AE" w:rsidP="004879AE">
            <w:pPr>
              <w:tabs>
                <w:tab w:val="left" w:pos="7560"/>
              </w:tabs>
              <w:spacing w:after="0" w:line="240" w:lineRule="auto"/>
              <w:rPr>
                <w:rFonts w:cs="Times New Roman"/>
                <w:bCs/>
                <w:noProof/>
                <w:sz w:val="16"/>
                <w:szCs w:val="16"/>
              </w:rPr>
            </w:pPr>
            <w:r w:rsidRPr="00B44B19">
              <w:rPr>
                <w:rFonts w:cs="Times New Roman"/>
                <w:bCs/>
                <w:noProof/>
                <w:sz w:val="16"/>
                <w:szCs w:val="16"/>
              </w:rPr>
              <w:t>Naujos arba modernizuotos socialinės rūpybos infrastruktūros naudotojų skaičius per metus</w:t>
            </w:r>
          </w:p>
        </w:tc>
        <w:tc>
          <w:tcPr>
            <w:tcW w:w="328" w:type="pct"/>
          </w:tcPr>
          <w:p w14:paraId="208C12CF" w14:textId="77777777" w:rsidR="004879AE" w:rsidRPr="00B44B19" w:rsidRDefault="004879AE" w:rsidP="004879AE">
            <w:pPr>
              <w:spacing w:after="0" w:line="240" w:lineRule="auto"/>
              <w:rPr>
                <w:rFonts w:cs="Times New Roman"/>
                <w:bCs/>
                <w:noProof/>
                <w:sz w:val="16"/>
                <w:szCs w:val="16"/>
              </w:rPr>
            </w:pPr>
            <w:r w:rsidRPr="00B44B19">
              <w:rPr>
                <w:rFonts w:cs="Times New Roman"/>
                <w:bCs/>
                <w:noProof/>
                <w:sz w:val="16"/>
                <w:szCs w:val="16"/>
              </w:rPr>
              <w:t xml:space="preserve">Naudotojųaiper metus </w:t>
            </w:r>
          </w:p>
        </w:tc>
        <w:tc>
          <w:tcPr>
            <w:tcW w:w="328" w:type="pct"/>
          </w:tcPr>
          <w:p w14:paraId="38BA460C" w14:textId="77777777" w:rsidR="004879AE" w:rsidRPr="00B44B19" w:rsidRDefault="004879AE" w:rsidP="004879AE">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5D1E12B3" w14:textId="77777777" w:rsidR="004879AE" w:rsidRPr="00B44B19" w:rsidRDefault="004879AE" w:rsidP="004879AE">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65C03CC9" w14:textId="77777777" w:rsidR="004879AE" w:rsidRPr="00B44B19" w:rsidRDefault="004879AE" w:rsidP="004879AE">
            <w:pPr>
              <w:spacing w:after="0" w:line="240" w:lineRule="auto"/>
              <w:jc w:val="center"/>
              <w:rPr>
                <w:rFonts w:cs="Times New Roman"/>
                <w:noProof/>
                <w:sz w:val="16"/>
                <w:szCs w:val="16"/>
              </w:rPr>
            </w:pPr>
            <w:r w:rsidRPr="00B44B19">
              <w:rPr>
                <w:rFonts w:cs="Times New Roman"/>
                <w:noProof/>
                <w:sz w:val="16"/>
                <w:szCs w:val="16"/>
              </w:rPr>
              <w:t>439</w:t>
            </w:r>
          </w:p>
        </w:tc>
        <w:tc>
          <w:tcPr>
            <w:tcW w:w="328" w:type="pct"/>
          </w:tcPr>
          <w:p w14:paraId="1AE8CA1B" w14:textId="77777777" w:rsidR="004879AE" w:rsidRPr="00B44B19" w:rsidRDefault="004879AE" w:rsidP="004879AE">
            <w:pPr>
              <w:spacing w:after="0" w:line="240" w:lineRule="auto"/>
              <w:jc w:val="both"/>
              <w:rPr>
                <w:rFonts w:cs="Times New Roman"/>
                <w:bCs/>
                <w:noProof/>
                <w:sz w:val="16"/>
                <w:szCs w:val="16"/>
              </w:rPr>
            </w:pPr>
            <w:r w:rsidRPr="00B44B19">
              <w:rPr>
                <w:rFonts w:cs="Times New Roman"/>
                <w:bCs/>
                <w:noProof/>
                <w:sz w:val="16"/>
                <w:szCs w:val="16"/>
              </w:rPr>
              <w:t>Projektų duomenys</w:t>
            </w:r>
          </w:p>
        </w:tc>
        <w:tc>
          <w:tcPr>
            <w:tcW w:w="370" w:type="pct"/>
          </w:tcPr>
          <w:p w14:paraId="6F9E348A" w14:textId="77777777" w:rsidR="004879AE" w:rsidRPr="00B44B19" w:rsidRDefault="004879AE" w:rsidP="004879AE">
            <w:pPr>
              <w:spacing w:after="0" w:line="240" w:lineRule="auto"/>
              <w:jc w:val="both"/>
              <w:rPr>
                <w:rFonts w:cs="Times New Roman"/>
                <w:b/>
                <w:noProof/>
                <w:sz w:val="16"/>
                <w:szCs w:val="16"/>
              </w:rPr>
            </w:pPr>
          </w:p>
        </w:tc>
      </w:tr>
      <w:tr w:rsidR="004879AE" w:rsidRPr="00B44B19" w14:paraId="307B2F89" w14:textId="77777777" w:rsidTr="0002743E">
        <w:trPr>
          <w:trHeight w:val="549"/>
        </w:trPr>
        <w:tc>
          <w:tcPr>
            <w:tcW w:w="364" w:type="pct"/>
            <w:vMerge/>
          </w:tcPr>
          <w:p w14:paraId="2EB6E22B" w14:textId="77777777" w:rsidR="004879AE" w:rsidRPr="00B44B19" w:rsidRDefault="004879AE" w:rsidP="004879AE">
            <w:pPr>
              <w:spacing w:after="0" w:line="240" w:lineRule="auto"/>
              <w:jc w:val="both"/>
              <w:rPr>
                <w:rFonts w:cs="Times New Roman"/>
                <w:noProof/>
                <w:sz w:val="16"/>
                <w:szCs w:val="16"/>
              </w:rPr>
            </w:pPr>
          </w:p>
        </w:tc>
        <w:tc>
          <w:tcPr>
            <w:tcW w:w="328" w:type="pct"/>
            <w:vMerge/>
          </w:tcPr>
          <w:p w14:paraId="390F4E02" w14:textId="77777777" w:rsidR="004879AE" w:rsidRPr="00B44B19" w:rsidRDefault="004879AE" w:rsidP="004879AE">
            <w:pPr>
              <w:spacing w:after="0" w:line="240" w:lineRule="auto"/>
              <w:jc w:val="both"/>
              <w:rPr>
                <w:rFonts w:cs="Times New Roman"/>
                <w:noProof/>
                <w:sz w:val="16"/>
                <w:szCs w:val="16"/>
              </w:rPr>
            </w:pPr>
          </w:p>
        </w:tc>
        <w:tc>
          <w:tcPr>
            <w:tcW w:w="282" w:type="pct"/>
            <w:vMerge/>
          </w:tcPr>
          <w:p w14:paraId="1B307A05" w14:textId="77777777" w:rsidR="004879AE" w:rsidRPr="00B44B19" w:rsidRDefault="004879AE" w:rsidP="004879AE">
            <w:pPr>
              <w:spacing w:after="0" w:line="240" w:lineRule="auto"/>
              <w:jc w:val="both"/>
              <w:rPr>
                <w:rFonts w:cs="Times New Roman"/>
                <w:noProof/>
                <w:sz w:val="16"/>
                <w:szCs w:val="16"/>
              </w:rPr>
            </w:pPr>
          </w:p>
        </w:tc>
        <w:tc>
          <w:tcPr>
            <w:tcW w:w="328" w:type="pct"/>
          </w:tcPr>
          <w:p w14:paraId="2DC5DCBF" w14:textId="77777777" w:rsidR="004879AE" w:rsidRPr="00B44B19" w:rsidRDefault="004879AE" w:rsidP="004879AE">
            <w:pPr>
              <w:spacing w:after="0" w:line="240" w:lineRule="auto"/>
              <w:jc w:val="both"/>
              <w:rPr>
                <w:rFonts w:cs="Times New Roman"/>
                <w:noProof/>
                <w:sz w:val="16"/>
                <w:szCs w:val="16"/>
              </w:rPr>
            </w:pPr>
            <w:r w:rsidRPr="00B44B19">
              <w:rPr>
                <w:rFonts w:cs="Times New Roman"/>
                <w:noProof/>
                <w:sz w:val="16"/>
                <w:szCs w:val="16"/>
              </w:rPr>
              <w:t>VVL regionas</w:t>
            </w:r>
          </w:p>
        </w:tc>
        <w:tc>
          <w:tcPr>
            <w:tcW w:w="469" w:type="pct"/>
          </w:tcPr>
          <w:p w14:paraId="1AB25771" w14:textId="77777777" w:rsidR="004879AE" w:rsidRPr="00B44B19" w:rsidRDefault="004879AE" w:rsidP="004879AE">
            <w:pPr>
              <w:spacing w:after="0" w:line="240" w:lineRule="auto"/>
              <w:jc w:val="both"/>
              <w:rPr>
                <w:rFonts w:cs="Times New Roman"/>
                <w:bCs/>
                <w:noProof/>
                <w:sz w:val="16"/>
                <w:szCs w:val="16"/>
              </w:rPr>
            </w:pPr>
            <w:r w:rsidRPr="00B44B19">
              <w:rPr>
                <w:rFonts w:cs="Times New Roman"/>
                <w:bCs/>
                <w:noProof/>
                <w:sz w:val="16"/>
                <w:szCs w:val="16"/>
              </w:rPr>
              <w:t>RCR74</w:t>
            </w:r>
          </w:p>
        </w:tc>
        <w:tc>
          <w:tcPr>
            <w:tcW w:w="1172" w:type="pct"/>
          </w:tcPr>
          <w:p w14:paraId="46D14B8A" w14:textId="77777777" w:rsidR="004879AE" w:rsidRPr="00B44B19" w:rsidRDefault="004879AE" w:rsidP="004879AE">
            <w:pPr>
              <w:tabs>
                <w:tab w:val="left" w:pos="7560"/>
              </w:tabs>
              <w:spacing w:after="0" w:line="240" w:lineRule="auto"/>
              <w:rPr>
                <w:rFonts w:cs="Times New Roman"/>
                <w:bCs/>
                <w:noProof/>
                <w:sz w:val="16"/>
                <w:szCs w:val="16"/>
              </w:rPr>
            </w:pPr>
            <w:r w:rsidRPr="00B44B19">
              <w:rPr>
                <w:rFonts w:cs="Times New Roman"/>
                <w:bCs/>
                <w:noProof/>
                <w:sz w:val="16"/>
                <w:szCs w:val="16"/>
              </w:rPr>
              <w:t>Naujos arba modernizuotos socialinės rūpybos infrastruktūros naudotojų skaičius per metus</w:t>
            </w:r>
          </w:p>
        </w:tc>
        <w:tc>
          <w:tcPr>
            <w:tcW w:w="328" w:type="pct"/>
          </w:tcPr>
          <w:p w14:paraId="664BBD87" w14:textId="77777777" w:rsidR="004879AE" w:rsidRPr="00B44B19" w:rsidRDefault="004879AE" w:rsidP="004879AE">
            <w:pPr>
              <w:spacing w:after="0" w:line="240" w:lineRule="auto"/>
              <w:rPr>
                <w:rFonts w:cs="Times New Roman"/>
                <w:bCs/>
                <w:noProof/>
                <w:sz w:val="16"/>
                <w:szCs w:val="16"/>
              </w:rPr>
            </w:pPr>
            <w:r w:rsidRPr="00B44B19">
              <w:rPr>
                <w:rFonts w:cs="Times New Roman"/>
                <w:bCs/>
                <w:noProof/>
                <w:sz w:val="16"/>
                <w:szCs w:val="16"/>
              </w:rPr>
              <w:t xml:space="preserve">Naudotojai  per metus </w:t>
            </w:r>
          </w:p>
        </w:tc>
        <w:tc>
          <w:tcPr>
            <w:tcW w:w="328" w:type="pct"/>
          </w:tcPr>
          <w:p w14:paraId="02B2E06E" w14:textId="77777777" w:rsidR="004879AE" w:rsidRPr="00B44B19" w:rsidRDefault="004879AE" w:rsidP="004879AE">
            <w:pPr>
              <w:spacing w:after="0" w:line="240" w:lineRule="auto"/>
              <w:jc w:val="center"/>
              <w:rPr>
                <w:rFonts w:cs="Times New Roman"/>
                <w:noProof/>
                <w:sz w:val="16"/>
                <w:szCs w:val="16"/>
              </w:rPr>
            </w:pPr>
            <w:r w:rsidRPr="00B44B19">
              <w:rPr>
                <w:rFonts w:cs="Times New Roman"/>
                <w:noProof/>
                <w:sz w:val="16"/>
                <w:szCs w:val="16"/>
              </w:rPr>
              <w:t>0</w:t>
            </w:r>
          </w:p>
        </w:tc>
        <w:tc>
          <w:tcPr>
            <w:tcW w:w="375" w:type="pct"/>
          </w:tcPr>
          <w:p w14:paraId="23587D28" w14:textId="77777777" w:rsidR="004879AE" w:rsidRPr="00B44B19" w:rsidRDefault="004879AE" w:rsidP="004879AE">
            <w:pPr>
              <w:spacing w:after="0" w:line="240" w:lineRule="auto"/>
              <w:jc w:val="center"/>
              <w:rPr>
                <w:rFonts w:cs="Times New Roman"/>
                <w:noProof/>
                <w:sz w:val="16"/>
                <w:szCs w:val="16"/>
              </w:rPr>
            </w:pPr>
            <w:r w:rsidRPr="00B44B19">
              <w:rPr>
                <w:rFonts w:cs="Times New Roman"/>
                <w:noProof/>
                <w:sz w:val="16"/>
                <w:szCs w:val="16"/>
              </w:rPr>
              <w:t>2019</w:t>
            </w:r>
          </w:p>
        </w:tc>
        <w:tc>
          <w:tcPr>
            <w:tcW w:w="328" w:type="pct"/>
          </w:tcPr>
          <w:p w14:paraId="14C62CEC" w14:textId="77777777" w:rsidR="004879AE" w:rsidRPr="00B44B19" w:rsidRDefault="004879AE" w:rsidP="004879AE">
            <w:pPr>
              <w:spacing w:after="0" w:line="240" w:lineRule="auto"/>
              <w:jc w:val="center"/>
              <w:rPr>
                <w:rFonts w:cs="Times New Roman"/>
                <w:noProof/>
                <w:sz w:val="16"/>
                <w:szCs w:val="16"/>
              </w:rPr>
            </w:pPr>
            <w:r w:rsidRPr="00B44B19">
              <w:rPr>
                <w:rFonts w:cs="Times New Roman"/>
                <w:noProof/>
                <w:sz w:val="16"/>
                <w:szCs w:val="16"/>
              </w:rPr>
              <w:t>2 279</w:t>
            </w:r>
          </w:p>
        </w:tc>
        <w:tc>
          <w:tcPr>
            <w:tcW w:w="328" w:type="pct"/>
          </w:tcPr>
          <w:p w14:paraId="11B6057F" w14:textId="77777777" w:rsidR="004879AE" w:rsidRPr="00B44B19" w:rsidRDefault="004879AE" w:rsidP="004879AE">
            <w:pPr>
              <w:spacing w:after="0" w:line="240" w:lineRule="auto"/>
              <w:jc w:val="both"/>
              <w:rPr>
                <w:rFonts w:cs="Times New Roman"/>
                <w:bCs/>
                <w:noProof/>
                <w:sz w:val="16"/>
                <w:szCs w:val="16"/>
              </w:rPr>
            </w:pPr>
            <w:r w:rsidRPr="00B44B19">
              <w:rPr>
                <w:rFonts w:cs="Times New Roman"/>
                <w:bCs/>
                <w:noProof/>
                <w:sz w:val="16"/>
                <w:szCs w:val="16"/>
              </w:rPr>
              <w:t>Projektų duomenys</w:t>
            </w:r>
          </w:p>
        </w:tc>
        <w:tc>
          <w:tcPr>
            <w:tcW w:w="370" w:type="pct"/>
          </w:tcPr>
          <w:p w14:paraId="0EFD8F9D" w14:textId="77777777" w:rsidR="004879AE" w:rsidRPr="00B44B19" w:rsidRDefault="004879AE" w:rsidP="004879AE">
            <w:pPr>
              <w:spacing w:after="0" w:line="240" w:lineRule="auto"/>
              <w:jc w:val="both"/>
              <w:rPr>
                <w:rFonts w:cs="Times New Roman"/>
                <w:b/>
                <w:noProof/>
                <w:sz w:val="16"/>
                <w:szCs w:val="16"/>
              </w:rPr>
            </w:pPr>
          </w:p>
        </w:tc>
      </w:tr>
    </w:tbl>
    <w:p w14:paraId="00DB68C6" w14:textId="77777777" w:rsidR="005D02EB" w:rsidRPr="00B44B19" w:rsidRDefault="005D02EB" w:rsidP="009952B9">
      <w:pPr>
        <w:spacing w:after="0" w:line="240" w:lineRule="auto"/>
        <w:jc w:val="both"/>
        <w:rPr>
          <w:rFonts w:cs="Times New Roman"/>
          <w:bCs/>
          <w:szCs w:val="24"/>
        </w:rPr>
        <w:sectPr w:rsidR="005D02EB" w:rsidRPr="00B44B19" w:rsidSect="00931C78">
          <w:pgSz w:w="16838" w:h="11906" w:orient="landscape"/>
          <w:pgMar w:top="1701" w:right="1276" w:bottom="567" w:left="1134" w:header="567" w:footer="567" w:gutter="0"/>
          <w:cols w:space="1296"/>
          <w:docGrid w:linePitch="360"/>
        </w:sectPr>
      </w:pPr>
    </w:p>
    <w:p w14:paraId="7C4F2AC6" w14:textId="77777777" w:rsidR="00FD283F" w:rsidRPr="00B44B19" w:rsidRDefault="00802586" w:rsidP="00783D09">
      <w:pPr>
        <w:pStyle w:val="Stilius1"/>
        <w:rPr>
          <w:rFonts w:cs="Times New Roman"/>
          <w:bCs/>
          <w:szCs w:val="24"/>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418"/>
        <w:gridCol w:w="1275"/>
        <w:gridCol w:w="3686"/>
        <w:gridCol w:w="1559"/>
      </w:tblGrid>
      <w:tr w:rsidR="004F7750" w:rsidRPr="00B44B19" w14:paraId="310AEE3A" w14:textId="77777777" w:rsidTr="004F775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28ECA3" w14:textId="77777777" w:rsidR="004F7750" w:rsidRPr="00B44B19" w:rsidRDefault="004F7750" w:rsidP="004F7750">
            <w:pPr>
              <w:rPr>
                <w:rFonts w:eastAsia="Times New Roman" w:cs="Times New Roman"/>
                <w:b/>
                <w:iCs/>
                <w:noProof/>
                <w:sz w:val="20"/>
              </w:rPr>
            </w:pPr>
            <w:r w:rsidRPr="00B44B19">
              <w:rPr>
                <w:rFonts w:cs="Times New Roman"/>
                <w:b/>
                <w:noProof/>
                <w:sz w:val="20"/>
              </w:rPr>
              <w:t>4 lentelė. 1 matmuo. Intervencinių priemonių sritis</w:t>
            </w:r>
          </w:p>
        </w:tc>
      </w:tr>
      <w:tr w:rsidR="004F7750" w:rsidRPr="00B44B19" w14:paraId="760960D2" w14:textId="77777777" w:rsidTr="00E91C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1E5B7" w14:textId="77777777" w:rsidR="004F7750" w:rsidRPr="00B44B19" w:rsidRDefault="004F7750" w:rsidP="004F7750">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B64B43" w14:textId="77777777" w:rsidR="004F7750" w:rsidRPr="00B44B19" w:rsidRDefault="004F7750" w:rsidP="004F7750">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722280" w14:textId="77777777" w:rsidR="004F7750" w:rsidRPr="00B44B19" w:rsidRDefault="004F7750" w:rsidP="004F7750">
            <w:pPr>
              <w:jc w:val="center"/>
              <w:rPr>
                <w:rFonts w:eastAsia="Times New Roman" w:cs="Times New Roman"/>
                <w:b/>
                <w:iCs/>
                <w:noProof/>
                <w:sz w:val="20"/>
              </w:rPr>
            </w:pPr>
            <w:r w:rsidRPr="00B44B19">
              <w:rPr>
                <w:rFonts w:cs="Times New Roman"/>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A28E8D" w14:textId="77777777" w:rsidR="004F7750" w:rsidRPr="00B44B19" w:rsidRDefault="004F7750" w:rsidP="004F7750">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3690C" w14:textId="77777777" w:rsidR="004F7750" w:rsidRPr="00B44B19" w:rsidRDefault="004F7750" w:rsidP="004F7750">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21E98A" w14:textId="77777777" w:rsidR="004F7750" w:rsidRPr="00B44B19" w:rsidRDefault="004F7750" w:rsidP="004F7750">
            <w:pPr>
              <w:jc w:val="center"/>
              <w:rPr>
                <w:rFonts w:eastAsia="Times New Roman" w:cs="Times New Roman"/>
                <w:b/>
                <w:iCs/>
                <w:noProof/>
                <w:sz w:val="20"/>
              </w:rPr>
            </w:pPr>
            <w:r w:rsidRPr="00B44B19">
              <w:rPr>
                <w:rFonts w:cs="Times New Roman"/>
                <w:b/>
                <w:noProof/>
                <w:sz w:val="20"/>
              </w:rPr>
              <w:t>Suma (EUR)</w:t>
            </w:r>
          </w:p>
        </w:tc>
      </w:tr>
      <w:tr w:rsidR="00007DD9" w:rsidRPr="00B44B19" w14:paraId="64EC26AE" w14:textId="77777777" w:rsidTr="00E91C09">
        <w:tc>
          <w:tcPr>
            <w:tcW w:w="1101" w:type="dxa"/>
            <w:vMerge w:val="restart"/>
            <w:tcBorders>
              <w:top w:val="single" w:sz="12" w:space="0" w:color="auto"/>
            </w:tcBorders>
          </w:tcPr>
          <w:p w14:paraId="60D444B5" w14:textId="77777777" w:rsidR="00007DD9" w:rsidRPr="00B44B19" w:rsidRDefault="00007DD9" w:rsidP="004F7750">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4A5CCDA9" w14:textId="77777777" w:rsidR="00007DD9" w:rsidRPr="00B44B19" w:rsidRDefault="00007DD9" w:rsidP="004F7750">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654ABA8A" w14:textId="77777777" w:rsidR="00007DD9" w:rsidRPr="00B44B19" w:rsidRDefault="00007DD9" w:rsidP="004F7750">
            <w:pPr>
              <w:jc w:val="both"/>
              <w:rPr>
                <w:rFonts w:cs="Times New Roman"/>
                <w:noProof/>
                <w:sz w:val="20"/>
                <w:szCs w:val="20"/>
              </w:rPr>
            </w:pPr>
            <w:r w:rsidRPr="00B44B19">
              <w:rPr>
                <w:rFonts w:cs="Times New Roman"/>
                <w:noProof/>
                <w:sz w:val="20"/>
                <w:szCs w:val="20"/>
              </w:rPr>
              <w:t>Sostinės regionas</w:t>
            </w:r>
          </w:p>
        </w:tc>
        <w:tc>
          <w:tcPr>
            <w:tcW w:w="1275" w:type="dxa"/>
            <w:vMerge w:val="restart"/>
            <w:tcBorders>
              <w:top w:val="single" w:sz="12" w:space="0" w:color="auto"/>
            </w:tcBorders>
          </w:tcPr>
          <w:p w14:paraId="7EE31A6B" w14:textId="77777777" w:rsidR="00007DD9" w:rsidRPr="00B44B19" w:rsidRDefault="00007DD9" w:rsidP="004F7750">
            <w:pPr>
              <w:jc w:val="center"/>
              <w:rPr>
                <w:rFonts w:eastAsia="Times New Roman" w:cs="Times New Roman"/>
                <w:iCs/>
                <w:noProof/>
                <w:sz w:val="20"/>
              </w:rPr>
            </w:pPr>
            <w:r w:rsidRPr="00B44B19">
              <w:rPr>
                <w:rFonts w:eastAsia="Times New Roman" w:cs="Times New Roman"/>
                <w:iCs/>
                <w:noProof/>
                <w:sz w:val="20"/>
              </w:rPr>
              <w:t>4.10</w:t>
            </w:r>
          </w:p>
        </w:tc>
        <w:tc>
          <w:tcPr>
            <w:tcW w:w="3686" w:type="dxa"/>
            <w:vMerge w:val="restart"/>
            <w:tcBorders>
              <w:top w:val="single" w:sz="12" w:space="0" w:color="auto"/>
            </w:tcBorders>
          </w:tcPr>
          <w:p w14:paraId="6979765A" w14:textId="77777777" w:rsidR="00007DD9" w:rsidRPr="00B44B19" w:rsidRDefault="00007DD9" w:rsidP="00B86786">
            <w:pPr>
              <w:rPr>
                <w:rFonts w:eastAsia="Times New Roman" w:cs="Times New Roman"/>
                <w:iCs/>
                <w:noProof/>
                <w:sz w:val="20"/>
              </w:rPr>
            </w:pPr>
            <w:r w:rsidRPr="00B44B19">
              <w:rPr>
                <w:rFonts w:eastAsia="Times New Roman" w:cs="Times New Roman"/>
                <w:iCs/>
                <w:noProof/>
                <w:sz w:val="20"/>
              </w:rPr>
              <w:t xml:space="preserve">044 –Siekiant efektyvaus energijos vartojimo vykdoma viešosios infrastruktūros renovacija arba viešajai infrastruktūrai taikomos </w:t>
            </w:r>
            <w:r w:rsidR="00B86786" w:rsidRPr="00B44B19">
              <w:rPr>
                <w:rFonts w:eastAsia="Times New Roman" w:cs="Times New Roman"/>
                <w:iCs/>
                <w:noProof/>
                <w:sz w:val="20"/>
              </w:rPr>
              <w:t>EVE</w:t>
            </w:r>
            <w:r w:rsidRPr="00B44B19">
              <w:rPr>
                <w:rFonts w:eastAsia="Times New Roman" w:cs="Times New Roman"/>
                <w:iCs/>
                <w:noProof/>
                <w:sz w:val="20"/>
              </w:rPr>
              <w:t xml:space="preserve"> priemonės, parodomieji projektai ir pagalbinės priemonės</w:t>
            </w:r>
          </w:p>
        </w:tc>
        <w:tc>
          <w:tcPr>
            <w:tcW w:w="1559" w:type="dxa"/>
            <w:tcBorders>
              <w:top w:val="single" w:sz="12" w:space="0" w:color="auto"/>
              <w:bottom w:val="single" w:sz="4" w:space="0" w:color="auto"/>
            </w:tcBorders>
          </w:tcPr>
          <w:p w14:paraId="73BE41B8" w14:textId="77777777" w:rsidR="00007DD9" w:rsidRPr="00B44B19" w:rsidRDefault="00007DD9" w:rsidP="00E91C09">
            <w:pPr>
              <w:jc w:val="right"/>
              <w:rPr>
                <w:rFonts w:eastAsia="Times New Roman" w:cs="Times New Roman"/>
                <w:iCs/>
                <w:noProof/>
                <w:sz w:val="20"/>
              </w:rPr>
            </w:pPr>
            <w:r w:rsidRPr="00B44B19">
              <w:rPr>
                <w:rFonts w:eastAsia="Times New Roman" w:cs="Times New Roman"/>
                <w:iCs/>
                <w:noProof/>
                <w:sz w:val="20"/>
              </w:rPr>
              <w:t>1 490 000,00</w:t>
            </w:r>
          </w:p>
        </w:tc>
      </w:tr>
      <w:tr w:rsidR="00007DD9" w:rsidRPr="00B44B19" w14:paraId="45A8C32F" w14:textId="77777777" w:rsidTr="00E91C09">
        <w:tc>
          <w:tcPr>
            <w:tcW w:w="1101" w:type="dxa"/>
            <w:vMerge/>
          </w:tcPr>
          <w:p w14:paraId="5294BE59" w14:textId="77777777" w:rsidR="00007DD9" w:rsidRPr="00B44B19" w:rsidRDefault="00007DD9" w:rsidP="004F7750">
            <w:pPr>
              <w:rPr>
                <w:rFonts w:eastAsia="Times New Roman" w:cs="Times New Roman"/>
                <w:iCs/>
                <w:noProof/>
                <w:sz w:val="20"/>
              </w:rPr>
            </w:pPr>
          </w:p>
        </w:tc>
        <w:tc>
          <w:tcPr>
            <w:tcW w:w="850" w:type="dxa"/>
            <w:vMerge/>
          </w:tcPr>
          <w:p w14:paraId="2F572DB5" w14:textId="77777777" w:rsidR="00007DD9" w:rsidRPr="00B44B19" w:rsidRDefault="00007DD9" w:rsidP="004F7750">
            <w:pPr>
              <w:rPr>
                <w:rFonts w:eastAsia="Times New Roman" w:cs="Times New Roman"/>
                <w:b/>
                <w:iCs/>
                <w:noProof/>
                <w:sz w:val="20"/>
              </w:rPr>
            </w:pPr>
          </w:p>
        </w:tc>
        <w:tc>
          <w:tcPr>
            <w:tcW w:w="1418" w:type="dxa"/>
            <w:tcBorders>
              <w:top w:val="single" w:sz="4" w:space="0" w:color="auto"/>
              <w:bottom w:val="single" w:sz="4" w:space="0" w:color="auto"/>
            </w:tcBorders>
          </w:tcPr>
          <w:p w14:paraId="3E813645" w14:textId="77777777" w:rsidR="00007DD9" w:rsidRPr="00B44B19" w:rsidRDefault="00007DD9" w:rsidP="004F7750">
            <w:pPr>
              <w:jc w:val="both"/>
              <w:rPr>
                <w:rFonts w:cs="Times New Roman"/>
                <w:noProof/>
                <w:sz w:val="20"/>
                <w:szCs w:val="20"/>
              </w:rPr>
            </w:pPr>
            <w:r w:rsidRPr="00B44B19">
              <w:rPr>
                <w:rFonts w:cs="Times New Roman"/>
                <w:noProof/>
                <w:sz w:val="20"/>
                <w:szCs w:val="20"/>
              </w:rPr>
              <w:t>VVL regionas</w:t>
            </w:r>
          </w:p>
        </w:tc>
        <w:tc>
          <w:tcPr>
            <w:tcW w:w="1275" w:type="dxa"/>
            <w:vMerge/>
          </w:tcPr>
          <w:p w14:paraId="7E0BD3C6" w14:textId="77777777" w:rsidR="00007DD9" w:rsidRPr="00B44B19" w:rsidRDefault="00007DD9" w:rsidP="004F7750">
            <w:pPr>
              <w:rPr>
                <w:rFonts w:eastAsia="Times New Roman" w:cs="Times New Roman"/>
                <w:b/>
                <w:iCs/>
                <w:noProof/>
                <w:sz w:val="20"/>
              </w:rPr>
            </w:pPr>
          </w:p>
        </w:tc>
        <w:tc>
          <w:tcPr>
            <w:tcW w:w="3686" w:type="dxa"/>
            <w:vMerge/>
          </w:tcPr>
          <w:p w14:paraId="26C8438C" w14:textId="77777777" w:rsidR="00007DD9" w:rsidRPr="00B44B19" w:rsidRDefault="00007DD9" w:rsidP="004F7750">
            <w:pPr>
              <w:jc w:val="center"/>
              <w:rPr>
                <w:rFonts w:eastAsia="Times New Roman" w:cs="Times New Roman"/>
                <w:iCs/>
                <w:noProof/>
                <w:sz w:val="20"/>
              </w:rPr>
            </w:pPr>
          </w:p>
        </w:tc>
        <w:tc>
          <w:tcPr>
            <w:tcW w:w="1559" w:type="dxa"/>
            <w:tcBorders>
              <w:top w:val="single" w:sz="4" w:space="0" w:color="auto"/>
              <w:bottom w:val="single" w:sz="4" w:space="0" w:color="auto"/>
            </w:tcBorders>
          </w:tcPr>
          <w:p w14:paraId="6BD42BFF" w14:textId="77777777" w:rsidR="00007DD9" w:rsidRPr="00B44B19" w:rsidRDefault="00007DD9" w:rsidP="00E91C09">
            <w:pPr>
              <w:jc w:val="right"/>
              <w:rPr>
                <w:rFonts w:eastAsia="Times New Roman" w:cs="Times New Roman"/>
                <w:iCs/>
                <w:noProof/>
                <w:sz w:val="20"/>
              </w:rPr>
            </w:pPr>
            <w:r w:rsidRPr="00B44B19">
              <w:rPr>
                <w:rFonts w:eastAsia="Times New Roman" w:cs="Times New Roman"/>
                <w:iCs/>
                <w:noProof/>
                <w:sz w:val="20"/>
              </w:rPr>
              <w:t>7 849 600,00</w:t>
            </w:r>
          </w:p>
        </w:tc>
      </w:tr>
      <w:tr w:rsidR="00007DD9" w:rsidRPr="00B44B19" w14:paraId="06730E3E" w14:textId="77777777" w:rsidTr="00E91C09">
        <w:tc>
          <w:tcPr>
            <w:tcW w:w="1101" w:type="dxa"/>
            <w:vMerge/>
          </w:tcPr>
          <w:p w14:paraId="7654AB20" w14:textId="77777777" w:rsidR="00007DD9" w:rsidRPr="00B44B19" w:rsidRDefault="00007DD9" w:rsidP="004F7750">
            <w:pPr>
              <w:rPr>
                <w:rFonts w:eastAsia="Times New Roman" w:cs="Times New Roman"/>
                <w:iCs/>
                <w:noProof/>
                <w:sz w:val="20"/>
              </w:rPr>
            </w:pPr>
          </w:p>
        </w:tc>
        <w:tc>
          <w:tcPr>
            <w:tcW w:w="850" w:type="dxa"/>
            <w:vMerge/>
          </w:tcPr>
          <w:p w14:paraId="2935EEA6" w14:textId="77777777" w:rsidR="00007DD9" w:rsidRPr="00B44B19" w:rsidRDefault="00007DD9" w:rsidP="004F7750">
            <w:pPr>
              <w:rPr>
                <w:rFonts w:eastAsia="Times New Roman" w:cs="Times New Roman"/>
                <w:b/>
                <w:iCs/>
                <w:noProof/>
                <w:sz w:val="20"/>
              </w:rPr>
            </w:pPr>
          </w:p>
        </w:tc>
        <w:tc>
          <w:tcPr>
            <w:tcW w:w="1418" w:type="dxa"/>
            <w:tcBorders>
              <w:top w:val="single" w:sz="4" w:space="0" w:color="auto"/>
              <w:bottom w:val="single" w:sz="4" w:space="0" w:color="auto"/>
            </w:tcBorders>
          </w:tcPr>
          <w:p w14:paraId="1511323F" w14:textId="77777777" w:rsidR="00007DD9" w:rsidRPr="00B44B19" w:rsidRDefault="00007DD9" w:rsidP="004F7750">
            <w:pPr>
              <w:jc w:val="both"/>
              <w:rPr>
                <w:rFonts w:cs="Times New Roman"/>
                <w:noProof/>
                <w:sz w:val="20"/>
                <w:szCs w:val="20"/>
              </w:rPr>
            </w:pPr>
            <w:r w:rsidRPr="00B44B19">
              <w:rPr>
                <w:rFonts w:cs="Times New Roman"/>
                <w:noProof/>
                <w:sz w:val="20"/>
                <w:szCs w:val="20"/>
              </w:rPr>
              <w:t>Sostinės regionas</w:t>
            </w:r>
          </w:p>
        </w:tc>
        <w:tc>
          <w:tcPr>
            <w:tcW w:w="1275" w:type="dxa"/>
            <w:vMerge/>
          </w:tcPr>
          <w:p w14:paraId="4FC1497E" w14:textId="77777777" w:rsidR="00007DD9" w:rsidRPr="00B44B19" w:rsidRDefault="00007DD9" w:rsidP="004F7750">
            <w:pPr>
              <w:rPr>
                <w:rFonts w:eastAsia="Times New Roman" w:cs="Times New Roman"/>
                <w:b/>
                <w:iCs/>
                <w:noProof/>
                <w:sz w:val="20"/>
              </w:rPr>
            </w:pPr>
          </w:p>
        </w:tc>
        <w:tc>
          <w:tcPr>
            <w:tcW w:w="3686" w:type="dxa"/>
            <w:vMerge w:val="restart"/>
          </w:tcPr>
          <w:p w14:paraId="452D3FDD" w14:textId="77777777" w:rsidR="00007DD9" w:rsidRPr="00B44B19" w:rsidRDefault="00007DD9" w:rsidP="00E91C09">
            <w:pPr>
              <w:rPr>
                <w:rFonts w:eastAsia="Times New Roman" w:cs="Times New Roman"/>
                <w:iCs/>
                <w:noProof/>
                <w:sz w:val="20"/>
              </w:rPr>
            </w:pPr>
            <w:r w:rsidRPr="00B44B19">
              <w:rPr>
                <w:rFonts w:eastAsia="Times New Roman" w:cs="Times New Roman"/>
                <w:iCs/>
                <w:noProof/>
                <w:sz w:val="20"/>
              </w:rPr>
              <w:t>077 –</w:t>
            </w:r>
            <w:r w:rsidRPr="00B44B19">
              <w:rPr>
                <w:rFonts w:cs="Times New Roman"/>
              </w:rPr>
              <w:t xml:space="preserve"> </w:t>
            </w:r>
            <w:r w:rsidRPr="00B44B19">
              <w:rPr>
                <w:rFonts w:eastAsia="Times New Roman" w:cs="Times New Roman"/>
                <w:iCs/>
                <w:noProof/>
                <w:sz w:val="20"/>
              </w:rPr>
              <w:t>Oro kokybės užtikrinimo ir triukšmo mažinimo priemonės</w:t>
            </w:r>
          </w:p>
        </w:tc>
        <w:tc>
          <w:tcPr>
            <w:tcW w:w="1559" w:type="dxa"/>
            <w:tcBorders>
              <w:top w:val="single" w:sz="4" w:space="0" w:color="auto"/>
              <w:bottom w:val="single" w:sz="4" w:space="0" w:color="auto"/>
            </w:tcBorders>
          </w:tcPr>
          <w:p w14:paraId="73F7D9FF" w14:textId="77777777" w:rsidR="00007DD9" w:rsidRPr="00B44B19" w:rsidRDefault="00007DD9" w:rsidP="00E91C09">
            <w:pPr>
              <w:jc w:val="right"/>
              <w:rPr>
                <w:rFonts w:eastAsia="Times New Roman" w:cs="Times New Roman"/>
                <w:iCs/>
                <w:noProof/>
                <w:sz w:val="20"/>
              </w:rPr>
            </w:pPr>
            <w:r w:rsidRPr="00B44B19">
              <w:rPr>
                <w:rFonts w:eastAsia="Times New Roman" w:cs="Times New Roman"/>
                <w:iCs/>
                <w:noProof/>
                <w:sz w:val="20"/>
              </w:rPr>
              <w:t>170 000,00</w:t>
            </w:r>
          </w:p>
        </w:tc>
      </w:tr>
      <w:tr w:rsidR="00007DD9" w:rsidRPr="00B44B19" w14:paraId="1991DCBD" w14:textId="77777777" w:rsidTr="00E91C09">
        <w:tc>
          <w:tcPr>
            <w:tcW w:w="1101" w:type="dxa"/>
            <w:vMerge/>
          </w:tcPr>
          <w:p w14:paraId="06F604B8" w14:textId="77777777" w:rsidR="00007DD9" w:rsidRPr="00B44B19" w:rsidRDefault="00007DD9" w:rsidP="004F7750">
            <w:pPr>
              <w:rPr>
                <w:rFonts w:eastAsia="Times New Roman" w:cs="Times New Roman"/>
                <w:iCs/>
                <w:noProof/>
                <w:sz w:val="20"/>
              </w:rPr>
            </w:pPr>
          </w:p>
        </w:tc>
        <w:tc>
          <w:tcPr>
            <w:tcW w:w="850" w:type="dxa"/>
            <w:vMerge/>
          </w:tcPr>
          <w:p w14:paraId="271FB00E" w14:textId="77777777" w:rsidR="00007DD9" w:rsidRPr="00B44B19" w:rsidRDefault="00007DD9" w:rsidP="004F7750">
            <w:pPr>
              <w:rPr>
                <w:rFonts w:eastAsia="Times New Roman" w:cs="Times New Roman"/>
                <w:b/>
                <w:iCs/>
                <w:noProof/>
                <w:sz w:val="20"/>
              </w:rPr>
            </w:pPr>
          </w:p>
        </w:tc>
        <w:tc>
          <w:tcPr>
            <w:tcW w:w="1418" w:type="dxa"/>
            <w:tcBorders>
              <w:top w:val="single" w:sz="4" w:space="0" w:color="auto"/>
            </w:tcBorders>
          </w:tcPr>
          <w:p w14:paraId="05B1DF2F" w14:textId="77777777" w:rsidR="00007DD9" w:rsidRPr="00B44B19" w:rsidRDefault="00007DD9" w:rsidP="004F7750">
            <w:pPr>
              <w:jc w:val="both"/>
              <w:rPr>
                <w:rFonts w:cs="Times New Roman"/>
                <w:noProof/>
                <w:sz w:val="20"/>
                <w:szCs w:val="20"/>
              </w:rPr>
            </w:pPr>
            <w:r w:rsidRPr="00B44B19">
              <w:rPr>
                <w:rFonts w:cs="Times New Roman"/>
                <w:noProof/>
                <w:sz w:val="20"/>
                <w:szCs w:val="20"/>
              </w:rPr>
              <w:t>VVL regionas</w:t>
            </w:r>
          </w:p>
        </w:tc>
        <w:tc>
          <w:tcPr>
            <w:tcW w:w="1275" w:type="dxa"/>
            <w:vMerge/>
          </w:tcPr>
          <w:p w14:paraId="13CBB63D" w14:textId="77777777" w:rsidR="00007DD9" w:rsidRPr="00B44B19" w:rsidRDefault="00007DD9" w:rsidP="004F7750">
            <w:pPr>
              <w:rPr>
                <w:rFonts w:eastAsia="Times New Roman" w:cs="Times New Roman"/>
                <w:b/>
                <w:iCs/>
                <w:noProof/>
                <w:sz w:val="20"/>
              </w:rPr>
            </w:pPr>
          </w:p>
        </w:tc>
        <w:tc>
          <w:tcPr>
            <w:tcW w:w="3686" w:type="dxa"/>
            <w:vMerge/>
          </w:tcPr>
          <w:p w14:paraId="091B036D" w14:textId="77777777" w:rsidR="00007DD9" w:rsidRPr="00B44B19" w:rsidRDefault="00007DD9" w:rsidP="004F7750">
            <w:pPr>
              <w:jc w:val="center"/>
              <w:rPr>
                <w:rFonts w:eastAsia="Times New Roman" w:cs="Times New Roman"/>
                <w:iCs/>
                <w:noProof/>
                <w:sz w:val="20"/>
              </w:rPr>
            </w:pPr>
          </w:p>
        </w:tc>
        <w:tc>
          <w:tcPr>
            <w:tcW w:w="1559" w:type="dxa"/>
            <w:tcBorders>
              <w:top w:val="single" w:sz="4" w:space="0" w:color="auto"/>
            </w:tcBorders>
          </w:tcPr>
          <w:p w14:paraId="6C5F2817" w14:textId="77777777" w:rsidR="00007DD9" w:rsidRPr="00B44B19" w:rsidRDefault="00007DD9" w:rsidP="00E91C09">
            <w:pPr>
              <w:jc w:val="right"/>
              <w:rPr>
                <w:rFonts w:eastAsia="Times New Roman" w:cs="Times New Roman"/>
                <w:iCs/>
                <w:noProof/>
                <w:sz w:val="20"/>
              </w:rPr>
            </w:pPr>
            <w:r w:rsidRPr="00B44B19">
              <w:rPr>
                <w:rFonts w:eastAsia="Times New Roman" w:cs="Times New Roman"/>
                <w:iCs/>
                <w:noProof/>
                <w:sz w:val="20"/>
              </w:rPr>
              <w:t>1 040 400,00</w:t>
            </w:r>
          </w:p>
        </w:tc>
      </w:tr>
      <w:tr w:rsidR="00007DD9" w:rsidRPr="00B44B19" w14:paraId="79C3D4D6" w14:textId="77777777" w:rsidTr="00007DD9">
        <w:tc>
          <w:tcPr>
            <w:tcW w:w="1101" w:type="dxa"/>
            <w:vMerge/>
          </w:tcPr>
          <w:p w14:paraId="0BCE052C" w14:textId="77777777" w:rsidR="00007DD9" w:rsidRPr="00B44B19" w:rsidRDefault="00007DD9" w:rsidP="00AF4DED">
            <w:pPr>
              <w:jc w:val="center"/>
              <w:rPr>
                <w:rFonts w:eastAsia="Times New Roman" w:cs="Times New Roman"/>
                <w:iCs/>
                <w:noProof/>
                <w:sz w:val="20"/>
              </w:rPr>
            </w:pPr>
          </w:p>
        </w:tc>
        <w:tc>
          <w:tcPr>
            <w:tcW w:w="850" w:type="dxa"/>
            <w:vMerge/>
          </w:tcPr>
          <w:p w14:paraId="79A91989" w14:textId="77777777" w:rsidR="00007DD9" w:rsidRPr="00B44B19" w:rsidRDefault="00007DD9" w:rsidP="00AF4DED">
            <w:pPr>
              <w:jc w:val="center"/>
              <w:rPr>
                <w:rFonts w:eastAsia="Times New Roman" w:cs="Times New Roman"/>
                <w:iCs/>
                <w:noProof/>
                <w:sz w:val="20"/>
              </w:rPr>
            </w:pPr>
          </w:p>
        </w:tc>
        <w:tc>
          <w:tcPr>
            <w:tcW w:w="1418" w:type="dxa"/>
          </w:tcPr>
          <w:p w14:paraId="67459195" w14:textId="77777777" w:rsidR="00007DD9" w:rsidRPr="00B44B19" w:rsidRDefault="00007DD9" w:rsidP="00AF4DED">
            <w:pPr>
              <w:jc w:val="both"/>
              <w:rPr>
                <w:rFonts w:cs="Times New Roman"/>
                <w:noProof/>
                <w:sz w:val="20"/>
                <w:szCs w:val="20"/>
              </w:rPr>
            </w:pPr>
            <w:r w:rsidRPr="00B44B19">
              <w:rPr>
                <w:rFonts w:cs="Times New Roman"/>
                <w:noProof/>
                <w:sz w:val="20"/>
                <w:szCs w:val="20"/>
              </w:rPr>
              <w:t>Sostinės regionas</w:t>
            </w:r>
          </w:p>
        </w:tc>
        <w:tc>
          <w:tcPr>
            <w:tcW w:w="1275" w:type="dxa"/>
            <w:vMerge/>
          </w:tcPr>
          <w:p w14:paraId="72EEE1DC" w14:textId="77777777" w:rsidR="00007DD9" w:rsidRPr="00B44B19" w:rsidRDefault="00007DD9" w:rsidP="00AF4DED">
            <w:pPr>
              <w:jc w:val="center"/>
              <w:rPr>
                <w:rFonts w:eastAsia="Times New Roman" w:cs="Times New Roman"/>
                <w:iCs/>
                <w:noProof/>
                <w:sz w:val="20"/>
              </w:rPr>
            </w:pPr>
          </w:p>
        </w:tc>
        <w:tc>
          <w:tcPr>
            <w:tcW w:w="3686" w:type="dxa"/>
            <w:vMerge w:val="restart"/>
          </w:tcPr>
          <w:p w14:paraId="515BA1DE" w14:textId="77777777" w:rsidR="00007DD9" w:rsidRPr="00B44B19" w:rsidRDefault="00007DD9" w:rsidP="00AF4DED">
            <w:pPr>
              <w:rPr>
                <w:rFonts w:eastAsia="Times New Roman" w:cs="Times New Roman"/>
                <w:iCs/>
                <w:noProof/>
                <w:sz w:val="20"/>
              </w:rPr>
            </w:pPr>
            <w:r w:rsidRPr="00B44B19">
              <w:rPr>
                <w:rFonts w:eastAsia="Times New Roman" w:cs="Times New Roman"/>
                <w:iCs/>
                <w:noProof/>
                <w:sz w:val="20"/>
              </w:rPr>
              <w:t>127 –</w:t>
            </w:r>
            <w:r w:rsidRPr="00B44B19">
              <w:rPr>
                <w:rFonts w:cs="Times New Roman"/>
              </w:rPr>
              <w:t xml:space="preserve"> </w:t>
            </w:r>
            <w:r w:rsidRPr="00B44B19">
              <w:rPr>
                <w:rFonts w:eastAsia="Times New Roman" w:cs="Times New Roman"/>
                <w:iCs/>
                <w:noProof/>
                <w:sz w:val="20"/>
              </w:rPr>
              <w:t>Kita socialinė infrastruktūra, kuria prisidedama prie socialinės įtraukties bendruomenėje</w:t>
            </w:r>
          </w:p>
        </w:tc>
        <w:tc>
          <w:tcPr>
            <w:tcW w:w="1559" w:type="dxa"/>
          </w:tcPr>
          <w:p w14:paraId="435D9FAF" w14:textId="77777777" w:rsidR="00007DD9" w:rsidRPr="00B44B19" w:rsidRDefault="00007DD9" w:rsidP="00AF4DED">
            <w:pPr>
              <w:jc w:val="right"/>
              <w:rPr>
                <w:rFonts w:eastAsia="Times New Roman" w:cs="Times New Roman"/>
                <w:iCs/>
                <w:noProof/>
                <w:sz w:val="20"/>
              </w:rPr>
            </w:pPr>
            <w:r w:rsidRPr="00B44B19">
              <w:rPr>
                <w:rFonts w:eastAsia="Times New Roman" w:cs="Times New Roman"/>
                <w:iCs/>
                <w:noProof/>
                <w:sz w:val="20"/>
              </w:rPr>
              <w:t>4 583 556,00</w:t>
            </w:r>
          </w:p>
        </w:tc>
      </w:tr>
      <w:tr w:rsidR="00007DD9" w:rsidRPr="00B44B19" w14:paraId="15488DA0" w14:textId="77777777" w:rsidTr="00007DD9">
        <w:tc>
          <w:tcPr>
            <w:tcW w:w="1101" w:type="dxa"/>
            <w:vMerge/>
          </w:tcPr>
          <w:p w14:paraId="68C914E5" w14:textId="77777777" w:rsidR="00007DD9" w:rsidRPr="00B44B19" w:rsidRDefault="00007DD9" w:rsidP="00AF4DED">
            <w:pPr>
              <w:jc w:val="center"/>
              <w:rPr>
                <w:rFonts w:eastAsia="Times New Roman" w:cs="Times New Roman"/>
                <w:iCs/>
                <w:noProof/>
                <w:sz w:val="20"/>
              </w:rPr>
            </w:pPr>
          </w:p>
        </w:tc>
        <w:tc>
          <w:tcPr>
            <w:tcW w:w="850" w:type="dxa"/>
            <w:vMerge/>
          </w:tcPr>
          <w:p w14:paraId="0533787A" w14:textId="77777777" w:rsidR="00007DD9" w:rsidRPr="00B44B19" w:rsidRDefault="00007DD9" w:rsidP="00AF4DED">
            <w:pPr>
              <w:jc w:val="center"/>
              <w:rPr>
                <w:rFonts w:eastAsia="Times New Roman" w:cs="Times New Roman"/>
                <w:iCs/>
                <w:noProof/>
                <w:sz w:val="20"/>
              </w:rPr>
            </w:pPr>
          </w:p>
        </w:tc>
        <w:tc>
          <w:tcPr>
            <w:tcW w:w="1418" w:type="dxa"/>
          </w:tcPr>
          <w:p w14:paraId="22A18749" w14:textId="77777777" w:rsidR="00007DD9" w:rsidRPr="00B44B19" w:rsidRDefault="00007DD9" w:rsidP="00AF4DED">
            <w:pPr>
              <w:jc w:val="both"/>
              <w:rPr>
                <w:rFonts w:cs="Times New Roman"/>
                <w:noProof/>
                <w:sz w:val="20"/>
                <w:szCs w:val="20"/>
              </w:rPr>
            </w:pPr>
            <w:r w:rsidRPr="00B44B19">
              <w:rPr>
                <w:rFonts w:cs="Times New Roman"/>
                <w:noProof/>
                <w:sz w:val="20"/>
                <w:szCs w:val="20"/>
              </w:rPr>
              <w:t>VVL regionas</w:t>
            </w:r>
          </w:p>
        </w:tc>
        <w:tc>
          <w:tcPr>
            <w:tcW w:w="1275" w:type="dxa"/>
            <w:vMerge/>
          </w:tcPr>
          <w:p w14:paraId="29CFC061" w14:textId="77777777" w:rsidR="00007DD9" w:rsidRPr="00B44B19" w:rsidRDefault="00007DD9" w:rsidP="00AF4DED">
            <w:pPr>
              <w:jc w:val="center"/>
              <w:rPr>
                <w:rFonts w:eastAsia="Times New Roman" w:cs="Times New Roman"/>
                <w:iCs/>
                <w:noProof/>
                <w:sz w:val="20"/>
              </w:rPr>
            </w:pPr>
          </w:p>
        </w:tc>
        <w:tc>
          <w:tcPr>
            <w:tcW w:w="3686" w:type="dxa"/>
            <w:vMerge/>
          </w:tcPr>
          <w:p w14:paraId="2214204F" w14:textId="77777777" w:rsidR="00007DD9" w:rsidRPr="00B44B19" w:rsidRDefault="00007DD9" w:rsidP="00AF4DED">
            <w:pPr>
              <w:rPr>
                <w:rFonts w:eastAsia="Times New Roman" w:cs="Times New Roman"/>
                <w:iCs/>
                <w:noProof/>
                <w:sz w:val="20"/>
              </w:rPr>
            </w:pPr>
          </w:p>
        </w:tc>
        <w:tc>
          <w:tcPr>
            <w:tcW w:w="1559" w:type="dxa"/>
          </w:tcPr>
          <w:p w14:paraId="79282CB8" w14:textId="77777777" w:rsidR="00007DD9" w:rsidRPr="00B44B19" w:rsidRDefault="00007DD9" w:rsidP="00AF4DED">
            <w:pPr>
              <w:jc w:val="right"/>
              <w:rPr>
                <w:rFonts w:eastAsia="Times New Roman" w:cs="Times New Roman"/>
                <w:iCs/>
                <w:noProof/>
                <w:sz w:val="20"/>
              </w:rPr>
            </w:pPr>
            <w:r w:rsidRPr="00B44B19">
              <w:rPr>
                <w:rFonts w:eastAsia="Times New Roman" w:cs="Times New Roman"/>
                <w:iCs/>
                <w:noProof/>
                <w:sz w:val="20"/>
              </w:rPr>
              <w:t>40 402 955,00</w:t>
            </w:r>
          </w:p>
        </w:tc>
      </w:tr>
      <w:tr w:rsidR="00007DD9" w:rsidRPr="00B44B19" w14:paraId="5CDEC7DA" w14:textId="77777777" w:rsidTr="00007DD9">
        <w:tc>
          <w:tcPr>
            <w:tcW w:w="1101" w:type="dxa"/>
            <w:vMerge/>
          </w:tcPr>
          <w:p w14:paraId="1B6DF37E" w14:textId="77777777" w:rsidR="00007DD9" w:rsidRPr="00B44B19" w:rsidRDefault="00007DD9" w:rsidP="00AF4DED">
            <w:pPr>
              <w:jc w:val="center"/>
              <w:rPr>
                <w:rFonts w:eastAsia="Times New Roman" w:cs="Times New Roman"/>
                <w:iCs/>
                <w:noProof/>
                <w:sz w:val="20"/>
              </w:rPr>
            </w:pPr>
          </w:p>
        </w:tc>
        <w:tc>
          <w:tcPr>
            <w:tcW w:w="850" w:type="dxa"/>
            <w:vMerge/>
          </w:tcPr>
          <w:p w14:paraId="6422DD5F" w14:textId="77777777" w:rsidR="00007DD9" w:rsidRPr="00B44B19" w:rsidRDefault="00007DD9" w:rsidP="00AF4DED">
            <w:pPr>
              <w:jc w:val="center"/>
              <w:rPr>
                <w:rFonts w:eastAsia="Times New Roman" w:cs="Times New Roman"/>
                <w:iCs/>
                <w:noProof/>
                <w:sz w:val="20"/>
              </w:rPr>
            </w:pPr>
          </w:p>
        </w:tc>
        <w:tc>
          <w:tcPr>
            <w:tcW w:w="1418" w:type="dxa"/>
          </w:tcPr>
          <w:p w14:paraId="289372FC" w14:textId="77777777" w:rsidR="00007DD9" w:rsidRPr="00B44B19" w:rsidRDefault="00007DD9" w:rsidP="00AF4DED">
            <w:pPr>
              <w:jc w:val="both"/>
              <w:rPr>
                <w:rFonts w:cs="Times New Roman"/>
                <w:noProof/>
                <w:sz w:val="20"/>
                <w:szCs w:val="20"/>
              </w:rPr>
            </w:pPr>
            <w:r w:rsidRPr="00B44B19">
              <w:rPr>
                <w:rFonts w:cs="Times New Roman"/>
                <w:noProof/>
                <w:sz w:val="20"/>
                <w:szCs w:val="20"/>
              </w:rPr>
              <w:t>Sostinės regionas</w:t>
            </w:r>
          </w:p>
        </w:tc>
        <w:tc>
          <w:tcPr>
            <w:tcW w:w="1275" w:type="dxa"/>
            <w:vMerge/>
          </w:tcPr>
          <w:p w14:paraId="3BAEEF7C" w14:textId="77777777" w:rsidR="00007DD9" w:rsidRPr="00B44B19" w:rsidRDefault="00007DD9" w:rsidP="00AF4DED">
            <w:pPr>
              <w:jc w:val="center"/>
              <w:rPr>
                <w:rFonts w:eastAsia="Times New Roman" w:cs="Times New Roman"/>
                <w:iCs/>
                <w:noProof/>
                <w:sz w:val="20"/>
              </w:rPr>
            </w:pPr>
          </w:p>
        </w:tc>
        <w:tc>
          <w:tcPr>
            <w:tcW w:w="3686" w:type="dxa"/>
            <w:vMerge w:val="restart"/>
          </w:tcPr>
          <w:p w14:paraId="41263BE4" w14:textId="77777777" w:rsidR="00007DD9" w:rsidRPr="00B44B19" w:rsidRDefault="00007DD9" w:rsidP="00AF4DED">
            <w:pPr>
              <w:rPr>
                <w:rFonts w:eastAsia="Times New Roman" w:cs="Times New Roman"/>
                <w:iCs/>
                <w:noProof/>
                <w:sz w:val="20"/>
              </w:rPr>
            </w:pPr>
            <w:r w:rsidRPr="00B44B19">
              <w:rPr>
                <w:rFonts w:eastAsia="Times New Roman" w:cs="Times New Roman"/>
                <w:iCs/>
                <w:noProof/>
                <w:sz w:val="20"/>
              </w:rPr>
              <w:t>128 – Sveikatos infrastruktūra</w:t>
            </w:r>
          </w:p>
        </w:tc>
        <w:tc>
          <w:tcPr>
            <w:tcW w:w="1559" w:type="dxa"/>
          </w:tcPr>
          <w:p w14:paraId="72D47D7B" w14:textId="2E365725" w:rsidR="00007DD9" w:rsidRPr="00B44B19" w:rsidRDefault="00930464" w:rsidP="00930464">
            <w:pPr>
              <w:jc w:val="right"/>
              <w:rPr>
                <w:rFonts w:eastAsia="Times New Roman" w:cs="Times New Roman"/>
                <w:b/>
                <w:iCs/>
                <w:noProof/>
                <w:sz w:val="20"/>
              </w:rPr>
            </w:pPr>
            <w:r w:rsidRPr="00B44B19">
              <w:rPr>
                <w:rFonts w:cs="Times New Roman"/>
                <w:color w:val="000000"/>
                <w:sz w:val="20"/>
                <w:szCs w:val="20"/>
              </w:rPr>
              <w:t>31 051 259</w:t>
            </w:r>
            <w:r w:rsidR="00863AE6" w:rsidRPr="00B44B19">
              <w:rPr>
                <w:rFonts w:eastAsia="Times New Roman" w:cs="Times New Roman"/>
                <w:iCs/>
                <w:noProof/>
                <w:sz w:val="20"/>
              </w:rPr>
              <w:t>,00</w:t>
            </w:r>
          </w:p>
        </w:tc>
      </w:tr>
      <w:tr w:rsidR="00007DD9" w:rsidRPr="00B44B19" w14:paraId="21DDF66C" w14:textId="77777777" w:rsidTr="00007DD9">
        <w:tc>
          <w:tcPr>
            <w:tcW w:w="1101" w:type="dxa"/>
            <w:vMerge/>
          </w:tcPr>
          <w:p w14:paraId="69A5CCE3" w14:textId="77777777" w:rsidR="00007DD9" w:rsidRPr="00B44B19" w:rsidRDefault="00007DD9" w:rsidP="00AF4DED">
            <w:pPr>
              <w:rPr>
                <w:rFonts w:eastAsia="Times New Roman" w:cs="Times New Roman"/>
                <w:iCs/>
                <w:noProof/>
                <w:sz w:val="20"/>
              </w:rPr>
            </w:pPr>
          </w:p>
        </w:tc>
        <w:tc>
          <w:tcPr>
            <w:tcW w:w="850" w:type="dxa"/>
            <w:vMerge/>
          </w:tcPr>
          <w:p w14:paraId="18B20060" w14:textId="77777777" w:rsidR="00007DD9" w:rsidRPr="00B44B19" w:rsidRDefault="00007DD9" w:rsidP="00AF4DED">
            <w:pPr>
              <w:rPr>
                <w:rFonts w:eastAsia="Times New Roman" w:cs="Times New Roman"/>
                <w:b/>
                <w:iCs/>
                <w:noProof/>
                <w:sz w:val="20"/>
              </w:rPr>
            </w:pPr>
          </w:p>
        </w:tc>
        <w:tc>
          <w:tcPr>
            <w:tcW w:w="1418" w:type="dxa"/>
          </w:tcPr>
          <w:p w14:paraId="7FC52987" w14:textId="77777777" w:rsidR="00007DD9" w:rsidRPr="00B44B19" w:rsidRDefault="00007DD9" w:rsidP="00AF4DED">
            <w:pPr>
              <w:jc w:val="both"/>
              <w:rPr>
                <w:rFonts w:cs="Times New Roman"/>
                <w:noProof/>
                <w:sz w:val="20"/>
                <w:szCs w:val="20"/>
              </w:rPr>
            </w:pPr>
            <w:r w:rsidRPr="00B44B19">
              <w:rPr>
                <w:rFonts w:cs="Times New Roman"/>
                <w:noProof/>
                <w:sz w:val="20"/>
                <w:szCs w:val="20"/>
              </w:rPr>
              <w:t>VVL regionas</w:t>
            </w:r>
          </w:p>
        </w:tc>
        <w:tc>
          <w:tcPr>
            <w:tcW w:w="1275" w:type="dxa"/>
            <w:vMerge/>
          </w:tcPr>
          <w:p w14:paraId="49D72B42" w14:textId="77777777" w:rsidR="00007DD9" w:rsidRPr="00B44B19" w:rsidRDefault="00007DD9" w:rsidP="00AF4DED">
            <w:pPr>
              <w:rPr>
                <w:rFonts w:eastAsia="Times New Roman" w:cs="Times New Roman"/>
                <w:b/>
                <w:iCs/>
                <w:noProof/>
                <w:sz w:val="20"/>
              </w:rPr>
            </w:pPr>
          </w:p>
        </w:tc>
        <w:tc>
          <w:tcPr>
            <w:tcW w:w="3686" w:type="dxa"/>
            <w:vMerge/>
          </w:tcPr>
          <w:p w14:paraId="5EA36FB2" w14:textId="77777777" w:rsidR="00007DD9" w:rsidRPr="00B44B19" w:rsidRDefault="00007DD9" w:rsidP="00AF4DED">
            <w:pPr>
              <w:jc w:val="center"/>
              <w:rPr>
                <w:rFonts w:eastAsia="Times New Roman" w:cs="Times New Roman"/>
                <w:iCs/>
                <w:noProof/>
                <w:sz w:val="20"/>
              </w:rPr>
            </w:pPr>
          </w:p>
        </w:tc>
        <w:tc>
          <w:tcPr>
            <w:tcW w:w="1559" w:type="dxa"/>
          </w:tcPr>
          <w:p w14:paraId="3F00EF02" w14:textId="75B9EA8C" w:rsidR="00007DD9" w:rsidRPr="00B44B19" w:rsidRDefault="00930464" w:rsidP="00930464">
            <w:pPr>
              <w:jc w:val="right"/>
              <w:rPr>
                <w:rFonts w:eastAsia="Times New Roman" w:cs="Times New Roman"/>
                <w:iCs/>
                <w:noProof/>
                <w:sz w:val="20"/>
              </w:rPr>
            </w:pPr>
            <w:r w:rsidRPr="00B44B19">
              <w:rPr>
                <w:rFonts w:cs="Times New Roman"/>
                <w:color w:val="000000"/>
                <w:sz w:val="20"/>
                <w:szCs w:val="20"/>
              </w:rPr>
              <w:t>175 747 600</w:t>
            </w:r>
            <w:r w:rsidR="00863AE6" w:rsidRPr="00B44B19">
              <w:rPr>
                <w:rFonts w:cs="Times New Roman"/>
                <w:sz w:val="20"/>
                <w:szCs w:val="20"/>
              </w:rPr>
              <w:t>,00</w:t>
            </w:r>
          </w:p>
        </w:tc>
      </w:tr>
      <w:tr w:rsidR="00007DD9" w:rsidRPr="00B44B19" w14:paraId="52170687" w14:textId="77777777" w:rsidTr="00007DD9">
        <w:tc>
          <w:tcPr>
            <w:tcW w:w="1101" w:type="dxa"/>
            <w:vMerge/>
          </w:tcPr>
          <w:p w14:paraId="5B4346C7" w14:textId="77777777" w:rsidR="00007DD9" w:rsidRPr="00B44B19" w:rsidRDefault="00007DD9" w:rsidP="00AF4DED">
            <w:pPr>
              <w:rPr>
                <w:rFonts w:eastAsia="Times New Roman" w:cs="Times New Roman"/>
                <w:iCs/>
                <w:noProof/>
                <w:sz w:val="20"/>
              </w:rPr>
            </w:pPr>
          </w:p>
        </w:tc>
        <w:tc>
          <w:tcPr>
            <w:tcW w:w="850" w:type="dxa"/>
            <w:vMerge/>
          </w:tcPr>
          <w:p w14:paraId="3EFF2D50" w14:textId="77777777" w:rsidR="00007DD9" w:rsidRPr="00B44B19" w:rsidRDefault="00007DD9" w:rsidP="00AF4DED">
            <w:pPr>
              <w:rPr>
                <w:rFonts w:eastAsia="Times New Roman" w:cs="Times New Roman"/>
                <w:b/>
                <w:iCs/>
                <w:noProof/>
                <w:sz w:val="20"/>
              </w:rPr>
            </w:pPr>
          </w:p>
        </w:tc>
        <w:tc>
          <w:tcPr>
            <w:tcW w:w="1418" w:type="dxa"/>
          </w:tcPr>
          <w:p w14:paraId="5E7A3AEA" w14:textId="77777777" w:rsidR="00007DD9" w:rsidRPr="00B44B19" w:rsidRDefault="00007DD9" w:rsidP="00AF4DED">
            <w:pPr>
              <w:jc w:val="both"/>
              <w:rPr>
                <w:rFonts w:cs="Times New Roman"/>
                <w:noProof/>
                <w:sz w:val="20"/>
                <w:szCs w:val="20"/>
              </w:rPr>
            </w:pPr>
            <w:r w:rsidRPr="00B44B19">
              <w:rPr>
                <w:rFonts w:cs="Times New Roman"/>
                <w:noProof/>
                <w:sz w:val="20"/>
                <w:szCs w:val="20"/>
              </w:rPr>
              <w:t>Sostinės regionas</w:t>
            </w:r>
          </w:p>
        </w:tc>
        <w:tc>
          <w:tcPr>
            <w:tcW w:w="1275" w:type="dxa"/>
            <w:vMerge/>
          </w:tcPr>
          <w:p w14:paraId="12330F95" w14:textId="77777777" w:rsidR="00007DD9" w:rsidRPr="00B44B19" w:rsidRDefault="00007DD9" w:rsidP="00AF4DED">
            <w:pPr>
              <w:rPr>
                <w:rFonts w:eastAsia="Times New Roman" w:cs="Times New Roman"/>
                <w:b/>
                <w:iCs/>
                <w:noProof/>
                <w:sz w:val="20"/>
              </w:rPr>
            </w:pPr>
          </w:p>
        </w:tc>
        <w:tc>
          <w:tcPr>
            <w:tcW w:w="3686" w:type="dxa"/>
            <w:vMerge w:val="restart"/>
          </w:tcPr>
          <w:p w14:paraId="4BE9822C" w14:textId="77777777" w:rsidR="00007DD9" w:rsidRPr="00B44B19" w:rsidRDefault="00007DD9" w:rsidP="00AF4DED">
            <w:pPr>
              <w:rPr>
                <w:rFonts w:eastAsia="Times New Roman" w:cs="Times New Roman"/>
                <w:iCs/>
                <w:noProof/>
                <w:sz w:val="20"/>
              </w:rPr>
            </w:pPr>
            <w:r w:rsidRPr="00B44B19">
              <w:rPr>
                <w:rFonts w:eastAsia="Times New Roman" w:cs="Times New Roman"/>
                <w:iCs/>
                <w:noProof/>
                <w:sz w:val="20"/>
              </w:rPr>
              <w:t>130 – Sveikatos priežiūros mobilieji ištekliai</w:t>
            </w:r>
          </w:p>
        </w:tc>
        <w:tc>
          <w:tcPr>
            <w:tcW w:w="1559" w:type="dxa"/>
          </w:tcPr>
          <w:p w14:paraId="5833B0EB" w14:textId="77777777" w:rsidR="00007DD9" w:rsidRPr="00B44B19" w:rsidRDefault="00007DD9" w:rsidP="00AF4DED">
            <w:pPr>
              <w:jc w:val="right"/>
              <w:rPr>
                <w:rFonts w:eastAsia="Times New Roman" w:cs="Times New Roman"/>
                <w:iCs/>
                <w:noProof/>
                <w:sz w:val="20"/>
              </w:rPr>
            </w:pPr>
            <w:r w:rsidRPr="00B44B19">
              <w:rPr>
                <w:rFonts w:eastAsia="Times New Roman" w:cs="Times New Roman"/>
                <w:iCs/>
                <w:noProof/>
                <w:sz w:val="20"/>
              </w:rPr>
              <w:t>4 050 000,00</w:t>
            </w:r>
          </w:p>
        </w:tc>
      </w:tr>
      <w:tr w:rsidR="00863AE6" w:rsidRPr="00B44B19" w14:paraId="496E426E" w14:textId="77777777" w:rsidTr="00007DD9">
        <w:tc>
          <w:tcPr>
            <w:tcW w:w="1101" w:type="dxa"/>
            <w:vMerge/>
          </w:tcPr>
          <w:p w14:paraId="1E914EF5" w14:textId="77777777" w:rsidR="00863AE6" w:rsidRPr="00B44B19" w:rsidRDefault="00863AE6" w:rsidP="00AF4DED">
            <w:pPr>
              <w:rPr>
                <w:rFonts w:eastAsia="Times New Roman" w:cs="Times New Roman"/>
                <w:iCs/>
                <w:noProof/>
                <w:sz w:val="20"/>
              </w:rPr>
            </w:pPr>
          </w:p>
        </w:tc>
        <w:tc>
          <w:tcPr>
            <w:tcW w:w="850" w:type="dxa"/>
            <w:vMerge/>
          </w:tcPr>
          <w:p w14:paraId="478EE1AC" w14:textId="77777777" w:rsidR="00863AE6" w:rsidRPr="00B44B19" w:rsidRDefault="00863AE6" w:rsidP="00AF4DED">
            <w:pPr>
              <w:rPr>
                <w:rFonts w:eastAsia="Times New Roman" w:cs="Times New Roman"/>
                <w:b/>
                <w:iCs/>
                <w:noProof/>
                <w:sz w:val="20"/>
              </w:rPr>
            </w:pPr>
          </w:p>
        </w:tc>
        <w:tc>
          <w:tcPr>
            <w:tcW w:w="1418" w:type="dxa"/>
          </w:tcPr>
          <w:p w14:paraId="4F746710" w14:textId="7BC0FA92" w:rsidR="00863AE6" w:rsidRPr="00B44B19" w:rsidRDefault="00863AE6" w:rsidP="00AF4DED">
            <w:pPr>
              <w:jc w:val="both"/>
              <w:rPr>
                <w:rFonts w:cs="Times New Roman"/>
                <w:noProof/>
                <w:sz w:val="20"/>
                <w:szCs w:val="20"/>
              </w:rPr>
            </w:pPr>
            <w:r w:rsidRPr="00B44B19">
              <w:rPr>
                <w:rFonts w:cs="Times New Roman"/>
                <w:noProof/>
                <w:sz w:val="20"/>
                <w:szCs w:val="20"/>
              </w:rPr>
              <w:t>VVL regionas</w:t>
            </w:r>
          </w:p>
        </w:tc>
        <w:tc>
          <w:tcPr>
            <w:tcW w:w="1275" w:type="dxa"/>
            <w:vMerge/>
          </w:tcPr>
          <w:p w14:paraId="3FA2BA03" w14:textId="77777777" w:rsidR="00863AE6" w:rsidRPr="00B44B19" w:rsidRDefault="00863AE6" w:rsidP="00AF4DED">
            <w:pPr>
              <w:rPr>
                <w:rFonts w:eastAsia="Times New Roman" w:cs="Times New Roman"/>
                <w:b/>
                <w:iCs/>
                <w:noProof/>
                <w:sz w:val="20"/>
              </w:rPr>
            </w:pPr>
          </w:p>
        </w:tc>
        <w:tc>
          <w:tcPr>
            <w:tcW w:w="3686" w:type="dxa"/>
            <w:vMerge/>
          </w:tcPr>
          <w:p w14:paraId="60C6DFD4" w14:textId="77777777" w:rsidR="00863AE6" w:rsidRPr="00B44B19" w:rsidRDefault="00863AE6" w:rsidP="00AF4DED">
            <w:pPr>
              <w:rPr>
                <w:rFonts w:eastAsia="Times New Roman" w:cs="Times New Roman"/>
                <w:iCs/>
                <w:noProof/>
                <w:sz w:val="20"/>
              </w:rPr>
            </w:pPr>
          </w:p>
        </w:tc>
        <w:tc>
          <w:tcPr>
            <w:tcW w:w="1559" w:type="dxa"/>
          </w:tcPr>
          <w:p w14:paraId="4885A095" w14:textId="58DDA8B1" w:rsidR="00863AE6" w:rsidRPr="00B44B19" w:rsidRDefault="00863AE6" w:rsidP="00AF4DED">
            <w:pPr>
              <w:jc w:val="right"/>
              <w:rPr>
                <w:rFonts w:eastAsia="Times New Roman" w:cs="Times New Roman"/>
                <w:iCs/>
                <w:noProof/>
                <w:sz w:val="20"/>
              </w:rPr>
            </w:pPr>
            <w:r w:rsidRPr="00B44B19">
              <w:rPr>
                <w:rFonts w:eastAsia="Times New Roman" w:cs="Times New Roman"/>
                <w:iCs/>
                <w:noProof/>
                <w:sz w:val="20"/>
              </w:rPr>
              <w:t>20 604 000,00</w:t>
            </w:r>
          </w:p>
        </w:tc>
      </w:tr>
      <w:tr w:rsidR="00863AE6" w:rsidRPr="00B44B19" w14:paraId="64345E0A" w14:textId="77777777" w:rsidTr="00007DD9">
        <w:tc>
          <w:tcPr>
            <w:tcW w:w="1101" w:type="dxa"/>
            <w:vMerge/>
          </w:tcPr>
          <w:p w14:paraId="44628CE4" w14:textId="77777777" w:rsidR="00863AE6" w:rsidRPr="00B44B19" w:rsidRDefault="00863AE6" w:rsidP="00863AE6">
            <w:pPr>
              <w:rPr>
                <w:rFonts w:eastAsia="Times New Roman" w:cs="Times New Roman"/>
                <w:iCs/>
                <w:noProof/>
                <w:sz w:val="20"/>
              </w:rPr>
            </w:pPr>
          </w:p>
        </w:tc>
        <w:tc>
          <w:tcPr>
            <w:tcW w:w="850" w:type="dxa"/>
            <w:vMerge/>
          </w:tcPr>
          <w:p w14:paraId="13C3F01B" w14:textId="77777777" w:rsidR="00863AE6" w:rsidRPr="00B44B19" w:rsidRDefault="00863AE6" w:rsidP="00863AE6">
            <w:pPr>
              <w:rPr>
                <w:rFonts w:eastAsia="Times New Roman" w:cs="Times New Roman"/>
                <w:b/>
                <w:iCs/>
                <w:noProof/>
                <w:sz w:val="20"/>
              </w:rPr>
            </w:pPr>
          </w:p>
        </w:tc>
        <w:tc>
          <w:tcPr>
            <w:tcW w:w="1418" w:type="dxa"/>
          </w:tcPr>
          <w:p w14:paraId="5EDEF726" w14:textId="24D41E84" w:rsidR="00863AE6" w:rsidRPr="00B44B19" w:rsidRDefault="00863AE6" w:rsidP="00863AE6">
            <w:pPr>
              <w:jc w:val="both"/>
              <w:rPr>
                <w:rFonts w:cs="Times New Roman"/>
                <w:noProof/>
                <w:color w:val="000000" w:themeColor="text1"/>
                <w:sz w:val="20"/>
                <w:szCs w:val="20"/>
              </w:rPr>
            </w:pPr>
            <w:r w:rsidRPr="00B44B19">
              <w:rPr>
                <w:rFonts w:cs="Times New Roman"/>
                <w:noProof/>
                <w:color w:val="000000" w:themeColor="text1"/>
                <w:sz w:val="20"/>
                <w:szCs w:val="20"/>
              </w:rPr>
              <w:t>Sostinės regionas</w:t>
            </w:r>
          </w:p>
        </w:tc>
        <w:tc>
          <w:tcPr>
            <w:tcW w:w="1275" w:type="dxa"/>
            <w:vMerge/>
          </w:tcPr>
          <w:p w14:paraId="2ABC679D" w14:textId="77777777" w:rsidR="00863AE6" w:rsidRPr="00B44B19" w:rsidRDefault="00863AE6" w:rsidP="00863AE6">
            <w:pPr>
              <w:rPr>
                <w:rFonts w:eastAsia="Times New Roman" w:cs="Times New Roman"/>
                <w:b/>
                <w:iCs/>
                <w:noProof/>
                <w:color w:val="000000" w:themeColor="text1"/>
                <w:sz w:val="20"/>
              </w:rPr>
            </w:pPr>
          </w:p>
        </w:tc>
        <w:tc>
          <w:tcPr>
            <w:tcW w:w="3686" w:type="dxa"/>
            <w:vMerge w:val="restart"/>
          </w:tcPr>
          <w:p w14:paraId="18DFC0B6" w14:textId="78A365B2" w:rsidR="00863AE6" w:rsidRPr="00B44B19" w:rsidRDefault="00863AE6" w:rsidP="00863AE6">
            <w:pPr>
              <w:rPr>
                <w:rFonts w:eastAsia="Times New Roman" w:cs="Times New Roman"/>
                <w:iCs/>
                <w:noProof/>
                <w:color w:val="000000" w:themeColor="text1"/>
                <w:sz w:val="20"/>
              </w:rPr>
            </w:pPr>
            <w:r w:rsidRPr="00B44B19">
              <w:rPr>
                <w:rFonts w:eastAsia="Times New Roman" w:cs="Times New Roman"/>
                <w:iCs/>
                <w:noProof/>
                <w:color w:val="000000" w:themeColor="text1"/>
                <w:sz w:val="20"/>
              </w:rPr>
              <w:t>131 – Sveikatos priežiūros skaitmeninimas</w:t>
            </w:r>
          </w:p>
        </w:tc>
        <w:tc>
          <w:tcPr>
            <w:tcW w:w="1559" w:type="dxa"/>
          </w:tcPr>
          <w:p w14:paraId="5AF0D551" w14:textId="78680154" w:rsidR="00863AE6" w:rsidRPr="00B44B19" w:rsidRDefault="00930464" w:rsidP="00930464">
            <w:pPr>
              <w:jc w:val="right"/>
              <w:rPr>
                <w:rFonts w:eastAsia="Times New Roman" w:cs="Times New Roman"/>
                <w:iCs/>
                <w:noProof/>
                <w:color w:val="000000" w:themeColor="text1"/>
                <w:sz w:val="20"/>
              </w:rPr>
            </w:pPr>
            <w:r w:rsidRPr="00B44B19">
              <w:rPr>
                <w:rFonts w:cs="Times New Roman"/>
                <w:color w:val="000000"/>
                <w:sz w:val="20"/>
                <w:szCs w:val="20"/>
              </w:rPr>
              <w:t>2 639 774</w:t>
            </w:r>
            <w:r w:rsidR="00863AE6" w:rsidRPr="00B44B19">
              <w:rPr>
                <w:rFonts w:eastAsia="Times New Roman" w:cs="Times New Roman"/>
                <w:iCs/>
                <w:noProof/>
                <w:color w:val="000000" w:themeColor="text1"/>
                <w:sz w:val="20"/>
              </w:rPr>
              <w:t>,00</w:t>
            </w:r>
          </w:p>
        </w:tc>
      </w:tr>
      <w:tr w:rsidR="00863AE6" w:rsidRPr="00B44B19" w14:paraId="418BE660" w14:textId="77777777" w:rsidTr="00007DD9">
        <w:tc>
          <w:tcPr>
            <w:tcW w:w="1101" w:type="dxa"/>
            <w:vMerge/>
          </w:tcPr>
          <w:p w14:paraId="58625D1B" w14:textId="77777777" w:rsidR="00863AE6" w:rsidRPr="00B44B19" w:rsidRDefault="00863AE6" w:rsidP="00863AE6">
            <w:pPr>
              <w:rPr>
                <w:rFonts w:eastAsia="Times New Roman" w:cs="Times New Roman"/>
                <w:iCs/>
                <w:noProof/>
                <w:sz w:val="20"/>
              </w:rPr>
            </w:pPr>
          </w:p>
        </w:tc>
        <w:tc>
          <w:tcPr>
            <w:tcW w:w="850" w:type="dxa"/>
            <w:vMerge/>
          </w:tcPr>
          <w:p w14:paraId="509ABC82" w14:textId="77777777" w:rsidR="00863AE6" w:rsidRPr="00B44B19" w:rsidRDefault="00863AE6" w:rsidP="00863AE6">
            <w:pPr>
              <w:rPr>
                <w:rFonts w:eastAsia="Times New Roman" w:cs="Times New Roman"/>
                <w:b/>
                <w:iCs/>
                <w:noProof/>
                <w:sz w:val="20"/>
              </w:rPr>
            </w:pPr>
          </w:p>
        </w:tc>
        <w:tc>
          <w:tcPr>
            <w:tcW w:w="1418" w:type="dxa"/>
          </w:tcPr>
          <w:p w14:paraId="5B3EB00D" w14:textId="11C9D616" w:rsidR="00863AE6" w:rsidRPr="00B44B19" w:rsidRDefault="00863AE6" w:rsidP="00863AE6">
            <w:pPr>
              <w:jc w:val="both"/>
              <w:rPr>
                <w:rFonts w:cs="Times New Roman"/>
                <w:noProof/>
                <w:color w:val="000000" w:themeColor="text1"/>
                <w:sz w:val="20"/>
                <w:szCs w:val="20"/>
              </w:rPr>
            </w:pPr>
            <w:r w:rsidRPr="00B44B19">
              <w:rPr>
                <w:rFonts w:cs="Times New Roman"/>
                <w:noProof/>
                <w:color w:val="000000" w:themeColor="text1"/>
                <w:sz w:val="20"/>
                <w:szCs w:val="20"/>
              </w:rPr>
              <w:t>VVL regionas</w:t>
            </w:r>
          </w:p>
        </w:tc>
        <w:tc>
          <w:tcPr>
            <w:tcW w:w="1275" w:type="dxa"/>
            <w:vMerge/>
          </w:tcPr>
          <w:p w14:paraId="0EF4C0FC" w14:textId="77777777" w:rsidR="00863AE6" w:rsidRPr="00B44B19" w:rsidRDefault="00863AE6" w:rsidP="00863AE6">
            <w:pPr>
              <w:rPr>
                <w:rFonts w:eastAsia="Times New Roman" w:cs="Times New Roman"/>
                <w:b/>
                <w:iCs/>
                <w:noProof/>
                <w:color w:val="000000" w:themeColor="text1"/>
                <w:sz w:val="20"/>
              </w:rPr>
            </w:pPr>
          </w:p>
        </w:tc>
        <w:tc>
          <w:tcPr>
            <w:tcW w:w="3686" w:type="dxa"/>
            <w:vMerge/>
          </w:tcPr>
          <w:p w14:paraId="5E9C4A5A" w14:textId="77777777" w:rsidR="00863AE6" w:rsidRPr="00B44B19" w:rsidRDefault="00863AE6" w:rsidP="00863AE6">
            <w:pPr>
              <w:jc w:val="center"/>
              <w:rPr>
                <w:rFonts w:eastAsia="Times New Roman" w:cs="Times New Roman"/>
                <w:iCs/>
                <w:noProof/>
                <w:color w:val="000000" w:themeColor="text1"/>
                <w:sz w:val="20"/>
              </w:rPr>
            </w:pPr>
          </w:p>
        </w:tc>
        <w:tc>
          <w:tcPr>
            <w:tcW w:w="1559" w:type="dxa"/>
          </w:tcPr>
          <w:p w14:paraId="2CDD517D" w14:textId="4907F91D" w:rsidR="00863AE6" w:rsidRPr="00B44B19" w:rsidRDefault="00930464" w:rsidP="00930464">
            <w:pPr>
              <w:jc w:val="right"/>
              <w:rPr>
                <w:rFonts w:eastAsia="Times New Roman" w:cs="Times New Roman"/>
                <w:iCs/>
                <w:noProof/>
                <w:color w:val="000000" w:themeColor="text1"/>
                <w:sz w:val="20"/>
              </w:rPr>
            </w:pPr>
            <w:r w:rsidRPr="00B44B19">
              <w:rPr>
                <w:rFonts w:cs="Times New Roman"/>
                <w:color w:val="000000"/>
                <w:sz w:val="20"/>
                <w:szCs w:val="20"/>
              </w:rPr>
              <w:t>10 471 105</w:t>
            </w:r>
            <w:r w:rsidR="00863AE6" w:rsidRPr="00B44B19">
              <w:rPr>
                <w:rFonts w:eastAsia="Times New Roman" w:cs="Times New Roman"/>
                <w:iCs/>
                <w:noProof/>
                <w:color w:val="000000" w:themeColor="text1"/>
                <w:sz w:val="20"/>
              </w:rPr>
              <w:t>,00</w:t>
            </w:r>
          </w:p>
        </w:tc>
      </w:tr>
    </w:tbl>
    <w:p w14:paraId="2F11D308" w14:textId="77777777" w:rsidR="00007DD9" w:rsidRPr="00B44B19" w:rsidRDefault="00007DD9" w:rsidP="00691690">
      <w:pPr>
        <w:spacing w:after="0" w:line="240" w:lineRule="auto"/>
        <w:rPr>
          <w:rFonts w:cs="Times New Roman"/>
          <w:sz w:val="20"/>
          <w:szCs w:val="20"/>
        </w:rPr>
      </w:pPr>
    </w:p>
    <w:tbl>
      <w:tblPr>
        <w:tblStyle w:val="Lentelstinklelis"/>
        <w:tblW w:w="9889" w:type="dxa"/>
        <w:tblLayout w:type="fixed"/>
        <w:tblLook w:val="04A0" w:firstRow="1" w:lastRow="0" w:firstColumn="1" w:lastColumn="0" w:noHBand="0" w:noVBand="1"/>
      </w:tblPr>
      <w:tblGrid>
        <w:gridCol w:w="1101"/>
        <w:gridCol w:w="850"/>
        <w:gridCol w:w="1418"/>
        <w:gridCol w:w="1275"/>
        <w:gridCol w:w="3686"/>
        <w:gridCol w:w="1559"/>
      </w:tblGrid>
      <w:tr w:rsidR="0066383D" w:rsidRPr="00B44B19" w14:paraId="0F86BB6D" w14:textId="77777777" w:rsidTr="0066383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D9B1CC" w14:textId="77777777" w:rsidR="0066383D" w:rsidRPr="00B44B19" w:rsidRDefault="0066383D" w:rsidP="00A0031F">
            <w:pPr>
              <w:rPr>
                <w:rFonts w:eastAsia="Times New Roman" w:cs="Times New Roman"/>
                <w:b/>
                <w:iCs/>
                <w:noProof/>
                <w:sz w:val="20"/>
              </w:rPr>
            </w:pPr>
            <w:r w:rsidRPr="00B44B19">
              <w:rPr>
                <w:rFonts w:cs="Times New Roman"/>
                <w:b/>
                <w:noProof/>
                <w:sz w:val="20"/>
              </w:rPr>
              <w:t>5 lentelė</w:t>
            </w:r>
            <w:r w:rsidR="004572AB" w:rsidRPr="00B44B19">
              <w:rPr>
                <w:rFonts w:cs="Times New Roman"/>
                <w:b/>
                <w:noProof/>
                <w:sz w:val="20"/>
              </w:rPr>
              <w:t>.</w:t>
            </w:r>
            <w:r w:rsidRPr="00B44B19">
              <w:rPr>
                <w:rFonts w:cs="Times New Roman"/>
                <w:b/>
                <w:noProof/>
                <w:sz w:val="20"/>
              </w:rPr>
              <w:t xml:space="preserve"> 2 matmuo. </w:t>
            </w:r>
            <w:r w:rsidR="00A0031F" w:rsidRPr="00B44B19">
              <w:rPr>
                <w:rFonts w:cs="Times New Roman"/>
                <w:b/>
                <w:noProof/>
                <w:sz w:val="20"/>
              </w:rPr>
              <w:t>Finansavimo</w:t>
            </w:r>
            <w:r w:rsidR="00642083" w:rsidRPr="00B44B19">
              <w:rPr>
                <w:rFonts w:cs="Times New Roman"/>
                <w:b/>
                <w:noProof/>
                <w:sz w:val="20"/>
              </w:rPr>
              <w:t xml:space="preserve"> </w:t>
            </w:r>
            <w:r w:rsidRPr="00B44B19">
              <w:rPr>
                <w:rFonts w:cs="Times New Roman"/>
                <w:b/>
                <w:noProof/>
                <w:sz w:val="20"/>
              </w:rPr>
              <w:t>forma</w:t>
            </w:r>
          </w:p>
        </w:tc>
      </w:tr>
      <w:tr w:rsidR="0066383D" w:rsidRPr="00B44B19" w14:paraId="47E1F101" w14:textId="77777777" w:rsidTr="00E91C09">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D0EFAF"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87D10E"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6C070A"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2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56D55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4321C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72B6F7"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4F7750" w:rsidRPr="00B44B19" w14:paraId="52C5FBEE" w14:textId="77777777" w:rsidTr="00E91C09">
        <w:tc>
          <w:tcPr>
            <w:tcW w:w="1101" w:type="dxa"/>
            <w:vMerge w:val="restart"/>
            <w:tcBorders>
              <w:top w:val="single" w:sz="12" w:space="0" w:color="auto"/>
            </w:tcBorders>
          </w:tcPr>
          <w:p w14:paraId="41E793F2" w14:textId="77777777" w:rsidR="004F7750" w:rsidRPr="00B44B19" w:rsidRDefault="004F7750" w:rsidP="001A5F6C">
            <w:pPr>
              <w:jc w:val="center"/>
              <w:rPr>
                <w:rFonts w:eastAsia="Times New Roman" w:cs="Times New Roman"/>
                <w:iCs/>
                <w:noProof/>
                <w:sz w:val="20"/>
              </w:rPr>
            </w:pPr>
            <w:r w:rsidRPr="00B44B19">
              <w:rPr>
                <w:rFonts w:eastAsia="Times New Roman" w:cs="Times New Roman"/>
                <w:iCs/>
                <w:noProof/>
                <w:sz w:val="20"/>
              </w:rPr>
              <w:t>4</w:t>
            </w:r>
          </w:p>
        </w:tc>
        <w:tc>
          <w:tcPr>
            <w:tcW w:w="850" w:type="dxa"/>
            <w:vMerge w:val="restart"/>
            <w:tcBorders>
              <w:top w:val="single" w:sz="12" w:space="0" w:color="auto"/>
            </w:tcBorders>
          </w:tcPr>
          <w:p w14:paraId="6C2389EC" w14:textId="77777777" w:rsidR="004F7750" w:rsidRPr="00B44B19" w:rsidRDefault="004F7750" w:rsidP="001A5F6C">
            <w:pPr>
              <w:jc w:val="center"/>
              <w:rPr>
                <w:rFonts w:eastAsia="Times New Roman" w:cs="Times New Roman"/>
                <w:iCs/>
                <w:noProof/>
                <w:sz w:val="20"/>
              </w:rPr>
            </w:pPr>
            <w:r w:rsidRPr="00B44B19">
              <w:rPr>
                <w:rFonts w:eastAsia="Times New Roman" w:cs="Times New Roman"/>
                <w:iCs/>
                <w:noProof/>
                <w:sz w:val="20"/>
              </w:rPr>
              <w:t>ERPF</w:t>
            </w:r>
          </w:p>
        </w:tc>
        <w:tc>
          <w:tcPr>
            <w:tcW w:w="1418" w:type="dxa"/>
            <w:tcBorders>
              <w:top w:val="single" w:sz="12" w:space="0" w:color="auto"/>
              <w:bottom w:val="single" w:sz="4" w:space="0" w:color="auto"/>
            </w:tcBorders>
          </w:tcPr>
          <w:p w14:paraId="2A6F08DD" w14:textId="77777777" w:rsidR="004F7750" w:rsidRPr="00B44B19" w:rsidRDefault="004F7750" w:rsidP="00437FF2">
            <w:pPr>
              <w:jc w:val="both"/>
              <w:rPr>
                <w:rFonts w:cs="Times New Roman"/>
                <w:noProof/>
                <w:sz w:val="20"/>
                <w:szCs w:val="20"/>
              </w:rPr>
            </w:pPr>
            <w:r w:rsidRPr="00B44B19">
              <w:rPr>
                <w:rFonts w:cs="Times New Roman"/>
                <w:noProof/>
                <w:sz w:val="20"/>
                <w:szCs w:val="20"/>
              </w:rPr>
              <w:t>Sostinės regionas</w:t>
            </w:r>
          </w:p>
        </w:tc>
        <w:tc>
          <w:tcPr>
            <w:tcW w:w="1275" w:type="dxa"/>
            <w:vMerge w:val="restart"/>
            <w:tcBorders>
              <w:top w:val="single" w:sz="12" w:space="0" w:color="auto"/>
            </w:tcBorders>
          </w:tcPr>
          <w:p w14:paraId="00B3CFF2" w14:textId="77777777" w:rsidR="004F7750" w:rsidRPr="00B44B19" w:rsidRDefault="004F7750" w:rsidP="001A5F6C">
            <w:pPr>
              <w:jc w:val="center"/>
              <w:rPr>
                <w:rFonts w:eastAsia="Times New Roman" w:cs="Times New Roman"/>
                <w:iCs/>
                <w:noProof/>
                <w:sz w:val="20"/>
              </w:rPr>
            </w:pPr>
            <w:r w:rsidRPr="00B44B19">
              <w:rPr>
                <w:rFonts w:eastAsia="Times New Roman" w:cs="Times New Roman"/>
                <w:iCs/>
                <w:noProof/>
                <w:sz w:val="20"/>
              </w:rPr>
              <w:t>4.1</w:t>
            </w:r>
            <w:r w:rsidR="0031600C" w:rsidRPr="00B44B19">
              <w:rPr>
                <w:rFonts w:eastAsia="Times New Roman" w:cs="Times New Roman"/>
                <w:iCs/>
                <w:noProof/>
                <w:sz w:val="20"/>
              </w:rPr>
              <w:t>0</w:t>
            </w:r>
          </w:p>
        </w:tc>
        <w:tc>
          <w:tcPr>
            <w:tcW w:w="3686" w:type="dxa"/>
            <w:vMerge w:val="restart"/>
            <w:tcBorders>
              <w:top w:val="single" w:sz="12" w:space="0" w:color="auto"/>
            </w:tcBorders>
          </w:tcPr>
          <w:p w14:paraId="0D3D193C" w14:textId="77777777" w:rsidR="004F7750" w:rsidRPr="00B44B19" w:rsidRDefault="004F7750" w:rsidP="00E91C09">
            <w:pPr>
              <w:rPr>
                <w:rFonts w:eastAsia="Times New Roman" w:cs="Times New Roman"/>
                <w:iCs/>
                <w:noProof/>
                <w:sz w:val="20"/>
              </w:rPr>
            </w:pPr>
            <w:r w:rsidRPr="00B44B19">
              <w:rPr>
                <w:rFonts w:eastAsia="Times New Roman" w:cs="Times New Roman"/>
                <w:iCs/>
                <w:noProof/>
                <w:sz w:val="20"/>
              </w:rPr>
              <w:t>01</w:t>
            </w:r>
            <w:r w:rsidR="00E91C09" w:rsidRPr="00B44B19">
              <w:rPr>
                <w:rFonts w:eastAsia="Times New Roman" w:cs="Times New Roman"/>
                <w:iCs/>
                <w:noProof/>
                <w:sz w:val="20"/>
              </w:rPr>
              <w:t xml:space="preserve"> </w:t>
            </w:r>
            <w:r w:rsidR="00D43A78" w:rsidRPr="00B44B19">
              <w:rPr>
                <w:rFonts w:eastAsia="Times New Roman" w:cs="Times New Roman"/>
                <w:iCs/>
                <w:noProof/>
                <w:sz w:val="20"/>
              </w:rPr>
              <w:t>–</w:t>
            </w:r>
            <w:r w:rsidR="00E91C09" w:rsidRPr="00B44B19">
              <w:rPr>
                <w:rFonts w:eastAsia="Times New Roman" w:cs="Times New Roman"/>
                <w:iCs/>
                <w:noProof/>
                <w:sz w:val="20"/>
              </w:rPr>
              <w:t xml:space="preserve"> Dotacija</w:t>
            </w:r>
          </w:p>
        </w:tc>
        <w:tc>
          <w:tcPr>
            <w:tcW w:w="1559" w:type="dxa"/>
            <w:tcBorders>
              <w:top w:val="single" w:sz="12" w:space="0" w:color="auto"/>
              <w:bottom w:val="single" w:sz="4" w:space="0" w:color="auto"/>
            </w:tcBorders>
          </w:tcPr>
          <w:p w14:paraId="7BFDCD9D" w14:textId="77777777" w:rsidR="004F7750" w:rsidRPr="00B44B19" w:rsidRDefault="004F7750" w:rsidP="00E91C09">
            <w:pPr>
              <w:jc w:val="right"/>
              <w:rPr>
                <w:rFonts w:eastAsia="Times New Roman" w:cs="Times New Roman"/>
                <w:b/>
                <w:iCs/>
                <w:noProof/>
                <w:sz w:val="20"/>
              </w:rPr>
            </w:pPr>
            <w:r w:rsidRPr="00B44B19">
              <w:rPr>
                <w:rFonts w:eastAsia="Times New Roman" w:cs="Times New Roman"/>
                <w:iCs/>
                <w:noProof/>
                <w:sz w:val="20"/>
              </w:rPr>
              <w:t>43</w:t>
            </w:r>
            <w:r w:rsidR="00E91C09" w:rsidRPr="00B44B19">
              <w:rPr>
                <w:rFonts w:eastAsia="Times New Roman" w:cs="Times New Roman"/>
                <w:iCs/>
                <w:noProof/>
                <w:sz w:val="20"/>
              </w:rPr>
              <w:t> </w:t>
            </w:r>
            <w:r w:rsidRPr="00B44B19">
              <w:rPr>
                <w:rFonts w:eastAsia="Times New Roman" w:cs="Times New Roman"/>
                <w:iCs/>
                <w:noProof/>
                <w:sz w:val="20"/>
              </w:rPr>
              <w:t>984</w:t>
            </w:r>
            <w:r w:rsidR="00E91C09" w:rsidRPr="00B44B19">
              <w:rPr>
                <w:rFonts w:eastAsia="Times New Roman" w:cs="Times New Roman"/>
                <w:iCs/>
                <w:noProof/>
                <w:sz w:val="20"/>
              </w:rPr>
              <w:t> </w:t>
            </w:r>
            <w:r w:rsidRPr="00B44B19">
              <w:rPr>
                <w:rFonts w:eastAsia="Times New Roman" w:cs="Times New Roman"/>
                <w:iCs/>
                <w:noProof/>
                <w:sz w:val="20"/>
              </w:rPr>
              <w:t>589,00</w:t>
            </w:r>
          </w:p>
        </w:tc>
      </w:tr>
      <w:tr w:rsidR="004F7750" w:rsidRPr="00B44B19" w14:paraId="434619DF" w14:textId="77777777" w:rsidTr="00E91C09">
        <w:tc>
          <w:tcPr>
            <w:tcW w:w="1101" w:type="dxa"/>
            <w:vMerge/>
          </w:tcPr>
          <w:p w14:paraId="105EAD4F" w14:textId="77777777" w:rsidR="004F7750" w:rsidRPr="00B44B19" w:rsidRDefault="004F7750" w:rsidP="0066383D">
            <w:pPr>
              <w:rPr>
                <w:rFonts w:eastAsia="Times New Roman" w:cs="Times New Roman"/>
                <w:b/>
                <w:iCs/>
                <w:noProof/>
                <w:sz w:val="20"/>
              </w:rPr>
            </w:pPr>
          </w:p>
        </w:tc>
        <w:tc>
          <w:tcPr>
            <w:tcW w:w="850" w:type="dxa"/>
            <w:vMerge/>
          </w:tcPr>
          <w:p w14:paraId="1B2B6CFE" w14:textId="77777777" w:rsidR="004F7750" w:rsidRPr="00B44B19" w:rsidRDefault="004F7750" w:rsidP="0066383D">
            <w:pPr>
              <w:rPr>
                <w:rFonts w:eastAsia="Times New Roman" w:cs="Times New Roman"/>
                <w:b/>
                <w:iCs/>
                <w:noProof/>
                <w:sz w:val="20"/>
              </w:rPr>
            </w:pPr>
          </w:p>
        </w:tc>
        <w:tc>
          <w:tcPr>
            <w:tcW w:w="1418" w:type="dxa"/>
            <w:tcBorders>
              <w:top w:val="single" w:sz="4" w:space="0" w:color="auto"/>
            </w:tcBorders>
          </w:tcPr>
          <w:p w14:paraId="6C011613" w14:textId="77777777" w:rsidR="004F7750" w:rsidRPr="00B44B19" w:rsidRDefault="004F7750" w:rsidP="00437FF2">
            <w:pPr>
              <w:jc w:val="both"/>
              <w:rPr>
                <w:rFonts w:cs="Times New Roman"/>
                <w:noProof/>
                <w:sz w:val="20"/>
                <w:szCs w:val="20"/>
              </w:rPr>
            </w:pPr>
            <w:r w:rsidRPr="00B44B19">
              <w:rPr>
                <w:rFonts w:cs="Times New Roman"/>
                <w:noProof/>
                <w:sz w:val="20"/>
                <w:szCs w:val="20"/>
              </w:rPr>
              <w:t>VVL regionas</w:t>
            </w:r>
          </w:p>
        </w:tc>
        <w:tc>
          <w:tcPr>
            <w:tcW w:w="1275" w:type="dxa"/>
            <w:vMerge/>
          </w:tcPr>
          <w:p w14:paraId="00B8D3E3" w14:textId="77777777" w:rsidR="004F7750" w:rsidRPr="00B44B19" w:rsidRDefault="004F7750" w:rsidP="0066383D">
            <w:pPr>
              <w:rPr>
                <w:rFonts w:eastAsia="Times New Roman" w:cs="Times New Roman"/>
                <w:b/>
                <w:iCs/>
                <w:noProof/>
                <w:sz w:val="20"/>
              </w:rPr>
            </w:pPr>
          </w:p>
        </w:tc>
        <w:tc>
          <w:tcPr>
            <w:tcW w:w="3686" w:type="dxa"/>
            <w:vMerge/>
          </w:tcPr>
          <w:p w14:paraId="4DA55E0A" w14:textId="77777777" w:rsidR="004F7750" w:rsidRPr="00B44B19" w:rsidRDefault="004F7750" w:rsidP="00437FF2">
            <w:pPr>
              <w:jc w:val="center"/>
              <w:rPr>
                <w:rFonts w:eastAsia="Times New Roman" w:cs="Times New Roman"/>
                <w:iCs/>
                <w:noProof/>
                <w:sz w:val="20"/>
              </w:rPr>
            </w:pPr>
          </w:p>
        </w:tc>
        <w:tc>
          <w:tcPr>
            <w:tcW w:w="1559" w:type="dxa"/>
            <w:tcBorders>
              <w:top w:val="single" w:sz="4" w:space="0" w:color="auto"/>
            </w:tcBorders>
          </w:tcPr>
          <w:p w14:paraId="5C1596C6" w14:textId="132A3EDB" w:rsidR="004F7750" w:rsidRPr="00B44B19" w:rsidRDefault="00BD639C" w:rsidP="00BD639C">
            <w:pPr>
              <w:spacing w:after="200" w:line="276" w:lineRule="auto"/>
              <w:jc w:val="right"/>
              <w:rPr>
                <w:rFonts w:eastAsia="Times New Roman" w:cs="Times New Roman"/>
                <w:iCs/>
                <w:noProof/>
                <w:sz w:val="20"/>
              </w:rPr>
            </w:pPr>
            <w:r w:rsidRPr="00B44B19">
              <w:rPr>
                <w:rFonts w:cs="Times New Roman"/>
                <w:color w:val="000000"/>
                <w:sz w:val="20"/>
                <w:szCs w:val="20"/>
              </w:rPr>
              <w:t>256 115 660</w:t>
            </w:r>
            <w:r w:rsidR="004F7750" w:rsidRPr="00B44B19">
              <w:rPr>
                <w:rFonts w:eastAsia="Times New Roman" w:cs="Times New Roman"/>
                <w:iCs/>
                <w:noProof/>
                <w:sz w:val="20"/>
              </w:rPr>
              <w:t>,00</w:t>
            </w:r>
          </w:p>
        </w:tc>
      </w:tr>
    </w:tbl>
    <w:p w14:paraId="735B6816" w14:textId="77777777" w:rsidR="0066383D" w:rsidRPr="00B44B19" w:rsidRDefault="0066383D" w:rsidP="00691690">
      <w:pPr>
        <w:spacing w:after="0" w:line="240" w:lineRule="auto"/>
        <w:rPr>
          <w:rFonts w:eastAsia="Times New Roman" w:cs="Times New Roman"/>
          <w:iCs/>
          <w:noProof/>
          <w:sz w:val="20"/>
          <w:szCs w:val="20"/>
        </w:rPr>
      </w:pPr>
    </w:p>
    <w:tbl>
      <w:tblPr>
        <w:tblStyle w:val="Lentelstinklelis"/>
        <w:tblW w:w="9889" w:type="dxa"/>
        <w:tblLayout w:type="fixed"/>
        <w:tblLook w:val="04A0" w:firstRow="1" w:lastRow="0" w:firstColumn="1" w:lastColumn="0" w:noHBand="0" w:noVBand="1"/>
      </w:tblPr>
      <w:tblGrid>
        <w:gridCol w:w="1089"/>
        <w:gridCol w:w="847"/>
        <w:gridCol w:w="1433"/>
        <w:gridCol w:w="1144"/>
        <w:gridCol w:w="3817"/>
        <w:gridCol w:w="1559"/>
      </w:tblGrid>
      <w:tr w:rsidR="0066383D" w:rsidRPr="00B44B19" w14:paraId="7DCCA243" w14:textId="77777777" w:rsidTr="004572A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4B4F94C" w14:textId="77777777" w:rsidR="0066383D" w:rsidRPr="00B44B19" w:rsidRDefault="0066383D" w:rsidP="0066383D">
            <w:pPr>
              <w:rPr>
                <w:rFonts w:eastAsia="Times New Roman" w:cs="Times New Roman"/>
                <w:b/>
                <w:iCs/>
                <w:noProof/>
                <w:sz w:val="20"/>
              </w:rPr>
            </w:pPr>
            <w:r w:rsidRPr="00B44B19">
              <w:rPr>
                <w:rFonts w:cs="Times New Roman"/>
                <w:b/>
                <w:noProof/>
                <w:sz w:val="20"/>
              </w:rPr>
              <w:t xml:space="preserve">6 lentelė. 3 matmuo. </w:t>
            </w:r>
            <w:r w:rsidR="00642083" w:rsidRPr="00B44B19">
              <w:rPr>
                <w:rFonts w:cs="Times New Roman"/>
                <w:b/>
                <w:noProof/>
                <w:sz w:val="20"/>
              </w:rPr>
              <w:t>Teritorinis įgyvendinimo mechanizmas ir pagrindinė teritorinė sritis</w:t>
            </w:r>
          </w:p>
        </w:tc>
      </w:tr>
      <w:tr w:rsidR="0066383D" w:rsidRPr="00B44B19" w14:paraId="36DEEC43" w14:textId="77777777" w:rsidTr="004572AB">
        <w:tc>
          <w:tcPr>
            <w:tcW w:w="108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79D363"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AF37F0"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Fondas</w:t>
            </w:r>
          </w:p>
        </w:tc>
        <w:tc>
          <w:tcPr>
            <w:tcW w:w="14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01A3CA"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Regiono kategorija</w:t>
            </w:r>
          </w:p>
        </w:tc>
        <w:tc>
          <w:tcPr>
            <w:tcW w:w="11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F55FAA"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Konkretus uždavinys</w:t>
            </w:r>
          </w:p>
        </w:tc>
        <w:tc>
          <w:tcPr>
            <w:tcW w:w="38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63CA16"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4C72DA" w14:textId="77777777" w:rsidR="0066383D" w:rsidRPr="00B44B19" w:rsidRDefault="0066383D" w:rsidP="0066383D">
            <w:pPr>
              <w:jc w:val="center"/>
              <w:rPr>
                <w:rFonts w:eastAsia="Times New Roman" w:cs="Times New Roman"/>
                <w:b/>
                <w:iCs/>
                <w:noProof/>
                <w:sz w:val="20"/>
              </w:rPr>
            </w:pPr>
            <w:r w:rsidRPr="00B44B19">
              <w:rPr>
                <w:rFonts w:cs="Times New Roman"/>
                <w:b/>
                <w:noProof/>
                <w:sz w:val="20"/>
              </w:rPr>
              <w:t>Suma (EUR)</w:t>
            </w:r>
          </w:p>
        </w:tc>
      </w:tr>
      <w:tr w:rsidR="00724D41" w:rsidRPr="00B44B19" w14:paraId="423991FD" w14:textId="77777777" w:rsidTr="004572AB">
        <w:tc>
          <w:tcPr>
            <w:tcW w:w="1089" w:type="dxa"/>
            <w:vMerge w:val="restart"/>
            <w:tcBorders>
              <w:top w:val="single" w:sz="12" w:space="0" w:color="auto"/>
            </w:tcBorders>
          </w:tcPr>
          <w:p w14:paraId="211AA2BB" w14:textId="77777777" w:rsidR="00724D41" w:rsidRPr="00B44B19" w:rsidRDefault="00724D41" w:rsidP="001267F5">
            <w:pPr>
              <w:jc w:val="center"/>
              <w:rPr>
                <w:rFonts w:eastAsia="Times New Roman" w:cs="Times New Roman"/>
                <w:iCs/>
                <w:noProof/>
                <w:sz w:val="20"/>
              </w:rPr>
            </w:pPr>
            <w:r w:rsidRPr="00B44B19">
              <w:rPr>
                <w:rFonts w:eastAsia="Times New Roman" w:cs="Times New Roman"/>
                <w:iCs/>
                <w:noProof/>
                <w:sz w:val="20"/>
              </w:rPr>
              <w:t>4</w:t>
            </w:r>
          </w:p>
        </w:tc>
        <w:tc>
          <w:tcPr>
            <w:tcW w:w="847" w:type="dxa"/>
            <w:vMerge w:val="restart"/>
            <w:tcBorders>
              <w:top w:val="single" w:sz="12" w:space="0" w:color="auto"/>
            </w:tcBorders>
          </w:tcPr>
          <w:p w14:paraId="15E191FD" w14:textId="77777777" w:rsidR="00724D41" w:rsidRPr="00B44B19" w:rsidRDefault="00724D41" w:rsidP="001267F5">
            <w:pPr>
              <w:jc w:val="center"/>
              <w:rPr>
                <w:rFonts w:eastAsia="Times New Roman" w:cs="Times New Roman"/>
                <w:iCs/>
                <w:noProof/>
                <w:sz w:val="20"/>
              </w:rPr>
            </w:pPr>
            <w:r w:rsidRPr="00B44B19">
              <w:rPr>
                <w:rFonts w:eastAsia="Times New Roman" w:cs="Times New Roman"/>
                <w:iCs/>
                <w:noProof/>
                <w:sz w:val="20"/>
              </w:rPr>
              <w:t>ERPF</w:t>
            </w:r>
          </w:p>
        </w:tc>
        <w:tc>
          <w:tcPr>
            <w:tcW w:w="1433" w:type="dxa"/>
            <w:tcBorders>
              <w:top w:val="single" w:sz="12" w:space="0" w:color="auto"/>
              <w:bottom w:val="single" w:sz="4" w:space="0" w:color="auto"/>
            </w:tcBorders>
          </w:tcPr>
          <w:p w14:paraId="09AA5747" w14:textId="77777777" w:rsidR="00724D41" w:rsidRPr="00B44B19" w:rsidRDefault="00724D41" w:rsidP="00437FF2">
            <w:pPr>
              <w:jc w:val="both"/>
              <w:rPr>
                <w:rFonts w:cs="Times New Roman"/>
                <w:noProof/>
                <w:sz w:val="20"/>
                <w:szCs w:val="20"/>
              </w:rPr>
            </w:pPr>
            <w:r w:rsidRPr="00B44B19">
              <w:rPr>
                <w:rFonts w:cs="Times New Roman"/>
                <w:noProof/>
                <w:sz w:val="20"/>
                <w:szCs w:val="20"/>
              </w:rPr>
              <w:t>Sostinės regionas</w:t>
            </w:r>
          </w:p>
        </w:tc>
        <w:tc>
          <w:tcPr>
            <w:tcW w:w="1144" w:type="dxa"/>
            <w:vMerge w:val="restart"/>
            <w:tcBorders>
              <w:top w:val="single" w:sz="12" w:space="0" w:color="auto"/>
            </w:tcBorders>
          </w:tcPr>
          <w:p w14:paraId="66E2F364" w14:textId="77777777" w:rsidR="00724D41" w:rsidRPr="00B44B19" w:rsidRDefault="00724D41" w:rsidP="001267F5">
            <w:pPr>
              <w:jc w:val="center"/>
              <w:rPr>
                <w:rFonts w:eastAsia="Times New Roman" w:cs="Times New Roman"/>
                <w:iCs/>
                <w:noProof/>
                <w:sz w:val="20"/>
              </w:rPr>
            </w:pPr>
            <w:r w:rsidRPr="00B44B19">
              <w:rPr>
                <w:rFonts w:eastAsia="Times New Roman" w:cs="Times New Roman"/>
                <w:iCs/>
                <w:noProof/>
                <w:sz w:val="20"/>
              </w:rPr>
              <w:t>4.10</w:t>
            </w:r>
          </w:p>
        </w:tc>
        <w:tc>
          <w:tcPr>
            <w:tcW w:w="3817" w:type="dxa"/>
            <w:vMerge w:val="restart"/>
            <w:tcBorders>
              <w:top w:val="single" w:sz="12" w:space="0" w:color="auto"/>
            </w:tcBorders>
          </w:tcPr>
          <w:p w14:paraId="2BA030CD" w14:textId="77777777" w:rsidR="00724D41" w:rsidRPr="00B44B19" w:rsidRDefault="00724D41" w:rsidP="00E91C09">
            <w:pPr>
              <w:rPr>
                <w:rFonts w:eastAsia="Times New Roman" w:cs="Times New Roman"/>
                <w:iCs/>
                <w:noProof/>
                <w:sz w:val="20"/>
              </w:rPr>
            </w:pPr>
            <w:r w:rsidRPr="00B44B19">
              <w:rPr>
                <w:rFonts w:eastAsia="Times New Roman" w:cs="Times New Roman"/>
                <w:iCs/>
                <w:noProof/>
                <w:sz w:val="20"/>
              </w:rPr>
              <w:t>02 – Miestai, miesteliai ir priemiesčiai</w:t>
            </w:r>
          </w:p>
        </w:tc>
        <w:tc>
          <w:tcPr>
            <w:tcW w:w="1559" w:type="dxa"/>
            <w:tcBorders>
              <w:top w:val="single" w:sz="12" w:space="0" w:color="auto"/>
              <w:bottom w:val="single" w:sz="4" w:space="0" w:color="auto"/>
            </w:tcBorders>
          </w:tcPr>
          <w:p w14:paraId="3B7CEA69" w14:textId="77777777" w:rsidR="00724D41" w:rsidRPr="00B44B19" w:rsidRDefault="00007DD9" w:rsidP="002E0C6A">
            <w:pPr>
              <w:jc w:val="right"/>
              <w:rPr>
                <w:rFonts w:eastAsia="Times New Roman" w:cs="Times New Roman"/>
                <w:iCs/>
                <w:noProof/>
                <w:sz w:val="20"/>
              </w:rPr>
            </w:pPr>
            <w:r w:rsidRPr="00B44B19">
              <w:rPr>
                <w:rFonts w:eastAsia="Times New Roman" w:cs="Times New Roman"/>
                <w:iCs/>
                <w:noProof/>
                <w:sz w:val="20"/>
              </w:rPr>
              <w:t>3 655 874</w:t>
            </w:r>
            <w:r w:rsidR="00724D41" w:rsidRPr="00B44B19">
              <w:rPr>
                <w:rFonts w:eastAsia="Times New Roman" w:cs="Times New Roman"/>
                <w:iCs/>
                <w:noProof/>
                <w:sz w:val="20"/>
              </w:rPr>
              <w:t>,00</w:t>
            </w:r>
          </w:p>
        </w:tc>
      </w:tr>
      <w:tr w:rsidR="00724D41" w:rsidRPr="00B44B19" w14:paraId="73AA5F3A" w14:textId="77777777" w:rsidTr="004572AB">
        <w:tc>
          <w:tcPr>
            <w:tcW w:w="1089" w:type="dxa"/>
            <w:vMerge/>
          </w:tcPr>
          <w:p w14:paraId="35A27A91" w14:textId="77777777" w:rsidR="00724D41" w:rsidRPr="00B44B19" w:rsidRDefault="00724D41" w:rsidP="001267F5">
            <w:pPr>
              <w:jc w:val="center"/>
              <w:rPr>
                <w:rFonts w:eastAsia="Times New Roman" w:cs="Times New Roman"/>
                <w:iCs/>
                <w:noProof/>
                <w:sz w:val="20"/>
              </w:rPr>
            </w:pPr>
          </w:p>
        </w:tc>
        <w:tc>
          <w:tcPr>
            <w:tcW w:w="847" w:type="dxa"/>
            <w:vMerge/>
          </w:tcPr>
          <w:p w14:paraId="3544D67B" w14:textId="77777777" w:rsidR="00724D41" w:rsidRPr="00B44B19" w:rsidRDefault="00724D41" w:rsidP="001267F5">
            <w:pPr>
              <w:jc w:val="center"/>
              <w:rPr>
                <w:rFonts w:eastAsia="Times New Roman" w:cs="Times New Roman"/>
                <w:iCs/>
                <w:noProof/>
                <w:sz w:val="20"/>
              </w:rPr>
            </w:pPr>
          </w:p>
        </w:tc>
        <w:tc>
          <w:tcPr>
            <w:tcW w:w="1433" w:type="dxa"/>
            <w:tcBorders>
              <w:top w:val="single" w:sz="4" w:space="0" w:color="auto"/>
              <w:bottom w:val="single" w:sz="4" w:space="0" w:color="auto"/>
            </w:tcBorders>
          </w:tcPr>
          <w:p w14:paraId="2CE5034D" w14:textId="77777777" w:rsidR="00724D41" w:rsidRPr="00B44B19" w:rsidRDefault="00724D41" w:rsidP="00437FF2">
            <w:pPr>
              <w:jc w:val="both"/>
              <w:rPr>
                <w:rFonts w:cs="Times New Roman"/>
                <w:noProof/>
                <w:sz w:val="20"/>
                <w:szCs w:val="20"/>
              </w:rPr>
            </w:pPr>
            <w:r w:rsidRPr="00B44B19">
              <w:rPr>
                <w:rFonts w:cs="Times New Roman"/>
                <w:noProof/>
                <w:sz w:val="20"/>
                <w:szCs w:val="20"/>
              </w:rPr>
              <w:t>VVL regionas</w:t>
            </w:r>
          </w:p>
        </w:tc>
        <w:tc>
          <w:tcPr>
            <w:tcW w:w="1144" w:type="dxa"/>
            <w:vMerge/>
          </w:tcPr>
          <w:p w14:paraId="68BC79E9" w14:textId="77777777" w:rsidR="00724D41" w:rsidRPr="00B44B19" w:rsidRDefault="00724D41" w:rsidP="001267F5">
            <w:pPr>
              <w:jc w:val="center"/>
              <w:rPr>
                <w:rFonts w:eastAsia="Times New Roman" w:cs="Times New Roman"/>
                <w:iCs/>
                <w:noProof/>
                <w:sz w:val="20"/>
              </w:rPr>
            </w:pPr>
          </w:p>
        </w:tc>
        <w:tc>
          <w:tcPr>
            <w:tcW w:w="3817" w:type="dxa"/>
            <w:vMerge/>
            <w:tcBorders>
              <w:bottom w:val="single" w:sz="4" w:space="0" w:color="auto"/>
            </w:tcBorders>
          </w:tcPr>
          <w:p w14:paraId="219DD0CA" w14:textId="77777777" w:rsidR="00724D41" w:rsidRPr="00B44B19" w:rsidRDefault="00724D41" w:rsidP="00E91C09">
            <w:pPr>
              <w:rPr>
                <w:rFonts w:eastAsia="Times New Roman" w:cs="Times New Roman"/>
                <w:iCs/>
                <w:noProof/>
                <w:sz w:val="20"/>
              </w:rPr>
            </w:pPr>
          </w:p>
        </w:tc>
        <w:tc>
          <w:tcPr>
            <w:tcW w:w="1559" w:type="dxa"/>
            <w:tcBorders>
              <w:top w:val="single" w:sz="4" w:space="0" w:color="auto"/>
              <w:bottom w:val="single" w:sz="4" w:space="0" w:color="auto"/>
            </w:tcBorders>
          </w:tcPr>
          <w:p w14:paraId="3E5F9380" w14:textId="77777777" w:rsidR="00724D41" w:rsidRPr="00B44B19" w:rsidRDefault="00724D41" w:rsidP="002E0C6A">
            <w:pPr>
              <w:jc w:val="right"/>
              <w:rPr>
                <w:rFonts w:eastAsia="Times New Roman" w:cs="Times New Roman"/>
                <w:iCs/>
                <w:noProof/>
                <w:sz w:val="20"/>
              </w:rPr>
            </w:pPr>
            <w:r w:rsidRPr="00B44B19">
              <w:rPr>
                <w:rFonts w:eastAsia="Times New Roman" w:cs="Times New Roman"/>
                <w:iCs/>
                <w:noProof/>
                <w:sz w:val="20"/>
              </w:rPr>
              <w:t>25 194 975,00</w:t>
            </w:r>
          </w:p>
        </w:tc>
      </w:tr>
      <w:tr w:rsidR="00724D41" w:rsidRPr="00B44B19" w14:paraId="480330FB" w14:textId="77777777" w:rsidTr="004572AB">
        <w:tc>
          <w:tcPr>
            <w:tcW w:w="1089" w:type="dxa"/>
            <w:vMerge/>
          </w:tcPr>
          <w:p w14:paraId="6A142A15" w14:textId="77777777" w:rsidR="00724D41" w:rsidRPr="00B44B19" w:rsidRDefault="00724D41" w:rsidP="001267F5">
            <w:pPr>
              <w:jc w:val="center"/>
              <w:rPr>
                <w:rFonts w:eastAsia="Times New Roman" w:cs="Times New Roman"/>
                <w:iCs/>
                <w:noProof/>
                <w:sz w:val="20"/>
              </w:rPr>
            </w:pPr>
          </w:p>
        </w:tc>
        <w:tc>
          <w:tcPr>
            <w:tcW w:w="847" w:type="dxa"/>
            <w:vMerge/>
          </w:tcPr>
          <w:p w14:paraId="229F44C4" w14:textId="77777777" w:rsidR="00724D41" w:rsidRPr="00B44B19" w:rsidRDefault="00724D41" w:rsidP="001267F5">
            <w:pPr>
              <w:jc w:val="center"/>
              <w:rPr>
                <w:rFonts w:eastAsia="Times New Roman" w:cs="Times New Roman"/>
                <w:iCs/>
                <w:noProof/>
                <w:sz w:val="20"/>
              </w:rPr>
            </w:pPr>
          </w:p>
        </w:tc>
        <w:tc>
          <w:tcPr>
            <w:tcW w:w="1433" w:type="dxa"/>
            <w:tcBorders>
              <w:top w:val="single" w:sz="4" w:space="0" w:color="auto"/>
              <w:bottom w:val="single" w:sz="4" w:space="0" w:color="auto"/>
            </w:tcBorders>
          </w:tcPr>
          <w:p w14:paraId="531DE493" w14:textId="77777777" w:rsidR="00724D41" w:rsidRPr="00B44B19" w:rsidRDefault="00724D41" w:rsidP="00437FF2">
            <w:pPr>
              <w:jc w:val="both"/>
              <w:rPr>
                <w:rFonts w:cs="Times New Roman"/>
                <w:noProof/>
                <w:sz w:val="20"/>
                <w:szCs w:val="20"/>
              </w:rPr>
            </w:pPr>
            <w:r w:rsidRPr="00B44B19">
              <w:rPr>
                <w:rFonts w:cs="Times New Roman"/>
                <w:noProof/>
                <w:sz w:val="20"/>
                <w:szCs w:val="20"/>
              </w:rPr>
              <w:t>Sostinės regionas</w:t>
            </w:r>
          </w:p>
        </w:tc>
        <w:tc>
          <w:tcPr>
            <w:tcW w:w="1144" w:type="dxa"/>
            <w:vMerge/>
          </w:tcPr>
          <w:p w14:paraId="3CD6BF48" w14:textId="77777777" w:rsidR="00724D41" w:rsidRPr="00B44B19" w:rsidRDefault="00724D41" w:rsidP="001267F5">
            <w:pPr>
              <w:jc w:val="center"/>
              <w:rPr>
                <w:rFonts w:eastAsia="Times New Roman" w:cs="Times New Roman"/>
                <w:iCs/>
                <w:noProof/>
                <w:sz w:val="20"/>
              </w:rPr>
            </w:pPr>
          </w:p>
        </w:tc>
        <w:tc>
          <w:tcPr>
            <w:tcW w:w="3817" w:type="dxa"/>
            <w:vMerge w:val="restart"/>
            <w:tcBorders>
              <w:top w:val="single" w:sz="4" w:space="0" w:color="auto"/>
            </w:tcBorders>
          </w:tcPr>
          <w:p w14:paraId="15750BDE" w14:textId="77777777" w:rsidR="00724D41" w:rsidRPr="00B44B19" w:rsidRDefault="00724D41" w:rsidP="00E91C09">
            <w:pPr>
              <w:rPr>
                <w:rFonts w:eastAsia="Times New Roman" w:cs="Times New Roman"/>
                <w:iCs/>
                <w:noProof/>
                <w:sz w:val="20"/>
              </w:rPr>
            </w:pPr>
            <w:r w:rsidRPr="00B44B19">
              <w:rPr>
                <w:rFonts w:eastAsia="Times New Roman" w:cs="Times New Roman"/>
                <w:iCs/>
                <w:noProof/>
                <w:sz w:val="20"/>
              </w:rPr>
              <w:t>08 – Kitų rūšių tikslinės teritorijos</w:t>
            </w:r>
          </w:p>
        </w:tc>
        <w:tc>
          <w:tcPr>
            <w:tcW w:w="1559" w:type="dxa"/>
            <w:tcBorders>
              <w:top w:val="single" w:sz="4" w:space="0" w:color="auto"/>
              <w:bottom w:val="single" w:sz="4" w:space="0" w:color="auto"/>
            </w:tcBorders>
          </w:tcPr>
          <w:p w14:paraId="46550DE7" w14:textId="77777777" w:rsidR="00724D41" w:rsidRPr="00B44B19" w:rsidRDefault="00724D41" w:rsidP="002E0C6A">
            <w:pPr>
              <w:jc w:val="right"/>
              <w:rPr>
                <w:rFonts w:eastAsia="Times New Roman" w:cs="Times New Roman"/>
                <w:iCs/>
                <w:noProof/>
                <w:sz w:val="20"/>
              </w:rPr>
            </w:pPr>
            <w:r w:rsidRPr="00B44B19">
              <w:rPr>
                <w:rFonts w:eastAsia="Times New Roman" w:cs="Times New Roman"/>
                <w:iCs/>
                <w:noProof/>
                <w:sz w:val="20"/>
              </w:rPr>
              <w:t>3 655 873,00</w:t>
            </w:r>
          </w:p>
        </w:tc>
      </w:tr>
      <w:tr w:rsidR="00724D41" w:rsidRPr="00B44B19" w14:paraId="1270F1F7" w14:textId="77777777" w:rsidTr="004572AB">
        <w:tc>
          <w:tcPr>
            <w:tcW w:w="1089" w:type="dxa"/>
            <w:vMerge/>
          </w:tcPr>
          <w:p w14:paraId="3D7AF3C3" w14:textId="77777777" w:rsidR="00724D41" w:rsidRPr="00B44B19" w:rsidRDefault="00724D41" w:rsidP="001267F5">
            <w:pPr>
              <w:jc w:val="center"/>
              <w:rPr>
                <w:rFonts w:eastAsia="Times New Roman" w:cs="Times New Roman"/>
                <w:iCs/>
                <w:noProof/>
                <w:sz w:val="20"/>
              </w:rPr>
            </w:pPr>
          </w:p>
        </w:tc>
        <w:tc>
          <w:tcPr>
            <w:tcW w:w="847" w:type="dxa"/>
            <w:vMerge/>
          </w:tcPr>
          <w:p w14:paraId="30E64CDE" w14:textId="77777777" w:rsidR="00724D41" w:rsidRPr="00B44B19" w:rsidRDefault="00724D41" w:rsidP="001267F5">
            <w:pPr>
              <w:jc w:val="center"/>
              <w:rPr>
                <w:rFonts w:eastAsia="Times New Roman" w:cs="Times New Roman"/>
                <w:iCs/>
                <w:noProof/>
                <w:sz w:val="20"/>
              </w:rPr>
            </w:pPr>
          </w:p>
        </w:tc>
        <w:tc>
          <w:tcPr>
            <w:tcW w:w="1433" w:type="dxa"/>
            <w:tcBorders>
              <w:top w:val="single" w:sz="4" w:space="0" w:color="auto"/>
              <w:bottom w:val="single" w:sz="4" w:space="0" w:color="auto"/>
            </w:tcBorders>
          </w:tcPr>
          <w:p w14:paraId="0E1FB000" w14:textId="77777777" w:rsidR="00724D41" w:rsidRPr="00B44B19" w:rsidRDefault="00724D41" w:rsidP="00437FF2">
            <w:pPr>
              <w:jc w:val="both"/>
              <w:rPr>
                <w:rFonts w:cs="Times New Roman"/>
                <w:noProof/>
                <w:sz w:val="20"/>
                <w:szCs w:val="20"/>
              </w:rPr>
            </w:pPr>
            <w:r w:rsidRPr="00B44B19">
              <w:rPr>
                <w:rFonts w:cs="Times New Roman"/>
                <w:noProof/>
                <w:sz w:val="20"/>
                <w:szCs w:val="20"/>
              </w:rPr>
              <w:t>VVL regionas</w:t>
            </w:r>
          </w:p>
        </w:tc>
        <w:tc>
          <w:tcPr>
            <w:tcW w:w="1144" w:type="dxa"/>
            <w:vMerge/>
          </w:tcPr>
          <w:p w14:paraId="70AFB12F" w14:textId="77777777" w:rsidR="00724D41" w:rsidRPr="00B44B19" w:rsidRDefault="00724D41" w:rsidP="001267F5">
            <w:pPr>
              <w:jc w:val="center"/>
              <w:rPr>
                <w:rFonts w:eastAsia="Times New Roman" w:cs="Times New Roman"/>
                <w:iCs/>
                <w:noProof/>
                <w:sz w:val="20"/>
              </w:rPr>
            </w:pPr>
          </w:p>
        </w:tc>
        <w:tc>
          <w:tcPr>
            <w:tcW w:w="3817" w:type="dxa"/>
            <w:vMerge/>
          </w:tcPr>
          <w:p w14:paraId="1F2D5954" w14:textId="77777777" w:rsidR="00724D41" w:rsidRPr="00B44B19" w:rsidRDefault="00724D41" w:rsidP="00E91C09">
            <w:pPr>
              <w:rPr>
                <w:rFonts w:eastAsia="Times New Roman" w:cs="Times New Roman"/>
                <w:iCs/>
                <w:noProof/>
                <w:sz w:val="20"/>
              </w:rPr>
            </w:pPr>
          </w:p>
        </w:tc>
        <w:tc>
          <w:tcPr>
            <w:tcW w:w="1559" w:type="dxa"/>
            <w:tcBorders>
              <w:top w:val="single" w:sz="4" w:space="0" w:color="auto"/>
              <w:bottom w:val="single" w:sz="4" w:space="0" w:color="auto"/>
            </w:tcBorders>
          </w:tcPr>
          <w:p w14:paraId="29C8ABBB" w14:textId="77777777" w:rsidR="00724D41" w:rsidRPr="00B44B19" w:rsidRDefault="00724D41" w:rsidP="002E0C6A">
            <w:pPr>
              <w:jc w:val="right"/>
              <w:rPr>
                <w:rFonts w:eastAsia="Times New Roman" w:cs="Times New Roman"/>
                <w:iCs/>
                <w:noProof/>
                <w:sz w:val="20"/>
              </w:rPr>
            </w:pPr>
            <w:r w:rsidRPr="00B44B19">
              <w:rPr>
                <w:rFonts w:eastAsia="Times New Roman" w:cs="Times New Roman"/>
                <w:iCs/>
                <w:noProof/>
                <w:sz w:val="20"/>
              </w:rPr>
              <w:t>25 194 975,00</w:t>
            </w:r>
          </w:p>
        </w:tc>
      </w:tr>
      <w:tr w:rsidR="00724D41" w:rsidRPr="00B44B19" w14:paraId="315BABF3" w14:textId="77777777" w:rsidTr="004572AB">
        <w:tc>
          <w:tcPr>
            <w:tcW w:w="1089" w:type="dxa"/>
            <w:vMerge/>
          </w:tcPr>
          <w:p w14:paraId="11FF39B8" w14:textId="77777777" w:rsidR="00724D41" w:rsidRPr="00B44B19" w:rsidRDefault="00724D41" w:rsidP="001267F5">
            <w:pPr>
              <w:jc w:val="center"/>
              <w:rPr>
                <w:rFonts w:eastAsia="Times New Roman" w:cs="Times New Roman"/>
                <w:iCs/>
                <w:noProof/>
                <w:sz w:val="20"/>
              </w:rPr>
            </w:pPr>
          </w:p>
        </w:tc>
        <w:tc>
          <w:tcPr>
            <w:tcW w:w="847" w:type="dxa"/>
            <w:vMerge/>
          </w:tcPr>
          <w:p w14:paraId="07560909" w14:textId="77777777" w:rsidR="00724D41" w:rsidRPr="00B44B19" w:rsidRDefault="00724D41" w:rsidP="001267F5">
            <w:pPr>
              <w:jc w:val="center"/>
              <w:rPr>
                <w:rFonts w:eastAsia="Times New Roman" w:cs="Times New Roman"/>
                <w:iCs/>
                <w:noProof/>
                <w:sz w:val="20"/>
              </w:rPr>
            </w:pPr>
          </w:p>
        </w:tc>
        <w:tc>
          <w:tcPr>
            <w:tcW w:w="1433" w:type="dxa"/>
            <w:tcBorders>
              <w:top w:val="single" w:sz="4" w:space="0" w:color="auto"/>
              <w:bottom w:val="single" w:sz="4" w:space="0" w:color="auto"/>
            </w:tcBorders>
          </w:tcPr>
          <w:p w14:paraId="0AA552CC" w14:textId="77777777" w:rsidR="00724D41" w:rsidRPr="00B44B19" w:rsidRDefault="00724D41" w:rsidP="00437FF2">
            <w:pPr>
              <w:jc w:val="both"/>
              <w:rPr>
                <w:rFonts w:cs="Times New Roman"/>
                <w:noProof/>
                <w:sz w:val="20"/>
                <w:szCs w:val="20"/>
              </w:rPr>
            </w:pPr>
            <w:r w:rsidRPr="00B44B19">
              <w:rPr>
                <w:rFonts w:cs="Times New Roman"/>
                <w:noProof/>
                <w:sz w:val="20"/>
                <w:szCs w:val="20"/>
              </w:rPr>
              <w:t>Sostinės regionas</w:t>
            </w:r>
          </w:p>
        </w:tc>
        <w:tc>
          <w:tcPr>
            <w:tcW w:w="1144" w:type="dxa"/>
            <w:vMerge/>
          </w:tcPr>
          <w:p w14:paraId="03661C41" w14:textId="77777777" w:rsidR="00724D41" w:rsidRPr="00B44B19" w:rsidRDefault="00724D41" w:rsidP="001267F5">
            <w:pPr>
              <w:jc w:val="center"/>
              <w:rPr>
                <w:rFonts w:eastAsia="Times New Roman" w:cs="Times New Roman"/>
                <w:iCs/>
                <w:noProof/>
                <w:sz w:val="20"/>
              </w:rPr>
            </w:pPr>
          </w:p>
        </w:tc>
        <w:tc>
          <w:tcPr>
            <w:tcW w:w="3817" w:type="dxa"/>
            <w:vMerge w:val="restart"/>
            <w:tcBorders>
              <w:top w:val="single" w:sz="4" w:space="0" w:color="auto"/>
            </w:tcBorders>
          </w:tcPr>
          <w:p w14:paraId="7F56894E" w14:textId="77777777" w:rsidR="00724D41" w:rsidRPr="00B44B19" w:rsidRDefault="00724D41" w:rsidP="00E91C09">
            <w:pPr>
              <w:rPr>
                <w:rFonts w:eastAsia="Times New Roman" w:cs="Times New Roman"/>
                <w:iCs/>
                <w:noProof/>
                <w:sz w:val="20"/>
              </w:rPr>
            </w:pPr>
            <w:r w:rsidRPr="00B44B19">
              <w:rPr>
                <w:rFonts w:eastAsia="Times New Roman" w:cs="Times New Roman"/>
                <w:iCs/>
                <w:noProof/>
                <w:sz w:val="20"/>
              </w:rPr>
              <w:t>33 – Nesiorientuojant į teritoriškumą</w:t>
            </w:r>
          </w:p>
        </w:tc>
        <w:tc>
          <w:tcPr>
            <w:tcW w:w="1559" w:type="dxa"/>
            <w:tcBorders>
              <w:top w:val="single" w:sz="4" w:space="0" w:color="auto"/>
              <w:bottom w:val="single" w:sz="4" w:space="0" w:color="auto"/>
            </w:tcBorders>
          </w:tcPr>
          <w:p w14:paraId="35DE6F2C" w14:textId="77777777" w:rsidR="00724D41" w:rsidRPr="00B44B19" w:rsidRDefault="00724D41" w:rsidP="002E0C6A">
            <w:pPr>
              <w:jc w:val="right"/>
              <w:rPr>
                <w:rFonts w:eastAsia="Times New Roman" w:cs="Times New Roman"/>
                <w:b/>
                <w:iCs/>
                <w:noProof/>
                <w:sz w:val="20"/>
              </w:rPr>
            </w:pPr>
            <w:r w:rsidRPr="00B44B19">
              <w:rPr>
                <w:rFonts w:eastAsia="Times New Roman" w:cs="Times New Roman"/>
                <w:iCs/>
                <w:noProof/>
                <w:sz w:val="20"/>
              </w:rPr>
              <w:t xml:space="preserve">36 </w:t>
            </w:r>
            <w:r w:rsidR="00007DD9" w:rsidRPr="00B44B19">
              <w:rPr>
                <w:rFonts w:eastAsia="Times New Roman" w:cs="Times New Roman"/>
                <w:iCs/>
                <w:noProof/>
                <w:sz w:val="20"/>
              </w:rPr>
              <w:t>672 842</w:t>
            </w:r>
            <w:r w:rsidRPr="00B44B19">
              <w:rPr>
                <w:rFonts w:eastAsia="Times New Roman" w:cs="Times New Roman"/>
                <w:iCs/>
                <w:noProof/>
                <w:sz w:val="20"/>
              </w:rPr>
              <w:t>,00</w:t>
            </w:r>
          </w:p>
        </w:tc>
      </w:tr>
      <w:tr w:rsidR="00724D41" w:rsidRPr="00B44B19" w14:paraId="14602D3F" w14:textId="77777777" w:rsidTr="004572AB">
        <w:tc>
          <w:tcPr>
            <w:tcW w:w="1089" w:type="dxa"/>
            <w:vMerge/>
          </w:tcPr>
          <w:p w14:paraId="24E04F43" w14:textId="77777777" w:rsidR="00724D41" w:rsidRPr="00B44B19" w:rsidRDefault="00724D41" w:rsidP="0066383D">
            <w:pPr>
              <w:rPr>
                <w:rFonts w:eastAsia="Times New Roman" w:cs="Times New Roman"/>
                <w:b/>
                <w:iCs/>
                <w:noProof/>
                <w:sz w:val="20"/>
              </w:rPr>
            </w:pPr>
          </w:p>
        </w:tc>
        <w:tc>
          <w:tcPr>
            <w:tcW w:w="847" w:type="dxa"/>
            <w:vMerge/>
          </w:tcPr>
          <w:p w14:paraId="4C4D89D7" w14:textId="77777777" w:rsidR="00724D41" w:rsidRPr="00B44B19" w:rsidRDefault="00724D41" w:rsidP="0066383D">
            <w:pPr>
              <w:rPr>
                <w:rFonts w:eastAsia="Times New Roman" w:cs="Times New Roman"/>
                <w:b/>
                <w:iCs/>
                <w:noProof/>
                <w:sz w:val="20"/>
              </w:rPr>
            </w:pPr>
          </w:p>
        </w:tc>
        <w:tc>
          <w:tcPr>
            <w:tcW w:w="1433" w:type="dxa"/>
            <w:tcBorders>
              <w:top w:val="single" w:sz="4" w:space="0" w:color="auto"/>
            </w:tcBorders>
          </w:tcPr>
          <w:p w14:paraId="55ADE867" w14:textId="77777777" w:rsidR="00724D41" w:rsidRPr="00B44B19" w:rsidRDefault="00724D41" w:rsidP="00437FF2">
            <w:pPr>
              <w:jc w:val="both"/>
              <w:rPr>
                <w:rFonts w:cs="Times New Roman"/>
                <w:noProof/>
                <w:sz w:val="20"/>
                <w:szCs w:val="20"/>
              </w:rPr>
            </w:pPr>
            <w:r w:rsidRPr="00B44B19">
              <w:rPr>
                <w:rFonts w:cs="Times New Roman"/>
                <w:noProof/>
                <w:sz w:val="20"/>
                <w:szCs w:val="20"/>
              </w:rPr>
              <w:t>VVL regionas</w:t>
            </w:r>
          </w:p>
        </w:tc>
        <w:tc>
          <w:tcPr>
            <w:tcW w:w="1144" w:type="dxa"/>
            <w:vMerge/>
          </w:tcPr>
          <w:p w14:paraId="0BB99575" w14:textId="77777777" w:rsidR="00724D41" w:rsidRPr="00B44B19" w:rsidRDefault="00724D41" w:rsidP="0066383D">
            <w:pPr>
              <w:rPr>
                <w:rFonts w:eastAsia="Times New Roman" w:cs="Times New Roman"/>
                <w:b/>
                <w:iCs/>
                <w:noProof/>
                <w:sz w:val="20"/>
              </w:rPr>
            </w:pPr>
          </w:p>
        </w:tc>
        <w:tc>
          <w:tcPr>
            <w:tcW w:w="3817" w:type="dxa"/>
            <w:vMerge/>
          </w:tcPr>
          <w:p w14:paraId="69A75B67" w14:textId="77777777" w:rsidR="00724D41" w:rsidRPr="00B44B19" w:rsidRDefault="00724D41" w:rsidP="00437FF2">
            <w:pPr>
              <w:jc w:val="center"/>
              <w:rPr>
                <w:rFonts w:eastAsia="Times New Roman" w:cs="Times New Roman"/>
                <w:iCs/>
                <w:noProof/>
                <w:sz w:val="20"/>
              </w:rPr>
            </w:pPr>
          </w:p>
        </w:tc>
        <w:tc>
          <w:tcPr>
            <w:tcW w:w="1559" w:type="dxa"/>
            <w:tcBorders>
              <w:top w:val="single" w:sz="4" w:space="0" w:color="auto"/>
            </w:tcBorders>
          </w:tcPr>
          <w:p w14:paraId="546A7D92" w14:textId="56BA0D22" w:rsidR="00724D41" w:rsidRPr="00B44B19" w:rsidRDefault="00732175" w:rsidP="00732175">
            <w:pPr>
              <w:jc w:val="right"/>
              <w:rPr>
                <w:rFonts w:eastAsia="Times New Roman" w:cs="Times New Roman"/>
                <w:iCs/>
                <w:noProof/>
                <w:sz w:val="20"/>
              </w:rPr>
            </w:pPr>
            <w:r w:rsidRPr="00B44B19">
              <w:rPr>
                <w:rFonts w:cs="Times New Roman"/>
                <w:color w:val="000000"/>
                <w:sz w:val="20"/>
                <w:szCs w:val="20"/>
              </w:rPr>
              <w:t>205 725 710</w:t>
            </w:r>
            <w:r w:rsidR="00724D41" w:rsidRPr="00B44B19">
              <w:rPr>
                <w:rFonts w:eastAsia="Times New Roman" w:cs="Times New Roman"/>
                <w:iCs/>
                <w:noProof/>
                <w:sz w:val="20"/>
              </w:rPr>
              <w:t>,00</w:t>
            </w:r>
          </w:p>
        </w:tc>
      </w:tr>
    </w:tbl>
    <w:p w14:paraId="48B4903F" w14:textId="77777777" w:rsidR="004F7750" w:rsidRPr="00B44B19" w:rsidRDefault="004F7750" w:rsidP="00691690">
      <w:pPr>
        <w:spacing w:after="0" w:line="240" w:lineRule="auto"/>
        <w:rPr>
          <w:rFonts w:cs="Times New Roman"/>
          <w:bCs/>
          <w:sz w:val="20"/>
          <w:szCs w:val="20"/>
        </w:rPr>
      </w:pPr>
    </w:p>
    <w:tbl>
      <w:tblPr>
        <w:tblStyle w:val="Lentelstinklelis44"/>
        <w:tblW w:w="9889" w:type="dxa"/>
        <w:tblLook w:val="04A0" w:firstRow="1" w:lastRow="0" w:firstColumn="1" w:lastColumn="0" w:noHBand="0" w:noVBand="1"/>
      </w:tblPr>
      <w:tblGrid>
        <w:gridCol w:w="1101"/>
        <w:gridCol w:w="850"/>
        <w:gridCol w:w="1418"/>
        <w:gridCol w:w="1134"/>
        <w:gridCol w:w="3737"/>
        <w:gridCol w:w="1649"/>
      </w:tblGrid>
      <w:tr w:rsidR="00600D38" w:rsidRPr="00B44B19" w14:paraId="12CBE058" w14:textId="77777777" w:rsidTr="006A186A">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0E89DE" w14:textId="77777777" w:rsidR="00600D38" w:rsidRPr="00B44B19" w:rsidRDefault="00600D38" w:rsidP="00600D38">
            <w:pPr>
              <w:rPr>
                <w:b/>
                <w:iCs/>
                <w:noProof/>
                <w:sz w:val="20"/>
                <w:szCs w:val="20"/>
              </w:rPr>
            </w:pPr>
            <w:r w:rsidRPr="00B44B19">
              <w:rPr>
                <w:b/>
                <w:noProof/>
                <w:sz w:val="20"/>
                <w:szCs w:val="20"/>
              </w:rPr>
              <w:t xml:space="preserve">8 lentelė. 7 matmuo. </w:t>
            </w:r>
            <w:r w:rsidRPr="00B44B19">
              <w:rPr>
                <w:b/>
                <w:sz w:val="20"/>
                <w:szCs w:val="20"/>
              </w:rPr>
              <w:t>ESF+, ERPF, SF ir TPF lyčių lygybės matmuo</w:t>
            </w:r>
          </w:p>
        </w:tc>
      </w:tr>
      <w:tr w:rsidR="00600D38" w:rsidRPr="00B44B19" w14:paraId="42CB0AF7" w14:textId="77777777" w:rsidTr="006A186A">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6A4984" w14:textId="77777777" w:rsidR="00600D38" w:rsidRPr="00B44B19" w:rsidRDefault="00600D38" w:rsidP="00600D38">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93139D" w14:textId="77777777" w:rsidR="00600D38" w:rsidRPr="00B44B19" w:rsidRDefault="00600D38" w:rsidP="00600D38">
            <w:pPr>
              <w:jc w:val="center"/>
              <w:rPr>
                <w:b/>
                <w:iCs/>
                <w:noProof/>
                <w:sz w:val="20"/>
              </w:rPr>
            </w:pPr>
            <w:r w:rsidRPr="00B44B19">
              <w:rPr>
                <w:b/>
                <w:noProof/>
                <w:sz w:val="20"/>
              </w:rPr>
              <w:t>Fondas</w:t>
            </w:r>
          </w:p>
        </w:tc>
        <w:tc>
          <w:tcPr>
            <w:tcW w:w="14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642C86" w14:textId="77777777" w:rsidR="00600D38" w:rsidRPr="00B44B19" w:rsidRDefault="00600D38" w:rsidP="00600D38">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0CFD40" w14:textId="77777777" w:rsidR="00600D38" w:rsidRPr="00B44B19" w:rsidRDefault="00600D38" w:rsidP="00600D38">
            <w:pPr>
              <w:jc w:val="center"/>
              <w:rPr>
                <w:b/>
                <w:iCs/>
                <w:noProof/>
                <w:sz w:val="20"/>
              </w:rPr>
            </w:pPr>
            <w:r w:rsidRPr="00B44B19">
              <w:rPr>
                <w:b/>
                <w:noProof/>
                <w:sz w:val="20"/>
              </w:rPr>
              <w:t>Konkretus uždavinys</w:t>
            </w:r>
          </w:p>
        </w:tc>
        <w:tc>
          <w:tcPr>
            <w:tcW w:w="37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5C61A7" w14:textId="77777777" w:rsidR="00600D38" w:rsidRPr="00B44B19" w:rsidRDefault="00600D38" w:rsidP="00600D38">
            <w:pPr>
              <w:jc w:val="center"/>
              <w:rPr>
                <w:b/>
                <w:iCs/>
                <w:noProof/>
                <w:sz w:val="20"/>
              </w:rPr>
            </w:pPr>
            <w:r w:rsidRPr="00B44B19">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1B48F7" w14:textId="77777777" w:rsidR="00600D38" w:rsidRPr="00B44B19" w:rsidRDefault="00600D38" w:rsidP="00600D38">
            <w:pPr>
              <w:jc w:val="center"/>
              <w:rPr>
                <w:b/>
                <w:iCs/>
                <w:noProof/>
                <w:sz w:val="20"/>
              </w:rPr>
            </w:pPr>
            <w:r w:rsidRPr="00B44B19">
              <w:rPr>
                <w:b/>
                <w:noProof/>
                <w:sz w:val="20"/>
              </w:rPr>
              <w:t>Suma (EUR)</w:t>
            </w:r>
          </w:p>
        </w:tc>
      </w:tr>
      <w:tr w:rsidR="00600D38" w:rsidRPr="00B44B19" w14:paraId="373C8119" w14:textId="77777777" w:rsidTr="006A186A">
        <w:tc>
          <w:tcPr>
            <w:tcW w:w="1101" w:type="dxa"/>
            <w:vMerge w:val="restart"/>
            <w:tcBorders>
              <w:top w:val="single" w:sz="12" w:space="0" w:color="auto"/>
            </w:tcBorders>
          </w:tcPr>
          <w:p w14:paraId="02707A67" w14:textId="77777777" w:rsidR="00600D38" w:rsidRPr="00B44B19" w:rsidRDefault="00600D38" w:rsidP="00600D38">
            <w:pPr>
              <w:jc w:val="center"/>
              <w:rPr>
                <w:iCs/>
                <w:noProof/>
                <w:sz w:val="20"/>
              </w:rPr>
            </w:pPr>
            <w:r w:rsidRPr="00B44B19">
              <w:rPr>
                <w:iCs/>
                <w:noProof/>
                <w:sz w:val="20"/>
              </w:rPr>
              <w:t>4</w:t>
            </w:r>
          </w:p>
        </w:tc>
        <w:tc>
          <w:tcPr>
            <w:tcW w:w="850" w:type="dxa"/>
            <w:vMerge w:val="restart"/>
            <w:tcBorders>
              <w:top w:val="single" w:sz="12" w:space="0" w:color="auto"/>
            </w:tcBorders>
          </w:tcPr>
          <w:p w14:paraId="30147EA3" w14:textId="77777777" w:rsidR="00600D38" w:rsidRPr="00B44B19" w:rsidRDefault="00600D38" w:rsidP="00600D38">
            <w:pPr>
              <w:jc w:val="center"/>
              <w:rPr>
                <w:iCs/>
                <w:noProof/>
                <w:sz w:val="20"/>
              </w:rPr>
            </w:pPr>
            <w:r w:rsidRPr="00B44B19">
              <w:rPr>
                <w:iCs/>
                <w:noProof/>
                <w:sz w:val="20"/>
              </w:rPr>
              <w:t>ERPF</w:t>
            </w:r>
          </w:p>
        </w:tc>
        <w:tc>
          <w:tcPr>
            <w:tcW w:w="1418" w:type="dxa"/>
            <w:tcBorders>
              <w:top w:val="single" w:sz="12" w:space="0" w:color="auto"/>
            </w:tcBorders>
          </w:tcPr>
          <w:p w14:paraId="1D4AF60E" w14:textId="77777777" w:rsidR="00600D38" w:rsidRPr="00B44B19" w:rsidRDefault="00600D38" w:rsidP="00600D38">
            <w:pPr>
              <w:rPr>
                <w:iCs/>
                <w:noProof/>
                <w:sz w:val="20"/>
              </w:rPr>
            </w:pPr>
            <w:r w:rsidRPr="00B44B19">
              <w:rPr>
                <w:noProof/>
                <w:sz w:val="20"/>
                <w:szCs w:val="20"/>
              </w:rPr>
              <w:t>Sostinės regionas</w:t>
            </w:r>
          </w:p>
        </w:tc>
        <w:tc>
          <w:tcPr>
            <w:tcW w:w="1134" w:type="dxa"/>
            <w:vMerge w:val="restart"/>
            <w:tcBorders>
              <w:top w:val="single" w:sz="12" w:space="0" w:color="auto"/>
            </w:tcBorders>
          </w:tcPr>
          <w:p w14:paraId="5FCE4276" w14:textId="77777777" w:rsidR="00600D38" w:rsidRPr="00B44B19" w:rsidRDefault="00600D38" w:rsidP="00600D38">
            <w:pPr>
              <w:jc w:val="center"/>
              <w:rPr>
                <w:iCs/>
                <w:noProof/>
                <w:sz w:val="20"/>
              </w:rPr>
            </w:pPr>
            <w:r w:rsidRPr="00B44B19">
              <w:rPr>
                <w:iCs/>
                <w:noProof/>
                <w:sz w:val="20"/>
              </w:rPr>
              <w:t>4.1</w:t>
            </w:r>
            <w:r w:rsidR="0031600C" w:rsidRPr="00B44B19">
              <w:rPr>
                <w:iCs/>
                <w:noProof/>
                <w:sz w:val="20"/>
              </w:rPr>
              <w:t>0</w:t>
            </w:r>
          </w:p>
        </w:tc>
        <w:tc>
          <w:tcPr>
            <w:tcW w:w="3737" w:type="dxa"/>
            <w:vMerge w:val="restart"/>
            <w:tcBorders>
              <w:top w:val="single" w:sz="12" w:space="0" w:color="auto"/>
            </w:tcBorders>
          </w:tcPr>
          <w:p w14:paraId="06D89EBC" w14:textId="77777777" w:rsidR="00600D38" w:rsidRPr="00B44B19" w:rsidRDefault="00600D38" w:rsidP="00600D38">
            <w:pPr>
              <w:rPr>
                <w:iCs/>
                <w:noProof/>
                <w:sz w:val="20"/>
              </w:rPr>
            </w:pPr>
            <w:r w:rsidRPr="00B44B19">
              <w:rPr>
                <w:iCs/>
                <w:noProof/>
                <w:sz w:val="20"/>
              </w:rPr>
              <w:t xml:space="preserve">03 </w:t>
            </w:r>
            <w:r w:rsidR="00D43A78" w:rsidRPr="00B44B19">
              <w:rPr>
                <w:iCs/>
                <w:noProof/>
                <w:sz w:val="20"/>
              </w:rPr>
              <w:t>–</w:t>
            </w:r>
            <w:r w:rsidRPr="00B44B19">
              <w:rPr>
                <w:iCs/>
                <w:noProof/>
                <w:sz w:val="20"/>
              </w:rPr>
              <w:t xml:space="preserve"> Neutralumas lyties požiūriu</w:t>
            </w:r>
          </w:p>
        </w:tc>
        <w:tc>
          <w:tcPr>
            <w:tcW w:w="1649" w:type="dxa"/>
            <w:tcBorders>
              <w:top w:val="single" w:sz="12" w:space="0" w:color="auto"/>
            </w:tcBorders>
          </w:tcPr>
          <w:p w14:paraId="3F4E3B0F" w14:textId="77777777" w:rsidR="00600D38" w:rsidRPr="00B44B19" w:rsidRDefault="00600D38" w:rsidP="00600D38">
            <w:pPr>
              <w:jc w:val="right"/>
              <w:rPr>
                <w:iCs/>
                <w:noProof/>
                <w:sz w:val="20"/>
              </w:rPr>
            </w:pPr>
            <w:r w:rsidRPr="00B44B19">
              <w:rPr>
                <w:iCs/>
                <w:noProof/>
                <w:sz w:val="20"/>
              </w:rPr>
              <w:t>43 984 589,00</w:t>
            </w:r>
          </w:p>
        </w:tc>
      </w:tr>
      <w:tr w:rsidR="00600D38" w:rsidRPr="00B44B19" w14:paraId="691558DB" w14:textId="77777777" w:rsidTr="006A186A">
        <w:tc>
          <w:tcPr>
            <w:tcW w:w="1101" w:type="dxa"/>
            <w:vMerge/>
          </w:tcPr>
          <w:p w14:paraId="27315CF9" w14:textId="77777777" w:rsidR="00600D38" w:rsidRPr="00B44B19" w:rsidRDefault="00600D38" w:rsidP="00600D38">
            <w:pPr>
              <w:jc w:val="center"/>
              <w:rPr>
                <w:iCs/>
                <w:noProof/>
                <w:sz w:val="20"/>
              </w:rPr>
            </w:pPr>
          </w:p>
        </w:tc>
        <w:tc>
          <w:tcPr>
            <w:tcW w:w="850" w:type="dxa"/>
            <w:vMerge/>
          </w:tcPr>
          <w:p w14:paraId="2BC87B79" w14:textId="77777777" w:rsidR="00600D38" w:rsidRPr="00B44B19" w:rsidRDefault="00600D38" w:rsidP="00600D38">
            <w:pPr>
              <w:jc w:val="center"/>
              <w:rPr>
                <w:iCs/>
                <w:noProof/>
                <w:sz w:val="20"/>
              </w:rPr>
            </w:pPr>
          </w:p>
        </w:tc>
        <w:tc>
          <w:tcPr>
            <w:tcW w:w="1418" w:type="dxa"/>
          </w:tcPr>
          <w:p w14:paraId="4535A194" w14:textId="77777777" w:rsidR="00600D38" w:rsidRPr="00B44B19" w:rsidRDefault="00600D38" w:rsidP="00600D38">
            <w:pPr>
              <w:rPr>
                <w:iCs/>
                <w:noProof/>
                <w:sz w:val="20"/>
              </w:rPr>
            </w:pPr>
            <w:r w:rsidRPr="00B44B19">
              <w:rPr>
                <w:noProof/>
                <w:sz w:val="20"/>
                <w:szCs w:val="20"/>
              </w:rPr>
              <w:t>VVL regionas</w:t>
            </w:r>
          </w:p>
        </w:tc>
        <w:tc>
          <w:tcPr>
            <w:tcW w:w="1134" w:type="dxa"/>
            <w:vMerge/>
          </w:tcPr>
          <w:p w14:paraId="358495B0" w14:textId="77777777" w:rsidR="00600D38" w:rsidRPr="00B44B19" w:rsidRDefault="00600D38" w:rsidP="00600D38">
            <w:pPr>
              <w:jc w:val="center"/>
              <w:rPr>
                <w:iCs/>
                <w:noProof/>
                <w:sz w:val="20"/>
              </w:rPr>
            </w:pPr>
          </w:p>
        </w:tc>
        <w:tc>
          <w:tcPr>
            <w:tcW w:w="3737" w:type="dxa"/>
            <w:vMerge/>
          </w:tcPr>
          <w:p w14:paraId="3A6F627F" w14:textId="77777777" w:rsidR="00600D38" w:rsidRPr="00B44B19" w:rsidRDefault="00600D38" w:rsidP="00600D38">
            <w:pPr>
              <w:jc w:val="center"/>
              <w:rPr>
                <w:iCs/>
                <w:noProof/>
                <w:sz w:val="20"/>
              </w:rPr>
            </w:pPr>
          </w:p>
        </w:tc>
        <w:tc>
          <w:tcPr>
            <w:tcW w:w="1649" w:type="dxa"/>
          </w:tcPr>
          <w:p w14:paraId="5E2268A5" w14:textId="3A96A652" w:rsidR="00600D38" w:rsidRPr="00B44B19" w:rsidRDefault="00732175" w:rsidP="00732175">
            <w:pPr>
              <w:jc w:val="right"/>
              <w:rPr>
                <w:iCs/>
                <w:noProof/>
                <w:sz w:val="20"/>
              </w:rPr>
            </w:pPr>
            <w:r w:rsidRPr="00B44B19">
              <w:rPr>
                <w:color w:val="000000"/>
                <w:sz w:val="20"/>
                <w:szCs w:val="20"/>
              </w:rPr>
              <w:t>256 115 660</w:t>
            </w:r>
            <w:r w:rsidR="00600D38" w:rsidRPr="00B44B19">
              <w:rPr>
                <w:iCs/>
                <w:noProof/>
                <w:sz w:val="20"/>
              </w:rPr>
              <w:t>,00</w:t>
            </w:r>
          </w:p>
        </w:tc>
      </w:tr>
    </w:tbl>
    <w:p w14:paraId="72FEBE5E" w14:textId="77777777" w:rsidR="00600D38" w:rsidRPr="00B44B19" w:rsidRDefault="00600D38" w:rsidP="00691690">
      <w:pPr>
        <w:spacing w:after="0" w:line="240" w:lineRule="auto"/>
        <w:rPr>
          <w:rFonts w:cs="Times New Roman"/>
          <w:bCs/>
          <w:sz w:val="20"/>
          <w:szCs w:val="20"/>
        </w:rPr>
      </w:pPr>
    </w:p>
    <w:p w14:paraId="31DA232C" w14:textId="77777777" w:rsidR="009952B9" w:rsidRPr="00B44B19" w:rsidRDefault="009952B9">
      <w:pPr>
        <w:rPr>
          <w:rFonts w:cs="Times New Roman"/>
          <w:bCs/>
          <w:szCs w:val="24"/>
        </w:rPr>
      </w:pPr>
      <w:r w:rsidRPr="00B44B19">
        <w:rPr>
          <w:rFonts w:cs="Times New Roman"/>
          <w:bCs/>
          <w:szCs w:val="24"/>
        </w:rPr>
        <w:br w:type="page"/>
      </w:r>
    </w:p>
    <w:p w14:paraId="18840EC0" w14:textId="77777777" w:rsidR="00035E44" w:rsidRPr="00B44B19" w:rsidRDefault="00035E44" w:rsidP="00D456C1">
      <w:pPr>
        <w:pStyle w:val="Antrat1"/>
      </w:pPr>
      <w:bookmarkStart w:id="57" w:name="_Toc223435436"/>
      <w:r w:rsidRPr="00B44B19">
        <w:lastRenderedPageBreak/>
        <w:t xml:space="preserve">5 Prioritetas. </w:t>
      </w:r>
      <w:r w:rsidRPr="00B44B19">
        <w:rPr>
          <w:lang w:bidi="lt-LT"/>
        </w:rPr>
        <w:t xml:space="preserve">Piliečiams artimesnė </w:t>
      </w:r>
      <w:r w:rsidR="00E64265" w:rsidRPr="00B44B19">
        <w:rPr>
          <w:lang w:bidi="lt-LT"/>
        </w:rPr>
        <w:t>Lietuva</w:t>
      </w:r>
      <w:bookmarkEnd w:id="57"/>
    </w:p>
    <w:p w14:paraId="1D36A555" w14:textId="77777777" w:rsidR="00035E44" w:rsidRPr="00B44B19" w:rsidRDefault="00035E44" w:rsidP="00D456C1">
      <w:pPr>
        <w:pStyle w:val="Antrat2"/>
        <w:rPr>
          <w:szCs w:val="24"/>
        </w:rPr>
      </w:pPr>
      <w:bookmarkStart w:id="58" w:name="_Toc223435437"/>
      <w:r w:rsidRPr="00B44B19">
        <w:rPr>
          <w:szCs w:val="24"/>
        </w:rPr>
        <w:t xml:space="preserve">Konkretus uždavinys – 5.1. </w:t>
      </w:r>
      <w:r w:rsidR="00E30265" w:rsidRPr="00B44B19">
        <w:rPr>
          <w:noProof/>
          <w:lang w:bidi="lt-LT"/>
        </w:rPr>
        <w:t>Skatinti integruotą ir įtraukią socialinę, ekonominę ir aplinkosaugos plėtrą, puoselėti kultūrą, gamtos paveldą, darnų turizmą ir saugumą miestų teritorijose</w:t>
      </w:r>
      <w:bookmarkEnd w:id="58"/>
    </w:p>
    <w:p w14:paraId="54716F97" w14:textId="77777777" w:rsidR="00035E44" w:rsidRPr="00B44B19" w:rsidRDefault="00035E44" w:rsidP="00783D09">
      <w:pPr>
        <w:pStyle w:val="Stilius1"/>
        <w:rPr>
          <w:rFonts w:cs="Times New Roman"/>
        </w:rPr>
      </w:pPr>
      <w:r w:rsidRPr="00B44B19">
        <w:rPr>
          <w:rFonts w:cs="Times New Roman"/>
        </w:rPr>
        <w:t>Įgyvendinamos veiklos</w:t>
      </w:r>
    </w:p>
    <w:tbl>
      <w:tblPr>
        <w:tblStyle w:val="Lentelstinklelis10"/>
        <w:tblW w:w="0" w:type="auto"/>
        <w:tblLook w:val="04A0" w:firstRow="1" w:lastRow="0" w:firstColumn="1" w:lastColumn="0" w:noHBand="0" w:noVBand="1"/>
      </w:tblPr>
      <w:tblGrid>
        <w:gridCol w:w="9628"/>
      </w:tblGrid>
      <w:tr w:rsidR="00035E44" w:rsidRPr="00B44B19" w14:paraId="1480F97A" w14:textId="77777777" w:rsidTr="00035E44">
        <w:tc>
          <w:tcPr>
            <w:tcW w:w="9854" w:type="dxa"/>
          </w:tcPr>
          <w:p w14:paraId="1ED2D929" w14:textId="77777777" w:rsidR="0063670C" w:rsidRPr="00B44B19" w:rsidRDefault="0063670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Didėjanti darbo vietų koncentracija miestuose ir mažėjantis gyventojų skaičius lemia tai, kad keičiasi gyventojų mobilumas ir stiprėja švytuoklinė migracija. Viena vertus, aplink miestus esančioms teritorijoms prarandant dalį gyventojų, iš jų </w:t>
            </w:r>
            <w:r w:rsidR="00DC069B" w:rsidRPr="00B44B19">
              <w:rPr>
                <w:rFonts w:ascii="Times New Roman" w:eastAsia="Times New Roman" w:hAnsi="Times New Roman" w:cs="Times New Roman"/>
              </w:rPr>
              <w:t xml:space="preserve">pasitraukia </w:t>
            </w:r>
            <w:r w:rsidRPr="00B44B19">
              <w:rPr>
                <w:rFonts w:ascii="Times New Roman" w:eastAsia="Times New Roman" w:hAnsi="Times New Roman" w:cs="Times New Roman"/>
              </w:rPr>
              <w:t>verslai, sunkiau užtikrinti viešųjų paslaugų prieinamumą. Kita vertus, miestai turi aptarnauti vis platesnę teritoriją, kurios gyventojams jie teikia paslaugas ir užtikrina darbo vietas. Dėl transporto srautų ir su savo užduotimis nesusitvarkančio viešojo transporto prarandamas laikas spūstyse, didėja neigiamas poveikis aplinkai ir gyvenimo kokybei. Miestams kyla nauj</w:t>
            </w:r>
            <w:r w:rsidR="00DC069B"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iššūki</w:t>
            </w:r>
            <w:r w:rsidR="00DC069B" w:rsidRPr="00B44B19">
              <w:rPr>
                <w:rFonts w:ascii="Times New Roman" w:eastAsia="Times New Roman" w:hAnsi="Times New Roman" w:cs="Times New Roman"/>
              </w:rPr>
              <w:t>ų</w:t>
            </w:r>
            <w:r w:rsidRPr="00B44B19">
              <w:rPr>
                <w:rFonts w:ascii="Times New Roman" w:eastAsia="Times New Roman" w:hAnsi="Times New Roman" w:cs="Times New Roman"/>
              </w:rPr>
              <w:t>: demografini</w:t>
            </w:r>
            <w:r w:rsidR="00DC069B" w:rsidRPr="00B44B19">
              <w:rPr>
                <w:rFonts w:ascii="Times New Roman" w:eastAsia="Times New Roman" w:hAnsi="Times New Roman" w:cs="Times New Roman"/>
              </w:rPr>
              <w:t>ų</w:t>
            </w:r>
            <w:r w:rsidRPr="00B44B19">
              <w:rPr>
                <w:rFonts w:ascii="Times New Roman" w:eastAsia="Times New Roman" w:hAnsi="Times New Roman" w:cs="Times New Roman"/>
              </w:rPr>
              <w:t>, vidaus ir išorės migracijos pokyči</w:t>
            </w:r>
            <w:r w:rsidR="00DC069B" w:rsidRPr="00B44B19">
              <w:rPr>
                <w:rFonts w:ascii="Times New Roman" w:eastAsia="Times New Roman" w:hAnsi="Times New Roman" w:cs="Times New Roman"/>
              </w:rPr>
              <w:t>ų</w:t>
            </w:r>
            <w:r w:rsidRPr="00B44B19">
              <w:rPr>
                <w:rFonts w:ascii="Times New Roman" w:eastAsia="Times New Roman" w:hAnsi="Times New Roman" w:cs="Times New Roman"/>
              </w:rPr>
              <w:t>, klimato kait</w:t>
            </w:r>
            <w:r w:rsidR="00DC069B" w:rsidRPr="00B44B19">
              <w:rPr>
                <w:rFonts w:ascii="Times New Roman" w:eastAsia="Times New Roman" w:hAnsi="Times New Roman" w:cs="Times New Roman"/>
              </w:rPr>
              <w:t>os</w:t>
            </w:r>
            <w:r w:rsidRPr="00B44B19">
              <w:rPr>
                <w:rFonts w:ascii="Times New Roman" w:eastAsia="Times New Roman" w:hAnsi="Times New Roman" w:cs="Times New Roman"/>
              </w:rPr>
              <w:t>, būtinybė</w:t>
            </w:r>
            <w:r w:rsidR="00DC069B" w:rsidRPr="00B44B19">
              <w:rPr>
                <w:rFonts w:ascii="Times New Roman" w:eastAsia="Times New Roman" w:hAnsi="Times New Roman" w:cs="Times New Roman"/>
              </w:rPr>
              <w:t>s</w:t>
            </w:r>
            <w:r w:rsidRPr="00B44B19">
              <w:rPr>
                <w:rFonts w:ascii="Times New Roman" w:eastAsia="Times New Roman" w:hAnsi="Times New Roman" w:cs="Times New Roman"/>
              </w:rPr>
              <w:t xml:space="preserve"> neatsilikti nuo ketvirtosios pramoninės revoliucijos, kov</w:t>
            </w:r>
            <w:r w:rsidR="00DC069B" w:rsidRPr="00B44B19">
              <w:rPr>
                <w:rFonts w:ascii="Times New Roman" w:eastAsia="Times New Roman" w:hAnsi="Times New Roman" w:cs="Times New Roman"/>
              </w:rPr>
              <w:t>os</w:t>
            </w:r>
            <w:r w:rsidRPr="00B44B19">
              <w:rPr>
                <w:rFonts w:ascii="Times New Roman" w:eastAsia="Times New Roman" w:hAnsi="Times New Roman" w:cs="Times New Roman"/>
              </w:rPr>
              <w:t xml:space="preserve"> su</w:t>
            </w:r>
            <w:r w:rsidR="00DC069B" w:rsidRPr="00B44B19">
              <w:rPr>
                <w:rFonts w:ascii="Times New Roman" w:eastAsia="Times New Roman" w:hAnsi="Times New Roman" w:cs="Times New Roman"/>
              </w:rPr>
              <w:t xml:space="preserve"> </w:t>
            </w:r>
            <w:r w:rsidRPr="00B44B19">
              <w:rPr>
                <w:rFonts w:ascii="Times New Roman" w:eastAsia="Times New Roman" w:hAnsi="Times New Roman" w:cs="Times New Roman"/>
              </w:rPr>
              <w:t>pandemija ir jos pasekmėmis</w:t>
            </w:r>
            <w:r w:rsidR="00DC069B"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DC069B" w:rsidRPr="00B44B19">
              <w:rPr>
                <w:rFonts w:ascii="Times New Roman" w:eastAsia="Times New Roman" w:hAnsi="Times New Roman" w:cs="Times New Roman"/>
              </w:rPr>
              <w:t>kai</w:t>
            </w:r>
            <w:r w:rsidRPr="00B44B19">
              <w:rPr>
                <w:rFonts w:ascii="Times New Roman" w:eastAsia="Times New Roman" w:hAnsi="Times New Roman" w:cs="Times New Roman"/>
              </w:rPr>
              <w:t xml:space="preserve"> prarandamos darbo vietos, mažėja dalies įmonių konkurencingum</w:t>
            </w:r>
            <w:r w:rsidR="00DC069B" w:rsidRPr="00B44B19">
              <w:rPr>
                <w:rFonts w:ascii="Times New Roman" w:eastAsia="Times New Roman" w:hAnsi="Times New Roman" w:cs="Times New Roman"/>
              </w:rPr>
              <w:t>as</w:t>
            </w:r>
            <w:r w:rsidRPr="00B44B19">
              <w:rPr>
                <w:rFonts w:ascii="Times New Roman" w:eastAsia="Times New Roman" w:hAnsi="Times New Roman" w:cs="Times New Roman"/>
              </w:rPr>
              <w:t xml:space="preserve">. </w:t>
            </w:r>
            <w:r w:rsidRPr="00B44B19">
              <w:rPr>
                <w:rFonts w:ascii="Times New Roman" w:eastAsia="Times New Roman" w:hAnsi="Times New Roman" w:cs="Times New Roman"/>
                <w:bCs/>
              </w:rPr>
              <w:t>Konkretaus miesto įtaka teritorinės problemos sprendimui priklauso nuo problemos pobūdžio ir sklaidos,</w:t>
            </w:r>
            <w:r w:rsidRPr="00B44B19">
              <w:rPr>
                <w:rFonts w:ascii="Times New Roman" w:eastAsia="Times New Roman" w:hAnsi="Times New Roman" w:cs="Times New Roman"/>
              </w:rPr>
              <w:t xml:space="preserve"> kuri lemia veiksmų rinkinį bei partnerių pasirinkimą, todėl pagrindinis vaidmuo tenka miestui (savivaldybei (-ėms)), kuris yra tiesiogiai atsakingas už sprendimų priėmimą, tvarios miesto plėtros strategijos rengimą, tvirtinimą ir įgyvendinimą. Be to, savivaldybė užtikrina plačią partnerystę (piliečių, VVG, socialinių ir aplinkosauginių partnerių aktyvų įtraukimą) rengiant ir įgyvendinant strategiją.</w:t>
            </w:r>
          </w:p>
          <w:p w14:paraId="19E1C38D" w14:textId="77777777" w:rsidR="0063670C" w:rsidRPr="00B44B19" w:rsidRDefault="0063670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 xml:space="preserve">Tvarios miesto plėtros strategija yra laikoma ITI teritorine strategija. </w:t>
            </w:r>
            <w:r w:rsidRPr="00B44B19">
              <w:rPr>
                <w:rFonts w:ascii="Times New Roman" w:eastAsia="Times New Roman" w:hAnsi="Times New Roman" w:cs="Times New Roman"/>
              </w:rPr>
              <w:t xml:space="preserve">Įgyvendinant šias strategijas investuojama į tvarią ir individualizuotą 10-ies regionų centrų (Vilniaus, Kauno, Klaipėdos, Šiaulių, Panevėžio, Alytaus, Utenos, Telšių, Marijampolės ir Tauragės) plėtrą, iš jų 3-jų </w:t>
            </w:r>
            <w:r w:rsidR="00DC069B" w:rsidRPr="00B44B19">
              <w:rPr>
                <w:rFonts w:ascii="Times New Roman" w:eastAsia="Times New Roman" w:hAnsi="Times New Roman" w:cs="Times New Roman"/>
              </w:rPr>
              <w:t xml:space="preserve">regionų centrų </w:t>
            </w:r>
            <w:r w:rsidRPr="00B44B19">
              <w:rPr>
                <w:rFonts w:ascii="Times New Roman" w:eastAsia="Times New Roman" w:hAnsi="Times New Roman" w:cs="Times New Roman"/>
              </w:rPr>
              <w:t xml:space="preserve">(Vilniaus, Kauno, Klaipėdos) atveju – apimant ir jų priemiesčius. Integruotos miesto (kur tinkama – miesto ir jo priemiesčių) tvarios plėtros strategijos rengiamos laikantis pritaikytų miestų vietovėms metodologinio kompleksinių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 xml:space="preserve"> plėtros projekto metu parengtų rekomendacijų. Tvarios miestų plėtros strategijose numatomi veiksmai įgyvendinami </w:t>
            </w:r>
            <w:r w:rsidRPr="00B44B19">
              <w:rPr>
                <w:rFonts w:ascii="Times New Roman" w:eastAsia="Times New Roman" w:hAnsi="Times New Roman" w:cs="Times New Roman"/>
                <w:b/>
              </w:rPr>
              <w:t>laikantis horizontalių</w:t>
            </w:r>
            <w:r w:rsidR="00DC069B" w:rsidRPr="00B44B19">
              <w:rPr>
                <w:rFonts w:ascii="Times New Roman" w:eastAsia="Times New Roman" w:hAnsi="Times New Roman" w:cs="Times New Roman"/>
                <w:b/>
              </w:rPr>
              <w:t>jų</w:t>
            </w:r>
            <w:r w:rsidRPr="00B44B19">
              <w:rPr>
                <w:rFonts w:ascii="Times New Roman" w:eastAsia="Times New Roman" w:hAnsi="Times New Roman" w:cs="Times New Roman"/>
                <w:b/>
              </w:rPr>
              <w:t xml:space="preserve"> tvarumo ir sumanumo principų</w:t>
            </w:r>
            <w:r w:rsidRPr="00B44B19">
              <w:rPr>
                <w:rFonts w:ascii="Times New Roman" w:eastAsia="Times New Roman" w:hAnsi="Times New Roman" w:cs="Times New Roman"/>
              </w:rPr>
              <w:t xml:space="preserve">. </w:t>
            </w:r>
          </w:p>
          <w:p w14:paraId="0517C0E8" w14:textId="77777777" w:rsidR="0063670C" w:rsidRPr="00B44B19" w:rsidRDefault="0063670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Tvarios miestų plėtros strategijos įgyvendinamos kaip ITI,</w:t>
            </w:r>
            <w:r w:rsidRPr="00B44B19">
              <w:rPr>
                <w:rFonts w:ascii="Times New Roman" w:eastAsia="Times New Roman" w:hAnsi="Times New Roman" w:cs="Times New Roman"/>
              </w:rPr>
              <w:t xml:space="preserve"> koncentruojantis į šiuos iššūkius ir </w:t>
            </w:r>
            <w:r w:rsidR="00C758AB" w:rsidRPr="00B44B19">
              <w:rPr>
                <w:rFonts w:ascii="Times New Roman" w:eastAsia="Times New Roman" w:hAnsi="Times New Roman" w:cs="Times New Roman"/>
              </w:rPr>
              <w:t xml:space="preserve">Programos </w:t>
            </w:r>
            <w:r w:rsidRPr="00B44B19">
              <w:rPr>
                <w:rFonts w:ascii="Times New Roman" w:eastAsia="Times New Roman" w:hAnsi="Times New Roman" w:cs="Times New Roman"/>
              </w:rPr>
              <w:t xml:space="preserve">uždavinius: </w:t>
            </w:r>
          </w:p>
          <w:p w14:paraId="7B503F19" w14:textId="77777777" w:rsidR="0063670C" w:rsidRPr="00B44B19" w:rsidRDefault="003733DA" w:rsidP="00E67E5C">
            <w:pPr>
              <w:numPr>
                <w:ilvl w:val="0"/>
                <w:numId w:val="5"/>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b/>
              </w:rPr>
              <w:t>T</w:t>
            </w:r>
            <w:r w:rsidR="0063670C" w:rsidRPr="00B44B19">
              <w:rPr>
                <w:rFonts w:ascii="Times New Roman" w:eastAsia="Times New Roman" w:hAnsi="Times New Roman" w:cs="Times New Roman"/>
                <w:b/>
              </w:rPr>
              <w:t>varų judumą miestuose ir jų priemiesčiuose</w:t>
            </w:r>
            <w:r w:rsidR="0063670C" w:rsidRPr="00B44B19">
              <w:rPr>
                <w:rFonts w:ascii="Times New Roman" w:eastAsia="Times New Roman" w:hAnsi="Times New Roman" w:cs="Times New Roman"/>
              </w:rPr>
              <w:t xml:space="preserve"> (transporto srautų reguliavimą, viešojo transporto naudojimo skatinimą, multimodalinio transporto plėtrą, judumo įpročių keitimą ir eismo saugumo ir tvaraus judumo infrastruktūrą), </w:t>
            </w:r>
            <w:r w:rsidR="00C63DCA" w:rsidRPr="00B44B19">
              <w:rPr>
                <w:rFonts w:ascii="Times New Roman" w:eastAsia="Times New Roman" w:hAnsi="Times New Roman" w:cs="Times New Roman"/>
              </w:rPr>
              <w:t>pasitelkiant</w:t>
            </w:r>
            <w:r w:rsidR="0063670C" w:rsidRPr="00B44B19">
              <w:rPr>
                <w:rFonts w:ascii="Times New Roman" w:eastAsia="Times New Roman" w:hAnsi="Times New Roman" w:cs="Times New Roman"/>
              </w:rPr>
              <w:t xml:space="preserve"> </w:t>
            </w:r>
            <w:r w:rsidR="00C758AB" w:rsidRPr="00B44B19">
              <w:rPr>
                <w:rFonts w:ascii="Times New Roman" w:eastAsia="Times New Roman" w:hAnsi="Times New Roman" w:cs="Times New Roman"/>
              </w:rPr>
              <w:t>Programos</w:t>
            </w:r>
            <w:r w:rsidR="0063670C" w:rsidRPr="00B44B19">
              <w:rPr>
                <w:rFonts w:ascii="Times New Roman" w:eastAsia="Times New Roman" w:hAnsi="Times New Roman" w:cs="Times New Roman"/>
              </w:rPr>
              <w:t xml:space="preserve"> 8 specialaus prioriteto investicijas</w:t>
            </w:r>
            <w:r w:rsidR="006A7754" w:rsidRPr="00B44B19">
              <w:rPr>
                <w:rFonts w:ascii="Times New Roman" w:eastAsia="Times New Roman" w:hAnsi="Times New Roman" w:cs="Times New Roman"/>
              </w:rPr>
              <w:t xml:space="preserve"> pagal DJMP</w:t>
            </w:r>
            <w:r w:rsidR="00E20E46" w:rsidRPr="00B44B19">
              <w:rPr>
                <w:rFonts w:ascii="Times New Roman" w:eastAsia="Times New Roman" w:hAnsi="Times New Roman" w:cs="Times New Roman"/>
              </w:rPr>
              <w:t>, Programos 3.2 uždavinio investicijas</w:t>
            </w:r>
            <w:r w:rsidR="006A7754" w:rsidRPr="00B44B19">
              <w:rPr>
                <w:rFonts w:ascii="Times New Roman" w:eastAsia="Times New Roman" w:hAnsi="Times New Roman" w:cs="Times New Roman"/>
              </w:rPr>
              <w:t xml:space="preserve">, skirtas </w:t>
            </w:r>
            <w:r w:rsidR="006A7754" w:rsidRPr="00B44B19">
              <w:rPr>
                <w:rFonts w:ascii="Times New Roman" w:eastAsia="Times New Roman" w:hAnsi="Times New Roman" w:cs="Times New Roman"/>
                <w:iCs/>
              </w:rPr>
              <w:t>savivaldybių susisiekimo infrastruktūros tobulinimui, diegiant eismo saugumo priemones vietinės reikšmės keliuose</w:t>
            </w:r>
            <w:r w:rsidR="0063670C" w:rsidRPr="00B44B19">
              <w:rPr>
                <w:rFonts w:ascii="Times New Roman" w:eastAsia="Times New Roman" w:hAnsi="Times New Roman" w:cs="Times New Roman"/>
              </w:rPr>
              <w:t xml:space="preserve"> ir 5.1 uždavinio investicijas .</w:t>
            </w:r>
          </w:p>
          <w:p w14:paraId="50919279" w14:textId="77777777" w:rsidR="0063670C" w:rsidRPr="00B44B19" w:rsidRDefault="0063670C" w:rsidP="00E67E5C">
            <w:pPr>
              <w:numPr>
                <w:ilvl w:val="0"/>
                <w:numId w:val="5"/>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b/>
              </w:rPr>
              <w:t>Miestų investicinio patrauklumo didinimą, verslo aplinkos gerinimą</w:t>
            </w:r>
            <w:r w:rsidRPr="00B44B19">
              <w:rPr>
                <w:rFonts w:ascii="Times New Roman" w:eastAsia="Times New Roman" w:hAnsi="Times New Roman" w:cs="Times New Roman"/>
              </w:rPr>
              <w:t xml:space="preserve"> (fizinės infrastruktūros sukūrimą naujoms investicijoms pritraukti ir darbo vietoms kurti.</w:t>
            </w:r>
          </w:p>
          <w:p w14:paraId="7BAD177A" w14:textId="522C020F" w:rsidR="0063670C" w:rsidRPr="00B44B19" w:rsidRDefault="0063670C" w:rsidP="00E67E5C">
            <w:pPr>
              <w:numPr>
                <w:ilvl w:val="0"/>
                <w:numId w:val="5"/>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b/>
              </w:rPr>
              <w:t>Gyvenimo kokybės gerinimą</w:t>
            </w:r>
            <w:r w:rsidRPr="00B44B19">
              <w:rPr>
                <w:rFonts w:ascii="Times New Roman" w:eastAsia="Times New Roman" w:hAnsi="Times New Roman" w:cs="Times New Roman"/>
              </w:rPr>
              <w:t xml:space="preserve"> (įskaitant triukšmo, oro užterštumo ir kitos taršos mažinimą, atsparumo klimato kaitai didinimą, žiedinės ekonomikos skatinimą, viešųjų erdvių patrauklumo ir prieinamumo didinimą, saugumo, socialinių, kultūrinių, sveikatinimo ir kt. poreikių geresnį tenkinimą, paslaugų masto ir prieinamumo didinimą, ypač socialiai pažeidžiamoms grupėms, naujų, kompleksinių paslaugų plėtrą ir inovatyvius paslaugų teikimo būdus (kur tinkama – skaitmeninant), kartu pasinaudojant </w:t>
            </w:r>
            <w:r w:rsidR="00C758AB" w:rsidRPr="00B44B19">
              <w:rPr>
                <w:rFonts w:ascii="Times New Roman" w:eastAsia="Times New Roman" w:hAnsi="Times New Roman" w:cs="Times New Roman"/>
              </w:rPr>
              <w:t>Programos</w:t>
            </w:r>
            <w:r w:rsidRPr="00B44B19">
              <w:rPr>
                <w:rFonts w:ascii="Times New Roman" w:eastAsia="Times New Roman" w:hAnsi="Times New Roman" w:cs="Times New Roman"/>
              </w:rPr>
              <w:t xml:space="preserve"> 4 prioriteto 4.5</w:t>
            </w:r>
            <w:r w:rsidR="006A7754" w:rsidRPr="00B44B19">
              <w:rPr>
                <w:rFonts w:ascii="Times New Roman" w:eastAsia="Times New Roman" w:hAnsi="Times New Roman" w:cs="Times New Roman"/>
              </w:rPr>
              <w:t xml:space="preserve"> uždavinio (ugdymo paslaugų prieinamumas atskirtį ar socialines rizikas patiriantiems vaikams), </w:t>
            </w:r>
            <w:r w:rsidRPr="00B44B19">
              <w:rPr>
                <w:rFonts w:ascii="Times New Roman" w:eastAsia="Times New Roman" w:hAnsi="Times New Roman" w:cs="Times New Roman"/>
              </w:rPr>
              <w:t>4.8</w:t>
            </w:r>
            <w:r w:rsidR="006A7754" w:rsidRPr="00B44B19">
              <w:rPr>
                <w:rFonts w:ascii="Times New Roman" w:eastAsia="Times New Roman" w:hAnsi="Times New Roman" w:cs="Times New Roman"/>
              </w:rPr>
              <w:t xml:space="preserve"> uždavinio (prevencinės priemonės, stiprinančios visuomenės sveikatą)</w:t>
            </w:r>
            <w:r w:rsidRPr="00B44B19">
              <w:rPr>
                <w:rFonts w:ascii="Times New Roman" w:eastAsia="Times New Roman" w:hAnsi="Times New Roman" w:cs="Times New Roman"/>
              </w:rPr>
              <w:t>, 4.9</w:t>
            </w:r>
            <w:r w:rsidR="006A7754" w:rsidRPr="00B44B19">
              <w:rPr>
                <w:rFonts w:ascii="Times New Roman" w:eastAsia="Times New Roman" w:hAnsi="Times New Roman" w:cs="Times New Roman"/>
              </w:rPr>
              <w:t xml:space="preserve"> uždavinio (paslaugų, susijusių su institucinės globos pertvarka, nestacionarių socialinių paslaugų, socialinio būsto plėtra)</w:t>
            </w:r>
            <w:r w:rsidRPr="00B44B19">
              <w:rPr>
                <w:rFonts w:ascii="Times New Roman" w:eastAsia="Times New Roman" w:hAnsi="Times New Roman" w:cs="Times New Roman"/>
              </w:rPr>
              <w:t xml:space="preserve">, 4.10 </w:t>
            </w:r>
            <w:r w:rsidR="006A7754" w:rsidRPr="00B44B19">
              <w:rPr>
                <w:rFonts w:ascii="Times New Roman" w:eastAsia="Times New Roman" w:hAnsi="Times New Roman" w:cs="Times New Roman"/>
              </w:rPr>
              <w:t>uždavinio (ilgalaikės priežiūros paslaugų sistemos plėtra)</w:t>
            </w:r>
            <w:r w:rsidRPr="00B44B19">
              <w:rPr>
                <w:rFonts w:ascii="Times New Roman" w:eastAsia="Times New Roman" w:hAnsi="Times New Roman" w:cs="Times New Roman"/>
              </w:rPr>
              <w:t>, 2 prioriteto 2.</w:t>
            </w:r>
            <w:r w:rsidR="008A1CD6" w:rsidRPr="00B44B19">
              <w:rPr>
                <w:rFonts w:ascii="Times New Roman" w:eastAsia="Times New Roman" w:hAnsi="Times New Roman" w:cs="Times New Roman"/>
              </w:rPr>
              <w:t>5</w:t>
            </w:r>
            <w:r w:rsidR="006A7754" w:rsidRPr="00B44B19">
              <w:rPr>
                <w:rFonts w:ascii="Times New Roman" w:eastAsia="Times New Roman" w:hAnsi="Times New Roman" w:cs="Times New Roman"/>
              </w:rPr>
              <w:t xml:space="preserve"> uždavinio (geriamojo vandens tiekimo tinklų plėtra),</w:t>
            </w:r>
            <w:r w:rsidRPr="00B44B19">
              <w:rPr>
                <w:rFonts w:ascii="Times New Roman" w:eastAsia="Times New Roman" w:hAnsi="Times New Roman" w:cs="Times New Roman"/>
              </w:rPr>
              <w:t xml:space="preserve"> 2.</w:t>
            </w:r>
            <w:r w:rsidR="008A1CD6" w:rsidRPr="00B44B19">
              <w:rPr>
                <w:rFonts w:ascii="Times New Roman" w:eastAsia="Times New Roman" w:hAnsi="Times New Roman" w:cs="Times New Roman"/>
              </w:rPr>
              <w:t>6</w:t>
            </w:r>
            <w:r w:rsidRPr="00B44B19">
              <w:rPr>
                <w:rFonts w:ascii="Times New Roman" w:eastAsia="Times New Roman" w:hAnsi="Times New Roman" w:cs="Times New Roman"/>
              </w:rPr>
              <w:t xml:space="preserve"> </w:t>
            </w:r>
            <w:r w:rsidR="006A7754" w:rsidRPr="00B44B19">
              <w:rPr>
                <w:rFonts w:ascii="Times New Roman" w:eastAsia="Times New Roman" w:hAnsi="Times New Roman" w:cs="Times New Roman"/>
              </w:rPr>
              <w:t xml:space="preserve">uždavinio (komunalinių atliekų rūšiuojamojo surinkimo pajėgumų didinimas), 2.7 uždavinio (žaliosios infrastruktūros urbanizuotoje aplinkoje plėtra, pažeistų ir užterštų teritorijų tvarkymas, oro monitoringo sistemų stiprinimas) </w:t>
            </w:r>
            <w:r w:rsidR="002C7E36" w:rsidRPr="00B44B19">
              <w:rPr>
                <w:rFonts w:ascii="Times New Roman" w:eastAsia="Times New Roman" w:hAnsi="Times New Roman" w:cs="Times New Roman"/>
              </w:rPr>
              <w:t xml:space="preserve">ir </w:t>
            </w:r>
            <w:r w:rsidRPr="00B44B19">
              <w:rPr>
                <w:rFonts w:ascii="Times New Roman" w:eastAsia="Times New Roman" w:hAnsi="Times New Roman" w:cs="Times New Roman"/>
              </w:rPr>
              <w:t>8 special</w:t>
            </w:r>
            <w:r w:rsidR="00863AE6" w:rsidRPr="00B44B19">
              <w:rPr>
                <w:rFonts w:ascii="Times New Roman" w:eastAsia="Times New Roman" w:hAnsi="Times New Roman" w:cs="Times New Roman"/>
              </w:rPr>
              <w:t>iojo</w:t>
            </w:r>
            <w:r w:rsidRPr="00B44B19">
              <w:rPr>
                <w:rFonts w:ascii="Times New Roman" w:eastAsia="Times New Roman" w:hAnsi="Times New Roman" w:cs="Times New Roman"/>
              </w:rPr>
              <w:t xml:space="preserve"> prioritet</w:t>
            </w:r>
            <w:r w:rsidR="00E21F7D" w:rsidRPr="00B44B19">
              <w:rPr>
                <w:rFonts w:ascii="Times New Roman" w:eastAsia="Times New Roman" w:hAnsi="Times New Roman" w:cs="Times New Roman"/>
              </w:rPr>
              <w:t xml:space="preserve">o investicijomis, kuriomis įgyvendinamos darnaus judumo priemonės. Viešųjų paslaugų infrastruktūros plėtra bus koordinuojama miestų savivaldybių, planuojančių integruotus veiksmus (kur taikoma, remiantis miesto ir priemiesčių teritorijos savivaldybių susitarimu dėl bendrų veiksmų), kur 5.1 uždavinio </w:t>
            </w:r>
            <w:r w:rsidR="00E21F7D" w:rsidRPr="00B44B19">
              <w:rPr>
                <w:rFonts w:ascii="Times New Roman" w:eastAsia="Times New Roman" w:hAnsi="Times New Roman" w:cs="Times New Roman"/>
              </w:rPr>
              <w:lastRenderedPageBreak/>
              <w:t>investicijomis bus remiama bendroji infrastruktūra, užtikrinanti galimybes užtikrinti pakankamą viešųjų paslaugų pasiūlą ir miestų teritorijų plėtrą, atitinkančią Naujojo Europos Bauhauzo principus, derinant su kitų prioritetų investicijomis, jomis papildant ir jų nedubliuojant</w:t>
            </w:r>
            <w:r w:rsidRPr="00B44B19">
              <w:rPr>
                <w:rFonts w:ascii="Times New Roman" w:eastAsia="Times New Roman" w:hAnsi="Times New Roman" w:cs="Times New Roman"/>
              </w:rPr>
              <w:t>.</w:t>
            </w:r>
          </w:p>
          <w:p w14:paraId="3A6A9643" w14:textId="77777777" w:rsidR="0063670C" w:rsidRPr="00B44B19" w:rsidRDefault="0063670C" w:rsidP="00E67E5C">
            <w:pPr>
              <w:numPr>
                <w:ilvl w:val="0"/>
                <w:numId w:val="5"/>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b/>
              </w:rPr>
              <w:t>Verslo, gyventojų, VVG, nevyriausybinių organizacijų įtraukimą į miesto problemų sprendimą, partnerystės puoselėjimą ir stiprinimą, vietos iniciatyvų rėmimą ir gebėjimų stiprinimą</w:t>
            </w:r>
            <w:r w:rsidRPr="00B44B19">
              <w:rPr>
                <w:rFonts w:ascii="Times New Roman" w:eastAsia="Times New Roman" w:hAnsi="Times New Roman" w:cs="Times New Roman"/>
              </w:rPr>
              <w:t>, kartu pasitelkiant Struktūrinių reformų paramos programos bei Veiksmų programos investicijas regionų plėtros tarybų ir savivaldybių gebėjim</w:t>
            </w:r>
            <w:r w:rsidR="00DC069B" w:rsidRPr="00B44B19">
              <w:rPr>
                <w:rFonts w:ascii="Times New Roman" w:eastAsia="Times New Roman" w:hAnsi="Times New Roman" w:cs="Times New Roman"/>
              </w:rPr>
              <w:t>ams</w:t>
            </w:r>
            <w:r w:rsidRPr="00B44B19">
              <w:rPr>
                <w:rFonts w:ascii="Times New Roman" w:eastAsia="Times New Roman" w:hAnsi="Times New Roman" w:cs="Times New Roman"/>
              </w:rPr>
              <w:t xml:space="preserve"> (įskaitant žmogiškųjų, finansinių išteklių valdymo, strateginio planavimo) gerin</w:t>
            </w:r>
            <w:r w:rsidR="00DC069B" w:rsidRPr="00B44B19">
              <w:rPr>
                <w:rFonts w:ascii="Times New Roman" w:eastAsia="Times New Roman" w:hAnsi="Times New Roman" w:cs="Times New Roman"/>
              </w:rPr>
              <w:t>t</w:t>
            </w:r>
            <w:r w:rsidRPr="00B44B19">
              <w:rPr>
                <w:rFonts w:ascii="Times New Roman" w:eastAsia="Times New Roman" w:hAnsi="Times New Roman" w:cs="Times New Roman"/>
              </w:rPr>
              <w:t>i, tvarios plėtros planavimo ir įgyvendinimo efektyvum</w:t>
            </w:r>
            <w:r w:rsidR="00DC069B" w:rsidRPr="00B44B19">
              <w:rPr>
                <w:rFonts w:ascii="Times New Roman" w:eastAsia="Times New Roman" w:hAnsi="Times New Roman" w:cs="Times New Roman"/>
              </w:rPr>
              <w:t>ui</w:t>
            </w:r>
            <w:r w:rsidRPr="00B44B19">
              <w:rPr>
                <w:rFonts w:ascii="Times New Roman" w:eastAsia="Times New Roman" w:hAnsi="Times New Roman" w:cs="Times New Roman"/>
              </w:rPr>
              <w:t xml:space="preserve"> didin</w:t>
            </w:r>
            <w:r w:rsidR="00DC069B" w:rsidRPr="00B44B19">
              <w:rPr>
                <w:rFonts w:ascii="Times New Roman" w:eastAsia="Times New Roman" w:hAnsi="Times New Roman" w:cs="Times New Roman"/>
              </w:rPr>
              <w:t>ti</w:t>
            </w:r>
            <w:r w:rsidRPr="00B44B19">
              <w:rPr>
                <w:rFonts w:ascii="Times New Roman" w:eastAsia="Times New Roman" w:hAnsi="Times New Roman" w:cs="Times New Roman"/>
              </w:rPr>
              <w:t xml:space="preserve"> ir teikiant ekspertinę metodinę pagalbą tvarios miestų plėtros strategij</w:t>
            </w:r>
            <w:r w:rsidR="00DC069B" w:rsidRPr="00B44B19">
              <w:rPr>
                <w:rFonts w:ascii="Times New Roman" w:eastAsia="Times New Roman" w:hAnsi="Times New Roman" w:cs="Times New Roman"/>
              </w:rPr>
              <w:t>oms</w:t>
            </w:r>
            <w:r w:rsidRPr="00B44B19">
              <w:rPr>
                <w:rFonts w:ascii="Times New Roman" w:eastAsia="Times New Roman" w:hAnsi="Times New Roman" w:cs="Times New Roman"/>
              </w:rPr>
              <w:t xml:space="preserve"> reng</w:t>
            </w:r>
            <w:r w:rsidR="00DC069B" w:rsidRPr="00B44B19">
              <w:rPr>
                <w:rFonts w:ascii="Times New Roman" w:eastAsia="Times New Roman" w:hAnsi="Times New Roman" w:cs="Times New Roman"/>
              </w:rPr>
              <w:t>ti</w:t>
            </w:r>
            <w:r w:rsidRPr="00B44B19">
              <w:rPr>
                <w:rFonts w:ascii="Times New Roman" w:eastAsia="Times New Roman" w:hAnsi="Times New Roman" w:cs="Times New Roman"/>
              </w:rPr>
              <w:t xml:space="preserve"> ir įgyvendin</w:t>
            </w:r>
            <w:r w:rsidR="00DC069B" w:rsidRPr="00B44B19">
              <w:rPr>
                <w:rFonts w:ascii="Times New Roman" w:eastAsia="Times New Roman" w:hAnsi="Times New Roman" w:cs="Times New Roman"/>
              </w:rPr>
              <w:t>ti</w:t>
            </w:r>
            <w:r w:rsidRPr="00B44B19">
              <w:rPr>
                <w:rFonts w:ascii="Times New Roman" w:eastAsia="Times New Roman" w:hAnsi="Times New Roman" w:cs="Times New Roman"/>
              </w:rPr>
              <w:t>.</w:t>
            </w:r>
          </w:p>
          <w:p w14:paraId="26135465" w14:textId="2F70D71D" w:rsidR="008A1CD6" w:rsidRPr="00B44B19" w:rsidRDefault="008A1CD6" w:rsidP="00E67E5C">
            <w:p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b/>
              </w:rPr>
              <w:t>Tvarios miestų plėtros strategijos</w:t>
            </w:r>
            <w:r w:rsidRPr="00B44B19">
              <w:rPr>
                <w:rFonts w:ascii="Times New Roman" w:eastAsia="Times New Roman" w:hAnsi="Times New Roman" w:cs="Times New Roman"/>
              </w:rPr>
              <w:t xml:space="preserve"> taip pat turės sinerginį efektą su nacionaliniu lygiu </w:t>
            </w:r>
            <w:r w:rsidR="00863AE6" w:rsidRPr="00B44B19">
              <w:rPr>
                <w:rFonts w:ascii="Times New Roman" w:eastAsia="Times New Roman" w:hAnsi="Times New Roman" w:cs="Times New Roman"/>
              </w:rPr>
              <w:t>įgyvendinamais</w:t>
            </w:r>
            <w:r w:rsidRPr="00B44B19">
              <w:rPr>
                <w:rFonts w:ascii="Times New Roman" w:eastAsia="Times New Roman" w:hAnsi="Times New Roman" w:cs="Times New Roman"/>
              </w:rPr>
              <w:t xml:space="preserve"> uždaviniais, įskaitant Programos 4 prioriteto 4.1 uždavinį, skirtą didinti bedarbių galimybes įsidarbinti ar grįžti į </w:t>
            </w:r>
            <w:r w:rsidR="002F4119" w:rsidRPr="00B44B19">
              <w:rPr>
                <w:rFonts w:ascii="Times New Roman" w:eastAsia="Times New Roman" w:hAnsi="Times New Roman" w:cs="Times New Roman"/>
              </w:rPr>
              <w:t>DR</w:t>
            </w:r>
            <w:r w:rsidRPr="00B44B19">
              <w:rPr>
                <w:rFonts w:ascii="Times New Roman" w:eastAsia="Times New Roman" w:hAnsi="Times New Roman" w:cs="Times New Roman"/>
              </w:rPr>
              <w:t>, 4.4 uždavinį, skirtą didinti dalyvavimą MVG, Programos 1 prioriteto 1.3 uždavinį nauj</w:t>
            </w:r>
            <w:r w:rsidR="00D403EF"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darbo viet</w:t>
            </w:r>
            <w:r w:rsidR="00D403EF"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k</w:t>
            </w:r>
            <w:r w:rsidR="00D403EF" w:rsidRPr="00B44B19">
              <w:rPr>
                <w:rFonts w:ascii="Times New Roman" w:eastAsia="Times New Roman" w:hAnsi="Times New Roman" w:cs="Times New Roman"/>
              </w:rPr>
              <w:t>ūrimui</w:t>
            </w:r>
            <w:r w:rsidRPr="00B44B19">
              <w:rPr>
                <w:rFonts w:ascii="Times New Roman" w:eastAsia="Times New Roman" w:hAnsi="Times New Roman" w:cs="Times New Roman"/>
              </w:rPr>
              <w:t xml:space="preserve"> MVĮ bei BIVP metodu įgyvendinamais Programos 4 prioriteto 4.7 ir 4.9 uždaviniais. Įgyvendinant </w:t>
            </w:r>
            <w:r w:rsidR="00863AE6" w:rsidRPr="00B44B19">
              <w:rPr>
                <w:rFonts w:ascii="Times New Roman" w:eastAsia="Times New Roman" w:hAnsi="Times New Roman" w:cs="Times New Roman"/>
              </w:rPr>
              <w:t>strategijas</w:t>
            </w:r>
            <w:r w:rsidRPr="00B44B19">
              <w:rPr>
                <w:rFonts w:ascii="Times New Roman" w:eastAsia="Times New Roman" w:hAnsi="Times New Roman" w:cs="Times New Roman"/>
              </w:rPr>
              <w:t xml:space="preserve"> bus siekiama pasinaudoti ir EGADP, TPF ir EK tiesiogiai finansuojamų programų ir instrumentų galimybėmis.</w:t>
            </w:r>
          </w:p>
          <w:p w14:paraId="4E99682E" w14:textId="77777777" w:rsidR="0063670C" w:rsidRPr="00B44B19" w:rsidRDefault="0063670C" w:rsidP="00E67E5C">
            <w:pPr>
              <w:spacing w:before="60" w:after="60"/>
              <w:jc w:val="both"/>
              <w:rPr>
                <w:rFonts w:ascii="Times New Roman" w:eastAsia="Times New Roman" w:hAnsi="Times New Roman" w:cs="Times New Roman"/>
                <w:b/>
                <w:i/>
              </w:rPr>
            </w:pPr>
            <w:r w:rsidRPr="00B44B19">
              <w:rPr>
                <w:rFonts w:ascii="Times New Roman" w:eastAsia="Times New Roman" w:hAnsi="Times New Roman" w:cs="Times New Roman"/>
                <w:b/>
                <w:i/>
              </w:rPr>
              <w:t>Įgyvendinant 5.1 uždavinį</w:t>
            </w:r>
            <w:r w:rsidR="00DC069B" w:rsidRPr="00B44B19">
              <w:rPr>
                <w:rFonts w:ascii="Times New Roman" w:eastAsia="Times New Roman" w:hAnsi="Times New Roman" w:cs="Times New Roman"/>
                <w:b/>
                <w:i/>
              </w:rPr>
              <w:t>, pagal</w:t>
            </w:r>
            <w:r w:rsidRPr="00B44B19">
              <w:rPr>
                <w:rFonts w:ascii="Times New Roman" w:eastAsia="Times New Roman" w:hAnsi="Times New Roman" w:cs="Times New Roman"/>
                <w:b/>
                <w:i/>
              </w:rPr>
              <w:t xml:space="preserve"> </w:t>
            </w:r>
            <w:r w:rsidR="00D43F38" w:rsidRPr="00B44B19">
              <w:rPr>
                <w:rFonts w:ascii="Times New Roman" w:eastAsia="Times New Roman" w:hAnsi="Times New Roman" w:cs="Times New Roman"/>
                <w:b/>
                <w:i/>
              </w:rPr>
              <w:t>Program</w:t>
            </w:r>
            <w:r w:rsidR="00DC069B" w:rsidRPr="00B44B19">
              <w:rPr>
                <w:rFonts w:ascii="Times New Roman" w:eastAsia="Times New Roman" w:hAnsi="Times New Roman" w:cs="Times New Roman"/>
                <w:b/>
                <w:i/>
              </w:rPr>
              <w:t>ą</w:t>
            </w:r>
            <w:r w:rsidR="00D43F38" w:rsidRPr="00B44B19">
              <w:rPr>
                <w:rFonts w:ascii="Times New Roman" w:eastAsia="Times New Roman" w:hAnsi="Times New Roman" w:cs="Times New Roman"/>
                <w:b/>
                <w:i/>
              </w:rPr>
              <w:t xml:space="preserve"> </w:t>
            </w:r>
            <w:r w:rsidRPr="00B44B19">
              <w:rPr>
                <w:rFonts w:ascii="Times New Roman" w:eastAsia="Times New Roman" w:hAnsi="Times New Roman" w:cs="Times New Roman"/>
                <w:b/>
                <w:i/>
              </w:rPr>
              <w:t>rem</w:t>
            </w:r>
            <w:r w:rsidR="003107A0" w:rsidRPr="00B44B19">
              <w:rPr>
                <w:rFonts w:ascii="Times New Roman" w:eastAsia="Times New Roman" w:hAnsi="Times New Roman" w:cs="Times New Roman"/>
                <w:b/>
                <w:i/>
              </w:rPr>
              <w:t>iamos</w:t>
            </w:r>
            <w:r w:rsidRPr="00B44B19">
              <w:rPr>
                <w:rFonts w:ascii="Times New Roman" w:eastAsia="Times New Roman" w:hAnsi="Times New Roman" w:cs="Times New Roman"/>
                <w:b/>
                <w:i/>
              </w:rPr>
              <w:t xml:space="preserve"> ši</w:t>
            </w:r>
            <w:r w:rsidR="003107A0" w:rsidRPr="00B44B19">
              <w:rPr>
                <w:rFonts w:ascii="Times New Roman" w:eastAsia="Times New Roman" w:hAnsi="Times New Roman" w:cs="Times New Roman"/>
                <w:b/>
                <w:i/>
              </w:rPr>
              <w:t>os</w:t>
            </w:r>
            <w:r w:rsidRPr="00B44B19">
              <w:rPr>
                <w:rFonts w:ascii="Times New Roman" w:eastAsia="Times New Roman" w:hAnsi="Times New Roman" w:cs="Times New Roman"/>
                <w:b/>
                <w:i/>
              </w:rPr>
              <w:t xml:space="preserve"> veiksm</w:t>
            </w:r>
            <w:r w:rsidR="003107A0" w:rsidRPr="00B44B19">
              <w:rPr>
                <w:rFonts w:ascii="Times New Roman" w:eastAsia="Times New Roman" w:hAnsi="Times New Roman" w:cs="Times New Roman"/>
                <w:b/>
                <w:i/>
              </w:rPr>
              <w:t>ų rūšys</w:t>
            </w:r>
            <w:r w:rsidRPr="00B44B19">
              <w:rPr>
                <w:rFonts w:ascii="Times New Roman" w:eastAsia="Times New Roman" w:hAnsi="Times New Roman" w:cs="Times New Roman"/>
                <w:b/>
                <w:i/>
              </w:rPr>
              <w:t>:</w:t>
            </w:r>
          </w:p>
          <w:p w14:paraId="6E3E7D1B" w14:textId="3FDF7E61" w:rsidR="0063670C" w:rsidRPr="00B44B19" w:rsidRDefault="0063670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Viešųjų paslaugų prieinamumo</w:t>
            </w:r>
            <w:r w:rsidR="004C76B0" w:rsidRPr="00B44B19">
              <w:rPr>
                <w:rFonts w:ascii="Times New Roman" w:eastAsia="Times New Roman" w:hAnsi="Times New Roman" w:cs="Times New Roman"/>
                <w:b/>
              </w:rPr>
              <w:t xml:space="preserve">, </w:t>
            </w:r>
            <w:r w:rsidRPr="00B44B19">
              <w:rPr>
                <w:rFonts w:ascii="Times New Roman" w:eastAsia="Times New Roman" w:hAnsi="Times New Roman" w:cs="Times New Roman"/>
                <w:b/>
              </w:rPr>
              <w:t>ir tvarios</w:t>
            </w:r>
            <w:r w:rsidR="002000C3" w:rsidRPr="00B44B19">
              <w:rPr>
                <w:rFonts w:ascii="Times New Roman" w:eastAsia="Times New Roman" w:hAnsi="Times New Roman" w:cs="Times New Roman"/>
                <w:b/>
              </w:rPr>
              <w:t>,</w:t>
            </w:r>
            <w:r w:rsidRPr="00B44B19">
              <w:rPr>
                <w:rFonts w:ascii="Times New Roman" w:eastAsia="Times New Roman" w:hAnsi="Times New Roman" w:cs="Times New Roman"/>
                <w:b/>
              </w:rPr>
              <w:t xml:space="preserve"> </w:t>
            </w:r>
            <w:r w:rsidR="004C76B0" w:rsidRPr="00B44B19">
              <w:rPr>
                <w:rFonts w:ascii="Times New Roman" w:eastAsia="Times New Roman" w:hAnsi="Times New Roman" w:cs="Times New Roman"/>
                <w:b/>
              </w:rPr>
              <w:t xml:space="preserve">ir saugios </w:t>
            </w:r>
            <w:r w:rsidRPr="00B44B19">
              <w:rPr>
                <w:rFonts w:ascii="Times New Roman" w:eastAsia="Times New Roman" w:hAnsi="Times New Roman" w:cs="Times New Roman"/>
                <w:b/>
              </w:rPr>
              <w:t>aplinkos užtikrinim</w:t>
            </w:r>
            <w:r w:rsidR="00DC069B" w:rsidRPr="00B44B19">
              <w:rPr>
                <w:rFonts w:ascii="Times New Roman" w:eastAsia="Times New Roman" w:hAnsi="Times New Roman" w:cs="Times New Roman"/>
                <w:b/>
              </w:rPr>
              <w:t>as</w:t>
            </w:r>
            <w:r w:rsidRPr="00B44B19">
              <w:rPr>
                <w:rFonts w:ascii="Times New Roman" w:eastAsia="Times New Roman" w:hAnsi="Times New Roman" w:cs="Times New Roman"/>
                <w:b/>
              </w:rPr>
              <w:t xml:space="preserve"> miestuose</w:t>
            </w:r>
            <w:r w:rsidRPr="00B44B19">
              <w:rPr>
                <w:rFonts w:ascii="Times New Roman" w:eastAsia="Times New Roman" w:hAnsi="Times New Roman" w:cs="Times New Roman"/>
              </w:rPr>
              <w:t>, pritaikant miestų teritorijas žaliųjų miestų erdvių plėtrai, būsto, kultūros, švietimo, sveikatos paslaugų pasiūl</w:t>
            </w:r>
            <w:r w:rsidR="00DC069B" w:rsidRPr="00B44B19">
              <w:rPr>
                <w:rFonts w:ascii="Times New Roman" w:eastAsia="Times New Roman" w:hAnsi="Times New Roman" w:cs="Times New Roman"/>
              </w:rPr>
              <w:t>ai</w:t>
            </w:r>
            <w:r w:rsidRPr="00B44B19">
              <w:rPr>
                <w:rFonts w:ascii="Times New Roman" w:eastAsia="Times New Roman" w:hAnsi="Times New Roman" w:cs="Times New Roman"/>
              </w:rPr>
              <w:t xml:space="preserve"> didin</w:t>
            </w:r>
            <w:r w:rsidR="00DC069B" w:rsidRPr="00B44B19">
              <w:rPr>
                <w:rFonts w:ascii="Times New Roman" w:eastAsia="Times New Roman" w:hAnsi="Times New Roman" w:cs="Times New Roman"/>
              </w:rPr>
              <w:t>ti</w:t>
            </w:r>
            <w:r w:rsidRPr="00B44B19">
              <w:rPr>
                <w:rFonts w:ascii="Times New Roman" w:eastAsia="Times New Roman" w:hAnsi="Times New Roman" w:cs="Times New Roman"/>
              </w:rPr>
              <w:t xml:space="preserve"> ir kitai socialinei ir (ar) bendruomenių veiklai:</w:t>
            </w:r>
          </w:p>
          <w:p w14:paraId="6E527130" w14:textId="77777777" w:rsidR="0063670C" w:rsidRPr="00B44B19" w:rsidRDefault="00DC069B" w:rsidP="00E67E5C">
            <w:pPr>
              <w:numPr>
                <w:ilvl w:val="0"/>
                <w:numId w:val="13"/>
              </w:numPr>
              <w:spacing w:before="60" w:after="60"/>
              <w:contextualSpacing/>
              <w:jc w:val="both"/>
              <w:rPr>
                <w:rFonts w:ascii="Times New Roman" w:eastAsia="Times New Roman" w:hAnsi="Times New Roman" w:cs="Times New Roman"/>
                <w:color w:val="000000" w:themeColor="text1"/>
              </w:rPr>
            </w:pPr>
            <w:r w:rsidRPr="00B44B19">
              <w:rPr>
                <w:rFonts w:ascii="Times New Roman" w:eastAsia="Times New Roman" w:hAnsi="Times New Roman" w:cs="Times New Roman"/>
              </w:rPr>
              <w:t>urbanizuotų teritorijų pritaikymas daugiatiksliam naudojimui, jų atgaivinimas ir konversija (įskaitant tvarkomoms teritorijoms pasiekti reikalingos susisiekimo infrastruktūros įrengimą ir (ar) modernizavimą, viešosios infrastruktūros pritaikymą universalaus dizaino principu), viešųjų paslaugų infrastruktūros racional</w:t>
            </w:r>
            <w:r w:rsidR="00354A8B" w:rsidRPr="00B44B19">
              <w:rPr>
                <w:rFonts w:ascii="Times New Roman" w:eastAsia="Times New Roman" w:hAnsi="Times New Roman" w:cs="Times New Roman"/>
              </w:rPr>
              <w:t>us</w:t>
            </w:r>
            <w:r w:rsidRPr="00B44B19">
              <w:rPr>
                <w:rFonts w:ascii="Times New Roman" w:eastAsia="Times New Roman" w:hAnsi="Times New Roman" w:cs="Times New Roman"/>
              </w:rPr>
              <w:t xml:space="preserve"> panaudojimas</w:t>
            </w:r>
            <w:r w:rsidR="00354A8B"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D403EF" w:rsidRPr="00B44B19">
              <w:rPr>
                <w:rFonts w:ascii="Times New Roman" w:eastAsia="Times New Roman" w:hAnsi="Times New Roman" w:cs="Times New Roman"/>
              </w:rPr>
              <w:t>taip pat</w:t>
            </w:r>
            <w:r w:rsidRPr="00B44B19">
              <w:rPr>
                <w:rFonts w:ascii="Times New Roman" w:eastAsia="Times New Roman" w:hAnsi="Times New Roman" w:cs="Times New Roman"/>
              </w:rPr>
              <w:t xml:space="preserve"> trūkstamos ikimokyklinio ugdymo, </w:t>
            </w:r>
            <w:r w:rsidRPr="00B44B19">
              <w:rPr>
                <w:rFonts w:ascii="Times New Roman" w:eastAsia="Times New Roman" w:hAnsi="Times New Roman" w:cs="Times New Roman"/>
                <w:color w:val="000000" w:themeColor="text1"/>
              </w:rPr>
              <w:t>bendrojo lavinimo, PSP</w:t>
            </w:r>
            <w:r w:rsidR="00D403EF" w:rsidRPr="00B44B19">
              <w:rPr>
                <w:rFonts w:ascii="Times New Roman" w:eastAsia="Times New Roman" w:hAnsi="Times New Roman" w:cs="Times New Roman"/>
                <w:color w:val="000000" w:themeColor="text1"/>
              </w:rPr>
              <w:t xml:space="preserve"> (išskyrus skubiosios pagalbos)</w:t>
            </w:r>
            <w:r w:rsidRPr="00B44B19">
              <w:rPr>
                <w:rFonts w:ascii="Times New Roman" w:eastAsia="Times New Roman" w:hAnsi="Times New Roman" w:cs="Times New Roman"/>
                <w:color w:val="000000" w:themeColor="text1"/>
              </w:rPr>
              <w:t xml:space="preserve"> infrastruktūros plėtra ar modernizavimas;</w:t>
            </w:r>
          </w:p>
          <w:p w14:paraId="2E169EA8" w14:textId="77777777" w:rsidR="00902983" w:rsidRPr="00B44B19" w:rsidRDefault="0063670C" w:rsidP="00E67E5C">
            <w:pPr>
              <w:numPr>
                <w:ilvl w:val="0"/>
                <w:numId w:val="6"/>
              </w:numPr>
              <w:spacing w:before="60" w:after="60"/>
              <w:contextualSpacing/>
              <w:jc w:val="both"/>
              <w:rPr>
                <w:rFonts w:ascii="Times New Roman" w:eastAsia="Times New Roman" w:hAnsi="Times New Roman" w:cs="Times New Roman"/>
                <w:i/>
                <w:color w:val="000000" w:themeColor="text1"/>
              </w:rPr>
            </w:pPr>
            <w:r w:rsidRPr="00B44B19">
              <w:rPr>
                <w:rFonts w:ascii="Times New Roman" w:eastAsia="Times New Roman" w:hAnsi="Times New Roman" w:cs="Times New Roman"/>
                <w:color w:val="000000" w:themeColor="text1"/>
              </w:rPr>
              <w:t>išmaniųjų technologijų diegim</w:t>
            </w:r>
            <w:r w:rsidR="00DC069B" w:rsidRPr="00B44B19">
              <w:rPr>
                <w:rFonts w:ascii="Times New Roman" w:eastAsia="Times New Roman" w:hAnsi="Times New Roman" w:cs="Times New Roman"/>
                <w:color w:val="000000" w:themeColor="text1"/>
              </w:rPr>
              <w:t>as</w:t>
            </w:r>
            <w:r w:rsidRPr="00B44B19">
              <w:rPr>
                <w:rFonts w:ascii="Times New Roman" w:eastAsia="Times New Roman" w:hAnsi="Times New Roman" w:cs="Times New Roman"/>
                <w:color w:val="000000" w:themeColor="text1"/>
              </w:rPr>
              <w:t xml:space="preserve"> efektyviam viešųjų paslaugų ir infrastruktūros valdymui</w:t>
            </w:r>
            <w:r w:rsidR="00902983" w:rsidRPr="00B44B19">
              <w:rPr>
                <w:rFonts w:ascii="Times New Roman" w:eastAsia="Times New Roman" w:hAnsi="Times New Roman" w:cs="Times New Roman"/>
                <w:color w:val="000000" w:themeColor="text1"/>
              </w:rPr>
              <w:t>;</w:t>
            </w:r>
          </w:p>
          <w:p w14:paraId="392B8AE2" w14:textId="77777777" w:rsidR="0063670C" w:rsidRPr="00B44B19" w:rsidRDefault="0063670C" w:rsidP="00E67E5C">
            <w:pPr>
              <w:spacing w:before="60" w:after="60"/>
              <w:jc w:val="both"/>
              <w:rPr>
                <w:rFonts w:ascii="Times New Roman" w:eastAsia="Times New Roman" w:hAnsi="Times New Roman" w:cs="Times New Roman"/>
                <w:i/>
              </w:rPr>
            </w:pPr>
            <w:r w:rsidRPr="00B44B19">
              <w:rPr>
                <w:rFonts w:ascii="Times New Roman" w:eastAsia="Times New Roman" w:hAnsi="Times New Roman" w:cs="Times New Roman"/>
                <w:i/>
              </w:rPr>
              <w:t>Šiomis investicijomis siekiama panaudoti miestų socialinės ir inžinerinės infrastruktūros tinklą, taip telkiant investicijas, viešąsias paslaugas ir darbo vietas ir išvengiant neigiamų padarinių aplinkai ir gyvenimo kokybei, taikant kūrybinės vietokūros (angl. „placemaking“) principus, skatinant bendradarbiavimą ir tinklaveiką su NVO, VVG, MTEPI, KKI institucijomis.</w:t>
            </w:r>
          </w:p>
          <w:p w14:paraId="567BC243" w14:textId="77777777" w:rsidR="0063670C" w:rsidRPr="00B44B19" w:rsidRDefault="0063670C" w:rsidP="00E67E5C">
            <w:pPr>
              <w:spacing w:before="60" w:after="60"/>
              <w:jc w:val="both"/>
              <w:rPr>
                <w:rFonts w:ascii="Times New Roman" w:eastAsia="Times New Roman" w:hAnsi="Times New Roman" w:cs="Times New Roman"/>
                <w:i/>
              </w:rPr>
            </w:pPr>
            <w:r w:rsidRPr="00B44B19">
              <w:rPr>
                <w:rFonts w:ascii="Times New Roman" w:eastAsia="Times New Roman" w:hAnsi="Times New Roman" w:cs="Times New Roman"/>
                <w:i/>
              </w:rPr>
              <w:t xml:space="preserve">Veiklos vykdomos VVL regiono Alytaus, Marijampolės, Tauragės, Telšių, Šiaulių, Panevėžio, Utenos miestuose, Kauno ir Klaipėdos miestuose ir jų priemiesčiuose ir Sostinės regiono Vilniaus mieste ir jo priemiesčiuose. </w:t>
            </w:r>
          </w:p>
          <w:p w14:paraId="64D86D16" w14:textId="77777777" w:rsidR="0063670C" w:rsidRPr="00B44B19" w:rsidRDefault="0063670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rPr>
              <w:t>Regionų centrų (išskyrus Vilnių, Kauną ir Klaipėdą) investicinio potencialo stiprinim</w:t>
            </w:r>
            <w:r w:rsidR="00DC069B" w:rsidRPr="00B44B19">
              <w:rPr>
                <w:rFonts w:ascii="Times New Roman" w:eastAsia="Times New Roman" w:hAnsi="Times New Roman" w:cs="Times New Roman"/>
                <w:b/>
              </w:rPr>
              <w:t>as</w:t>
            </w:r>
            <w:r w:rsidRPr="00B44B19">
              <w:rPr>
                <w:rFonts w:ascii="Times New Roman" w:eastAsia="Times New Roman" w:hAnsi="Times New Roman" w:cs="Times New Roman"/>
                <w:b/>
              </w:rPr>
              <w:t xml:space="preserve"> ir naujų ekonominių veiklų plėtr</w:t>
            </w:r>
            <w:r w:rsidR="00DC069B" w:rsidRPr="00B44B19">
              <w:rPr>
                <w:rFonts w:ascii="Times New Roman" w:eastAsia="Times New Roman" w:hAnsi="Times New Roman" w:cs="Times New Roman"/>
                <w:b/>
              </w:rPr>
              <w:t>a</w:t>
            </w:r>
            <w:r w:rsidRPr="00B44B19">
              <w:rPr>
                <w:rFonts w:ascii="Times New Roman" w:eastAsia="Times New Roman" w:hAnsi="Times New Roman" w:cs="Times New Roman"/>
                <w:b/>
              </w:rPr>
              <w:t>:</w:t>
            </w:r>
          </w:p>
          <w:p w14:paraId="5DDDE2A5" w14:textId="43EC9E1C" w:rsidR="0063670C" w:rsidRPr="00B44B19" w:rsidRDefault="0063670C" w:rsidP="00E67E5C">
            <w:pPr>
              <w:numPr>
                <w:ilvl w:val="0"/>
                <w:numId w:val="7"/>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miestų pramoninių ir (ar) komercinių teritorijų išvystymo netolygumų</w:t>
            </w:r>
            <w:r w:rsidR="00D403EF"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investicijoms tinkamų sklypų, </w:t>
            </w:r>
            <w:r w:rsidR="00D403EF" w:rsidRPr="00B44B19">
              <w:rPr>
                <w:rFonts w:ascii="Times New Roman" w:eastAsia="Times New Roman" w:hAnsi="Times New Roman" w:cs="Times New Roman"/>
              </w:rPr>
              <w:t xml:space="preserve">gamybinių pastatų, inžinerinės </w:t>
            </w:r>
            <w:r w:rsidR="00902983" w:rsidRPr="00B44B19">
              <w:rPr>
                <w:rFonts w:ascii="Times New Roman" w:eastAsia="Times New Roman" w:hAnsi="Times New Roman" w:cs="Times New Roman"/>
              </w:rPr>
              <w:t xml:space="preserve">infrastruktūros </w:t>
            </w:r>
            <w:r w:rsidR="00D403EF" w:rsidRPr="00B44B19">
              <w:rPr>
                <w:rFonts w:ascii="Times New Roman" w:eastAsia="Times New Roman" w:hAnsi="Times New Roman" w:cs="Times New Roman"/>
              </w:rPr>
              <w:t>trūkumų (</w:t>
            </w:r>
            <w:r w:rsidR="0026621E" w:rsidRPr="00B44B19">
              <w:rPr>
                <w:rFonts w:ascii="Times New Roman" w:eastAsia="Times New Roman" w:hAnsi="Times New Roman" w:cs="Times New Roman"/>
              </w:rPr>
              <w:t>pvz.,</w:t>
            </w:r>
            <w:r w:rsidR="00D403EF" w:rsidRPr="00B44B19">
              <w:rPr>
                <w:rFonts w:ascii="Times New Roman" w:eastAsia="Times New Roman" w:hAnsi="Times New Roman" w:cs="Times New Roman"/>
              </w:rPr>
              <w:t xml:space="preserve"> trūkstamų jungčių su centralizuotais elektros, dujų, šilumos, vandens ar nuotekų tinklais ar atitinkamų vietinių AEI naudojančių įrenginių, šių teritorijų pasiekimui reikalingos susisiekimo infrastruktūros trūkumų) pašalinimą bei</w:t>
            </w:r>
            <w:r w:rsidRPr="00B44B19">
              <w:rPr>
                <w:rFonts w:ascii="Times New Roman" w:eastAsia="Times New Roman" w:hAnsi="Times New Roman" w:cs="Times New Roman"/>
              </w:rPr>
              <w:t xml:space="preserve"> priemon</w:t>
            </w:r>
            <w:r w:rsidR="000C1260" w:rsidRPr="00B44B19">
              <w:rPr>
                <w:rFonts w:ascii="Times New Roman" w:eastAsia="Times New Roman" w:hAnsi="Times New Roman" w:cs="Times New Roman"/>
              </w:rPr>
              <w:t>ė</w:t>
            </w:r>
            <w:r w:rsidRPr="00B44B19">
              <w:rPr>
                <w:rFonts w:ascii="Times New Roman" w:eastAsia="Times New Roman" w:hAnsi="Times New Roman" w:cs="Times New Roman"/>
              </w:rPr>
              <w:t>s mažinanči</w:t>
            </w:r>
            <w:r w:rsidR="000C1260" w:rsidRPr="00B44B19">
              <w:rPr>
                <w:rFonts w:ascii="Times New Roman" w:eastAsia="Times New Roman" w:hAnsi="Times New Roman" w:cs="Times New Roman"/>
              </w:rPr>
              <w:t>o</w:t>
            </w:r>
            <w:r w:rsidRPr="00B44B19">
              <w:rPr>
                <w:rFonts w:ascii="Times New Roman" w:eastAsia="Times New Roman" w:hAnsi="Times New Roman" w:cs="Times New Roman"/>
              </w:rPr>
              <w:t>s neigiamą ekonominės veiklos poveikį aplinkai šiose teritorijose (triukšmą, oro, vandens taršą);</w:t>
            </w:r>
          </w:p>
          <w:p w14:paraId="244CC53C" w14:textId="77777777" w:rsidR="0063670C" w:rsidRPr="00B44B19" w:rsidRDefault="0063670C" w:rsidP="00E67E5C">
            <w:pPr>
              <w:numPr>
                <w:ilvl w:val="0"/>
                <w:numId w:val="7"/>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inovatyvių socialinės, kūrybinės ekonomikos ir bendro infrastruktūros naudojimo iniciatyvų plėtr</w:t>
            </w:r>
            <w:r w:rsidR="000C1260" w:rsidRPr="00B44B19">
              <w:rPr>
                <w:rFonts w:ascii="Times New Roman" w:eastAsia="Times New Roman" w:hAnsi="Times New Roman" w:cs="Times New Roman"/>
              </w:rPr>
              <w:t>a</w:t>
            </w:r>
            <w:r w:rsidRPr="00B44B19">
              <w:rPr>
                <w:rFonts w:ascii="Times New Roman" w:eastAsia="Times New Roman" w:hAnsi="Times New Roman" w:cs="Times New Roman"/>
              </w:rPr>
              <w:t xml:space="preserve"> (pvz., įrengiant gamybines, maisto, kūrybinių industrijų bendradarbystės erdves viešuosiuose pastatuose).</w:t>
            </w:r>
          </w:p>
          <w:p w14:paraId="30375ADA" w14:textId="77777777" w:rsidR="0063670C" w:rsidRPr="00B44B19" w:rsidRDefault="0063670C" w:rsidP="00E67E5C">
            <w:pPr>
              <w:spacing w:before="60" w:after="60"/>
              <w:jc w:val="both"/>
              <w:rPr>
                <w:rFonts w:ascii="Times New Roman" w:eastAsia="Times New Roman" w:hAnsi="Times New Roman" w:cs="Times New Roman"/>
                <w:i/>
              </w:rPr>
            </w:pPr>
            <w:r w:rsidRPr="00B44B19">
              <w:rPr>
                <w:rFonts w:ascii="Times New Roman" w:eastAsia="Times New Roman" w:hAnsi="Times New Roman" w:cs="Times New Roman"/>
                <w:i/>
              </w:rPr>
              <w:t>Šių veiklų investicijomis siekiama paskatinti ir įvairinti miestų ekonomiką, pritraukti investicijas, kurti darbo vietas, efektyvinti infrastruktūrą, taikant kūrybinės vietokūros (angl. „placemaking“) principus, skatinant bendradarbiavimą ir tinklaveiką su NVO, VVG, MTEPI, KKI institucijomis. Veiklos vykdomos VVL regiono Alytaus, Marijampolės, Tauragės, Telšių, Šiaulių, Panevėžio, Utenos miestuose.</w:t>
            </w:r>
          </w:p>
          <w:p w14:paraId="56A51EAE" w14:textId="77777777" w:rsidR="00035E44" w:rsidRPr="00B44B19" w:rsidRDefault="00627E7E"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Administracinių gebėjimų stiprinimas teikiant ekspertinę ir metodinę pagalbą įgyvendinant tvarios miestų plėtros strategijas</w:t>
            </w:r>
            <w:r w:rsidR="000C1260" w:rsidRPr="00B44B19">
              <w:rPr>
                <w:rFonts w:ascii="Times New Roman" w:eastAsia="Times New Roman" w:hAnsi="Times New Roman" w:cs="Times New Roman"/>
              </w:rPr>
              <w:t xml:space="preserve">. </w:t>
            </w:r>
          </w:p>
          <w:p w14:paraId="1796EFFA" w14:textId="77777777" w:rsidR="00EA57D7" w:rsidRPr="00B44B19" w:rsidRDefault="00334B0C" w:rsidP="00E67E5C">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3107A0" w:rsidRPr="00B44B19">
              <w:rPr>
                <w:rFonts w:ascii="Times New Roman" w:eastAsia="Times New Roman" w:hAnsi="Times New Roman" w:cs="Times New Roman"/>
                <w:noProof/>
                <w:szCs w:val="24"/>
              </w:rPr>
              <w:t>.</w:t>
            </w:r>
          </w:p>
        </w:tc>
      </w:tr>
    </w:tbl>
    <w:p w14:paraId="32EF84E1" w14:textId="77777777" w:rsidR="00035E44" w:rsidRPr="00B44B19" w:rsidRDefault="00035E44" w:rsidP="00783D09">
      <w:pPr>
        <w:pStyle w:val="Stilius1"/>
        <w:rPr>
          <w:rFonts w:cs="Times New Roman"/>
        </w:rPr>
      </w:pPr>
      <w:r w:rsidRPr="00B44B19">
        <w:rPr>
          <w:rFonts w:cs="Times New Roman"/>
        </w:rPr>
        <w:lastRenderedPageBreak/>
        <w:t>Pagrindinės tikslinės grupės</w:t>
      </w:r>
    </w:p>
    <w:tbl>
      <w:tblPr>
        <w:tblStyle w:val="Lentelstinklelis10"/>
        <w:tblW w:w="0" w:type="auto"/>
        <w:tblLook w:val="04A0" w:firstRow="1" w:lastRow="0" w:firstColumn="1" w:lastColumn="0" w:noHBand="0" w:noVBand="1"/>
      </w:tblPr>
      <w:tblGrid>
        <w:gridCol w:w="9628"/>
      </w:tblGrid>
      <w:tr w:rsidR="00035E44" w:rsidRPr="00B44B19" w14:paraId="300593BF" w14:textId="77777777" w:rsidTr="00035E44">
        <w:tc>
          <w:tcPr>
            <w:tcW w:w="9854" w:type="dxa"/>
          </w:tcPr>
          <w:p w14:paraId="29C97120" w14:textId="2AE77073" w:rsidR="00035E44" w:rsidRPr="00B44B19" w:rsidRDefault="003733DA" w:rsidP="00E67E5C">
            <w:pPr>
              <w:spacing w:before="60" w:after="60"/>
              <w:jc w:val="both"/>
              <w:rPr>
                <w:rFonts w:ascii="Times New Roman" w:hAnsi="Times New Roman" w:cs="Times New Roman"/>
                <w:szCs w:val="24"/>
              </w:rPr>
            </w:pPr>
            <w:r w:rsidRPr="00B44B19">
              <w:rPr>
                <w:rFonts w:ascii="Times New Roman" w:hAnsi="Times New Roman" w:cs="Times New Roman"/>
              </w:rPr>
              <w:lastRenderedPageBreak/>
              <w:t>7-ių miestų (regionų centrų, išskyrus Vilnių, Kauną, Klaipėdą) MVĮ, 10-ies miestų (regionų centrų) ir 3-jų didžiausių miestų priemiesčių gyventojai, savivaldybės, RPT ir kitos viešojo sektoriaus institucijos</w:t>
            </w:r>
            <w:r w:rsidR="00E61F7C" w:rsidRPr="00B44B19">
              <w:rPr>
                <w:rFonts w:ascii="Times New Roman" w:hAnsi="Times New Roman" w:cs="Times New Roman"/>
              </w:rPr>
              <w:t xml:space="preserve">, </w:t>
            </w:r>
            <w:r w:rsidRPr="00B44B19">
              <w:rPr>
                <w:rFonts w:ascii="Times New Roman" w:hAnsi="Times New Roman" w:cs="Times New Roman"/>
              </w:rPr>
              <w:t>ir įstaigos, viešąsias paslaugas teikiančios NVO.</w:t>
            </w:r>
          </w:p>
        </w:tc>
      </w:tr>
    </w:tbl>
    <w:p w14:paraId="6101C5ED" w14:textId="77777777" w:rsidR="00035E44" w:rsidRPr="00B44B19" w:rsidRDefault="00035E44" w:rsidP="00783D09">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5F79CA" w:rsidRPr="00B44B19" w14:paraId="348FF590" w14:textId="77777777" w:rsidTr="005F79CA">
        <w:tc>
          <w:tcPr>
            <w:tcW w:w="9854" w:type="dxa"/>
          </w:tcPr>
          <w:p w14:paraId="1C12F023" w14:textId="77777777" w:rsidR="005912FC" w:rsidRPr="00B44B19" w:rsidRDefault="005912FC" w:rsidP="00E67E5C">
            <w:pPr>
              <w:spacing w:before="60" w:after="60"/>
              <w:jc w:val="both"/>
              <w:rPr>
                <w:rFonts w:cs="Times New Roman"/>
                <w:sz w:val="22"/>
              </w:rPr>
            </w:pPr>
            <w:r w:rsidRPr="00B44B19">
              <w:rPr>
                <w:rFonts w:cs="Times New Roman"/>
                <w:sz w:val="22"/>
              </w:rPr>
              <w:t xml:space="preserve">Investuojant į infrastruktūrą, kuriant naujus ar tobulinant esamus produktus bus laikomasi universalaus dizaino principo. </w:t>
            </w:r>
          </w:p>
          <w:p w14:paraId="1D933CCB" w14:textId="77777777" w:rsidR="005F79CA" w:rsidRPr="00B44B19" w:rsidRDefault="005912FC" w:rsidP="00E67E5C">
            <w:pPr>
              <w:spacing w:before="60" w:after="60"/>
              <w:jc w:val="both"/>
              <w:rPr>
                <w:rFonts w:cs="Times New Roman"/>
                <w:b/>
                <w:i/>
                <w:szCs w:val="24"/>
              </w:rPr>
            </w:pPr>
            <w:r w:rsidRPr="00B44B19">
              <w:rPr>
                <w:rFonts w:cs="Times New Roman"/>
                <w:sz w:val="22"/>
              </w:rPr>
              <w:t>Siekiant optimalaus paslaugų prieinamumo žmonėms su negalia, moterims ir vyrams, skirtingoms socialinėms ir amžiaus (ypač atskirtį patiriančioms) grupėms, visas tikslines grupes atstovaujančioms organizacijoms bus sudaromos vienodos galimybės įgyvendinti veiklas, prisidedančias prie tvarios miestų plėtros ir naudotis pritaikyta infrastruktūra ir inovatyviais viešųjų paslaugų prieinamumo sprendimais.</w:t>
            </w:r>
          </w:p>
        </w:tc>
      </w:tr>
    </w:tbl>
    <w:p w14:paraId="11CC6989" w14:textId="77777777" w:rsidR="00035E44" w:rsidRPr="00B44B19" w:rsidRDefault="00035E44" w:rsidP="00783D09">
      <w:pPr>
        <w:pStyle w:val="Stilius1"/>
        <w:rPr>
          <w:rFonts w:cs="Times New Roman"/>
        </w:rPr>
      </w:pPr>
      <w:r w:rsidRPr="00B44B19">
        <w:rPr>
          <w:rFonts w:cs="Times New Roman"/>
        </w:rPr>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628"/>
      </w:tblGrid>
      <w:tr w:rsidR="00035E44" w:rsidRPr="00B44B19" w14:paraId="3B28281B" w14:textId="77777777" w:rsidTr="00035E44">
        <w:tc>
          <w:tcPr>
            <w:tcW w:w="9854" w:type="dxa"/>
          </w:tcPr>
          <w:p w14:paraId="69F96689" w14:textId="77777777" w:rsidR="005912FC" w:rsidRPr="00B44B19" w:rsidRDefault="005912F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Tvarios miestų plėtros veiksmai bus įgyvendinami miestuose ir priemiesčiuose, t.</w:t>
            </w:r>
            <w:r w:rsidR="000C1260"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y. 10-ies regionų administraciniuose centruose, 3-jų didžiausių miestų atveju apimant ir šių miestų priemiesčius. </w:t>
            </w:r>
          </w:p>
          <w:p w14:paraId="1FDF97B3" w14:textId="77777777" w:rsidR="005912FC" w:rsidRPr="00B44B19" w:rsidRDefault="005912FC" w:rsidP="00E67E5C">
            <w:pPr>
              <w:spacing w:before="60" w:after="60"/>
              <w:jc w:val="both"/>
              <w:rPr>
                <w:rFonts w:ascii="Times New Roman" w:eastAsia="Times New Roman" w:hAnsi="Times New Roman" w:cs="Times New Roman"/>
                <w:b/>
              </w:rPr>
            </w:pPr>
            <w:r w:rsidRPr="00B44B19">
              <w:rPr>
                <w:rFonts w:ascii="Times New Roman" w:eastAsia="Times New Roman" w:hAnsi="Times New Roman" w:cs="Times New Roman"/>
              </w:rPr>
              <w:t xml:space="preserve">Nustatant priemiesčius, kuriems rengiama bendra su atitinkamu miestu tvarios plėtros strategija, atsižvelgiama į teritorijos vientisumo kriterijų </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5607B8" w:rsidRPr="00B44B19">
              <w:rPr>
                <w:rFonts w:ascii="Times New Roman" w:eastAsia="Times New Roman" w:hAnsi="Times New Roman" w:cs="Times New Roman"/>
                <w:b/>
              </w:rPr>
              <w:t>būdingą miestui (aukštą ar vidutinį)</w:t>
            </w:r>
            <w:r w:rsidR="005607B8" w:rsidRPr="00B44B19">
              <w:rPr>
                <w:rFonts w:ascii="Times New Roman" w:eastAsia="Times New Roman" w:hAnsi="Times New Roman" w:cs="Times New Roman"/>
              </w:rPr>
              <w:t xml:space="preserve"> </w:t>
            </w:r>
            <w:r w:rsidRPr="00B44B19">
              <w:rPr>
                <w:rFonts w:ascii="Times New Roman" w:eastAsia="Times New Roman" w:hAnsi="Times New Roman" w:cs="Times New Roman"/>
                <w:b/>
              </w:rPr>
              <w:t xml:space="preserve">gyventojų ir užstatymo </w:t>
            </w:r>
            <w:r w:rsidR="005607B8" w:rsidRPr="00B44B19">
              <w:rPr>
                <w:rFonts w:ascii="Times New Roman" w:eastAsia="Times New Roman" w:hAnsi="Times New Roman" w:cs="Times New Roman"/>
                <w:b/>
              </w:rPr>
              <w:t>tankumą su miestu besiribojančioje</w:t>
            </w:r>
            <w:r w:rsidRPr="00B44B19">
              <w:rPr>
                <w:rFonts w:ascii="Times New Roman" w:eastAsia="Times New Roman" w:hAnsi="Times New Roman" w:cs="Times New Roman"/>
                <w:b/>
              </w:rPr>
              <w:t xml:space="preserve"> teritorijoje.</w:t>
            </w:r>
          </w:p>
          <w:p w14:paraId="5FCB6027" w14:textId="77777777" w:rsidR="005912FC" w:rsidRPr="00B44B19" w:rsidRDefault="005912F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Prireikus įvertinami papildomi kriterijai: </w:t>
            </w:r>
          </w:p>
          <w:p w14:paraId="1834A5DE" w14:textId="77777777" w:rsidR="005912FC" w:rsidRPr="00B44B19"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B44B19">
              <w:rPr>
                <w:rFonts w:ascii="Times New Roman" w:eastAsia="Times New Roman" w:hAnsi="Times New Roman" w:cs="Times New Roman"/>
              </w:rPr>
              <w:t xml:space="preserve">aukštas (būdingas miestui) </w:t>
            </w:r>
            <w:r w:rsidR="005912FC" w:rsidRPr="00B44B19">
              <w:rPr>
                <w:rFonts w:ascii="Times New Roman" w:eastAsia="Times New Roman" w:hAnsi="Times New Roman" w:cs="Times New Roman"/>
              </w:rPr>
              <w:t>transporto tinklo tankumas;</w:t>
            </w:r>
          </w:p>
          <w:p w14:paraId="36CBE621" w14:textId="77777777" w:rsidR="005912FC" w:rsidRPr="00B44B19" w:rsidRDefault="005912FC" w:rsidP="00E67E5C">
            <w:pPr>
              <w:numPr>
                <w:ilvl w:val="0"/>
                <w:numId w:val="14"/>
              </w:numPr>
              <w:spacing w:before="60" w:after="60"/>
              <w:ind w:left="851" w:hanging="284"/>
              <w:contextualSpacing/>
              <w:jc w:val="both"/>
              <w:rPr>
                <w:rFonts w:ascii="Times New Roman" w:eastAsia="Times New Roman" w:hAnsi="Times New Roman" w:cs="Times New Roman"/>
              </w:rPr>
            </w:pPr>
            <w:r w:rsidRPr="00B44B19">
              <w:rPr>
                <w:rFonts w:ascii="Times New Roman" w:eastAsia="Times New Roman" w:hAnsi="Times New Roman" w:cs="Times New Roman"/>
              </w:rPr>
              <w:t xml:space="preserve">gyventojų skaičiaus augimas; </w:t>
            </w:r>
          </w:p>
          <w:p w14:paraId="47484778" w14:textId="77777777" w:rsidR="005912FC" w:rsidRPr="00B44B19"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B44B19">
              <w:rPr>
                <w:rFonts w:ascii="Times New Roman" w:eastAsia="Times New Roman" w:hAnsi="Times New Roman" w:cs="Times New Roman"/>
              </w:rPr>
              <w:t xml:space="preserve">žemesnė lyginant su miestu </w:t>
            </w:r>
            <w:r w:rsidR="005912FC" w:rsidRPr="00B44B19">
              <w:rPr>
                <w:rFonts w:ascii="Times New Roman" w:eastAsia="Times New Roman" w:hAnsi="Times New Roman" w:cs="Times New Roman"/>
              </w:rPr>
              <w:t>viešųjų paslaugų koncentracija</w:t>
            </w:r>
            <w:r w:rsidRPr="00B44B19">
              <w:rPr>
                <w:rFonts w:ascii="Times New Roman" w:eastAsia="Times New Roman" w:hAnsi="Times New Roman" w:cs="Times New Roman"/>
              </w:rPr>
              <w:t xml:space="preserve"> (lemianti funkcinius ryšius)</w:t>
            </w:r>
            <w:r w:rsidR="005912FC" w:rsidRPr="00B44B19">
              <w:rPr>
                <w:rFonts w:ascii="Times New Roman" w:eastAsia="Times New Roman" w:hAnsi="Times New Roman" w:cs="Times New Roman"/>
              </w:rPr>
              <w:t>;</w:t>
            </w:r>
          </w:p>
          <w:p w14:paraId="3AEAAB5F" w14:textId="77777777" w:rsidR="005912FC" w:rsidRPr="00B44B19" w:rsidRDefault="005607B8" w:rsidP="00E67E5C">
            <w:pPr>
              <w:numPr>
                <w:ilvl w:val="0"/>
                <w:numId w:val="14"/>
              </w:numPr>
              <w:spacing w:before="60" w:after="60"/>
              <w:ind w:left="851" w:hanging="284"/>
              <w:contextualSpacing/>
              <w:jc w:val="both"/>
              <w:rPr>
                <w:rFonts w:ascii="Times New Roman" w:eastAsia="Times New Roman" w:hAnsi="Times New Roman" w:cs="Times New Roman"/>
              </w:rPr>
            </w:pPr>
            <w:r w:rsidRPr="00B44B19">
              <w:rPr>
                <w:rFonts w:ascii="Times New Roman" w:eastAsia="Times New Roman" w:hAnsi="Times New Roman" w:cs="Times New Roman"/>
              </w:rPr>
              <w:t xml:space="preserve">žemesnė lyginant su miestu </w:t>
            </w:r>
            <w:r w:rsidR="005912FC" w:rsidRPr="00B44B19">
              <w:rPr>
                <w:rFonts w:ascii="Times New Roman" w:eastAsia="Times New Roman" w:hAnsi="Times New Roman" w:cs="Times New Roman"/>
              </w:rPr>
              <w:t>darbo vietų koncentracija</w:t>
            </w:r>
            <w:r w:rsidRPr="00B44B19">
              <w:rPr>
                <w:rFonts w:ascii="Times New Roman" w:eastAsia="Times New Roman" w:hAnsi="Times New Roman" w:cs="Times New Roman"/>
              </w:rPr>
              <w:t xml:space="preserve"> (lemianti funkcinius ryšius)</w:t>
            </w:r>
            <w:r w:rsidR="005912FC" w:rsidRPr="00B44B19">
              <w:rPr>
                <w:rFonts w:ascii="Times New Roman" w:eastAsia="Times New Roman" w:hAnsi="Times New Roman" w:cs="Times New Roman"/>
              </w:rPr>
              <w:t xml:space="preserve">; </w:t>
            </w:r>
          </w:p>
          <w:p w14:paraId="57BD411D" w14:textId="77777777" w:rsidR="005912FC" w:rsidRPr="00B44B19" w:rsidRDefault="005912FC" w:rsidP="00E67E5C">
            <w:pPr>
              <w:numPr>
                <w:ilvl w:val="0"/>
                <w:numId w:val="14"/>
              </w:numPr>
              <w:spacing w:before="60" w:after="60"/>
              <w:ind w:left="851" w:hanging="284"/>
              <w:contextualSpacing/>
              <w:jc w:val="both"/>
              <w:rPr>
                <w:rFonts w:ascii="Times New Roman" w:eastAsia="Times New Roman" w:hAnsi="Times New Roman" w:cs="Times New Roman"/>
              </w:rPr>
            </w:pPr>
            <w:r w:rsidRPr="00B44B19">
              <w:rPr>
                <w:rFonts w:ascii="Times New Roman" w:eastAsia="Times New Roman" w:hAnsi="Times New Roman" w:cs="Times New Roman"/>
              </w:rPr>
              <w:t>natūralūs riboženkliai (pvz., gyvenamųjų vietovių ribos, gamtiniai objektai).</w:t>
            </w:r>
          </w:p>
          <w:p w14:paraId="1277DB11" w14:textId="77777777" w:rsidR="005912FC" w:rsidRPr="00B44B19" w:rsidRDefault="005912F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Tvarios miesto plėtros strategija rengiama</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vadovaujantis BNR 29 straipsnyje nustatytais teritorinei strategijai taikomais reikalavimais, strategijos rengimo procese užtikrinant visuomenės, VVG, socialinių ir aplinkosauginių partnerių aktyvų įtraukimą. Strategija tvirtinama atitinkamo miesto ir (kur tinkama) dalyvaujančios (-ių) priemiesčių savivaldybės (-ių) tarybos (-ų). Kelių savivaldybių bendrai strategijai įgyvendinti sudaromas </w:t>
            </w:r>
            <w:r w:rsidR="000C1260" w:rsidRPr="00B44B19">
              <w:rPr>
                <w:rFonts w:ascii="Times New Roman" w:eastAsia="Times New Roman" w:hAnsi="Times New Roman" w:cs="Times New Roman"/>
              </w:rPr>
              <w:t xml:space="preserve">tos </w:t>
            </w:r>
            <w:r w:rsidRPr="00B44B19">
              <w:rPr>
                <w:rFonts w:ascii="Times New Roman" w:eastAsia="Times New Roman" w:hAnsi="Times New Roman" w:cs="Times New Roman"/>
              </w:rPr>
              <w:t xml:space="preserve">miesto ir priemiesčių teritorijos savivaldybių susitarimas dėl bendrų veiksmų. Savivaldybė (kur tinkama – savivaldybės) atlieka pirminę veiksmų atranką ir prižiūri jų įgyvendinimą. Strategijos ir susitarimai dėl bendrų veiksmų derinami su nacionalinę regioninę politiką formuojančia ir koordinuojančia institucija (VRM) atitikties </w:t>
            </w:r>
            <w:r w:rsidR="00BC0F7C" w:rsidRPr="00B44B19">
              <w:rPr>
                <w:rFonts w:ascii="Times New Roman" w:eastAsia="Times New Roman" w:hAnsi="Times New Roman" w:cs="Times New Roman"/>
              </w:rPr>
              <w:t>Programos</w:t>
            </w:r>
            <w:r w:rsidRPr="00B44B19">
              <w:rPr>
                <w:rFonts w:ascii="Times New Roman" w:eastAsia="Times New Roman" w:hAnsi="Times New Roman" w:cs="Times New Roman"/>
              </w:rPr>
              <w:t xml:space="preserve"> tvarios miesto plėtros nuostatoms aspektu.</w:t>
            </w:r>
          </w:p>
          <w:p w14:paraId="1B1BD360" w14:textId="77777777" w:rsidR="005912FC" w:rsidRPr="00B44B19" w:rsidRDefault="005912FC"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Miesto ir priemiesčio savivaldybės atrenka veiksmus, skirtus tvariai miestų plėtrai vadovaudamosi ERPF-SaF reglamento 11 str. nuostatomis ir miestų (kur tinkama – ir jų priemiesčių) savivaldybių patvirtintomis tvarios miestų plėtros strategijomis, kuriose pateikiamas remiamų veiksmų sąrašas. </w:t>
            </w:r>
          </w:p>
          <w:p w14:paraId="1588C632" w14:textId="77777777" w:rsidR="00035E44" w:rsidRPr="00B44B19" w:rsidRDefault="005912FC" w:rsidP="00E67E5C">
            <w:pPr>
              <w:spacing w:before="60" w:after="60"/>
              <w:jc w:val="both"/>
              <w:rPr>
                <w:rFonts w:ascii="Times New Roman" w:hAnsi="Times New Roman" w:cs="Times New Roman"/>
                <w:szCs w:val="24"/>
              </w:rPr>
            </w:pPr>
            <w:bookmarkStart w:id="59" w:name="part_4aeeab1838d04357b0c9d5270cdd4c02"/>
            <w:bookmarkStart w:id="60" w:name="part_60f321e42fd94869ab306046dc3494e6"/>
            <w:bookmarkStart w:id="61" w:name="part_b5f6b535344a47ab8f7772056f6e5005"/>
            <w:bookmarkEnd w:id="59"/>
            <w:bookmarkEnd w:id="60"/>
            <w:bookmarkEnd w:id="61"/>
            <w:r w:rsidRPr="00B44B19">
              <w:rPr>
                <w:rFonts w:ascii="Times New Roman" w:eastAsia="Times New Roman" w:hAnsi="Times New Roman" w:cs="Times New Roman"/>
              </w:rPr>
              <w:t>Įgyvendinant šį uždavinį</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taikomas ITI mechanizmas, derinant miestų plėtros investicijas su kitų </w:t>
            </w:r>
            <w:r w:rsidR="00BC0F7C" w:rsidRPr="00B44B19">
              <w:rPr>
                <w:rFonts w:ascii="Times New Roman" w:eastAsia="Times New Roman" w:hAnsi="Times New Roman" w:cs="Times New Roman"/>
              </w:rPr>
              <w:t>Programos</w:t>
            </w:r>
            <w:r w:rsidRPr="00B44B19">
              <w:rPr>
                <w:rFonts w:ascii="Times New Roman" w:eastAsia="Times New Roman" w:hAnsi="Times New Roman" w:cs="Times New Roman"/>
              </w:rPr>
              <w:t xml:space="preserve"> uždavinių investicijomis teritoriniu ir teminiu principu </w:t>
            </w:r>
            <w:r w:rsidR="008A1CD6" w:rsidRPr="00B44B19">
              <w:rPr>
                <w:rFonts w:ascii="Times New Roman" w:eastAsia="Times New Roman" w:hAnsi="Times New Roman" w:cs="Times New Roman"/>
              </w:rPr>
              <w:t xml:space="preserve">ir </w:t>
            </w:r>
            <w:r w:rsidR="008A1CD6" w:rsidRPr="00B44B19">
              <w:rPr>
                <w:rFonts w:ascii="Times New Roman" w:eastAsia="Times New Roman" w:hAnsi="Times New Roman" w:cs="Times New Roman"/>
                <w:b/>
              </w:rPr>
              <w:t>tvarios miestų plėtros strategijose</w:t>
            </w:r>
            <w:r w:rsidR="008A1CD6" w:rsidRPr="00B44B19">
              <w:rPr>
                <w:rFonts w:ascii="Times New Roman" w:eastAsia="Times New Roman" w:hAnsi="Times New Roman" w:cs="Times New Roman"/>
              </w:rPr>
              <w:t xml:space="preserve"> iš apačios nustatant ESIFP uždavinių problemų, kurios yra būdingos konkrečiam miestui, sprendinius.</w:t>
            </w:r>
          </w:p>
        </w:tc>
      </w:tr>
    </w:tbl>
    <w:p w14:paraId="0E9779A4" w14:textId="77777777" w:rsidR="00035E44" w:rsidRPr="00B44B19" w:rsidRDefault="00035E44" w:rsidP="00783D09">
      <w:pPr>
        <w:pStyle w:val="Stilius1"/>
        <w:rPr>
          <w:rFonts w:cs="Times New Roman"/>
        </w:rPr>
      </w:pPr>
      <w:r w:rsidRPr="00B44B19">
        <w:rPr>
          <w:rFonts w:cs="Times New Roman"/>
        </w:rPr>
        <w:t>Tarpregioniniai</w:t>
      </w:r>
      <w:r w:rsidR="00993B5D" w:rsidRPr="00B44B19">
        <w:rPr>
          <w:rFonts w:cs="Times New Roman"/>
        </w:rPr>
        <w:t>, tarp sienų</w:t>
      </w:r>
      <w:r w:rsidRPr="00B44B19">
        <w:rPr>
          <w:rFonts w:cs="Times New Roman"/>
        </w:rPr>
        <w:t xml:space="preserve"> ir tarpvalstybiniai veiksmai</w:t>
      </w:r>
    </w:p>
    <w:tbl>
      <w:tblPr>
        <w:tblStyle w:val="Lentelstinklelis10"/>
        <w:tblW w:w="0" w:type="auto"/>
        <w:tblLook w:val="04A0" w:firstRow="1" w:lastRow="0" w:firstColumn="1" w:lastColumn="0" w:noHBand="0" w:noVBand="1"/>
      </w:tblPr>
      <w:tblGrid>
        <w:gridCol w:w="9628"/>
      </w:tblGrid>
      <w:tr w:rsidR="00035E44" w:rsidRPr="00B44B19" w14:paraId="24503049" w14:textId="77777777" w:rsidTr="00035E44">
        <w:tc>
          <w:tcPr>
            <w:tcW w:w="9854" w:type="dxa"/>
          </w:tcPr>
          <w:p w14:paraId="64223648" w14:textId="77777777" w:rsidR="004E2B91" w:rsidRPr="00B44B19" w:rsidRDefault="004E2B91"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Siekiant </w:t>
            </w:r>
            <w:r w:rsidRPr="00B44B19">
              <w:rPr>
                <w:rFonts w:ascii="Times New Roman" w:eastAsia="Times New Roman" w:hAnsi="Times New Roman" w:cs="Times New Roman"/>
                <w:b/>
                <w:bCs/>
              </w:rPr>
              <w:t>BJRS</w:t>
            </w:r>
            <w:r w:rsidRPr="00B44B19">
              <w:rPr>
                <w:rFonts w:ascii="Times New Roman" w:eastAsia="Times New Roman" w:hAnsi="Times New Roman" w:cs="Times New Roman"/>
              </w:rPr>
              <w:t xml:space="preserve"> tikslo ,,Padidinti regiono gerovę“ įgyvendinimo, skatinimas regionų bendradarbiavimas </w:t>
            </w:r>
            <w:r w:rsidR="000C1260" w:rsidRPr="00B44B19">
              <w:rPr>
                <w:rFonts w:ascii="Times New Roman" w:eastAsia="Times New Roman" w:hAnsi="Times New Roman" w:cs="Times New Roman"/>
              </w:rPr>
              <w:t>dėl</w:t>
            </w:r>
            <w:r w:rsidRPr="00B44B19">
              <w:rPr>
                <w:rFonts w:ascii="Times New Roman" w:eastAsia="Times New Roman" w:hAnsi="Times New Roman" w:cs="Times New Roman"/>
              </w:rPr>
              <w:t xml:space="preserve"> BJRS tikslų. Šalių siekis būti klestinčiu ir augančiu regionu pasauliniu mastu didins regiono konkurencinį pranašumą, o dalijimasis gerąja praktika bei sutelktomis pastangomis</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sprendžiant regionui aktualias problemas, užtikrins darnų regiono vystymąsi bei pažangą. Siekiant BJRS tikslo ,,Sujungti regioną“ sudaromos sąlygos plėtoti bendras sistemas (transporto, informacijos, kt.), sustiprinti regiono konkurencingumą ir gyvenimo kokybę regione.</w:t>
            </w:r>
          </w:p>
          <w:p w14:paraId="0F8960B8" w14:textId="77777777" w:rsidR="00035E44" w:rsidRPr="00B44B19" w:rsidRDefault="004E2B91" w:rsidP="00E67E5C">
            <w:pPr>
              <w:spacing w:before="60" w:after="60"/>
              <w:jc w:val="both"/>
              <w:rPr>
                <w:rFonts w:ascii="Times New Roman" w:hAnsi="Times New Roman" w:cs="Times New Roman"/>
              </w:rPr>
            </w:pPr>
            <w:r w:rsidRPr="00B44B19">
              <w:rPr>
                <w:rFonts w:ascii="Times New Roman" w:eastAsia="Times New Roman" w:hAnsi="Times New Roman" w:cs="Times New Roman"/>
              </w:rPr>
              <w:t xml:space="preserve">Žmonių ir institucijų bendradarbiavimas yra svarbiausias </w:t>
            </w:r>
            <w:r w:rsidRPr="00B44B19">
              <w:rPr>
                <w:rFonts w:ascii="Times New Roman" w:eastAsia="Times New Roman" w:hAnsi="Times New Roman" w:cs="Times New Roman"/>
                <w:b/>
                <w:bCs/>
              </w:rPr>
              <w:t>bendradarbiavimo per sieną programų</w:t>
            </w:r>
            <w:r w:rsidRPr="00B44B19">
              <w:rPr>
                <w:rFonts w:ascii="Times New Roman" w:eastAsia="Times New Roman" w:hAnsi="Times New Roman" w:cs="Times New Roman"/>
              </w:rPr>
              <w:t xml:space="preserve"> elementas. </w:t>
            </w:r>
            <w:r w:rsidR="000C1260" w:rsidRPr="00B44B19">
              <w:rPr>
                <w:rFonts w:ascii="Times New Roman" w:eastAsia="Times New Roman" w:hAnsi="Times New Roman" w:cs="Times New Roman"/>
              </w:rPr>
              <w:t>D</w:t>
            </w:r>
            <w:r w:rsidRPr="00B44B19">
              <w:rPr>
                <w:rFonts w:ascii="Times New Roman" w:eastAsia="Times New Roman" w:hAnsi="Times New Roman" w:cs="Times New Roman"/>
              </w:rPr>
              <w:t xml:space="preserve">idžioji dalis inovatyvios pramonės, mokslo ir švietimo įstaigų yra sutelktos regionų centruose, </w:t>
            </w:r>
            <w:r w:rsidR="000C1260" w:rsidRPr="00B44B19">
              <w:rPr>
                <w:rFonts w:ascii="Times New Roman" w:eastAsia="Times New Roman" w:hAnsi="Times New Roman" w:cs="Times New Roman"/>
              </w:rPr>
              <w:t xml:space="preserve">todėl </w:t>
            </w:r>
            <w:r w:rsidRPr="00B44B19">
              <w:rPr>
                <w:rFonts w:ascii="Times New Roman" w:eastAsia="Times New Roman" w:hAnsi="Times New Roman" w:cs="Times New Roman"/>
              </w:rPr>
              <w:t>šių miestų bendradarbiavimas ir konkurencija per sieną (su Rygos, Suvalkų, Balstogės ir kitais miestais) gali būti pagrindinis visų pasienio regionų plėtros variklis pritraukiant investicijas, kuriant inovacijas ir skatinant žaliąjį augimą.</w:t>
            </w:r>
          </w:p>
        </w:tc>
      </w:tr>
    </w:tbl>
    <w:p w14:paraId="33593843" w14:textId="77777777" w:rsidR="00035E44" w:rsidRPr="00B44B19" w:rsidRDefault="00035E44" w:rsidP="00783D09">
      <w:pPr>
        <w:pStyle w:val="Stilius1"/>
        <w:rPr>
          <w:rFonts w:cs="Times New Roman"/>
        </w:rPr>
      </w:pPr>
      <w:r w:rsidRPr="00B44B19">
        <w:rPr>
          <w:rFonts w:cs="Times New Roman"/>
        </w:rPr>
        <w:t>Planuojamas finansinių priemonių naudojimas</w:t>
      </w:r>
    </w:p>
    <w:tbl>
      <w:tblPr>
        <w:tblStyle w:val="Lentelstinklelis10"/>
        <w:tblW w:w="0" w:type="auto"/>
        <w:tblLook w:val="04A0" w:firstRow="1" w:lastRow="0" w:firstColumn="1" w:lastColumn="0" w:noHBand="0" w:noVBand="1"/>
      </w:tblPr>
      <w:tblGrid>
        <w:gridCol w:w="9628"/>
      </w:tblGrid>
      <w:tr w:rsidR="00035E44" w:rsidRPr="00B44B19" w14:paraId="4DE9B62B" w14:textId="77777777" w:rsidTr="00035E44">
        <w:tc>
          <w:tcPr>
            <w:tcW w:w="9854" w:type="dxa"/>
          </w:tcPr>
          <w:p w14:paraId="00D030B8" w14:textId="77777777" w:rsidR="00035E44" w:rsidRPr="00B44B19" w:rsidRDefault="00D43A78" w:rsidP="00E67E5C">
            <w:pPr>
              <w:spacing w:before="60" w:after="60"/>
              <w:jc w:val="both"/>
              <w:rPr>
                <w:rFonts w:ascii="Times New Roman" w:hAnsi="Times New Roman" w:cs="Times New Roman"/>
              </w:rPr>
            </w:pPr>
            <w:r w:rsidRPr="00B44B19">
              <w:rPr>
                <w:rFonts w:ascii="Times New Roman" w:hAnsi="Times New Roman" w:cs="Times New Roman"/>
              </w:rPr>
              <w:lastRenderedPageBreak/>
              <w:t>–</w:t>
            </w:r>
          </w:p>
        </w:tc>
      </w:tr>
    </w:tbl>
    <w:p w14:paraId="19FE79B9" w14:textId="77777777" w:rsidR="00802586" w:rsidRPr="00B44B19" w:rsidRDefault="00E76E9F" w:rsidP="00783D09">
      <w:pPr>
        <w:pStyle w:val="Stilius1"/>
        <w:rPr>
          <w:rFonts w:eastAsia="Calibri" w:cs="Times New Roman"/>
          <w:noProof/>
          <w:szCs w:val="20"/>
          <w:lang w:eastAsia="lt-LT" w:bidi="lt-LT"/>
        </w:rPr>
      </w:pPr>
      <w:r w:rsidRPr="00B44B19">
        <w:rPr>
          <w:rFonts w:cs="Times New Roman"/>
        </w:rPr>
        <w:t>Rodikliai</w:t>
      </w:r>
    </w:p>
    <w:p w14:paraId="529074F0" w14:textId="77777777" w:rsidR="00E76E9F" w:rsidRPr="00B44B19" w:rsidRDefault="00E76E9F" w:rsidP="00802586">
      <w:pPr>
        <w:spacing w:before="240" w:after="0" w:line="240" w:lineRule="auto"/>
        <w:jc w:val="both"/>
        <w:rPr>
          <w:rFonts w:cs="Times New Roman"/>
          <w:bCs/>
          <w:szCs w:val="24"/>
          <w:lang w:val="en-US"/>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8"/>
        <w:gridCol w:w="825"/>
        <w:gridCol w:w="968"/>
        <w:gridCol w:w="1243"/>
        <w:gridCol w:w="1662"/>
        <w:gridCol w:w="1101"/>
        <w:gridCol w:w="836"/>
        <w:gridCol w:w="926"/>
      </w:tblGrid>
      <w:tr w:rsidR="00E76E9F" w:rsidRPr="00B44B19" w14:paraId="3A08D331" w14:textId="77777777" w:rsidTr="000A2DEB">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E30703"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90C02D"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296021"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59AD67"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5E12F8" w14:textId="77777777" w:rsidR="00E76E9F" w:rsidRPr="00B44B19" w:rsidRDefault="00163D35" w:rsidP="009750A4">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86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0AAA08" w14:textId="77777777" w:rsidR="00E76E9F" w:rsidRPr="00B44B19" w:rsidRDefault="00163D35" w:rsidP="009750A4">
            <w:pPr>
              <w:spacing w:after="0" w:line="240" w:lineRule="auto"/>
              <w:jc w:val="center"/>
              <w:rPr>
                <w:rFonts w:cs="Times New Roman"/>
                <w:b/>
                <w:noProof/>
                <w:sz w:val="16"/>
                <w:szCs w:val="16"/>
              </w:rPr>
            </w:pPr>
            <w:r w:rsidRPr="00B44B19">
              <w:rPr>
                <w:rFonts w:cs="Times New Roman"/>
                <w:b/>
                <w:noProof/>
                <w:sz w:val="16"/>
                <w:szCs w:val="16"/>
              </w:rPr>
              <w:t>Rodiklis</w:t>
            </w:r>
          </w:p>
        </w:tc>
        <w:tc>
          <w:tcPr>
            <w:tcW w:w="57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29CAFF"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5D8D86"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0B354F" w14:textId="77777777" w:rsidR="00E76E9F" w:rsidRPr="00B44B19" w:rsidRDefault="00E76E9F" w:rsidP="009750A4">
            <w:pPr>
              <w:spacing w:after="0" w:line="240" w:lineRule="auto"/>
              <w:jc w:val="center"/>
              <w:rPr>
                <w:rFonts w:cs="Times New Roman"/>
                <w:b/>
                <w:noProof/>
                <w:sz w:val="16"/>
                <w:szCs w:val="16"/>
              </w:rPr>
            </w:pPr>
            <w:r w:rsidRPr="00B44B19">
              <w:rPr>
                <w:rFonts w:cs="Times New Roman"/>
                <w:b/>
                <w:noProof/>
                <w:sz w:val="16"/>
                <w:szCs w:val="16"/>
              </w:rPr>
              <w:t>Siek</w:t>
            </w:r>
            <w:r w:rsidR="00F04E0C" w:rsidRPr="00B44B19">
              <w:rPr>
                <w:rFonts w:cs="Times New Roman"/>
                <w:b/>
                <w:noProof/>
                <w:sz w:val="16"/>
                <w:szCs w:val="16"/>
              </w:rPr>
              <w:t>tina reikšmė</w:t>
            </w:r>
            <w:r w:rsidRPr="00B44B19">
              <w:rPr>
                <w:rFonts w:cs="Times New Roman"/>
                <w:b/>
                <w:noProof/>
                <w:sz w:val="16"/>
                <w:szCs w:val="16"/>
              </w:rPr>
              <w:t xml:space="preserve"> (2029 m.)</w:t>
            </w:r>
          </w:p>
        </w:tc>
      </w:tr>
      <w:tr w:rsidR="0002743E" w:rsidRPr="00B44B19" w14:paraId="2E5D621C" w14:textId="77777777" w:rsidTr="00574C0F">
        <w:trPr>
          <w:trHeight w:val="340"/>
        </w:trPr>
        <w:tc>
          <w:tcPr>
            <w:tcW w:w="566" w:type="pct"/>
            <w:vMerge w:val="restart"/>
          </w:tcPr>
          <w:p w14:paraId="7F9AE12E" w14:textId="77777777" w:rsidR="0002743E" w:rsidRPr="00B44B19" w:rsidRDefault="0002743E" w:rsidP="00E23BAD">
            <w:pPr>
              <w:spacing w:after="0" w:line="240" w:lineRule="auto"/>
              <w:jc w:val="both"/>
              <w:rPr>
                <w:rFonts w:cs="Times New Roman"/>
                <w:noProof/>
                <w:sz w:val="16"/>
                <w:szCs w:val="16"/>
              </w:rPr>
            </w:pPr>
            <w:r w:rsidRPr="00B44B19">
              <w:rPr>
                <w:rFonts w:cs="Times New Roman"/>
                <w:noProof/>
                <w:sz w:val="16"/>
                <w:szCs w:val="16"/>
              </w:rPr>
              <w:t>5.</w:t>
            </w:r>
            <w:r w:rsidR="003832C0" w:rsidRPr="00B44B19">
              <w:rPr>
                <w:rFonts w:cs="Times New Roman"/>
                <w:bCs/>
                <w:iCs/>
                <w:sz w:val="28"/>
                <w:szCs w:val="28"/>
                <w:lang w:bidi="lt-LT"/>
              </w:rPr>
              <w:t xml:space="preserve"> </w:t>
            </w:r>
            <w:r w:rsidRPr="00B44B19">
              <w:rPr>
                <w:rFonts w:cs="Times New Roman"/>
                <w:bCs/>
                <w:iCs/>
                <w:noProof/>
                <w:sz w:val="16"/>
                <w:szCs w:val="16"/>
                <w:lang w:bidi="lt-LT"/>
              </w:rPr>
              <w:t>Piliečiams artimesnė Europa</w:t>
            </w:r>
          </w:p>
        </w:tc>
        <w:tc>
          <w:tcPr>
            <w:tcW w:w="498" w:type="pct"/>
            <w:vMerge w:val="restart"/>
          </w:tcPr>
          <w:p w14:paraId="73BD8E81" w14:textId="77777777" w:rsidR="0002743E" w:rsidRPr="00B44B19" w:rsidRDefault="0002743E" w:rsidP="00E23BAD">
            <w:pPr>
              <w:spacing w:after="0" w:line="240" w:lineRule="auto"/>
              <w:jc w:val="both"/>
              <w:rPr>
                <w:rFonts w:cs="Times New Roman"/>
                <w:noProof/>
                <w:sz w:val="16"/>
                <w:szCs w:val="16"/>
              </w:rPr>
            </w:pPr>
            <w:r w:rsidRPr="00B44B19">
              <w:rPr>
                <w:rFonts w:cs="Times New Roman"/>
                <w:noProof/>
                <w:sz w:val="16"/>
                <w:szCs w:val="16"/>
              </w:rPr>
              <w:t>5.1</w:t>
            </w:r>
          </w:p>
        </w:tc>
        <w:tc>
          <w:tcPr>
            <w:tcW w:w="429" w:type="pct"/>
            <w:vMerge w:val="restart"/>
          </w:tcPr>
          <w:p w14:paraId="4A10E12D" w14:textId="77777777" w:rsidR="0002743E" w:rsidRPr="00B44B19" w:rsidRDefault="0002743E" w:rsidP="00E23BAD">
            <w:pPr>
              <w:spacing w:after="0" w:line="240" w:lineRule="auto"/>
              <w:jc w:val="both"/>
              <w:rPr>
                <w:rFonts w:cs="Times New Roman"/>
                <w:noProof/>
                <w:sz w:val="16"/>
                <w:szCs w:val="16"/>
              </w:rPr>
            </w:pPr>
            <w:r w:rsidRPr="00B44B19">
              <w:rPr>
                <w:rFonts w:cs="Times New Roman"/>
                <w:noProof/>
                <w:sz w:val="16"/>
                <w:szCs w:val="16"/>
              </w:rPr>
              <w:t>ERPF</w:t>
            </w:r>
          </w:p>
        </w:tc>
        <w:tc>
          <w:tcPr>
            <w:tcW w:w="504" w:type="pct"/>
            <w:tcBorders>
              <w:top w:val="single" w:sz="4" w:space="0" w:color="auto"/>
              <w:bottom w:val="single" w:sz="4" w:space="0" w:color="auto"/>
            </w:tcBorders>
          </w:tcPr>
          <w:p w14:paraId="049B4DFF" w14:textId="77777777" w:rsidR="0002743E" w:rsidRPr="00B44B19" w:rsidRDefault="0002743E" w:rsidP="00B133AE">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550BF086" w14:textId="77777777" w:rsidR="0002743E" w:rsidRPr="00B44B19" w:rsidRDefault="0002743E" w:rsidP="0005072D">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RCO74</w:t>
            </w:r>
          </w:p>
        </w:tc>
        <w:tc>
          <w:tcPr>
            <w:tcW w:w="865" w:type="pct"/>
            <w:tcBorders>
              <w:top w:val="single" w:sz="4" w:space="0" w:color="auto"/>
              <w:bottom w:val="single" w:sz="4" w:space="0" w:color="auto"/>
            </w:tcBorders>
          </w:tcPr>
          <w:p w14:paraId="46172A0F" w14:textId="77777777" w:rsidR="0002743E" w:rsidRPr="00B44B19" w:rsidRDefault="000F2691" w:rsidP="0005072D">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Gyventojai, kuriems taikomi projektai, vykdomi pagal integruotas teritorinio vystymo programas</w:t>
            </w:r>
          </w:p>
        </w:tc>
        <w:tc>
          <w:tcPr>
            <w:tcW w:w="573" w:type="pct"/>
            <w:tcBorders>
              <w:top w:val="single" w:sz="4" w:space="0" w:color="auto"/>
              <w:bottom w:val="single" w:sz="4" w:space="0" w:color="auto"/>
            </w:tcBorders>
          </w:tcPr>
          <w:p w14:paraId="01B55214"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Asmenys</w:t>
            </w:r>
          </w:p>
        </w:tc>
        <w:tc>
          <w:tcPr>
            <w:tcW w:w="435" w:type="pct"/>
            <w:tcBorders>
              <w:top w:val="single" w:sz="4" w:space="0" w:color="auto"/>
              <w:bottom w:val="single" w:sz="4" w:space="0" w:color="auto"/>
            </w:tcBorders>
          </w:tcPr>
          <w:p w14:paraId="241A6777" w14:textId="77777777" w:rsidR="0002743E" w:rsidRPr="00B44B19" w:rsidRDefault="0002743E" w:rsidP="007978FF">
            <w:pPr>
              <w:spacing w:before="100" w:beforeAutospacing="1" w:after="100" w:afterAutospacing="1" w:line="240" w:lineRule="auto"/>
              <w:jc w:val="center"/>
              <w:rPr>
                <w:rFonts w:cs="Times New Roman"/>
                <w:sz w:val="16"/>
                <w:szCs w:val="16"/>
              </w:rPr>
            </w:pPr>
            <w:r w:rsidRPr="00B44B19">
              <w:rPr>
                <w:rFonts w:cs="Times New Roman"/>
                <w:sz w:val="16"/>
                <w:szCs w:val="16"/>
              </w:rPr>
              <w:t xml:space="preserve"> 0</w:t>
            </w:r>
          </w:p>
        </w:tc>
        <w:tc>
          <w:tcPr>
            <w:tcW w:w="482" w:type="pct"/>
            <w:tcBorders>
              <w:top w:val="single" w:sz="4" w:space="0" w:color="auto"/>
              <w:bottom w:val="single" w:sz="4" w:space="0" w:color="auto"/>
            </w:tcBorders>
          </w:tcPr>
          <w:p w14:paraId="23FFFB6E" w14:textId="77777777" w:rsidR="0002743E" w:rsidRPr="00B44B19" w:rsidDel="001F2987" w:rsidRDefault="0002743E" w:rsidP="007978FF">
            <w:pPr>
              <w:spacing w:before="100" w:beforeAutospacing="1" w:after="100" w:afterAutospacing="1" w:line="240" w:lineRule="auto"/>
              <w:jc w:val="center"/>
              <w:rPr>
                <w:rFonts w:cs="Times New Roman"/>
                <w:sz w:val="16"/>
                <w:szCs w:val="16"/>
              </w:rPr>
            </w:pPr>
            <w:r w:rsidRPr="00B44B19">
              <w:rPr>
                <w:rFonts w:cs="Times New Roman"/>
                <w:sz w:val="16"/>
                <w:szCs w:val="16"/>
              </w:rPr>
              <w:t>598 136</w:t>
            </w:r>
          </w:p>
        </w:tc>
      </w:tr>
      <w:tr w:rsidR="0002743E" w:rsidRPr="00B44B19" w14:paraId="1FFC2BC5" w14:textId="77777777" w:rsidTr="00574C0F">
        <w:trPr>
          <w:trHeight w:val="340"/>
        </w:trPr>
        <w:tc>
          <w:tcPr>
            <w:tcW w:w="566" w:type="pct"/>
            <w:vMerge/>
          </w:tcPr>
          <w:p w14:paraId="4F899A06"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6CE6A774"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67B2EDB9"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5656B14A" w14:textId="77777777" w:rsidR="0002743E" w:rsidRPr="00B44B19" w:rsidDel="00224487" w:rsidRDefault="0002743E" w:rsidP="0005072D">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56DC50FA" w14:textId="77777777" w:rsidR="0002743E" w:rsidRPr="00B44B19" w:rsidRDefault="0002743E" w:rsidP="0005072D">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RCO74</w:t>
            </w:r>
          </w:p>
        </w:tc>
        <w:tc>
          <w:tcPr>
            <w:tcW w:w="865" w:type="pct"/>
            <w:tcBorders>
              <w:top w:val="single" w:sz="4" w:space="0" w:color="auto"/>
              <w:bottom w:val="single" w:sz="4" w:space="0" w:color="auto"/>
            </w:tcBorders>
          </w:tcPr>
          <w:p w14:paraId="5D1B72A4" w14:textId="77777777" w:rsidR="0002743E" w:rsidRPr="00B44B19" w:rsidRDefault="000F2691" w:rsidP="0005072D">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Gyventojai, kuriems taikomi projektai, vykdomi pagal integruotas teritorinio vystymo programas</w:t>
            </w:r>
          </w:p>
        </w:tc>
        <w:tc>
          <w:tcPr>
            <w:tcW w:w="573" w:type="pct"/>
            <w:tcBorders>
              <w:top w:val="single" w:sz="4" w:space="0" w:color="auto"/>
              <w:bottom w:val="single" w:sz="4" w:space="0" w:color="auto"/>
            </w:tcBorders>
          </w:tcPr>
          <w:p w14:paraId="0109E608"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Asmenys</w:t>
            </w:r>
          </w:p>
        </w:tc>
        <w:tc>
          <w:tcPr>
            <w:tcW w:w="435" w:type="pct"/>
            <w:tcBorders>
              <w:top w:val="single" w:sz="4" w:space="0" w:color="auto"/>
              <w:bottom w:val="single" w:sz="4" w:space="0" w:color="auto"/>
            </w:tcBorders>
          </w:tcPr>
          <w:p w14:paraId="73CA7C52"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 xml:space="preserve"> 0</w:t>
            </w:r>
          </w:p>
        </w:tc>
        <w:tc>
          <w:tcPr>
            <w:tcW w:w="482" w:type="pct"/>
            <w:tcBorders>
              <w:top w:val="single" w:sz="4" w:space="0" w:color="auto"/>
              <w:bottom w:val="single" w:sz="4" w:space="0" w:color="auto"/>
            </w:tcBorders>
          </w:tcPr>
          <w:p w14:paraId="3A105791"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793 508</w:t>
            </w:r>
          </w:p>
        </w:tc>
      </w:tr>
      <w:tr w:rsidR="0002743E" w:rsidRPr="00B44B19" w14:paraId="4685B1AC" w14:textId="77777777" w:rsidTr="00574C0F">
        <w:trPr>
          <w:trHeight w:val="340"/>
        </w:trPr>
        <w:tc>
          <w:tcPr>
            <w:tcW w:w="566" w:type="pct"/>
            <w:vMerge/>
          </w:tcPr>
          <w:p w14:paraId="2827F318"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1FA5A0FC"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301D9F0B"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7B6B2503" w14:textId="77777777" w:rsidR="0002743E" w:rsidRPr="00B44B19" w:rsidRDefault="0002743E" w:rsidP="0005072D">
            <w:pPr>
              <w:spacing w:before="100" w:beforeAutospacing="1" w:after="100" w:afterAutospacing="1" w:line="240" w:lineRule="auto"/>
              <w:jc w:val="both"/>
              <w:rPr>
                <w:rFonts w:cs="Times New Roman"/>
                <w:b/>
                <w:noProof/>
                <w:sz w:val="14"/>
                <w:szCs w:val="14"/>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5877D0E2" w14:textId="77777777" w:rsidR="0002743E" w:rsidRPr="00B44B19" w:rsidRDefault="0002743E" w:rsidP="0005072D">
            <w:pPr>
              <w:spacing w:before="100" w:beforeAutospacing="1" w:after="100" w:afterAutospacing="1" w:line="240" w:lineRule="auto"/>
              <w:jc w:val="both"/>
              <w:rPr>
                <w:rFonts w:cs="Times New Roman"/>
                <w:bCs/>
                <w:noProof/>
                <w:sz w:val="16"/>
                <w:szCs w:val="16"/>
              </w:rPr>
            </w:pPr>
            <w:r w:rsidRPr="00B44B19">
              <w:rPr>
                <w:rFonts w:cs="Times New Roman"/>
                <w:bCs/>
                <w:noProof/>
                <w:sz w:val="16"/>
                <w:szCs w:val="16"/>
              </w:rPr>
              <w:t>RCO75</w:t>
            </w:r>
          </w:p>
        </w:tc>
        <w:tc>
          <w:tcPr>
            <w:tcW w:w="865" w:type="pct"/>
            <w:tcBorders>
              <w:top w:val="single" w:sz="4" w:space="0" w:color="auto"/>
              <w:bottom w:val="single" w:sz="4" w:space="0" w:color="auto"/>
            </w:tcBorders>
          </w:tcPr>
          <w:p w14:paraId="0795646B" w14:textId="77777777" w:rsidR="0002743E" w:rsidRPr="00B44B19" w:rsidRDefault="002E5A09" w:rsidP="0005072D">
            <w:pPr>
              <w:tabs>
                <w:tab w:val="left" w:pos="7560"/>
              </w:tabs>
              <w:spacing w:before="100" w:beforeAutospacing="1" w:after="100" w:afterAutospacing="1" w:line="240" w:lineRule="auto"/>
              <w:rPr>
                <w:rFonts w:cs="Times New Roman"/>
                <w:bCs/>
                <w:noProof/>
                <w:sz w:val="16"/>
                <w:szCs w:val="16"/>
              </w:rPr>
            </w:pPr>
            <w:r w:rsidRPr="00B44B19">
              <w:rPr>
                <w:rFonts w:cs="Times New Roman"/>
                <w:sz w:val="16"/>
                <w:szCs w:val="16"/>
              </w:rPr>
              <w:t>Integruotos teritorinio vystymo strategijos, kurioms suteikta parama</w:t>
            </w:r>
          </w:p>
        </w:tc>
        <w:tc>
          <w:tcPr>
            <w:tcW w:w="573" w:type="pct"/>
            <w:tcBorders>
              <w:top w:val="single" w:sz="4" w:space="0" w:color="auto"/>
              <w:bottom w:val="single" w:sz="4" w:space="0" w:color="auto"/>
            </w:tcBorders>
          </w:tcPr>
          <w:p w14:paraId="093A0915"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Indėlis į strategijas</w:t>
            </w:r>
          </w:p>
        </w:tc>
        <w:tc>
          <w:tcPr>
            <w:tcW w:w="435" w:type="pct"/>
            <w:tcBorders>
              <w:top w:val="single" w:sz="4" w:space="0" w:color="auto"/>
              <w:bottom w:val="single" w:sz="4" w:space="0" w:color="auto"/>
            </w:tcBorders>
          </w:tcPr>
          <w:p w14:paraId="127B248D" w14:textId="77777777" w:rsidR="0002743E" w:rsidRPr="00B44B19" w:rsidRDefault="003C4EDA"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bottom w:val="single" w:sz="4" w:space="0" w:color="auto"/>
            </w:tcBorders>
          </w:tcPr>
          <w:p w14:paraId="1935F85C"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1</w:t>
            </w:r>
          </w:p>
        </w:tc>
      </w:tr>
      <w:tr w:rsidR="0002743E" w:rsidRPr="00B44B19" w14:paraId="29DD5FC8" w14:textId="77777777" w:rsidTr="00574C0F">
        <w:trPr>
          <w:trHeight w:val="340"/>
        </w:trPr>
        <w:tc>
          <w:tcPr>
            <w:tcW w:w="566" w:type="pct"/>
            <w:vMerge/>
          </w:tcPr>
          <w:p w14:paraId="11FDDB92"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52DD1979"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072721F5"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34E762B"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74181201" w14:textId="77777777" w:rsidR="0002743E" w:rsidRPr="00B44B19" w:rsidRDefault="0002743E" w:rsidP="0005072D">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 xml:space="preserve">RCO75 </w:t>
            </w:r>
          </w:p>
        </w:tc>
        <w:tc>
          <w:tcPr>
            <w:tcW w:w="865" w:type="pct"/>
            <w:tcBorders>
              <w:top w:val="single" w:sz="4" w:space="0" w:color="auto"/>
              <w:left w:val="single" w:sz="2" w:space="0" w:color="auto"/>
              <w:bottom w:val="single" w:sz="4" w:space="0" w:color="auto"/>
              <w:right w:val="single" w:sz="2" w:space="0" w:color="auto"/>
            </w:tcBorders>
          </w:tcPr>
          <w:p w14:paraId="5A77AE05" w14:textId="77777777" w:rsidR="0002743E" w:rsidRPr="00B44B19" w:rsidRDefault="002E5A09" w:rsidP="0005072D">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rPr>
              <w:t>Integruotos teritorinio vystymo strategijos, kurioms suteikta parama</w:t>
            </w:r>
          </w:p>
        </w:tc>
        <w:tc>
          <w:tcPr>
            <w:tcW w:w="573" w:type="pct"/>
            <w:tcBorders>
              <w:top w:val="single" w:sz="4" w:space="0" w:color="auto"/>
              <w:left w:val="single" w:sz="2" w:space="0" w:color="auto"/>
              <w:bottom w:val="single" w:sz="4" w:space="0" w:color="auto"/>
              <w:right w:val="single" w:sz="2" w:space="0" w:color="auto"/>
            </w:tcBorders>
          </w:tcPr>
          <w:p w14:paraId="3C5BD7C0"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Indėlis į strategijas</w:t>
            </w:r>
          </w:p>
        </w:tc>
        <w:tc>
          <w:tcPr>
            <w:tcW w:w="435" w:type="pct"/>
            <w:tcBorders>
              <w:top w:val="single" w:sz="4" w:space="0" w:color="auto"/>
              <w:left w:val="single" w:sz="2" w:space="0" w:color="auto"/>
              <w:bottom w:val="single" w:sz="4" w:space="0" w:color="auto"/>
              <w:right w:val="single" w:sz="2" w:space="0" w:color="auto"/>
            </w:tcBorders>
          </w:tcPr>
          <w:p w14:paraId="2A70A3BD" w14:textId="77777777" w:rsidR="0002743E" w:rsidRPr="00B44B19" w:rsidRDefault="003C4EDA"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3E464BF9"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9</w:t>
            </w:r>
          </w:p>
        </w:tc>
      </w:tr>
      <w:tr w:rsidR="0002743E" w:rsidRPr="00B44B19" w14:paraId="6CB29360" w14:textId="77777777" w:rsidTr="00574C0F">
        <w:trPr>
          <w:trHeight w:val="340"/>
        </w:trPr>
        <w:tc>
          <w:tcPr>
            <w:tcW w:w="566" w:type="pct"/>
            <w:vMerge/>
          </w:tcPr>
          <w:p w14:paraId="2CB04AB5"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022ECD70"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588BE055"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92A01E3"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2B972640" w14:textId="77777777" w:rsidR="0002743E" w:rsidRPr="00B44B19" w:rsidRDefault="0002743E" w:rsidP="0005072D">
            <w:pPr>
              <w:spacing w:before="100" w:beforeAutospacing="1" w:after="100" w:afterAutospacing="1" w:line="240" w:lineRule="auto"/>
              <w:jc w:val="both"/>
              <w:rPr>
                <w:rFonts w:cs="Times New Roman"/>
                <w:bCs/>
                <w:noProof/>
                <w:sz w:val="16"/>
                <w:szCs w:val="16"/>
              </w:rPr>
            </w:pPr>
            <w:r w:rsidRPr="00B44B19">
              <w:rPr>
                <w:rFonts w:cs="Times New Roman"/>
                <w:bCs/>
                <w:noProof/>
                <w:sz w:val="16"/>
                <w:szCs w:val="16"/>
              </w:rPr>
              <w:t>RCO76</w:t>
            </w:r>
          </w:p>
        </w:tc>
        <w:tc>
          <w:tcPr>
            <w:tcW w:w="865" w:type="pct"/>
            <w:tcBorders>
              <w:top w:val="single" w:sz="4" w:space="0" w:color="auto"/>
              <w:left w:val="single" w:sz="2" w:space="0" w:color="auto"/>
              <w:bottom w:val="single" w:sz="4" w:space="0" w:color="auto"/>
              <w:right w:val="single" w:sz="2" w:space="0" w:color="auto"/>
            </w:tcBorders>
          </w:tcPr>
          <w:p w14:paraId="60A33559" w14:textId="77777777" w:rsidR="0002743E" w:rsidRPr="00B44B19" w:rsidRDefault="0002743E" w:rsidP="00354CB6">
            <w:pPr>
              <w:tabs>
                <w:tab w:val="left" w:pos="7560"/>
              </w:tabs>
              <w:spacing w:before="100" w:beforeAutospacing="1" w:after="100" w:afterAutospacing="1" w:line="240" w:lineRule="auto"/>
              <w:rPr>
                <w:rFonts w:cs="Times New Roman"/>
                <w:bCs/>
                <w:noProof/>
                <w:sz w:val="16"/>
                <w:szCs w:val="16"/>
              </w:rPr>
            </w:pPr>
            <w:r w:rsidRPr="00B44B19">
              <w:rPr>
                <w:rFonts w:cs="Times New Roman"/>
                <w:bCs/>
                <w:noProof/>
                <w:sz w:val="16"/>
                <w:szCs w:val="16"/>
              </w:rPr>
              <w:t>Integruoti teritorin</w:t>
            </w:r>
            <w:r w:rsidR="00354CB6" w:rsidRPr="00B44B19">
              <w:rPr>
                <w:rFonts w:cs="Times New Roman"/>
                <w:bCs/>
                <w:noProof/>
                <w:sz w:val="16"/>
                <w:szCs w:val="16"/>
              </w:rPr>
              <w:t>io</w:t>
            </w:r>
            <w:r w:rsidRPr="00B44B19">
              <w:rPr>
                <w:rFonts w:cs="Times New Roman"/>
                <w:bCs/>
                <w:noProof/>
                <w:sz w:val="16"/>
                <w:szCs w:val="16"/>
              </w:rPr>
              <w:t xml:space="preserve"> </w:t>
            </w:r>
            <w:r w:rsidR="00354CB6" w:rsidRPr="00B44B19">
              <w:rPr>
                <w:rFonts w:cs="Times New Roman"/>
                <w:bCs/>
                <w:noProof/>
                <w:sz w:val="16"/>
                <w:szCs w:val="16"/>
              </w:rPr>
              <w:t xml:space="preserve">vystymo </w:t>
            </w:r>
            <w:r w:rsidRPr="00B44B19">
              <w:rPr>
                <w:rFonts w:cs="Times New Roman"/>
                <w:bCs/>
                <w:noProof/>
                <w:sz w:val="16"/>
                <w:szCs w:val="16"/>
              </w:rPr>
              <w:t>projektai</w:t>
            </w:r>
          </w:p>
        </w:tc>
        <w:tc>
          <w:tcPr>
            <w:tcW w:w="573" w:type="pct"/>
            <w:tcBorders>
              <w:top w:val="single" w:sz="4" w:space="0" w:color="auto"/>
              <w:left w:val="single" w:sz="2" w:space="0" w:color="auto"/>
              <w:bottom w:val="single" w:sz="4" w:space="0" w:color="auto"/>
              <w:right w:val="single" w:sz="2" w:space="0" w:color="auto"/>
            </w:tcBorders>
          </w:tcPr>
          <w:p w14:paraId="704277D6"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tcPr>
          <w:p w14:paraId="40FC4B26"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 xml:space="preserve">0 </w:t>
            </w:r>
          </w:p>
        </w:tc>
        <w:tc>
          <w:tcPr>
            <w:tcW w:w="482" w:type="pct"/>
            <w:tcBorders>
              <w:top w:val="single" w:sz="4" w:space="0" w:color="auto"/>
              <w:left w:val="single" w:sz="2" w:space="0" w:color="auto"/>
              <w:bottom w:val="single" w:sz="4" w:space="0" w:color="auto"/>
              <w:right w:val="single" w:sz="2" w:space="0" w:color="auto"/>
            </w:tcBorders>
          </w:tcPr>
          <w:p w14:paraId="29DBB4C4"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 xml:space="preserve">4 </w:t>
            </w:r>
          </w:p>
        </w:tc>
      </w:tr>
      <w:tr w:rsidR="0002743E" w:rsidRPr="00B44B19" w14:paraId="68982060" w14:textId="77777777" w:rsidTr="00574C0F">
        <w:trPr>
          <w:trHeight w:val="340"/>
        </w:trPr>
        <w:tc>
          <w:tcPr>
            <w:tcW w:w="566" w:type="pct"/>
            <w:vMerge/>
          </w:tcPr>
          <w:p w14:paraId="19CCB15B"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5CBC9DB0"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4AFA5A87"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16FD4F9"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3A4A0576" w14:textId="77777777" w:rsidR="0002743E" w:rsidRPr="00B44B19" w:rsidRDefault="0002743E" w:rsidP="0005072D">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RCO76</w:t>
            </w:r>
          </w:p>
        </w:tc>
        <w:tc>
          <w:tcPr>
            <w:tcW w:w="865" w:type="pct"/>
            <w:tcBorders>
              <w:top w:val="single" w:sz="4" w:space="0" w:color="auto"/>
              <w:left w:val="single" w:sz="2" w:space="0" w:color="auto"/>
              <w:bottom w:val="single" w:sz="4" w:space="0" w:color="auto"/>
              <w:right w:val="single" w:sz="2" w:space="0" w:color="auto"/>
            </w:tcBorders>
          </w:tcPr>
          <w:p w14:paraId="44C051C4" w14:textId="77777777" w:rsidR="0002743E" w:rsidRPr="00B44B19" w:rsidRDefault="0002743E" w:rsidP="00354CB6">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Integruoti teritorin</w:t>
            </w:r>
            <w:r w:rsidR="00354CB6" w:rsidRPr="00B44B19">
              <w:rPr>
                <w:rFonts w:cs="Times New Roman"/>
                <w:sz w:val="16"/>
                <w:szCs w:val="16"/>
                <w:lang w:eastAsia="en-GB"/>
              </w:rPr>
              <w:t>io</w:t>
            </w:r>
            <w:r w:rsidRPr="00B44B19">
              <w:rPr>
                <w:rFonts w:cs="Times New Roman"/>
                <w:sz w:val="16"/>
                <w:szCs w:val="16"/>
                <w:lang w:eastAsia="en-GB"/>
              </w:rPr>
              <w:t xml:space="preserve"> </w:t>
            </w:r>
            <w:r w:rsidR="00354CB6" w:rsidRPr="00B44B19">
              <w:rPr>
                <w:rFonts w:cs="Times New Roman"/>
                <w:sz w:val="16"/>
                <w:szCs w:val="16"/>
                <w:lang w:eastAsia="en-GB"/>
              </w:rPr>
              <w:t xml:space="preserve">vystymo </w:t>
            </w:r>
            <w:r w:rsidRPr="00B44B19">
              <w:rPr>
                <w:rFonts w:cs="Times New Roman"/>
                <w:sz w:val="16"/>
                <w:szCs w:val="16"/>
                <w:lang w:eastAsia="en-GB"/>
              </w:rPr>
              <w:t>projektai</w:t>
            </w:r>
          </w:p>
        </w:tc>
        <w:tc>
          <w:tcPr>
            <w:tcW w:w="573" w:type="pct"/>
            <w:tcBorders>
              <w:top w:val="single" w:sz="4" w:space="0" w:color="auto"/>
              <w:left w:val="single" w:sz="2" w:space="0" w:color="auto"/>
              <w:bottom w:val="single" w:sz="4" w:space="0" w:color="auto"/>
              <w:right w:val="single" w:sz="2" w:space="0" w:color="auto"/>
            </w:tcBorders>
          </w:tcPr>
          <w:p w14:paraId="210D9F9A" w14:textId="77777777" w:rsidR="0002743E" w:rsidRPr="00B44B19" w:rsidRDefault="0002743E"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tcPr>
          <w:p w14:paraId="22B090CB"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6AAF77E9"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22</w:t>
            </w:r>
          </w:p>
        </w:tc>
      </w:tr>
      <w:tr w:rsidR="0002743E" w:rsidRPr="00B44B19" w14:paraId="0771D449" w14:textId="77777777" w:rsidTr="00574C0F">
        <w:trPr>
          <w:trHeight w:val="340"/>
        </w:trPr>
        <w:tc>
          <w:tcPr>
            <w:tcW w:w="566" w:type="pct"/>
            <w:vMerge/>
          </w:tcPr>
          <w:p w14:paraId="2F1EF0F2"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510E473C"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2BCFA20A"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578819EC" w14:textId="77777777" w:rsidR="0002743E" w:rsidRPr="00B44B19" w:rsidRDefault="0002743E" w:rsidP="0005072D">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1B5746BB" w14:textId="77777777" w:rsidR="0002743E" w:rsidRPr="00B44B19" w:rsidRDefault="0002743E" w:rsidP="0005072D">
            <w:pPr>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RCO114</w:t>
            </w:r>
          </w:p>
        </w:tc>
        <w:tc>
          <w:tcPr>
            <w:tcW w:w="865" w:type="pct"/>
            <w:tcBorders>
              <w:top w:val="single" w:sz="4" w:space="0" w:color="auto"/>
              <w:left w:val="single" w:sz="2" w:space="0" w:color="auto"/>
              <w:bottom w:val="single" w:sz="4" w:space="0" w:color="auto"/>
              <w:right w:val="single" w:sz="2" w:space="0" w:color="auto"/>
            </w:tcBorders>
          </w:tcPr>
          <w:p w14:paraId="7E413F28" w14:textId="77777777" w:rsidR="0002743E" w:rsidRPr="00B44B19" w:rsidRDefault="0002743E" w:rsidP="00901200">
            <w:pPr>
              <w:tabs>
                <w:tab w:val="left" w:pos="7560"/>
              </w:tabs>
              <w:spacing w:before="100" w:beforeAutospacing="1" w:after="100" w:afterAutospacing="1" w:line="240" w:lineRule="auto"/>
              <w:rPr>
                <w:rFonts w:eastAsia="Times New Roman" w:cs="Times New Roman"/>
                <w:sz w:val="16"/>
                <w:szCs w:val="16"/>
                <w:lang w:eastAsia="en-GB"/>
              </w:rPr>
            </w:pPr>
            <w:r w:rsidRPr="00B44B19">
              <w:rPr>
                <w:rFonts w:cs="Times New Roman"/>
                <w:sz w:val="16"/>
                <w:szCs w:val="16"/>
                <w:lang w:eastAsia="en-GB"/>
              </w:rPr>
              <w:t xml:space="preserve">Atviros erdvės, sukurtos arba atkurtos miestų </w:t>
            </w:r>
            <w:r w:rsidR="00901200" w:rsidRPr="00B44B19">
              <w:rPr>
                <w:rFonts w:cs="Times New Roman"/>
                <w:sz w:val="16"/>
                <w:szCs w:val="16"/>
                <w:lang w:eastAsia="en-GB"/>
              </w:rPr>
              <w:t>teritorijose</w:t>
            </w:r>
          </w:p>
        </w:tc>
        <w:tc>
          <w:tcPr>
            <w:tcW w:w="573" w:type="pct"/>
            <w:tcBorders>
              <w:top w:val="single" w:sz="4" w:space="0" w:color="auto"/>
              <w:left w:val="single" w:sz="2" w:space="0" w:color="auto"/>
              <w:bottom w:val="single" w:sz="4" w:space="0" w:color="auto"/>
              <w:right w:val="single" w:sz="2" w:space="0" w:color="auto"/>
            </w:tcBorders>
          </w:tcPr>
          <w:p w14:paraId="2820EFD2" w14:textId="77777777" w:rsidR="0002743E" w:rsidRPr="00B44B19" w:rsidRDefault="00517CE2"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129D22BC" w14:textId="77777777" w:rsidR="0002743E" w:rsidRPr="00B44B19" w:rsidRDefault="0002743E" w:rsidP="0005072D">
            <w:pPr>
              <w:spacing w:before="100" w:beforeAutospacing="1" w:after="100" w:afterAutospacing="1" w:line="240" w:lineRule="auto"/>
              <w:jc w:val="center"/>
              <w:rPr>
                <w:rFonts w:cs="Times New Roman"/>
                <w:noProof/>
                <w:sz w:val="16"/>
                <w:szCs w:val="16"/>
              </w:rPr>
            </w:pPr>
            <w:r w:rsidRPr="00B44B19">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tcPr>
          <w:p w14:paraId="314A38CD" w14:textId="09A84F4C" w:rsidR="0002743E" w:rsidRPr="00B44B19" w:rsidRDefault="0014339B" w:rsidP="00CD3F7E">
            <w:pPr>
              <w:spacing w:before="100" w:beforeAutospacing="1" w:after="100" w:afterAutospacing="1" w:line="240" w:lineRule="auto"/>
              <w:jc w:val="center"/>
              <w:rPr>
                <w:rFonts w:cs="Times New Roman"/>
                <w:noProof/>
                <w:sz w:val="16"/>
                <w:szCs w:val="16"/>
              </w:rPr>
            </w:pPr>
            <w:r w:rsidRPr="00B44B19">
              <w:rPr>
                <w:rFonts w:cs="Times New Roman"/>
                <w:sz w:val="16"/>
                <w:szCs w:val="16"/>
              </w:rPr>
              <w:t>824 000</w:t>
            </w:r>
          </w:p>
        </w:tc>
      </w:tr>
      <w:tr w:rsidR="0002743E" w:rsidRPr="00B44B19" w14:paraId="564E1DD8" w14:textId="77777777" w:rsidTr="00574C0F">
        <w:trPr>
          <w:trHeight w:val="340"/>
        </w:trPr>
        <w:tc>
          <w:tcPr>
            <w:tcW w:w="566" w:type="pct"/>
            <w:vMerge/>
          </w:tcPr>
          <w:p w14:paraId="34E9B6C2"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0514F9D6"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10C1338D"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5EE37386" w14:textId="77777777" w:rsidR="0002743E" w:rsidRPr="00B44B19" w:rsidRDefault="0002743E" w:rsidP="0005072D">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56D3CA93" w14:textId="77777777" w:rsidR="0002743E" w:rsidRPr="00B44B19" w:rsidRDefault="0002743E" w:rsidP="0005072D">
            <w:pPr>
              <w:spacing w:before="100" w:beforeAutospacing="1" w:after="100" w:afterAutospacing="1" w:line="240" w:lineRule="auto"/>
              <w:rPr>
                <w:rFonts w:cs="Times New Roman"/>
                <w:sz w:val="16"/>
                <w:szCs w:val="16"/>
                <w:lang w:eastAsia="en-GB"/>
              </w:rPr>
            </w:pPr>
            <w:r w:rsidRPr="00B44B19">
              <w:rPr>
                <w:rFonts w:cs="Times New Roman"/>
                <w:sz w:val="16"/>
                <w:szCs w:val="16"/>
              </w:rPr>
              <w:t>RCO114</w:t>
            </w:r>
          </w:p>
        </w:tc>
        <w:tc>
          <w:tcPr>
            <w:tcW w:w="865" w:type="pct"/>
            <w:tcBorders>
              <w:top w:val="single" w:sz="4" w:space="0" w:color="auto"/>
              <w:left w:val="single" w:sz="2" w:space="0" w:color="auto"/>
              <w:bottom w:val="single" w:sz="4" w:space="0" w:color="auto"/>
              <w:right w:val="single" w:sz="2" w:space="0" w:color="auto"/>
            </w:tcBorders>
          </w:tcPr>
          <w:p w14:paraId="160F3CA7" w14:textId="77777777" w:rsidR="0002743E" w:rsidRPr="00B44B19" w:rsidRDefault="0002743E" w:rsidP="00901200">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rPr>
              <w:t xml:space="preserve">Atviros erdvės, sukurtos arba atkurtos miestų </w:t>
            </w:r>
            <w:r w:rsidR="00901200" w:rsidRPr="00B44B19">
              <w:rPr>
                <w:rFonts w:cs="Times New Roman"/>
                <w:sz w:val="16"/>
                <w:szCs w:val="16"/>
              </w:rPr>
              <w:t>teritorijose</w:t>
            </w:r>
          </w:p>
        </w:tc>
        <w:tc>
          <w:tcPr>
            <w:tcW w:w="573" w:type="pct"/>
            <w:tcBorders>
              <w:top w:val="single" w:sz="4" w:space="0" w:color="auto"/>
              <w:left w:val="single" w:sz="2" w:space="0" w:color="auto"/>
              <w:bottom w:val="single" w:sz="4" w:space="0" w:color="auto"/>
              <w:right w:val="single" w:sz="2" w:space="0" w:color="auto"/>
            </w:tcBorders>
          </w:tcPr>
          <w:p w14:paraId="61967E93" w14:textId="77777777" w:rsidR="0002743E" w:rsidRPr="00B44B19" w:rsidRDefault="00517CE2"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6582B82C" w14:textId="77777777" w:rsidR="0002743E" w:rsidRPr="00B44B19" w:rsidRDefault="0002743E" w:rsidP="007978FF">
            <w:pPr>
              <w:spacing w:before="100" w:beforeAutospacing="1" w:after="100" w:afterAutospacing="1" w:line="240" w:lineRule="auto"/>
              <w:jc w:val="center"/>
              <w:rPr>
                <w:rFonts w:cs="Times New Roman"/>
                <w:noProof/>
                <w:sz w:val="16"/>
                <w:szCs w:val="16"/>
              </w:rPr>
            </w:pPr>
            <w:r w:rsidRPr="00B44B19">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tcPr>
          <w:p w14:paraId="62E069F7" w14:textId="18F6D746" w:rsidR="0002743E" w:rsidRPr="00B44B19" w:rsidRDefault="0014339B" w:rsidP="0076506D">
            <w:pPr>
              <w:spacing w:before="100" w:beforeAutospacing="1" w:after="100" w:afterAutospacing="1" w:line="240" w:lineRule="auto"/>
              <w:jc w:val="center"/>
              <w:rPr>
                <w:rFonts w:cs="Times New Roman"/>
                <w:noProof/>
                <w:sz w:val="16"/>
                <w:szCs w:val="16"/>
              </w:rPr>
            </w:pPr>
            <w:r w:rsidRPr="00B44B19">
              <w:rPr>
                <w:rFonts w:cs="Times New Roman"/>
                <w:sz w:val="16"/>
                <w:szCs w:val="16"/>
              </w:rPr>
              <w:t>3 413 000</w:t>
            </w:r>
          </w:p>
        </w:tc>
      </w:tr>
      <w:tr w:rsidR="0002743E" w:rsidRPr="00B44B19" w14:paraId="70C57CF4" w14:textId="77777777" w:rsidTr="00574C0F">
        <w:trPr>
          <w:trHeight w:val="340"/>
        </w:trPr>
        <w:tc>
          <w:tcPr>
            <w:tcW w:w="566" w:type="pct"/>
            <w:vMerge/>
          </w:tcPr>
          <w:p w14:paraId="0DDBBDA4"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4206EBB5"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1E8D6243"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30FF6035" w14:textId="77777777" w:rsidR="0002743E" w:rsidRPr="00B44B19" w:rsidRDefault="0002743E" w:rsidP="0005072D">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501AB01D" w14:textId="77777777" w:rsidR="0002743E" w:rsidRPr="00B44B19" w:rsidRDefault="0002743E" w:rsidP="0005072D">
            <w:pPr>
              <w:spacing w:before="100" w:beforeAutospacing="1" w:after="100" w:afterAutospacing="1" w:line="240" w:lineRule="auto"/>
              <w:rPr>
                <w:rFonts w:cs="Times New Roman"/>
                <w:sz w:val="16"/>
                <w:szCs w:val="16"/>
              </w:rPr>
            </w:pPr>
            <w:r w:rsidRPr="00B44B19">
              <w:rPr>
                <w:rFonts w:cs="Times New Roman"/>
                <w:sz w:val="16"/>
                <w:szCs w:val="16"/>
              </w:rPr>
              <w:t>Specialusis</w:t>
            </w:r>
          </w:p>
        </w:tc>
        <w:tc>
          <w:tcPr>
            <w:tcW w:w="865" w:type="pct"/>
            <w:tcBorders>
              <w:top w:val="single" w:sz="4" w:space="0" w:color="auto"/>
              <w:left w:val="single" w:sz="2" w:space="0" w:color="auto"/>
              <w:bottom w:val="single" w:sz="4" w:space="0" w:color="auto"/>
              <w:right w:val="single" w:sz="2" w:space="0" w:color="auto"/>
            </w:tcBorders>
          </w:tcPr>
          <w:p w14:paraId="2AE320BA" w14:textId="77777777" w:rsidR="0002743E" w:rsidRPr="00B44B19" w:rsidRDefault="0002743E" w:rsidP="0005072D">
            <w:pPr>
              <w:tabs>
                <w:tab w:val="left" w:pos="7560"/>
              </w:tabs>
              <w:spacing w:before="100" w:beforeAutospacing="1" w:after="100" w:afterAutospacing="1" w:line="240" w:lineRule="auto"/>
              <w:rPr>
                <w:rFonts w:cs="Times New Roman"/>
                <w:sz w:val="16"/>
                <w:szCs w:val="16"/>
              </w:rPr>
            </w:pPr>
            <w:r w:rsidRPr="00B44B19">
              <w:rPr>
                <w:rFonts w:cs="Times New Roman"/>
                <w:sz w:val="16"/>
                <w:szCs w:val="16"/>
              </w:rPr>
              <w:t>Naujų ar rekonstruotų pastatų, kurių pirminės energijos paklausa yra bent 20 % mažesnė nei reikalauja energijos beveik nevartojantis pastatas, plotas</w:t>
            </w:r>
          </w:p>
        </w:tc>
        <w:tc>
          <w:tcPr>
            <w:tcW w:w="573" w:type="pct"/>
            <w:tcBorders>
              <w:top w:val="single" w:sz="4" w:space="0" w:color="auto"/>
              <w:left w:val="single" w:sz="2" w:space="0" w:color="auto"/>
              <w:bottom w:val="single" w:sz="4" w:space="0" w:color="auto"/>
              <w:right w:val="single" w:sz="2" w:space="0" w:color="auto"/>
            </w:tcBorders>
          </w:tcPr>
          <w:p w14:paraId="666B5164" w14:textId="77777777" w:rsidR="0002743E" w:rsidRPr="00B44B19" w:rsidRDefault="00517CE2"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3E1E50A8" w14:textId="77777777" w:rsidR="0002743E" w:rsidRPr="00B44B19" w:rsidRDefault="0002743E" w:rsidP="007978FF">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2C090304" w14:textId="77777777" w:rsidR="0002743E" w:rsidRPr="00B44B19" w:rsidRDefault="0076506D" w:rsidP="0076506D">
            <w:pPr>
              <w:spacing w:before="100" w:beforeAutospacing="1" w:after="100" w:afterAutospacing="1" w:line="240" w:lineRule="auto"/>
              <w:jc w:val="center"/>
              <w:rPr>
                <w:rFonts w:cs="Times New Roman"/>
                <w:sz w:val="16"/>
                <w:szCs w:val="16"/>
              </w:rPr>
            </w:pPr>
            <w:r w:rsidRPr="00B44B19">
              <w:rPr>
                <w:rFonts w:cs="Times New Roman"/>
                <w:sz w:val="16"/>
                <w:szCs w:val="16"/>
              </w:rPr>
              <w:t>5 400</w:t>
            </w:r>
          </w:p>
        </w:tc>
      </w:tr>
      <w:tr w:rsidR="0002743E" w:rsidRPr="00B44B19" w14:paraId="17C25182" w14:textId="77777777" w:rsidTr="00574C0F">
        <w:trPr>
          <w:trHeight w:val="340"/>
        </w:trPr>
        <w:tc>
          <w:tcPr>
            <w:tcW w:w="566" w:type="pct"/>
            <w:vMerge/>
          </w:tcPr>
          <w:p w14:paraId="635787F0" w14:textId="77777777" w:rsidR="0002743E" w:rsidRPr="00B44B19" w:rsidRDefault="0002743E" w:rsidP="00E23BAD">
            <w:pPr>
              <w:spacing w:after="0" w:line="240" w:lineRule="auto"/>
              <w:jc w:val="both"/>
              <w:rPr>
                <w:rFonts w:cs="Times New Roman"/>
                <w:noProof/>
                <w:sz w:val="16"/>
                <w:szCs w:val="16"/>
              </w:rPr>
            </w:pPr>
          </w:p>
        </w:tc>
        <w:tc>
          <w:tcPr>
            <w:tcW w:w="498" w:type="pct"/>
            <w:vMerge/>
          </w:tcPr>
          <w:p w14:paraId="3006E039" w14:textId="77777777" w:rsidR="0002743E" w:rsidRPr="00B44B19" w:rsidRDefault="0002743E" w:rsidP="00E23BAD">
            <w:pPr>
              <w:spacing w:after="0" w:line="240" w:lineRule="auto"/>
              <w:jc w:val="both"/>
              <w:rPr>
                <w:rFonts w:cs="Times New Roman"/>
                <w:noProof/>
                <w:sz w:val="16"/>
                <w:szCs w:val="16"/>
              </w:rPr>
            </w:pPr>
          </w:p>
        </w:tc>
        <w:tc>
          <w:tcPr>
            <w:tcW w:w="429" w:type="pct"/>
            <w:vMerge/>
          </w:tcPr>
          <w:p w14:paraId="12D4C2FA" w14:textId="77777777" w:rsidR="0002743E" w:rsidRPr="00B44B19" w:rsidRDefault="0002743E" w:rsidP="00E23BAD">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748A340" w14:textId="77777777" w:rsidR="0002743E" w:rsidRPr="00B44B19" w:rsidRDefault="0002743E" w:rsidP="0005072D">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08AB8B18" w14:textId="77777777" w:rsidR="0002743E" w:rsidRPr="00B44B19" w:rsidRDefault="0002743E" w:rsidP="0005072D">
            <w:pPr>
              <w:spacing w:before="100" w:beforeAutospacing="1" w:after="100" w:afterAutospacing="1" w:line="240" w:lineRule="auto"/>
              <w:rPr>
                <w:rFonts w:cs="Times New Roman"/>
                <w:sz w:val="16"/>
                <w:szCs w:val="16"/>
              </w:rPr>
            </w:pPr>
            <w:r w:rsidRPr="00B44B19">
              <w:rPr>
                <w:rFonts w:cs="Times New Roman"/>
                <w:sz w:val="16"/>
                <w:szCs w:val="16"/>
              </w:rPr>
              <w:t>Specialusis</w:t>
            </w:r>
          </w:p>
        </w:tc>
        <w:tc>
          <w:tcPr>
            <w:tcW w:w="865" w:type="pct"/>
            <w:tcBorders>
              <w:top w:val="single" w:sz="4" w:space="0" w:color="auto"/>
              <w:left w:val="single" w:sz="2" w:space="0" w:color="auto"/>
              <w:bottom w:val="single" w:sz="4" w:space="0" w:color="auto"/>
              <w:right w:val="single" w:sz="2" w:space="0" w:color="auto"/>
            </w:tcBorders>
          </w:tcPr>
          <w:p w14:paraId="3803DE14" w14:textId="77777777" w:rsidR="0002743E" w:rsidRPr="00B44B19" w:rsidRDefault="0002743E" w:rsidP="0005072D">
            <w:pPr>
              <w:tabs>
                <w:tab w:val="left" w:pos="7560"/>
              </w:tabs>
              <w:spacing w:before="100" w:beforeAutospacing="1" w:after="100" w:afterAutospacing="1" w:line="240" w:lineRule="auto"/>
              <w:rPr>
                <w:rFonts w:cs="Times New Roman"/>
                <w:sz w:val="16"/>
                <w:szCs w:val="16"/>
              </w:rPr>
            </w:pPr>
            <w:r w:rsidRPr="00B44B19">
              <w:rPr>
                <w:rFonts w:cs="Times New Roman"/>
                <w:sz w:val="16"/>
                <w:szCs w:val="16"/>
              </w:rPr>
              <w:t>Naujų ar rekonstruotų pastatų, kurių pirminės energijos paklausa yra bent 20 % mažesnė nei reikalauja energijos beveik nevartojantis pastatas, plotas</w:t>
            </w:r>
          </w:p>
        </w:tc>
        <w:tc>
          <w:tcPr>
            <w:tcW w:w="573" w:type="pct"/>
            <w:tcBorders>
              <w:top w:val="single" w:sz="4" w:space="0" w:color="auto"/>
              <w:left w:val="single" w:sz="2" w:space="0" w:color="auto"/>
              <w:bottom w:val="single" w:sz="4" w:space="0" w:color="auto"/>
              <w:right w:val="single" w:sz="2" w:space="0" w:color="auto"/>
            </w:tcBorders>
          </w:tcPr>
          <w:p w14:paraId="076B6E40" w14:textId="77777777" w:rsidR="0002743E" w:rsidRPr="00B44B19" w:rsidRDefault="00517CE2" w:rsidP="0005072D">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3F713D94" w14:textId="77777777" w:rsidR="0002743E" w:rsidRPr="00B44B19" w:rsidRDefault="0002743E" w:rsidP="007978FF">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765436AC" w14:textId="77777777" w:rsidR="0002743E" w:rsidRPr="00B44B19" w:rsidRDefault="0076506D" w:rsidP="0076506D">
            <w:pPr>
              <w:spacing w:before="100" w:beforeAutospacing="1" w:after="100" w:afterAutospacing="1" w:line="240" w:lineRule="auto"/>
              <w:jc w:val="center"/>
              <w:rPr>
                <w:rFonts w:cs="Times New Roman"/>
                <w:sz w:val="16"/>
                <w:szCs w:val="16"/>
              </w:rPr>
            </w:pPr>
            <w:r w:rsidRPr="00B44B19">
              <w:rPr>
                <w:rFonts w:cs="Times New Roman"/>
                <w:sz w:val="16"/>
                <w:szCs w:val="16"/>
              </w:rPr>
              <w:t>18 300</w:t>
            </w:r>
          </w:p>
        </w:tc>
      </w:tr>
    </w:tbl>
    <w:p w14:paraId="14BDA6CB" w14:textId="77777777" w:rsidR="00E23BAD" w:rsidRPr="00B44B19" w:rsidRDefault="00E23BAD" w:rsidP="00E23BAD">
      <w:pPr>
        <w:spacing w:after="0" w:line="240" w:lineRule="auto"/>
        <w:rPr>
          <w:rFonts w:cs="Times New Roman"/>
          <w:b/>
          <w:sz w:val="20"/>
          <w:szCs w:val="24"/>
        </w:rPr>
      </w:pPr>
    </w:p>
    <w:p w14:paraId="4AB486EC" w14:textId="77777777" w:rsidR="00AF56B7" w:rsidRPr="00B44B19" w:rsidRDefault="00AF56B7" w:rsidP="00E23BAD">
      <w:pPr>
        <w:spacing w:after="0" w:line="240" w:lineRule="auto"/>
        <w:rPr>
          <w:rFonts w:cs="Times New Roman"/>
          <w:b/>
          <w:sz w:val="20"/>
          <w:szCs w:val="24"/>
        </w:rPr>
        <w:sectPr w:rsidR="00AF56B7" w:rsidRPr="00B44B19" w:rsidSect="00931C78">
          <w:pgSz w:w="11906" w:h="16838"/>
          <w:pgMar w:top="1276" w:right="567" w:bottom="1134" w:left="1701" w:header="567" w:footer="567" w:gutter="0"/>
          <w:cols w:space="1296"/>
          <w:docGrid w:linePitch="360"/>
        </w:sectPr>
      </w:pPr>
    </w:p>
    <w:p w14:paraId="0AA8E906" w14:textId="77777777" w:rsidR="00E23BAD" w:rsidRPr="00B44B19" w:rsidRDefault="00E23BAD" w:rsidP="00E23BAD">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76"/>
        <w:gridCol w:w="839"/>
        <w:gridCol w:w="975"/>
        <w:gridCol w:w="1255"/>
        <w:gridCol w:w="3208"/>
        <w:gridCol w:w="1252"/>
        <w:gridCol w:w="1118"/>
        <w:gridCol w:w="972"/>
        <w:gridCol w:w="1257"/>
        <w:gridCol w:w="975"/>
        <w:gridCol w:w="957"/>
      </w:tblGrid>
      <w:tr w:rsidR="007978FF" w:rsidRPr="00B44B19" w14:paraId="4A6E4C0D" w14:textId="77777777" w:rsidTr="0005072D">
        <w:trPr>
          <w:trHeight w:val="871"/>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004421"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425B43"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B3F8CD"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5C93AF"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9A77CB"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F26AB4"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F471EE"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C378BA"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FB3310"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2CF31"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Siek</w:t>
            </w:r>
            <w:r w:rsidR="003C4DE7"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337798"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7FF887" w14:textId="77777777" w:rsidR="007978FF" w:rsidRPr="00B44B19" w:rsidRDefault="007978FF" w:rsidP="0005072D">
            <w:pPr>
              <w:spacing w:after="0" w:line="240" w:lineRule="auto"/>
              <w:jc w:val="center"/>
              <w:rPr>
                <w:rFonts w:cs="Times New Roman"/>
                <w:b/>
                <w:noProof/>
                <w:sz w:val="16"/>
                <w:szCs w:val="16"/>
              </w:rPr>
            </w:pPr>
            <w:r w:rsidRPr="00B44B19">
              <w:rPr>
                <w:rFonts w:cs="Times New Roman"/>
                <w:b/>
                <w:noProof/>
                <w:sz w:val="16"/>
                <w:szCs w:val="16"/>
              </w:rPr>
              <w:t>Pastabos</w:t>
            </w:r>
          </w:p>
        </w:tc>
      </w:tr>
      <w:tr w:rsidR="0005072D" w:rsidRPr="00B44B19" w14:paraId="2880E432" w14:textId="77777777" w:rsidTr="0005072D">
        <w:trPr>
          <w:trHeight w:val="421"/>
        </w:trPr>
        <w:tc>
          <w:tcPr>
            <w:tcW w:w="363" w:type="pct"/>
            <w:vMerge w:val="restart"/>
          </w:tcPr>
          <w:p w14:paraId="046875FA" w14:textId="77777777" w:rsidR="0005072D" w:rsidRPr="00B44B19" w:rsidRDefault="0005072D" w:rsidP="0005072D">
            <w:pPr>
              <w:spacing w:after="0" w:line="240" w:lineRule="auto"/>
              <w:jc w:val="both"/>
              <w:rPr>
                <w:rFonts w:cs="Times New Roman"/>
                <w:noProof/>
                <w:sz w:val="16"/>
                <w:szCs w:val="16"/>
              </w:rPr>
            </w:pPr>
            <w:r w:rsidRPr="00B44B19">
              <w:rPr>
                <w:rFonts w:cs="Times New Roman"/>
                <w:noProof/>
                <w:sz w:val="16"/>
                <w:szCs w:val="16"/>
              </w:rPr>
              <w:t>5</w:t>
            </w:r>
            <w:r w:rsidR="003832C0" w:rsidRPr="00B44B19">
              <w:rPr>
                <w:rFonts w:cs="Times New Roman"/>
                <w:noProof/>
                <w:sz w:val="16"/>
                <w:szCs w:val="16"/>
              </w:rPr>
              <w:t xml:space="preserve">. </w:t>
            </w:r>
            <w:r w:rsidR="003832C0" w:rsidRPr="00B44B19">
              <w:rPr>
                <w:rFonts w:cs="Times New Roman"/>
                <w:bCs/>
                <w:iCs/>
                <w:noProof/>
                <w:sz w:val="16"/>
                <w:szCs w:val="16"/>
                <w:lang w:bidi="lt-LT"/>
              </w:rPr>
              <w:t>Piliečiams artimesnė Europa</w:t>
            </w:r>
          </w:p>
        </w:tc>
        <w:tc>
          <w:tcPr>
            <w:tcW w:w="328" w:type="pct"/>
            <w:vMerge w:val="restart"/>
          </w:tcPr>
          <w:p w14:paraId="3682B6D6" w14:textId="77777777" w:rsidR="0005072D" w:rsidRPr="00B44B19" w:rsidRDefault="0005072D" w:rsidP="0005072D">
            <w:pPr>
              <w:spacing w:after="0" w:line="240" w:lineRule="auto"/>
              <w:jc w:val="both"/>
              <w:rPr>
                <w:rFonts w:cs="Times New Roman"/>
                <w:noProof/>
                <w:sz w:val="16"/>
                <w:szCs w:val="16"/>
              </w:rPr>
            </w:pPr>
            <w:r w:rsidRPr="00B44B19">
              <w:rPr>
                <w:rFonts w:cs="Times New Roman"/>
                <w:noProof/>
                <w:sz w:val="16"/>
                <w:szCs w:val="16"/>
              </w:rPr>
              <w:t>5.1</w:t>
            </w:r>
          </w:p>
        </w:tc>
        <w:tc>
          <w:tcPr>
            <w:tcW w:w="282" w:type="pct"/>
            <w:vMerge w:val="restart"/>
          </w:tcPr>
          <w:p w14:paraId="4FAD005D" w14:textId="77777777" w:rsidR="0005072D" w:rsidRPr="00B44B19" w:rsidRDefault="0005072D" w:rsidP="0005072D">
            <w:pPr>
              <w:spacing w:after="0" w:line="240" w:lineRule="auto"/>
              <w:jc w:val="both"/>
              <w:rPr>
                <w:rFonts w:cs="Times New Roman"/>
                <w:noProof/>
                <w:sz w:val="16"/>
                <w:szCs w:val="16"/>
              </w:rPr>
            </w:pPr>
            <w:r w:rsidRPr="00B44B19">
              <w:rPr>
                <w:rFonts w:cs="Times New Roman"/>
                <w:noProof/>
                <w:sz w:val="16"/>
                <w:szCs w:val="16"/>
              </w:rPr>
              <w:t>ERPF</w:t>
            </w:r>
          </w:p>
        </w:tc>
        <w:tc>
          <w:tcPr>
            <w:tcW w:w="328" w:type="pct"/>
          </w:tcPr>
          <w:p w14:paraId="3AF3DAB5" w14:textId="77777777" w:rsidR="0005072D" w:rsidRPr="00B44B19" w:rsidRDefault="0005072D" w:rsidP="0005072D">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422" w:type="pct"/>
          </w:tcPr>
          <w:p w14:paraId="381A3350" w14:textId="77777777" w:rsidR="0005072D" w:rsidRPr="00B44B19" w:rsidRDefault="00C72294" w:rsidP="0005072D">
            <w:pPr>
              <w:spacing w:after="0" w:line="240" w:lineRule="auto"/>
              <w:rPr>
                <w:rFonts w:cs="Times New Roman"/>
                <w:sz w:val="16"/>
                <w:szCs w:val="16"/>
                <w:shd w:val="clear" w:color="auto" w:fill="FFFFFF"/>
              </w:rPr>
            </w:pPr>
            <w:r w:rsidRPr="00B44B19">
              <w:rPr>
                <w:rFonts w:cs="Times New Roman"/>
                <w:sz w:val="16"/>
                <w:szCs w:val="16"/>
                <w:shd w:val="clear" w:color="auto" w:fill="FFFFFF"/>
              </w:rPr>
              <w:t>Specialusis</w:t>
            </w:r>
          </w:p>
        </w:tc>
        <w:tc>
          <w:tcPr>
            <w:tcW w:w="1079" w:type="pct"/>
          </w:tcPr>
          <w:p w14:paraId="602F4A92" w14:textId="77777777" w:rsidR="0005072D" w:rsidRPr="00B44B19" w:rsidRDefault="00C72294" w:rsidP="0005072D">
            <w:pPr>
              <w:spacing w:after="0" w:line="240" w:lineRule="auto"/>
              <w:rPr>
                <w:rFonts w:cs="Times New Roman"/>
                <w:sz w:val="16"/>
                <w:szCs w:val="16"/>
                <w:shd w:val="clear" w:color="auto" w:fill="FFFFFF"/>
              </w:rPr>
            </w:pPr>
            <w:r w:rsidRPr="00B44B19">
              <w:rPr>
                <w:rFonts w:cs="Times New Roman"/>
                <w:sz w:val="16"/>
                <w:szCs w:val="16"/>
              </w:rPr>
              <w:t>Sukurtos arba atkurtos teritorijos, naudojamos ekonominei veiklai</w:t>
            </w:r>
          </w:p>
        </w:tc>
        <w:tc>
          <w:tcPr>
            <w:tcW w:w="421" w:type="pct"/>
          </w:tcPr>
          <w:p w14:paraId="114C99F6" w14:textId="77777777" w:rsidR="0005072D" w:rsidRPr="00B44B19" w:rsidRDefault="007370A6" w:rsidP="007370A6">
            <w:pPr>
              <w:spacing w:after="0" w:line="240" w:lineRule="auto"/>
              <w:jc w:val="both"/>
              <w:rPr>
                <w:rFonts w:cs="Times New Roman"/>
                <w:noProof/>
                <w:sz w:val="16"/>
                <w:szCs w:val="16"/>
              </w:rPr>
            </w:pPr>
            <w:r w:rsidRPr="00B44B19">
              <w:rPr>
                <w:rFonts w:cs="Times New Roman"/>
                <w:noProof/>
                <w:sz w:val="16"/>
                <w:szCs w:val="16"/>
              </w:rPr>
              <w:t>Hektarai</w:t>
            </w:r>
          </w:p>
        </w:tc>
        <w:tc>
          <w:tcPr>
            <w:tcW w:w="376" w:type="pct"/>
          </w:tcPr>
          <w:p w14:paraId="42BB1A74"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1EF2B4CD"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600EDC16" w14:textId="77777777" w:rsidR="0005072D" w:rsidRPr="00B44B19" w:rsidRDefault="00C72294" w:rsidP="00C72294">
            <w:pPr>
              <w:spacing w:after="0" w:line="240" w:lineRule="auto"/>
              <w:jc w:val="center"/>
              <w:rPr>
                <w:rFonts w:cs="Times New Roman"/>
                <w:noProof/>
                <w:sz w:val="16"/>
                <w:szCs w:val="16"/>
              </w:rPr>
            </w:pPr>
            <w:r w:rsidRPr="00B44B19">
              <w:rPr>
                <w:rFonts w:cs="Times New Roman"/>
                <w:sz w:val="16"/>
                <w:szCs w:val="16"/>
              </w:rPr>
              <w:t>129,5</w:t>
            </w:r>
            <w:r w:rsidR="0076506D" w:rsidRPr="00B44B19">
              <w:rPr>
                <w:rFonts w:cs="Times New Roman"/>
                <w:sz w:val="16"/>
                <w:szCs w:val="16"/>
              </w:rPr>
              <w:t>0</w:t>
            </w:r>
          </w:p>
        </w:tc>
        <w:tc>
          <w:tcPr>
            <w:tcW w:w="328" w:type="pct"/>
          </w:tcPr>
          <w:p w14:paraId="351E1A00" w14:textId="77777777" w:rsidR="0005072D" w:rsidRPr="00B44B19" w:rsidRDefault="0005072D" w:rsidP="006B7097">
            <w:pPr>
              <w:spacing w:after="0" w:line="240" w:lineRule="auto"/>
              <w:jc w:val="both"/>
              <w:rPr>
                <w:rFonts w:cs="Times New Roman"/>
                <w:bCs/>
                <w:noProof/>
                <w:sz w:val="16"/>
                <w:szCs w:val="16"/>
              </w:rPr>
            </w:pPr>
            <w:r w:rsidRPr="00B44B19">
              <w:rPr>
                <w:rFonts w:cs="Times New Roman"/>
                <w:bCs/>
                <w:noProof/>
                <w:sz w:val="16"/>
                <w:szCs w:val="16"/>
              </w:rPr>
              <w:t xml:space="preserve">Projektų </w:t>
            </w:r>
            <w:r w:rsidR="006B7097" w:rsidRPr="00B44B19">
              <w:rPr>
                <w:rFonts w:cs="Times New Roman"/>
                <w:bCs/>
                <w:noProof/>
                <w:sz w:val="16"/>
                <w:szCs w:val="16"/>
              </w:rPr>
              <w:t>duomenys</w:t>
            </w:r>
          </w:p>
        </w:tc>
        <w:tc>
          <w:tcPr>
            <w:tcW w:w="322" w:type="pct"/>
          </w:tcPr>
          <w:p w14:paraId="5ED83BF4" w14:textId="77777777" w:rsidR="0005072D" w:rsidRPr="00B44B19" w:rsidDel="00E846DE" w:rsidRDefault="0005072D" w:rsidP="0005072D">
            <w:pPr>
              <w:spacing w:after="0" w:line="240" w:lineRule="auto"/>
              <w:jc w:val="both"/>
              <w:rPr>
                <w:rFonts w:cs="Times New Roman"/>
                <w:noProof/>
                <w:sz w:val="16"/>
                <w:szCs w:val="16"/>
              </w:rPr>
            </w:pPr>
          </w:p>
        </w:tc>
      </w:tr>
      <w:tr w:rsidR="0005072D" w:rsidRPr="00B44B19" w14:paraId="02DAA688" w14:textId="77777777" w:rsidTr="0005072D">
        <w:trPr>
          <w:trHeight w:val="455"/>
        </w:trPr>
        <w:tc>
          <w:tcPr>
            <w:tcW w:w="363" w:type="pct"/>
            <w:vMerge/>
          </w:tcPr>
          <w:p w14:paraId="73BF22DC" w14:textId="77777777" w:rsidR="0005072D" w:rsidRPr="00B44B19" w:rsidRDefault="0005072D" w:rsidP="0005072D">
            <w:pPr>
              <w:spacing w:after="0" w:line="240" w:lineRule="auto"/>
              <w:jc w:val="both"/>
              <w:rPr>
                <w:rFonts w:cs="Times New Roman"/>
                <w:noProof/>
                <w:sz w:val="16"/>
                <w:szCs w:val="16"/>
              </w:rPr>
            </w:pPr>
          </w:p>
        </w:tc>
        <w:tc>
          <w:tcPr>
            <w:tcW w:w="328" w:type="pct"/>
            <w:vMerge/>
          </w:tcPr>
          <w:p w14:paraId="06A943D1" w14:textId="77777777" w:rsidR="0005072D" w:rsidRPr="00B44B19" w:rsidRDefault="0005072D" w:rsidP="0005072D">
            <w:pPr>
              <w:spacing w:after="0" w:line="240" w:lineRule="auto"/>
              <w:jc w:val="both"/>
              <w:rPr>
                <w:rFonts w:cs="Times New Roman"/>
                <w:noProof/>
                <w:sz w:val="16"/>
                <w:szCs w:val="16"/>
              </w:rPr>
            </w:pPr>
          </w:p>
        </w:tc>
        <w:tc>
          <w:tcPr>
            <w:tcW w:w="282" w:type="pct"/>
            <w:vMerge/>
          </w:tcPr>
          <w:p w14:paraId="269B6000" w14:textId="77777777" w:rsidR="0005072D" w:rsidRPr="00B44B19" w:rsidRDefault="0005072D" w:rsidP="0005072D">
            <w:pPr>
              <w:spacing w:after="0" w:line="240" w:lineRule="auto"/>
              <w:jc w:val="both"/>
              <w:rPr>
                <w:rFonts w:cs="Times New Roman"/>
                <w:noProof/>
                <w:sz w:val="16"/>
                <w:szCs w:val="16"/>
              </w:rPr>
            </w:pPr>
          </w:p>
        </w:tc>
        <w:tc>
          <w:tcPr>
            <w:tcW w:w="328" w:type="pct"/>
          </w:tcPr>
          <w:p w14:paraId="31BEA6E2" w14:textId="77777777" w:rsidR="0005072D" w:rsidRPr="00B44B19" w:rsidRDefault="0005072D" w:rsidP="0005072D">
            <w:pPr>
              <w:spacing w:after="0"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422" w:type="pct"/>
          </w:tcPr>
          <w:p w14:paraId="7A14FF7E" w14:textId="77777777" w:rsidR="0005072D" w:rsidRPr="00B44B19" w:rsidRDefault="0005072D" w:rsidP="0005072D">
            <w:pPr>
              <w:spacing w:after="0" w:line="240" w:lineRule="auto"/>
              <w:jc w:val="both"/>
              <w:rPr>
                <w:rFonts w:cs="Times New Roman"/>
                <w:noProof/>
                <w:sz w:val="16"/>
                <w:szCs w:val="16"/>
              </w:rPr>
            </w:pPr>
            <w:r w:rsidRPr="00B44B19">
              <w:rPr>
                <w:rFonts w:eastAsia="Calibri" w:cs="Times New Roman"/>
                <w:sz w:val="16"/>
                <w:szCs w:val="16"/>
                <w:lang w:eastAsia="en-GB" w:bidi="lt-LT"/>
              </w:rPr>
              <w:t>RCR52</w:t>
            </w:r>
          </w:p>
        </w:tc>
        <w:tc>
          <w:tcPr>
            <w:tcW w:w="1079" w:type="pct"/>
          </w:tcPr>
          <w:p w14:paraId="129A8B59" w14:textId="77777777" w:rsidR="0005072D" w:rsidRPr="00B44B19" w:rsidRDefault="0005072D" w:rsidP="0005072D">
            <w:pPr>
              <w:tabs>
                <w:tab w:val="left" w:pos="7560"/>
              </w:tabs>
              <w:spacing w:after="0" w:line="240" w:lineRule="auto"/>
              <w:rPr>
                <w:rFonts w:cs="Times New Roman"/>
                <w:bCs/>
                <w:noProof/>
                <w:sz w:val="16"/>
                <w:szCs w:val="16"/>
              </w:rPr>
            </w:pPr>
            <w:r w:rsidRPr="00B44B19">
              <w:rPr>
                <w:rFonts w:cs="Times New Roman"/>
                <w:bCs/>
                <w:noProof/>
                <w:sz w:val="16"/>
                <w:szCs w:val="16"/>
              </w:rPr>
              <w:t>Rekultivuota žemė, naudojama žaliesiems plotams, socialiniams būstams, ekonominei arba kitai paskirčiai</w:t>
            </w:r>
          </w:p>
        </w:tc>
        <w:tc>
          <w:tcPr>
            <w:tcW w:w="421" w:type="pct"/>
          </w:tcPr>
          <w:p w14:paraId="4DE09180" w14:textId="77777777" w:rsidR="0005072D" w:rsidRPr="00B44B19" w:rsidRDefault="0005072D" w:rsidP="0005072D">
            <w:pPr>
              <w:spacing w:after="0" w:line="240" w:lineRule="auto"/>
              <w:jc w:val="both"/>
              <w:rPr>
                <w:rFonts w:cs="Times New Roman"/>
                <w:noProof/>
                <w:sz w:val="16"/>
                <w:szCs w:val="16"/>
                <w:lang w:val="en-US"/>
              </w:rPr>
            </w:pPr>
            <w:r w:rsidRPr="00B44B19">
              <w:rPr>
                <w:rFonts w:cs="Times New Roman"/>
                <w:noProof/>
                <w:sz w:val="16"/>
                <w:szCs w:val="16"/>
                <w:lang w:val="en-US"/>
              </w:rPr>
              <w:t>H</w:t>
            </w:r>
            <w:r w:rsidR="007370A6" w:rsidRPr="00B44B19">
              <w:rPr>
                <w:rFonts w:cs="Times New Roman"/>
                <w:noProof/>
                <w:sz w:val="16"/>
                <w:szCs w:val="16"/>
                <w:lang w:val="en-US"/>
              </w:rPr>
              <w:t>ektarai</w:t>
            </w:r>
          </w:p>
        </w:tc>
        <w:tc>
          <w:tcPr>
            <w:tcW w:w="376" w:type="pct"/>
          </w:tcPr>
          <w:p w14:paraId="3B3AAFDF"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5579C5B8"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3BA2F72A" w14:textId="50AD68E7" w:rsidR="0005072D" w:rsidRPr="00B44B19" w:rsidRDefault="0014339B" w:rsidP="0076506D">
            <w:pPr>
              <w:spacing w:after="0" w:line="240" w:lineRule="auto"/>
              <w:jc w:val="center"/>
              <w:rPr>
                <w:rFonts w:cs="Times New Roman"/>
                <w:noProof/>
                <w:sz w:val="16"/>
                <w:szCs w:val="16"/>
              </w:rPr>
            </w:pPr>
            <w:r w:rsidRPr="00B44B19">
              <w:rPr>
                <w:rFonts w:cs="Times New Roman"/>
                <w:sz w:val="16"/>
                <w:szCs w:val="16"/>
              </w:rPr>
              <w:t>16,4</w:t>
            </w:r>
            <w:r w:rsidR="007F3A0C" w:rsidRPr="00B44B19">
              <w:rPr>
                <w:rFonts w:cs="Times New Roman"/>
                <w:sz w:val="16"/>
                <w:szCs w:val="16"/>
              </w:rPr>
              <w:t>0</w:t>
            </w:r>
          </w:p>
        </w:tc>
        <w:tc>
          <w:tcPr>
            <w:tcW w:w="328" w:type="pct"/>
          </w:tcPr>
          <w:p w14:paraId="75F0DF7F" w14:textId="77777777" w:rsidR="0005072D" w:rsidRPr="00B44B19" w:rsidRDefault="0005072D" w:rsidP="006B7097">
            <w:pPr>
              <w:spacing w:after="0" w:line="240" w:lineRule="auto"/>
              <w:jc w:val="both"/>
              <w:rPr>
                <w:rFonts w:cs="Times New Roman"/>
                <w:noProof/>
                <w:sz w:val="16"/>
                <w:szCs w:val="16"/>
              </w:rPr>
            </w:pPr>
            <w:r w:rsidRPr="00B44B19">
              <w:rPr>
                <w:rFonts w:cs="Times New Roman"/>
                <w:noProof/>
                <w:sz w:val="16"/>
                <w:szCs w:val="16"/>
              </w:rPr>
              <w:t xml:space="preserve">Projektų </w:t>
            </w:r>
            <w:r w:rsidR="006B7097" w:rsidRPr="00B44B19">
              <w:rPr>
                <w:rFonts w:cs="Times New Roman"/>
                <w:noProof/>
                <w:sz w:val="16"/>
                <w:szCs w:val="16"/>
              </w:rPr>
              <w:t>duomenys</w:t>
            </w:r>
          </w:p>
        </w:tc>
        <w:tc>
          <w:tcPr>
            <w:tcW w:w="322" w:type="pct"/>
          </w:tcPr>
          <w:p w14:paraId="34BAF1CA" w14:textId="77777777" w:rsidR="0005072D" w:rsidRPr="00B44B19" w:rsidRDefault="0005072D" w:rsidP="0005072D">
            <w:pPr>
              <w:spacing w:after="0" w:line="240" w:lineRule="auto"/>
              <w:jc w:val="both"/>
              <w:rPr>
                <w:rFonts w:cs="Times New Roman"/>
                <w:noProof/>
                <w:sz w:val="16"/>
                <w:szCs w:val="16"/>
              </w:rPr>
            </w:pPr>
          </w:p>
        </w:tc>
      </w:tr>
      <w:tr w:rsidR="0005072D" w:rsidRPr="00B44B19" w14:paraId="360656BF" w14:textId="77777777" w:rsidTr="0005072D">
        <w:trPr>
          <w:trHeight w:val="419"/>
        </w:trPr>
        <w:tc>
          <w:tcPr>
            <w:tcW w:w="363" w:type="pct"/>
            <w:vMerge/>
          </w:tcPr>
          <w:p w14:paraId="19336236" w14:textId="77777777" w:rsidR="0005072D" w:rsidRPr="00B44B19" w:rsidRDefault="0005072D" w:rsidP="0005072D">
            <w:pPr>
              <w:spacing w:after="0" w:line="240" w:lineRule="auto"/>
              <w:jc w:val="both"/>
              <w:rPr>
                <w:rFonts w:cs="Times New Roman"/>
                <w:noProof/>
                <w:sz w:val="16"/>
                <w:szCs w:val="16"/>
              </w:rPr>
            </w:pPr>
          </w:p>
        </w:tc>
        <w:tc>
          <w:tcPr>
            <w:tcW w:w="328" w:type="pct"/>
            <w:vMerge/>
          </w:tcPr>
          <w:p w14:paraId="634B6AF0" w14:textId="77777777" w:rsidR="0005072D" w:rsidRPr="00B44B19" w:rsidRDefault="0005072D" w:rsidP="0005072D">
            <w:pPr>
              <w:spacing w:after="0" w:line="240" w:lineRule="auto"/>
              <w:jc w:val="both"/>
              <w:rPr>
                <w:rFonts w:cs="Times New Roman"/>
                <w:noProof/>
                <w:sz w:val="16"/>
                <w:szCs w:val="16"/>
              </w:rPr>
            </w:pPr>
          </w:p>
        </w:tc>
        <w:tc>
          <w:tcPr>
            <w:tcW w:w="282" w:type="pct"/>
            <w:vMerge/>
          </w:tcPr>
          <w:p w14:paraId="5F52684E" w14:textId="77777777" w:rsidR="0005072D" w:rsidRPr="00B44B19" w:rsidRDefault="0005072D" w:rsidP="0005072D">
            <w:pPr>
              <w:spacing w:after="0" w:line="240" w:lineRule="auto"/>
              <w:jc w:val="both"/>
              <w:rPr>
                <w:rFonts w:cs="Times New Roman"/>
                <w:noProof/>
                <w:sz w:val="16"/>
                <w:szCs w:val="16"/>
              </w:rPr>
            </w:pPr>
          </w:p>
        </w:tc>
        <w:tc>
          <w:tcPr>
            <w:tcW w:w="328" w:type="pct"/>
          </w:tcPr>
          <w:p w14:paraId="7778607C" w14:textId="77777777" w:rsidR="0005072D" w:rsidRPr="00B44B19" w:rsidRDefault="0005072D" w:rsidP="0005072D">
            <w:pPr>
              <w:spacing w:after="0"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422" w:type="pct"/>
          </w:tcPr>
          <w:p w14:paraId="601A6151" w14:textId="77777777" w:rsidR="0005072D" w:rsidRPr="00B44B19" w:rsidRDefault="0005072D" w:rsidP="0005072D">
            <w:pPr>
              <w:spacing w:after="0" w:line="240" w:lineRule="auto"/>
              <w:jc w:val="both"/>
              <w:rPr>
                <w:rFonts w:cs="Times New Roman"/>
                <w:sz w:val="16"/>
                <w:szCs w:val="16"/>
                <w:lang w:eastAsia="en-GB"/>
              </w:rPr>
            </w:pPr>
            <w:r w:rsidRPr="00B44B19">
              <w:rPr>
                <w:rFonts w:eastAsia="Calibri" w:cs="Times New Roman"/>
                <w:sz w:val="16"/>
                <w:szCs w:val="16"/>
                <w:lang w:eastAsia="en-GB" w:bidi="lt-LT"/>
              </w:rPr>
              <w:t>RCR52</w:t>
            </w:r>
          </w:p>
        </w:tc>
        <w:tc>
          <w:tcPr>
            <w:tcW w:w="1079" w:type="pct"/>
          </w:tcPr>
          <w:p w14:paraId="6F144C65" w14:textId="77777777" w:rsidR="0005072D" w:rsidRPr="00B44B19" w:rsidRDefault="0005072D" w:rsidP="0005072D">
            <w:pPr>
              <w:tabs>
                <w:tab w:val="left" w:pos="7560"/>
              </w:tabs>
              <w:spacing w:after="0" w:line="240" w:lineRule="auto"/>
              <w:rPr>
                <w:rFonts w:cs="Times New Roman"/>
                <w:sz w:val="16"/>
                <w:szCs w:val="16"/>
                <w:lang w:eastAsia="en-GB"/>
              </w:rPr>
            </w:pPr>
            <w:r w:rsidRPr="00B44B19">
              <w:rPr>
                <w:rFonts w:cs="Times New Roman"/>
                <w:bCs/>
                <w:noProof/>
                <w:sz w:val="16"/>
                <w:szCs w:val="16"/>
              </w:rPr>
              <w:t>Rekultivuota žemė, naudojama žaliesiems plotams, socialiniams būstams, ekonominei arba kitai paskirčiai</w:t>
            </w:r>
          </w:p>
        </w:tc>
        <w:tc>
          <w:tcPr>
            <w:tcW w:w="421" w:type="pct"/>
          </w:tcPr>
          <w:p w14:paraId="78C3B513" w14:textId="77777777" w:rsidR="0005072D" w:rsidRPr="00B44B19" w:rsidRDefault="0005072D" w:rsidP="005F79CA">
            <w:pPr>
              <w:spacing w:after="0" w:line="240" w:lineRule="auto"/>
              <w:jc w:val="both"/>
              <w:rPr>
                <w:rFonts w:cs="Times New Roman"/>
                <w:noProof/>
                <w:sz w:val="16"/>
                <w:szCs w:val="16"/>
              </w:rPr>
            </w:pPr>
            <w:r w:rsidRPr="00B44B19">
              <w:rPr>
                <w:rFonts w:cs="Times New Roman"/>
                <w:noProof/>
                <w:sz w:val="16"/>
                <w:szCs w:val="16"/>
              </w:rPr>
              <w:t>H</w:t>
            </w:r>
            <w:r w:rsidR="007370A6" w:rsidRPr="00B44B19">
              <w:rPr>
                <w:rFonts w:cs="Times New Roman"/>
                <w:noProof/>
                <w:sz w:val="16"/>
                <w:szCs w:val="16"/>
              </w:rPr>
              <w:t>ektarai</w:t>
            </w:r>
          </w:p>
        </w:tc>
        <w:tc>
          <w:tcPr>
            <w:tcW w:w="376" w:type="pct"/>
          </w:tcPr>
          <w:p w14:paraId="070699CF"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23475013"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01D7B363" w14:textId="7D7981B7" w:rsidR="0005072D" w:rsidRPr="00B44B19" w:rsidRDefault="0014339B" w:rsidP="00CD3F7E">
            <w:pPr>
              <w:spacing w:after="0" w:line="240" w:lineRule="auto"/>
              <w:jc w:val="center"/>
              <w:rPr>
                <w:rFonts w:cs="Times New Roman"/>
                <w:noProof/>
                <w:sz w:val="16"/>
                <w:szCs w:val="16"/>
              </w:rPr>
            </w:pPr>
            <w:r w:rsidRPr="00B44B19">
              <w:rPr>
                <w:rFonts w:cs="Times New Roman"/>
                <w:sz w:val="16"/>
                <w:szCs w:val="16"/>
              </w:rPr>
              <w:t>68,70</w:t>
            </w:r>
          </w:p>
        </w:tc>
        <w:tc>
          <w:tcPr>
            <w:tcW w:w="328" w:type="pct"/>
          </w:tcPr>
          <w:p w14:paraId="4B097F35" w14:textId="77777777" w:rsidR="0005072D" w:rsidRPr="00B44B19" w:rsidRDefault="0005072D" w:rsidP="006B7097">
            <w:pPr>
              <w:spacing w:after="0" w:line="240" w:lineRule="auto"/>
              <w:jc w:val="both"/>
              <w:rPr>
                <w:rFonts w:cs="Times New Roman"/>
                <w:noProof/>
                <w:sz w:val="16"/>
                <w:szCs w:val="16"/>
              </w:rPr>
            </w:pPr>
            <w:r w:rsidRPr="00B44B19">
              <w:rPr>
                <w:rFonts w:cs="Times New Roman"/>
                <w:noProof/>
                <w:sz w:val="16"/>
                <w:szCs w:val="16"/>
              </w:rPr>
              <w:t xml:space="preserve">Projektų </w:t>
            </w:r>
            <w:r w:rsidR="006B7097" w:rsidRPr="00B44B19">
              <w:rPr>
                <w:rFonts w:cs="Times New Roman"/>
                <w:noProof/>
                <w:sz w:val="16"/>
                <w:szCs w:val="16"/>
              </w:rPr>
              <w:t>duomenys</w:t>
            </w:r>
          </w:p>
        </w:tc>
        <w:tc>
          <w:tcPr>
            <w:tcW w:w="322" w:type="pct"/>
          </w:tcPr>
          <w:p w14:paraId="4661EE78" w14:textId="77777777" w:rsidR="0005072D" w:rsidRPr="00B44B19" w:rsidRDefault="0005072D" w:rsidP="0005072D">
            <w:pPr>
              <w:spacing w:after="0" w:line="240" w:lineRule="auto"/>
              <w:jc w:val="both"/>
              <w:rPr>
                <w:rFonts w:cs="Times New Roman"/>
                <w:noProof/>
                <w:sz w:val="16"/>
                <w:szCs w:val="16"/>
              </w:rPr>
            </w:pPr>
          </w:p>
        </w:tc>
      </w:tr>
      <w:tr w:rsidR="0005072D" w:rsidRPr="00B44B19" w14:paraId="383A3E29" w14:textId="77777777" w:rsidTr="0005072D">
        <w:trPr>
          <w:trHeight w:val="397"/>
        </w:trPr>
        <w:tc>
          <w:tcPr>
            <w:tcW w:w="363" w:type="pct"/>
            <w:vMerge/>
          </w:tcPr>
          <w:p w14:paraId="2C3ABF78" w14:textId="77777777" w:rsidR="0005072D" w:rsidRPr="00B44B19" w:rsidRDefault="0005072D" w:rsidP="0005072D">
            <w:pPr>
              <w:spacing w:after="0" w:line="240" w:lineRule="auto"/>
              <w:jc w:val="both"/>
              <w:rPr>
                <w:rFonts w:cs="Times New Roman"/>
                <w:noProof/>
                <w:sz w:val="16"/>
                <w:szCs w:val="16"/>
              </w:rPr>
            </w:pPr>
          </w:p>
        </w:tc>
        <w:tc>
          <w:tcPr>
            <w:tcW w:w="328" w:type="pct"/>
            <w:vMerge/>
          </w:tcPr>
          <w:p w14:paraId="64D02F84" w14:textId="77777777" w:rsidR="0005072D" w:rsidRPr="00B44B19" w:rsidRDefault="0005072D" w:rsidP="0005072D">
            <w:pPr>
              <w:spacing w:after="0" w:line="240" w:lineRule="auto"/>
              <w:jc w:val="both"/>
              <w:rPr>
                <w:rFonts w:cs="Times New Roman"/>
                <w:noProof/>
                <w:sz w:val="16"/>
                <w:szCs w:val="16"/>
              </w:rPr>
            </w:pPr>
          </w:p>
        </w:tc>
        <w:tc>
          <w:tcPr>
            <w:tcW w:w="282" w:type="pct"/>
            <w:vMerge/>
          </w:tcPr>
          <w:p w14:paraId="21BBBB63" w14:textId="77777777" w:rsidR="0005072D" w:rsidRPr="00B44B19" w:rsidRDefault="0005072D" w:rsidP="0005072D">
            <w:pPr>
              <w:spacing w:after="0" w:line="240" w:lineRule="auto"/>
              <w:jc w:val="both"/>
              <w:rPr>
                <w:rFonts w:cs="Times New Roman"/>
                <w:noProof/>
                <w:sz w:val="16"/>
                <w:szCs w:val="16"/>
              </w:rPr>
            </w:pPr>
          </w:p>
        </w:tc>
        <w:tc>
          <w:tcPr>
            <w:tcW w:w="328" w:type="pct"/>
          </w:tcPr>
          <w:p w14:paraId="3A10960A" w14:textId="77777777" w:rsidR="0005072D" w:rsidRPr="00B44B19" w:rsidRDefault="0005072D" w:rsidP="0005072D">
            <w:pPr>
              <w:spacing w:after="0"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422" w:type="pct"/>
          </w:tcPr>
          <w:p w14:paraId="2958C5A4" w14:textId="77777777" w:rsidR="0005072D" w:rsidRPr="00B44B19" w:rsidRDefault="006B7097" w:rsidP="0005072D">
            <w:pPr>
              <w:spacing w:after="0" w:line="240" w:lineRule="auto"/>
              <w:jc w:val="both"/>
              <w:rPr>
                <w:rFonts w:cs="Times New Roman"/>
                <w:sz w:val="16"/>
                <w:szCs w:val="16"/>
                <w:lang w:eastAsia="en-GB"/>
              </w:rPr>
            </w:pPr>
            <w:r w:rsidRPr="00B44B19">
              <w:rPr>
                <w:rFonts w:cs="Times New Roman"/>
                <w:sz w:val="16"/>
                <w:szCs w:val="16"/>
                <w:lang w:eastAsia="en-GB"/>
              </w:rPr>
              <w:t>Specialusis</w:t>
            </w:r>
          </w:p>
        </w:tc>
        <w:tc>
          <w:tcPr>
            <w:tcW w:w="1079" w:type="pct"/>
          </w:tcPr>
          <w:p w14:paraId="4DA2ED68" w14:textId="77777777" w:rsidR="0005072D" w:rsidRPr="00B44B19" w:rsidRDefault="0005072D" w:rsidP="0005072D">
            <w:pPr>
              <w:tabs>
                <w:tab w:val="left" w:pos="7560"/>
              </w:tabs>
              <w:spacing w:after="0" w:line="240" w:lineRule="auto"/>
              <w:rPr>
                <w:rFonts w:cs="Times New Roman"/>
                <w:sz w:val="16"/>
                <w:szCs w:val="16"/>
                <w:lang w:eastAsia="en-GB"/>
              </w:rPr>
            </w:pPr>
            <w:r w:rsidRPr="00B44B19">
              <w:rPr>
                <w:rFonts w:cs="Times New Roman"/>
                <w:sz w:val="16"/>
                <w:szCs w:val="16"/>
                <w:lang w:eastAsia="en-GB"/>
              </w:rPr>
              <w:t xml:space="preserve">Metinis konsoliduotų viešųjų paslaugų vartotojų skaičius </w:t>
            </w:r>
          </w:p>
        </w:tc>
        <w:tc>
          <w:tcPr>
            <w:tcW w:w="421" w:type="pct"/>
          </w:tcPr>
          <w:p w14:paraId="7E7A9DE5" w14:textId="77777777" w:rsidR="0005072D" w:rsidRPr="00B44B19" w:rsidRDefault="0005072D" w:rsidP="0005072D">
            <w:pPr>
              <w:spacing w:after="0" w:line="240" w:lineRule="auto"/>
              <w:jc w:val="both"/>
              <w:rPr>
                <w:rFonts w:cs="Times New Roman"/>
                <w:noProof/>
                <w:sz w:val="16"/>
                <w:szCs w:val="16"/>
              </w:rPr>
            </w:pPr>
            <w:r w:rsidRPr="00B44B19">
              <w:rPr>
                <w:rFonts w:cs="Times New Roman"/>
                <w:noProof/>
                <w:sz w:val="16"/>
                <w:szCs w:val="16"/>
              </w:rPr>
              <w:t>Vartotojai per metus</w:t>
            </w:r>
          </w:p>
        </w:tc>
        <w:tc>
          <w:tcPr>
            <w:tcW w:w="376" w:type="pct"/>
          </w:tcPr>
          <w:p w14:paraId="410868B5"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7AA5ADCF" w14:textId="77777777" w:rsidR="0005072D" w:rsidRPr="00B44B19" w:rsidRDefault="0005072D" w:rsidP="0005072D">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4109D808" w14:textId="77777777" w:rsidR="0005072D" w:rsidRPr="00B44B19" w:rsidRDefault="0076506D" w:rsidP="0005072D">
            <w:pPr>
              <w:spacing w:after="0" w:line="240" w:lineRule="auto"/>
              <w:jc w:val="center"/>
              <w:rPr>
                <w:rFonts w:cs="Times New Roman"/>
                <w:noProof/>
                <w:sz w:val="16"/>
                <w:szCs w:val="16"/>
              </w:rPr>
            </w:pPr>
            <w:r w:rsidRPr="00B44B19">
              <w:rPr>
                <w:rFonts w:cs="Times New Roman"/>
                <w:sz w:val="16"/>
                <w:szCs w:val="16"/>
              </w:rPr>
              <w:t>568 000</w:t>
            </w:r>
          </w:p>
        </w:tc>
        <w:tc>
          <w:tcPr>
            <w:tcW w:w="328" w:type="pct"/>
          </w:tcPr>
          <w:p w14:paraId="31B1923C" w14:textId="77777777" w:rsidR="0005072D" w:rsidRPr="00B44B19" w:rsidRDefault="0005072D" w:rsidP="006B7097">
            <w:pPr>
              <w:spacing w:after="0" w:line="240" w:lineRule="auto"/>
              <w:jc w:val="both"/>
              <w:rPr>
                <w:rFonts w:cs="Times New Roman"/>
                <w:noProof/>
                <w:sz w:val="16"/>
                <w:szCs w:val="16"/>
              </w:rPr>
            </w:pPr>
            <w:r w:rsidRPr="00B44B19">
              <w:rPr>
                <w:rFonts w:cs="Times New Roman"/>
                <w:noProof/>
                <w:sz w:val="16"/>
                <w:szCs w:val="16"/>
              </w:rPr>
              <w:t xml:space="preserve">Projektų </w:t>
            </w:r>
            <w:r w:rsidR="006B7097" w:rsidRPr="00B44B19">
              <w:rPr>
                <w:rFonts w:cs="Times New Roman"/>
                <w:noProof/>
                <w:sz w:val="16"/>
                <w:szCs w:val="16"/>
              </w:rPr>
              <w:t>duomenys</w:t>
            </w:r>
            <w:r w:rsidRPr="00B44B19">
              <w:rPr>
                <w:rFonts w:cs="Times New Roman"/>
                <w:noProof/>
                <w:sz w:val="16"/>
                <w:szCs w:val="16"/>
              </w:rPr>
              <w:t>, LSD, viešųjų institucijų duomenų bazės</w:t>
            </w:r>
          </w:p>
        </w:tc>
        <w:tc>
          <w:tcPr>
            <w:tcW w:w="322" w:type="pct"/>
          </w:tcPr>
          <w:p w14:paraId="0443CDC9" w14:textId="77777777" w:rsidR="0005072D" w:rsidRPr="00B44B19" w:rsidRDefault="0005072D" w:rsidP="0005072D">
            <w:pPr>
              <w:spacing w:after="0" w:line="240" w:lineRule="auto"/>
              <w:jc w:val="both"/>
              <w:rPr>
                <w:rFonts w:cs="Times New Roman"/>
                <w:noProof/>
                <w:sz w:val="16"/>
                <w:szCs w:val="16"/>
              </w:rPr>
            </w:pPr>
          </w:p>
        </w:tc>
      </w:tr>
      <w:tr w:rsidR="00976275" w:rsidRPr="00B44B19" w14:paraId="74AF8826" w14:textId="77777777" w:rsidTr="0005072D">
        <w:trPr>
          <w:trHeight w:val="290"/>
        </w:trPr>
        <w:tc>
          <w:tcPr>
            <w:tcW w:w="363" w:type="pct"/>
            <w:vMerge/>
          </w:tcPr>
          <w:p w14:paraId="11B7CFAE" w14:textId="77777777" w:rsidR="00976275" w:rsidRPr="00B44B19" w:rsidRDefault="00976275" w:rsidP="00976275">
            <w:pPr>
              <w:spacing w:after="0" w:line="240" w:lineRule="auto"/>
              <w:jc w:val="both"/>
              <w:rPr>
                <w:rFonts w:cs="Times New Roman"/>
                <w:noProof/>
                <w:sz w:val="16"/>
                <w:szCs w:val="16"/>
              </w:rPr>
            </w:pPr>
          </w:p>
        </w:tc>
        <w:tc>
          <w:tcPr>
            <w:tcW w:w="328" w:type="pct"/>
            <w:vMerge/>
          </w:tcPr>
          <w:p w14:paraId="53A6EEAC" w14:textId="77777777" w:rsidR="00976275" w:rsidRPr="00B44B19" w:rsidRDefault="00976275" w:rsidP="00976275">
            <w:pPr>
              <w:spacing w:after="0" w:line="240" w:lineRule="auto"/>
              <w:jc w:val="both"/>
              <w:rPr>
                <w:rFonts w:cs="Times New Roman"/>
                <w:noProof/>
                <w:sz w:val="16"/>
                <w:szCs w:val="16"/>
              </w:rPr>
            </w:pPr>
          </w:p>
        </w:tc>
        <w:tc>
          <w:tcPr>
            <w:tcW w:w="282" w:type="pct"/>
            <w:vMerge/>
          </w:tcPr>
          <w:p w14:paraId="461F199F" w14:textId="77777777" w:rsidR="00976275" w:rsidRPr="00B44B19" w:rsidRDefault="00976275" w:rsidP="00976275">
            <w:pPr>
              <w:spacing w:after="0" w:line="240" w:lineRule="auto"/>
              <w:jc w:val="both"/>
              <w:rPr>
                <w:rFonts w:cs="Times New Roman"/>
                <w:noProof/>
                <w:sz w:val="16"/>
                <w:szCs w:val="16"/>
              </w:rPr>
            </w:pPr>
          </w:p>
        </w:tc>
        <w:tc>
          <w:tcPr>
            <w:tcW w:w="328" w:type="pct"/>
          </w:tcPr>
          <w:p w14:paraId="3226BA23" w14:textId="4B1E7275" w:rsidR="00976275" w:rsidRPr="00B44B19" w:rsidRDefault="00976275" w:rsidP="00976275">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422" w:type="pct"/>
          </w:tcPr>
          <w:p w14:paraId="12BF8E3C" w14:textId="6A19CFCA" w:rsidR="00976275" w:rsidRPr="00B44B19" w:rsidRDefault="00976275" w:rsidP="00976275">
            <w:pPr>
              <w:spacing w:after="0" w:line="240" w:lineRule="auto"/>
              <w:jc w:val="both"/>
              <w:rPr>
                <w:rFonts w:cs="Times New Roman"/>
                <w:sz w:val="16"/>
                <w:szCs w:val="16"/>
                <w:lang w:eastAsia="en-GB"/>
              </w:rPr>
            </w:pPr>
            <w:r w:rsidRPr="00B44B19">
              <w:rPr>
                <w:rFonts w:cs="Times New Roman"/>
                <w:sz w:val="16"/>
                <w:szCs w:val="16"/>
                <w:lang w:eastAsia="en-GB"/>
              </w:rPr>
              <w:t>Specialusis</w:t>
            </w:r>
          </w:p>
        </w:tc>
        <w:tc>
          <w:tcPr>
            <w:tcW w:w="1079" w:type="pct"/>
          </w:tcPr>
          <w:p w14:paraId="59C04C24" w14:textId="7B4557B0" w:rsidR="00976275" w:rsidRPr="00B44B19" w:rsidRDefault="00976275" w:rsidP="00976275">
            <w:pPr>
              <w:tabs>
                <w:tab w:val="left" w:pos="7560"/>
              </w:tabs>
              <w:spacing w:after="0" w:line="240" w:lineRule="auto"/>
              <w:rPr>
                <w:rFonts w:cs="Times New Roman"/>
                <w:sz w:val="16"/>
                <w:szCs w:val="16"/>
                <w:lang w:eastAsia="en-GB"/>
              </w:rPr>
            </w:pPr>
            <w:r w:rsidRPr="00B44B19">
              <w:rPr>
                <w:rFonts w:cs="Times New Roman"/>
                <w:sz w:val="16"/>
                <w:szCs w:val="16"/>
                <w:lang w:eastAsia="en-GB"/>
              </w:rPr>
              <w:t xml:space="preserve">Metinis konsoliduotų viešųjų paslaugų vartotojų skaičius </w:t>
            </w:r>
          </w:p>
        </w:tc>
        <w:tc>
          <w:tcPr>
            <w:tcW w:w="421" w:type="pct"/>
          </w:tcPr>
          <w:p w14:paraId="4135F1B2" w14:textId="2E41FCF1" w:rsidR="00976275" w:rsidRPr="00B44B19" w:rsidRDefault="00976275" w:rsidP="00976275">
            <w:pPr>
              <w:spacing w:after="0" w:line="240" w:lineRule="auto"/>
              <w:jc w:val="both"/>
              <w:rPr>
                <w:rFonts w:cs="Times New Roman"/>
                <w:noProof/>
                <w:sz w:val="16"/>
                <w:szCs w:val="16"/>
              </w:rPr>
            </w:pPr>
            <w:r w:rsidRPr="00B44B19">
              <w:rPr>
                <w:rFonts w:cs="Times New Roman"/>
                <w:noProof/>
                <w:sz w:val="16"/>
                <w:szCs w:val="16"/>
              </w:rPr>
              <w:t>Vartotojai per metus</w:t>
            </w:r>
            <w:r w:rsidRPr="00B44B19" w:rsidDel="00342715">
              <w:rPr>
                <w:rFonts w:cs="Times New Roman"/>
                <w:sz w:val="16"/>
                <w:szCs w:val="16"/>
                <w:lang w:eastAsia="en-GB"/>
              </w:rPr>
              <w:t xml:space="preserve"> </w:t>
            </w:r>
          </w:p>
        </w:tc>
        <w:tc>
          <w:tcPr>
            <w:tcW w:w="376" w:type="pct"/>
          </w:tcPr>
          <w:p w14:paraId="4D8613BA" w14:textId="349162B9" w:rsidR="00976275" w:rsidRPr="00B44B19" w:rsidRDefault="00976275" w:rsidP="00976275">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2BAFAD26" w14:textId="48851D63" w:rsidR="00976275" w:rsidRPr="00B44B19" w:rsidRDefault="00976275" w:rsidP="00976275">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0D9257D6" w14:textId="35C53210" w:rsidR="00976275" w:rsidRPr="00B44B19" w:rsidRDefault="00976275" w:rsidP="00976275">
            <w:pPr>
              <w:spacing w:after="0" w:line="240" w:lineRule="auto"/>
              <w:jc w:val="center"/>
              <w:rPr>
                <w:rFonts w:cs="Times New Roman"/>
                <w:sz w:val="16"/>
                <w:szCs w:val="16"/>
              </w:rPr>
            </w:pPr>
            <w:r w:rsidRPr="00B44B19">
              <w:rPr>
                <w:rFonts w:cs="Times New Roman"/>
                <w:sz w:val="16"/>
                <w:szCs w:val="16"/>
              </w:rPr>
              <w:t>1 817 400</w:t>
            </w:r>
          </w:p>
        </w:tc>
        <w:tc>
          <w:tcPr>
            <w:tcW w:w="328" w:type="pct"/>
          </w:tcPr>
          <w:p w14:paraId="424055BA" w14:textId="691E5425" w:rsidR="00976275" w:rsidRPr="00B44B19" w:rsidRDefault="00976275" w:rsidP="00976275">
            <w:pPr>
              <w:spacing w:after="0" w:line="240" w:lineRule="auto"/>
              <w:jc w:val="both"/>
              <w:rPr>
                <w:rFonts w:cs="Times New Roman"/>
                <w:noProof/>
                <w:sz w:val="16"/>
                <w:szCs w:val="16"/>
              </w:rPr>
            </w:pPr>
            <w:r w:rsidRPr="00B44B19">
              <w:rPr>
                <w:rFonts w:cs="Times New Roman"/>
                <w:noProof/>
                <w:sz w:val="16"/>
                <w:szCs w:val="16"/>
              </w:rPr>
              <w:t>Projektų duomenys, LSD, viešųjų institucijų duomenų bazės</w:t>
            </w:r>
          </w:p>
        </w:tc>
        <w:tc>
          <w:tcPr>
            <w:tcW w:w="322" w:type="pct"/>
          </w:tcPr>
          <w:p w14:paraId="3925A81F" w14:textId="77777777" w:rsidR="00976275" w:rsidRPr="00B44B19" w:rsidRDefault="00976275" w:rsidP="00976275">
            <w:pPr>
              <w:spacing w:after="0" w:line="240" w:lineRule="auto"/>
              <w:jc w:val="both"/>
              <w:rPr>
                <w:rFonts w:cs="Times New Roman"/>
                <w:noProof/>
                <w:sz w:val="16"/>
                <w:szCs w:val="16"/>
              </w:rPr>
            </w:pPr>
          </w:p>
        </w:tc>
      </w:tr>
    </w:tbl>
    <w:p w14:paraId="4DB06B6C" w14:textId="77777777" w:rsidR="00AF56B7" w:rsidRPr="00B44B19" w:rsidRDefault="00AF56B7" w:rsidP="009952B9">
      <w:pPr>
        <w:spacing w:after="0" w:line="240" w:lineRule="auto"/>
        <w:jc w:val="both"/>
        <w:rPr>
          <w:rFonts w:cs="Times New Roman"/>
          <w:b/>
          <w:bCs/>
          <w:sz w:val="28"/>
          <w:szCs w:val="28"/>
        </w:rPr>
      </w:pPr>
    </w:p>
    <w:p w14:paraId="0415F976" w14:textId="77777777" w:rsidR="00AF56B7" w:rsidRPr="00B44B19" w:rsidRDefault="00AF56B7" w:rsidP="009952B9">
      <w:pPr>
        <w:spacing w:after="0" w:line="240" w:lineRule="auto"/>
        <w:jc w:val="both"/>
        <w:rPr>
          <w:rFonts w:cs="Times New Roman"/>
          <w:b/>
          <w:bCs/>
          <w:sz w:val="28"/>
          <w:szCs w:val="28"/>
        </w:rPr>
      </w:pPr>
    </w:p>
    <w:p w14:paraId="5A0FD492" w14:textId="77777777" w:rsidR="00AF56B7" w:rsidRPr="00B44B19" w:rsidRDefault="00AF56B7" w:rsidP="009952B9">
      <w:pPr>
        <w:spacing w:after="0" w:line="240" w:lineRule="auto"/>
        <w:jc w:val="both"/>
        <w:rPr>
          <w:rFonts w:cs="Times New Roman"/>
          <w:b/>
          <w:bCs/>
          <w:sz w:val="28"/>
          <w:szCs w:val="28"/>
        </w:rPr>
        <w:sectPr w:rsidR="00AF56B7" w:rsidRPr="00B44B19" w:rsidSect="00931C78">
          <w:pgSz w:w="16838" w:h="11906" w:orient="landscape"/>
          <w:pgMar w:top="1701" w:right="1276" w:bottom="567" w:left="1134" w:header="567" w:footer="567" w:gutter="0"/>
          <w:cols w:space="1296"/>
          <w:docGrid w:linePitch="360"/>
        </w:sectPr>
      </w:pPr>
    </w:p>
    <w:p w14:paraId="2C5AC16D" w14:textId="77777777" w:rsidR="00D8062E" w:rsidRPr="00B44B19" w:rsidRDefault="00D8062E"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ook w:val="04A0" w:firstRow="1" w:lastRow="0" w:firstColumn="1" w:lastColumn="0" w:noHBand="0" w:noVBand="1"/>
      </w:tblPr>
      <w:tblGrid>
        <w:gridCol w:w="1101"/>
        <w:gridCol w:w="850"/>
        <w:gridCol w:w="1559"/>
        <w:gridCol w:w="1276"/>
        <w:gridCol w:w="3544"/>
        <w:gridCol w:w="1559"/>
      </w:tblGrid>
      <w:tr w:rsidR="00D8062E" w:rsidRPr="00B44B19" w14:paraId="1C3998D2" w14:textId="77777777" w:rsidTr="009750A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0BB4B04" w14:textId="77777777" w:rsidR="00D8062E" w:rsidRPr="00B44B19" w:rsidRDefault="00D8062E" w:rsidP="009750A4">
            <w:pPr>
              <w:rPr>
                <w:rFonts w:eastAsia="Times New Roman" w:cs="Times New Roman"/>
                <w:b/>
                <w:iCs/>
                <w:noProof/>
                <w:sz w:val="20"/>
              </w:rPr>
            </w:pPr>
            <w:r w:rsidRPr="00B44B19">
              <w:rPr>
                <w:rFonts w:cs="Times New Roman"/>
                <w:b/>
                <w:noProof/>
                <w:sz w:val="20"/>
              </w:rPr>
              <w:t>4 lentelė. 1 matmuo. Intervencinių priemonių sritis</w:t>
            </w:r>
          </w:p>
        </w:tc>
      </w:tr>
      <w:tr w:rsidR="00D8062E" w:rsidRPr="00B44B19" w14:paraId="705F48C6" w14:textId="77777777" w:rsidTr="00F8763F">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A864E3"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3345F0"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0ECA21"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6D0179"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DE3C3F"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BA2D0E"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Suma (EUR)</w:t>
            </w:r>
          </w:p>
        </w:tc>
      </w:tr>
      <w:tr w:rsidR="0076506D" w:rsidRPr="00B44B19" w14:paraId="151D2C14" w14:textId="77777777" w:rsidTr="00B10447">
        <w:tc>
          <w:tcPr>
            <w:tcW w:w="1101" w:type="dxa"/>
            <w:vMerge w:val="restart"/>
            <w:tcBorders>
              <w:top w:val="single" w:sz="12" w:space="0" w:color="auto"/>
            </w:tcBorders>
          </w:tcPr>
          <w:p w14:paraId="1277DA34" w14:textId="77777777" w:rsidR="0076506D" w:rsidRPr="00B44B19" w:rsidRDefault="0076506D" w:rsidP="00D632AD">
            <w:pPr>
              <w:jc w:val="center"/>
              <w:rPr>
                <w:rFonts w:eastAsia="Times New Roman" w:cs="Times New Roman"/>
                <w:iCs/>
                <w:noProof/>
                <w:sz w:val="20"/>
                <w:szCs w:val="20"/>
              </w:rPr>
            </w:pPr>
            <w:r w:rsidRPr="00B44B19">
              <w:rPr>
                <w:rFonts w:eastAsia="Times New Roman" w:cs="Times New Roman"/>
                <w:iCs/>
                <w:noProof/>
                <w:sz w:val="20"/>
                <w:szCs w:val="20"/>
              </w:rPr>
              <w:t>5</w:t>
            </w:r>
          </w:p>
        </w:tc>
        <w:tc>
          <w:tcPr>
            <w:tcW w:w="850" w:type="dxa"/>
            <w:vMerge w:val="restart"/>
            <w:tcBorders>
              <w:top w:val="single" w:sz="12" w:space="0" w:color="auto"/>
            </w:tcBorders>
          </w:tcPr>
          <w:p w14:paraId="1AFAC38D" w14:textId="77777777" w:rsidR="0076506D" w:rsidRPr="00B44B19" w:rsidRDefault="0076506D" w:rsidP="00D632AD">
            <w:pPr>
              <w:jc w:val="center"/>
              <w:rPr>
                <w:rFonts w:cs="Times New Roman"/>
                <w:noProof/>
                <w:sz w:val="20"/>
                <w:szCs w:val="20"/>
              </w:rPr>
            </w:pPr>
            <w:r w:rsidRPr="00B44B19">
              <w:rPr>
                <w:rFonts w:cs="Times New Roman"/>
                <w:noProof/>
                <w:sz w:val="20"/>
                <w:szCs w:val="20"/>
              </w:rPr>
              <w:t>ERPF</w:t>
            </w:r>
          </w:p>
        </w:tc>
        <w:tc>
          <w:tcPr>
            <w:tcW w:w="1559" w:type="dxa"/>
            <w:tcBorders>
              <w:top w:val="single" w:sz="12" w:space="0" w:color="auto"/>
              <w:bottom w:val="single" w:sz="4" w:space="0" w:color="auto"/>
            </w:tcBorders>
          </w:tcPr>
          <w:p w14:paraId="212CB6B7" w14:textId="77777777" w:rsidR="0076506D" w:rsidRPr="00B44B19" w:rsidRDefault="0076506D" w:rsidP="00DA388C">
            <w:pPr>
              <w:rPr>
                <w:rFonts w:eastAsia="Calibri" w:cs="Times New Roman"/>
                <w:sz w:val="20"/>
                <w:szCs w:val="20"/>
                <w:lang w:eastAsia="lt-LT" w:bidi="lt-LT"/>
              </w:rPr>
            </w:pPr>
            <w:r w:rsidRPr="00B44B19">
              <w:rPr>
                <w:rFonts w:eastAsia="Calibri" w:cs="Times New Roman"/>
                <w:sz w:val="20"/>
                <w:szCs w:val="20"/>
                <w:lang w:eastAsia="lt-LT" w:bidi="lt-LT"/>
              </w:rPr>
              <w:t>Sostinės regionas</w:t>
            </w:r>
          </w:p>
        </w:tc>
        <w:tc>
          <w:tcPr>
            <w:tcW w:w="1276" w:type="dxa"/>
            <w:vMerge w:val="restart"/>
            <w:tcBorders>
              <w:top w:val="single" w:sz="12" w:space="0" w:color="auto"/>
              <w:bottom w:val="single" w:sz="4" w:space="0" w:color="auto"/>
            </w:tcBorders>
          </w:tcPr>
          <w:p w14:paraId="4B6A50B0" w14:textId="77777777" w:rsidR="0076506D" w:rsidRPr="00B44B19" w:rsidRDefault="0076506D" w:rsidP="002B6576">
            <w:pPr>
              <w:jc w:val="center"/>
              <w:rPr>
                <w:rFonts w:eastAsia="Times New Roman" w:cs="Times New Roman"/>
                <w:bCs/>
                <w:iCs/>
                <w:noProof/>
                <w:sz w:val="20"/>
                <w:szCs w:val="20"/>
              </w:rPr>
            </w:pPr>
            <w:r w:rsidRPr="00B44B19">
              <w:rPr>
                <w:rFonts w:eastAsia="Times New Roman" w:cs="Times New Roman"/>
                <w:bCs/>
                <w:iCs/>
                <w:noProof/>
                <w:sz w:val="20"/>
                <w:szCs w:val="20"/>
              </w:rPr>
              <w:t>5.1</w:t>
            </w:r>
          </w:p>
        </w:tc>
        <w:tc>
          <w:tcPr>
            <w:tcW w:w="3544" w:type="dxa"/>
            <w:vMerge w:val="restart"/>
            <w:tcBorders>
              <w:top w:val="single" w:sz="12" w:space="0" w:color="auto"/>
            </w:tcBorders>
          </w:tcPr>
          <w:p w14:paraId="48A65158" w14:textId="77777777" w:rsidR="0076506D" w:rsidRPr="00B44B19" w:rsidRDefault="0076506D" w:rsidP="00163D35">
            <w:pPr>
              <w:rPr>
                <w:rFonts w:eastAsia="Times New Roman" w:cs="Times New Roman"/>
                <w:bCs/>
                <w:iCs/>
                <w:noProof/>
                <w:sz w:val="20"/>
                <w:szCs w:val="20"/>
              </w:rPr>
            </w:pPr>
            <w:r w:rsidRPr="00B44B19">
              <w:rPr>
                <w:rFonts w:eastAsia="Times New Roman" w:cs="Times New Roman"/>
                <w:bCs/>
                <w:iCs/>
                <w:noProof/>
                <w:sz w:val="20"/>
                <w:szCs w:val="20"/>
              </w:rPr>
              <w:t>043 – Naujų efektyviai energiją vartojančių pastatų statyba</w:t>
            </w:r>
          </w:p>
        </w:tc>
        <w:tc>
          <w:tcPr>
            <w:tcW w:w="1559" w:type="dxa"/>
            <w:tcBorders>
              <w:top w:val="single" w:sz="12" w:space="0" w:color="auto"/>
              <w:bottom w:val="single" w:sz="4" w:space="0" w:color="auto"/>
            </w:tcBorders>
          </w:tcPr>
          <w:p w14:paraId="2F8B7BE7" w14:textId="77777777" w:rsidR="0076506D" w:rsidRPr="00B44B19" w:rsidRDefault="0076506D" w:rsidP="007978FF">
            <w:pPr>
              <w:jc w:val="right"/>
              <w:rPr>
                <w:rFonts w:cs="Times New Roman"/>
                <w:sz w:val="20"/>
                <w:szCs w:val="20"/>
              </w:rPr>
            </w:pPr>
            <w:r w:rsidRPr="00B44B19">
              <w:rPr>
                <w:rFonts w:cs="Times New Roman"/>
                <w:sz w:val="20"/>
                <w:szCs w:val="20"/>
              </w:rPr>
              <w:t>2 000 000,00</w:t>
            </w:r>
          </w:p>
        </w:tc>
      </w:tr>
      <w:tr w:rsidR="0076506D" w:rsidRPr="00B44B19" w14:paraId="353002A5" w14:textId="77777777" w:rsidTr="00B10447">
        <w:tc>
          <w:tcPr>
            <w:tcW w:w="1101" w:type="dxa"/>
            <w:vMerge/>
          </w:tcPr>
          <w:p w14:paraId="1B30C8F8" w14:textId="77777777" w:rsidR="0076506D" w:rsidRPr="00B44B19" w:rsidRDefault="0076506D" w:rsidP="00D632AD">
            <w:pPr>
              <w:jc w:val="center"/>
              <w:rPr>
                <w:rFonts w:eastAsia="Times New Roman" w:cs="Times New Roman"/>
                <w:iCs/>
                <w:noProof/>
                <w:sz w:val="20"/>
                <w:szCs w:val="20"/>
              </w:rPr>
            </w:pPr>
          </w:p>
        </w:tc>
        <w:tc>
          <w:tcPr>
            <w:tcW w:w="850" w:type="dxa"/>
            <w:vMerge/>
          </w:tcPr>
          <w:p w14:paraId="399A936F" w14:textId="77777777" w:rsidR="0076506D" w:rsidRPr="00B44B19" w:rsidRDefault="0076506D" w:rsidP="00D632AD">
            <w:pPr>
              <w:jc w:val="center"/>
              <w:rPr>
                <w:rFonts w:cs="Times New Roman"/>
                <w:noProof/>
                <w:sz w:val="20"/>
                <w:szCs w:val="20"/>
              </w:rPr>
            </w:pPr>
          </w:p>
        </w:tc>
        <w:tc>
          <w:tcPr>
            <w:tcW w:w="1559" w:type="dxa"/>
            <w:tcBorders>
              <w:top w:val="single" w:sz="4" w:space="0" w:color="auto"/>
              <w:bottom w:val="single" w:sz="4" w:space="0" w:color="auto"/>
            </w:tcBorders>
          </w:tcPr>
          <w:p w14:paraId="7A16CBC8" w14:textId="77777777" w:rsidR="0076506D" w:rsidRPr="00B44B19" w:rsidRDefault="0076506D" w:rsidP="00DA388C">
            <w:pPr>
              <w:rPr>
                <w:rFonts w:eastAsia="Calibri" w:cs="Times New Roman"/>
                <w:sz w:val="20"/>
                <w:szCs w:val="20"/>
                <w:lang w:eastAsia="lt-LT" w:bidi="lt-LT"/>
              </w:rPr>
            </w:pPr>
            <w:r w:rsidRPr="00B44B19">
              <w:rPr>
                <w:rFonts w:eastAsia="Calibri" w:cs="Times New Roman"/>
                <w:sz w:val="20"/>
                <w:szCs w:val="20"/>
                <w:lang w:eastAsia="lt-LT" w:bidi="lt-LT"/>
              </w:rPr>
              <w:t>VVL regionas</w:t>
            </w:r>
          </w:p>
        </w:tc>
        <w:tc>
          <w:tcPr>
            <w:tcW w:w="1276" w:type="dxa"/>
            <w:vMerge/>
            <w:tcBorders>
              <w:top w:val="single" w:sz="4" w:space="0" w:color="auto"/>
              <w:bottom w:val="single" w:sz="4" w:space="0" w:color="auto"/>
            </w:tcBorders>
          </w:tcPr>
          <w:p w14:paraId="5794BC47" w14:textId="77777777" w:rsidR="0076506D" w:rsidRPr="00B44B19" w:rsidRDefault="0076506D" w:rsidP="002B6576">
            <w:pPr>
              <w:jc w:val="center"/>
              <w:rPr>
                <w:rFonts w:eastAsia="Times New Roman" w:cs="Times New Roman"/>
                <w:bCs/>
                <w:iCs/>
                <w:noProof/>
                <w:sz w:val="20"/>
                <w:szCs w:val="20"/>
              </w:rPr>
            </w:pPr>
          </w:p>
        </w:tc>
        <w:tc>
          <w:tcPr>
            <w:tcW w:w="3544" w:type="dxa"/>
            <w:vMerge/>
            <w:tcBorders>
              <w:bottom w:val="single" w:sz="4" w:space="0" w:color="auto"/>
            </w:tcBorders>
          </w:tcPr>
          <w:p w14:paraId="0007DD1E" w14:textId="77777777" w:rsidR="0076506D" w:rsidRPr="00B44B19" w:rsidRDefault="0076506D" w:rsidP="00163D35">
            <w:pPr>
              <w:rPr>
                <w:rFonts w:eastAsia="Times New Roman" w:cs="Times New Roman"/>
                <w:bCs/>
                <w:iCs/>
                <w:noProof/>
                <w:sz w:val="20"/>
                <w:szCs w:val="20"/>
              </w:rPr>
            </w:pPr>
          </w:p>
        </w:tc>
        <w:tc>
          <w:tcPr>
            <w:tcW w:w="1559" w:type="dxa"/>
            <w:tcBorders>
              <w:top w:val="single" w:sz="4" w:space="0" w:color="auto"/>
              <w:bottom w:val="single" w:sz="4" w:space="0" w:color="auto"/>
            </w:tcBorders>
          </w:tcPr>
          <w:p w14:paraId="48BA7BE6" w14:textId="77777777" w:rsidR="0076506D" w:rsidRPr="00B44B19" w:rsidRDefault="0076506D" w:rsidP="007978FF">
            <w:pPr>
              <w:jc w:val="right"/>
              <w:rPr>
                <w:rFonts w:cs="Times New Roman"/>
                <w:sz w:val="20"/>
                <w:szCs w:val="20"/>
              </w:rPr>
            </w:pPr>
            <w:r w:rsidRPr="00B44B19">
              <w:rPr>
                <w:rFonts w:cs="Times New Roman"/>
                <w:sz w:val="20"/>
                <w:szCs w:val="20"/>
              </w:rPr>
              <w:t>12 000 000,00</w:t>
            </w:r>
          </w:p>
        </w:tc>
      </w:tr>
      <w:tr w:rsidR="0076506D" w:rsidRPr="00B44B19" w14:paraId="33164092" w14:textId="77777777" w:rsidTr="00F8763F">
        <w:tc>
          <w:tcPr>
            <w:tcW w:w="1101" w:type="dxa"/>
            <w:vMerge/>
          </w:tcPr>
          <w:p w14:paraId="0DE23E20" w14:textId="77777777" w:rsidR="0076506D" w:rsidRPr="00B44B19" w:rsidRDefault="0076506D" w:rsidP="00D632AD">
            <w:pPr>
              <w:jc w:val="center"/>
              <w:rPr>
                <w:rFonts w:eastAsia="Times New Roman" w:cs="Times New Roman"/>
                <w:iCs/>
                <w:noProof/>
                <w:sz w:val="20"/>
                <w:szCs w:val="20"/>
              </w:rPr>
            </w:pPr>
          </w:p>
        </w:tc>
        <w:tc>
          <w:tcPr>
            <w:tcW w:w="850" w:type="dxa"/>
            <w:vMerge/>
          </w:tcPr>
          <w:p w14:paraId="3B75FE5C" w14:textId="77777777" w:rsidR="0076506D" w:rsidRPr="00B44B19" w:rsidRDefault="0076506D" w:rsidP="00D632AD">
            <w:pPr>
              <w:jc w:val="center"/>
              <w:rPr>
                <w:rFonts w:cs="Times New Roman"/>
                <w:noProof/>
                <w:sz w:val="20"/>
                <w:szCs w:val="20"/>
              </w:rPr>
            </w:pPr>
          </w:p>
        </w:tc>
        <w:tc>
          <w:tcPr>
            <w:tcW w:w="1559" w:type="dxa"/>
            <w:tcBorders>
              <w:top w:val="single" w:sz="4" w:space="0" w:color="auto"/>
              <w:bottom w:val="single" w:sz="4" w:space="0" w:color="auto"/>
            </w:tcBorders>
          </w:tcPr>
          <w:p w14:paraId="38ABD3C2" w14:textId="77777777" w:rsidR="0076506D" w:rsidRPr="00B44B19" w:rsidRDefault="0076506D" w:rsidP="00DA388C">
            <w:pPr>
              <w:rPr>
                <w:rFonts w:eastAsia="Calibri" w:cs="Times New Roman"/>
                <w:sz w:val="20"/>
                <w:szCs w:val="20"/>
                <w:lang w:eastAsia="lt-LT" w:bidi="lt-LT"/>
              </w:rPr>
            </w:pPr>
            <w:r w:rsidRPr="00B44B19">
              <w:rPr>
                <w:rFonts w:eastAsia="Calibri" w:cs="Times New Roman"/>
                <w:sz w:val="20"/>
                <w:szCs w:val="20"/>
                <w:lang w:eastAsia="lt-LT" w:bidi="lt-LT"/>
              </w:rPr>
              <w:t>Sostinės regionas</w:t>
            </w:r>
          </w:p>
        </w:tc>
        <w:tc>
          <w:tcPr>
            <w:tcW w:w="1276" w:type="dxa"/>
            <w:vMerge/>
            <w:tcBorders>
              <w:top w:val="single" w:sz="4" w:space="0" w:color="auto"/>
            </w:tcBorders>
          </w:tcPr>
          <w:p w14:paraId="32E78621" w14:textId="77777777" w:rsidR="0076506D" w:rsidRPr="00B44B19" w:rsidRDefault="0076506D" w:rsidP="002B6576">
            <w:pPr>
              <w:jc w:val="center"/>
              <w:rPr>
                <w:rFonts w:eastAsia="Times New Roman" w:cs="Times New Roman"/>
                <w:bCs/>
                <w:iCs/>
                <w:noProof/>
                <w:sz w:val="20"/>
                <w:szCs w:val="20"/>
              </w:rPr>
            </w:pPr>
          </w:p>
        </w:tc>
        <w:tc>
          <w:tcPr>
            <w:tcW w:w="3544" w:type="dxa"/>
            <w:vMerge w:val="restart"/>
            <w:tcBorders>
              <w:top w:val="single" w:sz="4" w:space="0" w:color="auto"/>
            </w:tcBorders>
          </w:tcPr>
          <w:p w14:paraId="771172DB" w14:textId="77777777" w:rsidR="0076506D" w:rsidRPr="00B44B19" w:rsidRDefault="0076506D" w:rsidP="00B86786">
            <w:pPr>
              <w:rPr>
                <w:rFonts w:eastAsia="Times New Roman" w:cs="Times New Roman"/>
                <w:bCs/>
                <w:iCs/>
                <w:noProof/>
                <w:sz w:val="20"/>
                <w:szCs w:val="20"/>
              </w:rPr>
            </w:pPr>
            <w:r w:rsidRPr="00B44B19">
              <w:rPr>
                <w:rFonts w:eastAsia="Times New Roman" w:cs="Times New Roman"/>
                <w:bCs/>
                <w:iCs/>
                <w:noProof/>
                <w:sz w:val="20"/>
                <w:szCs w:val="20"/>
              </w:rPr>
              <w:t>044 – Siekiant efektyvaus energijos vartojimo vykdoma viešosios infrastruktūros renovacija arba viešajai infrastruktūrai taikomos EVE priemonės, parodomieji projektai ir pagalbinės priemonės</w:t>
            </w:r>
          </w:p>
        </w:tc>
        <w:tc>
          <w:tcPr>
            <w:tcW w:w="1559" w:type="dxa"/>
            <w:tcBorders>
              <w:top w:val="single" w:sz="4" w:space="0" w:color="auto"/>
              <w:bottom w:val="single" w:sz="4" w:space="0" w:color="auto"/>
            </w:tcBorders>
          </w:tcPr>
          <w:p w14:paraId="737037B6" w14:textId="77777777" w:rsidR="0076506D" w:rsidRPr="00B44B19" w:rsidRDefault="0076506D" w:rsidP="007978FF">
            <w:pPr>
              <w:jc w:val="right"/>
              <w:rPr>
                <w:rFonts w:cs="Times New Roman"/>
                <w:sz w:val="20"/>
                <w:szCs w:val="20"/>
              </w:rPr>
            </w:pPr>
            <w:r w:rsidRPr="00B44B19">
              <w:rPr>
                <w:rFonts w:cs="Times New Roman"/>
                <w:sz w:val="20"/>
                <w:szCs w:val="20"/>
              </w:rPr>
              <w:t>850 000,00</w:t>
            </w:r>
          </w:p>
        </w:tc>
      </w:tr>
      <w:tr w:rsidR="0076506D" w:rsidRPr="00B44B19" w14:paraId="4063D60E" w14:textId="77777777" w:rsidTr="00AF4DED">
        <w:tc>
          <w:tcPr>
            <w:tcW w:w="1101" w:type="dxa"/>
            <w:vMerge/>
          </w:tcPr>
          <w:p w14:paraId="77B7F9D3" w14:textId="77777777" w:rsidR="0076506D" w:rsidRPr="00B44B19" w:rsidRDefault="0076506D" w:rsidP="00D632AD">
            <w:pPr>
              <w:jc w:val="center"/>
              <w:rPr>
                <w:rFonts w:eastAsia="Times New Roman" w:cs="Times New Roman"/>
                <w:iCs/>
                <w:noProof/>
                <w:sz w:val="20"/>
                <w:szCs w:val="20"/>
              </w:rPr>
            </w:pPr>
          </w:p>
        </w:tc>
        <w:tc>
          <w:tcPr>
            <w:tcW w:w="850" w:type="dxa"/>
            <w:vMerge/>
          </w:tcPr>
          <w:p w14:paraId="67F81D38" w14:textId="77777777" w:rsidR="0076506D" w:rsidRPr="00B44B19" w:rsidRDefault="0076506D" w:rsidP="00D632AD">
            <w:pPr>
              <w:jc w:val="center"/>
              <w:rPr>
                <w:rFonts w:cs="Times New Roman"/>
                <w:noProof/>
                <w:sz w:val="20"/>
                <w:szCs w:val="20"/>
              </w:rPr>
            </w:pPr>
          </w:p>
        </w:tc>
        <w:tc>
          <w:tcPr>
            <w:tcW w:w="1559" w:type="dxa"/>
            <w:tcBorders>
              <w:top w:val="single" w:sz="4" w:space="0" w:color="auto"/>
              <w:bottom w:val="single" w:sz="4" w:space="0" w:color="auto"/>
            </w:tcBorders>
          </w:tcPr>
          <w:p w14:paraId="3485DA11" w14:textId="77777777" w:rsidR="0076506D" w:rsidRPr="00B44B19" w:rsidRDefault="0076506D" w:rsidP="00DA388C">
            <w:pPr>
              <w:rPr>
                <w:rFonts w:eastAsia="Calibri" w:cs="Times New Roman"/>
                <w:sz w:val="20"/>
                <w:szCs w:val="20"/>
                <w:lang w:eastAsia="lt-LT" w:bidi="lt-LT"/>
              </w:rPr>
            </w:pPr>
            <w:r w:rsidRPr="00B44B19">
              <w:rPr>
                <w:rFonts w:eastAsia="Calibri" w:cs="Times New Roman"/>
                <w:sz w:val="20"/>
                <w:szCs w:val="20"/>
                <w:lang w:eastAsia="lt-LT" w:bidi="lt-LT"/>
              </w:rPr>
              <w:t>VVL regionas</w:t>
            </w:r>
          </w:p>
        </w:tc>
        <w:tc>
          <w:tcPr>
            <w:tcW w:w="1276" w:type="dxa"/>
            <w:vMerge/>
          </w:tcPr>
          <w:p w14:paraId="0E0B8729" w14:textId="77777777" w:rsidR="0076506D" w:rsidRPr="00B44B19" w:rsidRDefault="0076506D" w:rsidP="002B6576">
            <w:pPr>
              <w:jc w:val="center"/>
              <w:rPr>
                <w:rFonts w:eastAsia="Times New Roman" w:cs="Times New Roman"/>
                <w:bCs/>
                <w:iCs/>
                <w:noProof/>
                <w:sz w:val="20"/>
                <w:szCs w:val="20"/>
              </w:rPr>
            </w:pPr>
          </w:p>
        </w:tc>
        <w:tc>
          <w:tcPr>
            <w:tcW w:w="3544" w:type="dxa"/>
            <w:vMerge/>
          </w:tcPr>
          <w:p w14:paraId="6B4CE039" w14:textId="77777777" w:rsidR="0076506D" w:rsidRPr="00B44B19" w:rsidRDefault="0076506D" w:rsidP="00163D35">
            <w:pPr>
              <w:rPr>
                <w:rFonts w:eastAsia="Times New Roman" w:cs="Times New Roman"/>
                <w:bCs/>
                <w:iCs/>
                <w:noProof/>
                <w:sz w:val="20"/>
                <w:szCs w:val="20"/>
              </w:rPr>
            </w:pPr>
          </w:p>
        </w:tc>
        <w:tc>
          <w:tcPr>
            <w:tcW w:w="1559" w:type="dxa"/>
            <w:tcBorders>
              <w:top w:val="single" w:sz="4" w:space="0" w:color="auto"/>
              <w:bottom w:val="single" w:sz="4" w:space="0" w:color="auto"/>
            </w:tcBorders>
          </w:tcPr>
          <w:p w14:paraId="7F42CA9D" w14:textId="77777777" w:rsidR="0076506D" w:rsidRPr="00B44B19" w:rsidRDefault="0076506D" w:rsidP="007978FF">
            <w:pPr>
              <w:jc w:val="right"/>
              <w:rPr>
                <w:rFonts w:cs="Times New Roman"/>
                <w:sz w:val="20"/>
                <w:szCs w:val="20"/>
              </w:rPr>
            </w:pPr>
            <w:r w:rsidRPr="00B44B19">
              <w:rPr>
                <w:rFonts w:cs="Times New Roman"/>
                <w:sz w:val="20"/>
                <w:szCs w:val="20"/>
              </w:rPr>
              <w:t>4 500 000,00</w:t>
            </w:r>
          </w:p>
        </w:tc>
      </w:tr>
      <w:tr w:rsidR="0076506D" w:rsidRPr="00B44B19" w14:paraId="4603F666" w14:textId="77777777" w:rsidTr="00AF4DED">
        <w:tc>
          <w:tcPr>
            <w:tcW w:w="1101" w:type="dxa"/>
            <w:vMerge/>
          </w:tcPr>
          <w:p w14:paraId="5117BC03" w14:textId="77777777" w:rsidR="0076506D" w:rsidRPr="00B44B19" w:rsidRDefault="0076506D" w:rsidP="00D632AD">
            <w:pPr>
              <w:jc w:val="center"/>
              <w:rPr>
                <w:rFonts w:eastAsia="Times New Roman" w:cs="Times New Roman"/>
                <w:iCs/>
                <w:noProof/>
                <w:sz w:val="20"/>
                <w:szCs w:val="20"/>
              </w:rPr>
            </w:pPr>
          </w:p>
        </w:tc>
        <w:tc>
          <w:tcPr>
            <w:tcW w:w="850" w:type="dxa"/>
            <w:vMerge/>
          </w:tcPr>
          <w:p w14:paraId="1694B2A2" w14:textId="77777777" w:rsidR="0076506D" w:rsidRPr="00B44B19" w:rsidRDefault="0076506D" w:rsidP="00D632AD">
            <w:pPr>
              <w:jc w:val="center"/>
              <w:rPr>
                <w:rFonts w:eastAsia="Times New Roman" w:cs="Times New Roman"/>
                <w:b/>
                <w:iCs/>
                <w:noProof/>
                <w:sz w:val="20"/>
                <w:szCs w:val="20"/>
              </w:rPr>
            </w:pPr>
          </w:p>
        </w:tc>
        <w:tc>
          <w:tcPr>
            <w:tcW w:w="1559" w:type="dxa"/>
            <w:tcBorders>
              <w:top w:val="single" w:sz="4" w:space="0" w:color="auto"/>
              <w:bottom w:val="single" w:sz="4" w:space="0" w:color="auto"/>
            </w:tcBorders>
          </w:tcPr>
          <w:p w14:paraId="6195A7C6" w14:textId="77777777" w:rsidR="0076506D" w:rsidRPr="00B44B19" w:rsidRDefault="0076506D" w:rsidP="00DA388C">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276" w:type="dxa"/>
            <w:vMerge/>
          </w:tcPr>
          <w:p w14:paraId="4552363D" w14:textId="77777777" w:rsidR="0076506D" w:rsidRPr="00B44B19" w:rsidRDefault="0076506D" w:rsidP="002B6576">
            <w:pPr>
              <w:jc w:val="center"/>
              <w:rPr>
                <w:rFonts w:eastAsia="Times New Roman" w:cs="Times New Roman"/>
                <w:bCs/>
                <w:iCs/>
                <w:noProof/>
                <w:sz w:val="20"/>
                <w:szCs w:val="20"/>
              </w:rPr>
            </w:pPr>
          </w:p>
        </w:tc>
        <w:tc>
          <w:tcPr>
            <w:tcW w:w="3544" w:type="dxa"/>
            <w:vMerge w:val="restart"/>
            <w:tcBorders>
              <w:top w:val="single" w:sz="4" w:space="0" w:color="auto"/>
            </w:tcBorders>
          </w:tcPr>
          <w:p w14:paraId="7DF79DCB" w14:textId="77777777" w:rsidR="0076506D" w:rsidRPr="00B44B19" w:rsidRDefault="0076506D" w:rsidP="00163D35">
            <w:pPr>
              <w:rPr>
                <w:rFonts w:eastAsia="Times New Roman" w:cs="Times New Roman"/>
                <w:bCs/>
                <w:iCs/>
                <w:noProof/>
                <w:sz w:val="20"/>
                <w:szCs w:val="20"/>
              </w:rPr>
            </w:pPr>
            <w:r w:rsidRPr="00B44B19">
              <w:rPr>
                <w:rFonts w:eastAsia="Times New Roman" w:cs="Times New Roman"/>
                <w:bCs/>
                <w:iCs/>
                <w:noProof/>
                <w:sz w:val="20"/>
                <w:szCs w:val="20"/>
              </w:rPr>
              <w:t>169 – Teritorinio vystymo iniciatyvos, įskaitant teritorinių strategijų rengimą</w:t>
            </w:r>
          </w:p>
        </w:tc>
        <w:tc>
          <w:tcPr>
            <w:tcW w:w="1559" w:type="dxa"/>
            <w:tcBorders>
              <w:top w:val="single" w:sz="4" w:space="0" w:color="auto"/>
              <w:bottom w:val="single" w:sz="4" w:space="0" w:color="auto"/>
            </w:tcBorders>
          </w:tcPr>
          <w:p w14:paraId="1F6D7A92" w14:textId="77777777" w:rsidR="0076506D" w:rsidRPr="00B44B19" w:rsidRDefault="0076506D" w:rsidP="007978FF">
            <w:pPr>
              <w:jc w:val="right"/>
              <w:rPr>
                <w:rFonts w:cs="Times New Roman"/>
                <w:color w:val="000000"/>
                <w:sz w:val="20"/>
                <w:szCs w:val="20"/>
              </w:rPr>
            </w:pPr>
            <w:r w:rsidRPr="00B44B19">
              <w:rPr>
                <w:rFonts w:cs="Times New Roman"/>
                <w:sz w:val="20"/>
                <w:szCs w:val="20"/>
              </w:rPr>
              <w:t xml:space="preserve">23 510 343,00 </w:t>
            </w:r>
          </w:p>
        </w:tc>
      </w:tr>
      <w:tr w:rsidR="0076506D" w:rsidRPr="00B44B19" w14:paraId="5B6005EE" w14:textId="77777777" w:rsidTr="008024ED">
        <w:tc>
          <w:tcPr>
            <w:tcW w:w="1101" w:type="dxa"/>
            <w:vMerge/>
          </w:tcPr>
          <w:p w14:paraId="21108C36" w14:textId="77777777" w:rsidR="0076506D" w:rsidRPr="00B44B19" w:rsidRDefault="0076506D" w:rsidP="008024ED">
            <w:pPr>
              <w:jc w:val="center"/>
              <w:rPr>
                <w:rFonts w:eastAsia="Times New Roman" w:cs="Times New Roman"/>
                <w:iCs/>
                <w:noProof/>
                <w:sz w:val="20"/>
                <w:szCs w:val="20"/>
              </w:rPr>
            </w:pPr>
          </w:p>
        </w:tc>
        <w:tc>
          <w:tcPr>
            <w:tcW w:w="850" w:type="dxa"/>
            <w:vMerge/>
          </w:tcPr>
          <w:p w14:paraId="12DFAF57" w14:textId="77777777" w:rsidR="0076506D" w:rsidRPr="00B44B19" w:rsidRDefault="0076506D" w:rsidP="008024ED">
            <w:pPr>
              <w:jc w:val="center"/>
              <w:rPr>
                <w:rFonts w:eastAsia="Times New Roman" w:cs="Times New Roman"/>
                <w:b/>
                <w:iCs/>
                <w:noProof/>
                <w:sz w:val="20"/>
                <w:szCs w:val="20"/>
              </w:rPr>
            </w:pPr>
          </w:p>
        </w:tc>
        <w:tc>
          <w:tcPr>
            <w:tcW w:w="1559" w:type="dxa"/>
            <w:tcBorders>
              <w:top w:val="single" w:sz="4" w:space="0" w:color="auto"/>
              <w:bottom w:val="single" w:sz="4" w:space="0" w:color="auto"/>
            </w:tcBorders>
          </w:tcPr>
          <w:p w14:paraId="2A56472B" w14:textId="77777777" w:rsidR="0076506D" w:rsidRPr="00B44B19" w:rsidRDefault="0076506D" w:rsidP="00DA388C">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276" w:type="dxa"/>
            <w:vMerge/>
          </w:tcPr>
          <w:p w14:paraId="4AF4F6B1" w14:textId="77777777" w:rsidR="0076506D" w:rsidRPr="00B44B19" w:rsidRDefault="0076506D" w:rsidP="00DA388C">
            <w:pPr>
              <w:rPr>
                <w:rFonts w:eastAsia="Times New Roman" w:cs="Times New Roman"/>
                <w:bCs/>
                <w:iCs/>
                <w:noProof/>
                <w:sz w:val="20"/>
                <w:szCs w:val="20"/>
              </w:rPr>
            </w:pPr>
          </w:p>
        </w:tc>
        <w:tc>
          <w:tcPr>
            <w:tcW w:w="3544" w:type="dxa"/>
            <w:vMerge/>
          </w:tcPr>
          <w:p w14:paraId="32A8B560" w14:textId="77777777" w:rsidR="0076506D" w:rsidRPr="00B44B19" w:rsidRDefault="0076506D" w:rsidP="00DA388C">
            <w:pPr>
              <w:rPr>
                <w:rFonts w:eastAsia="Times New Roman" w:cs="Times New Roman"/>
                <w:bCs/>
                <w:iCs/>
                <w:noProof/>
                <w:sz w:val="20"/>
                <w:szCs w:val="20"/>
              </w:rPr>
            </w:pPr>
          </w:p>
        </w:tc>
        <w:tc>
          <w:tcPr>
            <w:tcW w:w="1559" w:type="dxa"/>
            <w:tcBorders>
              <w:top w:val="single" w:sz="4" w:space="0" w:color="auto"/>
              <w:bottom w:val="single" w:sz="4" w:space="0" w:color="auto"/>
            </w:tcBorders>
          </w:tcPr>
          <w:p w14:paraId="0D42EBE2" w14:textId="498525BC" w:rsidR="0076506D" w:rsidRPr="00B44B19" w:rsidRDefault="00DD3E90" w:rsidP="007978FF">
            <w:pPr>
              <w:jc w:val="right"/>
              <w:rPr>
                <w:rFonts w:eastAsia="Times New Roman" w:cs="Times New Roman"/>
                <w:iCs/>
                <w:noProof/>
                <w:sz w:val="20"/>
                <w:szCs w:val="20"/>
              </w:rPr>
            </w:pPr>
            <w:r w:rsidRPr="00B44B19">
              <w:rPr>
                <w:rFonts w:cs="Times New Roman"/>
                <w:sz w:val="20"/>
                <w:szCs w:val="20"/>
              </w:rPr>
              <w:t>208 893 363</w:t>
            </w:r>
            <w:r w:rsidR="0076506D" w:rsidRPr="00B44B19">
              <w:rPr>
                <w:rFonts w:cs="Times New Roman"/>
                <w:sz w:val="20"/>
                <w:szCs w:val="20"/>
              </w:rPr>
              <w:t xml:space="preserve">,00 </w:t>
            </w:r>
          </w:p>
        </w:tc>
      </w:tr>
      <w:tr w:rsidR="0076506D" w:rsidRPr="00B44B19" w14:paraId="0282F881" w14:textId="77777777" w:rsidTr="00297D68">
        <w:tc>
          <w:tcPr>
            <w:tcW w:w="1101" w:type="dxa"/>
            <w:vMerge/>
          </w:tcPr>
          <w:p w14:paraId="0DD06A95" w14:textId="77777777" w:rsidR="0076506D" w:rsidRPr="00B44B19" w:rsidRDefault="0076506D" w:rsidP="008024ED">
            <w:pPr>
              <w:jc w:val="center"/>
              <w:rPr>
                <w:rFonts w:eastAsia="Times New Roman" w:cs="Times New Roman"/>
                <w:iCs/>
                <w:noProof/>
                <w:sz w:val="20"/>
                <w:szCs w:val="20"/>
              </w:rPr>
            </w:pPr>
          </w:p>
        </w:tc>
        <w:tc>
          <w:tcPr>
            <w:tcW w:w="850" w:type="dxa"/>
            <w:vMerge/>
          </w:tcPr>
          <w:p w14:paraId="0F9597EB" w14:textId="77777777" w:rsidR="0076506D" w:rsidRPr="00B44B19" w:rsidRDefault="0076506D" w:rsidP="008024ED">
            <w:pPr>
              <w:jc w:val="center"/>
              <w:rPr>
                <w:rFonts w:eastAsia="Times New Roman" w:cs="Times New Roman"/>
                <w:b/>
                <w:iCs/>
                <w:noProof/>
                <w:sz w:val="20"/>
                <w:szCs w:val="20"/>
              </w:rPr>
            </w:pPr>
          </w:p>
        </w:tc>
        <w:tc>
          <w:tcPr>
            <w:tcW w:w="1559" w:type="dxa"/>
          </w:tcPr>
          <w:p w14:paraId="78F1D847" w14:textId="77777777" w:rsidR="0076506D" w:rsidRPr="00B44B19" w:rsidRDefault="0076506D" w:rsidP="008024ED">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276" w:type="dxa"/>
            <w:vMerge/>
          </w:tcPr>
          <w:p w14:paraId="710307B0" w14:textId="77777777" w:rsidR="0076506D" w:rsidRPr="00B44B19" w:rsidRDefault="0076506D" w:rsidP="008024ED">
            <w:pPr>
              <w:jc w:val="center"/>
              <w:rPr>
                <w:rFonts w:eastAsia="Times New Roman" w:cs="Times New Roman"/>
                <w:bCs/>
                <w:iCs/>
                <w:noProof/>
                <w:sz w:val="20"/>
                <w:szCs w:val="20"/>
              </w:rPr>
            </w:pPr>
          </w:p>
        </w:tc>
        <w:tc>
          <w:tcPr>
            <w:tcW w:w="3544" w:type="dxa"/>
            <w:vMerge w:val="restart"/>
          </w:tcPr>
          <w:p w14:paraId="1C4ADA5C" w14:textId="77777777" w:rsidR="0076506D" w:rsidRPr="00B44B19" w:rsidRDefault="0076506D" w:rsidP="00D632AD">
            <w:pPr>
              <w:rPr>
                <w:rFonts w:eastAsia="Times New Roman" w:cs="Times New Roman"/>
                <w:bCs/>
                <w:iCs/>
                <w:noProof/>
                <w:sz w:val="20"/>
                <w:szCs w:val="20"/>
              </w:rPr>
            </w:pPr>
            <w:r w:rsidRPr="00B44B19">
              <w:rPr>
                <w:rFonts w:eastAsia="Times New Roman" w:cs="Times New Roman"/>
                <w:bCs/>
                <w:iCs/>
                <w:noProof/>
                <w:sz w:val="20"/>
                <w:szCs w:val="20"/>
              </w:rPr>
              <w:t>079 – Gamtos ir biologinės įvairovės apsauga, gamtos paveldas ir ištekliai, žalioji ir mėlynoji infrastruktūros</w:t>
            </w:r>
          </w:p>
        </w:tc>
        <w:tc>
          <w:tcPr>
            <w:tcW w:w="1559" w:type="dxa"/>
          </w:tcPr>
          <w:p w14:paraId="7EA7B2CA" w14:textId="77777777" w:rsidR="0076506D" w:rsidRPr="00B44B19" w:rsidRDefault="0076506D" w:rsidP="008024ED">
            <w:pPr>
              <w:jc w:val="right"/>
              <w:rPr>
                <w:rFonts w:cs="Times New Roman"/>
                <w:color w:val="000000"/>
                <w:sz w:val="20"/>
                <w:szCs w:val="20"/>
              </w:rPr>
            </w:pPr>
            <w:r w:rsidRPr="00B44B19">
              <w:rPr>
                <w:rFonts w:cs="Times New Roman"/>
                <w:sz w:val="20"/>
                <w:szCs w:val="20"/>
              </w:rPr>
              <w:t>3 723 132,00</w:t>
            </w:r>
          </w:p>
        </w:tc>
      </w:tr>
      <w:tr w:rsidR="0076506D" w:rsidRPr="00B44B19" w14:paraId="1EDF6EB9" w14:textId="77777777" w:rsidTr="00297D68">
        <w:tc>
          <w:tcPr>
            <w:tcW w:w="1101" w:type="dxa"/>
            <w:vMerge/>
          </w:tcPr>
          <w:p w14:paraId="75842FEC" w14:textId="77777777" w:rsidR="0076506D" w:rsidRPr="00B44B19" w:rsidRDefault="0076506D" w:rsidP="008024ED">
            <w:pPr>
              <w:rPr>
                <w:rFonts w:eastAsia="Times New Roman" w:cs="Times New Roman"/>
                <w:iCs/>
                <w:noProof/>
                <w:sz w:val="20"/>
                <w:szCs w:val="20"/>
              </w:rPr>
            </w:pPr>
          </w:p>
        </w:tc>
        <w:tc>
          <w:tcPr>
            <w:tcW w:w="850" w:type="dxa"/>
            <w:vMerge/>
          </w:tcPr>
          <w:p w14:paraId="6B2F6061" w14:textId="77777777" w:rsidR="0076506D" w:rsidRPr="00B44B19" w:rsidRDefault="0076506D" w:rsidP="008024ED">
            <w:pPr>
              <w:rPr>
                <w:rFonts w:eastAsia="Times New Roman" w:cs="Times New Roman"/>
                <w:b/>
                <w:iCs/>
                <w:noProof/>
                <w:sz w:val="20"/>
                <w:szCs w:val="20"/>
              </w:rPr>
            </w:pPr>
          </w:p>
        </w:tc>
        <w:tc>
          <w:tcPr>
            <w:tcW w:w="1559" w:type="dxa"/>
          </w:tcPr>
          <w:p w14:paraId="13914C85" w14:textId="77777777" w:rsidR="0076506D" w:rsidRPr="00B44B19" w:rsidRDefault="0076506D" w:rsidP="008024ED">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276" w:type="dxa"/>
            <w:vMerge/>
          </w:tcPr>
          <w:p w14:paraId="483157B8" w14:textId="77777777" w:rsidR="0076506D" w:rsidRPr="00B44B19" w:rsidRDefault="0076506D" w:rsidP="008024ED">
            <w:pPr>
              <w:rPr>
                <w:rFonts w:eastAsia="Times New Roman" w:cs="Times New Roman"/>
                <w:bCs/>
                <w:iCs/>
                <w:noProof/>
                <w:sz w:val="20"/>
                <w:szCs w:val="20"/>
              </w:rPr>
            </w:pPr>
          </w:p>
        </w:tc>
        <w:tc>
          <w:tcPr>
            <w:tcW w:w="3544" w:type="dxa"/>
            <w:vMerge/>
          </w:tcPr>
          <w:p w14:paraId="27FEF9AC" w14:textId="77777777" w:rsidR="0076506D" w:rsidRPr="00B44B19" w:rsidRDefault="0076506D" w:rsidP="008024ED">
            <w:pPr>
              <w:rPr>
                <w:rFonts w:eastAsia="Times New Roman" w:cs="Times New Roman"/>
                <w:bCs/>
                <w:iCs/>
                <w:noProof/>
                <w:sz w:val="20"/>
                <w:szCs w:val="20"/>
              </w:rPr>
            </w:pPr>
          </w:p>
        </w:tc>
        <w:tc>
          <w:tcPr>
            <w:tcW w:w="1559" w:type="dxa"/>
          </w:tcPr>
          <w:p w14:paraId="7BBD0E6D" w14:textId="77777777" w:rsidR="0076506D" w:rsidRPr="00B44B19" w:rsidRDefault="0076506D" w:rsidP="0076506D">
            <w:pPr>
              <w:jc w:val="right"/>
              <w:rPr>
                <w:rFonts w:eastAsia="Times New Roman" w:cs="Times New Roman"/>
                <w:iCs/>
                <w:noProof/>
                <w:sz w:val="20"/>
                <w:szCs w:val="20"/>
              </w:rPr>
            </w:pPr>
            <w:r w:rsidRPr="00B44B19">
              <w:rPr>
                <w:rFonts w:cs="Times New Roman"/>
                <w:sz w:val="20"/>
                <w:szCs w:val="20"/>
              </w:rPr>
              <w:t xml:space="preserve">16 276 868,00 </w:t>
            </w:r>
          </w:p>
        </w:tc>
      </w:tr>
    </w:tbl>
    <w:p w14:paraId="7CA7843F" w14:textId="77777777" w:rsidR="00D8062E" w:rsidRPr="00B44B19" w:rsidRDefault="00D8062E" w:rsidP="004572AB">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544"/>
        <w:gridCol w:w="1559"/>
      </w:tblGrid>
      <w:tr w:rsidR="00D8062E" w:rsidRPr="00B44B19" w14:paraId="4FE68A71" w14:textId="77777777" w:rsidTr="009750A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1896B4F" w14:textId="77777777" w:rsidR="00D8062E" w:rsidRPr="00B44B19" w:rsidRDefault="00D8062E" w:rsidP="00F826AD">
            <w:pPr>
              <w:rPr>
                <w:rFonts w:eastAsia="Times New Roman" w:cs="Times New Roman"/>
                <w:b/>
                <w:iCs/>
                <w:noProof/>
                <w:sz w:val="20"/>
              </w:rPr>
            </w:pPr>
            <w:r w:rsidRPr="00B44B19">
              <w:rPr>
                <w:rFonts w:cs="Times New Roman"/>
                <w:b/>
                <w:noProof/>
                <w:sz w:val="20"/>
              </w:rPr>
              <w:t xml:space="preserve">5 lentelė. 2 matmuo. </w:t>
            </w:r>
            <w:r w:rsidR="00F826AD" w:rsidRPr="00B44B19">
              <w:rPr>
                <w:rFonts w:cs="Times New Roman"/>
                <w:b/>
                <w:noProof/>
                <w:sz w:val="20"/>
              </w:rPr>
              <w:t>Finansavimo</w:t>
            </w:r>
            <w:r w:rsidR="00D12FC3" w:rsidRPr="00B44B19">
              <w:rPr>
                <w:rFonts w:cs="Times New Roman"/>
                <w:b/>
                <w:noProof/>
                <w:sz w:val="20"/>
              </w:rPr>
              <w:t xml:space="preserve"> </w:t>
            </w:r>
            <w:r w:rsidRPr="00B44B19">
              <w:rPr>
                <w:rFonts w:cs="Times New Roman"/>
                <w:b/>
                <w:noProof/>
                <w:sz w:val="20"/>
              </w:rPr>
              <w:t>forma</w:t>
            </w:r>
          </w:p>
        </w:tc>
      </w:tr>
      <w:tr w:rsidR="00D8062E" w:rsidRPr="00B44B19" w14:paraId="6B421BD6"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59FB99"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1601A9"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4A8B81"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D6CF46"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DA6A34"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290218" w14:textId="77777777" w:rsidR="00D8062E" w:rsidRPr="00B44B19" w:rsidRDefault="00D8062E" w:rsidP="009750A4">
            <w:pPr>
              <w:jc w:val="center"/>
              <w:rPr>
                <w:rFonts w:eastAsia="Times New Roman" w:cs="Times New Roman"/>
                <w:b/>
                <w:iCs/>
                <w:noProof/>
                <w:sz w:val="20"/>
              </w:rPr>
            </w:pPr>
            <w:r w:rsidRPr="00B44B19">
              <w:rPr>
                <w:rFonts w:cs="Times New Roman"/>
                <w:b/>
                <w:noProof/>
                <w:sz w:val="20"/>
              </w:rPr>
              <w:t>Suma (EUR)</w:t>
            </w:r>
          </w:p>
        </w:tc>
      </w:tr>
      <w:tr w:rsidR="007978FF" w:rsidRPr="00B44B19" w14:paraId="467361E7" w14:textId="77777777" w:rsidTr="00163D35">
        <w:tc>
          <w:tcPr>
            <w:tcW w:w="1101" w:type="dxa"/>
            <w:vMerge w:val="restart"/>
            <w:tcBorders>
              <w:top w:val="single" w:sz="12" w:space="0" w:color="auto"/>
            </w:tcBorders>
          </w:tcPr>
          <w:p w14:paraId="6232DC7C" w14:textId="77777777" w:rsidR="007978FF" w:rsidRPr="00B44B19" w:rsidRDefault="007978FF" w:rsidP="00DA388C">
            <w:pPr>
              <w:jc w:val="center"/>
              <w:rPr>
                <w:rFonts w:eastAsia="Times New Roman" w:cs="Times New Roman"/>
                <w:iCs/>
                <w:noProof/>
                <w:sz w:val="20"/>
                <w:szCs w:val="20"/>
              </w:rPr>
            </w:pPr>
            <w:r w:rsidRPr="00B44B19">
              <w:rPr>
                <w:rFonts w:eastAsia="Times New Roman" w:cs="Times New Roman"/>
                <w:iCs/>
                <w:noProof/>
                <w:sz w:val="20"/>
                <w:szCs w:val="20"/>
              </w:rPr>
              <w:t>5</w:t>
            </w:r>
          </w:p>
        </w:tc>
        <w:tc>
          <w:tcPr>
            <w:tcW w:w="850" w:type="dxa"/>
            <w:vMerge w:val="restart"/>
            <w:tcBorders>
              <w:top w:val="single" w:sz="12" w:space="0" w:color="auto"/>
            </w:tcBorders>
          </w:tcPr>
          <w:p w14:paraId="54416D51" w14:textId="77777777" w:rsidR="007978FF" w:rsidRPr="00B44B19" w:rsidRDefault="007978FF" w:rsidP="00DA388C">
            <w:pPr>
              <w:jc w:val="center"/>
              <w:rPr>
                <w:rFonts w:eastAsia="Times New Roman" w:cs="Times New Roman"/>
                <w:b/>
                <w:iCs/>
                <w:noProof/>
                <w:sz w:val="20"/>
                <w:szCs w:val="20"/>
              </w:rPr>
            </w:pPr>
            <w:r w:rsidRPr="00B44B19">
              <w:rPr>
                <w:rFonts w:cs="Times New Roman"/>
                <w:noProof/>
                <w:sz w:val="20"/>
                <w:szCs w:val="20"/>
              </w:rPr>
              <w:t>ERPF</w:t>
            </w:r>
          </w:p>
        </w:tc>
        <w:tc>
          <w:tcPr>
            <w:tcW w:w="1559" w:type="dxa"/>
            <w:tcBorders>
              <w:top w:val="single" w:sz="12" w:space="0" w:color="auto"/>
              <w:bottom w:val="single" w:sz="4" w:space="0" w:color="auto"/>
            </w:tcBorders>
          </w:tcPr>
          <w:p w14:paraId="6D0BA852" w14:textId="77777777" w:rsidR="007978FF" w:rsidRPr="00B44B19" w:rsidRDefault="007978FF" w:rsidP="00DA388C">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276" w:type="dxa"/>
            <w:vMerge w:val="restart"/>
            <w:tcBorders>
              <w:top w:val="single" w:sz="12" w:space="0" w:color="auto"/>
            </w:tcBorders>
          </w:tcPr>
          <w:p w14:paraId="73454134" w14:textId="77777777" w:rsidR="007978FF" w:rsidRPr="00B44B19" w:rsidRDefault="007978FF" w:rsidP="002B6576">
            <w:pPr>
              <w:jc w:val="center"/>
              <w:rPr>
                <w:rFonts w:eastAsia="Times New Roman" w:cs="Times New Roman"/>
                <w:b/>
                <w:iCs/>
                <w:noProof/>
                <w:sz w:val="20"/>
                <w:szCs w:val="20"/>
              </w:rPr>
            </w:pPr>
            <w:r w:rsidRPr="00B44B19">
              <w:rPr>
                <w:rFonts w:eastAsia="Times New Roman" w:cs="Times New Roman"/>
                <w:bCs/>
                <w:iCs/>
                <w:noProof/>
                <w:sz w:val="20"/>
                <w:szCs w:val="20"/>
              </w:rPr>
              <w:t>5.1</w:t>
            </w:r>
          </w:p>
        </w:tc>
        <w:tc>
          <w:tcPr>
            <w:tcW w:w="3544" w:type="dxa"/>
            <w:vMerge w:val="restart"/>
            <w:tcBorders>
              <w:top w:val="single" w:sz="12" w:space="0" w:color="auto"/>
            </w:tcBorders>
          </w:tcPr>
          <w:p w14:paraId="42E36BFD" w14:textId="77777777" w:rsidR="007978FF" w:rsidRPr="00B44B19" w:rsidRDefault="007978FF" w:rsidP="00163D35">
            <w:pPr>
              <w:rPr>
                <w:rFonts w:eastAsia="Times New Roman" w:cs="Times New Roman"/>
                <w:b/>
                <w:iCs/>
                <w:noProof/>
                <w:sz w:val="20"/>
                <w:szCs w:val="20"/>
              </w:rPr>
            </w:pPr>
            <w:r w:rsidRPr="00B44B19">
              <w:rPr>
                <w:rFonts w:cs="Times New Roman"/>
                <w:noProof/>
                <w:sz w:val="20"/>
                <w:szCs w:val="20"/>
              </w:rPr>
              <w:t>01</w:t>
            </w:r>
            <w:r w:rsidR="00163D35" w:rsidRPr="00B44B19">
              <w:rPr>
                <w:rFonts w:cs="Times New Roman"/>
                <w:noProof/>
                <w:sz w:val="20"/>
                <w:szCs w:val="20"/>
              </w:rPr>
              <w:t xml:space="preserve"> </w:t>
            </w:r>
            <w:r w:rsidR="00D43A78" w:rsidRPr="00B44B19">
              <w:rPr>
                <w:rFonts w:cs="Times New Roman"/>
                <w:noProof/>
                <w:sz w:val="20"/>
                <w:szCs w:val="20"/>
              </w:rPr>
              <w:t>–</w:t>
            </w:r>
            <w:r w:rsidR="00163D35" w:rsidRPr="00B44B19">
              <w:rPr>
                <w:rFonts w:cs="Times New Roman"/>
                <w:noProof/>
                <w:sz w:val="20"/>
                <w:szCs w:val="20"/>
              </w:rPr>
              <w:t xml:space="preserve"> Dotacija</w:t>
            </w:r>
          </w:p>
        </w:tc>
        <w:tc>
          <w:tcPr>
            <w:tcW w:w="1559" w:type="dxa"/>
            <w:tcBorders>
              <w:top w:val="single" w:sz="12" w:space="0" w:color="auto"/>
              <w:bottom w:val="single" w:sz="4" w:space="0" w:color="auto"/>
            </w:tcBorders>
          </w:tcPr>
          <w:p w14:paraId="29B2ABBE" w14:textId="77777777" w:rsidR="007978FF" w:rsidRPr="00B44B19" w:rsidRDefault="005B4A31" w:rsidP="007978FF">
            <w:pPr>
              <w:jc w:val="right"/>
              <w:rPr>
                <w:rFonts w:eastAsia="Times New Roman" w:cs="Times New Roman"/>
                <w:b/>
                <w:iCs/>
                <w:noProof/>
                <w:sz w:val="20"/>
                <w:szCs w:val="20"/>
              </w:rPr>
            </w:pPr>
            <w:r w:rsidRPr="00B44B19">
              <w:rPr>
                <w:rFonts w:cs="Times New Roman"/>
                <w:sz w:val="20"/>
                <w:szCs w:val="20"/>
              </w:rPr>
              <w:t>30 083 475,00</w:t>
            </w:r>
          </w:p>
        </w:tc>
      </w:tr>
      <w:tr w:rsidR="007978FF" w:rsidRPr="00B44B19" w14:paraId="2103B6C9" w14:textId="77777777" w:rsidTr="00163D35">
        <w:tc>
          <w:tcPr>
            <w:tcW w:w="1101" w:type="dxa"/>
            <w:vMerge/>
          </w:tcPr>
          <w:p w14:paraId="537FB881" w14:textId="77777777" w:rsidR="007978FF" w:rsidRPr="00B44B19" w:rsidRDefault="007978FF" w:rsidP="009750A4">
            <w:pPr>
              <w:rPr>
                <w:rFonts w:eastAsia="Times New Roman" w:cs="Times New Roman"/>
                <w:b/>
                <w:iCs/>
                <w:noProof/>
                <w:sz w:val="20"/>
                <w:szCs w:val="20"/>
              </w:rPr>
            </w:pPr>
          </w:p>
        </w:tc>
        <w:tc>
          <w:tcPr>
            <w:tcW w:w="850" w:type="dxa"/>
            <w:vMerge/>
          </w:tcPr>
          <w:p w14:paraId="65D601AE" w14:textId="77777777" w:rsidR="007978FF" w:rsidRPr="00B44B19" w:rsidRDefault="007978FF" w:rsidP="009750A4">
            <w:pPr>
              <w:rPr>
                <w:rFonts w:eastAsia="Times New Roman" w:cs="Times New Roman"/>
                <w:b/>
                <w:iCs/>
                <w:noProof/>
                <w:sz w:val="20"/>
                <w:szCs w:val="20"/>
              </w:rPr>
            </w:pPr>
          </w:p>
        </w:tc>
        <w:tc>
          <w:tcPr>
            <w:tcW w:w="1559" w:type="dxa"/>
            <w:tcBorders>
              <w:top w:val="single" w:sz="4" w:space="0" w:color="auto"/>
            </w:tcBorders>
          </w:tcPr>
          <w:p w14:paraId="5E0B61BA" w14:textId="77777777" w:rsidR="007978FF" w:rsidRPr="00B44B19" w:rsidRDefault="007978FF" w:rsidP="00DA388C">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276" w:type="dxa"/>
            <w:vMerge/>
          </w:tcPr>
          <w:p w14:paraId="75B0FD86" w14:textId="77777777" w:rsidR="007978FF" w:rsidRPr="00B44B19" w:rsidRDefault="007978FF" w:rsidP="009750A4">
            <w:pPr>
              <w:rPr>
                <w:rFonts w:eastAsia="Times New Roman" w:cs="Times New Roman"/>
                <w:b/>
                <w:iCs/>
                <w:noProof/>
                <w:sz w:val="20"/>
                <w:szCs w:val="20"/>
              </w:rPr>
            </w:pPr>
          </w:p>
        </w:tc>
        <w:tc>
          <w:tcPr>
            <w:tcW w:w="3544" w:type="dxa"/>
            <w:vMerge/>
          </w:tcPr>
          <w:p w14:paraId="21FAFF88" w14:textId="77777777" w:rsidR="007978FF" w:rsidRPr="00B44B19" w:rsidRDefault="007978FF" w:rsidP="009750A4">
            <w:pPr>
              <w:rPr>
                <w:rFonts w:eastAsia="Times New Roman" w:cs="Times New Roman"/>
                <w:b/>
                <w:iCs/>
                <w:noProof/>
                <w:sz w:val="20"/>
                <w:szCs w:val="20"/>
              </w:rPr>
            </w:pPr>
          </w:p>
        </w:tc>
        <w:tc>
          <w:tcPr>
            <w:tcW w:w="1559" w:type="dxa"/>
            <w:tcBorders>
              <w:top w:val="single" w:sz="4" w:space="0" w:color="auto"/>
            </w:tcBorders>
          </w:tcPr>
          <w:p w14:paraId="3529D601" w14:textId="77777777" w:rsidR="007978FF" w:rsidRPr="00B44B19" w:rsidRDefault="005B4A31" w:rsidP="001A07D4">
            <w:pPr>
              <w:jc w:val="right"/>
              <w:rPr>
                <w:rFonts w:eastAsia="Times New Roman" w:cs="Times New Roman"/>
                <w:b/>
                <w:iCs/>
                <w:noProof/>
                <w:sz w:val="20"/>
                <w:szCs w:val="20"/>
              </w:rPr>
            </w:pPr>
            <w:r w:rsidRPr="00B44B19">
              <w:rPr>
                <w:rFonts w:cs="Times New Roman"/>
                <w:sz w:val="20"/>
                <w:szCs w:val="20"/>
              </w:rPr>
              <w:t>241 670 23</w:t>
            </w:r>
            <w:r w:rsidR="00C60A41" w:rsidRPr="00B44B19">
              <w:rPr>
                <w:rFonts w:cs="Times New Roman"/>
                <w:sz w:val="20"/>
                <w:szCs w:val="20"/>
              </w:rPr>
              <w:t>1</w:t>
            </w:r>
            <w:r w:rsidRPr="00B44B19">
              <w:rPr>
                <w:rFonts w:cs="Times New Roman"/>
                <w:sz w:val="20"/>
                <w:szCs w:val="20"/>
              </w:rPr>
              <w:t>,</w:t>
            </w:r>
            <w:r w:rsidR="00E97F22" w:rsidRPr="00B44B19">
              <w:rPr>
                <w:rFonts w:cs="Times New Roman"/>
                <w:sz w:val="20"/>
                <w:szCs w:val="20"/>
              </w:rPr>
              <w:t>00</w:t>
            </w:r>
          </w:p>
        </w:tc>
      </w:tr>
    </w:tbl>
    <w:p w14:paraId="26880F5E" w14:textId="77777777" w:rsidR="00D8062E" w:rsidRPr="00B44B19" w:rsidRDefault="00D8062E" w:rsidP="004572AB">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454"/>
        <w:gridCol w:w="1649"/>
      </w:tblGrid>
      <w:tr w:rsidR="007978FF" w:rsidRPr="00B44B19" w14:paraId="56318E8A" w14:textId="77777777" w:rsidTr="0005072D">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CC25487" w14:textId="77777777" w:rsidR="007978FF" w:rsidRPr="00B44B19" w:rsidRDefault="007978FF" w:rsidP="0005072D">
            <w:pPr>
              <w:rPr>
                <w:rFonts w:eastAsia="Times New Roman" w:cs="Times New Roman"/>
                <w:b/>
                <w:iCs/>
                <w:noProof/>
                <w:sz w:val="20"/>
              </w:rPr>
            </w:pPr>
            <w:r w:rsidRPr="00B44B19">
              <w:rPr>
                <w:rFonts w:cs="Times New Roman"/>
                <w:b/>
                <w:noProof/>
                <w:sz w:val="20"/>
              </w:rPr>
              <w:t xml:space="preserve">6 lentelė. 3 matmuo. </w:t>
            </w:r>
            <w:r w:rsidR="00D12FC3" w:rsidRPr="00B44B19">
              <w:rPr>
                <w:rFonts w:cs="Times New Roman"/>
                <w:b/>
                <w:noProof/>
                <w:sz w:val="20"/>
              </w:rPr>
              <w:t>Teritorinis įgyvendinimo mechanizmas ir pagrindinė teritorinė sritis</w:t>
            </w:r>
          </w:p>
        </w:tc>
      </w:tr>
      <w:tr w:rsidR="007978FF" w:rsidRPr="00B44B19" w14:paraId="66BC3E8E" w14:textId="77777777" w:rsidTr="005B4A3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36399F" w14:textId="77777777" w:rsidR="007978FF" w:rsidRPr="00B44B19" w:rsidRDefault="007978FF" w:rsidP="0005072D">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4D5B69" w14:textId="77777777" w:rsidR="007978FF" w:rsidRPr="00B44B19" w:rsidRDefault="007978FF" w:rsidP="0005072D">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B88C09" w14:textId="77777777" w:rsidR="007978FF" w:rsidRPr="00B44B19" w:rsidRDefault="007978FF" w:rsidP="0005072D">
            <w:pPr>
              <w:jc w:val="center"/>
              <w:rPr>
                <w:rFonts w:eastAsia="Times New Roman" w:cs="Times New Roman"/>
                <w:b/>
                <w:iCs/>
                <w:noProof/>
                <w:sz w:val="20"/>
              </w:rPr>
            </w:pPr>
            <w:r w:rsidRPr="00B44B19">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E0F449" w14:textId="77777777" w:rsidR="007978FF" w:rsidRPr="00B44B19" w:rsidRDefault="007978FF" w:rsidP="0005072D">
            <w:pPr>
              <w:jc w:val="center"/>
              <w:rPr>
                <w:rFonts w:eastAsia="Times New Roman" w:cs="Times New Roman"/>
                <w:b/>
                <w:iCs/>
                <w:noProof/>
                <w:sz w:val="20"/>
              </w:rPr>
            </w:pPr>
            <w:r w:rsidRPr="00B44B19">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086524" w14:textId="77777777" w:rsidR="007978FF" w:rsidRPr="00B44B19" w:rsidRDefault="007978FF" w:rsidP="0005072D">
            <w:pPr>
              <w:jc w:val="center"/>
              <w:rPr>
                <w:rFonts w:eastAsia="Times New Roman" w:cs="Times New Roman"/>
                <w:b/>
                <w:iCs/>
                <w:noProof/>
                <w:sz w:val="20"/>
              </w:rPr>
            </w:pPr>
            <w:r w:rsidRPr="00B44B19">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1D0101" w14:textId="77777777" w:rsidR="007978FF" w:rsidRPr="00B44B19" w:rsidRDefault="007978FF" w:rsidP="0005072D">
            <w:pPr>
              <w:jc w:val="center"/>
              <w:rPr>
                <w:rFonts w:eastAsia="Times New Roman" w:cs="Times New Roman"/>
                <w:b/>
                <w:iCs/>
                <w:noProof/>
                <w:sz w:val="20"/>
              </w:rPr>
            </w:pPr>
            <w:r w:rsidRPr="00B44B19">
              <w:rPr>
                <w:rFonts w:cs="Times New Roman"/>
                <w:b/>
                <w:noProof/>
                <w:sz w:val="20"/>
              </w:rPr>
              <w:t>Suma (EUR)</w:t>
            </w:r>
          </w:p>
        </w:tc>
      </w:tr>
      <w:tr w:rsidR="007978FF" w:rsidRPr="00B44B19" w14:paraId="5BAE5337" w14:textId="77777777" w:rsidTr="005B4A31">
        <w:tc>
          <w:tcPr>
            <w:tcW w:w="1101" w:type="dxa"/>
            <w:vMerge w:val="restart"/>
            <w:tcBorders>
              <w:top w:val="single" w:sz="12" w:space="0" w:color="auto"/>
            </w:tcBorders>
          </w:tcPr>
          <w:p w14:paraId="5EB8BA75" w14:textId="77777777" w:rsidR="007978FF" w:rsidRPr="00B44B19" w:rsidRDefault="007978FF" w:rsidP="0005072D">
            <w:pPr>
              <w:jc w:val="center"/>
              <w:rPr>
                <w:rFonts w:eastAsia="Times New Roman" w:cs="Times New Roman"/>
                <w:bCs/>
                <w:iCs/>
                <w:noProof/>
                <w:sz w:val="20"/>
                <w:szCs w:val="20"/>
              </w:rPr>
            </w:pPr>
            <w:r w:rsidRPr="00B44B19">
              <w:rPr>
                <w:rFonts w:eastAsia="Times New Roman" w:cs="Times New Roman"/>
                <w:bCs/>
                <w:iCs/>
                <w:noProof/>
                <w:sz w:val="20"/>
                <w:szCs w:val="20"/>
              </w:rPr>
              <w:t>5</w:t>
            </w:r>
          </w:p>
        </w:tc>
        <w:tc>
          <w:tcPr>
            <w:tcW w:w="850" w:type="dxa"/>
            <w:vMerge w:val="restart"/>
            <w:tcBorders>
              <w:top w:val="single" w:sz="12" w:space="0" w:color="auto"/>
            </w:tcBorders>
          </w:tcPr>
          <w:p w14:paraId="6FD5F16B" w14:textId="77777777" w:rsidR="007978FF" w:rsidRPr="00B44B19" w:rsidRDefault="007978FF" w:rsidP="0005072D">
            <w:pPr>
              <w:jc w:val="center"/>
              <w:rPr>
                <w:rFonts w:eastAsia="Times New Roman" w:cs="Times New Roman"/>
                <w:b/>
                <w:iCs/>
                <w:noProof/>
                <w:sz w:val="20"/>
                <w:szCs w:val="20"/>
              </w:rPr>
            </w:pPr>
            <w:r w:rsidRPr="00B44B19">
              <w:rPr>
                <w:rFonts w:cs="Times New Roman"/>
                <w:noProof/>
                <w:sz w:val="20"/>
                <w:szCs w:val="20"/>
              </w:rPr>
              <w:t>ERPF</w:t>
            </w:r>
          </w:p>
        </w:tc>
        <w:tc>
          <w:tcPr>
            <w:tcW w:w="1559" w:type="dxa"/>
            <w:tcBorders>
              <w:top w:val="single" w:sz="12" w:space="0" w:color="auto"/>
              <w:bottom w:val="single" w:sz="4" w:space="0" w:color="auto"/>
            </w:tcBorders>
          </w:tcPr>
          <w:p w14:paraId="7D9B8AAE" w14:textId="77777777" w:rsidR="007978FF" w:rsidRPr="00B44B19" w:rsidRDefault="007978FF" w:rsidP="0005072D">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276" w:type="dxa"/>
            <w:vMerge w:val="restart"/>
            <w:tcBorders>
              <w:top w:val="single" w:sz="12" w:space="0" w:color="auto"/>
            </w:tcBorders>
          </w:tcPr>
          <w:p w14:paraId="53243C4E" w14:textId="77777777" w:rsidR="007978FF" w:rsidRPr="00B44B19" w:rsidRDefault="007978FF" w:rsidP="0005072D">
            <w:pPr>
              <w:jc w:val="center"/>
              <w:rPr>
                <w:rFonts w:eastAsia="Times New Roman" w:cs="Times New Roman"/>
                <w:b/>
                <w:iCs/>
                <w:noProof/>
                <w:sz w:val="20"/>
                <w:szCs w:val="20"/>
              </w:rPr>
            </w:pPr>
            <w:r w:rsidRPr="00B44B19">
              <w:rPr>
                <w:rFonts w:eastAsia="Times New Roman" w:cs="Times New Roman"/>
                <w:bCs/>
                <w:iCs/>
                <w:noProof/>
                <w:sz w:val="20"/>
                <w:szCs w:val="20"/>
              </w:rPr>
              <w:t>5.1</w:t>
            </w:r>
          </w:p>
        </w:tc>
        <w:tc>
          <w:tcPr>
            <w:tcW w:w="3454" w:type="dxa"/>
            <w:vMerge w:val="restart"/>
            <w:tcBorders>
              <w:top w:val="single" w:sz="12" w:space="0" w:color="auto"/>
            </w:tcBorders>
          </w:tcPr>
          <w:p w14:paraId="302A695C" w14:textId="77777777" w:rsidR="007978FF" w:rsidRPr="00B44B19" w:rsidRDefault="007978FF" w:rsidP="00163D35">
            <w:pPr>
              <w:rPr>
                <w:rFonts w:eastAsia="Times New Roman" w:cs="Times New Roman"/>
                <w:bCs/>
                <w:iCs/>
                <w:noProof/>
                <w:sz w:val="20"/>
                <w:szCs w:val="20"/>
              </w:rPr>
            </w:pPr>
            <w:r w:rsidRPr="00B44B19">
              <w:rPr>
                <w:rFonts w:eastAsia="Times New Roman" w:cs="Times New Roman"/>
                <w:bCs/>
                <w:iCs/>
                <w:noProof/>
                <w:sz w:val="20"/>
                <w:szCs w:val="20"/>
              </w:rPr>
              <w:t>02</w:t>
            </w:r>
            <w:r w:rsidR="00163D35" w:rsidRPr="00B44B19">
              <w:rPr>
                <w:rFonts w:eastAsia="Times New Roman" w:cs="Times New Roman"/>
                <w:bCs/>
                <w:iCs/>
                <w:noProof/>
                <w:sz w:val="20"/>
                <w:szCs w:val="20"/>
              </w:rPr>
              <w:t xml:space="preserve"> </w:t>
            </w:r>
            <w:r w:rsidR="00D43A78" w:rsidRPr="00B44B19">
              <w:rPr>
                <w:rFonts w:eastAsia="Times New Roman" w:cs="Times New Roman"/>
                <w:bCs/>
                <w:iCs/>
                <w:noProof/>
                <w:sz w:val="20"/>
                <w:szCs w:val="20"/>
              </w:rPr>
              <w:t>–</w:t>
            </w:r>
            <w:r w:rsidR="00163D35" w:rsidRPr="00B44B19">
              <w:rPr>
                <w:rFonts w:eastAsia="Times New Roman" w:cs="Times New Roman"/>
                <w:bCs/>
                <w:iCs/>
                <w:noProof/>
                <w:sz w:val="20"/>
                <w:szCs w:val="20"/>
              </w:rPr>
              <w:t xml:space="preserve"> Miestai, miesteliai ir priemiesčiai</w:t>
            </w:r>
          </w:p>
        </w:tc>
        <w:tc>
          <w:tcPr>
            <w:tcW w:w="1649" w:type="dxa"/>
            <w:tcBorders>
              <w:top w:val="single" w:sz="12" w:space="0" w:color="auto"/>
              <w:bottom w:val="single" w:sz="4" w:space="0" w:color="auto"/>
            </w:tcBorders>
          </w:tcPr>
          <w:p w14:paraId="6618ACE9" w14:textId="77777777" w:rsidR="007978FF" w:rsidRPr="00B44B19" w:rsidRDefault="005B4A31" w:rsidP="007978FF">
            <w:pPr>
              <w:jc w:val="right"/>
              <w:rPr>
                <w:rFonts w:eastAsia="Times New Roman" w:cs="Times New Roman"/>
                <w:bCs/>
                <w:iCs/>
                <w:noProof/>
                <w:sz w:val="20"/>
                <w:szCs w:val="20"/>
              </w:rPr>
            </w:pPr>
            <w:r w:rsidRPr="00B44B19">
              <w:rPr>
                <w:rFonts w:cs="Times New Roman"/>
                <w:sz w:val="20"/>
                <w:szCs w:val="20"/>
              </w:rPr>
              <w:t>30 083 475,00</w:t>
            </w:r>
          </w:p>
        </w:tc>
      </w:tr>
      <w:tr w:rsidR="007978FF" w:rsidRPr="00B44B19" w14:paraId="7AB9E41D" w14:textId="77777777" w:rsidTr="005B4A31">
        <w:tc>
          <w:tcPr>
            <w:tcW w:w="1101" w:type="dxa"/>
            <w:vMerge/>
          </w:tcPr>
          <w:p w14:paraId="49BB4663" w14:textId="77777777" w:rsidR="007978FF" w:rsidRPr="00B44B19" w:rsidRDefault="007978FF" w:rsidP="0005072D">
            <w:pPr>
              <w:rPr>
                <w:rFonts w:eastAsia="Times New Roman" w:cs="Times New Roman"/>
                <w:bCs/>
                <w:iCs/>
                <w:noProof/>
                <w:sz w:val="20"/>
                <w:szCs w:val="20"/>
              </w:rPr>
            </w:pPr>
          </w:p>
        </w:tc>
        <w:tc>
          <w:tcPr>
            <w:tcW w:w="850" w:type="dxa"/>
            <w:vMerge/>
          </w:tcPr>
          <w:p w14:paraId="308822E6" w14:textId="77777777" w:rsidR="007978FF" w:rsidRPr="00B44B19" w:rsidRDefault="007978FF" w:rsidP="0005072D">
            <w:pPr>
              <w:rPr>
                <w:rFonts w:eastAsia="Times New Roman" w:cs="Times New Roman"/>
                <w:b/>
                <w:iCs/>
                <w:noProof/>
                <w:sz w:val="20"/>
                <w:szCs w:val="20"/>
              </w:rPr>
            </w:pPr>
          </w:p>
        </w:tc>
        <w:tc>
          <w:tcPr>
            <w:tcW w:w="1559" w:type="dxa"/>
            <w:tcBorders>
              <w:top w:val="single" w:sz="4" w:space="0" w:color="auto"/>
              <w:bottom w:val="single" w:sz="4" w:space="0" w:color="auto"/>
            </w:tcBorders>
          </w:tcPr>
          <w:p w14:paraId="71AFB0B6" w14:textId="77777777" w:rsidR="007978FF" w:rsidRPr="00B44B19" w:rsidRDefault="007978FF" w:rsidP="0005072D">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276" w:type="dxa"/>
            <w:vMerge/>
          </w:tcPr>
          <w:p w14:paraId="7C1B2A2E" w14:textId="77777777" w:rsidR="007978FF" w:rsidRPr="00B44B19" w:rsidRDefault="007978FF" w:rsidP="0005072D">
            <w:pPr>
              <w:rPr>
                <w:rFonts w:eastAsia="Times New Roman" w:cs="Times New Roman"/>
                <w:b/>
                <w:iCs/>
                <w:noProof/>
                <w:sz w:val="20"/>
                <w:szCs w:val="20"/>
              </w:rPr>
            </w:pPr>
          </w:p>
        </w:tc>
        <w:tc>
          <w:tcPr>
            <w:tcW w:w="3454" w:type="dxa"/>
            <w:vMerge/>
            <w:tcBorders>
              <w:bottom w:val="single" w:sz="4" w:space="0" w:color="auto"/>
            </w:tcBorders>
          </w:tcPr>
          <w:p w14:paraId="392E0E7D" w14:textId="77777777" w:rsidR="007978FF" w:rsidRPr="00B44B19" w:rsidRDefault="007978FF" w:rsidP="0005072D">
            <w:pPr>
              <w:jc w:val="center"/>
              <w:rPr>
                <w:rFonts w:eastAsia="Times New Roman" w:cs="Times New Roman"/>
                <w:bCs/>
                <w:iCs/>
                <w:noProof/>
                <w:sz w:val="20"/>
                <w:szCs w:val="20"/>
              </w:rPr>
            </w:pPr>
          </w:p>
        </w:tc>
        <w:tc>
          <w:tcPr>
            <w:tcW w:w="1649" w:type="dxa"/>
            <w:tcBorders>
              <w:top w:val="single" w:sz="4" w:space="0" w:color="auto"/>
            </w:tcBorders>
          </w:tcPr>
          <w:p w14:paraId="36EE9AEA" w14:textId="77777777" w:rsidR="007978FF" w:rsidRPr="00B44B19" w:rsidRDefault="005B4A31" w:rsidP="001A07D4">
            <w:pPr>
              <w:jc w:val="right"/>
              <w:rPr>
                <w:rFonts w:eastAsia="Times New Roman" w:cs="Times New Roman"/>
                <w:bCs/>
                <w:iCs/>
                <w:noProof/>
                <w:sz w:val="20"/>
                <w:szCs w:val="20"/>
              </w:rPr>
            </w:pPr>
            <w:r w:rsidRPr="00B44B19">
              <w:rPr>
                <w:rFonts w:cs="Times New Roman"/>
                <w:sz w:val="20"/>
                <w:szCs w:val="20"/>
              </w:rPr>
              <w:t>241 670</w:t>
            </w:r>
            <w:r w:rsidR="00E97F22" w:rsidRPr="00B44B19">
              <w:rPr>
                <w:rFonts w:cs="Times New Roman"/>
                <w:sz w:val="20"/>
                <w:szCs w:val="20"/>
              </w:rPr>
              <w:t> </w:t>
            </w:r>
            <w:r w:rsidRPr="00B44B19">
              <w:rPr>
                <w:rFonts w:cs="Times New Roman"/>
                <w:sz w:val="20"/>
                <w:szCs w:val="20"/>
              </w:rPr>
              <w:t>23</w:t>
            </w:r>
            <w:r w:rsidR="00C60A41" w:rsidRPr="00B44B19">
              <w:rPr>
                <w:rFonts w:cs="Times New Roman"/>
                <w:sz w:val="20"/>
                <w:szCs w:val="20"/>
              </w:rPr>
              <w:t>1</w:t>
            </w:r>
            <w:r w:rsidR="00E97F22" w:rsidRPr="00B44B19">
              <w:rPr>
                <w:rFonts w:cs="Times New Roman"/>
                <w:sz w:val="20"/>
                <w:szCs w:val="20"/>
              </w:rPr>
              <w:t>,00</w:t>
            </w:r>
          </w:p>
        </w:tc>
      </w:tr>
    </w:tbl>
    <w:p w14:paraId="487115F6" w14:textId="77777777" w:rsidR="00F053BC" w:rsidRPr="00B44B19" w:rsidRDefault="00F053BC" w:rsidP="004572AB">
      <w:pPr>
        <w:spacing w:after="0" w:line="240" w:lineRule="auto"/>
        <w:rPr>
          <w:rFonts w:cs="Times New Roman"/>
          <w:sz w:val="20"/>
          <w:szCs w:val="20"/>
        </w:rPr>
      </w:pPr>
    </w:p>
    <w:tbl>
      <w:tblPr>
        <w:tblStyle w:val="Lentelstinklelis"/>
        <w:tblW w:w="9889" w:type="dxa"/>
        <w:tblLook w:val="04A0" w:firstRow="1" w:lastRow="0" w:firstColumn="1" w:lastColumn="0" w:noHBand="0" w:noVBand="1"/>
      </w:tblPr>
      <w:tblGrid>
        <w:gridCol w:w="1101"/>
        <w:gridCol w:w="850"/>
        <w:gridCol w:w="1559"/>
        <w:gridCol w:w="1276"/>
        <w:gridCol w:w="3454"/>
        <w:gridCol w:w="1649"/>
      </w:tblGrid>
      <w:tr w:rsidR="00AD6710" w:rsidRPr="00B44B19" w14:paraId="63205760" w14:textId="77777777" w:rsidTr="00DA382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56447B9" w14:textId="77777777" w:rsidR="00AD6710" w:rsidRPr="00B44B19" w:rsidRDefault="006D2BE0" w:rsidP="00DA3820">
            <w:pPr>
              <w:rPr>
                <w:rFonts w:eastAsia="Times New Roman" w:cs="Times New Roman"/>
                <w:b/>
                <w:iCs/>
                <w:noProof/>
                <w:sz w:val="20"/>
                <w:szCs w:val="20"/>
              </w:rPr>
            </w:pPr>
            <w:r w:rsidRPr="00B44B19">
              <w:rPr>
                <w:rFonts w:cs="Times New Roman"/>
                <w:b/>
                <w:noProof/>
                <w:sz w:val="20"/>
                <w:szCs w:val="20"/>
              </w:rPr>
              <w:t>8</w:t>
            </w:r>
            <w:r w:rsidR="00AD6710" w:rsidRPr="00B44B19">
              <w:rPr>
                <w:rFonts w:cs="Times New Roman"/>
                <w:b/>
                <w:noProof/>
                <w:sz w:val="20"/>
                <w:szCs w:val="20"/>
              </w:rPr>
              <w:t xml:space="preserve"> lentelė. 7 matmuo. </w:t>
            </w:r>
            <w:r w:rsidR="00AD6710" w:rsidRPr="00B44B19">
              <w:rPr>
                <w:rFonts w:eastAsia="Calibri" w:cs="Times New Roman"/>
                <w:b/>
                <w:sz w:val="20"/>
                <w:szCs w:val="20"/>
              </w:rPr>
              <w:t>ESF+, ERPF, SF ir TPF lyčių lygybės matmuo</w:t>
            </w:r>
          </w:p>
        </w:tc>
      </w:tr>
      <w:tr w:rsidR="00AD6710" w:rsidRPr="00B44B19" w14:paraId="2EB74E04" w14:textId="77777777" w:rsidTr="005B4A31">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C4EF8A" w14:textId="77777777" w:rsidR="00AD6710" w:rsidRPr="00B44B19" w:rsidRDefault="00AD6710" w:rsidP="00DA3820">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67007" w14:textId="77777777" w:rsidR="00AD6710" w:rsidRPr="00B44B19" w:rsidRDefault="00AD6710" w:rsidP="00DA3820">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A48FC9" w14:textId="77777777" w:rsidR="00AD6710" w:rsidRPr="00B44B19" w:rsidRDefault="00AD6710" w:rsidP="00DA3820">
            <w:pPr>
              <w:jc w:val="center"/>
              <w:rPr>
                <w:rFonts w:eastAsia="Times New Roman" w:cs="Times New Roman"/>
                <w:b/>
                <w:iCs/>
                <w:noProof/>
                <w:sz w:val="20"/>
              </w:rPr>
            </w:pPr>
            <w:r w:rsidRPr="00B44B19">
              <w:rPr>
                <w:rFonts w:cs="Times New Roman"/>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2D0AA8" w14:textId="77777777" w:rsidR="00AD6710" w:rsidRPr="00B44B19" w:rsidRDefault="00AD6710" w:rsidP="00DA3820">
            <w:pPr>
              <w:jc w:val="center"/>
              <w:rPr>
                <w:rFonts w:eastAsia="Times New Roman" w:cs="Times New Roman"/>
                <w:b/>
                <w:iCs/>
                <w:noProof/>
                <w:sz w:val="20"/>
              </w:rPr>
            </w:pPr>
            <w:r w:rsidRPr="00B44B19">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FE9397" w14:textId="77777777" w:rsidR="00AD6710" w:rsidRPr="00B44B19" w:rsidRDefault="00AD6710" w:rsidP="00DA3820">
            <w:pPr>
              <w:jc w:val="center"/>
              <w:rPr>
                <w:rFonts w:eastAsia="Times New Roman" w:cs="Times New Roman"/>
                <w:b/>
                <w:iCs/>
                <w:noProof/>
                <w:sz w:val="20"/>
              </w:rPr>
            </w:pPr>
            <w:r w:rsidRPr="00B44B19">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70E969" w14:textId="77777777" w:rsidR="00AD6710" w:rsidRPr="00B44B19" w:rsidRDefault="00AD6710" w:rsidP="00DA3820">
            <w:pPr>
              <w:jc w:val="center"/>
              <w:rPr>
                <w:rFonts w:eastAsia="Times New Roman" w:cs="Times New Roman"/>
                <w:b/>
                <w:iCs/>
                <w:noProof/>
                <w:sz w:val="20"/>
              </w:rPr>
            </w:pPr>
            <w:r w:rsidRPr="00B44B19">
              <w:rPr>
                <w:rFonts w:cs="Times New Roman"/>
                <w:b/>
                <w:noProof/>
                <w:sz w:val="20"/>
              </w:rPr>
              <w:t>Suma (EUR)</w:t>
            </w:r>
          </w:p>
        </w:tc>
      </w:tr>
      <w:tr w:rsidR="00AD6710" w:rsidRPr="00B44B19" w14:paraId="0DB95A8D" w14:textId="77777777" w:rsidTr="005B4A31">
        <w:tc>
          <w:tcPr>
            <w:tcW w:w="1101" w:type="dxa"/>
            <w:vMerge w:val="restart"/>
            <w:tcBorders>
              <w:top w:val="single" w:sz="12" w:space="0" w:color="auto"/>
            </w:tcBorders>
          </w:tcPr>
          <w:p w14:paraId="4938C65F" w14:textId="77777777" w:rsidR="00AD6710" w:rsidRPr="00B44B19" w:rsidRDefault="002F03A2" w:rsidP="00DA3820">
            <w:pPr>
              <w:jc w:val="center"/>
              <w:rPr>
                <w:rFonts w:eastAsia="Times New Roman" w:cs="Times New Roman"/>
                <w:iCs/>
                <w:noProof/>
                <w:sz w:val="20"/>
              </w:rPr>
            </w:pPr>
            <w:r w:rsidRPr="00B44B19">
              <w:rPr>
                <w:rFonts w:eastAsia="Times New Roman" w:cs="Times New Roman"/>
                <w:iCs/>
                <w:noProof/>
                <w:sz w:val="20"/>
              </w:rPr>
              <w:t>5</w:t>
            </w:r>
          </w:p>
        </w:tc>
        <w:tc>
          <w:tcPr>
            <w:tcW w:w="850" w:type="dxa"/>
            <w:vMerge w:val="restart"/>
            <w:tcBorders>
              <w:top w:val="single" w:sz="12" w:space="0" w:color="auto"/>
            </w:tcBorders>
          </w:tcPr>
          <w:p w14:paraId="221EF8F7" w14:textId="77777777" w:rsidR="00AD6710" w:rsidRPr="00B44B19" w:rsidRDefault="002F03A2" w:rsidP="00DA3820">
            <w:pPr>
              <w:jc w:val="center"/>
              <w:rPr>
                <w:rFonts w:eastAsia="Times New Roman" w:cs="Times New Roman"/>
                <w:iCs/>
                <w:noProof/>
                <w:sz w:val="20"/>
              </w:rPr>
            </w:pPr>
            <w:r w:rsidRPr="00B44B19">
              <w:rPr>
                <w:rFonts w:eastAsia="Times New Roman" w:cs="Times New Roman"/>
                <w:iCs/>
                <w:noProof/>
                <w:sz w:val="20"/>
              </w:rPr>
              <w:t>ERPF</w:t>
            </w:r>
          </w:p>
        </w:tc>
        <w:tc>
          <w:tcPr>
            <w:tcW w:w="1559" w:type="dxa"/>
            <w:tcBorders>
              <w:top w:val="single" w:sz="12" w:space="0" w:color="auto"/>
              <w:bottom w:val="single" w:sz="4" w:space="0" w:color="auto"/>
            </w:tcBorders>
          </w:tcPr>
          <w:p w14:paraId="1941D607" w14:textId="77777777" w:rsidR="00AD6710" w:rsidRPr="00B44B19" w:rsidRDefault="005B4A31" w:rsidP="00DA3820">
            <w:pPr>
              <w:rPr>
                <w:rFonts w:eastAsia="Times New Roman" w:cs="Times New Roman"/>
                <w:iCs/>
                <w:noProof/>
                <w:sz w:val="20"/>
              </w:rPr>
            </w:pPr>
            <w:r w:rsidRPr="00B44B19">
              <w:rPr>
                <w:rFonts w:eastAsia="Times New Roman" w:cs="Times New Roman"/>
                <w:iCs/>
                <w:noProof/>
                <w:sz w:val="20"/>
              </w:rPr>
              <w:t>Sostinės regionas</w:t>
            </w:r>
          </w:p>
        </w:tc>
        <w:tc>
          <w:tcPr>
            <w:tcW w:w="1276" w:type="dxa"/>
            <w:vMerge w:val="restart"/>
            <w:tcBorders>
              <w:top w:val="single" w:sz="12" w:space="0" w:color="auto"/>
            </w:tcBorders>
          </w:tcPr>
          <w:p w14:paraId="0DBC8A29" w14:textId="77777777" w:rsidR="00AD6710" w:rsidRPr="00B44B19" w:rsidRDefault="005B4A31" w:rsidP="00DA3820">
            <w:pPr>
              <w:jc w:val="center"/>
              <w:rPr>
                <w:rFonts w:eastAsia="Times New Roman" w:cs="Times New Roman"/>
                <w:iCs/>
                <w:noProof/>
                <w:sz w:val="20"/>
              </w:rPr>
            </w:pPr>
            <w:r w:rsidRPr="00B44B19">
              <w:rPr>
                <w:rFonts w:eastAsia="Times New Roman" w:cs="Times New Roman"/>
                <w:iCs/>
                <w:noProof/>
                <w:sz w:val="20"/>
              </w:rPr>
              <w:t>5.1</w:t>
            </w:r>
          </w:p>
        </w:tc>
        <w:tc>
          <w:tcPr>
            <w:tcW w:w="3454" w:type="dxa"/>
            <w:vMerge w:val="restart"/>
            <w:tcBorders>
              <w:top w:val="single" w:sz="12" w:space="0" w:color="auto"/>
            </w:tcBorders>
          </w:tcPr>
          <w:p w14:paraId="150D028A" w14:textId="77777777" w:rsidR="00AD6710" w:rsidRPr="00B44B19" w:rsidRDefault="005B4A31" w:rsidP="0031600C">
            <w:pPr>
              <w:rPr>
                <w:rFonts w:eastAsia="Times New Roman" w:cs="Times New Roman"/>
                <w:iCs/>
                <w:noProof/>
                <w:sz w:val="20"/>
              </w:rPr>
            </w:pPr>
            <w:r w:rsidRPr="00B44B19">
              <w:rPr>
                <w:rFonts w:eastAsia="Times New Roman" w:cs="Times New Roman"/>
                <w:iCs/>
                <w:noProof/>
                <w:sz w:val="20"/>
              </w:rPr>
              <w:t>03</w:t>
            </w:r>
            <w:r w:rsidR="001B71A8" w:rsidRPr="00B44B19">
              <w:rPr>
                <w:rFonts w:eastAsia="Times New Roman" w:cs="Times New Roman"/>
                <w:iCs/>
                <w:noProof/>
                <w:sz w:val="20"/>
              </w:rPr>
              <w:t xml:space="preserve"> </w:t>
            </w:r>
            <w:r w:rsidR="00D43A78" w:rsidRPr="00B44B19">
              <w:rPr>
                <w:rFonts w:eastAsia="Times New Roman" w:cs="Times New Roman"/>
                <w:iCs/>
                <w:noProof/>
                <w:sz w:val="20"/>
              </w:rPr>
              <w:t>–</w:t>
            </w:r>
            <w:r w:rsidR="001B71A8" w:rsidRPr="00B44B19">
              <w:rPr>
                <w:rFonts w:eastAsia="Times New Roman" w:cs="Times New Roman"/>
                <w:iCs/>
                <w:noProof/>
                <w:sz w:val="20"/>
              </w:rPr>
              <w:t xml:space="preserve"> Neutralumas lyties požiūriu</w:t>
            </w:r>
          </w:p>
        </w:tc>
        <w:tc>
          <w:tcPr>
            <w:tcW w:w="1649" w:type="dxa"/>
            <w:tcBorders>
              <w:top w:val="single" w:sz="12" w:space="0" w:color="auto"/>
              <w:bottom w:val="single" w:sz="4" w:space="0" w:color="auto"/>
            </w:tcBorders>
          </w:tcPr>
          <w:p w14:paraId="2F273217" w14:textId="77777777" w:rsidR="00AD6710" w:rsidRPr="00B44B19" w:rsidRDefault="005B4A31" w:rsidP="00DA3820">
            <w:pPr>
              <w:jc w:val="right"/>
              <w:rPr>
                <w:rFonts w:eastAsia="Times New Roman" w:cs="Times New Roman"/>
                <w:iCs/>
                <w:noProof/>
                <w:sz w:val="20"/>
              </w:rPr>
            </w:pPr>
            <w:r w:rsidRPr="00B44B19">
              <w:rPr>
                <w:rFonts w:eastAsia="Times New Roman" w:cs="Times New Roman"/>
                <w:iCs/>
                <w:noProof/>
                <w:sz w:val="20"/>
              </w:rPr>
              <w:t>30 083 475,00</w:t>
            </w:r>
          </w:p>
        </w:tc>
      </w:tr>
      <w:tr w:rsidR="00AD6710" w:rsidRPr="00B44B19" w14:paraId="20C598EA" w14:textId="77777777" w:rsidTr="005B4A31">
        <w:tc>
          <w:tcPr>
            <w:tcW w:w="1101" w:type="dxa"/>
            <w:vMerge/>
          </w:tcPr>
          <w:p w14:paraId="1AD37D8F" w14:textId="77777777" w:rsidR="00AD6710" w:rsidRPr="00B44B19" w:rsidRDefault="00AD6710" w:rsidP="00DA3820">
            <w:pPr>
              <w:jc w:val="center"/>
              <w:rPr>
                <w:rFonts w:eastAsia="Times New Roman" w:cs="Times New Roman"/>
                <w:iCs/>
                <w:noProof/>
                <w:sz w:val="20"/>
              </w:rPr>
            </w:pPr>
          </w:p>
        </w:tc>
        <w:tc>
          <w:tcPr>
            <w:tcW w:w="850" w:type="dxa"/>
            <w:vMerge/>
          </w:tcPr>
          <w:p w14:paraId="3E84A27A" w14:textId="77777777" w:rsidR="00AD6710" w:rsidRPr="00B44B19" w:rsidRDefault="00AD6710" w:rsidP="00DA3820">
            <w:pPr>
              <w:jc w:val="center"/>
              <w:rPr>
                <w:rFonts w:eastAsia="Times New Roman" w:cs="Times New Roman"/>
                <w:iCs/>
                <w:noProof/>
                <w:sz w:val="20"/>
              </w:rPr>
            </w:pPr>
          </w:p>
        </w:tc>
        <w:tc>
          <w:tcPr>
            <w:tcW w:w="1559" w:type="dxa"/>
            <w:tcBorders>
              <w:top w:val="single" w:sz="4" w:space="0" w:color="auto"/>
              <w:bottom w:val="single" w:sz="4" w:space="0" w:color="auto"/>
            </w:tcBorders>
          </w:tcPr>
          <w:p w14:paraId="0159FFC3" w14:textId="77777777" w:rsidR="00AD6710" w:rsidRPr="00B44B19" w:rsidRDefault="005B4A31" w:rsidP="00DA3820">
            <w:pPr>
              <w:rPr>
                <w:rFonts w:eastAsia="Times New Roman" w:cs="Times New Roman"/>
                <w:iCs/>
                <w:noProof/>
                <w:sz w:val="20"/>
              </w:rPr>
            </w:pPr>
            <w:r w:rsidRPr="00B44B19">
              <w:rPr>
                <w:rFonts w:eastAsia="Times New Roman" w:cs="Times New Roman"/>
                <w:iCs/>
                <w:noProof/>
                <w:sz w:val="20"/>
              </w:rPr>
              <w:t>VVL regionas</w:t>
            </w:r>
          </w:p>
        </w:tc>
        <w:tc>
          <w:tcPr>
            <w:tcW w:w="1276" w:type="dxa"/>
            <w:vMerge/>
          </w:tcPr>
          <w:p w14:paraId="74B57C5B" w14:textId="77777777" w:rsidR="00AD6710" w:rsidRPr="00B44B19" w:rsidRDefault="00AD6710" w:rsidP="00DA3820">
            <w:pPr>
              <w:jc w:val="center"/>
              <w:rPr>
                <w:rFonts w:eastAsia="Times New Roman" w:cs="Times New Roman"/>
                <w:iCs/>
                <w:noProof/>
                <w:sz w:val="20"/>
              </w:rPr>
            </w:pPr>
          </w:p>
        </w:tc>
        <w:tc>
          <w:tcPr>
            <w:tcW w:w="3454" w:type="dxa"/>
            <w:vMerge/>
            <w:tcBorders>
              <w:bottom w:val="single" w:sz="4" w:space="0" w:color="auto"/>
            </w:tcBorders>
          </w:tcPr>
          <w:p w14:paraId="7170A8D1" w14:textId="77777777" w:rsidR="00AD6710" w:rsidRPr="00B44B19" w:rsidRDefault="00AD6710" w:rsidP="00DA3820">
            <w:pPr>
              <w:jc w:val="center"/>
              <w:rPr>
                <w:rFonts w:eastAsia="Times New Roman" w:cs="Times New Roman"/>
                <w:iCs/>
                <w:noProof/>
                <w:sz w:val="20"/>
              </w:rPr>
            </w:pPr>
          </w:p>
        </w:tc>
        <w:tc>
          <w:tcPr>
            <w:tcW w:w="1649" w:type="dxa"/>
            <w:tcBorders>
              <w:top w:val="single" w:sz="4" w:space="0" w:color="auto"/>
              <w:bottom w:val="single" w:sz="4" w:space="0" w:color="auto"/>
            </w:tcBorders>
          </w:tcPr>
          <w:p w14:paraId="0A0945C0" w14:textId="77777777" w:rsidR="00AD6710" w:rsidRPr="00B44B19" w:rsidRDefault="005B4A31" w:rsidP="00976A77">
            <w:pPr>
              <w:jc w:val="right"/>
              <w:rPr>
                <w:rFonts w:eastAsia="Times New Roman" w:cs="Times New Roman"/>
                <w:iCs/>
                <w:noProof/>
                <w:sz w:val="20"/>
              </w:rPr>
            </w:pPr>
            <w:r w:rsidRPr="00B44B19">
              <w:rPr>
                <w:rFonts w:eastAsia="Times New Roman" w:cs="Times New Roman"/>
                <w:iCs/>
                <w:noProof/>
                <w:sz w:val="20"/>
              </w:rPr>
              <w:t>241 670</w:t>
            </w:r>
            <w:r w:rsidR="006C5F87" w:rsidRPr="00B44B19">
              <w:rPr>
                <w:rFonts w:eastAsia="Times New Roman" w:cs="Times New Roman"/>
                <w:iCs/>
                <w:noProof/>
                <w:sz w:val="20"/>
              </w:rPr>
              <w:t> </w:t>
            </w:r>
            <w:r w:rsidRPr="00B44B19">
              <w:rPr>
                <w:rFonts w:eastAsia="Times New Roman" w:cs="Times New Roman"/>
                <w:iCs/>
                <w:noProof/>
                <w:sz w:val="20"/>
              </w:rPr>
              <w:t>23</w:t>
            </w:r>
            <w:r w:rsidR="00C60A41" w:rsidRPr="00B44B19">
              <w:rPr>
                <w:rFonts w:eastAsia="Times New Roman" w:cs="Times New Roman"/>
                <w:iCs/>
                <w:noProof/>
                <w:sz w:val="20"/>
              </w:rPr>
              <w:t>1</w:t>
            </w:r>
            <w:r w:rsidR="006C5F87" w:rsidRPr="00B44B19">
              <w:rPr>
                <w:rFonts w:eastAsia="Times New Roman" w:cs="Times New Roman"/>
                <w:iCs/>
                <w:noProof/>
                <w:sz w:val="20"/>
              </w:rPr>
              <w:t>,00</w:t>
            </w:r>
          </w:p>
        </w:tc>
      </w:tr>
    </w:tbl>
    <w:p w14:paraId="57880B65" w14:textId="77777777" w:rsidR="007978FF" w:rsidRPr="00B44B19" w:rsidRDefault="0005072D" w:rsidP="00D456C1">
      <w:pPr>
        <w:pStyle w:val="Antrat2"/>
      </w:pPr>
      <w:bookmarkStart w:id="62" w:name="_Toc223435438"/>
      <w:r w:rsidRPr="00B44B19">
        <w:t>Konkretus uždavinys – 5.</w:t>
      </w:r>
      <w:r w:rsidR="00D77360" w:rsidRPr="00B44B19">
        <w:t>2</w:t>
      </w:r>
      <w:r w:rsidRPr="00B44B19">
        <w:t xml:space="preserve">. </w:t>
      </w:r>
      <w:r w:rsidR="00E30265" w:rsidRPr="00B44B19">
        <w:rPr>
          <w:lang w:bidi="lt-LT"/>
        </w:rPr>
        <w:t>Skatinti integruotą ir įtraukią socialinę, ekonominę ir aplinkosaugos plėtrą vietos lygmeniu, puoselėti kultūrą, gamtos paveldą, darnų turizmą ir saugumą kitose nei miestų teritorijose</w:t>
      </w:r>
      <w:bookmarkEnd w:id="62"/>
    </w:p>
    <w:p w14:paraId="1929F8FC" w14:textId="77777777" w:rsidR="0005072D" w:rsidRPr="00B44B19" w:rsidRDefault="0005072D" w:rsidP="00783D09">
      <w:pPr>
        <w:pStyle w:val="Stilius1"/>
        <w:rPr>
          <w:rFonts w:cs="Times New Roman"/>
        </w:rPr>
      </w:pPr>
      <w:r w:rsidRPr="00B44B19">
        <w:rPr>
          <w:rFonts w:cs="Times New Roman"/>
        </w:rPr>
        <w:t>Įgyvendinamos veiklos</w:t>
      </w:r>
    </w:p>
    <w:tbl>
      <w:tblPr>
        <w:tblStyle w:val="Lentelstinklelis10"/>
        <w:tblW w:w="0" w:type="auto"/>
        <w:tblLook w:val="04A0" w:firstRow="1" w:lastRow="0" w:firstColumn="1" w:lastColumn="0" w:noHBand="0" w:noVBand="1"/>
      </w:tblPr>
      <w:tblGrid>
        <w:gridCol w:w="9628"/>
      </w:tblGrid>
      <w:tr w:rsidR="0005072D" w:rsidRPr="00B44B19" w14:paraId="729CDDCF" w14:textId="77777777" w:rsidTr="0005072D">
        <w:tc>
          <w:tcPr>
            <w:tcW w:w="9854" w:type="dxa"/>
          </w:tcPr>
          <w:p w14:paraId="7A41A679" w14:textId="77777777" w:rsidR="00BE4FDA" w:rsidRPr="00B44B19" w:rsidRDefault="00BE4FDA"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Vidinė migracija lėmė gyventojų tankumo pokyčius, regioninių </w:t>
            </w:r>
            <w:r w:rsidR="002F4119" w:rsidRPr="00B44B19">
              <w:rPr>
                <w:rFonts w:ascii="Times New Roman" w:eastAsia="Times New Roman" w:hAnsi="Times New Roman" w:cs="Times New Roman"/>
              </w:rPr>
              <w:t>DR</w:t>
            </w:r>
            <w:r w:rsidRPr="00B44B19">
              <w:rPr>
                <w:rFonts w:ascii="Times New Roman" w:eastAsia="Times New Roman" w:hAnsi="Times New Roman" w:cs="Times New Roman"/>
              </w:rPr>
              <w:t xml:space="preserve"> netolygumų didėjimą, tačiau kartu su darbingo amžiaus gyventojų koncentracija didžiuosiuose miestuose </w:t>
            </w:r>
            <w:r w:rsidR="00C63DCA" w:rsidRPr="00B44B19">
              <w:rPr>
                <w:rFonts w:ascii="Times New Roman" w:eastAsia="Times New Roman" w:hAnsi="Times New Roman" w:cs="Times New Roman"/>
              </w:rPr>
              <w:t>ryškėja</w:t>
            </w:r>
            <w:r w:rsidRPr="00B44B19">
              <w:rPr>
                <w:rFonts w:ascii="Times New Roman" w:eastAsia="Times New Roman" w:hAnsi="Times New Roman" w:cs="Times New Roman"/>
              </w:rPr>
              <w:t xml:space="preserve"> ir kitos tendencijos – grįžtamoji užsienio migracija yra teigiama daugelyje savivaldybių, t.</w:t>
            </w:r>
            <w:r w:rsidR="000C1260"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y. regionai patrauklūs gyventi iš užsienio grįžtantiems emigrantams, valstybė skatina jaunų šeimų įsikūrimą regionuose, verslo plėtrą ir naujų darbo vietų kūrimą. Kartu su visuomenės senėjimu ir darbo jėgos struktūriniu disbalansu išryškėjo regioniniai skirtumai, turintys neigiamą poveikį regionų ekonomikai, jų konkurencingumui, investiciniam patrauklumui, paslaugų prieinamumui, ypač nuo regionų centrų nutolusiose ir kaimiškose teritorijose. Pandemijos laikotarpiu regioniniai atotrūkiai didėja ir dėl skirtingų regionų ekonomikos tvarumo ir atsparumo. Iškilo naujų iššūkių teikiant viešąsias paslaugas gyventojams ir verslams. </w:t>
            </w:r>
            <w:r w:rsidR="00C63DCA" w:rsidRPr="00B44B19">
              <w:rPr>
                <w:rFonts w:ascii="Times New Roman" w:eastAsia="Times New Roman" w:hAnsi="Times New Roman" w:cs="Times New Roman"/>
              </w:rPr>
              <w:t>A</w:t>
            </w:r>
            <w:r w:rsidRPr="00B44B19">
              <w:rPr>
                <w:rFonts w:ascii="Times New Roman" w:eastAsia="Times New Roman" w:hAnsi="Times New Roman" w:cs="Times New Roman"/>
              </w:rPr>
              <w:t xml:space="preserve">ugantis gyventojų mobilumas plečia verslo teikiamų paslaugų </w:t>
            </w:r>
            <w:r w:rsidR="00C63DCA" w:rsidRPr="00B44B19">
              <w:rPr>
                <w:rFonts w:ascii="Times New Roman" w:eastAsia="Times New Roman" w:hAnsi="Times New Roman" w:cs="Times New Roman"/>
              </w:rPr>
              <w:t xml:space="preserve">sritis </w:t>
            </w:r>
            <w:r w:rsidRPr="00B44B19">
              <w:rPr>
                <w:rFonts w:ascii="Times New Roman" w:eastAsia="Times New Roman" w:hAnsi="Times New Roman" w:cs="Times New Roman"/>
              </w:rPr>
              <w:t xml:space="preserve">– paslaugos tolsta nuo gyventojų. Kartu keičiasi viešųjų </w:t>
            </w:r>
            <w:r w:rsidRPr="00B44B19">
              <w:rPr>
                <w:rFonts w:ascii="Times New Roman" w:eastAsia="Times New Roman" w:hAnsi="Times New Roman" w:cs="Times New Roman"/>
              </w:rPr>
              <w:lastRenderedPageBreak/>
              <w:t xml:space="preserve">paslaugų vartotojų elgsena: dėl švytuoklinės migracijos į darbo vietas vis daugiau gyventojų tenkina arba yra linkę tenkinti savo ir savo šeimų socialinius, kultūrinius, švietimo ir kitus poreikius kitose, nei jų gyvenamoji, vietose. </w:t>
            </w:r>
            <w:r w:rsidR="00C63DCA" w:rsidRPr="00B44B19">
              <w:rPr>
                <w:rFonts w:ascii="Times New Roman" w:eastAsia="Times New Roman" w:hAnsi="Times New Roman" w:cs="Times New Roman"/>
              </w:rPr>
              <w:t>Taigi</w:t>
            </w:r>
            <w:r w:rsidRPr="00B44B19">
              <w:rPr>
                <w:rFonts w:ascii="Times New Roman" w:eastAsia="Times New Roman" w:hAnsi="Times New Roman" w:cs="Times New Roman"/>
              </w:rPr>
              <w:t>, gyvenimas ir ekonominė veikla vyksta teritorijose, kurios peržengia vienos savivaldybės ir</w:t>
            </w:r>
            <w:r w:rsidR="000C1260" w:rsidRPr="00B44B19">
              <w:rPr>
                <w:rFonts w:ascii="Times New Roman" w:eastAsia="Times New Roman" w:hAnsi="Times New Roman" w:cs="Times New Roman"/>
              </w:rPr>
              <w:t xml:space="preserve"> </w:t>
            </w:r>
            <w:r w:rsidRPr="00B44B19">
              <w:rPr>
                <w:rFonts w:ascii="Times New Roman" w:eastAsia="Times New Roman" w:hAnsi="Times New Roman" w:cs="Times New Roman"/>
              </w:rPr>
              <w:t>/</w:t>
            </w:r>
            <w:r w:rsidR="000C1260"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arba regiono (apskrities) ribas ir tai reikalauja racionalesnio viešosios infrastruktūros naudojimo ir naujos trūkstamos infrastruktūros kūrimo, suvienijant kelių savivaldybių pastangas. </w:t>
            </w:r>
          </w:p>
          <w:p w14:paraId="439C625F" w14:textId="77777777" w:rsidR="00BE4FDA" w:rsidRPr="00B44B19" w:rsidRDefault="00BE4FDA" w:rsidP="00E67E5C">
            <w:pPr>
              <w:spacing w:before="60" w:after="60"/>
              <w:jc w:val="both"/>
              <w:rPr>
                <w:rFonts w:ascii="Times New Roman" w:eastAsia="Times New Roman" w:hAnsi="Times New Roman" w:cs="Times New Roman"/>
                <w:b/>
                <w:bCs/>
              </w:rPr>
            </w:pPr>
            <w:r w:rsidRPr="00B44B19">
              <w:rPr>
                <w:rFonts w:ascii="Times New Roman" w:eastAsia="Times New Roman" w:hAnsi="Times New Roman" w:cs="Times New Roman"/>
              </w:rPr>
              <w:t xml:space="preserve">Įvertinus vykstančius pokyčius, 2014–2020 m. </w:t>
            </w:r>
            <w:r w:rsidR="005F135B" w:rsidRPr="00B44B19">
              <w:rPr>
                <w:rFonts w:ascii="Times New Roman" w:eastAsia="Times New Roman" w:hAnsi="Times New Roman" w:cs="Times New Roman"/>
              </w:rPr>
              <w:t>laikotarpiu</w:t>
            </w:r>
            <w:r w:rsidRPr="00B44B19">
              <w:rPr>
                <w:rFonts w:ascii="Times New Roman" w:eastAsia="Times New Roman" w:hAnsi="Times New Roman" w:cs="Times New Roman"/>
              </w:rPr>
              <w:t xml:space="preserve"> Lietuva įgyvendina </w:t>
            </w:r>
            <w:r w:rsidRPr="00B44B19">
              <w:rPr>
                <w:rFonts w:ascii="Times New Roman" w:eastAsia="Times New Roman" w:hAnsi="Times New Roman" w:cs="Times New Roman"/>
                <w:b/>
              </w:rPr>
              <w:t xml:space="preserve">metodologinį kompleksinių </w:t>
            </w:r>
            <w:r w:rsidR="004C2FDD" w:rsidRPr="00B44B19">
              <w:rPr>
                <w:rFonts w:ascii="Times New Roman" w:eastAsia="Times New Roman" w:hAnsi="Times New Roman" w:cs="Times New Roman"/>
                <w:b/>
              </w:rPr>
              <w:t>FZ</w:t>
            </w:r>
            <w:r w:rsidRPr="00B44B19">
              <w:rPr>
                <w:rFonts w:ascii="Times New Roman" w:eastAsia="Times New Roman" w:hAnsi="Times New Roman" w:cs="Times New Roman"/>
                <w:b/>
              </w:rPr>
              <w:t xml:space="preserve"> plėtros projektą (</w:t>
            </w:r>
            <w:r w:rsidR="000C1260" w:rsidRPr="00B44B19">
              <w:rPr>
                <w:rFonts w:ascii="Times New Roman" w:eastAsia="Times New Roman" w:hAnsi="Times New Roman" w:cs="Times New Roman"/>
                <w:b/>
              </w:rPr>
              <w:t>„</w:t>
            </w:r>
            <w:r w:rsidRPr="00B44B19">
              <w:rPr>
                <w:rFonts w:ascii="Times New Roman" w:eastAsia="Times New Roman" w:hAnsi="Times New Roman" w:cs="Times New Roman"/>
                <w:b/>
              </w:rPr>
              <w:t>Tauragė+</w:t>
            </w:r>
            <w:r w:rsidR="000C1260" w:rsidRPr="00B44B19">
              <w:rPr>
                <w:rFonts w:ascii="Times New Roman" w:eastAsia="Times New Roman" w:hAnsi="Times New Roman" w:cs="Times New Roman"/>
                <w:b/>
              </w:rPr>
              <w:t>“</w:t>
            </w:r>
            <w:r w:rsidRPr="00B44B19">
              <w:rPr>
                <w:rFonts w:ascii="Times New Roman" w:eastAsia="Times New Roman" w:hAnsi="Times New Roman" w:cs="Times New Roman"/>
                <w:b/>
              </w:rPr>
              <w:t>, arba „Regionas+“)</w:t>
            </w:r>
            <w:r w:rsidRPr="00B44B19">
              <w:rPr>
                <w:rFonts w:ascii="Times New Roman" w:eastAsia="Times New Roman" w:hAnsi="Times New Roman" w:cs="Times New Roman"/>
              </w:rPr>
              <w:t xml:space="preserve">, kurio patirtis jau parodė efektyvesnį </w:t>
            </w:r>
            <w:r w:rsidR="006C4B9A" w:rsidRPr="00B44B19">
              <w:rPr>
                <w:rFonts w:ascii="Times New Roman" w:eastAsia="Times New Roman" w:hAnsi="Times New Roman" w:cs="Times New Roman"/>
              </w:rPr>
              <w:t>ITP</w:t>
            </w:r>
            <w:r w:rsidRPr="00B44B19">
              <w:rPr>
                <w:rFonts w:ascii="Times New Roman" w:eastAsia="Times New Roman" w:hAnsi="Times New Roman" w:cs="Times New Roman"/>
              </w:rPr>
              <w:t xml:space="preserve"> metodą – visų dalyvaujančių savivaldybių diskusijose išgryninti bendri iššūkiai, išnagrinėta ir aptarta bendrų veiksmų kryptis, konkretūs veiksmai, paskirti atskirų teminių veiksmų flagmanai – lyderio ir koordinatoriaus vaidmenį atliekanti savivaldybė. Savivaldybės, patvirtinusios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 xml:space="preserve"> strategiją įsipareigojo įgyvendinti strategijoje numatytus veiksmus, skirdamos tam reik</w:t>
            </w:r>
            <w:r w:rsidR="000C1260" w:rsidRPr="00B44B19">
              <w:rPr>
                <w:rFonts w:ascii="Times New Roman" w:eastAsia="Times New Roman" w:hAnsi="Times New Roman" w:cs="Times New Roman"/>
              </w:rPr>
              <w:t>alingų</w:t>
            </w:r>
            <w:r w:rsidRPr="00B44B19">
              <w:rPr>
                <w:rFonts w:ascii="Times New Roman" w:eastAsia="Times New Roman" w:hAnsi="Times New Roman" w:cs="Times New Roman"/>
              </w:rPr>
              <w:t xml:space="preserve"> ištekli</w:t>
            </w:r>
            <w:r w:rsidR="000C1260"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ir koordinuodamos veiklą bendroms problemoms spręsti. Sukurta metodika bus naudojama visuose šalies regionuose, skatinant savivaldybes bendriems veiksmams ir jungtiniams investiciniams projektams, taip užtikrinant didesnę teritorinių ir teminių veiksmų sinergiją.</w:t>
            </w:r>
          </w:p>
          <w:p w14:paraId="6176BE6F" w14:textId="77777777" w:rsidR="00BE4FDA" w:rsidRPr="00B44B19" w:rsidRDefault="004C2FDD" w:rsidP="00E67E5C">
            <w:pPr>
              <w:spacing w:before="60" w:after="60"/>
              <w:jc w:val="both"/>
              <w:rPr>
                <w:rFonts w:ascii="Times New Roman" w:eastAsia="Times New Roman" w:hAnsi="Times New Roman" w:cs="Times New Roman"/>
                <w:b/>
                <w:bCs/>
              </w:rPr>
            </w:pPr>
            <w:r w:rsidRPr="00B44B19">
              <w:rPr>
                <w:rFonts w:ascii="Times New Roman" w:eastAsia="Times New Roman" w:hAnsi="Times New Roman" w:cs="Times New Roman"/>
                <w:b/>
              </w:rPr>
              <w:t>FZ</w:t>
            </w:r>
            <w:r w:rsidR="00BE4FDA" w:rsidRPr="00B44B19">
              <w:rPr>
                <w:rFonts w:ascii="Times New Roman" w:eastAsia="Times New Roman" w:hAnsi="Times New Roman" w:cs="Times New Roman"/>
                <w:b/>
              </w:rPr>
              <w:t xml:space="preserve"> strategija laikoma ITI teritorine strategija.</w:t>
            </w:r>
            <w:r w:rsidR="00BE4FDA" w:rsidRPr="00B44B19">
              <w:rPr>
                <w:rFonts w:ascii="Times New Roman" w:eastAsia="Times New Roman" w:hAnsi="Times New Roman" w:cs="Times New Roman"/>
              </w:rPr>
              <w:t xml:space="preserve"> Laikantis principo iš apačios </w:t>
            </w:r>
            <w:r w:rsidRPr="00B44B19">
              <w:rPr>
                <w:rFonts w:ascii="Times New Roman" w:eastAsia="Times New Roman" w:hAnsi="Times New Roman" w:cs="Times New Roman"/>
              </w:rPr>
              <w:t>FZ</w:t>
            </w:r>
            <w:r w:rsidR="00BE4FDA" w:rsidRPr="00B44B19">
              <w:rPr>
                <w:rFonts w:ascii="Times New Roman" w:eastAsia="Times New Roman" w:hAnsi="Times New Roman" w:cs="Times New Roman"/>
              </w:rPr>
              <w:t xml:space="preserve"> formuojamos, jų strategijos rengiamos savivaldybių iniciatyva ir įgyvendinamos veikiant bendrai. </w:t>
            </w:r>
            <w:r w:rsidRPr="00B44B19">
              <w:rPr>
                <w:rFonts w:ascii="Times New Roman" w:eastAsia="Times New Roman" w:hAnsi="Times New Roman" w:cs="Times New Roman"/>
              </w:rPr>
              <w:t>FZ</w:t>
            </w:r>
            <w:r w:rsidR="00BE4FDA" w:rsidRPr="00B44B19">
              <w:rPr>
                <w:rFonts w:ascii="Times New Roman" w:eastAsia="Times New Roman" w:hAnsi="Times New Roman" w:cs="Times New Roman"/>
              </w:rPr>
              <w:t xml:space="preserve"> strategijos rengiamos laikantis kompleksinių </w:t>
            </w:r>
            <w:r w:rsidRPr="00B44B19">
              <w:rPr>
                <w:rFonts w:ascii="Times New Roman" w:eastAsia="Times New Roman" w:hAnsi="Times New Roman" w:cs="Times New Roman"/>
              </w:rPr>
              <w:t>FZ</w:t>
            </w:r>
            <w:r w:rsidR="00BE4FDA" w:rsidRPr="00B44B19">
              <w:rPr>
                <w:rFonts w:ascii="Times New Roman" w:eastAsia="Times New Roman" w:hAnsi="Times New Roman" w:cs="Times New Roman"/>
              </w:rPr>
              <w:t xml:space="preserve"> plėtros projekto metu parengtų rekomendacijų, koordinuojant visų dalyvaujančių savivaldybių veiksmus. </w:t>
            </w:r>
            <w:r w:rsidRPr="00B44B19">
              <w:rPr>
                <w:rFonts w:ascii="Times New Roman" w:eastAsia="Times New Roman" w:hAnsi="Times New Roman" w:cs="Times New Roman"/>
                <w:b/>
                <w:bCs/>
              </w:rPr>
              <w:t>FZ</w:t>
            </w:r>
            <w:r w:rsidR="00BE4FDA" w:rsidRPr="00B44B19">
              <w:rPr>
                <w:rFonts w:ascii="Times New Roman" w:eastAsia="Times New Roman" w:hAnsi="Times New Roman" w:cs="Times New Roman"/>
                <w:b/>
                <w:bCs/>
              </w:rPr>
              <w:t xml:space="preserve"> įgyvendinamos ITI </w:t>
            </w:r>
            <w:r w:rsidR="00BE4FDA" w:rsidRPr="00B44B19">
              <w:rPr>
                <w:rFonts w:ascii="Times New Roman" w:eastAsia="Times New Roman" w:hAnsi="Times New Roman" w:cs="Times New Roman"/>
                <w:b/>
              </w:rPr>
              <w:t xml:space="preserve">koncentruojamos į šiuos iššūkius ir </w:t>
            </w:r>
            <w:r w:rsidR="00BC0F7C" w:rsidRPr="00B44B19">
              <w:rPr>
                <w:rFonts w:ascii="Times New Roman" w:eastAsia="Times New Roman" w:hAnsi="Times New Roman" w:cs="Times New Roman"/>
                <w:b/>
              </w:rPr>
              <w:t>Programos</w:t>
            </w:r>
            <w:r w:rsidR="00BE4FDA" w:rsidRPr="00B44B19">
              <w:rPr>
                <w:rFonts w:ascii="Times New Roman" w:eastAsia="Times New Roman" w:hAnsi="Times New Roman" w:cs="Times New Roman"/>
                <w:b/>
              </w:rPr>
              <w:t xml:space="preserve"> uždavinius:</w:t>
            </w:r>
          </w:p>
          <w:p w14:paraId="2374A60E" w14:textId="77777777" w:rsidR="00BE4FDA" w:rsidRPr="00B44B19" w:rsidRDefault="00BE4FDA" w:rsidP="00E67E5C">
            <w:pPr>
              <w:tabs>
                <w:tab w:val="left" w:pos="567"/>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w:t>
            </w:r>
            <w:r w:rsidRPr="00B44B19">
              <w:rPr>
                <w:rFonts w:ascii="Times New Roman" w:eastAsia="Times New Roman" w:hAnsi="Times New Roman" w:cs="Times New Roman"/>
                <w:bCs/>
              </w:rPr>
              <w:tab/>
            </w:r>
            <w:r w:rsidRPr="00B44B19">
              <w:rPr>
                <w:rFonts w:ascii="Times New Roman" w:eastAsia="Times New Roman" w:hAnsi="Times New Roman" w:cs="Times New Roman"/>
                <w:b/>
                <w:bCs/>
              </w:rPr>
              <w:t>Tvaraus, funkcionalaus, integruoto mobilumo užtikrinimą,</w:t>
            </w:r>
            <w:r w:rsidRPr="00B44B19">
              <w:rPr>
                <w:rFonts w:ascii="Times New Roman" w:eastAsia="Times New Roman" w:hAnsi="Times New Roman" w:cs="Times New Roman"/>
                <w:bCs/>
              </w:rPr>
              <w:t xml:space="preserve"> taip pat investuojant ir į geresniam darbo vietų pasiekiamumui, paslaugų prieinamumui, transporto taršos mažinimui, geresniam teritorijų junglumui, regionų investiciniam patrauklumui didinti reikiamą infrastruktūrą </w:t>
            </w:r>
            <w:r w:rsidR="000C1260" w:rsidRPr="00B44B19">
              <w:rPr>
                <w:rFonts w:ascii="Times New Roman" w:eastAsia="Times New Roman" w:hAnsi="Times New Roman" w:cs="Times New Roman"/>
                <w:bCs/>
              </w:rPr>
              <w:t xml:space="preserve">ir </w:t>
            </w:r>
            <w:r w:rsidRPr="00B44B19">
              <w:rPr>
                <w:rFonts w:ascii="Times New Roman" w:eastAsia="Times New Roman" w:hAnsi="Times New Roman" w:cs="Times New Roman"/>
                <w:bCs/>
              </w:rPr>
              <w:t xml:space="preserve">(kur tinkama) </w:t>
            </w:r>
            <w:r w:rsidR="00C63DCA" w:rsidRPr="00B44B19">
              <w:rPr>
                <w:rFonts w:ascii="Times New Roman" w:eastAsia="Times New Roman" w:hAnsi="Times New Roman" w:cs="Times New Roman"/>
                <w:bCs/>
              </w:rPr>
              <w:t>pasitelkiant</w:t>
            </w:r>
            <w:r w:rsidR="00C63DCA" w:rsidRPr="00B44B19" w:rsidDel="00C63DCA">
              <w:rPr>
                <w:rFonts w:ascii="Times New Roman" w:eastAsia="Times New Roman" w:hAnsi="Times New Roman" w:cs="Times New Roman"/>
                <w:bCs/>
              </w:rPr>
              <w:t xml:space="preserve"> </w:t>
            </w:r>
            <w:r w:rsidR="00BC0F7C" w:rsidRPr="00B44B19">
              <w:rPr>
                <w:rFonts w:ascii="Times New Roman" w:eastAsia="Times New Roman" w:hAnsi="Times New Roman" w:cs="Times New Roman"/>
                <w:bCs/>
              </w:rPr>
              <w:t>Programos</w:t>
            </w:r>
            <w:r w:rsidRPr="00B44B19">
              <w:rPr>
                <w:rFonts w:ascii="Times New Roman" w:eastAsia="Times New Roman" w:hAnsi="Times New Roman" w:cs="Times New Roman"/>
                <w:bCs/>
              </w:rPr>
              <w:t xml:space="preserve"> 8 specialaus prioriteto investicijomis DJMP įgyvendinimui</w:t>
            </w:r>
            <w:r w:rsidR="00E20E46" w:rsidRPr="00B44B19">
              <w:rPr>
                <w:rFonts w:ascii="Times New Roman" w:eastAsia="Times New Roman" w:hAnsi="Times New Roman" w:cs="Times New Roman"/>
                <w:bCs/>
              </w:rPr>
              <w:t xml:space="preserve"> ir</w:t>
            </w:r>
            <w:r w:rsidR="00E20E46" w:rsidRPr="00B44B19">
              <w:rPr>
                <w:rFonts w:ascii="Times New Roman" w:hAnsi="Times New Roman" w:cs="Times New Roman"/>
              </w:rPr>
              <w:t xml:space="preserve"> </w:t>
            </w:r>
            <w:r w:rsidR="00E20E46" w:rsidRPr="00B44B19">
              <w:rPr>
                <w:rFonts w:ascii="Times New Roman" w:eastAsia="Times New Roman" w:hAnsi="Times New Roman" w:cs="Times New Roman"/>
                <w:bCs/>
              </w:rPr>
              <w:t xml:space="preserve">Programos 3.2 uždavinio investicijomis </w:t>
            </w:r>
            <w:r w:rsidR="000C1260" w:rsidRPr="00B44B19">
              <w:rPr>
                <w:rFonts w:ascii="Times New Roman" w:eastAsia="Times New Roman" w:hAnsi="Times New Roman" w:cs="Times New Roman"/>
                <w:bCs/>
              </w:rPr>
              <w:t xml:space="preserve">į </w:t>
            </w:r>
            <w:r w:rsidR="00E20E46" w:rsidRPr="00B44B19">
              <w:rPr>
                <w:rFonts w:ascii="Times New Roman" w:eastAsia="Times New Roman" w:hAnsi="Times New Roman" w:cs="Times New Roman"/>
                <w:bCs/>
              </w:rPr>
              <w:t>eismo saug</w:t>
            </w:r>
            <w:r w:rsidR="000C1260" w:rsidRPr="00B44B19">
              <w:rPr>
                <w:rFonts w:ascii="Times New Roman" w:eastAsia="Times New Roman" w:hAnsi="Times New Roman" w:cs="Times New Roman"/>
                <w:bCs/>
              </w:rPr>
              <w:t>ą</w:t>
            </w:r>
            <w:r w:rsidR="00E20E46" w:rsidRPr="00B44B19">
              <w:rPr>
                <w:rFonts w:ascii="Times New Roman" w:eastAsia="Times New Roman" w:hAnsi="Times New Roman" w:cs="Times New Roman"/>
                <w:bCs/>
              </w:rPr>
              <w:t>.</w:t>
            </w:r>
          </w:p>
          <w:p w14:paraId="4D1338FB" w14:textId="77777777" w:rsidR="00BE4FDA" w:rsidRPr="00B44B19" w:rsidRDefault="00BE4FDA" w:rsidP="00E67E5C">
            <w:pPr>
              <w:tabs>
                <w:tab w:val="left" w:pos="567"/>
              </w:tabs>
              <w:spacing w:before="60" w:after="60"/>
              <w:jc w:val="both"/>
              <w:rPr>
                <w:rFonts w:ascii="Times New Roman" w:eastAsia="Times New Roman" w:hAnsi="Times New Roman" w:cs="Times New Roman"/>
                <w:b/>
                <w:bCs/>
              </w:rPr>
            </w:pPr>
            <w:r w:rsidRPr="00B44B19">
              <w:rPr>
                <w:rFonts w:ascii="Times New Roman" w:eastAsia="Times New Roman" w:hAnsi="Times New Roman" w:cs="Times New Roman"/>
                <w:bCs/>
              </w:rPr>
              <w:t>-</w:t>
            </w:r>
            <w:r w:rsidRPr="00B44B19">
              <w:rPr>
                <w:rFonts w:ascii="Times New Roman" w:eastAsia="Times New Roman" w:hAnsi="Times New Roman" w:cs="Times New Roman"/>
                <w:bCs/>
              </w:rPr>
              <w:tab/>
            </w:r>
            <w:r w:rsidR="008A1CD6" w:rsidRPr="00B44B19">
              <w:rPr>
                <w:rFonts w:ascii="Times New Roman" w:eastAsia="Times New Roman" w:hAnsi="Times New Roman" w:cs="Times New Roman"/>
                <w:b/>
                <w:bCs/>
              </w:rPr>
              <w:t>Socialinės įtraukties stiprinimą ir bazinių poreikių užtikrinimą</w:t>
            </w:r>
            <w:r w:rsidR="008A1CD6" w:rsidRPr="00B44B19">
              <w:rPr>
                <w:rFonts w:ascii="Times New Roman" w:eastAsia="Times New Roman" w:hAnsi="Times New Roman" w:cs="Times New Roman"/>
                <w:bCs/>
              </w:rPr>
              <w:t xml:space="preserve">, teikiant </w:t>
            </w:r>
            <w:r w:rsidR="008A1CD6" w:rsidRPr="00B44B19">
              <w:rPr>
                <w:rFonts w:ascii="Times New Roman" w:eastAsia="Times New Roman" w:hAnsi="Times New Roman" w:cs="Times New Roman"/>
                <w:b/>
                <w:bCs/>
              </w:rPr>
              <w:t>k</w:t>
            </w:r>
            <w:r w:rsidRPr="00B44B19">
              <w:rPr>
                <w:rFonts w:ascii="Times New Roman" w:eastAsia="Times New Roman" w:hAnsi="Times New Roman" w:cs="Times New Roman"/>
                <w:b/>
                <w:bCs/>
              </w:rPr>
              <w:t>okybišk</w:t>
            </w:r>
            <w:r w:rsidR="008A1CD6" w:rsidRPr="00B44B19">
              <w:rPr>
                <w:rFonts w:ascii="Times New Roman" w:eastAsia="Times New Roman" w:hAnsi="Times New Roman" w:cs="Times New Roman"/>
                <w:b/>
                <w:bCs/>
              </w:rPr>
              <w:t>as</w:t>
            </w:r>
            <w:r w:rsidRPr="00B44B19">
              <w:rPr>
                <w:rFonts w:ascii="Times New Roman" w:eastAsia="Times New Roman" w:hAnsi="Times New Roman" w:cs="Times New Roman"/>
                <w:b/>
                <w:bCs/>
              </w:rPr>
              <w:t>, inovatyvi</w:t>
            </w:r>
            <w:r w:rsidR="008A1CD6" w:rsidRPr="00B44B19">
              <w:rPr>
                <w:rFonts w:ascii="Times New Roman" w:eastAsia="Times New Roman" w:hAnsi="Times New Roman" w:cs="Times New Roman"/>
                <w:b/>
                <w:bCs/>
              </w:rPr>
              <w:t>as</w:t>
            </w:r>
            <w:r w:rsidRPr="00B44B19">
              <w:rPr>
                <w:rFonts w:ascii="Times New Roman" w:eastAsia="Times New Roman" w:hAnsi="Times New Roman" w:cs="Times New Roman"/>
                <w:b/>
                <w:bCs/>
              </w:rPr>
              <w:t>, kompleksin</w:t>
            </w:r>
            <w:r w:rsidR="008A1CD6" w:rsidRPr="00B44B19">
              <w:rPr>
                <w:rFonts w:ascii="Times New Roman" w:eastAsia="Times New Roman" w:hAnsi="Times New Roman" w:cs="Times New Roman"/>
                <w:b/>
                <w:bCs/>
              </w:rPr>
              <w:t>es</w:t>
            </w:r>
            <w:r w:rsidRPr="00B44B19">
              <w:rPr>
                <w:rFonts w:ascii="Times New Roman" w:eastAsia="Times New Roman" w:hAnsi="Times New Roman" w:cs="Times New Roman"/>
                <w:b/>
                <w:bCs/>
              </w:rPr>
              <w:t xml:space="preserve"> </w:t>
            </w:r>
            <w:r w:rsidR="008A1CD6" w:rsidRPr="00B44B19">
              <w:rPr>
                <w:rFonts w:ascii="Times New Roman" w:eastAsia="Times New Roman" w:hAnsi="Times New Roman" w:cs="Times New Roman"/>
                <w:b/>
                <w:bCs/>
              </w:rPr>
              <w:t xml:space="preserve">viešąsias </w:t>
            </w:r>
            <w:r w:rsidRPr="00B44B19">
              <w:rPr>
                <w:rFonts w:ascii="Times New Roman" w:eastAsia="Times New Roman" w:hAnsi="Times New Roman" w:cs="Times New Roman"/>
                <w:b/>
                <w:bCs/>
              </w:rPr>
              <w:t>paslaug</w:t>
            </w:r>
            <w:r w:rsidR="008A1CD6" w:rsidRPr="00B44B19">
              <w:rPr>
                <w:rFonts w:ascii="Times New Roman" w:eastAsia="Times New Roman" w:hAnsi="Times New Roman" w:cs="Times New Roman"/>
                <w:b/>
                <w:bCs/>
              </w:rPr>
              <w:t>as</w:t>
            </w:r>
            <w:r w:rsidRPr="00B44B19">
              <w:rPr>
                <w:rFonts w:ascii="Times New Roman" w:eastAsia="Times New Roman" w:hAnsi="Times New Roman" w:cs="Times New Roman"/>
                <w:b/>
                <w:bCs/>
              </w:rPr>
              <w:t xml:space="preserve"> </w:t>
            </w:r>
            <w:r w:rsidRPr="00B44B19">
              <w:rPr>
                <w:rFonts w:ascii="Times New Roman" w:eastAsia="Times New Roman" w:hAnsi="Times New Roman" w:cs="Times New Roman"/>
                <w:bCs/>
              </w:rPr>
              <w:t xml:space="preserve">(kur tinkama – skaitmeninant), taip pat investuojant į reikiamą infrastruktūrą </w:t>
            </w:r>
            <w:r w:rsidRPr="00B44B19">
              <w:rPr>
                <w:rFonts w:ascii="Times New Roman" w:eastAsia="Times New Roman" w:hAnsi="Times New Roman" w:cs="Times New Roman"/>
                <w:b/>
                <w:bCs/>
              </w:rPr>
              <w:t>bei efektyvų ir tvarų viešosios infrastruktūros valdymą ir naudojimą</w:t>
            </w:r>
            <w:r w:rsidRPr="00B44B19">
              <w:rPr>
                <w:rFonts w:ascii="Times New Roman" w:eastAsia="Times New Roman" w:hAnsi="Times New Roman" w:cs="Times New Roman"/>
                <w:bCs/>
              </w:rPr>
              <w:t xml:space="preserve">, </w:t>
            </w:r>
            <w:r w:rsidRPr="00B44B19">
              <w:rPr>
                <w:rFonts w:ascii="Times New Roman" w:eastAsia="Times New Roman" w:hAnsi="Times New Roman" w:cs="Times New Roman"/>
              </w:rPr>
              <w:t xml:space="preserve">kartu </w:t>
            </w:r>
            <w:r w:rsidR="00C63DCA" w:rsidRPr="00B44B19">
              <w:rPr>
                <w:rFonts w:ascii="Times New Roman" w:eastAsia="Times New Roman" w:hAnsi="Times New Roman" w:cs="Times New Roman"/>
                <w:bCs/>
              </w:rPr>
              <w:t>pasitelkiant</w:t>
            </w:r>
            <w:r w:rsidRPr="00B44B19">
              <w:rPr>
                <w:rFonts w:ascii="Times New Roman" w:eastAsia="Times New Roman" w:hAnsi="Times New Roman" w:cs="Times New Roman"/>
              </w:rPr>
              <w:t xml:space="preserve"> </w:t>
            </w:r>
            <w:r w:rsidR="0073450E" w:rsidRPr="00B44B19">
              <w:rPr>
                <w:rFonts w:ascii="Times New Roman" w:eastAsia="Times New Roman" w:hAnsi="Times New Roman" w:cs="Times New Roman"/>
              </w:rPr>
              <w:t>Programos</w:t>
            </w:r>
            <w:r w:rsidRPr="00B44B19">
              <w:rPr>
                <w:rFonts w:ascii="Times New Roman" w:eastAsia="Times New Roman" w:hAnsi="Times New Roman" w:cs="Times New Roman"/>
              </w:rPr>
              <w:t xml:space="preserve"> 4 prioriteto 4.5</w:t>
            </w:r>
            <w:r w:rsidR="00325162" w:rsidRPr="00B44B19">
              <w:rPr>
                <w:rFonts w:ascii="Times New Roman" w:eastAsia="Times New Roman" w:hAnsi="Times New Roman" w:cs="Times New Roman"/>
              </w:rPr>
              <w:t xml:space="preserve"> uždavinio (ugdymo paslaugų prieinamumas atskirtį ar socialines rizikas patiriantiems vaikams)</w:t>
            </w:r>
            <w:r w:rsidRPr="00B44B19">
              <w:rPr>
                <w:rFonts w:ascii="Times New Roman" w:eastAsia="Times New Roman" w:hAnsi="Times New Roman" w:cs="Times New Roman"/>
              </w:rPr>
              <w:t>,</w:t>
            </w:r>
            <w:r w:rsidR="00325162" w:rsidRPr="00B44B19">
              <w:rPr>
                <w:rFonts w:ascii="Times New Roman" w:eastAsia="Times New Roman" w:hAnsi="Times New Roman" w:cs="Times New Roman"/>
              </w:rPr>
              <w:t xml:space="preserve"> </w:t>
            </w:r>
            <w:r w:rsidRPr="00B44B19">
              <w:rPr>
                <w:rFonts w:ascii="Times New Roman" w:eastAsia="Times New Roman" w:hAnsi="Times New Roman" w:cs="Times New Roman"/>
              </w:rPr>
              <w:t>4.8</w:t>
            </w:r>
            <w:r w:rsidR="00325162" w:rsidRPr="00B44B19">
              <w:rPr>
                <w:rFonts w:ascii="Times New Roman" w:eastAsia="Times New Roman" w:hAnsi="Times New Roman" w:cs="Times New Roman"/>
              </w:rPr>
              <w:t xml:space="preserve"> uždavinio (prevencinės priemonės, stiprinančios visuomenės sveikatą)</w:t>
            </w:r>
            <w:r w:rsidRPr="00B44B19">
              <w:rPr>
                <w:rFonts w:ascii="Times New Roman" w:eastAsia="Times New Roman" w:hAnsi="Times New Roman" w:cs="Times New Roman"/>
              </w:rPr>
              <w:t>, 4.9</w:t>
            </w:r>
            <w:r w:rsidR="00325162" w:rsidRPr="00B44B19">
              <w:rPr>
                <w:rFonts w:ascii="Times New Roman" w:eastAsia="Times New Roman" w:hAnsi="Times New Roman" w:cs="Times New Roman"/>
              </w:rPr>
              <w:t xml:space="preserve"> uždavinio (paslaugų, susijusių su institucinės globos pertvarka, nestacionarių socialinių paslaugų plėtra, socialinio būsto plėtra)</w:t>
            </w:r>
            <w:r w:rsidRPr="00B44B19">
              <w:rPr>
                <w:rFonts w:ascii="Times New Roman" w:eastAsia="Times New Roman" w:hAnsi="Times New Roman" w:cs="Times New Roman"/>
              </w:rPr>
              <w:t xml:space="preserve">, 4.10 </w:t>
            </w:r>
            <w:r w:rsidR="00325162" w:rsidRPr="00B44B19">
              <w:rPr>
                <w:rFonts w:ascii="Times New Roman" w:eastAsia="Times New Roman" w:hAnsi="Times New Roman" w:cs="Times New Roman"/>
              </w:rPr>
              <w:t>uždavinio (ilgalaikės priežiūros paslaugų sistemos plėtra)</w:t>
            </w:r>
            <w:r w:rsidRPr="00B44B19">
              <w:rPr>
                <w:rFonts w:ascii="Times New Roman" w:eastAsia="Times New Roman" w:hAnsi="Times New Roman" w:cs="Times New Roman"/>
              </w:rPr>
              <w:t>, 2 priorite</w:t>
            </w:r>
            <w:r w:rsidR="0073450E" w:rsidRPr="00B44B19">
              <w:rPr>
                <w:rFonts w:ascii="Times New Roman" w:eastAsia="Times New Roman" w:hAnsi="Times New Roman" w:cs="Times New Roman"/>
              </w:rPr>
              <w:t>to 2.</w:t>
            </w:r>
            <w:r w:rsidR="008A1CD6" w:rsidRPr="00B44B19">
              <w:rPr>
                <w:rFonts w:ascii="Times New Roman" w:eastAsia="Times New Roman" w:hAnsi="Times New Roman" w:cs="Times New Roman"/>
              </w:rPr>
              <w:t>5</w:t>
            </w:r>
            <w:r w:rsidR="00325162" w:rsidRPr="00B44B19">
              <w:rPr>
                <w:rFonts w:ascii="Times New Roman" w:eastAsia="Times New Roman" w:hAnsi="Times New Roman" w:cs="Times New Roman"/>
              </w:rPr>
              <w:t xml:space="preserve"> uždavinio (geriamojo vandens tiekimo tinklų plėtra), </w:t>
            </w:r>
            <w:r w:rsidR="0073450E" w:rsidRPr="00B44B19">
              <w:rPr>
                <w:rFonts w:ascii="Times New Roman" w:eastAsia="Times New Roman" w:hAnsi="Times New Roman" w:cs="Times New Roman"/>
              </w:rPr>
              <w:t>2.</w:t>
            </w:r>
            <w:r w:rsidR="008A1CD6" w:rsidRPr="00B44B19">
              <w:rPr>
                <w:rFonts w:ascii="Times New Roman" w:eastAsia="Times New Roman" w:hAnsi="Times New Roman" w:cs="Times New Roman"/>
              </w:rPr>
              <w:t>6</w:t>
            </w:r>
            <w:r w:rsidR="0073450E" w:rsidRPr="00B44B19">
              <w:rPr>
                <w:rFonts w:ascii="Times New Roman" w:eastAsia="Times New Roman" w:hAnsi="Times New Roman" w:cs="Times New Roman"/>
              </w:rPr>
              <w:t xml:space="preserve"> </w:t>
            </w:r>
            <w:r w:rsidR="00325162" w:rsidRPr="00B44B19">
              <w:rPr>
                <w:rFonts w:ascii="Times New Roman" w:eastAsia="Times New Roman" w:hAnsi="Times New Roman" w:cs="Times New Roman"/>
              </w:rPr>
              <w:t>uždavinio (komunalinių atliekų rūšiuojamojo surinkimo pajėgumų didinimas), 2.7 uždavinio (žaliosios infrastruktūros urbanizuotoje aplinkoje plėtra, pažeistų ir užterštų teritorijų tvarkymas; oro monitoringo sistemų stiprinimas)</w:t>
            </w:r>
            <w:r w:rsidR="0073450E" w:rsidRPr="00B44B19">
              <w:rPr>
                <w:rFonts w:ascii="Times New Roman" w:eastAsia="Times New Roman" w:hAnsi="Times New Roman" w:cs="Times New Roman"/>
              </w:rPr>
              <w:t xml:space="preserve"> ir </w:t>
            </w:r>
            <w:r w:rsidRPr="00B44B19">
              <w:rPr>
                <w:rFonts w:ascii="Times New Roman" w:eastAsia="Times New Roman" w:hAnsi="Times New Roman" w:cs="Times New Roman"/>
              </w:rPr>
              <w:t>8 speciali</w:t>
            </w:r>
            <w:r w:rsidR="00325162" w:rsidRPr="00B44B19">
              <w:rPr>
                <w:rFonts w:ascii="Times New Roman" w:eastAsia="Times New Roman" w:hAnsi="Times New Roman" w:cs="Times New Roman"/>
              </w:rPr>
              <w:t>ojo</w:t>
            </w:r>
            <w:r w:rsidRPr="00B44B19">
              <w:rPr>
                <w:rFonts w:ascii="Times New Roman" w:eastAsia="Times New Roman" w:hAnsi="Times New Roman" w:cs="Times New Roman"/>
              </w:rPr>
              <w:t xml:space="preserve"> prioritet</w:t>
            </w:r>
            <w:r w:rsidR="00325162" w:rsidRPr="00B44B19">
              <w:rPr>
                <w:rFonts w:ascii="Times New Roman" w:eastAsia="Times New Roman" w:hAnsi="Times New Roman" w:cs="Times New Roman"/>
              </w:rPr>
              <w:t xml:space="preserve">o </w:t>
            </w:r>
            <w:r w:rsidR="00DD63BA" w:rsidRPr="00B44B19">
              <w:rPr>
                <w:rFonts w:ascii="Times New Roman" w:eastAsia="Times New Roman" w:hAnsi="Times New Roman" w:cs="Times New Roman"/>
              </w:rPr>
              <w:t>investicijas</w:t>
            </w:r>
            <w:r w:rsidR="00325162" w:rsidRPr="00B44B19">
              <w:rPr>
                <w:rFonts w:ascii="Times New Roman" w:eastAsia="Times New Roman" w:hAnsi="Times New Roman" w:cs="Times New Roman"/>
              </w:rPr>
              <w:t xml:space="preserve">, kuriomis įgyvendinamos darnaus judumo priemonės. Viešųjų paslaugų infrastruktūros plėtra bus koordinuojama per </w:t>
            </w:r>
            <w:r w:rsidR="004C2FDD" w:rsidRPr="00B44B19">
              <w:rPr>
                <w:rFonts w:ascii="Times New Roman" w:eastAsia="Times New Roman" w:hAnsi="Times New Roman" w:cs="Times New Roman"/>
              </w:rPr>
              <w:t>FZ</w:t>
            </w:r>
            <w:r w:rsidR="00325162" w:rsidRPr="00B44B19">
              <w:rPr>
                <w:rFonts w:ascii="Times New Roman" w:eastAsia="Times New Roman" w:hAnsi="Times New Roman" w:cs="Times New Roman"/>
              </w:rPr>
              <w:t xml:space="preserve"> savivaldybių bendrai planuojamus integruotus veiksmus (remiantis savivaldybių susitarimu dėl bendrų veiksmų), kur 5.2 uždavinio investicijomis bus remiama bendrai naudojama infrastruktūra, </w:t>
            </w:r>
            <w:r w:rsidR="00C63DCA" w:rsidRPr="00B44B19">
              <w:rPr>
                <w:rFonts w:ascii="Times New Roman" w:eastAsia="Times New Roman" w:hAnsi="Times New Roman" w:cs="Times New Roman"/>
              </w:rPr>
              <w:t>bei</w:t>
            </w:r>
            <w:r w:rsidR="00325162" w:rsidRPr="00B44B19">
              <w:rPr>
                <w:rFonts w:ascii="Times New Roman" w:eastAsia="Times New Roman" w:hAnsi="Times New Roman" w:cs="Times New Roman"/>
              </w:rPr>
              <w:t xml:space="preserve"> infrastruktūra, kurios neremia kiti Programos prioritetai (pvz. – turizmo, judumo), užtikrinanti galimybes teikti paslaugas daugiau kaip vienos savivaldybės teritorijoje, derinant su kitų prioritetų investicijomis, jomis papildant ir jų nedubliuojant</w:t>
            </w:r>
            <w:r w:rsidRPr="00B44B19">
              <w:rPr>
                <w:rFonts w:ascii="Times New Roman" w:eastAsia="Times New Roman" w:hAnsi="Times New Roman" w:cs="Times New Roman"/>
              </w:rPr>
              <w:t>.</w:t>
            </w:r>
          </w:p>
          <w:p w14:paraId="757DE37A" w14:textId="77777777" w:rsidR="00BE4FDA" w:rsidRPr="00B44B19" w:rsidRDefault="00BE4FDA" w:rsidP="00E67E5C">
            <w:pPr>
              <w:tabs>
                <w:tab w:val="left" w:pos="567"/>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w:t>
            </w:r>
            <w:r w:rsidRPr="00B44B19">
              <w:rPr>
                <w:rFonts w:ascii="Times New Roman" w:eastAsia="Times New Roman" w:hAnsi="Times New Roman" w:cs="Times New Roman"/>
                <w:bCs/>
              </w:rPr>
              <w:tab/>
            </w:r>
            <w:r w:rsidRPr="00B44B19">
              <w:rPr>
                <w:rFonts w:ascii="Times New Roman" w:eastAsia="Times New Roman" w:hAnsi="Times New Roman" w:cs="Times New Roman"/>
                <w:b/>
                <w:bCs/>
              </w:rPr>
              <w:t>Ekonominio potencialo stiprinimą, investicinio patrauklumo didinimą, verslumo ugdymą ir verslo aplinkos gerinimą</w:t>
            </w:r>
            <w:r w:rsidRPr="00B44B19">
              <w:rPr>
                <w:rFonts w:ascii="Times New Roman" w:eastAsia="Times New Roman" w:hAnsi="Times New Roman" w:cs="Times New Roman"/>
                <w:bCs/>
              </w:rPr>
              <w:t xml:space="preserve">, siekiant kurti naujas darbo vietas ir plėtoti </w:t>
            </w:r>
            <w:r w:rsidR="00636EB2" w:rsidRPr="00B44B19">
              <w:rPr>
                <w:rFonts w:ascii="Times New Roman" w:eastAsia="Times New Roman" w:hAnsi="Times New Roman" w:cs="Times New Roman"/>
                <w:bCs/>
              </w:rPr>
              <w:t>APV</w:t>
            </w:r>
            <w:r w:rsidRPr="00B44B19">
              <w:rPr>
                <w:rFonts w:ascii="Times New Roman" w:eastAsia="Times New Roman" w:hAnsi="Times New Roman" w:cs="Times New Roman"/>
                <w:bCs/>
              </w:rPr>
              <w:t xml:space="preserve"> kuriančius verslus, kartu </w:t>
            </w:r>
            <w:r w:rsidR="0085186F" w:rsidRPr="00B44B19">
              <w:rPr>
                <w:rFonts w:ascii="Times New Roman" w:eastAsia="Times New Roman" w:hAnsi="Times New Roman" w:cs="Times New Roman"/>
                <w:bCs/>
              </w:rPr>
              <w:t xml:space="preserve">pasitelkiant </w:t>
            </w:r>
            <w:r w:rsidR="0073450E" w:rsidRPr="00B44B19">
              <w:rPr>
                <w:rFonts w:ascii="Times New Roman" w:eastAsia="Times New Roman" w:hAnsi="Times New Roman" w:cs="Times New Roman"/>
                <w:bCs/>
              </w:rPr>
              <w:t>Programos</w:t>
            </w:r>
            <w:r w:rsidRPr="00B44B19">
              <w:rPr>
                <w:rFonts w:ascii="Times New Roman" w:eastAsia="Times New Roman" w:hAnsi="Times New Roman" w:cs="Times New Roman"/>
                <w:bCs/>
              </w:rPr>
              <w:t xml:space="preserve"> 8 specialaus prioriteto investicijomis į darnų judumą, kurios be joms keliamo pirminio tikslo – ŠESD mažinimo, </w:t>
            </w:r>
            <w:r w:rsidRPr="00B44B19">
              <w:rPr>
                <w:rFonts w:ascii="Times New Roman" w:eastAsia="Times New Roman" w:hAnsi="Times New Roman" w:cs="Times New Roman"/>
              </w:rPr>
              <w:t>efektyviai prisideda ir prie darbo vietų</w:t>
            </w:r>
            <w:r w:rsidR="000C1260" w:rsidRPr="00B44B19">
              <w:rPr>
                <w:rFonts w:ascii="Times New Roman" w:eastAsia="Times New Roman" w:hAnsi="Times New Roman" w:cs="Times New Roman"/>
              </w:rPr>
              <w:t xml:space="preserve"> pasiekiam</w:t>
            </w:r>
            <w:r w:rsidR="00C24BAB" w:rsidRPr="00B44B19">
              <w:rPr>
                <w:rFonts w:ascii="Times New Roman" w:eastAsia="Times New Roman" w:hAnsi="Times New Roman" w:cs="Times New Roman"/>
              </w:rPr>
              <w:t>u</w:t>
            </w:r>
            <w:r w:rsidR="000C1260" w:rsidRPr="00B44B19">
              <w:rPr>
                <w:rFonts w:ascii="Times New Roman" w:eastAsia="Times New Roman" w:hAnsi="Times New Roman" w:cs="Times New Roman"/>
              </w:rPr>
              <w:t>mo</w:t>
            </w:r>
            <w:r w:rsidRPr="00B44B19">
              <w:rPr>
                <w:rFonts w:ascii="Times New Roman" w:eastAsia="Times New Roman" w:hAnsi="Times New Roman" w:cs="Times New Roman"/>
                <w:bCs/>
              </w:rPr>
              <w:t>.</w:t>
            </w:r>
          </w:p>
          <w:p w14:paraId="798CA78B" w14:textId="77777777" w:rsidR="009E5BFD" w:rsidRPr="00B44B19" w:rsidRDefault="00BE4FDA" w:rsidP="00E67E5C">
            <w:pPr>
              <w:numPr>
                <w:ilvl w:val="0"/>
                <w:numId w:val="5"/>
              </w:numPr>
              <w:tabs>
                <w:tab w:val="left" w:pos="567"/>
              </w:tabs>
              <w:spacing w:before="60" w:after="60"/>
              <w:ind w:left="29" w:firstLine="331"/>
              <w:contextualSpacing/>
              <w:jc w:val="both"/>
              <w:rPr>
                <w:rFonts w:ascii="Times New Roman" w:eastAsia="Times New Roman" w:hAnsi="Times New Roman" w:cs="Times New Roman"/>
              </w:rPr>
            </w:pPr>
            <w:r w:rsidRPr="00B44B19">
              <w:rPr>
                <w:rFonts w:ascii="Times New Roman" w:eastAsia="Times New Roman" w:hAnsi="Times New Roman" w:cs="Times New Roman"/>
                <w:b/>
              </w:rPr>
              <w:t>Verslo, gyventojų, VVG, nevyriausybinių organizacijų ir kitų partnerių įtraukimą į teritorinių problemų sprendimą, partnerystės puoselėjimą ir stiprinimą, vietos iniciatyvų rėmimą ir gebėjimų stiprinimą</w:t>
            </w:r>
            <w:r w:rsidRPr="00B44B19">
              <w:rPr>
                <w:rFonts w:ascii="Times New Roman" w:eastAsia="Times New Roman" w:hAnsi="Times New Roman" w:cs="Times New Roman"/>
              </w:rPr>
              <w:t xml:space="preserve">, </w:t>
            </w:r>
            <w:r w:rsidR="000C1260" w:rsidRPr="00B44B19">
              <w:rPr>
                <w:rFonts w:ascii="Times New Roman" w:eastAsia="Times New Roman" w:hAnsi="Times New Roman" w:cs="Times New Roman"/>
              </w:rPr>
              <w:t xml:space="preserve">kartu pasitelkiant Struktūrinių reformų paramos programos bei Veiksmų programos investicijas regionų plėtros tarybų ir savivaldybių gebėjimams (įskaitant žmogiškųjų, finansinių išteklių valdymo, strateginio planavimo) gerinti, regionų tvarios plėtros planavimo ir įgyvendinimo efektyvumui didinti, BIVP instrumentą ir teikiant ekspertinę pagalbą </w:t>
            </w:r>
            <w:r w:rsidR="004C2FDD" w:rsidRPr="00B44B19">
              <w:rPr>
                <w:rFonts w:ascii="Times New Roman" w:eastAsia="Times New Roman" w:hAnsi="Times New Roman" w:cs="Times New Roman"/>
              </w:rPr>
              <w:t>FZ</w:t>
            </w:r>
            <w:r w:rsidR="000C1260" w:rsidRPr="00B44B19">
              <w:rPr>
                <w:rFonts w:ascii="Times New Roman" w:eastAsia="Times New Roman" w:hAnsi="Times New Roman" w:cs="Times New Roman"/>
              </w:rPr>
              <w:t xml:space="preserve"> plėtros strategijoms rengti.</w:t>
            </w:r>
          </w:p>
          <w:p w14:paraId="240472D0" w14:textId="77777777" w:rsidR="009E5BFD" w:rsidRPr="00B44B19" w:rsidRDefault="004C2FDD" w:rsidP="00E67E5C">
            <w:pPr>
              <w:tabs>
                <w:tab w:val="left" w:pos="567"/>
              </w:tabs>
              <w:spacing w:before="60" w:after="60"/>
              <w:ind w:left="28" w:firstLine="567"/>
              <w:contextualSpacing/>
              <w:jc w:val="both"/>
              <w:rPr>
                <w:rFonts w:ascii="Times New Roman" w:eastAsia="Times New Roman" w:hAnsi="Times New Roman" w:cs="Times New Roman"/>
              </w:rPr>
            </w:pPr>
            <w:r w:rsidRPr="00B44B19">
              <w:rPr>
                <w:rFonts w:ascii="Times New Roman" w:eastAsia="Times New Roman" w:hAnsi="Times New Roman" w:cs="Times New Roman"/>
                <w:b/>
              </w:rPr>
              <w:t>FZ</w:t>
            </w:r>
            <w:r w:rsidR="009E5BFD" w:rsidRPr="00B44B19">
              <w:rPr>
                <w:rFonts w:ascii="Times New Roman" w:eastAsia="Times New Roman" w:hAnsi="Times New Roman" w:cs="Times New Roman"/>
                <w:b/>
              </w:rPr>
              <w:t xml:space="preserve"> strategijos</w:t>
            </w:r>
            <w:r w:rsidR="009E5BFD" w:rsidRPr="00B44B19">
              <w:rPr>
                <w:rFonts w:ascii="Times New Roman" w:eastAsia="Times New Roman" w:hAnsi="Times New Roman" w:cs="Times New Roman"/>
              </w:rPr>
              <w:t xml:space="preserve"> turės sinerginį efektą su nacionaliniu lygiu įgvendinamais uždaviniais, įskaitant Programos 4 prioriteto 4.1 uždavinį, skirtą didinti bedarbių galimybes įsidarbinti ar grįžti į </w:t>
            </w:r>
            <w:r w:rsidR="002F4119" w:rsidRPr="00B44B19">
              <w:rPr>
                <w:rFonts w:ascii="Times New Roman" w:eastAsia="Times New Roman" w:hAnsi="Times New Roman" w:cs="Times New Roman"/>
              </w:rPr>
              <w:t>DR</w:t>
            </w:r>
            <w:r w:rsidR="009E5BFD" w:rsidRPr="00B44B19">
              <w:rPr>
                <w:rFonts w:ascii="Times New Roman" w:eastAsia="Times New Roman" w:hAnsi="Times New Roman" w:cs="Times New Roman"/>
              </w:rPr>
              <w:t xml:space="preserve">, 4.4 uždavinį, skirtą didinti dalyvavimą MVG, Programos 1 prioriteto 1.3 uždavinį </w:t>
            </w:r>
            <w:r w:rsidR="000C1260" w:rsidRPr="00B44B19">
              <w:rPr>
                <w:rFonts w:ascii="Times New Roman" w:eastAsia="Times New Roman" w:hAnsi="Times New Roman" w:cs="Times New Roman"/>
              </w:rPr>
              <w:t xml:space="preserve">naujoms darbo vietoms kurti MVĮ ir BIVP metodu įgyvendinamomis Programos 4 prioriteto 4.7 ir 4.9 uždavinių veiklomis. Įgyvendinant </w:t>
            </w:r>
            <w:r w:rsidR="000C1260" w:rsidRPr="00B44B19">
              <w:rPr>
                <w:rFonts w:ascii="Times New Roman" w:eastAsia="Times New Roman" w:hAnsi="Times New Roman" w:cs="Times New Roman"/>
              </w:rPr>
              <w:lastRenderedPageBreak/>
              <w:t>strategijas, bus siekiama pasinaudoti ir EGADP, TPF, ir EK tiesiogiai finansuojamų programų ir instrumentų teikiamomis galimybėmis.</w:t>
            </w:r>
          </w:p>
          <w:p w14:paraId="59B55E04" w14:textId="77777777" w:rsidR="00BE4FDA" w:rsidRPr="00B44B19" w:rsidRDefault="000C1260" w:rsidP="00E67E5C">
            <w:pPr>
              <w:spacing w:before="60" w:after="60"/>
              <w:jc w:val="both"/>
              <w:rPr>
                <w:rFonts w:ascii="Times New Roman" w:eastAsia="Times New Roman" w:hAnsi="Times New Roman" w:cs="Times New Roman"/>
                <w:b/>
                <w:i/>
              </w:rPr>
            </w:pPr>
            <w:r w:rsidRPr="00B44B19">
              <w:rPr>
                <w:rFonts w:ascii="Times New Roman" w:eastAsia="Times New Roman" w:hAnsi="Times New Roman" w:cs="Times New Roman"/>
                <w:b/>
                <w:i/>
              </w:rPr>
              <w:t>Įgyvendinant 5.2 uždavinį, pagal Programą bus remiami</w:t>
            </w:r>
            <w:r w:rsidRPr="00B44B19">
              <w:rPr>
                <w:rFonts w:ascii="Times New Roman" w:hAnsi="Times New Roman" w:cs="Times New Roman"/>
              </w:rPr>
              <w:t xml:space="preserve"> </w:t>
            </w:r>
            <w:r w:rsidRPr="00B44B19">
              <w:rPr>
                <w:rFonts w:ascii="Times New Roman" w:eastAsia="Times New Roman" w:hAnsi="Times New Roman" w:cs="Times New Roman"/>
                <w:b/>
                <w:i/>
              </w:rPr>
              <w:t>bendri savivaldybių veiksmai,</w:t>
            </w:r>
            <w:r w:rsidRPr="00B44B19">
              <w:rPr>
                <w:rFonts w:ascii="Times New Roman" w:hAnsi="Times New Roman" w:cs="Times New Roman"/>
              </w:rPr>
              <w:t xml:space="preserve"> </w:t>
            </w:r>
            <w:r w:rsidRPr="00B44B19">
              <w:rPr>
                <w:rFonts w:ascii="Times New Roman" w:eastAsia="Times New Roman" w:hAnsi="Times New Roman" w:cs="Times New Roman"/>
                <w:b/>
                <w:i/>
              </w:rPr>
              <w:t xml:space="preserve">nustatyti </w:t>
            </w:r>
            <w:r w:rsidR="004C2FDD" w:rsidRPr="00B44B19">
              <w:rPr>
                <w:rFonts w:ascii="Times New Roman" w:eastAsia="Times New Roman" w:hAnsi="Times New Roman" w:cs="Times New Roman"/>
                <w:b/>
                <w:i/>
              </w:rPr>
              <w:t>FZ</w:t>
            </w:r>
            <w:r w:rsidRPr="00B44B19">
              <w:rPr>
                <w:rFonts w:ascii="Times New Roman" w:eastAsia="Times New Roman" w:hAnsi="Times New Roman" w:cs="Times New Roman"/>
                <w:b/>
                <w:i/>
              </w:rPr>
              <w:t xml:space="preserve"> strategijose:</w:t>
            </w:r>
          </w:p>
          <w:p w14:paraId="1DE4B219" w14:textId="77777777" w:rsidR="00BE4FDA" w:rsidRPr="00B44B19" w:rsidRDefault="000C1260"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viešųjų paslaugų prieinamumo užtikrinimas</w:t>
            </w:r>
            <w:r w:rsidR="00BE4FDA" w:rsidRPr="00B44B19">
              <w:rPr>
                <w:rFonts w:ascii="Times New Roman" w:eastAsia="Times New Roman" w:hAnsi="Times New Roman" w:cs="Times New Roman"/>
              </w:rPr>
              <w:t>. Investicijomis skatinamos iniciatyvos, kuriomis kompleksiškai sprendžiamos paslaugų prieinamumo ir išteklių naudojimo efektyvumo problemos ir didinamas viešųjų paslaugų sistemų tvarumas, įskaitant:</w:t>
            </w:r>
          </w:p>
          <w:p w14:paraId="6991191C" w14:textId="77777777" w:rsidR="00BE4FDA" w:rsidRPr="00B44B19" w:rsidRDefault="004C2FDD" w:rsidP="00E67E5C">
            <w:pPr>
              <w:numPr>
                <w:ilvl w:val="0"/>
                <w:numId w:val="15"/>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FZ</w:t>
            </w:r>
            <w:r w:rsidR="00BE4FDA" w:rsidRPr="00B44B19">
              <w:rPr>
                <w:rFonts w:ascii="Times New Roman" w:eastAsia="Times New Roman" w:hAnsi="Times New Roman" w:cs="Times New Roman"/>
              </w:rPr>
              <w:t xml:space="preserve"> savivaldybių viešųjų paslaugų infrastruktūros</w:t>
            </w:r>
            <w:r w:rsidR="00627E7E" w:rsidRPr="00B44B19">
              <w:rPr>
                <w:rFonts w:ascii="Times New Roman" w:eastAsia="Times New Roman" w:hAnsi="Times New Roman" w:cs="Times New Roman"/>
              </w:rPr>
              <w:t xml:space="preserve"> (išskyrus svarbiausius valstybei kultūros objektus)</w:t>
            </w:r>
            <w:r w:rsidR="00BE4FDA" w:rsidRPr="00B44B19">
              <w:rPr>
                <w:rFonts w:ascii="Times New Roman" w:eastAsia="Times New Roman" w:hAnsi="Times New Roman" w:cs="Times New Roman"/>
              </w:rPr>
              <w:t xml:space="preserve"> efektyvinimą, modernizavimą ir išmanių technologijų diegimą </w:t>
            </w:r>
            <w:r w:rsidR="0085186F" w:rsidRPr="00B44B19">
              <w:rPr>
                <w:rFonts w:ascii="Times New Roman" w:eastAsia="Times New Roman" w:hAnsi="Times New Roman" w:cs="Times New Roman"/>
              </w:rPr>
              <w:t>bei</w:t>
            </w:r>
            <w:r w:rsidR="00F445D9" w:rsidRPr="00B44B19">
              <w:rPr>
                <w:rFonts w:ascii="Times New Roman" w:eastAsia="Times New Roman" w:hAnsi="Times New Roman" w:cs="Times New Roman"/>
              </w:rPr>
              <w:t xml:space="preserve"> informavimą, komunikaciją, tyrimus, </w:t>
            </w:r>
            <w:r w:rsidR="00BE4FDA" w:rsidRPr="00B44B19">
              <w:rPr>
                <w:rFonts w:ascii="Times New Roman" w:eastAsia="Times New Roman" w:hAnsi="Times New Roman" w:cs="Times New Roman"/>
              </w:rPr>
              <w:t xml:space="preserve">efektyviam paslaugų ir infrastruktūros valdymui. </w:t>
            </w:r>
          </w:p>
          <w:p w14:paraId="7E7D3191" w14:textId="77777777" w:rsidR="00BE4FDA" w:rsidRPr="00B44B19" w:rsidRDefault="00BE4FDA" w:rsidP="00E67E5C">
            <w:pPr>
              <w:numPr>
                <w:ilvl w:val="0"/>
                <w:numId w:val="15"/>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mobilioms paslaugoms teikti ar gyventojų pavėžėjimui užtikrinti reikalingų transporto priemonių (išskyrus viešojo transporto, GMP priemones ir „geltonuosius autobusiukus“) ir (ar) įrangos įsigijimą, taip pat užtikrinant šių priemonių pritaikymą neįgaliųjų poreikiams.</w:t>
            </w:r>
          </w:p>
          <w:p w14:paraId="23E3852F" w14:textId="77777777" w:rsidR="00E13E2F" w:rsidRPr="00B44B19" w:rsidRDefault="00E13E2F" w:rsidP="00E67E5C">
            <w:pPr>
              <w:spacing w:before="60" w:after="60"/>
              <w:ind w:left="720"/>
              <w:contextualSpacing/>
              <w:jc w:val="both"/>
              <w:rPr>
                <w:rFonts w:ascii="Times New Roman" w:eastAsia="Times New Roman" w:hAnsi="Times New Roman" w:cs="Times New Roman"/>
              </w:rPr>
            </w:pPr>
          </w:p>
          <w:p w14:paraId="6A791923" w14:textId="77777777" w:rsidR="00BE4FDA" w:rsidRPr="00B44B19" w:rsidRDefault="00BE4FDA" w:rsidP="00E67E5C">
            <w:pPr>
              <w:spacing w:before="60" w:after="60"/>
              <w:contextualSpacing/>
              <w:jc w:val="both"/>
              <w:rPr>
                <w:rFonts w:ascii="Times New Roman" w:eastAsia="Times New Roman" w:hAnsi="Times New Roman" w:cs="Times New Roman"/>
                <w:i/>
                <w:sz w:val="24"/>
              </w:rPr>
            </w:pPr>
            <w:r w:rsidRPr="00B44B19">
              <w:rPr>
                <w:rFonts w:ascii="Times New Roman" w:eastAsia="Times New Roman" w:hAnsi="Times New Roman" w:cs="Times New Roman"/>
                <w:i/>
              </w:rPr>
              <w:t xml:space="preserve">Planuojant ir įgyvendinant veiksmus </w:t>
            </w:r>
            <w:r w:rsidR="004C2FDD" w:rsidRPr="00B44B19">
              <w:rPr>
                <w:rFonts w:ascii="Times New Roman" w:eastAsia="Times New Roman" w:hAnsi="Times New Roman" w:cs="Times New Roman"/>
                <w:i/>
              </w:rPr>
              <w:t>FZ</w:t>
            </w:r>
            <w:r w:rsidRPr="00B44B19">
              <w:rPr>
                <w:rFonts w:ascii="Times New Roman" w:eastAsia="Times New Roman" w:hAnsi="Times New Roman" w:cs="Times New Roman"/>
                <w:i/>
              </w:rPr>
              <w:t xml:space="preserve"> užtikrinamas bendradarbiavimas ir tinklaveik</w:t>
            </w:r>
            <w:r w:rsidR="0085186F" w:rsidRPr="00B44B19">
              <w:rPr>
                <w:rFonts w:ascii="Times New Roman" w:eastAsia="Times New Roman" w:hAnsi="Times New Roman" w:cs="Times New Roman"/>
                <w:i/>
              </w:rPr>
              <w:t>a</w:t>
            </w:r>
            <w:r w:rsidRPr="00B44B19">
              <w:rPr>
                <w:rFonts w:ascii="Times New Roman" w:eastAsia="Times New Roman" w:hAnsi="Times New Roman" w:cs="Times New Roman"/>
                <w:i/>
              </w:rPr>
              <w:t xml:space="preserve"> su NVO, VVG, MTEPI, KKI institucijomis. Veiklos įgyvendinamos VVL ir Sostinės regionų </w:t>
            </w:r>
            <w:r w:rsidR="004C2FDD" w:rsidRPr="00B44B19">
              <w:rPr>
                <w:rFonts w:ascii="Times New Roman" w:eastAsia="Times New Roman" w:hAnsi="Times New Roman" w:cs="Times New Roman"/>
                <w:i/>
              </w:rPr>
              <w:t>FZ</w:t>
            </w:r>
            <w:r w:rsidRPr="00B44B19">
              <w:rPr>
                <w:rFonts w:ascii="Times New Roman" w:eastAsia="Times New Roman" w:hAnsi="Times New Roman" w:cs="Times New Roman"/>
                <w:i/>
              </w:rPr>
              <w:t xml:space="preserve">, išskyrus regionų centrus ir 3-jų didžiausių miestų priemiesčius. </w:t>
            </w:r>
          </w:p>
          <w:p w14:paraId="42C65557" w14:textId="77777777" w:rsidR="00BE4FDA" w:rsidRPr="00B44B19" w:rsidRDefault="000C1260"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Palankių sąlygų privačioms investicijoms pritraukti ir darbo vietoms kurti sudarymas, panaudojant</w:t>
            </w:r>
            <w:r w:rsidRPr="00B44B19">
              <w:rPr>
                <w:rFonts w:ascii="Times New Roman" w:eastAsia="Times New Roman" w:hAnsi="Times New Roman" w:cs="Times New Roman"/>
                <w:b/>
              </w:rPr>
              <w:t xml:space="preserve"> specifinius, konkretiems regionams būdingus išteklius</w:t>
            </w:r>
            <w:r w:rsidRPr="00B44B19">
              <w:rPr>
                <w:rFonts w:ascii="Times New Roman" w:eastAsia="Times New Roman" w:hAnsi="Times New Roman" w:cs="Times New Roman"/>
              </w:rPr>
              <w:t>:</w:t>
            </w:r>
          </w:p>
          <w:p w14:paraId="4DC4CD96" w14:textId="5A4D74C9" w:rsidR="00BE4FDA" w:rsidRPr="00B44B19" w:rsidRDefault="00BE4FDA" w:rsidP="00E67E5C">
            <w:pPr>
              <w:numPr>
                <w:ilvl w:val="0"/>
                <w:numId w:val="16"/>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 xml:space="preserve">pramoninių ir (ar) komercinių teritorijų </w:t>
            </w:r>
            <w:r w:rsidR="00833F7B" w:rsidRPr="00B44B19">
              <w:rPr>
                <w:rStyle w:val="Bodytext1"/>
                <w:rFonts w:ascii="Times New Roman" w:hAnsi="Times New Roman" w:cs="Times New Roman"/>
              </w:rPr>
              <w:t>išvystymo</w:t>
            </w:r>
            <w:r w:rsidR="00833F7B" w:rsidRPr="00B44B19">
              <w:rPr>
                <w:rStyle w:val="Bodytext1"/>
                <w:rFonts w:ascii="Times New Roman" w:hAnsi="Times New Roman" w:cs="Times New Roman"/>
                <w:lang w:eastAsia="lt-LT" w:bidi="lt-LT"/>
              </w:rPr>
              <w:t xml:space="preserve"> trūkumų</w:t>
            </w:r>
            <w:r w:rsidR="003176D2" w:rsidRPr="00B44B19">
              <w:rPr>
                <w:rFonts w:ascii="Times New Roman" w:eastAsia="Times New Roman" w:hAnsi="Times New Roman" w:cs="Times New Roman"/>
              </w:rPr>
              <w:t>:</w:t>
            </w:r>
            <w:r w:rsidRPr="00B44B19">
              <w:rPr>
                <w:rFonts w:ascii="Times New Roman" w:eastAsia="Times New Roman" w:hAnsi="Times New Roman" w:cs="Times New Roman"/>
              </w:rPr>
              <w:t xml:space="preserve"> investicijoms tinkamų sklypų,</w:t>
            </w:r>
            <w:r w:rsidR="007F7F03"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gamybinių pastatų, </w:t>
            </w:r>
            <w:r w:rsidR="003176D2" w:rsidRPr="00B44B19">
              <w:rPr>
                <w:rFonts w:ascii="Times New Roman" w:eastAsia="Times New Roman" w:hAnsi="Times New Roman" w:cs="Times New Roman"/>
              </w:rPr>
              <w:t>inžinerinės in</w:t>
            </w:r>
            <w:r w:rsidR="002000C3" w:rsidRPr="00B44B19">
              <w:rPr>
                <w:rFonts w:ascii="Times New Roman" w:eastAsia="Times New Roman" w:hAnsi="Times New Roman" w:cs="Times New Roman"/>
              </w:rPr>
              <w:t>f</w:t>
            </w:r>
            <w:r w:rsidR="003176D2" w:rsidRPr="00B44B19">
              <w:rPr>
                <w:rFonts w:ascii="Times New Roman" w:eastAsia="Times New Roman" w:hAnsi="Times New Roman" w:cs="Times New Roman"/>
              </w:rPr>
              <w:t>rastruktūros trūkumų (pvz. trūkstamų jungčių su centralizuotais elektros, dujų, šilumos, vandens ar nuotekų tinklais ar atitinkamų vietinių AEI naudojančių įrenginių, šių teritorijų pasiekimui reikalingos susisiekimo infrastruktūros) pašalinimą</w:t>
            </w:r>
            <w:r w:rsidRPr="00B44B19">
              <w:rPr>
                <w:rFonts w:ascii="Times New Roman" w:eastAsia="Times New Roman" w:hAnsi="Times New Roman" w:cs="Times New Roman"/>
              </w:rPr>
              <w:t xml:space="preserve"> ir priemones mažinančias neigiamą ekonominės veiklos poveikį aplinkai (triukšmą, oro, vandens taršą);</w:t>
            </w:r>
          </w:p>
          <w:p w14:paraId="120FCB50" w14:textId="77777777" w:rsidR="00BE4FDA" w:rsidRPr="00B44B19" w:rsidRDefault="00BE4FDA" w:rsidP="00E67E5C">
            <w:pPr>
              <w:numPr>
                <w:ilvl w:val="0"/>
                <w:numId w:val="16"/>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inovatyvias socialinės, kūrybinės ekonomikos ir bendro infrastruktūros naudojimo iniciatyvas (pvz., įrengiant gamybines, maisto, kūrybinių industrijų bendradarbystės erdves viešuosiuose pastatuose);</w:t>
            </w:r>
          </w:p>
          <w:p w14:paraId="02F76B0C" w14:textId="77777777" w:rsidR="00BE4FDA" w:rsidRPr="00B44B19" w:rsidRDefault="00BE4FDA" w:rsidP="00E67E5C">
            <w:pPr>
              <w:numPr>
                <w:ilvl w:val="0"/>
                <w:numId w:val="16"/>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infrastruktūros pritaikymą ir įrangos įsigijimą naujoms arba trūkstamoms kompetencijoms ir įgūdžiams formuoti;</w:t>
            </w:r>
          </w:p>
          <w:p w14:paraId="68D25A90" w14:textId="0ECE47DE" w:rsidR="00BE4FDA" w:rsidRPr="00B44B19" w:rsidRDefault="003176D2" w:rsidP="00417E37">
            <w:pPr>
              <w:numPr>
                <w:ilvl w:val="0"/>
                <w:numId w:val="16"/>
              </w:numPr>
              <w:spacing w:before="60" w:after="60"/>
              <w:contextualSpacing/>
              <w:jc w:val="both"/>
              <w:rPr>
                <w:rFonts w:ascii="Times New Roman" w:eastAsia="Times New Roman" w:hAnsi="Times New Roman" w:cs="Times New Roman"/>
              </w:rPr>
            </w:pPr>
            <w:r w:rsidRPr="00B44B19">
              <w:rPr>
                <w:rFonts w:ascii="Times New Roman" w:eastAsia="Times New Roman" w:hAnsi="Times New Roman" w:cs="Times New Roman"/>
              </w:rPr>
              <w:t>viešosios turizmo infrastruktūros</w:t>
            </w:r>
            <w:r w:rsidR="008B52FD"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417E37" w:rsidRPr="00B44B19">
              <w:rPr>
                <w:rFonts w:ascii="Times New Roman" w:eastAsia="Times New Roman" w:hAnsi="Times New Roman" w:cs="Times New Roman"/>
              </w:rPr>
              <w:t>skirtos pakrančių turizmui ir (ar) gamtos ir kultūros objektų lankymui, modernizavimą ar sukūrimą</w:t>
            </w:r>
            <w:r w:rsidR="00BE4FDA" w:rsidRPr="00B44B19">
              <w:rPr>
                <w:rFonts w:ascii="Times New Roman" w:eastAsia="Times New Roman" w:hAnsi="Times New Roman" w:cs="Times New Roman"/>
              </w:rPr>
              <w:t xml:space="preserve"> (įskaitant pritaikymą neįgaliųjų poreikiams).</w:t>
            </w:r>
          </w:p>
          <w:p w14:paraId="68E930C9" w14:textId="77777777" w:rsidR="00BE4FDA" w:rsidRPr="00B44B19" w:rsidRDefault="00BE4FDA" w:rsidP="00E67E5C">
            <w:pPr>
              <w:spacing w:before="60" w:after="60"/>
              <w:jc w:val="both"/>
              <w:rPr>
                <w:rFonts w:ascii="Times New Roman" w:eastAsia="Times New Roman" w:hAnsi="Times New Roman" w:cs="Times New Roman"/>
                <w:i/>
              </w:rPr>
            </w:pPr>
            <w:r w:rsidRPr="00B44B19">
              <w:rPr>
                <w:rFonts w:ascii="Times New Roman" w:eastAsia="Times New Roman" w:hAnsi="Times New Roman" w:cs="Times New Roman"/>
                <w:i/>
              </w:rPr>
              <w:t xml:space="preserve">Veiklos įgyvendinamos </w:t>
            </w:r>
            <w:r w:rsidR="004C2FDD" w:rsidRPr="00B44B19">
              <w:rPr>
                <w:rFonts w:ascii="Times New Roman" w:eastAsia="Times New Roman" w:hAnsi="Times New Roman" w:cs="Times New Roman"/>
                <w:i/>
              </w:rPr>
              <w:t>FZ</w:t>
            </w:r>
            <w:r w:rsidRPr="00B44B19">
              <w:rPr>
                <w:rFonts w:ascii="Times New Roman" w:eastAsia="Times New Roman" w:hAnsi="Times New Roman" w:cs="Times New Roman"/>
                <w:i/>
              </w:rPr>
              <w:t>, išskyrus regionų centrus ir 3-jų didžiausių miestų priemiesčius, prioritetas teikiamas v</w:t>
            </w:r>
            <w:r w:rsidR="00126DE3" w:rsidRPr="00B44B19">
              <w:rPr>
                <w:rFonts w:ascii="Times New Roman" w:eastAsia="Times New Roman" w:hAnsi="Times New Roman" w:cs="Times New Roman"/>
                <w:i/>
              </w:rPr>
              <w:t>eikloms, prisidedančioms prie S4</w:t>
            </w:r>
            <w:r w:rsidRPr="00B44B19">
              <w:rPr>
                <w:rFonts w:ascii="Times New Roman" w:eastAsia="Times New Roman" w:hAnsi="Times New Roman" w:cs="Times New Roman"/>
                <w:i/>
              </w:rPr>
              <w:t xml:space="preserve"> įgyvendinimo. </w:t>
            </w:r>
          </w:p>
          <w:p w14:paraId="55018422" w14:textId="77777777" w:rsidR="0005072D" w:rsidRPr="00B44B19" w:rsidRDefault="00627E7E" w:rsidP="00E67E5C">
            <w:pPr>
              <w:spacing w:before="60" w:after="60"/>
              <w:jc w:val="both"/>
              <w:rPr>
                <w:rFonts w:ascii="Times New Roman" w:eastAsia="Times New Roman" w:hAnsi="Times New Roman" w:cs="Times New Roman"/>
                <w:i/>
              </w:rPr>
            </w:pPr>
            <w:r w:rsidRPr="00B44B19">
              <w:rPr>
                <w:rFonts w:ascii="Times New Roman" w:eastAsia="Times New Roman" w:hAnsi="Times New Roman" w:cs="Times New Roman"/>
              </w:rPr>
              <w:t xml:space="preserve">Administracinių gebėjimų stiprinimas teikiant ekspertinę ir metodinę pagalbą įgyvendinant </w:t>
            </w:r>
            <w:r w:rsidR="00D41A21" w:rsidRPr="00B44B19">
              <w:rPr>
                <w:rFonts w:ascii="Times New Roman" w:eastAsia="Times New Roman" w:hAnsi="Times New Roman" w:cs="Times New Roman"/>
              </w:rPr>
              <w:t>FZ</w:t>
            </w:r>
            <w:r w:rsidRPr="00B44B19">
              <w:rPr>
                <w:rFonts w:ascii="Times New Roman" w:eastAsia="Times New Roman" w:hAnsi="Times New Roman" w:cs="Times New Roman"/>
              </w:rPr>
              <w:t xml:space="preserve"> strategijas</w:t>
            </w:r>
            <w:r w:rsidR="000C1260" w:rsidRPr="00B44B19">
              <w:rPr>
                <w:rFonts w:ascii="Times New Roman" w:eastAsia="Times New Roman" w:hAnsi="Times New Roman" w:cs="Times New Roman"/>
                <w:i/>
              </w:rPr>
              <w:t>.</w:t>
            </w:r>
            <w:r w:rsidR="00BE4FDA" w:rsidRPr="00B44B19">
              <w:rPr>
                <w:rFonts w:ascii="Times New Roman" w:eastAsia="Times New Roman" w:hAnsi="Times New Roman" w:cs="Times New Roman"/>
                <w:i/>
              </w:rPr>
              <w:t xml:space="preserve"> </w:t>
            </w:r>
          </w:p>
          <w:p w14:paraId="3636E285" w14:textId="77777777" w:rsidR="00EA57D7" w:rsidRPr="00B44B19" w:rsidRDefault="00334B0C" w:rsidP="00E67E5C">
            <w:pPr>
              <w:spacing w:before="60" w:after="60"/>
              <w:jc w:val="both"/>
              <w:rPr>
                <w:rFonts w:ascii="Times New Roman" w:hAnsi="Times New Roman" w:cs="Times New Roman"/>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BF62F0" w:rsidRPr="00B44B19">
              <w:rPr>
                <w:rFonts w:ascii="Times New Roman" w:eastAsia="Times New Roman" w:hAnsi="Times New Roman" w:cs="Times New Roman"/>
                <w:noProof/>
                <w:szCs w:val="24"/>
              </w:rPr>
              <w:t>.</w:t>
            </w:r>
          </w:p>
        </w:tc>
      </w:tr>
    </w:tbl>
    <w:p w14:paraId="06F631B5" w14:textId="77777777" w:rsidR="0005072D" w:rsidRPr="00B44B19" w:rsidRDefault="0005072D" w:rsidP="00783D09">
      <w:pPr>
        <w:pStyle w:val="Stilius1"/>
        <w:rPr>
          <w:rFonts w:cs="Times New Roman"/>
        </w:rPr>
      </w:pPr>
      <w:r w:rsidRPr="00B44B19">
        <w:rPr>
          <w:rFonts w:cs="Times New Roman"/>
        </w:rPr>
        <w:lastRenderedPageBreak/>
        <w:t>Pagrindinės tikslinės grupės</w:t>
      </w:r>
    </w:p>
    <w:tbl>
      <w:tblPr>
        <w:tblStyle w:val="Lentelstinklelis10"/>
        <w:tblW w:w="0" w:type="auto"/>
        <w:tblLook w:val="04A0" w:firstRow="1" w:lastRow="0" w:firstColumn="1" w:lastColumn="0" w:noHBand="0" w:noVBand="1"/>
      </w:tblPr>
      <w:tblGrid>
        <w:gridCol w:w="9628"/>
      </w:tblGrid>
      <w:tr w:rsidR="0005072D" w:rsidRPr="00B44B19" w14:paraId="2B9ABA9F" w14:textId="77777777" w:rsidTr="0005072D">
        <w:tc>
          <w:tcPr>
            <w:tcW w:w="9854" w:type="dxa"/>
          </w:tcPr>
          <w:p w14:paraId="2DDDA8A0" w14:textId="77777777" w:rsidR="0005072D" w:rsidRPr="00B44B19" w:rsidRDefault="00793255" w:rsidP="00E67E5C">
            <w:pPr>
              <w:spacing w:before="60" w:after="60"/>
              <w:jc w:val="both"/>
              <w:rPr>
                <w:rFonts w:ascii="Times New Roman" w:hAnsi="Times New Roman" w:cs="Times New Roman"/>
              </w:rPr>
            </w:pPr>
            <w:r w:rsidRPr="00B44B19">
              <w:rPr>
                <w:rFonts w:ascii="Times New Roman" w:hAnsi="Times New Roman" w:cs="Times New Roman"/>
              </w:rPr>
              <w:t>Gyventojai, MVĮ (išskyrus veikiančias regionų centruose), savivaldybės, RPT ir kitos viešojo sektoriaus institucijos ir įstaigos, viešąsias paslaugas teikiančios NVO.</w:t>
            </w:r>
          </w:p>
        </w:tc>
      </w:tr>
    </w:tbl>
    <w:p w14:paraId="69F63DF3" w14:textId="77777777" w:rsidR="0005072D" w:rsidRPr="00B44B19" w:rsidRDefault="0005072D" w:rsidP="00783D09">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5F79CA" w:rsidRPr="00B44B19" w14:paraId="250BE526" w14:textId="77777777" w:rsidTr="009430A3">
        <w:tc>
          <w:tcPr>
            <w:tcW w:w="9854" w:type="dxa"/>
          </w:tcPr>
          <w:p w14:paraId="26B38B77" w14:textId="77777777" w:rsidR="009763E8" w:rsidRPr="00B44B19" w:rsidRDefault="009763E8" w:rsidP="00E67E5C">
            <w:pPr>
              <w:spacing w:before="60" w:after="60"/>
              <w:jc w:val="both"/>
              <w:rPr>
                <w:rFonts w:cs="Times New Roman"/>
                <w:sz w:val="22"/>
              </w:rPr>
            </w:pPr>
            <w:r w:rsidRPr="00B44B19">
              <w:rPr>
                <w:rFonts w:cs="Times New Roman"/>
                <w:sz w:val="22"/>
              </w:rPr>
              <w:t>Investuojant į infrastruktūrą, kuriant naujus ar tobulinant esamus produktus</w:t>
            </w:r>
            <w:r w:rsidR="000C1260" w:rsidRPr="00B44B19">
              <w:rPr>
                <w:rFonts w:cs="Times New Roman"/>
                <w:sz w:val="22"/>
              </w:rPr>
              <w:t>,</w:t>
            </w:r>
            <w:r w:rsidRPr="00B44B19">
              <w:rPr>
                <w:rFonts w:cs="Times New Roman"/>
                <w:sz w:val="22"/>
              </w:rPr>
              <w:t xml:space="preserve"> bus laikomasi universalaus dizaino principo. </w:t>
            </w:r>
          </w:p>
          <w:p w14:paraId="50FA1531" w14:textId="77777777" w:rsidR="005F79CA" w:rsidRPr="00B44B19" w:rsidRDefault="009763E8" w:rsidP="00E67E5C">
            <w:pPr>
              <w:spacing w:before="60" w:after="60"/>
              <w:jc w:val="both"/>
              <w:rPr>
                <w:rFonts w:cs="Times New Roman"/>
                <w:b/>
                <w:i/>
                <w:sz w:val="22"/>
              </w:rPr>
            </w:pPr>
            <w:r w:rsidRPr="00B44B19">
              <w:rPr>
                <w:rFonts w:cs="Times New Roman"/>
                <w:sz w:val="22"/>
              </w:rPr>
              <w:t>Siekiant geresnio paslaugų prieinamumo žmonėms su negalia, moterims ir vyrams, skirtingoms socialinėms ir amžiaus (ypač atskirtį patiriančioms) grupėms, visas tikslines grupes atstovaujančioms organizacijoms bus sudaromos vienodos galimybės įgyvendinti veiklas diegiant reagavimo į poreikį paslaugas, mobilias paslaugas, kitus efektyvumą didinančius viešųjų paslaugų modelius, įskaitant inovatyvius šių paslaugų prieinamumo sprendimus.</w:t>
            </w:r>
          </w:p>
        </w:tc>
      </w:tr>
    </w:tbl>
    <w:p w14:paraId="5462AF4E" w14:textId="77777777" w:rsidR="0005072D" w:rsidRPr="00B44B19" w:rsidRDefault="0005072D" w:rsidP="00783D09">
      <w:pPr>
        <w:pStyle w:val="Stilius1"/>
        <w:rPr>
          <w:rFonts w:cs="Times New Roman"/>
        </w:rPr>
      </w:pPr>
      <w:r w:rsidRPr="00B44B19">
        <w:rPr>
          <w:rFonts w:cs="Times New Roman"/>
        </w:rPr>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628"/>
      </w:tblGrid>
      <w:tr w:rsidR="0005072D" w:rsidRPr="00B44B19" w14:paraId="25CA390E" w14:textId="77777777" w:rsidTr="0005072D">
        <w:tc>
          <w:tcPr>
            <w:tcW w:w="9854" w:type="dxa"/>
          </w:tcPr>
          <w:p w14:paraId="68EC2EA2"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Veiksmai bus įgyvendinami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 kurios formuojamos savivaldybių iniciatyva, siekiant bendrai spręsti bendras problemas ir remiantis visais šiais kriterijais:</w:t>
            </w:r>
          </w:p>
          <w:p w14:paraId="47C5DAE3"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lastRenderedPageBreak/>
              <w:t>a) faktiškai egzistuojančiais funkciniais ryšiais apibrėžtoje teritorijoje. Įvertinama remiantis gyventojų grupių teritorinio pasiskirstymo ir judėjimo srautų kiekybine analize, savivaldybių socioekonomine analize</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p>
          <w:p w14:paraId="0C6B0EBC"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b) bendromis problemų priežastimis</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p>
          <w:p w14:paraId="0220F4BA"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c) savivaldybių susitarimu dėl bendrų veiksmų įgyvendinimo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w:t>
            </w:r>
          </w:p>
          <w:p w14:paraId="45594069"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Numatoma, kad bus suformuota ne mažiau kaip po vieną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 xml:space="preserve"> kiekviename iš 10-ies regionų.</w:t>
            </w:r>
          </w:p>
          <w:p w14:paraId="0C08E8DF"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Atrenkant veiksmus</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vadovaujamasi savivaldybių patvirtintomis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 xml:space="preserve"> strategijomis, kuriose pateikiamas remiamų veiksmų sąrašas. Strategijos rengiamos vadovaujantis BNR 29 straipsnyje nustatytais teritorinei strategijai taikomais reikalavimais, strategijos rengimo procese užtikrinant visuomenės, VVG, socialinių ir aplinkosauginių partnerių aktyvų įtraukimą.</w:t>
            </w:r>
            <w:r w:rsidR="003176D2" w:rsidRPr="00B44B19">
              <w:rPr>
                <w:rFonts w:ascii="Times New Roman" w:eastAsia="Times New Roman" w:hAnsi="Times New Roman" w:cs="Times New Roman"/>
              </w:rPr>
              <w:t xml:space="preserve"> Strategijos ir susitarimai dėl bendrų veiksmų derinami su nacionalinę regioninę politiką formuojančia ir koordinuojančia institucija (VRM) atitikties Programos ITI nuostatoms aspektu.</w:t>
            </w:r>
          </w:p>
          <w:p w14:paraId="4CDA6CA2"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Veiksmų įgyvendinimo ir koordinavimo pagal patvirtintą strategiją mechanizmą nustatys savivaldybių susitarimas dėl bendrų veiksmų įgyvendinimo. Pasikeitus </w:t>
            </w:r>
            <w:r w:rsidR="004C2FDD" w:rsidRPr="00B44B19">
              <w:rPr>
                <w:rFonts w:ascii="Times New Roman" w:eastAsia="Times New Roman" w:hAnsi="Times New Roman" w:cs="Times New Roman"/>
              </w:rPr>
              <w:t>FZ</w:t>
            </w:r>
            <w:r w:rsidRPr="00B44B19">
              <w:rPr>
                <w:rFonts w:ascii="Times New Roman" w:eastAsia="Times New Roman" w:hAnsi="Times New Roman" w:cs="Times New Roman"/>
              </w:rPr>
              <w:t xml:space="preserve"> dalyvių skaičiui ar išplėtus jos veiklą, susitarimas keičiamas, pasirašant papildomus priedus. </w:t>
            </w:r>
          </w:p>
          <w:p w14:paraId="72865079" w14:textId="77777777" w:rsidR="0005072D" w:rsidRPr="00B44B19" w:rsidRDefault="00B93A17" w:rsidP="00E67E5C">
            <w:pPr>
              <w:spacing w:before="60" w:after="60"/>
              <w:jc w:val="both"/>
              <w:rPr>
                <w:rFonts w:ascii="Times New Roman" w:hAnsi="Times New Roman" w:cs="Times New Roman"/>
              </w:rPr>
            </w:pPr>
            <w:r w:rsidRPr="00B44B19">
              <w:rPr>
                <w:rFonts w:ascii="Times New Roman" w:eastAsia="Times New Roman" w:hAnsi="Times New Roman" w:cs="Times New Roman"/>
              </w:rPr>
              <w:t xml:space="preserve">Įgyvendinant šį uždavinį taikomas ITI mechanizmas, derinant investicijas su teminių </w:t>
            </w:r>
            <w:r w:rsidR="0073450E" w:rsidRPr="00B44B19">
              <w:rPr>
                <w:rFonts w:ascii="Times New Roman" w:eastAsia="Times New Roman" w:hAnsi="Times New Roman" w:cs="Times New Roman"/>
              </w:rPr>
              <w:t xml:space="preserve">Programos </w:t>
            </w:r>
            <w:r w:rsidRPr="00B44B19">
              <w:rPr>
                <w:rFonts w:ascii="Times New Roman" w:eastAsia="Times New Roman" w:hAnsi="Times New Roman" w:cs="Times New Roman"/>
              </w:rPr>
              <w:t xml:space="preserve">uždavinių intervencijomis teritoriniu ir teminiu principu. </w:t>
            </w:r>
            <w:r w:rsidR="004C2FDD" w:rsidRPr="00B44B19">
              <w:rPr>
                <w:rFonts w:ascii="Times New Roman" w:eastAsia="Times New Roman" w:hAnsi="Times New Roman" w:cs="Times New Roman"/>
                <w:b/>
              </w:rPr>
              <w:t>FZ</w:t>
            </w:r>
            <w:r w:rsidR="009E5BFD" w:rsidRPr="00B44B19">
              <w:rPr>
                <w:rFonts w:ascii="Times New Roman" w:eastAsia="Times New Roman" w:hAnsi="Times New Roman" w:cs="Times New Roman"/>
                <w:b/>
              </w:rPr>
              <w:t xml:space="preserve"> strategijose</w:t>
            </w:r>
            <w:r w:rsidR="009E5BFD" w:rsidRPr="00B44B19">
              <w:rPr>
                <w:rFonts w:ascii="Times New Roman" w:eastAsia="Times New Roman" w:hAnsi="Times New Roman" w:cs="Times New Roman"/>
              </w:rPr>
              <w:t xml:space="preserve"> iš apačios nustatomi Programos uždavinių problemų, kurios yra būdingos konkrečiai </w:t>
            </w:r>
            <w:r w:rsidR="004C2FDD" w:rsidRPr="00B44B19">
              <w:rPr>
                <w:rFonts w:ascii="Times New Roman" w:eastAsia="Times New Roman" w:hAnsi="Times New Roman" w:cs="Times New Roman"/>
              </w:rPr>
              <w:t>FZ</w:t>
            </w:r>
            <w:r w:rsidR="009E5BFD" w:rsidRPr="00B44B19">
              <w:rPr>
                <w:rFonts w:ascii="Times New Roman" w:eastAsia="Times New Roman" w:hAnsi="Times New Roman" w:cs="Times New Roman"/>
              </w:rPr>
              <w:t xml:space="preserve"> ir sprendžiamos savivaldybių bendrais veiksmais, sprendiniai. Užtikrinant skirtingų teritorinių strategijų atskyrimą ir nedubliavimą šio uždavinio investicijomis nebus remiami veiksmai, įgyvendinami tvarios miestų plėtros strategijų įgyvendinimo teritorijose (10-yje regionų centrų ir trijų didžiausių miestų priemiesčiuose).</w:t>
            </w:r>
          </w:p>
        </w:tc>
      </w:tr>
    </w:tbl>
    <w:p w14:paraId="59FB94BE" w14:textId="77777777" w:rsidR="0005072D" w:rsidRPr="00B44B19" w:rsidRDefault="0005072D" w:rsidP="00783D09">
      <w:pPr>
        <w:pStyle w:val="Stilius1"/>
        <w:rPr>
          <w:rFonts w:cs="Times New Roman"/>
        </w:rPr>
      </w:pPr>
      <w:r w:rsidRPr="00B44B19">
        <w:rPr>
          <w:rFonts w:cs="Times New Roman"/>
        </w:rPr>
        <w:lastRenderedPageBreak/>
        <w:t>Tarpregioniniai</w:t>
      </w:r>
      <w:r w:rsidR="00993B5D" w:rsidRPr="00B44B19">
        <w:rPr>
          <w:rFonts w:cs="Times New Roman"/>
        </w:rPr>
        <w:t>, tarp sienų</w:t>
      </w:r>
      <w:r w:rsidRPr="00B44B19">
        <w:rPr>
          <w:rFonts w:cs="Times New Roman"/>
        </w:rPr>
        <w:t xml:space="preserve"> ir tarpvalstybiniai veiksmai</w:t>
      </w:r>
    </w:p>
    <w:tbl>
      <w:tblPr>
        <w:tblStyle w:val="Lentelstinklelis10"/>
        <w:tblW w:w="0" w:type="auto"/>
        <w:tblLook w:val="04A0" w:firstRow="1" w:lastRow="0" w:firstColumn="1" w:lastColumn="0" w:noHBand="0" w:noVBand="1"/>
      </w:tblPr>
      <w:tblGrid>
        <w:gridCol w:w="9628"/>
      </w:tblGrid>
      <w:tr w:rsidR="0005072D" w:rsidRPr="00B44B19" w14:paraId="6B4F7752" w14:textId="77777777" w:rsidTr="0005072D">
        <w:tc>
          <w:tcPr>
            <w:tcW w:w="9854" w:type="dxa"/>
          </w:tcPr>
          <w:p w14:paraId="238621E1" w14:textId="77777777" w:rsidR="00B93A17" w:rsidRPr="00B44B19" w:rsidRDefault="00B93A17"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Siekiant </w:t>
            </w:r>
            <w:r w:rsidRPr="00B44B19">
              <w:rPr>
                <w:rFonts w:ascii="Times New Roman" w:eastAsia="Times New Roman" w:hAnsi="Times New Roman" w:cs="Times New Roman"/>
                <w:b/>
                <w:bCs/>
              </w:rPr>
              <w:t>BJRS</w:t>
            </w:r>
            <w:r w:rsidRPr="00B44B19">
              <w:rPr>
                <w:rFonts w:ascii="Times New Roman" w:eastAsia="Times New Roman" w:hAnsi="Times New Roman" w:cs="Times New Roman"/>
              </w:rPr>
              <w:t xml:space="preserve"> tikslo ,,Padidinti regiono gerovę“ įgyvendinimo</w:t>
            </w:r>
            <w:r w:rsidR="000C1260" w:rsidRPr="00B44B19">
              <w:rPr>
                <w:rFonts w:ascii="Times New Roman" w:eastAsia="Times New Roman" w:hAnsi="Times New Roman" w:cs="Times New Roman"/>
              </w:rPr>
              <w:t>,</w:t>
            </w:r>
            <w:r w:rsidRPr="00B44B19">
              <w:rPr>
                <w:rFonts w:ascii="Times New Roman" w:eastAsia="Times New Roman" w:hAnsi="Times New Roman" w:cs="Times New Roman"/>
              </w:rPr>
              <w:t xml:space="preserve"> skatinimas regionų bendradarbiavimas </w:t>
            </w:r>
            <w:r w:rsidR="000C1260" w:rsidRPr="00B44B19">
              <w:rPr>
                <w:rFonts w:ascii="Times New Roman" w:eastAsia="Times New Roman" w:hAnsi="Times New Roman" w:cs="Times New Roman"/>
              </w:rPr>
              <w:t xml:space="preserve">dėl </w:t>
            </w:r>
            <w:r w:rsidRPr="00B44B19">
              <w:rPr>
                <w:rFonts w:ascii="Times New Roman" w:eastAsia="Times New Roman" w:hAnsi="Times New Roman" w:cs="Times New Roman"/>
              </w:rPr>
              <w:t xml:space="preserve">BJRS tikslų. Šalių siekis būti klestinčiu ir augančiu regionu pasauliniu mastu didins regiono konkurencinį pranašumą, o dalijimasis gerąja praktika bei sutelktomis pastangomis sprendžiant regionui aktualias problemas, užtikrins darnų regiono vystymąsi bei pažangą. Siekiant BJRS tikslo ,,Sujungti regioną“ sudaromos sąlygos plėtoti bendras sistemas </w:t>
            </w:r>
            <w:r w:rsidR="00DF3589" w:rsidRPr="00B44B19">
              <w:rPr>
                <w:rFonts w:ascii="Times New Roman" w:eastAsia="Times New Roman" w:hAnsi="Times New Roman" w:cs="Times New Roman"/>
              </w:rPr>
              <w:t>(</w:t>
            </w:r>
            <w:r w:rsidRPr="00B44B19">
              <w:rPr>
                <w:rFonts w:ascii="Times New Roman" w:eastAsia="Times New Roman" w:hAnsi="Times New Roman" w:cs="Times New Roman"/>
              </w:rPr>
              <w:t>transporto, informacijos, kt.), sustiprinti regiono konkurencingumą ir gyvenimo kokybę regione.</w:t>
            </w:r>
          </w:p>
          <w:p w14:paraId="6BCE7AF2" w14:textId="77777777" w:rsidR="0005072D" w:rsidRPr="00B44B19" w:rsidRDefault="00B93A17" w:rsidP="00E67E5C">
            <w:pPr>
              <w:spacing w:before="60" w:after="60"/>
              <w:jc w:val="both"/>
              <w:rPr>
                <w:rFonts w:ascii="Times New Roman" w:hAnsi="Times New Roman" w:cs="Times New Roman"/>
              </w:rPr>
            </w:pPr>
            <w:r w:rsidRPr="00B44B19">
              <w:rPr>
                <w:rFonts w:ascii="Times New Roman" w:eastAsia="Times New Roman" w:hAnsi="Times New Roman" w:cs="Times New Roman"/>
              </w:rPr>
              <w:t xml:space="preserve">Pasienio teritorijos yra gana homogeniškos sprendžiamų problemų aspektu, joms būdingi bendri bruožai, tokie kaip mažas gyventojų tankumas, gyventojų skaičiaus mažėjimas, senėjimas, miestų susitraukimas, aukštas nedarbas, mažas ekonominis aktyvumas, mažesnis viešųjų paslaugų prieinamumas ir neefektyvi transporto sistema, todėl investuojant pagal </w:t>
            </w:r>
            <w:r w:rsidRPr="00B44B19">
              <w:rPr>
                <w:rFonts w:ascii="Times New Roman" w:eastAsia="Times New Roman" w:hAnsi="Times New Roman" w:cs="Times New Roman"/>
                <w:b/>
                <w:bCs/>
              </w:rPr>
              <w:t>bendradarbiavimo per sieną programas,</w:t>
            </w:r>
            <w:r w:rsidRPr="00B44B19">
              <w:rPr>
                <w:rFonts w:ascii="Times New Roman" w:eastAsia="Times New Roman" w:hAnsi="Times New Roman" w:cs="Times New Roman"/>
              </w:rPr>
              <w:t xml:space="preserve"> šiose teritorijose siekiama stiprinti funkcinius (darbuotojų pritraukimo ir kokybiškų paslaugų teikimo) ryšius.</w:t>
            </w:r>
          </w:p>
        </w:tc>
      </w:tr>
    </w:tbl>
    <w:p w14:paraId="62A163B9" w14:textId="77777777" w:rsidR="0005072D" w:rsidRPr="00B44B19" w:rsidRDefault="0005072D" w:rsidP="00783D09">
      <w:pPr>
        <w:pStyle w:val="Stilius1"/>
        <w:rPr>
          <w:rFonts w:cs="Times New Roman"/>
        </w:rPr>
      </w:pPr>
      <w:r w:rsidRPr="00B44B19">
        <w:rPr>
          <w:rFonts w:cs="Times New Roman"/>
        </w:rPr>
        <w:t>Planuojamas finansinių priemonių naudojimas</w:t>
      </w:r>
    </w:p>
    <w:tbl>
      <w:tblPr>
        <w:tblStyle w:val="Lentelstinklelis10"/>
        <w:tblW w:w="0" w:type="auto"/>
        <w:tblLook w:val="04A0" w:firstRow="1" w:lastRow="0" w:firstColumn="1" w:lastColumn="0" w:noHBand="0" w:noVBand="1"/>
      </w:tblPr>
      <w:tblGrid>
        <w:gridCol w:w="9628"/>
      </w:tblGrid>
      <w:tr w:rsidR="0005072D" w:rsidRPr="00B44B19" w14:paraId="733AB6B8" w14:textId="77777777" w:rsidTr="0005072D">
        <w:tc>
          <w:tcPr>
            <w:tcW w:w="9628" w:type="dxa"/>
          </w:tcPr>
          <w:p w14:paraId="647B8F70" w14:textId="77777777" w:rsidR="0005072D" w:rsidRPr="00B44B19" w:rsidRDefault="00D43A78" w:rsidP="00E67E5C">
            <w:pPr>
              <w:spacing w:before="60" w:after="60"/>
              <w:jc w:val="both"/>
              <w:rPr>
                <w:rFonts w:ascii="Times New Roman" w:hAnsi="Times New Roman" w:cs="Times New Roman"/>
              </w:rPr>
            </w:pPr>
            <w:r w:rsidRPr="00B44B19">
              <w:rPr>
                <w:rFonts w:ascii="Times New Roman" w:hAnsi="Times New Roman" w:cs="Times New Roman"/>
              </w:rPr>
              <w:t>–</w:t>
            </w:r>
          </w:p>
        </w:tc>
      </w:tr>
    </w:tbl>
    <w:p w14:paraId="2E80946D" w14:textId="77777777" w:rsidR="00603ED4" w:rsidRPr="00B44B19" w:rsidRDefault="00603ED4" w:rsidP="00783D09">
      <w:pPr>
        <w:pStyle w:val="Stilius1"/>
        <w:rPr>
          <w:rFonts w:eastAsia="Calibri" w:cs="Times New Roman"/>
          <w:noProof/>
          <w:szCs w:val="20"/>
          <w:lang w:eastAsia="lt-LT" w:bidi="lt-LT"/>
        </w:rPr>
      </w:pPr>
      <w:r w:rsidRPr="00B44B19">
        <w:rPr>
          <w:rFonts w:cs="Times New Roman"/>
        </w:rPr>
        <w:t>Rodikliai</w:t>
      </w:r>
    </w:p>
    <w:p w14:paraId="15CADC83" w14:textId="77777777" w:rsidR="00603ED4" w:rsidRPr="00B44B19" w:rsidRDefault="00603ED4" w:rsidP="00603ED4">
      <w:pPr>
        <w:spacing w:before="240" w:after="0" w:line="240" w:lineRule="auto"/>
        <w:jc w:val="both"/>
        <w:rPr>
          <w:rFonts w:cs="Times New Roman"/>
          <w:bCs/>
          <w:szCs w:val="24"/>
          <w:lang w:val="en-US"/>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8"/>
        <w:gridCol w:w="825"/>
        <w:gridCol w:w="968"/>
        <w:gridCol w:w="1243"/>
        <w:gridCol w:w="1795"/>
        <w:gridCol w:w="968"/>
        <w:gridCol w:w="836"/>
        <w:gridCol w:w="926"/>
      </w:tblGrid>
      <w:tr w:rsidR="00603ED4" w:rsidRPr="00B44B19" w14:paraId="3460602C" w14:textId="77777777" w:rsidTr="00603ED4">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7A48EF"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4CCD45"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6B9EBE"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B5AE39"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E99A52"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D21EEB" w14:textId="77777777" w:rsidR="00603ED4" w:rsidRPr="00B44B19" w:rsidRDefault="00603ED4" w:rsidP="00603ED4">
            <w:pPr>
              <w:spacing w:after="0" w:line="240" w:lineRule="auto"/>
              <w:jc w:val="center"/>
              <w:rPr>
                <w:rFonts w:cs="Times New Roman"/>
                <w:b/>
                <w:noProof/>
                <w:sz w:val="16"/>
                <w:szCs w:val="16"/>
              </w:rPr>
            </w:pPr>
            <w:r w:rsidRPr="00B44B19">
              <w:rPr>
                <w:rFonts w:cs="Times New Roman"/>
                <w:b/>
                <w:noProof/>
                <w:sz w:val="16"/>
                <w:szCs w:val="16"/>
              </w:rPr>
              <w:t xml:space="preserve">Rodiklis </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F90333"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43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FC8F98"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1DB2C7"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Siek</w:t>
            </w:r>
            <w:r w:rsidR="002302BF" w:rsidRPr="00B44B19">
              <w:rPr>
                <w:rFonts w:cs="Times New Roman"/>
                <w:b/>
                <w:noProof/>
                <w:sz w:val="16"/>
                <w:szCs w:val="16"/>
              </w:rPr>
              <w:t>tina reikšmė</w:t>
            </w:r>
            <w:r w:rsidRPr="00B44B19">
              <w:rPr>
                <w:rFonts w:cs="Times New Roman"/>
                <w:b/>
                <w:noProof/>
                <w:sz w:val="16"/>
                <w:szCs w:val="16"/>
              </w:rPr>
              <w:t xml:space="preserve"> (2029 m.)</w:t>
            </w:r>
          </w:p>
        </w:tc>
      </w:tr>
      <w:tr w:rsidR="00417E37" w:rsidRPr="00B44B19" w14:paraId="1CD5AE58" w14:textId="77777777" w:rsidTr="00603ED4">
        <w:trPr>
          <w:trHeight w:val="340"/>
        </w:trPr>
        <w:tc>
          <w:tcPr>
            <w:tcW w:w="566" w:type="pct"/>
            <w:vMerge w:val="restart"/>
          </w:tcPr>
          <w:p w14:paraId="705656B1"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5.</w:t>
            </w:r>
            <w:r w:rsidRPr="00B44B19">
              <w:rPr>
                <w:rFonts w:cs="Times New Roman"/>
                <w:bCs/>
                <w:iCs/>
                <w:sz w:val="16"/>
                <w:szCs w:val="16"/>
                <w:lang w:bidi="lt-LT"/>
              </w:rPr>
              <w:t xml:space="preserve"> </w:t>
            </w:r>
            <w:r w:rsidRPr="00B44B19">
              <w:rPr>
                <w:rFonts w:cs="Times New Roman"/>
                <w:bCs/>
                <w:iCs/>
                <w:noProof/>
                <w:sz w:val="16"/>
                <w:szCs w:val="16"/>
                <w:lang w:bidi="lt-LT"/>
              </w:rPr>
              <w:t>Piliečiams artimesnė Europa</w:t>
            </w:r>
          </w:p>
        </w:tc>
        <w:tc>
          <w:tcPr>
            <w:tcW w:w="498" w:type="pct"/>
            <w:vMerge w:val="restart"/>
          </w:tcPr>
          <w:p w14:paraId="3B48B4EB"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5.2</w:t>
            </w:r>
          </w:p>
        </w:tc>
        <w:tc>
          <w:tcPr>
            <w:tcW w:w="429" w:type="pct"/>
            <w:vMerge w:val="restart"/>
          </w:tcPr>
          <w:p w14:paraId="6F517582"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ERPF</w:t>
            </w:r>
          </w:p>
        </w:tc>
        <w:tc>
          <w:tcPr>
            <w:tcW w:w="504" w:type="pct"/>
            <w:tcBorders>
              <w:top w:val="single" w:sz="4" w:space="0" w:color="auto"/>
              <w:bottom w:val="single" w:sz="4" w:space="0" w:color="auto"/>
            </w:tcBorders>
          </w:tcPr>
          <w:p w14:paraId="2315E9C6" w14:textId="77777777" w:rsidR="00417E37" w:rsidRPr="00B44B19" w:rsidRDefault="00417E37" w:rsidP="003832C0">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1AB619FD"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RCO58</w:t>
            </w:r>
          </w:p>
        </w:tc>
        <w:tc>
          <w:tcPr>
            <w:tcW w:w="934" w:type="pct"/>
            <w:tcBorders>
              <w:top w:val="single" w:sz="4" w:space="0" w:color="auto"/>
              <w:bottom w:val="single" w:sz="4" w:space="0" w:color="auto"/>
            </w:tcBorders>
          </w:tcPr>
          <w:p w14:paraId="570FB635"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Dviračiams skirta infrastruktūra, kuriai suteikta parama</w:t>
            </w:r>
          </w:p>
        </w:tc>
        <w:tc>
          <w:tcPr>
            <w:tcW w:w="504" w:type="pct"/>
            <w:tcBorders>
              <w:top w:val="single" w:sz="4" w:space="0" w:color="auto"/>
              <w:bottom w:val="single" w:sz="4" w:space="0" w:color="auto"/>
            </w:tcBorders>
          </w:tcPr>
          <w:p w14:paraId="10CDEB0B"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km</w:t>
            </w:r>
          </w:p>
        </w:tc>
        <w:tc>
          <w:tcPr>
            <w:tcW w:w="435" w:type="pct"/>
            <w:tcBorders>
              <w:top w:val="single" w:sz="4" w:space="0" w:color="auto"/>
              <w:bottom w:val="single" w:sz="4" w:space="0" w:color="auto"/>
            </w:tcBorders>
          </w:tcPr>
          <w:p w14:paraId="46BECC07" w14:textId="77777777" w:rsidR="00417E37" w:rsidRPr="00B44B19" w:rsidRDefault="00417E37" w:rsidP="00603ED4">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bottom w:val="single" w:sz="4" w:space="0" w:color="auto"/>
            </w:tcBorders>
          </w:tcPr>
          <w:p w14:paraId="20A609E1" w14:textId="77777777" w:rsidR="00417E37" w:rsidRPr="00B44B19" w:rsidRDefault="00417E37" w:rsidP="00237B61">
            <w:pPr>
              <w:spacing w:before="100" w:beforeAutospacing="1" w:after="100" w:afterAutospacing="1" w:line="240" w:lineRule="auto"/>
              <w:jc w:val="center"/>
              <w:rPr>
                <w:rFonts w:cs="Times New Roman"/>
                <w:sz w:val="16"/>
                <w:szCs w:val="16"/>
              </w:rPr>
            </w:pPr>
            <w:r w:rsidRPr="00B44B19">
              <w:rPr>
                <w:rFonts w:cs="Times New Roman"/>
                <w:sz w:val="16"/>
                <w:szCs w:val="16"/>
              </w:rPr>
              <w:t>6,70</w:t>
            </w:r>
          </w:p>
        </w:tc>
      </w:tr>
      <w:tr w:rsidR="00417E37" w:rsidRPr="00B44B19" w14:paraId="12777F23" w14:textId="77777777" w:rsidTr="00603ED4">
        <w:trPr>
          <w:trHeight w:val="340"/>
        </w:trPr>
        <w:tc>
          <w:tcPr>
            <w:tcW w:w="566" w:type="pct"/>
            <w:vMerge/>
          </w:tcPr>
          <w:p w14:paraId="4C8E22E3"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03DD2BCB"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56E5CF9B"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495A4460" w14:textId="77777777" w:rsidR="00417E37" w:rsidRPr="00B44B19" w:rsidRDefault="00417E37" w:rsidP="003832C0">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26FDF343"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RCO58</w:t>
            </w:r>
          </w:p>
        </w:tc>
        <w:tc>
          <w:tcPr>
            <w:tcW w:w="934" w:type="pct"/>
            <w:tcBorders>
              <w:top w:val="single" w:sz="4" w:space="0" w:color="auto"/>
              <w:bottom w:val="single" w:sz="4" w:space="0" w:color="auto"/>
            </w:tcBorders>
          </w:tcPr>
          <w:p w14:paraId="776A29C1"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Dviračiams skirta infrastruktūra, kuriai suteikta parama</w:t>
            </w:r>
          </w:p>
        </w:tc>
        <w:tc>
          <w:tcPr>
            <w:tcW w:w="504" w:type="pct"/>
            <w:tcBorders>
              <w:top w:val="single" w:sz="4" w:space="0" w:color="auto"/>
              <w:bottom w:val="single" w:sz="4" w:space="0" w:color="auto"/>
            </w:tcBorders>
          </w:tcPr>
          <w:p w14:paraId="3ED0B7D7"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km</w:t>
            </w:r>
          </w:p>
        </w:tc>
        <w:tc>
          <w:tcPr>
            <w:tcW w:w="435" w:type="pct"/>
            <w:tcBorders>
              <w:top w:val="single" w:sz="4" w:space="0" w:color="auto"/>
              <w:bottom w:val="single" w:sz="4" w:space="0" w:color="auto"/>
            </w:tcBorders>
          </w:tcPr>
          <w:p w14:paraId="68298E24" w14:textId="77777777" w:rsidR="00417E37" w:rsidRPr="00B44B19" w:rsidRDefault="00417E37" w:rsidP="00603ED4">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bottom w:val="single" w:sz="4" w:space="0" w:color="auto"/>
            </w:tcBorders>
          </w:tcPr>
          <w:p w14:paraId="1D3EEF85" w14:textId="77777777" w:rsidR="00417E37" w:rsidRPr="00B44B19" w:rsidRDefault="00417E37" w:rsidP="00237B61">
            <w:pPr>
              <w:spacing w:before="100" w:beforeAutospacing="1" w:after="100" w:afterAutospacing="1" w:line="240" w:lineRule="auto"/>
              <w:jc w:val="center"/>
              <w:rPr>
                <w:rFonts w:cs="Times New Roman"/>
                <w:sz w:val="16"/>
                <w:szCs w:val="16"/>
              </w:rPr>
            </w:pPr>
            <w:r w:rsidRPr="00B44B19">
              <w:rPr>
                <w:rFonts w:cs="Times New Roman"/>
                <w:sz w:val="16"/>
                <w:szCs w:val="16"/>
              </w:rPr>
              <w:t>18,50</w:t>
            </w:r>
          </w:p>
        </w:tc>
      </w:tr>
      <w:tr w:rsidR="00417E37" w:rsidRPr="00B44B19" w14:paraId="6AB4DDF2" w14:textId="77777777" w:rsidTr="00603ED4">
        <w:trPr>
          <w:trHeight w:val="340"/>
        </w:trPr>
        <w:tc>
          <w:tcPr>
            <w:tcW w:w="566" w:type="pct"/>
            <w:vMerge/>
          </w:tcPr>
          <w:p w14:paraId="0D550F93"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1343342D"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1435578D"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5D6C6E59" w14:textId="77777777" w:rsidR="00417E37" w:rsidRPr="00B44B19" w:rsidRDefault="00417E37" w:rsidP="003832C0">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23D23A07"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RCO74</w:t>
            </w:r>
          </w:p>
        </w:tc>
        <w:tc>
          <w:tcPr>
            <w:tcW w:w="934" w:type="pct"/>
            <w:tcBorders>
              <w:top w:val="single" w:sz="4" w:space="0" w:color="auto"/>
              <w:bottom w:val="single" w:sz="4" w:space="0" w:color="auto"/>
            </w:tcBorders>
          </w:tcPr>
          <w:p w14:paraId="5308F562"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Gyventojai, kuriems taikomi projektai, vykdomi pagal integruotas teritorinio vystymo programas</w:t>
            </w:r>
          </w:p>
        </w:tc>
        <w:tc>
          <w:tcPr>
            <w:tcW w:w="504" w:type="pct"/>
            <w:tcBorders>
              <w:top w:val="single" w:sz="4" w:space="0" w:color="auto"/>
              <w:bottom w:val="single" w:sz="4" w:space="0" w:color="auto"/>
            </w:tcBorders>
          </w:tcPr>
          <w:p w14:paraId="19BA9E73"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Asmenys</w:t>
            </w:r>
          </w:p>
        </w:tc>
        <w:tc>
          <w:tcPr>
            <w:tcW w:w="435" w:type="pct"/>
            <w:tcBorders>
              <w:top w:val="single" w:sz="4" w:space="0" w:color="auto"/>
              <w:bottom w:val="single" w:sz="4" w:space="0" w:color="auto"/>
            </w:tcBorders>
          </w:tcPr>
          <w:p w14:paraId="275D6032" w14:textId="77777777" w:rsidR="00417E37" w:rsidRPr="00B44B19" w:rsidRDefault="00417E37" w:rsidP="00603ED4">
            <w:pPr>
              <w:spacing w:before="100" w:beforeAutospacing="1" w:after="100" w:afterAutospacing="1" w:line="240" w:lineRule="auto"/>
              <w:jc w:val="center"/>
              <w:rPr>
                <w:rFonts w:cs="Times New Roman"/>
                <w:sz w:val="16"/>
                <w:szCs w:val="16"/>
              </w:rPr>
            </w:pPr>
            <w:r w:rsidRPr="00B44B19">
              <w:rPr>
                <w:rFonts w:cs="Times New Roman"/>
                <w:sz w:val="16"/>
                <w:szCs w:val="16"/>
              </w:rPr>
              <w:t xml:space="preserve"> 0</w:t>
            </w:r>
          </w:p>
        </w:tc>
        <w:tc>
          <w:tcPr>
            <w:tcW w:w="482" w:type="pct"/>
            <w:tcBorders>
              <w:top w:val="single" w:sz="4" w:space="0" w:color="auto"/>
              <w:bottom w:val="single" w:sz="4" w:space="0" w:color="auto"/>
            </w:tcBorders>
          </w:tcPr>
          <w:p w14:paraId="44401D67" w14:textId="77777777" w:rsidR="00417E37" w:rsidRPr="00B44B19" w:rsidRDefault="00417E37" w:rsidP="00237B61">
            <w:pPr>
              <w:spacing w:before="100" w:beforeAutospacing="1" w:after="100" w:afterAutospacing="1" w:line="240" w:lineRule="auto"/>
              <w:jc w:val="center"/>
              <w:rPr>
                <w:rFonts w:cs="Times New Roman"/>
                <w:sz w:val="16"/>
                <w:szCs w:val="16"/>
              </w:rPr>
            </w:pPr>
            <w:r w:rsidRPr="00B44B19">
              <w:rPr>
                <w:rFonts w:cs="Times New Roman"/>
                <w:sz w:val="16"/>
                <w:szCs w:val="16"/>
              </w:rPr>
              <w:t>204 025</w:t>
            </w:r>
          </w:p>
        </w:tc>
      </w:tr>
      <w:tr w:rsidR="00417E37" w:rsidRPr="00B44B19" w14:paraId="2CDC6ADE" w14:textId="77777777" w:rsidTr="00603ED4">
        <w:trPr>
          <w:trHeight w:val="340"/>
        </w:trPr>
        <w:tc>
          <w:tcPr>
            <w:tcW w:w="566" w:type="pct"/>
            <w:vMerge/>
          </w:tcPr>
          <w:p w14:paraId="37B36B79"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792EE3A2"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16DFC686"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21CFC225" w14:textId="77777777" w:rsidR="00417E37" w:rsidRPr="00B44B19" w:rsidDel="00224487" w:rsidRDefault="00417E37" w:rsidP="001C6FEB">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bottom w:val="single" w:sz="4" w:space="0" w:color="auto"/>
            </w:tcBorders>
          </w:tcPr>
          <w:p w14:paraId="3A57D983"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RCO74</w:t>
            </w:r>
          </w:p>
        </w:tc>
        <w:tc>
          <w:tcPr>
            <w:tcW w:w="934" w:type="pct"/>
            <w:tcBorders>
              <w:top w:val="single" w:sz="4" w:space="0" w:color="auto"/>
              <w:bottom w:val="single" w:sz="4" w:space="0" w:color="auto"/>
            </w:tcBorders>
          </w:tcPr>
          <w:p w14:paraId="574048C9"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 xml:space="preserve">Gyventojai, kuriems taikomi projektai, vykdomi pagal </w:t>
            </w:r>
            <w:r w:rsidRPr="00B44B19">
              <w:rPr>
                <w:rFonts w:cs="Times New Roman"/>
                <w:sz w:val="16"/>
                <w:szCs w:val="16"/>
                <w:lang w:eastAsia="en-GB"/>
              </w:rPr>
              <w:lastRenderedPageBreak/>
              <w:t>integruotas teritorinio vystymo programas</w:t>
            </w:r>
          </w:p>
        </w:tc>
        <w:tc>
          <w:tcPr>
            <w:tcW w:w="504" w:type="pct"/>
            <w:tcBorders>
              <w:top w:val="single" w:sz="4" w:space="0" w:color="auto"/>
              <w:bottom w:val="single" w:sz="4" w:space="0" w:color="auto"/>
            </w:tcBorders>
          </w:tcPr>
          <w:p w14:paraId="58352AD3"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lastRenderedPageBreak/>
              <w:t>Asmenys</w:t>
            </w:r>
          </w:p>
        </w:tc>
        <w:tc>
          <w:tcPr>
            <w:tcW w:w="435" w:type="pct"/>
            <w:tcBorders>
              <w:top w:val="single" w:sz="4" w:space="0" w:color="auto"/>
              <w:bottom w:val="single" w:sz="4" w:space="0" w:color="auto"/>
            </w:tcBorders>
          </w:tcPr>
          <w:p w14:paraId="0AB8B866" w14:textId="77777777" w:rsidR="00417E37" w:rsidRPr="00B44B19" w:rsidRDefault="00417E37" w:rsidP="00603ED4">
            <w:pPr>
              <w:spacing w:before="100" w:beforeAutospacing="1" w:after="100" w:afterAutospacing="1" w:line="240" w:lineRule="auto"/>
              <w:jc w:val="center"/>
              <w:rPr>
                <w:rFonts w:cs="Times New Roman"/>
                <w:noProof/>
                <w:sz w:val="16"/>
                <w:szCs w:val="16"/>
              </w:rPr>
            </w:pPr>
            <w:r w:rsidRPr="00B44B19">
              <w:rPr>
                <w:rFonts w:cs="Times New Roman"/>
                <w:sz w:val="16"/>
                <w:szCs w:val="16"/>
              </w:rPr>
              <w:t xml:space="preserve"> 0</w:t>
            </w:r>
          </w:p>
        </w:tc>
        <w:tc>
          <w:tcPr>
            <w:tcW w:w="482" w:type="pct"/>
            <w:tcBorders>
              <w:top w:val="single" w:sz="4" w:space="0" w:color="auto"/>
              <w:bottom w:val="single" w:sz="4" w:space="0" w:color="auto"/>
            </w:tcBorders>
          </w:tcPr>
          <w:p w14:paraId="6B86C910" w14:textId="77777777" w:rsidR="00417E37" w:rsidRPr="00B44B19" w:rsidRDefault="00417E37" w:rsidP="00237B61">
            <w:pPr>
              <w:spacing w:before="100" w:beforeAutospacing="1" w:after="100" w:afterAutospacing="1" w:line="240" w:lineRule="auto"/>
              <w:jc w:val="center"/>
              <w:rPr>
                <w:rFonts w:cs="Times New Roman"/>
                <w:noProof/>
                <w:sz w:val="16"/>
                <w:szCs w:val="16"/>
              </w:rPr>
            </w:pPr>
            <w:r w:rsidRPr="00B44B19">
              <w:rPr>
                <w:rFonts w:cs="Times New Roman"/>
                <w:sz w:val="16"/>
                <w:szCs w:val="16"/>
              </w:rPr>
              <w:t>915 646</w:t>
            </w:r>
          </w:p>
        </w:tc>
      </w:tr>
      <w:tr w:rsidR="00417E37" w:rsidRPr="00B44B19" w14:paraId="387515F1" w14:textId="77777777" w:rsidTr="00603ED4">
        <w:trPr>
          <w:trHeight w:val="340"/>
        </w:trPr>
        <w:tc>
          <w:tcPr>
            <w:tcW w:w="566" w:type="pct"/>
            <w:vMerge/>
          </w:tcPr>
          <w:p w14:paraId="1EFC8A76"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5958931A"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36103C2A"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tcBorders>
          </w:tcPr>
          <w:p w14:paraId="27E0EA6E" w14:textId="77777777" w:rsidR="00417E37" w:rsidRPr="00B44B19" w:rsidRDefault="00417E37" w:rsidP="001C6FEB">
            <w:pPr>
              <w:spacing w:before="100" w:beforeAutospacing="1" w:after="100" w:afterAutospacing="1" w:line="240" w:lineRule="auto"/>
              <w:jc w:val="both"/>
              <w:rPr>
                <w:rFonts w:cs="Times New Roman"/>
                <w:b/>
                <w:noProof/>
                <w:sz w:val="14"/>
                <w:szCs w:val="14"/>
              </w:rPr>
            </w:pPr>
            <w:r w:rsidRPr="00B44B19">
              <w:rPr>
                <w:rFonts w:eastAsia="Calibri" w:cs="Times New Roman"/>
                <w:sz w:val="16"/>
                <w:szCs w:val="16"/>
                <w:lang w:eastAsia="lt-LT" w:bidi="lt-LT"/>
              </w:rPr>
              <w:t>Sostinės regionas</w:t>
            </w:r>
          </w:p>
        </w:tc>
        <w:tc>
          <w:tcPr>
            <w:tcW w:w="647" w:type="pct"/>
            <w:tcBorders>
              <w:top w:val="single" w:sz="4" w:space="0" w:color="auto"/>
              <w:bottom w:val="single" w:sz="4" w:space="0" w:color="auto"/>
            </w:tcBorders>
          </w:tcPr>
          <w:p w14:paraId="7A8E4943" w14:textId="77777777" w:rsidR="00417E37" w:rsidRPr="00B44B19" w:rsidRDefault="00417E37" w:rsidP="001C6FEB">
            <w:pPr>
              <w:spacing w:before="100" w:beforeAutospacing="1" w:after="100" w:afterAutospacing="1" w:line="240" w:lineRule="auto"/>
              <w:jc w:val="both"/>
              <w:rPr>
                <w:rFonts w:cs="Times New Roman"/>
                <w:bCs/>
                <w:noProof/>
                <w:sz w:val="16"/>
                <w:szCs w:val="16"/>
              </w:rPr>
            </w:pPr>
            <w:r w:rsidRPr="00B44B19">
              <w:rPr>
                <w:rFonts w:cs="Times New Roman"/>
                <w:bCs/>
                <w:noProof/>
                <w:sz w:val="16"/>
                <w:szCs w:val="16"/>
              </w:rPr>
              <w:t>RCO75</w:t>
            </w:r>
          </w:p>
        </w:tc>
        <w:tc>
          <w:tcPr>
            <w:tcW w:w="934" w:type="pct"/>
            <w:tcBorders>
              <w:top w:val="single" w:sz="4" w:space="0" w:color="auto"/>
              <w:bottom w:val="single" w:sz="4" w:space="0" w:color="auto"/>
            </w:tcBorders>
          </w:tcPr>
          <w:p w14:paraId="3F9D7E3C" w14:textId="77777777" w:rsidR="00417E37" w:rsidRPr="00B44B19" w:rsidRDefault="00417E37" w:rsidP="001C6FEB">
            <w:pPr>
              <w:tabs>
                <w:tab w:val="left" w:pos="7560"/>
              </w:tabs>
              <w:spacing w:before="100" w:beforeAutospacing="1" w:after="100" w:afterAutospacing="1" w:line="240" w:lineRule="auto"/>
              <w:rPr>
                <w:rFonts w:cs="Times New Roman"/>
                <w:bCs/>
                <w:noProof/>
                <w:sz w:val="16"/>
                <w:szCs w:val="16"/>
              </w:rPr>
            </w:pPr>
            <w:r w:rsidRPr="00B44B19">
              <w:rPr>
                <w:rFonts w:cs="Times New Roman"/>
                <w:sz w:val="16"/>
                <w:szCs w:val="16"/>
              </w:rPr>
              <w:t>Integruotos teritorinio vystymo strategijos, kurioms suteikta parama</w:t>
            </w:r>
          </w:p>
        </w:tc>
        <w:tc>
          <w:tcPr>
            <w:tcW w:w="504" w:type="pct"/>
            <w:tcBorders>
              <w:top w:val="single" w:sz="4" w:space="0" w:color="auto"/>
              <w:bottom w:val="single" w:sz="4" w:space="0" w:color="auto"/>
            </w:tcBorders>
          </w:tcPr>
          <w:p w14:paraId="1800970C"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Indėlis į strategijas</w:t>
            </w:r>
          </w:p>
        </w:tc>
        <w:tc>
          <w:tcPr>
            <w:tcW w:w="435" w:type="pct"/>
            <w:tcBorders>
              <w:top w:val="single" w:sz="4" w:space="0" w:color="auto"/>
              <w:bottom w:val="single" w:sz="4" w:space="0" w:color="auto"/>
            </w:tcBorders>
          </w:tcPr>
          <w:p w14:paraId="69AF5344" w14:textId="77777777" w:rsidR="00417E37" w:rsidRPr="00B44B19" w:rsidRDefault="00417E37" w:rsidP="00603ED4">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bottom w:val="single" w:sz="4" w:space="0" w:color="auto"/>
            </w:tcBorders>
          </w:tcPr>
          <w:p w14:paraId="061A427B" w14:textId="77777777" w:rsidR="00417E37" w:rsidRPr="00B44B19" w:rsidRDefault="00417E37" w:rsidP="00603ED4">
            <w:pPr>
              <w:spacing w:before="100" w:beforeAutospacing="1" w:after="100" w:afterAutospacing="1" w:line="240" w:lineRule="auto"/>
              <w:jc w:val="center"/>
              <w:rPr>
                <w:rFonts w:cs="Times New Roman"/>
                <w:noProof/>
                <w:sz w:val="16"/>
                <w:szCs w:val="16"/>
              </w:rPr>
            </w:pPr>
            <w:r w:rsidRPr="00B44B19">
              <w:rPr>
                <w:rFonts w:cs="Times New Roman"/>
                <w:sz w:val="16"/>
                <w:szCs w:val="16"/>
              </w:rPr>
              <w:t>1</w:t>
            </w:r>
          </w:p>
        </w:tc>
      </w:tr>
      <w:tr w:rsidR="00417E37" w:rsidRPr="00B44B19" w14:paraId="2704C6CE" w14:textId="77777777" w:rsidTr="00603ED4">
        <w:trPr>
          <w:trHeight w:val="340"/>
        </w:trPr>
        <w:tc>
          <w:tcPr>
            <w:tcW w:w="566" w:type="pct"/>
            <w:vMerge/>
          </w:tcPr>
          <w:p w14:paraId="7ED78D4C"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2E549924"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7E83CFB8"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21C4B74A"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12B845A9"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 xml:space="preserve">RCO75 </w:t>
            </w:r>
          </w:p>
        </w:tc>
        <w:tc>
          <w:tcPr>
            <w:tcW w:w="934" w:type="pct"/>
            <w:tcBorders>
              <w:top w:val="single" w:sz="4" w:space="0" w:color="auto"/>
              <w:left w:val="single" w:sz="2" w:space="0" w:color="auto"/>
              <w:bottom w:val="single" w:sz="4" w:space="0" w:color="auto"/>
              <w:right w:val="single" w:sz="2" w:space="0" w:color="auto"/>
            </w:tcBorders>
          </w:tcPr>
          <w:p w14:paraId="42552B94"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rPr>
              <w:t>Integruotos teritorinio vystymo strategijos, kurioms suteikta parama</w:t>
            </w:r>
          </w:p>
        </w:tc>
        <w:tc>
          <w:tcPr>
            <w:tcW w:w="504" w:type="pct"/>
            <w:tcBorders>
              <w:top w:val="single" w:sz="4" w:space="0" w:color="auto"/>
              <w:left w:val="single" w:sz="2" w:space="0" w:color="auto"/>
              <w:bottom w:val="single" w:sz="4" w:space="0" w:color="auto"/>
              <w:right w:val="single" w:sz="2" w:space="0" w:color="auto"/>
            </w:tcBorders>
          </w:tcPr>
          <w:p w14:paraId="587595AB"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Indėlis į strategijas</w:t>
            </w:r>
          </w:p>
        </w:tc>
        <w:tc>
          <w:tcPr>
            <w:tcW w:w="435" w:type="pct"/>
            <w:tcBorders>
              <w:top w:val="single" w:sz="4" w:space="0" w:color="auto"/>
              <w:left w:val="single" w:sz="2" w:space="0" w:color="auto"/>
              <w:bottom w:val="single" w:sz="4" w:space="0" w:color="auto"/>
              <w:right w:val="single" w:sz="2" w:space="0" w:color="auto"/>
            </w:tcBorders>
          </w:tcPr>
          <w:p w14:paraId="31FBB736" w14:textId="77777777" w:rsidR="00417E37" w:rsidRPr="00B44B19"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20B05049" w14:textId="77777777" w:rsidR="00417E37" w:rsidRPr="00B44B19"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9</w:t>
            </w:r>
          </w:p>
        </w:tc>
      </w:tr>
      <w:tr w:rsidR="00417E37" w:rsidRPr="00B44B19" w14:paraId="6C322FB5" w14:textId="77777777" w:rsidTr="00603ED4">
        <w:trPr>
          <w:trHeight w:val="340"/>
        </w:trPr>
        <w:tc>
          <w:tcPr>
            <w:tcW w:w="566" w:type="pct"/>
            <w:vMerge/>
          </w:tcPr>
          <w:p w14:paraId="7D4B8ED8"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56B3F5A5"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50E39A79"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46AA0480" w14:textId="77777777" w:rsidR="00417E37" w:rsidRPr="00B44B19" w:rsidRDefault="00417E37" w:rsidP="00E67E5C">
            <w:pPr>
              <w:spacing w:after="0"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037B7599" w14:textId="77777777" w:rsidR="00417E37" w:rsidRPr="00B44B19" w:rsidRDefault="00417E37" w:rsidP="00E67E5C">
            <w:pPr>
              <w:spacing w:after="0" w:line="240" w:lineRule="auto"/>
              <w:jc w:val="both"/>
              <w:rPr>
                <w:rFonts w:cs="Times New Roman"/>
                <w:bCs/>
                <w:noProof/>
                <w:sz w:val="16"/>
                <w:szCs w:val="16"/>
              </w:rPr>
            </w:pPr>
            <w:r w:rsidRPr="00B44B19">
              <w:rPr>
                <w:rFonts w:cs="Times New Roman"/>
                <w:bCs/>
                <w:noProof/>
                <w:sz w:val="16"/>
                <w:szCs w:val="16"/>
              </w:rPr>
              <w:t>RCO76</w:t>
            </w:r>
          </w:p>
        </w:tc>
        <w:tc>
          <w:tcPr>
            <w:tcW w:w="934" w:type="pct"/>
            <w:tcBorders>
              <w:top w:val="single" w:sz="4" w:space="0" w:color="auto"/>
              <w:left w:val="single" w:sz="2" w:space="0" w:color="auto"/>
              <w:bottom w:val="single" w:sz="4" w:space="0" w:color="auto"/>
              <w:right w:val="single" w:sz="2" w:space="0" w:color="auto"/>
            </w:tcBorders>
          </w:tcPr>
          <w:p w14:paraId="325B32EB" w14:textId="77777777" w:rsidR="00417E37" w:rsidRPr="00B44B19" w:rsidRDefault="00417E37" w:rsidP="00E67E5C">
            <w:pPr>
              <w:spacing w:after="0"/>
              <w:rPr>
                <w:rFonts w:cs="Times New Roman"/>
                <w:bCs/>
                <w:noProof/>
                <w:sz w:val="16"/>
                <w:szCs w:val="16"/>
              </w:rPr>
            </w:pPr>
            <w:r w:rsidRPr="00B44B19">
              <w:rPr>
                <w:rFonts w:cs="Times New Roman"/>
                <w:color w:val="000000"/>
                <w:sz w:val="16"/>
                <w:szCs w:val="16"/>
              </w:rPr>
              <w:t xml:space="preserve">Integruoti teritorinio vystymo projektai </w:t>
            </w:r>
          </w:p>
        </w:tc>
        <w:tc>
          <w:tcPr>
            <w:tcW w:w="504" w:type="pct"/>
            <w:tcBorders>
              <w:top w:val="single" w:sz="4" w:space="0" w:color="auto"/>
              <w:left w:val="single" w:sz="2" w:space="0" w:color="auto"/>
              <w:bottom w:val="single" w:sz="4" w:space="0" w:color="auto"/>
              <w:right w:val="single" w:sz="2" w:space="0" w:color="auto"/>
            </w:tcBorders>
          </w:tcPr>
          <w:p w14:paraId="6FBD2E05" w14:textId="77777777" w:rsidR="00417E37" w:rsidRPr="00B44B19" w:rsidRDefault="00417E37" w:rsidP="00E67E5C">
            <w:pPr>
              <w:spacing w:after="0" w:line="240" w:lineRule="auto"/>
              <w:jc w:val="both"/>
              <w:rPr>
                <w:rFonts w:cs="Times New Roman"/>
                <w:noProof/>
                <w:sz w:val="16"/>
                <w:szCs w:val="16"/>
              </w:rPr>
            </w:pPr>
            <w:r w:rsidRPr="00B44B19">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tcPr>
          <w:p w14:paraId="479B6F0D" w14:textId="77777777" w:rsidR="00417E37" w:rsidRPr="00B44B19" w:rsidRDefault="00417E37" w:rsidP="00E67E5C">
            <w:pPr>
              <w:spacing w:after="0" w:line="240" w:lineRule="auto"/>
              <w:jc w:val="center"/>
              <w:rPr>
                <w:rFonts w:cs="Times New Roman"/>
                <w:noProof/>
                <w:sz w:val="16"/>
                <w:szCs w:val="16"/>
              </w:rPr>
            </w:pPr>
            <w:r w:rsidRPr="00B44B19">
              <w:rPr>
                <w:rFonts w:cs="Times New Roman"/>
                <w:sz w:val="16"/>
                <w:szCs w:val="16"/>
              </w:rPr>
              <w:t xml:space="preserve"> 0</w:t>
            </w:r>
          </w:p>
        </w:tc>
        <w:tc>
          <w:tcPr>
            <w:tcW w:w="482" w:type="pct"/>
            <w:tcBorders>
              <w:top w:val="single" w:sz="4" w:space="0" w:color="auto"/>
              <w:left w:val="single" w:sz="2" w:space="0" w:color="auto"/>
              <w:bottom w:val="single" w:sz="4" w:space="0" w:color="auto"/>
              <w:right w:val="single" w:sz="2" w:space="0" w:color="auto"/>
            </w:tcBorders>
          </w:tcPr>
          <w:p w14:paraId="31001BAB" w14:textId="77777777" w:rsidR="00417E37" w:rsidRPr="00B44B19" w:rsidRDefault="00417E37" w:rsidP="00E67E5C">
            <w:pPr>
              <w:spacing w:after="0" w:line="240" w:lineRule="auto"/>
              <w:jc w:val="center"/>
              <w:rPr>
                <w:rFonts w:cs="Times New Roman"/>
                <w:noProof/>
                <w:sz w:val="16"/>
                <w:szCs w:val="16"/>
              </w:rPr>
            </w:pPr>
            <w:r w:rsidRPr="00B44B19">
              <w:rPr>
                <w:rFonts w:cs="Times New Roman"/>
                <w:sz w:val="16"/>
                <w:szCs w:val="16"/>
              </w:rPr>
              <w:t>4</w:t>
            </w:r>
          </w:p>
        </w:tc>
      </w:tr>
      <w:tr w:rsidR="00417E37" w:rsidRPr="00B44B19" w14:paraId="2259749D" w14:textId="77777777" w:rsidTr="00603ED4">
        <w:trPr>
          <w:trHeight w:val="340"/>
        </w:trPr>
        <w:tc>
          <w:tcPr>
            <w:tcW w:w="566" w:type="pct"/>
            <w:vMerge/>
          </w:tcPr>
          <w:p w14:paraId="5C5D229F"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7C060EF1"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0F7823F2"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F07C014"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3760657B"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RCO76</w:t>
            </w:r>
          </w:p>
        </w:tc>
        <w:tc>
          <w:tcPr>
            <w:tcW w:w="934" w:type="pct"/>
            <w:tcBorders>
              <w:top w:val="single" w:sz="4" w:space="0" w:color="auto"/>
              <w:left w:val="single" w:sz="2" w:space="0" w:color="auto"/>
              <w:bottom w:val="single" w:sz="4" w:space="0" w:color="auto"/>
              <w:right w:val="single" w:sz="2" w:space="0" w:color="auto"/>
            </w:tcBorders>
          </w:tcPr>
          <w:p w14:paraId="0821EB97" w14:textId="77777777" w:rsidR="00417E37" w:rsidRPr="00B44B19" w:rsidRDefault="00417E37" w:rsidP="004E32F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lang w:eastAsia="en-GB"/>
              </w:rPr>
              <w:t>Integruoti teritorinio vystymo projektai</w:t>
            </w:r>
          </w:p>
        </w:tc>
        <w:tc>
          <w:tcPr>
            <w:tcW w:w="504" w:type="pct"/>
            <w:tcBorders>
              <w:top w:val="single" w:sz="4" w:space="0" w:color="auto"/>
              <w:left w:val="single" w:sz="2" w:space="0" w:color="auto"/>
              <w:bottom w:val="single" w:sz="4" w:space="0" w:color="auto"/>
              <w:right w:val="single" w:sz="2" w:space="0" w:color="auto"/>
            </w:tcBorders>
          </w:tcPr>
          <w:p w14:paraId="1857B369"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Projektai</w:t>
            </w:r>
          </w:p>
        </w:tc>
        <w:tc>
          <w:tcPr>
            <w:tcW w:w="435" w:type="pct"/>
            <w:tcBorders>
              <w:top w:val="single" w:sz="4" w:space="0" w:color="auto"/>
              <w:left w:val="single" w:sz="2" w:space="0" w:color="auto"/>
              <w:bottom w:val="single" w:sz="4" w:space="0" w:color="auto"/>
              <w:right w:val="single" w:sz="2" w:space="0" w:color="auto"/>
            </w:tcBorders>
          </w:tcPr>
          <w:p w14:paraId="778A756B" w14:textId="77777777" w:rsidR="00417E37" w:rsidRPr="00B44B19"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15C78581" w14:textId="77777777" w:rsidR="00417E37" w:rsidRPr="00B44B19"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22</w:t>
            </w:r>
          </w:p>
        </w:tc>
      </w:tr>
      <w:tr w:rsidR="00417E37" w:rsidRPr="00B44B19" w14:paraId="3CC112C2" w14:textId="77777777" w:rsidTr="00603ED4">
        <w:trPr>
          <w:trHeight w:val="340"/>
        </w:trPr>
        <w:tc>
          <w:tcPr>
            <w:tcW w:w="566" w:type="pct"/>
            <w:vMerge/>
          </w:tcPr>
          <w:p w14:paraId="5CDB8134"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6BF87D62"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36EEFC1B"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94A7A0B" w14:textId="77777777" w:rsidR="00417E37" w:rsidRPr="00B44B19" w:rsidRDefault="00417E37" w:rsidP="001C6FEB">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0938B07F"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lang w:eastAsia="en-GB"/>
              </w:rPr>
              <w:t>Specialusis</w:t>
            </w:r>
          </w:p>
        </w:tc>
        <w:tc>
          <w:tcPr>
            <w:tcW w:w="934" w:type="pct"/>
            <w:tcBorders>
              <w:top w:val="single" w:sz="4" w:space="0" w:color="auto"/>
              <w:left w:val="single" w:sz="2" w:space="0" w:color="auto"/>
              <w:bottom w:val="single" w:sz="4" w:space="0" w:color="auto"/>
              <w:right w:val="single" w:sz="2" w:space="0" w:color="auto"/>
            </w:tcBorders>
          </w:tcPr>
          <w:p w14:paraId="5ED7A9F6"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rPr>
              <w:t>Sukurtos arba atkurtos atviros erdvė</w:t>
            </w:r>
          </w:p>
        </w:tc>
        <w:tc>
          <w:tcPr>
            <w:tcW w:w="504" w:type="pct"/>
            <w:tcBorders>
              <w:top w:val="single" w:sz="4" w:space="0" w:color="auto"/>
              <w:left w:val="single" w:sz="2" w:space="0" w:color="auto"/>
              <w:bottom w:val="single" w:sz="4" w:space="0" w:color="auto"/>
              <w:right w:val="single" w:sz="2" w:space="0" w:color="auto"/>
            </w:tcBorders>
          </w:tcPr>
          <w:p w14:paraId="12A03A8E" w14:textId="77777777" w:rsidR="00417E37" w:rsidRPr="00B44B19" w:rsidDel="001D42BE"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27F31A8D" w14:textId="77777777" w:rsidR="00417E37" w:rsidRPr="00B44B19" w:rsidDel="001D42BE"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344E5935" w14:textId="77777777" w:rsidR="00417E37" w:rsidRPr="00B44B19" w:rsidDel="001D42BE"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137 000</w:t>
            </w:r>
          </w:p>
        </w:tc>
      </w:tr>
      <w:tr w:rsidR="00417E37" w:rsidRPr="00B44B19" w14:paraId="75F1A2DB" w14:textId="77777777" w:rsidTr="00603ED4">
        <w:trPr>
          <w:trHeight w:val="340"/>
        </w:trPr>
        <w:tc>
          <w:tcPr>
            <w:tcW w:w="566" w:type="pct"/>
            <w:vMerge/>
          </w:tcPr>
          <w:p w14:paraId="55F96169"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5B1AD72E"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2FBDD7FA"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21136A9D" w14:textId="77777777" w:rsidR="00417E37" w:rsidRPr="00B44B19" w:rsidRDefault="00417E37" w:rsidP="001C6FEB">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00EDC5E2" w14:textId="77777777" w:rsidR="00417E37" w:rsidRPr="00B44B19" w:rsidRDefault="00417E37" w:rsidP="001C6FEB">
            <w:pPr>
              <w:spacing w:before="100" w:beforeAutospacing="1" w:after="100" w:afterAutospacing="1" w:line="240" w:lineRule="auto"/>
              <w:jc w:val="both"/>
              <w:rPr>
                <w:rFonts w:cs="Times New Roman"/>
                <w:sz w:val="16"/>
                <w:szCs w:val="16"/>
                <w:lang w:eastAsia="en-GB"/>
              </w:rPr>
            </w:pPr>
            <w:r w:rsidRPr="00B44B19">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tcPr>
          <w:p w14:paraId="3CCD0F19" w14:textId="77777777" w:rsidR="00417E37" w:rsidRPr="00B44B19" w:rsidRDefault="00417E37" w:rsidP="001C6FEB">
            <w:pPr>
              <w:tabs>
                <w:tab w:val="left" w:pos="7560"/>
              </w:tabs>
              <w:spacing w:before="100" w:beforeAutospacing="1" w:after="100" w:afterAutospacing="1" w:line="240" w:lineRule="auto"/>
              <w:rPr>
                <w:rFonts w:cs="Times New Roman"/>
                <w:sz w:val="16"/>
                <w:szCs w:val="16"/>
                <w:lang w:eastAsia="en-GB"/>
              </w:rPr>
            </w:pPr>
            <w:r w:rsidRPr="00B44B19">
              <w:rPr>
                <w:rFonts w:cs="Times New Roman"/>
                <w:sz w:val="16"/>
                <w:szCs w:val="16"/>
              </w:rPr>
              <w:t>Sukurtos arba atkurtos atviros erdvė</w:t>
            </w:r>
          </w:p>
        </w:tc>
        <w:tc>
          <w:tcPr>
            <w:tcW w:w="504" w:type="pct"/>
            <w:tcBorders>
              <w:top w:val="single" w:sz="4" w:space="0" w:color="auto"/>
              <w:left w:val="single" w:sz="2" w:space="0" w:color="auto"/>
              <w:bottom w:val="single" w:sz="4" w:space="0" w:color="auto"/>
              <w:right w:val="single" w:sz="2" w:space="0" w:color="auto"/>
            </w:tcBorders>
          </w:tcPr>
          <w:p w14:paraId="21C8FB11" w14:textId="77777777" w:rsidR="00417E37" w:rsidRPr="00B44B19" w:rsidDel="001D42BE"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365476F8" w14:textId="77777777" w:rsidR="00417E37" w:rsidRPr="00B44B19" w:rsidDel="001D42BE" w:rsidRDefault="00417E37" w:rsidP="001C6FEB">
            <w:pPr>
              <w:spacing w:before="100" w:beforeAutospacing="1" w:after="100" w:afterAutospacing="1" w:line="240" w:lineRule="auto"/>
              <w:jc w:val="center"/>
              <w:rPr>
                <w:rFonts w:cs="Times New Roman"/>
                <w:noProof/>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6164DFFC" w14:textId="77777777" w:rsidR="00417E37" w:rsidRPr="00B44B19" w:rsidDel="001D42BE" w:rsidRDefault="00417E37" w:rsidP="00ED7E41">
            <w:pPr>
              <w:spacing w:before="100" w:beforeAutospacing="1" w:after="100" w:afterAutospacing="1" w:line="240" w:lineRule="auto"/>
              <w:jc w:val="center"/>
              <w:rPr>
                <w:rFonts w:cs="Times New Roman"/>
                <w:noProof/>
                <w:sz w:val="16"/>
                <w:szCs w:val="16"/>
              </w:rPr>
            </w:pPr>
            <w:r w:rsidRPr="00B44B19">
              <w:rPr>
                <w:rFonts w:cs="Times New Roman"/>
                <w:sz w:val="16"/>
                <w:szCs w:val="16"/>
              </w:rPr>
              <w:t>2 409 000,</w:t>
            </w:r>
          </w:p>
        </w:tc>
      </w:tr>
      <w:tr w:rsidR="00417E37" w:rsidRPr="00B44B19" w14:paraId="410BBBA5" w14:textId="77777777" w:rsidTr="00603ED4">
        <w:trPr>
          <w:trHeight w:val="340"/>
        </w:trPr>
        <w:tc>
          <w:tcPr>
            <w:tcW w:w="566" w:type="pct"/>
            <w:vMerge/>
          </w:tcPr>
          <w:p w14:paraId="5201A35E"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23E53813"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2BA4EC19"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71024196" w14:textId="77777777" w:rsidR="00417E37" w:rsidRPr="00B44B19" w:rsidRDefault="00417E37" w:rsidP="001C6FEB">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647" w:type="pct"/>
            <w:tcBorders>
              <w:top w:val="single" w:sz="4" w:space="0" w:color="auto"/>
              <w:left w:val="single" w:sz="2" w:space="0" w:color="auto"/>
              <w:bottom w:val="single" w:sz="4" w:space="0" w:color="auto"/>
              <w:right w:val="single" w:sz="2" w:space="0" w:color="auto"/>
            </w:tcBorders>
          </w:tcPr>
          <w:p w14:paraId="7E9B14C5" w14:textId="77777777" w:rsidR="00417E37" w:rsidRPr="00B44B19" w:rsidRDefault="00417E37" w:rsidP="001C6FEB">
            <w:pPr>
              <w:spacing w:before="100" w:beforeAutospacing="1" w:after="100" w:afterAutospacing="1" w:line="240" w:lineRule="auto"/>
              <w:jc w:val="both"/>
              <w:rPr>
                <w:rFonts w:cs="Times New Roman"/>
                <w:sz w:val="16"/>
                <w:szCs w:val="16"/>
              </w:rPr>
            </w:pPr>
            <w:r w:rsidRPr="00B44B19">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tcPr>
          <w:p w14:paraId="1E78BE62" w14:textId="77777777" w:rsidR="00417E37" w:rsidRPr="00B44B19" w:rsidRDefault="00417E37" w:rsidP="001C6FEB">
            <w:pPr>
              <w:tabs>
                <w:tab w:val="left" w:pos="7560"/>
              </w:tabs>
              <w:spacing w:before="100" w:beforeAutospacing="1" w:after="100" w:afterAutospacing="1" w:line="240" w:lineRule="auto"/>
              <w:rPr>
                <w:rFonts w:cs="Times New Roman"/>
                <w:sz w:val="16"/>
                <w:szCs w:val="16"/>
              </w:rPr>
            </w:pPr>
            <w:r w:rsidRPr="00B44B19">
              <w:rPr>
                <w:rFonts w:cs="Times New Roman"/>
                <w:sz w:val="16"/>
                <w:szCs w:val="16"/>
              </w:rPr>
              <w:t>Naujų ar rekonstruotų pastatų, kurių pirminės energijos paklausa yra bent 20 % mažesnė nei reikalauja energijos beveik nevartojantis pastatas, plotas</w:t>
            </w:r>
          </w:p>
        </w:tc>
        <w:tc>
          <w:tcPr>
            <w:tcW w:w="504" w:type="pct"/>
            <w:tcBorders>
              <w:top w:val="single" w:sz="4" w:space="0" w:color="auto"/>
              <w:left w:val="single" w:sz="2" w:space="0" w:color="auto"/>
              <w:bottom w:val="single" w:sz="4" w:space="0" w:color="auto"/>
              <w:right w:val="single" w:sz="2" w:space="0" w:color="auto"/>
            </w:tcBorders>
          </w:tcPr>
          <w:p w14:paraId="192C6FF9"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58D06A0A" w14:textId="77777777" w:rsidR="00417E37" w:rsidRPr="00B44B19" w:rsidRDefault="00417E37" w:rsidP="001C6FEB">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4E80DF84" w14:textId="77777777" w:rsidR="00417E37" w:rsidRPr="00B44B19" w:rsidRDefault="00417E37" w:rsidP="001C6FEB">
            <w:pPr>
              <w:spacing w:before="100" w:beforeAutospacing="1" w:after="100" w:afterAutospacing="1" w:line="240" w:lineRule="auto"/>
              <w:jc w:val="center"/>
              <w:rPr>
                <w:rFonts w:cs="Times New Roman"/>
                <w:sz w:val="16"/>
                <w:szCs w:val="16"/>
              </w:rPr>
            </w:pPr>
            <w:r w:rsidRPr="00B44B19">
              <w:rPr>
                <w:rFonts w:cs="Times New Roman"/>
                <w:sz w:val="16"/>
                <w:szCs w:val="16"/>
              </w:rPr>
              <w:t>1 800</w:t>
            </w:r>
          </w:p>
        </w:tc>
      </w:tr>
      <w:tr w:rsidR="00417E37" w:rsidRPr="00B44B19" w14:paraId="68777DA1" w14:textId="77777777" w:rsidTr="00603ED4">
        <w:trPr>
          <w:trHeight w:val="340"/>
        </w:trPr>
        <w:tc>
          <w:tcPr>
            <w:tcW w:w="566" w:type="pct"/>
            <w:vMerge/>
          </w:tcPr>
          <w:p w14:paraId="7A2A89F8"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4CFBF7EA"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7962998E"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56A9DCB6" w14:textId="77777777" w:rsidR="00417E37" w:rsidRPr="00B44B19" w:rsidRDefault="00417E37" w:rsidP="001C6FEB">
            <w:pPr>
              <w:spacing w:before="100" w:beforeAutospacing="1" w:after="100" w:afterAutospacing="1"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647" w:type="pct"/>
            <w:tcBorders>
              <w:top w:val="single" w:sz="4" w:space="0" w:color="auto"/>
              <w:left w:val="single" w:sz="2" w:space="0" w:color="auto"/>
              <w:bottom w:val="single" w:sz="4" w:space="0" w:color="auto"/>
              <w:right w:val="single" w:sz="2" w:space="0" w:color="auto"/>
            </w:tcBorders>
          </w:tcPr>
          <w:p w14:paraId="4D852355" w14:textId="77777777" w:rsidR="00417E37" w:rsidRPr="00B44B19" w:rsidRDefault="00417E37" w:rsidP="001C6FEB">
            <w:pPr>
              <w:spacing w:before="100" w:beforeAutospacing="1" w:after="100" w:afterAutospacing="1" w:line="240" w:lineRule="auto"/>
              <w:jc w:val="both"/>
              <w:rPr>
                <w:rFonts w:cs="Times New Roman"/>
                <w:sz w:val="16"/>
                <w:szCs w:val="16"/>
              </w:rPr>
            </w:pPr>
            <w:r w:rsidRPr="00B44B19">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tcPr>
          <w:p w14:paraId="07A95F54" w14:textId="77777777" w:rsidR="00417E37" w:rsidRPr="00B44B19" w:rsidRDefault="00417E37" w:rsidP="001C6FEB">
            <w:pPr>
              <w:tabs>
                <w:tab w:val="left" w:pos="7560"/>
              </w:tabs>
              <w:spacing w:before="100" w:beforeAutospacing="1" w:after="100" w:afterAutospacing="1" w:line="240" w:lineRule="auto"/>
              <w:rPr>
                <w:rFonts w:cs="Times New Roman"/>
                <w:sz w:val="16"/>
                <w:szCs w:val="16"/>
              </w:rPr>
            </w:pPr>
            <w:r w:rsidRPr="00B44B19">
              <w:rPr>
                <w:rFonts w:cs="Times New Roman"/>
                <w:sz w:val="16"/>
                <w:szCs w:val="16"/>
              </w:rPr>
              <w:t>Naujų ar rekonstruotų pastatų, kurių pirminės energijos paklausa yra bent 20 % mažesnė nei reikalauja energijos beveik nevartojantis pastatas, plotas</w:t>
            </w:r>
          </w:p>
        </w:tc>
        <w:tc>
          <w:tcPr>
            <w:tcW w:w="504" w:type="pct"/>
            <w:tcBorders>
              <w:top w:val="single" w:sz="4" w:space="0" w:color="auto"/>
              <w:left w:val="single" w:sz="2" w:space="0" w:color="auto"/>
              <w:bottom w:val="single" w:sz="4" w:space="0" w:color="auto"/>
              <w:right w:val="single" w:sz="2" w:space="0" w:color="auto"/>
            </w:tcBorders>
          </w:tcPr>
          <w:p w14:paraId="07BADF21" w14:textId="77777777"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noProof/>
                <w:sz w:val="16"/>
                <w:szCs w:val="16"/>
              </w:rPr>
              <w:t>Kvadratiniai metrai</w:t>
            </w:r>
          </w:p>
        </w:tc>
        <w:tc>
          <w:tcPr>
            <w:tcW w:w="435" w:type="pct"/>
            <w:tcBorders>
              <w:top w:val="single" w:sz="4" w:space="0" w:color="auto"/>
              <w:left w:val="single" w:sz="2" w:space="0" w:color="auto"/>
              <w:bottom w:val="single" w:sz="4" w:space="0" w:color="auto"/>
              <w:right w:val="single" w:sz="2" w:space="0" w:color="auto"/>
            </w:tcBorders>
          </w:tcPr>
          <w:p w14:paraId="270E9EA6" w14:textId="77777777" w:rsidR="00417E37" w:rsidRPr="00B44B19" w:rsidRDefault="00417E37" w:rsidP="001C6FEB">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76E91FD7" w14:textId="77777777" w:rsidR="00417E37" w:rsidRPr="00B44B19" w:rsidRDefault="00417E37" w:rsidP="001C6FEB">
            <w:pPr>
              <w:spacing w:before="100" w:beforeAutospacing="1" w:after="100" w:afterAutospacing="1" w:line="240" w:lineRule="auto"/>
              <w:jc w:val="center"/>
              <w:rPr>
                <w:rFonts w:cs="Times New Roman"/>
                <w:sz w:val="16"/>
                <w:szCs w:val="16"/>
              </w:rPr>
            </w:pPr>
            <w:r w:rsidRPr="00B44B19">
              <w:rPr>
                <w:rFonts w:cs="Times New Roman"/>
                <w:sz w:val="16"/>
                <w:szCs w:val="16"/>
              </w:rPr>
              <w:t>9 600</w:t>
            </w:r>
          </w:p>
        </w:tc>
      </w:tr>
      <w:tr w:rsidR="00417E37" w:rsidRPr="00B44B19" w14:paraId="5AC1DF5F" w14:textId="77777777" w:rsidTr="00603ED4">
        <w:trPr>
          <w:trHeight w:val="340"/>
        </w:trPr>
        <w:tc>
          <w:tcPr>
            <w:tcW w:w="566" w:type="pct"/>
            <w:vMerge/>
          </w:tcPr>
          <w:p w14:paraId="060D26B4" w14:textId="77777777" w:rsidR="00417E37" w:rsidRPr="00B44B19" w:rsidRDefault="00417E37" w:rsidP="001C6FEB">
            <w:pPr>
              <w:spacing w:after="0" w:line="240" w:lineRule="auto"/>
              <w:jc w:val="both"/>
              <w:rPr>
                <w:rFonts w:cs="Times New Roman"/>
                <w:noProof/>
                <w:sz w:val="16"/>
                <w:szCs w:val="16"/>
              </w:rPr>
            </w:pPr>
          </w:p>
        </w:tc>
        <w:tc>
          <w:tcPr>
            <w:tcW w:w="498" w:type="pct"/>
            <w:vMerge/>
          </w:tcPr>
          <w:p w14:paraId="41928DC0" w14:textId="77777777" w:rsidR="00417E37" w:rsidRPr="00B44B19" w:rsidRDefault="00417E37" w:rsidP="001C6FEB">
            <w:pPr>
              <w:spacing w:after="0" w:line="240" w:lineRule="auto"/>
              <w:jc w:val="both"/>
              <w:rPr>
                <w:rFonts w:cs="Times New Roman"/>
                <w:noProof/>
                <w:sz w:val="16"/>
                <w:szCs w:val="16"/>
              </w:rPr>
            </w:pPr>
          </w:p>
        </w:tc>
        <w:tc>
          <w:tcPr>
            <w:tcW w:w="429" w:type="pct"/>
            <w:vMerge/>
          </w:tcPr>
          <w:p w14:paraId="2E54C7BB" w14:textId="77777777" w:rsidR="00417E37" w:rsidRPr="00B44B19" w:rsidRDefault="00417E37" w:rsidP="001C6FEB">
            <w:pPr>
              <w:spacing w:after="0" w:line="240" w:lineRule="auto"/>
              <w:jc w:val="both"/>
              <w:rPr>
                <w:rFonts w:cs="Times New Roman"/>
                <w:noProof/>
                <w:sz w:val="16"/>
                <w:szCs w:val="16"/>
              </w:rPr>
            </w:pPr>
          </w:p>
        </w:tc>
        <w:tc>
          <w:tcPr>
            <w:tcW w:w="504" w:type="pct"/>
            <w:tcBorders>
              <w:top w:val="single" w:sz="4" w:space="0" w:color="auto"/>
              <w:bottom w:val="single" w:sz="4" w:space="0" w:color="auto"/>
              <w:right w:val="single" w:sz="2" w:space="0" w:color="auto"/>
            </w:tcBorders>
          </w:tcPr>
          <w:p w14:paraId="057F27A1" w14:textId="1BA5BCEA" w:rsidR="00417E37" w:rsidRPr="00B44B19" w:rsidRDefault="00417E37" w:rsidP="001C6FEB">
            <w:pPr>
              <w:spacing w:before="100" w:beforeAutospacing="1" w:after="100" w:afterAutospacing="1" w:line="240" w:lineRule="auto"/>
              <w:jc w:val="both"/>
              <w:rPr>
                <w:rFonts w:eastAsia="Calibri" w:cs="Times New Roman"/>
                <w:sz w:val="16"/>
                <w:szCs w:val="16"/>
                <w:lang w:eastAsia="lt-LT" w:bidi="lt-LT"/>
              </w:rPr>
            </w:pPr>
            <w:r w:rsidRPr="00B44B19">
              <w:rPr>
                <w:rFonts w:cs="Times New Roman"/>
                <w:sz w:val="16"/>
                <w:szCs w:val="16"/>
              </w:rPr>
              <w:t>VVL regionas</w:t>
            </w:r>
          </w:p>
        </w:tc>
        <w:tc>
          <w:tcPr>
            <w:tcW w:w="647" w:type="pct"/>
            <w:tcBorders>
              <w:top w:val="single" w:sz="4" w:space="0" w:color="auto"/>
              <w:left w:val="single" w:sz="2" w:space="0" w:color="auto"/>
              <w:bottom w:val="single" w:sz="4" w:space="0" w:color="auto"/>
              <w:right w:val="single" w:sz="2" w:space="0" w:color="auto"/>
            </w:tcBorders>
          </w:tcPr>
          <w:p w14:paraId="7A200508" w14:textId="404D1CB2" w:rsidR="00417E37" w:rsidRPr="00B44B19" w:rsidRDefault="00417E37" w:rsidP="001C6FEB">
            <w:pPr>
              <w:spacing w:before="100" w:beforeAutospacing="1" w:after="100" w:afterAutospacing="1" w:line="240" w:lineRule="auto"/>
              <w:jc w:val="both"/>
              <w:rPr>
                <w:rFonts w:cs="Times New Roman"/>
                <w:sz w:val="16"/>
                <w:szCs w:val="16"/>
              </w:rPr>
            </w:pPr>
            <w:r w:rsidRPr="00B44B19">
              <w:rPr>
                <w:rFonts w:cs="Times New Roman"/>
                <w:sz w:val="16"/>
                <w:szCs w:val="16"/>
              </w:rPr>
              <w:t>Specialusis</w:t>
            </w:r>
          </w:p>
        </w:tc>
        <w:tc>
          <w:tcPr>
            <w:tcW w:w="934" w:type="pct"/>
            <w:tcBorders>
              <w:top w:val="single" w:sz="4" w:space="0" w:color="auto"/>
              <w:left w:val="single" w:sz="2" w:space="0" w:color="auto"/>
              <w:bottom w:val="single" w:sz="4" w:space="0" w:color="auto"/>
              <w:right w:val="single" w:sz="2" w:space="0" w:color="auto"/>
            </w:tcBorders>
          </w:tcPr>
          <w:p w14:paraId="396DF0ED" w14:textId="6952C1A3" w:rsidR="00417E37" w:rsidRPr="00B44B19" w:rsidRDefault="00417E37" w:rsidP="001C6FEB">
            <w:pPr>
              <w:tabs>
                <w:tab w:val="left" w:pos="7560"/>
              </w:tabs>
              <w:spacing w:before="100" w:beforeAutospacing="1" w:after="100" w:afterAutospacing="1" w:line="240" w:lineRule="auto"/>
              <w:rPr>
                <w:rFonts w:cs="Times New Roman"/>
                <w:sz w:val="16"/>
                <w:szCs w:val="16"/>
              </w:rPr>
            </w:pPr>
            <w:r w:rsidRPr="00B44B19">
              <w:rPr>
                <w:rFonts w:cs="Times New Roman"/>
                <w:sz w:val="16"/>
                <w:szCs w:val="16"/>
              </w:rPr>
              <w:t>Paramą gavusių pakrančių turizmo vietovių skaičius</w:t>
            </w:r>
          </w:p>
        </w:tc>
        <w:tc>
          <w:tcPr>
            <w:tcW w:w="504" w:type="pct"/>
            <w:tcBorders>
              <w:top w:val="single" w:sz="4" w:space="0" w:color="auto"/>
              <w:left w:val="single" w:sz="2" w:space="0" w:color="auto"/>
              <w:bottom w:val="single" w:sz="4" w:space="0" w:color="auto"/>
              <w:right w:val="single" w:sz="2" w:space="0" w:color="auto"/>
            </w:tcBorders>
          </w:tcPr>
          <w:p w14:paraId="49C09907" w14:textId="26DB766A" w:rsidR="00417E37" w:rsidRPr="00B44B19" w:rsidRDefault="00417E37" w:rsidP="001C6FEB">
            <w:pPr>
              <w:spacing w:before="100" w:beforeAutospacing="1" w:after="100" w:afterAutospacing="1" w:line="240" w:lineRule="auto"/>
              <w:jc w:val="both"/>
              <w:rPr>
                <w:rFonts w:cs="Times New Roman"/>
                <w:noProof/>
                <w:sz w:val="16"/>
                <w:szCs w:val="16"/>
              </w:rPr>
            </w:pPr>
            <w:r w:rsidRPr="00B44B19">
              <w:rPr>
                <w:rFonts w:cs="Times New Roman"/>
                <w:sz w:val="16"/>
                <w:szCs w:val="16"/>
              </w:rPr>
              <w:t>vnt</w:t>
            </w:r>
          </w:p>
        </w:tc>
        <w:tc>
          <w:tcPr>
            <w:tcW w:w="435" w:type="pct"/>
            <w:tcBorders>
              <w:top w:val="single" w:sz="4" w:space="0" w:color="auto"/>
              <w:left w:val="single" w:sz="2" w:space="0" w:color="auto"/>
              <w:bottom w:val="single" w:sz="4" w:space="0" w:color="auto"/>
              <w:right w:val="single" w:sz="2" w:space="0" w:color="auto"/>
            </w:tcBorders>
          </w:tcPr>
          <w:p w14:paraId="7CBB6EB7" w14:textId="4C5A7F13" w:rsidR="00417E37" w:rsidRPr="00B44B19" w:rsidRDefault="00417E37" w:rsidP="001C6FEB">
            <w:pPr>
              <w:spacing w:before="100" w:beforeAutospacing="1" w:after="100" w:afterAutospacing="1" w:line="240" w:lineRule="auto"/>
              <w:jc w:val="center"/>
              <w:rPr>
                <w:rFonts w:cs="Times New Roman"/>
                <w:sz w:val="16"/>
                <w:szCs w:val="16"/>
              </w:rPr>
            </w:pPr>
            <w:r w:rsidRPr="00B44B19">
              <w:rPr>
                <w:rFonts w:cs="Times New Roman"/>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3D936621" w14:textId="46C9C914" w:rsidR="00417E37" w:rsidRPr="00B44B19" w:rsidRDefault="00417E37" w:rsidP="001C6FEB">
            <w:pPr>
              <w:spacing w:before="100" w:beforeAutospacing="1" w:after="100" w:afterAutospacing="1" w:line="240" w:lineRule="auto"/>
              <w:jc w:val="center"/>
              <w:rPr>
                <w:rFonts w:cs="Times New Roman"/>
                <w:sz w:val="16"/>
                <w:szCs w:val="16"/>
              </w:rPr>
            </w:pPr>
            <w:r w:rsidRPr="00B44B19">
              <w:rPr>
                <w:rFonts w:cs="Times New Roman"/>
                <w:sz w:val="16"/>
                <w:szCs w:val="16"/>
              </w:rPr>
              <w:t>1</w:t>
            </w:r>
          </w:p>
        </w:tc>
      </w:tr>
    </w:tbl>
    <w:p w14:paraId="4B1B7383" w14:textId="77777777" w:rsidR="00603ED4" w:rsidRPr="00B44B19" w:rsidRDefault="00603ED4" w:rsidP="00603ED4">
      <w:pPr>
        <w:spacing w:after="0" w:line="240" w:lineRule="auto"/>
        <w:jc w:val="both"/>
        <w:rPr>
          <w:rFonts w:cs="Times New Roman"/>
          <w:b/>
          <w:bCs/>
          <w:sz w:val="28"/>
          <w:szCs w:val="28"/>
        </w:rPr>
      </w:pPr>
    </w:p>
    <w:p w14:paraId="772B4340" w14:textId="77777777" w:rsidR="00970104" w:rsidRPr="00B44B19" w:rsidRDefault="00970104" w:rsidP="00603ED4">
      <w:pPr>
        <w:spacing w:after="0" w:line="240" w:lineRule="auto"/>
        <w:rPr>
          <w:rFonts w:cs="Times New Roman"/>
          <w:b/>
          <w:sz w:val="20"/>
          <w:szCs w:val="24"/>
        </w:rPr>
        <w:sectPr w:rsidR="00970104" w:rsidRPr="00B44B19" w:rsidSect="00931C78">
          <w:pgSz w:w="11906" w:h="16838"/>
          <w:pgMar w:top="1276" w:right="567" w:bottom="1134" w:left="1701" w:header="567" w:footer="567" w:gutter="0"/>
          <w:cols w:space="1296"/>
          <w:docGrid w:linePitch="360"/>
        </w:sectPr>
      </w:pPr>
    </w:p>
    <w:p w14:paraId="51BFE636" w14:textId="77777777" w:rsidR="00BB1A6D" w:rsidRPr="00B44B19" w:rsidRDefault="00603ED4" w:rsidP="00603ED4">
      <w:pPr>
        <w:spacing w:after="0" w:line="240" w:lineRule="auto"/>
        <w:rPr>
          <w:rFonts w:cs="Times New Roman"/>
          <w:b/>
          <w:sz w:val="20"/>
          <w:szCs w:val="24"/>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76"/>
        <w:gridCol w:w="839"/>
        <w:gridCol w:w="975"/>
        <w:gridCol w:w="1255"/>
        <w:gridCol w:w="3208"/>
        <w:gridCol w:w="1252"/>
        <w:gridCol w:w="1118"/>
        <w:gridCol w:w="972"/>
        <w:gridCol w:w="1257"/>
        <w:gridCol w:w="975"/>
        <w:gridCol w:w="957"/>
      </w:tblGrid>
      <w:tr w:rsidR="00603ED4" w:rsidRPr="00B44B19" w14:paraId="5906A96A" w14:textId="77777777" w:rsidTr="001C6FEB">
        <w:trPr>
          <w:trHeight w:val="871"/>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EF781D"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DFC9DB"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4F7773"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A66D05"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B1150E"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07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81BBC9"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Rodiklis</w:t>
            </w:r>
          </w:p>
        </w:tc>
        <w:tc>
          <w:tcPr>
            <w:tcW w:w="42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0DF80C"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F198AA"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7A5CFF"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4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4E4EB3"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Siek</w:t>
            </w:r>
            <w:r w:rsidR="00C36E16" w:rsidRPr="00B44B19">
              <w:rPr>
                <w:rFonts w:cs="Times New Roman"/>
                <w:b/>
                <w:noProof/>
                <w:sz w:val="16"/>
                <w:szCs w:val="16"/>
              </w:rPr>
              <w:t>tina reikšmė</w:t>
            </w:r>
            <w:r w:rsidRPr="00B44B19">
              <w:rPr>
                <w:rFonts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2DEC00"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Duomenų šaltinis</w:t>
            </w:r>
          </w:p>
        </w:tc>
        <w:tc>
          <w:tcPr>
            <w:tcW w:w="3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C3BBC0" w14:textId="77777777" w:rsidR="00603ED4" w:rsidRPr="00B44B19" w:rsidRDefault="00603ED4" w:rsidP="001C6FEB">
            <w:pPr>
              <w:spacing w:after="0" w:line="240" w:lineRule="auto"/>
              <w:jc w:val="center"/>
              <w:rPr>
                <w:rFonts w:cs="Times New Roman"/>
                <w:b/>
                <w:noProof/>
                <w:sz w:val="16"/>
                <w:szCs w:val="16"/>
              </w:rPr>
            </w:pPr>
            <w:r w:rsidRPr="00B44B19">
              <w:rPr>
                <w:rFonts w:cs="Times New Roman"/>
                <w:b/>
                <w:noProof/>
                <w:sz w:val="16"/>
                <w:szCs w:val="16"/>
              </w:rPr>
              <w:t>Pastabos</w:t>
            </w:r>
          </w:p>
        </w:tc>
      </w:tr>
      <w:tr w:rsidR="00417E37" w:rsidRPr="00B44B19" w14:paraId="6D54B610" w14:textId="77777777" w:rsidTr="001C6FEB">
        <w:trPr>
          <w:trHeight w:val="421"/>
        </w:trPr>
        <w:tc>
          <w:tcPr>
            <w:tcW w:w="363" w:type="pct"/>
            <w:vMerge w:val="restart"/>
          </w:tcPr>
          <w:p w14:paraId="6F9E1A4D"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 xml:space="preserve">5. </w:t>
            </w:r>
            <w:r w:rsidRPr="00B44B19">
              <w:rPr>
                <w:rFonts w:cs="Times New Roman"/>
                <w:bCs/>
                <w:iCs/>
                <w:noProof/>
                <w:sz w:val="16"/>
                <w:szCs w:val="16"/>
                <w:lang w:bidi="lt-LT"/>
              </w:rPr>
              <w:t>Piliečiams artimesnė Europa</w:t>
            </w:r>
          </w:p>
        </w:tc>
        <w:tc>
          <w:tcPr>
            <w:tcW w:w="328" w:type="pct"/>
            <w:vMerge w:val="restart"/>
          </w:tcPr>
          <w:p w14:paraId="1F63F12A"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5.2</w:t>
            </w:r>
          </w:p>
        </w:tc>
        <w:tc>
          <w:tcPr>
            <w:tcW w:w="282" w:type="pct"/>
            <w:vMerge w:val="restart"/>
          </w:tcPr>
          <w:p w14:paraId="58278F07"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ERPF</w:t>
            </w:r>
          </w:p>
        </w:tc>
        <w:tc>
          <w:tcPr>
            <w:tcW w:w="328" w:type="pct"/>
          </w:tcPr>
          <w:p w14:paraId="00A6F748" w14:textId="77777777" w:rsidR="00417E37" w:rsidRPr="00B44B19" w:rsidDel="00E846DE" w:rsidRDefault="00417E37" w:rsidP="001C6FEB">
            <w:pPr>
              <w:spacing w:after="0" w:line="240" w:lineRule="auto"/>
              <w:jc w:val="both"/>
              <w:rPr>
                <w:rFonts w:cs="Times New Roman"/>
                <w:noProof/>
                <w:sz w:val="16"/>
                <w:szCs w:val="16"/>
              </w:rPr>
            </w:pPr>
            <w:r w:rsidRPr="00B44B19">
              <w:rPr>
                <w:rFonts w:eastAsia="Calibri" w:cs="Times New Roman"/>
                <w:sz w:val="16"/>
                <w:szCs w:val="16"/>
                <w:lang w:eastAsia="lt-LT" w:bidi="lt-LT"/>
              </w:rPr>
              <w:t>Sostinės regionas</w:t>
            </w:r>
          </w:p>
        </w:tc>
        <w:tc>
          <w:tcPr>
            <w:tcW w:w="422" w:type="pct"/>
          </w:tcPr>
          <w:p w14:paraId="206942AD" w14:textId="77777777" w:rsidR="00417E37" w:rsidRPr="00B44B19" w:rsidRDefault="00417E37" w:rsidP="001C6FEB">
            <w:pPr>
              <w:spacing w:after="0" w:line="240" w:lineRule="auto"/>
              <w:jc w:val="both"/>
              <w:rPr>
                <w:rFonts w:eastAsia="Calibri" w:cs="Times New Roman"/>
                <w:sz w:val="16"/>
                <w:szCs w:val="16"/>
                <w:lang w:eastAsia="en-GB" w:bidi="lt-LT"/>
              </w:rPr>
            </w:pPr>
            <w:r w:rsidRPr="00B44B19">
              <w:rPr>
                <w:rFonts w:cs="Times New Roman"/>
                <w:sz w:val="16"/>
                <w:szCs w:val="16"/>
                <w:shd w:val="clear" w:color="auto" w:fill="FFFFFF"/>
              </w:rPr>
              <w:t>Specialusis</w:t>
            </w:r>
          </w:p>
        </w:tc>
        <w:tc>
          <w:tcPr>
            <w:tcW w:w="1079" w:type="pct"/>
          </w:tcPr>
          <w:p w14:paraId="012F9F33" w14:textId="77777777" w:rsidR="00417E37" w:rsidRPr="00B44B19" w:rsidRDefault="00417E37" w:rsidP="008D6A02">
            <w:pPr>
              <w:spacing w:after="0" w:line="240" w:lineRule="auto"/>
              <w:rPr>
                <w:rFonts w:eastAsia="Calibri" w:cs="Times New Roman"/>
                <w:sz w:val="16"/>
                <w:szCs w:val="16"/>
                <w:lang w:eastAsia="en-GB" w:bidi="lt-LT"/>
              </w:rPr>
            </w:pPr>
            <w:r w:rsidRPr="00B44B19">
              <w:rPr>
                <w:rFonts w:cs="Times New Roman"/>
                <w:sz w:val="16"/>
                <w:szCs w:val="16"/>
              </w:rPr>
              <w:t>Sukurtos arba atkurtos teritorijos, naudojamos ekonominei, reakreacinei ar turizmo paskirčiai</w:t>
            </w:r>
          </w:p>
        </w:tc>
        <w:tc>
          <w:tcPr>
            <w:tcW w:w="421" w:type="pct"/>
          </w:tcPr>
          <w:p w14:paraId="1AFB16EC"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Hektarai</w:t>
            </w:r>
          </w:p>
        </w:tc>
        <w:tc>
          <w:tcPr>
            <w:tcW w:w="376" w:type="pct"/>
          </w:tcPr>
          <w:p w14:paraId="2DAB1E16"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18ADFE1F"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65FAB3B7" w14:textId="77777777" w:rsidR="00417E37" w:rsidRPr="00B44B19" w:rsidRDefault="00417E37" w:rsidP="001C6FEB">
            <w:pPr>
              <w:spacing w:after="0" w:line="240" w:lineRule="auto"/>
              <w:jc w:val="center"/>
              <w:rPr>
                <w:rFonts w:cs="Times New Roman"/>
                <w:noProof/>
                <w:sz w:val="16"/>
                <w:szCs w:val="16"/>
              </w:rPr>
            </w:pPr>
            <w:r w:rsidRPr="00B44B19">
              <w:rPr>
                <w:rFonts w:cs="Times New Roman"/>
                <w:sz w:val="16"/>
                <w:szCs w:val="16"/>
              </w:rPr>
              <w:t>13,70</w:t>
            </w:r>
          </w:p>
        </w:tc>
        <w:tc>
          <w:tcPr>
            <w:tcW w:w="328" w:type="pct"/>
          </w:tcPr>
          <w:p w14:paraId="5DCD661F" w14:textId="77777777" w:rsidR="00417E37" w:rsidRPr="00B44B19" w:rsidRDefault="00417E37" w:rsidP="00E05232">
            <w:pPr>
              <w:spacing w:after="0" w:line="240" w:lineRule="auto"/>
              <w:jc w:val="both"/>
              <w:rPr>
                <w:rFonts w:cs="Times New Roman"/>
                <w:noProof/>
                <w:sz w:val="16"/>
                <w:szCs w:val="16"/>
              </w:rPr>
            </w:pPr>
            <w:r w:rsidRPr="00B44B19">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tcPr>
          <w:p w14:paraId="2BD389A8" w14:textId="77777777" w:rsidR="00417E37" w:rsidRPr="00B44B19" w:rsidDel="00E846DE" w:rsidRDefault="00417E37" w:rsidP="001C6FEB">
            <w:pPr>
              <w:spacing w:after="0" w:line="240" w:lineRule="auto"/>
              <w:jc w:val="both"/>
              <w:rPr>
                <w:rFonts w:cs="Times New Roman"/>
                <w:noProof/>
                <w:sz w:val="16"/>
                <w:szCs w:val="16"/>
              </w:rPr>
            </w:pPr>
          </w:p>
        </w:tc>
      </w:tr>
      <w:tr w:rsidR="00417E37" w:rsidRPr="00B44B19" w14:paraId="7086FC91" w14:textId="77777777" w:rsidTr="001C6FEB">
        <w:trPr>
          <w:trHeight w:val="421"/>
        </w:trPr>
        <w:tc>
          <w:tcPr>
            <w:tcW w:w="363" w:type="pct"/>
            <w:vMerge/>
          </w:tcPr>
          <w:p w14:paraId="65D98151" w14:textId="77777777" w:rsidR="00417E37" w:rsidRPr="00B44B19" w:rsidRDefault="00417E37" w:rsidP="001C6FEB">
            <w:pPr>
              <w:spacing w:after="0" w:line="240" w:lineRule="auto"/>
              <w:jc w:val="both"/>
              <w:rPr>
                <w:rFonts w:cs="Times New Roman"/>
                <w:noProof/>
                <w:sz w:val="16"/>
                <w:szCs w:val="16"/>
              </w:rPr>
            </w:pPr>
          </w:p>
        </w:tc>
        <w:tc>
          <w:tcPr>
            <w:tcW w:w="328" w:type="pct"/>
            <w:vMerge/>
          </w:tcPr>
          <w:p w14:paraId="6442E3DB" w14:textId="77777777" w:rsidR="00417E37" w:rsidRPr="00B44B19" w:rsidRDefault="00417E37" w:rsidP="001C6FEB">
            <w:pPr>
              <w:spacing w:after="0" w:line="240" w:lineRule="auto"/>
              <w:jc w:val="both"/>
              <w:rPr>
                <w:rFonts w:cs="Times New Roman"/>
                <w:noProof/>
                <w:sz w:val="16"/>
                <w:szCs w:val="16"/>
              </w:rPr>
            </w:pPr>
          </w:p>
        </w:tc>
        <w:tc>
          <w:tcPr>
            <w:tcW w:w="282" w:type="pct"/>
            <w:vMerge/>
          </w:tcPr>
          <w:p w14:paraId="752C23D1" w14:textId="77777777" w:rsidR="00417E37" w:rsidRPr="00B44B19" w:rsidRDefault="00417E37" w:rsidP="001C6FEB">
            <w:pPr>
              <w:spacing w:after="0" w:line="240" w:lineRule="auto"/>
              <w:jc w:val="both"/>
              <w:rPr>
                <w:rFonts w:cs="Times New Roman"/>
                <w:noProof/>
                <w:sz w:val="16"/>
                <w:szCs w:val="16"/>
              </w:rPr>
            </w:pPr>
          </w:p>
        </w:tc>
        <w:tc>
          <w:tcPr>
            <w:tcW w:w="328" w:type="pct"/>
          </w:tcPr>
          <w:p w14:paraId="39671245" w14:textId="77777777" w:rsidR="00417E37" w:rsidRPr="00B44B19" w:rsidRDefault="00417E37" w:rsidP="001C6FEB">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422" w:type="pct"/>
          </w:tcPr>
          <w:p w14:paraId="4234B8F5" w14:textId="77777777" w:rsidR="00417E37" w:rsidRPr="00B44B19" w:rsidRDefault="00417E37" w:rsidP="001C6FEB">
            <w:pPr>
              <w:spacing w:after="0" w:line="240" w:lineRule="auto"/>
              <w:rPr>
                <w:rFonts w:cs="Times New Roman"/>
                <w:sz w:val="16"/>
                <w:szCs w:val="16"/>
                <w:shd w:val="clear" w:color="auto" w:fill="FFFFFF"/>
              </w:rPr>
            </w:pPr>
            <w:r w:rsidRPr="00B44B19">
              <w:rPr>
                <w:rFonts w:cs="Times New Roman"/>
                <w:sz w:val="16"/>
                <w:szCs w:val="16"/>
                <w:shd w:val="clear" w:color="auto" w:fill="FFFFFF"/>
              </w:rPr>
              <w:t>Specialusis</w:t>
            </w:r>
          </w:p>
        </w:tc>
        <w:tc>
          <w:tcPr>
            <w:tcW w:w="1079" w:type="pct"/>
          </w:tcPr>
          <w:p w14:paraId="7BA86B50" w14:textId="77777777" w:rsidR="00417E37" w:rsidRPr="00B44B19" w:rsidRDefault="00417E37" w:rsidP="008D6A02">
            <w:pPr>
              <w:spacing w:after="0" w:line="240" w:lineRule="auto"/>
              <w:rPr>
                <w:rFonts w:cs="Times New Roman"/>
                <w:sz w:val="16"/>
                <w:szCs w:val="16"/>
                <w:shd w:val="clear" w:color="auto" w:fill="FFFFFF"/>
              </w:rPr>
            </w:pPr>
            <w:r w:rsidRPr="00B44B19">
              <w:rPr>
                <w:rFonts w:cs="Times New Roman"/>
                <w:sz w:val="16"/>
                <w:szCs w:val="16"/>
              </w:rPr>
              <w:t>Sukurtos arba atkurtos teritorijos, naudojamos ekonominei, reakreacinei ar turizmo paskirčiai</w:t>
            </w:r>
          </w:p>
        </w:tc>
        <w:tc>
          <w:tcPr>
            <w:tcW w:w="421" w:type="pct"/>
          </w:tcPr>
          <w:p w14:paraId="0729D3E0"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Hektarai</w:t>
            </w:r>
          </w:p>
        </w:tc>
        <w:tc>
          <w:tcPr>
            <w:tcW w:w="376" w:type="pct"/>
          </w:tcPr>
          <w:p w14:paraId="6AB1FCEF"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49413E61"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6702FC1B" w14:textId="77777777" w:rsidR="00417E37" w:rsidRPr="00B44B19" w:rsidRDefault="00417E37" w:rsidP="006356E5">
            <w:pPr>
              <w:spacing w:after="0" w:line="240" w:lineRule="auto"/>
              <w:jc w:val="center"/>
              <w:rPr>
                <w:rFonts w:cs="Times New Roman"/>
                <w:noProof/>
                <w:sz w:val="16"/>
                <w:szCs w:val="16"/>
              </w:rPr>
            </w:pPr>
            <w:r w:rsidRPr="00B44B19">
              <w:rPr>
                <w:rFonts w:cs="Times New Roman"/>
                <w:sz w:val="16"/>
                <w:szCs w:val="16"/>
              </w:rPr>
              <w:t>240,90</w:t>
            </w:r>
          </w:p>
        </w:tc>
        <w:tc>
          <w:tcPr>
            <w:tcW w:w="328" w:type="pct"/>
          </w:tcPr>
          <w:p w14:paraId="788E9516" w14:textId="77777777" w:rsidR="00417E37" w:rsidRPr="00B44B19" w:rsidRDefault="00417E37" w:rsidP="00E05232">
            <w:pPr>
              <w:spacing w:after="0" w:line="240" w:lineRule="auto"/>
              <w:jc w:val="both"/>
              <w:rPr>
                <w:rFonts w:cs="Times New Roman"/>
                <w:bCs/>
                <w:noProof/>
                <w:sz w:val="16"/>
                <w:szCs w:val="16"/>
              </w:rPr>
            </w:pPr>
            <w:r w:rsidRPr="00B44B19">
              <w:rPr>
                <w:rFonts w:cs="Times New Roman"/>
                <w:bCs/>
                <w:noProof/>
                <w:sz w:val="16"/>
                <w:szCs w:val="16"/>
              </w:rPr>
              <w:t>Projektų duomenys</w:t>
            </w:r>
          </w:p>
        </w:tc>
        <w:tc>
          <w:tcPr>
            <w:tcW w:w="322" w:type="pct"/>
            <w:tcBorders>
              <w:top w:val="nil"/>
              <w:left w:val="single" w:sz="4" w:space="0" w:color="auto"/>
              <w:bottom w:val="single" w:sz="4" w:space="0" w:color="auto"/>
              <w:right w:val="single" w:sz="4" w:space="0" w:color="auto"/>
            </w:tcBorders>
          </w:tcPr>
          <w:p w14:paraId="10FA61CF" w14:textId="77777777" w:rsidR="00417E37" w:rsidRPr="00B44B19" w:rsidDel="00E846DE" w:rsidRDefault="00417E37" w:rsidP="001C6FEB">
            <w:pPr>
              <w:spacing w:after="0" w:line="240" w:lineRule="auto"/>
              <w:jc w:val="both"/>
              <w:rPr>
                <w:rFonts w:cs="Times New Roman"/>
                <w:noProof/>
                <w:sz w:val="16"/>
                <w:szCs w:val="16"/>
              </w:rPr>
            </w:pPr>
          </w:p>
        </w:tc>
      </w:tr>
      <w:tr w:rsidR="00417E37" w:rsidRPr="00B44B19" w14:paraId="4012C51E" w14:textId="77777777" w:rsidTr="00F8763F">
        <w:trPr>
          <w:trHeight w:val="419"/>
        </w:trPr>
        <w:tc>
          <w:tcPr>
            <w:tcW w:w="363" w:type="pct"/>
            <w:vMerge/>
          </w:tcPr>
          <w:p w14:paraId="059433A0" w14:textId="77777777" w:rsidR="00417E37" w:rsidRPr="00B44B19" w:rsidRDefault="00417E37" w:rsidP="001C6FEB">
            <w:pPr>
              <w:spacing w:after="0" w:line="240" w:lineRule="auto"/>
              <w:jc w:val="both"/>
              <w:rPr>
                <w:rFonts w:cs="Times New Roman"/>
                <w:noProof/>
                <w:sz w:val="16"/>
                <w:szCs w:val="16"/>
              </w:rPr>
            </w:pPr>
          </w:p>
        </w:tc>
        <w:tc>
          <w:tcPr>
            <w:tcW w:w="328" w:type="pct"/>
            <w:vMerge/>
          </w:tcPr>
          <w:p w14:paraId="218D38CD" w14:textId="77777777" w:rsidR="00417E37" w:rsidRPr="00B44B19" w:rsidRDefault="00417E37" w:rsidP="001C6FEB">
            <w:pPr>
              <w:spacing w:after="0" w:line="240" w:lineRule="auto"/>
              <w:jc w:val="both"/>
              <w:rPr>
                <w:rFonts w:cs="Times New Roman"/>
                <w:noProof/>
                <w:sz w:val="16"/>
                <w:szCs w:val="16"/>
              </w:rPr>
            </w:pPr>
          </w:p>
        </w:tc>
        <w:tc>
          <w:tcPr>
            <w:tcW w:w="282" w:type="pct"/>
            <w:vMerge/>
          </w:tcPr>
          <w:p w14:paraId="41C8C260" w14:textId="77777777" w:rsidR="00417E37" w:rsidRPr="00B44B19" w:rsidRDefault="00417E37" w:rsidP="001C6FEB">
            <w:pPr>
              <w:spacing w:after="0" w:line="240" w:lineRule="auto"/>
              <w:jc w:val="both"/>
              <w:rPr>
                <w:rFonts w:cs="Times New Roman"/>
                <w:noProof/>
                <w:sz w:val="16"/>
                <w:szCs w:val="16"/>
              </w:rPr>
            </w:pPr>
          </w:p>
        </w:tc>
        <w:tc>
          <w:tcPr>
            <w:tcW w:w="328" w:type="pct"/>
          </w:tcPr>
          <w:p w14:paraId="4DD5B5AA" w14:textId="77777777" w:rsidR="00417E37" w:rsidRPr="00B44B19" w:rsidRDefault="00417E37" w:rsidP="001C6FEB">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422" w:type="pct"/>
          </w:tcPr>
          <w:p w14:paraId="1AA71DF7" w14:textId="77777777" w:rsidR="00417E37" w:rsidRPr="00B44B19" w:rsidRDefault="00417E37" w:rsidP="00E05232">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1079" w:type="pct"/>
          </w:tcPr>
          <w:p w14:paraId="18355317" w14:textId="77777777" w:rsidR="00417E37" w:rsidRPr="00B44B19" w:rsidRDefault="00417E37" w:rsidP="001C6FEB">
            <w:pPr>
              <w:tabs>
                <w:tab w:val="left" w:pos="7560"/>
              </w:tabs>
              <w:spacing w:after="0" w:line="240" w:lineRule="auto"/>
              <w:rPr>
                <w:rFonts w:cs="Times New Roman"/>
                <w:bCs/>
                <w:noProof/>
                <w:sz w:val="16"/>
                <w:szCs w:val="16"/>
              </w:rPr>
            </w:pPr>
            <w:r w:rsidRPr="00B44B19">
              <w:rPr>
                <w:rFonts w:cs="Times New Roman"/>
                <w:sz w:val="16"/>
                <w:szCs w:val="16"/>
              </w:rPr>
              <w:t xml:space="preserve">Metinis konsoliduotų viešųjų paslaugų vartotojų skaičius </w:t>
            </w:r>
          </w:p>
        </w:tc>
        <w:tc>
          <w:tcPr>
            <w:tcW w:w="421" w:type="pct"/>
          </w:tcPr>
          <w:p w14:paraId="50C16256" w14:textId="77777777" w:rsidR="00417E37" w:rsidRPr="00B44B19" w:rsidRDefault="00417E37" w:rsidP="001C6FEB">
            <w:pPr>
              <w:spacing w:after="0" w:line="240" w:lineRule="auto"/>
              <w:jc w:val="both"/>
              <w:rPr>
                <w:rFonts w:cs="Times New Roman"/>
                <w:noProof/>
                <w:sz w:val="16"/>
                <w:szCs w:val="16"/>
              </w:rPr>
            </w:pPr>
            <w:r w:rsidRPr="00B44B19">
              <w:rPr>
                <w:rFonts w:cs="Times New Roman"/>
                <w:noProof/>
                <w:sz w:val="16"/>
                <w:szCs w:val="16"/>
              </w:rPr>
              <w:t>Vartotojai per metus</w:t>
            </w:r>
          </w:p>
        </w:tc>
        <w:tc>
          <w:tcPr>
            <w:tcW w:w="376" w:type="pct"/>
          </w:tcPr>
          <w:p w14:paraId="25E653F0"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102ED7BC"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70170DF4" w14:textId="77777777" w:rsidR="00417E37" w:rsidRPr="00B44B19" w:rsidRDefault="00417E37" w:rsidP="006356E5">
            <w:pPr>
              <w:spacing w:after="0" w:line="240" w:lineRule="auto"/>
              <w:jc w:val="center"/>
              <w:rPr>
                <w:rFonts w:cs="Times New Roman"/>
                <w:noProof/>
                <w:sz w:val="16"/>
                <w:szCs w:val="16"/>
              </w:rPr>
            </w:pPr>
            <w:r w:rsidRPr="00B44B19">
              <w:rPr>
                <w:rFonts w:cs="Times New Roman"/>
                <w:sz w:val="16"/>
                <w:szCs w:val="16"/>
              </w:rPr>
              <w:t>1 566 400</w:t>
            </w:r>
          </w:p>
        </w:tc>
        <w:tc>
          <w:tcPr>
            <w:tcW w:w="328" w:type="pct"/>
          </w:tcPr>
          <w:p w14:paraId="3F7F2E7F" w14:textId="77777777" w:rsidR="00417E37" w:rsidRPr="00B44B19" w:rsidRDefault="00417E37" w:rsidP="00E05232">
            <w:pPr>
              <w:spacing w:after="0" w:line="240" w:lineRule="auto"/>
              <w:jc w:val="both"/>
              <w:rPr>
                <w:rFonts w:cs="Times New Roman"/>
                <w:noProof/>
                <w:sz w:val="16"/>
                <w:szCs w:val="16"/>
              </w:rPr>
            </w:pPr>
            <w:r w:rsidRPr="00B44B19">
              <w:rPr>
                <w:rFonts w:cs="Times New Roman"/>
                <w:noProof/>
                <w:sz w:val="16"/>
                <w:szCs w:val="16"/>
              </w:rPr>
              <w:t>Projektų duomenys, LSD, viešųjų institucijų duomenų bazės</w:t>
            </w:r>
          </w:p>
        </w:tc>
        <w:tc>
          <w:tcPr>
            <w:tcW w:w="322" w:type="pct"/>
            <w:tcBorders>
              <w:top w:val="nil"/>
              <w:left w:val="single" w:sz="4" w:space="0" w:color="auto"/>
              <w:bottom w:val="single" w:sz="4" w:space="0" w:color="auto"/>
              <w:right w:val="single" w:sz="4" w:space="0" w:color="auto"/>
            </w:tcBorders>
          </w:tcPr>
          <w:p w14:paraId="0D27847F" w14:textId="77777777" w:rsidR="00417E37" w:rsidRPr="00B44B19" w:rsidRDefault="00417E37" w:rsidP="001C6FEB">
            <w:pPr>
              <w:spacing w:after="0" w:line="240" w:lineRule="auto"/>
              <w:jc w:val="both"/>
              <w:rPr>
                <w:rFonts w:cs="Times New Roman"/>
                <w:noProof/>
                <w:sz w:val="16"/>
                <w:szCs w:val="16"/>
              </w:rPr>
            </w:pPr>
          </w:p>
        </w:tc>
      </w:tr>
      <w:tr w:rsidR="00417E37" w:rsidRPr="00B44B19" w14:paraId="541C3447" w14:textId="77777777" w:rsidTr="00F8763F">
        <w:trPr>
          <w:trHeight w:val="419"/>
        </w:trPr>
        <w:tc>
          <w:tcPr>
            <w:tcW w:w="363" w:type="pct"/>
            <w:vMerge/>
          </w:tcPr>
          <w:p w14:paraId="2B20E698" w14:textId="77777777" w:rsidR="00417E37" w:rsidRPr="00B44B19" w:rsidRDefault="00417E37" w:rsidP="001C6FEB">
            <w:pPr>
              <w:spacing w:after="0" w:line="240" w:lineRule="auto"/>
              <w:jc w:val="both"/>
              <w:rPr>
                <w:rFonts w:cs="Times New Roman"/>
                <w:noProof/>
                <w:sz w:val="16"/>
                <w:szCs w:val="16"/>
              </w:rPr>
            </w:pPr>
          </w:p>
        </w:tc>
        <w:tc>
          <w:tcPr>
            <w:tcW w:w="328" w:type="pct"/>
            <w:vMerge/>
          </w:tcPr>
          <w:p w14:paraId="283B0EC4" w14:textId="77777777" w:rsidR="00417E37" w:rsidRPr="00B44B19" w:rsidRDefault="00417E37" w:rsidP="001C6FEB">
            <w:pPr>
              <w:spacing w:after="0" w:line="240" w:lineRule="auto"/>
              <w:jc w:val="both"/>
              <w:rPr>
                <w:rFonts w:cs="Times New Roman"/>
                <w:noProof/>
                <w:sz w:val="16"/>
                <w:szCs w:val="16"/>
              </w:rPr>
            </w:pPr>
          </w:p>
        </w:tc>
        <w:tc>
          <w:tcPr>
            <w:tcW w:w="282" w:type="pct"/>
            <w:vMerge/>
          </w:tcPr>
          <w:p w14:paraId="7CB23BDB" w14:textId="77777777" w:rsidR="00417E37" w:rsidRPr="00B44B19" w:rsidRDefault="00417E37" w:rsidP="001C6FEB">
            <w:pPr>
              <w:spacing w:after="0" w:line="240" w:lineRule="auto"/>
              <w:jc w:val="both"/>
              <w:rPr>
                <w:rFonts w:cs="Times New Roman"/>
                <w:noProof/>
                <w:sz w:val="16"/>
                <w:szCs w:val="16"/>
              </w:rPr>
            </w:pPr>
          </w:p>
        </w:tc>
        <w:tc>
          <w:tcPr>
            <w:tcW w:w="328" w:type="pct"/>
          </w:tcPr>
          <w:p w14:paraId="5CAF4BC6" w14:textId="77777777" w:rsidR="00417E37" w:rsidRPr="00B44B19" w:rsidRDefault="00417E37" w:rsidP="001C6FEB">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422" w:type="pct"/>
          </w:tcPr>
          <w:p w14:paraId="4BFAD7A6" w14:textId="77777777" w:rsidR="00417E37" w:rsidRPr="00B44B19" w:rsidRDefault="00417E37" w:rsidP="00E05232">
            <w:pPr>
              <w:spacing w:after="0" w:line="240" w:lineRule="auto"/>
              <w:jc w:val="both"/>
              <w:rPr>
                <w:rFonts w:eastAsia="Calibri" w:cs="Times New Roman"/>
                <w:sz w:val="16"/>
                <w:szCs w:val="16"/>
                <w:lang w:eastAsia="en-GB" w:bidi="lt-LT"/>
              </w:rPr>
            </w:pPr>
            <w:r w:rsidRPr="00B44B19">
              <w:rPr>
                <w:rFonts w:cs="Times New Roman"/>
                <w:bCs/>
                <w:noProof/>
                <w:sz w:val="16"/>
                <w:szCs w:val="16"/>
              </w:rPr>
              <w:t>Specialusis</w:t>
            </w:r>
          </w:p>
        </w:tc>
        <w:tc>
          <w:tcPr>
            <w:tcW w:w="1079" w:type="pct"/>
          </w:tcPr>
          <w:p w14:paraId="712FEAA5" w14:textId="77777777" w:rsidR="00417E37" w:rsidRPr="00B44B19" w:rsidRDefault="00417E37" w:rsidP="001C6FEB">
            <w:pPr>
              <w:tabs>
                <w:tab w:val="left" w:pos="7560"/>
              </w:tabs>
              <w:spacing w:after="0" w:line="240" w:lineRule="auto"/>
              <w:rPr>
                <w:rFonts w:cs="Times New Roman"/>
                <w:bCs/>
                <w:noProof/>
                <w:sz w:val="16"/>
                <w:szCs w:val="16"/>
              </w:rPr>
            </w:pPr>
            <w:r w:rsidRPr="00B44B19">
              <w:rPr>
                <w:rFonts w:cs="Times New Roman"/>
                <w:sz w:val="16"/>
                <w:szCs w:val="16"/>
              </w:rPr>
              <w:t xml:space="preserve">Metinis konsoliduotų viešųjų paslaugų vartotojų skaičius </w:t>
            </w:r>
          </w:p>
        </w:tc>
        <w:tc>
          <w:tcPr>
            <w:tcW w:w="421" w:type="pct"/>
          </w:tcPr>
          <w:p w14:paraId="5649B8FF" w14:textId="77777777" w:rsidR="00417E37" w:rsidRPr="00B44B19" w:rsidRDefault="00417E37" w:rsidP="001C6FEB">
            <w:pPr>
              <w:spacing w:after="0" w:line="240" w:lineRule="auto"/>
              <w:jc w:val="both"/>
              <w:rPr>
                <w:rFonts w:cs="Times New Roman"/>
                <w:noProof/>
                <w:sz w:val="16"/>
                <w:szCs w:val="16"/>
              </w:rPr>
            </w:pPr>
            <w:r w:rsidRPr="00B44B19">
              <w:rPr>
                <w:rFonts w:cs="Times New Roman"/>
                <w:sz w:val="16"/>
                <w:szCs w:val="16"/>
                <w:lang w:eastAsia="en-GB"/>
              </w:rPr>
              <w:t>vartotojai per metus</w:t>
            </w:r>
          </w:p>
        </w:tc>
        <w:tc>
          <w:tcPr>
            <w:tcW w:w="376" w:type="pct"/>
          </w:tcPr>
          <w:p w14:paraId="654AEE9E"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06B11764"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52DB11B2" w14:textId="77777777" w:rsidR="00417E37" w:rsidRPr="00B44B19" w:rsidRDefault="00417E37" w:rsidP="001C6FEB">
            <w:pPr>
              <w:spacing w:after="0" w:line="240" w:lineRule="auto"/>
              <w:jc w:val="center"/>
              <w:rPr>
                <w:rFonts w:cs="Times New Roman"/>
                <w:noProof/>
                <w:sz w:val="16"/>
                <w:szCs w:val="16"/>
              </w:rPr>
            </w:pPr>
            <w:r w:rsidRPr="00B44B19">
              <w:rPr>
                <w:rFonts w:cs="Times New Roman"/>
                <w:sz w:val="16"/>
                <w:szCs w:val="16"/>
              </w:rPr>
              <w:t>3 943 500</w:t>
            </w:r>
          </w:p>
        </w:tc>
        <w:tc>
          <w:tcPr>
            <w:tcW w:w="328" w:type="pct"/>
          </w:tcPr>
          <w:p w14:paraId="3942C69C" w14:textId="77777777" w:rsidR="00417E37" w:rsidRPr="00B44B19" w:rsidRDefault="00417E37" w:rsidP="00E05232">
            <w:pPr>
              <w:spacing w:after="0" w:line="240" w:lineRule="auto"/>
              <w:jc w:val="both"/>
              <w:rPr>
                <w:rFonts w:cs="Times New Roman"/>
                <w:noProof/>
                <w:sz w:val="16"/>
                <w:szCs w:val="16"/>
              </w:rPr>
            </w:pPr>
            <w:r w:rsidRPr="00B44B19">
              <w:rPr>
                <w:rFonts w:cs="Times New Roman"/>
                <w:noProof/>
                <w:sz w:val="16"/>
                <w:szCs w:val="16"/>
              </w:rPr>
              <w:t>Projektų duomenys, LSD, viešųjų institucijų duomenų bazės</w:t>
            </w:r>
          </w:p>
        </w:tc>
        <w:tc>
          <w:tcPr>
            <w:tcW w:w="322" w:type="pct"/>
            <w:tcBorders>
              <w:top w:val="single" w:sz="4" w:space="0" w:color="auto"/>
              <w:left w:val="single" w:sz="4" w:space="0" w:color="auto"/>
              <w:bottom w:val="single" w:sz="4" w:space="0" w:color="auto"/>
              <w:right w:val="single" w:sz="4" w:space="0" w:color="auto"/>
            </w:tcBorders>
          </w:tcPr>
          <w:p w14:paraId="51CA2C8E" w14:textId="77777777" w:rsidR="00417E37" w:rsidRPr="00B44B19" w:rsidRDefault="00417E37" w:rsidP="001C6FEB">
            <w:pPr>
              <w:spacing w:after="0" w:line="240" w:lineRule="auto"/>
              <w:jc w:val="both"/>
              <w:rPr>
                <w:rFonts w:cs="Times New Roman"/>
                <w:noProof/>
                <w:sz w:val="16"/>
                <w:szCs w:val="16"/>
              </w:rPr>
            </w:pPr>
          </w:p>
        </w:tc>
      </w:tr>
      <w:tr w:rsidR="00417E37" w:rsidRPr="00B44B19" w14:paraId="4AB73052" w14:textId="77777777" w:rsidTr="00F8763F">
        <w:trPr>
          <w:trHeight w:val="419"/>
        </w:trPr>
        <w:tc>
          <w:tcPr>
            <w:tcW w:w="363" w:type="pct"/>
            <w:vMerge/>
          </w:tcPr>
          <w:p w14:paraId="590E68D3" w14:textId="77777777" w:rsidR="00417E37" w:rsidRPr="00B44B19" w:rsidRDefault="00417E37" w:rsidP="001C6FEB">
            <w:pPr>
              <w:spacing w:after="0" w:line="240" w:lineRule="auto"/>
              <w:jc w:val="both"/>
              <w:rPr>
                <w:rFonts w:cs="Times New Roman"/>
                <w:noProof/>
                <w:sz w:val="16"/>
                <w:szCs w:val="16"/>
              </w:rPr>
            </w:pPr>
          </w:p>
        </w:tc>
        <w:tc>
          <w:tcPr>
            <w:tcW w:w="328" w:type="pct"/>
            <w:vMerge/>
          </w:tcPr>
          <w:p w14:paraId="18D8491C" w14:textId="77777777" w:rsidR="00417E37" w:rsidRPr="00B44B19" w:rsidRDefault="00417E37" w:rsidP="001C6FEB">
            <w:pPr>
              <w:spacing w:after="0" w:line="240" w:lineRule="auto"/>
              <w:jc w:val="both"/>
              <w:rPr>
                <w:rFonts w:cs="Times New Roman"/>
                <w:noProof/>
                <w:sz w:val="16"/>
                <w:szCs w:val="16"/>
              </w:rPr>
            </w:pPr>
          </w:p>
        </w:tc>
        <w:tc>
          <w:tcPr>
            <w:tcW w:w="282" w:type="pct"/>
            <w:vMerge/>
          </w:tcPr>
          <w:p w14:paraId="3C798493" w14:textId="77777777" w:rsidR="00417E37" w:rsidRPr="00B44B19" w:rsidRDefault="00417E37" w:rsidP="001C6FEB">
            <w:pPr>
              <w:spacing w:after="0" w:line="240" w:lineRule="auto"/>
              <w:jc w:val="both"/>
              <w:rPr>
                <w:rFonts w:cs="Times New Roman"/>
                <w:noProof/>
                <w:sz w:val="16"/>
                <w:szCs w:val="16"/>
              </w:rPr>
            </w:pPr>
          </w:p>
        </w:tc>
        <w:tc>
          <w:tcPr>
            <w:tcW w:w="328" w:type="pct"/>
          </w:tcPr>
          <w:p w14:paraId="1CDFC73B" w14:textId="77777777" w:rsidR="00417E37" w:rsidRPr="00B44B19" w:rsidRDefault="00417E37" w:rsidP="001C6FEB">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Sostinės regionas</w:t>
            </w:r>
          </w:p>
        </w:tc>
        <w:tc>
          <w:tcPr>
            <w:tcW w:w="422" w:type="pct"/>
          </w:tcPr>
          <w:p w14:paraId="4FEAF561" w14:textId="77777777" w:rsidR="00417E37" w:rsidRPr="00B44B19" w:rsidRDefault="00417E37" w:rsidP="00E05232">
            <w:pPr>
              <w:spacing w:after="0" w:line="240" w:lineRule="auto"/>
              <w:jc w:val="both"/>
              <w:rPr>
                <w:rFonts w:cs="Times New Roman"/>
                <w:bCs/>
                <w:noProof/>
                <w:sz w:val="16"/>
                <w:szCs w:val="16"/>
              </w:rPr>
            </w:pPr>
            <w:r w:rsidRPr="00B44B19">
              <w:rPr>
                <w:rFonts w:cs="Times New Roman"/>
                <w:sz w:val="16"/>
                <w:szCs w:val="16"/>
                <w:shd w:val="clear" w:color="auto" w:fill="FFFFFF"/>
              </w:rPr>
              <w:t>Specialusis</w:t>
            </w:r>
          </w:p>
        </w:tc>
        <w:tc>
          <w:tcPr>
            <w:tcW w:w="1079" w:type="pct"/>
          </w:tcPr>
          <w:p w14:paraId="03D46701" w14:textId="688619B6" w:rsidR="00417E37" w:rsidRPr="00B44B19" w:rsidRDefault="00417E37" w:rsidP="001C6FEB">
            <w:pPr>
              <w:tabs>
                <w:tab w:val="left" w:pos="7560"/>
              </w:tabs>
              <w:spacing w:after="0" w:line="240" w:lineRule="auto"/>
              <w:rPr>
                <w:rFonts w:cs="Times New Roman"/>
                <w:sz w:val="16"/>
                <w:szCs w:val="16"/>
              </w:rPr>
            </w:pPr>
            <w:r w:rsidRPr="00B44B19">
              <w:rPr>
                <w:rFonts w:cs="Times New Roman"/>
                <w:sz w:val="16"/>
                <w:szCs w:val="16"/>
              </w:rPr>
              <w:t>Dviračiams skirtos infrastruktūros metinis naudotojų skaičius</w:t>
            </w:r>
          </w:p>
        </w:tc>
        <w:tc>
          <w:tcPr>
            <w:tcW w:w="421" w:type="pct"/>
          </w:tcPr>
          <w:p w14:paraId="06803FE6" w14:textId="77777777" w:rsidR="00417E37" w:rsidRPr="00B44B19" w:rsidRDefault="00417E37" w:rsidP="001C6FEB">
            <w:pPr>
              <w:spacing w:after="0" w:line="240" w:lineRule="auto"/>
              <w:jc w:val="both"/>
              <w:rPr>
                <w:rFonts w:cs="Times New Roman"/>
                <w:sz w:val="16"/>
                <w:szCs w:val="16"/>
                <w:lang w:eastAsia="en-GB"/>
              </w:rPr>
            </w:pPr>
            <w:r w:rsidRPr="00B44B19">
              <w:rPr>
                <w:rFonts w:cs="Times New Roman"/>
                <w:sz w:val="16"/>
                <w:szCs w:val="16"/>
                <w:lang w:eastAsia="en-GB"/>
              </w:rPr>
              <w:t>naudotojai per metus</w:t>
            </w:r>
          </w:p>
        </w:tc>
        <w:tc>
          <w:tcPr>
            <w:tcW w:w="376" w:type="pct"/>
          </w:tcPr>
          <w:p w14:paraId="01200651"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449F07E6"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23FEDE6C" w14:textId="77777777" w:rsidR="00417E37" w:rsidRPr="00B44B19" w:rsidRDefault="00417E37" w:rsidP="001C6FEB">
            <w:pPr>
              <w:spacing w:after="0" w:line="240" w:lineRule="auto"/>
              <w:jc w:val="center"/>
              <w:rPr>
                <w:rFonts w:cs="Times New Roman"/>
                <w:sz w:val="16"/>
                <w:szCs w:val="16"/>
              </w:rPr>
            </w:pPr>
            <w:r w:rsidRPr="00B44B19">
              <w:rPr>
                <w:rFonts w:cs="Times New Roman"/>
                <w:sz w:val="16"/>
                <w:szCs w:val="16"/>
              </w:rPr>
              <w:t>4 000</w:t>
            </w:r>
          </w:p>
        </w:tc>
        <w:tc>
          <w:tcPr>
            <w:tcW w:w="328" w:type="pct"/>
          </w:tcPr>
          <w:p w14:paraId="03A78857" w14:textId="77777777" w:rsidR="00417E37" w:rsidRPr="00B44B19" w:rsidRDefault="00417E37" w:rsidP="00E05232">
            <w:pPr>
              <w:spacing w:after="0" w:line="240" w:lineRule="auto"/>
              <w:jc w:val="both"/>
              <w:rPr>
                <w:rFonts w:cs="Times New Roman"/>
                <w:noProof/>
                <w:sz w:val="16"/>
                <w:szCs w:val="16"/>
              </w:rPr>
            </w:pPr>
            <w:r w:rsidRPr="00B44B19">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tcPr>
          <w:p w14:paraId="4D26206F" w14:textId="77777777" w:rsidR="00417E37" w:rsidRPr="00B44B19" w:rsidRDefault="00417E37" w:rsidP="001C6FEB">
            <w:pPr>
              <w:spacing w:after="0" w:line="240" w:lineRule="auto"/>
              <w:jc w:val="both"/>
              <w:rPr>
                <w:rFonts w:cs="Times New Roman"/>
                <w:noProof/>
                <w:sz w:val="16"/>
                <w:szCs w:val="16"/>
              </w:rPr>
            </w:pPr>
          </w:p>
        </w:tc>
      </w:tr>
      <w:tr w:rsidR="00417E37" w:rsidRPr="00B44B19" w14:paraId="22574E1D" w14:textId="77777777" w:rsidTr="00F8763F">
        <w:trPr>
          <w:trHeight w:val="419"/>
        </w:trPr>
        <w:tc>
          <w:tcPr>
            <w:tcW w:w="363" w:type="pct"/>
            <w:vMerge/>
          </w:tcPr>
          <w:p w14:paraId="70C58623" w14:textId="77777777" w:rsidR="00417E37" w:rsidRPr="00B44B19" w:rsidRDefault="00417E37" w:rsidP="001C6FEB">
            <w:pPr>
              <w:spacing w:after="0" w:line="240" w:lineRule="auto"/>
              <w:jc w:val="both"/>
              <w:rPr>
                <w:rFonts w:cs="Times New Roman"/>
                <w:noProof/>
                <w:sz w:val="16"/>
                <w:szCs w:val="16"/>
              </w:rPr>
            </w:pPr>
          </w:p>
        </w:tc>
        <w:tc>
          <w:tcPr>
            <w:tcW w:w="328" w:type="pct"/>
            <w:vMerge/>
          </w:tcPr>
          <w:p w14:paraId="64B7F070" w14:textId="77777777" w:rsidR="00417E37" w:rsidRPr="00B44B19" w:rsidRDefault="00417E37" w:rsidP="001C6FEB">
            <w:pPr>
              <w:spacing w:after="0" w:line="240" w:lineRule="auto"/>
              <w:jc w:val="both"/>
              <w:rPr>
                <w:rFonts w:cs="Times New Roman"/>
                <w:noProof/>
                <w:sz w:val="16"/>
                <w:szCs w:val="16"/>
              </w:rPr>
            </w:pPr>
          </w:p>
        </w:tc>
        <w:tc>
          <w:tcPr>
            <w:tcW w:w="282" w:type="pct"/>
            <w:vMerge/>
          </w:tcPr>
          <w:p w14:paraId="7F8FDF1C" w14:textId="77777777" w:rsidR="00417E37" w:rsidRPr="00B44B19" w:rsidRDefault="00417E37" w:rsidP="001C6FEB">
            <w:pPr>
              <w:spacing w:after="0" w:line="240" w:lineRule="auto"/>
              <w:jc w:val="both"/>
              <w:rPr>
                <w:rFonts w:cs="Times New Roman"/>
                <w:noProof/>
                <w:sz w:val="16"/>
                <w:szCs w:val="16"/>
              </w:rPr>
            </w:pPr>
          </w:p>
        </w:tc>
        <w:tc>
          <w:tcPr>
            <w:tcW w:w="328" w:type="pct"/>
          </w:tcPr>
          <w:p w14:paraId="4D6F40FD" w14:textId="77777777" w:rsidR="00417E37" w:rsidRPr="00B44B19" w:rsidRDefault="00417E37" w:rsidP="001C6FEB">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VVL regionas</w:t>
            </w:r>
          </w:p>
        </w:tc>
        <w:tc>
          <w:tcPr>
            <w:tcW w:w="422" w:type="pct"/>
          </w:tcPr>
          <w:p w14:paraId="401D01A7" w14:textId="77777777" w:rsidR="00417E37" w:rsidRPr="00B44B19" w:rsidRDefault="00417E37" w:rsidP="00E05232">
            <w:pPr>
              <w:spacing w:after="0" w:line="240" w:lineRule="auto"/>
              <w:jc w:val="both"/>
              <w:rPr>
                <w:rFonts w:cs="Times New Roman"/>
                <w:bCs/>
                <w:noProof/>
                <w:sz w:val="16"/>
                <w:szCs w:val="16"/>
              </w:rPr>
            </w:pPr>
            <w:r w:rsidRPr="00B44B19">
              <w:rPr>
                <w:rFonts w:cs="Times New Roman"/>
                <w:sz w:val="16"/>
                <w:szCs w:val="16"/>
                <w:shd w:val="clear" w:color="auto" w:fill="FFFFFF"/>
              </w:rPr>
              <w:t>Specialusis</w:t>
            </w:r>
          </w:p>
        </w:tc>
        <w:tc>
          <w:tcPr>
            <w:tcW w:w="1079" w:type="pct"/>
          </w:tcPr>
          <w:p w14:paraId="33D5320B" w14:textId="7B953B06" w:rsidR="00417E37" w:rsidRPr="00B44B19" w:rsidRDefault="00417E37" w:rsidP="001C6FEB">
            <w:pPr>
              <w:tabs>
                <w:tab w:val="left" w:pos="7560"/>
              </w:tabs>
              <w:spacing w:after="0" w:line="240" w:lineRule="auto"/>
              <w:rPr>
                <w:rFonts w:cs="Times New Roman"/>
                <w:sz w:val="16"/>
                <w:szCs w:val="16"/>
              </w:rPr>
            </w:pPr>
            <w:r w:rsidRPr="00B44B19">
              <w:rPr>
                <w:rFonts w:cs="Times New Roman"/>
                <w:sz w:val="16"/>
                <w:szCs w:val="16"/>
              </w:rPr>
              <w:t>Dviračiams skirtos infrastruktūros metinis naudotojų skaičius</w:t>
            </w:r>
          </w:p>
        </w:tc>
        <w:tc>
          <w:tcPr>
            <w:tcW w:w="421" w:type="pct"/>
          </w:tcPr>
          <w:p w14:paraId="14EDA9B0" w14:textId="77777777" w:rsidR="00417E37" w:rsidRPr="00B44B19" w:rsidRDefault="00417E37" w:rsidP="001C6FEB">
            <w:pPr>
              <w:spacing w:after="0" w:line="240" w:lineRule="auto"/>
              <w:jc w:val="both"/>
              <w:rPr>
                <w:rFonts w:cs="Times New Roman"/>
                <w:sz w:val="16"/>
                <w:szCs w:val="16"/>
                <w:lang w:eastAsia="en-GB"/>
              </w:rPr>
            </w:pPr>
            <w:r w:rsidRPr="00B44B19">
              <w:rPr>
                <w:rFonts w:cs="Times New Roman"/>
                <w:sz w:val="16"/>
                <w:szCs w:val="16"/>
                <w:lang w:eastAsia="en-GB"/>
              </w:rPr>
              <w:t>naudotojai per metus</w:t>
            </w:r>
          </w:p>
        </w:tc>
        <w:tc>
          <w:tcPr>
            <w:tcW w:w="376" w:type="pct"/>
          </w:tcPr>
          <w:p w14:paraId="7C9388AB"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0</w:t>
            </w:r>
          </w:p>
        </w:tc>
        <w:tc>
          <w:tcPr>
            <w:tcW w:w="327" w:type="pct"/>
          </w:tcPr>
          <w:p w14:paraId="42EF101E" w14:textId="77777777" w:rsidR="00417E37" w:rsidRPr="00B44B19" w:rsidRDefault="00417E37" w:rsidP="001C6FEB">
            <w:pPr>
              <w:spacing w:after="0" w:line="240" w:lineRule="auto"/>
              <w:jc w:val="center"/>
              <w:rPr>
                <w:rFonts w:cs="Times New Roman"/>
                <w:noProof/>
                <w:sz w:val="16"/>
                <w:szCs w:val="16"/>
              </w:rPr>
            </w:pPr>
            <w:r w:rsidRPr="00B44B19">
              <w:rPr>
                <w:rFonts w:cs="Times New Roman"/>
                <w:noProof/>
                <w:sz w:val="16"/>
                <w:szCs w:val="16"/>
              </w:rPr>
              <w:t>2020</w:t>
            </w:r>
          </w:p>
        </w:tc>
        <w:tc>
          <w:tcPr>
            <w:tcW w:w="423" w:type="pct"/>
          </w:tcPr>
          <w:p w14:paraId="684A1C72" w14:textId="77777777" w:rsidR="00417E37" w:rsidRPr="00B44B19" w:rsidRDefault="00417E37" w:rsidP="001C6FEB">
            <w:pPr>
              <w:spacing w:after="0" w:line="240" w:lineRule="auto"/>
              <w:jc w:val="center"/>
              <w:rPr>
                <w:rFonts w:cs="Times New Roman"/>
                <w:sz w:val="16"/>
                <w:szCs w:val="16"/>
              </w:rPr>
            </w:pPr>
            <w:r w:rsidRPr="00B44B19">
              <w:rPr>
                <w:rFonts w:cs="Times New Roman"/>
                <w:sz w:val="16"/>
                <w:szCs w:val="16"/>
              </w:rPr>
              <w:t>18 000</w:t>
            </w:r>
          </w:p>
        </w:tc>
        <w:tc>
          <w:tcPr>
            <w:tcW w:w="328" w:type="pct"/>
          </w:tcPr>
          <w:p w14:paraId="7E32418A" w14:textId="77777777" w:rsidR="00417E37" w:rsidRPr="00B44B19" w:rsidRDefault="00417E37" w:rsidP="00E05232">
            <w:pPr>
              <w:spacing w:after="0" w:line="240" w:lineRule="auto"/>
              <w:jc w:val="both"/>
              <w:rPr>
                <w:rFonts w:cs="Times New Roman"/>
                <w:noProof/>
                <w:sz w:val="16"/>
                <w:szCs w:val="16"/>
              </w:rPr>
            </w:pPr>
            <w:r w:rsidRPr="00B44B19">
              <w:rPr>
                <w:rFonts w:cs="Times New Roman"/>
                <w:noProof/>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tcPr>
          <w:p w14:paraId="69093C33" w14:textId="77777777" w:rsidR="00417E37" w:rsidRPr="00B44B19" w:rsidRDefault="00417E37" w:rsidP="001C6FEB">
            <w:pPr>
              <w:spacing w:after="0" w:line="240" w:lineRule="auto"/>
              <w:jc w:val="both"/>
              <w:rPr>
                <w:rFonts w:cs="Times New Roman"/>
                <w:noProof/>
                <w:sz w:val="16"/>
                <w:szCs w:val="16"/>
              </w:rPr>
            </w:pPr>
          </w:p>
        </w:tc>
      </w:tr>
      <w:tr w:rsidR="00417E37" w:rsidRPr="00B44B19" w14:paraId="0A85B42F" w14:textId="77777777" w:rsidTr="00F8763F">
        <w:trPr>
          <w:trHeight w:val="419"/>
        </w:trPr>
        <w:tc>
          <w:tcPr>
            <w:tcW w:w="363" w:type="pct"/>
            <w:vMerge/>
          </w:tcPr>
          <w:p w14:paraId="26054411" w14:textId="77777777" w:rsidR="00417E37" w:rsidRPr="00B44B19" w:rsidRDefault="00417E37" w:rsidP="001C6FEB">
            <w:pPr>
              <w:spacing w:after="0" w:line="240" w:lineRule="auto"/>
              <w:jc w:val="both"/>
              <w:rPr>
                <w:rFonts w:cs="Times New Roman"/>
                <w:noProof/>
                <w:sz w:val="16"/>
                <w:szCs w:val="16"/>
              </w:rPr>
            </w:pPr>
          </w:p>
        </w:tc>
        <w:tc>
          <w:tcPr>
            <w:tcW w:w="328" w:type="pct"/>
            <w:vMerge/>
          </w:tcPr>
          <w:p w14:paraId="3310F6A6" w14:textId="77777777" w:rsidR="00417E37" w:rsidRPr="00B44B19" w:rsidRDefault="00417E37" w:rsidP="001C6FEB">
            <w:pPr>
              <w:spacing w:after="0" w:line="240" w:lineRule="auto"/>
              <w:jc w:val="both"/>
              <w:rPr>
                <w:rFonts w:cs="Times New Roman"/>
                <w:noProof/>
                <w:sz w:val="16"/>
                <w:szCs w:val="16"/>
              </w:rPr>
            </w:pPr>
          </w:p>
        </w:tc>
        <w:tc>
          <w:tcPr>
            <w:tcW w:w="282" w:type="pct"/>
            <w:vMerge/>
          </w:tcPr>
          <w:p w14:paraId="2CD31A2B" w14:textId="77777777" w:rsidR="00417E37" w:rsidRPr="00B44B19" w:rsidRDefault="00417E37" w:rsidP="001C6FEB">
            <w:pPr>
              <w:spacing w:after="0" w:line="240" w:lineRule="auto"/>
              <w:jc w:val="both"/>
              <w:rPr>
                <w:rFonts w:cs="Times New Roman"/>
                <w:noProof/>
                <w:sz w:val="16"/>
                <w:szCs w:val="16"/>
              </w:rPr>
            </w:pPr>
          </w:p>
        </w:tc>
        <w:tc>
          <w:tcPr>
            <w:tcW w:w="328" w:type="pct"/>
          </w:tcPr>
          <w:p w14:paraId="399FB19F" w14:textId="59AD0272" w:rsidR="00417E37" w:rsidRPr="00B44B19" w:rsidRDefault="00417E37" w:rsidP="001C6FEB">
            <w:pPr>
              <w:spacing w:after="0" w:line="240" w:lineRule="auto"/>
              <w:jc w:val="both"/>
              <w:rPr>
                <w:rFonts w:eastAsia="Calibri" w:cs="Times New Roman"/>
                <w:sz w:val="16"/>
                <w:szCs w:val="16"/>
                <w:lang w:eastAsia="lt-LT" w:bidi="lt-LT"/>
              </w:rPr>
            </w:pPr>
            <w:r w:rsidRPr="00B44B19">
              <w:rPr>
                <w:rFonts w:cs="Times New Roman"/>
                <w:sz w:val="16"/>
                <w:szCs w:val="16"/>
              </w:rPr>
              <w:t>VVL regionas</w:t>
            </w:r>
          </w:p>
        </w:tc>
        <w:tc>
          <w:tcPr>
            <w:tcW w:w="422" w:type="pct"/>
          </w:tcPr>
          <w:p w14:paraId="3E6DFDF9" w14:textId="5D43ADAC" w:rsidR="00417E37" w:rsidRPr="00B44B19" w:rsidRDefault="00417E37" w:rsidP="00E05232">
            <w:pPr>
              <w:spacing w:after="0" w:line="240" w:lineRule="auto"/>
              <w:jc w:val="both"/>
              <w:rPr>
                <w:rFonts w:cs="Times New Roman"/>
                <w:sz w:val="16"/>
                <w:szCs w:val="16"/>
                <w:shd w:val="clear" w:color="auto" w:fill="FFFFFF"/>
              </w:rPr>
            </w:pPr>
            <w:r w:rsidRPr="00B44B19">
              <w:rPr>
                <w:rFonts w:cs="Times New Roman"/>
                <w:sz w:val="16"/>
                <w:szCs w:val="16"/>
              </w:rPr>
              <w:t>Specialusis</w:t>
            </w:r>
          </w:p>
        </w:tc>
        <w:tc>
          <w:tcPr>
            <w:tcW w:w="1079" w:type="pct"/>
          </w:tcPr>
          <w:p w14:paraId="1CB511CD" w14:textId="086A8CA9" w:rsidR="00417E37" w:rsidRPr="00B44B19" w:rsidRDefault="00417E37" w:rsidP="001C6FEB">
            <w:pPr>
              <w:tabs>
                <w:tab w:val="left" w:pos="7560"/>
              </w:tabs>
              <w:spacing w:after="0" w:line="240" w:lineRule="auto"/>
              <w:rPr>
                <w:rFonts w:cs="Times New Roman"/>
                <w:sz w:val="16"/>
                <w:szCs w:val="16"/>
              </w:rPr>
            </w:pPr>
            <w:r w:rsidRPr="00B44B19">
              <w:rPr>
                <w:rFonts w:cs="Times New Roman"/>
                <w:sz w:val="16"/>
                <w:szCs w:val="16"/>
              </w:rPr>
              <w:t>Pakrantės turizmo vietovių lankytojai</w:t>
            </w:r>
          </w:p>
        </w:tc>
        <w:tc>
          <w:tcPr>
            <w:tcW w:w="421" w:type="pct"/>
          </w:tcPr>
          <w:p w14:paraId="69789EDE" w14:textId="7AA2D574" w:rsidR="00417E37" w:rsidRPr="00B44B19" w:rsidRDefault="00417E37" w:rsidP="001C6FEB">
            <w:pPr>
              <w:spacing w:after="0" w:line="240" w:lineRule="auto"/>
              <w:jc w:val="both"/>
              <w:rPr>
                <w:rFonts w:cs="Times New Roman"/>
                <w:sz w:val="16"/>
                <w:szCs w:val="16"/>
                <w:lang w:eastAsia="en-GB"/>
              </w:rPr>
            </w:pPr>
            <w:r w:rsidRPr="00B44B19">
              <w:rPr>
                <w:rFonts w:cs="Times New Roman"/>
                <w:sz w:val="16"/>
                <w:szCs w:val="16"/>
              </w:rPr>
              <w:t>Lankytojai per metus</w:t>
            </w:r>
          </w:p>
        </w:tc>
        <w:tc>
          <w:tcPr>
            <w:tcW w:w="376" w:type="pct"/>
          </w:tcPr>
          <w:p w14:paraId="537389BB" w14:textId="75839F69" w:rsidR="00417E37" w:rsidRPr="00B44B19" w:rsidRDefault="00417E37" w:rsidP="00417E37">
            <w:pPr>
              <w:spacing w:after="0" w:line="240" w:lineRule="auto"/>
              <w:jc w:val="center"/>
              <w:rPr>
                <w:rFonts w:cs="Times New Roman"/>
                <w:noProof/>
                <w:sz w:val="16"/>
                <w:szCs w:val="16"/>
              </w:rPr>
            </w:pPr>
            <w:r w:rsidRPr="00B44B19">
              <w:rPr>
                <w:rFonts w:cs="Times New Roman"/>
                <w:sz w:val="16"/>
                <w:szCs w:val="16"/>
              </w:rPr>
              <w:t>1 502 772</w:t>
            </w:r>
          </w:p>
        </w:tc>
        <w:tc>
          <w:tcPr>
            <w:tcW w:w="327" w:type="pct"/>
          </w:tcPr>
          <w:p w14:paraId="1277B808" w14:textId="655C469C" w:rsidR="00417E37" w:rsidRPr="00B44B19" w:rsidRDefault="00417E37" w:rsidP="001C6FEB">
            <w:pPr>
              <w:spacing w:after="0" w:line="240" w:lineRule="auto"/>
              <w:jc w:val="center"/>
              <w:rPr>
                <w:rFonts w:cs="Times New Roman"/>
                <w:noProof/>
                <w:sz w:val="16"/>
                <w:szCs w:val="16"/>
              </w:rPr>
            </w:pPr>
            <w:r w:rsidRPr="00B44B19">
              <w:rPr>
                <w:rFonts w:cs="Times New Roman"/>
                <w:sz w:val="16"/>
                <w:szCs w:val="16"/>
              </w:rPr>
              <w:t>2022</w:t>
            </w:r>
          </w:p>
        </w:tc>
        <w:tc>
          <w:tcPr>
            <w:tcW w:w="423" w:type="pct"/>
          </w:tcPr>
          <w:p w14:paraId="15DBD05E" w14:textId="0B97DFF8" w:rsidR="00417E37" w:rsidRPr="00B44B19" w:rsidRDefault="00417E37" w:rsidP="00417E37">
            <w:pPr>
              <w:spacing w:after="0" w:line="240" w:lineRule="auto"/>
              <w:jc w:val="center"/>
              <w:rPr>
                <w:rFonts w:cs="Times New Roman"/>
                <w:sz w:val="16"/>
                <w:szCs w:val="16"/>
              </w:rPr>
            </w:pPr>
            <w:r w:rsidRPr="00B44B19">
              <w:rPr>
                <w:rFonts w:cs="Times New Roman"/>
                <w:sz w:val="16"/>
                <w:szCs w:val="16"/>
              </w:rPr>
              <w:t>1 635 810</w:t>
            </w:r>
          </w:p>
        </w:tc>
        <w:tc>
          <w:tcPr>
            <w:tcW w:w="328" w:type="pct"/>
          </w:tcPr>
          <w:p w14:paraId="2CD5683D" w14:textId="47C71299" w:rsidR="00417E37" w:rsidRPr="00B44B19" w:rsidRDefault="00417E37" w:rsidP="00E05232">
            <w:pPr>
              <w:spacing w:after="0" w:line="240" w:lineRule="auto"/>
              <w:jc w:val="both"/>
              <w:rPr>
                <w:rFonts w:cs="Times New Roman"/>
                <w:noProof/>
                <w:sz w:val="16"/>
                <w:szCs w:val="16"/>
              </w:rPr>
            </w:pPr>
            <w:r w:rsidRPr="00B44B19">
              <w:rPr>
                <w:rFonts w:cs="Times New Roman"/>
                <w:sz w:val="16"/>
                <w:szCs w:val="16"/>
              </w:rPr>
              <w:t>Projektų duomenys</w:t>
            </w:r>
          </w:p>
        </w:tc>
        <w:tc>
          <w:tcPr>
            <w:tcW w:w="322" w:type="pct"/>
            <w:tcBorders>
              <w:top w:val="single" w:sz="4" w:space="0" w:color="auto"/>
              <w:left w:val="single" w:sz="4" w:space="0" w:color="auto"/>
              <w:bottom w:val="single" w:sz="4" w:space="0" w:color="auto"/>
              <w:right w:val="single" w:sz="4" w:space="0" w:color="auto"/>
            </w:tcBorders>
          </w:tcPr>
          <w:p w14:paraId="120CA795" w14:textId="77777777" w:rsidR="00417E37" w:rsidRPr="00B44B19" w:rsidRDefault="00417E37" w:rsidP="001C6FEB">
            <w:pPr>
              <w:spacing w:after="0" w:line="240" w:lineRule="auto"/>
              <w:jc w:val="both"/>
              <w:rPr>
                <w:rFonts w:cs="Times New Roman"/>
                <w:noProof/>
                <w:sz w:val="16"/>
                <w:szCs w:val="16"/>
              </w:rPr>
            </w:pPr>
          </w:p>
        </w:tc>
      </w:tr>
    </w:tbl>
    <w:p w14:paraId="0A5C835C" w14:textId="77777777" w:rsidR="00AE6385" w:rsidRPr="00B44B19" w:rsidRDefault="00AE6385" w:rsidP="00603ED4">
      <w:pPr>
        <w:spacing w:after="0" w:line="240" w:lineRule="auto"/>
        <w:jc w:val="both"/>
        <w:rPr>
          <w:rFonts w:cs="Times New Roman"/>
          <w:b/>
          <w:bCs/>
          <w:sz w:val="28"/>
          <w:szCs w:val="28"/>
        </w:rPr>
      </w:pPr>
    </w:p>
    <w:p w14:paraId="1A280537" w14:textId="77777777" w:rsidR="00BB1A6D" w:rsidRPr="00B44B19" w:rsidRDefault="00BB1A6D" w:rsidP="00603ED4">
      <w:pPr>
        <w:spacing w:after="0" w:line="240" w:lineRule="auto"/>
        <w:jc w:val="both"/>
        <w:rPr>
          <w:rFonts w:cs="Times New Roman"/>
          <w:b/>
          <w:bCs/>
          <w:sz w:val="28"/>
          <w:szCs w:val="28"/>
        </w:rPr>
        <w:sectPr w:rsidR="00BB1A6D" w:rsidRPr="00B44B19" w:rsidSect="00931C78">
          <w:pgSz w:w="16838" w:h="11906" w:orient="landscape"/>
          <w:pgMar w:top="1701" w:right="1276" w:bottom="567" w:left="1134" w:header="567" w:footer="567" w:gutter="0"/>
          <w:cols w:space="1296"/>
          <w:docGrid w:linePitch="360"/>
        </w:sectPr>
      </w:pPr>
    </w:p>
    <w:p w14:paraId="0C5CC994" w14:textId="77777777" w:rsidR="00603ED4" w:rsidRPr="00B44B19" w:rsidRDefault="00603ED4" w:rsidP="00783D09">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9889" w:type="dxa"/>
        <w:tblLayout w:type="fixed"/>
        <w:tblLook w:val="04A0" w:firstRow="1" w:lastRow="0" w:firstColumn="1" w:lastColumn="0" w:noHBand="0" w:noVBand="1"/>
      </w:tblPr>
      <w:tblGrid>
        <w:gridCol w:w="1101"/>
        <w:gridCol w:w="850"/>
        <w:gridCol w:w="1701"/>
        <w:gridCol w:w="1134"/>
        <w:gridCol w:w="3454"/>
        <w:gridCol w:w="1649"/>
      </w:tblGrid>
      <w:tr w:rsidR="00603ED4" w:rsidRPr="00B44B19" w14:paraId="50A5E759" w14:textId="77777777" w:rsidTr="00163D35">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EADE7E3" w14:textId="77777777" w:rsidR="00603ED4" w:rsidRPr="00B44B19" w:rsidRDefault="00603ED4" w:rsidP="001C6FEB">
            <w:pPr>
              <w:rPr>
                <w:rFonts w:eastAsia="Times New Roman" w:cs="Times New Roman"/>
                <w:b/>
                <w:iCs/>
                <w:noProof/>
                <w:sz w:val="20"/>
              </w:rPr>
            </w:pPr>
            <w:r w:rsidRPr="00B44B19">
              <w:rPr>
                <w:rFonts w:cs="Times New Roman"/>
                <w:b/>
                <w:noProof/>
                <w:sz w:val="20"/>
              </w:rPr>
              <w:t>4 lentelė. 1 matmuo. Intervencinių priemonių sritis</w:t>
            </w:r>
          </w:p>
        </w:tc>
      </w:tr>
      <w:tr w:rsidR="00603ED4" w:rsidRPr="00B44B19" w14:paraId="786F1F25"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A93327"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1C0F47"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82BB6F"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5D6459"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DF7333"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534AF3"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Suma (EUR)</w:t>
            </w:r>
          </w:p>
        </w:tc>
      </w:tr>
      <w:tr w:rsidR="00C60A41" w:rsidRPr="00B44B19" w14:paraId="688600EC" w14:textId="77777777" w:rsidTr="00AF4DED">
        <w:tc>
          <w:tcPr>
            <w:tcW w:w="1101" w:type="dxa"/>
            <w:vMerge w:val="restart"/>
            <w:tcBorders>
              <w:top w:val="single" w:sz="12" w:space="0" w:color="auto"/>
            </w:tcBorders>
          </w:tcPr>
          <w:p w14:paraId="5A0ACA99" w14:textId="77777777" w:rsidR="00C60A41" w:rsidRPr="00B44B19" w:rsidRDefault="00C60A41" w:rsidP="001C6FEB">
            <w:pPr>
              <w:jc w:val="center"/>
              <w:rPr>
                <w:rFonts w:eastAsia="Times New Roman" w:cs="Times New Roman"/>
                <w:iCs/>
                <w:noProof/>
                <w:sz w:val="20"/>
                <w:szCs w:val="20"/>
              </w:rPr>
            </w:pPr>
            <w:r w:rsidRPr="00B44B19">
              <w:rPr>
                <w:rFonts w:eastAsia="Times New Roman" w:cs="Times New Roman"/>
                <w:iCs/>
                <w:noProof/>
                <w:sz w:val="20"/>
                <w:szCs w:val="20"/>
              </w:rPr>
              <w:t>5</w:t>
            </w:r>
          </w:p>
        </w:tc>
        <w:tc>
          <w:tcPr>
            <w:tcW w:w="850" w:type="dxa"/>
            <w:vMerge w:val="restart"/>
            <w:tcBorders>
              <w:top w:val="single" w:sz="12" w:space="0" w:color="auto"/>
            </w:tcBorders>
          </w:tcPr>
          <w:p w14:paraId="6B0B28AB" w14:textId="77777777" w:rsidR="00C60A41" w:rsidRPr="00B44B19" w:rsidRDefault="00C60A41" w:rsidP="001C6FEB">
            <w:pPr>
              <w:jc w:val="center"/>
              <w:rPr>
                <w:rFonts w:cs="Times New Roman"/>
                <w:noProof/>
                <w:sz w:val="20"/>
                <w:szCs w:val="20"/>
              </w:rPr>
            </w:pPr>
            <w:r w:rsidRPr="00B44B19">
              <w:rPr>
                <w:rFonts w:cs="Times New Roman"/>
                <w:noProof/>
                <w:sz w:val="20"/>
                <w:szCs w:val="20"/>
              </w:rPr>
              <w:t>ERPF</w:t>
            </w:r>
          </w:p>
        </w:tc>
        <w:tc>
          <w:tcPr>
            <w:tcW w:w="1701" w:type="dxa"/>
            <w:tcBorders>
              <w:top w:val="single" w:sz="12" w:space="0" w:color="auto"/>
              <w:bottom w:val="single" w:sz="4" w:space="0" w:color="auto"/>
            </w:tcBorders>
          </w:tcPr>
          <w:p w14:paraId="26242734" w14:textId="77777777" w:rsidR="00C60A41" w:rsidRPr="00B44B19" w:rsidRDefault="00C60A41" w:rsidP="001C6FEB">
            <w:pPr>
              <w:rPr>
                <w:rFonts w:eastAsia="Calibri" w:cs="Times New Roman"/>
                <w:sz w:val="20"/>
                <w:szCs w:val="20"/>
                <w:lang w:eastAsia="lt-LT" w:bidi="lt-LT"/>
              </w:rPr>
            </w:pPr>
            <w:r w:rsidRPr="00B44B19">
              <w:rPr>
                <w:rFonts w:eastAsia="Calibri" w:cs="Times New Roman"/>
                <w:sz w:val="20"/>
                <w:szCs w:val="20"/>
                <w:lang w:eastAsia="lt-LT" w:bidi="lt-LT"/>
              </w:rPr>
              <w:t>Sostinės regionas</w:t>
            </w:r>
          </w:p>
        </w:tc>
        <w:tc>
          <w:tcPr>
            <w:tcW w:w="1134" w:type="dxa"/>
            <w:vMerge w:val="restart"/>
            <w:tcBorders>
              <w:top w:val="single" w:sz="12" w:space="0" w:color="auto"/>
            </w:tcBorders>
          </w:tcPr>
          <w:p w14:paraId="5400ABC3" w14:textId="77777777" w:rsidR="00C60A41" w:rsidRPr="00B44B19" w:rsidRDefault="00C60A41" w:rsidP="001C6FEB">
            <w:pPr>
              <w:jc w:val="center"/>
              <w:rPr>
                <w:rFonts w:eastAsia="Times New Roman" w:cs="Times New Roman"/>
                <w:bCs/>
                <w:iCs/>
                <w:noProof/>
                <w:sz w:val="20"/>
                <w:szCs w:val="20"/>
              </w:rPr>
            </w:pPr>
            <w:r w:rsidRPr="00B44B19">
              <w:rPr>
                <w:rFonts w:eastAsia="Times New Roman" w:cs="Times New Roman"/>
                <w:bCs/>
                <w:iCs/>
                <w:noProof/>
                <w:sz w:val="20"/>
                <w:szCs w:val="20"/>
              </w:rPr>
              <w:t>5.2</w:t>
            </w:r>
          </w:p>
        </w:tc>
        <w:tc>
          <w:tcPr>
            <w:tcW w:w="3454" w:type="dxa"/>
            <w:vMerge w:val="restart"/>
            <w:tcBorders>
              <w:top w:val="single" w:sz="12" w:space="0" w:color="auto"/>
            </w:tcBorders>
          </w:tcPr>
          <w:p w14:paraId="38CA48AF" w14:textId="77777777" w:rsidR="00C60A41" w:rsidRPr="00B44B19" w:rsidRDefault="002E01E6" w:rsidP="00B86786">
            <w:pPr>
              <w:rPr>
                <w:rFonts w:eastAsia="Times New Roman" w:cs="Times New Roman"/>
                <w:bCs/>
                <w:iCs/>
                <w:noProof/>
                <w:sz w:val="20"/>
                <w:szCs w:val="20"/>
              </w:rPr>
            </w:pPr>
            <w:r w:rsidRPr="00B44B19">
              <w:rPr>
                <w:rFonts w:eastAsia="Times New Roman" w:cs="Times New Roman"/>
                <w:bCs/>
                <w:iCs/>
                <w:noProof/>
                <w:sz w:val="20"/>
                <w:szCs w:val="20"/>
              </w:rPr>
              <w:t>044</w:t>
            </w:r>
            <w:r w:rsidR="00C60A41" w:rsidRPr="00B44B19">
              <w:rPr>
                <w:rFonts w:eastAsia="Times New Roman" w:cs="Times New Roman"/>
                <w:bCs/>
                <w:iCs/>
                <w:noProof/>
                <w:sz w:val="20"/>
                <w:szCs w:val="20"/>
              </w:rPr>
              <w:t xml:space="preserve"> – Siekiant efektyvaus energijos vartojimo vykdoma viešosios infrastruktūros renovacija arba viešajai infrastruktūrai taikomos </w:t>
            </w:r>
            <w:r w:rsidR="00B86786" w:rsidRPr="00B44B19">
              <w:rPr>
                <w:rFonts w:eastAsia="Times New Roman" w:cs="Times New Roman"/>
                <w:bCs/>
                <w:iCs/>
                <w:noProof/>
                <w:sz w:val="20"/>
                <w:szCs w:val="20"/>
              </w:rPr>
              <w:t>EVE</w:t>
            </w:r>
            <w:r w:rsidR="00C60A41" w:rsidRPr="00B44B19">
              <w:rPr>
                <w:rFonts w:eastAsia="Times New Roman" w:cs="Times New Roman"/>
                <w:bCs/>
                <w:iCs/>
                <w:noProof/>
                <w:sz w:val="20"/>
                <w:szCs w:val="20"/>
              </w:rPr>
              <w:t xml:space="preserve"> priemonės, parodomieji projektai ir pagalbinės priemonės</w:t>
            </w:r>
          </w:p>
        </w:tc>
        <w:tc>
          <w:tcPr>
            <w:tcW w:w="1649" w:type="dxa"/>
            <w:tcBorders>
              <w:top w:val="single" w:sz="12" w:space="0" w:color="auto"/>
              <w:bottom w:val="single" w:sz="4" w:space="0" w:color="auto"/>
            </w:tcBorders>
          </w:tcPr>
          <w:p w14:paraId="43532A2E" w14:textId="77777777" w:rsidR="00C60A41" w:rsidRPr="00B44B19" w:rsidRDefault="00C60A41" w:rsidP="00163D35">
            <w:pPr>
              <w:jc w:val="right"/>
              <w:rPr>
                <w:rFonts w:cs="Times New Roman"/>
                <w:sz w:val="20"/>
                <w:szCs w:val="20"/>
              </w:rPr>
            </w:pPr>
            <w:r w:rsidRPr="00B44B19">
              <w:rPr>
                <w:rFonts w:cs="Times New Roman"/>
                <w:sz w:val="20"/>
                <w:szCs w:val="20"/>
              </w:rPr>
              <w:t>950 000,00</w:t>
            </w:r>
          </w:p>
        </w:tc>
      </w:tr>
      <w:tr w:rsidR="00C60A41" w:rsidRPr="00B44B19" w14:paraId="2729CB54" w14:textId="77777777" w:rsidTr="00AF4DED">
        <w:tc>
          <w:tcPr>
            <w:tcW w:w="1101" w:type="dxa"/>
            <w:vMerge/>
          </w:tcPr>
          <w:p w14:paraId="77DE523F" w14:textId="77777777" w:rsidR="00C60A41" w:rsidRPr="00B44B19" w:rsidRDefault="00C60A41" w:rsidP="001C6FEB">
            <w:pPr>
              <w:jc w:val="center"/>
              <w:rPr>
                <w:rFonts w:eastAsia="Times New Roman" w:cs="Times New Roman"/>
                <w:iCs/>
                <w:noProof/>
                <w:sz w:val="20"/>
                <w:szCs w:val="20"/>
              </w:rPr>
            </w:pPr>
          </w:p>
        </w:tc>
        <w:tc>
          <w:tcPr>
            <w:tcW w:w="850" w:type="dxa"/>
            <w:vMerge/>
          </w:tcPr>
          <w:p w14:paraId="27062609" w14:textId="77777777" w:rsidR="00C60A41" w:rsidRPr="00B44B19" w:rsidRDefault="00C60A41" w:rsidP="001C6FEB">
            <w:pPr>
              <w:jc w:val="center"/>
              <w:rPr>
                <w:rFonts w:cs="Times New Roman"/>
                <w:noProof/>
                <w:sz w:val="20"/>
                <w:szCs w:val="20"/>
              </w:rPr>
            </w:pPr>
          </w:p>
        </w:tc>
        <w:tc>
          <w:tcPr>
            <w:tcW w:w="1701" w:type="dxa"/>
            <w:tcBorders>
              <w:top w:val="single" w:sz="4" w:space="0" w:color="auto"/>
              <w:bottom w:val="single" w:sz="4" w:space="0" w:color="auto"/>
            </w:tcBorders>
          </w:tcPr>
          <w:p w14:paraId="31EDF785" w14:textId="77777777" w:rsidR="00C60A41" w:rsidRPr="00B44B19" w:rsidRDefault="00C60A41" w:rsidP="001C6FEB">
            <w:pPr>
              <w:rPr>
                <w:rFonts w:eastAsia="Calibri" w:cs="Times New Roman"/>
                <w:sz w:val="20"/>
                <w:szCs w:val="20"/>
                <w:lang w:eastAsia="lt-LT" w:bidi="lt-LT"/>
              </w:rPr>
            </w:pPr>
            <w:r w:rsidRPr="00B44B19">
              <w:rPr>
                <w:rFonts w:eastAsia="Calibri" w:cs="Times New Roman"/>
                <w:sz w:val="20"/>
                <w:szCs w:val="20"/>
                <w:lang w:eastAsia="lt-LT" w:bidi="lt-LT"/>
              </w:rPr>
              <w:t>VVL regionas</w:t>
            </w:r>
          </w:p>
        </w:tc>
        <w:tc>
          <w:tcPr>
            <w:tcW w:w="1134" w:type="dxa"/>
            <w:vMerge/>
          </w:tcPr>
          <w:p w14:paraId="113D7167" w14:textId="77777777" w:rsidR="00C60A41" w:rsidRPr="00B44B19" w:rsidRDefault="00C60A41" w:rsidP="001C6FEB">
            <w:pPr>
              <w:jc w:val="center"/>
              <w:rPr>
                <w:rFonts w:eastAsia="Times New Roman" w:cs="Times New Roman"/>
                <w:bCs/>
                <w:iCs/>
                <w:noProof/>
                <w:sz w:val="20"/>
                <w:szCs w:val="20"/>
              </w:rPr>
            </w:pPr>
          </w:p>
        </w:tc>
        <w:tc>
          <w:tcPr>
            <w:tcW w:w="3454" w:type="dxa"/>
            <w:vMerge/>
          </w:tcPr>
          <w:p w14:paraId="7D3425DA" w14:textId="77777777" w:rsidR="00C60A41" w:rsidRPr="00B44B19" w:rsidRDefault="00C60A41"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14:paraId="549D0731" w14:textId="77777777" w:rsidR="00C60A41" w:rsidRPr="00B44B19" w:rsidRDefault="00C60A41" w:rsidP="00163D35">
            <w:pPr>
              <w:jc w:val="right"/>
              <w:rPr>
                <w:rFonts w:cs="Times New Roman"/>
                <w:sz w:val="20"/>
                <w:szCs w:val="20"/>
              </w:rPr>
            </w:pPr>
            <w:r w:rsidRPr="00B44B19">
              <w:rPr>
                <w:rFonts w:cs="Times New Roman"/>
                <w:sz w:val="20"/>
                <w:szCs w:val="20"/>
              </w:rPr>
              <w:t>8 235 000,00</w:t>
            </w:r>
          </w:p>
        </w:tc>
      </w:tr>
      <w:tr w:rsidR="006356E5" w:rsidRPr="00B44B19" w14:paraId="7F93A7C9" w14:textId="77777777" w:rsidTr="00AF4DED">
        <w:tc>
          <w:tcPr>
            <w:tcW w:w="1101" w:type="dxa"/>
            <w:vMerge/>
          </w:tcPr>
          <w:p w14:paraId="096A17E8" w14:textId="77777777" w:rsidR="006356E5" w:rsidRPr="00B44B19" w:rsidRDefault="006356E5" w:rsidP="001C6FEB">
            <w:pPr>
              <w:jc w:val="center"/>
              <w:rPr>
                <w:rFonts w:eastAsia="Times New Roman" w:cs="Times New Roman"/>
                <w:iCs/>
                <w:noProof/>
                <w:sz w:val="20"/>
                <w:szCs w:val="20"/>
              </w:rPr>
            </w:pPr>
          </w:p>
        </w:tc>
        <w:tc>
          <w:tcPr>
            <w:tcW w:w="850" w:type="dxa"/>
            <w:vMerge/>
          </w:tcPr>
          <w:p w14:paraId="4623D036" w14:textId="77777777" w:rsidR="006356E5" w:rsidRPr="00B44B19" w:rsidRDefault="006356E5" w:rsidP="001C6FEB">
            <w:pPr>
              <w:jc w:val="center"/>
              <w:rPr>
                <w:rFonts w:cs="Times New Roman"/>
                <w:noProof/>
                <w:sz w:val="20"/>
                <w:szCs w:val="20"/>
              </w:rPr>
            </w:pPr>
          </w:p>
        </w:tc>
        <w:tc>
          <w:tcPr>
            <w:tcW w:w="1701" w:type="dxa"/>
            <w:tcBorders>
              <w:top w:val="single" w:sz="4" w:space="0" w:color="auto"/>
              <w:bottom w:val="single" w:sz="4" w:space="0" w:color="auto"/>
            </w:tcBorders>
          </w:tcPr>
          <w:p w14:paraId="66F7728B" w14:textId="77777777" w:rsidR="006356E5" w:rsidRPr="00B44B19" w:rsidRDefault="006356E5" w:rsidP="001C6FEB">
            <w:pPr>
              <w:rPr>
                <w:rFonts w:eastAsia="Calibri" w:cs="Times New Roman"/>
                <w:sz w:val="20"/>
                <w:szCs w:val="20"/>
                <w:lang w:eastAsia="lt-LT" w:bidi="lt-LT"/>
              </w:rPr>
            </w:pPr>
            <w:r w:rsidRPr="00B44B19">
              <w:rPr>
                <w:rFonts w:eastAsia="Calibri" w:cs="Times New Roman"/>
                <w:sz w:val="20"/>
                <w:szCs w:val="20"/>
                <w:lang w:eastAsia="lt-LT" w:bidi="lt-LT"/>
              </w:rPr>
              <w:t>Sostinės regionas</w:t>
            </w:r>
          </w:p>
        </w:tc>
        <w:tc>
          <w:tcPr>
            <w:tcW w:w="1134" w:type="dxa"/>
            <w:vMerge/>
          </w:tcPr>
          <w:p w14:paraId="3DF230E9" w14:textId="77777777" w:rsidR="006356E5" w:rsidRPr="00B44B19" w:rsidRDefault="006356E5" w:rsidP="001C6FEB">
            <w:pPr>
              <w:jc w:val="center"/>
              <w:rPr>
                <w:rFonts w:eastAsia="Times New Roman" w:cs="Times New Roman"/>
                <w:bCs/>
                <w:iCs/>
                <w:noProof/>
                <w:sz w:val="20"/>
                <w:szCs w:val="20"/>
              </w:rPr>
            </w:pPr>
          </w:p>
        </w:tc>
        <w:tc>
          <w:tcPr>
            <w:tcW w:w="3454" w:type="dxa"/>
            <w:vMerge w:val="restart"/>
          </w:tcPr>
          <w:p w14:paraId="0F4B4280" w14:textId="77777777" w:rsidR="006356E5" w:rsidRPr="00B44B19" w:rsidRDefault="006356E5" w:rsidP="00163D35">
            <w:pPr>
              <w:rPr>
                <w:rFonts w:eastAsia="Times New Roman" w:cs="Times New Roman"/>
                <w:bCs/>
                <w:iCs/>
                <w:noProof/>
                <w:sz w:val="20"/>
                <w:szCs w:val="20"/>
              </w:rPr>
            </w:pPr>
            <w:r w:rsidRPr="00B44B19">
              <w:rPr>
                <w:rFonts w:eastAsia="Times New Roman" w:cs="Times New Roman"/>
                <w:bCs/>
                <w:iCs/>
                <w:noProof/>
                <w:sz w:val="20"/>
                <w:szCs w:val="20"/>
              </w:rPr>
              <w:t>077. Oro kokybės užtikrinimo ir triukšmo mažinimo priemonės</w:t>
            </w:r>
          </w:p>
        </w:tc>
        <w:tc>
          <w:tcPr>
            <w:tcW w:w="1649" w:type="dxa"/>
            <w:tcBorders>
              <w:top w:val="single" w:sz="4" w:space="0" w:color="auto"/>
              <w:bottom w:val="single" w:sz="4" w:space="0" w:color="auto"/>
            </w:tcBorders>
          </w:tcPr>
          <w:p w14:paraId="5542D289" w14:textId="77777777" w:rsidR="006356E5" w:rsidRPr="00B44B19" w:rsidRDefault="006356E5" w:rsidP="00163D35">
            <w:pPr>
              <w:jc w:val="right"/>
              <w:rPr>
                <w:rFonts w:cs="Times New Roman"/>
                <w:sz w:val="20"/>
                <w:szCs w:val="20"/>
              </w:rPr>
            </w:pPr>
            <w:r w:rsidRPr="00B44B19">
              <w:rPr>
                <w:rFonts w:cs="Times New Roman"/>
                <w:sz w:val="20"/>
                <w:szCs w:val="20"/>
              </w:rPr>
              <w:t>100 000,00</w:t>
            </w:r>
          </w:p>
        </w:tc>
      </w:tr>
      <w:tr w:rsidR="006356E5" w:rsidRPr="00B44B19" w14:paraId="01493509" w14:textId="77777777" w:rsidTr="00AF4DED">
        <w:tc>
          <w:tcPr>
            <w:tcW w:w="1101" w:type="dxa"/>
            <w:vMerge/>
          </w:tcPr>
          <w:p w14:paraId="5E98B7F0" w14:textId="77777777" w:rsidR="006356E5" w:rsidRPr="00B44B19" w:rsidRDefault="006356E5" w:rsidP="001C6FEB">
            <w:pPr>
              <w:jc w:val="center"/>
              <w:rPr>
                <w:rFonts w:eastAsia="Times New Roman" w:cs="Times New Roman"/>
                <w:iCs/>
                <w:noProof/>
                <w:sz w:val="20"/>
                <w:szCs w:val="20"/>
              </w:rPr>
            </w:pPr>
          </w:p>
        </w:tc>
        <w:tc>
          <w:tcPr>
            <w:tcW w:w="850" w:type="dxa"/>
            <w:vMerge/>
          </w:tcPr>
          <w:p w14:paraId="23D55E03" w14:textId="77777777" w:rsidR="006356E5" w:rsidRPr="00B44B19" w:rsidRDefault="006356E5" w:rsidP="001C6FEB">
            <w:pPr>
              <w:jc w:val="center"/>
              <w:rPr>
                <w:rFonts w:cs="Times New Roman"/>
                <w:noProof/>
                <w:sz w:val="20"/>
                <w:szCs w:val="20"/>
              </w:rPr>
            </w:pPr>
          </w:p>
        </w:tc>
        <w:tc>
          <w:tcPr>
            <w:tcW w:w="1701" w:type="dxa"/>
            <w:tcBorders>
              <w:top w:val="single" w:sz="4" w:space="0" w:color="auto"/>
              <w:bottom w:val="single" w:sz="4" w:space="0" w:color="auto"/>
            </w:tcBorders>
          </w:tcPr>
          <w:p w14:paraId="4B845B2D" w14:textId="77777777" w:rsidR="006356E5" w:rsidRPr="00B44B19" w:rsidRDefault="006356E5" w:rsidP="001C6FEB">
            <w:pPr>
              <w:rPr>
                <w:rFonts w:eastAsia="Calibri" w:cs="Times New Roman"/>
                <w:sz w:val="20"/>
                <w:szCs w:val="20"/>
                <w:lang w:eastAsia="lt-LT" w:bidi="lt-LT"/>
              </w:rPr>
            </w:pPr>
            <w:r w:rsidRPr="00B44B19">
              <w:rPr>
                <w:rFonts w:eastAsia="Calibri" w:cs="Times New Roman"/>
                <w:sz w:val="20"/>
                <w:szCs w:val="20"/>
                <w:lang w:eastAsia="lt-LT" w:bidi="lt-LT"/>
              </w:rPr>
              <w:t>VVL regionas</w:t>
            </w:r>
          </w:p>
        </w:tc>
        <w:tc>
          <w:tcPr>
            <w:tcW w:w="1134" w:type="dxa"/>
            <w:vMerge/>
          </w:tcPr>
          <w:p w14:paraId="2FAAAF21" w14:textId="77777777" w:rsidR="006356E5" w:rsidRPr="00B44B19" w:rsidRDefault="006356E5" w:rsidP="001C6FEB">
            <w:pPr>
              <w:jc w:val="center"/>
              <w:rPr>
                <w:rFonts w:eastAsia="Times New Roman" w:cs="Times New Roman"/>
                <w:bCs/>
                <w:iCs/>
                <w:noProof/>
                <w:sz w:val="20"/>
                <w:szCs w:val="20"/>
              </w:rPr>
            </w:pPr>
          </w:p>
        </w:tc>
        <w:tc>
          <w:tcPr>
            <w:tcW w:w="3454" w:type="dxa"/>
            <w:vMerge/>
          </w:tcPr>
          <w:p w14:paraId="420D6067" w14:textId="77777777" w:rsidR="006356E5" w:rsidRPr="00B44B19" w:rsidRDefault="006356E5"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14:paraId="163819F9" w14:textId="77777777" w:rsidR="006356E5" w:rsidRPr="00B44B19" w:rsidRDefault="006356E5" w:rsidP="00163D35">
            <w:pPr>
              <w:jc w:val="right"/>
              <w:rPr>
                <w:rFonts w:cs="Times New Roman"/>
                <w:sz w:val="20"/>
                <w:szCs w:val="20"/>
              </w:rPr>
            </w:pPr>
            <w:r w:rsidRPr="00B44B19">
              <w:rPr>
                <w:rFonts w:cs="Times New Roman"/>
                <w:sz w:val="20"/>
                <w:szCs w:val="20"/>
              </w:rPr>
              <w:t>900 000,00</w:t>
            </w:r>
          </w:p>
        </w:tc>
      </w:tr>
      <w:tr w:rsidR="006356E5" w:rsidRPr="00B44B19" w14:paraId="32D8D700" w14:textId="77777777" w:rsidTr="00AF4DED">
        <w:tc>
          <w:tcPr>
            <w:tcW w:w="1101" w:type="dxa"/>
            <w:vMerge/>
          </w:tcPr>
          <w:p w14:paraId="708449FF" w14:textId="77777777" w:rsidR="006356E5" w:rsidRPr="00B44B19" w:rsidRDefault="006356E5" w:rsidP="001C6FEB">
            <w:pPr>
              <w:jc w:val="center"/>
              <w:rPr>
                <w:rFonts w:eastAsia="Times New Roman" w:cs="Times New Roman"/>
                <w:iCs/>
                <w:noProof/>
                <w:sz w:val="20"/>
                <w:szCs w:val="20"/>
              </w:rPr>
            </w:pPr>
          </w:p>
        </w:tc>
        <w:tc>
          <w:tcPr>
            <w:tcW w:w="850" w:type="dxa"/>
            <w:vMerge/>
          </w:tcPr>
          <w:p w14:paraId="1E17B087" w14:textId="77777777" w:rsidR="006356E5" w:rsidRPr="00B44B19" w:rsidRDefault="006356E5" w:rsidP="001C6FEB">
            <w:pPr>
              <w:jc w:val="center"/>
              <w:rPr>
                <w:rFonts w:cs="Times New Roman"/>
                <w:noProof/>
                <w:sz w:val="20"/>
                <w:szCs w:val="20"/>
              </w:rPr>
            </w:pPr>
          </w:p>
        </w:tc>
        <w:tc>
          <w:tcPr>
            <w:tcW w:w="1701" w:type="dxa"/>
            <w:tcBorders>
              <w:top w:val="single" w:sz="4" w:space="0" w:color="auto"/>
              <w:bottom w:val="single" w:sz="4" w:space="0" w:color="auto"/>
            </w:tcBorders>
          </w:tcPr>
          <w:p w14:paraId="0DDBF7D9" w14:textId="77777777" w:rsidR="006356E5" w:rsidRPr="00B44B19" w:rsidRDefault="006356E5" w:rsidP="001C6FEB">
            <w:pPr>
              <w:rPr>
                <w:rFonts w:eastAsia="Calibri" w:cs="Times New Roman"/>
                <w:sz w:val="20"/>
                <w:szCs w:val="20"/>
                <w:lang w:eastAsia="lt-LT" w:bidi="lt-LT"/>
              </w:rPr>
            </w:pPr>
            <w:r w:rsidRPr="00B44B19">
              <w:rPr>
                <w:rFonts w:eastAsia="Calibri" w:cs="Times New Roman"/>
                <w:sz w:val="20"/>
                <w:szCs w:val="20"/>
                <w:lang w:eastAsia="lt-LT" w:bidi="lt-LT"/>
              </w:rPr>
              <w:t>Sostinės regionas</w:t>
            </w:r>
          </w:p>
        </w:tc>
        <w:tc>
          <w:tcPr>
            <w:tcW w:w="1134" w:type="dxa"/>
            <w:vMerge/>
          </w:tcPr>
          <w:p w14:paraId="4ABFFA47" w14:textId="77777777" w:rsidR="006356E5" w:rsidRPr="00B44B19" w:rsidRDefault="006356E5" w:rsidP="001C6FEB">
            <w:pPr>
              <w:jc w:val="center"/>
              <w:rPr>
                <w:rFonts w:eastAsia="Times New Roman" w:cs="Times New Roman"/>
                <w:bCs/>
                <w:iCs/>
                <w:noProof/>
                <w:sz w:val="20"/>
                <w:szCs w:val="20"/>
              </w:rPr>
            </w:pPr>
          </w:p>
        </w:tc>
        <w:tc>
          <w:tcPr>
            <w:tcW w:w="3454" w:type="dxa"/>
            <w:vMerge w:val="restart"/>
          </w:tcPr>
          <w:p w14:paraId="41F14358" w14:textId="77777777" w:rsidR="006356E5" w:rsidRPr="00B44B19" w:rsidRDefault="006356E5" w:rsidP="00163D35">
            <w:pPr>
              <w:rPr>
                <w:rFonts w:eastAsia="Times New Roman" w:cs="Times New Roman"/>
                <w:bCs/>
                <w:iCs/>
                <w:noProof/>
                <w:sz w:val="20"/>
                <w:szCs w:val="20"/>
              </w:rPr>
            </w:pPr>
            <w:r w:rsidRPr="00B44B19">
              <w:rPr>
                <w:rFonts w:eastAsia="Times New Roman" w:cs="Times New Roman"/>
                <w:bCs/>
                <w:iCs/>
                <w:noProof/>
                <w:sz w:val="20"/>
                <w:szCs w:val="20"/>
              </w:rPr>
              <w:t>083. Dviračių infrastruktūra</w:t>
            </w:r>
          </w:p>
        </w:tc>
        <w:tc>
          <w:tcPr>
            <w:tcW w:w="1649" w:type="dxa"/>
            <w:tcBorders>
              <w:top w:val="single" w:sz="4" w:space="0" w:color="auto"/>
              <w:bottom w:val="single" w:sz="4" w:space="0" w:color="auto"/>
            </w:tcBorders>
          </w:tcPr>
          <w:p w14:paraId="5FB160BB" w14:textId="77777777" w:rsidR="006356E5" w:rsidRPr="00B44B19" w:rsidRDefault="006356E5" w:rsidP="00163D35">
            <w:pPr>
              <w:jc w:val="right"/>
              <w:rPr>
                <w:rFonts w:cs="Times New Roman"/>
                <w:sz w:val="20"/>
                <w:szCs w:val="20"/>
              </w:rPr>
            </w:pPr>
            <w:r w:rsidRPr="00B44B19">
              <w:rPr>
                <w:rFonts w:cs="Times New Roman"/>
                <w:sz w:val="20"/>
                <w:szCs w:val="20"/>
              </w:rPr>
              <w:t>1 000 000,00</w:t>
            </w:r>
          </w:p>
        </w:tc>
      </w:tr>
      <w:tr w:rsidR="006356E5" w:rsidRPr="00B44B19" w14:paraId="68993505" w14:textId="77777777" w:rsidTr="00AF4DED">
        <w:tc>
          <w:tcPr>
            <w:tcW w:w="1101" w:type="dxa"/>
            <w:vMerge/>
          </w:tcPr>
          <w:p w14:paraId="43BCF883" w14:textId="77777777" w:rsidR="006356E5" w:rsidRPr="00B44B19" w:rsidRDefault="006356E5" w:rsidP="001C6FEB">
            <w:pPr>
              <w:jc w:val="center"/>
              <w:rPr>
                <w:rFonts w:eastAsia="Times New Roman" w:cs="Times New Roman"/>
                <w:iCs/>
                <w:noProof/>
                <w:sz w:val="20"/>
                <w:szCs w:val="20"/>
              </w:rPr>
            </w:pPr>
          </w:p>
        </w:tc>
        <w:tc>
          <w:tcPr>
            <w:tcW w:w="850" w:type="dxa"/>
            <w:vMerge/>
          </w:tcPr>
          <w:p w14:paraId="43968771" w14:textId="77777777" w:rsidR="006356E5" w:rsidRPr="00B44B19" w:rsidRDefault="006356E5" w:rsidP="001C6FEB">
            <w:pPr>
              <w:jc w:val="center"/>
              <w:rPr>
                <w:rFonts w:cs="Times New Roman"/>
                <w:noProof/>
                <w:sz w:val="20"/>
                <w:szCs w:val="20"/>
              </w:rPr>
            </w:pPr>
          </w:p>
        </w:tc>
        <w:tc>
          <w:tcPr>
            <w:tcW w:w="1701" w:type="dxa"/>
            <w:tcBorders>
              <w:top w:val="single" w:sz="4" w:space="0" w:color="auto"/>
              <w:bottom w:val="single" w:sz="4" w:space="0" w:color="auto"/>
            </w:tcBorders>
          </w:tcPr>
          <w:p w14:paraId="00D6C954" w14:textId="77777777" w:rsidR="006356E5" w:rsidRPr="00B44B19" w:rsidRDefault="006356E5" w:rsidP="001C6FEB">
            <w:pPr>
              <w:rPr>
                <w:rFonts w:eastAsia="Calibri" w:cs="Times New Roman"/>
                <w:sz w:val="20"/>
                <w:szCs w:val="20"/>
                <w:lang w:eastAsia="lt-LT" w:bidi="lt-LT"/>
              </w:rPr>
            </w:pPr>
            <w:r w:rsidRPr="00B44B19">
              <w:rPr>
                <w:rFonts w:eastAsia="Calibri" w:cs="Times New Roman"/>
                <w:sz w:val="20"/>
                <w:szCs w:val="20"/>
                <w:lang w:eastAsia="lt-LT" w:bidi="lt-LT"/>
              </w:rPr>
              <w:t>VVL regionas</w:t>
            </w:r>
          </w:p>
        </w:tc>
        <w:tc>
          <w:tcPr>
            <w:tcW w:w="1134" w:type="dxa"/>
            <w:vMerge/>
          </w:tcPr>
          <w:p w14:paraId="4AF655BC" w14:textId="77777777" w:rsidR="006356E5" w:rsidRPr="00B44B19" w:rsidRDefault="006356E5" w:rsidP="001C6FEB">
            <w:pPr>
              <w:jc w:val="center"/>
              <w:rPr>
                <w:rFonts w:eastAsia="Times New Roman" w:cs="Times New Roman"/>
                <w:bCs/>
                <w:iCs/>
                <w:noProof/>
                <w:sz w:val="20"/>
                <w:szCs w:val="20"/>
              </w:rPr>
            </w:pPr>
          </w:p>
        </w:tc>
        <w:tc>
          <w:tcPr>
            <w:tcW w:w="3454" w:type="dxa"/>
            <w:vMerge/>
          </w:tcPr>
          <w:p w14:paraId="6743EC4E" w14:textId="77777777" w:rsidR="006356E5" w:rsidRPr="00B44B19" w:rsidRDefault="006356E5" w:rsidP="00163D35">
            <w:pPr>
              <w:rPr>
                <w:rFonts w:eastAsia="Times New Roman" w:cs="Times New Roman"/>
                <w:bCs/>
                <w:iCs/>
                <w:noProof/>
                <w:sz w:val="20"/>
                <w:szCs w:val="20"/>
              </w:rPr>
            </w:pPr>
          </w:p>
        </w:tc>
        <w:tc>
          <w:tcPr>
            <w:tcW w:w="1649" w:type="dxa"/>
            <w:tcBorders>
              <w:top w:val="single" w:sz="4" w:space="0" w:color="auto"/>
              <w:bottom w:val="single" w:sz="4" w:space="0" w:color="auto"/>
            </w:tcBorders>
          </w:tcPr>
          <w:p w14:paraId="33CD5DEE" w14:textId="77777777" w:rsidR="006356E5" w:rsidRPr="00B44B19" w:rsidRDefault="006356E5" w:rsidP="00163D35">
            <w:pPr>
              <w:jc w:val="right"/>
              <w:rPr>
                <w:rFonts w:cs="Times New Roman"/>
                <w:sz w:val="20"/>
                <w:szCs w:val="20"/>
              </w:rPr>
            </w:pPr>
            <w:r w:rsidRPr="00B44B19">
              <w:rPr>
                <w:rFonts w:cs="Times New Roman"/>
                <w:sz w:val="20"/>
                <w:szCs w:val="20"/>
              </w:rPr>
              <w:t>4 726 000,00</w:t>
            </w:r>
          </w:p>
        </w:tc>
      </w:tr>
      <w:tr w:rsidR="006356E5" w:rsidRPr="00B44B19" w14:paraId="39076CA3" w14:textId="77777777" w:rsidTr="00AF4DED">
        <w:tc>
          <w:tcPr>
            <w:tcW w:w="1101" w:type="dxa"/>
            <w:vMerge/>
          </w:tcPr>
          <w:p w14:paraId="5893FE8B" w14:textId="77777777" w:rsidR="006356E5" w:rsidRPr="00B44B19" w:rsidRDefault="006356E5" w:rsidP="001C6FEB">
            <w:pPr>
              <w:jc w:val="center"/>
              <w:rPr>
                <w:rFonts w:eastAsia="Times New Roman" w:cs="Times New Roman"/>
                <w:iCs/>
                <w:noProof/>
                <w:sz w:val="20"/>
                <w:szCs w:val="20"/>
              </w:rPr>
            </w:pPr>
          </w:p>
        </w:tc>
        <w:tc>
          <w:tcPr>
            <w:tcW w:w="850" w:type="dxa"/>
            <w:vMerge/>
          </w:tcPr>
          <w:p w14:paraId="409912C2" w14:textId="77777777" w:rsidR="006356E5" w:rsidRPr="00B44B19" w:rsidRDefault="006356E5" w:rsidP="001C6FEB">
            <w:pPr>
              <w:jc w:val="center"/>
              <w:rPr>
                <w:rFonts w:eastAsia="Times New Roman" w:cs="Times New Roman"/>
                <w:b/>
                <w:iCs/>
                <w:noProof/>
                <w:sz w:val="20"/>
                <w:szCs w:val="20"/>
              </w:rPr>
            </w:pPr>
          </w:p>
        </w:tc>
        <w:tc>
          <w:tcPr>
            <w:tcW w:w="1701" w:type="dxa"/>
            <w:tcBorders>
              <w:top w:val="single" w:sz="4" w:space="0" w:color="auto"/>
              <w:bottom w:val="single" w:sz="4" w:space="0" w:color="auto"/>
            </w:tcBorders>
          </w:tcPr>
          <w:p w14:paraId="4B716468" w14:textId="77777777" w:rsidR="006356E5" w:rsidRPr="00B44B19" w:rsidRDefault="006356E5" w:rsidP="001C6FEB">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134" w:type="dxa"/>
            <w:vMerge/>
          </w:tcPr>
          <w:p w14:paraId="5825D201" w14:textId="77777777" w:rsidR="006356E5" w:rsidRPr="00B44B19" w:rsidRDefault="006356E5" w:rsidP="001C6FEB">
            <w:pPr>
              <w:jc w:val="center"/>
              <w:rPr>
                <w:rFonts w:eastAsia="Times New Roman" w:cs="Times New Roman"/>
                <w:bCs/>
                <w:iCs/>
                <w:noProof/>
                <w:sz w:val="20"/>
                <w:szCs w:val="20"/>
              </w:rPr>
            </w:pPr>
          </w:p>
        </w:tc>
        <w:tc>
          <w:tcPr>
            <w:tcW w:w="3454" w:type="dxa"/>
            <w:vMerge w:val="restart"/>
            <w:tcBorders>
              <w:top w:val="single" w:sz="4" w:space="0" w:color="auto"/>
            </w:tcBorders>
          </w:tcPr>
          <w:p w14:paraId="3DF6639A" w14:textId="77777777" w:rsidR="006356E5" w:rsidRPr="00B44B19" w:rsidRDefault="006356E5" w:rsidP="00163D35">
            <w:pPr>
              <w:rPr>
                <w:rFonts w:eastAsia="Times New Roman" w:cs="Times New Roman"/>
                <w:bCs/>
                <w:iCs/>
                <w:noProof/>
                <w:sz w:val="20"/>
                <w:szCs w:val="20"/>
              </w:rPr>
            </w:pPr>
            <w:r w:rsidRPr="00B44B19">
              <w:rPr>
                <w:rFonts w:eastAsia="Times New Roman" w:cs="Times New Roman"/>
                <w:bCs/>
                <w:iCs/>
                <w:noProof/>
                <w:sz w:val="20"/>
                <w:szCs w:val="20"/>
              </w:rPr>
              <w:t>169 – Teritorinio vystymo iniciatyvos, įskaitant teritorinių strategijų rengimą</w:t>
            </w:r>
          </w:p>
        </w:tc>
        <w:tc>
          <w:tcPr>
            <w:tcW w:w="1649" w:type="dxa"/>
            <w:tcBorders>
              <w:top w:val="single" w:sz="4" w:space="0" w:color="auto"/>
              <w:bottom w:val="single" w:sz="4" w:space="0" w:color="auto"/>
            </w:tcBorders>
          </w:tcPr>
          <w:p w14:paraId="3057F2B9" w14:textId="77777777" w:rsidR="006356E5" w:rsidRPr="00B44B19" w:rsidRDefault="006356E5" w:rsidP="006356E5">
            <w:pPr>
              <w:jc w:val="right"/>
              <w:rPr>
                <w:rFonts w:cs="Times New Roman"/>
                <w:color w:val="000000"/>
                <w:sz w:val="20"/>
                <w:szCs w:val="20"/>
              </w:rPr>
            </w:pPr>
            <w:r w:rsidRPr="00B44B19">
              <w:rPr>
                <w:rFonts w:cs="Times New Roman"/>
                <w:sz w:val="20"/>
                <w:szCs w:val="20"/>
              </w:rPr>
              <w:t xml:space="preserve">32 895 041,00 </w:t>
            </w:r>
          </w:p>
        </w:tc>
      </w:tr>
      <w:tr w:rsidR="006356E5" w:rsidRPr="00B44B19" w14:paraId="1FFCE3F9" w14:textId="77777777" w:rsidTr="00163D35">
        <w:tc>
          <w:tcPr>
            <w:tcW w:w="1101" w:type="dxa"/>
            <w:vMerge/>
          </w:tcPr>
          <w:p w14:paraId="6CDF835A" w14:textId="77777777" w:rsidR="006356E5" w:rsidRPr="00B44B19" w:rsidRDefault="006356E5" w:rsidP="001C6FEB">
            <w:pPr>
              <w:rPr>
                <w:rFonts w:eastAsia="Times New Roman" w:cs="Times New Roman"/>
                <w:iCs/>
                <w:noProof/>
                <w:sz w:val="20"/>
                <w:szCs w:val="20"/>
              </w:rPr>
            </w:pPr>
          </w:p>
        </w:tc>
        <w:tc>
          <w:tcPr>
            <w:tcW w:w="850" w:type="dxa"/>
            <w:vMerge/>
          </w:tcPr>
          <w:p w14:paraId="55BF013D" w14:textId="77777777" w:rsidR="006356E5" w:rsidRPr="00B44B19" w:rsidRDefault="006356E5" w:rsidP="001C6FEB">
            <w:pPr>
              <w:rPr>
                <w:rFonts w:eastAsia="Times New Roman" w:cs="Times New Roman"/>
                <w:b/>
                <w:iCs/>
                <w:noProof/>
                <w:sz w:val="20"/>
                <w:szCs w:val="20"/>
              </w:rPr>
            </w:pPr>
          </w:p>
        </w:tc>
        <w:tc>
          <w:tcPr>
            <w:tcW w:w="1701" w:type="dxa"/>
            <w:tcBorders>
              <w:top w:val="single" w:sz="4" w:space="0" w:color="auto"/>
            </w:tcBorders>
          </w:tcPr>
          <w:p w14:paraId="1B9F7095" w14:textId="77777777" w:rsidR="006356E5" w:rsidRPr="00B44B19" w:rsidRDefault="006356E5" w:rsidP="001C6FEB">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134" w:type="dxa"/>
            <w:vMerge/>
          </w:tcPr>
          <w:p w14:paraId="4EAEBB6D" w14:textId="77777777" w:rsidR="006356E5" w:rsidRPr="00B44B19" w:rsidRDefault="006356E5" w:rsidP="001C6FEB">
            <w:pPr>
              <w:rPr>
                <w:rFonts w:eastAsia="Times New Roman" w:cs="Times New Roman"/>
                <w:bCs/>
                <w:iCs/>
                <w:noProof/>
                <w:sz w:val="20"/>
                <w:szCs w:val="20"/>
              </w:rPr>
            </w:pPr>
          </w:p>
        </w:tc>
        <w:tc>
          <w:tcPr>
            <w:tcW w:w="3454" w:type="dxa"/>
            <w:vMerge/>
          </w:tcPr>
          <w:p w14:paraId="20592063" w14:textId="77777777" w:rsidR="006356E5" w:rsidRPr="00B44B19" w:rsidRDefault="006356E5" w:rsidP="001C6FEB">
            <w:pPr>
              <w:rPr>
                <w:rFonts w:eastAsia="Times New Roman" w:cs="Times New Roman"/>
                <w:bCs/>
                <w:iCs/>
                <w:noProof/>
                <w:sz w:val="20"/>
                <w:szCs w:val="20"/>
              </w:rPr>
            </w:pPr>
          </w:p>
        </w:tc>
        <w:tc>
          <w:tcPr>
            <w:tcW w:w="1649" w:type="dxa"/>
            <w:tcBorders>
              <w:top w:val="single" w:sz="4" w:space="0" w:color="auto"/>
            </w:tcBorders>
          </w:tcPr>
          <w:p w14:paraId="163C3D00" w14:textId="77777777" w:rsidR="006356E5" w:rsidRPr="00B44B19" w:rsidRDefault="006356E5" w:rsidP="006356E5">
            <w:pPr>
              <w:jc w:val="right"/>
              <w:rPr>
                <w:rFonts w:eastAsia="Times New Roman" w:cs="Times New Roman"/>
                <w:iCs/>
                <w:noProof/>
                <w:sz w:val="20"/>
                <w:szCs w:val="20"/>
              </w:rPr>
            </w:pPr>
            <w:r w:rsidRPr="00B44B19">
              <w:rPr>
                <w:rFonts w:cs="Times New Roman"/>
                <w:sz w:val="20"/>
                <w:szCs w:val="20"/>
              </w:rPr>
              <w:t xml:space="preserve">292 916 819,00 </w:t>
            </w:r>
          </w:p>
        </w:tc>
      </w:tr>
    </w:tbl>
    <w:p w14:paraId="43C2790F" w14:textId="77777777" w:rsidR="00603ED4" w:rsidRPr="00B44B19" w:rsidRDefault="00603ED4" w:rsidP="004939F6">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603ED4" w:rsidRPr="00B44B19" w14:paraId="3CBA2E43" w14:textId="77777777" w:rsidTr="001C6FE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AB17BB" w14:textId="77777777" w:rsidR="00603ED4" w:rsidRPr="00B44B19" w:rsidRDefault="00603ED4" w:rsidP="0083408B">
            <w:pPr>
              <w:rPr>
                <w:rFonts w:eastAsia="Times New Roman" w:cs="Times New Roman"/>
                <w:b/>
                <w:iCs/>
                <w:noProof/>
                <w:sz w:val="20"/>
              </w:rPr>
            </w:pPr>
            <w:r w:rsidRPr="00B44B19">
              <w:rPr>
                <w:rFonts w:cs="Times New Roman"/>
                <w:b/>
                <w:noProof/>
                <w:sz w:val="20"/>
              </w:rPr>
              <w:t xml:space="preserve">5 lentelė. 2 matmuo. </w:t>
            </w:r>
            <w:r w:rsidR="004436E1" w:rsidRPr="00B44B19">
              <w:rPr>
                <w:rFonts w:cs="Times New Roman"/>
                <w:b/>
                <w:noProof/>
                <w:sz w:val="20"/>
              </w:rPr>
              <w:t>Finansavimo</w:t>
            </w:r>
            <w:r w:rsidR="0083408B" w:rsidRPr="00B44B19">
              <w:rPr>
                <w:rFonts w:cs="Times New Roman"/>
                <w:b/>
                <w:noProof/>
                <w:sz w:val="20"/>
              </w:rPr>
              <w:t xml:space="preserve"> </w:t>
            </w:r>
            <w:r w:rsidRPr="00B44B19">
              <w:rPr>
                <w:rFonts w:cs="Times New Roman"/>
                <w:b/>
                <w:noProof/>
                <w:sz w:val="20"/>
              </w:rPr>
              <w:t>forma</w:t>
            </w:r>
          </w:p>
        </w:tc>
      </w:tr>
      <w:tr w:rsidR="00603ED4" w:rsidRPr="00B44B19" w14:paraId="6F204B7D"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8D8533"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3BCC98"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24BF9C"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D775BA"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CC20EF"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184BC9"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Suma (EUR)</w:t>
            </w:r>
          </w:p>
        </w:tc>
      </w:tr>
      <w:tr w:rsidR="008F2AC6" w:rsidRPr="00B44B19" w14:paraId="2857A35E" w14:textId="77777777" w:rsidTr="00163D35">
        <w:tc>
          <w:tcPr>
            <w:tcW w:w="1101" w:type="dxa"/>
            <w:vMerge w:val="restart"/>
            <w:tcBorders>
              <w:top w:val="single" w:sz="12" w:space="0" w:color="auto"/>
            </w:tcBorders>
          </w:tcPr>
          <w:p w14:paraId="44FCE2C9" w14:textId="77777777" w:rsidR="008F2AC6" w:rsidRPr="00B44B19" w:rsidRDefault="008F2AC6" w:rsidP="001C6FEB">
            <w:pPr>
              <w:jc w:val="center"/>
              <w:rPr>
                <w:rFonts w:eastAsia="Times New Roman" w:cs="Times New Roman"/>
                <w:iCs/>
                <w:noProof/>
                <w:sz w:val="20"/>
                <w:szCs w:val="20"/>
              </w:rPr>
            </w:pPr>
            <w:r w:rsidRPr="00B44B19">
              <w:rPr>
                <w:rFonts w:eastAsia="Times New Roman" w:cs="Times New Roman"/>
                <w:iCs/>
                <w:noProof/>
                <w:sz w:val="20"/>
                <w:szCs w:val="20"/>
              </w:rPr>
              <w:t>5</w:t>
            </w:r>
          </w:p>
        </w:tc>
        <w:tc>
          <w:tcPr>
            <w:tcW w:w="850" w:type="dxa"/>
            <w:vMerge w:val="restart"/>
            <w:tcBorders>
              <w:top w:val="single" w:sz="12" w:space="0" w:color="auto"/>
            </w:tcBorders>
          </w:tcPr>
          <w:p w14:paraId="349513E9" w14:textId="77777777" w:rsidR="008F2AC6" w:rsidRPr="00B44B19" w:rsidRDefault="008F2AC6" w:rsidP="001C6FEB">
            <w:pPr>
              <w:jc w:val="center"/>
              <w:rPr>
                <w:rFonts w:eastAsia="Times New Roman" w:cs="Times New Roman"/>
                <w:b/>
                <w:iCs/>
                <w:noProof/>
                <w:sz w:val="20"/>
                <w:szCs w:val="20"/>
              </w:rPr>
            </w:pPr>
            <w:r w:rsidRPr="00B44B19">
              <w:rPr>
                <w:rFonts w:cs="Times New Roman"/>
                <w:noProof/>
                <w:sz w:val="20"/>
                <w:szCs w:val="20"/>
              </w:rPr>
              <w:t>ERPF</w:t>
            </w:r>
          </w:p>
        </w:tc>
        <w:tc>
          <w:tcPr>
            <w:tcW w:w="1701" w:type="dxa"/>
            <w:tcBorders>
              <w:top w:val="single" w:sz="12" w:space="0" w:color="auto"/>
              <w:bottom w:val="single" w:sz="4" w:space="0" w:color="auto"/>
            </w:tcBorders>
          </w:tcPr>
          <w:p w14:paraId="562991C8" w14:textId="77777777" w:rsidR="008F2AC6" w:rsidRPr="00B44B19" w:rsidRDefault="008F2AC6" w:rsidP="001C6FEB">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134" w:type="dxa"/>
            <w:vMerge w:val="restart"/>
            <w:tcBorders>
              <w:top w:val="single" w:sz="12" w:space="0" w:color="auto"/>
            </w:tcBorders>
          </w:tcPr>
          <w:p w14:paraId="13CA9215" w14:textId="77777777" w:rsidR="008F2AC6" w:rsidRPr="00B44B19" w:rsidRDefault="008F2AC6" w:rsidP="001C6FEB">
            <w:pPr>
              <w:jc w:val="center"/>
              <w:rPr>
                <w:rFonts w:eastAsia="Times New Roman" w:cs="Times New Roman"/>
                <w:b/>
                <w:iCs/>
                <w:noProof/>
                <w:sz w:val="20"/>
                <w:szCs w:val="20"/>
              </w:rPr>
            </w:pPr>
            <w:r w:rsidRPr="00B44B19">
              <w:rPr>
                <w:rFonts w:eastAsia="Times New Roman" w:cs="Times New Roman"/>
                <w:bCs/>
                <w:iCs/>
                <w:noProof/>
                <w:sz w:val="20"/>
                <w:szCs w:val="20"/>
              </w:rPr>
              <w:t>5.2</w:t>
            </w:r>
          </w:p>
        </w:tc>
        <w:tc>
          <w:tcPr>
            <w:tcW w:w="3454" w:type="dxa"/>
            <w:vMerge w:val="restart"/>
            <w:tcBorders>
              <w:top w:val="single" w:sz="12" w:space="0" w:color="auto"/>
            </w:tcBorders>
          </w:tcPr>
          <w:p w14:paraId="5D52DCBC" w14:textId="77777777" w:rsidR="008F2AC6" w:rsidRPr="00B44B19" w:rsidRDefault="008F2AC6" w:rsidP="00163D35">
            <w:pPr>
              <w:rPr>
                <w:rFonts w:eastAsia="Times New Roman" w:cs="Times New Roman"/>
                <w:b/>
                <w:iCs/>
                <w:noProof/>
                <w:sz w:val="20"/>
                <w:szCs w:val="20"/>
              </w:rPr>
            </w:pPr>
            <w:r w:rsidRPr="00B44B19">
              <w:rPr>
                <w:rFonts w:cs="Times New Roman"/>
                <w:noProof/>
                <w:sz w:val="20"/>
                <w:szCs w:val="20"/>
              </w:rPr>
              <w:t>01</w:t>
            </w:r>
            <w:r w:rsidR="00163D35" w:rsidRPr="00B44B19">
              <w:rPr>
                <w:rFonts w:cs="Times New Roman"/>
                <w:noProof/>
                <w:sz w:val="20"/>
                <w:szCs w:val="20"/>
              </w:rPr>
              <w:t xml:space="preserve"> – Dotacija</w:t>
            </w:r>
          </w:p>
        </w:tc>
        <w:tc>
          <w:tcPr>
            <w:tcW w:w="1649" w:type="dxa"/>
            <w:tcBorders>
              <w:top w:val="single" w:sz="12" w:space="0" w:color="auto"/>
              <w:bottom w:val="single" w:sz="4" w:space="0" w:color="auto"/>
            </w:tcBorders>
          </w:tcPr>
          <w:p w14:paraId="4EEAFF79" w14:textId="77777777" w:rsidR="008F2AC6" w:rsidRPr="00B44B19" w:rsidRDefault="008F2AC6" w:rsidP="00163D35">
            <w:pPr>
              <w:jc w:val="right"/>
              <w:rPr>
                <w:rFonts w:eastAsia="Times New Roman" w:cs="Times New Roman"/>
                <w:b/>
                <w:iCs/>
                <w:noProof/>
                <w:sz w:val="20"/>
                <w:szCs w:val="20"/>
              </w:rPr>
            </w:pPr>
            <w:r w:rsidRPr="00B44B19">
              <w:rPr>
                <w:rFonts w:cs="Times New Roman"/>
                <w:sz w:val="20"/>
                <w:szCs w:val="20"/>
              </w:rPr>
              <w:t>34 945</w:t>
            </w:r>
            <w:r w:rsidR="00163D35" w:rsidRPr="00B44B19">
              <w:rPr>
                <w:rFonts w:cs="Times New Roman"/>
                <w:sz w:val="20"/>
                <w:szCs w:val="20"/>
              </w:rPr>
              <w:t> </w:t>
            </w:r>
            <w:r w:rsidRPr="00B44B19">
              <w:rPr>
                <w:rFonts w:cs="Times New Roman"/>
                <w:sz w:val="20"/>
                <w:szCs w:val="20"/>
              </w:rPr>
              <w:t>041</w:t>
            </w:r>
            <w:r w:rsidR="00163D35" w:rsidRPr="00B44B19">
              <w:rPr>
                <w:rFonts w:cs="Times New Roman"/>
                <w:sz w:val="20"/>
                <w:szCs w:val="20"/>
              </w:rPr>
              <w:t>,00</w:t>
            </w:r>
          </w:p>
        </w:tc>
      </w:tr>
      <w:tr w:rsidR="008F2AC6" w:rsidRPr="00B44B19" w14:paraId="2B29ACA7" w14:textId="77777777" w:rsidTr="00163D35">
        <w:tc>
          <w:tcPr>
            <w:tcW w:w="1101" w:type="dxa"/>
            <w:vMerge/>
          </w:tcPr>
          <w:p w14:paraId="452321E4" w14:textId="77777777" w:rsidR="008F2AC6" w:rsidRPr="00B44B19" w:rsidRDefault="008F2AC6" w:rsidP="001C6FEB">
            <w:pPr>
              <w:rPr>
                <w:rFonts w:eastAsia="Times New Roman" w:cs="Times New Roman"/>
                <w:b/>
                <w:iCs/>
                <w:noProof/>
                <w:sz w:val="20"/>
                <w:szCs w:val="20"/>
              </w:rPr>
            </w:pPr>
          </w:p>
        </w:tc>
        <w:tc>
          <w:tcPr>
            <w:tcW w:w="850" w:type="dxa"/>
            <w:vMerge/>
          </w:tcPr>
          <w:p w14:paraId="6FD81260" w14:textId="77777777" w:rsidR="008F2AC6" w:rsidRPr="00B44B19" w:rsidRDefault="008F2AC6" w:rsidP="001C6FEB">
            <w:pPr>
              <w:rPr>
                <w:rFonts w:eastAsia="Times New Roman" w:cs="Times New Roman"/>
                <w:b/>
                <w:iCs/>
                <w:noProof/>
                <w:sz w:val="20"/>
                <w:szCs w:val="20"/>
              </w:rPr>
            </w:pPr>
          </w:p>
        </w:tc>
        <w:tc>
          <w:tcPr>
            <w:tcW w:w="1701" w:type="dxa"/>
            <w:tcBorders>
              <w:top w:val="single" w:sz="4" w:space="0" w:color="auto"/>
            </w:tcBorders>
          </w:tcPr>
          <w:p w14:paraId="4F45D1F4" w14:textId="77777777" w:rsidR="008F2AC6" w:rsidRPr="00B44B19" w:rsidRDefault="008F2AC6" w:rsidP="001C6FEB">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134" w:type="dxa"/>
            <w:vMerge/>
          </w:tcPr>
          <w:p w14:paraId="449458D4" w14:textId="77777777" w:rsidR="008F2AC6" w:rsidRPr="00B44B19" w:rsidRDefault="008F2AC6" w:rsidP="001C6FEB">
            <w:pPr>
              <w:rPr>
                <w:rFonts w:eastAsia="Times New Roman" w:cs="Times New Roman"/>
                <w:b/>
                <w:iCs/>
                <w:noProof/>
                <w:sz w:val="20"/>
                <w:szCs w:val="20"/>
              </w:rPr>
            </w:pPr>
          </w:p>
        </w:tc>
        <w:tc>
          <w:tcPr>
            <w:tcW w:w="3454" w:type="dxa"/>
            <w:vMerge/>
          </w:tcPr>
          <w:p w14:paraId="0A209908" w14:textId="77777777" w:rsidR="008F2AC6" w:rsidRPr="00B44B19" w:rsidRDefault="008F2AC6" w:rsidP="001C6FEB">
            <w:pPr>
              <w:rPr>
                <w:rFonts w:eastAsia="Times New Roman" w:cs="Times New Roman"/>
                <w:b/>
                <w:iCs/>
                <w:noProof/>
                <w:sz w:val="20"/>
                <w:szCs w:val="20"/>
              </w:rPr>
            </w:pPr>
          </w:p>
        </w:tc>
        <w:tc>
          <w:tcPr>
            <w:tcW w:w="1649" w:type="dxa"/>
            <w:tcBorders>
              <w:top w:val="single" w:sz="4" w:space="0" w:color="auto"/>
            </w:tcBorders>
          </w:tcPr>
          <w:p w14:paraId="1F9B7D7B" w14:textId="77777777" w:rsidR="008F2AC6" w:rsidRPr="00B44B19" w:rsidRDefault="008F2AC6" w:rsidP="00163D35">
            <w:pPr>
              <w:jc w:val="right"/>
              <w:rPr>
                <w:rFonts w:eastAsia="Times New Roman" w:cs="Times New Roman"/>
                <w:b/>
                <w:iCs/>
                <w:noProof/>
                <w:sz w:val="20"/>
                <w:szCs w:val="20"/>
              </w:rPr>
            </w:pPr>
            <w:r w:rsidRPr="00B44B19">
              <w:rPr>
                <w:rFonts w:cs="Times New Roman"/>
                <w:sz w:val="20"/>
                <w:szCs w:val="20"/>
              </w:rPr>
              <w:t>306 777</w:t>
            </w:r>
            <w:r w:rsidR="00163D35" w:rsidRPr="00B44B19">
              <w:rPr>
                <w:rFonts w:cs="Times New Roman"/>
                <w:sz w:val="20"/>
                <w:szCs w:val="20"/>
              </w:rPr>
              <w:t> </w:t>
            </w:r>
            <w:r w:rsidRPr="00B44B19">
              <w:rPr>
                <w:rFonts w:cs="Times New Roman"/>
                <w:sz w:val="20"/>
                <w:szCs w:val="20"/>
              </w:rPr>
              <w:t>81</w:t>
            </w:r>
            <w:r w:rsidR="00C60A41" w:rsidRPr="00B44B19">
              <w:rPr>
                <w:rFonts w:cs="Times New Roman"/>
                <w:sz w:val="20"/>
                <w:szCs w:val="20"/>
              </w:rPr>
              <w:t>9</w:t>
            </w:r>
            <w:r w:rsidR="00163D35" w:rsidRPr="00B44B19">
              <w:rPr>
                <w:rFonts w:cs="Times New Roman"/>
                <w:sz w:val="20"/>
                <w:szCs w:val="20"/>
              </w:rPr>
              <w:t>,00</w:t>
            </w:r>
          </w:p>
        </w:tc>
      </w:tr>
    </w:tbl>
    <w:p w14:paraId="78D15BC1" w14:textId="77777777" w:rsidR="00603ED4" w:rsidRPr="00B44B19" w:rsidRDefault="00603ED4" w:rsidP="004939F6">
      <w:pPr>
        <w:spacing w:after="0" w:line="240" w:lineRule="auto"/>
        <w:rPr>
          <w:rFonts w:eastAsia="Times New Roman" w:cs="Times New Roman"/>
          <w:iCs/>
          <w:noProof/>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603ED4" w:rsidRPr="00B44B19" w14:paraId="03C0060B" w14:textId="77777777" w:rsidTr="001C6FEB">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B9FA32" w14:textId="77777777" w:rsidR="00603ED4" w:rsidRPr="00B44B19" w:rsidRDefault="00603ED4" w:rsidP="001C6FEB">
            <w:pPr>
              <w:rPr>
                <w:rFonts w:eastAsia="Times New Roman" w:cs="Times New Roman"/>
                <w:b/>
                <w:iCs/>
                <w:noProof/>
                <w:sz w:val="20"/>
              </w:rPr>
            </w:pPr>
            <w:r w:rsidRPr="00B44B19">
              <w:rPr>
                <w:rFonts w:cs="Times New Roman"/>
                <w:b/>
                <w:noProof/>
                <w:sz w:val="20"/>
              </w:rPr>
              <w:t xml:space="preserve">6 lentelė. 3 matmuo. </w:t>
            </w:r>
            <w:r w:rsidR="0083408B" w:rsidRPr="00B44B19">
              <w:rPr>
                <w:rFonts w:cs="Times New Roman"/>
                <w:b/>
                <w:noProof/>
                <w:sz w:val="20"/>
              </w:rPr>
              <w:t>Teritorinis įgyvendinimo mechanizmas ir pagrindinė teritorinė sritis</w:t>
            </w:r>
          </w:p>
        </w:tc>
      </w:tr>
      <w:tr w:rsidR="00603ED4" w:rsidRPr="00B44B19" w14:paraId="68696AB6" w14:textId="77777777" w:rsidTr="00163D3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B4781C"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70B924"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7B745F"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2C0F44"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528ABA"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A0F87C" w14:textId="77777777" w:rsidR="00603ED4" w:rsidRPr="00B44B19" w:rsidRDefault="00603ED4" w:rsidP="001C6FEB">
            <w:pPr>
              <w:jc w:val="center"/>
              <w:rPr>
                <w:rFonts w:eastAsia="Times New Roman" w:cs="Times New Roman"/>
                <w:b/>
                <w:iCs/>
                <w:noProof/>
                <w:sz w:val="20"/>
              </w:rPr>
            </w:pPr>
            <w:r w:rsidRPr="00B44B19">
              <w:rPr>
                <w:rFonts w:cs="Times New Roman"/>
                <w:b/>
                <w:noProof/>
                <w:sz w:val="20"/>
              </w:rPr>
              <w:t>Suma (EUR)</w:t>
            </w:r>
          </w:p>
        </w:tc>
      </w:tr>
      <w:tr w:rsidR="008F2AC6" w:rsidRPr="00B44B19" w14:paraId="08B24FF2" w14:textId="77777777" w:rsidTr="00163D35">
        <w:tc>
          <w:tcPr>
            <w:tcW w:w="1101" w:type="dxa"/>
            <w:vMerge w:val="restart"/>
            <w:tcBorders>
              <w:top w:val="single" w:sz="12" w:space="0" w:color="auto"/>
            </w:tcBorders>
          </w:tcPr>
          <w:p w14:paraId="2F2FB4C4" w14:textId="77777777" w:rsidR="008F2AC6" w:rsidRPr="00B44B19" w:rsidRDefault="008F2AC6" w:rsidP="001C6FEB">
            <w:pPr>
              <w:jc w:val="center"/>
              <w:rPr>
                <w:rFonts w:eastAsia="Times New Roman" w:cs="Times New Roman"/>
                <w:bCs/>
                <w:iCs/>
                <w:noProof/>
                <w:sz w:val="20"/>
                <w:szCs w:val="20"/>
              </w:rPr>
            </w:pPr>
            <w:r w:rsidRPr="00B44B19">
              <w:rPr>
                <w:rFonts w:eastAsia="Times New Roman" w:cs="Times New Roman"/>
                <w:bCs/>
                <w:iCs/>
                <w:noProof/>
                <w:sz w:val="20"/>
                <w:szCs w:val="20"/>
              </w:rPr>
              <w:t>5</w:t>
            </w:r>
          </w:p>
        </w:tc>
        <w:tc>
          <w:tcPr>
            <w:tcW w:w="850" w:type="dxa"/>
            <w:vMerge w:val="restart"/>
            <w:tcBorders>
              <w:top w:val="single" w:sz="12" w:space="0" w:color="auto"/>
            </w:tcBorders>
          </w:tcPr>
          <w:p w14:paraId="54368537" w14:textId="77777777" w:rsidR="008F2AC6" w:rsidRPr="00B44B19" w:rsidRDefault="008F2AC6" w:rsidP="001C6FEB">
            <w:pPr>
              <w:jc w:val="center"/>
              <w:rPr>
                <w:rFonts w:eastAsia="Times New Roman" w:cs="Times New Roman"/>
                <w:b/>
                <w:iCs/>
                <w:noProof/>
                <w:sz w:val="20"/>
                <w:szCs w:val="20"/>
              </w:rPr>
            </w:pPr>
            <w:r w:rsidRPr="00B44B19">
              <w:rPr>
                <w:rFonts w:cs="Times New Roman"/>
                <w:noProof/>
                <w:sz w:val="20"/>
                <w:szCs w:val="20"/>
              </w:rPr>
              <w:t>ERPF</w:t>
            </w:r>
          </w:p>
        </w:tc>
        <w:tc>
          <w:tcPr>
            <w:tcW w:w="1701" w:type="dxa"/>
            <w:tcBorders>
              <w:top w:val="single" w:sz="12" w:space="0" w:color="auto"/>
              <w:bottom w:val="single" w:sz="4" w:space="0" w:color="auto"/>
            </w:tcBorders>
          </w:tcPr>
          <w:p w14:paraId="4AA169CB" w14:textId="77777777" w:rsidR="008F2AC6" w:rsidRPr="00B44B19" w:rsidRDefault="008F2AC6" w:rsidP="001C6FEB">
            <w:pPr>
              <w:rPr>
                <w:rFonts w:eastAsia="Times New Roman" w:cs="Times New Roman"/>
                <w:b/>
                <w:iCs/>
                <w:noProof/>
                <w:sz w:val="20"/>
                <w:szCs w:val="20"/>
              </w:rPr>
            </w:pPr>
            <w:r w:rsidRPr="00B44B19">
              <w:rPr>
                <w:rFonts w:eastAsia="Calibri" w:cs="Times New Roman"/>
                <w:sz w:val="20"/>
                <w:szCs w:val="20"/>
                <w:lang w:eastAsia="lt-LT" w:bidi="lt-LT"/>
              </w:rPr>
              <w:t>Sostinės regionas</w:t>
            </w:r>
          </w:p>
        </w:tc>
        <w:tc>
          <w:tcPr>
            <w:tcW w:w="1134" w:type="dxa"/>
            <w:vMerge w:val="restart"/>
            <w:tcBorders>
              <w:top w:val="single" w:sz="12" w:space="0" w:color="auto"/>
            </w:tcBorders>
          </w:tcPr>
          <w:p w14:paraId="2D647048" w14:textId="77777777" w:rsidR="008F2AC6" w:rsidRPr="00B44B19" w:rsidRDefault="008F2AC6" w:rsidP="001C6FEB">
            <w:pPr>
              <w:jc w:val="center"/>
              <w:rPr>
                <w:rFonts w:eastAsia="Times New Roman" w:cs="Times New Roman"/>
                <w:bCs/>
                <w:iCs/>
                <w:noProof/>
                <w:sz w:val="20"/>
                <w:szCs w:val="20"/>
              </w:rPr>
            </w:pPr>
            <w:r w:rsidRPr="00B44B19">
              <w:rPr>
                <w:rFonts w:eastAsia="Times New Roman" w:cs="Times New Roman"/>
                <w:bCs/>
                <w:iCs/>
                <w:noProof/>
                <w:sz w:val="20"/>
                <w:szCs w:val="20"/>
              </w:rPr>
              <w:t>5.2</w:t>
            </w:r>
          </w:p>
        </w:tc>
        <w:tc>
          <w:tcPr>
            <w:tcW w:w="3454" w:type="dxa"/>
            <w:vMerge w:val="restart"/>
            <w:tcBorders>
              <w:top w:val="single" w:sz="12" w:space="0" w:color="auto"/>
            </w:tcBorders>
          </w:tcPr>
          <w:p w14:paraId="01344457" w14:textId="77777777" w:rsidR="008F2AC6" w:rsidRPr="00B44B19" w:rsidRDefault="008F2AC6" w:rsidP="00163D35">
            <w:pPr>
              <w:rPr>
                <w:rFonts w:eastAsia="Times New Roman" w:cs="Times New Roman"/>
                <w:bCs/>
                <w:iCs/>
                <w:noProof/>
                <w:sz w:val="20"/>
                <w:szCs w:val="20"/>
              </w:rPr>
            </w:pPr>
            <w:r w:rsidRPr="00B44B19">
              <w:rPr>
                <w:rFonts w:eastAsia="Times New Roman" w:cs="Times New Roman"/>
                <w:bCs/>
                <w:iCs/>
                <w:noProof/>
                <w:sz w:val="20"/>
                <w:szCs w:val="20"/>
              </w:rPr>
              <w:t>08</w:t>
            </w:r>
            <w:r w:rsidR="00163D35" w:rsidRPr="00B44B19">
              <w:rPr>
                <w:rFonts w:eastAsia="Times New Roman" w:cs="Times New Roman"/>
                <w:bCs/>
                <w:iCs/>
                <w:noProof/>
                <w:sz w:val="20"/>
                <w:szCs w:val="20"/>
              </w:rPr>
              <w:t xml:space="preserve"> </w:t>
            </w:r>
            <w:r w:rsidR="00D43A78" w:rsidRPr="00B44B19">
              <w:rPr>
                <w:rFonts w:eastAsia="Times New Roman" w:cs="Times New Roman"/>
                <w:bCs/>
                <w:iCs/>
                <w:noProof/>
                <w:sz w:val="20"/>
                <w:szCs w:val="20"/>
              </w:rPr>
              <w:t>–</w:t>
            </w:r>
            <w:r w:rsidR="00163D35" w:rsidRPr="00B44B19">
              <w:rPr>
                <w:rFonts w:eastAsia="Times New Roman" w:cs="Times New Roman"/>
                <w:bCs/>
                <w:iCs/>
                <w:noProof/>
                <w:sz w:val="20"/>
                <w:szCs w:val="20"/>
              </w:rPr>
              <w:t xml:space="preserve"> Kitų rūšių tikslinės teritorijos</w:t>
            </w:r>
          </w:p>
        </w:tc>
        <w:tc>
          <w:tcPr>
            <w:tcW w:w="1649" w:type="dxa"/>
            <w:tcBorders>
              <w:top w:val="single" w:sz="12" w:space="0" w:color="auto"/>
              <w:bottom w:val="single" w:sz="4" w:space="0" w:color="auto"/>
            </w:tcBorders>
          </w:tcPr>
          <w:p w14:paraId="4D2E6A56" w14:textId="77777777" w:rsidR="008F2AC6" w:rsidRPr="00B44B19" w:rsidRDefault="008F2AC6" w:rsidP="00163D35">
            <w:pPr>
              <w:jc w:val="right"/>
              <w:rPr>
                <w:rFonts w:eastAsia="Times New Roman" w:cs="Times New Roman"/>
                <w:bCs/>
                <w:iCs/>
                <w:noProof/>
                <w:sz w:val="20"/>
                <w:szCs w:val="20"/>
              </w:rPr>
            </w:pPr>
            <w:r w:rsidRPr="00B44B19">
              <w:rPr>
                <w:rFonts w:cs="Times New Roman"/>
                <w:sz w:val="20"/>
                <w:szCs w:val="20"/>
              </w:rPr>
              <w:t>34 945</w:t>
            </w:r>
            <w:r w:rsidR="00163D35" w:rsidRPr="00B44B19">
              <w:rPr>
                <w:rFonts w:cs="Times New Roman"/>
                <w:sz w:val="20"/>
                <w:szCs w:val="20"/>
              </w:rPr>
              <w:t> </w:t>
            </w:r>
            <w:r w:rsidRPr="00B44B19">
              <w:rPr>
                <w:rFonts w:cs="Times New Roman"/>
                <w:sz w:val="20"/>
                <w:szCs w:val="20"/>
              </w:rPr>
              <w:t>041</w:t>
            </w:r>
            <w:r w:rsidR="00163D35" w:rsidRPr="00B44B19">
              <w:rPr>
                <w:rFonts w:cs="Times New Roman"/>
                <w:sz w:val="20"/>
                <w:szCs w:val="20"/>
              </w:rPr>
              <w:t>,00</w:t>
            </w:r>
          </w:p>
        </w:tc>
      </w:tr>
      <w:tr w:rsidR="008F2AC6" w:rsidRPr="00B44B19" w14:paraId="01B4A876" w14:textId="77777777" w:rsidTr="00163D35">
        <w:tc>
          <w:tcPr>
            <w:tcW w:w="1101" w:type="dxa"/>
            <w:vMerge/>
          </w:tcPr>
          <w:p w14:paraId="3BB1A8AB" w14:textId="77777777" w:rsidR="008F2AC6" w:rsidRPr="00B44B19" w:rsidRDefault="008F2AC6" w:rsidP="001C6FEB">
            <w:pPr>
              <w:rPr>
                <w:rFonts w:eastAsia="Times New Roman" w:cs="Times New Roman"/>
                <w:bCs/>
                <w:iCs/>
                <w:noProof/>
                <w:sz w:val="20"/>
                <w:szCs w:val="20"/>
              </w:rPr>
            </w:pPr>
          </w:p>
        </w:tc>
        <w:tc>
          <w:tcPr>
            <w:tcW w:w="850" w:type="dxa"/>
            <w:vMerge/>
          </w:tcPr>
          <w:p w14:paraId="29A072FA" w14:textId="77777777" w:rsidR="008F2AC6" w:rsidRPr="00B44B19" w:rsidRDefault="008F2AC6" w:rsidP="001C6FEB">
            <w:pPr>
              <w:rPr>
                <w:rFonts w:eastAsia="Times New Roman" w:cs="Times New Roman"/>
                <w:b/>
                <w:iCs/>
                <w:noProof/>
                <w:sz w:val="20"/>
                <w:szCs w:val="20"/>
              </w:rPr>
            </w:pPr>
          </w:p>
        </w:tc>
        <w:tc>
          <w:tcPr>
            <w:tcW w:w="1701" w:type="dxa"/>
            <w:tcBorders>
              <w:top w:val="single" w:sz="4" w:space="0" w:color="auto"/>
              <w:bottom w:val="single" w:sz="4" w:space="0" w:color="auto"/>
            </w:tcBorders>
          </w:tcPr>
          <w:p w14:paraId="0B67A5E8" w14:textId="77777777" w:rsidR="008F2AC6" w:rsidRPr="00B44B19" w:rsidRDefault="008F2AC6" w:rsidP="001C6FEB">
            <w:pPr>
              <w:rPr>
                <w:rFonts w:eastAsia="Times New Roman" w:cs="Times New Roman"/>
                <w:b/>
                <w:iCs/>
                <w:noProof/>
                <w:sz w:val="20"/>
                <w:szCs w:val="20"/>
              </w:rPr>
            </w:pPr>
            <w:r w:rsidRPr="00B44B19">
              <w:rPr>
                <w:rFonts w:eastAsia="Calibri" w:cs="Times New Roman"/>
                <w:sz w:val="20"/>
                <w:szCs w:val="20"/>
                <w:lang w:eastAsia="lt-LT" w:bidi="lt-LT"/>
              </w:rPr>
              <w:t>VVL regionas</w:t>
            </w:r>
          </w:p>
        </w:tc>
        <w:tc>
          <w:tcPr>
            <w:tcW w:w="1134" w:type="dxa"/>
            <w:vMerge/>
          </w:tcPr>
          <w:p w14:paraId="22547AE4" w14:textId="77777777" w:rsidR="008F2AC6" w:rsidRPr="00B44B19" w:rsidRDefault="008F2AC6" w:rsidP="001C6FEB">
            <w:pPr>
              <w:rPr>
                <w:rFonts w:eastAsia="Times New Roman" w:cs="Times New Roman"/>
                <w:b/>
                <w:iCs/>
                <w:noProof/>
                <w:sz w:val="20"/>
                <w:szCs w:val="20"/>
              </w:rPr>
            </w:pPr>
          </w:p>
        </w:tc>
        <w:tc>
          <w:tcPr>
            <w:tcW w:w="3454" w:type="dxa"/>
            <w:vMerge/>
            <w:tcBorders>
              <w:bottom w:val="single" w:sz="4" w:space="0" w:color="auto"/>
            </w:tcBorders>
          </w:tcPr>
          <w:p w14:paraId="1DFB4CDB" w14:textId="77777777" w:rsidR="008F2AC6" w:rsidRPr="00B44B19" w:rsidRDefault="008F2AC6" w:rsidP="001C6FEB">
            <w:pPr>
              <w:jc w:val="center"/>
              <w:rPr>
                <w:rFonts w:eastAsia="Times New Roman" w:cs="Times New Roman"/>
                <w:bCs/>
                <w:iCs/>
                <w:noProof/>
                <w:sz w:val="20"/>
                <w:szCs w:val="20"/>
              </w:rPr>
            </w:pPr>
          </w:p>
        </w:tc>
        <w:tc>
          <w:tcPr>
            <w:tcW w:w="1649" w:type="dxa"/>
            <w:tcBorders>
              <w:top w:val="single" w:sz="4" w:space="0" w:color="auto"/>
            </w:tcBorders>
          </w:tcPr>
          <w:p w14:paraId="4CC020BC" w14:textId="77777777" w:rsidR="008F2AC6" w:rsidRPr="00B44B19" w:rsidRDefault="008F2AC6" w:rsidP="00163D35">
            <w:pPr>
              <w:jc w:val="right"/>
              <w:rPr>
                <w:rFonts w:eastAsia="Times New Roman" w:cs="Times New Roman"/>
                <w:bCs/>
                <w:iCs/>
                <w:noProof/>
                <w:sz w:val="20"/>
                <w:szCs w:val="20"/>
              </w:rPr>
            </w:pPr>
            <w:r w:rsidRPr="00B44B19">
              <w:rPr>
                <w:rFonts w:cs="Times New Roman"/>
                <w:sz w:val="20"/>
                <w:szCs w:val="20"/>
              </w:rPr>
              <w:t>306 777</w:t>
            </w:r>
            <w:r w:rsidR="00163D35" w:rsidRPr="00B44B19">
              <w:rPr>
                <w:rFonts w:cs="Times New Roman"/>
                <w:sz w:val="20"/>
                <w:szCs w:val="20"/>
              </w:rPr>
              <w:t> </w:t>
            </w:r>
            <w:r w:rsidRPr="00B44B19">
              <w:rPr>
                <w:rFonts w:cs="Times New Roman"/>
                <w:sz w:val="20"/>
                <w:szCs w:val="20"/>
              </w:rPr>
              <w:t>81</w:t>
            </w:r>
            <w:r w:rsidR="00C60A41" w:rsidRPr="00B44B19">
              <w:rPr>
                <w:rFonts w:cs="Times New Roman"/>
                <w:sz w:val="20"/>
                <w:szCs w:val="20"/>
              </w:rPr>
              <w:t>9</w:t>
            </w:r>
            <w:r w:rsidR="00163D35" w:rsidRPr="00B44B19">
              <w:rPr>
                <w:rFonts w:cs="Times New Roman"/>
                <w:sz w:val="20"/>
                <w:szCs w:val="20"/>
              </w:rPr>
              <w:t>,00</w:t>
            </w:r>
          </w:p>
        </w:tc>
      </w:tr>
    </w:tbl>
    <w:p w14:paraId="0AAF7A62" w14:textId="77777777" w:rsidR="00834F28" w:rsidRPr="00B44B19" w:rsidRDefault="00834F28" w:rsidP="005411D8">
      <w:pPr>
        <w:spacing w:after="0"/>
        <w:rPr>
          <w:rFonts w:cs="Times New Roman"/>
          <w:bCs/>
          <w:sz w:val="20"/>
          <w:szCs w:val="20"/>
        </w:rPr>
      </w:pPr>
    </w:p>
    <w:tbl>
      <w:tblPr>
        <w:tblStyle w:val="Lentelstinklelis"/>
        <w:tblW w:w="9889" w:type="dxa"/>
        <w:tblLook w:val="04A0" w:firstRow="1" w:lastRow="0" w:firstColumn="1" w:lastColumn="0" w:noHBand="0" w:noVBand="1"/>
      </w:tblPr>
      <w:tblGrid>
        <w:gridCol w:w="1101"/>
        <w:gridCol w:w="850"/>
        <w:gridCol w:w="1701"/>
        <w:gridCol w:w="1134"/>
        <w:gridCol w:w="3454"/>
        <w:gridCol w:w="1649"/>
      </w:tblGrid>
      <w:tr w:rsidR="00AD6710" w:rsidRPr="00B44B19" w14:paraId="79969F8F" w14:textId="77777777" w:rsidTr="00DA3820">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8F6A7F9" w14:textId="77777777" w:rsidR="00AD6710" w:rsidRPr="00B44B19" w:rsidRDefault="00834F28" w:rsidP="00DA3820">
            <w:pPr>
              <w:rPr>
                <w:rFonts w:eastAsia="Times New Roman" w:cs="Times New Roman"/>
                <w:b/>
                <w:iCs/>
                <w:noProof/>
                <w:sz w:val="20"/>
                <w:szCs w:val="20"/>
              </w:rPr>
            </w:pPr>
            <w:r w:rsidRPr="00B44B19">
              <w:rPr>
                <w:rFonts w:cs="Times New Roman"/>
                <w:b/>
                <w:noProof/>
                <w:sz w:val="20"/>
                <w:szCs w:val="20"/>
              </w:rPr>
              <w:t>8</w:t>
            </w:r>
            <w:r w:rsidR="00AD6710" w:rsidRPr="00B44B19">
              <w:rPr>
                <w:rFonts w:cs="Times New Roman"/>
                <w:b/>
                <w:noProof/>
                <w:sz w:val="20"/>
                <w:szCs w:val="20"/>
              </w:rPr>
              <w:t xml:space="preserve"> lentelė. 7 matmuo. </w:t>
            </w:r>
            <w:r w:rsidR="00AD6710" w:rsidRPr="00B44B19">
              <w:rPr>
                <w:rFonts w:eastAsia="Calibri" w:cs="Times New Roman"/>
                <w:b/>
                <w:sz w:val="20"/>
                <w:szCs w:val="20"/>
              </w:rPr>
              <w:t>ESF+, ERPF, SF ir TPF lyčių lygybės matmuo</w:t>
            </w:r>
          </w:p>
        </w:tc>
      </w:tr>
      <w:tr w:rsidR="00AD6710" w:rsidRPr="00B44B19" w14:paraId="25E5A186" w14:textId="77777777" w:rsidTr="00351582">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743707" w14:textId="77777777" w:rsidR="00AD6710" w:rsidRPr="00B44B19" w:rsidRDefault="00AD6710" w:rsidP="00DA3820">
            <w:pPr>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FC0B6" w14:textId="77777777" w:rsidR="00AD6710" w:rsidRPr="00B44B19" w:rsidRDefault="00AD6710" w:rsidP="00DA3820">
            <w:pPr>
              <w:jc w:val="center"/>
              <w:rPr>
                <w:rFonts w:eastAsia="Times New Roman" w:cs="Times New Roman"/>
                <w:b/>
                <w:iCs/>
                <w:noProof/>
                <w:sz w:val="20"/>
                <w:szCs w:val="20"/>
              </w:rPr>
            </w:pPr>
            <w:r w:rsidRPr="00B44B19">
              <w:rPr>
                <w:rFonts w:cs="Times New Roman"/>
                <w:b/>
                <w:noProof/>
                <w:sz w:val="20"/>
                <w:szCs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0F6A8" w14:textId="77777777" w:rsidR="00AD6710" w:rsidRPr="00B44B19" w:rsidRDefault="00AD6710" w:rsidP="00DA3820">
            <w:pPr>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43847E" w14:textId="77777777" w:rsidR="00AD6710" w:rsidRPr="00B44B19" w:rsidRDefault="00AD6710" w:rsidP="00DA3820">
            <w:pPr>
              <w:jc w:val="center"/>
              <w:rPr>
                <w:rFonts w:eastAsia="Times New Roman" w:cs="Times New Roman"/>
                <w:b/>
                <w:iCs/>
                <w:noProof/>
                <w:sz w:val="20"/>
                <w:szCs w:val="20"/>
              </w:rPr>
            </w:pPr>
            <w:r w:rsidRPr="00B44B19">
              <w:rPr>
                <w:rFonts w:cs="Times New Roman"/>
                <w:b/>
                <w:noProof/>
                <w:sz w:val="20"/>
                <w:szCs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3E9A1B" w14:textId="77777777" w:rsidR="00AD6710" w:rsidRPr="00B44B19" w:rsidRDefault="00AD6710" w:rsidP="00DA3820">
            <w:pPr>
              <w:jc w:val="center"/>
              <w:rPr>
                <w:rFonts w:eastAsia="Times New Roman" w:cs="Times New Roman"/>
                <w:b/>
                <w:iCs/>
                <w:noProof/>
                <w:sz w:val="20"/>
                <w:szCs w:val="20"/>
              </w:rPr>
            </w:pPr>
            <w:r w:rsidRPr="00B44B19">
              <w:rPr>
                <w:rFonts w:cs="Times New Roman"/>
                <w:b/>
                <w:noProof/>
                <w:sz w:val="20"/>
                <w:szCs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AAF0D3" w14:textId="77777777" w:rsidR="00AD6710" w:rsidRPr="00B44B19" w:rsidRDefault="00AD6710" w:rsidP="00DA3820">
            <w:pPr>
              <w:jc w:val="center"/>
              <w:rPr>
                <w:rFonts w:eastAsia="Times New Roman" w:cs="Times New Roman"/>
                <w:b/>
                <w:iCs/>
                <w:noProof/>
                <w:sz w:val="20"/>
                <w:szCs w:val="20"/>
              </w:rPr>
            </w:pPr>
            <w:r w:rsidRPr="00B44B19">
              <w:rPr>
                <w:rFonts w:cs="Times New Roman"/>
                <w:b/>
                <w:noProof/>
                <w:sz w:val="20"/>
                <w:szCs w:val="20"/>
              </w:rPr>
              <w:t>Suma (EUR)</w:t>
            </w:r>
          </w:p>
        </w:tc>
      </w:tr>
      <w:tr w:rsidR="00AD6710" w:rsidRPr="00B44B19" w14:paraId="7D140FE4" w14:textId="77777777" w:rsidTr="00351582">
        <w:tc>
          <w:tcPr>
            <w:tcW w:w="1101" w:type="dxa"/>
            <w:vMerge w:val="restart"/>
            <w:tcBorders>
              <w:top w:val="single" w:sz="12" w:space="0" w:color="auto"/>
            </w:tcBorders>
          </w:tcPr>
          <w:p w14:paraId="75726778" w14:textId="77777777" w:rsidR="00AD6710" w:rsidRPr="00B44B19" w:rsidRDefault="00834F28" w:rsidP="00DA3820">
            <w:pPr>
              <w:jc w:val="center"/>
              <w:rPr>
                <w:rFonts w:eastAsia="Times New Roman" w:cs="Times New Roman"/>
                <w:iCs/>
                <w:noProof/>
                <w:sz w:val="20"/>
                <w:szCs w:val="20"/>
              </w:rPr>
            </w:pPr>
            <w:r w:rsidRPr="00B44B19">
              <w:rPr>
                <w:rFonts w:eastAsia="Times New Roman" w:cs="Times New Roman"/>
                <w:bCs/>
                <w:iCs/>
                <w:noProof/>
                <w:sz w:val="20"/>
                <w:szCs w:val="20"/>
              </w:rPr>
              <w:t>5</w:t>
            </w:r>
          </w:p>
        </w:tc>
        <w:tc>
          <w:tcPr>
            <w:tcW w:w="850" w:type="dxa"/>
            <w:vMerge w:val="restart"/>
            <w:tcBorders>
              <w:top w:val="single" w:sz="12" w:space="0" w:color="auto"/>
            </w:tcBorders>
          </w:tcPr>
          <w:p w14:paraId="40F865F9" w14:textId="77777777" w:rsidR="00AD6710" w:rsidRPr="00B44B19" w:rsidRDefault="00834F28" w:rsidP="00DA3820">
            <w:pPr>
              <w:jc w:val="center"/>
              <w:rPr>
                <w:rFonts w:eastAsia="Times New Roman" w:cs="Times New Roman"/>
                <w:iCs/>
                <w:noProof/>
                <w:sz w:val="20"/>
                <w:szCs w:val="20"/>
              </w:rPr>
            </w:pPr>
            <w:r w:rsidRPr="00B44B19">
              <w:rPr>
                <w:rFonts w:eastAsia="Times New Roman" w:cs="Times New Roman"/>
                <w:noProof/>
                <w:sz w:val="20"/>
                <w:szCs w:val="20"/>
              </w:rPr>
              <w:t>ERPF</w:t>
            </w:r>
          </w:p>
        </w:tc>
        <w:tc>
          <w:tcPr>
            <w:tcW w:w="1701" w:type="dxa"/>
            <w:tcBorders>
              <w:top w:val="single" w:sz="12" w:space="0" w:color="auto"/>
              <w:bottom w:val="single" w:sz="4" w:space="0" w:color="auto"/>
            </w:tcBorders>
          </w:tcPr>
          <w:p w14:paraId="146CD335" w14:textId="77777777" w:rsidR="00AD6710" w:rsidRPr="00B44B19" w:rsidRDefault="00834F28" w:rsidP="00DA3820">
            <w:pPr>
              <w:rPr>
                <w:rFonts w:eastAsia="Times New Roman" w:cs="Times New Roman"/>
                <w:iCs/>
                <w:noProof/>
                <w:sz w:val="20"/>
                <w:szCs w:val="20"/>
              </w:rPr>
            </w:pPr>
            <w:r w:rsidRPr="00B44B19">
              <w:rPr>
                <w:rFonts w:eastAsia="Times New Roman" w:cs="Times New Roman"/>
                <w:sz w:val="20"/>
                <w:szCs w:val="20"/>
                <w:lang w:eastAsia="lt-LT"/>
              </w:rPr>
              <w:t>Sostinės regionas</w:t>
            </w:r>
          </w:p>
        </w:tc>
        <w:tc>
          <w:tcPr>
            <w:tcW w:w="1134" w:type="dxa"/>
            <w:vMerge w:val="restart"/>
            <w:tcBorders>
              <w:top w:val="single" w:sz="12" w:space="0" w:color="auto"/>
            </w:tcBorders>
          </w:tcPr>
          <w:p w14:paraId="2DEF5240" w14:textId="77777777" w:rsidR="00AD6710" w:rsidRPr="00B44B19" w:rsidRDefault="00834F28" w:rsidP="00DA3820">
            <w:pPr>
              <w:jc w:val="center"/>
              <w:rPr>
                <w:rFonts w:eastAsia="Times New Roman" w:cs="Times New Roman"/>
                <w:iCs/>
                <w:noProof/>
                <w:sz w:val="20"/>
                <w:szCs w:val="20"/>
              </w:rPr>
            </w:pPr>
            <w:r w:rsidRPr="00B44B19">
              <w:rPr>
                <w:rFonts w:eastAsia="Times New Roman" w:cs="Times New Roman"/>
                <w:iCs/>
                <w:noProof/>
                <w:sz w:val="20"/>
                <w:szCs w:val="20"/>
              </w:rPr>
              <w:t>5.2</w:t>
            </w:r>
          </w:p>
        </w:tc>
        <w:tc>
          <w:tcPr>
            <w:tcW w:w="3454" w:type="dxa"/>
            <w:vMerge w:val="restart"/>
            <w:tcBorders>
              <w:top w:val="single" w:sz="12" w:space="0" w:color="auto"/>
            </w:tcBorders>
          </w:tcPr>
          <w:p w14:paraId="51332B5A" w14:textId="77777777" w:rsidR="00AD6710" w:rsidRPr="00B44B19" w:rsidRDefault="005411D8" w:rsidP="00167E6C">
            <w:pPr>
              <w:rPr>
                <w:rFonts w:eastAsia="Times New Roman" w:cs="Times New Roman"/>
                <w:iCs/>
                <w:noProof/>
                <w:sz w:val="20"/>
                <w:szCs w:val="20"/>
              </w:rPr>
            </w:pPr>
            <w:r w:rsidRPr="00B44B19">
              <w:rPr>
                <w:rFonts w:eastAsia="Times New Roman" w:cs="Times New Roman"/>
                <w:iCs/>
                <w:noProof/>
                <w:sz w:val="20"/>
                <w:szCs w:val="20"/>
              </w:rPr>
              <w:t xml:space="preserve">03 </w:t>
            </w:r>
            <w:r w:rsidR="00D43A78" w:rsidRPr="00B44B19">
              <w:rPr>
                <w:rFonts w:eastAsia="Times New Roman" w:cs="Times New Roman"/>
                <w:iCs/>
                <w:noProof/>
                <w:sz w:val="20"/>
                <w:szCs w:val="20"/>
              </w:rPr>
              <w:t>–</w:t>
            </w:r>
            <w:r w:rsidRPr="00B44B19">
              <w:rPr>
                <w:rFonts w:eastAsia="Times New Roman" w:cs="Times New Roman"/>
                <w:iCs/>
                <w:noProof/>
                <w:sz w:val="20"/>
                <w:szCs w:val="20"/>
              </w:rPr>
              <w:t xml:space="preserve"> Neutralumas lyties požiūriu</w:t>
            </w:r>
          </w:p>
        </w:tc>
        <w:tc>
          <w:tcPr>
            <w:tcW w:w="1649" w:type="dxa"/>
            <w:tcBorders>
              <w:top w:val="single" w:sz="12" w:space="0" w:color="auto"/>
              <w:bottom w:val="single" w:sz="4" w:space="0" w:color="auto"/>
            </w:tcBorders>
          </w:tcPr>
          <w:p w14:paraId="33130E30" w14:textId="77777777" w:rsidR="00AD6710" w:rsidRPr="00B44B19" w:rsidRDefault="00834F28" w:rsidP="0083408B">
            <w:pPr>
              <w:jc w:val="right"/>
              <w:rPr>
                <w:rFonts w:eastAsia="Times New Roman" w:cs="Times New Roman"/>
                <w:iCs/>
                <w:noProof/>
                <w:sz w:val="20"/>
                <w:szCs w:val="20"/>
              </w:rPr>
            </w:pPr>
            <w:r w:rsidRPr="00B44B19">
              <w:rPr>
                <w:rFonts w:eastAsia="Times New Roman" w:cs="Times New Roman"/>
                <w:sz w:val="20"/>
                <w:szCs w:val="20"/>
              </w:rPr>
              <w:t>34 945</w:t>
            </w:r>
            <w:r w:rsidR="0083408B" w:rsidRPr="00B44B19">
              <w:rPr>
                <w:rFonts w:eastAsia="Times New Roman" w:cs="Times New Roman"/>
                <w:sz w:val="20"/>
                <w:szCs w:val="20"/>
              </w:rPr>
              <w:t> </w:t>
            </w:r>
            <w:r w:rsidRPr="00B44B19">
              <w:rPr>
                <w:rFonts w:eastAsia="Times New Roman" w:cs="Times New Roman"/>
                <w:sz w:val="20"/>
                <w:szCs w:val="20"/>
              </w:rPr>
              <w:t>041</w:t>
            </w:r>
            <w:r w:rsidR="0083408B" w:rsidRPr="00B44B19">
              <w:rPr>
                <w:rFonts w:eastAsia="Times New Roman" w:cs="Times New Roman"/>
                <w:sz w:val="20"/>
                <w:szCs w:val="20"/>
              </w:rPr>
              <w:t>,00</w:t>
            </w:r>
            <w:r w:rsidRPr="00B44B19">
              <w:rPr>
                <w:rFonts w:eastAsia="Times New Roman" w:cs="Times New Roman"/>
                <w:sz w:val="20"/>
                <w:szCs w:val="20"/>
              </w:rPr>
              <w:t xml:space="preserve">  </w:t>
            </w:r>
          </w:p>
        </w:tc>
      </w:tr>
      <w:tr w:rsidR="00AD6710" w:rsidRPr="00B44B19" w14:paraId="5FF3A0E2" w14:textId="77777777" w:rsidTr="00351582">
        <w:tc>
          <w:tcPr>
            <w:tcW w:w="1101" w:type="dxa"/>
            <w:vMerge/>
          </w:tcPr>
          <w:p w14:paraId="05B29079" w14:textId="77777777" w:rsidR="00AD6710" w:rsidRPr="00B44B19" w:rsidRDefault="00AD6710" w:rsidP="00DA3820">
            <w:pPr>
              <w:jc w:val="center"/>
              <w:rPr>
                <w:rFonts w:eastAsia="Times New Roman" w:cs="Times New Roman"/>
                <w:iCs/>
                <w:noProof/>
                <w:sz w:val="20"/>
                <w:szCs w:val="20"/>
              </w:rPr>
            </w:pPr>
          </w:p>
        </w:tc>
        <w:tc>
          <w:tcPr>
            <w:tcW w:w="850" w:type="dxa"/>
            <w:vMerge/>
          </w:tcPr>
          <w:p w14:paraId="2E5D2223" w14:textId="77777777" w:rsidR="00AD6710" w:rsidRPr="00B44B19" w:rsidRDefault="00AD6710" w:rsidP="00DA3820">
            <w:pPr>
              <w:jc w:val="center"/>
              <w:rPr>
                <w:rFonts w:eastAsia="Times New Roman" w:cs="Times New Roman"/>
                <w:iCs/>
                <w:noProof/>
                <w:sz w:val="20"/>
                <w:szCs w:val="20"/>
              </w:rPr>
            </w:pPr>
          </w:p>
        </w:tc>
        <w:tc>
          <w:tcPr>
            <w:tcW w:w="1701" w:type="dxa"/>
            <w:tcBorders>
              <w:top w:val="single" w:sz="4" w:space="0" w:color="auto"/>
              <w:bottom w:val="single" w:sz="4" w:space="0" w:color="auto"/>
            </w:tcBorders>
          </w:tcPr>
          <w:p w14:paraId="45F36AB0" w14:textId="77777777" w:rsidR="00AD6710" w:rsidRPr="00B44B19" w:rsidRDefault="00834F28" w:rsidP="00DA3820">
            <w:pPr>
              <w:rPr>
                <w:rFonts w:eastAsia="Times New Roman" w:cs="Times New Roman"/>
                <w:iCs/>
                <w:noProof/>
                <w:sz w:val="20"/>
                <w:szCs w:val="20"/>
              </w:rPr>
            </w:pPr>
            <w:r w:rsidRPr="00B44B19">
              <w:rPr>
                <w:rFonts w:eastAsia="Times New Roman" w:cs="Times New Roman"/>
                <w:sz w:val="20"/>
                <w:szCs w:val="20"/>
                <w:lang w:eastAsia="lt-LT"/>
              </w:rPr>
              <w:t>VVL regionas</w:t>
            </w:r>
          </w:p>
        </w:tc>
        <w:tc>
          <w:tcPr>
            <w:tcW w:w="1134" w:type="dxa"/>
            <w:vMerge/>
          </w:tcPr>
          <w:p w14:paraId="2650B0D7" w14:textId="77777777" w:rsidR="00AD6710" w:rsidRPr="00B44B19" w:rsidRDefault="00AD6710" w:rsidP="00DA3820">
            <w:pPr>
              <w:jc w:val="center"/>
              <w:rPr>
                <w:rFonts w:eastAsia="Times New Roman" w:cs="Times New Roman"/>
                <w:iCs/>
                <w:noProof/>
                <w:sz w:val="20"/>
                <w:szCs w:val="20"/>
              </w:rPr>
            </w:pPr>
          </w:p>
        </w:tc>
        <w:tc>
          <w:tcPr>
            <w:tcW w:w="3454" w:type="dxa"/>
            <w:vMerge/>
            <w:tcBorders>
              <w:bottom w:val="single" w:sz="4" w:space="0" w:color="auto"/>
            </w:tcBorders>
          </w:tcPr>
          <w:p w14:paraId="009CE5DA" w14:textId="77777777" w:rsidR="00AD6710" w:rsidRPr="00B44B19" w:rsidRDefault="00AD6710" w:rsidP="00DA3820">
            <w:pPr>
              <w:jc w:val="center"/>
              <w:rPr>
                <w:rFonts w:eastAsia="Times New Roman" w:cs="Times New Roman"/>
                <w:iCs/>
                <w:noProof/>
                <w:sz w:val="20"/>
                <w:szCs w:val="20"/>
              </w:rPr>
            </w:pPr>
          </w:p>
        </w:tc>
        <w:tc>
          <w:tcPr>
            <w:tcW w:w="1649" w:type="dxa"/>
            <w:tcBorders>
              <w:top w:val="single" w:sz="4" w:space="0" w:color="auto"/>
              <w:bottom w:val="single" w:sz="4" w:space="0" w:color="auto"/>
            </w:tcBorders>
          </w:tcPr>
          <w:p w14:paraId="1E2A8316" w14:textId="77777777" w:rsidR="00AD6710" w:rsidRPr="00B44B19" w:rsidRDefault="00834F28" w:rsidP="0083408B">
            <w:pPr>
              <w:jc w:val="right"/>
              <w:rPr>
                <w:rFonts w:eastAsia="Times New Roman" w:cs="Times New Roman"/>
                <w:iCs/>
                <w:noProof/>
                <w:sz w:val="20"/>
                <w:szCs w:val="20"/>
              </w:rPr>
            </w:pPr>
            <w:r w:rsidRPr="00B44B19">
              <w:rPr>
                <w:rFonts w:eastAsia="Times New Roman" w:cs="Times New Roman"/>
                <w:sz w:val="20"/>
                <w:szCs w:val="20"/>
              </w:rPr>
              <w:t>306 777</w:t>
            </w:r>
            <w:r w:rsidR="0083408B" w:rsidRPr="00B44B19">
              <w:rPr>
                <w:rFonts w:eastAsia="Times New Roman" w:cs="Times New Roman"/>
                <w:sz w:val="20"/>
                <w:szCs w:val="20"/>
              </w:rPr>
              <w:t> </w:t>
            </w:r>
            <w:r w:rsidRPr="00B44B19">
              <w:rPr>
                <w:rFonts w:eastAsia="Times New Roman" w:cs="Times New Roman"/>
                <w:sz w:val="20"/>
                <w:szCs w:val="20"/>
              </w:rPr>
              <w:t>81</w:t>
            </w:r>
            <w:r w:rsidR="00C60A41" w:rsidRPr="00B44B19">
              <w:rPr>
                <w:rFonts w:eastAsia="Times New Roman" w:cs="Times New Roman"/>
                <w:sz w:val="20"/>
                <w:szCs w:val="20"/>
              </w:rPr>
              <w:t>9</w:t>
            </w:r>
            <w:r w:rsidR="0083408B" w:rsidRPr="00B44B19">
              <w:rPr>
                <w:rFonts w:eastAsia="Times New Roman" w:cs="Times New Roman"/>
                <w:sz w:val="20"/>
                <w:szCs w:val="20"/>
              </w:rPr>
              <w:t>,00</w:t>
            </w:r>
            <w:r w:rsidRPr="00B44B19">
              <w:rPr>
                <w:rFonts w:eastAsia="Times New Roman" w:cs="Times New Roman"/>
                <w:sz w:val="20"/>
                <w:szCs w:val="20"/>
              </w:rPr>
              <w:t xml:space="preserve"> </w:t>
            </w:r>
          </w:p>
        </w:tc>
      </w:tr>
    </w:tbl>
    <w:p w14:paraId="206FE4CB" w14:textId="77777777" w:rsidR="00D8062E" w:rsidRPr="00B44B19" w:rsidRDefault="00D8062E">
      <w:pPr>
        <w:rPr>
          <w:rFonts w:cs="Times New Roman"/>
          <w:b/>
          <w:bCs/>
          <w:sz w:val="28"/>
          <w:szCs w:val="28"/>
        </w:rPr>
      </w:pPr>
      <w:r w:rsidRPr="00B44B19">
        <w:rPr>
          <w:rFonts w:cs="Times New Roman"/>
          <w:b/>
          <w:bCs/>
          <w:sz w:val="28"/>
          <w:szCs w:val="28"/>
        </w:rPr>
        <w:br w:type="page"/>
      </w:r>
    </w:p>
    <w:p w14:paraId="7FA90414" w14:textId="77777777" w:rsidR="00764AC5" w:rsidRPr="00B44B19" w:rsidRDefault="002501CF" w:rsidP="00D456C1">
      <w:pPr>
        <w:pStyle w:val="Antrat1"/>
      </w:pPr>
      <w:bookmarkStart w:id="63" w:name="_Toc223435439"/>
      <w:r w:rsidRPr="00B44B19">
        <w:lastRenderedPageBreak/>
        <w:t>6</w:t>
      </w:r>
      <w:r w:rsidR="000701C4" w:rsidRPr="00B44B19">
        <w:t>.</w:t>
      </w:r>
      <w:r w:rsidR="00764AC5" w:rsidRPr="00B44B19">
        <w:t xml:space="preserve"> </w:t>
      </w:r>
      <w:r w:rsidRPr="00B44B19">
        <w:t>Specialus p</w:t>
      </w:r>
      <w:r w:rsidR="00764AC5" w:rsidRPr="00B44B19">
        <w:t xml:space="preserve">rioritetas. </w:t>
      </w:r>
      <w:r w:rsidRPr="00B44B19">
        <w:rPr>
          <w:lang w:bidi="lt-LT"/>
        </w:rPr>
        <w:t>Inovatyvūs sprendimai</w:t>
      </w:r>
      <w:bookmarkEnd w:id="63"/>
    </w:p>
    <w:p w14:paraId="120E6649" w14:textId="77777777" w:rsidR="00764AC5" w:rsidRPr="00B44B19" w:rsidRDefault="00764AC5" w:rsidP="00D456C1">
      <w:pPr>
        <w:pStyle w:val="Antrat2"/>
      </w:pPr>
      <w:bookmarkStart w:id="64" w:name="_Toc223435440"/>
      <w:r w:rsidRPr="00B44B19">
        <w:t xml:space="preserve">Konkretus uždavinys – </w:t>
      </w:r>
      <w:r w:rsidR="002501CF" w:rsidRPr="00B44B19">
        <w:t>6</w:t>
      </w:r>
      <w:r w:rsidRPr="00B44B19">
        <w:t xml:space="preserve">.1. </w:t>
      </w:r>
      <w:r w:rsidR="000C58EE" w:rsidRPr="00B44B19">
        <w:rPr>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bookmarkEnd w:id="64"/>
    </w:p>
    <w:p w14:paraId="4D76AB1A" w14:textId="77777777" w:rsidR="00764AC5" w:rsidRPr="00B44B19" w:rsidRDefault="00764AC5" w:rsidP="001E46F0">
      <w:pPr>
        <w:pStyle w:val="Stilius1"/>
        <w:rPr>
          <w:rFonts w:cs="Times New Roman"/>
        </w:rPr>
      </w:pPr>
      <w:r w:rsidRPr="00B44B19">
        <w:rPr>
          <w:rFonts w:cs="Times New Roman"/>
        </w:rPr>
        <w:t>Įgyvendinamos veiklos</w:t>
      </w:r>
    </w:p>
    <w:tbl>
      <w:tblPr>
        <w:tblStyle w:val="Lentelstinklelis10"/>
        <w:tblW w:w="0" w:type="auto"/>
        <w:tblLook w:val="04A0" w:firstRow="1" w:lastRow="0" w:firstColumn="1" w:lastColumn="0" w:noHBand="0" w:noVBand="1"/>
      </w:tblPr>
      <w:tblGrid>
        <w:gridCol w:w="9628"/>
      </w:tblGrid>
      <w:tr w:rsidR="00764AC5" w:rsidRPr="00B44B19" w14:paraId="4D272844" w14:textId="77777777" w:rsidTr="003F0D9F">
        <w:tc>
          <w:tcPr>
            <w:tcW w:w="9854" w:type="dxa"/>
          </w:tcPr>
          <w:p w14:paraId="5C8EE135" w14:textId="77777777" w:rsidR="00FE0568" w:rsidRPr="00B44B19" w:rsidRDefault="00FE0568"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Siekiant efektyviau </w:t>
            </w:r>
            <w:r w:rsidR="00CB7B49" w:rsidRPr="00B44B19">
              <w:rPr>
                <w:rFonts w:ascii="Times New Roman" w:eastAsia="Times New Roman" w:hAnsi="Times New Roman" w:cs="Times New Roman"/>
              </w:rPr>
              <w:t>įveikti anksčiau kilusius</w:t>
            </w:r>
            <w:r w:rsidRPr="00B44B19">
              <w:rPr>
                <w:rFonts w:ascii="Times New Roman" w:eastAsia="Times New Roman" w:hAnsi="Times New Roman" w:cs="Times New Roman"/>
              </w:rPr>
              <w:t xml:space="preserve"> arba naujai kylančius iššūkius socialinėje, švietimo, sveikatos srityse, </w:t>
            </w:r>
            <w:r w:rsidR="00CB7B49" w:rsidRPr="00B44B19">
              <w:rPr>
                <w:rFonts w:ascii="Times New Roman" w:eastAsia="Times New Roman" w:hAnsi="Times New Roman" w:cs="Times New Roman"/>
              </w:rPr>
              <w:t>reikia</w:t>
            </w:r>
            <w:r w:rsidRPr="00B44B19">
              <w:rPr>
                <w:rFonts w:ascii="Times New Roman" w:eastAsia="Times New Roman" w:hAnsi="Times New Roman" w:cs="Times New Roman"/>
              </w:rPr>
              <w:t xml:space="preserve"> stiprinti paslaugų ir pagalbos sistemas, investuojant į paslaugų kokybės, įvairovės ir prieinamumo didinimą</w:t>
            </w:r>
            <w:r w:rsidR="00CB7B49"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CB7B49" w:rsidRPr="00B44B19">
              <w:rPr>
                <w:rFonts w:ascii="Times New Roman" w:eastAsia="Times New Roman" w:hAnsi="Times New Roman" w:cs="Times New Roman"/>
              </w:rPr>
              <w:t>ir</w:t>
            </w:r>
            <w:r w:rsidRPr="00B44B19">
              <w:rPr>
                <w:rFonts w:ascii="Times New Roman" w:eastAsia="Times New Roman" w:hAnsi="Times New Roman" w:cs="Times New Roman"/>
              </w:rPr>
              <w:t xml:space="preserve"> ieškoti naujų problemų sprendimo būdų.  </w:t>
            </w:r>
          </w:p>
          <w:p w14:paraId="70628325" w14:textId="77777777" w:rsidR="006434EF" w:rsidRPr="00B44B19" w:rsidRDefault="00FE0568"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S</w:t>
            </w:r>
            <w:r w:rsidR="006434EF" w:rsidRPr="00B44B19">
              <w:rPr>
                <w:rFonts w:ascii="Times New Roman" w:eastAsia="Times New Roman" w:hAnsi="Times New Roman" w:cs="Times New Roman"/>
              </w:rPr>
              <w:t>ocialinių paslaugų sistema menkai orientuota į asmens (šeimos) ar bendruomenės socialinių problemų sprendimą. Jaučiamas didelis bendruomenėje asmenims, iš dalies netekusiems savarankiškumo ir be specialistų pagalbos negalintiems išspręsti jiems iškilusių problemų</w:t>
            </w:r>
            <w:r w:rsidR="00CB7B49" w:rsidRPr="00B44B19">
              <w:rPr>
                <w:rFonts w:ascii="Times New Roman" w:eastAsia="Times New Roman" w:hAnsi="Times New Roman" w:cs="Times New Roman"/>
              </w:rPr>
              <w:t>, teikiamų paslaugų poreikis</w:t>
            </w:r>
            <w:r w:rsidR="006434EF" w:rsidRPr="00B44B19">
              <w:rPr>
                <w:rFonts w:ascii="Times New Roman" w:eastAsia="Times New Roman" w:hAnsi="Times New Roman" w:cs="Times New Roman"/>
              </w:rPr>
              <w:t xml:space="preserve">. </w:t>
            </w:r>
            <w:r w:rsidR="00CB7B49" w:rsidRPr="00B44B19">
              <w:rPr>
                <w:rFonts w:ascii="Times New Roman" w:eastAsia="Times New Roman" w:hAnsi="Times New Roman" w:cs="Times New Roman"/>
              </w:rPr>
              <w:t xml:space="preserve">Mažas </w:t>
            </w:r>
            <w:r w:rsidR="006434EF" w:rsidRPr="00B44B19">
              <w:rPr>
                <w:rFonts w:ascii="Times New Roman" w:eastAsia="Times New Roman" w:hAnsi="Times New Roman" w:cs="Times New Roman"/>
              </w:rPr>
              <w:t xml:space="preserve">socialinių paslaugų prieinamumas ir ribota įvairovė </w:t>
            </w:r>
            <w:r w:rsidR="00CB7B49" w:rsidRPr="00B44B19">
              <w:rPr>
                <w:rFonts w:ascii="Times New Roman" w:eastAsia="Times New Roman" w:hAnsi="Times New Roman" w:cs="Times New Roman"/>
              </w:rPr>
              <w:t>(</w:t>
            </w:r>
            <w:r w:rsidR="006434EF" w:rsidRPr="00B44B19">
              <w:rPr>
                <w:rFonts w:ascii="Times New Roman" w:eastAsia="Times New Roman" w:hAnsi="Times New Roman" w:cs="Times New Roman"/>
              </w:rPr>
              <w:t>ypač pažeidžiamų grupių asmenims</w:t>
            </w:r>
            <w:r w:rsidR="00CB7B49" w:rsidRPr="00B44B19">
              <w:rPr>
                <w:rFonts w:ascii="Times New Roman" w:eastAsia="Times New Roman" w:hAnsi="Times New Roman" w:cs="Times New Roman"/>
              </w:rPr>
              <w:t>)</w:t>
            </w:r>
            <w:r w:rsidR="006434EF" w:rsidRPr="00B44B19">
              <w:rPr>
                <w:rFonts w:ascii="Times New Roman" w:eastAsia="Times New Roman" w:hAnsi="Times New Roman" w:cs="Times New Roman"/>
              </w:rPr>
              <w:t xml:space="preserve"> menkai atliepia individualius asmenų (šeimos) </w:t>
            </w:r>
            <w:r w:rsidR="00CB7B49" w:rsidRPr="00B44B19">
              <w:rPr>
                <w:rFonts w:ascii="Times New Roman" w:eastAsia="Times New Roman" w:hAnsi="Times New Roman" w:cs="Times New Roman"/>
              </w:rPr>
              <w:t xml:space="preserve">socialinių </w:t>
            </w:r>
            <w:r w:rsidR="006434EF" w:rsidRPr="00B44B19">
              <w:rPr>
                <w:rFonts w:ascii="Times New Roman" w:eastAsia="Times New Roman" w:hAnsi="Times New Roman" w:cs="Times New Roman"/>
              </w:rPr>
              <w:t>paslaug</w:t>
            </w:r>
            <w:r w:rsidR="00CB7B49" w:rsidRPr="00B44B19">
              <w:rPr>
                <w:rFonts w:ascii="Times New Roman" w:eastAsia="Times New Roman" w:hAnsi="Times New Roman" w:cs="Times New Roman"/>
              </w:rPr>
              <w:t>ų poreikius</w:t>
            </w:r>
            <w:r w:rsidR="006434EF" w:rsidRPr="00B44B19">
              <w:rPr>
                <w:rFonts w:ascii="Times New Roman" w:eastAsia="Times New Roman" w:hAnsi="Times New Roman" w:cs="Times New Roman"/>
              </w:rPr>
              <w:t>. Todėl reik</w:t>
            </w:r>
            <w:r w:rsidR="00F85F49" w:rsidRPr="00B44B19">
              <w:rPr>
                <w:rFonts w:ascii="Times New Roman" w:eastAsia="Times New Roman" w:hAnsi="Times New Roman" w:cs="Times New Roman"/>
              </w:rPr>
              <w:t>ia</w:t>
            </w:r>
            <w:r w:rsidR="006434EF" w:rsidRPr="00B44B19">
              <w:rPr>
                <w:rFonts w:ascii="Times New Roman" w:eastAsia="Times New Roman" w:hAnsi="Times New Roman" w:cs="Times New Roman"/>
              </w:rPr>
              <w:t xml:space="preserve"> didinti socialinių paslaugų suderinamumą ir </w:t>
            </w:r>
            <w:r w:rsidR="00F85F49" w:rsidRPr="00B44B19">
              <w:rPr>
                <w:rFonts w:ascii="Times New Roman" w:eastAsia="Times New Roman" w:hAnsi="Times New Roman" w:cs="Times New Roman"/>
              </w:rPr>
              <w:t xml:space="preserve">su </w:t>
            </w:r>
            <w:r w:rsidR="006434EF" w:rsidRPr="00B44B19">
              <w:rPr>
                <w:rFonts w:ascii="Times New Roman" w:eastAsia="Times New Roman" w:hAnsi="Times New Roman" w:cs="Times New Roman"/>
              </w:rPr>
              <w:t>asmen</w:t>
            </w:r>
            <w:r w:rsidR="00F85F49" w:rsidRPr="00B44B19">
              <w:rPr>
                <w:rFonts w:ascii="Times New Roman" w:eastAsia="Times New Roman" w:hAnsi="Times New Roman" w:cs="Times New Roman"/>
              </w:rPr>
              <w:t>ų</w:t>
            </w:r>
            <w:r w:rsidR="00DD1B02" w:rsidRPr="00B44B19">
              <w:rPr>
                <w:rFonts w:ascii="Times New Roman" w:eastAsia="Times New Roman" w:hAnsi="Times New Roman" w:cs="Times New Roman"/>
              </w:rPr>
              <w:t xml:space="preserve"> (šeim</w:t>
            </w:r>
            <w:r w:rsidR="00F85F49" w:rsidRPr="00B44B19">
              <w:rPr>
                <w:rFonts w:ascii="Times New Roman" w:eastAsia="Times New Roman" w:hAnsi="Times New Roman" w:cs="Times New Roman"/>
              </w:rPr>
              <w:t>ų</w:t>
            </w:r>
            <w:r w:rsidR="006434EF" w:rsidRPr="00B44B19">
              <w:rPr>
                <w:rFonts w:ascii="Times New Roman" w:eastAsia="Times New Roman" w:hAnsi="Times New Roman" w:cs="Times New Roman"/>
              </w:rPr>
              <w:t>) poreikia</w:t>
            </w:r>
            <w:r w:rsidR="00F85F49" w:rsidRPr="00B44B19">
              <w:rPr>
                <w:rFonts w:ascii="Times New Roman" w:eastAsia="Times New Roman" w:hAnsi="Times New Roman" w:cs="Times New Roman"/>
              </w:rPr>
              <w:t>is</w:t>
            </w:r>
            <w:r w:rsidR="006434EF" w:rsidRPr="00B44B19">
              <w:rPr>
                <w:rFonts w:ascii="Times New Roman" w:eastAsia="Times New Roman" w:hAnsi="Times New Roman" w:cs="Times New Roman"/>
              </w:rPr>
              <w:t>, paslaugų t</w:t>
            </w:r>
            <w:r w:rsidR="00F85F49" w:rsidRPr="00B44B19">
              <w:rPr>
                <w:rFonts w:ascii="Times New Roman" w:eastAsia="Times New Roman" w:hAnsi="Times New Roman" w:cs="Times New Roman"/>
              </w:rPr>
              <w:t>ei</w:t>
            </w:r>
            <w:r w:rsidR="006434EF" w:rsidRPr="00B44B19">
              <w:rPr>
                <w:rFonts w:ascii="Times New Roman" w:eastAsia="Times New Roman" w:hAnsi="Times New Roman" w:cs="Times New Roman"/>
              </w:rPr>
              <w:t xml:space="preserve">kėjams suteikiant reikalingas kompetencijas </w:t>
            </w:r>
            <w:r w:rsidR="00F85F49" w:rsidRPr="00B44B19">
              <w:rPr>
                <w:rFonts w:ascii="Times New Roman" w:eastAsia="Times New Roman" w:hAnsi="Times New Roman" w:cs="Times New Roman"/>
              </w:rPr>
              <w:t xml:space="preserve">ir vykdant </w:t>
            </w:r>
            <w:r w:rsidR="006434EF" w:rsidRPr="00B44B19">
              <w:rPr>
                <w:rFonts w:ascii="Times New Roman" w:eastAsia="Times New Roman" w:hAnsi="Times New Roman" w:cs="Times New Roman"/>
              </w:rPr>
              <w:t>socialinės priežiūros paslaugų akreditavimą.</w:t>
            </w:r>
          </w:p>
          <w:p w14:paraId="0E4E1AEE" w14:textId="77777777" w:rsidR="006434EF" w:rsidRPr="00B44B19" w:rsidRDefault="006434EF"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Paslaugų kokybės standartų diegimas ir taikymas socialinių paslaugų srityje </w:t>
            </w:r>
            <w:r w:rsidR="00F85F49" w:rsidRPr="00B44B19">
              <w:rPr>
                <w:rFonts w:ascii="Times New Roman" w:eastAsia="Times New Roman" w:hAnsi="Times New Roman" w:cs="Times New Roman"/>
              </w:rPr>
              <w:t xml:space="preserve">– </w:t>
            </w:r>
            <w:r w:rsidRPr="00B44B19">
              <w:rPr>
                <w:rFonts w:ascii="Times New Roman" w:eastAsia="Times New Roman" w:hAnsi="Times New Roman" w:cs="Times New Roman"/>
              </w:rPr>
              <w:t xml:space="preserve">vis dar </w:t>
            </w:r>
            <w:r w:rsidR="00F85F49" w:rsidRPr="00B44B19">
              <w:rPr>
                <w:rFonts w:ascii="Times New Roman" w:eastAsia="Times New Roman" w:hAnsi="Times New Roman" w:cs="Times New Roman"/>
              </w:rPr>
              <w:t xml:space="preserve">gana </w:t>
            </w:r>
            <w:r w:rsidRPr="00B44B19">
              <w:rPr>
                <w:rFonts w:ascii="Times New Roman" w:eastAsia="Times New Roman" w:hAnsi="Times New Roman" w:cs="Times New Roman"/>
              </w:rPr>
              <w:t xml:space="preserve">nauja </w:t>
            </w:r>
            <w:r w:rsidR="00F85F49" w:rsidRPr="00B44B19">
              <w:rPr>
                <w:rFonts w:ascii="Times New Roman" w:eastAsia="Times New Roman" w:hAnsi="Times New Roman" w:cs="Times New Roman"/>
              </w:rPr>
              <w:t xml:space="preserve">sritis </w:t>
            </w:r>
            <w:r w:rsidRPr="00B44B19">
              <w:rPr>
                <w:rFonts w:ascii="Times New Roman" w:eastAsia="Times New Roman" w:hAnsi="Times New Roman" w:cs="Times New Roman"/>
              </w:rPr>
              <w:t xml:space="preserve">Lietuvoje. Nors socialines paslaugas teikiančios organizacijos pradėjo diegti EQUASS kokybės sertifikatą, tačiau kol kas jį įsidiegė nedidelė jų dalis. Be to, socialiniai partneriai </w:t>
            </w:r>
            <w:r w:rsidR="00F85F49" w:rsidRPr="00B44B19">
              <w:rPr>
                <w:rFonts w:ascii="Times New Roman" w:eastAsia="Times New Roman" w:hAnsi="Times New Roman" w:cs="Times New Roman"/>
              </w:rPr>
              <w:t xml:space="preserve">nurodo </w:t>
            </w:r>
            <w:r w:rsidRPr="00B44B19">
              <w:rPr>
                <w:rFonts w:ascii="Times New Roman" w:eastAsia="Times New Roman" w:hAnsi="Times New Roman" w:cs="Times New Roman"/>
              </w:rPr>
              <w:t xml:space="preserve">poreikį diegti paslaugų standartus ir bendruomeninėse socialinių paslaugų įstaigose. Siekiant </w:t>
            </w:r>
            <w:r w:rsidR="00F85F49" w:rsidRPr="00B44B19">
              <w:rPr>
                <w:rFonts w:ascii="Times New Roman" w:eastAsia="Times New Roman" w:hAnsi="Times New Roman" w:cs="Times New Roman"/>
              </w:rPr>
              <w:t xml:space="preserve">užtikrinti </w:t>
            </w:r>
            <w:r w:rsidRPr="00B44B19">
              <w:rPr>
                <w:rFonts w:ascii="Times New Roman" w:eastAsia="Times New Roman" w:hAnsi="Times New Roman" w:cs="Times New Roman"/>
              </w:rPr>
              <w:t xml:space="preserve">kokybiškas paslaugas, </w:t>
            </w:r>
            <w:r w:rsidR="00F85F49" w:rsidRPr="00B44B19">
              <w:rPr>
                <w:rFonts w:ascii="Times New Roman" w:eastAsia="Times New Roman" w:hAnsi="Times New Roman" w:cs="Times New Roman"/>
              </w:rPr>
              <w:t xml:space="preserve">reikia </w:t>
            </w:r>
            <w:r w:rsidRPr="00B44B19">
              <w:rPr>
                <w:rFonts w:ascii="Times New Roman" w:eastAsia="Times New Roman" w:hAnsi="Times New Roman" w:cs="Times New Roman"/>
              </w:rPr>
              <w:t>skatinti paslaugų teikėjus gerinti paslaugų kokybę</w:t>
            </w:r>
            <w:r w:rsidR="00F85F49" w:rsidRPr="00B44B19">
              <w:rPr>
                <w:rFonts w:ascii="Times New Roman" w:eastAsia="Times New Roman" w:hAnsi="Times New Roman" w:cs="Times New Roman"/>
              </w:rPr>
              <w:t>,</w:t>
            </w:r>
            <w:r w:rsidRPr="00B44B19">
              <w:rPr>
                <w:rFonts w:ascii="Times New Roman" w:eastAsia="Times New Roman" w:hAnsi="Times New Roman" w:cs="Times New Roman"/>
              </w:rPr>
              <w:t xml:space="preserve"> nuolatos tobulėti bei mokytis,</w:t>
            </w:r>
            <w:r w:rsidR="00F85F49" w:rsidRPr="00B44B19">
              <w:rPr>
                <w:rFonts w:ascii="Times New Roman" w:eastAsia="Times New Roman" w:hAnsi="Times New Roman" w:cs="Times New Roman"/>
              </w:rPr>
              <w:t xml:space="preserve"> toliau diegti ir taikyti</w:t>
            </w:r>
            <w:r w:rsidRPr="00B44B19">
              <w:rPr>
                <w:rFonts w:ascii="Times New Roman" w:eastAsia="Times New Roman" w:hAnsi="Times New Roman" w:cs="Times New Roman"/>
              </w:rPr>
              <w:t xml:space="preserve"> sertifikat</w:t>
            </w:r>
            <w:r w:rsidR="00F85F49" w:rsidRPr="00B44B19">
              <w:rPr>
                <w:rFonts w:ascii="Times New Roman" w:eastAsia="Times New Roman" w:hAnsi="Times New Roman" w:cs="Times New Roman"/>
              </w:rPr>
              <w:t>ą</w:t>
            </w:r>
            <w:r w:rsidRPr="00B44B19">
              <w:rPr>
                <w:rFonts w:ascii="Times New Roman" w:eastAsia="Times New Roman" w:hAnsi="Times New Roman" w:cs="Times New Roman"/>
              </w:rPr>
              <w:t xml:space="preserve"> </w:t>
            </w:r>
            <w:r w:rsidR="00FE0568" w:rsidRPr="00B44B19">
              <w:rPr>
                <w:rFonts w:ascii="Times New Roman" w:eastAsia="Times New Roman" w:hAnsi="Times New Roman" w:cs="Times New Roman"/>
              </w:rPr>
              <w:t>bendruomeninėse ir stacionariose socialinių paslaugų įstaigose</w:t>
            </w:r>
            <w:r w:rsidR="00B86DEC" w:rsidRPr="00B44B19">
              <w:rPr>
                <w:rFonts w:ascii="Times New Roman" w:eastAsia="Times New Roman" w:hAnsi="Times New Roman" w:cs="Times New Roman"/>
              </w:rPr>
              <w:t xml:space="preserve">, ir specializuotuose slaugos </w:t>
            </w:r>
            <w:r w:rsidR="00F85F49" w:rsidRPr="00B44B19">
              <w:rPr>
                <w:rFonts w:ascii="Times New Roman" w:eastAsia="Times New Roman" w:hAnsi="Times New Roman" w:cs="Times New Roman"/>
              </w:rPr>
              <w:t xml:space="preserve">ir socialinės </w:t>
            </w:r>
            <w:r w:rsidR="00B86DEC" w:rsidRPr="00B44B19">
              <w:rPr>
                <w:rFonts w:ascii="Times New Roman" w:eastAsia="Times New Roman" w:hAnsi="Times New Roman" w:cs="Times New Roman"/>
              </w:rPr>
              <w:t>globos namuose</w:t>
            </w:r>
            <w:r w:rsidR="00F85F49" w:rsidRPr="00B44B19">
              <w:rPr>
                <w:rFonts w:ascii="Times New Roman" w:eastAsia="Times New Roman" w:hAnsi="Times New Roman" w:cs="Times New Roman"/>
              </w:rPr>
              <w:t>,</w:t>
            </w:r>
            <w:r w:rsidR="00FE0568" w:rsidRPr="00B44B19">
              <w:rPr>
                <w:rFonts w:ascii="Times New Roman" w:eastAsia="Times New Roman" w:hAnsi="Times New Roman" w:cs="Times New Roman"/>
              </w:rPr>
              <w:t xml:space="preserve"> </w:t>
            </w:r>
            <w:r w:rsidRPr="00B44B19">
              <w:rPr>
                <w:rFonts w:ascii="Times New Roman" w:eastAsia="Times New Roman" w:hAnsi="Times New Roman" w:cs="Times New Roman"/>
              </w:rPr>
              <w:t>kurti nacionalinį kokybės standartą socialinių paslaugų srityje.</w:t>
            </w:r>
          </w:p>
          <w:p w14:paraId="656BD2EF" w14:textId="77777777" w:rsidR="006434EF" w:rsidRPr="00B44B19" w:rsidRDefault="006434EF"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Įsisenėjusios socialinės</w:t>
            </w:r>
            <w:r w:rsidR="00F85F49"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r w:rsidR="00FE0568" w:rsidRPr="00B44B19">
              <w:rPr>
                <w:rFonts w:ascii="Times New Roman" w:eastAsia="Times New Roman" w:hAnsi="Times New Roman" w:cs="Times New Roman"/>
              </w:rPr>
              <w:t xml:space="preserve">švietimo, sveikatos </w:t>
            </w:r>
            <w:r w:rsidRPr="00B44B19">
              <w:rPr>
                <w:rFonts w:ascii="Times New Roman" w:eastAsia="Times New Roman" w:hAnsi="Times New Roman" w:cs="Times New Roman"/>
              </w:rPr>
              <w:t>problemos bei kintanti visuomenė viešajam sektoriui kelia nauj</w:t>
            </w:r>
            <w:r w:rsidR="00F85F49"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iššūki</w:t>
            </w:r>
            <w:r w:rsidR="00F85F49" w:rsidRPr="00B44B19">
              <w:rPr>
                <w:rFonts w:ascii="Times New Roman" w:eastAsia="Times New Roman" w:hAnsi="Times New Roman" w:cs="Times New Roman"/>
              </w:rPr>
              <w:t>ų</w:t>
            </w:r>
            <w:r w:rsidRPr="00B44B19">
              <w:rPr>
                <w:rFonts w:ascii="Times New Roman" w:eastAsia="Times New Roman" w:hAnsi="Times New Roman" w:cs="Times New Roman"/>
              </w:rPr>
              <w:t xml:space="preserve">, kurie skatina ieškoti kūrybingų, individualizuotų ar nedidelėms grupėms pritaikomų sprendimų </w:t>
            </w:r>
            <w:r w:rsidR="00F85F49" w:rsidRPr="00B44B19">
              <w:rPr>
                <w:rFonts w:ascii="Times New Roman" w:eastAsia="Times New Roman" w:hAnsi="Times New Roman" w:cs="Times New Roman"/>
              </w:rPr>
              <w:t xml:space="preserve">ir </w:t>
            </w:r>
            <w:r w:rsidRPr="00B44B19">
              <w:rPr>
                <w:rFonts w:ascii="Times New Roman" w:eastAsia="Times New Roman" w:hAnsi="Times New Roman" w:cs="Times New Roman"/>
              </w:rPr>
              <w:t xml:space="preserve">derinti tradicines politikos priemones </w:t>
            </w:r>
            <w:r w:rsidR="00F85F49" w:rsidRPr="00B44B19">
              <w:rPr>
                <w:rFonts w:ascii="Times New Roman" w:eastAsia="Times New Roman" w:hAnsi="Times New Roman" w:cs="Times New Roman"/>
              </w:rPr>
              <w:t xml:space="preserve">bei </w:t>
            </w:r>
            <w:r w:rsidRPr="00B44B19">
              <w:rPr>
                <w:rFonts w:ascii="Times New Roman" w:eastAsia="Times New Roman" w:hAnsi="Times New Roman" w:cs="Times New Roman"/>
              </w:rPr>
              <w:t xml:space="preserve">socialines inovacijas. </w:t>
            </w:r>
            <w:r w:rsidRPr="00B44B19">
              <w:rPr>
                <w:rFonts w:ascii="Times New Roman" w:eastAsia="Times New Roman" w:hAnsi="Times New Roman" w:cs="Times New Roman"/>
                <w:lang w:eastAsia="lt-LT"/>
              </w:rPr>
              <w:t xml:space="preserve">Socialinių ir viešojo sektoriaus inovacijų vaidmuo bei svarba nuolat </w:t>
            </w:r>
            <w:r w:rsidR="00F85F49" w:rsidRPr="00B44B19">
              <w:rPr>
                <w:rFonts w:ascii="Times New Roman" w:eastAsia="Times New Roman" w:hAnsi="Times New Roman" w:cs="Times New Roman"/>
                <w:lang w:eastAsia="lt-LT"/>
              </w:rPr>
              <w:t>didėja</w:t>
            </w:r>
            <w:r w:rsidRPr="00B44B19">
              <w:rPr>
                <w:rFonts w:ascii="Times New Roman" w:eastAsia="Times New Roman" w:hAnsi="Times New Roman" w:cs="Times New Roman"/>
                <w:lang w:eastAsia="lt-LT"/>
              </w:rPr>
              <w:t>, t</w:t>
            </w:r>
            <w:r w:rsidRPr="00B44B19">
              <w:rPr>
                <w:rFonts w:ascii="Times New Roman" w:eastAsia="Times New Roman" w:hAnsi="Times New Roman" w:cs="Times New Roman"/>
              </w:rPr>
              <w:t xml:space="preserve">odėl būtina sudaryti sąlygas su produktais, paslaugomis, praktika ir modeliais </w:t>
            </w:r>
            <w:r w:rsidR="00F85F49" w:rsidRPr="00B44B19">
              <w:rPr>
                <w:rFonts w:ascii="Times New Roman" w:eastAsia="Times New Roman" w:hAnsi="Times New Roman" w:cs="Times New Roman"/>
              </w:rPr>
              <w:t>susijusioms naujoms idėjoms</w:t>
            </w:r>
            <w:r w:rsidRPr="00B44B19">
              <w:rPr>
                <w:rFonts w:ascii="Times New Roman" w:eastAsia="Times New Roman" w:hAnsi="Times New Roman" w:cs="Times New Roman"/>
              </w:rPr>
              <w:t xml:space="preserve">, kurios geriau atlieptų gyventojų poreikius, </w:t>
            </w:r>
            <w:r w:rsidR="00F85F49" w:rsidRPr="00B44B19">
              <w:rPr>
                <w:rFonts w:ascii="Times New Roman" w:eastAsia="Times New Roman" w:hAnsi="Times New Roman" w:cs="Times New Roman"/>
              </w:rPr>
              <w:t xml:space="preserve">gerintų </w:t>
            </w:r>
            <w:r w:rsidRPr="00B44B19">
              <w:rPr>
                <w:rFonts w:ascii="Times New Roman" w:eastAsia="Times New Roman" w:hAnsi="Times New Roman" w:cs="Times New Roman"/>
              </w:rPr>
              <w:t>jautrių visuomenės grupių gyvenimo kokybę ir į socialinių</w:t>
            </w:r>
            <w:r w:rsidR="00BC59A2" w:rsidRPr="00B44B19">
              <w:rPr>
                <w:rFonts w:ascii="Times New Roman" w:eastAsia="Times New Roman" w:hAnsi="Times New Roman" w:cs="Times New Roman"/>
              </w:rPr>
              <w:t>,</w:t>
            </w:r>
            <w:r w:rsidR="00BC59A2" w:rsidRPr="00B44B19">
              <w:rPr>
                <w:rFonts w:ascii="Times New Roman" w:hAnsi="Times New Roman" w:cs="Times New Roman"/>
              </w:rPr>
              <w:t xml:space="preserve"> </w:t>
            </w:r>
            <w:r w:rsidR="00BC59A2" w:rsidRPr="00B44B19">
              <w:rPr>
                <w:rFonts w:ascii="Times New Roman" w:eastAsia="Times New Roman" w:hAnsi="Times New Roman" w:cs="Times New Roman"/>
              </w:rPr>
              <w:t xml:space="preserve">švietimo, sveikatos </w:t>
            </w:r>
            <w:r w:rsidRPr="00B44B19">
              <w:rPr>
                <w:rFonts w:ascii="Times New Roman" w:eastAsia="Times New Roman" w:hAnsi="Times New Roman" w:cs="Times New Roman"/>
              </w:rPr>
              <w:t>problemų sprendimą aktyviau įtrauktų viešąjį, nevyriausybinį ir privatų sektorius</w:t>
            </w:r>
            <w:r w:rsidR="00F85F49" w:rsidRPr="00B44B19">
              <w:rPr>
                <w:rFonts w:ascii="Times New Roman" w:eastAsia="Times New Roman" w:hAnsi="Times New Roman" w:cs="Times New Roman"/>
              </w:rPr>
              <w:t>, išbandyti</w:t>
            </w:r>
            <w:r w:rsidRPr="00B44B19">
              <w:rPr>
                <w:rFonts w:ascii="Times New Roman" w:eastAsia="Times New Roman" w:hAnsi="Times New Roman" w:cs="Times New Roman"/>
              </w:rPr>
              <w:t xml:space="preserve">. </w:t>
            </w:r>
          </w:p>
          <w:p w14:paraId="7487F6AF" w14:textId="77777777" w:rsidR="00483CEC" w:rsidRPr="00B44B19" w:rsidRDefault="006434EF"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Veiksmų rūšys, siekiant </w:t>
            </w:r>
            <w:r w:rsidRPr="00B44B19">
              <w:rPr>
                <w:rFonts w:ascii="Times New Roman" w:eastAsia="Times New Roman" w:hAnsi="Times New Roman" w:cs="Times New Roman"/>
                <w:b/>
                <w:bCs/>
              </w:rPr>
              <w:t>s</w:t>
            </w:r>
            <w:r w:rsidRPr="00B44B19">
              <w:rPr>
                <w:rFonts w:ascii="Times New Roman" w:eastAsia="Times New Roman" w:hAnsi="Times New Roman" w:cs="Times New Roman"/>
                <w:b/>
                <w:bCs/>
                <w:noProof/>
              </w:rPr>
              <w:t xml:space="preserve">pręsti </w:t>
            </w:r>
            <w:r w:rsidRPr="00B44B19">
              <w:rPr>
                <w:rFonts w:ascii="Times New Roman" w:eastAsia="Times New Roman" w:hAnsi="Times New Roman" w:cs="Times New Roman"/>
                <w:b/>
                <w:bCs/>
              </w:rPr>
              <w:t xml:space="preserve">įsisenėjusias problemas </w:t>
            </w:r>
            <w:r w:rsidR="00483CEC" w:rsidRPr="00B44B19">
              <w:rPr>
                <w:rFonts w:ascii="Times New Roman" w:eastAsia="Times New Roman" w:hAnsi="Times New Roman" w:cs="Times New Roman"/>
                <w:b/>
                <w:bCs/>
              </w:rPr>
              <w:t xml:space="preserve">ir įveikti </w:t>
            </w:r>
            <w:r w:rsidRPr="00B44B19">
              <w:rPr>
                <w:rFonts w:ascii="Times New Roman" w:eastAsia="Times New Roman" w:hAnsi="Times New Roman" w:cs="Times New Roman"/>
                <w:b/>
                <w:bCs/>
              </w:rPr>
              <w:t>kylančius naujus iššūkius</w:t>
            </w:r>
            <w:r w:rsidR="00483CEC" w:rsidRPr="00B44B19">
              <w:rPr>
                <w:rFonts w:ascii="Times New Roman" w:eastAsia="Times New Roman" w:hAnsi="Times New Roman" w:cs="Times New Roman"/>
                <w:b/>
                <w:bCs/>
              </w:rPr>
              <w:t xml:space="preserve"> socialinėje švietimo, sveikatos srityse</w:t>
            </w:r>
            <w:r w:rsidRPr="00B44B19">
              <w:rPr>
                <w:rFonts w:ascii="Times New Roman" w:eastAsia="Times New Roman" w:hAnsi="Times New Roman" w:cs="Times New Roman"/>
              </w:rPr>
              <w:t xml:space="preserve">: </w:t>
            </w:r>
          </w:p>
          <w:p w14:paraId="1F0F8BF1" w14:textId="77777777" w:rsidR="00764AC5" w:rsidRPr="00B44B19" w:rsidRDefault="00B10AE4" w:rsidP="00E67E5C">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Socialinių paslaugų suderinamumo su individualiais asmens (šeimos) poreikiais didinimas paslaugų teikėjams suteikiant reikalingas kompetencijas ir vykdant socialinės priežiūros paslaugų akreditavimą; paslaugų kokybės gerinimas diegiant ir taikant paslaugų standartus; socialių inovacijų, </w:t>
            </w:r>
            <w:r w:rsidRPr="00B44B19">
              <w:rPr>
                <w:rFonts w:ascii="Times New Roman" w:hAnsi="Times New Roman" w:cs="Times New Roman"/>
              </w:rPr>
              <w:t xml:space="preserve">įskaitant investavimą į socialinį poveikį, </w:t>
            </w:r>
            <w:r w:rsidRPr="00B44B19">
              <w:rPr>
                <w:rFonts w:ascii="Times New Roman" w:eastAsia="Times New Roman" w:hAnsi="Times New Roman" w:cs="Times New Roman"/>
              </w:rPr>
              <w:t xml:space="preserve">padedančių įveikti </w:t>
            </w:r>
            <w:r w:rsidRPr="00B44B19">
              <w:rPr>
                <w:rFonts w:ascii="Times New Roman" w:eastAsia="Times New Roman" w:hAnsi="Times New Roman" w:cs="Times New Roman"/>
                <w:lang w:eastAsia="lt-LT"/>
              </w:rPr>
              <w:t>socialinius iššūkius, sveikatinti ir šviesti visuomenę, didinti užimtumą, mažinti socialinę atskirtį, išbandymas ir kt</w:t>
            </w:r>
            <w:r w:rsidRPr="00B44B19">
              <w:rPr>
                <w:rFonts w:ascii="Times New Roman" w:eastAsia="Times New Roman" w:hAnsi="Times New Roman" w:cs="Times New Roman"/>
                <w:bCs/>
              </w:rPr>
              <w:t>.</w:t>
            </w:r>
            <w:r w:rsidRPr="00B44B19">
              <w:rPr>
                <w:rFonts w:ascii="Times New Roman" w:eastAsia="Times New Roman" w:hAnsi="Times New Roman" w:cs="Times New Roman"/>
              </w:rPr>
              <w:t xml:space="preserve"> Ši veikla bus įgyvendinama VVL ir Sostinės regionuose.</w:t>
            </w:r>
          </w:p>
          <w:p w14:paraId="32785379" w14:textId="77777777" w:rsidR="00EA57D7" w:rsidRPr="00B44B19" w:rsidRDefault="00334B0C" w:rsidP="00E67E5C">
            <w:pPr>
              <w:spacing w:before="60" w:after="60"/>
              <w:jc w:val="both"/>
              <w:rPr>
                <w:rFonts w:ascii="Times New Roman" w:eastAsia="Times New Roman" w:hAnsi="Times New Roman" w:cs="Times New Roman"/>
                <w:lang w:eastAsia="lt-LT"/>
              </w:rPr>
            </w:pPr>
            <w:r w:rsidRPr="00B44B19">
              <w:rPr>
                <w:rFonts w:ascii="Times New Roman" w:eastAsia="Times New Roman" w:hAnsi="Times New Roman" w:cs="Times New Roman"/>
                <w:noProof/>
                <w:szCs w:val="24"/>
              </w:rPr>
              <w:t>Uždavinio veiklos (</w:t>
            </w:r>
            <w:r w:rsidRPr="00B44B19">
              <w:rPr>
                <w:rFonts w:ascii="Times New Roman" w:eastAsia="Times New Roman" w:hAnsi="Times New Roman" w:cs="Times New Roman"/>
                <w:bCs/>
                <w:noProof/>
                <w:szCs w:val="24"/>
              </w:rPr>
              <w:t>veiksmų rūšys</w:t>
            </w:r>
            <w:r w:rsidRPr="00B44B19">
              <w:rPr>
                <w:rFonts w:ascii="Times New Roman" w:eastAsia="Times New Roman" w:hAnsi="Times New Roman" w:cs="Times New Roman"/>
                <w:noProof/>
                <w:szCs w:val="24"/>
              </w:rPr>
              <w:t xml:space="preserve">) įvertintos vadovaujantis </w:t>
            </w:r>
            <w:r w:rsidRPr="00B44B19">
              <w:rPr>
                <w:rFonts w:ascii="Times New Roman" w:eastAsia="Times New Roman" w:hAnsi="Times New Roman" w:cs="Times New Roman"/>
                <w:bCs/>
                <w:noProof/>
                <w:szCs w:val="24"/>
              </w:rPr>
              <w:t>EGADP</w:t>
            </w:r>
            <w:r w:rsidRPr="00B44B19">
              <w:rPr>
                <w:rFonts w:ascii="Times New Roman" w:eastAsia="Times New Roman" w:hAnsi="Times New Roman" w:cs="Times New Roman"/>
                <w:noProof/>
                <w:szCs w:val="24"/>
              </w:rPr>
              <w:t xml:space="preserve"> NRŽ gairėmis, todėl laikoma, kad  atitinka NRŽ principą</w:t>
            </w:r>
            <w:r w:rsidR="00503322" w:rsidRPr="00B44B19">
              <w:rPr>
                <w:rFonts w:ascii="Times New Roman" w:eastAsia="Times New Roman" w:hAnsi="Times New Roman" w:cs="Times New Roman"/>
                <w:noProof/>
                <w:szCs w:val="24"/>
              </w:rPr>
              <w:t>.</w:t>
            </w:r>
          </w:p>
        </w:tc>
      </w:tr>
    </w:tbl>
    <w:p w14:paraId="72409456" w14:textId="77777777" w:rsidR="00764AC5" w:rsidRPr="00B44B19" w:rsidRDefault="00764AC5" w:rsidP="001E46F0">
      <w:pPr>
        <w:pStyle w:val="Stilius1"/>
        <w:rPr>
          <w:rFonts w:cs="Times New Roman"/>
        </w:rPr>
      </w:pPr>
      <w:r w:rsidRPr="00B44B19">
        <w:rPr>
          <w:rFonts w:cs="Times New Roman"/>
        </w:rPr>
        <w:t>Pagrindinės tikslinės grupės</w:t>
      </w:r>
    </w:p>
    <w:tbl>
      <w:tblPr>
        <w:tblStyle w:val="Lentelstinklelis10"/>
        <w:tblW w:w="0" w:type="auto"/>
        <w:tblLook w:val="04A0" w:firstRow="1" w:lastRow="0" w:firstColumn="1" w:lastColumn="0" w:noHBand="0" w:noVBand="1"/>
      </w:tblPr>
      <w:tblGrid>
        <w:gridCol w:w="9628"/>
      </w:tblGrid>
      <w:tr w:rsidR="00764AC5" w:rsidRPr="00B44B19" w14:paraId="1A07288A" w14:textId="77777777" w:rsidTr="003F0D9F">
        <w:tc>
          <w:tcPr>
            <w:tcW w:w="9854" w:type="dxa"/>
          </w:tcPr>
          <w:p w14:paraId="3287AD11" w14:textId="77777777" w:rsidR="00764AC5" w:rsidRPr="00B44B19" w:rsidRDefault="00163D35" w:rsidP="00E67E5C">
            <w:pPr>
              <w:spacing w:before="60" w:after="60"/>
              <w:jc w:val="both"/>
              <w:rPr>
                <w:rFonts w:ascii="Times New Roman" w:hAnsi="Times New Roman" w:cs="Times New Roman"/>
                <w:szCs w:val="24"/>
              </w:rPr>
            </w:pPr>
            <w:r w:rsidRPr="00B44B19">
              <w:rPr>
                <w:rFonts w:ascii="Times New Roman" w:hAnsi="Times New Roman" w:cs="Times New Roman"/>
                <w:szCs w:val="24"/>
                <w:lang w:bidi="lt-LT"/>
              </w:rPr>
              <w:t xml:space="preserve">Paslaugų gavėjai bei jų artimieji; paslaugas teikiančios ir </w:t>
            </w:r>
            <w:r w:rsidR="00483CEC" w:rsidRPr="00B44B19">
              <w:rPr>
                <w:rFonts w:ascii="Times New Roman" w:hAnsi="Times New Roman" w:cs="Times New Roman"/>
                <w:szCs w:val="24"/>
                <w:lang w:bidi="lt-LT"/>
              </w:rPr>
              <w:t xml:space="preserve">(ar) </w:t>
            </w:r>
            <w:r w:rsidRPr="00B44B19">
              <w:rPr>
                <w:rFonts w:ascii="Times New Roman" w:hAnsi="Times New Roman" w:cs="Times New Roman"/>
                <w:szCs w:val="24"/>
                <w:lang w:bidi="lt-LT"/>
              </w:rPr>
              <w:t>administruojančios organizacijos (įstaigos); paslaugas teikiantys ir (ar) administruojantys darbuotojai; socialiniai partneriai</w:t>
            </w:r>
            <w:r w:rsidR="00D27042" w:rsidRPr="00B44B19">
              <w:rPr>
                <w:rFonts w:ascii="Times New Roman" w:hAnsi="Times New Roman" w:cs="Times New Roman"/>
                <w:szCs w:val="24"/>
                <w:lang w:bidi="lt-LT"/>
              </w:rPr>
              <w:t>.</w:t>
            </w:r>
          </w:p>
        </w:tc>
      </w:tr>
    </w:tbl>
    <w:p w14:paraId="1FAAF4ED" w14:textId="77777777" w:rsidR="00764AC5" w:rsidRPr="00B44B19" w:rsidRDefault="00764AC5" w:rsidP="001E46F0">
      <w:pPr>
        <w:pStyle w:val="Stilius1"/>
        <w:rPr>
          <w:rFonts w:eastAsia="Times New Roman" w:cs="Times New Roman"/>
          <w:iCs/>
          <w:noProof/>
          <w:lang w:eastAsia="lt-LT" w:bidi="lt-LT"/>
        </w:rPr>
      </w:pPr>
      <w:r w:rsidRPr="00B44B19">
        <w:rPr>
          <w:rFonts w:cs="Times New Roman"/>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783D09" w:rsidRPr="00B44B19" w14:paraId="446A99D9" w14:textId="77777777" w:rsidTr="00783D09">
        <w:tc>
          <w:tcPr>
            <w:tcW w:w="9854" w:type="dxa"/>
          </w:tcPr>
          <w:p w14:paraId="7C82E3D0" w14:textId="52EDDF1B" w:rsidR="00783D09" w:rsidRPr="00B44B19" w:rsidRDefault="00163D35" w:rsidP="00E67E5C">
            <w:pPr>
              <w:spacing w:before="60" w:after="60"/>
              <w:rPr>
                <w:rFonts w:cs="Times New Roman"/>
                <w:sz w:val="22"/>
              </w:rPr>
            </w:pPr>
            <w:r w:rsidRPr="00B44B19">
              <w:rPr>
                <w:rFonts w:cs="Times New Roman"/>
                <w:sz w:val="22"/>
                <w:lang w:bidi="lt-LT"/>
              </w:rPr>
              <w:t>Vykdant veiklas siekiama didinti gyvenimo kokybę gerinančių viešųjų paslaugų prieinamumą, įvairovę ir kokybę, kad būtų atliepti in</w:t>
            </w:r>
            <w:r w:rsidR="002000C3" w:rsidRPr="00B44B19">
              <w:rPr>
                <w:rFonts w:cs="Times New Roman"/>
                <w:sz w:val="22"/>
                <w:lang w:bidi="lt-LT"/>
              </w:rPr>
              <w:t>divid</w:t>
            </w:r>
            <w:r w:rsidRPr="00B44B19">
              <w:rPr>
                <w:rFonts w:cs="Times New Roman"/>
                <w:sz w:val="22"/>
                <w:lang w:bidi="lt-LT"/>
              </w:rPr>
              <w:t>ualūs asmens, šeimos, visuomenės grupių ir bendruomenės poreikiai.</w:t>
            </w:r>
          </w:p>
        </w:tc>
      </w:tr>
    </w:tbl>
    <w:p w14:paraId="489CFA44" w14:textId="77777777" w:rsidR="00764AC5" w:rsidRPr="00B44B19" w:rsidRDefault="00764AC5" w:rsidP="001E46F0">
      <w:pPr>
        <w:pStyle w:val="Stilius1"/>
        <w:rPr>
          <w:rFonts w:cs="Times New Roman"/>
        </w:rPr>
      </w:pPr>
      <w:r w:rsidRPr="00B44B19">
        <w:rPr>
          <w:rFonts w:cs="Times New Roman"/>
        </w:rPr>
        <w:t>Konkrečios tikslinės teritorijos, įskaitant planuojamą teritorinių priemonių panaudojimą</w:t>
      </w:r>
    </w:p>
    <w:tbl>
      <w:tblPr>
        <w:tblStyle w:val="Lentelstinklelis10"/>
        <w:tblW w:w="0" w:type="auto"/>
        <w:tblLook w:val="04A0" w:firstRow="1" w:lastRow="0" w:firstColumn="1" w:lastColumn="0" w:noHBand="0" w:noVBand="1"/>
      </w:tblPr>
      <w:tblGrid>
        <w:gridCol w:w="9628"/>
      </w:tblGrid>
      <w:tr w:rsidR="00764AC5" w:rsidRPr="00B44B19" w14:paraId="4A7E414C" w14:textId="77777777" w:rsidTr="003F0D9F">
        <w:tc>
          <w:tcPr>
            <w:tcW w:w="9854" w:type="dxa"/>
          </w:tcPr>
          <w:p w14:paraId="4939D3C6" w14:textId="77777777" w:rsidR="00764AC5" w:rsidRPr="00B44B19" w:rsidRDefault="005720EF" w:rsidP="00E67E5C">
            <w:pPr>
              <w:spacing w:before="60" w:after="60"/>
              <w:jc w:val="both"/>
              <w:rPr>
                <w:rFonts w:ascii="Times New Roman" w:hAnsi="Times New Roman" w:cs="Times New Roman"/>
                <w:szCs w:val="24"/>
              </w:rPr>
            </w:pPr>
            <w:r w:rsidRPr="00B44B19">
              <w:rPr>
                <w:rFonts w:ascii="Times New Roman" w:hAnsi="Times New Roman" w:cs="Times New Roman"/>
                <w:szCs w:val="24"/>
              </w:rPr>
              <w:t>VVL regionas, Sostinės regionas</w:t>
            </w:r>
            <w:r w:rsidR="00D27042" w:rsidRPr="00B44B19">
              <w:rPr>
                <w:rFonts w:ascii="Times New Roman" w:hAnsi="Times New Roman" w:cs="Times New Roman"/>
                <w:szCs w:val="24"/>
              </w:rPr>
              <w:t>.</w:t>
            </w:r>
          </w:p>
        </w:tc>
      </w:tr>
    </w:tbl>
    <w:p w14:paraId="689BEFCD" w14:textId="77777777" w:rsidR="00764AC5" w:rsidRPr="00B44B19" w:rsidRDefault="00764AC5" w:rsidP="001E46F0">
      <w:pPr>
        <w:pStyle w:val="Stilius1"/>
        <w:rPr>
          <w:rFonts w:cs="Times New Roman"/>
        </w:rPr>
      </w:pPr>
      <w:r w:rsidRPr="00B44B19">
        <w:rPr>
          <w:rFonts w:cs="Times New Roman"/>
        </w:rPr>
        <w:t>Tarpregioniniai</w:t>
      </w:r>
      <w:r w:rsidR="00993B5D" w:rsidRPr="00B44B19">
        <w:rPr>
          <w:rFonts w:cs="Times New Roman"/>
        </w:rPr>
        <w:t>, tarp sienų</w:t>
      </w:r>
      <w:r w:rsidRPr="00B44B19">
        <w:rPr>
          <w:rFonts w:cs="Times New Roman"/>
        </w:rPr>
        <w:t xml:space="preserve"> ir tarpvalstybiniai veiksmai</w:t>
      </w:r>
    </w:p>
    <w:tbl>
      <w:tblPr>
        <w:tblStyle w:val="Lentelstinklelis10"/>
        <w:tblW w:w="0" w:type="auto"/>
        <w:tblLook w:val="04A0" w:firstRow="1" w:lastRow="0" w:firstColumn="1" w:lastColumn="0" w:noHBand="0" w:noVBand="1"/>
      </w:tblPr>
      <w:tblGrid>
        <w:gridCol w:w="9628"/>
      </w:tblGrid>
      <w:tr w:rsidR="00764AC5" w:rsidRPr="00B44B19" w14:paraId="07AADB02" w14:textId="77777777" w:rsidTr="003F0D9F">
        <w:tc>
          <w:tcPr>
            <w:tcW w:w="9854" w:type="dxa"/>
          </w:tcPr>
          <w:p w14:paraId="414B7A97" w14:textId="77777777" w:rsidR="00764AC5" w:rsidRPr="00B44B19" w:rsidRDefault="00993B5D" w:rsidP="00E67E5C">
            <w:pPr>
              <w:spacing w:before="60" w:after="60"/>
              <w:jc w:val="both"/>
              <w:rPr>
                <w:rFonts w:ascii="Times New Roman" w:hAnsi="Times New Roman" w:cs="Times New Roman"/>
              </w:rPr>
            </w:pPr>
            <w:r w:rsidRPr="00B44B19">
              <w:rPr>
                <w:rFonts w:ascii="Times New Roman" w:hAnsi="Times New Roman" w:cs="Times New Roman"/>
                <w:bCs/>
                <w:noProof/>
                <w:lang w:eastAsia="lt-LT" w:bidi="lt-LT"/>
              </w:rPr>
              <w:t>Numatoma sudaryti visas galimybes prireikus juos atlikti</w:t>
            </w:r>
            <w:r w:rsidR="00503322" w:rsidRPr="00B44B19">
              <w:rPr>
                <w:rFonts w:ascii="Times New Roman" w:hAnsi="Times New Roman" w:cs="Times New Roman"/>
                <w:bCs/>
                <w:noProof/>
                <w:lang w:eastAsia="lt-LT" w:bidi="lt-LT"/>
              </w:rPr>
              <w:t>.</w:t>
            </w:r>
          </w:p>
        </w:tc>
      </w:tr>
    </w:tbl>
    <w:p w14:paraId="40A0A1A3" w14:textId="77777777" w:rsidR="00764AC5" w:rsidRPr="00B44B19" w:rsidRDefault="00764AC5" w:rsidP="001E46F0">
      <w:pPr>
        <w:pStyle w:val="Stilius1"/>
        <w:rPr>
          <w:rFonts w:cs="Times New Roman"/>
        </w:rPr>
      </w:pPr>
      <w:r w:rsidRPr="00B44B19">
        <w:rPr>
          <w:rFonts w:cs="Times New Roman"/>
        </w:rPr>
        <w:t>Planuojamas finansinių priemonių naudojimas</w:t>
      </w:r>
    </w:p>
    <w:tbl>
      <w:tblPr>
        <w:tblStyle w:val="Lentelstinklelis10"/>
        <w:tblW w:w="0" w:type="auto"/>
        <w:tblLook w:val="04A0" w:firstRow="1" w:lastRow="0" w:firstColumn="1" w:lastColumn="0" w:noHBand="0" w:noVBand="1"/>
      </w:tblPr>
      <w:tblGrid>
        <w:gridCol w:w="9628"/>
      </w:tblGrid>
      <w:tr w:rsidR="00764AC5" w:rsidRPr="00B44B19" w14:paraId="711421CD" w14:textId="77777777" w:rsidTr="003F0D9F">
        <w:tc>
          <w:tcPr>
            <w:tcW w:w="9854" w:type="dxa"/>
          </w:tcPr>
          <w:p w14:paraId="6D65AFBF" w14:textId="77777777" w:rsidR="00764AC5" w:rsidRPr="00B44B19" w:rsidRDefault="00D43A78" w:rsidP="00E67E5C">
            <w:pPr>
              <w:spacing w:before="60" w:after="60"/>
              <w:jc w:val="both"/>
              <w:rPr>
                <w:rFonts w:ascii="Times New Roman" w:hAnsi="Times New Roman" w:cs="Times New Roman"/>
              </w:rPr>
            </w:pPr>
            <w:r w:rsidRPr="00B44B19">
              <w:rPr>
                <w:rFonts w:ascii="Times New Roman" w:eastAsia="Calibri" w:hAnsi="Times New Roman" w:cs="Times New Roman"/>
                <w:noProof/>
                <w:lang w:eastAsia="lt-LT" w:bidi="lt-LT"/>
              </w:rPr>
              <w:t>–</w:t>
            </w:r>
          </w:p>
        </w:tc>
      </w:tr>
    </w:tbl>
    <w:p w14:paraId="2C61B993" w14:textId="77777777" w:rsidR="00764AC5" w:rsidRPr="00B44B19" w:rsidRDefault="00764AC5" w:rsidP="001E46F0">
      <w:pPr>
        <w:pStyle w:val="Stilius1"/>
        <w:rPr>
          <w:rFonts w:eastAsia="Calibri" w:cs="Times New Roman"/>
          <w:noProof/>
          <w:szCs w:val="20"/>
          <w:lang w:eastAsia="lt-LT" w:bidi="lt-LT"/>
        </w:rPr>
      </w:pPr>
      <w:r w:rsidRPr="00B44B19">
        <w:rPr>
          <w:rFonts w:cs="Times New Roman"/>
        </w:rPr>
        <w:t>Rodikliai</w:t>
      </w:r>
    </w:p>
    <w:p w14:paraId="3C18F8DF" w14:textId="77777777" w:rsidR="00764AC5" w:rsidRPr="00B44B19" w:rsidRDefault="00764AC5" w:rsidP="00764AC5">
      <w:pPr>
        <w:spacing w:before="240" w:after="0" w:line="240" w:lineRule="auto"/>
        <w:jc w:val="both"/>
        <w:rPr>
          <w:rFonts w:cs="Times New Roman"/>
          <w:bCs/>
          <w:szCs w:val="24"/>
          <w:lang w:val="en-US"/>
        </w:rPr>
      </w:pPr>
      <w:r w:rsidRPr="00B44B19">
        <w:rPr>
          <w:rFonts w:cs="Times New Roman"/>
          <w:b/>
          <w:sz w:val="20"/>
          <w:szCs w:val="24"/>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957"/>
        <w:gridCol w:w="824"/>
        <w:gridCol w:w="968"/>
        <w:gridCol w:w="1243"/>
        <w:gridCol w:w="1522"/>
        <w:gridCol w:w="1111"/>
        <w:gridCol w:w="968"/>
        <w:gridCol w:w="926"/>
      </w:tblGrid>
      <w:tr w:rsidR="00163D35" w:rsidRPr="00B44B19" w14:paraId="44CCB3F4" w14:textId="77777777" w:rsidTr="007F6814">
        <w:trPr>
          <w:trHeight w:val="612"/>
          <w:tblHeader/>
        </w:trPr>
        <w:tc>
          <w:tcPr>
            <w:tcW w:w="5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104CE5"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4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62A469"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4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4A4B54"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38A0AB"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64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78A113"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7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C857C0"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57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DB58B6"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E7109D"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Tarpinė reikšmė (2024 m.)</w:t>
            </w:r>
          </w:p>
        </w:tc>
        <w:tc>
          <w:tcPr>
            <w:tcW w:w="48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753059" w14:textId="77777777" w:rsidR="00163D35" w:rsidRPr="00B44B19" w:rsidRDefault="00163D35" w:rsidP="00163D35">
            <w:pPr>
              <w:spacing w:after="0" w:line="240" w:lineRule="auto"/>
              <w:jc w:val="center"/>
              <w:rPr>
                <w:rFonts w:eastAsia="Calibri" w:cs="Times New Roman"/>
                <w:b/>
                <w:noProof/>
                <w:sz w:val="16"/>
                <w:szCs w:val="16"/>
              </w:rPr>
            </w:pPr>
            <w:r w:rsidRPr="00B44B19">
              <w:rPr>
                <w:rFonts w:eastAsia="Calibri" w:cs="Times New Roman"/>
                <w:b/>
                <w:noProof/>
                <w:sz w:val="16"/>
                <w:szCs w:val="16"/>
              </w:rPr>
              <w:t>Siek</w:t>
            </w:r>
            <w:r w:rsidR="0031135B" w:rsidRPr="00B44B19">
              <w:rPr>
                <w:rFonts w:eastAsia="Calibri" w:cs="Times New Roman"/>
                <w:b/>
                <w:noProof/>
                <w:sz w:val="16"/>
                <w:szCs w:val="16"/>
              </w:rPr>
              <w:t>tina reikšmė</w:t>
            </w:r>
            <w:r w:rsidRPr="00B44B19">
              <w:rPr>
                <w:rFonts w:eastAsia="Calibri" w:cs="Times New Roman"/>
                <w:b/>
                <w:noProof/>
                <w:sz w:val="16"/>
                <w:szCs w:val="16"/>
              </w:rPr>
              <w:t xml:space="preserve"> (2029 m.)</w:t>
            </w:r>
          </w:p>
        </w:tc>
      </w:tr>
      <w:tr w:rsidR="00163D35" w:rsidRPr="00B44B19" w14:paraId="62CDEE70" w14:textId="77777777" w:rsidTr="007F6814">
        <w:trPr>
          <w:trHeight w:val="340"/>
        </w:trPr>
        <w:tc>
          <w:tcPr>
            <w:tcW w:w="566" w:type="pct"/>
            <w:vMerge w:val="restart"/>
            <w:tcBorders>
              <w:top w:val="single" w:sz="12" w:space="0" w:color="auto"/>
            </w:tcBorders>
          </w:tcPr>
          <w:p w14:paraId="7C206783"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6. Inovatyvūs sprendimai</w:t>
            </w:r>
          </w:p>
        </w:tc>
        <w:tc>
          <w:tcPr>
            <w:tcW w:w="498" w:type="pct"/>
            <w:vMerge w:val="restart"/>
            <w:tcBorders>
              <w:top w:val="single" w:sz="12" w:space="0" w:color="auto"/>
            </w:tcBorders>
          </w:tcPr>
          <w:p w14:paraId="022FFE8F"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6.1</w:t>
            </w:r>
          </w:p>
        </w:tc>
        <w:tc>
          <w:tcPr>
            <w:tcW w:w="429" w:type="pct"/>
            <w:vMerge w:val="restart"/>
            <w:tcBorders>
              <w:top w:val="single" w:sz="12" w:space="0" w:color="auto"/>
            </w:tcBorders>
          </w:tcPr>
          <w:p w14:paraId="06457212"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ESF+</w:t>
            </w:r>
          </w:p>
        </w:tc>
        <w:tc>
          <w:tcPr>
            <w:tcW w:w="504" w:type="pct"/>
            <w:tcBorders>
              <w:top w:val="single" w:sz="12" w:space="0" w:color="auto"/>
              <w:bottom w:val="single" w:sz="4" w:space="0" w:color="auto"/>
            </w:tcBorders>
          </w:tcPr>
          <w:p w14:paraId="3135BFE9"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Sostinės regionas</w:t>
            </w:r>
          </w:p>
        </w:tc>
        <w:tc>
          <w:tcPr>
            <w:tcW w:w="647" w:type="pct"/>
            <w:tcBorders>
              <w:top w:val="single" w:sz="12" w:space="0" w:color="auto"/>
              <w:bottom w:val="single" w:sz="4" w:space="0" w:color="auto"/>
            </w:tcBorders>
          </w:tcPr>
          <w:p w14:paraId="76100DEC"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Specialusis</w:t>
            </w:r>
          </w:p>
        </w:tc>
        <w:tc>
          <w:tcPr>
            <w:tcW w:w="792" w:type="pct"/>
            <w:tcBorders>
              <w:top w:val="single" w:sz="12" w:space="0" w:color="auto"/>
              <w:bottom w:val="single" w:sz="4" w:space="0" w:color="auto"/>
            </w:tcBorders>
          </w:tcPr>
          <w:p w14:paraId="60F301D8"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dalyvavę kompetencijos ir (ar) kvalifikacijos tobulinimo veiklose</w:t>
            </w:r>
          </w:p>
        </w:tc>
        <w:tc>
          <w:tcPr>
            <w:tcW w:w="578" w:type="pct"/>
            <w:tcBorders>
              <w:top w:val="single" w:sz="12" w:space="0" w:color="auto"/>
              <w:bottom w:val="single" w:sz="4" w:space="0" w:color="auto"/>
            </w:tcBorders>
          </w:tcPr>
          <w:p w14:paraId="659A9B4D"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4" w:type="pct"/>
            <w:tcBorders>
              <w:top w:val="single" w:sz="12" w:space="0" w:color="auto"/>
              <w:bottom w:val="single" w:sz="4" w:space="0" w:color="auto"/>
            </w:tcBorders>
          </w:tcPr>
          <w:p w14:paraId="7744BF06" w14:textId="77777777" w:rsidR="00163D35" w:rsidRPr="00B44B19" w:rsidRDefault="00E57B37" w:rsidP="00163D35">
            <w:pPr>
              <w:spacing w:after="0" w:line="240" w:lineRule="auto"/>
              <w:jc w:val="center"/>
              <w:rPr>
                <w:rFonts w:eastAsia="Calibri" w:cs="Times New Roman"/>
                <w:noProof/>
                <w:sz w:val="16"/>
                <w:szCs w:val="16"/>
              </w:rPr>
            </w:pPr>
            <w:r w:rsidRPr="00B44B19">
              <w:rPr>
                <w:rFonts w:eastAsia="Calibri" w:cs="Times New Roman"/>
                <w:noProof/>
                <w:sz w:val="16"/>
                <w:szCs w:val="16"/>
              </w:rPr>
              <w:t>188</w:t>
            </w:r>
          </w:p>
        </w:tc>
        <w:tc>
          <w:tcPr>
            <w:tcW w:w="482" w:type="pct"/>
            <w:tcBorders>
              <w:top w:val="single" w:sz="12" w:space="0" w:color="auto"/>
              <w:bottom w:val="single" w:sz="4" w:space="0" w:color="auto"/>
            </w:tcBorders>
          </w:tcPr>
          <w:p w14:paraId="23613228" w14:textId="77777777" w:rsidR="00163D35" w:rsidRPr="00B44B19" w:rsidRDefault="00E57B37" w:rsidP="00163D35">
            <w:pPr>
              <w:spacing w:after="0" w:line="240" w:lineRule="auto"/>
              <w:jc w:val="center"/>
              <w:rPr>
                <w:rFonts w:eastAsia="Calibri" w:cs="Times New Roman"/>
                <w:noProof/>
                <w:sz w:val="16"/>
                <w:szCs w:val="16"/>
              </w:rPr>
            </w:pPr>
            <w:r w:rsidRPr="00B44B19">
              <w:rPr>
                <w:rFonts w:eastAsia="Calibri" w:cs="Times New Roman"/>
                <w:noProof/>
                <w:sz w:val="16"/>
                <w:szCs w:val="16"/>
              </w:rPr>
              <w:t>625</w:t>
            </w:r>
          </w:p>
        </w:tc>
      </w:tr>
      <w:tr w:rsidR="00163D35" w:rsidRPr="00B44B19" w14:paraId="0572D50B" w14:textId="77777777" w:rsidTr="007F6814">
        <w:trPr>
          <w:trHeight w:val="340"/>
        </w:trPr>
        <w:tc>
          <w:tcPr>
            <w:tcW w:w="566" w:type="pct"/>
            <w:vMerge/>
          </w:tcPr>
          <w:p w14:paraId="11412A96" w14:textId="77777777" w:rsidR="00163D35" w:rsidRPr="00B44B19" w:rsidRDefault="00163D35" w:rsidP="00163D35">
            <w:pPr>
              <w:spacing w:after="0" w:line="240" w:lineRule="auto"/>
              <w:jc w:val="both"/>
              <w:rPr>
                <w:rFonts w:eastAsia="Calibri" w:cs="Times New Roman"/>
                <w:noProof/>
                <w:sz w:val="16"/>
                <w:szCs w:val="16"/>
              </w:rPr>
            </w:pPr>
          </w:p>
        </w:tc>
        <w:tc>
          <w:tcPr>
            <w:tcW w:w="498" w:type="pct"/>
            <w:vMerge/>
          </w:tcPr>
          <w:p w14:paraId="0C0B858D" w14:textId="77777777" w:rsidR="00163D35" w:rsidRPr="00B44B19" w:rsidRDefault="00163D35" w:rsidP="00163D35">
            <w:pPr>
              <w:spacing w:after="0" w:line="240" w:lineRule="auto"/>
              <w:jc w:val="both"/>
              <w:rPr>
                <w:rFonts w:eastAsia="Calibri" w:cs="Times New Roman"/>
                <w:noProof/>
                <w:sz w:val="16"/>
                <w:szCs w:val="16"/>
              </w:rPr>
            </w:pPr>
          </w:p>
        </w:tc>
        <w:tc>
          <w:tcPr>
            <w:tcW w:w="429" w:type="pct"/>
            <w:vMerge/>
          </w:tcPr>
          <w:p w14:paraId="310F2985" w14:textId="77777777" w:rsidR="00163D35" w:rsidRPr="00B44B19"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tcBorders>
          </w:tcPr>
          <w:p w14:paraId="2DB8AF1B"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VVL regionas</w:t>
            </w:r>
          </w:p>
        </w:tc>
        <w:tc>
          <w:tcPr>
            <w:tcW w:w="647" w:type="pct"/>
            <w:tcBorders>
              <w:top w:val="single" w:sz="4" w:space="0" w:color="auto"/>
              <w:bottom w:val="single" w:sz="4" w:space="0" w:color="auto"/>
            </w:tcBorders>
          </w:tcPr>
          <w:p w14:paraId="212265D8" w14:textId="77777777" w:rsidR="00163D35" w:rsidRPr="00B44B19" w:rsidRDefault="00163D35" w:rsidP="00163D35">
            <w:pPr>
              <w:spacing w:after="0" w:line="240" w:lineRule="auto"/>
              <w:rPr>
                <w:rFonts w:eastAsia="Calibri" w:cs="Times New Roman"/>
              </w:rPr>
            </w:pPr>
            <w:r w:rsidRPr="00B44B19">
              <w:rPr>
                <w:rFonts w:eastAsia="Calibri" w:cs="Times New Roman"/>
                <w:noProof/>
                <w:sz w:val="16"/>
                <w:szCs w:val="16"/>
              </w:rPr>
              <w:t>Specialusis</w:t>
            </w:r>
          </w:p>
        </w:tc>
        <w:tc>
          <w:tcPr>
            <w:tcW w:w="792" w:type="pct"/>
            <w:tcBorders>
              <w:top w:val="single" w:sz="4" w:space="0" w:color="auto"/>
              <w:bottom w:val="single" w:sz="4" w:space="0" w:color="auto"/>
            </w:tcBorders>
          </w:tcPr>
          <w:p w14:paraId="3FA9CA70"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 dalyvavę kompetencijos ir (ar) kvalifikacijos tobulinimo veiklose</w:t>
            </w:r>
          </w:p>
        </w:tc>
        <w:tc>
          <w:tcPr>
            <w:tcW w:w="578" w:type="pct"/>
            <w:tcBorders>
              <w:top w:val="single" w:sz="4" w:space="0" w:color="auto"/>
              <w:bottom w:val="single" w:sz="4" w:space="0" w:color="auto"/>
            </w:tcBorders>
          </w:tcPr>
          <w:p w14:paraId="6FC802A7"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Asmenys</w:t>
            </w:r>
          </w:p>
        </w:tc>
        <w:tc>
          <w:tcPr>
            <w:tcW w:w="504" w:type="pct"/>
            <w:tcBorders>
              <w:top w:val="single" w:sz="4" w:space="0" w:color="auto"/>
              <w:bottom w:val="single" w:sz="4" w:space="0" w:color="auto"/>
            </w:tcBorders>
          </w:tcPr>
          <w:p w14:paraId="671AA3F2" w14:textId="77777777" w:rsidR="00163D35" w:rsidRPr="00B44B19" w:rsidRDefault="00590442" w:rsidP="00163D35">
            <w:pPr>
              <w:spacing w:after="0" w:line="240" w:lineRule="auto"/>
              <w:jc w:val="center"/>
              <w:rPr>
                <w:rFonts w:eastAsia="Calibri" w:cs="Times New Roman"/>
                <w:noProof/>
                <w:sz w:val="16"/>
                <w:szCs w:val="16"/>
              </w:rPr>
            </w:pPr>
            <w:r w:rsidRPr="00B44B19">
              <w:rPr>
                <w:rFonts w:eastAsia="Calibri" w:cs="Times New Roman"/>
                <w:noProof/>
                <w:sz w:val="16"/>
                <w:szCs w:val="16"/>
              </w:rPr>
              <w:t>1 821</w:t>
            </w:r>
          </w:p>
        </w:tc>
        <w:tc>
          <w:tcPr>
            <w:tcW w:w="482" w:type="pct"/>
            <w:tcBorders>
              <w:top w:val="single" w:sz="4" w:space="0" w:color="auto"/>
              <w:bottom w:val="single" w:sz="4" w:space="0" w:color="auto"/>
            </w:tcBorders>
          </w:tcPr>
          <w:p w14:paraId="04106EAF" w14:textId="77777777" w:rsidR="00163D35" w:rsidRPr="00B44B19" w:rsidRDefault="00590442" w:rsidP="00163D35">
            <w:pPr>
              <w:spacing w:after="0" w:line="240" w:lineRule="auto"/>
              <w:jc w:val="center"/>
              <w:rPr>
                <w:rFonts w:eastAsia="Calibri" w:cs="Times New Roman"/>
                <w:noProof/>
                <w:sz w:val="16"/>
                <w:szCs w:val="16"/>
              </w:rPr>
            </w:pPr>
            <w:r w:rsidRPr="00B44B19">
              <w:rPr>
                <w:rFonts w:eastAsia="Calibri" w:cs="Times New Roman"/>
                <w:noProof/>
                <w:sz w:val="16"/>
                <w:szCs w:val="16"/>
              </w:rPr>
              <w:t>6 070</w:t>
            </w:r>
          </w:p>
        </w:tc>
      </w:tr>
      <w:tr w:rsidR="00163D35" w:rsidRPr="00B44B19" w14:paraId="0CC427EA" w14:textId="77777777" w:rsidTr="007F6814">
        <w:trPr>
          <w:trHeight w:val="340"/>
        </w:trPr>
        <w:tc>
          <w:tcPr>
            <w:tcW w:w="566" w:type="pct"/>
            <w:vMerge/>
          </w:tcPr>
          <w:p w14:paraId="2163B395" w14:textId="77777777" w:rsidR="00163D35" w:rsidRPr="00B44B19" w:rsidRDefault="00163D35" w:rsidP="00163D35">
            <w:pPr>
              <w:spacing w:after="0" w:line="240" w:lineRule="auto"/>
              <w:jc w:val="both"/>
              <w:rPr>
                <w:rFonts w:eastAsia="Calibri" w:cs="Times New Roman"/>
                <w:noProof/>
                <w:sz w:val="16"/>
                <w:szCs w:val="16"/>
              </w:rPr>
            </w:pPr>
          </w:p>
        </w:tc>
        <w:tc>
          <w:tcPr>
            <w:tcW w:w="498" w:type="pct"/>
            <w:vMerge/>
          </w:tcPr>
          <w:p w14:paraId="08ED1188" w14:textId="77777777" w:rsidR="00163D35" w:rsidRPr="00B44B19" w:rsidRDefault="00163D35" w:rsidP="00163D35">
            <w:pPr>
              <w:spacing w:after="0" w:line="240" w:lineRule="auto"/>
              <w:jc w:val="both"/>
              <w:rPr>
                <w:rFonts w:eastAsia="Calibri" w:cs="Times New Roman"/>
                <w:noProof/>
                <w:sz w:val="16"/>
                <w:szCs w:val="16"/>
              </w:rPr>
            </w:pPr>
          </w:p>
        </w:tc>
        <w:tc>
          <w:tcPr>
            <w:tcW w:w="429" w:type="pct"/>
            <w:vMerge/>
          </w:tcPr>
          <w:p w14:paraId="09C63CF1" w14:textId="77777777" w:rsidR="00163D35" w:rsidRPr="00B44B19"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tcBorders>
          </w:tcPr>
          <w:p w14:paraId="151C9550"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Sostinės regionas</w:t>
            </w:r>
          </w:p>
        </w:tc>
        <w:tc>
          <w:tcPr>
            <w:tcW w:w="647" w:type="pct"/>
            <w:tcBorders>
              <w:top w:val="single" w:sz="4" w:space="0" w:color="auto"/>
              <w:bottom w:val="single" w:sz="4" w:space="0" w:color="auto"/>
            </w:tcBorders>
          </w:tcPr>
          <w:p w14:paraId="0498D48A" w14:textId="77777777" w:rsidR="00163D35" w:rsidRPr="00B44B19" w:rsidRDefault="00163D35" w:rsidP="00163D35">
            <w:pPr>
              <w:spacing w:after="0" w:line="240" w:lineRule="auto"/>
              <w:rPr>
                <w:rFonts w:eastAsia="Calibri" w:cs="Times New Roman"/>
              </w:rPr>
            </w:pPr>
            <w:r w:rsidRPr="00B44B19">
              <w:rPr>
                <w:rFonts w:eastAsia="Calibri" w:cs="Times New Roman"/>
                <w:noProof/>
                <w:sz w:val="16"/>
                <w:szCs w:val="16"/>
              </w:rPr>
              <w:t>Specialusis</w:t>
            </w:r>
          </w:p>
        </w:tc>
        <w:tc>
          <w:tcPr>
            <w:tcW w:w="792" w:type="pct"/>
            <w:tcBorders>
              <w:top w:val="single" w:sz="4" w:space="0" w:color="auto"/>
              <w:bottom w:val="single" w:sz="4" w:space="0" w:color="auto"/>
            </w:tcBorders>
          </w:tcPr>
          <w:p w14:paraId="761E67A1"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Organizacijos, dalyvavusios socialinių paslaugų kokybės standarto diegimo ir </w:t>
            </w:r>
            <w:r w:rsidR="00925F25" w:rsidRPr="00B44B19">
              <w:rPr>
                <w:rFonts w:eastAsia="Calibri" w:cs="Times New Roman"/>
                <w:sz w:val="16"/>
                <w:szCs w:val="16"/>
                <w:lang w:eastAsia="lt-LT" w:bidi="lt-LT"/>
              </w:rPr>
              <w:t xml:space="preserve">(ar) </w:t>
            </w:r>
            <w:r w:rsidRPr="00B44B19">
              <w:rPr>
                <w:rFonts w:eastAsia="Calibri" w:cs="Times New Roman"/>
                <w:sz w:val="16"/>
                <w:szCs w:val="16"/>
                <w:lang w:eastAsia="lt-LT" w:bidi="lt-LT"/>
              </w:rPr>
              <w:t>palaikymo veiklose</w:t>
            </w:r>
          </w:p>
        </w:tc>
        <w:tc>
          <w:tcPr>
            <w:tcW w:w="578" w:type="pct"/>
            <w:tcBorders>
              <w:top w:val="single" w:sz="4" w:space="0" w:color="auto"/>
              <w:bottom w:val="single" w:sz="4" w:space="0" w:color="auto"/>
            </w:tcBorders>
          </w:tcPr>
          <w:p w14:paraId="077A7FDB" w14:textId="77777777" w:rsidR="00163D35" w:rsidRPr="00B44B19" w:rsidRDefault="00536FCB" w:rsidP="00163D35">
            <w:pPr>
              <w:spacing w:after="0" w:line="240" w:lineRule="auto"/>
              <w:rPr>
                <w:rFonts w:eastAsia="Calibri" w:cs="Times New Roman"/>
                <w:sz w:val="16"/>
                <w:szCs w:val="16"/>
                <w:lang w:eastAsia="lt-LT" w:bidi="lt-LT"/>
              </w:rPr>
            </w:pPr>
            <w:r w:rsidRPr="00B44B19">
              <w:rPr>
                <w:rFonts w:eastAsia="Calibri" w:cs="Times New Roman"/>
                <w:noProof/>
                <w:sz w:val="16"/>
                <w:szCs w:val="16"/>
              </w:rPr>
              <w:t>Skaičius</w:t>
            </w:r>
          </w:p>
        </w:tc>
        <w:tc>
          <w:tcPr>
            <w:tcW w:w="504" w:type="pct"/>
            <w:tcBorders>
              <w:top w:val="single" w:sz="4" w:space="0" w:color="auto"/>
              <w:bottom w:val="single" w:sz="4" w:space="0" w:color="auto"/>
            </w:tcBorders>
          </w:tcPr>
          <w:p w14:paraId="0187AB7C" w14:textId="77777777" w:rsidR="00163D35" w:rsidRPr="00B44B19" w:rsidRDefault="00925F25" w:rsidP="00163D35">
            <w:pPr>
              <w:spacing w:after="0" w:line="240" w:lineRule="auto"/>
              <w:jc w:val="center"/>
              <w:rPr>
                <w:rFonts w:eastAsia="Calibri" w:cs="Times New Roman"/>
                <w:noProof/>
                <w:sz w:val="16"/>
                <w:szCs w:val="16"/>
              </w:rPr>
            </w:pPr>
            <w:r w:rsidRPr="00B44B19">
              <w:rPr>
                <w:rFonts w:eastAsia="Calibri" w:cs="Times New Roman"/>
                <w:noProof/>
                <w:sz w:val="16"/>
                <w:szCs w:val="16"/>
              </w:rPr>
              <w:t>10</w:t>
            </w:r>
          </w:p>
        </w:tc>
        <w:tc>
          <w:tcPr>
            <w:tcW w:w="482" w:type="pct"/>
            <w:tcBorders>
              <w:top w:val="single" w:sz="4" w:space="0" w:color="auto"/>
              <w:bottom w:val="single" w:sz="4" w:space="0" w:color="auto"/>
            </w:tcBorders>
          </w:tcPr>
          <w:p w14:paraId="4CCA6CFE" w14:textId="77777777" w:rsidR="00163D35" w:rsidRPr="00B44B19" w:rsidRDefault="00163D35" w:rsidP="00163D35">
            <w:pPr>
              <w:spacing w:after="0" w:line="240" w:lineRule="auto"/>
              <w:jc w:val="center"/>
              <w:rPr>
                <w:rFonts w:eastAsia="Calibri" w:cs="Times New Roman"/>
                <w:noProof/>
                <w:sz w:val="16"/>
                <w:szCs w:val="16"/>
              </w:rPr>
            </w:pPr>
            <w:r w:rsidRPr="00B44B19">
              <w:rPr>
                <w:rFonts w:eastAsia="Calibri" w:cs="Times New Roman"/>
                <w:noProof/>
                <w:sz w:val="16"/>
                <w:szCs w:val="16"/>
              </w:rPr>
              <w:t>48</w:t>
            </w:r>
          </w:p>
        </w:tc>
      </w:tr>
      <w:tr w:rsidR="00163D35" w:rsidRPr="00B44B19" w14:paraId="441C78EA" w14:textId="77777777" w:rsidTr="007F6814">
        <w:trPr>
          <w:trHeight w:val="340"/>
        </w:trPr>
        <w:tc>
          <w:tcPr>
            <w:tcW w:w="566" w:type="pct"/>
            <w:vMerge/>
          </w:tcPr>
          <w:p w14:paraId="5C3C0091" w14:textId="77777777" w:rsidR="00163D35" w:rsidRPr="00B44B19" w:rsidRDefault="00163D35" w:rsidP="00163D35">
            <w:pPr>
              <w:spacing w:after="0" w:line="240" w:lineRule="auto"/>
              <w:jc w:val="both"/>
              <w:rPr>
                <w:rFonts w:eastAsia="Calibri" w:cs="Times New Roman"/>
                <w:noProof/>
                <w:sz w:val="16"/>
                <w:szCs w:val="16"/>
              </w:rPr>
            </w:pPr>
          </w:p>
        </w:tc>
        <w:tc>
          <w:tcPr>
            <w:tcW w:w="498" w:type="pct"/>
            <w:vMerge/>
          </w:tcPr>
          <w:p w14:paraId="04EE9C3D" w14:textId="77777777" w:rsidR="00163D35" w:rsidRPr="00B44B19" w:rsidRDefault="00163D35" w:rsidP="00163D35">
            <w:pPr>
              <w:spacing w:after="0" w:line="240" w:lineRule="auto"/>
              <w:jc w:val="both"/>
              <w:rPr>
                <w:rFonts w:eastAsia="Calibri" w:cs="Times New Roman"/>
                <w:noProof/>
                <w:sz w:val="16"/>
                <w:szCs w:val="16"/>
              </w:rPr>
            </w:pPr>
          </w:p>
        </w:tc>
        <w:tc>
          <w:tcPr>
            <w:tcW w:w="429" w:type="pct"/>
            <w:vMerge/>
          </w:tcPr>
          <w:p w14:paraId="50EC704E" w14:textId="77777777" w:rsidR="00163D35" w:rsidRPr="00B44B19"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right w:val="single" w:sz="2" w:space="0" w:color="auto"/>
            </w:tcBorders>
          </w:tcPr>
          <w:p w14:paraId="199D3741"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VVL regionas</w:t>
            </w:r>
          </w:p>
        </w:tc>
        <w:tc>
          <w:tcPr>
            <w:tcW w:w="647" w:type="pct"/>
            <w:tcBorders>
              <w:top w:val="single" w:sz="4" w:space="0" w:color="auto"/>
              <w:left w:val="single" w:sz="2" w:space="0" w:color="auto"/>
              <w:bottom w:val="single" w:sz="4" w:space="0" w:color="auto"/>
              <w:right w:val="single" w:sz="2" w:space="0" w:color="auto"/>
            </w:tcBorders>
          </w:tcPr>
          <w:p w14:paraId="3F5D8710" w14:textId="77777777" w:rsidR="00163D35" w:rsidRPr="00B44B19" w:rsidRDefault="00163D35" w:rsidP="00163D35">
            <w:pPr>
              <w:spacing w:after="0" w:line="240" w:lineRule="auto"/>
              <w:rPr>
                <w:rFonts w:eastAsia="Calibri" w:cs="Times New Roman"/>
              </w:rPr>
            </w:pPr>
            <w:r w:rsidRPr="00B44B19">
              <w:rPr>
                <w:rFonts w:eastAsia="Calibri" w:cs="Times New Roman"/>
                <w:noProof/>
                <w:sz w:val="16"/>
                <w:szCs w:val="16"/>
              </w:rPr>
              <w:t>Specialusis</w:t>
            </w:r>
          </w:p>
        </w:tc>
        <w:tc>
          <w:tcPr>
            <w:tcW w:w="792" w:type="pct"/>
            <w:tcBorders>
              <w:top w:val="single" w:sz="4" w:space="0" w:color="auto"/>
              <w:left w:val="single" w:sz="2" w:space="0" w:color="auto"/>
              <w:bottom w:val="single" w:sz="4" w:space="0" w:color="auto"/>
              <w:right w:val="single" w:sz="2" w:space="0" w:color="auto"/>
            </w:tcBorders>
          </w:tcPr>
          <w:p w14:paraId="02135179"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 xml:space="preserve">Organizacijos, dalyvavusios socialinių paslaugų kokybės standarto diegimo ir </w:t>
            </w:r>
            <w:r w:rsidR="00925F25" w:rsidRPr="00B44B19">
              <w:rPr>
                <w:rFonts w:eastAsia="Calibri" w:cs="Times New Roman"/>
                <w:sz w:val="16"/>
                <w:szCs w:val="16"/>
                <w:lang w:eastAsia="lt-LT" w:bidi="lt-LT"/>
              </w:rPr>
              <w:t xml:space="preserve">(ar) </w:t>
            </w:r>
            <w:r w:rsidRPr="00B44B19">
              <w:rPr>
                <w:rFonts w:eastAsia="Calibri" w:cs="Times New Roman"/>
                <w:sz w:val="16"/>
                <w:szCs w:val="16"/>
                <w:lang w:eastAsia="lt-LT" w:bidi="lt-LT"/>
              </w:rPr>
              <w:t>palaikymo veiklose</w:t>
            </w:r>
          </w:p>
        </w:tc>
        <w:tc>
          <w:tcPr>
            <w:tcW w:w="578" w:type="pct"/>
            <w:tcBorders>
              <w:top w:val="single" w:sz="4" w:space="0" w:color="auto"/>
              <w:left w:val="single" w:sz="2" w:space="0" w:color="auto"/>
              <w:bottom w:val="single" w:sz="4" w:space="0" w:color="auto"/>
              <w:right w:val="single" w:sz="2" w:space="0" w:color="auto"/>
            </w:tcBorders>
          </w:tcPr>
          <w:p w14:paraId="3A294E92" w14:textId="77777777" w:rsidR="00163D35" w:rsidRPr="00B44B19" w:rsidRDefault="00536FCB" w:rsidP="00163D35">
            <w:pPr>
              <w:spacing w:after="0" w:line="240" w:lineRule="auto"/>
              <w:rPr>
                <w:rFonts w:eastAsia="Calibri" w:cs="Times New Roman"/>
                <w:sz w:val="16"/>
                <w:szCs w:val="16"/>
                <w:lang w:eastAsia="lt-LT" w:bidi="lt-LT"/>
              </w:rPr>
            </w:pPr>
            <w:r w:rsidRPr="00B44B19">
              <w:rPr>
                <w:rFonts w:eastAsia="Calibri" w:cs="Times New Roman"/>
                <w:noProof/>
                <w:sz w:val="16"/>
                <w:szCs w:val="16"/>
              </w:rPr>
              <w:t>Skaičius</w:t>
            </w:r>
          </w:p>
        </w:tc>
        <w:tc>
          <w:tcPr>
            <w:tcW w:w="504" w:type="pct"/>
            <w:tcBorders>
              <w:top w:val="single" w:sz="4" w:space="0" w:color="auto"/>
              <w:left w:val="single" w:sz="2" w:space="0" w:color="auto"/>
              <w:bottom w:val="single" w:sz="4" w:space="0" w:color="auto"/>
              <w:right w:val="single" w:sz="2" w:space="0" w:color="auto"/>
            </w:tcBorders>
          </w:tcPr>
          <w:p w14:paraId="5DB8190C" w14:textId="77777777" w:rsidR="00163D35" w:rsidRPr="00B44B19" w:rsidRDefault="00925F25" w:rsidP="00163D35">
            <w:pPr>
              <w:spacing w:after="0" w:line="240" w:lineRule="auto"/>
              <w:jc w:val="center"/>
              <w:rPr>
                <w:rFonts w:eastAsia="Calibri" w:cs="Times New Roman"/>
                <w:noProof/>
                <w:sz w:val="16"/>
                <w:szCs w:val="16"/>
              </w:rPr>
            </w:pPr>
            <w:r w:rsidRPr="00B44B19">
              <w:rPr>
                <w:rFonts w:eastAsia="Calibri" w:cs="Times New Roman"/>
                <w:noProof/>
                <w:sz w:val="16"/>
                <w:szCs w:val="16"/>
              </w:rPr>
              <w:t>51</w:t>
            </w:r>
          </w:p>
        </w:tc>
        <w:tc>
          <w:tcPr>
            <w:tcW w:w="482" w:type="pct"/>
            <w:tcBorders>
              <w:top w:val="single" w:sz="4" w:space="0" w:color="auto"/>
              <w:left w:val="single" w:sz="2" w:space="0" w:color="auto"/>
              <w:bottom w:val="single" w:sz="4" w:space="0" w:color="auto"/>
              <w:right w:val="single" w:sz="2" w:space="0" w:color="auto"/>
            </w:tcBorders>
          </w:tcPr>
          <w:p w14:paraId="7AA5C250" w14:textId="77777777" w:rsidR="00163D35" w:rsidRPr="00B44B19" w:rsidRDefault="00163D35" w:rsidP="00163D35">
            <w:pPr>
              <w:spacing w:after="0" w:line="240" w:lineRule="auto"/>
              <w:jc w:val="center"/>
              <w:rPr>
                <w:rFonts w:eastAsia="Calibri" w:cs="Times New Roman"/>
                <w:noProof/>
                <w:sz w:val="16"/>
                <w:szCs w:val="16"/>
              </w:rPr>
            </w:pPr>
            <w:r w:rsidRPr="00B44B19">
              <w:rPr>
                <w:rFonts w:eastAsia="Calibri" w:cs="Times New Roman"/>
                <w:noProof/>
                <w:sz w:val="16"/>
                <w:szCs w:val="16"/>
              </w:rPr>
              <w:t>255</w:t>
            </w:r>
          </w:p>
        </w:tc>
      </w:tr>
      <w:tr w:rsidR="00163D35" w:rsidRPr="00B44B19" w14:paraId="2E719E3B" w14:textId="77777777" w:rsidTr="007F6814">
        <w:trPr>
          <w:trHeight w:val="340"/>
        </w:trPr>
        <w:tc>
          <w:tcPr>
            <w:tcW w:w="566" w:type="pct"/>
            <w:vMerge/>
          </w:tcPr>
          <w:p w14:paraId="13577A9C" w14:textId="77777777" w:rsidR="00163D35" w:rsidRPr="00B44B19" w:rsidRDefault="00163D35" w:rsidP="00163D35">
            <w:pPr>
              <w:spacing w:after="0" w:line="240" w:lineRule="auto"/>
              <w:jc w:val="both"/>
              <w:rPr>
                <w:rFonts w:eastAsia="Calibri" w:cs="Times New Roman"/>
                <w:noProof/>
                <w:sz w:val="16"/>
                <w:szCs w:val="16"/>
              </w:rPr>
            </w:pPr>
          </w:p>
        </w:tc>
        <w:tc>
          <w:tcPr>
            <w:tcW w:w="498" w:type="pct"/>
            <w:vMerge/>
          </w:tcPr>
          <w:p w14:paraId="1E075EBB" w14:textId="77777777" w:rsidR="00163D35" w:rsidRPr="00B44B19" w:rsidRDefault="00163D35" w:rsidP="00163D35">
            <w:pPr>
              <w:spacing w:after="0" w:line="240" w:lineRule="auto"/>
              <w:jc w:val="both"/>
              <w:rPr>
                <w:rFonts w:eastAsia="Calibri" w:cs="Times New Roman"/>
                <w:noProof/>
                <w:sz w:val="16"/>
                <w:szCs w:val="16"/>
              </w:rPr>
            </w:pPr>
          </w:p>
        </w:tc>
        <w:tc>
          <w:tcPr>
            <w:tcW w:w="429" w:type="pct"/>
            <w:vMerge/>
          </w:tcPr>
          <w:p w14:paraId="1BC9FE48" w14:textId="77777777" w:rsidR="00163D35" w:rsidRPr="00B44B19"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4" w:space="0" w:color="auto"/>
              <w:right w:val="single" w:sz="2" w:space="0" w:color="auto"/>
            </w:tcBorders>
          </w:tcPr>
          <w:p w14:paraId="2F2CDB89"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Sostinės regionas</w:t>
            </w:r>
          </w:p>
        </w:tc>
        <w:tc>
          <w:tcPr>
            <w:tcW w:w="647" w:type="pct"/>
            <w:tcBorders>
              <w:top w:val="single" w:sz="4" w:space="0" w:color="auto"/>
              <w:left w:val="single" w:sz="2" w:space="0" w:color="auto"/>
              <w:bottom w:val="single" w:sz="4" w:space="0" w:color="auto"/>
              <w:right w:val="single" w:sz="2" w:space="0" w:color="auto"/>
            </w:tcBorders>
          </w:tcPr>
          <w:p w14:paraId="66EEE644" w14:textId="77777777" w:rsidR="00163D35" w:rsidRPr="00B44B19" w:rsidRDefault="00163D35" w:rsidP="00163D35">
            <w:pPr>
              <w:spacing w:after="0" w:line="240" w:lineRule="auto"/>
              <w:rPr>
                <w:rFonts w:eastAsia="Calibri" w:cs="Times New Roman"/>
              </w:rPr>
            </w:pPr>
            <w:r w:rsidRPr="00B44B19">
              <w:rPr>
                <w:rFonts w:eastAsia="Calibri" w:cs="Times New Roman"/>
                <w:noProof/>
                <w:sz w:val="16"/>
                <w:szCs w:val="16"/>
              </w:rPr>
              <w:t>Specialusis</w:t>
            </w:r>
          </w:p>
        </w:tc>
        <w:tc>
          <w:tcPr>
            <w:tcW w:w="792" w:type="pct"/>
            <w:tcBorders>
              <w:top w:val="single" w:sz="4" w:space="0" w:color="auto"/>
              <w:left w:val="single" w:sz="2" w:space="0" w:color="auto"/>
              <w:bottom w:val="single" w:sz="4" w:space="0" w:color="auto"/>
              <w:right w:val="single" w:sz="2" w:space="0" w:color="auto"/>
            </w:tcBorders>
          </w:tcPr>
          <w:p w14:paraId="7604B430"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Gautų pasiūlymų išbandyti socialines inovacijas skaičius</w:t>
            </w:r>
          </w:p>
        </w:tc>
        <w:tc>
          <w:tcPr>
            <w:tcW w:w="578" w:type="pct"/>
            <w:tcBorders>
              <w:top w:val="single" w:sz="4" w:space="0" w:color="auto"/>
              <w:left w:val="single" w:sz="2" w:space="0" w:color="auto"/>
              <w:bottom w:val="single" w:sz="4" w:space="0" w:color="auto"/>
              <w:right w:val="single" w:sz="2" w:space="0" w:color="auto"/>
            </w:tcBorders>
          </w:tcPr>
          <w:p w14:paraId="2D818E73" w14:textId="77777777" w:rsidR="00163D35" w:rsidRPr="00B44B19" w:rsidRDefault="00536FCB"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Borders>
              <w:top w:val="single" w:sz="4" w:space="0" w:color="auto"/>
              <w:left w:val="single" w:sz="2" w:space="0" w:color="auto"/>
              <w:bottom w:val="single" w:sz="4" w:space="0" w:color="auto"/>
              <w:right w:val="single" w:sz="2" w:space="0" w:color="auto"/>
            </w:tcBorders>
          </w:tcPr>
          <w:p w14:paraId="5E4292BD" w14:textId="77777777" w:rsidR="00163D35" w:rsidRPr="00B44B19" w:rsidRDefault="00163D35" w:rsidP="00163D35">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482" w:type="pct"/>
            <w:tcBorders>
              <w:top w:val="single" w:sz="4" w:space="0" w:color="auto"/>
              <w:left w:val="single" w:sz="2" w:space="0" w:color="auto"/>
              <w:bottom w:val="single" w:sz="4" w:space="0" w:color="auto"/>
              <w:right w:val="single" w:sz="2" w:space="0" w:color="auto"/>
            </w:tcBorders>
          </w:tcPr>
          <w:p w14:paraId="3B044902" w14:textId="77777777" w:rsidR="00163D35" w:rsidRPr="00B44B19" w:rsidRDefault="00163D35" w:rsidP="00163D35">
            <w:pPr>
              <w:spacing w:after="0" w:line="240" w:lineRule="auto"/>
              <w:jc w:val="center"/>
              <w:rPr>
                <w:rFonts w:eastAsia="Calibri" w:cs="Times New Roman"/>
                <w:noProof/>
                <w:sz w:val="16"/>
                <w:szCs w:val="16"/>
              </w:rPr>
            </w:pPr>
            <w:r w:rsidRPr="00B44B19">
              <w:rPr>
                <w:rFonts w:eastAsia="Calibri" w:cs="Times New Roman"/>
                <w:noProof/>
                <w:sz w:val="16"/>
                <w:szCs w:val="16"/>
              </w:rPr>
              <w:t>8</w:t>
            </w:r>
          </w:p>
        </w:tc>
      </w:tr>
      <w:tr w:rsidR="00163D35" w:rsidRPr="00B44B19" w14:paraId="64D4D3B1" w14:textId="77777777" w:rsidTr="007F6814">
        <w:trPr>
          <w:trHeight w:val="340"/>
        </w:trPr>
        <w:tc>
          <w:tcPr>
            <w:tcW w:w="566" w:type="pct"/>
            <w:vMerge/>
            <w:tcBorders>
              <w:bottom w:val="single" w:sz="2" w:space="0" w:color="auto"/>
            </w:tcBorders>
          </w:tcPr>
          <w:p w14:paraId="57D0025E" w14:textId="77777777" w:rsidR="00163D35" w:rsidRPr="00B44B19" w:rsidRDefault="00163D35" w:rsidP="00163D35">
            <w:pPr>
              <w:spacing w:after="0" w:line="240" w:lineRule="auto"/>
              <w:jc w:val="both"/>
              <w:rPr>
                <w:rFonts w:eastAsia="Calibri" w:cs="Times New Roman"/>
                <w:noProof/>
                <w:sz w:val="16"/>
                <w:szCs w:val="16"/>
              </w:rPr>
            </w:pPr>
          </w:p>
        </w:tc>
        <w:tc>
          <w:tcPr>
            <w:tcW w:w="498" w:type="pct"/>
            <w:vMerge/>
            <w:tcBorders>
              <w:bottom w:val="single" w:sz="2" w:space="0" w:color="auto"/>
            </w:tcBorders>
          </w:tcPr>
          <w:p w14:paraId="61F7AE2F" w14:textId="77777777" w:rsidR="00163D35" w:rsidRPr="00B44B19" w:rsidRDefault="00163D35" w:rsidP="00163D35">
            <w:pPr>
              <w:spacing w:after="0" w:line="240" w:lineRule="auto"/>
              <w:jc w:val="both"/>
              <w:rPr>
                <w:rFonts w:eastAsia="Calibri" w:cs="Times New Roman"/>
                <w:noProof/>
                <w:sz w:val="16"/>
                <w:szCs w:val="16"/>
              </w:rPr>
            </w:pPr>
          </w:p>
        </w:tc>
        <w:tc>
          <w:tcPr>
            <w:tcW w:w="429" w:type="pct"/>
            <w:vMerge/>
            <w:tcBorders>
              <w:bottom w:val="single" w:sz="2" w:space="0" w:color="auto"/>
            </w:tcBorders>
          </w:tcPr>
          <w:p w14:paraId="75E21956" w14:textId="77777777" w:rsidR="00163D35" w:rsidRPr="00B44B19" w:rsidRDefault="00163D35" w:rsidP="00163D35">
            <w:pPr>
              <w:spacing w:after="0" w:line="240" w:lineRule="auto"/>
              <w:jc w:val="both"/>
              <w:rPr>
                <w:rFonts w:eastAsia="Calibri" w:cs="Times New Roman"/>
                <w:noProof/>
                <w:sz w:val="16"/>
                <w:szCs w:val="16"/>
              </w:rPr>
            </w:pPr>
          </w:p>
        </w:tc>
        <w:tc>
          <w:tcPr>
            <w:tcW w:w="504" w:type="pct"/>
            <w:tcBorders>
              <w:top w:val="single" w:sz="4" w:space="0" w:color="auto"/>
              <w:bottom w:val="single" w:sz="2" w:space="0" w:color="auto"/>
              <w:right w:val="single" w:sz="2" w:space="0" w:color="auto"/>
            </w:tcBorders>
          </w:tcPr>
          <w:p w14:paraId="7DF2F764" w14:textId="77777777" w:rsidR="00163D35" w:rsidRPr="00B44B19" w:rsidRDefault="00163D35" w:rsidP="00163D35">
            <w:pPr>
              <w:spacing w:after="0" w:line="240" w:lineRule="auto"/>
              <w:rPr>
                <w:rFonts w:eastAsia="Calibri" w:cs="Times New Roman"/>
                <w:noProof/>
                <w:sz w:val="16"/>
                <w:szCs w:val="16"/>
              </w:rPr>
            </w:pPr>
            <w:r w:rsidRPr="00B44B19">
              <w:rPr>
                <w:rFonts w:eastAsia="Calibri" w:cs="Times New Roman"/>
                <w:noProof/>
                <w:sz w:val="16"/>
                <w:szCs w:val="16"/>
              </w:rPr>
              <w:t>VVL regionas</w:t>
            </w:r>
          </w:p>
        </w:tc>
        <w:tc>
          <w:tcPr>
            <w:tcW w:w="647" w:type="pct"/>
            <w:tcBorders>
              <w:top w:val="single" w:sz="4" w:space="0" w:color="auto"/>
              <w:left w:val="single" w:sz="2" w:space="0" w:color="auto"/>
              <w:bottom w:val="single" w:sz="2" w:space="0" w:color="auto"/>
              <w:right w:val="single" w:sz="2" w:space="0" w:color="auto"/>
            </w:tcBorders>
          </w:tcPr>
          <w:p w14:paraId="6D09C0F8" w14:textId="77777777" w:rsidR="00163D35" w:rsidRPr="00B44B19" w:rsidRDefault="00163D35" w:rsidP="00163D35">
            <w:pPr>
              <w:spacing w:after="0" w:line="240" w:lineRule="auto"/>
              <w:rPr>
                <w:rFonts w:eastAsia="Calibri" w:cs="Times New Roman"/>
              </w:rPr>
            </w:pPr>
            <w:r w:rsidRPr="00B44B19">
              <w:rPr>
                <w:rFonts w:eastAsia="Calibri" w:cs="Times New Roman"/>
                <w:noProof/>
                <w:sz w:val="16"/>
                <w:szCs w:val="16"/>
              </w:rPr>
              <w:t>Specialusis</w:t>
            </w:r>
          </w:p>
        </w:tc>
        <w:tc>
          <w:tcPr>
            <w:tcW w:w="792" w:type="pct"/>
            <w:tcBorders>
              <w:top w:val="single" w:sz="4" w:space="0" w:color="auto"/>
              <w:left w:val="single" w:sz="2" w:space="0" w:color="auto"/>
              <w:bottom w:val="single" w:sz="2" w:space="0" w:color="auto"/>
              <w:right w:val="single" w:sz="2" w:space="0" w:color="auto"/>
            </w:tcBorders>
          </w:tcPr>
          <w:p w14:paraId="2A3CDDDC" w14:textId="77777777" w:rsidR="00163D35" w:rsidRPr="00B44B19" w:rsidRDefault="00163D35"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Gautų pasiūlymų išbandyti socialines inovacijas skaičius</w:t>
            </w:r>
          </w:p>
        </w:tc>
        <w:tc>
          <w:tcPr>
            <w:tcW w:w="578" w:type="pct"/>
            <w:tcBorders>
              <w:top w:val="single" w:sz="4" w:space="0" w:color="auto"/>
              <w:left w:val="single" w:sz="2" w:space="0" w:color="auto"/>
              <w:bottom w:val="single" w:sz="2" w:space="0" w:color="auto"/>
              <w:right w:val="single" w:sz="2" w:space="0" w:color="auto"/>
            </w:tcBorders>
          </w:tcPr>
          <w:p w14:paraId="7C180CD2" w14:textId="77777777" w:rsidR="00163D35" w:rsidRPr="00B44B19" w:rsidRDefault="00536FCB" w:rsidP="00163D35">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Skaičius</w:t>
            </w:r>
          </w:p>
        </w:tc>
        <w:tc>
          <w:tcPr>
            <w:tcW w:w="504" w:type="pct"/>
            <w:tcBorders>
              <w:top w:val="single" w:sz="4" w:space="0" w:color="auto"/>
              <w:left w:val="single" w:sz="2" w:space="0" w:color="auto"/>
              <w:bottom w:val="single" w:sz="2" w:space="0" w:color="auto"/>
              <w:right w:val="single" w:sz="2" w:space="0" w:color="auto"/>
            </w:tcBorders>
          </w:tcPr>
          <w:p w14:paraId="41B0D491" w14:textId="77777777" w:rsidR="00163D35" w:rsidRPr="00B44B19" w:rsidRDefault="00163D35" w:rsidP="00163D35">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482" w:type="pct"/>
            <w:tcBorders>
              <w:top w:val="single" w:sz="4" w:space="0" w:color="auto"/>
              <w:left w:val="single" w:sz="2" w:space="0" w:color="auto"/>
              <w:bottom w:val="single" w:sz="2" w:space="0" w:color="auto"/>
              <w:right w:val="single" w:sz="2" w:space="0" w:color="auto"/>
            </w:tcBorders>
          </w:tcPr>
          <w:p w14:paraId="37D79751" w14:textId="77777777" w:rsidR="00163D35" w:rsidRPr="00B44B19" w:rsidRDefault="00163D35" w:rsidP="00163D35">
            <w:pPr>
              <w:spacing w:after="0" w:line="240" w:lineRule="auto"/>
              <w:jc w:val="center"/>
              <w:rPr>
                <w:rFonts w:eastAsia="Calibri" w:cs="Times New Roman"/>
                <w:noProof/>
                <w:sz w:val="16"/>
                <w:szCs w:val="16"/>
              </w:rPr>
            </w:pPr>
            <w:r w:rsidRPr="00B44B19">
              <w:rPr>
                <w:rFonts w:eastAsia="Calibri" w:cs="Times New Roman"/>
                <w:noProof/>
                <w:sz w:val="16"/>
                <w:szCs w:val="16"/>
              </w:rPr>
              <w:t>72</w:t>
            </w:r>
          </w:p>
        </w:tc>
      </w:tr>
    </w:tbl>
    <w:p w14:paraId="53CA2243" w14:textId="77777777" w:rsidR="00764AC5" w:rsidRPr="00B44B19" w:rsidRDefault="00764AC5" w:rsidP="00764AC5">
      <w:pPr>
        <w:spacing w:after="0" w:line="240" w:lineRule="auto"/>
        <w:jc w:val="both"/>
        <w:rPr>
          <w:rFonts w:cs="Times New Roman"/>
          <w:b/>
          <w:bCs/>
          <w:sz w:val="28"/>
          <w:szCs w:val="28"/>
        </w:rPr>
      </w:pPr>
    </w:p>
    <w:p w14:paraId="0C9152F0" w14:textId="77777777" w:rsidR="00764AC5" w:rsidRPr="00B44B19" w:rsidRDefault="00764AC5" w:rsidP="00764AC5">
      <w:pPr>
        <w:spacing w:after="0" w:line="240" w:lineRule="auto"/>
        <w:rPr>
          <w:rFonts w:cs="Times New Roman"/>
          <w:b/>
          <w:sz w:val="20"/>
          <w:szCs w:val="24"/>
        </w:rPr>
        <w:sectPr w:rsidR="00764AC5" w:rsidRPr="00B44B19" w:rsidSect="00931C78">
          <w:footerReference w:type="first" r:id="rId14"/>
          <w:pgSz w:w="11906" w:h="16838"/>
          <w:pgMar w:top="1276" w:right="567" w:bottom="1134" w:left="1701" w:header="567" w:footer="567" w:gutter="0"/>
          <w:cols w:space="1296"/>
          <w:docGrid w:linePitch="360"/>
        </w:sectPr>
      </w:pPr>
    </w:p>
    <w:p w14:paraId="3E27788F" w14:textId="77777777" w:rsidR="00764AC5" w:rsidRPr="00B44B19" w:rsidRDefault="00764AC5" w:rsidP="00764AC5">
      <w:pPr>
        <w:spacing w:after="0" w:line="240" w:lineRule="auto"/>
        <w:rPr>
          <w:rFonts w:eastAsia="Times New Roman" w:cs="Times New Roman"/>
          <w:b/>
          <w:iCs/>
          <w:noProof/>
          <w:szCs w:val="24"/>
          <w:lang w:eastAsia="lt-LT" w:bidi="lt-LT"/>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975"/>
        <w:gridCol w:w="907"/>
        <w:gridCol w:w="910"/>
        <w:gridCol w:w="1394"/>
        <w:gridCol w:w="3484"/>
        <w:gridCol w:w="975"/>
        <w:gridCol w:w="975"/>
        <w:gridCol w:w="1115"/>
        <w:gridCol w:w="975"/>
        <w:gridCol w:w="975"/>
        <w:gridCol w:w="1100"/>
      </w:tblGrid>
      <w:tr w:rsidR="007F6814" w:rsidRPr="00B44B19" w14:paraId="09C59474" w14:textId="77777777" w:rsidTr="007F6814">
        <w:trPr>
          <w:trHeight w:val="1155"/>
          <w:tblHeader/>
        </w:trPr>
        <w:tc>
          <w:tcPr>
            <w:tcW w:w="36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48E8B5"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142AAB"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3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B59D77"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0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66B2AC"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6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E16587"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009507"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621517"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D0149B"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B364E3"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32257E"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Siek</w:t>
            </w:r>
            <w:r w:rsidR="00DD4344" w:rsidRPr="00B44B19">
              <w:rPr>
                <w:rFonts w:eastAsia="Calibri" w:cs="Times New Roman"/>
                <w:b/>
                <w:noProof/>
                <w:sz w:val="16"/>
                <w:szCs w:val="16"/>
              </w:rPr>
              <w:t>tina reikšmė</w:t>
            </w:r>
            <w:r w:rsidRPr="00B44B19">
              <w:rPr>
                <w:rFonts w:eastAsia="Calibri" w:cs="Times New Roman"/>
                <w:b/>
                <w:noProof/>
                <w:sz w:val="16"/>
                <w:szCs w:val="16"/>
              </w:rPr>
              <w:t xml:space="preserve">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D52220"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3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8AE6D0" w14:textId="77777777" w:rsidR="007F6814" w:rsidRPr="00B44B19" w:rsidRDefault="007F6814" w:rsidP="007F6814">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7F6814" w:rsidRPr="00B44B19" w14:paraId="44271610" w14:textId="77777777" w:rsidTr="007F6814">
        <w:trPr>
          <w:trHeight w:val="284"/>
        </w:trPr>
        <w:tc>
          <w:tcPr>
            <w:tcW w:w="363" w:type="pct"/>
            <w:vMerge w:val="restart"/>
          </w:tcPr>
          <w:p w14:paraId="7BDCE647"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6. Inovatyvūs sprendimai</w:t>
            </w:r>
          </w:p>
        </w:tc>
        <w:tc>
          <w:tcPr>
            <w:tcW w:w="328" w:type="pct"/>
            <w:vMerge w:val="restart"/>
          </w:tcPr>
          <w:p w14:paraId="647B1E36"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6.1</w:t>
            </w:r>
          </w:p>
        </w:tc>
        <w:tc>
          <w:tcPr>
            <w:tcW w:w="305" w:type="pct"/>
            <w:vMerge w:val="restart"/>
          </w:tcPr>
          <w:p w14:paraId="6242F786"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ESF+</w:t>
            </w:r>
          </w:p>
        </w:tc>
        <w:tc>
          <w:tcPr>
            <w:tcW w:w="306" w:type="pct"/>
          </w:tcPr>
          <w:p w14:paraId="3E1EBDD3"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Sostinės regionas</w:t>
            </w:r>
          </w:p>
        </w:tc>
        <w:tc>
          <w:tcPr>
            <w:tcW w:w="469" w:type="pct"/>
          </w:tcPr>
          <w:p w14:paraId="3C6521F1" w14:textId="77777777" w:rsidR="007F6814" w:rsidRPr="00B44B19" w:rsidRDefault="007F6814" w:rsidP="007F6814">
            <w:pPr>
              <w:spacing w:after="0" w:line="240" w:lineRule="auto"/>
              <w:jc w:val="both"/>
              <w:rPr>
                <w:rFonts w:eastAsia="Calibri" w:cs="Times New Roman"/>
                <w:noProof/>
                <w:sz w:val="14"/>
                <w:szCs w:val="16"/>
              </w:rPr>
            </w:pPr>
            <w:r w:rsidRPr="00B44B19">
              <w:rPr>
                <w:rFonts w:eastAsia="Calibri" w:cs="Times New Roman"/>
                <w:noProof/>
                <w:sz w:val="16"/>
                <w:szCs w:val="16"/>
              </w:rPr>
              <w:t>Specialusis</w:t>
            </w:r>
          </w:p>
        </w:tc>
        <w:tc>
          <w:tcPr>
            <w:tcW w:w="1172" w:type="pct"/>
          </w:tcPr>
          <w:p w14:paraId="0ED3EFAC" w14:textId="77777777" w:rsidR="007F6814" w:rsidRPr="00B44B19" w:rsidRDefault="007F6814" w:rsidP="007F6814">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Dalyvių, kurie po dalyvavimo veiklose įgijo ir (ar) patobulino kompetenciją ir (ar) kvalifikaciją, dalis</w:t>
            </w:r>
          </w:p>
        </w:tc>
        <w:tc>
          <w:tcPr>
            <w:tcW w:w="328" w:type="pct"/>
          </w:tcPr>
          <w:p w14:paraId="739E5A25"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Procentai</w:t>
            </w:r>
          </w:p>
        </w:tc>
        <w:tc>
          <w:tcPr>
            <w:tcW w:w="328" w:type="pct"/>
          </w:tcPr>
          <w:p w14:paraId="1CF53448" w14:textId="77777777" w:rsidR="007F6814" w:rsidRPr="00B44B19" w:rsidRDefault="00BB502B" w:rsidP="007F6814">
            <w:pPr>
              <w:spacing w:after="0" w:line="240" w:lineRule="auto"/>
              <w:jc w:val="center"/>
              <w:rPr>
                <w:rFonts w:eastAsia="Calibri" w:cs="Times New Roman"/>
                <w:noProof/>
                <w:sz w:val="16"/>
                <w:szCs w:val="16"/>
              </w:rPr>
            </w:pPr>
            <w:r w:rsidRPr="00B44B19">
              <w:rPr>
                <w:rFonts w:eastAsia="Calibri" w:cs="Times New Roman"/>
                <w:noProof/>
                <w:sz w:val="16"/>
                <w:szCs w:val="16"/>
              </w:rPr>
              <w:t>91,37</w:t>
            </w:r>
          </w:p>
        </w:tc>
        <w:tc>
          <w:tcPr>
            <w:tcW w:w="375" w:type="pct"/>
          </w:tcPr>
          <w:p w14:paraId="05E364EF"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28" w:type="pct"/>
          </w:tcPr>
          <w:p w14:paraId="7FA3CFD4"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90</w:t>
            </w:r>
          </w:p>
        </w:tc>
        <w:tc>
          <w:tcPr>
            <w:tcW w:w="328" w:type="pct"/>
          </w:tcPr>
          <w:p w14:paraId="4A690242" w14:textId="77777777" w:rsidR="007F6814" w:rsidRPr="00B44B19" w:rsidRDefault="007F6814" w:rsidP="007F6814">
            <w:pPr>
              <w:spacing w:after="0" w:line="240" w:lineRule="auto"/>
              <w:jc w:val="both"/>
              <w:rPr>
                <w:rFonts w:eastAsia="Calibri" w:cs="Times New Roman"/>
                <w:b/>
                <w:noProof/>
                <w:sz w:val="14"/>
                <w:szCs w:val="14"/>
              </w:rPr>
            </w:pPr>
            <w:r w:rsidRPr="00B44B19">
              <w:rPr>
                <w:rFonts w:eastAsia="Calibri" w:cs="Times New Roman"/>
                <w:noProof/>
                <w:sz w:val="16"/>
                <w:szCs w:val="16"/>
              </w:rPr>
              <w:t>Projektų duomenys</w:t>
            </w:r>
          </w:p>
        </w:tc>
        <w:tc>
          <w:tcPr>
            <w:tcW w:w="370" w:type="pct"/>
          </w:tcPr>
          <w:p w14:paraId="39887CC3" w14:textId="77777777" w:rsidR="007F6814" w:rsidRPr="00B44B19" w:rsidRDefault="007F6814" w:rsidP="007F6814">
            <w:pPr>
              <w:spacing w:after="0" w:line="240" w:lineRule="auto"/>
              <w:jc w:val="both"/>
              <w:rPr>
                <w:rFonts w:eastAsia="Calibri" w:cs="Times New Roman"/>
                <w:b/>
                <w:noProof/>
                <w:sz w:val="14"/>
                <w:szCs w:val="14"/>
              </w:rPr>
            </w:pPr>
          </w:p>
        </w:tc>
      </w:tr>
      <w:tr w:rsidR="007F6814" w:rsidRPr="00B44B19" w14:paraId="1A6AE161" w14:textId="77777777" w:rsidTr="007F6814">
        <w:trPr>
          <w:trHeight w:val="284"/>
        </w:trPr>
        <w:tc>
          <w:tcPr>
            <w:tcW w:w="363" w:type="pct"/>
            <w:vMerge/>
          </w:tcPr>
          <w:p w14:paraId="2A8639C2" w14:textId="77777777" w:rsidR="007F6814" w:rsidRPr="00B44B19" w:rsidRDefault="007F6814" w:rsidP="007F6814">
            <w:pPr>
              <w:spacing w:after="0" w:line="240" w:lineRule="auto"/>
              <w:jc w:val="both"/>
              <w:rPr>
                <w:rFonts w:eastAsia="Calibri" w:cs="Times New Roman"/>
                <w:noProof/>
                <w:sz w:val="16"/>
                <w:szCs w:val="16"/>
              </w:rPr>
            </w:pPr>
          </w:p>
        </w:tc>
        <w:tc>
          <w:tcPr>
            <w:tcW w:w="328" w:type="pct"/>
            <w:vMerge/>
          </w:tcPr>
          <w:p w14:paraId="7A628810" w14:textId="77777777" w:rsidR="007F6814" w:rsidRPr="00B44B19" w:rsidRDefault="007F6814" w:rsidP="007F6814">
            <w:pPr>
              <w:spacing w:after="0" w:line="240" w:lineRule="auto"/>
              <w:jc w:val="both"/>
              <w:rPr>
                <w:rFonts w:eastAsia="Calibri" w:cs="Times New Roman"/>
                <w:noProof/>
                <w:sz w:val="16"/>
                <w:szCs w:val="16"/>
              </w:rPr>
            </w:pPr>
          </w:p>
        </w:tc>
        <w:tc>
          <w:tcPr>
            <w:tcW w:w="305" w:type="pct"/>
            <w:vMerge/>
          </w:tcPr>
          <w:p w14:paraId="310ABDAF" w14:textId="77777777" w:rsidR="007F6814" w:rsidRPr="00B44B19" w:rsidRDefault="007F6814" w:rsidP="007F6814">
            <w:pPr>
              <w:spacing w:after="0" w:line="240" w:lineRule="auto"/>
              <w:jc w:val="both"/>
              <w:rPr>
                <w:rFonts w:eastAsia="Calibri" w:cs="Times New Roman"/>
                <w:noProof/>
                <w:sz w:val="16"/>
                <w:szCs w:val="16"/>
              </w:rPr>
            </w:pPr>
          </w:p>
        </w:tc>
        <w:tc>
          <w:tcPr>
            <w:tcW w:w="306" w:type="pct"/>
          </w:tcPr>
          <w:p w14:paraId="041B9D66"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VVL regionas</w:t>
            </w:r>
          </w:p>
        </w:tc>
        <w:tc>
          <w:tcPr>
            <w:tcW w:w="469" w:type="pct"/>
          </w:tcPr>
          <w:p w14:paraId="3271F5B9" w14:textId="77777777" w:rsidR="007F6814" w:rsidRPr="00B44B19" w:rsidRDefault="007F6814" w:rsidP="007F6814">
            <w:pPr>
              <w:spacing w:after="0" w:line="240" w:lineRule="auto"/>
              <w:jc w:val="both"/>
              <w:rPr>
                <w:rFonts w:eastAsia="Calibri" w:cs="Times New Roman"/>
                <w:noProof/>
                <w:sz w:val="14"/>
                <w:szCs w:val="16"/>
              </w:rPr>
            </w:pPr>
            <w:r w:rsidRPr="00B44B19">
              <w:rPr>
                <w:rFonts w:eastAsia="Calibri" w:cs="Times New Roman"/>
                <w:noProof/>
                <w:sz w:val="16"/>
                <w:szCs w:val="16"/>
              </w:rPr>
              <w:t>Specialusis</w:t>
            </w:r>
          </w:p>
        </w:tc>
        <w:tc>
          <w:tcPr>
            <w:tcW w:w="1172" w:type="pct"/>
          </w:tcPr>
          <w:p w14:paraId="58EC7F5D" w14:textId="77777777" w:rsidR="007F6814" w:rsidRPr="00B44B19" w:rsidRDefault="007F6814" w:rsidP="007F6814">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Dalyvių, kurie po dalyvavimo veiklose įgijo ir (ar) patobulino kompetenciją ir (ar) kvalifikaciją, dalis</w:t>
            </w:r>
          </w:p>
        </w:tc>
        <w:tc>
          <w:tcPr>
            <w:tcW w:w="328" w:type="pct"/>
          </w:tcPr>
          <w:p w14:paraId="03DF05BB" w14:textId="77777777" w:rsidR="007F6814" w:rsidRPr="00B44B19" w:rsidRDefault="007F6814" w:rsidP="007F6814">
            <w:pPr>
              <w:spacing w:after="0" w:line="240" w:lineRule="auto"/>
              <w:rPr>
                <w:rFonts w:eastAsia="Calibri" w:cs="Times New Roman"/>
              </w:rPr>
            </w:pPr>
            <w:r w:rsidRPr="00B44B19">
              <w:rPr>
                <w:rFonts w:eastAsia="Calibri" w:cs="Times New Roman"/>
                <w:noProof/>
                <w:sz w:val="16"/>
                <w:szCs w:val="16"/>
              </w:rPr>
              <w:t>Procentai</w:t>
            </w:r>
          </w:p>
        </w:tc>
        <w:tc>
          <w:tcPr>
            <w:tcW w:w="328" w:type="pct"/>
          </w:tcPr>
          <w:p w14:paraId="1DEB7C7A" w14:textId="77777777" w:rsidR="007F6814" w:rsidRPr="00B44B19" w:rsidRDefault="00BB502B" w:rsidP="007F6814">
            <w:pPr>
              <w:spacing w:after="0" w:line="240" w:lineRule="auto"/>
              <w:jc w:val="center"/>
              <w:rPr>
                <w:rFonts w:eastAsia="Calibri" w:cs="Times New Roman"/>
                <w:noProof/>
                <w:sz w:val="16"/>
                <w:szCs w:val="16"/>
              </w:rPr>
            </w:pPr>
            <w:r w:rsidRPr="00B44B19">
              <w:rPr>
                <w:rFonts w:eastAsia="Calibri" w:cs="Times New Roman"/>
                <w:noProof/>
                <w:sz w:val="16"/>
                <w:szCs w:val="16"/>
              </w:rPr>
              <w:t>91,37</w:t>
            </w:r>
          </w:p>
        </w:tc>
        <w:tc>
          <w:tcPr>
            <w:tcW w:w="375" w:type="pct"/>
          </w:tcPr>
          <w:p w14:paraId="6E1307DE"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28" w:type="pct"/>
          </w:tcPr>
          <w:p w14:paraId="6B21CEA6"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90</w:t>
            </w:r>
          </w:p>
        </w:tc>
        <w:tc>
          <w:tcPr>
            <w:tcW w:w="328" w:type="pct"/>
          </w:tcPr>
          <w:p w14:paraId="0B01B204" w14:textId="77777777" w:rsidR="007F6814" w:rsidRPr="00B44B19" w:rsidRDefault="007F6814" w:rsidP="007F6814">
            <w:pPr>
              <w:spacing w:after="0" w:line="240" w:lineRule="auto"/>
              <w:jc w:val="both"/>
              <w:rPr>
                <w:rFonts w:eastAsia="Calibri" w:cs="Times New Roman"/>
                <w:b/>
                <w:noProof/>
                <w:sz w:val="14"/>
                <w:szCs w:val="14"/>
              </w:rPr>
            </w:pPr>
            <w:r w:rsidRPr="00B44B19">
              <w:rPr>
                <w:rFonts w:eastAsia="Calibri" w:cs="Times New Roman"/>
                <w:noProof/>
                <w:sz w:val="16"/>
                <w:szCs w:val="16"/>
              </w:rPr>
              <w:t>Projektų duomenys</w:t>
            </w:r>
          </w:p>
        </w:tc>
        <w:tc>
          <w:tcPr>
            <w:tcW w:w="370" w:type="pct"/>
          </w:tcPr>
          <w:p w14:paraId="5B16F2BB" w14:textId="77777777" w:rsidR="007F6814" w:rsidRPr="00B44B19" w:rsidRDefault="007F6814" w:rsidP="007F6814">
            <w:pPr>
              <w:spacing w:after="0" w:line="240" w:lineRule="auto"/>
              <w:jc w:val="both"/>
              <w:rPr>
                <w:rFonts w:eastAsia="Calibri" w:cs="Times New Roman"/>
                <w:b/>
                <w:noProof/>
                <w:sz w:val="14"/>
                <w:szCs w:val="14"/>
              </w:rPr>
            </w:pPr>
          </w:p>
        </w:tc>
      </w:tr>
      <w:tr w:rsidR="007F6814" w:rsidRPr="00B44B19" w14:paraId="25CA26ED" w14:textId="77777777" w:rsidTr="007F6814">
        <w:trPr>
          <w:trHeight w:val="707"/>
        </w:trPr>
        <w:tc>
          <w:tcPr>
            <w:tcW w:w="363" w:type="pct"/>
            <w:vMerge/>
          </w:tcPr>
          <w:p w14:paraId="1154F9DE" w14:textId="77777777" w:rsidR="007F6814" w:rsidRPr="00B44B19" w:rsidRDefault="007F6814" w:rsidP="007F6814">
            <w:pPr>
              <w:spacing w:after="0" w:line="240" w:lineRule="auto"/>
              <w:jc w:val="both"/>
              <w:rPr>
                <w:rFonts w:eastAsia="Calibri" w:cs="Times New Roman"/>
                <w:noProof/>
                <w:sz w:val="16"/>
                <w:szCs w:val="16"/>
              </w:rPr>
            </w:pPr>
          </w:p>
        </w:tc>
        <w:tc>
          <w:tcPr>
            <w:tcW w:w="328" w:type="pct"/>
            <w:vMerge/>
          </w:tcPr>
          <w:p w14:paraId="040272E6" w14:textId="77777777" w:rsidR="007F6814" w:rsidRPr="00B44B19" w:rsidRDefault="007F6814" w:rsidP="007F6814">
            <w:pPr>
              <w:spacing w:after="0" w:line="240" w:lineRule="auto"/>
              <w:jc w:val="both"/>
              <w:rPr>
                <w:rFonts w:eastAsia="Calibri" w:cs="Times New Roman"/>
                <w:noProof/>
                <w:sz w:val="16"/>
                <w:szCs w:val="16"/>
              </w:rPr>
            </w:pPr>
          </w:p>
        </w:tc>
        <w:tc>
          <w:tcPr>
            <w:tcW w:w="305" w:type="pct"/>
            <w:vMerge/>
          </w:tcPr>
          <w:p w14:paraId="6CFE8C56" w14:textId="77777777" w:rsidR="007F6814" w:rsidRPr="00B44B19" w:rsidRDefault="007F6814" w:rsidP="007F6814">
            <w:pPr>
              <w:spacing w:after="0" w:line="240" w:lineRule="auto"/>
              <w:jc w:val="both"/>
              <w:rPr>
                <w:rFonts w:eastAsia="Calibri" w:cs="Times New Roman"/>
                <w:noProof/>
                <w:sz w:val="16"/>
                <w:szCs w:val="16"/>
              </w:rPr>
            </w:pPr>
          </w:p>
        </w:tc>
        <w:tc>
          <w:tcPr>
            <w:tcW w:w="306" w:type="pct"/>
          </w:tcPr>
          <w:p w14:paraId="7C5AB494"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Sostinės regionas</w:t>
            </w:r>
          </w:p>
        </w:tc>
        <w:tc>
          <w:tcPr>
            <w:tcW w:w="469" w:type="pct"/>
          </w:tcPr>
          <w:p w14:paraId="3ECE7CFD" w14:textId="77777777" w:rsidR="007F6814" w:rsidRPr="00B44B19" w:rsidRDefault="007F6814" w:rsidP="007F6814">
            <w:pPr>
              <w:spacing w:after="0" w:line="240" w:lineRule="auto"/>
              <w:rPr>
                <w:rFonts w:eastAsia="Calibri" w:cs="Times New Roman"/>
              </w:rPr>
            </w:pPr>
            <w:r w:rsidRPr="00B44B19">
              <w:rPr>
                <w:rFonts w:eastAsia="Calibri" w:cs="Times New Roman"/>
                <w:noProof/>
                <w:sz w:val="16"/>
                <w:szCs w:val="16"/>
              </w:rPr>
              <w:t>Specialusis</w:t>
            </w:r>
          </w:p>
        </w:tc>
        <w:tc>
          <w:tcPr>
            <w:tcW w:w="1172" w:type="pct"/>
          </w:tcPr>
          <w:p w14:paraId="129DCD0E" w14:textId="77777777" w:rsidR="007F6814" w:rsidRPr="00B44B19" w:rsidRDefault="007F6814" w:rsidP="001E1995">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Organizacijų, įsidiegusių socialinių paslaugų kokybės standartą ir sėkmingai baigusių dalyva</w:t>
            </w:r>
            <w:r w:rsidR="00E20D38" w:rsidRPr="00B44B19">
              <w:rPr>
                <w:rFonts w:eastAsia="Calibri" w:cs="Times New Roman"/>
                <w:sz w:val="16"/>
                <w:szCs w:val="16"/>
                <w:lang w:eastAsia="lt-LT" w:bidi="lt-LT"/>
              </w:rPr>
              <w:t>vimą</w:t>
            </w:r>
            <w:r w:rsidRPr="00B44B19">
              <w:rPr>
                <w:rFonts w:eastAsia="Calibri" w:cs="Times New Roman"/>
                <w:sz w:val="16"/>
                <w:szCs w:val="16"/>
                <w:lang w:eastAsia="lt-LT" w:bidi="lt-LT"/>
              </w:rPr>
              <w:t xml:space="preserve"> socialinių paslaugų kokybės standarto palaikymo veikloje, dalis</w:t>
            </w:r>
          </w:p>
        </w:tc>
        <w:tc>
          <w:tcPr>
            <w:tcW w:w="328" w:type="pct"/>
          </w:tcPr>
          <w:p w14:paraId="4AD04F14" w14:textId="77777777" w:rsidR="007F6814" w:rsidRPr="00B44B19" w:rsidRDefault="007F6814" w:rsidP="007F6814">
            <w:pPr>
              <w:spacing w:after="0" w:line="240" w:lineRule="auto"/>
              <w:rPr>
                <w:rFonts w:eastAsia="Calibri" w:cs="Times New Roman"/>
              </w:rPr>
            </w:pPr>
            <w:r w:rsidRPr="00B44B19">
              <w:rPr>
                <w:rFonts w:eastAsia="Calibri" w:cs="Times New Roman"/>
                <w:noProof/>
                <w:sz w:val="16"/>
                <w:szCs w:val="16"/>
              </w:rPr>
              <w:t>Procentai</w:t>
            </w:r>
          </w:p>
        </w:tc>
        <w:tc>
          <w:tcPr>
            <w:tcW w:w="328" w:type="pct"/>
          </w:tcPr>
          <w:p w14:paraId="34768690"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77</w:t>
            </w:r>
          </w:p>
        </w:tc>
        <w:tc>
          <w:tcPr>
            <w:tcW w:w="375" w:type="pct"/>
          </w:tcPr>
          <w:p w14:paraId="4215030D"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2020</w:t>
            </w:r>
          </w:p>
        </w:tc>
        <w:tc>
          <w:tcPr>
            <w:tcW w:w="328" w:type="pct"/>
          </w:tcPr>
          <w:p w14:paraId="3B22E12A"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80</w:t>
            </w:r>
          </w:p>
        </w:tc>
        <w:tc>
          <w:tcPr>
            <w:tcW w:w="328" w:type="pct"/>
          </w:tcPr>
          <w:p w14:paraId="4424E11F" w14:textId="77777777" w:rsidR="007F6814" w:rsidRPr="00B44B19" w:rsidRDefault="007F6814" w:rsidP="007F6814">
            <w:pPr>
              <w:spacing w:after="0" w:line="240" w:lineRule="auto"/>
              <w:jc w:val="both"/>
              <w:rPr>
                <w:rFonts w:eastAsia="Calibri" w:cs="Times New Roman"/>
                <w:b/>
                <w:noProof/>
                <w:sz w:val="14"/>
                <w:szCs w:val="14"/>
              </w:rPr>
            </w:pPr>
            <w:r w:rsidRPr="00B44B19">
              <w:rPr>
                <w:rFonts w:eastAsia="Calibri" w:cs="Times New Roman"/>
                <w:noProof/>
                <w:sz w:val="16"/>
                <w:szCs w:val="16"/>
              </w:rPr>
              <w:t>Projektų duomenys</w:t>
            </w:r>
          </w:p>
        </w:tc>
        <w:tc>
          <w:tcPr>
            <w:tcW w:w="370" w:type="pct"/>
          </w:tcPr>
          <w:p w14:paraId="55DD4C6F" w14:textId="77777777" w:rsidR="007F6814" w:rsidRPr="00B44B19" w:rsidRDefault="007F6814" w:rsidP="007F6814">
            <w:pPr>
              <w:spacing w:after="0" w:line="240" w:lineRule="auto"/>
              <w:jc w:val="both"/>
              <w:rPr>
                <w:rFonts w:eastAsia="Calibri" w:cs="Times New Roman"/>
                <w:b/>
                <w:noProof/>
                <w:sz w:val="14"/>
                <w:szCs w:val="14"/>
              </w:rPr>
            </w:pPr>
          </w:p>
        </w:tc>
      </w:tr>
      <w:tr w:rsidR="007F6814" w:rsidRPr="00B44B19" w14:paraId="0B0DA1DF" w14:textId="77777777" w:rsidTr="007F6814">
        <w:trPr>
          <w:trHeight w:val="707"/>
        </w:trPr>
        <w:tc>
          <w:tcPr>
            <w:tcW w:w="363" w:type="pct"/>
            <w:vMerge/>
          </w:tcPr>
          <w:p w14:paraId="57441B74" w14:textId="77777777" w:rsidR="007F6814" w:rsidRPr="00B44B19" w:rsidRDefault="007F6814" w:rsidP="007F6814">
            <w:pPr>
              <w:spacing w:after="0" w:line="240" w:lineRule="auto"/>
              <w:jc w:val="both"/>
              <w:rPr>
                <w:rFonts w:eastAsia="Calibri" w:cs="Times New Roman"/>
                <w:noProof/>
                <w:sz w:val="16"/>
                <w:szCs w:val="16"/>
              </w:rPr>
            </w:pPr>
          </w:p>
        </w:tc>
        <w:tc>
          <w:tcPr>
            <w:tcW w:w="328" w:type="pct"/>
            <w:vMerge/>
          </w:tcPr>
          <w:p w14:paraId="6ADE044F" w14:textId="77777777" w:rsidR="007F6814" w:rsidRPr="00B44B19" w:rsidRDefault="007F6814" w:rsidP="007F6814">
            <w:pPr>
              <w:spacing w:after="0" w:line="240" w:lineRule="auto"/>
              <w:jc w:val="both"/>
              <w:rPr>
                <w:rFonts w:eastAsia="Calibri" w:cs="Times New Roman"/>
                <w:noProof/>
                <w:sz w:val="16"/>
                <w:szCs w:val="16"/>
              </w:rPr>
            </w:pPr>
          </w:p>
        </w:tc>
        <w:tc>
          <w:tcPr>
            <w:tcW w:w="305" w:type="pct"/>
            <w:vMerge/>
          </w:tcPr>
          <w:p w14:paraId="62583C5D" w14:textId="77777777" w:rsidR="007F6814" w:rsidRPr="00B44B19" w:rsidRDefault="007F6814" w:rsidP="007F6814">
            <w:pPr>
              <w:spacing w:after="0" w:line="240" w:lineRule="auto"/>
              <w:jc w:val="both"/>
              <w:rPr>
                <w:rFonts w:eastAsia="Calibri" w:cs="Times New Roman"/>
                <w:noProof/>
                <w:sz w:val="16"/>
                <w:szCs w:val="16"/>
              </w:rPr>
            </w:pPr>
          </w:p>
        </w:tc>
        <w:tc>
          <w:tcPr>
            <w:tcW w:w="306" w:type="pct"/>
          </w:tcPr>
          <w:p w14:paraId="6E10AAC0"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VVL regionas</w:t>
            </w:r>
          </w:p>
        </w:tc>
        <w:tc>
          <w:tcPr>
            <w:tcW w:w="469" w:type="pct"/>
          </w:tcPr>
          <w:p w14:paraId="10738855" w14:textId="77777777" w:rsidR="007F6814" w:rsidRPr="00B44B19" w:rsidRDefault="007F6814" w:rsidP="007F6814">
            <w:pPr>
              <w:spacing w:after="0" w:line="240" w:lineRule="auto"/>
              <w:rPr>
                <w:rFonts w:eastAsia="Calibri" w:cs="Times New Roman"/>
              </w:rPr>
            </w:pPr>
            <w:r w:rsidRPr="00B44B19">
              <w:rPr>
                <w:rFonts w:eastAsia="Calibri" w:cs="Times New Roman"/>
                <w:noProof/>
                <w:sz w:val="16"/>
                <w:szCs w:val="16"/>
              </w:rPr>
              <w:t>Specialusis</w:t>
            </w:r>
          </w:p>
        </w:tc>
        <w:tc>
          <w:tcPr>
            <w:tcW w:w="1172" w:type="pct"/>
          </w:tcPr>
          <w:p w14:paraId="3B41CCAB" w14:textId="77777777" w:rsidR="007F6814" w:rsidRPr="00B44B19" w:rsidRDefault="007F6814" w:rsidP="001E1995">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Organizacijų, įsidiegusių socialinių paslaugų kokybės standartą ir sėkmingai baigusių dalyva</w:t>
            </w:r>
            <w:r w:rsidR="00E20D38" w:rsidRPr="00B44B19">
              <w:rPr>
                <w:rFonts w:eastAsia="Calibri" w:cs="Times New Roman"/>
                <w:sz w:val="16"/>
                <w:szCs w:val="16"/>
                <w:lang w:eastAsia="lt-LT" w:bidi="lt-LT"/>
              </w:rPr>
              <w:t>vimą</w:t>
            </w:r>
            <w:r w:rsidRPr="00B44B19">
              <w:rPr>
                <w:rFonts w:eastAsia="Calibri" w:cs="Times New Roman"/>
                <w:sz w:val="16"/>
                <w:szCs w:val="16"/>
                <w:lang w:eastAsia="lt-LT" w:bidi="lt-LT"/>
              </w:rPr>
              <w:t xml:space="preserve"> socialinių paslaugų kokybės standarto palaikymo veikloje, dalis</w:t>
            </w:r>
          </w:p>
        </w:tc>
        <w:tc>
          <w:tcPr>
            <w:tcW w:w="328" w:type="pct"/>
          </w:tcPr>
          <w:p w14:paraId="665580E7" w14:textId="77777777" w:rsidR="007F6814" w:rsidRPr="00B44B19" w:rsidRDefault="007F6814" w:rsidP="007F6814">
            <w:pPr>
              <w:spacing w:after="0" w:line="240" w:lineRule="auto"/>
              <w:rPr>
                <w:rFonts w:eastAsia="Calibri" w:cs="Times New Roman"/>
              </w:rPr>
            </w:pPr>
            <w:r w:rsidRPr="00B44B19">
              <w:rPr>
                <w:rFonts w:eastAsia="Calibri" w:cs="Times New Roman"/>
                <w:noProof/>
                <w:sz w:val="16"/>
                <w:szCs w:val="16"/>
              </w:rPr>
              <w:t>Procentai</w:t>
            </w:r>
          </w:p>
        </w:tc>
        <w:tc>
          <w:tcPr>
            <w:tcW w:w="328" w:type="pct"/>
          </w:tcPr>
          <w:p w14:paraId="793F1460"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77</w:t>
            </w:r>
          </w:p>
        </w:tc>
        <w:tc>
          <w:tcPr>
            <w:tcW w:w="375" w:type="pct"/>
          </w:tcPr>
          <w:p w14:paraId="03FDADC0"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2020</w:t>
            </w:r>
          </w:p>
        </w:tc>
        <w:tc>
          <w:tcPr>
            <w:tcW w:w="328" w:type="pct"/>
          </w:tcPr>
          <w:p w14:paraId="35FF506E"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80</w:t>
            </w:r>
          </w:p>
        </w:tc>
        <w:tc>
          <w:tcPr>
            <w:tcW w:w="328" w:type="pct"/>
          </w:tcPr>
          <w:p w14:paraId="1EBD4FD9" w14:textId="77777777" w:rsidR="007F6814" w:rsidRPr="00B44B19" w:rsidRDefault="007F6814" w:rsidP="007F6814">
            <w:pPr>
              <w:spacing w:after="0" w:line="240" w:lineRule="auto"/>
              <w:jc w:val="both"/>
              <w:rPr>
                <w:rFonts w:eastAsia="Calibri" w:cs="Times New Roman"/>
                <w:b/>
                <w:noProof/>
                <w:sz w:val="14"/>
                <w:szCs w:val="14"/>
              </w:rPr>
            </w:pPr>
            <w:r w:rsidRPr="00B44B19">
              <w:rPr>
                <w:rFonts w:eastAsia="Calibri" w:cs="Times New Roman"/>
                <w:noProof/>
                <w:sz w:val="16"/>
                <w:szCs w:val="16"/>
              </w:rPr>
              <w:t>Projektų duomenys</w:t>
            </w:r>
          </w:p>
        </w:tc>
        <w:tc>
          <w:tcPr>
            <w:tcW w:w="370" w:type="pct"/>
          </w:tcPr>
          <w:p w14:paraId="5FAD0109" w14:textId="77777777" w:rsidR="007F6814" w:rsidRPr="00B44B19" w:rsidRDefault="007F6814" w:rsidP="007F6814">
            <w:pPr>
              <w:spacing w:after="0" w:line="240" w:lineRule="auto"/>
              <w:jc w:val="both"/>
              <w:rPr>
                <w:rFonts w:eastAsia="Calibri" w:cs="Times New Roman"/>
                <w:b/>
                <w:noProof/>
                <w:sz w:val="14"/>
                <w:szCs w:val="14"/>
              </w:rPr>
            </w:pPr>
          </w:p>
        </w:tc>
      </w:tr>
      <w:tr w:rsidR="007F6814" w:rsidRPr="00B44B19" w14:paraId="10E30A54" w14:textId="77777777" w:rsidTr="007F6814">
        <w:trPr>
          <w:trHeight w:val="408"/>
        </w:trPr>
        <w:tc>
          <w:tcPr>
            <w:tcW w:w="363" w:type="pct"/>
            <w:vMerge/>
          </w:tcPr>
          <w:p w14:paraId="25079532" w14:textId="77777777" w:rsidR="007F6814" w:rsidRPr="00B44B19" w:rsidRDefault="007F6814" w:rsidP="007F6814">
            <w:pPr>
              <w:spacing w:after="0" w:line="240" w:lineRule="auto"/>
              <w:jc w:val="both"/>
              <w:rPr>
                <w:rFonts w:eastAsia="Calibri" w:cs="Times New Roman"/>
                <w:noProof/>
                <w:sz w:val="16"/>
                <w:szCs w:val="16"/>
              </w:rPr>
            </w:pPr>
          </w:p>
        </w:tc>
        <w:tc>
          <w:tcPr>
            <w:tcW w:w="328" w:type="pct"/>
            <w:vMerge/>
          </w:tcPr>
          <w:p w14:paraId="2EF366F2" w14:textId="77777777" w:rsidR="007F6814" w:rsidRPr="00B44B19" w:rsidRDefault="007F6814" w:rsidP="007F6814">
            <w:pPr>
              <w:spacing w:after="0" w:line="240" w:lineRule="auto"/>
              <w:jc w:val="both"/>
              <w:rPr>
                <w:rFonts w:eastAsia="Calibri" w:cs="Times New Roman"/>
                <w:noProof/>
                <w:sz w:val="16"/>
                <w:szCs w:val="16"/>
              </w:rPr>
            </w:pPr>
          </w:p>
        </w:tc>
        <w:tc>
          <w:tcPr>
            <w:tcW w:w="305" w:type="pct"/>
            <w:vMerge/>
          </w:tcPr>
          <w:p w14:paraId="4AC12C34" w14:textId="77777777" w:rsidR="007F6814" w:rsidRPr="00B44B19" w:rsidRDefault="007F6814" w:rsidP="007F6814">
            <w:pPr>
              <w:spacing w:after="0" w:line="240" w:lineRule="auto"/>
              <w:jc w:val="both"/>
              <w:rPr>
                <w:rFonts w:eastAsia="Calibri" w:cs="Times New Roman"/>
                <w:noProof/>
                <w:sz w:val="16"/>
                <w:szCs w:val="16"/>
              </w:rPr>
            </w:pPr>
          </w:p>
        </w:tc>
        <w:tc>
          <w:tcPr>
            <w:tcW w:w="306" w:type="pct"/>
          </w:tcPr>
          <w:p w14:paraId="6FC99C02"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Sostinės regionas</w:t>
            </w:r>
          </w:p>
        </w:tc>
        <w:tc>
          <w:tcPr>
            <w:tcW w:w="469" w:type="pct"/>
          </w:tcPr>
          <w:p w14:paraId="2472DFC1" w14:textId="77777777" w:rsidR="007F6814" w:rsidRPr="00B44B19" w:rsidRDefault="007F6814" w:rsidP="007F6814">
            <w:pPr>
              <w:spacing w:after="0" w:line="240" w:lineRule="auto"/>
              <w:rPr>
                <w:rFonts w:eastAsia="Calibri" w:cs="Times New Roman"/>
                <w:noProof/>
                <w:sz w:val="16"/>
                <w:szCs w:val="16"/>
              </w:rPr>
            </w:pPr>
            <w:r w:rsidRPr="00B44B19">
              <w:rPr>
                <w:rFonts w:eastAsia="Calibri" w:cs="Times New Roman"/>
                <w:noProof/>
                <w:sz w:val="16"/>
                <w:szCs w:val="16"/>
              </w:rPr>
              <w:t>Specialusis</w:t>
            </w:r>
          </w:p>
        </w:tc>
        <w:tc>
          <w:tcPr>
            <w:tcW w:w="1172" w:type="pct"/>
          </w:tcPr>
          <w:p w14:paraId="65FEBFA9" w14:textId="77777777" w:rsidR="007F6814" w:rsidRPr="00B44B19" w:rsidRDefault="007F6814" w:rsidP="007F6814">
            <w:pPr>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Patvirtintų pasiūlymų</w:t>
            </w:r>
            <w:r w:rsidR="002F6EC0" w:rsidRPr="00B44B19">
              <w:rPr>
                <w:rFonts w:eastAsia="Calibri" w:cs="Times New Roman"/>
                <w:sz w:val="16"/>
                <w:szCs w:val="16"/>
                <w:lang w:eastAsia="lt-LT" w:bidi="lt-LT"/>
              </w:rPr>
              <w:t xml:space="preserve"> </w:t>
            </w:r>
            <w:r w:rsidRPr="00B44B19">
              <w:rPr>
                <w:rFonts w:eastAsia="Calibri" w:cs="Times New Roman"/>
                <w:sz w:val="16"/>
                <w:szCs w:val="16"/>
                <w:lang w:eastAsia="lt-LT" w:bidi="lt-LT"/>
              </w:rPr>
              <w:t>išbandyti socialines inovacijas dalis</w:t>
            </w:r>
          </w:p>
        </w:tc>
        <w:tc>
          <w:tcPr>
            <w:tcW w:w="328" w:type="pct"/>
          </w:tcPr>
          <w:p w14:paraId="790B9A59"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Procentai</w:t>
            </w:r>
          </w:p>
        </w:tc>
        <w:tc>
          <w:tcPr>
            <w:tcW w:w="328" w:type="pct"/>
          </w:tcPr>
          <w:p w14:paraId="4D2D2E02" w14:textId="77777777" w:rsidR="007F6814" w:rsidRPr="00B44B19" w:rsidRDefault="00BB502B" w:rsidP="007F6814">
            <w:pPr>
              <w:spacing w:after="0" w:line="240" w:lineRule="auto"/>
              <w:jc w:val="center"/>
              <w:rPr>
                <w:rFonts w:eastAsia="Calibri" w:cs="Times New Roman"/>
                <w:noProof/>
                <w:sz w:val="16"/>
                <w:szCs w:val="16"/>
              </w:rPr>
            </w:pPr>
            <w:r w:rsidRPr="00B44B19">
              <w:rPr>
                <w:rFonts w:eastAsia="Calibri" w:cs="Times New Roman"/>
                <w:noProof/>
                <w:sz w:val="16"/>
                <w:szCs w:val="16"/>
              </w:rPr>
              <w:t>25</w:t>
            </w:r>
          </w:p>
        </w:tc>
        <w:tc>
          <w:tcPr>
            <w:tcW w:w="375" w:type="pct"/>
          </w:tcPr>
          <w:p w14:paraId="594AEF4C"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28" w:type="pct"/>
          </w:tcPr>
          <w:p w14:paraId="2ACB1805"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25</w:t>
            </w:r>
          </w:p>
        </w:tc>
        <w:tc>
          <w:tcPr>
            <w:tcW w:w="328" w:type="pct"/>
          </w:tcPr>
          <w:p w14:paraId="4C653063" w14:textId="77777777" w:rsidR="007F6814" w:rsidRPr="00B44B19" w:rsidRDefault="007F6814" w:rsidP="007F6814">
            <w:pPr>
              <w:spacing w:after="0" w:line="240" w:lineRule="auto"/>
              <w:jc w:val="both"/>
              <w:rPr>
                <w:rFonts w:eastAsia="Calibri" w:cs="Times New Roman"/>
                <w:b/>
                <w:noProof/>
                <w:sz w:val="14"/>
                <w:szCs w:val="14"/>
              </w:rPr>
            </w:pPr>
            <w:r w:rsidRPr="00B44B19">
              <w:rPr>
                <w:rFonts w:eastAsia="Calibri" w:cs="Times New Roman"/>
                <w:noProof/>
                <w:sz w:val="16"/>
                <w:szCs w:val="16"/>
              </w:rPr>
              <w:t>Projektų duomenys</w:t>
            </w:r>
          </w:p>
        </w:tc>
        <w:tc>
          <w:tcPr>
            <w:tcW w:w="370" w:type="pct"/>
          </w:tcPr>
          <w:p w14:paraId="60FE251F" w14:textId="77777777" w:rsidR="007F6814" w:rsidRPr="00B44B19" w:rsidRDefault="007F6814" w:rsidP="007F6814">
            <w:pPr>
              <w:spacing w:after="0" w:line="240" w:lineRule="auto"/>
              <w:jc w:val="both"/>
              <w:rPr>
                <w:rFonts w:eastAsia="Calibri" w:cs="Times New Roman"/>
                <w:b/>
                <w:noProof/>
                <w:sz w:val="14"/>
                <w:szCs w:val="14"/>
              </w:rPr>
            </w:pPr>
          </w:p>
        </w:tc>
      </w:tr>
      <w:tr w:rsidR="007F6814" w:rsidRPr="00B44B19" w14:paraId="1E323518" w14:textId="77777777" w:rsidTr="007F6814">
        <w:trPr>
          <w:trHeight w:val="395"/>
        </w:trPr>
        <w:tc>
          <w:tcPr>
            <w:tcW w:w="363" w:type="pct"/>
            <w:vMerge/>
          </w:tcPr>
          <w:p w14:paraId="710FF9DA" w14:textId="77777777" w:rsidR="007F6814" w:rsidRPr="00B44B19" w:rsidRDefault="007F6814" w:rsidP="007F6814">
            <w:pPr>
              <w:spacing w:after="0" w:line="240" w:lineRule="auto"/>
              <w:jc w:val="both"/>
              <w:rPr>
                <w:rFonts w:eastAsia="Calibri" w:cs="Times New Roman"/>
                <w:noProof/>
                <w:sz w:val="16"/>
                <w:szCs w:val="16"/>
              </w:rPr>
            </w:pPr>
          </w:p>
        </w:tc>
        <w:tc>
          <w:tcPr>
            <w:tcW w:w="328" w:type="pct"/>
            <w:vMerge/>
          </w:tcPr>
          <w:p w14:paraId="0CF10906" w14:textId="77777777" w:rsidR="007F6814" w:rsidRPr="00B44B19" w:rsidRDefault="007F6814" w:rsidP="007F6814">
            <w:pPr>
              <w:spacing w:after="0" w:line="240" w:lineRule="auto"/>
              <w:jc w:val="both"/>
              <w:rPr>
                <w:rFonts w:eastAsia="Calibri" w:cs="Times New Roman"/>
                <w:noProof/>
                <w:sz w:val="16"/>
                <w:szCs w:val="16"/>
              </w:rPr>
            </w:pPr>
          </w:p>
        </w:tc>
        <w:tc>
          <w:tcPr>
            <w:tcW w:w="305" w:type="pct"/>
            <w:vMerge/>
          </w:tcPr>
          <w:p w14:paraId="15F3E327" w14:textId="77777777" w:rsidR="007F6814" w:rsidRPr="00B44B19" w:rsidRDefault="007F6814" w:rsidP="007F6814">
            <w:pPr>
              <w:spacing w:after="0" w:line="240" w:lineRule="auto"/>
              <w:jc w:val="both"/>
              <w:rPr>
                <w:rFonts w:eastAsia="Calibri" w:cs="Times New Roman"/>
                <w:noProof/>
                <w:sz w:val="16"/>
                <w:szCs w:val="16"/>
              </w:rPr>
            </w:pPr>
          </w:p>
        </w:tc>
        <w:tc>
          <w:tcPr>
            <w:tcW w:w="306" w:type="pct"/>
          </w:tcPr>
          <w:p w14:paraId="485E1CF1"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VVL regionas</w:t>
            </w:r>
          </w:p>
        </w:tc>
        <w:tc>
          <w:tcPr>
            <w:tcW w:w="469" w:type="pct"/>
          </w:tcPr>
          <w:p w14:paraId="5D893838" w14:textId="77777777" w:rsidR="007F6814" w:rsidRPr="00B44B19" w:rsidRDefault="007F6814" w:rsidP="007F6814">
            <w:pPr>
              <w:spacing w:after="0" w:line="240" w:lineRule="auto"/>
              <w:rPr>
                <w:rFonts w:eastAsia="Calibri" w:cs="Times New Roman"/>
                <w:noProof/>
                <w:sz w:val="16"/>
                <w:szCs w:val="16"/>
              </w:rPr>
            </w:pPr>
            <w:r w:rsidRPr="00B44B19">
              <w:rPr>
                <w:rFonts w:eastAsia="Calibri" w:cs="Times New Roman"/>
                <w:noProof/>
                <w:sz w:val="16"/>
                <w:szCs w:val="16"/>
              </w:rPr>
              <w:t>Specialusis</w:t>
            </w:r>
          </w:p>
        </w:tc>
        <w:tc>
          <w:tcPr>
            <w:tcW w:w="1172" w:type="pct"/>
          </w:tcPr>
          <w:p w14:paraId="743EA10B" w14:textId="77777777" w:rsidR="007F6814" w:rsidRPr="00B44B19" w:rsidRDefault="007F6814" w:rsidP="007F6814">
            <w:pPr>
              <w:tabs>
                <w:tab w:val="left" w:pos="2268"/>
                <w:tab w:val="left" w:pos="7560"/>
              </w:tabs>
              <w:spacing w:after="0" w:line="240" w:lineRule="auto"/>
              <w:rPr>
                <w:rFonts w:eastAsia="Calibri" w:cs="Times New Roman"/>
                <w:sz w:val="16"/>
                <w:szCs w:val="16"/>
                <w:lang w:eastAsia="lt-LT" w:bidi="lt-LT"/>
              </w:rPr>
            </w:pPr>
            <w:r w:rsidRPr="00B44B19">
              <w:rPr>
                <w:rFonts w:eastAsia="Calibri" w:cs="Times New Roman"/>
                <w:sz w:val="16"/>
                <w:szCs w:val="16"/>
                <w:lang w:eastAsia="lt-LT" w:bidi="lt-LT"/>
              </w:rPr>
              <w:t>Patvirtintų pasiūlymų</w:t>
            </w:r>
            <w:r w:rsidR="002F6EC0" w:rsidRPr="00B44B19">
              <w:rPr>
                <w:rFonts w:eastAsia="Calibri" w:cs="Times New Roman"/>
                <w:sz w:val="16"/>
                <w:szCs w:val="16"/>
                <w:lang w:eastAsia="lt-LT" w:bidi="lt-LT"/>
              </w:rPr>
              <w:t xml:space="preserve"> </w:t>
            </w:r>
            <w:r w:rsidRPr="00B44B19">
              <w:rPr>
                <w:rFonts w:eastAsia="Calibri" w:cs="Times New Roman"/>
                <w:sz w:val="16"/>
                <w:szCs w:val="16"/>
                <w:lang w:eastAsia="lt-LT" w:bidi="lt-LT"/>
              </w:rPr>
              <w:t>išbandyti socialines inovacijas dalis</w:t>
            </w:r>
          </w:p>
        </w:tc>
        <w:tc>
          <w:tcPr>
            <w:tcW w:w="328" w:type="pct"/>
          </w:tcPr>
          <w:p w14:paraId="21B527FF" w14:textId="77777777" w:rsidR="007F6814" w:rsidRPr="00B44B19" w:rsidRDefault="007F6814" w:rsidP="007F6814">
            <w:pPr>
              <w:spacing w:after="0" w:line="240" w:lineRule="auto"/>
              <w:jc w:val="both"/>
              <w:rPr>
                <w:rFonts w:eastAsia="Calibri" w:cs="Times New Roman"/>
                <w:noProof/>
                <w:sz w:val="16"/>
                <w:szCs w:val="16"/>
              </w:rPr>
            </w:pPr>
            <w:r w:rsidRPr="00B44B19">
              <w:rPr>
                <w:rFonts w:eastAsia="Calibri" w:cs="Times New Roman"/>
                <w:noProof/>
                <w:sz w:val="16"/>
                <w:szCs w:val="16"/>
              </w:rPr>
              <w:t>Procentai</w:t>
            </w:r>
          </w:p>
        </w:tc>
        <w:tc>
          <w:tcPr>
            <w:tcW w:w="328" w:type="pct"/>
          </w:tcPr>
          <w:p w14:paraId="3DCC24FF" w14:textId="77777777" w:rsidR="007F6814" w:rsidRPr="00B44B19" w:rsidRDefault="00BB502B" w:rsidP="007F6814">
            <w:pPr>
              <w:spacing w:after="0" w:line="240" w:lineRule="auto"/>
              <w:jc w:val="center"/>
              <w:rPr>
                <w:rFonts w:eastAsia="Calibri" w:cs="Times New Roman"/>
                <w:noProof/>
                <w:sz w:val="16"/>
                <w:szCs w:val="16"/>
              </w:rPr>
            </w:pPr>
            <w:r w:rsidRPr="00B44B19">
              <w:rPr>
                <w:rFonts w:eastAsia="Calibri" w:cs="Times New Roman"/>
                <w:noProof/>
                <w:sz w:val="16"/>
                <w:szCs w:val="16"/>
              </w:rPr>
              <w:t>25</w:t>
            </w:r>
          </w:p>
        </w:tc>
        <w:tc>
          <w:tcPr>
            <w:tcW w:w="375" w:type="pct"/>
          </w:tcPr>
          <w:p w14:paraId="5BB42FCA"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28" w:type="pct"/>
          </w:tcPr>
          <w:p w14:paraId="2A9A3A77" w14:textId="77777777" w:rsidR="007F6814" w:rsidRPr="00B44B19" w:rsidRDefault="007F6814" w:rsidP="007F6814">
            <w:pPr>
              <w:spacing w:after="0" w:line="240" w:lineRule="auto"/>
              <w:jc w:val="center"/>
              <w:rPr>
                <w:rFonts w:eastAsia="Calibri" w:cs="Times New Roman"/>
                <w:noProof/>
                <w:sz w:val="16"/>
                <w:szCs w:val="16"/>
              </w:rPr>
            </w:pPr>
            <w:r w:rsidRPr="00B44B19">
              <w:rPr>
                <w:rFonts w:eastAsia="Calibri" w:cs="Times New Roman"/>
                <w:noProof/>
                <w:sz w:val="16"/>
                <w:szCs w:val="16"/>
              </w:rPr>
              <w:t>25</w:t>
            </w:r>
          </w:p>
        </w:tc>
        <w:tc>
          <w:tcPr>
            <w:tcW w:w="328" w:type="pct"/>
          </w:tcPr>
          <w:p w14:paraId="79C1B826" w14:textId="77777777" w:rsidR="007F6814" w:rsidRPr="00B44B19" w:rsidRDefault="007F6814" w:rsidP="007F6814">
            <w:pPr>
              <w:spacing w:after="0" w:line="240" w:lineRule="auto"/>
              <w:jc w:val="both"/>
              <w:rPr>
                <w:rFonts w:eastAsia="Calibri" w:cs="Times New Roman"/>
                <w:b/>
                <w:noProof/>
                <w:sz w:val="14"/>
                <w:szCs w:val="14"/>
              </w:rPr>
            </w:pPr>
            <w:r w:rsidRPr="00B44B19">
              <w:rPr>
                <w:rFonts w:eastAsia="Calibri" w:cs="Times New Roman"/>
                <w:noProof/>
                <w:sz w:val="16"/>
                <w:szCs w:val="16"/>
              </w:rPr>
              <w:t>Projektų duomenys</w:t>
            </w:r>
          </w:p>
        </w:tc>
        <w:tc>
          <w:tcPr>
            <w:tcW w:w="370" w:type="pct"/>
          </w:tcPr>
          <w:p w14:paraId="17C2909A" w14:textId="77777777" w:rsidR="007F6814" w:rsidRPr="00B44B19" w:rsidRDefault="007F6814" w:rsidP="007F6814">
            <w:pPr>
              <w:spacing w:after="0" w:line="240" w:lineRule="auto"/>
              <w:jc w:val="both"/>
              <w:rPr>
                <w:rFonts w:eastAsia="Calibri" w:cs="Times New Roman"/>
                <w:b/>
                <w:noProof/>
                <w:sz w:val="14"/>
                <w:szCs w:val="14"/>
              </w:rPr>
            </w:pPr>
          </w:p>
        </w:tc>
      </w:tr>
    </w:tbl>
    <w:p w14:paraId="072BA8B2" w14:textId="77777777" w:rsidR="00764AC5" w:rsidRPr="00B44B19" w:rsidRDefault="00764AC5" w:rsidP="00764AC5">
      <w:pPr>
        <w:spacing w:after="0" w:line="240" w:lineRule="auto"/>
        <w:jc w:val="both"/>
        <w:rPr>
          <w:rFonts w:cs="Times New Roman"/>
          <w:b/>
          <w:bCs/>
          <w:sz w:val="28"/>
          <w:szCs w:val="28"/>
        </w:rPr>
        <w:sectPr w:rsidR="00764AC5" w:rsidRPr="00B44B19" w:rsidSect="00931C78">
          <w:pgSz w:w="16838" w:h="11906" w:orient="landscape"/>
          <w:pgMar w:top="1701" w:right="1276" w:bottom="567" w:left="1134" w:header="567" w:footer="567" w:gutter="0"/>
          <w:cols w:space="1296"/>
          <w:docGrid w:linePitch="360"/>
        </w:sectPr>
      </w:pPr>
    </w:p>
    <w:p w14:paraId="30F37960" w14:textId="77777777" w:rsidR="00764AC5" w:rsidRPr="00B44B19" w:rsidRDefault="00764AC5" w:rsidP="001E46F0">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B44B19" w14:paraId="72F307FD"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842102" w14:textId="77777777" w:rsidR="007F6814" w:rsidRPr="00B44B19" w:rsidRDefault="007F6814" w:rsidP="007F6814">
            <w:pPr>
              <w:rPr>
                <w:rFonts w:eastAsia="Times New Roman" w:cs="Times New Roman"/>
                <w:b/>
                <w:iCs/>
                <w:noProof/>
                <w:sz w:val="20"/>
              </w:rPr>
            </w:pPr>
            <w:r w:rsidRPr="00B44B19">
              <w:rPr>
                <w:rFonts w:eastAsia="Calibri" w:cs="Times New Roman"/>
                <w:b/>
                <w:noProof/>
                <w:sz w:val="20"/>
              </w:rPr>
              <w:t>4 lentelė. 1 matmuo. Intervencinių priemonių sritis</w:t>
            </w:r>
          </w:p>
        </w:tc>
      </w:tr>
      <w:tr w:rsidR="007F6814" w:rsidRPr="00B44B19" w14:paraId="0592B0BA"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8672F0"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F44F1B"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8BAAA1"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1DCB03"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21AD7"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CC818D"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Suma (EUR)</w:t>
            </w:r>
          </w:p>
        </w:tc>
      </w:tr>
      <w:tr w:rsidR="007F6814" w:rsidRPr="00B44B19" w14:paraId="4BCF864B" w14:textId="77777777" w:rsidTr="007F6814">
        <w:tc>
          <w:tcPr>
            <w:tcW w:w="1101" w:type="dxa"/>
            <w:vMerge w:val="restart"/>
            <w:tcBorders>
              <w:top w:val="single" w:sz="12" w:space="0" w:color="auto"/>
            </w:tcBorders>
          </w:tcPr>
          <w:p w14:paraId="67929361"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w:t>
            </w:r>
          </w:p>
        </w:tc>
        <w:tc>
          <w:tcPr>
            <w:tcW w:w="992" w:type="dxa"/>
            <w:vMerge w:val="restart"/>
            <w:tcBorders>
              <w:top w:val="single" w:sz="12" w:space="0" w:color="auto"/>
            </w:tcBorders>
          </w:tcPr>
          <w:p w14:paraId="7D2CD8D6"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ESF+</w:t>
            </w:r>
          </w:p>
        </w:tc>
        <w:tc>
          <w:tcPr>
            <w:tcW w:w="1559" w:type="dxa"/>
            <w:tcBorders>
              <w:top w:val="single" w:sz="12" w:space="0" w:color="auto"/>
              <w:bottom w:val="single" w:sz="4" w:space="0" w:color="auto"/>
            </w:tcBorders>
          </w:tcPr>
          <w:p w14:paraId="3C877976"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Sostinės regionas</w:t>
            </w:r>
          </w:p>
        </w:tc>
        <w:tc>
          <w:tcPr>
            <w:tcW w:w="1134" w:type="dxa"/>
            <w:vMerge w:val="restart"/>
            <w:tcBorders>
              <w:top w:val="single" w:sz="12" w:space="0" w:color="auto"/>
            </w:tcBorders>
          </w:tcPr>
          <w:p w14:paraId="344B771D"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4E2565CE" w14:textId="77777777" w:rsidR="007F6814" w:rsidRPr="00B44B19" w:rsidRDefault="007F6814" w:rsidP="007F6814">
            <w:pPr>
              <w:rPr>
                <w:rFonts w:eastAsia="Times New Roman" w:cs="Times New Roman"/>
                <w:iCs/>
                <w:noProof/>
                <w:sz w:val="20"/>
              </w:rPr>
            </w:pPr>
            <w:r w:rsidRPr="00B44B19">
              <w:rPr>
                <w:rFonts w:eastAsia="Times New Roman" w:cs="Times New Roman"/>
                <w:iCs/>
                <w:noProof/>
                <w:sz w:val="20"/>
              </w:rPr>
              <w:t xml:space="preserve">162 </w:t>
            </w:r>
            <w:r w:rsidR="00D43A78" w:rsidRPr="00B44B19">
              <w:rPr>
                <w:rFonts w:eastAsia="Times New Roman" w:cs="Times New Roman"/>
                <w:iCs/>
                <w:noProof/>
                <w:sz w:val="20"/>
              </w:rPr>
              <w:t>–</w:t>
            </w:r>
            <w:r w:rsidRPr="00B44B19">
              <w:rPr>
                <w:rFonts w:eastAsia="Times New Roman" w:cs="Times New Roman"/>
                <w:iCs/>
                <w:noProof/>
                <w:sz w:val="20"/>
              </w:rPr>
              <w:t xml:space="preserve"> Priemonės, kuriomis modernizuojamos socialinės apsaugos sistemos, įskaitant galimybių naudotis socialinės apsaugos paslaugomis skatinimą</w:t>
            </w:r>
          </w:p>
        </w:tc>
        <w:tc>
          <w:tcPr>
            <w:tcW w:w="1417" w:type="dxa"/>
            <w:tcBorders>
              <w:top w:val="single" w:sz="12" w:space="0" w:color="auto"/>
              <w:bottom w:val="single" w:sz="4" w:space="0" w:color="auto"/>
            </w:tcBorders>
          </w:tcPr>
          <w:p w14:paraId="0BBF7A9D"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5 436 072</w:t>
            </w:r>
            <w:r w:rsidR="007F6814" w:rsidRPr="00B44B19">
              <w:rPr>
                <w:rFonts w:eastAsia="Times New Roman" w:cs="Times New Roman"/>
                <w:iCs/>
                <w:noProof/>
                <w:sz w:val="20"/>
              </w:rPr>
              <w:t>,00</w:t>
            </w:r>
          </w:p>
        </w:tc>
      </w:tr>
      <w:tr w:rsidR="007F6814" w:rsidRPr="00B44B19" w14:paraId="12029F25" w14:textId="77777777" w:rsidTr="007F6814">
        <w:tc>
          <w:tcPr>
            <w:tcW w:w="1101" w:type="dxa"/>
            <w:vMerge/>
          </w:tcPr>
          <w:p w14:paraId="735FB9FE" w14:textId="77777777" w:rsidR="007F6814" w:rsidRPr="00B44B19" w:rsidRDefault="007F6814" w:rsidP="007F6814">
            <w:pPr>
              <w:rPr>
                <w:rFonts w:eastAsia="Times New Roman" w:cs="Times New Roman"/>
                <w:iCs/>
                <w:noProof/>
                <w:sz w:val="20"/>
              </w:rPr>
            </w:pPr>
          </w:p>
        </w:tc>
        <w:tc>
          <w:tcPr>
            <w:tcW w:w="992" w:type="dxa"/>
            <w:vMerge/>
          </w:tcPr>
          <w:p w14:paraId="3A6F41CE" w14:textId="77777777" w:rsidR="007F6814" w:rsidRPr="00B44B19" w:rsidRDefault="007F6814" w:rsidP="007F6814">
            <w:pPr>
              <w:rPr>
                <w:rFonts w:eastAsia="Times New Roman" w:cs="Times New Roman"/>
                <w:b/>
                <w:iCs/>
                <w:noProof/>
                <w:sz w:val="20"/>
              </w:rPr>
            </w:pPr>
          </w:p>
        </w:tc>
        <w:tc>
          <w:tcPr>
            <w:tcW w:w="1559" w:type="dxa"/>
            <w:tcBorders>
              <w:top w:val="single" w:sz="4" w:space="0" w:color="auto"/>
            </w:tcBorders>
          </w:tcPr>
          <w:p w14:paraId="593C517A"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VVL regionas</w:t>
            </w:r>
          </w:p>
        </w:tc>
        <w:tc>
          <w:tcPr>
            <w:tcW w:w="1134" w:type="dxa"/>
            <w:vMerge/>
          </w:tcPr>
          <w:p w14:paraId="7A0EA6C2" w14:textId="77777777" w:rsidR="007F6814" w:rsidRPr="00B44B19" w:rsidRDefault="007F6814" w:rsidP="007F6814">
            <w:pPr>
              <w:rPr>
                <w:rFonts w:eastAsia="Times New Roman" w:cs="Times New Roman"/>
                <w:b/>
                <w:iCs/>
                <w:noProof/>
                <w:sz w:val="20"/>
              </w:rPr>
            </w:pPr>
          </w:p>
        </w:tc>
        <w:tc>
          <w:tcPr>
            <w:tcW w:w="3686" w:type="dxa"/>
            <w:vMerge/>
            <w:tcBorders>
              <w:top w:val="single" w:sz="4" w:space="0" w:color="auto"/>
            </w:tcBorders>
          </w:tcPr>
          <w:p w14:paraId="1F2060D5" w14:textId="77777777" w:rsidR="007F6814" w:rsidRPr="00B44B19" w:rsidRDefault="007F6814" w:rsidP="007F6814">
            <w:pPr>
              <w:jc w:val="center"/>
              <w:rPr>
                <w:rFonts w:eastAsia="Times New Roman" w:cs="Times New Roman"/>
                <w:b/>
                <w:iCs/>
                <w:noProof/>
                <w:sz w:val="20"/>
              </w:rPr>
            </w:pPr>
          </w:p>
        </w:tc>
        <w:tc>
          <w:tcPr>
            <w:tcW w:w="1417" w:type="dxa"/>
            <w:tcBorders>
              <w:top w:val="single" w:sz="4" w:space="0" w:color="auto"/>
            </w:tcBorders>
          </w:tcPr>
          <w:p w14:paraId="382F84B3"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45 847 620</w:t>
            </w:r>
            <w:r w:rsidR="007F6814" w:rsidRPr="00B44B19">
              <w:rPr>
                <w:rFonts w:eastAsia="Times New Roman" w:cs="Times New Roman"/>
                <w:iCs/>
                <w:noProof/>
                <w:sz w:val="20"/>
              </w:rPr>
              <w:t>,00</w:t>
            </w:r>
          </w:p>
        </w:tc>
      </w:tr>
    </w:tbl>
    <w:p w14:paraId="09A0194C" w14:textId="77777777" w:rsidR="007F6814" w:rsidRPr="00B44B19"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B44B19" w14:paraId="71069B45"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DF73DB1" w14:textId="77777777" w:rsidR="007F6814" w:rsidRPr="00B44B19" w:rsidRDefault="007F6814" w:rsidP="004436E1">
            <w:pPr>
              <w:rPr>
                <w:rFonts w:eastAsia="Times New Roman" w:cs="Times New Roman"/>
                <w:b/>
                <w:iCs/>
                <w:noProof/>
                <w:sz w:val="20"/>
              </w:rPr>
            </w:pPr>
            <w:r w:rsidRPr="00B44B19">
              <w:rPr>
                <w:rFonts w:eastAsia="Calibri" w:cs="Times New Roman"/>
                <w:b/>
                <w:noProof/>
                <w:sz w:val="20"/>
              </w:rPr>
              <w:t xml:space="preserve">5 lentelė. 2 matmuo. </w:t>
            </w:r>
            <w:r w:rsidR="004436E1" w:rsidRPr="00B44B19">
              <w:rPr>
                <w:rFonts w:eastAsia="Calibri" w:cs="Times New Roman"/>
                <w:b/>
                <w:noProof/>
                <w:sz w:val="20"/>
              </w:rPr>
              <w:t>Finansavimo</w:t>
            </w:r>
            <w:r w:rsidR="0083408B" w:rsidRPr="00B44B19">
              <w:rPr>
                <w:rFonts w:eastAsia="Calibri" w:cs="Times New Roman"/>
                <w:b/>
                <w:noProof/>
                <w:sz w:val="20"/>
              </w:rPr>
              <w:t xml:space="preserve"> </w:t>
            </w:r>
            <w:r w:rsidRPr="00B44B19">
              <w:rPr>
                <w:rFonts w:eastAsia="Calibri" w:cs="Times New Roman"/>
                <w:b/>
                <w:noProof/>
                <w:sz w:val="20"/>
              </w:rPr>
              <w:t>forma</w:t>
            </w:r>
          </w:p>
        </w:tc>
      </w:tr>
      <w:tr w:rsidR="007F6814" w:rsidRPr="00B44B19" w14:paraId="5CE36AA4"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7F9C74"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A1E7AE"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41DA5F"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635862"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429AC5"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383203"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Suma (EUR)</w:t>
            </w:r>
          </w:p>
        </w:tc>
      </w:tr>
      <w:tr w:rsidR="007F6814" w:rsidRPr="00B44B19" w14:paraId="1788036F" w14:textId="77777777" w:rsidTr="007F6814">
        <w:tc>
          <w:tcPr>
            <w:tcW w:w="1101" w:type="dxa"/>
            <w:vMerge w:val="restart"/>
            <w:tcBorders>
              <w:top w:val="single" w:sz="12" w:space="0" w:color="auto"/>
            </w:tcBorders>
          </w:tcPr>
          <w:p w14:paraId="1B7EEF58"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w:t>
            </w:r>
          </w:p>
        </w:tc>
        <w:tc>
          <w:tcPr>
            <w:tcW w:w="992" w:type="dxa"/>
            <w:vMerge w:val="restart"/>
            <w:tcBorders>
              <w:top w:val="single" w:sz="12" w:space="0" w:color="auto"/>
            </w:tcBorders>
          </w:tcPr>
          <w:p w14:paraId="6FB0CDAB"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ESF+</w:t>
            </w:r>
          </w:p>
        </w:tc>
        <w:tc>
          <w:tcPr>
            <w:tcW w:w="1559" w:type="dxa"/>
            <w:tcBorders>
              <w:top w:val="single" w:sz="12" w:space="0" w:color="auto"/>
              <w:bottom w:val="single" w:sz="4" w:space="0" w:color="auto"/>
            </w:tcBorders>
          </w:tcPr>
          <w:p w14:paraId="6CCF1CFE"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Sostinės regionas</w:t>
            </w:r>
          </w:p>
        </w:tc>
        <w:tc>
          <w:tcPr>
            <w:tcW w:w="1134" w:type="dxa"/>
            <w:vMerge w:val="restart"/>
            <w:tcBorders>
              <w:top w:val="single" w:sz="12" w:space="0" w:color="auto"/>
            </w:tcBorders>
          </w:tcPr>
          <w:p w14:paraId="6098307C"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4988FAC2" w14:textId="77777777" w:rsidR="007F6814" w:rsidRPr="00B44B19" w:rsidRDefault="007F6814" w:rsidP="007F6814">
            <w:pPr>
              <w:rPr>
                <w:rFonts w:eastAsia="Times New Roman" w:cs="Times New Roman"/>
                <w:iCs/>
                <w:noProof/>
                <w:sz w:val="20"/>
              </w:rPr>
            </w:pPr>
            <w:r w:rsidRPr="00B44B19">
              <w:rPr>
                <w:rFonts w:eastAsia="Times New Roman" w:cs="Times New Roman"/>
                <w:iCs/>
                <w:noProof/>
                <w:sz w:val="20"/>
              </w:rPr>
              <w:t xml:space="preserve">01 </w:t>
            </w:r>
            <w:r w:rsidR="00D43A78" w:rsidRPr="00B44B19">
              <w:rPr>
                <w:rFonts w:eastAsia="Times New Roman" w:cs="Times New Roman"/>
                <w:iCs/>
                <w:noProof/>
                <w:sz w:val="20"/>
              </w:rPr>
              <w:t>–</w:t>
            </w:r>
            <w:r w:rsidRPr="00B44B19">
              <w:rPr>
                <w:rFonts w:eastAsia="Times New Roman" w:cs="Times New Roman"/>
                <w:iCs/>
                <w:noProof/>
                <w:sz w:val="20"/>
              </w:rPr>
              <w:t xml:space="preserve"> Dotacija</w:t>
            </w:r>
          </w:p>
        </w:tc>
        <w:tc>
          <w:tcPr>
            <w:tcW w:w="1417" w:type="dxa"/>
            <w:tcBorders>
              <w:top w:val="single" w:sz="12" w:space="0" w:color="auto"/>
              <w:bottom w:val="single" w:sz="4" w:space="0" w:color="auto"/>
            </w:tcBorders>
          </w:tcPr>
          <w:p w14:paraId="2708CC08"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5 436 072</w:t>
            </w:r>
            <w:r w:rsidR="007F6814" w:rsidRPr="00B44B19">
              <w:rPr>
                <w:rFonts w:eastAsia="Times New Roman" w:cs="Times New Roman"/>
                <w:iCs/>
                <w:noProof/>
                <w:sz w:val="20"/>
              </w:rPr>
              <w:t>,00</w:t>
            </w:r>
          </w:p>
        </w:tc>
      </w:tr>
      <w:tr w:rsidR="007F6814" w:rsidRPr="00B44B19" w14:paraId="4548B2D9" w14:textId="77777777" w:rsidTr="007F6814">
        <w:tc>
          <w:tcPr>
            <w:tcW w:w="1101" w:type="dxa"/>
            <w:vMerge/>
          </w:tcPr>
          <w:p w14:paraId="57F87976" w14:textId="77777777" w:rsidR="007F6814" w:rsidRPr="00B44B19" w:rsidRDefault="007F6814" w:rsidP="007F6814">
            <w:pPr>
              <w:rPr>
                <w:rFonts w:eastAsia="Times New Roman" w:cs="Times New Roman"/>
                <w:b/>
                <w:iCs/>
                <w:noProof/>
                <w:sz w:val="20"/>
              </w:rPr>
            </w:pPr>
          </w:p>
        </w:tc>
        <w:tc>
          <w:tcPr>
            <w:tcW w:w="992" w:type="dxa"/>
            <w:vMerge/>
          </w:tcPr>
          <w:p w14:paraId="72589049" w14:textId="77777777" w:rsidR="007F6814" w:rsidRPr="00B44B19" w:rsidRDefault="007F6814" w:rsidP="007F6814">
            <w:pPr>
              <w:rPr>
                <w:rFonts w:eastAsia="Times New Roman" w:cs="Times New Roman"/>
                <w:b/>
                <w:iCs/>
                <w:noProof/>
                <w:sz w:val="20"/>
              </w:rPr>
            </w:pPr>
          </w:p>
        </w:tc>
        <w:tc>
          <w:tcPr>
            <w:tcW w:w="1559" w:type="dxa"/>
            <w:tcBorders>
              <w:top w:val="single" w:sz="4" w:space="0" w:color="auto"/>
            </w:tcBorders>
          </w:tcPr>
          <w:p w14:paraId="4AA43A5A"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VVL regionas</w:t>
            </w:r>
          </w:p>
        </w:tc>
        <w:tc>
          <w:tcPr>
            <w:tcW w:w="1134" w:type="dxa"/>
            <w:vMerge/>
          </w:tcPr>
          <w:p w14:paraId="195F7606" w14:textId="77777777" w:rsidR="007F6814" w:rsidRPr="00B44B19" w:rsidRDefault="007F6814" w:rsidP="007F6814">
            <w:pPr>
              <w:rPr>
                <w:rFonts w:eastAsia="Times New Roman" w:cs="Times New Roman"/>
                <w:b/>
                <w:iCs/>
                <w:noProof/>
                <w:sz w:val="20"/>
              </w:rPr>
            </w:pPr>
          </w:p>
        </w:tc>
        <w:tc>
          <w:tcPr>
            <w:tcW w:w="3686" w:type="dxa"/>
            <w:vMerge/>
            <w:tcBorders>
              <w:top w:val="single" w:sz="4" w:space="0" w:color="auto"/>
            </w:tcBorders>
          </w:tcPr>
          <w:p w14:paraId="7E3F8A29" w14:textId="77777777" w:rsidR="007F6814" w:rsidRPr="00B44B19" w:rsidRDefault="007F6814" w:rsidP="007F6814">
            <w:pPr>
              <w:rPr>
                <w:rFonts w:eastAsia="Times New Roman" w:cs="Times New Roman"/>
                <w:b/>
                <w:iCs/>
                <w:noProof/>
                <w:sz w:val="20"/>
              </w:rPr>
            </w:pPr>
          </w:p>
        </w:tc>
        <w:tc>
          <w:tcPr>
            <w:tcW w:w="1417" w:type="dxa"/>
            <w:tcBorders>
              <w:top w:val="single" w:sz="4" w:space="0" w:color="auto"/>
            </w:tcBorders>
          </w:tcPr>
          <w:p w14:paraId="66A439C2"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45 847 620</w:t>
            </w:r>
            <w:r w:rsidR="007F6814" w:rsidRPr="00B44B19">
              <w:rPr>
                <w:rFonts w:eastAsia="Times New Roman" w:cs="Times New Roman"/>
                <w:iCs/>
                <w:noProof/>
                <w:sz w:val="20"/>
              </w:rPr>
              <w:t>,00</w:t>
            </w:r>
          </w:p>
        </w:tc>
      </w:tr>
    </w:tbl>
    <w:p w14:paraId="110213D7" w14:textId="77777777" w:rsidR="007F6814" w:rsidRPr="00B44B19"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B44B19" w14:paraId="3423F9A1"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7BFCCE4" w14:textId="77777777" w:rsidR="007F6814" w:rsidRPr="00B44B19" w:rsidRDefault="007F6814" w:rsidP="007F6814">
            <w:pPr>
              <w:rPr>
                <w:rFonts w:eastAsia="Times New Roman" w:cs="Times New Roman"/>
                <w:b/>
                <w:iCs/>
                <w:noProof/>
                <w:sz w:val="20"/>
              </w:rPr>
            </w:pPr>
            <w:r w:rsidRPr="00B44B19">
              <w:rPr>
                <w:rFonts w:eastAsia="Calibri" w:cs="Times New Roman"/>
                <w:b/>
                <w:noProof/>
                <w:sz w:val="20"/>
              </w:rPr>
              <w:t xml:space="preserve">6 lentelė. 3 matmuo. </w:t>
            </w:r>
            <w:r w:rsidR="0083408B" w:rsidRPr="00B44B19">
              <w:rPr>
                <w:rFonts w:eastAsia="Calibri" w:cs="Times New Roman"/>
                <w:b/>
                <w:noProof/>
                <w:sz w:val="20"/>
              </w:rPr>
              <w:t>Teritorinis įgyvendinimo mechanizmas ir pagrindinė teritorinė sritis</w:t>
            </w:r>
          </w:p>
        </w:tc>
      </w:tr>
      <w:tr w:rsidR="007F6814" w:rsidRPr="00B44B19" w14:paraId="3C94B37F"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2C752B"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97F11A"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093D4C"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81780F"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E79D0E"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811879"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Suma (EUR)</w:t>
            </w:r>
          </w:p>
        </w:tc>
      </w:tr>
      <w:tr w:rsidR="007F6814" w:rsidRPr="00B44B19" w14:paraId="1B602D73" w14:textId="77777777" w:rsidTr="007F6814">
        <w:tc>
          <w:tcPr>
            <w:tcW w:w="1101" w:type="dxa"/>
            <w:vMerge w:val="restart"/>
            <w:tcBorders>
              <w:top w:val="single" w:sz="12" w:space="0" w:color="auto"/>
            </w:tcBorders>
          </w:tcPr>
          <w:p w14:paraId="2FB6EB4D"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w:t>
            </w:r>
          </w:p>
        </w:tc>
        <w:tc>
          <w:tcPr>
            <w:tcW w:w="992" w:type="dxa"/>
            <w:vMerge w:val="restart"/>
            <w:tcBorders>
              <w:top w:val="single" w:sz="12" w:space="0" w:color="auto"/>
            </w:tcBorders>
          </w:tcPr>
          <w:p w14:paraId="176DAC7C"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ESF+</w:t>
            </w:r>
          </w:p>
        </w:tc>
        <w:tc>
          <w:tcPr>
            <w:tcW w:w="1559" w:type="dxa"/>
            <w:tcBorders>
              <w:top w:val="single" w:sz="12" w:space="0" w:color="auto"/>
              <w:bottom w:val="single" w:sz="4" w:space="0" w:color="auto"/>
            </w:tcBorders>
          </w:tcPr>
          <w:p w14:paraId="657EDDC6"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Sostinės regionas</w:t>
            </w:r>
          </w:p>
        </w:tc>
        <w:tc>
          <w:tcPr>
            <w:tcW w:w="1134" w:type="dxa"/>
            <w:vMerge w:val="restart"/>
            <w:tcBorders>
              <w:top w:val="single" w:sz="12" w:space="0" w:color="auto"/>
            </w:tcBorders>
          </w:tcPr>
          <w:p w14:paraId="4F0ECEC5"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061F2D3E" w14:textId="77777777" w:rsidR="007F6814" w:rsidRPr="00B44B19" w:rsidRDefault="007F6814" w:rsidP="007F6814">
            <w:pPr>
              <w:rPr>
                <w:rFonts w:eastAsia="Times New Roman" w:cs="Times New Roman"/>
                <w:iCs/>
                <w:noProof/>
                <w:sz w:val="20"/>
              </w:rPr>
            </w:pPr>
            <w:r w:rsidRPr="00B44B19">
              <w:rPr>
                <w:rFonts w:eastAsia="Times New Roman" w:cs="Times New Roman"/>
                <w:iCs/>
                <w:noProof/>
                <w:sz w:val="20"/>
              </w:rPr>
              <w:t xml:space="preserve">33 </w:t>
            </w:r>
            <w:r w:rsidR="00D43A78" w:rsidRPr="00B44B19">
              <w:rPr>
                <w:rFonts w:eastAsia="Times New Roman" w:cs="Times New Roman"/>
                <w:iCs/>
                <w:noProof/>
                <w:sz w:val="20"/>
              </w:rPr>
              <w:t>–</w:t>
            </w:r>
            <w:r w:rsidRPr="00B44B19">
              <w:rPr>
                <w:rFonts w:eastAsia="Times New Roman" w:cs="Times New Roman"/>
                <w:iCs/>
                <w:noProof/>
                <w:sz w:val="20"/>
              </w:rPr>
              <w:t xml:space="preserve"> Nesiorientuojant į teritoriškumą</w:t>
            </w:r>
          </w:p>
        </w:tc>
        <w:tc>
          <w:tcPr>
            <w:tcW w:w="1417" w:type="dxa"/>
            <w:tcBorders>
              <w:top w:val="single" w:sz="12" w:space="0" w:color="auto"/>
              <w:bottom w:val="single" w:sz="4" w:space="0" w:color="auto"/>
            </w:tcBorders>
          </w:tcPr>
          <w:p w14:paraId="7517568C"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5 436 072</w:t>
            </w:r>
            <w:r w:rsidR="007F6814" w:rsidRPr="00B44B19">
              <w:rPr>
                <w:rFonts w:eastAsia="Times New Roman" w:cs="Times New Roman"/>
                <w:iCs/>
                <w:noProof/>
                <w:sz w:val="20"/>
              </w:rPr>
              <w:t>,00</w:t>
            </w:r>
          </w:p>
        </w:tc>
      </w:tr>
      <w:tr w:rsidR="007F6814" w:rsidRPr="00B44B19" w14:paraId="733F68D6" w14:textId="77777777" w:rsidTr="007F6814">
        <w:tc>
          <w:tcPr>
            <w:tcW w:w="1101" w:type="dxa"/>
            <w:vMerge/>
          </w:tcPr>
          <w:p w14:paraId="53BC6087" w14:textId="77777777" w:rsidR="007F6814" w:rsidRPr="00B44B19" w:rsidRDefault="007F6814" w:rsidP="007F6814">
            <w:pPr>
              <w:rPr>
                <w:rFonts w:eastAsia="Times New Roman" w:cs="Times New Roman"/>
                <w:b/>
                <w:iCs/>
                <w:noProof/>
                <w:sz w:val="20"/>
              </w:rPr>
            </w:pPr>
          </w:p>
        </w:tc>
        <w:tc>
          <w:tcPr>
            <w:tcW w:w="992" w:type="dxa"/>
            <w:vMerge/>
          </w:tcPr>
          <w:p w14:paraId="7CD00D61" w14:textId="77777777" w:rsidR="007F6814" w:rsidRPr="00B44B19" w:rsidRDefault="007F6814" w:rsidP="007F6814">
            <w:pPr>
              <w:rPr>
                <w:rFonts w:eastAsia="Times New Roman" w:cs="Times New Roman"/>
                <w:b/>
                <w:iCs/>
                <w:noProof/>
                <w:sz w:val="20"/>
              </w:rPr>
            </w:pPr>
          </w:p>
        </w:tc>
        <w:tc>
          <w:tcPr>
            <w:tcW w:w="1559" w:type="dxa"/>
            <w:tcBorders>
              <w:top w:val="single" w:sz="4" w:space="0" w:color="auto"/>
            </w:tcBorders>
          </w:tcPr>
          <w:p w14:paraId="549E497C"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VVL regionas</w:t>
            </w:r>
          </w:p>
        </w:tc>
        <w:tc>
          <w:tcPr>
            <w:tcW w:w="1134" w:type="dxa"/>
            <w:vMerge/>
          </w:tcPr>
          <w:p w14:paraId="5775EEA4" w14:textId="77777777" w:rsidR="007F6814" w:rsidRPr="00B44B19" w:rsidRDefault="007F6814" w:rsidP="007F6814">
            <w:pPr>
              <w:rPr>
                <w:rFonts w:eastAsia="Times New Roman" w:cs="Times New Roman"/>
                <w:b/>
                <w:iCs/>
                <w:noProof/>
                <w:sz w:val="20"/>
              </w:rPr>
            </w:pPr>
          </w:p>
        </w:tc>
        <w:tc>
          <w:tcPr>
            <w:tcW w:w="3686" w:type="dxa"/>
            <w:vMerge/>
            <w:tcBorders>
              <w:top w:val="single" w:sz="4" w:space="0" w:color="auto"/>
            </w:tcBorders>
          </w:tcPr>
          <w:p w14:paraId="6250E630" w14:textId="77777777" w:rsidR="007F6814" w:rsidRPr="00B44B19" w:rsidRDefault="007F6814" w:rsidP="007F6814">
            <w:pPr>
              <w:rPr>
                <w:rFonts w:eastAsia="Times New Roman" w:cs="Times New Roman"/>
                <w:b/>
                <w:iCs/>
                <w:noProof/>
                <w:sz w:val="20"/>
              </w:rPr>
            </w:pPr>
          </w:p>
        </w:tc>
        <w:tc>
          <w:tcPr>
            <w:tcW w:w="1417" w:type="dxa"/>
            <w:tcBorders>
              <w:top w:val="single" w:sz="4" w:space="0" w:color="auto"/>
            </w:tcBorders>
          </w:tcPr>
          <w:p w14:paraId="549BACC2"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45 847 620</w:t>
            </w:r>
            <w:r w:rsidR="007F6814" w:rsidRPr="00B44B19">
              <w:rPr>
                <w:rFonts w:eastAsia="Times New Roman" w:cs="Times New Roman"/>
                <w:iCs/>
                <w:noProof/>
                <w:sz w:val="20"/>
              </w:rPr>
              <w:t>,00</w:t>
            </w:r>
          </w:p>
        </w:tc>
      </w:tr>
    </w:tbl>
    <w:p w14:paraId="62A5DC31" w14:textId="77777777" w:rsidR="007F6814" w:rsidRPr="00B44B19" w:rsidRDefault="007F6814" w:rsidP="004572AB">
      <w:pPr>
        <w:spacing w:after="0" w:line="240" w:lineRule="auto"/>
        <w:rPr>
          <w:rFonts w:eastAsia="Times New Roman" w:cs="Times New Roman"/>
          <w:iCs/>
          <w:noProof/>
          <w:sz w:val="20"/>
          <w:szCs w:val="20"/>
        </w:rPr>
      </w:pPr>
    </w:p>
    <w:tbl>
      <w:tblPr>
        <w:tblStyle w:val="Lentelstinklelis13"/>
        <w:tblW w:w="9889" w:type="dxa"/>
        <w:tblLook w:val="04A0" w:firstRow="1" w:lastRow="0" w:firstColumn="1" w:lastColumn="0" w:noHBand="0" w:noVBand="1"/>
      </w:tblPr>
      <w:tblGrid>
        <w:gridCol w:w="1101"/>
        <w:gridCol w:w="992"/>
        <w:gridCol w:w="1559"/>
        <w:gridCol w:w="1134"/>
        <w:gridCol w:w="3686"/>
        <w:gridCol w:w="1417"/>
      </w:tblGrid>
      <w:tr w:rsidR="007F6814" w:rsidRPr="00B44B19" w14:paraId="7DC59E78" w14:textId="77777777" w:rsidTr="007F6814">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FFD26C9" w14:textId="77777777" w:rsidR="007F6814" w:rsidRPr="00B44B19" w:rsidRDefault="007F6814" w:rsidP="007F6814">
            <w:pPr>
              <w:rPr>
                <w:rFonts w:eastAsia="Times New Roman" w:cs="Times New Roman"/>
                <w:b/>
                <w:iCs/>
                <w:noProof/>
                <w:sz w:val="20"/>
              </w:rPr>
            </w:pPr>
            <w:r w:rsidRPr="00B44B19">
              <w:rPr>
                <w:rFonts w:eastAsia="Calibri" w:cs="Times New Roman"/>
                <w:b/>
                <w:noProof/>
                <w:sz w:val="20"/>
              </w:rPr>
              <w:t>7 lentelė. 6 matmuo. ESF+ antrinės temos</w:t>
            </w:r>
          </w:p>
        </w:tc>
      </w:tr>
      <w:tr w:rsidR="007F6814" w:rsidRPr="00B44B19" w14:paraId="1BEC8ECF"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D5D4D"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D1289E"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0007B"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EF224F"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04104F"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F277D9" w14:textId="77777777" w:rsidR="007F6814" w:rsidRPr="00B44B19" w:rsidRDefault="007F6814" w:rsidP="007F6814">
            <w:pPr>
              <w:jc w:val="center"/>
              <w:rPr>
                <w:rFonts w:eastAsia="Times New Roman" w:cs="Times New Roman"/>
                <w:b/>
                <w:iCs/>
                <w:noProof/>
                <w:sz w:val="20"/>
              </w:rPr>
            </w:pPr>
            <w:r w:rsidRPr="00B44B19">
              <w:rPr>
                <w:rFonts w:eastAsia="Calibri" w:cs="Times New Roman"/>
                <w:b/>
                <w:noProof/>
                <w:sz w:val="20"/>
              </w:rPr>
              <w:t>Suma (EUR)</w:t>
            </w:r>
          </w:p>
        </w:tc>
      </w:tr>
      <w:tr w:rsidR="007F6814" w:rsidRPr="00B44B19" w14:paraId="09303ADF" w14:textId="77777777" w:rsidTr="007F6814">
        <w:tc>
          <w:tcPr>
            <w:tcW w:w="1101" w:type="dxa"/>
            <w:vMerge w:val="restart"/>
            <w:tcBorders>
              <w:top w:val="single" w:sz="12" w:space="0" w:color="auto"/>
            </w:tcBorders>
          </w:tcPr>
          <w:p w14:paraId="5D2F5FE8"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w:t>
            </w:r>
          </w:p>
        </w:tc>
        <w:tc>
          <w:tcPr>
            <w:tcW w:w="992" w:type="dxa"/>
            <w:vMerge w:val="restart"/>
            <w:tcBorders>
              <w:top w:val="single" w:sz="12" w:space="0" w:color="auto"/>
            </w:tcBorders>
          </w:tcPr>
          <w:p w14:paraId="7D7F36C5"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ESF</w:t>
            </w:r>
            <w:r w:rsidR="008E75B3" w:rsidRPr="00B44B19">
              <w:rPr>
                <w:rFonts w:eastAsia="Times New Roman" w:cs="Times New Roman"/>
                <w:iCs/>
                <w:noProof/>
                <w:sz w:val="20"/>
              </w:rPr>
              <w:t>+</w:t>
            </w:r>
          </w:p>
        </w:tc>
        <w:tc>
          <w:tcPr>
            <w:tcW w:w="1559" w:type="dxa"/>
            <w:tcBorders>
              <w:top w:val="single" w:sz="12" w:space="0" w:color="auto"/>
              <w:bottom w:val="single" w:sz="4" w:space="0" w:color="auto"/>
            </w:tcBorders>
          </w:tcPr>
          <w:p w14:paraId="14652E90"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Sostinės regionas</w:t>
            </w:r>
          </w:p>
        </w:tc>
        <w:tc>
          <w:tcPr>
            <w:tcW w:w="1134" w:type="dxa"/>
            <w:vMerge w:val="restart"/>
            <w:tcBorders>
              <w:top w:val="single" w:sz="12" w:space="0" w:color="auto"/>
            </w:tcBorders>
          </w:tcPr>
          <w:p w14:paraId="08B7FBB2" w14:textId="77777777" w:rsidR="007F6814" w:rsidRPr="00B44B19" w:rsidRDefault="007F6814" w:rsidP="007F6814">
            <w:pPr>
              <w:jc w:val="center"/>
              <w:rPr>
                <w:rFonts w:eastAsia="Times New Roman" w:cs="Times New Roman"/>
                <w:iCs/>
                <w:noProof/>
                <w:sz w:val="20"/>
              </w:rPr>
            </w:pPr>
            <w:r w:rsidRPr="00B44B19">
              <w:rPr>
                <w:rFonts w:eastAsia="Times New Roman" w:cs="Times New Roman"/>
                <w:iCs/>
                <w:noProof/>
                <w:sz w:val="20"/>
              </w:rPr>
              <w:t>6.1</w:t>
            </w:r>
          </w:p>
        </w:tc>
        <w:tc>
          <w:tcPr>
            <w:tcW w:w="3686" w:type="dxa"/>
            <w:vMerge w:val="restart"/>
            <w:tcBorders>
              <w:top w:val="single" w:sz="12" w:space="0" w:color="auto"/>
              <w:bottom w:val="single" w:sz="4" w:space="0" w:color="auto"/>
            </w:tcBorders>
          </w:tcPr>
          <w:p w14:paraId="153F83AE" w14:textId="77777777" w:rsidR="007F6814" w:rsidRPr="00B44B19" w:rsidRDefault="007F6814" w:rsidP="007F6814">
            <w:pPr>
              <w:rPr>
                <w:rFonts w:eastAsia="Times New Roman" w:cs="Times New Roman"/>
                <w:iCs/>
                <w:noProof/>
                <w:sz w:val="20"/>
              </w:rPr>
            </w:pPr>
            <w:r w:rsidRPr="00B44B19">
              <w:rPr>
                <w:rFonts w:eastAsia="Times New Roman" w:cs="Times New Roman"/>
                <w:iCs/>
                <w:noProof/>
                <w:sz w:val="20"/>
              </w:rPr>
              <w:t xml:space="preserve">09 </w:t>
            </w:r>
            <w:r w:rsidR="00D43A78" w:rsidRPr="00B44B19">
              <w:rPr>
                <w:rFonts w:eastAsia="Times New Roman" w:cs="Times New Roman"/>
                <w:iCs/>
                <w:noProof/>
                <w:sz w:val="20"/>
              </w:rPr>
              <w:t>–</w:t>
            </w:r>
            <w:r w:rsidRPr="00B44B19">
              <w:rPr>
                <w:rFonts w:eastAsia="Times New Roman" w:cs="Times New Roman"/>
                <w:iCs/>
                <w:noProof/>
                <w:sz w:val="20"/>
              </w:rPr>
              <w:t xml:space="preserve"> Netaikoma</w:t>
            </w:r>
          </w:p>
        </w:tc>
        <w:tc>
          <w:tcPr>
            <w:tcW w:w="1417" w:type="dxa"/>
            <w:tcBorders>
              <w:top w:val="single" w:sz="12" w:space="0" w:color="auto"/>
              <w:bottom w:val="single" w:sz="4" w:space="0" w:color="auto"/>
            </w:tcBorders>
          </w:tcPr>
          <w:p w14:paraId="40AB5D89"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5 436 072</w:t>
            </w:r>
            <w:r w:rsidR="007F6814" w:rsidRPr="00B44B19">
              <w:rPr>
                <w:rFonts w:eastAsia="Times New Roman" w:cs="Times New Roman"/>
                <w:iCs/>
                <w:noProof/>
                <w:sz w:val="20"/>
              </w:rPr>
              <w:t>,00</w:t>
            </w:r>
          </w:p>
        </w:tc>
      </w:tr>
      <w:tr w:rsidR="007F6814" w:rsidRPr="00B44B19" w14:paraId="659FB4B8" w14:textId="77777777" w:rsidTr="007F6814">
        <w:tc>
          <w:tcPr>
            <w:tcW w:w="1101" w:type="dxa"/>
            <w:vMerge/>
          </w:tcPr>
          <w:p w14:paraId="1A4F3848" w14:textId="77777777" w:rsidR="007F6814" w:rsidRPr="00B44B19" w:rsidRDefault="007F6814" w:rsidP="007F6814">
            <w:pPr>
              <w:rPr>
                <w:rFonts w:eastAsia="Times New Roman" w:cs="Times New Roman"/>
                <w:b/>
                <w:iCs/>
                <w:noProof/>
                <w:sz w:val="20"/>
              </w:rPr>
            </w:pPr>
          </w:p>
        </w:tc>
        <w:tc>
          <w:tcPr>
            <w:tcW w:w="992" w:type="dxa"/>
            <w:vMerge/>
          </w:tcPr>
          <w:p w14:paraId="6C2EEFA1" w14:textId="77777777" w:rsidR="007F6814" w:rsidRPr="00B44B19" w:rsidRDefault="007F6814" w:rsidP="007F6814">
            <w:pPr>
              <w:rPr>
                <w:rFonts w:eastAsia="Times New Roman" w:cs="Times New Roman"/>
                <w:b/>
                <w:iCs/>
                <w:noProof/>
                <w:sz w:val="20"/>
              </w:rPr>
            </w:pPr>
          </w:p>
        </w:tc>
        <w:tc>
          <w:tcPr>
            <w:tcW w:w="1559" w:type="dxa"/>
            <w:tcBorders>
              <w:top w:val="single" w:sz="4" w:space="0" w:color="auto"/>
            </w:tcBorders>
          </w:tcPr>
          <w:p w14:paraId="5FABECA5" w14:textId="77777777" w:rsidR="007F6814" w:rsidRPr="00B44B19" w:rsidRDefault="007F6814" w:rsidP="007F6814">
            <w:pPr>
              <w:jc w:val="both"/>
              <w:rPr>
                <w:rFonts w:eastAsia="Calibri" w:cs="Times New Roman"/>
                <w:noProof/>
                <w:sz w:val="20"/>
                <w:szCs w:val="20"/>
              </w:rPr>
            </w:pPr>
            <w:r w:rsidRPr="00B44B19">
              <w:rPr>
                <w:rFonts w:eastAsia="Calibri" w:cs="Times New Roman"/>
                <w:noProof/>
                <w:sz w:val="20"/>
                <w:szCs w:val="20"/>
              </w:rPr>
              <w:t>VVL regionas</w:t>
            </w:r>
          </w:p>
        </w:tc>
        <w:tc>
          <w:tcPr>
            <w:tcW w:w="1134" w:type="dxa"/>
            <w:vMerge/>
          </w:tcPr>
          <w:p w14:paraId="61A26B34" w14:textId="77777777" w:rsidR="007F6814" w:rsidRPr="00B44B19" w:rsidRDefault="007F6814" w:rsidP="007F6814">
            <w:pPr>
              <w:rPr>
                <w:rFonts w:eastAsia="Times New Roman" w:cs="Times New Roman"/>
                <w:b/>
                <w:iCs/>
                <w:noProof/>
                <w:sz w:val="20"/>
              </w:rPr>
            </w:pPr>
          </w:p>
        </w:tc>
        <w:tc>
          <w:tcPr>
            <w:tcW w:w="3686" w:type="dxa"/>
            <w:vMerge/>
            <w:tcBorders>
              <w:top w:val="single" w:sz="4" w:space="0" w:color="auto"/>
            </w:tcBorders>
          </w:tcPr>
          <w:p w14:paraId="2EF78DFF" w14:textId="77777777" w:rsidR="007F6814" w:rsidRPr="00B44B19" w:rsidRDefault="007F6814" w:rsidP="007F6814">
            <w:pPr>
              <w:rPr>
                <w:rFonts w:eastAsia="Times New Roman" w:cs="Times New Roman"/>
                <w:b/>
                <w:iCs/>
                <w:noProof/>
                <w:sz w:val="20"/>
              </w:rPr>
            </w:pPr>
          </w:p>
        </w:tc>
        <w:tc>
          <w:tcPr>
            <w:tcW w:w="1417" w:type="dxa"/>
            <w:tcBorders>
              <w:top w:val="single" w:sz="4" w:space="0" w:color="auto"/>
            </w:tcBorders>
          </w:tcPr>
          <w:p w14:paraId="6A0F3CE3" w14:textId="77777777" w:rsidR="007F6814" w:rsidRPr="00B44B19" w:rsidRDefault="00C60A41" w:rsidP="007F6814">
            <w:pPr>
              <w:jc w:val="right"/>
              <w:rPr>
                <w:rFonts w:eastAsia="Times New Roman" w:cs="Times New Roman"/>
                <w:iCs/>
                <w:noProof/>
                <w:sz w:val="20"/>
              </w:rPr>
            </w:pPr>
            <w:r w:rsidRPr="00B44B19">
              <w:rPr>
                <w:rFonts w:eastAsia="Times New Roman" w:cs="Times New Roman"/>
                <w:iCs/>
                <w:noProof/>
                <w:sz w:val="20"/>
              </w:rPr>
              <w:t>45 847 620</w:t>
            </w:r>
            <w:r w:rsidR="007F6814" w:rsidRPr="00B44B19">
              <w:rPr>
                <w:rFonts w:eastAsia="Times New Roman" w:cs="Times New Roman"/>
                <w:iCs/>
                <w:noProof/>
                <w:sz w:val="20"/>
              </w:rPr>
              <w:t>,00</w:t>
            </w:r>
          </w:p>
        </w:tc>
      </w:tr>
    </w:tbl>
    <w:p w14:paraId="3AE4D208" w14:textId="77777777" w:rsidR="00AD6710" w:rsidRPr="00B44B19" w:rsidRDefault="00AD6710" w:rsidP="004572AB">
      <w:pPr>
        <w:spacing w:after="0" w:line="240" w:lineRule="auto"/>
        <w:rPr>
          <w:rFonts w:cs="Times New Roman"/>
          <w:bCs/>
          <w:sz w:val="20"/>
          <w:szCs w:val="20"/>
        </w:rPr>
      </w:pPr>
    </w:p>
    <w:tbl>
      <w:tblPr>
        <w:tblStyle w:val="Lentelstinklelis34"/>
        <w:tblW w:w="9889" w:type="dxa"/>
        <w:tblInd w:w="-34" w:type="dxa"/>
        <w:tblLook w:val="04A0" w:firstRow="1" w:lastRow="0" w:firstColumn="1" w:lastColumn="0" w:noHBand="0" w:noVBand="1"/>
      </w:tblPr>
      <w:tblGrid>
        <w:gridCol w:w="1101"/>
        <w:gridCol w:w="992"/>
        <w:gridCol w:w="1559"/>
        <w:gridCol w:w="1134"/>
        <w:gridCol w:w="3454"/>
        <w:gridCol w:w="1649"/>
      </w:tblGrid>
      <w:tr w:rsidR="00E44177" w:rsidRPr="00B44B19" w14:paraId="60120B4E" w14:textId="77777777" w:rsidTr="00E44177">
        <w:tc>
          <w:tcPr>
            <w:tcW w:w="9889"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75A58EA" w14:textId="77777777" w:rsidR="00E44177" w:rsidRPr="00B44B19" w:rsidRDefault="00E44177" w:rsidP="00E44177">
            <w:pPr>
              <w:rPr>
                <w:b/>
                <w:iCs/>
                <w:noProof/>
                <w:sz w:val="20"/>
                <w:szCs w:val="20"/>
              </w:rPr>
            </w:pPr>
            <w:r w:rsidRPr="00B44B19">
              <w:rPr>
                <w:b/>
                <w:noProof/>
                <w:sz w:val="20"/>
                <w:szCs w:val="20"/>
              </w:rPr>
              <w:t xml:space="preserve">8 lentelė. 7 matmuo. </w:t>
            </w:r>
            <w:r w:rsidRPr="00B44B19">
              <w:rPr>
                <w:b/>
                <w:sz w:val="20"/>
                <w:szCs w:val="20"/>
              </w:rPr>
              <w:t>ESF+, ERPF, SF ir TPF lyčių lygybės matmuo</w:t>
            </w:r>
          </w:p>
        </w:tc>
      </w:tr>
      <w:tr w:rsidR="00E44177" w:rsidRPr="00B44B19" w14:paraId="3E0E42FD" w14:textId="77777777" w:rsidTr="00E44177">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48AABF" w14:textId="77777777" w:rsidR="00E44177" w:rsidRPr="00B44B19" w:rsidRDefault="00E44177" w:rsidP="00E44177">
            <w:pPr>
              <w:jc w:val="center"/>
              <w:rPr>
                <w:b/>
                <w:iCs/>
                <w:noProof/>
                <w:sz w:val="20"/>
              </w:rPr>
            </w:pPr>
            <w:r w:rsidRPr="00B44B19">
              <w:rPr>
                <w:b/>
                <w:noProof/>
                <w:sz w:val="20"/>
              </w:rPr>
              <w:t>Prioriteto Nr.</w:t>
            </w:r>
          </w:p>
        </w:tc>
        <w:tc>
          <w:tcPr>
            <w:tcW w:w="9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CB1B16" w14:textId="77777777" w:rsidR="00E44177" w:rsidRPr="00B44B19" w:rsidRDefault="00E44177" w:rsidP="00E44177">
            <w:pPr>
              <w:jc w:val="center"/>
              <w:rPr>
                <w:b/>
                <w:iCs/>
                <w:noProof/>
                <w:sz w:val="20"/>
              </w:rPr>
            </w:pPr>
            <w:r w:rsidRPr="00B44B19">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DAC939" w14:textId="77777777" w:rsidR="00E44177" w:rsidRPr="00B44B19" w:rsidRDefault="00E44177" w:rsidP="00E44177">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66C51" w14:textId="77777777" w:rsidR="00E44177" w:rsidRPr="00B44B19" w:rsidRDefault="00E44177" w:rsidP="00E44177">
            <w:pPr>
              <w:jc w:val="center"/>
              <w:rPr>
                <w:b/>
                <w:iCs/>
                <w:noProof/>
                <w:sz w:val="20"/>
              </w:rPr>
            </w:pPr>
            <w:r w:rsidRPr="00B44B19">
              <w:rPr>
                <w:b/>
                <w:noProof/>
                <w:sz w:val="20"/>
              </w:rPr>
              <w:t>Konkretus uždavinys</w:t>
            </w:r>
          </w:p>
        </w:tc>
        <w:tc>
          <w:tcPr>
            <w:tcW w:w="34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564CBE" w14:textId="77777777" w:rsidR="00E44177" w:rsidRPr="00B44B19" w:rsidRDefault="00E44177" w:rsidP="00E44177">
            <w:pPr>
              <w:jc w:val="center"/>
              <w:rPr>
                <w:b/>
                <w:iCs/>
                <w:noProof/>
                <w:sz w:val="20"/>
              </w:rPr>
            </w:pPr>
            <w:r w:rsidRPr="00B44B19">
              <w:rPr>
                <w:b/>
                <w:noProof/>
                <w:sz w:val="20"/>
              </w:rPr>
              <w:t>Kodas</w:t>
            </w:r>
          </w:p>
        </w:tc>
        <w:tc>
          <w:tcPr>
            <w:tcW w:w="16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CB15C0" w14:textId="77777777" w:rsidR="00E44177" w:rsidRPr="00B44B19" w:rsidRDefault="00E44177" w:rsidP="00E44177">
            <w:pPr>
              <w:jc w:val="center"/>
              <w:rPr>
                <w:b/>
                <w:iCs/>
                <w:noProof/>
                <w:sz w:val="20"/>
              </w:rPr>
            </w:pPr>
            <w:r w:rsidRPr="00B44B19">
              <w:rPr>
                <w:b/>
                <w:noProof/>
                <w:sz w:val="20"/>
              </w:rPr>
              <w:t>Suma (EUR)</w:t>
            </w:r>
          </w:p>
        </w:tc>
      </w:tr>
      <w:tr w:rsidR="00E44177" w:rsidRPr="00B44B19" w14:paraId="1B94F99B" w14:textId="77777777" w:rsidTr="00E44177">
        <w:tc>
          <w:tcPr>
            <w:tcW w:w="1101" w:type="dxa"/>
            <w:vMerge w:val="restart"/>
            <w:tcBorders>
              <w:top w:val="single" w:sz="12" w:space="0" w:color="auto"/>
            </w:tcBorders>
          </w:tcPr>
          <w:p w14:paraId="442CAE64" w14:textId="77777777" w:rsidR="00E44177" w:rsidRPr="00B44B19" w:rsidRDefault="00E44177" w:rsidP="00E44177">
            <w:pPr>
              <w:jc w:val="center"/>
              <w:rPr>
                <w:iCs/>
                <w:noProof/>
                <w:sz w:val="20"/>
              </w:rPr>
            </w:pPr>
            <w:r w:rsidRPr="00B44B19">
              <w:rPr>
                <w:iCs/>
                <w:noProof/>
                <w:sz w:val="20"/>
              </w:rPr>
              <w:t>6</w:t>
            </w:r>
          </w:p>
        </w:tc>
        <w:tc>
          <w:tcPr>
            <w:tcW w:w="992" w:type="dxa"/>
            <w:vMerge w:val="restart"/>
            <w:tcBorders>
              <w:top w:val="single" w:sz="12" w:space="0" w:color="auto"/>
            </w:tcBorders>
          </w:tcPr>
          <w:p w14:paraId="012AFAF0" w14:textId="77777777" w:rsidR="00E44177" w:rsidRPr="00B44B19" w:rsidRDefault="00E44177" w:rsidP="00E44177">
            <w:pPr>
              <w:jc w:val="center"/>
              <w:rPr>
                <w:iCs/>
                <w:noProof/>
                <w:sz w:val="20"/>
              </w:rPr>
            </w:pPr>
            <w:r w:rsidRPr="00B44B19">
              <w:rPr>
                <w:iCs/>
                <w:noProof/>
                <w:sz w:val="20"/>
              </w:rPr>
              <w:t>ESF+</w:t>
            </w:r>
          </w:p>
        </w:tc>
        <w:tc>
          <w:tcPr>
            <w:tcW w:w="1559" w:type="dxa"/>
            <w:tcBorders>
              <w:top w:val="single" w:sz="12" w:space="0" w:color="auto"/>
            </w:tcBorders>
          </w:tcPr>
          <w:p w14:paraId="68E97D09" w14:textId="77777777" w:rsidR="00E44177" w:rsidRPr="00B44B19" w:rsidRDefault="00E44177" w:rsidP="00E44177">
            <w:pPr>
              <w:rPr>
                <w:iCs/>
                <w:noProof/>
                <w:sz w:val="20"/>
              </w:rPr>
            </w:pPr>
            <w:r w:rsidRPr="00B44B19">
              <w:rPr>
                <w:iCs/>
                <w:noProof/>
                <w:sz w:val="20"/>
              </w:rPr>
              <w:t>Sostinės regionas</w:t>
            </w:r>
          </w:p>
        </w:tc>
        <w:tc>
          <w:tcPr>
            <w:tcW w:w="1134" w:type="dxa"/>
            <w:vMerge w:val="restart"/>
            <w:tcBorders>
              <w:top w:val="single" w:sz="12" w:space="0" w:color="auto"/>
            </w:tcBorders>
          </w:tcPr>
          <w:p w14:paraId="606EB6C8" w14:textId="77777777" w:rsidR="00E44177" w:rsidRPr="00B44B19" w:rsidRDefault="00E44177" w:rsidP="00E44177">
            <w:pPr>
              <w:jc w:val="center"/>
              <w:rPr>
                <w:iCs/>
                <w:noProof/>
                <w:sz w:val="20"/>
              </w:rPr>
            </w:pPr>
            <w:r w:rsidRPr="00B44B19">
              <w:rPr>
                <w:iCs/>
                <w:noProof/>
                <w:sz w:val="20"/>
              </w:rPr>
              <w:t>6.1</w:t>
            </w:r>
          </w:p>
        </w:tc>
        <w:tc>
          <w:tcPr>
            <w:tcW w:w="3454" w:type="dxa"/>
            <w:vMerge w:val="restart"/>
            <w:tcBorders>
              <w:top w:val="single" w:sz="12" w:space="0" w:color="auto"/>
            </w:tcBorders>
          </w:tcPr>
          <w:p w14:paraId="12670D45" w14:textId="77777777" w:rsidR="00E44177" w:rsidRPr="00B44B19" w:rsidRDefault="00E44177" w:rsidP="00E44177">
            <w:pPr>
              <w:rPr>
                <w:iCs/>
                <w:noProof/>
                <w:sz w:val="20"/>
              </w:rPr>
            </w:pPr>
            <w:r w:rsidRPr="00B44B19">
              <w:rPr>
                <w:iCs/>
                <w:noProof/>
                <w:sz w:val="20"/>
              </w:rPr>
              <w:t>03 – Neutralumas lyties požiūriu</w:t>
            </w:r>
          </w:p>
        </w:tc>
        <w:tc>
          <w:tcPr>
            <w:tcW w:w="1649" w:type="dxa"/>
            <w:tcBorders>
              <w:top w:val="single" w:sz="12" w:space="0" w:color="auto"/>
            </w:tcBorders>
          </w:tcPr>
          <w:p w14:paraId="1674D826" w14:textId="77777777" w:rsidR="00E44177" w:rsidRPr="00B44B19" w:rsidRDefault="00C60A41" w:rsidP="00E44177">
            <w:pPr>
              <w:jc w:val="right"/>
              <w:rPr>
                <w:iCs/>
                <w:noProof/>
                <w:sz w:val="20"/>
              </w:rPr>
            </w:pPr>
            <w:r w:rsidRPr="00B44B19">
              <w:rPr>
                <w:iCs/>
                <w:noProof/>
                <w:sz w:val="20"/>
              </w:rPr>
              <w:t>5 436 072</w:t>
            </w:r>
            <w:r w:rsidR="00E44177" w:rsidRPr="00B44B19">
              <w:rPr>
                <w:iCs/>
                <w:noProof/>
                <w:sz w:val="20"/>
              </w:rPr>
              <w:t>,00</w:t>
            </w:r>
          </w:p>
        </w:tc>
      </w:tr>
      <w:tr w:rsidR="00E44177" w:rsidRPr="00B44B19" w14:paraId="0E94E140" w14:textId="77777777" w:rsidTr="00E44177">
        <w:tc>
          <w:tcPr>
            <w:tcW w:w="1101" w:type="dxa"/>
            <w:vMerge/>
          </w:tcPr>
          <w:p w14:paraId="3D3873F2" w14:textId="77777777" w:rsidR="00E44177" w:rsidRPr="00B44B19" w:rsidRDefault="00E44177" w:rsidP="00E44177">
            <w:pPr>
              <w:jc w:val="center"/>
              <w:rPr>
                <w:iCs/>
                <w:noProof/>
                <w:sz w:val="20"/>
              </w:rPr>
            </w:pPr>
          </w:p>
        </w:tc>
        <w:tc>
          <w:tcPr>
            <w:tcW w:w="992" w:type="dxa"/>
            <w:vMerge/>
          </w:tcPr>
          <w:p w14:paraId="39C4CD14" w14:textId="77777777" w:rsidR="00E44177" w:rsidRPr="00B44B19" w:rsidRDefault="00E44177" w:rsidP="00E44177">
            <w:pPr>
              <w:jc w:val="center"/>
              <w:rPr>
                <w:iCs/>
                <w:noProof/>
                <w:sz w:val="20"/>
              </w:rPr>
            </w:pPr>
          </w:p>
        </w:tc>
        <w:tc>
          <w:tcPr>
            <w:tcW w:w="1559" w:type="dxa"/>
          </w:tcPr>
          <w:p w14:paraId="4DFC3AA7" w14:textId="77777777" w:rsidR="00E44177" w:rsidRPr="00B44B19" w:rsidRDefault="00E44177" w:rsidP="00E44177">
            <w:pPr>
              <w:rPr>
                <w:iCs/>
                <w:noProof/>
                <w:sz w:val="20"/>
              </w:rPr>
            </w:pPr>
            <w:r w:rsidRPr="00B44B19">
              <w:rPr>
                <w:iCs/>
                <w:noProof/>
                <w:sz w:val="20"/>
              </w:rPr>
              <w:t>VVL regionas</w:t>
            </w:r>
          </w:p>
        </w:tc>
        <w:tc>
          <w:tcPr>
            <w:tcW w:w="1134" w:type="dxa"/>
            <w:vMerge/>
          </w:tcPr>
          <w:p w14:paraId="6062EFF5" w14:textId="77777777" w:rsidR="00E44177" w:rsidRPr="00B44B19" w:rsidRDefault="00E44177" w:rsidP="00E44177">
            <w:pPr>
              <w:jc w:val="center"/>
              <w:rPr>
                <w:iCs/>
                <w:noProof/>
                <w:sz w:val="20"/>
              </w:rPr>
            </w:pPr>
          </w:p>
        </w:tc>
        <w:tc>
          <w:tcPr>
            <w:tcW w:w="3454" w:type="dxa"/>
            <w:vMerge/>
          </w:tcPr>
          <w:p w14:paraId="4E9C7B4B" w14:textId="77777777" w:rsidR="00E44177" w:rsidRPr="00B44B19" w:rsidRDefault="00E44177" w:rsidP="00E44177">
            <w:pPr>
              <w:jc w:val="center"/>
              <w:rPr>
                <w:iCs/>
                <w:noProof/>
                <w:sz w:val="20"/>
              </w:rPr>
            </w:pPr>
          </w:p>
        </w:tc>
        <w:tc>
          <w:tcPr>
            <w:tcW w:w="1649" w:type="dxa"/>
          </w:tcPr>
          <w:p w14:paraId="6432DEA9" w14:textId="77777777" w:rsidR="00E44177" w:rsidRPr="00B44B19" w:rsidRDefault="00C60A41" w:rsidP="00E44177">
            <w:pPr>
              <w:jc w:val="right"/>
              <w:rPr>
                <w:iCs/>
                <w:noProof/>
                <w:sz w:val="20"/>
              </w:rPr>
            </w:pPr>
            <w:r w:rsidRPr="00B44B19">
              <w:rPr>
                <w:iCs/>
                <w:noProof/>
                <w:sz w:val="20"/>
              </w:rPr>
              <w:t>45 847 620</w:t>
            </w:r>
            <w:r w:rsidR="00E44177" w:rsidRPr="00B44B19">
              <w:rPr>
                <w:iCs/>
                <w:noProof/>
                <w:sz w:val="20"/>
              </w:rPr>
              <w:t>,00</w:t>
            </w:r>
          </w:p>
        </w:tc>
      </w:tr>
    </w:tbl>
    <w:p w14:paraId="0091FE4A" w14:textId="77777777" w:rsidR="00B533DF" w:rsidRPr="00B44B19" w:rsidRDefault="00B533DF">
      <w:pPr>
        <w:rPr>
          <w:rFonts w:cs="Times New Roman"/>
        </w:rPr>
      </w:pPr>
      <w:r w:rsidRPr="00B44B19">
        <w:rPr>
          <w:rFonts w:cs="Times New Roman"/>
          <w:b/>
          <w:bCs/>
        </w:rPr>
        <w:br w:type="page"/>
      </w:r>
    </w:p>
    <w:p w14:paraId="7BD50C89" w14:textId="77777777" w:rsidR="00B533DF" w:rsidRPr="00B44B19" w:rsidRDefault="00B533DF" w:rsidP="00D456C1">
      <w:pPr>
        <w:pStyle w:val="Antrat1"/>
      </w:pPr>
      <w:bookmarkStart w:id="65" w:name="_Toc223435441"/>
      <w:r w:rsidRPr="00B44B19">
        <w:lastRenderedPageBreak/>
        <w:t>7</w:t>
      </w:r>
      <w:r w:rsidR="00E93C03" w:rsidRPr="00B44B19">
        <w:t>.</w:t>
      </w:r>
      <w:r w:rsidRPr="00B44B19">
        <w:t xml:space="preserve"> Specialus prioritetas. </w:t>
      </w:r>
      <w:r w:rsidR="00F63D51" w:rsidRPr="00B44B19">
        <w:t>Gerinti skaitmeninį junglumą</w:t>
      </w:r>
      <w:bookmarkEnd w:id="65"/>
    </w:p>
    <w:p w14:paraId="374ED1B1" w14:textId="77777777" w:rsidR="00B533DF" w:rsidRPr="00B44B19" w:rsidRDefault="00B533DF" w:rsidP="00D456C1">
      <w:pPr>
        <w:pStyle w:val="Antrat2"/>
      </w:pPr>
      <w:bookmarkStart w:id="66" w:name="_Toc223435442"/>
      <w:r w:rsidRPr="00B44B19">
        <w:t xml:space="preserve">Konkretus uždavinys – 7.1. </w:t>
      </w:r>
      <w:r w:rsidR="00F63D51" w:rsidRPr="00B44B19">
        <w:rPr>
          <w:iCs/>
          <w:lang w:bidi="lt-LT"/>
        </w:rPr>
        <w:t>Skaitmeninis ryšys</w:t>
      </w:r>
      <w:bookmarkEnd w:id="66"/>
    </w:p>
    <w:p w14:paraId="65CF444C" w14:textId="77777777" w:rsidR="00B533DF" w:rsidRPr="00B44B19" w:rsidRDefault="00B533DF" w:rsidP="00C34645">
      <w:pPr>
        <w:pStyle w:val="Stilius1"/>
        <w:rPr>
          <w:rFonts w:cs="Times New Roman"/>
        </w:rPr>
      </w:pPr>
      <w:r w:rsidRPr="00B44B19">
        <w:rPr>
          <w:rFonts w:cs="Times New Roman"/>
        </w:rPr>
        <w:t>Įgyvendinamos veiklos</w:t>
      </w:r>
    </w:p>
    <w:tbl>
      <w:tblPr>
        <w:tblStyle w:val="Lentelstinklelis"/>
        <w:tblW w:w="0" w:type="auto"/>
        <w:tblLook w:val="04A0" w:firstRow="1" w:lastRow="0" w:firstColumn="1" w:lastColumn="0" w:noHBand="0" w:noVBand="1"/>
      </w:tblPr>
      <w:tblGrid>
        <w:gridCol w:w="9628"/>
      </w:tblGrid>
      <w:tr w:rsidR="00B533DF" w:rsidRPr="00B44B19" w14:paraId="08D6D067" w14:textId="77777777" w:rsidTr="00364C46">
        <w:tc>
          <w:tcPr>
            <w:tcW w:w="9854" w:type="dxa"/>
          </w:tcPr>
          <w:p w14:paraId="5B7BFF02" w14:textId="77777777" w:rsidR="006202A9" w:rsidRPr="00B44B19" w:rsidRDefault="006202A9" w:rsidP="00E67E5C">
            <w:pPr>
              <w:spacing w:before="60" w:after="60"/>
              <w:jc w:val="both"/>
              <w:rPr>
                <w:rFonts w:eastAsia="Calibri" w:cs="Times New Roman"/>
                <w:bCs/>
                <w:sz w:val="22"/>
                <w:lang w:bidi="lt-LT"/>
              </w:rPr>
            </w:pPr>
            <w:r w:rsidRPr="00B44B19">
              <w:rPr>
                <w:rFonts w:eastAsia="Calibri" w:cs="Times New Roman"/>
                <w:bCs/>
                <w:sz w:val="22"/>
                <w:lang w:bidi="lt-LT"/>
              </w:rPr>
              <w:t xml:space="preserve">Šio uždavinio investicijos prisidės prie skaitmeninės atskirties mažinimo ir naujų skaitmeninių technologijų diegimo. </w:t>
            </w:r>
            <w:r w:rsidR="004D01F2" w:rsidRPr="00B44B19">
              <w:rPr>
                <w:rFonts w:eastAsia="Calibri" w:cs="Times New Roman"/>
                <w:bCs/>
                <w:sz w:val="22"/>
                <w:lang w:bidi="lt-LT"/>
              </w:rPr>
              <w:t>Sparti technologinė pažanga ir elektroninių ryšių paslaugų vartotojų poreikis naudotis aukštos kokybės ryšio paslaugomis lemia naujų, pažangių tinklų diegimą bei esamų, elektroninių ryšių tinklų tolygią teritorinę plėtrą.</w:t>
            </w:r>
            <w:r w:rsidRPr="00B44B19">
              <w:rPr>
                <w:rFonts w:eastAsia="Calibri" w:cs="Times New Roman"/>
                <w:bCs/>
                <w:sz w:val="22"/>
                <w:lang w:bidi="lt-LT"/>
              </w:rPr>
              <w:t xml:space="preserve"> Visuotinai pripažįstama, kad elektroninių ryšių sektorius yra pamatinis visos skaitmeninės ekonomikos ir visuomenės sektorius. Pagal Europos gigabitinės visuomenės viziją itin aukšto pralaidumo tinklų prieinamumas ir pateikimas rinkai sudaro sąlygas bendrojoje skaitmeninėje rinkoje plačiai naudoti produktus, paslaugas ir prietaikas, kurie tiesiogiai </w:t>
            </w:r>
            <w:r w:rsidR="004D01F2" w:rsidRPr="00B44B19">
              <w:rPr>
                <w:rFonts w:eastAsia="Calibri" w:cs="Times New Roman"/>
                <w:bCs/>
                <w:sz w:val="22"/>
                <w:lang w:bidi="lt-LT"/>
              </w:rPr>
              <w:t>lems</w:t>
            </w:r>
            <w:r w:rsidRPr="00B44B19">
              <w:rPr>
                <w:rFonts w:eastAsia="Calibri" w:cs="Times New Roman"/>
                <w:bCs/>
                <w:sz w:val="22"/>
                <w:lang w:bidi="lt-LT"/>
              </w:rPr>
              <w:t xml:space="preserve"> Lietuvos ekonomikos augimą.</w:t>
            </w:r>
          </w:p>
          <w:p w14:paraId="3EF2E30B" w14:textId="77777777" w:rsidR="0090328B" w:rsidRPr="00B44B19" w:rsidRDefault="006202A9" w:rsidP="00E67E5C">
            <w:pPr>
              <w:spacing w:before="60" w:after="60"/>
              <w:jc w:val="both"/>
              <w:rPr>
                <w:rFonts w:eastAsia="Calibri" w:cs="Times New Roman"/>
                <w:bCs/>
                <w:sz w:val="22"/>
                <w:lang w:bidi="lt-LT"/>
              </w:rPr>
            </w:pPr>
            <w:r w:rsidRPr="00B44B19">
              <w:rPr>
                <w:rFonts w:eastAsia="Calibri" w:cs="Times New Roman"/>
                <w:bCs/>
                <w:sz w:val="22"/>
                <w:lang w:bidi="lt-LT"/>
              </w:rPr>
              <w:t xml:space="preserve">Remiantis EK komunikatu dėl gigabitinės visuomenės, iki 2025 m. siekiama padidinti Europos konkurencingumą, </w:t>
            </w:r>
            <w:r w:rsidR="004D01F2" w:rsidRPr="00B44B19">
              <w:rPr>
                <w:rFonts w:eastAsia="Calibri" w:cs="Times New Roman"/>
                <w:bCs/>
                <w:sz w:val="22"/>
                <w:lang w:bidi="lt-LT"/>
              </w:rPr>
              <w:t>plėtojant</w:t>
            </w:r>
            <w:r w:rsidRPr="00B44B19">
              <w:rPr>
                <w:rFonts w:eastAsia="Calibri" w:cs="Times New Roman"/>
                <w:bCs/>
                <w:sz w:val="22"/>
                <w:lang w:bidi="lt-LT"/>
              </w:rPr>
              <w:t xml:space="preserve"> 5G tinklus visų miestų teritorijose ir visose didžiausiose sausumos transporto magistralėse, užtikrinti, kad visuose namų ūkiuose būtų prieinamas interneto ryšys ne mažesne kaip 100</w:t>
            </w:r>
            <w:r w:rsidR="004D01F2" w:rsidRPr="00B44B19">
              <w:rPr>
                <w:rFonts w:eastAsia="Calibri" w:cs="Times New Roman"/>
                <w:bCs/>
                <w:sz w:val="22"/>
                <w:lang w:bidi="lt-LT"/>
              </w:rPr>
              <w:t> </w:t>
            </w:r>
            <w:r w:rsidRPr="00B44B19">
              <w:rPr>
                <w:rFonts w:eastAsia="Calibri" w:cs="Times New Roman"/>
                <w:bCs/>
                <w:sz w:val="22"/>
                <w:lang w:bidi="lt-LT"/>
              </w:rPr>
              <w:t xml:space="preserve">Mbps sparta, būtų užtikrintas gigabitinis junglumas visiems pagrindiniams socialinės ir ekonominės pažangos varikliams, tokiems kaip mokyklos, didieji transporto mazgai ir pagrindiniai viešųjų paslaugų teikėjai, taip pat skaitmeninei veiklai imlioms įmonėms. </w:t>
            </w:r>
          </w:p>
          <w:p w14:paraId="06FCE561" w14:textId="77777777" w:rsidR="006202A9" w:rsidRPr="00B44B19" w:rsidRDefault="006202A9" w:rsidP="00E67E5C">
            <w:pPr>
              <w:spacing w:before="60" w:after="60"/>
              <w:jc w:val="both"/>
              <w:rPr>
                <w:rFonts w:eastAsia="Calibri" w:cs="Times New Roman"/>
                <w:bCs/>
                <w:sz w:val="22"/>
                <w:lang w:bidi="lt-LT"/>
              </w:rPr>
            </w:pPr>
            <w:r w:rsidRPr="00B44B19">
              <w:rPr>
                <w:rFonts w:eastAsia="Calibri" w:cs="Times New Roman"/>
                <w:bCs/>
                <w:sz w:val="22"/>
                <w:lang w:bidi="lt-LT"/>
              </w:rPr>
              <w:t xml:space="preserve">Lietuva, siekdama sudaryti palankias investicines ir teisines sąlygas minėtiems strateginiams tikslams pasiekti, planuoja taikyti tiek reguliacines, tiek finansines priemones. </w:t>
            </w:r>
          </w:p>
          <w:p w14:paraId="2EF87F8C" w14:textId="77777777" w:rsidR="006202A9" w:rsidRPr="00B44B19" w:rsidRDefault="006202A9" w:rsidP="00E67E5C">
            <w:pPr>
              <w:spacing w:before="60" w:after="60"/>
              <w:jc w:val="both"/>
              <w:rPr>
                <w:rFonts w:eastAsia="Calibri" w:cs="Times New Roman"/>
                <w:bCs/>
                <w:sz w:val="22"/>
                <w:lang w:bidi="lt-LT"/>
              </w:rPr>
            </w:pPr>
            <w:r w:rsidRPr="00B44B19">
              <w:rPr>
                <w:rFonts w:eastAsia="Calibri" w:cs="Times New Roman"/>
                <w:bCs/>
                <w:sz w:val="22"/>
                <w:lang w:bidi="lt-LT"/>
              </w:rPr>
              <w:t xml:space="preserve">Pirmiausia, atsižvelgusi į poreikį paspartinti bevielio ryšio tinklų, tokių kaip 5G, plėtrą, Vyriausybė 2020 m. birželio 3 d patvirtino 5G plėtros gaires, kuriose ne tik nustatė tikslus, iki kada turi būti 5G ryšiu padengti miestai ir kitos teritorijos, tačiau ir numatė įgyvendinti rinkinį teisinių priemonių </w:t>
            </w:r>
            <w:r w:rsidR="004D01F2" w:rsidRPr="00B44B19">
              <w:rPr>
                <w:rFonts w:eastAsia="Calibri" w:cs="Times New Roman"/>
                <w:bCs/>
                <w:sz w:val="22"/>
                <w:lang w:bidi="lt-LT"/>
              </w:rPr>
              <w:t xml:space="preserve">(pvz., lengvinančių infrastruktūros įrengimas, radijo dažnių paskyrimas, elektromagnetinio lauko normų didinimas ir kt.), </w:t>
            </w:r>
            <w:r w:rsidRPr="00B44B19">
              <w:rPr>
                <w:rFonts w:eastAsia="Calibri" w:cs="Times New Roman"/>
                <w:bCs/>
                <w:sz w:val="22"/>
                <w:lang w:bidi="lt-LT"/>
              </w:rPr>
              <w:t xml:space="preserve">kurios paskatins tinklų diegimą ir plėtrą. </w:t>
            </w:r>
          </w:p>
          <w:p w14:paraId="0E41F860" w14:textId="77777777" w:rsidR="006202A9" w:rsidRPr="00B44B19" w:rsidRDefault="004D01F2" w:rsidP="00E67E5C">
            <w:pPr>
              <w:spacing w:before="60" w:after="60"/>
              <w:jc w:val="both"/>
              <w:rPr>
                <w:rFonts w:eastAsia="Calibri" w:cs="Times New Roman"/>
                <w:bCs/>
                <w:sz w:val="22"/>
                <w:lang w:bidi="lt-LT"/>
              </w:rPr>
            </w:pPr>
            <w:r w:rsidRPr="00B44B19">
              <w:rPr>
                <w:rFonts w:eastAsia="Calibri" w:cs="Times New Roman"/>
                <w:bCs/>
                <w:sz w:val="22"/>
                <w:lang w:bidi="lt-LT"/>
              </w:rPr>
              <w:t>Antra, numatoma siekti pasinaudoti EITP2 finansine priemone 5G tarptautinių transporto koridorių projektui įgyvendinti. Šiuo tikslu kartu su kitomis Baltijos šalimis ir Lenkija yra pasirašyti memorandumai dėl bendradarbiavimo, tarpvalstybinė darbo grupė yra parengusi veiksmų planą, kuriuo remiantis koordinuotai siekiama dalyvauti EITP2 kvietimuose gauti finansavimą 5G koridorių projektui.</w:t>
            </w:r>
          </w:p>
          <w:p w14:paraId="13E23E8A" w14:textId="77777777" w:rsidR="0090328B" w:rsidRPr="00B44B19" w:rsidRDefault="0090328B" w:rsidP="00E67E5C">
            <w:pPr>
              <w:spacing w:before="60" w:after="60"/>
              <w:jc w:val="both"/>
              <w:rPr>
                <w:rFonts w:eastAsia="Calibri" w:cs="Times New Roman"/>
                <w:bCs/>
                <w:sz w:val="22"/>
                <w:lang w:bidi="lt-LT"/>
              </w:rPr>
            </w:pPr>
            <w:r w:rsidRPr="00B44B19">
              <w:rPr>
                <w:rFonts w:eastAsia="Calibri" w:cs="Times New Roman"/>
                <w:bCs/>
                <w:sz w:val="22"/>
                <w:lang w:bidi="lt-LT"/>
              </w:rPr>
              <w:t xml:space="preserve">Trečia, užtikrinti gigabitinį junglumą, t. y. ne mažesnį kaip 1 Gbps spartos interneto ryšį vietose, kuriose yra socialinių </w:t>
            </w:r>
            <w:r w:rsidR="004D01F2" w:rsidRPr="00B44B19">
              <w:rPr>
                <w:rFonts w:eastAsia="Calibri" w:cs="Times New Roman"/>
                <w:bCs/>
                <w:sz w:val="22"/>
                <w:lang w:bidi="lt-LT"/>
              </w:rPr>
              <w:t>ir</w:t>
            </w:r>
            <w:r w:rsidRPr="00B44B19">
              <w:rPr>
                <w:rFonts w:eastAsia="Calibri" w:cs="Times New Roman"/>
                <w:bCs/>
                <w:sz w:val="22"/>
                <w:lang w:bidi="lt-LT"/>
              </w:rPr>
              <w:t xml:space="preserve"> ekonominės plėtros iniciatyvų, todėl EGADP lėšomis suplanuotos investicijos į šviesolaidinę infrastruktūrą.</w:t>
            </w:r>
            <w:r w:rsidR="00AE4434" w:rsidRPr="00B44B19">
              <w:rPr>
                <w:rFonts w:eastAsia="Calibri" w:cs="Times New Roman"/>
                <w:bCs/>
                <w:sz w:val="22"/>
                <w:lang w:bidi="lt-LT"/>
              </w:rPr>
              <w:t xml:space="preserve"> </w:t>
            </w:r>
            <w:r w:rsidR="00AE4434" w:rsidRPr="00B44B19">
              <w:rPr>
                <w:rFonts w:eastAsia="Times New Roman" w:cs="Times New Roman"/>
                <w:bCs/>
                <w:sz w:val="22"/>
                <w:lang w:eastAsia="lt-LT"/>
              </w:rPr>
              <w:t xml:space="preserve">EGADP lėšomis siekiama užtikrinti labai pralaidžių elektroninių ryšių tinklų aprėptį ir skverbtį, atitinkančias skaitmeninę veiklą vykdančių įmonių poreikius ir pritaikytas tolygiai 5G ryšio tinklų plėtrai. </w:t>
            </w:r>
          </w:p>
          <w:p w14:paraId="6985E86E" w14:textId="77777777" w:rsidR="006202A9" w:rsidRPr="00B44B19" w:rsidRDefault="004D01F2" w:rsidP="00E67E5C">
            <w:pPr>
              <w:spacing w:before="60" w:after="60"/>
              <w:jc w:val="both"/>
              <w:rPr>
                <w:rFonts w:eastAsia="Calibri" w:cs="Times New Roman"/>
                <w:sz w:val="22"/>
                <w:highlight w:val="yellow"/>
              </w:rPr>
            </w:pPr>
            <w:r w:rsidRPr="00B44B19">
              <w:rPr>
                <w:rFonts w:eastAsia="Calibri" w:cs="Times New Roman"/>
                <w:sz w:val="22"/>
                <w:lang w:bidi="lt-LT"/>
              </w:rPr>
              <w:t xml:space="preserve">Galiausiai, nepaisant prieš tai išvardytų reguliacinių priemonių ir galimų </w:t>
            </w:r>
            <w:r w:rsidR="004F505C" w:rsidRPr="00B44B19">
              <w:rPr>
                <w:rFonts w:eastAsia="Calibri" w:cs="Times New Roman"/>
                <w:sz w:val="22"/>
                <w:lang w:bidi="lt-LT"/>
              </w:rPr>
              <w:t>EITP2</w:t>
            </w:r>
            <w:r w:rsidRPr="00B44B19">
              <w:rPr>
                <w:rFonts w:eastAsia="Calibri" w:cs="Times New Roman"/>
                <w:sz w:val="22"/>
                <w:lang w:bidi="lt-LT"/>
              </w:rPr>
              <w:t xml:space="preserve"> ir EGADP finansinių paskatų, remiantis skaitmeninio junglumo gerinimo vertinimo duomenimis ir baltųjų dėmių žemėlapiu, nustatyta,</w:t>
            </w:r>
            <w:r w:rsidRPr="00B44B19">
              <w:rPr>
                <w:rFonts w:eastAsia="Calibri" w:cs="Times New Roman"/>
                <w:b/>
                <w:sz w:val="22"/>
                <w:lang w:bidi="lt-LT"/>
              </w:rPr>
              <w:t xml:space="preserve"> </w:t>
            </w:r>
            <w:r w:rsidRPr="00B44B19">
              <w:rPr>
                <w:rFonts w:eastAsia="Calibri" w:cs="Times New Roman"/>
                <w:sz w:val="22"/>
                <w:lang w:bidi="lt-LT"/>
              </w:rPr>
              <w:t>kad Lietuvoje nepakankamai (netolygiai) išplėtota itin didelio pralaidumo elektroninių ryšių infrastruktūra, technologiškai pažangios elektroninių ryšių paslaugos prieinamos ne visoje šalies teritorijoje, todėl valstybės finansinė intervencija yra būtina.</w:t>
            </w:r>
            <w:r w:rsidR="006202A9" w:rsidRPr="00B44B19">
              <w:rPr>
                <w:rFonts w:eastAsia="Calibri" w:cs="Times New Roman"/>
                <w:bCs/>
                <w:sz w:val="22"/>
                <w:lang w:bidi="lt-LT"/>
              </w:rPr>
              <w:t xml:space="preserve"> </w:t>
            </w:r>
            <w:r w:rsidR="00C109C5" w:rsidRPr="00B44B19">
              <w:rPr>
                <w:rFonts w:eastAsia="Calibri" w:cs="Times New Roman"/>
                <w:bCs/>
                <w:sz w:val="22"/>
                <w:lang w:bidi="lt-LT"/>
              </w:rPr>
              <w:t>S</w:t>
            </w:r>
            <w:r w:rsidR="006202A9" w:rsidRPr="00B44B19">
              <w:rPr>
                <w:rFonts w:eastAsia="Calibri" w:cs="Times New Roman"/>
                <w:bCs/>
                <w:sz w:val="22"/>
                <w:lang w:bidi="lt-LT"/>
              </w:rPr>
              <w:t>kaičiuojama, kad</w:t>
            </w:r>
            <w:r w:rsidRPr="00B44B19">
              <w:rPr>
                <w:rFonts w:eastAsia="Calibri" w:cs="Times New Roman"/>
                <w:bCs/>
                <w:sz w:val="22"/>
                <w:lang w:bidi="lt-LT"/>
              </w:rPr>
              <w:t>,</w:t>
            </w:r>
            <w:r w:rsidR="006202A9" w:rsidRPr="00B44B19">
              <w:rPr>
                <w:rFonts w:eastAsia="Calibri" w:cs="Times New Roman"/>
                <w:bCs/>
                <w:sz w:val="22"/>
                <w:lang w:bidi="lt-LT"/>
              </w:rPr>
              <w:t xml:space="preserve"> </w:t>
            </w:r>
            <w:r w:rsidR="00C109C5" w:rsidRPr="00B44B19">
              <w:rPr>
                <w:rFonts w:eastAsia="Calibri" w:cs="Times New Roman"/>
                <w:bCs/>
                <w:sz w:val="22"/>
                <w:lang w:bidi="lt-LT"/>
              </w:rPr>
              <w:t>2020 m. duomenimis</w:t>
            </w:r>
            <w:r w:rsidRPr="00B44B19">
              <w:rPr>
                <w:rFonts w:eastAsia="Calibri" w:cs="Times New Roman"/>
                <w:bCs/>
                <w:sz w:val="22"/>
                <w:lang w:bidi="lt-LT"/>
              </w:rPr>
              <w:t>,</w:t>
            </w:r>
            <w:r w:rsidR="006202A9" w:rsidRPr="00B44B19">
              <w:rPr>
                <w:rFonts w:eastAsia="Calibri" w:cs="Times New Roman"/>
                <w:bCs/>
                <w:sz w:val="22"/>
                <w:lang w:bidi="lt-LT"/>
              </w:rPr>
              <w:t xml:space="preserve"> tik apie 68</w:t>
            </w:r>
            <w:r w:rsidR="00C93D8C" w:rsidRPr="00B44B19">
              <w:rPr>
                <w:rFonts w:eastAsia="Calibri" w:cs="Times New Roman"/>
                <w:bCs/>
                <w:sz w:val="22"/>
                <w:lang w:bidi="lt-LT"/>
              </w:rPr>
              <w:t> %</w:t>
            </w:r>
            <w:r w:rsidR="006202A9" w:rsidRPr="00B44B19">
              <w:rPr>
                <w:rFonts w:eastAsia="Calibri" w:cs="Times New Roman"/>
                <w:bCs/>
                <w:sz w:val="22"/>
                <w:lang w:bidi="lt-LT"/>
              </w:rPr>
              <w:t xml:space="preserve"> Lietuvos namų ūkių yra padengti 100 Mbps arba spartesniu ryšiu. Taip pat išryškėjo poreikis ir toliau nuosekliai taikyti finansinę paramą visiems Lietuvos regionams. Pvz., </w:t>
            </w:r>
            <w:r w:rsidR="006202A9" w:rsidRPr="00B44B19">
              <w:rPr>
                <w:rFonts w:eastAsia="Calibri" w:cs="Times New Roman"/>
                <w:sz w:val="22"/>
              </w:rPr>
              <w:t>Vilniaus regione 100 Mbps ryšiu</w:t>
            </w:r>
            <w:r w:rsidR="0090328B" w:rsidRPr="00B44B19">
              <w:rPr>
                <w:rFonts w:eastAsia="Calibri" w:cs="Times New Roman"/>
                <w:sz w:val="22"/>
              </w:rPr>
              <w:t xml:space="preserve"> lieka nepadengti 136,8 tūkst. namų ūkiai iš 343 tūkst. Lietuvoje</w:t>
            </w:r>
            <w:r w:rsidR="000277ED" w:rsidRPr="00B44B19">
              <w:rPr>
                <w:rFonts w:eastAsia="Calibri" w:cs="Times New Roman"/>
                <w:sz w:val="22"/>
              </w:rPr>
              <w:t>,</w:t>
            </w:r>
            <w:r w:rsidRPr="00B44B19">
              <w:rPr>
                <w:rFonts w:eastAsia="Calibri" w:cs="Times New Roman"/>
                <w:sz w:val="22"/>
              </w:rPr>
              <w:t xml:space="preserve"> fiksuotuoju</w:t>
            </w:r>
            <w:r w:rsidR="006202A9" w:rsidRPr="00B44B19">
              <w:rPr>
                <w:rFonts w:eastAsia="Calibri" w:cs="Times New Roman"/>
                <w:sz w:val="22"/>
              </w:rPr>
              <w:t xml:space="preserve"> 100 Mbps ryšiu yra padengta tik 60</w:t>
            </w:r>
            <w:r w:rsidR="00C93D8C" w:rsidRPr="00B44B19">
              <w:rPr>
                <w:rFonts w:eastAsia="Calibri" w:cs="Times New Roman"/>
                <w:sz w:val="22"/>
              </w:rPr>
              <w:t> %</w:t>
            </w:r>
            <w:r w:rsidR="0090328B" w:rsidRPr="00B44B19">
              <w:rPr>
                <w:rFonts w:eastAsia="Calibri" w:cs="Times New Roman"/>
                <w:sz w:val="22"/>
              </w:rPr>
              <w:t xml:space="preserve"> namų ūkių</w:t>
            </w:r>
            <w:r w:rsidR="007876A6" w:rsidRPr="00B44B19">
              <w:rPr>
                <w:rFonts w:eastAsia="Calibri" w:cs="Times New Roman"/>
                <w:sz w:val="22"/>
              </w:rPr>
              <w:t>.</w:t>
            </w:r>
            <w:r w:rsidR="006202A9" w:rsidRPr="00B44B19">
              <w:rPr>
                <w:rFonts w:eastAsia="Calibri" w:cs="Times New Roman"/>
                <w:sz w:val="22"/>
                <w:highlight w:val="yellow"/>
              </w:rPr>
              <w:t xml:space="preserve"> </w:t>
            </w:r>
          </w:p>
          <w:p w14:paraId="5132BBEC" w14:textId="77777777" w:rsidR="006202A9" w:rsidRPr="00B44B19" w:rsidRDefault="004D01F2" w:rsidP="00E67E5C">
            <w:pPr>
              <w:spacing w:before="60" w:after="60"/>
              <w:jc w:val="both"/>
              <w:rPr>
                <w:rFonts w:eastAsia="Calibri" w:cs="Times New Roman"/>
                <w:noProof/>
                <w:sz w:val="22"/>
              </w:rPr>
            </w:pPr>
            <w:r w:rsidRPr="00B44B19">
              <w:rPr>
                <w:rFonts w:eastAsia="Calibri" w:cs="Times New Roman"/>
                <w:sz w:val="22"/>
              </w:rPr>
              <w:t>Anksčiau</w:t>
            </w:r>
            <w:r w:rsidR="006202A9" w:rsidRPr="00B44B19">
              <w:rPr>
                <w:rFonts w:eastAsia="Calibri" w:cs="Times New Roman"/>
                <w:noProof/>
                <w:sz w:val="22"/>
              </w:rPr>
              <w:t xml:space="preserve"> paminėto investicijų vertinimo pagrindu, kuriame nustatytos baltosios teritorijos įvertinus ne tik privačių operatorių esamą ir planuojamą įrengti infrastruktūrą, bet ir jau įgyvendintų ir įgyvendinamų viešosiomis lėšomis finansuotų projektų </w:t>
            </w:r>
            <w:r w:rsidRPr="00B44B19">
              <w:rPr>
                <w:rFonts w:eastAsia="Calibri" w:cs="Times New Roman"/>
                <w:sz w:val="22"/>
              </w:rPr>
              <w:t>(„</w:t>
            </w:r>
            <w:r w:rsidRPr="00B44B19">
              <w:rPr>
                <w:rFonts w:cs="Times New Roman"/>
                <w:sz w:val="22"/>
              </w:rPr>
              <w:t>Kaimiškųjų vietovių informacinių technologijų plačiajuosčio tinklo RAIN plėtra“</w:t>
            </w:r>
            <w:r w:rsidRPr="00B44B19">
              <w:rPr>
                <w:rFonts w:eastAsia="Calibri" w:cs="Times New Roman"/>
                <w:sz w:val="22"/>
              </w:rPr>
              <w:t xml:space="preserve">, </w:t>
            </w:r>
            <w:r w:rsidRPr="00B44B19">
              <w:rPr>
                <w:rFonts w:cs="Times New Roman"/>
                <w:sz w:val="22"/>
              </w:rPr>
              <w:t>„Plačiajuosčio ryšio infrastruktūros plėtra kaimo vietovėse (PRIP)“</w:t>
            </w:r>
            <w:r w:rsidRPr="00B44B19">
              <w:rPr>
                <w:rFonts w:eastAsia="Calibri" w:cs="Times New Roman"/>
                <w:sz w:val="22"/>
              </w:rPr>
              <w:t>)</w:t>
            </w:r>
            <w:r w:rsidR="006202A9" w:rsidRPr="00B44B19">
              <w:rPr>
                <w:rFonts w:eastAsia="Calibri" w:cs="Times New Roman"/>
                <w:noProof/>
                <w:sz w:val="22"/>
              </w:rPr>
              <w:t xml:space="preserve"> infrastruktūros padengimą, </w:t>
            </w:r>
            <w:r w:rsidR="00FC21EE" w:rsidRPr="00B44B19">
              <w:rPr>
                <w:rFonts w:eastAsia="Calibri" w:cs="Times New Roman"/>
                <w:noProof/>
                <w:sz w:val="22"/>
              </w:rPr>
              <w:t>2021 m. spalio 4 d. susisiekimo ministro įsakymu Nr. 3-477</w:t>
            </w:r>
            <w:r w:rsidR="006202A9" w:rsidRPr="00B44B19">
              <w:rPr>
                <w:rFonts w:eastAsia="Calibri" w:cs="Times New Roman"/>
                <w:noProof/>
                <w:sz w:val="22"/>
              </w:rPr>
              <w:t xml:space="preserve"> patvirtintas Nacionalinis plačiajuosčio ryšio</w:t>
            </w:r>
            <w:r w:rsidR="007876A6" w:rsidRPr="00B44B19">
              <w:rPr>
                <w:rFonts w:eastAsia="Calibri" w:cs="Times New Roman"/>
                <w:noProof/>
                <w:sz w:val="22"/>
              </w:rPr>
              <w:t xml:space="preserve"> plėtros 2021–2027 m. </w:t>
            </w:r>
            <w:r w:rsidR="006202A9" w:rsidRPr="00B44B19">
              <w:rPr>
                <w:rFonts w:eastAsia="Calibri" w:cs="Times New Roman"/>
                <w:noProof/>
                <w:sz w:val="22"/>
              </w:rPr>
              <w:t>planas, kuriame</w:t>
            </w:r>
            <w:r w:rsidRPr="00B44B19">
              <w:rPr>
                <w:rFonts w:eastAsia="Calibri" w:cs="Times New Roman"/>
                <w:noProof/>
                <w:sz w:val="22"/>
              </w:rPr>
              <w:t>,</w:t>
            </w:r>
            <w:r w:rsidR="006202A9" w:rsidRPr="00B44B19">
              <w:rPr>
                <w:rFonts w:eastAsia="Calibri" w:cs="Times New Roman"/>
                <w:noProof/>
                <w:sz w:val="22"/>
              </w:rPr>
              <w:t xml:space="preserve"> be kitų priemonių</w:t>
            </w:r>
            <w:r w:rsidRPr="00B44B19">
              <w:rPr>
                <w:rFonts w:eastAsia="Calibri" w:cs="Times New Roman"/>
                <w:noProof/>
                <w:sz w:val="22"/>
              </w:rPr>
              <w:t>,</w:t>
            </w:r>
            <w:r w:rsidR="006202A9" w:rsidRPr="00B44B19">
              <w:rPr>
                <w:rFonts w:eastAsia="Calibri" w:cs="Times New Roman"/>
                <w:noProof/>
                <w:sz w:val="22"/>
              </w:rPr>
              <w:t xml:space="preserve"> bus numatytos investicijos į itin didelio pralaidumo plačiajuosčio ryšio tinklų plėtrą (</w:t>
            </w:r>
            <w:r w:rsidRPr="00B44B19">
              <w:rPr>
                <w:rFonts w:eastAsia="Calibri" w:cs="Times New Roman"/>
                <w:sz w:val="22"/>
              </w:rPr>
              <w:t>šviesolaidinėms linijoms ir (arba) 5G tinklams diegti reikalingų bokštų statybą</w:t>
            </w:r>
            <w:r w:rsidR="006202A9" w:rsidRPr="00B44B19">
              <w:rPr>
                <w:rFonts w:eastAsia="Calibri" w:cs="Times New Roman"/>
                <w:noProof/>
                <w:sz w:val="22"/>
              </w:rPr>
              <w:t xml:space="preserve">). </w:t>
            </w:r>
          </w:p>
          <w:p w14:paraId="22601F28" w14:textId="77777777" w:rsidR="006202A9" w:rsidRPr="00B44B19" w:rsidRDefault="006202A9" w:rsidP="00E67E5C">
            <w:pPr>
              <w:spacing w:before="60" w:after="60"/>
              <w:jc w:val="both"/>
              <w:rPr>
                <w:rFonts w:eastAsia="Calibri" w:cs="Times New Roman"/>
                <w:noProof/>
                <w:sz w:val="22"/>
              </w:rPr>
            </w:pPr>
            <w:r w:rsidRPr="00B44B19">
              <w:rPr>
                <w:rFonts w:eastAsia="Calibri" w:cs="Times New Roman"/>
                <w:noProof/>
                <w:sz w:val="22"/>
                <w:lang w:bidi="lt-LT"/>
              </w:rPr>
              <w:lastRenderedPageBreak/>
              <w:t>Veik</w:t>
            </w:r>
            <w:r w:rsidR="007876A6" w:rsidRPr="00B44B19">
              <w:rPr>
                <w:rFonts w:eastAsia="Calibri" w:cs="Times New Roman"/>
                <w:noProof/>
                <w:sz w:val="22"/>
                <w:lang w:bidi="lt-LT"/>
              </w:rPr>
              <w:t>smų rūšys</w:t>
            </w:r>
            <w:r w:rsidRPr="00B44B19">
              <w:rPr>
                <w:rFonts w:eastAsia="Calibri" w:cs="Times New Roman"/>
                <w:noProof/>
                <w:sz w:val="22"/>
                <w:lang w:bidi="lt-LT"/>
              </w:rPr>
              <w:t xml:space="preserve">, siekiant </w:t>
            </w:r>
            <w:r w:rsidRPr="00B44B19">
              <w:rPr>
                <w:rFonts w:eastAsia="Calibri" w:cs="Times New Roman"/>
                <w:noProof/>
                <w:sz w:val="22"/>
              </w:rPr>
              <w:t>užtikrinti tolygią itin didelio pralaidumo plačiajuosčio ryšio tinklų plėtrą vietovėse, kuriose ryšio tinklų diegimas nėra ekonomiškai naudingas ir sumažinti ryšio paslaugų prieinamumo skirtumus tarp miesto ir kaimo vietovių:</w:t>
            </w:r>
          </w:p>
          <w:p w14:paraId="5C9813E0" w14:textId="77777777" w:rsidR="00B533DF" w:rsidRPr="00B44B19" w:rsidRDefault="006202A9" w:rsidP="00E67E5C">
            <w:pPr>
              <w:spacing w:before="60" w:after="60"/>
              <w:jc w:val="both"/>
              <w:rPr>
                <w:rFonts w:eastAsia="Calibri" w:cs="Times New Roman"/>
                <w:noProof/>
                <w:sz w:val="22"/>
                <w:lang w:bidi="lt-LT"/>
              </w:rPr>
            </w:pPr>
            <w:r w:rsidRPr="00B44B19">
              <w:rPr>
                <w:rFonts w:eastAsia="Calibri" w:cs="Times New Roman"/>
                <w:b/>
                <w:noProof/>
                <w:sz w:val="22"/>
                <w:lang w:bidi="lt-LT"/>
              </w:rPr>
              <w:t>P</w:t>
            </w:r>
            <w:r w:rsidRPr="00B44B19">
              <w:rPr>
                <w:rFonts w:eastAsia="Calibri" w:cs="Times New Roman"/>
                <w:b/>
                <w:bCs/>
                <w:noProof/>
                <w:sz w:val="22"/>
                <w:lang w:bidi="lt-LT"/>
              </w:rPr>
              <w:t>lėtoti itin didelio pralaidumo plačiajuosčio ryšio tinklus</w:t>
            </w:r>
            <w:r w:rsidRPr="00B44B19">
              <w:rPr>
                <w:rFonts w:eastAsia="Calibri" w:cs="Times New Roman"/>
                <w:bCs/>
                <w:noProof/>
                <w:sz w:val="22"/>
                <w:lang w:bidi="lt-LT"/>
              </w:rPr>
              <w:t>,</w:t>
            </w:r>
            <w:r w:rsidRPr="00B44B19">
              <w:rPr>
                <w:rFonts w:eastAsia="Calibri" w:cs="Times New Roman"/>
                <w:noProof/>
                <w:sz w:val="22"/>
                <w:lang w:bidi="lt-LT"/>
              </w:rPr>
              <w:t xml:space="preserve"> atitinkančius kibernetinio ir fizinio saugumo reikalavimus pagal atliktą investicinių poreikių analizę identifikuotuose baltosiose dėmėse, prioritetą teikiant </w:t>
            </w:r>
            <w:r w:rsidR="004D01F2" w:rsidRPr="00B44B19">
              <w:rPr>
                <w:rFonts w:eastAsia="Calibri" w:cs="Times New Roman"/>
                <w:sz w:val="22"/>
                <w:lang w:bidi="lt-LT"/>
              </w:rPr>
              <w:t>vietovėms</w:t>
            </w:r>
            <w:r w:rsidRPr="00B44B19">
              <w:rPr>
                <w:rFonts w:eastAsia="Calibri" w:cs="Times New Roman"/>
                <w:noProof/>
                <w:sz w:val="22"/>
                <w:lang w:bidi="lt-LT"/>
              </w:rPr>
              <w:t xml:space="preserve">, kuriose tinklų diegimas nėra ekonomiškai naudingas, kad </w:t>
            </w:r>
            <w:r w:rsidR="004D01F2" w:rsidRPr="00B44B19">
              <w:rPr>
                <w:rFonts w:eastAsia="Calibri" w:cs="Times New Roman"/>
                <w:sz w:val="22"/>
                <w:lang w:bidi="lt-LT"/>
              </w:rPr>
              <w:t>būtų užtikrinta tolygi elektroninių ryšių tinklų plėtra,</w:t>
            </w:r>
            <w:r w:rsidRPr="00B44B19">
              <w:rPr>
                <w:rFonts w:eastAsia="Calibri" w:cs="Times New Roman"/>
                <w:noProof/>
                <w:sz w:val="22"/>
                <w:lang w:bidi="lt-LT"/>
              </w:rPr>
              <w:t xml:space="preserve"> </w:t>
            </w:r>
            <w:r w:rsidRPr="00B44B19">
              <w:rPr>
                <w:rFonts w:eastAsia="Calibri" w:cs="Times New Roman"/>
                <w:bCs/>
                <w:sz w:val="22"/>
                <w:lang w:bidi="lt-LT"/>
              </w:rPr>
              <w:t>neiškraipant konkurencijos (vietovėse, kuriose šios infrastruktūros plėtros ir paslaugų teikimo negali užtikrinti rinkos dalyviai).</w:t>
            </w:r>
            <w:r w:rsidRPr="00B44B19">
              <w:rPr>
                <w:rFonts w:eastAsia="Calibri" w:cs="Times New Roman"/>
                <w:noProof/>
                <w:sz w:val="22"/>
                <w:lang w:bidi="lt-LT"/>
              </w:rPr>
              <w:t xml:space="preserve"> </w:t>
            </w:r>
            <w:r w:rsidRPr="00B44B19">
              <w:rPr>
                <w:rFonts w:eastAsia="Calibri" w:cs="Times New Roman"/>
                <w:bCs/>
                <w:noProof/>
                <w:sz w:val="22"/>
                <w:lang w:bidi="lt-LT"/>
              </w:rPr>
              <w:t>Didelio pralaidumo plačiajuosčio ryšio tinklų plėtojimą numatoma</w:t>
            </w:r>
            <w:r w:rsidRPr="00B44B19">
              <w:rPr>
                <w:rFonts w:eastAsia="Calibri" w:cs="Times New Roman"/>
                <w:noProof/>
                <w:sz w:val="22"/>
                <w:lang w:bidi="lt-LT"/>
              </w:rPr>
              <w:t xml:space="preserve"> įgyvendinti VVL ir Sostinės region</w:t>
            </w:r>
            <w:r w:rsidR="00833F7B" w:rsidRPr="00B44B19">
              <w:rPr>
                <w:rFonts w:eastAsia="Calibri" w:cs="Times New Roman"/>
                <w:noProof/>
                <w:sz w:val="22"/>
                <w:lang w:bidi="lt-LT"/>
              </w:rPr>
              <w:t>uose</w:t>
            </w:r>
            <w:r w:rsidRPr="00B44B19">
              <w:rPr>
                <w:rFonts w:eastAsia="Calibri" w:cs="Times New Roman"/>
                <w:noProof/>
                <w:sz w:val="22"/>
                <w:lang w:bidi="lt-LT"/>
              </w:rPr>
              <w:t>.</w:t>
            </w:r>
          </w:p>
          <w:p w14:paraId="513F6A1E" w14:textId="77777777" w:rsidR="00EA57D7" w:rsidRPr="00B44B19" w:rsidRDefault="00334B0C" w:rsidP="00E67E5C">
            <w:pPr>
              <w:spacing w:before="60" w:after="60"/>
              <w:jc w:val="both"/>
              <w:rPr>
                <w:rFonts w:eastAsia="Calibri" w:cs="Times New Roman"/>
                <w:noProof/>
                <w:color w:val="0070C0"/>
                <w:sz w:val="22"/>
              </w:rPr>
            </w:pPr>
            <w:r w:rsidRPr="00B44B19">
              <w:rPr>
                <w:rFonts w:eastAsia="Times New Roman" w:cs="Times New Roman"/>
                <w:noProof/>
                <w:sz w:val="22"/>
              </w:rPr>
              <w:t>Uždavinio veiklos (</w:t>
            </w:r>
            <w:r w:rsidRPr="00B44B19">
              <w:rPr>
                <w:rFonts w:eastAsia="Times New Roman" w:cs="Times New Roman"/>
                <w:bCs/>
                <w:noProof/>
                <w:sz w:val="22"/>
              </w:rPr>
              <w:t>veiksmų rūšys</w:t>
            </w:r>
            <w:r w:rsidRPr="00B44B19">
              <w:rPr>
                <w:rFonts w:eastAsia="Times New Roman" w:cs="Times New Roman"/>
                <w:noProof/>
                <w:sz w:val="22"/>
              </w:rPr>
              <w:t xml:space="preserve">) įvertintos vadovaujantis </w:t>
            </w:r>
            <w:r w:rsidRPr="00B44B19">
              <w:rPr>
                <w:rFonts w:eastAsia="Times New Roman" w:cs="Times New Roman"/>
                <w:bCs/>
                <w:noProof/>
                <w:sz w:val="22"/>
              </w:rPr>
              <w:t>EGADP</w:t>
            </w:r>
            <w:r w:rsidRPr="00B44B19">
              <w:rPr>
                <w:rFonts w:eastAsia="Times New Roman" w:cs="Times New Roman"/>
                <w:noProof/>
                <w:sz w:val="22"/>
              </w:rPr>
              <w:t xml:space="preserve"> NRŽ gairėmis, todėl laikoma, kad  atitinka NRŽ principą</w:t>
            </w:r>
            <w:r w:rsidR="004D01F2" w:rsidRPr="00B44B19">
              <w:rPr>
                <w:rFonts w:eastAsia="Times New Roman" w:cs="Times New Roman"/>
                <w:noProof/>
                <w:sz w:val="22"/>
              </w:rPr>
              <w:t>.</w:t>
            </w:r>
          </w:p>
        </w:tc>
      </w:tr>
    </w:tbl>
    <w:p w14:paraId="3405A82E" w14:textId="77777777" w:rsidR="00B533DF" w:rsidRPr="00B44B19" w:rsidRDefault="00B533DF" w:rsidP="00C34645">
      <w:pPr>
        <w:pStyle w:val="Stilius1"/>
        <w:rPr>
          <w:rFonts w:cs="Times New Roman"/>
        </w:rPr>
      </w:pPr>
      <w:r w:rsidRPr="00B44B19">
        <w:rPr>
          <w:rFonts w:cs="Times New Roman"/>
        </w:rPr>
        <w:lastRenderedPageBreak/>
        <w:t>Pagrindinės tikslinės grupės</w:t>
      </w:r>
    </w:p>
    <w:tbl>
      <w:tblPr>
        <w:tblStyle w:val="Lentelstinklelis"/>
        <w:tblW w:w="0" w:type="auto"/>
        <w:tblLook w:val="04A0" w:firstRow="1" w:lastRow="0" w:firstColumn="1" w:lastColumn="0" w:noHBand="0" w:noVBand="1"/>
      </w:tblPr>
      <w:tblGrid>
        <w:gridCol w:w="9628"/>
      </w:tblGrid>
      <w:tr w:rsidR="00B533DF" w:rsidRPr="00B44B19" w14:paraId="3BE6ED4F" w14:textId="77777777" w:rsidTr="00364C46">
        <w:tc>
          <w:tcPr>
            <w:tcW w:w="9854" w:type="dxa"/>
          </w:tcPr>
          <w:p w14:paraId="5811BF5B" w14:textId="77777777" w:rsidR="00B533DF" w:rsidRPr="00B44B19" w:rsidRDefault="00B533DF" w:rsidP="00E67E5C">
            <w:pPr>
              <w:spacing w:before="60" w:after="60"/>
              <w:jc w:val="both"/>
              <w:rPr>
                <w:rFonts w:cs="Times New Roman"/>
                <w:bCs/>
                <w:sz w:val="22"/>
              </w:rPr>
            </w:pPr>
            <w:r w:rsidRPr="00B44B19">
              <w:rPr>
                <w:rFonts w:eastAsia="Calibri" w:cs="Times New Roman"/>
                <w:bCs/>
                <w:sz w:val="22"/>
              </w:rPr>
              <w:t>Ryšio tinklų skaitmeninę atskirtį patiriantys gyventojai ir įmonės.</w:t>
            </w:r>
          </w:p>
        </w:tc>
      </w:tr>
    </w:tbl>
    <w:p w14:paraId="252AD514" w14:textId="77777777" w:rsidR="00B533DF" w:rsidRPr="00B44B19" w:rsidRDefault="00B533DF" w:rsidP="00C34645">
      <w:pPr>
        <w:pStyle w:val="Stilius1"/>
        <w:rPr>
          <w:rFonts w:eastAsia="Times New Roman" w:cs="Times New Roman"/>
          <w:iCs/>
          <w:noProof/>
          <w:lang w:eastAsia="lt-LT" w:bidi="lt-LT"/>
        </w:rPr>
      </w:pPr>
      <w:r w:rsidRPr="00B44B19">
        <w:rPr>
          <w:rFonts w:cs="Times New Roman"/>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4939F6" w:rsidRPr="00B44B19" w14:paraId="01895F64" w14:textId="77777777" w:rsidTr="004939F6">
        <w:tc>
          <w:tcPr>
            <w:tcW w:w="9854" w:type="dxa"/>
          </w:tcPr>
          <w:p w14:paraId="773D30E3" w14:textId="77777777" w:rsidR="004939F6" w:rsidRPr="00B44B19" w:rsidRDefault="004939F6" w:rsidP="00E67E5C">
            <w:pPr>
              <w:spacing w:before="60" w:after="60"/>
              <w:jc w:val="both"/>
              <w:rPr>
                <w:rFonts w:cs="Times New Roman"/>
                <w:b/>
                <w:bCs/>
                <w:i/>
                <w:szCs w:val="24"/>
              </w:rPr>
            </w:pPr>
            <w:r w:rsidRPr="00B44B19">
              <w:rPr>
                <w:rFonts w:eastAsia="Calibri" w:cs="Times New Roman"/>
                <w:noProof/>
                <w:sz w:val="22"/>
                <w:lang w:eastAsia="lt-LT" w:bidi="lt-LT"/>
              </w:rPr>
              <w:t xml:space="preserve">Vykdant numatytas veiklas bus siekiama užtikrinti lygybės, įtraukties ir nediskriminavimo principus. </w:t>
            </w:r>
            <w:r w:rsidRPr="00B44B19">
              <w:rPr>
                <w:rFonts w:eastAsia="Calibri" w:cs="Times New Roman"/>
                <w:iCs/>
                <w:noProof/>
                <w:sz w:val="22"/>
                <w:lang w:eastAsia="lt-LT" w:bidi="lt-LT"/>
              </w:rPr>
              <w:t xml:space="preserve">Plėtojant </w:t>
            </w:r>
            <w:r w:rsidRPr="00B44B19">
              <w:rPr>
                <w:rFonts w:eastAsia="Calibri" w:cs="Times New Roman"/>
                <w:iCs/>
                <w:noProof/>
                <w:sz w:val="22"/>
                <w:lang w:bidi="lt-LT"/>
              </w:rPr>
              <w:t xml:space="preserve">itin didelio pralaidumo plačiajuosčio ryšio tinklus </w:t>
            </w:r>
            <w:r w:rsidR="004D01F2" w:rsidRPr="00B44B19">
              <w:rPr>
                <w:rFonts w:eastAsia="Calibri" w:cs="Times New Roman"/>
                <w:iCs/>
                <w:sz w:val="22"/>
                <w:lang w:eastAsia="lt-LT" w:bidi="lt-LT"/>
              </w:rPr>
              <w:t>skaitmeninę atskirtį patiriantiems gyventojams bus užtikrinamas priėjimas prie ryšio tinklų.</w:t>
            </w:r>
          </w:p>
        </w:tc>
      </w:tr>
    </w:tbl>
    <w:p w14:paraId="0E1D3A9A" w14:textId="77777777" w:rsidR="00B533DF" w:rsidRPr="00B44B19" w:rsidRDefault="00B533DF" w:rsidP="00C34645">
      <w:pPr>
        <w:pStyle w:val="Stilius1"/>
        <w:rPr>
          <w:rFonts w:cs="Times New Roman"/>
        </w:rPr>
      </w:pPr>
      <w:r w:rsidRPr="00B44B19">
        <w:rPr>
          <w:rFonts w:cs="Times New Roman"/>
        </w:rPr>
        <w:t>Konkrečios tikslinės teritorijos, įskaitant planuojamą teritorinių priemonių panaudojimą</w:t>
      </w:r>
    </w:p>
    <w:tbl>
      <w:tblPr>
        <w:tblStyle w:val="Lentelstinklelis"/>
        <w:tblW w:w="0" w:type="auto"/>
        <w:tblLook w:val="04A0" w:firstRow="1" w:lastRow="0" w:firstColumn="1" w:lastColumn="0" w:noHBand="0" w:noVBand="1"/>
      </w:tblPr>
      <w:tblGrid>
        <w:gridCol w:w="9628"/>
      </w:tblGrid>
      <w:tr w:rsidR="00B533DF" w:rsidRPr="00B44B19" w14:paraId="339096BF" w14:textId="77777777" w:rsidTr="00364C46">
        <w:tc>
          <w:tcPr>
            <w:tcW w:w="9854" w:type="dxa"/>
          </w:tcPr>
          <w:p w14:paraId="125DCD10" w14:textId="77777777" w:rsidR="00B533DF" w:rsidRPr="00B44B19" w:rsidRDefault="00B533DF" w:rsidP="00E67E5C">
            <w:pPr>
              <w:spacing w:before="60" w:after="60"/>
              <w:jc w:val="both"/>
              <w:rPr>
                <w:rFonts w:cs="Times New Roman"/>
                <w:bCs/>
                <w:sz w:val="22"/>
              </w:rPr>
            </w:pPr>
            <w:r w:rsidRPr="00B44B19">
              <w:rPr>
                <w:rFonts w:eastAsia="Calibri" w:cs="Times New Roman"/>
                <w:bCs/>
                <w:sz w:val="22"/>
                <w:lang w:bidi="lt-LT"/>
              </w:rPr>
              <w:t>VVL regionas, Sostinės regionas</w:t>
            </w:r>
            <w:r w:rsidR="00503322" w:rsidRPr="00B44B19">
              <w:rPr>
                <w:rFonts w:eastAsia="Calibri" w:cs="Times New Roman"/>
                <w:bCs/>
                <w:sz w:val="22"/>
                <w:lang w:bidi="lt-LT"/>
              </w:rPr>
              <w:t>.</w:t>
            </w:r>
          </w:p>
        </w:tc>
      </w:tr>
    </w:tbl>
    <w:p w14:paraId="4CF3FADC" w14:textId="77777777" w:rsidR="00B533DF" w:rsidRPr="00B44B19" w:rsidRDefault="00B533DF" w:rsidP="00C34645">
      <w:pPr>
        <w:pStyle w:val="Stilius1"/>
        <w:rPr>
          <w:rFonts w:cs="Times New Roman"/>
        </w:rPr>
      </w:pPr>
      <w:r w:rsidRPr="00B44B19">
        <w:rPr>
          <w:rFonts w:cs="Times New Roman"/>
        </w:rPr>
        <w:t>Tarpregioniniai, tarp sienų ir tarpvalstybiniai veiksmai</w:t>
      </w:r>
    </w:p>
    <w:tbl>
      <w:tblPr>
        <w:tblStyle w:val="Lentelstinklelis"/>
        <w:tblW w:w="0" w:type="auto"/>
        <w:tblLook w:val="04A0" w:firstRow="1" w:lastRow="0" w:firstColumn="1" w:lastColumn="0" w:noHBand="0" w:noVBand="1"/>
      </w:tblPr>
      <w:tblGrid>
        <w:gridCol w:w="9628"/>
      </w:tblGrid>
      <w:tr w:rsidR="00B533DF" w:rsidRPr="00B44B19" w14:paraId="4CDB0181" w14:textId="77777777" w:rsidTr="00364C46">
        <w:tc>
          <w:tcPr>
            <w:tcW w:w="9854" w:type="dxa"/>
          </w:tcPr>
          <w:p w14:paraId="46EBA778" w14:textId="77777777" w:rsidR="004939F6" w:rsidRPr="00B44B19" w:rsidRDefault="004939F6" w:rsidP="00E67E5C">
            <w:pPr>
              <w:spacing w:before="60" w:after="60"/>
              <w:jc w:val="both"/>
              <w:rPr>
                <w:rFonts w:eastAsia="Calibri" w:cs="Times New Roman"/>
                <w:bCs/>
                <w:sz w:val="22"/>
                <w:lang w:bidi="lt-LT"/>
              </w:rPr>
            </w:pPr>
            <w:r w:rsidRPr="00B44B19">
              <w:rPr>
                <w:rFonts w:eastAsia="Calibri" w:cs="Times New Roman"/>
                <w:b/>
                <w:noProof/>
                <w:sz w:val="22"/>
                <w:lang w:bidi="lt-LT"/>
              </w:rPr>
              <w:t>P</w:t>
            </w:r>
            <w:r w:rsidRPr="00B44B19">
              <w:rPr>
                <w:rFonts w:eastAsia="Calibri" w:cs="Times New Roman"/>
                <w:b/>
                <w:bCs/>
                <w:noProof/>
                <w:sz w:val="22"/>
                <w:lang w:bidi="lt-LT"/>
              </w:rPr>
              <w:t>lėtoti itin didelio pralaidumo plačiajuosčio ryšio tinklus</w:t>
            </w:r>
            <w:r w:rsidRPr="00B44B19">
              <w:rPr>
                <w:rFonts w:eastAsia="Calibri" w:cs="Times New Roman"/>
                <w:bCs/>
                <w:noProof/>
                <w:sz w:val="22"/>
                <w:lang w:bidi="lt-LT"/>
              </w:rPr>
              <w:t>,</w:t>
            </w:r>
            <w:r w:rsidRPr="00B44B19">
              <w:rPr>
                <w:rFonts w:eastAsia="Calibri" w:cs="Times New Roman"/>
                <w:bCs/>
                <w:sz w:val="22"/>
                <w:lang w:bidi="lt-LT"/>
              </w:rPr>
              <w:t xml:space="preserve"> neiškraipant konkurencijos (vietovėse, kuriose šios infrastruktūros plėtros ir paslaugų teikimo negali užtikrinti rinkos dalyviai), numatoma Lietuvos teritorijoje, todėl tarpvalstybinis koordinavimas nenumatomas.</w:t>
            </w:r>
          </w:p>
          <w:p w14:paraId="59848B25" w14:textId="77777777" w:rsidR="00B533DF" w:rsidRPr="00B44B19" w:rsidRDefault="004939F6" w:rsidP="00E67E5C">
            <w:pPr>
              <w:spacing w:before="60" w:after="60"/>
              <w:jc w:val="both"/>
              <w:rPr>
                <w:rFonts w:cs="Times New Roman"/>
                <w:bCs/>
                <w:sz w:val="22"/>
              </w:rPr>
            </w:pPr>
            <w:r w:rsidRPr="00B44B19">
              <w:rPr>
                <w:rFonts w:eastAsia="Calibri" w:cs="Times New Roman"/>
                <w:bCs/>
                <w:sz w:val="22"/>
                <w:lang w:bidi="lt-LT"/>
              </w:rPr>
              <w:t xml:space="preserve">Pažymėtina, kad 5G tarptautinių transporto koridorių projektas planuojamas įgyvendinti aplikuojant </w:t>
            </w:r>
            <w:r w:rsidR="004D01F2" w:rsidRPr="00B44B19">
              <w:rPr>
                <w:rFonts w:eastAsia="Calibri" w:cs="Times New Roman"/>
                <w:bCs/>
                <w:sz w:val="22"/>
                <w:lang w:bidi="lt-LT"/>
              </w:rPr>
              <w:t xml:space="preserve">į EITP2 </w:t>
            </w:r>
            <w:r w:rsidRPr="00B44B19">
              <w:rPr>
                <w:rFonts w:eastAsia="Calibri" w:cs="Times New Roman"/>
                <w:bCs/>
                <w:sz w:val="22"/>
                <w:lang w:bidi="lt-LT"/>
              </w:rPr>
              <w:t>lėšas (tarpvalstybiniai susitarimai jau sudaryti su Lenkija, Latvija ir Estija).</w:t>
            </w:r>
          </w:p>
        </w:tc>
      </w:tr>
    </w:tbl>
    <w:p w14:paraId="08D57D65" w14:textId="77777777" w:rsidR="00B533DF" w:rsidRPr="00B44B19" w:rsidRDefault="00B533DF" w:rsidP="00C34645">
      <w:pPr>
        <w:pStyle w:val="Stilius1"/>
        <w:rPr>
          <w:rFonts w:cs="Times New Roman"/>
        </w:rPr>
      </w:pPr>
      <w:r w:rsidRPr="00B44B19">
        <w:rPr>
          <w:rFonts w:cs="Times New Roman"/>
        </w:rPr>
        <w:t>Planuojamas finansinių priemonių naudojimas</w:t>
      </w:r>
    </w:p>
    <w:tbl>
      <w:tblPr>
        <w:tblStyle w:val="Lentelstinklelis"/>
        <w:tblW w:w="0" w:type="auto"/>
        <w:tblLook w:val="04A0" w:firstRow="1" w:lastRow="0" w:firstColumn="1" w:lastColumn="0" w:noHBand="0" w:noVBand="1"/>
      </w:tblPr>
      <w:tblGrid>
        <w:gridCol w:w="9628"/>
      </w:tblGrid>
      <w:tr w:rsidR="00B533DF" w:rsidRPr="00B44B19" w14:paraId="66662015" w14:textId="77777777" w:rsidTr="00364C46">
        <w:trPr>
          <w:trHeight w:val="344"/>
        </w:trPr>
        <w:tc>
          <w:tcPr>
            <w:tcW w:w="9854" w:type="dxa"/>
          </w:tcPr>
          <w:p w14:paraId="013842C5" w14:textId="77777777" w:rsidR="00B533DF" w:rsidRPr="00B44B19" w:rsidRDefault="00D43A78" w:rsidP="00E67E5C">
            <w:pPr>
              <w:spacing w:before="60" w:after="60"/>
              <w:jc w:val="both"/>
              <w:rPr>
                <w:rFonts w:cs="Times New Roman"/>
                <w:sz w:val="22"/>
              </w:rPr>
            </w:pPr>
            <w:r w:rsidRPr="00B44B19">
              <w:rPr>
                <w:rFonts w:eastAsia="Calibri" w:cs="Times New Roman"/>
                <w:sz w:val="22"/>
              </w:rPr>
              <w:t>–</w:t>
            </w:r>
          </w:p>
        </w:tc>
      </w:tr>
    </w:tbl>
    <w:p w14:paraId="76E9BF63" w14:textId="77777777" w:rsidR="00B533DF" w:rsidRPr="00B44B19" w:rsidRDefault="00B533DF" w:rsidP="00C34645">
      <w:pPr>
        <w:pStyle w:val="Stilius1"/>
        <w:rPr>
          <w:rFonts w:cs="Times New Roman"/>
        </w:rPr>
      </w:pPr>
      <w:r w:rsidRPr="00B44B19">
        <w:rPr>
          <w:rFonts w:cs="Times New Roman"/>
        </w:rPr>
        <w:t>Rodikliai</w:t>
      </w:r>
    </w:p>
    <w:p w14:paraId="006024A4" w14:textId="77777777" w:rsidR="00B533DF" w:rsidRPr="00B44B19" w:rsidRDefault="00B533DF" w:rsidP="00B533DF">
      <w:pPr>
        <w:spacing w:before="240" w:after="0" w:line="240" w:lineRule="auto"/>
        <w:jc w:val="both"/>
        <w:rPr>
          <w:rFonts w:cs="Times New Roman"/>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67"/>
        <w:gridCol w:w="821"/>
        <w:gridCol w:w="965"/>
        <w:gridCol w:w="1241"/>
        <w:gridCol w:w="1793"/>
        <w:gridCol w:w="968"/>
        <w:gridCol w:w="968"/>
        <w:gridCol w:w="932"/>
      </w:tblGrid>
      <w:tr w:rsidR="006202A9" w:rsidRPr="00B44B19" w14:paraId="227A2063" w14:textId="77777777" w:rsidTr="00E67E5C">
        <w:trPr>
          <w:trHeight w:val="824"/>
          <w:tblHeader/>
        </w:trPr>
        <w:tc>
          <w:tcPr>
            <w:tcW w:w="49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6A5BCF"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50B878" w14:textId="77777777" w:rsidR="006202A9" w:rsidRPr="00B44B19" w:rsidRDefault="006202A9" w:rsidP="00417519">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2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C19226"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107217"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F5B9FA"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EC9745"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Rodiklis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73F7AD"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F177E0"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907F8D"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Siek</w:t>
            </w:r>
            <w:r w:rsidR="000D16BF" w:rsidRPr="00B44B19">
              <w:rPr>
                <w:rFonts w:cs="Times New Roman"/>
                <w:b/>
                <w:noProof/>
                <w:sz w:val="16"/>
                <w:szCs w:val="16"/>
              </w:rPr>
              <w:t>tina reikšmė</w:t>
            </w:r>
            <w:r w:rsidRPr="00B44B19">
              <w:rPr>
                <w:rFonts w:cs="Times New Roman"/>
                <w:b/>
                <w:noProof/>
                <w:sz w:val="16"/>
                <w:szCs w:val="16"/>
              </w:rPr>
              <w:t xml:space="preserve"> (2029 m.)</w:t>
            </w:r>
          </w:p>
        </w:tc>
      </w:tr>
      <w:tr w:rsidR="006202A9" w:rsidRPr="00B44B19" w14:paraId="7A9B6E1B" w14:textId="77777777" w:rsidTr="006600EE">
        <w:trPr>
          <w:trHeight w:val="733"/>
        </w:trPr>
        <w:tc>
          <w:tcPr>
            <w:tcW w:w="496" w:type="pct"/>
            <w:vMerge w:val="restart"/>
            <w:tcBorders>
              <w:top w:val="single" w:sz="12" w:space="0" w:color="auto"/>
            </w:tcBorders>
          </w:tcPr>
          <w:p w14:paraId="4239397A" w14:textId="77777777" w:rsidR="006202A9" w:rsidRPr="00B44B19" w:rsidRDefault="006202A9" w:rsidP="006202A9">
            <w:pPr>
              <w:spacing w:after="0" w:line="240" w:lineRule="auto"/>
              <w:jc w:val="both"/>
              <w:rPr>
                <w:rFonts w:cs="Times New Roman"/>
                <w:b/>
                <w:noProof/>
                <w:sz w:val="14"/>
                <w:szCs w:val="14"/>
              </w:rPr>
            </w:pPr>
            <w:r w:rsidRPr="00B44B19">
              <w:rPr>
                <w:rFonts w:cs="Times New Roman"/>
                <w:noProof/>
                <w:sz w:val="16"/>
                <w:szCs w:val="16"/>
              </w:rPr>
              <w:t>7.</w:t>
            </w:r>
          </w:p>
        </w:tc>
        <w:tc>
          <w:tcPr>
            <w:tcW w:w="503" w:type="pct"/>
            <w:vMerge w:val="restart"/>
            <w:tcBorders>
              <w:top w:val="single" w:sz="12" w:space="0" w:color="auto"/>
            </w:tcBorders>
          </w:tcPr>
          <w:p w14:paraId="285ECA0C" w14:textId="77777777" w:rsidR="006202A9" w:rsidRPr="00B44B19" w:rsidRDefault="006202A9" w:rsidP="006202A9">
            <w:pPr>
              <w:spacing w:after="0" w:line="240" w:lineRule="auto"/>
              <w:jc w:val="both"/>
              <w:rPr>
                <w:rFonts w:cs="Times New Roman"/>
                <w:b/>
                <w:noProof/>
                <w:sz w:val="14"/>
                <w:szCs w:val="14"/>
              </w:rPr>
            </w:pPr>
            <w:r w:rsidRPr="00B44B19">
              <w:rPr>
                <w:rFonts w:cs="Times New Roman"/>
                <w:noProof/>
                <w:sz w:val="16"/>
                <w:szCs w:val="16"/>
              </w:rPr>
              <w:t>7.1.</w:t>
            </w:r>
          </w:p>
        </w:tc>
        <w:tc>
          <w:tcPr>
            <w:tcW w:w="427" w:type="pct"/>
            <w:vMerge w:val="restart"/>
            <w:tcBorders>
              <w:top w:val="single" w:sz="12" w:space="0" w:color="auto"/>
            </w:tcBorders>
          </w:tcPr>
          <w:p w14:paraId="577A0833" w14:textId="77777777" w:rsidR="006202A9" w:rsidRPr="00B44B19" w:rsidRDefault="006202A9" w:rsidP="006202A9">
            <w:pPr>
              <w:spacing w:after="0" w:line="240" w:lineRule="auto"/>
              <w:jc w:val="both"/>
              <w:rPr>
                <w:rFonts w:cs="Times New Roman"/>
                <w:b/>
                <w:noProof/>
                <w:sz w:val="14"/>
                <w:szCs w:val="14"/>
              </w:rPr>
            </w:pPr>
            <w:r w:rsidRPr="00B44B19">
              <w:rPr>
                <w:rFonts w:cs="Times New Roman"/>
                <w:noProof/>
                <w:sz w:val="16"/>
                <w:szCs w:val="16"/>
              </w:rPr>
              <w:t>ERPF</w:t>
            </w:r>
          </w:p>
        </w:tc>
        <w:tc>
          <w:tcPr>
            <w:tcW w:w="502" w:type="pct"/>
            <w:tcBorders>
              <w:top w:val="single" w:sz="12" w:space="0" w:color="auto"/>
            </w:tcBorders>
          </w:tcPr>
          <w:p w14:paraId="7F995E32" w14:textId="77777777" w:rsidR="006202A9" w:rsidRPr="00B44B19" w:rsidRDefault="006202A9" w:rsidP="006202A9">
            <w:pPr>
              <w:spacing w:after="0" w:line="240" w:lineRule="auto"/>
              <w:jc w:val="both"/>
              <w:rPr>
                <w:rFonts w:cs="Times New Roman"/>
                <w:b/>
                <w:noProof/>
                <w:sz w:val="16"/>
                <w:szCs w:val="16"/>
              </w:rPr>
            </w:pPr>
            <w:r w:rsidRPr="00B44B19">
              <w:rPr>
                <w:rFonts w:cs="Times New Roman"/>
                <w:noProof/>
                <w:sz w:val="16"/>
                <w:szCs w:val="16"/>
              </w:rPr>
              <w:t>VVL regionas</w:t>
            </w:r>
          </w:p>
        </w:tc>
        <w:tc>
          <w:tcPr>
            <w:tcW w:w="646" w:type="pct"/>
            <w:tcBorders>
              <w:top w:val="single" w:sz="12" w:space="0" w:color="auto"/>
            </w:tcBorders>
          </w:tcPr>
          <w:p w14:paraId="39BFA3EB" w14:textId="77777777" w:rsidR="006202A9" w:rsidRPr="00B44B19" w:rsidRDefault="006202A9" w:rsidP="006202A9">
            <w:pPr>
              <w:spacing w:after="0" w:line="240" w:lineRule="auto"/>
              <w:jc w:val="both"/>
              <w:rPr>
                <w:rFonts w:cs="Times New Roman"/>
                <w:noProof/>
                <w:sz w:val="16"/>
                <w:szCs w:val="16"/>
              </w:rPr>
            </w:pPr>
            <w:r w:rsidRPr="00B44B19">
              <w:rPr>
                <w:rFonts w:cs="Times New Roman"/>
                <w:sz w:val="16"/>
                <w:szCs w:val="16"/>
                <w:lang w:eastAsia="en-GB"/>
              </w:rPr>
              <w:t>RCO41</w:t>
            </w:r>
          </w:p>
        </w:tc>
        <w:tc>
          <w:tcPr>
            <w:tcW w:w="933" w:type="pct"/>
            <w:tcBorders>
              <w:top w:val="single" w:sz="12" w:space="0" w:color="auto"/>
            </w:tcBorders>
          </w:tcPr>
          <w:p w14:paraId="08003CAD" w14:textId="77777777" w:rsidR="006202A9" w:rsidRPr="00B44B19" w:rsidRDefault="006202A9" w:rsidP="006202A9">
            <w:pPr>
              <w:tabs>
                <w:tab w:val="left" w:pos="7560"/>
              </w:tabs>
              <w:spacing w:after="0" w:line="240" w:lineRule="auto"/>
              <w:rPr>
                <w:rFonts w:cs="Times New Roman"/>
                <w:b/>
                <w:noProof/>
                <w:sz w:val="16"/>
                <w:szCs w:val="16"/>
              </w:rPr>
            </w:pPr>
            <w:r w:rsidRPr="00B44B19">
              <w:rPr>
                <w:rFonts w:cs="Times New Roman"/>
                <w:bCs/>
                <w:sz w:val="16"/>
                <w:szCs w:val="16"/>
                <w:lang w:eastAsia="en-GB"/>
              </w:rPr>
              <w:t>Papildomi būstai, turintys itin didelio pralaidumo plačiajuostę prieigą</w:t>
            </w:r>
          </w:p>
        </w:tc>
        <w:tc>
          <w:tcPr>
            <w:tcW w:w="504" w:type="pct"/>
            <w:tcBorders>
              <w:top w:val="single" w:sz="12" w:space="0" w:color="auto"/>
            </w:tcBorders>
          </w:tcPr>
          <w:p w14:paraId="0C246535"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Būstai</w:t>
            </w:r>
          </w:p>
        </w:tc>
        <w:tc>
          <w:tcPr>
            <w:tcW w:w="504" w:type="pct"/>
            <w:tcBorders>
              <w:top w:val="single" w:sz="12" w:space="0" w:color="auto"/>
            </w:tcBorders>
          </w:tcPr>
          <w:p w14:paraId="6B4B6A1C" w14:textId="77777777" w:rsidR="006202A9" w:rsidRPr="00B44B19" w:rsidRDefault="00F738D9" w:rsidP="006202A9">
            <w:pPr>
              <w:spacing w:after="0" w:line="240" w:lineRule="auto"/>
              <w:jc w:val="center"/>
              <w:rPr>
                <w:rFonts w:cs="Times New Roman"/>
                <w:bCs/>
                <w:noProof/>
                <w:sz w:val="16"/>
                <w:szCs w:val="16"/>
              </w:rPr>
            </w:pPr>
            <w:r w:rsidRPr="00B44B19">
              <w:rPr>
                <w:rFonts w:cs="Times New Roman"/>
                <w:bCs/>
                <w:noProof/>
                <w:sz w:val="16"/>
                <w:szCs w:val="16"/>
              </w:rPr>
              <w:t>1 385</w:t>
            </w:r>
          </w:p>
        </w:tc>
        <w:tc>
          <w:tcPr>
            <w:tcW w:w="485" w:type="pct"/>
            <w:tcBorders>
              <w:top w:val="single" w:sz="12" w:space="0" w:color="auto"/>
            </w:tcBorders>
          </w:tcPr>
          <w:p w14:paraId="4732956E" w14:textId="77777777" w:rsidR="006202A9" w:rsidRPr="00B44B19" w:rsidRDefault="00F738D9" w:rsidP="006202A9">
            <w:pPr>
              <w:spacing w:after="0" w:line="240" w:lineRule="auto"/>
              <w:jc w:val="center"/>
              <w:rPr>
                <w:rFonts w:cs="Times New Roman"/>
                <w:bCs/>
                <w:noProof/>
                <w:sz w:val="16"/>
                <w:szCs w:val="16"/>
              </w:rPr>
            </w:pPr>
            <w:r w:rsidRPr="00B44B19">
              <w:rPr>
                <w:rFonts w:cs="Times New Roman"/>
                <w:bCs/>
                <w:noProof/>
                <w:sz w:val="16"/>
                <w:szCs w:val="16"/>
              </w:rPr>
              <w:t>13 851</w:t>
            </w:r>
          </w:p>
        </w:tc>
      </w:tr>
      <w:tr w:rsidR="006202A9" w:rsidRPr="00B44B19" w14:paraId="3A5912CD" w14:textId="77777777" w:rsidTr="006600EE">
        <w:trPr>
          <w:trHeight w:val="832"/>
        </w:trPr>
        <w:tc>
          <w:tcPr>
            <w:tcW w:w="496" w:type="pct"/>
            <w:vMerge/>
          </w:tcPr>
          <w:p w14:paraId="37DBF726" w14:textId="77777777" w:rsidR="006202A9" w:rsidRPr="00B44B19" w:rsidRDefault="006202A9" w:rsidP="006202A9">
            <w:pPr>
              <w:spacing w:after="0" w:line="240" w:lineRule="auto"/>
              <w:jc w:val="both"/>
              <w:rPr>
                <w:rFonts w:cs="Times New Roman"/>
                <w:b/>
                <w:noProof/>
                <w:sz w:val="14"/>
                <w:szCs w:val="14"/>
              </w:rPr>
            </w:pPr>
          </w:p>
        </w:tc>
        <w:tc>
          <w:tcPr>
            <w:tcW w:w="503" w:type="pct"/>
            <w:vMerge/>
          </w:tcPr>
          <w:p w14:paraId="0CA531AB" w14:textId="77777777" w:rsidR="006202A9" w:rsidRPr="00B44B19" w:rsidRDefault="006202A9" w:rsidP="006202A9">
            <w:pPr>
              <w:spacing w:after="0" w:line="240" w:lineRule="auto"/>
              <w:jc w:val="both"/>
              <w:rPr>
                <w:rFonts w:cs="Times New Roman"/>
                <w:b/>
                <w:noProof/>
                <w:sz w:val="14"/>
                <w:szCs w:val="14"/>
              </w:rPr>
            </w:pPr>
          </w:p>
        </w:tc>
        <w:tc>
          <w:tcPr>
            <w:tcW w:w="427" w:type="pct"/>
            <w:vMerge/>
          </w:tcPr>
          <w:p w14:paraId="386F1DD3" w14:textId="77777777" w:rsidR="006202A9" w:rsidRPr="00B44B19" w:rsidRDefault="006202A9" w:rsidP="006202A9">
            <w:pPr>
              <w:spacing w:after="0" w:line="240" w:lineRule="auto"/>
              <w:jc w:val="both"/>
              <w:rPr>
                <w:rFonts w:cs="Times New Roman"/>
                <w:b/>
                <w:noProof/>
                <w:sz w:val="14"/>
                <w:szCs w:val="14"/>
              </w:rPr>
            </w:pPr>
          </w:p>
        </w:tc>
        <w:tc>
          <w:tcPr>
            <w:tcW w:w="502" w:type="pct"/>
          </w:tcPr>
          <w:p w14:paraId="19D8040B" w14:textId="77777777" w:rsidR="006202A9" w:rsidRPr="00B44B19" w:rsidRDefault="006202A9" w:rsidP="006202A9">
            <w:pPr>
              <w:spacing w:after="0" w:line="240" w:lineRule="auto"/>
              <w:jc w:val="both"/>
              <w:rPr>
                <w:rFonts w:cs="Times New Roman"/>
                <w:b/>
                <w:noProof/>
                <w:sz w:val="16"/>
                <w:szCs w:val="16"/>
              </w:rPr>
            </w:pPr>
            <w:r w:rsidRPr="00B44B19">
              <w:rPr>
                <w:rFonts w:cs="Times New Roman"/>
                <w:noProof/>
                <w:sz w:val="16"/>
                <w:szCs w:val="16"/>
              </w:rPr>
              <w:t>Sostinės regionas</w:t>
            </w:r>
          </w:p>
        </w:tc>
        <w:tc>
          <w:tcPr>
            <w:tcW w:w="646" w:type="pct"/>
          </w:tcPr>
          <w:p w14:paraId="0F1FCC0D" w14:textId="77777777" w:rsidR="006202A9" w:rsidRPr="00B44B19" w:rsidRDefault="006202A9" w:rsidP="006202A9">
            <w:pPr>
              <w:spacing w:after="0" w:line="240" w:lineRule="auto"/>
              <w:jc w:val="both"/>
              <w:rPr>
                <w:rFonts w:cs="Times New Roman"/>
                <w:noProof/>
                <w:sz w:val="16"/>
                <w:szCs w:val="16"/>
              </w:rPr>
            </w:pPr>
            <w:r w:rsidRPr="00B44B19">
              <w:rPr>
                <w:rFonts w:cs="Times New Roman"/>
                <w:sz w:val="16"/>
                <w:szCs w:val="16"/>
                <w:lang w:eastAsia="en-GB"/>
              </w:rPr>
              <w:t>RCO41</w:t>
            </w:r>
          </w:p>
        </w:tc>
        <w:tc>
          <w:tcPr>
            <w:tcW w:w="933" w:type="pct"/>
          </w:tcPr>
          <w:p w14:paraId="51E3CF16" w14:textId="77777777" w:rsidR="006202A9" w:rsidRPr="00B44B19" w:rsidRDefault="006202A9" w:rsidP="006202A9">
            <w:pPr>
              <w:tabs>
                <w:tab w:val="left" w:pos="7560"/>
              </w:tabs>
              <w:spacing w:after="0" w:line="240" w:lineRule="auto"/>
              <w:rPr>
                <w:rFonts w:cs="Times New Roman"/>
                <w:bCs/>
                <w:sz w:val="16"/>
                <w:szCs w:val="16"/>
                <w:lang w:eastAsia="en-GB"/>
              </w:rPr>
            </w:pPr>
            <w:r w:rsidRPr="00B44B19">
              <w:rPr>
                <w:rFonts w:cs="Times New Roman"/>
                <w:bCs/>
                <w:sz w:val="16"/>
                <w:szCs w:val="16"/>
                <w:lang w:eastAsia="en-GB"/>
              </w:rPr>
              <w:t>Papildomi būstai, turintys itin didelio pralaidumo plačiajuostę prieigą</w:t>
            </w:r>
          </w:p>
        </w:tc>
        <w:tc>
          <w:tcPr>
            <w:tcW w:w="504" w:type="pct"/>
          </w:tcPr>
          <w:p w14:paraId="2B8C59F5"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Būstai</w:t>
            </w:r>
          </w:p>
        </w:tc>
        <w:tc>
          <w:tcPr>
            <w:tcW w:w="504" w:type="pct"/>
          </w:tcPr>
          <w:p w14:paraId="4263D31C" w14:textId="77777777" w:rsidR="006202A9" w:rsidRPr="00B44B19" w:rsidRDefault="00432B4A" w:rsidP="006202A9">
            <w:pPr>
              <w:spacing w:after="0" w:line="240" w:lineRule="auto"/>
              <w:jc w:val="center"/>
              <w:rPr>
                <w:rFonts w:cs="Times New Roman"/>
                <w:bCs/>
                <w:noProof/>
                <w:sz w:val="16"/>
                <w:szCs w:val="16"/>
              </w:rPr>
            </w:pPr>
            <w:r w:rsidRPr="00B44B19">
              <w:rPr>
                <w:rFonts w:cs="Times New Roman"/>
                <w:bCs/>
                <w:noProof/>
                <w:sz w:val="16"/>
                <w:szCs w:val="16"/>
              </w:rPr>
              <w:t>106</w:t>
            </w:r>
          </w:p>
        </w:tc>
        <w:tc>
          <w:tcPr>
            <w:tcW w:w="485" w:type="pct"/>
          </w:tcPr>
          <w:p w14:paraId="0AA6C17A" w14:textId="77777777" w:rsidR="006202A9" w:rsidRPr="00B44B19" w:rsidRDefault="006202A9" w:rsidP="00432B4A">
            <w:pPr>
              <w:spacing w:after="0" w:line="240" w:lineRule="auto"/>
              <w:jc w:val="center"/>
              <w:rPr>
                <w:rFonts w:cs="Times New Roman"/>
                <w:bCs/>
                <w:noProof/>
                <w:sz w:val="16"/>
                <w:szCs w:val="16"/>
              </w:rPr>
            </w:pPr>
            <w:r w:rsidRPr="00B44B19">
              <w:rPr>
                <w:rFonts w:cs="Times New Roman"/>
                <w:bCs/>
                <w:noProof/>
                <w:sz w:val="16"/>
                <w:szCs w:val="16"/>
              </w:rPr>
              <w:t> </w:t>
            </w:r>
            <w:r w:rsidR="00432B4A" w:rsidRPr="00B44B19">
              <w:rPr>
                <w:rFonts w:cs="Times New Roman"/>
                <w:bCs/>
                <w:noProof/>
                <w:sz w:val="16"/>
                <w:szCs w:val="16"/>
              </w:rPr>
              <w:t>1 058</w:t>
            </w:r>
          </w:p>
        </w:tc>
      </w:tr>
      <w:tr w:rsidR="006202A9" w:rsidRPr="00B44B19" w14:paraId="2ACC4A05" w14:textId="77777777" w:rsidTr="006600EE">
        <w:trPr>
          <w:trHeight w:val="832"/>
        </w:trPr>
        <w:tc>
          <w:tcPr>
            <w:tcW w:w="496" w:type="pct"/>
            <w:vMerge/>
          </w:tcPr>
          <w:p w14:paraId="06332622" w14:textId="77777777" w:rsidR="006202A9" w:rsidRPr="00B44B19" w:rsidRDefault="006202A9" w:rsidP="006202A9">
            <w:pPr>
              <w:spacing w:after="0" w:line="240" w:lineRule="auto"/>
              <w:jc w:val="both"/>
              <w:rPr>
                <w:rFonts w:cs="Times New Roman"/>
                <w:b/>
                <w:noProof/>
                <w:sz w:val="14"/>
                <w:szCs w:val="14"/>
              </w:rPr>
            </w:pPr>
          </w:p>
        </w:tc>
        <w:tc>
          <w:tcPr>
            <w:tcW w:w="503" w:type="pct"/>
            <w:vMerge/>
          </w:tcPr>
          <w:p w14:paraId="734A89CA" w14:textId="77777777" w:rsidR="006202A9" w:rsidRPr="00B44B19" w:rsidRDefault="006202A9" w:rsidP="006202A9">
            <w:pPr>
              <w:spacing w:after="0" w:line="240" w:lineRule="auto"/>
              <w:jc w:val="both"/>
              <w:rPr>
                <w:rFonts w:cs="Times New Roman"/>
                <w:b/>
                <w:noProof/>
                <w:sz w:val="14"/>
                <w:szCs w:val="14"/>
              </w:rPr>
            </w:pPr>
          </w:p>
        </w:tc>
        <w:tc>
          <w:tcPr>
            <w:tcW w:w="427" w:type="pct"/>
            <w:vMerge/>
          </w:tcPr>
          <w:p w14:paraId="0D95075E" w14:textId="77777777" w:rsidR="006202A9" w:rsidRPr="00B44B19" w:rsidRDefault="006202A9" w:rsidP="006202A9">
            <w:pPr>
              <w:spacing w:after="0" w:line="240" w:lineRule="auto"/>
              <w:jc w:val="both"/>
              <w:rPr>
                <w:rFonts w:cs="Times New Roman"/>
                <w:b/>
                <w:noProof/>
                <w:sz w:val="14"/>
                <w:szCs w:val="14"/>
              </w:rPr>
            </w:pPr>
          </w:p>
        </w:tc>
        <w:tc>
          <w:tcPr>
            <w:tcW w:w="502" w:type="pct"/>
          </w:tcPr>
          <w:p w14:paraId="294853BA" w14:textId="77777777" w:rsidR="006202A9" w:rsidRPr="00B44B19" w:rsidRDefault="006202A9" w:rsidP="006202A9">
            <w:pPr>
              <w:spacing w:after="0" w:line="240" w:lineRule="auto"/>
              <w:jc w:val="both"/>
              <w:rPr>
                <w:rFonts w:cs="Times New Roman"/>
                <w:noProof/>
                <w:sz w:val="16"/>
                <w:szCs w:val="16"/>
              </w:rPr>
            </w:pPr>
            <w:r w:rsidRPr="00B44B19">
              <w:rPr>
                <w:rFonts w:cs="Times New Roman"/>
                <w:noProof/>
                <w:sz w:val="16"/>
                <w:szCs w:val="16"/>
              </w:rPr>
              <w:t>VVL regionas</w:t>
            </w:r>
          </w:p>
        </w:tc>
        <w:tc>
          <w:tcPr>
            <w:tcW w:w="646" w:type="pct"/>
          </w:tcPr>
          <w:p w14:paraId="56C0D159" w14:textId="77777777" w:rsidR="006202A9" w:rsidRPr="00B44B19" w:rsidRDefault="006202A9" w:rsidP="006202A9">
            <w:pPr>
              <w:spacing w:after="0" w:line="240" w:lineRule="auto"/>
              <w:jc w:val="both"/>
              <w:rPr>
                <w:rFonts w:cs="Times New Roman"/>
                <w:sz w:val="16"/>
                <w:szCs w:val="16"/>
                <w:lang w:eastAsia="en-GB"/>
              </w:rPr>
            </w:pPr>
            <w:r w:rsidRPr="00B44B19">
              <w:rPr>
                <w:rFonts w:cs="Times New Roman"/>
                <w:sz w:val="16"/>
                <w:szCs w:val="16"/>
                <w:lang w:eastAsia="en-GB"/>
              </w:rPr>
              <w:t>RCO42</w:t>
            </w:r>
          </w:p>
        </w:tc>
        <w:tc>
          <w:tcPr>
            <w:tcW w:w="933" w:type="pct"/>
          </w:tcPr>
          <w:p w14:paraId="3E2C27D0" w14:textId="77777777" w:rsidR="006202A9" w:rsidRPr="00B44B19" w:rsidRDefault="006202A9" w:rsidP="006202A9">
            <w:pPr>
              <w:tabs>
                <w:tab w:val="left" w:pos="7560"/>
              </w:tabs>
              <w:spacing w:after="0" w:line="240" w:lineRule="auto"/>
              <w:rPr>
                <w:rFonts w:cs="Times New Roman"/>
                <w:bCs/>
                <w:sz w:val="16"/>
                <w:szCs w:val="16"/>
                <w:lang w:eastAsia="en-GB"/>
              </w:rPr>
            </w:pPr>
            <w:r w:rsidRPr="00B44B19">
              <w:rPr>
                <w:rFonts w:cs="Times New Roman"/>
                <w:bCs/>
                <w:sz w:val="16"/>
                <w:szCs w:val="16"/>
                <w:lang w:eastAsia="en-GB"/>
              </w:rPr>
              <w:t>Papildomos įmonės, turinčios itin didelio pralaidumo plačiajuostę prieigą</w:t>
            </w:r>
          </w:p>
        </w:tc>
        <w:tc>
          <w:tcPr>
            <w:tcW w:w="504" w:type="pct"/>
          </w:tcPr>
          <w:p w14:paraId="3F00204B"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Įmonės</w:t>
            </w:r>
          </w:p>
        </w:tc>
        <w:tc>
          <w:tcPr>
            <w:tcW w:w="504" w:type="pct"/>
          </w:tcPr>
          <w:p w14:paraId="02E3ACE6" w14:textId="77777777" w:rsidR="006202A9" w:rsidRPr="00B44B19" w:rsidRDefault="00225AC2" w:rsidP="006202A9">
            <w:pPr>
              <w:spacing w:after="0" w:line="240" w:lineRule="auto"/>
              <w:jc w:val="center"/>
              <w:rPr>
                <w:rFonts w:cs="Times New Roman"/>
                <w:bCs/>
                <w:noProof/>
                <w:sz w:val="16"/>
                <w:szCs w:val="16"/>
              </w:rPr>
            </w:pPr>
            <w:r w:rsidRPr="00B44B19">
              <w:rPr>
                <w:rFonts w:cs="Times New Roman"/>
                <w:bCs/>
                <w:noProof/>
                <w:sz w:val="16"/>
                <w:szCs w:val="16"/>
              </w:rPr>
              <w:t>123</w:t>
            </w:r>
          </w:p>
        </w:tc>
        <w:tc>
          <w:tcPr>
            <w:tcW w:w="485" w:type="pct"/>
          </w:tcPr>
          <w:p w14:paraId="736CAA40" w14:textId="77777777" w:rsidR="006202A9" w:rsidRPr="00B44B19" w:rsidRDefault="00225AC2" w:rsidP="006202A9">
            <w:pPr>
              <w:spacing w:after="0" w:line="240" w:lineRule="auto"/>
              <w:jc w:val="center"/>
              <w:rPr>
                <w:rFonts w:cs="Times New Roman"/>
                <w:bCs/>
                <w:noProof/>
                <w:sz w:val="16"/>
                <w:szCs w:val="16"/>
              </w:rPr>
            </w:pPr>
            <w:r w:rsidRPr="00B44B19">
              <w:rPr>
                <w:rFonts w:cs="Times New Roman"/>
                <w:bCs/>
                <w:noProof/>
                <w:sz w:val="16"/>
                <w:szCs w:val="16"/>
              </w:rPr>
              <w:t>1 231</w:t>
            </w:r>
          </w:p>
        </w:tc>
      </w:tr>
      <w:tr w:rsidR="006202A9" w:rsidRPr="00B44B19" w14:paraId="77A6C7AF" w14:textId="77777777" w:rsidTr="006600EE">
        <w:trPr>
          <w:trHeight w:val="832"/>
        </w:trPr>
        <w:tc>
          <w:tcPr>
            <w:tcW w:w="496" w:type="pct"/>
            <w:vMerge/>
          </w:tcPr>
          <w:p w14:paraId="7A407A74" w14:textId="77777777" w:rsidR="006202A9" w:rsidRPr="00B44B19" w:rsidRDefault="006202A9" w:rsidP="006202A9">
            <w:pPr>
              <w:spacing w:after="0" w:line="240" w:lineRule="auto"/>
              <w:jc w:val="both"/>
              <w:rPr>
                <w:rFonts w:cs="Times New Roman"/>
                <w:b/>
                <w:noProof/>
                <w:sz w:val="14"/>
                <w:szCs w:val="14"/>
              </w:rPr>
            </w:pPr>
          </w:p>
        </w:tc>
        <w:tc>
          <w:tcPr>
            <w:tcW w:w="503" w:type="pct"/>
            <w:vMerge/>
          </w:tcPr>
          <w:p w14:paraId="16A6AFC6" w14:textId="77777777" w:rsidR="006202A9" w:rsidRPr="00B44B19" w:rsidRDefault="006202A9" w:rsidP="006202A9">
            <w:pPr>
              <w:spacing w:after="0" w:line="240" w:lineRule="auto"/>
              <w:jc w:val="both"/>
              <w:rPr>
                <w:rFonts w:cs="Times New Roman"/>
                <w:b/>
                <w:noProof/>
                <w:sz w:val="14"/>
                <w:szCs w:val="14"/>
              </w:rPr>
            </w:pPr>
          </w:p>
        </w:tc>
        <w:tc>
          <w:tcPr>
            <w:tcW w:w="427" w:type="pct"/>
            <w:vMerge/>
          </w:tcPr>
          <w:p w14:paraId="13B20DAF" w14:textId="77777777" w:rsidR="006202A9" w:rsidRPr="00B44B19" w:rsidRDefault="006202A9" w:rsidP="006202A9">
            <w:pPr>
              <w:spacing w:after="0" w:line="240" w:lineRule="auto"/>
              <w:jc w:val="both"/>
              <w:rPr>
                <w:rFonts w:cs="Times New Roman"/>
                <w:b/>
                <w:noProof/>
                <w:sz w:val="14"/>
                <w:szCs w:val="14"/>
              </w:rPr>
            </w:pPr>
          </w:p>
        </w:tc>
        <w:tc>
          <w:tcPr>
            <w:tcW w:w="502" w:type="pct"/>
          </w:tcPr>
          <w:p w14:paraId="30C3A261" w14:textId="77777777" w:rsidR="006202A9" w:rsidRPr="00B44B19" w:rsidRDefault="006202A9" w:rsidP="006202A9">
            <w:pPr>
              <w:spacing w:after="0" w:line="240" w:lineRule="auto"/>
              <w:jc w:val="both"/>
              <w:rPr>
                <w:rFonts w:cs="Times New Roman"/>
                <w:b/>
                <w:noProof/>
                <w:sz w:val="16"/>
                <w:szCs w:val="16"/>
              </w:rPr>
            </w:pPr>
            <w:r w:rsidRPr="00B44B19">
              <w:rPr>
                <w:rFonts w:cs="Times New Roman"/>
                <w:noProof/>
                <w:sz w:val="16"/>
                <w:szCs w:val="16"/>
              </w:rPr>
              <w:t>Sostinės regionas</w:t>
            </w:r>
          </w:p>
        </w:tc>
        <w:tc>
          <w:tcPr>
            <w:tcW w:w="646" w:type="pct"/>
          </w:tcPr>
          <w:p w14:paraId="5C3938BB" w14:textId="77777777" w:rsidR="006202A9" w:rsidRPr="00B44B19" w:rsidRDefault="006202A9" w:rsidP="006202A9">
            <w:pPr>
              <w:spacing w:after="0" w:line="240" w:lineRule="auto"/>
              <w:jc w:val="both"/>
              <w:rPr>
                <w:rFonts w:cs="Times New Roman"/>
                <w:noProof/>
                <w:sz w:val="16"/>
                <w:szCs w:val="16"/>
              </w:rPr>
            </w:pPr>
            <w:r w:rsidRPr="00B44B19">
              <w:rPr>
                <w:rFonts w:cs="Times New Roman"/>
                <w:sz w:val="16"/>
                <w:szCs w:val="16"/>
                <w:lang w:eastAsia="en-GB"/>
              </w:rPr>
              <w:t>RCO42</w:t>
            </w:r>
          </w:p>
        </w:tc>
        <w:tc>
          <w:tcPr>
            <w:tcW w:w="933" w:type="pct"/>
          </w:tcPr>
          <w:p w14:paraId="1A424171" w14:textId="77777777" w:rsidR="006202A9" w:rsidRPr="00B44B19" w:rsidRDefault="006202A9" w:rsidP="006202A9">
            <w:pPr>
              <w:tabs>
                <w:tab w:val="left" w:pos="7560"/>
              </w:tabs>
              <w:spacing w:after="0" w:line="240" w:lineRule="auto"/>
              <w:rPr>
                <w:rFonts w:cs="Times New Roman"/>
                <w:b/>
                <w:noProof/>
                <w:sz w:val="16"/>
                <w:szCs w:val="16"/>
              </w:rPr>
            </w:pPr>
            <w:r w:rsidRPr="00B44B19">
              <w:rPr>
                <w:rFonts w:cs="Times New Roman"/>
                <w:bCs/>
                <w:sz w:val="16"/>
                <w:szCs w:val="16"/>
                <w:lang w:eastAsia="en-GB"/>
              </w:rPr>
              <w:t>Papildomos įmonės, turinčios itin didelio pralaidumo plačiajuostę prieigą</w:t>
            </w:r>
          </w:p>
        </w:tc>
        <w:tc>
          <w:tcPr>
            <w:tcW w:w="504" w:type="pct"/>
          </w:tcPr>
          <w:p w14:paraId="7AD547EA"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Įmonės</w:t>
            </w:r>
          </w:p>
        </w:tc>
        <w:tc>
          <w:tcPr>
            <w:tcW w:w="504" w:type="pct"/>
          </w:tcPr>
          <w:p w14:paraId="6334E13A" w14:textId="77777777" w:rsidR="006202A9" w:rsidRPr="00B44B19" w:rsidRDefault="00F6469F" w:rsidP="006202A9">
            <w:pPr>
              <w:spacing w:after="0" w:line="240" w:lineRule="auto"/>
              <w:jc w:val="center"/>
              <w:rPr>
                <w:rFonts w:cs="Times New Roman"/>
                <w:bCs/>
                <w:noProof/>
                <w:sz w:val="16"/>
                <w:szCs w:val="16"/>
              </w:rPr>
            </w:pPr>
            <w:r w:rsidRPr="00B44B19">
              <w:rPr>
                <w:rFonts w:cs="Times New Roman"/>
                <w:bCs/>
                <w:noProof/>
                <w:sz w:val="16"/>
                <w:szCs w:val="16"/>
              </w:rPr>
              <w:t>12</w:t>
            </w:r>
          </w:p>
        </w:tc>
        <w:tc>
          <w:tcPr>
            <w:tcW w:w="485" w:type="pct"/>
          </w:tcPr>
          <w:p w14:paraId="7EB16CC5" w14:textId="77777777" w:rsidR="006202A9" w:rsidRPr="00B44B19" w:rsidRDefault="00F6469F" w:rsidP="006202A9">
            <w:pPr>
              <w:spacing w:after="0" w:line="240" w:lineRule="auto"/>
              <w:jc w:val="center"/>
              <w:rPr>
                <w:rFonts w:cs="Times New Roman"/>
                <w:bCs/>
                <w:noProof/>
                <w:sz w:val="16"/>
                <w:szCs w:val="16"/>
              </w:rPr>
            </w:pPr>
            <w:r w:rsidRPr="00B44B19">
              <w:rPr>
                <w:rFonts w:cs="Times New Roman"/>
                <w:bCs/>
                <w:noProof/>
                <w:sz w:val="16"/>
                <w:szCs w:val="16"/>
              </w:rPr>
              <w:t>117</w:t>
            </w:r>
          </w:p>
        </w:tc>
      </w:tr>
    </w:tbl>
    <w:p w14:paraId="54478A2C" w14:textId="77777777" w:rsidR="00B533DF" w:rsidRPr="00B44B19" w:rsidRDefault="00B533DF" w:rsidP="00B533DF">
      <w:pPr>
        <w:spacing w:after="0" w:line="240" w:lineRule="auto"/>
        <w:rPr>
          <w:rFonts w:cs="Times New Roman"/>
          <w:b/>
          <w:sz w:val="20"/>
          <w:szCs w:val="24"/>
        </w:rPr>
      </w:pPr>
    </w:p>
    <w:p w14:paraId="578C8EBA" w14:textId="77777777" w:rsidR="00B533DF" w:rsidRPr="00B44B19" w:rsidRDefault="00B533DF" w:rsidP="00B533DF">
      <w:pPr>
        <w:spacing w:after="0" w:line="240" w:lineRule="auto"/>
        <w:rPr>
          <w:rFonts w:cs="Times New Roman"/>
          <w:b/>
          <w:sz w:val="20"/>
          <w:szCs w:val="24"/>
        </w:rPr>
        <w:sectPr w:rsidR="00B533DF" w:rsidRPr="00B44B19" w:rsidSect="00931C78">
          <w:pgSz w:w="11906" w:h="16838"/>
          <w:pgMar w:top="1276" w:right="567" w:bottom="1134" w:left="1701" w:header="567" w:footer="567" w:gutter="0"/>
          <w:cols w:space="1296"/>
          <w:docGrid w:linePitch="360"/>
        </w:sectPr>
      </w:pPr>
    </w:p>
    <w:p w14:paraId="464C601E" w14:textId="77777777" w:rsidR="00B533DF" w:rsidRPr="00B44B19" w:rsidRDefault="00B533DF" w:rsidP="00B533DF">
      <w:pPr>
        <w:spacing w:after="0" w:line="240" w:lineRule="auto"/>
        <w:rPr>
          <w:rFonts w:cs="Times New Roman"/>
          <w:b/>
          <w:sz w:val="20"/>
          <w:szCs w:val="24"/>
        </w:rPr>
      </w:pPr>
      <w:r w:rsidRPr="00B44B19">
        <w:rPr>
          <w:rFonts w:cs="Times New Roman"/>
          <w:b/>
          <w:sz w:val="20"/>
          <w:szCs w:val="24"/>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976"/>
        <w:gridCol w:w="836"/>
        <w:gridCol w:w="975"/>
        <w:gridCol w:w="1255"/>
        <w:gridCol w:w="3344"/>
        <w:gridCol w:w="975"/>
        <w:gridCol w:w="1115"/>
        <w:gridCol w:w="1115"/>
        <w:gridCol w:w="975"/>
        <w:gridCol w:w="1255"/>
        <w:gridCol w:w="960"/>
      </w:tblGrid>
      <w:tr w:rsidR="006202A9" w:rsidRPr="00B44B19" w14:paraId="50A3BD5E" w14:textId="77777777" w:rsidTr="00E67E5C">
        <w:trPr>
          <w:trHeight w:val="871"/>
          <w:tblHeader/>
        </w:trPr>
        <w:tc>
          <w:tcPr>
            <w:tcW w:w="36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1043F9"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0CA8EF" w14:textId="77777777" w:rsidR="006202A9" w:rsidRPr="00B44B19" w:rsidRDefault="006202A9" w:rsidP="00417519">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B9ADDF"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4FFDB4"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C4DD59"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12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6C7C05"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DE99BF"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BCE445"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8DE12A"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03E7A6"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Siek</w:t>
            </w:r>
            <w:r w:rsidR="004E7043" w:rsidRPr="00B44B19">
              <w:rPr>
                <w:rFonts w:cs="Times New Roman"/>
                <w:b/>
                <w:noProof/>
                <w:sz w:val="16"/>
                <w:szCs w:val="16"/>
              </w:rPr>
              <w:t>tina reikšmė</w:t>
            </w:r>
            <w:r w:rsidRPr="00B44B19">
              <w:rPr>
                <w:rFonts w:cs="Times New Roman"/>
                <w:b/>
                <w:noProof/>
                <w:sz w:val="16"/>
                <w:szCs w:val="16"/>
              </w:rPr>
              <w:t xml:space="preserve"> (2029 m.)</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DA6CA6"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 xml:space="preserve">Duomenų šaltinis </w:t>
            </w:r>
          </w:p>
        </w:tc>
        <w:tc>
          <w:tcPr>
            <w:tcW w:w="32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86EFA1" w14:textId="77777777" w:rsidR="006202A9" w:rsidRPr="00B44B19" w:rsidRDefault="006202A9" w:rsidP="006202A9">
            <w:pPr>
              <w:spacing w:after="0" w:line="240" w:lineRule="auto"/>
              <w:jc w:val="center"/>
              <w:rPr>
                <w:rFonts w:cs="Times New Roman"/>
                <w:b/>
                <w:noProof/>
                <w:sz w:val="16"/>
                <w:szCs w:val="16"/>
              </w:rPr>
            </w:pPr>
            <w:r w:rsidRPr="00B44B19">
              <w:rPr>
                <w:rFonts w:cs="Times New Roman"/>
                <w:b/>
                <w:noProof/>
                <w:sz w:val="16"/>
                <w:szCs w:val="16"/>
              </w:rPr>
              <w:t>Pastabos</w:t>
            </w:r>
          </w:p>
        </w:tc>
      </w:tr>
      <w:tr w:rsidR="006202A9" w:rsidRPr="00B44B19" w14:paraId="6F34F326" w14:textId="77777777" w:rsidTr="006600EE">
        <w:trPr>
          <w:trHeight w:val="480"/>
        </w:trPr>
        <w:tc>
          <w:tcPr>
            <w:tcW w:w="364" w:type="pct"/>
            <w:vMerge w:val="restart"/>
            <w:tcBorders>
              <w:top w:val="single" w:sz="12" w:space="0" w:color="auto"/>
            </w:tcBorders>
          </w:tcPr>
          <w:p w14:paraId="34A49CBC" w14:textId="77777777" w:rsidR="006202A9" w:rsidRPr="00B44B19" w:rsidRDefault="006202A9" w:rsidP="006202A9">
            <w:pPr>
              <w:spacing w:after="0" w:line="240" w:lineRule="auto"/>
              <w:jc w:val="both"/>
              <w:rPr>
                <w:rFonts w:cs="Times New Roman"/>
                <w:b/>
                <w:noProof/>
                <w:sz w:val="14"/>
                <w:szCs w:val="14"/>
              </w:rPr>
            </w:pPr>
            <w:r w:rsidRPr="00B44B19">
              <w:rPr>
                <w:rFonts w:cs="Times New Roman"/>
                <w:noProof/>
                <w:sz w:val="16"/>
                <w:szCs w:val="16"/>
              </w:rPr>
              <w:t>7.</w:t>
            </w:r>
          </w:p>
        </w:tc>
        <w:tc>
          <w:tcPr>
            <w:tcW w:w="328" w:type="pct"/>
            <w:vMerge w:val="restart"/>
            <w:tcBorders>
              <w:top w:val="single" w:sz="12" w:space="0" w:color="auto"/>
            </w:tcBorders>
          </w:tcPr>
          <w:p w14:paraId="2A1DAD1E" w14:textId="77777777" w:rsidR="006202A9" w:rsidRPr="00B44B19" w:rsidRDefault="006202A9" w:rsidP="006202A9">
            <w:pPr>
              <w:spacing w:after="0" w:line="240" w:lineRule="auto"/>
              <w:jc w:val="both"/>
              <w:rPr>
                <w:rFonts w:cs="Times New Roman"/>
                <w:b/>
                <w:noProof/>
                <w:sz w:val="14"/>
                <w:szCs w:val="14"/>
              </w:rPr>
            </w:pPr>
            <w:r w:rsidRPr="00B44B19">
              <w:rPr>
                <w:rFonts w:cs="Times New Roman"/>
                <w:noProof/>
                <w:sz w:val="16"/>
                <w:szCs w:val="16"/>
              </w:rPr>
              <w:t>7.1.</w:t>
            </w:r>
          </w:p>
        </w:tc>
        <w:tc>
          <w:tcPr>
            <w:tcW w:w="281" w:type="pct"/>
            <w:vMerge w:val="restart"/>
            <w:tcBorders>
              <w:top w:val="single" w:sz="12" w:space="0" w:color="auto"/>
            </w:tcBorders>
          </w:tcPr>
          <w:p w14:paraId="4F87230D" w14:textId="77777777" w:rsidR="006202A9" w:rsidRPr="00B44B19" w:rsidRDefault="006202A9" w:rsidP="006202A9">
            <w:pPr>
              <w:spacing w:after="0" w:line="240" w:lineRule="auto"/>
              <w:jc w:val="both"/>
              <w:rPr>
                <w:rFonts w:cs="Times New Roman"/>
                <w:b/>
                <w:noProof/>
                <w:sz w:val="14"/>
                <w:szCs w:val="14"/>
              </w:rPr>
            </w:pPr>
            <w:r w:rsidRPr="00B44B19">
              <w:rPr>
                <w:rFonts w:cs="Times New Roman"/>
                <w:noProof/>
                <w:sz w:val="16"/>
                <w:szCs w:val="16"/>
              </w:rPr>
              <w:t>ERPF</w:t>
            </w:r>
          </w:p>
        </w:tc>
        <w:tc>
          <w:tcPr>
            <w:tcW w:w="328" w:type="pct"/>
            <w:tcBorders>
              <w:top w:val="single" w:sz="12" w:space="0" w:color="auto"/>
            </w:tcBorders>
          </w:tcPr>
          <w:p w14:paraId="0E588AAF" w14:textId="77777777" w:rsidR="006202A9" w:rsidRPr="00B44B19" w:rsidRDefault="006202A9" w:rsidP="006202A9">
            <w:pPr>
              <w:spacing w:after="0" w:line="240" w:lineRule="auto"/>
              <w:jc w:val="both"/>
              <w:rPr>
                <w:rFonts w:cs="Times New Roman"/>
                <w:b/>
                <w:noProof/>
                <w:sz w:val="16"/>
                <w:szCs w:val="16"/>
                <w:highlight w:val="yellow"/>
              </w:rPr>
            </w:pPr>
            <w:r w:rsidRPr="00B44B19">
              <w:rPr>
                <w:rFonts w:cs="Times New Roman"/>
                <w:noProof/>
                <w:sz w:val="16"/>
                <w:szCs w:val="16"/>
              </w:rPr>
              <w:t>VVL regionas</w:t>
            </w:r>
          </w:p>
        </w:tc>
        <w:tc>
          <w:tcPr>
            <w:tcW w:w="422" w:type="pct"/>
            <w:tcBorders>
              <w:top w:val="single" w:sz="12" w:space="0" w:color="auto"/>
            </w:tcBorders>
          </w:tcPr>
          <w:p w14:paraId="75CD10B2" w14:textId="77777777" w:rsidR="006202A9" w:rsidRPr="00B44B19" w:rsidRDefault="006202A9" w:rsidP="006202A9">
            <w:pPr>
              <w:spacing w:after="0" w:line="240" w:lineRule="auto"/>
              <w:jc w:val="both"/>
              <w:rPr>
                <w:rFonts w:cs="Times New Roman"/>
                <w:sz w:val="16"/>
                <w:szCs w:val="16"/>
                <w:lang w:eastAsia="en-GB"/>
              </w:rPr>
            </w:pPr>
            <w:r w:rsidRPr="00B44B19">
              <w:rPr>
                <w:rFonts w:cs="Times New Roman"/>
                <w:sz w:val="16"/>
                <w:szCs w:val="16"/>
                <w:lang w:eastAsia="en-GB"/>
              </w:rPr>
              <w:t>RCR53</w:t>
            </w:r>
          </w:p>
        </w:tc>
        <w:tc>
          <w:tcPr>
            <w:tcW w:w="1125" w:type="pct"/>
            <w:tcBorders>
              <w:top w:val="single" w:sz="12" w:space="0" w:color="auto"/>
            </w:tcBorders>
          </w:tcPr>
          <w:p w14:paraId="5706748C" w14:textId="77777777" w:rsidR="006202A9" w:rsidRPr="00B44B19" w:rsidRDefault="006202A9" w:rsidP="006202A9">
            <w:pPr>
              <w:tabs>
                <w:tab w:val="left" w:pos="7560"/>
              </w:tabs>
              <w:spacing w:after="0" w:line="240" w:lineRule="auto"/>
              <w:rPr>
                <w:rFonts w:cs="Times New Roman"/>
                <w:sz w:val="16"/>
                <w:szCs w:val="16"/>
                <w:lang w:eastAsia="en-GB"/>
              </w:rPr>
            </w:pPr>
            <w:r w:rsidRPr="00B44B19">
              <w:rPr>
                <w:rFonts w:cs="Times New Roman"/>
                <w:sz w:val="16"/>
                <w:szCs w:val="16"/>
                <w:lang w:eastAsia="en-GB"/>
              </w:rPr>
              <w:t>Būstai, turintys plačiajuosčio ryšio prieigos prie itin didelio pralaidumo tinklo abonementą</w:t>
            </w:r>
          </w:p>
        </w:tc>
        <w:tc>
          <w:tcPr>
            <w:tcW w:w="328" w:type="pct"/>
            <w:tcBorders>
              <w:top w:val="single" w:sz="12" w:space="0" w:color="auto"/>
            </w:tcBorders>
          </w:tcPr>
          <w:p w14:paraId="2DB210AD"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Būstai</w:t>
            </w:r>
          </w:p>
        </w:tc>
        <w:tc>
          <w:tcPr>
            <w:tcW w:w="375" w:type="pct"/>
            <w:tcBorders>
              <w:top w:val="single" w:sz="12" w:space="0" w:color="auto"/>
            </w:tcBorders>
          </w:tcPr>
          <w:p w14:paraId="23369351"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0</w:t>
            </w:r>
          </w:p>
        </w:tc>
        <w:tc>
          <w:tcPr>
            <w:tcW w:w="375" w:type="pct"/>
            <w:tcBorders>
              <w:top w:val="single" w:sz="12" w:space="0" w:color="auto"/>
            </w:tcBorders>
          </w:tcPr>
          <w:p w14:paraId="7FBE556D"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202</w:t>
            </w:r>
            <w:r w:rsidR="00EA19CD" w:rsidRPr="00B44B19">
              <w:rPr>
                <w:rFonts w:cs="Times New Roman"/>
                <w:bCs/>
                <w:noProof/>
                <w:sz w:val="16"/>
                <w:szCs w:val="16"/>
              </w:rPr>
              <w:t>1</w:t>
            </w:r>
          </w:p>
        </w:tc>
        <w:tc>
          <w:tcPr>
            <w:tcW w:w="328" w:type="pct"/>
            <w:tcBorders>
              <w:top w:val="single" w:sz="12" w:space="0" w:color="auto"/>
            </w:tcBorders>
          </w:tcPr>
          <w:p w14:paraId="43E02FFB" w14:textId="77777777" w:rsidR="006202A9" w:rsidRPr="00B44B19" w:rsidRDefault="0092136E" w:rsidP="006202A9">
            <w:pPr>
              <w:spacing w:after="0" w:line="240" w:lineRule="auto"/>
              <w:jc w:val="center"/>
              <w:rPr>
                <w:rFonts w:cs="Times New Roman"/>
                <w:bCs/>
                <w:noProof/>
                <w:sz w:val="16"/>
                <w:szCs w:val="16"/>
              </w:rPr>
            </w:pPr>
            <w:r w:rsidRPr="00B44B19">
              <w:rPr>
                <w:rFonts w:cs="Times New Roman"/>
                <w:bCs/>
                <w:noProof/>
                <w:sz w:val="16"/>
                <w:szCs w:val="16"/>
              </w:rPr>
              <w:t>12 466</w:t>
            </w:r>
          </w:p>
        </w:tc>
        <w:tc>
          <w:tcPr>
            <w:tcW w:w="422" w:type="pct"/>
            <w:tcBorders>
              <w:top w:val="single" w:sz="12" w:space="0" w:color="auto"/>
            </w:tcBorders>
          </w:tcPr>
          <w:p w14:paraId="0A9D93EB" w14:textId="77777777" w:rsidR="006202A9" w:rsidRPr="00B44B19" w:rsidRDefault="005A1B87" w:rsidP="006202A9">
            <w:pPr>
              <w:spacing w:after="0" w:line="240" w:lineRule="auto"/>
              <w:jc w:val="both"/>
              <w:rPr>
                <w:rFonts w:cs="Times New Roman"/>
                <w:b/>
                <w:noProof/>
                <w:sz w:val="16"/>
                <w:szCs w:val="16"/>
              </w:rPr>
            </w:pPr>
            <w:r w:rsidRPr="00B44B19">
              <w:rPr>
                <w:rFonts w:cs="Times New Roman"/>
                <w:noProof/>
                <w:sz w:val="16"/>
                <w:szCs w:val="16"/>
              </w:rPr>
              <w:t>Projektų duomenys</w:t>
            </w:r>
          </w:p>
        </w:tc>
        <w:tc>
          <w:tcPr>
            <w:tcW w:w="323" w:type="pct"/>
            <w:tcBorders>
              <w:top w:val="single" w:sz="12" w:space="0" w:color="auto"/>
            </w:tcBorders>
          </w:tcPr>
          <w:p w14:paraId="5A4048C7" w14:textId="77777777" w:rsidR="006202A9" w:rsidRPr="00B44B19" w:rsidRDefault="006202A9" w:rsidP="006202A9">
            <w:pPr>
              <w:spacing w:after="0" w:line="240" w:lineRule="auto"/>
              <w:jc w:val="both"/>
              <w:rPr>
                <w:rFonts w:cs="Times New Roman"/>
                <w:b/>
                <w:noProof/>
                <w:sz w:val="14"/>
                <w:szCs w:val="14"/>
              </w:rPr>
            </w:pPr>
          </w:p>
        </w:tc>
      </w:tr>
      <w:tr w:rsidR="006202A9" w:rsidRPr="00B44B19" w14:paraId="2AF8CD6E" w14:textId="77777777" w:rsidTr="006600EE">
        <w:trPr>
          <w:trHeight w:val="426"/>
        </w:trPr>
        <w:tc>
          <w:tcPr>
            <w:tcW w:w="364" w:type="pct"/>
            <w:vMerge/>
          </w:tcPr>
          <w:p w14:paraId="5D60F87B" w14:textId="77777777" w:rsidR="006202A9" w:rsidRPr="00B44B19" w:rsidRDefault="006202A9" w:rsidP="006202A9">
            <w:pPr>
              <w:spacing w:after="0" w:line="240" w:lineRule="auto"/>
              <w:jc w:val="both"/>
              <w:rPr>
                <w:rFonts w:cs="Times New Roman"/>
                <w:b/>
                <w:noProof/>
                <w:sz w:val="14"/>
                <w:szCs w:val="14"/>
              </w:rPr>
            </w:pPr>
          </w:p>
        </w:tc>
        <w:tc>
          <w:tcPr>
            <w:tcW w:w="328" w:type="pct"/>
            <w:vMerge/>
          </w:tcPr>
          <w:p w14:paraId="6C29744D" w14:textId="77777777" w:rsidR="006202A9" w:rsidRPr="00B44B19" w:rsidRDefault="006202A9" w:rsidP="006202A9">
            <w:pPr>
              <w:spacing w:after="0" w:line="240" w:lineRule="auto"/>
              <w:jc w:val="both"/>
              <w:rPr>
                <w:rFonts w:cs="Times New Roman"/>
                <w:b/>
                <w:noProof/>
                <w:sz w:val="14"/>
                <w:szCs w:val="14"/>
              </w:rPr>
            </w:pPr>
          </w:p>
        </w:tc>
        <w:tc>
          <w:tcPr>
            <w:tcW w:w="281" w:type="pct"/>
            <w:vMerge/>
          </w:tcPr>
          <w:p w14:paraId="0D5FA437" w14:textId="77777777" w:rsidR="006202A9" w:rsidRPr="00B44B19" w:rsidRDefault="006202A9" w:rsidP="006202A9">
            <w:pPr>
              <w:spacing w:after="0" w:line="240" w:lineRule="auto"/>
              <w:jc w:val="both"/>
              <w:rPr>
                <w:rFonts w:cs="Times New Roman"/>
                <w:b/>
                <w:noProof/>
                <w:sz w:val="14"/>
                <w:szCs w:val="14"/>
              </w:rPr>
            </w:pPr>
          </w:p>
        </w:tc>
        <w:tc>
          <w:tcPr>
            <w:tcW w:w="328" w:type="pct"/>
          </w:tcPr>
          <w:p w14:paraId="292B775F" w14:textId="77777777" w:rsidR="006202A9" w:rsidRPr="00B44B19" w:rsidRDefault="006202A9" w:rsidP="006202A9">
            <w:pPr>
              <w:spacing w:after="0" w:line="240" w:lineRule="auto"/>
              <w:jc w:val="both"/>
              <w:rPr>
                <w:rFonts w:cs="Times New Roman"/>
                <w:b/>
                <w:noProof/>
                <w:sz w:val="16"/>
                <w:szCs w:val="16"/>
              </w:rPr>
            </w:pPr>
            <w:r w:rsidRPr="00B44B19">
              <w:rPr>
                <w:rFonts w:cs="Times New Roman"/>
                <w:noProof/>
                <w:sz w:val="16"/>
                <w:szCs w:val="16"/>
              </w:rPr>
              <w:t>Sostinės regionas</w:t>
            </w:r>
          </w:p>
        </w:tc>
        <w:tc>
          <w:tcPr>
            <w:tcW w:w="422" w:type="pct"/>
          </w:tcPr>
          <w:p w14:paraId="038F437E" w14:textId="77777777" w:rsidR="006202A9" w:rsidRPr="00B44B19" w:rsidRDefault="006202A9" w:rsidP="006202A9">
            <w:pPr>
              <w:spacing w:after="0" w:line="240" w:lineRule="auto"/>
              <w:jc w:val="both"/>
              <w:rPr>
                <w:rFonts w:cs="Times New Roman"/>
                <w:sz w:val="16"/>
                <w:szCs w:val="16"/>
                <w:lang w:eastAsia="en-GB"/>
              </w:rPr>
            </w:pPr>
            <w:r w:rsidRPr="00B44B19">
              <w:rPr>
                <w:rFonts w:eastAsia="Calibri" w:cs="Times New Roman"/>
                <w:noProof/>
                <w:color w:val="000000"/>
                <w:sz w:val="16"/>
                <w:szCs w:val="16"/>
                <w:lang w:eastAsia="lt-LT" w:bidi="lt-LT"/>
              </w:rPr>
              <w:t>RCR53</w:t>
            </w:r>
          </w:p>
        </w:tc>
        <w:tc>
          <w:tcPr>
            <w:tcW w:w="1125" w:type="pct"/>
          </w:tcPr>
          <w:p w14:paraId="2A1CF34B" w14:textId="77777777" w:rsidR="006202A9" w:rsidRPr="00B44B19" w:rsidRDefault="006202A9" w:rsidP="006202A9">
            <w:pPr>
              <w:tabs>
                <w:tab w:val="left" w:pos="7560"/>
              </w:tabs>
              <w:spacing w:after="0" w:line="240" w:lineRule="auto"/>
              <w:rPr>
                <w:rFonts w:cs="Times New Roman"/>
                <w:sz w:val="16"/>
                <w:szCs w:val="16"/>
                <w:lang w:eastAsia="en-GB"/>
              </w:rPr>
            </w:pPr>
            <w:r w:rsidRPr="00B44B19">
              <w:rPr>
                <w:rFonts w:eastAsia="Calibri" w:cs="Times New Roman"/>
                <w:bCs/>
                <w:noProof/>
                <w:color w:val="000000"/>
                <w:sz w:val="16"/>
                <w:szCs w:val="16"/>
                <w:lang w:eastAsia="lt-LT" w:bidi="lt-LT"/>
              </w:rPr>
              <w:t>Būstai, turintys plačiajuosčio ryšio prieigos prie itin didelio pralaidumo tinklo abonementą</w:t>
            </w:r>
          </w:p>
        </w:tc>
        <w:tc>
          <w:tcPr>
            <w:tcW w:w="328" w:type="pct"/>
          </w:tcPr>
          <w:p w14:paraId="33AE58C4"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Būstai</w:t>
            </w:r>
          </w:p>
        </w:tc>
        <w:tc>
          <w:tcPr>
            <w:tcW w:w="375" w:type="pct"/>
          </w:tcPr>
          <w:p w14:paraId="42902CD9"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0</w:t>
            </w:r>
          </w:p>
        </w:tc>
        <w:tc>
          <w:tcPr>
            <w:tcW w:w="375" w:type="pct"/>
          </w:tcPr>
          <w:p w14:paraId="30154BE9"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202</w:t>
            </w:r>
            <w:r w:rsidR="00EA19CD" w:rsidRPr="00B44B19">
              <w:rPr>
                <w:rFonts w:cs="Times New Roman"/>
                <w:bCs/>
                <w:noProof/>
                <w:sz w:val="16"/>
                <w:szCs w:val="16"/>
              </w:rPr>
              <w:t>1</w:t>
            </w:r>
          </w:p>
        </w:tc>
        <w:tc>
          <w:tcPr>
            <w:tcW w:w="328" w:type="pct"/>
          </w:tcPr>
          <w:p w14:paraId="3C0E03A2" w14:textId="77777777" w:rsidR="006202A9" w:rsidRPr="00B44B19" w:rsidRDefault="006202A9" w:rsidP="00984D4A">
            <w:pPr>
              <w:spacing w:after="0" w:line="240" w:lineRule="auto"/>
              <w:jc w:val="center"/>
              <w:rPr>
                <w:rFonts w:cs="Times New Roman"/>
                <w:bCs/>
                <w:noProof/>
                <w:sz w:val="16"/>
                <w:szCs w:val="16"/>
                <w:lang w:val="en-US"/>
              </w:rPr>
            </w:pPr>
            <w:r w:rsidRPr="00B44B19">
              <w:rPr>
                <w:rFonts w:cs="Times New Roman"/>
                <w:bCs/>
                <w:noProof/>
                <w:sz w:val="16"/>
                <w:szCs w:val="16"/>
              </w:rPr>
              <w:t> </w:t>
            </w:r>
            <w:r w:rsidR="00984D4A" w:rsidRPr="00B44B19">
              <w:rPr>
                <w:rFonts w:cs="Times New Roman"/>
                <w:bCs/>
                <w:noProof/>
                <w:sz w:val="16"/>
                <w:szCs w:val="16"/>
                <w:lang w:val="en-US"/>
              </w:rPr>
              <w:t>953</w:t>
            </w:r>
          </w:p>
        </w:tc>
        <w:tc>
          <w:tcPr>
            <w:tcW w:w="422" w:type="pct"/>
          </w:tcPr>
          <w:p w14:paraId="00AE3D77" w14:textId="77777777" w:rsidR="006202A9" w:rsidRPr="00B44B19" w:rsidRDefault="005A1B87" w:rsidP="006202A9">
            <w:pPr>
              <w:spacing w:after="0" w:line="240" w:lineRule="auto"/>
              <w:jc w:val="both"/>
              <w:rPr>
                <w:rFonts w:cs="Times New Roman"/>
                <w:b/>
                <w:noProof/>
                <w:sz w:val="16"/>
                <w:szCs w:val="16"/>
              </w:rPr>
            </w:pPr>
            <w:r w:rsidRPr="00B44B19">
              <w:rPr>
                <w:rFonts w:cs="Times New Roman"/>
                <w:noProof/>
                <w:sz w:val="16"/>
                <w:szCs w:val="16"/>
              </w:rPr>
              <w:t>Projektų duomenys</w:t>
            </w:r>
          </w:p>
        </w:tc>
        <w:tc>
          <w:tcPr>
            <w:tcW w:w="323" w:type="pct"/>
          </w:tcPr>
          <w:p w14:paraId="3778A904" w14:textId="77777777" w:rsidR="006202A9" w:rsidRPr="00B44B19" w:rsidRDefault="006202A9" w:rsidP="006202A9">
            <w:pPr>
              <w:spacing w:after="0" w:line="240" w:lineRule="auto"/>
              <w:jc w:val="both"/>
              <w:rPr>
                <w:rFonts w:cs="Times New Roman"/>
                <w:b/>
                <w:noProof/>
                <w:sz w:val="14"/>
                <w:szCs w:val="14"/>
              </w:rPr>
            </w:pPr>
          </w:p>
        </w:tc>
      </w:tr>
      <w:tr w:rsidR="006202A9" w:rsidRPr="00B44B19" w14:paraId="6F1EAC2C" w14:textId="77777777" w:rsidTr="006600EE">
        <w:trPr>
          <w:trHeight w:val="413"/>
        </w:trPr>
        <w:tc>
          <w:tcPr>
            <w:tcW w:w="364" w:type="pct"/>
            <w:vMerge/>
          </w:tcPr>
          <w:p w14:paraId="25EDC523" w14:textId="77777777" w:rsidR="006202A9" w:rsidRPr="00B44B19" w:rsidRDefault="006202A9" w:rsidP="006202A9">
            <w:pPr>
              <w:spacing w:after="0" w:line="240" w:lineRule="auto"/>
              <w:jc w:val="both"/>
              <w:rPr>
                <w:rFonts w:cs="Times New Roman"/>
                <w:b/>
                <w:noProof/>
                <w:sz w:val="14"/>
                <w:szCs w:val="14"/>
              </w:rPr>
            </w:pPr>
          </w:p>
        </w:tc>
        <w:tc>
          <w:tcPr>
            <w:tcW w:w="328" w:type="pct"/>
            <w:vMerge/>
          </w:tcPr>
          <w:p w14:paraId="2DB090D4" w14:textId="77777777" w:rsidR="006202A9" w:rsidRPr="00B44B19" w:rsidRDefault="006202A9" w:rsidP="006202A9">
            <w:pPr>
              <w:spacing w:after="0" w:line="240" w:lineRule="auto"/>
              <w:jc w:val="both"/>
              <w:rPr>
                <w:rFonts w:cs="Times New Roman"/>
                <w:b/>
                <w:noProof/>
                <w:sz w:val="14"/>
                <w:szCs w:val="14"/>
              </w:rPr>
            </w:pPr>
          </w:p>
        </w:tc>
        <w:tc>
          <w:tcPr>
            <w:tcW w:w="281" w:type="pct"/>
            <w:vMerge/>
          </w:tcPr>
          <w:p w14:paraId="69B0E8EF" w14:textId="77777777" w:rsidR="006202A9" w:rsidRPr="00B44B19" w:rsidRDefault="006202A9" w:rsidP="006202A9">
            <w:pPr>
              <w:spacing w:after="0" w:line="240" w:lineRule="auto"/>
              <w:jc w:val="both"/>
              <w:rPr>
                <w:rFonts w:cs="Times New Roman"/>
                <w:b/>
                <w:noProof/>
                <w:sz w:val="14"/>
                <w:szCs w:val="14"/>
              </w:rPr>
            </w:pPr>
          </w:p>
        </w:tc>
        <w:tc>
          <w:tcPr>
            <w:tcW w:w="328" w:type="pct"/>
          </w:tcPr>
          <w:p w14:paraId="42E50373" w14:textId="77777777" w:rsidR="006202A9" w:rsidRPr="00B44B19" w:rsidRDefault="006202A9" w:rsidP="006202A9">
            <w:pPr>
              <w:spacing w:after="0" w:line="240" w:lineRule="auto"/>
              <w:jc w:val="both"/>
              <w:rPr>
                <w:rFonts w:cs="Times New Roman"/>
                <w:noProof/>
                <w:sz w:val="16"/>
                <w:szCs w:val="16"/>
              </w:rPr>
            </w:pPr>
            <w:r w:rsidRPr="00B44B19">
              <w:rPr>
                <w:rFonts w:cs="Times New Roman"/>
                <w:noProof/>
                <w:sz w:val="16"/>
                <w:szCs w:val="16"/>
              </w:rPr>
              <w:t>VVL regionas</w:t>
            </w:r>
          </w:p>
        </w:tc>
        <w:tc>
          <w:tcPr>
            <w:tcW w:w="422" w:type="pct"/>
          </w:tcPr>
          <w:p w14:paraId="66C21875" w14:textId="77777777" w:rsidR="006202A9" w:rsidRPr="00B44B19" w:rsidRDefault="006202A9" w:rsidP="006202A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RCR54</w:t>
            </w:r>
          </w:p>
        </w:tc>
        <w:tc>
          <w:tcPr>
            <w:tcW w:w="1125" w:type="pct"/>
          </w:tcPr>
          <w:p w14:paraId="3F313DDC" w14:textId="77777777" w:rsidR="006202A9" w:rsidRPr="00B44B19" w:rsidRDefault="006202A9" w:rsidP="006202A9">
            <w:pPr>
              <w:tabs>
                <w:tab w:val="left" w:pos="7560"/>
              </w:tabs>
              <w:spacing w:after="0" w:line="240" w:lineRule="auto"/>
              <w:rPr>
                <w:rFonts w:eastAsia="Calibri" w:cs="Times New Roman"/>
                <w:bCs/>
                <w:noProof/>
                <w:color w:val="000000"/>
                <w:sz w:val="16"/>
                <w:szCs w:val="16"/>
                <w:lang w:eastAsia="lt-LT" w:bidi="lt-LT"/>
              </w:rPr>
            </w:pPr>
            <w:r w:rsidRPr="00B44B19">
              <w:rPr>
                <w:rFonts w:eastAsia="Calibri" w:cs="Times New Roman"/>
                <w:bCs/>
                <w:noProof/>
                <w:color w:val="000000"/>
                <w:sz w:val="16"/>
                <w:szCs w:val="16"/>
                <w:lang w:eastAsia="lt-LT" w:bidi="lt-LT"/>
              </w:rPr>
              <w:t>Įmonės, turinčios plačiajuosčio ryšio prieigos prie itin didelio pralaidumo tinklo abonementą</w:t>
            </w:r>
          </w:p>
        </w:tc>
        <w:tc>
          <w:tcPr>
            <w:tcW w:w="328" w:type="pct"/>
          </w:tcPr>
          <w:p w14:paraId="5F1EF657"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Įmonės</w:t>
            </w:r>
          </w:p>
        </w:tc>
        <w:tc>
          <w:tcPr>
            <w:tcW w:w="375" w:type="pct"/>
          </w:tcPr>
          <w:p w14:paraId="41DD4424"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0</w:t>
            </w:r>
          </w:p>
        </w:tc>
        <w:tc>
          <w:tcPr>
            <w:tcW w:w="375" w:type="pct"/>
          </w:tcPr>
          <w:p w14:paraId="608BFF6E"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202</w:t>
            </w:r>
            <w:r w:rsidR="00EA19CD" w:rsidRPr="00B44B19">
              <w:rPr>
                <w:rFonts w:cs="Times New Roman"/>
                <w:bCs/>
                <w:noProof/>
                <w:sz w:val="16"/>
                <w:szCs w:val="16"/>
              </w:rPr>
              <w:t>1</w:t>
            </w:r>
          </w:p>
        </w:tc>
        <w:tc>
          <w:tcPr>
            <w:tcW w:w="328" w:type="pct"/>
          </w:tcPr>
          <w:p w14:paraId="75D2FD71" w14:textId="77777777" w:rsidR="006202A9" w:rsidRPr="00B44B19" w:rsidRDefault="001E0B3B" w:rsidP="006202A9">
            <w:pPr>
              <w:spacing w:after="0" w:line="240" w:lineRule="auto"/>
              <w:jc w:val="center"/>
              <w:rPr>
                <w:rFonts w:cs="Times New Roman"/>
                <w:bCs/>
                <w:noProof/>
                <w:sz w:val="16"/>
                <w:szCs w:val="16"/>
              </w:rPr>
            </w:pPr>
            <w:r w:rsidRPr="00B44B19">
              <w:rPr>
                <w:rFonts w:cs="Times New Roman"/>
                <w:bCs/>
                <w:noProof/>
                <w:sz w:val="16"/>
                <w:szCs w:val="16"/>
              </w:rPr>
              <w:t>1 108</w:t>
            </w:r>
          </w:p>
        </w:tc>
        <w:tc>
          <w:tcPr>
            <w:tcW w:w="422" w:type="pct"/>
          </w:tcPr>
          <w:p w14:paraId="3A51DA21" w14:textId="77777777" w:rsidR="006202A9" w:rsidRPr="00B44B19" w:rsidRDefault="005A1B87" w:rsidP="006202A9">
            <w:pPr>
              <w:spacing w:after="0" w:line="240" w:lineRule="auto"/>
              <w:jc w:val="both"/>
              <w:rPr>
                <w:rFonts w:cs="Times New Roman"/>
                <w:b/>
                <w:noProof/>
                <w:sz w:val="16"/>
                <w:szCs w:val="16"/>
              </w:rPr>
            </w:pPr>
            <w:r w:rsidRPr="00B44B19">
              <w:rPr>
                <w:rFonts w:cs="Times New Roman"/>
                <w:noProof/>
                <w:sz w:val="16"/>
                <w:szCs w:val="16"/>
              </w:rPr>
              <w:t>Projektų duomenys</w:t>
            </w:r>
          </w:p>
        </w:tc>
        <w:tc>
          <w:tcPr>
            <w:tcW w:w="323" w:type="pct"/>
          </w:tcPr>
          <w:p w14:paraId="7129E40D" w14:textId="77777777" w:rsidR="006202A9" w:rsidRPr="00B44B19" w:rsidRDefault="006202A9" w:rsidP="006202A9">
            <w:pPr>
              <w:spacing w:after="0" w:line="240" w:lineRule="auto"/>
              <w:jc w:val="both"/>
              <w:rPr>
                <w:rFonts w:cs="Times New Roman"/>
                <w:b/>
                <w:noProof/>
                <w:sz w:val="14"/>
                <w:szCs w:val="14"/>
              </w:rPr>
            </w:pPr>
          </w:p>
        </w:tc>
      </w:tr>
      <w:tr w:rsidR="006202A9" w:rsidRPr="00B44B19" w14:paraId="4DBCEDB9" w14:textId="77777777" w:rsidTr="006600EE">
        <w:trPr>
          <w:trHeight w:val="395"/>
        </w:trPr>
        <w:tc>
          <w:tcPr>
            <w:tcW w:w="364" w:type="pct"/>
            <w:vMerge/>
          </w:tcPr>
          <w:p w14:paraId="06C01218" w14:textId="77777777" w:rsidR="006202A9" w:rsidRPr="00B44B19" w:rsidRDefault="006202A9" w:rsidP="006202A9">
            <w:pPr>
              <w:spacing w:after="0" w:line="240" w:lineRule="auto"/>
              <w:jc w:val="both"/>
              <w:rPr>
                <w:rFonts w:cs="Times New Roman"/>
                <w:b/>
                <w:noProof/>
                <w:sz w:val="14"/>
                <w:szCs w:val="14"/>
              </w:rPr>
            </w:pPr>
          </w:p>
        </w:tc>
        <w:tc>
          <w:tcPr>
            <w:tcW w:w="328" w:type="pct"/>
            <w:vMerge/>
          </w:tcPr>
          <w:p w14:paraId="1182CACF" w14:textId="77777777" w:rsidR="006202A9" w:rsidRPr="00B44B19" w:rsidRDefault="006202A9" w:rsidP="006202A9">
            <w:pPr>
              <w:spacing w:after="0" w:line="240" w:lineRule="auto"/>
              <w:jc w:val="both"/>
              <w:rPr>
                <w:rFonts w:cs="Times New Roman"/>
                <w:b/>
                <w:noProof/>
                <w:sz w:val="14"/>
                <w:szCs w:val="14"/>
              </w:rPr>
            </w:pPr>
          </w:p>
        </w:tc>
        <w:tc>
          <w:tcPr>
            <w:tcW w:w="281" w:type="pct"/>
            <w:vMerge/>
          </w:tcPr>
          <w:p w14:paraId="61AB217E" w14:textId="77777777" w:rsidR="006202A9" w:rsidRPr="00B44B19" w:rsidRDefault="006202A9" w:rsidP="006202A9">
            <w:pPr>
              <w:spacing w:after="0" w:line="240" w:lineRule="auto"/>
              <w:jc w:val="both"/>
              <w:rPr>
                <w:rFonts w:cs="Times New Roman"/>
                <w:b/>
                <w:noProof/>
                <w:sz w:val="14"/>
                <w:szCs w:val="14"/>
              </w:rPr>
            </w:pPr>
          </w:p>
        </w:tc>
        <w:tc>
          <w:tcPr>
            <w:tcW w:w="328" w:type="pct"/>
          </w:tcPr>
          <w:p w14:paraId="7D30C4BF" w14:textId="77777777" w:rsidR="006202A9" w:rsidRPr="00B44B19" w:rsidRDefault="006202A9" w:rsidP="006202A9">
            <w:pPr>
              <w:spacing w:after="0" w:line="240" w:lineRule="auto"/>
              <w:jc w:val="both"/>
              <w:rPr>
                <w:rFonts w:cs="Times New Roman"/>
                <w:noProof/>
                <w:sz w:val="16"/>
                <w:szCs w:val="16"/>
              </w:rPr>
            </w:pPr>
            <w:r w:rsidRPr="00B44B19">
              <w:rPr>
                <w:rFonts w:cs="Times New Roman"/>
                <w:noProof/>
                <w:sz w:val="16"/>
                <w:szCs w:val="16"/>
              </w:rPr>
              <w:t>Sostinės regionas</w:t>
            </w:r>
          </w:p>
        </w:tc>
        <w:tc>
          <w:tcPr>
            <w:tcW w:w="422" w:type="pct"/>
          </w:tcPr>
          <w:p w14:paraId="52F8DBC1" w14:textId="77777777" w:rsidR="006202A9" w:rsidRPr="00B44B19" w:rsidRDefault="006202A9" w:rsidP="006202A9">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RCR54</w:t>
            </w:r>
          </w:p>
        </w:tc>
        <w:tc>
          <w:tcPr>
            <w:tcW w:w="1125" w:type="pct"/>
          </w:tcPr>
          <w:p w14:paraId="30136B6F" w14:textId="77777777" w:rsidR="006202A9" w:rsidRPr="00B44B19" w:rsidRDefault="006202A9" w:rsidP="006202A9">
            <w:pPr>
              <w:tabs>
                <w:tab w:val="left" w:pos="7560"/>
              </w:tabs>
              <w:spacing w:after="0" w:line="240" w:lineRule="auto"/>
              <w:rPr>
                <w:rFonts w:eastAsia="Calibri" w:cs="Times New Roman"/>
                <w:bCs/>
                <w:noProof/>
                <w:color w:val="000000"/>
                <w:sz w:val="16"/>
                <w:szCs w:val="16"/>
                <w:lang w:eastAsia="lt-LT" w:bidi="lt-LT"/>
              </w:rPr>
            </w:pPr>
            <w:r w:rsidRPr="00B44B19">
              <w:rPr>
                <w:rFonts w:eastAsia="Calibri" w:cs="Times New Roman"/>
                <w:bCs/>
                <w:noProof/>
                <w:color w:val="000000"/>
                <w:sz w:val="16"/>
                <w:szCs w:val="16"/>
                <w:lang w:eastAsia="lt-LT" w:bidi="lt-LT"/>
              </w:rPr>
              <w:t>Įmonės, turinčios plačiajuosčio ryšio prieigos prie itin didelio pralaidumo tinklo abonementą</w:t>
            </w:r>
          </w:p>
        </w:tc>
        <w:tc>
          <w:tcPr>
            <w:tcW w:w="328" w:type="pct"/>
          </w:tcPr>
          <w:p w14:paraId="740D3F83"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Įmonės</w:t>
            </w:r>
          </w:p>
        </w:tc>
        <w:tc>
          <w:tcPr>
            <w:tcW w:w="375" w:type="pct"/>
          </w:tcPr>
          <w:p w14:paraId="3B4A7BA7"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0</w:t>
            </w:r>
          </w:p>
        </w:tc>
        <w:tc>
          <w:tcPr>
            <w:tcW w:w="375" w:type="pct"/>
          </w:tcPr>
          <w:p w14:paraId="33768146" w14:textId="77777777" w:rsidR="006202A9" w:rsidRPr="00B44B19" w:rsidRDefault="006202A9" w:rsidP="006202A9">
            <w:pPr>
              <w:spacing w:after="0" w:line="240" w:lineRule="auto"/>
              <w:jc w:val="center"/>
              <w:rPr>
                <w:rFonts w:cs="Times New Roman"/>
                <w:bCs/>
                <w:noProof/>
                <w:sz w:val="16"/>
                <w:szCs w:val="16"/>
              </w:rPr>
            </w:pPr>
            <w:r w:rsidRPr="00B44B19">
              <w:rPr>
                <w:rFonts w:cs="Times New Roman"/>
                <w:bCs/>
                <w:noProof/>
                <w:sz w:val="16"/>
                <w:szCs w:val="16"/>
              </w:rPr>
              <w:t>202</w:t>
            </w:r>
            <w:r w:rsidR="00EA19CD" w:rsidRPr="00B44B19">
              <w:rPr>
                <w:rFonts w:cs="Times New Roman"/>
                <w:bCs/>
                <w:noProof/>
                <w:sz w:val="16"/>
                <w:szCs w:val="16"/>
              </w:rPr>
              <w:t>1</w:t>
            </w:r>
          </w:p>
        </w:tc>
        <w:tc>
          <w:tcPr>
            <w:tcW w:w="328" w:type="pct"/>
          </w:tcPr>
          <w:p w14:paraId="644A1878" w14:textId="77777777" w:rsidR="006202A9" w:rsidRPr="00B44B19" w:rsidRDefault="007B3703" w:rsidP="006202A9">
            <w:pPr>
              <w:spacing w:after="0" w:line="240" w:lineRule="auto"/>
              <w:jc w:val="center"/>
              <w:rPr>
                <w:rFonts w:cs="Times New Roman"/>
                <w:bCs/>
                <w:noProof/>
                <w:sz w:val="16"/>
                <w:szCs w:val="16"/>
                <w:lang w:val="en-US"/>
              </w:rPr>
            </w:pPr>
            <w:r w:rsidRPr="00B44B19">
              <w:rPr>
                <w:rFonts w:cs="Times New Roman"/>
                <w:bCs/>
                <w:noProof/>
                <w:sz w:val="16"/>
                <w:szCs w:val="16"/>
                <w:lang w:val="en-US"/>
              </w:rPr>
              <w:t>105</w:t>
            </w:r>
          </w:p>
        </w:tc>
        <w:tc>
          <w:tcPr>
            <w:tcW w:w="422" w:type="pct"/>
          </w:tcPr>
          <w:p w14:paraId="09999CB9" w14:textId="77777777" w:rsidR="006202A9" w:rsidRPr="00B44B19" w:rsidRDefault="005A1B87" w:rsidP="006202A9">
            <w:pPr>
              <w:spacing w:after="0" w:line="240" w:lineRule="auto"/>
              <w:jc w:val="both"/>
              <w:rPr>
                <w:rFonts w:cs="Times New Roman"/>
                <w:b/>
                <w:noProof/>
                <w:sz w:val="16"/>
                <w:szCs w:val="16"/>
              </w:rPr>
            </w:pPr>
            <w:r w:rsidRPr="00B44B19">
              <w:rPr>
                <w:rFonts w:cs="Times New Roman"/>
                <w:noProof/>
                <w:sz w:val="16"/>
                <w:szCs w:val="16"/>
              </w:rPr>
              <w:t>Projektų duomenys</w:t>
            </w:r>
          </w:p>
        </w:tc>
        <w:tc>
          <w:tcPr>
            <w:tcW w:w="323" w:type="pct"/>
          </w:tcPr>
          <w:p w14:paraId="651E129D" w14:textId="77777777" w:rsidR="006202A9" w:rsidRPr="00B44B19" w:rsidRDefault="006202A9" w:rsidP="006202A9">
            <w:pPr>
              <w:spacing w:after="0" w:line="240" w:lineRule="auto"/>
              <w:jc w:val="both"/>
              <w:rPr>
                <w:rFonts w:cs="Times New Roman"/>
                <w:b/>
                <w:noProof/>
                <w:sz w:val="14"/>
                <w:szCs w:val="14"/>
              </w:rPr>
            </w:pPr>
          </w:p>
        </w:tc>
      </w:tr>
    </w:tbl>
    <w:p w14:paraId="63F8A021" w14:textId="77777777" w:rsidR="00B533DF" w:rsidRPr="00B44B19" w:rsidRDefault="00B533DF" w:rsidP="00B533DF">
      <w:pPr>
        <w:spacing w:after="0" w:line="240" w:lineRule="auto"/>
        <w:jc w:val="both"/>
        <w:rPr>
          <w:rFonts w:cs="Times New Roman"/>
          <w:b/>
          <w:bCs/>
          <w:szCs w:val="24"/>
        </w:rPr>
        <w:sectPr w:rsidR="00B533DF" w:rsidRPr="00B44B19" w:rsidSect="00931C78">
          <w:pgSz w:w="16838" w:h="11906" w:orient="landscape"/>
          <w:pgMar w:top="1701" w:right="1276" w:bottom="567" w:left="1134" w:header="567" w:footer="567" w:gutter="0"/>
          <w:cols w:space="1296"/>
          <w:docGrid w:linePitch="360"/>
        </w:sectPr>
      </w:pPr>
    </w:p>
    <w:p w14:paraId="54240E98" w14:textId="77777777" w:rsidR="00B533DF" w:rsidRPr="00B44B19" w:rsidRDefault="00B533DF" w:rsidP="00B533DF">
      <w:pPr>
        <w:spacing w:before="240" w:after="240" w:line="240" w:lineRule="auto"/>
        <w:jc w:val="both"/>
        <w:rPr>
          <w:rFonts w:eastAsia="Calibri" w:cs="Times New Roman"/>
          <w:i/>
          <w:noProof/>
          <w:szCs w:val="20"/>
          <w:lang w:eastAsia="lt-LT" w:bidi="lt-LT"/>
        </w:rPr>
      </w:pPr>
      <w:r w:rsidRPr="00B44B19">
        <w:rPr>
          <w:rFonts w:eastAsia="Calibri" w:cs="Times New Roman"/>
          <w:b/>
          <w:i/>
          <w:noProof/>
          <w:szCs w:val="20"/>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98"/>
        <w:gridCol w:w="849"/>
        <w:gridCol w:w="1535"/>
        <w:gridCol w:w="1134"/>
        <w:gridCol w:w="3578"/>
        <w:gridCol w:w="1414"/>
      </w:tblGrid>
      <w:tr w:rsidR="006202A9" w:rsidRPr="00B44B19" w14:paraId="61F02798" w14:textId="77777777"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650B9AF" w14:textId="77777777" w:rsidR="006202A9" w:rsidRPr="00B44B19" w:rsidRDefault="006202A9" w:rsidP="006600EE">
            <w:pPr>
              <w:rPr>
                <w:rFonts w:eastAsia="Times New Roman" w:cs="Times New Roman"/>
                <w:b/>
                <w:iCs/>
                <w:noProof/>
                <w:sz w:val="20"/>
              </w:rPr>
            </w:pPr>
            <w:r w:rsidRPr="00B44B19">
              <w:rPr>
                <w:rFonts w:cs="Times New Roman"/>
                <w:b/>
                <w:noProof/>
                <w:sz w:val="20"/>
              </w:rPr>
              <w:t>4 lentelė. 1 matmuo. Intervencinių priemonių sritis</w:t>
            </w:r>
          </w:p>
        </w:tc>
      </w:tr>
      <w:tr w:rsidR="006202A9" w:rsidRPr="00B44B19" w14:paraId="397361AC"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2BD4D3"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907DFE"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3E3CDB"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1979F" w14:textId="77777777" w:rsidR="006202A9" w:rsidRPr="00B44B19" w:rsidRDefault="006202A9" w:rsidP="00417519">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125E31"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B456D0"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Suma (EUR)</w:t>
            </w:r>
          </w:p>
        </w:tc>
      </w:tr>
      <w:tr w:rsidR="006202A9" w:rsidRPr="00B44B19" w14:paraId="44832318" w14:textId="77777777" w:rsidTr="007F6814">
        <w:tc>
          <w:tcPr>
            <w:tcW w:w="1101" w:type="dxa"/>
            <w:vMerge w:val="restart"/>
            <w:tcBorders>
              <w:top w:val="single" w:sz="12" w:space="0" w:color="auto"/>
            </w:tcBorders>
          </w:tcPr>
          <w:p w14:paraId="1A76E3EB"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7.</w:t>
            </w:r>
          </w:p>
        </w:tc>
        <w:tc>
          <w:tcPr>
            <w:tcW w:w="850" w:type="dxa"/>
            <w:vMerge w:val="restart"/>
            <w:tcBorders>
              <w:top w:val="single" w:sz="12" w:space="0" w:color="auto"/>
            </w:tcBorders>
          </w:tcPr>
          <w:p w14:paraId="5E127F71"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ERPF</w:t>
            </w:r>
          </w:p>
        </w:tc>
        <w:tc>
          <w:tcPr>
            <w:tcW w:w="1559" w:type="dxa"/>
            <w:tcBorders>
              <w:top w:val="single" w:sz="12" w:space="0" w:color="auto"/>
              <w:bottom w:val="single" w:sz="4" w:space="0" w:color="auto"/>
            </w:tcBorders>
          </w:tcPr>
          <w:p w14:paraId="06B0006D"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290CF811"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7.1</w:t>
            </w:r>
          </w:p>
        </w:tc>
        <w:tc>
          <w:tcPr>
            <w:tcW w:w="3686" w:type="dxa"/>
            <w:vMerge w:val="restart"/>
            <w:tcBorders>
              <w:top w:val="single" w:sz="12" w:space="0" w:color="auto"/>
            </w:tcBorders>
          </w:tcPr>
          <w:p w14:paraId="71956CEE" w14:textId="77777777" w:rsidR="006202A9" w:rsidRPr="00B44B19" w:rsidRDefault="006202A9" w:rsidP="007F6814">
            <w:pPr>
              <w:rPr>
                <w:rFonts w:eastAsia="Times New Roman" w:cs="Times New Roman"/>
                <w:iCs/>
                <w:noProof/>
                <w:sz w:val="20"/>
              </w:rPr>
            </w:pPr>
            <w:r w:rsidRPr="00B44B19">
              <w:rPr>
                <w:rFonts w:eastAsia="Times New Roman" w:cs="Times New Roman"/>
                <w:iCs/>
                <w:noProof/>
                <w:sz w:val="20"/>
              </w:rPr>
              <w:t>032</w:t>
            </w:r>
            <w:r w:rsidR="007F6814" w:rsidRPr="00B44B19">
              <w:rPr>
                <w:rFonts w:eastAsia="Times New Roman" w:cs="Times New Roman"/>
                <w:iCs/>
                <w:noProof/>
                <w:sz w:val="20"/>
              </w:rPr>
              <w:t xml:space="preserve"> </w:t>
            </w:r>
            <w:r w:rsidR="004D01F2" w:rsidRPr="00B44B19">
              <w:rPr>
                <w:rFonts w:eastAsia="Times New Roman" w:cs="Times New Roman"/>
                <w:iCs/>
                <w:noProof/>
                <w:sz w:val="20"/>
              </w:rPr>
              <w:t>–</w:t>
            </w:r>
            <w:r w:rsidR="007F6814" w:rsidRPr="00B44B19">
              <w:rPr>
                <w:rFonts w:eastAsia="Times New Roman" w:cs="Times New Roman"/>
                <w:iCs/>
                <w:noProof/>
                <w:sz w:val="20"/>
              </w:rPr>
              <w:t xml:space="preserve"> IRT: itin didelio pajėgumo plačiajuosčio ryšio tinklas (pagrindinis / tranzitinis tinklas)</w:t>
            </w:r>
          </w:p>
        </w:tc>
        <w:tc>
          <w:tcPr>
            <w:tcW w:w="1417" w:type="dxa"/>
            <w:tcBorders>
              <w:top w:val="single" w:sz="12" w:space="0" w:color="auto"/>
              <w:bottom w:val="single" w:sz="4" w:space="0" w:color="auto"/>
            </w:tcBorders>
          </w:tcPr>
          <w:p w14:paraId="0C80CE9D" w14:textId="77777777" w:rsidR="006202A9" w:rsidRPr="00B44B19" w:rsidRDefault="00C60A41" w:rsidP="006600EE">
            <w:pPr>
              <w:jc w:val="right"/>
              <w:rPr>
                <w:rFonts w:eastAsia="Times New Roman" w:cs="Times New Roman"/>
                <w:iCs/>
                <w:noProof/>
                <w:sz w:val="20"/>
              </w:rPr>
            </w:pPr>
            <w:r w:rsidRPr="00B44B19">
              <w:rPr>
                <w:rFonts w:eastAsia="Times New Roman" w:cs="Times New Roman"/>
                <w:iCs/>
                <w:noProof/>
                <w:sz w:val="20"/>
              </w:rPr>
              <w:t>588 201</w:t>
            </w:r>
            <w:r w:rsidR="006202A9" w:rsidRPr="00B44B19">
              <w:rPr>
                <w:rFonts w:eastAsia="Times New Roman" w:cs="Times New Roman"/>
                <w:iCs/>
                <w:noProof/>
                <w:sz w:val="20"/>
              </w:rPr>
              <w:t>,00</w:t>
            </w:r>
          </w:p>
        </w:tc>
      </w:tr>
      <w:tr w:rsidR="006202A9" w:rsidRPr="00B44B19" w14:paraId="65195173" w14:textId="77777777" w:rsidTr="007F6814">
        <w:tc>
          <w:tcPr>
            <w:tcW w:w="1101" w:type="dxa"/>
            <w:vMerge/>
          </w:tcPr>
          <w:p w14:paraId="75E62330" w14:textId="77777777" w:rsidR="006202A9" w:rsidRPr="00B44B19" w:rsidRDefault="006202A9" w:rsidP="006600EE">
            <w:pPr>
              <w:rPr>
                <w:rFonts w:eastAsia="Times New Roman" w:cs="Times New Roman"/>
                <w:iCs/>
                <w:noProof/>
                <w:sz w:val="20"/>
              </w:rPr>
            </w:pPr>
          </w:p>
        </w:tc>
        <w:tc>
          <w:tcPr>
            <w:tcW w:w="850" w:type="dxa"/>
            <w:vMerge/>
          </w:tcPr>
          <w:p w14:paraId="18E0CF9E" w14:textId="77777777" w:rsidR="006202A9" w:rsidRPr="00B44B19" w:rsidRDefault="006202A9" w:rsidP="006600EE">
            <w:pPr>
              <w:rPr>
                <w:rFonts w:eastAsia="Times New Roman" w:cs="Times New Roman"/>
                <w:b/>
                <w:iCs/>
                <w:noProof/>
                <w:sz w:val="20"/>
              </w:rPr>
            </w:pPr>
          </w:p>
        </w:tc>
        <w:tc>
          <w:tcPr>
            <w:tcW w:w="1559" w:type="dxa"/>
            <w:tcBorders>
              <w:top w:val="single" w:sz="4" w:space="0" w:color="auto"/>
              <w:bottom w:val="single" w:sz="4" w:space="0" w:color="auto"/>
            </w:tcBorders>
          </w:tcPr>
          <w:p w14:paraId="03899886"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50AD0207" w14:textId="77777777" w:rsidR="006202A9" w:rsidRPr="00B44B19" w:rsidRDefault="006202A9" w:rsidP="006600EE">
            <w:pPr>
              <w:rPr>
                <w:rFonts w:eastAsia="Times New Roman" w:cs="Times New Roman"/>
                <w:b/>
                <w:iCs/>
                <w:noProof/>
                <w:sz w:val="20"/>
              </w:rPr>
            </w:pPr>
          </w:p>
        </w:tc>
        <w:tc>
          <w:tcPr>
            <w:tcW w:w="3686" w:type="dxa"/>
            <w:vMerge/>
            <w:tcBorders>
              <w:bottom w:val="single" w:sz="4" w:space="0" w:color="auto"/>
            </w:tcBorders>
          </w:tcPr>
          <w:p w14:paraId="1833ACF9" w14:textId="77777777" w:rsidR="006202A9" w:rsidRPr="00B44B19" w:rsidRDefault="006202A9" w:rsidP="006600EE">
            <w:pPr>
              <w:jc w:val="center"/>
              <w:rPr>
                <w:rFonts w:eastAsia="Times New Roman" w:cs="Times New Roman"/>
                <w:iCs/>
                <w:noProof/>
                <w:sz w:val="20"/>
              </w:rPr>
            </w:pPr>
          </w:p>
        </w:tc>
        <w:tc>
          <w:tcPr>
            <w:tcW w:w="1417" w:type="dxa"/>
            <w:tcBorders>
              <w:top w:val="single" w:sz="4" w:space="0" w:color="auto"/>
              <w:bottom w:val="single" w:sz="4" w:space="0" w:color="auto"/>
            </w:tcBorders>
          </w:tcPr>
          <w:p w14:paraId="117F8B8D" w14:textId="77777777" w:rsidR="006202A9" w:rsidRPr="00B44B19" w:rsidRDefault="006202A9" w:rsidP="006600EE">
            <w:pPr>
              <w:jc w:val="right"/>
              <w:rPr>
                <w:rFonts w:eastAsia="Times New Roman" w:cs="Times New Roman"/>
                <w:iCs/>
                <w:noProof/>
                <w:sz w:val="20"/>
              </w:rPr>
            </w:pPr>
            <w:r w:rsidRPr="00B44B19">
              <w:rPr>
                <w:rFonts w:eastAsia="Times New Roman" w:cs="Times New Roman"/>
                <w:iCs/>
                <w:noProof/>
                <w:sz w:val="20"/>
              </w:rPr>
              <w:t>11 908 130,00</w:t>
            </w:r>
          </w:p>
        </w:tc>
      </w:tr>
      <w:tr w:rsidR="006202A9" w:rsidRPr="00B44B19" w14:paraId="351AA4CE" w14:textId="77777777" w:rsidTr="007F6814">
        <w:tc>
          <w:tcPr>
            <w:tcW w:w="1101" w:type="dxa"/>
            <w:vMerge/>
          </w:tcPr>
          <w:p w14:paraId="17568F95" w14:textId="77777777" w:rsidR="006202A9" w:rsidRPr="00B44B19" w:rsidRDefault="006202A9" w:rsidP="006600EE">
            <w:pPr>
              <w:rPr>
                <w:rFonts w:eastAsia="Times New Roman" w:cs="Times New Roman"/>
                <w:iCs/>
                <w:noProof/>
                <w:sz w:val="20"/>
              </w:rPr>
            </w:pPr>
          </w:p>
        </w:tc>
        <w:tc>
          <w:tcPr>
            <w:tcW w:w="850" w:type="dxa"/>
            <w:vMerge/>
          </w:tcPr>
          <w:p w14:paraId="6ECF02B2" w14:textId="77777777" w:rsidR="006202A9" w:rsidRPr="00B44B19" w:rsidRDefault="006202A9" w:rsidP="006600EE">
            <w:pPr>
              <w:rPr>
                <w:rFonts w:eastAsia="Times New Roman" w:cs="Times New Roman"/>
                <w:b/>
                <w:iCs/>
                <w:noProof/>
                <w:sz w:val="20"/>
              </w:rPr>
            </w:pPr>
          </w:p>
        </w:tc>
        <w:tc>
          <w:tcPr>
            <w:tcW w:w="1559" w:type="dxa"/>
            <w:tcBorders>
              <w:top w:val="single" w:sz="4" w:space="0" w:color="auto"/>
              <w:bottom w:val="single" w:sz="4" w:space="0" w:color="auto"/>
            </w:tcBorders>
          </w:tcPr>
          <w:p w14:paraId="16A75004"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2BB56BEB" w14:textId="77777777" w:rsidR="006202A9" w:rsidRPr="00B44B19" w:rsidRDefault="006202A9" w:rsidP="006600EE">
            <w:pPr>
              <w:rPr>
                <w:rFonts w:eastAsia="Times New Roman" w:cs="Times New Roman"/>
                <w:b/>
                <w:iCs/>
                <w:noProof/>
                <w:sz w:val="20"/>
              </w:rPr>
            </w:pPr>
          </w:p>
        </w:tc>
        <w:tc>
          <w:tcPr>
            <w:tcW w:w="3686" w:type="dxa"/>
            <w:vMerge w:val="restart"/>
            <w:tcBorders>
              <w:top w:val="single" w:sz="4" w:space="0" w:color="auto"/>
            </w:tcBorders>
          </w:tcPr>
          <w:p w14:paraId="69F9CE44" w14:textId="77777777" w:rsidR="006202A9" w:rsidRPr="00B44B19" w:rsidRDefault="006202A9" w:rsidP="007F6814">
            <w:pPr>
              <w:rPr>
                <w:rFonts w:eastAsia="Times New Roman" w:cs="Times New Roman"/>
                <w:iCs/>
                <w:noProof/>
                <w:sz w:val="20"/>
              </w:rPr>
            </w:pPr>
            <w:r w:rsidRPr="00B44B19">
              <w:rPr>
                <w:rFonts w:eastAsia="Times New Roman" w:cs="Times New Roman"/>
                <w:iCs/>
                <w:noProof/>
                <w:sz w:val="20"/>
              </w:rPr>
              <w:t>034</w:t>
            </w:r>
            <w:r w:rsidR="007F6814" w:rsidRPr="00B44B19">
              <w:rPr>
                <w:rFonts w:eastAsia="Times New Roman" w:cs="Times New Roman"/>
                <w:iCs/>
                <w:noProof/>
                <w:sz w:val="20"/>
              </w:rPr>
              <w:t xml:space="preserve"> </w:t>
            </w:r>
            <w:r w:rsidR="004D01F2" w:rsidRPr="00B44B19">
              <w:rPr>
                <w:rFonts w:eastAsia="Times New Roman" w:cs="Times New Roman"/>
                <w:iCs/>
                <w:noProof/>
                <w:sz w:val="20"/>
              </w:rPr>
              <w:t>–</w:t>
            </w:r>
            <w:r w:rsidR="007F6814" w:rsidRPr="00B44B19">
              <w:rPr>
                <w:rFonts w:eastAsia="Times New Roman" w:cs="Times New Roman"/>
                <w:iCs/>
                <w:noProof/>
                <w:sz w:val="20"/>
              </w:rPr>
              <w:t xml:space="preserve"> IRT: itin didelio pajėgumo plačiajuosčio ryšio tinklas (prieigos / vietinė linija, kurios efektyvumas lygus optinių skaidulinių kabelių įrenginių iki paskirstymo taško aptarnaujamojoje vietoje privačiuose namuose ir verslo patalpose efektyvumui)</w:t>
            </w:r>
          </w:p>
        </w:tc>
        <w:tc>
          <w:tcPr>
            <w:tcW w:w="1417" w:type="dxa"/>
            <w:tcBorders>
              <w:top w:val="single" w:sz="4" w:space="0" w:color="auto"/>
              <w:bottom w:val="single" w:sz="4" w:space="0" w:color="auto"/>
            </w:tcBorders>
          </w:tcPr>
          <w:p w14:paraId="2F6AF3E0" w14:textId="77777777" w:rsidR="006202A9" w:rsidRPr="00B44B19" w:rsidRDefault="006202A9" w:rsidP="006600EE">
            <w:pPr>
              <w:jc w:val="right"/>
              <w:rPr>
                <w:rFonts w:eastAsia="Times New Roman" w:cs="Times New Roman"/>
                <w:iCs/>
                <w:noProof/>
                <w:sz w:val="20"/>
              </w:rPr>
            </w:pPr>
            <w:r w:rsidRPr="00B44B19">
              <w:rPr>
                <w:rFonts w:eastAsia="Times New Roman" w:cs="Times New Roman"/>
                <w:iCs/>
                <w:noProof/>
                <w:sz w:val="20"/>
              </w:rPr>
              <w:t>291 200,00</w:t>
            </w:r>
          </w:p>
        </w:tc>
      </w:tr>
      <w:tr w:rsidR="006202A9" w:rsidRPr="00B44B19" w14:paraId="60A9DBAE" w14:textId="77777777" w:rsidTr="007F6814">
        <w:tc>
          <w:tcPr>
            <w:tcW w:w="1101" w:type="dxa"/>
            <w:vMerge/>
          </w:tcPr>
          <w:p w14:paraId="5A3130CD" w14:textId="77777777" w:rsidR="006202A9" w:rsidRPr="00B44B19" w:rsidRDefault="006202A9" w:rsidP="006600EE">
            <w:pPr>
              <w:rPr>
                <w:rFonts w:eastAsia="Times New Roman" w:cs="Times New Roman"/>
                <w:iCs/>
                <w:noProof/>
                <w:sz w:val="20"/>
              </w:rPr>
            </w:pPr>
          </w:p>
        </w:tc>
        <w:tc>
          <w:tcPr>
            <w:tcW w:w="850" w:type="dxa"/>
            <w:vMerge/>
          </w:tcPr>
          <w:p w14:paraId="2C2A0AA1" w14:textId="77777777" w:rsidR="006202A9" w:rsidRPr="00B44B19" w:rsidRDefault="006202A9" w:rsidP="006600EE">
            <w:pPr>
              <w:rPr>
                <w:rFonts w:eastAsia="Times New Roman" w:cs="Times New Roman"/>
                <w:b/>
                <w:iCs/>
                <w:noProof/>
                <w:sz w:val="20"/>
              </w:rPr>
            </w:pPr>
          </w:p>
        </w:tc>
        <w:tc>
          <w:tcPr>
            <w:tcW w:w="1559" w:type="dxa"/>
            <w:tcBorders>
              <w:top w:val="single" w:sz="4" w:space="0" w:color="auto"/>
              <w:bottom w:val="single" w:sz="4" w:space="0" w:color="auto"/>
            </w:tcBorders>
          </w:tcPr>
          <w:p w14:paraId="63E69A61"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20BD578D" w14:textId="77777777" w:rsidR="006202A9" w:rsidRPr="00B44B19" w:rsidRDefault="006202A9" w:rsidP="006600EE">
            <w:pPr>
              <w:rPr>
                <w:rFonts w:eastAsia="Times New Roman" w:cs="Times New Roman"/>
                <w:b/>
                <w:iCs/>
                <w:noProof/>
                <w:sz w:val="20"/>
              </w:rPr>
            </w:pPr>
          </w:p>
        </w:tc>
        <w:tc>
          <w:tcPr>
            <w:tcW w:w="3686" w:type="dxa"/>
            <w:vMerge/>
            <w:tcBorders>
              <w:bottom w:val="single" w:sz="4" w:space="0" w:color="auto"/>
            </w:tcBorders>
          </w:tcPr>
          <w:p w14:paraId="1AD48DAC" w14:textId="77777777" w:rsidR="006202A9" w:rsidRPr="00B44B19" w:rsidRDefault="006202A9" w:rsidP="006600EE">
            <w:pPr>
              <w:rPr>
                <w:rFonts w:eastAsia="Times New Roman" w:cs="Times New Roman"/>
                <w:b/>
                <w:iCs/>
                <w:noProof/>
                <w:sz w:val="20"/>
              </w:rPr>
            </w:pPr>
          </w:p>
        </w:tc>
        <w:tc>
          <w:tcPr>
            <w:tcW w:w="1417" w:type="dxa"/>
            <w:tcBorders>
              <w:top w:val="single" w:sz="4" w:space="0" w:color="auto"/>
              <w:bottom w:val="single" w:sz="4" w:space="0" w:color="auto"/>
            </w:tcBorders>
          </w:tcPr>
          <w:p w14:paraId="674BC3F7" w14:textId="77777777" w:rsidR="006202A9" w:rsidRPr="00B44B19" w:rsidRDefault="006202A9" w:rsidP="006600EE">
            <w:pPr>
              <w:jc w:val="right"/>
              <w:rPr>
                <w:rFonts w:eastAsia="Times New Roman" w:cs="Times New Roman"/>
                <w:iCs/>
                <w:noProof/>
                <w:sz w:val="20"/>
              </w:rPr>
            </w:pPr>
            <w:r w:rsidRPr="00B44B19">
              <w:rPr>
                <w:rFonts w:eastAsia="Times New Roman" w:cs="Times New Roman"/>
                <w:iCs/>
                <w:noProof/>
                <w:sz w:val="20"/>
              </w:rPr>
              <w:t>5 960 </w:t>
            </w:r>
            <w:r w:rsidR="00C60A41" w:rsidRPr="00B44B19">
              <w:rPr>
                <w:rFonts w:eastAsia="Times New Roman" w:cs="Times New Roman"/>
                <w:iCs/>
                <w:noProof/>
                <w:sz w:val="20"/>
              </w:rPr>
              <w:t>261</w:t>
            </w:r>
            <w:r w:rsidRPr="00B44B19">
              <w:rPr>
                <w:rFonts w:eastAsia="Times New Roman" w:cs="Times New Roman"/>
                <w:iCs/>
                <w:noProof/>
                <w:sz w:val="20"/>
              </w:rPr>
              <w:t>,00</w:t>
            </w:r>
          </w:p>
        </w:tc>
      </w:tr>
      <w:tr w:rsidR="006202A9" w:rsidRPr="00B44B19" w14:paraId="6978CCD0" w14:textId="77777777" w:rsidTr="007F6814">
        <w:tc>
          <w:tcPr>
            <w:tcW w:w="1101" w:type="dxa"/>
            <w:vMerge/>
          </w:tcPr>
          <w:p w14:paraId="6F5D9333" w14:textId="77777777" w:rsidR="006202A9" w:rsidRPr="00B44B19" w:rsidRDefault="006202A9" w:rsidP="006600EE">
            <w:pPr>
              <w:rPr>
                <w:rFonts w:eastAsia="Times New Roman" w:cs="Times New Roman"/>
                <w:iCs/>
                <w:noProof/>
                <w:sz w:val="20"/>
              </w:rPr>
            </w:pPr>
          </w:p>
        </w:tc>
        <w:tc>
          <w:tcPr>
            <w:tcW w:w="850" w:type="dxa"/>
            <w:vMerge/>
          </w:tcPr>
          <w:p w14:paraId="73E5086E" w14:textId="77777777" w:rsidR="006202A9" w:rsidRPr="00B44B19" w:rsidRDefault="006202A9" w:rsidP="006600EE">
            <w:pPr>
              <w:rPr>
                <w:rFonts w:eastAsia="Times New Roman" w:cs="Times New Roman"/>
                <w:b/>
                <w:iCs/>
                <w:noProof/>
                <w:sz w:val="20"/>
              </w:rPr>
            </w:pPr>
          </w:p>
        </w:tc>
        <w:tc>
          <w:tcPr>
            <w:tcW w:w="1559" w:type="dxa"/>
            <w:tcBorders>
              <w:top w:val="single" w:sz="4" w:space="0" w:color="auto"/>
              <w:bottom w:val="single" w:sz="4" w:space="0" w:color="auto"/>
            </w:tcBorders>
          </w:tcPr>
          <w:p w14:paraId="34815C5F"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Sostinės regionas</w:t>
            </w:r>
          </w:p>
        </w:tc>
        <w:tc>
          <w:tcPr>
            <w:tcW w:w="1134" w:type="dxa"/>
            <w:vMerge/>
          </w:tcPr>
          <w:p w14:paraId="61C17E74" w14:textId="77777777" w:rsidR="006202A9" w:rsidRPr="00B44B19" w:rsidRDefault="006202A9" w:rsidP="006600EE">
            <w:pPr>
              <w:rPr>
                <w:rFonts w:eastAsia="Times New Roman" w:cs="Times New Roman"/>
                <w:b/>
                <w:iCs/>
                <w:noProof/>
                <w:sz w:val="20"/>
              </w:rPr>
            </w:pPr>
          </w:p>
        </w:tc>
        <w:tc>
          <w:tcPr>
            <w:tcW w:w="3686" w:type="dxa"/>
            <w:vMerge w:val="restart"/>
            <w:tcBorders>
              <w:top w:val="single" w:sz="4" w:space="0" w:color="auto"/>
            </w:tcBorders>
          </w:tcPr>
          <w:p w14:paraId="571D0F17" w14:textId="77777777" w:rsidR="006202A9" w:rsidRPr="00B44B19" w:rsidRDefault="006202A9" w:rsidP="007F6814">
            <w:pPr>
              <w:rPr>
                <w:rFonts w:eastAsia="Times New Roman" w:cs="Times New Roman"/>
                <w:iCs/>
                <w:noProof/>
                <w:sz w:val="20"/>
              </w:rPr>
            </w:pPr>
            <w:r w:rsidRPr="00B44B19">
              <w:rPr>
                <w:rFonts w:eastAsia="Times New Roman" w:cs="Times New Roman"/>
                <w:iCs/>
                <w:noProof/>
                <w:sz w:val="20"/>
              </w:rPr>
              <w:t>035</w:t>
            </w:r>
            <w:r w:rsidR="007F6814" w:rsidRPr="00B44B19">
              <w:rPr>
                <w:rFonts w:eastAsia="Times New Roman" w:cs="Times New Roman"/>
                <w:iCs/>
                <w:noProof/>
                <w:sz w:val="20"/>
              </w:rPr>
              <w:t xml:space="preserve"> </w:t>
            </w:r>
            <w:r w:rsidR="004D01F2" w:rsidRPr="00B44B19">
              <w:rPr>
                <w:rFonts w:eastAsia="Times New Roman" w:cs="Times New Roman"/>
                <w:iCs/>
                <w:noProof/>
                <w:sz w:val="20"/>
              </w:rPr>
              <w:t>–</w:t>
            </w:r>
            <w:r w:rsidR="007F6814" w:rsidRPr="00B44B19">
              <w:rPr>
                <w:rFonts w:eastAsia="Times New Roman" w:cs="Times New Roman"/>
                <w:iCs/>
                <w:noProof/>
                <w:sz w:val="20"/>
              </w:rPr>
              <w:t xml:space="preserve"> IRT: itin didelio pajėgumo plačiajuosčio ryšio tinklas (prieigos / vietinė linija, kurios efektyvumas lygus optinių skaidulinių kabelių įrenginių iki bazinės stoties, skirtos pažangiam belaidžiam ryšiui užtikrinti, efektyvumui)</w:t>
            </w:r>
          </w:p>
        </w:tc>
        <w:tc>
          <w:tcPr>
            <w:tcW w:w="1417" w:type="dxa"/>
            <w:tcBorders>
              <w:top w:val="single" w:sz="4" w:space="0" w:color="auto"/>
              <w:bottom w:val="single" w:sz="4" w:space="0" w:color="auto"/>
            </w:tcBorders>
          </w:tcPr>
          <w:p w14:paraId="10D8D53A" w14:textId="77777777" w:rsidR="006202A9" w:rsidRPr="00B44B19" w:rsidRDefault="006202A9" w:rsidP="006600EE">
            <w:pPr>
              <w:jc w:val="right"/>
              <w:rPr>
                <w:rFonts w:eastAsia="Times New Roman" w:cs="Times New Roman"/>
                <w:iCs/>
                <w:noProof/>
                <w:sz w:val="20"/>
              </w:rPr>
            </w:pPr>
            <w:r w:rsidRPr="00B44B19">
              <w:rPr>
                <w:rFonts w:eastAsia="Times New Roman" w:cs="Times New Roman"/>
                <w:iCs/>
                <w:noProof/>
                <w:sz w:val="20"/>
              </w:rPr>
              <w:t>290 500,00</w:t>
            </w:r>
          </w:p>
        </w:tc>
      </w:tr>
      <w:tr w:rsidR="006202A9" w:rsidRPr="00B44B19" w14:paraId="68C1FB60" w14:textId="77777777" w:rsidTr="007F6814">
        <w:tc>
          <w:tcPr>
            <w:tcW w:w="1101" w:type="dxa"/>
            <w:vMerge/>
          </w:tcPr>
          <w:p w14:paraId="5A5630FC" w14:textId="77777777" w:rsidR="006202A9" w:rsidRPr="00B44B19" w:rsidRDefault="006202A9" w:rsidP="006600EE">
            <w:pPr>
              <w:rPr>
                <w:rFonts w:eastAsia="Times New Roman" w:cs="Times New Roman"/>
                <w:iCs/>
                <w:noProof/>
                <w:sz w:val="20"/>
              </w:rPr>
            </w:pPr>
          </w:p>
        </w:tc>
        <w:tc>
          <w:tcPr>
            <w:tcW w:w="850" w:type="dxa"/>
            <w:vMerge/>
          </w:tcPr>
          <w:p w14:paraId="37A22331" w14:textId="77777777" w:rsidR="006202A9" w:rsidRPr="00B44B19" w:rsidRDefault="006202A9" w:rsidP="006600EE">
            <w:pPr>
              <w:rPr>
                <w:rFonts w:eastAsia="Times New Roman" w:cs="Times New Roman"/>
                <w:b/>
                <w:iCs/>
                <w:noProof/>
                <w:sz w:val="20"/>
              </w:rPr>
            </w:pPr>
          </w:p>
        </w:tc>
        <w:tc>
          <w:tcPr>
            <w:tcW w:w="1559" w:type="dxa"/>
            <w:tcBorders>
              <w:top w:val="single" w:sz="4" w:space="0" w:color="auto"/>
            </w:tcBorders>
          </w:tcPr>
          <w:p w14:paraId="622CDB00"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6DDA84C9" w14:textId="77777777" w:rsidR="006202A9" w:rsidRPr="00B44B19" w:rsidRDefault="006202A9" w:rsidP="006600EE">
            <w:pPr>
              <w:rPr>
                <w:rFonts w:eastAsia="Times New Roman" w:cs="Times New Roman"/>
                <w:b/>
                <w:iCs/>
                <w:noProof/>
                <w:sz w:val="20"/>
              </w:rPr>
            </w:pPr>
          </w:p>
        </w:tc>
        <w:tc>
          <w:tcPr>
            <w:tcW w:w="3686" w:type="dxa"/>
            <w:vMerge/>
          </w:tcPr>
          <w:p w14:paraId="73250189" w14:textId="77777777" w:rsidR="006202A9" w:rsidRPr="00B44B19" w:rsidRDefault="006202A9" w:rsidP="006600EE">
            <w:pPr>
              <w:rPr>
                <w:rFonts w:eastAsia="Times New Roman" w:cs="Times New Roman"/>
                <w:b/>
                <w:iCs/>
                <w:noProof/>
                <w:sz w:val="20"/>
              </w:rPr>
            </w:pPr>
          </w:p>
        </w:tc>
        <w:tc>
          <w:tcPr>
            <w:tcW w:w="1417" w:type="dxa"/>
            <w:tcBorders>
              <w:top w:val="single" w:sz="4" w:space="0" w:color="auto"/>
            </w:tcBorders>
          </w:tcPr>
          <w:p w14:paraId="6DB8E1F9" w14:textId="77777777" w:rsidR="006202A9" w:rsidRPr="00B44B19" w:rsidRDefault="006202A9" w:rsidP="006600EE">
            <w:pPr>
              <w:jc w:val="right"/>
              <w:rPr>
                <w:rFonts w:eastAsia="Times New Roman" w:cs="Times New Roman"/>
                <w:b/>
                <w:iCs/>
                <w:noProof/>
                <w:sz w:val="20"/>
              </w:rPr>
            </w:pPr>
            <w:r w:rsidRPr="00B44B19">
              <w:rPr>
                <w:rFonts w:eastAsia="Times New Roman" w:cs="Times New Roman"/>
                <w:iCs/>
                <w:noProof/>
                <w:sz w:val="20"/>
              </w:rPr>
              <w:t>5 961 710,00</w:t>
            </w:r>
          </w:p>
        </w:tc>
      </w:tr>
    </w:tbl>
    <w:p w14:paraId="74D57DB2" w14:textId="77777777" w:rsidR="006202A9" w:rsidRPr="00B44B19" w:rsidRDefault="006202A9" w:rsidP="004572AB">
      <w:pPr>
        <w:spacing w:after="0" w:line="240" w:lineRule="auto"/>
        <w:rPr>
          <w:rFonts w:cs="Times New Roman"/>
          <w:sz w:val="20"/>
          <w:szCs w:val="20"/>
        </w:rPr>
      </w:pPr>
    </w:p>
    <w:tbl>
      <w:tblPr>
        <w:tblStyle w:val="Lentelstinklelis"/>
        <w:tblW w:w="0" w:type="auto"/>
        <w:tblLook w:val="04A0" w:firstRow="1" w:lastRow="0" w:firstColumn="1" w:lastColumn="0" w:noHBand="0" w:noVBand="1"/>
      </w:tblPr>
      <w:tblGrid>
        <w:gridCol w:w="1098"/>
        <w:gridCol w:w="850"/>
        <w:gridCol w:w="1540"/>
        <w:gridCol w:w="1134"/>
        <w:gridCol w:w="3571"/>
        <w:gridCol w:w="1415"/>
      </w:tblGrid>
      <w:tr w:rsidR="006202A9" w:rsidRPr="00B44B19" w14:paraId="74788077" w14:textId="77777777"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D43FE1D" w14:textId="77777777" w:rsidR="006202A9" w:rsidRPr="00B44B19" w:rsidRDefault="006202A9" w:rsidP="00417519">
            <w:pPr>
              <w:rPr>
                <w:rFonts w:eastAsia="Times New Roman" w:cs="Times New Roman"/>
                <w:b/>
                <w:iCs/>
                <w:noProof/>
                <w:sz w:val="20"/>
              </w:rPr>
            </w:pPr>
            <w:r w:rsidRPr="00B44B19">
              <w:rPr>
                <w:rFonts w:cs="Times New Roman"/>
                <w:b/>
                <w:noProof/>
                <w:sz w:val="20"/>
              </w:rPr>
              <w:t xml:space="preserve">5 lentelė. 2 matmuo. </w:t>
            </w:r>
            <w:r w:rsidR="00417519" w:rsidRPr="00B44B19">
              <w:rPr>
                <w:rFonts w:cs="Times New Roman"/>
                <w:b/>
                <w:noProof/>
                <w:sz w:val="20"/>
              </w:rPr>
              <w:t xml:space="preserve">Finansavimo </w:t>
            </w:r>
            <w:r w:rsidRPr="00B44B19">
              <w:rPr>
                <w:rFonts w:cs="Times New Roman"/>
                <w:b/>
                <w:noProof/>
                <w:sz w:val="20"/>
              </w:rPr>
              <w:t>forma</w:t>
            </w:r>
          </w:p>
        </w:tc>
      </w:tr>
      <w:tr w:rsidR="006202A9" w:rsidRPr="00B44B19" w14:paraId="66F9C744"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E53E94"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9E9C96"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EA2B1D"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84E4DC" w14:textId="77777777" w:rsidR="006202A9" w:rsidRPr="00B44B19" w:rsidRDefault="006202A9" w:rsidP="00417519">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4C7FEB"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D45CD2"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Suma (EUR)</w:t>
            </w:r>
          </w:p>
        </w:tc>
      </w:tr>
      <w:tr w:rsidR="006202A9" w:rsidRPr="00B44B19" w14:paraId="7D115DBA" w14:textId="77777777" w:rsidTr="007F6814">
        <w:tc>
          <w:tcPr>
            <w:tcW w:w="1101" w:type="dxa"/>
            <w:vMerge w:val="restart"/>
            <w:tcBorders>
              <w:top w:val="single" w:sz="12" w:space="0" w:color="auto"/>
            </w:tcBorders>
          </w:tcPr>
          <w:p w14:paraId="175E79E3"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7.</w:t>
            </w:r>
          </w:p>
        </w:tc>
        <w:tc>
          <w:tcPr>
            <w:tcW w:w="850" w:type="dxa"/>
            <w:vMerge w:val="restart"/>
            <w:tcBorders>
              <w:top w:val="single" w:sz="12" w:space="0" w:color="auto"/>
            </w:tcBorders>
          </w:tcPr>
          <w:p w14:paraId="1E76A872"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ERPF</w:t>
            </w:r>
          </w:p>
        </w:tc>
        <w:tc>
          <w:tcPr>
            <w:tcW w:w="1559" w:type="dxa"/>
            <w:tcBorders>
              <w:top w:val="single" w:sz="12" w:space="0" w:color="auto"/>
              <w:bottom w:val="single" w:sz="4" w:space="0" w:color="auto"/>
            </w:tcBorders>
          </w:tcPr>
          <w:p w14:paraId="4928F2FB"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42FE71A8" w14:textId="77777777" w:rsidR="006202A9" w:rsidRPr="00B44B19" w:rsidRDefault="006202A9" w:rsidP="006600EE">
            <w:pPr>
              <w:jc w:val="center"/>
              <w:rPr>
                <w:rFonts w:eastAsia="Times New Roman" w:cs="Times New Roman"/>
                <w:b/>
                <w:iCs/>
                <w:noProof/>
                <w:sz w:val="20"/>
              </w:rPr>
            </w:pPr>
            <w:r w:rsidRPr="00B44B19">
              <w:rPr>
                <w:rFonts w:eastAsia="Times New Roman" w:cs="Times New Roman"/>
                <w:iCs/>
                <w:noProof/>
                <w:sz w:val="20"/>
              </w:rPr>
              <w:t>7.1</w:t>
            </w:r>
          </w:p>
        </w:tc>
        <w:tc>
          <w:tcPr>
            <w:tcW w:w="3686" w:type="dxa"/>
            <w:vMerge w:val="restart"/>
            <w:tcBorders>
              <w:top w:val="single" w:sz="12" w:space="0" w:color="auto"/>
            </w:tcBorders>
          </w:tcPr>
          <w:p w14:paraId="365B1824" w14:textId="77777777" w:rsidR="006202A9" w:rsidRPr="00B44B19" w:rsidRDefault="006202A9" w:rsidP="007F6814">
            <w:pPr>
              <w:rPr>
                <w:rFonts w:eastAsia="Times New Roman" w:cs="Times New Roman"/>
                <w:iCs/>
                <w:noProof/>
                <w:sz w:val="20"/>
              </w:rPr>
            </w:pPr>
            <w:r w:rsidRPr="00B44B19">
              <w:rPr>
                <w:rFonts w:eastAsia="Times New Roman" w:cs="Times New Roman"/>
                <w:iCs/>
                <w:noProof/>
                <w:sz w:val="20"/>
              </w:rPr>
              <w:t>01</w:t>
            </w:r>
            <w:r w:rsidR="007F6814" w:rsidRPr="00B44B19">
              <w:rPr>
                <w:rFonts w:eastAsia="Times New Roman" w:cs="Times New Roman"/>
                <w:iCs/>
                <w:noProof/>
                <w:sz w:val="20"/>
              </w:rPr>
              <w:t xml:space="preserve"> </w:t>
            </w:r>
            <w:r w:rsidR="004D01F2" w:rsidRPr="00B44B19">
              <w:rPr>
                <w:rFonts w:eastAsia="Times New Roman" w:cs="Times New Roman"/>
                <w:iCs/>
                <w:noProof/>
                <w:sz w:val="20"/>
              </w:rPr>
              <w:t>–</w:t>
            </w:r>
            <w:r w:rsidR="007F6814" w:rsidRPr="00B44B19">
              <w:rPr>
                <w:rFonts w:eastAsia="Times New Roman" w:cs="Times New Roman"/>
                <w:iCs/>
                <w:noProof/>
                <w:sz w:val="20"/>
              </w:rPr>
              <w:t xml:space="preserve"> Dotacija</w:t>
            </w:r>
          </w:p>
        </w:tc>
        <w:tc>
          <w:tcPr>
            <w:tcW w:w="1417" w:type="dxa"/>
            <w:tcBorders>
              <w:top w:val="single" w:sz="12" w:space="0" w:color="auto"/>
              <w:bottom w:val="single" w:sz="4" w:space="0" w:color="auto"/>
            </w:tcBorders>
          </w:tcPr>
          <w:p w14:paraId="5FB9FC4F" w14:textId="77777777" w:rsidR="006202A9" w:rsidRPr="00B44B19" w:rsidRDefault="006202A9" w:rsidP="006600EE">
            <w:pPr>
              <w:jc w:val="right"/>
              <w:rPr>
                <w:rFonts w:eastAsia="Times New Roman" w:cs="Times New Roman"/>
                <w:b/>
                <w:iCs/>
                <w:noProof/>
                <w:sz w:val="20"/>
              </w:rPr>
            </w:pPr>
            <w:r w:rsidRPr="00B44B19">
              <w:rPr>
                <w:rFonts w:eastAsia="Times New Roman" w:cs="Times New Roman"/>
                <w:bCs/>
                <w:iCs/>
                <w:noProof/>
                <w:sz w:val="20"/>
              </w:rPr>
              <w:t>1 169 </w:t>
            </w:r>
            <w:r w:rsidR="00C60A41" w:rsidRPr="00B44B19">
              <w:rPr>
                <w:rFonts w:eastAsia="Times New Roman" w:cs="Times New Roman"/>
                <w:bCs/>
                <w:iCs/>
                <w:noProof/>
                <w:sz w:val="20"/>
              </w:rPr>
              <w:t>901</w:t>
            </w:r>
            <w:r w:rsidRPr="00B44B19">
              <w:rPr>
                <w:rFonts w:eastAsia="Times New Roman" w:cs="Times New Roman"/>
                <w:bCs/>
                <w:iCs/>
                <w:noProof/>
                <w:sz w:val="20"/>
              </w:rPr>
              <w:t>,00</w:t>
            </w:r>
          </w:p>
        </w:tc>
      </w:tr>
      <w:tr w:rsidR="006202A9" w:rsidRPr="00B44B19" w14:paraId="798F3A90" w14:textId="77777777" w:rsidTr="007F6814">
        <w:tc>
          <w:tcPr>
            <w:tcW w:w="1101" w:type="dxa"/>
            <w:vMerge/>
          </w:tcPr>
          <w:p w14:paraId="1E45B284" w14:textId="77777777" w:rsidR="006202A9" w:rsidRPr="00B44B19" w:rsidRDefault="006202A9" w:rsidP="006600EE">
            <w:pPr>
              <w:rPr>
                <w:rFonts w:eastAsia="Times New Roman" w:cs="Times New Roman"/>
                <w:b/>
                <w:iCs/>
                <w:noProof/>
                <w:sz w:val="20"/>
              </w:rPr>
            </w:pPr>
          </w:p>
        </w:tc>
        <w:tc>
          <w:tcPr>
            <w:tcW w:w="850" w:type="dxa"/>
            <w:vMerge/>
          </w:tcPr>
          <w:p w14:paraId="72DE34DC" w14:textId="77777777" w:rsidR="006202A9" w:rsidRPr="00B44B19" w:rsidRDefault="006202A9" w:rsidP="006600EE">
            <w:pPr>
              <w:rPr>
                <w:rFonts w:eastAsia="Times New Roman" w:cs="Times New Roman"/>
                <w:b/>
                <w:iCs/>
                <w:noProof/>
                <w:sz w:val="20"/>
              </w:rPr>
            </w:pPr>
          </w:p>
        </w:tc>
        <w:tc>
          <w:tcPr>
            <w:tcW w:w="1559" w:type="dxa"/>
            <w:tcBorders>
              <w:top w:val="single" w:sz="4" w:space="0" w:color="auto"/>
            </w:tcBorders>
          </w:tcPr>
          <w:p w14:paraId="519EE3FE"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579D5BB7" w14:textId="77777777" w:rsidR="006202A9" w:rsidRPr="00B44B19" w:rsidRDefault="006202A9" w:rsidP="006600EE">
            <w:pPr>
              <w:rPr>
                <w:rFonts w:eastAsia="Times New Roman" w:cs="Times New Roman"/>
                <w:b/>
                <w:iCs/>
                <w:noProof/>
                <w:sz w:val="20"/>
              </w:rPr>
            </w:pPr>
          </w:p>
        </w:tc>
        <w:tc>
          <w:tcPr>
            <w:tcW w:w="3686" w:type="dxa"/>
            <w:vMerge/>
          </w:tcPr>
          <w:p w14:paraId="4AD47085" w14:textId="77777777" w:rsidR="006202A9" w:rsidRPr="00B44B19" w:rsidRDefault="006202A9" w:rsidP="006600EE">
            <w:pPr>
              <w:rPr>
                <w:rFonts w:eastAsia="Times New Roman" w:cs="Times New Roman"/>
                <w:b/>
                <w:iCs/>
                <w:noProof/>
                <w:sz w:val="20"/>
              </w:rPr>
            </w:pPr>
          </w:p>
        </w:tc>
        <w:tc>
          <w:tcPr>
            <w:tcW w:w="1417" w:type="dxa"/>
            <w:tcBorders>
              <w:top w:val="single" w:sz="4" w:space="0" w:color="auto"/>
            </w:tcBorders>
          </w:tcPr>
          <w:p w14:paraId="52ED6D84" w14:textId="77777777" w:rsidR="006202A9" w:rsidRPr="00B44B19" w:rsidRDefault="00C60A41" w:rsidP="006600EE">
            <w:pPr>
              <w:jc w:val="right"/>
              <w:rPr>
                <w:rFonts w:eastAsia="Times New Roman" w:cs="Times New Roman"/>
                <w:iCs/>
                <w:noProof/>
                <w:sz w:val="20"/>
              </w:rPr>
            </w:pPr>
            <w:r w:rsidRPr="00B44B19">
              <w:rPr>
                <w:rFonts w:eastAsia="Times New Roman" w:cs="Times New Roman"/>
                <w:bCs/>
                <w:iCs/>
                <w:noProof/>
                <w:sz w:val="20"/>
              </w:rPr>
              <w:t>23 830 101</w:t>
            </w:r>
            <w:r w:rsidR="006202A9" w:rsidRPr="00B44B19">
              <w:rPr>
                <w:rFonts w:eastAsia="Times New Roman" w:cs="Times New Roman"/>
                <w:bCs/>
                <w:iCs/>
                <w:noProof/>
                <w:sz w:val="20"/>
              </w:rPr>
              <w:t>,00</w:t>
            </w:r>
          </w:p>
        </w:tc>
      </w:tr>
    </w:tbl>
    <w:p w14:paraId="06C6AFCF" w14:textId="77777777" w:rsidR="006202A9" w:rsidRPr="00B44B19" w:rsidRDefault="006202A9" w:rsidP="004572AB">
      <w:pPr>
        <w:spacing w:after="0" w:line="240" w:lineRule="auto"/>
        <w:rPr>
          <w:rFonts w:cs="Times New Roman"/>
          <w:sz w:val="20"/>
          <w:szCs w:val="20"/>
        </w:rPr>
      </w:pPr>
    </w:p>
    <w:tbl>
      <w:tblPr>
        <w:tblStyle w:val="Lentelstinklelis"/>
        <w:tblW w:w="0" w:type="auto"/>
        <w:tblLook w:val="04A0" w:firstRow="1" w:lastRow="0" w:firstColumn="1" w:lastColumn="0" w:noHBand="0" w:noVBand="1"/>
      </w:tblPr>
      <w:tblGrid>
        <w:gridCol w:w="1099"/>
        <w:gridCol w:w="849"/>
        <w:gridCol w:w="1535"/>
        <w:gridCol w:w="1134"/>
        <w:gridCol w:w="3577"/>
        <w:gridCol w:w="1414"/>
      </w:tblGrid>
      <w:tr w:rsidR="006202A9" w:rsidRPr="00B44B19" w14:paraId="0B56E8D5" w14:textId="77777777" w:rsidTr="006600EE">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F5357AB" w14:textId="77777777" w:rsidR="006202A9" w:rsidRPr="00B44B19" w:rsidRDefault="006202A9" w:rsidP="006600EE">
            <w:pPr>
              <w:rPr>
                <w:rFonts w:eastAsia="Times New Roman" w:cs="Times New Roman"/>
                <w:b/>
                <w:iCs/>
                <w:noProof/>
                <w:sz w:val="20"/>
              </w:rPr>
            </w:pPr>
            <w:r w:rsidRPr="00B44B19">
              <w:rPr>
                <w:rFonts w:cs="Times New Roman"/>
                <w:b/>
                <w:noProof/>
                <w:sz w:val="20"/>
              </w:rPr>
              <w:t xml:space="preserve">6 lentelė. 3 matmuo. </w:t>
            </w:r>
            <w:r w:rsidR="0059129E" w:rsidRPr="00B44B19">
              <w:rPr>
                <w:rFonts w:cs="Times New Roman"/>
                <w:b/>
                <w:noProof/>
                <w:sz w:val="20"/>
              </w:rPr>
              <w:t>Teritorinis įgyvendinimo mechanizmas ir pagrindinė teritorinė sritis</w:t>
            </w:r>
          </w:p>
        </w:tc>
      </w:tr>
      <w:tr w:rsidR="006202A9" w:rsidRPr="00B44B19" w14:paraId="557BF3E0" w14:textId="77777777" w:rsidTr="007F681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2EDF37"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35FE6C"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6E4CFA"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BE132" w14:textId="77777777" w:rsidR="006202A9" w:rsidRPr="00B44B19" w:rsidRDefault="006202A9" w:rsidP="00417519">
            <w:pPr>
              <w:jc w:val="center"/>
              <w:rPr>
                <w:rFonts w:eastAsia="Times New Roman" w:cs="Times New Roman"/>
                <w:b/>
                <w:iCs/>
                <w:noProof/>
                <w:sz w:val="20"/>
              </w:rPr>
            </w:pPr>
            <w:r w:rsidRPr="00B44B19">
              <w:rPr>
                <w:rFonts w:cs="Times New Roman"/>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4B14DA"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6BD94B" w14:textId="77777777" w:rsidR="006202A9" w:rsidRPr="00B44B19" w:rsidRDefault="006202A9" w:rsidP="006600EE">
            <w:pPr>
              <w:jc w:val="center"/>
              <w:rPr>
                <w:rFonts w:eastAsia="Times New Roman" w:cs="Times New Roman"/>
                <w:b/>
                <w:iCs/>
                <w:noProof/>
                <w:sz w:val="20"/>
              </w:rPr>
            </w:pPr>
            <w:r w:rsidRPr="00B44B19">
              <w:rPr>
                <w:rFonts w:cs="Times New Roman"/>
                <w:b/>
                <w:noProof/>
                <w:sz w:val="20"/>
              </w:rPr>
              <w:t>Suma (EUR)</w:t>
            </w:r>
          </w:p>
        </w:tc>
      </w:tr>
      <w:tr w:rsidR="006202A9" w:rsidRPr="00B44B19" w14:paraId="2A53954A" w14:textId="77777777" w:rsidTr="007F6814">
        <w:tc>
          <w:tcPr>
            <w:tcW w:w="1101" w:type="dxa"/>
            <w:vMerge w:val="restart"/>
            <w:tcBorders>
              <w:top w:val="single" w:sz="12" w:space="0" w:color="auto"/>
            </w:tcBorders>
          </w:tcPr>
          <w:p w14:paraId="0F47CC38"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7.</w:t>
            </w:r>
          </w:p>
        </w:tc>
        <w:tc>
          <w:tcPr>
            <w:tcW w:w="850" w:type="dxa"/>
            <w:vMerge w:val="restart"/>
            <w:tcBorders>
              <w:top w:val="single" w:sz="12" w:space="0" w:color="auto"/>
            </w:tcBorders>
          </w:tcPr>
          <w:p w14:paraId="50722CC7"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ERPF</w:t>
            </w:r>
          </w:p>
        </w:tc>
        <w:tc>
          <w:tcPr>
            <w:tcW w:w="1559" w:type="dxa"/>
            <w:tcBorders>
              <w:top w:val="single" w:sz="12" w:space="0" w:color="auto"/>
              <w:bottom w:val="single" w:sz="4" w:space="0" w:color="auto"/>
            </w:tcBorders>
          </w:tcPr>
          <w:p w14:paraId="472C9D1E" w14:textId="77777777" w:rsidR="006202A9" w:rsidRPr="00B44B19" w:rsidRDefault="006202A9" w:rsidP="006600EE">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1594650A" w14:textId="77777777" w:rsidR="006202A9" w:rsidRPr="00B44B19" w:rsidRDefault="006202A9" w:rsidP="006600EE">
            <w:pPr>
              <w:jc w:val="center"/>
              <w:rPr>
                <w:rFonts w:eastAsia="Times New Roman" w:cs="Times New Roman"/>
                <w:iCs/>
                <w:noProof/>
                <w:sz w:val="20"/>
              </w:rPr>
            </w:pPr>
            <w:r w:rsidRPr="00B44B19">
              <w:rPr>
                <w:rFonts w:eastAsia="Times New Roman" w:cs="Times New Roman"/>
                <w:iCs/>
                <w:noProof/>
                <w:sz w:val="20"/>
              </w:rPr>
              <w:t>7.1</w:t>
            </w:r>
          </w:p>
        </w:tc>
        <w:tc>
          <w:tcPr>
            <w:tcW w:w="3686" w:type="dxa"/>
            <w:vMerge w:val="restart"/>
            <w:tcBorders>
              <w:top w:val="single" w:sz="12" w:space="0" w:color="auto"/>
            </w:tcBorders>
          </w:tcPr>
          <w:p w14:paraId="78F4DBA3" w14:textId="77777777" w:rsidR="006202A9" w:rsidRPr="00B44B19" w:rsidRDefault="006202A9" w:rsidP="007F6814">
            <w:pPr>
              <w:rPr>
                <w:rFonts w:eastAsia="Times New Roman" w:cs="Times New Roman"/>
                <w:iCs/>
                <w:noProof/>
                <w:sz w:val="20"/>
              </w:rPr>
            </w:pPr>
            <w:r w:rsidRPr="00B44B19">
              <w:rPr>
                <w:rFonts w:eastAsia="Times New Roman" w:cs="Times New Roman"/>
                <w:iCs/>
                <w:noProof/>
                <w:sz w:val="20"/>
              </w:rPr>
              <w:t>33</w:t>
            </w:r>
            <w:r w:rsidR="007F6814" w:rsidRPr="00B44B19">
              <w:rPr>
                <w:rFonts w:eastAsia="Times New Roman" w:cs="Times New Roman"/>
                <w:iCs/>
                <w:noProof/>
                <w:sz w:val="20"/>
              </w:rPr>
              <w:t xml:space="preserve"> </w:t>
            </w:r>
            <w:r w:rsidR="004D01F2" w:rsidRPr="00B44B19">
              <w:rPr>
                <w:rFonts w:eastAsia="Times New Roman" w:cs="Times New Roman"/>
                <w:iCs/>
                <w:noProof/>
                <w:sz w:val="20"/>
              </w:rPr>
              <w:t>–</w:t>
            </w:r>
            <w:r w:rsidR="007F6814" w:rsidRPr="00B44B19">
              <w:rPr>
                <w:rFonts w:eastAsia="Times New Roman" w:cs="Times New Roman"/>
                <w:iCs/>
                <w:noProof/>
                <w:sz w:val="20"/>
              </w:rPr>
              <w:t xml:space="preserve"> Nesiorientuojant į teritoriškumą</w:t>
            </w:r>
          </w:p>
        </w:tc>
        <w:tc>
          <w:tcPr>
            <w:tcW w:w="1417" w:type="dxa"/>
            <w:tcBorders>
              <w:top w:val="single" w:sz="12" w:space="0" w:color="auto"/>
              <w:bottom w:val="single" w:sz="4" w:space="0" w:color="auto"/>
            </w:tcBorders>
          </w:tcPr>
          <w:p w14:paraId="649B0675" w14:textId="77777777" w:rsidR="006202A9" w:rsidRPr="00B44B19" w:rsidRDefault="006202A9" w:rsidP="006600EE">
            <w:pPr>
              <w:jc w:val="right"/>
              <w:rPr>
                <w:rFonts w:eastAsia="Times New Roman" w:cs="Times New Roman"/>
                <w:b/>
                <w:iCs/>
                <w:noProof/>
                <w:sz w:val="20"/>
              </w:rPr>
            </w:pPr>
            <w:r w:rsidRPr="00B44B19">
              <w:rPr>
                <w:rFonts w:eastAsia="Times New Roman" w:cs="Times New Roman"/>
                <w:bCs/>
                <w:iCs/>
                <w:noProof/>
                <w:sz w:val="20"/>
              </w:rPr>
              <w:t>1 169 </w:t>
            </w:r>
            <w:r w:rsidR="00C60A41" w:rsidRPr="00B44B19">
              <w:rPr>
                <w:rFonts w:eastAsia="Times New Roman" w:cs="Times New Roman"/>
                <w:bCs/>
                <w:iCs/>
                <w:noProof/>
                <w:sz w:val="20"/>
              </w:rPr>
              <w:t>901</w:t>
            </w:r>
            <w:r w:rsidRPr="00B44B19">
              <w:rPr>
                <w:rFonts w:eastAsia="Times New Roman" w:cs="Times New Roman"/>
                <w:bCs/>
                <w:iCs/>
                <w:noProof/>
                <w:sz w:val="20"/>
              </w:rPr>
              <w:t>,00</w:t>
            </w:r>
          </w:p>
        </w:tc>
      </w:tr>
      <w:tr w:rsidR="006202A9" w:rsidRPr="00B44B19" w14:paraId="3A60C18D" w14:textId="77777777" w:rsidTr="007F6814">
        <w:tc>
          <w:tcPr>
            <w:tcW w:w="1101" w:type="dxa"/>
            <w:vMerge/>
          </w:tcPr>
          <w:p w14:paraId="6393091A" w14:textId="77777777" w:rsidR="006202A9" w:rsidRPr="00B44B19" w:rsidRDefault="006202A9" w:rsidP="006600EE">
            <w:pPr>
              <w:rPr>
                <w:rFonts w:eastAsia="Times New Roman" w:cs="Times New Roman"/>
                <w:b/>
                <w:iCs/>
                <w:noProof/>
                <w:sz w:val="20"/>
              </w:rPr>
            </w:pPr>
          </w:p>
        </w:tc>
        <w:tc>
          <w:tcPr>
            <w:tcW w:w="850" w:type="dxa"/>
            <w:vMerge/>
          </w:tcPr>
          <w:p w14:paraId="1AD126C1" w14:textId="77777777" w:rsidR="006202A9" w:rsidRPr="00B44B19" w:rsidRDefault="006202A9" w:rsidP="006600EE">
            <w:pPr>
              <w:rPr>
                <w:rFonts w:eastAsia="Times New Roman" w:cs="Times New Roman"/>
                <w:b/>
                <w:iCs/>
                <w:noProof/>
                <w:sz w:val="20"/>
              </w:rPr>
            </w:pPr>
          </w:p>
        </w:tc>
        <w:tc>
          <w:tcPr>
            <w:tcW w:w="1559" w:type="dxa"/>
            <w:tcBorders>
              <w:top w:val="single" w:sz="4" w:space="0" w:color="auto"/>
            </w:tcBorders>
          </w:tcPr>
          <w:p w14:paraId="64C87AB3" w14:textId="77777777" w:rsidR="006202A9" w:rsidRPr="00B44B19" w:rsidRDefault="006202A9" w:rsidP="006600EE">
            <w:pPr>
              <w:rPr>
                <w:rFonts w:eastAsia="Times New Roman" w:cs="Times New Roman"/>
                <w:b/>
                <w:iCs/>
                <w:noProof/>
                <w:sz w:val="20"/>
              </w:rPr>
            </w:pPr>
            <w:r w:rsidRPr="00B44B19">
              <w:rPr>
                <w:rFonts w:eastAsia="Times New Roman" w:cs="Times New Roman"/>
                <w:iCs/>
                <w:noProof/>
                <w:sz w:val="20"/>
              </w:rPr>
              <w:t>VVL regionas</w:t>
            </w:r>
          </w:p>
        </w:tc>
        <w:tc>
          <w:tcPr>
            <w:tcW w:w="1134" w:type="dxa"/>
            <w:vMerge/>
          </w:tcPr>
          <w:p w14:paraId="7A1814E4" w14:textId="77777777" w:rsidR="006202A9" w:rsidRPr="00B44B19" w:rsidRDefault="006202A9" w:rsidP="006600EE">
            <w:pPr>
              <w:rPr>
                <w:rFonts w:eastAsia="Times New Roman" w:cs="Times New Roman"/>
                <w:b/>
                <w:iCs/>
                <w:noProof/>
                <w:sz w:val="20"/>
              </w:rPr>
            </w:pPr>
          </w:p>
        </w:tc>
        <w:tc>
          <w:tcPr>
            <w:tcW w:w="3686" w:type="dxa"/>
            <w:vMerge/>
          </w:tcPr>
          <w:p w14:paraId="08E6764D" w14:textId="77777777" w:rsidR="006202A9" w:rsidRPr="00B44B19" w:rsidRDefault="006202A9" w:rsidP="006600EE">
            <w:pPr>
              <w:jc w:val="center"/>
              <w:rPr>
                <w:rFonts w:eastAsia="Times New Roman" w:cs="Times New Roman"/>
                <w:b/>
                <w:iCs/>
                <w:noProof/>
                <w:sz w:val="20"/>
              </w:rPr>
            </w:pPr>
          </w:p>
        </w:tc>
        <w:tc>
          <w:tcPr>
            <w:tcW w:w="1417" w:type="dxa"/>
            <w:tcBorders>
              <w:top w:val="single" w:sz="4" w:space="0" w:color="auto"/>
            </w:tcBorders>
          </w:tcPr>
          <w:p w14:paraId="0C552B09" w14:textId="77777777" w:rsidR="006202A9" w:rsidRPr="00B44B19" w:rsidRDefault="00C60A41" w:rsidP="006600EE">
            <w:pPr>
              <w:jc w:val="right"/>
              <w:rPr>
                <w:rFonts w:eastAsia="Times New Roman" w:cs="Times New Roman"/>
                <w:iCs/>
                <w:noProof/>
                <w:sz w:val="20"/>
              </w:rPr>
            </w:pPr>
            <w:r w:rsidRPr="00B44B19">
              <w:rPr>
                <w:rFonts w:eastAsia="Times New Roman" w:cs="Times New Roman"/>
                <w:bCs/>
                <w:iCs/>
                <w:noProof/>
                <w:sz w:val="20"/>
              </w:rPr>
              <w:t>23 830 101</w:t>
            </w:r>
            <w:r w:rsidR="006202A9" w:rsidRPr="00B44B19">
              <w:rPr>
                <w:rFonts w:eastAsia="Times New Roman" w:cs="Times New Roman"/>
                <w:bCs/>
                <w:iCs/>
                <w:noProof/>
                <w:sz w:val="20"/>
              </w:rPr>
              <w:t>,00</w:t>
            </w:r>
          </w:p>
        </w:tc>
      </w:tr>
    </w:tbl>
    <w:p w14:paraId="2CEE0A6D" w14:textId="77777777" w:rsidR="00AD6710" w:rsidRPr="00B44B19" w:rsidRDefault="00AD6710" w:rsidP="004572AB">
      <w:pPr>
        <w:spacing w:after="0" w:line="240" w:lineRule="auto"/>
        <w:rPr>
          <w:rFonts w:cs="Times New Roman"/>
          <w:bCs/>
          <w:sz w:val="20"/>
          <w:szCs w:val="20"/>
        </w:rPr>
      </w:pPr>
    </w:p>
    <w:tbl>
      <w:tblPr>
        <w:tblStyle w:val="Lentelstinklelis17"/>
        <w:tblW w:w="0" w:type="auto"/>
        <w:tblLook w:val="04A0" w:firstRow="1" w:lastRow="0" w:firstColumn="1" w:lastColumn="0" w:noHBand="0" w:noVBand="1"/>
      </w:tblPr>
      <w:tblGrid>
        <w:gridCol w:w="1098"/>
        <w:gridCol w:w="849"/>
        <w:gridCol w:w="1538"/>
        <w:gridCol w:w="1134"/>
        <w:gridCol w:w="3574"/>
        <w:gridCol w:w="1415"/>
      </w:tblGrid>
      <w:tr w:rsidR="009323E8" w:rsidRPr="00B44B19" w14:paraId="4269F956" w14:textId="77777777" w:rsidTr="005C3FAC">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12C706" w14:textId="77777777" w:rsidR="009323E8" w:rsidRPr="00B44B19" w:rsidRDefault="009323E8" w:rsidP="009323E8">
            <w:pPr>
              <w:rPr>
                <w:b/>
                <w:iCs/>
                <w:noProof/>
                <w:sz w:val="20"/>
              </w:rPr>
            </w:pPr>
            <w:r w:rsidRPr="00B44B19">
              <w:rPr>
                <w:b/>
                <w:noProof/>
                <w:sz w:val="20"/>
              </w:rPr>
              <w:t xml:space="preserve">7 lentelė. </w:t>
            </w:r>
            <w:r w:rsidRPr="00B44B19">
              <w:rPr>
                <w:b/>
                <w:bCs/>
                <w:color w:val="000000"/>
                <w:sz w:val="20"/>
                <w:szCs w:val="20"/>
              </w:rPr>
              <w:t>7 matmuo. ESF+, ERPF, S</w:t>
            </w:r>
            <w:r w:rsidR="004D01F2" w:rsidRPr="00B44B19">
              <w:rPr>
                <w:b/>
                <w:bCs/>
                <w:color w:val="000000"/>
                <w:sz w:val="20"/>
                <w:szCs w:val="20"/>
              </w:rPr>
              <w:t>a</w:t>
            </w:r>
            <w:r w:rsidRPr="00B44B19">
              <w:rPr>
                <w:b/>
                <w:bCs/>
                <w:color w:val="000000"/>
                <w:sz w:val="20"/>
                <w:szCs w:val="20"/>
              </w:rPr>
              <w:t>F ir TPF lyčių lygybės matmuo</w:t>
            </w:r>
          </w:p>
        </w:tc>
      </w:tr>
      <w:tr w:rsidR="009323E8" w:rsidRPr="00B44B19" w14:paraId="2D035D89" w14:textId="77777777" w:rsidTr="005C3FAC">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8F2F02" w14:textId="77777777" w:rsidR="009323E8" w:rsidRPr="00B44B19" w:rsidRDefault="009323E8" w:rsidP="009323E8">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0B469A" w14:textId="77777777" w:rsidR="009323E8" w:rsidRPr="00B44B19" w:rsidRDefault="009323E8" w:rsidP="009323E8">
            <w:pPr>
              <w:jc w:val="center"/>
              <w:rPr>
                <w:b/>
                <w:iCs/>
                <w:noProof/>
                <w:sz w:val="20"/>
              </w:rPr>
            </w:pPr>
            <w:r w:rsidRPr="00B44B19">
              <w:rPr>
                <w:b/>
                <w:noProof/>
                <w:sz w:val="20"/>
              </w:rPr>
              <w:t>Fondas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A06AEC" w14:textId="77777777" w:rsidR="009323E8" w:rsidRPr="00B44B19" w:rsidRDefault="009323E8" w:rsidP="009323E8">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32A5A5" w14:textId="77777777" w:rsidR="009323E8" w:rsidRPr="00B44B19" w:rsidRDefault="009323E8" w:rsidP="00417519">
            <w:pPr>
              <w:jc w:val="center"/>
              <w:rPr>
                <w:b/>
                <w:iCs/>
                <w:noProof/>
                <w:sz w:val="20"/>
              </w:rPr>
            </w:pPr>
            <w:r w:rsidRPr="00B44B19">
              <w:rPr>
                <w:b/>
                <w:noProof/>
                <w:sz w:val="20"/>
              </w:rPr>
              <w:t>Konkretus uždavinys</w:t>
            </w:r>
          </w:p>
        </w:tc>
        <w:tc>
          <w:tcPr>
            <w:tcW w:w="368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09707A" w14:textId="77777777" w:rsidR="009323E8" w:rsidRPr="00B44B19" w:rsidRDefault="009323E8" w:rsidP="009323E8">
            <w:pPr>
              <w:jc w:val="center"/>
              <w:rPr>
                <w:b/>
                <w:iCs/>
                <w:noProof/>
                <w:sz w:val="20"/>
              </w:rPr>
            </w:pPr>
            <w:r w:rsidRPr="00B44B19">
              <w:rPr>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2CC161" w14:textId="77777777" w:rsidR="009323E8" w:rsidRPr="00B44B19" w:rsidRDefault="009323E8" w:rsidP="009323E8">
            <w:pPr>
              <w:jc w:val="center"/>
              <w:rPr>
                <w:b/>
                <w:iCs/>
                <w:noProof/>
                <w:sz w:val="20"/>
              </w:rPr>
            </w:pPr>
            <w:r w:rsidRPr="00B44B19">
              <w:rPr>
                <w:b/>
                <w:noProof/>
                <w:sz w:val="20"/>
              </w:rPr>
              <w:t>Suma (EUR)</w:t>
            </w:r>
          </w:p>
        </w:tc>
      </w:tr>
      <w:tr w:rsidR="009323E8" w:rsidRPr="00B44B19" w14:paraId="1F26FF52" w14:textId="77777777" w:rsidTr="005C3FAC">
        <w:tc>
          <w:tcPr>
            <w:tcW w:w="1101" w:type="dxa"/>
            <w:vMerge w:val="restart"/>
            <w:tcBorders>
              <w:top w:val="single" w:sz="12" w:space="0" w:color="auto"/>
            </w:tcBorders>
          </w:tcPr>
          <w:p w14:paraId="75282C8E" w14:textId="77777777" w:rsidR="009323E8" w:rsidRPr="00B44B19" w:rsidRDefault="009323E8" w:rsidP="009323E8">
            <w:pPr>
              <w:jc w:val="center"/>
              <w:rPr>
                <w:iCs/>
                <w:noProof/>
                <w:sz w:val="20"/>
              </w:rPr>
            </w:pPr>
            <w:r w:rsidRPr="00B44B19">
              <w:rPr>
                <w:iCs/>
                <w:noProof/>
                <w:sz w:val="20"/>
              </w:rPr>
              <w:t>7.</w:t>
            </w:r>
          </w:p>
        </w:tc>
        <w:tc>
          <w:tcPr>
            <w:tcW w:w="850" w:type="dxa"/>
            <w:vMerge w:val="restart"/>
            <w:tcBorders>
              <w:top w:val="single" w:sz="12" w:space="0" w:color="auto"/>
            </w:tcBorders>
          </w:tcPr>
          <w:p w14:paraId="21423C7C" w14:textId="77777777" w:rsidR="009323E8" w:rsidRPr="00B44B19" w:rsidRDefault="009323E8" w:rsidP="009323E8">
            <w:pPr>
              <w:jc w:val="center"/>
              <w:rPr>
                <w:iCs/>
                <w:noProof/>
                <w:sz w:val="20"/>
              </w:rPr>
            </w:pPr>
            <w:r w:rsidRPr="00B44B19">
              <w:rPr>
                <w:iCs/>
                <w:noProof/>
                <w:sz w:val="20"/>
              </w:rPr>
              <w:t>ERPF</w:t>
            </w:r>
          </w:p>
        </w:tc>
        <w:tc>
          <w:tcPr>
            <w:tcW w:w="1559" w:type="dxa"/>
            <w:tcBorders>
              <w:top w:val="single" w:sz="12" w:space="0" w:color="auto"/>
            </w:tcBorders>
          </w:tcPr>
          <w:p w14:paraId="05172AB5" w14:textId="77777777" w:rsidR="009323E8" w:rsidRPr="00B44B19" w:rsidRDefault="009323E8" w:rsidP="009323E8">
            <w:pPr>
              <w:rPr>
                <w:iCs/>
                <w:noProof/>
                <w:sz w:val="20"/>
              </w:rPr>
            </w:pPr>
            <w:r w:rsidRPr="00B44B19">
              <w:rPr>
                <w:iCs/>
                <w:noProof/>
                <w:sz w:val="20"/>
              </w:rPr>
              <w:t>Sostinės regionas</w:t>
            </w:r>
          </w:p>
        </w:tc>
        <w:tc>
          <w:tcPr>
            <w:tcW w:w="1134" w:type="dxa"/>
            <w:vMerge w:val="restart"/>
            <w:tcBorders>
              <w:top w:val="single" w:sz="12" w:space="0" w:color="auto"/>
            </w:tcBorders>
          </w:tcPr>
          <w:p w14:paraId="64CE0412" w14:textId="77777777" w:rsidR="009323E8" w:rsidRPr="00B44B19" w:rsidRDefault="009323E8" w:rsidP="009323E8">
            <w:pPr>
              <w:jc w:val="center"/>
              <w:rPr>
                <w:iCs/>
                <w:noProof/>
                <w:sz w:val="20"/>
              </w:rPr>
            </w:pPr>
            <w:r w:rsidRPr="00B44B19">
              <w:rPr>
                <w:iCs/>
                <w:noProof/>
                <w:sz w:val="20"/>
              </w:rPr>
              <w:t>7.1</w:t>
            </w:r>
          </w:p>
        </w:tc>
        <w:tc>
          <w:tcPr>
            <w:tcW w:w="3686" w:type="dxa"/>
            <w:vMerge w:val="restart"/>
            <w:tcBorders>
              <w:top w:val="single" w:sz="12" w:space="0" w:color="auto"/>
            </w:tcBorders>
          </w:tcPr>
          <w:p w14:paraId="4E7F07B8" w14:textId="77777777" w:rsidR="009323E8" w:rsidRPr="00B44B19" w:rsidRDefault="009323E8" w:rsidP="009323E8">
            <w:pPr>
              <w:rPr>
                <w:iCs/>
                <w:noProof/>
                <w:sz w:val="20"/>
              </w:rPr>
            </w:pPr>
            <w:r w:rsidRPr="00B44B19">
              <w:rPr>
                <w:color w:val="000000"/>
                <w:sz w:val="20"/>
                <w:szCs w:val="20"/>
              </w:rPr>
              <w:t xml:space="preserve">03 </w:t>
            </w:r>
            <w:r w:rsidR="004D01F2" w:rsidRPr="00B44B19">
              <w:rPr>
                <w:color w:val="000000"/>
                <w:sz w:val="20"/>
                <w:szCs w:val="20"/>
              </w:rPr>
              <w:t>–</w:t>
            </w:r>
            <w:r w:rsidRPr="00B44B19">
              <w:rPr>
                <w:color w:val="000000"/>
                <w:sz w:val="20"/>
                <w:szCs w:val="20"/>
              </w:rPr>
              <w:t xml:space="preserve"> Neutralumas lyties požiūriu</w:t>
            </w:r>
          </w:p>
        </w:tc>
        <w:tc>
          <w:tcPr>
            <w:tcW w:w="1417" w:type="dxa"/>
            <w:tcBorders>
              <w:top w:val="single" w:sz="12" w:space="0" w:color="auto"/>
            </w:tcBorders>
          </w:tcPr>
          <w:p w14:paraId="7A580E3C" w14:textId="77777777" w:rsidR="009323E8" w:rsidRPr="00B44B19" w:rsidRDefault="00C60A41" w:rsidP="009323E8">
            <w:pPr>
              <w:jc w:val="right"/>
              <w:rPr>
                <w:b/>
                <w:iCs/>
                <w:noProof/>
                <w:sz w:val="20"/>
              </w:rPr>
            </w:pPr>
            <w:r w:rsidRPr="00B44B19">
              <w:rPr>
                <w:bCs/>
                <w:iCs/>
                <w:noProof/>
                <w:sz w:val="20"/>
              </w:rPr>
              <w:t>1 169 901</w:t>
            </w:r>
            <w:r w:rsidR="009323E8" w:rsidRPr="00B44B19">
              <w:rPr>
                <w:bCs/>
                <w:iCs/>
                <w:noProof/>
                <w:sz w:val="20"/>
              </w:rPr>
              <w:t>,00</w:t>
            </w:r>
          </w:p>
        </w:tc>
      </w:tr>
      <w:tr w:rsidR="009323E8" w:rsidRPr="00B44B19" w14:paraId="057F22F0" w14:textId="77777777" w:rsidTr="005C3FAC">
        <w:tc>
          <w:tcPr>
            <w:tcW w:w="1101" w:type="dxa"/>
            <w:vMerge/>
          </w:tcPr>
          <w:p w14:paraId="361DB971" w14:textId="77777777" w:rsidR="009323E8" w:rsidRPr="00B44B19" w:rsidRDefault="009323E8" w:rsidP="009323E8">
            <w:pPr>
              <w:rPr>
                <w:b/>
                <w:iCs/>
                <w:noProof/>
                <w:sz w:val="20"/>
              </w:rPr>
            </w:pPr>
          </w:p>
        </w:tc>
        <w:tc>
          <w:tcPr>
            <w:tcW w:w="850" w:type="dxa"/>
            <w:vMerge/>
          </w:tcPr>
          <w:p w14:paraId="2D5FF6EC" w14:textId="77777777" w:rsidR="009323E8" w:rsidRPr="00B44B19" w:rsidRDefault="009323E8" w:rsidP="009323E8">
            <w:pPr>
              <w:rPr>
                <w:b/>
                <w:iCs/>
                <w:noProof/>
                <w:sz w:val="20"/>
              </w:rPr>
            </w:pPr>
          </w:p>
        </w:tc>
        <w:tc>
          <w:tcPr>
            <w:tcW w:w="1559" w:type="dxa"/>
          </w:tcPr>
          <w:p w14:paraId="55909187" w14:textId="77777777" w:rsidR="009323E8" w:rsidRPr="00B44B19" w:rsidRDefault="009323E8" w:rsidP="009323E8">
            <w:pPr>
              <w:rPr>
                <w:b/>
                <w:iCs/>
                <w:noProof/>
                <w:sz w:val="20"/>
              </w:rPr>
            </w:pPr>
            <w:r w:rsidRPr="00B44B19">
              <w:rPr>
                <w:iCs/>
                <w:noProof/>
                <w:sz w:val="20"/>
              </w:rPr>
              <w:t>VVL regionas</w:t>
            </w:r>
          </w:p>
        </w:tc>
        <w:tc>
          <w:tcPr>
            <w:tcW w:w="1134" w:type="dxa"/>
            <w:vMerge/>
          </w:tcPr>
          <w:p w14:paraId="262BC10F" w14:textId="77777777" w:rsidR="009323E8" w:rsidRPr="00B44B19" w:rsidRDefault="009323E8" w:rsidP="009323E8">
            <w:pPr>
              <w:rPr>
                <w:b/>
                <w:iCs/>
                <w:noProof/>
                <w:sz w:val="20"/>
              </w:rPr>
            </w:pPr>
          </w:p>
        </w:tc>
        <w:tc>
          <w:tcPr>
            <w:tcW w:w="3686" w:type="dxa"/>
            <w:vMerge/>
          </w:tcPr>
          <w:p w14:paraId="779A2E31" w14:textId="77777777" w:rsidR="009323E8" w:rsidRPr="00B44B19" w:rsidRDefault="009323E8" w:rsidP="009323E8">
            <w:pPr>
              <w:jc w:val="center"/>
              <w:rPr>
                <w:b/>
                <w:iCs/>
                <w:noProof/>
                <w:sz w:val="20"/>
              </w:rPr>
            </w:pPr>
          </w:p>
        </w:tc>
        <w:tc>
          <w:tcPr>
            <w:tcW w:w="1417" w:type="dxa"/>
          </w:tcPr>
          <w:p w14:paraId="70EB1485" w14:textId="77777777" w:rsidR="009323E8" w:rsidRPr="00B44B19" w:rsidRDefault="00C60A41" w:rsidP="009323E8">
            <w:pPr>
              <w:jc w:val="right"/>
              <w:rPr>
                <w:iCs/>
                <w:noProof/>
                <w:sz w:val="20"/>
              </w:rPr>
            </w:pPr>
            <w:r w:rsidRPr="00B44B19">
              <w:rPr>
                <w:bCs/>
                <w:iCs/>
                <w:noProof/>
                <w:sz w:val="20"/>
              </w:rPr>
              <w:t>23 830 101</w:t>
            </w:r>
            <w:r w:rsidR="009323E8" w:rsidRPr="00B44B19">
              <w:rPr>
                <w:bCs/>
                <w:iCs/>
                <w:noProof/>
                <w:sz w:val="20"/>
              </w:rPr>
              <w:t>,00</w:t>
            </w:r>
          </w:p>
        </w:tc>
      </w:tr>
    </w:tbl>
    <w:p w14:paraId="796C04F6" w14:textId="77777777" w:rsidR="005276DA" w:rsidRPr="00B44B19" w:rsidRDefault="005276DA">
      <w:pPr>
        <w:rPr>
          <w:rFonts w:cs="Times New Roman"/>
          <w:b/>
          <w:bCs/>
          <w:sz w:val="28"/>
          <w:szCs w:val="28"/>
        </w:rPr>
      </w:pPr>
      <w:r w:rsidRPr="00B44B19">
        <w:rPr>
          <w:rFonts w:cs="Times New Roman"/>
          <w:b/>
          <w:bCs/>
          <w:sz w:val="28"/>
          <w:szCs w:val="28"/>
        </w:rPr>
        <w:br w:type="page"/>
      </w:r>
    </w:p>
    <w:p w14:paraId="40073EEA" w14:textId="77777777" w:rsidR="005276DA" w:rsidRPr="00B44B19" w:rsidRDefault="005276DA" w:rsidP="00D456C1">
      <w:pPr>
        <w:pStyle w:val="Antrat1"/>
      </w:pPr>
      <w:bookmarkStart w:id="67" w:name="_Toc223435443"/>
      <w:r w:rsidRPr="00B44B19">
        <w:lastRenderedPageBreak/>
        <w:t>8</w:t>
      </w:r>
      <w:r w:rsidR="004D01F2" w:rsidRPr="00B44B19">
        <w:t>.</w:t>
      </w:r>
      <w:r w:rsidRPr="00B44B19">
        <w:t xml:space="preserve"> Specialus prioritetas. </w:t>
      </w:r>
      <w:r w:rsidR="00F63D51" w:rsidRPr="00B44B19">
        <w:t>Tvarus judumas miestuose</w:t>
      </w:r>
      <w:bookmarkEnd w:id="67"/>
    </w:p>
    <w:p w14:paraId="7105600F" w14:textId="0EE492FF" w:rsidR="005276DA" w:rsidRPr="00B44B19" w:rsidRDefault="005276DA" w:rsidP="00D456C1">
      <w:pPr>
        <w:pStyle w:val="Antrat2"/>
      </w:pPr>
      <w:bookmarkStart w:id="68" w:name="_Toc223435444"/>
      <w:r w:rsidRPr="00B44B19">
        <w:t xml:space="preserve">Konkretus uždavinys – 8.1. </w:t>
      </w:r>
      <w:r w:rsidR="00276FB2" w:rsidRPr="00B44B19">
        <w:rPr>
          <w:lang w:bidi="lt-LT"/>
        </w:rPr>
        <w:t>Skatinti tvarų daugiarūšį judumą miestuose kaip vieną iš perėjimo prie nulinio anglies dioksido kiekio technologijų ekonomikos dalių</w:t>
      </w:r>
      <w:bookmarkEnd w:id="68"/>
    </w:p>
    <w:p w14:paraId="76432378" w14:textId="77777777" w:rsidR="00316179" w:rsidRPr="00B44B19" w:rsidRDefault="00316179" w:rsidP="00C34645">
      <w:pPr>
        <w:pStyle w:val="Stilius1"/>
        <w:rPr>
          <w:rFonts w:cs="Times New Roman"/>
        </w:rPr>
      </w:pPr>
      <w:r w:rsidRPr="00B44B19">
        <w:rPr>
          <w:rFonts w:cs="Times New Roman"/>
        </w:rPr>
        <w:t>Įgyvendinamos veiklos</w:t>
      </w:r>
    </w:p>
    <w:tbl>
      <w:tblPr>
        <w:tblStyle w:val="Lentelstinklelis2"/>
        <w:tblW w:w="9634" w:type="dxa"/>
        <w:tblLook w:val="04A0" w:firstRow="1" w:lastRow="0" w:firstColumn="1" w:lastColumn="0" w:noHBand="0" w:noVBand="1"/>
      </w:tblPr>
      <w:tblGrid>
        <w:gridCol w:w="9634"/>
      </w:tblGrid>
      <w:tr w:rsidR="00316179" w:rsidRPr="00B44B19" w14:paraId="517C5BFD" w14:textId="77777777" w:rsidTr="00265B36">
        <w:trPr>
          <w:trHeight w:val="283"/>
        </w:trPr>
        <w:tc>
          <w:tcPr>
            <w:tcW w:w="9634" w:type="dxa"/>
          </w:tcPr>
          <w:p w14:paraId="08B4B4E6" w14:textId="77146814" w:rsidR="00AB6D07" w:rsidRPr="00B44B19" w:rsidRDefault="00AB6D07" w:rsidP="00E67E5C">
            <w:pPr>
              <w:tabs>
                <w:tab w:val="left" w:pos="142"/>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L</w:t>
            </w:r>
            <w:r w:rsidR="00FC21EE" w:rsidRPr="00B44B19">
              <w:rPr>
                <w:rFonts w:ascii="Times New Roman" w:eastAsia="Times New Roman" w:hAnsi="Times New Roman" w:cs="Times New Roman"/>
                <w:bCs/>
              </w:rPr>
              <w:t>TIPP</w:t>
            </w:r>
            <w:r w:rsidRPr="00B44B19">
              <w:rPr>
                <w:rFonts w:ascii="Times New Roman" w:eastAsia="Times New Roman" w:hAnsi="Times New Roman" w:cs="Times New Roman"/>
                <w:bCs/>
              </w:rPr>
              <w:t xml:space="preserve"> </w:t>
            </w:r>
            <w:r w:rsidR="004D01F2" w:rsidRPr="00B44B19">
              <w:rPr>
                <w:rFonts w:ascii="Times New Roman" w:eastAsia="Times New Roman" w:hAnsi="Times New Roman" w:cs="Times New Roman"/>
                <w:bCs/>
              </w:rPr>
              <w:t xml:space="preserve">analizėje prognozuojama, kad </w:t>
            </w:r>
            <w:r w:rsidRPr="00B44B19">
              <w:rPr>
                <w:rFonts w:ascii="Times New Roman" w:eastAsia="Times New Roman" w:hAnsi="Times New Roman" w:cs="Times New Roman"/>
                <w:bCs/>
              </w:rPr>
              <w:t xml:space="preserve">bendras vietinio susisiekimo keleivių ir krovinių skaičius Lietuvoje toliau augs. Tai galima sieti su </w:t>
            </w:r>
            <w:r w:rsidR="004D01F2" w:rsidRPr="00B44B19">
              <w:rPr>
                <w:rFonts w:ascii="Times New Roman" w:eastAsia="Times New Roman" w:hAnsi="Times New Roman" w:cs="Times New Roman"/>
                <w:bCs/>
              </w:rPr>
              <w:t>gerėjančia šalies ekonomikos plėtra ir urbanizacija</w:t>
            </w:r>
            <w:r w:rsidRPr="00B44B19">
              <w:rPr>
                <w:rFonts w:ascii="Times New Roman" w:eastAsia="Times New Roman" w:hAnsi="Times New Roman" w:cs="Times New Roman"/>
                <w:bCs/>
              </w:rPr>
              <w:t xml:space="preserve">. Atsižvelgiant į augančius keleivių ir krovinių srautus, didėjančias eismo spūstis, oro </w:t>
            </w:r>
            <w:r w:rsidR="008D1E62" w:rsidRPr="00B44B19">
              <w:rPr>
                <w:rFonts w:ascii="Times New Roman" w:eastAsia="Times New Roman" w:hAnsi="Times New Roman" w:cs="Times New Roman"/>
                <w:bCs/>
              </w:rPr>
              <w:t xml:space="preserve">užterštumą ir tai, kad </w:t>
            </w:r>
            <w:r w:rsidRPr="00B44B19">
              <w:rPr>
                <w:rFonts w:ascii="Times New Roman" w:eastAsia="Times New Roman" w:hAnsi="Times New Roman" w:cs="Times New Roman"/>
                <w:bCs/>
              </w:rPr>
              <w:t>Lietuvoje transporto sektoriui tenka beveik 40</w:t>
            </w:r>
            <w:r w:rsidR="004572AB" w:rsidRPr="00B44B19">
              <w:rPr>
                <w:rFonts w:ascii="Times New Roman" w:eastAsia="Times New Roman" w:hAnsi="Times New Roman" w:cs="Times New Roman"/>
                <w:bCs/>
              </w:rPr>
              <w:t> </w:t>
            </w:r>
            <w:r w:rsidRPr="00B44B19">
              <w:rPr>
                <w:rFonts w:ascii="Times New Roman" w:eastAsia="Times New Roman" w:hAnsi="Times New Roman" w:cs="Times New Roman"/>
                <w:bCs/>
              </w:rPr>
              <w:t xml:space="preserve">% viso išmetamo ŠESD </w:t>
            </w:r>
            <w:r w:rsidR="00D25B0B" w:rsidRPr="00B44B19">
              <w:rPr>
                <w:rFonts w:ascii="Times New Roman" w:eastAsia="Times New Roman" w:hAnsi="Times New Roman" w:cs="Times New Roman"/>
                <w:bCs/>
              </w:rPr>
              <w:t>kiekio, siekiant Europos</w:t>
            </w:r>
            <w:r w:rsidRPr="00B44B19">
              <w:rPr>
                <w:rFonts w:ascii="Times New Roman" w:eastAsia="Times New Roman" w:hAnsi="Times New Roman" w:cs="Times New Roman"/>
                <w:bCs/>
              </w:rPr>
              <w:t xml:space="preserve"> žaliojo kurso tikslų, šaliai būtina imtis skubių veiksmų </w:t>
            </w:r>
            <w:r w:rsidR="008D1E62" w:rsidRPr="00B44B19">
              <w:rPr>
                <w:rFonts w:ascii="Times New Roman" w:eastAsia="Times New Roman" w:hAnsi="Times New Roman" w:cs="Times New Roman"/>
                <w:bCs/>
              </w:rPr>
              <w:t>plėtojant</w:t>
            </w:r>
            <w:r w:rsidRPr="00B44B19">
              <w:rPr>
                <w:rFonts w:ascii="Times New Roman" w:eastAsia="Times New Roman" w:hAnsi="Times New Roman" w:cs="Times New Roman"/>
                <w:bCs/>
              </w:rPr>
              <w:t xml:space="preserve"> darnų miestų </w:t>
            </w:r>
            <w:r w:rsidR="00D25B0B" w:rsidRPr="00B44B19">
              <w:rPr>
                <w:rFonts w:ascii="Times New Roman" w:eastAsia="Times New Roman" w:hAnsi="Times New Roman" w:cs="Times New Roman"/>
                <w:bCs/>
              </w:rPr>
              <w:t xml:space="preserve">judumą. Būtina </w:t>
            </w:r>
            <w:r w:rsidRPr="00B44B19">
              <w:rPr>
                <w:rFonts w:ascii="Times New Roman" w:eastAsia="Times New Roman" w:hAnsi="Times New Roman" w:cs="Times New Roman"/>
                <w:bCs/>
              </w:rPr>
              <w:t xml:space="preserve">keisti gyventojų miestuose keliavimo įpročius, kuriant visoms visuomenės grupėms tinkamas darnaus judumo sistemas, sprendžiant su didėjančia miestų drieka susijusias judumo problemas miestų </w:t>
            </w:r>
            <w:r w:rsidR="004C2FDD" w:rsidRPr="00B44B19">
              <w:rPr>
                <w:rFonts w:ascii="Times New Roman" w:eastAsia="Times New Roman" w:hAnsi="Times New Roman" w:cs="Times New Roman"/>
                <w:bCs/>
              </w:rPr>
              <w:t>FZ</w:t>
            </w:r>
            <w:r w:rsidRPr="00B44B19">
              <w:rPr>
                <w:rFonts w:ascii="Times New Roman" w:eastAsia="Times New Roman" w:hAnsi="Times New Roman" w:cs="Times New Roman"/>
                <w:bCs/>
              </w:rPr>
              <w:t xml:space="preserve">, plėsti viešojo transporto sistemą </w:t>
            </w:r>
            <w:r w:rsidR="008D1E62" w:rsidRPr="00B44B19">
              <w:rPr>
                <w:rFonts w:ascii="Times New Roman" w:eastAsia="Times New Roman" w:hAnsi="Times New Roman" w:cs="Times New Roman"/>
                <w:bCs/>
              </w:rPr>
              <w:t>ir</w:t>
            </w:r>
            <w:r w:rsidRPr="00B44B19">
              <w:rPr>
                <w:rFonts w:ascii="Times New Roman" w:eastAsia="Times New Roman" w:hAnsi="Times New Roman" w:cs="Times New Roman"/>
                <w:bCs/>
              </w:rPr>
              <w:t xml:space="preserve"> didinti jos švarių transporto priemonių dalį, gerinti šaligatvių kokybę</w:t>
            </w:r>
            <w:r w:rsidR="002A18FD"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dviračių takų sistemos vientisumą ir skirtingų transporto rūšių tarpusavio sąsają.</w:t>
            </w:r>
          </w:p>
          <w:p w14:paraId="178C8A3D" w14:textId="64E9BD33" w:rsidR="00AB6D07"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bCs/>
              </w:rPr>
              <w:t>Viešuoju transportu Lietuvoje naudojasi tik 9,4</w:t>
            </w:r>
            <w:r w:rsidR="004572AB" w:rsidRPr="00B44B19">
              <w:rPr>
                <w:rFonts w:ascii="Times New Roman" w:eastAsia="Times New Roman" w:hAnsi="Times New Roman" w:cs="Times New Roman"/>
                <w:bCs/>
              </w:rPr>
              <w:t> </w:t>
            </w:r>
            <w:r w:rsidRPr="00B44B19">
              <w:rPr>
                <w:rFonts w:ascii="Times New Roman" w:eastAsia="Times New Roman" w:hAnsi="Times New Roman" w:cs="Times New Roman"/>
                <w:bCs/>
              </w:rPr>
              <w:t xml:space="preserve">% keleivių, o pagrindinė susisiekimo priemonė </w:t>
            </w:r>
            <w:r w:rsidRPr="00B44B19">
              <w:rPr>
                <w:rFonts w:ascii="Times New Roman" w:eastAsia="Times New Roman" w:hAnsi="Times New Roman" w:cs="Times New Roman"/>
              </w:rPr>
              <w:t>–</w:t>
            </w:r>
            <w:r w:rsidRPr="00B44B19">
              <w:rPr>
                <w:rFonts w:ascii="Times New Roman" w:eastAsia="Times New Roman" w:hAnsi="Times New Roman" w:cs="Times New Roman"/>
                <w:bCs/>
              </w:rPr>
              <w:t xml:space="preserve"> lengvieji </w:t>
            </w:r>
            <w:r w:rsidR="008D1E62" w:rsidRPr="00B44B19">
              <w:rPr>
                <w:rFonts w:ascii="Times New Roman" w:eastAsia="Times New Roman" w:hAnsi="Times New Roman" w:cs="Times New Roman"/>
                <w:bCs/>
              </w:rPr>
              <w:t>automobiliai, naudojimasis</w:t>
            </w:r>
            <w:r w:rsidR="002A18FD" w:rsidRPr="00B44B19">
              <w:rPr>
                <w:rFonts w:ascii="Times New Roman" w:eastAsia="Times New Roman" w:hAnsi="Times New Roman" w:cs="Times New Roman"/>
                <w:bCs/>
              </w:rPr>
              <w:t xml:space="preserve"> </w:t>
            </w:r>
            <w:r w:rsidR="008D1E62" w:rsidRPr="00B44B19">
              <w:rPr>
                <w:rFonts w:ascii="Times New Roman" w:eastAsia="Times New Roman" w:hAnsi="Times New Roman" w:cs="Times New Roman"/>
                <w:bCs/>
              </w:rPr>
              <w:t xml:space="preserve">yra didžiausias ES. </w:t>
            </w:r>
            <w:r w:rsidRPr="00B44B19">
              <w:rPr>
                <w:rFonts w:ascii="Times New Roman" w:eastAsia="Times New Roman" w:hAnsi="Times New Roman" w:cs="Times New Roman"/>
              </w:rPr>
              <w:t xml:space="preserve">Viešasis transportas nepatrauklus dėl jo eksploatacinių parametrų – greičio, neefektyvių miesto eismo valdymo priemonių, autobusų juostų ir </w:t>
            </w:r>
            <w:r w:rsidR="007633AE" w:rsidRPr="00B44B19">
              <w:rPr>
                <w:rFonts w:ascii="Times New Roman" w:eastAsia="Times New Roman" w:hAnsi="Times New Roman" w:cs="Times New Roman"/>
              </w:rPr>
              <w:t>ITS</w:t>
            </w:r>
            <w:r w:rsidR="000C58EE" w:rsidRPr="00B44B19">
              <w:rPr>
                <w:rFonts w:ascii="Times New Roman" w:eastAsia="Times New Roman" w:hAnsi="Times New Roman" w:cs="Times New Roman"/>
              </w:rPr>
              <w:t xml:space="preserve"> </w:t>
            </w:r>
            <w:r w:rsidR="008D1E62" w:rsidRPr="00B44B19">
              <w:rPr>
                <w:rFonts w:ascii="Times New Roman" w:eastAsia="Times New Roman" w:hAnsi="Times New Roman" w:cs="Times New Roman"/>
              </w:rPr>
              <w:t xml:space="preserve">trūkumo, o jos yra būtinos </w:t>
            </w:r>
            <w:r w:rsidRPr="00B44B19">
              <w:rPr>
                <w:rFonts w:ascii="Times New Roman" w:eastAsia="Times New Roman" w:hAnsi="Times New Roman" w:cs="Times New Roman"/>
              </w:rPr>
              <w:t>didinant viešojo transporto konkurencingumą. Šiuo atžvilgiu Programos lėšomis bus imamasi kompleksinių priemonių siekiant keleivius paskatinti naudotis viešuoju transportu.</w:t>
            </w:r>
          </w:p>
          <w:p w14:paraId="059FFFDC" w14:textId="77777777" w:rsidR="00AB6D07" w:rsidRPr="00B44B19" w:rsidRDefault="008D1E62" w:rsidP="00E67E5C">
            <w:pPr>
              <w:tabs>
                <w:tab w:val="left" w:pos="142"/>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Siekdama</w:t>
            </w:r>
            <w:r w:rsidR="00AB6D07" w:rsidRPr="00B44B19">
              <w:rPr>
                <w:rFonts w:ascii="Times New Roman" w:eastAsia="Times New Roman" w:hAnsi="Times New Roman" w:cs="Times New Roman"/>
                <w:bCs/>
              </w:rPr>
              <w:t xml:space="preserve"> sumažinti šalies transporto sistemos priklausomybę nuo iškastinio kuro, </w:t>
            </w:r>
            <w:r w:rsidR="00AB6D07" w:rsidRPr="00B44B19">
              <w:rPr>
                <w:rFonts w:ascii="Times New Roman" w:eastAsia="Times New Roman" w:hAnsi="Times New Roman" w:cs="Times New Roman"/>
              </w:rPr>
              <w:t xml:space="preserve">Lietuva kol kas ryškiai atsilieka nuo savo </w:t>
            </w:r>
            <w:r w:rsidRPr="00B44B19">
              <w:rPr>
                <w:rFonts w:ascii="Times New Roman" w:eastAsia="Times New Roman" w:hAnsi="Times New Roman" w:cs="Times New Roman"/>
              </w:rPr>
              <w:t xml:space="preserve">alternatyviųjų degalų </w:t>
            </w:r>
            <w:r w:rsidR="00AB6D07" w:rsidRPr="00B44B19">
              <w:rPr>
                <w:rFonts w:ascii="Times New Roman" w:eastAsia="Times New Roman" w:hAnsi="Times New Roman" w:cs="Times New Roman"/>
              </w:rPr>
              <w:t>plėtros planų</w:t>
            </w:r>
            <w:r w:rsidR="00AB6D07"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xml:space="preserve">Remiantis Alternatyviųjų </w:t>
            </w:r>
            <w:r w:rsidR="00AB6D07" w:rsidRPr="00B44B19">
              <w:rPr>
                <w:rFonts w:ascii="Times New Roman" w:eastAsia="Times New Roman" w:hAnsi="Times New Roman" w:cs="Times New Roman"/>
                <w:bCs/>
              </w:rPr>
              <w:t>degalų įstatymu, iki 2030 m. šalyje turėtų būti įrengta ne mažiau kaip 60 tūkst. elektromobilių įkrovimo prieigų, iš kurių 6 tūkst. būtų viešosios arba pusiau viešosios. 2021 m. duomenimis</w:t>
            </w:r>
            <w:r w:rsidRPr="00B44B19">
              <w:rPr>
                <w:rFonts w:ascii="Times New Roman" w:eastAsia="Times New Roman" w:hAnsi="Times New Roman" w:cs="Times New Roman"/>
                <w:bCs/>
              </w:rPr>
              <w:t>,</w:t>
            </w:r>
            <w:r w:rsidR="00AB6D07" w:rsidRPr="00B44B19">
              <w:rPr>
                <w:rFonts w:ascii="Times New Roman" w:eastAsia="Times New Roman" w:hAnsi="Times New Roman" w:cs="Times New Roman"/>
                <w:bCs/>
              </w:rPr>
              <w:t xml:space="preserve"> viešųjų ir pusiau viešųjų elektromobilių įkrovimo infrastruktūros </w:t>
            </w:r>
            <w:r w:rsidRPr="00B44B19">
              <w:rPr>
                <w:rFonts w:ascii="Times New Roman" w:eastAsia="Times New Roman" w:hAnsi="Times New Roman" w:cs="Times New Roman"/>
                <w:bCs/>
              </w:rPr>
              <w:t>tinkle visoje Lietuvoje buvo tik 360 įkrovimo prieigų.</w:t>
            </w:r>
            <w:r w:rsidR="00AB6D07" w:rsidRPr="00B44B19">
              <w:rPr>
                <w:rFonts w:ascii="Times New Roman" w:eastAsia="Times New Roman" w:hAnsi="Times New Roman" w:cs="Times New Roman"/>
              </w:rPr>
              <w:t xml:space="preserve"> </w:t>
            </w:r>
            <w:r w:rsidR="00AB6D07" w:rsidRPr="00B44B19">
              <w:rPr>
                <w:rFonts w:ascii="Times New Roman" w:eastAsia="Times New Roman" w:hAnsi="Times New Roman" w:cs="Times New Roman"/>
                <w:bCs/>
              </w:rPr>
              <w:t xml:space="preserve">Šiuo atžvilgiu Programos lėšomis bus skatinama </w:t>
            </w:r>
            <w:r w:rsidRPr="00B44B19">
              <w:rPr>
                <w:rFonts w:ascii="Times New Roman" w:eastAsia="Times New Roman" w:hAnsi="Times New Roman" w:cs="Times New Roman"/>
                <w:bCs/>
              </w:rPr>
              <w:t>alternatyviųjų degalų papildymo</w:t>
            </w:r>
            <w:r w:rsidR="00FC21EE" w:rsidRPr="00B44B19">
              <w:rPr>
                <w:rFonts w:ascii="Times New Roman" w:eastAsia="Times New Roman" w:hAnsi="Times New Roman" w:cs="Times New Roman"/>
                <w:bCs/>
              </w:rPr>
              <w:t xml:space="preserve"> ir (ar)</w:t>
            </w:r>
            <w:r w:rsidRPr="00B44B19">
              <w:rPr>
                <w:rFonts w:ascii="Times New Roman" w:eastAsia="Times New Roman" w:hAnsi="Times New Roman" w:cs="Times New Roman"/>
                <w:bCs/>
              </w:rPr>
              <w:t xml:space="preserve"> įkrovimo </w:t>
            </w:r>
            <w:r w:rsidR="00AB6D07" w:rsidRPr="00B44B19">
              <w:rPr>
                <w:rFonts w:ascii="Times New Roman" w:eastAsia="Times New Roman" w:hAnsi="Times New Roman" w:cs="Times New Roman"/>
                <w:bCs/>
              </w:rPr>
              <w:t>prieigų tinklo plėtra, taip sukuriant palankesnes sąlygas ir paskatas naudotis mažiau taršiomis transporto priemonėmis.</w:t>
            </w:r>
          </w:p>
          <w:p w14:paraId="66274927" w14:textId="5429BDD3" w:rsidR="00AB6D07"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Viena iš pagrindinių eismo spūsčių miestuose susidarymo priežasčių – gyvenamųjų, paslaugų teikimo ir darbo vietų disbalansas.  </w:t>
            </w:r>
            <w:r w:rsidR="008D1E62" w:rsidRPr="00B44B19">
              <w:rPr>
                <w:rFonts w:ascii="Times New Roman" w:eastAsia="Times New Roman" w:hAnsi="Times New Roman" w:cs="Times New Roman"/>
              </w:rPr>
              <w:t xml:space="preserve">Darni miestų ir </w:t>
            </w:r>
            <w:r w:rsidR="004C2FDD" w:rsidRPr="00B44B19">
              <w:rPr>
                <w:rFonts w:ascii="Times New Roman" w:eastAsia="Times New Roman" w:hAnsi="Times New Roman" w:cs="Times New Roman"/>
              </w:rPr>
              <w:t>FZ</w:t>
            </w:r>
            <w:r w:rsidR="008D1E62" w:rsidRPr="00B44B19">
              <w:rPr>
                <w:rFonts w:ascii="Times New Roman" w:eastAsia="Times New Roman" w:hAnsi="Times New Roman" w:cs="Times New Roman"/>
              </w:rPr>
              <w:t xml:space="preserve"> plėtra leidžia</w:t>
            </w:r>
            <w:r w:rsidRPr="00B44B19">
              <w:rPr>
                <w:rFonts w:ascii="Times New Roman" w:eastAsia="Times New Roman" w:hAnsi="Times New Roman" w:cs="Times New Roman"/>
              </w:rPr>
              <w:t xml:space="preserve"> užtikrinti gyventojų poreikius ir taip mažina nebūtinas keliones. </w:t>
            </w:r>
            <w:r w:rsidR="008D1E62" w:rsidRPr="00B44B19">
              <w:rPr>
                <w:rFonts w:ascii="Times New Roman" w:eastAsia="Times New Roman" w:hAnsi="Times New Roman" w:cs="Times New Roman"/>
              </w:rPr>
              <w:t>Šį iššūkį išspręsti, pasinaudojant ITI, padės</w:t>
            </w:r>
            <w:r w:rsidRPr="00B44B19">
              <w:rPr>
                <w:rFonts w:ascii="Times New Roman" w:eastAsia="Times New Roman" w:hAnsi="Times New Roman" w:cs="Times New Roman"/>
              </w:rPr>
              <w:t xml:space="preserve"> 5.1 ir 5.2 uždavinių veiksmai, kuriais bus skatinamas tolygesnis darbo vietų ir paslaugų užtikrinimas (išvengiant nereikalingų kelionių) ir, kur tinkama, </w:t>
            </w:r>
            <w:r w:rsidR="008D1E62" w:rsidRPr="00B44B19">
              <w:rPr>
                <w:rFonts w:ascii="Times New Roman" w:eastAsia="Times New Roman" w:hAnsi="Times New Roman" w:cs="Times New Roman"/>
              </w:rPr>
              <w:t>plėtojamoms teritorijoms pasiekti reikalingos susisiekimo infrastruktūros įrengimas. O 8.1 uždavinio veiksmais bus prisidedama prie teritorinių strategijų tikslų pasiekimo pasinaudojant ITI.</w:t>
            </w:r>
            <w:r w:rsidRPr="00B44B19">
              <w:rPr>
                <w:rFonts w:ascii="Times New Roman" w:eastAsia="Times New Roman" w:hAnsi="Times New Roman" w:cs="Times New Roman"/>
              </w:rPr>
              <w:t xml:space="preserve"> </w:t>
            </w:r>
            <w:r w:rsidR="006C0812" w:rsidRPr="00B44B19">
              <w:rPr>
                <w:rFonts w:ascii="Times New Roman" w:eastAsia="Times New Roman" w:hAnsi="Times New Roman" w:cs="Times New Roman"/>
              </w:rPr>
              <w:t>N</w:t>
            </w:r>
            <w:r w:rsidRPr="00B44B19">
              <w:rPr>
                <w:rFonts w:ascii="Times New Roman" w:eastAsia="Times New Roman" w:hAnsi="Times New Roman" w:cs="Times New Roman"/>
              </w:rPr>
              <w:t xml:space="preserve">esant galimybės plėtoti lokalių centrų ar užtikrinti visų gyventojų poreikius tenkinančių paslaugų, bus kuriama alternatyvaus susisiekimo viešuoju transportu, dviračiais ar pėsčiomis infrastruktūra, leidžianti kasdienėms kelionėms pasirinkti alternatyvų susisiekimą ir taip mažinti eismo spūstis mieste. </w:t>
            </w:r>
          </w:p>
          <w:p w14:paraId="0C2E39C8" w14:textId="77777777" w:rsidR="00AB6D07"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bCs/>
              </w:rPr>
              <w:t>Atsižvelgiant į besikeičiančias demografines tendencijas (senėjančią visuomenę, gyventojų miestuose didėjimą) transporto sistema bus formuojama taip, kad ji prisitaikytų prie besikeičiančių sąlygų ir mobilaus judumo poreikių, būtų prieinama visoms socialinėms grupėms ir atitiktų jų specialiuosius poreikius, užtikrintų saugumą, nedidinant ŠESD ir kitų aplinkos taršos emisijų.</w:t>
            </w:r>
          </w:p>
          <w:p w14:paraId="646B749D" w14:textId="5DC9502F" w:rsidR="00AB6D07" w:rsidRPr="00B44B19" w:rsidRDefault="00AB6D07" w:rsidP="00E67E5C">
            <w:pPr>
              <w:tabs>
                <w:tab w:val="left" w:pos="142"/>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Siekiant sumažinti vienam gyventojui tenkantį neigiamą miestų poveikį aplinkai, dėmesys bus skiriamas oro kokybei ir triukšmo taršos mažinimui, miestuose bus plečiama žalioji infrastruktūra, </w:t>
            </w:r>
            <w:r w:rsidR="008D1E62" w:rsidRPr="00B44B19">
              <w:rPr>
                <w:rFonts w:ascii="Times New Roman" w:eastAsia="Times New Roman" w:hAnsi="Times New Roman" w:cs="Times New Roman"/>
                <w:bCs/>
              </w:rPr>
              <w:t>skatinamas netaršių transporto priemonių naudojimas formuojamos</w:t>
            </w:r>
            <w:r w:rsidRPr="00B44B19">
              <w:rPr>
                <w:rFonts w:ascii="Times New Roman" w:eastAsia="Times New Roman" w:hAnsi="Times New Roman" w:cs="Times New Roman"/>
                <w:bCs/>
              </w:rPr>
              <w:t xml:space="preserve"> mažos taršos zonos.</w:t>
            </w:r>
          </w:p>
          <w:p w14:paraId="09658567" w14:textId="77777777" w:rsidR="00AB6D07"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bCs/>
              </w:rPr>
              <w:t xml:space="preserve">Regioniniu aspektu darnaus judumo veiklos yra aktualiausios didžiausiam Lietuvos miestui – Vilniui, esančiam Sostinės regione. Tačiau demografinės ir urbanistinės tendencijos rodo, </w:t>
            </w:r>
            <w:r w:rsidR="008D1E62" w:rsidRPr="00B44B19">
              <w:rPr>
                <w:rFonts w:ascii="Times New Roman" w:eastAsia="Times New Roman" w:hAnsi="Times New Roman" w:cs="Times New Roman"/>
                <w:bCs/>
              </w:rPr>
              <w:t xml:space="preserve">kad </w:t>
            </w:r>
            <w:r w:rsidRPr="00B44B19">
              <w:rPr>
                <w:rFonts w:ascii="Times New Roman" w:eastAsia="Times New Roman" w:hAnsi="Times New Roman" w:cs="Times New Roman"/>
                <w:bCs/>
              </w:rPr>
              <w:t>VVL miestai taip pat susiduria su urbanizacijos kelia</w:t>
            </w:r>
            <w:r w:rsidR="00FC21EE" w:rsidRPr="00B44B19">
              <w:rPr>
                <w:rFonts w:ascii="Times New Roman" w:eastAsia="Times New Roman" w:hAnsi="Times New Roman" w:cs="Times New Roman"/>
                <w:bCs/>
              </w:rPr>
              <w:t>mais socialiniais, aplinkosaug</w:t>
            </w:r>
            <w:r w:rsidR="008D1E62" w:rsidRPr="00B44B19">
              <w:rPr>
                <w:rFonts w:ascii="Times New Roman" w:eastAsia="Times New Roman" w:hAnsi="Times New Roman" w:cs="Times New Roman"/>
                <w:bCs/>
              </w:rPr>
              <w:t>o</w:t>
            </w:r>
            <w:r w:rsidRPr="00B44B19">
              <w:rPr>
                <w:rFonts w:ascii="Times New Roman" w:eastAsia="Times New Roman" w:hAnsi="Times New Roman" w:cs="Times New Roman"/>
                <w:bCs/>
              </w:rPr>
              <w:t xml:space="preserve">s, sveikatos ir ekonominiais iššūkiais. Aktyvios vidinės gyventojų migracijos tendencijos suponuoja prielaidą, </w:t>
            </w:r>
            <w:r w:rsidR="008D1E62" w:rsidRPr="00B44B19">
              <w:rPr>
                <w:rFonts w:ascii="Times New Roman" w:eastAsia="Times New Roman" w:hAnsi="Times New Roman" w:cs="Times New Roman"/>
                <w:bCs/>
              </w:rPr>
              <w:t xml:space="preserve">kad visoje Lietuvoje svarbu tolygiai plėtoti darnų judumą, siekiant suformuoti horizontalų požiūrį į judėjimą Lietuvoje, užkertant kelią problemoms ateityje. Šiuo atžvilgiu </w:t>
            </w:r>
            <w:r w:rsidR="008D1E62" w:rsidRPr="00B44B19">
              <w:rPr>
                <w:rFonts w:ascii="Times New Roman" w:eastAsia="Times New Roman" w:hAnsi="Times New Roman" w:cs="Times New Roman"/>
              </w:rPr>
              <w:t>pagal</w:t>
            </w:r>
            <w:r w:rsidRPr="00B44B19">
              <w:rPr>
                <w:rFonts w:ascii="Times New Roman" w:eastAsia="Times New Roman" w:hAnsi="Times New Roman" w:cs="Times New Roman"/>
              </w:rPr>
              <w:t xml:space="preserve"> naująją strateginio valdymo metodiką rengiamoje Regionų plėtros programoje diferencijuojant siekiamus rodiklius pagal regionus, atlikus teritorinių netolygumų priežasčių analizę bus užtikrinta subalansuota ir tvari regionų plėtra, sprendžiant konkrečiam regionui būdingas problemas. </w:t>
            </w:r>
          </w:p>
          <w:p w14:paraId="16BB7625" w14:textId="735B5418" w:rsidR="00AB6D07" w:rsidRPr="00B44B19" w:rsidRDefault="00465D84"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bCs/>
              </w:rPr>
              <w:lastRenderedPageBreak/>
              <w:t>Programos investicijomis</w:t>
            </w:r>
            <w:r w:rsidR="00AB6D07" w:rsidRPr="00B44B19">
              <w:rPr>
                <w:rFonts w:ascii="Times New Roman" w:eastAsia="Times New Roman" w:hAnsi="Times New Roman" w:cs="Times New Roman"/>
                <w:bCs/>
              </w:rPr>
              <w:t xml:space="preserve"> bus tęsiamas DJMP, </w:t>
            </w:r>
            <w:r w:rsidR="00D25B0B" w:rsidRPr="00B44B19">
              <w:rPr>
                <w:rFonts w:ascii="Times New Roman" w:eastAsia="Times New Roman" w:hAnsi="Times New Roman" w:cs="Times New Roman"/>
                <w:bCs/>
              </w:rPr>
              <w:t xml:space="preserve">finansuotuose Veiksmų programos lėšomis, </w:t>
            </w:r>
            <w:r w:rsidR="00AB6D07" w:rsidRPr="00B44B19">
              <w:rPr>
                <w:rFonts w:ascii="Times New Roman" w:eastAsia="Times New Roman" w:hAnsi="Times New Roman" w:cs="Times New Roman"/>
                <w:bCs/>
              </w:rPr>
              <w:t>numatytų darnaus judumo priemonių diegimas didžiuosiuose Lietuvos miestuose ir kurortuose: Vilniuje, Kaune, Klaipėdoje, Šiauliuose, Panevėžyje, Alytuje, Marijampolėje, Mažeikiuose, Utenoje, Jonavoje, Kėdainiuose, Telšiuose, Visagine, Tauragėje, Druskininkuose, Palangoje, Birštone ir Neringoje.</w:t>
            </w:r>
          </w:p>
          <w:p w14:paraId="30B025FC" w14:textId="77777777" w:rsidR="00AB6D07"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Veiksmų rūšys, siekiant mažinti neigiamą transporto poveikį aplinkai:</w:t>
            </w:r>
          </w:p>
          <w:p w14:paraId="70AE0564" w14:textId="465AD08D" w:rsidR="00AB6D07"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 xml:space="preserve">Įgyvendinti 18 Lietuvos </w:t>
            </w:r>
            <w:r w:rsidRPr="00B44B19">
              <w:rPr>
                <w:rFonts w:ascii="Times New Roman" w:eastAsia="Times New Roman" w:hAnsi="Times New Roman" w:cs="Times New Roman"/>
                <w:b/>
              </w:rPr>
              <w:t>didžiųjų miestų ir kurortų</w:t>
            </w:r>
            <w:r w:rsidRPr="00B44B19">
              <w:rPr>
                <w:rFonts w:ascii="Times New Roman" w:eastAsia="Times New Roman" w:hAnsi="Times New Roman" w:cs="Times New Roman"/>
                <w:b/>
                <w:bCs/>
              </w:rPr>
              <w:t xml:space="preserve"> DJMP, </w:t>
            </w:r>
            <w:r w:rsidRPr="00B44B19">
              <w:rPr>
                <w:rFonts w:ascii="Times New Roman" w:eastAsia="Times New Roman" w:hAnsi="Times New Roman" w:cs="Times New Roman"/>
                <w:b/>
              </w:rPr>
              <w:t>kurių parengimas buvo finansuotas ES 2014</w:t>
            </w:r>
            <w:r w:rsidRPr="00B44B19">
              <w:rPr>
                <w:rFonts w:ascii="Times New Roman" w:eastAsia="Times New Roman" w:hAnsi="Times New Roman" w:cs="Times New Roman"/>
                <w:bCs/>
              </w:rPr>
              <w:t>–</w:t>
            </w:r>
            <w:r w:rsidRPr="00B44B19">
              <w:rPr>
                <w:rFonts w:ascii="Times New Roman" w:eastAsia="Times New Roman" w:hAnsi="Times New Roman" w:cs="Times New Roman"/>
                <w:b/>
              </w:rPr>
              <w:t>2020 m. lėšomis,</w:t>
            </w:r>
            <w:r w:rsidRPr="00B44B19">
              <w:rPr>
                <w:rFonts w:ascii="Times New Roman" w:eastAsia="Times New Roman" w:hAnsi="Times New Roman" w:cs="Times New Roman"/>
                <w:b/>
                <w:bCs/>
              </w:rPr>
              <w:t xml:space="preserve"> numatytas darnaus judumo priemones</w:t>
            </w:r>
            <w:r w:rsidR="002A18FD" w:rsidRPr="00B44B19">
              <w:rPr>
                <w:rFonts w:ascii="Times New Roman" w:hAnsi="Times New Roman" w:cs="Times New Roman"/>
              </w:rPr>
              <w:t xml:space="preserve"> </w:t>
            </w:r>
            <w:r w:rsidR="002A18FD" w:rsidRPr="00B44B19">
              <w:rPr>
                <w:rFonts w:ascii="Times New Roman" w:eastAsia="Times New Roman" w:hAnsi="Times New Roman" w:cs="Times New Roman"/>
                <w:b/>
                <w:bCs/>
              </w:rPr>
              <w:t>ir priemones, skirtas viešojo transporto atnaujinimui</w:t>
            </w:r>
            <w:r w:rsidR="00AC088F" w:rsidRPr="00B44B19">
              <w:rPr>
                <w:rFonts w:ascii="Times New Roman" w:eastAsia="Times New Roman" w:hAnsi="Times New Roman" w:cs="Times New Roman"/>
                <w:b/>
                <w:bCs/>
              </w:rPr>
              <w:t xml:space="preserve">, kurios </w:t>
            </w:r>
            <w:r w:rsidR="00AC088F" w:rsidRPr="00B44B19">
              <w:rPr>
                <w:rFonts w:ascii="Times New Roman" w:eastAsia="Times New Roman" w:hAnsi="Times New Roman" w:cs="Times New Roman"/>
              </w:rPr>
              <w:t xml:space="preserve">tiesiogiai </w:t>
            </w:r>
            <w:r w:rsidRPr="00B44B19">
              <w:rPr>
                <w:rFonts w:ascii="Times New Roman" w:eastAsia="Times New Roman" w:hAnsi="Times New Roman" w:cs="Times New Roman"/>
              </w:rPr>
              <w:t xml:space="preserve">prisidės prie ŠESD kiekio mažinimo transporto sektoriuje. </w:t>
            </w:r>
          </w:p>
          <w:p w14:paraId="70A91A94" w14:textId="206B293F" w:rsidR="00BC5430" w:rsidRPr="00B44B19" w:rsidRDefault="00BC5430" w:rsidP="00BC5430">
            <w:pPr>
              <w:tabs>
                <w:tab w:val="left" w:pos="142"/>
              </w:tabs>
              <w:spacing w:before="60" w:after="60"/>
              <w:jc w:val="both"/>
              <w:rPr>
                <w:rFonts w:ascii="Times New Roman" w:hAnsi="Times New Roman" w:cs="Times New Roman"/>
              </w:rPr>
            </w:pPr>
            <w:r w:rsidRPr="00B44B19">
              <w:rPr>
                <w:rFonts w:ascii="Times New Roman" w:hAnsi="Times New Roman" w:cs="Times New Roman"/>
              </w:rPr>
              <w:t xml:space="preserve">Programos lėšomis </w:t>
            </w:r>
            <w:r w:rsidRPr="00B44B19">
              <w:rPr>
                <w:rFonts w:ascii="Times New Roman" w:hAnsi="Times New Roman" w:cs="Times New Roman"/>
                <w:b/>
              </w:rPr>
              <w:t>numatomas alternatyviųjų degalų (elektros, vandenilio) įkrovimo ir (ar) papildymo viešosios infrastruktūros plėtra</w:t>
            </w:r>
            <w:r w:rsidRPr="00B44B19">
              <w:rPr>
                <w:rFonts w:ascii="Times New Roman" w:hAnsi="Times New Roman" w:cs="Times New Roman"/>
                <w:bCs/>
              </w:rPr>
              <w:t xml:space="preserve">. Viešoji alternatyviųjų degalų įkrovimo ir (ar) papildymo infrastruktūra ir jos plėtra turi atitikti Europos Parlamento ir Tarybos reglamente (ES) 2023/1804 dėl alternatyviųjų degalų infrastruktūros diegimo, kuriuo panaikinama Direktyva 2014/94/ES, ir Alternatyviųjų degalų įstatyme numatytus reikalavimus. Savivaldybėse </w:t>
            </w:r>
            <w:r w:rsidRPr="00B44B19">
              <w:rPr>
                <w:rFonts w:ascii="Times New Roman" w:hAnsi="Times New Roman" w:cs="Times New Roman"/>
                <w:bCs/>
                <w:color w:val="000000" w:themeColor="text1"/>
              </w:rPr>
              <w:t xml:space="preserve">viešąją elektromobilių įkrovimo infrastruktūrą numatoma plėtoti </w:t>
            </w:r>
            <w:r w:rsidRPr="00B44B19">
              <w:rPr>
                <w:rFonts w:ascii="Times New Roman" w:hAnsi="Times New Roman" w:cs="Times New Roman"/>
                <w:bCs/>
                <w:color w:val="000000"/>
                <w:lang w:eastAsia="lt-LT"/>
              </w:rPr>
              <w:t xml:space="preserve">savivaldybių teritorijose esančiuose </w:t>
            </w:r>
            <w:r w:rsidRPr="00B44B19">
              <w:rPr>
                <w:rFonts w:ascii="Times New Roman" w:hAnsi="Times New Roman" w:cs="Times New Roman"/>
                <w:bCs/>
                <w:color w:val="000000" w:themeColor="text1"/>
              </w:rPr>
              <w:t xml:space="preserve">vietinės reikšmės keliuose iki 2030 m. numatomų įrengti viešųjų elektromobilių įkrovimo prieigų planuose nustatytose vietose ir kitose, planuose nenustatytose vietose privačia iniciatyva. </w:t>
            </w:r>
            <w:r w:rsidRPr="00B44B19">
              <w:rPr>
                <w:rFonts w:ascii="Times New Roman" w:hAnsi="Times New Roman" w:cs="Times New Roman"/>
                <w:bCs/>
                <w:color w:val="000000" w:themeColor="text1"/>
                <w:spacing w:val="2"/>
                <w:shd w:val="clear" w:color="auto" w:fill="FFFFFF"/>
              </w:rPr>
              <w:t>Kalbant apie vandenilio papildymo infrastruktūros plėtrą,</w:t>
            </w:r>
            <w:r w:rsidRPr="00B44B19">
              <w:rPr>
                <w:rFonts w:ascii="Times New Roman" w:hAnsi="Times New Roman" w:cs="Times New Roman"/>
                <w:bCs/>
              </w:rPr>
              <w:t xml:space="preserve"> </w:t>
            </w:r>
            <w:r w:rsidRPr="00B44B19">
              <w:rPr>
                <w:rFonts w:ascii="Times New Roman" w:hAnsi="Times New Roman" w:cs="Times New Roman"/>
                <w:bCs/>
                <w:color w:val="000000" w:themeColor="text1"/>
                <w:spacing w:val="2"/>
                <w:shd w:val="clear" w:color="auto" w:fill="FFFFFF"/>
              </w:rPr>
              <w:t xml:space="preserve">viešoji vandenilio pildymo infrastruktūra turi būti plėtojama įgyvendinant </w:t>
            </w:r>
            <w:r w:rsidRPr="00B44B19">
              <w:rPr>
                <w:rFonts w:ascii="Times New Roman" w:hAnsi="Times New Roman" w:cs="Times New Roman"/>
                <w:bCs/>
                <w:spacing w:val="2"/>
                <w:shd w:val="clear" w:color="auto" w:fill="FFFFFF"/>
              </w:rPr>
              <w:t xml:space="preserve">nacionalinėse vandenilio sektoriaus plėtros gairėse </w:t>
            </w:r>
            <w:r w:rsidRPr="00B44B19">
              <w:rPr>
                <w:rFonts w:ascii="Times New Roman" w:hAnsi="Times New Roman" w:cs="Times New Roman"/>
                <w:bCs/>
                <w:color w:val="000000" w:themeColor="text1"/>
                <w:spacing w:val="2"/>
                <w:shd w:val="clear" w:color="auto" w:fill="FFFFFF"/>
              </w:rPr>
              <w:t>nustatytus nacionalinius vandenilio pildymo infrastruktūros plėtros tikslus</w:t>
            </w:r>
            <w:r w:rsidR="00313F22" w:rsidRPr="00B44B19">
              <w:rPr>
                <w:rFonts w:ascii="Times New Roman" w:hAnsi="Times New Roman" w:cs="Times New Roman"/>
                <w:bCs/>
                <w:color w:val="000000" w:themeColor="text1"/>
                <w:spacing w:val="2"/>
                <w:shd w:val="clear" w:color="auto" w:fill="FFFFFF"/>
              </w:rPr>
              <w:t xml:space="preserve"> </w:t>
            </w:r>
            <w:r w:rsidRPr="00B44B19">
              <w:rPr>
                <w:rFonts w:ascii="Times New Roman" w:hAnsi="Times New Roman" w:cs="Times New Roman"/>
                <w:bCs/>
                <w:color w:val="000000" w:themeColor="text1"/>
                <w:spacing w:val="2"/>
                <w:shd w:val="clear" w:color="auto" w:fill="FFFFFF"/>
              </w:rPr>
              <w:t xml:space="preserve">bei jose numatyto veiksmų plano priemones. </w:t>
            </w:r>
            <w:r w:rsidRPr="00B44B19">
              <w:rPr>
                <w:rFonts w:ascii="Times New Roman" w:hAnsi="Times New Roman" w:cs="Times New Roman"/>
                <w:bCs/>
                <w:iCs/>
                <w:color w:val="000000" w:themeColor="text1"/>
              </w:rPr>
              <w:t>Kadangi konkrečiai įvardinti vandenilio papildymo infrastruktūros ir viešojo transporto priemonių, varomų vandeniliu, poreikio ir prognozių nėra galimybės, Programoje numatoma galimybė, susidarius palankioms aplinkybėms, ES lėšomis finansuoti tokios infrastruktūros diegimą.</w:t>
            </w:r>
            <w:r w:rsidRPr="00B44B19">
              <w:rPr>
                <w:rFonts w:ascii="Times New Roman" w:hAnsi="Times New Roman" w:cs="Times New Roman"/>
                <w:bCs/>
                <w:i/>
                <w:iCs/>
              </w:rPr>
              <w:t xml:space="preserve"> </w:t>
            </w:r>
            <w:r w:rsidRPr="00B44B19">
              <w:rPr>
                <w:rFonts w:ascii="Times New Roman" w:hAnsi="Times New Roman" w:cs="Times New Roman"/>
                <w:bCs/>
              </w:rPr>
              <w:t>Prie integralaus ir sistemiško alternatyviųjų degalų įkrovimo ir (ar) papildymo infrastruktūros plėtros visoje likusioje Lietuvoje prisidės EGADP investicijos.</w:t>
            </w:r>
          </w:p>
          <w:p w14:paraId="48F84CE0" w14:textId="0CFD4E7A" w:rsidR="00AB6D07" w:rsidRPr="00B44B19" w:rsidRDefault="00F30904"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Bus investuojama į viešojo transporto priemonių parko atnaujinimą, įsigyjant alternatyviaisiais degalais (elektra, vandeniliu) varomas viešojo transporto priemones, kurios atitinka Europos Parlamento ir Tarybos direktyvoje 2009/33/EB dėl skatinimo naudoti netaršias ir efektyviai energiją vartojančias kelių transporto priemones nustatytus reikalavimus, taip pat sudarant galimybę įrengti joms reikalingą alternatyviųjų degalų įkrovimo ir (ar) pildymo infrastruktūrą autobusų parkų teritorijose. Prie sistemiško viešojo transporto priemonių patrauklumo</w:t>
            </w:r>
            <w:r w:rsidR="00313F22" w:rsidRPr="00B44B19">
              <w:rPr>
                <w:rFonts w:ascii="Times New Roman" w:eastAsia="Times New Roman" w:hAnsi="Times New Roman" w:cs="Times New Roman"/>
              </w:rPr>
              <w:t>,</w:t>
            </w:r>
            <w:r w:rsidRPr="00B44B19">
              <w:rPr>
                <w:rFonts w:ascii="Times New Roman" w:eastAsia="Times New Roman" w:hAnsi="Times New Roman" w:cs="Times New Roman"/>
              </w:rPr>
              <w:t xml:space="preserve"> </w:t>
            </w:r>
            <w:bookmarkStart w:id="69" w:name="_Hlk88916010"/>
            <w:r w:rsidRPr="00B44B19">
              <w:rPr>
                <w:rFonts w:ascii="Times New Roman" w:eastAsia="Times New Roman" w:hAnsi="Times New Roman" w:cs="Times New Roman"/>
              </w:rPr>
              <w:t xml:space="preserve">ekologiško vietinio ir tarpmiestinio susiekimo plėtros likusioje Lietuvos dalyje </w:t>
            </w:r>
            <w:bookmarkEnd w:id="69"/>
            <w:r w:rsidRPr="00B44B19">
              <w:rPr>
                <w:rFonts w:ascii="Times New Roman" w:eastAsia="Times New Roman" w:hAnsi="Times New Roman" w:cs="Times New Roman"/>
              </w:rPr>
              <w:t>prisidės EGADP investicijos</w:t>
            </w:r>
            <w:r w:rsidR="00313F22" w:rsidRPr="00B44B19">
              <w:rPr>
                <w:rFonts w:ascii="Times New Roman" w:eastAsia="Times New Roman" w:hAnsi="Times New Roman" w:cs="Times New Roman"/>
              </w:rPr>
              <w:t>, o tokios galimybės nelikus, investicijas į viešojo transporto priemonių parko atnaujinimą ir susijusios alternatyviųjų degalų infrastruktūros plėtrą, taip siekiant prisidėti prie ŠESD kiekio mažinimo, numatoma tęsti pagal Programą likusiose 42 savivaldybėse.</w:t>
            </w:r>
          </w:p>
          <w:p w14:paraId="480E7010" w14:textId="7650B380" w:rsidR="00BC5430" w:rsidRPr="00B44B19" w:rsidRDefault="00BC5430" w:rsidP="00BC5430">
            <w:pPr>
              <w:jc w:val="both"/>
              <w:rPr>
                <w:rFonts w:ascii="Times New Roman" w:hAnsi="Times New Roman" w:cs="Times New Roman"/>
                <w:bCs/>
              </w:rPr>
            </w:pPr>
            <w:r w:rsidRPr="00B44B19">
              <w:rPr>
                <w:rFonts w:ascii="Times New Roman" w:hAnsi="Times New Roman" w:cs="Times New Roman"/>
                <w:bCs/>
              </w:rPr>
              <w:t xml:space="preserve">Skatinant bevariklio transporto integraciją, </w:t>
            </w:r>
            <w:bookmarkStart w:id="70" w:name="_Hlk164253553"/>
            <w:r w:rsidRPr="00B44B19">
              <w:rPr>
                <w:rFonts w:ascii="Times New Roman" w:hAnsi="Times New Roman" w:cs="Times New Roman"/>
                <w:bCs/>
              </w:rPr>
              <w:t xml:space="preserve">Programos lėšomis numatoma dviračių ir pėsčiųjų takų infrastruktūros plėtra </w:t>
            </w:r>
            <w:bookmarkEnd w:id="70"/>
            <w:r w:rsidRPr="00B44B19">
              <w:rPr>
                <w:rFonts w:ascii="Times New Roman" w:hAnsi="Times New Roman" w:cs="Times New Roman"/>
                <w:bCs/>
              </w:rPr>
              <w:t>DJMP numatytose teritorijose. Siekiant didinti ne tik vietos, bet ir tarpmiestinę bevariklio transporto integraciją, Programos 3.2 uždavinio investicijomis numatoma dviračių infrastruktūros plėtra šalia valstybinės reikšmės kelių.“</w:t>
            </w:r>
          </w:p>
          <w:p w14:paraId="2D3FC206" w14:textId="77777777" w:rsidR="00316179" w:rsidRPr="00B44B19" w:rsidRDefault="00AB6D07" w:rsidP="00E67E5C">
            <w:pPr>
              <w:tabs>
                <w:tab w:val="left" w:pos="142"/>
              </w:tabs>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Numatoma įgyvendinti kitas </w:t>
            </w:r>
            <w:r w:rsidR="00F30904" w:rsidRPr="00B44B19">
              <w:rPr>
                <w:rFonts w:ascii="Times New Roman" w:eastAsia="Times New Roman" w:hAnsi="Times New Roman" w:cs="Times New Roman"/>
              </w:rPr>
              <w:t>DJMP priemones</w:t>
            </w:r>
            <w:r w:rsidRPr="00B44B19">
              <w:rPr>
                <w:rFonts w:ascii="Times New Roman" w:eastAsia="Times New Roman" w:hAnsi="Times New Roman" w:cs="Times New Roman"/>
              </w:rPr>
              <w:t>, kurios prisidės prie ŠESD mažinimo, pvz.</w:t>
            </w:r>
            <w:r w:rsidR="00F30904" w:rsidRPr="00B44B19">
              <w:rPr>
                <w:rFonts w:ascii="Times New Roman" w:eastAsia="Times New Roman" w:hAnsi="Times New Roman" w:cs="Times New Roman"/>
              </w:rPr>
              <w:t>,</w:t>
            </w:r>
            <w:r w:rsidRPr="00B44B19">
              <w:rPr>
                <w:rFonts w:ascii="Times New Roman" w:eastAsia="Times New Roman" w:hAnsi="Times New Roman" w:cs="Times New Roman"/>
              </w:rPr>
              <w:t xml:space="preserve"> viešojo transporto prieinamumo, </w:t>
            </w:r>
            <w:r w:rsidR="00F30904" w:rsidRPr="00B44B19">
              <w:rPr>
                <w:rFonts w:ascii="Times New Roman" w:eastAsia="Times New Roman" w:hAnsi="Times New Roman" w:cs="Times New Roman"/>
              </w:rPr>
              <w:t xml:space="preserve">naudojimosi skatinimo </w:t>
            </w:r>
            <w:r w:rsidR="00BF0B5E" w:rsidRPr="00B44B19">
              <w:rPr>
                <w:rFonts w:ascii="Times New Roman" w:eastAsia="Times New Roman" w:hAnsi="Times New Roman" w:cs="Times New Roman"/>
              </w:rPr>
              <w:t>priemones (A juostų plėtra, prioritetinių viešojo transporto eismo valdymo sistemų diegimas sankryžose), įrengti infrastruktūrinius ir (ar) inžinerinius sprendimus, ribojančius transporto priemonių su vidaus degimo varikliu patekimo į nustatytas miestų zonas, įrengti daugiarūšes aikšteles,, „</w:t>
            </w:r>
            <w:r w:rsidR="00BF0B5E" w:rsidRPr="00B44B19">
              <w:rPr>
                <w:rFonts w:ascii="Times New Roman" w:eastAsia="Times New Roman" w:hAnsi="Times New Roman" w:cs="Times New Roman"/>
                <w:i/>
                <w:iCs/>
              </w:rPr>
              <w:t>P+R</w:t>
            </w:r>
            <w:r w:rsidR="00BF0B5E" w:rsidRPr="00B44B19">
              <w:rPr>
                <w:rFonts w:ascii="Times New Roman" w:eastAsia="Times New Roman" w:hAnsi="Times New Roman" w:cs="Times New Roman"/>
              </w:rPr>
              <w:t xml:space="preserve">“ aikšteles, integruotas su viešuoju transportu, už miestų centrų ir kt. DJMP </w:t>
            </w:r>
            <w:r w:rsidR="00B10AE4" w:rsidRPr="00B44B19">
              <w:rPr>
                <w:rFonts w:ascii="Times New Roman" w:eastAsia="Times New Roman" w:hAnsi="Times New Roman" w:cs="Times New Roman"/>
              </w:rPr>
              <w:t>numatytas priemones</w:t>
            </w:r>
            <w:r w:rsidR="00BF0B5E" w:rsidRPr="00B44B19">
              <w:rPr>
                <w:rFonts w:ascii="Times New Roman" w:eastAsia="Times New Roman" w:hAnsi="Times New Roman" w:cs="Times New Roman"/>
              </w:rPr>
              <w:t xml:space="preserve">). </w:t>
            </w:r>
            <w:r w:rsidRPr="00B44B19">
              <w:rPr>
                <w:rFonts w:ascii="Times New Roman" w:eastAsia="Times New Roman" w:hAnsi="Times New Roman" w:cs="Times New Roman"/>
              </w:rPr>
              <w:t>Įgyven</w:t>
            </w:r>
            <w:r w:rsidR="00F30904" w:rsidRPr="00B44B19">
              <w:rPr>
                <w:rFonts w:ascii="Times New Roman" w:eastAsia="Times New Roman" w:hAnsi="Times New Roman" w:cs="Times New Roman"/>
              </w:rPr>
              <w:t>dinant darnaus judumo priemones</w:t>
            </w:r>
            <w:r w:rsidRPr="00B44B19">
              <w:rPr>
                <w:rFonts w:ascii="Times New Roman" w:eastAsia="Times New Roman" w:hAnsi="Times New Roman" w:cs="Times New Roman"/>
              </w:rPr>
              <w:t xml:space="preserve"> bus siekiama užtikrinti transporto rūšių integraciją ir subalansuotą judumo sistemų plėtrą, apimančią šias sritis: viešąjį transportą</w:t>
            </w:r>
            <w:r w:rsidR="00F30904" w:rsidRPr="00B44B19">
              <w:rPr>
                <w:rFonts w:ascii="Times New Roman" w:eastAsia="Times New Roman" w:hAnsi="Times New Roman" w:cs="Times New Roman"/>
              </w:rPr>
              <w:t xml:space="preserve">, bevariklį </w:t>
            </w:r>
            <w:r w:rsidRPr="00B44B19">
              <w:rPr>
                <w:rFonts w:ascii="Times New Roman" w:eastAsia="Times New Roman" w:hAnsi="Times New Roman" w:cs="Times New Roman"/>
              </w:rPr>
              <w:t>transportą, eismo saugą ir saugumą, modalinį pasiskirstymą, eismo organizavimo valdymą, transporto sistemos visuotinumą ir žmonių</w:t>
            </w:r>
            <w:r w:rsidR="00F30904" w:rsidRPr="00B44B19">
              <w:rPr>
                <w:rFonts w:ascii="Times New Roman" w:eastAsia="Times New Roman" w:hAnsi="Times New Roman" w:cs="Times New Roman"/>
              </w:rPr>
              <w:t>,</w:t>
            </w:r>
            <w:r w:rsidRPr="00B44B19">
              <w:rPr>
                <w:rFonts w:ascii="Times New Roman" w:eastAsia="Times New Roman" w:hAnsi="Times New Roman" w:cs="Times New Roman"/>
              </w:rPr>
              <w:t xml:space="preserve"> turinčių </w:t>
            </w:r>
            <w:r w:rsidR="00AC088F" w:rsidRPr="00B44B19">
              <w:rPr>
                <w:rFonts w:ascii="Times New Roman" w:eastAsia="Times New Roman" w:hAnsi="Times New Roman" w:cs="Times New Roman"/>
              </w:rPr>
              <w:t>individualių</w:t>
            </w:r>
            <w:r w:rsidRPr="00B44B19">
              <w:rPr>
                <w:rFonts w:ascii="Times New Roman" w:eastAsia="Times New Roman" w:hAnsi="Times New Roman" w:cs="Times New Roman"/>
              </w:rPr>
              <w:t xml:space="preserve"> poreikių</w:t>
            </w:r>
            <w:r w:rsidR="00F30904" w:rsidRPr="00B44B19">
              <w:rPr>
                <w:rFonts w:ascii="Times New Roman" w:eastAsia="Times New Roman" w:hAnsi="Times New Roman" w:cs="Times New Roman"/>
              </w:rPr>
              <w:t>,</w:t>
            </w:r>
            <w:r w:rsidRPr="00B44B19">
              <w:rPr>
                <w:rFonts w:ascii="Times New Roman" w:eastAsia="Times New Roman" w:hAnsi="Times New Roman" w:cs="Times New Roman"/>
              </w:rPr>
              <w:t xml:space="preserve"> įtrauktį, aplinką mažiau teršiantį transportą, </w:t>
            </w:r>
            <w:r w:rsidR="007633AE" w:rsidRPr="00B44B19">
              <w:rPr>
                <w:rFonts w:ascii="Times New Roman" w:eastAsia="Times New Roman" w:hAnsi="Times New Roman" w:cs="Times New Roman"/>
              </w:rPr>
              <w:t>ITS</w:t>
            </w:r>
            <w:r w:rsidRPr="00B44B19">
              <w:rPr>
                <w:rFonts w:ascii="Times New Roman" w:eastAsia="Times New Roman" w:hAnsi="Times New Roman" w:cs="Times New Roman"/>
              </w:rPr>
              <w:t>.</w:t>
            </w:r>
          </w:p>
          <w:p w14:paraId="02033E5E" w14:textId="77777777" w:rsidR="00EA57D7" w:rsidRPr="00B44B19" w:rsidRDefault="00334B0C" w:rsidP="00E67E5C">
            <w:pPr>
              <w:tabs>
                <w:tab w:val="left" w:pos="142"/>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r w:rsidR="00F30904" w:rsidRPr="00B44B19">
              <w:rPr>
                <w:rFonts w:ascii="Times New Roman" w:eastAsia="Times New Roman" w:hAnsi="Times New Roman" w:cs="Times New Roman"/>
                <w:noProof/>
              </w:rPr>
              <w:t>.</w:t>
            </w:r>
          </w:p>
        </w:tc>
      </w:tr>
    </w:tbl>
    <w:p w14:paraId="2AE1C976" w14:textId="77777777" w:rsidR="00316179" w:rsidRPr="00B44B19" w:rsidRDefault="00316179" w:rsidP="00C34645">
      <w:pPr>
        <w:pStyle w:val="Stilius1"/>
        <w:rPr>
          <w:rFonts w:cs="Times New Roman"/>
        </w:rPr>
      </w:pPr>
      <w:r w:rsidRPr="00B44B19">
        <w:rPr>
          <w:rFonts w:cs="Times New Roman"/>
        </w:rPr>
        <w:lastRenderedPageBreak/>
        <w:t>Pagrindinės tikslinės grupės</w:t>
      </w:r>
    </w:p>
    <w:tbl>
      <w:tblPr>
        <w:tblStyle w:val="Lentelstinklelis2"/>
        <w:tblW w:w="0" w:type="auto"/>
        <w:tblLook w:val="04A0" w:firstRow="1" w:lastRow="0" w:firstColumn="1" w:lastColumn="0" w:noHBand="0" w:noVBand="1"/>
      </w:tblPr>
      <w:tblGrid>
        <w:gridCol w:w="9628"/>
      </w:tblGrid>
      <w:tr w:rsidR="00316179" w:rsidRPr="00B44B19" w14:paraId="72F67CA3" w14:textId="77777777" w:rsidTr="00364C46">
        <w:tc>
          <w:tcPr>
            <w:tcW w:w="9854" w:type="dxa"/>
          </w:tcPr>
          <w:p w14:paraId="32FA8876" w14:textId="77777777" w:rsidR="00F30904" w:rsidRPr="00B44B19" w:rsidRDefault="00F30904" w:rsidP="00E67E5C">
            <w:pPr>
              <w:spacing w:before="60" w:after="60"/>
              <w:jc w:val="both"/>
              <w:rPr>
                <w:rFonts w:ascii="Times New Roman" w:hAnsi="Times New Roman" w:cs="Times New Roman"/>
                <w:iCs/>
              </w:rPr>
            </w:pPr>
            <w:bookmarkStart w:id="71" w:name="_Hlk88916830"/>
            <w:r w:rsidRPr="00B44B19">
              <w:rPr>
                <w:rFonts w:ascii="Times New Roman" w:hAnsi="Times New Roman" w:cs="Times New Roman"/>
                <w:iCs/>
              </w:rPr>
              <w:t>18 savivaldybių, parengusių DJMP, pasinaudojant ES 2014</w:t>
            </w:r>
            <w:r w:rsidRPr="00B44B19">
              <w:rPr>
                <w:rFonts w:ascii="Times New Roman" w:hAnsi="Times New Roman" w:cs="Times New Roman"/>
                <w:bCs/>
              </w:rPr>
              <w:t>–</w:t>
            </w:r>
            <w:r w:rsidRPr="00B44B19">
              <w:rPr>
                <w:rFonts w:ascii="Times New Roman" w:hAnsi="Times New Roman" w:cs="Times New Roman"/>
              </w:rPr>
              <w:t>2020 m. lėšomis,</w:t>
            </w:r>
            <w:r w:rsidRPr="00B44B19">
              <w:rPr>
                <w:rFonts w:ascii="Times New Roman" w:hAnsi="Times New Roman" w:cs="Times New Roman"/>
                <w:iCs/>
              </w:rPr>
              <w:t xml:space="preserve"> </w:t>
            </w:r>
            <w:bookmarkEnd w:id="71"/>
            <w:r w:rsidRPr="00B44B19">
              <w:rPr>
                <w:rFonts w:ascii="Times New Roman" w:hAnsi="Times New Roman" w:cs="Times New Roman"/>
                <w:iCs/>
              </w:rPr>
              <w:t>gyventojai ir mieste besilankantys asmenys gaus naudos įdiegus darnaus judumo priemones.</w:t>
            </w:r>
          </w:p>
          <w:p w14:paraId="40F7CD53" w14:textId="0EAB219E" w:rsidR="006E009F" w:rsidRPr="00B44B19" w:rsidRDefault="006E009F" w:rsidP="00E67E5C">
            <w:pPr>
              <w:spacing w:before="60" w:after="60"/>
              <w:jc w:val="both"/>
              <w:rPr>
                <w:rFonts w:ascii="Times New Roman" w:hAnsi="Times New Roman" w:cs="Times New Roman"/>
                <w:iCs/>
              </w:rPr>
            </w:pPr>
            <w:r w:rsidRPr="00B44B19">
              <w:rPr>
                <w:rFonts w:ascii="Times New Roman" w:hAnsi="Times New Roman" w:cs="Times New Roman"/>
                <w:iCs/>
              </w:rPr>
              <w:t>Viešojo transporto priemonių parko atnaujinimo investicijų atveju, ir kitų 42 savivaldybių, kurios ES 2014–2020 m. lėšomis nerengė DJMP, gyventojai ir mieste besilankantys asmenys.</w:t>
            </w:r>
          </w:p>
          <w:p w14:paraId="5051F37A" w14:textId="77777777" w:rsidR="00316179" w:rsidRPr="00B44B19" w:rsidRDefault="00AB6D07" w:rsidP="00E67E5C">
            <w:pPr>
              <w:spacing w:before="60" w:after="60"/>
              <w:jc w:val="both"/>
              <w:rPr>
                <w:rFonts w:ascii="Times New Roman" w:hAnsi="Times New Roman" w:cs="Times New Roman"/>
              </w:rPr>
            </w:pPr>
            <w:r w:rsidRPr="00B44B19">
              <w:rPr>
                <w:rFonts w:ascii="Times New Roman" w:hAnsi="Times New Roman" w:cs="Times New Roman"/>
                <w:iCs/>
              </w:rPr>
              <w:lastRenderedPageBreak/>
              <w:t>Nulinės emisijos vietinio susisiekimo viešojo transporto priemonių naudotojai.</w:t>
            </w:r>
          </w:p>
        </w:tc>
      </w:tr>
    </w:tbl>
    <w:p w14:paraId="470AEECA" w14:textId="77777777" w:rsidR="00316179" w:rsidRPr="00B44B19" w:rsidRDefault="00316179" w:rsidP="00C34645">
      <w:pPr>
        <w:pStyle w:val="Stilius1"/>
        <w:rPr>
          <w:rFonts w:eastAsia="Times New Roman" w:cs="Times New Roman"/>
          <w:iCs/>
          <w:noProof/>
          <w:lang w:eastAsia="lt-LT" w:bidi="lt-LT"/>
        </w:rPr>
      </w:pPr>
      <w:r w:rsidRPr="00B44B19">
        <w:rPr>
          <w:rFonts w:cs="Times New Roman"/>
          <w:noProof/>
          <w:lang w:eastAsia="lt-LT" w:bidi="lt-LT"/>
        </w:rPr>
        <w:lastRenderedPageBreak/>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7F6814" w:rsidRPr="00B44B19" w14:paraId="495A17C3" w14:textId="77777777" w:rsidTr="007F6814">
        <w:tc>
          <w:tcPr>
            <w:tcW w:w="9854" w:type="dxa"/>
          </w:tcPr>
          <w:p w14:paraId="097785F1" w14:textId="6CB85025" w:rsidR="00C34645" w:rsidRPr="00B44B19" w:rsidRDefault="007F6814" w:rsidP="00E67E5C">
            <w:pPr>
              <w:pStyle w:val="Stilius1"/>
              <w:spacing w:before="60" w:after="60"/>
              <w:rPr>
                <w:rFonts w:cs="Times New Roman"/>
                <w:b w:val="0"/>
                <w:i w:val="0"/>
                <w:color w:val="auto"/>
                <w:sz w:val="22"/>
              </w:rPr>
            </w:pPr>
            <w:r w:rsidRPr="00B44B19">
              <w:rPr>
                <w:rFonts w:cs="Times New Roman"/>
                <w:b w:val="0"/>
                <w:i w:val="0"/>
                <w:color w:val="auto"/>
                <w:sz w:val="22"/>
                <w:lang w:bidi="lt-LT"/>
              </w:rPr>
              <w:t xml:space="preserve">Vykdant numatytas veiklas bus siekiama užtikrinti lygybės, įtraukties ir nediskriminavimo principus. Kuriama transporto infrastruktūra ar </w:t>
            </w:r>
            <w:r w:rsidR="00310D7A" w:rsidRPr="00B44B19">
              <w:rPr>
                <w:rFonts w:cs="Times New Roman"/>
                <w:b w:val="0"/>
                <w:i w:val="0"/>
                <w:color w:val="auto"/>
                <w:sz w:val="22"/>
                <w:lang w:bidi="lt-LT"/>
              </w:rPr>
              <w:t>įsigyjamos</w:t>
            </w:r>
            <w:r w:rsidRPr="00B44B19">
              <w:rPr>
                <w:rFonts w:cs="Times New Roman"/>
                <w:b w:val="0"/>
                <w:i w:val="0"/>
                <w:color w:val="auto"/>
                <w:sz w:val="22"/>
                <w:lang w:bidi="lt-LT"/>
              </w:rPr>
              <w:t xml:space="preserve"> transporto priemonės b</w:t>
            </w:r>
            <w:r w:rsidR="0060051F" w:rsidRPr="00B44B19">
              <w:rPr>
                <w:rFonts w:cs="Times New Roman"/>
                <w:b w:val="0"/>
                <w:i w:val="0"/>
                <w:color w:val="auto"/>
                <w:sz w:val="22"/>
                <w:lang w:bidi="lt-LT"/>
              </w:rPr>
              <w:t>us pritaikytos naudotis žmonėms, turintiems individualių poreikių.</w:t>
            </w:r>
            <w:r w:rsidR="00D25B0B" w:rsidRPr="00B44B19">
              <w:rPr>
                <w:rFonts w:cs="Times New Roman"/>
                <w:b w:val="0"/>
                <w:i w:val="0"/>
                <w:color w:val="auto"/>
                <w:sz w:val="22"/>
                <w:lang w:bidi="lt-LT"/>
              </w:rPr>
              <w:t xml:space="preserve"> Plėtojant elektra varomų transporto priemonių įkrovimo infrastruktūrą bus užtikrinamas plėtojamos infrastruktūros prieinamumas ir v</w:t>
            </w:r>
            <w:r w:rsidR="00D25B0B" w:rsidRPr="00B44B19">
              <w:rPr>
                <w:rFonts w:cs="Times New Roman"/>
                <w:b w:val="0"/>
                <w:bCs/>
                <w:i w:val="0"/>
                <w:iCs/>
                <w:color w:val="auto"/>
                <w:sz w:val="22"/>
              </w:rPr>
              <w:t>eiksminga nediskriminacinė prieiga visiems naudotojams.</w:t>
            </w:r>
          </w:p>
        </w:tc>
      </w:tr>
    </w:tbl>
    <w:p w14:paraId="204E69EF" w14:textId="77777777" w:rsidR="00316179" w:rsidRPr="00B44B19" w:rsidRDefault="00316179" w:rsidP="00C34645">
      <w:pPr>
        <w:pStyle w:val="Stilius1"/>
        <w:rPr>
          <w:rFonts w:cs="Times New Roman"/>
        </w:rPr>
      </w:pPr>
      <w:r w:rsidRPr="00B44B19">
        <w:rPr>
          <w:rFonts w:cs="Times New Roman"/>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316179" w:rsidRPr="00B44B19" w14:paraId="26E7A5F0" w14:textId="77777777" w:rsidTr="00364C46">
        <w:tc>
          <w:tcPr>
            <w:tcW w:w="9854" w:type="dxa"/>
          </w:tcPr>
          <w:p w14:paraId="7B42C459" w14:textId="77777777" w:rsidR="00767B7E" w:rsidRPr="00B44B19" w:rsidRDefault="00767B7E" w:rsidP="00E67E5C">
            <w:pPr>
              <w:spacing w:before="60" w:after="60"/>
              <w:jc w:val="both"/>
              <w:rPr>
                <w:rFonts w:ascii="Times New Roman" w:hAnsi="Times New Roman" w:cs="Times New Roman"/>
                <w:iCs/>
                <w:spacing w:val="-4"/>
              </w:rPr>
            </w:pPr>
            <w:r w:rsidRPr="00B44B19">
              <w:rPr>
                <w:rFonts w:ascii="Times New Roman" w:hAnsi="Times New Roman" w:cs="Times New Roman"/>
                <w:iCs/>
                <w:spacing w:val="-4"/>
              </w:rPr>
              <w:t>Visa Lietuva, VVL regionas</w:t>
            </w:r>
          </w:p>
          <w:p w14:paraId="4B7371F5" w14:textId="77777777" w:rsidR="00767B7E" w:rsidRPr="00B44B19" w:rsidRDefault="00767B7E" w:rsidP="00E67E5C">
            <w:pPr>
              <w:spacing w:before="60" w:after="60"/>
              <w:jc w:val="both"/>
              <w:rPr>
                <w:rFonts w:ascii="Times New Roman" w:hAnsi="Times New Roman" w:cs="Times New Roman"/>
                <w:iCs/>
                <w:spacing w:val="-4"/>
              </w:rPr>
            </w:pPr>
            <w:r w:rsidRPr="00B44B19">
              <w:rPr>
                <w:rFonts w:ascii="Times New Roman" w:hAnsi="Times New Roman" w:cs="Times New Roman"/>
                <w:iCs/>
                <w:spacing w:val="-4"/>
              </w:rPr>
              <w:t xml:space="preserve">Uždavinio investicijomis gali būti remiama dalis tvarios miestų ir </w:t>
            </w:r>
            <w:r w:rsidR="004C2FDD" w:rsidRPr="00B44B19">
              <w:rPr>
                <w:rFonts w:ascii="Times New Roman" w:hAnsi="Times New Roman" w:cs="Times New Roman"/>
                <w:iCs/>
                <w:spacing w:val="-4"/>
              </w:rPr>
              <w:t>FZ</w:t>
            </w:r>
            <w:r w:rsidRPr="00B44B19">
              <w:rPr>
                <w:rFonts w:ascii="Times New Roman" w:hAnsi="Times New Roman" w:cs="Times New Roman"/>
                <w:iCs/>
                <w:spacing w:val="-4"/>
              </w:rPr>
              <w:t xml:space="preserve"> plėtros veiksmų įgyvendinamų </w:t>
            </w:r>
            <w:r w:rsidR="00F30904" w:rsidRPr="00B44B19">
              <w:rPr>
                <w:rFonts w:ascii="Times New Roman" w:hAnsi="Times New Roman" w:cs="Times New Roman"/>
                <w:iCs/>
                <w:spacing w:val="-4"/>
              </w:rPr>
              <w:t>ITI lėšomis,</w:t>
            </w:r>
            <w:r w:rsidRPr="00B44B19">
              <w:rPr>
                <w:rFonts w:ascii="Times New Roman" w:hAnsi="Times New Roman" w:cs="Times New Roman"/>
                <w:iCs/>
                <w:spacing w:val="-4"/>
              </w:rPr>
              <w:t xml:space="preserve"> šias investicijas derinant su </w:t>
            </w:r>
            <w:r w:rsidR="0073450E" w:rsidRPr="00B44B19">
              <w:rPr>
                <w:rFonts w:ascii="Times New Roman" w:hAnsi="Times New Roman" w:cs="Times New Roman"/>
                <w:iCs/>
                <w:spacing w:val="-4"/>
              </w:rPr>
              <w:t>Programos</w:t>
            </w:r>
            <w:r w:rsidRPr="00B44B19">
              <w:rPr>
                <w:rFonts w:ascii="Times New Roman" w:hAnsi="Times New Roman" w:cs="Times New Roman"/>
                <w:iCs/>
                <w:spacing w:val="-4"/>
              </w:rPr>
              <w:t xml:space="preserve"> 5 prioriteto investicijomis siekiant bendrų tikslų </w:t>
            </w:r>
            <w:r w:rsidRPr="00B44B19">
              <w:rPr>
                <w:rFonts w:ascii="Times New Roman" w:hAnsi="Times New Roman" w:cs="Times New Roman"/>
                <w:b/>
                <w:bCs/>
                <w:iCs/>
                <w:spacing w:val="-4"/>
              </w:rPr>
              <w:t xml:space="preserve">darnaus judumo </w:t>
            </w:r>
            <w:r w:rsidR="00F30904" w:rsidRPr="00B44B19">
              <w:rPr>
                <w:rFonts w:ascii="Times New Roman" w:hAnsi="Times New Roman" w:cs="Times New Roman"/>
                <w:b/>
                <w:bCs/>
                <w:iCs/>
                <w:spacing w:val="-4"/>
              </w:rPr>
              <w:t>miestuose</w:t>
            </w:r>
            <w:r w:rsidR="00F30904" w:rsidRPr="00B44B19">
              <w:rPr>
                <w:rFonts w:ascii="Times New Roman" w:hAnsi="Times New Roman" w:cs="Times New Roman"/>
                <w:iCs/>
                <w:spacing w:val="-4"/>
              </w:rPr>
              <w:t xml:space="preserve">. Investicijų apimtis ir (ar) </w:t>
            </w:r>
            <w:r w:rsidRPr="00B44B19">
              <w:rPr>
                <w:rFonts w:ascii="Times New Roman" w:hAnsi="Times New Roman" w:cs="Times New Roman"/>
                <w:iCs/>
                <w:spacing w:val="-4"/>
              </w:rPr>
              <w:t xml:space="preserve">detalumas derinami su atitinkamomis ministerijomis rengiant </w:t>
            </w:r>
            <w:r w:rsidR="00FB2EC7" w:rsidRPr="00B44B19">
              <w:rPr>
                <w:rFonts w:ascii="Times New Roman" w:hAnsi="Times New Roman" w:cs="Times New Roman"/>
                <w:iCs/>
                <w:spacing w:val="-4"/>
              </w:rPr>
              <w:t>n</w:t>
            </w:r>
            <w:r w:rsidRPr="00B44B19">
              <w:rPr>
                <w:rFonts w:ascii="Times New Roman" w:hAnsi="Times New Roman" w:cs="Times New Roman"/>
                <w:iCs/>
                <w:spacing w:val="-4"/>
              </w:rPr>
              <w:t>acionalines plėtros programas</w:t>
            </w:r>
            <w:r w:rsidR="00FB2EC7" w:rsidRPr="00B44B19">
              <w:rPr>
                <w:rFonts w:ascii="Times New Roman" w:hAnsi="Times New Roman" w:cs="Times New Roman"/>
                <w:iCs/>
                <w:spacing w:val="-4"/>
              </w:rPr>
              <w:t xml:space="preserve"> ir teritorines strategijas</w:t>
            </w:r>
            <w:r w:rsidRPr="00B44B19">
              <w:rPr>
                <w:rFonts w:ascii="Times New Roman" w:hAnsi="Times New Roman" w:cs="Times New Roman"/>
                <w:iCs/>
                <w:spacing w:val="-4"/>
              </w:rPr>
              <w:t xml:space="preserve"> ir priklauso nuo pasirenkamų uždavinių turinio.</w:t>
            </w:r>
          </w:p>
        </w:tc>
      </w:tr>
    </w:tbl>
    <w:p w14:paraId="1FD5AB2D" w14:textId="77777777" w:rsidR="00316179" w:rsidRPr="00B44B19" w:rsidRDefault="00316179" w:rsidP="00C34645">
      <w:pPr>
        <w:pStyle w:val="Stilius1"/>
        <w:rPr>
          <w:rFonts w:cs="Times New Roman"/>
        </w:rPr>
      </w:pPr>
      <w:r w:rsidRPr="00B44B19">
        <w:rPr>
          <w:rFonts w:cs="Times New Roman"/>
        </w:rPr>
        <w:t>Tarpregioniniai, tarp sienų ir tarpvalstybiniai veiksmai</w:t>
      </w:r>
    </w:p>
    <w:tbl>
      <w:tblPr>
        <w:tblStyle w:val="Lentelstinklelis2"/>
        <w:tblW w:w="0" w:type="auto"/>
        <w:tblLook w:val="04A0" w:firstRow="1" w:lastRow="0" w:firstColumn="1" w:lastColumn="0" w:noHBand="0" w:noVBand="1"/>
      </w:tblPr>
      <w:tblGrid>
        <w:gridCol w:w="9628"/>
      </w:tblGrid>
      <w:tr w:rsidR="00316179" w:rsidRPr="00B44B19" w14:paraId="293DE6B8" w14:textId="77777777" w:rsidTr="00364C46">
        <w:tc>
          <w:tcPr>
            <w:tcW w:w="9854" w:type="dxa"/>
          </w:tcPr>
          <w:p w14:paraId="63149FA8" w14:textId="77777777" w:rsidR="00316179" w:rsidRPr="00B44B19" w:rsidRDefault="00316179" w:rsidP="00E67E5C">
            <w:pPr>
              <w:spacing w:before="60" w:after="60"/>
              <w:jc w:val="both"/>
              <w:rPr>
                <w:rFonts w:ascii="Times New Roman" w:hAnsi="Times New Roman" w:cs="Times New Roman"/>
              </w:rPr>
            </w:pPr>
            <w:r w:rsidRPr="00B44B19">
              <w:rPr>
                <w:rFonts w:ascii="Times New Roman" w:hAnsi="Times New Roman" w:cs="Times New Roman"/>
              </w:rPr>
              <w:t>Netaikoma</w:t>
            </w:r>
          </w:p>
        </w:tc>
      </w:tr>
    </w:tbl>
    <w:p w14:paraId="46C8EFE5" w14:textId="77777777" w:rsidR="00316179" w:rsidRPr="00B44B19" w:rsidRDefault="00316179" w:rsidP="00C34645">
      <w:pPr>
        <w:pStyle w:val="Stilius1"/>
        <w:rPr>
          <w:rFonts w:cs="Times New Roman"/>
        </w:rPr>
      </w:pPr>
      <w:r w:rsidRPr="00B44B19">
        <w:rPr>
          <w:rFonts w:cs="Times New Roman"/>
        </w:rPr>
        <w:t>Planuojamas finansinių priemonių naudojimas</w:t>
      </w:r>
    </w:p>
    <w:tbl>
      <w:tblPr>
        <w:tblStyle w:val="Lentelstinklelis2"/>
        <w:tblW w:w="0" w:type="auto"/>
        <w:tblLook w:val="04A0" w:firstRow="1" w:lastRow="0" w:firstColumn="1" w:lastColumn="0" w:noHBand="0" w:noVBand="1"/>
      </w:tblPr>
      <w:tblGrid>
        <w:gridCol w:w="9628"/>
      </w:tblGrid>
      <w:tr w:rsidR="00316179" w:rsidRPr="00B44B19" w14:paraId="36AA0306" w14:textId="77777777" w:rsidTr="00364C46">
        <w:tc>
          <w:tcPr>
            <w:tcW w:w="9854" w:type="dxa"/>
          </w:tcPr>
          <w:p w14:paraId="25A7EFDF" w14:textId="1658503E" w:rsidR="00ED3538" w:rsidRPr="00B44B19" w:rsidRDefault="00265B36" w:rsidP="00E67E5C">
            <w:pPr>
              <w:spacing w:before="60" w:after="60"/>
              <w:jc w:val="both"/>
              <w:rPr>
                <w:rFonts w:ascii="Times New Roman" w:eastAsia="Calibri" w:hAnsi="Times New Roman" w:cs="Times New Roman"/>
                <w:lang w:eastAsia="lt-LT"/>
              </w:rPr>
            </w:pPr>
            <w:r w:rsidRPr="00B44B19">
              <w:rPr>
                <w:rFonts w:ascii="Times New Roman" w:eastAsia="Calibri" w:hAnsi="Times New Roman" w:cs="Times New Roman"/>
                <w:lang w:eastAsia="lt-LT"/>
              </w:rPr>
              <w:t>–</w:t>
            </w:r>
          </w:p>
        </w:tc>
      </w:tr>
    </w:tbl>
    <w:p w14:paraId="3342BBD2" w14:textId="77777777" w:rsidR="00316179" w:rsidRPr="00B44B19" w:rsidRDefault="00316179" w:rsidP="00C34645">
      <w:pPr>
        <w:pStyle w:val="Stilius1"/>
        <w:rPr>
          <w:rFonts w:cs="Times New Roman"/>
        </w:rPr>
      </w:pPr>
      <w:r w:rsidRPr="00B44B19">
        <w:rPr>
          <w:rFonts w:cs="Times New Roman"/>
        </w:rPr>
        <w:t>Rodikliai</w:t>
      </w:r>
    </w:p>
    <w:p w14:paraId="222C3B70" w14:textId="77777777" w:rsidR="00316179" w:rsidRPr="00B44B19" w:rsidRDefault="00316179" w:rsidP="008F2A82">
      <w:pPr>
        <w:spacing w:before="240" w:after="0" w:line="240" w:lineRule="auto"/>
        <w:jc w:val="both"/>
        <w:rPr>
          <w:rFonts w:cs="Times New Roman"/>
          <w:b/>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767B7E" w:rsidRPr="00B44B19" w14:paraId="01F5E7E9" w14:textId="77777777" w:rsidTr="00E67E5C">
        <w:trPr>
          <w:trHeight w:val="700"/>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F0EA7E"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609D18"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779D5"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89D199"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3A9FAB"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0C28BC"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835DF5"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B8598B"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5005A8" w14:textId="77777777" w:rsidR="00767B7E" w:rsidRPr="00B44B19" w:rsidRDefault="00767B7E" w:rsidP="00C93D8C">
            <w:pPr>
              <w:spacing w:after="0" w:line="240" w:lineRule="auto"/>
              <w:jc w:val="center"/>
              <w:rPr>
                <w:rFonts w:cs="Times New Roman"/>
                <w:b/>
                <w:noProof/>
                <w:sz w:val="16"/>
                <w:szCs w:val="16"/>
              </w:rPr>
            </w:pPr>
            <w:r w:rsidRPr="00B44B19">
              <w:rPr>
                <w:rFonts w:cs="Times New Roman"/>
                <w:b/>
                <w:noProof/>
                <w:sz w:val="16"/>
                <w:szCs w:val="16"/>
              </w:rPr>
              <w:t>Siek</w:t>
            </w:r>
            <w:r w:rsidR="00AB423B" w:rsidRPr="00B44B19">
              <w:rPr>
                <w:rFonts w:cs="Times New Roman"/>
                <w:b/>
                <w:noProof/>
                <w:sz w:val="16"/>
                <w:szCs w:val="16"/>
              </w:rPr>
              <w:t>tina reikšmė</w:t>
            </w:r>
            <w:r w:rsidRPr="00B44B19">
              <w:rPr>
                <w:rFonts w:cs="Times New Roman"/>
                <w:b/>
                <w:noProof/>
                <w:sz w:val="16"/>
                <w:szCs w:val="16"/>
              </w:rPr>
              <w:t xml:space="preserve"> (2029 m.)</w:t>
            </w:r>
          </w:p>
        </w:tc>
      </w:tr>
      <w:tr w:rsidR="00B10447" w:rsidRPr="00B44B19" w14:paraId="399EE109" w14:textId="77777777" w:rsidTr="00C93D8C">
        <w:trPr>
          <w:trHeight w:val="332"/>
        </w:trPr>
        <w:tc>
          <w:tcPr>
            <w:tcW w:w="497" w:type="pct"/>
            <w:vMerge w:val="restart"/>
            <w:tcBorders>
              <w:top w:val="single" w:sz="12" w:space="0" w:color="auto"/>
            </w:tcBorders>
          </w:tcPr>
          <w:p w14:paraId="51CE7C15" w14:textId="77777777" w:rsidR="00B10447" w:rsidRPr="00B44B19" w:rsidRDefault="00B10447" w:rsidP="00C93D8C">
            <w:pPr>
              <w:spacing w:after="0" w:line="240" w:lineRule="auto"/>
              <w:jc w:val="both"/>
              <w:rPr>
                <w:rFonts w:cs="Times New Roman"/>
                <w:noProof/>
                <w:sz w:val="16"/>
                <w:szCs w:val="16"/>
              </w:rPr>
            </w:pPr>
            <w:r w:rsidRPr="00B44B19">
              <w:rPr>
                <w:rFonts w:cs="Times New Roman"/>
                <w:noProof/>
                <w:sz w:val="16"/>
                <w:szCs w:val="16"/>
              </w:rPr>
              <w:t>8.</w:t>
            </w:r>
          </w:p>
        </w:tc>
        <w:tc>
          <w:tcPr>
            <w:tcW w:w="503" w:type="pct"/>
            <w:vMerge w:val="restart"/>
            <w:tcBorders>
              <w:top w:val="single" w:sz="12" w:space="0" w:color="auto"/>
            </w:tcBorders>
          </w:tcPr>
          <w:p w14:paraId="797B126F" w14:textId="77777777" w:rsidR="00B10447" w:rsidRPr="00B44B19" w:rsidRDefault="00B10447" w:rsidP="00C93D8C">
            <w:pPr>
              <w:spacing w:after="0" w:line="240" w:lineRule="auto"/>
              <w:jc w:val="both"/>
              <w:rPr>
                <w:rFonts w:cs="Times New Roman"/>
                <w:noProof/>
                <w:sz w:val="16"/>
                <w:szCs w:val="16"/>
              </w:rPr>
            </w:pPr>
            <w:r w:rsidRPr="00B44B19">
              <w:rPr>
                <w:rFonts w:cs="Times New Roman"/>
                <w:noProof/>
                <w:sz w:val="16"/>
                <w:szCs w:val="16"/>
              </w:rPr>
              <w:t>8.1.</w:t>
            </w:r>
          </w:p>
        </w:tc>
        <w:tc>
          <w:tcPr>
            <w:tcW w:w="432" w:type="pct"/>
            <w:vMerge w:val="restart"/>
            <w:tcBorders>
              <w:top w:val="single" w:sz="12" w:space="0" w:color="auto"/>
            </w:tcBorders>
          </w:tcPr>
          <w:p w14:paraId="017F373F" w14:textId="77777777" w:rsidR="00B10447" w:rsidRPr="00B44B19" w:rsidRDefault="00B10447" w:rsidP="00C93D8C">
            <w:pPr>
              <w:spacing w:after="0" w:line="240" w:lineRule="auto"/>
              <w:jc w:val="both"/>
              <w:rPr>
                <w:rFonts w:cs="Times New Roman"/>
                <w:noProof/>
                <w:sz w:val="16"/>
                <w:szCs w:val="16"/>
              </w:rPr>
            </w:pPr>
            <w:r w:rsidRPr="00B44B19">
              <w:rPr>
                <w:rFonts w:cs="Times New Roman"/>
                <w:noProof/>
                <w:sz w:val="16"/>
                <w:szCs w:val="16"/>
              </w:rPr>
              <w:t>ERPF</w:t>
            </w:r>
          </w:p>
        </w:tc>
        <w:tc>
          <w:tcPr>
            <w:tcW w:w="502" w:type="pct"/>
            <w:vMerge w:val="restart"/>
            <w:tcBorders>
              <w:top w:val="single" w:sz="12" w:space="0" w:color="auto"/>
            </w:tcBorders>
          </w:tcPr>
          <w:p w14:paraId="08771660" w14:textId="77777777" w:rsidR="00B10447" w:rsidRPr="00B44B19" w:rsidRDefault="00B10447" w:rsidP="00C93D8C">
            <w:pPr>
              <w:spacing w:after="0" w:line="240" w:lineRule="auto"/>
              <w:jc w:val="both"/>
              <w:rPr>
                <w:rFonts w:cs="Times New Roman"/>
                <w:noProof/>
                <w:sz w:val="16"/>
                <w:szCs w:val="16"/>
              </w:rPr>
            </w:pPr>
            <w:r w:rsidRPr="00B44B19">
              <w:rPr>
                <w:rFonts w:cs="Times New Roman"/>
                <w:noProof/>
                <w:sz w:val="16"/>
                <w:szCs w:val="16"/>
              </w:rPr>
              <w:t>VVL regionas</w:t>
            </w:r>
          </w:p>
        </w:tc>
        <w:tc>
          <w:tcPr>
            <w:tcW w:w="645" w:type="pct"/>
            <w:tcBorders>
              <w:top w:val="single" w:sz="12" w:space="0" w:color="auto"/>
              <w:bottom w:val="single" w:sz="4" w:space="0" w:color="auto"/>
            </w:tcBorders>
          </w:tcPr>
          <w:p w14:paraId="5BA213FA"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RCO57</w:t>
            </w:r>
          </w:p>
        </w:tc>
        <w:tc>
          <w:tcPr>
            <w:tcW w:w="931" w:type="pct"/>
            <w:tcBorders>
              <w:top w:val="single" w:sz="12" w:space="0" w:color="auto"/>
              <w:bottom w:val="single" w:sz="4" w:space="0" w:color="auto"/>
            </w:tcBorders>
          </w:tcPr>
          <w:p w14:paraId="73E53E83" w14:textId="77777777" w:rsidR="00B10447" w:rsidRPr="00B44B19" w:rsidRDefault="00B10447" w:rsidP="00C93D8C">
            <w:pPr>
              <w:tabs>
                <w:tab w:val="left" w:pos="315"/>
                <w:tab w:val="left" w:pos="457"/>
              </w:tabs>
              <w:spacing w:after="0" w:line="240" w:lineRule="auto"/>
              <w:contextualSpacing/>
              <w:jc w:val="both"/>
              <w:rPr>
                <w:rFonts w:eastAsia="Calibri" w:cs="Times New Roman"/>
                <w:sz w:val="16"/>
                <w:szCs w:val="16"/>
                <w:lang w:eastAsia="en-GB" w:bidi="lt-LT"/>
              </w:rPr>
            </w:pPr>
            <w:r w:rsidRPr="00B44B19">
              <w:rPr>
                <w:rFonts w:cs="Times New Roman"/>
                <w:sz w:val="16"/>
                <w:szCs w:val="16"/>
              </w:rPr>
              <w:t>Kolektyviniam viešajam transportui skirtų ekologiškų riedmenų pajėgumai</w:t>
            </w:r>
          </w:p>
        </w:tc>
        <w:tc>
          <w:tcPr>
            <w:tcW w:w="507" w:type="pct"/>
            <w:tcBorders>
              <w:top w:val="single" w:sz="12" w:space="0" w:color="auto"/>
              <w:bottom w:val="single" w:sz="4" w:space="0" w:color="auto"/>
            </w:tcBorders>
          </w:tcPr>
          <w:p w14:paraId="3C9C2445" w14:textId="77777777" w:rsidR="00B10447" w:rsidRPr="00B44B19" w:rsidRDefault="00B10447" w:rsidP="00BA0DE0">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Keleiviai</w:t>
            </w:r>
          </w:p>
        </w:tc>
        <w:tc>
          <w:tcPr>
            <w:tcW w:w="503" w:type="pct"/>
            <w:tcBorders>
              <w:top w:val="single" w:sz="12" w:space="0" w:color="auto"/>
              <w:bottom w:val="single" w:sz="4" w:space="0" w:color="auto"/>
            </w:tcBorders>
          </w:tcPr>
          <w:p w14:paraId="4D284E7F" w14:textId="77777777" w:rsidR="00B10447" w:rsidRPr="00B44B19" w:rsidRDefault="00B10447" w:rsidP="00A06D27">
            <w:pPr>
              <w:spacing w:after="0" w:line="240" w:lineRule="auto"/>
              <w:jc w:val="center"/>
              <w:rPr>
                <w:rFonts w:cs="Times New Roman"/>
                <w:bCs/>
                <w:noProof/>
                <w:sz w:val="16"/>
                <w:szCs w:val="16"/>
              </w:rPr>
            </w:pPr>
            <w:r w:rsidRPr="00B44B19">
              <w:rPr>
                <w:rFonts w:cs="Times New Roman"/>
                <w:bCs/>
                <w:noProof/>
                <w:sz w:val="16"/>
                <w:szCs w:val="16"/>
              </w:rPr>
              <w:t> 2 790</w:t>
            </w:r>
          </w:p>
        </w:tc>
        <w:tc>
          <w:tcPr>
            <w:tcW w:w="480" w:type="pct"/>
            <w:tcBorders>
              <w:top w:val="single" w:sz="12" w:space="0" w:color="auto"/>
              <w:bottom w:val="single" w:sz="4" w:space="0" w:color="auto"/>
            </w:tcBorders>
          </w:tcPr>
          <w:p w14:paraId="1E583967" w14:textId="550B2440" w:rsidR="00B10447" w:rsidRPr="00B44B19" w:rsidRDefault="00B10447" w:rsidP="001E46B0">
            <w:pPr>
              <w:spacing w:after="0" w:line="240" w:lineRule="auto"/>
              <w:jc w:val="center"/>
              <w:rPr>
                <w:rFonts w:cs="Times New Roman"/>
                <w:bCs/>
                <w:noProof/>
                <w:sz w:val="16"/>
                <w:szCs w:val="16"/>
              </w:rPr>
            </w:pPr>
            <w:r w:rsidRPr="00B44B19">
              <w:rPr>
                <w:rFonts w:cs="Times New Roman"/>
                <w:bCs/>
                <w:noProof/>
                <w:sz w:val="16"/>
                <w:szCs w:val="16"/>
              </w:rPr>
              <w:t> </w:t>
            </w:r>
            <w:r w:rsidR="00265B36" w:rsidRPr="00B44B19">
              <w:rPr>
                <w:rFonts w:cs="Times New Roman"/>
                <w:bCs/>
                <w:noProof/>
                <w:sz w:val="16"/>
                <w:szCs w:val="16"/>
              </w:rPr>
              <w:t>11 520</w:t>
            </w:r>
          </w:p>
        </w:tc>
      </w:tr>
      <w:tr w:rsidR="00B10447" w:rsidRPr="00B44B19" w14:paraId="4D5221D2" w14:textId="77777777" w:rsidTr="00C93D8C">
        <w:trPr>
          <w:trHeight w:val="332"/>
        </w:trPr>
        <w:tc>
          <w:tcPr>
            <w:tcW w:w="497" w:type="pct"/>
            <w:vMerge/>
          </w:tcPr>
          <w:p w14:paraId="1F2BEE16"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73599755"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4F0F93CF"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23A656D3"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3F5DA256"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931" w:type="pct"/>
            <w:tcBorders>
              <w:top w:val="single" w:sz="4" w:space="0" w:color="auto"/>
              <w:bottom w:val="single" w:sz="4" w:space="0" w:color="auto"/>
            </w:tcBorders>
          </w:tcPr>
          <w:p w14:paraId="0629943D" w14:textId="77777777" w:rsidR="00B10447" w:rsidRPr="00B44B19" w:rsidRDefault="00B10447" w:rsidP="00C93D8C">
            <w:pPr>
              <w:autoSpaceDE w:val="0"/>
              <w:autoSpaceDN w:val="0"/>
              <w:adjustRightInd w:val="0"/>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 xml:space="preserve">Įgyvendintos darnaus judumo priemonės </w:t>
            </w:r>
          </w:p>
        </w:tc>
        <w:tc>
          <w:tcPr>
            <w:tcW w:w="507" w:type="pct"/>
            <w:tcBorders>
              <w:top w:val="single" w:sz="4" w:space="0" w:color="auto"/>
              <w:bottom w:val="single" w:sz="4" w:space="0" w:color="auto"/>
            </w:tcBorders>
          </w:tcPr>
          <w:p w14:paraId="04289738"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Skaičius</w:t>
            </w:r>
          </w:p>
        </w:tc>
        <w:tc>
          <w:tcPr>
            <w:tcW w:w="503" w:type="pct"/>
            <w:tcBorders>
              <w:top w:val="single" w:sz="4" w:space="0" w:color="auto"/>
              <w:bottom w:val="single" w:sz="4" w:space="0" w:color="auto"/>
            </w:tcBorders>
          </w:tcPr>
          <w:p w14:paraId="243DF585"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3</w:t>
            </w:r>
          </w:p>
        </w:tc>
        <w:tc>
          <w:tcPr>
            <w:tcW w:w="480" w:type="pct"/>
            <w:tcBorders>
              <w:top w:val="single" w:sz="4" w:space="0" w:color="auto"/>
              <w:bottom w:val="single" w:sz="4" w:space="0" w:color="auto"/>
            </w:tcBorders>
          </w:tcPr>
          <w:p w14:paraId="7800AF4D" w14:textId="277AA144"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26</w:t>
            </w:r>
          </w:p>
        </w:tc>
      </w:tr>
      <w:tr w:rsidR="00B10447" w:rsidRPr="00B44B19" w14:paraId="250C13E5" w14:textId="77777777" w:rsidTr="00C93D8C">
        <w:trPr>
          <w:trHeight w:val="332"/>
        </w:trPr>
        <w:tc>
          <w:tcPr>
            <w:tcW w:w="497" w:type="pct"/>
            <w:vMerge/>
          </w:tcPr>
          <w:p w14:paraId="62E85113"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057B334D"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626BCBF0"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5C7BB484"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10C90F3C"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RCO59</w:t>
            </w:r>
          </w:p>
        </w:tc>
        <w:tc>
          <w:tcPr>
            <w:tcW w:w="931" w:type="pct"/>
            <w:tcBorders>
              <w:top w:val="single" w:sz="4" w:space="0" w:color="auto"/>
              <w:bottom w:val="single" w:sz="4" w:space="0" w:color="auto"/>
            </w:tcBorders>
          </w:tcPr>
          <w:p w14:paraId="0C5A3E20" w14:textId="77777777" w:rsidR="00B10447" w:rsidRPr="00B44B19" w:rsidRDefault="00B10447" w:rsidP="00C93D8C">
            <w:pPr>
              <w:autoSpaceDE w:val="0"/>
              <w:autoSpaceDN w:val="0"/>
              <w:adjustRightInd w:val="0"/>
              <w:spacing w:after="0" w:line="240" w:lineRule="auto"/>
              <w:jc w:val="both"/>
              <w:rPr>
                <w:rFonts w:eastAsia="Calibri" w:cs="Times New Roman"/>
                <w:sz w:val="16"/>
                <w:szCs w:val="16"/>
                <w:lang w:eastAsia="en-GB" w:bidi="lt-LT"/>
              </w:rPr>
            </w:pPr>
            <w:r w:rsidRPr="00B44B19">
              <w:rPr>
                <w:rFonts w:eastAsia="Calibri" w:cs="Times New Roman"/>
                <w:bCs/>
                <w:color w:val="000000"/>
                <w:sz w:val="16"/>
                <w:szCs w:val="16"/>
              </w:rPr>
              <w:t>Alternatyviųjų degalų infrastruktūra (degalų papildymo / įkrovimo punktai)</w:t>
            </w:r>
          </w:p>
        </w:tc>
        <w:tc>
          <w:tcPr>
            <w:tcW w:w="507" w:type="pct"/>
            <w:tcBorders>
              <w:top w:val="single" w:sz="4" w:space="0" w:color="auto"/>
              <w:bottom w:val="single" w:sz="4" w:space="0" w:color="auto"/>
            </w:tcBorders>
          </w:tcPr>
          <w:p w14:paraId="7D0E167B" w14:textId="77777777" w:rsidR="00B10447" w:rsidRPr="00B44B19" w:rsidRDefault="00B10447" w:rsidP="00477B51">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Degalų papildymo / įkrovimo punktai</w:t>
            </w:r>
          </w:p>
        </w:tc>
        <w:tc>
          <w:tcPr>
            <w:tcW w:w="503" w:type="pct"/>
            <w:tcBorders>
              <w:top w:val="single" w:sz="4" w:space="0" w:color="auto"/>
              <w:bottom w:val="single" w:sz="4" w:space="0" w:color="auto"/>
            </w:tcBorders>
          </w:tcPr>
          <w:p w14:paraId="20816A1E"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161</w:t>
            </w:r>
          </w:p>
        </w:tc>
        <w:tc>
          <w:tcPr>
            <w:tcW w:w="480" w:type="pct"/>
            <w:tcBorders>
              <w:top w:val="single" w:sz="4" w:space="0" w:color="auto"/>
              <w:bottom w:val="single" w:sz="4" w:space="0" w:color="auto"/>
            </w:tcBorders>
          </w:tcPr>
          <w:p w14:paraId="1FD0B713" w14:textId="26896467"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776</w:t>
            </w:r>
          </w:p>
        </w:tc>
      </w:tr>
      <w:tr w:rsidR="00B10447" w:rsidRPr="00B44B19" w14:paraId="32F0DE8A" w14:textId="77777777" w:rsidTr="00C93D8C">
        <w:trPr>
          <w:trHeight w:val="332"/>
        </w:trPr>
        <w:tc>
          <w:tcPr>
            <w:tcW w:w="497" w:type="pct"/>
            <w:vMerge/>
          </w:tcPr>
          <w:p w14:paraId="5B63F050"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240708C7"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3CE87A5B"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3DAADA83"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5E8DAB2E"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RCO58</w:t>
            </w:r>
          </w:p>
        </w:tc>
        <w:tc>
          <w:tcPr>
            <w:tcW w:w="931" w:type="pct"/>
            <w:tcBorders>
              <w:top w:val="single" w:sz="4" w:space="0" w:color="auto"/>
              <w:bottom w:val="single" w:sz="4" w:space="0" w:color="auto"/>
            </w:tcBorders>
          </w:tcPr>
          <w:p w14:paraId="7BECEA82"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eastAsia="Calibri" w:cs="Times New Roman"/>
                <w:bCs/>
                <w:color w:val="000000"/>
                <w:sz w:val="16"/>
                <w:szCs w:val="16"/>
              </w:rPr>
              <w:t>Dviračiams skirta infrastruktūra, kuriai suteikta parama</w:t>
            </w:r>
          </w:p>
        </w:tc>
        <w:tc>
          <w:tcPr>
            <w:tcW w:w="507" w:type="pct"/>
            <w:tcBorders>
              <w:top w:val="single" w:sz="4" w:space="0" w:color="auto"/>
              <w:bottom w:val="single" w:sz="4" w:space="0" w:color="auto"/>
            </w:tcBorders>
          </w:tcPr>
          <w:p w14:paraId="4AED8585"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Kilometrai</w:t>
            </w:r>
          </w:p>
        </w:tc>
        <w:tc>
          <w:tcPr>
            <w:tcW w:w="503" w:type="pct"/>
            <w:tcBorders>
              <w:top w:val="single" w:sz="4" w:space="0" w:color="auto"/>
              <w:bottom w:val="single" w:sz="4" w:space="0" w:color="auto"/>
            </w:tcBorders>
          </w:tcPr>
          <w:p w14:paraId="152828BE"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41</w:t>
            </w:r>
          </w:p>
        </w:tc>
        <w:tc>
          <w:tcPr>
            <w:tcW w:w="480" w:type="pct"/>
            <w:tcBorders>
              <w:top w:val="single" w:sz="4" w:space="0" w:color="auto"/>
              <w:bottom w:val="single" w:sz="4" w:space="0" w:color="auto"/>
            </w:tcBorders>
          </w:tcPr>
          <w:p w14:paraId="40AFCA4E" w14:textId="7FDD8DD1"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179</w:t>
            </w:r>
          </w:p>
        </w:tc>
      </w:tr>
      <w:tr w:rsidR="00B10447" w:rsidRPr="00B44B19" w14:paraId="2F864620" w14:textId="77777777" w:rsidTr="00C93D8C">
        <w:trPr>
          <w:trHeight w:val="332"/>
        </w:trPr>
        <w:tc>
          <w:tcPr>
            <w:tcW w:w="497" w:type="pct"/>
            <w:vMerge/>
          </w:tcPr>
          <w:p w14:paraId="5D96238E"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63DEED1A"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7A3AFB93"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43D21D47"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EBA15C4"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931" w:type="pct"/>
            <w:tcBorders>
              <w:top w:val="single" w:sz="4" w:space="0" w:color="auto"/>
              <w:bottom w:val="single" w:sz="4" w:space="0" w:color="auto"/>
            </w:tcBorders>
          </w:tcPr>
          <w:p w14:paraId="73E1EC66"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eastAsia="Calibri" w:cs="Times New Roman"/>
                <w:bCs/>
                <w:color w:val="000000"/>
                <w:sz w:val="16"/>
                <w:szCs w:val="16"/>
              </w:rPr>
              <w:t>Įsigytos nulinės emisijos viešojo transporto priemonės</w:t>
            </w:r>
          </w:p>
        </w:tc>
        <w:tc>
          <w:tcPr>
            <w:tcW w:w="507" w:type="pct"/>
            <w:tcBorders>
              <w:top w:val="single" w:sz="4" w:space="0" w:color="auto"/>
              <w:bottom w:val="single" w:sz="4" w:space="0" w:color="auto"/>
            </w:tcBorders>
          </w:tcPr>
          <w:p w14:paraId="3D36E9FC"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Skaičius</w:t>
            </w:r>
          </w:p>
        </w:tc>
        <w:tc>
          <w:tcPr>
            <w:tcW w:w="503" w:type="pct"/>
            <w:tcBorders>
              <w:top w:val="single" w:sz="4" w:space="0" w:color="auto"/>
              <w:bottom w:val="single" w:sz="4" w:space="0" w:color="auto"/>
            </w:tcBorders>
          </w:tcPr>
          <w:p w14:paraId="7EBB35CB" w14:textId="77777777" w:rsidR="00B10447" w:rsidRPr="00B44B19" w:rsidRDefault="00B10447" w:rsidP="00C93D8C">
            <w:pPr>
              <w:spacing w:after="0" w:line="240" w:lineRule="auto"/>
              <w:jc w:val="center"/>
              <w:rPr>
                <w:rFonts w:cs="Times New Roman"/>
                <w:bCs/>
                <w:noProof/>
                <w:sz w:val="16"/>
                <w:szCs w:val="16"/>
              </w:rPr>
            </w:pPr>
            <w:r w:rsidRPr="00B44B19">
              <w:rPr>
                <w:rFonts w:eastAsia="Calibri" w:cs="Times New Roman"/>
                <w:bCs/>
                <w:noProof/>
                <w:sz w:val="16"/>
                <w:szCs w:val="16"/>
              </w:rPr>
              <w:t>31</w:t>
            </w:r>
          </w:p>
        </w:tc>
        <w:tc>
          <w:tcPr>
            <w:tcW w:w="480" w:type="pct"/>
            <w:tcBorders>
              <w:top w:val="single" w:sz="4" w:space="0" w:color="auto"/>
              <w:bottom w:val="single" w:sz="4" w:space="0" w:color="auto"/>
            </w:tcBorders>
          </w:tcPr>
          <w:p w14:paraId="6F0BB75C" w14:textId="71969949" w:rsidR="00B10447" w:rsidRPr="00B44B19" w:rsidRDefault="00265B36" w:rsidP="00C93D8C">
            <w:pPr>
              <w:spacing w:after="0" w:line="240" w:lineRule="auto"/>
              <w:jc w:val="center"/>
              <w:rPr>
                <w:rFonts w:cs="Times New Roman"/>
                <w:bCs/>
                <w:noProof/>
                <w:sz w:val="16"/>
                <w:szCs w:val="16"/>
              </w:rPr>
            </w:pPr>
            <w:r w:rsidRPr="00B44B19">
              <w:rPr>
                <w:rFonts w:eastAsia="Calibri" w:cs="Times New Roman"/>
                <w:bCs/>
                <w:noProof/>
                <w:sz w:val="16"/>
                <w:szCs w:val="16"/>
              </w:rPr>
              <w:t>128</w:t>
            </w:r>
          </w:p>
        </w:tc>
      </w:tr>
      <w:tr w:rsidR="00B10447" w:rsidRPr="00B44B19" w14:paraId="0F015AD3" w14:textId="77777777" w:rsidTr="00C93D8C">
        <w:trPr>
          <w:trHeight w:val="332"/>
        </w:trPr>
        <w:tc>
          <w:tcPr>
            <w:tcW w:w="497" w:type="pct"/>
            <w:vMerge/>
          </w:tcPr>
          <w:p w14:paraId="4D3CFD49"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37CDB42F"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698640AB"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5E6BD8E7"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A6D0EA0"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cs="Times New Roman"/>
                <w:sz w:val="16"/>
                <w:szCs w:val="16"/>
                <w:lang w:eastAsia="en-GB"/>
              </w:rPr>
              <w:t>RCO74</w:t>
            </w:r>
          </w:p>
        </w:tc>
        <w:tc>
          <w:tcPr>
            <w:tcW w:w="931" w:type="pct"/>
            <w:tcBorders>
              <w:top w:val="single" w:sz="4" w:space="0" w:color="auto"/>
              <w:bottom w:val="single" w:sz="4" w:space="0" w:color="auto"/>
            </w:tcBorders>
          </w:tcPr>
          <w:p w14:paraId="74D701DD"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cs="Times New Roman"/>
                <w:sz w:val="16"/>
                <w:szCs w:val="16"/>
                <w:lang w:eastAsia="en-GB"/>
              </w:rPr>
              <w:t>Gyventojai, kuriems taikomi projektai, vykdomi pagal integruotas teritorinio vystymo programas</w:t>
            </w:r>
          </w:p>
        </w:tc>
        <w:tc>
          <w:tcPr>
            <w:tcW w:w="507" w:type="pct"/>
            <w:tcBorders>
              <w:top w:val="single" w:sz="4" w:space="0" w:color="auto"/>
              <w:bottom w:val="single" w:sz="4" w:space="0" w:color="auto"/>
            </w:tcBorders>
          </w:tcPr>
          <w:p w14:paraId="776F7125"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cs="Times New Roman"/>
                <w:noProof/>
                <w:sz w:val="16"/>
                <w:szCs w:val="16"/>
              </w:rPr>
              <w:t>Asmenys</w:t>
            </w:r>
          </w:p>
        </w:tc>
        <w:tc>
          <w:tcPr>
            <w:tcW w:w="503" w:type="pct"/>
            <w:tcBorders>
              <w:top w:val="single" w:sz="4" w:space="0" w:color="auto"/>
              <w:bottom w:val="single" w:sz="4" w:space="0" w:color="auto"/>
            </w:tcBorders>
          </w:tcPr>
          <w:p w14:paraId="09548E02"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 xml:space="preserve"> 0</w:t>
            </w:r>
          </w:p>
        </w:tc>
        <w:tc>
          <w:tcPr>
            <w:tcW w:w="480" w:type="pct"/>
            <w:tcBorders>
              <w:top w:val="single" w:sz="4" w:space="0" w:color="auto"/>
              <w:bottom w:val="single" w:sz="4" w:space="0" w:color="auto"/>
            </w:tcBorders>
          </w:tcPr>
          <w:p w14:paraId="0BD8960E"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189 906</w:t>
            </w:r>
          </w:p>
        </w:tc>
      </w:tr>
      <w:tr w:rsidR="00B10447" w:rsidRPr="00B44B19" w14:paraId="059C761E" w14:textId="77777777" w:rsidTr="00C93D8C">
        <w:trPr>
          <w:trHeight w:val="332"/>
        </w:trPr>
        <w:tc>
          <w:tcPr>
            <w:tcW w:w="497" w:type="pct"/>
            <w:vMerge/>
          </w:tcPr>
          <w:p w14:paraId="42060BEC"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7D042A35"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23D42C6A"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1DB8AD69"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50E152E2"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cs="Times New Roman"/>
                <w:bCs/>
                <w:noProof/>
                <w:sz w:val="16"/>
                <w:szCs w:val="16"/>
              </w:rPr>
              <w:t>RCO75</w:t>
            </w:r>
          </w:p>
        </w:tc>
        <w:tc>
          <w:tcPr>
            <w:tcW w:w="931" w:type="pct"/>
            <w:tcBorders>
              <w:top w:val="single" w:sz="4" w:space="0" w:color="auto"/>
              <w:bottom w:val="single" w:sz="4" w:space="0" w:color="auto"/>
            </w:tcBorders>
          </w:tcPr>
          <w:p w14:paraId="6F359BB7"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cs="Times New Roman"/>
                <w:sz w:val="16"/>
                <w:szCs w:val="16"/>
              </w:rPr>
              <w:t>Integruotos teritorinio vystymo strategijos, kurioms suteikta parama</w:t>
            </w:r>
          </w:p>
        </w:tc>
        <w:tc>
          <w:tcPr>
            <w:tcW w:w="507" w:type="pct"/>
            <w:tcBorders>
              <w:top w:val="single" w:sz="4" w:space="0" w:color="auto"/>
              <w:bottom w:val="single" w:sz="4" w:space="0" w:color="auto"/>
            </w:tcBorders>
          </w:tcPr>
          <w:p w14:paraId="76A39FBB"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cs="Times New Roman"/>
                <w:noProof/>
                <w:sz w:val="16"/>
                <w:szCs w:val="16"/>
              </w:rPr>
              <w:t>Indėlis į strategijas</w:t>
            </w:r>
          </w:p>
        </w:tc>
        <w:tc>
          <w:tcPr>
            <w:tcW w:w="503" w:type="pct"/>
            <w:tcBorders>
              <w:top w:val="single" w:sz="4" w:space="0" w:color="auto"/>
              <w:bottom w:val="single" w:sz="4" w:space="0" w:color="auto"/>
            </w:tcBorders>
          </w:tcPr>
          <w:p w14:paraId="7E33CAA2"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0</w:t>
            </w:r>
          </w:p>
        </w:tc>
        <w:tc>
          <w:tcPr>
            <w:tcW w:w="480" w:type="pct"/>
            <w:tcBorders>
              <w:top w:val="single" w:sz="4" w:space="0" w:color="auto"/>
              <w:bottom w:val="single" w:sz="4" w:space="0" w:color="auto"/>
            </w:tcBorders>
          </w:tcPr>
          <w:p w14:paraId="23F192E1"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2</w:t>
            </w:r>
          </w:p>
        </w:tc>
      </w:tr>
      <w:tr w:rsidR="00B10447" w:rsidRPr="00B44B19" w14:paraId="706F0FAB" w14:textId="77777777" w:rsidTr="00C93D8C">
        <w:trPr>
          <w:trHeight w:val="332"/>
        </w:trPr>
        <w:tc>
          <w:tcPr>
            <w:tcW w:w="497" w:type="pct"/>
            <w:vMerge/>
          </w:tcPr>
          <w:p w14:paraId="5E6C0F19"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728C26BE" w14:textId="77777777" w:rsidR="00B10447" w:rsidRPr="00B44B19" w:rsidRDefault="00B10447" w:rsidP="00C93D8C">
            <w:pPr>
              <w:spacing w:after="0" w:line="240" w:lineRule="auto"/>
              <w:jc w:val="both"/>
              <w:rPr>
                <w:rFonts w:cs="Times New Roman"/>
                <w:noProof/>
                <w:sz w:val="16"/>
                <w:szCs w:val="16"/>
              </w:rPr>
            </w:pPr>
          </w:p>
        </w:tc>
        <w:tc>
          <w:tcPr>
            <w:tcW w:w="432" w:type="pct"/>
            <w:vMerge w:val="restart"/>
          </w:tcPr>
          <w:p w14:paraId="05B7401D" w14:textId="77777777" w:rsidR="00B10447" w:rsidRPr="00B44B19" w:rsidRDefault="00B10447" w:rsidP="00C93D8C">
            <w:pPr>
              <w:spacing w:after="0" w:line="240" w:lineRule="auto"/>
              <w:jc w:val="both"/>
              <w:rPr>
                <w:rFonts w:cs="Times New Roman"/>
                <w:noProof/>
                <w:sz w:val="16"/>
                <w:szCs w:val="16"/>
              </w:rPr>
            </w:pPr>
            <w:r w:rsidRPr="00B44B19">
              <w:rPr>
                <w:rFonts w:cs="Times New Roman"/>
                <w:noProof/>
                <w:sz w:val="16"/>
                <w:szCs w:val="16"/>
              </w:rPr>
              <w:t>SaF</w:t>
            </w:r>
          </w:p>
        </w:tc>
        <w:tc>
          <w:tcPr>
            <w:tcW w:w="502" w:type="pct"/>
            <w:vMerge w:val="restart"/>
            <w:tcBorders>
              <w:top w:val="single" w:sz="4" w:space="0" w:color="auto"/>
            </w:tcBorders>
          </w:tcPr>
          <w:p w14:paraId="62233A07" w14:textId="77777777" w:rsidR="00B10447" w:rsidRPr="00B44B19" w:rsidRDefault="00B10447" w:rsidP="00C93D8C">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Borders>
              <w:top w:val="single" w:sz="4" w:space="0" w:color="auto"/>
              <w:bottom w:val="single" w:sz="4" w:space="0" w:color="auto"/>
            </w:tcBorders>
          </w:tcPr>
          <w:p w14:paraId="7C75FFCC"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RCO57</w:t>
            </w:r>
          </w:p>
        </w:tc>
        <w:tc>
          <w:tcPr>
            <w:tcW w:w="931" w:type="pct"/>
            <w:tcBorders>
              <w:top w:val="single" w:sz="4" w:space="0" w:color="auto"/>
              <w:bottom w:val="single" w:sz="4" w:space="0" w:color="auto"/>
            </w:tcBorders>
          </w:tcPr>
          <w:p w14:paraId="55E32C78" w14:textId="77777777" w:rsidR="00B10447" w:rsidRPr="00B44B19" w:rsidRDefault="00B10447" w:rsidP="00467A17">
            <w:pPr>
              <w:autoSpaceDE w:val="0"/>
              <w:autoSpaceDN w:val="0"/>
              <w:adjustRightInd w:val="0"/>
              <w:spacing w:after="0" w:line="240" w:lineRule="auto"/>
              <w:jc w:val="both"/>
              <w:rPr>
                <w:rFonts w:eastAsia="Calibri" w:cs="Times New Roman"/>
                <w:bCs/>
                <w:color w:val="000000"/>
                <w:sz w:val="16"/>
                <w:szCs w:val="16"/>
              </w:rPr>
            </w:pPr>
            <w:r w:rsidRPr="00B44B19">
              <w:rPr>
                <w:rFonts w:cs="Times New Roman"/>
                <w:sz w:val="16"/>
                <w:szCs w:val="16"/>
              </w:rPr>
              <w:t>Kolektyviniam viešajam transportui skirtų ekologiškų riedmenų pajėgumai</w:t>
            </w:r>
          </w:p>
        </w:tc>
        <w:tc>
          <w:tcPr>
            <w:tcW w:w="507" w:type="pct"/>
            <w:tcBorders>
              <w:top w:val="single" w:sz="4" w:space="0" w:color="auto"/>
              <w:bottom w:val="single" w:sz="4" w:space="0" w:color="auto"/>
            </w:tcBorders>
          </w:tcPr>
          <w:p w14:paraId="072DDF13" w14:textId="77777777" w:rsidR="00B10447" w:rsidRPr="00B44B19" w:rsidRDefault="00B10447" w:rsidP="00477B51">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Keleiviai</w:t>
            </w:r>
          </w:p>
        </w:tc>
        <w:tc>
          <w:tcPr>
            <w:tcW w:w="503" w:type="pct"/>
            <w:tcBorders>
              <w:top w:val="single" w:sz="4" w:space="0" w:color="auto"/>
              <w:bottom w:val="single" w:sz="4" w:space="0" w:color="auto"/>
            </w:tcBorders>
          </w:tcPr>
          <w:p w14:paraId="05D38976"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270</w:t>
            </w:r>
          </w:p>
        </w:tc>
        <w:tc>
          <w:tcPr>
            <w:tcW w:w="480" w:type="pct"/>
            <w:tcBorders>
              <w:top w:val="single" w:sz="4" w:space="0" w:color="auto"/>
              <w:bottom w:val="single" w:sz="4" w:space="0" w:color="auto"/>
            </w:tcBorders>
          </w:tcPr>
          <w:p w14:paraId="1F4D3821" w14:textId="39838A38"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6</w:t>
            </w:r>
            <w:r w:rsidR="0015025E" w:rsidRPr="00B44B19">
              <w:rPr>
                <w:rFonts w:cs="Times New Roman"/>
                <w:bCs/>
                <w:noProof/>
                <w:sz w:val="16"/>
                <w:szCs w:val="16"/>
              </w:rPr>
              <w:t xml:space="preserve"> </w:t>
            </w:r>
            <w:r w:rsidRPr="00B44B19">
              <w:rPr>
                <w:rFonts w:cs="Times New Roman"/>
                <w:bCs/>
                <w:noProof/>
                <w:sz w:val="16"/>
                <w:szCs w:val="16"/>
              </w:rPr>
              <w:t>930</w:t>
            </w:r>
          </w:p>
        </w:tc>
      </w:tr>
      <w:tr w:rsidR="00B10447" w:rsidRPr="00B44B19" w14:paraId="7D9344DB" w14:textId="77777777" w:rsidTr="00C93D8C">
        <w:trPr>
          <w:trHeight w:val="332"/>
        </w:trPr>
        <w:tc>
          <w:tcPr>
            <w:tcW w:w="497" w:type="pct"/>
            <w:vMerge/>
          </w:tcPr>
          <w:p w14:paraId="6FB91079"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29B9EDD1"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5CE52824"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5E41D647"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1EC63C89"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931" w:type="pct"/>
            <w:tcBorders>
              <w:top w:val="single" w:sz="4" w:space="0" w:color="auto"/>
              <w:bottom w:val="single" w:sz="4" w:space="0" w:color="auto"/>
            </w:tcBorders>
          </w:tcPr>
          <w:p w14:paraId="360D05F9"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eastAsia="Calibri" w:cs="Times New Roman"/>
                <w:sz w:val="16"/>
                <w:szCs w:val="16"/>
                <w:lang w:eastAsia="en-GB" w:bidi="lt-LT"/>
              </w:rPr>
              <w:t xml:space="preserve">Įgyvendintos darnaus judumo priemonės </w:t>
            </w:r>
          </w:p>
        </w:tc>
        <w:tc>
          <w:tcPr>
            <w:tcW w:w="507" w:type="pct"/>
            <w:tcBorders>
              <w:top w:val="single" w:sz="4" w:space="0" w:color="auto"/>
              <w:bottom w:val="single" w:sz="4" w:space="0" w:color="auto"/>
            </w:tcBorders>
          </w:tcPr>
          <w:p w14:paraId="2CAAEFC2"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Skaičius</w:t>
            </w:r>
          </w:p>
        </w:tc>
        <w:tc>
          <w:tcPr>
            <w:tcW w:w="503" w:type="pct"/>
            <w:tcBorders>
              <w:top w:val="single" w:sz="4" w:space="0" w:color="auto"/>
              <w:bottom w:val="single" w:sz="4" w:space="0" w:color="auto"/>
            </w:tcBorders>
          </w:tcPr>
          <w:p w14:paraId="34BCB833"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0</w:t>
            </w:r>
          </w:p>
        </w:tc>
        <w:tc>
          <w:tcPr>
            <w:tcW w:w="480" w:type="pct"/>
            <w:tcBorders>
              <w:top w:val="single" w:sz="4" w:space="0" w:color="auto"/>
              <w:bottom w:val="single" w:sz="4" w:space="0" w:color="auto"/>
            </w:tcBorders>
          </w:tcPr>
          <w:p w14:paraId="46F34462" w14:textId="065A5433"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1</w:t>
            </w:r>
          </w:p>
        </w:tc>
      </w:tr>
      <w:tr w:rsidR="00B10447" w:rsidRPr="00B44B19" w14:paraId="2B9806A5" w14:textId="77777777" w:rsidTr="00C93D8C">
        <w:trPr>
          <w:trHeight w:val="332"/>
        </w:trPr>
        <w:tc>
          <w:tcPr>
            <w:tcW w:w="497" w:type="pct"/>
            <w:vMerge/>
          </w:tcPr>
          <w:p w14:paraId="15C57CEC"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54562AD9"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08B69AC1"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605BA25F"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3671028F"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RCO59</w:t>
            </w:r>
          </w:p>
        </w:tc>
        <w:tc>
          <w:tcPr>
            <w:tcW w:w="931" w:type="pct"/>
            <w:tcBorders>
              <w:top w:val="single" w:sz="4" w:space="0" w:color="auto"/>
              <w:bottom w:val="single" w:sz="4" w:space="0" w:color="auto"/>
            </w:tcBorders>
          </w:tcPr>
          <w:p w14:paraId="287BFEF1"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eastAsia="Calibri" w:cs="Times New Roman"/>
                <w:bCs/>
                <w:color w:val="000000"/>
                <w:sz w:val="16"/>
                <w:szCs w:val="16"/>
              </w:rPr>
              <w:t>Alternatyviųjų degalų infrastruktūra (degalų papildymo / įkrovimo punktai)</w:t>
            </w:r>
          </w:p>
        </w:tc>
        <w:tc>
          <w:tcPr>
            <w:tcW w:w="507" w:type="pct"/>
            <w:tcBorders>
              <w:top w:val="single" w:sz="4" w:space="0" w:color="auto"/>
              <w:bottom w:val="single" w:sz="4" w:space="0" w:color="auto"/>
            </w:tcBorders>
          </w:tcPr>
          <w:p w14:paraId="15C65EA2" w14:textId="77777777" w:rsidR="00B10447" w:rsidRPr="00B44B19" w:rsidRDefault="00B10447" w:rsidP="00477B51">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Degalų papildymo / įkrovimo punktai</w:t>
            </w:r>
          </w:p>
        </w:tc>
        <w:tc>
          <w:tcPr>
            <w:tcW w:w="503" w:type="pct"/>
            <w:tcBorders>
              <w:top w:val="single" w:sz="4" w:space="0" w:color="auto"/>
              <w:bottom w:val="single" w:sz="4" w:space="0" w:color="auto"/>
            </w:tcBorders>
          </w:tcPr>
          <w:p w14:paraId="76292CD6"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135</w:t>
            </w:r>
          </w:p>
        </w:tc>
        <w:tc>
          <w:tcPr>
            <w:tcW w:w="480" w:type="pct"/>
            <w:tcBorders>
              <w:top w:val="single" w:sz="4" w:space="0" w:color="auto"/>
              <w:bottom w:val="single" w:sz="4" w:space="0" w:color="auto"/>
            </w:tcBorders>
          </w:tcPr>
          <w:p w14:paraId="24AA1298" w14:textId="525CD170"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1</w:t>
            </w:r>
            <w:r w:rsidR="0015025E" w:rsidRPr="00B44B19">
              <w:rPr>
                <w:rFonts w:cs="Times New Roman"/>
                <w:bCs/>
                <w:noProof/>
                <w:sz w:val="16"/>
                <w:szCs w:val="16"/>
              </w:rPr>
              <w:t xml:space="preserve"> </w:t>
            </w:r>
            <w:r w:rsidRPr="00B44B19">
              <w:rPr>
                <w:rFonts w:cs="Times New Roman"/>
                <w:bCs/>
                <w:noProof/>
                <w:sz w:val="16"/>
                <w:szCs w:val="16"/>
              </w:rPr>
              <w:t>096</w:t>
            </w:r>
          </w:p>
        </w:tc>
      </w:tr>
      <w:tr w:rsidR="00B10447" w:rsidRPr="00B44B19" w14:paraId="1AF1EE6D" w14:textId="77777777" w:rsidTr="00C93D8C">
        <w:trPr>
          <w:trHeight w:val="332"/>
        </w:trPr>
        <w:tc>
          <w:tcPr>
            <w:tcW w:w="497" w:type="pct"/>
            <w:vMerge/>
          </w:tcPr>
          <w:p w14:paraId="0243AEFA"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799C67C9"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0046885B"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2CE9B8B1"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1D5F2988"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RCO58</w:t>
            </w:r>
          </w:p>
        </w:tc>
        <w:tc>
          <w:tcPr>
            <w:tcW w:w="931" w:type="pct"/>
            <w:tcBorders>
              <w:top w:val="single" w:sz="4" w:space="0" w:color="auto"/>
              <w:bottom w:val="single" w:sz="4" w:space="0" w:color="auto"/>
            </w:tcBorders>
          </w:tcPr>
          <w:p w14:paraId="66C9165A"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eastAsia="Calibri" w:cs="Times New Roman"/>
                <w:bCs/>
                <w:color w:val="000000"/>
                <w:sz w:val="16"/>
                <w:szCs w:val="16"/>
              </w:rPr>
              <w:t>Dviračiams skirta infrastruktūra, kuriai suteikta parama</w:t>
            </w:r>
          </w:p>
        </w:tc>
        <w:tc>
          <w:tcPr>
            <w:tcW w:w="507" w:type="pct"/>
            <w:tcBorders>
              <w:top w:val="single" w:sz="4" w:space="0" w:color="auto"/>
              <w:bottom w:val="single" w:sz="4" w:space="0" w:color="auto"/>
            </w:tcBorders>
          </w:tcPr>
          <w:p w14:paraId="4B6B73A1"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Kilometrai</w:t>
            </w:r>
          </w:p>
        </w:tc>
        <w:tc>
          <w:tcPr>
            <w:tcW w:w="503" w:type="pct"/>
            <w:tcBorders>
              <w:top w:val="single" w:sz="4" w:space="0" w:color="auto"/>
              <w:bottom w:val="single" w:sz="4" w:space="0" w:color="auto"/>
            </w:tcBorders>
          </w:tcPr>
          <w:p w14:paraId="743FC7C5" w14:textId="77777777" w:rsidR="00B10447" w:rsidRPr="00B44B19" w:rsidRDefault="00B10447" w:rsidP="00C93D8C">
            <w:pPr>
              <w:spacing w:after="0" w:line="240" w:lineRule="auto"/>
              <w:jc w:val="center"/>
              <w:rPr>
                <w:rFonts w:cs="Times New Roman"/>
                <w:bCs/>
                <w:noProof/>
                <w:sz w:val="16"/>
                <w:szCs w:val="16"/>
              </w:rPr>
            </w:pPr>
            <w:r w:rsidRPr="00B44B19">
              <w:rPr>
                <w:rFonts w:cs="Times New Roman"/>
                <w:bCs/>
                <w:noProof/>
                <w:sz w:val="16"/>
                <w:szCs w:val="16"/>
              </w:rPr>
              <w:t>12</w:t>
            </w:r>
          </w:p>
        </w:tc>
        <w:tc>
          <w:tcPr>
            <w:tcW w:w="480" w:type="pct"/>
            <w:tcBorders>
              <w:top w:val="single" w:sz="4" w:space="0" w:color="auto"/>
              <w:bottom w:val="single" w:sz="4" w:space="0" w:color="auto"/>
            </w:tcBorders>
          </w:tcPr>
          <w:p w14:paraId="4DDFBA11" w14:textId="7C20B412" w:rsidR="00B10447" w:rsidRPr="00B44B19" w:rsidRDefault="00265B36" w:rsidP="00C93D8C">
            <w:pPr>
              <w:spacing w:after="0" w:line="240" w:lineRule="auto"/>
              <w:jc w:val="center"/>
              <w:rPr>
                <w:rFonts w:cs="Times New Roman"/>
                <w:bCs/>
                <w:noProof/>
                <w:sz w:val="16"/>
                <w:szCs w:val="16"/>
              </w:rPr>
            </w:pPr>
            <w:r w:rsidRPr="00B44B19">
              <w:rPr>
                <w:rFonts w:cs="Times New Roman"/>
                <w:bCs/>
                <w:noProof/>
                <w:sz w:val="16"/>
                <w:szCs w:val="16"/>
              </w:rPr>
              <w:t>7</w:t>
            </w:r>
            <w:r w:rsidR="007F3A0C" w:rsidRPr="00B44B19">
              <w:rPr>
                <w:rFonts w:cs="Times New Roman"/>
                <w:bCs/>
                <w:noProof/>
                <w:sz w:val="16"/>
                <w:szCs w:val="16"/>
              </w:rPr>
              <w:t>,</w:t>
            </w:r>
            <w:r w:rsidRPr="00B44B19">
              <w:rPr>
                <w:rFonts w:cs="Times New Roman"/>
                <w:bCs/>
                <w:noProof/>
                <w:sz w:val="16"/>
                <w:szCs w:val="16"/>
              </w:rPr>
              <w:t>8</w:t>
            </w:r>
          </w:p>
        </w:tc>
      </w:tr>
      <w:tr w:rsidR="00B10447" w:rsidRPr="00B44B19" w14:paraId="1D014FB2" w14:textId="77777777" w:rsidTr="00C93D8C">
        <w:trPr>
          <w:trHeight w:val="332"/>
        </w:trPr>
        <w:tc>
          <w:tcPr>
            <w:tcW w:w="497" w:type="pct"/>
            <w:vMerge/>
          </w:tcPr>
          <w:p w14:paraId="4E5493AE"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1DB24A03"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5BCE19B9"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0CBDB6BC"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5180CAE"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931" w:type="pct"/>
            <w:tcBorders>
              <w:top w:val="single" w:sz="4" w:space="0" w:color="auto"/>
              <w:bottom w:val="single" w:sz="4" w:space="0" w:color="auto"/>
            </w:tcBorders>
          </w:tcPr>
          <w:p w14:paraId="66AB6CDD"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eastAsia="Calibri" w:cs="Times New Roman"/>
                <w:bCs/>
                <w:color w:val="000000"/>
                <w:sz w:val="16"/>
                <w:szCs w:val="16"/>
              </w:rPr>
              <w:t>Įsigytos nulinės emisijos viešojo transporto priemonės</w:t>
            </w:r>
          </w:p>
        </w:tc>
        <w:tc>
          <w:tcPr>
            <w:tcW w:w="507" w:type="pct"/>
            <w:tcBorders>
              <w:top w:val="single" w:sz="4" w:space="0" w:color="auto"/>
              <w:bottom w:val="single" w:sz="4" w:space="0" w:color="auto"/>
            </w:tcBorders>
          </w:tcPr>
          <w:p w14:paraId="597C4B93"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Skaičius</w:t>
            </w:r>
          </w:p>
        </w:tc>
        <w:tc>
          <w:tcPr>
            <w:tcW w:w="503" w:type="pct"/>
            <w:tcBorders>
              <w:top w:val="single" w:sz="4" w:space="0" w:color="auto"/>
              <w:bottom w:val="single" w:sz="4" w:space="0" w:color="auto"/>
            </w:tcBorders>
          </w:tcPr>
          <w:p w14:paraId="106C38D2" w14:textId="77777777" w:rsidR="00B10447" w:rsidRPr="00B44B19" w:rsidRDefault="00B10447" w:rsidP="00C93D8C">
            <w:pPr>
              <w:spacing w:after="0" w:line="240" w:lineRule="auto"/>
              <w:jc w:val="center"/>
              <w:rPr>
                <w:rFonts w:cs="Times New Roman"/>
                <w:bCs/>
                <w:noProof/>
                <w:sz w:val="16"/>
                <w:szCs w:val="16"/>
              </w:rPr>
            </w:pPr>
            <w:r w:rsidRPr="00B44B19">
              <w:rPr>
                <w:rFonts w:eastAsia="Calibri" w:cs="Times New Roman"/>
                <w:bCs/>
                <w:noProof/>
                <w:sz w:val="16"/>
                <w:szCs w:val="16"/>
              </w:rPr>
              <w:t>3</w:t>
            </w:r>
          </w:p>
        </w:tc>
        <w:tc>
          <w:tcPr>
            <w:tcW w:w="480" w:type="pct"/>
            <w:tcBorders>
              <w:top w:val="single" w:sz="4" w:space="0" w:color="auto"/>
              <w:bottom w:val="single" w:sz="4" w:space="0" w:color="auto"/>
            </w:tcBorders>
          </w:tcPr>
          <w:p w14:paraId="22CC91C7" w14:textId="0DA92308" w:rsidR="00B10447" w:rsidRPr="00B44B19" w:rsidRDefault="00265B36" w:rsidP="00C93D8C">
            <w:pPr>
              <w:spacing w:after="0" w:line="240" w:lineRule="auto"/>
              <w:jc w:val="center"/>
              <w:rPr>
                <w:rFonts w:cs="Times New Roman"/>
                <w:bCs/>
                <w:noProof/>
                <w:sz w:val="16"/>
                <w:szCs w:val="16"/>
              </w:rPr>
            </w:pPr>
            <w:r w:rsidRPr="00B44B19">
              <w:rPr>
                <w:rFonts w:eastAsia="Calibri" w:cs="Times New Roman"/>
                <w:bCs/>
                <w:noProof/>
                <w:sz w:val="16"/>
                <w:szCs w:val="16"/>
              </w:rPr>
              <w:t>77</w:t>
            </w:r>
          </w:p>
        </w:tc>
      </w:tr>
      <w:tr w:rsidR="00B10447" w:rsidRPr="00B44B19" w14:paraId="7C21800D" w14:textId="77777777" w:rsidTr="00C93D8C">
        <w:trPr>
          <w:trHeight w:val="332"/>
        </w:trPr>
        <w:tc>
          <w:tcPr>
            <w:tcW w:w="497" w:type="pct"/>
            <w:vMerge/>
          </w:tcPr>
          <w:p w14:paraId="565B0F51"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7E678458"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644D0FB7"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7B60C11C"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49DD4303"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931" w:type="pct"/>
            <w:tcBorders>
              <w:top w:val="single" w:sz="4" w:space="0" w:color="auto"/>
              <w:bottom w:val="single" w:sz="4" w:space="0" w:color="auto"/>
            </w:tcBorders>
          </w:tcPr>
          <w:p w14:paraId="48609D09"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cs="Times New Roman"/>
                <w:sz w:val="16"/>
                <w:szCs w:val="16"/>
                <w:lang w:eastAsia="en-GB"/>
              </w:rPr>
              <w:t xml:space="preserve">Gyventojai, kuriems taikomi projektai, vykdomi pagal integruotas teritorinio vystymo programas </w:t>
            </w:r>
          </w:p>
        </w:tc>
        <w:tc>
          <w:tcPr>
            <w:tcW w:w="507" w:type="pct"/>
            <w:tcBorders>
              <w:top w:val="single" w:sz="4" w:space="0" w:color="auto"/>
              <w:bottom w:val="single" w:sz="4" w:space="0" w:color="auto"/>
            </w:tcBorders>
          </w:tcPr>
          <w:p w14:paraId="3D753F08"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cs="Times New Roman"/>
                <w:noProof/>
                <w:sz w:val="16"/>
                <w:szCs w:val="16"/>
              </w:rPr>
              <w:t>Asmenys</w:t>
            </w:r>
          </w:p>
        </w:tc>
        <w:tc>
          <w:tcPr>
            <w:tcW w:w="503" w:type="pct"/>
            <w:tcBorders>
              <w:top w:val="single" w:sz="4" w:space="0" w:color="auto"/>
              <w:bottom w:val="single" w:sz="4" w:space="0" w:color="auto"/>
            </w:tcBorders>
          </w:tcPr>
          <w:p w14:paraId="55FFEACD"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 xml:space="preserve"> 0</w:t>
            </w:r>
          </w:p>
        </w:tc>
        <w:tc>
          <w:tcPr>
            <w:tcW w:w="480" w:type="pct"/>
            <w:tcBorders>
              <w:top w:val="single" w:sz="4" w:space="0" w:color="auto"/>
              <w:bottom w:val="single" w:sz="4" w:space="0" w:color="auto"/>
            </w:tcBorders>
          </w:tcPr>
          <w:p w14:paraId="55DF8C98"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598 136</w:t>
            </w:r>
          </w:p>
        </w:tc>
      </w:tr>
      <w:tr w:rsidR="00B10447" w:rsidRPr="00B44B19" w14:paraId="5ABC86D4" w14:textId="77777777" w:rsidTr="00C93D8C">
        <w:trPr>
          <w:trHeight w:val="332"/>
        </w:trPr>
        <w:tc>
          <w:tcPr>
            <w:tcW w:w="497" w:type="pct"/>
            <w:vMerge/>
          </w:tcPr>
          <w:p w14:paraId="2C3A74F3" w14:textId="77777777" w:rsidR="00B10447" w:rsidRPr="00B44B19" w:rsidRDefault="00B10447" w:rsidP="00C93D8C">
            <w:pPr>
              <w:spacing w:after="0" w:line="240" w:lineRule="auto"/>
              <w:jc w:val="both"/>
              <w:rPr>
                <w:rFonts w:cs="Times New Roman"/>
                <w:noProof/>
                <w:sz w:val="16"/>
                <w:szCs w:val="16"/>
              </w:rPr>
            </w:pPr>
          </w:p>
        </w:tc>
        <w:tc>
          <w:tcPr>
            <w:tcW w:w="503" w:type="pct"/>
            <w:vMerge/>
          </w:tcPr>
          <w:p w14:paraId="59A55C6D" w14:textId="77777777" w:rsidR="00B10447" w:rsidRPr="00B44B19" w:rsidRDefault="00B10447" w:rsidP="00C93D8C">
            <w:pPr>
              <w:spacing w:after="0" w:line="240" w:lineRule="auto"/>
              <w:jc w:val="both"/>
              <w:rPr>
                <w:rFonts w:cs="Times New Roman"/>
                <w:noProof/>
                <w:sz w:val="16"/>
                <w:szCs w:val="16"/>
              </w:rPr>
            </w:pPr>
          </w:p>
        </w:tc>
        <w:tc>
          <w:tcPr>
            <w:tcW w:w="432" w:type="pct"/>
            <w:vMerge/>
          </w:tcPr>
          <w:p w14:paraId="37D7ACBF" w14:textId="77777777" w:rsidR="00B10447" w:rsidRPr="00B44B19" w:rsidRDefault="00B10447" w:rsidP="00C93D8C">
            <w:pPr>
              <w:spacing w:after="0" w:line="240" w:lineRule="auto"/>
              <w:jc w:val="both"/>
              <w:rPr>
                <w:rFonts w:cs="Times New Roman"/>
                <w:noProof/>
                <w:sz w:val="16"/>
                <w:szCs w:val="16"/>
                <w:highlight w:val="yellow"/>
              </w:rPr>
            </w:pPr>
          </w:p>
        </w:tc>
        <w:tc>
          <w:tcPr>
            <w:tcW w:w="502" w:type="pct"/>
            <w:vMerge/>
          </w:tcPr>
          <w:p w14:paraId="680AEB7C" w14:textId="77777777" w:rsidR="00B10447" w:rsidRPr="00B44B19" w:rsidRDefault="00B10447" w:rsidP="00C93D8C">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05F8D48F" w14:textId="77777777" w:rsidR="00B10447" w:rsidRPr="00B44B19" w:rsidRDefault="00B10447" w:rsidP="00C93D8C">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Specialusis</w:t>
            </w:r>
          </w:p>
        </w:tc>
        <w:tc>
          <w:tcPr>
            <w:tcW w:w="931" w:type="pct"/>
            <w:tcBorders>
              <w:top w:val="single" w:sz="4" w:space="0" w:color="auto"/>
              <w:bottom w:val="single" w:sz="4" w:space="0" w:color="auto"/>
            </w:tcBorders>
          </w:tcPr>
          <w:p w14:paraId="35FF23A1" w14:textId="77777777" w:rsidR="00B10447" w:rsidRPr="00B44B19" w:rsidRDefault="00B10447" w:rsidP="00C93D8C">
            <w:pPr>
              <w:autoSpaceDE w:val="0"/>
              <w:autoSpaceDN w:val="0"/>
              <w:adjustRightInd w:val="0"/>
              <w:spacing w:after="0" w:line="240" w:lineRule="auto"/>
              <w:jc w:val="both"/>
              <w:rPr>
                <w:rFonts w:eastAsia="Calibri" w:cs="Times New Roman"/>
                <w:bCs/>
                <w:color w:val="000000"/>
                <w:sz w:val="16"/>
                <w:szCs w:val="16"/>
              </w:rPr>
            </w:pPr>
            <w:r w:rsidRPr="00B44B19">
              <w:rPr>
                <w:rFonts w:cs="Times New Roman"/>
                <w:sz w:val="16"/>
                <w:szCs w:val="16"/>
              </w:rPr>
              <w:t>Integruotos teritorinio vystymo strategijos, kurioms suteikta parama</w:t>
            </w:r>
          </w:p>
        </w:tc>
        <w:tc>
          <w:tcPr>
            <w:tcW w:w="507" w:type="pct"/>
            <w:tcBorders>
              <w:top w:val="single" w:sz="4" w:space="0" w:color="auto"/>
              <w:bottom w:val="single" w:sz="4" w:space="0" w:color="auto"/>
            </w:tcBorders>
          </w:tcPr>
          <w:p w14:paraId="18069B60" w14:textId="77777777" w:rsidR="00B10447" w:rsidRPr="00B44B19" w:rsidRDefault="00B10447" w:rsidP="00C93D8C">
            <w:pPr>
              <w:spacing w:after="0" w:line="240" w:lineRule="auto"/>
              <w:jc w:val="both"/>
              <w:rPr>
                <w:rFonts w:eastAsia="Times New Roman" w:cs="Times New Roman"/>
                <w:iCs/>
                <w:sz w:val="16"/>
                <w:szCs w:val="16"/>
                <w:lang w:eastAsia="lt-LT"/>
              </w:rPr>
            </w:pPr>
            <w:r w:rsidRPr="00B44B19">
              <w:rPr>
                <w:rFonts w:cs="Times New Roman"/>
                <w:noProof/>
                <w:sz w:val="16"/>
                <w:szCs w:val="16"/>
              </w:rPr>
              <w:t>Indėlis į strategijas</w:t>
            </w:r>
          </w:p>
        </w:tc>
        <w:tc>
          <w:tcPr>
            <w:tcW w:w="503" w:type="pct"/>
            <w:tcBorders>
              <w:top w:val="single" w:sz="4" w:space="0" w:color="auto"/>
              <w:bottom w:val="single" w:sz="4" w:space="0" w:color="auto"/>
            </w:tcBorders>
          </w:tcPr>
          <w:p w14:paraId="50837B14"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0</w:t>
            </w:r>
          </w:p>
        </w:tc>
        <w:tc>
          <w:tcPr>
            <w:tcW w:w="480" w:type="pct"/>
            <w:tcBorders>
              <w:top w:val="single" w:sz="4" w:space="0" w:color="auto"/>
              <w:bottom w:val="single" w:sz="4" w:space="0" w:color="auto"/>
            </w:tcBorders>
          </w:tcPr>
          <w:p w14:paraId="5F1599DC" w14:textId="77777777" w:rsidR="00B10447" w:rsidRPr="00B44B19" w:rsidRDefault="00B10447" w:rsidP="00C93D8C">
            <w:pPr>
              <w:spacing w:after="0" w:line="240" w:lineRule="auto"/>
              <w:jc w:val="center"/>
              <w:rPr>
                <w:rFonts w:eastAsia="Calibri" w:cs="Times New Roman"/>
                <w:bCs/>
                <w:noProof/>
                <w:sz w:val="16"/>
                <w:szCs w:val="16"/>
              </w:rPr>
            </w:pPr>
            <w:r w:rsidRPr="00B44B19">
              <w:rPr>
                <w:rFonts w:cs="Times New Roman"/>
                <w:sz w:val="16"/>
                <w:szCs w:val="16"/>
              </w:rPr>
              <w:t>1</w:t>
            </w:r>
          </w:p>
        </w:tc>
      </w:tr>
    </w:tbl>
    <w:p w14:paraId="0D8D612A" w14:textId="77777777" w:rsidR="00316179" w:rsidRPr="00B44B19" w:rsidRDefault="00316179" w:rsidP="00316179">
      <w:pPr>
        <w:spacing w:after="0" w:line="240" w:lineRule="auto"/>
        <w:jc w:val="both"/>
        <w:rPr>
          <w:rFonts w:cs="Times New Roman"/>
          <w:b/>
          <w:sz w:val="22"/>
        </w:rPr>
        <w:sectPr w:rsidR="00316179" w:rsidRPr="00B44B19" w:rsidSect="00931C78">
          <w:pgSz w:w="11906" w:h="16838"/>
          <w:pgMar w:top="1276" w:right="567" w:bottom="1134" w:left="1701" w:header="567" w:footer="567" w:gutter="0"/>
          <w:cols w:space="1296"/>
          <w:docGrid w:linePitch="360"/>
        </w:sectPr>
      </w:pPr>
    </w:p>
    <w:p w14:paraId="03D53C30" w14:textId="77777777" w:rsidR="00316179" w:rsidRPr="00B44B19" w:rsidRDefault="00316179" w:rsidP="00316179">
      <w:pPr>
        <w:spacing w:after="0" w:line="240" w:lineRule="auto"/>
        <w:jc w:val="both"/>
        <w:rPr>
          <w:rFonts w:cs="Times New Roman"/>
          <w:b/>
          <w:sz w:val="22"/>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903"/>
        <w:gridCol w:w="975"/>
        <w:gridCol w:w="975"/>
        <w:gridCol w:w="1115"/>
        <w:gridCol w:w="975"/>
        <w:gridCol w:w="907"/>
        <w:gridCol w:w="1029"/>
      </w:tblGrid>
      <w:tr w:rsidR="008A35C6" w:rsidRPr="00B44B19" w14:paraId="3BCCBFE5" w14:textId="77777777" w:rsidTr="00A74AFA">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2672AC32"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844BAD4"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1FC0277E"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29B7C366"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09CFE37E"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I</w:t>
            </w:r>
            <w:r w:rsidR="00BA52CF" w:rsidRPr="00B44B19">
              <w:rPr>
                <w:rFonts w:eastAsia="Calibri" w:cs="Times New Roman"/>
                <w:b/>
                <w:noProof/>
                <w:sz w:val="16"/>
                <w:szCs w:val="16"/>
              </w:rPr>
              <w:t>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07571E89" w14:textId="77777777" w:rsidR="008A35C6" w:rsidRPr="00B44B19" w:rsidRDefault="00BA52CF"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43B255E"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5C155872"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39EEEA53"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DA054FC" w14:textId="77777777" w:rsidR="008A35C6" w:rsidRPr="00B44B19" w:rsidRDefault="008A35C6"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Siek</w:t>
            </w:r>
            <w:r w:rsidR="004253D0" w:rsidRPr="00B44B19">
              <w:rPr>
                <w:rFonts w:eastAsia="Calibri" w:cs="Times New Roman"/>
                <w:b/>
                <w:noProof/>
                <w:sz w:val="16"/>
                <w:szCs w:val="16"/>
              </w:rPr>
              <w:t>tina reikšmė</w:t>
            </w:r>
            <w:r w:rsidRPr="00B44B19">
              <w:rPr>
                <w:rFonts w:eastAsia="Calibri" w:cs="Times New Roman"/>
                <w:b/>
                <w:noProof/>
                <w:sz w:val="16"/>
                <w:szCs w:val="16"/>
              </w:rPr>
              <w:t xml:space="preserve">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14:paraId="2AE9116E" w14:textId="77777777" w:rsidR="008A35C6" w:rsidRPr="00B44B19" w:rsidRDefault="00BA52CF"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14:paraId="4A4E602F" w14:textId="77777777" w:rsidR="008A35C6" w:rsidRPr="00B44B19" w:rsidRDefault="00BA52CF" w:rsidP="008A35C6">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D632AD" w:rsidRPr="00B44B19" w14:paraId="24C8EA51" w14:textId="77777777" w:rsidTr="00A74AFA">
        <w:trPr>
          <w:trHeight w:val="286"/>
        </w:trPr>
        <w:tc>
          <w:tcPr>
            <w:tcW w:w="317" w:type="pct"/>
            <w:vMerge w:val="restart"/>
            <w:tcBorders>
              <w:top w:val="single" w:sz="12" w:space="0" w:color="auto"/>
            </w:tcBorders>
          </w:tcPr>
          <w:p w14:paraId="38EA7F58" w14:textId="77777777" w:rsidR="00D632AD" w:rsidRPr="00B44B19" w:rsidRDefault="00D632AD" w:rsidP="008A35C6">
            <w:pPr>
              <w:spacing w:after="0" w:line="240" w:lineRule="auto"/>
              <w:jc w:val="both"/>
              <w:rPr>
                <w:rFonts w:eastAsia="Calibri" w:cs="Times New Roman"/>
                <w:noProof/>
                <w:sz w:val="16"/>
                <w:szCs w:val="16"/>
              </w:rPr>
            </w:pPr>
            <w:r w:rsidRPr="00B44B19">
              <w:rPr>
                <w:rFonts w:eastAsia="Calibri" w:cs="Times New Roman"/>
                <w:noProof/>
                <w:sz w:val="16"/>
                <w:szCs w:val="16"/>
              </w:rPr>
              <w:t>8.</w:t>
            </w:r>
          </w:p>
        </w:tc>
        <w:tc>
          <w:tcPr>
            <w:tcW w:w="328" w:type="pct"/>
            <w:vMerge w:val="restart"/>
            <w:tcBorders>
              <w:top w:val="single" w:sz="12" w:space="0" w:color="auto"/>
            </w:tcBorders>
          </w:tcPr>
          <w:p w14:paraId="172433EE" w14:textId="77777777" w:rsidR="00D632AD" w:rsidRPr="00B44B19" w:rsidRDefault="00D632AD" w:rsidP="008A35C6">
            <w:pPr>
              <w:spacing w:after="0" w:line="240" w:lineRule="auto"/>
              <w:jc w:val="both"/>
              <w:rPr>
                <w:rFonts w:eastAsia="Calibri" w:cs="Times New Roman"/>
                <w:noProof/>
                <w:sz w:val="16"/>
                <w:szCs w:val="16"/>
              </w:rPr>
            </w:pPr>
            <w:r w:rsidRPr="00B44B19">
              <w:rPr>
                <w:rFonts w:eastAsia="Calibri" w:cs="Times New Roman"/>
                <w:noProof/>
                <w:sz w:val="16"/>
                <w:szCs w:val="16"/>
              </w:rPr>
              <w:t>8.1.</w:t>
            </w:r>
          </w:p>
        </w:tc>
        <w:tc>
          <w:tcPr>
            <w:tcW w:w="281" w:type="pct"/>
            <w:vMerge w:val="restart"/>
            <w:tcBorders>
              <w:top w:val="single" w:sz="12" w:space="0" w:color="auto"/>
            </w:tcBorders>
          </w:tcPr>
          <w:p w14:paraId="62E8E695" w14:textId="77777777" w:rsidR="00D632AD" w:rsidRPr="00B44B19" w:rsidRDefault="00D632AD" w:rsidP="008A35C6">
            <w:pPr>
              <w:spacing w:after="0" w:line="240" w:lineRule="auto"/>
              <w:jc w:val="both"/>
              <w:rPr>
                <w:rFonts w:eastAsia="Calibri" w:cs="Times New Roman"/>
                <w:noProof/>
                <w:sz w:val="16"/>
                <w:szCs w:val="16"/>
              </w:rPr>
            </w:pPr>
            <w:r w:rsidRPr="00B44B19">
              <w:rPr>
                <w:rFonts w:eastAsia="Calibri" w:cs="Times New Roman"/>
                <w:noProof/>
                <w:sz w:val="16"/>
                <w:szCs w:val="16"/>
              </w:rPr>
              <w:t>ERPF</w:t>
            </w:r>
          </w:p>
        </w:tc>
        <w:tc>
          <w:tcPr>
            <w:tcW w:w="328" w:type="pct"/>
            <w:vMerge w:val="restart"/>
            <w:tcBorders>
              <w:top w:val="single" w:sz="12" w:space="0" w:color="auto"/>
            </w:tcBorders>
          </w:tcPr>
          <w:p w14:paraId="1BE2DA04" w14:textId="77777777" w:rsidR="00D632AD" w:rsidRPr="00B44B19" w:rsidRDefault="00D632AD" w:rsidP="008A35C6">
            <w:pPr>
              <w:spacing w:after="0" w:line="240" w:lineRule="auto"/>
              <w:jc w:val="both"/>
              <w:rPr>
                <w:rFonts w:eastAsia="Calibri" w:cs="Times New Roman"/>
                <w:noProof/>
                <w:sz w:val="16"/>
                <w:szCs w:val="16"/>
              </w:rPr>
            </w:pPr>
            <w:r w:rsidRPr="00B44B19">
              <w:rPr>
                <w:rFonts w:eastAsia="Calibri" w:cs="Times New Roman"/>
                <w:noProof/>
                <w:sz w:val="16"/>
                <w:szCs w:val="16"/>
              </w:rPr>
              <w:t xml:space="preserve">VVL regionas </w:t>
            </w:r>
          </w:p>
        </w:tc>
        <w:tc>
          <w:tcPr>
            <w:tcW w:w="422" w:type="pct"/>
            <w:tcBorders>
              <w:top w:val="single" w:sz="12" w:space="0" w:color="auto"/>
            </w:tcBorders>
          </w:tcPr>
          <w:p w14:paraId="68D296E7" w14:textId="77777777" w:rsidR="00D632AD" w:rsidRPr="00B44B19" w:rsidRDefault="00D632AD" w:rsidP="008A35C6">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RCR62</w:t>
            </w:r>
          </w:p>
        </w:tc>
        <w:tc>
          <w:tcPr>
            <w:tcW w:w="1313" w:type="pct"/>
            <w:tcBorders>
              <w:top w:val="single" w:sz="12" w:space="0" w:color="auto"/>
            </w:tcBorders>
          </w:tcPr>
          <w:p w14:paraId="71F418BF" w14:textId="77777777" w:rsidR="00D632AD" w:rsidRPr="00B44B19" w:rsidRDefault="00D632AD" w:rsidP="008A35C6">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Naujo arba modernizuoto viešojo transporto naudotojų skaičius per metus</w:t>
            </w:r>
          </w:p>
        </w:tc>
        <w:tc>
          <w:tcPr>
            <w:tcW w:w="328" w:type="pct"/>
            <w:tcBorders>
              <w:top w:val="single" w:sz="12" w:space="0" w:color="auto"/>
            </w:tcBorders>
          </w:tcPr>
          <w:p w14:paraId="3C6648C1" w14:textId="77777777" w:rsidR="00D632AD" w:rsidRPr="00B44B19" w:rsidRDefault="00F30904" w:rsidP="00213201">
            <w:pPr>
              <w:spacing w:after="0" w:line="240" w:lineRule="auto"/>
              <w:jc w:val="both"/>
              <w:rPr>
                <w:rFonts w:eastAsia="Calibri" w:cs="Times New Roman"/>
                <w:noProof/>
                <w:sz w:val="16"/>
                <w:szCs w:val="16"/>
              </w:rPr>
            </w:pPr>
            <w:r w:rsidRPr="00B44B19">
              <w:rPr>
                <w:rFonts w:eastAsia="Calibri" w:cs="Times New Roman"/>
                <w:sz w:val="16"/>
                <w:szCs w:val="16"/>
              </w:rPr>
              <w:t>Naudotoj</w:t>
            </w:r>
            <w:r w:rsidR="00213201" w:rsidRPr="00B44B19">
              <w:rPr>
                <w:rFonts w:eastAsia="Calibri" w:cs="Times New Roman"/>
                <w:sz w:val="16"/>
                <w:szCs w:val="16"/>
              </w:rPr>
              <w:t>ai</w:t>
            </w:r>
            <w:r w:rsidRPr="00B44B19">
              <w:rPr>
                <w:rFonts w:eastAsia="Calibri" w:cs="Times New Roman"/>
                <w:sz w:val="16"/>
                <w:szCs w:val="16"/>
              </w:rPr>
              <w:t xml:space="preserve"> per metus</w:t>
            </w:r>
          </w:p>
        </w:tc>
        <w:tc>
          <w:tcPr>
            <w:tcW w:w="328" w:type="pct"/>
            <w:tcBorders>
              <w:top w:val="single" w:sz="12" w:space="0" w:color="auto"/>
            </w:tcBorders>
          </w:tcPr>
          <w:p w14:paraId="3B01E736" w14:textId="77777777" w:rsidR="00D632AD" w:rsidRPr="00B44B19" w:rsidRDefault="00D632AD" w:rsidP="00D632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Borders>
              <w:top w:val="single" w:sz="12" w:space="0" w:color="auto"/>
            </w:tcBorders>
          </w:tcPr>
          <w:p w14:paraId="530FC6F3" w14:textId="77777777" w:rsidR="00D632AD" w:rsidRPr="00B44B19" w:rsidRDefault="00D632AD"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2020</w:t>
            </w:r>
          </w:p>
        </w:tc>
        <w:tc>
          <w:tcPr>
            <w:tcW w:w="328" w:type="pct"/>
            <w:tcBorders>
              <w:top w:val="single" w:sz="12" w:space="0" w:color="auto"/>
            </w:tcBorders>
          </w:tcPr>
          <w:p w14:paraId="1F504B4B" w14:textId="2CB1B390" w:rsidR="00D632AD" w:rsidRPr="00B44B19" w:rsidRDefault="00265B36"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4 993 664</w:t>
            </w:r>
          </w:p>
        </w:tc>
        <w:tc>
          <w:tcPr>
            <w:tcW w:w="305" w:type="pct"/>
            <w:tcBorders>
              <w:top w:val="single" w:sz="12" w:space="0" w:color="auto"/>
            </w:tcBorders>
          </w:tcPr>
          <w:p w14:paraId="66654F1D" w14:textId="77777777" w:rsidR="00D632AD" w:rsidRPr="00B44B19" w:rsidRDefault="00D632AD" w:rsidP="0073259E">
            <w:pPr>
              <w:spacing w:after="0" w:line="240" w:lineRule="auto"/>
              <w:jc w:val="both"/>
              <w:rPr>
                <w:rFonts w:eastAsia="Calibri" w:cs="Times New Roman"/>
                <w:iCs/>
                <w:noProof/>
                <w:sz w:val="16"/>
                <w:szCs w:val="16"/>
              </w:rPr>
            </w:pPr>
            <w:r w:rsidRPr="00B44B19">
              <w:rPr>
                <w:rFonts w:eastAsia="Calibri" w:cs="Times New Roman"/>
                <w:noProof/>
                <w:sz w:val="16"/>
                <w:szCs w:val="16"/>
              </w:rPr>
              <w:t>Statistikos departamentas</w:t>
            </w:r>
          </w:p>
        </w:tc>
        <w:tc>
          <w:tcPr>
            <w:tcW w:w="346" w:type="pct"/>
            <w:tcBorders>
              <w:top w:val="single" w:sz="12" w:space="0" w:color="auto"/>
            </w:tcBorders>
          </w:tcPr>
          <w:p w14:paraId="579907B1" w14:textId="77777777" w:rsidR="00D632AD" w:rsidRPr="00B44B19" w:rsidRDefault="00D632AD" w:rsidP="008A35C6">
            <w:pPr>
              <w:spacing w:after="0" w:line="240" w:lineRule="auto"/>
              <w:jc w:val="both"/>
              <w:rPr>
                <w:rFonts w:eastAsia="Calibri" w:cs="Times New Roman"/>
                <w:i/>
                <w:noProof/>
                <w:sz w:val="16"/>
                <w:szCs w:val="16"/>
                <w:lang w:eastAsia="lt-LT" w:bidi="lt-LT"/>
              </w:rPr>
            </w:pPr>
          </w:p>
        </w:tc>
      </w:tr>
      <w:tr w:rsidR="00D632AD" w:rsidRPr="00B44B19" w14:paraId="43DC5C1E" w14:textId="77777777" w:rsidTr="00A74AFA">
        <w:trPr>
          <w:trHeight w:val="286"/>
        </w:trPr>
        <w:tc>
          <w:tcPr>
            <w:tcW w:w="317" w:type="pct"/>
            <w:vMerge/>
          </w:tcPr>
          <w:p w14:paraId="4AD1F72C" w14:textId="77777777" w:rsidR="00D632AD" w:rsidRPr="00B44B19" w:rsidRDefault="00D632AD" w:rsidP="008A35C6">
            <w:pPr>
              <w:spacing w:after="0" w:line="240" w:lineRule="auto"/>
              <w:jc w:val="both"/>
              <w:rPr>
                <w:rFonts w:eastAsia="Calibri" w:cs="Times New Roman"/>
                <w:noProof/>
                <w:sz w:val="16"/>
                <w:szCs w:val="16"/>
              </w:rPr>
            </w:pPr>
          </w:p>
        </w:tc>
        <w:tc>
          <w:tcPr>
            <w:tcW w:w="328" w:type="pct"/>
            <w:vMerge/>
          </w:tcPr>
          <w:p w14:paraId="74043357" w14:textId="77777777" w:rsidR="00D632AD" w:rsidRPr="00B44B19" w:rsidRDefault="00D632AD" w:rsidP="008A35C6">
            <w:pPr>
              <w:spacing w:after="0" w:line="240" w:lineRule="auto"/>
              <w:jc w:val="both"/>
              <w:rPr>
                <w:rFonts w:eastAsia="Calibri" w:cs="Times New Roman"/>
                <w:noProof/>
                <w:sz w:val="16"/>
                <w:szCs w:val="16"/>
              </w:rPr>
            </w:pPr>
          </w:p>
        </w:tc>
        <w:tc>
          <w:tcPr>
            <w:tcW w:w="281" w:type="pct"/>
            <w:vMerge/>
          </w:tcPr>
          <w:p w14:paraId="60328112" w14:textId="77777777" w:rsidR="00D632AD" w:rsidRPr="00B44B19" w:rsidRDefault="00D632AD" w:rsidP="008A35C6">
            <w:pPr>
              <w:spacing w:after="0" w:line="240" w:lineRule="auto"/>
              <w:jc w:val="both"/>
              <w:rPr>
                <w:rFonts w:eastAsia="Calibri" w:cs="Times New Roman"/>
                <w:noProof/>
                <w:sz w:val="16"/>
                <w:szCs w:val="16"/>
                <w:highlight w:val="yellow"/>
              </w:rPr>
            </w:pPr>
          </w:p>
        </w:tc>
        <w:tc>
          <w:tcPr>
            <w:tcW w:w="328" w:type="pct"/>
            <w:vMerge/>
          </w:tcPr>
          <w:p w14:paraId="0C8E821C" w14:textId="77777777" w:rsidR="00D632AD" w:rsidRPr="00B44B19" w:rsidRDefault="00D632AD" w:rsidP="008A35C6">
            <w:pPr>
              <w:spacing w:after="0" w:line="240" w:lineRule="auto"/>
              <w:jc w:val="both"/>
              <w:rPr>
                <w:rFonts w:eastAsia="Calibri" w:cs="Times New Roman"/>
                <w:noProof/>
                <w:sz w:val="16"/>
                <w:szCs w:val="16"/>
              </w:rPr>
            </w:pPr>
          </w:p>
        </w:tc>
        <w:tc>
          <w:tcPr>
            <w:tcW w:w="422" w:type="pct"/>
            <w:tcBorders>
              <w:bottom w:val="single" w:sz="4" w:space="0" w:color="auto"/>
            </w:tcBorders>
          </w:tcPr>
          <w:p w14:paraId="5222153B" w14:textId="77777777" w:rsidR="00D632AD" w:rsidRPr="00B44B19" w:rsidRDefault="00D632AD" w:rsidP="008A35C6">
            <w:pPr>
              <w:spacing w:after="0" w:line="240" w:lineRule="auto"/>
              <w:jc w:val="both"/>
              <w:rPr>
                <w:rFonts w:eastAsia="Calibri" w:cs="Times New Roman"/>
                <w:sz w:val="16"/>
                <w:szCs w:val="16"/>
                <w:lang w:eastAsia="en-GB"/>
              </w:rPr>
            </w:pPr>
            <w:r w:rsidRPr="00B44B19">
              <w:rPr>
                <w:rFonts w:eastAsia="Calibri" w:cs="Times New Roman"/>
                <w:sz w:val="16"/>
                <w:szCs w:val="16"/>
                <w:lang w:eastAsia="en-GB"/>
              </w:rPr>
              <w:t>RCR29</w:t>
            </w:r>
          </w:p>
        </w:tc>
        <w:tc>
          <w:tcPr>
            <w:tcW w:w="1313" w:type="pct"/>
            <w:tcBorders>
              <w:bottom w:val="single" w:sz="4" w:space="0" w:color="auto"/>
            </w:tcBorders>
          </w:tcPr>
          <w:p w14:paraId="009566F5" w14:textId="77777777" w:rsidR="00D632AD" w:rsidRPr="00B44B19" w:rsidRDefault="00F30904" w:rsidP="008A35C6">
            <w:pPr>
              <w:spacing w:after="0" w:line="240" w:lineRule="auto"/>
              <w:jc w:val="both"/>
              <w:rPr>
                <w:rFonts w:eastAsia="Calibri" w:cs="Times New Roman"/>
                <w:sz w:val="16"/>
                <w:szCs w:val="16"/>
              </w:rPr>
            </w:pPr>
            <w:r w:rsidRPr="00B44B19">
              <w:rPr>
                <w:rFonts w:eastAsia="Calibri" w:cs="Times New Roman"/>
                <w:sz w:val="16"/>
                <w:szCs w:val="16"/>
              </w:rPr>
              <w:t xml:space="preserve">Numatomas </w:t>
            </w:r>
            <w:r w:rsidR="00F90D7A" w:rsidRPr="00B44B19">
              <w:rPr>
                <w:rFonts w:eastAsia="Calibri" w:cs="Times New Roman"/>
                <w:sz w:val="16"/>
                <w:szCs w:val="16"/>
              </w:rPr>
              <w:t xml:space="preserve">išmetamas </w:t>
            </w:r>
            <w:r w:rsidRPr="00B44B19">
              <w:rPr>
                <w:rFonts w:eastAsia="Calibri" w:cs="Times New Roman"/>
                <w:sz w:val="16"/>
                <w:szCs w:val="16"/>
              </w:rPr>
              <w:t>šiltnamio efektą sukeliančių dujų kiekis</w:t>
            </w:r>
          </w:p>
        </w:tc>
        <w:tc>
          <w:tcPr>
            <w:tcW w:w="328" w:type="pct"/>
            <w:tcBorders>
              <w:bottom w:val="single" w:sz="4" w:space="0" w:color="auto"/>
            </w:tcBorders>
          </w:tcPr>
          <w:p w14:paraId="7E9B7567" w14:textId="77777777" w:rsidR="00D632AD" w:rsidRPr="00B44B19" w:rsidRDefault="00D632AD" w:rsidP="008A35C6">
            <w:pPr>
              <w:spacing w:after="0" w:line="240" w:lineRule="auto"/>
              <w:jc w:val="both"/>
              <w:rPr>
                <w:rFonts w:eastAsia="Calibri" w:cs="Times New Roman"/>
                <w:color w:val="000000"/>
                <w:sz w:val="16"/>
                <w:szCs w:val="16"/>
                <w:shd w:val="clear" w:color="auto" w:fill="FFFFFF"/>
              </w:rPr>
            </w:pPr>
            <w:r w:rsidRPr="00B44B19">
              <w:rPr>
                <w:rFonts w:eastAsia="Calibri" w:cs="Times New Roman"/>
                <w:color w:val="000000"/>
                <w:sz w:val="16"/>
                <w:szCs w:val="16"/>
                <w:shd w:val="clear" w:color="auto" w:fill="FFFFFF"/>
              </w:rPr>
              <w:t>Tonos CO2 ekvivalentu per metus</w:t>
            </w:r>
          </w:p>
        </w:tc>
        <w:tc>
          <w:tcPr>
            <w:tcW w:w="328" w:type="pct"/>
          </w:tcPr>
          <w:p w14:paraId="2CF3FDA9" w14:textId="384263FE" w:rsidR="00D632AD" w:rsidRPr="00B44B19" w:rsidRDefault="0015025E"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1 589 613</w:t>
            </w:r>
          </w:p>
        </w:tc>
        <w:tc>
          <w:tcPr>
            <w:tcW w:w="375" w:type="pct"/>
          </w:tcPr>
          <w:p w14:paraId="27570A8C" w14:textId="77777777" w:rsidR="00D632AD" w:rsidRPr="00B44B19" w:rsidRDefault="00D632AD">
            <w:pPr>
              <w:spacing w:after="0" w:line="240" w:lineRule="auto"/>
              <w:jc w:val="center"/>
              <w:rPr>
                <w:rFonts w:eastAsia="Calibri" w:cs="Times New Roman"/>
                <w:iCs/>
                <w:noProof/>
                <w:sz w:val="16"/>
                <w:szCs w:val="16"/>
              </w:rPr>
            </w:pPr>
            <w:r w:rsidRPr="00B44B19">
              <w:rPr>
                <w:rFonts w:eastAsia="Calibri" w:cs="Times New Roman"/>
                <w:iCs/>
                <w:noProof/>
                <w:sz w:val="16"/>
                <w:szCs w:val="16"/>
              </w:rPr>
              <w:t>2020</w:t>
            </w:r>
          </w:p>
        </w:tc>
        <w:tc>
          <w:tcPr>
            <w:tcW w:w="328" w:type="pct"/>
          </w:tcPr>
          <w:p w14:paraId="513C61A5" w14:textId="6602E874" w:rsidR="00D632AD" w:rsidRPr="00B44B19" w:rsidRDefault="00265B36"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509 018</w:t>
            </w:r>
          </w:p>
        </w:tc>
        <w:tc>
          <w:tcPr>
            <w:tcW w:w="305" w:type="pct"/>
          </w:tcPr>
          <w:p w14:paraId="147AC70B" w14:textId="77777777" w:rsidR="00D632AD" w:rsidRPr="00B44B19" w:rsidRDefault="00D632AD" w:rsidP="008A35C6">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46" w:type="pct"/>
          </w:tcPr>
          <w:p w14:paraId="4532AB24" w14:textId="77777777" w:rsidR="00D632AD" w:rsidRPr="00B44B19" w:rsidRDefault="00D632AD" w:rsidP="008A35C6">
            <w:pPr>
              <w:spacing w:after="0" w:line="240" w:lineRule="auto"/>
              <w:jc w:val="both"/>
              <w:rPr>
                <w:rFonts w:eastAsia="Calibri" w:cs="Times New Roman"/>
                <w:i/>
                <w:noProof/>
                <w:sz w:val="16"/>
                <w:szCs w:val="16"/>
                <w:lang w:eastAsia="lt-LT" w:bidi="lt-LT"/>
              </w:rPr>
            </w:pPr>
          </w:p>
        </w:tc>
      </w:tr>
      <w:tr w:rsidR="00F30904" w:rsidRPr="00B44B19" w14:paraId="4C66D1D5" w14:textId="77777777" w:rsidTr="00A74AFA">
        <w:trPr>
          <w:trHeight w:val="286"/>
        </w:trPr>
        <w:tc>
          <w:tcPr>
            <w:tcW w:w="317" w:type="pct"/>
            <w:vMerge/>
          </w:tcPr>
          <w:p w14:paraId="77C6D525" w14:textId="77777777" w:rsidR="00F30904" w:rsidRPr="00B44B19" w:rsidRDefault="00F30904" w:rsidP="008A35C6">
            <w:pPr>
              <w:spacing w:after="0" w:line="240" w:lineRule="auto"/>
              <w:jc w:val="both"/>
              <w:rPr>
                <w:rFonts w:eastAsia="Calibri" w:cs="Times New Roman"/>
                <w:noProof/>
                <w:sz w:val="16"/>
                <w:szCs w:val="16"/>
              </w:rPr>
            </w:pPr>
          </w:p>
        </w:tc>
        <w:tc>
          <w:tcPr>
            <w:tcW w:w="328" w:type="pct"/>
            <w:vMerge/>
          </w:tcPr>
          <w:p w14:paraId="21EBDC03" w14:textId="77777777" w:rsidR="00F30904" w:rsidRPr="00B44B19" w:rsidRDefault="00F30904" w:rsidP="008A35C6">
            <w:pPr>
              <w:spacing w:after="0" w:line="240" w:lineRule="auto"/>
              <w:jc w:val="both"/>
              <w:rPr>
                <w:rFonts w:eastAsia="Calibri" w:cs="Times New Roman"/>
                <w:noProof/>
                <w:sz w:val="16"/>
                <w:szCs w:val="16"/>
              </w:rPr>
            </w:pPr>
          </w:p>
        </w:tc>
        <w:tc>
          <w:tcPr>
            <w:tcW w:w="281" w:type="pct"/>
            <w:vMerge/>
          </w:tcPr>
          <w:p w14:paraId="70642465" w14:textId="77777777" w:rsidR="00F30904" w:rsidRPr="00B44B19" w:rsidRDefault="00F30904" w:rsidP="008A35C6">
            <w:pPr>
              <w:spacing w:after="0" w:line="240" w:lineRule="auto"/>
              <w:jc w:val="both"/>
              <w:rPr>
                <w:rFonts w:eastAsia="Calibri" w:cs="Times New Roman"/>
                <w:noProof/>
                <w:sz w:val="16"/>
                <w:szCs w:val="16"/>
                <w:highlight w:val="yellow"/>
              </w:rPr>
            </w:pPr>
          </w:p>
        </w:tc>
        <w:tc>
          <w:tcPr>
            <w:tcW w:w="328" w:type="pct"/>
            <w:vMerge/>
          </w:tcPr>
          <w:p w14:paraId="4CD53791" w14:textId="77777777" w:rsidR="00F30904" w:rsidRPr="00B44B19" w:rsidRDefault="00F30904" w:rsidP="008A35C6">
            <w:pPr>
              <w:spacing w:after="0" w:line="240" w:lineRule="auto"/>
              <w:jc w:val="both"/>
              <w:rPr>
                <w:rFonts w:eastAsia="Calibri" w:cs="Times New Roman"/>
                <w:noProof/>
                <w:sz w:val="16"/>
                <w:szCs w:val="16"/>
              </w:rPr>
            </w:pPr>
          </w:p>
        </w:tc>
        <w:tc>
          <w:tcPr>
            <w:tcW w:w="422" w:type="pct"/>
          </w:tcPr>
          <w:p w14:paraId="2AC19FB3" w14:textId="77777777" w:rsidR="00F30904" w:rsidRPr="00B44B19" w:rsidRDefault="00F30904" w:rsidP="008A35C6">
            <w:pPr>
              <w:spacing w:after="0" w:line="240" w:lineRule="auto"/>
              <w:jc w:val="both"/>
              <w:rPr>
                <w:rFonts w:eastAsia="Calibri" w:cs="Times New Roman"/>
                <w:sz w:val="16"/>
                <w:szCs w:val="16"/>
                <w:lang w:eastAsia="en-GB"/>
              </w:rPr>
            </w:pPr>
            <w:r w:rsidRPr="00B44B19">
              <w:rPr>
                <w:rFonts w:eastAsia="Calibri" w:cs="Times New Roman"/>
                <w:sz w:val="16"/>
                <w:szCs w:val="16"/>
                <w:lang w:eastAsia="en-GB"/>
              </w:rPr>
              <w:t>RCR64</w:t>
            </w:r>
          </w:p>
        </w:tc>
        <w:tc>
          <w:tcPr>
            <w:tcW w:w="1313" w:type="pct"/>
          </w:tcPr>
          <w:p w14:paraId="611870B0" w14:textId="77777777" w:rsidR="00F30904" w:rsidRPr="00B44B19" w:rsidRDefault="00F30904" w:rsidP="008A35C6">
            <w:pPr>
              <w:spacing w:after="0" w:line="240" w:lineRule="auto"/>
              <w:jc w:val="both"/>
              <w:rPr>
                <w:rFonts w:eastAsia="Calibri" w:cs="Times New Roman"/>
                <w:sz w:val="16"/>
                <w:szCs w:val="16"/>
              </w:rPr>
            </w:pPr>
            <w:r w:rsidRPr="00B44B19">
              <w:rPr>
                <w:rFonts w:eastAsia="Calibri" w:cs="Times New Roman"/>
                <w:sz w:val="16"/>
                <w:szCs w:val="16"/>
              </w:rPr>
              <w:t>Dviračiams skirtos infrastruktūros naudotojų skaičius per metus</w:t>
            </w:r>
          </w:p>
        </w:tc>
        <w:tc>
          <w:tcPr>
            <w:tcW w:w="328" w:type="pct"/>
          </w:tcPr>
          <w:p w14:paraId="01A807E7" w14:textId="77777777" w:rsidR="00F30904" w:rsidRPr="00B44B19" w:rsidRDefault="00F30904" w:rsidP="00213201">
            <w:pPr>
              <w:spacing w:after="0" w:line="240" w:lineRule="auto"/>
              <w:jc w:val="both"/>
              <w:rPr>
                <w:rFonts w:eastAsia="Calibri" w:cs="Times New Roman"/>
                <w:color w:val="000000"/>
                <w:sz w:val="16"/>
                <w:szCs w:val="16"/>
                <w:shd w:val="clear" w:color="auto" w:fill="FFFFFF"/>
              </w:rPr>
            </w:pPr>
            <w:r w:rsidRPr="00B44B19">
              <w:rPr>
                <w:rFonts w:eastAsia="Calibri" w:cs="Times New Roman"/>
                <w:color w:val="000000"/>
                <w:sz w:val="16"/>
                <w:szCs w:val="16"/>
                <w:shd w:val="clear" w:color="auto" w:fill="FFFFFF"/>
              </w:rPr>
              <w:t>Naudotoj</w:t>
            </w:r>
            <w:r w:rsidR="00213201" w:rsidRPr="00B44B19">
              <w:rPr>
                <w:rFonts w:eastAsia="Calibri" w:cs="Times New Roman"/>
                <w:color w:val="000000"/>
                <w:sz w:val="16"/>
                <w:szCs w:val="16"/>
                <w:shd w:val="clear" w:color="auto" w:fill="FFFFFF"/>
              </w:rPr>
              <w:t>ai</w:t>
            </w:r>
            <w:r w:rsidRPr="00B44B19">
              <w:rPr>
                <w:rFonts w:eastAsia="Calibri" w:cs="Times New Roman"/>
                <w:color w:val="000000"/>
                <w:sz w:val="16"/>
                <w:szCs w:val="16"/>
                <w:shd w:val="clear" w:color="auto" w:fill="FFFFFF"/>
              </w:rPr>
              <w:t xml:space="preserve"> per metus</w:t>
            </w:r>
          </w:p>
        </w:tc>
        <w:tc>
          <w:tcPr>
            <w:tcW w:w="328" w:type="pct"/>
          </w:tcPr>
          <w:p w14:paraId="2643D4FA" w14:textId="77777777" w:rsidR="00F30904" w:rsidRPr="00B44B19" w:rsidRDefault="00F30904"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84 318</w:t>
            </w:r>
          </w:p>
        </w:tc>
        <w:tc>
          <w:tcPr>
            <w:tcW w:w="375" w:type="pct"/>
          </w:tcPr>
          <w:p w14:paraId="134E4D2C" w14:textId="77777777" w:rsidR="00F30904" w:rsidRPr="00B44B19" w:rsidRDefault="00F30904"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2020</w:t>
            </w:r>
          </w:p>
        </w:tc>
        <w:tc>
          <w:tcPr>
            <w:tcW w:w="328" w:type="pct"/>
          </w:tcPr>
          <w:p w14:paraId="3DF34180" w14:textId="77777777" w:rsidR="00F30904" w:rsidRPr="00B44B19" w:rsidRDefault="00F30904"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144 529</w:t>
            </w:r>
          </w:p>
        </w:tc>
        <w:tc>
          <w:tcPr>
            <w:tcW w:w="305" w:type="pct"/>
          </w:tcPr>
          <w:p w14:paraId="3824A9A6" w14:textId="77777777" w:rsidR="00F30904" w:rsidRPr="00B44B19" w:rsidRDefault="00F30904" w:rsidP="008A35C6">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46" w:type="pct"/>
          </w:tcPr>
          <w:p w14:paraId="718D14E0" w14:textId="77777777" w:rsidR="00F30904" w:rsidRPr="00B44B19" w:rsidRDefault="00F30904" w:rsidP="008A35C6">
            <w:pPr>
              <w:spacing w:after="0" w:line="240" w:lineRule="auto"/>
              <w:jc w:val="both"/>
              <w:rPr>
                <w:rFonts w:eastAsia="Calibri" w:cs="Times New Roman"/>
                <w:i/>
                <w:noProof/>
                <w:sz w:val="16"/>
                <w:szCs w:val="16"/>
                <w:lang w:eastAsia="lt-LT" w:bidi="lt-LT"/>
              </w:rPr>
            </w:pPr>
          </w:p>
        </w:tc>
      </w:tr>
      <w:tr w:rsidR="00F30904" w:rsidRPr="00B44B19" w14:paraId="6D5C58DB" w14:textId="77777777" w:rsidTr="00A74AFA">
        <w:trPr>
          <w:trHeight w:val="286"/>
        </w:trPr>
        <w:tc>
          <w:tcPr>
            <w:tcW w:w="317" w:type="pct"/>
            <w:vMerge/>
          </w:tcPr>
          <w:p w14:paraId="1F8CA6FB" w14:textId="77777777" w:rsidR="00F30904" w:rsidRPr="00B44B19" w:rsidRDefault="00F30904" w:rsidP="008A35C6">
            <w:pPr>
              <w:spacing w:after="0" w:line="240" w:lineRule="auto"/>
              <w:jc w:val="both"/>
              <w:rPr>
                <w:rFonts w:eastAsia="Calibri" w:cs="Times New Roman"/>
                <w:noProof/>
                <w:sz w:val="16"/>
                <w:szCs w:val="16"/>
              </w:rPr>
            </w:pPr>
          </w:p>
        </w:tc>
        <w:tc>
          <w:tcPr>
            <w:tcW w:w="328" w:type="pct"/>
            <w:vMerge/>
          </w:tcPr>
          <w:p w14:paraId="71EEB369" w14:textId="77777777" w:rsidR="00F30904" w:rsidRPr="00B44B19" w:rsidRDefault="00F30904" w:rsidP="008A35C6">
            <w:pPr>
              <w:spacing w:after="0" w:line="240" w:lineRule="auto"/>
              <w:jc w:val="both"/>
              <w:rPr>
                <w:rFonts w:eastAsia="Calibri" w:cs="Times New Roman"/>
                <w:noProof/>
                <w:sz w:val="16"/>
                <w:szCs w:val="16"/>
              </w:rPr>
            </w:pPr>
          </w:p>
        </w:tc>
        <w:tc>
          <w:tcPr>
            <w:tcW w:w="281" w:type="pct"/>
            <w:vMerge w:val="restart"/>
          </w:tcPr>
          <w:p w14:paraId="6D65C73E" w14:textId="77777777" w:rsidR="00F30904" w:rsidRPr="00B44B19" w:rsidRDefault="00F30904" w:rsidP="008A35C6">
            <w:pPr>
              <w:spacing w:after="0" w:line="240" w:lineRule="auto"/>
              <w:jc w:val="both"/>
              <w:rPr>
                <w:rFonts w:eastAsia="Calibri" w:cs="Times New Roman"/>
                <w:noProof/>
                <w:sz w:val="16"/>
                <w:szCs w:val="16"/>
                <w:highlight w:val="yellow"/>
              </w:rPr>
            </w:pPr>
            <w:r w:rsidRPr="00B44B19">
              <w:rPr>
                <w:rFonts w:eastAsia="Calibri" w:cs="Times New Roman"/>
                <w:noProof/>
                <w:sz w:val="16"/>
                <w:szCs w:val="16"/>
              </w:rPr>
              <w:t>SaF</w:t>
            </w:r>
          </w:p>
        </w:tc>
        <w:tc>
          <w:tcPr>
            <w:tcW w:w="328" w:type="pct"/>
            <w:vMerge w:val="restart"/>
          </w:tcPr>
          <w:p w14:paraId="7499785A" w14:textId="77777777" w:rsidR="00F30904" w:rsidRPr="00B44B19" w:rsidRDefault="00F30904" w:rsidP="008A35C6">
            <w:pPr>
              <w:spacing w:after="0" w:line="240" w:lineRule="auto"/>
              <w:jc w:val="both"/>
              <w:rPr>
                <w:rFonts w:eastAsia="Calibri" w:cs="Times New Roman"/>
                <w:noProof/>
                <w:sz w:val="16"/>
                <w:szCs w:val="16"/>
              </w:rPr>
            </w:pPr>
            <w:r w:rsidRPr="00B44B19">
              <w:rPr>
                <w:rFonts w:eastAsia="Calibri" w:cs="Times New Roman"/>
                <w:noProof/>
                <w:sz w:val="16"/>
                <w:szCs w:val="16"/>
              </w:rPr>
              <w:t>Visa Lietuva</w:t>
            </w:r>
          </w:p>
        </w:tc>
        <w:tc>
          <w:tcPr>
            <w:tcW w:w="422" w:type="pct"/>
            <w:tcBorders>
              <w:top w:val="single" w:sz="4" w:space="0" w:color="auto"/>
            </w:tcBorders>
          </w:tcPr>
          <w:p w14:paraId="3EAB0503" w14:textId="77777777" w:rsidR="00F30904" w:rsidRPr="00B44B19" w:rsidRDefault="00F30904" w:rsidP="008A35C6">
            <w:pPr>
              <w:spacing w:after="0" w:line="240" w:lineRule="auto"/>
              <w:jc w:val="both"/>
              <w:rPr>
                <w:rFonts w:eastAsia="Calibri" w:cs="Times New Roman"/>
                <w:sz w:val="16"/>
                <w:szCs w:val="16"/>
                <w:lang w:eastAsia="en-GB"/>
              </w:rPr>
            </w:pPr>
            <w:r w:rsidRPr="00B44B19">
              <w:rPr>
                <w:rFonts w:eastAsia="Calibri" w:cs="Times New Roman"/>
                <w:sz w:val="16"/>
                <w:szCs w:val="16"/>
                <w:lang w:eastAsia="lt-LT" w:bidi="lt-LT"/>
              </w:rPr>
              <w:t>RCR62</w:t>
            </w:r>
          </w:p>
        </w:tc>
        <w:tc>
          <w:tcPr>
            <w:tcW w:w="1313" w:type="pct"/>
            <w:tcBorders>
              <w:top w:val="single" w:sz="4" w:space="0" w:color="auto"/>
            </w:tcBorders>
          </w:tcPr>
          <w:p w14:paraId="41EC28B8" w14:textId="77777777" w:rsidR="00F30904" w:rsidRPr="00B44B19" w:rsidRDefault="00F30904" w:rsidP="008A35C6">
            <w:pPr>
              <w:spacing w:after="0" w:line="240" w:lineRule="auto"/>
              <w:jc w:val="both"/>
              <w:rPr>
                <w:rFonts w:eastAsia="Calibri" w:cs="Times New Roman"/>
                <w:sz w:val="16"/>
                <w:szCs w:val="16"/>
              </w:rPr>
            </w:pPr>
            <w:r w:rsidRPr="00B44B19">
              <w:rPr>
                <w:rFonts w:eastAsia="Calibri" w:cs="Times New Roman"/>
                <w:sz w:val="16"/>
                <w:szCs w:val="16"/>
                <w:lang w:eastAsia="lt-LT" w:bidi="lt-LT"/>
              </w:rPr>
              <w:t>Naujo arba modernizuoto viešojo transporto naudotojų skaičius per metus</w:t>
            </w:r>
          </w:p>
        </w:tc>
        <w:tc>
          <w:tcPr>
            <w:tcW w:w="328" w:type="pct"/>
            <w:tcBorders>
              <w:top w:val="single" w:sz="4" w:space="0" w:color="auto"/>
            </w:tcBorders>
          </w:tcPr>
          <w:p w14:paraId="1BE2F283" w14:textId="77777777" w:rsidR="00F30904" w:rsidRPr="00B44B19" w:rsidRDefault="00F30904" w:rsidP="00213201">
            <w:pPr>
              <w:spacing w:after="0" w:line="240" w:lineRule="auto"/>
              <w:jc w:val="both"/>
              <w:rPr>
                <w:rFonts w:eastAsia="Calibri" w:cs="Times New Roman"/>
                <w:color w:val="000000"/>
                <w:sz w:val="16"/>
                <w:szCs w:val="16"/>
                <w:shd w:val="clear" w:color="auto" w:fill="FFFFFF"/>
              </w:rPr>
            </w:pPr>
            <w:r w:rsidRPr="00B44B19">
              <w:rPr>
                <w:rFonts w:eastAsia="Calibri" w:cs="Times New Roman"/>
                <w:sz w:val="16"/>
                <w:szCs w:val="16"/>
              </w:rPr>
              <w:t>Naudotoj</w:t>
            </w:r>
            <w:r w:rsidR="00213201" w:rsidRPr="00B44B19">
              <w:rPr>
                <w:rFonts w:eastAsia="Calibri" w:cs="Times New Roman"/>
                <w:sz w:val="16"/>
                <w:szCs w:val="16"/>
              </w:rPr>
              <w:t>ai</w:t>
            </w:r>
            <w:r w:rsidRPr="00B44B19">
              <w:rPr>
                <w:rFonts w:eastAsia="Calibri" w:cs="Times New Roman"/>
                <w:sz w:val="16"/>
                <w:szCs w:val="16"/>
              </w:rPr>
              <w:t xml:space="preserve"> per metus</w:t>
            </w:r>
          </w:p>
        </w:tc>
        <w:tc>
          <w:tcPr>
            <w:tcW w:w="328" w:type="pct"/>
          </w:tcPr>
          <w:p w14:paraId="6C7E52FE" w14:textId="77777777" w:rsidR="00F30904" w:rsidRPr="00B44B19" w:rsidRDefault="00F30904"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4542DE72" w14:textId="77777777" w:rsidR="00F30904" w:rsidRPr="00B44B19" w:rsidRDefault="00F30904" w:rsidP="00D632AD">
            <w:pPr>
              <w:spacing w:after="0" w:line="240" w:lineRule="auto"/>
              <w:jc w:val="center"/>
              <w:rPr>
                <w:rFonts w:eastAsia="Calibri" w:cs="Times New Roman"/>
                <w:iCs/>
                <w:noProof/>
                <w:sz w:val="16"/>
                <w:szCs w:val="16"/>
              </w:rPr>
            </w:pPr>
            <w:r w:rsidRPr="00B44B19">
              <w:rPr>
                <w:rFonts w:eastAsia="Calibri" w:cs="Times New Roman"/>
                <w:iCs/>
                <w:noProof/>
                <w:sz w:val="16"/>
                <w:szCs w:val="16"/>
              </w:rPr>
              <w:t>2020</w:t>
            </w:r>
          </w:p>
        </w:tc>
        <w:tc>
          <w:tcPr>
            <w:tcW w:w="328" w:type="pct"/>
          </w:tcPr>
          <w:p w14:paraId="315CA524" w14:textId="189C9A89" w:rsidR="00F30904" w:rsidRPr="00B44B19" w:rsidRDefault="00265B36"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3 004 001</w:t>
            </w:r>
          </w:p>
        </w:tc>
        <w:tc>
          <w:tcPr>
            <w:tcW w:w="305" w:type="pct"/>
          </w:tcPr>
          <w:p w14:paraId="4A3814DE" w14:textId="77777777" w:rsidR="00F30904" w:rsidRPr="00B44B19" w:rsidRDefault="00F30904" w:rsidP="008A35C6">
            <w:pPr>
              <w:spacing w:after="0" w:line="240" w:lineRule="auto"/>
              <w:jc w:val="both"/>
              <w:rPr>
                <w:rFonts w:eastAsia="Calibri" w:cs="Times New Roman"/>
                <w:noProof/>
                <w:sz w:val="16"/>
                <w:szCs w:val="16"/>
              </w:rPr>
            </w:pPr>
            <w:r w:rsidRPr="00B44B19">
              <w:rPr>
                <w:rFonts w:eastAsia="Calibri" w:cs="Times New Roman"/>
                <w:noProof/>
                <w:sz w:val="16"/>
                <w:szCs w:val="16"/>
              </w:rPr>
              <w:t>Statistikos departamentas</w:t>
            </w:r>
          </w:p>
        </w:tc>
        <w:tc>
          <w:tcPr>
            <w:tcW w:w="346" w:type="pct"/>
          </w:tcPr>
          <w:p w14:paraId="64856ABA" w14:textId="77777777" w:rsidR="00F30904" w:rsidRPr="00B44B19" w:rsidRDefault="00F30904" w:rsidP="008A35C6">
            <w:pPr>
              <w:spacing w:after="0" w:line="240" w:lineRule="auto"/>
              <w:jc w:val="both"/>
              <w:rPr>
                <w:rFonts w:eastAsia="Calibri" w:cs="Times New Roman"/>
                <w:i/>
                <w:noProof/>
                <w:sz w:val="16"/>
                <w:szCs w:val="16"/>
                <w:lang w:eastAsia="lt-LT" w:bidi="lt-LT"/>
              </w:rPr>
            </w:pPr>
          </w:p>
        </w:tc>
      </w:tr>
      <w:tr w:rsidR="00D632AD" w:rsidRPr="00B44B19" w14:paraId="7A633F7C" w14:textId="77777777" w:rsidTr="00A74AFA">
        <w:trPr>
          <w:trHeight w:val="286"/>
        </w:trPr>
        <w:tc>
          <w:tcPr>
            <w:tcW w:w="317" w:type="pct"/>
            <w:vMerge/>
          </w:tcPr>
          <w:p w14:paraId="0AC9A9FF" w14:textId="77777777" w:rsidR="00D632AD" w:rsidRPr="00B44B19" w:rsidRDefault="00D632AD" w:rsidP="008A35C6">
            <w:pPr>
              <w:spacing w:after="0" w:line="240" w:lineRule="auto"/>
              <w:jc w:val="both"/>
              <w:rPr>
                <w:rFonts w:eastAsia="Calibri" w:cs="Times New Roman"/>
                <w:noProof/>
                <w:sz w:val="16"/>
                <w:szCs w:val="16"/>
              </w:rPr>
            </w:pPr>
          </w:p>
        </w:tc>
        <w:tc>
          <w:tcPr>
            <w:tcW w:w="328" w:type="pct"/>
            <w:vMerge/>
          </w:tcPr>
          <w:p w14:paraId="758B466B" w14:textId="77777777" w:rsidR="00D632AD" w:rsidRPr="00B44B19" w:rsidRDefault="00D632AD" w:rsidP="008A35C6">
            <w:pPr>
              <w:spacing w:after="0" w:line="240" w:lineRule="auto"/>
              <w:jc w:val="both"/>
              <w:rPr>
                <w:rFonts w:eastAsia="Calibri" w:cs="Times New Roman"/>
                <w:noProof/>
                <w:sz w:val="16"/>
                <w:szCs w:val="16"/>
              </w:rPr>
            </w:pPr>
          </w:p>
        </w:tc>
        <w:tc>
          <w:tcPr>
            <w:tcW w:w="281" w:type="pct"/>
            <w:vMerge/>
          </w:tcPr>
          <w:p w14:paraId="7B196C35" w14:textId="77777777" w:rsidR="00D632AD" w:rsidRPr="00B44B19" w:rsidRDefault="00D632AD" w:rsidP="008A35C6">
            <w:pPr>
              <w:spacing w:after="0" w:line="240" w:lineRule="auto"/>
              <w:jc w:val="both"/>
              <w:rPr>
                <w:rFonts w:eastAsia="Calibri" w:cs="Times New Roman"/>
                <w:noProof/>
                <w:sz w:val="16"/>
                <w:szCs w:val="16"/>
                <w:highlight w:val="yellow"/>
              </w:rPr>
            </w:pPr>
          </w:p>
        </w:tc>
        <w:tc>
          <w:tcPr>
            <w:tcW w:w="328" w:type="pct"/>
            <w:vMerge/>
          </w:tcPr>
          <w:p w14:paraId="1959187B" w14:textId="77777777" w:rsidR="00D632AD" w:rsidRPr="00B44B19" w:rsidRDefault="00D632AD" w:rsidP="008A35C6">
            <w:pPr>
              <w:spacing w:after="0" w:line="240" w:lineRule="auto"/>
              <w:jc w:val="both"/>
              <w:rPr>
                <w:rFonts w:eastAsia="Calibri" w:cs="Times New Roman"/>
                <w:noProof/>
                <w:sz w:val="16"/>
                <w:szCs w:val="16"/>
              </w:rPr>
            </w:pPr>
          </w:p>
        </w:tc>
        <w:tc>
          <w:tcPr>
            <w:tcW w:w="422" w:type="pct"/>
          </w:tcPr>
          <w:p w14:paraId="0A0CD777" w14:textId="77777777" w:rsidR="00D632AD" w:rsidRPr="00B44B19" w:rsidRDefault="00D632AD" w:rsidP="008A35C6">
            <w:pPr>
              <w:spacing w:after="0" w:line="240" w:lineRule="auto"/>
              <w:jc w:val="both"/>
              <w:rPr>
                <w:rFonts w:eastAsia="Calibri" w:cs="Times New Roman"/>
                <w:sz w:val="16"/>
                <w:szCs w:val="16"/>
                <w:lang w:eastAsia="en-GB"/>
              </w:rPr>
            </w:pPr>
            <w:r w:rsidRPr="00B44B19">
              <w:rPr>
                <w:rFonts w:eastAsia="Calibri" w:cs="Times New Roman"/>
                <w:sz w:val="16"/>
                <w:szCs w:val="16"/>
                <w:lang w:eastAsia="en-GB"/>
              </w:rPr>
              <w:t>RCR29</w:t>
            </w:r>
          </w:p>
        </w:tc>
        <w:tc>
          <w:tcPr>
            <w:tcW w:w="1313" w:type="pct"/>
          </w:tcPr>
          <w:p w14:paraId="29B2AD39" w14:textId="77777777" w:rsidR="00D632AD" w:rsidRPr="00B44B19" w:rsidRDefault="006D1E9D" w:rsidP="008A35C6">
            <w:pPr>
              <w:spacing w:after="0" w:line="240" w:lineRule="auto"/>
              <w:jc w:val="both"/>
              <w:rPr>
                <w:rFonts w:eastAsia="Calibri" w:cs="Times New Roman"/>
                <w:sz w:val="16"/>
                <w:szCs w:val="16"/>
              </w:rPr>
            </w:pPr>
            <w:r w:rsidRPr="00B44B19">
              <w:rPr>
                <w:rFonts w:eastAsia="Calibri" w:cs="Times New Roman"/>
                <w:sz w:val="16"/>
                <w:szCs w:val="16"/>
              </w:rPr>
              <w:t>Numatomas išmetamas šiltnamio efektą sukeliančių dujų kiekis</w:t>
            </w:r>
          </w:p>
        </w:tc>
        <w:tc>
          <w:tcPr>
            <w:tcW w:w="328" w:type="pct"/>
          </w:tcPr>
          <w:p w14:paraId="46AC3800" w14:textId="77777777" w:rsidR="00D632AD" w:rsidRPr="00B44B19" w:rsidRDefault="00D632AD" w:rsidP="008A35C6">
            <w:pPr>
              <w:spacing w:after="0" w:line="240" w:lineRule="auto"/>
              <w:jc w:val="both"/>
              <w:rPr>
                <w:rFonts w:eastAsia="Calibri" w:cs="Times New Roman"/>
                <w:color w:val="000000"/>
                <w:sz w:val="16"/>
                <w:szCs w:val="16"/>
                <w:shd w:val="clear" w:color="auto" w:fill="FFFFFF"/>
              </w:rPr>
            </w:pPr>
            <w:r w:rsidRPr="00B44B19">
              <w:rPr>
                <w:rFonts w:eastAsia="Calibri" w:cs="Times New Roman"/>
                <w:color w:val="000000"/>
                <w:sz w:val="16"/>
                <w:szCs w:val="16"/>
                <w:shd w:val="clear" w:color="auto" w:fill="FFFFFF"/>
              </w:rPr>
              <w:t>Tonos CO2 ekvivalentu per metus</w:t>
            </w:r>
          </w:p>
        </w:tc>
        <w:tc>
          <w:tcPr>
            <w:tcW w:w="328" w:type="pct"/>
          </w:tcPr>
          <w:p w14:paraId="57ED3F1A" w14:textId="4AE13EEE" w:rsidR="00D632AD" w:rsidRPr="00B44B19" w:rsidRDefault="0015025E"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991 696</w:t>
            </w:r>
          </w:p>
        </w:tc>
        <w:tc>
          <w:tcPr>
            <w:tcW w:w="375" w:type="pct"/>
          </w:tcPr>
          <w:p w14:paraId="439A9FE3" w14:textId="77777777" w:rsidR="00D632AD" w:rsidRPr="00B44B19" w:rsidRDefault="00D632AD"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2020</w:t>
            </w:r>
          </w:p>
        </w:tc>
        <w:tc>
          <w:tcPr>
            <w:tcW w:w="328" w:type="pct"/>
          </w:tcPr>
          <w:p w14:paraId="1DF4A055" w14:textId="3E37FD0A" w:rsidR="00D632AD" w:rsidRPr="00B44B19" w:rsidRDefault="00265B36"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21 209</w:t>
            </w:r>
          </w:p>
        </w:tc>
        <w:tc>
          <w:tcPr>
            <w:tcW w:w="305" w:type="pct"/>
          </w:tcPr>
          <w:p w14:paraId="4CB7A0B0" w14:textId="77777777" w:rsidR="00D632AD" w:rsidRPr="00B44B19" w:rsidRDefault="00924365" w:rsidP="008A35C6">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46" w:type="pct"/>
          </w:tcPr>
          <w:p w14:paraId="3B9C688A" w14:textId="77777777" w:rsidR="00D632AD" w:rsidRPr="00B44B19" w:rsidRDefault="00D632AD" w:rsidP="008A35C6">
            <w:pPr>
              <w:spacing w:after="0" w:line="240" w:lineRule="auto"/>
              <w:jc w:val="both"/>
              <w:rPr>
                <w:rFonts w:eastAsia="Calibri" w:cs="Times New Roman"/>
                <w:i/>
                <w:noProof/>
                <w:sz w:val="16"/>
                <w:szCs w:val="16"/>
                <w:lang w:eastAsia="lt-LT" w:bidi="lt-LT"/>
              </w:rPr>
            </w:pPr>
          </w:p>
        </w:tc>
      </w:tr>
      <w:tr w:rsidR="00D632AD" w:rsidRPr="00B44B19" w14:paraId="7234454A" w14:textId="77777777" w:rsidTr="00A74AFA">
        <w:trPr>
          <w:trHeight w:val="286"/>
        </w:trPr>
        <w:tc>
          <w:tcPr>
            <w:tcW w:w="317" w:type="pct"/>
            <w:vMerge/>
          </w:tcPr>
          <w:p w14:paraId="4C877195" w14:textId="77777777" w:rsidR="00D632AD" w:rsidRPr="00B44B19" w:rsidRDefault="00D632AD" w:rsidP="008A35C6">
            <w:pPr>
              <w:spacing w:after="0" w:line="240" w:lineRule="auto"/>
              <w:jc w:val="both"/>
              <w:rPr>
                <w:rFonts w:eastAsia="Calibri" w:cs="Times New Roman"/>
                <w:noProof/>
                <w:sz w:val="16"/>
                <w:szCs w:val="16"/>
              </w:rPr>
            </w:pPr>
          </w:p>
        </w:tc>
        <w:tc>
          <w:tcPr>
            <w:tcW w:w="328" w:type="pct"/>
            <w:vMerge/>
          </w:tcPr>
          <w:p w14:paraId="031D2C96" w14:textId="77777777" w:rsidR="00D632AD" w:rsidRPr="00B44B19" w:rsidRDefault="00D632AD" w:rsidP="008A35C6">
            <w:pPr>
              <w:spacing w:after="0" w:line="240" w:lineRule="auto"/>
              <w:jc w:val="both"/>
              <w:rPr>
                <w:rFonts w:eastAsia="Calibri" w:cs="Times New Roman"/>
                <w:noProof/>
                <w:sz w:val="16"/>
                <w:szCs w:val="16"/>
              </w:rPr>
            </w:pPr>
          </w:p>
        </w:tc>
        <w:tc>
          <w:tcPr>
            <w:tcW w:w="281" w:type="pct"/>
            <w:vMerge/>
          </w:tcPr>
          <w:p w14:paraId="11442699" w14:textId="77777777" w:rsidR="00D632AD" w:rsidRPr="00B44B19" w:rsidRDefault="00D632AD" w:rsidP="008A35C6">
            <w:pPr>
              <w:spacing w:after="0" w:line="240" w:lineRule="auto"/>
              <w:jc w:val="both"/>
              <w:rPr>
                <w:rFonts w:eastAsia="Calibri" w:cs="Times New Roman"/>
                <w:noProof/>
                <w:sz w:val="16"/>
                <w:szCs w:val="16"/>
                <w:highlight w:val="yellow"/>
              </w:rPr>
            </w:pPr>
          </w:p>
        </w:tc>
        <w:tc>
          <w:tcPr>
            <w:tcW w:w="328" w:type="pct"/>
            <w:vMerge/>
          </w:tcPr>
          <w:p w14:paraId="7E898696" w14:textId="77777777" w:rsidR="00D632AD" w:rsidRPr="00B44B19" w:rsidRDefault="00D632AD" w:rsidP="008A35C6">
            <w:pPr>
              <w:spacing w:after="0" w:line="240" w:lineRule="auto"/>
              <w:jc w:val="both"/>
              <w:rPr>
                <w:rFonts w:eastAsia="Calibri" w:cs="Times New Roman"/>
                <w:noProof/>
                <w:sz w:val="16"/>
                <w:szCs w:val="16"/>
              </w:rPr>
            </w:pPr>
          </w:p>
        </w:tc>
        <w:tc>
          <w:tcPr>
            <w:tcW w:w="422" w:type="pct"/>
          </w:tcPr>
          <w:p w14:paraId="7CFD1283" w14:textId="77777777" w:rsidR="00D632AD" w:rsidRPr="00B44B19" w:rsidRDefault="00D632AD" w:rsidP="008A35C6">
            <w:pPr>
              <w:spacing w:after="0" w:line="240" w:lineRule="auto"/>
              <w:jc w:val="both"/>
              <w:rPr>
                <w:rFonts w:eastAsia="Calibri" w:cs="Times New Roman"/>
                <w:sz w:val="16"/>
                <w:szCs w:val="16"/>
                <w:lang w:eastAsia="en-GB"/>
              </w:rPr>
            </w:pPr>
            <w:r w:rsidRPr="00B44B19">
              <w:rPr>
                <w:rFonts w:eastAsia="Calibri" w:cs="Times New Roman"/>
                <w:sz w:val="16"/>
                <w:szCs w:val="16"/>
                <w:lang w:eastAsia="en-GB"/>
              </w:rPr>
              <w:t>RCR64</w:t>
            </w:r>
          </w:p>
        </w:tc>
        <w:tc>
          <w:tcPr>
            <w:tcW w:w="1313" w:type="pct"/>
          </w:tcPr>
          <w:p w14:paraId="13BC2CB2" w14:textId="77777777" w:rsidR="00D632AD" w:rsidRPr="00B44B19" w:rsidRDefault="00D632AD" w:rsidP="008A35C6">
            <w:pPr>
              <w:spacing w:after="0" w:line="240" w:lineRule="auto"/>
              <w:jc w:val="both"/>
              <w:rPr>
                <w:rFonts w:eastAsia="Calibri" w:cs="Times New Roman"/>
                <w:sz w:val="16"/>
                <w:szCs w:val="16"/>
              </w:rPr>
            </w:pPr>
            <w:r w:rsidRPr="00B44B19">
              <w:rPr>
                <w:rFonts w:eastAsia="Calibri" w:cs="Times New Roman"/>
                <w:sz w:val="16"/>
                <w:szCs w:val="16"/>
              </w:rPr>
              <w:t>Dviračiams skirtos infrastruktūros naudotojų skaičius per metus</w:t>
            </w:r>
          </w:p>
        </w:tc>
        <w:tc>
          <w:tcPr>
            <w:tcW w:w="328" w:type="pct"/>
          </w:tcPr>
          <w:p w14:paraId="350B5AF1" w14:textId="77777777" w:rsidR="00D632AD" w:rsidRPr="00B44B19" w:rsidRDefault="00F30904" w:rsidP="00213201">
            <w:pPr>
              <w:spacing w:after="0" w:line="240" w:lineRule="auto"/>
              <w:jc w:val="both"/>
              <w:rPr>
                <w:rFonts w:eastAsia="Calibri" w:cs="Times New Roman"/>
                <w:color w:val="000000"/>
                <w:sz w:val="16"/>
                <w:szCs w:val="16"/>
                <w:shd w:val="clear" w:color="auto" w:fill="FFFFFF"/>
              </w:rPr>
            </w:pPr>
            <w:r w:rsidRPr="00B44B19">
              <w:rPr>
                <w:rFonts w:eastAsia="Calibri" w:cs="Times New Roman"/>
                <w:color w:val="000000"/>
                <w:sz w:val="16"/>
                <w:szCs w:val="16"/>
                <w:shd w:val="clear" w:color="auto" w:fill="FFFFFF"/>
              </w:rPr>
              <w:t>Naudotoj</w:t>
            </w:r>
            <w:r w:rsidR="00213201" w:rsidRPr="00B44B19">
              <w:rPr>
                <w:rFonts w:eastAsia="Calibri" w:cs="Times New Roman"/>
                <w:color w:val="000000"/>
                <w:sz w:val="16"/>
                <w:szCs w:val="16"/>
                <w:shd w:val="clear" w:color="auto" w:fill="FFFFFF"/>
              </w:rPr>
              <w:t xml:space="preserve">ai </w:t>
            </w:r>
            <w:r w:rsidRPr="00B44B19">
              <w:rPr>
                <w:rFonts w:eastAsia="Calibri" w:cs="Times New Roman"/>
                <w:color w:val="000000"/>
                <w:sz w:val="16"/>
                <w:szCs w:val="16"/>
                <w:shd w:val="clear" w:color="auto" w:fill="FFFFFF"/>
              </w:rPr>
              <w:t>per metus</w:t>
            </w:r>
          </w:p>
        </w:tc>
        <w:tc>
          <w:tcPr>
            <w:tcW w:w="328" w:type="pct"/>
          </w:tcPr>
          <w:p w14:paraId="0FACA4D3" w14:textId="77777777" w:rsidR="00D632AD" w:rsidRPr="00B44B19" w:rsidRDefault="00D632AD"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40 600</w:t>
            </w:r>
          </w:p>
        </w:tc>
        <w:tc>
          <w:tcPr>
            <w:tcW w:w="375" w:type="pct"/>
          </w:tcPr>
          <w:p w14:paraId="6D3BDAE3" w14:textId="77777777" w:rsidR="00D632AD" w:rsidRPr="00B44B19" w:rsidRDefault="00D632AD"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2020</w:t>
            </w:r>
          </w:p>
        </w:tc>
        <w:tc>
          <w:tcPr>
            <w:tcW w:w="328" w:type="pct"/>
          </w:tcPr>
          <w:p w14:paraId="2C49250F" w14:textId="77777777" w:rsidR="00D632AD" w:rsidRPr="00B44B19" w:rsidRDefault="00D632AD" w:rsidP="008A35C6">
            <w:pPr>
              <w:spacing w:after="0" w:line="240" w:lineRule="auto"/>
              <w:jc w:val="center"/>
              <w:rPr>
                <w:rFonts w:eastAsia="Calibri" w:cs="Times New Roman"/>
                <w:iCs/>
                <w:noProof/>
                <w:sz w:val="16"/>
                <w:szCs w:val="16"/>
              </w:rPr>
            </w:pPr>
            <w:r w:rsidRPr="00B44B19">
              <w:rPr>
                <w:rFonts w:eastAsia="Calibri" w:cs="Times New Roman"/>
                <w:iCs/>
                <w:noProof/>
                <w:sz w:val="16"/>
                <w:szCs w:val="16"/>
              </w:rPr>
              <w:t>69 593</w:t>
            </w:r>
          </w:p>
        </w:tc>
        <w:tc>
          <w:tcPr>
            <w:tcW w:w="305" w:type="pct"/>
          </w:tcPr>
          <w:p w14:paraId="0D1F8E30" w14:textId="77777777" w:rsidR="00D632AD" w:rsidRPr="00B44B19" w:rsidRDefault="00D632AD" w:rsidP="008A35C6">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46" w:type="pct"/>
          </w:tcPr>
          <w:p w14:paraId="0E9E83D5" w14:textId="77777777" w:rsidR="00D632AD" w:rsidRPr="00B44B19" w:rsidRDefault="00D632AD" w:rsidP="008A35C6">
            <w:pPr>
              <w:spacing w:after="0" w:line="240" w:lineRule="auto"/>
              <w:jc w:val="both"/>
              <w:rPr>
                <w:rFonts w:eastAsia="Calibri" w:cs="Times New Roman"/>
                <w:i/>
                <w:noProof/>
                <w:sz w:val="16"/>
                <w:szCs w:val="16"/>
                <w:lang w:eastAsia="lt-LT" w:bidi="lt-LT"/>
              </w:rPr>
            </w:pPr>
          </w:p>
        </w:tc>
      </w:tr>
    </w:tbl>
    <w:p w14:paraId="5A530997" w14:textId="35F964BF" w:rsidR="008A35C6" w:rsidRPr="00B44B19" w:rsidRDefault="00265B36" w:rsidP="00316179">
      <w:pPr>
        <w:spacing w:after="0" w:line="240" w:lineRule="auto"/>
        <w:jc w:val="both"/>
        <w:rPr>
          <w:rFonts w:cs="Times New Roman"/>
          <w:b/>
          <w:sz w:val="22"/>
        </w:rPr>
      </w:pPr>
      <w:r w:rsidRPr="00B44B19">
        <w:rPr>
          <w:rFonts w:cs="Times New Roman"/>
          <w:b/>
          <w:sz w:val="22"/>
        </w:rPr>
        <w:t xml:space="preserve"> </w:t>
      </w:r>
    </w:p>
    <w:p w14:paraId="3EA3BA4D" w14:textId="77777777" w:rsidR="00316179" w:rsidRPr="00B44B19" w:rsidRDefault="00316179" w:rsidP="00316179">
      <w:pPr>
        <w:spacing w:after="0" w:line="240" w:lineRule="auto"/>
        <w:jc w:val="both"/>
        <w:rPr>
          <w:rFonts w:cs="Times New Roman"/>
          <w:sz w:val="16"/>
          <w:szCs w:val="16"/>
        </w:rPr>
        <w:sectPr w:rsidR="00316179" w:rsidRPr="00B44B19" w:rsidSect="00931C78">
          <w:pgSz w:w="16838" w:h="11906" w:orient="landscape"/>
          <w:pgMar w:top="1701" w:right="1276" w:bottom="567" w:left="1134" w:header="567" w:footer="567" w:gutter="0"/>
          <w:cols w:space="1296"/>
          <w:docGrid w:linePitch="360"/>
        </w:sectPr>
      </w:pPr>
    </w:p>
    <w:p w14:paraId="2A2EEAA6" w14:textId="77777777" w:rsidR="00316179" w:rsidRPr="00B44B19" w:rsidRDefault="00316179" w:rsidP="00C34645">
      <w:pPr>
        <w:pStyle w:val="Stilius1"/>
        <w:rPr>
          <w:rFonts w:cs="Times New Roman"/>
          <w:noProof/>
          <w:lang w:eastAsia="lt-LT" w:bidi="lt-LT"/>
        </w:rPr>
      </w:pPr>
      <w:r w:rsidRPr="00B44B19">
        <w:rPr>
          <w:rFonts w:cs="Times New Roman"/>
          <w:noProof/>
          <w:lang w:eastAsia="lt-LT" w:bidi="lt-LT"/>
        </w:rPr>
        <w:lastRenderedPageBreak/>
        <w:t>Preliminarus Programos išteklių suskirstymas pagal intervencinių priemonių rūšį</w:t>
      </w:r>
    </w:p>
    <w:tbl>
      <w:tblPr>
        <w:tblStyle w:val="Lentelstinklelis"/>
        <w:tblW w:w="0" w:type="auto"/>
        <w:tblLook w:val="04A0" w:firstRow="1" w:lastRow="0" w:firstColumn="1" w:lastColumn="0" w:noHBand="0" w:noVBand="1"/>
      </w:tblPr>
      <w:tblGrid>
        <w:gridCol w:w="1081"/>
        <w:gridCol w:w="845"/>
        <w:gridCol w:w="1119"/>
        <w:gridCol w:w="1133"/>
        <w:gridCol w:w="3887"/>
        <w:gridCol w:w="1543"/>
      </w:tblGrid>
      <w:tr w:rsidR="008F2A82" w:rsidRPr="00B44B19" w14:paraId="67627B7A" w14:textId="77777777" w:rsidTr="00D27D25">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ECB181" w14:textId="77777777" w:rsidR="008F2A82" w:rsidRPr="00B44B19" w:rsidRDefault="008F2A82" w:rsidP="008F2A82">
            <w:pPr>
              <w:rPr>
                <w:rFonts w:cs="Times New Roman"/>
                <w:b/>
                <w:noProof/>
                <w:sz w:val="20"/>
              </w:rPr>
            </w:pPr>
            <w:r w:rsidRPr="00B44B19">
              <w:rPr>
                <w:rFonts w:cs="Times New Roman"/>
                <w:b/>
                <w:noProof/>
                <w:sz w:val="20"/>
              </w:rPr>
              <w:t>4 lentelė. 1 matmuo. Intervencinių priemonių sritis</w:t>
            </w:r>
          </w:p>
        </w:tc>
      </w:tr>
      <w:tr w:rsidR="00767B7E" w:rsidRPr="00B44B19" w14:paraId="0601D868" w14:textId="77777777" w:rsidTr="00D27D25">
        <w:tc>
          <w:tcPr>
            <w:tcW w:w="108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27DA73"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Prioriteto Nr.</w:t>
            </w:r>
          </w:p>
        </w:tc>
        <w:tc>
          <w:tcPr>
            <w:tcW w:w="8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F45388"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Fondas</w:t>
            </w:r>
          </w:p>
        </w:tc>
        <w:tc>
          <w:tcPr>
            <w:tcW w:w="11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355582"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1E328B"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Konkretus uždavinys</w:t>
            </w:r>
          </w:p>
        </w:tc>
        <w:tc>
          <w:tcPr>
            <w:tcW w:w="388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5E1ED"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Kodas</w:t>
            </w:r>
          </w:p>
        </w:tc>
        <w:tc>
          <w:tcPr>
            <w:tcW w:w="1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391C5D"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Suma (EUR)</w:t>
            </w:r>
          </w:p>
        </w:tc>
      </w:tr>
      <w:tr w:rsidR="00767B7E" w:rsidRPr="00B44B19" w14:paraId="09044386" w14:textId="77777777" w:rsidTr="00D27D25">
        <w:tc>
          <w:tcPr>
            <w:tcW w:w="1081" w:type="dxa"/>
            <w:vMerge w:val="restart"/>
            <w:tcBorders>
              <w:top w:val="single" w:sz="12" w:space="0" w:color="auto"/>
            </w:tcBorders>
          </w:tcPr>
          <w:p w14:paraId="0FD7BF3D" w14:textId="77777777" w:rsidR="00767B7E" w:rsidRPr="00B44B19" w:rsidRDefault="00767B7E" w:rsidP="00C93D8C">
            <w:pPr>
              <w:jc w:val="center"/>
              <w:rPr>
                <w:rFonts w:eastAsia="Times New Roman" w:cs="Times New Roman"/>
                <w:iCs/>
                <w:noProof/>
                <w:sz w:val="20"/>
              </w:rPr>
            </w:pPr>
            <w:r w:rsidRPr="00B44B19">
              <w:rPr>
                <w:rFonts w:eastAsia="Times New Roman" w:cs="Times New Roman"/>
                <w:iCs/>
                <w:noProof/>
                <w:sz w:val="20"/>
              </w:rPr>
              <w:t>8</w:t>
            </w:r>
          </w:p>
        </w:tc>
        <w:tc>
          <w:tcPr>
            <w:tcW w:w="845" w:type="dxa"/>
            <w:vMerge w:val="restart"/>
            <w:tcBorders>
              <w:top w:val="single" w:sz="12" w:space="0" w:color="auto"/>
            </w:tcBorders>
          </w:tcPr>
          <w:p w14:paraId="62D03623" w14:textId="77777777" w:rsidR="00767B7E" w:rsidRPr="00B44B19" w:rsidRDefault="00767B7E" w:rsidP="00C93D8C">
            <w:pPr>
              <w:jc w:val="center"/>
              <w:rPr>
                <w:rFonts w:eastAsia="Times New Roman" w:cs="Times New Roman"/>
                <w:iCs/>
                <w:noProof/>
                <w:sz w:val="20"/>
              </w:rPr>
            </w:pPr>
            <w:r w:rsidRPr="00B44B19">
              <w:rPr>
                <w:rFonts w:eastAsia="Times New Roman" w:cs="Times New Roman"/>
                <w:iCs/>
                <w:noProof/>
                <w:sz w:val="20"/>
              </w:rPr>
              <w:t>ERPF</w:t>
            </w:r>
          </w:p>
        </w:tc>
        <w:tc>
          <w:tcPr>
            <w:tcW w:w="1119" w:type="dxa"/>
            <w:vMerge w:val="restart"/>
            <w:tcBorders>
              <w:top w:val="single" w:sz="12" w:space="0" w:color="auto"/>
            </w:tcBorders>
          </w:tcPr>
          <w:p w14:paraId="68B9D8A5" w14:textId="77777777" w:rsidR="00767B7E" w:rsidRPr="00B44B19" w:rsidRDefault="00767B7E" w:rsidP="00C93D8C">
            <w:pPr>
              <w:rPr>
                <w:rFonts w:eastAsia="Times New Roman" w:cs="Times New Roman"/>
                <w:iCs/>
                <w:noProof/>
                <w:sz w:val="20"/>
              </w:rPr>
            </w:pPr>
            <w:r w:rsidRPr="00B44B19">
              <w:rPr>
                <w:rFonts w:eastAsia="Times New Roman" w:cs="Times New Roman"/>
                <w:iCs/>
                <w:noProof/>
                <w:sz w:val="20"/>
              </w:rPr>
              <w:t>VVL regionas</w:t>
            </w:r>
          </w:p>
        </w:tc>
        <w:tc>
          <w:tcPr>
            <w:tcW w:w="1133" w:type="dxa"/>
            <w:vMerge w:val="restart"/>
            <w:tcBorders>
              <w:top w:val="single" w:sz="12" w:space="0" w:color="auto"/>
            </w:tcBorders>
          </w:tcPr>
          <w:p w14:paraId="3CB91C6A" w14:textId="77777777" w:rsidR="00767B7E" w:rsidRPr="00B44B19" w:rsidRDefault="00767B7E" w:rsidP="00C93D8C">
            <w:pPr>
              <w:jc w:val="center"/>
              <w:rPr>
                <w:rFonts w:eastAsia="Times New Roman" w:cs="Times New Roman"/>
                <w:iCs/>
                <w:noProof/>
                <w:sz w:val="20"/>
              </w:rPr>
            </w:pPr>
            <w:r w:rsidRPr="00B44B19">
              <w:rPr>
                <w:rFonts w:eastAsia="Times New Roman" w:cs="Times New Roman"/>
                <w:iCs/>
                <w:noProof/>
                <w:sz w:val="20"/>
              </w:rPr>
              <w:t>8.1</w:t>
            </w:r>
          </w:p>
        </w:tc>
        <w:tc>
          <w:tcPr>
            <w:tcW w:w="3887" w:type="dxa"/>
            <w:tcBorders>
              <w:top w:val="single" w:sz="12" w:space="0" w:color="auto"/>
              <w:bottom w:val="single" w:sz="4" w:space="0" w:color="auto"/>
            </w:tcBorders>
          </w:tcPr>
          <w:p w14:paraId="2483EC9F" w14:textId="77777777" w:rsidR="00767B7E" w:rsidRPr="00B44B19" w:rsidRDefault="00767B7E" w:rsidP="00767B7E">
            <w:pPr>
              <w:rPr>
                <w:rFonts w:eastAsia="Times New Roman" w:cs="Times New Roman"/>
                <w:iCs/>
                <w:noProof/>
                <w:sz w:val="20"/>
              </w:rPr>
            </w:pPr>
            <w:r w:rsidRPr="00B44B19">
              <w:rPr>
                <w:rFonts w:eastAsia="Times New Roman" w:cs="Times New Roman"/>
                <w:iCs/>
                <w:noProof/>
                <w:sz w:val="20"/>
              </w:rPr>
              <w:t xml:space="preserve">081 </w:t>
            </w:r>
            <w:r w:rsidR="00F30904" w:rsidRPr="00B44B19">
              <w:rPr>
                <w:rFonts w:eastAsia="Times New Roman" w:cs="Times New Roman"/>
                <w:iCs/>
                <w:noProof/>
                <w:sz w:val="20"/>
              </w:rPr>
              <w:t>–</w:t>
            </w:r>
            <w:r w:rsidRPr="00B44B19">
              <w:rPr>
                <w:rFonts w:eastAsia="Times New Roman" w:cs="Times New Roman"/>
                <w:iCs/>
                <w:noProof/>
                <w:sz w:val="20"/>
              </w:rPr>
              <w:t xml:space="preserve"> Švaraus miesto transporto infrastruktūra</w:t>
            </w:r>
          </w:p>
        </w:tc>
        <w:tc>
          <w:tcPr>
            <w:tcW w:w="1543" w:type="dxa"/>
            <w:tcBorders>
              <w:top w:val="single" w:sz="12" w:space="0" w:color="auto"/>
              <w:bottom w:val="single" w:sz="4" w:space="0" w:color="auto"/>
            </w:tcBorders>
          </w:tcPr>
          <w:p w14:paraId="741948A1" w14:textId="27052337" w:rsidR="00767B7E" w:rsidRPr="00B44B19" w:rsidRDefault="00265B36" w:rsidP="008F2A82">
            <w:pPr>
              <w:jc w:val="right"/>
              <w:rPr>
                <w:rFonts w:eastAsia="Times New Roman" w:cs="Times New Roman"/>
                <w:iCs/>
                <w:noProof/>
                <w:sz w:val="20"/>
              </w:rPr>
            </w:pPr>
            <w:r w:rsidRPr="00B44B19">
              <w:rPr>
                <w:rFonts w:eastAsia="Times New Roman" w:cs="Times New Roman"/>
                <w:iCs/>
                <w:color w:val="000000"/>
                <w:sz w:val="20"/>
                <w:szCs w:val="20"/>
              </w:rPr>
              <w:t>24 500 000</w:t>
            </w:r>
            <w:r w:rsidR="00767B7E" w:rsidRPr="00B44B19">
              <w:rPr>
                <w:rFonts w:eastAsia="Times New Roman" w:cs="Times New Roman"/>
                <w:iCs/>
                <w:color w:val="000000"/>
                <w:sz w:val="20"/>
                <w:szCs w:val="20"/>
              </w:rPr>
              <w:t>,00</w:t>
            </w:r>
          </w:p>
        </w:tc>
      </w:tr>
      <w:tr w:rsidR="00767B7E" w:rsidRPr="00B44B19" w14:paraId="562B8769" w14:textId="77777777" w:rsidTr="00D27D25">
        <w:tc>
          <w:tcPr>
            <w:tcW w:w="1081" w:type="dxa"/>
            <w:vMerge/>
          </w:tcPr>
          <w:p w14:paraId="039F290D" w14:textId="77777777" w:rsidR="00767B7E" w:rsidRPr="00B44B19" w:rsidRDefault="00767B7E" w:rsidP="00C93D8C">
            <w:pPr>
              <w:rPr>
                <w:rFonts w:eastAsia="Times New Roman" w:cs="Times New Roman"/>
                <w:iCs/>
                <w:noProof/>
                <w:sz w:val="20"/>
              </w:rPr>
            </w:pPr>
          </w:p>
        </w:tc>
        <w:tc>
          <w:tcPr>
            <w:tcW w:w="845" w:type="dxa"/>
            <w:vMerge/>
          </w:tcPr>
          <w:p w14:paraId="0BF68223" w14:textId="77777777" w:rsidR="00767B7E" w:rsidRPr="00B44B19" w:rsidRDefault="00767B7E" w:rsidP="00C93D8C">
            <w:pPr>
              <w:rPr>
                <w:rFonts w:eastAsia="Times New Roman" w:cs="Times New Roman"/>
                <w:b/>
                <w:iCs/>
                <w:noProof/>
                <w:sz w:val="20"/>
              </w:rPr>
            </w:pPr>
          </w:p>
        </w:tc>
        <w:tc>
          <w:tcPr>
            <w:tcW w:w="1119" w:type="dxa"/>
            <w:vMerge/>
          </w:tcPr>
          <w:p w14:paraId="0AEB24DA" w14:textId="77777777" w:rsidR="00767B7E" w:rsidRPr="00B44B19" w:rsidRDefault="00767B7E" w:rsidP="00C93D8C">
            <w:pPr>
              <w:rPr>
                <w:rFonts w:eastAsia="Times New Roman" w:cs="Times New Roman"/>
                <w:iCs/>
                <w:noProof/>
                <w:sz w:val="20"/>
              </w:rPr>
            </w:pPr>
          </w:p>
        </w:tc>
        <w:tc>
          <w:tcPr>
            <w:tcW w:w="1133" w:type="dxa"/>
            <w:vMerge/>
          </w:tcPr>
          <w:p w14:paraId="79F17225" w14:textId="77777777" w:rsidR="00767B7E" w:rsidRPr="00B44B19" w:rsidRDefault="00767B7E" w:rsidP="00C93D8C">
            <w:pPr>
              <w:rPr>
                <w:rFonts w:eastAsia="Times New Roman" w:cs="Times New Roman"/>
                <w:b/>
                <w:iCs/>
                <w:noProof/>
                <w:sz w:val="20"/>
              </w:rPr>
            </w:pPr>
          </w:p>
        </w:tc>
        <w:tc>
          <w:tcPr>
            <w:tcW w:w="3887" w:type="dxa"/>
            <w:tcBorders>
              <w:top w:val="single" w:sz="4" w:space="0" w:color="auto"/>
              <w:bottom w:val="single" w:sz="4" w:space="0" w:color="auto"/>
            </w:tcBorders>
          </w:tcPr>
          <w:p w14:paraId="3EB4E310" w14:textId="77777777" w:rsidR="00767B7E" w:rsidRPr="00B44B19" w:rsidRDefault="00767B7E" w:rsidP="00767B7E">
            <w:pPr>
              <w:rPr>
                <w:rFonts w:eastAsia="Times New Roman" w:cs="Times New Roman"/>
                <w:iCs/>
                <w:noProof/>
                <w:sz w:val="20"/>
              </w:rPr>
            </w:pPr>
            <w:r w:rsidRPr="00B44B19">
              <w:rPr>
                <w:rFonts w:eastAsia="Times New Roman" w:cs="Times New Roman"/>
                <w:iCs/>
                <w:noProof/>
                <w:sz w:val="20"/>
              </w:rPr>
              <w:t xml:space="preserve">082 </w:t>
            </w:r>
            <w:r w:rsidR="00F30904" w:rsidRPr="00B44B19">
              <w:rPr>
                <w:rFonts w:eastAsia="Times New Roman" w:cs="Times New Roman"/>
                <w:iCs/>
                <w:noProof/>
                <w:sz w:val="20"/>
              </w:rPr>
              <w:t>–</w:t>
            </w:r>
            <w:r w:rsidRPr="00B44B19">
              <w:rPr>
                <w:rFonts w:eastAsia="Times New Roman" w:cs="Times New Roman"/>
                <w:iCs/>
                <w:noProof/>
                <w:sz w:val="20"/>
              </w:rPr>
              <w:t xml:space="preserve"> Švaraus miesto transporto riedmenys</w:t>
            </w:r>
          </w:p>
        </w:tc>
        <w:tc>
          <w:tcPr>
            <w:tcW w:w="1543" w:type="dxa"/>
            <w:tcBorders>
              <w:top w:val="single" w:sz="4" w:space="0" w:color="auto"/>
              <w:bottom w:val="single" w:sz="4" w:space="0" w:color="auto"/>
            </w:tcBorders>
          </w:tcPr>
          <w:p w14:paraId="3C77ACC3" w14:textId="660BFA93" w:rsidR="00767B7E" w:rsidRPr="00B44B19" w:rsidRDefault="00265B36" w:rsidP="008F2A82">
            <w:pPr>
              <w:jc w:val="right"/>
              <w:rPr>
                <w:rFonts w:eastAsia="Times New Roman" w:cs="Times New Roman"/>
                <w:iCs/>
                <w:noProof/>
                <w:sz w:val="20"/>
              </w:rPr>
            </w:pPr>
            <w:r w:rsidRPr="00B44B19">
              <w:rPr>
                <w:rFonts w:eastAsia="Times New Roman" w:cs="Times New Roman"/>
                <w:iCs/>
                <w:noProof/>
                <w:sz w:val="20"/>
              </w:rPr>
              <w:t>59 965 204</w:t>
            </w:r>
            <w:r w:rsidR="00767B7E" w:rsidRPr="00B44B19">
              <w:rPr>
                <w:rFonts w:eastAsia="Times New Roman" w:cs="Times New Roman"/>
                <w:iCs/>
                <w:noProof/>
                <w:sz w:val="20"/>
              </w:rPr>
              <w:t>,00</w:t>
            </w:r>
          </w:p>
        </w:tc>
      </w:tr>
      <w:tr w:rsidR="00767B7E" w:rsidRPr="00B44B19" w14:paraId="209CEE03" w14:textId="77777777" w:rsidTr="00D27D25">
        <w:tc>
          <w:tcPr>
            <w:tcW w:w="1081" w:type="dxa"/>
            <w:vMerge/>
          </w:tcPr>
          <w:p w14:paraId="5EF6A76D" w14:textId="77777777" w:rsidR="00767B7E" w:rsidRPr="00B44B19" w:rsidRDefault="00767B7E" w:rsidP="00C93D8C">
            <w:pPr>
              <w:rPr>
                <w:rFonts w:eastAsia="Times New Roman" w:cs="Times New Roman"/>
                <w:iCs/>
                <w:noProof/>
                <w:sz w:val="20"/>
              </w:rPr>
            </w:pPr>
          </w:p>
        </w:tc>
        <w:tc>
          <w:tcPr>
            <w:tcW w:w="845" w:type="dxa"/>
            <w:vMerge/>
          </w:tcPr>
          <w:p w14:paraId="3781EA19" w14:textId="77777777" w:rsidR="00767B7E" w:rsidRPr="00B44B19" w:rsidRDefault="00767B7E" w:rsidP="00C93D8C">
            <w:pPr>
              <w:rPr>
                <w:rFonts w:eastAsia="Times New Roman" w:cs="Times New Roman"/>
                <w:b/>
                <w:iCs/>
                <w:noProof/>
                <w:sz w:val="20"/>
              </w:rPr>
            </w:pPr>
          </w:p>
        </w:tc>
        <w:tc>
          <w:tcPr>
            <w:tcW w:w="1119" w:type="dxa"/>
            <w:vMerge/>
          </w:tcPr>
          <w:p w14:paraId="0DFE9155" w14:textId="77777777" w:rsidR="00767B7E" w:rsidRPr="00B44B19" w:rsidRDefault="00767B7E" w:rsidP="00C93D8C">
            <w:pPr>
              <w:rPr>
                <w:rFonts w:eastAsia="Times New Roman" w:cs="Times New Roman"/>
                <w:iCs/>
                <w:noProof/>
                <w:sz w:val="20"/>
              </w:rPr>
            </w:pPr>
          </w:p>
        </w:tc>
        <w:tc>
          <w:tcPr>
            <w:tcW w:w="1133" w:type="dxa"/>
            <w:vMerge/>
          </w:tcPr>
          <w:p w14:paraId="7A1A31F5" w14:textId="77777777" w:rsidR="00767B7E" w:rsidRPr="00B44B19" w:rsidRDefault="00767B7E" w:rsidP="00C93D8C">
            <w:pPr>
              <w:rPr>
                <w:rFonts w:eastAsia="Times New Roman" w:cs="Times New Roman"/>
                <w:b/>
                <w:iCs/>
                <w:noProof/>
                <w:sz w:val="20"/>
              </w:rPr>
            </w:pPr>
          </w:p>
        </w:tc>
        <w:tc>
          <w:tcPr>
            <w:tcW w:w="3887" w:type="dxa"/>
            <w:tcBorders>
              <w:top w:val="single" w:sz="4" w:space="0" w:color="auto"/>
              <w:bottom w:val="single" w:sz="4" w:space="0" w:color="auto"/>
            </w:tcBorders>
          </w:tcPr>
          <w:p w14:paraId="59FB7A2A" w14:textId="77777777" w:rsidR="00767B7E" w:rsidRPr="00B44B19" w:rsidDel="009B76AC" w:rsidRDefault="00767B7E" w:rsidP="00767B7E">
            <w:pPr>
              <w:rPr>
                <w:rFonts w:eastAsia="Times New Roman" w:cs="Times New Roman"/>
                <w:iCs/>
                <w:noProof/>
                <w:sz w:val="20"/>
              </w:rPr>
            </w:pPr>
            <w:r w:rsidRPr="00B44B19">
              <w:rPr>
                <w:rFonts w:eastAsia="Times New Roman" w:cs="Times New Roman"/>
                <w:iCs/>
                <w:noProof/>
                <w:sz w:val="20"/>
              </w:rPr>
              <w:t xml:space="preserve">083 </w:t>
            </w:r>
            <w:r w:rsidR="00F30904" w:rsidRPr="00B44B19">
              <w:rPr>
                <w:rFonts w:eastAsia="Times New Roman" w:cs="Times New Roman"/>
                <w:iCs/>
                <w:noProof/>
                <w:sz w:val="20"/>
              </w:rPr>
              <w:t>–</w:t>
            </w:r>
            <w:r w:rsidRPr="00B44B19">
              <w:rPr>
                <w:rFonts w:eastAsia="Times New Roman" w:cs="Times New Roman"/>
                <w:iCs/>
                <w:noProof/>
                <w:sz w:val="20"/>
              </w:rPr>
              <w:t xml:space="preserve"> Dviračių infrastruktūra</w:t>
            </w:r>
          </w:p>
        </w:tc>
        <w:tc>
          <w:tcPr>
            <w:tcW w:w="1543" w:type="dxa"/>
            <w:tcBorders>
              <w:top w:val="single" w:sz="4" w:space="0" w:color="auto"/>
              <w:bottom w:val="single" w:sz="4" w:space="0" w:color="auto"/>
            </w:tcBorders>
          </w:tcPr>
          <w:p w14:paraId="1F8A8855" w14:textId="7498B78C" w:rsidR="00767B7E" w:rsidRPr="00B44B19" w:rsidDel="009B76AC" w:rsidRDefault="00265B36" w:rsidP="008F2A82">
            <w:pPr>
              <w:jc w:val="right"/>
              <w:rPr>
                <w:rFonts w:eastAsia="Times New Roman" w:cs="Times New Roman"/>
                <w:iCs/>
                <w:noProof/>
                <w:sz w:val="20"/>
              </w:rPr>
            </w:pPr>
            <w:r w:rsidRPr="00B44B19">
              <w:rPr>
                <w:rFonts w:eastAsia="Times New Roman" w:cs="Times New Roman"/>
                <w:iCs/>
                <w:noProof/>
                <w:sz w:val="20"/>
              </w:rPr>
              <w:t>119 0</w:t>
            </w:r>
            <w:r w:rsidR="00767B7E" w:rsidRPr="00B44B19">
              <w:rPr>
                <w:rFonts w:eastAsia="Times New Roman" w:cs="Times New Roman"/>
                <w:iCs/>
                <w:noProof/>
                <w:sz w:val="20"/>
              </w:rPr>
              <w:t>00 000,00</w:t>
            </w:r>
          </w:p>
        </w:tc>
      </w:tr>
      <w:tr w:rsidR="00767B7E" w:rsidRPr="00B44B19" w14:paraId="6E1088D9" w14:textId="77777777" w:rsidTr="00D27D25">
        <w:tc>
          <w:tcPr>
            <w:tcW w:w="1081" w:type="dxa"/>
            <w:vMerge/>
          </w:tcPr>
          <w:p w14:paraId="3F63A75B" w14:textId="77777777" w:rsidR="00767B7E" w:rsidRPr="00B44B19" w:rsidRDefault="00767B7E" w:rsidP="00C93D8C">
            <w:pPr>
              <w:rPr>
                <w:rFonts w:eastAsia="Times New Roman" w:cs="Times New Roman"/>
                <w:iCs/>
                <w:noProof/>
                <w:sz w:val="20"/>
              </w:rPr>
            </w:pPr>
          </w:p>
        </w:tc>
        <w:tc>
          <w:tcPr>
            <w:tcW w:w="845" w:type="dxa"/>
            <w:vMerge/>
          </w:tcPr>
          <w:p w14:paraId="6D1825B9" w14:textId="77777777" w:rsidR="00767B7E" w:rsidRPr="00B44B19" w:rsidRDefault="00767B7E" w:rsidP="00C93D8C">
            <w:pPr>
              <w:rPr>
                <w:rFonts w:eastAsia="Times New Roman" w:cs="Times New Roman"/>
                <w:b/>
                <w:iCs/>
                <w:noProof/>
                <w:sz w:val="20"/>
              </w:rPr>
            </w:pPr>
          </w:p>
        </w:tc>
        <w:tc>
          <w:tcPr>
            <w:tcW w:w="1119" w:type="dxa"/>
            <w:vMerge/>
          </w:tcPr>
          <w:p w14:paraId="526C17FA" w14:textId="77777777" w:rsidR="00767B7E" w:rsidRPr="00B44B19" w:rsidRDefault="00767B7E" w:rsidP="00C93D8C">
            <w:pPr>
              <w:rPr>
                <w:rFonts w:eastAsia="Times New Roman" w:cs="Times New Roman"/>
                <w:iCs/>
                <w:noProof/>
                <w:sz w:val="20"/>
              </w:rPr>
            </w:pPr>
          </w:p>
        </w:tc>
        <w:tc>
          <w:tcPr>
            <w:tcW w:w="1133" w:type="dxa"/>
            <w:vMerge/>
          </w:tcPr>
          <w:p w14:paraId="17E0AFB5" w14:textId="77777777" w:rsidR="00767B7E" w:rsidRPr="00B44B19" w:rsidRDefault="00767B7E" w:rsidP="00C93D8C">
            <w:pPr>
              <w:rPr>
                <w:rFonts w:eastAsia="Times New Roman" w:cs="Times New Roman"/>
                <w:b/>
                <w:iCs/>
                <w:noProof/>
                <w:sz w:val="20"/>
              </w:rPr>
            </w:pPr>
          </w:p>
        </w:tc>
        <w:tc>
          <w:tcPr>
            <w:tcW w:w="3887" w:type="dxa"/>
            <w:tcBorders>
              <w:top w:val="single" w:sz="4" w:space="0" w:color="auto"/>
              <w:bottom w:val="single" w:sz="4" w:space="0" w:color="auto"/>
            </w:tcBorders>
          </w:tcPr>
          <w:p w14:paraId="21C17D16" w14:textId="77777777" w:rsidR="00767B7E" w:rsidRPr="00B44B19" w:rsidRDefault="00767B7E" w:rsidP="00767B7E">
            <w:pPr>
              <w:rPr>
                <w:rFonts w:eastAsia="Times New Roman" w:cs="Times New Roman"/>
                <w:iCs/>
                <w:noProof/>
                <w:sz w:val="20"/>
              </w:rPr>
            </w:pPr>
            <w:r w:rsidRPr="00B44B19">
              <w:rPr>
                <w:rFonts w:eastAsia="Times New Roman" w:cs="Times New Roman"/>
                <w:iCs/>
                <w:noProof/>
                <w:sz w:val="20"/>
              </w:rPr>
              <w:t xml:space="preserve">086 </w:t>
            </w:r>
            <w:r w:rsidR="00F30904" w:rsidRPr="00B44B19">
              <w:rPr>
                <w:rFonts w:eastAsia="Times New Roman" w:cs="Times New Roman"/>
                <w:iCs/>
                <w:noProof/>
                <w:sz w:val="20"/>
              </w:rPr>
              <w:t>–</w:t>
            </w:r>
            <w:r w:rsidRPr="00B44B19">
              <w:rPr>
                <w:rFonts w:eastAsia="Times New Roman" w:cs="Times New Roman"/>
                <w:iCs/>
                <w:noProof/>
                <w:sz w:val="20"/>
              </w:rPr>
              <w:t xml:space="preserve"> Alternatyviųjų degalų infrastruktūra</w:t>
            </w:r>
          </w:p>
        </w:tc>
        <w:tc>
          <w:tcPr>
            <w:tcW w:w="1543" w:type="dxa"/>
            <w:tcBorders>
              <w:top w:val="single" w:sz="4" w:space="0" w:color="auto"/>
              <w:bottom w:val="single" w:sz="4" w:space="0" w:color="auto"/>
            </w:tcBorders>
          </w:tcPr>
          <w:p w14:paraId="16E86FAA" w14:textId="5422475A" w:rsidR="00767B7E" w:rsidRPr="00B44B19" w:rsidRDefault="00265B36" w:rsidP="008F2A82">
            <w:pPr>
              <w:jc w:val="right"/>
              <w:rPr>
                <w:rFonts w:eastAsia="Times New Roman" w:cs="Times New Roman"/>
                <w:iCs/>
                <w:noProof/>
                <w:sz w:val="20"/>
              </w:rPr>
            </w:pPr>
            <w:r w:rsidRPr="00B44B19">
              <w:rPr>
                <w:rFonts w:eastAsia="Times New Roman" w:cs="Times New Roman"/>
                <w:iCs/>
                <w:noProof/>
                <w:sz w:val="20"/>
              </w:rPr>
              <w:t>6 10</w:t>
            </w:r>
            <w:r w:rsidR="00767B7E" w:rsidRPr="00B44B19">
              <w:rPr>
                <w:rFonts w:eastAsia="Times New Roman" w:cs="Times New Roman"/>
                <w:iCs/>
                <w:noProof/>
                <w:sz w:val="20"/>
              </w:rPr>
              <w:t>0 000,00</w:t>
            </w:r>
          </w:p>
        </w:tc>
      </w:tr>
      <w:tr w:rsidR="00767B7E" w:rsidRPr="00B44B19" w14:paraId="334E2764" w14:textId="77777777" w:rsidTr="00D27D25">
        <w:tc>
          <w:tcPr>
            <w:tcW w:w="1081" w:type="dxa"/>
            <w:vMerge/>
          </w:tcPr>
          <w:p w14:paraId="0B5EE09A" w14:textId="77777777" w:rsidR="00767B7E" w:rsidRPr="00B44B19" w:rsidRDefault="00767B7E" w:rsidP="00C93D8C">
            <w:pPr>
              <w:jc w:val="center"/>
              <w:rPr>
                <w:rFonts w:eastAsia="Times New Roman" w:cs="Times New Roman"/>
                <w:iCs/>
                <w:noProof/>
                <w:sz w:val="20"/>
              </w:rPr>
            </w:pPr>
          </w:p>
        </w:tc>
        <w:tc>
          <w:tcPr>
            <w:tcW w:w="845" w:type="dxa"/>
            <w:vMerge w:val="restart"/>
          </w:tcPr>
          <w:p w14:paraId="51DB197C" w14:textId="77777777" w:rsidR="00767B7E" w:rsidRPr="00B44B19" w:rsidRDefault="00767B7E" w:rsidP="00C93D8C">
            <w:pPr>
              <w:jc w:val="center"/>
              <w:rPr>
                <w:rFonts w:eastAsia="Times New Roman" w:cs="Times New Roman"/>
                <w:bCs/>
                <w:iCs/>
                <w:noProof/>
                <w:sz w:val="20"/>
              </w:rPr>
            </w:pPr>
            <w:r w:rsidRPr="00B44B19">
              <w:rPr>
                <w:rFonts w:eastAsia="Times New Roman" w:cs="Times New Roman"/>
                <w:bCs/>
                <w:iCs/>
                <w:noProof/>
                <w:sz w:val="20"/>
              </w:rPr>
              <w:t>SaF</w:t>
            </w:r>
          </w:p>
        </w:tc>
        <w:tc>
          <w:tcPr>
            <w:tcW w:w="1119" w:type="dxa"/>
            <w:vMerge w:val="restart"/>
          </w:tcPr>
          <w:p w14:paraId="5D6D83F6" w14:textId="77777777" w:rsidR="00767B7E" w:rsidRPr="00B44B19" w:rsidRDefault="00767B7E" w:rsidP="00C93D8C">
            <w:pPr>
              <w:rPr>
                <w:rFonts w:eastAsia="Times New Roman" w:cs="Times New Roman"/>
                <w:iCs/>
                <w:noProof/>
                <w:sz w:val="20"/>
              </w:rPr>
            </w:pPr>
            <w:r w:rsidRPr="00B44B19">
              <w:rPr>
                <w:rFonts w:eastAsia="Times New Roman" w:cs="Times New Roman"/>
                <w:iCs/>
                <w:noProof/>
                <w:sz w:val="20"/>
              </w:rPr>
              <w:t>Visa Lietuva</w:t>
            </w:r>
          </w:p>
        </w:tc>
        <w:tc>
          <w:tcPr>
            <w:tcW w:w="1133" w:type="dxa"/>
            <w:vMerge/>
          </w:tcPr>
          <w:p w14:paraId="4D6C4D02" w14:textId="77777777" w:rsidR="00767B7E" w:rsidRPr="00B44B19" w:rsidRDefault="00767B7E" w:rsidP="00C93D8C">
            <w:pPr>
              <w:jc w:val="center"/>
              <w:rPr>
                <w:rFonts w:eastAsia="Times New Roman" w:cs="Times New Roman"/>
                <w:bCs/>
                <w:iCs/>
                <w:noProof/>
                <w:sz w:val="20"/>
              </w:rPr>
            </w:pPr>
          </w:p>
        </w:tc>
        <w:tc>
          <w:tcPr>
            <w:tcW w:w="3887" w:type="dxa"/>
            <w:tcBorders>
              <w:top w:val="single" w:sz="4" w:space="0" w:color="auto"/>
              <w:bottom w:val="single" w:sz="4" w:space="0" w:color="auto"/>
            </w:tcBorders>
          </w:tcPr>
          <w:p w14:paraId="4ED31AFF" w14:textId="77777777" w:rsidR="00767B7E" w:rsidRPr="00B44B19" w:rsidRDefault="00767B7E" w:rsidP="00C93D8C">
            <w:pPr>
              <w:rPr>
                <w:rFonts w:eastAsia="Times New Roman" w:cs="Times New Roman"/>
                <w:iCs/>
                <w:noProof/>
                <w:sz w:val="20"/>
              </w:rPr>
            </w:pPr>
            <w:r w:rsidRPr="00B44B19">
              <w:rPr>
                <w:rFonts w:eastAsia="Times New Roman" w:cs="Times New Roman"/>
                <w:iCs/>
                <w:noProof/>
                <w:sz w:val="20"/>
              </w:rPr>
              <w:t xml:space="preserve">081 </w:t>
            </w:r>
            <w:r w:rsidR="00F30904" w:rsidRPr="00B44B19">
              <w:rPr>
                <w:rFonts w:eastAsia="Times New Roman" w:cs="Times New Roman"/>
                <w:iCs/>
                <w:noProof/>
                <w:sz w:val="20"/>
              </w:rPr>
              <w:t>–</w:t>
            </w:r>
            <w:r w:rsidRPr="00B44B19">
              <w:rPr>
                <w:rFonts w:eastAsia="Times New Roman" w:cs="Times New Roman"/>
                <w:iCs/>
                <w:noProof/>
                <w:sz w:val="20"/>
              </w:rPr>
              <w:t xml:space="preserve"> Švaraus miesto transporto infrastruktūra</w:t>
            </w:r>
          </w:p>
        </w:tc>
        <w:tc>
          <w:tcPr>
            <w:tcW w:w="1543" w:type="dxa"/>
            <w:tcBorders>
              <w:top w:val="single" w:sz="4" w:space="0" w:color="auto"/>
              <w:bottom w:val="single" w:sz="4" w:space="0" w:color="auto"/>
            </w:tcBorders>
          </w:tcPr>
          <w:p w14:paraId="13BF773D" w14:textId="5160809D" w:rsidR="00767B7E" w:rsidRPr="00B44B19" w:rsidRDefault="00265B36" w:rsidP="008F2A82">
            <w:pPr>
              <w:jc w:val="right"/>
              <w:rPr>
                <w:rFonts w:eastAsia="Times New Roman" w:cs="Times New Roman"/>
                <w:iCs/>
                <w:noProof/>
                <w:sz w:val="20"/>
              </w:rPr>
            </w:pPr>
            <w:r w:rsidRPr="00B44B19">
              <w:rPr>
                <w:rFonts w:eastAsia="Times New Roman" w:cs="Times New Roman"/>
                <w:iCs/>
                <w:noProof/>
                <w:sz w:val="20"/>
              </w:rPr>
              <w:t>2 983 500</w:t>
            </w:r>
            <w:r w:rsidR="00767B7E" w:rsidRPr="00B44B19">
              <w:rPr>
                <w:rFonts w:eastAsia="Times New Roman" w:cs="Times New Roman"/>
                <w:iCs/>
                <w:noProof/>
                <w:sz w:val="20"/>
              </w:rPr>
              <w:t>,00</w:t>
            </w:r>
          </w:p>
        </w:tc>
      </w:tr>
      <w:tr w:rsidR="00767B7E" w:rsidRPr="00B44B19" w14:paraId="4B8E1D7A" w14:textId="77777777" w:rsidTr="00D27D25">
        <w:tc>
          <w:tcPr>
            <w:tcW w:w="1081" w:type="dxa"/>
            <w:vMerge/>
          </w:tcPr>
          <w:p w14:paraId="584A0510" w14:textId="77777777" w:rsidR="00767B7E" w:rsidRPr="00B44B19" w:rsidRDefault="00767B7E" w:rsidP="00C93D8C">
            <w:pPr>
              <w:rPr>
                <w:rFonts w:eastAsia="Times New Roman" w:cs="Times New Roman"/>
                <w:iCs/>
                <w:noProof/>
                <w:sz w:val="20"/>
              </w:rPr>
            </w:pPr>
          </w:p>
        </w:tc>
        <w:tc>
          <w:tcPr>
            <w:tcW w:w="845" w:type="dxa"/>
            <w:vMerge/>
          </w:tcPr>
          <w:p w14:paraId="2AB11992" w14:textId="77777777" w:rsidR="00767B7E" w:rsidRPr="00B44B19" w:rsidRDefault="00767B7E" w:rsidP="00C93D8C">
            <w:pPr>
              <w:rPr>
                <w:rFonts w:eastAsia="Times New Roman" w:cs="Times New Roman"/>
                <w:b/>
                <w:iCs/>
                <w:noProof/>
                <w:sz w:val="20"/>
              </w:rPr>
            </w:pPr>
          </w:p>
        </w:tc>
        <w:tc>
          <w:tcPr>
            <w:tcW w:w="1119" w:type="dxa"/>
            <w:vMerge/>
          </w:tcPr>
          <w:p w14:paraId="672EB8F3" w14:textId="77777777" w:rsidR="00767B7E" w:rsidRPr="00B44B19" w:rsidRDefault="00767B7E" w:rsidP="00C93D8C">
            <w:pPr>
              <w:rPr>
                <w:rFonts w:eastAsia="Times New Roman" w:cs="Times New Roman"/>
                <w:iCs/>
                <w:noProof/>
                <w:sz w:val="20"/>
              </w:rPr>
            </w:pPr>
          </w:p>
        </w:tc>
        <w:tc>
          <w:tcPr>
            <w:tcW w:w="1133" w:type="dxa"/>
            <w:vMerge/>
          </w:tcPr>
          <w:p w14:paraId="067A23FD" w14:textId="77777777" w:rsidR="00767B7E" w:rsidRPr="00B44B19" w:rsidRDefault="00767B7E" w:rsidP="00C93D8C">
            <w:pPr>
              <w:rPr>
                <w:rFonts w:eastAsia="Times New Roman" w:cs="Times New Roman"/>
                <w:b/>
                <w:iCs/>
                <w:noProof/>
                <w:sz w:val="20"/>
              </w:rPr>
            </w:pPr>
          </w:p>
        </w:tc>
        <w:tc>
          <w:tcPr>
            <w:tcW w:w="3887" w:type="dxa"/>
            <w:tcBorders>
              <w:top w:val="single" w:sz="4" w:space="0" w:color="auto"/>
              <w:bottom w:val="single" w:sz="4" w:space="0" w:color="auto"/>
            </w:tcBorders>
          </w:tcPr>
          <w:p w14:paraId="16C34EFE" w14:textId="77777777" w:rsidR="00767B7E" w:rsidRPr="00B44B19" w:rsidRDefault="00767B7E" w:rsidP="00C93D8C">
            <w:pPr>
              <w:rPr>
                <w:rFonts w:eastAsia="Times New Roman" w:cs="Times New Roman"/>
                <w:iCs/>
                <w:noProof/>
                <w:sz w:val="20"/>
              </w:rPr>
            </w:pPr>
            <w:r w:rsidRPr="00B44B19">
              <w:rPr>
                <w:rFonts w:eastAsia="Times New Roman" w:cs="Times New Roman"/>
                <w:iCs/>
                <w:noProof/>
                <w:sz w:val="20"/>
              </w:rPr>
              <w:t xml:space="preserve">082 </w:t>
            </w:r>
            <w:r w:rsidR="00F30904" w:rsidRPr="00B44B19">
              <w:rPr>
                <w:rFonts w:eastAsia="Times New Roman" w:cs="Times New Roman"/>
                <w:iCs/>
                <w:noProof/>
                <w:sz w:val="20"/>
              </w:rPr>
              <w:t>–</w:t>
            </w:r>
            <w:r w:rsidRPr="00B44B19">
              <w:rPr>
                <w:rFonts w:eastAsia="Times New Roman" w:cs="Times New Roman"/>
                <w:iCs/>
                <w:noProof/>
                <w:sz w:val="20"/>
              </w:rPr>
              <w:t xml:space="preserve"> Švaraus miesto transporto riedmenys</w:t>
            </w:r>
          </w:p>
        </w:tc>
        <w:tc>
          <w:tcPr>
            <w:tcW w:w="1543" w:type="dxa"/>
            <w:tcBorders>
              <w:top w:val="single" w:sz="4" w:space="0" w:color="auto"/>
              <w:bottom w:val="single" w:sz="4" w:space="0" w:color="auto"/>
            </w:tcBorders>
          </w:tcPr>
          <w:p w14:paraId="5DBA34F2" w14:textId="7E32E25F" w:rsidR="00767B7E" w:rsidRPr="00B44B19" w:rsidRDefault="00265B36" w:rsidP="008F2A82">
            <w:pPr>
              <w:jc w:val="right"/>
              <w:rPr>
                <w:rFonts w:eastAsia="Times New Roman" w:cs="Times New Roman"/>
                <w:iCs/>
                <w:noProof/>
                <w:sz w:val="20"/>
              </w:rPr>
            </w:pPr>
            <w:r w:rsidRPr="00B44B19">
              <w:rPr>
                <w:rFonts w:eastAsia="Times New Roman" w:cs="Times New Roman"/>
                <w:iCs/>
                <w:noProof/>
                <w:sz w:val="20"/>
              </w:rPr>
              <w:t>36</w:t>
            </w:r>
            <w:r w:rsidR="00767B7E" w:rsidRPr="00B44B19">
              <w:rPr>
                <w:rFonts w:eastAsia="Times New Roman" w:cs="Times New Roman"/>
                <w:iCs/>
                <w:noProof/>
                <w:sz w:val="20"/>
              </w:rPr>
              <w:t> 000 000,00</w:t>
            </w:r>
          </w:p>
        </w:tc>
      </w:tr>
      <w:tr w:rsidR="00767B7E" w:rsidRPr="00B44B19" w14:paraId="2BE16F45" w14:textId="77777777" w:rsidTr="00D27D25">
        <w:tc>
          <w:tcPr>
            <w:tcW w:w="1081" w:type="dxa"/>
            <w:vMerge/>
          </w:tcPr>
          <w:p w14:paraId="260DAAF0" w14:textId="77777777" w:rsidR="00767B7E" w:rsidRPr="00B44B19" w:rsidRDefault="00767B7E" w:rsidP="00C93D8C">
            <w:pPr>
              <w:rPr>
                <w:rFonts w:eastAsia="Times New Roman" w:cs="Times New Roman"/>
                <w:iCs/>
                <w:noProof/>
                <w:sz w:val="20"/>
              </w:rPr>
            </w:pPr>
          </w:p>
        </w:tc>
        <w:tc>
          <w:tcPr>
            <w:tcW w:w="845" w:type="dxa"/>
            <w:vMerge/>
          </w:tcPr>
          <w:p w14:paraId="756375F4" w14:textId="77777777" w:rsidR="00767B7E" w:rsidRPr="00B44B19" w:rsidRDefault="00767B7E" w:rsidP="00C93D8C">
            <w:pPr>
              <w:rPr>
                <w:rFonts w:eastAsia="Times New Roman" w:cs="Times New Roman"/>
                <w:b/>
                <w:iCs/>
                <w:noProof/>
                <w:sz w:val="20"/>
              </w:rPr>
            </w:pPr>
          </w:p>
        </w:tc>
        <w:tc>
          <w:tcPr>
            <w:tcW w:w="1119" w:type="dxa"/>
            <w:vMerge/>
          </w:tcPr>
          <w:p w14:paraId="03B0F766" w14:textId="77777777" w:rsidR="00767B7E" w:rsidRPr="00B44B19" w:rsidRDefault="00767B7E" w:rsidP="00C93D8C">
            <w:pPr>
              <w:rPr>
                <w:rFonts w:eastAsia="Times New Roman" w:cs="Times New Roman"/>
                <w:iCs/>
                <w:noProof/>
                <w:sz w:val="20"/>
              </w:rPr>
            </w:pPr>
          </w:p>
        </w:tc>
        <w:tc>
          <w:tcPr>
            <w:tcW w:w="1133" w:type="dxa"/>
            <w:vMerge/>
          </w:tcPr>
          <w:p w14:paraId="370FAAF1" w14:textId="77777777" w:rsidR="00767B7E" w:rsidRPr="00B44B19" w:rsidRDefault="00767B7E" w:rsidP="00C93D8C">
            <w:pPr>
              <w:rPr>
                <w:rFonts w:eastAsia="Times New Roman" w:cs="Times New Roman"/>
                <w:b/>
                <w:iCs/>
                <w:noProof/>
                <w:sz w:val="20"/>
              </w:rPr>
            </w:pPr>
          </w:p>
        </w:tc>
        <w:tc>
          <w:tcPr>
            <w:tcW w:w="3887" w:type="dxa"/>
            <w:tcBorders>
              <w:top w:val="single" w:sz="4" w:space="0" w:color="auto"/>
              <w:bottom w:val="single" w:sz="4" w:space="0" w:color="auto"/>
            </w:tcBorders>
          </w:tcPr>
          <w:p w14:paraId="6F1DC3CD" w14:textId="77777777" w:rsidR="00767B7E" w:rsidRPr="00B44B19" w:rsidDel="009B76AC" w:rsidRDefault="00767B7E" w:rsidP="00C93D8C">
            <w:pPr>
              <w:rPr>
                <w:rFonts w:eastAsia="Times New Roman" w:cs="Times New Roman"/>
                <w:iCs/>
                <w:noProof/>
                <w:sz w:val="20"/>
              </w:rPr>
            </w:pPr>
            <w:r w:rsidRPr="00B44B19">
              <w:rPr>
                <w:rFonts w:eastAsia="Times New Roman" w:cs="Times New Roman"/>
                <w:iCs/>
                <w:noProof/>
                <w:sz w:val="20"/>
              </w:rPr>
              <w:t xml:space="preserve">083 </w:t>
            </w:r>
            <w:r w:rsidR="00F30904" w:rsidRPr="00B44B19">
              <w:rPr>
                <w:rFonts w:eastAsia="Times New Roman" w:cs="Times New Roman"/>
                <w:iCs/>
                <w:noProof/>
                <w:sz w:val="20"/>
              </w:rPr>
              <w:t>–</w:t>
            </w:r>
            <w:r w:rsidRPr="00B44B19">
              <w:rPr>
                <w:rFonts w:eastAsia="Times New Roman" w:cs="Times New Roman"/>
                <w:iCs/>
                <w:noProof/>
                <w:sz w:val="20"/>
              </w:rPr>
              <w:t xml:space="preserve"> Dviračių infrastruktūra</w:t>
            </w:r>
          </w:p>
        </w:tc>
        <w:tc>
          <w:tcPr>
            <w:tcW w:w="1543" w:type="dxa"/>
            <w:tcBorders>
              <w:top w:val="single" w:sz="4" w:space="0" w:color="auto"/>
              <w:bottom w:val="single" w:sz="4" w:space="0" w:color="auto"/>
            </w:tcBorders>
          </w:tcPr>
          <w:p w14:paraId="63ED9106" w14:textId="2776A3C6" w:rsidR="00767B7E" w:rsidRPr="00B44B19" w:rsidRDefault="00265B36" w:rsidP="008F2A82">
            <w:pPr>
              <w:jc w:val="right"/>
              <w:rPr>
                <w:rFonts w:eastAsia="Times New Roman" w:cs="Times New Roman"/>
                <w:iCs/>
                <w:noProof/>
                <w:sz w:val="20"/>
              </w:rPr>
            </w:pPr>
            <w:r w:rsidRPr="00B44B19">
              <w:rPr>
                <w:rFonts w:eastAsia="Times New Roman" w:cs="Times New Roman"/>
                <w:iCs/>
                <w:noProof/>
                <w:sz w:val="20"/>
              </w:rPr>
              <w:t>7 016 5</w:t>
            </w:r>
            <w:r w:rsidR="00767B7E" w:rsidRPr="00B44B19">
              <w:rPr>
                <w:rFonts w:eastAsia="Times New Roman" w:cs="Times New Roman"/>
                <w:iCs/>
                <w:noProof/>
                <w:sz w:val="20"/>
              </w:rPr>
              <w:t>00,00</w:t>
            </w:r>
          </w:p>
        </w:tc>
      </w:tr>
      <w:tr w:rsidR="00767B7E" w:rsidRPr="00B44B19" w14:paraId="13ED1BC3" w14:textId="77777777" w:rsidTr="00D27D25">
        <w:tc>
          <w:tcPr>
            <w:tcW w:w="1081" w:type="dxa"/>
            <w:vMerge/>
          </w:tcPr>
          <w:p w14:paraId="0276669D" w14:textId="77777777" w:rsidR="00767B7E" w:rsidRPr="00B44B19" w:rsidRDefault="00767B7E" w:rsidP="00C93D8C">
            <w:pPr>
              <w:rPr>
                <w:rFonts w:eastAsia="Times New Roman" w:cs="Times New Roman"/>
                <w:iCs/>
                <w:noProof/>
                <w:sz w:val="20"/>
              </w:rPr>
            </w:pPr>
          </w:p>
        </w:tc>
        <w:tc>
          <w:tcPr>
            <w:tcW w:w="845" w:type="dxa"/>
            <w:vMerge/>
          </w:tcPr>
          <w:p w14:paraId="134B3F86" w14:textId="77777777" w:rsidR="00767B7E" w:rsidRPr="00B44B19" w:rsidRDefault="00767B7E" w:rsidP="00C93D8C">
            <w:pPr>
              <w:rPr>
                <w:rFonts w:eastAsia="Times New Roman" w:cs="Times New Roman"/>
                <w:b/>
                <w:iCs/>
                <w:noProof/>
                <w:sz w:val="20"/>
              </w:rPr>
            </w:pPr>
          </w:p>
        </w:tc>
        <w:tc>
          <w:tcPr>
            <w:tcW w:w="1119" w:type="dxa"/>
            <w:vMerge/>
          </w:tcPr>
          <w:p w14:paraId="48D0AAC8" w14:textId="77777777" w:rsidR="00767B7E" w:rsidRPr="00B44B19" w:rsidRDefault="00767B7E" w:rsidP="00C93D8C">
            <w:pPr>
              <w:rPr>
                <w:rFonts w:eastAsia="Times New Roman" w:cs="Times New Roman"/>
                <w:iCs/>
                <w:noProof/>
                <w:sz w:val="20"/>
              </w:rPr>
            </w:pPr>
          </w:p>
        </w:tc>
        <w:tc>
          <w:tcPr>
            <w:tcW w:w="1133" w:type="dxa"/>
            <w:vMerge/>
          </w:tcPr>
          <w:p w14:paraId="0834A6DB" w14:textId="77777777" w:rsidR="00767B7E" w:rsidRPr="00B44B19" w:rsidRDefault="00767B7E" w:rsidP="00C93D8C">
            <w:pPr>
              <w:rPr>
                <w:rFonts w:eastAsia="Times New Roman" w:cs="Times New Roman"/>
                <w:b/>
                <w:iCs/>
                <w:noProof/>
                <w:sz w:val="20"/>
              </w:rPr>
            </w:pPr>
          </w:p>
        </w:tc>
        <w:tc>
          <w:tcPr>
            <w:tcW w:w="3887" w:type="dxa"/>
            <w:tcBorders>
              <w:top w:val="single" w:sz="4" w:space="0" w:color="auto"/>
            </w:tcBorders>
          </w:tcPr>
          <w:p w14:paraId="66F1DE1F" w14:textId="77777777" w:rsidR="00767B7E" w:rsidRPr="00B44B19" w:rsidRDefault="00767B7E" w:rsidP="00C93D8C">
            <w:pPr>
              <w:rPr>
                <w:rFonts w:eastAsia="Times New Roman" w:cs="Times New Roman"/>
                <w:iCs/>
                <w:noProof/>
                <w:sz w:val="20"/>
              </w:rPr>
            </w:pPr>
            <w:r w:rsidRPr="00B44B19">
              <w:rPr>
                <w:rFonts w:eastAsia="Times New Roman" w:cs="Times New Roman"/>
                <w:iCs/>
                <w:noProof/>
                <w:sz w:val="20"/>
              </w:rPr>
              <w:t xml:space="preserve">086 </w:t>
            </w:r>
            <w:r w:rsidR="00F30904" w:rsidRPr="00B44B19">
              <w:rPr>
                <w:rFonts w:eastAsia="Times New Roman" w:cs="Times New Roman"/>
                <w:iCs/>
                <w:noProof/>
                <w:sz w:val="20"/>
              </w:rPr>
              <w:t>–</w:t>
            </w:r>
            <w:r w:rsidRPr="00B44B19">
              <w:rPr>
                <w:rFonts w:eastAsia="Times New Roman" w:cs="Times New Roman"/>
                <w:iCs/>
                <w:noProof/>
                <w:sz w:val="20"/>
              </w:rPr>
              <w:t xml:space="preserve"> Alternatyviųjų degalų infrastruktūra</w:t>
            </w:r>
          </w:p>
        </w:tc>
        <w:tc>
          <w:tcPr>
            <w:tcW w:w="1543" w:type="dxa"/>
            <w:tcBorders>
              <w:top w:val="single" w:sz="4" w:space="0" w:color="auto"/>
            </w:tcBorders>
          </w:tcPr>
          <w:p w14:paraId="67E33ECD" w14:textId="0D75B834" w:rsidR="00767B7E" w:rsidRPr="00B44B19" w:rsidRDefault="00265B36" w:rsidP="008F2A82">
            <w:pPr>
              <w:jc w:val="right"/>
              <w:rPr>
                <w:rFonts w:eastAsia="Times New Roman" w:cs="Times New Roman"/>
                <w:iCs/>
                <w:noProof/>
                <w:sz w:val="20"/>
              </w:rPr>
            </w:pPr>
            <w:r w:rsidRPr="00B44B19">
              <w:rPr>
                <w:rFonts w:eastAsia="Times New Roman" w:cs="Times New Roman"/>
                <w:iCs/>
                <w:noProof/>
                <w:sz w:val="20"/>
              </w:rPr>
              <w:t>4 0</w:t>
            </w:r>
            <w:r w:rsidR="00767B7E" w:rsidRPr="00B44B19">
              <w:rPr>
                <w:rFonts w:eastAsia="Times New Roman" w:cs="Times New Roman"/>
                <w:iCs/>
                <w:noProof/>
                <w:sz w:val="20"/>
              </w:rPr>
              <w:t>00 000,00</w:t>
            </w:r>
          </w:p>
        </w:tc>
      </w:tr>
    </w:tbl>
    <w:p w14:paraId="0A4EC0CA" w14:textId="77777777" w:rsidR="00767B7E" w:rsidRPr="00B44B19" w:rsidRDefault="00767B7E" w:rsidP="00BA52CF">
      <w:pPr>
        <w:spacing w:after="0" w:line="240" w:lineRule="auto"/>
        <w:rPr>
          <w:rFonts w:eastAsia="Times New Roman" w:cs="Times New Roman"/>
          <w:iCs/>
          <w:noProof/>
          <w:sz w:val="20"/>
          <w:szCs w:val="20"/>
        </w:rPr>
      </w:pPr>
    </w:p>
    <w:tbl>
      <w:tblPr>
        <w:tblStyle w:val="Lentelstinklelis"/>
        <w:tblW w:w="9624" w:type="dxa"/>
        <w:tblLayout w:type="fixed"/>
        <w:tblLook w:val="04A0" w:firstRow="1" w:lastRow="0" w:firstColumn="1" w:lastColumn="0" w:noHBand="0" w:noVBand="1"/>
      </w:tblPr>
      <w:tblGrid>
        <w:gridCol w:w="1101"/>
        <w:gridCol w:w="850"/>
        <w:gridCol w:w="1134"/>
        <w:gridCol w:w="1134"/>
        <w:gridCol w:w="3846"/>
        <w:gridCol w:w="1559"/>
      </w:tblGrid>
      <w:tr w:rsidR="00767B7E" w:rsidRPr="00B44B19" w14:paraId="56739E7D" w14:textId="77777777" w:rsidTr="00980660">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A46BAA9" w14:textId="77777777" w:rsidR="00767B7E" w:rsidRPr="00B44B19" w:rsidRDefault="00767B7E" w:rsidP="001C3D2F">
            <w:pPr>
              <w:rPr>
                <w:rFonts w:eastAsia="Times New Roman" w:cs="Times New Roman"/>
                <w:b/>
                <w:iCs/>
                <w:noProof/>
                <w:sz w:val="20"/>
              </w:rPr>
            </w:pPr>
            <w:r w:rsidRPr="00B44B19">
              <w:rPr>
                <w:rFonts w:cs="Times New Roman"/>
                <w:b/>
                <w:noProof/>
                <w:sz w:val="20"/>
              </w:rPr>
              <w:t xml:space="preserve">5 lentelė. 2 matmuo. </w:t>
            </w:r>
            <w:r w:rsidR="001C3D2F" w:rsidRPr="00B44B19">
              <w:rPr>
                <w:rFonts w:cs="Times New Roman"/>
                <w:b/>
                <w:noProof/>
                <w:sz w:val="20"/>
              </w:rPr>
              <w:t>Finansavimo</w:t>
            </w:r>
            <w:r w:rsidR="00C019B3" w:rsidRPr="00B44B19">
              <w:rPr>
                <w:rFonts w:cs="Times New Roman"/>
                <w:b/>
                <w:noProof/>
                <w:sz w:val="20"/>
              </w:rPr>
              <w:t xml:space="preserve"> </w:t>
            </w:r>
            <w:r w:rsidRPr="00B44B19">
              <w:rPr>
                <w:rFonts w:cs="Times New Roman"/>
                <w:b/>
                <w:noProof/>
                <w:sz w:val="20"/>
              </w:rPr>
              <w:t>forma</w:t>
            </w:r>
          </w:p>
        </w:tc>
      </w:tr>
      <w:tr w:rsidR="00767B7E" w:rsidRPr="00B44B19" w14:paraId="41B031EF" w14:textId="77777777" w:rsidTr="00980660">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940AFC"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763CC3"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05EF2A"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B4EE6F"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Konkretus uždavinys</w:t>
            </w:r>
          </w:p>
        </w:tc>
        <w:tc>
          <w:tcPr>
            <w:tcW w:w="3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2BD971"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41719C" w14:textId="77777777" w:rsidR="00767B7E" w:rsidRPr="00B44B19" w:rsidRDefault="00767B7E" w:rsidP="00C93D8C">
            <w:pPr>
              <w:jc w:val="center"/>
              <w:rPr>
                <w:rFonts w:eastAsia="Times New Roman" w:cs="Times New Roman"/>
                <w:b/>
                <w:iCs/>
                <w:noProof/>
                <w:sz w:val="20"/>
              </w:rPr>
            </w:pPr>
            <w:r w:rsidRPr="00B44B19">
              <w:rPr>
                <w:rFonts w:cs="Times New Roman"/>
                <w:b/>
                <w:noProof/>
                <w:sz w:val="20"/>
              </w:rPr>
              <w:t>Suma (EUR)</w:t>
            </w:r>
          </w:p>
        </w:tc>
      </w:tr>
      <w:tr w:rsidR="00AF4DED" w:rsidRPr="00B44B19" w14:paraId="6E54EE4C" w14:textId="77777777" w:rsidTr="00980660">
        <w:tc>
          <w:tcPr>
            <w:tcW w:w="1101" w:type="dxa"/>
            <w:vMerge w:val="restart"/>
            <w:tcBorders>
              <w:top w:val="single" w:sz="12" w:space="0" w:color="auto"/>
            </w:tcBorders>
          </w:tcPr>
          <w:p w14:paraId="1F786383" w14:textId="77777777" w:rsidR="00AF4DED" w:rsidRPr="00B44B19" w:rsidRDefault="00AF4DED" w:rsidP="00C93D8C">
            <w:pPr>
              <w:jc w:val="center"/>
              <w:rPr>
                <w:rFonts w:eastAsia="Times New Roman" w:cs="Times New Roman"/>
                <w:iCs/>
                <w:noProof/>
                <w:sz w:val="20"/>
                <w:szCs w:val="20"/>
              </w:rPr>
            </w:pPr>
            <w:r w:rsidRPr="00B44B19">
              <w:rPr>
                <w:rFonts w:eastAsia="Times New Roman" w:cs="Times New Roman"/>
                <w:iCs/>
                <w:noProof/>
                <w:sz w:val="20"/>
                <w:szCs w:val="20"/>
              </w:rPr>
              <w:t>8</w:t>
            </w:r>
          </w:p>
        </w:tc>
        <w:tc>
          <w:tcPr>
            <w:tcW w:w="850" w:type="dxa"/>
            <w:tcBorders>
              <w:top w:val="single" w:sz="12" w:space="0" w:color="auto"/>
              <w:bottom w:val="single" w:sz="4" w:space="0" w:color="auto"/>
            </w:tcBorders>
          </w:tcPr>
          <w:p w14:paraId="688E4937" w14:textId="77777777" w:rsidR="00AF4DED" w:rsidRPr="00B44B19" w:rsidRDefault="00AF4DED" w:rsidP="00C93D8C">
            <w:pPr>
              <w:jc w:val="center"/>
              <w:rPr>
                <w:rFonts w:eastAsia="Times New Roman" w:cs="Times New Roman"/>
                <w:iCs/>
                <w:noProof/>
                <w:sz w:val="20"/>
                <w:szCs w:val="20"/>
              </w:rPr>
            </w:pPr>
            <w:r w:rsidRPr="00B44B19">
              <w:rPr>
                <w:rFonts w:eastAsia="Times New Roman" w:cs="Times New Roman"/>
                <w:iCs/>
                <w:noProof/>
                <w:sz w:val="20"/>
                <w:szCs w:val="20"/>
              </w:rPr>
              <w:t>ERPF</w:t>
            </w:r>
          </w:p>
        </w:tc>
        <w:tc>
          <w:tcPr>
            <w:tcW w:w="1134" w:type="dxa"/>
            <w:tcBorders>
              <w:top w:val="single" w:sz="12" w:space="0" w:color="auto"/>
              <w:bottom w:val="single" w:sz="4" w:space="0" w:color="auto"/>
            </w:tcBorders>
          </w:tcPr>
          <w:p w14:paraId="359BBEC3" w14:textId="77777777" w:rsidR="00AF4DED" w:rsidRPr="00B44B19" w:rsidRDefault="00AF4DED" w:rsidP="00C93D8C">
            <w:pPr>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val="restart"/>
            <w:tcBorders>
              <w:top w:val="single" w:sz="12" w:space="0" w:color="auto"/>
            </w:tcBorders>
          </w:tcPr>
          <w:p w14:paraId="32F21B61" w14:textId="77777777" w:rsidR="00AF4DED" w:rsidRPr="00B44B19" w:rsidRDefault="00AF4DED" w:rsidP="00C93D8C">
            <w:pPr>
              <w:jc w:val="center"/>
              <w:rPr>
                <w:rFonts w:eastAsia="Times New Roman" w:cs="Times New Roman"/>
                <w:b/>
                <w:iCs/>
                <w:noProof/>
                <w:sz w:val="20"/>
                <w:szCs w:val="20"/>
              </w:rPr>
            </w:pPr>
            <w:r w:rsidRPr="00B44B19">
              <w:rPr>
                <w:rFonts w:eastAsia="Times New Roman" w:cs="Times New Roman"/>
                <w:iCs/>
                <w:noProof/>
                <w:sz w:val="20"/>
                <w:szCs w:val="20"/>
              </w:rPr>
              <w:t>8.1</w:t>
            </w:r>
          </w:p>
        </w:tc>
        <w:tc>
          <w:tcPr>
            <w:tcW w:w="3846" w:type="dxa"/>
            <w:vMerge w:val="restart"/>
            <w:tcBorders>
              <w:top w:val="single" w:sz="12" w:space="0" w:color="auto"/>
            </w:tcBorders>
          </w:tcPr>
          <w:p w14:paraId="0D11183B" w14:textId="77777777" w:rsidR="00AF4DED" w:rsidRPr="00B44B19" w:rsidRDefault="00AF4DED" w:rsidP="00767B7E">
            <w:pPr>
              <w:rPr>
                <w:rFonts w:eastAsia="Times New Roman" w:cs="Times New Roman"/>
                <w:bCs/>
                <w:iCs/>
                <w:noProof/>
                <w:sz w:val="20"/>
                <w:szCs w:val="20"/>
              </w:rPr>
            </w:pPr>
            <w:r w:rsidRPr="00B44B19">
              <w:rPr>
                <w:rFonts w:eastAsia="Times New Roman" w:cs="Times New Roman"/>
                <w:bCs/>
                <w:iCs/>
                <w:noProof/>
                <w:sz w:val="20"/>
                <w:szCs w:val="20"/>
              </w:rPr>
              <w:t>01 – Dotacija</w:t>
            </w:r>
          </w:p>
        </w:tc>
        <w:tc>
          <w:tcPr>
            <w:tcW w:w="1559" w:type="dxa"/>
            <w:tcBorders>
              <w:top w:val="single" w:sz="12" w:space="0" w:color="auto"/>
              <w:bottom w:val="single" w:sz="4" w:space="0" w:color="auto"/>
            </w:tcBorders>
          </w:tcPr>
          <w:p w14:paraId="63DB478E" w14:textId="78284B20" w:rsidR="00AF4DED" w:rsidRPr="00B44B19" w:rsidRDefault="00AF4DED" w:rsidP="008F2A82">
            <w:pPr>
              <w:jc w:val="right"/>
              <w:rPr>
                <w:rFonts w:cs="Times New Roman"/>
                <w:color w:val="FF0000"/>
                <w:sz w:val="20"/>
                <w:szCs w:val="20"/>
              </w:rPr>
            </w:pPr>
            <w:r w:rsidRPr="00B44B19">
              <w:rPr>
                <w:rFonts w:cs="Times New Roman"/>
                <w:sz w:val="20"/>
                <w:szCs w:val="20"/>
              </w:rPr>
              <w:t>2</w:t>
            </w:r>
            <w:r w:rsidR="00265B36" w:rsidRPr="00B44B19">
              <w:rPr>
                <w:rFonts w:cs="Times New Roman"/>
                <w:sz w:val="20"/>
                <w:szCs w:val="20"/>
              </w:rPr>
              <w:t>09</w:t>
            </w:r>
            <w:r w:rsidRPr="00B44B19">
              <w:rPr>
                <w:rFonts w:cs="Times New Roman"/>
                <w:sz w:val="20"/>
                <w:szCs w:val="20"/>
              </w:rPr>
              <w:t> 565 204,00</w:t>
            </w:r>
          </w:p>
        </w:tc>
      </w:tr>
      <w:tr w:rsidR="00AF4DED" w:rsidRPr="00B44B19" w14:paraId="6AE9BB7A" w14:textId="77777777" w:rsidTr="00980660">
        <w:tc>
          <w:tcPr>
            <w:tcW w:w="1101" w:type="dxa"/>
            <w:vMerge/>
          </w:tcPr>
          <w:p w14:paraId="4B46C009" w14:textId="77777777" w:rsidR="00AF4DED" w:rsidRPr="00B44B19" w:rsidRDefault="00AF4DED" w:rsidP="00C93D8C">
            <w:pPr>
              <w:jc w:val="center"/>
              <w:rPr>
                <w:rFonts w:eastAsia="Times New Roman" w:cs="Times New Roman"/>
                <w:iCs/>
                <w:noProof/>
                <w:sz w:val="20"/>
                <w:szCs w:val="20"/>
              </w:rPr>
            </w:pPr>
          </w:p>
        </w:tc>
        <w:tc>
          <w:tcPr>
            <w:tcW w:w="850" w:type="dxa"/>
            <w:tcBorders>
              <w:top w:val="single" w:sz="4" w:space="0" w:color="auto"/>
            </w:tcBorders>
          </w:tcPr>
          <w:p w14:paraId="7441FECB" w14:textId="77777777" w:rsidR="00AF4DED" w:rsidRPr="00B44B19" w:rsidRDefault="00AF4DED" w:rsidP="00C93D8C">
            <w:pPr>
              <w:jc w:val="center"/>
              <w:rPr>
                <w:rFonts w:eastAsia="Times New Roman" w:cs="Times New Roman"/>
                <w:iCs/>
                <w:noProof/>
                <w:sz w:val="20"/>
                <w:szCs w:val="20"/>
              </w:rPr>
            </w:pPr>
            <w:r w:rsidRPr="00B44B19">
              <w:rPr>
                <w:rFonts w:eastAsia="Times New Roman" w:cs="Times New Roman"/>
                <w:iCs/>
                <w:noProof/>
                <w:sz w:val="20"/>
                <w:szCs w:val="20"/>
              </w:rPr>
              <w:t>SaF</w:t>
            </w:r>
          </w:p>
        </w:tc>
        <w:tc>
          <w:tcPr>
            <w:tcW w:w="1134" w:type="dxa"/>
            <w:tcBorders>
              <w:top w:val="single" w:sz="4" w:space="0" w:color="auto"/>
            </w:tcBorders>
          </w:tcPr>
          <w:p w14:paraId="22D8B6AC" w14:textId="77777777" w:rsidR="00AF4DED" w:rsidRPr="00B44B19" w:rsidRDefault="00AF4DED" w:rsidP="00C93D8C">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tcPr>
          <w:p w14:paraId="6EE4A0F3" w14:textId="77777777" w:rsidR="00AF4DED" w:rsidRPr="00B44B19" w:rsidRDefault="00AF4DED" w:rsidP="00C93D8C">
            <w:pPr>
              <w:jc w:val="center"/>
              <w:rPr>
                <w:rFonts w:eastAsia="Times New Roman" w:cs="Times New Roman"/>
                <w:iCs/>
                <w:noProof/>
                <w:sz w:val="20"/>
                <w:szCs w:val="20"/>
              </w:rPr>
            </w:pPr>
          </w:p>
        </w:tc>
        <w:tc>
          <w:tcPr>
            <w:tcW w:w="3846" w:type="dxa"/>
            <w:vMerge/>
            <w:tcBorders>
              <w:bottom w:val="single" w:sz="4" w:space="0" w:color="auto"/>
            </w:tcBorders>
          </w:tcPr>
          <w:p w14:paraId="53FF7A85" w14:textId="77777777" w:rsidR="00AF4DED" w:rsidRPr="00B44B19" w:rsidRDefault="00AF4DED" w:rsidP="00C93D8C">
            <w:pPr>
              <w:jc w:val="center"/>
              <w:rPr>
                <w:rFonts w:eastAsia="Times New Roman" w:cs="Times New Roman"/>
                <w:bCs/>
                <w:iCs/>
                <w:noProof/>
                <w:sz w:val="20"/>
                <w:szCs w:val="20"/>
              </w:rPr>
            </w:pPr>
          </w:p>
        </w:tc>
        <w:tc>
          <w:tcPr>
            <w:tcW w:w="1559" w:type="dxa"/>
            <w:tcBorders>
              <w:top w:val="single" w:sz="4" w:space="0" w:color="auto"/>
              <w:bottom w:val="single" w:sz="4" w:space="0" w:color="auto"/>
            </w:tcBorders>
          </w:tcPr>
          <w:p w14:paraId="0B0C1E0E" w14:textId="1E23B715" w:rsidR="00AF4DED" w:rsidRPr="00B44B19" w:rsidRDefault="00265B36" w:rsidP="008F2A82">
            <w:pPr>
              <w:jc w:val="right"/>
              <w:rPr>
                <w:rFonts w:cs="Times New Roman"/>
                <w:sz w:val="20"/>
                <w:szCs w:val="20"/>
              </w:rPr>
            </w:pPr>
            <w:r w:rsidRPr="00B44B19">
              <w:rPr>
                <w:rFonts w:cs="Times New Roman"/>
                <w:sz w:val="20"/>
                <w:szCs w:val="20"/>
              </w:rPr>
              <w:t>50</w:t>
            </w:r>
            <w:r w:rsidR="00AF4DED" w:rsidRPr="00B44B19">
              <w:rPr>
                <w:rFonts w:cs="Times New Roman"/>
                <w:sz w:val="20"/>
                <w:szCs w:val="20"/>
              </w:rPr>
              <w:t> 000 000,00</w:t>
            </w:r>
          </w:p>
        </w:tc>
      </w:tr>
    </w:tbl>
    <w:p w14:paraId="3B837BCB" w14:textId="77777777" w:rsidR="00767B7E" w:rsidRPr="00B44B19" w:rsidRDefault="00767B7E" w:rsidP="00BA52CF">
      <w:pPr>
        <w:spacing w:after="0" w:line="240" w:lineRule="auto"/>
        <w:rPr>
          <w:rFonts w:eastAsia="Times New Roman" w:cs="Times New Roman"/>
          <w:iCs/>
          <w:noProof/>
          <w:sz w:val="20"/>
          <w:szCs w:val="20"/>
        </w:rPr>
      </w:pPr>
    </w:p>
    <w:tbl>
      <w:tblPr>
        <w:tblStyle w:val="Lentelstinklelis"/>
        <w:tblW w:w="0" w:type="auto"/>
        <w:tblLook w:val="04A0" w:firstRow="1" w:lastRow="0" w:firstColumn="1" w:lastColumn="0" w:noHBand="0" w:noVBand="1"/>
      </w:tblPr>
      <w:tblGrid>
        <w:gridCol w:w="1098"/>
        <w:gridCol w:w="849"/>
        <w:gridCol w:w="1132"/>
        <w:gridCol w:w="1134"/>
        <w:gridCol w:w="3852"/>
        <w:gridCol w:w="1543"/>
      </w:tblGrid>
      <w:tr w:rsidR="003617C9" w:rsidRPr="00B44B19" w14:paraId="791DD966" w14:textId="77777777" w:rsidTr="00980660">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E3101C6" w14:textId="77777777" w:rsidR="003617C9" w:rsidRPr="00B44B19" w:rsidRDefault="003617C9" w:rsidP="00893029">
            <w:pPr>
              <w:rPr>
                <w:rFonts w:eastAsia="Times New Roman" w:cs="Times New Roman"/>
                <w:b/>
                <w:iCs/>
                <w:noProof/>
                <w:sz w:val="20"/>
              </w:rPr>
            </w:pPr>
            <w:r w:rsidRPr="00B44B19">
              <w:rPr>
                <w:rFonts w:cs="Times New Roman"/>
                <w:b/>
                <w:noProof/>
                <w:sz w:val="20"/>
              </w:rPr>
              <w:t>6 lentelė. 3 matmuo. Teritorinis įgyvendinimo mechanizmas ir pagrindinė teritorinė sritis</w:t>
            </w:r>
          </w:p>
        </w:tc>
      </w:tr>
      <w:tr w:rsidR="003617C9" w:rsidRPr="00B44B19" w14:paraId="13A325D4" w14:textId="77777777" w:rsidTr="00980660">
        <w:tc>
          <w:tcPr>
            <w:tcW w:w="109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2A2168"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50564B"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Fondas</w:t>
            </w:r>
          </w:p>
        </w:tc>
        <w:tc>
          <w:tcPr>
            <w:tcW w:w="113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0B47FA"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D4F54B"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Konkretus uždavinys</w:t>
            </w:r>
          </w:p>
        </w:tc>
        <w:tc>
          <w:tcPr>
            <w:tcW w:w="385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D33648"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Kodas</w:t>
            </w:r>
          </w:p>
        </w:tc>
        <w:tc>
          <w:tcPr>
            <w:tcW w:w="1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D641B3" w14:textId="77777777" w:rsidR="003617C9" w:rsidRPr="00B44B19" w:rsidRDefault="003617C9" w:rsidP="00893029">
            <w:pPr>
              <w:jc w:val="center"/>
              <w:rPr>
                <w:rFonts w:eastAsia="Times New Roman" w:cs="Times New Roman"/>
                <w:b/>
                <w:iCs/>
                <w:noProof/>
                <w:sz w:val="20"/>
              </w:rPr>
            </w:pPr>
            <w:r w:rsidRPr="00B44B19">
              <w:rPr>
                <w:rFonts w:cs="Times New Roman"/>
                <w:b/>
                <w:noProof/>
                <w:sz w:val="20"/>
              </w:rPr>
              <w:t>Suma (EUR)</w:t>
            </w:r>
          </w:p>
        </w:tc>
      </w:tr>
      <w:tr w:rsidR="003617C9" w:rsidRPr="00B44B19" w14:paraId="27EFEA41" w14:textId="77777777" w:rsidTr="00980660">
        <w:trPr>
          <w:trHeight w:val="345"/>
        </w:trPr>
        <w:tc>
          <w:tcPr>
            <w:tcW w:w="1098" w:type="dxa"/>
            <w:vMerge w:val="restart"/>
            <w:tcBorders>
              <w:top w:val="single" w:sz="12" w:space="0" w:color="auto"/>
            </w:tcBorders>
          </w:tcPr>
          <w:p w14:paraId="74EEF987"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8</w:t>
            </w:r>
          </w:p>
        </w:tc>
        <w:tc>
          <w:tcPr>
            <w:tcW w:w="849" w:type="dxa"/>
            <w:vMerge w:val="restart"/>
            <w:tcBorders>
              <w:top w:val="single" w:sz="12" w:space="0" w:color="auto"/>
            </w:tcBorders>
          </w:tcPr>
          <w:p w14:paraId="0EE793C7"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ERPF</w:t>
            </w:r>
          </w:p>
        </w:tc>
        <w:tc>
          <w:tcPr>
            <w:tcW w:w="1132" w:type="dxa"/>
            <w:vMerge w:val="restart"/>
            <w:tcBorders>
              <w:top w:val="single" w:sz="12" w:space="0" w:color="auto"/>
            </w:tcBorders>
          </w:tcPr>
          <w:p w14:paraId="651CE3C6" w14:textId="77777777" w:rsidR="003617C9" w:rsidRPr="00B44B19" w:rsidRDefault="003617C9" w:rsidP="00893029">
            <w:pPr>
              <w:rPr>
                <w:rFonts w:eastAsia="Times New Roman" w:cs="Times New Roman"/>
                <w:iCs/>
                <w:noProof/>
                <w:sz w:val="20"/>
              </w:rPr>
            </w:pPr>
            <w:r w:rsidRPr="00B44B19">
              <w:rPr>
                <w:rFonts w:eastAsia="Times New Roman" w:cs="Times New Roman"/>
                <w:iCs/>
                <w:noProof/>
                <w:sz w:val="20"/>
                <w:szCs w:val="20"/>
              </w:rPr>
              <w:t>VVL regionas</w:t>
            </w:r>
          </w:p>
        </w:tc>
        <w:tc>
          <w:tcPr>
            <w:tcW w:w="1134" w:type="dxa"/>
            <w:vMerge w:val="restart"/>
            <w:tcBorders>
              <w:top w:val="single" w:sz="12" w:space="0" w:color="auto"/>
            </w:tcBorders>
          </w:tcPr>
          <w:p w14:paraId="205B22C2"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8.1</w:t>
            </w:r>
          </w:p>
        </w:tc>
        <w:tc>
          <w:tcPr>
            <w:tcW w:w="3852" w:type="dxa"/>
            <w:tcBorders>
              <w:top w:val="single" w:sz="12" w:space="0" w:color="auto"/>
            </w:tcBorders>
          </w:tcPr>
          <w:p w14:paraId="635141AB" w14:textId="77777777" w:rsidR="003617C9" w:rsidRPr="00B44B19" w:rsidRDefault="003617C9" w:rsidP="00B133AE">
            <w:pPr>
              <w:rPr>
                <w:rFonts w:eastAsia="Times New Roman" w:cs="Times New Roman"/>
                <w:iCs/>
                <w:noProof/>
                <w:sz w:val="20"/>
                <w:lang w:val="en-GB"/>
              </w:rPr>
            </w:pPr>
            <w:r w:rsidRPr="00B44B19">
              <w:rPr>
                <w:rFonts w:eastAsia="Times New Roman" w:cs="Times New Roman"/>
                <w:iCs/>
                <w:noProof/>
                <w:sz w:val="20"/>
              </w:rPr>
              <w:t>0</w:t>
            </w:r>
            <w:r w:rsidRPr="00B44B19">
              <w:rPr>
                <w:rFonts w:eastAsia="Times New Roman" w:cs="Times New Roman"/>
                <w:iCs/>
                <w:noProof/>
                <w:sz w:val="20"/>
                <w:lang w:val="en-GB"/>
              </w:rPr>
              <w:t xml:space="preserve">2 </w:t>
            </w:r>
            <w:r w:rsidR="00F30904" w:rsidRPr="00B44B19">
              <w:rPr>
                <w:rFonts w:eastAsia="Times New Roman" w:cs="Times New Roman"/>
                <w:iCs/>
                <w:noProof/>
                <w:sz w:val="20"/>
                <w:lang w:val="en-GB"/>
              </w:rPr>
              <w:t>–</w:t>
            </w:r>
            <w:r w:rsidRPr="00B44B19">
              <w:rPr>
                <w:rFonts w:eastAsia="Times New Roman" w:cs="Times New Roman"/>
                <w:iCs/>
                <w:noProof/>
                <w:sz w:val="20"/>
                <w:lang w:val="en-GB"/>
              </w:rPr>
              <w:t xml:space="preserve"> </w:t>
            </w:r>
            <w:r w:rsidRPr="00B44B19">
              <w:rPr>
                <w:rFonts w:eastAsia="Times New Roman" w:cs="Times New Roman"/>
                <w:iCs/>
                <w:noProof/>
                <w:sz w:val="20"/>
              </w:rPr>
              <w:t>Miestai, miesteliai ir priemiesčiai</w:t>
            </w:r>
          </w:p>
        </w:tc>
        <w:tc>
          <w:tcPr>
            <w:tcW w:w="1543" w:type="dxa"/>
            <w:tcBorders>
              <w:top w:val="single" w:sz="12" w:space="0" w:color="auto"/>
            </w:tcBorders>
          </w:tcPr>
          <w:p w14:paraId="3F512B1E" w14:textId="5B335D05" w:rsidR="003617C9" w:rsidRPr="00B44B19" w:rsidRDefault="00265B36" w:rsidP="00893029">
            <w:pPr>
              <w:jc w:val="right"/>
              <w:rPr>
                <w:rFonts w:eastAsia="Times New Roman" w:cs="Times New Roman"/>
                <w:bCs/>
                <w:iCs/>
                <w:noProof/>
                <w:sz w:val="20"/>
              </w:rPr>
            </w:pPr>
            <w:r w:rsidRPr="00B44B19">
              <w:rPr>
                <w:rFonts w:cs="Times New Roman"/>
                <w:bCs/>
                <w:sz w:val="20"/>
                <w:szCs w:val="20"/>
              </w:rPr>
              <w:t>104 7</w:t>
            </w:r>
            <w:r w:rsidR="003617C9" w:rsidRPr="00B44B19">
              <w:rPr>
                <w:rFonts w:cs="Times New Roman"/>
                <w:bCs/>
                <w:sz w:val="20"/>
                <w:szCs w:val="20"/>
              </w:rPr>
              <w:t>82 602,00</w:t>
            </w:r>
          </w:p>
        </w:tc>
      </w:tr>
      <w:tr w:rsidR="003617C9" w:rsidRPr="00B44B19" w14:paraId="0A8D3CC1" w14:textId="77777777" w:rsidTr="00980660">
        <w:trPr>
          <w:trHeight w:val="173"/>
        </w:trPr>
        <w:tc>
          <w:tcPr>
            <w:tcW w:w="1098" w:type="dxa"/>
            <w:vMerge/>
          </w:tcPr>
          <w:p w14:paraId="39FA769D" w14:textId="77777777" w:rsidR="003617C9" w:rsidRPr="00B44B19" w:rsidRDefault="003617C9" w:rsidP="00893029">
            <w:pPr>
              <w:jc w:val="center"/>
              <w:rPr>
                <w:rFonts w:eastAsia="Times New Roman" w:cs="Times New Roman"/>
                <w:iCs/>
                <w:noProof/>
                <w:sz w:val="20"/>
              </w:rPr>
            </w:pPr>
          </w:p>
        </w:tc>
        <w:tc>
          <w:tcPr>
            <w:tcW w:w="849" w:type="dxa"/>
            <w:vMerge/>
          </w:tcPr>
          <w:p w14:paraId="58A524F3" w14:textId="77777777" w:rsidR="003617C9" w:rsidRPr="00B44B19" w:rsidRDefault="003617C9" w:rsidP="00893029">
            <w:pPr>
              <w:jc w:val="center"/>
              <w:rPr>
                <w:rFonts w:eastAsia="Times New Roman" w:cs="Times New Roman"/>
                <w:iCs/>
                <w:noProof/>
                <w:sz w:val="20"/>
              </w:rPr>
            </w:pPr>
          </w:p>
        </w:tc>
        <w:tc>
          <w:tcPr>
            <w:tcW w:w="1132" w:type="dxa"/>
            <w:vMerge/>
          </w:tcPr>
          <w:p w14:paraId="528755CB" w14:textId="77777777" w:rsidR="003617C9" w:rsidRPr="00B44B19" w:rsidRDefault="003617C9" w:rsidP="00893029">
            <w:pPr>
              <w:rPr>
                <w:rFonts w:eastAsia="Times New Roman" w:cs="Times New Roman"/>
                <w:iCs/>
                <w:noProof/>
                <w:sz w:val="20"/>
                <w:szCs w:val="20"/>
              </w:rPr>
            </w:pPr>
          </w:p>
        </w:tc>
        <w:tc>
          <w:tcPr>
            <w:tcW w:w="1134" w:type="dxa"/>
            <w:vMerge/>
          </w:tcPr>
          <w:p w14:paraId="2CF32C95" w14:textId="77777777" w:rsidR="003617C9" w:rsidRPr="00B44B19" w:rsidRDefault="003617C9" w:rsidP="00893029">
            <w:pPr>
              <w:jc w:val="center"/>
              <w:rPr>
                <w:rFonts w:eastAsia="Times New Roman" w:cs="Times New Roman"/>
                <w:iCs/>
                <w:noProof/>
                <w:sz w:val="20"/>
              </w:rPr>
            </w:pPr>
          </w:p>
        </w:tc>
        <w:tc>
          <w:tcPr>
            <w:tcW w:w="3852" w:type="dxa"/>
            <w:tcBorders>
              <w:top w:val="single" w:sz="4" w:space="0" w:color="auto"/>
            </w:tcBorders>
          </w:tcPr>
          <w:p w14:paraId="08020FD2" w14:textId="77777777" w:rsidR="003617C9" w:rsidRPr="00B44B19" w:rsidRDefault="003617C9" w:rsidP="00B133AE">
            <w:pPr>
              <w:rPr>
                <w:rFonts w:eastAsia="Times New Roman" w:cs="Times New Roman"/>
                <w:iCs/>
                <w:noProof/>
                <w:sz w:val="20"/>
              </w:rPr>
            </w:pPr>
            <w:r w:rsidRPr="00B44B19">
              <w:rPr>
                <w:rFonts w:eastAsia="Times New Roman" w:cs="Times New Roman"/>
                <w:iCs/>
                <w:noProof/>
                <w:sz w:val="20"/>
                <w:lang w:val="en-GB"/>
              </w:rPr>
              <w:t xml:space="preserve">08 – </w:t>
            </w:r>
            <w:r w:rsidRPr="00B44B19">
              <w:rPr>
                <w:rFonts w:eastAsia="Calibri" w:cs="Times New Roman"/>
                <w:sz w:val="20"/>
                <w:szCs w:val="20"/>
              </w:rPr>
              <w:t>Kitų rūšių tikslinės teritorijos</w:t>
            </w:r>
          </w:p>
        </w:tc>
        <w:tc>
          <w:tcPr>
            <w:tcW w:w="1543" w:type="dxa"/>
          </w:tcPr>
          <w:p w14:paraId="5225ADE6" w14:textId="5C847217" w:rsidR="003617C9" w:rsidRPr="00B44B19" w:rsidRDefault="008977BA" w:rsidP="00893029">
            <w:pPr>
              <w:jc w:val="right"/>
              <w:rPr>
                <w:rFonts w:cs="Times New Roman"/>
                <w:bCs/>
                <w:sz w:val="20"/>
                <w:szCs w:val="20"/>
              </w:rPr>
            </w:pPr>
            <w:r w:rsidRPr="00B44B19">
              <w:rPr>
                <w:rFonts w:cs="Times New Roman"/>
                <w:bCs/>
                <w:sz w:val="20"/>
                <w:szCs w:val="20"/>
              </w:rPr>
              <w:t>52 391 301</w:t>
            </w:r>
            <w:r w:rsidR="003617C9" w:rsidRPr="00B44B19">
              <w:rPr>
                <w:rFonts w:cs="Times New Roman"/>
                <w:bCs/>
                <w:sz w:val="20"/>
                <w:szCs w:val="20"/>
              </w:rPr>
              <w:t>,00</w:t>
            </w:r>
          </w:p>
        </w:tc>
      </w:tr>
      <w:tr w:rsidR="003617C9" w:rsidRPr="00B44B19" w14:paraId="0066A10F" w14:textId="77777777" w:rsidTr="00980660">
        <w:trPr>
          <w:trHeight w:val="172"/>
        </w:trPr>
        <w:tc>
          <w:tcPr>
            <w:tcW w:w="1098" w:type="dxa"/>
            <w:vMerge/>
          </w:tcPr>
          <w:p w14:paraId="676076AD" w14:textId="77777777" w:rsidR="003617C9" w:rsidRPr="00B44B19" w:rsidRDefault="003617C9" w:rsidP="00893029">
            <w:pPr>
              <w:jc w:val="center"/>
              <w:rPr>
                <w:rFonts w:eastAsia="Times New Roman" w:cs="Times New Roman"/>
                <w:iCs/>
                <w:noProof/>
                <w:sz w:val="20"/>
              </w:rPr>
            </w:pPr>
          </w:p>
        </w:tc>
        <w:tc>
          <w:tcPr>
            <w:tcW w:w="849" w:type="dxa"/>
            <w:vMerge/>
            <w:tcBorders>
              <w:bottom w:val="single" w:sz="4" w:space="0" w:color="auto"/>
            </w:tcBorders>
          </w:tcPr>
          <w:p w14:paraId="7AB5BE62" w14:textId="77777777" w:rsidR="003617C9" w:rsidRPr="00B44B19" w:rsidRDefault="003617C9" w:rsidP="00893029">
            <w:pPr>
              <w:jc w:val="center"/>
              <w:rPr>
                <w:rFonts w:eastAsia="Times New Roman" w:cs="Times New Roman"/>
                <w:iCs/>
                <w:noProof/>
                <w:sz w:val="20"/>
              </w:rPr>
            </w:pPr>
          </w:p>
        </w:tc>
        <w:tc>
          <w:tcPr>
            <w:tcW w:w="1132" w:type="dxa"/>
            <w:vMerge/>
            <w:tcBorders>
              <w:bottom w:val="single" w:sz="4" w:space="0" w:color="auto"/>
            </w:tcBorders>
          </w:tcPr>
          <w:p w14:paraId="2955B941" w14:textId="77777777" w:rsidR="003617C9" w:rsidRPr="00B44B19" w:rsidRDefault="003617C9" w:rsidP="00893029">
            <w:pPr>
              <w:rPr>
                <w:rFonts w:eastAsia="Times New Roman" w:cs="Times New Roman"/>
                <w:iCs/>
                <w:noProof/>
                <w:sz w:val="20"/>
                <w:szCs w:val="20"/>
              </w:rPr>
            </w:pPr>
          </w:p>
        </w:tc>
        <w:tc>
          <w:tcPr>
            <w:tcW w:w="1134" w:type="dxa"/>
            <w:vMerge/>
          </w:tcPr>
          <w:p w14:paraId="58B0ABA2" w14:textId="77777777" w:rsidR="003617C9" w:rsidRPr="00B44B19" w:rsidRDefault="003617C9" w:rsidP="00893029">
            <w:pPr>
              <w:jc w:val="center"/>
              <w:rPr>
                <w:rFonts w:eastAsia="Times New Roman" w:cs="Times New Roman"/>
                <w:iCs/>
                <w:noProof/>
                <w:sz w:val="20"/>
              </w:rPr>
            </w:pPr>
          </w:p>
        </w:tc>
        <w:tc>
          <w:tcPr>
            <w:tcW w:w="3852" w:type="dxa"/>
            <w:tcBorders>
              <w:top w:val="single" w:sz="4" w:space="0" w:color="auto"/>
            </w:tcBorders>
          </w:tcPr>
          <w:p w14:paraId="0CB54876" w14:textId="6019BE0F" w:rsidR="003617C9" w:rsidRPr="00B44B19" w:rsidRDefault="003617C9" w:rsidP="00893029">
            <w:pPr>
              <w:rPr>
                <w:rFonts w:eastAsia="Times New Roman" w:cs="Times New Roman"/>
                <w:iCs/>
                <w:noProof/>
                <w:sz w:val="20"/>
              </w:rPr>
            </w:pPr>
            <w:r w:rsidRPr="00B44B19">
              <w:rPr>
                <w:rFonts w:eastAsia="Times New Roman" w:cs="Times New Roman"/>
                <w:iCs/>
                <w:noProof/>
                <w:sz w:val="20"/>
                <w:lang w:val="en-GB"/>
              </w:rPr>
              <w:t xml:space="preserve">33 </w:t>
            </w:r>
            <w:r w:rsidR="00F30904" w:rsidRPr="00B44B19">
              <w:rPr>
                <w:rFonts w:eastAsia="Times New Roman" w:cs="Times New Roman"/>
                <w:iCs/>
                <w:noProof/>
                <w:sz w:val="20"/>
                <w:lang w:val="en-GB"/>
              </w:rPr>
              <w:t>–</w:t>
            </w:r>
            <w:r w:rsidRPr="00B44B19">
              <w:rPr>
                <w:rFonts w:eastAsia="Times New Roman" w:cs="Times New Roman"/>
                <w:iCs/>
                <w:noProof/>
                <w:sz w:val="20"/>
                <w:lang w:val="en-GB"/>
              </w:rPr>
              <w:t xml:space="preserve"> </w:t>
            </w:r>
            <w:r w:rsidRPr="00B44B19">
              <w:rPr>
                <w:rFonts w:eastAsia="Calibri" w:cs="Times New Roman"/>
                <w:sz w:val="20"/>
                <w:szCs w:val="20"/>
              </w:rPr>
              <w:t>Nesiorientuojant į teritoriškumą</w:t>
            </w:r>
          </w:p>
        </w:tc>
        <w:tc>
          <w:tcPr>
            <w:tcW w:w="1543" w:type="dxa"/>
            <w:tcBorders>
              <w:bottom w:val="single" w:sz="4" w:space="0" w:color="auto"/>
            </w:tcBorders>
          </w:tcPr>
          <w:p w14:paraId="21A98BD8" w14:textId="569D4041" w:rsidR="003617C9" w:rsidRPr="00B44B19" w:rsidRDefault="008977BA" w:rsidP="00893029">
            <w:pPr>
              <w:jc w:val="right"/>
              <w:rPr>
                <w:rFonts w:cs="Times New Roman"/>
                <w:bCs/>
                <w:sz w:val="20"/>
                <w:szCs w:val="20"/>
              </w:rPr>
            </w:pPr>
            <w:r w:rsidRPr="00B44B19">
              <w:rPr>
                <w:rFonts w:cs="Times New Roman"/>
                <w:bCs/>
                <w:sz w:val="20"/>
                <w:szCs w:val="20"/>
              </w:rPr>
              <w:t>52 391 301</w:t>
            </w:r>
            <w:r w:rsidR="003617C9" w:rsidRPr="00B44B19">
              <w:rPr>
                <w:rFonts w:cs="Times New Roman"/>
                <w:bCs/>
                <w:sz w:val="20"/>
                <w:szCs w:val="20"/>
              </w:rPr>
              <w:t>,00</w:t>
            </w:r>
          </w:p>
        </w:tc>
      </w:tr>
      <w:tr w:rsidR="003617C9" w:rsidRPr="00B44B19" w14:paraId="46E08092" w14:textId="77777777" w:rsidTr="00980660">
        <w:trPr>
          <w:trHeight w:val="233"/>
        </w:trPr>
        <w:tc>
          <w:tcPr>
            <w:tcW w:w="1098" w:type="dxa"/>
            <w:vMerge/>
          </w:tcPr>
          <w:p w14:paraId="7C3D69C7" w14:textId="77777777" w:rsidR="003617C9" w:rsidRPr="00B44B19" w:rsidRDefault="003617C9" w:rsidP="00893029">
            <w:pPr>
              <w:jc w:val="center"/>
              <w:rPr>
                <w:rFonts w:eastAsia="Times New Roman" w:cs="Times New Roman"/>
                <w:iCs/>
                <w:noProof/>
                <w:sz w:val="20"/>
                <w:lang w:val="en-US"/>
              </w:rPr>
            </w:pPr>
          </w:p>
        </w:tc>
        <w:tc>
          <w:tcPr>
            <w:tcW w:w="849" w:type="dxa"/>
            <w:vMerge w:val="restart"/>
            <w:tcBorders>
              <w:top w:val="single" w:sz="4" w:space="0" w:color="auto"/>
            </w:tcBorders>
          </w:tcPr>
          <w:p w14:paraId="5B0FF360" w14:textId="77777777" w:rsidR="003617C9" w:rsidRPr="00B44B19" w:rsidRDefault="003617C9" w:rsidP="00893029">
            <w:pPr>
              <w:jc w:val="center"/>
              <w:rPr>
                <w:rFonts w:eastAsia="Times New Roman" w:cs="Times New Roman"/>
                <w:iCs/>
                <w:noProof/>
                <w:sz w:val="20"/>
              </w:rPr>
            </w:pPr>
            <w:r w:rsidRPr="00B44B19">
              <w:rPr>
                <w:rFonts w:eastAsia="Times New Roman" w:cs="Times New Roman"/>
                <w:iCs/>
                <w:noProof/>
                <w:sz w:val="20"/>
              </w:rPr>
              <w:t>SaF</w:t>
            </w:r>
          </w:p>
        </w:tc>
        <w:tc>
          <w:tcPr>
            <w:tcW w:w="1132" w:type="dxa"/>
            <w:vMerge w:val="restart"/>
            <w:tcBorders>
              <w:top w:val="single" w:sz="4" w:space="0" w:color="auto"/>
            </w:tcBorders>
          </w:tcPr>
          <w:p w14:paraId="0DF88A50" w14:textId="77777777" w:rsidR="003617C9" w:rsidRPr="00B44B19" w:rsidRDefault="003617C9" w:rsidP="00893029">
            <w:pPr>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tcPr>
          <w:p w14:paraId="12DEC9C6" w14:textId="77777777" w:rsidR="003617C9" w:rsidRPr="00B44B19" w:rsidRDefault="003617C9" w:rsidP="00893029">
            <w:pPr>
              <w:jc w:val="center"/>
              <w:rPr>
                <w:rFonts w:eastAsia="Times New Roman" w:cs="Times New Roman"/>
                <w:iCs/>
                <w:noProof/>
                <w:sz w:val="20"/>
              </w:rPr>
            </w:pPr>
          </w:p>
        </w:tc>
        <w:tc>
          <w:tcPr>
            <w:tcW w:w="3852" w:type="dxa"/>
          </w:tcPr>
          <w:p w14:paraId="07EF78F1" w14:textId="77777777" w:rsidR="003617C9" w:rsidRPr="00B44B19" w:rsidRDefault="003617C9" w:rsidP="00B133AE">
            <w:pPr>
              <w:rPr>
                <w:rFonts w:eastAsia="Times New Roman" w:cs="Times New Roman"/>
                <w:iCs/>
                <w:noProof/>
                <w:sz w:val="20"/>
              </w:rPr>
            </w:pPr>
            <w:r w:rsidRPr="00B44B19">
              <w:rPr>
                <w:rFonts w:eastAsia="Times New Roman" w:cs="Times New Roman"/>
                <w:iCs/>
                <w:noProof/>
                <w:sz w:val="20"/>
              </w:rPr>
              <w:t>0</w:t>
            </w:r>
            <w:r w:rsidRPr="00B44B19">
              <w:rPr>
                <w:rFonts w:eastAsia="Times New Roman" w:cs="Times New Roman"/>
                <w:iCs/>
                <w:noProof/>
                <w:sz w:val="20"/>
                <w:lang w:val="en-GB"/>
              </w:rPr>
              <w:t xml:space="preserve">2 </w:t>
            </w:r>
            <w:r w:rsidR="00F30904" w:rsidRPr="00B44B19">
              <w:rPr>
                <w:rFonts w:eastAsia="Times New Roman" w:cs="Times New Roman"/>
                <w:iCs/>
                <w:noProof/>
                <w:sz w:val="20"/>
                <w:lang w:val="en-GB"/>
              </w:rPr>
              <w:t>–</w:t>
            </w:r>
            <w:r w:rsidRPr="00B44B19">
              <w:rPr>
                <w:rFonts w:eastAsia="Times New Roman" w:cs="Times New Roman"/>
                <w:iCs/>
                <w:noProof/>
                <w:sz w:val="20"/>
                <w:lang w:val="en-GB"/>
              </w:rPr>
              <w:t xml:space="preserve"> </w:t>
            </w:r>
            <w:r w:rsidRPr="00B44B19">
              <w:rPr>
                <w:rFonts w:eastAsia="Times New Roman" w:cs="Times New Roman"/>
                <w:iCs/>
                <w:noProof/>
                <w:sz w:val="20"/>
              </w:rPr>
              <w:t>Miestai, miesteliai ir priemiesčiai</w:t>
            </w:r>
          </w:p>
        </w:tc>
        <w:tc>
          <w:tcPr>
            <w:tcW w:w="1543" w:type="dxa"/>
            <w:tcBorders>
              <w:top w:val="single" w:sz="4" w:space="0" w:color="auto"/>
            </w:tcBorders>
          </w:tcPr>
          <w:p w14:paraId="08FF5806" w14:textId="77777777" w:rsidR="003617C9" w:rsidRPr="00B44B19" w:rsidRDefault="003617C9" w:rsidP="00893029">
            <w:pPr>
              <w:jc w:val="right"/>
              <w:rPr>
                <w:rFonts w:cs="Times New Roman"/>
                <w:sz w:val="20"/>
                <w:szCs w:val="20"/>
              </w:rPr>
            </w:pPr>
            <w:r w:rsidRPr="00B44B19">
              <w:rPr>
                <w:rFonts w:cs="Times New Roman"/>
                <w:sz w:val="20"/>
                <w:szCs w:val="20"/>
              </w:rPr>
              <w:t>25 000 000,00</w:t>
            </w:r>
          </w:p>
        </w:tc>
      </w:tr>
      <w:tr w:rsidR="003617C9" w:rsidRPr="00B44B19" w14:paraId="5958F5B8" w14:textId="77777777" w:rsidTr="00980660">
        <w:trPr>
          <w:trHeight w:val="113"/>
        </w:trPr>
        <w:tc>
          <w:tcPr>
            <w:tcW w:w="1098" w:type="dxa"/>
            <w:vMerge/>
          </w:tcPr>
          <w:p w14:paraId="2DB14931" w14:textId="77777777" w:rsidR="003617C9" w:rsidRPr="00B44B19" w:rsidRDefault="003617C9" w:rsidP="00893029">
            <w:pPr>
              <w:jc w:val="center"/>
              <w:rPr>
                <w:rFonts w:eastAsia="Times New Roman" w:cs="Times New Roman"/>
                <w:iCs/>
                <w:noProof/>
                <w:sz w:val="20"/>
                <w:lang w:val="en-US"/>
              </w:rPr>
            </w:pPr>
          </w:p>
        </w:tc>
        <w:tc>
          <w:tcPr>
            <w:tcW w:w="849" w:type="dxa"/>
            <w:vMerge/>
          </w:tcPr>
          <w:p w14:paraId="0551A2B6" w14:textId="77777777" w:rsidR="003617C9" w:rsidRPr="00B44B19" w:rsidRDefault="003617C9" w:rsidP="00893029">
            <w:pPr>
              <w:jc w:val="center"/>
              <w:rPr>
                <w:rFonts w:eastAsia="Times New Roman" w:cs="Times New Roman"/>
                <w:iCs/>
                <w:noProof/>
                <w:sz w:val="20"/>
              </w:rPr>
            </w:pPr>
          </w:p>
        </w:tc>
        <w:tc>
          <w:tcPr>
            <w:tcW w:w="1132" w:type="dxa"/>
            <w:vMerge/>
          </w:tcPr>
          <w:p w14:paraId="27DBE5A7" w14:textId="77777777" w:rsidR="003617C9" w:rsidRPr="00B44B19" w:rsidRDefault="003617C9" w:rsidP="00893029">
            <w:pPr>
              <w:rPr>
                <w:rFonts w:eastAsia="Times New Roman" w:cs="Times New Roman"/>
                <w:iCs/>
                <w:noProof/>
                <w:sz w:val="20"/>
                <w:szCs w:val="20"/>
              </w:rPr>
            </w:pPr>
          </w:p>
        </w:tc>
        <w:tc>
          <w:tcPr>
            <w:tcW w:w="1134" w:type="dxa"/>
            <w:vMerge/>
          </w:tcPr>
          <w:p w14:paraId="3A0600B9" w14:textId="77777777" w:rsidR="003617C9" w:rsidRPr="00B44B19" w:rsidRDefault="003617C9" w:rsidP="00893029">
            <w:pPr>
              <w:jc w:val="center"/>
              <w:rPr>
                <w:rFonts w:eastAsia="Times New Roman" w:cs="Times New Roman"/>
                <w:iCs/>
                <w:noProof/>
                <w:sz w:val="20"/>
              </w:rPr>
            </w:pPr>
          </w:p>
        </w:tc>
        <w:tc>
          <w:tcPr>
            <w:tcW w:w="3852" w:type="dxa"/>
          </w:tcPr>
          <w:p w14:paraId="135696DF" w14:textId="77777777" w:rsidR="003617C9" w:rsidRPr="00B44B19" w:rsidRDefault="003617C9" w:rsidP="00B133AE">
            <w:pPr>
              <w:rPr>
                <w:rFonts w:eastAsia="Times New Roman" w:cs="Times New Roman"/>
                <w:iCs/>
                <w:noProof/>
                <w:sz w:val="20"/>
              </w:rPr>
            </w:pPr>
            <w:r w:rsidRPr="00B44B19">
              <w:rPr>
                <w:rFonts w:eastAsia="Times New Roman" w:cs="Times New Roman"/>
                <w:iCs/>
                <w:noProof/>
                <w:sz w:val="20"/>
                <w:lang w:val="en-GB"/>
              </w:rPr>
              <w:t xml:space="preserve">08 – </w:t>
            </w:r>
            <w:r w:rsidRPr="00B44B19">
              <w:rPr>
                <w:rFonts w:eastAsia="Calibri" w:cs="Times New Roman"/>
                <w:sz w:val="20"/>
                <w:szCs w:val="20"/>
              </w:rPr>
              <w:t>Kitų rūšių tikslinės teritorijos</w:t>
            </w:r>
          </w:p>
        </w:tc>
        <w:tc>
          <w:tcPr>
            <w:tcW w:w="1543" w:type="dxa"/>
          </w:tcPr>
          <w:p w14:paraId="7BE69E6F" w14:textId="77777777" w:rsidR="003617C9" w:rsidRPr="00B44B19" w:rsidRDefault="003617C9" w:rsidP="00893029">
            <w:pPr>
              <w:jc w:val="right"/>
              <w:rPr>
                <w:rFonts w:cs="Times New Roman"/>
                <w:sz w:val="20"/>
                <w:szCs w:val="20"/>
              </w:rPr>
            </w:pPr>
            <w:r w:rsidRPr="00B44B19">
              <w:rPr>
                <w:rFonts w:cs="Times New Roman"/>
                <w:sz w:val="20"/>
                <w:szCs w:val="20"/>
              </w:rPr>
              <w:t>12 500 000,00</w:t>
            </w:r>
          </w:p>
        </w:tc>
      </w:tr>
      <w:tr w:rsidR="003617C9" w:rsidRPr="00B44B19" w14:paraId="7200FDC7" w14:textId="77777777" w:rsidTr="00980660">
        <w:trPr>
          <w:trHeight w:val="112"/>
        </w:trPr>
        <w:tc>
          <w:tcPr>
            <w:tcW w:w="1098" w:type="dxa"/>
            <w:vMerge/>
          </w:tcPr>
          <w:p w14:paraId="44D7752D" w14:textId="77777777" w:rsidR="003617C9" w:rsidRPr="00B44B19" w:rsidRDefault="003617C9" w:rsidP="00893029">
            <w:pPr>
              <w:jc w:val="center"/>
              <w:rPr>
                <w:rFonts w:eastAsia="Times New Roman" w:cs="Times New Roman"/>
                <w:iCs/>
                <w:noProof/>
                <w:sz w:val="20"/>
                <w:lang w:val="en-US"/>
              </w:rPr>
            </w:pPr>
          </w:p>
        </w:tc>
        <w:tc>
          <w:tcPr>
            <w:tcW w:w="849" w:type="dxa"/>
            <w:vMerge/>
          </w:tcPr>
          <w:p w14:paraId="18B71751" w14:textId="77777777" w:rsidR="003617C9" w:rsidRPr="00B44B19" w:rsidRDefault="003617C9" w:rsidP="00893029">
            <w:pPr>
              <w:jc w:val="center"/>
              <w:rPr>
                <w:rFonts w:eastAsia="Times New Roman" w:cs="Times New Roman"/>
                <w:iCs/>
                <w:noProof/>
                <w:sz w:val="20"/>
              </w:rPr>
            </w:pPr>
          </w:p>
        </w:tc>
        <w:tc>
          <w:tcPr>
            <w:tcW w:w="1132" w:type="dxa"/>
            <w:vMerge/>
            <w:tcBorders>
              <w:bottom w:val="single" w:sz="4" w:space="0" w:color="auto"/>
            </w:tcBorders>
          </w:tcPr>
          <w:p w14:paraId="43063B58" w14:textId="77777777" w:rsidR="003617C9" w:rsidRPr="00B44B19" w:rsidRDefault="003617C9" w:rsidP="00893029">
            <w:pPr>
              <w:rPr>
                <w:rFonts w:eastAsia="Times New Roman" w:cs="Times New Roman"/>
                <w:iCs/>
                <w:noProof/>
                <w:sz w:val="20"/>
                <w:szCs w:val="20"/>
              </w:rPr>
            </w:pPr>
          </w:p>
        </w:tc>
        <w:tc>
          <w:tcPr>
            <w:tcW w:w="1134" w:type="dxa"/>
            <w:vMerge/>
          </w:tcPr>
          <w:p w14:paraId="611F6C4B" w14:textId="77777777" w:rsidR="003617C9" w:rsidRPr="00B44B19" w:rsidRDefault="003617C9" w:rsidP="00893029">
            <w:pPr>
              <w:jc w:val="center"/>
              <w:rPr>
                <w:rFonts w:eastAsia="Times New Roman" w:cs="Times New Roman"/>
                <w:iCs/>
                <w:noProof/>
                <w:sz w:val="20"/>
              </w:rPr>
            </w:pPr>
          </w:p>
        </w:tc>
        <w:tc>
          <w:tcPr>
            <w:tcW w:w="3852" w:type="dxa"/>
            <w:tcBorders>
              <w:bottom w:val="single" w:sz="4" w:space="0" w:color="auto"/>
            </w:tcBorders>
          </w:tcPr>
          <w:p w14:paraId="0D8A6479" w14:textId="69B6F2A6" w:rsidR="003617C9" w:rsidRPr="00B44B19" w:rsidRDefault="003617C9" w:rsidP="00893029">
            <w:pPr>
              <w:rPr>
                <w:rFonts w:eastAsia="Times New Roman" w:cs="Times New Roman"/>
                <w:iCs/>
                <w:noProof/>
                <w:sz w:val="20"/>
              </w:rPr>
            </w:pPr>
            <w:r w:rsidRPr="00B44B19">
              <w:rPr>
                <w:rFonts w:eastAsia="Times New Roman" w:cs="Times New Roman"/>
                <w:iCs/>
                <w:noProof/>
                <w:sz w:val="20"/>
                <w:lang w:val="en-GB"/>
              </w:rPr>
              <w:t xml:space="preserve">33 </w:t>
            </w:r>
            <w:r w:rsidR="00F30904" w:rsidRPr="00B44B19">
              <w:rPr>
                <w:rFonts w:eastAsia="Times New Roman" w:cs="Times New Roman"/>
                <w:iCs/>
                <w:noProof/>
                <w:sz w:val="20"/>
                <w:lang w:val="en-GB"/>
              </w:rPr>
              <w:t>–</w:t>
            </w:r>
            <w:r w:rsidRPr="00B44B19">
              <w:rPr>
                <w:rFonts w:eastAsia="Times New Roman" w:cs="Times New Roman"/>
                <w:iCs/>
                <w:noProof/>
                <w:sz w:val="20"/>
                <w:lang w:val="en-GB"/>
              </w:rPr>
              <w:t xml:space="preserve"> </w:t>
            </w:r>
            <w:r w:rsidRPr="00B44B19">
              <w:rPr>
                <w:rFonts w:eastAsia="Calibri" w:cs="Times New Roman"/>
                <w:sz w:val="20"/>
                <w:szCs w:val="20"/>
              </w:rPr>
              <w:t>Nesiorientuojant į teritoriškumą</w:t>
            </w:r>
          </w:p>
        </w:tc>
        <w:tc>
          <w:tcPr>
            <w:tcW w:w="1543" w:type="dxa"/>
            <w:tcBorders>
              <w:bottom w:val="single" w:sz="4" w:space="0" w:color="auto"/>
            </w:tcBorders>
          </w:tcPr>
          <w:p w14:paraId="113D26AA" w14:textId="77777777" w:rsidR="003617C9" w:rsidRPr="00B44B19" w:rsidRDefault="003617C9" w:rsidP="00893029">
            <w:pPr>
              <w:jc w:val="right"/>
              <w:rPr>
                <w:rFonts w:cs="Times New Roman"/>
                <w:sz w:val="20"/>
                <w:szCs w:val="20"/>
              </w:rPr>
            </w:pPr>
            <w:r w:rsidRPr="00B44B19">
              <w:rPr>
                <w:rFonts w:cs="Times New Roman"/>
                <w:sz w:val="20"/>
                <w:szCs w:val="20"/>
              </w:rPr>
              <w:t>12 500 000,00</w:t>
            </w:r>
          </w:p>
        </w:tc>
      </w:tr>
    </w:tbl>
    <w:p w14:paraId="2B14BA13" w14:textId="77777777" w:rsidR="000871A1" w:rsidRPr="00B44B19" w:rsidRDefault="000871A1" w:rsidP="00BA52CF">
      <w:pPr>
        <w:spacing w:after="0" w:line="240" w:lineRule="auto"/>
        <w:rPr>
          <w:rFonts w:cs="Times New Roman"/>
          <w:bCs/>
          <w:sz w:val="20"/>
          <w:szCs w:val="20"/>
        </w:rPr>
      </w:pPr>
    </w:p>
    <w:tbl>
      <w:tblPr>
        <w:tblStyle w:val="Lentelstinklelis30"/>
        <w:tblW w:w="9624" w:type="dxa"/>
        <w:tblLook w:val="04A0" w:firstRow="1" w:lastRow="0" w:firstColumn="1" w:lastColumn="0" w:noHBand="0" w:noVBand="1"/>
      </w:tblPr>
      <w:tblGrid>
        <w:gridCol w:w="1099"/>
        <w:gridCol w:w="850"/>
        <w:gridCol w:w="1133"/>
        <w:gridCol w:w="1134"/>
        <w:gridCol w:w="3849"/>
        <w:gridCol w:w="1559"/>
      </w:tblGrid>
      <w:tr w:rsidR="006242C5" w:rsidRPr="00B44B19" w14:paraId="270FAAAB" w14:textId="77777777" w:rsidTr="00980660">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5332B44" w14:textId="77777777" w:rsidR="006242C5" w:rsidRPr="00B44B19" w:rsidRDefault="006242C5" w:rsidP="006242C5">
            <w:pPr>
              <w:rPr>
                <w:b/>
                <w:iCs/>
                <w:noProof/>
                <w:sz w:val="20"/>
                <w:szCs w:val="20"/>
              </w:rPr>
            </w:pPr>
            <w:r w:rsidRPr="00B44B19">
              <w:rPr>
                <w:b/>
                <w:noProof/>
                <w:sz w:val="20"/>
                <w:szCs w:val="20"/>
              </w:rPr>
              <w:t xml:space="preserve">7 lentelė. 7 matmuo. </w:t>
            </w:r>
            <w:r w:rsidRPr="00B44B19">
              <w:rPr>
                <w:b/>
                <w:sz w:val="20"/>
                <w:szCs w:val="20"/>
              </w:rPr>
              <w:t>ESF+, ERPF, S</w:t>
            </w:r>
            <w:r w:rsidR="00F30904" w:rsidRPr="00B44B19">
              <w:rPr>
                <w:b/>
                <w:sz w:val="20"/>
                <w:szCs w:val="20"/>
              </w:rPr>
              <w:t>a</w:t>
            </w:r>
            <w:r w:rsidRPr="00B44B19">
              <w:rPr>
                <w:b/>
                <w:sz w:val="20"/>
                <w:szCs w:val="20"/>
              </w:rPr>
              <w:t>F ir TPF lyčių lygybės matmuo</w:t>
            </w:r>
          </w:p>
        </w:tc>
      </w:tr>
      <w:tr w:rsidR="006242C5" w:rsidRPr="00B44B19" w14:paraId="51F61CA7" w14:textId="77777777" w:rsidTr="00980660">
        <w:tc>
          <w:tcPr>
            <w:tcW w:w="109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13293B" w14:textId="77777777" w:rsidR="006242C5" w:rsidRPr="00B44B19" w:rsidRDefault="006242C5" w:rsidP="006242C5">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217E5F" w14:textId="77777777" w:rsidR="006242C5" w:rsidRPr="00B44B19" w:rsidRDefault="006242C5" w:rsidP="006242C5">
            <w:pPr>
              <w:jc w:val="center"/>
              <w:rPr>
                <w:b/>
                <w:iCs/>
                <w:noProof/>
                <w:sz w:val="20"/>
              </w:rPr>
            </w:pPr>
            <w:r w:rsidRPr="00B44B19">
              <w:rPr>
                <w:b/>
                <w:noProof/>
                <w:sz w:val="20"/>
              </w:rPr>
              <w:t>Fondas</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F9D65B" w14:textId="77777777" w:rsidR="006242C5" w:rsidRPr="00B44B19" w:rsidRDefault="006242C5" w:rsidP="006242C5">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A144B7" w14:textId="77777777" w:rsidR="006242C5" w:rsidRPr="00B44B19" w:rsidRDefault="006242C5" w:rsidP="006242C5">
            <w:pPr>
              <w:jc w:val="center"/>
              <w:rPr>
                <w:b/>
                <w:iCs/>
                <w:noProof/>
                <w:sz w:val="20"/>
              </w:rPr>
            </w:pPr>
            <w:r w:rsidRPr="00B44B19">
              <w:rPr>
                <w:b/>
                <w:noProof/>
                <w:sz w:val="20"/>
              </w:rPr>
              <w:t>Konkretus uždavinys</w:t>
            </w:r>
          </w:p>
        </w:tc>
        <w:tc>
          <w:tcPr>
            <w:tcW w:w="3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D5EA49" w14:textId="77777777" w:rsidR="006242C5" w:rsidRPr="00B44B19" w:rsidRDefault="006242C5" w:rsidP="006242C5">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89C923" w14:textId="77777777" w:rsidR="006242C5" w:rsidRPr="00B44B19" w:rsidRDefault="006242C5" w:rsidP="006242C5">
            <w:pPr>
              <w:jc w:val="center"/>
              <w:rPr>
                <w:b/>
                <w:iCs/>
                <w:noProof/>
                <w:sz w:val="20"/>
              </w:rPr>
            </w:pPr>
            <w:r w:rsidRPr="00B44B19">
              <w:rPr>
                <w:b/>
                <w:noProof/>
                <w:sz w:val="20"/>
              </w:rPr>
              <w:t>Suma (EUR)</w:t>
            </w:r>
          </w:p>
        </w:tc>
      </w:tr>
      <w:tr w:rsidR="006242C5" w:rsidRPr="00B44B19" w14:paraId="068350FB" w14:textId="77777777" w:rsidTr="00980660">
        <w:tc>
          <w:tcPr>
            <w:tcW w:w="1099" w:type="dxa"/>
            <w:vMerge w:val="restart"/>
            <w:tcBorders>
              <w:top w:val="single" w:sz="12" w:space="0" w:color="auto"/>
            </w:tcBorders>
          </w:tcPr>
          <w:p w14:paraId="69B623CF" w14:textId="77777777" w:rsidR="006242C5" w:rsidRPr="00B44B19" w:rsidRDefault="006242C5" w:rsidP="006242C5">
            <w:pPr>
              <w:jc w:val="center"/>
              <w:rPr>
                <w:iCs/>
                <w:noProof/>
                <w:sz w:val="20"/>
              </w:rPr>
            </w:pPr>
            <w:r w:rsidRPr="00B44B19">
              <w:rPr>
                <w:iCs/>
                <w:noProof/>
                <w:sz w:val="20"/>
              </w:rPr>
              <w:t>8.</w:t>
            </w:r>
          </w:p>
        </w:tc>
        <w:tc>
          <w:tcPr>
            <w:tcW w:w="850" w:type="dxa"/>
            <w:tcBorders>
              <w:top w:val="single" w:sz="12" w:space="0" w:color="auto"/>
            </w:tcBorders>
          </w:tcPr>
          <w:p w14:paraId="0B88A0AE" w14:textId="77777777" w:rsidR="006242C5" w:rsidRPr="00B44B19" w:rsidRDefault="006242C5" w:rsidP="006242C5">
            <w:pPr>
              <w:jc w:val="center"/>
              <w:rPr>
                <w:iCs/>
                <w:noProof/>
                <w:sz w:val="20"/>
              </w:rPr>
            </w:pPr>
            <w:r w:rsidRPr="00B44B19">
              <w:rPr>
                <w:iCs/>
                <w:noProof/>
                <w:sz w:val="20"/>
              </w:rPr>
              <w:t>ERPF</w:t>
            </w:r>
          </w:p>
        </w:tc>
        <w:tc>
          <w:tcPr>
            <w:tcW w:w="1133" w:type="dxa"/>
            <w:tcBorders>
              <w:top w:val="single" w:sz="12" w:space="0" w:color="auto"/>
            </w:tcBorders>
          </w:tcPr>
          <w:p w14:paraId="1388FCF2" w14:textId="77777777" w:rsidR="006242C5" w:rsidRPr="00B44B19" w:rsidRDefault="006242C5" w:rsidP="006242C5">
            <w:pPr>
              <w:rPr>
                <w:iCs/>
                <w:noProof/>
                <w:sz w:val="20"/>
              </w:rPr>
            </w:pPr>
            <w:r w:rsidRPr="00B44B19">
              <w:rPr>
                <w:iCs/>
                <w:noProof/>
                <w:sz w:val="20"/>
              </w:rPr>
              <w:t>VVL regionas</w:t>
            </w:r>
          </w:p>
        </w:tc>
        <w:tc>
          <w:tcPr>
            <w:tcW w:w="1134" w:type="dxa"/>
            <w:vMerge w:val="restart"/>
            <w:tcBorders>
              <w:top w:val="single" w:sz="12" w:space="0" w:color="auto"/>
            </w:tcBorders>
          </w:tcPr>
          <w:p w14:paraId="095C7934" w14:textId="77777777" w:rsidR="006242C5" w:rsidRPr="00B44B19" w:rsidRDefault="006242C5" w:rsidP="006242C5">
            <w:pPr>
              <w:jc w:val="center"/>
              <w:rPr>
                <w:iCs/>
                <w:noProof/>
                <w:sz w:val="20"/>
              </w:rPr>
            </w:pPr>
            <w:r w:rsidRPr="00B44B19">
              <w:rPr>
                <w:iCs/>
                <w:noProof/>
                <w:sz w:val="20"/>
              </w:rPr>
              <w:t>8.1</w:t>
            </w:r>
          </w:p>
        </w:tc>
        <w:tc>
          <w:tcPr>
            <w:tcW w:w="3849" w:type="dxa"/>
            <w:vMerge w:val="restart"/>
            <w:tcBorders>
              <w:top w:val="single" w:sz="12" w:space="0" w:color="auto"/>
            </w:tcBorders>
          </w:tcPr>
          <w:p w14:paraId="3BA27697" w14:textId="77777777" w:rsidR="006242C5" w:rsidRPr="00B44B19" w:rsidRDefault="006242C5" w:rsidP="006242C5">
            <w:pPr>
              <w:rPr>
                <w:iCs/>
                <w:noProof/>
                <w:sz w:val="20"/>
              </w:rPr>
            </w:pPr>
            <w:r w:rsidRPr="00B44B19">
              <w:rPr>
                <w:iCs/>
                <w:noProof/>
                <w:sz w:val="20"/>
              </w:rPr>
              <w:t xml:space="preserve">03 </w:t>
            </w:r>
            <w:r w:rsidR="00F30904" w:rsidRPr="00B44B19">
              <w:rPr>
                <w:iCs/>
                <w:noProof/>
                <w:sz w:val="20"/>
              </w:rPr>
              <w:t>–</w:t>
            </w:r>
            <w:r w:rsidRPr="00B44B19">
              <w:rPr>
                <w:iCs/>
                <w:noProof/>
                <w:sz w:val="20"/>
              </w:rPr>
              <w:t xml:space="preserve"> Neutralumas lyties požiūriu</w:t>
            </w:r>
          </w:p>
        </w:tc>
        <w:tc>
          <w:tcPr>
            <w:tcW w:w="1559" w:type="dxa"/>
            <w:tcBorders>
              <w:top w:val="single" w:sz="12" w:space="0" w:color="auto"/>
            </w:tcBorders>
          </w:tcPr>
          <w:p w14:paraId="62AC4942" w14:textId="2A87BFDE" w:rsidR="006242C5" w:rsidRPr="00B44B19" w:rsidRDefault="006242C5" w:rsidP="006242C5">
            <w:pPr>
              <w:jc w:val="right"/>
              <w:rPr>
                <w:iCs/>
                <w:noProof/>
                <w:sz w:val="20"/>
              </w:rPr>
            </w:pPr>
            <w:r w:rsidRPr="00B44B19">
              <w:rPr>
                <w:iCs/>
                <w:noProof/>
                <w:sz w:val="20"/>
              </w:rPr>
              <w:t>2</w:t>
            </w:r>
            <w:r w:rsidR="008977BA" w:rsidRPr="00B44B19">
              <w:rPr>
                <w:iCs/>
                <w:noProof/>
                <w:sz w:val="20"/>
              </w:rPr>
              <w:t>09</w:t>
            </w:r>
            <w:r w:rsidRPr="00B44B19">
              <w:rPr>
                <w:iCs/>
                <w:noProof/>
                <w:sz w:val="20"/>
              </w:rPr>
              <w:t> 565 204,00</w:t>
            </w:r>
          </w:p>
        </w:tc>
      </w:tr>
      <w:tr w:rsidR="006242C5" w:rsidRPr="00B44B19" w14:paraId="3DA78C42" w14:textId="77777777" w:rsidTr="00980660">
        <w:tc>
          <w:tcPr>
            <w:tcW w:w="1099" w:type="dxa"/>
            <w:vMerge/>
          </w:tcPr>
          <w:p w14:paraId="76C66527" w14:textId="77777777" w:rsidR="006242C5" w:rsidRPr="00B44B19" w:rsidRDefault="006242C5" w:rsidP="006242C5">
            <w:pPr>
              <w:jc w:val="center"/>
              <w:rPr>
                <w:iCs/>
                <w:noProof/>
                <w:sz w:val="20"/>
              </w:rPr>
            </w:pPr>
          </w:p>
        </w:tc>
        <w:tc>
          <w:tcPr>
            <w:tcW w:w="850" w:type="dxa"/>
          </w:tcPr>
          <w:p w14:paraId="34237D4F" w14:textId="77777777" w:rsidR="006242C5" w:rsidRPr="00B44B19" w:rsidRDefault="006242C5" w:rsidP="006242C5">
            <w:pPr>
              <w:jc w:val="center"/>
              <w:rPr>
                <w:iCs/>
                <w:noProof/>
                <w:sz w:val="20"/>
              </w:rPr>
            </w:pPr>
            <w:r w:rsidRPr="00B44B19">
              <w:rPr>
                <w:iCs/>
                <w:noProof/>
                <w:sz w:val="20"/>
              </w:rPr>
              <w:t>SaF</w:t>
            </w:r>
          </w:p>
        </w:tc>
        <w:tc>
          <w:tcPr>
            <w:tcW w:w="1133" w:type="dxa"/>
          </w:tcPr>
          <w:p w14:paraId="508B0827" w14:textId="77777777" w:rsidR="006242C5" w:rsidRPr="00B44B19" w:rsidRDefault="006242C5" w:rsidP="006242C5">
            <w:pPr>
              <w:rPr>
                <w:iCs/>
                <w:noProof/>
                <w:sz w:val="20"/>
              </w:rPr>
            </w:pPr>
            <w:r w:rsidRPr="00B44B19">
              <w:rPr>
                <w:iCs/>
                <w:noProof/>
                <w:sz w:val="20"/>
              </w:rPr>
              <w:t>Visa Lietuva</w:t>
            </w:r>
          </w:p>
        </w:tc>
        <w:tc>
          <w:tcPr>
            <w:tcW w:w="1134" w:type="dxa"/>
            <w:vMerge/>
          </w:tcPr>
          <w:p w14:paraId="00C4B2D0" w14:textId="77777777" w:rsidR="006242C5" w:rsidRPr="00B44B19" w:rsidRDefault="006242C5" w:rsidP="006242C5">
            <w:pPr>
              <w:jc w:val="center"/>
              <w:rPr>
                <w:iCs/>
                <w:noProof/>
                <w:sz w:val="20"/>
              </w:rPr>
            </w:pPr>
          </w:p>
        </w:tc>
        <w:tc>
          <w:tcPr>
            <w:tcW w:w="3849" w:type="dxa"/>
            <w:vMerge/>
          </w:tcPr>
          <w:p w14:paraId="150C8598" w14:textId="77777777" w:rsidR="006242C5" w:rsidRPr="00B44B19" w:rsidRDefault="006242C5" w:rsidP="006242C5">
            <w:pPr>
              <w:jc w:val="center"/>
              <w:rPr>
                <w:iCs/>
                <w:noProof/>
                <w:sz w:val="20"/>
              </w:rPr>
            </w:pPr>
          </w:p>
        </w:tc>
        <w:tc>
          <w:tcPr>
            <w:tcW w:w="1559" w:type="dxa"/>
          </w:tcPr>
          <w:p w14:paraId="1C6DDC42" w14:textId="77777777" w:rsidR="006242C5" w:rsidRPr="00B44B19" w:rsidRDefault="006242C5" w:rsidP="006242C5">
            <w:pPr>
              <w:jc w:val="right"/>
              <w:rPr>
                <w:iCs/>
                <w:noProof/>
                <w:sz w:val="20"/>
              </w:rPr>
            </w:pPr>
            <w:r w:rsidRPr="00B44B19">
              <w:rPr>
                <w:iCs/>
                <w:noProof/>
                <w:sz w:val="20"/>
              </w:rPr>
              <w:t>50 000 000,00</w:t>
            </w:r>
          </w:p>
        </w:tc>
      </w:tr>
    </w:tbl>
    <w:p w14:paraId="5FBC8B9D" w14:textId="4FFC17B8" w:rsidR="00051BD4" w:rsidRPr="00B44B19" w:rsidRDefault="00051BD4">
      <w:pPr>
        <w:rPr>
          <w:rFonts w:cs="Times New Roman"/>
          <w:b/>
          <w:bCs/>
          <w:sz w:val="28"/>
          <w:szCs w:val="28"/>
        </w:rPr>
      </w:pPr>
    </w:p>
    <w:p w14:paraId="1526DA1E" w14:textId="77777777" w:rsidR="00051BD4" w:rsidRPr="00B44B19" w:rsidRDefault="00051BD4">
      <w:pPr>
        <w:rPr>
          <w:rFonts w:cs="Times New Roman"/>
          <w:b/>
          <w:bCs/>
          <w:sz w:val="28"/>
          <w:szCs w:val="28"/>
        </w:rPr>
      </w:pPr>
      <w:r w:rsidRPr="00B44B19">
        <w:rPr>
          <w:rFonts w:cs="Times New Roman"/>
          <w:b/>
          <w:bCs/>
          <w:sz w:val="28"/>
          <w:szCs w:val="28"/>
        </w:rPr>
        <w:br w:type="page"/>
      </w:r>
    </w:p>
    <w:p w14:paraId="0E8A766F" w14:textId="159F9767" w:rsidR="00051BD4" w:rsidRPr="00B44B19" w:rsidRDefault="00051BD4" w:rsidP="00D456C1">
      <w:pPr>
        <w:pStyle w:val="Antrat1"/>
      </w:pPr>
      <w:bookmarkStart w:id="72" w:name="_Toc223435445"/>
      <w:r w:rsidRPr="00B44B19">
        <w:lastRenderedPageBreak/>
        <w:t xml:space="preserve">9. Specialus prioritetas. </w:t>
      </w:r>
      <w:r w:rsidRPr="00B44B19">
        <w:rPr>
          <w:lang w:bidi="lt-LT"/>
        </w:rPr>
        <w:t>TEISINGOS PERTVARKOS FONDAS</w:t>
      </w:r>
      <w:bookmarkEnd w:id="72"/>
    </w:p>
    <w:p w14:paraId="70EE4960" w14:textId="7C4321F2" w:rsidR="00051BD4" w:rsidRPr="00B44B19" w:rsidRDefault="00051BD4" w:rsidP="00D456C1">
      <w:pPr>
        <w:pStyle w:val="Antrat2"/>
      </w:pPr>
      <w:bookmarkStart w:id="73" w:name="_Toc223435446"/>
      <w:r w:rsidRPr="00B44B19">
        <w:t>Konkretus uždavinys –</w:t>
      </w:r>
      <w:r w:rsidR="00A42C0C" w:rsidRPr="00B44B19">
        <w:t xml:space="preserve"> </w:t>
      </w:r>
      <w:r w:rsidRPr="00B44B19">
        <w:t>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bookmarkEnd w:id="73"/>
    </w:p>
    <w:p w14:paraId="049F4F2F" w14:textId="77777777" w:rsidR="00051BD4" w:rsidRPr="00B44B19" w:rsidRDefault="00051BD4" w:rsidP="00051BD4">
      <w:pPr>
        <w:tabs>
          <w:tab w:val="center" w:pos="4819"/>
          <w:tab w:val="right" w:pos="9638"/>
        </w:tabs>
        <w:spacing w:before="120" w:after="120"/>
        <w:rPr>
          <w:rFonts w:cs="Times New Roman"/>
          <w:b/>
          <w:i/>
          <w:iCs/>
          <w:noProof/>
          <w:color w:val="1F497D" w:themeColor="text2"/>
          <w:szCs w:val="24"/>
          <w:lang w:eastAsia="lt-LT" w:bidi="lt-LT"/>
        </w:rPr>
      </w:pPr>
      <w:r w:rsidRPr="00B44B19">
        <w:rPr>
          <w:rFonts w:cs="Times New Roman"/>
          <w:b/>
          <w:i/>
          <w:noProof/>
          <w:color w:val="1F497D" w:themeColor="text2"/>
          <w:lang w:eastAsia="lt-LT" w:bidi="lt-LT"/>
        </w:rPr>
        <w:t>Įgyvendinamos veiklos</w:t>
      </w:r>
    </w:p>
    <w:tbl>
      <w:tblPr>
        <w:tblStyle w:val="Lentelstinklelis2"/>
        <w:tblW w:w="9634" w:type="dxa"/>
        <w:tblLook w:val="04A0" w:firstRow="1" w:lastRow="0" w:firstColumn="1" w:lastColumn="0" w:noHBand="0" w:noVBand="1"/>
      </w:tblPr>
      <w:tblGrid>
        <w:gridCol w:w="9634"/>
      </w:tblGrid>
      <w:tr w:rsidR="00051BD4" w:rsidRPr="00B44B19" w14:paraId="40A8CF17" w14:textId="77777777" w:rsidTr="00980660">
        <w:trPr>
          <w:trHeight w:val="283"/>
        </w:trPr>
        <w:tc>
          <w:tcPr>
            <w:tcW w:w="9634" w:type="dxa"/>
          </w:tcPr>
          <w:p w14:paraId="6EAD7D50" w14:textId="7F584CF7" w:rsidR="00051BD4" w:rsidRPr="00B44B19" w:rsidRDefault="00051BD4" w:rsidP="00051BD4">
            <w:pPr>
              <w:tabs>
                <w:tab w:val="left" w:pos="142"/>
              </w:tabs>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ES ATLPS dalyvaujančiam pramonės sektoriui iki 2030 m. keliami uždaviniai didinti energijos vartojimo efektyvumą, skatinant taršių technologijų keitimą mažiau taršiomis, taikyti žiedinės ekonomikos principus, diegti tvarius verslo modelius. Taip pat, turi būti skatinamas taršių pramonės procesų ir žaliavų keitimas pagrindinėse šalies pramonės įmonėse, remiamas darbuotojų įgūdžių tobulinimas ir perorientavimas bei užtikrinamas teisingas perėjimas prie klimatui mažiau kenksmingų technologijų. Siekiama, jog pramonės įmonės taptų energiją gaminančiais vartotojais, naudotų žaliąjį vandenilį pramonės procesuose (gaminant trąšas ar kitus produktus), keistų iškastinį kurą žaliuoju vandeniliu,</w:t>
            </w:r>
            <w:r w:rsidRPr="00B44B19">
              <w:rPr>
                <w:rFonts w:ascii="Times New Roman" w:hAnsi="Times New Roman" w:cs="Times New Roman"/>
                <w:color w:val="000000"/>
              </w:rPr>
              <w:t xml:space="preserve"> antrinėmis ir kitomis aukštos kokybės klimatui neutraliomis žaliavomis</w:t>
            </w:r>
            <w:r w:rsidR="00B72222" w:rsidRPr="00B44B19">
              <w:rPr>
                <w:rFonts w:ascii="Times New Roman" w:hAnsi="Times New Roman" w:cs="Times New Roman"/>
                <w:color w:val="000000"/>
              </w:rPr>
              <w:t>, savo veikloje naudotų energetiškai efektyviausias technologijas.</w:t>
            </w:r>
            <w:r w:rsidRPr="00B44B19">
              <w:rPr>
                <w:rFonts w:ascii="Times New Roman" w:eastAsia="Times New Roman" w:hAnsi="Times New Roman" w:cs="Times New Roman"/>
                <w:bCs/>
              </w:rPr>
              <w:t>. Iki 2050 m. pramonės įmonės taps klimatui neutralios ir jų generuojami ŠESD rodikliai, lyginant su 2005 m., bus sumažinti 100</w:t>
            </w:r>
            <w:r w:rsidR="00094FD1"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o tą pasiekti padės aplinkosaugos požiūriu saugių CO</w:t>
            </w:r>
            <w:r w:rsidRPr="00B44B19">
              <w:rPr>
                <w:rFonts w:ascii="Times New Roman" w:eastAsia="Times New Roman" w:hAnsi="Times New Roman" w:cs="Times New Roman"/>
                <w:bCs/>
                <w:vertAlign w:val="subscript"/>
              </w:rPr>
              <w:t>2</w:t>
            </w:r>
            <w:r w:rsidRPr="00B44B19">
              <w:rPr>
                <w:rFonts w:ascii="Times New Roman" w:eastAsia="Times New Roman" w:hAnsi="Times New Roman" w:cs="Times New Roman"/>
                <w:bCs/>
              </w:rPr>
              <w:t xml:space="preserve"> sugavimo ir panaudojimo technologijų taikymas (CCS ir CCU technologijos).</w:t>
            </w:r>
          </w:p>
          <w:p w14:paraId="10AD4B98" w14:textId="07C214CF"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Lietuvos pramonės sektoriaus išmetamų teršalų kiekio 2030 m. tikslai (ES ATLPS dalyvaujančiam pramonės sektoriui sumažinti taršą – ≥50</w:t>
            </w:r>
            <w:r w:rsidR="009E0512"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ES ATLPS nedalyvaujančiam pramonės sektoriui – ≥25</w:t>
            </w:r>
            <w:r w:rsidR="009E0512"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(lyginant su 2005 m.) ir ES lygmeniu siūloma didesnė ES ATLPS riba (sumažinti taršą 63</w:t>
            </w:r>
            <w:r w:rsidR="009E0512"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lyginant su 2005 m.) sąlygoja tai, kad Lietuvos pramonei per artimiausius 10 metų reikės žymiai sumažinti išmetamų teršalų kiekius (arba pirkti papildomus leidimus). Paminėtina, kad laipsniškas nemokamų ATL ir CO</w:t>
            </w:r>
            <w:r w:rsidRPr="00B44B19">
              <w:rPr>
                <w:rFonts w:ascii="Times New Roman" w:eastAsia="Times New Roman" w:hAnsi="Times New Roman" w:cs="Times New Roman"/>
                <w:bCs/>
                <w:vertAlign w:val="subscript"/>
              </w:rPr>
              <w:t>2</w:t>
            </w:r>
            <w:r w:rsidRPr="00B44B19">
              <w:rPr>
                <w:rFonts w:ascii="Times New Roman" w:eastAsia="Times New Roman" w:hAnsi="Times New Roman" w:cs="Times New Roman"/>
                <w:bCs/>
              </w:rPr>
              <w:t xml:space="preserve"> kainų padidėjimas kiekvienai iš labiausiai teršiančių įmonių lems dideles papildomas finansines išlaidas ir ženkliai brangins jų teikiamų prekių ar paslaugų kaštus. Dėl šios priežasties išankstinės, laipsniškos ir savalaikės išmetamų teršalų kiekio mažinimo priemonės bus ne tik vis labiau reikalingos klimato atžvilgiu, tačiau jos dar turės būti ir finansiškai patrauklios įmonėms, kad vykdant tvarią verslo plėtrą, modernizaciją ar transformaciją būtų išlaikomos darbo vietos ir konkurencingumas.</w:t>
            </w:r>
          </w:p>
          <w:p w14:paraId="6339BE7D" w14:textId="62FD429C"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Perėjimas prie neutralios klimatui ekonomikos bus iššūkis visai valstybei, tačiau Kauno, Šiaulių ir Telšių regionai, o ypač Jonavos, Akmenės ir Mažeikių rajonų savivaldybės, susidurs su didesne transformacijos rizika, nes jų ekonominės struktūros istoriškai tapo priklausomos nuo vienos didelės įmonės </w:t>
            </w:r>
            <w:r w:rsidR="006B795D" w:rsidRPr="00B44B19">
              <w:rPr>
                <w:rFonts w:ascii="Times New Roman" w:eastAsia="Times New Roman" w:hAnsi="Times New Roman" w:cs="Times New Roman"/>
                <w:bCs/>
              </w:rPr>
              <w:t>(</w:t>
            </w:r>
            <w:r w:rsidRPr="00B44B19">
              <w:rPr>
                <w:rFonts w:ascii="Times New Roman" w:eastAsia="Times New Roman" w:hAnsi="Times New Roman" w:cs="Times New Roman"/>
                <w:bCs/>
              </w:rPr>
              <w:t>AB „Achema“, AB „Akmenės cementas“, AB „Orlen Lietuva“), kurios kartu 2021 m. sugeneravo apie 85</w:t>
            </w:r>
            <w:r w:rsidR="006B795D"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xml:space="preserve">% visų ES ATLPS dalyvaujančių pramonės sektorių ŠESD išmetimų. Šios įmonės priklauso ES ATLPS ir jeigu jos nesugebės prisitaikyti prie klimatui neutralios ekonomikos, tai jos neišvengiamai patirs ekonominius ir darbo vietų nuostolius, kurie mažins sukuriamą bendrą pridėtinę vertę savivaldybėje ir visame regione.  </w:t>
            </w:r>
          </w:p>
          <w:p w14:paraId="394DAB0F" w14:textId="4D09EB6F"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Užimtumo duomenys rodo, kad visuose trijuose taršiausiuose Lietuvos pramonės subjektuose dirba nemaža dalis regioninės darbo jėgos. </w:t>
            </w:r>
            <w:r w:rsidR="0019116C" w:rsidRPr="00B44B19">
              <w:rPr>
                <w:rFonts w:ascii="Times New Roman" w:eastAsia="Times New Roman" w:hAnsi="Times New Roman" w:cs="Times New Roman"/>
                <w:bCs/>
              </w:rPr>
              <w:t>Kauno, Šiaulių ir Telšių apskr. veikiančiose didelėse įmonės (AB „Achema“, AB „Akmenės cementas“, AB „Orlen Lietuva“) tiesiogiai dirba apie 0,4-2</w:t>
            </w:r>
            <w:r w:rsidR="006B795D" w:rsidRPr="00B44B19">
              <w:rPr>
                <w:rFonts w:ascii="Times New Roman" w:eastAsia="Times New Roman" w:hAnsi="Times New Roman" w:cs="Times New Roman"/>
                <w:bCs/>
              </w:rPr>
              <w:t xml:space="preserve"> </w:t>
            </w:r>
            <w:r w:rsidR="0019116C" w:rsidRPr="00B44B19">
              <w:rPr>
                <w:rFonts w:ascii="Times New Roman" w:eastAsia="Times New Roman" w:hAnsi="Times New Roman" w:cs="Times New Roman"/>
                <w:bCs/>
              </w:rPr>
              <w:t>%, netiesiogiai apie 1-11,2</w:t>
            </w:r>
            <w:r w:rsidR="006B795D" w:rsidRPr="00B44B19">
              <w:rPr>
                <w:rFonts w:ascii="Times New Roman" w:eastAsia="Times New Roman" w:hAnsi="Times New Roman" w:cs="Times New Roman"/>
                <w:bCs/>
              </w:rPr>
              <w:t xml:space="preserve"> </w:t>
            </w:r>
            <w:r w:rsidR="0019116C" w:rsidRPr="00B44B19">
              <w:rPr>
                <w:rFonts w:ascii="Times New Roman" w:eastAsia="Times New Roman" w:hAnsi="Times New Roman" w:cs="Times New Roman"/>
                <w:bCs/>
              </w:rPr>
              <w:t xml:space="preserve">% regioninės darbo jėgos. </w:t>
            </w:r>
            <w:r w:rsidRPr="00B44B19">
              <w:rPr>
                <w:rFonts w:ascii="Times New Roman" w:eastAsia="Times New Roman" w:hAnsi="Times New Roman" w:cs="Times New Roman"/>
                <w:bCs/>
              </w:rPr>
              <w:t>Jonavos r., Akmenės r. ir Mažeikių r. savivaldybių lygmeniu tiesioginis užimtumas yra 8–14</w:t>
            </w:r>
            <w:r w:rsidR="006B795D"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tačiau netiesioginis užimtumas yra daug didesnis – kiekvienoje savivaldybėje apie 40–60</w:t>
            </w:r>
            <w:r w:rsidR="006B795D" w:rsidRPr="00B44B19">
              <w:rPr>
                <w:rFonts w:ascii="Times New Roman" w:eastAsia="Times New Roman" w:hAnsi="Times New Roman" w:cs="Times New Roman"/>
                <w:bCs/>
              </w:rPr>
              <w:t xml:space="preserve"> </w:t>
            </w:r>
            <w:r w:rsidRPr="00B44B19">
              <w:rPr>
                <w:rFonts w:ascii="Times New Roman" w:eastAsia="Times New Roman" w:hAnsi="Times New Roman" w:cs="Times New Roman"/>
                <w:bCs/>
              </w:rPr>
              <w:t>% visų darbo vietų yra susijusios su minėtų didelių įmonių veikla.</w:t>
            </w:r>
          </w:p>
          <w:p w14:paraId="73A83CA2" w14:textId="28F13437"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Kadangi taršiausios pramonės įmonės aiškiai deklaruoja savo ketinimus transformuotis, pagalba </w:t>
            </w:r>
            <w:r w:rsidR="00B72222" w:rsidRPr="00B44B19">
              <w:rPr>
                <w:rFonts w:ascii="Times New Roman" w:eastAsia="Times New Roman" w:hAnsi="Times New Roman" w:cs="Times New Roman"/>
                <w:bCs/>
              </w:rPr>
              <w:t xml:space="preserve">ES ATLPS nedalyvaujančioms pramonės įmonėms </w:t>
            </w:r>
            <w:r w:rsidRPr="00B44B19">
              <w:rPr>
                <w:rFonts w:ascii="Times New Roman" w:eastAsia="Times New Roman" w:hAnsi="Times New Roman" w:cs="Times New Roman"/>
                <w:bCs/>
              </w:rPr>
              <w:t>persitvarkyti (dekarbonizuotis) yra geriausias būdas išsaugoti aplinkos, socialinę ir ekonominę gerovę labiausiai paveiktose teritorijose. Lygiagrečiai būtina didinti labiausiai veikiamų regionų ir jose esančių savivaldybių atsparumą, kuriant naujas tvarias darbo vietas bei investuojant į žmogiškąjį kapitalą, jog ilguoju laikotarpiu mažėtų regiono priklausomybė nuo vienos įmonės ir būtų išsaugomas žmogiškųjų išteklių potencialas.</w:t>
            </w:r>
          </w:p>
          <w:p w14:paraId="182AF90E" w14:textId="77777777"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TTPP identifikuotos</w:t>
            </w:r>
            <w:r w:rsidRPr="00B44B19">
              <w:rPr>
                <w:rFonts w:ascii="Times New Roman" w:eastAsia="Times New Roman" w:hAnsi="Times New Roman" w:cs="Times New Roman"/>
                <w:b/>
              </w:rPr>
              <w:t xml:space="preserve"> prioritetinės veiksmų rūšys</w:t>
            </w:r>
            <w:r w:rsidRPr="00B44B19">
              <w:rPr>
                <w:rFonts w:ascii="Times New Roman" w:eastAsia="Times New Roman" w:hAnsi="Times New Roman" w:cs="Times New Roman"/>
                <w:bCs/>
              </w:rPr>
              <w:t>, siekiant tvaraus taršiausių Lietuvos regionų perėjimo prie klimatui neutralios ekonomikos:</w:t>
            </w:r>
          </w:p>
          <w:p w14:paraId="43A15EA2" w14:textId="39AABABB"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lastRenderedPageBreak/>
              <w:t xml:space="preserve">ES ATLPS dalyvaujančių pramonės įmonių transformacija (dekarbonizavimas). </w:t>
            </w:r>
            <w:r w:rsidRPr="00B44B19">
              <w:rPr>
                <w:rFonts w:ascii="Times New Roman" w:eastAsia="Times New Roman" w:hAnsi="Times New Roman" w:cs="Times New Roman"/>
                <w:bCs/>
              </w:rPr>
              <w:t xml:space="preserve">Siekiant sudaryti ilgalaikes sąlygas visų ES ATLPS pramonės įmonių pertvarkai, bus </w:t>
            </w:r>
            <w:r w:rsidRPr="00B44B19">
              <w:rPr>
                <w:rFonts w:ascii="Times New Roman" w:eastAsia="Times New Roman" w:hAnsi="Times New Roman" w:cs="Times New Roman"/>
                <w:b/>
              </w:rPr>
              <w:t>nustatyti būtini parengiamieji veiksmai</w:t>
            </w:r>
            <w:r w:rsidRPr="00B44B19">
              <w:rPr>
                <w:rFonts w:ascii="Times New Roman" w:eastAsia="Times New Roman" w:hAnsi="Times New Roman" w:cs="Times New Roman"/>
                <w:bCs/>
              </w:rPr>
              <w:t xml:space="preserve"> (inicijuota </w:t>
            </w:r>
            <w:r w:rsidRPr="00B44B19">
              <w:rPr>
                <w:rFonts w:ascii="Times New Roman" w:eastAsia="Times New Roman" w:hAnsi="Times New Roman" w:cs="Times New Roman"/>
                <w:b/>
              </w:rPr>
              <w:t>galimybių studija</w:t>
            </w:r>
            <w:r w:rsidRPr="00B44B19">
              <w:rPr>
                <w:rFonts w:ascii="Times New Roman" w:eastAsia="Times New Roman" w:hAnsi="Times New Roman" w:cs="Times New Roman"/>
                <w:bCs/>
              </w:rPr>
              <w:t>), kurių reikėtų imtis nacionaliniu lygiu, norint sudaryti sąlygas ateityje užtikrinti CCS ir CCU, vandenilio ir kitų inovatyvių technologijų panaudojimo plėtrą Lietuvos pramonės įmonėse, veikiančiose labiausiai neigiamai paveiktose teritorijose.</w:t>
            </w:r>
          </w:p>
          <w:p w14:paraId="4B6C3761" w14:textId="1FCF1073" w:rsidR="00644CB8" w:rsidRPr="00B44B19" w:rsidRDefault="00644CB8"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Veiksmų rūšys, skirtos pramonės įmonių vystymui, siekiant jų transformacijos, veiklos įvairinimo, modernizavimo ir pertvarkymo:</w:t>
            </w:r>
          </w:p>
          <w:p w14:paraId="20B850CF" w14:textId="0DBD8BF1" w:rsidR="00051BD4" w:rsidRPr="00B44B19" w:rsidRDefault="00051BD4" w:rsidP="00644CB8">
            <w:pPr>
              <w:pStyle w:val="Sraopastraipa"/>
              <w:numPr>
                <w:ilvl w:val="0"/>
                <w:numId w:val="22"/>
              </w:num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t>Alternatyvaus kuro diegimas pramonės įmonėse</w:t>
            </w:r>
            <w:r w:rsidRPr="00B44B19">
              <w:rPr>
                <w:rFonts w:ascii="Times New Roman" w:eastAsia="Times New Roman" w:hAnsi="Times New Roman" w:cs="Times New Roman"/>
                <w:bCs/>
              </w:rPr>
              <w:t xml:space="preserve">. Siekiant sėkmingos pramonės įmonių transformacijos ir priklausomybės nuo iškastinio kuro naudojimo pramonės procesuose mažinimo, numatomos investicijos </w:t>
            </w:r>
            <w:bookmarkStart w:id="74" w:name="_Hlk116379814"/>
            <w:r w:rsidRPr="00B44B19">
              <w:rPr>
                <w:rFonts w:ascii="Times New Roman" w:eastAsia="Times New Roman" w:hAnsi="Times New Roman" w:cs="Times New Roman"/>
                <w:bCs/>
              </w:rPr>
              <w:t xml:space="preserve">siekiant alternatyvaus kuro diegimo </w:t>
            </w:r>
            <w:r w:rsidRPr="00B44B19">
              <w:rPr>
                <w:rFonts w:ascii="Times New Roman" w:hAnsi="Times New Roman" w:cs="Times New Roman"/>
              </w:rPr>
              <w:t>pvz., iškastinio kuro katilų keitimas į atsinaujinančius energijos išteklių šilumos siurblius (oras-vanduo, gruntas-vanduo, vanduo-vanduo, oras-oras), iškastinio kuro, naudojamo gamybos procese, keitimas AEI ir (ar) elektra ir pan.</w:t>
            </w:r>
            <w:r w:rsidRPr="00B44B19">
              <w:rPr>
                <w:rFonts w:ascii="Times New Roman" w:eastAsia="Times New Roman" w:hAnsi="Times New Roman" w:cs="Times New Roman"/>
                <w:bCs/>
              </w:rPr>
              <w:t>, ES ATLPS nedalyvaujančiose pramonės įmonėse, veikiančiose Kauno, Šiaulių ir Telšių regionuose</w:t>
            </w:r>
            <w:bookmarkEnd w:id="74"/>
            <w:r w:rsidRPr="00B44B19">
              <w:rPr>
                <w:rFonts w:ascii="Times New Roman" w:eastAsia="Times New Roman" w:hAnsi="Times New Roman" w:cs="Times New Roman"/>
                <w:bCs/>
              </w:rPr>
              <w:t xml:space="preserve">. Ši veikla taip pat </w:t>
            </w:r>
            <w:r w:rsidRPr="00B44B19">
              <w:rPr>
                <w:rFonts w:ascii="Times New Roman" w:hAnsi="Times New Roman" w:cs="Times New Roman"/>
              </w:rPr>
              <w:t>ženkliai prisidėtų prie iškastinio kuro vartojimo mažinimo, taip pat turėtų įtakos ir ŠESD mažėjimui regione.</w:t>
            </w:r>
          </w:p>
          <w:p w14:paraId="11185EF6" w14:textId="77777777" w:rsidR="00644CB8" w:rsidRPr="00B44B19" w:rsidRDefault="00644CB8" w:rsidP="00644CB8">
            <w:pPr>
              <w:pStyle w:val="Sraopastraipa"/>
              <w:numPr>
                <w:ilvl w:val="0"/>
                <w:numId w:val="22"/>
              </w:num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EVE didinimas pramonės įmonėse: bus skatinama atlikti EVE auditus pramonės įmonėse. Pagal juos, numatoma investuoti į EVE didinimą ir jos intensyvumo mažinimą, sudarant sąlygas pramonės įmonėms, veikiančioms Kauno, Šiaulių ir Telšių regionuose, investuoti į naujausios ir aplinkai palankios įrangos ir technologinių sprendimų pritaikymą gamybos procesuose, užtikrinant šių gamybos procesų tęstinumą, t. y. reikiamos technologinės įrangos ir turimų technologinių procesų infrastruktūros atnaujinimą.</w:t>
            </w:r>
          </w:p>
          <w:p w14:paraId="61722DD4" w14:textId="5D8BBC83" w:rsidR="00644CB8" w:rsidRPr="00B44B19" w:rsidRDefault="00644CB8" w:rsidP="00BE32EE">
            <w:pPr>
              <w:pStyle w:val="Sraopastraipa"/>
              <w:numPr>
                <w:ilvl w:val="0"/>
                <w:numId w:val="22"/>
              </w:num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AEI diegimo pramonės įmonėse skatinimas: siekiant paskatinti pramonės įmones didinti AEI vartojimą ir tokiu būdu prisidėti prie ŠESD mažinimo, remiantis EVE audito ataskaitomis, bus teikiamos investicijos AEI naudojančių energijos gamybos pajėgumų įrengimams, naujų AEI efektyvesnio panaudojimo technologijų kūrimui ir diegimui pramonės įmonėse, veikiančiose Kauno, Šiaulių ir Telšių regionuose, siekiant naudoti energiją pačių įmonių vidiniams poreikiams tenkinti, sudarant galimybę perteklinę energiją tiekti kitoms pramonės įmonėms ar perduoti į centralizuotus energetinius tinklus.</w:t>
            </w:r>
          </w:p>
          <w:p w14:paraId="5A00D483" w14:textId="77777777"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Siekiant </w:t>
            </w:r>
            <w:r w:rsidRPr="00B44B19">
              <w:rPr>
                <w:rFonts w:ascii="Times New Roman" w:eastAsia="Times New Roman" w:hAnsi="Times New Roman" w:cs="Times New Roman"/>
                <w:b/>
              </w:rPr>
              <w:t>pagerinti sąlygas ir vietos ekosistemą užsienio bei vietos investuotojams</w:t>
            </w:r>
            <w:r w:rsidRPr="00B44B19">
              <w:rPr>
                <w:rFonts w:ascii="Times New Roman" w:eastAsia="Times New Roman" w:hAnsi="Times New Roman" w:cs="Times New Roman"/>
                <w:bCs/>
              </w:rPr>
              <w:t>,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6CE59215" w14:textId="06B95156"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Siekiant užtikrinti alternatyvių tvarių darbo vietų</w:t>
            </w:r>
            <w:r w:rsidRPr="00B44B19">
              <w:rPr>
                <w:rStyle w:val="Puslapioinaosnuoroda"/>
                <w:rFonts w:ascii="Times New Roman" w:eastAsia="Times New Roman" w:hAnsi="Times New Roman" w:cs="Times New Roman"/>
                <w:bCs/>
              </w:rPr>
              <w:footnoteReference w:id="3"/>
            </w:r>
            <w:r w:rsidRPr="00B44B19">
              <w:rPr>
                <w:rFonts w:ascii="Times New Roman" w:eastAsia="Times New Roman" w:hAnsi="Times New Roman" w:cs="Times New Roman"/>
                <w:bCs/>
              </w:rPr>
              <w:t xml:space="preserve"> kūrimą, sudarant palankias sąlygas veikti vietos ir užsienio investuotojams, bus skatinamas</w:t>
            </w:r>
            <w:r w:rsidRPr="00B44B19">
              <w:rPr>
                <w:rFonts w:ascii="Times New Roman" w:hAnsi="Times New Roman" w:cs="Times New Roman"/>
                <w:b/>
              </w:rPr>
              <w:t xml:space="preserve"> tvarių investicijų</w:t>
            </w:r>
            <w:r w:rsidRPr="00B44B19">
              <w:rPr>
                <w:rFonts w:ascii="Times New Roman" w:eastAsia="Times New Roman" w:hAnsi="Times New Roman" w:cs="Times New Roman"/>
                <w:b/>
              </w:rPr>
              <w:t xml:space="preserve"> </w:t>
            </w:r>
            <w:r w:rsidRPr="00B44B19">
              <w:rPr>
                <w:rFonts w:ascii="Times New Roman" w:hAnsi="Times New Roman" w:cs="Times New Roman"/>
              </w:rPr>
              <w:t xml:space="preserve">kaip nustatyta </w:t>
            </w:r>
            <w:hyperlink r:id="rId15" w:history="1">
              <w:r w:rsidRPr="00B44B19">
                <w:rPr>
                  <w:rStyle w:val="Hipersaitas"/>
                  <w:rFonts w:ascii="Times New Roman" w:hAnsi="Times New Roman" w:cs="Times New Roman"/>
                </w:rPr>
                <w:t>Reglamento (ES) 2020/852</w:t>
              </w:r>
            </w:hyperlink>
            <w:r w:rsidRPr="00B44B19">
              <w:rPr>
                <w:rFonts w:ascii="Times New Roman" w:hAnsi="Times New Roman" w:cs="Times New Roman"/>
              </w:rPr>
              <w:t xml:space="preserve"> 2 </w:t>
            </w:r>
            <w:r w:rsidR="009E0512" w:rsidRPr="00B44B19">
              <w:rPr>
                <w:rFonts w:ascii="Times New Roman" w:hAnsi="Times New Roman" w:cs="Times New Roman"/>
              </w:rPr>
              <w:t>str.</w:t>
            </w:r>
            <w:r w:rsidRPr="00B44B19">
              <w:rPr>
                <w:rFonts w:ascii="Times New Roman" w:hAnsi="Times New Roman" w:cs="Times New Roman"/>
                <w:b/>
              </w:rPr>
              <w:t xml:space="preserve"> pritraukim</w:t>
            </w:r>
            <w:r w:rsidRPr="00B44B19">
              <w:rPr>
                <w:rFonts w:ascii="Times New Roman" w:eastAsia="Times New Roman" w:hAnsi="Times New Roman" w:cs="Times New Roman"/>
                <w:b/>
              </w:rPr>
              <w:t>as (produktyvios investicijos)</w:t>
            </w:r>
            <w:r w:rsidRPr="00B44B19">
              <w:rPr>
                <w:rFonts w:ascii="Times New Roman" w:eastAsia="Times New Roman" w:hAnsi="Times New Roman" w:cs="Times New Roman"/>
                <w:bCs/>
              </w:rPr>
              <w:t xml:space="preserve">, investuojant į MVĮ kūrimąsi ir plėtrą labiausiai dėl perėjimo prie klimatui neutralios ekonomikos nukentėsiančiose </w:t>
            </w:r>
            <w:r w:rsidR="0019116C" w:rsidRPr="00B44B19">
              <w:rPr>
                <w:rFonts w:ascii="Times New Roman" w:eastAsia="Times New Roman" w:hAnsi="Times New Roman" w:cs="Times New Roman"/>
                <w:bCs/>
              </w:rPr>
              <w:t xml:space="preserve">regionuose (Kauno, Šiaulių, Telšių apskr.), o ypatingai jose esančiose </w:t>
            </w:r>
            <w:r w:rsidRPr="00B44B19">
              <w:rPr>
                <w:rFonts w:ascii="Times New Roman" w:eastAsia="Times New Roman" w:hAnsi="Times New Roman" w:cs="Times New Roman"/>
                <w:bCs/>
              </w:rPr>
              <w:t xml:space="preserve">savivaldybėse (Jonavos r., Akmenės r., Mažeikių r.). Taip pat bus sudarytos sąlygos regionuose veikiančių </w:t>
            </w:r>
            <w:r w:rsidRPr="00B44B19">
              <w:rPr>
                <w:rFonts w:ascii="Times New Roman" w:eastAsia="Times New Roman" w:hAnsi="Times New Roman" w:cs="Times New Roman"/>
                <w:b/>
              </w:rPr>
              <w:t>MVĮ (investuotojų) darbuotojų perkvalifikavimui</w:t>
            </w:r>
            <w:r w:rsidRPr="00B44B19">
              <w:rPr>
                <w:rFonts w:ascii="Times New Roman" w:eastAsia="Times New Roman" w:hAnsi="Times New Roman" w:cs="Times New Roman"/>
                <w:bCs/>
              </w:rPr>
              <w:t>, atsižvelgiant į vietos darbo rinkos ir tvarių darbo vietų kūrimo poreikius regionuose (</w:t>
            </w:r>
            <w:r w:rsidR="0019116C" w:rsidRPr="00B44B19">
              <w:rPr>
                <w:rFonts w:ascii="Times New Roman" w:eastAsia="Times New Roman" w:hAnsi="Times New Roman" w:cs="Times New Roman"/>
                <w:bCs/>
              </w:rPr>
              <w:t>Kauno, Šiaulių, Telšių apskr.</w:t>
            </w:r>
            <w:r w:rsidRPr="00B44B19">
              <w:rPr>
                <w:rFonts w:ascii="Times New Roman" w:eastAsia="Times New Roman" w:hAnsi="Times New Roman" w:cs="Times New Roman"/>
                <w:bCs/>
              </w:rPr>
              <w:t>).</w:t>
            </w:r>
            <w:r w:rsidR="00644CB8" w:rsidRPr="00B44B19">
              <w:rPr>
                <w:rFonts w:ascii="Times New Roman" w:eastAsia="Times New Roman" w:hAnsi="Times New Roman" w:cs="Times New Roman"/>
                <w:bCs/>
              </w:rPr>
              <w:t xml:space="preserve"> Ypatingą dėmesį siūloma skirti Kauno regionui ir Jonavos r. sav.</w:t>
            </w:r>
            <w:r w:rsidR="00DC2CB2" w:rsidRPr="00B44B19">
              <w:rPr>
                <w:rFonts w:ascii="Times New Roman" w:hAnsi="Times New Roman" w:cs="Times New Roman"/>
              </w:rPr>
              <w:t xml:space="preserve"> </w:t>
            </w:r>
            <w:r w:rsidR="00DC2CB2" w:rsidRPr="00B44B19">
              <w:rPr>
                <w:rFonts w:ascii="Times New Roman" w:eastAsia="Times New Roman" w:hAnsi="Times New Roman" w:cs="Times New Roman"/>
                <w:bCs/>
              </w:rPr>
              <w:t>bei sudaryti sąlygas didelių įmonių investicijoms</w:t>
            </w:r>
            <w:r w:rsidR="00644CB8" w:rsidRPr="00B44B19">
              <w:rPr>
                <w:rFonts w:ascii="Times New Roman" w:eastAsia="Times New Roman" w:hAnsi="Times New Roman" w:cs="Times New Roman"/>
                <w:bCs/>
              </w:rPr>
              <w:t xml:space="preserve"> dėl rizikų kylančių AB „Achemai“ nusprendus sustabdyti elektrolizės integravimo į amoniako agregatą projektą ir dekarbonizaciją vykdyti kitomis priemonėmis bei įvertinus tai, kad 78% su trąšų sektoriumi susijusių įmonių darbo jėgos yra sutelkta Jonavos r. sav., šioje veikloje prioritetą teikiant juridiniams asmenims, veikiantiems ar siekiantiems veikti Jonavos r. sav., taip pat siekiant sudaryti sąlygas konkurencingų inovatyvių produktų gamybai, prioritetą numatoma skirti STEP gamybai. Tuo atveju, jei investicijos bus skirtos STEP technologijų gamybai, atitinkamai bus investuojama į darbuotojų perkvalifikavimą bei STEP technologijų gamybai reikalingų įgūdžių suteikimą.</w:t>
            </w:r>
          </w:p>
          <w:p w14:paraId="3E22306E" w14:textId="77777777" w:rsidR="00051BD4" w:rsidRPr="00B44B19" w:rsidRDefault="00051BD4" w:rsidP="00051BD4">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Uždavinio veiklos (veiksmų rūšys) įvertintos vadovaujantis EGADP NRŽ gairėmis, todėl laikoma, kad atitinka NRŽ principą.</w:t>
            </w:r>
          </w:p>
        </w:tc>
      </w:tr>
    </w:tbl>
    <w:p w14:paraId="271D8B1C" w14:textId="77777777" w:rsidR="00051BD4" w:rsidRPr="00B44B19" w:rsidRDefault="00051BD4" w:rsidP="00051BD4">
      <w:pPr>
        <w:tabs>
          <w:tab w:val="center" w:pos="4819"/>
          <w:tab w:val="right" w:pos="9638"/>
        </w:tabs>
        <w:spacing w:before="120" w:after="120"/>
        <w:rPr>
          <w:rFonts w:cs="Times New Roman"/>
          <w:b/>
          <w:bCs/>
          <w:sz w:val="22"/>
        </w:rPr>
      </w:pPr>
      <w:r w:rsidRPr="00B44B19">
        <w:rPr>
          <w:rFonts w:cs="Times New Roman"/>
          <w:b/>
          <w:i/>
          <w:noProof/>
          <w:color w:val="1F497D" w:themeColor="text2"/>
          <w:lang w:eastAsia="lt-LT" w:bidi="lt-LT"/>
        </w:rPr>
        <w:lastRenderedPageBreak/>
        <w:t xml:space="preserve">Pagrindinės tikslinės grupės </w:t>
      </w:r>
    </w:p>
    <w:tbl>
      <w:tblPr>
        <w:tblStyle w:val="Lentelstinklelis2"/>
        <w:tblW w:w="0" w:type="auto"/>
        <w:tblLook w:val="04A0" w:firstRow="1" w:lastRow="0" w:firstColumn="1" w:lastColumn="0" w:noHBand="0" w:noVBand="1"/>
      </w:tblPr>
      <w:tblGrid>
        <w:gridCol w:w="9628"/>
      </w:tblGrid>
      <w:tr w:rsidR="00051BD4" w:rsidRPr="00B44B19" w14:paraId="30EF19C0" w14:textId="77777777" w:rsidTr="006B52BC">
        <w:tc>
          <w:tcPr>
            <w:tcW w:w="9854" w:type="dxa"/>
          </w:tcPr>
          <w:p w14:paraId="336E7E46" w14:textId="6A0B224B" w:rsidR="00051BD4" w:rsidRPr="00B44B19" w:rsidRDefault="00051BD4" w:rsidP="00051BD4">
            <w:pPr>
              <w:pStyle w:val="Default"/>
              <w:spacing w:before="60" w:after="60"/>
              <w:jc w:val="both"/>
              <w:rPr>
                <w:rFonts w:ascii="Times New Roman" w:hAnsi="Times New Roman"/>
                <w:highlight w:val="yellow"/>
              </w:rPr>
            </w:pPr>
            <w:r w:rsidRPr="00B44B19">
              <w:rPr>
                <w:rFonts w:ascii="Times New Roman" w:hAnsi="Times New Roman"/>
                <w:noProof/>
                <w:color w:val="auto"/>
                <w:szCs w:val="22"/>
                <w:lang w:eastAsia="lt-LT" w:bidi="lt-LT"/>
              </w:rPr>
              <w:lastRenderedPageBreak/>
              <w:t xml:space="preserve">Įmonės; </w:t>
            </w:r>
            <w:r w:rsidRPr="00B44B19">
              <w:rPr>
                <w:rFonts w:ascii="Times New Roman" w:hAnsi="Times New Roman"/>
                <w:noProof/>
                <w:szCs w:val="22"/>
                <w:lang w:eastAsia="lt-LT" w:bidi="lt-LT"/>
              </w:rPr>
              <w:t>Akmenės raj., Jonavos raj., Mažeikių raj. savivaldybių administracijos; įmonių darbuotojai, kuriems suteikiamos perkvalifikavimo paslaugos.</w:t>
            </w:r>
          </w:p>
        </w:tc>
      </w:tr>
    </w:tbl>
    <w:p w14:paraId="5FBB97D1" w14:textId="77777777" w:rsidR="00051BD4" w:rsidRPr="00B44B19" w:rsidRDefault="00051BD4" w:rsidP="00051BD4">
      <w:pPr>
        <w:tabs>
          <w:tab w:val="center" w:pos="4819"/>
          <w:tab w:val="right" w:pos="9638"/>
        </w:tabs>
        <w:spacing w:before="120" w:after="120"/>
        <w:rPr>
          <w:rFonts w:cs="Times New Roman"/>
          <w:b/>
          <w:bCs/>
          <w:iCs/>
          <w:noProof/>
          <w:sz w:val="22"/>
          <w:lang w:eastAsia="lt-LT" w:bidi="lt-LT"/>
        </w:rPr>
      </w:pPr>
      <w:r w:rsidRPr="00B44B19">
        <w:rPr>
          <w:rFonts w:cs="Times New Roman"/>
          <w:b/>
          <w:i/>
          <w:noProof/>
          <w:color w:val="1F497D" w:themeColor="text2"/>
          <w:lang w:eastAsia="lt-LT" w:bidi="lt-LT"/>
        </w:rPr>
        <w:t>Veiksmai, užtikrinantys lygybę, įtrauktį ir nediskriminavimą</w:t>
      </w:r>
    </w:p>
    <w:tbl>
      <w:tblPr>
        <w:tblStyle w:val="Lentelstinklelis"/>
        <w:tblW w:w="0" w:type="auto"/>
        <w:tblLook w:val="04A0" w:firstRow="1" w:lastRow="0" w:firstColumn="1" w:lastColumn="0" w:noHBand="0" w:noVBand="1"/>
      </w:tblPr>
      <w:tblGrid>
        <w:gridCol w:w="9628"/>
      </w:tblGrid>
      <w:tr w:rsidR="00051BD4" w:rsidRPr="00B44B19" w14:paraId="53EA6CB0" w14:textId="77777777" w:rsidTr="006B52BC">
        <w:tc>
          <w:tcPr>
            <w:tcW w:w="9854" w:type="dxa"/>
          </w:tcPr>
          <w:p w14:paraId="3ABC0830" w14:textId="77777777" w:rsidR="00051BD4" w:rsidRPr="00B44B19" w:rsidRDefault="00051BD4" w:rsidP="00051BD4">
            <w:pPr>
              <w:pStyle w:val="Stilius1"/>
              <w:spacing w:before="60" w:after="60"/>
              <w:rPr>
                <w:rFonts w:cs="Times New Roman"/>
                <w:b w:val="0"/>
                <w:i w:val="0"/>
                <w:color w:val="auto"/>
                <w:sz w:val="22"/>
                <w:lang w:bidi="lt-LT"/>
              </w:rPr>
            </w:pPr>
            <w:r w:rsidRPr="00B44B19">
              <w:rPr>
                <w:rFonts w:cs="Times New Roman"/>
                <w:b w:val="0"/>
                <w:i w:val="0"/>
                <w:color w:val="auto"/>
                <w:sz w:val="22"/>
                <w:lang w:bidi="lt-LT"/>
              </w:rPr>
              <w:t>Vykdant numatytas veiklas bus siekiama užtikrinti lygybės, įtraukties ir nediskriminavimo principus, taip pat bus siekiama užtikrinti lygias moterų, vyrų, specialiųjų poreikių ar negalia turinčių asmenų galimybes persikvalifikuoti, o šios veiklos ir joms reikalinga mokomoji medžiaga bus organizuojama pagal asmens individualius poreikius pritaikytoje tiek skaitmeninėje, tiek fizinėje aplinkoje.</w:t>
            </w:r>
          </w:p>
          <w:p w14:paraId="5A92FC6B" w14:textId="77777777" w:rsidR="00051BD4" w:rsidRPr="00B44B19" w:rsidRDefault="00051BD4" w:rsidP="00051BD4">
            <w:pPr>
              <w:pStyle w:val="Stilius1"/>
              <w:spacing w:before="60" w:after="60"/>
              <w:rPr>
                <w:rFonts w:cs="Times New Roman"/>
                <w:b w:val="0"/>
                <w:i w:val="0"/>
                <w:color w:val="auto"/>
                <w:sz w:val="22"/>
                <w:lang w:bidi="lt-LT"/>
              </w:rPr>
            </w:pPr>
            <w:r w:rsidRPr="00B44B19">
              <w:rPr>
                <w:rFonts w:eastAsia="Calibri" w:cs="Times New Roman"/>
                <w:b w:val="0"/>
                <w:bCs/>
                <w:i w:val="0"/>
                <w:iCs/>
                <w:noProof/>
                <w:color w:val="auto"/>
                <w:sz w:val="22"/>
                <w:lang w:eastAsia="lt-LT" w:bidi="lt-LT"/>
              </w:rPr>
              <w:t>Kuriant ar plėtojant pramonines teritorijas bus taikomi universalaus dizaino principai.</w:t>
            </w:r>
          </w:p>
        </w:tc>
      </w:tr>
    </w:tbl>
    <w:p w14:paraId="63587147" w14:textId="77777777" w:rsidR="00051BD4" w:rsidRPr="00B44B19" w:rsidRDefault="00051BD4" w:rsidP="00051BD4">
      <w:pPr>
        <w:tabs>
          <w:tab w:val="center" w:pos="4819"/>
          <w:tab w:val="right" w:pos="9638"/>
        </w:tabs>
        <w:spacing w:before="120" w:after="120"/>
        <w:rPr>
          <w:rFonts w:cs="Times New Roman"/>
          <w:b/>
          <w:bCs/>
          <w:sz w:val="22"/>
        </w:rPr>
      </w:pPr>
      <w:r w:rsidRPr="00B44B19">
        <w:rPr>
          <w:rFonts w:cs="Times New Roman"/>
          <w:b/>
          <w:i/>
          <w:noProof/>
          <w:color w:val="1F497D" w:themeColor="text2"/>
          <w:lang w:eastAsia="lt-LT" w:bidi="lt-LT"/>
        </w:rPr>
        <w:t>Konkrečios tikslinės teritorijos, įskaitant planuojamą teritorinių priemonių naudojimą</w:t>
      </w:r>
    </w:p>
    <w:tbl>
      <w:tblPr>
        <w:tblStyle w:val="Lentelstinklelis2"/>
        <w:tblW w:w="0" w:type="auto"/>
        <w:tblLook w:val="04A0" w:firstRow="1" w:lastRow="0" w:firstColumn="1" w:lastColumn="0" w:noHBand="0" w:noVBand="1"/>
      </w:tblPr>
      <w:tblGrid>
        <w:gridCol w:w="9628"/>
      </w:tblGrid>
      <w:tr w:rsidR="00051BD4" w:rsidRPr="00B44B19" w14:paraId="0F351FAF" w14:textId="77777777" w:rsidTr="006B52BC">
        <w:tc>
          <w:tcPr>
            <w:tcW w:w="9854" w:type="dxa"/>
          </w:tcPr>
          <w:p w14:paraId="52FEACB9" w14:textId="77777777" w:rsidR="00051BD4" w:rsidRPr="00B44B19" w:rsidRDefault="00051BD4" w:rsidP="00051BD4">
            <w:pPr>
              <w:spacing w:before="60" w:after="60"/>
              <w:jc w:val="both"/>
              <w:rPr>
                <w:rFonts w:ascii="Times New Roman" w:hAnsi="Times New Roman" w:cs="Times New Roman"/>
                <w:iCs/>
                <w:spacing w:val="-4"/>
              </w:rPr>
            </w:pPr>
            <w:r w:rsidRPr="00B44B19">
              <w:rPr>
                <w:rFonts w:ascii="Times New Roman" w:hAnsi="Times New Roman" w:cs="Times New Roman"/>
                <w:iCs/>
                <w:spacing w:val="-4"/>
              </w:rPr>
              <w:t>Kauno, Šiaulių ir Telšių apskritys.</w:t>
            </w:r>
          </w:p>
        </w:tc>
      </w:tr>
    </w:tbl>
    <w:p w14:paraId="040D3453" w14:textId="77777777" w:rsidR="00051BD4" w:rsidRPr="00B44B19" w:rsidRDefault="00051BD4" w:rsidP="00051BD4">
      <w:pPr>
        <w:tabs>
          <w:tab w:val="center" w:pos="4819"/>
          <w:tab w:val="right" w:pos="9638"/>
        </w:tabs>
        <w:spacing w:before="120" w:after="120"/>
        <w:rPr>
          <w:rFonts w:cs="Times New Roman"/>
          <w:b/>
          <w:i/>
          <w:iCs/>
          <w:noProof/>
          <w:color w:val="1F497D" w:themeColor="text2"/>
          <w:szCs w:val="24"/>
          <w:lang w:eastAsia="lt-LT" w:bidi="lt-LT"/>
        </w:rPr>
      </w:pPr>
      <w:r w:rsidRPr="00B44B19">
        <w:rPr>
          <w:rFonts w:cs="Times New Roman"/>
          <w:b/>
          <w:i/>
          <w:noProof/>
          <w:color w:val="1F497D" w:themeColor="text2"/>
          <w:lang w:eastAsia="lt-LT" w:bidi="lt-LT"/>
        </w:rPr>
        <w:t>Tarpregioniniai, tarp sienų ir tarpvalstybiniai veiksmai</w:t>
      </w:r>
    </w:p>
    <w:tbl>
      <w:tblPr>
        <w:tblStyle w:val="Lentelstinklelis2"/>
        <w:tblW w:w="0" w:type="auto"/>
        <w:tblLook w:val="04A0" w:firstRow="1" w:lastRow="0" w:firstColumn="1" w:lastColumn="0" w:noHBand="0" w:noVBand="1"/>
      </w:tblPr>
      <w:tblGrid>
        <w:gridCol w:w="9628"/>
      </w:tblGrid>
      <w:tr w:rsidR="00051BD4" w:rsidRPr="00B44B19" w14:paraId="690973D9" w14:textId="77777777" w:rsidTr="006B52BC">
        <w:tc>
          <w:tcPr>
            <w:tcW w:w="9854" w:type="dxa"/>
          </w:tcPr>
          <w:p w14:paraId="099D0D07" w14:textId="77777777" w:rsidR="00051BD4" w:rsidRPr="00B44B19" w:rsidRDefault="00051BD4" w:rsidP="00051BD4">
            <w:pPr>
              <w:spacing w:before="60" w:after="60"/>
              <w:jc w:val="both"/>
              <w:rPr>
                <w:rFonts w:ascii="Times New Roman" w:hAnsi="Times New Roman" w:cs="Times New Roman"/>
                <w:highlight w:val="yellow"/>
              </w:rPr>
            </w:pPr>
            <w:r w:rsidRPr="00B44B19">
              <w:rPr>
                <w:rFonts w:ascii="Times New Roman" w:hAnsi="Times New Roman" w:cs="Times New Roman"/>
              </w:rPr>
              <w:t>Įgyvendinant veiklas numatoma sudaryti visas galimybes, jog būtų įgyvendinti tarptautinio ir tarpregioninio bendradarbiavimo projektai. Taip pat, numatoma prisidėti prie BJRS įgyvendinimo, intensyvinant bendradarbiavimą su kitų BJR šalių partneriais ir dalyvaujant bendruose projektuose, ypač susijusiuose su CCS ir CCU, vandenilio ir kitų inovatyvių technologijų panaudojimu pramonės įmonėse, siekiant Europos klimato teisės akte nustatytų klimato neutralumo tikslų.</w:t>
            </w:r>
          </w:p>
        </w:tc>
      </w:tr>
    </w:tbl>
    <w:p w14:paraId="2AAE2F6A" w14:textId="77777777" w:rsidR="00051BD4" w:rsidRPr="00B44B19" w:rsidRDefault="00051BD4" w:rsidP="00051BD4">
      <w:pPr>
        <w:tabs>
          <w:tab w:val="center" w:pos="4819"/>
          <w:tab w:val="right" w:pos="9638"/>
        </w:tabs>
        <w:spacing w:before="120" w:after="120"/>
        <w:rPr>
          <w:rFonts w:cs="Times New Roman"/>
          <w:b/>
          <w:bCs/>
          <w:sz w:val="22"/>
          <w:highlight w:val="yellow"/>
        </w:rPr>
      </w:pPr>
      <w:r w:rsidRPr="00B44B19">
        <w:rPr>
          <w:rFonts w:cs="Times New Roman"/>
          <w:b/>
          <w:i/>
          <w:noProof/>
          <w:color w:val="1F497D" w:themeColor="text2"/>
          <w:lang w:eastAsia="lt-LT" w:bidi="lt-LT"/>
        </w:rPr>
        <w:t>Planuojamas finansinių priemonių naudojimas</w:t>
      </w:r>
    </w:p>
    <w:tbl>
      <w:tblPr>
        <w:tblStyle w:val="Lentelstinklelis2"/>
        <w:tblW w:w="0" w:type="auto"/>
        <w:tblLook w:val="04A0" w:firstRow="1" w:lastRow="0" w:firstColumn="1" w:lastColumn="0" w:noHBand="0" w:noVBand="1"/>
      </w:tblPr>
      <w:tblGrid>
        <w:gridCol w:w="9628"/>
      </w:tblGrid>
      <w:tr w:rsidR="00051BD4" w:rsidRPr="00B44B19" w14:paraId="6175E2B5" w14:textId="77777777" w:rsidTr="006B52BC">
        <w:tc>
          <w:tcPr>
            <w:tcW w:w="9854" w:type="dxa"/>
          </w:tcPr>
          <w:p w14:paraId="775DB857" w14:textId="77777777" w:rsidR="00051BD4" w:rsidRPr="00B44B19" w:rsidRDefault="00051BD4" w:rsidP="006B52BC">
            <w:pPr>
              <w:spacing w:before="120" w:after="120"/>
              <w:jc w:val="both"/>
              <w:rPr>
                <w:rFonts w:ascii="Times New Roman" w:hAnsi="Times New Roman" w:cs="Times New Roman"/>
                <w:highlight w:val="yellow"/>
                <w:lang w:eastAsia="lt-LT"/>
              </w:rPr>
            </w:pPr>
            <w:r w:rsidRPr="00B44B19">
              <w:rPr>
                <w:rFonts w:ascii="Times New Roman" w:hAnsi="Times New Roman" w:cs="Times New Roman"/>
                <w:lang w:eastAsia="lt-LT"/>
              </w:rPr>
              <w:t>-</w:t>
            </w:r>
          </w:p>
        </w:tc>
      </w:tr>
    </w:tbl>
    <w:p w14:paraId="02871266" w14:textId="77777777" w:rsidR="00051BD4" w:rsidRPr="00B44B19" w:rsidRDefault="00051BD4" w:rsidP="00051BD4">
      <w:pPr>
        <w:tabs>
          <w:tab w:val="center" w:pos="4819"/>
          <w:tab w:val="right" w:pos="9638"/>
        </w:tabs>
        <w:spacing w:before="120" w:after="120"/>
        <w:rPr>
          <w:rFonts w:cs="Times New Roman"/>
          <w:b/>
          <w:i/>
          <w:noProof/>
          <w:color w:val="1F497D" w:themeColor="text2"/>
          <w:lang w:eastAsia="lt-LT" w:bidi="lt-LT"/>
        </w:rPr>
      </w:pPr>
      <w:r w:rsidRPr="00B44B19">
        <w:rPr>
          <w:rFonts w:cs="Times New Roman"/>
          <w:b/>
          <w:i/>
          <w:noProof/>
          <w:color w:val="1F497D" w:themeColor="text2"/>
          <w:lang w:eastAsia="lt-LT" w:bidi="lt-LT"/>
        </w:rPr>
        <w:t>Rodikliai</w:t>
      </w:r>
    </w:p>
    <w:p w14:paraId="12D981F6" w14:textId="77777777" w:rsidR="00051BD4" w:rsidRPr="00B44B19" w:rsidRDefault="00051BD4" w:rsidP="00051BD4">
      <w:pPr>
        <w:spacing w:before="240"/>
        <w:jc w:val="both"/>
        <w:rPr>
          <w:rFonts w:cs="Times New Roman"/>
          <w:b/>
        </w:rPr>
      </w:pPr>
      <w:r w:rsidRPr="00B44B19">
        <w:rPr>
          <w:rFonts w:cs="Times New Roman"/>
          <w:b/>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051BD4" w:rsidRPr="00B44B19" w14:paraId="035CAB9A" w14:textId="77777777" w:rsidTr="00767828">
        <w:trPr>
          <w:trHeight w:val="521"/>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5B88F8"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A27153"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E27830"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2986CF"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55D9C"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84FC2C"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CAD6F0"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A47C71"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46FCCB" w14:textId="77777777" w:rsidR="00051BD4" w:rsidRPr="00B44B19" w:rsidRDefault="00051BD4" w:rsidP="00051BD4">
            <w:pPr>
              <w:spacing w:after="0"/>
              <w:jc w:val="center"/>
              <w:rPr>
                <w:rFonts w:cs="Times New Roman"/>
                <w:b/>
                <w:noProof/>
                <w:sz w:val="16"/>
                <w:szCs w:val="16"/>
              </w:rPr>
            </w:pPr>
            <w:r w:rsidRPr="00B44B19">
              <w:rPr>
                <w:rFonts w:cs="Times New Roman"/>
                <w:b/>
                <w:noProof/>
                <w:sz w:val="16"/>
                <w:szCs w:val="16"/>
              </w:rPr>
              <w:t>Siektina reikšmė (2029 m.)</w:t>
            </w:r>
          </w:p>
        </w:tc>
      </w:tr>
      <w:tr w:rsidR="00051BD4" w:rsidRPr="00B44B19" w14:paraId="61055D3F" w14:textId="77777777" w:rsidTr="006B52BC">
        <w:trPr>
          <w:trHeight w:val="332"/>
        </w:trPr>
        <w:tc>
          <w:tcPr>
            <w:tcW w:w="497" w:type="pct"/>
            <w:vMerge w:val="restart"/>
            <w:tcBorders>
              <w:top w:val="single" w:sz="12" w:space="0" w:color="auto"/>
            </w:tcBorders>
          </w:tcPr>
          <w:p w14:paraId="152FDABC" w14:textId="77777777" w:rsidR="00051BD4" w:rsidRPr="00B44B19" w:rsidRDefault="00051BD4" w:rsidP="00767828">
            <w:pPr>
              <w:spacing w:after="0" w:line="240" w:lineRule="auto"/>
              <w:jc w:val="both"/>
              <w:rPr>
                <w:rFonts w:cs="Times New Roman"/>
                <w:noProof/>
                <w:sz w:val="16"/>
                <w:szCs w:val="16"/>
              </w:rPr>
            </w:pPr>
            <w:r w:rsidRPr="00B44B19">
              <w:rPr>
                <w:rFonts w:cs="Times New Roman"/>
                <w:noProof/>
                <w:sz w:val="16"/>
                <w:szCs w:val="16"/>
              </w:rPr>
              <w:t>9. Teisingos pertvarkos fondas</w:t>
            </w:r>
          </w:p>
        </w:tc>
        <w:tc>
          <w:tcPr>
            <w:tcW w:w="503" w:type="pct"/>
            <w:vMerge w:val="restart"/>
            <w:tcBorders>
              <w:top w:val="single" w:sz="12" w:space="0" w:color="auto"/>
            </w:tcBorders>
          </w:tcPr>
          <w:p w14:paraId="67E72314" w14:textId="77777777" w:rsidR="00051BD4" w:rsidRPr="00B44B19" w:rsidRDefault="00051BD4" w:rsidP="00767828">
            <w:pPr>
              <w:spacing w:after="0" w:line="240" w:lineRule="auto"/>
              <w:jc w:val="both"/>
              <w:rPr>
                <w:rFonts w:cs="Times New Roman"/>
                <w:noProof/>
                <w:sz w:val="16"/>
                <w:szCs w:val="16"/>
              </w:rPr>
            </w:pPr>
            <w:r w:rsidRPr="00B44B19">
              <w:rPr>
                <w:rFonts w:cs="Times New Roman"/>
                <w:noProof/>
                <w:sz w:val="16"/>
                <w:szCs w:val="16"/>
              </w:rPr>
              <w:t>9.1.</w:t>
            </w:r>
          </w:p>
        </w:tc>
        <w:tc>
          <w:tcPr>
            <w:tcW w:w="432" w:type="pct"/>
            <w:vMerge w:val="restart"/>
            <w:tcBorders>
              <w:top w:val="single" w:sz="12" w:space="0" w:color="auto"/>
            </w:tcBorders>
          </w:tcPr>
          <w:p w14:paraId="2939ACBB" w14:textId="77777777" w:rsidR="00051BD4" w:rsidRPr="00B44B19" w:rsidRDefault="00051BD4" w:rsidP="00767828">
            <w:pPr>
              <w:spacing w:after="0" w:line="240" w:lineRule="auto"/>
              <w:jc w:val="both"/>
              <w:rPr>
                <w:rFonts w:cs="Times New Roman"/>
                <w:noProof/>
                <w:sz w:val="16"/>
                <w:szCs w:val="16"/>
              </w:rPr>
            </w:pPr>
            <w:r w:rsidRPr="00B44B19">
              <w:rPr>
                <w:rFonts w:cs="Times New Roman"/>
                <w:noProof/>
                <w:sz w:val="16"/>
                <w:szCs w:val="16"/>
              </w:rPr>
              <w:t>TPF</w:t>
            </w:r>
          </w:p>
        </w:tc>
        <w:tc>
          <w:tcPr>
            <w:tcW w:w="502" w:type="pct"/>
            <w:vMerge w:val="restart"/>
            <w:tcBorders>
              <w:top w:val="single" w:sz="12" w:space="0" w:color="auto"/>
            </w:tcBorders>
          </w:tcPr>
          <w:p w14:paraId="24A43C14" w14:textId="77777777" w:rsidR="00051BD4" w:rsidRPr="00B44B19" w:rsidRDefault="00051BD4" w:rsidP="00767828">
            <w:pPr>
              <w:spacing w:after="0" w:line="240" w:lineRule="auto"/>
              <w:jc w:val="both"/>
              <w:rPr>
                <w:rFonts w:cs="Times New Roman"/>
                <w:noProof/>
                <w:sz w:val="16"/>
                <w:szCs w:val="16"/>
              </w:rPr>
            </w:pPr>
            <w:r w:rsidRPr="00B44B19">
              <w:rPr>
                <w:rFonts w:cs="Times New Roman"/>
                <w:iCs/>
                <w:noProof/>
                <w:sz w:val="16"/>
                <w:szCs w:val="16"/>
              </w:rPr>
              <w:t>VVL regionas</w:t>
            </w:r>
          </w:p>
        </w:tc>
        <w:tc>
          <w:tcPr>
            <w:tcW w:w="645" w:type="pct"/>
            <w:tcBorders>
              <w:top w:val="single" w:sz="12" w:space="0" w:color="auto"/>
              <w:bottom w:val="single" w:sz="4" w:space="0" w:color="auto"/>
            </w:tcBorders>
          </w:tcPr>
          <w:p w14:paraId="4BA1A34E" w14:textId="77777777" w:rsidR="00051BD4" w:rsidRPr="00B44B19" w:rsidRDefault="00051BD4" w:rsidP="00767828">
            <w:pPr>
              <w:spacing w:after="0" w:line="240" w:lineRule="auto"/>
              <w:jc w:val="both"/>
              <w:rPr>
                <w:rFonts w:eastAsia="Calibri" w:cs="Times New Roman"/>
                <w:sz w:val="16"/>
                <w:szCs w:val="16"/>
                <w:highlight w:val="yellow"/>
                <w:lang w:eastAsia="en-GB" w:bidi="lt-LT"/>
              </w:rPr>
            </w:pPr>
            <w:r w:rsidRPr="00B44B19">
              <w:rPr>
                <w:rFonts w:cs="Times New Roman"/>
                <w:sz w:val="16"/>
                <w:szCs w:val="16"/>
              </w:rPr>
              <w:t>RCO 01</w:t>
            </w:r>
          </w:p>
        </w:tc>
        <w:tc>
          <w:tcPr>
            <w:tcW w:w="931" w:type="pct"/>
            <w:tcBorders>
              <w:top w:val="single" w:sz="12" w:space="0" w:color="auto"/>
              <w:bottom w:val="single" w:sz="4" w:space="0" w:color="auto"/>
            </w:tcBorders>
          </w:tcPr>
          <w:p w14:paraId="1302D196" w14:textId="77777777" w:rsidR="00051BD4" w:rsidRPr="00B44B19" w:rsidRDefault="00051BD4" w:rsidP="00767828">
            <w:pPr>
              <w:tabs>
                <w:tab w:val="left" w:pos="315"/>
                <w:tab w:val="left" w:pos="457"/>
              </w:tabs>
              <w:spacing w:after="0" w:line="240" w:lineRule="auto"/>
              <w:contextualSpacing/>
              <w:jc w:val="both"/>
              <w:rPr>
                <w:rFonts w:eastAsia="Calibri" w:cs="Times New Roman"/>
                <w:sz w:val="16"/>
                <w:szCs w:val="16"/>
                <w:highlight w:val="yellow"/>
                <w:lang w:eastAsia="en-GB" w:bidi="lt-LT"/>
              </w:rPr>
            </w:pPr>
            <w:r w:rsidRPr="00B44B19">
              <w:rPr>
                <w:rFonts w:cs="Times New Roman"/>
                <w:sz w:val="16"/>
                <w:szCs w:val="16"/>
              </w:rPr>
              <w:t>Paramą gavusios įmonės (iš kurių: labai mažos, mažosios, vidutinės ir didelės)</w:t>
            </w:r>
          </w:p>
        </w:tc>
        <w:tc>
          <w:tcPr>
            <w:tcW w:w="507" w:type="pct"/>
            <w:tcBorders>
              <w:top w:val="single" w:sz="12" w:space="0" w:color="auto"/>
              <w:bottom w:val="single" w:sz="4" w:space="0" w:color="auto"/>
            </w:tcBorders>
          </w:tcPr>
          <w:p w14:paraId="6E2F30B2" w14:textId="77777777" w:rsidR="00051BD4" w:rsidRPr="00B44B19" w:rsidRDefault="00051BD4" w:rsidP="00767828">
            <w:pPr>
              <w:spacing w:after="0" w:line="240" w:lineRule="auto"/>
              <w:jc w:val="both"/>
              <w:rPr>
                <w:rFonts w:cs="Times New Roman"/>
                <w:iCs/>
                <w:sz w:val="16"/>
                <w:szCs w:val="16"/>
                <w:highlight w:val="yellow"/>
                <w:lang w:eastAsia="lt-LT"/>
              </w:rPr>
            </w:pPr>
            <w:r w:rsidRPr="00B44B19">
              <w:rPr>
                <w:rFonts w:cs="Times New Roman"/>
                <w:sz w:val="16"/>
                <w:szCs w:val="16"/>
              </w:rPr>
              <w:t>Įmonės</w:t>
            </w:r>
          </w:p>
        </w:tc>
        <w:tc>
          <w:tcPr>
            <w:tcW w:w="503" w:type="pct"/>
            <w:tcBorders>
              <w:top w:val="single" w:sz="12" w:space="0" w:color="auto"/>
              <w:bottom w:val="single" w:sz="4" w:space="0" w:color="auto"/>
            </w:tcBorders>
          </w:tcPr>
          <w:p w14:paraId="236C0843" w14:textId="482F9533" w:rsidR="00051BD4" w:rsidRPr="00B44B19" w:rsidRDefault="003F31B6" w:rsidP="00767828">
            <w:pPr>
              <w:spacing w:after="0" w:line="240" w:lineRule="auto"/>
              <w:jc w:val="center"/>
              <w:rPr>
                <w:rFonts w:cs="Times New Roman"/>
                <w:bCs/>
                <w:noProof/>
                <w:sz w:val="16"/>
                <w:szCs w:val="16"/>
              </w:rPr>
            </w:pPr>
            <w:r w:rsidRPr="00B44B19">
              <w:rPr>
                <w:rFonts w:cs="Times New Roman"/>
                <w:bCs/>
                <w:noProof/>
                <w:sz w:val="16"/>
                <w:szCs w:val="16"/>
              </w:rPr>
              <w:t>70</w:t>
            </w:r>
          </w:p>
        </w:tc>
        <w:tc>
          <w:tcPr>
            <w:tcW w:w="480" w:type="pct"/>
            <w:tcBorders>
              <w:top w:val="single" w:sz="12" w:space="0" w:color="auto"/>
              <w:bottom w:val="single" w:sz="4" w:space="0" w:color="auto"/>
            </w:tcBorders>
          </w:tcPr>
          <w:p w14:paraId="0285C5E4" w14:textId="0DC119DE" w:rsidR="00051BD4" w:rsidRPr="00B44B19" w:rsidRDefault="00DC2CB2" w:rsidP="00767828">
            <w:pPr>
              <w:spacing w:after="0" w:line="240" w:lineRule="auto"/>
              <w:jc w:val="center"/>
              <w:rPr>
                <w:rFonts w:cs="Times New Roman"/>
                <w:bCs/>
                <w:noProof/>
                <w:sz w:val="16"/>
                <w:szCs w:val="16"/>
              </w:rPr>
            </w:pPr>
            <w:r w:rsidRPr="00B44B19">
              <w:rPr>
                <w:rFonts w:cs="Times New Roman"/>
                <w:bCs/>
                <w:noProof/>
                <w:sz w:val="16"/>
                <w:szCs w:val="16"/>
              </w:rPr>
              <w:t>210</w:t>
            </w:r>
          </w:p>
        </w:tc>
      </w:tr>
      <w:tr w:rsidR="00051BD4" w:rsidRPr="00B44B19" w14:paraId="7C32157B" w14:textId="77777777" w:rsidTr="006B52BC">
        <w:trPr>
          <w:trHeight w:val="332"/>
        </w:trPr>
        <w:tc>
          <w:tcPr>
            <w:tcW w:w="497" w:type="pct"/>
            <w:vMerge/>
          </w:tcPr>
          <w:p w14:paraId="25D7142E" w14:textId="77777777" w:rsidR="00051BD4" w:rsidRPr="00B44B19" w:rsidRDefault="00051BD4" w:rsidP="00767828">
            <w:pPr>
              <w:spacing w:after="0" w:line="240" w:lineRule="auto"/>
              <w:jc w:val="both"/>
              <w:rPr>
                <w:rFonts w:cs="Times New Roman"/>
                <w:noProof/>
                <w:sz w:val="16"/>
                <w:szCs w:val="16"/>
                <w:highlight w:val="yellow"/>
              </w:rPr>
            </w:pPr>
          </w:p>
        </w:tc>
        <w:tc>
          <w:tcPr>
            <w:tcW w:w="503" w:type="pct"/>
            <w:vMerge/>
          </w:tcPr>
          <w:p w14:paraId="472DEE78" w14:textId="77777777" w:rsidR="00051BD4" w:rsidRPr="00B44B19" w:rsidRDefault="00051BD4" w:rsidP="00767828">
            <w:pPr>
              <w:spacing w:after="0" w:line="240" w:lineRule="auto"/>
              <w:jc w:val="both"/>
              <w:rPr>
                <w:rFonts w:cs="Times New Roman"/>
                <w:noProof/>
                <w:sz w:val="16"/>
                <w:szCs w:val="16"/>
                <w:highlight w:val="yellow"/>
              </w:rPr>
            </w:pPr>
          </w:p>
        </w:tc>
        <w:tc>
          <w:tcPr>
            <w:tcW w:w="432" w:type="pct"/>
            <w:vMerge/>
          </w:tcPr>
          <w:p w14:paraId="48224F8E" w14:textId="77777777" w:rsidR="00051BD4" w:rsidRPr="00B44B19" w:rsidRDefault="00051BD4" w:rsidP="00767828">
            <w:pPr>
              <w:spacing w:after="0" w:line="240" w:lineRule="auto"/>
              <w:jc w:val="both"/>
              <w:rPr>
                <w:rFonts w:cs="Times New Roman"/>
                <w:noProof/>
                <w:sz w:val="16"/>
                <w:szCs w:val="16"/>
                <w:highlight w:val="yellow"/>
              </w:rPr>
            </w:pPr>
          </w:p>
        </w:tc>
        <w:tc>
          <w:tcPr>
            <w:tcW w:w="502" w:type="pct"/>
            <w:vMerge/>
          </w:tcPr>
          <w:p w14:paraId="6752CBE2" w14:textId="77777777" w:rsidR="00051BD4" w:rsidRPr="00B44B19"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E647A03" w14:textId="77777777" w:rsidR="00051BD4" w:rsidRPr="00B44B19" w:rsidRDefault="00051BD4" w:rsidP="00767828">
            <w:pPr>
              <w:spacing w:after="0" w:line="240" w:lineRule="auto"/>
              <w:jc w:val="both"/>
              <w:rPr>
                <w:rFonts w:eastAsia="Calibri" w:cs="Times New Roman"/>
                <w:sz w:val="16"/>
                <w:szCs w:val="16"/>
                <w:highlight w:val="yellow"/>
                <w:lang w:eastAsia="en-GB" w:bidi="lt-LT"/>
              </w:rPr>
            </w:pPr>
            <w:r w:rsidRPr="00B44B19">
              <w:rPr>
                <w:rFonts w:cs="Times New Roman"/>
                <w:sz w:val="16"/>
                <w:szCs w:val="16"/>
              </w:rPr>
              <w:t>RCO 02</w:t>
            </w:r>
          </w:p>
        </w:tc>
        <w:tc>
          <w:tcPr>
            <w:tcW w:w="931" w:type="pct"/>
            <w:tcBorders>
              <w:top w:val="single" w:sz="4" w:space="0" w:color="auto"/>
              <w:bottom w:val="single" w:sz="4" w:space="0" w:color="auto"/>
            </w:tcBorders>
          </w:tcPr>
          <w:p w14:paraId="1FA9A7EC" w14:textId="77777777" w:rsidR="00051BD4" w:rsidRPr="00B44B19" w:rsidRDefault="00051BD4" w:rsidP="00767828">
            <w:pPr>
              <w:autoSpaceDE w:val="0"/>
              <w:autoSpaceDN w:val="0"/>
              <w:adjustRightInd w:val="0"/>
              <w:spacing w:after="0" w:line="240" w:lineRule="auto"/>
              <w:jc w:val="both"/>
              <w:rPr>
                <w:rFonts w:eastAsia="Calibri" w:cs="Times New Roman"/>
                <w:sz w:val="16"/>
                <w:szCs w:val="16"/>
                <w:highlight w:val="yellow"/>
                <w:lang w:eastAsia="en-GB" w:bidi="lt-LT"/>
              </w:rPr>
            </w:pPr>
            <w:r w:rsidRPr="00B44B19">
              <w:rPr>
                <w:rFonts w:cs="Times New Roman"/>
                <w:sz w:val="16"/>
                <w:szCs w:val="16"/>
              </w:rPr>
              <w:t>Paramą dotacijomis gavusios įmonės</w:t>
            </w:r>
          </w:p>
        </w:tc>
        <w:tc>
          <w:tcPr>
            <w:tcW w:w="507" w:type="pct"/>
            <w:tcBorders>
              <w:top w:val="single" w:sz="4" w:space="0" w:color="auto"/>
              <w:bottom w:val="single" w:sz="4" w:space="0" w:color="auto"/>
            </w:tcBorders>
          </w:tcPr>
          <w:p w14:paraId="4A9BD2B0" w14:textId="77777777" w:rsidR="00051BD4" w:rsidRPr="00B44B19" w:rsidRDefault="00051BD4" w:rsidP="00767828">
            <w:pPr>
              <w:spacing w:after="0" w:line="240" w:lineRule="auto"/>
              <w:jc w:val="both"/>
              <w:rPr>
                <w:rFonts w:cs="Times New Roman"/>
                <w:iCs/>
                <w:sz w:val="16"/>
                <w:szCs w:val="16"/>
                <w:highlight w:val="yellow"/>
                <w:lang w:eastAsia="lt-LT"/>
              </w:rPr>
            </w:pPr>
            <w:r w:rsidRPr="00B44B19">
              <w:rPr>
                <w:rFonts w:cs="Times New Roman"/>
                <w:sz w:val="16"/>
                <w:szCs w:val="16"/>
              </w:rPr>
              <w:t>Įmonės</w:t>
            </w:r>
          </w:p>
        </w:tc>
        <w:tc>
          <w:tcPr>
            <w:tcW w:w="503" w:type="pct"/>
            <w:tcBorders>
              <w:top w:val="single" w:sz="4" w:space="0" w:color="auto"/>
              <w:bottom w:val="single" w:sz="4" w:space="0" w:color="auto"/>
            </w:tcBorders>
          </w:tcPr>
          <w:p w14:paraId="56EE8E7D" w14:textId="778EF472" w:rsidR="00051BD4" w:rsidRPr="00B44B19" w:rsidRDefault="003F31B6" w:rsidP="00767828">
            <w:pPr>
              <w:spacing w:after="0" w:line="240" w:lineRule="auto"/>
              <w:jc w:val="center"/>
              <w:rPr>
                <w:rFonts w:cs="Times New Roman"/>
                <w:bCs/>
                <w:noProof/>
                <w:sz w:val="16"/>
                <w:szCs w:val="16"/>
              </w:rPr>
            </w:pPr>
            <w:r w:rsidRPr="00B44B19">
              <w:rPr>
                <w:rFonts w:cs="Times New Roman"/>
                <w:bCs/>
                <w:noProof/>
                <w:sz w:val="16"/>
                <w:szCs w:val="16"/>
              </w:rPr>
              <w:t>70</w:t>
            </w:r>
          </w:p>
        </w:tc>
        <w:tc>
          <w:tcPr>
            <w:tcW w:w="480" w:type="pct"/>
            <w:tcBorders>
              <w:top w:val="single" w:sz="4" w:space="0" w:color="auto"/>
              <w:bottom w:val="single" w:sz="4" w:space="0" w:color="auto"/>
            </w:tcBorders>
          </w:tcPr>
          <w:p w14:paraId="18DD4879" w14:textId="440A1AE9" w:rsidR="00051BD4" w:rsidRPr="00B44B19" w:rsidRDefault="00DC2CB2" w:rsidP="00767828">
            <w:pPr>
              <w:spacing w:after="0" w:line="240" w:lineRule="auto"/>
              <w:jc w:val="center"/>
              <w:rPr>
                <w:rFonts w:cs="Times New Roman"/>
                <w:bCs/>
                <w:noProof/>
                <w:sz w:val="16"/>
                <w:szCs w:val="16"/>
              </w:rPr>
            </w:pPr>
            <w:r w:rsidRPr="00B44B19">
              <w:rPr>
                <w:rFonts w:cs="Times New Roman"/>
                <w:bCs/>
                <w:noProof/>
                <w:sz w:val="16"/>
                <w:szCs w:val="16"/>
              </w:rPr>
              <w:t>210</w:t>
            </w:r>
          </w:p>
        </w:tc>
      </w:tr>
      <w:tr w:rsidR="00051BD4" w:rsidRPr="00B44B19" w14:paraId="560A5EB4" w14:textId="77777777" w:rsidTr="006B52BC">
        <w:trPr>
          <w:trHeight w:val="332"/>
        </w:trPr>
        <w:tc>
          <w:tcPr>
            <w:tcW w:w="497" w:type="pct"/>
            <w:vMerge/>
          </w:tcPr>
          <w:p w14:paraId="0F89C4CA" w14:textId="77777777" w:rsidR="00051BD4" w:rsidRPr="00B44B19" w:rsidRDefault="00051BD4" w:rsidP="00767828">
            <w:pPr>
              <w:spacing w:after="0" w:line="240" w:lineRule="auto"/>
              <w:jc w:val="both"/>
              <w:rPr>
                <w:rFonts w:cs="Times New Roman"/>
                <w:noProof/>
                <w:sz w:val="16"/>
                <w:szCs w:val="16"/>
                <w:highlight w:val="yellow"/>
              </w:rPr>
            </w:pPr>
          </w:p>
        </w:tc>
        <w:tc>
          <w:tcPr>
            <w:tcW w:w="503" w:type="pct"/>
            <w:vMerge/>
          </w:tcPr>
          <w:p w14:paraId="334F4044" w14:textId="77777777" w:rsidR="00051BD4" w:rsidRPr="00B44B19" w:rsidRDefault="00051BD4" w:rsidP="00767828">
            <w:pPr>
              <w:spacing w:after="0" w:line="240" w:lineRule="auto"/>
              <w:jc w:val="both"/>
              <w:rPr>
                <w:rFonts w:cs="Times New Roman"/>
                <w:noProof/>
                <w:sz w:val="16"/>
                <w:szCs w:val="16"/>
                <w:highlight w:val="yellow"/>
              </w:rPr>
            </w:pPr>
          </w:p>
        </w:tc>
        <w:tc>
          <w:tcPr>
            <w:tcW w:w="432" w:type="pct"/>
            <w:vMerge/>
          </w:tcPr>
          <w:p w14:paraId="0261441A" w14:textId="77777777" w:rsidR="00051BD4" w:rsidRPr="00B44B19" w:rsidRDefault="00051BD4" w:rsidP="00767828">
            <w:pPr>
              <w:spacing w:after="0" w:line="240" w:lineRule="auto"/>
              <w:jc w:val="both"/>
              <w:rPr>
                <w:rFonts w:cs="Times New Roman"/>
                <w:noProof/>
                <w:sz w:val="16"/>
                <w:szCs w:val="16"/>
                <w:highlight w:val="yellow"/>
              </w:rPr>
            </w:pPr>
          </w:p>
        </w:tc>
        <w:tc>
          <w:tcPr>
            <w:tcW w:w="502" w:type="pct"/>
            <w:vMerge/>
          </w:tcPr>
          <w:p w14:paraId="687E534A" w14:textId="77777777" w:rsidR="00051BD4" w:rsidRPr="00B44B19"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514E206A" w14:textId="77777777" w:rsidR="00051BD4" w:rsidRPr="00B44B19" w:rsidRDefault="00051BD4" w:rsidP="00767828">
            <w:pPr>
              <w:spacing w:after="0" w:line="240" w:lineRule="auto"/>
              <w:jc w:val="both"/>
              <w:rPr>
                <w:rFonts w:cs="Times New Roman"/>
                <w:sz w:val="16"/>
                <w:szCs w:val="16"/>
              </w:rPr>
            </w:pPr>
            <w:r w:rsidRPr="00B44B19">
              <w:rPr>
                <w:rFonts w:cs="Times New Roman"/>
                <w:sz w:val="16"/>
                <w:szCs w:val="16"/>
              </w:rPr>
              <w:t>Specialusis</w:t>
            </w:r>
          </w:p>
        </w:tc>
        <w:tc>
          <w:tcPr>
            <w:tcW w:w="931" w:type="pct"/>
            <w:tcBorders>
              <w:top w:val="single" w:sz="4" w:space="0" w:color="auto"/>
              <w:bottom w:val="single" w:sz="4" w:space="0" w:color="auto"/>
            </w:tcBorders>
          </w:tcPr>
          <w:p w14:paraId="3D3E6DE1" w14:textId="77777777" w:rsidR="00051BD4" w:rsidRPr="00B44B19" w:rsidRDefault="00051BD4" w:rsidP="00767828">
            <w:pPr>
              <w:autoSpaceDE w:val="0"/>
              <w:autoSpaceDN w:val="0"/>
              <w:adjustRightInd w:val="0"/>
              <w:spacing w:after="0" w:line="240" w:lineRule="auto"/>
              <w:jc w:val="both"/>
              <w:rPr>
                <w:rFonts w:cs="Times New Roman"/>
                <w:sz w:val="16"/>
                <w:szCs w:val="16"/>
              </w:rPr>
            </w:pPr>
            <w:r w:rsidRPr="00B44B19">
              <w:rPr>
                <w:rFonts w:cs="Times New Roman"/>
                <w:sz w:val="16"/>
                <w:szCs w:val="16"/>
              </w:rPr>
              <w:t>Perkančiosios organizacijos įsigyta galimybių studija</w:t>
            </w:r>
          </w:p>
        </w:tc>
        <w:tc>
          <w:tcPr>
            <w:tcW w:w="507" w:type="pct"/>
            <w:tcBorders>
              <w:top w:val="single" w:sz="4" w:space="0" w:color="auto"/>
              <w:bottom w:val="single" w:sz="4" w:space="0" w:color="auto"/>
            </w:tcBorders>
          </w:tcPr>
          <w:p w14:paraId="1F0A35BE" w14:textId="77777777" w:rsidR="00051BD4" w:rsidRPr="00B44B19" w:rsidRDefault="00051BD4" w:rsidP="00767828">
            <w:pPr>
              <w:spacing w:after="0" w:line="240" w:lineRule="auto"/>
              <w:jc w:val="both"/>
              <w:rPr>
                <w:rFonts w:cs="Times New Roman"/>
                <w:sz w:val="16"/>
                <w:szCs w:val="16"/>
              </w:rPr>
            </w:pPr>
            <w:r w:rsidRPr="00B44B19">
              <w:rPr>
                <w:rFonts w:cs="Times New Roman"/>
                <w:sz w:val="16"/>
                <w:szCs w:val="16"/>
              </w:rPr>
              <w:t>Skaičius</w:t>
            </w:r>
          </w:p>
        </w:tc>
        <w:tc>
          <w:tcPr>
            <w:tcW w:w="503" w:type="pct"/>
            <w:tcBorders>
              <w:top w:val="single" w:sz="4" w:space="0" w:color="auto"/>
              <w:bottom w:val="single" w:sz="4" w:space="0" w:color="auto"/>
            </w:tcBorders>
          </w:tcPr>
          <w:p w14:paraId="65BC8E2A" w14:textId="77777777" w:rsidR="00051BD4" w:rsidRPr="00B44B19" w:rsidRDefault="00051BD4" w:rsidP="00767828">
            <w:pPr>
              <w:spacing w:after="0" w:line="240" w:lineRule="auto"/>
              <w:jc w:val="center"/>
              <w:rPr>
                <w:rFonts w:cs="Times New Roman"/>
                <w:bCs/>
                <w:noProof/>
                <w:sz w:val="16"/>
                <w:szCs w:val="16"/>
              </w:rPr>
            </w:pPr>
            <w:r w:rsidRPr="00B44B19">
              <w:rPr>
                <w:rFonts w:cs="Times New Roman"/>
                <w:bCs/>
                <w:noProof/>
                <w:sz w:val="16"/>
                <w:szCs w:val="16"/>
              </w:rPr>
              <w:t>1</w:t>
            </w:r>
          </w:p>
        </w:tc>
        <w:tc>
          <w:tcPr>
            <w:tcW w:w="480" w:type="pct"/>
            <w:tcBorders>
              <w:top w:val="single" w:sz="4" w:space="0" w:color="auto"/>
              <w:bottom w:val="single" w:sz="4" w:space="0" w:color="auto"/>
            </w:tcBorders>
          </w:tcPr>
          <w:p w14:paraId="0DA6E0CA" w14:textId="77777777" w:rsidR="00051BD4" w:rsidRPr="00B44B19" w:rsidRDefault="00051BD4" w:rsidP="00767828">
            <w:pPr>
              <w:spacing w:after="0" w:line="240" w:lineRule="auto"/>
              <w:jc w:val="center"/>
              <w:rPr>
                <w:rFonts w:cs="Times New Roman"/>
                <w:bCs/>
                <w:noProof/>
                <w:sz w:val="16"/>
                <w:szCs w:val="16"/>
              </w:rPr>
            </w:pPr>
            <w:r w:rsidRPr="00B44B19">
              <w:rPr>
                <w:rFonts w:cs="Times New Roman"/>
                <w:bCs/>
                <w:noProof/>
                <w:sz w:val="16"/>
                <w:szCs w:val="16"/>
              </w:rPr>
              <w:t>1</w:t>
            </w:r>
          </w:p>
        </w:tc>
      </w:tr>
      <w:tr w:rsidR="00051BD4" w:rsidRPr="00B44B19" w14:paraId="631269A4" w14:textId="77777777" w:rsidTr="006B52BC">
        <w:trPr>
          <w:trHeight w:val="332"/>
        </w:trPr>
        <w:tc>
          <w:tcPr>
            <w:tcW w:w="497" w:type="pct"/>
            <w:vMerge/>
          </w:tcPr>
          <w:p w14:paraId="66DFF781" w14:textId="77777777" w:rsidR="00051BD4" w:rsidRPr="00B44B19" w:rsidRDefault="00051BD4" w:rsidP="00767828">
            <w:pPr>
              <w:spacing w:after="0" w:line="240" w:lineRule="auto"/>
              <w:jc w:val="both"/>
              <w:rPr>
                <w:rFonts w:cs="Times New Roman"/>
                <w:noProof/>
                <w:sz w:val="16"/>
                <w:szCs w:val="16"/>
                <w:highlight w:val="yellow"/>
              </w:rPr>
            </w:pPr>
          </w:p>
        </w:tc>
        <w:tc>
          <w:tcPr>
            <w:tcW w:w="503" w:type="pct"/>
            <w:vMerge/>
          </w:tcPr>
          <w:p w14:paraId="39270115" w14:textId="77777777" w:rsidR="00051BD4" w:rsidRPr="00B44B19" w:rsidRDefault="00051BD4" w:rsidP="00767828">
            <w:pPr>
              <w:spacing w:after="0" w:line="240" w:lineRule="auto"/>
              <w:jc w:val="both"/>
              <w:rPr>
                <w:rFonts w:cs="Times New Roman"/>
                <w:noProof/>
                <w:sz w:val="16"/>
                <w:szCs w:val="16"/>
                <w:highlight w:val="yellow"/>
              </w:rPr>
            </w:pPr>
          </w:p>
        </w:tc>
        <w:tc>
          <w:tcPr>
            <w:tcW w:w="432" w:type="pct"/>
            <w:vMerge/>
          </w:tcPr>
          <w:p w14:paraId="286147B7" w14:textId="77777777" w:rsidR="00051BD4" w:rsidRPr="00B44B19" w:rsidRDefault="00051BD4" w:rsidP="00767828">
            <w:pPr>
              <w:spacing w:after="0" w:line="240" w:lineRule="auto"/>
              <w:jc w:val="both"/>
              <w:rPr>
                <w:rFonts w:cs="Times New Roman"/>
                <w:noProof/>
                <w:sz w:val="16"/>
                <w:szCs w:val="16"/>
                <w:highlight w:val="yellow"/>
              </w:rPr>
            </w:pPr>
          </w:p>
        </w:tc>
        <w:tc>
          <w:tcPr>
            <w:tcW w:w="502" w:type="pct"/>
            <w:vMerge/>
          </w:tcPr>
          <w:p w14:paraId="3708FD17" w14:textId="77777777" w:rsidR="00051BD4" w:rsidRPr="00B44B19"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6EE22B60" w14:textId="77777777" w:rsidR="00051BD4" w:rsidRPr="00B44B19" w:rsidRDefault="00051BD4" w:rsidP="00767828">
            <w:pPr>
              <w:spacing w:after="0" w:line="240" w:lineRule="auto"/>
              <w:jc w:val="both"/>
              <w:rPr>
                <w:rFonts w:cs="Times New Roman"/>
                <w:sz w:val="16"/>
                <w:szCs w:val="16"/>
              </w:rPr>
            </w:pPr>
            <w:r w:rsidRPr="00B44B19">
              <w:rPr>
                <w:rFonts w:cs="Times New Roman"/>
                <w:sz w:val="16"/>
                <w:szCs w:val="16"/>
              </w:rPr>
              <w:t>Specialusis</w:t>
            </w:r>
          </w:p>
        </w:tc>
        <w:tc>
          <w:tcPr>
            <w:tcW w:w="931" w:type="pct"/>
            <w:tcBorders>
              <w:top w:val="single" w:sz="4" w:space="0" w:color="auto"/>
              <w:bottom w:val="single" w:sz="4" w:space="0" w:color="auto"/>
            </w:tcBorders>
          </w:tcPr>
          <w:p w14:paraId="75A701C6" w14:textId="77777777" w:rsidR="00051BD4" w:rsidRPr="00B44B19" w:rsidRDefault="00051BD4" w:rsidP="00767828">
            <w:pPr>
              <w:autoSpaceDE w:val="0"/>
              <w:autoSpaceDN w:val="0"/>
              <w:adjustRightInd w:val="0"/>
              <w:spacing w:after="0" w:line="240" w:lineRule="auto"/>
              <w:jc w:val="both"/>
              <w:rPr>
                <w:rFonts w:cs="Times New Roman"/>
                <w:sz w:val="16"/>
                <w:szCs w:val="16"/>
              </w:rPr>
            </w:pPr>
            <w:r w:rsidRPr="00B44B19">
              <w:rPr>
                <w:rFonts w:cs="Times New Roman"/>
                <w:sz w:val="16"/>
                <w:szCs w:val="16"/>
              </w:rPr>
              <w:t>Verslo infrastruktūros MVĮ, kuriai suteikta parama, plotas</w:t>
            </w:r>
          </w:p>
        </w:tc>
        <w:tc>
          <w:tcPr>
            <w:tcW w:w="507" w:type="pct"/>
            <w:tcBorders>
              <w:top w:val="single" w:sz="4" w:space="0" w:color="auto"/>
              <w:bottom w:val="single" w:sz="4" w:space="0" w:color="auto"/>
            </w:tcBorders>
          </w:tcPr>
          <w:p w14:paraId="22FC0B88" w14:textId="77777777" w:rsidR="00051BD4" w:rsidRPr="00B44B19" w:rsidRDefault="00051BD4" w:rsidP="00767828">
            <w:pPr>
              <w:spacing w:after="0" w:line="240" w:lineRule="auto"/>
              <w:jc w:val="both"/>
              <w:rPr>
                <w:rFonts w:cs="Times New Roman"/>
                <w:sz w:val="16"/>
                <w:szCs w:val="16"/>
              </w:rPr>
            </w:pPr>
            <w:r w:rsidRPr="00B44B19">
              <w:rPr>
                <w:rFonts w:cs="Times New Roman"/>
                <w:sz w:val="16"/>
                <w:szCs w:val="16"/>
              </w:rPr>
              <w:t>Hektarai</w:t>
            </w:r>
          </w:p>
        </w:tc>
        <w:tc>
          <w:tcPr>
            <w:tcW w:w="503" w:type="pct"/>
            <w:tcBorders>
              <w:top w:val="single" w:sz="4" w:space="0" w:color="auto"/>
              <w:bottom w:val="single" w:sz="4" w:space="0" w:color="auto"/>
            </w:tcBorders>
          </w:tcPr>
          <w:p w14:paraId="3A532AF6" w14:textId="77777777" w:rsidR="00051BD4" w:rsidRPr="00B44B19" w:rsidRDefault="00051BD4" w:rsidP="00767828">
            <w:pPr>
              <w:spacing w:after="0" w:line="240" w:lineRule="auto"/>
              <w:jc w:val="center"/>
              <w:rPr>
                <w:rFonts w:cs="Times New Roman"/>
                <w:bCs/>
                <w:noProof/>
                <w:sz w:val="16"/>
                <w:szCs w:val="16"/>
              </w:rPr>
            </w:pPr>
            <w:r w:rsidRPr="00B44B19">
              <w:rPr>
                <w:rFonts w:cs="Times New Roman"/>
                <w:bCs/>
                <w:noProof/>
                <w:sz w:val="16"/>
                <w:szCs w:val="16"/>
              </w:rPr>
              <w:t>0</w:t>
            </w:r>
          </w:p>
        </w:tc>
        <w:tc>
          <w:tcPr>
            <w:tcW w:w="480" w:type="pct"/>
            <w:tcBorders>
              <w:top w:val="single" w:sz="4" w:space="0" w:color="auto"/>
              <w:bottom w:val="single" w:sz="4" w:space="0" w:color="auto"/>
            </w:tcBorders>
          </w:tcPr>
          <w:p w14:paraId="23A3EEF1" w14:textId="13517D20" w:rsidR="00051BD4" w:rsidRPr="00B44B19" w:rsidRDefault="00BC5430" w:rsidP="00767828">
            <w:pPr>
              <w:spacing w:after="0" w:line="240" w:lineRule="auto"/>
              <w:jc w:val="center"/>
              <w:rPr>
                <w:rFonts w:cs="Times New Roman"/>
                <w:bCs/>
                <w:noProof/>
                <w:sz w:val="16"/>
                <w:szCs w:val="16"/>
                <w:lang w:val="en-US"/>
              </w:rPr>
            </w:pPr>
            <w:r w:rsidRPr="00B44B19">
              <w:rPr>
                <w:rFonts w:cs="Times New Roman"/>
                <w:bCs/>
                <w:noProof/>
                <w:sz w:val="16"/>
                <w:szCs w:val="16"/>
                <w:lang w:val="en-US"/>
              </w:rPr>
              <w:t>76</w:t>
            </w:r>
          </w:p>
        </w:tc>
      </w:tr>
      <w:tr w:rsidR="00051BD4" w:rsidRPr="00B44B19" w14:paraId="4460B28C" w14:textId="77777777" w:rsidTr="006B52BC">
        <w:trPr>
          <w:trHeight w:val="469"/>
        </w:trPr>
        <w:tc>
          <w:tcPr>
            <w:tcW w:w="497" w:type="pct"/>
            <w:vMerge/>
          </w:tcPr>
          <w:p w14:paraId="546BAD77" w14:textId="77777777" w:rsidR="00051BD4" w:rsidRPr="00B44B19" w:rsidRDefault="00051BD4" w:rsidP="00767828">
            <w:pPr>
              <w:spacing w:after="0" w:line="240" w:lineRule="auto"/>
              <w:jc w:val="both"/>
              <w:rPr>
                <w:rFonts w:cs="Times New Roman"/>
                <w:noProof/>
                <w:sz w:val="16"/>
                <w:szCs w:val="16"/>
                <w:highlight w:val="yellow"/>
              </w:rPr>
            </w:pPr>
          </w:p>
        </w:tc>
        <w:tc>
          <w:tcPr>
            <w:tcW w:w="503" w:type="pct"/>
            <w:vMerge/>
          </w:tcPr>
          <w:p w14:paraId="41EA95DB" w14:textId="77777777" w:rsidR="00051BD4" w:rsidRPr="00B44B19" w:rsidRDefault="00051BD4" w:rsidP="00767828">
            <w:pPr>
              <w:spacing w:after="0" w:line="240" w:lineRule="auto"/>
              <w:jc w:val="both"/>
              <w:rPr>
                <w:rFonts w:cs="Times New Roman"/>
                <w:noProof/>
                <w:sz w:val="16"/>
                <w:szCs w:val="16"/>
                <w:highlight w:val="yellow"/>
              </w:rPr>
            </w:pPr>
          </w:p>
        </w:tc>
        <w:tc>
          <w:tcPr>
            <w:tcW w:w="432" w:type="pct"/>
            <w:vMerge/>
          </w:tcPr>
          <w:p w14:paraId="5F83D46A" w14:textId="77777777" w:rsidR="00051BD4" w:rsidRPr="00B44B19" w:rsidRDefault="00051BD4" w:rsidP="00767828">
            <w:pPr>
              <w:spacing w:after="0" w:line="240" w:lineRule="auto"/>
              <w:jc w:val="both"/>
              <w:rPr>
                <w:rFonts w:cs="Times New Roman"/>
                <w:noProof/>
                <w:sz w:val="16"/>
                <w:szCs w:val="16"/>
                <w:highlight w:val="yellow"/>
              </w:rPr>
            </w:pPr>
          </w:p>
        </w:tc>
        <w:tc>
          <w:tcPr>
            <w:tcW w:w="502" w:type="pct"/>
            <w:vMerge/>
          </w:tcPr>
          <w:p w14:paraId="5F78C8E3" w14:textId="77777777" w:rsidR="00051BD4" w:rsidRPr="00B44B19" w:rsidRDefault="00051BD4" w:rsidP="00767828">
            <w:pPr>
              <w:spacing w:after="0" w:line="240" w:lineRule="auto"/>
              <w:jc w:val="both"/>
              <w:rPr>
                <w:rFonts w:cs="Times New Roman"/>
                <w:noProof/>
                <w:sz w:val="16"/>
                <w:szCs w:val="16"/>
                <w:highlight w:val="yellow"/>
              </w:rPr>
            </w:pPr>
          </w:p>
        </w:tc>
        <w:tc>
          <w:tcPr>
            <w:tcW w:w="645" w:type="pct"/>
            <w:tcBorders>
              <w:top w:val="single" w:sz="4" w:space="0" w:color="auto"/>
              <w:bottom w:val="single" w:sz="4" w:space="0" w:color="auto"/>
            </w:tcBorders>
          </w:tcPr>
          <w:p w14:paraId="37BF9943" w14:textId="77777777" w:rsidR="00051BD4" w:rsidRPr="00B44B19" w:rsidRDefault="00051BD4" w:rsidP="00767828">
            <w:pPr>
              <w:spacing w:after="0" w:line="240" w:lineRule="auto"/>
              <w:jc w:val="both"/>
              <w:rPr>
                <w:rFonts w:cs="Times New Roman"/>
                <w:sz w:val="16"/>
                <w:szCs w:val="16"/>
              </w:rPr>
            </w:pPr>
            <w:r w:rsidRPr="00B44B19">
              <w:rPr>
                <w:rFonts w:cs="Times New Roman"/>
                <w:sz w:val="16"/>
                <w:szCs w:val="16"/>
              </w:rPr>
              <w:t>Specialusis</w:t>
            </w:r>
          </w:p>
        </w:tc>
        <w:tc>
          <w:tcPr>
            <w:tcW w:w="931" w:type="pct"/>
            <w:tcBorders>
              <w:top w:val="single" w:sz="4" w:space="0" w:color="auto"/>
              <w:bottom w:val="single" w:sz="4" w:space="0" w:color="auto"/>
            </w:tcBorders>
          </w:tcPr>
          <w:p w14:paraId="4C676F4A" w14:textId="77777777" w:rsidR="00051BD4" w:rsidRPr="00B44B19" w:rsidRDefault="00051BD4" w:rsidP="00767828">
            <w:pPr>
              <w:autoSpaceDE w:val="0"/>
              <w:autoSpaceDN w:val="0"/>
              <w:adjustRightInd w:val="0"/>
              <w:spacing w:after="0" w:line="240" w:lineRule="auto"/>
              <w:jc w:val="both"/>
              <w:rPr>
                <w:rFonts w:cs="Times New Roman"/>
                <w:sz w:val="16"/>
                <w:szCs w:val="16"/>
              </w:rPr>
            </w:pPr>
            <w:r w:rsidRPr="00B44B19">
              <w:rPr>
                <w:rFonts w:cs="Times New Roman"/>
                <w:sz w:val="16"/>
                <w:szCs w:val="16"/>
              </w:rPr>
              <w:t>Į įgūdžių ugdymą investuojančios įmonės</w:t>
            </w:r>
          </w:p>
        </w:tc>
        <w:tc>
          <w:tcPr>
            <w:tcW w:w="507" w:type="pct"/>
            <w:tcBorders>
              <w:top w:val="single" w:sz="4" w:space="0" w:color="auto"/>
              <w:bottom w:val="single" w:sz="4" w:space="0" w:color="auto"/>
            </w:tcBorders>
          </w:tcPr>
          <w:p w14:paraId="37253C74" w14:textId="77777777" w:rsidR="00051BD4" w:rsidRPr="00B44B19" w:rsidRDefault="00051BD4" w:rsidP="00767828">
            <w:pPr>
              <w:spacing w:after="0" w:line="240" w:lineRule="auto"/>
              <w:jc w:val="both"/>
              <w:rPr>
                <w:rFonts w:cs="Times New Roman"/>
                <w:sz w:val="16"/>
                <w:szCs w:val="16"/>
              </w:rPr>
            </w:pPr>
            <w:r w:rsidRPr="00B44B19">
              <w:rPr>
                <w:rFonts w:cs="Times New Roman"/>
                <w:sz w:val="16"/>
                <w:szCs w:val="16"/>
              </w:rPr>
              <w:t>Įmonės</w:t>
            </w:r>
          </w:p>
        </w:tc>
        <w:tc>
          <w:tcPr>
            <w:tcW w:w="503" w:type="pct"/>
            <w:tcBorders>
              <w:top w:val="single" w:sz="4" w:space="0" w:color="auto"/>
              <w:bottom w:val="single" w:sz="4" w:space="0" w:color="auto"/>
            </w:tcBorders>
          </w:tcPr>
          <w:p w14:paraId="2A8D0E6D" w14:textId="77777777" w:rsidR="00051BD4" w:rsidRPr="00B44B19" w:rsidRDefault="00051BD4" w:rsidP="00767828">
            <w:pPr>
              <w:spacing w:after="0" w:line="240" w:lineRule="auto"/>
              <w:jc w:val="center"/>
              <w:rPr>
                <w:rFonts w:cs="Times New Roman"/>
                <w:bCs/>
                <w:noProof/>
                <w:sz w:val="16"/>
                <w:szCs w:val="16"/>
              </w:rPr>
            </w:pPr>
            <w:r w:rsidRPr="00B44B19">
              <w:rPr>
                <w:rFonts w:cs="Times New Roman"/>
                <w:bCs/>
                <w:noProof/>
                <w:sz w:val="16"/>
                <w:szCs w:val="16"/>
              </w:rPr>
              <w:t>0</w:t>
            </w:r>
          </w:p>
        </w:tc>
        <w:tc>
          <w:tcPr>
            <w:tcW w:w="480" w:type="pct"/>
            <w:tcBorders>
              <w:top w:val="single" w:sz="4" w:space="0" w:color="auto"/>
              <w:bottom w:val="single" w:sz="4" w:space="0" w:color="auto"/>
            </w:tcBorders>
          </w:tcPr>
          <w:p w14:paraId="006F2EBD" w14:textId="52B73E80" w:rsidR="00051BD4" w:rsidRPr="00B44B19" w:rsidRDefault="00DC2CB2" w:rsidP="00767828">
            <w:pPr>
              <w:spacing w:after="0" w:line="240" w:lineRule="auto"/>
              <w:jc w:val="center"/>
              <w:rPr>
                <w:rFonts w:cs="Times New Roman"/>
                <w:bCs/>
                <w:noProof/>
                <w:sz w:val="16"/>
                <w:szCs w:val="16"/>
              </w:rPr>
            </w:pPr>
            <w:r w:rsidRPr="00B44B19">
              <w:rPr>
                <w:rFonts w:cs="Times New Roman"/>
                <w:bCs/>
                <w:noProof/>
                <w:sz w:val="16"/>
                <w:szCs w:val="16"/>
              </w:rPr>
              <w:t>24</w:t>
            </w:r>
          </w:p>
        </w:tc>
      </w:tr>
    </w:tbl>
    <w:p w14:paraId="4E663C29" w14:textId="77777777" w:rsidR="00767828" w:rsidRPr="00B44B19" w:rsidRDefault="00767828" w:rsidP="00767828">
      <w:pPr>
        <w:jc w:val="both"/>
        <w:rPr>
          <w:rFonts w:cs="Times New Roman"/>
          <w:b/>
          <w:sz w:val="22"/>
          <w:highlight w:val="yellow"/>
        </w:rPr>
        <w:sectPr w:rsidR="00767828" w:rsidRPr="00B44B19" w:rsidSect="00BB7C84">
          <w:footerReference w:type="first" r:id="rId16"/>
          <w:pgSz w:w="11906" w:h="16838"/>
          <w:pgMar w:top="1276" w:right="567" w:bottom="1134" w:left="1701" w:header="567" w:footer="567" w:gutter="0"/>
          <w:cols w:space="1296"/>
          <w:docGrid w:linePitch="360"/>
        </w:sectPr>
      </w:pPr>
    </w:p>
    <w:p w14:paraId="431EE15D" w14:textId="77777777" w:rsidR="00767828" w:rsidRPr="00B44B19" w:rsidRDefault="00767828" w:rsidP="00767828">
      <w:pPr>
        <w:jc w:val="both"/>
        <w:rPr>
          <w:rFonts w:cs="Times New Roman"/>
          <w:b/>
        </w:rPr>
      </w:pPr>
      <w:r w:rsidRPr="00B44B19">
        <w:rPr>
          <w:rFonts w:cs="Times New Roman"/>
          <w:b/>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484"/>
        <w:gridCol w:w="1115"/>
        <w:gridCol w:w="1255"/>
        <w:gridCol w:w="1115"/>
        <w:gridCol w:w="1115"/>
        <w:gridCol w:w="975"/>
        <w:gridCol w:w="820"/>
      </w:tblGrid>
      <w:tr w:rsidR="00767828" w:rsidRPr="00B44B19" w14:paraId="32A23CAC" w14:textId="77777777" w:rsidTr="00767828">
        <w:trPr>
          <w:trHeight w:val="578"/>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12B878EA"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A037177"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124AE83"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7747879E"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0E2AA2CD"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1172" w:type="pct"/>
            <w:tcBorders>
              <w:top w:val="single" w:sz="12" w:space="0" w:color="auto"/>
              <w:left w:val="single" w:sz="12" w:space="0" w:color="auto"/>
              <w:bottom w:val="single" w:sz="12" w:space="0" w:color="auto"/>
              <w:right w:val="single" w:sz="12" w:space="0" w:color="auto"/>
            </w:tcBorders>
            <w:shd w:val="clear" w:color="auto" w:fill="DBE5F1"/>
            <w:vAlign w:val="center"/>
          </w:tcPr>
          <w:p w14:paraId="14B44ECB"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643F7DB0"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72C5AEC3"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24CE6946"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1DA974C7"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Siektina reikšmė (2029 m.)</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8F1C1AD"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276" w:type="pct"/>
            <w:tcBorders>
              <w:top w:val="single" w:sz="12" w:space="0" w:color="auto"/>
              <w:left w:val="single" w:sz="12" w:space="0" w:color="auto"/>
              <w:bottom w:val="single" w:sz="12" w:space="0" w:color="auto"/>
              <w:right w:val="single" w:sz="12" w:space="0" w:color="auto"/>
            </w:tcBorders>
            <w:shd w:val="clear" w:color="auto" w:fill="DBE5F1"/>
            <w:vAlign w:val="center"/>
          </w:tcPr>
          <w:p w14:paraId="3D9FB2FC" w14:textId="77777777" w:rsidR="00767828" w:rsidRPr="00B44B19" w:rsidRDefault="00767828" w:rsidP="00767828">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767828" w:rsidRPr="00B44B19" w14:paraId="0CD5C243" w14:textId="77777777" w:rsidTr="00767828">
        <w:trPr>
          <w:trHeight w:val="286"/>
        </w:trPr>
        <w:tc>
          <w:tcPr>
            <w:tcW w:w="317" w:type="pct"/>
            <w:vMerge w:val="restart"/>
            <w:tcBorders>
              <w:top w:val="single" w:sz="12" w:space="0" w:color="auto"/>
            </w:tcBorders>
          </w:tcPr>
          <w:p w14:paraId="14FE6522" w14:textId="77777777" w:rsidR="00767828" w:rsidRPr="00B44B19" w:rsidRDefault="00767828" w:rsidP="00767828">
            <w:pPr>
              <w:spacing w:after="0" w:line="240" w:lineRule="auto"/>
              <w:jc w:val="both"/>
              <w:rPr>
                <w:rFonts w:eastAsia="Calibri" w:cs="Times New Roman"/>
                <w:noProof/>
                <w:sz w:val="16"/>
                <w:szCs w:val="16"/>
              </w:rPr>
            </w:pPr>
            <w:r w:rsidRPr="00B44B19">
              <w:rPr>
                <w:rFonts w:cs="Times New Roman"/>
                <w:noProof/>
                <w:sz w:val="16"/>
                <w:szCs w:val="16"/>
              </w:rPr>
              <w:t>9. Teisingos pertvarkos fondas</w:t>
            </w:r>
          </w:p>
        </w:tc>
        <w:tc>
          <w:tcPr>
            <w:tcW w:w="328" w:type="pct"/>
            <w:vMerge w:val="restart"/>
            <w:tcBorders>
              <w:top w:val="single" w:sz="12" w:space="0" w:color="auto"/>
            </w:tcBorders>
          </w:tcPr>
          <w:p w14:paraId="7E7A8A3C" w14:textId="77777777" w:rsidR="00767828" w:rsidRPr="00B44B19" w:rsidRDefault="00767828" w:rsidP="00767828">
            <w:pPr>
              <w:spacing w:after="0" w:line="240" w:lineRule="auto"/>
              <w:jc w:val="both"/>
              <w:rPr>
                <w:rFonts w:eastAsia="Calibri" w:cs="Times New Roman"/>
                <w:noProof/>
                <w:sz w:val="16"/>
                <w:szCs w:val="16"/>
              </w:rPr>
            </w:pPr>
            <w:r w:rsidRPr="00B44B19">
              <w:rPr>
                <w:rFonts w:cs="Times New Roman"/>
                <w:noProof/>
                <w:sz w:val="16"/>
                <w:szCs w:val="16"/>
              </w:rPr>
              <w:t>9.1.</w:t>
            </w:r>
          </w:p>
        </w:tc>
        <w:tc>
          <w:tcPr>
            <w:tcW w:w="281" w:type="pct"/>
            <w:vMerge w:val="restart"/>
            <w:tcBorders>
              <w:top w:val="single" w:sz="12" w:space="0" w:color="auto"/>
            </w:tcBorders>
          </w:tcPr>
          <w:p w14:paraId="3E162B8A" w14:textId="77777777" w:rsidR="00767828" w:rsidRPr="00B44B19" w:rsidRDefault="00767828" w:rsidP="00767828">
            <w:pPr>
              <w:spacing w:after="0" w:line="240" w:lineRule="auto"/>
              <w:jc w:val="both"/>
              <w:rPr>
                <w:rFonts w:eastAsia="Calibri" w:cs="Times New Roman"/>
                <w:noProof/>
                <w:sz w:val="16"/>
                <w:szCs w:val="16"/>
              </w:rPr>
            </w:pPr>
            <w:r w:rsidRPr="00B44B19">
              <w:rPr>
                <w:rFonts w:cs="Times New Roman"/>
                <w:noProof/>
                <w:sz w:val="16"/>
                <w:szCs w:val="16"/>
              </w:rPr>
              <w:t>TPF</w:t>
            </w:r>
          </w:p>
        </w:tc>
        <w:tc>
          <w:tcPr>
            <w:tcW w:w="328" w:type="pct"/>
            <w:vMerge w:val="restart"/>
            <w:tcBorders>
              <w:top w:val="single" w:sz="12" w:space="0" w:color="auto"/>
            </w:tcBorders>
          </w:tcPr>
          <w:p w14:paraId="73911DD4" w14:textId="77777777" w:rsidR="00767828" w:rsidRPr="00B44B19" w:rsidRDefault="00767828" w:rsidP="00767828">
            <w:pPr>
              <w:spacing w:after="0" w:line="240" w:lineRule="auto"/>
              <w:jc w:val="both"/>
              <w:rPr>
                <w:rFonts w:eastAsia="Calibri" w:cs="Times New Roman"/>
                <w:noProof/>
                <w:sz w:val="16"/>
                <w:szCs w:val="16"/>
              </w:rPr>
            </w:pPr>
            <w:r w:rsidRPr="00B44B19">
              <w:rPr>
                <w:rFonts w:cs="Times New Roman"/>
                <w:iCs/>
                <w:noProof/>
                <w:sz w:val="16"/>
                <w:szCs w:val="16"/>
              </w:rPr>
              <w:t>VVL regionas</w:t>
            </w:r>
          </w:p>
        </w:tc>
        <w:tc>
          <w:tcPr>
            <w:tcW w:w="422" w:type="pct"/>
            <w:tcBorders>
              <w:top w:val="single" w:sz="12" w:space="0" w:color="auto"/>
            </w:tcBorders>
          </w:tcPr>
          <w:p w14:paraId="21323FE9" w14:textId="77777777" w:rsidR="00767828" w:rsidRPr="00B44B19" w:rsidRDefault="00767828" w:rsidP="00767828">
            <w:pPr>
              <w:spacing w:after="0" w:line="240" w:lineRule="auto"/>
              <w:jc w:val="both"/>
              <w:rPr>
                <w:rFonts w:eastAsia="Calibri" w:cs="Times New Roman"/>
                <w:sz w:val="16"/>
                <w:szCs w:val="16"/>
                <w:highlight w:val="yellow"/>
                <w:lang w:eastAsia="lt-LT" w:bidi="lt-LT"/>
              </w:rPr>
            </w:pPr>
            <w:r w:rsidRPr="00B44B19">
              <w:rPr>
                <w:rFonts w:cs="Times New Roman"/>
                <w:sz w:val="16"/>
                <w:szCs w:val="16"/>
              </w:rPr>
              <w:t>RCR 02</w:t>
            </w:r>
          </w:p>
        </w:tc>
        <w:tc>
          <w:tcPr>
            <w:tcW w:w="1172" w:type="pct"/>
            <w:tcBorders>
              <w:top w:val="single" w:sz="12" w:space="0" w:color="auto"/>
            </w:tcBorders>
          </w:tcPr>
          <w:p w14:paraId="1FCA84B8" w14:textId="77777777" w:rsidR="00767828" w:rsidRPr="00B44B19" w:rsidRDefault="00767828" w:rsidP="00767828">
            <w:pPr>
              <w:spacing w:after="0" w:line="240" w:lineRule="auto"/>
              <w:jc w:val="both"/>
              <w:rPr>
                <w:rFonts w:eastAsia="Calibri" w:cs="Times New Roman"/>
                <w:sz w:val="16"/>
                <w:szCs w:val="16"/>
                <w:highlight w:val="yellow"/>
                <w:lang w:eastAsia="lt-LT" w:bidi="lt-LT"/>
              </w:rPr>
            </w:pPr>
            <w:r w:rsidRPr="00B44B19">
              <w:rPr>
                <w:rFonts w:cs="Times New Roman"/>
                <w:sz w:val="16"/>
                <w:szCs w:val="16"/>
              </w:rPr>
              <w:t>Privačiosios investicijos, atitinkančios viešąją paramą (iš kurių: dotacijos, finansinės priemonės)</w:t>
            </w:r>
            <w:hyperlink r:id="rId17" w:anchor="ntr*1-L_2021231LT.01001801-E0002" w:history="1">
              <w:r w:rsidRPr="00B44B19">
                <w:rPr>
                  <w:rFonts w:cs="Times New Roman"/>
                  <w:sz w:val="16"/>
                  <w:szCs w:val="16"/>
                </w:rPr>
                <w:t> </w:t>
              </w:r>
            </w:hyperlink>
          </w:p>
        </w:tc>
        <w:tc>
          <w:tcPr>
            <w:tcW w:w="375" w:type="pct"/>
            <w:tcBorders>
              <w:top w:val="single" w:sz="12" w:space="0" w:color="auto"/>
            </w:tcBorders>
          </w:tcPr>
          <w:p w14:paraId="37524DBA" w14:textId="77777777" w:rsidR="00767828" w:rsidRPr="00B44B19" w:rsidRDefault="00767828" w:rsidP="00767828">
            <w:pPr>
              <w:spacing w:after="0" w:line="240" w:lineRule="auto"/>
              <w:jc w:val="both"/>
              <w:rPr>
                <w:rFonts w:eastAsia="Calibri" w:cs="Times New Roman"/>
                <w:noProof/>
                <w:sz w:val="16"/>
                <w:szCs w:val="16"/>
                <w:highlight w:val="yellow"/>
              </w:rPr>
            </w:pPr>
            <w:r w:rsidRPr="00B44B19">
              <w:rPr>
                <w:rFonts w:cs="Times New Roman"/>
                <w:sz w:val="16"/>
                <w:szCs w:val="16"/>
              </w:rPr>
              <w:t>EUR</w:t>
            </w:r>
          </w:p>
        </w:tc>
        <w:tc>
          <w:tcPr>
            <w:tcW w:w="422" w:type="pct"/>
            <w:tcBorders>
              <w:top w:val="single" w:sz="12" w:space="0" w:color="auto"/>
            </w:tcBorders>
          </w:tcPr>
          <w:p w14:paraId="6B7CABF7" w14:textId="77777777" w:rsidR="00767828" w:rsidRPr="00B44B19" w:rsidRDefault="00767828" w:rsidP="00767828">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Borders>
              <w:top w:val="single" w:sz="12" w:space="0" w:color="auto"/>
            </w:tcBorders>
          </w:tcPr>
          <w:p w14:paraId="28DE02F1" w14:textId="77777777" w:rsidR="00767828" w:rsidRPr="00B44B19" w:rsidRDefault="00767828" w:rsidP="00767828">
            <w:pPr>
              <w:spacing w:after="0" w:line="240" w:lineRule="auto"/>
              <w:jc w:val="center"/>
              <w:rPr>
                <w:rFonts w:eastAsia="Calibri" w:cs="Times New Roman"/>
                <w:iCs/>
                <w:noProof/>
                <w:sz w:val="16"/>
                <w:szCs w:val="16"/>
              </w:rPr>
            </w:pPr>
            <w:r w:rsidRPr="00B44B19">
              <w:rPr>
                <w:rFonts w:eastAsia="Calibri" w:cs="Times New Roman"/>
                <w:iCs/>
                <w:noProof/>
                <w:sz w:val="16"/>
                <w:szCs w:val="16"/>
              </w:rPr>
              <w:t>2021</w:t>
            </w:r>
          </w:p>
        </w:tc>
        <w:tc>
          <w:tcPr>
            <w:tcW w:w="375" w:type="pct"/>
            <w:tcBorders>
              <w:top w:val="single" w:sz="12" w:space="0" w:color="auto"/>
            </w:tcBorders>
          </w:tcPr>
          <w:p w14:paraId="682393B7" w14:textId="34DA2289" w:rsidR="00767828" w:rsidRPr="00B44B19" w:rsidRDefault="00DC2CB2" w:rsidP="0019116C">
            <w:pPr>
              <w:spacing w:after="0" w:line="240" w:lineRule="auto"/>
              <w:jc w:val="center"/>
              <w:rPr>
                <w:rFonts w:eastAsia="Calibri" w:cs="Times New Roman"/>
                <w:iCs/>
                <w:noProof/>
                <w:sz w:val="16"/>
                <w:szCs w:val="16"/>
              </w:rPr>
            </w:pPr>
            <w:r w:rsidRPr="00B44B19">
              <w:rPr>
                <w:rFonts w:eastAsia="Calibri" w:cs="Times New Roman"/>
                <w:iCs/>
                <w:noProof/>
                <w:sz w:val="16"/>
                <w:szCs w:val="16"/>
              </w:rPr>
              <w:t>94 637 342</w:t>
            </w:r>
          </w:p>
        </w:tc>
        <w:tc>
          <w:tcPr>
            <w:tcW w:w="328" w:type="pct"/>
            <w:tcBorders>
              <w:top w:val="single" w:sz="12" w:space="0" w:color="auto"/>
            </w:tcBorders>
          </w:tcPr>
          <w:p w14:paraId="37E6CE37" w14:textId="77777777" w:rsidR="00767828" w:rsidRPr="00B44B19" w:rsidRDefault="00767828" w:rsidP="00767828">
            <w:pPr>
              <w:spacing w:after="0" w:line="240" w:lineRule="auto"/>
              <w:jc w:val="both"/>
              <w:rPr>
                <w:rFonts w:eastAsia="Calibri" w:cs="Times New Roman"/>
                <w:iCs/>
                <w:noProof/>
                <w:sz w:val="16"/>
                <w:szCs w:val="16"/>
                <w:highlight w:val="yellow"/>
              </w:rPr>
            </w:pPr>
            <w:r w:rsidRPr="00B44B19">
              <w:rPr>
                <w:rFonts w:cs="Times New Roman"/>
                <w:sz w:val="16"/>
                <w:szCs w:val="16"/>
              </w:rPr>
              <w:t>Projektų duomenys</w:t>
            </w:r>
          </w:p>
        </w:tc>
        <w:tc>
          <w:tcPr>
            <w:tcW w:w="276" w:type="pct"/>
            <w:tcBorders>
              <w:top w:val="single" w:sz="12" w:space="0" w:color="auto"/>
            </w:tcBorders>
          </w:tcPr>
          <w:p w14:paraId="2C81DBB0" w14:textId="77777777" w:rsidR="00767828" w:rsidRPr="00B44B19" w:rsidRDefault="00767828" w:rsidP="00767828">
            <w:pPr>
              <w:spacing w:after="0" w:line="240" w:lineRule="auto"/>
              <w:jc w:val="both"/>
              <w:rPr>
                <w:rFonts w:eastAsia="Calibri" w:cs="Times New Roman"/>
                <w:i/>
                <w:noProof/>
                <w:sz w:val="16"/>
                <w:szCs w:val="16"/>
                <w:highlight w:val="yellow"/>
                <w:lang w:eastAsia="lt-LT" w:bidi="lt-LT"/>
              </w:rPr>
            </w:pPr>
          </w:p>
        </w:tc>
      </w:tr>
      <w:tr w:rsidR="00B61AAD" w:rsidRPr="00B44B19" w14:paraId="44821A13" w14:textId="77777777" w:rsidTr="00767828">
        <w:trPr>
          <w:trHeight w:val="286"/>
        </w:trPr>
        <w:tc>
          <w:tcPr>
            <w:tcW w:w="317" w:type="pct"/>
            <w:vMerge/>
            <w:tcBorders>
              <w:top w:val="single" w:sz="12" w:space="0" w:color="auto"/>
            </w:tcBorders>
          </w:tcPr>
          <w:p w14:paraId="64C53B47" w14:textId="77777777" w:rsidR="00B61AAD" w:rsidRPr="00B44B19"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7D7FFDA3" w14:textId="77777777" w:rsidR="00B61AAD" w:rsidRPr="00B44B19" w:rsidRDefault="00B61AAD" w:rsidP="00B61AAD">
            <w:pPr>
              <w:spacing w:after="0" w:line="240" w:lineRule="auto"/>
              <w:jc w:val="both"/>
              <w:rPr>
                <w:rFonts w:cs="Times New Roman"/>
                <w:noProof/>
                <w:sz w:val="16"/>
                <w:szCs w:val="16"/>
              </w:rPr>
            </w:pPr>
          </w:p>
        </w:tc>
        <w:tc>
          <w:tcPr>
            <w:tcW w:w="281" w:type="pct"/>
            <w:vMerge/>
            <w:tcBorders>
              <w:top w:val="single" w:sz="12" w:space="0" w:color="auto"/>
            </w:tcBorders>
          </w:tcPr>
          <w:p w14:paraId="3232572B" w14:textId="77777777" w:rsidR="00B61AAD" w:rsidRPr="00B44B19"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5046D753" w14:textId="77777777" w:rsidR="00B61AAD" w:rsidRPr="00B44B19" w:rsidRDefault="00B61AAD" w:rsidP="00B61AAD">
            <w:pPr>
              <w:spacing w:after="0" w:line="240" w:lineRule="auto"/>
              <w:jc w:val="both"/>
              <w:rPr>
                <w:rFonts w:cs="Times New Roman"/>
                <w:iCs/>
                <w:noProof/>
                <w:sz w:val="16"/>
                <w:szCs w:val="16"/>
              </w:rPr>
            </w:pPr>
          </w:p>
        </w:tc>
        <w:tc>
          <w:tcPr>
            <w:tcW w:w="422" w:type="pct"/>
            <w:tcBorders>
              <w:top w:val="single" w:sz="12" w:space="0" w:color="auto"/>
            </w:tcBorders>
          </w:tcPr>
          <w:p w14:paraId="48BF68AA" w14:textId="126F75FE" w:rsidR="00B61AAD" w:rsidRPr="00B44B19" w:rsidRDefault="00B61AAD" w:rsidP="00B61AAD">
            <w:pPr>
              <w:spacing w:after="0" w:line="240" w:lineRule="auto"/>
              <w:jc w:val="both"/>
              <w:rPr>
                <w:rFonts w:cs="Times New Roman"/>
                <w:sz w:val="16"/>
                <w:szCs w:val="16"/>
              </w:rPr>
            </w:pPr>
            <w:r w:rsidRPr="00B44B19">
              <w:rPr>
                <w:rFonts w:eastAsia="Calibri" w:cs="Times New Roman"/>
                <w:sz w:val="16"/>
                <w:szCs w:val="16"/>
              </w:rPr>
              <w:t>RCR</w:t>
            </w:r>
            <w:r w:rsidRPr="00B44B19">
              <w:rPr>
                <w:rFonts w:eastAsia="Calibri" w:cs="Times New Roman"/>
                <w:sz w:val="16"/>
                <w:szCs w:val="16"/>
                <w:lang w:val="en-US"/>
              </w:rPr>
              <w:t>26</w:t>
            </w:r>
          </w:p>
        </w:tc>
        <w:tc>
          <w:tcPr>
            <w:tcW w:w="1172" w:type="pct"/>
            <w:tcBorders>
              <w:top w:val="single" w:sz="12" w:space="0" w:color="auto"/>
            </w:tcBorders>
          </w:tcPr>
          <w:p w14:paraId="721F0F9B" w14:textId="590E4F2A" w:rsidR="00B61AAD" w:rsidRPr="00B44B19" w:rsidRDefault="00B61AAD" w:rsidP="00B61AAD">
            <w:pPr>
              <w:spacing w:after="0" w:line="240" w:lineRule="auto"/>
              <w:jc w:val="both"/>
              <w:rPr>
                <w:rFonts w:cs="Times New Roman"/>
                <w:sz w:val="16"/>
                <w:szCs w:val="16"/>
              </w:rPr>
            </w:pPr>
            <w:r w:rsidRPr="00B44B19">
              <w:rPr>
                <w:rFonts w:eastAsia="Calibri" w:cs="Times New Roman"/>
                <w:sz w:val="16"/>
                <w:szCs w:val="16"/>
              </w:rPr>
              <w:t>Metinis pirminės energijos suvartojimo kiekis (iš kurio: būstai, viešieji pastatai, įmonės, kita)</w:t>
            </w:r>
          </w:p>
        </w:tc>
        <w:tc>
          <w:tcPr>
            <w:tcW w:w="375" w:type="pct"/>
            <w:tcBorders>
              <w:top w:val="single" w:sz="12" w:space="0" w:color="auto"/>
            </w:tcBorders>
          </w:tcPr>
          <w:p w14:paraId="2CA6A2F3" w14:textId="14FFD973" w:rsidR="00B61AAD" w:rsidRPr="00B44B19" w:rsidRDefault="00B61AAD" w:rsidP="00B61AAD">
            <w:pPr>
              <w:spacing w:after="0" w:line="240" w:lineRule="auto"/>
              <w:jc w:val="both"/>
              <w:rPr>
                <w:rFonts w:cs="Times New Roman"/>
                <w:sz w:val="16"/>
                <w:szCs w:val="16"/>
              </w:rPr>
            </w:pPr>
            <w:r w:rsidRPr="00B44B19">
              <w:rPr>
                <w:rFonts w:eastAsia="Calibri" w:cs="Times New Roman"/>
                <w:noProof/>
                <w:sz w:val="16"/>
                <w:szCs w:val="16"/>
              </w:rPr>
              <w:t>MWh per metus</w:t>
            </w:r>
          </w:p>
        </w:tc>
        <w:tc>
          <w:tcPr>
            <w:tcW w:w="422" w:type="pct"/>
            <w:tcBorders>
              <w:top w:val="single" w:sz="12" w:space="0" w:color="auto"/>
            </w:tcBorders>
          </w:tcPr>
          <w:p w14:paraId="0FC5FEA6" w14:textId="3645C66D"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309 715</w:t>
            </w:r>
          </w:p>
        </w:tc>
        <w:tc>
          <w:tcPr>
            <w:tcW w:w="375" w:type="pct"/>
            <w:tcBorders>
              <w:top w:val="single" w:sz="12" w:space="0" w:color="auto"/>
            </w:tcBorders>
          </w:tcPr>
          <w:p w14:paraId="39C6ECE3" w14:textId="2DDA1F89"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noProof/>
                <w:sz w:val="16"/>
                <w:szCs w:val="16"/>
                <w:lang w:val="en-US"/>
              </w:rPr>
              <w:t>2021</w:t>
            </w:r>
          </w:p>
        </w:tc>
        <w:tc>
          <w:tcPr>
            <w:tcW w:w="375" w:type="pct"/>
            <w:tcBorders>
              <w:top w:val="single" w:sz="12" w:space="0" w:color="auto"/>
            </w:tcBorders>
          </w:tcPr>
          <w:p w14:paraId="1F7A9E5A" w14:textId="23F89FBE"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232 075</w:t>
            </w:r>
          </w:p>
        </w:tc>
        <w:tc>
          <w:tcPr>
            <w:tcW w:w="328" w:type="pct"/>
            <w:tcBorders>
              <w:top w:val="single" w:sz="12" w:space="0" w:color="auto"/>
            </w:tcBorders>
          </w:tcPr>
          <w:p w14:paraId="3E19AD06" w14:textId="1414EEC1" w:rsidR="00B61AAD" w:rsidRPr="00B44B19" w:rsidRDefault="00B61AAD" w:rsidP="00B61AAD">
            <w:pPr>
              <w:spacing w:after="0" w:line="240" w:lineRule="auto"/>
              <w:jc w:val="both"/>
              <w:rPr>
                <w:rFonts w:cs="Times New Roman"/>
                <w:sz w:val="16"/>
                <w:szCs w:val="16"/>
              </w:rPr>
            </w:pPr>
            <w:r w:rsidRPr="00B44B19">
              <w:rPr>
                <w:rFonts w:eastAsia="Calibri" w:cs="Times New Roman"/>
                <w:noProof/>
                <w:sz w:val="16"/>
                <w:szCs w:val="16"/>
              </w:rPr>
              <w:t>Projektų duomenys</w:t>
            </w:r>
          </w:p>
        </w:tc>
        <w:tc>
          <w:tcPr>
            <w:tcW w:w="276" w:type="pct"/>
            <w:tcBorders>
              <w:top w:val="single" w:sz="12" w:space="0" w:color="auto"/>
            </w:tcBorders>
          </w:tcPr>
          <w:p w14:paraId="7A0FA035"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031C7B58" w14:textId="77777777" w:rsidTr="00767828">
        <w:trPr>
          <w:trHeight w:val="286"/>
        </w:trPr>
        <w:tc>
          <w:tcPr>
            <w:tcW w:w="317" w:type="pct"/>
            <w:vMerge/>
            <w:tcBorders>
              <w:top w:val="single" w:sz="12" w:space="0" w:color="auto"/>
            </w:tcBorders>
          </w:tcPr>
          <w:p w14:paraId="7CB00F0C" w14:textId="77777777" w:rsidR="00B61AAD" w:rsidRPr="00B44B19"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093E4183" w14:textId="77777777" w:rsidR="00B61AAD" w:rsidRPr="00B44B19" w:rsidRDefault="00B61AAD" w:rsidP="00B61AAD">
            <w:pPr>
              <w:spacing w:after="0" w:line="240" w:lineRule="auto"/>
              <w:jc w:val="both"/>
              <w:rPr>
                <w:rFonts w:cs="Times New Roman"/>
                <w:noProof/>
                <w:sz w:val="16"/>
                <w:szCs w:val="16"/>
              </w:rPr>
            </w:pPr>
          </w:p>
        </w:tc>
        <w:tc>
          <w:tcPr>
            <w:tcW w:w="281" w:type="pct"/>
            <w:vMerge/>
            <w:tcBorders>
              <w:top w:val="single" w:sz="12" w:space="0" w:color="auto"/>
            </w:tcBorders>
          </w:tcPr>
          <w:p w14:paraId="346405B3" w14:textId="77777777" w:rsidR="00B61AAD" w:rsidRPr="00B44B19"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7C3B65F6" w14:textId="77777777" w:rsidR="00B61AAD" w:rsidRPr="00B44B19" w:rsidRDefault="00B61AAD" w:rsidP="00B61AAD">
            <w:pPr>
              <w:spacing w:after="0" w:line="240" w:lineRule="auto"/>
              <w:jc w:val="both"/>
              <w:rPr>
                <w:rFonts w:cs="Times New Roman"/>
                <w:iCs/>
                <w:noProof/>
                <w:sz w:val="16"/>
                <w:szCs w:val="16"/>
              </w:rPr>
            </w:pPr>
          </w:p>
        </w:tc>
        <w:tc>
          <w:tcPr>
            <w:tcW w:w="422" w:type="pct"/>
            <w:tcBorders>
              <w:top w:val="single" w:sz="12" w:space="0" w:color="auto"/>
            </w:tcBorders>
          </w:tcPr>
          <w:p w14:paraId="0DC38894" w14:textId="02181478" w:rsidR="00B61AAD" w:rsidRPr="00B44B19" w:rsidRDefault="00B61AAD" w:rsidP="00B61AAD">
            <w:pPr>
              <w:spacing w:after="0" w:line="240" w:lineRule="auto"/>
              <w:jc w:val="both"/>
              <w:rPr>
                <w:rFonts w:cs="Times New Roman"/>
                <w:sz w:val="16"/>
                <w:szCs w:val="16"/>
              </w:rPr>
            </w:pPr>
            <w:r w:rsidRPr="00B44B19">
              <w:rPr>
                <w:rFonts w:eastAsia="Calibri" w:cs="Times New Roman"/>
                <w:sz w:val="16"/>
                <w:szCs w:val="16"/>
              </w:rPr>
              <w:t>RCR29</w:t>
            </w:r>
          </w:p>
        </w:tc>
        <w:tc>
          <w:tcPr>
            <w:tcW w:w="1172" w:type="pct"/>
            <w:tcBorders>
              <w:top w:val="single" w:sz="12" w:space="0" w:color="auto"/>
            </w:tcBorders>
          </w:tcPr>
          <w:p w14:paraId="215B5322" w14:textId="70D5F577" w:rsidR="00B61AAD" w:rsidRPr="00B44B19" w:rsidRDefault="00B61AAD" w:rsidP="00B61AAD">
            <w:pPr>
              <w:spacing w:after="0" w:line="240" w:lineRule="auto"/>
              <w:jc w:val="both"/>
              <w:rPr>
                <w:rFonts w:cs="Times New Roman"/>
                <w:sz w:val="16"/>
                <w:szCs w:val="16"/>
              </w:rPr>
            </w:pPr>
            <w:r w:rsidRPr="00B44B19">
              <w:rPr>
                <w:rFonts w:eastAsia="Calibri" w:cs="Times New Roman"/>
                <w:sz w:val="16"/>
                <w:szCs w:val="16"/>
              </w:rPr>
              <w:t>Numatomas išmetamas šiltnamio efektą sukeliančių dujų kiekis</w:t>
            </w:r>
          </w:p>
        </w:tc>
        <w:tc>
          <w:tcPr>
            <w:tcW w:w="375" w:type="pct"/>
            <w:tcBorders>
              <w:top w:val="single" w:sz="12" w:space="0" w:color="auto"/>
            </w:tcBorders>
          </w:tcPr>
          <w:p w14:paraId="47911020" w14:textId="5B36C713" w:rsidR="00B61AAD" w:rsidRPr="00B44B19" w:rsidRDefault="00B61AAD" w:rsidP="00B61AAD">
            <w:pPr>
              <w:spacing w:after="0" w:line="240" w:lineRule="auto"/>
              <w:jc w:val="both"/>
              <w:rPr>
                <w:rFonts w:cs="Times New Roman"/>
                <w:sz w:val="16"/>
                <w:szCs w:val="16"/>
              </w:rPr>
            </w:pPr>
            <w:r w:rsidRPr="00B44B19">
              <w:rPr>
                <w:rFonts w:eastAsia="Calibri" w:cs="Times New Roman"/>
                <w:noProof/>
                <w:sz w:val="16"/>
                <w:szCs w:val="16"/>
              </w:rPr>
              <w:t>Tonos CO2 ekvivalentu per metus</w:t>
            </w:r>
          </w:p>
        </w:tc>
        <w:tc>
          <w:tcPr>
            <w:tcW w:w="422" w:type="pct"/>
            <w:tcBorders>
              <w:top w:val="single" w:sz="12" w:space="0" w:color="auto"/>
            </w:tcBorders>
          </w:tcPr>
          <w:p w14:paraId="23246E20" w14:textId="5F800396"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58 674</w:t>
            </w:r>
          </w:p>
        </w:tc>
        <w:tc>
          <w:tcPr>
            <w:tcW w:w="375" w:type="pct"/>
            <w:tcBorders>
              <w:top w:val="single" w:sz="12" w:space="0" w:color="auto"/>
            </w:tcBorders>
          </w:tcPr>
          <w:p w14:paraId="47A17493" w14:textId="4D16699B"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noProof/>
                <w:sz w:val="16"/>
                <w:szCs w:val="16"/>
              </w:rPr>
              <w:t>2021</w:t>
            </w:r>
          </w:p>
        </w:tc>
        <w:tc>
          <w:tcPr>
            <w:tcW w:w="375" w:type="pct"/>
            <w:tcBorders>
              <w:top w:val="single" w:sz="12" w:space="0" w:color="auto"/>
            </w:tcBorders>
          </w:tcPr>
          <w:p w14:paraId="18021906" w14:textId="6FDE5086"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42 845</w:t>
            </w:r>
          </w:p>
        </w:tc>
        <w:tc>
          <w:tcPr>
            <w:tcW w:w="328" w:type="pct"/>
            <w:tcBorders>
              <w:top w:val="single" w:sz="12" w:space="0" w:color="auto"/>
            </w:tcBorders>
          </w:tcPr>
          <w:p w14:paraId="2386CB0E" w14:textId="3EC41021" w:rsidR="00B61AAD" w:rsidRPr="00B44B19" w:rsidRDefault="00B61AAD" w:rsidP="00B61AAD">
            <w:pPr>
              <w:spacing w:after="0" w:line="240" w:lineRule="auto"/>
              <w:jc w:val="both"/>
              <w:rPr>
                <w:rFonts w:cs="Times New Roman"/>
                <w:sz w:val="16"/>
                <w:szCs w:val="16"/>
              </w:rPr>
            </w:pPr>
            <w:r w:rsidRPr="00B44B19">
              <w:rPr>
                <w:rFonts w:eastAsia="Calibri" w:cs="Times New Roman"/>
                <w:noProof/>
                <w:sz w:val="16"/>
                <w:szCs w:val="16"/>
              </w:rPr>
              <w:t>Projektų duomenys</w:t>
            </w:r>
          </w:p>
        </w:tc>
        <w:tc>
          <w:tcPr>
            <w:tcW w:w="276" w:type="pct"/>
            <w:tcBorders>
              <w:top w:val="single" w:sz="12" w:space="0" w:color="auto"/>
            </w:tcBorders>
          </w:tcPr>
          <w:p w14:paraId="0528A3B1"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6C67E101" w14:textId="77777777" w:rsidTr="00767828">
        <w:trPr>
          <w:trHeight w:val="286"/>
        </w:trPr>
        <w:tc>
          <w:tcPr>
            <w:tcW w:w="317" w:type="pct"/>
            <w:vMerge/>
            <w:tcBorders>
              <w:top w:val="single" w:sz="12" w:space="0" w:color="auto"/>
            </w:tcBorders>
          </w:tcPr>
          <w:p w14:paraId="12D8F60E" w14:textId="77777777" w:rsidR="00B61AAD" w:rsidRPr="00B44B19"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2864429E" w14:textId="77777777" w:rsidR="00B61AAD" w:rsidRPr="00B44B19" w:rsidRDefault="00B61AAD" w:rsidP="00B61AAD">
            <w:pPr>
              <w:spacing w:after="0" w:line="240" w:lineRule="auto"/>
              <w:jc w:val="both"/>
              <w:rPr>
                <w:rFonts w:cs="Times New Roman"/>
                <w:noProof/>
                <w:sz w:val="16"/>
                <w:szCs w:val="16"/>
              </w:rPr>
            </w:pPr>
          </w:p>
        </w:tc>
        <w:tc>
          <w:tcPr>
            <w:tcW w:w="281" w:type="pct"/>
            <w:vMerge/>
            <w:tcBorders>
              <w:top w:val="single" w:sz="12" w:space="0" w:color="auto"/>
            </w:tcBorders>
          </w:tcPr>
          <w:p w14:paraId="295C5E79" w14:textId="77777777" w:rsidR="00B61AAD" w:rsidRPr="00B44B19" w:rsidRDefault="00B61AAD" w:rsidP="00B61AAD">
            <w:pPr>
              <w:spacing w:after="0" w:line="240" w:lineRule="auto"/>
              <w:jc w:val="both"/>
              <w:rPr>
                <w:rFonts w:cs="Times New Roman"/>
                <w:noProof/>
                <w:sz w:val="16"/>
                <w:szCs w:val="16"/>
              </w:rPr>
            </w:pPr>
          </w:p>
        </w:tc>
        <w:tc>
          <w:tcPr>
            <w:tcW w:w="328" w:type="pct"/>
            <w:vMerge/>
            <w:tcBorders>
              <w:top w:val="single" w:sz="12" w:space="0" w:color="auto"/>
            </w:tcBorders>
          </w:tcPr>
          <w:p w14:paraId="57A10ED7" w14:textId="77777777" w:rsidR="00B61AAD" w:rsidRPr="00B44B19" w:rsidRDefault="00B61AAD" w:rsidP="00B61AAD">
            <w:pPr>
              <w:spacing w:after="0" w:line="240" w:lineRule="auto"/>
              <w:jc w:val="both"/>
              <w:rPr>
                <w:rFonts w:cs="Times New Roman"/>
                <w:iCs/>
                <w:noProof/>
                <w:sz w:val="16"/>
                <w:szCs w:val="16"/>
              </w:rPr>
            </w:pPr>
          </w:p>
        </w:tc>
        <w:tc>
          <w:tcPr>
            <w:tcW w:w="422" w:type="pct"/>
            <w:tcBorders>
              <w:top w:val="single" w:sz="12" w:space="0" w:color="auto"/>
            </w:tcBorders>
          </w:tcPr>
          <w:p w14:paraId="58C32180" w14:textId="79FB4512" w:rsidR="00B61AAD" w:rsidRPr="00B44B19" w:rsidRDefault="00B61AAD" w:rsidP="00B61AAD">
            <w:pPr>
              <w:spacing w:after="0" w:line="240" w:lineRule="auto"/>
              <w:jc w:val="both"/>
              <w:rPr>
                <w:rFonts w:cs="Times New Roman"/>
                <w:sz w:val="16"/>
                <w:szCs w:val="16"/>
              </w:rPr>
            </w:pPr>
            <w:r w:rsidRPr="00B44B19">
              <w:rPr>
                <w:rFonts w:eastAsia="Calibri" w:cs="Times New Roman"/>
                <w:sz w:val="16"/>
                <w:szCs w:val="16"/>
              </w:rPr>
              <w:t>RCR31</w:t>
            </w:r>
          </w:p>
        </w:tc>
        <w:tc>
          <w:tcPr>
            <w:tcW w:w="1172" w:type="pct"/>
            <w:tcBorders>
              <w:top w:val="single" w:sz="12" w:space="0" w:color="auto"/>
            </w:tcBorders>
          </w:tcPr>
          <w:p w14:paraId="50E90BB5" w14:textId="3795AD31" w:rsidR="00B61AAD" w:rsidRPr="00B44B19" w:rsidRDefault="00B61AAD" w:rsidP="00B61AAD">
            <w:pPr>
              <w:spacing w:after="0" w:line="240" w:lineRule="auto"/>
              <w:jc w:val="both"/>
              <w:rPr>
                <w:rFonts w:cs="Times New Roman"/>
                <w:sz w:val="16"/>
                <w:szCs w:val="16"/>
              </w:rPr>
            </w:pPr>
            <w:r w:rsidRPr="00B44B19">
              <w:rPr>
                <w:rFonts w:eastAsia="Calibri" w:cs="Times New Roman"/>
                <w:sz w:val="16"/>
                <w:szCs w:val="16"/>
              </w:rPr>
              <w:t>Visas pagamintas atsinaujinančios energijos kiekis (iš kurio: elektros, šiluminės energijos kiekis)</w:t>
            </w:r>
          </w:p>
        </w:tc>
        <w:tc>
          <w:tcPr>
            <w:tcW w:w="375" w:type="pct"/>
            <w:tcBorders>
              <w:top w:val="single" w:sz="12" w:space="0" w:color="auto"/>
            </w:tcBorders>
          </w:tcPr>
          <w:p w14:paraId="1773014A" w14:textId="0421F42A" w:rsidR="00B61AAD" w:rsidRPr="00B44B19" w:rsidRDefault="00B61AAD" w:rsidP="00B61AAD">
            <w:pPr>
              <w:spacing w:after="0" w:line="240" w:lineRule="auto"/>
              <w:jc w:val="both"/>
              <w:rPr>
                <w:rFonts w:cs="Times New Roman"/>
                <w:sz w:val="16"/>
                <w:szCs w:val="16"/>
              </w:rPr>
            </w:pPr>
            <w:r w:rsidRPr="00B44B19">
              <w:rPr>
                <w:rFonts w:eastAsia="Calibri" w:cs="Times New Roman"/>
                <w:noProof/>
                <w:sz w:val="16"/>
                <w:szCs w:val="16"/>
              </w:rPr>
              <w:t>MWh per metus</w:t>
            </w:r>
          </w:p>
        </w:tc>
        <w:tc>
          <w:tcPr>
            <w:tcW w:w="422" w:type="pct"/>
            <w:tcBorders>
              <w:top w:val="single" w:sz="12" w:space="0" w:color="auto"/>
            </w:tcBorders>
          </w:tcPr>
          <w:p w14:paraId="320521E4" w14:textId="25A0AE0D"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3 038</w:t>
            </w:r>
          </w:p>
        </w:tc>
        <w:tc>
          <w:tcPr>
            <w:tcW w:w="375" w:type="pct"/>
            <w:tcBorders>
              <w:top w:val="single" w:sz="12" w:space="0" w:color="auto"/>
            </w:tcBorders>
          </w:tcPr>
          <w:p w14:paraId="09F1EF8A" w14:textId="2041E471"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noProof/>
                <w:sz w:val="16"/>
                <w:szCs w:val="16"/>
              </w:rPr>
              <w:t>2021</w:t>
            </w:r>
          </w:p>
        </w:tc>
        <w:tc>
          <w:tcPr>
            <w:tcW w:w="375" w:type="pct"/>
            <w:tcBorders>
              <w:top w:val="single" w:sz="12" w:space="0" w:color="auto"/>
            </w:tcBorders>
          </w:tcPr>
          <w:p w14:paraId="217F2E18" w14:textId="1AE593FA"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37 627</w:t>
            </w:r>
          </w:p>
        </w:tc>
        <w:tc>
          <w:tcPr>
            <w:tcW w:w="328" w:type="pct"/>
            <w:tcBorders>
              <w:top w:val="single" w:sz="12" w:space="0" w:color="auto"/>
            </w:tcBorders>
          </w:tcPr>
          <w:p w14:paraId="27180199" w14:textId="746A97E3" w:rsidR="00B61AAD" w:rsidRPr="00B44B19" w:rsidRDefault="00B61AAD" w:rsidP="00B61AAD">
            <w:pPr>
              <w:spacing w:after="0" w:line="240" w:lineRule="auto"/>
              <w:jc w:val="both"/>
              <w:rPr>
                <w:rFonts w:cs="Times New Roman"/>
                <w:sz w:val="16"/>
                <w:szCs w:val="16"/>
              </w:rPr>
            </w:pPr>
            <w:r w:rsidRPr="00B44B19">
              <w:rPr>
                <w:rFonts w:eastAsia="Calibri" w:cs="Times New Roman"/>
                <w:noProof/>
                <w:sz w:val="16"/>
                <w:szCs w:val="16"/>
              </w:rPr>
              <w:t>Projektų duomenys</w:t>
            </w:r>
          </w:p>
        </w:tc>
        <w:tc>
          <w:tcPr>
            <w:tcW w:w="276" w:type="pct"/>
            <w:tcBorders>
              <w:top w:val="single" w:sz="12" w:space="0" w:color="auto"/>
            </w:tcBorders>
          </w:tcPr>
          <w:p w14:paraId="5F020ADE"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09C800DD" w14:textId="77777777" w:rsidTr="00767828">
        <w:trPr>
          <w:trHeight w:val="286"/>
        </w:trPr>
        <w:tc>
          <w:tcPr>
            <w:tcW w:w="317" w:type="pct"/>
            <w:vMerge/>
          </w:tcPr>
          <w:p w14:paraId="7F8A3736"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74751FA1"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281" w:type="pct"/>
            <w:vMerge/>
          </w:tcPr>
          <w:p w14:paraId="4C4B5DFF"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0261D8E1"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422" w:type="pct"/>
          </w:tcPr>
          <w:p w14:paraId="7EC9F006" w14:textId="266391A0" w:rsidR="00B61AAD" w:rsidRPr="00B44B19" w:rsidRDefault="00B61AAD" w:rsidP="00B61AAD">
            <w:pPr>
              <w:spacing w:after="0" w:line="240" w:lineRule="auto"/>
              <w:jc w:val="both"/>
              <w:rPr>
                <w:rFonts w:eastAsia="Calibri" w:cs="Times New Roman"/>
                <w:sz w:val="16"/>
                <w:szCs w:val="16"/>
                <w:highlight w:val="yellow"/>
                <w:lang w:eastAsia="en-GB"/>
              </w:rPr>
            </w:pPr>
            <w:r w:rsidRPr="00B44B19">
              <w:rPr>
                <w:rFonts w:eastAsia="Calibri" w:cs="Times New Roman"/>
                <w:sz w:val="16"/>
                <w:szCs w:val="16"/>
              </w:rPr>
              <w:t>Specialusis</w:t>
            </w:r>
          </w:p>
        </w:tc>
        <w:tc>
          <w:tcPr>
            <w:tcW w:w="1172" w:type="pct"/>
          </w:tcPr>
          <w:p w14:paraId="240A108B" w14:textId="54D6738D" w:rsidR="00B61AAD" w:rsidRPr="00B44B19" w:rsidRDefault="00B61AAD" w:rsidP="00B61AAD">
            <w:pPr>
              <w:spacing w:after="0" w:line="240" w:lineRule="auto"/>
              <w:jc w:val="both"/>
              <w:rPr>
                <w:rFonts w:eastAsia="Calibri" w:cs="Times New Roman"/>
                <w:sz w:val="16"/>
                <w:szCs w:val="16"/>
                <w:highlight w:val="yellow"/>
              </w:rPr>
            </w:pPr>
            <w:r w:rsidRPr="00B44B19">
              <w:rPr>
                <w:rFonts w:eastAsia="Calibri" w:cs="Times New Roman"/>
                <w:sz w:val="16"/>
                <w:szCs w:val="16"/>
              </w:rPr>
              <w:t>Numatomas sutaupyti šiltnamio efektą sukeliančių dujų kiekis</w:t>
            </w:r>
          </w:p>
        </w:tc>
        <w:tc>
          <w:tcPr>
            <w:tcW w:w="375" w:type="pct"/>
          </w:tcPr>
          <w:p w14:paraId="3129605D" w14:textId="2457A422" w:rsidR="00B61AAD" w:rsidRPr="00B44B19" w:rsidRDefault="00B61AAD" w:rsidP="00B61AAD">
            <w:pPr>
              <w:spacing w:after="0" w:line="240" w:lineRule="auto"/>
              <w:jc w:val="both"/>
              <w:rPr>
                <w:rFonts w:eastAsia="Calibri" w:cs="Times New Roman"/>
                <w:sz w:val="16"/>
                <w:szCs w:val="16"/>
                <w:highlight w:val="yellow"/>
                <w:shd w:val="clear" w:color="auto" w:fill="FFFFFF"/>
              </w:rPr>
            </w:pPr>
            <w:r w:rsidRPr="00B44B19">
              <w:rPr>
                <w:rFonts w:eastAsia="Calibri" w:cs="Times New Roman"/>
                <w:noProof/>
                <w:sz w:val="16"/>
                <w:szCs w:val="16"/>
              </w:rPr>
              <w:t>Tonos CO2 ekvivalentu per metus</w:t>
            </w:r>
          </w:p>
        </w:tc>
        <w:tc>
          <w:tcPr>
            <w:tcW w:w="422" w:type="pct"/>
          </w:tcPr>
          <w:p w14:paraId="1B62AEA6" w14:textId="5140624D"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33D2C822" w14:textId="2E07F56C"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noProof/>
                <w:sz w:val="16"/>
                <w:szCs w:val="16"/>
              </w:rPr>
              <w:t>2021</w:t>
            </w:r>
          </w:p>
        </w:tc>
        <w:tc>
          <w:tcPr>
            <w:tcW w:w="375" w:type="pct"/>
          </w:tcPr>
          <w:p w14:paraId="3854922D" w14:textId="025EF4B9"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5 188</w:t>
            </w:r>
          </w:p>
        </w:tc>
        <w:tc>
          <w:tcPr>
            <w:tcW w:w="328" w:type="pct"/>
          </w:tcPr>
          <w:p w14:paraId="1F788950" w14:textId="0FDF116F" w:rsidR="00B61AAD" w:rsidRPr="00B44B19" w:rsidRDefault="00B61AAD" w:rsidP="00B61AAD">
            <w:pPr>
              <w:spacing w:after="0" w:line="240" w:lineRule="auto"/>
              <w:jc w:val="both"/>
              <w:rPr>
                <w:rFonts w:eastAsia="Calibri" w:cs="Times New Roman"/>
                <w:noProof/>
                <w:sz w:val="16"/>
                <w:szCs w:val="16"/>
                <w:highlight w:val="yellow"/>
              </w:rPr>
            </w:pPr>
            <w:r w:rsidRPr="00B44B19">
              <w:rPr>
                <w:rFonts w:eastAsia="Calibri" w:cs="Times New Roman"/>
                <w:sz w:val="16"/>
                <w:szCs w:val="16"/>
              </w:rPr>
              <w:t>Projektų duomenys</w:t>
            </w:r>
          </w:p>
        </w:tc>
        <w:tc>
          <w:tcPr>
            <w:tcW w:w="276" w:type="pct"/>
          </w:tcPr>
          <w:p w14:paraId="6E38880B"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53CDE18A" w14:textId="77777777" w:rsidTr="00767828">
        <w:trPr>
          <w:trHeight w:val="286"/>
        </w:trPr>
        <w:tc>
          <w:tcPr>
            <w:tcW w:w="317" w:type="pct"/>
            <w:vMerge/>
          </w:tcPr>
          <w:p w14:paraId="58D5E34B"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207D9940"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281" w:type="pct"/>
            <w:vMerge/>
          </w:tcPr>
          <w:p w14:paraId="0D6D0066"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29B4FBDC"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422" w:type="pct"/>
          </w:tcPr>
          <w:p w14:paraId="1F2EE03F"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Specialusis</w:t>
            </w:r>
          </w:p>
        </w:tc>
        <w:tc>
          <w:tcPr>
            <w:tcW w:w="1172" w:type="pct"/>
          </w:tcPr>
          <w:p w14:paraId="645D82A3"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ES ATLPS dalyvaujančių įmonių, potencialiai galinčių diegti įperkamai švariai energijai skirtas technologijas, sistemas ir infrastruktūras, dalis nuo visų ES ATL PS dalyvaujančių įmonių</w:t>
            </w:r>
          </w:p>
        </w:tc>
        <w:tc>
          <w:tcPr>
            <w:tcW w:w="375" w:type="pct"/>
          </w:tcPr>
          <w:p w14:paraId="7269986E" w14:textId="77777777" w:rsidR="00B61AAD" w:rsidRPr="00B44B19" w:rsidRDefault="00B61AAD" w:rsidP="00B61AAD">
            <w:pPr>
              <w:spacing w:after="0" w:line="240" w:lineRule="auto"/>
              <w:jc w:val="both"/>
              <w:rPr>
                <w:rFonts w:cs="Times New Roman"/>
                <w:iCs/>
                <w:sz w:val="16"/>
                <w:szCs w:val="16"/>
              </w:rPr>
            </w:pPr>
            <w:r w:rsidRPr="00B44B19">
              <w:rPr>
                <w:rFonts w:cs="Times New Roman"/>
                <w:iCs/>
                <w:sz w:val="16"/>
                <w:szCs w:val="16"/>
              </w:rPr>
              <w:t xml:space="preserve">Procentai </w:t>
            </w:r>
          </w:p>
        </w:tc>
        <w:tc>
          <w:tcPr>
            <w:tcW w:w="422" w:type="pct"/>
          </w:tcPr>
          <w:p w14:paraId="58099F68"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043544E8"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2021</w:t>
            </w:r>
          </w:p>
        </w:tc>
        <w:tc>
          <w:tcPr>
            <w:tcW w:w="375" w:type="pct"/>
          </w:tcPr>
          <w:p w14:paraId="0AA12FE2"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35</w:t>
            </w:r>
          </w:p>
        </w:tc>
        <w:tc>
          <w:tcPr>
            <w:tcW w:w="328" w:type="pct"/>
          </w:tcPr>
          <w:p w14:paraId="64B69C09" w14:textId="77777777" w:rsidR="00B61AAD" w:rsidRPr="00B44B19" w:rsidRDefault="00B61AAD" w:rsidP="00B61AAD">
            <w:pPr>
              <w:spacing w:after="0" w:line="240" w:lineRule="auto"/>
              <w:jc w:val="both"/>
              <w:rPr>
                <w:rFonts w:eastAsia="Calibri" w:cs="Times New Roman"/>
                <w:noProof/>
                <w:sz w:val="16"/>
                <w:szCs w:val="16"/>
                <w:highlight w:val="yellow"/>
              </w:rPr>
            </w:pPr>
            <w:r w:rsidRPr="00B44B19">
              <w:rPr>
                <w:rFonts w:cs="Times New Roman"/>
                <w:sz w:val="16"/>
                <w:szCs w:val="16"/>
              </w:rPr>
              <w:t>Projektų duomenys</w:t>
            </w:r>
          </w:p>
        </w:tc>
        <w:tc>
          <w:tcPr>
            <w:tcW w:w="276" w:type="pct"/>
          </w:tcPr>
          <w:p w14:paraId="4C8CE22E"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4CF23176" w14:textId="77777777" w:rsidTr="00767828">
        <w:trPr>
          <w:trHeight w:val="286"/>
        </w:trPr>
        <w:tc>
          <w:tcPr>
            <w:tcW w:w="317" w:type="pct"/>
            <w:vMerge/>
          </w:tcPr>
          <w:p w14:paraId="1C525B61"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1E884F76"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281" w:type="pct"/>
            <w:vMerge/>
          </w:tcPr>
          <w:p w14:paraId="6E5D36AF"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0907C918"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422" w:type="pct"/>
          </w:tcPr>
          <w:p w14:paraId="0ABA5864"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Specialusis</w:t>
            </w:r>
          </w:p>
        </w:tc>
        <w:tc>
          <w:tcPr>
            <w:tcW w:w="1172" w:type="pct"/>
          </w:tcPr>
          <w:p w14:paraId="29DDB06C"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Verslo infrastruktūros MVĮ plotas, naudojamas tvariai ekonominei  veiklai</w:t>
            </w:r>
          </w:p>
        </w:tc>
        <w:tc>
          <w:tcPr>
            <w:tcW w:w="375" w:type="pct"/>
          </w:tcPr>
          <w:p w14:paraId="38C5ECA3" w14:textId="77777777" w:rsidR="00B61AAD" w:rsidRPr="00B44B19" w:rsidRDefault="00B61AAD" w:rsidP="00B61AAD">
            <w:pPr>
              <w:spacing w:after="0" w:line="240" w:lineRule="auto"/>
              <w:jc w:val="both"/>
              <w:rPr>
                <w:rFonts w:cs="Times New Roman"/>
                <w:iCs/>
                <w:sz w:val="16"/>
                <w:szCs w:val="16"/>
              </w:rPr>
            </w:pPr>
            <w:r w:rsidRPr="00B44B19">
              <w:rPr>
                <w:rFonts w:cs="Times New Roman"/>
                <w:iCs/>
                <w:sz w:val="16"/>
                <w:szCs w:val="16"/>
              </w:rPr>
              <w:t>Hektarai</w:t>
            </w:r>
          </w:p>
        </w:tc>
        <w:tc>
          <w:tcPr>
            <w:tcW w:w="422" w:type="pct"/>
          </w:tcPr>
          <w:p w14:paraId="1C13F50B"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44AC79F1"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2021</w:t>
            </w:r>
          </w:p>
        </w:tc>
        <w:tc>
          <w:tcPr>
            <w:tcW w:w="375" w:type="pct"/>
          </w:tcPr>
          <w:p w14:paraId="27CEEF50" w14:textId="03FFE2DA"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76</w:t>
            </w:r>
          </w:p>
        </w:tc>
        <w:tc>
          <w:tcPr>
            <w:tcW w:w="328" w:type="pct"/>
          </w:tcPr>
          <w:p w14:paraId="48BFA4F5"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Projektų duomenys</w:t>
            </w:r>
          </w:p>
        </w:tc>
        <w:tc>
          <w:tcPr>
            <w:tcW w:w="276" w:type="pct"/>
          </w:tcPr>
          <w:p w14:paraId="7B281D1F"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442942AF" w14:textId="77777777" w:rsidTr="00767828">
        <w:trPr>
          <w:trHeight w:val="286"/>
        </w:trPr>
        <w:tc>
          <w:tcPr>
            <w:tcW w:w="317" w:type="pct"/>
            <w:vMerge/>
          </w:tcPr>
          <w:p w14:paraId="026057CF"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45154ECE"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281" w:type="pct"/>
            <w:vMerge/>
          </w:tcPr>
          <w:p w14:paraId="5D7D0DED"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218C2CD1"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422" w:type="pct"/>
          </w:tcPr>
          <w:p w14:paraId="19A02119"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Specialusis</w:t>
            </w:r>
          </w:p>
        </w:tc>
        <w:tc>
          <w:tcPr>
            <w:tcW w:w="1172" w:type="pct"/>
          </w:tcPr>
          <w:p w14:paraId="2F228763" w14:textId="7BAC99F4" w:rsidR="00B61AAD" w:rsidRPr="00B44B19" w:rsidRDefault="00B61AAD" w:rsidP="00B61AAD">
            <w:pPr>
              <w:spacing w:after="0" w:line="240" w:lineRule="auto"/>
              <w:jc w:val="both"/>
              <w:rPr>
                <w:rFonts w:cs="Times New Roman"/>
                <w:sz w:val="16"/>
                <w:szCs w:val="16"/>
              </w:rPr>
            </w:pPr>
            <w:r w:rsidRPr="00B44B19">
              <w:rPr>
                <w:rFonts w:cs="Times New Roman"/>
                <w:sz w:val="16"/>
                <w:szCs w:val="16"/>
              </w:rPr>
              <w:t>Tvarios investicijos pritrauktos į rekultivuotos žemės, kuriai suteikta parama, plotą</w:t>
            </w:r>
          </w:p>
        </w:tc>
        <w:tc>
          <w:tcPr>
            <w:tcW w:w="375" w:type="pct"/>
          </w:tcPr>
          <w:p w14:paraId="5AB0A97E"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EUR</w:t>
            </w:r>
          </w:p>
        </w:tc>
        <w:tc>
          <w:tcPr>
            <w:tcW w:w="422" w:type="pct"/>
          </w:tcPr>
          <w:p w14:paraId="46634062"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68A9C1DF"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2021</w:t>
            </w:r>
          </w:p>
        </w:tc>
        <w:tc>
          <w:tcPr>
            <w:tcW w:w="375" w:type="pct"/>
          </w:tcPr>
          <w:p w14:paraId="537F72C9" w14:textId="45A8B62E"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 xml:space="preserve">4 150 208 </w:t>
            </w:r>
          </w:p>
        </w:tc>
        <w:tc>
          <w:tcPr>
            <w:tcW w:w="328" w:type="pct"/>
          </w:tcPr>
          <w:p w14:paraId="5B635CA3" w14:textId="77777777" w:rsidR="00B61AAD" w:rsidRPr="00B44B19" w:rsidRDefault="00B61AAD" w:rsidP="00B61AAD">
            <w:pPr>
              <w:spacing w:after="0" w:line="240" w:lineRule="auto"/>
              <w:jc w:val="both"/>
              <w:rPr>
                <w:rFonts w:eastAsia="Calibri" w:cs="Times New Roman"/>
                <w:noProof/>
                <w:sz w:val="16"/>
                <w:szCs w:val="16"/>
                <w:highlight w:val="yellow"/>
              </w:rPr>
            </w:pPr>
            <w:r w:rsidRPr="00B44B19">
              <w:rPr>
                <w:rFonts w:cs="Times New Roman"/>
                <w:sz w:val="16"/>
                <w:szCs w:val="16"/>
              </w:rPr>
              <w:t>Projektų duomenys</w:t>
            </w:r>
          </w:p>
        </w:tc>
        <w:tc>
          <w:tcPr>
            <w:tcW w:w="276" w:type="pct"/>
          </w:tcPr>
          <w:p w14:paraId="0DE5CE55"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30B5A7A1" w14:textId="77777777" w:rsidTr="00767828">
        <w:trPr>
          <w:trHeight w:val="286"/>
        </w:trPr>
        <w:tc>
          <w:tcPr>
            <w:tcW w:w="317" w:type="pct"/>
            <w:vMerge/>
          </w:tcPr>
          <w:p w14:paraId="7DF00910"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7C98B4AD"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281" w:type="pct"/>
            <w:vMerge/>
          </w:tcPr>
          <w:p w14:paraId="09585972"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1D6C22FD"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422" w:type="pct"/>
          </w:tcPr>
          <w:p w14:paraId="5886FCB4"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Specialusis</w:t>
            </w:r>
          </w:p>
        </w:tc>
        <w:tc>
          <w:tcPr>
            <w:tcW w:w="1172" w:type="pct"/>
          </w:tcPr>
          <w:p w14:paraId="4D997974"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Įmonių darbuotojai, baigę mokymus, skirtus pramonės pertvarkai reikalingiems įgūdžiams ugdyti (pagal įgūdžio rūšį: techninis, valdymo, ekologijos, kita)</w:t>
            </w:r>
          </w:p>
        </w:tc>
        <w:tc>
          <w:tcPr>
            <w:tcW w:w="375" w:type="pct"/>
          </w:tcPr>
          <w:p w14:paraId="13D53ED8"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Darbuotojai</w:t>
            </w:r>
          </w:p>
        </w:tc>
        <w:tc>
          <w:tcPr>
            <w:tcW w:w="422" w:type="pct"/>
          </w:tcPr>
          <w:p w14:paraId="76D8A6ED" w14:textId="1BDC267A"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7088D6B8"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2021</w:t>
            </w:r>
          </w:p>
        </w:tc>
        <w:tc>
          <w:tcPr>
            <w:tcW w:w="375" w:type="pct"/>
          </w:tcPr>
          <w:p w14:paraId="4CA23E2A" w14:textId="2F6BB1B8" w:rsidR="00B61AAD" w:rsidRPr="00B44B19" w:rsidRDefault="00DC2CB2"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865</w:t>
            </w:r>
          </w:p>
        </w:tc>
        <w:tc>
          <w:tcPr>
            <w:tcW w:w="328" w:type="pct"/>
          </w:tcPr>
          <w:p w14:paraId="0737ABB3" w14:textId="77777777" w:rsidR="00B61AAD" w:rsidRPr="00B44B19" w:rsidRDefault="00B61AAD" w:rsidP="00B61AAD">
            <w:pPr>
              <w:spacing w:after="0" w:line="240" w:lineRule="auto"/>
              <w:jc w:val="both"/>
              <w:rPr>
                <w:rFonts w:eastAsia="Calibri" w:cs="Times New Roman"/>
                <w:noProof/>
                <w:sz w:val="16"/>
                <w:szCs w:val="16"/>
                <w:highlight w:val="yellow"/>
              </w:rPr>
            </w:pPr>
            <w:r w:rsidRPr="00B44B19">
              <w:rPr>
                <w:rFonts w:cs="Times New Roman"/>
                <w:sz w:val="16"/>
                <w:szCs w:val="16"/>
              </w:rPr>
              <w:t>Projektų duomenys</w:t>
            </w:r>
          </w:p>
        </w:tc>
        <w:tc>
          <w:tcPr>
            <w:tcW w:w="276" w:type="pct"/>
          </w:tcPr>
          <w:p w14:paraId="7DC2AEB7"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r w:rsidR="00B61AAD" w:rsidRPr="00B44B19" w14:paraId="349EC410" w14:textId="77777777" w:rsidTr="00767828">
        <w:trPr>
          <w:trHeight w:val="286"/>
        </w:trPr>
        <w:tc>
          <w:tcPr>
            <w:tcW w:w="317" w:type="pct"/>
            <w:vMerge/>
          </w:tcPr>
          <w:p w14:paraId="43EC9CC9"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6747A7EE"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281" w:type="pct"/>
            <w:vMerge/>
          </w:tcPr>
          <w:p w14:paraId="4302384B"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328" w:type="pct"/>
            <w:vMerge/>
          </w:tcPr>
          <w:p w14:paraId="47365F20" w14:textId="77777777" w:rsidR="00B61AAD" w:rsidRPr="00B44B19" w:rsidRDefault="00B61AAD" w:rsidP="00B61AAD">
            <w:pPr>
              <w:spacing w:after="0" w:line="240" w:lineRule="auto"/>
              <w:jc w:val="both"/>
              <w:rPr>
                <w:rFonts w:eastAsia="Calibri" w:cs="Times New Roman"/>
                <w:noProof/>
                <w:sz w:val="16"/>
                <w:szCs w:val="16"/>
                <w:highlight w:val="yellow"/>
              </w:rPr>
            </w:pPr>
          </w:p>
        </w:tc>
        <w:tc>
          <w:tcPr>
            <w:tcW w:w="422" w:type="pct"/>
          </w:tcPr>
          <w:p w14:paraId="0BEC2C37"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Specialusis</w:t>
            </w:r>
          </w:p>
        </w:tc>
        <w:tc>
          <w:tcPr>
            <w:tcW w:w="1172" w:type="pct"/>
          </w:tcPr>
          <w:p w14:paraId="7E68E86F"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Paramą gavusiuose subjektuose sukurtos tvarios darbo vietos</w:t>
            </w:r>
          </w:p>
        </w:tc>
        <w:tc>
          <w:tcPr>
            <w:tcW w:w="375" w:type="pct"/>
          </w:tcPr>
          <w:p w14:paraId="19A9DBD8" w14:textId="77777777" w:rsidR="00B61AAD" w:rsidRPr="00B44B19" w:rsidRDefault="00B61AAD" w:rsidP="00B61AAD">
            <w:pPr>
              <w:spacing w:after="0" w:line="240" w:lineRule="auto"/>
              <w:jc w:val="both"/>
              <w:rPr>
                <w:rFonts w:cs="Times New Roman"/>
                <w:sz w:val="16"/>
                <w:szCs w:val="16"/>
              </w:rPr>
            </w:pPr>
            <w:r w:rsidRPr="00B44B19">
              <w:rPr>
                <w:rFonts w:cs="Times New Roman"/>
                <w:sz w:val="16"/>
                <w:szCs w:val="16"/>
              </w:rPr>
              <w:t>Vienų metų etato ekvivalentai</w:t>
            </w:r>
          </w:p>
        </w:tc>
        <w:tc>
          <w:tcPr>
            <w:tcW w:w="422" w:type="pct"/>
          </w:tcPr>
          <w:p w14:paraId="2463A824"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1E36292C" w14:textId="77777777" w:rsidR="00B61AAD" w:rsidRPr="00B44B19" w:rsidRDefault="00B61AAD"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2021</w:t>
            </w:r>
          </w:p>
        </w:tc>
        <w:tc>
          <w:tcPr>
            <w:tcW w:w="375" w:type="pct"/>
          </w:tcPr>
          <w:p w14:paraId="1ED64A63" w14:textId="518DB26A" w:rsidR="00B61AAD" w:rsidRPr="00B44B19" w:rsidRDefault="00DC2CB2" w:rsidP="00B61AAD">
            <w:pPr>
              <w:spacing w:after="0" w:line="240" w:lineRule="auto"/>
              <w:jc w:val="center"/>
              <w:rPr>
                <w:rFonts w:eastAsia="Calibri" w:cs="Times New Roman"/>
                <w:iCs/>
                <w:noProof/>
                <w:sz w:val="16"/>
                <w:szCs w:val="16"/>
              </w:rPr>
            </w:pPr>
            <w:r w:rsidRPr="00B44B19">
              <w:rPr>
                <w:rFonts w:eastAsia="Calibri" w:cs="Times New Roman"/>
                <w:iCs/>
                <w:noProof/>
                <w:sz w:val="16"/>
                <w:szCs w:val="16"/>
              </w:rPr>
              <w:t>1 102</w:t>
            </w:r>
          </w:p>
        </w:tc>
        <w:tc>
          <w:tcPr>
            <w:tcW w:w="328" w:type="pct"/>
          </w:tcPr>
          <w:p w14:paraId="1DF083CB" w14:textId="77777777" w:rsidR="00B61AAD" w:rsidRPr="00B44B19" w:rsidRDefault="00B61AAD" w:rsidP="00B61AAD">
            <w:pPr>
              <w:spacing w:after="0" w:line="240" w:lineRule="auto"/>
              <w:jc w:val="both"/>
              <w:rPr>
                <w:rFonts w:eastAsia="Calibri" w:cs="Times New Roman"/>
                <w:noProof/>
                <w:sz w:val="16"/>
                <w:szCs w:val="16"/>
                <w:highlight w:val="yellow"/>
              </w:rPr>
            </w:pPr>
            <w:r w:rsidRPr="00B44B19">
              <w:rPr>
                <w:rFonts w:cs="Times New Roman"/>
                <w:sz w:val="16"/>
                <w:szCs w:val="16"/>
              </w:rPr>
              <w:t>Projektų duomenys</w:t>
            </w:r>
          </w:p>
        </w:tc>
        <w:tc>
          <w:tcPr>
            <w:tcW w:w="276" w:type="pct"/>
          </w:tcPr>
          <w:p w14:paraId="2EFCD5B1" w14:textId="77777777" w:rsidR="00B61AAD" w:rsidRPr="00B44B19" w:rsidRDefault="00B61AAD" w:rsidP="00B61AAD">
            <w:pPr>
              <w:spacing w:after="0" w:line="240" w:lineRule="auto"/>
              <w:jc w:val="both"/>
              <w:rPr>
                <w:rFonts w:eastAsia="Calibri" w:cs="Times New Roman"/>
                <w:i/>
                <w:noProof/>
                <w:sz w:val="16"/>
                <w:szCs w:val="16"/>
                <w:highlight w:val="yellow"/>
                <w:lang w:eastAsia="lt-LT" w:bidi="lt-LT"/>
              </w:rPr>
            </w:pPr>
          </w:p>
        </w:tc>
      </w:tr>
    </w:tbl>
    <w:p w14:paraId="49D46EB5" w14:textId="77777777" w:rsidR="00767828" w:rsidRPr="00B44B19" w:rsidRDefault="00767828" w:rsidP="00767828">
      <w:pPr>
        <w:jc w:val="both"/>
        <w:rPr>
          <w:rFonts w:cs="Times New Roman"/>
          <w:b/>
          <w:sz w:val="22"/>
          <w:highlight w:val="yellow"/>
        </w:rPr>
      </w:pPr>
    </w:p>
    <w:p w14:paraId="75A7E7DF" w14:textId="77777777" w:rsidR="00767828" w:rsidRPr="00B44B19" w:rsidRDefault="00767828" w:rsidP="00767828">
      <w:pPr>
        <w:jc w:val="both"/>
        <w:rPr>
          <w:rFonts w:cs="Times New Roman"/>
          <w:sz w:val="16"/>
          <w:szCs w:val="16"/>
          <w:highlight w:val="yellow"/>
        </w:rPr>
        <w:sectPr w:rsidR="00767828" w:rsidRPr="00B44B19" w:rsidSect="00BB7C84">
          <w:pgSz w:w="16838" w:h="11906" w:orient="landscape"/>
          <w:pgMar w:top="1701" w:right="1276" w:bottom="567" w:left="1134" w:header="567" w:footer="567" w:gutter="0"/>
          <w:cols w:space="1296"/>
          <w:docGrid w:linePitch="360"/>
        </w:sectPr>
      </w:pPr>
    </w:p>
    <w:p w14:paraId="45775936" w14:textId="77777777" w:rsidR="00767828" w:rsidRPr="00B44B19" w:rsidRDefault="00767828" w:rsidP="00767828">
      <w:pPr>
        <w:tabs>
          <w:tab w:val="center" w:pos="4819"/>
          <w:tab w:val="right" w:pos="9638"/>
        </w:tabs>
        <w:spacing w:before="120" w:after="120"/>
        <w:rPr>
          <w:rFonts w:cs="Times New Roman"/>
          <w:b/>
          <w:bCs/>
          <w:noProof/>
          <w:sz w:val="22"/>
          <w:lang w:eastAsia="lt-LT" w:bidi="lt-LT"/>
        </w:rPr>
      </w:pPr>
      <w:r w:rsidRPr="00B44B19">
        <w:rPr>
          <w:rFonts w:cs="Times New Roman"/>
          <w:b/>
          <w:i/>
          <w:noProof/>
          <w:color w:val="1F497D" w:themeColor="text2"/>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173"/>
        <w:gridCol w:w="1134"/>
        <w:gridCol w:w="3846"/>
        <w:gridCol w:w="1701"/>
      </w:tblGrid>
      <w:tr w:rsidR="00767828" w:rsidRPr="00B44B19" w14:paraId="1C3A448F" w14:textId="77777777" w:rsidTr="00980660">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A6488F" w14:textId="77777777" w:rsidR="00767828" w:rsidRPr="00B44B19" w:rsidRDefault="00767828" w:rsidP="00BB7C84">
            <w:pPr>
              <w:rPr>
                <w:rFonts w:cs="Times New Roman"/>
                <w:b/>
                <w:noProof/>
                <w:sz w:val="20"/>
                <w:szCs w:val="20"/>
              </w:rPr>
            </w:pPr>
            <w:r w:rsidRPr="00B44B19">
              <w:rPr>
                <w:rFonts w:cs="Times New Roman"/>
                <w:b/>
                <w:noProof/>
                <w:sz w:val="20"/>
                <w:szCs w:val="20"/>
              </w:rPr>
              <w:t>4 lentelė. 1 matmuo. Intervencinių priemonių sritis</w:t>
            </w:r>
          </w:p>
        </w:tc>
      </w:tr>
      <w:tr w:rsidR="00767828" w:rsidRPr="00B44B19" w14:paraId="386A1C98" w14:textId="77777777" w:rsidTr="00980660">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64D4AE"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3FC98F" w14:textId="77777777" w:rsidR="00767828" w:rsidRPr="00B44B19" w:rsidRDefault="00767828" w:rsidP="00BB7C84">
            <w:pPr>
              <w:rPr>
                <w:rFonts w:cs="Times New Roman"/>
                <w:b/>
                <w:iCs/>
                <w:noProof/>
                <w:sz w:val="20"/>
                <w:szCs w:val="20"/>
              </w:rPr>
            </w:pPr>
            <w:r w:rsidRPr="00B44B19">
              <w:rPr>
                <w:rFonts w:cs="Times New Roman"/>
                <w:b/>
                <w:noProof/>
                <w:sz w:val="20"/>
                <w:szCs w:val="20"/>
              </w:rPr>
              <w:t>Fondas</w:t>
            </w:r>
          </w:p>
        </w:tc>
        <w:tc>
          <w:tcPr>
            <w:tcW w:w="11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24758D"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BE83B5"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Konkretus uždavinys</w:t>
            </w:r>
          </w:p>
        </w:tc>
        <w:tc>
          <w:tcPr>
            <w:tcW w:w="3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CF764C"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F9F649" w14:textId="77777777" w:rsidR="00767828" w:rsidRPr="00B44B19" w:rsidRDefault="00767828" w:rsidP="00BB7C84">
            <w:pPr>
              <w:rPr>
                <w:rFonts w:cs="Times New Roman"/>
                <w:b/>
                <w:iCs/>
                <w:noProof/>
                <w:sz w:val="20"/>
                <w:szCs w:val="20"/>
              </w:rPr>
            </w:pPr>
            <w:r w:rsidRPr="00B44B19">
              <w:rPr>
                <w:rFonts w:cs="Times New Roman"/>
                <w:b/>
                <w:noProof/>
                <w:sz w:val="20"/>
                <w:szCs w:val="20"/>
              </w:rPr>
              <w:t>Suma (EUR)</w:t>
            </w:r>
          </w:p>
        </w:tc>
      </w:tr>
      <w:tr w:rsidR="00767828" w:rsidRPr="00B44B19" w14:paraId="7B09A7F4" w14:textId="77777777" w:rsidTr="00980660">
        <w:tc>
          <w:tcPr>
            <w:tcW w:w="1069" w:type="dxa"/>
            <w:vMerge w:val="restart"/>
            <w:tcBorders>
              <w:top w:val="single" w:sz="12" w:space="0" w:color="auto"/>
            </w:tcBorders>
          </w:tcPr>
          <w:p w14:paraId="59D7D766" w14:textId="5D7548F2" w:rsidR="00767828" w:rsidRPr="00B44B19" w:rsidRDefault="00767828" w:rsidP="00767828">
            <w:pPr>
              <w:jc w:val="center"/>
              <w:rPr>
                <w:rFonts w:cs="Times New Roman"/>
                <w:iCs/>
                <w:noProof/>
                <w:sz w:val="20"/>
                <w:szCs w:val="20"/>
                <w:highlight w:val="yellow"/>
              </w:rPr>
            </w:pPr>
            <w:r w:rsidRPr="00B44B19">
              <w:rPr>
                <w:rFonts w:cs="Times New Roman"/>
                <w:noProof/>
                <w:sz w:val="20"/>
                <w:szCs w:val="20"/>
              </w:rPr>
              <w:t>9.</w:t>
            </w:r>
          </w:p>
        </w:tc>
        <w:tc>
          <w:tcPr>
            <w:tcW w:w="843" w:type="dxa"/>
            <w:vMerge w:val="restart"/>
            <w:tcBorders>
              <w:top w:val="single" w:sz="12" w:space="0" w:color="auto"/>
            </w:tcBorders>
          </w:tcPr>
          <w:p w14:paraId="486F3846" w14:textId="77777777" w:rsidR="00767828" w:rsidRPr="00B44B19" w:rsidRDefault="00767828" w:rsidP="00BB7C84">
            <w:pPr>
              <w:jc w:val="center"/>
              <w:rPr>
                <w:rFonts w:cs="Times New Roman"/>
                <w:iCs/>
                <w:noProof/>
                <w:sz w:val="20"/>
                <w:szCs w:val="20"/>
                <w:highlight w:val="yellow"/>
              </w:rPr>
            </w:pPr>
            <w:r w:rsidRPr="00B44B19">
              <w:rPr>
                <w:rFonts w:cs="Times New Roman"/>
                <w:noProof/>
                <w:sz w:val="20"/>
                <w:szCs w:val="20"/>
              </w:rPr>
              <w:t>TPF</w:t>
            </w:r>
          </w:p>
        </w:tc>
        <w:tc>
          <w:tcPr>
            <w:tcW w:w="1173" w:type="dxa"/>
            <w:vMerge w:val="restart"/>
            <w:tcBorders>
              <w:top w:val="single" w:sz="12" w:space="0" w:color="auto"/>
            </w:tcBorders>
          </w:tcPr>
          <w:p w14:paraId="6DCEB58F" w14:textId="77777777" w:rsidR="00767828" w:rsidRPr="00B44B19" w:rsidRDefault="00767828" w:rsidP="00BB7C84">
            <w:pPr>
              <w:rPr>
                <w:rFonts w:cs="Times New Roman"/>
                <w:iCs/>
                <w:noProof/>
                <w:sz w:val="20"/>
                <w:szCs w:val="20"/>
                <w:highlight w:val="yellow"/>
              </w:rPr>
            </w:pPr>
            <w:r w:rsidRPr="00B44B19">
              <w:rPr>
                <w:rFonts w:cs="Times New Roman"/>
                <w:iCs/>
                <w:noProof/>
                <w:sz w:val="20"/>
                <w:szCs w:val="20"/>
              </w:rPr>
              <w:t>VVL regionas</w:t>
            </w:r>
          </w:p>
        </w:tc>
        <w:tc>
          <w:tcPr>
            <w:tcW w:w="1134" w:type="dxa"/>
            <w:vMerge w:val="restart"/>
            <w:tcBorders>
              <w:top w:val="single" w:sz="12" w:space="0" w:color="auto"/>
            </w:tcBorders>
          </w:tcPr>
          <w:p w14:paraId="2E1830E0" w14:textId="77777777" w:rsidR="00767828" w:rsidRPr="00B44B19" w:rsidRDefault="00767828" w:rsidP="00767828">
            <w:pPr>
              <w:jc w:val="center"/>
              <w:rPr>
                <w:rFonts w:cs="Times New Roman"/>
                <w:iCs/>
                <w:noProof/>
                <w:sz w:val="20"/>
                <w:szCs w:val="20"/>
                <w:highlight w:val="yellow"/>
              </w:rPr>
            </w:pPr>
            <w:r w:rsidRPr="00B44B19">
              <w:rPr>
                <w:rFonts w:cs="Times New Roman"/>
                <w:noProof/>
                <w:sz w:val="20"/>
                <w:szCs w:val="20"/>
              </w:rPr>
              <w:t>9.1.</w:t>
            </w:r>
          </w:p>
        </w:tc>
        <w:tc>
          <w:tcPr>
            <w:tcW w:w="3846" w:type="dxa"/>
            <w:tcBorders>
              <w:top w:val="single" w:sz="12" w:space="0" w:color="auto"/>
              <w:bottom w:val="single" w:sz="4" w:space="0" w:color="auto"/>
            </w:tcBorders>
          </w:tcPr>
          <w:p w14:paraId="7117DA03" w14:textId="77777777" w:rsidR="00767828" w:rsidRPr="00B44B19" w:rsidRDefault="00767828" w:rsidP="00BB7C84">
            <w:pPr>
              <w:jc w:val="both"/>
              <w:rPr>
                <w:rFonts w:cs="Times New Roman"/>
                <w:iCs/>
                <w:noProof/>
                <w:sz w:val="20"/>
                <w:szCs w:val="20"/>
              </w:rPr>
            </w:pPr>
            <w:r w:rsidRPr="00B44B19">
              <w:rPr>
                <w:rFonts w:cs="Times New Roman"/>
                <w:iCs/>
                <w:noProof/>
                <w:sz w:val="20"/>
                <w:szCs w:val="20"/>
              </w:rPr>
              <w:t>023 – Pažangiajai specializacijai, pramonės pertvarkai, verslumui ir įmonių prisitaikymui prie pokyčių reikalingų gebėjimų ugdymas</w:t>
            </w:r>
          </w:p>
        </w:tc>
        <w:tc>
          <w:tcPr>
            <w:tcW w:w="1701" w:type="dxa"/>
            <w:tcBorders>
              <w:top w:val="single" w:sz="12" w:space="0" w:color="auto"/>
              <w:bottom w:val="single" w:sz="4" w:space="0" w:color="auto"/>
            </w:tcBorders>
          </w:tcPr>
          <w:p w14:paraId="3B13A0B9" w14:textId="4A208A1D" w:rsidR="00767828" w:rsidRPr="00B44B19" w:rsidRDefault="001A0E27" w:rsidP="00BB7C84">
            <w:pPr>
              <w:jc w:val="right"/>
              <w:rPr>
                <w:rFonts w:cs="Times New Roman"/>
                <w:iCs/>
                <w:noProof/>
                <w:sz w:val="20"/>
                <w:szCs w:val="20"/>
              </w:rPr>
            </w:pPr>
            <w:r w:rsidRPr="00B44B19">
              <w:rPr>
                <w:rFonts w:cs="Times New Roman"/>
                <w:iCs/>
                <w:noProof/>
                <w:sz w:val="20"/>
                <w:szCs w:val="20"/>
              </w:rPr>
              <w:t>9 242 077,00</w:t>
            </w:r>
          </w:p>
        </w:tc>
      </w:tr>
      <w:tr w:rsidR="00767828" w:rsidRPr="00B44B19" w14:paraId="0DB91E96" w14:textId="77777777" w:rsidTr="00980660">
        <w:tc>
          <w:tcPr>
            <w:tcW w:w="1069" w:type="dxa"/>
            <w:vMerge/>
            <w:tcBorders>
              <w:top w:val="single" w:sz="12" w:space="0" w:color="auto"/>
            </w:tcBorders>
          </w:tcPr>
          <w:p w14:paraId="3C7D382C" w14:textId="77777777" w:rsidR="00767828" w:rsidRPr="00B44B19" w:rsidRDefault="00767828" w:rsidP="00BB7C84">
            <w:pPr>
              <w:jc w:val="center"/>
              <w:rPr>
                <w:rFonts w:cs="Times New Roman"/>
                <w:noProof/>
                <w:sz w:val="20"/>
                <w:szCs w:val="20"/>
              </w:rPr>
            </w:pPr>
          </w:p>
        </w:tc>
        <w:tc>
          <w:tcPr>
            <w:tcW w:w="843" w:type="dxa"/>
            <w:vMerge/>
            <w:tcBorders>
              <w:top w:val="single" w:sz="12" w:space="0" w:color="auto"/>
            </w:tcBorders>
          </w:tcPr>
          <w:p w14:paraId="2AE0C5A1" w14:textId="77777777" w:rsidR="00767828" w:rsidRPr="00B44B19" w:rsidRDefault="00767828" w:rsidP="00BB7C84">
            <w:pPr>
              <w:jc w:val="center"/>
              <w:rPr>
                <w:rFonts w:cs="Times New Roman"/>
                <w:noProof/>
                <w:sz w:val="20"/>
                <w:szCs w:val="20"/>
              </w:rPr>
            </w:pPr>
          </w:p>
        </w:tc>
        <w:tc>
          <w:tcPr>
            <w:tcW w:w="1173" w:type="dxa"/>
            <w:vMerge/>
            <w:tcBorders>
              <w:top w:val="single" w:sz="12" w:space="0" w:color="auto"/>
            </w:tcBorders>
          </w:tcPr>
          <w:p w14:paraId="0C0A7C92" w14:textId="77777777" w:rsidR="00767828" w:rsidRPr="00B44B19" w:rsidRDefault="00767828" w:rsidP="00BB7C84">
            <w:pPr>
              <w:rPr>
                <w:rFonts w:cs="Times New Roman"/>
                <w:noProof/>
                <w:sz w:val="20"/>
                <w:szCs w:val="20"/>
              </w:rPr>
            </w:pPr>
          </w:p>
        </w:tc>
        <w:tc>
          <w:tcPr>
            <w:tcW w:w="1134" w:type="dxa"/>
            <w:vMerge/>
            <w:tcBorders>
              <w:top w:val="single" w:sz="12" w:space="0" w:color="auto"/>
            </w:tcBorders>
          </w:tcPr>
          <w:p w14:paraId="0959A0AB" w14:textId="77777777" w:rsidR="00767828" w:rsidRPr="00B44B19" w:rsidRDefault="00767828" w:rsidP="00BB7C84">
            <w:pPr>
              <w:jc w:val="center"/>
              <w:rPr>
                <w:rFonts w:cs="Times New Roman"/>
                <w:noProof/>
                <w:sz w:val="20"/>
                <w:szCs w:val="20"/>
              </w:rPr>
            </w:pPr>
          </w:p>
        </w:tc>
        <w:tc>
          <w:tcPr>
            <w:tcW w:w="3846" w:type="dxa"/>
            <w:tcBorders>
              <w:top w:val="single" w:sz="4" w:space="0" w:color="auto"/>
              <w:bottom w:val="single" w:sz="4" w:space="0" w:color="auto"/>
            </w:tcBorders>
          </w:tcPr>
          <w:p w14:paraId="4E75795E" w14:textId="77777777" w:rsidR="00767828" w:rsidRPr="00B44B19" w:rsidDel="00AA781F" w:rsidRDefault="00767828" w:rsidP="00BB7C84">
            <w:pPr>
              <w:jc w:val="both"/>
              <w:rPr>
                <w:rFonts w:cs="Times New Roman"/>
                <w:iCs/>
                <w:noProof/>
                <w:sz w:val="20"/>
                <w:szCs w:val="20"/>
              </w:rPr>
            </w:pPr>
            <w:r w:rsidRPr="00B44B19">
              <w:rPr>
                <w:rFonts w:cs="Times New Roman"/>
                <w:iCs/>
                <w:noProof/>
                <w:sz w:val="20"/>
                <w:szCs w:val="20"/>
              </w:rPr>
              <w:t>029 –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w:t>
            </w:r>
          </w:p>
        </w:tc>
        <w:tc>
          <w:tcPr>
            <w:tcW w:w="1701" w:type="dxa"/>
            <w:tcBorders>
              <w:top w:val="single" w:sz="4" w:space="0" w:color="auto"/>
              <w:bottom w:val="single" w:sz="4" w:space="0" w:color="auto"/>
            </w:tcBorders>
          </w:tcPr>
          <w:p w14:paraId="0BBDDC4D" w14:textId="77777777" w:rsidR="00767828" w:rsidRPr="00B44B19" w:rsidDel="00A949B6" w:rsidRDefault="00767828" w:rsidP="00BB7C84">
            <w:pPr>
              <w:jc w:val="right"/>
              <w:rPr>
                <w:rFonts w:cs="Times New Roman"/>
                <w:iCs/>
                <w:noProof/>
                <w:sz w:val="20"/>
                <w:szCs w:val="20"/>
              </w:rPr>
            </w:pPr>
            <w:r w:rsidRPr="00B44B19">
              <w:rPr>
                <w:rFonts w:cs="Times New Roman"/>
                <w:iCs/>
                <w:noProof/>
                <w:sz w:val="20"/>
                <w:szCs w:val="20"/>
              </w:rPr>
              <w:t>500 000,00</w:t>
            </w:r>
          </w:p>
        </w:tc>
      </w:tr>
      <w:tr w:rsidR="00767828" w:rsidRPr="00B44B19" w14:paraId="1B16F2C6" w14:textId="77777777" w:rsidTr="00980660">
        <w:tc>
          <w:tcPr>
            <w:tcW w:w="1069" w:type="dxa"/>
            <w:vMerge/>
            <w:tcBorders>
              <w:top w:val="single" w:sz="12" w:space="0" w:color="auto"/>
            </w:tcBorders>
          </w:tcPr>
          <w:p w14:paraId="11D72534" w14:textId="77777777" w:rsidR="00767828" w:rsidRPr="00B44B19" w:rsidRDefault="00767828" w:rsidP="00BB7C84">
            <w:pPr>
              <w:jc w:val="center"/>
              <w:rPr>
                <w:rFonts w:cs="Times New Roman"/>
                <w:noProof/>
                <w:sz w:val="20"/>
                <w:szCs w:val="20"/>
              </w:rPr>
            </w:pPr>
          </w:p>
        </w:tc>
        <w:tc>
          <w:tcPr>
            <w:tcW w:w="843" w:type="dxa"/>
            <w:vMerge/>
            <w:tcBorders>
              <w:top w:val="single" w:sz="12" w:space="0" w:color="auto"/>
            </w:tcBorders>
          </w:tcPr>
          <w:p w14:paraId="05BB0506" w14:textId="77777777" w:rsidR="00767828" w:rsidRPr="00B44B19" w:rsidRDefault="00767828" w:rsidP="00BB7C84">
            <w:pPr>
              <w:jc w:val="center"/>
              <w:rPr>
                <w:rFonts w:cs="Times New Roman"/>
                <w:noProof/>
                <w:sz w:val="20"/>
                <w:szCs w:val="20"/>
              </w:rPr>
            </w:pPr>
          </w:p>
        </w:tc>
        <w:tc>
          <w:tcPr>
            <w:tcW w:w="1173" w:type="dxa"/>
            <w:vMerge/>
            <w:tcBorders>
              <w:top w:val="single" w:sz="12" w:space="0" w:color="auto"/>
            </w:tcBorders>
          </w:tcPr>
          <w:p w14:paraId="72BC7571" w14:textId="77777777" w:rsidR="00767828" w:rsidRPr="00B44B19" w:rsidRDefault="00767828" w:rsidP="00BB7C84">
            <w:pPr>
              <w:rPr>
                <w:rFonts w:cs="Times New Roman"/>
                <w:noProof/>
                <w:sz w:val="20"/>
                <w:szCs w:val="20"/>
              </w:rPr>
            </w:pPr>
          </w:p>
        </w:tc>
        <w:tc>
          <w:tcPr>
            <w:tcW w:w="1134" w:type="dxa"/>
            <w:vMerge/>
            <w:tcBorders>
              <w:top w:val="single" w:sz="12" w:space="0" w:color="auto"/>
            </w:tcBorders>
          </w:tcPr>
          <w:p w14:paraId="42F26E15" w14:textId="77777777" w:rsidR="00767828" w:rsidRPr="00B44B19" w:rsidRDefault="00767828" w:rsidP="00BB7C84">
            <w:pPr>
              <w:jc w:val="center"/>
              <w:rPr>
                <w:rFonts w:cs="Times New Roman"/>
                <w:noProof/>
                <w:sz w:val="20"/>
                <w:szCs w:val="20"/>
              </w:rPr>
            </w:pPr>
          </w:p>
        </w:tc>
        <w:tc>
          <w:tcPr>
            <w:tcW w:w="3846" w:type="dxa"/>
            <w:tcBorders>
              <w:top w:val="single" w:sz="4" w:space="0" w:color="auto"/>
              <w:bottom w:val="single" w:sz="4" w:space="0" w:color="auto"/>
            </w:tcBorders>
          </w:tcPr>
          <w:p w14:paraId="6975E32F" w14:textId="5E164B17" w:rsidR="00767828" w:rsidRPr="00B44B19" w:rsidDel="00AA781F" w:rsidRDefault="00767828" w:rsidP="00EF7F7D">
            <w:pPr>
              <w:jc w:val="both"/>
              <w:rPr>
                <w:rFonts w:cs="Times New Roman"/>
                <w:iCs/>
                <w:noProof/>
                <w:sz w:val="20"/>
                <w:szCs w:val="20"/>
              </w:rPr>
            </w:pPr>
            <w:r w:rsidRPr="00B44B19">
              <w:rPr>
                <w:rFonts w:cs="Times New Roman"/>
                <w:iCs/>
                <w:noProof/>
                <w:sz w:val="20"/>
                <w:szCs w:val="20"/>
              </w:rPr>
              <w:t>0</w:t>
            </w:r>
            <w:r w:rsidR="00EF7F7D" w:rsidRPr="00B44B19">
              <w:rPr>
                <w:rFonts w:cs="Times New Roman"/>
                <w:iCs/>
                <w:noProof/>
                <w:sz w:val="20"/>
                <w:szCs w:val="20"/>
              </w:rPr>
              <w:t>20</w:t>
            </w:r>
            <w:r w:rsidRPr="00B44B19">
              <w:rPr>
                <w:rFonts w:cs="Times New Roman"/>
                <w:iCs/>
                <w:noProof/>
                <w:sz w:val="20"/>
                <w:szCs w:val="20"/>
              </w:rPr>
              <w:t xml:space="preserve"> – </w:t>
            </w:r>
            <w:r w:rsidR="00EF7F7D" w:rsidRPr="00B44B19">
              <w:rPr>
                <w:rFonts w:cs="Times New Roman"/>
                <w:iCs/>
                <w:noProof/>
                <w:sz w:val="20"/>
                <w:szCs w:val="20"/>
              </w:rPr>
              <w:t>MVĮ skirta verslo infrastruktūra (įskaitant pramonės parkus ir zonas)</w:t>
            </w:r>
          </w:p>
        </w:tc>
        <w:tc>
          <w:tcPr>
            <w:tcW w:w="1701" w:type="dxa"/>
            <w:tcBorders>
              <w:top w:val="single" w:sz="4" w:space="0" w:color="auto"/>
              <w:bottom w:val="single" w:sz="4" w:space="0" w:color="auto"/>
            </w:tcBorders>
          </w:tcPr>
          <w:p w14:paraId="6A996DD2" w14:textId="599BD8B2" w:rsidR="00767828" w:rsidRPr="00B44B19" w:rsidRDefault="00D72C8C" w:rsidP="00BB7C84">
            <w:pPr>
              <w:jc w:val="right"/>
              <w:rPr>
                <w:rFonts w:cs="Times New Roman"/>
                <w:iCs/>
                <w:noProof/>
                <w:sz w:val="20"/>
                <w:szCs w:val="20"/>
              </w:rPr>
            </w:pPr>
            <w:r w:rsidRPr="00B44B19">
              <w:rPr>
                <w:rFonts w:cs="Times New Roman"/>
                <w:iCs/>
                <w:noProof/>
                <w:sz w:val="20"/>
                <w:szCs w:val="20"/>
              </w:rPr>
              <w:t xml:space="preserve">18 393 545,00 </w:t>
            </w:r>
          </w:p>
        </w:tc>
      </w:tr>
      <w:tr w:rsidR="00AD50AF" w:rsidRPr="00B44B19" w14:paraId="50D3927F" w14:textId="77777777" w:rsidTr="00980660">
        <w:tc>
          <w:tcPr>
            <w:tcW w:w="1069" w:type="dxa"/>
            <w:vMerge/>
            <w:tcBorders>
              <w:top w:val="single" w:sz="12" w:space="0" w:color="auto"/>
            </w:tcBorders>
          </w:tcPr>
          <w:p w14:paraId="4B38C2A8" w14:textId="77777777" w:rsidR="00AD50AF" w:rsidRPr="00B44B19" w:rsidRDefault="00AD50AF" w:rsidP="00AD50AF">
            <w:pPr>
              <w:jc w:val="center"/>
              <w:rPr>
                <w:rFonts w:cs="Times New Roman"/>
                <w:noProof/>
                <w:sz w:val="20"/>
                <w:szCs w:val="20"/>
              </w:rPr>
            </w:pPr>
          </w:p>
        </w:tc>
        <w:tc>
          <w:tcPr>
            <w:tcW w:w="843" w:type="dxa"/>
            <w:vMerge/>
            <w:tcBorders>
              <w:top w:val="single" w:sz="12" w:space="0" w:color="auto"/>
            </w:tcBorders>
          </w:tcPr>
          <w:p w14:paraId="5B9091A7" w14:textId="77777777" w:rsidR="00AD50AF" w:rsidRPr="00B44B19" w:rsidRDefault="00AD50AF" w:rsidP="00AD50AF">
            <w:pPr>
              <w:jc w:val="center"/>
              <w:rPr>
                <w:rFonts w:cs="Times New Roman"/>
                <w:noProof/>
                <w:sz w:val="20"/>
                <w:szCs w:val="20"/>
              </w:rPr>
            </w:pPr>
          </w:p>
        </w:tc>
        <w:tc>
          <w:tcPr>
            <w:tcW w:w="1173" w:type="dxa"/>
            <w:vMerge/>
            <w:tcBorders>
              <w:top w:val="single" w:sz="12" w:space="0" w:color="auto"/>
            </w:tcBorders>
          </w:tcPr>
          <w:p w14:paraId="54309FB7" w14:textId="77777777" w:rsidR="00AD50AF" w:rsidRPr="00B44B19" w:rsidRDefault="00AD50AF" w:rsidP="00AD50AF">
            <w:pPr>
              <w:rPr>
                <w:rFonts w:cs="Times New Roman"/>
                <w:noProof/>
                <w:sz w:val="20"/>
                <w:szCs w:val="20"/>
              </w:rPr>
            </w:pPr>
          </w:p>
        </w:tc>
        <w:tc>
          <w:tcPr>
            <w:tcW w:w="1134" w:type="dxa"/>
            <w:vMerge/>
            <w:tcBorders>
              <w:top w:val="single" w:sz="12" w:space="0" w:color="auto"/>
            </w:tcBorders>
          </w:tcPr>
          <w:p w14:paraId="686C0678" w14:textId="77777777" w:rsidR="00AD50AF" w:rsidRPr="00B44B19" w:rsidRDefault="00AD50AF" w:rsidP="00AD50AF">
            <w:pPr>
              <w:jc w:val="center"/>
              <w:rPr>
                <w:rFonts w:cs="Times New Roman"/>
                <w:noProof/>
                <w:sz w:val="20"/>
                <w:szCs w:val="20"/>
              </w:rPr>
            </w:pPr>
          </w:p>
        </w:tc>
        <w:tc>
          <w:tcPr>
            <w:tcW w:w="3846" w:type="dxa"/>
            <w:tcBorders>
              <w:top w:val="single" w:sz="4" w:space="0" w:color="auto"/>
              <w:bottom w:val="single" w:sz="4" w:space="0" w:color="auto"/>
            </w:tcBorders>
          </w:tcPr>
          <w:p w14:paraId="13412561" w14:textId="6CC6A929" w:rsidR="00AD50AF" w:rsidRPr="00B44B19" w:rsidRDefault="00AD50AF" w:rsidP="00AD50AF">
            <w:pPr>
              <w:jc w:val="both"/>
              <w:rPr>
                <w:rFonts w:cs="Times New Roman"/>
                <w:iCs/>
                <w:noProof/>
                <w:sz w:val="20"/>
                <w:szCs w:val="20"/>
              </w:rPr>
            </w:pPr>
            <w:r w:rsidRPr="00B44B19">
              <w:rPr>
                <w:rFonts w:eastAsia="Calibri" w:cs="Times New Roman"/>
                <w:iCs/>
                <w:noProof/>
                <w:sz w:val="20"/>
                <w:szCs w:val="20"/>
              </w:rPr>
              <w:t>040 –</w:t>
            </w:r>
            <w:r w:rsidRPr="00B44B19">
              <w:rPr>
                <w:rFonts w:eastAsia="Calibri" w:cs="Times New Roman"/>
              </w:rPr>
              <w:t xml:space="preserve"> </w:t>
            </w:r>
            <w:r w:rsidRPr="00B44B19">
              <w:rPr>
                <w:rFonts w:eastAsia="Calibri" w:cs="Times New Roman"/>
                <w:iCs/>
                <w:noProof/>
                <w:sz w:val="20"/>
                <w:szCs w:val="20"/>
              </w:rPr>
              <w:t>MVĮ arba didelių įmonių efektyvus energijos vartojimas ir jose vykdomi parodomieji projektai, taip pat pagalbinės priemonės, atitinkančios energijos vartojimo efektyvumo kriterijus</w:t>
            </w:r>
          </w:p>
        </w:tc>
        <w:tc>
          <w:tcPr>
            <w:tcW w:w="1701" w:type="dxa"/>
            <w:tcBorders>
              <w:top w:val="single" w:sz="4" w:space="0" w:color="auto"/>
              <w:bottom w:val="single" w:sz="4" w:space="0" w:color="auto"/>
            </w:tcBorders>
          </w:tcPr>
          <w:p w14:paraId="4543B069" w14:textId="1C5476C5" w:rsidR="00AD50AF" w:rsidRPr="00B44B19" w:rsidRDefault="00AD50AF" w:rsidP="00AD50AF">
            <w:pPr>
              <w:jc w:val="right"/>
              <w:rPr>
                <w:rFonts w:cs="Times New Roman"/>
                <w:iCs/>
                <w:noProof/>
                <w:sz w:val="20"/>
                <w:szCs w:val="20"/>
              </w:rPr>
            </w:pPr>
            <w:r w:rsidRPr="00B44B19">
              <w:rPr>
                <w:rFonts w:eastAsia="Calibri" w:cs="Times New Roman"/>
                <w:iCs/>
                <w:noProof/>
                <w:sz w:val="20"/>
                <w:szCs w:val="20"/>
                <w:lang w:val="en-US"/>
              </w:rPr>
              <w:t>13 551 512,00</w:t>
            </w:r>
          </w:p>
        </w:tc>
      </w:tr>
      <w:tr w:rsidR="00AD50AF" w:rsidRPr="00B44B19" w14:paraId="3D37E287" w14:textId="77777777" w:rsidTr="00980660">
        <w:tc>
          <w:tcPr>
            <w:tcW w:w="1069" w:type="dxa"/>
            <w:vMerge/>
            <w:tcBorders>
              <w:top w:val="single" w:sz="12" w:space="0" w:color="auto"/>
            </w:tcBorders>
          </w:tcPr>
          <w:p w14:paraId="502C26BE" w14:textId="77777777" w:rsidR="00AD50AF" w:rsidRPr="00B44B19" w:rsidRDefault="00AD50AF" w:rsidP="00AD50AF">
            <w:pPr>
              <w:jc w:val="center"/>
              <w:rPr>
                <w:rFonts w:cs="Times New Roman"/>
                <w:noProof/>
                <w:sz w:val="20"/>
                <w:szCs w:val="20"/>
              </w:rPr>
            </w:pPr>
          </w:p>
        </w:tc>
        <w:tc>
          <w:tcPr>
            <w:tcW w:w="843" w:type="dxa"/>
            <w:vMerge/>
            <w:tcBorders>
              <w:top w:val="single" w:sz="12" w:space="0" w:color="auto"/>
            </w:tcBorders>
          </w:tcPr>
          <w:p w14:paraId="48D72DFA" w14:textId="77777777" w:rsidR="00AD50AF" w:rsidRPr="00B44B19" w:rsidRDefault="00AD50AF" w:rsidP="00AD50AF">
            <w:pPr>
              <w:jc w:val="center"/>
              <w:rPr>
                <w:rFonts w:cs="Times New Roman"/>
                <w:noProof/>
                <w:sz w:val="20"/>
                <w:szCs w:val="20"/>
              </w:rPr>
            </w:pPr>
          </w:p>
        </w:tc>
        <w:tc>
          <w:tcPr>
            <w:tcW w:w="1173" w:type="dxa"/>
            <w:vMerge/>
            <w:tcBorders>
              <w:top w:val="single" w:sz="12" w:space="0" w:color="auto"/>
            </w:tcBorders>
          </w:tcPr>
          <w:p w14:paraId="020B9954" w14:textId="77777777" w:rsidR="00AD50AF" w:rsidRPr="00B44B19" w:rsidRDefault="00AD50AF" w:rsidP="00AD50AF">
            <w:pPr>
              <w:rPr>
                <w:rFonts w:cs="Times New Roman"/>
                <w:noProof/>
                <w:sz w:val="20"/>
                <w:szCs w:val="20"/>
              </w:rPr>
            </w:pPr>
          </w:p>
        </w:tc>
        <w:tc>
          <w:tcPr>
            <w:tcW w:w="1134" w:type="dxa"/>
            <w:vMerge/>
            <w:tcBorders>
              <w:top w:val="single" w:sz="12" w:space="0" w:color="auto"/>
            </w:tcBorders>
          </w:tcPr>
          <w:p w14:paraId="1205E643" w14:textId="77777777" w:rsidR="00AD50AF" w:rsidRPr="00B44B19" w:rsidRDefault="00AD50AF" w:rsidP="00AD50AF">
            <w:pPr>
              <w:jc w:val="center"/>
              <w:rPr>
                <w:rFonts w:cs="Times New Roman"/>
                <w:noProof/>
                <w:sz w:val="20"/>
                <w:szCs w:val="20"/>
              </w:rPr>
            </w:pPr>
          </w:p>
        </w:tc>
        <w:tc>
          <w:tcPr>
            <w:tcW w:w="3846" w:type="dxa"/>
            <w:tcBorders>
              <w:top w:val="single" w:sz="4" w:space="0" w:color="auto"/>
              <w:bottom w:val="single" w:sz="4" w:space="0" w:color="auto"/>
            </w:tcBorders>
          </w:tcPr>
          <w:p w14:paraId="075F5B68" w14:textId="6F5D1431" w:rsidR="00AD50AF" w:rsidRPr="00B44B19" w:rsidRDefault="00AD50AF" w:rsidP="00AD50AF">
            <w:pPr>
              <w:jc w:val="both"/>
              <w:rPr>
                <w:rFonts w:cs="Times New Roman"/>
                <w:iCs/>
                <w:noProof/>
                <w:sz w:val="20"/>
                <w:szCs w:val="20"/>
              </w:rPr>
            </w:pPr>
            <w:r w:rsidRPr="00B44B19">
              <w:rPr>
                <w:rFonts w:eastAsia="Calibri" w:cs="Times New Roman"/>
                <w:iCs/>
                <w:noProof/>
                <w:sz w:val="20"/>
                <w:szCs w:val="20"/>
              </w:rPr>
              <w:t>048 –</w:t>
            </w:r>
            <w:r w:rsidRPr="00B44B19">
              <w:rPr>
                <w:rFonts w:eastAsia="Calibri" w:cs="Times New Roman"/>
                <w:iCs/>
                <w:noProof/>
                <w:sz w:val="20"/>
              </w:rPr>
              <w:t xml:space="preserve"> </w:t>
            </w:r>
            <w:r w:rsidRPr="00B44B19">
              <w:rPr>
                <w:rFonts w:eastAsia="Calibri" w:cs="Times New Roman"/>
                <w:iCs/>
                <w:noProof/>
                <w:sz w:val="20"/>
                <w:szCs w:val="20"/>
              </w:rPr>
              <w:t>Atsinaujinančioji energija: saulė</w:t>
            </w:r>
          </w:p>
        </w:tc>
        <w:tc>
          <w:tcPr>
            <w:tcW w:w="1701" w:type="dxa"/>
            <w:tcBorders>
              <w:top w:val="single" w:sz="4" w:space="0" w:color="auto"/>
              <w:bottom w:val="single" w:sz="4" w:space="0" w:color="auto"/>
            </w:tcBorders>
          </w:tcPr>
          <w:p w14:paraId="70425EB3" w14:textId="60DC9795" w:rsidR="00AD50AF" w:rsidRPr="00B44B19" w:rsidRDefault="00AD50AF" w:rsidP="00AD50AF">
            <w:pPr>
              <w:jc w:val="right"/>
              <w:rPr>
                <w:rFonts w:cs="Times New Roman"/>
                <w:iCs/>
                <w:noProof/>
                <w:sz w:val="20"/>
                <w:szCs w:val="20"/>
              </w:rPr>
            </w:pPr>
            <w:r w:rsidRPr="00B44B19">
              <w:rPr>
                <w:rFonts w:eastAsia="Calibri" w:cs="Times New Roman"/>
                <w:iCs/>
                <w:noProof/>
                <w:sz w:val="20"/>
                <w:szCs w:val="20"/>
              </w:rPr>
              <w:t>14 859 076,00</w:t>
            </w:r>
          </w:p>
        </w:tc>
      </w:tr>
      <w:tr w:rsidR="00AD50AF" w:rsidRPr="00B44B19" w14:paraId="5565F629" w14:textId="77777777" w:rsidTr="00980660">
        <w:tc>
          <w:tcPr>
            <w:tcW w:w="1069" w:type="dxa"/>
            <w:vMerge/>
          </w:tcPr>
          <w:p w14:paraId="5A6C5578" w14:textId="77777777" w:rsidR="00AD50AF" w:rsidRPr="00B44B19" w:rsidRDefault="00AD50AF" w:rsidP="00AD50AF">
            <w:pPr>
              <w:rPr>
                <w:rFonts w:cs="Times New Roman"/>
                <w:iCs/>
                <w:noProof/>
                <w:sz w:val="20"/>
                <w:szCs w:val="20"/>
                <w:highlight w:val="yellow"/>
              </w:rPr>
            </w:pPr>
          </w:p>
        </w:tc>
        <w:tc>
          <w:tcPr>
            <w:tcW w:w="843" w:type="dxa"/>
            <w:vMerge/>
          </w:tcPr>
          <w:p w14:paraId="0917B7A3" w14:textId="77777777" w:rsidR="00AD50AF" w:rsidRPr="00B44B19" w:rsidRDefault="00AD50AF" w:rsidP="00AD50AF">
            <w:pPr>
              <w:rPr>
                <w:rFonts w:cs="Times New Roman"/>
                <w:b/>
                <w:iCs/>
                <w:noProof/>
                <w:sz w:val="20"/>
                <w:szCs w:val="20"/>
                <w:highlight w:val="yellow"/>
              </w:rPr>
            </w:pPr>
          </w:p>
        </w:tc>
        <w:tc>
          <w:tcPr>
            <w:tcW w:w="1173" w:type="dxa"/>
            <w:vMerge/>
          </w:tcPr>
          <w:p w14:paraId="6DEC8FED" w14:textId="77777777" w:rsidR="00AD50AF" w:rsidRPr="00B44B19" w:rsidRDefault="00AD50AF" w:rsidP="00AD50AF">
            <w:pPr>
              <w:rPr>
                <w:rFonts w:cs="Times New Roman"/>
                <w:iCs/>
                <w:noProof/>
                <w:sz w:val="20"/>
                <w:szCs w:val="20"/>
                <w:highlight w:val="yellow"/>
              </w:rPr>
            </w:pPr>
          </w:p>
        </w:tc>
        <w:tc>
          <w:tcPr>
            <w:tcW w:w="1134" w:type="dxa"/>
            <w:vMerge/>
          </w:tcPr>
          <w:p w14:paraId="275A5B47" w14:textId="77777777" w:rsidR="00AD50AF" w:rsidRPr="00B44B19" w:rsidRDefault="00AD50AF" w:rsidP="00AD50AF">
            <w:pPr>
              <w:rPr>
                <w:rFonts w:cs="Times New Roman"/>
                <w:b/>
                <w:iCs/>
                <w:noProof/>
                <w:sz w:val="20"/>
                <w:szCs w:val="20"/>
                <w:highlight w:val="yellow"/>
              </w:rPr>
            </w:pPr>
          </w:p>
        </w:tc>
        <w:tc>
          <w:tcPr>
            <w:tcW w:w="3846" w:type="dxa"/>
            <w:tcBorders>
              <w:top w:val="single" w:sz="4" w:space="0" w:color="auto"/>
              <w:bottom w:val="single" w:sz="4" w:space="0" w:color="auto"/>
            </w:tcBorders>
          </w:tcPr>
          <w:p w14:paraId="506C8716" w14:textId="77777777" w:rsidR="00AD50AF" w:rsidRPr="00B44B19" w:rsidRDefault="00AD50AF" w:rsidP="00AD50AF">
            <w:pPr>
              <w:jc w:val="both"/>
              <w:rPr>
                <w:rFonts w:cs="Times New Roman"/>
                <w:iCs/>
                <w:noProof/>
                <w:sz w:val="20"/>
                <w:szCs w:val="20"/>
              </w:rPr>
            </w:pPr>
            <w:r w:rsidRPr="00B44B19">
              <w:rPr>
                <w:rFonts w:cs="Times New Roman"/>
                <w:iCs/>
                <w:noProof/>
                <w:sz w:val="20"/>
                <w:szCs w:val="20"/>
              </w:rPr>
              <w:t>075 – Parama aplinką tausojantiems gamybos procesams ir efektyviam išteklių naudojimui MVĮ užtikrinti</w:t>
            </w:r>
          </w:p>
        </w:tc>
        <w:tc>
          <w:tcPr>
            <w:tcW w:w="1701" w:type="dxa"/>
            <w:tcBorders>
              <w:top w:val="single" w:sz="4" w:space="0" w:color="auto"/>
              <w:bottom w:val="single" w:sz="4" w:space="0" w:color="auto"/>
            </w:tcBorders>
          </w:tcPr>
          <w:p w14:paraId="6E873E17" w14:textId="44026CCA" w:rsidR="00AD50AF" w:rsidRPr="00B44B19" w:rsidRDefault="00DC2CB2" w:rsidP="00AD50AF">
            <w:pPr>
              <w:jc w:val="right"/>
              <w:rPr>
                <w:rFonts w:cs="Times New Roman"/>
                <w:iCs/>
                <w:noProof/>
                <w:sz w:val="20"/>
                <w:szCs w:val="20"/>
              </w:rPr>
            </w:pPr>
            <w:r w:rsidRPr="00B44B19">
              <w:rPr>
                <w:rFonts w:cs="Times New Roman"/>
                <w:iCs/>
                <w:noProof/>
                <w:sz w:val="20"/>
                <w:szCs w:val="20"/>
              </w:rPr>
              <w:t>134 102 716,00</w:t>
            </w:r>
          </w:p>
        </w:tc>
      </w:tr>
      <w:tr w:rsidR="00AD50AF" w:rsidRPr="00B44B19" w14:paraId="1AA0D4C1" w14:textId="77777777" w:rsidTr="00980660">
        <w:tc>
          <w:tcPr>
            <w:tcW w:w="1069" w:type="dxa"/>
            <w:vMerge/>
          </w:tcPr>
          <w:p w14:paraId="43A15BD6" w14:textId="77777777" w:rsidR="00AD50AF" w:rsidRPr="00B44B19" w:rsidRDefault="00AD50AF" w:rsidP="00AD50AF">
            <w:pPr>
              <w:rPr>
                <w:rFonts w:cs="Times New Roman"/>
                <w:iCs/>
                <w:noProof/>
                <w:sz w:val="20"/>
                <w:szCs w:val="20"/>
                <w:highlight w:val="yellow"/>
              </w:rPr>
            </w:pPr>
          </w:p>
        </w:tc>
        <w:tc>
          <w:tcPr>
            <w:tcW w:w="843" w:type="dxa"/>
            <w:vMerge/>
          </w:tcPr>
          <w:p w14:paraId="204CEB86" w14:textId="77777777" w:rsidR="00AD50AF" w:rsidRPr="00B44B19" w:rsidRDefault="00AD50AF" w:rsidP="00AD50AF">
            <w:pPr>
              <w:rPr>
                <w:rFonts w:cs="Times New Roman"/>
                <w:b/>
                <w:iCs/>
                <w:noProof/>
                <w:sz w:val="20"/>
                <w:szCs w:val="20"/>
                <w:highlight w:val="yellow"/>
              </w:rPr>
            </w:pPr>
          </w:p>
        </w:tc>
        <w:tc>
          <w:tcPr>
            <w:tcW w:w="1173" w:type="dxa"/>
            <w:vMerge/>
          </w:tcPr>
          <w:p w14:paraId="41F431CC" w14:textId="77777777" w:rsidR="00AD50AF" w:rsidRPr="00B44B19" w:rsidRDefault="00AD50AF" w:rsidP="00AD50AF">
            <w:pPr>
              <w:rPr>
                <w:rFonts w:cs="Times New Roman"/>
                <w:iCs/>
                <w:noProof/>
                <w:sz w:val="20"/>
                <w:szCs w:val="20"/>
                <w:highlight w:val="yellow"/>
              </w:rPr>
            </w:pPr>
          </w:p>
        </w:tc>
        <w:tc>
          <w:tcPr>
            <w:tcW w:w="1134" w:type="dxa"/>
            <w:vMerge/>
          </w:tcPr>
          <w:p w14:paraId="502728D7" w14:textId="77777777" w:rsidR="00AD50AF" w:rsidRPr="00B44B19" w:rsidRDefault="00AD50AF" w:rsidP="00AD50AF">
            <w:pPr>
              <w:rPr>
                <w:rFonts w:cs="Times New Roman"/>
                <w:b/>
                <w:iCs/>
                <w:noProof/>
                <w:sz w:val="20"/>
                <w:szCs w:val="20"/>
                <w:highlight w:val="yellow"/>
              </w:rPr>
            </w:pPr>
          </w:p>
        </w:tc>
        <w:tc>
          <w:tcPr>
            <w:tcW w:w="3846" w:type="dxa"/>
            <w:tcBorders>
              <w:top w:val="single" w:sz="4" w:space="0" w:color="auto"/>
              <w:bottom w:val="single" w:sz="4" w:space="0" w:color="auto"/>
            </w:tcBorders>
          </w:tcPr>
          <w:p w14:paraId="09568FC2" w14:textId="77777777" w:rsidR="00AD50AF" w:rsidRPr="00B44B19" w:rsidDel="009B76AC" w:rsidRDefault="00AD50AF" w:rsidP="00AD50AF">
            <w:pPr>
              <w:jc w:val="both"/>
              <w:rPr>
                <w:rFonts w:cs="Times New Roman"/>
                <w:iCs/>
                <w:noProof/>
                <w:sz w:val="20"/>
                <w:szCs w:val="20"/>
              </w:rPr>
            </w:pPr>
            <w:r w:rsidRPr="00B44B19">
              <w:rPr>
                <w:rFonts w:cs="Times New Roman"/>
                <w:iCs/>
                <w:noProof/>
                <w:sz w:val="20"/>
                <w:szCs w:val="20"/>
              </w:rPr>
              <w:t>076 – Parama aplinką tausojantiems gamybos procesams ir efektyviam išteklių naudojimui didelėse įmonėse užtikrinti</w:t>
            </w:r>
          </w:p>
        </w:tc>
        <w:tc>
          <w:tcPr>
            <w:tcW w:w="1701" w:type="dxa"/>
            <w:tcBorders>
              <w:top w:val="single" w:sz="4" w:space="0" w:color="auto"/>
              <w:bottom w:val="single" w:sz="4" w:space="0" w:color="auto"/>
            </w:tcBorders>
          </w:tcPr>
          <w:p w14:paraId="58D5BC2C" w14:textId="2C146AE2" w:rsidR="00AD50AF" w:rsidRPr="00B44B19" w:rsidDel="009B76AC" w:rsidRDefault="00DC2CB2" w:rsidP="00AD50AF">
            <w:pPr>
              <w:jc w:val="right"/>
              <w:rPr>
                <w:rFonts w:cs="Times New Roman"/>
                <w:iCs/>
                <w:noProof/>
                <w:sz w:val="20"/>
                <w:szCs w:val="20"/>
              </w:rPr>
            </w:pPr>
            <w:r w:rsidRPr="00B44B19">
              <w:rPr>
                <w:rFonts w:cs="Times New Roman"/>
                <w:iCs/>
                <w:noProof/>
                <w:sz w:val="20"/>
                <w:szCs w:val="20"/>
              </w:rPr>
              <w:t>72 100 365,00</w:t>
            </w:r>
          </w:p>
        </w:tc>
      </w:tr>
    </w:tbl>
    <w:p w14:paraId="270EB1C1" w14:textId="77777777" w:rsidR="00767828" w:rsidRPr="00B44B19" w:rsidRDefault="00767828" w:rsidP="00767828">
      <w:pPr>
        <w:spacing w:after="0" w:line="240" w:lineRule="auto"/>
        <w:rPr>
          <w:rFonts w:cs="Times New Roman"/>
          <w:iCs/>
          <w:noProof/>
          <w:sz w:val="20"/>
          <w:szCs w:val="20"/>
          <w:highlight w:val="yellow"/>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767828" w:rsidRPr="00B44B19" w14:paraId="39BEA6C5" w14:textId="77777777" w:rsidTr="00BB7C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9C5F115" w14:textId="77777777" w:rsidR="00767828" w:rsidRPr="00B44B19" w:rsidRDefault="00767828" w:rsidP="00BB7C84">
            <w:pPr>
              <w:rPr>
                <w:rFonts w:cs="Times New Roman"/>
                <w:b/>
                <w:iCs/>
                <w:noProof/>
                <w:sz w:val="20"/>
                <w:szCs w:val="20"/>
              </w:rPr>
            </w:pPr>
            <w:r w:rsidRPr="00B44B19">
              <w:rPr>
                <w:rFonts w:cs="Times New Roman"/>
                <w:b/>
                <w:noProof/>
                <w:sz w:val="20"/>
                <w:szCs w:val="20"/>
              </w:rPr>
              <w:t>5 lentelė. 2 matmuo. Finansavimo forma</w:t>
            </w:r>
          </w:p>
        </w:tc>
      </w:tr>
      <w:tr w:rsidR="00767828" w:rsidRPr="00B44B19" w14:paraId="38925392" w14:textId="77777777" w:rsidTr="00BB7C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109C05"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3E5E75"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BA84E6"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892F98"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F38B00"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283BFF"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Suma (EUR)</w:t>
            </w:r>
          </w:p>
        </w:tc>
      </w:tr>
      <w:tr w:rsidR="00767828" w:rsidRPr="00B44B19" w14:paraId="2F0213E2" w14:textId="77777777" w:rsidTr="00BB7C84">
        <w:tc>
          <w:tcPr>
            <w:tcW w:w="1101" w:type="dxa"/>
            <w:tcBorders>
              <w:top w:val="single" w:sz="12" w:space="0" w:color="auto"/>
              <w:bottom w:val="single" w:sz="4" w:space="0" w:color="auto"/>
            </w:tcBorders>
          </w:tcPr>
          <w:p w14:paraId="609CC8C7" w14:textId="3555B7A8" w:rsidR="00767828" w:rsidRPr="00B44B19" w:rsidRDefault="00767828" w:rsidP="00767828">
            <w:pPr>
              <w:rPr>
                <w:rFonts w:cs="Times New Roman"/>
                <w:iCs/>
                <w:noProof/>
                <w:sz w:val="20"/>
                <w:szCs w:val="20"/>
              </w:rPr>
            </w:pPr>
            <w:r w:rsidRPr="00B44B19">
              <w:rPr>
                <w:rFonts w:cs="Times New Roman"/>
                <w:noProof/>
                <w:sz w:val="20"/>
                <w:szCs w:val="20"/>
              </w:rPr>
              <w:t xml:space="preserve">9. </w:t>
            </w:r>
          </w:p>
        </w:tc>
        <w:tc>
          <w:tcPr>
            <w:tcW w:w="850" w:type="dxa"/>
            <w:tcBorders>
              <w:top w:val="single" w:sz="12" w:space="0" w:color="auto"/>
              <w:bottom w:val="single" w:sz="4" w:space="0" w:color="auto"/>
            </w:tcBorders>
          </w:tcPr>
          <w:p w14:paraId="79CF51BB" w14:textId="77777777" w:rsidR="00767828" w:rsidRPr="00B44B19" w:rsidRDefault="00767828" w:rsidP="00767828">
            <w:pPr>
              <w:jc w:val="center"/>
              <w:rPr>
                <w:rFonts w:cs="Times New Roman"/>
                <w:iCs/>
                <w:noProof/>
                <w:sz w:val="20"/>
                <w:szCs w:val="20"/>
              </w:rPr>
            </w:pPr>
            <w:r w:rsidRPr="00B44B19">
              <w:rPr>
                <w:rFonts w:cs="Times New Roman"/>
                <w:noProof/>
                <w:sz w:val="20"/>
                <w:szCs w:val="20"/>
              </w:rPr>
              <w:t>TPF</w:t>
            </w:r>
          </w:p>
        </w:tc>
        <w:tc>
          <w:tcPr>
            <w:tcW w:w="1134" w:type="dxa"/>
            <w:tcBorders>
              <w:top w:val="single" w:sz="12" w:space="0" w:color="auto"/>
              <w:bottom w:val="single" w:sz="4" w:space="0" w:color="auto"/>
            </w:tcBorders>
          </w:tcPr>
          <w:p w14:paraId="217F722A" w14:textId="77777777" w:rsidR="00767828" w:rsidRPr="00B44B19" w:rsidRDefault="00767828" w:rsidP="00BB7C84">
            <w:pPr>
              <w:rPr>
                <w:rFonts w:cs="Times New Roman"/>
                <w:iCs/>
                <w:noProof/>
                <w:sz w:val="20"/>
                <w:szCs w:val="20"/>
              </w:rPr>
            </w:pPr>
            <w:r w:rsidRPr="00B44B19">
              <w:rPr>
                <w:rFonts w:cs="Times New Roman"/>
                <w:iCs/>
                <w:noProof/>
                <w:sz w:val="20"/>
                <w:szCs w:val="20"/>
              </w:rPr>
              <w:t>VVL regionas</w:t>
            </w:r>
          </w:p>
        </w:tc>
        <w:tc>
          <w:tcPr>
            <w:tcW w:w="1134" w:type="dxa"/>
            <w:tcBorders>
              <w:top w:val="single" w:sz="12" w:space="0" w:color="auto"/>
              <w:bottom w:val="single" w:sz="4" w:space="0" w:color="auto"/>
            </w:tcBorders>
          </w:tcPr>
          <w:p w14:paraId="314B7938" w14:textId="77777777" w:rsidR="00767828" w:rsidRPr="00B44B19" w:rsidRDefault="00767828" w:rsidP="00767828">
            <w:pPr>
              <w:jc w:val="center"/>
              <w:rPr>
                <w:rFonts w:cs="Times New Roman"/>
                <w:b/>
                <w:iCs/>
                <w:noProof/>
                <w:sz w:val="20"/>
                <w:szCs w:val="20"/>
              </w:rPr>
            </w:pPr>
            <w:r w:rsidRPr="00B44B19">
              <w:rPr>
                <w:rFonts w:cs="Times New Roman"/>
                <w:noProof/>
                <w:sz w:val="20"/>
                <w:szCs w:val="20"/>
              </w:rPr>
              <w:t>9.1.</w:t>
            </w:r>
          </w:p>
        </w:tc>
        <w:tc>
          <w:tcPr>
            <w:tcW w:w="3903" w:type="dxa"/>
            <w:tcBorders>
              <w:top w:val="single" w:sz="12" w:space="0" w:color="auto"/>
              <w:bottom w:val="single" w:sz="4" w:space="0" w:color="auto"/>
            </w:tcBorders>
          </w:tcPr>
          <w:p w14:paraId="37762985" w14:textId="77777777" w:rsidR="00767828" w:rsidRPr="00B44B19" w:rsidRDefault="00767828" w:rsidP="00BB7C84">
            <w:pPr>
              <w:rPr>
                <w:rFonts w:cs="Times New Roman"/>
                <w:bCs/>
                <w:iCs/>
                <w:noProof/>
                <w:sz w:val="20"/>
                <w:szCs w:val="20"/>
              </w:rPr>
            </w:pPr>
            <w:r w:rsidRPr="00B44B19">
              <w:rPr>
                <w:rFonts w:cs="Times New Roman"/>
                <w:iCs/>
                <w:noProof/>
                <w:sz w:val="20"/>
                <w:szCs w:val="20"/>
              </w:rPr>
              <w:t xml:space="preserve">01 – </w:t>
            </w:r>
            <w:r w:rsidRPr="00B44B19">
              <w:rPr>
                <w:rFonts w:eastAsia="Calibri" w:cs="Times New Roman"/>
                <w:sz w:val="20"/>
                <w:szCs w:val="20"/>
              </w:rPr>
              <w:t>Dotacija</w:t>
            </w:r>
          </w:p>
        </w:tc>
        <w:tc>
          <w:tcPr>
            <w:tcW w:w="1625" w:type="dxa"/>
            <w:tcBorders>
              <w:top w:val="single" w:sz="12" w:space="0" w:color="auto"/>
              <w:bottom w:val="single" w:sz="4" w:space="0" w:color="auto"/>
            </w:tcBorders>
          </w:tcPr>
          <w:p w14:paraId="4B23946E" w14:textId="77777777" w:rsidR="00767828" w:rsidRPr="00B44B19" w:rsidRDefault="00767828" w:rsidP="00BB7C84">
            <w:pPr>
              <w:jc w:val="right"/>
              <w:rPr>
                <w:rFonts w:cs="Times New Roman"/>
                <w:sz w:val="20"/>
                <w:szCs w:val="20"/>
              </w:rPr>
            </w:pPr>
            <w:r w:rsidRPr="00B44B19">
              <w:rPr>
                <w:rFonts w:cs="Times New Roman"/>
                <w:sz w:val="20"/>
                <w:szCs w:val="20"/>
              </w:rPr>
              <w:t>262 749 291,00</w:t>
            </w:r>
          </w:p>
        </w:tc>
      </w:tr>
    </w:tbl>
    <w:p w14:paraId="7DC1895C" w14:textId="77777777" w:rsidR="00767828" w:rsidRPr="00B44B19" w:rsidRDefault="00767828" w:rsidP="00767828">
      <w:pPr>
        <w:spacing w:after="0" w:line="240" w:lineRule="auto"/>
        <w:rPr>
          <w:rFonts w:cs="Times New Roman"/>
          <w:iCs/>
          <w:noProof/>
          <w:sz w:val="20"/>
          <w:szCs w:val="20"/>
          <w:highlight w:val="yellow"/>
        </w:rPr>
      </w:pPr>
    </w:p>
    <w:tbl>
      <w:tblPr>
        <w:tblStyle w:val="Lentelstinklelis"/>
        <w:tblW w:w="9766" w:type="dxa"/>
        <w:tblLook w:val="04A0" w:firstRow="1" w:lastRow="0" w:firstColumn="1" w:lastColumn="0" w:noHBand="0" w:noVBand="1"/>
      </w:tblPr>
      <w:tblGrid>
        <w:gridCol w:w="1093"/>
        <w:gridCol w:w="849"/>
        <w:gridCol w:w="1143"/>
        <w:gridCol w:w="1134"/>
        <w:gridCol w:w="3969"/>
        <w:gridCol w:w="1578"/>
      </w:tblGrid>
      <w:tr w:rsidR="00767828" w:rsidRPr="00B44B19" w14:paraId="40CA24BC" w14:textId="77777777" w:rsidTr="00BB7C84">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BF7A79" w14:textId="77777777" w:rsidR="00767828" w:rsidRPr="00B44B19" w:rsidRDefault="00767828" w:rsidP="00BB7C84">
            <w:pPr>
              <w:rPr>
                <w:rFonts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767828" w:rsidRPr="00B44B19" w14:paraId="7D021904" w14:textId="77777777" w:rsidTr="00BB7C84">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F023A7"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9491F7"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Fondas</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B07178"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FDE008"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889223"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Kodas</w:t>
            </w:r>
          </w:p>
        </w:tc>
        <w:tc>
          <w:tcPr>
            <w:tcW w:w="157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5B0CAC" w14:textId="77777777" w:rsidR="00767828" w:rsidRPr="00B44B19" w:rsidRDefault="00767828" w:rsidP="00BB7C84">
            <w:pPr>
              <w:jc w:val="center"/>
              <w:rPr>
                <w:rFonts w:cs="Times New Roman"/>
                <w:b/>
                <w:iCs/>
                <w:noProof/>
                <w:sz w:val="20"/>
                <w:szCs w:val="20"/>
              </w:rPr>
            </w:pPr>
            <w:r w:rsidRPr="00B44B19">
              <w:rPr>
                <w:rFonts w:cs="Times New Roman"/>
                <w:b/>
                <w:noProof/>
                <w:sz w:val="20"/>
                <w:szCs w:val="20"/>
              </w:rPr>
              <w:t>Suma (EUR)</w:t>
            </w:r>
          </w:p>
        </w:tc>
      </w:tr>
      <w:tr w:rsidR="00767828" w:rsidRPr="00B44B19" w14:paraId="415175BF" w14:textId="77777777" w:rsidTr="00BB7C84">
        <w:tc>
          <w:tcPr>
            <w:tcW w:w="1093" w:type="dxa"/>
          </w:tcPr>
          <w:p w14:paraId="5486BC4B" w14:textId="34738274" w:rsidR="00767828" w:rsidRPr="00B44B19" w:rsidRDefault="00767828" w:rsidP="00767828">
            <w:pPr>
              <w:rPr>
                <w:rFonts w:cs="Times New Roman"/>
                <w:iCs/>
                <w:noProof/>
                <w:sz w:val="20"/>
                <w:szCs w:val="20"/>
              </w:rPr>
            </w:pPr>
            <w:r w:rsidRPr="00B44B19">
              <w:rPr>
                <w:rFonts w:cs="Times New Roman"/>
                <w:noProof/>
                <w:sz w:val="20"/>
                <w:szCs w:val="20"/>
              </w:rPr>
              <w:t xml:space="preserve">9. </w:t>
            </w:r>
          </w:p>
        </w:tc>
        <w:tc>
          <w:tcPr>
            <w:tcW w:w="849" w:type="dxa"/>
          </w:tcPr>
          <w:p w14:paraId="4FF25D3D" w14:textId="77777777" w:rsidR="00767828" w:rsidRPr="00B44B19" w:rsidRDefault="00767828" w:rsidP="00BB7C84">
            <w:pPr>
              <w:jc w:val="center"/>
              <w:rPr>
                <w:rFonts w:cs="Times New Roman"/>
                <w:iCs/>
                <w:noProof/>
                <w:sz w:val="20"/>
                <w:szCs w:val="20"/>
              </w:rPr>
            </w:pPr>
            <w:r w:rsidRPr="00B44B19">
              <w:rPr>
                <w:rFonts w:cs="Times New Roman"/>
                <w:iCs/>
                <w:noProof/>
                <w:sz w:val="20"/>
                <w:szCs w:val="20"/>
              </w:rPr>
              <w:t>TPF</w:t>
            </w:r>
          </w:p>
        </w:tc>
        <w:tc>
          <w:tcPr>
            <w:tcW w:w="1143" w:type="dxa"/>
          </w:tcPr>
          <w:p w14:paraId="1FEFDEC1" w14:textId="77777777" w:rsidR="00767828" w:rsidRPr="00B44B19" w:rsidRDefault="00767828" w:rsidP="00BB7C84">
            <w:pPr>
              <w:rPr>
                <w:rFonts w:cs="Times New Roman"/>
                <w:noProof/>
                <w:sz w:val="20"/>
                <w:szCs w:val="20"/>
              </w:rPr>
            </w:pPr>
            <w:r w:rsidRPr="00B44B19">
              <w:rPr>
                <w:rFonts w:cs="Times New Roman"/>
                <w:iCs/>
                <w:noProof/>
                <w:sz w:val="20"/>
                <w:szCs w:val="20"/>
              </w:rPr>
              <w:t>VVL regionas</w:t>
            </w:r>
          </w:p>
        </w:tc>
        <w:tc>
          <w:tcPr>
            <w:tcW w:w="1134" w:type="dxa"/>
          </w:tcPr>
          <w:p w14:paraId="504153AD" w14:textId="77777777" w:rsidR="00767828" w:rsidRPr="00B44B19" w:rsidRDefault="00767828" w:rsidP="00767828">
            <w:pPr>
              <w:jc w:val="center"/>
              <w:rPr>
                <w:rFonts w:cs="Times New Roman"/>
                <w:b/>
                <w:iCs/>
                <w:noProof/>
                <w:sz w:val="20"/>
                <w:szCs w:val="20"/>
              </w:rPr>
            </w:pPr>
            <w:r w:rsidRPr="00B44B19">
              <w:rPr>
                <w:rFonts w:cs="Times New Roman"/>
                <w:noProof/>
                <w:sz w:val="20"/>
                <w:szCs w:val="20"/>
              </w:rPr>
              <w:t>9.1.</w:t>
            </w:r>
          </w:p>
        </w:tc>
        <w:tc>
          <w:tcPr>
            <w:tcW w:w="3969" w:type="dxa"/>
          </w:tcPr>
          <w:p w14:paraId="7533EB36" w14:textId="77777777" w:rsidR="00767828" w:rsidRPr="00B44B19" w:rsidRDefault="00767828" w:rsidP="00BB7C84">
            <w:pPr>
              <w:rPr>
                <w:rFonts w:cs="Times New Roman"/>
                <w:bCs/>
                <w:iCs/>
                <w:noProof/>
                <w:sz w:val="20"/>
                <w:szCs w:val="20"/>
              </w:rPr>
            </w:pPr>
            <w:r w:rsidRPr="00B44B19">
              <w:rPr>
                <w:rFonts w:cs="Times New Roman"/>
                <w:iCs/>
                <w:noProof/>
                <w:sz w:val="20"/>
                <w:szCs w:val="20"/>
              </w:rPr>
              <w:t xml:space="preserve">32 - </w:t>
            </w:r>
            <w:r w:rsidRPr="00B44B19">
              <w:rPr>
                <w:rFonts w:cs="Times New Roman"/>
                <w:noProof/>
                <w:sz w:val="20"/>
                <w:szCs w:val="20"/>
              </w:rPr>
              <w:t>Kitų rūšių tikslinės teritorijos</w:t>
            </w:r>
          </w:p>
        </w:tc>
        <w:tc>
          <w:tcPr>
            <w:tcW w:w="1578" w:type="dxa"/>
          </w:tcPr>
          <w:p w14:paraId="63D36EE0" w14:textId="77777777" w:rsidR="00767828" w:rsidRPr="00B44B19" w:rsidRDefault="00767828" w:rsidP="00BB7C84">
            <w:pPr>
              <w:jc w:val="right"/>
              <w:rPr>
                <w:rFonts w:cs="Times New Roman"/>
                <w:sz w:val="20"/>
                <w:szCs w:val="20"/>
              </w:rPr>
            </w:pPr>
            <w:r w:rsidRPr="00B44B19">
              <w:rPr>
                <w:rFonts w:cs="Times New Roman"/>
                <w:sz w:val="20"/>
                <w:szCs w:val="20"/>
              </w:rPr>
              <w:t>262 749 291,00</w:t>
            </w:r>
          </w:p>
        </w:tc>
      </w:tr>
    </w:tbl>
    <w:p w14:paraId="6D1EE937" w14:textId="77777777" w:rsidR="00767828" w:rsidRPr="00B44B19" w:rsidRDefault="00767828" w:rsidP="00767828">
      <w:pPr>
        <w:widowControl w:val="0"/>
        <w:tabs>
          <w:tab w:val="left" w:pos="622"/>
        </w:tabs>
        <w:spacing w:after="0" w:line="240" w:lineRule="auto"/>
        <w:jc w:val="both"/>
        <w:rPr>
          <w:rFonts w:eastAsia="AngsanaUPC" w:cs="Times New Roman"/>
          <w:bCs/>
          <w:sz w:val="20"/>
          <w:szCs w:val="20"/>
          <w:lang w:eastAsia="lt-LT"/>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767828" w:rsidRPr="00B44B19" w14:paraId="6CB9F14E" w14:textId="77777777" w:rsidTr="00BB7C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5E5D219" w14:textId="77777777" w:rsidR="00767828" w:rsidRPr="00B44B19" w:rsidRDefault="00767828" w:rsidP="00BB7C84">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767828" w:rsidRPr="00B44B19" w14:paraId="40C4D5D0" w14:textId="77777777" w:rsidTr="00BB7C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B3094" w14:textId="77777777" w:rsidR="00767828" w:rsidRPr="00B44B19" w:rsidRDefault="00767828" w:rsidP="00BB7C84">
            <w:pPr>
              <w:jc w:val="center"/>
              <w:rPr>
                <w:b/>
                <w:iCs/>
                <w:noProof/>
                <w:sz w:val="20"/>
                <w:szCs w:val="20"/>
              </w:rPr>
            </w:pPr>
            <w:r w:rsidRPr="00B44B19">
              <w:rPr>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335F55" w14:textId="77777777" w:rsidR="00767828" w:rsidRPr="00B44B19" w:rsidRDefault="00767828" w:rsidP="00BB7C84">
            <w:pPr>
              <w:jc w:val="center"/>
              <w:rPr>
                <w:b/>
                <w:iCs/>
                <w:noProof/>
                <w:sz w:val="20"/>
                <w:szCs w:val="20"/>
              </w:rPr>
            </w:pPr>
            <w:r w:rsidRPr="00B44B19">
              <w:rPr>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DCF0E2" w14:textId="77777777" w:rsidR="00767828" w:rsidRPr="00B44B19" w:rsidRDefault="00767828" w:rsidP="00BB7C84">
            <w:pPr>
              <w:jc w:val="center"/>
              <w:rPr>
                <w:b/>
                <w:iCs/>
                <w:noProof/>
                <w:sz w:val="20"/>
                <w:szCs w:val="20"/>
              </w:rPr>
            </w:pPr>
            <w:r w:rsidRPr="00B44B19">
              <w:rPr>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11DFFF" w14:textId="77777777" w:rsidR="00767828" w:rsidRPr="00B44B19" w:rsidRDefault="00767828" w:rsidP="00BB7C84">
            <w:pPr>
              <w:jc w:val="center"/>
              <w:rPr>
                <w:b/>
                <w:iCs/>
                <w:noProof/>
                <w:sz w:val="20"/>
                <w:szCs w:val="20"/>
              </w:rPr>
            </w:pPr>
            <w:r w:rsidRPr="00B44B19">
              <w:rPr>
                <w:b/>
                <w:noProof/>
                <w:sz w:val="20"/>
                <w:szCs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CB27EF" w14:textId="77777777" w:rsidR="00767828" w:rsidRPr="00B44B19" w:rsidRDefault="00767828" w:rsidP="00BB7C84">
            <w:pPr>
              <w:jc w:val="center"/>
              <w:rPr>
                <w:b/>
                <w:iCs/>
                <w:noProof/>
                <w:sz w:val="20"/>
                <w:szCs w:val="20"/>
              </w:rPr>
            </w:pPr>
            <w:r w:rsidRPr="00B44B19">
              <w:rPr>
                <w:b/>
                <w:noProof/>
                <w:sz w:val="20"/>
                <w:szCs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C7BDB0" w14:textId="77777777" w:rsidR="00767828" w:rsidRPr="00B44B19" w:rsidRDefault="00767828" w:rsidP="00BB7C84">
            <w:pPr>
              <w:jc w:val="center"/>
              <w:rPr>
                <w:b/>
                <w:iCs/>
                <w:noProof/>
                <w:sz w:val="20"/>
                <w:szCs w:val="20"/>
              </w:rPr>
            </w:pPr>
            <w:r w:rsidRPr="00B44B19">
              <w:rPr>
                <w:b/>
                <w:noProof/>
                <w:sz w:val="20"/>
                <w:szCs w:val="20"/>
              </w:rPr>
              <w:t>Suma (EUR)</w:t>
            </w:r>
          </w:p>
        </w:tc>
      </w:tr>
      <w:tr w:rsidR="00767828" w:rsidRPr="00B44B19" w14:paraId="518728D0" w14:textId="77777777" w:rsidTr="00BB7C84">
        <w:tc>
          <w:tcPr>
            <w:tcW w:w="1101" w:type="dxa"/>
            <w:tcBorders>
              <w:top w:val="single" w:sz="12" w:space="0" w:color="auto"/>
              <w:bottom w:val="single" w:sz="4" w:space="0" w:color="auto"/>
            </w:tcBorders>
          </w:tcPr>
          <w:p w14:paraId="5A4B7456" w14:textId="4E6060B3" w:rsidR="00767828" w:rsidRPr="00B44B19" w:rsidRDefault="00767828" w:rsidP="00767828">
            <w:pPr>
              <w:rPr>
                <w:iCs/>
                <w:noProof/>
                <w:sz w:val="20"/>
                <w:szCs w:val="20"/>
                <w:highlight w:val="yellow"/>
              </w:rPr>
            </w:pPr>
            <w:r w:rsidRPr="00B44B19">
              <w:rPr>
                <w:noProof/>
                <w:sz w:val="20"/>
                <w:szCs w:val="20"/>
              </w:rPr>
              <w:t xml:space="preserve">9. </w:t>
            </w:r>
          </w:p>
        </w:tc>
        <w:tc>
          <w:tcPr>
            <w:tcW w:w="850" w:type="dxa"/>
            <w:tcBorders>
              <w:top w:val="single" w:sz="12" w:space="0" w:color="auto"/>
              <w:bottom w:val="single" w:sz="4" w:space="0" w:color="auto"/>
            </w:tcBorders>
          </w:tcPr>
          <w:p w14:paraId="1BBAF70A" w14:textId="77777777" w:rsidR="00767828" w:rsidRPr="00B44B19" w:rsidRDefault="00767828" w:rsidP="00BB7C84">
            <w:pPr>
              <w:jc w:val="center"/>
              <w:rPr>
                <w:iCs/>
                <w:noProof/>
                <w:sz w:val="20"/>
                <w:szCs w:val="20"/>
                <w:highlight w:val="yellow"/>
              </w:rPr>
            </w:pPr>
            <w:r w:rsidRPr="00B44B19">
              <w:rPr>
                <w:noProof/>
                <w:sz w:val="20"/>
                <w:szCs w:val="20"/>
              </w:rPr>
              <w:t>TPF</w:t>
            </w:r>
          </w:p>
        </w:tc>
        <w:tc>
          <w:tcPr>
            <w:tcW w:w="1134" w:type="dxa"/>
            <w:tcBorders>
              <w:top w:val="single" w:sz="12" w:space="0" w:color="auto"/>
              <w:bottom w:val="single" w:sz="4" w:space="0" w:color="auto"/>
            </w:tcBorders>
          </w:tcPr>
          <w:p w14:paraId="6EA3EE68" w14:textId="77777777" w:rsidR="00767828" w:rsidRPr="00B44B19" w:rsidRDefault="00767828" w:rsidP="00BB7C84">
            <w:pPr>
              <w:rPr>
                <w:iCs/>
                <w:noProof/>
                <w:sz w:val="20"/>
                <w:szCs w:val="20"/>
                <w:highlight w:val="yellow"/>
              </w:rPr>
            </w:pPr>
            <w:r w:rsidRPr="00B44B19">
              <w:rPr>
                <w:iCs/>
                <w:noProof/>
                <w:sz w:val="20"/>
                <w:szCs w:val="20"/>
              </w:rPr>
              <w:t>VVL regionas</w:t>
            </w:r>
          </w:p>
        </w:tc>
        <w:tc>
          <w:tcPr>
            <w:tcW w:w="1134" w:type="dxa"/>
            <w:tcBorders>
              <w:top w:val="single" w:sz="12" w:space="0" w:color="auto"/>
              <w:bottom w:val="single" w:sz="4" w:space="0" w:color="auto"/>
            </w:tcBorders>
          </w:tcPr>
          <w:p w14:paraId="21FDF954" w14:textId="77777777" w:rsidR="00767828" w:rsidRPr="00B44B19" w:rsidRDefault="00767828" w:rsidP="00767828">
            <w:pPr>
              <w:jc w:val="center"/>
              <w:rPr>
                <w:iCs/>
                <w:noProof/>
                <w:sz w:val="20"/>
                <w:szCs w:val="20"/>
                <w:highlight w:val="yellow"/>
              </w:rPr>
            </w:pPr>
            <w:r w:rsidRPr="00B44B19">
              <w:rPr>
                <w:noProof/>
                <w:sz w:val="20"/>
                <w:szCs w:val="20"/>
              </w:rPr>
              <w:t>9.1.</w:t>
            </w:r>
          </w:p>
        </w:tc>
        <w:tc>
          <w:tcPr>
            <w:tcW w:w="4021" w:type="dxa"/>
            <w:tcBorders>
              <w:top w:val="single" w:sz="12" w:space="0" w:color="auto"/>
              <w:bottom w:val="single" w:sz="4" w:space="0" w:color="auto"/>
            </w:tcBorders>
          </w:tcPr>
          <w:p w14:paraId="2752D493" w14:textId="77777777" w:rsidR="00767828" w:rsidRPr="00B44B19" w:rsidRDefault="00767828" w:rsidP="00BB7C84">
            <w:pPr>
              <w:rPr>
                <w:iCs/>
                <w:noProof/>
                <w:sz w:val="20"/>
                <w:szCs w:val="20"/>
                <w:highlight w:val="yellow"/>
              </w:rPr>
            </w:pPr>
            <w:r w:rsidRPr="00B44B19">
              <w:rPr>
                <w:sz w:val="20"/>
                <w:szCs w:val="20"/>
              </w:rPr>
              <w:t>03 – Neutralumas lyties požiūriu</w:t>
            </w:r>
          </w:p>
        </w:tc>
        <w:tc>
          <w:tcPr>
            <w:tcW w:w="1507" w:type="dxa"/>
            <w:tcBorders>
              <w:top w:val="single" w:sz="12" w:space="0" w:color="auto"/>
              <w:bottom w:val="single" w:sz="4" w:space="0" w:color="auto"/>
            </w:tcBorders>
          </w:tcPr>
          <w:p w14:paraId="2FB1C2B3" w14:textId="77777777" w:rsidR="00767828" w:rsidRPr="00B44B19" w:rsidRDefault="00767828" w:rsidP="00BB7C84">
            <w:pPr>
              <w:jc w:val="right"/>
              <w:rPr>
                <w:iCs/>
                <w:noProof/>
                <w:sz w:val="20"/>
                <w:szCs w:val="20"/>
                <w:highlight w:val="yellow"/>
              </w:rPr>
            </w:pPr>
            <w:r w:rsidRPr="00B44B19">
              <w:rPr>
                <w:sz w:val="20"/>
                <w:szCs w:val="20"/>
              </w:rPr>
              <w:t>262 749 291,00</w:t>
            </w:r>
          </w:p>
        </w:tc>
      </w:tr>
    </w:tbl>
    <w:p w14:paraId="4A4B90BA" w14:textId="77777777" w:rsidR="00AD6710" w:rsidRPr="00B44B19" w:rsidRDefault="00AD6710">
      <w:pPr>
        <w:rPr>
          <w:rFonts w:cs="Times New Roman"/>
          <w:b/>
          <w:bCs/>
          <w:sz w:val="20"/>
          <w:szCs w:val="20"/>
        </w:rPr>
      </w:pPr>
    </w:p>
    <w:p w14:paraId="6A781E2B" w14:textId="77777777" w:rsidR="00AD6710" w:rsidRPr="00B44B19" w:rsidRDefault="00AD6710">
      <w:pPr>
        <w:rPr>
          <w:rFonts w:cs="Times New Roman"/>
          <w:b/>
          <w:bCs/>
          <w:sz w:val="28"/>
          <w:szCs w:val="28"/>
        </w:rPr>
      </w:pPr>
    </w:p>
    <w:p w14:paraId="65A9475B" w14:textId="77777777" w:rsidR="00B233AD" w:rsidRPr="00B44B19" w:rsidRDefault="00B233AD">
      <w:pPr>
        <w:rPr>
          <w:rFonts w:eastAsia="Times New Roman" w:cs="Times New Roman"/>
          <w:b/>
          <w:bCs/>
          <w:caps/>
          <w:color w:val="365F91"/>
          <w:sz w:val="28"/>
          <w:szCs w:val="28"/>
        </w:rPr>
      </w:pPr>
      <w:bookmarkStart w:id="75" w:name="_Hlk183615677"/>
      <w:r w:rsidRPr="00B44B19">
        <w:rPr>
          <w:rFonts w:eastAsia="Times New Roman" w:cs="Times New Roman"/>
          <w:b/>
          <w:bCs/>
          <w:caps/>
          <w:color w:val="365F91"/>
          <w:sz w:val="28"/>
          <w:szCs w:val="28"/>
        </w:rPr>
        <w:br w:type="page"/>
      </w:r>
    </w:p>
    <w:p w14:paraId="1485C381" w14:textId="643BD00C" w:rsidR="00B233AD" w:rsidRPr="00B44B19" w:rsidRDefault="00B233AD" w:rsidP="00D456C1">
      <w:pPr>
        <w:pStyle w:val="Antrat1"/>
        <w:rPr>
          <w:rFonts w:eastAsia="Times New Roman"/>
          <w:highlight w:val="yellow"/>
        </w:rPr>
      </w:pPr>
      <w:bookmarkStart w:id="76" w:name="_Toc223435447"/>
      <w:r w:rsidRPr="00B44B19">
        <w:rPr>
          <w:rFonts w:eastAsia="Times New Roman"/>
        </w:rPr>
        <w:lastRenderedPageBreak/>
        <w:t>10. Specialus prioritetas. Europos strateginių technologijų platforma (STEP)</w:t>
      </w:r>
      <w:bookmarkEnd w:id="76"/>
    </w:p>
    <w:p w14:paraId="6AA9D90B" w14:textId="77777777" w:rsidR="00B233AD" w:rsidRPr="00B44B19" w:rsidRDefault="00B233AD" w:rsidP="00D456C1">
      <w:pPr>
        <w:pStyle w:val="Antrat2"/>
        <w:rPr>
          <w:rFonts w:eastAsia="Times New Roman"/>
          <w:highlight w:val="yellow"/>
        </w:rPr>
      </w:pPr>
      <w:bookmarkStart w:id="77" w:name="_Toc98339836"/>
      <w:bookmarkStart w:id="78" w:name="_Toc223435448"/>
      <w:r w:rsidRPr="00B44B19">
        <w:rPr>
          <w:rFonts w:eastAsia="Times New Roman"/>
        </w:rPr>
        <w:t>Konkretus uždavinys – 10.1</w:t>
      </w:r>
      <w:bookmarkEnd w:id="77"/>
      <w:r w:rsidRPr="00B44B19">
        <w:rPr>
          <w:rFonts w:eastAsia="Times New Roman"/>
        </w:rPr>
        <w:t xml:space="preserve"> Sudaryti sąlygas Lietuvos įmonėms kurti ir gaminti Europos Sąjungos ypatingos svarbos technologijas</w:t>
      </w:r>
      <w:bookmarkEnd w:id="78"/>
    </w:p>
    <w:p w14:paraId="10F86925" w14:textId="77777777" w:rsidR="00B233AD" w:rsidRPr="00B44B19" w:rsidRDefault="00B233AD" w:rsidP="00B233AD">
      <w:pPr>
        <w:tabs>
          <w:tab w:val="center" w:pos="4819"/>
          <w:tab w:val="right" w:pos="9638"/>
        </w:tabs>
        <w:spacing w:before="120" w:after="120" w:line="240" w:lineRule="auto"/>
        <w:rPr>
          <w:rFonts w:eastAsia="Calibri" w:cs="Times New Roman"/>
          <w:b/>
          <w:i/>
          <w:color w:val="1F497D"/>
        </w:rPr>
      </w:pPr>
      <w:r w:rsidRPr="00B44B19">
        <w:rPr>
          <w:rFonts w:eastAsia="Calibri" w:cs="Times New Roman"/>
          <w:b/>
          <w:i/>
          <w:color w:val="1F497D"/>
        </w:rPr>
        <w:t>Įgyvendinamos veiklos</w:t>
      </w:r>
    </w:p>
    <w:tbl>
      <w:tblPr>
        <w:tblStyle w:val="Lentelstinklelis2"/>
        <w:tblW w:w="9634" w:type="dxa"/>
        <w:tblLook w:val="04A0" w:firstRow="1" w:lastRow="0" w:firstColumn="1" w:lastColumn="0" w:noHBand="0" w:noVBand="1"/>
      </w:tblPr>
      <w:tblGrid>
        <w:gridCol w:w="9634"/>
      </w:tblGrid>
      <w:tr w:rsidR="00B233AD" w:rsidRPr="00B44B19" w14:paraId="4B9F2D60" w14:textId="77777777" w:rsidTr="003040E3">
        <w:trPr>
          <w:trHeight w:val="283"/>
        </w:trPr>
        <w:tc>
          <w:tcPr>
            <w:tcW w:w="9634" w:type="dxa"/>
          </w:tcPr>
          <w:p w14:paraId="627C5D45"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Uždavinys skatina STEP technologijų kūrimą ir gamybą. Prisideda prie pramonės konkurencingumo ir produktyvumo didinimo, naujų darbo vietų kūrimo, greitesnės technologinės pažangos, investicijų, skirtų MTEPI, didinimo bei šalies saugumo stiprinimo, taip pat prie Europos ekonominio saugumo strategijos tikslų siekimo.</w:t>
            </w:r>
          </w:p>
          <w:p w14:paraId="58130478"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Fiksuojamas augantis verslo polinkis investuoti į MTEPI. 2022 m. verslo išlaidos MTEP Lietuvoje pasiekė visų laikų aukštumas (335 mln. Eur.), tačiau, nors 2022 m. Lietuvoje pasiektas nominalus MTEP augimas, išlaidų MTEP santykis su BVP 2022 m. mažėjo (investicijos į verslo MTEP Lietuvoje sudarė 0,5 % nuo BVP, ES vidurkis – 1,48 %). Mažėjimą lėmė nominalaus BVP augimas dėl didelės infliacijos. 2023 m. fiksuotas Lietuvos ekonomikos proveržis Pasaulio inovacijų indekse (pakilo 5 pozicijomis). MTEP prioritetines sritis atitinkantys EVRK sektoriai auga, o jų dalis Lietuvos ekonomikoje didėja (sektoriai generavo 3,4 mlrd. EUR pridėtinės vertės (9,2 %. nuo visos pridėtinės vertės Lietuvoje), 10 mlrd. EUR apyvartos (6,6 % nuo visų Lietuvos įmonių apyvartos), turėjo 80,5 tūkst. darbuotojų (7,91 % nuo visų Lietuvos užimtųjų). Pastarieji rodikliai rodo, jog būtina išnaudoti šalies potencialą.</w:t>
            </w:r>
          </w:p>
          <w:p w14:paraId="6C9F58B7" w14:textId="67C5726A"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Rusijos įsiveržimas į Ukrainą 2022 m., pakitusi geopolitinė situacija ir iškilusi grėsmė nacionaliniam ir visos ES saugumui, paskatino suvokti gyvybiškai svarbų gynybos sektoriaus vaidmenį bei neatidėliotiną poreikį didinti Lietuvos ir atitinkamai visos ES strateginį savarankiškumą. Lietuvos gynybos sektorius pastaruoju metu pasižymi didesniais augimo tempais ir potencialu, didesniu produktyvumu ir eksporto apimtimis. Gynybos sektoriaus įmonių apyvarta 2018–2022 m. išaugo 46 %, t. y. 6 proc. punktais daugiau nei šalies vidurkis (40 %). Darbuotojų produktyvumas šiame sektoriuje – 17 % didesnis. Trečdalis gynybos produkcijos apyvartos yra eksportuojama, t. y. 7 proc. punktais daugiau nei šalies vidurkis (23 %). Be to, 2018–2023 m. darbuotojų skaičius gynybos sektoriuje augo beveik dvigubai greičiau (14 %) nei šalies vidurkis (7,8 %) ir darbuotojų VDU yra 21 % aukštesnis nei šalies vidurkis (2022 m.). Geopolitinė situacija iškėlė STEP technologijų, skirtų gynybos sektoriui, kūrimo ir gamybos svarbą ir investicijų į specializuotus įmonių darbuotojus, dirbsiančių su STEP technologijų gamyba, mokymus, būtinumą.</w:t>
            </w:r>
          </w:p>
          <w:p w14:paraId="381B5E9D"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Šio specialaus uždavinio investicijomis siekiama paskatinti Lietuvos įmones dalyvauti ES tiesioginio finansavimo programose, skiriant finansavimą suverenumo (STEP) ženklą turintiems projektams pagal Skaitmeninės Europos, EH programas arba Europos gynybos fondą. Finansuotinos STEP technologijos turės atitikti vieną iš šių sąlygų: jos suteikia vidaus rinkai inovatyvumo, besiformavimo ir pažangos aspektą su dideliu ekonominiu potencialu arba jos padeda mažinti strateginę Sąjungos priklausomybę nuo trečiųjų valstybių arba užkirsti jai kelią. Taip pat investicijos į STEP technologijas turės prisidėti prie socialinės ir teritorinės ES sanglaudos, konkurencingumo didinimo ir darbo vietų kūrimo, atitikti 2021 m. birželio 24 d. Europos Parlamento ir Tarybos reglamento dėl Europos regioninės plėtros fondo ir Sanglaudos fondo Nr. (ES) 2021/1058 5 ir 7 str. nuostatas. Prioriteto veiklas numatoma įgyventi abiejuose – VVL ir Sostinės regionuose.</w:t>
            </w:r>
          </w:p>
          <w:p w14:paraId="0D0989E0"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Pagal prioritetą finansuojamos investicijos užtikrins įvairių finansavimo šaltinių sinergiją, sudarys išbaigtą ekosistemą kurti inovacijas, veiks darnoje su NKL: EGADP lėšomis finansuojami labai dideli investiciniai projektai (teikiamos paskolos iki 250 mln. Eur), kurie prisidės prie žaliųjų pramonės technologijų įsigijimo ir kūrimo skatinimo, aukštos pridėtinės vertės pramonės plėtros, gynybos ir saugumo pramonės konkurencingumo didinimo. Tuo tarpu Programa skatins aktyvesnį įmonių dalyvavimą ES tiesioginio valdymo programose, pagal ją teikiamos subsidijos duos spurtą STEP technologijoms gynybos ir saugumo srityje kurti.</w:t>
            </w:r>
          </w:p>
          <w:p w14:paraId="41FB0BE0"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Uždavinio veiklos (veiksmų rūšys) įvertintos vadovaujantis EGADP NRŽ gairėmis, todėl laikoma, kad atitinka NRŽ principą.</w:t>
            </w:r>
          </w:p>
          <w:p w14:paraId="57035E60"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Veiksmų rūšys, siekiant padidinti pramonės konkurencingumą, produktyvumą bei stiprinti Lietuvos ir visos ES strateginę nepriklausomybę:</w:t>
            </w:r>
          </w:p>
          <w:p w14:paraId="37486616"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b/>
                <w:bCs/>
                <w:color w:val="000000"/>
              </w:rPr>
              <w:lastRenderedPageBreak/>
              <w:t>Skiriant kaupiamąjį finansavimą, sudaryti sąlygas įmonių investicijoms į STEP technologijų kūrimą: s</w:t>
            </w:r>
            <w:r w:rsidRPr="00B44B19">
              <w:rPr>
                <w:rFonts w:ascii="Times New Roman" w:eastAsia="Times New Roman" w:hAnsi="Times New Roman" w:cs="Times New Roman"/>
                <w:color w:val="000000"/>
              </w:rPr>
              <w:t>iekiant Lietuvos įmonių aktyvesnio dalyvavimo ES tiesioginio valdymo programose, finansavimas skiriamas suverenumo (STEP) ženklą gavusiems įmonių arba verslo ir mokslo bendriems projektams. Išankstinė sąlyga – projektai turi būti gavę dalinį finansavimą pagal Skaitmeninės Europos arba EH programas ir jais turi būti kuriamos ypatingos svarbos technologijos ir (arba) žaliavos, siekiama STEP tikslų, atitikti ERPF tikslus. Gynybos ir karinių pajėgumų didinimas nefinansuojamas. Veikla įgyvendinama Sostinės ir VVL regionuose.</w:t>
            </w:r>
          </w:p>
          <w:p w14:paraId="6F813254"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b/>
                <w:bCs/>
                <w:color w:val="000000"/>
              </w:rPr>
              <w:t>Skatinti įmonių STEP technologijų kūrimą, skiriant alternatyvųjį finansavimą:</w:t>
            </w:r>
            <w:r w:rsidRPr="00B44B19">
              <w:rPr>
                <w:rFonts w:ascii="Times New Roman" w:eastAsia="Times New Roman" w:hAnsi="Times New Roman" w:cs="Times New Roman"/>
                <w:color w:val="000000"/>
              </w:rPr>
              <w:t xml:space="preserve"> siekiant paskatinti įmonių arba bendrus įmonių ir mokslo projektus, finansavimas skiriamas suverenumo (STEP) ženklą gavusiems projektams, kurie pagal ES tiesioginio valdymo programas Skaitmeninė Europa, EH ar Europos gynybos fondą dėl lėšų trūkumo negavo finansavimo STEP technologijoms ir (arba) žaliavoms kurti. Projektai turi atitikti STEP ir ERPF tikslus. Gynybos ir karinių pajėgumų didinimas nefinansuojamas. Veikla įgyvendinama Sostinės ir VVL regionuose.</w:t>
            </w:r>
          </w:p>
          <w:p w14:paraId="4A74C6A3" w14:textId="77777777" w:rsidR="0000450B"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b/>
                <w:bCs/>
                <w:color w:val="000000"/>
              </w:rPr>
              <w:t xml:space="preserve">Skatinti įmonių STEP technologijų gynybos ir saugumo srityje, įskaitant specialiųjų elementų ir specialiųjų mašinų, naudojamų galutiniams produktams gaminti, kūrimą arba gamybą: </w:t>
            </w:r>
            <w:r w:rsidRPr="00B44B19">
              <w:rPr>
                <w:rFonts w:ascii="Times New Roman" w:eastAsia="Times New Roman" w:hAnsi="Times New Roman" w:cs="Times New Roman"/>
                <w:color w:val="000000"/>
              </w:rPr>
              <w:t>investuojama į STEP technologijų MTEP ir inovacijų projektus gynybos ir saugumo srityje, skatinamas bendradarbiavimas ir technologijų perdavimas tarp įmonių arba įmonių ir MSI, kuriant ir/arba gaminant STEP technologijas gynybos ir saugumo srityje.</w:t>
            </w:r>
            <w:r w:rsidRPr="00B44B19">
              <w:rPr>
                <w:rFonts w:ascii="Times New Roman" w:eastAsia="Times New Roman" w:hAnsi="Times New Roman" w:cs="Times New Roman"/>
                <w:b/>
                <w:bCs/>
                <w:color w:val="000000"/>
              </w:rPr>
              <w:t xml:space="preserve"> </w:t>
            </w:r>
            <w:r w:rsidRPr="00B44B19">
              <w:rPr>
                <w:rFonts w:ascii="Times New Roman" w:eastAsia="Times New Roman" w:hAnsi="Times New Roman" w:cs="Times New Roman"/>
                <w:color w:val="000000"/>
              </w:rPr>
              <w:t>Taip pat bus investuojama į ypatingos svarbos žaliavų gamybą bei susijusių paslaugų, kurios yra ypatingos svarbos ir būtinos tų galutinių produktų kūrimui arba gamybai, teikimą. Gynybos ir karinių pajėgumų didinimas nefinansuojamas. Numatoma finansuoti įmonių darbuotojų specializuotų įgūdžių, susijusių su ypatingos svarbos technologijų vystymu ir gamyba STEP sektoriuose, žaliavų gamyba, mokymus. Veikla įgyvendinama Sostinės ir VVL regionuose.</w:t>
            </w:r>
          </w:p>
          <w:p w14:paraId="341CB02B" w14:textId="2E29B0C0" w:rsidR="00B233AD" w:rsidRPr="00B44B19" w:rsidRDefault="0000450B" w:rsidP="002E0230">
            <w:pPr>
              <w:spacing w:before="60" w:after="60"/>
              <w:jc w:val="both"/>
              <w:rPr>
                <w:rFonts w:ascii="Times New Roman" w:hAnsi="Times New Roman" w:cs="Times New Roman"/>
                <w:color w:val="000000"/>
              </w:rPr>
            </w:pPr>
            <w:r w:rsidRPr="00B44B19">
              <w:rPr>
                <w:rFonts w:ascii="Times New Roman" w:eastAsia="Times New Roman" w:hAnsi="Times New Roman" w:cs="Times New Roman"/>
                <w:color w:val="000000"/>
              </w:rPr>
              <w:t>Uždavinio veiklos (veiksmų rūšys) įvertintos vadovaujantis EGADP NRŽ gairėmis, todėl laikoma, kad atitinka NRŽ principą.</w:t>
            </w:r>
          </w:p>
        </w:tc>
      </w:tr>
    </w:tbl>
    <w:p w14:paraId="349C87DA" w14:textId="77777777" w:rsidR="00B233AD" w:rsidRPr="00B44B19" w:rsidRDefault="00B233AD" w:rsidP="00B233AD">
      <w:pPr>
        <w:tabs>
          <w:tab w:val="center" w:pos="4819"/>
          <w:tab w:val="right" w:pos="9638"/>
        </w:tabs>
        <w:spacing w:before="120" w:after="120" w:line="240" w:lineRule="auto"/>
        <w:rPr>
          <w:rFonts w:eastAsia="Calibri" w:cs="Times New Roman"/>
          <w:b/>
          <w:i/>
          <w:color w:val="1F497D"/>
        </w:rPr>
      </w:pPr>
      <w:r w:rsidRPr="00B44B19">
        <w:rPr>
          <w:rFonts w:eastAsia="Calibri" w:cs="Times New Roman"/>
          <w:b/>
          <w:i/>
          <w:color w:val="1F497D"/>
        </w:rPr>
        <w:lastRenderedPageBreak/>
        <w:t>Pagrindinės tikslinės grupės</w:t>
      </w:r>
    </w:p>
    <w:tbl>
      <w:tblPr>
        <w:tblStyle w:val="Lentelstinklelis2"/>
        <w:tblW w:w="9634" w:type="dxa"/>
        <w:tblLook w:val="04A0" w:firstRow="1" w:lastRow="0" w:firstColumn="1" w:lastColumn="0" w:noHBand="0" w:noVBand="1"/>
      </w:tblPr>
      <w:tblGrid>
        <w:gridCol w:w="9634"/>
      </w:tblGrid>
      <w:tr w:rsidR="00B233AD" w:rsidRPr="00B44B19" w14:paraId="54F4AEC9" w14:textId="77777777" w:rsidTr="003040E3">
        <w:tc>
          <w:tcPr>
            <w:tcW w:w="9634" w:type="dxa"/>
          </w:tcPr>
          <w:p w14:paraId="74149713" w14:textId="77777777" w:rsidR="00B233AD" w:rsidRPr="00B44B19" w:rsidRDefault="00B233AD" w:rsidP="002E0230">
            <w:pPr>
              <w:autoSpaceDE w:val="0"/>
              <w:autoSpaceDN w:val="0"/>
              <w:adjustRightInd w:val="0"/>
              <w:spacing w:before="60" w:after="60"/>
              <w:jc w:val="both"/>
              <w:rPr>
                <w:rFonts w:ascii="Times New Roman" w:eastAsia="Calibri" w:hAnsi="Times New Roman" w:cs="Times New Roman"/>
                <w:color w:val="000000"/>
                <w:highlight w:val="yellow"/>
              </w:rPr>
            </w:pPr>
            <w:r w:rsidRPr="00B44B19">
              <w:rPr>
                <w:rFonts w:ascii="Times New Roman" w:eastAsia="Calibri" w:hAnsi="Times New Roman" w:cs="Times New Roman"/>
                <w:noProof/>
                <w:lang w:eastAsia="lt-LT" w:bidi="lt-LT"/>
              </w:rPr>
              <w:t xml:space="preserve">Įmonės, </w:t>
            </w:r>
            <w:r w:rsidRPr="00B44B19">
              <w:rPr>
                <w:rFonts w:ascii="Times New Roman" w:eastAsia="Times New Roman" w:hAnsi="Times New Roman" w:cs="Times New Roman"/>
                <w:color w:val="000000"/>
              </w:rPr>
              <w:t>mokslo ir studijų institucijos</w:t>
            </w:r>
            <w:r w:rsidRPr="00B44B19">
              <w:rPr>
                <w:rFonts w:ascii="Times New Roman" w:eastAsia="Calibri" w:hAnsi="Times New Roman" w:cs="Times New Roman"/>
                <w:noProof/>
                <w:lang w:eastAsia="lt-LT" w:bidi="lt-LT"/>
              </w:rPr>
              <w:t>.</w:t>
            </w:r>
          </w:p>
        </w:tc>
      </w:tr>
    </w:tbl>
    <w:p w14:paraId="49E22AAA" w14:textId="77777777" w:rsidR="00B233AD" w:rsidRPr="00B44B19" w:rsidRDefault="00B233AD" w:rsidP="00B233AD">
      <w:pPr>
        <w:tabs>
          <w:tab w:val="center" w:pos="4819"/>
          <w:tab w:val="right" w:pos="9638"/>
        </w:tabs>
        <w:spacing w:before="120" w:after="120" w:line="240" w:lineRule="auto"/>
        <w:rPr>
          <w:rFonts w:eastAsia="Times New Roman" w:cs="Times New Roman"/>
          <w:b/>
          <w:i/>
          <w:iCs/>
          <w:noProof/>
          <w:color w:val="1F497D"/>
          <w:lang w:eastAsia="lt-LT" w:bidi="lt-LT"/>
        </w:rPr>
      </w:pPr>
      <w:r w:rsidRPr="00B44B19">
        <w:rPr>
          <w:rFonts w:eastAsia="Calibri" w:cs="Times New Roman"/>
          <w:b/>
          <w:i/>
          <w:noProof/>
          <w:color w:val="1F497D"/>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B233AD" w:rsidRPr="00B44B19" w14:paraId="77C099BA" w14:textId="77777777" w:rsidTr="003040E3">
        <w:tc>
          <w:tcPr>
            <w:tcW w:w="9854" w:type="dxa"/>
          </w:tcPr>
          <w:p w14:paraId="048B86D7" w14:textId="77777777" w:rsidR="00B233AD" w:rsidRPr="00B44B19" w:rsidRDefault="00B233AD" w:rsidP="002E0230">
            <w:pPr>
              <w:spacing w:before="60" w:after="60"/>
              <w:jc w:val="both"/>
              <w:rPr>
                <w:rFonts w:eastAsia="Calibri" w:cs="Times New Roman"/>
                <w:sz w:val="22"/>
                <w:highlight w:val="yellow"/>
                <w:lang w:eastAsia="lt-LT" w:bidi="lt-LT"/>
              </w:rPr>
            </w:pPr>
            <w:r w:rsidRPr="00B44B19">
              <w:rPr>
                <w:rFonts w:eastAsia="Calibri" w:cs="Times New Roman"/>
                <w:sz w:val="22"/>
                <w:lang w:eastAsia="lt-LT" w:bidi="lt-LT"/>
              </w:rPr>
              <w:t>Vykdant numatytas veiklas bus siekiama užtikrinti lygybės, įtraukties ir nediskriminavimo principus. Įgyvendinant nediskriminavimo principą, įmonėms kuriant STEP technologijas, bus siekiama, kad jų kūrimas arba gamyba atitiktų universalaus dizaino principus. Negalią turintiems žmonėms, taip pat moterims ir vyrams bus sudaromos vienodos galimybės dalyvauti įgyvendinant veiklas.</w:t>
            </w:r>
          </w:p>
        </w:tc>
      </w:tr>
    </w:tbl>
    <w:p w14:paraId="32D67A8B" w14:textId="77777777" w:rsidR="00B233AD" w:rsidRPr="00B44B19" w:rsidRDefault="00B233AD" w:rsidP="00B233AD">
      <w:pPr>
        <w:tabs>
          <w:tab w:val="center" w:pos="4819"/>
          <w:tab w:val="right" w:pos="9638"/>
        </w:tabs>
        <w:spacing w:before="120" w:after="120" w:line="240" w:lineRule="auto"/>
        <w:rPr>
          <w:rFonts w:eastAsia="Calibri" w:cs="Times New Roman"/>
          <w:b/>
          <w:i/>
          <w:color w:val="1F497D"/>
        </w:rPr>
      </w:pPr>
      <w:r w:rsidRPr="00B44B19">
        <w:rPr>
          <w:rFonts w:eastAsia="Calibri" w:cs="Times New Roman"/>
          <w:b/>
          <w:i/>
          <w:color w:val="1F497D"/>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B233AD" w:rsidRPr="00B44B19" w14:paraId="3D5443EB" w14:textId="77777777" w:rsidTr="003040E3">
        <w:tc>
          <w:tcPr>
            <w:tcW w:w="9854" w:type="dxa"/>
          </w:tcPr>
          <w:p w14:paraId="6927F7A4" w14:textId="77777777" w:rsidR="00B233AD" w:rsidRPr="00B44B19" w:rsidRDefault="00B233AD" w:rsidP="002E0230">
            <w:pPr>
              <w:spacing w:before="60" w:after="60"/>
              <w:jc w:val="both"/>
              <w:rPr>
                <w:rFonts w:ascii="Times New Roman" w:eastAsia="Calibri" w:hAnsi="Times New Roman" w:cs="Times New Roman"/>
                <w:iCs/>
                <w:spacing w:val="-4"/>
              </w:rPr>
            </w:pPr>
            <w:r w:rsidRPr="00B44B19">
              <w:rPr>
                <w:rFonts w:ascii="Times New Roman" w:eastAsia="Calibri" w:hAnsi="Times New Roman" w:cs="Times New Roman"/>
                <w:noProof/>
                <w:lang w:eastAsia="lt-LT" w:bidi="lt-LT"/>
              </w:rPr>
              <w:t>VVL regionas, Sostinės regionas.</w:t>
            </w:r>
          </w:p>
        </w:tc>
      </w:tr>
    </w:tbl>
    <w:p w14:paraId="64BE5314" w14:textId="77777777" w:rsidR="00B233AD" w:rsidRPr="00B44B19" w:rsidRDefault="00B233AD" w:rsidP="00B233AD">
      <w:pPr>
        <w:tabs>
          <w:tab w:val="center" w:pos="4819"/>
          <w:tab w:val="right" w:pos="9638"/>
        </w:tabs>
        <w:spacing w:before="120" w:after="120" w:line="240" w:lineRule="auto"/>
        <w:rPr>
          <w:rFonts w:eastAsia="Calibri" w:cs="Times New Roman"/>
          <w:b/>
          <w:i/>
          <w:color w:val="1F497D"/>
          <w:highlight w:val="yellow"/>
        </w:rPr>
      </w:pPr>
      <w:r w:rsidRPr="00B44B19">
        <w:rPr>
          <w:rFonts w:eastAsia="Calibri" w:cs="Times New Roman"/>
          <w:b/>
          <w:i/>
          <w:color w:val="1F497D"/>
        </w:rPr>
        <w:t>Tarpregioniniai, tarp sienų ir tarpvalstybiniai veiksmai</w:t>
      </w:r>
    </w:p>
    <w:tbl>
      <w:tblPr>
        <w:tblStyle w:val="Lentelstinklelis2"/>
        <w:tblW w:w="0" w:type="auto"/>
        <w:tblLook w:val="04A0" w:firstRow="1" w:lastRow="0" w:firstColumn="1" w:lastColumn="0" w:noHBand="0" w:noVBand="1"/>
      </w:tblPr>
      <w:tblGrid>
        <w:gridCol w:w="9628"/>
      </w:tblGrid>
      <w:tr w:rsidR="00B233AD" w:rsidRPr="00B44B19" w14:paraId="56FD981B" w14:textId="77777777" w:rsidTr="003040E3">
        <w:tc>
          <w:tcPr>
            <w:tcW w:w="9854" w:type="dxa"/>
          </w:tcPr>
          <w:p w14:paraId="748615C2" w14:textId="77777777" w:rsidR="00B233AD" w:rsidRPr="00B44B19" w:rsidRDefault="00B233AD" w:rsidP="009752E6">
            <w:pPr>
              <w:spacing w:before="60" w:after="60"/>
              <w:jc w:val="both"/>
              <w:rPr>
                <w:rFonts w:ascii="Times New Roman" w:eastAsia="Calibri" w:hAnsi="Times New Roman" w:cs="Times New Roman"/>
                <w:highlight w:val="yellow"/>
              </w:rPr>
            </w:pPr>
            <w:r w:rsidRPr="00B44B19">
              <w:rPr>
                <w:rFonts w:ascii="Times New Roman" w:eastAsia="Calibri" w:hAnsi="Times New Roman" w:cs="Times New Roman"/>
              </w:rPr>
              <w:t>Netaikoma.</w:t>
            </w:r>
          </w:p>
        </w:tc>
      </w:tr>
    </w:tbl>
    <w:p w14:paraId="59C11B8C" w14:textId="77777777" w:rsidR="00B233AD" w:rsidRPr="00B44B19" w:rsidRDefault="00B233AD" w:rsidP="00B233AD">
      <w:pPr>
        <w:tabs>
          <w:tab w:val="center" w:pos="4819"/>
          <w:tab w:val="right" w:pos="9638"/>
        </w:tabs>
        <w:spacing w:before="120" w:after="120" w:line="240" w:lineRule="auto"/>
        <w:rPr>
          <w:rFonts w:eastAsia="Calibri" w:cs="Times New Roman"/>
          <w:b/>
          <w:i/>
          <w:color w:val="1F497D"/>
          <w:highlight w:val="yellow"/>
        </w:rPr>
      </w:pPr>
      <w:r w:rsidRPr="00B44B19">
        <w:rPr>
          <w:rFonts w:eastAsia="Calibri" w:cs="Times New Roman"/>
          <w:b/>
          <w:i/>
          <w:color w:val="1F497D"/>
        </w:rPr>
        <w:t>Planuojamas finansinių priemonių naudojimas</w:t>
      </w:r>
    </w:p>
    <w:tbl>
      <w:tblPr>
        <w:tblStyle w:val="Lentelstinklelis2"/>
        <w:tblW w:w="0" w:type="auto"/>
        <w:tblLook w:val="04A0" w:firstRow="1" w:lastRow="0" w:firstColumn="1" w:lastColumn="0" w:noHBand="0" w:noVBand="1"/>
      </w:tblPr>
      <w:tblGrid>
        <w:gridCol w:w="9628"/>
      </w:tblGrid>
      <w:tr w:rsidR="00B233AD" w:rsidRPr="00B44B19" w14:paraId="2E7ECD46" w14:textId="77777777" w:rsidTr="003040E3">
        <w:tc>
          <w:tcPr>
            <w:tcW w:w="9854" w:type="dxa"/>
          </w:tcPr>
          <w:p w14:paraId="604ABE99" w14:textId="77777777" w:rsidR="00B233AD" w:rsidRPr="00B44B19" w:rsidRDefault="00B233AD" w:rsidP="009752E6">
            <w:pPr>
              <w:spacing w:before="60" w:after="60"/>
              <w:jc w:val="both"/>
              <w:rPr>
                <w:rFonts w:ascii="Times New Roman" w:eastAsia="Calibri" w:hAnsi="Times New Roman" w:cs="Times New Roman"/>
                <w:highlight w:val="yellow"/>
                <w:lang w:eastAsia="lt-LT"/>
              </w:rPr>
            </w:pPr>
            <w:r w:rsidRPr="00B44B19">
              <w:rPr>
                <w:rFonts w:ascii="Times New Roman" w:eastAsia="Calibri" w:hAnsi="Times New Roman" w:cs="Times New Roman"/>
              </w:rPr>
              <w:t>–</w:t>
            </w:r>
          </w:p>
        </w:tc>
      </w:tr>
    </w:tbl>
    <w:p w14:paraId="5195BA2A" w14:textId="77777777" w:rsidR="00B233AD" w:rsidRPr="00B44B19" w:rsidRDefault="00B233AD" w:rsidP="00B233AD">
      <w:pPr>
        <w:tabs>
          <w:tab w:val="center" w:pos="4819"/>
          <w:tab w:val="right" w:pos="9638"/>
        </w:tabs>
        <w:spacing w:before="120" w:after="120" w:line="240" w:lineRule="auto"/>
        <w:rPr>
          <w:rFonts w:eastAsia="Calibri" w:cs="Times New Roman"/>
          <w:b/>
          <w:i/>
          <w:color w:val="1F497D"/>
        </w:rPr>
      </w:pPr>
      <w:r w:rsidRPr="00B44B19">
        <w:rPr>
          <w:rFonts w:eastAsia="Calibri" w:cs="Times New Roman"/>
          <w:b/>
          <w:i/>
          <w:color w:val="1F497D"/>
        </w:rPr>
        <w:t>Rodikliai</w:t>
      </w:r>
    </w:p>
    <w:p w14:paraId="7813BEE3" w14:textId="77777777" w:rsidR="00B233AD" w:rsidRPr="00B44B19" w:rsidRDefault="00B233AD" w:rsidP="00B233AD">
      <w:pPr>
        <w:spacing w:before="240" w:after="0" w:line="240" w:lineRule="auto"/>
        <w:jc w:val="both"/>
        <w:rPr>
          <w:rFonts w:eastAsia="Calibri" w:cs="Times New Roman"/>
          <w:b/>
          <w:sz w:val="22"/>
        </w:rPr>
      </w:pPr>
      <w:r w:rsidRPr="00B44B19">
        <w:rPr>
          <w:rFonts w:eastAsia="Calibri"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1"/>
        <w:gridCol w:w="673"/>
        <w:gridCol w:w="1028"/>
        <w:gridCol w:w="1134"/>
        <w:gridCol w:w="1660"/>
        <w:gridCol w:w="967"/>
        <w:gridCol w:w="990"/>
        <w:gridCol w:w="1186"/>
      </w:tblGrid>
      <w:tr w:rsidR="00B233AD" w:rsidRPr="00B44B19" w14:paraId="007730FB" w14:textId="77777777" w:rsidTr="003040E3">
        <w:trPr>
          <w:trHeight w:val="467"/>
          <w:tblHeader/>
        </w:trPr>
        <w:tc>
          <w:tcPr>
            <w:tcW w:w="582" w:type="pct"/>
            <w:tcBorders>
              <w:top w:val="single" w:sz="12" w:space="0" w:color="auto"/>
              <w:left w:val="single" w:sz="12" w:space="0" w:color="auto"/>
              <w:bottom w:val="single" w:sz="12" w:space="0" w:color="auto"/>
              <w:right w:val="single" w:sz="12" w:space="0" w:color="auto"/>
            </w:tcBorders>
            <w:shd w:val="clear" w:color="auto" w:fill="DBE5F1"/>
            <w:vAlign w:val="center"/>
          </w:tcPr>
          <w:p w14:paraId="288EFE4E"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443" w:type="pct"/>
            <w:tcBorders>
              <w:top w:val="single" w:sz="12" w:space="0" w:color="auto"/>
              <w:left w:val="single" w:sz="12" w:space="0" w:color="auto"/>
              <w:bottom w:val="single" w:sz="12" w:space="0" w:color="auto"/>
              <w:right w:val="single" w:sz="12" w:space="0" w:color="auto"/>
            </w:tcBorders>
            <w:shd w:val="clear" w:color="auto" w:fill="DBE5F1"/>
            <w:vAlign w:val="center"/>
          </w:tcPr>
          <w:p w14:paraId="10BEC949"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350" w:type="pct"/>
            <w:tcBorders>
              <w:top w:val="single" w:sz="12" w:space="0" w:color="auto"/>
              <w:left w:val="single" w:sz="12" w:space="0" w:color="auto"/>
              <w:bottom w:val="single" w:sz="12" w:space="0" w:color="auto"/>
              <w:right w:val="single" w:sz="12" w:space="0" w:color="auto"/>
            </w:tcBorders>
            <w:shd w:val="clear" w:color="auto" w:fill="DBE5F1"/>
            <w:vAlign w:val="center"/>
          </w:tcPr>
          <w:p w14:paraId="023CABEC"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535" w:type="pct"/>
            <w:tcBorders>
              <w:top w:val="single" w:sz="12" w:space="0" w:color="auto"/>
              <w:left w:val="single" w:sz="12" w:space="0" w:color="auto"/>
              <w:bottom w:val="single" w:sz="12" w:space="0" w:color="auto"/>
              <w:right w:val="single" w:sz="12" w:space="0" w:color="auto"/>
            </w:tcBorders>
            <w:shd w:val="clear" w:color="auto" w:fill="DBE5F1"/>
            <w:vAlign w:val="center"/>
          </w:tcPr>
          <w:p w14:paraId="6C9C2B43"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590" w:type="pct"/>
            <w:tcBorders>
              <w:top w:val="single" w:sz="12" w:space="0" w:color="auto"/>
              <w:left w:val="single" w:sz="12" w:space="0" w:color="auto"/>
              <w:bottom w:val="single" w:sz="12" w:space="0" w:color="auto"/>
              <w:right w:val="single" w:sz="12" w:space="0" w:color="auto"/>
            </w:tcBorders>
            <w:shd w:val="clear" w:color="auto" w:fill="DBE5F1"/>
            <w:vAlign w:val="center"/>
          </w:tcPr>
          <w:p w14:paraId="3E34A1D4"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 xml:space="preserve">Identifikavimo numeris </w:t>
            </w:r>
          </w:p>
        </w:tc>
        <w:tc>
          <w:tcPr>
            <w:tcW w:w="864" w:type="pct"/>
            <w:tcBorders>
              <w:top w:val="single" w:sz="12" w:space="0" w:color="auto"/>
              <w:left w:val="single" w:sz="12" w:space="0" w:color="auto"/>
              <w:bottom w:val="single" w:sz="12" w:space="0" w:color="auto"/>
              <w:right w:val="single" w:sz="12" w:space="0" w:color="auto"/>
            </w:tcBorders>
            <w:shd w:val="clear" w:color="auto" w:fill="DBE5F1"/>
            <w:vAlign w:val="center"/>
          </w:tcPr>
          <w:p w14:paraId="04310F92"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503" w:type="pct"/>
            <w:tcBorders>
              <w:top w:val="single" w:sz="12" w:space="0" w:color="auto"/>
              <w:left w:val="single" w:sz="12" w:space="0" w:color="auto"/>
              <w:bottom w:val="single" w:sz="12" w:space="0" w:color="auto"/>
              <w:right w:val="single" w:sz="12" w:space="0" w:color="auto"/>
            </w:tcBorders>
            <w:shd w:val="clear" w:color="auto" w:fill="DBE5F1"/>
            <w:vAlign w:val="center"/>
          </w:tcPr>
          <w:p w14:paraId="692F0770"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515" w:type="pct"/>
            <w:tcBorders>
              <w:top w:val="single" w:sz="12" w:space="0" w:color="auto"/>
              <w:left w:val="single" w:sz="12" w:space="0" w:color="auto"/>
              <w:bottom w:val="single" w:sz="12" w:space="0" w:color="auto"/>
              <w:right w:val="single" w:sz="12" w:space="0" w:color="auto"/>
            </w:tcBorders>
            <w:shd w:val="clear" w:color="auto" w:fill="DBE5F1"/>
            <w:vAlign w:val="center"/>
          </w:tcPr>
          <w:p w14:paraId="4C3D44C1"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Tarpinė reikšmė (2024 m.)</w:t>
            </w:r>
          </w:p>
        </w:tc>
        <w:tc>
          <w:tcPr>
            <w:tcW w:w="617" w:type="pct"/>
            <w:tcBorders>
              <w:top w:val="single" w:sz="12" w:space="0" w:color="auto"/>
              <w:left w:val="single" w:sz="12" w:space="0" w:color="auto"/>
              <w:bottom w:val="single" w:sz="12" w:space="0" w:color="auto"/>
              <w:right w:val="single" w:sz="12" w:space="0" w:color="auto"/>
            </w:tcBorders>
            <w:shd w:val="clear" w:color="auto" w:fill="DBE5F1"/>
            <w:vAlign w:val="center"/>
          </w:tcPr>
          <w:p w14:paraId="65837D9F"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Siektina reikšmė (2029 m.)</w:t>
            </w:r>
          </w:p>
        </w:tc>
      </w:tr>
      <w:tr w:rsidR="00B233AD" w:rsidRPr="00B44B19" w14:paraId="7277D33E" w14:textId="77777777" w:rsidTr="003040E3">
        <w:trPr>
          <w:trHeight w:val="565"/>
        </w:trPr>
        <w:tc>
          <w:tcPr>
            <w:tcW w:w="582" w:type="pct"/>
            <w:vMerge w:val="restart"/>
            <w:tcBorders>
              <w:top w:val="single" w:sz="12" w:space="0" w:color="auto"/>
            </w:tcBorders>
          </w:tcPr>
          <w:p w14:paraId="779EB617" w14:textId="0543B099" w:rsidR="00B233AD" w:rsidRPr="00B44B19" w:rsidRDefault="00B233AD" w:rsidP="003040E3">
            <w:pPr>
              <w:spacing w:before="100" w:beforeAutospacing="1" w:after="100" w:afterAutospacing="1" w:line="240" w:lineRule="auto"/>
              <w:jc w:val="both"/>
              <w:rPr>
                <w:rFonts w:eastAsia="Calibri" w:cs="Times New Roman"/>
                <w:noProof/>
                <w:sz w:val="16"/>
                <w:szCs w:val="16"/>
              </w:rPr>
            </w:pPr>
            <w:r w:rsidRPr="00B44B19">
              <w:rPr>
                <w:rFonts w:eastAsia="Calibri" w:cs="Times New Roman"/>
                <w:noProof/>
                <w:sz w:val="16"/>
                <w:szCs w:val="16"/>
                <w:lang w:val="nl-NL"/>
              </w:rPr>
              <w:t>10</w:t>
            </w:r>
            <w:r w:rsidRPr="00B44B19">
              <w:rPr>
                <w:rFonts w:eastAsia="Calibri" w:cs="Times New Roman"/>
                <w:noProof/>
                <w:sz w:val="16"/>
                <w:szCs w:val="16"/>
              </w:rPr>
              <w:t>.</w:t>
            </w:r>
          </w:p>
        </w:tc>
        <w:tc>
          <w:tcPr>
            <w:tcW w:w="443" w:type="pct"/>
            <w:vMerge w:val="restart"/>
            <w:tcBorders>
              <w:top w:val="single" w:sz="12" w:space="0" w:color="auto"/>
            </w:tcBorders>
          </w:tcPr>
          <w:p w14:paraId="1EBC974E" w14:textId="6A49D508" w:rsidR="00B233AD" w:rsidRPr="00B44B19" w:rsidRDefault="00B233AD" w:rsidP="003040E3">
            <w:pPr>
              <w:spacing w:before="100" w:beforeAutospacing="1" w:after="100" w:afterAutospacing="1" w:line="240" w:lineRule="auto"/>
              <w:rPr>
                <w:rFonts w:eastAsia="Calibri" w:cs="Times New Roman"/>
                <w:noProof/>
                <w:sz w:val="16"/>
                <w:szCs w:val="16"/>
              </w:rPr>
            </w:pPr>
            <w:r w:rsidRPr="00B44B19">
              <w:rPr>
                <w:rFonts w:eastAsia="Calibri" w:cs="Times New Roman"/>
                <w:noProof/>
                <w:sz w:val="16"/>
                <w:szCs w:val="16"/>
              </w:rPr>
              <w:t xml:space="preserve">10.1 </w:t>
            </w:r>
          </w:p>
        </w:tc>
        <w:tc>
          <w:tcPr>
            <w:tcW w:w="350" w:type="pct"/>
            <w:vMerge w:val="restart"/>
            <w:tcBorders>
              <w:top w:val="single" w:sz="12" w:space="0" w:color="auto"/>
            </w:tcBorders>
          </w:tcPr>
          <w:p w14:paraId="44054F98" w14:textId="77777777" w:rsidR="00B233AD" w:rsidRPr="00B44B19" w:rsidRDefault="00B233AD" w:rsidP="003040E3">
            <w:pPr>
              <w:spacing w:before="100" w:beforeAutospacing="1" w:after="100" w:afterAutospacing="1" w:line="240" w:lineRule="auto"/>
              <w:rPr>
                <w:rFonts w:eastAsia="Calibri" w:cs="Times New Roman"/>
                <w:sz w:val="16"/>
                <w:szCs w:val="16"/>
              </w:rPr>
            </w:pPr>
            <w:r w:rsidRPr="00B44B19">
              <w:rPr>
                <w:rFonts w:eastAsia="Calibri" w:cs="Times New Roman"/>
                <w:sz w:val="16"/>
                <w:szCs w:val="16"/>
              </w:rPr>
              <w:t>ERPF</w:t>
            </w:r>
          </w:p>
        </w:tc>
        <w:tc>
          <w:tcPr>
            <w:tcW w:w="535" w:type="pct"/>
            <w:tcBorders>
              <w:top w:val="single" w:sz="12" w:space="0" w:color="auto"/>
              <w:bottom w:val="single" w:sz="4" w:space="0" w:color="auto"/>
            </w:tcBorders>
          </w:tcPr>
          <w:p w14:paraId="1ACB6645"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Sostinės regionas</w:t>
            </w:r>
          </w:p>
        </w:tc>
        <w:tc>
          <w:tcPr>
            <w:tcW w:w="590" w:type="pct"/>
            <w:tcBorders>
              <w:top w:val="single" w:sz="12" w:space="0" w:color="auto"/>
              <w:bottom w:val="single" w:sz="4" w:space="0" w:color="auto"/>
            </w:tcBorders>
          </w:tcPr>
          <w:p w14:paraId="081F15B3"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RCO01</w:t>
            </w:r>
          </w:p>
        </w:tc>
        <w:tc>
          <w:tcPr>
            <w:tcW w:w="864" w:type="pct"/>
            <w:tcBorders>
              <w:top w:val="single" w:sz="12" w:space="0" w:color="auto"/>
              <w:bottom w:val="single" w:sz="4" w:space="0" w:color="auto"/>
            </w:tcBorders>
          </w:tcPr>
          <w:p w14:paraId="2B902315" w14:textId="77777777" w:rsidR="00B233AD" w:rsidRPr="00B44B19" w:rsidRDefault="00B233AD" w:rsidP="003040E3">
            <w:pPr>
              <w:tabs>
                <w:tab w:val="left" w:pos="7560"/>
              </w:tabs>
              <w:spacing w:after="0" w:line="240" w:lineRule="auto"/>
              <w:rPr>
                <w:rFonts w:eastAsia="Calibri" w:cs="Times New Roman"/>
                <w:sz w:val="16"/>
                <w:szCs w:val="16"/>
              </w:rPr>
            </w:pPr>
            <w:r w:rsidRPr="00B44B19">
              <w:rPr>
                <w:rFonts w:eastAsia="Calibri" w:cs="Times New Roman"/>
                <w:sz w:val="16"/>
                <w:szCs w:val="16"/>
              </w:rPr>
              <w:t>Paramą gavusios įmonės (iš kurių: labai mažos, mažosios, vidutinės ir didelės)</w:t>
            </w:r>
          </w:p>
        </w:tc>
        <w:tc>
          <w:tcPr>
            <w:tcW w:w="503" w:type="pct"/>
            <w:tcBorders>
              <w:top w:val="single" w:sz="12" w:space="0" w:color="auto"/>
              <w:bottom w:val="single" w:sz="4" w:space="0" w:color="auto"/>
            </w:tcBorders>
          </w:tcPr>
          <w:p w14:paraId="539EB92A"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Įmonės</w:t>
            </w:r>
          </w:p>
        </w:tc>
        <w:tc>
          <w:tcPr>
            <w:tcW w:w="515" w:type="pct"/>
            <w:tcBorders>
              <w:top w:val="single" w:sz="12" w:space="0" w:color="auto"/>
              <w:bottom w:val="single" w:sz="4" w:space="0" w:color="auto"/>
            </w:tcBorders>
          </w:tcPr>
          <w:p w14:paraId="0B32669D" w14:textId="77777777" w:rsidR="00B233AD" w:rsidRPr="00B44B19" w:rsidRDefault="00B233AD" w:rsidP="003040E3">
            <w:pPr>
              <w:spacing w:after="0" w:line="240" w:lineRule="auto"/>
              <w:jc w:val="center"/>
              <w:rPr>
                <w:rFonts w:eastAsia="Calibri" w:cs="Times New Roman"/>
                <w:sz w:val="16"/>
                <w:szCs w:val="16"/>
                <w:lang w:val="en-GB"/>
              </w:rPr>
            </w:pPr>
            <w:r w:rsidRPr="00B44B19">
              <w:rPr>
                <w:rFonts w:eastAsia="Calibri" w:cs="Times New Roman"/>
                <w:sz w:val="16"/>
                <w:szCs w:val="16"/>
                <w:lang w:val="en-GB"/>
              </w:rPr>
              <w:t>0</w:t>
            </w:r>
          </w:p>
        </w:tc>
        <w:tc>
          <w:tcPr>
            <w:tcW w:w="617" w:type="pct"/>
            <w:tcBorders>
              <w:top w:val="single" w:sz="12" w:space="0" w:color="auto"/>
              <w:bottom w:val="single" w:sz="4" w:space="0" w:color="auto"/>
            </w:tcBorders>
          </w:tcPr>
          <w:p w14:paraId="27974D29" w14:textId="77777777" w:rsidR="00B233AD" w:rsidRPr="00B44B19" w:rsidRDefault="00B233AD" w:rsidP="003040E3">
            <w:pPr>
              <w:spacing w:after="0" w:line="240" w:lineRule="auto"/>
              <w:jc w:val="center"/>
              <w:rPr>
                <w:rFonts w:eastAsia="Calibri" w:cs="Times New Roman"/>
                <w:sz w:val="16"/>
                <w:szCs w:val="16"/>
              </w:rPr>
            </w:pPr>
            <w:r w:rsidRPr="00B44B19">
              <w:rPr>
                <w:rFonts w:eastAsia="Calibri" w:cs="Times New Roman"/>
                <w:sz w:val="16"/>
                <w:szCs w:val="16"/>
              </w:rPr>
              <w:t>6</w:t>
            </w:r>
          </w:p>
        </w:tc>
      </w:tr>
      <w:tr w:rsidR="00B233AD" w:rsidRPr="00B44B19" w14:paraId="3E440526" w14:textId="77777777" w:rsidTr="003040E3">
        <w:trPr>
          <w:trHeight w:val="565"/>
        </w:trPr>
        <w:tc>
          <w:tcPr>
            <w:tcW w:w="582" w:type="pct"/>
            <w:vMerge/>
          </w:tcPr>
          <w:p w14:paraId="79EFD7F2"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443" w:type="pct"/>
            <w:vMerge/>
          </w:tcPr>
          <w:p w14:paraId="013C6ACF" w14:textId="77777777" w:rsidR="00B233AD" w:rsidRPr="00B44B19" w:rsidRDefault="00B233AD" w:rsidP="003040E3">
            <w:pPr>
              <w:spacing w:before="100" w:beforeAutospacing="1" w:after="100" w:afterAutospacing="1" w:line="240" w:lineRule="auto"/>
              <w:rPr>
                <w:rFonts w:eastAsia="Calibri" w:cs="Times New Roman"/>
                <w:noProof/>
                <w:sz w:val="16"/>
                <w:szCs w:val="16"/>
              </w:rPr>
            </w:pPr>
          </w:p>
        </w:tc>
        <w:tc>
          <w:tcPr>
            <w:tcW w:w="350" w:type="pct"/>
            <w:vMerge/>
          </w:tcPr>
          <w:p w14:paraId="05DA3F79" w14:textId="77777777" w:rsidR="00B233AD" w:rsidRPr="00B44B19" w:rsidRDefault="00B233AD" w:rsidP="003040E3">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20C1C83F"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VVL regionas</w:t>
            </w:r>
          </w:p>
        </w:tc>
        <w:tc>
          <w:tcPr>
            <w:tcW w:w="590" w:type="pct"/>
            <w:tcBorders>
              <w:top w:val="single" w:sz="4" w:space="0" w:color="auto"/>
            </w:tcBorders>
          </w:tcPr>
          <w:p w14:paraId="452BDC35"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RCO01</w:t>
            </w:r>
          </w:p>
        </w:tc>
        <w:tc>
          <w:tcPr>
            <w:tcW w:w="864" w:type="pct"/>
            <w:tcBorders>
              <w:top w:val="single" w:sz="4" w:space="0" w:color="auto"/>
            </w:tcBorders>
          </w:tcPr>
          <w:p w14:paraId="3EABA419" w14:textId="77777777" w:rsidR="00B233AD" w:rsidRPr="00B44B19" w:rsidRDefault="00B233AD" w:rsidP="003040E3">
            <w:pPr>
              <w:tabs>
                <w:tab w:val="left" w:pos="7560"/>
              </w:tabs>
              <w:spacing w:after="0" w:line="240" w:lineRule="auto"/>
              <w:rPr>
                <w:rFonts w:eastAsia="Calibri" w:cs="Times New Roman"/>
                <w:sz w:val="16"/>
                <w:szCs w:val="16"/>
              </w:rPr>
            </w:pPr>
            <w:r w:rsidRPr="00B44B19">
              <w:rPr>
                <w:rFonts w:eastAsia="Calibri" w:cs="Times New Roman"/>
                <w:sz w:val="16"/>
                <w:szCs w:val="16"/>
              </w:rPr>
              <w:t>Paramą gavusios įmonės (iš kurių: labai mažos, mažosios, vidutinės ir didelės)</w:t>
            </w:r>
          </w:p>
        </w:tc>
        <w:tc>
          <w:tcPr>
            <w:tcW w:w="503" w:type="pct"/>
            <w:tcBorders>
              <w:top w:val="single" w:sz="4" w:space="0" w:color="auto"/>
            </w:tcBorders>
          </w:tcPr>
          <w:p w14:paraId="59C33623"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Įmonės</w:t>
            </w:r>
          </w:p>
        </w:tc>
        <w:tc>
          <w:tcPr>
            <w:tcW w:w="515" w:type="pct"/>
            <w:tcBorders>
              <w:top w:val="single" w:sz="4" w:space="0" w:color="auto"/>
            </w:tcBorders>
          </w:tcPr>
          <w:p w14:paraId="3100BB80" w14:textId="77777777" w:rsidR="00B233AD" w:rsidRPr="00B44B19" w:rsidRDefault="00B233AD" w:rsidP="003040E3">
            <w:pPr>
              <w:spacing w:after="0" w:line="240" w:lineRule="auto"/>
              <w:jc w:val="center"/>
              <w:rPr>
                <w:rFonts w:eastAsia="Calibri" w:cs="Times New Roman"/>
                <w:sz w:val="16"/>
                <w:szCs w:val="16"/>
                <w:lang w:val="en-GB"/>
              </w:rPr>
            </w:pPr>
            <w:r w:rsidRPr="00B44B19">
              <w:rPr>
                <w:rFonts w:eastAsia="Calibri" w:cs="Times New Roman"/>
                <w:sz w:val="16"/>
                <w:szCs w:val="16"/>
                <w:lang w:val="en-GB"/>
              </w:rPr>
              <w:t>0</w:t>
            </w:r>
          </w:p>
        </w:tc>
        <w:tc>
          <w:tcPr>
            <w:tcW w:w="617" w:type="pct"/>
            <w:tcBorders>
              <w:top w:val="single" w:sz="4" w:space="0" w:color="auto"/>
            </w:tcBorders>
          </w:tcPr>
          <w:p w14:paraId="0425EEBA" w14:textId="77777777" w:rsidR="00B233AD" w:rsidRPr="00B44B19" w:rsidRDefault="00B233AD" w:rsidP="003040E3">
            <w:pPr>
              <w:spacing w:after="0" w:line="240" w:lineRule="auto"/>
              <w:jc w:val="center"/>
              <w:rPr>
                <w:rFonts w:eastAsia="Calibri" w:cs="Times New Roman"/>
                <w:sz w:val="16"/>
                <w:szCs w:val="16"/>
                <w:lang w:val="en-US"/>
              </w:rPr>
            </w:pPr>
            <w:r w:rsidRPr="00B44B19">
              <w:rPr>
                <w:rFonts w:eastAsia="Calibri" w:cs="Times New Roman"/>
                <w:sz w:val="16"/>
                <w:szCs w:val="16"/>
                <w:lang w:val="en-US"/>
              </w:rPr>
              <w:t>6</w:t>
            </w:r>
          </w:p>
        </w:tc>
      </w:tr>
      <w:tr w:rsidR="00B233AD" w:rsidRPr="00B44B19" w14:paraId="7B1FA0A3" w14:textId="77777777" w:rsidTr="003040E3">
        <w:trPr>
          <w:trHeight w:val="565"/>
        </w:trPr>
        <w:tc>
          <w:tcPr>
            <w:tcW w:w="582" w:type="pct"/>
            <w:vMerge/>
          </w:tcPr>
          <w:p w14:paraId="528669C1"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443" w:type="pct"/>
            <w:vMerge/>
          </w:tcPr>
          <w:p w14:paraId="099400FC" w14:textId="77777777" w:rsidR="00B233AD" w:rsidRPr="00B44B19" w:rsidRDefault="00B233AD" w:rsidP="003040E3">
            <w:pPr>
              <w:spacing w:before="100" w:beforeAutospacing="1" w:after="100" w:afterAutospacing="1" w:line="240" w:lineRule="auto"/>
              <w:rPr>
                <w:rFonts w:eastAsia="Calibri" w:cs="Times New Roman"/>
                <w:noProof/>
                <w:sz w:val="16"/>
                <w:szCs w:val="16"/>
              </w:rPr>
            </w:pPr>
          </w:p>
        </w:tc>
        <w:tc>
          <w:tcPr>
            <w:tcW w:w="350" w:type="pct"/>
            <w:vMerge/>
          </w:tcPr>
          <w:p w14:paraId="0DF67E4B" w14:textId="77777777" w:rsidR="00B233AD" w:rsidRPr="00B44B19" w:rsidRDefault="00B233AD" w:rsidP="003040E3">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4457C64F"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Sostinės regionas</w:t>
            </w:r>
          </w:p>
        </w:tc>
        <w:tc>
          <w:tcPr>
            <w:tcW w:w="590" w:type="pct"/>
            <w:tcBorders>
              <w:top w:val="single" w:sz="4" w:space="0" w:color="auto"/>
            </w:tcBorders>
          </w:tcPr>
          <w:p w14:paraId="765F8DFA"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RCO02</w:t>
            </w:r>
          </w:p>
        </w:tc>
        <w:tc>
          <w:tcPr>
            <w:tcW w:w="864" w:type="pct"/>
            <w:tcBorders>
              <w:top w:val="single" w:sz="4" w:space="0" w:color="auto"/>
            </w:tcBorders>
          </w:tcPr>
          <w:p w14:paraId="4AD6A263" w14:textId="77777777" w:rsidR="00B233AD" w:rsidRPr="00B44B19" w:rsidRDefault="00B233AD" w:rsidP="003040E3">
            <w:pPr>
              <w:tabs>
                <w:tab w:val="left" w:pos="7560"/>
              </w:tabs>
              <w:spacing w:after="0" w:line="240" w:lineRule="auto"/>
              <w:rPr>
                <w:rFonts w:eastAsia="Calibri" w:cs="Times New Roman"/>
                <w:sz w:val="16"/>
                <w:szCs w:val="16"/>
              </w:rPr>
            </w:pPr>
            <w:r w:rsidRPr="00B44B19">
              <w:rPr>
                <w:rFonts w:eastAsia="Calibri" w:cs="Times New Roman"/>
                <w:sz w:val="16"/>
                <w:szCs w:val="16"/>
              </w:rPr>
              <w:t>Paramą dotacijomis gavusios įmonės</w:t>
            </w:r>
          </w:p>
        </w:tc>
        <w:tc>
          <w:tcPr>
            <w:tcW w:w="503" w:type="pct"/>
            <w:tcBorders>
              <w:top w:val="single" w:sz="4" w:space="0" w:color="auto"/>
            </w:tcBorders>
          </w:tcPr>
          <w:p w14:paraId="27207F77"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Įmonės</w:t>
            </w:r>
          </w:p>
        </w:tc>
        <w:tc>
          <w:tcPr>
            <w:tcW w:w="515" w:type="pct"/>
            <w:tcBorders>
              <w:top w:val="single" w:sz="4" w:space="0" w:color="auto"/>
            </w:tcBorders>
          </w:tcPr>
          <w:p w14:paraId="24C6C75B" w14:textId="77777777" w:rsidR="00B233AD" w:rsidRPr="00B44B19" w:rsidRDefault="00B233AD" w:rsidP="003040E3">
            <w:pPr>
              <w:spacing w:after="0" w:line="240" w:lineRule="auto"/>
              <w:jc w:val="center"/>
              <w:rPr>
                <w:rFonts w:eastAsia="Calibri" w:cs="Times New Roman"/>
                <w:sz w:val="16"/>
                <w:szCs w:val="16"/>
                <w:lang w:val="en-GB"/>
              </w:rPr>
            </w:pPr>
            <w:r w:rsidRPr="00B44B19">
              <w:rPr>
                <w:rFonts w:eastAsia="Calibri" w:cs="Times New Roman"/>
                <w:sz w:val="16"/>
                <w:szCs w:val="16"/>
                <w:lang w:val="en-GB"/>
              </w:rPr>
              <w:t>0</w:t>
            </w:r>
          </w:p>
        </w:tc>
        <w:tc>
          <w:tcPr>
            <w:tcW w:w="617" w:type="pct"/>
            <w:tcBorders>
              <w:top w:val="single" w:sz="4" w:space="0" w:color="auto"/>
            </w:tcBorders>
          </w:tcPr>
          <w:p w14:paraId="78DAC0B4" w14:textId="77777777" w:rsidR="00B233AD" w:rsidRPr="00B44B19" w:rsidRDefault="00B233AD" w:rsidP="003040E3">
            <w:pPr>
              <w:spacing w:after="0" w:line="240" w:lineRule="auto"/>
              <w:jc w:val="center"/>
              <w:rPr>
                <w:rFonts w:eastAsia="Calibri" w:cs="Times New Roman"/>
                <w:sz w:val="16"/>
                <w:szCs w:val="16"/>
              </w:rPr>
            </w:pPr>
            <w:r w:rsidRPr="00B44B19">
              <w:rPr>
                <w:rFonts w:eastAsia="Calibri" w:cs="Times New Roman"/>
                <w:sz w:val="16"/>
                <w:szCs w:val="16"/>
              </w:rPr>
              <w:t>6</w:t>
            </w:r>
          </w:p>
        </w:tc>
      </w:tr>
      <w:tr w:rsidR="00B233AD" w:rsidRPr="00B44B19" w14:paraId="39C698EE" w14:textId="77777777" w:rsidTr="003040E3">
        <w:trPr>
          <w:trHeight w:val="565"/>
        </w:trPr>
        <w:tc>
          <w:tcPr>
            <w:tcW w:w="582" w:type="pct"/>
            <w:vMerge/>
          </w:tcPr>
          <w:p w14:paraId="0762991C"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443" w:type="pct"/>
            <w:vMerge/>
          </w:tcPr>
          <w:p w14:paraId="6C987F71" w14:textId="77777777" w:rsidR="00B233AD" w:rsidRPr="00B44B19" w:rsidRDefault="00B233AD" w:rsidP="003040E3">
            <w:pPr>
              <w:spacing w:before="100" w:beforeAutospacing="1" w:after="100" w:afterAutospacing="1" w:line="240" w:lineRule="auto"/>
              <w:rPr>
                <w:rFonts w:eastAsia="Calibri" w:cs="Times New Roman"/>
                <w:noProof/>
                <w:sz w:val="16"/>
                <w:szCs w:val="16"/>
              </w:rPr>
            </w:pPr>
          </w:p>
        </w:tc>
        <w:tc>
          <w:tcPr>
            <w:tcW w:w="350" w:type="pct"/>
            <w:vMerge/>
          </w:tcPr>
          <w:p w14:paraId="315DFBB3" w14:textId="77777777" w:rsidR="00B233AD" w:rsidRPr="00B44B19" w:rsidRDefault="00B233AD" w:rsidP="003040E3">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7D8DE05C"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VVL regionas</w:t>
            </w:r>
          </w:p>
        </w:tc>
        <w:tc>
          <w:tcPr>
            <w:tcW w:w="590" w:type="pct"/>
            <w:tcBorders>
              <w:top w:val="single" w:sz="4" w:space="0" w:color="auto"/>
            </w:tcBorders>
          </w:tcPr>
          <w:p w14:paraId="46E51D90"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RCO02</w:t>
            </w:r>
          </w:p>
        </w:tc>
        <w:tc>
          <w:tcPr>
            <w:tcW w:w="864" w:type="pct"/>
            <w:tcBorders>
              <w:top w:val="single" w:sz="4" w:space="0" w:color="auto"/>
            </w:tcBorders>
          </w:tcPr>
          <w:p w14:paraId="5EABE5C4" w14:textId="77777777" w:rsidR="00B233AD" w:rsidRPr="00B44B19" w:rsidRDefault="00B233AD" w:rsidP="003040E3">
            <w:pPr>
              <w:tabs>
                <w:tab w:val="left" w:pos="7560"/>
              </w:tabs>
              <w:spacing w:after="0" w:line="240" w:lineRule="auto"/>
              <w:rPr>
                <w:rFonts w:eastAsia="Calibri" w:cs="Times New Roman"/>
                <w:sz w:val="16"/>
                <w:szCs w:val="16"/>
              </w:rPr>
            </w:pPr>
            <w:r w:rsidRPr="00B44B19">
              <w:rPr>
                <w:rFonts w:eastAsia="Calibri" w:cs="Times New Roman"/>
                <w:sz w:val="16"/>
                <w:szCs w:val="16"/>
              </w:rPr>
              <w:t>Paramą dotacijomis gavusios įmonės</w:t>
            </w:r>
          </w:p>
        </w:tc>
        <w:tc>
          <w:tcPr>
            <w:tcW w:w="503" w:type="pct"/>
            <w:tcBorders>
              <w:top w:val="single" w:sz="4" w:space="0" w:color="auto"/>
            </w:tcBorders>
          </w:tcPr>
          <w:p w14:paraId="039A82D9"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Įmonės</w:t>
            </w:r>
          </w:p>
        </w:tc>
        <w:tc>
          <w:tcPr>
            <w:tcW w:w="515" w:type="pct"/>
            <w:tcBorders>
              <w:top w:val="single" w:sz="4" w:space="0" w:color="auto"/>
            </w:tcBorders>
          </w:tcPr>
          <w:p w14:paraId="599A6EDC" w14:textId="77777777" w:rsidR="00B233AD" w:rsidRPr="00B44B19" w:rsidRDefault="00B233AD" w:rsidP="003040E3">
            <w:pPr>
              <w:spacing w:after="0" w:line="240" w:lineRule="auto"/>
              <w:jc w:val="center"/>
              <w:rPr>
                <w:rFonts w:eastAsia="Calibri" w:cs="Times New Roman"/>
                <w:sz w:val="16"/>
                <w:szCs w:val="16"/>
                <w:lang w:val="en-GB"/>
              </w:rPr>
            </w:pPr>
            <w:r w:rsidRPr="00B44B19">
              <w:rPr>
                <w:rFonts w:eastAsia="Calibri" w:cs="Times New Roman"/>
                <w:sz w:val="16"/>
                <w:szCs w:val="16"/>
                <w:lang w:val="en-GB"/>
              </w:rPr>
              <w:t>0</w:t>
            </w:r>
          </w:p>
        </w:tc>
        <w:tc>
          <w:tcPr>
            <w:tcW w:w="617" w:type="pct"/>
            <w:tcBorders>
              <w:top w:val="single" w:sz="4" w:space="0" w:color="auto"/>
            </w:tcBorders>
          </w:tcPr>
          <w:p w14:paraId="149BD853" w14:textId="77777777" w:rsidR="00B233AD" w:rsidRPr="00B44B19" w:rsidRDefault="00B233AD" w:rsidP="003040E3">
            <w:pPr>
              <w:spacing w:after="0" w:line="240" w:lineRule="auto"/>
              <w:jc w:val="center"/>
              <w:rPr>
                <w:rFonts w:eastAsia="Calibri" w:cs="Times New Roman"/>
                <w:sz w:val="16"/>
                <w:szCs w:val="16"/>
              </w:rPr>
            </w:pPr>
            <w:r w:rsidRPr="00B44B19">
              <w:rPr>
                <w:rFonts w:eastAsia="Calibri" w:cs="Times New Roman"/>
                <w:sz w:val="16"/>
                <w:szCs w:val="16"/>
              </w:rPr>
              <w:t>6</w:t>
            </w:r>
          </w:p>
        </w:tc>
      </w:tr>
      <w:tr w:rsidR="00B233AD" w:rsidRPr="00B44B19" w14:paraId="5898B18E" w14:textId="77777777" w:rsidTr="003040E3">
        <w:trPr>
          <w:trHeight w:val="565"/>
        </w:trPr>
        <w:tc>
          <w:tcPr>
            <w:tcW w:w="582" w:type="pct"/>
            <w:vMerge/>
          </w:tcPr>
          <w:p w14:paraId="12E5C5D2"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443" w:type="pct"/>
            <w:vMerge/>
          </w:tcPr>
          <w:p w14:paraId="13E2B739" w14:textId="77777777" w:rsidR="00B233AD" w:rsidRPr="00B44B19" w:rsidRDefault="00B233AD" w:rsidP="003040E3">
            <w:pPr>
              <w:spacing w:before="100" w:beforeAutospacing="1" w:after="100" w:afterAutospacing="1" w:line="240" w:lineRule="auto"/>
              <w:rPr>
                <w:rFonts w:eastAsia="Calibri" w:cs="Times New Roman"/>
                <w:noProof/>
                <w:sz w:val="16"/>
                <w:szCs w:val="16"/>
              </w:rPr>
            </w:pPr>
          </w:p>
        </w:tc>
        <w:tc>
          <w:tcPr>
            <w:tcW w:w="350" w:type="pct"/>
            <w:vMerge/>
          </w:tcPr>
          <w:p w14:paraId="7B9BC671" w14:textId="77777777" w:rsidR="00B233AD" w:rsidRPr="00B44B19" w:rsidRDefault="00B233AD" w:rsidP="003040E3">
            <w:pPr>
              <w:spacing w:before="100" w:beforeAutospacing="1" w:after="100" w:afterAutospacing="1" w:line="240" w:lineRule="auto"/>
              <w:rPr>
                <w:rFonts w:eastAsia="Calibri" w:cs="Times New Roman"/>
                <w:sz w:val="16"/>
                <w:szCs w:val="16"/>
              </w:rPr>
            </w:pPr>
          </w:p>
        </w:tc>
        <w:tc>
          <w:tcPr>
            <w:tcW w:w="535" w:type="pct"/>
            <w:tcBorders>
              <w:top w:val="single" w:sz="4" w:space="0" w:color="auto"/>
              <w:bottom w:val="single" w:sz="4" w:space="0" w:color="auto"/>
            </w:tcBorders>
          </w:tcPr>
          <w:p w14:paraId="2218DADC"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Sostinės regionas</w:t>
            </w:r>
          </w:p>
        </w:tc>
        <w:tc>
          <w:tcPr>
            <w:tcW w:w="590" w:type="pct"/>
            <w:tcBorders>
              <w:top w:val="single" w:sz="4" w:space="0" w:color="auto"/>
              <w:bottom w:val="single" w:sz="4" w:space="0" w:color="auto"/>
            </w:tcBorders>
          </w:tcPr>
          <w:p w14:paraId="2E90DC80"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RCO125</w:t>
            </w:r>
          </w:p>
        </w:tc>
        <w:tc>
          <w:tcPr>
            <w:tcW w:w="864" w:type="pct"/>
            <w:tcBorders>
              <w:top w:val="single" w:sz="4" w:space="0" w:color="auto"/>
              <w:bottom w:val="single" w:sz="4" w:space="0" w:color="auto"/>
            </w:tcBorders>
          </w:tcPr>
          <w:p w14:paraId="0667E548" w14:textId="77777777" w:rsidR="00B233AD" w:rsidRPr="00B44B19" w:rsidRDefault="00B233AD" w:rsidP="003040E3">
            <w:pPr>
              <w:tabs>
                <w:tab w:val="left" w:pos="7560"/>
              </w:tabs>
              <w:spacing w:after="0" w:line="240" w:lineRule="auto"/>
              <w:rPr>
                <w:rFonts w:eastAsia="Calibri" w:cs="Times New Roman"/>
                <w:sz w:val="16"/>
                <w:szCs w:val="16"/>
              </w:rPr>
            </w:pPr>
            <w:r w:rsidRPr="00B44B19">
              <w:rPr>
                <w:rFonts w:eastAsia="Calibri" w:cs="Times New Roman"/>
                <w:sz w:val="16"/>
                <w:szCs w:val="16"/>
              </w:rPr>
              <w:t>Paramą gavusios įmonės, daugiausia susijusios su gamybinėmis investicijomis skaitmeninių technologijų ir giliųjų technologijų inovacijų srityje</w:t>
            </w:r>
          </w:p>
        </w:tc>
        <w:tc>
          <w:tcPr>
            <w:tcW w:w="503" w:type="pct"/>
            <w:tcBorders>
              <w:top w:val="single" w:sz="4" w:space="0" w:color="auto"/>
              <w:bottom w:val="single" w:sz="4" w:space="0" w:color="auto"/>
            </w:tcBorders>
          </w:tcPr>
          <w:p w14:paraId="5AD3B945"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Įmonės</w:t>
            </w:r>
          </w:p>
        </w:tc>
        <w:tc>
          <w:tcPr>
            <w:tcW w:w="515" w:type="pct"/>
            <w:tcBorders>
              <w:top w:val="single" w:sz="4" w:space="0" w:color="auto"/>
              <w:bottom w:val="single" w:sz="4" w:space="0" w:color="auto"/>
            </w:tcBorders>
          </w:tcPr>
          <w:p w14:paraId="07777C2A" w14:textId="77777777" w:rsidR="00B233AD" w:rsidRPr="00B44B19" w:rsidRDefault="00B233AD" w:rsidP="003040E3">
            <w:pPr>
              <w:spacing w:after="0" w:line="240" w:lineRule="auto"/>
              <w:jc w:val="center"/>
              <w:rPr>
                <w:rFonts w:eastAsia="Calibri" w:cs="Times New Roman"/>
                <w:sz w:val="16"/>
                <w:szCs w:val="16"/>
                <w:lang w:val="en-GB"/>
              </w:rPr>
            </w:pPr>
            <w:r w:rsidRPr="00B44B19">
              <w:rPr>
                <w:rFonts w:eastAsia="Calibri" w:cs="Times New Roman"/>
                <w:sz w:val="16"/>
                <w:szCs w:val="16"/>
                <w:lang w:val="en-GB"/>
              </w:rPr>
              <w:t>0</w:t>
            </w:r>
          </w:p>
        </w:tc>
        <w:tc>
          <w:tcPr>
            <w:tcW w:w="617" w:type="pct"/>
            <w:tcBorders>
              <w:top w:val="single" w:sz="4" w:space="0" w:color="auto"/>
              <w:bottom w:val="single" w:sz="4" w:space="0" w:color="auto"/>
            </w:tcBorders>
          </w:tcPr>
          <w:p w14:paraId="0DE3008C" w14:textId="77777777" w:rsidR="00B233AD" w:rsidRPr="00B44B19" w:rsidRDefault="00B233AD" w:rsidP="003040E3">
            <w:pPr>
              <w:spacing w:after="0" w:line="240" w:lineRule="auto"/>
              <w:jc w:val="center"/>
              <w:rPr>
                <w:rFonts w:eastAsia="Calibri" w:cs="Times New Roman"/>
                <w:sz w:val="16"/>
                <w:szCs w:val="16"/>
              </w:rPr>
            </w:pPr>
            <w:r w:rsidRPr="00B44B19">
              <w:rPr>
                <w:rFonts w:eastAsia="Calibri" w:cs="Times New Roman"/>
                <w:sz w:val="16"/>
                <w:szCs w:val="16"/>
              </w:rPr>
              <w:t>2</w:t>
            </w:r>
          </w:p>
        </w:tc>
      </w:tr>
      <w:tr w:rsidR="00B233AD" w:rsidRPr="00B44B19" w14:paraId="683DCC61" w14:textId="77777777" w:rsidTr="003040E3">
        <w:trPr>
          <w:trHeight w:val="565"/>
        </w:trPr>
        <w:tc>
          <w:tcPr>
            <w:tcW w:w="582" w:type="pct"/>
            <w:vMerge/>
          </w:tcPr>
          <w:p w14:paraId="74E0855A"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443" w:type="pct"/>
            <w:vMerge/>
          </w:tcPr>
          <w:p w14:paraId="6468B5B2" w14:textId="77777777" w:rsidR="00B233AD" w:rsidRPr="00B44B19" w:rsidRDefault="00B233AD" w:rsidP="003040E3">
            <w:pPr>
              <w:spacing w:before="100" w:beforeAutospacing="1" w:after="100" w:afterAutospacing="1" w:line="240" w:lineRule="auto"/>
              <w:rPr>
                <w:rFonts w:eastAsia="Calibri" w:cs="Times New Roman"/>
                <w:noProof/>
                <w:sz w:val="16"/>
                <w:szCs w:val="16"/>
              </w:rPr>
            </w:pPr>
          </w:p>
        </w:tc>
        <w:tc>
          <w:tcPr>
            <w:tcW w:w="350" w:type="pct"/>
            <w:vMerge/>
          </w:tcPr>
          <w:p w14:paraId="200F4C00" w14:textId="77777777" w:rsidR="00B233AD" w:rsidRPr="00B44B19" w:rsidRDefault="00B233AD" w:rsidP="003040E3">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05E369C8"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VVL regionas</w:t>
            </w:r>
          </w:p>
        </w:tc>
        <w:tc>
          <w:tcPr>
            <w:tcW w:w="590" w:type="pct"/>
            <w:tcBorders>
              <w:top w:val="single" w:sz="4" w:space="0" w:color="auto"/>
            </w:tcBorders>
          </w:tcPr>
          <w:p w14:paraId="005DBF9A"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RCO125</w:t>
            </w:r>
          </w:p>
        </w:tc>
        <w:tc>
          <w:tcPr>
            <w:tcW w:w="864" w:type="pct"/>
            <w:tcBorders>
              <w:top w:val="single" w:sz="4" w:space="0" w:color="auto"/>
            </w:tcBorders>
          </w:tcPr>
          <w:p w14:paraId="278C354A" w14:textId="77777777" w:rsidR="00B233AD" w:rsidRPr="00B44B19" w:rsidRDefault="00B233AD" w:rsidP="003040E3">
            <w:pPr>
              <w:tabs>
                <w:tab w:val="left" w:pos="7560"/>
              </w:tabs>
              <w:spacing w:after="0" w:line="240" w:lineRule="auto"/>
              <w:rPr>
                <w:rFonts w:eastAsia="Calibri" w:cs="Times New Roman"/>
                <w:sz w:val="16"/>
                <w:szCs w:val="16"/>
              </w:rPr>
            </w:pPr>
            <w:r w:rsidRPr="00B44B19">
              <w:rPr>
                <w:rFonts w:eastAsia="Calibri" w:cs="Times New Roman"/>
                <w:sz w:val="16"/>
                <w:szCs w:val="16"/>
              </w:rPr>
              <w:t>Paramą gavusios įmonės, daugiausia susijusios su gamybinėmis investicijomis skaitmeninių technologijų ir giliųjų technologijų inovacijų srityje</w:t>
            </w:r>
          </w:p>
        </w:tc>
        <w:tc>
          <w:tcPr>
            <w:tcW w:w="503" w:type="pct"/>
            <w:tcBorders>
              <w:top w:val="single" w:sz="4" w:space="0" w:color="auto"/>
            </w:tcBorders>
          </w:tcPr>
          <w:p w14:paraId="48E51028"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Įmonės</w:t>
            </w:r>
          </w:p>
        </w:tc>
        <w:tc>
          <w:tcPr>
            <w:tcW w:w="515" w:type="pct"/>
            <w:tcBorders>
              <w:top w:val="single" w:sz="4" w:space="0" w:color="auto"/>
            </w:tcBorders>
          </w:tcPr>
          <w:p w14:paraId="16A9A035" w14:textId="77777777" w:rsidR="00B233AD" w:rsidRPr="00B44B19" w:rsidRDefault="00B233AD" w:rsidP="003040E3">
            <w:pPr>
              <w:spacing w:after="0" w:line="240" w:lineRule="auto"/>
              <w:jc w:val="center"/>
              <w:rPr>
                <w:rFonts w:eastAsia="Calibri" w:cs="Times New Roman"/>
                <w:sz w:val="16"/>
                <w:szCs w:val="16"/>
                <w:lang w:val="en-GB"/>
              </w:rPr>
            </w:pPr>
            <w:r w:rsidRPr="00B44B19">
              <w:rPr>
                <w:rFonts w:eastAsia="Calibri" w:cs="Times New Roman"/>
                <w:sz w:val="16"/>
                <w:szCs w:val="16"/>
                <w:lang w:val="en-GB"/>
              </w:rPr>
              <w:t>0</w:t>
            </w:r>
          </w:p>
        </w:tc>
        <w:tc>
          <w:tcPr>
            <w:tcW w:w="617" w:type="pct"/>
            <w:tcBorders>
              <w:top w:val="single" w:sz="4" w:space="0" w:color="auto"/>
            </w:tcBorders>
          </w:tcPr>
          <w:p w14:paraId="0473C449" w14:textId="77777777" w:rsidR="00B233AD" w:rsidRPr="00B44B19" w:rsidRDefault="00B233AD" w:rsidP="003040E3">
            <w:pPr>
              <w:spacing w:after="0" w:line="240" w:lineRule="auto"/>
              <w:jc w:val="center"/>
              <w:rPr>
                <w:rFonts w:eastAsia="Calibri" w:cs="Times New Roman"/>
                <w:sz w:val="16"/>
                <w:szCs w:val="16"/>
              </w:rPr>
            </w:pPr>
            <w:r w:rsidRPr="00B44B19">
              <w:rPr>
                <w:rFonts w:eastAsia="Calibri" w:cs="Times New Roman"/>
                <w:sz w:val="16"/>
                <w:szCs w:val="16"/>
              </w:rPr>
              <w:t>2</w:t>
            </w:r>
          </w:p>
        </w:tc>
      </w:tr>
      <w:tr w:rsidR="00B233AD" w:rsidRPr="00B44B19" w14:paraId="514D5B1C" w14:textId="77777777" w:rsidTr="003040E3">
        <w:trPr>
          <w:trHeight w:val="565"/>
        </w:trPr>
        <w:tc>
          <w:tcPr>
            <w:tcW w:w="582" w:type="pct"/>
            <w:vMerge/>
          </w:tcPr>
          <w:p w14:paraId="25D6975B"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443" w:type="pct"/>
            <w:vMerge/>
          </w:tcPr>
          <w:p w14:paraId="34794A09" w14:textId="77777777" w:rsidR="00B233AD" w:rsidRPr="00B44B19" w:rsidRDefault="00B233AD" w:rsidP="003040E3">
            <w:pPr>
              <w:spacing w:before="100" w:beforeAutospacing="1" w:after="100" w:afterAutospacing="1" w:line="240" w:lineRule="auto"/>
              <w:rPr>
                <w:rFonts w:eastAsia="Calibri" w:cs="Times New Roman"/>
                <w:noProof/>
                <w:sz w:val="16"/>
                <w:szCs w:val="16"/>
              </w:rPr>
            </w:pPr>
          </w:p>
        </w:tc>
        <w:tc>
          <w:tcPr>
            <w:tcW w:w="350" w:type="pct"/>
            <w:vMerge/>
          </w:tcPr>
          <w:p w14:paraId="2C1A1C27" w14:textId="77777777" w:rsidR="00B233AD" w:rsidRPr="00B44B19" w:rsidRDefault="00B233AD" w:rsidP="003040E3">
            <w:pPr>
              <w:spacing w:before="100" w:beforeAutospacing="1" w:after="100" w:afterAutospacing="1" w:line="240" w:lineRule="auto"/>
              <w:rPr>
                <w:rFonts w:eastAsia="Calibri" w:cs="Times New Roman"/>
                <w:sz w:val="16"/>
                <w:szCs w:val="16"/>
              </w:rPr>
            </w:pPr>
          </w:p>
        </w:tc>
        <w:tc>
          <w:tcPr>
            <w:tcW w:w="535" w:type="pct"/>
            <w:tcBorders>
              <w:top w:val="single" w:sz="4" w:space="0" w:color="auto"/>
            </w:tcBorders>
          </w:tcPr>
          <w:p w14:paraId="00B6D8B1"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Sostinės regionas</w:t>
            </w:r>
          </w:p>
        </w:tc>
        <w:tc>
          <w:tcPr>
            <w:tcW w:w="590" w:type="pct"/>
            <w:tcBorders>
              <w:top w:val="single" w:sz="4" w:space="0" w:color="auto"/>
            </w:tcBorders>
          </w:tcPr>
          <w:p w14:paraId="01A3AD96"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RCO126</w:t>
            </w:r>
          </w:p>
        </w:tc>
        <w:tc>
          <w:tcPr>
            <w:tcW w:w="864" w:type="pct"/>
            <w:tcBorders>
              <w:top w:val="single" w:sz="4" w:space="0" w:color="auto"/>
            </w:tcBorders>
          </w:tcPr>
          <w:p w14:paraId="7F46F834" w14:textId="77777777" w:rsidR="00B233AD" w:rsidRPr="00B44B19" w:rsidRDefault="00B233AD" w:rsidP="003040E3">
            <w:pPr>
              <w:spacing w:after="100" w:afterAutospacing="1"/>
              <w:jc w:val="both"/>
              <w:rPr>
                <w:rFonts w:eastAsia="Calibri" w:cs="Times New Roman"/>
                <w:sz w:val="16"/>
                <w:szCs w:val="16"/>
              </w:rPr>
            </w:pPr>
            <w:r w:rsidRPr="00B44B19">
              <w:rPr>
                <w:rFonts w:eastAsia="Calibri" w:cs="Times New Roman"/>
                <w:sz w:val="16"/>
                <w:szCs w:val="16"/>
              </w:rPr>
              <w:t>Paramą gavusios įmonės, daugiausia susijusios su gamybinėmis investicijomis švarių ir tausiai išteklius naudojančių technologijų srityje</w:t>
            </w:r>
          </w:p>
        </w:tc>
        <w:tc>
          <w:tcPr>
            <w:tcW w:w="503" w:type="pct"/>
            <w:tcBorders>
              <w:top w:val="single" w:sz="4" w:space="0" w:color="auto"/>
            </w:tcBorders>
          </w:tcPr>
          <w:p w14:paraId="60ACEEBE"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Įmonės</w:t>
            </w:r>
          </w:p>
        </w:tc>
        <w:tc>
          <w:tcPr>
            <w:tcW w:w="515" w:type="pct"/>
            <w:tcBorders>
              <w:top w:val="single" w:sz="4" w:space="0" w:color="auto"/>
            </w:tcBorders>
          </w:tcPr>
          <w:p w14:paraId="654FC650"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617" w:type="pct"/>
            <w:tcBorders>
              <w:top w:val="single" w:sz="4" w:space="0" w:color="auto"/>
            </w:tcBorders>
          </w:tcPr>
          <w:p w14:paraId="4077DC5B"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w:t>
            </w:r>
          </w:p>
        </w:tc>
      </w:tr>
      <w:tr w:rsidR="00B233AD" w:rsidRPr="00B44B19" w14:paraId="2A21D84B" w14:textId="77777777" w:rsidTr="003040E3">
        <w:trPr>
          <w:trHeight w:val="565"/>
        </w:trPr>
        <w:tc>
          <w:tcPr>
            <w:tcW w:w="582" w:type="pct"/>
            <w:vMerge/>
          </w:tcPr>
          <w:p w14:paraId="1FAD2906" w14:textId="77777777" w:rsidR="00B233AD" w:rsidRPr="00B44B19" w:rsidRDefault="00B233AD" w:rsidP="003040E3">
            <w:pPr>
              <w:spacing w:after="0" w:line="240" w:lineRule="auto"/>
              <w:jc w:val="both"/>
              <w:rPr>
                <w:rFonts w:eastAsia="Calibri" w:cs="Times New Roman"/>
                <w:b/>
                <w:noProof/>
                <w:sz w:val="14"/>
                <w:szCs w:val="14"/>
              </w:rPr>
            </w:pPr>
          </w:p>
        </w:tc>
        <w:tc>
          <w:tcPr>
            <w:tcW w:w="443" w:type="pct"/>
            <w:vMerge/>
          </w:tcPr>
          <w:p w14:paraId="510B9B94" w14:textId="77777777" w:rsidR="00B233AD" w:rsidRPr="00B44B19" w:rsidRDefault="00B233AD" w:rsidP="003040E3">
            <w:pPr>
              <w:spacing w:after="0" w:line="240" w:lineRule="auto"/>
              <w:jc w:val="both"/>
              <w:rPr>
                <w:rFonts w:eastAsia="Calibri" w:cs="Times New Roman"/>
                <w:b/>
                <w:noProof/>
                <w:sz w:val="14"/>
                <w:szCs w:val="14"/>
              </w:rPr>
            </w:pPr>
          </w:p>
        </w:tc>
        <w:tc>
          <w:tcPr>
            <w:tcW w:w="350" w:type="pct"/>
            <w:vMerge/>
          </w:tcPr>
          <w:p w14:paraId="455C52C9" w14:textId="77777777" w:rsidR="00B233AD" w:rsidRPr="00B44B19" w:rsidRDefault="00B233AD" w:rsidP="003040E3">
            <w:pPr>
              <w:spacing w:after="0" w:line="240" w:lineRule="auto"/>
              <w:jc w:val="both"/>
              <w:rPr>
                <w:rFonts w:eastAsia="Calibri" w:cs="Times New Roman"/>
                <w:b/>
                <w:noProof/>
                <w:sz w:val="14"/>
                <w:szCs w:val="14"/>
              </w:rPr>
            </w:pPr>
          </w:p>
        </w:tc>
        <w:tc>
          <w:tcPr>
            <w:tcW w:w="535" w:type="pct"/>
          </w:tcPr>
          <w:p w14:paraId="01E0B095"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VVL regionas</w:t>
            </w:r>
          </w:p>
        </w:tc>
        <w:tc>
          <w:tcPr>
            <w:tcW w:w="590" w:type="pct"/>
          </w:tcPr>
          <w:p w14:paraId="23E2E327"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RCO126</w:t>
            </w:r>
          </w:p>
        </w:tc>
        <w:tc>
          <w:tcPr>
            <w:tcW w:w="864" w:type="pct"/>
          </w:tcPr>
          <w:p w14:paraId="52310A4A" w14:textId="77777777" w:rsidR="00B233AD" w:rsidRPr="00B44B19" w:rsidRDefault="00B233AD" w:rsidP="003040E3">
            <w:pPr>
              <w:spacing w:after="100" w:afterAutospacing="1"/>
              <w:jc w:val="both"/>
              <w:rPr>
                <w:rFonts w:eastAsia="Calibri" w:cs="Times New Roman"/>
                <w:sz w:val="16"/>
                <w:szCs w:val="16"/>
              </w:rPr>
            </w:pPr>
            <w:r w:rsidRPr="00B44B19">
              <w:rPr>
                <w:rFonts w:eastAsia="Calibri" w:cs="Times New Roman"/>
                <w:sz w:val="16"/>
                <w:szCs w:val="16"/>
              </w:rPr>
              <w:t>Paramą gavusios įmonės, daugiausia susijusios su gamybinėmis investicijomis švarių ir tausiai išteklius naudojančių technologijų srityje</w:t>
            </w:r>
          </w:p>
        </w:tc>
        <w:tc>
          <w:tcPr>
            <w:tcW w:w="503" w:type="pct"/>
          </w:tcPr>
          <w:p w14:paraId="3E648F6D"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Įmonės</w:t>
            </w:r>
          </w:p>
        </w:tc>
        <w:tc>
          <w:tcPr>
            <w:tcW w:w="515" w:type="pct"/>
          </w:tcPr>
          <w:p w14:paraId="32DF1A92"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617" w:type="pct"/>
          </w:tcPr>
          <w:p w14:paraId="340B21F1"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w:t>
            </w:r>
          </w:p>
        </w:tc>
      </w:tr>
      <w:tr w:rsidR="00B233AD" w:rsidRPr="00B44B19" w14:paraId="319FF236" w14:textId="77777777" w:rsidTr="003040E3">
        <w:trPr>
          <w:trHeight w:val="1203"/>
        </w:trPr>
        <w:tc>
          <w:tcPr>
            <w:tcW w:w="582" w:type="pct"/>
            <w:vMerge/>
          </w:tcPr>
          <w:p w14:paraId="6F73827F" w14:textId="77777777" w:rsidR="00B233AD" w:rsidRPr="00B44B19" w:rsidRDefault="00B233AD" w:rsidP="003040E3">
            <w:pPr>
              <w:spacing w:after="0" w:line="240" w:lineRule="auto"/>
              <w:jc w:val="both"/>
              <w:rPr>
                <w:rFonts w:eastAsia="Calibri" w:cs="Times New Roman"/>
                <w:b/>
                <w:noProof/>
                <w:sz w:val="14"/>
                <w:szCs w:val="14"/>
              </w:rPr>
            </w:pPr>
          </w:p>
        </w:tc>
        <w:tc>
          <w:tcPr>
            <w:tcW w:w="443" w:type="pct"/>
            <w:vMerge/>
          </w:tcPr>
          <w:p w14:paraId="3D622664" w14:textId="77777777" w:rsidR="00B233AD" w:rsidRPr="00B44B19" w:rsidRDefault="00B233AD" w:rsidP="003040E3">
            <w:pPr>
              <w:spacing w:after="0" w:line="240" w:lineRule="auto"/>
              <w:jc w:val="both"/>
              <w:rPr>
                <w:rFonts w:eastAsia="Calibri" w:cs="Times New Roman"/>
                <w:b/>
                <w:noProof/>
                <w:sz w:val="14"/>
                <w:szCs w:val="14"/>
              </w:rPr>
            </w:pPr>
          </w:p>
        </w:tc>
        <w:tc>
          <w:tcPr>
            <w:tcW w:w="350" w:type="pct"/>
            <w:vMerge/>
          </w:tcPr>
          <w:p w14:paraId="7967A5AA" w14:textId="77777777" w:rsidR="00B233AD" w:rsidRPr="00B44B19" w:rsidRDefault="00B233AD" w:rsidP="003040E3">
            <w:pPr>
              <w:spacing w:after="0" w:line="240" w:lineRule="auto"/>
              <w:jc w:val="both"/>
              <w:rPr>
                <w:rFonts w:eastAsia="Calibri" w:cs="Times New Roman"/>
                <w:b/>
                <w:noProof/>
                <w:sz w:val="14"/>
                <w:szCs w:val="14"/>
              </w:rPr>
            </w:pPr>
          </w:p>
        </w:tc>
        <w:tc>
          <w:tcPr>
            <w:tcW w:w="535" w:type="pct"/>
          </w:tcPr>
          <w:p w14:paraId="184B54B6"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Sostinės regionas</w:t>
            </w:r>
          </w:p>
        </w:tc>
        <w:tc>
          <w:tcPr>
            <w:tcW w:w="590" w:type="pct"/>
          </w:tcPr>
          <w:p w14:paraId="1CFD779A"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RCO127</w:t>
            </w:r>
          </w:p>
        </w:tc>
        <w:tc>
          <w:tcPr>
            <w:tcW w:w="864" w:type="pct"/>
          </w:tcPr>
          <w:p w14:paraId="42E20C3D"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Paramą gavusios įmonės, daugiausia susijusios su gamybinėmis investicijomis biotechnologijų srityje</w:t>
            </w:r>
          </w:p>
        </w:tc>
        <w:tc>
          <w:tcPr>
            <w:tcW w:w="503" w:type="pct"/>
          </w:tcPr>
          <w:p w14:paraId="74FC49F6" w14:textId="77777777" w:rsidR="00B233AD" w:rsidRPr="00B44B19" w:rsidRDefault="00B233AD" w:rsidP="003040E3">
            <w:pPr>
              <w:spacing w:after="0" w:line="240" w:lineRule="auto"/>
              <w:jc w:val="both"/>
              <w:rPr>
                <w:rFonts w:eastAsia="Calibri" w:cs="Times New Roman"/>
                <w:b/>
                <w:i/>
                <w:noProof/>
                <w:sz w:val="16"/>
                <w:szCs w:val="16"/>
              </w:rPr>
            </w:pPr>
            <w:r w:rsidRPr="00B44B19">
              <w:rPr>
                <w:rFonts w:eastAsia="Calibri" w:cs="Times New Roman"/>
                <w:sz w:val="16"/>
                <w:szCs w:val="16"/>
              </w:rPr>
              <w:t>Įmonės</w:t>
            </w:r>
          </w:p>
        </w:tc>
        <w:tc>
          <w:tcPr>
            <w:tcW w:w="515" w:type="pct"/>
          </w:tcPr>
          <w:p w14:paraId="0DAE5F5A"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617" w:type="pct"/>
          </w:tcPr>
          <w:p w14:paraId="758CB245"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w:t>
            </w:r>
          </w:p>
        </w:tc>
      </w:tr>
      <w:tr w:rsidR="00B233AD" w:rsidRPr="00B44B19" w14:paraId="2CD71CDC" w14:textId="77777777" w:rsidTr="003040E3">
        <w:trPr>
          <w:trHeight w:val="1203"/>
        </w:trPr>
        <w:tc>
          <w:tcPr>
            <w:tcW w:w="582" w:type="pct"/>
            <w:vMerge/>
          </w:tcPr>
          <w:p w14:paraId="601BBFE2" w14:textId="77777777" w:rsidR="00B233AD" w:rsidRPr="00B44B19" w:rsidRDefault="00B233AD" w:rsidP="003040E3">
            <w:pPr>
              <w:spacing w:after="0" w:line="240" w:lineRule="auto"/>
              <w:jc w:val="both"/>
              <w:rPr>
                <w:rFonts w:eastAsia="Calibri" w:cs="Times New Roman"/>
                <w:b/>
                <w:noProof/>
                <w:sz w:val="14"/>
                <w:szCs w:val="14"/>
              </w:rPr>
            </w:pPr>
          </w:p>
        </w:tc>
        <w:tc>
          <w:tcPr>
            <w:tcW w:w="443" w:type="pct"/>
            <w:vMerge/>
          </w:tcPr>
          <w:p w14:paraId="239D18C5" w14:textId="77777777" w:rsidR="00B233AD" w:rsidRPr="00B44B19" w:rsidRDefault="00B233AD" w:rsidP="003040E3">
            <w:pPr>
              <w:spacing w:after="0" w:line="240" w:lineRule="auto"/>
              <w:jc w:val="both"/>
              <w:rPr>
                <w:rFonts w:eastAsia="Calibri" w:cs="Times New Roman"/>
                <w:b/>
                <w:noProof/>
                <w:sz w:val="14"/>
                <w:szCs w:val="14"/>
              </w:rPr>
            </w:pPr>
          </w:p>
        </w:tc>
        <w:tc>
          <w:tcPr>
            <w:tcW w:w="350" w:type="pct"/>
            <w:vMerge/>
          </w:tcPr>
          <w:p w14:paraId="5CCC04F9" w14:textId="77777777" w:rsidR="00B233AD" w:rsidRPr="00B44B19" w:rsidRDefault="00B233AD" w:rsidP="003040E3">
            <w:pPr>
              <w:spacing w:after="0" w:line="240" w:lineRule="auto"/>
              <w:jc w:val="both"/>
              <w:rPr>
                <w:rFonts w:eastAsia="Calibri" w:cs="Times New Roman"/>
                <w:b/>
                <w:noProof/>
                <w:sz w:val="14"/>
                <w:szCs w:val="14"/>
              </w:rPr>
            </w:pPr>
          </w:p>
        </w:tc>
        <w:tc>
          <w:tcPr>
            <w:tcW w:w="535" w:type="pct"/>
          </w:tcPr>
          <w:p w14:paraId="19E7A245"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VVL regionas</w:t>
            </w:r>
          </w:p>
        </w:tc>
        <w:tc>
          <w:tcPr>
            <w:tcW w:w="590" w:type="pct"/>
          </w:tcPr>
          <w:p w14:paraId="6648F46D"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RCO127</w:t>
            </w:r>
          </w:p>
        </w:tc>
        <w:tc>
          <w:tcPr>
            <w:tcW w:w="864" w:type="pct"/>
          </w:tcPr>
          <w:p w14:paraId="17D5DEC1"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Paramą gavusios įmonės, daugiausia susijusios su gamybinėmis investicijomis biotechnologijų srityje</w:t>
            </w:r>
          </w:p>
        </w:tc>
        <w:tc>
          <w:tcPr>
            <w:tcW w:w="503" w:type="pct"/>
          </w:tcPr>
          <w:p w14:paraId="02CF4DD6" w14:textId="77777777" w:rsidR="00B233AD" w:rsidRPr="00B44B19" w:rsidRDefault="00B233AD" w:rsidP="003040E3">
            <w:pPr>
              <w:spacing w:after="0" w:line="240" w:lineRule="auto"/>
              <w:jc w:val="both"/>
              <w:rPr>
                <w:rFonts w:eastAsia="Calibri" w:cs="Times New Roman"/>
                <w:b/>
                <w:i/>
                <w:noProof/>
                <w:sz w:val="16"/>
                <w:szCs w:val="16"/>
              </w:rPr>
            </w:pPr>
            <w:r w:rsidRPr="00B44B19">
              <w:rPr>
                <w:rFonts w:eastAsia="Calibri" w:cs="Times New Roman"/>
                <w:sz w:val="16"/>
                <w:szCs w:val="16"/>
              </w:rPr>
              <w:t>Įmonės</w:t>
            </w:r>
          </w:p>
        </w:tc>
        <w:tc>
          <w:tcPr>
            <w:tcW w:w="515" w:type="pct"/>
          </w:tcPr>
          <w:p w14:paraId="65E9B54D"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617" w:type="pct"/>
          </w:tcPr>
          <w:p w14:paraId="51DD2B68"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w:t>
            </w:r>
          </w:p>
        </w:tc>
      </w:tr>
      <w:bookmarkEnd w:id="75"/>
    </w:tbl>
    <w:p w14:paraId="537AE2DC" w14:textId="77777777" w:rsidR="00B233AD" w:rsidRPr="00B44B19" w:rsidRDefault="00B233AD" w:rsidP="00B233AD">
      <w:pPr>
        <w:spacing w:before="240" w:after="0" w:line="240" w:lineRule="auto"/>
        <w:jc w:val="both"/>
        <w:rPr>
          <w:rFonts w:eastAsia="Calibri" w:cs="Times New Roman"/>
          <w:b/>
          <w:sz w:val="22"/>
        </w:rPr>
      </w:pPr>
    </w:p>
    <w:p w14:paraId="2C5E01F1" w14:textId="77777777" w:rsidR="00B233AD" w:rsidRPr="00B44B19" w:rsidRDefault="00B233AD" w:rsidP="00B233AD">
      <w:pPr>
        <w:spacing w:after="0" w:line="240" w:lineRule="auto"/>
        <w:jc w:val="both"/>
        <w:rPr>
          <w:rFonts w:eastAsia="Calibri" w:cs="Times New Roman"/>
          <w:b/>
          <w:sz w:val="22"/>
          <w:highlight w:val="yellow"/>
        </w:rPr>
        <w:sectPr w:rsidR="00B233AD" w:rsidRPr="00B44B19" w:rsidSect="00B233AD">
          <w:headerReference w:type="default" r:id="rId18"/>
          <w:footerReference w:type="first" r:id="rId19"/>
          <w:pgSz w:w="11906" w:h="16838"/>
          <w:pgMar w:top="1134" w:right="567" w:bottom="1134" w:left="1701" w:header="567" w:footer="567" w:gutter="0"/>
          <w:cols w:space="1296"/>
          <w:titlePg/>
          <w:docGrid w:linePitch="360"/>
        </w:sectPr>
      </w:pPr>
    </w:p>
    <w:p w14:paraId="2D7D433C" w14:textId="77777777" w:rsidR="00B233AD" w:rsidRPr="00B44B19" w:rsidRDefault="00B233AD" w:rsidP="00B233AD">
      <w:pPr>
        <w:spacing w:after="0" w:line="240" w:lineRule="auto"/>
        <w:jc w:val="both"/>
        <w:rPr>
          <w:rFonts w:eastAsia="Calibri" w:cs="Times New Roman"/>
          <w:b/>
          <w:sz w:val="22"/>
        </w:rPr>
      </w:pPr>
      <w:r w:rsidRPr="00B44B19">
        <w:rPr>
          <w:rFonts w:eastAsia="Calibri" w:cs="Times New Roman"/>
          <w:b/>
          <w:sz w:val="22"/>
        </w:rPr>
        <w:lastRenderedPageBreak/>
        <w:t>3 lentelė. Rezultato rodikliai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033"/>
        <w:gridCol w:w="850"/>
        <w:gridCol w:w="992"/>
        <w:gridCol w:w="1276"/>
        <w:gridCol w:w="2693"/>
        <w:gridCol w:w="1134"/>
        <w:gridCol w:w="851"/>
        <w:gridCol w:w="1134"/>
        <w:gridCol w:w="1153"/>
        <w:gridCol w:w="1257"/>
        <w:gridCol w:w="850"/>
      </w:tblGrid>
      <w:tr w:rsidR="00B233AD" w:rsidRPr="00B44B19" w14:paraId="28420158" w14:textId="77777777" w:rsidTr="003040E3">
        <w:trPr>
          <w:trHeight w:val="1029"/>
          <w:tblHeader/>
        </w:trPr>
        <w:tc>
          <w:tcPr>
            <w:tcW w:w="1202" w:type="dxa"/>
            <w:tcBorders>
              <w:top w:val="single" w:sz="12" w:space="0" w:color="auto"/>
              <w:left w:val="single" w:sz="12" w:space="0" w:color="auto"/>
              <w:bottom w:val="single" w:sz="12" w:space="0" w:color="auto"/>
              <w:right w:val="single" w:sz="12" w:space="0" w:color="auto"/>
            </w:tcBorders>
            <w:shd w:val="clear" w:color="auto" w:fill="DBE5F1"/>
            <w:vAlign w:val="center"/>
          </w:tcPr>
          <w:p w14:paraId="39890F9E"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1033" w:type="dxa"/>
            <w:tcBorders>
              <w:top w:val="single" w:sz="12" w:space="0" w:color="auto"/>
              <w:left w:val="single" w:sz="12" w:space="0" w:color="auto"/>
              <w:bottom w:val="single" w:sz="12" w:space="0" w:color="auto"/>
              <w:right w:val="single" w:sz="12" w:space="0" w:color="auto"/>
            </w:tcBorders>
            <w:shd w:val="clear" w:color="auto" w:fill="DBE5F1"/>
            <w:vAlign w:val="center"/>
          </w:tcPr>
          <w:p w14:paraId="5A28EA6D"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6EB6431E"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992" w:type="dxa"/>
            <w:tcBorders>
              <w:top w:val="single" w:sz="12" w:space="0" w:color="auto"/>
              <w:left w:val="single" w:sz="12" w:space="0" w:color="auto"/>
              <w:bottom w:val="single" w:sz="12" w:space="0" w:color="auto"/>
              <w:right w:val="single" w:sz="12" w:space="0" w:color="auto"/>
            </w:tcBorders>
            <w:shd w:val="clear" w:color="auto" w:fill="DBE5F1"/>
            <w:vAlign w:val="center"/>
          </w:tcPr>
          <w:p w14:paraId="6139C8D6"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vAlign w:val="center"/>
          </w:tcPr>
          <w:p w14:paraId="00DAAC29"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2693" w:type="dxa"/>
            <w:tcBorders>
              <w:top w:val="single" w:sz="12" w:space="0" w:color="auto"/>
              <w:left w:val="single" w:sz="12" w:space="0" w:color="auto"/>
              <w:bottom w:val="single" w:sz="12" w:space="0" w:color="auto"/>
              <w:right w:val="single" w:sz="12" w:space="0" w:color="auto"/>
            </w:tcBorders>
            <w:shd w:val="clear" w:color="auto" w:fill="DBE5F1"/>
            <w:vAlign w:val="center"/>
          </w:tcPr>
          <w:p w14:paraId="600B6261"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2FCA1A01"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851" w:type="dxa"/>
            <w:tcBorders>
              <w:top w:val="single" w:sz="12" w:space="0" w:color="auto"/>
              <w:left w:val="single" w:sz="12" w:space="0" w:color="auto"/>
              <w:bottom w:val="single" w:sz="12" w:space="0" w:color="auto"/>
              <w:right w:val="single" w:sz="12" w:space="0" w:color="auto"/>
            </w:tcBorders>
            <w:shd w:val="clear" w:color="auto" w:fill="DBE5F1"/>
            <w:vAlign w:val="center"/>
          </w:tcPr>
          <w:p w14:paraId="7754537B"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79137B95"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1153" w:type="dxa"/>
            <w:tcBorders>
              <w:top w:val="single" w:sz="12" w:space="0" w:color="auto"/>
              <w:left w:val="single" w:sz="12" w:space="0" w:color="auto"/>
              <w:bottom w:val="single" w:sz="12" w:space="0" w:color="auto"/>
              <w:right w:val="single" w:sz="12" w:space="0" w:color="auto"/>
            </w:tcBorders>
            <w:shd w:val="clear" w:color="auto" w:fill="DBE5F1"/>
            <w:vAlign w:val="center"/>
          </w:tcPr>
          <w:p w14:paraId="7B790487"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Siektina reikšmė (2029 m.)</w:t>
            </w:r>
          </w:p>
        </w:tc>
        <w:tc>
          <w:tcPr>
            <w:tcW w:w="1257" w:type="dxa"/>
            <w:tcBorders>
              <w:top w:val="single" w:sz="12" w:space="0" w:color="auto"/>
              <w:left w:val="single" w:sz="12" w:space="0" w:color="auto"/>
              <w:bottom w:val="single" w:sz="12" w:space="0" w:color="auto"/>
              <w:right w:val="single" w:sz="12" w:space="0" w:color="auto"/>
            </w:tcBorders>
            <w:shd w:val="clear" w:color="auto" w:fill="DBE5F1"/>
            <w:vAlign w:val="center"/>
          </w:tcPr>
          <w:p w14:paraId="6CAFA38E" w14:textId="77777777" w:rsidR="00B233AD" w:rsidRPr="00B44B19" w:rsidRDefault="00B233AD" w:rsidP="003040E3">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292269CF" w14:textId="77777777" w:rsidR="00B233AD" w:rsidRPr="00B44B19" w:rsidRDefault="00B233AD" w:rsidP="003040E3">
            <w:pPr>
              <w:tabs>
                <w:tab w:val="left" w:pos="394"/>
              </w:tabs>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B233AD" w:rsidRPr="00B44B19" w14:paraId="5ED08E6C" w14:textId="77777777" w:rsidTr="003040E3">
        <w:trPr>
          <w:trHeight w:val="548"/>
        </w:trPr>
        <w:tc>
          <w:tcPr>
            <w:tcW w:w="1202" w:type="dxa"/>
            <w:vMerge w:val="restart"/>
            <w:tcBorders>
              <w:top w:val="single" w:sz="12" w:space="0" w:color="auto"/>
            </w:tcBorders>
          </w:tcPr>
          <w:p w14:paraId="073A49F7" w14:textId="456FD378" w:rsidR="00B233AD" w:rsidRPr="00B44B19" w:rsidRDefault="00B233AD" w:rsidP="003040E3">
            <w:pPr>
              <w:spacing w:before="100" w:beforeAutospacing="1" w:after="100" w:afterAutospacing="1" w:line="240" w:lineRule="auto"/>
              <w:jc w:val="both"/>
              <w:rPr>
                <w:rFonts w:eastAsia="Calibri" w:cs="Times New Roman"/>
                <w:noProof/>
                <w:sz w:val="16"/>
                <w:szCs w:val="16"/>
              </w:rPr>
            </w:pPr>
            <w:r w:rsidRPr="00B44B19">
              <w:rPr>
                <w:rFonts w:eastAsia="Calibri" w:cs="Times New Roman"/>
                <w:noProof/>
                <w:sz w:val="16"/>
                <w:szCs w:val="16"/>
                <w:lang w:val="nl-NL"/>
              </w:rPr>
              <w:t>10</w:t>
            </w:r>
            <w:r w:rsidRPr="00B44B19">
              <w:rPr>
                <w:rFonts w:eastAsia="Calibri" w:cs="Times New Roman"/>
                <w:noProof/>
                <w:sz w:val="16"/>
                <w:szCs w:val="16"/>
              </w:rPr>
              <w:t>.</w:t>
            </w:r>
          </w:p>
        </w:tc>
        <w:tc>
          <w:tcPr>
            <w:tcW w:w="1033" w:type="dxa"/>
            <w:vMerge w:val="restart"/>
            <w:tcBorders>
              <w:top w:val="single" w:sz="12" w:space="0" w:color="auto"/>
            </w:tcBorders>
          </w:tcPr>
          <w:p w14:paraId="623436A9" w14:textId="36607286" w:rsidR="00B233AD" w:rsidRPr="00B44B19" w:rsidRDefault="00B233AD" w:rsidP="003040E3">
            <w:pPr>
              <w:spacing w:before="100" w:beforeAutospacing="1" w:after="100" w:afterAutospacing="1" w:line="240" w:lineRule="auto"/>
              <w:jc w:val="both"/>
              <w:rPr>
                <w:rFonts w:eastAsia="Calibri" w:cs="Times New Roman"/>
                <w:noProof/>
                <w:sz w:val="16"/>
                <w:szCs w:val="16"/>
              </w:rPr>
            </w:pPr>
            <w:r w:rsidRPr="00B44B19">
              <w:rPr>
                <w:rFonts w:eastAsia="Calibri" w:cs="Times New Roman"/>
                <w:noProof/>
                <w:sz w:val="16"/>
                <w:szCs w:val="16"/>
              </w:rPr>
              <w:t>10.1</w:t>
            </w:r>
          </w:p>
        </w:tc>
        <w:tc>
          <w:tcPr>
            <w:tcW w:w="850" w:type="dxa"/>
            <w:vMerge w:val="restart"/>
            <w:tcBorders>
              <w:top w:val="single" w:sz="12" w:space="0" w:color="auto"/>
            </w:tcBorders>
          </w:tcPr>
          <w:p w14:paraId="0821D880" w14:textId="77777777" w:rsidR="00B233AD" w:rsidRPr="00B44B19" w:rsidRDefault="00B233AD" w:rsidP="003040E3">
            <w:pPr>
              <w:spacing w:before="100" w:beforeAutospacing="1" w:after="100" w:afterAutospacing="1" w:line="240" w:lineRule="auto"/>
              <w:jc w:val="center"/>
              <w:rPr>
                <w:rFonts w:eastAsia="Calibri" w:cs="Times New Roman"/>
                <w:sz w:val="16"/>
                <w:szCs w:val="16"/>
              </w:rPr>
            </w:pPr>
            <w:r w:rsidRPr="00B44B19">
              <w:rPr>
                <w:rFonts w:eastAsia="Calibri" w:cs="Times New Roman"/>
                <w:sz w:val="16"/>
                <w:szCs w:val="16"/>
              </w:rPr>
              <w:t>ERPF</w:t>
            </w:r>
          </w:p>
        </w:tc>
        <w:tc>
          <w:tcPr>
            <w:tcW w:w="992" w:type="dxa"/>
            <w:tcBorders>
              <w:top w:val="single" w:sz="12" w:space="0" w:color="auto"/>
              <w:bottom w:val="single" w:sz="4" w:space="0" w:color="auto"/>
            </w:tcBorders>
          </w:tcPr>
          <w:p w14:paraId="157B5795"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Sostinės regionas</w:t>
            </w:r>
          </w:p>
        </w:tc>
        <w:tc>
          <w:tcPr>
            <w:tcW w:w="1276" w:type="dxa"/>
            <w:tcBorders>
              <w:top w:val="single" w:sz="12" w:space="0" w:color="auto"/>
              <w:bottom w:val="single" w:sz="4" w:space="0" w:color="auto"/>
            </w:tcBorders>
          </w:tcPr>
          <w:p w14:paraId="37DBA1A2"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lang w:eastAsia="en-GB"/>
              </w:rPr>
              <w:t>RCR01</w:t>
            </w:r>
          </w:p>
        </w:tc>
        <w:tc>
          <w:tcPr>
            <w:tcW w:w="2693" w:type="dxa"/>
            <w:tcBorders>
              <w:top w:val="single" w:sz="12" w:space="0" w:color="auto"/>
              <w:bottom w:val="single" w:sz="4" w:space="0" w:color="auto"/>
            </w:tcBorders>
          </w:tcPr>
          <w:p w14:paraId="7FD487A8"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rPr>
              <w:t>Paramą gavusiuose subjektuose sukurtos darbo vietos</w:t>
            </w:r>
          </w:p>
        </w:tc>
        <w:tc>
          <w:tcPr>
            <w:tcW w:w="1134" w:type="dxa"/>
            <w:tcBorders>
              <w:top w:val="single" w:sz="12" w:space="0" w:color="auto"/>
              <w:bottom w:val="single" w:sz="4" w:space="0" w:color="auto"/>
            </w:tcBorders>
          </w:tcPr>
          <w:p w14:paraId="176546FF"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Vienų metų etato ekvivalentai</w:t>
            </w:r>
          </w:p>
        </w:tc>
        <w:tc>
          <w:tcPr>
            <w:tcW w:w="851" w:type="dxa"/>
            <w:tcBorders>
              <w:top w:val="single" w:sz="12" w:space="0" w:color="auto"/>
              <w:bottom w:val="single" w:sz="4" w:space="0" w:color="auto"/>
            </w:tcBorders>
          </w:tcPr>
          <w:p w14:paraId="23616DFE"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Borders>
              <w:top w:val="single" w:sz="12" w:space="0" w:color="auto"/>
              <w:bottom w:val="single" w:sz="4" w:space="0" w:color="auto"/>
            </w:tcBorders>
          </w:tcPr>
          <w:p w14:paraId="6BC57C71" w14:textId="77777777" w:rsidR="00B233AD" w:rsidRPr="00B44B19" w:rsidRDefault="00B233AD" w:rsidP="003040E3">
            <w:pPr>
              <w:spacing w:after="0" w:line="240" w:lineRule="auto"/>
              <w:jc w:val="center"/>
              <w:rPr>
                <w:rFonts w:eastAsia="Calibri" w:cs="Times New Roman"/>
                <w:noProof/>
                <w:sz w:val="16"/>
                <w:szCs w:val="16"/>
                <w:lang w:val="en-US"/>
              </w:rPr>
            </w:pPr>
            <w:r w:rsidRPr="00B44B19">
              <w:rPr>
                <w:rFonts w:eastAsia="Calibri" w:cs="Times New Roman"/>
                <w:noProof/>
                <w:sz w:val="16"/>
                <w:szCs w:val="16"/>
                <w:lang w:val="en-US"/>
              </w:rPr>
              <w:t>2021</w:t>
            </w:r>
          </w:p>
        </w:tc>
        <w:tc>
          <w:tcPr>
            <w:tcW w:w="1153" w:type="dxa"/>
            <w:tcBorders>
              <w:top w:val="single" w:sz="12" w:space="0" w:color="auto"/>
              <w:bottom w:val="single" w:sz="4" w:space="0" w:color="auto"/>
            </w:tcBorders>
          </w:tcPr>
          <w:p w14:paraId="1243ECB8"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141</w:t>
            </w:r>
          </w:p>
        </w:tc>
        <w:tc>
          <w:tcPr>
            <w:tcW w:w="1257" w:type="dxa"/>
            <w:tcBorders>
              <w:top w:val="single" w:sz="12" w:space="0" w:color="auto"/>
              <w:bottom w:val="single" w:sz="4" w:space="0" w:color="auto"/>
            </w:tcBorders>
          </w:tcPr>
          <w:p w14:paraId="52DD1773"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850" w:type="dxa"/>
            <w:tcBorders>
              <w:top w:val="single" w:sz="12" w:space="0" w:color="auto"/>
              <w:bottom w:val="single" w:sz="4" w:space="0" w:color="auto"/>
            </w:tcBorders>
          </w:tcPr>
          <w:p w14:paraId="06D970FF"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6E55769C" w14:textId="77777777" w:rsidTr="003040E3">
        <w:trPr>
          <w:trHeight w:val="429"/>
        </w:trPr>
        <w:tc>
          <w:tcPr>
            <w:tcW w:w="1202" w:type="dxa"/>
            <w:vMerge/>
          </w:tcPr>
          <w:p w14:paraId="01F4B063"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1033" w:type="dxa"/>
            <w:vMerge/>
          </w:tcPr>
          <w:p w14:paraId="231F6FB4" w14:textId="77777777" w:rsidR="00B233AD" w:rsidRPr="00B44B19" w:rsidRDefault="00B233AD" w:rsidP="003040E3">
            <w:pPr>
              <w:spacing w:before="100" w:beforeAutospacing="1" w:after="100" w:afterAutospacing="1" w:line="240" w:lineRule="auto"/>
              <w:jc w:val="center"/>
              <w:rPr>
                <w:rFonts w:eastAsia="Calibri" w:cs="Times New Roman"/>
                <w:noProof/>
                <w:sz w:val="16"/>
                <w:szCs w:val="16"/>
              </w:rPr>
            </w:pPr>
          </w:p>
        </w:tc>
        <w:tc>
          <w:tcPr>
            <w:tcW w:w="850" w:type="dxa"/>
            <w:vMerge/>
          </w:tcPr>
          <w:p w14:paraId="080D068B" w14:textId="77777777" w:rsidR="00B233AD" w:rsidRPr="00B44B19" w:rsidRDefault="00B233AD" w:rsidP="003040E3">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76C0A4CF"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Borders>
              <w:top w:val="single" w:sz="4" w:space="0" w:color="auto"/>
            </w:tcBorders>
          </w:tcPr>
          <w:p w14:paraId="577FA0BE"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lang w:eastAsia="en-GB"/>
              </w:rPr>
              <w:t>RCR01</w:t>
            </w:r>
          </w:p>
        </w:tc>
        <w:tc>
          <w:tcPr>
            <w:tcW w:w="2693" w:type="dxa"/>
            <w:tcBorders>
              <w:top w:val="single" w:sz="4" w:space="0" w:color="auto"/>
            </w:tcBorders>
          </w:tcPr>
          <w:p w14:paraId="5646897D"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rPr>
              <w:t>Paramą gavusiuose subjektuose sukurtos darbo vietos</w:t>
            </w:r>
          </w:p>
        </w:tc>
        <w:tc>
          <w:tcPr>
            <w:tcW w:w="1134" w:type="dxa"/>
            <w:tcBorders>
              <w:top w:val="single" w:sz="4" w:space="0" w:color="auto"/>
            </w:tcBorders>
          </w:tcPr>
          <w:p w14:paraId="6B1572E6"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Vienų metų etato ekvivalentai</w:t>
            </w:r>
          </w:p>
        </w:tc>
        <w:tc>
          <w:tcPr>
            <w:tcW w:w="851" w:type="dxa"/>
            <w:tcBorders>
              <w:top w:val="single" w:sz="4" w:space="0" w:color="auto"/>
            </w:tcBorders>
          </w:tcPr>
          <w:p w14:paraId="30E5D060"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Borders>
              <w:top w:val="single" w:sz="4" w:space="0" w:color="auto"/>
            </w:tcBorders>
          </w:tcPr>
          <w:p w14:paraId="7B77BF39"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lang w:val="en-GB"/>
              </w:rPr>
              <w:t>2021</w:t>
            </w:r>
          </w:p>
        </w:tc>
        <w:tc>
          <w:tcPr>
            <w:tcW w:w="1153" w:type="dxa"/>
            <w:tcBorders>
              <w:top w:val="single" w:sz="4" w:space="0" w:color="auto"/>
            </w:tcBorders>
          </w:tcPr>
          <w:p w14:paraId="3BEFF16E"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141</w:t>
            </w:r>
          </w:p>
        </w:tc>
        <w:tc>
          <w:tcPr>
            <w:tcW w:w="1257" w:type="dxa"/>
            <w:tcBorders>
              <w:top w:val="single" w:sz="4" w:space="0" w:color="auto"/>
            </w:tcBorders>
          </w:tcPr>
          <w:p w14:paraId="7F0DEF62"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850" w:type="dxa"/>
            <w:tcBorders>
              <w:top w:val="single" w:sz="4" w:space="0" w:color="auto"/>
            </w:tcBorders>
          </w:tcPr>
          <w:p w14:paraId="54A58E6B"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16C3DDB9" w14:textId="77777777" w:rsidTr="003040E3">
        <w:trPr>
          <w:trHeight w:val="467"/>
        </w:trPr>
        <w:tc>
          <w:tcPr>
            <w:tcW w:w="1202" w:type="dxa"/>
            <w:vMerge/>
          </w:tcPr>
          <w:p w14:paraId="5FB43369"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1033" w:type="dxa"/>
            <w:vMerge/>
          </w:tcPr>
          <w:p w14:paraId="1F251CFC" w14:textId="77777777" w:rsidR="00B233AD" w:rsidRPr="00B44B19" w:rsidRDefault="00B233AD" w:rsidP="003040E3">
            <w:pPr>
              <w:spacing w:before="100" w:beforeAutospacing="1" w:after="100" w:afterAutospacing="1" w:line="240" w:lineRule="auto"/>
              <w:jc w:val="center"/>
              <w:rPr>
                <w:rFonts w:eastAsia="Calibri" w:cs="Times New Roman"/>
                <w:noProof/>
                <w:sz w:val="16"/>
                <w:szCs w:val="16"/>
              </w:rPr>
            </w:pPr>
          </w:p>
        </w:tc>
        <w:tc>
          <w:tcPr>
            <w:tcW w:w="850" w:type="dxa"/>
            <w:vMerge/>
          </w:tcPr>
          <w:p w14:paraId="6DD5C137" w14:textId="77777777" w:rsidR="00B233AD" w:rsidRPr="00B44B19" w:rsidRDefault="00B233AD" w:rsidP="003040E3">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3C625ABC"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Sostinės regionas</w:t>
            </w:r>
          </w:p>
        </w:tc>
        <w:tc>
          <w:tcPr>
            <w:tcW w:w="1276" w:type="dxa"/>
            <w:tcBorders>
              <w:top w:val="single" w:sz="4" w:space="0" w:color="auto"/>
            </w:tcBorders>
          </w:tcPr>
          <w:p w14:paraId="243FAC99"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RCR02</w:t>
            </w:r>
          </w:p>
        </w:tc>
        <w:tc>
          <w:tcPr>
            <w:tcW w:w="2693" w:type="dxa"/>
            <w:tcBorders>
              <w:top w:val="single" w:sz="4" w:space="0" w:color="auto"/>
            </w:tcBorders>
          </w:tcPr>
          <w:p w14:paraId="39CD3C4E"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rPr>
              <w:t>Privačiosios investicijos, papildančios viešąją paramą (iš kurių: dotacijos, finansinės priemonės)</w:t>
            </w:r>
          </w:p>
        </w:tc>
        <w:tc>
          <w:tcPr>
            <w:tcW w:w="1134" w:type="dxa"/>
            <w:tcBorders>
              <w:top w:val="single" w:sz="4" w:space="0" w:color="auto"/>
            </w:tcBorders>
          </w:tcPr>
          <w:p w14:paraId="118F4432"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Eurai</w:t>
            </w:r>
          </w:p>
        </w:tc>
        <w:tc>
          <w:tcPr>
            <w:tcW w:w="851" w:type="dxa"/>
            <w:tcBorders>
              <w:top w:val="single" w:sz="4" w:space="0" w:color="auto"/>
            </w:tcBorders>
          </w:tcPr>
          <w:p w14:paraId="4037ED0F"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Borders>
              <w:top w:val="single" w:sz="4" w:space="0" w:color="auto"/>
            </w:tcBorders>
          </w:tcPr>
          <w:p w14:paraId="3C8E2972" w14:textId="77777777" w:rsidR="00B233AD" w:rsidRPr="00B44B19" w:rsidRDefault="00B233AD" w:rsidP="003040E3">
            <w:pPr>
              <w:spacing w:after="0" w:line="240" w:lineRule="auto"/>
              <w:jc w:val="center"/>
              <w:rPr>
                <w:rFonts w:eastAsia="Calibri" w:cs="Times New Roman"/>
                <w:noProof/>
                <w:sz w:val="16"/>
                <w:szCs w:val="16"/>
                <w:lang w:val="en-US"/>
              </w:rPr>
            </w:pPr>
            <w:r w:rsidRPr="00B44B19">
              <w:rPr>
                <w:rFonts w:eastAsia="Calibri" w:cs="Times New Roman"/>
                <w:noProof/>
                <w:sz w:val="16"/>
                <w:szCs w:val="16"/>
              </w:rPr>
              <w:t>202</w:t>
            </w:r>
            <w:r w:rsidRPr="00B44B19">
              <w:rPr>
                <w:rFonts w:eastAsia="Calibri" w:cs="Times New Roman"/>
                <w:noProof/>
                <w:sz w:val="16"/>
                <w:szCs w:val="16"/>
                <w:lang w:val="en-US"/>
              </w:rPr>
              <w:t>1</w:t>
            </w:r>
          </w:p>
        </w:tc>
        <w:tc>
          <w:tcPr>
            <w:tcW w:w="1153" w:type="dxa"/>
            <w:tcBorders>
              <w:top w:val="single" w:sz="4" w:space="0" w:color="auto"/>
            </w:tcBorders>
          </w:tcPr>
          <w:p w14:paraId="34D8E1D1"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 xml:space="preserve"> 10 598 866,00</w:t>
            </w:r>
          </w:p>
        </w:tc>
        <w:tc>
          <w:tcPr>
            <w:tcW w:w="1257" w:type="dxa"/>
            <w:tcBorders>
              <w:top w:val="single" w:sz="4" w:space="0" w:color="auto"/>
            </w:tcBorders>
          </w:tcPr>
          <w:p w14:paraId="7F5BDBE0"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850" w:type="dxa"/>
            <w:tcBorders>
              <w:top w:val="single" w:sz="4" w:space="0" w:color="auto"/>
            </w:tcBorders>
          </w:tcPr>
          <w:p w14:paraId="020F0F20"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4F06402B" w14:textId="77777777" w:rsidTr="003040E3">
        <w:trPr>
          <w:trHeight w:val="443"/>
        </w:trPr>
        <w:tc>
          <w:tcPr>
            <w:tcW w:w="1202" w:type="dxa"/>
            <w:vMerge/>
          </w:tcPr>
          <w:p w14:paraId="731DC44B"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1033" w:type="dxa"/>
            <w:vMerge/>
          </w:tcPr>
          <w:p w14:paraId="58006A08" w14:textId="77777777" w:rsidR="00B233AD" w:rsidRPr="00B44B19" w:rsidRDefault="00B233AD" w:rsidP="003040E3">
            <w:pPr>
              <w:spacing w:before="100" w:beforeAutospacing="1" w:after="100" w:afterAutospacing="1" w:line="240" w:lineRule="auto"/>
              <w:jc w:val="center"/>
              <w:rPr>
                <w:rFonts w:eastAsia="Calibri" w:cs="Times New Roman"/>
                <w:noProof/>
                <w:sz w:val="16"/>
                <w:szCs w:val="16"/>
              </w:rPr>
            </w:pPr>
          </w:p>
        </w:tc>
        <w:tc>
          <w:tcPr>
            <w:tcW w:w="850" w:type="dxa"/>
            <w:vMerge/>
          </w:tcPr>
          <w:p w14:paraId="22F08741" w14:textId="77777777" w:rsidR="00B233AD" w:rsidRPr="00B44B19" w:rsidRDefault="00B233AD" w:rsidP="003040E3">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008193FF"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Borders>
              <w:top w:val="single" w:sz="4" w:space="0" w:color="auto"/>
            </w:tcBorders>
          </w:tcPr>
          <w:p w14:paraId="061746C7"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RCR02</w:t>
            </w:r>
          </w:p>
        </w:tc>
        <w:tc>
          <w:tcPr>
            <w:tcW w:w="2693" w:type="dxa"/>
            <w:tcBorders>
              <w:top w:val="single" w:sz="4" w:space="0" w:color="auto"/>
            </w:tcBorders>
          </w:tcPr>
          <w:p w14:paraId="4602E90E"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rPr>
              <w:t>Privačiosios investicijos, papildančios viešąją paramą (iš kurių: dotacijos, finansinės priemonės)</w:t>
            </w:r>
          </w:p>
        </w:tc>
        <w:tc>
          <w:tcPr>
            <w:tcW w:w="1134" w:type="dxa"/>
            <w:tcBorders>
              <w:top w:val="single" w:sz="4" w:space="0" w:color="auto"/>
            </w:tcBorders>
          </w:tcPr>
          <w:p w14:paraId="78B39C3A"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Eurai</w:t>
            </w:r>
          </w:p>
        </w:tc>
        <w:tc>
          <w:tcPr>
            <w:tcW w:w="851" w:type="dxa"/>
            <w:tcBorders>
              <w:top w:val="single" w:sz="4" w:space="0" w:color="auto"/>
            </w:tcBorders>
          </w:tcPr>
          <w:p w14:paraId="1D7D4B5E"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Borders>
              <w:top w:val="single" w:sz="4" w:space="0" w:color="auto"/>
            </w:tcBorders>
          </w:tcPr>
          <w:p w14:paraId="6AC11702"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Borders>
              <w:top w:val="single" w:sz="4" w:space="0" w:color="auto"/>
            </w:tcBorders>
          </w:tcPr>
          <w:p w14:paraId="0C9C9AF8"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6 589 085,00</w:t>
            </w:r>
          </w:p>
        </w:tc>
        <w:tc>
          <w:tcPr>
            <w:tcW w:w="1257" w:type="dxa"/>
            <w:tcBorders>
              <w:top w:val="single" w:sz="4" w:space="0" w:color="auto"/>
            </w:tcBorders>
          </w:tcPr>
          <w:p w14:paraId="6EF1DD81"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850" w:type="dxa"/>
            <w:tcBorders>
              <w:top w:val="single" w:sz="4" w:space="0" w:color="auto"/>
            </w:tcBorders>
          </w:tcPr>
          <w:p w14:paraId="4FCB8DA8"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296DA31C" w14:textId="77777777" w:rsidTr="003040E3">
        <w:trPr>
          <w:trHeight w:val="651"/>
        </w:trPr>
        <w:tc>
          <w:tcPr>
            <w:tcW w:w="1202" w:type="dxa"/>
            <w:vMerge/>
          </w:tcPr>
          <w:p w14:paraId="3DD89F2B" w14:textId="77777777" w:rsidR="00B233AD" w:rsidRPr="00B44B19" w:rsidRDefault="00B233AD" w:rsidP="003040E3">
            <w:pPr>
              <w:spacing w:before="100" w:beforeAutospacing="1" w:after="100" w:afterAutospacing="1" w:line="240" w:lineRule="auto"/>
              <w:jc w:val="both"/>
              <w:rPr>
                <w:rFonts w:eastAsia="Calibri" w:cs="Times New Roman"/>
                <w:noProof/>
                <w:sz w:val="16"/>
                <w:szCs w:val="16"/>
              </w:rPr>
            </w:pPr>
          </w:p>
        </w:tc>
        <w:tc>
          <w:tcPr>
            <w:tcW w:w="1033" w:type="dxa"/>
            <w:vMerge/>
          </w:tcPr>
          <w:p w14:paraId="3A5EFD87" w14:textId="77777777" w:rsidR="00B233AD" w:rsidRPr="00B44B19" w:rsidRDefault="00B233AD" w:rsidP="003040E3">
            <w:pPr>
              <w:spacing w:before="100" w:beforeAutospacing="1" w:after="100" w:afterAutospacing="1" w:line="240" w:lineRule="auto"/>
              <w:jc w:val="center"/>
              <w:rPr>
                <w:rFonts w:eastAsia="Calibri" w:cs="Times New Roman"/>
                <w:noProof/>
                <w:sz w:val="16"/>
                <w:szCs w:val="16"/>
              </w:rPr>
            </w:pPr>
          </w:p>
        </w:tc>
        <w:tc>
          <w:tcPr>
            <w:tcW w:w="850" w:type="dxa"/>
            <w:vMerge/>
          </w:tcPr>
          <w:p w14:paraId="6930F3C4" w14:textId="77777777" w:rsidR="00B233AD" w:rsidRPr="00B44B19" w:rsidRDefault="00B233AD" w:rsidP="003040E3">
            <w:pPr>
              <w:spacing w:before="100" w:beforeAutospacing="1" w:after="100" w:afterAutospacing="1" w:line="240" w:lineRule="auto"/>
              <w:jc w:val="center"/>
              <w:rPr>
                <w:rFonts w:eastAsia="Calibri" w:cs="Times New Roman"/>
                <w:sz w:val="16"/>
                <w:szCs w:val="16"/>
              </w:rPr>
            </w:pPr>
          </w:p>
        </w:tc>
        <w:tc>
          <w:tcPr>
            <w:tcW w:w="992" w:type="dxa"/>
            <w:tcBorders>
              <w:top w:val="single" w:sz="4" w:space="0" w:color="auto"/>
            </w:tcBorders>
          </w:tcPr>
          <w:p w14:paraId="16048A3C" w14:textId="77777777" w:rsidR="00B233AD" w:rsidRPr="00B44B19" w:rsidRDefault="00B233AD" w:rsidP="003040E3">
            <w:pPr>
              <w:spacing w:after="0" w:line="240" w:lineRule="auto"/>
              <w:jc w:val="both"/>
              <w:rPr>
                <w:rFonts w:eastAsia="Calibri" w:cs="Times New Roman"/>
                <w:noProof/>
                <w:sz w:val="14"/>
                <w:szCs w:val="14"/>
              </w:rPr>
            </w:pPr>
            <w:r w:rsidRPr="00B44B19">
              <w:rPr>
                <w:rFonts w:eastAsia="Calibri" w:cs="Times New Roman"/>
                <w:sz w:val="16"/>
                <w:szCs w:val="16"/>
                <w:lang w:eastAsia="lt-LT"/>
              </w:rPr>
              <w:t>Sostinės regionas</w:t>
            </w:r>
          </w:p>
        </w:tc>
        <w:tc>
          <w:tcPr>
            <w:tcW w:w="1276" w:type="dxa"/>
            <w:tcBorders>
              <w:top w:val="single" w:sz="4" w:space="0" w:color="auto"/>
            </w:tcBorders>
          </w:tcPr>
          <w:p w14:paraId="4737E614"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RCR03</w:t>
            </w:r>
          </w:p>
        </w:tc>
        <w:tc>
          <w:tcPr>
            <w:tcW w:w="2693" w:type="dxa"/>
            <w:tcBorders>
              <w:top w:val="single" w:sz="4" w:space="0" w:color="auto"/>
            </w:tcBorders>
          </w:tcPr>
          <w:p w14:paraId="468275A4"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lang w:eastAsia="lt-LT" w:bidi="ml-IN"/>
              </w:rPr>
              <w:t>Produktų ar procesų inovacijas diegiančios mažosios ir vidutinės įmonės (MVĮ)</w:t>
            </w:r>
          </w:p>
        </w:tc>
        <w:tc>
          <w:tcPr>
            <w:tcW w:w="1134" w:type="dxa"/>
            <w:tcBorders>
              <w:top w:val="single" w:sz="4" w:space="0" w:color="auto"/>
            </w:tcBorders>
          </w:tcPr>
          <w:p w14:paraId="15E7EF65"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Įmonės</w:t>
            </w:r>
          </w:p>
        </w:tc>
        <w:tc>
          <w:tcPr>
            <w:tcW w:w="851" w:type="dxa"/>
            <w:tcBorders>
              <w:top w:val="single" w:sz="4" w:space="0" w:color="auto"/>
            </w:tcBorders>
          </w:tcPr>
          <w:p w14:paraId="7DD7AEDC"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Borders>
              <w:top w:val="single" w:sz="4" w:space="0" w:color="auto"/>
            </w:tcBorders>
          </w:tcPr>
          <w:p w14:paraId="565C1E77"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Borders>
              <w:top w:val="single" w:sz="4" w:space="0" w:color="auto"/>
            </w:tcBorders>
          </w:tcPr>
          <w:p w14:paraId="27098E7A"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3</w:t>
            </w:r>
          </w:p>
        </w:tc>
        <w:tc>
          <w:tcPr>
            <w:tcW w:w="1257" w:type="dxa"/>
            <w:tcBorders>
              <w:top w:val="single" w:sz="4" w:space="0" w:color="auto"/>
            </w:tcBorders>
          </w:tcPr>
          <w:p w14:paraId="34ABB098"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850" w:type="dxa"/>
            <w:tcBorders>
              <w:top w:val="single" w:sz="4" w:space="0" w:color="auto"/>
            </w:tcBorders>
          </w:tcPr>
          <w:p w14:paraId="39A27BA1"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609C6BCD" w14:textId="77777777" w:rsidTr="003040E3">
        <w:trPr>
          <w:trHeight w:val="753"/>
        </w:trPr>
        <w:tc>
          <w:tcPr>
            <w:tcW w:w="1202" w:type="dxa"/>
            <w:vMerge/>
          </w:tcPr>
          <w:p w14:paraId="6E1737EB"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0BC92EE8"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40192990"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205C4465" w14:textId="77777777" w:rsidR="00B233AD" w:rsidRPr="00B44B19" w:rsidDel="00E846DE" w:rsidRDefault="00B233AD" w:rsidP="003040E3">
            <w:pPr>
              <w:spacing w:after="0" w:line="240" w:lineRule="auto"/>
              <w:jc w:val="both"/>
              <w:rPr>
                <w:rFonts w:eastAsia="Calibri" w:cs="Times New Roman"/>
                <w:noProof/>
                <w:sz w:val="14"/>
                <w:szCs w:val="14"/>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Pr>
          <w:p w14:paraId="0EB88A52"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RCR03</w:t>
            </w:r>
          </w:p>
        </w:tc>
        <w:tc>
          <w:tcPr>
            <w:tcW w:w="2693" w:type="dxa"/>
          </w:tcPr>
          <w:p w14:paraId="589F2508"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lang w:eastAsia="lt-LT" w:bidi="ml-IN"/>
              </w:rPr>
              <w:t>Produktų ar procesų inovacijas diegiančios mažosios ir vidutinės įmonės (MVĮ)</w:t>
            </w:r>
          </w:p>
        </w:tc>
        <w:tc>
          <w:tcPr>
            <w:tcW w:w="1134" w:type="dxa"/>
          </w:tcPr>
          <w:p w14:paraId="6C5C9B6A"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noProof/>
                <w:sz w:val="16"/>
                <w:szCs w:val="16"/>
              </w:rPr>
              <w:t>Įmonės</w:t>
            </w:r>
          </w:p>
        </w:tc>
        <w:tc>
          <w:tcPr>
            <w:tcW w:w="851" w:type="dxa"/>
          </w:tcPr>
          <w:p w14:paraId="37C326D9" w14:textId="77777777" w:rsidR="00B233AD" w:rsidRPr="00B44B19" w:rsidRDefault="00B233AD" w:rsidP="003040E3">
            <w:pPr>
              <w:spacing w:after="0" w:line="240" w:lineRule="auto"/>
              <w:jc w:val="center"/>
              <w:rPr>
                <w:rFonts w:eastAsia="Calibri" w:cs="Times New Roman"/>
                <w:i/>
                <w:noProof/>
                <w:sz w:val="16"/>
                <w:szCs w:val="16"/>
              </w:rPr>
            </w:pPr>
            <w:r w:rsidRPr="00B44B19">
              <w:rPr>
                <w:rFonts w:eastAsia="Calibri" w:cs="Times New Roman"/>
                <w:noProof/>
                <w:sz w:val="16"/>
                <w:szCs w:val="16"/>
              </w:rPr>
              <w:t>0</w:t>
            </w:r>
          </w:p>
        </w:tc>
        <w:tc>
          <w:tcPr>
            <w:tcW w:w="1134" w:type="dxa"/>
          </w:tcPr>
          <w:p w14:paraId="54B617B1"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68B7B85E"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3</w:t>
            </w:r>
          </w:p>
        </w:tc>
        <w:tc>
          <w:tcPr>
            <w:tcW w:w="1257" w:type="dxa"/>
          </w:tcPr>
          <w:p w14:paraId="6B28CA88" w14:textId="77777777" w:rsidR="00B233AD" w:rsidRPr="00B44B19" w:rsidRDefault="00B233AD" w:rsidP="003040E3">
            <w:pPr>
              <w:spacing w:after="0" w:line="240" w:lineRule="auto"/>
              <w:jc w:val="both"/>
              <w:rPr>
                <w:rFonts w:eastAsia="Calibri" w:cs="Times New Roman"/>
                <w:i/>
                <w:noProof/>
                <w:sz w:val="14"/>
                <w:szCs w:val="14"/>
              </w:rPr>
            </w:pPr>
            <w:r w:rsidRPr="00B44B19">
              <w:rPr>
                <w:rFonts w:eastAsia="Calibri" w:cs="Times New Roman"/>
                <w:noProof/>
                <w:sz w:val="16"/>
                <w:szCs w:val="16"/>
              </w:rPr>
              <w:t>Projektų duomenys</w:t>
            </w:r>
          </w:p>
        </w:tc>
        <w:tc>
          <w:tcPr>
            <w:tcW w:w="850" w:type="dxa"/>
          </w:tcPr>
          <w:p w14:paraId="16EEC230"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5092A78E" w14:textId="77777777" w:rsidTr="003040E3">
        <w:trPr>
          <w:trHeight w:val="434"/>
        </w:trPr>
        <w:tc>
          <w:tcPr>
            <w:tcW w:w="1202" w:type="dxa"/>
            <w:vMerge/>
          </w:tcPr>
          <w:p w14:paraId="6BE0726F"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1C92F9CC"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4D85C91F"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20818514" w14:textId="77777777" w:rsidR="00B233AD" w:rsidRPr="00B44B19" w:rsidRDefault="00B233AD" w:rsidP="003040E3">
            <w:pPr>
              <w:spacing w:after="0" w:line="240" w:lineRule="auto"/>
              <w:jc w:val="both"/>
              <w:rPr>
                <w:rFonts w:eastAsia="Calibri" w:cs="Times New Roman"/>
                <w:noProof/>
                <w:sz w:val="14"/>
                <w:szCs w:val="14"/>
              </w:rPr>
            </w:pPr>
            <w:r w:rsidRPr="00B44B19">
              <w:rPr>
                <w:rFonts w:eastAsia="Calibri" w:cs="Times New Roman"/>
                <w:sz w:val="16"/>
                <w:szCs w:val="16"/>
                <w:lang w:eastAsia="lt-LT"/>
              </w:rPr>
              <w:t>Sostinės regionas</w:t>
            </w:r>
          </w:p>
        </w:tc>
        <w:tc>
          <w:tcPr>
            <w:tcW w:w="1276" w:type="dxa"/>
          </w:tcPr>
          <w:p w14:paraId="23DB0970"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RCR06</w:t>
            </w:r>
          </w:p>
        </w:tc>
        <w:tc>
          <w:tcPr>
            <w:tcW w:w="2693" w:type="dxa"/>
          </w:tcPr>
          <w:p w14:paraId="2505D7DE"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rPr>
              <w:t>Pateiktos patentų paraiškos</w:t>
            </w:r>
          </w:p>
        </w:tc>
        <w:tc>
          <w:tcPr>
            <w:tcW w:w="1134" w:type="dxa"/>
          </w:tcPr>
          <w:p w14:paraId="6C3732BE" w14:textId="77777777" w:rsidR="00B233AD" w:rsidRPr="00B44B19" w:rsidRDefault="00B233AD" w:rsidP="003040E3">
            <w:pPr>
              <w:spacing w:after="0" w:line="240" w:lineRule="auto"/>
              <w:jc w:val="both"/>
              <w:rPr>
                <w:rFonts w:eastAsia="Calibri" w:cs="Times New Roman"/>
                <w:i/>
                <w:noProof/>
                <w:sz w:val="14"/>
                <w:szCs w:val="14"/>
              </w:rPr>
            </w:pPr>
            <w:r w:rsidRPr="00B44B19">
              <w:rPr>
                <w:rFonts w:eastAsia="Calibri" w:cs="Times New Roman"/>
                <w:sz w:val="16"/>
                <w:szCs w:val="16"/>
              </w:rPr>
              <w:t>Patentų paraiškos</w:t>
            </w:r>
          </w:p>
        </w:tc>
        <w:tc>
          <w:tcPr>
            <w:tcW w:w="851" w:type="dxa"/>
          </w:tcPr>
          <w:p w14:paraId="1CA28DB9"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2323BEDC"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2D5DD0CB"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5</w:t>
            </w:r>
          </w:p>
        </w:tc>
        <w:tc>
          <w:tcPr>
            <w:tcW w:w="1257" w:type="dxa"/>
          </w:tcPr>
          <w:p w14:paraId="031FD18B" w14:textId="77777777" w:rsidR="00B233AD" w:rsidRPr="00B44B19" w:rsidRDefault="00B233AD" w:rsidP="003040E3">
            <w:pPr>
              <w:spacing w:after="0" w:line="240" w:lineRule="auto"/>
              <w:jc w:val="both"/>
              <w:rPr>
                <w:rFonts w:eastAsia="Calibri" w:cs="Times New Roman"/>
                <w:i/>
                <w:noProof/>
                <w:sz w:val="14"/>
                <w:szCs w:val="14"/>
              </w:rPr>
            </w:pPr>
            <w:r w:rsidRPr="00B44B19">
              <w:rPr>
                <w:rFonts w:eastAsia="Calibri" w:cs="Times New Roman"/>
                <w:sz w:val="16"/>
                <w:szCs w:val="16"/>
              </w:rPr>
              <w:t>Projektų duomenys</w:t>
            </w:r>
          </w:p>
        </w:tc>
        <w:tc>
          <w:tcPr>
            <w:tcW w:w="850" w:type="dxa"/>
          </w:tcPr>
          <w:p w14:paraId="76B67425"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3500319F" w14:textId="77777777" w:rsidTr="003040E3">
        <w:trPr>
          <w:trHeight w:val="434"/>
        </w:trPr>
        <w:tc>
          <w:tcPr>
            <w:tcW w:w="1202" w:type="dxa"/>
            <w:vMerge/>
          </w:tcPr>
          <w:p w14:paraId="2532C396"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27861288"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5D81B85B"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548A69CD"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Pr>
          <w:p w14:paraId="5D09C925"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RCR06</w:t>
            </w:r>
          </w:p>
        </w:tc>
        <w:tc>
          <w:tcPr>
            <w:tcW w:w="2693" w:type="dxa"/>
          </w:tcPr>
          <w:p w14:paraId="5B766AF4" w14:textId="77777777" w:rsidR="00B233AD" w:rsidRPr="00B44B19" w:rsidRDefault="00B233AD" w:rsidP="003040E3">
            <w:pPr>
              <w:spacing w:after="0" w:line="240" w:lineRule="auto"/>
              <w:rPr>
                <w:rFonts w:eastAsia="Calibri" w:cs="Times New Roman"/>
                <w:sz w:val="16"/>
                <w:szCs w:val="16"/>
                <w:lang w:eastAsia="lt-LT" w:bidi="ml-IN"/>
              </w:rPr>
            </w:pPr>
            <w:r w:rsidRPr="00B44B19">
              <w:rPr>
                <w:rFonts w:eastAsia="Calibri" w:cs="Times New Roman"/>
                <w:sz w:val="16"/>
                <w:szCs w:val="16"/>
              </w:rPr>
              <w:t>Pateiktos patentų paraiškos</w:t>
            </w:r>
          </w:p>
        </w:tc>
        <w:tc>
          <w:tcPr>
            <w:tcW w:w="1134" w:type="dxa"/>
          </w:tcPr>
          <w:p w14:paraId="68F1FCA9"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Patentų paraiškos</w:t>
            </w:r>
          </w:p>
        </w:tc>
        <w:tc>
          <w:tcPr>
            <w:tcW w:w="851" w:type="dxa"/>
          </w:tcPr>
          <w:p w14:paraId="2676E06C"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398C60D5"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596B9DCC"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5</w:t>
            </w:r>
          </w:p>
        </w:tc>
        <w:tc>
          <w:tcPr>
            <w:tcW w:w="1257" w:type="dxa"/>
          </w:tcPr>
          <w:p w14:paraId="109193D2" w14:textId="77777777" w:rsidR="00B233AD" w:rsidRPr="00B44B19" w:rsidRDefault="00B233AD" w:rsidP="003040E3">
            <w:pPr>
              <w:spacing w:after="0" w:line="240" w:lineRule="auto"/>
              <w:jc w:val="both"/>
              <w:rPr>
                <w:rFonts w:eastAsia="Calibri" w:cs="Times New Roman"/>
                <w:i/>
                <w:noProof/>
                <w:sz w:val="14"/>
                <w:szCs w:val="14"/>
              </w:rPr>
            </w:pPr>
            <w:r w:rsidRPr="00B44B19">
              <w:rPr>
                <w:rFonts w:eastAsia="Calibri" w:cs="Times New Roman"/>
                <w:sz w:val="16"/>
                <w:szCs w:val="16"/>
              </w:rPr>
              <w:t>Projektų duomenys</w:t>
            </w:r>
          </w:p>
        </w:tc>
        <w:tc>
          <w:tcPr>
            <w:tcW w:w="850" w:type="dxa"/>
          </w:tcPr>
          <w:p w14:paraId="3BE0AAAB"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332C5F2B" w14:textId="77777777" w:rsidTr="003040E3">
        <w:trPr>
          <w:trHeight w:val="185"/>
        </w:trPr>
        <w:tc>
          <w:tcPr>
            <w:tcW w:w="1202" w:type="dxa"/>
            <w:vMerge/>
          </w:tcPr>
          <w:p w14:paraId="637C6FE2"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37DD2A1D"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3AA55B6C"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74B1239C" w14:textId="77777777" w:rsidR="00B233AD" w:rsidRPr="00B44B19" w:rsidRDefault="00B233AD" w:rsidP="003040E3">
            <w:pPr>
              <w:spacing w:after="0" w:line="240" w:lineRule="auto"/>
              <w:jc w:val="both"/>
              <w:rPr>
                <w:rFonts w:eastAsia="Calibri" w:cs="Times New Roman"/>
                <w:noProof/>
                <w:sz w:val="14"/>
                <w:szCs w:val="14"/>
              </w:rPr>
            </w:pPr>
            <w:r w:rsidRPr="00B44B19">
              <w:rPr>
                <w:rFonts w:eastAsia="Calibri" w:cs="Times New Roman"/>
                <w:sz w:val="16"/>
                <w:szCs w:val="16"/>
                <w:lang w:eastAsia="lt-LT"/>
              </w:rPr>
              <w:t>Sostinės regionas</w:t>
            </w:r>
          </w:p>
        </w:tc>
        <w:tc>
          <w:tcPr>
            <w:tcW w:w="1276" w:type="dxa"/>
          </w:tcPr>
          <w:p w14:paraId="4AB00EA8"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RCR102</w:t>
            </w:r>
          </w:p>
        </w:tc>
        <w:tc>
          <w:tcPr>
            <w:tcW w:w="2693" w:type="dxa"/>
          </w:tcPr>
          <w:p w14:paraId="5F2F2DF4" w14:textId="77777777" w:rsidR="00B233AD" w:rsidRPr="00B44B19" w:rsidRDefault="00B233AD" w:rsidP="003040E3">
            <w:pPr>
              <w:spacing w:after="0" w:line="240" w:lineRule="auto"/>
              <w:rPr>
                <w:rFonts w:eastAsia="Calibri" w:cs="Times New Roman"/>
                <w:i/>
                <w:noProof/>
                <w:sz w:val="16"/>
                <w:szCs w:val="16"/>
              </w:rPr>
            </w:pPr>
            <w:r w:rsidRPr="00B44B19">
              <w:rPr>
                <w:rFonts w:eastAsia="Calibri" w:cs="Times New Roman"/>
                <w:sz w:val="16"/>
                <w:szCs w:val="16"/>
              </w:rPr>
              <w:t>Paramą gavusiuose subjektuose sukurtos mokslo tiriamojo darbo vietos</w:t>
            </w:r>
          </w:p>
        </w:tc>
        <w:tc>
          <w:tcPr>
            <w:tcW w:w="1134" w:type="dxa"/>
          </w:tcPr>
          <w:p w14:paraId="3002CB33"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Vienų metų etato ekvivalentai</w:t>
            </w:r>
          </w:p>
        </w:tc>
        <w:tc>
          <w:tcPr>
            <w:tcW w:w="851" w:type="dxa"/>
          </w:tcPr>
          <w:p w14:paraId="763A2A08"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306B7230"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250869E4"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14</w:t>
            </w:r>
          </w:p>
        </w:tc>
        <w:tc>
          <w:tcPr>
            <w:tcW w:w="1257" w:type="dxa"/>
          </w:tcPr>
          <w:p w14:paraId="4ED30A1F" w14:textId="77777777" w:rsidR="00B233AD" w:rsidRPr="00B44B19" w:rsidRDefault="00B233AD" w:rsidP="003040E3">
            <w:pPr>
              <w:spacing w:after="0" w:line="240" w:lineRule="auto"/>
              <w:jc w:val="both"/>
              <w:rPr>
                <w:rFonts w:eastAsia="Calibri" w:cs="Times New Roman"/>
                <w:i/>
                <w:noProof/>
                <w:sz w:val="14"/>
                <w:szCs w:val="14"/>
              </w:rPr>
            </w:pPr>
            <w:r w:rsidRPr="00B44B19">
              <w:rPr>
                <w:rFonts w:eastAsia="Calibri" w:cs="Times New Roman"/>
                <w:sz w:val="16"/>
                <w:szCs w:val="16"/>
              </w:rPr>
              <w:t>Projektų duomenys</w:t>
            </w:r>
          </w:p>
        </w:tc>
        <w:tc>
          <w:tcPr>
            <w:tcW w:w="850" w:type="dxa"/>
          </w:tcPr>
          <w:p w14:paraId="11382D3E"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63C3D29A" w14:textId="77777777" w:rsidTr="003040E3">
        <w:trPr>
          <w:trHeight w:val="185"/>
        </w:trPr>
        <w:tc>
          <w:tcPr>
            <w:tcW w:w="1202" w:type="dxa"/>
            <w:vMerge/>
          </w:tcPr>
          <w:p w14:paraId="484BBE93"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1CDAF1F5"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168114B4"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710408EA"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Pr>
          <w:p w14:paraId="42D6FCCF"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RCR102</w:t>
            </w:r>
          </w:p>
        </w:tc>
        <w:tc>
          <w:tcPr>
            <w:tcW w:w="2693" w:type="dxa"/>
          </w:tcPr>
          <w:p w14:paraId="4CAD5828"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Paramą gavusiuose subjektuose sukurtos mokslo tiriamojo darbo vietos</w:t>
            </w:r>
          </w:p>
        </w:tc>
        <w:tc>
          <w:tcPr>
            <w:tcW w:w="1134" w:type="dxa"/>
          </w:tcPr>
          <w:p w14:paraId="311BD0E5" w14:textId="77777777" w:rsidR="00B233AD" w:rsidRPr="00B44B19" w:rsidRDefault="00B233AD" w:rsidP="003040E3">
            <w:pPr>
              <w:spacing w:after="0" w:line="240" w:lineRule="auto"/>
              <w:jc w:val="both"/>
              <w:rPr>
                <w:rFonts w:eastAsia="Calibri" w:cs="Times New Roman"/>
                <w:noProof/>
                <w:sz w:val="16"/>
                <w:szCs w:val="16"/>
              </w:rPr>
            </w:pPr>
            <w:r w:rsidRPr="00B44B19">
              <w:rPr>
                <w:rFonts w:eastAsia="Calibri" w:cs="Times New Roman"/>
                <w:sz w:val="16"/>
                <w:szCs w:val="16"/>
              </w:rPr>
              <w:t>Vienų metų etato ekvivalentai</w:t>
            </w:r>
          </w:p>
        </w:tc>
        <w:tc>
          <w:tcPr>
            <w:tcW w:w="851" w:type="dxa"/>
          </w:tcPr>
          <w:p w14:paraId="1329BD48"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434F2FB3"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4FE5B6E0" w14:textId="77777777" w:rsidR="00B233AD" w:rsidRPr="00B44B19" w:rsidRDefault="00B233AD" w:rsidP="003040E3">
            <w:pPr>
              <w:spacing w:after="0" w:line="240" w:lineRule="auto"/>
              <w:jc w:val="center"/>
              <w:rPr>
                <w:rFonts w:eastAsia="Calibri" w:cs="Times New Roman"/>
                <w:noProof/>
                <w:sz w:val="16"/>
                <w:szCs w:val="16"/>
                <w:lang w:val="en-GB"/>
              </w:rPr>
            </w:pPr>
            <w:r w:rsidRPr="00B44B19">
              <w:rPr>
                <w:rFonts w:eastAsia="Calibri" w:cs="Times New Roman"/>
                <w:noProof/>
                <w:sz w:val="16"/>
                <w:szCs w:val="16"/>
                <w:lang w:val="en-GB"/>
              </w:rPr>
              <w:t>9</w:t>
            </w:r>
          </w:p>
        </w:tc>
        <w:tc>
          <w:tcPr>
            <w:tcW w:w="1257" w:type="dxa"/>
          </w:tcPr>
          <w:p w14:paraId="3AA588D7" w14:textId="77777777" w:rsidR="00B233AD" w:rsidRPr="00B44B19" w:rsidRDefault="00B233AD" w:rsidP="003040E3">
            <w:pPr>
              <w:spacing w:after="0" w:line="240" w:lineRule="auto"/>
              <w:jc w:val="both"/>
              <w:rPr>
                <w:rFonts w:eastAsia="Calibri" w:cs="Times New Roman"/>
                <w:i/>
                <w:noProof/>
                <w:sz w:val="14"/>
                <w:szCs w:val="14"/>
              </w:rPr>
            </w:pPr>
            <w:r w:rsidRPr="00B44B19">
              <w:rPr>
                <w:rFonts w:eastAsia="Calibri" w:cs="Times New Roman"/>
                <w:sz w:val="16"/>
                <w:szCs w:val="16"/>
              </w:rPr>
              <w:t>Projektų duomenys</w:t>
            </w:r>
          </w:p>
        </w:tc>
        <w:tc>
          <w:tcPr>
            <w:tcW w:w="850" w:type="dxa"/>
          </w:tcPr>
          <w:p w14:paraId="7B7F754C"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38FFE2B7" w14:textId="77777777" w:rsidTr="003040E3">
        <w:trPr>
          <w:trHeight w:val="185"/>
        </w:trPr>
        <w:tc>
          <w:tcPr>
            <w:tcW w:w="1202" w:type="dxa"/>
            <w:vMerge/>
          </w:tcPr>
          <w:p w14:paraId="6A7350A9"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64EA40C1"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09C31265"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1BA55DD9"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Sostinės regionas</w:t>
            </w:r>
          </w:p>
        </w:tc>
        <w:tc>
          <w:tcPr>
            <w:tcW w:w="1276" w:type="dxa"/>
          </w:tcPr>
          <w:p w14:paraId="320E074E"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Specialusis</w:t>
            </w:r>
          </w:p>
        </w:tc>
        <w:tc>
          <w:tcPr>
            <w:tcW w:w="2693" w:type="dxa"/>
          </w:tcPr>
          <w:p w14:paraId="5F3AFB06"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Produktų ar procesų inovacijas diegiančios didelės įmonės</w:t>
            </w:r>
          </w:p>
        </w:tc>
        <w:tc>
          <w:tcPr>
            <w:tcW w:w="1134" w:type="dxa"/>
          </w:tcPr>
          <w:p w14:paraId="74BCFE27"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noProof/>
                <w:sz w:val="16"/>
                <w:szCs w:val="16"/>
              </w:rPr>
              <w:t>Įmonės</w:t>
            </w:r>
          </w:p>
        </w:tc>
        <w:tc>
          <w:tcPr>
            <w:tcW w:w="851" w:type="dxa"/>
          </w:tcPr>
          <w:p w14:paraId="116F0A5E"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6BED76B6"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0FF017A9" w14:textId="77777777" w:rsidR="00B233AD" w:rsidRPr="00B44B19" w:rsidRDefault="00B233AD" w:rsidP="003040E3">
            <w:pPr>
              <w:spacing w:after="0" w:line="240" w:lineRule="auto"/>
              <w:jc w:val="center"/>
              <w:rPr>
                <w:rFonts w:eastAsia="Calibri" w:cs="Times New Roman"/>
                <w:noProof/>
                <w:sz w:val="16"/>
                <w:szCs w:val="16"/>
                <w:lang w:val="en-GB"/>
              </w:rPr>
            </w:pPr>
            <w:r w:rsidRPr="00B44B19">
              <w:rPr>
                <w:rFonts w:eastAsia="Calibri" w:cs="Times New Roman"/>
                <w:noProof/>
                <w:sz w:val="16"/>
                <w:szCs w:val="16"/>
                <w:lang w:val="en-GB"/>
              </w:rPr>
              <w:t>3</w:t>
            </w:r>
          </w:p>
        </w:tc>
        <w:tc>
          <w:tcPr>
            <w:tcW w:w="1257" w:type="dxa"/>
          </w:tcPr>
          <w:p w14:paraId="08C86578"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850" w:type="dxa"/>
          </w:tcPr>
          <w:p w14:paraId="0AE9737B"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178A3870" w14:textId="77777777" w:rsidTr="003040E3">
        <w:trPr>
          <w:trHeight w:val="185"/>
        </w:trPr>
        <w:tc>
          <w:tcPr>
            <w:tcW w:w="1202" w:type="dxa"/>
            <w:vMerge/>
          </w:tcPr>
          <w:p w14:paraId="4BA966B0"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3CD55078"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5E7CDFF6"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77A8CE6F"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Pr>
          <w:p w14:paraId="22047203"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Specialusis</w:t>
            </w:r>
          </w:p>
        </w:tc>
        <w:tc>
          <w:tcPr>
            <w:tcW w:w="2693" w:type="dxa"/>
          </w:tcPr>
          <w:p w14:paraId="1F968FF8"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Produktų ar procesų inovacijas diegiančios didelės įmonės</w:t>
            </w:r>
          </w:p>
        </w:tc>
        <w:tc>
          <w:tcPr>
            <w:tcW w:w="1134" w:type="dxa"/>
          </w:tcPr>
          <w:p w14:paraId="6E1DDD61"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noProof/>
                <w:sz w:val="16"/>
                <w:szCs w:val="16"/>
              </w:rPr>
              <w:t>Įmonės</w:t>
            </w:r>
          </w:p>
        </w:tc>
        <w:tc>
          <w:tcPr>
            <w:tcW w:w="851" w:type="dxa"/>
          </w:tcPr>
          <w:p w14:paraId="0AC2CC9A"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6E2FD4E2"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1153" w:type="dxa"/>
          </w:tcPr>
          <w:p w14:paraId="3C06D0FF" w14:textId="77777777" w:rsidR="00B233AD" w:rsidRPr="00B44B19" w:rsidRDefault="00B233AD" w:rsidP="003040E3">
            <w:pPr>
              <w:spacing w:after="0" w:line="240" w:lineRule="auto"/>
              <w:jc w:val="center"/>
              <w:rPr>
                <w:rFonts w:eastAsia="Calibri" w:cs="Times New Roman"/>
                <w:noProof/>
                <w:sz w:val="16"/>
                <w:szCs w:val="16"/>
                <w:lang w:val="en-GB"/>
              </w:rPr>
            </w:pPr>
            <w:r w:rsidRPr="00B44B19">
              <w:rPr>
                <w:rFonts w:eastAsia="Calibri" w:cs="Times New Roman"/>
                <w:noProof/>
                <w:sz w:val="16"/>
                <w:szCs w:val="16"/>
                <w:lang w:val="en-GB"/>
              </w:rPr>
              <w:t>3</w:t>
            </w:r>
          </w:p>
        </w:tc>
        <w:tc>
          <w:tcPr>
            <w:tcW w:w="1257" w:type="dxa"/>
          </w:tcPr>
          <w:p w14:paraId="6C8C99E1"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850" w:type="dxa"/>
          </w:tcPr>
          <w:p w14:paraId="68F8455F"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3EB32AC9" w14:textId="77777777" w:rsidTr="003040E3">
        <w:trPr>
          <w:trHeight w:val="185"/>
        </w:trPr>
        <w:tc>
          <w:tcPr>
            <w:tcW w:w="1202" w:type="dxa"/>
            <w:vMerge/>
          </w:tcPr>
          <w:p w14:paraId="2CA3DBE2"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2537339C"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51C3BE97"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5D73754E"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Sostinės regionas</w:t>
            </w:r>
          </w:p>
        </w:tc>
        <w:tc>
          <w:tcPr>
            <w:tcW w:w="1276" w:type="dxa"/>
          </w:tcPr>
          <w:p w14:paraId="316811FF"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Specialusis</w:t>
            </w:r>
          </w:p>
        </w:tc>
        <w:tc>
          <w:tcPr>
            <w:tcW w:w="2693" w:type="dxa"/>
          </w:tcPr>
          <w:p w14:paraId="00872341"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Įmonių darbuotojai, baigę mokymus, susijusius su STEP ypatingos svarbos technologijų gamyba</w:t>
            </w:r>
          </w:p>
        </w:tc>
        <w:tc>
          <w:tcPr>
            <w:tcW w:w="1134" w:type="dxa"/>
          </w:tcPr>
          <w:p w14:paraId="5B603041"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Dalyviai</w:t>
            </w:r>
          </w:p>
        </w:tc>
        <w:tc>
          <w:tcPr>
            <w:tcW w:w="851" w:type="dxa"/>
          </w:tcPr>
          <w:p w14:paraId="14281DEF"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6211237A" w14:textId="77777777" w:rsidR="00B233AD" w:rsidRPr="00B44B19" w:rsidRDefault="00B233AD" w:rsidP="003040E3">
            <w:pPr>
              <w:spacing w:after="0" w:line="240" w:lineRule="auto"/>
              <w:jc w:val="center"/>
              <w:rPr>
                <w:rFonts w:eastAsia="Calibri" w:cs="Times New Roman"/>
                <w:noProof/>
                <w:sz w:val="16"/>
                <w:szCs w:val="16"/>
                <w:highlight w:val="yellow"/>
              </w:rPr>
            </w:pPr>
            <w:r w:rsidRPr="00B44B19">
              <w:rPr>
                <w:rFonts w:eastAsia="Calibri" w:cs="Times New Roman"/>
                <w:noProof/>
                <w:sz w:val="16"/>
                <w:szCs w:val="16"/>
              </w:rPr>
              <w:t>2021</w:t>
            </w:r>
          </w:p>
        </w:tc>
        <w:tc>
          <w:tcPr>
            <w:tcW w:w="1153" w:type="dxa"/>
          </w:tcPr>
          <w:p w14:paraId="468AEE5D" w14:textId="77777777" w:rsidR="00B233AD" w:rsidRPr="00B44B19" w:rsidRDefault="00B233AD" w:rsidP="003040E3">
            <w:pPr>
              <w:spacing w:after="0" w:line="240" w:lineRule="auto"/>
              <w:jc w:val="center"/>
              <w:rPr>
                <w:rFonts w:eastAsia="Calibri" w:cs="Times New Roman"/>
                <w:noProof/>
                <w:sz w:val="16"/>
                <w:szCs w:val="16"/>
                <w:lang w:val="en-GB"/>
              </w:rPr>
            </w:pPr>
            <w:r w:rsidRPr="00B44B19">
              <w:rPr>
                <w:rFonts w:eastAsia="Calibri" w:cs="Times New Roman"/>
                <w:noProof/>
                <w:sz w:val="16"/>
                <w:szCs w:val="16"/>
                <w:lang w:val="en-GB"/>
              </w:rPr>
              <w:t>72</w:t>
            </w:r>
          </w:p>
        </w:tc>
        <w:tc>
          <w:tcPr>
            <w:tcW w:w="1257" w:type="dxa"/>
          </w:tcPr>
          <w:p w14:paraId="5AE746F7"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850" w:type="dxa"/>
          </w:tcPr>
          <w:p w14:paraId="759A621F" w14:textId="77777777" w:rsidR="00B233AD" w:rsidRPr="00B44B19" w:rsidRDefault="00B233AD" w:rsidP="003040E3">
            <w:pPr>
              <w:spacing w:after="0" w:line="240" w:lineRule="auto"/>
              <w:jc w:val="both"/>
              <w:rPr>
                <w:rFonts w:eastAsia="Calibri" w:cs="Times New Roman"/>
                <w:i/>
                <w:noProof/>
                <w:sz w:val="14"/>
                <w:szCs w:val="14"/>
                <w:lang w:eastAsia="lt-LT"/>
              </w:rPr>
            </w:pPr>
          </w:p>
        </w:tc>
      </w:tr>
      <w:tr w:rsidR="00B233AD" w:rsidRPr="00B44B19" w14:paraId="3F4D9CCD" w14:textId="77777777" w:rsidTr="003040E3">
        <w:trPr>
          <w:trHeight w:val="185"/>
        </w:trPr>
        <w:tc>
          <w:tcPr>
            <w:tcW w:w="1202" w:type="dxa"/>
            <w:vMerge/>
          </w:tcPr>
          <w:p w14:paraId="7A7D2DAB" w14:textId="77777777" w:rsidR="00B233AD" w:rsidRPr="00B44B19" w:rsidRDefault="00B233AD" w:rsidP="003040E3">
            <w:pPr>
              <w:spacing w:after="0" w:line="240" w:lineRule="auto"/>
              <w:rPr>
                <w:rFonts w:eastAsia="Calibri" w:cs="Times New Roman"/>
                <w:noProof/>
                <w:sz w:val="16"/>
                <w:szCs w:val="16"/>
              </w:rPr>
            </w:pPr>
          </w:p>
        </w:tc>
        <w:tc>
          <w:tcPr>
            <w:tcW w:w="1033" w:type="dxa"/>
            <w:vMerge/>
          </w:tcPr>
          <w:p w14:paraId="2F4DF25B" w14:textId="77777777" w:rsidR="00B233AD" w:rsidRPr="00B44B19" w:rsidRDefault="00B233AD" w:rsidP="003040E3">
            <w:pPr>
              <w:spacing w:after="0" w:line="240" w:lineRule="auto"/>
              <w:jc w:val="both"/>
              <w:rPr>
                <w:rFonts w:eastAsia="Calibri" w:cs="Times New Roman"/>
                <w:noProof/>
                <w:sz w:val="16"/>
                <w:szCs w:val="16"/>
              </w:rPr>
            </w:pPr>
          </w:p>
        </w:tc>
        <w:tc>
          <w:tcPr>
            <w:tcW w:w="850" w:type="dxa"/>
            <w:vMerge/>
          </w:tcPr>
          <w:p w14:paraId="5C576300" w14:textId="77777777" w:rsidR="00B233AD" w:rsidRPr="00B44B19" w:rsidRDefault="00B233AD" w:rsidP="003040E3">
            <w:pPr>
              <w:spacing w:after="0" w:line="240" w:lineRule="auto"/>
              <w:jc w:val="both"/>
              <w:rPr>
                <w:rFonts w:eastAsia="Calibri" w:cs="Times New Roman"/>
                <w:noProof/>
                <w:sz w:val="16"/>
                <w:szCs w:val="16"/>
              </w:rPr>
            </w:pPr>
          </w:p>
        </w:tc>
        <w:tc>
          <w:tcPr>
            <w:tcW w:w="992" w:type="dxa"/>
          </w:tcPr>
          <w:p w14:paraId="1F7DDDF4" w14:textId="77777777" w:rsidR="00B233AD" w:rsidRPr="00B44B19" w:rsidRDefault="00B233AD" w:rsidP="003040E3">
            <w:pPr>
              <w:spacing w:after="0" w:line="240" w:lineRule="auto"/>
              <w:jc w:val="both"/>
              <w:rPr>
                <w:rFonts w:eastAsia="Calibri" w:cs="Times New Roman"/>
                <w:sz w:val="16"/>
                <w:szCs w:val="16"/>
                <w:lang w:eastAsia="lt-LT"/>
              </w:rPr>
            </w:pPr>
            <w:r w:rsidRPr="00B44B19">
              <w:rPr>
                <w:rFonts w:eastAsia="Calibri" w:cs="Times New Roman"/>
                <w:sz w:val="16"/>
                <w:szCs w:val="16"/>
                <w:lang w:eastAsia="lt-LT"/>
              </w:rPr>
              <w:t>VVL</w:t>
            </w:r>
            <w:r w:rsidRPr="00B44B19">
              <w:rPr>
                <w:rFonts w:eastAsia="Calibri" w:cs="Times New Roman"/>
                <w:sz w:val="16"/>
                <w:szCs w:val="16"/>
              </w:rPr>
              <w:t xml:space="preserve"> regionas</w:t>
            </w:r>
          </w:p>
        </w:tc>
        <w:tc>
          <w:tcPr>
            <w:tcW w:w="1276" w:type="dxa"/>
          </w:tcPr>
          <w:p w14:paraId="3AB8A325"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Specialusis</w:t>
            </w:r>
          </w:p>
        </w:tc>
        <w:tc>
          <w:tcPr>
            <w:tcW w:w="2693" w:type="dxa"/>
          </w:tcPr>
          <w:p w14:paraId="5857A38C" w14:textId="77777777" w:rsidR="00B233AD" w:rsidRPr="00B44B19" w:rsidRDefault="00B233AD" w:rsidP="003040E3">
            <w:pPr>
              <w:spacing w:after="0" w:line="240" w:lineRule="auto"/>
              <w:rPr>
                <w:rFonts w:eastAsia="Calibri" w:cs="Times New Roman"/>
                <w:sz w:val="16"/>
                <w:szCs w:val="16"/>
              </w:rPr>
            </w:pPr>
            <w:r w:rsidRPr="00B44B19">
              <w:rPr>
                <w:rFonts w:eastAsia="Calibri" w:cs="Times New Roman"/>
                <w:sz w:val="16"/>
                <w:szCs w:val="16"/>
              </w:rPr>
              <w:t>Įmonių darbuotojai, baigę mokymus, susijusius su STEP ypatingos svarbos technologijų gamyba</w:t>
            </w:r>
          </w:p>
        </w:tc>
        <w:tc>
          <w:tcPr>
            <w:tcW w:w="1134" w:type="dxa"/>
          </w:tcPr>
          <w:p w14:paraId="352A1B49"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Dalyviai</w:t>
            </w:r>
          </w:p>
        </w:tc>
        <w:tc>
          <w:tcPr>
            <w:tcW w:w="851" w:type="dxa"/>
          </w:tcPr>
          <w:p w14:paraId="2B6588CD" w14:textId="77777777" w:rsidR="00B233AD" w:rsidRPr="00B44B19" w:rsidRDefault="00B233AD" w:rsidP="003040E3">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1134" w:type="dxa"/>
          </w:tcPr>
          <w:p w14:paraId="713DECAC" w14:textId="77777777" w:rsidR="00B233AD" w:rsidRPr="00B44B19" w:rsidRDefault="00B233AD" w:rsidP="003040E3">
            <w:pPr>
              <w:spacing w:after="0" w:line="240" w:lineRule="auto"/>
              <w:jc w:val="center"/>
              <w:rPr>
                <w:rFonts w:eastAsia="Calibri" w:cs="Times New Roman"/>
                <w:noProof/>
                <w:sz w:val="16"/>
                <w:szCs w:val="16"/>
                <w:highlight w:val="yellow"/>
              </w:rPr>
            </w:pPr>
            <w:r w:rsidRPr="00B44B19">
              <w:rPr>
                <w:rFonts w:eastAsia="Calibri" w:cs="Times New Roman"/>
                <w:noProof/>
                <w:sz w:val="16"/>
                <w:szCs w:val="16"/>
              </w:rPr>
              <w:t>2021</w:t>
            </w:r>
          </w:p>
        </w:tc>
        <w:tc>
          <w:tcPr>
            <w:tcW w:w="1153" w:type="dxa"/>
          </w:tcPr>
          <w:p w14:paraId="6FAD7845" w14:textId="77777777" w:rsidR="00B233AD" w:rsidRPr="00B44B19" w:rsidRDefault="00B233AD" w:rsidP="003040E3">
            <w:pPr>
              <w:spacing w:after="0" w:line="240" w:lineRule="auto"/>
              <w:jc w:val="center"/>
              <w:rPr>
                <w:rFonts w:eastAsia="Calibri" w:cs="Times New Roman"/>
                <w:noProof/>
                <w:sz w:val="16"/>
                <w:szCs w:val="16"/>
                <w:lang w:val="en-GB"/>
              </w:rPr>
            </w:pPr>
            <w:r w:rsidRPr="00B44B19">
              <w:rPr>
                <w:rFonts w:eastAsia="Calibri" w:cs="Times New Roman"/>
                <w:noProof/>
                <w:sz w:val="16"/>
                <w:szCs w:val="16"/>
                <w:lang w:val="en-GB"/>
              </w:rPr>
              <w:t>72</w:t>
            </w:r>
          </w:p>
        </w:tc>
        <w:tc>
          <w:tcPr>
            <w:tcW w:w="1257" w:type="dxa"/>
          </w:tcPr>
          <w:p w14:paraId="6CEBDD95" w14:textId="77777777" w:rsidR="00B233AD" w:rsidRPr="00B44B19" w:rsidRDefault="00B233AD" w:rsidP="003040E3">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850" w:type="dxa"/>
          </w:tcPr>
          <w:p w14:paraId="2FA09A56" w14:textId="77777777" w:rsidR="00B233AD" w:rsidRPr="00B44B19" w:rsidRDefault="00B233AD" w:rsidP="003040E3">
            <w:pPr>
              <w:spacing w:after="0" w:line="240" w:lineRule="auto"/>
              <w:jc w:val="both"/>
              <w:rPr>
                <w:rFonts w:eastAsia="Calibri" w:cs="Times New Roman"/>
                <w:i/>
                <w:noProof/>
                <w:sz w:val="14"/>
                <w:szCs w:val="14"/>
                <w:lang w:eastAsia="lt-LT"/>
              </w:rPr>
            </w:pPr>
          </w:p>
        </w:tc>
      </w:tr>
    </w:tbl>
    <w:p w14:paraId="1F8529DC" w14:textId="77777777" w:rsidR="00B233AD" w:rsidRPr="00B44B19" w:rsidRDefault="00B233AD" w:rsidP="00B233AD">
      <w:pPr>
        <w:spacing w:after="0" w:line="240" w:lineRule="auto"/>
        <w:jc w:val="both"/>
        <w:rPr>
          <w:rFonts w:eastAsia="Calibri" w:cs="Times New Roman"/>
          <w:sz w:val="16"/>
          <w:szCs w:val="16"/>
          <w:highlight w:val="yellow"/>
        </w:rPr>
        <w:sectPr w:rsidR="00B233AD" w:rsidRPr="00B44B19" w:rsidSect="00B233AD">
          <w:pgSz w:w="16838" w:h="11906" w:orient="landscape"/>
          <w:pgMar w:top="1685" w:right="1276" w:bottom="567" w:left="1134" w:header="567" w:footer="567" w:gutter="0"/>
          <w:cols w:space="1296"/>
          <w:docGrid w:linePitch="360"/>
        </w:sectPr>
      </w:pPr>
    </w:p>
    <w:p w14:paraId="52A3980A" w14:textId="77777777" w:rsidR="00B233AD" w:rsidRPr="00B44B19" w:rsidRDefault="00B233AD" w:rsidP="00B233AD">
      <w:pPr>
        <w:tabs>
          <w:tab w:val="center" w:pos="4819"/>
          <w:tab w:val="right" w:pos="9638"/>
        </w:tabs>
        <w:spacing w:before="120" w:after="120" w:line="240" w:lineRule="auto"/>
        <w:rPr>
          <w:rFonts w:eastAsia="Calibri" w:cs="Times New Roman"/>
          <w:b/>
          <w:i/>
          <w:noProof/>
          <w:color w:val="1F497D"/>
          <w:lang w:eastAsia="lt-LT" w:bidi="lt-LT"/>
        </w:rPr>
      </w:pPr>
      <w:r w:rsidRPr="00B44B19">
        <w:rPr>
          <w:rFonts w:eastAsia="Calibri" w:cs="Times New Roman"/>
          <w:b/>
          <w:i/>
          <w:noProof/>
          <w:color w:val="1F497D"/>
          <w:lang w:eastAsia="lt-LT" w:bidi="lt-LT"/>
        </w:rPr>
        <w:lastRenderedPageBreak/>
        <w:t>Preliminarus Programos išteklių suskirstymas pagal intervencinių priemonių rūšį</w:t>
      </w:r>
    </w:p>
    <w:tbl>
      <w:tblPr>
        <w:tblStyle w:val="Lentelstinklelis"/>
        <w:tblpPr w:leftFromText="180" w:rightFromText="180" w:vertAnchor="text" w:tblpXSpec="center" w:tblpY="1"/>
        <w:tblOverlap w:val="never"/>
        <w:tblW w:w="9766" w:type="dxa"/>
        <w:tblLook w:val="04A0" w:firstRow="1" w:lastRow="0" w:firstColumn="1" w:lastColumn="0" w:noHBand="0" w:noVBand="1"/>
      </w:tblPr>
      <w:tblGrid>
        <w:gridCol w:w="1245"/>
        <w:gridCol w:w="839"/>
        <w:gridCol w:w="1094"/>
        <w:gridCol w:w="1128"/>
        <w:gridCol w:w="3924"/>
        <w:gridCol w:w="1536"/>
      </w:tblGrid>
      <w:tr w:rsidR="00B233AD" w:rsidRPr="00B44B19" w14:paraId="24046BCF" w14:textId="77777777" w:rsidTr="00980660">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cPr>
          <w:p w14:paraId="690C9D88" w14:textId="77777777" w:rsidR="00B233AD" w:rsidRPr="00B44B19" w:rsidRDefault="00B233AD" w:rsidP="003040E3">
            <w:pPr>
              <w:rPr>
                <w:rFonts w:eastAsia="Times New Roman" w:cs="Times New Roman"/>
                <w:b/>
                <w:iCs/>
                <w:noProof/>
                <w:sz w:val="20"/>
              </w:rPr>
            </w:pPr>
            <w:r w:rsidRPr="00B44B19">
              <w:rPr>
                <w:rFonts w:eastAsia="Calibri" w:cs="Times New Roman"/>
                <w:b/>
                <w:noProof/>
                <w:sz w:val="20"/>
              </w:rPr>
              <w:t>4 lentelė. 1 matmuo. Intervencinių priemonių sritis</w:t>
            </w:r>
          </w:p>
        </w:tc>
      </w:tr>
      <w:tr w:rsidR="00B233AD" w:rsidRPr="00B44B19" w14:paraId="26339EB7" w14:textId="77777777" w:rsidTr="00980660">
        <w:tc>
          <w:tcPr>
            <w:tcW w:w="1245" w:type="dxa"/>
            <w:tcBorders>
              <w:top w:val="single" w:sz="12" w:space="0" w:color="auto"/>
              <w:left w:val="single" w:sz="12" w:space="0" w:color="auto"/>
              <w:bottom w:val="single" w:sz="12" w:space="0" w:color="auto"/>
              <w:right w:val="single" w:sz="12" w:space="0" w:color="auto"/>
            </w:tcBorders>
            <w:shd w:val="clear" w:color="auto" w:fill="DBE5F1"/>
            <w:vAlign w:val="center"/>
          </w:tcPr>
          <w:p w14:paraId="58A8B246"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Prioriteto Nr.</w:t>
            </w:r>
          </w:p>
        </w:tc>
        <w:tc>
          <w:tcPr>
            <w:tcW w:w="839" w:type="dxa"/>
            <w:tcBorders>
              <w:top w:val="single" w:sz="12" w:space="0" w:color="auto"/>
              <w:left w:val="single" w:sz="12" w:space="0" w:color="auto"/>
              <w:bottom w:val="single" w:sz="12" w:space="0" w:color="auto"/>
              <w:right w:val="single" w:sz="12" w:space="0" w:color="auto"/>
            </w:tcBorders>
            <w:shd w:val="clear" w:color="auto" w:fill="DBE5F1"/>
            <w:vAlign w:val="center"/>
          </w:tcPr>
          <w:p w14:paraId="5ACC0B9C"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Fondas</w:t>
            </w:r>
          </w:p>
        </w:tc>
        <w:tc>
          <w:tcPr>
            <w:tcW w:w="1094" w:type="dxa"/>
            <w:tcBorders>
              <w:top w:val="single" w:sz="12" w:space="0" w:color="auto"/>
              <w:left w:val="single" w:sz="12" w:space="0" w:color="auto"/>
              <w:bottom w:val="single" w:sz="12" w:space="0" w:color="auto"/>
              <w:right w:val="single" w:sz="12" w:space="0" w:color="auto"/>
            </w:tcBorders>
            <w:shd w:val="clear" w:color="auto" w:fill="DBE5F1"/>
            <w:vAlign w:val="center"/>
          </w:tcPr>
          <w:p w14:paraId="60E633E4"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Regiono kategorija</w:t>
            </w:r>
          </w:p>
        </w:tc>
        <w:tc>
          <w:tcPr>
            <w:tcW w:w="1123" w:type="dxa"/>
            <w:tcBorders>
              <w:top w:val="single" w:sz="12" w:space="0" w:color="auto"/>
              <w:left w:val="single" w:sz="12" w:space="0" w:color="auto"/>
              <w:bottom w:val="single" w:sz="12" w:space="0" w:color="auto"/>
              <w:right w:val="single" w:sz="12" w:space="0" w:color="auto"/>
            </w:tcBorders>
            <w:shd w:val="clear" w:color="auto" w:fill="DBE5F1"/>
            <w:vAlign w:val="center"/>
          </w:tcPr>
          <w:p w14:paraId="7A6191F5"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Konkretus uždavinys</w:t>
            </w:r>
          </w:p>
        </w:tc>
        <w:tc>
          <w:tcPr>
            <w:tcW w:w="3928" w:type="dxa"/>
            <w:tcBorders>
              <w:top w:val="single" w:sz="12" w:space="0" w:color="auto"/>
              <w:left w:val="single" w:sz="12" w:space="0" w:color="auto"/>
              <w:bottom w:val="single" w:sz="12" w:space="0" w:color="auto"/>
              <w:right w:val="single" w:sz="12" w:space="0" w:color="auto"/>
            </w:tcBorders>
            <w:shd w:val="clear" w:color="auto" w:fill="DBE5F1"/>
            <w:vAlign w:val="center"/>
          </w:tcPr>
          <w:p w14:paraId="0C2965EF"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Kodas</w:t>
            </w:r>
          </w:p>
        </w:tc>
        <w:tc>
          <w:tcPr>
            <w:tcW w:w="1537" w:type="dxa"/>
            <w:tcBorders>
              <w:top w:val="single" w:sz="12" w:space="0" w:color="auto"/>
              <w:left w:val="single" w:sz="12" w:space="0" w:color="auto"/>
              <w:bottom w:val="single" w:sz="12" w:space="0" w:color="auto"/>
              <w:right w:val="single" w:sz="12" w:space="0" w:color="auto"/>
            </w:tcBorders>
            <w:shd w:val="clear" w:color="auto" w:fill="DBE5F1"/>
            <w:vAlign w:val="center"/>
          </w:tcPr>
          <w:p w14:paraId="2B38341A"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Suma (EUR)</w:t>
            </w:r>
          </w:p>
        </w:tc>
      </w:tr>
      <w:tr w:rsidR="00B233AD" w:rsidRPr="00B44B19" w14:paraId="61A0355C" w14:textId="77777777" w:rsidTr="00861FB0">
        <w:tc>
          <w:tcPr>
            <w:tcW w:w="1245" w:type="dxa"/>
            <w:vMerge w:val="restart"/>
            <w:tcBorders>
              <w:top w:val="single" w:sz="12" w:space="0" w:color="auto"/>
            </w:tcBorders>
          </w:tcPr>
          <w:p w14:paraId="255CA115"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10.</w:t>
            </w:r>
          </w:p>
        </w:tc>
        <w:tc>
          <w:tcPr>
            <w:tcW w:w="839" w:type="dxa"/>
            <w:vMerge w:val="restart"/>
            <w:tcBorders>
              <w:top w:val="single" w:sz="12" w:space="0" w:color="auto"/>
            </w:tcBorders>
          </w:tcPr>
          <w:p w14:paraId="6D9C6ADB"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ERPF</w:t>
            </w:r>
          </w:p>
        </w:tc>
        <w:tc>
          <w:tcPr>
            <w:tcW w:w="1094" w:type="dxa"/>
            <w:tcBorders>
              <w:top w:val="single" w:sz="12" w:space="0" w:color="auto"/>
              <w:bottom w:val="single" w:sz="4" w:space="0" w:color="auto"/>
            </w:tcBorders>
          </w:tcPr>
          <w:p w14:paraId="24BC57A9"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val="restart"/>
            <w:tcBorders>
              <w:top w:val="single" w:sz="12" w:space="0" w:color="auto"/>
            </w:tcBorders>
          </w:tcPr>
          <w:p w14:paraId="687BAADC"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10.1</w:t>
            </w:r>
          </w:p>
        </w:tc>
        <w:tc>
          <w:tcPr>
            <w:tcW w:w="3928" w:type="dxa"/>
            <w:vMerge w:val="restart"/>
            <w:tcBorders>
              <w:top w:val="single" w:sz="12" w:space="0" w:color="auto"/>
            </w:tcBorders>
          </w:tcPr>
          <w:p w14:paraId="6B56AA2A" w14:textId="77777777" w:rsidR="00B233AD" w:rsidRPr="00B44B19" w:rsidRDefault="00B233AD" w:rsidP="003040E3">
            <w:pPr>
              <w:jc w:val="both"/>
              <w:rPr>
                <w:rFonts w:eastAsia="Times New Roman" w:cs="Times New Roman"/>
              </w:rPr>
            </w:pPr>
            <w:r w:rsidRPr="00B44B19">
              <w:rPr>
                <w:rFonts w:eastAsia="Times New Roman" w:cs="Times New Roman"/>
                <w:iCs/>
                <w:noProof/>
                <w:sz w:val="20"/>
              </w:rPr>
              <w:t>145a Parama įgūdžių ugdymui arba galimybėms įsidarbinti skaitmeninių technologijų ir giliųjų technologijų inovacijų ir biotechnologijų srityse</w:t>
            </w:r>
          </w:p>
        </w:tc>
        <w:tc>
          <w:tcPr>
            <w:tcW w:w="1537" w:type="dxa"/>
            <w:tcBorders>
              <w:top w:val="single" w:sz="12" w:space="0" w:color="auto"/>
              <w:bottom w:val="single" w:sz="4" w:space="0" w:color="auto"/>
            </w:tcBorders>
          </w:tcPr>
          <w:p w14:paraId="76CAEAD7" w14:textId="77777777" w:rsidR="00B233AD" w:rsidRPr="00B44B19" w:rsidRDefault="00B233AD" w:rsidP="00861FB0">
            <w:pPr>
              <w:jc w:val="right"/>
              <w:rPr>
                <w:rFonts w:eastAsia="Times New Roman" w:cs="Times New Roman"/>
                <w:iCs/>
                <w:noProof/>
                <w:sz w:val="20"/>
              </w:rPr>
            </w:pPr>
            <w:r w:rsidRPr="00B44B19">
              <w:rPr>
                <w:rFonts w:eastAsia="Calibri" w:cs="Times New Roman"/>
                <w:color w:val="000000"/>
                <w:sz w:val="20"/>
                <w:szCs w:val="20"/>
              </w:rPr>
              <w:t>96 015,00</w:t>
            </w:r>
          </w:p>
        </w:tc>
      </w:tr>
      <w:tr w:rsidR="00B233AD" w:rsidRPr="00B44B19" w14:paraId="3DA06210" w14:textId="77777777" w:rsidTr="00861FB0">
        <w:tc>
          <w:tcPr>
            <w:tcW w:w="1245" w:type="dxa"/>
            <w:vMerge/>
          </w:tcPr>
          <w:p w14:paraId="5A2C02FB" w14:textId="77777777" w:rsidR="00B233AD" w:rsidRPr="00B44B19" w:rsidRDefault="00B233AD" w:rsidP="003040E3">
            <w:pPr>
              <w:jc w:val="center"/>
              <w:rPr>
                <w:rFonts w:eastAsia="Times New Roman" w:cs="Times New Roman"/>
                <w:iCs/>
                <w:noProof/>
                <w:sz w:val="20"/>
              </w:rPr>
            </w:pPr>
          </w:p>
        </w:tc>
        <w:tc>
          <w:tcPr>
            <w:tcW w:w="839" w:type="dxa"/>
            <w:vMerge/>
          </w:tcPr>
          <w:p w14:paraId="657B3AFC" w14:textId="77777777" w:rsidR="00B233AD" w:rsidRPr="00B44B19" w:rsidRDefault="00B233AD" w:rsidP="003040E3">
            <w:pPr>
              <w:jc w:val="center"/>
              <w:rPr>
                <w:rFonts w:eastAsia="Times New Roman" w:cs="Times New Roman"/>
                <w:iCs/>
                <w:noProof/>
                <w:sz w:val="20"/>
              </w:rPr>
            </w:pPr>
          </w:p>
        </w:tc>
        <w:tc>
          <w:tcPr>
            <w:tcW w:w="1094" w:type="dxa"/>
            <w:tcBorders>
              <w:top w:val="single" w:sz="4" w:space="0" w:color="auto"/>
              <w:bottom w:val="single" w:sz="4" w:space="0" w:color="auto"/>
            </w:tcBorders>
          </w:tcPr>
          <w:p w14:paraId="4392D3A7"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72CE7C0A" w14:textId="77777777" w:rsidR="00B233AD" w:rsidRPr="00B44B19" w:rsidRDefault="00B233AD" w:rsidP="003040E3">
            <w:pPr>
              <w:jc w:val="center"/>
              <w:rPr>
                <w:rFonts w:eastAsia="Times New Roman" w:cs="Times New Roman"/>
                <w:iCs/>
                <w:noProof/>
                <w:sz w:val="20"/>
              </w:rPr>
            </w:pPr>
          </w:p>
        </w:tc>
        <w:tc>
          <w:tcPr>
            <w:tcW w:w="3928" w:type="dxa"/>
            <w:vMerge/>
            <w:tcBorders>
              <w:bottom w:val="single" w:sz="4" w:space="0" w:color="auto"/>
            </w:tcBorders>
          </w:tcPr>
          <w:p w14:paraId="76798BAF"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2FF0A2C0" w14:textId="77777777" w:rsidR="00B233AD" w:rsidRPr="00B44B19" w:rsidRDefault="00B233AD" w:rsidP="00861FB0">
            <w:pPr>
              <w:jc w:val="right"/>
              <w:rPr>
                <w:rFonts w:eastAsia="Calibri" w:cs="Times New Roman"/>
                <w:bCs/>
                <w:sz w:val="20"/>
                <w:szCs w:val="20"/>
              </w:rPr>
            </w:pPr>
            <w:r w:rsidRPr="00B44B19">
              <w:rPr>
                <w:rFonts w:eastAsia="Calibri" w:cs="Times New Roman"/>
                <w:color w:val="000000"/>
                <w:sz w:val="20"/>
                <w:szCs w:val="20"/>
              </w:rPr>
              <w:t>57 681,00</w:t>
            </w:r>
          </w:p>
        </w:tc>
      </w:tr>
      <w:tr w:rsidR="00B233AD" w:rsidRPr="00B44B19" w14:paraId="56E5A603" w14:textId="77777777" w:rsidTr="00861FB0">
        <w:tc>
          <w:tcPr>
            <w:tcW w:w="1245" w:type="dxa"/>
            <w:vMerge/>
          </w:tcPr>
          <w:p w14:paraId="4CDED023" w14:textId="77777777" w:rsidR="00B233AD" w:rsidRPr="00B44B19" w:rsidRDefault="00B233AD" w:rsidP="003040E3">
            <w:pPr>
              <w:jc w:val="center"/>
              <w:rPr>
                <w:rFonts w:eastAsia="Times New Roman" w:cs="Times New Roman"/>
                <w:iCs/>
                <w:noProof/>
                <w:sz w:val="20"/>
              </w:rPr>
            </w:pPr>
          </w:p>
        </w:tc>
        <w:tc>
          <w:tcPr>
            <w:tcW w:w="839" w:type="dxa"/>
            <w:vMerge/>
          </w:tcPr>
          <w:p w14:paraId="1AE39DC4" w14:textId="77777777" w:rsidR="00B233AD" w:rsidRPr="00B44B19" w:rsidRDefault="00B233AD" w:rsidP="003040E3">
            <w:pPr>
              <w:jc w:val="center"/>
              <w:rPr>
                <w:rFonts w:eastAsia="Times New Roman" w:cs="Times New Roman"/>
                <w:iCs/>
                <w:noProof/>
                <w:sz w:val="20"/>
              </w:rPr>
            </w:pPr>
          </w:p>
        </w:tc>
        <w:tc>
          <w:tcPr>
            <w:tcW w:w="1094" w:type="dxa"/>
            <w:tcBorders>
              <w:top w:val="single" w:sz="4" w:space="0" w:color="auto"/>
              <w:bottom w:val="single" w:sz="4" w:space="0" w:color="auto"/>
            </w:tcBorders>
          </w:tcPr>
          <w:p w14:paraId="292833E2"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065B2A1D" w14:textId="77777777" w:rsidR="00B233AD" w:rsidRPr="00B44B19" w:rsidRDefault="00B233AD" w:rsidP="003040E3">
            <w:pPr>
              <w:jc w:val="center"/>
              <w:rPr>
                <w:rFonts w:eastAsia="Times New Roman" w:cs="Times New Roman"/>
                <w:iCs/>
                <w:noProof/>
                <w:sz w:val="20"/>
              </w:rPr>
            </w:pPr>
          </w:p>
        </w:tc>
        <w:tc>
          <w:tcPr>
            <w:tcW w:w="3928" w:type="dxa"/>
            <w:vMerge w:val="restart"/>
          </w:tcPr>
          <w:p w14:paraId="726B592C"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145 b Parama įgūdžių ugdymui arba galimybėms įsidarbinti švarių ir efektyviai išteklius naudojančių technologijų srityje</w:t>
            </w:r>
          </w:p>
        </w:tc>
        <w:tc>
          <w:tcPr>
            <w:tcW w:w="1537" w:type="dxa"/>
            <w:tcBorders>
              <w:top w:val="single" w:sz="4" w:space="0" w:color="auto"/>
              <w:bottom w:val="single" w:sz="4" w:space="0" w:color="auto"/>
            </w:tcBorders>
          </w:tcPr>
          <w:p w14:paraId="1B48E77F" w14:textId="77777777" w:rsidR="00B233AD" w:rsidRPr="00B44B19" w:rsidRDefault="00B233AD" w:rsidP="00861FB0">
            <w:pPr>
              <w:jc w:val="right"/>
              <w:rPr>
                <w:rFonts w:eastAsia="Calibri" w:cs="Times New Roman"/>
                <w:bCs/>
                <w:sz w:val="20"/>
                <w:szCs w:val="20"/>
              </w:rPr>
            </w:pPr>
            <w:r w:rsidRPr="00B44B19">
              <w:rPr>
                <w:rFonts w:eastAsia="Calibri" w:cs="Times New Roman"/>
                <w:color w:val="000000"/>
                <w:sz w:val="20"/>
                <w:szCs w:val="20"/>
              </w:rPr>
              <w:t>49 461,00</w:t>
            </w:r>
          </w:p>
        </w:tc>
      </w:tr>
      <w:tr w:rsidR="00B233AD" w:rsidRPr="00B44B19" w14:paraId="7433E3E6" w14:textId="77777777" w:rsidTr="00861FB0">
        <w:trPr>
          <w:trHeight w:val="406"/>
        </w:trPr>
        <w:tc>
          <w:tcPr>
            <w:tcW w:w="1245" w:type="dxa"/>
            <w:vMerge/>
          </w:tcPr>
          <w:p w14:paraId="431EA7BE" w14:textId="77777777" w:rsidR="00B233AD" w:rsidRPr="00B44B19" w:rsidRDefault="00B233AD" w:rsidP="003040E3">
            <w:pPr>
              <w:rPr>
                <w:rFonts w:eastAsia="Times New Roman" w:cs="Times New Roman"/>
                <w:iCs/>
                <w:noProof/>
                <w:sz w:val="20"/>
              </w:rPr>
            </w:pPr>
          </w:p>
        </w:tc>
        <w:tc>
          <w:tcPr>
            <w:tcW w:w="839" w:type="dxa"/>
            <w:vMerge/>
          </w:tcPr>
          <w:p w14:paraId="0A15F806"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07D8A30C"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1CF3C4ED" w14:textId="77777777" w:rsidR="00B233AD" w:rsidRPr="00B44B19" w:rsidRDefault="00B233AD" w:rsidP="003040E3">
            <w:pPr>
              <w:rPr>
                <w:rFonts w:eastAsia="Times New Roman" w:cs="Times New Roman"/>
                <w:b/>
                <w:iCs/>
                <w:noProof/>
                <w:sz w:val="20"/>
              </w:rPr>
            </w:pPr>
          </w:p>
        </w:tc>
        <w:tc>
          <w:tcPr>
            <w:tcW w:w="3928" w:type="dxa"/>
            <w:vMerge/>
            <w:tcBorders>
              <w:bottom w:val="single" w:sz="4" w:space="0" w:color="auto"/>
            </w:tcBorders>
          </w:tcPr>
          <w:p w14:paraId="4ED6691A"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128ADC58" w14:textId="77777777" w:rsidR="00B233AD" w:rsidRPr="00B44B19" w:rsidRDefault="00B233AD" w:rsidP="00861FB0">
            <w:pPr>
              <w:jc w:val="right"/>
              <w:rPr>
                <w:rFonts w:eastAsia="Times New Roman" w:cs="Times New Roman"/>
                <w:iCs/>
                <w:noProof/>
                <w:sz w:val="20"/>
                <w:lang w:val="en-US"/>
              </w:rPr>
            </w:pPr>
            <w:r w:rsidRPr="00B44B19">
              <w:rPr>
                <w:rFonts w:eastAsia="Calibri" w:cs="Times New Roman"/>
                <w:color w:val="000000"/>
                <w:sz w:val="20"/>
                <w:szCs w:val="20"/>
              </w:rPr>
              <w:t>29 716,00</w:t>
            </w:r>
          </w:p>
        </w:tc>
      </w:tr>
      <w:tr w:rsidR="00B233AD" w:rsidRPr="00B44B19" w14:paraId="233114F8" w14:textId="77777777" w:rsidTr="00861FB0">
        <w:tc>
          <w:tcPr>
            <w:tcW w:w="1245" w:type="dxa"/>
            <w:vMerge/>
          </w:tcPr>
          <w:p w14:paraId="05BAD6C9" w14:textId="77777777" w:rsidR="00B233AD" w:rsidRPr="00B44B19" w:rsidRDefault="00B233AD" w:rsidP="003040E3">
            <w:pPr>
              <w:rPr>
                <w:rFonts w:eastAsia="Times New Roman" w:cs="Times New Roman"/>
                <w:iCs/>
                <w:noProof/>
                <w:sz w:val="20"/>
              </w:rPr>
            </w:pPr>
          </w:p>
        </w:tc>
        <w:tc>
          <w:tcPr>
            <w:tcW w:w="839" w:type="dxa"/>
            <w:vMerge/>
          </w:tcPr>
          <w:p w14:paraId="6BCE839B"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6C9BC00D"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2E239E8C" w14:textId="77777777" w:rsidR="00B233AD" w:rsidRPr="00B44B19" w:rsidRDefault="00B233AD" w:rsidP="003040E3">
            <w:pPr>
              <w:rPr>
                <w:rFonts w:eastAsia="Times New Roman" w:cs="Times New Roman"/>
                <w:b/>
                <w:iCs/>
                <w:noProof/>
                <w:sz w:val="20"/>
              </w:rPr>
            </w:pPr>
          </w:p>
        </w:tc>
        <w:tc>
          <w:tcPr>
            <w:tcW w:w="3928" w:type="dxa"/>
            <w:vMerge w:val="restart"/>
            <w:tcBorders>
              <w:top w:val="single" w:sz="4" w:space="0" w:color="auto"/>
            </w:tcBorders>
          </w:tcPr>
          <w:p w14:paraId="27862306"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188 Gamybinės investicijos į dideles įmones, daugiausia susijusias su švariomis ir efektyviai išteklius naudojančiomis technologijomis</w:t>
            </w:r>
          </w:p>
        </w:tc>
        <w:tc>
          <w:tcPr>
            <w:tcW w:w="1537" w:type="dxa"/>
            <w:tcBorders>
              <w:top w:val="single" w:sz="4" w:space="0" w:color="auto"/>
              <w:bottom w:val="single" w:sz="4" w:space="0" w:color="auto"/>
            </w:tcBorders>
          </w:tcPr>
          <w:p w14:paraId="5FFA5F91"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5 601 746,00</w:t>
            </w:r>
          </w:p>
        </w:tc>
      </w:tr>
      <w:tr w:rsidR="00B233AD" w:rsidRPr="00B44B19" w14:paraId="54965825" w14:textId="77777777" w:rsidTr="00861FB0">
        <w:tc>
          <w:tcPr>
            <w:tcW w:w="1245" w:type="dxa"/>
            <w:vMerge/>
          </w:tcPr>
          <w:p w14:paraId="2CFE3906" w14:textId="77777777" w:rsidR="00B233AD" w:rsidRPr="00B44B19" w:rsidRDefault="00B233AD" w:rsidP="003040E3">
            <w:pPr>
              <w:rPr>
                <w:rFonts w:eastAsia="Times New Roman" w:cs="Times New Roman"/>
                <w:iCs/>
                <w:noProof/>
                <w:sz w:val="20"/>
              </w:rPr>
            </w:pPr>
          </w:p>
        </w:tc>
        <w:tc>
          <w:tcPr>
            <w:tcW w:w="839" w:type="dxa"/>
            <w:vMerge/>
          </w:tcPr>
          <w:p w14:paraId="2FDE673C"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022B2A4A"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4D0202EB" w14:textId="77777777" w:rsidR="00B233AD" w:rsidRPr="00B44B19" w:rsidRDefault="00B233AD" w:rsidP="003040E3">
            <w:pPr>
              <w:rPr>
                <w:rFonts w:eastAsia="Times New Roman" w:cs="Times New Roman"/>
                <w:b/>
                <w:iCs/>
                <w:noProof/>
                <w:sz w:val="20"/>
              </w:rPr>
            </w:pPr>
          </w:p>
        </w:tc>
        <w:tc>
          <w:tcPr>
            <w:tcW w:w="3928" w:type="dxa"/>
            <w:vMerge/>
          </w:tcPr>
          <w:p w14:paraId="6136C764"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0D8C25E4"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3 694 635,00</w:t>
            </w:r>
          </w:p>
        </w:tc>
      </w:tr>
      <w:tr w:rsidR="00B233AD" w:rsidRPr="00B44B19" w14:paraId="593DDF9F" w14:textId="77777777" w:rsidTr="00861FB0">
        <w:tc>
          <w:tcPr>
            <w:tcW w:w="1245" w:type="dxa"/>
            <w:vMerge/>
          </w:tcPr>
          <w:p w14:paraId="26C065C0" w14:textId="77777777" w:rsidR="00B233AD" w:rsidRPr="00B44B19" w:rsidRDefault="00B233AD" w:rsidP="003040E3">
            <w:pPr>
              <w:rPr>
                <w:rFonts w:eastAsia="Times New Roman" w:cs="Times New Roman"/>
                <w:iCs/>
                <w:noProof/>
                <w:sz w:val="20"/>
              </w:rPr>
            </w:pPr>
          </w:p>
        </w:tc>
        <w:tc>
          <w:tcPr>
            <w:tcW w:w="839" w:type="dxa"/>
            <w:vMerge/>
          </w:tcPr>
          <w:p w14:paraId="3E0C3637"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7588B00C"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17D6B4EC" w14:textId="77777777" w:rsidR="00B233AD" w:rsidRPr="00B44B19" w:rsidRDefault="00B233AD" w:rsidP="003040E3">
            <w:pPr>
              <w:rPr>
                <w:rFonts w:eastAsia="Times New Roman" w:cs="Times New Roman"/>
                <w:b/>
                <w:iCs/>
                <w:noProof/>
                <w:sz w:val="20"/>
              </w:rPr>
            </w:pPr>
          </w:p>
        </w:tc>
        <w:tc>
          <w:tcPr>
            <w:tcW w:w="3928" w:type="dxa"/>
            <w:vMerge w:val="restart"/>
          </w:tcPr>
          <w:p w14:paraId="22E77F41"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189 Gamybinės investicijos į MVĮ, daugiausia susijusias su švariomis ir efektyviai išteklius naudojančiomis technologijomis</w:t>
            </w:r>
          </w:p>
        </w:tc>
        <w:tc>
          <w:tcPr>
            <w:tcW w:w="1537" w:type="dxa"/>
            <w:tcBorders>
              <w:top w:val="single" w:sz="4" w:space="0" w:color="auto"/>
              <w:bottom w:val="single" w:sz="4" w:space="0" w:color="auto"/>
            </w:tcBorders>
          </w:tcPr>
          <w:p w14:paraId="260998F6"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5 601 746,00</w:t>
            </w:r>
          </w:p>
        </w:tc>
      </w:tr>
      <w:tr w:rsidR="00B233AD" w:rsidRPr="00B44B19" w14:paraId="51E2F182" w14:textId="77777777" w:rsidTr="00861FB0">
        <w:tc>
          <w:tcPr>
            <w:tcW w:w="1245" w:type="dxa"/>
            <w:vMerge/>
          </w:tcPr>
          <w:p w14:paraId="35B8B0D4" w14:textId="77777777" w:rsidR="00B233AD" w:rsidRPr="00B44B19" w:rsidRDefault="00B233AD" w:rsidP="003040E3">
            <w:pPr>
              <w:rPr>
                <w:rFonts w:eastAsia="Times New Roman" w:cs="Times New Roman"/>
                <w:iCs/>
                <w:noProof/>
                <w:sz w:val="20"/>
              </w:rPr>
            </w:pPr>
          </w:p>
        </w:tc>
        <w:tc>
          <w:tcPr>
            <w:tcW w:w="839" w:type="dxa"/>
            <w:vMerge/>
          </w:tcPr>
          <w:p w14:paraId="0964753C"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6DF22575"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7D93EF36" w14:textId="77777777" w:rsidR="00B233AD" w:rsidRPr="00B44B19" w:rsidRDefault="00B233AD" w:rsidP="003040E3">
            <w:pPr>
              <w:rPr>
                <w:rFonts w:eastAsia="Times New Roman" w:cs="Times New Roman"/>
                <w:b/>
                <w:iCs/>
                <w:noProof/>
                <w:sz w:val="20"/>
              </w:rPr>
            </w:pPr>
          </w:p>
        </w:tc>
        <w:tc>
          <w:tcPr>
            <w:tcW w:w="3928" w:type="dxa"/>
            <w:vMerge/>
          </w:tcPr>
          <w:p w14:paraId="2F4CF89C"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36EA343E"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3 694 635,00</w:t>
            </w:r>
          </w:p>
        </w:tc>
      </w:tr>
      <w:tr w:rsidR="00B233AD" w:rsidRPr="00B44B19" w14:paraId="46F78A7D" w14:textId="77777777" w:rsidTr="00861FB0">
        <w:tc>
          <w:tcPr>
            <w:tcW w:w="1245" w:type="dxa"/>
            <w:vMerge/>
          </w:tcPr>
          <w:p w14:paraId="0A57F0E8" w14:textId="77777777" w:rsidR="00B233AD" w:rsidRPr="00B44B19" w:rsidRDefault="00B233AD" w:rsidP="003040E3">
            <w:pPr>
              <w:rPr>
                <w:rFonts w:eastAsia="Times New Roman" w:cs="Times New Roman"/>
                <w:iCs/>
                <w:noProof/>
                <w:sz w:val="20"/>
              </w:rPr>
            </w:pPr>
          </w:p>
        </w:tc>
        <w:tc>
          <w:tcPr>
            <w:tcW w:w="839" w:type="dxa"/>
            <w:vMerge/>
          </w:tcPr>
          <w:p w14:paraId="6AC19E3D"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20E07F93"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5F8AF614" w14:textId="77777777" w:rsidR="00B233AD" w:rsidRPr="00B44B19" w:rsidRDefault="00B233AD" w:rsidP="003040E3">
            <w:pPr>
              <w:rPr>
                <w:rFonts w:eastAsia="Times New Roman" w:cs="Times New Roman"/>
                <w:b/>
                <w:iCs/>
                <w:noProof/>
                <w:sz w:val="20"/>
              </w:rPr>
            </w:pPr>
          </w:p>
        </w:tc>
        <w:tc>
          <w:tcPr>
            <w:tcW w:w="3928" w:type="dxa"/>
            <w:vMerge w:val="restart"/>
          </w:tcPr>
          <w:p w14:paraId="710F48A3"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190 Gamybinės investicijos į dideles įmones, daugiausia susijusias su biotechnologijomis</w:t>
            </w:r>
          </w:p>
        </w:tc>
        <w:tc>
          <w:tcPr>
            <w:tcW w:w="1537" w:type="dxa"/>
            <w:tcBorders>
              <w:top w:val="single" w:sz="4" w:space="0" w:color="auto"/>
              <w:bottom w:val="single" w:sz="4" w:space="0" w:color="auto"/>
            </w:tcBorders>
          </w:tcPr>
          <w:p w14:paraId="72627A37"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5 601 746,00</w:t>
            </w:r>
          </w:p>
        </w:tc>
      </w:tr>
      <w:tr w:rsidR="00B233AD" w:rsidRPr="00B44B19" w14:paraId="62AAEC42" w14:textId="77777777" w:rsidTr="00861FB0">
        <w:trPr>
          <w:trHeight w:val="474"/>
        </w:trPr>
        <w:tc>
          <w:tcPr>
            <w:tcW w:w="1245" w:type="dxa"/>
            <w:vMerge/>
          </w:tcPr>
          <w:p w14:paraId="2188B6A7" w14:textId="77777777" w:rsidR="00B233AD" w:rsidRPr="00B44B19" w:rsidRDefault="00B233AD" w:rsidP="003040E3">
            <w:pPr>
              <w:rPr>
                <w:rFonts w:eastAsia="Times New Roman" w:cs="Times New Roman"/>
                <w:iCs/>
                <w:noProof/>
                <w:sz w:val="20"/>
              </w:rPr>
            </w:pPr>
          </w:p>
        </w:tc>
        <w:tc>
          <w:tcPr>
            <w:tcW w:w="839" w:type="dxa"/>
            <w:vMerge/>
          </w:tcPr>
          <w:p w14:paraId="14D3E4F6"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20035F00"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3C604E3B" w14:textId="77777777" w:rsidR="00B233AD" w:rsidRPr="00B44B19" w:rsidRDefault="00B233AD" w:rsidP="003040E3">
            <w:pPr>
              <w:rPr>
                <w:rFonts w:eastAsia="Times New Roman" w:cs="Times New Roman"/>
                <w:b/>
                <w:iCs/>
                <w:noProof/>
                <w:sz w:val="20"/>
              </w:rPr>
            </w:pPr>
          </w:p>
        </w:tc>
        <w:tc>
          <w:tcPr>
            <w:tcW w:w="3928" w:type="dxa"/>
            <w:vMerge/>
          </w:tcPr>
          <w:p w14:paraId="55A5EEFF"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59CE8400"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3 694 635,00</w:t>
            </w:r>
          </w:p>
        </w:tc>
      </w:tr>
      <w:tr w:rsidR="00B233AD" w:rsidRPr="00B44B19" w14:paraId="0CD4A7E7" w14:textId="77777777" w:rsidTr="00861FB0">
        <w:tc>
          <w:tcPr>
            <w:tcW w:w="1245" w:type="dxa"/>
            <w:vMerge/>
          </w:tcPr>
          <w:p w14:paraId="52368E45" w14:textId="77777777" w:rsidR="00B233AD" w:rsidRPr="00B44B19" w:rsidRDefault="00B233AD" w:rsidP="003040E3">
            <w:pPr>
              <w:rPr>
                <w:rFonts w:eastAsia="Times New Roman" w:cs="Times New Roman"/>
                <w:iCs/>
                <w:noProof/>
                <w:sz w:val="20"/>
              </w:rPr>
            </w:pPr>
          </w:p>
        </w:tc>
        <w:tc>
          <w:tcPr>
            <w:tcW w:w="839" w:type="dxa"/>
            <w:vMerge/>
          </w:tcPr>
          <w:p w14:paraId="11FCD54B"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2B8F6B20"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380D6C0A" w14:textId="77777777" w:rsidR="00B233AD" w:rsidRPr="00B44B19" w:rsidRDefault="00B233AD" w:rsidP="003040E3">
            <w:pPr>
              <w:rPr>
                <w:rFonts w:eastAsia="Times New Roman" w:cs="Times New Roman"/>
                <w:b/>
                <w:iCs/>
                <w:noProof/>
                <w:sz w:val="20"/>
              </w:rPr>
            </w:pPr>
          </w:p>
        </w:tc>
        <w:tc>
          <w:tcPr>
            <w:tcW w:w="3928" w:type="dxa"/>
            <w:vMerge w:val="restart"/>
          </w:tcPr>
          <w:p w14:paraId="75F6850F"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191 Gamybinės investicijos į MVĮ, daugiausia susijusias su biotechnologijomis</w:t>
            </w:r>
          </w:p>
        </w:tc>
        <w:tc>
          <w:tcPr>
            <w:tcW w:w="1537" w:type="dxa"/>
            <w:tcBorders>
              <w:top w:val="single" w:sz="4" w:space="0" w:color="auto"/>
              <w:bottom w:val="single" w:sz="4" w:space="0" w:color="auto"/>
            </w:tcBorders>
          </w:tcPr>
          <w:p w14:paraId="0D5B90F4"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5 601 746,00</w:t>
            </w:r>
          </w:p>
        </w:tc>
      </w:tr>
      <w:tr w:rsidR="00B233AD" w:rsidRPr="00B44B19" w14:paraId="463FE991" w14:textId="77777777" w:rsidTr="00861FB0">
        <w:trPr>
          <w:trHeight w:val="359"/>
        </w:trPr>
        <w:tc>
          <w:tcPr>
            <w:tcW w:w="1245" w:type="dxa"/>
            <w:vMerge/>
          </w:tcPr>
          <w:p w14:paraId="5539F26D" w14:textId="77777777" w:rsidR="00B233AD" w:rsidRPr="00B44B19" w:rsidRDefault="00B233AD" w:rsidP="003040E3">
            <w:pPr>
              <w:rPr>
                <w:rFonts w:eastAsia="Times New Roman" w:cs="Times New Roman"/>
                <w:iCs/>
                <w:noProof/>
                <w:sz w:val="20"/>
              </w:rPr>
            </w:pPr>
          </w:p>
        </w:tc>
        <w:tc>
          <w:tcPr>
            <w:tcW w:w="839" w:type="dxa"/>
            <w:vMerge/>
          </w:tcPr>
          <w:p w14:paraId="2B163191"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0D7845B8"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5A17669B" w14:textId="77777777" w:rsidR="00B233AD" w:rsidRPr="00B44B19" w:rsidRDefault="00B233AD" w:rsidP="003040E3">
            <w:pPr>
              <w:rPr>
                <w:rFonts w:eastAsia="Times New Roman" w:cs="Times New Roman"/>
                <w:b/>
                <w:iCs/>
                <w:noProof/>
                <w:sz w:val="20"/>
              </w:rPr>
            </w:pPr>
          </w:p>
        </w:tc>
        <w:tc>
          <w:tcPr>
            <w:tcW w:w="3928" w:type="dxa"/>
            <w:vMerge/>
          </w:tcPr>
          <w:p w14:paraId="4EC81C14"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6DEA07F3"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3 694 635,00</w:t>
            </w:r>
          </w:p>
        </w:tc>
      </w:tr>
      <w:tr w:rsidR="00B233AD" w:rsidRPr="00B44B19" w14:paraId="2BB3DEE0" w14:textId="77777777" w:rsidTr="00861FB0">
        <w:tc>
          <w:tcPr>
            <w:tcW w:w="1245" w:type="dxa"/>
            <w:vMerge/>
          </w:tcPr>
          <w:p w14:paraId="1CF035EC" w14:textId="77777777" w:rsidR="00B233AD" w:rsidRPr="00B44B19" w:rsidRDefault="00B233AD" w:rsidP="003040E3">
            <w:pPr>
              <w:rPr>
                <w:rFonts w:eastAsia="Times New Roman" w:cs="Times New Roman"/>
                <w:iCs/>
                <w:noProof/>
                <w:sz w:val="20"/>
              </w:rPr>
            </w:pPr>
          </w:p>
        </w:tc>
        <w:tc>
          <w:tcPr>
            <w:tcW w:w="839" w:type="dxa"/>
            <w:vMerge/>
          </w:tcPr>
          <w:p w14:paraId="465154D5"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39304EC3"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0D4A7173" w14:textId="77777777" w:rsidR="00B233AD" w:rsidRPr="00B44B19" w:rsidRDefault="00B233AD" w:rsidP="003040E3">
            <w:pPr>
              <w:rPr>
                <w:rFonts w:eastAsia="Times New Roman" w:cs="Times New Roman"/>
                <w:b/>
                <w:iCs/>
                <w:noProof/>
                <w:sz w:val="20"/>
              </w:rPr>
            </w:pPr>
          </w:p>
        </w:tc>
        <w:tc>
          <w:tcPr>
            <w:tcW w:w="3928" w:type="dxa"/>
            <w:vMerge w:val="restart"/>
          </w:tcPr>
          <w:p w14:paraId="7BEEFDC0"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192 Gamybinės investicijos į dideles įmones, daugiausia susijusias su skaitmeninėmis technologijomis ir giliųjų technologijų inovacijomis</w:t>
            </w:r>
          </w:p>
        </w:tc>
        <w:tc>
          <w:tcPr>
            <w:tcW w:w="1537" w:type="dxa"/>
            <w:tcBorders>
              <w:top w:val="single" w:sz="4" w:space="0" w:color="auto"/>
              <w:bottom w:val="single" w:sz="4" w:space="0" w:color="auto"/>
            </w:tcBorders>
          </w:tcPr>
          <w:p w14:paraId="1A8998B4"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5 771 495,00</w:t>
            </w:r>
          </w:p>
        </w:tc>
      </w:tr>
      <w:tr w:rsidR="00B233AD" w:rsidRPr="00B44B19" w14:paraId="7B722B82" w14:textId="77777777" w:rsidTr="00861FB0">
        <w:tc>
          <w:tcPr>
            <w:tcW w:w="1245" w:type="dxa"/>
            <w:vMerge/>
          </w:tcPr>
          <w:p w14:paraId="2E79F4AB" w14:textId="77777777" w:rsidR="00B233AD" w:rsidRPr="00B44B19" w:rsidRDefault="00B233AD" w:rsidP="003040E3">
            <w:pPr>
              <w:rPr>
                <w:rFonts w:eastAsia="Times New Roman" w:cs="Times New Roman"/>
                <w:iCs/>
                <w:noProof/>
                <w:sz w:val="20"/>
              </w:rPr>
            </w:pPr>
          </w:p>
        </w:tc>
        <w:tc>
          <w:tcPr>
            <w:tcW w:w="839" w:type="dxa"/>
            <w:vMerge/>
          </w:tcPr>
          <w:p w14:paraId="17AC0DEE"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3E9F13B7"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77C42C6B" w14:textId="77777777" w:rsidR="00B233AD" w:rsidRPr="00B44B19" w:rsidRDefault="00B233AD" w:rsidP="003040E3">
            <w:pPr>
              <w:rPr>
                <w:rFonts w:eastAsia="Times New Roman" w:cs="Times New Roman"/>
                <w:b/>
                <w:iCs/>
                <w:noProof/>
                <w:sz w:val="20"/>
              </w:rPr>
            </w:pPr>
          </w:p>
        </w:tc>
        <w:tc>
          <w:tcPr>
            <w:tcW w:w="3928" w:type="dxa"/>
            <w:vMerge/>
          </w:tcPr>
          <w:p w14:paraId="3BE8F603" w14:textId="77777777" w:rsidR="00B233AD" w:rsidRPr="00B44B19" w:rsidRDefault="00B233AD" w:rsidP="003040E3">
            <w:pPr>
              <w:rPr>
                <w:rFonts w:eastAsia="Times New Roman" w:cs="Times New Roman"/>
                <w:iCs/>
                <w:noProof/>
                <w:sz w:val="20"/>
              </w:rPr>
            </w:pPr>
          </w:p>
        </w:tc>
        <w:tc>
          <w:tcPr>
            <w:tcW w:w="1537" w:type="dxa"/>
            <w:tcBorders>
              <w:top w:val="single" w:sz="4" w:space="0" w:color="auto"/>
              <w:bottom w:val="single" w:sz="4" w:space="0" w:color="auto"/>
            </w:tcBorders>
          </w:tcPr>
          <w:p w14:paraId="7332B5B7"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3 806 594,00</w:t>
            </w:r>
          </w:p>
        </w:tc>
      </w:tr>
      <w:tr w:rsidR="00B233AD" w:rsidRPr="00B44B19" w14:paraId="52B03135" w14:textId="77777777" w:rsidTr="00861FB0">
        <w:tc>
          <w:tcPr>
            <w:tcW w:w="1245" w:type="dxa"/>
            <w:vMerge/>
          </w:tcPr>
          <w:p w14:paraId="65FC0825" w14:textId="77777777" w:rsidR="00B233AD" w:rsidRPr="00B44B19" w:rsidRDefault="00B233AD" w:rsidP="003040E3">
            <w:pPr>
              <w:rPr>
                <w:rFonts w:eastAsia="Times New Roman" w:cs="Times New Roman"/>
                <w:iCs/>
                <w:noProof/>
                <w:sz w:val="20"/>
              </w:rPr>
            </w:pPr>
          </w:p>
        </w:tc>
        <w:tc>
          <w:tcPr>
            <w:tcW w:w="839" w:type="dxa"/>
            <w:vMerge/>
          </w:tcPr>
          <w:p w14:paraId="10D15F44" w14:textId="77777777" w:rsidR="00B233AD" w:rsidRPr="00B44B19" w:rsidRDefault="00B233AD" w:rsidP="003040E3">
            <w:pPr>
              <w:rPr>
                <w:rFonts w:eastAsia="Times New Roman" w:cs="Times New Roman"/>
                <w:b/>
                <w:iCs/>
                <w:noProof/>
                <w:sz w:val="20"/>
              </w:rPr>
            </w:pPr>
          </w:p>
        </w:tc>
        <w:tc>
          <w:tcPr>
            <w:tcW w:w="1094" w:type="dxa"/>
            <w:tcBorders>
              <w:top w:val="single" w:sz="4" w:space="0" w:color="auto"/>
              <w:bottom w:val="single" w:sz="4" w:space="0" w:color="auto"/>
            </w:tcBorders>
          </w:tcPr>
          <w:p w14:paraId="4B4075CA"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23" w:type="dxa"/>
            <w:vMerge/>
          </w:tcPr>
          <w:p w14:paraId="02F3A82B" w14:textId="77777777" w:rsidR="00B233AD" w:rsidRPr="00B44B19" w:rsidRDefault="00B233AD" w:rsidP="003040E3">
            <w:pPr>
              <w:rPr>
                <w:rFonts w:eastAsia="Times New Roman" w:cs="Times New Roman"/>
                <w:b/>
                <w:iCs/>
                <w:noProof/>
                <w:sz w:val="20"/>
              </w:rPr>
            </w:pPr>
          </w:p>
        </w:tc>
        <w:tc>
          <w:tcPr>
            <w:tcW w:w="3928" w:type="dxa"/>
            <w:vMerge w:val="restart"/>
          </w:tcPr>
          <w:p w14:paraId="58872EAB"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193 Gamybinės investicijos į MVĮ, daugiausia susijusias su skaitmeninėmis technologijomis ir giliųjų technologijų inovacijomis</w:t>
            </w:r>
          </w:p>
        </w:tc>
        <w:tc>
          <w:tcPr>
            <w:tcW w:w="1537" w:type="dxa"/>
            <w:tcBorders>
              <w:top w:val="single" w:sz="4" w:space="0" w:color="auto"/>
              <w:bottom w:val="single" w:sz="4" w:space="0" w:color="auto"/>
            </w:tcBorders>
          </w:tcPr>
          <w:p w14:paraId="5516470A"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5 771 495,00</w:t>
            </w:r>
          </w:p>
        </w:tc>
      </w:tr>
      <w:tr w:rsidR="00B233AD" w:rsidRPr="00B44B19" w14:paraId="61D3C126" w14:textId="77777777" w:rsidTr="00861FB0">
        <w:tc>
          <w:tcPr>
            <w:tcW w:w="1245" w:type="dxa"/>
            <w:vMerge/>
          </w:tcPr>
          <w:p w14:paraId="4C5CB1A5" w14:textId="77777777" w:rsidR="00B233AD" w:rsidRPr="00B44B19" w:rsidRDefault="00B233AD" w:rsidP="003040E3">
            <w:pPr>
              <w:rPr>
                <w:rFonts w:eastAsia="Times New Roman" w:cs="Times New Roman"/>
                <w:iCs/>
                <w:noProof/>
                <w:sz w:val="20"/>
              </w:rPr>
            </w:pPr>
          </w:p>
        </w:tc>
        <w:tc>
          <w:tcPr>
            <w:tcW w:w="839" w:type="dxa"/>
            <w:vMerge/>
          </w:tcPr>
          <w:p w14:paraId="1B17D64B" w14:textId="77777777" w:rsidR="00B233AD" w:rsidRPr="00B44B19" w:rsidRDefault="00B233AD" w:rsidP="003040E3">
            <w:pPr>
              <w:rPr>
                <w:rFonts w:eastAsia="Times New Roman" w:cs="Times New Roman"/>
                <w:b/>
                <w:iCs/>
                <w:noProof/>
                <w:sz w:val="20"/>
              </w:rPr>
            </w:pPr>
          </w:p>
        </w:tc>
        <w:tc>
          <w:tcPr>
            <w:tcW w:w="1094" w:type="dxa"/>
            <w:tcBorders>
              <w:top w:val="single" w:sz="4" w:space="0" w:color="auto"/>
            </w:tcBorders>
          </w:tcPr>
          <w:p w14:paraId="7C84BC6E"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23" w:type="dxa"/>
            <w:vMerge/>
          </w:tcPr>
          <w:p w14:paraId="0B3DC937" w14:textId="77777777" w:rsidR="00B233AD" w:rsidRPr="00B44B19" w:rsidRDefault="00B233AD" w:rsidP="003040E3">
            <w:pPr>
              <w:rPr>
                <w:rFonts w:eastAsia="Times New Roman" w:cs="Times New Roman"/>
                <w:b/>
                <w:iCs/>
                <w:noProof/>
                <w:sz w:val="20"/>
              </w:rPr>
            </w:pPr>
          </w:p>
        </w:tc>
        <w:tc>
          <w:tcPr>
            <w:tcW w:w="3928" w:type="dxa"/>
            <w:vMerge/>
          </w:tcPr>
          <w:p w14:paraId="5C5D0331" w14:textId="77777777" w:rsidR="00B233AD" w:rsidRPr="00B44B19" w:rsidRDefault="00B233AD" w:rsidP="003040E3">
            <w:pPr>
              <w:rPr>
                <w:rFonts w:eastAsia="Times New Roman" w:cs="Times New Roman"/>
                <w:iCs/>
                <w:noProof/>
                <w:sz w:val="20"/>
              </w:rPr>
            </w:pPr>
          </w:p>
        </w:tc>
        <w:tc>
          <w:tcPr>
            <w:tcW w:w="1537" w:type="dxa"/>
            <w:tcBorders>
              <w:top w:val="single" w:sz="4" w:space="0" w:color="auto"/>
            </w:tcBorders>
          </w:tcPr>
          <w:p w14:paraId="77506230" w14:textId="77777777" w:rsidR="00B233AD" w:rsidRPr="00B44B19" w:rsidRDefault="00B233AD" w:rsidP="00861FB0">
            <w:pPr>
              <w:jc w:val="right"/>
              <w:rPr>
                <w:rFonts w:eastAsia="Calibri" w:cs="Times New Roman"/>
                <w:color w:val="000000"/>
                <w:sz w:val="20"/>
                <w:szCs w:val="20"/>
              </w:rPr>
            </w:pPr>
            <w:r w:rsidRPr="00B44B19">
              <w:rPr>
                <w:rFonts w:eastAsia="Calibri" w:cs="Times New Roman"/>
                <w:color w:val="000000"/>
                <w:sz w:val="20"/>
                <w:szCs w:val="20"/>
              </w:rPr>
              <w:t>3 806 594,00</w:t>
            </w:r>
          </w:p>
        </w:tc>
      </w:tr>
    </w:tbl>
    <w:p w14:paraId="13A5B66F" w14:textId="77777777" w:rsidR="00B233AD" w:rsidRPr="00B44B19" w:rsidRDefault="00B233AD" w:rsidP="00B233AD">
      <w:pPr>
        <w:spacing w:after="0" w:line="240" w:lineRule="auto"/>
        <w:rPr>
          <w:rFonts w:eastAsia="Times New Roman" w:cs="Times New Roman"/>
          <w:iCs/>
          <w:noProof/>
          <w:sz w:val="20"/>
          <w:szCs w:val="20"/>
          <w:highlight w:val="yellow"/>
        </w:rPr>
      </w:pPr>
    </w:p>
    <w:tbl>
      <w:tblPr>
        <w:tblStyle w:val="Lentelstinklelis"/>
        <w:tblW w:w="9762" w:type="dxa"/>
        <w:tblInd w:w="-15" w:type="dxa"/>
        <w:tblLayout w:type="fixed"/>
        <w:tblLook w:val="04A0" w:firstRow="1" w:lastRow="0" w:firstColumn="1" w:lastColumn="0" w:noHBand="0" w:noVBand="1"/>
      </w:tblPr>
      <w:tblGrid>
        <w:gridCol w:w="1116"/>
        <w:gridCol w:w="850"/>
        <w:gridCol w:w="1134"/>
        <w:gridCol w:w="1134"/>
        <w:gridCol w:w="3903"/>
        <w:gridCol w:w="1625"/>
      </w:tblGrid>
      <w:tr w:rsidR="00B233AD" w:rsidRPr="00B44B19" w14:paraId="5F1EE34E" w14:textId="77777777" w:rsidTr="000708B3">
        <w:tc>
          <w:tcPr>
            <w:tcW w:w="9762" w:type="dxa"/>
            <w:gridSpan w:val="6"/>
            <w:tcBorders>
              <w:top w:val="single" w:sz="12" w:space="0" w:color="auto"/>
              <w:left w:val="single" w:sz="12" w:space="0" w:color="auto"/>
              <w:bottom w:val="single" w:sz="12" w:space="0" w:color="auto"/>
              <w:right w:val="single" w:sz="12" w:space="0" w:color="auto"/>
            </w:tcBorders>
            <w:shd w:val="clear" w:color="auto" w:fill="DBE5F1"/>
          </w:tcPr>
          <w:p w14:paraId="57547BD1" w14:textId="77777777" w:rsidR="00B233AD" w:rsidRPr="00B44B19" w:rsidRDefault="00B233AD" w:rsidP="003040E3">
            <w:pPr>
              <w:rPr>
                <w:rFonts w:eastAsia="Times New Roman" w:cs="Times New Roman"/>
                <w:b/>
                <w:iCs/>
                <w:noProof/>
                <w:sz w:val="20"/>
              </w:rPr>
            </w:pPr>
            <w:r w:rsidRPr="00B44B19">
              <w:rPr>
                <w:rFonts w:eastAsia="Calibri" w:cs="Times New Roman"/>
                <w:b/>
                <w:noProof/>
                <w:sz w:val="20"/>
              </w:rPr>
              <w:t>5 lentelė. 2 matmuo. Finansavimo forma</w:t>
            </w:r>
          </w:p>
        </w:tc>
      </w:tr>
      <w:tr w:rsidR="00B233AD" w:rsidRPr="00B44B19" w14:paraId="668E3D1F" w14:textId="77777777" w:rsidTr="000708B3">
        <w:tc>
          <w:tcPr>
            <w:tcW w:w="1116" w:type="dxa"/>
            <w:tcBorders>
              <w:top w:val="single" w:sz="12" w:space="0" w:color="auto"/>
              <w:left w:val="single" w:sz="12" w:space="0" w:color="auto"/>
              <w:bottom w:val="single" w:sz="12" w:space="0" w:color="auto"/>
              <w:right w:val="single" w:sz="12" w:space="0" w:color="auto"/>
            </w:tcBorders>
            <w:shd w:val="clear" w:color="auto" w:fill="DBE5F1"/>
            <w:vAlign w:val="center"/>
          </w:tcPr>
          <w:p w14:paraId="3F031422"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74282C4C"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4438588B"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40A9ACEE"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vAlign w:val="center"/>
          </w:tcPr>
          <w:p w14:paraId="485BF788"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vAlign w:val="center"/>
          </w:tcPr>
          <w:p w14:paraId="0B340AC7"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Suma (EUR)</w:t>
            </w:r>
          </w:p>
        </w:tc>
      </w:tr>
      <w:tr w:rsidR="00B233AD" w:rsidRPr="00B44B19" w14:paraId="2F146D64" w14:textId="77777777" w:rsidTr="000708B3">
        <w:tc>
          <w:tcPr>
            <w:tcW w:w="1116" w:type="dxa"/>
            <w:vMerge w:val="restart"/>
            <w:tcBorders>
              <w:top w:val="single" w:sz="12" w:space="0" w:color="auto"/>
            </w:tcBorders>
          </w:tcPr>
          <w:p w14:paraId="79CBBD61" w14:textId="77777777" w:rsidR="00B233AD" w:rsidRPr="00B44B19" w:rsidRDefault="00B233AD" w:rsidP="003040E3">
            <w:pPr>
              <w:jc w:val="center"/>
              <w:rPr>
                <w:rFonts w:eastAsia="Times New Roman" w:cs="Times New Roman"/>
                <w:iCs/>
                <w:noProof/>
                <w:sz w:val="20"/>
                <w:szCs w:val="20"/>
              </w:rPr>
            </w:pPr>
            <w:r w:rsidRPr="00B44B19">
              <w:rPr>
                <w:rFonts w:eastAsia="Calibri" w:cs="Times New Roman"/>
                <w:noProof/>
                <w:sz w:val="20"/>
                <w:szCs w:val="20"/>
              </w:rPr>
              <w:t xml:space="preserve">10. </w:t>
            </w:r>
          </w:p>
        </w:tc>
        <w:tc>
          <w:tcPr>
            <w:tcW w:w="850" w:type="dxa"/>
            <w:vMerge w:val="restart"/>
            <w:tcBorders>
              <w:top w:val="single" w:sz="12" w:space="0" w:color="auto"/>
            </w:tcBorders>
          </w:tcPr>
          <w:p w14:paraId="182D1A64" w14:textId="77777777" w:rsidR="00B233AD" w:rsidRPr="00B44B19" w:rsidRDefault="00B233AD" w:rsidP="003040E3">
            <w:pPr>
              <w:jc w:val="center"/>
              <w:rPr>
                <w:rFonts w:eastAsia="Times New Roman" w:cs="Times New Roman"/>
                <w:iCs/>
                <w:noProof/>
                <w:sz w:val="20"/>
                <w:szCs w:val="20"/>
              </w:rPr>
            </w:pPr>
            <w:r w:rsidRPr="00B44B19">
              <w:rPr>
                <w:rFonts w:eastAsia="Calibri" w:cs="Times New Roman"/>
                <w:noProof/>
                <w:sz w:val="20"/>
                <w:szCs w:val="20"/>
              </w:rPr>
              <w:t>ERPF</w:t>
            </w:r>
          </w:p>
        </w:tc>
        <w:tc>
          <w:tcPr>
            <w:tcW w:w="1134" w:type="dxa"/>
            <w:tcBorders>
              <w:top w:val="single" w:sz="12" w:space="0" w:color="auto"/>
              <w:bottom w:val="single" w:sz="4" w:space="0" w:color="auto"/>
            </w:tcBorders>
          </w:tcPr>
          <w:p w14:paraId="155A3464" w14:textId="77777777" w:rsidR="00B233AD" w:rsidRPr="00B44B19" w:rsidRDefault="00B233AD" w:rsidP="003040E3">
            <w:pPr>
              <w:rPr>
                <w:rFonts w:eastAsia="Times New Roman" w:cs="Times New Roman"/>
                <w:iCs/>
                <w:noProof/>
                <w:sz w:val="20"/>
                <w:szCs w:val="20"/>
              </w:rPr>
            </w:pPr>
            <w:r w:rsidRPr="00B44B19">
              <w:rPr>
                <w:rFonts w:eastAsia="Times New Roman" w:cs="Times New Roman"/>
                <w:iCs/>
                <w:noProof/>
                <w:sz w:val="20"/>
                <w:szCs w:val="20"/>
              </w:rPr>
              <w:t>Sostinės regionas</w:t>
            </w:r>
          </w:p>
        </w:tc>
        <w:tc>
          <w:tcPr>
            <w:tcW w:w="1134" w:type="dxa"/>
            <w:vMerge w:val="restart"/>
            <w:tcBorders>
              <w:top w:val="single" w:sz="12" w:space="0" w:color="auto"/>
            </w:tcBorders>
          </w:tcPr>
          <w:p w14:paraId="40988D6F" w14:textId="77777777" w:rsidR="00B233AD" w:rsidRPr="00B44B19" w:rsidRDefault="00B233AD" w:rsidP="003040E3">
            <w:pPr>
              <w:jc w:val="center"/>
              <w:rPr>
                <w:rFonts w:eastAsia="Times New Roman" w:cs="Times New Roman"/>
                <w:b/>
                <w:iCs/>
                <w:noProof/>
                <w:sz w:val="20"/>
                <w:szCs w:val="20"/>
              </w:rPr>
            </w:pPr>
            <w:r w:rsidRPr="00B44B19">
              <w:rPr>
                <w:rFonts w:eastAsia="Calibri" w:cs="Times New Roman"/>
                <w:noProof/>
                <w:sz w:val="20"/>
                <w:szCs w:val="20"/>
              </w:rPr>
              <w:t>10.1.</w:t>
            </w:r>
          </w:p>
        </w:tc>
        <w:tc>
          <w:tcPr>
            <w:tcW w:w="3903" w:type="dxa"/>
            <w:vMerge w:val="restart"/>
            <w:tcBorders>
              <w:top w:val="single" w:sz="12" w:space="0" w:color="auto"/>
            </w:tcBorders>
          </w:tcPr>
          <w:p w14:paraId="3776C280" w14:textId="77777777" w:rsidR="00B233AD" w:rsidRPr="00B44B19" w:rsidRDefault="00B233AD" w:rsidP="003040E3">
            <w:pPr>
              <w:rPr>
                <w:rFonts w:eastAsia="Times New Roman" w:cs="Times New Roman"/>
                <w:bCs/>
                <w:iCs/>
                <w:noProof/>
                <w:sz w:val="20"/>
                <w:szCs w:val="20"/>
              </w:rPr>
            </w:pPr>
            <w:r w:rsidRPr="00B44B19">
              <w:rPr>
                <w:rFonts w:eastAsia="Times New Roman" w:cs="Times New Roman"/>
                <w:iCs/>
                <w:noProof/>
                <w:sz w:val="20"/>
                <w:szCs w:val="20"/>
              </w:rPr>
              <w:t xml:space="preserve">01 – </w:t>
            </w:r>
            <w:r w:rsidRPr="00B44B19">
              <w:rPr>
                <w:rFonts w:eastAsia="Calibri" w:cs="Times New Roman"/>
                <w:sz w:val="20"/>
                <w:szCs w:val="20"/>
              </w:rPr>
              <w:t>Dotacija</w:t>
            </w:r>
          </w:p>
        </w:tc>
        <w:tc>
          <w:tcPr>
            <w:tcW w:w="1625" w:type="dxa"/>
            <w:tcBorders>
              <w:top w:val="single" w:sz="12" w:space="0" w:color="auto"/>
              <w:bottom w:val="single" w:sz="4" w:space="0" w:color="auto"/>
            </w:tcBorders>
          </w:tcPr>
          <w:p w14:paraId="621086E8" w14:textId="77777777" w:rsidR="00B233AD" w:rsidRPr="00B44B19" w:rsidRDefault="00B233AD" w:rsidP="00861FB0">
            <w:pPr>
              <w:jc w:val="right"/>
              <w:rPr>
                <w:rFonts w:eastAsia="Calibri" w:cs="Times New Roman"/>
                <w:sz w:val="20"/>
                <w:szCs w:val="20"/>
              </w:rPr>
            </w:pPr>
            <w:r w:rsidRPr="00B44B19">
              <w:rPr>
                <w:rFonts w:eastAsia="Calibri" w:cs="Times New Roman"/>
                <w:sz w:val="20"/>
                <w:szCs w:val="20"/>
              </w:rPr>
              <w:t>34 095 450,00</w:t>
            </w:r>
          </w:p>
        </w:tc>
      </w:tr>
      <w:tr w:rsidR="00B233AD" w:rsidRPr="00B44B19" w14:paraId="2FC7E6CF" w14:textId="77777777" w:rsidTr="000708B3">
        <w:tc>
          <w:tcPr>
            <w:tcW w:w="1116" w:type="dxa"/>
            <w:vMerge/>
            <w:tcBorders>
              <w:bottom w:val="single" w:sz="4" w:space="0" w:color="auto"/>
            </w:tcBorders>
          </w:tcPr>
          <w:p w14:paraId="3DB55983" w14:textId="77777777" w:rsidR="00B233AD" w:rsidRPr="00B44B19" w:rsidRDefault="00B233AD" w:rsidP="003040E3">
            <w:pPr>
              <w:jc w:val="center"/>
              <w:rPr>
                <w:rFonts w:eastAsia="Calibri" w:cs="Times New Roman"/>
                <w:noProof/>
                <w:sz w:val="20"/>
                <w:szCs w:val="20"/>
              </w:rPr>
            </w:pPr>
          </w:p>
        </w:tc>
        <w:tc>
          <w:tcPr>
            <w:tcW w:w="850" w:type="dxa"/>
            <w:vMerge/>
            <w:tcBorders>
              <w:bottom w:val="single" w:sz="4" w:space="0" w:color="auto"/>
            </w:tcBorders>
          </w:tcPr>
          <w:p w14:paraId="7137DBAA" w14:textId="77777777" w:rsidR="00B233AD" w:rsidRPr="00B44B19" w:rsidRDefault="00B233AD" w:rsidP="003040E3">
            <w:pPr>
              <w:jc w:val="center"/>
              <w:rPr>
                <w:rFonts w:eastAsia="Calibri" w:cs="Times New Roman"/>
                <w:noProof/>
                <w:sz w:val="20"/>
                <w:szCs w:val="20"/>
              </w:rPr>
            </w:pPr>
          </w:p>
        </w:tc>
        <w:tc>
          <w:tcPr>
            <w:tcW w:w="1134" w:type="dxa"/>
            <w:tcBorders>
              <w:top w:val="single" w:sz="4" w:space="0" w:color="auto"/>
              <w:bottom w:val="single" w:sz="4" w:space="0" w:color="auto"/>
            </w:tcBorders>
          </w:tcPr>
          <w:p w14:paraId="06F30A3D" w14:textId="77777777" w:rsidR="00B233AD" w:rsidRPr="00B44B19" w:rsidRDefault="00B233AD" w:rsidP="003040E3">
            <w:pPr>
              <w:rPr>
                <w:rFonts w:eastAsia="Calibri" w:cs="Times New Roman"/>
                <w:noProof/>
                <w:sz w:val="20"/>
                <w:szCs w:val="20"/>
              </w:rPr>
            </w:pPr>
            <w:r w:rsidRPr="00B44B19">
              <w:rPr>
                <w:rFonts w:eastAsia="Times New Roman" w:cs="Times New Roman"/>
                <w:iCs/>
                <w:noProof/>
                <w:sz w:val="20"/>
                <w:szCs w:val="20"/>
              </w:rPr>
              <w:t>VVL regionas</w:t>
            </w:r>
          </w:p>
        </w:tc>
        <w:tc>
          <w:tcPr>
            <w:tcW w:w="1134" w:type="dxa"/>
            <w:vMerge/>
            <w:tcBorders>
              <w:bottom w:val="single" w:sz="4" w:space="0" w:color="auto"/>
            </w:tcBorders>
          </w:tcPr>
          <w:p w14:paraId="34DC74D7" w14:textId="77777777" w:rsidR="00B233AD" w:rsidRPr="00B44B19" w:rsidRDefault="00B233AD" w:rsidP="003040E3">
            <w:pPr>
              <w:jc w:val="center"/>
              <w:rPr>
                <w:rFonts w:eastAsia="Calibri" w:cs="Times New Roman"/>
                <w:noProof/>
                <w:sz w:val="20"/>
                <w:szCs w:val="20"/>
              </w:rPr>
            </w:pPr>
          </w:p>
        </w:tc>
        <w:tc>
          <w:tcPr>
            <w:tcW w:w="3903" w:type="dxa"/>
            <w:vMerge/>
            <w:tcBorders>
              <w:bottom w:val="single" w:sz="4" w:space="0" w:color="auto"/>
            </w:tcBorders>
          </w:tcPr>
          <w:p w14:paraId="087B3C2B" w14:textId="77777777" w:rsidR="00B233AD" w:rsidRPr="00B44B19" w:rsidRDefault="00B233AD" w:rsidP="003040E3">
            <w:pPr>
              <w:rPr>
                <w:rFonts w:eastAsia="Times New Roman" w:cs="Times New Roman"/>
                <w:iCs/>
                <w:noProof/>
                <w:sz w:val="20"/>
                <w:szCs w:val="20"/>
              </w:rPr>
            </w:pPr>
          </w:p>
        </w:tc>
        <w:tc>
          <w:tcPr>
            <w:tcW w:w="1625" w:type="dxa"/>
            <w:tcBorders>
              <w:top w:val="single" w:sz="4" w:space="0" w:color="auto"/>
              <w:bottom w:val="single" w:sz="4" w:space="0" w:color="auto"/>
            </w:tcBorders>
          </w:tcPr>
          <w:p w14:paraId="7ABFEBD9" w14:textId="77777777" w:rsidR="00B233AD" w:rsidRPr="00B44B19" w:rsidRDefault="00B233AD" w:rsidP="00861FB0">
            <w:pPr>
              <w:jc w:val="right"/>
              <w:rPr>
                <w:rFonts w:eastAsia="Calibri" w:cs="Times New Roman"/>
                <w:sz w:val="20"/>
                <w:szCs w:val="20"/>
              </w:rPr>
            </w:pPr>
            <w:r w:rsidRPr="00B44B19">
              <w:rPr>
                <w:rFonts w:eastAsia="Calibri" w:cs="Times New Roman"/>
                <w:sz w:val="20"/>
                <w:szCs w:val="20"/>
              </w:rPr>
              <w:t>22 479 125,00</w:t>
            </w:r>
          </w:p>
        </w:tc>
      </w:tr>
    </w:tbl>
    <w:p w14:paraId="2D058AE5" w14:textId="77777777" w:rsidR="00B233AD" w:rsidRPr="00B44B19" w:rsidRDefault="00B233AD" w:rsidP="00B233AD">
      <w:pPr>
        <w:spacing w:after="0" w:line="240" w:lineRule="auto"/>
        <w:rPr>
          <w:rFonts w:eastAsia="Times New Roman" w:cs="Times New Roman"/>
          <w:iCs/>
          <w:noProof/>
          <w:sz w:val="20"/>
          <w:szCs w:val="20"/>
          <w:highlight w:val="yellow"/>
        </w:rPr>
      </w:pPr>
    </w:p>
    <w:tbl>
      <w:tblPr>
        <w:tblStyle w:val="Lentelstinklelis"/>
        <w:tblW w:w="9766" w:type="dxa"/>
        <w:tblLook w:val="04A0" w:firstRow="1" w:lastRow="0" w:firstColumn="1" w:lastColumn="0" w:noHBand="0" w:noVBand="1"/>
      </w:tblPr>
      <w:tblGrid>
        <w:gridCol w:w="1088"/>
        <w:gridCol w:w="847"/>
        <w:gridCol w:w="1169"/>
        <w:gridCol w:w="1134"/>
        <w:gridCol w:w="3969"/>
        <w:gridCol w:w="1559"/>
      </w:tblGrid>
      <w:tr w:rsidR="00B233AD" w:rsidRPr="00B44B19" w14:paraId="622439B2"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cPr>
          <w:p w14:paraId="48AE4F47" w14:textId="77777777" w:rsidR="00B233AD" w:rsidRPr="00B44B19" w:rsidRDefault="00B233AD" w:rsidP="003040E3">
            <w:pPr>
              <w:rPr>
                <w:rFonts w:eastAsia="Times New Roman" w:cs="Times New Roman"/>
                <w:b/>
                <w:iCs/>
                <w:noProof/>
                <w:sz w:val="20"/>
              </w:rPr>
            </w:pPr>
            <w:r w:rsidRPr="00B44B19">
              <w:rPr>
                <w:rFonts w:eastAsia="Calibri" w:cs="Times New Roman"/>
                <w:b/>
                <w:noProof/>
                <w:sz w:val="20"/>
              </w:rPr>
              <w:t>6 lentelė. 3 matmuo. Teritorinis įgyvendinimo mechanizmas ir pagrindinė teritorinė sritisTeritorinės paramos paskirstymo priemonė ir teritorinė kryptis</w:t>
            </w:r>
          </w:p>
        </w:tc>
      </w:tr>
      <w:tr w:rsidR="00B233AD" w:rsidRPr="00B44B19" w14:paraId="4F52E464" w14:textId="77777777" w:rsidTr="00980660">
        <w:tc>
          <w:tcPr>
            <w:tcW w:w="1088" w:type="dxa"/>
            <w:tcBorders>
              <w:top w:val="single" w:sz="12" w:space="0" w:color="auto"/>
              <w:left w:val="single" w:sz="12" w:space="0" w:color="auto"/>
              <w:bottom w:val="single" w:sz="12" w:space="0" w:color="auto"/>
              <w:right w:val="single" w:sz="12" w:space="0" w:color="auto"/>
            </w:tcBorders>
            <w:shd w:val="clear" w:color="auto" w:fill="DBE5F1"/>
            <w:vAlign w:val="center"/>
          </w:tcPr>
          <w:p w14:paraId="22C658E1"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vAlign w:val="center"/>
          </w:tcPr>
          <w:p w14:paraId="2E4C62D7"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Fondas</w:t>
            </w:r>
          </w:p>
        </w:tc>
        <w:tc>
          <w:tcPr>
            <w:tcW w:w="1169" w:type="dxa"/>
            <w:tcBorders>
              <w:top w:val="single" w:sz="12" w:space="0" w:color="auto"/>
              <w:left w:val="single" w:sz="12" w:space="0" w:color="auto"/>
              <w:bottom w:val="single" w:sz="12" w:space="0" w:color="auto"/>
              <w:right w:val="single" w:sz="12" w:space="0" w:color="auto"/>
            </w:tcBorders>
            <w:shd w:val="clear" w:color="auto" w:fill="DBE5F1"/>
            <w:vAlign w:val="center"/>
          </w:tcPr>
          <w:p w14:paraId="4378A74D"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06B6FC9C"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350592A9"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vAlign w:val="center"/>
          </w:tcPr>
          <w:p w14:paraId="31D83AC2"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Suma (EUR)</w:t>
            </w:r>
          </w:p>
        </w:tc>
      </w:tr>
      <w:tr w:rsidR="00B233AD" w:rsidRPr="00B44B19" w14:paraId="268A51A9" w14:textId="77777777" w:rsidTr="00980660">
        <w:tc>
          <w:tcPr>
            <w:tcW w:w="1088" w:type="dxa"/>
            <w:vMerge w:val="restart"/>
            <w:tcBorders>
              <w:top w:val="single" w:sz="12" w:space="0" w:color="auto"/>
            </w:tcBorders>
          </w:tcPr>
          <w:p w14:paraId="3A10A7D8"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10.</w:t>
            </w:r>
          </w:p>
        </w:tc>
        <w:tc>
          <w:tcPr>
            <w:tcW w:w="847" w:type="dxa"/>
            <w:vMerge w:val="restart"/>
            <w:tcBorders>
              <w:top w:val="single" w:sz="12" w:space="0" w:color="auto"/>
            </w:tcBorders>
          </w:tcPr>
          <w:p w14:paraId="2C03E94E"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ERPF</w:t>
            </w:r>
          </w:p>
        </w:tc>
        <w:tc>
          <w:tcPr>
            <w:tcW w:w="1169" w:type="dxa"/>
            <w:tcBorders>
              <w:top w:val="single" w:sz="12" w:space="0" w:color="auto"/>
              <w:bottom w:val="single" w:sz="4" w:space="0" w:color="auto"/>
            </w:tcBorders>
          </w:tcPr>
          <w:p w14:paraId="2D1A1507"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bottom w:val="single" w:sz="4" w:space="0" w:color="auto"/>
            </w:tcBorders>
          </w:tcPr>
          <w:p w14:paraId="5CA57027"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10.1</w:t>
            </w:r>
          </w:p>
        </w:tc>
        <w:tc>
          <w:tcPr>
            <w:tcW w:w="3969" w:type="dxa"/>
            <w:vMerge w:val="restart"/>
            <w:tcBorders>
              <w:top w:val="single" w:sz="12" w:space="0" w:color="auto"/>
              <w:bottom w:val="single" w:sz="4" w:space="0" w:color="auto"/>
            </w:tcBorders>
          </w:tcPr>
          <w:p w14:paraId="51CC745D"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33 – Nesiorientuojant į teritoriškumą</w:t>
            </w:r>
          </w:p>
        </w:tc>
        <w:tc>
          <w:tcPr>
            <w:tcW w:w="1559" w:type="dxa"/>
            <w:tcBorders>
              <w:top w:val="single" w:sz="12" w:space="0" w:color="auto"/>
              <w:bottom w:val="single" w:sz="4" w:space="0" w:color="auto"/>
            </w:tcBorders>
          </w:tcPr>
          <w:p w14:paraId="2B98F8B7" w14:textId="77777777" w:rsidR="00B233AD" w:rsidRPr="00B44B19" w:rsidRDefault="00B233AD" w:rsidP="003040E3">
            <w:pPr>
              <w:jc w:val="right"/>
              <w:rPr>
                <w:rFonts w:eastAsia="Times New Roman" w:cs="Times New Roman"/>
                <w:iCs/>
                <w:noProof/>
                <w:sz w:val="20"/>
              </w:rPr>
            </w:pPr>
            <w:r w:rsidRPr="00B44B19">
              <w:rPr>
                <w:rFonts w:eastAsia="Calibri" w:cs="Times New Roman"/>
                <w:sz w:val="20"/>
                <w:szCs w:val="20"/>
              </w:rPr>
              <w:t>34 095 450,00</w:t>
            </w:r>
          </w:p>
        </w:tc>
      </w:tr>
      <w:tr w:rsidR="00B233AD" w:rsidRPr="00B44B19" w14:paraId="77586054" w14:textId="77777777" w:rsidTr="00980660">
        <w:tc>
          <w:tcPr>
            <w:tcW w:w="1088" w:type="dxa"/>
            <w:vMerge/>
          </w:tcPr>
          <w:p w14:paraId="236B7752" w14:textId="77777777" w:rsidR="00B233AD" w:rsidRPr="00B44B19" w:rsidRDefault="00B233AD" w:rsidP="003040E3">
            <w:pPr>
              <w:jc w:val="center"/>
              <w:rPr>
                <w:rFonts w:eastAsia="Times New Roman" w:cs="Times New Roman"/>
                <w:iCs/>
                <w:noProof/>
                <w:sz w:val="20"/>
              </w:rPr>
            </w:pPr>
          </w:p>
        </w:tc>
        <w:tc>
          <w:tcPr>
            <w:tcW w:w="847" w:type="dxa"/>
            <w:vMerge/>
          </w:tcPr>
          <w:p w14:paraId="6CCD3DBB" w14:textId="77777777" w:rsidR="00B233AD" w:rsidRPr="00B44B19" w:rsidRDefault="00B233AD" w:rsidP="003040E3">
            <w:pPr>
              <w:jc w:val="center"/>
              <w:rPr>
                <w:rFonts w:eastAsia="Times New Roman" w:cs="Times New Roman"/>
                <w:iCs/>
                <w:noProof/>
                <w:sz w:val="20"/>
              </w:rPr>
            </w:pPr>
          </w:p>
        </w:tc>
        <w:tc>
          <w:tcPr>
            <w:tcW w:w="1169" w:type="dxa"/>
            <w:tcBorders>
              <w:top w:val="single" w:sz="4" w:space="0" w:color="auto"/>
              <w:bottom w:val="single" w:sz="4" w:space="0" w:color="auto"/>
            </w:tcBorders>
          </w:tcPr>
          <w:p w14:paraId="18C630F0"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34" w:type="dxa"/>
            <w:vMerge/>
            <w:tcBorders>
              <w:top w:val="single" w:sz="4" w:space="0" w:color="auto"/>
            </w:tcBorders>
          </w:tcPr>
          <w:p w14:paraId="0650205D" w14:textId="77777777" w:rsidR="00B233AD" w:rsidRPr="00B44B19" w:rsidRDefault="00B233AD" w:rsidP="003040E3">
            <w:pPr>
              <w:jc w:val="center"/>
              <w:rPr>
                <w:rFonts w:eastAsia="Times New Roman" w:cs="Times New Roman"/>
                <w:iCs/>
                <w:noProof/>
                <w:sz w:val="20"/>
              </w:rPr>
            </w:pPr>
          </w:p>
        </w:tc>
        <w:tc>
          <w:tcPr>
            <w:tcW w:w="3969" w:type="dxa"/>
            <w:vMerge/>
            <w:tcBorders>
              <w:top w:val="single" w:sz="4" w:space="0" w:color="auto"/>
              <w:bottom w:val="single" w:sz="4" w:space="0" w:color="auto"/>
            </w:tcBorders>
          </w:tcPr>
          <w:p w14:paraId="4AF6339A" w14:textId="77777777" w:rsidR="00B233AD" w:rsidRPr="00B44B19" w:rsidRDefault="00B233AD" w:rsidP="003040E3">
            <w:pPr>
              <w:jc w:val="center"/>
              <w:rPr>
                <w:rFonts w:eastAsia="Times New Roman" w:cs="Times New Roman"/>
                <w:iCs/>
                <w:noProof/>
                <w:sz w:val="20"/>
              </w:rPr>
            </w:pPr>
          </w:p>
        </w:tc>
        <w:tc>
          <w:tcPr>
            <w:tcW w:w="1559" w:type="dxa"/>
            <w:tcBorders>
              <w:top w:val="single" w:sz="4" w:space="0" w:color="auto"/>
              <w:bottom w:val="single" w:sz="4" w:space="0" w:color="auto"/>
            </w:tcBorders>
          </w:tcPr>
          <w:p w14:paraId="62266E0A" w14:textId="77777777" w:rsidR="00B233AD" w:rsidRPr="00B44B19" w:rsidRDefault="00B233AD" w:rsidP="003040E3">
            <w:pPr>
              <w:jc w:val="right"/>
              <w:rPr>
                <w:rFonts w:eastAsia="Calibri" w:cs="Times New Roman"/>
                <w:bCs/>
                <w:color w:val="000000"/>
                <w:sz w:val="20"/>
                <w:szCs w:val="20"/>
              </w:rPr>
            </w:pPr>
            <w:r w:rsidRPr="00B44B19">
              <w:rPr>
                <w:rFonts w:eastAsia="Calibri" w:cs="Times New Roman"/>
                <w:sz w:val="20"/>
                <w:szCs w:val="20"/>
              </w:rPr>
              <w:t>22 479 125,00</w:t>
            </w:r>
          </w:p>
        </w:tc>
      </w:tr>
    </w:tbl>
    <w:p w14:paraId="14746989" w14:textId="77777777" w:rsidR="00B233AD" w:rsidRPr="00B44B19" w:rsidRDefault="00B233AD" w:rsidP="00B233AD">
      <w:pPr>
        <w:spacing w:after="0" w:line="240" w:lineRule="auto"/>
        <w:rPr>
          <w:rFonts w:eastAsia="Calibri" w:cs="Times New Roman"/>
          <w:bCs/>
          <w:sz w:val="20"/>
          <w:szCs w:val="20"/>
          <w:highlight w:val="yellow"/>
        </w:rPr>
      </w:pPr>
    </w:p>
    <w:tbl>
      <w:tblPr>
        <w:tblStyle w:val="Lentelstinklelis"/>
        <w:tblW w:w="9747" w:type="dxa"/>
        <w:tblLook w:val="04A0" w:firstRow="1" w:lastRow="0" w:firstColumn="1" w:lastColumn="0" w:noHBand="0" w:noVBand="1"/>
      </w:tblPr>
      <w:tblGrid>
        <w:gridCol w:w="1101"/>
        <w:gridCol w:w="850"/>
        <w:gridCol w:w="1153"/>
        <w:gridCol w:w="1134"/>
        <w:gridCol w:w="3969"/>
        <w:gridCol w:w="1540"/>
      </w:tblGrid>
      <w:tr w:rsidR="00B233AD" w:rsidRPr="00B44B19" w14:paraId="3BCDAE75"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cPr>
          <w:p w14:paraId="5101595A" w14:textId="77777777" w:rsidR="00B233AD" w:rsidRPr="00B44B19" w:rsidRDefault="00B233AD" w:rsidP="003040E3">
            <w:pPr>
              <w:rPr>
                <w:rFonts w:eastAsia="Times New Roman" w:cs="Times New Roman"/>
                <w:b/>
                <w:iCs/>
                <w:noProof/>
                <w:sz w:val="20"/>
                <w:szCs w:val="20"/>
              </w:rPr>
            </w:pPr>
            <w:r w:rsidRPr="00B44B19">
              <w:rPr>
                <w:rFonts w:eastAsia="Calibri" w:cs="Times New Roman"/>
                <w:b/>
                <w:noProof/>
                <w:sz w:val="20"/>
                <w:szCs w:val="20"/>
              </w:rPr>
              <w:t xml:space="preserve">7 lentelė. 7 matmuo. </w:t>
            </w:r>
            <w:r w:rsidRPr="00B44B19">
              <w:rPr>
                <w:rFonts w:eastAsia="Calibri" w:cs="Times New Roman"/>
                <w:b/>
                <w:sz w:val="20"/>
                <w:szCs w:val="20"/>
              </w:rPr>
              <w:t>ESF+, ERPF, SaF ir TPF lyčių lygybės matmuo</w:t>
            </w:r>
          </w:p>
        </w:tc>
      </w:tr>
      <w:tr w:rsidR="00B233AD" w:rsidRPr="00B44B19" w14:paraId="3B2EB26D" w14:textId="77777777" w:rsidTr="00980660">
        <w:tc>
          <w:tcPr>
            <w:tcW w:w="1101" w:type="dxa"/>
            <w:tcBorders>
              <w:top w:val="single" w:sz="12" w:space="0" w:color="auto"/>
              <w:left w:val="single" w:sz="12" w:space="0" w:color="auto"/>
              <w:bottom w:val="single" w:sz="12" w:space="0" w:color="auto"/>
              <w:right w:val="single" w:sz="12" w:space="0" w:color="auto"/>
            </w:tcBorders>
            <w:shd w:val="clear" w:color="auto" w:fill="DBE5F1"/>
            <w:vAlign w:val="center"/>
          </w:tcPr>
          <w:p w14:paraId="5CAA9365"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vAlign w:val="center"/>
          </w:tcPr>
          <w:p w14:paraId="16E5822E"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Fondas</w:t>
            </w:r>
          </w:p>
        </w:tc>
        <w:tc>
          <w:tcPr>
            <w:tcW w:w="1153" w:type="dxa"/>
            <w:tcBorders>
              <w:top w:val="single" w:sz="12" w:space="0" w:color="auto"/>
              <w:left w:val="single" w:sz="12" w:space="0" w:color="auto"/>
              <w:bottom w:val="single" w:sz="12" w:space="0" w:color="auto"/>
              <w:right w:val="single" w:sz="12" w:space="0" w:color="auto"/>
            </w:tcBorders>
            <w:shd w:val="clear" w:color="auto" w:fill="DBE5F1"/>
            <w:vAlign w:val="center"/>
          </w:tcPr>
          <w:p w14:paraId="7DBFD52E"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vAlign w:val="center"/>
          </w:tcPr>
          <w:p w14:paraId="436247F0"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vAlign w:val="center"/>
          </w:tcPr>
          <w:p w14:paraId="2C6E9057"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Kodas</w:t>
            </w:r>
          </w:p>
        </w:tc>
        <w:tc>
          <w:tcPr>
            <w:tcW w:w="1540" w:type="dxa"/>
            <w:tcBorders>
              <w:top w:val="single" w:sz="12" w:space="0" w:color="auto"/>
              <w:left w:val="single" w:sz="12" w:space="0" w:color="auto"/>
              <w:bottom w:val="single" w:sz="12" w:space="0" w:color="auto"/>
              <w:right w:val="single" w:sz="12" w:space="0" w:color="auto"/>
            </w:tcBorders>
            <w:shd w:val="clear" w:color="auto" w:fill="DBE5F1"/>
            <w:vAlign w:val="center"/>
          </w:tcPr>
          <w:p w14:paraId="28A41E64" w14:textId="77777777" w:rsidR="00B233AD" w:rsidRPr="00B44B19" w:rsidRDefault="00B233AD" w:rsidP="003040E3">
            <w:pPr>
              <w:jc w:val="center"/>
              <w:rPr>
                <w:rFonts w:eastAsia="Times New Roman" w:cs="Times New Roman"/>
                <w:b/>
                <w:iCs/>
                <w:noProof/>
                <w:sz w:val="20"/>
              </w:rPr>
            </w:pPr>
            <w:r w:rsidRPr="00B44B19">
              <w:rPr>
                <w:rFonts w:eastAsia="Calibri" w:cs="Times New Roman"/>
                <w:b/>
                <w:noProof/>
                <w:sz w:val="20"/>
              </w:rPr>
              <w:t>Suma (EUR)</w:t>
            </w:r>
          </w:p>
        </w:tc>
      </w:tr>
      <w:tr w:rsidR="00B233AD" w:rsidRPr="00B44B19" w14:paraId="59460207" w14:textId="77777777" w:rsidTr="00980660">
        <w:tc>
          <w:tcPr>
            <w:tcW w:w="1101" w:type="dxa"/>
            <w:vMerge w:val="restart"/>
            <w:tcBorders>
              <w:top w:val="single" w:sz="12" w:space="0" w:color="auto"/>
            </w:tcBorders>
          </w:tcPr>
          <w:p w14:paraId="097FE01C"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lastRenderedPageBreak/>
              <w:t>10.</w:t>
            </w:r>
          </w:p>
        </w:tc>
        <w:tc>
          <w:tcPr>
            <w:tcW w:w="850" w:type="dxa"/>
            <w:vMerge w:val="restart"/>
            <w:tcBorders>
              <w:top w:val="single" w:sz="12" w:space="0" w:color="auto"/>
            </w:tcBorders>
          </w:tcPr>
          <w:p w14:paraId="09C543DA"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ERPF</w:t>
            </w:r>
          </w:p>
        </w:tc>
        <w:tc>
          <w:tcPr>
            <w:tcW w:w="1153" w:type="dxa"/>
            <w:tcBorders>
              <w:top w:val="single" w:sz="12" w:space="0" w:color="auto"/>
              <w:bottom w:val="single" w:sz="4" w:space="0" w:color="auto"/>
            </w:tcBorders>
          </w:tcPr>
          <w:p w14:paraId="6FC8C614"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Sostinės regionas</w:t>
            </w:r>
          </w:p>
        </w:tc>
        <w:tc>
          <w:tcPr>
            <w:tcW w:w="1134" w:type="dxa"/>
            <w:vMerge w:val="restart"/>
            <w:tcBorders>
              <w:top w:val="single" w:sz="12" w:space="0" w:color="auto"/>
            </w:tcBorders>
          </w:tcPr>
          <w:p w14:paraId="0463DCD6" w14:textId="77777777" w:rsidR="00B233AD" w:rsidRPr="00B44B19" w:rsidRDefault="00B233AD" w:rsidP="003040E3">
            <w:pPr>
              <w:jc w:val="center"/>
              <w:rPr>
                <w:rFonts w:eastAsia="Times New Roman" w:cs="Times New Roman"/>
                <w:iCs/>
                <w:noProof/>
                <w:sz w:val="20"/>
              </w:rPr>
            </w:pPr>
            <w:r w:rsidRPr="00B44B19">
              <w:rPr>
                <w:rFonts w:eastAsia="Times New Roman" w:cs="Times New Roman"/>
                <w:iCs/>
                <w:noProof/>
                <w:sz w:val="20"/>
              </w:rPr>
              <w:t>10.1</w:t>
            </w:r>
          </w:p>
        </w:tc>
        <w:tc>
          <w:tcPr>
            <w:tcW w:w="3969" w:type="dxa"/>
            <w:vMerge w:val="restart"/>
            <w:tcBorders>
              <w:top w:val="single" w:sz="12" w:space="0" w:color="auto"/>
            </w:tcBorders>
          </w:tcPr>
          <w:p w14:paraId="061BC30E"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03 – Neutralumas lyties požiūriu</w:t>
            </w:r>
          </w:p>
          <w:p w14:paraId="7216A43C"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11 – Prisidėti prie įgūdžių ir darbo vietų kūrimo skaitmeninių technologijų ir giliųjų technologijų inovacijų, švarių ir efektyviai išteklius naudojančių technologijų ir biotechnologijų srityse</w:t>
            </w:r>
          </w:p>
        </w:tc>
        <w:tc>
          <w:tcPr>
            <w:tcW w:w="1540" w:type="dxa"/>
            <w:tcBorders>
              <w:top w:val="single" w:sz="12" w:space="0" w:color="auto"/>
              <w:bottom w:val="single" w:sz="4" w:space="0" w:color="auto"/>
            </w:tcBorders>
          </w:tcPr>
          <w:p w14:paraId="69A77BD1" w14:textId="77777777" w:rsidR="00B233AD" w:rsidRPr="00B44B19" w:rsidRDefault="00B233AD" w:rsidP="003040E3">
            <w:pPr>
              <w:jc w:val="right"/>
              <w:rPr>
                <w:rFonts w:eastAsia="Calibri" w:cs="Times New Roman"/>
                <w:sz w:val="20"/>
              </w:rPr>
            </w:pPr>
            <w:r w:rsidRPr="00B44B19">
              <w:rPr>
                <w:rFonts w:eastAsia="Calibri" w:cs="Times New Roman"/>
                <w:sz w:val="20"/>
                <w:szCs w:val="20"/>
              </w:rPr>
              <w:t>34 095 450,00</w:t>
            </w:r>
          </w:p>
        </w:tc>
      </w:tr>
      <w:tr w:rsidR="00B233AD" w:rsidRPr="00B44B19" w14:paraId="2BE46690" w14:textId="77777777" w:rsidTr="00980660">
        <w:tc>
          <w:tcPr>
            <w:tcW w:w="1101" w:type="dxa"/>
            <w:vMerge/>
          </w:tcPr>
          <w:p w14:paraId="6DC89F1B" w14:textId="77777777" w:rsidR="00B233AD" w:rsidRPr="00B44B19" w:rsidRDefault="00B233AD" w:rsidP="003040E3">
            <w:pPr>
              <w:jc w:val="center"/>
              <w:rPr>
                <w:rFonts w:eastAsia="Times New Roman" w:cs="Times New Roman"/>
                <w:iCs/>
                <w:noProof/>
                <w:sz w:val="20"/>
              </w:rPr>
            </w:pPr>
          </w:p>
        </w:tc>
        <w:tc>
          <w:tcPr>
            <w:tcW w:w="850" w:type="dxa"/>
            <w:vMerge/>
          </w:tcPr>
          <w:p w14:paraId="448CC379" w14:textId="77777777" w:rsidR="00B233AD" w:rsidRPr="00B44B19" w:rsidRDefault="00B233AD" w:rsidP="003040E3">
            <w:pPr>
              <w:jc w:val="center"/>
              <w:rPr>
                <w:rFonts w:eastAsia="Times New Roman" w:cs="Times New Roman"/>
                <w:iCs/>
                <w:noProof/>
                <w:sz w:val="20"/>
              </w:rPr>
            </w:pPr>
          </w:p>
        </w:tc>
        <w:tc>
          <w:tcPr>
            <w:tcW w:w="1153" w:type="dxa"/>
            <w:tcBorders>
              <w:top w:val="single" w:sz="4" w:space="0" w:color="auto"/>
              <w:bottom w:val="single" w:sz="4" w:space="0" w:color="auto"/>
            </w:tcBorders>
          </w:tcPr>
          <w:p w14:paraId="6733CBC0" w14:textId="77777777" w:rsidR="00B233AD" w:rsidRPr="00B44B19" w:rsidRDefault="00B233AD" w:rsidP="003040E3">
            <w:pPr>
              <w:rPr>
                <w:rFonts w:eastAsia="Times New Roman" w:cs="Times New Roman"/>
                <w:iCs/>
                <w:noProof/>
                <w:sz w:val="20"/>
              </w:rPr>
            </w:pPr>
            <w:r w:rsidRPr="00B44B19">
              <w:rPr>
                <w:rFonts w:eastAsia="Times New Roman" w:cs="Times New Roman"/>
                <w:iCs/>
                <w:noProof/>
                <w:sz w:val="20"/>
              </w:rPr>
              <w:t>VVL regionas</w:t>
            </w:r>
          </w:p>
        </w:tc>
        <w:tc>
          <w:tcPr>
            <w:tcW w:w="1134" w:type="dxa"/>
            <w:vMerge/>
          </w:tcPr>
          <w:p w14:paraId="491C79F0" w14:textId="77777777" w:rsidR="00B233AD" w:rsidRPr="00B44B19" w:rsidRDefault="00B233AD" w:rsidP="003040E3">
            <w:pPr>
              <w:jc w:val="center"/>
              <w:rPr>
                <w:rFonts w:eastAsia="Times New Roman" w:cs="Times New Roman"/>
                <w:iCs/>
                <w:noProof/>
                <w:sz w:val="20"/>
              </w:rPr>
            </w:pPr>
          </w:p>
        </w:tc>
        <w:tc>
          <w:tcPr>
            <w:tcW w:w="3969" w:type="dxa"/>
            <w:vMerge/>
            <w:tcBorders>
              <w:bottom w:val="single" w:sz="4" w:space="0" w:color="auto"/>
            </w:tcBorders>
          </w:tcPr>
          <w:p w14:paraId="647EC952" w14:textId="77777777" w:rsidR="00B233AD" w:rsidRPr="00B44B19" w:rsidRDefault="00B233AD" w:rsidP="003040E3">
            <w:pPr>
              <w:jc w:val="center"/>
              <w:rPr>
                <w:rFonts w:eastAsia="Times New Roman" w:cs="Times New Roman"/>
                <w:iCs/>
                <w:noProof/>
                <w:sz w:val="20"/>
              </w:rPr>
            </w:pPr>
          </w:p>
        </w:tc>
        <w:tc>
          <w:tcPr>
            <w:tcW w:w="1540" w:type="dxa"/>
            <w:tcBorders>
              <w:top w:val="single" w:sz="4" w:space="0" w:color="auto"/>
              <w:bottom w:val="single" w:sz="4" w:space="0" w:color="auto"/>
            </w:tcBorders>
          </w:tcPr>
          <w:p w14:paraId="6EFE4686" w14:textId="77777777" w:rsidR="00B233AD" w:rsidRPr="00B44B19" w:rsidRDefault="00B233AD" w:rsidP="003040E3">
            <w:pPr>
              <w:jc w:val="right"/>
              <w:rPr>
                <w:rFonts w:eastAsia="Calibri" w:cs="Times New Roman"/>
                <w:sz w:val="20"/>
              </w:rPr>
            </w:pPr>
            <w:r w:rsidRPr="00B44B19">
              <w:rPr>
                <w:rFonts w:eastAsia="Calibri" w:cs="Times New Roman"/>
                <w:sz w:val="20"/>
                <w:szCs w:val="20"/>
              </w:rPr>
              <w:t>22 479 125,00</w:t>
            </w:r>
          </w:p>
        </w:tc>
      </w:tr>
    </w:tbl>
    <w:p w14:paraId="5F450111" w14:textId="23C638D7" w:rsidR="0087201A" w:rsidRPr="00B44B19" w:rsidRDefault="0087201A">
      <w:pPr>
        <w:rPr>
          <w:rFonts w:cs="Times New Roman"/>
          <w:sz w:val="28"/>
          <w:szCs w:val="28"/>
        </w:rPr>
      </w:pPr>
      <w:r w:rsidRPr="00B44B19">
        <w:rPr>
          <w:rFonts w:cs="Times New Roman"/>
          <w:sz w:val="28"/>
          <w:szCs w:val="28"/>
        </w:rPr>
        <w:br w:type="page"/>
      </w:r>
    </w:p>
    <w:p w14:paraId="086E2FCF" w14:textId="77777777" w:rsidR="0087201A" w:rsidRPr="00B44B19" w:rsidRDefault="0087201A" w:rsidP="00D456C1">
      <w:pPr>
        <w:pStyle w:val="Antrat1"/>
      </w:pPr>
      <w:bookmarkStart w:id="79" w:name="_Toc223435449"/>
      <w:r w:rsidRPr="00B44B19">
        <w:lastRenderedPageBreak/>
        <w:t>11. specialus prioritetas. GYNYBOS IR SAUGUMO PRAMONĖs stiprinimas</w:t>
      </w:r>
      <w:bookmarkEnd w:id="79"/>
    </w:p>
    <w:p w14:paraId="062CBC9E" w14:textId="77777777" w:rsidR="0087201A" w:rsidRPr="00B44B19" w:rsidRDefault="0087201A" w:rsidP="00D456C1">
      <w:pPr>
        <w:pStyle w:val="Antrat2"/>
      </w:pPr>
      <w:bookmarkStart w:id="80" w:name="_Toc223435450"/>
      <w:r w:rsidRPr="00B44B19">
        <w:t xml:space="preserve">Konkretus uždavinys – </w:t>
      </w:r>
      <w:r w:rsidRPr="00B44B19">
        <w:rPr>
          <w:lang w:val="en-US"/>
        </w:rPr>
        <w:t xml:space="preserve">11.1 </w:t>
      </w:r>
      <w:r w:rsidRPr="00B44B19">
        <w:t>Didinti pramonės pajėgumus, siekiant skatinti gynybos pajėgumų didinimą, pirmenybę teikiant dvejopo naudojimo pajėgumams</w:t>
      </w:r>
      <w:bookmarkEnd w:id="80"/>
    </w:p>
    <w:p w14:paraId="7D4CB783"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Įgyvendinamos veiklos</w:t>
      </w:r>
    </w:p>
    <w:tbl>
      <w:tblPr>
        <w:tblStyle w:val="Lentelstinklelis2"/>
        <w:tblW w:w="9634" w:type="dxa"/>
        <w:tblLook w:val="04A0" w:firstRow="1" w:lastRow="0" w:firstColumn="1" w:lastColumn="0" w:noHBand="0" w:noVBand="1"/>
      </w:tblPr>
      <w:tblGrid>
        <w:gridCol w:w="9634"/>
      </w:tblGrid>
      <w:tr w:rsidR="0087201A" w:rsidRPr="00B44B19" w14:paraId="5E0F8FDC" w14:textId="77777777" w:rsidTr="008E1D84">
        <w:trPr>
          <w:trHeight w:val="283"/>
        </w:trPr>
        <w:tc>
          <w:tcPr>
            <w:tcW w:w="9634" w:type="dxa"/>
          </w:tcPr>
          <w:p w14:paraId="03290CB0"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Pasikeitus Lietuvos ir visos ES geopolitinei padėčiai ir identifikavus, kad gynybos ir saugumo pramonės vystymosi greitis Lietuvoje neatitinka kylančio grėsmės lygio, itin svarbu paspartinti investicijas į gynybos ir saugumo pramonės pajėgumų stiprinimą, skatinant dvejopos paskirties ir gynybos produktų kūrimą bei technologinę plėtrą.</w:t>
            </w:r>
            <w:r w:rsidRPr="00B44B19">
              <w:rPr>
                <w:rFonts w:ascii="Times New Roman" w:eastAsia="Times New Roman" w:hAnsi="Times New Roman" w:cs="Times New Roman"/>
                <w:bCs/>
                <w:lang w:val="en-US"/>
              </w:rPr>
              <w:t xml:space="preserve"> </w:t>
            </w:r>
            <w:r w:rsidRPr="00B44B19">
              <w:rPr>
                <w:rFonts w:ascii="Times New Roman" w:eastAsia="Times New Roman" w:hAnsi="Times New Roman" w:cs="Times New Roman"/>
                <w:bCs/>
              </w:rPr>
              <w:t>Gynybos ir saugumo pramonės sektorius tampa neatsiejama nacionalinio saugumo dalimi, o kartu – ir ekonomikos bei inovacijų skatinimo priemone.</w:t>
            </w:r>
          </w:p>
          <w:p w14:paraId="58D86539" w14:textId="77777777" w:rsidR="0087201A" w:rsidRPr="00B44B19" w:rsidRDefault="0087201A" w:rsidP="002E0230">
            <w:pPr>
              <w:spacing w:before="60" w:after="60"/>
              <w:jc w:val="both"/>
              <w:rPr>
                <w:rFonts w:ascii="Times New Roman" w:eastAsia="Times New Roman" w:hAnsi="Times New Roman" w:cs="Times New Roman"/>
                <w:bCs/>
                <w:lang w:val="en-US"/>
              </w:rPr>
            </w:pPr>
            <w:r w:rsidRPr="00B44B19">
              <w:rPr>
                <w:rFonts w:ascii="Times New Roman" w:eastAsia="Times New Roman" w:hAnsi="Times New Roman" w:cs="Times New Roman"/>
                <w:bCs/>
              </w:rPr>
              <w:t xml:space="preserve">2023 m. Lietuvoje gynybos ir saugumo srityje veikė bent 89 įmonės bei 6 mokslo ir tyrimų institucijos. Nors sektorius rodo augimo tendenciją – 2025 m. balandžio mėn. duomenimis įmonių skaičius padidėjo 11 proc., pasiekdamas apie 100 įmonių – jis tebėra stipriai išskaidytas, kur dominuoja mažos įmonės. </w:t>
            </w:r>
          </w:p>
          <w:p w14:paraId="00B018C6"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Reikšmingiausia MTEP išlaidų dinamika fiksuojama regioniniu lygmeniu. VVL regione MTEP išlaidos išaugo net 160 proc. – nuo 4 mln. Eur 2022 m. iki 10,3 mln. Eur 2024 m. Tai rodo ženklų inovacinės veiklos aktyvėjimą regione. Tuo tarpu Sostinės regione MTEP išlaidos sumažėjo beveik perpus – nuo 9,4 mln. Eur iki 4,8 mln. Eur, t. y. 49 proc. kritimas. Šis neatitikimas tarp regionų rodo, kad vyksta inovacijų perkėlimas iš sostinės į inžineriniu požiūriu stipresnius regionus arba mažėja inovatyvių veiklų apimtis didmiesčiuose.</w:t>
            </w:r>
          </w:p>
          <w:p w14:paraId="7EB31EF8"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Vertinant inovatyvumo lygį pagal įmonių aktyvumą, 2022 m. MTEP išlaidas deklaravo 20 įmonių, arba 24 proc. gynybos sektoriaus įmonių, o 2024 m. – jau tik 18 įmonių (19 proc.). Nors absoliutūs skaičiai nėra drastiškai skirtingi, mažėjanti dalis rodo silpnėjančią sektoriaus inovatyvią bazę ir gali būti signalas apie nepakankamą finansavimo, testavimo ar mokestinių paskatų veiksmingumą.</w:t>
            </w:r>
          </w:p>
          <w:p w14:paraId="38B81565"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Nedarbo lygis Lietuvoje nuo 2022 m. iki 2024 m. nežymiai išaugo (nuo 5,9 proc. iki 7,1 proc.). Panašios augimo tendencijos fiksuojamos ir regionuose (Sostinės regione 2022 m. siekė 4,5 proc., 2024 m. – 5,9 proc., VVL regione 2022 m. siekė 6,6 proc., 2024 m. – 7,7 proc.), tačiau VVL regione nedarbo lygis lyginant su Sostinės regionu, 2024 m. buvo 1,8 proc. didesnis.</w:t>
            </w:r>
          </w:p>
          <w:p w14:paraId="0919881B"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Lietuvoje veikianti inovacijų ir MTEP infrastruktūra yra gana fragmentuota, veikia izoliuotai, neužtikrina lygiateisių inovacijų kūrimo galimybių, o regioninės specializacijos nėra pilnai išnaudojamos. Gynybos pramonės augimą Lietuvoje šiuo metu daugiausia generuoja startuoliai ir mažos įmonės, kurios dažnai neturi pakankamų resursų testavimo laboratorijoms, tyrimų infrastruktūrai ar eksperimentavimui su pavojingais produktais. Dėl šių priežasčių jos priverstos ieškoti testavimo galimybių užsienyje (pvz., Ukrainoje, JAV, Estijoje), susidurdamos su papildoma administracine ir finansine našta. Investicijos į viešos prieigos infrastruktūrą padėtų suvaldyti sektoriaus fragmentaciją, sukurtų pagrindą kokybiškesniam augimui – didesnių, technologinių įmonių stiprėjimui, greitesniam inovacijų komercializavimui ir gilesniam integravimuisi į NATO bei ES inovacijų programas. </w:t>
            </w:r>
          </w:p>
          <w:p w14:paraId="33872111"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 xml:space="preserve">Dar viena problema, su kuria susiduria Lietuvos gynybos ir saugumo pramonės srityje veikiantys ir dvejopos paskirties technologijas vystantys inovatoriai – nėra nuosekliai veikiančio mechanizmo, kuris leistų efektyviai vystyti ir finansuoti technologijų kūrimą nuo ankstyvojo prototipo iki pilnos gamybos. Negalėdami užsitikrinti finansinių resursų, potencialių kontraktų ir įsigijimų, o taip pat, dėl rizikos ir komercinio neapibrėžtumo gynybos ar dvejopos paskirties technologijas kuriantys inovatoriai, nepasiekia brandos stadijos ir kuriamas produktas nėra išvystomas iki bandomosios partijos sukūrimo. Atsižvelgiant į tai, siūloma pasitelkti ES viešųjų pirkimų direktyva 2014/24/ES reglamentuojamą inovacijų partnerystės mechanizmą – viešojo pirkimo modelį, kuris suteikia galimybę vienoje sutartyje apjungti tiek MTEP veiklas, tiek galutinį produkto įsigijimą. Toks modelis ypač svarbus mažosioms ir vidutinėms įmonėms bei startuoliams, kuriantiems tiek Sostinės, tiek Vidurio ir vakarų Lietuvos regionuose, kuriems iki šiol trūko priemonių saugiai pereiti nuo eksperimentinės plėtros prie realaus tiekimo nacionalinei gynybos sistemai. </w:t>
            </w:r>
          </w:p>
          <w:p w14:paraId="620C57EC"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Investicijos į MTEP yra vienas pagrindinių įmonių ir visos šalies konkurencingumo variklių.</w:t>
            </w:r>
            <w:r w:rsidRPr="00B44B19">
              <w:rPr>
                <w:rFonts w:ascii="Times New Roman" w:hAnsi="Times New Roman" w:cs="Times New Roman"/>
                <w:color w:val="3D3D3D"/>
                <w:shd w:val="clear" w:color="auto" w:fill="FFFFFF"/>
              </w:rPr>
              <w:t xml:space="preserve"> Todėl, </w:t>
            </w:r>
            <w:r w:rsidRPr="00B44B19">
              <w:rPr>
                <w:rFonts w:ascii="Times New Roman" w:eastAsia="Times New Roman" w:hAnsi="Times New Roman" w:cs="Times New Roman"/>
                <w:bCs/>
              </w:rPr>
              <w:t xml:space="preserve">siekiant paskatinti gynybos ir saugumo srities įmonių konkurencingumą, būtina didinti investicijas į MTEP, kadangi jos reikšmingai prisideda prie naujų technologijų ir inovacijų atsiradimo bei yra vienas iš pagrindinių ekonomikos vystymąsi ir konkurencingumą skatinančių veiksnių. Investicijos į naujus amunicijos gamybos </w:t>
            </w:r>
            <w:r w:rsidRPr="00B44B19">
              <w:rPr>
                <w:rFonts w:ascii="Times New Roman" w:eastAsia="Times New Roman" w:hAnsi="Times New Roman" w:cs="Times New Roman"/>
                <w:bCs/>
              </w:rPr>
              <w:lastRenderedPageBreak/>
              <w:t>pajėgumus, prisidės prie darbo vietų sukūrimo VVL regione, didins gynybos ir saugumo pramonės pajėgumus bei užtikrins ne tik nacionalinį, bet ir viso regiono saugumą.</w:t>
            </w:r>
          </w:p>
          <w:p w14:paraId="0E95F545"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rPr>
              <w:t>Veiksmų rūšys, siekiant skatinti gynybos pajėgumų didinimą bei stiprinti Lietuvos ir visos ES saugumo pramonę:</w:t>
            </w:r>
          </w:p>
          <w:p w14:paraId="29EF0733"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bCs/>
              </w:rPr>
              <w:t xml:space="preserve">Didinti įmonių pajėgumus investuoti į inovatyvių produktų, skirtų gynybos ir saugumo sektoriui, kūrimą ir vystymą: </w:t>
            </w:r>
            <w:r w:rsidRPr="00B44B19">
              <w:rPr>
                <w:rFonts w:ascii="Times New Roman" w:eastAsia="Times New Roman" w:hAnsi="Times New Roman" w:cs="Times New Roman"/>
                <w:bCs/>
              </w:rPr>
              <w:t>investuojama į įmonių MTEP vykdymo veiklas, tokiu būdu skatinant privačių investicijų į MTEP augimą gynybos ir saugumo sektoriuje. Veikla prisideda prie sisteminio pajėgumų investuoti stiprinimo, įmonėms žengiant nuo idėjos prie testuoto prototipo ir ankstyvosios komercializacijos stadijos. Sėkmingai vystomi prototipai padės įmonėms tapti konkurencingomis tiek vietiniuose, tiek ES bei NATO projektuose, kur svarbu ne tik mokslinis potencialas, bet ir technologinis pasirengimas. Veikla įgyvendinama Sostinės ir VVL regionuose.</w:t>
            </w:r>
          </w:p>
          <w:p w14:paraId="51F3ECAB" w14:textId="77777777" w:rsidR="0087201A" w:rsidRPr="00B44B19" w:rsidRDefault="0087201A" w:rsidP="002E0230">
            <w:pPr>
              <w:spacing w:before="60" w:after="60"/>
              <w:jc w:val="both"/>
              <w:rPr>
                <w:rFonts w:ascii="Times New Roman" w:eastAsia="Times New Roman" w:hAnsi="Times New Roman" w:cs="Times New Roman"/>
                <w:bCs/>
              </w:rPr>
            </w:pPr>
            <w:bookmarkStart w:id="81" w:name="_Hlk202881891"/>
            <w:bookmarkStart w:id="82" w:name="_Hlk202881936"/>
            <w:r w:rsidRPr="00B44B19">
              <w:rPr>
                <w:rFonts w:ascii="Times New Roman" w:eastAsia="Times New Roman" w:hAnsi="Times New Roman" w:cs="Times New Roman"/>
                <w:b/>
                <w:bCs/>
              </w:rPr>
              <w:t>Skatinti Lietuvos inovacijų ekosistemą, išvystant gynybos ir saugumo pramonės įmonėms skirtą viešos prieigos eksperimentavimo, prototipavimo ir bandymų infrastruktūrą</w:t>
            </w:r>
            <w:bookmarkEnd w:id="81"/>
            <w:r w:rsidRPr="00B44B19">
              <w:rPr>
                <w:rFonts w:ascii="Times New Roman" w:eastAsia="Times New Roman" w:hAnsi="Times New Roman" w:cs="Times New Roman"/>
                <w:b/>
                <w:bCs/>
              </w:rPr>
              <w:t xml:space="preserve">. </w:t>
            </w:r>
            <w:bookmarkEnd w:id="82"/>
            <w:r w:rsidRPr="00B44B19">
              <w:rPr>
                <w:rFonts w:ascii="Times New Roman" w:eastAsia="Times New Roman" w:hAnsi="Times New Roman" w:cs="Times New Roman"/>
                <w:bCs/>
              </w:rPr>
              <w:t>Siekiant užtikrinti sklandų ir efektyvų Miltech smėliadėžės darbą</w:t>
            </w:r>
            <w:r w:rsidRPr="00B44B19">
              <w:rPr>
                <w:rFonts w:ascii="Times New Roman" w:eastAsia="Times New Roman" w:hAnsi="Times New Roman" w:cs="Times New Roman"/>
                <w:b/>
                <w:bCs/>
              </w:rPr>
              <w:t xml:space="preserve"> </w:t>
            </w:r>
            <w:r w:rsidRPr="00B44B19">
              <w:rPr>
                <w:rFonts w:ascii="Times New Roman" w:eastAsia="Times New Roman" w:hAnsi="Times New Roman" w:cs="Times New Roman"/>
                <w:bCs/>
              </w:rPr>
              <w:t>bus investuojama į gynybos ir saugumo pramonės įmonei reikalingus viešos prieigos infrastruktūros objektus – eksperimentinės plėtros laboratorijų, testavimo teritorijų, demonstravimo erdvių ir panašių objektų statybą ar (ir) rekonstrukciją ir įrengimą (įskaitant reikalingos teritorijos  pritaikymą).</w:t>
            </w:r>
            <w:r w:rsidRPr="00B44B19">
              <w:rPr>
                <w:rFonts w:ascii="Times New Roman" w:eastAsia="Times New Roman" w:hAnsi="Times New Roman" w:cs="Times New Roman"/>
                <w:color w:val="000000"/>
              </w:rPr>
              <w:t xml:space="preserve"> </w:t>
            </w:r>
            <w:r w:rsidRPr="00B44B19">
              <w:rPr>
                <w:rFonts w:ascii="Times New Roman" w:eastAsia="Times New Roman" w:hAnsi="Times New Roman" w:cs="Times New Roman"/>
                <w:bCs/>
              </w:rPr>
              <w:t>Veikla įgyvendinama VVL regione.</w:t>
            </w:r>
          </w:p>
          <w:p w14:paraId="73471B3E" w14:textId="77777777" w:rsidR="008E1D84" w:rsidRPr="00B44B19" w:rsidRDefault="0087201A" w:rsidP="002E0230">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 xml:space="preserve">Skatinti inovacijų bendradarbiavimo partnerystės veiklas gynybos ir saugumo srityje: </w:t>
            </w:r>
            <w:r w:rsidRPr="00B44B19">
              <w:rPr>
                <w:rFonts w:ascii="Times New Roman" w:eastAsia="Times New Roman" w:hAnsi="Times New Roman" w:cs="Times New Roman"/>
              </w:rPr>
              <w:t>investuojama į bandomųjų partijų (prototipų) testavimą, vertinimą ir įsigijimą (7–8 techninės parengties lygis). Veikla įgyvendinama taikant inovacijų partnerystės modelį, kuris leidžia viešajam pirkėjui kartu su tiekėju vystyti sprendimus etapais – nuo funkcinio reikalavimo iki prototipo išbandymo – su aiškia galimybe pereiti į bandomosios partijos įsigijimą. Veikla įgyvendinama Sostinės ir VVL regionuose.</w:t>
            </w:r>
          </w:p>
          <w:p w14:paraId="4890DCC7" w14:textId="119A9B5E"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 xml:space="preserve">Siekiant skatinti investicijas į naujus amunicijos gamybos pajėgumus, didinti gynybos ir saugumo pramonės pajėgumus bei užtikrinti nacionalinį ir viso regiono saugumą: </w:t>
            </w:r>
            <w:r w:rsidRPr="00B44B19">
              <w:rPr>
                <w:rFonts w:ascii="Times New Roman" w:eastAsia="Times New Roman" w:hAnsi="Times New Roman" w:cs="Times New Roman"/>
              </w:rPr>
              <w:t>bus investuojama į amunicijos gamybos pajėgumams sukurti reikalingos infrastruktūros sukūrimą ir gamybos įrenginių įsigijimą. Planuojama investuoti į valstybės valdomos AB „Giraitės ginkluotės gamykla“ vidutinio kalibro NATO standarto 30-35 mm amunicijos gamybinių pajėgumų sukūrimą Lietuvoje. Veikla įgyvendinama VVL regione.</w:t>
            </w:r>
          </w:p>
          <w:p w14:paraId="7872901D" w14:textId="77777777"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hAnsi="Times New Roman" w:cs="Times New Roman"/>
                <w:color w:val="000000" w:themeColor="text1"/>
              </w:rPr>
              <w:t>Uždavinio veiklos (veiksmų rūšys) įvertintos vadovaujantis EGADP NRŽ gairėmis, todėl laikoma, kad atitinka NRŽ principą.</w:t>
            </w:r>
          </w:p>
        </w:tc>
      </w:tr>
    </w:tbl>
    <w:p w14:paraId="160ED759"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lastRenderedPageBreak/>
        <w:t>Pagrindinės tikslinės grupės</w:t>
      </w:r>
    </w:p>
    <w:tbl>
      <w:tblPr>
        <w:tblStyle w:val="Lentelstinklelis2"/>
        <w:tblW w:w="0" w:type="auto"/>
        <w:tblLook w:val="04A0" w:firstRow="1" w:lastRow="0" w:firstColumn="1" w:lastColumn="0" w:noHBand="0" w:noVBand="1"/>
      </w:tblPr>
      <w:tblGrid>
        <w:gridCol w:w="9628"/>
      </w:tblGrid>
      <w:tr w:rsidR="0087201A" w:rsidRPr="00B44B19" w14:paraId="7F6495DC" w14:textId="77777777" w:rsidTr="003040E3">
        <w:tc>
          <w:tcPr>
            <w:tcW w:w="9854" w:type="dxa"/>
            <w:shd w:val="clear" w:color="auto" w:fill="FFFFFF" w:themeFill="background1"/>
          </w:tcPr>
          <w:p w14:paraId="52681E70" w14:textId="77777777" w:rsidR="0087201A" w:rsidRPr="00B44B19" w:rsidRDefault="0087201A" w:rsidP="002E0230">
            <w:pPr>
              <w:autoSpaceDE w:val="0"/>
              <w:autoSpaceDN w:val="0"/>
              <w:adjustRightInd w:val="0"/>
              <w:spacing w:before="60" w:after="60"/>
              <w:jc w:val="both"/>
              <w:rPr>
                <w:rFonts w:ascii="Times New Roman" w:eastAsia="Times New Roman" w:hAnsi="Times New Roman" w:cs="Times New Roman"/>
                <w:lang w:eastAsia="ja-JP"/>
              </w:rPr>
            </w:pPr>
            <w:r w:rsidRPr="00B44B19">
              <w:rPr>
                <w:rFonts w:ascii="Times New Roman" w:eastAsia="Times New Roman" w:hAnsi="Times New Roman" w:cs="Times New Roman"/>
                <w:lang w:eastAsia="ja-JP"/>
              </w:rPr>
              <w:t xml:space="preserve">Mažos ir vidutinės įmonės bei didelės įmonės, kai bendradarbiauja su MVĮ; mokslo ir studijų institucijos. </w:t>
            </w:r>
            <w:r w:rsidRPr="00B44B19">
              <w:rPr>
                <w:rFonts w:ascii="Times New Roman" w:eastAsia="Times New Roman" w:hAnsi="Times New Roman" w:cs="Times New Roman"/>
                <w:color w:val="000000"/>
              </w:rPr>
              <w:t xml:space="preserve">AB „Giraitės ginkluotės gamykla“, </w:t>
            </w:r>
            <w:r w:rsidRPr="00B44B19">
              <w:rPr>
                <w:rFonts w:ascii="Times New Roman" w:eastAsia="Times New Roman" w:hAnsi="Times New Roman" w:cs="Times New Roman"/>
                <w:lang w:eastAsia="ja-JP"/>
              </w:rPr>
              <w:t xml:space="preserve">Lietuvos kariuomenė, krašto apsaugos institucijos, NATO centralizuotus pirkimus vykdančios institucijos. </w:t>
            </w:r>
          </w:p>
        </w:tc>
      </w:tr>
    </w:tbl>
    <w:p w14:paraId="50D61DB2"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sz w:val="22"/>
          <w:lang w:eastAsia="lt-LT" w:bidi="lt-LT"/>
        </w:rPr>
      </w:pPr>
      <w:r w:rsidRPr="00B44B19">
        <w:rPr>
          <w:rFonts w:cs="Times New Roman"/>
          <w:b/>
          <w:i/>
          <w:noProof/>
          <w:color w:val="1F497D" w:themeColor="text2"/>
          <w:sz w:val="22"/>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7201A" w:rsidRPr="00B44B19" w14:paraId="04222255" w14:textId="77777777" w:rsidTr="003040E3">
        <w:trPr>
          <w:trHeight w:val="1090"/>
        </w:trPr>
        <w:tc>
          <w:tcPr>
            <w:tcW w:w="9854" w:type="dxa"/>
          </w:tcPr>
          <w:p w14:paraId="413E0A69" w14:textId="77777777" w:rsidR="0087201A" w:rsidRPr="00B44B19" w:rsidRDefault="0087201A" w:rsidP="002E0230">
            <w:pPr>
              <w:keepNext/>
              <w:keepLines/>
              <w:spacing w:before="60" w:after="60"/>
              <w:outlineLvl w:val="3"/>
              <w:rPr>
                <w:rFonts w:eastAsia="Times New Roman" w:cs="Times New Roman"/>
                <w:sz w:val="22"/>
                <w:lang w:eastAsia="ja-JP"/>
              </w:rPr>
            </w:pPr>
            <w:r w:rsidRPr="00B44B19">
              <w:rPr>
                <w:rFonts w:eastAsia="Times New Roman" w:cs="Times New Roman"/>
                <w:sz w:val="22"/>
                <w:lang w:eastAsia="ja-JP"/>
              </w:rPr>
              <w:t>Vykdant numatytas veiklas bus siekiama užtikrinti lygybės, įtraukties ir nediskriminavimo principus. Įgyvendinant nediskriminavimo principą, įmonėms kuriant ir vystant naujus produktus arba infrastruktūrą bus siekiama, kad jie atitiktų universalaus dizaino principus. Negalią turintiems žmonėms, taip pat moterims ir vyrams bus sudaromos vienodos galimybės dalyvauti įgyvendinant veiklas.</w:t>
            </w:r>
          </w:p>
        </w:tc>
      </w:tr>
    </w:tbl>
    <w:p w14:paraId="2C8BD598"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87201A" w:rsidRPr="00B44B19" w14:paraId="6222A8EC" w14:textId="77777777" w:rsidTr="003040E3">
        <w:tc>
          <w:tcPr>
            <w:tcW w:w="9854" w:type="dxa"/>
          </w:tcPr>
          <w:p w14:paraId="0B8E0356" w14:textId="77777777" w:rsidR="0087201A" w:rsidRPr="00B44B19" w:rsidRDefault="0087201A" w:rsidP="002E0230">
            <w:pPr>
              <w:spacing w:before="60" w:after="60" w:line="276" w:lineRule="auto"/>
              <w:jc w:val="both"/>
              <w:rPr>
                <w:rFonts w:ascii="Times New Roman" w:hAnsi="Times New Roman" w:cs="Times New Roman"/>
                <w:iCs/>
                <w:spacing w:val="-4"/>
              </w:rPr>
            </w:pPr>
            <w:r w:rsidRPr="00B44B19">
              <w:rPr>
                <w:rFonts w:ascii="Times New Roman" w:hAnsi="Times New Roman" w:cs="Times New Roman"/>
                <w:iCs/>
                <w:spacing w:val="-4"/>
                <w:lang w:bidi="lt-LT"/>
              </w:rPr>
              <w:t>VVL regionas, Sostinės regionas</w:t>
            </w:r>
          </w:p>
        </w:tc>
      </w:tr>
    </w:tbl>
    <w:p w14:paraId="66B745CA"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Tarpregioniniai, tarp sienų ir tarpvalstybiniai veiksmai</w:t>
      </w:r>
    </w:p>
    <w:tbl>
      <w:tblPr>
        <w:tblStyle w:val="Lentelstinklelis2"/>
        <w:tblW w:w="0" w:type="auto"/>
        <w:tblLook w:val="04A0" w:firstRow="1" w:lastRow="0" w:firstColumn="1" w:lastColumn="0" w:noHBand="0" w:noVBand="1"/>
      </w:tblPr>
      <w:tblGrid>
        <w:gridCol w:w="9628"/>
      </w:tblGrid>
      <w:tr w:rsidR="0087201A" w:rsidRPr="00B44B19" w14:paraId="54265337" w14:textId="77777777" w:rsidTr="003040E3">
        <w:tc>
          <w:tcPr>
            <w:tcW w:w="9854" w:type="dxa"/>
          </w:tcPr>
          <w:p w14:paraId="1FFD5158" w14:textId="77777777" w:rsidR="0087201A" w:rsidRPr="00B44B19" w:rsidRDefault="0087201A" w:rsidP="009752E6">
            <w:pPr>
              <w:spacing w:before="60" w:after="60" w:line="276" w:lineRule="auto"/>
              <w:jc w:val="both"/>
              <w:rPr>
                <w:rFonts w:ascii="Times New Roman" w:hAnsi="Times New Roman" w:cs="Times New Roman"/>
              </w:rPr>
            </w:pPr>
            <w:r w:rsidRPr="00B44B19">
              <w:rPr>
                <w:rFonts w:ascii="Times New Roman" w:hAnsi="Times New Roman" w:cs="Times New Roman"/>
              </w:rPr>
              <w:t>Netaikoma</w:t>
            </w:r>
          </w:p>
        </w:tc>
      </w:tr>
    </w:tbl>
    <w:p w14:paraId="5D53524D"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Planuojamas finansinių priemonių naudojimas</w:t>
      </w:r>
    </w:p>
    <w:tbl>
      <w:tblPr>
        <w:tblStyle w:val="Lentelstinklelis2"/>
        <w:tblW w:w="0" w:type="auto"/>
        <w:tblLook w:val="04A0" w:firstRow="1" w:lastRow="0" w:firstColumn="1" w:lastColumn="0" w:noHBand="0" w:noVBand="1"/>
      </w:tblPr>
      <w:tblGrid>
        <w:gridCol w:w="9628"/>
      </w:tblGrid>
      <w:tr w:rsidR="0087201A" w:rsidRPr="00B44B19" w14:paraId="09C37555" w14:textId="77777777" w:rsidTr="003040E3">
        <w:tc>
          <w:tcPr>
            <w:tcW w:w="9854" w:type="dxa"/>
          </w:tcPr>
          <w:p w14:paraId="60892E56" w14:textId="77777777" w:rsidR="0087201A" w:rsidRPr="00B44B19" w:rsidRDefault="0087201A" w:rsidP="009752E6">
            <w:pPr>
              <w:spacing w:before="60" w:after="60" w:line="276" w:lineRule="auto"/>
              <w:jc w:val="both"/>
              <w:rPr>
                <w:rFonts w:ascii="Times New Roman" w:eastAsia="Calibri" w:hAnsi="Times New Roman" w:cs="Times New Roman"/>
                <w:lang w:eastAsia="lt-LT"/>
              </w:rPr>
            </w:pPr>
            <w:r w:rsidRPr="00B44B19">
              <w:rPr>
                <w:rFonts w:ascii="Times New Roman" w:eastAsia="Calibri" w:hAnsi="Times New Roman" w:cs="Times New Roman"/>
                <w:lang w:eastAsia="lt-LT"/>
              </w:rPr>
              <w:t>-</w:t>
            </w:r>
          </w:p>
        </w:tc>
      </w:tr>
    </w:tbl>
    <w:p w14:paraId="2A78FA6C" w14:textId="77777777" w:rsidR="0087201A" w:rsidRPr="00B44B19" w:rsidRDefault="0087201A" w:rsidP="0087201A">
      <w:pPr>
        <w:tabs>
          <w:tab w:val="center" w:pos="4819"/>
          <w:tab w:val="right" w:pos="9638"/>
        </w:tabs>
        <w:spacing w:before="120" w:after="0" w:line="240" w:lineRule="auto"/>
        <w:rPr>
          <w:rFonts w:cs="Times New Roman"/>
          <w:b/>
          <w:i/>
          <w:color w:val="1F497D" w:themeColor="text2"/>
          <w:sz w:val="22"/>
        </w:rPr>
      </w:pPr>
      <w:r w:rsidRPr="00B44B19">
        <w:rPr>
          <w:rFonts w:cs="Times New Roman"/>
          <w:b/>
          <w:i/>
          <w:color w:val="1F497D" w:themeColor="text2"/>
          <w:sz w:val="22"/>
        </w:rPr>
        <w:t>Rodikliai</w:t>
      </w:r>
    </w:p>
    <w:p w14:paraId="7E2BD214" w14:textId="77777777" w:rsidR="0087201A" w:rsidRPr="00B44B19" w:rsidRDefault="0087201A" w:rsidP="0087201A">
      <w:pPr>
        <w:spacing w:before="240" w:after="0" w:line="240" w:lineRule="auto"/>
        <w:jc w:val="both"/>
        <w:rPr>
          <w:rFonts w:cs="Times New Roman"/>
          <w:b/>
          <w:sz w:val="22"/>
        </w:rPr>
      </w:pPr>
      <w:r w:rsidRPr="00B44B19">
        <w:rPr>
          <w:rFonts w:cs="Times New Roman"/>
          <w:b/>
          <w:sz w:val="22"/>
        </w:rPr>
        <w:lastRenderedPageBreak/>
        <w:t>2 lentelė. Produkto rodikliai</w:t>
      </w:r>
    </w:p>
    <w:tbl>
      <w:tblPr>
        <w:tblW w:w="500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850"/>
        <w:gridCol w:w="849"/>
        <w:gridCol w:w="991"/>
        <w:gridCol w:w="1134"/>
        <w:gridCol w:w="2413"/>
        <w:gridCol w:w="787"/>
        <w:gridCol w:w="966"/>
        <w:gridCol w:w="920"/>
      </w:tblGrid>
      <w:tr w:rsidR="0087201A" w:rsidRPr="00B44B19" w14:paraId="00A5DE1E" w14:textId="77777777" w:rsidTr="000A49EE">
        <w:trPr>
          <w:trHeight w:val="944"/>
          <w:tblHeader/>
        </w:trPr>
        <w:tc>
          <w:tcPr>
            <w:tcW w:w="370"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72274917"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Prioritetas</w:t>
            </w:r>
          </w:p>
        </w:tc>
        <w:tc>
          <w:tcPr>
            <w:tcW w:w="441"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682BF30F"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41"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79188274"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Fondas</w:t>
            </w:r>
          </w:p>
        </w:tc>
        <w:tc>
          <w:tcPr>
            <w:tcW w:w="515"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3C518D95"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589"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FB16745"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1253"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73D3893F"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Rodiklis</w:t>
            </w:r>
          </w:p>
        </w:tc>
        <w:tc>
          <w:tcPr>
            <w:tcW w:w="409"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5452528"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2"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8AF3F55"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78"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61D6484"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Siektina reikšmė (2029 m.)</w:t>
            </w:r>
          </w:p>
        </w:tc>
      </w:tr>
      <w:tr w:rsidR="0087201A" w:rsidRPr="00B44B19" w14:paraId="45A8A13D" w14:textId="77777777" w:rsidTr="000A49EE">
        <w:trPr>
          <w:trHeight w:val="566"/>
        </w:trPr>
        <w:tc>
          <w:tcPr>
            <w:tcW w:w="370" w:type="pct"/>
            <w:vMerge w:val="restart"/>
            <w:tcBorders>
              <w:top w:val="single" w:sz="4" w:space="0" w:color="auto"/>
            </w:tcBorders>
            <w:shd w:val="clear" w:color="auto" w:fill="FFFFFF" w:themeFill="background1"/>
          </w:tcPr>
          <w:p w14:paraId="7646E748"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 xml:space="preserve">11. </w:t>
            </w:r>
          </w:p>
        </w:tc>
        <w:tc>
          <w:tcPr>
            <w:tcW w:w="441" w:type="pct"/>
            <w:vMerge w:val="restart"/>
            <w:tcBorders>
              <w:top w:val="single" w:sz="4" w:space="0" w:color="auto"/>
            </w:tcBorders>
            <w:shd w:val="clear" w:color="auto" w:fill="FFFFFF" w:themeFill="background1"/>
          </w:tcPr>
          <w:p w14:paraId="1923B2D1" w14:textId="77777777" w:rsidR="0087201A" w:rsidRPr="00B44B19" w:rsidRDefault="0087201A" w:rsidP="0087201A">
            <w:pPr>
              <w:spacing w:after="0" w:line="240" w:lineRule="auto"/>
              <w:jc w:val="both"/>
              <w:rPr>
                <w:rFonts w:cs="Times New Roman"/>
                <w:noProof/>
                <w:sz w:val="16"/>
                <w:szCs w:val="16"/>
                <w:lang w:val="en-US"/>
              </w:rPr>
            </w:pPr>
            <w:r w:rsidRPr="00B44B19">
              <w:rPr>
                <w:rFonts w:cs="Times New Roman"/>
                <w:noProof/>
                <w:sz w:val="16"/>
                <w:szCs w:val="16"/>
                <w:lang w:val="en-US"/>
              </w:rPr>
              <w:t xml:space="preserve">11.1 </w:t>
            </w:r>
          </w:p>
        </w:tc>
        <w:tc>
          <w:tcPr>
            <w:tcW w:w="441" w:type="pct"/>
            <w:vMerge w:val="restart"/>
            <w:tcBorders>
              <w:top w:val="single" w:sz="4" w:space="0" w:color="auto"/>
            </w:tcBorders>
            <w:shd w:val="clear" w:color="auto" w:fill="FFFFFF" w:themeFill="background1"/>
          </w:tcPr>
          <w:p w14:paraId="098FAC1C"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ERPF</w:t>
            </w:r>
          </w:p>
        </w:tc>
        <w:tc>
          <w:tcPr>
            <w:tcW w:w="515" w:type="pct"/>
            <w:tcBorders>
              <w:top w:val="single" w:sz="4" w:space="0" w:color="auto"/>
              <w:bottom w:val="single" w:sz="4" w:space="0" w:color="auto"/>
            </w:tcBorders>
            <w:shd w:val="clear" w:color="auto" w:fill="FFFFFF" w:themeFill="background1"/>
          </w:tcPr>
          <w:p w14:paraId="67CA59C7"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VVL regionas</w:t>
            </w:r>
          </w:p>
        </w:tc>
        <w:tc>
          <w:tcPr>
            <w:tcW w:w="589" w:type="pct"/>
            <w:tcBorders>
              <w:top w:val="single" w:sz="4" w:space="0" w:color="auto"/>
              <w:bottom w:val="single" w:sz="4" w:space="0" w:color="auto"/>
            </w:tcBorders>
            <w:shd w:val="clear" w:color="auto" w:fill="FFFFFF" w:themeFill="background1"/>
          </w:tcPr>
          <w:p w14:paraId="58E31C8E"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RCO01</w:t>
            </w:r>
          </w:p>
        </w:tc>
        <w:tc>
          <w:tcPr>
            <w:tcW w:w="1253" w:type="pct"/>
            <w:tcBorders>
              <w:top w:val="single" w:sz="4" w:space="0" w:color="auto"/>
              <w:bottom w:val="single" w:sz="4" w:space="0" w:color="auto"/>
            </w:tcBorders>
            <w:shd w:val="clear" w:color="auto" w:fill="FFFFFF" w:themeFill="background1"/>
          </w:tcPr>
          <w:p w14:paraId="1BCB57B1" w14:textId="77777777" w:rsidR="0087201A" w:rsidRPr="00B44B19" w:rsidRDefault="0087201A" w:rsidP="0087201A">
            <w:pPr>
              <w:tabs>
                <w:tab w:val="left" w:pos="315"/>
                <w:tab w:val="left" w:pos="457"/>
              </w:tabs>
              <w:spacing w:after="0" w:line="240" w:lineRule="auto"/>
              <w:contextualSpacing/>
              <w:jc w:val="both"/>
              <w:rPr>
                <w:rFonts w:cs="Times New Roman"/>
                <w:sz w:val="16"/>
                <w:szCs w:val="16"/>
              </w:rPr>
            </w:pPr>
            <w:r w:rsidRPr="00B44B19">
              <w:rPr>
                <w:rFonts w:cs="Times New Roman"/>
                <w:sz w:val="16"/>
                <w:szCs w:val="16"/>
              </w:rPr>
              <w:t>Paramą gavusios įmonės (iš kurių: labai mažos, mažosios, vidutinės ir didelės)</w:t>
            </w:r>
          </w:p>
        </w:tc>
        <w:tc>
          <w:tcPr>
            <w:tcW w:w="409" w:type="pct"/>
            <w:tcBorders>
              <w:top w:val="single" w:sz="4" w:space="0" w:color="auto"/>
              <w:bottom w:val="single" w:sz="4" w:space="0" w:color="auto"/>
            </w:tcBorders>
            <w:shd w:val="clear" w:color="auto" w:fill="FFFFFF" w:themeFill="background1"/>
          </w:tcPr>
          <w:p w14:paraId="62EFEE8D"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Įmonės</w:t>
            </w:r>
          </w:p>
        </w:tc>
        <w:tc>
          <w:tcPr>
            <w:tcW w:w="502" w:type="pct"/>
            <w:tcBorders>
              <w:top w:val="single" w:sz="4" w:space="0" w:color="auto"/>
              <w:bottom w:val="single" w:sz="4" w:space="0" w:color="auto"/>
            </w:tcBorders>
            <w:shd w:val="clear" w:color="auto" w:fill="FFFFFF" w:themeFill="background1"/>
          </w:tcPr>
          <w:p w14:paraId="299F7B7A"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bottom w:val="single" w:sz="4" w:space="0" w:color="auto"/>
            </w:tcBorders>
            <w:shd w:val="clear" w:color="auto" w:fill="FFFFFF" w:themeFill="background1"/>
          </w:tcPr>
          <w:p w14:paraId="6650D282"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40</w:t>
            </w:r>
          </w:p>
        </w:tc>
      </w:tr>
      <w:tr w:rsidR="0087201A" w:rsidRPr="00B44B19" w14:paraId="1DD21AD6" w14:textId="77777777" w:rsidTr="000A49EE">
        <w:trPr>
          <w:trHeight w:val="566"/>
        </w:trPr>
        <w:tc>
          <w:tcPr>
            <w:tcW w:w="370" w:type="pct"/>
            <w:vMerge/>
            <w:shd w:val="clear" w:color="auto" w:fill="FFFFFF" w:themeFill="background1"/>
          </w:tcPr>
          <w:p w14:paraId="713E7D18" w14:textId="77777777" w:rsidR="0087201A" w:rsidRPr="00B44B19" w:rsidRDefault="0087201A" w:rsidP="0087201A">
            <w:pPr>
              <w:spacing w:after="0" w:line="240" w:lineRule="auto"/>
              <w:jc w:val="both"/>
              <w:rPr>
                <w:rFonts w:cs="Times New Roman"/>
                <w:noProof/>
                <w:sz w:val="16"/>
                <w:szCs w:val="16"/>
              </w:rPr>
            </w:pPr>
          </w:p>
        </w:tc>
        <w:tc>
          <w:tcPr>
            <w:tcW w:w="441" w:type="pct"/>
            <w:vMerge/>
            <w:shd w:val="clear" w:color="auto" w:fill="FFFFFF" w:themeFill="background1"/>
          </w:tcPr>
          <w:p w14:paraId="0551FD0E" w14:textId="77777777" w:rsidR="0087201A" w:rsidRPr="00B44B19" w:rsidRDefault="0087201A" w:rsidP="0087201A">
            <w:pPr>
              <w:spacing w:after="0" w:line="240" w:lineRule="auto"/>
              <w:jc w:val="both"/>
              <w:rPr>
                <w:rFonts w:cs="Times New Roman"/>
                <w:noProof/>
                <w:sz w:val="16"/>
                <w:szCs w:val="16"/>
                <w:lang w:val="en-US"/>
              </w:rPr>
            </w:pPr>
          </w:p>
        </w:tc>
        <w:tc>
          <w:tcPr>
            <w:tcW w:w="441" w:type="pct"/>
            <w:vMerge/>
            <w:shd w:val="clear" w:color="auto" w:fill="FFFFFF" w:themeFill="background1"/>
          </w:tcPr>
          <w:p w14:paraId="3565B4F7" w14:textId="77777777" w:rsidR="0087201A" w:rsidRPr="00B44B19" w:rsidRDefault="0087201A" w:rsidP="0087201A">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19DC2806"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Sostinės regionas</w:t>
            </w:r>
          </w:p>
        </w:tc>
        <w:tc>
          <w:tcPr>
            <w:tcW w:w="589" w:type="pct"/>
            <w:tcBorders>
              <w:top w:val="single" w:sz="4" w:space="0" w:color="auto"/>
              <w:bottom w:val="single" w:sz="4" w:space="0" w:color="auto"/>
            </w:tcBorders>
            <w:shd w:val="clear" w:color="auto" w:fill="FFFFFF" w:themeFill="background1"/>
          </w:tcPr>
          <w:p w14:paraId="2DF81BD0"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RCO01</w:t>
            </w:r>
          </w:p>
        </w:tc>
        <w:tc>
          <w:tcPr>
            <w:tcW w:w="1253" w:type="pct"/>
            <w:tcBorders>
              <w:top w:val="single" w:sz="4" w:space="0" w:color="auto"/>
              <w:bottom w:val="single" w:sz="4" w:space="0" w:color="auto"/>
            </w:tcBorders>
            <w:shd w:val="clear" w:color="auto" w:fill="FFFFFF" w:themeFill="background1"/>
          </w:tcPr>
          <w:p w14:paraId="224FC5CB" w14:textId="77777777" w:rsidR="0087201A" w:rsidRPr="00B44B19" w:rsidRDefault="0087201A" w:rsidP="0087201A">
            <w:pPr>
              <w:tabs>
                <w:tab w:val="left" w:pos="315"/>
                <w:tab w:val="left" w:pos="457"/>
              </w:tabs>
              <w:spacing w:after="0" w:line="240" w:lineRule="auto"/>
              <w:contextualSpacing/>
              <w:jc w:val="both"/>
              <w:rPr>
                <w:rFonts w:cs="Times New Roman"/>
                <w:sz w:val="16"/>
                <w:szCs w:val="16"/>
              </w:rPr>
            </w:pPr>
            <w:r w:rsidRPr="00B44B19">
              <w:rPr>
                <w:rFonts w:cs="Times New Roman"/>
                <w:sz w:val="16"/>
                <w:szCs w:val="16"/>
              </w:rPr>
              <w:t>Paramą gavusios įmonės (iš kurių: labai mažos, mažosios, vidutinės ir didelės)</w:t>
            </w:r>
          </w:p>
        </w:tc>
        <w:tc>
          <w:tcPr>
            <w:tcW w:w="409" w:type="pct"/>
            <w:tcBorders>
              <w:top w:val="single" w:sz="4" w:space="0" w:color="auto"/>
              <w:bottom w:val="single" w:sz="4" w:space="0" w:color="auto"/>
            </w:tcBorders>
            <w:shd w:val="clear" w:color="auto" w:fill="FFFFFF" w:themeFill="background1"/>
          </w:tcPr>
          <w:p w14:paraId="6963BE4E"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Įmonės</w:t>
            </w:r>
          </w:p>
        </w:tc>
        <w:tc>
          <w:tcPr>
            <w:tcW w:w="502" w:type="pct"/>
            <w:tcBorders>
              <w:top w:val="single" w:sz="4" w:space="0" w:color="auto"/>
              <w:bottom w:val="single" w:sz="4" w:space="0" w:color="auto"/>
            </w:tcBorders>
            <w:shd w:val="clear" w:color="auto" w:fill="FFFFFF" w:themeFill="background1"/>
          </w:tcPr>
          <w:p w14:paraId="3288B411"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bottom w:val="single" w:sz="4" w:space="0" w:color="auto"/>
            </w:tcBorders>
            <w:shd w:val="clear" w:color="auto" w:fill="FFFFFF" w:themeFill="background1"/>
          </w:tcPr>
          <w:p w14:paraId="4170C213"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59</w:t>
            </w:r>
          </w:p>
        </w:tc>
      </w:tr>
      <w:tr w:rsidR="0087201A" w:rsidRPr="00B44B19" w14:paraId="622FE64C" w14:textId="77777777" w:rsidTr="000A49EE">
        <w:trPr>
          <w:trHeight w:val="566"/>
        </w:trPr>
        <w:tc>
          <w:tcPr>
            <w:tcW w:w="370" w:type="pct"/>
            <w:vMerge/>
            <w:shd w:val="clear" w:color="auto" w:fill="FFFFFF" w:themeFill="background1"/>
          </w:tcPr>
          <w:p w14:paraId="205C459B" w14:textId="77777777" w:rsidR="0087201A" w:rsidRPr="00B44B19" w:rsidRDefault="0087201A" w:rsidP="0087201A">
            <w:pPr>
              <w:spacing w:after="0" w:line="240" w:lineRule="auto"/>
              <w:jc w:val="both"/>
              <w:rPr>
                <w:rFonts w:cs="Times New Roman"/>
                <w:noProof/>
                <w:sz w:val="16"/>
                <w:szCs w:val="16"/>
              </w:rPr>
            </w:pPr>
          </w:p>
        </w:tc>
        <w:tc>
          <w:tcPr>
            <w:tcW w:w="441" w:type="pct"/>
            <w:vMerge/>
            <w:shd w:val="clear" w:color="auto" w:fill="FFFFFF" w:themeFill="background1"/>
          </w:tcPr>
          <w:p w14:paraId="0EE71830" w14:textId="77777777" w:rsidR="0087201A" w:rsidRPr="00B44B19" w:rsidRDefault="0087201A" w:rsidP="0087201A">
            <w:pPr>
              <w:spacing w:after="0" w:line="240" w:lineRule="auto"/>
              <w:jc w:val="both"/>
              <w:rPr>
                <w:rFonts w:cs="Times New Roman"/>
                <w:noProof/>
                <w:sz w:val="16"/>
                <w:szCs w:val="16"/>
                <w:lang w:val="en-US"/>
              </w:rPr>
            </w:pPr>
          </w:p>
        </w:tc>
        <w:tc>
          <w:tcPr>
            <w:tcW w:w="441" w:type="pct"/>
            <w:vMerge/>
            <w:shd w:val="clear" w:color="auto" w:fill="FFFFFF" w:themeFill="background1"/>
          </w:tcPr>
          <w:p w14:paraId="5297AAD9" w14:textId="77777777" w:rsidR="0087201A" w:rsidRPr="00B44B19" w:rsidRDefault="0087201A" w:rsidP="0087201A">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1F8236A1"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VVL regionas</w:t>
            </w:r>
          </w:p>
        </w:tc>
        <w:tc>
          <w:tcPr>
            <w:tcW w:w="589" w:type="pct"/>
            <w:tcBorders>
              <w:top w:val="single" w:sz="4" w:space="0" w:color="auto"/>
              <w:bottom w:val="single" w:sz="4" w:space="0" w:color="auto"/>
            </w:tcBorders>
            <w:shd w:val="clear" w:color="auto" w:fill="FFFFFF" w:themeFill="background1"/>
          </w:tcPr>
          <w:p w14:paraId="61767243"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RCO02</w:t>
            </w:r>
          </w:p>
        </w:tc>
        <w:tc>
          <w:tcPr>
            <w:tcW w:w="1253" w:type="pct"/>
            <w:tcBorders>
              <w:top w:val="single" w:sz="4" w:space="0" w:color="auto"/>
              <w:bottom w:val="single" w:sz="4" w:space="0" w:color="auto"/>
            </w:tcBorders>
            <w:shd w:val="clear" w:color="auto" w:fill="FFFFFF" w:themeFill="background1"/>
          </w:tcPr>
          <w:p w14:paraId="180A61E3" w14:textId="77777777" w:rsidR="0087201A" w:rsidRPr="00B44B19" w:rsidRDefault="0087201A" w:rsidP="0087201A">
            <w:pPr>
              <w:tabs>
                <w:tab w:val="left" w:pos="315"/>
                <w:tab w:val="left" w:pos="457"/>
              </w:tabs>
              <w:spacing w:after="0" w:line="240" w:lineRule="auto"/>
              <w:contextualSpacing/>
              <w:jc w:val="both"/>
              <w:rPr>
                <w:rFonts w:cs="Times New Roman"/>
                <w:sz w:val="16"/>
                <w:szCs w:val="16"/>
              </w:rPr>
            </w:pPr>
            <w:r w:rsidRPr="00B44B19">
              <w:rPr>
                <w:rFonts w:cs="Times New Roman"/>
                <w:sz w:val="16"/>
                <w:szCs w:val="16"/>
              </w:rPr>
              <w:t>Paramą dotacijomis gavusios įmonės</w:t>
            </w:r>
          </w:p>
        </w:tc>
        <w:tc>
          <w:tcPr>
            <w:tcW w:w="409" w:type="pct"/>
            <w:tcBorders>
              <w:top w:val="single" w:sz="4" w:space="0" w:color="auto"/>
              <w:bottom w:val="single" w:sz="4" w:space="0" w:color="auto"/>
            </w:tcBorders>
            <w:shd w:val="clear" w:color="auto" w:fill="FFFFFF" w:themeFill="background1"/>
          </w:tcPr>
          <w:p w14:paraId="615A0A5E"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Įmonės</w:t>
            </w:r>
          </w:p>
        </w:tc>
        <w:tc>
          <w:tcPr>
            <w:tcW w:w="502" w:type="pct"/>
            <w:tcBorders>
              <w:top w:val="single" w:sz="4" w:space="0" w:color="auto"/>
              <w:bottom w:val="single" w:sz="4" w:space="0" w:color="auto"/>
            </w:tcBorders>
            <w:shd w:val="clear" w:color="auto" w:fill="FFFFFF" w:themeFill="background1"/>
          </w:tcPr>
          <w:p w14:paraId="564CAE3C"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bottom w:val="single" w:sz="4" w:space="0" w:color="auto"/>
            </w:tcBorders>
            <w:shd w:val="clear" w:color="auto" w:fill="FFFFFF" w:themeFill="background1"/>
          </w:tcPr>
          <w:p w14:paraId="56C517D3"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43</w:t>
            </w:r>
          </w:p>
        </w:tc>
      </w:tr>
      <w:tr w:rsidR="0087201A" w:rsidRPr="00B44B19" w14:paraId="1C29E80F" w14:textId="77777777" w:rsidTr="000A49EE">
        <w:trPr>
          <w:trHeight w:val="566"/>
        </w:trPr>
        <w:tc>
          <w:tcPr>
            <w:tcW w:w="370" w:type="pct"/>
            <w:vMerge/>
            <w:shd w:val="clear" w:color="auto" w:fill="FFFFFF" w:themeFill="background1"/>
          </w:tcPr>
          <w:p w14:paraId="62A2D9FC" w14:textId="77777777" w:rsidR="0087201A" w:rsidRPr="00B44B19" w:rsidRDefault="0087201A" w:rsidP="0087201A">
            <w:pPr>
              <w:spacing w:after="0" w:line="240" w:lineRule="auto"/>
              <w:jc w:val="both"/>
              <w:rPr>
                <w:rFonts w:cs="Times New Roman"/>
                <w:noProof/>
                <w:sz w:val="16"/>
                <w:szCs w:val="16"/>
              </w:rPr>
            </w:pPr>
          </w:p>
        </w:tc>
        <w:tc>
          <w:tcPr>
            <w:tcW w:w="441" w:type="pct"/>
            <w:vMerge/>
            <w:shd w:val="clear" w:color="auto" w:fill="FFFFFF" w:themeFill="background1"/>
          </w:tcPr>
          <w:p w14:paraId="1C91735D" w14:textId="77777777" w:rsidR="0087201A" w:rsidRPr="00B44B19" w:rsidRDefault="0087201A" w:rsidP="0087201A">
            <w:pPr>
              <w:spacing w:after="0" w:line="240" w:lineRule="auto"/>
              <w:jc w:val="both"/>
              <w:rPr>
                <w:rFonts w:cs="Times New Roman"/>
                <w:noProof/>
                <w:sz w:val="16"/>
                <w:szCs w:val="16"/>
                <w:lang w:val="en-US"/>
              </w:rPr>
            </w:pPr>
          </w:p>
        </w:tc>
        <w:tc>
          <w:tcPr>
            <w:tcW w:w="441" w:type="pct"/>
            <w:vMerge/>
            <w:shd w:val="clear" w:color="auto" w:fill="FFFFFF" w:themeFill="background1"/>
          </w:tcPr>
          <w:p w14:paraId="13036FF5" w14:textId="77777777" w:rsidR="0087201A" w:rsidRPr="00B44B19" w:rsidRDefault="0087201A" w:rsidP="0087201A">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05EAD430"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Sostinės regionas</w:t>
            </w:r>
          </w:p>
        </w:tc>
        <w:tc>
          <w:tcPr>
            <w:tcW w:w="589" w:type="pct"/>
            <w:tcBorders>
              <w:top w:val="single" w:sz="4" w:space="0" w:color="auto"/>
              <w:bottom w:val="single" w:sz="4" w:space="0" w:color="auto"/>
            </w:tcBorders>
            <w:shd w:val="clear" w:color="auto" w:fill="FFFFFF" w:themeFill="background1"/>
          </w:tcPr>
          <w:p w14:paraId="1CDAE22C"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RCO02</w:t>
            </w:r>
          </w:p>
        </w:tc>
        <w:tc>
          <w:tcPr>
            <w:tcW w:w="1253" w:type="pct"/>
            <w:tcBorders>
              <w:top w:val="single" w:sz="4" w:space="0" w:color="auto"/>
              <w:bottom w:val="single" w:sz="4" w:space="0" w:color="auto"/>
            </w:tcBorders>
            <w:shd w:val="clear" w:color="auto" w:fill="FFFFFF" w:themeFill="background1"/>
          </w:tcPr>
          <w:p w14:paraId="14237652" w14:textId="77777777" w:rsidR="0087201A" w:rsidRPr="00B44B19" w:rsidRDefault="0087201A" w:rsidP="0087201A">
            <w:pPr>
              <w:tabs>
                <w:tab w:val="left" w:pos="315"/>
                <w:tab w:val="left" w:pos="457"/>
              </w:tabs>
              <w:spacing w:after="0" w:line="240" w:lineRule="auto"/>
              <w:contextualSpacing/>
              <w:jc w:val="both"/>
              <w:rPr>
                <w:rFonts w:cs="Times New Roman"/>
                <w:sz w:val="16"/>
                <w:szCs w:val="16"/>
              </w:rPr>
            </w:pPr>
            <w:r w:rsidRPr="00B44B19">
              <w:rPr>
                <w:rFonts w:cs="Times New Roman"/>
                <w:sz w:val="16"/>
                <w:szCs w:val="16"/>
              </w:rPr>
              <w:t>Paramą dotacijomis gavusios įmonės</w:t>
            </w:r>
          </w:p>
        </w:tc>
        <w:tc>
          <w:tcPr>
            <w:tcW w:w="409" w:type="pct"/>
            <w:tcBorders>
              <w:top w:val="single" w:sz="4" w:space="0" w:color="auto"/>
              <w:bottom w:val="single" w:sz="4" w:space="0" w:color="auto"/>
            </w:tcBorders>
            <w:shd w:val="clear" w:color="auto" w:fill="FFFFFF" w:themeFill="background1"/>
          </w:tcPr>
          <w:p w14:paraId="2F7EF471"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Įmonės</w:t>
            </w:r>
          </w:p>
        </w:tc>
        <w:tc>
          <w:tcPr>
            <w:tcW w:w="502" w:type="pct"/>
            <w:tcBorders>
              <w:top w:val="single" w:sz="4" w:space="0" w:color="auto"/>
              <w:bottom w:val="single" w:sz="4" w:space="0" w:color="auto"/>
            </w:tcBorders>
            <w:shd w:val="clear" w:color="auto" w:fill="FFFFFF" w:themeFill="background1"/>
          </w:tcPr>
          <w:p w14:paraId="347465EC"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bottom w:val="single" w:sz="4" w:space="0" w:color="auto"/>
            </w:tcBorders>
            <w:shd w:val="clear" w:color="auto" w:fill="FFFFFF" w:themeFill="background1"/>
          </w:tcPr>
          <w:p w14:paraId="7076E486"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59</w:t>
            </w:r>
          </w:p>
        </w:tc>
      </w:tr>
      <w:tr w:rsidR="0087201A" w:rsidRPr="00B44B19" w14:paraId="5D7E654C" w14:textId="77777777" w:rsidTr="000A49EE">
        <w:trPr>
          <w:trHeight w:val="613"/>
        </w:trPr>
        <w:tc>
          <w:tcPr>
            <w:tcW w:w="370" w:type="pct"/>
            <w:vMerge/>
            <w:shd w:val="clear" w:color="auto" w:fill="FFFFFF" w:themeFill="background1"/>
          </w:tcPr>
          <w:p w14:paraId="0EB85933" w14:textId="77777777" w:rsidR="0087201A" w:rsidRPr="00B44B19" w:rsidRDefault="0087201A" w:rsidP="0087201A">
            <w:pPr>
              <w:spacing w:after="0" w:line="240" w:lineRule="auto"/>
              <w:jc w:val="both"/>
              <w:rPr>
                <w:rFonts w:cs="Times New Roman"/>
                <w:noProof/>
                <w:sz w:val="16"/>
                <w:szCs w:val="16"/>
              </w:rPr>
            </w:pPr>
          </w:p>
        </w:tc>
        <w:tc>
          <w:tcPr>
            <w:tcW w:w="441" w:type="pct"/>
            <w:vMerge/>
            <w:shd w:val="clear" w:color="auto" w:fill="FFFFFF" w:themeFill="background1"/>
          </w:tcPr>
          <w:p w14:paraId="5142B385" w14:textId="77777777" w:rsidR="0087201A" w:rsidRPr="00B44B19" w:rsidRDefault="0087201A" w:rsidP="0087201A">
            <w:pPr>
              <w:spacing w:after="0" w:line="240" w:lineRule="auto"/>
              <w:jc w:val="both"/>
              <w:rPr>
                <w:rFonts w:cs="Times New Roman"/>
                <w:noProof/>
                <w:sz w:val="16"/>
                <w:szCs w:val="16"/>
                <w:lang w:val="en-US"/>
              </w:rPr>
            </w:pPr>
          </w:p>
        </w:tc>
        <w:tc>
          <w:tcPr>
            <w:tcW w:w="441" w:type="pct"/>
            <w:vMerge/>
            <w:shd w:val="clear" w:color="auto" w:fill="FFFFFF" w:themeFill="background1"/>
          </w:tcPr>
          <w:p w14:paraId="06EDE5CA" w14:textId="77777777" w:rsidR="0087201A" w:rsidRPr="00B44B19" w:rsidRDefault="0087201A" w:rsidP="0087201A">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6F951C25"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VVL regionas</w:t>
            </w:r>
          </w:p>
        </w:tc>
        <w:tc>
          <w:tcPr>
            <w:tcW w:w="589" w:type="pct"/>
            <w:tcBorders>
              <w:top w:val="single" w:sz="4" w:space="0" w:color="auto"/>
            </w:tcBorders>
            <w:shd w:val="clear" w:color="auto" w:fill="FFFFFF" w:themeFill="background1"/>
          </w:tcPr>
          <w:p w14:paraId="4665A643"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RCO08</w:t>
            </w:r>
          </w:p>
        </w:tc>
        <w:tc>
          <w:tcPr>
            <w:tcW w:w="1253" w:type="pct"/>
            <w:tcBorders>
              <w:top w:val="single" w:sz="4" w:space="0" w:color="auto"/>
            </w:tcBorders>
            <w:shd w:val="clear" w:color="auto" w:fill="FFFFFF" w:themeFill="background1"/>
          </w:tcPr>
          <w:p w14:paraId="44A824B1" w14:textId="77777777" w:rsidR="0087201A" w:rsidRPr="00B44B19" w:rsidRDefault="0087201A" w:rsidP="0087201A">
            <w:pPr>
              <w:tabs>
                <w:tab w:val="left" w:pos="315"/>
                <w:tab w:val="left" w:pos="457"/>
              </w:tabs>
              <w:spacing w:after="0" w:line="240" w:lineRule="auto"/>
              <w:contextualSpacing/>
              <w:jc w:val="both"/>
              <w:rPr>
                <w:rFonts w:cs="Times New Roman"/>
                <w:sz w:val="16"/>
                <w:szCs w:val="16"/>
              </w:rPr>
            </w:pPr>
            <w:r w:rsidRPr="00B44B19">
              <w:rPr>
                <w:rFonts w:cs="Times New Roman"/>
                <w:sz w:val="16"/>
                <w:szCs w:val="16"/>
              </w:rPr>
              <w:t>Nominalioji mokslinių tyrimų ir inovacijų įrangos vertė</w:t>
            </w:r>
          </w:p>
        </w:tc>
        <w:tc>
          <w:tcPr>
            <w:tcW w:w="409" w:type="pct"/>
            <w:tcBorders>
              <w:top w:val="single" w:sz="4" w:space="0" w:color="auto"/>
            </w:tcBorders>
            <w:shd w:val="clear" w:color="auto" w:fill="FFFFFF" w:themeFill="background1"/>
          </w:tcPr>
          <w:p w14:paraId="019477AA"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Eurai</w:t>
            </w:r>
          </w:p>
        </w:tc>
        <w:tc>
          <w:tcPr>
            <w:tcW w:w="502" w:type="pct"/>
            <w:tcBorders>
              <w:top w:val="single" w:sz="4" w:space="0" w:color="auto"/>
            </w:tcBorders>
            <w:shd w:val="clear" w:color="auto" w:fill="FFFFFF" w:themeFill="background1"/>
          </w:tcPr>
          <w:p w14:paraId="37BF74AC"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tcBorders>
            <w:shd w:val="clear" w:color="auto" w:fill="FFFFFF" w:themeFill="background1"/>
          </w:tcPr>
          <w:p w14:paraId="46EBC200"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3 578 947</w:t>
            </w:r>
          </w:p>
        </w:tc>
      </w:tr>
      <w:tr w:rsidR="0087201A" w:rsidRPr="00B44B19" w14:paraId="78DFB958" w14:textId="77777777" w:rsidTr="000A49EE">
        <w:trPr>
          <w:trHeight w:val="332"/>
        </w:trPr>
        <w:tc>
          <w:tcPr>
            <w:tcW w:w="370" w:type="pct"/>
            <w:vMerge/>
            <w:shd w:val="clear" w:color="auto" w:fill="FFFFFF" w:themeFill="background1"/>
          </w:tcPr>
          <w:p w14:paraId="5500F2A5" w14:textId="77777777" w:rsidR="0087201A" w:rsidRPr="00B44B19" w:rsidRDefault="0087201A" w:rsidP="0087201A">
            <w:pPr>
              <w:spacing w:after="0" w:line="240" w:lineRule="auto"/>
              <w:jc w:val="both"/>
              <w:rPr>
                <w:rFonts w:cs="Times New Roman"/>
                <w:noProof/>
                <w:sz w:val="16"/>
                <w:szCs w:val="16"/>
              </w:rPr>
            </w:pPr>
          </w:p>
        </w:tc>
        <w:tc>
          <w:tcPr>
            <w:tcW w:w="441" w:type="pct"/>
            <w:vMerge/>
            <w:shd w:val="clear" w:color="auto" w:fill="FFFFFF" w:themeFill="background1"/>
          </w:tcPr>
          <w:p w14:paraId="20697C36" w14:textId="77777777" w:rsidR="0087201A" w:rsidRPr="00B44B19" w:rsidRDefault="0087201A" w:rsidP="0087201A">
            <w:pPr>
              <w:spacing w:after="0" w:line="240" w:lineRule="auto"/>
              <w:jc w:val="both"/>
              <w:rPr>
                <w:rFonts w:cs="Times New Roman"/>
                <w:noProof/>
                <w:sz w:val="16"/>
                <w:szCs w:val="16"/>
                <w:lang w:val="en-US"/>
              </w:rPr>
            </w:pPr>
          </w:p>
        </w:tc>
        <w:tc>
          <w:tcPr>
            <w:tcW w:w="441" w:type="pct"/>
            <w:vMerge/>
            <w:shd w:val="clear" w:color="auto" w:fill="FFFFFF" w:themeFill="background1"/>
          </w:tcPr>
          <w:p w14:paraId="09CED60C" w14:textId="77777777" w:rsidR="0087201A" w:rsidRPr="00B44B19" w:rsidRDefault="0087201A" w:rsidP="0087201A">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5EF64733"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VVL regionas</w:t>
            </w:r>
          </w:p>
          <w:p w14:paraId="29165C40" w14:textId="77777777" w:rsidR="0087201A" w:rsidRPr="00B44B19" w:rsidRDefault="0087201A" w:rsidP="0087201A">
            <w:pPr>
              <w:spacing w:after="0" w:line="240" w:lineRule="auto"/>
              <w:jc w:val="both"/>
              <w:rPr>
                <w:rFonts w:cs="Times New Roman"/>
                <w:noProof/>
                <w:sz w:val="16"/>
                <w:szCs w:val="16"/>
              </w:rPr>
            </w:pPr>
          </w:p>
        </w:tc>
        <w:tc>
          <w:tcPr>
            <w:tcW w:w="589" w:type="pct"/>
            <w:tcBorders>
              <w:top w:val="single" w:sz="4" w:space="0" w:color="auto"/>
              <w:bottom w:val="single" w:sz="4" w:space="0" w:color="auto"/>
            </w:tcBorders>
            <w:shd w:val="clear" w:color="auto" w:fill="FFFFFF" w:themeFill="background1"/>
          </w:tcPr>
          <w:p w14:paraId="59DDCC3B" w14:textId="77777777" w:rsidR="0087201A" w:rsidRPr="00B44B19" w:rsidRDefault="0087201A" w:rsidP="0087201A">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RCO128 </w:t>
            </w:r>
          </w:p>
        </w:tc>
        <w:tc>
          <w:tcPr>
            <w:tcW w:w="1253" w:type="pct"/>
            <w:tcBorders>
              <w:top w:val="single" w:sz="4" w:space="0" w:color="auto"/>
              <w:bottom w:val="single" w:sz="4" w:space="0" w:color="auto"/>
            </w:tcBorders>
            <w:shd w:val="clear" w:color="auto" w:fill="FFFFFF" w:themeFill="background1"/>
          </w:tcPr>
          <w:p w14:paraId="2CF0CA21" w14:textId="77777777" w:rsidR="0087201A" w:rsidRPr="00B44B19" w:rsidRDefault="0087201A" w:rsidP="0087201A">
            <w:pPr>
              <w:tabs>
                <w:tab w:val="left" w:pos="315"/>
                <w:tab w:val="left" w:pos="457"/>
              </w:tabs>
              <w:spacing w:after="0" w:line="240" w:lineRule="auto"/>
              <w:contextualSpacing/>
              <w:jc w:val="both"/>
              <w:rPr>
                <w:rFonts w:eastAsia="Calibri" w:cs="Times New Roman"/>
                <w:sz w:val="16"/>
                <w:szCs w:val="16"/>
                <w:lang w:eastAsia="en-GB" w:bidi="lt-LT"/>
              </w:rPr>
            </w:pPr>
            <w:r w:rsidRPr="00B44B19">
              <w:rPr>
                <w:rFonts w:eastAsia="Calibri" w:cs="Times New Roman"/>
                <w:sz w:val="16"/>
                <w:szCs w:val="16"/>
                <w:lang w:eastAsia="en-GB" w:bidi="lt-LT"/>
              </w:rPr>
              <w:t>Paramą gavusios įmonės, visų pirma susijusios su pastangomis skatinti dvejopo naudojimo ir gynybos pajėgumų didinimą („RearmEU“) – įmonės</w:t>
            </w:r>
          </w:p>
        </w:tc>
        <w:tc>
          <w:tcPr>
            <w:tcW w:w="409" w:type="pct"/>
            <w:tcBorders>
              <w:top w:val="single" w:sz="4" w:space="0" w:color="auto"/>
              <w:bottom w:val="single" w:sz="4" w:space="0" w:color="auto"/>
            </w:tcBorders>
            <w:shd w:val="clear" w:color="auto" w:fill="FFFFFF" w:themeFill="background1"/>
          </w:tcPr>
          <w:p w14:paraId="2C870D89"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Įmonės</w:t>
            </w:r>
          </w:p>
        </w:tc>
        <w:tc>
          <w:tcPr>
            <w:tcW w:w="502" w:type="pct"/>
            <w:tcBorders>
              <w:top w:val="single" w:sz="4" w:space="0" w:color="auto"/>
              <w:bottom w:val="single" w:sz="4" w:space="0" w:color="auto"/>
            </w:tcBorders>
            <w:shd w:val="clear" w:color="auto" w:fill="FFFFFF" w:themeFill="background1"/>
          </w:tcPr>
          <w:p w14:paraId="541F076D"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bottom w:val="single" w:sz="4" w:space="0" w:color="auto"/>
            </w:tcBorders>
            <w:shd w:val="clear" w:color="auto" w:fill="FFFFFF" w:themeFill="background1"/>
          </w:tcPr>
          <w:p w14:paraId="456CC573"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38</w:t>
            </w:r>
          </w:p>
        </w:tc>
      </w:tr>
      <w:tr w:rsidR="0087201A" w:rsidRPr="00B44B19" w14:paraId="59A5077C" w14:textId="77777777" w:rsidTr="000A49EE">
        <w:trPr>
          <w:trHeight w:val="332"/>
        </w:trPr>
        <w:tc>
          <w:tcPr>
            <w:tcW w:w="370" w:type="pct"/>
            <w:vMerge/>
          </w:tcPr>
          <w:p w14:paraId="39D66CBD" w14:textId="77777777" w:rsidR="0087201A" w:rsidRPr="00B44B19" w:rsidRDefault="0087201A" w:rsidP="0087201A">
            <w:pPr>
              <w:spacing w:after="0" w:line="240" w:lineRule="auto"/>
              <w:jc w:val="both"/>
              <w:rPr>
                <w:rFonts w:cs="Times New Roman"/>
                <w:noProof/>
                <w:sz w:val="16"/>
                <w:szCs w:val="16"/>
              </w:rPr>
            </w:pPr>
          </w:p>
        </w:tc>
        <w:tc>
          <w:tcPr>
            <w:tcW w:w="441" w:type="pct"/>
            <w:vMerge/>
          </w:tcPr>
          <w:p w14:paraId="72166D97" w14:textId="77777777" w:rsidR="0087201A" w:rsidRPr="00B44B19" w:rsidRDefault="0087201A" w:rsidP="0087201A">
            <w:pPr>
              <w:spacing w:after="0" w:line="240" w:lineRule="auto"/>
              <w:jc w:val="both"/>
              <w:rPr>
                <w:rFonts w:cs="Times New Roman"/>
                <w:noProof/>
                <w:sz w:val="16"/>
                <w:szCs w:val="16"/>
              </w:rPr>
            </w:pPr>
          </w:p>
        </w:tc>
        <w:tc>
          <w:tcPr>
            <w:tcW w:w="441" w:type="pct"/>
            <w:vMerge/>
          </w:tcPr>
          <w:p w14:paraId="61773F60" w14:textId="77777777" w:rsidR="0087201A" w:rsidRPr="00B44B19" w:rsidRDefault="0087201A" w:rsidP="0087201A">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36C73A17" w14:textId="77777777" w:rsidR="0087201A" w:rsidRPr="00B44B19" w:rsidRDefault="0087201A" w:rsidP="0087201A">
            <w:pPr>
              <w:spacing w:after="0" w:line="240" w:lineRule="auto"/>
              <w:jc w:val="both"/>
              <w:rPr>
                <w:rFonts w:cs="Times New Roman"/>
                <w:noProof/>
                <w:sz w:val="16"/>
                <w:szCs w:val="16"/>
              </w:rPr>
            </w:pPr>
            <w:r w:rsidRPr="00B44B19">
              <w:rPr>
                <w:rFonts w:eastAsia="Times New Roman" w:cs="Times New Roman"/>
                <w:iCs/>
                <w:noProof/>
                <w:sz w:val="16"/>
                <w:szCs w:val="16"/>
              </w:rPr>
              <w:t>Sostinės regionas</w:t>
            </w:r>
          </w:p>
        </w:tc>
        <w:tc>
          <w:tcPr>
            <w:tcW w:w="589" w:type="pct"/>
            <w:tcBorders>
              <w:top w:val="single" w:sz="4" w:space="0" w:color="auto"/>
              <w:bottom w:val="single" w:sz="4" w:space="0" w:color="auto"/>
            </w:tcBorders>
            <w:shd w:val="clear" w:color="auto" w:fill="FFFFFF" w:themeFill="background1"/>
          </w:tcPr>
          <w:p w14:paraId="140C53A2" w14:textId="77777777" w:rsidR="0087201A" w:rsidRPr="00B44B19" w:rsidRDefault="0087201A" w:rsidP="0087201A">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RCO128 </w:t>
            </w:r>
          </w:p>
        </w:tc>
        <w:tc>
          <w:tcPr>
            <w:tcW w:w="1253" w:type="pct"/>
            <w:tcBorders>
              <w:top w:val="single" w:sz="4" w:space="0" w:color="auto"/>
              <w:bottom w:val="single" w:sz="4" w:space="0" w:color="auto"/>
            </w:tcBorders>
            <w:shd w:val="clear" w:color="auto" w:fill="FFFFFF" w:themeFill="background1"/>
          </w:tcPr>
          <w:p w14:paraId="37F12812" w14:textId="77777777" w:rsidR="0087201A" w:rsidRPr="00B44B19" w:rsidRDefault="0087201A" w:rsidP="0087201A">
            <w:pPr>
              <w:autoSpaceDE w:val="0"/>
              <w:autoSpaceDN w:val="0"/>
              <w:adjustRightInd w:val="0"/>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Paramą gavusios įmonės, visų pirma susijusios su pastangomis skatinti dvejopo naudojimo ir gynybos pajėgumų didinimą („RearmEU“) – įmonės</w:t>
            </w:r>
          </w:p>
        </w:tc>
        <w:tc>
          <w:tcPr>
            <w:tcW w:w="409" w:type="pct"/>
            <w:tcBorders>
              <w:top w:val="single" w:sz="4" w:space="0" w:color="auto"/>
              <w:bottom w:val="single" w:sz="4" w:space="0" w:color="auto"/>
            </w:tcBorders>
            <w:shd w:val="clear" w:color="auto" w:fill="FFFFFF" w:themeFill="background1"/>
          </w:tcPr>
          <w:p w14:paraId="399B198D"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Įmonės</w:t>
            </w:r>
          </w:p>
        </w:tc>
        <w:tc>
          <w:tcPr>
            <w:tcW w:w="502" w:type="pct"/>
            <w:tcBorders>
              <w:top w:val="single" w:sz="4" w:space="0" w:color="auto"/>
              <w:bottom w:val="single" w:sz="4" w:space="0" w:color="auto"/>
            </w:tcBorders>
            <w:shd w:val="clear" w:color="auto" w:fill="FFFFFF" w:themeFill="background1"/>
          </w:tcPr>
          <w:p w14:paraId="0E2FF5FD"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78" w:type="pct"/>
            <w:tcBorders>
              <w:top w:val="single" w:sz="4" w:space="0" w:color="auto"/>
              <w:bottom w:val="single" w:sz="4" w:space="0" w:color="auto"/>
            </w:tcBorders>
            <w:shd w:val="clear" w:color="auto" w:fill="FFFFFF" w:themeFill="background1"/>
          </w:tcPr>
          <w:p w14:paraId="60FCB47D"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52</w:t>
            </w:r>
          </w:p>
        </w:tc>
      </w:tr>
    </w:tbl>
    <w:p w14:paraId="2B1D055A" w14:textId="77777777" w:rsidR="0087201A" w:rsidRPr="00B44B19" w:rsidRDefault="0087201A" w:rsidP="0087201A">
      <w:pPr>
        <w:spacing w:after="0" w:line="240" w:lineRule="auto"/>
        <w:jc w:val="both"/>
        <w:rPr>
          <w:rFonts w:cs="Times New Roman"/>
          <w:b/>
          <w:sz w:val="22"/>
          <w:lang w:val="en-US"/>
        </w:rPr>
        <w:sectPr w:rsidR="0087201A" w:rsidRPr="00B44B19" w:rsidSect="0087201A">
          <w:headerReference w:type="default" r:id="rId20"/>
          <w:footerReference w:type="first" r:id="rId21"/>
          <w:pgSz w:w="11906" w:h="16838"/>
          <w:pgMar w:top="1276" w:right="567" w:bottom="1134" w:left="1701" w:header="567" w:footer="567" w:gutter="0"/>
          <w:cols w:space="1296"/>
          <w:docGrid w:linePitch="360"/>
        </w:sectPr>
      </w:pPr>
    </w:p>
    <w:p w14:paraId="1363175A" w14:textId="77777777" w:rsidR="0087201A" w:rsidRPr="00B44B19" w:rsidRDefault="0087201A" w:rsidP="0087201A">
      <w:pPr>
        <w:spacing w:after="0" w:line="240" w:lineRule="auto"/>
        <w:jc w:val="both"/>
        <w:rPr>
          <w:rFonts w:cs="Times New Roman"/>
          <w:b/>
          <w:sz w:val="22"/>
        </w:rPr>
      </w:pPr>
      <w:r w:rsidRPr="00B44B19">
        <w:rPr>
          <w:rFonts w:cs="Times New Roman"/>
          <w:b/>
          <w:sz w:val="22"/>
        </w:rPr>
        <w:lastRenderedPageBreak/>
        <w:t>3 lentelė. Rezultato rodikliai</w:t>
      </w:r>
    </w:p>
    <w:tbl>
      <w:tblPr>
        <w:tblW w:w="5167"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1473"/>
        <w:gridCol w:w="723"/>
        <w:gridCol w:w="991"/>
        <w:gridCol w:w="1259"/>
        <w:gridCol w:w="3503"/>
        <w:gridCol w:w="1089"/>
        <w:gridCol w:w="863"/>
        <w:gridCol w:w="1116"/>
        <w:gridCol w:w="1083"/>
        <w:gridCol w:w="902"/>
        <w:gridCol w:w="920"/>
      </w:tblGrid>
      <w:tr w:rsidR="0087201A" w:rsidRPr="00B44B19" w14:paraId="5A89FFE4" w14:textId="77777777" w:rsidTr="000A49EE">
        <w:trPr>
          <w:trHeight w:val="1141"/>
          <w:tblHeader/>
        </w:trPr>
        <w:tc>
          <w:tcPr>
            <w:tcW w:w="322" w:type="pct"/>
            <w:tcBorders>
              <w:top w:val="single" w:sz="12" w:space="0" w:color="auto"/>
              <w:left w:val="single" w:sz="12" w:space="0" w:color="auto"/>
              <w:bottom w:val="single" w:sz="12" w:space="0" w:color="auto"/>
              <w:right w:val="single" w:sz="12" w:space="0" w:color="auto"/>
            </w:tcBorders>
            <w:shd w:val="clear" w:color="auto" w:fill="DBE5F1"/>
            <w:vAlign w:val="center"/>
          </w:tcPr>
          <w:p w14:paraId="5B83A060"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495" w:type="pct"/>
            <w:tcBorders>
              <w:top w:val="single" w:sz="12" w:space="0" w:color="auto"/>
              <w:left w:val="single" w:sz="12" w:space="0" w:color="auto"/>
              <w:bottom w:val="single" w:sz="12" w:space="0" w:color="auto"/>
              <w:right w:val="single" w:sz="12" w:space="0" w:color="auto"/>
            </w:tcBorders>
            <w:shd w:val="clear" w:color="auto" w:fill="DBE5F1"/>
            <w:vAlign w:val="center"/>
          </w:tcPr>
          <w:p w14:paraId="63AC640E"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243" w:type="pct"/>
            <w:tcBorders>
              <w:top w:val="single" w:sz="12" w:space="0" w:color="auto"/>
              <w:left w:val="single" w:sz="12" w:space="0" w:color="auto"/>
              <w:bottom w:val="single" w:sz="12" w:space="0" w:color="auto"/>
              <w:right w:val="single" w:sz="12" w:space="0" w:color="auto"/>
            </w:tcBorders>
            <w:shd w:val="clear" w:color="auto" w:fill="DBE5F1"/>
            <w:vAlign w:val="center"/>
          </w:tcPr>
          <w:p w14:paraId="67875D7A"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33" w:type="pct"/>
            <w:tcBorders>
              <w:top w:val="single" w:sz="12" w:space="0" w:color="auto"/>
              <w:left w:val="single" w:sz="12" w:space="0" w:color="auto"/>
              <w:bottom w:val="single" w:sz="12" w:space="0" w:color="auto"/>
              <w:right w:val="single" w:sz="12" w:space="0" w:color="auto"/>
            </w:tcBorders>
            <w:shd w:val="clear" w:color="auto" w:fill="DBE5F1"/>
            <w:vAlign w:val="center"/>
          </w:tcPr>
          <w:p w14:paraId="4F19FCD8"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23" w:type="pct"/>
            <w:tcBorders>
              <w:top w:val="single" w:sz="12" w:space="0" w:color="auto"/>
              <w:left w:val="single" w:sz="12" w:space="0" w:color="auto"/>
              <w:bottom w:val="single" w:sz="12" w:space="0" w:color="auto"/>
              <w:right w:val="single" w:sz="12" w:space="0" w:color="auto"/>
            </w:tcBorders>
            <w:shd w:val="clear" w:color="auto" w:fill="DBE5F1"/>
            <w:vAlign w:val="center"/>
          </w:tcPr>
          <w:p w14:paraId="3305B70C"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1177" w:type="pct"/>
            <w:tcBorders>
              <w:top w:val="single" w:sz="12" w:space="0" w:color="auto"/>
              <w:left w:val="single" w:sz="12" w:space="0" w:color="auto"/>
              <w:bottom w:val="single" w:sz="12" w:space="0" w:color="auto"/>
              <w:right w:val="single" w:sz="12" w:space="0" w:color="auto"/>
            </w:tcBorders>
            <w:shd w:val="clear" w:color="auto" w:fill="DBE5F1"/>
            <w:vAlign w:val="center"/>
          </w:tcPr>
          <w:p w14:paraId="7D4C134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366" w:type="pct"/>
            <w:tcBorders>
              <w:top w:val="single" w:sz="12" w:space="0" w:color="auto"/>
              <w:left w:val="single" w:sz="12" w:space="0" w:color="auto"/>
              <w:bottom w:val="single" w:sz="12" w:space="0" w:color="auto"/>
              <w:right w:val="single" w:sz="12" w:space="0" w:color="auto"/>
            </w:tcBorders>
            <w:shd w:val="clear" w:color="auto" w:fill="DBE5F1"/>
            <w:vAlign w:val="center"/>
          </w:tcPr>
          <w:p w14:paraId="6A8BCB40"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290" w:type="pct"/>
            <w:tcBorders>
              <w:top w:val="single" w:sz="12" w:space="0" w:color="auto"/>
              <w:left w:val="single" w:sz="12" w:space="0" w:color="auto"/>
              <w:bottom w:val="single" w:sz="12" w:space="0" w:color="auto"/>
              <w:right w:val="single" w:sz="12" w:space="0" w:color="auto"/>
            </w:tcBorders>
            <w:shd w:val="clear" w:color="auto" w:fill="DBE5F1"/>
            <w:vAlign w:val="center"/>
          </w:tcPr>
          <w:p w14:paraId="1001554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1E3073E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64" w:type="pct"/>
            <w:tcBorders>
              <w:top w:val="single" w:sz="12" w:space="0" w:color="auto"/>
              <w:left w:val="single" w:sz="12" w:space="0" w:color="auto"/>
              <w:bottom w:val="single" w:sz="12" w:space="0" w:color="auto"/>
              <w:right w:val="single" w:sz="12" w:space="0" w:color="auto"/>
            </w:tcBorders>
            <w:shd w:val="clear" w:color="auto" w:fill="DBE5F1"/>
            <w:vAlign w:val="center"/>
          </w:tcPr>
          <w:p w14:paraId="43DA73B4"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Siektina reikšmė (2029 m.)</w:t>
            </w:r>
          </w:p>
        </w:tc>
        <w:tc>
          <w:tcPr>
            <w:tcW w:w="303" w:type="pct"/>
            <w:tcBorders>
              <w:top w:val="single" w:sz="12" w:space="0" w:color="auto"/>
              <w:left w:val="single" w:sz="12" w:space="0" w:color="auto"/>
              <w:bottom w:val="single" w:sz="12" w:space="0" w:color="auto"/>
              <w:right w:val="single" w:sz="12" w:space="0" w:color="auto"/>
            </w:tcBorders>
            <w:shd w:val="clear" w:color="auto" w:fill="DBE5F1"/>
            <w:vAlign w:val="center"/>
          </w:tcPr>
          <w:p w14:paraId="2E95889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312" w:type="pct"/>
            <w:tcBorders>
              <w:top w:val="single" w:sz="12" w:space="0" w:color="auto"/>
              <w:left w:val="single" w:sz="12" w:space="0" w:color="auto"/>
              <w:bottom w:val="single" w:sz="12" w:space="0" w:color="auto"/>
              <w:right w:val="single" w:sz="12" w:space="0" w:color="auto"/>
            </w:tcBorders>
            <w:shd w:val="clear" w:color="auto" w:fill="DBE5F1"/>
            <w:vAlign w:val="center"/>
          </w:tcPr>
          <w:p w14:paraId="39A7197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87201A" w:rsidRPr="00B44B19" w14:paraId="1734C542" w14:textId="77777777" w:rsidTr="000A49EE">
        <w:trPr>
          <w:trHeight w:val="438"/>
        </w:trPr>
        <w:tc>
          <w:tcPr>
            <w:tcW w:w="322" w:type="pct"/>
            <w:vMerge w:val="restart"/>
            <w:tcBorders>
              <w:top w:val="single" w:sz="12" w:space="0" w:color="auto"/>
            </w:tcBorders>
            <w:shd w:val="clear" w:color="auto" w:fill="FFFFFF" w:themeFill="background1"/>
          </w:tcPr>
          <w:p w14:paraId="7B2AB719"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 xml:space="preserve">11. </w:t>
            </w:r>
          </w:p>
          <w:p w14:paraId="30BF4227" w14:textId="77777777" w:rsidR="0087201A" w:rsidRPr="00B44B19" w:rsidRDefault="0087201A" w:rsidP="0087201A">
            <w:pPr>
              <w:spacing w:after="0" w:line="240" w:lineRule="auto"/>
              <w:jc w:val="both"/>
              <w:rPr>
                <w:rFonts w:cs="Times New Roman"/>
                <w:noProof/>
                <w:sz w:val="16"/>
                <w:szCs w:val="16"/>
              </w:rPr>
            </w:pPr>
          </w:p>
        </w:tc>
        <w:tc>
          <w:tcPr>
            <w:tcW w:w="495" w:type="pct"/>
            <w:vMerge w:val="restart"/>
            <w:tcBorders>
              <w:top w:val="single" w:sz="12" w:space="0" w:color="auto"/>
            </w:tcBorders>
            <w:shd w:val="clear" w:color="auto" w:fill="FFFFFF" w:themeFill="background1"/>
          </w:tcPr>
          <w:p w14:paraId="3459A69D" w14:textId="77777777" w:rsidR="0087201A" w:rsidRPr="00B44B19" w:rsidRDefault="0087201A" w:rsidP="0087201A">
            <w:pPr>
              <w:spacing w:after="0" w:line="240" w:lineRule="auto"/>
              <w:jc w:val="both"/>
              <w:rPr>
                <w:rFonts w:cs="Times New Roman"/>
                <w:noProof/>
                <w:sz w:val="16"/>
                <w:szCs w:val="16"/>
                <w:lang w:val="en-US"/>
              </w:rPr>
            </w:pPr>
            <w:r w:rsidRPr="00B44B19">
              <w:rPr>
                <w:rFonts w:cs="Times New Roman"/>
                <w:noProof/>
                <w:sz w:val="16"/>
                <w:szCs w:val="16"/>
                <w:lang w:val="en-US"/>
              </w:rPr>
              <w:t xml:space="preserve">11.1 </w:t>
            </w:r>
          </w:p>
        </w:tc>
        <w:tc>
          <w:tcPr>
            <w:tcW w:w="243" w:type="pct"/>
            <w:vMerge w:val="restart"/>
            <w:tcBorders>
              <w:top w:val="single" w:sz="12" w:space="0" w:color="auto"/>
            </w:tcBorders>
            <w:shd w:val="clear" w:color="auto" w:fill="FFFFFF" w:themeFill="background1"/>
          </w:tcPr>
          <w:p w14:paraId="6E59A3B5"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ERPF</w:t>
            </w:r>
          </w:p>
          <w:p w14:paraId="7FEA4C50" w14:textId="77777777" w:rsidR="0087201A" w:rsidRPr="00B44B19" w:rsidRDefault="0087201A" w:rsidP="0087201A">
            <w:pPr>
              <w:spacing w:after="0" w:line="240" w:lineRule="auto"/>
              <w:jc w:val="both"/>
              <w:rPr>
                <w:rFonts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5A7E991D" w14:textId="77777777" w:rsidR="0087201A" w:rsidRPr="00B44B19" w:rsidRDefault="0087201A" w:rsidP="0087201A">
            <w:pPr>
              <w:spacing w:line="240" w:lineRule="auto"/>
              <w:rPr>
                <w:rFonts w:eastAsia="Times New Roman" w:cs="Times New Roman"/>
                <w:iCs/>
                <w:noProof/>
                <w:sz w:val="16"/>
                <w:szCs w:val="16"/>
              </w:rPr>
            </w:pPr>
            <w:r w:rsidRPr="00B44B19">
              <w:rPr>
                <w:rFonts w:eastAsia="Times New Roman" w:cs="Times New Roman"/>
                <w:iCs/>
                <w:noProof/>
                <w:sz w:val="16"/>
                <w:szCs w:val="16"/>
              </w:rPr>
              <w:t>VVL regionas</w:t>
            </w:r>
          </w:p>
        </w:tc>
        <w:tc>
          <w:tcPr>
            <w:tcW w:w="423" w:type="pct"/>
            <w:tcBorders>
              <w:top w:val="single" w:sz="12" w:space="0" w:color="auto"/>
              <w:bottom w:val="single" w:sz="4" w:space="0" w:color="auto"/>
            </w:tcBorders>
            <w:shd w:val="clear" w:color="auto" w:fill="FFFFFF" w:themeFill="background1"/>
          </w:tcPr>
          <w:p w14:paraId="45C4D7B5" w14:textId="77777777" w:rsidR="0087201A" w:rsidRPr="00B44B19" w:rsidRDefault="0087201A" w:rsidP="0087201A">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RCR01</w:t>
            </w:r>
          </w:p>
        </w:tc>
        <w:tc>
          <w:tcPr>
            <w:tcW w:w="1177" w:type="pct"/>
            <w:tcBorders>
              <w:top w:val="single" w:sz="12" w:space="0" w:color="auto"/>
              <w:bottom w:val="single" w:sz="4" w:space="0" w:color="auto"/>
            </w:tcBorders>
            <w:shd w:val="clear" w:color="auto" w:fill="FFFFFF" w:themeFill="background1"/>
          </w:tcPr>
          <w:p w14:paraId="2B94235B"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Paramą gavusiuose subjektuose sukurtos darbo vietos</w:t>
            </w:r>
          </w:p>
        </w:tc>
        <w:tc>
          <w:tcPr>
            <w:tcW w:w="366" w:type="pct"/>
            <w:tcBorders>
              <w:top w:val="single" w:sz="4" w:space="0" w:color="auto"/>
              <w:bottom w:val="single" w:sz="4" w:space="0" w:color="auto"/>
            </w:tcBorders>
            <w:shd w:val="clear" w:color="auto" w:fill="FFFFFF" w:themeFill="background1"/>
          </w:tcPr>
          <w:p w14:paraId="6D1D2369"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Vienų metų etato ekvivalentai</w:t>
            </w:r>
          </w:p>
        </w:tc>
        <w:tc>
          <w:tcPr>
            <w:tcW w:w="290" w:type="pct"/>
            <w:tcBorders>
              <w:top w:val="single" w:sz="4" w:space="0" w:color="auto"/>
              <w:bottom w:val="single" w:sz="4" w:space="0" w:color="auto"/>
            </w:tcBorders>
            <w:shd w:val="clear" w:color="auto" w:fill="FFFFFF" w:themeFill="background1"/>
          </w:tcPr>
          <w:p w14:paraId="11E46CAE"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375" w:type="pct"/>
            <w:tcBorders>
              <w:top w:val="single" w:sz="4" w:space="0" w:color="auto"/>
              <w:bottom w:val="single" w:sz="4" w:space="0" w:color="auto"/>
            </w:tcBorders>
            <w:shd w:val="clear" w:color="auto" w:fill="FFFFFF" w:themeFill="background1"/>
          </w:tcPr>
          <w:p w14:paraId="032A1AAB"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64" w:type="pct"/>
            <w:tcBorders>
              <w:top w:val="single" w:sz="4" w:space="0" w:color="auto"/>
              <w:bottom w:val="single" w:sz="4" w:space="0" w:color="auto"/>
            </w:tcBorders>
            <w:shd w:val="clear" w:color="auto" w:fill="FFFFFF" w:themeFill="background1"/>
          </w:tcPr>
          <w:p w14:paraId="014DC23B"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30</w:t>
            </w:r>
          </w:p>
        </w:tc>
        <w:tc>
          <w:tcPr>
            <w:tcW w:w="303" w:type="pct"/>
            <w:tcBorders>
              <w:top w:val="single" w:sz="4" w:space="0" w:color="auto"/>
              <w:bottom w:val="single" w:sz="4" w:space="0" w:color="auto"/>
            </w:tcBorders>
            <w:shd w:val="clear" w:color="auto" w:fill="FFFFFF" w:themeFill="background1"/>
          </w:tcPr>
          <w:p w14:paraId="1F20F614"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12" w:type="pct"/>
            <w:tcBorders>
              <w:top w:val="single" w:sz="12" w:space="0" w:color="auto"/>
              <w:bottom w:val="single" w:sz="4" w:space="0" w:color="auto"/>
            </w:tcBorders>
            <w:shd w:val="clear" w:color="auto" w:fill="FFFFFF" w:themeFill="background1"/>
          </w:tcPr>
          <w:p w14:paraId="4E8D20EB"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6E3629FE" w14:textId="77777777" w:rsidTr="000A49EE">
        <w:trPr>
          <w:trHeight w:val="528"/>
        </w:trPr>
        <w:tc>
          <w:tcPr>
            <w:tcW w:w="322" w:type="pct"/>
            <w:vMerge/>
            <w:shd w:val="clear" w:color="auto" w:fill="FFFFFF" w:themeFill="background1"/>
          </w:tcPr>
          <w:p w14:paraId="5E8023BB"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shd w:val="clear" w:color="auto" w:fill="FFFFFF" w:themeFill="background1"/>
          </w:tcPr>
          <w:p w14:paraId="74E7A3F5"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shd w:val="clear" w:color="auto" w:fill="FFFFFF" w:themeFill="background1"/>
          </w:tcPr>
          <w:p w14:paraId="7589E4D6"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461CE93E" w14:textId="77777777" w:rsidR="0087201A" w:rsidRPr="00B44B19" w:rsidRDefault="0087201A" w:rsidP="0087201A">
            <w:pPr>
              <w:rPr>
                <w:rFonts w:eastAsia="Times New Roman" w:cs="Times New Roman"/>
                <w:iCs/>
                <w:noProof/>
                <w:sz w:val="16"/>
                <w:szCs w:val="16"/>
              </w:rPr>
            </w:pPr>
            <w:r w:rsidRPr="00B44B19">
              <w:rPr>
                <w:rFonts w:eastAsia="Times New Roman" w:cs="Times New Roman"/>
                <w:iCs/>
                <w:noProof/>
                <w:sz w:val="16"/>
                <w:szCs w:val="16"/>
              </w:rPr>
              <w:t>VVL regionas</w:t>
            </w:r>
          </w:p>
        </w:tc>
        <w:tc>
          <w:tcPr>
            <w:tcW w:w="423" w:type="pct"/>
            <w:tcBorders>
              <w:top w:val="single" w:sz="4" w:space="0" w:color="auto"/>
            </w:tcBorders>
            <w:shd w:val="clear" w:color="auto" w:fill="FFFFFF" w:themeFill="background1"/>
          </w:tcPr>
          <w:p w14:paraId="5E2CC0F8"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en-GB" w:bidi="lt-LT"/>
              </w:rPr>
              <w:t>RCR02</w:t>
            </w:r>
          </w:p>
        </w:tc>
        <w:tc>
          <w:tcPr>
            <w:tcW w:w="1177" w:type="pct"/>
            <w:tcBorders>
              <w:top w:val="single" w:sz="4" w:space="0" w:color="auto"/>
            </w:tcBorders>
            <w:shd w:val="clear" w:color="auto" w:fill="FFFFFF" w:themeFill="background1"/>
          </w:tcPr>
          <w:p w14:paraId="75F3D4F0"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Privačiosios investicijos, papildančios viešąją paramą iš kurių: dotacijos, finansinės priemonės</w:t>
            </w:r>
          </w:p>
          <w:p w14:paraId="263CFC24" w14:textId="77777777" w:rsidR="0087201A" w:rsidRPr="00B44B19" w:rsidRDefault="0087201A" w:rsidP="0087201A">
            <w:pPr>
              <w:spacing w:after="0" w:line="240" w:lineRule="auto"/>
              <w:jc w:val="both"/>
              <w:rPr>
                <w:rFonts w:eastAsia="Calibri" w:cs="Times New Roman"/>
                <w:sz w:val="16"/>
                <w:szCs w:val="16"/>
                <w:lang w:eastAsia="lt-LT" w:bidi="lt-LT"/>
              </w:rPr>
            </w:pPr>
          </w:p>
        </w:tc>
        <w:tc>
          <w:tcPr>
            <w:tcW w:w="366" w:type="pct"/>
            <w:tcBorders>
              <w:top w:val="single" w:sz="4" w:space="0" w:color="auto"/>
            </w:tcBorders>
            <w:shd w:val="clear" w:color="auto" w:fill="FFFFFF" w:themeFill="background1"/>
          </w:tcPr>
          <w:p w14:paraId="0CA1BBC9"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Eurai</w:t>
            </w:r>
          </w:p>
        </w:tc>
        <w:tc>
          <w:tcPr>
            <w:tcW w:w="290" w:type="pct"/>
            <w:tcBorders>
              <w:top w:val="single" w:sz="4" w:space="0" w:color="auto"/>
            </w:tcBorders>
            <w:shd w:val="clear" w:color="auto" w:fill="FFFFFF" w:themeFill="background1"/>
          </w:tcPr>
          <w:p w14:paraId="33ADC52B"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0</w:t>
            </w:r>
          </w:p>
        </w:tc>
        <w:tc>
          <w:tcPr>
            <w:tcW w:w="375" w:type="pct"/>
            <w:tcBorders>
              <w:top w:val="single" w:sz="4" w:space="0" w:color="auto"/>
            </w:tcBorders>
            <w:shd w:val="clear" w:color="auto" w:fill="FFFFFF" w:themeFill="background1"/>
          </w:tcPr>
          <w:p w14:paraId="2C71D079"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202</w:t>
            </w:r>
            <w:r w:rsidRPr="00B44B19">
              <w:rPr>
                <w:rFonts w:eastAsia="Calibri" w:cs="Times New Roman"/>
                <w:noProof/>
                <w:sz w:val="16"/>
                <w:szCs w:val="16"/>
                <w:lang w:val="en-US"/>
              </w:rPr>
              <w:t>1</w:t>
            </w:r>
          </w:p>
        </w:tc>
        <w:tc>
          <w:tcPr>
            <w:tcW w:w="364" w:type="pct"/>
            <w:tcBorders>
              <w:top w:val="single" w:sz="4" w:space="0" w:color="auto"/>
            </w:tcBorders>
            <w:shd w:val="clear" w:color="auto" w:fill="FFFFFF" w:themeFill="background1"/>
          </w:tcPr>
          <w:p w14:paraId="2557813C"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9 331 708</w:t>
            </w:r>
          </w:p>
        </w:tc>
        <w:tc>
          <w:tcPr>
            <w:tcW w:w="303" w:type="pct"/>
            <w:tcBorders>
              <w:top w:val="single" w:sz="4" w:space="0" w:color="auto"/>
            </w:tcBorders>
            <w:shd w:val="clear" w:color="auto" w:fill="FFFFFF" w:themeFill="background1"/>
          </w:tcPr>
          <w:p w14:paraId="29059505" w14:textId="77777777" w:rsidR="0087201A" w:rsidRPr="00B44B19" w:rsidRDefault="0087201A" w:rsidP="0087201A">
            <w:pPr>
              <w:spacing w:after="0" w:line="240" w:lineRule="auto"/>
              <w:jc w:val="both"/>
              <w:rPr>
                <w:rFonts w:eastAsia="Calibri" w:cs="Times New Roman"/>
                <w:iCs/>
                <w:noProof/>
                <w:sz w:val="16"/>
                <w:szCs w:val="16"/>
              </w:rPr>
            </w:pPr>
            <w:r w:rsidRPr="00B44B19">
              <w:rPr>
                <w:rFonts w:eastAsia="Calibri" w:cs="Times New Roman"/>
                <w:noProof/>
                <w:sz w:val="16"/>
                <w:szCs w:val="16"/>
              </w:rPr>
              <w:t>Projektų duomenys</w:t>
            </w:r>
          </w:p>
        </w:tc>
        <w:tc>
          <w:tcPr>
            <w:tcW w:w="312" w:type="pct"/>
            <w:tcBorders>
              <w:top w:val="single" w:sz="4" w:space="0" w:color="auto"/>
            </w:tcBorders>
            <w:shd w:val="clear" w:color="auto" w:fill="FFFFFF" w:themeFill="background1"/>
          </w:tcPr>
          <w:p w14:paraId="56329976"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4DA7293E" w14:textId="77777777" w:rsidTr="000A49EE">
        <w:trPr>
          <w:trHeight w:val="286"/>
        </w:trPr>
        <w:tc>
          <w:tcPr>
            <w:tcW w:w="322" w:type="pct"/>
            <w:vMerge/>
          </w:tcPr>
          <w:p w14:paraId="2EF5E538"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tcPr>
          <w:p w14:paraId="2A675735"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tcPr>
          <w:p w14:paraId="59895921"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tcBorders>
            <w:shd w:val="clear" w:color="auto" w:fill="FFFFFF" w:themeFill="background1"/>
          </w:tcPr>
          <w:p w14:paraId="052D2EC5"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Times New Roman" w:cs="Times New Roman"/>
                <w:iCs/>
                <w:noProof/>
                <w:sz w:val="16"/>
                <w:szCs w:val="16"/>
              </w:rPr>
              <w:t>Sostinės regionas</w:t>
            </w:r>
          </w:p>
        </w:tc>
        <w:tc>
          <w:tcPr>
            <w:tcW w:w="423" w:type="pct"/>
            <w:tcBorders>
              <w:top w:val="single" w:sz="4" w:space="0" w:color="auto"/>
              <w:bottom w:val="single" w:sz="4" w:space="0" w:color="auto"/>
            </w:tcBorders>
            <w:shd w:val="clear" w:color="auto" w:fill="FFFFFF" w:themeFill="background1"/>
          </w:tcPr>
          <w:p w14:paraId="3167DEA2"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lang w:eastAsia="en-GB" w:bidi="lt-LT"/>
              </w:rPr>
              <w:t>RCR02</w:t>
            </w:r>
          </w:p>
        </w:tc>
        <w:tc>
          <w:tcPr>
            <w:tcW w:w="1177" w:type="pct"/>
            <w:tcBorders>
              <w:top w:val="single" w:sz="4" w:space="0" w:color="auto"/>
            </w:tcBorders>
            <w:shd w:val="clear" w:color="auto" w:fill="FFFFFF" w:themeFill="background1"/>
          </w:tcPr>
          <w:p w14:paraId="78D4C6FD"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eastAsia="Calibri" w:cs="Times New Roman"/>
                <w:sz w:val="16"/>
                <w:szCs w:val="16"/>
                <w:lang w:eastAsia="lt-LT" w:bidi="lt-LT"/>
              </w:rPr>
              <w:t>Privačiosios investicijos, papildančios viešąją paramą iš kurių: dotacijos, finansinės priemonės</w:t>
            </w:r>
          </w:p>
          <w:p w14:paraId="15E2C575" w14:textId="77777777" w:rsidR="0087201A" w:rsidRPr="00B44B19" w:rsidRDefault="0087201A" w:rsidP="0087201A">
            <w:pPr>
              <w:spacing w:after="0" w:line="240" w:lineRule="auto"/>
              <w:jc w:val="both"/>
              <w:rPr>
                <w:rFonts w:cs="Times New Roman"/>
                <w:sz w:val="16"/>
                <w:szCs w:val="16"/>
              </w:rPr>
            </w:pPr>
          </w:p>
        </w:tc>
        <w:tc>
          <w:tcPr>
            <w:tcW w:w="366" w:type="pct"/>
            <w:tcBorders>
              <w:top w:val="single" w:sz="4" w:space="0" w:color="auto"/>
            </w:tcBorders>
            <w:shd w:val="clear" w:color="auto" w:fill="FFFFFF" w:themeFill="background1"/>
          </w:tcPr>
          <w:p w14:paraId="37BDE28F"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noProof/>
                <w:sz w:val="16"/>
                <w:szCs w:val="16"/>
              </w:rPr>
              <w:t>Eurai</w:t>
            </w:r>
          </w:p>
        </w:tc>
        <w:tc>
          <w:tcPr>
            <w:tcW w:w="290" w:type="pct"/>
            <w:tcBorders>
              <w:top w:val="single" w:sz="4" w:space="0" w:color="auto"/>
            </w:tcBorders>
            <w:shd w:val="clear" w:color="auto" w:fill="FFFFFF" w:themeFill="background1"/>
          </w:tcPr>
          <w:p w14:paraId="0AA9659D"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0</w:t>
            </w:r>
          </w:p>
        </w:tc>
        <w:tc>
          <w:tcPr>
            <w:tcW w:w="375" w:type="pct"/>
            <w:tcBorders>
              <w:top w:val="single" w:sz="4" w:space="0" w:color="auto"/>
            </w:tcBorders>
            <w:shd w:val="clear" w:color="auto" w:fill="FFFFFF" w:themeFill="background1"/>
          </w:tcPr>
          <w:p w14:paraId="1FABED76"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202</w:t>
            </w:r>
            <w:r w:rsidRPr="00B44B19">
              <w:rPr>
                <w:rFonts w:eastAsia="Calibri" w:cs="Times New Roman"/>
                <w:noProof/>
                <w:sz w:val="16"/>
                <w:szCs w:val="16"/>
                <w:lang w:val="en-US"/>
              </w:rPr>
              <w:t>1</w:t>
            </w:r>
          </w:p>
        </w:tc>
        <w:tc>
          <w:tcPr>
            <w:tcW w:w="364" w:type="pct"/>
            <w:tcBorders>
              <w:top w:val="single" w:sz="4" w:space="0" w:color="auto"/>
            </w:tcBorders>
            <w:shd w:val="clear" w:color="auto" w:fill="FFFFFF" w:themeFill="background1"/>
          </w:tcPr>
          <w:p w14:paraId="21C18EE7"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13 428 571</w:t>
            </w:r>
          </w:p>
        </w:tc>
        <w:tc>
          <w:tcPr>
            <w:tcW w:w="303" w:type="pct"/>
            <w:tcBorders>
              <w:top w:val="single" w:sz="4" w:space="0" w:color="auto"/>
            </w:tcBorders>
            <w:shd w:val="clear" w:color="auto" w:fill="FFFFFF" w:themeFill="background1"/>
          </w:tcPr>
          <w:p w14:paraId="1993EEE4"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12" w:type="pct"/>
            <w:tcBorders>
              <w:top w:val="single" w:sz="4" w:space="0" w:color="auto"/>
            </w:tcBorders>
            <w:shd w:val="clear" w:color="auto" w:fill="FFFFFF" w:themeFill="background1"/>
          </w:tcPr>
          <w:p w14:paraId="5B40526E"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03E7DA04" w14:textId="77777777" w:rsidTr="000A49EE">
        <w:trPr>
          <w:trHeight w:val="286"/>
        </w:trPr>
        <w:tc>
          <w:tcPr>
            <w:tcW w:w="322" w:type="pct"/>
            <w:vMerge/>
            <w:shd w:val="clear" w:color="auto" w:fill="FBD4B4" w:themeFill="accent6" w:themeFillTint="66"/>
          </w:tcPr>
          <w:p w14:paraId="20E5FCDA"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shd w:val="clear" w:color="auto" w:fill="FBD4B4" w:themeFill="accent6" w:themeFillTint="66"/>
          </w:tcPr>
          <w:p w14:paraId="3221FC0E"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shd w:val="clear" w:color="auto" w:fill="FBD4B4" w:themeFill="accent6" w:themeFillTint="66"/>
          </w:tcPr>
          <w:p w14:paraId="5CCF7C27"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1EDAC08F" w14:textId="77777777" w:rsidR="0087201A" w:rsidRPr="00B44B19" w:rsidRDefault="0087201A" w:rsidP="0087201A">
            <w:pPr>
              <w:spacing w:after="0" w:line="240" w:lineRule="auto"/>
              <w:jc w:val="both"/>
              <w:rPr>
                <w:rFonts w:eastAsia="Times New Roman" w:cs="Times New Roman"/>
                <w:iCs/>
                <w:noProof/>
                <w:sz w:val="16"/>
                <w:szCs w:val="16"/>
              </w:rPr>
            </w:pPr>
            <w:r w:rsidRPr="00B44B19">
              <w:rPr>
                <w:rFonts w:eastAsia="Times New Roman" w:cs="Times New Roman"/>
                <w:iCs/>
                <w:noProof/>
                <w:sz w:val="16"/>
                <w:szCs w:val="16"/>
              </w:rPr>
              <w:t>VVL regionas</w:t>
            </w:r>
          </w:p>
        </w:tc>
        <w:tc>
          <w:tcPr>
            <w:tcW w:w="423" w:type="pct"/>
            <w:tcBorders>
              <w:top w:val="single" w:sz="4" w:space="0" w:color="auto"/>
              <w:bottom w:val="single" w:sz="4" w:space="0" w:color="auto"/>
            </w:tcBorders>
            <w:shd w:val="clear" w:color="auto" w:fill="FFFFFF" w:themeFill="background1"/>
          </w:tcPr>
          <w:p w14:paraId="4919E000" w14:textId="77777777" w:rsidR="0087201A" w:rsidRPr="00B44B19" w:rsidRDefault="0087201A" w:rsidP="0087201A">
            <w:pPr>
              <w:spacing w:after="0" w:line="240" w:lineRule="auto"/>
              <w:jc w:val="both"/>
              <w:rPr>
                <w:rFonts w:eastAsia="Calibri" w:cs="Times New Roman"/>
                <w:sz w:val="16"/>
                <w:szCs w:val="16"/>
                <w:lang w:eastAsia="en-GB" w:bidi="lt-LT"/>
              </w:rPr>
            </w:pPr>
            <w:r w:rsidRPr="00B44B19">
              <w:rPr>
                <w:rFonts w:eastAsia="Calibri" w:cs="Times New Roman"/>
                <w:sz w:val="16"/>
                <w:szCs w:val="16"/>
                <w:lang w:eastAsia="en-GB" w:bidi="lt-LT"/>
              </w:rPr>
              <w:t>RCR18</w:t>
            </w:r>
          </w:p>
        </w:tc>
        <w:tc>
          <w:tcPr>
            <w:tcW w:w="1177" w:type="pct"/>
            <w:tcBorders>
              <w:bottom w:val="single" w:sz="4" w:space="0" w:color="auto"/>
            </w:tcBorders>
            <w:shd w:val="clear" w:color="auto" w:fill="FFFFFF" w:themeFill="background1"/>
          </w:tcPr>
          <w:p w14:paraId="00B346BB"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Inkubatoriaus paslaugomis besinaudojančios MVĮ po inkubatoriaus sukūrimo</w:t>
            </w:r>
          </w:p>
        </w:tc>
        <w:tc>
          <w:tcPr>
            <w:tcW w:w="366" w:type="pct"/>
            <w:tcBorders>
              <w:bottom w:val="single" w:sz="4" w:space="0" w:color="auto"/>
            </w:tcBorders>
            <w:shd w:val="clear" w:color="auto" w:fill="FFFFFF" w:themeFill="background1"/>
          </w:tcPr>
          <w:p w14:paraId="78AD2888"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Įmonių skaičius/per metus</w:t>
            </w:r>
          </w:p>
        </w:tc>
        <w:tc>
          <w:tcPr>
            <w:tcW w:w="290" w:type="pct"/>
            <w:tcBorders>
              <w:bottom w:val="single" w:sz="4" w:space="0" w:color="auto"/>
            </w:tcBorders>
            <w:shd w:val="clear" w:color="auto" w:fill="FFFFFF" w:themeFill="background1"/>
          </w:tcPr>
          <w:p w14:paraId="25F8D6E1"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375" w:type="pct"/>
            <w:tcBorders>
              <w:bottom w:val="single" w:sz="4" w:space="0" w:color="auto"/>
            </w:tcBorders>
            <w:shd w:val="clear" w:color="auto" w:fill="FFFFFF" w:themeFill="background1"/>
          </w:tcPr>
          <w:p w14:paraId="5658434A"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64" w:type="pct"/>
            <w:tcBorders>
              <w:bottom w:val="single" w:sz="4" w:space="0" w:color="auto"/>
            </w:tcBorders>
            <w:shd w:val="clear" w:color="auto" w:fill="FFFFFF" w:themeFill="background1"/>
          </w:tcPr>
          <w:p w14:paraId="131A47A6"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21</w:t>
            </w:r>
          </w:p>
        </w:tc>
        <w:tc>
          <w:tcPr>
            <w:tcW w:w="303" w:type="pct"/>
            <w:tcBorders>
              <w:bottom w:val="single" w:sz="4" w:space="0" w:color="auto"/>
            </w:tcBorders>
            <w:shd w:val="clear" w:color="auto" w:fill="FFFFFF" w:themeFill="background1"/>
          </w:tcPr>
          <w:p w14:paraId="723B7601"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312" w:type="pct"/>
            <w:tcBorders>
              <w:bottom w:val="single" w:sz="4" w:space="0" w:color="auto"/>
            </w:tcBorders>
            <w:shd w:val="clear" w:color="auto" w:fill="FFFFFF" w:themeFill="background1"/>
          </w:tcPr>
          <w:p w14:paraId="6E2B083C"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4FE0ACEF" w14:textId="77777777" w:rsidTr="000A49EE">
        <w:trPr>
          <w:trHeight w:val="286"/>
        </w:trPr>
        <w:tc>
          <w:tcPr>
            <w:tcW w:w="322" w:type="pct"/>
            <w:vMerge/>
          </w:tcPr>
          <w:p w14:paraId="70A37470"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tcPr>
          <w:p w14:paraId="49B6D43D"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tcPr>
          <w:p w14:paraId="05F90334"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3CFC899A"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Times New Roman" w:cs="Times New Roman"/>
                <w:iCs/>
                <w:noProof/>
                <w:sz w:val="16"/>
                <w:szCs w:val="16"/>
              </w:rPr>
              <w:t>VVL regionas</w:t>
            </w:r>
          </w:p>
        </w:tc>
        <w:tc>
          <w:tcPr>
            <w:tcW w:w="423" w:type="pct"/>
            <w:tcBorders>
              <w:top w:val="single" w:sz="4" w:space="0" w:color="auto"/>
              <w:bottom w:val="single" w:sz="4" w:space="0" w:color="auto"/>
            </w:tcBorders>
            <w:shd w:val="clear" w:color="auto" w:fill="FFFFFF" w:themeFill="background1"/>
          </w:tcPr>
          <w:p w14:paraId="3F37BD20"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lang w:eastAsia="en-GB" w:bidi="lt-LT"/>
              </w:rPr>
              <w:t>RCR102</w:t>
            </w:r>
          </w:p>
        </w:tc>
        <w:tc>
          <w:tcPr>
            <w:tcW w:w="1177" w:type="pct"/>
            <w:tcBorders>
              <w:bottom w:val="single" w:sz="4" w:space="0" w:color="auto"/>
            </w:tcBorders>
            <w:shd w:val="clear" w:color="auto" w:fill="FFFFFF" w:themeFill="background1"/>
          </w:tcPr>
          <w:p w14:paraId="585F48D8"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rPr>
              <w:t>Paramą gavusiuose subjektuose sukurtos mokslo tiriamojo darbo vietos</w:t>
            </w:r>
          </w:p>
        </w:tc>
        <w:tc>
          <w:tcPr>
            <w:tcW w:w="366" w:type="pct"/>
            <w:tcBorders>
              <w:bottom w:val="single" w:sz="4" w:space="0" w:color="auto"/>
            </w:tcBorders>
            <w:shd w:val="clear" w:color="auto" w:fill="FFFFFF" w:themeFill="background1"/>
          </w:tcPr>
          <w:p w14:paraId="5A7A669A"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rPr>
              <w:t>Vienų metų etato ekvivalentai</w:t>
            </w:r>
          </w:p>
        </w:tc>
        <w:tc>
          <w:tcPr>
            <w:tcW w:w="290" w:type="pct"/>
            <w:tcBorders>
              <w:bottom w:val="single" w:sz="4" w:space="0" w:color="auto"/>
            </w:tcBorders>
            <w:shd w:val="clear" w:color="auto" w:fill="FFFFFF" w:themeFill="background1"/>
          </w:tcPr>
          <w:p w14:paraId="24BEFD82"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0</w:t>
            </w:r>
          </w:p>
        </w:tc>
        <w:tc>
          <w:tcPr>
            <w:tcW w:w="375" w:type="pct"/>
            <w:tcBorders>
              <w:bottom w:val="single" w:sz="4" w:space="0" w:color="auto"/>
            </w:tcBorders>
            <w:shd w:val="clear" w:color="auto" w:fill="FFFFFF" w:themeFill="background1"/>
          </w:tcPr>
          <w:p w14:paraId="4E103CB7"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2021</w:t>
            </w:r>
          </w:p>
        </w:tc>
        <w:tc>
          <w:tcPr>
            <w:tcW w:w="364" w:type="pct"/>
            <w:tcBorders>
              <w:bottom w:val="single" w:sz="4" w:space="0" w:color="auto"/>
            </w:tcBorders>
            <w:shd w:val="clear" w:color="auto" w:fill="FFFFFF" w:themeFill="background1"/>
          </w:tcPr>
          <w:p w14:paraId="5FF6262D"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38</w:t>
            </w:r>
          </w:p>
        </w:tc>
        <w:tc>
          <w:tcPr>
            <w:tcW w:w="303" w:type="pct"/>
            <w:tcBorders>
              <w:bottom w:val="single" w:sz="4" w:space="0" w:color="auto"/>
            </w:tcBorders>
            <w:shd w:val="clear" w:color="auto" w:fill="FFFFFF" w:themeFill="background1"/>
          </w:tcPr>
          <w:p w14:paraId="01236332"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sz w:val="16"/>
                <w:szCs w:val="16"/>
              </w:rPr>
              <w:t>Projektų duomenys</w:t>
            </w:r>
          </w:p>
        </w:tc>
        <w:tc>
          <w:tcPr>
            <w:tcW w:w="312" w:type="pct"/>
            <w:tcBorders>
              <w:bottom w:val="single" w:sz="4" w:space="0" w:color="auto"/>
            </w:tcBorders>
            <w:shd w:val="clear" w:color="auto" w:fill="FFFFFF" w:themeFill="background1"/>
          </w:tcPr>
          <w:p w14:paraId="45A11648"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0D00ED5A" w14:textId="77777777" w:rsidTr="000A49EE">
        <w:trPr>
          <w:trHeight w:val="286"/>
        </w:trPr>
        <w:tc>
          <w:tcPr>
            <w:tcW w:w="322" w:type="pct"/>
            <w:vMerge/>
          </w:tcPr>
          <w:p w14:paraId="79573DE3"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tcPr>
          <w:p w14:paraId="22EE3157"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tcPr>
          <w:p w14:paraId="26E7A475"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tcBorders>
            <w:shd w:val="clear" w:color="auto" w:fill="FFFFFF" w:themeFill="background1"/>
          </w:tcPr>
          <w:p w14:paraId="1F9CEBC8"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Times New Roman" w:cs="Times New Roman"/>
                <w:iCs/>
                <w:noProof/>
                <w:sz w:val="16"/>
                <w:szCs w:val="16"/>
              </w:rPr>
              <w:t>Sostinės regionas</w:t>
            </w:r>
          </w:p>
        </w:tc>
        <w:tc>
          <w:tcPr>
            <w:tcW w:w="423" w:type="pct"/>
            <w:tcBorders>
              <w:top w:val="single" w:sz="4" w:space="0" w:color="auto"/>
              <w:bottom w:val="single" w:sz="4" w:space="0" w:color="auto"/>
            </w:tcBorders>
            <w:shd w:val="clear" w:color="auto" w:fill="FFFFFF" w:themeFill="background1"/>
          </w:tcPr>
          <w:p w14:paraId="620E11E0"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lang w:eastAsia="en-GB" w:bidi="lt-LT"/>
              </w:rPr>
              <w:t>RCR102</w:t>
            </w:r>
          </w:p>
        </w:tc>
        <w:tc>
          <w:tcPr>
            <w:tcW w:w="1177" w:type="pct"/>
            <w:shd w:val="clear" w:color="auto" w:fill="FFFFFF" w:themeFill="background1"/>
          </w:tcPr>
          <w:p w14:paraId="50D09D62"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rPr>
              <w:t>Paramą gavusiuose subjektuose sukurtos mokslo tiriamojo darbo vietos</w:t>
            </w:r>
          </w:p>
        </w:tc>
        <w:tc>
          <w:tcPr>
            <w:tcW w:w="366" w:type="pct"/>
            <w:shd w:val="clear" w:color="auto" w:fill="FFFFFF" w:themeFill="background1"/>
          </w:tcPr>
          <w:p w14:paraId="6E329EBA" w14:textId="77777777" w:rsidR="0087201A" w:rsidRPr="00B44B19" w:rsidRDefault="0087201A" w:rsidP="0087201A">
            <w:pPr>
              <w:spacing w:after="0" w:line="240" w:lineRule="auto"/>
              <w:jc w:val="both"/>
              <w:rPr>
                <w:rFonts w:cs="Times New Roman"/>
                <w:sz w:val="16"/>
                <w:szCs w:val="16"/>
              </w:rPr>
            </w:pPr>
            <w:r w:rsidRPr="00B44B19">
              <w:rPr>
                <w:rFonts w:eastAsia="Calibri" w:cs="Times New Roman"/>
                <w:sz w:val="16"/>
                <w:szCs w:val="16"/>
              </w:rPr>
              <w:t>Vienų metų etato ekvivalentai</w:t>
            </w:r>
          </w:p>
        </w:tc>
        <w:tc>
          <w:tcPr>
            <w:tcW w:w="290" w:type="pct"/>
            <w:shd w:val="clear" w:color="auto" w:fill="FFFFFF" w:themeFill="background1"/>
          </w:tcPr>
          <w:p w14:paraId="27003584"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0</w:t>
            </w:r>
          </w:p>
        </w:tc>
        <w:tc>
          <w:tcPr>
            <w:tcW w:w="375" w:type="pct"/>
            <w:shd w:val="clear" w:color="auto" w:fill="FFFFFF" w:themeFill="background1"/>
          </w:tcPr>
          <w:p w14:paraId="4E11CAD1"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noProof/>
                <w:sz w:val="16"/>
                <w:szCs w:val="16"/>
              </w:rPr>
              <w:t>2021</w:t>
            </w:r>
          </w:p>
        </w:tc>
        <w:tc>
          <w:tcPr>
            <w:tcW w:w="364" w:type="pct"/>
            <w:shd w:val="clear" w:color="auto" w:fill="FFFFFF" w:themeFill="background1"/>
          </w:tcPr>
          <w:p w14:paraId="1B9E80CE"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42</w:t>
            </w:r>
          </w:p>
        </w:tc>
        <w:tc>
          <w:tcPr>
            <w:tcW w:w="303" w:type="pct"/>
            <w:shd w:val="clear" w:color="auto" w:fill="FFFFFF" w:themeFill="background1"/>
          </w:tcPr>
          <w:p w14:paraId="2AC02040"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sz w:val="16"/>
                <w:szCs w:val="16"/>
              </w:rPr>
              <w:t>Projektų duomenys</w:t>
            </w:r>
          </w:p>
        </w:tc>
        <w:tc>
          <w:tcPr>
            <w:tcW w:w="312" w:type="pct"/>
            <w:shd w:val="clear" w:color="auto" w:fill="FFFFFF" w:themeFill="background1"/>
          </w:tcPr>
          <w:p w14:paraId="27A200AE"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7990EB72" w14:textId="77777777" w:rsidTr="000A49EE">
        <w:trPr>
          <w:trHeight w:val="286"/>
        </w:trPr>
        <w:tc>
          <w:tcPr>
            <w:tcW w:w="322" w:type="pct"/>
            <w:vMerge/>
            <w:shd w:val="clear" w:color="auto" w:fill="FFFFFF" w:themeFill="background1"/>
          </w:tcPr>
          <w:p w14:paraId="779E5CE0"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shd w:val="clear" w:color="auto" w:fill="FFFFFF" w:themeFill="background1"/>
          </w:tcPr>
          <w:p w14:paraId="115DECA6"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shd w:val="clear" w:color="auto" w:fill="FFFFFF" w:themeFill="background1"/>
          </w:tcPr>
          <w:p w14:paraId="5B4C45BD"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181C4EA9" w14:textId="77777777" w:rsidR="0087201A" w:rsidRPr="00B44B19" w:rsidRDefault="0087201A" w:rsidP="0087201A">
            <w:pPr>
              <w:spacing w:after="0" w:line="240" w:lineRule="auto"/>
              <w:jc w:val="both"/>
              <w:rPr>
                <w:rFonts w:eastAsia="Times New Roman" w:cs="Times New Roman"/>
                <w:iCs/>
                <w:noProof/>
                <w:sz w:val="16"/>
                <w:szCs w:val="16"/>
              </w:rPr>
            </w:pPr>
            <w:r w:rsidRPr="00B44B19">
              <w:rPr>
                <w:rFonts w:eastAsia="Times New Roman" w:cs="Times New Roman"/>
                <w:iCs/>
                <w:noProof/>
                <w:sz w:val="16"/>
                <w:szCs w:val="16"/>
              </w:rPr>
              <w:t>VVL regionas</w:t>
            </w:r>
          </w:p>
        </w:tc>
        <w:tc>
          <w:tcPr>
            <w:tcW w:w="423" w:type="pct"/>
            <w:shd w:val="clear" w:color="auto" w:fill="FFFFFF" w:themeFill="background1"/>
          </w:tcPr>
          <w:p w14:paraId="11026B8F"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Specialusis</w:t>
            </w:r>
          </w:p>
        </w:tc>
        <w:tc>
          <w:tcPr>
            <w:tcW w:w="1177" w:type="pct"/>
            <w:shd w:val="clear" w:color="auto" w:fill="FFFFFF" w:themeFill="background1"/>
          </w:tcPr>
          <w:p w14:paraId="24E50F56"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Įvykdytas inovatyvus viešasis pirkimas</w:t>
            </w:r>
          </w:p>
        </w:tc>
        <w:tc>
          <w:tcPr>
            <w:tcW w:w="366" w:type="pct"/>
            <w:shd w:val="clear" w:color="auto" w:fill="FFFFFF" w:themeFill="background1"/>
          </w:tcPr>
          <w:p w14:paraId="028A2D8A"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Skaičius</w:t>
            </w:r>
          </w:p>
        </w:tc>
        <w:tc>
          <w:tcPr>
            <w:tcW w:w="290" w:type="pct"/>
            <w:shd w:val="clear" w:color="auto" w:fill="FFFFFF" w:themeFill="background1"/>
          </w:tcPr>
          <w:p w14:paraId="0A01ABB4"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375" w:type="pct"/>
            <w:shd w:val="clear" w:color="auto" w:fill="FFFFFF" w:themeFill="background1"/>
          </w:tcPr>
          <w:p w14:paraId="7D24BE14"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64" w:type="pct"/>
            <w:shd w:val="clear" w:color="auto" w:fill="FFFFFF" w:themeFill="background1"/>
          </w:tcPr>
          <w:p w14:paraId="059D041D"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8</w:t>
            </w:r>
          </w:p>
        </w:tc>
        <w:tc>
          <w:tcPr>
            <w:tcW w:w="303" w:type="pct"/>
            <w:shd w:val="clear" w:color="auto" w:fill="FFFFFF" w:themeFill="background1"/>
          </w:tcPr>
          <w:p w14:paraId="73B384A7"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312" w:type="pct"/>
            <w:shd w:val="clear" w:color="auto" w:fill="FFFFFF" w:themeFill="background1"/>
          </w:tcPr>
          <w:p w14:paraId="48F4FCBE"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47A9E2A5" w14:textId="77777777" w:rsidTr="000A49EE">
        <w:trPr>
          <w:trHeight w:val="286"/>
        </w:trPr>
        <w:tc>
          <w:tcPr>
            <w:tcW w:w="322" w:type="pct"/>
            <w:vMerge/>
            <w:shd w:val="clear" w:color="auto" w:fill="FFFFFF" w:themeFill="background1"/>
          </w:tcPr>
          <w:p w14:paraId="47A5803B" w14:textId="77777777" w:rsidR="0087201A" w:rsidRPr="00B44B19" w:rsidRDefault="0087201A" w:rsidP="0087201A">
            <w:pPr>
              <w:spacing w:after="0" w:line="240" w:lineRule="auto"/>
              <w:jc w:val="both"/>
              <w:rPr>
                <w:rFonts w:eastAsia="Calibri" w:cs="Times New Roman"/>
                <w:noProof/>
                <w:sz w:val="16"/>
                <w:szCs w:val="16"/>
              </w:rPr>
            </w:pPr>
          </w:p>
        </w:tc>
        <w:tc>
          <w:tcPr>
            <w:tcW w:w="495" w:type="pct"/>
            <w:vMerge/>
            <w:shd w:val="clear" w:color="auto" w:fill="FFFFFF" w:themeFill="background1"/>
          </w:tcPr>
          <w:p w14:paraId="33352F2D" w14:textId="77777777" w:rsidR="0087201A" w:rsidRPr="00B44B19" w:rsidRDefault="0087201A" w:rsidP="0087201A">
            <w:pPr>
              <w:spacing w:after="0" w:line="240" w:lineRule="auto"/>
              <w:jc w:val="both"/>
              <w:rPr>
                <w:rFonts w:eastAsia="Calibri" w:cs="Times New Roman"/>
                <w:noProof/>
                <w:sz w:val="16"/>
                <w:szCs w:val="16"/>
              </w:rPr>
            </w:pPr>
          </w:p>
        </w:tc>
        <w:tc>
          <w:tcPr>
            <w:tcW w:w="243" w:type="pct"/>
            <w:vMerge/>
            <w:shd w:val="clear" w:color="auto" w:fill="FFFFFF" w:themeFill="background1"/>
          </w:tcPr>
          <w:p w14:paraId="1A5F9FBA" w14:textId="77777777" w:rsidR="0087201A" w:rsidRPr="00B44B19" w:rsidRDefault="0087201A" w:rsidP="0087201A">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617F55E5" w14:textId="77777777" w:rsidR="0087201A" w:rsidRPr="00B44B19" w:rsidRDefault="0087201A" w:rsidP="0087201A">
            <w:pPr>
              <w:spacing w:after="0" w:line="240" w:lineRule="auto"/>
              <w:jc w:val="both"/>
              <w:rPr>
                <w:rFonts w:eastAsia="Times New Roman" w:cs="Times New Roman"/>
                <w:iCs/>
                <w:noProof/>
                <w:sz w:val="16"/>
                <w:szCs w:val="16"/>
              </w:rPr>
            </w:pPr>
            <w:r w:rsidRPr="00B44B19">
              <w:rPr>
                <w:rFonts w:eastAsia="Times New Roman" w:cs="Times New Roman"/>
                <w:iCs/>
                <w:noProof/>
                <w:sz w:val="16"/>
                <w:szCs w:val="16"/>
              </w:rPr>
              <w:t>Sostinės regionas</w:t>
            </w:r>
          </w:p>
        </w:tc>
        <w:tc>
          <w:tcPr>
            <w:tcW w:w="423" w:type="pct"/>
            <w:shd w:val="clear" w:color="auto" w:fill="FFFFFF" w:themeFill="background1"/>
          </w:tcPr>
          <w:p w14:paraId="6D0F1C4A"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Specialusis</w:t>
            </w:r>
          </w:p>
        </w:tc>
        <w:tc>
          <w:tcPr>
            <w:tcW w:w="1177" w:type="pct"/>
            <w:shd w:val="clear" w:color="auto" w:fill="FFFFFF" w:themeFill="background1"/>
          </w:tcPr>
          <w:p w14:paraId="77BD2483"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Įvykdytas inovatyvus viešasis pirkimas</w:t>
            </w:r>
          </w:p>
        </w:tc>
        <w:tc>
          <w:tcPr>
            <w:tcW w:w="366" w:type="pct"/>
            <w:shd w:val="clear" w:color="auto" w:fill="FFFFFF" w:themeFill="background1"/>
          </w:tcPr>
          <w:p w14:paraId="2E2EA981"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Skaičius</w:t>
            </w:r>
          </w:p>
        </w:tc>
        <w:tc>
          <w:tcPr>
            <w:tcW w:w="290" w:type="pct"/>
            <w:shd w:val="clear" w:color="auto" w:fill="FFFFFF" w:themeFill="background1"/>
          </w:tcPr>
          <w:p w14:paraId="4F2993B4"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375" w:type="pct"/>
            <w:shd w:val="clear" w:color="auto" w:fill="FFFFFF" w:themeFill="background1"/>
          </w:tcPr>
          <w:p w14:paraId="09143211"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2021</w:t>
            </w:r>
          </w:p>
        </w:tc>
        <w:tc>
          <w:tcPr>
            <w:tcW w:w="364" w:type="pct"/>
            <w:shd w:val="clear" w:color="auto" w:fill="FFFFFF" w:themeFill="background1"/>
          </w:tcPr>
          <w:p w14:paraId="66D16933"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12</w:t>
            </w:r>
          </w:p>
        </w:tc>
        <w:tc>
          <w:tcPr>
            <w:tcW w:w="303" w:type="pct"/>
            <w:shd w:val="clear" w:color="auto" w:fill="FFFFFF" w:themeFill="background1"/>
          </w:tcPr>
          <w:p w14:paraId="0ABDBE1F"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312" w:type="pct"/>
            <w:shd w:val="clear" w:color="auto" w:fill="FFFFFF" w:themeFill="background1"/>
          </w:tcPr>
          <w:p w14:paraId="2C3350A7"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bl>
    <w:p w14:paraId="5B68B4D3" w14:textId="77777777" w:rsidR="0087201A" w:rsidRPr="00B44B19" w:rsidRDefault="0087201A" w:rsidP="0087201A">
      <w:pPr>
        <w:spacing w:after="0" w:line="240" w:lineRule="auto"/>
        <w:jc w:val="both"/>
        <w:rPr>
          <w:rFonts w:cs="Times New Roman"/>
          <w:sz w:val="16"/>
          <w:szCs w:val="16"/>
        </w:rPr>
        <w:sectPr w:rsidR="0087201A" w:rsidRPr="00B44B19" w:rsidSect="0087201A">
          <w:pgSz w:w="16838" w:h="11906" w:orient="landscape"/>
          <w:pgMar w:top="1701" w:right="1276" w:bottom="567" w:left="1134" w:header="567" w:footer="567" w:gutter="0"/>
          <w:cols w:space="1296"/>
          <w:docGrid w:linePitch="360"/>
        </w:sectPr>
      </w:pPr>
    </w:p>
    <w:p w14:paraId="5AEDD72C" w14:textId="77777777" w:rsidR="0087201A" w:rsidRPr="00B44B19" w:rsidRDefault="0087201A" w:rsidP="0087201A">
      <w:pPr>
        <w:tabs>
          <w:tab w:val="center" w:pos="4819"/>
          <w:tab w:val="right" w:pos="9638"/>
        </w:tabs>
        <w:spacing w:before="120" w:after="120" w:line="240" w:lineRule="auto"/>
        <w:rPr>
          <w:rFonts w:cs="Times New Roman"/>
          <w:b/>
          <w:i/>
          <w:noProof/>
          <w:color w:val="1F497D" w:themeColor="text2"/>
          <w:sz w:val="22"/>
          <w:lang w:eastAsia="lt-LT" w:bidi="lt-LT"/>
        </w:rPr>
      </w:pPr>
      <w:r w:rsidRPr="00B44B19">
        <w:rPr>
          <w:rFonts w:cs="Times New Roman"/>
          <w:b/>
          <w:i/>
          <w:noProof/>
          <w:color w:val="1F497D" w:themeColor="text2"/>
          <w:sz w:val="22"/>
          <w:lang w:eastAsia="lt-LT" w:bidi="lt-LT"/>
        </w:rPr>
        <w:lastRenderedPageBreak/>
        <w:t>Preliminarus Programos išteklių suskirstymas pagal intervencinių priemonių rūšį</w:t>
      </w:r>
    </w:p>
    <w:tbl>
      <w:tblPr>
        <w:tblStyle w:val="Lentelstinklelis"/>
        <w:tblW w:w="9705" w:type="dxa"/>
        <w:tblLayout w:type="fixed"/>
        <w:tblLook w:val="04A0" w:firstRow="1" w:lastRow="0" w:firstColumn="1" w:lastColumn="0" w:noHBand="0" w:noVBand="1"/>
      </w:tblPr>
      <w:tblGrid>
        <w:gridCol w:w="1065"/>
        <w:gridCol w:w="900"/>
        <w:gridCol w:w="1530"/>
        <w:gridCol w:w="1170"/>
        <w:gridCol w:w="3528"/>
        <w:gridCol w:w="1512"/>
      </w:tblGrid>
      <w:tr w:rsidR="0087201A" w:rsidRPr="00B44B19" w14:paraId="38DA5391" w14:textId="77777777" w:rsidTr="003040E3">
        <w:trPr>
          <w:trHeight w:val="242"/>
        </w:trPr>
        <w:tc>
          <w:tcPr>
            <w:tcW w:w="9705"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6488A0" w14:textId="77777777" w:rsidR="0087201A" w:rsidRPr="00B44B19" w:rsidRDefault="0087201A" w:rsidP="0087201A">
            <w:pPr>
              <w:spacing w:after="200"/>
              <w:rPr>
                <w:rFonts w:cs="Times New Roman"/>
                <w:b/>
                <w:noProof/>
                <w:sz w:val="20"/>
                <w:szCs w:val="20"/>
              </w:rPr>
            </w:pPr>
            <w:r w:rsidRPr="00B44B19">
              <w:rPr>
                <w:rFonts w:cs="Times New Roman"/>
                <w:b/>
                <w:noProof/>
                <w:sz w:val="20"/>
                <w:szCs w:val="20"/>
              </w:rPr>
              <w:t>4 lentelė. 1 matmuo. Intervencinių priemonių sritis</w:t>
            </w:r>
          </w:p>
        </w:tc>
      </w:tr>
      <w:tr w:rsidR="0087201A" w:rsidRPr="00B44B19" w14:paraId="394B98C1" w14:textId="77777777" w:rsidTr="003040E3">
        <w:trPr>
          <w:trHeight w:val="472"/>
        </w:trPr>
        <w:tc>
          <w:tcPr>
            <w:tcW w:w="106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C4BBD1"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9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66081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5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51E31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8145FE"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5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66DEF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1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8389D6"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52AAD715" w14:textId="77777777" w:rsidTr="003040E3">
        <w:trPr>
          <w:trHeight w:val="559"/>
        </w:trPr>
        <w:tc>
          <w:tcPr>
            <w:tcW w:w="1065" w:type="dxa"/>
            <w:vMerge w:val="restart"/>
            <w:tcBorders>
              <w:top w:val="single" w:sz="12" w:space="0" w:color="auto"/>
            </w:tcBorders>
          </w:tcPr>
          <w:p w14:paraId="242FFEEE" w14:textId="77777777" w:rsidR="0087201A" w:rsidRPr="00B44B19" w:rsidRDefault="0087201A" w:rsidP="0087201A">
            <w:pPr>
              <w:spacing w:after="200"/>
              <w:jc w:val="center"/>
              <w:rPr>
                <w:rFonts w:cs="Times New Roman"/>
                <w:noProof/>
                <w:sz w:val="20"/>
                <w:szCs w:val="20"/>
              </w:rPr>
            </w:pPr>
            <w:r w:rsidRPr="00B44B19">
              <w:rPr>
                <w:rFonts w:eastAsia="Times New Roman" w:cs="Times New Roman"/>
                <w:iCs/>
                <w:noProof/>
                <w:sz w:val="20"/>
                <w:szCs w:val="20"/>
              </w:rPr>
              <w:t>11</w:t>
            </w:r>
          </w:p>
        </w:tc>
        <w:tc>
          <w:tcPr>
            <w:tcW w:w="900" w:type="dxa"/>
            <w:vMerge w:val="restart"/>
            <w:tcBorders>
              <w:top w:val="single" w:sz="12" w:space="0" w:color="auto"/>
            </w:tcBorders>
          </w:tcPr>
          <w:p w14:paraId="6053A9A1" w14:textId="77777777" w:rsidR="0087201A" w:rsidRPr="00B44B19" w:rsidRDefault="0087201A" w:rsidP="0087201A">
            <w:pPr>
              <w:spacing w:after="200"/>
              <w:jc w:val="center"/>
              <w:rPr>
                <w:rFonts w:cs="Times New Roman"/>
                <w:noProof/>
                <w:sz w:val="20"/>
                <w:szCs w:val="20"/>
              </w:rPr>
            </w:pPr>
            <w:r w:rsidRPr="00B44B19">
              <w:rPr>
                <w:rFonts w:eastAsia="Times New Roman" w:cs="Times New Roman"/>
                <w:iCs/>
                <w:noProof/>
                <w:sz w:val="20"/>
                <w:szCs w:val="20"/>
              </w:rPr>
              <w:t>ERPF</w:t>
            </w:r>
          </w:p>
        </w:tc>
        <w:tc>
          <w:tcPr>
            <w:tcW w:w="1530" w:type="dxa"/>
            <w:tcBorders>
              <w:top w:val="single" w:sz="4" w:space="0" w:color="auto"/>
            </w:tcBorders>
          </w:tcPr>
          <w:p w14:paraId="049F7609"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170" w:type="dxa"/>
            <w:vMerge w:val="restart"/>
          </w:tcPr>
          <w:p w14:paraId="747FE400" w14:textId="77777777" w:rsidR="0087201A" w:rsidRPr="00B44B19" w:rsidRDefault="0087201A" w:rsidP="0087201A">
            <w:pPr>
              <w:spacing w:after="200"/>
              <w:jc w:val="center"/>
              <w:rPr>
                <w:rFonts w:cs="Times New Roman"/>
                <w:noProof/>
                <w:sz w:val="20"/>
                <w:szCs w:val="20"/>
              </w:rPr>
            </w:pPr>
            <w:r w:rsidRPr="00B44B19">
              <w:rPr>
                <w:rFonts w:eastAsia="Times New Roman" w:cs="Times New Roman"/>
                <w:bCs/>
                <w:iCs/>
                <w:noProof/>
                <w:sz w:val="20"/>
                <w:szCs w:val="20"/>
              </w:rPr>
              <w:t>11.1</w:t>
            </w:r>
          </w:p>
        </w:tc>
        <w:tc>
          <w:tcPr>
            <w:tcW w:w="3528" w:type="dxa"/>
            <w:vMerge w:val="restart"/>
            <w:tcBorders>
              <w:top w:val="single" w:sz="4" w:space="0" w:color="auto"/>
            </w:tcBorders>
            <w:shd w:val="clear" w:color="auto" w:fill="FFFFFF" w:themeFill="background1"/>
          </w:tcPr>
          <w:p w14:paraId="695ABEB2" w14:textId="48673FCC" w:rsidR="0087201A" w:rsidRPr="00B44B19" w:rsidRDefault="0087201A" w:rsidP="0087201A">
            <w:pPr>
              <w:spacing w:after="200"/>
              <w:jc w:val="both"/>
              <w:rPr>
                <w:rFonts w:eastAsia="Times New Roman" w:cs="Times New Roman"/>
                <w:iCs/>
                <w:noProof/>
                <w:sz w:val="20"/>
                <w:szCs w:val="20"/>
              </w:rPr>
            </w:pPr>
            <w:r w:rsidRPr="00B44B19">
              <w:rPr>
                <w:rFonts w:eastAsia="Times New Roman" w:cs="Times New Roman"/>
                <w:iCs/>
                <w:noProof/>
                <w:sz w:val="20"/>
                <w:szCs w:val="20"/>
              </w:rPr>
              <w:t>194 Produktyvios investicijos į dideles įmones, susijusias su gynybos ir dvejopo naudojimo technologijomis</w:t>
            </w:r>
          </w:p>
        </w:tc>
        <w:tc>
          <w:tcPr>
            <w:tcW w:w="1512" w:type="dxa"/>
            <w:tcBorders>
              <w:top w:val="single" w:sz="4" w:space="0" w:color="auto"/>
            </w:tcBorders>
          </w:tcPr>
          <w:p w14:paraId="5952A5AE" w14:textId="77777777" w:rsidR="0087201A" w:rsidRPr="00B44B19" w:rsidDel="00A949B6" w:rsidRDefault="0087201A" w:rsidP="0087201A">
            <w:pPr>
              <w:spacing w:after="200"/>
              <w:jc w:val="right"/>
              <w:rPr>
                <w:rFonts w:eastAsia="Times New Roman" w:cs="Times New Roman"/>
                <w:iCs/>
                <w:noProof/>
                <w:sz w:val="20"/>
                <w:szCs w:val="20"/>
              </w:rPr>
            </w:pPr>
            <w:r w:rsidRPr="00B44B19">
              <w:rPr>
                <w:rFonts w:eastAsia="Times New Roman" w:cs="Times New Roman"/>
                <w:iCs/>
                <w:noProof/>
                <w:sz w:val="20"/>
                <w:szCs w:val="20"/>
              </w:rPr>
              <w:t>1 900 000,00</w:t>
            </w:r>
          </w:p>
        </w:tc>
      </w:tr>
      <w:tr w:rsidR="0087201A" w:rsidRPr="00B44B19" w14:paraId="70E7514A" w14:textId="77777777" w:rsidTr="003040E3">
        <w:trPr>
          <w:trHeight w:val="70"/>
        </w:trPr>
        <w:tc>
          <w:tcPr>
            <w:tcW w:w="1065" w:type="dxa"/>
            <w:vMerge/>
          </w:tcPr>
          <w:p w14:paraId="7F0A166B" w14:textId="77777777" w:rsidR="0087201A" w:rsidRPr="00B44B19" w:rsidRDefault="0087201A" w:rsidP="0087201A">
            <w:pPr>
              <w:spacing w:after="200"/>
              <w:jc w:val="center"/>
              <w:rPr>
                <w:rFonts w:cs="Times New Roman"/>
                <w:noProof/>
                <w:sz w:val="20"/>
                <w:szCs w:val="20"/>
              </w:rPr>
            </w:pPr>
          </w:p>
        </w:tc>
        <w:tc>
          <w:tcPr>
            <w:tcW w:w="900" w:type="dxa"/>
            <w:vMerge/>
          </w:tcPr>
          <w:p w14:paraId="410B0640" w14:textId="77777777" w:rsidR="0087201A" w:rsidRPr="00B44B19" w:rsidRDefault="0087201A" w:rsidP="0087201A">
            <w:pPr>
              <w:spacing w:after="200"/>
              <w:jc w:val="center"/>
              <w:rPr>
                <w:rFonts w:cs="Times New Roman"/>
                <w:noProof/>
                <w:sz w:val="20"/>
                <w:szCs w:val="20"/>
              </w:rPr>
            </w:pPr>
          </w:p>
        </w:tc>
        <w:tc>
          <w:tcPr>
            <w:tcW w:w="1530" w:type="dxa"/>
            <w:tcBorders>
              <w:top w:val="single" w:sz="4" w:space="0" w:color="auto"/>
              <w:bottom w:val="single" w:sz="4" w:space="0" w:color="auto"/>
            </w:tcBorders>
          </w:tcPr>
          <w:p w14:paraId="74DC94FE" w14:textId="47ADCCF6" w:rsidR="0087201A" w:rsidRPr="00B44B19" w:rsidRDefault="0087201A" w:rsidP="008E1D84">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70" w:type="dxa"/>
            <w:vMerge/>
          </w:tcPr>
          <w:p w14:paraId="4D4CC4BE" w14:textId="77777777" w:rsidR="0087201A" w:rsidRPr="00B44B19" w:rsidRDefault="0087201A" w:rsidP="0087201A">
            <w:pPr>
              <w:spacing w:after="200"/>
              <w:jc w:val="center"/>
              <w:rPr>
                <w:rFonts w:cs="Times New Roman"/>
                <w:noProof/>
                <w:sz w:val="20"/>
                <w:szCs w:val="20"/>
              </w:rPr>
            </w:pPr>
          </w:p>
        </w:tc>
        <w:tc>
          <w:tcPr>
            <w:tcW w:w="3528" w:type="dxa"/>
            <w:vMerge/>
            <w:tcBorders>
              <w:bottom w:val="single" w:sz="4" w:space="0" w:color="auto"/>
            </w:tcBorders>
            <w:shd w:val="clear" w:color="auto" w:fill="FFFFFF" w:themeFill="background1"/>
          </w:tcPr>
          <w:p w14:paraId="1524793A" w14:textId="77777777" w:rsidR="0087201A" w:rsidRPr="00B44B19" w:rsidDel="00AA781F" w:rsidRDefault="0087201A" w:rsidP="0087201A">
            <w:pPr>
              <w:spacing w:after="200"/>
              <w:jc w:val="both"/>
              <w:rPr>
                <w:rFonts w:eastAsia="Times New Roman" w:cs="Times New Roman"/>
                <w:iCs/>
                <w:noProof/>
                <w:sz w:val="20"/>
                <w:szCs w:val="20"/>
                <w:lang w:val="en-US"/>
              </w:rPr>
            </w:pPr>
          </w:p>
        </w:tc>
        <w:tc>
          <w:tcPr>
            <w:tcW w:w="1512" w:type="dxa"/>
            <w:tcBorders>
              <w:top w:val="single" w:sz="4" w:space="0" w:color="auto"/>
              <w:bottom w:val="single" w:sz="4" w:space="0" w:color="auto"/>
            </w:tcBorders>
          </w:tcPr>
          <w:p w14:paraId="334B757F" w14:textId="70E3CA78" w:rsidR="0087201A" w:rsidRPr="00B44B19" w:rsidDel="00A949B6" w:rsidRDefault="0087201A" w:rsidP="0087201A">
            <w:pPr>
              <w:spacing w:after="200"/>
              <w:jc w:val="right"/>
              <w:rPr>
                <w:rFonts w:eastAsia="Times New Roman" w:cs="Times New Roman"/>
                <w:iCs/>
                <w:noProof/>
                <w:sz w:val="20"/>
                <w:szCs w:val="20"/>
              </w:rPr>
            </w:pPr>
            <w:r w:rsidRPr="00B44B19">
              <w:rPr>
                <w:rFonts w:eastAsia="Times New Roman" w:cs="Times New Roman"/>
                <w:iCs/>
                <w:noProof/>
                <w:sz w:val="20"/>
                <w:szCs w:val="20"/>
              </w:rPr>
              <w:t>36 860 75</w:t>
            </w:r>
            <w:r w:rsidR="00AF1086" w:rsidRPr="00B44B19">
              <w:rPr>
                <w:rFonts w:eastAsia="Times New Roman" w:cs="Times New Roman"/>
                <w:iCs/>
                <w:noProof/>
                <w:sz w:val="20"/>
                <w:szCs w:val="20"/>
              </w:rPr>
              <w:t>7</w:t>
            </w:r>
            <w:r w:rsidRPr="00B44B19">
              <w:rPr>
                <w:rFonts w:eastAsia="Times New Roman" w:cs="Times New Roman"/>
                <w:iCs/>
                <w:noProof/>
                <w:sz w:val="20"/>
                <w:szCs w:val="20"/>
              </w:rPr>
              <w:t>,</w:t>
            </w:r>
            <w:r w:rsidR="00AF1086" w:rsidRPr="00B44B19">
              <w:rPr>
                <w:rFonts w:eastAsia="Times New Roman" w:cs="Times New Roman"/>
                <w:iCs/>
                <w:noProof/>
                <w:sz w:val="20"/>
                <w:szCs w:val="20"/>
              </w:rPr>
              <w:t>00</w:t>
            </w:r>
          </w:p>
        </w:tc>
      </w:tr>
      <w:tr w:rsidR="0087201A" w:rsidRPr="00B44B19" w14:paraId="7073451C" w14:textId="77777777" w:rsidTr="003040E3">
        <w:trPr>
          <w:trHeight w:val="354"/>
        </w:trPr>
        <w:tc>
          <w:tcPr>
            <w:tcW w:w="1065" w:type="dxa"/>
            <w:vMerge/>
          </w:tcPr>
          <w:p w14:paraId="75268103" w14:textId="77777777" w:rsidR="0087201A" w:rsidRPr="00B44B19" w:rsidRDefault="0087201A" w:rsidP="0087201A">
            <w:pPr>
              <w:spacing w:after="200"/>
              <w:jc w:val="center"/>
              <w:rPr>
                <w:rFonts w:cs="Times New Roman"/>
                <w:noProof/>
                <w:sz w:val="20"/>
                <w:szCs w:val="20"/>
              </w:rPr>
            </w:pPr>
          </w:p>
        </w:tc>
        <w:tc>
          <w:tcPr>
            <w:tcW w:w="900" w:type="dxa"/>
            <w:vMerge/>
          </w:tcPr>
          <w:p w14:paraId="6130371D" w14:textId="77777777" w:rsidR="0087201A" w:rsidRPr="00B44B19" w:rsidRDefault="0087201A" w:rsidP="0087201A">
            <w:pPr>
              <w:spacing w:after="200"/>
              <w:jc w:val="center"/>
              <w:rPr>
                <w:rFonts w:cs="Times New Roman"/>
                <w:noProof/>
                <w:sz w:val="20"/>
                <w:szCs w:val="20"/>
              </w:rPr>
            </w:pPr>
          </w:p>
        </w:tc>
        <w:tc>
          <w:tcPr>
            <w:tcW w:w="1530" w:type="dxa"/>
            <w:tcBorders>
              <w:top w:val="single" w:sz="4" w:space="0" w:color="auto"/>
              <w:bottom w:val="single" w:sz="4" w:space="0" w:color="auto"/>
            </w:tcBorders>
          </w:tcPr>
          <w:p w14:paraId="11BF4A73"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170" w:type="dxa"/>
            <w:vMerge/>
          </w:tcPr>
          <w:p w14:paraId="7297DB5E" w14:textId="77777777" w:rsidR="0087201A" w:rsidRPr="00B44B19" w:rsidRDefault="0087201A" w:rsidP="0087201A">
            <w:pPr>
              <w:spacing w:after="200"/>
              <w:jc w:val="center"/>
              <w:rPr>
                <w:rFonts w:cs="Times New Roman"/>
                <w:noProof/>
                <w:sz w:val="20"/>
                <w:szCs w:val="20"/>
              </w:rPr>
            </w:pPr>
          </w:p>
        </w:tc>
        <w:tc>
          <w:tcPr>
            <w:tcW w:w="3528" w:type="dxa"/>
            <w:vMerge w:val="restart"/>
            <w:tcBorders>
              <w:top w:val="single" w:sz="4" w:space="0" w:color="auto"/>
            </w:tcBorders>
            <w:shd w:val="clear" w:color="auto" w:fill="FFFFFF" w:themeFill="background1"/>
          </w:tcPr>
          <w:p w14:paraId="46C78AD3" w14:textId="728E4F61" w:rsidR="0087201A" w:rsidRPr="00B44B19" w:rsidDel="00AA781F" w:rsidRDefault="0087201A" w:rsidP="0087201A">
            <w:pPr>
              <w:spacing w:after="200"/>
              <w:jc w:val="both"/>
              <w:rPr>
                <w:rFonts w:eastAsia="Times New Roman" w:cs="Times New Roman"/>
                <w:iCs/>
                <w:noProof/>
                <w:sz w:val="20"/>
                <w:szCs w:val="20"/>
              </w:rPr>
            </w:pPr>
            <w:r w:rsidRPr="00B44B19">
              <w:rPr>
                <w:rFonts w:eastAsia="Times New Roman" w:cs="Times New Roman"/>
                <w:iCs/>
                <w:noProof/>
                <w:sz w:val="20"/>
                <w:szCs w:val="20"/>
              </w:rPr>
              <w:t>195 Produktyvios investicijos į MVĮ, susijusias su gynybos ir dvejopo naudojimo technologijomis</w:t>
            </w:r>
          </w:p>
        </w:tc>
        <w:tc>
          <w:tcPr>
            <w:tcW w:w="1512" w:type="dxa"/>
            <w:tcBorders>
              <w:top w:val="single" w:sz="4" w:space="0" w:color="auto"/>
              <w:bottom w:val="single" w:sz="4" w:space="0" w:color="auto"/>
            </w:tcBorders>
          </w:tcPr>
          <w:p w14:paraId="7025AD39" w14:textId="77777777" w:rsidR="0087201A" w:rsidRPr="00B44B19" w:rsidDel="00A949B6" w:rsidRDefault="0087201A" w:rsidP="0087201A">
            <w:pPr>
              <w:spacing w:after="200"/>
              <w:jc w:val="right"/>
              <w:rPr>
                <w:rFonts w:eastAsia="Times New Roman" w:cs="Times New Roman"/>
                <w:iCs/>
                <w:noProof/>
                <w:sz w:val="20"/>
                <w:szCs w:val="20"/>
              </w:rPr>
            </w:pPr>
            <w:r w:rsidRPr="00B44B19">
              <w:rPr>
                <w:rFonts w:eastAsia="Times New Roman" w:cs="Times New Roman"/>
                <w:iCs/>
                <w:noProof/>
                <w:sz w:val="20"/>
                <w:szCs w:val="20"/>
              </w:rPr>
              <w:t>21 100 000,00</w:t>
            </w:r>
          </w:p>
        </w:tc>
      </w:tr>
      <w:tr w:rsidR="0087201A" w:rsidRPr="00B44B19" w14:paraId="53DA0335" w14:textId="77777777" w:rsidTr="003040E3">
        <w:trPr>
          <w:trHeight w:val="264"/>
        </w:trPr>
        <w:tc>
          <w:tcPr>
            <w:tcW w:w="1065" w:type="dxa"/>
            <w:vMerge/>
          </w:tcPr>
          <w:p w14:paraId="112F4879" w14:textId="77777777" w:rsidR="0087201A" w:rsidRPr="00B44B19" w:rsidRDefault="0087201A" w:rsidP="0087201A">
            <w:pPr>
              <w:spacing w:after="200"/>
              <w:jc w:val="center"/>
              <w:rPr>
                <w:rFonts w:cs="Times New Roman"/>
                <w:noProof/>
                <w:sz w:val="20"/>
                <w:szCs w:val="20"/>
              </w:rPr>
            </w:pPr>
          </w:p>
        </w:tc>
        <w:tc>
          <w:tcPr>
            <w:tcW w:w="900" w:type="dxa"/>
            <w:vMerge/>
          </w:tcPr>
          <w:p w14:paraId="5DFC02D3" w14:textId="77777777" w:rsidR="0087201A" w:rsidRPr="00B44B19" w:rsidRDefault="0087201A" w:rsidP="0087201A">
            <w:pPr>
              <w:spacing w:after="200"/>
              <w:jc w:val="center"/>
              <w:rPr>
                <w:rFonts w:cs="Times New Roman"/>
                <w:noProof/>
                <w:sz w:val="20"/>
                <w:szCs w:val="20"/>
              </w:rPr>
            </w:pPr>
          </w:p>
        </w:tc>
        <w:tc>
          <w:tcPr>
            <w:tcW w:w="1530" w:type="dxa"/>
            <w:tcBorders>
              <w:top w:val="single" w:sz="4" w:space="0" w:color="auto"/>
              <w:bottom w:val="single" w:sz="4" w:space="0" w:color="auto"/>
            </w:tcBorders>
          </w:tcPr>
          <w:p w14:paraId="6F684427" w14:textId="719485D9" w:rsidR="0087201A" w:rsidRPr="00B44B19" w:rsidRDefault="0087201A" w:rsidP="008E1D84">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70" w:type="dxa"/>
            <w:vMerge/>
          </w:tcPr>
          <w:p w14:paraId="0E0B755F" w14:textId="77777777" w:rsidR="0087201A" w:rsidRPr="00B44B19" w:rsidRDefault="0087201A" w:rsidP="0087201A">
            <w:pPr>
              <w:spacing w:after="200"/>
              <w:jc w:val="center"/>
              <w:rPr>
                <w:rFonts w:cs="Times New Roman"/>
                <w:noProof/>
                <w:sz w:val="20"/>
                <w:szCs w:val="20"/>
              </w:rPr>
            </w:pPr>
          </w:p>
        </w:tc>
        <w:tc>
          <w:tcPr>
            <w:tcW w:w="3528" w:type="dxa"/>
            <w:vMerge/>
            <w:shd w:val="clear" w:color="auto" w:fill="FFFFFF" w:themeFill="background1"/>
          </w:tcPr>
          <w:p w14:paraId="68A271E2" w14:textId="77777777" w:rsidR="0087201A" w:rsidRPr="00B44B19" w:rsidDel="00AA781F" w:rsidRDefault="0087201A" w:rsidP="0087201A">
            <w:pPr>
              <w:spacing w:after="200"/>
              <w:jc w:val="both"/>
              <w:rPr>
                <w:rFonts w:eastAsia="Times New Roman" w:cs="Times New Roman"/>
                <w:iCs/>
                <w:noProof/>
                <w:sz w:val="20"/>
                <w:szCs w:val="20"/>
                <w:lang w:val="en-US"/>
              </w:rPr>
            </w:pPr>
          </w:p>
        </w:tc>
        <w:tc>
          <w:tcPr>
            <w:tcW w:w="1512" w:type="dxa"/>
            <w:tcBorders>
              <w:top w:val="single" w:sz="4" w:space="0" w:color="auto"/>
              <w:bottom w:val="single" w:sz="4" w:space="0" w:color="auto"/>
            </w:tcBorders>
          </w:tcPr>
          <w:p w14:paraId="3AF7EA08" w14:textId="6DDB4358" w:rsidR="0087201A" w:rsidRPr="00B44B19" w:rsidDel="00A949B6" w:rsidRDefault="0087201A" w:rsidP="0087201A">
            <w:pPr>
              <w:spacing w:after="200"/>
              <w:jc w:val="right"/>
              <w:rPr>
                <w:rFonts w:eastAsia="Times New Roman" w:cs="Times New Roman"/>
                <w:iCs/>
                <w:noProof/>
                <w:sz w:val="20"/>
                <w:szCs w:val="20"/>
              </w:rPr>
            </w:pPr>
            <w:r w:rsidRPr="00B44B19">
              <w:rPr>
                <w:rFonts w:eastAsia="Times New Roman" w:cs="Times New Roman"/>
                <w:iCs/>
                <w:noProof/>
                <w:sz w:val="20"/>
                <w:szCs w:val="20"/>
              </w:rPr>
              <w:t>19 177 087,</w:t>
            </w:r>
            <w:r w:rsidR="00AF1086" w:rsidRPr="00B44B19">
              <w:rPr>
                <w:rFonts w:eastAsia="Times New Roman" w:cs="Times New Roman"/>
                <w:iCs/>
                <w:noProof/>
                <w:sz w:val="20"/>
                <w:szCs w:val="20"/>
              </w:rPr>
              <w:t>00</w:t>
            </w:r>
          </w:p>
        </w:tc>
      </w:tr>
      <w:tr w:rsidR="0087201A" w:rsidRPr="00B44B19" w14:paraId="4A37ADD2" w14:textId="77777777" w:rsidTr="003040E3">
        <w:trPr>
          <w:trHeight w:val="264"/>
        </w:trPr>
        <w:tc>
          <w:tcPr>
            <w:tcW w:w="1065" w:type="dxa"/>
            <w:vMerge/>
            <w:tcBorders>
              <w:bottom w:val="single" w:sz="4" w:space="0" w:color="auto"/>
            </w:tcBorders>
          </w:tcPr>
          <w:p w14:paraId="6DB9DAF9" w14:textId="77777777" w:rsidR="0087201A" w:rsidRPr="00B44B19" w:rsidRDefault="0087201A" w:rsidP="0087201A">
            <w:pPr>
              <w:spacing w:after="200"/>
              <w:jc w:val="center"/>
              <w:rPr>
                <w:rFonts w:cs="Times New Roman"/>
                <w:noProof/>
                <w:sz w:val="20"/>
                <w:szCs w:val="20"/>
              </w:rPr>
            </w:pPr>
          </w:p>
        </w:tc>
        <w:tc>
          <w:tcPr>
            <w:tcW w:w="900" w:type="dxa"/>
            <w:vMerge/>
            <w:tcBorders>
              <w:bottom w:val="single" w:sz="4" w:space="0" w:color="auto"/>
            </w:tcBorders>
          </w:tcPr>
          <w:p w14:paraId="0E1270AE" w14:textId="77777777" w:rsidR="0087201A" w:rsidRPr="00B44B19" w:rsidRDefault="0087201A" w:rsidP="0087201A">
            <w:pPr>
              <w:spacing w:after="200"/>
              <w:jc w:val="center"/>
              <w:rPr>
                <w:rFonts w:cs="Times New Roman"/>
                <w:noProof/>
                <w:sz w:val="20"/>
                <w:szCs w:val="20"/>
              </w:rPr>
            </w:pPr>
          </w:p>
        </w:tc>
        <w:tc>
          <w:tcPr>
            <w:tcW w:w="1530" w:type="dxa"/>
            <w:tcBorders>
              <w:top w:val="single" w:sz="4" w:space="0" w:color="auto"/>
              <w:bottom w:val="single" w:sz="4" w:space="0" w:color="auto"/>
            </w:tcBorders>
          </w:tcPr>
          <w:p w14:paraId="74797E2D"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70" w:type="dxa"/>
            <w:vMerge/>
            <w:tcBorders>
              <w:bottom w:val="single" w:sz="4" w:space="0" w:color="auto"/>
            </w:tcBorders>
          </w:tcPr>
          <w:p w14:paraId="73EA82AD" w14:textId="77777777" w:rsidR="0087201A" w:rsidRPr="00B44B19" w:rsidRDefault="0087201A" w:rsidP="0087201A">
            <w:pPr>
              <w:spacing w:after="200"/>
              <w:jc w:val="center"/>
              <w:rPr>
                <w:rFonts w:cs="Times New Roman"/>
                <w:noProof/>
                <w:sz w:val="20"/>
                <w:szCs w:val="20"/>
              </w:rPr>
            </w:pPr>
          </w:p>
        </w:tc>
        <w:tc>
          <w:tcPr>
            <w:tcW w:w="3528" w:type="dxa"/>
            <w:tcBorders>
              <w:bottom w:val="single" w:sz="4" w:space="0" w:color="auto"/>
            </w:tcBorders>
            <w:shd w:val="clear" w:color="auto" w:fill="FFFFFF" w:themeFill="background1"/>
          </w:tcPr>
          <w:p w14:paraId="06A40A48" w14:textId="77777777" w:rsidR="0087201A" w:rsidRPr="00B44B19" w:rsidDel="00AA781F" w:rsidRDefault="0087201A" w:rsidP="0087201A">
            <w:pPr>
              <w:spacing w:after="200"/>
              <w:jc w:val="both"/>
              <w:rPr>
                <w:rFonts w:eastAsia="Times New Roman" w:cs="Times New Roman"/>
                <w:iCs/>
                <w:noProof/>
                <w:sz w:val="20"/>
                <w:szCs w:val="20"/>
                <w:lang w:val="en-US"/>
              </w:rPr>
            </w:pPr>
            <w:r w:rsidRPr="00B44B19">
              <w:rPr>
                <w:rFonts w:eastAsia="Times New Roman" w:cs="Times New Roman"/>
                <w:iCs/>
                <w:noProof/>
                <w:sz w:val="20"/>
                <w:szCs w:val="20"/>
                <w:lang w:val="en-US"/>
              </w:rPr>
              <w:t>026 Parama inovacijų klasteriams, be kita ko, tarp įmonių, mokslinių tyrimų organizacijų ir valdžios institucijų bei verslo tinklų, kas visų pirma naudinga MVĮ</w:t>
            </w:r>
          </w:p>
        </w:tc>
        <w:tc>
          <w:tcPr>
            <w:tcW w:w="1512" w:type="dxa"/>
            <w:tcBorders>
              <w:top w:val="single" w:sz="4" w:space="0" w:color="auto"/>
              <w:bottom w:val="single" w:sz="4" w:space="0" w:color="auto"/>
            </w:tcBorders>
          </w:tcPr>
          <w:p w14:paraId="5E2B2121" w14:textId="77777777" w:rsidR="0087201A" w:rsidRPr="00B44B19" w:rsidRDefault="0087201A" w:rsidP="0087201A">
            <w:pPr>
              <w:spacing w:after="200"/>
              <w:jc w:val="right"/>
              <w:rPr>
                <w:rFonts w:eastAsia="Calibri" w:cs="Times New Roman"/>
                <w:sz w:val="20"/>
                <w:szCs w:val="20"/>
              </w:rPr>
            </w:pPr>
            <w:r w:rsidRPr="00B44B19">
              <w:rPr>
                <w:rFonts w:eastAsia="Calibri" w:cs="Times New Roman"/>
                <w:sz w:val="20"/>
                <w:szCs w:val="20"/>
              </w:rPr>
              <w:t>10 000 000,00</w:t>
            </w:r>
          </w:p>
          <w:p w14:paraId="37A2D8F0" w14:textId="77777777" w:rsidR="0087201A" w:rsidRPr="00B44B19" w:rsidRDefault="0087201A" w:rsidP="0087201A">
            <w:pPr>
              <w:spacing w:after="200"/>
              <w:jc w:val="right"/>
              <w:rPr>
                <w:rFonts w:eastAsia="Times New Roman" w:cs="Times New Roman"/>
                <w:iCs/>
                <w:noProof/>
                <w:sz w:val="20"/>
                <w:szCs w:val="20"/>
              </w:rPr>
            </w:pPr>
          </w:p>
          <w:p w14:paraId="7D6942E1" w14:textId="77777777" w:rsidR="0087201A" w:rsidRPr="00B44B19" w:rsidDel="00A949B6" w:rsidRDefault="0087201A" w:rsidP="0087201A">
            <w:pPr>
              <w:spacing w:after="200"/>
              <w:jc w:val="right"/>
              <w:rPr>
                <w:rFonts w:eastAsia="Times New Roman" w:cs="Times New Roman"/>
                <w:iCs/>
                <w:noProof/>
                <w:sz w:val="20"/>
                <w:szCs w:val="20"/>
              </w:rPr>
            </w:pPr>
          </w:p>
        </w:tc>
      </w:tr>
    </w:tbl>
    <w:p w14:paraId="55142356"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88"/>
        <w:gridCol w:w="1540"/>
      </w:tblGrid>
      <w:tr w:rsidR="0087201A" w:rsidRPr="00B44B19" w14:paraId="0C85C229"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9C701D"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5 lentelė. 2 matmuo. Finansavimo forma</w:t>
            </w:r>
          </w:p>
        </w:tc>
      </w:tr>
      <w:tr w:rsidR="0087201A" w:rsidRPr="00B44B19" w14:paraId="542501CA" w14:textId="77777777" w:rsidTr="008E1D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76462A"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6E58C5"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502C7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C593A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9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BD357F"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BA10D8"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39277503" w14:textId="77777777" w:rsidTr="008E1D84">
        <w:trPr>
          <w:trHeight w:val="443"/>
        </w:trPr>
        <w:tc>
          <w:tcPr>
            <w:tcW w:w="1101" w:type="dxa"/>
            <w:vMerge w:val="restart"/>
            <w:tcBorders>
              <w:top w:val="single" w:sz="12" w:space="0" w:color="auto"/>
            </w:tcBorders>
          </w:tcPr>
          <w:p w14:paraId="2AC27BA0"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11</w:t>
            </w:r>
          </w:p>
        </w:tc>
        <w:tc>
          <w:tcPr>
            <w:tcW w:w="850" w:type="dxa"/>
            <w:vMerge w:val="restart"/>
            <w:tcBorders>
              <w:top w:val="single" w:sz="12" w:space="0" w:color="auto"/>
            </w:tcBorders>
          </w:tcPr>
          <w:p w14:paraId="020D696B"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134" w:type="dxa"/>
            <w:tcBorders>
              <w:top w:val="single" w:sz="4" w:space="0" w:color="auto"/>
              <w:bottom w:val="single" w:sz="4" w:space="0" w:color="auto"/>
            </w:tcBorders>
          </w:tcPr>
          <w:p w14:paraId="5791DB80"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134" w:type="dxa"/>
            <w:vMerge w:val="restart"/>
            <w:tcBorders>
              <w:top w:val="single" w:sz="12" w:space="0" w:color="auto"/>
            </w:tcBorders>
          </w:tcPr>
          <w:p w14:paraId="119EAF19" w14:textId="77777777" w:rsidR="0087201A" w:rsidRPr="00B44B19" w:rsidRDefault="0087201A" w:rsidP="0087201A">
            <w:pPr>
              <w:spacing w:after="200"/>
              <w:jc w:val="center"/>
              <w:rPr>
                <w:rFonts w:eastAsia="Times New Roman" w:cs="Times New Roman"/>
                <w:bCs/>
                <w:iCs/>
                <w:noProof/>
                <w:sz w:val="20"/>
                <w:szCs w:val="20"/>
              </w:rPr>
            </w:pPr>
            <w:r w:rsidRPr="00B44B19">
              <w:rPr>
                <w:rFonts w:eastAsia="Times New Roman" w:cs="Times New Roman"/>
                <w:bCs/>
                <w:iCs/>
                <w:noProof/>
                <w:sz w:val="20"/>
                <w:szCs w:val="20"/>
              </w:rPr>
              <w:t>11.1</w:t>
            </w:r>
          </w:p>
        </w:tc>
        <w:tc>
          <w:tcPr>
            <w:tcW w:w="3988" w:type="dxa"/>
            <w:vMerge w:val="restart"/>
            <w:tcBorders>
              <w:top w:val="single" w:sz="12" w:space="0" w:color="auto"/>
            </w:tcBorders>
          </w:tcPr>
          <w:p w14:paraId="0FB0044A"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01 – Dotacija</w:t>
            </w:r>
          </w:p>
        </w:tc>
        <w:tc>
          <w:tcPr>
            <w:tcW w:w="1540" w:type="dxa"/>
            <w:tcBorders>
              <w:top w:val="single" w:sz="12" w:space="0" w:color="auto"/>
              <w:bottom w:val="single" w:sz="4" w:space="0" w:color="auto"/>
            </w:tcBorders>
          </w:tcPr>
          <w:p w14:paraId="6EA132D1" w14:textId="77777777" w:rsidR="0087201A" w:rsidRPr="00B44B19" w:rsidRDefault="0087201A" w:rsidP="0087201A">
            <w:pPr>
              <w:spacing w:after="200" w:line="276" w:lineRule="auto"/>
              <w:jc w:val="right"/>
              <w:rPr>
                <w:rFonts w:cs="Times New Roman"/>
                <w:sz w:val="20"/>
                <w:szCs w:val="20"/>
                <w:lang w:val="en-US"/>
              </w:rPr>
            </w:pPr>
            <w:r w:rsidRPr="00B44B19">
              <w:rPr>
                <w:rFonts w:cs="Times New Roman"/>
                <w:sz w:val="20"/>
                <w:szCs w:val="20"/>
                <w:lang w:val="en-US"/>
              </w:rPr>
              <w:t>23 000 000,00</w:t>
            </w:r>
          </w:p>
        </w:tc>
      </w:tr>
      <w:tr w:rsidR="0087201A" w:rsidRPr="00B44B19" w14:paraId="382A5F6B" w14:textId="77777777" w:rsidTr="008E1D84">
        <w:trPr>
          <w:trHeight w:val="473"/>
        </w:trPr>
        <w:tc>
          <w:tcPr>
            <w:tcW w:w="1101" w:type="dxa"/>
            <w:vMerge/>
            <w:tcBorders>
              <w:bottom w:val="single" w:sz="4" w:space="0" w:color="auto"/>
            </w:tcBorders>
          </w:tcPr>
          <w:p w14:paraId="39C0BBF2" w14:textId="77777777" w:rsidR="0087201A" w:rsidRPr="00B44B19" w:rsidRDefault="0087201A" w:rsidP="0087201A">
            <w:pPr>
              <w:spacing w:after="200"/>
              <w:jc w:val="center"/>
              <w:rPr>
                <w:rFonts w:eastAsia="Times New Roman" w:cs="Times New Roman"/>
                <w:iCs/>
                <w:noProof/>
                <w:sz w:val="20"/>
                <w:szCs w:val="20"/>
              </w:rPr>
            </w:pPr>
          </w:p>
        </w:tc>
        <w:tc>
          <w:tcPr>
            <w:tcW w:w="850" w:type="dxa"/>
            <w:vMerge/>
            <w:tcBorders>
              <w:bottom w:val="single" w:sz="4" w:space="0" w:color="auto"/>
            </w:tcBorders>
          </w:tcPr>
          <w:p w14:paraId="31F7142C" w14:textId="77777777" w:rsidR="0087201A" w:rsidRPr="00B44B19" w:rsidRDefault="0087201A" w:rsidP="0087201A">
            <w:pPr>
              <w:spacing w:after="200"/>
              <w:jc w:val="center"/>
              <w:rPr>
                <w:rFonts w:eastAsia="Times New Roman" w:cs="Times New Roman"/>
                <w:iCs/>
                <w:noProof/>
                <w:sz w:val="20"/>
                <w:szCs w:val="20"/>
              </w:rPr>
            </w:pPr>
          </w:p>
        </w:tc>
        <w:tc>
          <w:tcPr>
            <w:tcW w:w="1134" w:type="dxa"/>
            <w:tcBorders>
              <w:top w:val="single" w:sz="4" w:space="0" w:color="auto"/>
              <w:bottom w:val="single" w:sz="4" w:space="0" w:color="auto"/>
            </w:tcBorders>
          </w:tcPr>
          <w:p w14:paraId="6ECDACFB"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tcBorders>
              <w:bottom w:val="single" w:sz="4" w:space="0" w:color="auto"/>
            </w:tcBorders>
          </w:tcPr>
          <w:p w14:paraId="63720095" w14:textId="77777777" w:rsidR="0087201A" w:rsidRPr="00B44B19" w:rsidRDefault="0087201A" w:rsidP="0087201A">
            <w:pPr>
              <w:spacing w:after="200"/>
              <w:jc w:val="center"/>
              <w:rPr>
                <w:rFonts w:eastAsia="Times New Roman" w:cs="Times New Roman"/>
                <w:b/>
                <w:iCs/>
                <w:noProof/>
                <w:sz w:val="20"/>
                <w:szCs w:val="20"/>
              </w:rPr>
            </w:pPr>
          </w:p>
        </w:tc>
        <w:tc>
          <w:tcPr>
            <w:tcW w:w="3988" w:type="dxa"/>
            <w:vMerge/>
            <w:tcBorders>
              <w:bottom w:val="single" w:sz="4" w:space="0" w:color="auto"/>
            </w:tcBorders>
          </w:tcPr>
          <w:p w14:paraId="278D4772" w14:textId="77777777" w:rsidR="0087201A" w:rsidRPr="00B44B19" w:rsidRDefault="0087201A" w:rsidP="0087201A">
            <w:pPr>
              <w:spacing w:after="200"/>
              <w:rPr>
                <w:rFonts w:eastAsia="Times New Roman" w:cs="Times New Roman"/>
                <w:bCs/>
                <w:iCs/>
                <w:noProof/>
                <w:sz w:val="16"/>
                <w:szCs w:val="16"/>
              </w:rPr>
            </w:pPr>
          </w:p>
        </w:tc>
        <w:tc>
          <w:tcPr>
            <w:tcW w:w="1540" w:type="dxa"/>
            <w:tcBorders>
              <w:top w:val="single" w:sz="4" w:space="0" w:color="auto"/>
              <w:bottom w:val="single" w:sz="4" w:space="0" w:color="auto"/>
            </w:tcBorders>
          </w:tcPr>
          <w:p w14:paraId="71FAA8CB" w14:textId="77777777" w:rsidR="0087201A" w:rsidRPr="00B44B19" w:rsidRDefault="0087201A" w:rsidP="0087201A">
            <w:pPr>
              <w:spacing w:after="200" w:line="276" w:lineRule="auto"/>
              <w:jc w:val="right"/>
              <w:rPr>
                <w:rFonts w:cs="Times New Roman"/>
                <w:sz w:val="20"/>
                <w:szCs w:val="20"/>
              </w:rPr>
            </w:pPr>
            <w:r w:rsidRPr="00B44B19">
              <w:rPr>
                <w:rFonts w:cs="Times New Roman"/>
                <w:sz w:val="20"/>
                <w:szCs w:val="20"/>
              </w:rPr>
              <w:t>66 037 844,00</w:t>
            </w:r>
          </w:p>
        </w:tc>
      </w:tr>
    </w:tbl>
    <w:p w14:paraId="4C9B6675"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93"/>
        <w:gridCol w:w="849"/>
        <w:gridCol w:w="1103"/>
        <w:gridCol w:w="1170"/>
        <w:gridCol w:w="3960"/>
        <w:gridCol w:w="1591"/>
      </w:tblGrid>
      <w:tr w:rsidR="0087201A" w:rsidRPr="00B44B19" w14:paraId="7578E9AD"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B68780"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87201A" w:rsidRPr="00B44B19" w14:paraId="7BCF4AE3" w14:textId="77777777" w:rsidTr="003040E3">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A98A2F"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270784"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580FA6"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5D0BB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9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97AFCC"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3FD4B1"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28B2ED19" w14:textId="77777777" w:rsidTr="003040E3">
        <w:trPr>
          <w:trHeight w:val="303"/>
        </w:trPr>
        <w:tc>
          <w:tcPr>
            <w:tcW w:w="1093" w:type="dxa"/>
            <w:vMerge w:val="restart"/>
          </w:tcPr>
          <w:p w14:paraId="5A78ED56"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11</w:t>
            </w:r>
          </w:p>
        </w:tc>
        <w:tc>
          <w:tcPr>
            <w:tcW w:w="849" w:type="dxa"/>
            <w:vMerge w:val="restart"/>
          </w:tcPr>
          <w:p w14:paraId="6C35D448"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103" w:type="dxa"/>
            <w:tcBorders>
              <w:top w:val="single" w:sz="4" w:space="0" w:color="auto"/>
              <w:bottom w:val="single" w:sz="4" w:space="0" w:color="auto"/>
            </w:tcBorders>
          </w:tcPr>
          <w:p w14:paraId="681DB867"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170" w:type="dxa"/>
            <w:vMerge w:val="restart"/>
          </w:tcPr>
          <w:p w14:paraId="57383723"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11.1</w:t>
            </w:r>
          </w:p>
        </w:tc>
        <w:tc>
          <w:tcPr>
            <w:tcW w:w="3960" w:type="dxa"/>
            <w:vMerge w:val="restart"/>
          </w:tcPr>
          <w:p w14:paraId="22A80CE3" w14:textId="77777777" w:rsidR="0087201A" w:rsidRPr="00B44B19" w:rsidRDefault="0087201A" w:rsidP="0087201A">
            <w:pPr>
              <w:spacing w:after="200"/>
              <w:rPr>
                <w:rFonts w:eastAsia="Times New Roman" w:cs="Times New Roman"/>
                <w:bCs/>
                <w:iCs/>
                <w:noProof/>
                <w:sz w:val="16"/>
                <w:szCs w:val="16"/>
              </w:rPr>
            </w:pPr>
            <w:r w:rsidRPr="00B44B19">
              <w:rPr>
                <w:rFonts w:eastAsia="Times New Roman" w:cs="Times New Roman"/>
                <w:bCs/>
                <w:iCs/>
                <w:noProof/>
                <w:sz w:val="20"/>
                <w:szCs w:val="20"/>
              </w:rPr>
              <w:t>33 – Nesiorientuojant į teritoriškumą</w:t>
            </w:r>
          </w:p>
        </w:tc>
        <w:tc>
          <w:tcPr>
            <w:tcW w:w="1591" w:type="dxa"/>
            <w:tcBorders>
              <w:top w:val="single" w:sz="12" w:space="0" w:color="auto"/>
              <w:bottom w:val="single" w:sz="4" w:space="0" w:color="auto"/>
            </w:tcBorders>
          </w:tcPr>
          <w:p w14:paraId="24032BC5" w14:textId="77777777" w:rsidR="0087201A" w:rsidRPr="00B44B19" w:rsidRDefault="0087201A" w:rsidP="0087201A">
            <w:pPr>
              <w:spacing w:after="200"/>
              <w:jc w:val="right"/>
              <w:rPr>
                <w:rFonts w:cs="Times New Roman"/>
                <w:sz w:val="20"/>
                <w:szCs w:val="20"/>
              </w:rPr>
            </w:pPr>
            <w:r w:rsidRPr="00B44B19">
              <w:rPr>
                <w:rFonts w:cs="Times New Roman"/>
                <w:sz w:val="20"/>
                <w:szCs w:val="20"/>
                <w:lang w:val="en-US"/>
              </w:rPr>
              <w:t>23 000 000,00</w:t>
            </w:r>
          </w:p>
        </w:tc>
      </w:tr>
      <w:tr w:rsidR="0087201A" w:rsidRPr="00B44B19" w14:paraId="1B3DC971" w14:textId="77777777" w:rsidTr="003040E3">
        <w:trPr>
          <w:trHeight w:val="303"/>
        </w:trPr>
        <w:tc>
          <w:tcPr>
            <w:tcW w:w="1093" w:type="dxa"/>
            <w:vMerge/>
          </w:tcPr>
          <w:p w14:paraId="733EAB53" w14:textId="77777777" w:rsidR="0087201A" w:rsidRPr="00B44B19" w:rsidRDefault="0087201A" w:rsidP="0087201A">
            <w:pPr>
              <w:spacing w:after="200"/>
              <w:jc w:val="center"/>
              <w:rPr>
                <w:rFonts w:eastAsia="Times New Roman" w:cs="Times New Roman"/>
                <w:iCs/>
                <w:noProof/>
                <w:sz w:val="20"/>
                <w:szCs w:val="20"/>
              </w:rPr>
            </w:pPr>
          </w:p>
        </w:tc>
        <w:tc>
          <w:tcPr>
            <w:tcW w:w="849" w:type="dxa"/>
            <w:vMerge/>
          </w:tcPr>
          <w:p w14:paraId="463F87C9" w14:textId="77777777" w:rsidR="0087201A" w:rsidRPr="00B44B19" w:rsidRDefault="0087201A" w:rsidP="0087201A">
            <w:pPr>
              <w:spacing w:after="200"/>
              <w:jc w:val="center"/>
              <w:rPr>
                <w:rFonts w:eastAsia="Times New Roman" w:cs="Times New Roman"/>
                <w:iCs/>
                <w:noProof/>
                <w:sz w:val="20"/>
                <w:szCs w:val="20"/>
              </w:rPr>
            </w:pPr>
          </w:p>
        </w:tc>
        <w:tc>
          <w:tcPr>
            <w:tcW w:w="1103" w:type="dxa"/>
            <w:tcBorders>
              <w:top w:val="single" w:sz="4" w:space="0" w:color="auto"/>
              <w:bottom w:val="single" w:sz="4" w:space="0" w:color="auto"/>
            </w:tcBorders>
          </w:tcPr>
          <w:p w14:paraId="0E4914F2"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70" w:type="dxa"/>
            <w:vMerge/>
          </w:tcPr>
          <w:p w14:paraId="24B5431C" w14:textId="77777777" w:rsidR="0087201A" w:rsidRPr="00B44B19" w:rsidRDefault="0087201A" w:rsidP="0087201A">
            <w:pPr>
              <w:spacing w:after="200"/>
              <w:jc w:val="center"/>
              <w:rPr>
                <w:rFonts w:eastAsia="Times New Roman" w:cs="Times New Roman"/>
                <w:b/>
                <w:iCs/>
                <w:noProof/>
                <w:sz w:val="20"/>
                <w:szCs w:val="20"/>
              </w:rPr>
            </w:pPr>
          </w:p>
        </w:tc>
        <w:tc>
          <w:tcPr>
            <w:tcW w:w="3960" w:type="dxa"/>
            <w:vMerge/>
          </w:tcPr>
          <w:p w14:paraId="58DC4FAE" w14:textId="77777777" w:rsidR="0087201A" w:rsidRPr="00B44B19" w:rsidRDefault="0087201A" w:rsidP="0087201A">
            <w:pPr>
              <w:spacing w:after="200"/>
              <w:rPr>
                <w:rFonts w:eastAsia="Times New Roman" w:cs="Times New Roman"/>
                <w:bCs/>
                <w:iCs/>
                <w:noProof/>
                <w:sz w:val="16"/>
                <w:szCs w:val="16"/>
              </w:rPr>
            </w:pPr>
          </w:p>
        </w:tc>
        <w:tc>
          <w:tcPr>
            <w:tcW w:w="1591" w:type="dxa"/>
            <w:tcBorders>
              <w:top w:val="single" w:sz="4" w:space="0" w:color="auto"/>
              <w:bottom w:val="single" w:sz="4" w:space="0" w:color="auto"/>
            </w:tcBorders>
          </w:tcPr>
          <w:p w14:paraId="16E99D21" w14:textId="77777777" w:rsidR="0087201A" w:rsidRPr="00B44B19" w:rsidRDefault="0087201A" w:rsidP="0087201A">
            <w:pPr>
              <w:spacing w:after="200"/>
              <w:jc w:val="right"/>
              <w:rPr>
                <w:rFonts w:cs="Times New Roman"/>
                <w:sz w:val="20"/>
                <w:szCs w:val="20"/>
              </w:rPr>
            </w:pPr>
            <w:r w:rsidRPr="00B44B19">
              <w:rPr>
                <w:rFonts w:cs="Times New Roman"/>
                <w:sz w:val="20"/>
                <w:szCs w:val="20"/>
              </w:rPr>
              <w:t>66 037 844,00</w:t>
            </w:r>
          </w:p>
        </w:tc>
      </w:tr>
    </w:tbl>
    <w:tbl>
      <w:tblPr>
        <w:tblStyle w:val="Lentelstinklelis30"/>
        <w:tblpPr w:leftFromText="180" w:rightFromText="180" w:vertAnchor="page" w:horzAnchor="margin" w:tblpY="12274"/>
        <w:tblW w:w="9747" w:type="dxa"/>
        <w:tblLook w:val="04A0" w:firstRow="1" w:lastRow="0" w:firstColumn="1" w:lastColumn="0" w:noHBand="0" w:noVBand="1"/>
      </w:tblPr>
      <w:tblGrid>
        <w:gridCol w:w="1101"/>
        <w:gridCol w:w="850"/>
        <w:gridCol w:w="1134"/>
        <w:gridCol w:w="1134"/>
        <w:gridCol w:w="4021"/>
        <w:gridCol w:w="1507"/>
      </w:tblGrid>
      <w:tr w:rsidR="008E1D84" w:rsidRPr="00B44B19" w14:paraId="48CEC01E" w14:textId="77777777" w:rsidTr="008E1D84">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C0361E1" w14:textId="77777777" w:rsidR="008E1D84" w:rsidRPr="00B44B19" w:rsidRDefault="008E1D84" w:rsidP="008E1D84">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8E1D84" w:rsidRPr="00B44B19" w14:paraId="0BD56D64" w14:textId="77777777" w:rsidTr="008E1D84">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AD0E66" w14:textId="77777777" w:rsidR="008E1D84" w:rsidRPr="00B44B19" w:rsidRDefault="008E1D84" w:rsidP="008E1D84">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0E2E2F" w14:textId="77777777" w:rsidR="008E1D84" w:rsidRPr="00B44B19" w:rsidRDefault="008E1D84" w:rsidP="008E1D84">
            <w:pPr>
              <w:jc w:val="center"/>
              <w:rPr>
                <w:b/>
                <w:iCs/>
                <w:noProof/>
                <w:sz w:val="20"/>
              </w:rPr>
            </w:pPr>
            <w:r w:rsidRPr="00B44B19">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0E6D5C" w14:textId="77777777" w:rsidR="008E1D84" w:rsidRPr="00B44B19" w:rsidRDefault="008E1D84" w:rsidP="008E1D84">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86234F" w14:textId="77777777" w:rsidR="008E1D84" w:rsidRPr="00B44B19" w:rsidRDefault="008E1D84" w:rsidP="008E1D84">
            <w:pPr>
              <w:jc w:val="center"/>
              <w:rPr>
                <w:b/>
                <w:iCs/>
                <w:noProof/>
                <w:sz w:val="20"/>
              </w:rPr>
            </w:pPr>
            <w:r w:rsidRPr="00B44B19">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057315" w14:textId="77777777" w:rsidR="008E1D84" w:rsidRPr="00B44B19" w:rsidRDefault="008E1D84" w:rsidP="008E1D84">
            <w:pPr>
              <w:jc w:val="center"/>
              <w:rPr>
                <w:b/>
                <w:iCs/>
                <w:noProof/>
                <w:sz w:val="20"/>
              </w:rPr>
            </w:pPr>
            <w:r w:rsidRPr="00B44B19">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1C96E3" w14:textId="77777777" w:rsidR="008E1D84" w:rsidRPr="00B44B19" w:rsidRDefault="008E1D84" w:rsidP="008E1D84">
            <w:pPr>
              <w:jc w:val="center"/>
              <w:rPr>
                <w:b/>
                <w:iCs/>
                <w:noProof/>
                <w:sz w:val="20"/>
              </w:rPr>
            </w:pPr>
            <w:r w:rsidRPr="00B44B19">
              <w:rPr>
                <w:b/>
                <w:noProof/>
                <w:sz w:val="20"/>
              </w:rPr>
              <w:t>Suma (EUR)</w:t>
            </w:r>
          </w:p>
        </w:tc>
      </w:tr>
      <w:tr w:rsidR="008E1D84" w:rsidRPr="00B44B19" w14:paraId="17293E2A" w14:textId="77777777" w:rsidTr="008E1D84">
        <w:trPr>
          <w:trHeight w:val="636"/>
        </w:trPr>
        <w:tc>
          <w:tcPr>
            <w:tcW w:w="1101" w:type="dxa"/>
            <w:vMerge w:val="restart"/>
          </w:tcPr>
          <w:p w14:paraId="15D25086" w14:textId="77777777" w:rsidR="008E1D84" w:rsidRPr="00B44B19" w:rsidRDefault="008E1D84" w:rsidP="008E1D84">
            <w:pPr>
              <w:jc w:val="center"/>
              <w:rPr>
                <w:iCs/>
                <w:noProof/>
                <w:sz w:val="16"/>
                <w:szCs w:val="16"/>
              </w:rPr>
            </w:pPr>
            <w:r w:rsidRPr="00B44B19">
              <w:rPr>
                <w:iCs/>
                <w:noProof/>
                <w:sz w:val="20"/>
                <w:szCs w:val="20"/>
              </w:rPr>
              <w:t>11</w:t>
            </w:r>
          </w:p>
        </w:tc>
        <w:tc>
          <w:tcPr>
            <w:tcW w:w="850" w:type="dxa"/>
            <w:vMerge w:val="restart"/>
          </w:tcPr>
          <w:p w14:paraId="4067EB30" w14:textId="77777777" w:rsidR="008E1D84" w:rsidRPr="00B44B19" w:rsidRDefault="008E1D84" w:rsidP="008E1D84">
            <w:pPr>
              <w:jc w:val="center"/>
              <w:rPr>
                <w:iCs/>
                <w:noProof/>
                <w:sz w:val="16"/>
                <w:szCs w:val="16"/>
              </w:rPr>
            </w:pPr>
            <w:r w:rsidRPr="00B44B19">
              <w:rPr>
                <w:iCs/>
                <w:noProof/>
                <w:sz w:val="20"/>
                <w:szCs w:val="20"/>
              </w:rPr>
              <w:t>ERPF</w:t>
            </w:r>
          </w:p>
        </w:tc>
        <w:tc>
          <w:tcPr>
            <w:tcW w:w="1134" w:type="dxa"/>
            <w:tcBorders>
              <w:top w:val="single" w:sz="4" w:space="0" w:color="auto"/>
              <w:bottom w:val="single" w:sz="4" w:space="0" w:color="auto"/>
            </w:tcBorders>
          </w:tcPr>
          <w:p w14:paraId="6DB6675A" w14:textId="77777777" w:rsidR="008E1D84" w:rsidRPr="00B44B19" w:rsidRDefault="008E1D84" w:rsidP="008E1D84">
            <w:pPr>
              <w:rPr>
                <w:iCs/>
                <w:noProof/>
                <w:sz w:val="16"/>
                <w:szCs w:val="16"/>
              </w:rPr>
            </w:pPr>
            <w:r w:rsidRPr="00B44B19">
              <w:rPr>
                <w:iCs/>
                <w:noProof/>
                <w:sz w:val="20"/>
                <w:szCs w:val="20"/>
              </w:rPr>
              <w:t>Sostinės regionas</w:t>
            </w:r>
          </w:p>
        </w:tc>
        <w:tc>
          <w:tcPr>
            <w:tcW w:w="1134" w:type="dxa"/>
            <w:vMerge w:val="restart"/>
            <w:tcBorders>
              <w:top w:val="single" w:sz="12" w:space="0" w:color="auto"/>
            </w:tcBorders>
          </w:tcPr>
          <w:p w14:paraId="09A7DC83" w14:textId="77777777" w:rsidR="008E1D84" w:rsidRPr="00B44B19" w:rsidRDefault="008E1D84" w:rsidP="008E1D84">
            <w:pPr>
              <w:jc w:val="center"/>
              <w:rPr>
                <w:iCs/>
                <w:noProof/>
                <w:sz w:val="20"/>
                <w:szCs w:val="20"/>
              </w:rPr>
            </w:pPr>
            <w:r w:rsidRPr="00B44B19">
              <w:rPr>
                <w:iCs/>
                <w:noProof/>
                <w:sz w:val="20"/>
                <w:szCs w:val="20"/>
              </w:rPr>
              <w:t>11.1</w:t>
            </w:r>
          </w:p>
        </w:tc>
        <w:tc>
          <w:tcPr>
            <w:tcW w:w="4021" w:type="dxa"/>
            <w:vMerge w:val="restart"/>
            <w:tcBorders>
              <w:top w:val="single" w:sz="12" w:space="0" w:color="auto"/>
            </w:tcBorders>
          </w:tcPr>
          <w:p w14:paraId="07C347F6" w14:textId="77777777" w:rsidR="008E1D84" w:rsidRPr="00B44B19" w:rsidRDefault="008E1D84" w:rsidP="008E1D84">
            <w:pPr>
              <w:rPr>
                <w:iCs/>
                <w:noProof/>
                <w:sz w:val="16"/>
                <w:szCs w:val="16"/>
              </w:rPr>
            </w:pPr>
            <w:r w:rsidRPr="00B44B19">
              <w:rPr>
                <w:bCs/>
                <w:iCs/>
                <w:noProof/>
                <w:sz w:val="20"/>
                <w:szCs w:val="20"/>
              </w:rPr>
              <w:t>03 – Neutralumas lyties požiūriu</w:t>
            </w:r>
          </w:p>
        </w:tc>
        <w:tc>
          <w:tcPr>
            <w:tcW w:w="1507" w:type="dxa"/>
            <w:tcBorders>
              <w:top w:val="single" w:sz="12" w:space="0" w:color="auto"/>
              <w:bottom w:val="single" w:sz="4" w:space="0" w:color="auto"/>
            </w:tcBorders>
          </w:tcPr>
          <w:p w14:paraId="69AC6EF3" w14:textId="77777777" w:rsidR="008E1D84" w:rsidRPr="00B44B19" w:rsidRDefault="008E1D84" w:rsidP="008E1D84">
            <w:pPr>
              <w:jc w:val="right"/>
              <w:rPr>
                <w:iCs/>
                <w:noProof/>
                <w:sz w:val="20"/>
                <w:szCs w:val="20"/>
              </w:rPr>
            </w:pPr>
            <w:r w:rsidRPr="00B44B19">
              <w:rPr>
                <w:sz w:val="20"/>
                <w:szCs w:val="20"/>
                <w:lang w:val="en-US"/>
              </w:rPr>
              <w:t>23 000 000,00</w:t>
            </w:r>
          </w:p>
        </w:tc>
      </w:tr>
      <w:tr w:rsidR="008E1D84" w:rsidRPr="00B44B19" w14:paraId="2DB794F6" w14:textId="77777777" w:rsidTr="008E1D84">
        <w:trPr>
          <w:trHeight w:val="606"/>
        </w:trPr>
        <w:tc>
          <w:tcPr>
            <w:tcW w:w="1101" w:type="dxa"/>
            <w:vMerge/>
          </w:tcPr>
          <w:p w14:paraId="24429B97" w14:textId="77777777" w:rsidR="008E1D84" w:rsidRPr="00B44B19" w:rsidRDefault="008E1D84" w:rsidP="008E1D84">
            <w:pPr>
              <w:jc w:val="center"/>
              <w:rPr>
                <w:iCs/>
                <w:noProof/>
                <w:sz w:val="16"/>
                <w:szCs w:val="16"/>
              </w:rPr>
            </w:pPr>
          </w:p>
        </w:tc>
        <w:tc>
          <w:tcPr>
            <w:tcW w:w="850" w:type="dxa"/>
            <w:vMerge/>
          </w:tcPr>
          <w:p w14:paraId="2A57AA87" w14:textId="77777777" w:rsidR="008E1D84" w:rsidRPr="00B44B19" w:rsidRDefault="008E1D84" w:rsidP="008E1D84">
            <w:pPr>
              <w:jc w:val="center"/>
              <w:rPr>
                <w:iCs/>
                <w:noProof/>
                <w:sz w:val="16"/>
                <w:szCs w:val="16"/>
              </w:rPr>
            </w:pPr>
          </w:p>
        </w:tc>
        <w:tc>
          <w:tcPr>
            <w:tcW w:w="1134" w:type="dxa"/>
            <w:tcBorders>
              <w:top w:val="single" w:sz="4" w:space="0" w:color="auto"/>
              <w:bottom w:val="single" w:sz="4" w:space="0" w:color="auto"/>
            </w:tcBorders>
          </w:tcPr>
          <w:p w14:paraId="0035B924" w14:textId="77777777" w:rsidR="008E1D84" w:rsidRPr="00B44B19" w:rsidRDefault="008E1D84" w:rsidP="008E1D84">
            <w:pPr>
              <w:rPr>
                <w:iCs/>
                <w:noProof/>
                <w:sz w:val="16"/>
                <w:szCs w:val="16"/>
              </w:rPr>
            </w:pPr>
            <w:r w:rsidRPr="00B44B19">
              <w:rPr>
                <w:iCs/>
                <w:noProof/>
                <w:sz w:val="20"/>
                <w:szCs w:val="20"/>
              </w:rPr>
              <w:t>VVL regionas</w:t>
            </w:r>
          </w:p>
        </w:tc>
        <w:tc>
          <w:tcPr>
            <w:tcW w:w="1134" w:type="dxa"/>
            <w:vMerge/>
            <w:tcBorders>
              <w:bottom w:val="single" w:sz="4" w:space="0" w:color="auto"/>
            </w:tcBorders>
          </w:tcPr>
          <w:p w14:paraId="280C411E" w14:textId="77777777" w:rsidR="008E1D84" w:rsidRPr="00B44B19" w:rsidRDefault="008E1D84" w:rsidP="008E1D84">
            <w:pPr>
              <w:jc w:val="center"/>
              <w:rPr>
                <w:iCs/>
                <w:noProof/>
                <w:sz w:val="16"/>
                <w:szCs w:val="16"/>
              </w:rPr>
            </w:pPr>
          </w:p>
        </w:tc>
        <w:tc>
          <w:tcPr>
            <w:tcW w:w="4021" w:type="dxa"/>
            <w:vMerge/>
            <w:tcBorders>
              <w:bottom w:val="single" w:sz="4" w:space="0" w:color="auto"/>
            </w:tcBorders>
          </w:tcPr>
          <w:p w14:paraId="792AE7B9" w14:textId="77777777" w:rsidR="008E1D84" w:rsidRPr="00B44B19" w:rsidRDefault="008E1D84" w:rsidP="008E1D84">
            <w:pPr>
              <w:rPr>
                <w:iCs/>
                <w:noProof/>
                <w:sz w:val="16"/>
                <w:szCs w:val="16"/>
              </w:rPr>
            </w:pPr>
          </w:p>
        </w:tc>
        <w:tc>
          <w:tcPr>
            <w:tcW w:w="1507" w:type="dxa"/>
            <w:tcBorders>
              <w:top w:val="single" w:sz="4" w:space="0" w:color="auto"/>
              <w:bottom w:val="single" w:sz="4" w:space="0" w:color="auto"/>
            </w:tcBorders>
          </w:tcPr>
          <w:p w14:paraId="7E08ABE6" w14:textId="77777777" w:rsidR="008E1D84" w:rsidRPr="00B44B19" w:rsidRDefault="008E1D84" w:rsidP="008E1D84">
            <w:pPr>
              <w:jc w:val="right"/>
              <w:rPr>
                <w:iCs/>
                <w:noProof/>
                <w:sz w:val="20"/>
                <w:szCs w:val="20"/>
              </w:rPr>
            </w:pPr>
            <w:r w:rsidRPr="00B44B19">
              <w:rPr>
                <w:sz w:val="20"/>
                <w:szCs w:val="20"/>
              </w:rPr>
              <w:t>66 037 844,00</w:t>
            </w:r>
          </w:p>
        </w:tc>
      </w:tr>
    </w:tbl>
    <w:p w14:paraId="6B44E1E1" w14:textId="77777777" w:rsidR="0087201A" w:rsidRPr="00B44B19" w:rsidRDefault="0087201A" w:rsidP="0087201A">
      <w:pPr>
        <w:tabs>
          <w:tab w:val="center" w:pos="4819"/>
          <w:tab w:val="right" w:pos="9638"/>
        </w:tabs>
        <w:spacing w:before="120" w:after="120" w:line="240" w:lineRule="auto"/>
        <w:rPr>
          <w:rFonts w:cs="Times New Roman"/>
          <w:i/>
          <w:iCs/>
          <w:color w:val="1F497D" w:themeColor="text2"/>
          <w:sz w:val="22"/>
          <w:lang w:bidi="lt-LT"/>
        </w:rPr>
      </w:pPr>
    </w:p>
    <w:p w14:paraId="4C9A6FFF" w14:textId="77777777" w:rsidR="0087201A" w:rsidRPr="00B44B19" w:rsidRDefault="0087201A" w:rsidP="0087201A">
      <w:pPr>
        <w:rPr>
          <w:rFonts w:eastAsiaTheme="majorEastAsia" w:cs="Times New Roman"/>
          <w:b/>
          <w:bCs/>
          <w:caps/>
          <w:color w:val="365F91" w:themeColor="accent1" w:themeShade="BF"/>
          <w:sz w:val="28"/>
          <w:szCs w:val="28"/>
        </w:rPr>
      </w:pPr>
      <w:r w:rsidRPr="00B44B19">
        <w:rPr>
          <w:rFonts w:eastAsiaTheme="majorEastAsia" w:cs="Times New Roman"/>
          <w:b/>
          <w:bCs/>
          <w:caps/>
          <w:color w:val="365F91" w:themeColor="accent1" w:themeShade="BF"/>
          <w:sz w:val="28"/>
          <w:szCs w:val="28"/>
        </w:rPr>
        <w:br w:type="page"/>
      </w:r>
    </w:p>
    <w:p w14:paraId="5BC75BD5" w14:textId="77777777" w:rsidR="0087201A" w:rsidRPr="00B44B19" w:rsidRDefault="0087201A" w:rsidP="00D456C1">
      <w:pPr>
        <w:pStyle w:val="Antrat1"/>
      </w:pPr>
      <w:bookmarkStart w:id="83" w:name="_Toc223435451"/>
      <w:r w:rsidRPr="00B44B19">
        <w:lastRenderedPageBreak/>
        <w:t>12. specialus prioritetas.  Geriamojo vandens tiekimo infrastruktūros apsaugos, viešųjų vandens tiekėjų ir nuotekų tvarkytojų valdymo centrų atsparumo didinimas</w:t>
      </w:r>
      <w:bookmarkEnd w:id="83"/>
    </w:p>
    <w:p w14:paraId="0A1ADE30" w14:textId="77777777" w:rsidR="0087201A" w:rsidRPr="00B44B19" w:rsidRDefault="0087201A" w:rsidP="00D456C1">
      <w:pPr>
        <w:pStyle w:val="Antrat2"/>
      </w:pPr>
      <w:bookmarkStart w:id="84" w:name="_Toc223435452"/>
      <w:r w:rsidRPr="00B44B19">
        <w:t>Konkretus uždavinys – 12.1 „Skatinti saugią prieigą prie vandens, tvarios vandentvarkos, įskaitant integruotą vandentvarką, ir vandens išteklių atsparumą“</w:t>
      </w:r>
      <w:bookmarkEnd w:id="84"/>
    </w:p>
    <w:p w14:paraId="43CA88D1"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rPr>
      </w:pPr>
      <w:r w:rsidRPr="00B44B19">
        <w:rPr>
          <w:rFonts w:cs="Times New Roman"/>
          <w:b/>
          <w:i/>
          <w:color w:val="1F497D" w:themeColor="text2"/>
        </w:rPr>
        <w:t>Įgyvendinamos veiklos</w:t>
      </w:r>
    </w:p>
    <w:tbl>
      <w:tblPr>
        <w:tblStyle w:val="Lentelstinklelis2"/>
        <w:tblW w:w="9634" w:type="dxa"/>
        <w:tblLook w:val="04A0" w:firstRow="1" w:lastRow="0" w:firstColumn="1" w:lastColumn="0" w:noHBand="0" w:noVBand="1"/>
      </w:tblPr>
      <w:tblGrid>
        <w:gridCol w:w="9634"/>
      </w:tblGrid>
      <w:tr w:rsidR="0087201A" w:rsidRPr="00B44B19" w14:paraId="21A1DA42" w14:textId="77777777" w:rsidTr="003040E3">
        <w:trPr>
          <w:trHeight w:val="283"/>
        </w:trPr>
        <w:tc>
          <w:tcPr>
            <w:tcW w:w="9634" w:type="dxa"/>
          </w:tcPr>
          <w:p w14:paraId="4BEF884D" w14:textId="77777777" w:rsidR="0087201A" w:rsidRPr="00B44B19" w:rsidRDefault="0087201A" w:rsidP="002E0230">
            <w:pPr>
              <w:spacing w:before="60" w:after="60"/>
              <w:jc w:val="both"/>
              <w:rPr>
                <w:rFonts w:ascii="Times New Roman" w:hAnsi="Times New Roman" w:cs="Times New Roman"/>
                <w:lang w:val="lt"/>
              </w:rPr>
            </w:pPr>
            <w:r w:rsidRPr="00B44B19">
              <w:rPr>
                <w:rFonts w:ascii="Times New Roman" w:hAnsi="Times New Roman" w:cs="Times New Roman"/>
              </w:rPr>
              <w:t xml:space="preserve">Europoje daugėjant incidentų, susijusių su geriamojo vandens tiekimo saugos pažeidimais, ir atsižvelgiant į Lietuvos, kaip ES rytinio pasienio valstybės, besiribojančios su Rusija ir Baltarusija bei patiriančios išskirtinius saugumo iššūkius, geopolitinę reikšmę, tampa vis svarbiau užtikrinti nepertraukiamą geriamojo vandens tiekimą, stiprinant tiek infrastruktūros fizinę apsaugą, tiek ir veiklos atsparumą galimoms grėsmėms. </w:t>
            </w:r>
            <w:r w:rsidRPr="00B44B19">
              <w:rPr>
                <w:rFonts w:ascii="Times New Roman" w:hAnsi="Times New Roman" w:cs="Times New Roman"/>
                <w:lang w:val="lt"/>
              </w:rPr>
              <w:t>Saugus ir patikimas geriamojo vandens tiekimas yra būtinas kasdieniam gyventojų gyvenimui, sveikatos apsaugos sistemai, ekonomikos funkcionavimui ir visuomenės stabilumui. Bet kokie tiekimo sutrikimai gali turėti grandininį poveikį – nuo sanitarinės rizikos iki socialinės įtampos.</w:t>
            </w:r>
          </w:p>
          <w:p w14:paraId="3F4CCBAA" w14:textId="77777777" w:rsidR="0087201A" w:rsidRPr="00B44B19" w:rsidRDefault="0087201A" w:rsidP="002E0230">
            <w:pPr>
              <w:spacing w:before="60" w:after="60"/>
              <w:jc w:val="both"/>
              <w:rPr>
                <w:rFonts w:ascii="Times New Roman" w:eastAsia="Times New Roman" w:hAnsi="Times New Roman" w:cs="Times New Roman"/>
                <w:color w:val="000000" w:themeColor="text1"/>
                <w:lang w:val="lt"/>
              </w:rPr>
            </w:pPr>
            <w:r w:rsidRPr="00B44B19">
              <w:rPr>
                <w:rFonts w:ascii="Times New Roman" w:eastAsia="Times New Roman" w:hAnsi="Times New Roman" w:cs="Times New Roman"/>
                <w:color w:val="000000" w:themeColor="text1"/>
                <w:lang w:val="lt"/>
              </w:rPr>
              <w:t xml:space="preserve">Lietuvoje ilgą laiką į geriamojo vandens tiekimo infrastruktūros apsaugą buvo investuojama nepakankamai – naujos priemonės nebuvo diegiamos, o esamų priemonių techninė būklė nepalaikoma. Taip pat, geriamojo vandens išgavimo, paruošimo, tiekimo bei sistemos valdymo objektuose trūksta modernių stebėsenos ir kontrolės sprendimų. </w:t>
            </w:r>
          </w:p>
          <w:p w14:paraId="002DFC7F" w14:textId="77777777" w:rsidR="0087201A" w:rsidRPr="00B44B19" w:rsidRDefault="0087201A" w:rsidP="002E0230">
            <w:pPr>
              <w:spacing w:before="60" w:after="60"/>
              <w:jc w:val="both"/>
              <w:rPr>
                <w:rFonts w:ascii="Times New Roman" w:eastAsia="Times New Roman" w:hAnsi="Times New Roman" w:cs="Times New Roman"/>
                <w:color w:val="000000" w:themeColor="text1"/>
                <w:lang w:val="lt"/>
              </w:rPr>
            </w:pPr>
            <w:r w:rsidRPr="00B44B19">
              <w:rPr>
                <w:rFonts w:ascii="Times New Roman" w:hAnsi="Times New Roman" w:cs="Times New Roman"/>
                <w:lang w:val="lt"/>
              </w:rPr>
              <w:t>Itin reikšmingą viešųjų vandens tiekėjų vaidmenį šalies nacionaliniam saugumui iliustruoja ir viešųjų vandens tiekėjų nurodymas aukšto lygmens Europos (CER</w:t>
            </w:r>
            <w:r w:rsidRPr="00B44B19">
              <w:rPr>
                <w:rFonts w:ascii="Times New Roman" w:hAnsi="Times New Roman" w:cs="Times New Roman"/>
                <w:vertAlign w:val="superscript"/>
                <w:lang w:val="lt"/>
              </w:rPr>
              <w:footnoteReference w:id="4"/>
            </w:r>
            <w:r w:rsidRPr="00B44B19">
              <w:rPr>
                <w:rFonts w:ascii="Times New Roman" w:hAnsi="Times New Roman" w:cs="Times New Roman"/>
                <w:lang w:val="lt"/>
              </w:rPr>
              <w:t xml:space="preserve"> ir TIS2</w:t>
            </w:r>
            <w:r w:rsidRPr="00B44B19">
              <w:rPr>
                <w:rFonts w:ascii="Times New Roman" w:hAnsi="Times New Roman" w:cs="Times New Roman"/>
                <w:vertAlign w:val="superscript"/>
                <w:lang w:val="lt"/>
              </w:rPr>
              <w:footnoteReference w:id="5"/>
            </w:r>
            <w:r w:rsidRPr="00B44B19">
              <w:rPr>
                <w:rFonts w:ascii="Times New Roman" w:hAnsi="Times New Roman" w:cs="Times New Roman"/>
                <w:lang w:val="lt"/>
              </w:rPr>
              <w:t xml:space="preserve"> direktyvos) bei nacionaliniuose teisės aktuose. LR Nacionaliniam saugumui užtikrinti svarbių objektų apsaugos įstatyme nustatyta, jog viešieji vandens tiekėjai </w:t>
            </w:r>
            <w:r w:rsidRPr="00B44B19">
              <w:rPr>
                <w:rFonts w:ascii="Times New Roman" w:hAnsi="Times New Roman" w:cs="Times New Roman"/>
              </w:rPr>
              <w:t>priskiriami prie pirmos kategorijos įmonių, kurios svarbios nacionaliniam saugumui</w:t>
            </w:r>
            <w:r w:rsidRPr="00B44B19">
              <w:rPr>
                <w:rFonts w:ascii="Times New Roman" w:hAnsi="Times New Roman" w:cs="Times New Roman"/>
                <w:lang w:val="lt"/>
              </w:rPr>
              <w:t xml:space="preserve">, o taip pat </w:t>
            </w:r>
            <w:r w:rsidRPr="00B44B19">
              <w:rPr>
                <w:rFonts w:ascii="Times New Roman" w:eastAsia="Times New Roman" w:hAnsi="Times New Roman" w:cs="Times New Roman"/>
                <w:color w:val="000000" w:themeColor="text1"/>
                <w:lang w:val="lt"/>
              </w:rPr>
              <w:t>2018 m. birželio 6 d.</w:t>
            </w:r>
            <w:r w:rsidRPr="00B44B19">
              <w:rPr>
                <w:rFonts w:ascii="Times New Roman" w:hAnsi="Times New Roman" w:cs="Times New Roman"/>
                <w:lang w:val="lt"/>
              </w:rPr>
              <w:t xml:space="preserve"> LRV nutarimu </w:t>
            </w:r>
            <w:r w:rsidRPr="00B44B19">
              <w:rPr>
                <w:rFonts w:ascii="Times New Roman" w:eastAsia="Times New Roman" w:hAnsi="Times New Roman" w:cs="Times New Roman"/>
                <w:color w:val="000000" w:themeColor="text1"/>
                <w:lang w:val="lt"/>
              </w:rPr>
              <w:t>Nr. 558</w:t>
            </w:r>
            <w:r w:rsidRPr="00B44B19">
              <w:rPr>
                <w:rFonts w:ascii="Times New Roman" w:eastAsia="Times New Roman" w:hAnsi="Times New Roman" w:cs="Times New Roman"/>
                <w:color w:val="000000" w:themeColor="text1"/>
                <w:vertAlign w:val="superscript"/>
                <w:lang w:val="lt"/>
              </w:rPr>
              <w:footnoteReference w:id="6"/>
            </w:r>
            <w:r w:rsidRPr="00B44B19">
              <w:rPr>
                <w:rFonts w:ascii="Times New Roman" w:hAnsi="Times New Roman" w:cs="Times New Roman"/>
                <w:vertAlign w:val="superscript"/>
                <w:lang w:val="lt"/>
              </w:rPr>
              <w:t xml:space="preserve"> </w:t>
            </w:r>
            <w:r w:rsidRPr="00B44B19">
              <w:rPr>
                <w:rFonts w:ascii="Times New Roman" w:hAnsi="Times New Roman" w:cs="Times New Roman"/>
                <w:lang w:val="lt"/>
              </w:rPr>
              <w:t xml:space="preserve">patvirtintame Konkrečių nacionaliniam saugumui užtikrinti svarbių įrenginių ir turto sąraše nurodyta viešųjų vandens tiekėjų valdoma vandens išgavimo, ruošimo, tiekimo bei nuotekų surinkimo ir tvarkymo įranga. Įmonių fizinės apsaugos tikslai – apsaugoti įmones, jų turtą, darbuotojus ir gyventojus nuo neteisėto fizinio poveikio, kad būtų užtikrintas nepertraukiamas </w:t>
            </w:r>
            <w:r w:rsidRPr="00B44B19">
              <w:rPr>
                <w:rFonts w:ascii="Times New Roman" w:hAnsi="Times New Roman" w:cs="Times New Roman"/>
                <w:color w:val="000000" w:themeColor="text1"/>
                <w:lang w:val="lt"/>
              </w:rPr>
              <w:t xml:space="preserve">saugaus vartojimui </w:t>
            </w:r>
            <w:r w:rsidRPr="00B44B19">
              <w:rPr>
                <w:rFonts w:ascii="Times New Roman" w:hAnsi="Times New Roman" w:cs="Times New Roman"/>
                <w:lang w:val="lt"/>
              </w:rPr>
              <w:t>geriamojo vandens tiekimas. Vykdant įmonių fizinę apsaugą, būtina vadovautis sisteminiu požiūriu į visą įmonės apsaugos sistemą.</w:t>
            </w:r>
          </w:p>
          <w:p w14:paraId="7F3C4F67" w14:textId="77777777" w:rsidR="0087201A" w:rsidRPr="00B44B19" w:rsidRDefault="0087201A" w:rsidP="002E0230">
            <w:pPr>
              <w:spacing w:before="60" w:after="60"/>
              <w:jc w:val="both"/>
              <w:rPr>
                <w:rFonts w:ascii="Times New Roman" w:eastAsia="Times New Roman" w:hAnsi="Times New Roman" w:cs="Times New Roman"/>
                <w:color w:val="000000" w:themeColor="text1"/>
                <w:lang w:val="lt"/>
              </w:rPr>
            </w:pPr>
            <w:r w:rsidRPr="00B44B19">
              <w:rPr>
                <w:rFonts w:ascii="Times New Roman" w:eastAsia="Times New Roman" w:hAnsi="Times New Roman" w:cs="Times New Roman"/>
                <w:color w:val="000000" w:themeColor="text1"/>
                <w:lang w:val="lt"/>
              </w:rPr>
              <w:t>Veiksmas, siekiant didinti geriamojo vandens tiekimo infrastruktūros atsparumą:</w:t>
            </w:r>
          </w:p>
          <w:p w14:paraId="47BF1642" w14:textId="77777777" w:rsidR="0087201A" w:rsidRPr="00B44B19" w:rsidRDefault="0087201A" w:rsidP="002E0230">
            <w:pPr>
              <w:spacing w:before="60" w:after="60"/>
              <w:jc w:val="both"/>
              <w:rPr>
                <w:rFonts w:ascii="Times New Roman" w:hAnsi="Times New Roman" w:cs="Times New Roman"/>
                <w:lang w:val="lt"/>
              </w:rPr>
            </w:pPr>
            <w:r w:rsidRPr="00B44B19">
              <w:rPr>
                <w:rFonts w:ascii="Times New Roman" w:hAnsi="Times New Roman" w:cs="Times New Roman"/>
                <w:b/>
                <w:bCs/>
                <w:lang w:val="lt"/>
              </w:rPr>
              <w:t xml:space="preserve">Geriamojo vandens tiekimo infrastruktūros saugumo stiprinimas, viešųjų vandens tiekėjų ir nuotekų tvarkytojų valdymo centrų atsparumo didinimas: </w:t>
            </w:r>
            <w:r w:rsidRPr="00B44B19">
              <w:rPr>
                <w:rFonts w:ascii="Times New Roman" w:hAnsi="Times New Roman" w:cs="Times New Roman"/>
                <w:lang w:val="lt"/>
              </w:rPr>
              <w:t>siekiant mažinti</w:t>
            </w:r>
            <w:r w:rsidRPr="00B44B19">
              <w:rPr>
                <w:rFonts w:ascii="Times New Roman" w:hAnsi="Times New Roman" w:cs="Times New Roman"/>
                <w:b/>
                <w:bCs/>
                <w:lang w:val="lt"/>
              </w:rPr>
              <w:t xml:space="preserve"> </w:t>
            </w:r>
            <w:r w:rsidRPr="00B44B19">
              <w:rPr>
                <w:rFonts w:ascii="Times New Roman" w:hAnsi="Times New Roman" w:cs="Times New Roman"/>
                <w:lang w:val="lt"/>
              </w:rPr>
              <w:t xml:space="preserve">incidentų rizikas ir didinti infrastruktūros atsparumą bus </w:t>
            </w:r>
            <w:r w:rsidRPr="00B44B19">
              <w:rPr>
                <w:rFonts w:ascii="Times New Roman" w:eastAsia="Times New Roman" w:hAnsi="Times New Roman" w:cs="Times New Roman"/>
                <w:lang w:val="lt"/>
              </w:rPr>
              <w:t>skatinamos</w:t>
            </w:r>
            <w:r w:rsidRPr="00B44B19">
              <w:rPr>
                <w:rFonts w:ascii="Times New Roman" w:hAnsi="Times New Roman" w:cs="Times New Roman"/>
                <w:lang w:val="lt"/>
              </w:rPr>
              <w:t xml:space="preserve"> apsaugos priemonės, kurios numatytos nacionaliniam saugumui užtikrinti svarbių įmonių saugumo planuose</w:t>
            </w:r>
            <w:r w:rsidRPr="00B44B19">
              <w:rPr>
                <w:rFonts w:ascii="Times New Roman" w:hAnsi="Times New Roman" w:cs="Times New Roman"/>
                <w:vertAlign w:val="superscript"/>
                <w:lang w:val="lt"/>
              </w:rPr>
              <w:footnoteReference w:id="7"/>
            </w:r>
            <w:r w:rsidRPr="00B44B19">
              <w:rPr>
                <w:rFonts w:ascii="Times New Roman" w:hAnsi="Times New Roman" w:cs="Times New Roman"/>
                <w:lang w:val="lt"/>
              </w:rPr>
              <w:t xml:space="preserve"> (pvz.: perimetro saugos, pastatų apsaugos, objektų apsauginės signalizacijos, vaizdo stebėjimo, apšvietimo, pavojaus signalizavimo ir įeigos kontrolės sistemos, vandens toksinio užteršimo fiksavimo priemonių įrengimas). </w:t>
            </w:r>
            <w:r w:rsidRPr="00B44B19">
              <w:rPr>
                <w:rFonts w:ascii="Times New Roman" w:eastAsia="Times New Roman" w:hAnsi="Times New Roman" w:cs="Times New Roman"/>
                <w:color w:val="000000" w:themeColor="text1"/>
                <w:lang w:val="lt"/>
              </w:rPr>
              <w:t>Pritaikytos modernios stebėsenos priemonės ir kontrolės sprendimai leistų tiksliau nustatyti incidentų laiką ir aplinkybes, palengvintų tyrimų vykdymą ir prevencinių priemonių planavimą. Veikla įgyvendinama visoje Lietuvoje.</w:t>
            </w:r>
          </w:p>
          <w:p w14:paraId="08C5C32A"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 xml:space="preserve">Ši veikla aktuali atsižvelgiant į Lietuvos, kaip ES pasienio valstybės, esančios greta šalių agresorių, situaciją ir iš to kylančias grėsmes, nes ji užtikrins didesnį vandens tiekimo infrastruktūros atsparumą hibridinių </w:t>
            </w:r>
            <w:r w:rsidRPr="00B44B19">
              <w:rPr>
                <w:rFonts w:ascii="Times New Roman" w:hAnsi="Times New Roman" w:cs="Times New Roman"/>
                <w:color w:val="000000" w:themeColor="text1"/>
              </w:rPr>
              <w:t>atakų ar karinių veiksmų metu.</w:t>
            </w:r>
            <w:r w:rsidRPr="00B44B19">
              <w:rPr>
                <w:rFonts w:ascii="Times New Roman" w:hAnsi="Times New Roman" w:cs="Times New Roman"/>
              </w:rPr>
              <w:t xml:space="preserve"> </w:t>
            </w:r>
          </w:p>
          <w:p w14:paraId="25DCC5ED" w14:textId="77777777" w:rsidR="0087201A" w:rsidRPr="00B44B19" w:rsidRDefault="0087201A" w:rsidP="002E0230">
            <w:pPr>
              <w:spacing w:before="60" w:after="60"/>
              <w:jc w:val="both"/>
              <w:rPr>
                <w:rFonts w:ascii="Times New Roman" w:hAnsi="Times New Roman" w:cs="Times New Roman"/>
                <w:lang w:val="lt"/>
              </w:rPr>
            </w:pPr>
            <w:r w:rsidRPr="00B44B19">
              <w:rPr>
                <w:rFonts w:ascii="Times New Roman" w:hAnsi="Times New Roman" w:cs="Times New Roman"/>
                <w:color w:val="000000" w:themeColor="text1"/>
              </w:rPr>
              <w:lastRenderedPageBreak/>
              <w:t>Uždavinio veiklos (veiksmų rūšys) įvertintos vadovaujantis EGADP NRŽ gairėmis, todėl laikoma, kad atitinka NRŽ principą.</w:t>
            </w:r>
          </w:p>
        </w:tc>
      </w:tr>
    </w:tbl>
    <w:p w14:paraId="593EE28D"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rPr>
      </w:pPr>
      <w:r w:rsidRPr="00B44B19">
        <w:rPr>
          <w:rFonts w:cs="Times New Roman"/>
          <w:b/>
          <w:i/>
          <w:color w:val="1F497D" w:themeColor="text2"/>
        </w:rPr>
        <w:lastRenderedPageBreak/>
        <w:t>Pagrindinės tikslinės grupės</w:t>
      </w:r>
    </w:p>
    <w:tbl>
      <w:tblPr>
        <w:tblStyle w:val="Lentelstinklelis2"/>
        <w:tblW w:w="0" w:type="auto"/>
        <w:tblLook w:val="04A0" w:firstRow="1" w:lastRow="0" w:firstColumn="1" w:lastColumn="0" w:noHBand="0" w:noVBand="1"/>
      </w:tblPr>
      <w:tblGrid>
        <w:gridCol w:w="9628"/>
      </w:tblGrid>
      <w:tr w:rsidR="0087201A" w:rsidRPr="00B44B19" w14:paraId="228BEE54" w14:textId="77777777" w:rsidTr="003040E3">
        <w:tc>
          <w:tcPr>
            <w:tcW w:w="9854" w:type="dxa"/>
          </w:tcPr>
          <w:p w14:paraId="5C862D7D" w14:textId="77777777" w:rsidR="0087201A" w:rsidRPr="00B44B19" w:rsidRDefault="0087201A" w:rsidP="002E0230">
            <w:pPr>
              <w:spacing w:before="60" w:after="60" w:line="276" w:lineRule="auto"/>
              <w:jc w:val="both"/>
              <w:rPr>
                <w:rFonts w:ascii="Times New Roman" w:hAnsi="Times New Roman" w:cs="Times New Roman"/>
              </w:rPr>
            </w:pPr>
            <w:r w:rsidRPr="00B44B19">
              <w:rPr>
                <w:rFonts w:ascii="Times New Roman" w:eastAsia="Times New Roman" w:hAnsi="Times New Roman" w:cs="Times New Roman"/>
                <w:color w:val="000000" w:themeColor="text1"/>
              </w:rPr>
              <w:t>Gyventojai, savivaldybės, viešieji geriamojo vandens tiekėjai ir nuotekų tvarkytojai.</w:t>
            </w:r>
          </w:p>
        </w:tc>
      </w:tr>
    </w:tbl>
    <w:p w14:paraId="6D42BECA"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szCs w:val="24"/>
          <w:lang w:eastAsia="lt-LT" w:bidi="lt-LT"/>
        </w:rPr>
      </w:pPr>
      <w:r w:rsidRPr="00B44B19">
        <w:rPr>
          <w:rFonts w:cs="Times New Roman"/>
          <w:b/>
          <w:i/>
          <w:noProof/>
          <w:color w:val="1F497D" w:themeColor="text2"/>
          <w:szCs w:val="24"/>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7201A" w:rsidRPr="00B44B19" w14:paraId="37173334" w14:textId="77777777" w:rsidTr="003040E3">
        <w:trPr>
          <w:trHeight w:val="82"/>
        </w:trPr>
        <w:tc>
          <w:tcPr>
            <w:tcW w:w="9854" w:type="dxa"/>
          </w:tcPr>
          <w:p w14:paraId="349E4704" w14:textId="77777777" w:rsidR="0087201A" w:rsidRPr="00B44B19" w:rsidRDefault="0087201A" w:rsidP="002E0230">
            <w:pPr>
              <w:spacing w:before="60" w:after="60" w:line="276" w:lineRule="auto"/>
              <w:jc w:val="both"/>
              <w:rPr>
                <w:rFonts w:eastAsia="Times New Roman" w:cs="Times New Roman"/>
                <w:i/>
                <w:iCs/>
                <w:sz w:val="22"/>
              </w:rPr>
            </w:pPr>
            <w:r w:rsidRPr="00B44B19">
              <w:rPr>
                <w:rFonts w:eastAsia="Times New Roman" w:cs="Times New Roman"/>
                <w:color w:val="000000" w:themeColor="text1"/>
                <w:sz w:val="22"/>
              </w:rPr>
              <w:t>Vykdant numatytas veiklas bus siekiama užtikrinti lygybės, įtraukties ir nediskriminavimo principus.</w:t>
            </w:r>
          </w:p>
        </w:tc>
      </w:tr>
    </w:tbl>
    <w:p w14:paraId="10142810"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Cs w:val="24"/>
        </w:rPr>
      </w:pPr>
      <w:r w:rsidRPr="00B44B19">
        <w:rPr>
          <w:rFonts w:cs="Times New Roman"/>
          <w:b/>
          <w:i/>
          <w:color w:val="1F497D" w:themeColor="text2"/>
          <w:szCs w:val="24"/>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87201A" w:rsidRPr="00B44B19" w14:paraId="05FEAD0F" w14:textId="77777777" w:rsidTr="003040E3">
        <w:tc>
          <w:tcPr>
            <w:tcW w:w="9854" w:type="dxa"/>
          </w:tcPr>
          <w:p w14:paraId="70519CF1" w14:textId="77777777" w:rsidR="0087201A" w:rsidRPr="00B44B19" w:rsidRDefault="0087201A" w:rsidP="009752E6">
            <w:pPr>
              <w:spacing w:before="60" w:after="60" w:line="276" w:lineRule="auto"/>
              <w:jc w:val="both"/>
              <w:rPr>
                <w:rFonts w:ascii="Times New Roman" w:eastAsia="Times New Roman" w:hAnsi="Times New Roman" w:cs="Times New Roman"/>
                <w:i/>
                <w:iCs/>
                <w:color w:val="000000" w:themeColor="text1"/>
              </w:rPr>
            </w:pPr>
            <w:r w:rsidRPr="00B44B19">
              <w:rPr>
                <w:rFonts w:ascii="Times New Roman" w:eastAsia="Times New Roman" w:hAnsi="Times New Roman" w:cs="Times New Roman"/>
                <w:color w:val="000000" w:themeColor="text1"/>
              </w:rPr>
              <w:t>Visa Lietuva.</w:t>
            </w:r>
          </w:p>
        </w:tc>
      </w:tr>
    </w:tbl>
    <w:p w14:paraId="1641D452"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Cs w:val="24"/>
        </w:rPr>
      </w:pPr>
      <w:r w:rsidRPr="00B44B19">
        <w:rPr>
          <w:rFonts w:cs="Times New Roman"/>
          <w:b/>
          <w:i/>
          <w:color w:val="1F497D" w:themeColor="text2"/>
          <w:szCs w:val="24"/>
        </w:rPr>
        <w:t>Tarpregioniniai, tarp sienų ir tarpvalstybiniai veiksmai</w:t>
      </w:r>
    </w:p>
    <w:tbl>
      <w:tblPr>
        <w:tblStyle w:val="Lentelstinklelis2"/>
        <w:tblW w:w="0" w:type="auto"/>
        <w:tblLook w:val="04A0" w:firstRow="1" w:lastRow="0" w:firstColumn="1" w:lastColumn="0" w:noHBand="0" w:noVBand="1"/>
      </w:tblPr>
      <w:tblGrid>
        <w:gridCol w:w="9628"/>
      </w:tblGrid>
      <w:tr w:rsidR="0087201A" w:rsidRPr="00B44B19" w14:paraId="68ACF6B5" w14:textId="77777777" w:rsidTr="003040E3">
        <w:tc>
          <w:tcPr>
            <w:tcW w:w="9854" w:type="dxa"/>
          </w:tcPr>
          <w:p w14:paraId="767B0648"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 xml:space="preserve">Atspari geriamojo vandens tiekimo infrastruktūra ir </w:t>
            </w:r>
            <w:r w:rsidRPr="00B44B19">
              <w:rPr>
                <w:rFonts w:ascii="Times New Roman" w:eastAsia="Times New Roman" w:hAnsi="Times New Roman" w:cs="Times New Roman"/>
              </w:rPr>
              <w:t>viešųjų vandens tiekėjų ir nuotekų tvarkytojų valdymo centrų</w:t>
            </w:r>
            <w:r w:rsidRPr="00B44B19">
              <w:rPr>
                <w:rFonts w:ascii="Times New Roman" w:hAnsi="Times New Roman" w:cs="Times New Roman"/>
              </w:rPr>
              <w:t xml:space="preserve"> apsauga užtikrina neigiamų padarinių prevenciją Baltijos jūrai.</w:t>
            </w:r>
          </w:p>
        </w:tc>
      </w:tr>
    </w:tbl>
    <w:p w14:paraId="4E817603"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rPr>
      </w:pPr>
      <w:r w:rsidRPr="00B44B19">
        <w:rPr>
          <w:rFonts w:cs="Times New Roman"/>
          <w:b/>
          <w:i/>
          <w:color w:val="1F497D" w:themeColor="text2"/>
        </w:rPr>
        <w:t>Planuojamas finansinių priemonių naudojimas</w:t>
      </w:r>
    </w:p>
    <w:tbl>
      <w:tblPr>
        <w:tblStyle w:val="Lentelstinklelis2"/>
        <w:tblW w:w="0" w:type="auto"/>
        <w:tblLook w:val="04A0" w:firstRow="1" w:lastRow="0" w:firstColumn="1" w:lastColumn="0" w:noHBand="0" w:noVBand="1"/>
      </w:tblPr>
      <w:tblGrid>
        <w:gridCol w:w="9628"/>
      </w:tblGrid>
      <w:tr w:rsidR="0087201A" w:rsidRPr="00B44B19" w14:paraId="2D217AD4" w14:textId="77777777" w:rsidTr="003040E3">
        <w:tc>
          <w:tcPr>
            <w:tcW w:w="9854" w:type="dxa"/>
          </w:tcPr>
          <w:p w14:paraId="57993F62" w14:textId="77777777" w:rsidR="0087201A" w:rsidRPr="00B44B19" w:rsidRDefault="0087201A" w:rsidP="009752E6">
            <w:pPr>
              <w:spacing w:before="60" w:after="60" w:line="276" w:lineRule="auto"/>
              <w:jc w:val="both"/>
              <w:rPr>
                <w:rFonts w:ascii="Times New Roman" w:eastAsia="Times New Roman" w:hAnsi="Times New Roman" w:cs="Times New Roman"/>
              </w:rPr>
            </w:pPr>
            <w:r w:rsidRPr="00B44B19">
              <w:rPr>
                <w:rFonts w:ascii="Times New Roman" w:eastAsia="Times New Roman" w:hAnsi="Times New Roman" w:cs="Times New Roman"/>
                <w:color w:val="000000" w:themeColor="text1"/>
              </w:rPr>
              <w:t>–</w:t>
            </w:r>
          </w:p>
        </w:tc>
      </w:tr>
    </w:tbl>
    <w:p w14:paraId="7871E3E4"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rPr>
      </w:pPr>
      <w:r w:rsidRPr="00B44B19">
        <w:rPr>
          <w:rFonts w:cs="Times New Roman"/>
          <w:b/>
          <w:i/>
          <w:color w:val="1F497D" w:themeColor="text2"/>
        </w:rPr>
        <w:t>Rodikliai</w:t>
      </w:r>
    </w:p>
    <w:p w14:paraId="4440899B" w14:textId="77777777" w:rsidR="0087201A" w:rsidRPr="00B44B19" w:rsidRDefault="0087201A" w:rsidP="0087201A">
      <w:pPr>
        <w:spacing w:before="240" w:after="0" w:line="240" w:lineRule="auto"/>
        <w:jc w:val="both"/>
        <w:rPr>
          <w:rFonts w:cs="Times New Roman"/>
          <w:b/>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87201A" w:rsidRPr="00B44B19" w14:paraId="0D840A4A" w14:textId="77777777" w:rsidTr="003040E3">
        <w:trPr>
          <w:trHeight w:val="104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EBC8CF"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83B4AB"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B6ED8B"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C3DD23"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077A49"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EAEBA7"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5F5B29"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38F741"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B725DC5"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Siektina reikšmė (2029 m.)</w:t>
            </w:r>
          </w:p>
        </w:tc>
      </w:tr>
      <w:tr w:rsidR="0087201A" w:rsidRPr="00B44B19" w14:paraId="4921B2A1" w14:textId="77777777" w:rsidTr="003040E3">
        <w:trPr>
          <w:trHeight w:val="300"/>
        </w:trPr>
        <w:tc>
          <w:tcPr>
            <w:tcW w:w="497" w:type="pct"/>
            <w:tcBorders>
              <w:top w:val="single" w:sz="12" w:space="0" w:color="auto"/>
            </w:tcBorders>
          </w:tcPr>
          <w:p w14:paraId="1D8B6372"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12</w:t>
            </w:r>
          </w:p>
        </w:tc>
        <w:tc>
          <w:tcPr>
            <w:tcW w:w="503" w:type="pct"/>
            <w:tcBorders>
              <w:top w:val="single" w:sz="12" w:space="0" w:color="auto"/>
            </w:tcBorders>
          </w:tcPr>
          <w:p w14:paraId="0772C67D"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12.1</w:t>
            </w:r>
          </w:p>
        </w:tc>
        <w:tc>
          <w:tcPr>
            <w:tcW w:w="432" w:type="pct"/>
            <w:tcBorders>
              <w:top w:val="single" w:sz="12" w:space="0" w:color="auto"/>
            </w:tcBorders>
          </w:tcPr>
          <w:p w14:paraId="5935541E"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SaF</w:t>
            </w:r>
          </w:p>
        </w:tc>
        <w:tc>
          <w:tcPr>
            <w:tcW w:w="502" w:type="pct"/>
            <w:tcBorders>
              <w:top w:val="single" w:sz="12" w:space="0" w:color="auto"/>
            </w:tcBorders>
          </w:tcPr>
          <w:p w14:paraId="6DE8F14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color w:val="000000" w:themeColor="text1"/>
                <w:sz w:val="16"/>
                <w:szCs w:val="16"/>
              </w:rPr>
              <w:t>Visa Lietuva</w:t>
            </w:r>
          </w:p>
          <w:p w14:paraId="1C7CACE6" w14:textId="77777777" w:rsidR="0087201A" w:rsidRPr="00B44B19" w:rsidRDefault="0087201A" w:rsidP="0087201A">
            <w:pPr>
              <w:spacing w:after="0" w:line="240" w:lineRule="auto"/>
              <w:jc w:val="both"/>
              <w:rPr>
                <w:rFonts w:cs="Times New Roman"/>
                <w:noProof/>
                <w:sz w:val="16"/>
                <w:szCs w:val="16"/>
              </w:rPr>
            </w:pPr>
          </w:p>
        </w:tc>
        <w:tc>
          <w:tcPr>
            <w:tcW w:w="645" w:type="pct"/>
            <w:tcBorders>
              <w:top w:val="single" w:sz="12" w:space="0" w:color="auto"/>
              <w:bottom w:val="single" w:sz="4" w:space="0" w:color="auto"/>
            </w:tcBorders>
          </w:tcPr>
          <w:p w14:paraId="7601BC4F" w14:textId="77777777" w:rsidR="0087201A" w:rsidRPr="00B44B19" w:rsidRDefault="0087201A" w:rsidP="0087201A">
            <w:pPr>
              <w:spacing w:line="240" w:lineRule="auto"/>
              <w:jc w:val="both"/>
              <w:rPr>
                <w:rFonts w:eastAsia="Calibri" w:cs="Times New Roman"/>
                <w:sz w:val="16"/>
                <w:szCs w:val="16"/>
                <w:lang w:eastAsia="en-GB" w:bidi="lt-LT"/>
              </w:rPr>
            </w:pPr>
            <w:r w:rsidRPr="00B44B19">
              <w:rPr>
                <w:rFonts w:cs="Times New Roman"/>
                <w:sz w:val="16"/>
                <w:szCs w:val="16"/>
              </w:rPr>
              <w:t>Specialusis</w:t>
            </w:r>
          </w:p>
        </w:tc>
        <w:tc>
          <w:tcPr>
            <w:tcW w:w="931" w:type="pct"/>
            <w:tcBorders>
              <w:top w:val="single" w:sz="12" w:space="0" w:color="auto"/>
              <w:bottom w:val="single" w:sz="4" w:space="0" w:color="auto"/>
            </w:tcBorders>
          </w:tcPr>
          <w:p w14:paraId="3BA20ADA" w14:textId="77777777" w:rsidR="0087201A" w:rsidRPr="00B44B19" w:rsidRDefault="0087201A" w:rsidP="0087201A">
            <w:pPr>
              <w:autoSpaceDE w:val="0"/>
              <w:autoSpaceDN w:val="0"/>
              <w:adjustRightInd w:val="0"/>
              <w:spacing w:after="0" w:line="240" w:lineRule="auto"/>
              <w:rPr>
                <w:rFonts w:eastAsia="Times New Roman" w:cs="Times New Roman"/>
                <w:color w:val="000000" w:themeColor="text1"/>
                <w:sz w:val="16"/>
                <w:szCs w:val="16"/>
              </w:rPr>
            </w:pPr>
            <w:r w:rsidRPr="00B44B19">
              <w:rPr>
                <w:rFonts w:eastAsia="Times New Roman" w:cs="Times New Roman"/>
                <w:color w:val="000000" w:themeColor="text1"/>
                <w:sz w:val="16"/>
                <w:szCs w:val="16"/>
              </w:rPr>
              <w:t>Įdiegtos vandenviečių, viešųjų vandens tiekėjų, nuotekų tvarkytojų valdymo centrų apsaugos priemonės</w:t>
            </w:r>
          </w:p>
        </w:tc>
        <w:tc>
          <w:tcPr>
            <w:tcW w:w="507" w:type="pct"/>
            <w:tcBorders>
              <w:top w:val="single" w:sz="12" w:space="0" w:color="auto"/>
              <w:bottom w:val="single" w:sz="4" w:space="0" w:color="auto"/>
            </w:tcBorders>
          </w:tcPr>
          <w:p w14:paraId="52871341" w14:textId="77777777" w:rsidR="0087201A" w:rsidRPr="00B44B19" w:rsidRDefault="0087201A" w:rsidP="0087201A">
            <w:pPr>
              <w:spacing w:line="240" w:lineRule="auto"/>
              <w:jc w:val="both"/>
              <w:rPr>
                <w:rFonts w:eastAsia="Times New Roman" w:cs="Times New Roman"/>
                <w:sz w:val="16"/>
                <w:szCs w:val="16"/>
                <w:lang w:eastAsia="lt-LT"/>
              </w:rPr>
            </w:pPr>
            <w:r w:rsidRPr="00B44B19">
              <w:rPr>
                <w:rFonts w:eastAsia="Times New Roman" w:cs="Times New Roman"/>
                <w:sz w:val="16"/>
                <w:szCs w:val="16"/>
                <w:lang w:eastAsia="lt-LT"/>
              </w:rPr>
              <w:t>Skaičius</w:t>
            </w:r>
          </w:p>
          <w:p w14:paraId="22FA7816" w14:textId="77777777" w:rsidR="0087201A" w:rsidRPr="00B44B19" w:rsidRDefault="0087201A" w:rsidP="0087201A">
            <w:pPr>
              <w:spacing w:line="240" w:lineRule="auto"/>
              <w:jc w:val="both"/>
              <w:rPr>
                <w:rFonts w:eastAsia="Times New Roman" w:cs="Times New Roman"/>
                <w:sz w:val="16"/>
                <w:szCs w:val="16"/>
                <w:lang w:eastAsia="lt-LT"/>
              </w:rPr>
            </w:pPr>
          </w:p>
        </w:tc>
        <w:tc>
          <w:tcPr>
            <w:tcW w:w="503" w:type="pct"/>
            <w:tcBorders>
              <w:top w:val="single" w:sz="12" w:space="0" w:color="auto"/>
              <w:bottom w:val="single" w:sz="4" w:space="0" w:color="auto"/>
            </w:tcBorders>
          </w:tcPr>
          <w:p w14:paraId="7DDDA4CD" w14:textId="77777777" w:rsidR="0087201A" w:rsidRPr="00B44B19" w:rsidRDefault="0087201A" w:rsidP="0087201A">
            <w:pPr>
              <w:spacing w:line="240" w:lineRule="auto"/>
              <w:jc w:val="center"/>
              <w:rPr>
                <w:rFonts w:cs="Times New Roman"/>
                <w:noProof/>
                <w:sz w:val="16"/>
                <w:szCs w:val="16"/>
              </w:rPr>
            </w:pPr>
            <w:r w:rsidRPr="00B44B19">
              <w:rPr>
                <w:rFonts w:cs="Times New Roman"/>
                <w:noProof/>
                <w:sz w:val="16"/>
                <w:szCs w:val="16"/>
              </w:rPr>
              <w:t>0</w:t>
            </w:r>
          </w:p>
        </w:tc>
        <w:tc>
          <w:tcPr>
            <w:tcW w:w="480" w:type="pct"/>
            <w:tcBorders>
              <w:top w:val="single" w:sz="12" w:space="0" w:color="auto"/>
              <w:bottom w:val="single" w:sz="4" w:space="0" w:color="auto"/>
            </w:tcBorders>
          </w:tcPr>
          <w:p w14:paraId="3B08513F" w14:textId="77777777" w:rsidR="0087201A" w:rsidRPr="00B44B19" w:rsidRDefault="0087201A" w:rsidP="0087201A">
            <w:pPr>
              <w:spacing w:line="240" w:lineRule="auto"/>
              <w:jc w:val="center"/>
              <w:rPr>
                <w:rFonts w:cs="Times New Roman"/>
                <w:noProof/>
                <w:sz w:val="16"/>
                <w:szCs w:val="16"/>
              </w:rPr>
            </w:pPr>
            <w:r w:rsidRPr="00B44B19">
              <w:rPr>
                <w:rFonts w:cs="Times New Roman"/>
                <w:noProof/>
                <w:sz w:val="16"/>
                <w:szCs w:val="16"/>
              </w:rPr>
              <w:t>90</w:t>
            </w:r>
          </w:p>
        </w:tc>
      </w:tr>
    </w:tbl>
    <w:p w14:paraId="2CCEB50A" w14:textId="77777777" w:rsidR="0087201A" w:rsidRPr="00B44B19" w:rsidRDefault="0087201A" w:rsidP="0087201A">
      <w:pPr>
        <w:spacing w:after="0" w:line="240" w:lineRule="auto"/>
        <w:jc w:val="both"/>
        <w:rPr>
          <w:rFonts w:cs="Times New Roman"/>
          <w:b/>
          <w:sz w:val="22"/>
        </w:rPr>
        <w:sectPr w:rsidR="0087201A" w:rsidRPr="00B44B19" w:rsidSect="0087201A">
          <w:headerReference w:type="default" r:id="rId22"/>
          <w:footerReference w:type="first" r:id="rId23"/>
          <w:pgSz w:w="11906" w:h="16838"/>
          <w:pgMar w:top="1276" w:right="567" w:bottom="1134" w:left="1701" w:header="567" w:footer="567" w:gutter="0"/>
          <w:cols w:space="1296"/>
          <w:docGrid w:linePitch="360"/>
        </w:sectPr>
      </w:pPr>
    </w:p>
    <w:p w14:paraId="1103FF5A" w14:textId="77777777" w:rsidR="0087201A" w:rsidRPr="00B44B19" w:rsidRDefault="0087201A" w:rsidP="0087201A">
      <w:pPr>
        <w:spacing w:after="0" w:line="240" w:lineRule="auto"/>
        <w:jc w:val="both"/>
        <w:rPr>
          <w:rFonts w:cs="Times New Roman"/>
          <w:b/>
          <w:sz w:val="22"/>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903"/>
        <w:gridCol w:w="975"/>
        <w:gridCol w:w="975"/>
        <w:gridCol w:w="1115"/>
        <w:gridCol w:w="975"/>
        <w:gridCol w:w="907"/>
        <w:gridCol w:w="1029"/>
      </w:tblGrid>
      <w:tr w:rsidR="0087201A" w:rsidRPr="00B44B19" w14:paraId="35092989" w14:textId="77777777" w:rsidTr="003040E3">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67D471"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4DEE75"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C1DE90"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840EE8"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3CB6E4"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413626"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C72A3D"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AC6F93"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415FB4"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013544" w14:textId="77777777" w:rsidR="0087201A" w:rsidRPr="00B44B19" w:rsidRDefault="0087201A" w:rsidP="0087201A">
            <w:pPr>
              <w:spacing w:after="0" w:line="240" w:lineRule="auto"/>
              <w:jc w:val="center"/>
              <w:rPr>
                <w:rFonts w:eastAsia="Calibri" w:cs="Times New Roman"/>
                <w:b/>
                <w:bCs/>
                <w:noProof/>
                <w:sz w:val="16"/>
                <w:szCs w:val="16"/>
              </w:rPr>
            </w:pPr>
            <w:r w:rsidRPr="00B44B19">
              <w:rPr>
                <w:rFonts w:eastAsia="Calibri" w:cs="Times New Roman"/>
                <w:b/>
                <w:bCs/>
                <w:noProof/>
                <w:sz w:val="16"/>
                <w:szCs w:val="16"/>
              </w:rPr>
              <w:t>Siektina reikšmė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652003"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89D04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87201A" w:rsidRPr="00B44B19" w14:paraId="3ED4AD2C" w14:textId="77777777" w:rsidTr="00220EE5">
        <w:trPr>
          <w:trHeight w:val="817"/>
        </w:trPr>
        <w:tc>
          <w:tcPr>
            <w:tcW w:w="317" w:type="pct"/>
            <w:tcBorders>
              <w:top w:val="single" w:sz="12" w:space="0" w:color="auto"/>
            </w:tcBorders>
          </w:tcPr>
          <w:p w14:paraId="3B8B4782"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12</w:t>
            </w:r>
          </w:p>
        </w:tc>
        <w:tc>
          <w:tcPr>
            <w:tcW w:w="328" w:type="pct"/>
            <w:tcBorders>
              <w:top w:val="single" w:sz="12" w:space="0" w:color="auto"/>
            </w:tcBorders>
          </w:tcPr>
          <w:p w14:paraId="69431ECA"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12.1</w:t>
            </w:r>
          </w:p>
        </w:tc>
        <w:tc>
          <w:tcPr>
            <w:tcW w:w="281" w:type="pct"/>
            <w:tcBorders>
              <w:top w:val="single" w:sz="12" w:space="0" w:color="auto"/>
            </w:tcBorders>
          </w:tcPr>
          <w:p w14:paraId="4F01200C"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SaF</w:t>
            </w:r>
          </w:p>
        </w:tc>
        <w:tc>
          <w:tcPr>
            <w:tcW w:w="328" w:type="pct"/>
            <w:tcBorders>
              <w:top w:val="single" w:sz="12" w:space="0" w:color="auto"/>
            </w:tcBorders>
          </w:tcPr>
          <w:p w14:paraId="79373F1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color w:val="000000" w:themeColor="text1"/>
                <w:sz w:val="16"/>
                <w:szCs w:val="16"/>
              </w:rPr>
              <w:t>Visa Lietuva</w:t>
            </w:r>
          </w:p>
          <w:p w14:paraId="577BD07C" w14:textId="77777777" w:rsidR="0087201A" w:rsidRPr="00B44B19" w:rsidRDefault="0087201A" w:rsidP="0087201A">
            <w:pPr>
              <w:spacing w:after="0" w:line="240" w:lineRule="auto"/>
              <w:jc w:val="both"/>
              <w:rPr>
                <w:rFonts w:eastAsia="Calibri" w:cs="Times New Roman"/>
                <w:noProof/>
                <w:sz w:val="16"/>
                <w:szCs w:val="16"/>
              </w:rPr>
            </w:pPr>
          </w:p>
        </w:tc>
        <w:tc>
          <w:tcPr>
            <w:tcW w:w="422" w:type="pct"/>
            <w:tcBorders>
              <w:top w:val="single" w:sz="12" w:space="0" w:color="auto"/>
            </w:tcBorders>
          </w:tcPr>
          <w:p w14:paraId="43FA0661"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cs="Times New Roman"/>
                <w:sz w:val="16"/>
                <w:szCs w:val="16"/>
              </w:rPr>
              <w:t>Specialusis</w:t>
            </w:r>
          </w:p>
        </w:tc>
        <w:tc>
          <w:tcPr>
            <w:tcW w:w="1313" w:type="pct"/>
            <w:tcBorders>
              <w:top w:val="single" w:sz="12" w:space="0" w:color="auto"/>
            </w:tcBorders>
          </w:tcPr>
          <w:p w14:paraId="69D38F34" w14:textId="77777777" w:rsidR="0087201A" w:rsidRPr="00B44B19" w:rsidRDefault="0087201A" w:rsidP="0087201A">
            <w:pPr>
              <w:spacing w:after="0" w:line="240" w:lineRule="auto"/>
              <w:rPr>
                <w:rFonts w:eastAsia="Times New Roman" w:cs="Times New Roman"/>
                <w:color w:val="000000" w:themeColor="text1"/>
                <w:sz w:val="16"/>
                <w:szCs w:val="16"/>
              </w:rPr>
            </w:pPr>
            <w:r w:rsidRPr="00B44B19">
              <w:rPr>
                <w:rFonts w:eastAsiaTheme="minorEastAsia" w:cs="Times New Roman"/>
                <w:color w:val="000000" w:themeColor="text1"/>
                <w:sz w:val="16"/>
                <w:szCs w:val="16"/>
              </w:rPr>
              <w:t>Viešieji vandens tiekėjai ir nuotekų tvarkytojai, kurie investuoja į saugaus vandens tiekimo užtikrinimo priemones, siekiant padidinti įmonių veiklos atsparumą</w:t>
            </w:r>
          </w:p>
        </w:tc>
        <w:tc>
          <w:tcPr>
            <w:tcW w:w="328" w:type="pct"/>
            <w:tcBorders>
              <w:top w:val="single" w:sz="12" w:space="0" w:color="auto"/>
            </w:tcBorders>
          </w:tcPr>
          <w:p w14:paraId="7429A12B"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Skaičius</w:t>
            </w:r>
          </w:p>
        </w:tc>
        <w:tc>
          <w:tcPr>
            <w:tcW w:w="328" w:type="pct"/>
            <w:tcBorders>
              <w:top w:val="single" w:sz="12" w:space="0" w:color="auto"/>
            </w:tcBorders>
          </w:tcPr>
          <w:p w14:paraId="7C18E24F"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0</w:t>
            </w:r>
          </w:p>
        </w:tc>
        <w:tc>
          <w:tcPr>
            <w:tcW w:w="375" w:type="pct"/>
            <w:tcBorders>
              <w:top w:val="single" w:sz="12" w:space="0" w:color="auto"/>
            </w:tcBorders>
          </w:tcPr>
          <w:p w14:paraId="61AEDBEB"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2025</w:t>
            </w:r>
          </w:p>
        </w:tc>
        <w:tc>
          <w:tcPr>
            <w:tcW w:w="328" w:type="pct"/>
            <w:tcBorders>
              <w:top w:val="single" w:sz="12" w:space="0" w:color="auto"/>
            </w:tcBorders>
          </w:tcPr>
          <w:p w14:paraId="0C37C3E1" w14:textId="77777777" w:rsidR="0087201A" w:rsidRPr="00B44B19" w:rsidRDefault="0087201A" w:rsidP="0087201A">
            <w:pPr>
              <w:spacing w:after="0" w:line="240" w:lineRule="auto"/>
              <w:jc w:val="center"/>
              <w:rPr>
                <w:rFonts w:eastAsia="Calibri" w:cs="Times New Roman"/>
                <w:noProof/>
                <w:sz w:val="16"/>
                <w:szCs w:val="16"/>
              </w:rPr>
            </w:pPr>
            <w:r w:rsidRPr="00B44B19">
              <w:rPr>
                <w:rFonts w:eastAsia="Calibri" w:cs="Times New Roman"/>
                <w:noProof/>
                <w:sz w:val="16"/>
                <w:szCs w:val="16"/>
              </w:rPr>
              <w:t>30</w:t>
            </w:r>
          </w:p>
        </w:tc>
        <w:tc>
          <w:tcPr>
            <w:tcW w:w="305" w:type="pct"/>
            <w:tcBorders>
              <w:top w:val="single" w:sz="12" w:space="0" w:color="auto"/>
            </w:tcBorders>
          </w:tcPr>
          <w:p w14:paraId="52624BBB"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Projektų duomenys</w:t>
            </w:r>
          </w:p>
        </w:tc>
        <w:tc>
          <w:tcPr>
            <w:tcW w:w="346" w:type="pct"/>
            <w:tcBorders>
              <w:top w:val="single" w:sz="12" w:space="0" w:color="auto"/>
            </w:tcBorders>
          </w:tcPr>
          <w:p w14:paraId="2000193B"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bl>
    <w:p w14:paraId="0004486E" w14:textId="77777777" w:rsidR="0087201A" w:rsidRPr="00B44B19" w:rsidRDefault="0087201A" w:rsidP="0087201A">
      <w:pPr>
        <w:spacing w:after="0" w:line="240" w:lineRule="auto"/>
        <w:jc w:val="both"/>
        <w:rPr>
          <w:rFonts w:cs="Times New Roman"/>
          <w:b/>
          <w:sz w:val="22"/>
        </w:rPr>
      </w:pPr>
    </w:p>
    <w:p w14:paraId="3F5B5677" w14:textId="77777777" w:rsidR="0087201A" w:rsidRPr="00B44B19" w:rsidRDefault="0087201A" w:rsidP="0087201A">
      <w:pPr>
        <w:spacing w:after="0" w:line="240" w:lineRule="auto"/>
        <w:jc w:val="both"/>
        <w:rPr>
          <w:rFonts w:cs="Times New Roman"/>
          <w:sz w:val="16"/>
          <w:szCs w:val="16"/>
        </w:rPr>
        <w:sectPr w:rsidR="0087201A" w:rsidRPr="00B44B19" w:rsidSect="0087201A">
          <w:pgSz w:w="16838" w:h="11906" w:orient="landscape"/>
          <w:pgMar w:top="1701" w:right="1276" w:bottom="567" w:left="1134" w:header="567" w:footer="567" w:gutter="0"/>
          <w:cols w:space="1296"/>
          <w:docGrid w:linePitch="360"/>
        </w:sectPr>
      </w:pPr>
    </w:p>
    <w:p w14:paraId="2E10D70B" w14:textId="77777777" w:rsidR="0087201A" w:rsidRPr="00B44B19" w:rsidRDefault="0087201A" w:rsidP="0087201A">
      <w:pPr>
        <w:tabs>
          <w:tab w:val="center" w:pos="4819"/>
          <w:tab w:val="right" w:pos="9638"/>
        </w:tabs>
        <w:spacing w:before="120" w:after="120" w:line="240" w:lineRule="auto"/>
        <w:rPr>
          <w:rFonts w:cs="Times New Roman"/>
          <w:b/>
          <w:i/>
          <w:noProof/>
          <w:color w:val="1F497D" w:themeColor="text2"/>
          <w:lang w:eastAsia="lt-LT" w:bidi="lt-LT"/>
        </w:rPr>
      </w:pPr>
      <w:r w:rsidRPr="00B44B19">
        <w:rPr>
          <w:rFonts w:cs="Times New Roman"/>
          <w:b/>
          <w:i/>
          <w:noProof/>
          <w:color w:val="1F497D" w:themeColor="text2"/>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192"/>
        <w:gridCol w:w="1134"/>
        <w:gridCol w:w="3969"/>
        <w:gridCol w:w="1559"/>
      </w:tblGrid>
      <w:tr w:rsidR="0087201A" w:rsidRPr="00B44B19" w14:paraId="17C9263B"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169118" w14:textId="77777777" w:rsidR="0087201A" w:rsidRPr="00B44B19" w:rsidRDefault="0087201A" w:rsidP="0087201A">
            <w:pPr>
              <w:spacing w:after="200"/>
              <w:rPr>
                <w:rFonts w:cs="Times New Roman"/>
                <w:b/>
                <w:noProof/>
                <w:sz w:val="20"/>
                <w:szCs w:val="20"/>
              </w:rPr>
            </w:pPr>
            <w:r w:rsidRPr="00B44B19">
              <w:rPr>
                <w:rFonts w:cs="Times New Roman"/>
                <w:b/>
                <w:noProof/>
                <w:sz w:val="20"/>
                <w:szCs w:val="20"/>
              </w:rPr>
              <w:t>4 lentelė. 1 matmuo. Intervencinių priemonių sritis</w:t>
            </w:r>
          </w:p>
        </w:tc>
      </w:tr>
      <w:tr w:rsidR="0087201A" w:rsidRPr="00B44B19" w14:paraId="2520034B" w14:textId="77777777" w:rsidTr="003040E3">
        <w:trPr>
          <w:trHeight w:val="990"/>
        </w:trPr>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CC571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36B76C"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27737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847B48"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7A7312"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9D1AF6"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00D8310F" w14:textId="77777777" w:rsidTr="00220EE5">
        <w:trPr>
          <w:trHeight w:val="519"/>
        </w:trPr>
        <w:tc>
          <w:tcPr>
            <w:tcW w:w="1069" w:type="dxa"/>
            <w:tcBorders>
              <w:top w:val="single" w:sz="12" w:space="0" w:color="auto"/>
            </w:tcBorders>
          </w:tcPr>
          <w:p w14:paraId="582B295D"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12</w:t>
            </w:r>
          </w:p>
        </w:tc>
        <w:tc>
          <w:tcPr>
            <w:tcW w:w="843" w:type="dxa"/>
            <w:tcBorders>
              <w:top w:val="single" w:sz="12" w:space="0" w:color="auto"/>
            </w:tcBorders>
          </w:tcPr>
          <w:p w14:paraId="0ADEBBD1"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SaF</w:t>
            </w:r>
          </w:p>
        </w:tc>
        <w:tc>
          <w:tcPr>
            <w:tcW w:w="1192" w:type="dxa"/>
            <w:tcBorders>
              <w:top w:val="single" w:sz="12" w:space="0" w:color="auto"/>
            </w:tcBorders>
          </w:tcPr>
          <w:p w14:paraId="7F609541" w14:textId="48992111" w:rsidR="0087201A" w:rsidRPr="00B44B19" w:rsidRDefault="0087201A" w:rsidP="00220EE5">
            <w:pPr>
              <w:spacing w:after="200"/>
              <w:jc w:val="both"/>
              <w:rPr>
                <w:rFonts w:eastAsia="Times New Roman" w:cs="Times New Roman"/>
                <w:noProof/>
                <w:sz w:val="20"/>
                <w:szCs w:val="20"/>
              </w:rPr>
            </w:pPr>
            <w:r w:rsidRPr="00B44B19">
              <w:rPr>
                <w:rFonts w:eastAsia="Times New Roman" w:cs="Times New Roman"/>
                <w:noProof/>
                <w:color w:val="000000" w:themeColor="text1"/>
                <w:sz w:val="20"/>
                <w:szCs w:val="20"/>
              </w:rPr>
              <w:t>Visa Lietuva</w:t>
            </w:r>
          </w:p>
        </w:tc>
        <w:tc>
          <w:tcPr>
            <w:tcW w:w="1134" w:type="dxa"/>
            <w:tcBorders>
              <w:top w:val="single" w:sz="12" w:space="0" w:color="auto"/>
            </w:tcBorders>
          </w:tcPr>
          <w:p w14:paraId="374AC86A"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12.1</w:t>
            </w:r>
          </w:p>
        </w:tc>
        <w:tc>
          <w:tcPr>
            <w:tcW w:w="3969" w:type="dxa"/>
            <w:tcBorders>
              <w:top w:val="single" w:sz="12" w:space="0" w:color="auto"/>
              <w:bottom w:val="single" w:sz="4" w:space="0" w:color="auto"/>
            </w:tcBorders>
          </w:tcPr>
          <w:p w14:paraId="4AF75044" w14:textId="77777777" w:rsidR="0087201A" w:rsidRPr="00B44B19" w:rsidRDefault="0087201A" w:rsidP="0087201A">
            <w:pPr>
              <w:spacing w:after="200"/>
              <w:rPr>
                <w:rFonts w:eastAsia="Times New Roman" w:cs="Times New Roman"/>
                <w:noProof/>
                <w:color w:val="000000" w:themeColor="text1"/>
                <w:sz w:val="20"/>
                <w:szCs w:val="20"/>
              </w:rPr>
            </w:pPr>
            <w:r w:rsidRPr="00B44B19">
              <w:rPr>
                <w:rFonts w:eastAsia="Times New Roman" w:cs="Times New Roman"/>
                <w:noProof/>
                <w:color w:val="000000" w:themeColor="text1"/>
                <w:sz w:val="20"/>
                <w:szCs w:val="20"/>
              </w:rPr>
              <w:t xml:space="preserve"> 197 – ypatingos svarbos infrastruktūros apsauga</w:t>
            </w:r>
          </w:p>
        </w:tc>
        <w:tc>
          <w:tcPr>
            <w:tcW w:w="1559" w:type="dxa"/>
            <w:tcBorders>
              <w:top w:val="single" w:sz="12" w:space="0" w:color="auto"/>
              <w:bottom w:val="single" w:sz="4" w:space="0" w:color="auto"/>
            </w:tcBorders>
          </w:tcPr>
          <w:p w14:paraId="0CCF1EAB" w14:textId="77777777" w:rsidR="0087201A" w:rsidRPr="00B44B19" w:rsidRDefault="0087201A" w:rsidP="0087201A">
            <w:pPr>
              <w:spacing w:after="200"/>
              <w:jc w:val="right"/>
              <w:rPr>
                <w:rFonts w:eastAsia="Times New Roman" w:cs="Times New Roman"/>
                <w:noProof/>
                <w:sz w:val="20"/>
                <w:szCs w:val="20"/>
              </w:rPr>
            </w:pPr>
            <w:r w:rsidRPr="00B44B19">
              <w:rPr>
                <w:rFonts w:eastAsia="Times New Roman" w:cs="Times New Roman"/>
                <w:noProof/>
                <w:sz w:val="20"/>
                <w:szCs w:val="20"/>
              </w:rPr>
              <w:t>47 000 000,00</w:t>
            </w:r>
          </w:p>
        </w:tc>
      </w:tr>
    </w:tbl>
    <w:p w14:paraId="00DEC300"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88"/>
        <w:gridCol w:w="1540"/>
      </w:tblGrid>
      <w:tr w:rsidR="0087201A" w:rsidRPr="00B44B19" w14:paraId="748537F8"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EB9377"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5 lentelė. 2 matmuo. Finansavimo forma</w:t>
            </w:r>
          </w:p>
        </w:tc>
      </w:tr>
      <w:tr w:rsidR="0087201A" w:rsidRPr="00B44B19" w14:paraId="3A02A64F"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C120C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142E1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39FFF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1DF3CF"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9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1F2BCF"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E0755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230A1026" w14:textId="77777777" w:rsidTr="00220EE5">
        <w:trPr>
          <w:trHeight w:val="479"/>
        </w:trPr>
        <w:tc>
          <w:tcPr>
            <w:tcW w:w="1101" w:type="dxa"/>
            <w:tcBorders>
              <w:top w:val="single" w:sz="12" w:space="0" w:color="auto"/>
              <w:bottom w:val="single" w:sz="4" w:space="0" w:color="auto"/>
            </w:tcBorders>
          </w:tcPr>
          <w:p w14:paraId="12B2E969"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12</w:t>
            </w:r>
          </w:p>
        </w:tc>
        <w:tc>
          <w:tcPr>
            <w:tcW w:w="850" w:type="dxa"/>
            <w:tcBorders>
              <w:top w:val="single" w:sz="12" w:space="0" w:color="auto"/>
              <w:bottom w:val="single" w:sz="4" w:space="0" w:color="auto"/>
            </w:tcBorders>
          </w:tcPr>
          <w:p w14:paraId="74B12A46"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SaF</w:t>
            </w:r>
          </w:p>
        </w:tc>
        <w:tc>
          <w:tcPr>
            <w:tcW w:w="1134" w:type="dxa"/>
            <w:tcBorders>
              <w:top w:val="single" w:sz="12" w:space="0" w:color="auto"/>
              <w:bottom w:val="single" w:sz="4" w:space="0" w:color="auto"/>
            </w:tcBorders>
          </w:tcPr>
          <w:p w14:paraId="2C35AB31" w14:textId="4816F828" w:rsidR="0087201A" w:rsidRPr="00B44B19" w:rsidRDefault="0087201A" w:rsidP="00220EE5">
            <w:pPr>
              <w:spacing w:after="200"/>
              <w:jc w:val="both"/>
              <w:rPr>
                <w:rFonts w:eastAsia="Times New Roman" w:cs="Times New Roman"/>
                <w:noProof/>
                <w:sz w:val="20"/>
                <w:szCs w:val="20"/>
              </w:rPr>
            </w:pPr>
            <w:r w:rsidRPr="00B44B19">
              <w:rPr>
                <w:rFonts w:eastAsia="Times New Roman" w:cs="Times New Roman"/>
                <w:noProof/>
                <w:color w:val="000000" w:themeColor="text1"/>
                <w:sz w:val="20"/>
                <w:szCs w:val="20"/>
              </w:rPr>
              <w:t>Visa Lietuva</w:t>
            </w:r>
          </w:p>
        </w:tc>
        <w:tc>
          <w:tcPr>
            <w:tcW w:w="1134" w:type="dxa"/>
            <w:tcBorders>
              <w:top w:val="single" w:sz="12" w:space="0" w:color="auto"/>
              <w:bottom w:val="single" w:sz="4" w:space="0" w:color="auto"/>
            </w:tcBorders>
          </w:tcPr>
          <w:p w14:paraId="596BA909" w14:textId="294DEF0B" w:rsidR="0087201A" w:rsidRPr="00B44B19" w:rsidRDefault="0087201A" w:rsidP="00220EE5">
            <w:pPr>
              <w:spacing w:after="200"/>
              <w:jc w:val="center"/>
              <w:rPr>
                <w:rFonts w:eastAsia="Times New Roman" w:cs="Times New Roman"/>
                <w:noProof/>
                <w:sz w:val="20"/>
                <w:szCs w:val="20"/>
              </w:rPr>
            </w:pPr>
            <w:r w:rsidRPr="00B44B19">
              <w:rPr>
                <w:rFonts w:eastAsia="Times New Roman" w:cs="Times New Roman"/>
                <w:noProof/>
                <w:sz w:val="20"/>
                <w:szCs w:val="20"/>
              </w:rPr>
              <w:t>12.1</w:t>
            </w:r>
          </w:p>
        </w:tc>
        <w:tc>
          <w:tcPr>
            <w:tcW w:w="3988" w:type="dxa"/>
            <w:tcBorders>
              <w:top w:val="single" w:sz="12" w:space="0" w:color="auto"/>
              <w:bottom w:val="single" w:sz="4" w:space="0" w:color="auto"/>
            </w:tcBorders>
          </w:tcPr>
          <w:p w14:paraId="5587FFC7" w14:textId="1E7FC51B" w:rsidR="0087201A" w:rsidRPr="00B44B19" w:rsidRDefault="0087201A" w:rsidP="00220EE5">
            <w:pPr>
              <w:spacing w:after="200"/>
              <w:rPr>
                <w:rFonts w:eastAsia="Times New Roman" w:cs="Times New Roman"/>
                <w:noProof/>
                <w:sz w:val="20"/>
                <w:szCs w:val="20"/>
              </w:rPr>
            </w:pPr>
            <w:r w:rsidRPr="00B44B19">
              <w:rPr>
                <w:rFonts w:eastAsia="Times New Roman" w:cs="Times New Roman"/>
                <w:noProof/>
                <w:color w:val="000000" w:themeColor="text1"/>
                <w:sz w:val="20"/>
                <w:szCs w:val="20"/>
              </w:rPr>
              <w:t>01 – Dotacija</w:t>
            </w:r>
          </w:p>
        </w:tc>
        <w:tc>
          <w:tcPr>
            <w:tcW w:w="1540" w:type="dxa"/>
            <w:tcBorders>
              <w:top w:val="single" w:sz="12" w:space="0" w:color="auto"/>
              <w:bottom w:val="single" w:sz="4" w:space="0" w:color="auto"/>
            </w:tcBorders>
          </w:tcPr>
          <w:p w14:paraId="5D6C6921" w14:textId="77777777" w:rsidR="0087201A" w:rsidRPr="00B44B19" w:rsidRDefault="0087201A" w:rsidP="0087201A">
            <w:pPr>
              <w:spacing w:after="200"/>
              <w:jc w:val="right"/>
              <w:rPr>
                <w:rFonts w:cs="Times New Roman"/>
                <w:sz w:val="20"/>
                <w:szCs w:val="20"/>
              </w:rPr>
            </w:pPr>
            <w:r w:rsidRPr="00B44B19">
              <w:rPr>
                <w:rFonts w:cs="Times New Roman"/>
                <w:sz w:val="20"/>
                <w:szCs w:val="20"/>
              </w:rPr>
              <w:t>47 000 000,00</w:t>
            </w:r>
          </w:p>
        </w:tc>
      </w:tr>
    </w:tbl>
    <w:p w14:paraId="541A50A1"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93"/>
        <w:gridCol w:w="849"/>
        <w:gridCol w:w="1162"/>
        <w:gridCol w:w="1134"/>
        <w:gridCol w:w="3969"/>
        <w:gridCol w:w="1559"/>
      </w:tblGrid>
      <w:tr w:rsidR="0087201A" w:rsidRPr="00B44B19" w14:paraId="1ADB8480"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0940DA1"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87201A" w:rsidRPr="00B44B19" w14:paraId="3707A25C" w14:textId="77777777" w:rsidTr="003040E3">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76E00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7CD82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7D8D8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AAB4A8"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E1514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F6AAE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2A4FA7E2" w14:textId="77777777" w:rsidTr="00220EE5">
        <w:trPr>
          <w:trHeight w:val="566"/>
        </w:trPr>
        <w:tc>
          <w:tcPr>
            <w:tcW w:w="1093" w:type="dxa"/>
          </w:tcPr>
          <w:p w14:paraId="3AEC649C"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12</w:t>
            </w:r>
          </w:p>
        </w:tc>
        <w:tc>
          <w:tcPr>
            <w:tcW w:w="849" w:type="dxa"/>
          </w:tcPr>
          <w:p w14:paraId="3D7C4774" w14:textId="4188DC45" w:rsidR="0087201A" w:rsidRPr="00B44B19" w:rsidRDefault="0087201A" w:rsidP="00220EE5">
            <w:pPr>
              <w:spacing w:after="200"/>
              <w:jc w:val="center"/>
              <w:rPr>
                <w:rFonts w:eastAsia="Times New Roman" w:cs="Times New Roman"/>
                <w:noProof/>
                <w:sz w:val="20"/>
                <w:szCs w:val="20"/>
              </w:rPr>
            </w:pPr>
            <w:r w:rsidRPr="00B44B19">
              <w:rPr>
                <w:rFonts w:eastAsia="Times New Roman" w:cs="Times New Roman"/>
                <w:noProof/>
                <w:sz w:val="20"/>
                <w:szCs w:val="20"/>
              </w:rPr>
              <w:t>SaF</w:t>
            </w:r>
          </w:p>
        </w:tc>
        <w:tc>
          <w:tcPr>
            <w:tcW w:w="1162" w:type="dxa"/>
          </w:tcPr>
          <w:p w14:paraId="6EF7BEFF" w14:textId="0BAA5D5A" w:rsidR="0087201A" w:rsidRPr="00B44B19" w:rsidRDefault="0087201A" w:rsidP="00220EE5">
            <w:pPr>
              <w:spacing w:after="200"/>
              <w:jc w:val="both"/>
              <w:rPr>
                <w:rFonts w:eastAsia="Times New Roman" w:cs="Times New Roman"/>
                <w:noProof/>
                <w:sz w:val="20"/>
                <w:szCs w:val="20"/>
              </w:rPr>
            </w:pPr>
            <w:r w:rsidRPr="00B44B19">
              <w:rPr>
                <w:rFonts w:eastAsia="Times New Roman" w:cs="Times New Roman"/>
                <w:noProof/>
                <w:color w:val="000000" w:themeColor="text1"/>
                <w:sz w:val="20"/>
                <w:szCs w:val="20"/>
              </w:rPr>
              <w:t>Visa Lietuva</w:t>
            </w:r>
          </w:p>
        </w:tc>
        <w:tc>
          <w:tcPr>
            <w:tcW w:w="1134" w:type="dxa"/>
          </w:tcPr>
          <w:p w14:paraId="0F5BC513" w14:textId="1A6C8870" w:rsidR="0087201A" w:rsidRPr="00B44B19" w:rsidRDefault="0087201A" w:rsidP="00220EE5">
            <w:pPr>
              <w:spacing w:after="200"/>
              <w:jc w:val="center"/>
              <w:rPr>
                <w:rFonts w:eastAsia="Times New Roman" w:cs="Times New Roman"/>
                <w:b/>
                <w:bCs/>
                <w:noProof/>
                <w:sz w:val="20"/>
                <w:szCs w:val="20"/>
              </w:rPr>
            </w:pPr>
            <w:r w:rsidRPr="00B44B19">
              <w:rPr>
                <w:rFonts w:eastAsia="Times New Roman" w:cs="Times New Roman"/>
                <w:noProof/>
                <w:sz w:val="20"/>
                <w:szCs w:val="20"/>
              </w:rPr>
              <w:t>12.1</w:t>
            </w:r>
          </w:p>
        </w:tc>
        <w:tc>
          <w:tcPr>
            <w:tcW w:w="3969" w:type="dxa"/>
          </w:tcPr>
          <w:p w14:paraId="0AEACE30" w14:textId="16E0C2C7" w:rsidR="0087201A" w:rsidRPr="00B44B19" w:rsidRDefault="0087201A" w:rsidP="00220EE5">
            <w:pPr>
              <w:spacing w:after="200"/>
              <w:rPr>
                <w:rFonts w:eastAsia="Times New Roman" w:cs="Times New Roman"/>
                <w:noProof/>
                <w:color w:val="000000" w:themeColor="text1"/>
                <w:sz w:val="20"/>
                <w:szCs w:val="20"/>
              </w:rPr>
            </w:pPr>
            <w:r w:rsidRPr="00B44B19">
              <w:rPr>
                <w:rFonts w:eastAsia="Times New Roman" w:cs="Times New Roman"/>
                <w:noProof/>
                <w:color w:val="000000" w:themeColor="text1"/>
                <w:sz w:val="20"/>
                <w:szCs w:val="20"/>
              </w:rPr>
              <w:t>33 – Nesiorientuojant į teritoriškumą</w:t>
            </w:r>
          </w:p>
        </w:tc>
        <w:tc>
          <w:tcPr>
            <w:tcW w:w="1559" w:type="dxa"/>
          </w:tcPr>
          <w:p w14:paraId="035D3890" w14:textId="2297CFC9" w:rsidR="0087201A" w:rsidRPr="00B44B19" w:rsidRDefault="0087201A" w:rsidP="00220EE5">
            <w:pPr>
              <w:spacing w:after="200"/>
              <w:jc w:val="right"/>
              <w:rPr>
                <w:rFonts w:cs="Times New Roman"/>
                <w:sz w:val="20"/>
                <w:szCs w:val="20"/>
              </w:rPr>
            </w:pPr>
            <w:r w:rsidRPr="00B44B19">
              <w:rPr>
                <w:rFonts w:cs="Times New Roman"/>
                <w:sz w:val="20"/>
                <w:szCs w:val="20"/>
              </w:rPr>
              <w:t>47 000 000,00</w:t>
            </w:r>
          </w:p>
        </w:tc>
      </w:tr>
    </w:tbl>
    <w:p w14:paraId="4CE84C16" w14:textId="77777777" w:rsidR="0087201A" w:rsidRPr="00B44B19" w:rsidRDefault="0087201A" w:rsidP="0087201A">
      <w:pPr>
        <w:spacing w:after="0"/>
        <w:rPr>
          <w:rFonts w:cs="Times New Roman"/>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87201A" w:rsidRPr="00B44B19" w14:paraId="6E410071"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6BBD0AC" w14:textId="77777777" w:rsidR="0087201A" w:rsidRPr="00B44B19" w:rsidRDefault="0087201A" w:rsidP="0087201A">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87201A" w:rsidRPr="00B44B19" w14:paraId="6A9102A9"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BAE476" w14:textId="77777777" w:rsidR="0087201A" w:rsidRPr="00B44B19" w:rsidRDefault="0087201A" w:rsidP="0087201A">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DB74FB" w14:textId="77777777" w:rsidR="0087201A" w:rsidRPr="00B44B19" w:rsidRDefault="0087201A" w:rsidP="0087201A">
            <w:pPr>
              <w:jc w:val="center"/>
              <w:rPr>
                <w:b/>
                <w:iCs/>
                <w:noProof/>
                <w:sz w:val="20"/>
              </w:rPr>
            </w:pPr>
            <w:r w:rsidRPr="00B44B19">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23B386" w14:textId="77777777" w:rsidR="0087201A" w:rsidRPr="00B44B19" w:rsidRDefault="0087201A" w:rsidP="0087201A">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AAFCB6" w14:textId="77777777" w:rsidR="0087201A" w:rsidRPr="00B44B19" w:rsidRDefault="0087201A" w:rsidP="0087201A">
            <w:pPr>
              <w:jc w:val="center"/>
              <w:rPr>
                <w:b/>
                <w:iCs/>
                <w:noProof/>
                <w:sz w:val="20"/>
              </w:rPr>
            </w:pPr>
            <w:r w:rsidRPr="00B44B19">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ADB494" w14:textId="77777777" w:rsidR="0087201A" w:rsidRPr="00B44B19" w:rsidRDefault="0087201A" w:rsidP="0087201A">
            <w:pPr>
              <w:jc w:val="center"/>
              <w:rPr>
                <w:b/>
                <w:iCs/>
                <w:noProof/>
                <w:sz w:val="20"/>
              </w:rPr>
            </w:pPr>
            <w:r w:rsidRPr="00B44B19">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F538CD" w14:textId="77777777" w:rsidR="0087201A" w:rsidRPr="00B44B19" w:rsidRDefault="0087201A" w:rsidP="0087201A">
            <w:pPr>
              <w:jc w:val="center"/>
              <w:rPr>
                <w:b/>
                <w:iCs/>
                <w:noProof/>
                <w:sz w:val="20"/>
              </w:rPr>
            </w:pPr>
            <w:r w:rsidRPr="00B44B19">
              <w:rPr>
                <w:b/>
                <w:noProof/>
                <w:sz w:val="20"/>
              </w:rPr>
              <w:t>Suma (EUR)</w:t>
            </w:r>
          </w:p>
        </w:tc>
      </w:tr>
      <w:tr w:rsidR="0087201A" w:rsidRPr="00B44B19" w14:paraId="5695558F" w14:textId="77777777" w:rsidTr="003040E3">
        <w:tc>
          <w:tcPr>
            <w:tcW w:w="1101" w:type="dxa"/>
            <w:tcBorders>
              <w:top w:val="single" w:sz="12" w:space="0" w:color="auto"/>
              <w:bottom w:val="single" w:sz="4" w:space="0" w:color="auto"/>
            </w:tcBorders>
          </w:tcPr>
          <w:p w14:paraId="582006B4" w14:textId="77777777" w:rsidR="0087201A" w:rsidRPr="00B44B19" w:rsidRDefault="0087201A" w:rsidP="0087201A">
            <w:pPr>
              <w:jc w:val="center"/>
              <w:rPr>
                <w:noProof/>
                <w:sz w:val="20"/>
                <w:szCs w:val="20"/>
              </w:rPr>
            </w:pPr>
            <w:r w:rsidRPr="00B44B19">
              <w:rPr>
                <w:noProof/>
                <w:sz w:val="20"/>
                <w:szCs w:val="20"/>
              </w:rPr>
              <w:t>12</w:t>
            </w:r>
          </w:p>
        </w:tc>
        <w:tc>
          <w:tcPr>
            <w:tcW w:w="850" w:type="dxa"/>
            <w:tcBorders>
              <w:top w:val="single" w:sz="12" w:space="0" w:color="auto"/>
              <w:bottom w:val="single" w:sz="4" w:space="0" w:color="auto"/>
            </w:tcBorders>
          </w:tcPr>
          <w:p w14:paraId="5FAE0426" w14:textId="77777777" w:rsidR="0087201A" w:rsidRPr="00B44B19" w:rsidRDefault="0087201A" w:rsidP="0087201A">
            <w:pPr>
              <w:jc w:val="center"/>
              <w:rPr>
                <w:noProof/>
                <w:sz w:val="20"/>
                <w:szCs w:val="20"/>
              </w:rPr>
            </w:pPr>
            <w:r w:rsidRPr="00B44B19">
              <w:rPr>
                <w:noProof/>
                <w:sz w:val="20"/>
                <w:szCs w:val="20"/>
              </w:rPr>
              <w:t>SaF</w:t>
            </w:r>
          </w:p>
          <w:p w14:paraId="31E22110" w14:textId="77777777" w:rsidR="0087201A" w:rsidRPr="00B44B19" w:rsidRDefault="0087201A" w:rsidP="0087201A">
            <w:pPr>
              <w:jc w:val="center"/>
              <w:rPr>
                <w:noProof/>
                <w:sz w:val="20"/>
                <w:szCs w:val="20"/>
              </w:rPr>
            </w:pPr>
          </w:p>
        </w:tc>
        <w:tc>
          <w:tcPr>
            <w:tcW w:w="1134" w:type="dxa"/>
            <w:tcBorders>
              <w:top w:val="single" w:sz="12" w:space="0" w:color="auto"/>
              <w:bottom w:val="single" w:sz="4" w:space="0" w:color="auto"/>
            </w:tcBorders>
          </w:tcPr>
          <w:p w14:paraId="4B1B34EF" w14:textId="77777777" w:rsidR="0087201A" w:rsidRPr="00B44B19" w:rsidRDefault="0087201A" w:rsidP="0087201A">
            <w:pPr>
              <w:jc w:val="both"/>
              <w:rPr>
                <w:noProof/>
                <w:sz w:val="20"/>
                <w:szCs w:val="20"/>
              </w:rPr>
            </w:pPr>
            <w:r w:rsidRPr="00B44B19">
              <w:rPr>
                <w:noProof/>
                <w:color w:val="000000" w:themeColor="text1"/>
                <w:sz w:val="20"/>
                <w:szCs w:val="20"/>
              </w:rPr>
              <w:t>Visa Lietuva</w:t>
            </w:r>
          </w:p>
          <w:p w14:paraId="6DCA91A8" w14:textId="77777777" w:rsidR="0087201A" w:rsidRPr="00B44B19" w:rsidRDefault="0087201A" w:rsidP="0087201A">
            <w:pPr>
              <w:rPr>
                <w:noProof/>
                <w:sz w:val="20"/>
                <w:szCs w:val="20"/>
              </w:rPr>
            </w:pPr>
          </w:p>
        </w:tc>
        <w:tc>
          <w:tcPr>
            <w:tcW w:w="1134" w:type="dxa"/>
            <w:tcBorders>
              <w:top w:val="single" w:sz="12" w:space="0" w:color="auto"/>
              <w:bottom w:val="single" w:sz="4" w:space="0" w:color="auto"/>
            </w:tcBorders>
          </w:tcPr>
          <w:p w14:paraId="0F42DC43" w14:textId="77777777" w:rsidR="0087201A" w:rsidRPr="00B44B19" w:rsidRDefault="0087201A" w:rsidP="0087201A">
            <w:pPr>
              <w:jc w:val="center"/>
              <w:rPr>
                <w:noProof/>
                <w:sz w:val="20"/>
                <w:szCs w:val="20"/>
              </w:rPr>
            </w:pPr>
            <w:r w:rsidRPr="00B44B19">
              <w:rPr>
                <w:noProof/>
                <w:sz w:val="20"/>
                <w:szCs w:val="20"/>
              </w:rPr>
              <w:t>12.1</w:t>
            </w:r>
          </w:p>
          <w:p w14:paraId="13089E21" w14:textId="77777777" w:rsidR="0087201A" w:rsidRPr="00B44B19" w:rsidRDefault="0087201A" w:rsidP="0087201A">
            <w:pPr>
              <w:jc w:val="center"/>
              <w:rPr>
                <w:noProof/>
                <w:sz w:val="20"/>
                <w:szCs w:val="20"/>
              </w:rPr>
            </w:pPr>
          </w:p>
          <w:p w14:paraId="4CA71CC6" w14:textId="77777777" w:rsidR="0087201A" w:rsidRPr="00B44B19" w:rsidRDefault="0087201A" w:rsidP="0087201A">
            <w:pPr>
              <w:jc w:val="center"/>
              <w:rPr>
                <w:noProof/>
                <w:sz w:val="20"/>
                <w:szCs w:val="20"/>
              </w:rPr>
            </w:pPr>
          </w:p>
        </w:tc>
        <w:tc>
          <w:tcPr>
            <w:tcW w:w="4021" w:type="dxa"/>
            <w:tcBorders>
              <w:top w:val="single" w:sz="12" w:space="0" w:color="auto"/>
              <w:bottom w:val="single" w:sz="4" w:space="0" w:color="auto"/>
            </w:tcBorders>
          </w:tcPr>
          <w:p w14:paraId="4207A807" w14:textId="77777777" w:rsidR="0087201A" w:rsidRPr="00B44B19" w:rsidRDefault="0087201A" w:rsidP="0087201A">
            <w:pPr>
              <w:rPr>
                <w:noProof/>
                <w:sz w:val="20"/>
                <w:szCs w:val="20"/>
              </w:rPr>
            </w:pPr>
            <w:r w:rsidRPr="00B44B19">
              <w:rPr>
                <w:noProof/>
                <w:color w:val="000000" w:themeColor="text1"/>
                <w:sz w:val="20"/>
                <w:szCs w:val="20"/>
              </w:rPr>
              <w:t>03 – Neutralumas lyties požiūriu</w:t>
            </w:r>
          </w:p>
          <w:p w14:paraId="3AC5F50D" w14:textId="77777777" w:rsidR="0087201A" w:rsidRPr="00B44B19" w:rsidRDefault="0087201A" w:rsidP="0087201A">
            <w:pPr>
              <w:rPr>
                <w:noProof/>
                <w:sz w:val="20"/>
                <w:szCs w:val="20"/>
              </w:rPr>
            </w:pPr>
          </w:p>
        </w:tc>
        <w:tc>
          <w:tcPr>
            <w:tcW w:w="1507" w:type="dxa"/>
            <w:tcBorders>
              <w:top w:val="single" w:sz="12" w:space="0" w:color="auto"/>
              <w:bottom w:val="single" w:sz="4" w:space="0" w:color="auto"/>
            </w:tcBorders>
          </w:tcPr>
          <w:p w14:paraId="5756CBC3" w14:textId="77777777" w:rsidR="0087201A" w:rsidRPr="00B44B19" w:rsidRDefault="0087201A" w:rsidP="0087201A">
            <w:pPr>
              <w:jc w:val="right"/>
              <w:rPr>
                <w:sz w:val="20"/>
                <w:szCs w:val="20"/>
              </w:rPr>
            </w:pPr>
            <w:r w:rsidRPr="00B44B19">
              <w:rPr>
                <w:sz w:val="20"/>
                <w:szCs w:val="20"/>
              </w:rPr>
              <w:t>47 000 000,00</w:t>
            </w:r>
          </w:p>
          <w:p w14:paraId="37D3E217" w14:textId="77777777" w:rsidR="0087201A" w:rsidRPr="00B44B19" w:rsidRDefault="0087201A" w:rsidP="0087201A">
            <w:pPr>
              <w:rPr>
                <w:noProof/>
                <w:sz w:val="20"/>
                <w:szCs w:val="20"/>
              </w:rPr>
            </w:pPr>
          </w:p>
        </w:tc>
      </w:tr>
    </w:tbl>
    <w:p w14:paraId="3A003A8C" w14:textId="77777777" w:rsidR="0087201A" w:rsidRPr="00B44B19" w:rsidRDefault="0087201A" w:rsidP="0087201A">
      <w:pPr>
        <w:spacing w:after="0" w:line="240" w:lineRule="auto"/>
        <w:jc w:val="both"/>
        <w:rPr>
          <w:rFonts w:eastAsia="Times New Roman" w:cs="Times New Roman"/>
          <w:sz w:val="22"/>
          <w:szCs w:val="24"/>
          <w:lang w:bidi="lt-LT"/>
        </w:rPr>
      </w:pPr>
    </w:p>
    <w:p w14:paraId="35D2E068" w14:textId="77777777" w:rsidR="0087201A" w:rsidRPr="00B44B19" w:rsidRDefault="0087201A" w:rsidP="0087201A">
      <w:pPr>
        <w:rPr>
          <w:rFonts w:eastAsia="Times New Roman" w:cs="Times New Roman"/>
          <w:sz w:val="22"/>
          <w:szCs w:val="24"/>
          <w:lang w:bidi="lt-LT"/>
        </w:rPr>
      </w:pPr>
      <w:r w:rsidRPr="00B44B19">
        <w:rPr>
          <w:rFonts w:cs="Times New Roman"/>
          <w:lang w:bidi="lt-LT"/>
        </w:rPr>
        <w:br w:type="page"/>
      </w:r>
    </w:p>
    <w:p w14:paraId="75F7BD8F" w14:textId="77777777" w:rsidR="0087201A" w:rsidRPr="00B44B19" w:rsidRDefault="0087201A" w:rsidP="00D456C1">
      <w:pPr>
        <w:pStyle w:val="Antrat1"/>
        <w:rPr>
          <w:rFonts w:eastAsia="Times New Roman"/>
          <w:sz w:val="22"/>
          <w:szCs w:val="24"/>
          <w:lang w:bidi="lt-LT"/>
        </w:rPr>
      </w:pPr>
      <w:bookmarkStart w:id="85" w:name="_Toc223435453"/>
      <w:r w:rsidRPr="00B44B19">
        <w:lastRenderedPageBreak/>
        <w:t>13. specialus prioritetas.  energetinės infrastruktūros atsparumo didinimas</w:t>
      </w:r>
      <w:bookmarkEnd w:id="85"/>
    </w:p>
    <w:p w14:paraId="3C30179A" w14:textId="77777777" w:rsidR="0087201A" w:rsidRPr="00B44B19" w:rsidRDefault="0087201A" w:rsidP="00D456C1">
      <w:pPr>
        <w:pStyle w:val="Antrat2"/>
        <w:rPr>
          <w:color w:val="EE0000"/>
        </w:rPr>
      </w:pPr>
      <w:bookmarkStart w:id="86" w:name="_Toc223435454"/>
      <w:r w:rsidRPr="00B44B19">
        <w:t>Konkretus uždavinys – 13.1. Skatinti energetikos jungčių ir susijusios perdavimo, paskirstymo ir pagalbinės infrastruktūros, taip pat kritinės energetinės infrastruktūros apsaugą bei įkrovimo infrastruktūros diegimą</w:t>
      </w:r>
      <w:bookmarkEnd w:id="86"/>
    </w:p>
    <w:p w14:paraId="1C064424"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Įgyvendinamos veiklos</w:t>
      </w:r>
    </w:p>
    <w:tbl>
      <w:tblPr>
        <w:tblStyle w:val="Lentelstinklelis2"/>
        <w:tblW w:w="9634" w:type="dxa"/>
        <w:tblLook w:val="04A0" w:firstRow="1" w:lastRow="0" w:firstColumn="1" w:lastColumn="0" w:noHBand="0" w:noVBand="1"/>
      </w:tblPr>
      <w:tblGrid>
        <w:gridCol w:w="9634"/>
      </w:tblGrid>
      <w:tr w:rsidR="0087201A" w:rsidRPr="00B44B19" w14:paraId="1305A24E" w14:textId="77777777" w:rsidTr="003040E3">
        <w:trPr>
          <w:trHeight w:val="283"/>
        </w:trPr>
        <w:tc>
          <w:tcPr>
            <w:tcW w:w="9634" w:type="dxa"/>
          </w:tcPr>
          <w:p w14:paraId="3770E0B6" w14:textId="77777777"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Požeminių kabelių įrengimas užtikrina stabilų ir nepertraukiamą elektros tiekimą skirstymo lygiu. Ši sustiprinta apsauga garantuoja tiekimo tęstinumą ir atitinka kritinės infrastruktūros atsparumo poreikius. Svarbu pažymėti, kad požeminės elektros kabelių linijos užtikrina ženkliai didesnę infrastruktūros apsaugą hibridinių atakų ar karinių operacijų atveju, nes požeminė infrastruktūra yra daug atsparesnė fizinei žalai ir ją sunkiau vizualiai aptikti. </w:t>
            </w:r>
          </w:p>
          <w:p w14:paraId="00697279" w14:textId="77777777" w:rsidR="0087201A" w:rsidRPr="00B44B19" w:rsidRDefault="0087201A" w:rsidP="002E0230">
            <w:pPr>
              <w:autoSpaceDE w:val="0"/>
              <w:autoSpaceDN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 xml:space="preserve">Šis uždavinys prisidės prie elektros energijos tiekimo patikimumo stiprinimo – požeminės elektros kabelių linijos didina tiekimo patikimumą, nes yra apsaugotos nuo išorinių veiksnių, kurie dažnai pažeidžia oro linijas – pavyzdžiui, stipraus vėjo, audrų, ledo sluoksnio, kritusių medžių ar žaibų. Kabeliai po žeme mažiau pažeidžiami atmosferos, mechaninio poveikio ar nuo galimų hibridinių atakų, todėl sumažėja gedimų ir avarijų rizika, užtikrinamas stabilesnis ir patikimesnis elektros tiekimas vartotojams. </w:t>
            </w:r>
          </w:p>
          <w:p w14:paraId="685942F4" w14:textId="77777777" w:rsidR="0087201A" w:rsidRPr="00B44B19" w:rsidRDefault="0087201A" w:rsidP="002E0230">
            <w:pPr>
              <w:autoSpaceDE w:val="0"/>
              <w:autoSpaceDN w:val="0"/>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Apie 80 proc. elektros tiekimo atjungimų įvyksta dėl sutrikimų 10 kV tinkle, kuris pažeidžiamas krentančių medžių ir jų šakų. 2020 metais įvykusi audra Laura buvo didžiausia, tačiau jau 2024 m. per Lietuvą praūžė kelis kartus galingesnė audra Kirsti, kuri be elektros paliko daugiau nei 474 tūkst. vartotojų, o kai kuriems elektros energiją pavyko atstatyti tik po 8 dienų. Pagrindinė priežastis – nuvirtusių medžių kiekis buvo daugiau nei 3 kartus didesnis nei bet kada anksčiau.</w:t>
            </w:r>
          </w:p>
          <w:p w14:paraId="436A70EB" w14:textId="77777777"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rPr>
              <w:t>Veiksmas, siekiant didinti elektros energijos tiekimo kokybę ir patikimumą:</w:t>
            </w:r>
          </w:p>
          <w:p w14:paraId="657ACD46" w14:textId="77777777"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eastAsia="Times New Roman" w:hAnsi="Times New Roman" w:cs="Times New Roman"/>
                <w:b/>
                <w:bCs/>
              </w:rPr>
              <w:t xml:space="preserve">Elektros oro linijų pakeitimas kabeliais po žeme miškingose vietovėse: </w:t>
            </w:r>
            <w:r w:rsidRPr="00B44B19">
              <w:rPr>
                <w:rFonts w:ascii="Times New Roman" w:eastAsia="Times New Roman" w:hAnsi="Times New Roman" w:cs="Times New Roman"/>
              </w:rPr>
              <w:t>elektros energetikos sistemos tinkamam ir tvariam funkcionavimui reikalingas išoriniam poveikiui atsparus ir patikimas elektros energijos perdavimo ir skirstymo tinklas. Siekiant didinti tinklo apsaugą hibridinių atakų ar karinių operacijų atveju, taip pat mažinti gamtos sukeliamų elektros tinklo gedimų poveikį ir miškingose vietovėse apsaugoti elektros tinklą nuo užvirsti ant laidų galinčių medžių, bus keičiamos elektros oro linijos kabelių požeminėmis linijomis. Bus investuojama į elektros linijų tiesimą bei atnaujinimą ir elektros linijų kabelių klojimą, didinant elektros energijos tinklo tvarumą ir lankstumą. Taip miškingose vietovėse elektros tinklas apsaugomas nuo užvirsti ant laidų galinčių medžių ir padidinamas elektros skirstomojo tinklo atsparumas.</w:t>
            </w:r>
          </w:p>
          <w:p w14:paraId="3321D178" w14:textId="77777777" w:rsidR="0087201A" w:rsidRPr="00B44B19" w:rsidRDefault="0087201A" w:rsidP="002E0230">
            <w:pPr>
              <w:tabs>
                <w:tab w:val="left" w:pos="492"/>
              </w:tabs>
              <w:spacing w:before="60" w:after="60"/>
              <w:jc w:val="both"/>
              <w:textAlignment w:val="top"/>
              <w:rPr>
                <w:rFonts w:ascii="Times New Roman" w:eastAsia="Times New Roman" w:hAnsi="Times New Roman" w:cs="Times New Roman"/>
                <w:lang w:eastAsia="lt-LT"/>
              </w:rPr>
            </w:pPr>
            <w:r w:rsidRPr="00B44B19">
              <w:rPr>
                <w:rFonts w:ascii="Times New Roman" w:eastAsia="Times New Roman" w:hAnsi="Times New Roman" w:cs="Times New Roman"/>
              </w:rPr>
              <w:t xml:space="preserve">Požeminės elektros kabelių linijos užtikrina didesnį infrastruktūros atsparumą hibridinių atakų ar karinių veiksmų metu, nes požeminė infrastruktūra yra geriau apsaugota nuo fizinio pažeidimo ir yra sunkiau aptinkama vizualiai. Šie aspektai yra ypatingai aktualūs atsižvelgiant į Lietuvos, kaip Europos Sąjungos pasienio valstybės, esančios šalia šalių agresorių situaciją ir iš to kylančias grėsmes. Ypatingai, kai pastaraisiais metais yra vykdomos hibridinės atakos prieš Europos Sąjungos kritinę energetikos infrastruktūrą, o pastaruoju metu pasitaiko atvejų kuomet pažeidžiant oro erdvę iš Rusijos ir (ar) Baltarusijos  atskridę bepiločiai orlaiviai ar kiti objektai sudūžta Lietuvos teritorijoje. </w:t>
            </w:r>
            <w:r w:rsidRPr="00B44B19">
              <w:rPr>
                <w:rFonts w:ascii="Times New Roman" w:eastAsia="Times New Roman" w:hAnsi="Times New Roman" w:cs="Times New Roman"/>
                <w:lang w:eastAsia="lt-LT"/>
              </w:rPr>
              <w:t>Veikla bus vykdoma visoje Lietuvoje.</w:t>
            </w:r>
          </w:p>
          <w:p w14:paraId="336DB6AC"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noProof/>
              </w:rPr>
              <w:t>Uždavinio veiklos (</w:t>
            </w:r>
            <w:r w:rsidRPr="00B44B19">
              <w:rPr>
                <w:rFonts w:ascii="Times New Roman" w:eastAsia="Times New Roman" w:hAnsi="Times New Roman" w:cs="Times New Roman"/>
                <w:bCs/>
                <w:noProof/>
              </w:rPr>
              <w:t>veiksmų rūšys</w:t>
            </w:r>
            <w:r w:rsidRPr="00B44B19">
              <w:rPr>
                <w:rFonts w:ascii="Times New Roman" w:eastAsia="Times New Roman" w:hAnsi="Times New Roman" w:cs="Times New Roman"/>
                <w:noProof/>
              </w:rPr>
              <w:t xml:space="preserve">) įvertintos vadovaujantis </w:t>
            </w:r>
            <w:r w:rsidRPr="00B44B19">
              <w:rPr>
                <w:rFonts w:ascii="Times New Roman" w:eastAsia="Times New Roman" w:hAnsi="Times New Roman" w:cs="Times New Roman"/>
                <w:bCs/>
                <w:noProof/>
              </w:rPr>
              <w:t>EGADP</w:t>
            </w:r>
            <w:r w:rsidRPr="00B44B19">
              <w:rPr>
                <w:rFonts w:ascii="Times New Roman" w:eastAsia="Times New Roman" w:hAnsi="Times New Roman" w:cs="Times New Roman"/>
                <w:noProof/>
              </w:rPr>
              <w:t xml:space="preserve"> NRŽ gairėmis, todėl laikoma, kad atitinka NRŽ principą.</w:t>
            </w:r>
          </w:p>
        </w:tc>
      </w:tr>
    </w:tbl>
    <w:p w14:paraId="5A303831"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Pagrindinės tikslinės grupės</w:t>
      </w:r>
    </w:p>
    <w:tbl>
      <w:tblPr>
        <w:tblStyle w:val="Lentelstinklelis2"/>
        <w:tblW w:w="0" w:type="auto"/>
        <w:tblLook w:val="04A0" w:firstRow="1" w:lastRow="0" w:firstColumn="1" w:lastColumn="0" w:noHBand="0" w:noVBand="1"/>
      </w:tblPr>
      <w:tblGrid>
        <w:gridCol w:w="9628"/>
      </w:tblGrid>
      <w:tr w:rsidR="0087201A" w:rsidRPr="00B44B19" w14:paraId="22E69F64" w14:textId="77777777" w:rsidTr="003040E3">
        <w:tc>
          <w:tcPr>
            <w:tcW w:w="9854" w:type="dxa"/>
          </w:tcPr>
          <w:p w14:paraId="06E88FF0" w14:textId="77777777" w:rsidR="0087201A" w:rsidRPr="00B44B19" w:rsidRDefault="0087201A" w:rsidP="002E0230">
            <w:pPr>
              <w:autoSpaceDE w:val="0"/>
              <w:autoSpaceDN w:val="0"/>
              <w:adjustRightInd w:val="0"/>
              <w:spacing w:before="60" w:after="60"/>
              <w:jc w:val="both"/>
              <w:rPr>
                <w:rFonts w:ascii="Times New Roman" w:hAnsi="Times New Roman" w:cs="Times New Roman"/>
                <w:color w:val="000000"/>
              </w:rPr>
            </w:pPr>
            <w:r w:rsidRPr="00B44B19">
              <w:rPr>
                <w:rFonts w:ascii="Times New Roman" w:hAnsi="Times New Roman" w:cs="Times New Roman"/>
                <w:color w:val="000000" w:themeColor="text1"/>
                <w:lang w:eastAsia="lt-LT"/>
              </w:rPr>
              <w:t>AB „Energijos skirstymo operatorius“</w:t>
            </w:r>
            <w:r w:rsidRPr="00B44B19">
              <w:rPr>
                <w:rFonts w:ascii="Times New Roman" w:eastAsia="Times New Roman" w:hAnsi="Times New Roman" w:cs="Times New Roman"/>
                <w:lang w:eastAsia="lt-LT"/>
              </w:rPr>
              <w:t>, elektros energijos vartotojai.</w:t>
            </w:r>
          </w:p>
        </w:tc>
      </w:tr>
    </w:tbl>
    <w:p w14:paraId="047D7176"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sz w:val="22"/>
          <w:lang w:eastAsia="lt-LT" w:bidi="lt-LT"/>
        </w:rPr>
      </w:pPr>
      <w:r w:rsidRPr="00B44B19">
        <w:rPr>
          <w:rFonts w:cs="Times New Roman"/>
          <w:b/>
          <w:i/>
          <w:noProof/>
          <w:color w:val="1F497D" w:themeColor="text2"/>
          <w:sz w:val="22"/>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7201A" w:rsidRPr="00B44B19" w14:paraId="66D45495" w14:textId="77777777" w:rsidTr="003040E3">
        <w:trPr>
          <w:trHeight w:val="82"/>
        </w:trPr>
        <w:tc>
          <w:tcPr>
            <w:tcW w:w="9854" w:type="dxa"/>
          </w:tcPr>
          <w:p w14:paraId="5B765CD6" w14:textId="77777777" w:rsidR="0087201A" w:rsidRPr="00B44B19" w:rsidRDefault="0087201A" w:rsidP="002E0230">
            <w:pPr>
              <w:tabs>
                <w:tab w:val="center" w:pos="4819"/>
                <w:tab w:val="right" w:pos="9638"/>
              </w:tabs>
              <w:spacing w:before="60" w:after="60"/>
              <w:jc w:val="both"/>
              <w:rPr>
                <w:rFonts w:cs="Times New Roman"/>
                <w:sz w:val="22"/>
              </w:rPr>
            </w:pPr>
            <w:r w:rsidRPr="00B44B19">
              <w:rPr>
                <w:rFonts w:eastAsia="Times New Roman" w:cs="Times New Roman"/>
                <w:sz w:val="22"/>
                <w:lang w:eastAsia="lt-LT"/>
              </w:rPr>
              <w:t>Netaikoma</w:t>
            </w:r>
          </w:p>
        </w:tc>
      </w:tr>
    </w:tbl>
    <w:p w14:paraId="7ABDC5F8"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87201A" w:rsidRPr="00B44B19" w14:paraId="64A1D179" w14:textId="77777777" w:rsidTr="003040E3">
        <w:tc>
          <w:tcPr>
            <w:tcW w:w="9854" w:type="dxa"/>
          </w:tcPr>
          <w:p w14:paraId="5D60C63C" w14:textId="77777777" w:rsidR="0087201A" w:rsidRPr="00B44B19" w:rsidRDefault="0087201A" w:rsidP="002E0230">
            <w:pPr>
              <w:spacing w:before="60" w:after="60" w:line="276" w:lineRule="auto"/>
              <w:jc w:val="both"/>
              <w:rPr>
                <w:rFonts w:ascii="Times New Roman" w:hAnsi="Times New Roman" w:cs="Times New Roman"/>
                <w:iCs/>
                <w:spacing w:val="-4"/>
              </w:rPr>
            </w:pPr>
            <w:r w:rsidRPr="00B44B19">
              <w:rPr>
                <w:rFonts w:ascii="Times New Roman" w:eastAsia="Times New Roman" w:hAnsi="Times New Roman" w:cs="Times New Roman"/>
                <w:lang w:eastAsia="lt-LT"/>
              </w:rPr>
              <w:t>Visa Lietuva</w:t>
            </w:r>
          </w:p>
        </w:tc>
      </w:tr>
    </w:tbl>
    <w:p w14:paraId="2EEDFB74"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lastRenderedPageBreak/>
        <w:t>Tarpregioniniai, tarp sienų ir tarpvalstybiniai veiksmai</w:t>
      </w:r>
    </w:p>
    <w:tbl>
      <w:tblPr>
        <w:tblStyle w:val="Lentelstinklelis2"/>
        <w:tblW w:w="9628" w:type="dxa"/>
        <w:tblLook w:val="04A0" w:firstRow="1" w:lastRow="0" w:firstColumn="1" w:lastColumn="0" w:noHBand="0" w:noVBand="1"/>
      </w:tblPr>
      <w:tblGrid>
        <w:gridCol w:w="9628"/>
      </w:tblGrid>
      <w:tr w:rsidR="0087201A" w:rsidRPr="00B44B19" w14:paraId="422FEFD2" w14:textId="77777777" w:rsidTr="003040E3">
        <w:tc>
          <w:tcPr>
            <w:tcW w:w="9628" w:type="dxa"/>
          </w:tcPr>
          <w:p w14:paraId="7AD46B93" w14:textId="77777777" w:rsidR="0087201A" w:rsidRPr="00B44B19" w:rsidRDefault="0087201A" w:rsidP="002E0230">
            <w:pPr>
              <w:spacing w:before="60" w:after="60"/>
              <w:jc w:val="both"/>
              <w:rPr>
                <w:rFonts w:ascii="Times New Roman" w:hAnsi="Times New Roman" w:cs="Times New Roman"/>
                <w:color w:val="EE0000"/>
              </w:rPr>
            </w:pPr>
            <w:r w:rsidRPr="00B44B19">
              <w:rPr>
                <w:rFonts w:ascii="Times New Roman" w:hAnsi="Times New Roman" w:cs="Times New Roman"/>
                <w:noProof/>
                <w:lang w:eastAsia="lt-LT"/>
              </w:rPr>
              <w:t>Įgyvendinant veiklas, numatoma prisidėti prie BJRS</w:t>
            </w:r>
            <w:r w:rsidRPr="00B44B19">
              <w:rPr>
                <w:rFonts w:ascii="Times New Roman" w:hAnsi="Times New Roman" w:cs="Times New Roman"/>
              </w:rPr>
              <w:t xml:space="preserve"> politikos krypties „Energetika“ veiklų</w:t>
            </w:r>
            <w:r w:rsidRPr="00B44B19">
              <w:rPr>
                <w:rFonts w:ascii="Times New Roman" w:eastAsia="Calibri" w:hAnsi="Times New Roman" w:cs="Times New Roman"/>
                <w:noProof/>
                <w:lang w:eastAsia="lt-LT" w:bidi="lt-LT"/>
              </w:rPr>
              <w:t xml:space="preserve"> </w:t>
            </w:r>
            <w:r w:rsidRPr="00B44B19">
              <w:rPr>
                <w:rFonts w:ascii="Times New Roman" w:hAnsi="Times New Roman" w:cs="Times New Roman"/>
                <w:noProof/>
                <w:lang w:eastAsia="lt-LT"/>
              </w:rPr>
              <w:t xml:space="preserve">įgyvendinimo. Bus siekiama intensyvinti bendradarbiavimą su kitų </w:t>
            </w:r>
            <w:r w:rsidRPr="00B44B19">
              <w:rPr>
                <w:rFonts w:ascii="Times New Roman" w:hAnsi="Times New Roman" w:cs="Times New Roman"/>
              </w:rPr>
              <w:t>BJR šalių partneriais</w:t>
            </w:r>
            <w:r w:rsidRPr="00B44B19">
              <w:rPr>
                <w:rFonts w:ascii="Times New Roman" w:hAnsi="Times New Roman" w:cs="Times New Roman"/>
                <w:noProof/>
                <w:lang w:eastAsia="lt-LT"/>
              </w:rPr>
              <w:t>, įskaitant ir apsikeitimą gerosiomis praktikomis AEI</w:t>
            </w:r>
            <w:r w:rsidRPr="00B44B19">
              <w:rPr>
                <w:rFonts w:ascii="Times New Roman" w:hAnsi="Times New Roman" w:cs="Times New Roman"/>
              </w:rPr>
              <w:t xml:space="preserve"> integracijos į energetinę sistemą, energijos saugojimo, elektros tinklų atsparumo ir valdymo srityse.</w:t>
            </w:r>
          </w:p>
        </w:tc>
      </w:tr>
    </w:tbl>
    <w:p w14:paraId="44102A39"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Planuojamas finansinių priemonių naudojimas</w:t>
      </w:r>
    </w:p>
    <w:tbl>
      <w:tblPr>
        <w:tblStyle w:val="Lentelstinklelis2"/>
        <w:tblW w:w="0" w:type="auto"/>
        <w:tblLook w:val="04A0" w:firstRow="1" w:lastRow="0" w:firstColumn="1" w:lastColumn="0" w:noHBand="0" w:noVBand="1"/>
      </w:tblPr>
      <w:tblGrid>
        <w:gridCol w:w="9628"/>
      </w:tblGrid>
      <w:tr w:rsidR="0087201A" w:rsidRPr="00B44B19" w14:paraId="553E3159" w14:textId="77777777" w:rsidTr="003040E3">
        <w:tc>
          <w:tcPr>
            <w:tcW w:w="9854" w:type="dxa"/>
          </w:tcPr>
          <w:p w14:paraId="3B30ABDE" w14:textId="77777777" w:rsidR="0087201A" w:rsidRPr="00B44B19" w:rsidRDefault="0087201A" w:rsidP="009752E6">
            <w:pPr>
              <w:spacing w:before="60" w:after="60" w:line="276" w:lineRule="auto"/>
              <w:jc w:val="both"/>
              <w:rPr>
                <w:rFonts w:ascii="Times New Roman" w:eastAsia="Calibri" w:hAnsi="Times New Roman" w:cs="Times New Roman"/>
                <w:lang w:eastAsia="lt-LT"/>
              </w:rPr>
            </w:pPr>
            <w:r w:rsidRPr="00B44B19">
              <w:rPr>
                <w:rFonts w:ascii="Times New Roman" w:eastAsia="Calibri" w:hAnsi="Times New Roman" w:cs="Times New Roman"/>
                <w:lang w:eastAsia="lt-LT"/>
              </w:rPr>
              <w:t>-</w:t>
            </w:r>
          </w:p>
        </w:tc>
      </w:tr>
    </w:tbl>
    <w:p w14:paraId="4DF80B08"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Rodikliai</w:t>
      </w:r>
    </w:p>
    <w:p w14:paraId="3FCC1ABB" w14:textId="77777777" w:rsidR="0087201A" w:rsidRPr="00B44B19" w:rsidRDefault="0087201A" w:rsidP="0087201A">
      <w:pPr>
        <w:spacing w:before="240" w:after="0" w:line="240" w:lineRule="auto"/>
        <w:jc w:val="both"/>
        <w:rPr>
          <w:rFonts w:cs="Times New Roman"/>
          <w:b/>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87201A" w:rsidRPr="00B44B19" w14:paraId="58FFF28E" w14:textId="77777777" w:rsidTr="003040E3">
        <w:trPr>
          <w:trHeight w:val="104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2A5632"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3982F9"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6256E3"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AC006E"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995E1E"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BC7CCB"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0C2DB2"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41D71C"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E63805"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Siektina reikšmė (2029 m.)</w:t>
            </w:r>
          </w:p>
        </w:tc>
      </w:tr>
      <w:tr w:rsidR="0087201A" w:rsidRPr="00B44B19" w14:paraId="71E213DB" w14:textId="77777777" w:rsidTr="00220EE5">
        <w:trPr>
          <w:trHeight w:val="1058"/>
        </w:trPr>
        <w:tc>
          <w:tcPr>
            <w:tcW w:w="497" w:type="pct"/>
            <w:tcBorders>
              <w:top w:val="single" w:sz="12" w:space="0" w:color="auto"/>
            </w:tcBorders>
          </w:tcPr>
          <w:p w14:paraId="6E090A26" w14:textId="09FE057D"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13.</w:t>
            </w:r>
          </w:p>
        </w:tc>
        <w:tc>
          <w:tcPr>
            <w:tcW w:w="503" w:type="pct"/>
            <w:tcBorders>
              <w:top w:val="single" w:sz="12" w:space="0" w:color="auto"/>
            </w:tcBorders>
          </w:tcPr>
          <w:p w14:paraId="6BD74877"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13.1</w:t>
            </w:r>
          </w:p>
        </w:tc>
        <w:tc>
          <w:tcPr>
            <w:tcW w:w="432" w:type="pct"/>
            <w:tcBorders>
              <w:top w:val="single" w:sz="12" w:space="0" w:color="auto"/>
            </w:tcBorders>
          </w:tcPr>
          <w:p w14:paraId="3D03F664"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SaF</w:t>
            </w:r>
          </w:p>
        </w:tc>
        <w:tc>
          <w:tcPr>
            <w:tcW w:w="502" w:type="pct"/>
            <w:tcBorders>
              <w:top w:val="single" w:sz="12" w:space="0" w:color="auto"/>
            </w:tcBorders>
          </w:tcPr>
          <w:p w14:paraId="5C10293A"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Visa Lietuva</w:t>
            </w:r>
          </w:p>
        </w:tc>
        <w:tc>
          <w:tcPr>
            <w:tcW w:w="645" w:type="pct"/>
            <w:tcBorders>
              <w:top w:val="single" w:sz="12" w:space="0" w:color="auto"/>
            </w:tcBorders>
          </w:tcPr>
          <w:p w14:paraId="730A7A2C"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RCO131 </w:t>
            </w:r>
          </w:p>
        </w:tc>
        <w:tc>
          <w:tcPr>
            <w:tcW w:w="931" w:type="pct"/>
            <w:tcBorders>
              <w:top w:val="single" w:sz="12" w:space="0" w:color="auto"/>
            </w:tcBorders>
          </w:tcPr>
          <w:p w14:paraId="73FDDD99" w14:textId="77777777" w:rsidR="0087201A" w:rsidRPr="00B44B19" w:rsidRDefault="0087201A" w:rsidP="0087201A">
            <w:pPr>
              <w:tabs>
                <w:tab w:val="left" w:pos="315"/>
                <w:tab w:val="left" w:pos="457"/>
              </w:tabs>
              <w:spacing w:after="0" w:line="240" w:lineRule="auto"/>
              <w:contextualSpacing/>
              <w:jc w:val="both"/>
              <w:rPr>
                <w:rFonts w:cs="Times New Roman"/>
                <w:noProof/>
                <w:sz w:val="16"/>
                <w:szCs w:val="16"/>
              </w:rPr>
            </w:pPr>
            <w:r w:rsidRPr="00B44B19">
              <w:rPr>
                <w:rFonts w:cs="Times New Roman"/>
                <w:noProof/>
                <w:sz w:val="16"/>
                <w:szCs w:val="16"/>
              </w:rPr>
              <w:t>Energijos perdavimo arba skirstymo tinklo linijos ir jungtys – naujos nutiestos arba patobulintos</w:t>
            </w:r>
          </w:p>
        </w:tc>
        <w:tc>
          <w:tcPr>
            <w:tcW w:w="507" w:type="pct"/>
            <w:tcBorders>
              <w:top w:val="single" w:sz="12" w:space="0" w:color="auto"/>
            </w:tcBorders>
          </w:tcPr>
          <w:p w14:paraId="6D2B1AE9"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Kilometrai</w:t>
            </w:r>
          </w:p>
        </w:tc>
        <w:tc>
          <w:tcPr>
            <w:tcW w:w="503" w:type="pct"/>
            <w:tcBorders>
              <w:top w:val="single" w:sz="12" w:space="0" w:color="auto"/>
            </w:tcBorders>
          </w:tcPr>
          <w:p w14:paraId="29B43EE1" w14:textId="77777777" w:rsidR="0087201A" w:rsidRPr="00B44B19" w:rsidRDefault="0087201A" w:rsidP="0087201A">
            <w:pPr>
              <w:spacing w:after="0" w:line="240" w:lineRule="auto"/>
              <w:jc w:val="center"/>
              <w:rPr>
                <w:rFonts w:cs="Times New Roman"/>
                <w:noProof/>
                <w:sz w:val="16"/>
                <w:szCs w:val="16"/>
              </w:rPr>
            </w:pPr>
            <w:r w:rsidRPr="00B44B19">
              <w:rPr>
                <w:rFonts w:cs="Times New Roman"/>
                <w:noProof/>
                <w:sz w:val="16"/>
                <w:szCs w:val="16"/>
              </w:rPr>
              <w:t>0</w:t>
            </w:r>
          </w:p>
        </w:tc>
        <w:tc>
          <w:tcPr>
            <w:tcW w:w="480" w:type="pct"/>
            <w:tcBorders>
              <w:top w:val="single" w:sz="12" w:space="0" w:color="auto"/>
            </w:tcBorders>
          </w:tcPr>
          <w:p w14:paraId="02DCF650" w14:textId="77777777" w:rsidR="0087201A" w:rsidRPr="00B44B19" w:rsidRDefault="0087201A" w:rsidP="0087201A">
            <w:pPr>
              <w:spacing w:after="0" w:line="240" w:lineRule="auto"/>
              <w:jc w:val="center"/>
              <w:rPr>
                <w:rFonts w:cs="Times New Roman"/>
                <w:noProof/>
                <w:sz w:val="16"/>
                <w:szCs w:val="16"/>
              </w:rPr>
            </w:pPr>
            <w:r w:rsidRPr="00B44B19">
              <w:rPr>
                <w:rFonts w:cs="Times New Roman"/>
                <w:noProof/>
                <w:sz w:val="16"/>
                <w:szCs w:val="16"/>
              </w:rPr>
              <w:t>588</w:t>
            </w:r>
          </w:p>
        </w:tc>
      </w:tr>
    </w:tbl>
    <w:p w14:paraId="0920ACA1" w14:textId="77777777" w:rsidR="0087201A" w:rsidRPr="00B44B19" w:rsidRDefault="0087201A" w:rsidP="0087201A">
      <w:pPr>
        <w:spacing w:after="0" w:line="240" w:lineRule="auto"/>
        <w:jc w:val="both"/>
        <w:rPr>
          <w:rFonts w:cs="Times New Roman"/>
          <w:b/>
          <w:sz w:val="22"/>
        </w:rPr>
        <w:sectPr w:rsidR="0087201A" w:rsidRPr="00B44B19" w:rsidSect="0087201A">
          <w:footerReference w:type="first" r:id="rId24"/>
          <w:pgSz w:w="11906" w:h="16838"/>
          <w:pgMar w:top="1276" w:right="567" w:bottom="1134" w:left="1701" w:header="567" w:footer="567" w:gutter="0"/>
          <w:cols w:space="1296"/>
          <w:docGrid w:linePitch="360"/>
        </w:sectPr>
      </w:pPr>
    </w:p>
    <w:p w14:paraId="458B4E77" w14:textId="77777777" w:rsidR="0087201A" w:rsidRPr="00B44B19" w:rsidRDefault="0087201A" w:rsidP="0087201A">
      <w:pPr>
        <w:spacing w:after="0" w:line="240" w:lineRule="auto"/>
        <w:jc w:val="both"/>
        <w:rPr>
          <w:rFonts w:cs="Times New Roman"/>
          <w:b/>
          <w:sz w:val="22"/>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5"/>
        <w:gridCol w:w="975"/>
        <w:gridCol w:w="1255"/>
        <w:gridCol w:w="2655"/>
        <w:gridCol w:w="2224"/>
        <w:gridCol w:w="975"/>
        <w:gridCol w:w="1115"/>
        <w:gridCol w:w="975"/>
        <w:gridCol w:w="907"/>
        <w:gridCol w:w="1029"/>
      </w:tblGrid>
      <w:tr w:rsidR="0087201A" w:rsidRPr="00B44B19" w14:paraId="260D4477" w14:textId="77777777" w:rsidTr="003040E3">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0C4E0AFE"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29086AF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42FD7F5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20C24F9"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76F3268A"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893" w:type="pct"/>
            <w:tcBorders>
              <w:top w:val="single" w:sz="12" w:space="0" w:color="auto"/>
              <w:left w:val="single" w:sz="12" w:space="0" w:color="auto"/>
              <w:bottom w:val="single" w:sz="12" w:space="0" w:color="auto"/>
              <w:right w:val="single" w:sz="12" w:space="0" w:color="auto"/>
            </w:tcBorders>
            <w:shd w:val="clear" w:color="auto" w:fill="DBE5F1"/>
            <w:vAlign w:val="center"/>
          </w:tcPr>
          <w:p w14:paraId="691A8446"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748" w:type="pct"/>
            <w:tcBorders>
              <w:top w:val="single" w:sz="12" w:space="0" w:color="auto"/>
              <w:left w:val="single" w:sz="12" w:space="0" w:color="auto"/>
              <w:bottom w:val="single" w:sz="12" w:space="0" w:color="auto"/>
              <w:right w:val="single" w:sz="12" w:space="0" w:color="auto"/>
            </w:tcBorders>
            <w:shd w:val="clear" w:color="auto" w:fill="DBE5F1"/>
            <w:vAlign w:val="center"/>
          </w:tcPr>
          <w:p w14:paraId="39517348"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4C062A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639678A9"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E9FE83A"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Siektina reikšmė (2030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14:paraId="779CC41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14:paraId="541ADFEC"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87201A" w:rsidRPr="00B44B19" w14:paraId="25568FC7" w14:textId="77777777" w:rsidTr="00220EE5">
        <w:trPr>
          <w:trHeight w:val="534"/>
        </w:trPr>
        <w:tc>
          <w:tcPr>
            <w:tcW w:w="317" w:type="pct"/>
            <w:tcBorders>
              <w:top w:val="single" w:sz="12" w:space="0" w:color="auto"/>
            </w:tcBorders>
          </w:tcPr>
          <w:p w14:paraId="66085A00"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 xml:space="preserve">13. </w:t>
            </w:r>
          </w:p>
        </w:tc>
        <w:tc>
          <w:tcPr>
            <w:tcW w:w="328" w:type="pct"/>
            <w:tcBorders>
              <w:top w:val="single" w:sz="12" w:space="0" w:color="auto"/>
            </w:tcBorders>
          </w:tcPr>
          <w:p w14:paraId="6971AADB"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13.1</w:t>
            </w:r>
          </w:p>
        </w:tc>
        <w:tc>
          <w:tcPr>
            <w:tcW w:w="281" w:type="pct"/>
            <w:tcBorders>
              <w:top w:val="single" w:sz="12" w:space="0" w:color="auto"/>
            </w:tcBorders>
          </w:tcPr>
          <w:p w14:paraId="48B4933C"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SaF</w:t>
            </w:r>
          </w:p>
        </w:tc>
        <w:tc>
          <w:tcPr>
            <w:tcW w:w="328" w:type="pct"/>
            <w:tcBorders>
              <w:top w:val="single" w:sz="12" w:space="0" w:color="auto"/>
            </w:tcBorders>
          </w:tcPr>
          <w:p w14:paraId="5281526B"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Visa Lietuva</w:t>
            </w:r>
          </w:p>
        </w:tc>
        <w:tc>
          <w:tcPr>
            <w:tcW w:w="422" w:type="pct"/>
            <w:tcBorders>
              <w:top w:val="single" w:sz="12" w:space="0" w:color="auto"/>
            </w:tcBorders>
          </w:tcPr>
          <w:p w14:paraId="4643A2BF"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cs="Times New Roman"/>
                <w:sz w:val="16"/>
                <w:szCs w:val="16"/>
                <w:lang w:eastAsia="en-GB"/>
              </w:rPr>
              <w:t xml:space="preserve">Specialusis </w:t>
            </w:r>
          </w:p>
        </w:tc>
        <w:tc>
          <w:tcPr>
            <w:tcW w:w="893" w:type="pct"/>
            <w:tcBorders>
              <w:top w:val="single" w:sz="12" w:space="0" w:color="auto"/>
            </w:tcBorders>
          </w:tcPr>
          <w:p w14:paraId="2BC744FE"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cs="Times New Roman"/>
                <w:iCs/>
                <w:sz w:val="16"/>
                <w:szCs w:val="16"/>
              </w:rPr>
              <w:t>Vartotojai, kuriems pagerėjo tiekiamos elektros energijos kokybė</w:t>
            </w:r>
          </w:p>
        </w:tc>
        <w:tc>
          <w:tcPr>
            <w:tcW w:w="748" w:type="pct"/>
            <w:tcBorders>
              <w:top w:val="single" w:sz="12" w:space="0" w:color="auto"/>
            </w:tcBorders>
          </w:tcPr>
          <w:p w14:paraId="16AE8251"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Galutiniai vartotojai per metus</w:t>
            </w:r>
          </w:p>
        </w:tc>
        <w:tc>
          <w:tcPr>
            <w:tcW w:w="328" w:type="pct"/>
            <w:tcBorders>
              <w:top w:val="single" w:sz="12" w:space="0" w:color="auto"/>
            </w:tcBorders>
          </w:tcPr>
          <w:p w14:paraId="3FCA2030"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Borders>
              <w:top w:val="single" w:sz="12" w:space="0" w:color="auto"/>
            </w:tcBorders>
          </w:tcPr>
          <w:p w14:paraId="4841A535"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2025</w:t>
            </w:r>
          </w:p>
        </w:tc>
        <w:tc>
          <w:tcPr>
            <w:tcW w:w="328" w:type="pct"/>
            <w:tcBorders>
              <w:top w:val="single" w:sz="12" w:space="0" w:color="auto"/>
            </w:tcBorders>
          </w:tcPr>
          <w:p w14:paraId="196BBEF1"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74 676</w:t>
            </w:r>
          </w:p>
        </w:tc>
        <w:tc>
          <w:tcPr>
            <w:tcW w:w="305" w:type="pct"/>
            <w:tcBorders>
              <w:top w:val="single" w:sz="12" w:space="0" w:color="auto"/>
            </w:tcBorders>
          </w:tcPr>
          <w:p w14:paraId="5588F17A" w14:textId="77777777" w:rsidR="0087201A" w:rsidRPr="00B44B19" w:rsidRDefault="0087201A" w:rsidP="0087201A">
            <w:pPr>
              <w:spacing w:after="0" w:line="240" w:lineRule="auto"/>
              <w:jc w:val="both"/>
              <w:rPr>
                <w:rFonts w:eastAsia="Calibri" w:cs="Times New Roman"/>
                <w:iCs/>
                <w:noProof/>
                <w:sz w:val="16"/>
                <w:szCs w:val="16"/>
              </w:rPr>
            </w:pPr>
            <w:r w:rsidRPr="00B44B19">
              <w:rPr>
                <w:rFonts w:cs="Times New Roman"/>
                <w:noProof/>
                <w:sz w:val="16"/>
                <w:szCs w:val="16"/>
              </w:rPr>
              <w:t>Projektų duomenys</w:t>
            </w:r>
          </w:p>
        </w:tc>
        <w:tc>
          <w:tcPr>
            <w:tcW w:w="346" w:type="pct"/>
            <w:tcBorders>
              <w:top w:val="single" w:sz="12" w:space="0" w:color="auto"/>
            </w:tcBorders>
          </w:tcPr>
          <w:p w14:paraId="01A4AB91"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bl>
    <w:p w14:paraId="04D67E52" w14:textId="77777777" w:rsidR="0087201A" w:rsidRPr="00B44B19" w:rsidRDefault="0087201A" w:rsidP="0087201A">
      <w:pPr>
        <w:spacing w:after="0" w:line="240" w:lineRule="auto"/>
        <w:jc w:val="both"/>
        <w:rPr>
          <w:rFonts w:cs="Times New Roman"/>
          <w:b/>
          <w:sz w:val="22"/>
        </w:rPr>
      </w:pPr>
    </w:p>
    <w:p w14:paraId="33B8B12C" w14:textId="77777777" w:rsidR="0087201A" w:rsidRPr="00B44B19" w:rsidRDefault="0087201A" w:rsidP="0087201A">
      <w:pPr>
        <w:spacing w:after="0" w:line="240" w:lineRule="auto"/>
        <w:jc w:val="both"/>
        <w:rPr>
          <w:rFonts w:cs="Times New Roman"/>
          <w:sz w:val="16"/>
          <w:szCs w:val="16"/>
        </w:rPr>
        <w:sectPr w:rsidR="0087201A" w:rsidRPr="00B44B19" w:rsidSect="0087201A">
          <w:pgSz w:w="16838" w:h="11906" w:orient="landscape"/>
          <w:pgMar w:top="1701" w:right="1276" w:bottom="567" w:left="1134" w:header="567" w:footer="567" w:gutter="0"/>
          <w:cols w:space="1296"/>
          <w:docGrid w:linePitch="360"/>
        </w:sectPr>
      </w:pPr>
    </w:p>
    <w:p w14:paraId="4F71A89B" w14:textId="77777777" w:rsidR="0087201A" w:rsidRPr="00B44B19" w:rsidRDefault="0087201A" w:rsidP="0087201A">
      <w:pPr>
        <w:tabs>
          <w:tab w:val="center" w:pos="4819"/>
          <w:tab w:val="right" w:pos="9638"/>
        </w:tabs>
        <w:spacing w:before="120" w:after="120" w:line="240" w:lineRule="auto"/>
        <w:rPr>
          <w:rFonts w:cs="Times New Roman"/>
          <w:b/>
          <w:i/>
          <w:noProof/>
          <w:color w:val="1F497D" w:themeColor="text2"/>
          <w:sz w:val="22"/>
          <w:lang w:eastAsia="lt-LT" w:bidi="lt-LT"/>
        </w:rPr>
      </w:pPr>
      <w:r w:rsidRPr="00B44B19">
        <w:rPr>
          <w:rFonts w:cs="Times New Roman"/>
          <w:b/>
          <w:i/>
          <w:noProof/>
          <w:color w:val="1F497D" w:themeColor="text2"/>
          <w:sz w:val="22"/>
          <w:lang w:eastAsia="lt-LT" w:bidi="lt-LT"/>
        </w:rPr>
        <w:lastRenderedPageBreak/>
        <w:t>Preliminarus Programos išteklių suskirstymas pagal intervencinių priemonių rūšį</w:t>
      </w:r>
    </w:p>
    <w:tbl>
      <w:tblPr>
        <w:tblStyle w:val="Lentelstinklelis"/>
        <w:tblW w:w="9608" w:type="dxa"/>
        <w:tblLayout w:type="fixed"/>
        <w:tblLook w:val="04A0" w:firstRow="1" w:lastRow="0" w:firstColumn="1" w:lastColumn="0" w:noHBand="0" w:noVBand="1"/>
      </w:tblPr>
      <w:tblGrid>
        <w:gridCol w:w="1069"/>
        <w:gridCol w:w="843"/>
        <w:gridCol w:w="1772"/>
        <w:gridCol w:w="1130"/>
        <w:gridCol w:w="3251"/>
        <w:gridCol w:w="1543"/>
      </w:tblGrid>
      <w:tr w:rsidR="0087201A" w:rsidRPr="00B44B19" w14:paraId="75E482EB" w14:textId="77777777" w:rsidTr="003040E3">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5E2CAB" w14:textId="77777777" w:rsidR="0087201A" w:rsidRPr="00B44B19" w:rsidRDefault="0087201A" w:rsidP="0087201A">
            <w:pPr>
              <w:spacing w:after="200"/>
              <w:rPr>
                <w:rFonts w:cs="Times New Roman"/>
                <w:b/>
                <w:noProof/>
                <w:sz w:val="20"/>
                <w:szCs w:val="20"/>
              </w:rPr>
            </w:pPr>
            <w:r w:rsidRPr="00B44B19">
              <w:rPr>
                <w:rFonts w:cs="Times New Roman"/>
                <w:b/>
                <w:noProof/>
                <w:sz w:val="20"/>
                <w:szCs w:val="20"/>
              </w:rPr>
              <w:t>4 lentelė. 1 matmuo. Intervencinių priemonių sritis</w:t>
            </w:r>
          </w:p>
        </w:tc>
      </w:tr>
      <w:tr w:rsidR="0087201A" w:rsidRPr="00B44B19" w14:paraId="6912E330" w14:textId="77777777" w:rsidTr="003040E3">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7F79AA"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6B582E"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77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22CC5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068B42"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2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1958C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6F1F5C"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3B841411" w14:textId="77777777" w:rsidTr="003040E3">
        <w:trPr>
          <w:trHeight w:val="552"/>
        </w:trPr>
        <w:tc>
          <w:tcPr>
            <w:tcW w:w="1069" w:type="dxa"/>
            <w:tcBorders>
              <w:top w:val="single" w:sz="12" w:space="0" w:color="auto"/>
            </w:tcBorders>
          </w:tcPr>
          <w:p w14:paraId="14A28F51"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13.</w:t>
            </w:r>
          </w:p>
        </w:tc>
        <w:tc>
          <w:tcPr>
            <w:tcW w:w="843" w:type="dxa"/>
            <w:tcBorders>
              <w:top w:val="single" w:sz="12" w:space="0" w:color="auto"/>
            </w:tcBorders>
          </w:tcPr>
          <w:p w14:paraId="0D703A99" w14:textId="24D91EDF" w:rsidR="0087201A" w:rsidRPr="00B44B19" w:rsidRDefault="0087201A" w:rsidP="00220EE5">
            <w:pPr>
              <w:spacing w:after="200"/>
              <w:jc w:val="center"/>
              <w:rPr>
                <w:rFonts w:eastAsia="Times New Roman" w:cs="Times New Roman"/>
                <w:iCs/>
                <w:noProof/>
                <w:sz w:val="20"/>
                <w:szCs w:val="20"/>
              </w:rPr>
            </w:pPr>
            <w:r w:rsidRPr="00B44B19">
              <w:rPr>
                <w:rFonts w:cs="Times New Roman"/>
                <w:noProof/>
                <w:sz w:val="20"/>
                <w:szCs w:val="20"/>
              </w:rPr>
              <w:t>SaF</w:t>
            </w:r>
          </w:p>
        </w:tc>
        <w:tc>
          <w:tcPr>
            <w:tcW w:w="1772" w:type="dxa"/>
            <w:tcBorders>
              <w:top w:val="single" w:sz="12" w:space="0" w:color="auto"/>
            </w:tcBorders>
          </w:tcPr>
          <w:p w14:paraId="711D9DDE" w14:textId="6F29DD17" w:rsidR="0087201A" w:rsidRPr="00B44B19" w:rsidRDefault="0087201A" w:rsidP="00220EE5">
            <w:pPr>
              <w:spacing w:after="200"/>
              <w:rPr>
                <w:rFonts w:eastAsia="Times New Roman" w:cs="Times New Roman"/>
                <w:iCs/>
                <w:noProof/>
                <w:sz w:val="20"/>
                <w:szCs w:val="20"/>
              </w:rPr>
            </w:pPr>
            <w:r w:rsidRPr="00B44B19">
              <w:rPr>
                <w:rFonts w:cs="Times New Roman"/>
                <w:noProof/>
                <w:sz w:val="20"/>
                <w:szCs w:val="20"/>
              </w:rPr>
              <w:t>Visa Lietuva</w:t>
            </w:r>
          </w:p>
        </w:tc>
        <w:tc>
          <w:tcPr>
            <w:tcW w:w="1130" w:type="dxa"/>
            <w:tcBorders>
              <w:top w:val="single" w:sz="12" w:space="0" w:color="auto"/>
            </w:tcBorders>
          </w:tcPr>
          <w:p w14:paraId="183E2E75"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13.1</w:t>
            </w:r>
          </w:p>
        </w:tc>
        <w:tc>
          <w:tcPr>
            <w:tcW w:w="3251" w:type="dxa"/>
            <w:tcBorders>
              <w:top w:val="single" w:sz="12" w:space="0" w:color="auto"/>
            </w:tcBorders>
          </w:tcPr>
          <w:p w14:paraId="38A04EDA" w14:textId="3AE2A203"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196 - Energetikos jungtys ir susijusi perdavimo, paskirstymo, kaupimo ir pagalbinė infrastruktūra</w:t>
            </w:r>
          </w:p>
        </w:tc>
        <w:tc>
          <w:tcPr>
            <w:tcW w:w="1543" w:type="dxa"/>
            <w:tcBorders>
              <w:top w:val="single" w:sz="12" w:space="0" w:color="auto"/>
            </w:tcBorders>
          </w:tcPr>
          <w:p w14:paraId="78FDCBE5" w14:textId="77777777" w:rsidR="0087201A" w:rsidRPr="00B44B19" w:rsidRDefault="0087201A" w:rsidP="0087201A">
            <w:pPr>
              <w:spacing w:after="200"/>
              <w:jc w:val="right"/>
              <w:rPr>
                <w:rFonts w:eastAsia="Times New Roman" w:cs="Times New Roman"/>
                <w:iCs/>
                <w:noProof/>
                <w:sz w:val="20"/>
                <w:szCs w:val="20"/>
              </w:rPr>
            </w:pPr>
            <w:r w:rsidRPr="00B44B19">
              <w:rPr>
                <w:rFonts w:eastAsia="Times New Roman" w:cs="Times New Roman"/>
                <w:iCs/>
                <w:noProof/>
                <w:sz w:val="20"/>
                <w:szCs w:val="20"/>
              </w:rPr>
              <w:t>40 000 000,00</w:t>
            </w:r>
          </w:p>
        </w:tc>
      </w:tr>
    </w:tbl>
    <w:p w14:paraId="55029E06"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624" w:type="dxa"/>
        <w:tblLayout w:type="fixed"/>
        <w:tblLook w:val="04A0" w:firstRow="1" w:lastRow="0" w:firstColumn="1" w:lastColumn="0" w:noHBand="0" w:noVBand="1"/>
      </w:tblPr>
      <w:tblGrid>
        <w:gridCol w:w="1101"/>
        <w:gridCol w:w="850"/>
        <w:gridCol w:w="1720"/>
        <w:gridCol w:w="1134"/>
        <w:gridCol w:w="3317"/>
        <w:gridCol w:w="1502"/>
      </w:tblGrid>
      <w:tr w:rsidR="0087201A" w:rsidRPr="00B44B19" w14:paraId="0D6ACF83"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07541D1"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5 lentelė. 2 matmuo. Finansavimo forma</w:t>
            </w:r>
          </w:p>
        </w:tc>
      </w:tr>
      <w:tr w:rsidR="0087201A" w:rsidRPr="00B44B19" w14:paraId="1129EC91"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A78D3C"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E21CE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7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7C79A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54C9EC"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3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D3480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7F714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040CCD8D" w14:textId="77777777" w:rsidTr="003040E3">
        <w:trPr>
          <w:trHeight w:val="414"/>
        </w:trPr>
        <w:tc>
          <w:tcPr>
            <w:tcW w:w="1101" w:type="dxa"/>
            <w:tcBorders>
              <w:top w:val="single" w:sz="12" w:space="0" w:color="auto"/>
            </w:tcBorders>
          </w:tcPr>
          <w:p w14:paraId="10653180"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13.</w:t>
            </w:r>
          </w:p>
        </w:tc>
        <w:tc>
          <w:tcPr>
            <w:tcW w:w="850" w:type="dxa"/>
            <w:tcBorders>
              <w:top w:val="single" w:sz="12" w:space="0" w:color="auto"/>
            </w:tcBorders>
          </w:tcPr>
          <w:p w14:paraId="542835ED" w14:textId="1F51062E" w:rsidR="0087201A" w:rsidRPr="00B44B19" w:rsidRDefault="0087201A" w:rsidP="00220EE5">
            <w:pPr>
              <w:spacing w:after="200"/>
              <w:jc w:val="center"/>
              <w:rPr>
                <w:rFonts w:eastAsia="Times New Roman" w:cs="Times New Roman"/>
                <w:iCs/>
                <w:noProof/>
                <w:sz w:val="20"/>
                <w:szCs w:val="20"/>
              </w:rPr>
            </w:pPr>
            <w:r w:rsidRPr="00B44B19">
              <w:rPr>
                <w:rFonts w:cs="Times New Roman"/>
                <w:noProof/>
                <w:sz w:val="20"/>
                <w:szCs w:val="20"/>
              </w:rPr>
              <w:t>SaF</w:t>
            </w:r>
          </w:p>
        </w:tc>
        <w:tc>
          <w:tcPr>
            <w:tcW w:w="1720" w:type="dxa"/>
            <w:tcBorders>
              <w:top w:val="single" w:sz="12" w:space="0" w:color="auto"/>
            </w:tcBorders>
          </w:tcPr>
          <w:p w14:paraId="25A9B874" w14:textId="77777777" w:rsidR="0087201A" w:rsidRPr="00B44B19" w:rsidRDefault="0087201A" w:rsidP="0087201A">
            <w:pPr>
              <w:spacing w:after="200"/>
              <w:rPr>
                <w:rFonts w:eastAsia="Times New Roman" w:cs="Times New Roman"/>
                <w:iCs/>
                <w:noProof/>
                <w:sz w:val="20"/>
                <w:szCs w:val="20"/>
              </w:rPr>
            </w:pPr>
            <w:r w:rsidRPr="00B44B19">
              <w:rPr>
                <w:rFonts w:cs="Times New Roman"/>
                <w:noProof/>
                <w:sz w:val="20"/>
                <w:szCs w:val="20"/>
              </w:rPr>
              <w:t>Visa Lietuva</w:t>
            </w:r>
          </w:p>
        </w:tc>
        <w:tc>
          <w:tcPr>
            <w:tcW w:w="1134" w:type="dxa"/>
            <w:tcBorders>
              <w:top w:val="single" w:sz="12" w:space="0" w:color="auto"/>
            </w:tcBorders>
          </w:tcPr>
          <w:p w14:paraId="7B15F2C8" w14:textId="77777777" w:rsidR="0087201A" w:rsidRPr="00B44B19" w:rsidRDefault="0087201A" w:rsidP="0087201A">
            <w:pPr>
              <w:spacing w:after="200"/>
              <w:jc w:val="center"/>
              <w:rPr>
                <w:rFonts w:eastAsia="Times New Roman" w:cs="Times New Roman"/>
                <w:b/>
                <w:iCs/>
                <w:noProof/>
                <w:sz w:val="20"/>
                <w:szCs w:val="20"/>
              </w:rPr>
            </w:pPr>
            <w:r w:rsidRPr="00B44B19">
              <w:rPr>
                <w:rFonts w:eastAsia="Times New Roman" w:cs="Times New Roman"/>
                <w:iCs/>
                <w:noProof/>
                <w:sz w:val="20"/>
                <w:szCs w:val="20"/>
              </w:rPr>
              <w:t>13.1</w:t>
            </w:r>
          </w:p>
        </w:tc>
        <w:tc>
          <w:tcPr>
            <w:tcW w:w="3317" w:type="dxa"/>
            <w:tcBorders>
              <w:top w:val="single" w:sz="12" w:space="0" w:color="auto"/>
            </w:tcBorders>
          </w:tcPr>
          <w:p w14:paraId="140FEF26"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iCs/>
                <w:noProof/>
                <w:sz w:val="20"/>
                <w:szCs w:val="20"/>
              </w:rPr>
              <w:t>01 – Dotacija</w:t>
            </w:r>
          </w:p>
        </w:tc>
        <w:tc>
          <w:tcPr>
            <w:tcW w:w="1502" w:type="dxa"/>
            <w:tcBorders>
              <w:top w:val="single" w:sz="12" w:space="0" w:color="auto"/>
            </w:tcBorders>
          </w:tcPr>
          <w:p w14:paraId="42564E76" w14:textId="77777777" w:rsidR="0087201A" w:rsidRPr="00B44B19" w:rsidRDefault="0087201A" w:rsidP="0087201A">
            <w:pPr>
              <w:spacing w:after="200"/>
              <w:jc w:val="right"/>
              <w:rPr>
                <w:rFonts w:cs="Times New Roman"/>
                <w:sz w:val="20"/>
                <w:szCs w:val="20"/>
              </w:rPr>
            </w:pPr>
            <w:r w:rsidRPr="00B44B19">
              <w:rPr>
                <w:rFonts w:eastAsia="Times New Roman" w:cs="Times New Roman"/>
                <w:iCs/>
                <w:noProof/>
                <w:sz w:val="20"/>
                <w:szCs w:val="20"/>
              </w:rPr>
              <w:t>40 000 000,00</w:t>
            </w:r>
          </w:p>
        </w:tc>
      </w:tr>
    </w:tbl>
    <w:p w14:paraId="7A36550A"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624" w:type="dxa"/>
        <w:tblLook w:val="04A0" w:firstRow="1" w:lastRow="0" w:firstColumn="1" w:lastColumn="0" w:noHBand="0" w:noVBand="1"/>
      </w:tblPr>
      <w:tblGrid>
        <w:gridCol w:w="1091"/>
        <w:gridCol w:w="848"/>
        <w:gridCol w:w="1688"/>
        <w:gridCol w:w="1128"/>
        <w:gridCol w:w="3322"/>
        <w:gridCol w:w="1547"/>
      </w:tblGrid>
      <w:tr w:rsidR="0087201A" w:rsidRPr="00B44B19" w14:paraId="10563EB4"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1695107"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87201A" w:rsidRPr="00B44B19" w14:paraId="4AD9D3AB" w14:textId="77777777" w:rsidTr="003040E3">
        <w:tc>
          <w:tcPr>
            <w:tcW w:w="10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B04BF7"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5F350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6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80F48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329DD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32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DEFC8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5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8BA23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56AD284D" w14:textId="77777777" w:rsidTr="00220EE5">
        <w:trPr>
          <w:trHeight w:val="417"/>
        </w:trPr>
        <w:tc>
          <w:tcPr>
            <w:tcW w:w="1091" w:type="dxa"/>
          </w:tcPr>
          <w:p w14:paraId="219A24DC"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13</w:t>
            </w:r>
          </w:p>
        </w:tc>
        <w:tc>
          <w:tcPr>
            <w:tcW w:w="848" w:type="dxa"/>
          </w:tcPr>
          <w:p w14:paraId="3184C851" w14:textId="77777777" w:rsidR="0087201A" w:rsidRPr="00B44B19" w:rsidRDefault="0087201A" w:rsidP="0087201A">
            <w:pPr>
              <w:spacing w:after="200"/>
              <w:jc w:val="center"/>
              <w:rPr>
                <w:rFonts w:eastAsia="Times New Roman" w:cs="Times New Roman"/>
                <w:iCs/>
                <w:noProof/>
                <w:sz w:val="20"/>
                <w:szCs w:val="20"/>
              </w:rPr>
            </w:pPr>
            <w:r w:rsidRPr="00B44B19">
              <w:rPr>
                <w:rFonts w:cs="Times New Roman"/>
                <w:noProof/>
                <w:sz w:val="20"/>
                <w:szCs w:val="20"/>
              </w:rPr>
              <w:t>SaF</w:t>
            </w:r>
          </w:p>
        </w:tc>
        <w:tc>
          <w:tcPr>
            <w:tcW w:w="1688" w:type="dxa"/>
          </w:tcPr>
          <w:p w14:paraId="4E058E56" w14:textId="77777777" w:rsidR="0087201A" w:rsidRPr="00B44B19" w:rsidRDefault="0087201A" w:rsidP="0087201A">
            <w:pPr>
              <w:spacing w:after="200"/>
              <w:rPr>
                <w:rFonts w:eastAsia="Times New Roman" w:cs="Times New Roman"/>
                <w:iCs/>
                <w:noProof/>
                <w:sz w:val="20"/>
                <w:szCs w:val="20"/>
              </w:rPr>
            </w:pPr>
            <w:r w:rsidRPr="00B44B19">
              <w:rPr>
                <w:rFonts w:cs="Times New Roman"/>
                <w:noProof/>
                <w:sz w:val="20"/>
                <w:szCs w:val="20"/>
              </w:rPr>
              <w:t>Visa Lietuva</w:t>
            </w:r>
          </w:p>
        </w:tc>
        <w:tc>
          <w:tcPr>
            <w:tcW w:w="1128" w:type="dxa"/>
          </w:tcPr>
          <w:p w14:paraId="46325AF3" w14:textId="77777777" w:rsidR="0087201A" w:rsidRPr="00B44B19" w:rsidRDefault="0087201A" w:rsidP="0087201A">
            <w:pPr>
              <w:spacing w:after="200"/>
              <w:jc w:val="center"/>
              <w:rPr>
                <w:rFonts w:eastAsia="Times New Roman" w:cs="Times New Roman"/>
                <w:b/>
                <w:iCs/>
                <w:noProof/>
                <w:sz w:val="20"/>
                <w:szCs w:val="20"/>
              </w:rPr>
            </w:pPr>
            <w:r w:rsidRPr="00B44B19">
              <w:rPr>
                <w:rFonts w:eastAsia="Times New Roman" w:cs="Times New Roman"/>
                <w:iCs/>
                <w:noProof/>
                <w:sz w:val="20"/>
                <w:szCs w:val="20"/>
              </w:rPr>
              <w:t>13.1</w:t>
            </w:r>
          </w:p>
        </w:tc>
        <w:tc>
          <w:tcPr>
            <w:tcW w:w="3322" w:type="dxa"/>
          </w:tcPr>
          <w:p w14:paraId="14D7F0B9"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iCs/>
                <w:noProof/>
                <w:sz w:val="20"/>
                <w:szCs w:val="20"/>
              </w:rPr>
              <w:t>33 – Nesiorientuojant į teritoriškumą</w:t>
            </w:r>
          </w:p>
        </w:tc>
        <w:tc>
          <w:tcPr>
            <w:tcW w:w="1547" w:type="dxa"/>
          </w:tcPr>
          <w:p w14:paraId="3B3AB7E2" w14:textId="77777777" w:rsidR="0087201A" w:rsidRPr="00B44B19" w:rsidRDefault="0087201A" w:rsidP="0087201A">
            <w:pPr>
              <w:spacing w:after="200"/>
              <w:jc w:val="right"/>
              <w:rPr>
                <w:rFonts w:cs="Times New Roman"/>
                <w:sz w:val="20"/>
                <w:szCs w:val="20"/>
              </w:rPr>
            </w:pPr>
            <w:r w:rsidRPr="00B44B19">
              <w:rPr>
                <w:rFonts w:eastAsia="Times New Roman" w:cs="Times New Roman"/>
                <w:iCs/>
                <w:noProof/>
                <w:sz w:val="20"/>
                <w:szCs w:val="20"/>
              </w:rPr>
              <w:t>40 000 000,00</w:t>
            </w:r>
          </w:p>
        </w:tc>
      </w:tr>
    </w:tbl>
    <w:p w14:paraId="4BEFEB96" w14:textId="77777777" w:rsidR="0087201A" w:rsidRPr="00B44B19" w:rsidRDefault="0087201A" w:rsidP="0087201A">
      <w:pPr>
        <w:spacing w:after="0"/>
        <w:rPr>
          <w:rFonts w:cs="Times New Roman"/>
        </w:rPr>
      </w:pPr>
    </w:p>
    <w:tbl>
      <w:tblPr>
        <w:tblStyle w:val="Lentelstinklelis30"/>
        <w:tblW w:w="9624" w:type="dxa"/>
        <w:tblLook w:val="04A0" w:firstRow="1" w:lastRow="0" w:firstColumn="1" w:lastColumn="0" w:noHBand="0" w:noVBand="1"/>
      </w:tblPr>
      <w:tblGrid>
        <w:gridCol w:w="1095"/>
        <w:gridCol w:w="849"/>
        <w:gridCol w:w="1642"/>
        <w:gridCol w:w="1128"/>
        <w:gridCol w:w="3351"/>
        <w:gridCol w:w="1559"/>
      </w:tblGrid>
      <w:tr w:rsidR="0087201A" w:rsidRPr="00B44B19" w14:paraId="4BAA0584"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E2DBC9F" w14:textId="77777777" w:rsidR="0087201A" w:rsidRPr="00B44B19" w:rsidRDefault="0087201A" w:rsidP="0087201A">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87201A" w:rsidRPr="00B44B19" w14:paraId="1BF0E418" w14:textId="77777777" w:rsidTr="003040E3">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A2660E" w14:textId="77777777" w:rsidR="0087201A" w:rsidRPr="00B44B19" w:rsidRDefault="0087201A" w:rsidP="0087201A">
            <w:pPr>
              <w:jc w:val="center"/>
              <w:rPr>
                <w:b/>
                <w:iCs/>
                <w:noProof/>
                <w:sz w:val="20"/>
              </w:rPr>
            </w:pPr>
            <w:r w:rsidRPr="00B44B19">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31FD67" w14:textId="77777777" w:rsidR="0087201A" w:rsidRPr="00B44B19" w:rsidRDefault="0087201A" w:rsidP="0087201A">
            <w:pPr>
              <w:jc w:val="center"/>
              <w:rPr>
                <w:b/>
                <w:iCs/>
                <w:noProof/>
                <w:sz w:val="20"/>
              </w:rPr>
            </w:pPr>
            <w:r w:rsidRPr="00B44B19">
              <w:rPr>
                <w:b/>
                <w:noProof/>
                <w:sz w:val="20"/>
              </w:rPr>
              <w:t>Fondas</w:t>
            </w:r>
          </w:p>
        </w:tc>
        <w:tc>
          <w:tcPr>
            <w:tcW w:w="164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D33BDA" w14:textId="77777777" w:rsidR="0087201A" w:rsidRPr="00B44B19" w:rsidRDefault="0087201A" w:rsidP="0087201A">
            <w:pPr>
              <w:jc w:val="center"/>
              <w:rPr>
                <w:b/>
                <w:iCs/>
                <w:noProof/>
                <w:sz w:val="20"/>
              </w:rPr>
            </w:pPr>
            <w:r w:rsidRPr="00B44B19">
              <w:rPr>
                <w:b/>
                <w:noProof/>
                <w:sz w:val="20"/>
              </w:rPr>
              <w:t>Regiono kategorija</w:t>
            </w:r>
          </w:p>
        </w:tc>
        <w:tc>
          <w:tcPr>
            <w:tcW w:w="11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ABCF2B" w14:textId="77777777" w:rsidR="0087201A" w:rsidRPr="00B44B19" w:rsidRDefault="0087201A" w:rsidP="0087201A">
            <w:pPr>
              <w:jc w:val="center"/>
              <w:rPr>
                <w:b/>
                <w:iCs/>
                <w:noProof/>
                <w:sz w:val="20"/>
              </w:rPr>
            </w:pPr>
            <w:r w:rsidRPr="00B44B19">
              <w:rPr>
                <w:b/>
                <w:noProof/>
                <w:sz w:val="20"/>
              </w:rPr>
              <w:t>Konkretus uždavinys</w:t>
            </w:r>
          </w:p>
        </w:tc>
        <w:tc>
          <w:tcPr>
            <w:tcW w:w="33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378E91" w14:textId="77777777" w:rsidR="0087201A" w:rsidRPr="00B44B19" w:rsidRDefault="0087201A" w:rsidP="0087201A">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654ABB" w14:textId="77777777" w:rsidR="0087201A" w:rsidRPr="00B44B19" w:rsidRDefault="0087201A" w:rsidP="0087201A">
            <w:pPr>
              <w:jc w:val="center"/>
              <w:rPr>
                <w:b/>
                <w:iCs/>
                <w:noProof/>
                <w:sz w:val="20"/>
              </w:rPr>
            </w:pPr>
            <w:r w:rsidRPr="00B44B19">
              <w:rPr>
                <w:b/>
                <w:noProof/>
                <w:sz w:val="20"/>
              </w:rPr>
              <w:t>Suma (EUR)</w:t>
            </w:r>
          </w:p>
        </w:tc>
      </w:tr>
      <w:tr w:rsidR="0087201A" w:rsidRPr="00B44B19" w14:paraId="4E9C4B95" w14:textId="77777777" w:rsidTr="003040E3">
        <w:trPr>
          <w:trHeight w:val="521"/>
        </w:trPr>
        <w:tc>
          <w:tcPr>
            <w:tcW w:w="1095" w:type="dxa"/>
            <w:tcBorders>
              <w:top w:val="single" w:sz="12" w:space="0" w:color="auto"/>
            </w:tcBorders>
          </w:tcPr>
          <w:p w14:paraId="036B1F73" w14:textId="77777777" w:rsidR="0087201A" w:rsidRPr="00B44B19" w:rsidRDefault="0087201A" w:rsidP="0087201A">
            <w:pPr>
              <w:jc w:val="center"/>
              <w:rPr>
                <w:iCs/>
                <w:noProof/>
                <w:sz w:val="20"/>
                <w:szCs w:val="20"/>
              </w:rPr>
            </w:pPr>
            <w:r w:rsidRPr="00B44B19">
              <w:rPr>
                <w:iCs/>
                <w:noProof/>
                <w:sz w:val="20"/>
                <w:szCs w:val="20"/>
              </w:rPr>
              <w:t>13.</w:t>
            </w:r>
          </w:p>
        </w:tc>
        <w:tc>
          <w:tcPr>
            <w:tcW w:w="849" w:type="dxa"/>
            <w:tcBorders>
              <w:top w:val="single" w:sz="12" w:space="0" w:color="auto"/>
            </w:tcBorders>
          </w:tcPr>
          <w:p w14:paraId="3FA23121" w14:textId="77777777" w:rsidR="0087201A" w:rsidRPr="00B44B19" w:rsidRDefault="0087201A" w:rsidP="0087201A">
            <w:pPr>
              <w:jc w:val="center"/>
              <w:rPr>
                <w:iCs/>
                <w:noProof/>
                <w:sz w:val="20"/>
                <w:szCs w:val="20"/>
              </w:rPr>
            </w:pPr>
            <w:r w:rsidRPr="00B44B19">
              <w:rPr>
                <w:noProof/>
                <w:sz w:val="20"/>
                <w:szCs w:val="20"/>
              </w:rPr>
              <w:t>SaF</w:t>
            </w:r>
          </w:p>
        </w:tc>
        <w:tc>
          <w:tcPr>
            <w:tcW w:w="1642" w:type="dxa"/>
            <w:tcBorders>
              <w:top w:val="single" w:sz="12" w:space="0" w:color="auto"/>
            </w:tcBorders>
          </w:tcPr>
          <w:p w14:paraId="4C439B39" w14:textId="77777777" w:rsidR="0087201A" w:rsidRPr="00B44B19" w:rsidRDefault="0087201A" w:rsidP="0087201A">
            <w:pPr>
              <w:rPr>
                <w:iCs/>
                <w:noProof/>
                <w:sz w:val="20"/>
                <w:szCs w:val="20"/>
              </w:rPr>
            </w:pPr>
            <w:r w:rsidRPr="00B44B19">
              <w:rPr>
                <w:noProof/>
                <w:sz w:val="20"/>
                <w:szCs w:val="20"/>
              </w:rPr>
              <w:t>Visa Lietuva</w:t>
            </w:r>
          </w:p>
        </w:tc>
        <w:tc>
          <w:tcPr>
            <w:tcW w:w="1128" w:type="dxa"/>
            <w:tcBorders>
              <w:top w:val="single" w:sz="12" w:space="0" w:color="auto"/>
            </w:tcBorders>
          </w:tcPr>
          <w:p w14:paraId="58A6CA8C" w14:textId="77777777" w:rsidR="0087201A" w:rsidRPr="00B44B19" w:rsidRDefault="0087201A" w:rsidP="0087201A">
            <w:pPr>
              <w:jc w:val="center"/>
              <w:rPr>
                <w:iCs/>
                <w:noProof/>
                <w:sz w:val="20"/>
                <w:szCs w:val="20"/>
              </w:rPr>
            </w:pPr>
            <w:r w:rsidRPr="00B44B19">
              <w:rPr>
                <w:iCs/>
                <w:noProof/>
                <w:sz w:val="20"/>
                <w:szCs w:val="20"/>
              </w:rPr>
              <w:t>13.1</w:t>
            </w:r>
          </w:p>
        </w:tc>
        <w:tc>
          <w:tcPr>
            <w:tcW w:w="3351" w:type="dxa"/>
            <w:tcBorders>
              <w:top w:val="single" w:sz="12" w:space="0" w:color="auto"/>
            </w:tcBorders>
          </w:tcPr>
          <w:p w14:paraId="11B54BD5" w14:textId="77777777" w:rsidR="0087201A" w:rsidRPr="00B44B19" w:rsidRDefault="0087201A" w:rsidP="0087201A">
            <w:pPr>
              <w:rPr>
                <w:iCs/>
                <w:noProof/>
                <w:sz w:val="20"/>
                <w:szCs w:val="20"/>
              </w:rPr>
            </w:pPr>
            <w:r w:rsidRPr="00B44B19">
              <w:rPr>
                <w:iCs/>
                <w:noProof/>
                <w:sz w:val="20"/>
                <w:szCs w:val="20"/>
              </w:rPr>
              <w:t>03 – Neutralumas lyties požiūriu</w:t>
            </w:r>
          </w:p>
        </w:tc>
        <w:tc>
          <w:tcPr>
            <w:tcW w:w="1559" w:type="dxa"/>
            <w:tcBorders>
              <w:top w:val="single" w:sz="12" w:space="0" w:color="auto"/>
            </w:tcBorders>
          </w:tcPr>
          <w:p w14:paraId="732ADE3A" w14:textId="77777777" w:rsidR="0087201A" w:rsidRPr="00B44B19" w:rsidRDefault="0087201A" w:rsidP="0087201A">
            <w:pPr>
              <w:jc w:val="right"/>
              <w:rPr>
                <w:iCs/>
                <w:noProof/>
                <w:sz w:val="20"/>
                <w:szCs w:val="20"/>
              </w:rPr>
            </w:pPr>
            <w:r w:rsidRPr="00B44B19">
              <w:rPr>
                <w:iCs/>
                <w:noProof/>
                <w:sz w:val="20"/>
                <w:szCs w:val="20"/>
              </w:rPr>
              <w:t>40 000 000,00</w:t>
            </w:r>
          </w:p>
        </w:tc>
      </w:tr>
    </w:tbl>
    <w:p w14:paraId="435819C3" w14:textId="77777777" w:rsidR="0087201A" w:rsidRPr="00B44B19" w:rsidRDefault="0087201A" w:rsidP="0087201A">
      <w:pPr>
        <w:rPr>
          <w:rFonts w:cs="Times New Roman"/>
          <w:lang w:bidi="lt-LT"/>
        </w:rPr>
      </w:pPr>
      <w:r w:rsidRPr="00B44B19">
        <w:rPr>
          <w:rFonts w:cs="Times New Roman"/>
          <w:lang w:bidi="lt-LT"/>
        </w:rPr>
        <w:br w:type="page"/>
      </w:r>
    </w:p>
    <w:p w14:paraId="25E12A3A" w14:textId="77777777" w:rsidR="0087201A" w:rsidRPr="00B44B19" w:rsidRDefault="0087201A" w:rsidP="00D456C1">
      <w:pPr>
        <w:pStyle w:val="Antrat1"/>
      </w:pPr>
      <w:bookmarkStart w:id="87" w:name="_Toc223435455"/>
      <w:bookmarkStart w:id="88" w:name="_Hlk215490918"/>
      <w:r w:rsidRPr="00B44B19">
        <w:lastRenderedPageBreak/>
        <w:t>14. specialus prioritetas. Karinio mobilumo stiprinimas</w:t>
      </w:r>
      <w:bookmarkEnd w:id="87"/>
    </w:p>
    <w:p w14:paraId="4A1DCB7C" w14:textId="77777777" w:rsidR="0087201A" w:rsidRPr="00B44B19" w:rsidRDefault="0087201A" w:rsidP="00D456C1">
      <w:pPr>
        <w:pStyle w:val="Antrat2"/>
      </w:pPr>
      <w:bookmarkStart w:id="89" w:name="_Toc223435456"/>
      <w:r w:rsidRPr="00B44B19">
        <w:t xml:space="preserve">Konkretus uždavinys – 14.1 </w:t>
      </w:r>
      <w:bookmarkEnd w:id="88"/>
      <w:r w:rsidRPr="00B44B19">
        <w:t>Sukurti atsparią gynybos infrastruktūrą, pirmenybę teikiant dvejopo naudojimo infrastruktūrai, taip pat, siekti skatinti karinį mobilumą ES ir gerinti civilinę parengtį</w:t>
      </w:r>
      <w:bookmarkEnd w:id="89"/>
    </w:p>
    <w:p w14:paraId="74143AC5"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sz w:val="22"/>
          <w:szCs w:val="24"/>
          <w:lang w:eastAsia="lt-LT" w:bidi="lt-LT"/>
        </w:rPr>
      </w:pPr>
      <w:r w:rsidRPr="00B44B19">
        <w:rPr>
          <w:rFonts w:cs="Times New Roman"/>
          <w:b/>
          <w:i/>
          <w:noProof/>
          <w:color w:val="1F497D" w:themeColor="text2"/>
          <w:sz w:val="22"/>
          <w:lang w:eastAsia="lt-LT" w:bidi="lt-LT"/>
        </w:rPr>
        <w:t>Įgyvendinamos veiklos</w:t>
      </w:r>
    </w:p>
    <w:tbl>
      <w:tblPr>
        <w:tblStyle w:val="Lentelstinklelis2"/>
        <w:tblW w:w="9634" w:type="dxa"/>
        <w:tblLook w:val="04A0" w:firstRow="1" w:lastRow="0" w:firstColumn="1" w:lastColumn="0" w:noHBand="0" w:noVBand="1"/>
      </w:tblPr>
      <w:tblGrid>
        <w:gridCol w:w="9634"/>
      </w:tblGrid>
      <w:tr w:rsidR="0087201A" w:rsidRPr="00B44B19" w14:paraId="6595B29D" w14:textId="77777777" w:rsidTr="003040E3">
        <w:tc>
          <w:tcPr>
            <w:tcW w:w="9634" w:type="dxa"/>
          </w:tcPr>
          <w:p w14:paraId="471F98E4" w14:textId="77777777" w:rsidR="0087201A" w:rsidRPr="00B44B19" w:rsidRDefault="0087201A" w:rsidP="002E0230">
            <w:pPr>
              <w:spacing w:before="60" w:after="60"/>
              <w:jc w:val="both"/>
              <w:rPr>
                <w:rFonts w:ascii="Times New Roman" w:hAnsi="Times New Roman" w:cs="Times New Roman"/>
              </w:rPr>
            </w:pPr>
            <w:r w:rsidRPr="00B44B19">
              <w:rPr>
                <w:rFonts w:ascii="Times New Roman" w:eastAsia="Calibri" w:hAnsi="Times New Roman" w:cs="Times New Roman"/>
                <w:lang w:bidi="lt-LT"/>
              </w:rPr>
              <w:t>Šio uždavinio investicijos projektams, kuriuos įgyvendinant kuriama transporto infrastruktūra, atitinkanti dvejopo naudojimo standartus, apibrėžtus 2021 m. rugpjūčio 10 d. Komisijos įgyvendinimo reglamente (ES) 2021/1328, esanti karinio mobilumo koridorių dalis (pagal 2025 m. kovo 18 d. ES Tarybos išvadų II priedą) ir įtraukta į jų „karštųjų taškų“ sąrašą, prisidės prie</w:t>
            </w:r>
            <w:r w:rsidRPr="00B44B19">
              <w:rPr>
                <w:rFonts w:ascii="Times New Roman" w:hAnsi="Times New Roman" w:cs="Times New Roman"/>
              </w:rPr>
              <w:t xml:space="preserve"> </w:t>
            </w:r>
            <w:r w:rsidRPr="00B44B19">
              <w:rPr>
                <w:rFonts w:ascii="Times New Roman" w:eastAsia="Calibri" w:hAnsi="Times New Roman" w:cs="Times New Roman"/>
                <w:lang w:bidi="lt-LT"/>
              </w:rPr>
              <w:t>transporto infrastruktūros pritaikymo dvejopo naudojimo (civilinės ir karinės) reikmėms plėtros ir karinio mobilumo didinimo</w:t>
            </w:r>
            <w:r w:rsidRPr="00B44B19">
              <w:rPr>
                <w:rFonts w:ascii="Times New Roman" w:hAnsi="Times New Roman" w:cs="Times New Roman"/>
              </w:rPr>
              <w:t>. Investicijomis bus prisidedama prie Karinio mobilumo veiksmų plano 2.0, įgyvendinamo kartu su kitomis už šio plano įgyvendinimą atsakingomis šalies institucijomis, vykdymo – juo siekiama, kad būtų sustiprintas ES pajėgumas padėti valstybėms narėms ir partneriams karinių pajėgų ir jų įrangos transportavimo srityje bei kad infrastruktūra būtų geriau sujungta ir apsaugota.</w:t>
            </w:r>
          </w:p>
          <w:p w14:paraId="22395073" w14:textId="77777777"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hAnsi="Times New Roman" w:cs="Times New Roman"/>
              </w:rPr>
              <w:t>2022 m. Rusijai pradėjus karo veiksmus Ukrainoje pasikeitė tiek Lietuvos, tiek ir visos ES saugumo situacija. A</w:t>
            </w:r>
            <w:r w:rsidRPr="00B44B19">
              <w:rPr>
                <w:rFonts w:ascii="Times New Roman" w:eastAsia="Times New Roman" w:hAnsi="Times New Roman" w:cs="Times New Roman"/>
                <w:bCs/>
              </w:rPr>
              <w:t>tsižvelgiant į tokį geopolitinį nestabilumą, poreikis užtikrinti savo gynybą ir parengtį reaguoti į įvairias su tuos susijusias situacijas yra itin aktualus, ypač</w:t>
            </w:r>
            <w:r w:rsidRPr="00B44B19">
              <w:rPr>
                <w:rFonts w:ascii="Times New Roman" w:hAnsi="Times New Roman" w:cs="Times New Roman"/>
              </w:rPr>
              <w:t xml:space="preserve"> </w:t>
            </w:r>
            <w:r w:rsidRPr="00B44B19">
              <w:rPr>
                <w:rFonts w:ascii="Times New Roman" w:eastAsia="Times New Roman" w:hAnsi="Times New Roman" w:cs="Times New Roman"/>
                <w:bCs/>
              </w:rPr>
              <w:t xml:space="preserve">pasienio regionams, besiribojantiems su Rusija, Baltarusija ir Ukraina. </w:t>
            </w:r>
            <w:r w:rsidRPr="00B44B19">
              <w:rPr>
                <w:rFonts w:ascii="Times New Roman" w:eastAsia="Times New Roman" w:hAnsi="Times New Roman" w:cs="Times New Roman"/>
              </w:rPr>
              <w:t xml:space="preserve">Baltijos šalių ir platesnio regiono transporto jungčių pritaikymas kariniams poreikiams bei infrastruktūros stiprinimas leistų Lietuvai aktyviau prisidėti prie NATO rytinio flango saugumo užtikrinimo. Investicijos į </w:t>
            </w:r>
            <w:r w:rsidRPr="00B44B19">
              <w:rPr>
                <w:rFonts w:ascii="Times New Roman" w:eastAsia="Times New Roman" w:hAnsi="Times New Roman" w:cs="Times New Roman"/>
                <w:bCs/>
              </w:rPr>
              <w:t>transporto infrastruktūros</w:t>
            </w:r>
            <w:r w:rsidRPr="00B44B19">
              <w:rPr>
                <w:rFonts w:ascii="Times New Roman" w:eastAsia="Times New Roman" w:hAnsi="Times New Roman" w:cs="Times New Roman"/>
              </w:rPr>
              <w:t xml:space="preserve"> modernizavimą, užtikrinant </w:t>
            </w:r>
            <w:r w:rsidRPr="00B44B19">
              <w:rPr>
                <w:rFonts w:ascii="Times New Roman" w:eastAsia="Times New Roman" w:hAnsi="Times New Roman" w:cs="Times New Roman"/>
                <w:bCs/>
              </w:rPr>
              <w:t>jos</w:t>
            </w:r>
            <w:r w:rsidRPr="00B44B19">
              <w:rPr>
                <w:rFonts w:ascii="Times New Roman" w:eastAsia="Times New Roman" w:hAnsi="Times New Roman" w:cs="Times New Roman"/>
              </w:rPr>
              <w:t xml:space="preserve"> tinkamumą tiek kariniams, tiek civiliniams poreikiams</w:t>
            </w:r>
            <w:r w:rsidRPr="00B44B19">
              <w:rPr>
                <w:rFonts w:ascii="Times New Roman" w:eastAsia="Times New Roman" w:hAnsi="Times New Roman" w:cs="Times New Roman"/>
                <w:bCs/>
              </w:rPr>
              <w:t xml:space="preserve"> duotų</w:t>
            </w:r>
            <w:r w:rsidRPr="00B44B19">
              <w:rPr>
                <w:rFonts w:ascii="Times New Roman" w:eastAsia="Times New Roman" w:hAnsi="Times New Roman" w:cs="Times New Roman"/>
              </w:rPr>
              <w:t xml:space="preserve"> sinerginį efektą – padidintų tiek ekonominį potencialą, tiek saugumą, </w:t>
            </w:r>
            <w:r w:rsidRPr="00B44B19">
              <w:rPr>
                <w:rFonts w:ascii="Times New Roman" w:eastAsia="Times New Roman" w:hAnsi="Times New Roman" w:cs="Times New Roman"/>
                <w:bCs/>
              </w:rPr>
              <w:t>leistų sutrumpinti karinės technikos</w:t>
            </w:r>
            <w:r w:rsidRPr="00B44B19">
              <w:rPr>
                <w:rFonts w:ascii="Times New Roman" w:eastAsia="Times New Roman" w:hAnsi="Times New Roman" w:cs="Times New Roman"/>
              </w:rPr>
              <w:t xml:space="preserve"> dislokavimo laiką ir kartu </w:t>
            </w:r>
            <w:r w:rsidRPr="00B44B19">
              <w:rPr>
                <w:rFonts w:ascii="Times New Roman" w:eastAsia="Times New Roman" w:hAnsi="Times New Roman" w:cs="Times New Roman"/>
                <w:bCs/>
              </w:rPr>
              <w:t>sustiprintų</w:t>
            </w:r>
            <w:r w:rsidRPr="00B44B19">
              <w:rPr>
                <w:rFonts w:ascii="Times New Roman" w:eastAsia="Times New Roman" w:hAnsi="Times New Roman" w:cs="Times New Roman"/>
              </w:rPr>
              <w:t xml:space="preserve"> civilinį pasirengimą ekstremalioms situacijoms. </w:t>
            </w:r>
          </w:p>
          <w:p w14:paraId="0BD01BA8"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t xml:space="preserve">Investicijos į kelių tinklą </w:t>
            </w:r>
            <w:r w:rsidRPr="00B44B19">
              <w:rPr>
                <w:rFonts w:ascii="Times New Roman" w:eastAsia="Times New Roman" w:hAnsi="Times New Roman" w:cs="Times New Roman"/>
                <w:bCs/>
              </w:rPr>
              <w:t xml:space="preserve">skiriamos siekiant užtikrinti kelių </w:t>
            </w:r>
            <w:r w:rsidRPr="00B44B19">
              <w:rPr>
                <w:rFonts w:ascii="Times New Roman" w:eastAsia="Calibri" w:hAnsi="Times New Roman" w:cs="Times New Roman"/>
                <w:bCs/>
                <w:lang w:bidi="lt-LT"/>
              </w:rPr>
              <w:t>infrastruktūros pritaikymą dvigubos paskirties (civilinės ir karinės) reikmėms,</w:t>
            </w:r>
            <w:r w:rsidRPr="00B44B19">
              <w:rPr>
                <w:rFonts w:ascii="Times New Roman" w:eastAsia="Times New Roman" w:hAnsi="Times New Roman" w:cs="Times New Roman"/>
                <w:bCs/>
              </w:rPr>
              <w:t xml:space="preserve"> tobulinti ir plėtoti kelių techninius parametrus, tenkinančius kelių transporto apkrovimo reikalavimus, taip pat užtikrinti tinkamą eismo saugumą ir pralaidumą. Kelių infrastruktūros (tiltų, viadukų, kelių, alternatyvių koridorių ir aplinkkelių) parametrų sustiprinimas ir pritaikymas dvejopo naudojimo reikmėms tiek TEN-T, tiek ne TEN-T tinkle taip pat suteikia didelės naudos civiliniam judumui, ekonominėms jungtims ir reagavimo į krizes pajėgumams tiek šalyje, tiek ES mastu. Atitiktis ES ir NATO standartams leis užtikrinti, kad infrastruktūra būtų parengta greitam karinių, </w:t>
            </w:r>
            <w:r w:rsidRPr="00B44B19">
              <w:rPr>
                <w:rFonts w:ascii="Times New Roman" w:eastAsia="Times New Roman" w:hAnsi="Times New Roman" w:cs="Times New Roman"/>
                <w:bCs/>
                <w:color w:val="000000" w:themeColor="text1"/>
              </w:rPr>
              <w:t xml:space="preserve">skubiosios pagalbos tarnybų </w:t>
            </w:r>
            <w:r w:rsidRPr="00B44B19">
              <w:rPr>
                <w:rFonts w:ascii="Times New Roman" w:eastAsia="Times New Roman" w:hAnsi="Times New Roman" w:cs="Times New Roman"/>
                <w:bCs/>
              </w:rPr>
              <w:t xml:space="preserve">ir civilinių pajėgų dislokavimui, judėjimui ir pasirengimui atsakyti į galimas grėsmes. </w:t>
            </w:r>
          </w:p>
          <w:p w14:paraId="49C1A145" w14:textId="77777777" w:rsidR="0087201A" w:rsidRPr="00B44B19" w:rsidRDefault="0087201A" w:rsidP="002E0230">
            <w:pPr>
              <w:spacing w:before="60" w:after="60"/>
              <w:jc w:val="both"/>
              <w:rPr>
                <w:rFonts w:ascii="Times New Roman" w:hAnsi="Times New Roman" w:cs="Times New Roman"/>
                <w:bCs/>
                <w:noProof/>
              </w:rPr>
            </w:pPr>
            <w:r w:rsidRPr="00B44B19">
              <w:rPr>
                <w:rFonts w:ascii="Times New Roman" w:hAnsi="Times New Roman" w:cs="Times New Roman"/>
                <w:bCs/>
                <w:noProof/>
              </w:rPr>
              <w:t>Stiprinant karinio mobilumo galimybes</w:t>
            </w:r>
            <w:r w:rsidRPr="00B44B19">
              <w:rPr>
                <w:rFonts w:ascii="Times New Roman" w:hAnsi="Times New Roman" w:cs="Times New Roman"/>
                <w:b/>
                <w:noProof/>
              </w:rPr>
              <w:t xml:space="preserve"> geležinkelių sektoriuje</w:t>
            </w:r>
            <w:r w:rsidRPr="00B44B19">
              <w:rPr>
                <w:rFonts w:ascii="Times New Roman" w:hAnsi="Times New Roman" w:cs="Times New Roman"/>
                <w:bCs/>
                <w:noProof/>
              </w:rPr>
              <w:t xml:space="preserve">, investicijos bus nukreiptos į infrastruktūros pritaikymą dvejopo naudojimo reikmėms – tiek civiliniam, tiek kariniam transportui. Tai apims kelias sritis, įskaitant </w:t>
            </w:r>
            <w:r w:rsidRPr="00B44B19">
              <w:rPr>
                <w:rFonts w:ascii="Times New Roman" w:hAnsi="Times New Roman" w:cs="Times New Roman"/>
                <w:bCs/>
                <w:noProof/>
                <w:color w:val="000000" w:themeColor="text1"/>
              </w:rPr>
              <w:t>pervažų modernizavimą, krovinių terminalų įrengimą, geležinkelio stočių ir kitos svarbios infrastruktūros objektų gerinimą</w:t>
            </w:r>
            <w:r w:rsidRPr="00B44B19">
              <w:rPr>
                <w:rFonts w:ascii="Times New Roman" w:hAnsi="Times New Roman" w:cs="Times New Roman"/>
                <w:bCs/>
                <w:noProof/>
              </w:rPr>
              <w:t>, prisidedančias prie greitesnio karinių ir civilinių pajėgų judėjimo,</w:t>
            </w:r>
            <w:r w:rsidRPr="00B44B19">
              <w:rPr>
                <w:rFonts w:ascii="Times New Roman" w:eastAsia="Times New Roman" w:hAnsi="Times New Roman" w:cs="Times New Roman"/>
                <w:bCs/>
                <w:color w:val="000000" w:themeColor="text1"/>
              </w:rPr>
              <w:t xml:space="preserve"> gyvybiškai svarbių funkcijų tęstinumo, nacionalinio saugumo</w:t>
            </w:r>
            <w:r w:rsidRPr="00B44B19">
              <w:rPr>
                <w:rFonts w:ascii="Times New Roman" w:hAnsi="Times New Roman" w:cs="Times New Roman"/>
                <w:bCs/>
                <w:noProof/>
              </w:rPr>
              <w:t>. Tokių geležinkelių tranporto</w:t>
            </w:r>
            <w:r w:rsidRPr="00B44B19">
              <w:rPr>
                <w:rFonts w:ascii="Times New Roman" w:eastAsia="Times New Roman" w:hAnsi="Times New Roman" w:cs="Times New Roman"/>
                <w:bCs/>
                <w:color w:val="000000" w:themeColor="text1"/>
              </w:rPr>
              <w:t xml:space="preserve"> mazgų</w:t>
            </w:r>
            <w:r w:rsidRPr="00B44B19">
              <w:rPr>
                <w:rFonts w:ascii="Times New Roman" w:hAnsi="Times New Roman" w:cs="Times New Roman"/>
                <w:bCs/>
                <w:noProof/>
                <w:color w:val="000000" w:themeColor="text1"/>
              </w:rPr>
              <w:t xml:space="preserve"> infrastruktūros atitiktis ES ir NATO standartams yra būtina siekiant užtikrinti sklandų ir greitą karinės technikos judėjimą, dislokavimą, </w:t>
            </w:r>
            <w:r w:rsidRPr="00B44B19">
              <w:rPr>
                <w:rFonts w:ascii="Times New Roman" w:eastAsia="Times New Roman" w:hAnsi="Times New Roman" w:cs="Times New Roman"/>
                <w:bCs/>
                <w:color w:val="000000" w:themeColor="text1"/>
              </w:rPr>
              <w:t>būtiniausias atsargų skirstymą</w:t>
            </w:r>
            <w:r w:rsidRPr="00B44B19">
              <w:rPr>
                <w:rFonts w:ascii="Times New Roman" w:hAnsi="Times New Roman" w:cs="Times New Roman"/>
                <w:bCs/>
                <w:noProof/>
                <w:color w:val="000000" w:themeColor="text1"/>
              </w:rPr>
              <w:t xml:space="preserve"> ir pasirengimą </w:t>
            </w:r>
            <w:r w:rsidRPr="00B44B19">
              <w:rPr>
                <w:rFonts w:ascii="Times New Roman" w:hAnsi="Times New Roman" w:cs="Times New Roman"/>
                <w:bCs/>
                <w:noProof/>
              </w:rPr>
              <w:t>atsakyti į karines grėsmes.</w:t>
            </w:r>
          </w:p>
          <w:p w14:paraId="2454B879" w14:textId="77777777" w:rsidR="0087201A" w:rsidRPr="00B44B19" w:rsidRDefault="0087201A" w:rsidP="002E0230">
            <w:pPr>
              <w:spacing w:before="60" w:after="60"/>
              <w:jc w:val="both"/>
              <w:rPr>
                <w:rFonts w:ascii="Times New Roman" w:hAnsi="Times New Roman" w:cs="Times New Roman"/>
                <w:bCs/>
                <w:noProof/>
              </w:rPr>
            </w:pPr>
            <w:r w:rsidRPr="00B44B19">
              <w:rPr>
                <w:rFonts w:ascii="Times New Roman" w:hAnsi="Times New Roman" w:cs="Times New Roman"/>
                <w:bCs/>
                <w:noProof/>
              </w:rPr>
              <w:t>Veiklos dalis, finansuojama SaF lėšomis,  bus įgyvendinama visoje Lietuvoje, veiklos dalis, finansuojama ERPF lėšomis – VVL regione.</w:t>
            </w:r>
          </w:p>
          <w:p w14:paraId="6135BCB7" w14:textId="77777777" w:rsidR="0087201A" w:rsidRPr="00B44B19" w:rsidRDefault="0087201A" w:rsidP="002E0230">
            <w:pPr>
              <w:spacing w:before="60" w:after="60"/>
              <w:jc w:val="both"/>
              <w:rPr>
                <w:rFonts w:ascii="Times New Roman" w:eastAsia="Times New Roman" w:hAnsi="Times New Roman" w:cs="Times New Roman"/>
              </w:rPr>
            </w:pPr>
            <w:r w:rsidRPr="00B44B19">
              <w:rPr>
                <w:rFonts w:ascii="Times New Roman" w:hAnsi="Times New Roman" w:cs="Times New Roman"/>
                <w:color w:val="000000" w:themeColor="text1"/>
              </w:rPr>
              <w:t>Uždavinio veiklos (veiksmų rūšys) įvertintos vadovaujantis EGADP NRŽ gairėmis, todėl laikoma, kad atitinka NRŽ principą.</w:t>
            </w:r>
          </w:p>
        </w:tc>
      </w:tr>
    </w:tbl>
    <w:p w14:paraId="3AF20DB9"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Pagrindinės tikslinės grupės</w:t>
      </w:r>
    </w:p>
    <w:tbl>
      <w:tblPr>
        <w:tblStyle w:val="Lentelstinklelis2"/>
        <w:tblW w:w="0" w:type="auto"/>
        <w:tblLook w:val="04A0" w:firstRow="1" w:lastRow="0" w:firstColumn="1" w:lastColumn="0" w:noHBand="0" w:noVBand="1"/>
      </w:tblPr>
      <w:tblGrid>
        <w:gridCol w:w="9628"/>
      </w:tblGrid>
      <w:tr w:rsidR="0087201A" w:rsidRPr="00B44B19" w14:paraId="2B7A2E98" w14:textId="77777777" w:rsidTr="003040E3">
        <w:tc>
          <w:tcPr>
            <w:tcW w:w="9854" w:type="dxa"/>
          </w:tcPr>
          <w:p w14:paraId="73054021" w14:textId="77777777" w:rsidR="0087201A" w:rsidRPr="00B44B19" w:rsidRDefault="0087201A" w:rsidP="002E0230">
            <w:pPr>
              <w:autoSpaceDE w:val="0"/>
              <w:autoSpaceDN w:val="0"/>
              <w:adjustRightInd w:val="0"/>
              <w:spacing w:before="60" w:after="60"/>
              <w:jc w:val="both"/>
              <w:rPr>
                <w:rFonts w:ascii="Times New Roman" w:hAnsi="Times New Roman" w:cs="Times New Roman"/>
                <w:color w:val="000000"/>
              </w:rPr>
            </w:pPr>
            <w:r w:rsidRPr="00B44B19">
              <w:rPr>
                <w:rFonts w:ascii="Times New Roman" w:eastAsia="Calibri" w:hAnsi="Times New Roman" w:cs="Times New Roman"/>
                <w:bCs/>
                <w:color w:val="000000" w:themeColor="text1"/>
              </w:rPr>
              <w:t>Civilinės ir karinės paskirties</w:t>
            </w:r>
            <w:r w:rsidRPr="00B44B19">
              <w:rPr>
                <w:rFonts w:ascii="Times New Roman" w:eastAsia="Calibri" w:hAnsi="Times New Roman" w:cs="Times New Roman"/>
                <w:color w:val="000000" w:themeColor="text1"/>
              </w:rPr>
              <w:t xml:space="preserve"> </w:t>
            </w:r>
            <w:r w:rsidRPr="00B44B19">
              <w:rPr>
                <w:rFonts w:ascii="Times New Roman" w:eastAsia="Calibri" w:hAnsi="Times New Roman" w:cs="Times New Roman"/>
                <w:bCs/>
                <w:color w:val="000000" w:themeColor="text1"/>
              </w:rPr>
              <w:t>t</w:t>
            </w:r>
            <w:r w:rsidRPr="00B44B19">
              <w:rPr>
                <w:rFonts w:ascii="Times New Roman" w:hAnsi="Times New Roman" w:cs="Times New Roman"/>
                <w:color w:val="000000" w:themeColor="text1"/>
              </w:rPr>
              <w:t>ransporto infrastruktūros naudotojai, kuriems bus užtikrinta galimybė judėti tvariau, greičiau ir saugiau.</w:t>
            </w:r>
          </w:p>
        </w:tc>
      </w:tr>
    </w:tbl>
    <w:p w14:paraId="095A59C2"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sz w:val="22"/>
          <w:lang w:eastAsia="lt-LT" w:bidi="lt-LT"/>
        </w:rPr>
      </w:pPr>
      <w:r w:rsidRPr="00B44B19">
        <w:rPr>
          <w:rFonts w:cs="Times New Roman"/>
          <w:b/>
          <w:i/>
          <w:color w:val="1F497D" w:themeColor="text2"/>
          <w:sz w:val="22"/>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7201A" w:rsidRPr="00B44B19" w14:paraId="2120DEB8" w14:textId="77777777" w:rsidTr="003040E3">
        <w:trPr>
          <w:trHeight w:val="82"/>
        </w:trPr>
        <w:tc>
          <w:tcPr>
            <w:tcW w:w="9854" w:type="dxa"/>
          </w:tcPr>
          <w:p w14:paraId="6A322777" w14:textId="77777777" w:rsidR="0087201A" w:rsidRPr="00B44B19" w:rsidRDefault="0087201A" w:rsidP="002E0230">
            <w:pPr>
              <w:tabs>
                <w:tab w:val="center" w:pos="4819"/>
                <w:tab w:val="right" w:pos="9638"/>
              </w:tabs>
              <w:spacing w:before="60" w:after="60"/>
              <w:jc w:val="both"/>
              <w:rPr>
                <w:rFonts w:cs="Times New Roman"/>
                <w:sz w:val="22"/>
              </w:rPr>
            </w:pPr>
            <w:r w:rsidRPr="00B44B19">
              <w:rPr>
                <w:rFonts w:eastAsia="Calibri" w:cs="Times New Roman"/>
                <w:noProof/>
                <w:sz w:val="22"/>
                <w:lang w:eastAsia="lt-LT" w:bidi="lt-LT"/>
              </w:rPr>
              <w:t>Vykdant numatytas veiklas bus siekiama užtikrinti lygybės, įtraukties ir nediskriminavimo principus.</w:t>
            </w:r>
            <w:r w:rsidRPr="00B44B19">
              <w:rPr>
                <w:rFonts w:eastAsia="Calibri" w:cs="Times New Roman"/>
                <w:sz w:val="22"/>
              </w:rPr>
              <w:t xml:space="preserve"> Transporto infrastruktūra bus kuriama ir plėtojama laikantis universalaus dizaino principų ir pritaikyta naudotis žmonėms, turintiems specialiųjų poreikių.</w:t>
            </w:r>
          </w:p>
        </w:tc>
      </w:tr>
    </w:tbl>
    <w:p w14:paraId="050CEE32"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lastRenderedPageBreak/>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87201A" w:rsidRPr="00B44B19" w14:paraId="0780FA87" w14:textId="77777777" w:rsidTr="003040E3">
        <w:tc>
          <w:tcPr>
            <w:tcW w:w="9854" w:type="dxa"/>
          </w:tcPr>
          <w:p w14:paraId="5C1AB43A" w14:textId="77777777" w:rsidR="0087201A" w:rsidRPr="00B44B19" w:rsidRDefault="0087201A" w:rsidP="002E0230">
            <w:pPr>
              <w:spacing w:before="60" w:after="60" w:line="276" w:lineRule="auto"/>
              <w:jc w:val="both"/>
              <w:rPr>
                <w:rFonts w:ascii="Times New Roman" w:hAnsi="Times New Roman" w:cs="Times New Roman"/>
                <w:iCs/>
                <w:spacing w:val="-4"/>
              </w:rPr>
            </w:pPr>
            <w:r w:rsidRPr="00B44B19">
              <w:rPr>
                <w:rFonts w:ascii="Times New Roman" w:hAnsi="Times New Roman" w:cs="Times New Roman"/>
                <w:bCs/>
              </w:rPr>
              <w:t>Visa Lietuva</w:t>
            </w:r>
          </w:p>
        </w:tc>
      </w:tr>
    </w:tbl>
    <w:p w14:paraId="7A17BE45"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Tarpregioniniai, tarp sienų ir tarpvalstybiniai veiksmai</w:t>
      </w:r>
    </w:p>
    <w:tbl>
      <w:tblPr>
        <w:tblStyle w:val="Lentelstinklelis2"/>
        <w:tblW w:w="0" w:type="auto"/>
        <w:tblLook w:val="04A0" w:firstRow="1" w:lastRow="0" w:firstColumn="1" w:lastColumn="0" w:noHBand="0" w:noVBand="1"/>
      </w:tblPr>
      <w:tblGrid>
        <w:gridCol w:w="9628"/>
      </w:tblGrid>
      <w:tr w:rsidR="0087201A" w:rsidRPr="00B44B19" w14:paraId="4DB98030" w14:textId="77777777" w:rsidTr="003040E3">
        <w:tc>
          <w:tcPr>
            <w:tcW w:w="9854" w:type="dxa"/>
          </w:tcPr>
          <w:p w14:paraId="7BEB43DD" w14:textId="77777777" w:rsidR="0087201A" w:rsidRPr="00B44B19" w:rsidRDefault="0087201A" w:rsidP="002E0230">
            <w:pPr>
              <w:spacing w:before="60" w:after="60" w:line="276" w:lineRule="auto"/>
              <w:jc w:val="both"/>
              <w:rPr>
                <w:rFonts w:ascii="Times New Roman" w:eastAsia="Calibri" w:hAnsi="Times New Roman" w:cs="Times New Roman"/>
                <w:bCs/>
                <w:color w:val="000000" w:themeColor="text1"/>
              </w:rPr>
            </w:pPr>
            <w:r w:rsidRPr="00B44B19">
              <w:rPr>
                <w:rFonts w:ascii="Times New Roman" w:eastAsia="Calibri" w:hAnsi="Times New Roman" w:cs="Times New Roman"/>
                <w:bCs/>
                <w:color w:val="000000" w:themeColor="text1"/>
              </w:rPr>
              <w:t>Numatoma sudaryti visas galimybes prireikus juos atlikti.</w:t>
            </w:r>
          </w:p>
          <w:p w14:paraId="0B977D95" w14:textId="77777777" w:rsidR="0087201A" w:rsidRPr="00B44B19" w:rsidRDefault="0087201A" w:rsidP="002E0230">
            <w:pPr>
              <w:spacing w:before="60" w:after="60" w:line="276" w:lineRule="auto"/>
              <w:jc w:val="both"/>
              <w:rPr>
                <w:rFonts w:ascii="Times New Roman" w:eastAsia="Calibri" w:hAnsi="Times New Roman" w:cs="Times New Roman"/>
              </w:rPr>
            </w:pPr>
            <w:r w:rsidRPr="00B44B19">
              <w:rPr>
                <w:rFonts w:ascii="Times New Roman" w:eastAsia="Calibri" w:hAnsi="Times New Roman" w:cs="Times New Roman"/>
                <w:color w:val="000000" w:themeColor="text1"/>
              </w:rPr>
              <w:t>„Via Baltica“ transporto koridorius, kurį numatoma plėtoti bendradarbiaujant su kaimyninėmis valstybėmis, sutampa su Europos kelio E67 ruožu nuo Varšuvos iki Talino.</w:t>
            </w:r>
          </w:p>
        </w:tc>
      </w:tr>
    </w:tbl>
    <w:p w14:paraId="6077A114"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Planuojamas finansinių priemonių naudojimas</w:t>
      </w:r>
    </w:p>
    <w:tbl>
      <w:tblPr>
        <w:tblStyle w:val="Lentelstinklelis2"/>
        <w:tblW w:w="0" w:type="auto"/>
        <w:tblLook w:val="04A0" w:firstRow="1" w:lastRow="0" w:firstColumn="1" w:lastColumn="0" w:noHBand="0" w:noVBand="1"/>
      </w:tblPr>
      <w:tblGrid>
        <w:gridCol w:w="9628"/>
      </w:tblGrid>
      <w:tr w:rsidR="0087201A" w:rsidRPr="00B44B19" w14:paraId="7C87B0CD" w14:textId="77777777" w:rsidTr="003040E3">
        <w:tc>
          <w:tcPr>
            <w:tcW w:w="9854" w:type="dxa"/>
          </w:tcPr>
          <w:p w14:paraId="686B6ED4" w14:textId="77777777" w:rsidR="0087201A" w:rsidRPr="00B44B19" w:rsidRDefault="0087201A" w:rsidP="0087201A">
            <w:pPr>
              <w:spacing w:before="120" w:after="120" w:line="276" w:lineRule="auto"/>
              <w:jc w:val="both"/>
              <w:rPr>
                <w:rFonts w:ascii="Times New Roman" w:eastAsia="Calibri" w:hAnsi="Times New Roman" w:cs="Times New Roman"/>
                <w:lang w:eastAsia="lt-LT"/>
              </w:rPr>
            </w:pPr>
            <w:r w:rsidRPr="00B44B19">
              <w:rPr>
                <w:rFonts w:ascii="Times New Roman" w:eastAsia="Calibri" w:hAnsi="Times New Roman" w:cs="Times New Roman"/>
                <w:lang w:eastAsia="lt-LT"/>
              </w:rPr>
              <w:t>-</w:t>
            </w:r>
          </w:p>
        </w:tc>
      </w:tr>
    </w:tbl>
    <w:p w14:paraId="7C9696FD"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Rodikliai</w:t>
      </w:r>
    </w:p>
    <w:p w14:paraId="382B651E" w14:textId="77777777" w:rsidR="0087201A" w:rsidRPr="00B44B19" w:rsidRDefault="0087201A" w:rsidP="0087201A">
      <w:pPr>
        <w:spacing w:before="240" w:after="0" w:line="240" w:lineRule="auto"/>
        <w:jc w:val="both"/>
        <w:rPr>
          <w:rFonts w:cs="Times New Roman"/>
          <w:b/>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019"/>
        <w:gridCol w:w="708"/>
        <w:gridCol w:w="1096"/>
        <w:gridCol w:w="1173"/>
        <w:gridCol w:w="1843"/>
        <w:gridCol w:w="849"/>
        <w:gridCol w:w="992"/>
        <w:gridCol w:w="976"/>
      </w:tblGrid>
      <w:tr w:rsidR="0087201A" w:rsidRPr="00B44B19" w14:paraId="0A856747" w14:textId="77777777" w:rsidTr="003040E3">
        <w:trPr>
          <w:trHeight w:val="698"/>
          <w:tblHeader/>
        </w:trPr>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D2F774" w14:textId="77777777" w:rsidR="0087201A" w:rsidRPr="00B44B19" w:rsidRDefault="0087201A" w:rsidP="0087201A">
            <w:pPr>
              <w:spacing w:after="0" w:line="240" w:lineRule="auto"/>
              <w:jc w:val="center"/>
              <w:rPr>
                <w:rFonts w:eastAsia="Calibri" w:cs="Times New Roman"/>
                <w:b/>
                <w:sz w:val="16"/>
                <w:szCs w:val="16"/>
              </w:rPr>
            </w:pPr>
            <w:r w:rsidRPr="00B44B19">
              <w:rPr>
                <w:rFonts w:eastAsia="Calibri" w:cs="Times New Roman"/>
                <w:b/>
                <w:sz w:val="16"/>
                <w:szCs w:val="16"/>
              </w:rPr>
              <w:t>Prioritetas</w:t>
            </w:r>
          </w:p>
        </w:tc>
        <w:tc>
          <w:tcPr>
            <w:tcW w:w="5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6C08E2" w14:textId="77777777" w:rsidR="0087201A" w:rsidRPr="00B44B19" w:rsidRDefault="0087201A" w:rsidP="0087201A">
            <w:pPr>
              <w:spacing w:after="0" w:line="240" w:lineRule="auto"/>
              <w:jc w:val="center"/>
              <w:rPr>
                <w:rFonts w:eastAsia="Calibri" w:cs="Times New Roman"/>
                <w:b/>
                <w:sz w:val="16"/>
                <w:szCs w:val="16"/>
              </w:rPr>
            </w:pPr>
            <w:r w:rsidRPr="00B44B19">
              <w:rPr>
                <w:rFonts w:eastAsia="Calibri" w:cs="Times New Roman"/>
                <w:b/>
                <w:sz w:val="16"/>
                <w:szCs w:val="16"/>
              </w:rPr>
              <w:t>Konkretus uždavinys</w:t>
            </w:r>
          </w:p>
        </w:tc>
        <w:tc>
          <w:tcPr>
            <w:tcW w:w="36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9DCE18" w14:textId="77777777" w:rsidR="0087201A" w:rsidRPr="00B44B19" w:rsidRDefault="0087201A" w:rsidP="0087201A">
            <w:pPr>
              <w:spacing w:after="0" w:line="240" w:lineRule="auto"/>
              <w:ind w:left="-112" w:right="-109"/>
              <w:jc w:val="center"/>
              <w:rPr>
                <w:rFonts w:eastAsia="Calibri" w:cs="Times New Roman"/>
                <w:b/>
                <w:sz w:val="16"/>
                <w:szCs w:val="16"/>
              </w:rPr>
            </w:pPr>
            <w:r w:rsidRPr="00B44B19">
              <w:rPr>
                <w:rFonts w:eastAsia="Calibri" w:cs="Times New Roman"/>
                <w:b/>
                <w:sz w:val="16"/>
                <w:szCs w:val="16"/>
              </w:rPr>
              <w:t>Fondas</w:t>
            </w:r>
          </w:p>
        </w:tc>
        <w:tc>
          <w:tcPr>
            <w:tcW w:w="5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F862A2" w14:textId="77777777" w:rsidR="0087201A" w:rsidRPr="00B44B19" w:rsidRDefault="0087201A" w:rsidP="0087201A">
            <w:pPr>
              <w:spacing w:after="0" w:line="240" w:lineRule="auto"/>
              <w:jc w:val="center"/>
              <w:rPr>
                <w:rFonts w:eastAsia="Calibri" w:cs="Times New Roman"/>
                <w:b/>
                <w:sz w:val="16"/>
                <w:szCs w:val="16"/>
              </w:rPr>
            </w:pPr>
            <w:r w:rsidRPr="00B44B19">
              <w:rPr>
                <w:rFonts w:eastAsia="Calibri" w:cs="Times New Roman"/>
                <w:b/>
                <w:sz w:val="16"/>
                <w:szCs w:val="16"/>
              </w:rPr>
              <w:t>Regiono kategorija</w:t>
            </w:r>
          </w:p>
        </w:tc>
        <w:tc>
          <w:tcPr>
            <w:tcW w:w="61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ECBAB0" w14:textId="77777777" w:rsidR="0087201A" w:rsidRPr="00B44B19" w:rsidRDefault="0087201A" w:rsidP="0087201A">
            <w:pPr>
              <w:spacing w:after="0" w:line="240" w:lineRule="auto"/>
              <w:ind w:left="-72" w:right="-109"/>
              <w:jc w:val="center"/>
              <w:rPr>
                <w:rFonts w:eastAsia="Calibri" w:cs="Times New Roman"/>
                <w:b/>
                <w:sz w:val="16"/>
                <w:szCs w:val="16"/>
              </w:rPr>
            </w:pPr>
            <w:r w:rsidRPr="00B44B19">
              <w:rPr>
                <w:rFonts w:eastAsia="Calibri" w:cs="Times New Roman"/>
                <w:b/>
                <w:sz w:val="16"/>
                <w:szCs w:val="16"/>
              </w:rPr>
              <w:t>Identifikavimo numeris</w:t>
            </w:r>
          </w:p>
        </w:tc>
        <w:tc>
          <w:tcPr>
            <w:tcW w:w="95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C2E9FA" w14:textId="77777777" w:rsidR="0087201A" w:rsidRPr="00B44B19" w:rsidRDefault="0087201A" w:rsidP="0087201A">
            <w:pPr>
              <w:spacing w:after="0" w:line="240" w:lineRule="auto"/>
              <w:jc w:val="center"/>
              <w:rPr>
                <w:rFonts w:eastAsia="Calibri" w:cs="Times New Roman"/>
                <w:b/>
                <w:sz w:val="16"/>
                <w:szCs w:val="16"/>
              </w:rPr>
            </w:pPr>
            <w:r w:rsidRPr="00B44B19">
              <w:rPr>
                <w:rFonts w:eastAsia="Calibri" w:cs="Times New Roman"/>
                <w:b/>
                <w:sz w:val="16"/>
                <w:szCs w:val="16"/>
              </w:rPr>
              <w:t>Rodiklis</w:t>
            </w:r>
          </w:p>
        </w:tc>
        <w:tc>
          <w:tcPr>
            <w:tcW w:w="44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96CEFF" w14:textId="77777777" w:rsidR="0087201A" w:rsidRPr="00B44B19" w:rsidRDefault="0087201A" w:rsidP="0087201A">
            <w:pPr>
              <w:spacing w:after="0" w:line="240" w:lineRule="auto"/>
              <w:ind w:left="-112" w:right="-104"/>
              <w:jc w:val="center"/>
              <w:rPr>
                <w:rFonts w:eastAsia="Calibri" w:cs="Times New Roman"/>
                <w:b/>
                <w:sz w:val="16"/>
                <w:szCs w:val="16"/>
              </w:rPr>
            </w:pPr>
            <w:r w:rsidRPr="00B44B19">
              <w:rPr>
                <w:rFonts w:eastAsia="Calibri" w:cs="Times New Roman"/>
                <w:b/>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8FE8CD" w14:textId="77777777" w:rsidR="0087201A" w:rsidRPr="00B44B19" w:rsidRDefault="0087201A" w:rsidP="0087201A">
            <w:pPr>
              <w:spacing w:after="0" w:line="240" w:lineRule="auto"/>
              <w:jc w:val="center"/>
              <w:rPr>
                <w:rFonts w:eastAsia="Calibri" w:cs="Times New Roman"/>
                <w:b/>
                <w:sz w:val="16"/>
                <w:szCs w:val="16"/>
              </w:rPr>
            </w:pPr>
            <w:r w:rsidRPr="00B44B19">
              <w:rPr>
                <w:rFonts w:eastAsia="Calibri" w:cs="Times New Roman"/>
                <w:b/>
                <w:sz w:val="16"/>
                <w:szCs w:val="16"/>
              </w:rPr>
              <w:t>Tarpinė reikšmė (2024 m.)</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E2C3FD" w14:textId="77777777" w:rsidR="0087201A" w:rsidRPr="00B44B19" w:rsidRDefault="0087201A" w:rsidP="0087201A">
            <w:pPr>
              <w:spacing w:after="0" w:line="240" w:lineRule="auto"/>
              <w:jc w:val="center"/>
              <w:rPr>
                <w:rFonts w:eastAsia="Calibri" w:cs="Times New Roman"/>
                <w:b/>
                <w:sz w:val="16"/>
                <w:szCs w:val="16"/>
              </w:rPr>
            </w:pPr>
            <w:r w:rsidRPr="00B44B19">
              <w:rPr>
                <w:rFonts w:eastAsia="Calibri" w:cs="Times New Roman"/>
                <w:b/>
                <w:sz w:val="16"/>
                <w:szCs w:val="16"/>
              </w:rPr>
              <w:t>Siektina reikšmė (2029 m.)</w:t>
            </w:r>
          </w:p>
        </w:tc>
      </w:tr>
      <w:tr w:rsidR="0087201A" w:rsidRPr="00B44B19" w14:paraId="412A64A5" w14:textId="77777777" w:rsidTr="003040E3">
        <w:trPr>
          <w:trHeight w:val="340"/>
        </w:trPr>
        <w:tc>
          <w:tcPr>
            <w:tcW w:w="495" w:type="pct"/>
            <w:vMerge w:val="restart"/>
          </w:tcPr>
          <w:p w14:paraId="3AD7C245"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 xml:space="preserve">14. </w:t>
            </w:r>
          </w:p>
        </w:tc>
        <w:tc>
          <w:tcPr>
            <w:tcW w:w="530" w:type="pct"/>
            <w:vMerge w:val="restart"/>
          </w:tcPr>
          <w:p w14:paraId="0244A2BE"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14.1</w:t>
            </w:r>
          </w:p>
        </w:tc>
        <w:tc>
          <w:tcPr>
            <w:tcW w:w="368" w:type="pct"/>
          </w:tcPr>
          <w:p w14:paraId="1E24060D"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SaF</w:t>
            </w:r>
          </w:p>
        </w:tc>
        <w:tc>
          <w:tcPr>
            <w:tcW w:w="570" w:type="pct"/>
          </w:tcPr>
          <w:p w14:paraId="6708EEF3"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Visa Lietuva</w:t>
            </w:r>
          </w:p>
        </w:tc>
        <w:tc>
          <w:tcPr>
            <w:tcW w:w="610" w:type="pct"/>
          </w:tcPr>
          <w:p w14:paraId="5CC3C308" w14:textId="77777777" w:rsidR="0087201A" w:rsidRPr="00B44B19" w:rsidRDefault="0087201A" w:rsidP="0087201A">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RCO45</w:t>
            </w:r>
          </w:p>
        </w:tc>
        <w:tc>
          <w:tcPr>
            <w:tcW w:w="959" w:type="pct"/>
          </w:tcPr>
          <w:p w14:paraId="5D1DF32E" w14:textId="77777777" w:rsidR="0087201A" w:rsidRPr="00B44B19" w:rsidRDefault="0087201A" w:rsidP="0087201A">
            <w:pPr>
              <w:spacing w:after="4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Rekonstruotų arba modernizuotų kelių ilgis – TEN-T</w:t>
            </w:r>
          </w:p>
        </w:tc>
        <w:tc>
          <w:tcPr>
            <w:tcW w:w="442" w:type="pct"/>
          </w:tcPr>
          <w:p w14:paraId="61070D6A"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Km</w:t>
            </w:r>
          </w:p>
        </w:tc>
        <w:tc>
          <w:tcPr>
            <w:tcW w:w="516" w:type="pct"/>
          </w:tcPr>
          <w:p w14:paraId="669A9650"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0</w:t>
            </w:r>
          </w:p>
        </w:tc>
        <w:tc>
          <w:tcPr>
            <w:tcW w:w="508" w:type="pct"/>
          </w:tcPr>
          <w:p w14:paraId="5385701A" w14:textId="77777777" w:rsidR="0087201A" w:rsidRPr="00B44B19" w:rsidRDefault="0087201A" w:rsidP="0087201A">
            <w:pPr>
              <w:spacing w:after="0" w:line="240" w:lineRule="auto"/>
              <w:jc w:val="center"/>
              <w:rPr>
                <w:rFonts w:eastAsia="Times New Roman" w:cs="Times New Roman"/>
                <w:bCs/>
                <w:iCs/>
                <w:noProof/>
                <w:color w:val="0070C0"/>
                <w:sz w:val="16"/>
                <w:szCs w:val="16"/>
              </w:rPr>
            </w:pPr>
            <w:r w:rsidRPr="00B44B19">
              <w:rPr>
                <w:rFonts w:eastAsia="Times New Roman" w:cs="Times New Roman"/>
                <w:sz w:val="16"/>
                <w:szCs w:val="16"/>
              </w:rPr>
              <w:t>1,44</w:t>
            </w:r>
          </w:p>
        </w:tc>
      </w:tr>
      <w:tr w:rsidR="0087201A" w:rsidRPr="00B44B19" w14:paraId="4C0C92BD" w14:textId="77777777" w:rsidTr="003040E3">
        <w:trPr>
          <w:trHeight w:val="553"/>
        </w:trPr>
        <w:tc>
          <w:tcPr>
            <w:tcW w:w="495" w:type="pct"/>
            <w:vMerge/>
          </w:tcPr>
          <w:p w14:paraId="1263E78F" w14:textId="77777777" w:rsidR="0087201A" w:rsidRPr="00B44B19" w:rsidRDefault="0087201A" w:rsidP="0087201A">
            <w:pPr>
              <w:rPr>
                <w:rFonts w:cs="Times New Roman"/>
              </w:rPr>
            </w:pPr>
          </w:p>
        </w:tc>
        <w:tc>
          <w:tcPr>
            <w:tcW w:w="530" w:type="pct"/>
            <w:vMerge/>
          </w:tcPr>
          <w:p w14:paraId="1DB715B8" w14:textId="77777777" w:rsidR="0087201A" w:rsidRPr="00B44B19" w:rsidRDefault="0087201A" w:rsidP="0087201A">
            <w:pPr>
              <w:rPr>
                <w:rFonts w:cs="Times New Roman"/>
              </w:rPr>
            </w:pPr>
          </w:p>
        </w:tc>
        <w:tc>
          <w:tcPr>
            <w:tcW w:w="368" w:type="pct"/>
            <w:tcBorders>
              <w:top w:val="nil"/>
              <w:left w:val="single" w:sz="4" w:space="0" w:color="auto"/>
              <w:bottom w:val="single" w:sz="4" w:space="0" w:color="auto"/>
              <w:right w:val="single" w:sz="4" w:space="0" w:color="auto"/>
            </w:tcBorders>
          </w:tcPr>
          <w:p w14:paraId="13C8F33C" w14:textId="77777777" w:rsidR="0087201A" w:rsidRPr="00B44B19" w:rsidRDefault="0087201A" w:rsidP="0087201A">
            <w:pPr>
              <w:spacing w:line="240" w:lineRule="auto"/>
              <w:rPr>
                <w:rFonts w:eastAsia="Calibri" w:cs="Times New Roman"/>
                <w:sz w:val="16"/>
                <w:szCs w:val="16"/>
              </w:rPr>
            </w:pPr>
          </w:p>
        </w:tc>
        <w:tc>
          <w:tcPr>
            <w:tcW w:w="570" w:type="pct"/>
            <w:tcBorders>
              <w:top w:val="nil"/>
              <w:left w:val="single" w:sz="4" w:space="0" w:color="auto"/>
              <w:bottom w:val="single" w:sz="4" w:space="0" w:color="auto"/>
              <w:right w:val="single" w:sz="4" w:space="0" w:color="auto"/>
            </w:tcBorders>
          </w:tcPr>
          <w:p w14:paraId="1F2811E7" w14:textId="77777777" w:rsidR="0087201A" w:rsidRPr="00B44B19" w:rsidRDefault="0087201A" w:rsidP="0087201A">
            <w:pPr>
              <w:spacing w:line="240" w:lineRule="auto"/>
              <w:rPr>
                <w:rFonts w:eastAsia="Calibri" w:cs="Times New Roman"/>
                <w:sz w:val="16"/>
                <w:szCs w:val="16"/>
              </w:rPr>
            </w:pPr>
          </w:p>
        </w:tc>
        <w:tc>
          <w:tcPr>
            <w:tcW w:w="610" w:type="pct"/>
          </w:tcPr>
          <w:p w14:paraId="5F437ADF" w14:textId="77777777" w:rsidR="0087201A" w:rsidRPr="00B44B19" w:rsidRDefault="0087201A" w:rsidP="0087201A">
            <w:pPr>
              <w:spacing w:after="0" w:line="240" w:lineRule="auto"/>
              <w:rPr>
                <w:rFonts w:eastAsia="Calibri" w:cs="Times New Roman"/>
                <w:noProof/>
                <w:sz w:val="16"/>
                <w:szCs w:val="16"/>
                <w:lang w:eastAsia="lt-LT" w:bidi="lt-LT"/>
              </w:rPr>
            </w:pPr>
            <w:r w:rsidRPr="00B44B19">
              <w:rPr>
                <w:rFonts w:eastAsia="Calibri" w:cs="Times New Roman"/>
                <w:noProof/>
                <w:sz w:val="16"/>
                <w:szCs w:val="16"/>
                <w:lang w:eastAsia="lt-LT" w:bidi="lt-LT"/>
              </w:rPr>
              <w:t xml:space="preserve">RCO129 </w:t>
            </w:r>
          </w:p>
          <w:p w14:paraId="3ACDA071" w14:textId="77777777" w:rsidR="0087201A" w:rsidRPr="00B44B19" w:rsidRDefault="0087201A" w:rsidP="0087201A">
            <w:pPr>
              <w:spacing w:after="0" w:line="240" w:lineRule="auto"/>
              <w:rPr>
                <w:rFonts w:eastAsia="Calibri" w:cs="Times New Roman"/>
                <w:i/>
                <w:iCs/>
                <w:noProof/>
                <w:sz w:val="16"/>
                <w:szCs w:val="16"/>
                <w:lang w:eastAsia="lt-LT" w:bidi="lt-LT"/>
              </w:rPr>
            </w:pPr>
          </w:p>
        </w:tc>
        <w:tc>
          <w:tcPr>
            <w:tcW w:w="959" w:type="pct"/>
          </w:tcPr>
          <w:p w14:paraId="7D90EA4F" w14:textId="1929CB00" w:rsidR="0087201A" w:rsidRPr="00B44B19" w:rsidRDefault="0087201A" w:rsidP="0087201A">
            <w:pPr>
              <w:widowControl w:val="0"/>
              <w:spacing w:after="0" w:line="240" w:lineRule="auto"/>
              <w:rPr>
                <w:rFonts w:eastAsia="Calibri" w:cs="Times New Roman"/>
                <w:noProof/>
                <w:sz w:val="16"/>
                <w:szCs w:val="16"/>
                <w:lang w:eastAsia="lt-LT" w:bidi="lt-LT"/>
              </w:rPr>
            </w:pPr>
            <w:r w:rsidRPr="00B44B19">
              <w:rPr>
                <w:rFonts w:eastAsia="Calibri" w:cs="Times New Roman"/>
                <w:sz w:val="16"/>
                <w:szCs w:val="16"/>
                <w:lang w:eastAsia="lt-LT" w:bidi="lt-LT"/>
              </w:rPr>
              <w:t>Infrastruktūra, pritaikyta prie karinio mobilumo reikalavimų</w:t>
            </w:r>
          </w:p>
        </w:tc>
        <w:tc>
          <w:tcPr>
            <w:tcW w:w="442" w:type="pct"/>
          </w:tcPr>
          <w:p w14:paraId="3B79E20B" w14:textId="77777777" w:rsidR="0087201A" w:rsidRPr="00B44B19" w:rsidRDefault="0087201A" w:rsidP="0087201A">
            <w:pPr>
              <w:spacing w:line="240" w:lineRule="auto"/>
              <w:rPr>
                <w:rFonts w:eastAsia="Calibri" w:cs="Times New Roman"/>
                <w:sz w:val="16"/>
                <w:szCs w:val="16"/>
              </w:rPr>
            </w:pPr>
            <w:r w:rsidRPr="00B44B19">
              <w:rPr>
                <w:rFonts w:eastAsia="Calibri" w:cs="Times New Roman"/>
                <w:sz w:val="16"/>
                <w:szCs w:val="16"/>
              </w:rPr>
              <w:t>Projektai</w:t>
            </w:r>
          </w:p>
        </w:tc>
        <w:tc>
          <w:tcPr>
            <w:tcW w:w="516" w:type="pct"/>
          </w:tcPr>
          <w:p w14:paraId="4DE197E3" w14:textId="77777777" w:rsidR="0087201A" w:rsidRPr="00B44B19" w:rsidRDefault="0087201A" w:rsidP="0087201A">
            <w:pPr>
              <w:spacing w:line="240" w:lineRule="auto"/>
              <w:jc w:val="center"/>
              <w:rPr>
                <w:rFonts w:eastAsia="Calibri" w:cs="Times New Roman"/>
                <w:sz w:val="16"/>
                <w:szCs w:val="16"/>
              </w:rPr>
            </w:pPr>
            <w:r w:rsidRPr="00B44B19">
              <w:rPr>
                <w:rFonts w:eastAsia="Calibri" w:cs="Times New Roman"/>
                <w:sz w:val="16"/>
                <w:szCs w:val="16"/>
              </w:rPr>
              <w:t>0</w:t>
            </w:r>
          </w:p>
        </w:tc>
        <w:tc>
          <w:tcPr>
            <w:tcW w:w="508" w:type="pct"/>
          </w:tcPr>
          <w:p w14:paraId="628CBBC6"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10</w:t>
            </w:r>
            <w:r w:rsidRPr="00B44B19">
              <w:rPr>
                <w:rFonts w:eastAsia="Calibri" w:cs="Times New Roman"/>
                <w:i/>
                <w:iCs/>
                <w:noProof/>
                <w:color w:val="0070C0"/>
                <w:sz w:val="16"/>
                <w:szCs w:val="16"/>
                <w:lang w:eastAsia="lt-LT" w:bidi="lt-LT"/>
              </w:rPr>
              <w:t xml:space="preserve"> </w:t>
            </w:r>
          </w:p>
        </w:tc>
      </w:tr>
      <w:tr w:rsidR="0087201A" w:rsidRPr="00B44B19" w14:paraId="7273E919" w14:textId="77777777" w:rsidTr="003040E3">
        <w:trPr>
          <w:trHeight w:val="340"/>
        </w:trPr>
        <w:tc>
          <w:tcPr>
            <w:tcW w:w="495" w:type="pct"/>
            <w:vMerge/>
          </w:tcPr>
          <w:p w14:paraId="19664783" w14:textId="77777777" w:rsidR="0087201A" w:rsidRPr="00B44B19" w:rsidRDefault="0087201A" w:rsidP="0087201A">
            <w:pPr>
              <w:spacing w:after="0" w:line="240" w:lineRule="auto"/>
              <w:rPr>
                <w:rFonts w:eastAsia="Calibri" w:cs="Times New Roman"/>
                <w:sz w:val="16"/>
                <w:szCs w:val="16"/>
              </w:rPr>
            </w:pPr>
          </w:p>
        </w:tc>
        <w:tc>
          <w:tcPr>
            <w:tcW w:w="530" w:type="pct"/>
            <w:vMerge/>
          </w:tcPr>
          <w:p w14:paraId="03D220D2" w14:textId="77777777" w:rsidR="0087201A" w:rsidRPr="00B44B19" w:rsidRDefault="0087201A" w:rsidP="0087201A">
            <w:pPr>
              <w:spacing w:after="0" w:line="240" w:lineRule="auto"/>
              <w:rPr>
                <w:rFonts w:eastAsia="Calibri" w:cs="Times New Roman"/>
                <w:sz w:val="16"/>
                <w:szCs w:val="16"/>
              </w:rPr>
            </w:pPr>
          </w:p>
        </w:tc>
        <w:tc>
          <w:tcPr>
            <w:tcW w:w="368" w:type="pct"/>
            <w:vMerge w:val="restart"/>
            <w:tcBorders>
              <w:top w:val="single" w:sz="4" w:space="0" w:color="auto"/>
            </w:tcBorders>
          </w:tcPr>
          <w:p w14:paraId="2F41BC8E"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ERPF</w:t>
            </w:r>
          </w:p>
        </w:tc>
        <w:tc>
          <w:tcPr>
            <w:tcW w:w="570" w:type="pct"/>
            <w:vMerge w:val="restart"/>
            <w:tcBorders>
              <w:top w:val="single" w:sz="4" w:space="0" w:color="auto"/>
            </w:tcBorders>
          </w:tcPr>
          <w:p w14:paraId="07EB6A22" w14:textId="77777777" w:rsidR="0087201A" w:rsidRPr="00B44B19" w:rsidRDefault="0087201A" w:rsidP="0087201A">
            <w:pPr>
              <w:spacing w:after="40" w:line="240" w:lineRule="auto"/>
              <w:rPr>
                <w:rFonts w:eastAsia="Calibri" w:cs="Times New Roman"/>
                <w:sz w:val="16"/>
                <w:szCs w:val="16"/>
              </w:rPr>
            </w:pPr>
            <w:r w:rsidRPr="00B44B19">
              <w:rPr>
                <w:rFonts w:eastAsia="Calibri" w:cs="Times New Roman"/>
                <w:sz w:val="16"/>
                <w:szCs w:val="16"/>
              </w:rPr>
              <w:t>VVL regionas</w:t>
            </w:r>
          </w:p>
        </w:tc>
        <w:tc>
          <w:tcPr>
            <w:tcW w:w="610" w:type="pct"/>
          </w:tcPr>
          <w:p w14:paraId="6D5345F5" w14:textId="77777777" w:rsidR="0087201A" w:rsidRPr="00B44B19" w:rsidRDefault="0087201A" w:rsidP="0087201A">
            <w:pPr>
              <w:spacing w:after="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RCO45</w:t>
            </w:r>
          </w:p>
        </w:tc>
        <w:tc>
          <w:tcPr>
            <w:tcW w:w="959" w:type="pct"/>
          </w:tcPr>
          <w:p w14:paraId="2EAFBD45" w14:textId="77777777" w:rsidR="0087201A" w:rsidRPr="00B44B19" w:rsidRDefault="0087201A" w:rsidP="0087201A">
            <w:pPr>
              <w:spacing w:after="40" w:line="240" w:lineRule="auto"/>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 xml:space="preserve">Rekonstruotų arba modernizuotų kelių ilgis – TEN-T </w:t>
            </w:r>
          </w:p>
        </w:tc>
        <w:tc>
          <w:tcPr>
            <w:tcW w:w="442" w:type="pct"/>
          </w:tcPr>
          <w:p w14:paraId="26FCBDE2"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Km</w:t>
            </w:r>
          </w:p>
        </w:tc>
        <w:tc>
          <w:tcPr>
            <w:tcW w:w="516" w:type="pct"/>
          </w:tcPr>
          <w:p w14:paraId="490D5B52" w14:textId="77777777" w:rsidR="0087201A" w:rsidRPr="00B44B19" w:rsidRDefault="0087201A" w:rsidP="0087201A">
            <w:pPr>
              <w:spacing w:after="0" w:line="240" w:lineRule="auto"/>
              <w:jc w:val="center"/>
              <w:rPr>
                <w:rFonts w:eastAsia="Calibri" w:cs="Times New Roman"/>
                <w:sz w:val="16"/>
                <w:szCs w:val="16"/>
                <w:lang w:val="en-US"/>
              </w:rPr>
            </w:pPr>
            <w:r w:rsidRPr="00B44B19">
              <w:rPr>
                <w:rFonts w:eastAsia="Calibri" w:cs="Times New Roman"/>
                <w:sz w:val="16"/>
                <w:szCs w:val="16"/>
                <w:lang w:val="en-US"/>
              </w:rPr>
              <w:t>0</w:t>
            </w:r>
          </w:p>
        </w:tc>
        <w:tc>
          <w:tcPr>
            <w:tcW w:w="508" w:type="pct"/>
          </w:tcPr>
          <w:p w14:paraId="207538ED" w14:textId="77777777" w:rsidR="0087201A" w:rsidRPr="00B44B19" w:rsidRDefault="0087201A" w:rsidP="0087201A">
            <w:pPr>
              <w:spacing w:after="0" w:line="240" w:lineRule="auto"/>
              <w:jc w:val="center"/>
              <w:rPr>
                <w:rFonts w:eastAsia="Calibri" w:cs="Times New Roman"/>
                <w:noProof/>
                <w:color w:val="000000" w:themeColor="text1"/>
                <w:sz w:val="16"/>
                <w:szCs w:val="16"/>
              </w:rPr>
            </w:pPr>
            <w:r w:rsidRPr="00B44B19">
              <w:rPr>
                <w:rFonts w:eastAsia="Calibri" w:cs="Times New Roman"/>
                <w:noProof/>
                <w:color w:val="000000" w:themeColor="text1"/>
                <w:sz w:val="16"/>
                <w:szCs w:val="16"/>
              </w:rPr>
              <w:t>17,57</w:t>
            </w:r>
          </w:p>
          <w:p w14:paraId="4C15914C" w14:textId="77777777" w:rsidR="0087201A" w:rsidRPr="00B44B19" w:rsidRDefault="0087201A" w:rsidP="0087201A">
            <w:pPr>
              <w:spacing w:after="0" w:line="240" w:lineRule="auto"/>
              <w:jc w:val="center"/>
              <w:rPr>
                <w:rFonts w:eastAsia="Calibri" w:cs="Times New Roman"/>
                <w:b/>
                <w:sz w:val="16"/>
                <w:szCs w:val="16"/>
              </w:rPr>
            </w:pPr>
          </w:p>
        </w:tc>
      </w:tr>
      <w:tr w:rsidR="0087201A" w:rsidRPr="00B44B19" w14:paraId="7D655AE4" w14:textId="77777777" w:rsidTr="003040E3">
        <w:trPr>
          <w:trHeight w:val="340"/>
        </w:trPr>
        <w:tc>
          <w:tcPr>
            <w:tcW w:w="495" w:type="pct"/>
            <w:vMerge/>
          </w:tcPr>
          <w:p w14:paraId="63C251C6" w14:textId="77777777" w:rsidR="0087201A" w:rsidRPr="00B44B19" w:rsidRDefault="0087201A" w:rsidP="0087201A">
            <w:pPr>
              <w:spacing w:after="0" w:line="240" w:lineRule="auto"/>
              <w:rPr>
                <w:rFonts w:eastAsia="Calibri" w:cs="Times New Roman"/>
                <w:sz w:val="16"/>
                <w:szCs w:val="16"/>
              </w:rPr>
            </w:pPr>
          </w:p>
        </w:tc>
        <w:tc>
          <w:tcPr>
            <w:tcW w:w="530" w:type="pct"/>
            <w:vMerge/>
          </w:tcPr>
          <w:p w14:paraId="30C81623" w14:textId="77777777" w:rsidR="0087201A" w:rsidRPr="00B44B19" w:rsidRDefault="0087201A" w:rsidP="0087201A">
            <w:pPr>
              <w:spacing w:after="0" w:line="240" w:lineRule="auto"/>
              <w:rPr>
                <w:rFonts w:eastAsia="Calibri" w:cs="Times New Roman"/>
                <w:sz w:val="16"/>
                <w:szCs w:val="16"/>
              </w:rPr>
            </w:pPr>
          </w:p>
        </w:tc>
        <w:tc>
          <w:tcPr>
            <w:tcW w:w="368" w:type="pct"/>
            <w:vMerge/>
          </w:tcPr>
          <w:p w14:paraId="07060433" w14:textId="77777777" w:rsidR="0087201A" w:rsidRPr="00B44B19" w:rsidRDefault="0087201A" w:rsidP="0087201A">
            <w:pPr>
              <w:spacing w:after="0" w:line="240" w:lineRule="auto"/>
              <w:rPr>
                <w:rFonts w:eastAsia="Calibri" w:cs="Times New Roman"/>
                <w:sz w:val="16"/>
                <w:szCs w:val="16"/>
              </w:rPr>
            </w:pPr>
          </w:p>
        </w:tc>
        <w:tc>
          <w:tcPr>
            <w:tcW w:w="570" w:type="pct"/>
            <w:vMerge/>
          </w:tcPr>
          <w:p w14:paraId="0CDBD6F2" w14:textId="77777777" w:rsidR="0087201A" w:rsidRPr="00B44B19" w:rsidRDefault="0087201A" w:rsidP="0087201A">
            <w:pPr>
              <w:spacing w:after="40" w:line="240" w:lineRule="auto"/>
              <w:rPr>
                <w:rFonts w:eastAsia="Calibri" w:cs="Times New Roman"/>
                <w:sz w:val="16"/>
                <w:szCs w:val="16"/>
              </w:rPr>
            </w:pPr>
          </w:p>
        </w:tc>
        <w:tc>
          <w:tcPr>
            <w:tcW w:w="610" w:type="pct"/>
          </w:tcPr>
          <w:p w14:paraId="68D1C127" w14:textId="77777777" w:rsidR="0087201A" w:rsidRPr="00B44B19" w:rsidRDefault="0087201A" w:rsidP="0087201A">
            <w:pPr>
              <w:spacing w:after="0" w:line="240" w:lineRule="auto"/>
              <w:rPr>
                <w:rFonts w:eastAsia="Calibri" w:cs="Times New Roman"/>
                <w:noProof/>
                <w:color w:val="000000"/>
                <w:sz w:val="16"/>
                <w:szCs w:val="16"/>
                <w:lang w:eastAsia="lt-LT" w:bidi="lt-LT"/>
              </w:rPr>
            </w:pPr>
            <w:r w:rsidRPr="00B44B19">
              <w:rPr>
                <w:rFonts w:eastAsia="Calibri" w:cs="Times New Roman"/>
                <w:noProof/>
                <w:sz w:val="16"/>
                <w:szCs w:val="16"/>
                <w:lang w:eastAsia="lt-LT" w:bidi="lt-LT"/>
              </w:rPr>
              <w:t>RCO46</w:t>
            </w:r>
          </w:p>
        </w:tc>
        <w:tc>
          <w:tcPr>
            <w:tcW w:w="959" w:type="pct"/>
          </w:tcPr>
          <w:p w14:paraId="51EBDAB2" w14:textId="77777777" w:rsidR="0087201A" w:rsidRPr="00B44B19" w:rsidRDefault="0087201A" w:rsidP="0087201A">
            <w:pPr>
              <w:spacing w:after="40" w:line="240" w:lineRule="auto"/>
              <w:rPr>
                <w:rFonts w:eastAsia="Calibri" w:cs="Times New Roman"/>
                <w:noProof/>
                <w:color w:val="000000"/>
                <w:sz w:val="16"/>
                <w:szCs w:val="16"/>
                <w:lang w:eastAsia="lt-LT" w:bidi="lt-LT"/>
              </w:rPr>
            </w:pPr>
            <w:r w:rsidRPr="00B44B19">
              <w:rPr>
                <w:rFonts w:eastAsia="Calibri" w:cs="Times New Roman"/>
                <w:noProof/>
                <w:sz w:val="16"/>
                <w:szCs w:val="16"/>
                <w:lang w:eastAsia="lt-LT" w:bidi="lt-LT"/>
              </w:rPr>
              <w:t>Rekonstruotų arba modernizuotų kelių ilgis – ne TEN-T</w:t>
            </w:r>
          </w:p>
        </w:tc>
        <w:tc>
          <w:tcPr>
            <w:tcW w:w="442" w:type="pct"/>
          </w:tcPr>
          <w:p w14:paraId="6031BD39"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Km</w:t>
            </w:r>
          </w:p>
        </w:tc>
        <w:tc>
          <w:tcPr>
            <w:tcW w:w="516" w:type="pct"/>
          </w:tcPr>
          <w:p w14:paraId="6F351663" w14:textId="77777777" w:rsidR="0087201A" w:rsidRPr="00B44B19" w:rsidRDefault="0087201A" w:rsidP="0087201A">
            <w:pPr>
              <w:spacing w:after="0" w:line="240" w:lineRule="auto"/>
              <w:jc w:val="center"/>
              <w:rPr>
                <w:rFonts w:eastAsia="Calibri" w:cs="Times New Roman"/>
                <w:sz w:val="16"/>
                <w:szCs w:val="16"/>
                <w:lang w:val="en-US"/>
              </w:rPr>
            </w:pPr>
            <w:r w:rsidRPr="00B44B19">
              <w:rPr>
                <w:rFonts w:eastAsia="Calibri" w:cs="Times New Roman"/>
                <w:sz w:val="16"/>
                <w:szCs w:val="16"/>
                <w:lang w:val="en-US"/>
              </w:rPr>
              <w:t>0</w:t>
            </w:r>
          </w:p>
        </w:tc>
        <w:tc>
          <w:tcPr>
            <w:tcW w:w="508" w:type="pct"/>
          </w:tcPr>
          <w:p w14:paraId="62A8B645" w14:textId="77777777" w:rsidR="0087201A" w:rsidRPr="00B44B19" w:rsidRDefault="0087201A" w:rsidP="0087201A">
            <w:pPr>
              <w:spacing w:after="0" w:line="240" w:lineRule="auto"/>
              <w:jc w:val="center"/>
              <w:rPr>
                <w:rFonts w:eastAsia="Calibri" w:cs="Times New Roman"/>
                <w:noProof/>
                <w:color w:val="000000" w:themeColor="text1"/>
                <w:sz w:val="16"/>
                <w:szCs w:val="16"/>
              </w:rPr>
            </w:pPr>
            <w:r w:rsidRPr="00B44B19">
              <w:rPr>
                <w:rFonts w:eastAsia="Calibri" w:cs="Times New Roman"/>
                <w:noProof/>
                <w:color w:val="000000" w:themeColor="text1"/>
                <w:sz w:val="16"/>
                <w:szCs w:val="16"/>
              </w:rPr>
              <w:t>16,03</w:t>
            </w:r>
          </w:p>
        </w:tc>
      </w:tr>
    </w:tbl>
    <w:p w14:paraId="345CD743" w14:textId="77777777" w:rsidR="0087201A" w:rsidRPr="00B44B19" w:rsidRDefault="0087201A" w:rsidP="0087201A">
      <w:pPr>
        <w:spacing w:before="240" w:after="0" w:line="240" w:lineRule="auto"/>
        <w:jc w:val="both"/>
        <w:rPr>
          <w:rFonts w:cs="Times New Roman"/>
          <w:b/>
          <w:sz w:val="22"/>
        </w:rPr>
      </w:pPr>
    </w:p>
    <w:p w14:paraId="68BAF7AF" w14:textId="77777777" w:rsidR="0087201A" w:rsidRPr="00B44B19" w:rsidRDefault="0087201A" w:rsidP="0087201A">
      <w:pPr>
        <w:spacing w:after="0" w:line="240" w:lineRule="auto"/>
        <w:jc w:val="both"/>
        <w:rPr>
          <w:rFonts w:cs="Times New Roman"/>
          <w:b/>
          <w:sz w:val="22"/>
        </w:rPr>
        <w:sectPr w:rsidR="0087201A" w:rsidRPr="00B44B19" w:rsidSect="0087201A">
          <w:headerReference w:type="default" r:id="rId25"/>
          <w:footerReference w:type="first" r:id="rId26"/>
          <w:pgSz w:w="11906" w:h="16838"/>
          <w:pgMar w:top="1134" w:right="567" w:bottom="1134" w:left="1701" w:header="567" w:footer="567" w:gutter="0"/>
          <w:cols w:space="1296"/>
          <w:docGrid w:linePitch="360"/>
        </w:sectPr>
      </w:pPr>
    </w:p>
    <w:p w14:paraId="67BCE650" w14:textId="77777777" w:rsidR="0087201A" w:rsidRPr="00B44B19" w:rsidRDefault="0087201A" w:rsidP="0087201A">
      <w:pPr>
        <w:spacing w:after="0" w:line="240" w:lineRule="auto"/>
        <w:jc w:val="both"/>
        <w:rPr>
          <w:rFonts w:cs="Times New Roman"/>
          <w:b/>
          <w:sz w:val="22"/>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993"/>
        <w:gridCol w:w="725"/>
        <w:gridCol w:w="1035"/>
        <w:gridCol w:w="1216"/>
        <w:gridCol w:w="3544"/>
        <w:gridCol w:w="1133"/>
        <w:gridCol w:w="1278"/>
        <w:gridCol w:w="1133"/>
        <w:gridCol w:w="993"/>
        <w:gridCol w:w="886"/>
        <w:gridCol w:w="951"/>
      </w:tblGrid>
      <w:tr w:rsidR="0087201A" w:rsidRPr="00B44B19" w14:paraId="5426F7BF" w14:textId="77777777" w:rsidTr="003040E3">
        <w:trPr>
          <w:trHeight w:val="872"/>
          <w:tblHeader/>
        </w:trPr>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DC80EC"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Prioritetas</w:t>
            </w:r>
          </w:p>
        </w:tc>
        <w:tc>
          <w:tcPr>
            <w:tcW w:w="3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4AD339"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Konkretus uždavinys</w:t>
            </w:r>
          </w:p>
        </w:tc>
        <w:tc>
          <w:tcPr>
            <w:tcW w:w="2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96045B"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Fondas</w:t>
            </w:r>
          </w:p>
        </w:tc>
        <w:tc>
          <w:tcPr>
            <w:tcW w:w="34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31D7F1"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Regiono kategorija</w:t>
            </w:r>
          </w:p>
        </w:tc>
        <w:tc>
          <w:tcPr>
            <w:tcW w:w="4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36444A"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Identifikavimo numeris</w:t>
            </w:r>
          </w:p>
        </w:tc>
        <w:tc>
          <w:tcPr>
            <w:tcW w:w="11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E6C1F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Rodiklis</w:t>
            </w:r>
          </w:p>
        </w:tc>
        <w:tc>
          <w:tcPr>
            <w:tcW w:w="3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AB2C84"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Matavimo vienetas</w:t>
            </w:r>
          </w:p>
        </w:tc>
        <w:tc>
          <w:tcPr>
            <w:tcW w:w="4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D7A85B"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Pradinė reikšmė arba pamatinė vertė</w:t>
            </w:r>
          </w:p>
        </w:tc>
        <w:tc>
          <w:tcPr>
            <w:tcW w:w="3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62942F"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Ataskaitiniai metai</w:t>
            </w:r>
          </w:p>
        </w:tc>
        <w:tc>
          <w:tcPr>
            <w:tcW w:w="3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8DBA2D8"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Siektina reikšmė (2029 m.)</w:t>
            </w:r>
          </w:p>
        </w:tc>
        <w:tc>
          <w:tcPr>
            <w:tcW w:w="2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031527"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Duomenų šaltinis</w:t>
            </w:r>
          </w:p>
        </w:tc>
        <w:tc>
          <w:tcPr>
            <w:tcW w:w="3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A4F6D74"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sz w:val="16"/>
                <w:szCs w:val="16"/>
              </w:rPr>
              <w:t>Pastabos</w:t>
            </w:r>
          </w:p>
        </w:tc>
      </w:tr>
      <w:tr w:rsidR="0087201A" w:rsidRPr="00B44B19" w14:paraId="0C3959C1" w14:textId="77777777" w:rsidTr="003040E3">
        <w:trPr>
          <w:trHeight w:val="375"/>
        </w:trPr>
        <w:tc>
          <w:tcPr>
            <w:tcW w:w="329" w:type="pct"/>
            <w:vMerge w:val="restart"/>
            <w:tcBorders>
              <w:top w:val="single" w:sz="12" w:space="0" w:color="auto"/>
            </w:tcBorders>
          </w:tcPr>
          <w:p w14:paraId="75FB36EC"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 xml:space="preserve">14. </w:t>
            </w:r>
          </w:p>
        </w:tc>
        <w:tc>
          <w:tcPr>
            <w:tcW w:w="334" w:type="pct"/>
            <w:vMerge w:val="restart"/>
            <w:tcBorders>
              <w:top w:val="single" w:sz="12" w:space="0" w:color="auto"/>
            </w:tcBorders>
          </w:tcPr>
          <w:p w14:paraId="4176E216"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14.1</w:t>
            </w:r>
          </w:p>
        </w:tc>
        <w:tc>
          <w:tcPr>
            <w:tcW w:w="244" w:type="pct"/>
            <w:vMerge w:val="restart"/>
            <w:tcBorders>
              <w:top w:val="single" w:sz="12" w:space="0" w:color="auto"/>
            </w:tcBorders>
          </w:tcPr>
          <w:p w14:paraId="08CC44A1"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SaF</w:t>
            </w:r>
          </w:p>
        </w:tc>
        <w:tc>
          <w:tcPr>
            <w:tcW w:w="348" w:type="pct"/>
            <w:vMerge w:val="restart"/>
            <w:tcBorders>
              <w:top w:val="single" w:sz="12" w:space="0" w:color="auto"/>
            </w:tcBorders>
          </w:tcPr>
          <w:p w14:paraId="1F7197C7"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Visa Lietuva</w:t>
            </w:r>
          </w:p>
        </w:tc>
        <w:tc>
          <w:tcPr>
            <w:tcW w:w="409" w:type="pct"/>
            <w:tcBorders>
              <w:top w:val="single" w:sz="12" w:space="0" w:color="auto"/>
            </w:tcBorders>
          </w:tcPr>
          <w:p w14:paraId="63D8651D"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RCR55</w:t>
            </w:r>
          </w:p>
        </w:tc>
        <w:tc>
          <w:tcPr>
            <w:tcW w:w="1192" w:type="pct"/>
            <w:tcBorders>
              <w:top w:val="single" w:sz="12" w:space="0" w:color="auto"/>
            </w:tcBorders>
          </w:tcPr>
          <w:p w14:paraId="7FABEFBC" w14:textId="2A969996" w:rsidR="0087201A" w:rsidRPr="00B44B19" w:rsidRDefault="0087201A" w:rsidP="0087201A">
            <w:pPr>
              <w:spacing w:after="40" w:line="240" w:lineRule="auto"/>
              <w:rPr>
                <w:rFonts w:eastAsia="Calibri" w:cs="Times New Roman"/>
                <w:sz w:val="16"/>
                <w:szCs w:val="16"/>
              </w:rPr>
            </w:pPr>
            <w:r w:rsidRPr="00B44B19">
              <w:rPr>
                <w:rFonts w:eastAsia="Calibri" w:cs="Times New Roman"/>
                <w:sz w:val="16"/>
                <w:szCs w:val="16"/>
              </w:rPr>
              <w:t>Naujai pastatytų, rekonstruotų, atnaujintų arba modernizuotų kelių naudotojų skaičius per metus</w:t>
            </w:r>
          </w:p>
        </w:tc>
        <w:tc>
          <w:tcPr>
            <w:tcW w:w="381" w:type="pct"/>
            <w:tcBorders>
              <w:top w:val="single" w:sz="12" w:space="0" w:color="auto"/>
            </w:tcBorders>
          </w:tcPr>
          <w:p w14:paraId="0218F636"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Keleivių km per metus</w:t>
            </w:r>
          </w:p>
        </w:tc>
        <w:tc>
          <w:tcPr>
            <w:tcW w:w="430" w:type="pct"/>
            <w:tcBorders>
              <w:top w:val="single" w:sz="12" w:space="0" w:color="auto"/>
            </w:tcBorders>
          </w:tcPr>
          <w:p w14:paraId="12AA3349"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28 320 400</w:t>
            </w:r>
          </w:p>
        </w:tc>
        <w:tc>
          <w:tcPr>
            <w:tcW w:w="381" w:type="pct"/>
            <w:tcBorders>
              <w:top w:val="single" w:sz="12" w:space="0" w:color="auto"/>
            </w:tcBorders>
          </w:tcPr>
          <w:p w14:paraId="267E3DCE"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2021</w:t>
            </w:r>
          </w:p>
        </w:tc>
        <w:tc>
          <w:tcPr>
            <w:tcW w:w="334" w:type="pct"/>
            <w:tcBorders>
              <w:top w:val="single" w:sz="12" w:space="0" w:color="auto"/>
            </w:tcBorders>
          </w:tcPr>
          <w:p w14:paraId="5415E0DA"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29 767 845</w:t>
            </w:r>
          </w:p>
        </w:tc>
        <w:tc>
          <w:tcPr>
            <w:tcW w:w="298" w:type="pct"/>
            <w:tcBorders>
              <w:top w:val="single" w:sz="12" w:space="0" w:color="auto"/>
            </w:tcBorders>
          </w:tcPr>
          <w:p w14:paraId="665FDCF1"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Projektų duomenys</w:t>
            </w:r>
          </w:p>
        </w:tc>
        <w:tc>
          <w:tcPr>
            <w:tcW w:w="320" w:type="pct"/>
            <w:tcBorders>
              <w:top w:val="single" w:sz="12" w:space="0" w:color="auto"/>
            </w:tcBorders>
          </w:tcPr>
          <w:p w14:paraId="06ABE9EA" w14:textId="77777777" w:rsidR="0087201A" w:rsidRPr="00B44B19" w:rsidRDefault="0087201A" w:rsidP="0087201A">
            <w:pPr>
              <w:spacing w:after="0" w:line="240" w:lineRule="auto"/>
              <w:jc w:val="both"/>
              <w:rPr>
                <w:rFonts w:eastAsia="Calibri" w:cs="Times New Roman"/>
                <w:i/>
                <w:noProof/>
                <w:sz w:val="14"/>
                <w:szCs w:val="14"/>
                <w:lang w:eastAsia="lt-LT" w:bidi="lt-LT"/>
              </w:rPr>
            </w:pPr>
          </w:p>
        </w:tc>
      </w:tr>
      <w:tr w:rsidR="0087201A" w:rsidRPr="00B44B19" w14:paraId="1D00ECE3" w14:textId="77777777" w:rsidTr="003040E3">
        <w:trPr>
          <w:trHeight w:val="395"/>
        </w:trPr>
        <w:tc>
          <w:tcPr>
            <w:tcW w:w="329" w:type="pct"/>
            <w:vMerge/>
          </w:tcPr>
          <w:p w14:paraId="0F34E6E1" w14:textId="77777777" w:rsidR="0087201A" w:rsidRPr="00B44B19" w:rsidRDefault="0087201A" w:rsidP="0087201A">
            <w:pPr>
              <w:spacing w:after="0" w:line="240" w:lineRule="auto"/>
              <w:jc w:val="both"/>
              <w:rPr>
                <w:rFonts w:eastAsia="Calibri" w:cs="Times New Roman"/>
                <w:sz w:val="16"/>
                <w:szCs w:val="16"/>
              </w:rPr>
            </w:pPr>
          </w:p>
        </w:tc>
        <w:tc>
          <w:tcPr>
            <w:tcW w:w="334" w:type="pct"/>
            <w:vMerge/>
          </w:tcPr>
          <w:p w14:paraId="7B8A0E31" w14:textId="77777777" w:rsidR="0087201A" w:rsidRPr="00B44B19" w:rsidRDefault="0087201A" w:rsidP="0087201A">
            <w:pPr>
              <w:spacing w:after="0" w:line="240" w:lineRule="auto"/>
              <w:jc w:val="both"/>
              <w:rPr>
                <w:rFonts w:eastAsia="Calibri" w:cs="Times New Roman"/>
                <w:sz w:val="16"/>
                <w:szCs w:val="16"/>
              </w:rPr>
            </w:pPr>
          </w:p>
        </w:tc>
        <w:tc>
          <w:tcPr>
            <w:tcW w:w="244" w:type="pct"/>
            <w:vMerge/>
          </w:tcPr>
          <w:p w14:paraId="7A4F6070" w14:textId="77777777" w:rsidR="0087201A" w:rsidRPr="00B44B19" w:rsidRDefault="0087201A" w:rsidP="0087201A">
            <w:pPr>
              <w:spacing w:after="0" w:line="240" w:lineRule="auto"/>
              <w:jc w:val="both"/>
              <w:rPr>
                <w:rFonts w:eastAsia="Calibri" w:cs="Times New Roman"/>
                <w:sz w:val="16"/>
                <w:szCs w:val="16"/>
              </w:rPr>
            </w:pPr>
          </w:p>
        </w:tc>
        <w:tc>
          <w:tcPr>
            <w:tcW w:w="348" w:type="pct"/>
            <w:vMerge/>
          </w:tcPr>
          <w:p w14:paraId="5233A598" w14:textId="77777777" w:rsidR="0087201A" w:rsidRPr="00B44B19" w:rsidRDefault="0087201A" w:rsidP="0087201A">
            <w:pPr>
              <w:spacing w:after="0" w:line="240" w:lineRule="auto"/>
              <w:jc w:val="both"/>
              <w:rPr>
                <w:rFonts w:eastAsia="Calibri" w:cs="Times New Roman"/>
                <w:sz w:val="14"/>
                <w:szCs w:val="14"/>
              </w:rPr>
            </w:pPr>
          </w:p>
        </w:tc>
        <w:tc>
          <w:tcPr>
            <w:tcW w:w="409" w:type="pct"/>
          </w:tcPr>
          <w:p w14:paraId="22648A44"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noProof/>
                <w:color w:val="000000"/>
                <w:sz w:val="16"/>
                <w:szCs w:val="16"/>
                <w:lang w:eastAsia="lt-LT" w:bidi="lt-LT"/>
              </w:rPr>
              <w:t>RCR59</w:t>
            </w:r>
          </w:p>
        </w:tc>
        <w:tc>
          <w:tcPr>
            <w:tcW w:w="1192" w:type="pct"/>
          </w:tcPr>
          <w:p w14:paraId="06192893" w14:textId="77777777" w:rsidR="0087201A" w:rsidRPr="00B44B19" w:rsidRDefault="0087201A" w:rsidP="0087201A">
            <w:pPr>
              <w:spacing w:after="40" w:line="240" w:lineRule="auto"/>
              <w:rPr>
                <w:rFonts w:eastAsia="Times New Roman" w:cs="Times New Roman"/>
                <w:sz w:val="16"/>
                <w:szCs w:val="16"/>
                <w:lang w:eastAsia="lt-LT" w:bidi="ml-IN"/>
              </w:rPr>
            </w:pPr>
            <w:r w:rsidRPr="00B44B19">
              <w:rPr>
                <w:rFonts w:eastAsia="Times New Roman" w:cs="Times New Roman"/>
                <w:sz w:val="16"/>
                <w:szCs w:val="16"/>
                <w:lang w:eastAsia="lt-LT" w:bidi="ml-IN"/>
              </w:rPr>
              <w:t>Krovininis geležinkelių transportas</w:t>
            </w:r>
          </w:p>
        </w:tc>
        <w:tc>
          <w:tcPr>
            <w:tcW w:w="381" w:type="pct"/>
          </w:tcPr>
          <w:p w14:paraId="0E364907"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Tonų km per metus</w:t>
            </w:r>
          </w:p>
        </w:tc>
        <w:tc>
          <w:tcPr>
            <w:tcW w:w="430" w:type="pct"/>
          </w:tcPr>
          <w:p w14:paraId="539C38CE"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0</w:t>
            </w:r>
          </w:p>
        </w:tc>
        <w:tc>
          <w:tcPr>
            <w:tcW w:w="381" w:type="pct"/>
          </w:tcPr>
          <w:p w14:paraId="2B3C1792"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2024</w:t>
            </w:r>
          </w:p>
        </w:tc>
        <w:tc>
          <w:tcPr>
            <w:tcW w:w="334" w:type="pct"/>
          </w:tcPr>
          <w:p w14:paraId="3B61029F"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340,8</w:t>
            </w:r>
          </w:p>
        </w:tc>
        <w:tc>
          <w:tcPr>
            <w:tcW w:w="298" w:type="pct"/>
          </w:tcPr>
          <w:p w14:paraId="13AE6BA6"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Projektų duomenys</w:t>
            </w:r>
          </w:p>
        </w:tc>
        <w:tc>
          <w:tcPr>
            <w:tcW w:w="320" w:type="pct"/>
          </w:tcPr>
          <w:p w14:paraId="256489A3" w14:textId="77777777" w:rsidR="0087201A" w:rsidRPr="00B44B19" w:rsidRDefault="0087201A" w:rsidP="0087201A">
            <w:pPr>
              <w:spacing w:after="0" w:line="240" w:lineRule="auto"/>
              <w:jc w:val="both"/>
              <w:rPr>
                <w:rFonts w:eastAsia="Calibri" w:cs="Times New Roman"/>
                <w:i/>
                <w:noProof/>
                <w:sz w:val="14"/>
                <w:szCs w:val="14"/>
                <w:lang w:eastAsia="lt-LT" w:bidi="lt-LT"/>
              </w:rPr>
            </w:pPr>
          </w:p>
        </w:tc>
      </w:tr>
      <w:tr w:rsidR="0087201A" w:rsidRPr="00B44B19" w14:paraId="0CE8D88D" w14:textId="77777777" w:rsidTr="003040E3">
        <w:trPr>
          <w:trHeight w:val="395"/>
        </w:trPr>
        <w:tc>
          <w:tcPr>
            <w:tcW w:w="329" w:type="pct"/>
            <w:vMerge/>
          </w:tcPr>
          <w:p w14:paraId="478C7C8F" w14:textId="77777777" w:rsidR="0087201A" w:rsidRPr="00B44B19" w:rsidRDefault="0087201A" w:rsidP="0087201A">
            <w:pPr>
              <w:spacing w:after="0" w:line="240" w:lineRule="auto"/>
              <w:jc w:val="both"/>
              <w:rPr>
                <w:rFonts w:eastAsia="Calibri" w:cs="Times New Roman"/>
                <w:sz w:val="16"/>
                <w:szCs w:val="16"/>
              </w:rPr>
            </w:pPr>
          </w:p>
        </w:tc>
        <w:tc>
          <w:tcPr>
            <w:tcW w:w="334" w:type="pct"/>
            <w:vMerge/>
          </w:tcPr>
          <w:p w14:paraId="73934759" w14:textId="77777777" w:rsidR="0087201A" w:rsidRPr="00B44B19" w:rsidRDefault="0087201A" w:rsidP="0087201A">
            <w:pPr>
              <w:spacing w:after="0" w:line="240" w:lineRule="auto"/>
              <w:jc w:val="both"/>
              <w:rPr>
                <w:rFonts w:eastAsia="Calibri" w:cs="Times New Roman"/>
                <w:sz w:val="16"/>
                <w:szCs w:val="16"/>
              </w:rPr>
            </w:pPr>
          </w:p>
        </w:tc>
        <w:tc>
          <w:tcPr>
            <w:tcW w:w="244" w:type="pct"/>
            <w:vMerge/>
          </w:tcPr>
          <w:p w14:paraId="74251385" w14:textId="77777777" w:rsidR="0087201A" w:rsidRPr="00B44B19" w:rsidRDefault="0087201A" w:rsidP="0087201A">
            <w:pPr>
              <w:spacing w:after="0" w:line="240" w:lineRule="auto"/>
              <w:jc w:val="both"/>
              <w:rPr>
                <w:rFonts w:eastAsia="Calibri" w:cs="Times New Roman"/>
                <w:sz w:val="16"/>
                <w:szCs w:val="16"/>
              </w:rPr>
            </w:pPr>
          </w:p>
        </w:tc>
        <w:tc>
          <w:tcPr>
            <w:tcW w:w="348" w:type="pct"/>
            <w:vMerge/>
          </w:tcPr>
          <w:p w14:paraId="4D6ACEA0" w14:textId="77777777" w:rsidR="0087201A" w:rsidRPr="00B44B19" w:rsidRDefault="0087201A" w:rsidP="0087201A">
            <w:pPr>
              <w:spacing w:after="0" w:line="240" w:lineRule="auto"/>
              <w:jc w:val="both"/>
              <w:rPr>
                <w:rFonts w:eastAsia="Calibri" w:cs="Times New Roman"/>
                <w:sz w:val="14"/>
                <w:szCs w:val="14"/>
              </w:rPr>
            </w:pPr>
          </w:p>
        </w:tc>
        <w:tc>
          <w:tcPr>
            <w:tcW w:w="409" w:type="pct"/>
          </w:tcPr>
          <w:p w14:paraId="1585ACF7" w14:textId="77777777" w:rsidR="0087201A" w:rsidRPr="00B44B19" w:rsidRDefault="0087201A" w:rsidP="0087201A">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Specialusis</w:t>
            </w:r>
          </w:p>
        </w:tc>
        <w:tc>
          <w:tcPr>
            <w:tcW w:w="1192" w:type="pct"/>
          </w:tcPr>
          <w:p w14:paraId="4449353B" w14:textId="674B1BD7" w:rsidR="0087201A" w:rsidRPr="00B44B19" w:rsidRDefault="0087201A" w:rsidP="0087201A">
            <w:pPr>
              <w:spacing w:after="40" w:line="240" w:lineRule="auto"/>
              <w:rPr>
                <w:rFonts w:eastAsia="Times New Roman" w:cs="Times New Roman"/>
                <w:sz w:val="16"/>
                <w:szCs w:val="16"/>
                <w:lang w:eastAsia="lt-LT" w:bidi="ml-IN"/>
              </w:rPr>
            </w:pPr>
            <w:r w:rsidRPr="00B44B19">
              <w:rPr>
                <w:rFonts w:eastAsia="Calibri" w:cs="Times New Roman"/>
                <w:noProof/>
                <w:sz w:val="16"/>
                <w:szCs w:val="16"/>
                <w:lang w:eastAsia="lt-LT" w:bidi="lt-LT"/>
              </w:rPr>
              <w:t xml:space="preserve">Krovos apimčių techninis pajėgumas </w:t>
            </w:r>
            <w:r w:rsidR="00220EE5" w:rsidRPr="00B44B19">
              <w:rPr>
                <w:rFonts w:eastAsia="Calibri" w:cs="Times New Roman"/>
                <w:noProof/>
                <w:sz w:val="16"/>
                <w:szCs w:val="16"/>
                <w:lang w:eastAsia="lt-LT" w:bidi="lt-LT"/>
              </w:rPr>
              <w:t>–</w:t>
            </w:r>
            <w:r w:rsidRPr="00B44B19">
              <w:rPr>
                <w:rFonts w:eastAsia="Calibri" w:cs="Times New Roman"/>
                <w:noProof/>
                <w:sz w:val="16"/>
                <w:szCs w:val="16"/>
                <w:lang w:eastAsia="lt-LT" w:bidi="lt-LT"/>
              </w:rPr>
              <w:t xml:space="preserve"> pakraunamų, iškraunamų ir (ar) perkraunamų traukinių skaičius</w:t>
            </w:r>
          </w:p>
        </w:tc>
        <w:tc>
          <w:tcPr>
            <w:tcW w:w="381" w:type="pct"/>
          </w:tcPr>
          <w:p w14:paraId="478BE66F"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Vienetai per metus</w:t>
            </w:r>
          </w:p>
        </w:tc>
        <w:tc>
          <w:tcPr>
            <w:tcW w:w="430" w:type="pct"/>
          </w:tcPr>
          <w:p w14:paraId="5D140D89"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730</w:t>
            </w:r>
          </w:p>
        </w:tc>
        <w:tc>
          <w:tcPr>
            <w:tcW w:w="381" w:type="pct"/>
          </w:tcPr>
          <w:p w14:paraId="6558191C"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2024</w:t>
            </w:r>
          </w:p>
        </w:tc>
        <w:tc>
          <w:tcPr>
            <w:tcW w:w="334" w:type="pct"/>
          </w:tcPr>
          <w:p w14:paraId="7FC826ED"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1 825</w:t>
            </w:r>
          </w:p>
        </w:tc>
        <w:tc>
          <w:tcPr>
            <w:tcW w:w="298" w:type="pct"/>
          </w:tcPr>
          <w:p w14:paraId="3C8A578C" w14:textId="77777777" w:rsidR="0087201A" w:rsidRPr="00B44B19" w:rsidRDefault="0087201A" w:rsidP="0087201A">
            <w:pPr>
              <w:spacing w:after="0" w:line="240" w:lineRule="auto"/>
              <w:rPr>
                <w:rFonts w:eastAsia="Calibri" w:cs="Times New Roman"/>
                <w:sz w:val="16"/>
                <w:szCs w:val="16"/>
              </w:rPr>
            </w:pPr>
            <w:r w:rsidRPr="00B44B19">
              <w:rPr>
                <w:rFonts w:eastAsia="Calibri" w:cs="Times New Roman"/>
                <w:sz w:val="16"/>
                <w:szCs w:val="16"/>
              </w:rPr>
              <w:t>Projektų duomenys</w:t>
            </w:r>
          </w:p>
        </w:tc>
        <w:tc>
          <w:tcPr>
            <w:tcW w:w="320" w:type="pct"/>
          </w:tcPr>
          <w:p w14:paraId="224D5CAB" w14:textId="77777777" w:rsidR="0087201A" w:rsidRPr="00B44B19" w:rsidRDefault="0087201A" w:rsidP="0087201A">
            <w:pPr>
              <w:spacing w:after="0" w:line="240" w:lineRule="auto"/>
              <w:jc w:val="both"/>
              <w:rPr>
                <w:rFonts w:eastAsia="Calibri" w:cs="Times New Roman"/>
                <w:i/>
                <w:noProof/>
                <w:sz w:val="14"/>
                <w:szCs w:val="14"/>
                <w:lang w:eastAsia="lt-LT" w:bidi="lt-LT"/>
              </w:rPr>
            </w:pPr>
          </w:p>
        </w:tc>
      </w:tr>
      <w:tr w:rsidR="0087201A" w:rsidRPr="00B44B19" w14:paraId="59983323" w14:textId="77777777" w:rsidTr="003040E3">
        <w:trPr>
          <w:trHeight w:val="185"/>
        </w:trPr>
        <w:tc>
          <w:tcPr>
            <w:tcW w:w="329" w:type="pct"/>
            <w:vMerge/>
          </w:tcPr>
          <w:p w14:paraId="5BC85730" w14:textId="77777777" w:rsidR="0087201A" w:rsidRPr="00B44B19" w:rsidRDefault="0087201A" w:rsidP="0087201A">
            <w:pPr>
              <w:spacing w:after="0" w:line="240" w:lineRule="auto"/>
              <w:jc w:val="both"/>
              <w:rPr>
                <w:rFonts w:eastAsia="Calibri" w:cs="Times New Roman"/>
                <w:sz w:val="16"/>
                <w:szCs w:val="16"/>
              </w:rPr>
            </w:pPr>
          </w:p>
        </w:tc>
        <w:tc>
          <w:tcPr>
            <w:tcW w:w="334" w:type="pct"/>
            <w:vMerge/>
          </w:tcPr>
          <w:p w14:paraId="2FC5AE98" w14:textId="77777777" w:rsidR="0087201A" w:rsidRPr="00B44B19" w:rsidRDefault="0087201A" w:rsidP="0087201A">
            <w:pPr>
              <w:spacing w:after="0" w:line="240" w:lineRule="auto"/>
              <w:jc w:val="both"/>
              <w:rPr>
                <w:rFonts w:eastAsia="Calibri" w:cs="Times New Roman"/>
                <w:sz w:val="16"/>
                <w:szCs w:val="16"/>
              </w:rPr>
            </w:pPr>
          </w:p>
        </w:tc>
        <w:tc>
          <w:tcPr>
            <w:tcW w:w="244" w:type="pct"/>
          </w:tcPr>
          <w:p w14:paraId="4DC7D51C"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ERPF</w:t>
            </w:r>
          </w:p>
        </w:tc>
        <w:tc>
          <w:tcPr>
            <w:tcW w:w="348" w:type="pct"/>
          </w:tcPr>
          <w:p w14:paraId="06476F7D"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VVL regionas</w:t>
            </w:r>
          </w:p>
        </w:tc>
        <w:tc>
          <w:tcPr>
            <w:tcW w:w="409" w:type="pct"/>
            <w:shd w:val="clear" w:color="auto" w:fill="FFFFFF" w:themeFill="background1"/>
          </w:tcPr>
          <w:p w14:paraId="7D8CB97E" w14:textId="77777777" w:rsidR="0087201A" w:rsidRPr="00B44B19" w:rsidRDefault="0087201A" w:rsidP="0087201A">
            <w:pPr>
              <w:spacing w:after="0" w:line="240" w:lineRule="auto"/>
              <w:jc w:val="both"/>
              <w:rPr>
                <w:rFonts w:eastAsia="Calibri" w:cs="Times New Roman"/>
                <w:noProof/>
                <w:color w:val="000000"/>
                <w:sz w:val="16"/>
                <w:szCs w:val="16"/>
                <w:lang w:eastAsia="lt-LT" w:bidi="lt-LT"/>
              </w:rPr>
            </w:pPr>
            <w:r w:rsidRPr="00B44B19">
              <w:rPr>
                <w:rFonts w:eastAsia="Calibri" w:cs="Times New Roman"/>
                <w:noProof/>
                <w:color w:val="000000"/>
                <w:sz w:val="16"/>
                <w:szCs w:val="16"/>
                <w:lang w:eastAsia="lt-LT" w:bidi="lt-LT"/>
              </w:rPr>
              <w:t>RCR55</w:t>
            </w:r>
          </w:p>
        </w:tc>
        <w:tc>
          <w:tcPr>
            <w:tcW w:w="1192" w:type="pct"/>
            <w:shd w:val="clear" w:color="auto" w:fill="FFFFFF" w:themeFill="background1"/>
          </w:tcPr>
          <w:p w14:paraId="1AB501A0" w14:textId="77777777" w:rsidR="0087201A" w:rsidRPr="00B44B19" w:rsidRDefault="0087201A" w:rsidP="0087201A">
            <w:pPr>
              <w:spacing w:after="40" w:line="240" w:lineRule="auto"/>
              <w:rPr>
                <w:rFonts w:eastAsia="Calibri" w:cs="Times New Roman"/>
                <w:noProof/>
                <w:sz w:val="16"/>
                <w:szCs w:val="16"/>
                <w:lang w:eastAsia="lt-LT" w:bidi="lt-LT"/>
              </w:rPr>
            </w:pPr>
            <w:r w:rsidRPr="00B44B19">
              <w:rPr>
                <w:rFonts w:eastAsia="Calibri" w:cs="Times New Roman"/>
                <w:sz w:val="16"/>
                <w:szCs w:val="16"/>
              </w:rPr>
              <w:t>Naujai pastatytų, rekonstruotų, atnaujintų arba modernizuotų kelių naudotojų skaičius per metus</w:t>
            </w:r>
          </w:p>
        </w:tc>
        <w:tc>
          <w:tcPr>
            <w:tcW w:w="381" w:type="pct"/>
            <w:shd w:val="clear" w:color="auto" w:fill="FFFFFF" w:themeFill="background1"/>
          </w:tcPr>
          <w:p w14:paraId="2D0C0B80"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Keleivių km per metus</w:t>
            </w:r>
          </w:p>
        </w:tc>
        <w:tc>
          <w:tcPr>
            <w:tcW w:w="430" w:type="pct"/>
            <w:shd w:val="clear" w:color="auto" w:fill="FFFFFF" w:themeFill="background1"/>
          </w:tcPr>
          <w:p w14:paraId="42220611"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108 591 409</w:t>
            </w:r>
          </w:p>
        </w:tc>
        <w:tc>
          <w:tcPr>
            <w:tcW w:w="381" w:type="pct"/>
            <w:shd w:val="clear" w:color="auto" w:fill="FFFFFF" w:themeFill="background1"/>
          </w:tcPr>
          <w:p w14:paraId="2E4F887A"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2021</w:t>
            </w:r>
          </w:p>
        </w:tc>
        <w:tc>
          <w:tcPr>
            <w:tcW w:w="334" w:type="pct"/>
            <w:shd w:val="clear" w:color="auto" w:fill="FFFFFF" w:themeFill="background1"/>
          </w:tcPr>
          <w:p w14:paraId="3C33830B" w14:textId="77777777" w:rsidR="0087201A" w:rsidRPr="00B44B19" w:rsidRDefault="0087201A" w:rsidP="0087201A">
            <w:pPr>
              <w:spacing w:after="0" w:line="240" w:lineRule="auto"/>
              <w:jc w:val="center"/>
              <w:rPr>
                <w:rFonts w:eastAsia="Calibri" w:cs="Times New Roman"/>
                <w:sz w:val="16"/>
                <w:szCs w:val="16"/>
              </w:rPr>
            </w:pPr>
            <w:r w:rsidRPr="00B44B19">
              <w:rPr>
                <w:rFonts w:eastAsia="Calibri" w:cs="Times New Roman"/>
                <w:sz w:val="16"/>
                <w:szCs w:val="16"/>
              </w:rPr>
              <w:t>131 868 523</w:t>
            </w:r>
          </w:p>
        </w:tc>
        <w:tc>
          <w:tcPr>
            <w:tcW w:w="298" w:type="pct"/>
            <w:shd w:val="clear" w:color="auto" w:fill="FFFFFF" w:themeFill="background1"/>
          </w:tcPr>
          <w:p w14:paraId="1F3704DB"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Projektų duomenys</w:t>
            </w:r>
          </w:p>
        </w:tc>
        <w:tc>
          <w:tcPr>
            <w:tcW w:w="320" w:type="pct"/>
            <w:shd w:val="clear" w:color="auto" w:fill="FFFFFF" w:themeFill="background1"/>
          </w:tcPr>
          <w:p w14:paraId="1CC20074" w14:textId="77777777" w:rsidR="0087201A" w:rsidRPr="00B44B19" w:rsidRDefault="0087201A" w:rsidP="0087201A">
            <w:pPr>
              <w:spacing w:after="0" w:line="240" w:lineRule="auto"/>
              <w:jc w:val="both"/>
              <w:rPr>
                <w:rFonts w:eastAsia="Calibri" w:cs="Times New Roman"/>
                <w:i/>
                <w:noProof/>
                <w:sz w:val="14"/>
                <w:szCs w:val="14"/>
                <w:lang w:eastAsia="lt-LT" w:bidi="lt-LT"/>
              </w:rPr>
            </w:pPr>
          </w:p>
        </w:tc>
      </w:tr>
    </w:tbl>
    <w:p w14:paraId="3EEEAD1E" w14:textId="77777777" w:rsidR="0087201A" w:rsidRPr="00B44B19" w:rsidRDefault="0087201A" w:rsidP="0087201A">
      <w:pPr>
        <w:spacing w:after="0" w:line="240" w:lineRule="auto"/>
        <w:jc w:val="both"/>
        <w:rPr>
          <w:rFonts w:cs="Times New Roman"/>
          <w:sz w:val="16"/>
          <w:szCs w:val="16"/>
          <w:lang w:val="en-US"/>
        </w:rPr>
        <w:sectPr w:rsidR="0087201A" w:rsidRPr="00B44B19" w:rsidSect="0087201A">
          <w:pgSz w:w="16838" w:h="11906" w:orient="landscape"/>
          <w:pgMar w:top="1701" w:right="1276" w:bottom="567" w:left="1134" w:header="567" w:footer="567" w:gutter="0"/>
          <w:cols w:space="1296"/>
          <w:docGrid w:linePitch="360"/>
        </w:sectPr>
      </w:pPr>
    </w:p>
    <w:p w14:paraId="657424D9"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lang w:eastAsia="lt-LT" w:bidi="lt-LT"/>
        </w:rPr>
      </w:pPr>
      <w:r w:rsidRPr="00B44B19">
        <w:rPr>
          <w:rFonts w:cs="Times New Roman"/>
          <w:b/>
          <w:i/>
          <w:color w:val="1F497D" w:themeColor="text2"/>
          <w:sz w:val="22"/>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475"/>
        <w:gridCol w:w="1134"/>
        <w:gridCol w:w="3544"/>
        <w:gridCol w:w="1701"/>
      </w:tblGrid>
      <w:tr w:rsidR="0087201A" w:rsidRPr="00B44B19" w14:paraId="7C7BFE12"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B68794" w14:textId="77777777" w:rsidR="0087201A" w:rsidRPr="00B44B19" w:rsidRDefault="0087201A" w:rsidP="0087201A">
            <w:pPr>
              <w:spacing w:after="200"/>
              <w:rPr>
                <w:rFonts w:cs="Times New Roman"/>
                <w:b/>
                <w:noProof/>
                <w:sz w:val="20"/>
                <w:szCs w:val="20"/>
              </w:rPr>
            </w:pPr>
            <w:r w:rsidRPr="00B44B19">
              <w:rPr>
                <w:rFonts w:cs="Times New Roman"/>
                <w:b/>
                <w:noProof/>
                <w:sz w:val="20"/>
                <w:szCs w:val="20"/>
              </w:rPr>
              <w:t>4 lentelė. 1 matmuo. Intervencinių priemonių sritis</w:t>
            </w:r>
          </w:p>
        </w:tc>
      </w:tr>
      <w:tr w:rsidR="0087201A" w:rsidRPr="00B44B19" w14:paraId="23947431" w14:textId="77777777" w:rsidTr="003040E3">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CEF96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43418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4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35D912"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D5592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C9662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601F10"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43D96C88" w14:textId="77777777" w:rsidTr="009752E6">
        <w:trPr>
          <w:trHeight w:val="740"/>
        </w:trPr>
        <w:tc>
          <w:tcPr>
            <w:tcW w:w="1069" w:type="dxa"/>
            <w:vMerge w:val="restart"/>
            <w:tcBorders>
              <w:top w:val="single" w:sz="12" w:space="0" w:color="auto"/>
            </w:tcBorders>
          </w:tcPr>
          <w:p w14:paraId="113A4B4E" w14:textId="77777777" w:rsidR="0087201A" w:rsidRPr="00B44B19" w:rsidRDefault="0087201A" w:rsidP="009752E6">
            <w:pPr>
              <w:jc w:val="center"/>
              <w:rPr>
                <w:rFonts w:eastAsia="Times New Roman" w:cs="Times New Roman"/>
                <w:iCs/>
                <w:noProof/>
                <w:sz w:val="20"/>
                <w:szCs w:val="20"/>
              </w:rPr>
            </w:pPr>
            <w:r w:rsidRPr="00B44B19">
              <w:rPr>
                <w:rFonts w:eastAsia="Times New Roman" w:cs="Times New Roman"/>
                <w:iCs/>
                <w:noProof/>
                <w:sz w:val="20"/>
                <w:szCs w:val="20"/>
              </w:rPr>
              <w:t>14</w:t>
            </w:r>
          </w:p>
        </w:tc>
        <w:tc>
          <w:tcPr>
            <w:tcW w:w="843" w:type="dxa"/>
            <w:vMerge w:val="restart"/>
            <w:tcBorders>
              <w:top w:val="single" w:sz="12" w:space="0" w:color="auto"/>
            </w:tcBorders>
          </w:tcPr>
          <w:p w14:paraId="0467981A" w14:textId="77777777" w:rsidR="0087201A" w:rsidRPr="00B44B19" w:rsidRDefault="0087201A" w:rsidP="009752E6">
            <w:pPr>
              <w:jc w:val="center"/>
              <w:rPr>
                <w:rFonts w:eastAsia="Times New Roman" w:cs="Times New Roman"/>
                <w:sz w:val="20"/>
                <w:szCs w:val="20"/>
              </w:rPr>
            </w:pPr>
            <w:r w:rsidRPr="00B44B19">
              <w:rPr>
                <w:rFonts w:eastAsia="Times New Roman" w:cs="Times New Roman"/>
                <w:sz w:val="20"/>
                <w:szCs w:val="20"/>
              </w:rPr>
              <w:t>SaF</w:t>
            </w:r>
          </w:p>
        </w:tc>
        <w:tc>
          <w:tcPr>
            <w:tcW w:w="1475" w:type="dxa"/>
            <w:vMerge w:val="restart"/>
            <w:tcBorders>
              <w:top w:val="single" w:sz="12" w:space="0" w:color="auto"/>
            </w:tcBorders>
          </w:tcPr>
          <w:p w14:paraId="79999CBE" w14:textId="00522341" w:rsidR="0087201A" w:rsidRPr="00B44B19" w:rsidRDefault="0087201A" w:rsidP="009752E6">
            <w:pPr>
              <w:rPr>
                <w:rFonts w:eastAsia="Times New Roman" w:cs="Times New Roman"/>
                <w:b/>
                <w:sz w:val="20"/>
                <w:szCs w:val="20"/>
              </w:rPr>
            </w:pPr>
            <w:r w:rsidRPr="00B44B19">
              <w:rPr>
                <w:rFonts w:eastAsia="Times New Roman" w:cs="Times New Roman"/>
                <w:sz w:val="20"/>
                <w:szCs w:val="20"/>
              </w:rPr>
              <w:t>Visa Lietuva</w:t>
            </w:r>
          </w:p>
        </w:tc>
        <w:tc>
          <w:tcPr>
            <w:tcW w:w="1134" w:type="dxa"/>
            <w:vMerge w:val="restart"/>
            <w:tcBorders>
              <w:top w:val="single" w:sz="12" w:space="0" w:color="auto"/>
            </w:tcBorders>
          </w:tcPr>
          <w:p w14:paraId="151F0FF3" w14:textId="77777777" w:rsidR="0087201A" w:rsidRPr="00B44B19" w:rsidRDefault="0087201A" w:rsidP="009752E6">
            <w:pPr>
              <w:jc w:val="center"/>
              <w:rPr>
                <w:rFonts w:eastAsia="Times New Roman" w:cs="Times New Roman"/>
                <w:sz w:val="20"/>
                <w:szCs w:val="20"/>
              </w:rPr>
            </w:pPr>
            <w:r w:rsidRPr="00B44B19">
              <w:rPr>
                <w:rFonts w:eastAsia="Times New Roman" w:cs="Times New Roman"/>
                <w:iCs/>
                <w:noProof/>
                <w:sz w:val="20"/>
                <w:szCs w:val="20"/>
              </w:rPr>
              <w:t>14.1</w:t>
            </w:r>
          </w:p>
          <w:p w14:paraId="63B3988B" w14:textId="77777777" w:rsidR="0087201A" w:rsidRPr="00B44B19" w:rsidRDefault="0087201A" w:rsidP="009752E6">
            <w:pPr>
              <w:jc w:val="center"/>
              <w:rPr>
                <w:rFonts w:eastAsia="Times New Roman" w:cs="Times New Roman"/>
                <w:sz w:val="20"/>
                <w:szCs w:val="20"/>
              </w:rPr>
            </w:pPr>
          </w:p>
        </w:tc>
        <w:tc>
          <w:tcPr>
            <w:tcW w:w="3544" w:type="dxa"/>
            <w:tcBorders>
              <w:top w:val="single" w:sz="12" w:space="0" w:color="auto"/>
              <w:bottom w:val="single" w:sz="4" w:space="0" w:color="auto"/>
            </w:tcBorders>
          </w:tcPr>
          <w:p w14:paraId="7BF00055" w14:textId="77777777" w:rsidR="0087201A" w:rsidRPr="00B44B19" w:rsidRDefault="0087201A" w:rsidP="009752E6">
            <w:pPr>
              <w:jc w:val="both"/>
              <w:rPr>
                <w:rFonts w:eastAsia="Times New Roman" w:cs="Times New Roman"/>
                <w:sz w:val="16"/>
                <w:szCs w:val="16"/>
              </w:rPr>
            </w:pPr>
            <w:r w:rsidRPr="00B44B19">
              <w:rPr>
                <w:rFonts w:eastAsia="Times New Roman" w:cs="Times New Roman"/>
                <w:sz w:val="20"/>
                <w:szCs w:val="20"/>
              </w:rPr>
              <w:t>091 – Rekonstruoti ar modernizuoti greitkeliai ir keliai – TEN-T pagrindinis tinklas</w:t>
            </w:r>
          </w:p>
        </w:tc>
        <w:tc>
          <w:tcPr>
            <w:tcW w:w="1701" w:type="dxa"/>
            <w:tcBorders>
              <w:top w:val="single" w:sz="12" w:space="0" w:color="auto"/>
              <w:bottom w:val="single" w:sz="4" w:space="0" w:color="auto"/>
            </w:tcBorders>
          </w:tcPr>
          <w:p w14:paraId="4149B60A" w14:textId="77777777" w:rsidR="0087201A" w:rsidRPr="00B44B19" w:rsidRDefault="0087201A" w:rsidP="009752E6">
            <w:pPr>
              <w:jc w:val="right"/>
              <w:rPr>
                <w:rFonts w:eastAsia="Times New Roman" w:cs="Times New Roman"/>
                <w:sz w:val="20"/>
                <w:szCs w:val="20"/>
              </w:rPr>
            </w:pPr>
            <w:r w:rsidRPr="00B44B19">
              <w:rPr>
                <w:rFonts w:cs="Times New Roman"/>
                <w:sz w:val="20"/>
                <w:szCs w:val="20"/>
              </w:rPr>
              <w:t>37 000 000,00</w:t>
            </w:r>
          </w:p>
        </w:tc>
      </w:tr>
      <w:tr w:rsidR="0087201A" w:rsidRPr="00B44B19" w14:paraId="5534B28F" w14:textId="77777777" w:rsidTr="003040E3">
        <w:tc>
          <w:tcPr>
            <w:tcW w:w="1069" w:type="dxa"/>
            <w:vMerge/>
          </w:tcPr>
          <w:p w14:paraId="07258184" w14:textId="77777777" w:rsidR="0087201A" w:rsidRPr="00B44B19" w:rsidRDefault="0087201A" w:rsidP="009752E6">
            <w:pPr>
              <w:jc w:val="center"/>
              <w:rPr>
                <w:rFonts w:eastAsia="Times New Roman" w:cs="Times New Roman"/>
                <w:iCs/>
                <w:noProof/>
                <w:sz w:val="20"/>
                <w:szCs w:val="20"/>
              </w:rPr>
            </w:pPr>
          </w:p>
        </w:tc>
        <w:tc>
          <w:tcPr>
            <w:tcW w:w="843" w:type="dxa"/>
            <w:vMerge/>
          </w:tcPr>
          <w:p w14:paraId="44E64BD7" w14:textId="77777777" w:rsidR="0087201A" w:rsidRPr="00B44B19" w:rsidRDefault="0087201A" w:rsidP="009752E6">
            <w:pPr>
              <w:jc w:val="center"/>
              <w:rPr>
                <w:rFonts w:eastAsia="Times New Roman" w:cs="Times New Roman"/>
                <w:iCs/>
                <w:noProof/>
                <w:sz w:val="20"/>
                <w:szCs w:val="20"/>
              </w:rPr>
            </w:pPr>
          </w:p>
        </w:tc>
        <w:tc>
          <w:tcPr>
            <w:tcW w:w="1475" w:type="dxa"/>
            <w:vMerge/>
          </w:tcPr>
          <w:p w14:paraId="51F85B5C" w14:textId="77777777" w:rsidR="0087201A" w:rsidRPr="00B44B19" w:rsidRDefault="0087201A" w:rsidP="009752E6">
            <w:pPr>
              <w:rPr>
                <w:rFonts w:eastAsia="Times New Roman" w:cs="Times New Roman"/>
                <w:iCs/>
                <w:noProof/>
                <w:sz w:val="20"/>
                <w:szCs w:val="20"/>
              </w:rPr>
            </w:pPr>
          </w:p>
        </w:tc>
        <w:tc>
          <w:tcPr>
            <w:tcW w:w="1134" w:type="dxa"/>
            <w:vMerge/>
          </w:tcPr>
          <w:p w14:paraId="3FD5B39C" w14:textId="77777777" w:rsidR="0087201A" w:rsidRPr="00B44B19" w:rsidRDefault="0087201A" w:rsidP="009752E6">
            <w:pPr>
              <w:jc w:val="center"/>
              <w:rPr>
                <w:rFonts w:eastAsia="Times New Roman" w:cs="Times New Roman"/>
                <w:iCs/>
                <w:noProof/>
                <w:sz w:val="20"/>
                <w:szCs w:val="20"/>
              </w:rPr>
            </w:pPr>
          </w:p>
        </w:tc>
        <w:tc>
          <w:tcPr>
            <w:tcW w:w="3544" w:type="dxa"/>
            <w:tcBorders>
              <w:top w:val="single" w:sz="4" w:space="0" w:color="auto"/>
              <w:bottom w:val="single" w:sz="4" w:space="0" w:color="auto"/>
            </w:tcBorders>
          </w:tcPr>
          <w:p w14:paraId="045843B0" w14:textId="77777777" w:rsidR="0087201A" w:rsidRPr="00B44B19" w:rsidRDefault="0087201A" w:rsidP="009752E6">
            <w:pPr>
              <w:jc w:val="both"/>
              <w:rPr>
                <w:rFonts w:eastAsia="Times New Roman" w:cs="Times New Roman"/>
                <w:bCs/>
                <w:iCs/>
                <w:noProof/>
                <w:sz w:val="20"/>
                <w:szCs w:val="20"/>
              </w:rPr>
            </w:pPr>
            <w:r w:rsidRPr="00B44B19">
              <w:rPr>
                <w:rFonts w:eastAsia="Times New Roman" w:cs="Times New Roman"/>
                <w:bCs/>
                <w:iCs/>
                <w:noProof/>
                <w:sz w:val="20"/>
                <w:szCs w:val="20"/>
              </w:rPr>
              <w:t>092 – Rekonstruoti ar modernizuoti greitkeliai ir keliai – TEN-T visuotinis tinklas</w:t>
            </w:r>
          </w:p>
        </w:tc>
        <w:tc>
          <w:tcPr>
            <w:tcW w:w="1701" w:type="dxa"/>
            <w:tcBorders>
              <w:top w:val="single" w:sz="4" w:space="0" w:color="auto"/>
              <w:bottom w:val="single" w:sz="4" w:space="0" w:color="auto"/>
            </w:tcBorders>
          </w:tcPr>
          <w:p w14:paraId="49296C83" w14:textId="77777777" w:rsidR="0087201A" w:rsidRPr="00B44B19" w:rsidRDefault="0087201A" w:rsidP="009752E6">
            <w:pPr>
              <w:jc w:val="right"/>
              <w:rPr>
                <w:rFonts w:cs="Times New Roman"/>
                <w:sz w:val="20"/>
                <w:szCs w:val="20"/>
              </w:rPr>
            </w:pPr>
            <w:r w:rsidRPr="00B44B19">
              <w:rPr>
                <w:rFonts w:cs="Times New Roman"/>
                <w:sz w:val="20"/>
                <w:szCs w:val="20"/>
              </w:rPr>
              <w:t>28 171 398,00</w:t>
            </w:r>
          </w:p>
        </w:tc>
      </w:tr>
      <w:tr w:rsidR="0087201A" w:rsidRPr="00B44B19" w14:paraId="61E3436D" w14:textId="77777777" w:rsidTr="003040E3">
        <w:tc>
          <w:tcPr>
            <w:tcW w:w="1069" w:type="dxa"/>
            <w:vMerge/>
          </w:tcPr>
          <w:p w14:paraId="61B2F10A" w14:textId="77777777" w:rsidR="0087201A" w:rsidRPr="00B44B19" w:rsidRDefault="0087201A" w:rsidP="009752E6">
            <w:pPr>
              <w:jc w:val="center"/>
              <w:rPr>
                <w:rFonts w:eastAsia="Times New Roman" w:cs="Times New Roman"/>
                <w:iCs/>
                <w:noProof/>
                <w:sz w:val="20"/>
                <w:szCs w:val="20"/>
              </w:rPr>
            </w:pPr>
          </w:p>
        </w:tc>
        <w:tc>
          <w:tcPr>
            <w:tcW w:w="843" w:type="dxa"/>
            <w:vMerge/>
          </w:tcPr>
          <w:p w14:paraId="28D5E55A" w14:textId="77777777" w:rsidR="0087201A" w:rsidRPr="00B44B19" w:rsidRDefault="0087201A" w:rsidP="009752E6">
            <w:pPr>
              <w:jc w:val="center"/>
              <w:rPr>
                <w:rFonts w:eastAsia="Times New Roman" w:cs="Times New Roman"/>
                <w:iCs/>
                <w:noProof/>
                <w:sz w:val="20"/>
                <w:szCs w:val="20"/>
              </w:rPr>
            </w:pPr>
          </w:p>
        </w:tc>
        <w:tc>
          <w:tcPr>
            <w:tcW w:w="1475" w:type="dxa"/>
            <w:vMerge/>
          </w:tcPr>
          <w:p w14:paraId="30CC6392" w14:textId="77777777" w:rsidR="0087201A" w:rsidRPr="00B44B19" w:rsidRDefault="0087201A" w:rsidP="009752E6">
            <w:pPr>
              <w:rPr>
                <w:rFonts w:eastAsia="Times New Roman" w:cs="Times New Roman"/>
                <w:iCs/>
                <w:noProof/>
                <w:sz w:val="20"/>
                <w:szCs w:val="20"/>
              </w:rPr>
            </w:pPr>
          </w:p>
        </w:tc>
        <w:tc>
          <w:tcPr>
            <w:tcW w:w="1134" w:type="dxa"/>
            <w:vMerge/>
          </w:tcPr>
          <w:p w14:paraId="2C14A285" w14:textId="77777777" w:rsidR="0087201A" w:rsidRPr="00B44B19" w:rsidRDefault="0087201A" w:rsidP="009752E6">
            <w:pPr>
              <w:jc w:val="center"/>
              <w:rPr>
                <w:rFonts w:eastAsia="Times New Roman" w:cs="Times New Roman"/>
                <w:iCs/>
                <w:noProof/>
                <w:sz w:val="20"/>
                <w:szCs w:val="20"/>
              </w:rPr>
            </w:pPr>
          </w:p>
        </w:tc>
        <w:tc>
          <w:tcPr>
            <w:tcW w:w="3544" w:type="dxa"/>
            <w:tcBorders>
              <w:top w:val="single" w:sz="4" w:space="0" w:color="auto"/>
              <w:bottom w:val="single" w:sz="12" w:space="0" w:color="auto"/>
            </w:tcBorders>
          </w:tcPr>
          <w:p w14:paraId="2EAB90EC" w14:textId="77777777" w:rsidR="0087201A" w:rsidRPr="00B44B19" w:rsidRDefault="0087201A" w:rsidP="009752E6">
            <w:pPr>
              <w:jc w:val="both"/>
              <w:rPr>
                <w:rFonts w:eastAsia="Times New Roman" w:cs="Times New Roman"/>
                <w:bCs/>
                <w:iCs/>
                <w:noProof/>
                <w:sz w:val="20"/>
                <w:szCs w:val="20"/>
              </w:rPr>
            </w:pPr>
            <w:r w:rsidRPr="00B44B19">
              <w:rPr>
                <w:rFonts w:eastAsia="Times New Roman" w:cs="Times New Roman"/>
                <w:bCs/>
                <w:iCs/>
                <w:noProof/>
                <w:sz w:val="20"/>
                <w:szCs w:val="20"/>
              </w:rPr>
              <w:t>108 – Daugiarūšis transportas (TEN-T)</w:t>
            </w:r>
          </w:p>
        </w:tc>
        <w:tc>
          <w:tcPr>
            <w:tcW w:w="1701" w:type="dxa"/>
            <w:tcBorders>
              <w:top w:val="single" w:sz="4" w:space="0" w:color="auto"/>
              <w:bottom w:val="single" w:sz="12" w:space="0" w:color="auto"/>
            </w:tcBorders>
          </w:tcPr>
          <w:p w14:paraId="06E387F4" w14:textId="77777777" w:rsidR="0087201A" w:rsidRPr="00B44B19" w:rsidRDefault="0087201A" w:rsidP="009752E6">
            <w:pPr>
              <w:jc w:val="right"/>
              <w:rPr>
                <w:rFonts w:cs="Times New Roman"/>
                <w:sz w:val="20"/>
                <w:szCs w:val="20"/>
              </w:rPr>
            </w:pPr>
            <w:r w:rsidRPr="00B44B19">
              <w:rPr>
                <w:rFonts w:cs="Times New Roman"/>
                <w:sz w:val="20"/>
                <w:szCs w:val="20"/>
              </w:rPr>
              <w:t>15 000 000,00</w:t>
            </w:r>
          </w:p>
        </w:tc>
      </w:tr>
      <w:tr w:rsidR="0087201A" w:rsidRPr="00B44B19" w14:paraId="6776361E" w14:textId="77777777" w:rsidTr="003040E3">
        <w:tc>
          <w:tcPr>
            <w:tcW w:w="1069" w:type="dxa"/>
            <w:vMerge/>
          </w:tcPr>
          <w:p w14:paraId="669E97BE" w14:textId="77777777" w:rsidR="0087201A" w:rsidRPr="00B44B19" w:rsidRDefault="0087201A" w:rsidP="009752E6">
            <w:pPr>
              <w:jc w:val="center"/>
              <w:rPr>
                <w:rFonts w:cs="Times New Roman"/>
                <w:noProof/>
                <w:sz w:val="16"/>
                <w:szCs w:val="16"/>
              </w:rPr>
            </w:pPr>
          </w:p>
        </w:tc>
        <w:tc>
          <w:tcPr>
            <w:tcW w:w="843" w:type="dxa"/>
            <w:vMerge w:val="restart"/>
            <w:tcBorders>
              <w:top w:val="single" w:sz="12" w:space="0" w:color="auto"/>
            </w:tcBorders>
          </w:tcPr>
          <w:p w14:paraId="6D304A7C" w14:textId="77777777" w:rsidR="0087201A" w:rsidRPr="00B44B19" w:rsidRDefault="0087201A" w:rsidP="009752E6">
            <w:pPr>
              <w:jc w:val="center"/>
              <w:rPr>
                <w:rFonts w:eastAsia="Times New Roman" w:cs="Times New Roman"/>
                <w:iCs/>
                <w:noProof/>
                <w:sz w:val="20"/>
                <w:szCs w:val="20"/>
              </w:rPr>
            </w:pPr>
            <w:r w:rsidRPr="00B44B19">
              <w:rPr>
                <w:rFonts w:eastAsia="Times New Roman" w:cs="Times New Roman"/>
                <w:sz w:val="20"/>
                <w:szCs w:val="20"/>
              </w:rPr>
              <w:t>ERPF</w:t>
            </w:r>
          </w:p>
          <w:p w14:paraId="70A6578D" w14:textId="77777777" w:rsidR="0087201A" w:rsidRPr="00B44B19" w:rsidRDefault="0087201A" w:rsidP="009752E6">
            <w:pPr>
              <w:jc w:val="center"/>
              <w:rPr>
                <w:rFonts w:eastAsia="Times New Roman" w:cs="Times New Roman"/>
                <w:iCs/>
                <w:noProof/>
                <w:sz w:val="20"/>
                <w:szCs w:val="20"/>
              </w:rPr>
            </w:pPr>
          </w:p>
          <w:p w14:paraId="3879BAA1" w14:textId="77777777" w:rsidR="0087201A" w:rsidRPr="00B44B19" w:rsidRDefault="0087201A" w:rsidP="009752E6">
            <w:pPr>
              <w:jc w:val="center"/>
              <w:rPr>
                <w:rFonts w:cs="Times New Roman"/>
                <w:sz w:val="16"/>
                <w:szCs w:val="16"/>
              </w:rPr>
            </w:pPr>
          </w:p>
        </w:tc>
        <w:tc>
          <w:tcPr>
            <w:tcW w:w="1475" w:type="dxa"/>
            <w:vMerge w:val="restart"/>
            <w:tcBorders>
              <w:top w:val="single" w:sz="12" w:space="0" w:color="auto"/>
            </w:tcBorders>
          </w:tcPr>
          <w:p w14:paraId="30F97673" w14:textId="77777777" w:rsidR="0087201A" w:rsidRPr="00B44B19" w:rsidRDefault="0087201A" w:rsidP="009752E6">
            <w:pPr>
              <w:rPr>
                <w:rFonts w:eastAsia="Times New Roman" w:cs="Times New Roman"/>
                <w:iCs/>
                <w:noProof/>
                <w:sz w:val="20"/>
                <w:szCs w:val="20"/>
              </w:rPr>
            </w:pPr>
            <w:r w:rsidRPr="00B44B19">
              <w:rPr>
                <w:rFonts w:eastAsia="Times New Roman" w:cs="Times New Roman"/>
                <w:sz w:val="20"/>
                <w:szCs w:val="20"/>
              </w:rPr>
              <w:t>VVL regionas</w:t>
            </w:r>
          </w:p>
          <w:p w14:paraId="6D41E9F3" w14:textId="77777777" w:rsidR="0087201A" w:rsidRPr="00B44B19" w:rsidRDefault="0087201A" w:rsidP="009752E6">
            <w:pPr>
              <w:rPr>
                <w:rFonts w:eastAsia="Times New Roman" w:cs="Times New Roman"/>
                <w:iCs/>
                <w:noProof/>
                <w:sz w:val="20"/>
                <w:szCs w:val="20"/>
              </w:rPr>
            </w:pPr>
          </w:p>
          <w:p w14:paraId="14B8F6C2" w14:textId="77777777" w:rsidR="0087201A" w:rsidRPr="00B44B19" w:rsidRDefault="0087201A" w:rsidP="009752E6">
            <w:pPr>
              <w:rPr>
                <w:rFonts w:eastAsia="Times New Roman" w:cs="Times New Roman"/>
                <w:iCs/>
                <w:noProof/>
                <w:sz w:val="20"/>
                <w:szCs w:val="20"/>
              </w:rPr>
            </w:pPr>
          </w:p>
          <w:p w14:paraId="16DF1E1C" w14:textId="77777777" w:rsidR="0087201A" w:rsidRPr="00B44B19" w:rsidRDefault="0087201A" w:rsidP="009752E6">
            <w:pPr>
              <w:rPr>
                <w:rFonts w:cs="Times New Roman"/>
                <w:b/>
                <w:sz w:val="16"/>
                <w:szCs w:val="16"/>
              </w:rPr>
            </w:pPr>
          </w:p>
        </w:tc>
        <w:tc>
          <w:tcPr>
            <w:tcW w:w="1134" w:type="dxa"/>
            <w:vMerge/>
          </w:tcPr>
          <w:p w14:paraId="0892E367" w14:textId="77777777" w:rsidR="0087201A" w:rsidRPr="00B44B19" w:rsidRDefault="0087201A" w:rsidP="009752E6">
            <w:pPr>
              <w:jc w:val="center"/>
              <w:rPr>
                <w:rFonts w:cs="Times New Roman"/>
                <w:sz w:val="16"/>
                <w:szCs w:val="16"/>
              </w:rPr>
            </w:pPr>
          </w:p>
        </w:tc>
        <w:tc>
          <w:tcPr>
            <w:tcW w:w="3544" w:type="dxa"/>
            <w:tcBorders>
              <w:top w:val="single" w:sz="12" w:space="0" w:color="auto"/>
              <w:bottom w:val="single" w:sz="4" w:space="0" w:color="auto"/>
            </w:tcBorders>
          </w:tcPr>
          <w:p w14:paraId="062AA7FC" w14:textId="77777777" w:rsidR="0087201A" w:rsidRPr="00B44B19" w:rsidDel="00AA781F" w:rsidRDefault="0087201A" w:rsidP="009752E6">
            <w:pPr>
              <w:jc w:val="both"/>
              <w:rPr>
                <w:rFonts w:eastAsia="Times New Roman" w:cs="Times New Roman"/>
                <w:sz w:val="16"/>
                <w:szCs w:val="16"/>
                <w:lang w:val="nl-BE"/>
              </w:rPr>
            </w:pPr>
            <w:r w:rsidRPr="00B44B19">
              <w:rPr>
                <w:rFonts w:eastAsia="Times New Roman" w:cs="Times New Roman"/>
                <w:sz w:val="20"/>
                <w:szCs w:val="20"/>
              </w:rPr>
              <w:t>091 – Rekonstruoti ar modernizuoti greitkeliai ir keliai – TEN-T pagrindinis tinklas</w:t>
            </w:r>
          </w:p>
        </w:tc>
        <w:tc>
          <w:tcPr>
            <w:tcW w:w="1701" w:type="dxa"/>
            <w:tcBorders>
              <w:top w:val="single" w:sz="12" w:space="0" w:color="auto"/>
              <w:bottom w:val="single" w:sz="4" w:space="0" w:color="auto"/>
            </w:tcBorders>
          </w:tcPr>
          <w:p w14:paraId="2D7B1F8D" w14:textId="77777777" w:rsidR="0087201A" w:rsidRPr="00B44B19" w:rsidDel="00A949B6" w:rsidRDefault="0087201A" w:rsidP="009752E6">
            <w:pPr>
              <w:jc w:val="right"/>
              <w:rPr>
                <w:rFonts w:eastAsia="Times New Roman" w:cs="Times New Roman"/>
                <w:sz w:val="20"/>
                <w:szCs w:val="20"/>
              </w:rPr>
            </w:pPr>
            <w:r w:rsidRPr="00B44B19">
              <w:rPr>
                <w:rFonts w:cs="Times New Roman"/>
                <w:sz w:val="20"/>
                <w:szCs w:val="20"/>
              </w:rPr>
              <w:t>25 000 000,00</w:t>
            </w:r>
          </w:p>
        </w:tc>
      </w:tr>
      <w:tr w:rsidR="0087201A" w:rsidRPr="00B44B19" w14:paraId="30DE25EB" w14:textId="77777777" w:rsidTr="003040E3">
        <w:tc>
          <w:tcPr>
            <w:tcW w:w="1069" w:type="dxa"/>
            <w:vMerge/>
          </w:tcPr>
          <w:p w14:paraId="3D070B32" w14:textId="77777777" w:rsidR="0087201A" w:rsidRPr="00B44B19" w:rsidRDefault="0087201A" w:rsidP="009752E6">
            <w:pPr>
              <w:jc w:val="center"/>
              <w:rPr>
                <w:rFonts w:cs="Times New Roman"/>
                <w:noProof/>
                <w:sz w:val="16"/>
                <w:szCs w:val="16"/>
              </w:rPr>
            </w:pPr>
          </w:p>
        </w:tc>
        <w:tc>
          <w:tcPr>
            <w:tcW w:w="843" w:type="dxa"/>
            <w:vMerge/>
          </w:tcPr>
          <w:p w14:paraId="52453F06" w14:textId="77777777" w:rsidR="0087201A" w:rsidRPr="00B44B19" w:rsidRDefault="0087201A" w:rsidP="009752E6">
            <w:pPr>
              <w:jc w:val="center"/>
              <w:rPr>
                <w:rFonts w:eastAsia="Times New Roman" w:cs="Times New Roman"/>
                <w:iCs/>
                <w:noProof/>
                <w:sz w:val="20"/>
                <w:szCs w:val="20"/>
              </w:rPr>
            </w:pPr>
          </w:p>
        </w:tc>
        <w:tc>
          <w:tcPr>
            <w:tcW w:w="1475" w:type="dxa"/>
            <w:vMerge/>
          </w:tcPr>
          <w:p w14:paraId="458FBC6B" w14:textId="77777777" w:rsidR="0087201A" w:rsidRPr="00B44B19" w:rsidRDefault="0087201A" w:rsidP="009752E6">
            <w:pPr>
              <w:rPr>
                <w:rFonts w:eastAsia="Times New Roman" w:cs="Times New Roman"/>
                <w:iCs/>
                <w:noProof/>
                <w:sz w:val="20"/>
                <w:szCs w:val="20"/>
              </w:rPr>
            </w:pPr>
          </w:p>
        </w:tc>
        <w:tc>
          <w:tcPr>
            <w:tcW w:w="1134" w:type="dxa"/>
            <w:vMerge/>
          </w:tcPr>
          <w:p w14:paraId="363C3CA6" w14:textId="77777777" w:rsidR="0087201A" w:rsidRPr="00B44B19" w:rsidRDefault="0087201A" w:rsidP="009752E6">
            <w:pPr>
              <w:jc w:val="center"/>
              <w:rPr>
                <w:rFonts w:cs="Times New Roman"/>
                <w:noProof/>
                <w:sz w:val="16"/>
                <w:szCs w:val="16"/>
              </w:rPr>
            </w:pPr>
          </w:p>
        </w:tc>
        <w:tc>
          <w:tcPr>
            <w:tcW w:w="3544" w:type="dxa"/>
            <w:tcBorders>
              <w:top w:val="single" w:sz="4" w:space="0" w:color="auto"/>
              <w:bottom w:val="single" w:sz="4" w:space="0" w:color="auto"/>
            </w:tcBorders>
          </w:tcPr>
          <w:p w14:paraId="3FEF75BC" w14:textId="77777777" w:rsidR="0087201A" w:rsidRPr="00B44B19" w:rsidRDefault="0087201A" w:rsidP="009752E6">
            <w:pPr>
              <w:jc w:val="both"/>
              <w:rPr>
                <w:rFonts w:eastAsia="Times New Roman" w:cs="Times New Roman"/>
                <w:bCs/>
                <w:iCs/>
                <w:noProof/>
                <w:sz w:val="20"/>
                <w:szCs w:val="20"/>
              </w:rPr>
            </w:pPr>
            <w:r w:rsidRPr="00B44B19">
              <w:rPr>
                <w:rFonts w:eastAsia="Times New Roman" w:cs="Times New Roman"/>
                <w:bCs/>
                <w:iCs/>
                <w:noProof/>
                <w:sz w:val="20"/>
                <w:szCs w:val="20"/>
              </w:rPr>
              <w:t>092 – Rekonstruoti ar modernizuoti greitkeliai ir keliai – TEN-T visuotinis tinklas</w:t>
            </w:r>
          </w:p>
        </w:tc>
        <w:tc>
          <w:tcPr>
            <w:tcW w:w="1701" w:type="dxa"/>
            <w:tcBorders>
              <w:top w:val="single" w:sz="4" w:space="0" w:color="auto"/>
              <w:bottom w:val="single" w:sz="4" w:space="0" w:color="auto"/>
            </w:tcBorders>
          </w:tcPr>
          <w:p w14:paraId="6084876F" w14:textId="77777777" w:rsidR="0087201A" w:rsidRPr="00B44B19" w:rsidRDefault="0087201A" w:rsidP="009752E6">
            <w:pPr>
              <w:jc w:val="right"/>
              <w:rPr>
                <w:rFonts w:cs="Times New Roman"/>
                <w:sz w:val="20"/>
                <w:szCs w:val="20"/>
              </w:rPr>
            </w:pPr>
            <w:r w:rsidRPr="00B44B19">
              <w:rPr>
                <w:rFonts w:cs="Times New Roman"/>
                <w:sz w:val="20"/>
                <w:szCs w:val="20"/>
              </w:rPr>
              <w:t>32 000 000,00</w:t>
            </w:r>
          </w:p>
          <w:p w14:paraId="574C9ADE" w14:textId="77777777" w:rsidR="0087201A" w:rsidRPr="00B44B19" w:rsidRDefault="0087201A" w:rsidP="009752E6">
            <w:pPr>
              <w:jc w:val="right"/>
              <w:rPr>
                <w:rFonts w:cs="Times New Roman"/>
                <w:sz w:val="20"/>
                <w:szCs w:val="20"/>
              </w:rPr>
            </w:pPr>
          </w:p>
        </w:tc>
      </w:tr>
      <w:tr w:rsidR="0087201A" w:rsidRPr="00B44B19" w14:paraId="02414AAC" w14:textId="77777777" w:rsidTr="003040E3">
        <w:tc>
          <w:tcPr>
            <w:tcW w:w="1069" w:type="dxa"/>
            <w:vMerge/>
          </w:tcPr>
          <w:p w14:paraId="55617818" w14:textId="77777777" w:rsidR="0087201A" w:rsidRPr="00B44B19" w:rsidRDefault="0087201A" w:rsidP="009752E6">
            <w:pPr>
              <w:jc w:val="center"/>
              <w:rPr>
                <w:rFonts w:cs="Times New Roman"/>
                <w:noProof/>
                <w:sz w:val="16"/>
                <w:szCs w:val="16"/>
              </w:rPr>
            </w:pPr>
          </w:p>
        </w:tc>
        <w:tc>
          <w:tcPr>
            <w:tcW w:w="843" w:type="dxa"/>
            <w:vMerge/>
          </w:tcPr>
          <w:p w14:paraId="174914C0" w14:textId="77777777" w:rsidR="0087201A" w:rsidRPr="00B44B19" w:rsidRDefault="0087201A" w:rsidP="009752E6">
            <w:pPr>
              <w:jc w:val="center"/>
              <w:rPr>
                <w:rFonts w:eastAsia="Times New Roman" w:cs="Times New Roman"/>
                <w:iCs/>
                <w:noProof/>
                <w:sz w:val="20"/>
                <w:szCs w:val="20"/>
              </w:rPr>
            </w:pPr>
          </w:p>
        </w:tc>
        <w:tc>
          <w:tcPr>
            <w:tcW w:w="1475" w:type="dxa"/>
            <w:vMerge/>
          </w:tcPr>
          <w:p w14:paraId="69ADD008" w14:textId="77777777" w:rsidR="0087201A" w:rsidRPr="00B44B19" w:rsidRDefault="0087201A" w:rsidP="009752E6">
            <w:pPr>
              <w:rPr>
                <w:rFonts w:eastAsia="Times New Roman" w:cs="Times New Roman"/>
                <w:iCs/>
                <w:noProof/>
                <w:sz w:val="20"/>
                <w:szCs w:val="20"/>
              </w:rPr>
            </w:pPr>
          </w:p>
        </w:tc>
        <w:tc>
          <w:tcPr>
            <w:tcW w:w="1134" w:type="dxa"/>
            <w:vMerge/>
          </w:tcPr>
          <w:p w14:paraId="4C12AB48" w14:textId="77777777" w:rsidR="0087201A" w:rsidRPr="00B44B19" w:rsidRDefault="0087201A" w:rsidP="009752E6">
            <w:pPr>
              <w:jc w:val="center"/>
              <w:rPr>
                <w:rFonts w:cs="Times New Roman"/>
                <w:noProof/>
                <w:sz w:val="16"/>
                <w:szCs w:val="16"/>
              </w:rPr>
            </w:pPr>
          </w:p>
        </w:tc>
        <w:tc>
          <w:tcPr>
            <w:tcW w:w="3544" w:type="dxa"/>
            <w:tcBorders>
              <w:top w:val="single" w:sz="4" w:space="0" w:color="auto"/>
              <w:bottom w:val="single" w:sz="4" w:space="0" w:color="auto"/>
            </w:tcBorders>
          </w:tcPr>
          <w:p w14:paraId="0341C3F9" w14:textId="77777777" w:rsidR="0087201A" w:rsidRPr="00B44B19" w:rsidRDefault="0087201A" w:rsidP="009752E6">
            <w:pPr>
              <w:jc w:val="both"/>
              <w:rPr>
                <w:rFonts w:eastAsia="Times New Roman" w:cs="Times New Roman"/>
                <w:bCs/>
                <w:iCs/>
                <w:noProof/>
                <w:sz w:val="20"/>
                <w:szCs w:val="20"/>
              </w:rPr>
            </w:pPr>
            <w:r w:rsidRPr="00B44B19">
              <w:rPr>
                <w:rFonts w:eastAsia="Times New Roman" w:cs="Times New Roman"/>
                <w:iCs/>
                <w:noProof/>
                <w:sz w:val="20"/>
                <w:szCs w:val="20"/>
              </w:rPr>
              <w:t>093 – Kiti rekonstruoti ar modernizuoti keliai (greitkeliai, nacionaliniai, regioniniai ar vietos keliai)</w:t>
            </w:r>
          </w:p>
        </w:tc>
        <w:tc>
          <w:tcPr>
            <w:tcW w:w="1701" w:type="dxa"/>
            <w:tcBorders>
              <w:top w:val="single" w:sz="4" w:space="0" w:color="auto"/>
              <w:bottom w:val="single" w:sz="4" w:space="0" w:color="auto"/>
            </w:tcBorders>
          </w:tcPr>
          <w:p w14:paraId="0D07E0A1" w14:textId="77777777" w:rsidR="0087201A" w:rsidRPr="00B44B19" w:rsidRDefault="0087201A" w:rsidP="009752E6">
            <w:pPr>
              <w:jc w:val="right"/>
              <w:rPr>
                <w:rFonts w:cs="Times New Roman"/>
                <w:sz w:val="20"/>
                <w:szCs w:val="20"/>
              </w:rPr>
            </w:pPr>
            <w:r w:rsidRPr="00B44B19">
              <w:rPr>
                <w:rFonts w:cs="Times New Roman"/>
                <w:sz w:val="20"/>
                <w:szCs w:val="20"/>
              </w:rPr>
              <w:t>23 466 680,00</w:t>
            </w:r>
          </w:p>
        </w:tc>
      </w:tr>
      <w:tr w:rsidR="0087201A" w:rsidRPr="00B44B19" w14:paraId="28968E0C" w14:textId="77777777" w:rsidTr="003040E3">
        <w:tc>
          <w:tcPr>
            <w:tcW w:w="1069" w:type="dxa"/>
            <w:vMerge/>
            <w:tcBorders>
              <w:bottom w:val="single" w:sz="12" w:space="0" w:color="auto"/>
            </w:tcBorders>
          </w:tcPr>
          <w:p w14:paraId="1DDA6C36" w14:textId="77777777" w:rsidR="0087201A" w:rsidRPr="00B44B19" w:rsidRDefault="0087201A" w:rsidP="009752E6">
            <w:pPr>
              <w:jc w:val="center"/>
              <w:rPr>
                <w:rFonts w:cs="Times New Roman"/>
                <w:noProof/>
                <w:sz w:val="16"/>
                <w:szCs w:val="16"/>
              </w:rPr>
            </w:pPr>
          </w:p>
        </w:tc>
        <w:tc>
          <w:tcPr>
            <w:tcW w:w="843" w:type="dxa"/>
            <w:vMerge/>
            <w:tcBorders>
              <w:bottom w:val="single" w:sz="12" w:space="0" w:color="auto"/>
            </w:tcBorders>
          </w:tcPr>
          <w:p w14:paraId="5F7625FE" w14:textId="77777777" w:rsidR="0087201A" w:rsidRPr="00B44B19" w:rsidRDefault="0087201A" w:rsidP="009752E6">
            <w:pPr>
              <w:jc w:val="center"/>
              <w:rPr>
                <w:rFonts w:eastAsia="Times New Roman" w:cs="Times New Roman"/>
                <w:iCs/>
                <w:noProof/>
                <w:sz w:val="20"/>
                <w:szCs w:val="20"/>
              </w:rPr>
            </w:pPr>
          </w:p>
        </w:tc>
        <w:tc>
          <w:tcPr>
            <w:tcW w:w="1475" w:type="dxa"/>
            <w:vMerge/>
            <w:tcBorders>
              <w:bottom w:val="single" w:sz="12" w:space="0" w:color="auto"/>
            </w:tcBorders>
          </w:tcPr>
          <w:p w14:paraId="529C6B12" w14:textId="77777777" w:rsidR="0087201A" w:rsidRPr="00B44B19" w:rsidRDefault="0087201A" w:rsidP="009752E6">
            <w:pPr>
              <w:rPr>
                <w:rFonts w:eastAsia="Times New Roman" w:cs="Times New Roman"/>
                <w:iCs/>
                <w:noProof/>
                <w:sz w:val="20"/>
                <w:szCs w:val="20"/>
              </w:rPr>
            </w:pPr>
          </w:p>
        </w:tc>
        <w:tc>
          <w:tcPr>
            <w:tcW w:w="1134" w:type="dxa"/>
            <w:vMerge/>
            <w:tcBorders>
              <w:bottom w:val="single" w:sz="12" w:space="0" w:color="auto"/>
            </w:tcBorders>
          </w:tcPr>
          <w:p w14:paraId="55C47DA9" w14:textId="77777777" w:rsidR="0087201A" w:rsidRPr="00B44B19" w:rsidRDefault="0087201A" w:rsidP="009752E6">
            <w:pPr>
              <w:jc w:val="center"/>
              <w:rPr>
                <w:rFonts w:cs="Times New Roman"/>
                <w:noProof/>
                <w:sz w:val="16"/>
                <w:szCs w:val="16"/>
              </w:rPr>
            </w:pPr>
          </w:p>
        </w:tc>
        <w:tc>
          <w:tcPr>
            <w:tcW w:w="3544" w:type="dxa"/>
            <w:tcBorders>
              <w:top w:val="single" w:sz="4" w:space="0" w:color="auto"/>
              <w:bottom w:val="single" w:sz="12" w:space="0" w:color="auto"/>
            </w:tcBorders>
          </w:tcPr>
          <w:p w14:paraId="6E159A5A" w14:textId="77777777" w:rsidR="0087201A" w:rsidRPr="00B44B19" w:rsidRDefault="0087201A" w:rsidP="009752E6">
            <w:pPr>
              <w:jc w:val="both"/>
              <w:rPr>
                <w:rFonts w:eastAsia="Times New Roman" w:cs="Times New Roman"/>
                <w:iCs/>
                <w:noProof/>
                <w:sz w:val="20"/>
                <w:szCs w:val="20"/>
              </w:rPr>
            </w:pPr>
            <w:r w:rsidRPr="00B44B19">
              <w:rPr>
                <w:rFonts w:eastAsia="Times New Roman" w:cs="Times New Roman"/>
                <w:bCs/>
                <w:iCs/>
                <w:noProof/>
                <w:sz w:val="20"/>
                <w:szCs w:val="20"/>
              </w:rPr>
              <w:t>102 – Kiti rekonstruoti ar modernizuoti geležinkeliai</w:t>
            </w:r>
          </w:p>
        </w:tc>
        <w:tc>
          <w:tcPr>
            <w:tcW w:w="1701" w:type="dxa"/>
            <w:tcBorders>
              <w:top w:val="single" w:sz="4" w:space="0" w:color="auto"/>
              <w:bottom w:val="single" w:sz="12" w:space="0" w:color="auto"/>
            </w:tcBorders>
          </w:tcPr>
          <w:p w14:paraId="4DCF665B" w14:textId="77777777" w:rsidR="0087201A" w:rsidRPr="00B44B19" w:rsidRDefault="0087201A" w:rsidP="009752E6">
            <w:pPr>
              <w:jc w:val="right"/>
              <w:rPr>
                <w:rFonts w:cs="Times New Roman"/>
                <w:sz w:val="20"/>
                <w:szCs w:val="20"/>
              </w:rPr>
            </w:pPr>
            <w:r w:rsidRPr="00B44B19">
              <w:rPr>
                <w:rFonts w:cs="Times New Roman"/>
                <w:color w:val="000000" w:themeColor="text1"/>
                <w:sz w:val="20"/>
                <w:szCs w:val="20"/>
              </w:rPr>
              <w:t>961 923,00</w:t>
            </w:r>
          </w:p>
        </w:tc>
      </w:tr>
    </w:tbl>
    <w:p w14:paraId="32D425CC" w14:textId="77777777" w:rsidR="0087201A" w:rsidRPr="00B44B19" w:rsidRDefault="0087201A" w:rsidP="0087201A">
      <w:pPr>
        <w:spacing w:after="0" w:line="240" w:lineRule="auto"/>
        <w:rPr>
          <w:rFonts w:eastAsia="Times New Roman" w:cs="Times New Roman"/>
          <w:sz w:val="20"/>
          <w:szCs w:val="20"/>
        </w:rPr>
      </w:pPr>
    </w:p>
    <w:tbl>
      <w:tblPr>
        <w:tblStyle w:val="Lentelstinklelis"/>
        <w:tblW w:w="9747" w:type="dxa"/>
        <w:tblLayout w:type="fixed"/>
        <w:tblLook w:val="04A0" w:firstRow="1" w:lastRow="0" w:firstColumn="1" w:lastColumn="0" w:noHBand="0" w:noVBand="1"/>
      </w:tblPr>
      <w:tblGrid>
        <w:gridCol w:w="1101"/>
        <w:gridCol w:w="850"/>
        <w:gridCol w:w="1436"/>
        <w:gridCol w:w="1134"/>
        <w:gridCol w:w="3601"/>
        <w:gridCol w:w="1625"/>
      </w:tblGrid>
      <w:tr w:rsidR="0087201A" w:rsidRPr="00B44B19" w14:paraId="0BB8CA9D"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FBAC8DF"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5 lentelė. 2 matmuo. Finansavimo forma</w:t>
            </w:r>
          </w:p>
        </w:tc>
      </w:tr>
      <w:tr w:rsidR="0087201A" w:rsidRPr="00B44B19" w14:paraId="39372F6E"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4193F8"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D66E02"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43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646FF32"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B8EB0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6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1DE296"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8A42F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198034EB" w14:textId="77777777" w:rsidTr="003040E3">
        <w:tc>
          <w:tcPr>
            <w:tcW w:w="1101" w:type="dxa"/>
            <w:vMerge w:val="restart"/>
            <w:tcBorders>
              <w:top w:val="single" w:sz="12" w:space="0" w:color="auto"/>
            </w:tcBorders>
          </w:tcPr>
          <w:p w14:paraId="15236FEC"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14</w:t>
            </w:r>
          </w:p>
          <w:p w14:paraId="0B8965DD" w14:textId="77777777" w:rsidR="0087201A" w:rsidRPr="00B44B19" w:rsidRDefault="0087201A" w:rsidP="0087201A">
            <w:pPr>
              <w:spacing w:after="200"/>
              <w:jc w:val="center"/>
              <w:rPr>
                <w:rFonts w:eastAsia="Times New Roman" w:cs="Times New Roman"/>
                <w:iCs/>
                <w:noProof/>
                <w:sz w:val="20"/>
                <w:szCs w:val="20"/>
              </w:rPr>
            </w:pPr>
          </w:p>
        </w:tc>
        <w:tc>
          <w:tcPr>
            <w:tcW w:w="850" w:type="dxa"/>
            <w:tcBorders>
              <w:top w:val="single" w:sz="12" w:space="0" w:color="auto"/>
              <w:bottom w:val="single" w:sz="4" w:space="0" w:color="auto"/>
            </w:tcBorders>
          </w:tcPr>
          <w:p w14:paraId="31157A72"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SaF</w:t>
            </w:r>
          </w:p>
        </w:tc>
        <w:tc>
          <w:tcPr>
            <w:tcW w:w="1436" w:type="dxa"/>
            <w:tcBorders>
              <w:top w:val="single" w:sz="12" w:space="0" w:color="auto"/>
              <w:bottom w:val="single" w:sz="4" w:space="0" w:color="auto"/>
            </w:tcBorders>
          </w:tcPr>
          <w:p w14:paraId="200732DE"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Visa Lietuva</w:t>
            </w:r>
          </w:p>
        </w:tc>
        <w:tc>
          <w:tcPr>
            <w:tcW w:w="1134" w:type="dxa"/>
            <w:vMerge w:val="restart"/>
            <w:tcBorders>
              <w:top w:val="single" w:sz="12" w:space="0" w:color="auto"/>
            </w:tcBorders>
          </w:tcPr>
          <w:p w14:paraId="4F37451D" w14:textId="77777777" w:rsidR="0087201A" w:rsidRPr="00B44B19" w:rsidRDefault="0087201A" w:rsidP="0087201A">
            <w:pPr>
              <w:spacing w:after="200"/>
              <w:jc w:val="center"/>
              <w:rPr>
                <w:rFonts w:eastAsia="Times New Roman" w:cs="Times New Roman"/>
                <w:noProof/>
                <w:sz w:val="20"/>
                <w:szCs w:val="20"/>
              </w:rPr>
            </w:pPr>
            <w:r w:rsidRPr="00B44B19">
              <w:rPr>
                <w:rFonts w:eastAsia="Times New Roman" w:cs="Times New Roman"/>
                <w:noProof/>
                <w:sz w:val="20"/>
                <w:szCs w:val="20"/>
              </w:rPr>
              <w:t>14.1</w:t>
            </w:r>
          </w:p>
        </w:tc>
        <w:tc>
          <w:tcPr>
            <w:tcW w:w="3601" w:type="dxa"/>
            <w:tcBorders>
              <w:top w:val="single" w:sz="12" w:space="0" w:color="auto"/>
              <w:bottom w:val="single" w:sz="4" w:space="0" w:color="auto"/>
            </w:tcBorders>
          </w:tcPr>
          <w:p w14:paraId="16635AE8"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01 - Dotacija</w:t>
            </w:r>
          </w:p>
        </w:tc>
        <w:tc>
          <w:tcPr>
            <w:tcW w:w="1625" w:type="dxa"/>
            <w:tcBorders>
              <w:top w:val="single" w:sz="12" w:space="0" w:color="auto"/>
              <w:bottom w:val="single" w:sz="4" w:space="0" w:color="auto"/>
            </w:tcBorders>
          </w:tcPr>
          <w:p w14:paraId="7CA322EF" w14:textId="77777777" w:rsidR="0087201A" w:rsidRPr="00B44B19" w:rsidRDefault="0087201A" w:rsidP="0087201A">
            <w:pPr>
              <w:spacing w:after="200"/>
              <w:jc w:val="right"/>
              <w:rPr>
                <w:rFonts w:cs="Times New Roman"/>
                <w:sz w:val="20"/>
                <w:szCs w:val="20"/>
              </w:rPr>
            </w:pPr>
            <w:r w:rsidRPr="00B44B19">
              <w:rPr>
                <w:rFonts w:cs="Times New Roman"/>
                <w:sz w:val="20"/>
                <w:szCs w:val="20"/>
              </w:rPr>
              <w:t>80 171 398,00</w:t>
            </w:r>
          </w:p>
        </w:tc>
      </w:tr>
      <w:tr w:rsidR="0087201A" w:rsidRPr="00B44B19" w14:paraId="5067A7EE" w14:textId="77777777" w:rsidTr="003040E3">
        <w:tc>
          <w:tcPr>
            <w:tcW w:w="1101" w:type="dxa"/>
            <w:vMerge/>
          </w:tcPr>
          <w:p w14:paraId="667AEC37" w14:textId="77777777" w:rsidR="0087201A" w:rsidRPr="00B44B19" w:rsidRDefault="0087201A" w:rsidP="0087201A">
            <w:pPr>
              <w:spacing w:after="200"/>
              <w:jc w:val="center"/>
              <w:rPr>
                <w:rFonts w:eastAsia="Times New Roman" w:cs="Times New Roman"/>
                <w:iCs/>
                <w:noProof/>
                <w:sz w:val="20"/>
                <w:szCs w:val="20"/>
              </w:rPr>
            </w:pPr>
          </w:p>
        </w:tc>
        <w:tc>
          <w:tcPr>
            <w:tcW w:w="850" w:type="dxa"/>
            <w:tcBorders>
              <w:top w:val="single" w:sz="4" w:space="0" w:color="auto"/>
              <w:bottom w:val="single" w:sz="4" w:space="0" w:color="auto"/>
            </w:tcBorders>
          </w:tcPr>
          <w:p w14:paraId="14C4F9D0"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436" w:type="dxa"/>
            <w:tcBorders>
              <w:top w:val="single" w:sz="4" w:space="0" w:color="auto"/>
              <w:bottom w:val="single" w:sz="4" w:space="0" w:color="auto"/>
            </w:tcBorders>
          </w:tcPr>
          <w:p w14:paraId="63B04F64"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34" w:type="dxa"/>
            <w:vMerge/>
          </w:tcPr>
          <w:p w14:paraId="7DE29D52" w14:textId="77777777" w:rsidR="0087201A" w:rsidRPr="00B44B19" w:rsidRDefault="0087201A" w:rsidP="0087201A">
            <w:pPr>
              <w:spacing w:after="200"/>
              <w:jc w:val="center"/>
              <w:rPr>
                <w:rFonts w:eastAsia="Times New Roman" w:cs="Times New Roman"/>
                <w:b/>
                <w:iCs/>
                <w:noProof/>
                <w:sz w:val="20"/>
                <w:szCs w:val="20"/>
              </w:rPr>
            </w:pPr>
          </w:p>
        </w:tc>
        <w:tc>
          <w:tcPr>
            <w:tcW w:w="3601" w:type="dxa"/>
            <w:tcBorders>
              <w:top w:val="single" w:sz="4" w:space="0" w:color="auto"/>
              <w:bottom w:val="single" w:sz="4" w:space="0" w:color="auto"/>
            </w:tcBorders>
          </w:tcPr>
          <w:p w14:paraId="79BA4580"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01 - Dotacija</w:t>
            </w:r>
          </w:p>
        </w:tc>
        <w:tc>
          <w:tcPr>
            <w:tcW w:w="1625" w:type="dxa"/>
            <w:tcBorders>
              <w:top w:val="single" w:sz="4" w:space="0" w:color="auto"/>
              <w:bottom w:val="single" w:sz="4" w:space="0" w:color="auto"/>
            </w:tcBorders>
          </w:tcPr>
          <w:p w14:paraId="7A09434C" w14:textId="77777777" w:rsidR="0087201A" w:rsidRPr="00B44B19" w:rsidRDefault="0087201A" w:rsidP="0087201A">
            <w:pPr>
              <w:spacing w:after="200"/>
              <w:jc w:val="right"/>
              <w:rPr>
                <w:rFonts w:cs="Times New Roman"/>
                <w:sz w:val="20"/>
                <w:szCs w:val="20"/>
              </w:rPr>
            </w:pPr>
            <w:r w:rsidRPr="00B44B19">
              <w:rPr>
                <w:rFonts w:cs="Times New Roman"/>
                <w:sz w:val="20"/>
                <w:szCs w:val="20"/>
              </w:rPr>
              <w:t>81 428 603,00</w:t>
            </w:r>
          </w:p>
        </w:tc>
      </w:tr>
    </w:tbl>
    <w:p w14:paraId="33A22FE7" w14:textId="77777777" w:rsidR="0087201A" w:rsidRPr="00B44B19" w:rsidRDefault="0087201A" w:rsidP="0087201A">
      <w:pPr>
        <w:spacing w:after="0" w:line="240" w:lineRule="auto"/>
        <w:rPr>
          <w:rFonts w:eastAsia="Times New Roman" w:cs="Times New Roman"/>
          <w:sz w:val="20"/>
          <w:szCs w:val="20"/>
        </w:rPr>
      </w:pPr>
    </w:p>
    <w:tbl>
      <w:tblPr>
        <w:tblStyle w:val="Lentelstinklelis"/>
        <w:tblW w:w="9766" w:type="dxa"/>
        <w:tblLook w:val="04A0" w:firstRow="1" w:lastRow="0" w:firstColumn="1" w:lastColumn="0" w:noHBand="0" w:noVBand="1"/>
      </w:tblPr>
      <w:tblGrid>
        <w:gridCol w:w="1093"/>
        <w:gridCol w:w="849"/>
        <w:gridCol w:w="1443"/>
        <w:gridCol w:w="1133"/>
        <w:gridCol w:w="3497"/>
        <w:gridCol w:w="1751"/>
      </w:tblGrid>
      <w:tr w:rsidR="0087201A" w:rsidRPr="00B44B19" w14:paraId="5ABDD874"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0146D9B"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87201A" w:rsidRPr="00B44B19" w14:paraId="7167493A" w14:textId="77777777" w:rsidTr="009752E6">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25D1C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EE826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4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0CCC6F"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0B8834"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49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75107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7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05ED24"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543595E4" w14:textId="77777777" w:rsidTr="009752E6">
        <w:trPr>
          <w:trHeight w:val="303"/>
        </w:trPr>
        <w:tc>
          <w:tcPr>
            <w:tcW w:w="1093" w:type="dxa"/>
            <w:vMerge w:val="restart"/>
          </w:tcPr>
          <w:p w14:paraId="22713D65"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14</w:t>
            </w:r>
          </w:p>
        </w:tc>
        <w:tc>
          <w:tcPr>
            <w:tcW w:w="849" w:type="dxa"/>
          </w:tcPr>
          <w:p w14:paraId="6D4D00F7"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SaF</w:t>
            </w:r>
          </w:p>
        </w:tc>
        <w:tc>
          <w:tcPr>
            <w:tcW w:w="1443" w:type="dxa"/>
          </w:tcPr>
          <w:p w14:paraId="3E2AE331"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Visa Lietuva</w:t>
            </w:r>
          </w:p>
        </w:tc>
        <w:tc>
          <w:tcPr>
            <w:tcW w:w="1133" w:type="dxa"/>
            <w:vMerge w:val="restart"/>
          </w:tcPr>
          <w:p w14:paraId="0E5A922A" w14:textId="77777777" w:rsidR="0087201A" w:rsidRPr="00B44B19" w:rsidRDefault="0087201A" w:rsidP="0087201A">
            <w:pPr>
              <w:spacing w:after="200"/>
              <w:jc w:val="center"/>
              <w:rPr>
                <w:rFonts w:eastAsia="Times New Roman" w:cs="Times New Roman"/>
                <w:b/>
                <w:bCs/>
                <w:noProof/>
                <w:sz w:val="20"/>
                <w:szCs w:val="20"/>
              </w:rPr>
            </w:pPr>
            <w:r w:rsidRPr="00B44B19">
              <w:rPr>
                <w:rFonts w:eastAsia="Times New Roman" w:cs="Times New Roman"/>
                <w:noProof/>
                <w:sz w:val="20"/>
                <w:szCs w:val="20"/>
              </w:rPr>
              <w:t>14.1</w:t>
            </w:r>
          </w:p>
          <w:p w14:paraId="43A6140C" w14:textId="77777777" w:rsidR="0087201A" w:rsidRPr="00B44B19" w:rsidRDefault="0087201A" w:rsidP="0087201A">
            <w:pPr>
              <w:spacing w:after="200"/>
              <w:jc w:val="center"/>
              <w:rPr>
                <w:rFonts w:eastAsia="Times New Roman" w:cs="Times New Roman"/>
                <w:b/>
                <w:iCs/>
                <w:noProof/>
                <w:sz w:val="20"/>
                <w:szCs w:val="20"/>
              </w:rPr>
            </w:pPr>
          </w:p>
        </w:tc>
        <w:tc>
          <w:tcPr>
            <w:tcW w:w="3497" w:type="dxa"/>
          </w:tcPr>
          <w:p w14:paraId="555BF271"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33 – Nesiorientuojant į teritoriškumą</w:t>
            </w:r>
          </w:p>
        </w:tc>
        <w:tc>
          <w:tcPr>
            <w:tcW w:w="1751" w:type="dxa"/>
          </w:tcPr>
          <w:p w14:paraId="4370A9F9" w14:textId="77777777" w:rsidR="0087201A" w:rsidRPr="00B44B19" w:rsidRDefault="0087201A" w:rsidP="0087201A">
            <w:pPr>
              <w:spacing w:after="200"/>
              <w:jc w:val="right"/>
              <w:rPr>
                <w:rFonts w:cs="Times New Roman"/>
                <w:sz w:val="16"/>
                <w:szCs w:val="16"/>
              </w:rPr>
            </w:pPr>
            <w:r w:rsidRPr="00B44B19">
              <w:rPr>
                <w:rFonts w:cs="Times New Roman"/>
                <w:sz w:val="20"/>
                <w:szCs w:val="20"/>
              </w:rPr>
              <w:t>80 171 398,00</w:t>
            </w:r>
          </w:p>
        </w:tc>
      </w:tr>
      <w:tr w:rsidR="0087201A" w:rsidRPr="00B44B19" w14:paraId="68F0D3DF" w14:textId="77777777" w:rsidTr="009752E6">
        <w:trPr>
          <w:trHeight w:val="303"/>
        </w:trPr>
        <w:tc>
          <w:tcPr>
            <w:tcW w:w="1093" w:type="dxa"/>
            <w:vMerge/>
          </w:tcPr>
          <w:p w14:paraId="26C41CE7" w14:textId="77777777" w:rsidR="0087201A" w:rsidRPr="00B44B19" w:rsidRDefault="0087201A" w:rsidP="0087201A">
            <w:pPr>
              <w:spacing w:after="200"/>
              <w:jc w:val="center"/>
              <w:rPr>
                <w:rFonts w:eastAsia="Times New Roman" w:cs="Times New Roman"/>
                <w:iCs/>
                <w:noProof/>
                <w:sz w:val="20"/>
                <w:szCs w:val="20"/>
              </w:rPr>
            </w:pPr>
          </w:p>
        </w:tc>
        <w:tc>
          <w:tcPr>
            <w:tcW w:w="849" w:type="dxa"/>
          </w:tcPr>
          <w:p w14:paraId="4C9591EC"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443" w:type="dxa"/>
          </w:tcPr>
          <w:p w14:paraId="210BF9EE"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VVL regionas</w:t>
            </w:r>
          </w:p>
        </w:tc>
        <w:tc>
          <w:tcPr>
            <w:tcW w:w="1133" w:type="dxa"/>
            <w:vMerge/>
          </w:tcPr>
          <w:p w14:paraId="637FE837" w14:textId="77777777" w:rsidR="0087201A" w:rsidRPr="00B44B19" w:rsidRDefault="0087201A" w:rsidP="0087201A">
            <w:pPr>
              <w:spacing w:after="200"/>
              <w:jc w:val="center"/>
              <w:rPr>
                <w:rFonts w:eastAsia="Times New Roman" w:cs="Times New Roman"/>
                <w:b/>
                <w:iCs/>
                <w:noProof/>
                <w:sz w:val="20"/>
                <w:szCs w:val="20"/>
              </w:rPr>
            </w:pPr>
          </w:p>
        </w:tc>
        <w:tc>
          <w:tcPr>
            <w:tcW w:w="3497" w:type="dxa"/>
          </w:tcPr>
          <w:p w14:paraId="3CFC6E22"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33 – Nesiorientuojant į teritoriškumą</w:t>
            </w:r>
          </w:p>
        </w:tc>
        <w:tc>
          <w:tcPr>
            <w:tcW w:w="1751" w:type="dxa"/>
          </w:tcPr>
          <w:p w14:paraId="3B19D443" w14:textId="77777777" w:rsidR="0087201A" w:rsidRPr="00B44B19" w:rsidRDefault="0087201A" w:rsidP="0087201A">
            <w:pPr>
              <w:spacing w:after="200"/>
              <w:jc w:val="right"/>
              <w:rPr>
                <w:rFonts w:cs="Times New Roman"/>
                <w:sz w:val="16"/>
                <w:szCs w:val="16"/>
              </w:rPr>
            </w:pPr>
            <w:r w:rsidRPr="00B44B19">
              <w:rPr>
                <w:rFonts w:cs="Times New Roman"/>
                <w:sz w:val="20"/>
                <w:szCs w:val="20"/>
              </w:rPr>
              <w:t>81 428 603,00</w:t>
            </w:r>
          </w:p>
        </w:tc>
      </w:tr>
    </w:tbl>
    <w:p w14:paraId="79FD016D" w14:textId="77777777" w:rsidR="0087201A" w:rsidRPr="00B44B19" w:rsidRDefault="0087201A" w:rsidP="00220EE5">
      <w:pPr>
        <w:spacing w:after="0"/>
        <w:rPr>
          <w:rFonts w:cs="Times New Roman"/>
        </w:rPr>
      </w:pPr>
    </w:p>
    <w:tbl>
      <w:tblPr>
        <w:tblStyle w:val="Lentelstinklelis30"/>
        <w:tblW w:w="9747" w:type="dxa"/>
        <w:tblLayout w:type="fixed"/>
        <w:tblLook w:val="04A0" w:firstRow="1" w:lastRow="0" w:firstColumn="1" w:lastColumn="0" w:noHBand="0" w:noVBand="1"/>
      </w:tblPr>
      <w:tblGrid>
        <w:gridCol w:w="1101"/>
        <w:gridCol w:w="850"/>
        <w:gridCol w:w="1436"/>
        <w:gridCol w:w="1134"/>
        <w:gridCol w:w="3719"/>
        <w:gridCol w:w="1507"/>
      </w:tblGrid>
      <w:tr w:rsidR="0087201A" w:rsidRPr="00B44B19" w14:paraId="2066CDB3"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A2CB69E" w14:textId="77777777" w:rsidR="0087201A" w:rsidRPr="00B44B19" w:rsidRDefault="0087201A" w:rsidP="0087201A">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87201A" w:rsidRPr="00B44B19" w14:paraId="62FF110A"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EE2113" w14:textId="77777777" w:rsidR="0087201A" w:rsidRPr="00B44B19" w:rsidRDefault="0087201A" w:rsidP="0087201A">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778F99" w14:textId="77777777" w:rsidR="0087201A" w:rsidRPr="00B44B19" w:rsidRDefault="0087201A" w:rsidP="0087201A">
            <w:pPr>
              <w:jc w:val="center"/>
              <w:rPr>
                <w:b/>
                <w:iCs/>
                <w:noProof/>
                <w:sz w:val="20"/>
              </w:rPr>
            </w:pPr>
            <w:r w:rsidRPr="00B44B19">
              <w:rPr>
                <w:b/>
                <w:noProof/>
                <w:sz w:val="20"/>
              </w:rPr>
              <w:t>Fondas</w:t>
            </w:r>
          </w:p>
        </w:tc>
        <w:tc>
          <w:tcPr>
            <w:tcW w:w="143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CCB52E" w14:textId="77777777" w:rsidR="0087201A" w:rsidRPr="00B44B19" w:rsidRDefault="0087201A" w:rsidP="0087201A">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4F5BF5" w14:textId="77777777" w:rsidR="0087201A" w:rsidRPr="00B44B19" w:rsidRDefault="0087201A" w:rsidP="0087201A">
            <w:pPr>
              <w:jc w:val="center"/>
              <w:rPr>
                <w:b/>
                <w:iCs/>
                <w:noProof/>
                <w:sz w:val="20"/>
              </w:rPr>
            </w:pPr>
            <w:r w:rsidRPr="00B44B19">
              <w:rPr>
                <w:b/>
                <w:noProof/>
                <w:sz w:val="20"/>
              </w:rPr>
              <w:t>Konkretus uždavinys</w:t>
            </w:r>
          </w:p>
        </w:tc>
        <w:tc>
          <w:tcPr>
            <w:tcW w:w="37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87B353" w14:textId="77777777" w:rsidR="0087201A" w:rsidRPr="00B44B19" w:rsidRDefault="0087201A" w:rsidP="0087201A">
            <w:pPr>
              <w:jc w:val="center"/>
              <w:rPr>
                <w:b/>
                <w:iCs/>
                <w:noProof/>
                <w:sz w:val="20"/>
              </w:rPr>
            </w:pPr>
            <w:r w:rsidRPr="00B44B19">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F75185" w14:textId="77777777" w:rsidR="0087201A" w:rsidRPr="00B44B19" w:rsidRDefault="0087201A" w:rsidP="0087201A">
            <w:pPr>
              <w:jc w:val="center"/>
              <w:rPr>
                <w:b/>
                <w:iCs/>
                <w:noProof/>
                <w:sz w:val="20"/>
              </w:rPr>
            </w:pPr>
            <w:r w:rsidRPr="00B44B19">
              <w:rPr>
                <w:b/>
                <w:noProof/>
                <w:sz w:val="20"/>
              </w:rPr>
              <w:t>Suma (EUR)</w:t>
            </w:r>
          </w:p>
        </w:tc>
      </w:tr>
      <w:tr w:rsidR="0087201A" w:rsidRPr="00B44B19" w14:paraId="6964241E" w14:textId="77777777" w:rsidTr="00220EE5">
        <w:trPr>
          <w:trHeight w:val="463"/>
        </w:trPr>
        <w:tc>
          <w:tcPr>
            <w:tcW w:w="1101" w:type="dxa"/>
            <w:vMerge w:val="restart"/>
          </w:tcPr>
          <w:p w14:paraId="6E3D8F89" w14:textId="77777777" w:rsidR="0087201A" w:rsidRPr="00B44B19" w:rsidRDefault="0087201A" w:rsidP="00220EE5">
            <w:pPr>
              <w:jc w:val="center"/>
              <w:rPr>
                <w:iCs/>
                <w:noProof/>
                <w:sz w:val="16"/>
                <w:szCs w:val="16"/>
              </w:rPr>
            </w:pPr>
            <w:r w:rsidRPr="00B44B19">
              <w:rPr>
                <w:iCs/>
                <w:noProof/>
                <w:sz w:val="20"/>
                <w:szCs w:val="20"/>
              </w:rPr>
              <w:t>14</w:t>
            </w:r>
          </w:p>
        </w:tc>
        <w:tc>
          <w:tcPr>
            <w:tcW w:w="850" w:type="dxa"/>
            <w:tcBorders>
              <w:top w:val="single" w:sz="12" w:space="0" w:color="auto"/>
              <w:bottom w:val="single" w:sz="4" w:space="0" w:color="auto"/>
            </w:tcBorders>
          </w:tcPr>
          <w:p w14:paraId="4AB871FB" w14:textId="77777777" w:rsidR="0087201A" w:rsidRPr="00B44B19" w:rsidRDefault="0087201A" w:rsidP="00220EE5">
            <w:pPr>
              <w:jc w:val="center"/>
              <w:rPr>
                <w:iCs/>
                <w:noProof/>
                <w:sz w:val="16"/>
                <w:szCs w:val="16"/>
              </w:rPr>
            </w:pPr>
            <w:r w:rsidRPr="00B44B19">
              <w:rPr>
                <w:iCs/>
                <w:noProof/>
                <w:sz w:val="20"/>
                <w:szCs w:val="20"/>
              </w:rPr>
              <w:t>SaF</w:t>
            </w:r>
          </w:p>
        </w:tc>
        <w:tc>
          <w:tcPr>
            <w:tcW w:w="1436" w:type="dxa"/>
            <w:tcBorders>
              <w:top w:val="single" w:sz="12" w:space="0" w:color="auto"/>
              <w:bottom w:val="single" w:sz="4" w:space="0" w:color="auto"/>
            </w:tcBorders>
          </w:tcPr>
          <w:p w14:paraId="20F983BA" w14:textId="77777777" w:rsidR="0087201A" w:rsidRPr="00B44B19" w:rsidRDefault="0087201A" w:rsidP="00220EE5">
            <w:pPr>
              <w:rPr>
                <w:iCs/>
                <w:noProof/>
                <w:sz w:val="16"/>
                <w:szCs w:val="16"/>
              </w:rPr>
            </w:pPr>
            <w:r w:rsidRPr="00B44B19">
              <w:rPr>
                <w:iCs/>
                <w:noProof/>
                <w:sz w:val="20"/>
                <w:szCs w:val="20"/>
              </w:rPr>
              <w:t>Visa Lietuva</w:t>
            </w:r>
          </w:p>
        </w:tc>
        <w:tc>
          <w:tcPr>
            <w:tcW w:w="1134" w:type="dxa"/>
            <w:vMerge w:val="restart"/>
            <w:tcBorders>
              <w:top w:val="single" w:sz="12" w:space="0" w:color="auto"/>
            </w:tcBorders>
          </w:tcPr>
          <w:p w14:paraId="1F3F2C5F" w14:textId="77777777" w:rsidR="0087201A" w:rsidRPr="00B44B19" w:rsidRDefault="0087201A" w:rsidP="00220EE5">
            <w:pPr>
              <w:jc w:val="center"/>
              <w:rPr>
                <w:noProof/>
                <w:sz w:val="20"/>
                <w:szCs w:val="20"/>
              </w:rPr>
            </w:pPr>
            <w:r w:rsidRPr="00B44B19">
              <w:rPr>
                <w:noProof/>
                <w:sz w:val="20"/>
                <w:szCs w:val="20"/>
              </w:rPr>
              <w:t>14.1</w:t>
            </w:r>
          </w:p>
        </w:tc>
        <w:tc>
          <w:tcPr>
            <w:tcW w:w="3719" w:type="dxa"/>
            <w:tcBorders>
              <w:top w:val="single" w:sz="12" w:space="0" w:color="auto"/>
              <w:bottom w:val="single" w:sz="4" w:space="0" w:color="auto"/>
            </w:tcBorders>
          </w:tcPr>
          <w:p w14:paraId="5595FC05" w14:textId="77777777" w:rsidR="0087201A" w:rsidRPr="00B44B19" w:rsidRDefault="0087201A" w:rsidP="00220EE5">
            <w:pPr>
              <w:rPr>
                <w:iCs/>
                <w:noProof/>
                <w:sz w:val="20"/>
                <w:szCs w:val="20"/>
              </w:rPr>
            </w:pPr>
            <w:r w:rsidRPr="00B44B19">
              <w:rPr>
                <w:bCs/>
                <w:iCs/>
                <w:noProof/>
                <w:sz w:val="20"/>
                <w:szCs w:val="20"/>
              </w:rPr>
              <w:t>03 – Neutralumas lyties požiūriu</w:t>
            </w:r>
          </w:p>
        </w:tc>
        <w:tc>
          <w:tcPr>
            <w:tcW w:w="1507" w:type="dxa"/>
          </w:tcPr>
          <w:p w14:paraId="75F23EE7" w14:textId="77777777" w:rsidR="0087201A" w:rsidRPr="00B44B19" w:rsidRDefault="0087201A" w:rsidP="00220EE5">
            <w:pPr>
              <w:jc w:val="right"/>
              <w:rPr>
                <w:iCs/>
                <w:noProof/>
                <w:sz w:val="16"/>
                <w:szCs w:val="16"/>
              </w:rPr>
            </w:pPr>
            <w:r w:rsidRPr="00B44B19">
              <w:rPr>
                <w:sz w:val="20"/>
                <w:szCs w:val="20"/>
              </w:rPr>
              <w:t>80 171 398,00</w:t>
            </w:r>
          </w:p>
        </w:tc>
      </w:tr>
      <w:tr w:rsidR="0087201A" w:rsidRPr="00B44B19" w14:paraId="67E4550C" w14:textId="77777777" w:rsidTr="00220EE5">
        <w:trPr>
          <w:trHeight w:val="501"/>
        </w:trPr>
        <w:tc>
          <w:tcPr>
            <w:tcW w:w="1101" w:type="dxa"/>
            <w:vMerge/>
          </w:tcPr>
          <w:p w14:paraId="41CA8B02" w14:textId="77777777" w:rsidR="0087201A" w:rsidRPr="00B44B19" w:rsidRDefault="0087201A" w:rsidP="00220EE5">
            <w:pPr>
              <w:jc w:val="center"/>
              <w:rPr>
                <w:iCs/>
                <w:noProof/>
                <w:sz w:val="16"/>
                <w:szCs w:val="16"/>
              </w:rPr>
            </w:pPr>
          </w:p>
        </w:tc>
        <w:tc>
          <w:tcPr>
            <w:tcW w:w="850" w:type="dxa"/>
            <w:tcBorders>
              <w:top w:val="single" w:sz="4" w:space="0" w:color="auto"/>
              <w:bottom w:val="single" w:sz="4" w:space="0" w:color="auto"/>
            </w:tcBorders>
          </w:tcPr>
          <w:p w14:paraId="1243AC16" w14:textId="77777777" w:rsidR="0087201A" w:rsidRPr="00B44B19" w:rsidRDefault="0087201A" w:rsidP="00220EE5">
            <w:pPr>
              <w:jc w:val="center"/>
              <w:rPr>
                <w:iCs/>
                <w:noProof/>
                <w:sz w:val="16"/>
                <w:szCs w:val="16"/>
              </w:rPr>
            </w:pPr>
            <w:r w:rsidRPr="00B44B19">
              <w:rPr>
                <w:iCs/>
                <w:noProof/>
                <w:sz w:val="20"/>
                <w:szCs w:val="20"/>
              </w:rPr>
              <w:t>ERPF</w:t>
            </w:r>
          </w:p>
        </w:tc>
        <w:tc>
          <w:tcPr>
            <w:tcW w:w="1436" w:type="dxa"/>
            <w:tcBorders>
              <w:top w:val="single" w:sz="4" w:space="0" w:color="auto"/>
              <w:bottom w:val="single" w:sz="4" w:space="0" w:color="auto"/>
            </w:tcBorders>
          </w:tcPr>
          <w:p w14:paraId="492D9219" w14:textId="77777777" w:rsidR="0087201A" w:rsidRPr="00B44B19" w:rsidRDefault="0087201A" w:rsidP="00220EE5">
            <w:pPr>
              <w:rPr>
                <w:iCs/>
                <w:noProof/>
                <w:sz w:val="16"/>
                <w:szCs w:val="16"/>
              </w:rPr>
            </w:pPr>
            <w:r w:rsidRPr="00B44B19">
              <w:rPr>
                <w:iCs/>
                <w:noProof/>
                <w:sz w:val="20"/>
                <w:szCs w:val="20"/>
              </w:rPr>
              <w:t>VVL regionas</w:t>
            </w:r>
          </w:p>
        </w:tc>
        <w:tc>
          <w:tcPr>
            <w:tcW w:w="1134" w:type="dxa"/>
            <w:vMerge/>
          </w:tcPr>
          <w:p w14:paraId="744A9535" w14:textId="77777777" w:rsidR="0087201A" w:rsidRPr="00B44B19" w:rsidRDefault="0087201A" w:rsidP="00220EE5">
            <w:pPr>
              <w:jc w:val="center"/>
              <w:rPr>
                <w:iCs/>
                <w:noProof/>
                <w:sz w:val="16"/>
                <w:szCs w:val="16"/>
              </w:rPr>
            </w:pPr>
          </w:p>
        </w:tc>
        <w:tc>
          <w:tcPr>
            <w:tcW w:w="3719" w:type="dxa"/>
            <w:tcBorders>
              <w:top w:val="single" w:sz="4" w:space="0" w:color="auto"/>
              <w:bottom w:val="single" w:sz="4" w:space="0" w:color="auto"/>
            </w:tcBorders>
          </w:tcPr>
          <w:p w14:paraId="6C4B0112" w14:textId="77777777" w:rsidR="0087201A" w:rsidRPr="00B44B19" w:rsidRDefault="0087201A" w:rsidP="00220EE5">
            <w:pPr>
              <w:rPr>
                <w:iCs/>
                <w:noProof/>
                <w:sz w:val="20"/>
                <w:szCs w:val="20"/>
              </w:rPr>
            </w:pPr>
            <w:r w:rsidRPr="00B44B19">
              <w:rPr>
                <w:bCs/>
                <w:iCs/>
                <w:noProof/>
                <w:sz w:val="20"/>
                <w:szCs w:val="20"/>
              </w:rPr>
              <w:t>03 – Neutralumas lyties požiūriu</w:t>
            </w:r>
          </w:p>
        </w:tc>
        <w:tc>
          <w:tcPr>
            <w:tcW w:w="1507" w:type="dxa"/>
          </w:tcPr>
          <w:p w14:paraId="14750242" w14:textId="77777777" w:rsidR="0087201A" w:rsidRPr="00B44B19" w:rsidRDefault="0087201A" w:rsidP="00220EE5">
            <w:pPr>
              <w:jc w:val="right"/>
              <w:rPr>
                <w:iCs/>
                <w:noProof/>
                <w:sz w:val="16"/>
                <w:szCs w:val="16"/>
              </w:rPr>
            </w:pPr>
            <w:r w:rsidRPr="00B44B19">
              <w:rPr>
                <w:sz w:val="20"/>
                <w:szCs w:val="20"/>
              </w:rPr>
              <w:t>81 428 603,00</w:t>
            </w:r>
          </w:p>
        </w:tc>
      </w:tr>
    </w:tbl>
    <w:p w14:paraId="2EFAFFB5" w14:textId="19124D6F" w:rsidR="0087201A" w:rsidRPr="00B44B19" w:rsidRDefault="0087201A" w:rsidP="0087201A">
      <w:pPr>
        <w:rPr>
          <w:rFonts w:cs="Times New Roman"/>
          <w:lang w:bidi="lt-LT"/>
        </w:rPr>
      </w:pPr>
    </w:p>
    <w:p w14:paraId="6E307C99" w14:textId="77777777" w:rsidR="0087201A" w:rsidRPr="00B44B19" w:rsidRDefault="0087201A" w:rsidP="00D456C1">
      <w:pPr>
        <w:pStyle w:val="Antrat1"/>
      </w:pPr>
      <w:bookmarkStart w:id="90" w:name="_Toc223435457"/>
      <w:bookmarkStart w:id="91" w:name="_Hlk215679827"/>
      <w:r w:rsidRPr="00B44B19">
        <w:lastRenderedPageBreak/>
        <w:t>15. specialus prioritetas. civilinės infrastruktūros atsparumo ir civilinės parengties stiprinimas</w:t>
      </w:r>
      <w:bookmarkEnd w:id="90"/>
    </w:p>
    <w:p w14:paraId="5528DC1D" w14:textId="77777777" w:rsidR="0087201A" w:rsidRPr="00B44B19" w:rsidRDefault="0087201A" w:rsidP="00D456C1">
      <w:pPr>
        <w:pStyle w:val="Antrat2"/>
      </w:pPr>
      <w:bookmarkStart w:id="92" w:name="_Toc223435458"/>
      <w:bookmarkEnd w:id="91"/>
      <w:r w:rsidRPr="00B44B19">
        <w:t>Konkretus uždavinys – 15.1 Sukurti atsparią gynybos infrastruktūrą, pirmenybę teikiant dvejopo naudojimo infrastruktūrai, taip pat, siekti skatinti karinį mobilumą ES ir gerinti civilinę parengtį</w:t>
      </w:r>
      <w:bookmarkEnd w:id="92"/>
    </w:p>
    <w:p w14:paraId="1B9118FB"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Įgyvendinamos veiklos</w:t>
      </w:r>
    </w:p>
    <w:tbl>
      <w:tblPr>
        <w:tblStyle w:val="Lentelstinklelis210"/>
        <w:tblW w:w="9634" w:type="dxa"/>
        <w:tblLook w:val="04A0" w:firstRow="1" w:lastRow="0" w:firstColumn="1" w:lastColumn="0" w:noHBand="0" w:noVBand="1"/>
      </w:tblPr>
      <w:tblGrid>
        <w:gridCol w:w="9634"/>
      </w:tblGrid>
      <w:tr w:rsidR="0087201A" w:rsidRPr="00B44B19" w14:paraId="3CB54A07" w14:textId="77777777" w:rsidTr="003040E3">
        <w:trPr>
          <w:trHeight w:val="283"/>
        </w:trPr>
        <w:tc>
          <w:tcPr>
            <w:tcW w:w="9634" w:type="dxa"/>
          </w:tcPr>
          <w:p w14:paraId="287823DC" w14:textId="77777777" w:rsidR="0087201A" w:rsidRPr="00B44B19" w:rsidRDefault="0087201A" w:rsidP="002E0230">
            <w:pPr>
              <w:spacing w:before="60" w:after="60"/>
              <w:jc w:val="both"/>
              <w:rPr>
                <w:rFonts w:ascii="Times New Roman" w:hAnsi="Times New Roman" w:cs="Times New Roman"/>
                <w:color w:val="000000" w:themeColor="text1"/>
              </w:rPr>
            </w:pPr>
            <w:r w:rsidRPr="00B44B19">
              <w:rPr>
                <w:rFonts w:ascii="Times New Roman" w:hAnsi="Times New Roman" w:cs="Times New Roman"/>
              </w:rPr>
              <w:t>Atsižvelgiant į pasikeitusią regiono saugumo situaciją po Rusijos pradėto karo prieš Ukrainą ir išaugusias hibridines bei karines grėsmes Lietuvos Respublikai ir visai ES, būtina kompleksiškai stiprinti valstybės atsparumą. Šiuolaikinės grėsmės pasižymi mažėjančiomis ribomis tarp karo ir taikos, karinių ir nekarinių veiksmų, kas lemia didesnį hibridinių grėsmių, tokių kaip priešiška informacinė, kibernetinė, diversinė veikla, tyčiniai infrastruktūros pažeidimai ir kt., pasireiškimo intensyvumą ir pavojų.</w:t>
            </w:r>
          </w:p>
          <w:p w14:paraId="24047E20"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 xml:space="preserve">Siekiant didinti sveikatos apsaugos sistemos atsparumą grėsmėms būtina stiprinti sveikatos priežiūros įstaigų infrastruktūros pritaikymą ekstremaliosioms situacijoms, krizėms ir konflikto grėsmėms. Remiantis kitų Europos šalių patirtimi ir praktika investicijas numatoma skirti modernios, šiuolaikinius standartus atitinkančios sveikatos priežiūros infrastruktūros, įskaitant požeminę bei dvejopos paskirties panaudojimo infrastruktūrą, sukūrimui. Tokia infrastruktūra užtikrins nenutrūkstamą sveikatos priežiūros paslaugų teikimą, medicinos personalo saugumą. </w:t>
            </w:r>
            <w:r w:rsidRPr="00B44B19">
              <w:rPr>
                <w:rFonts w:ascii="Times New Roman" w:hAnsi="Times New Roman" w:cs="Times New Roman"/>
                <w:b/>
                <w:bCs/>
              </w:rPr>
              <w:t>Dvejopos paskirties infrastruktūra</w:t>
            </w:r>
            <w:r w:rsidRPr="00B44B19">
              <w:rPr>
                <w:rFonts w:ascii="Times New Roman" w:hAnsi="Times New Roman" w:cs="Times New Roman"/>
              </w:rPr>
              <w:t>, esant krizinei situacijai būtų pertvarkoma taip, kad sudarytų sąlygas personalui saugiai teikti pacientams būtinas sveikatos priežiūros paslaugas. Taip pat numatoma modernizuoti turimą sveikatos priežiūros infrastruktūrą, ją pritaikant veikti ekstremaliųjų situacijų, krizių ar konflikto atveju.</w:t>
            </w:r>
          </w:p>
          <w:p w14:paraId="5B6744E0" w14:textId="77777777" w:rsidR="0087201A" w:rsidRPr="00B44B19" w:rsidRDefault="0087201A" w:rsidP="002E0230">
            <w:pPr>
              <w:spacing w:before="60" w:after="60"/>
              <w:jc w:val="both"/>
              <w:rPr>
                <w:rFonts w:ascii="Times New Roman" w:hAnsi="Times New Roman" w:cs="Times New Roman"/>
                <w:color w:val="5F497A" w:themeColor="accent4" w:themeShade="BF"/>
              </w:rPr>
            </w:pPr>
            <w:r w:rsidRPr="00B44B19">
              <w:rPr>
                <w:rFonts w:ascii="Times New Roman" w:hAnsi="Times New Roman" w:cs="Times New Roman"/>
              </w:rPr>
              <w:t>Neteisėtas bepiločių orlaivių panaudojimas tapo naujo tipo hibridinio karo elementu, nutaikytu į civilinę visuomenę ir jos atsparumą. Didėjant šiai grėsmei, viešojo saugumo institucijoms būtina turėti įrangą, kuri leidžia aptikti ir neutralizuoti pavojingus bepiločius orlaivius. Kritinės infrastruktūros objektų fizinei apsaugai ir kitoms funkcijoms vykdyti viešojo saugumo institucijoms taip pat būtinos priemonės, skirtos patikimam ryšiui ir lanksčiai logistikai užtikrinti. Be to, reikalingos individualios pareigūnų apsaugos priemonės, užtikrinančios jų saugumą ir gebėjimus vykdyti užduotis hibridinių ir karinių grėsmių akivaizdoje.</w:t>
            </w:r>
          </w:p>
          <w:p w14:paraId="23CA2882"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Savivaldybių institucijų civilinės saugos infrastruktūros būklė leidžia užtikrinti tik minimalią apsaugą, o savivaldybių ekstremaliųjų situacijų operacijų centrai aprūpinti netolygiai. 2024 m. gruodžio duomenimis tik iki 5 % visose savivaldybėse esamų priedangų buvo 2 lygio (galimos naudoti iki 24 val.), likusios – 3 lygio (galimos naudoti iki 4 val.). Daugelis parinktų priedangų nėra modernizuotos pagal jų projektavimui ir įrengimui keliamus reikalavimus, pvz.: 2025 m. birželį tik 9 % priedangų buvo pritaikyta riboto judumo asmenų poreikiams.</w:t>
            </w:r>
          </w:p>
          <w:p w14:paraId="1D80C29E" w14:textId="77777777" w:rsidR="0087201A" w:rsidRPr="00B44B19" w:rsidRDefault="0087201A" w:rsidP="002E0230">
            <w:pPr>
              <w:spacing w:before="60" w:after="60"/>
              <w:jc w:val="both"/>
              <w:rPr>
                <w:rFonts w:ascii="Times New Roman" w:hAnsi="Times New Roman" w:cs="Times New Roman"/>
                <w:color w:val="000000" w:themeColor="text1"/>
              </w:rPr>
            </w:pPr>
            <w:r w:rsidRPr="00B44B19">
              <w:rPr>
                <w:rFonts w:ascii="Times New Roman" w:hAnsi="Times New Roman" w:cs="Times New Roman"/>
              </w:rPr>
              <w:t xml:space="preserve">Siekiant spręsti kylančius iššūkius, būtina modernizuoti sveikatos priežiūros infrastruktūrą, kuri yra viena iš esminių nacionalinio saugumo aspektų, siekiant užtikrinti gyventojų sveikatos apsaugą krizės, ekstremaliosios situacijos ar konflikto metu. Taip pat būtina stiprinti civilinę parengtį, didinti viešojo saugumo institucijų pajėgumus atremti hibridines grėsmes, užtikrinti kritinės infrastruktūros apsaugą bei tinkamą gyventojų perspėjimą ir apsaugą. Augant rizikoms ir visuomenės lūkesčiams, taip pat būtina plėsti priedangų tinklą, modernizuoti savivaldybių ekstremaliųjų situacijų operacijų centrus. Siekiant visų šių tikslų </w:t>
            </w:r>
            <w:r w:rsidRPr="00B44B19">
              <w:rPr>
                <w:rFonts w:ascii="Times New Roman" w:hAnsi="Times New Roman" w:cs="Times New Roman"/>
                <w:b/>
                <w:bCs/>
              </w:rPr>
              <w:t>numatomi šie veiksmai</w:t>
            </w:r>
            <w:r w:rsidRPr="00B44B19">
              <w:rPr>
                <w:rFonts w:ascii="Times New Roman" w:hAnsi="Times New Roman" w:cs="Times New Roman"/>
              </w:rPr>
              <w:t>:</w:t>
            </w:r>
          </w:p>
          <w:p w14:paraId="6FB6F47F"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rPr>
              <w:t>Stiprinti sveikatos priežiūros įstaigų infrastruktūrą: r</w:t>
            </w:r>
            <w:r w:rsidRPr="00B44B19">
              <w:rPr>
                <w:rFonts w:ascii="Times New Roman" w:hAnsi="Times New Roman" w:cs="Times New Roman"/>
              </w:rPr>
              <w:t xml:space="preserve">emiantis kitų Europos šalių patirtimi ir praktika numatoma sukurti naują modernią, šiuolaikinius standartus atitinkančią sveikatos priežiūros infrastruktūrą, skirtą nepertraukiamai ir saugiai teikti specializuotas chirurgijos, intensyviosios terapijos ir kitas būtinas sveikatos priežiūros paslaugas bei sukurti </w:t>
            </w:r>
            <w:r w:rsidRPr="00B44B19">
              <w:rPr>
                <w:rFonts w:ascii="Times New Roman" w:hAnsi="Times New Roman" w:cs="Times New Roman"/>
                <w:b/>
                <w:bCs/>
              </w:rPr>
              <w:t>dvejopos paskirties infrastruktūrą</w:t>
            </w:r>
            <w:r w:rsidRPr="00B44B19">
              <w:rPr>
                <w:rFonts w:ascii="Times New Roman" w:hAnsi="Times New Roman" w:cs="Times New Roman"/>
              </w:rPr>
              <w:t>, kuri esant ekstremaliajai situacijai, krizėms ar konflikto atveju būtų pertvarkoma ir užtikrintų galimybę saugiai personalui teikti būtinas skubiosios medicinos pagalbos ir stacionarines paslaugas pacientams. Taip pat numatoma modernizuoti regioninio traumų centro operacinių korpuso infrastruktūrą, siekiant užtikrinant kokybišką ir saugų chirurgijos paslaugų teikimą pacientams. Veikla bus įgyvendinama sostinės ir VVL regionuose.</w:t>
            </w:r>
          </w:p>
          <w:p w14:paraId="58CEA8D1" w14:textId="77777777" w:rsidR="0087201A" w:rsidRPr="00B44B19" w:rsidRDefault="0087201A" w:rsidP="002E0230">
            <w:pPr>
              <w:spacing w:before="60" w:after="60"/>
              <w:jc w:val="both"/>
              <w:rPr>
                <w:rFonts w:ascii="Times New Roman" w:hAnsi="Times New Roman" w:cs="Times New Roman"/>
                <w:color w:val="5F497A" w:themeColor="accent4" w:themeShade="BF"/>
              </w:rPr>
            </w:pPr>
            <w:r w:rsidRPr="00B44B19">
              <w:rPr>
                <w:rFonts w:ascii="Times New Roman" w:hAnsi="Times New Roman" w:cs="Times New Roman"/>
                <w:b/>
                <w:bCs/>
              </w:rPr>
              <w:t xml:space="preserve">Plėsti gyventojų perspėjimo sirenomis infrastruktūrą: </w:t>
            </w:r>
            <w:r w:rsidRPr="00B44B19">
              <w:rPr>
                <w:rFonts w:ascii="Times New Roman" w:hAnsi="Times New Roman" w:cs="Times New Roman"/>
              </w:rPr>
              <w:t xml:space="preserve">Tęsiant 2014–2020 m. investicijas į perspėjimo apie pavojus sirenas, numatoma įrengti 275 elektronines sirenas 43 VVL regiono savivaldybėse. Šiuo metu 78 proc. iš 1144 esamų sirenų dar yra nesujungtos į vieningą sirenų valdymo sistemą ir yra valdomos </w:t>
            </w:r>
            <w:r w:rsidRPr="00B44B19">
              <w:rPr>
                <w:rFonts w:ascii="Times New Roman" w:hAnsi="Times New Roman" w:cs="Times New Roman"/>
              </w:rPr>
              <w:lastRenderedPageBreak/>
              <w:t>savivaldybių lygiu, todėl didėja rizika, kad ne visos sirenos bus aktyvuotos vienu metu. Esamomis sirenomis (1144) gali būti perspėta beveik 70 proc. šalies gyventojų, o įsigijus ir VVL regione įrengus naujas 275 elektronines sirenas, šalies lygiu numatoma pasiekti 75 proc. gyventojų perspėjamumą sirenomis. Taip pat ne mažiau kaip 600 esamų sirenų bus prijungtos prie vieningos sirenų valdymo sistemos. Veikla bus įgyvendinama VVL regione.</w:t>
            </w:r>
          </w:p>
          <w:p w14:paraId="0B2F3D5C" w14:textId="77777777" w:rsidR="0087201A" w:rsidRPr="00B44B19" w:rsidRDefault="0087201A" w:rsidP="002E0230">
            <w:pPr>
              <w:spacing w:before="60" w:after="60"/>
              <w:jc w:val="both"/>
              <w:rPr>
                <w:rFonts w:ascii="Times New Roman" w:hAnsi="Times New Roman" w:cs="Times New Roman"/>
                <w:color w:val="5F497A" w:themeColor="accent4" w:themeShade="BF"/>
              </w:rPr>
            </w:pPr>
            <w:r w:rsidRPr="00B44B19">
              <w:rPr>
                <w:rFonts w:ascii="Times New Roman" w:hAnsi="Times New Roman" w:cs="Times New Roman"/>
                <w:b/>
                <w:bCs/>
              </w:rPr>
              <w:t>Sukurti daugiakanalę perspėjimo platformą.</w:t>
            </w:r>
            <w:r w:rsidRPr="00B44B19">
              <w:rPr>
                <w:rFonts w:ascii="Times New Roman" w:hAnsi="Times New Roman" w:cs="Times New Roman"/>
              </w:rPr>
              <w:t xml:space="preserve"> Gresiant ar susidarius krizei ar ekstremaliajai situacijai operatyvus ir daugiakanalis gyventojų perspėjimas yra kritiškai svarbus. Naudojant keletą perspėjimo priemonių (sirenos, trumpųjų perspėjimo pranešimų į mobiliuosius telefonus sistema, mobilioji programėlė, soc. tinklai ir kt.) su skirtingomis valdymo sistemomis gyventojų perspėjimo procesas pailgėja ir nėra toks efektyvus. Sprendžiant šią problemą, bus siekiama sukurti bei įdiegti Lietuvos gyventojų perspėjimui skirtą daugiakanalę perspėjimo platformą, kuri leidžia per vieną valdymo sistemą vienu metu aktyvuoti pagrindines perspėjimo priemones.  Kartu bus atnaujinta Lietuvoje dar 2012 m. įdiegta trumpųjų perspėjimo pranešimų į mobiliuosius telefonus sistema (angl. </w:t>
            </w:r>
            <w:r w:rsidRPr="00B44B19">
              <w:rPr>
                <w:rFonts w:ascii="Times New Roman" w:hAnsi="Times New Roman" w:cs="Times New Roman"/>
                <w:i/>
                <w:iCs/>
              </w:rPr>
              <w:t>cell broadcas</w:t>
            </w:r>
            <w:r w:rsidRPr="00B44B19">
              <w:rPr>
                <w:rFonts w:ascii="Times New Roman" w:hAnsi="Times New Roman" w:cs="Times New Roman"/>
              </w:rPr>
              <w:t>t), kuri šiuo metu jau yra pasenusi bei neatitinka esamų poreikių ir saugumo standartų. Veikla bus įgyvendinama sostinės ir VVL regionuose.</w:t>
            </w:r>
          </w:p>
          <w:p w14:paraId="2E51A753" w14:textId="77777777" w:rsidR="0087201A" w:rsidRPr="00B44B19" w:rsidRDefault="0087201A" w:rsidP="002E0230">
            <w:pPr>
              <w:spacing w:before="60" w:after="60"/>
              <w:jc w:val="both"/>
              <w:rPr>
                <w:rFonts w:ascii="Times New Roman" w:hAnsi="Times New Roman" w:cs="Times New Roman"/>
                <w:color w:val="5F497A" w:themeColor="accent4" w:themeShade="BF"/>
              </w:rPr>
            </w:pPr>
            <w:r w:rsidRPr="00B44B19">
              <w:rPr>
                <w:rFonts w:ascii="Times New Roman" w:hAnsi="Times New Roman" w:cs="Times New Roman"/>
                <w:b/>
                <w:bCs/>
              </w:rPr>
              <w:t xml:space="preserve">Sustiprinti viešąjį saugumą užtikrinančių institucijų pajėgumus atremti hibridines grėsmes, užtikrinti kritinės infrastruktūros objektų fizinę apsaugą ir prisidėti prie šalies gynybos. </w:t>
            </w:r>
            <w:r w:rsidRPr="00B44B19">
              <w:rPr>
                <w:rFonts w:ascii="Times New Roman" w:hAnsi="Times New Roman" w:cs="Times New Roman"/>
              </w:rPr>
              <w:t xml:space="preserve">Pakitus saugumo situacijai, būtina </w:t>
            </w:r>
            <w:r w:rsidRPr="00B44B19">
              <w:rPr>
                <w:rFonts w:ascii="Times New Roman" w:eastAsia="PMingLiU" w:hAnsi="Times New Roman" w:cs="Times New Roman"/>
              </w:rPr>
              <w:t xml:space="preserve">užtikrinti viešojo saugumo institucijų ir jų pareigūnų aprūpinimą priemonėmis, atitinkančiomis dabartinį saugumo kontekstą. </w:t>
            </w:r>
            <w:r w:rsidRPr="00B44B19">
              <w:rPr>
                <w:rFonts w:ascii="Times New Roman" w:hAnsi="Times New Roman" w:cs="Times New Roman"/>
              </w:rPr>
              <w:t xml:space="preserve">Įgyvendinant veiklą planuojama viešojo saugumo institucijas aprūpinti: individualiomis pareigūnų apsaugos priemonėmis (pvz., šalmais, liemenėmis, pirmosios medicininės pagalbos rinkiniais ir kitomis priemonėmis), bepiločių orlaivių aptikimo ir neutralizavimo įranga; specialiomis lengvosiomis transporto priemonėmis, palydovinėmis mobiliojo ryšio ir duomenų perdavimo sistemomis. Vystomi pajėgumai turės </w:t>
            </w:r>
            <w:r w:rsidRPr="00B44B19">
              <w:rPr>
                <w:rFonts w:ascii="Times New Roman" w:hAnsi="Times New Roman" w:cs="Times New Roman"/>
                <w:b/>
                <w:bCs/>
              </w:rPr>
              <w:t>dvejopą paskirtį</w:t>
            </w:r>
            <w:r w:rsidRPr="00B44B19">
              <w:rPr>
                <w:rFonts w:ascii="Times New Roman" w:hAnsi="Times New Roman" w:cs="Times New Roman"/>
              </w:rPr>
              <w:t xml:space="preserve"> – padės užtikrinti visuomenės saugumą ir kritinės infrastruktūros apsaugą tiek taikos metu, tiek karinės grėsmės atveju. Veikla bus įgyvendinama sostinės ir VVL regionuose.</w:t>
            </w:r>
          </w:p>
          <w:p w14:paraId="0D8CD7C6" w14:textId="77777777" w:rsidR="0087201A" w:rsidRPr="00B44B19" w:rsidRDefault="0087201A" w:rsidP="002E0230">
            <w:pPr>
              <w:spacing w:before="60" w:after="60"/>
              <w:jc w:val="both"/>
              <w:rPr>
                <w:rFonts w:ascii="Times New Roman" w:hAnsi="Times New Roman" w:cs="Times New Roman"/>
                <w:color w:val="5F497A" w:themeColor="accent4" w:themeShade="BF"/>
              </w:rPr>
            </w:pPr>
            <w:r w:rsidRPr="00B44B19">
              <w:rPr>
                <w:rFonts w:ascii="Times New Roman" w:hAnsi="Times New Roman" w:cs="Times New Roman"/>
                <w:b/>
                <w:bCs/>
              </w:rPr>
              <w:t xml:space="preserve">Užtikrinti BIVP metodo taikymą, administruojant vietos plėtros strategijas, civilinės saugos švietimo srityje: </w:t>
            </w:r>
            <w:r w:rsidRPr="00B44B19">
              <w:rPr>
                <w:rFonts w:ascii="Times New Roman" w:hAnsi="Times New Roman" w:cs="Times New Roman"/>
              </w:rPr>
              <w:t>parama teikiama vietos plėtros strategijų keitimui, susijusiam su šio uždavinio įtraukimu, taip pat užtikrinant vietos plėtros strategijų valdymą ir stebėseną. Veiklos įgyvendinamos VVL ir Sostinės regionuose.</w:t>
            </w:r>
          </w:p>
          <w:p w14:paraId="6F3E7861"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rPr>
              <w:t>Įrengti arba modernizuoti priedangas visuomeninės paskirties pastatuose ir statiniuose ir būtinųjų atsargų saugojimui skirtą infrastruktūrą</w:t>
            </w:r>
            <w:r w:rsidRPr="00B44B19">
              <w:rPr>
                <w:rFonts w:ascii="Times New Roman" w:hAnsi="Times New Roman" w:cs="Times New Roman"/>
              </w:rPr>
              <w:t>: numatoma įrengti ar atnaujinti priedangas visuomeninės paskirties pastatuose, tame tarpe įrengiant naujas priedangas, didinant esamų priedangų atsparumą, įrengiant ar modernizuojant reikiamas inžinerines sistemas ir priedangas pritaikant riboto judumo asmenims. Taip pat numatoma įrengti ar pritaikyti infrastruktūrą veiklos vykdymui, siekiant užtikrinti būtinų priemonių ir asmeninių apsaugos priemonių atsargų saugojimą. Veikla įgyvendinama VVL ir Sostinės regionuose.</w:t>
            </w:r>
          </w:p>
          <w:p w14:paraId="4A9D1CF2"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rPr>
              <w:t>Modernizuoti savivaldybių ekstremaliųjų situacijų operacijų centrus</w:t>
            </w:r>
            <w:r w:rsidRPr="00B44B19">
              <w:rPr>
                <w:rFonts w:ascii="Times New Roman" w:hAnsi="Times New Roman" w:cs="Times New Roman"/>
              </w:rPr>
              <w:t>: numatoma modernizuoti šių centrų veiklai naudojamą infrastruktūrą ir įrangą, siekiant užtikrinti jų efektyvų darbą krizių, ekstremaliųjų įvykių bei ekstremaliųjų situacijų atvejais. Veikla įgyvendinama VVL regione.</w:t>
            </w:r>
          </w:p>
          <w:p w14:paraId="086C4590"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color w:val="000000" w:themeColor="text1"/>
              </w:rPr>
              <w:t>Uždavinio veiklos (veiksmų rūšys) įvertintos vadovaujantis EGADP NRŽ gairėmis, todėl laikoma, kad atitinka NRŽ principą.</w:t>
            </w:r>
          </w:p>
        </w:tc>
      </w:tr>
    </w:tbl>
    <w:p w14:paraId="11E5C889"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lastRenderedPageBreak/>
        <w:t>Pagrindinės tikslinės grupės</w:t>
      </w:r>
    </w:p>
    <w:tbl>
      <w:tblPr>
        <w:tblStyle w:val="Lentelstinklelis210"/>
        <w:tblW w:w="0" w:type="auto"/>
        <w:tblLook w:val="04A0" w:firstRow="1" w:lastRow="0" w:firstColumn="1" w:lastColumn="0" w:noHBand="0" w:noVBand="1"/>
      </w:tblPr>
      <w:tblGrid>
        <w:gridCol w:w="9628"/>
      </w:tblGrid>
      <w:tr w:rsidR="0087201A" w:rsidRPr="00B44B19" w14:paraId="7B9555EB" w14:textId="77777777" w:rsidTr="003040E3">
        <w:tc>
          <w:tcPr>
            <w:tcW w:w="9854" w:type="dxa"/>
          </w:tcPr>
          <w:p w14:paraId="374AE904" w14:textId="77777777" w:rsidR="0087201A" w:rsidRPr="00B44B19" w:rsidRDefault="0087201A" w:rsidP="002E0230">
            <w:pPr>
              <w:autoSpaceDE w:val="0"/>
              <w:autoSpaceDN w:val="0"/>
              <w:adjustRightInd w:val="0"/>
              <w:spacing w:before="60" w:after="60"/>
              <w:jc w:val="both"/>
              <w:rPr>
                <w:rFonts w:ascii="Times New Roman" w:hAnsi="Times New Roman" w:cs="Times New Roman"/>
              </w:rPr>
            </w:pPr>
            <w:r w:rsidRPr="00B44B19">
              <w:rPr>
                <w:rFonts w:ascii="Times New Roman" w:hAnsi="Times New Roman" w:cs="Times New Roman"/>
              </w:rPr>
              <w:t>Visi Lietuvos gyventojai</w:t>
            </w:r>
            <w:r w:rsidRPr="00B44B19">
              <w:rPr>
                <w:rFonts w:ascii="Times New Roman" w:hAnsi="Times New Roman" w:cs="Times New Roman"/>
                <w:spacing w:val="-4"/>
              </w:rPr>
              <w:t xml:space="preserve">, </w:t>
            </w:r>
            <w:r w:rsidRPr="00B44B19">
              <w:rPr>
                <w:rFonts w:ascii="Times New Roman" w:hAnsi="Times New Roman" w:cs="Times New Roman"/>
              </w:rPr>
              <w:t>išskyrus įgyvendinant BIVP metodą, sveikatos priežiūros specialistai.</w:t>
            </w:r>
          </w:p>
          <w:p w14:paraId="4FDA0F9A" w14:textId="77777777" w:rsidR="0087201A" w:rsidRPr="00B44B19" w:rsidRDefault="0087201A" w:rsidP="002E0230">
            <w:pPr>
              <w:autoSpaceDE w:val="0"/>
              <w:autoSpaceDN w:val="0"/>
              <w:adjustRightInd w:val="0"/>
              <w:spacing w:before="60" w:after="60"/>
              <w:jc w:val="both"/>
              <w:rPr>
                <w:rFonts w:ascii="Times New Roman" w:hAnsi="Times New Roman" w:cs="Times New Roman"/>
              </w:rPr>
            </w:pPr>
            <w:r w:rsidRPr="00B44B19">
              <w:rPr>
                <w:rFonts w:ascii="Times New Roman" w:hAnsi="Times New Roman" w:cs="Times New Roman"/>
              </w:rPr>
              <w:t>Įgyvendinant BIVP metodą tikslinė grupė yra miestų VVG darbuotojai, valdymo organai ir valdymo organų nariai, vietos plėtros projektų rengėjų ir (ar) vykdytojų atstovai ir vietos plėtros strategijos įgyvendinimo teritorijos bendruomenė. Gyventojai, savivaldybės, viešojo sektoriaus institucijos ir įstaigos, valstybės ir savivaldybių valdomos įmonės, viešąsias paslaugas teikiančios NVO.</w:t>
            </w:r>
          </w:p>
        </w:tc>
      </w:tr>
    </w:tbl>
    <w:p w14:paraId="2B0E0372"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lang w:eastAsia="lt-LT"/>
        </w:rPr>
      </w:pPr>
      <w:r w:rsidRPr="00B44B19">
        <w:rPr>
          <w:rFonts w:eastAsia="Times New Roman" w:cs="Times New Roman"/>
          <w:b/>
          <w:i/>
          <w:noProof/>
          <w:color w:val="1F497D" w:themeColor="text2"/>
          <w:lang w:eastAsia="lt-LT"/>
        </w:rPr>
        <w:t xml:space="preserve">Veiksmai, užtikrinantys lygybę, įtrauktį ir nediskriminavimą </w:t>
      </w:r>
    </w:p>
    <w:tbl>
      <w:tblPr>
        <w:tblStyle w:val="Lentelstinklelis45"/>
        <w:tblW w:w="0" w:type="auto"/>
        <w:tblLook w:val="04A0" w:firstRow="1" w:lastRow="0" w:firstColumn="1" w:lastColumn="0" w:noHBand="0" w:noVBand="1"/>
      </w:tblPr>
      <w:tblGrid>
        <w:gridCol w:w="9628"/>
      </w:tblGrid>
      <w:tr w:rsidR="0087201A" w:rsidRPr="00B44B19" w14:paraId="6059CCD8" w14:textId="77777777" w:rsidTr="003040E3">
        <w:trPr>
          <w:trHeight w:val="82"/>
        </w:trPr>
        <w:tc>
          <w:tcPr>
            <w:tcW w:w="9854" w:type="dxa"/>
          </w:tcPr>
          <w:p w14:paraId="53A6F59E" w14:textId="77777777" w:rsidR="0087201A" w:rsidRPr="00B44B19" w:rsidRDefault="0087201A" w:rsidP="002E0230">
            <w:pPr>
              <w:tabs>
                <w:tab w:val="center" w:pos="4819"/>
                <w:tab w:val="right" w:pos="9638"/>
              </w:tabs>
              <w:spacing w:before="60" w:after="60"/>
              <w:jc w:val="both"/>
              <w:rPr>
                <w:rFonts w:cs="Times New Roman"/>
                <w:bCs/>
                <w:iCs/>
                <w:sz w:val="22"/>
              </w:rPr>
            </w:pPr>
            <w:r w:rsidRPr="00B44B19">
              <w:rPr>
                <w:rFonts w:cs="Times New Roman"/>
                <w:bCs/>
                <w:iCs/>
                <w:sz w:val="22"/>
              </w:rPr>
              <w:t>Vykdant veiklas, apimančias infrastruktūros plėtojimą ar modernizavimą, bus reikalaujama ją pritaikyti pagal universalaus dizaino principus.</w:t>
            </w:r>
          </w:p>
          <w:p w14:paraId="472999FF" w14:textId="77777777" w:rsidR="0087201A" w:rsidRPr="00B44B19" w:rsidRDefault="0087201A" w:rsidP="002E0230">
            <w:pPr>
              <w:tabs>
                <w:tab w:val="center" w:pos="4819"/>
                <w:tab w:val="right" w:pos="9638"/>
              </w:tabs>
              <w:spacing w:before="60" w:after="60"/>
              <w:jc w:val="both"/>
              <w:rPr>
                <w:rFonts w:cs="Times New Roman"/>
                <w:bCs/>
                <w:iCs/>
                <w:sz w:val="22"/>
              </w:rPr>
            </w:pPr>
            <w:r w:rsidRPr="00B44B19">
              <w:rPr>
                <w:rFonts w:cs="Times New Roman"/>
                <w:bCs/>
                <w:iCs/>
                <w:sz w:val="22"/>
              </w:rPr>
              <w:t xml:space="preserve">Vykdant numatytas veiklas bus siekiama užtikrinti lygybės, įtraukties ir nediskriminavimo principus. Pavyzdžiui, perspėjimo sistema bus įspėjami visi teritorijoje esantys asmenys (gyventojai ir turistai). </w:t>
            </w:r>
            <w:r w:rsidRPr="00B44B19">
              <w:rPr>
                <w:rFonts w:cs="Times New Roman"/>
                <w:bCs/>
                <w:iCs/>
                <w:sz w:val="22"/>
              </w:rPr>
              <w:lastRenderedPageBreak/>
              <w:t>Perspėjimas bus vykdomas kompleksiškai – sirenomis, trumpaisiais pranešimais į telefonus, informacija per radiją ir televiziją ir kt., todėl ši paslauga bus prieinama ir asmenims su negalia.</w:t>
            </w:r>
          </w:p>
          <w:p w14:paraId="22059F2F" w14:textId="77777777" w:rsidR="0087201A" w:rsidRPr="00B44B19" w:rsidRDefault="0087201A" w:rsidP="002E0230">
            <w:pPr>
              <w:keepNext/>
              <w:keepLines/>
              <w:tabs>
                <w:tab w:val="center" w:pos="4819"/>
                <w:tab w:val="right" w:pos="9638"/>
              </w:tabs>
              <w:spacing w:before="60" w:after="60"/>
              <w:jc w:val="both"/>
              <w:outlineLvl w:val="3"/>
              <w:rPr>
                <w:rFonts w:eastAsiaTheme="majorEastAsia" w:cs="Times New Roman"/>
                <w:bCs/>
                <w:iCs/>
                <w:color w:val="000000" w:themeColor="text1"/>
                <w:sz w:val="22"/>
              </w:rPr>
            </w:pPr>
            <w:r w:rsidRPr="00B44B19">
              <w:rPr>
                <w:rFonts w:cs="Times New Roman"/>
                <w:bCs/>
                <w:iCs/>
                <w:noProof/>
                <w:sz w:val="22"/>
                <w:lang w:eastAsia="lt-LT"/>
              </w:rPr>
              <w:t xml:space="preserve">Taikant BIVP metodą, papildomai bus </w:t>
            </w:r>
            <w:r w:rsidRPr="00B44B19">
              <w:rPr>
                <w:rFonts w:eastAsiaTheme="majorEastAsia" w:cs="Times New Roman"/>
                <w:bCs/>
                <w:iCs/>
                <w:noProof/>
                <w:sz w:val="22"/>
                <w:lang w:eastAsia="lt-LT"/>
              </w:rPr>
              <w:t>užtikrinama, kad</w:t>
            </w:r>
            <w:r w:rsidRPr="00B44B19">
              <w:rPr>
                <w:rFonts w:eastAsiaTheme="majorEastAsia" w:cs="Times New Roman"/>
                <w:bCs/>
                <w:iCs/>
                <w:sz w:val="22"/>
              </w:rPr>
              <w:t xml:space="preserve"> projektų veiklos ir rezultatai bus prieinami įvairių specialiųjų poreikių turintiems asmenims (pvz.: projektų veiklos organizuojamos patalpose, prieinamose judėjimo, regos ar kitą negalią turintiems asmenims; vykdant projektų veiklas prireikus užtikrinamas vertimas į gestų ar kitą kalbą).</w:t>
            </w:r>
          </w:p>
          <w:p w14:paraId="4CB895DB" w14:textId="77777777" w:rsidR="0087201A" w:rsidRPr="00B44B19" w:rsidRDefault="0087201A" w:rsidP="002E0230">
            <w:pPr>
              <w:tabs>
                <w:tab w:val="center" w:pos="4819"/>
                <w:tab w:val="right" w:pos="9638"/>
              </w:tabs>
              <w:spacing w:before="60" w:after="60"/>
              <w:rPr>
                <w:rFonts w:cs="Times New Roman"/>
                <w:b/>
                <w:i/>
                <w:color w:val="1F497D" w:themeColor="text2"/>
                <w:sz w:val="22"/>
              </w:rPr>
            </w:pPr>
            <w:r w:rsidRPr="00B44B19">
              <w:rPr>
                <w:rFonts w:cs="Times New Roman"/>
                <w:bCs/>
                <w:iCs/>
                <w:sz w:val="22"/>
              </w:rPr>
              <w:t>Investuojant į priedangų visuomeninės paskirties pastatuose ir statiniuose įrengimą ar modernizavimą, jos bus pritaikomos asmenims su negalia ir riboto judumo asmenims.</w:t>
            </w:r>
          </w:p>
        </w:tc>
      </w:tr>
    </w:tbl>
    <w:p w14:paraId="701475F3"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lastRenderedPageBreak/>
        <w:t>Konkrečios tikslinės teritorijos, įskaitant planuojamą teritorinių priemonių panaudojimą</w:t>
      </w:r>
    </w:p>
    <w:tbl>
      <w:tblPr>
        <w:tblStyle w:val="Lentelstinklelis210"/>
        <w:tblW w:w="0" w:type="auto"/>
        <w:tblLook w:val="04A0" w:firstRow="1" w:lastRow="0" w:firstColumn="1" w:lastColumn="0" w:noHBand="0" w:noVBand="1"/>
      </w:tblPr>
      <w:tblGrid>
        <w:gridCol w:w="9628"/>
      </w:tblGrid>
      <w:tr w:rsidR="0087201A" w:rsidRPr="00B44B19" w14:paraId="6269240E" w14:textId="77777777" w:rsidTr="003040E3">
        <w:tc>
          <w:tcPr>
            <w:tcW w:w="9854" w:type="dxa"/>
          </w:tcPr>
          <w:p w14:paraId="5BFDD24D" w14:textId="77777777" w:rsidR="0087201A" w:rsidRPr="00B44B19" w:rsidRDefault="0087201A" w:rsidP="002E0230">
            <w:pPr>
              <w:tabs>
                <w:tab w:val="left" w:pos="3510"/>
              </w:tabs>
              <w:spacing w:before="60" w:after="60"/>
              <w:jc w:val="both"/>
              <w:rPr>
                <w:rFonts w:ascii="Times New Roman" w:hAnsi="Times New Roman" w:cs="Times New Roman"/>
                <w:spacing w:val="-4"/>
              </w:rPr>
            </w:pPr>
            <w:r w:rsidRPr="00B44B19">
              <w:rPr>
                <w:rFonts w:ascii="Times New Roman" w:hAnsi="Times New Roman" w:cs="Times New Roman"/>
                <w:spacing w:val="-4"/>
              </w:rPr>
              <w:t>Sostinės regionas, VVL regionas.</w:t>
            </w:r>
          </w:p>
          <w:p w14:paraId="3379CAE3" w14:textId="77777777" w:rsidR="0087201A" w:rsidRPr="00B44B19" w:rsidRDefault="0087201A" w:rsidP="002E0230">
            <w:pPr>
              <w:tabs>
                <w:tab w:val="left" w:pos="3510"/>
              </w:tabs>
              <w:spacing w:before="60" w:after="60"/>
              <w:jc w:val="both"/>
              <w:rPr>
                <w:rFonts w:ascii="Times New Roman" w:hAnsi="Times New Roman" w:cs="Times New Roman"/>
                <w:spacing w:val="-4"/>
              </w:rPr>
            </w:pPr>
            <w:r w:rsidRPr="00B44B19">
              <w:rPr>
                <w:rFonts w:ascii="Times New Roman" w:hAnsi="Times New Roman" w:cs="Times New Roman"/>
                <w:noProof/>
                <w:lang w:eastAsia="lt-LT"/>
              </w:rPr>
              <w:t xml:space="preserve">Veikla, susijusi su BIVP metodo taikymu, bus įgyvendinama taikant integruoto teritorijų vystymo metodo BIVP formą tikslinėse teritorijose: miestuose, kurie yra savivaldybių centrai ir (arba) kuriuose gyvena daugiau nei 6 tūkst. gyventojų, ir </w:t>
            </w:r>
            <w:r w:rsidRPr="00B44B19">
              <w:rPr>
                <w:rFonts w:ascii="Times New Roman" w:hAnsi="Times New Roman" w:cs="Times New Roman"/>
                <w:lang w:eastAsia="lt-LT"/>
              </w:rPr>
              <w:t xml:space="preserve">miesto daliai, kurioje gyvena nuo 6 iki 150 tūkstančių gyventojų. Vietos plėtros strategijų administravimas, susijęs su </w:t>
            </w:r>
            <w:r w:rsidRPr="00B44B19">
              <w:rPr>
                <w:rFonts w:ascii="Times New Roman" w:hAnsi="Times New Roman" w:cs="Times New Roman"/>
              </w:rPr>
              <w:t xml:space="preserve">civilinės saugos švietimu, aktualus ir bus vykdomas </w:t>
            </w:r>
            <w:r w:rsidRPr="00B44B19">
              <w:rPr>
                <w:rFonts w:ascii="Times New Roman" w:hAnsi="Times New Roman" w:cs="Times New Roman"/>
                <w:noProof/>
                <w:lang w:eastAsia="lt-LT"/>
              </w:rPr>
              <w:t>VVL regione ir Sostinės regione.</w:t>
            </w:r>
          </w:p>
        </w:tc>
      </w:tr>
    </w:tbl>
    <w:p w14:paraId="769912C3"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Tarpregioniniai, tarp sienų ir tarpvalstybiniai veiksmai</w:t>
      </w:r>
    </w:p>
    <w:tbl>
      <w:tblPr>
        <w:tblStyle w:val="Lentelstinklelis210"/>
        <w:tblW w:w="0" w:type="auto"/>
        <w:tblLook w:val="04A0" w:firstRow="1" w:lastRow="0" w:firstColumn="1" w:lastColumn="0" w:noHBand="0" w:noVBand="1"/>
      </w:tblPr>
      <w:tblGrid>
        <w:gridCol w:w="9628"/>
      </w:tblGrid>
      <w:tr w:rsidR="0087201A" w:rsidRPr="00B44B19" w14:paraId="28713D7D" w14:textId="77777777" w:rsidTr="003040E3">
        <w:tc>
          <w:tcPr>
            <w:tcW w:w="9854" w:type="dxa"/>
          </w:tcPr>
          <w:p w14:paraId="6971AF55"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Numatoma sudaryti visas galimybes prireikus juos atlikti.</w:t>
            </w:r>
          </w:p>
          <w:p w14:paraId="496050AE"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Perspėjimo sistemos aktyvavimo atveju, kai vyksta didelio masto nelaimė, o padariniai gali išplisti už šalies ribų, perspėjimas ryšio kanalais siunčiamas ir tarptautiniams partneriams, sudaromos prielaidos laiku aktyvuoti nacionalines perspėjimo sistemas užsienio valstybėse.</w:t>
            </w:r>
          </w:p>
          <w:p w14:paraId="0F040645"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noProof/>
              </w:rPr>
              <w:t>Siekiant ETBT tikslo programų ir IV prioriteto, š</w:t>
            </w:r>
            <w:r w:rsidRPr="00B44B19">
              <w:rPr>
                <w:rFonts w:ascii="Times New Roman" w:hAnsi="Times New Roman" w:cs="Times New Roman"/>
              </w:rPr>
              <w:t>alies pasienyje veikiančios miestų VVG bus skatinamos bendradarbiauti ir perimti patirtį iš panašiuose pasienio ruožuose veikiančių miestų civilinės saugos švietimo srityje.</w:t>
            </w:r>
          </w:p>
        </w:tc>
      </w:tr>
    </w:tbl>
    <w:p w14:paraId="1B50B5A3"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Planuojamas finansinių priemonių naudojimas</w:t>
      </w:r>
    </w:p>
    <w:tbl>
      <w:tblPr>
        <w:tblStyle w:val="Lentelstinklelis210"/>
        <w:tblW w:w="0" w:type="auto"/>
        <w:tblLook w:val="04A0" w:firstRow="1" w:lastRow="0" w:firstColumn="1" w:lastColumn="0" w:noHBand="0" w:noVBand="1"/>
      </w:tblPr>
      <w:tblGrid>
        <w:gridCol w:w="9628"/>
      </w:tblGrid>
      <w:tr w:rsidR="0087201A" w:rsidRPr="00B44B19" w14:paraId="0CCD9BB3" w14:textId="77777777" w:rsidTr="003040E3">
        <w:tc>
          <w:tcPr>
            <w:tcW w:w="9628" w:type="dxa"/>
          </w:tcPr>
          <w:p w14:paraId="0254DDCC" w14:textId="77777777" w:rsidR="0087201A" w:rsidRPr="00B44B19" w:rsidRDefault="0087201A" w:rsidP="0087201A">
            <w:pPr>
              <w:spacing w:before="120" w:after="120"/>
              <w:jc w:val="both"/>
              <w:rPr>
                <w:rFonts w:ascii="Times New Roman" w:hAnsi="Times New Roman" w:cs="Times New Roman"/>
                <w:lang w:eastAsia="lt-LT"/>
              </w:rPr>
            </w:pPr>
            <w:r w:rsidRPr="00B44B19">
              <w:rPr>
                <w:rFonts w:ascii="Times New Roman" w:hAnsi="Times New Roman" w:cs="Times New Roman"/>
                <w:lang w:eastAsia="lt-LT"/>
              </w:rPr>
              <w:t>-</w:t>
            </w:r>
          </w:p>
        </w:tc>
      </w:tr>
    </w:tbl>
    <w:p w14:paraId="46DAEB89" w14:textId="77777777" w:rsidR="0087201A" w:rsidRPr="00B44B19" w:rsidRDefault="0087201A" w:rsidP="0087201A">
      <w:pPr>
        <w:tabs>
          <w:tab w:val="center" w:pos="4819"/>
          <w:tab w:val="right" w:pos="9638"/>
        </w:tabs>
        <w:spacing w:before="120" w:after="0" w:line="240" w:lineRule="auto"/>
        <w:rPr>
          <w:rFonts w:eastAsia="Times New Roman" w:cs="Times New Roman"/>
          <w:b/>
          <w:i/>
          <w:color w:val="1F497D" w:themeColor="text2"/>
        </w:rPr>
      </w:pPr>
      <w:r w:rsidRPr="00B44B19">
        <w:rPr>
          <w:rFonts w:eastAsia="Times New Roman" w:cs="Times New Roman"/>
          <w:b/>
          <w:i/>
          <w:color w:val="1F497D" w:themeColor="text2"/>
        </w:rPr>
        <w:t>Rodikliai</w:t>
      </w:r>
    </w:p>
    <w:p w14:paraId="578AB881" w14:textId="77777777" w:rsidR="0087201A" w:rsidRPr="00B44B19" w:rsidRDefault="0087201A" w:rsidP="0087201A">
      <w:pPr>
        <w:spacing w:after="0" w:line="240" w:lineRule="auto"/>
        <w:jc w:val="both"/>
        <w:rPr>
          <w:rFonts w:eastAsia="Times New Roman" w:cs="Times New Roman"/>
          <w:b/>
          <w:sz w:val="22"/>
        </w:rPr>
      </w:pPr>
      <w:r w:rsidRPr="00B44B19">
        <w:rPr>
          <w:rFonts w:eastAsia="Times New Roman"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967"/>
        <w:gridCol w:w="830"/>
        <w:gridCol w:w="965"/>
        <w:gridCol w:w="1230"/>
        <w:gridCol w:w="1560"/>
        <w:gridCol w:w="1136"/>
        <w:gridCol w:w="992"/>
        <w:gridCol w:w="976"/>
      </w:tblGrid>
      <w:tr w:rsidR="0087201A" w:rsidRPr="00B44B19" w14:paraId="1FA647AF" w14:textId="77777777" w:rsidTr="003040E3">
        <w:trPr>
          <w:trHeight w:val="1043"/>
          <w:tblHeader/>
        </w:trPr>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D5244C"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DE65FB"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FB1717"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B19D14"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Regiono kategorija</w:t>
            </w:r>
          </w:p>
        </w:tc>
        <w:tc>
          <w:tcPr>
            <w:tcW w:w="64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E3EC4B"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Identifikavimo numeris</w:t>
            </w:r>
          </w:p>
        </w:tc>
        <w:tc>
          <w:tcPr>
            <w:tcW w:w="81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ECE5E5"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Rodiklis</w:t>
            </w:r>
          </w:p>
        </w:tc>
        <w:tc>
          <w:tcPr>
            <w:tcW w:w="5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3C445B"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171972"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Tarpinė reikšmė (2025 m.)</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3801B5"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Siektina reikšmė (2029 m.)</w:t>
            </w:r>
          </w:p>
        </w:tc>
      </w:tr>
      <w:tr w:rsidR="0087201A" w:rsidRPr="00B44B19" w14:paraId="283ED7EC" w14:textId="77777777" w:rsidTr="003040E3">
        <w:trPr>
          <w:trHeight w:val="332"/>
        </w:trPr>
        <w:tc>
          <w:tcPr>
            <w:tcW w:w="495" w:type="pct"/>
            <w:vMerge w:val="restart"/>
            <w:tcBorders>
              <w:top w:val="single" w:sz="12" w:space="0" w:color="auto"/>
            </w:tcBorders>
          </w:tcPr>
          <w:p w14:paraId="4918D0A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15</w:t>
            </w:r>
          </w:p>
        </w:tc>
        <w:tc>
          <w:tcPr>
            <w:tcW w:w="503" w:type="pct"/>
            <w:vMerge w:val="restart"/>
            <w:tcBorders>
              <w:top w:val="single" w:sz="12" w:space="0" w:color="auto"/>
            </w:tcBorders>
          </w:tcPr>
          <w:p w14:paraId="580871F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15.1</w:t>
            </w:r>
          </w:p>
        </w:tc>
        <w:tc>
          <w:tcPr>
            <w:tcW w:w="432" w:type="pct"/>
            <w:vMerge w:val="restart"/>
            <w:tcBorders>
              <w:top w:val="single" w:sz="12" w:space="0" w:color="auto"/>
            </w:tcBorders>
          </w:tcPr>
          <w:p w14:paraId="57095438"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ERPF</w:t>
            </w:r>
          </w:p>
        </w:tc>
        <w:tc>
          <w:tcPr>
            <w:tcW w:w="502" w:type="pct"/>
            <w:tcBorders>
              <w:top w:val="single" w:sz="12" w:space="0" w:color="auto"/>
              <w:left w:val="single" w:sz="2" w:space="0" w:color="auto"/>
              <w:right w:val="single" w:sz="2" w:space="0" w:color="auto"/>
            </w:tcBorders>
          </w:tcPr>
          <w:p w14:paraId="1BF0BE5D"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sz w:val="16"/>
                <w:szCs w:val="16"/>
              </w:rPr>
              <w:t>Sostinės regionas</w:t>
            </w:r>
          </w:p>
          <w:p w14:paraId="7DC3BD57" w14:textId="77777777" w:rsidR="0087201A" w:rsidRPr="00B44B19" w:rsidRDefault="0087201A" w:rsidP="0087201A">
            <w:pPr>
              <w:spacing w:after="0" w:line="240" w:lineRule="auto"/>
              <w:jc w:val="both"/>
              <w:rPr>
                <w:rFonts w:eastAsia="Times New Roman" w:cs="Times New Roman"/>
                <w:noProof/>
                <w:sz w:val="16"/>
                <w:szCs w:val="16"/>
              </w:rPr>
            </w:pPr>
          </w:p>
        </w:tc>
        <w:tc>
          <w:tcPr>
            <w:tcW w:w="640" w:type="pct"/>
            <w:tcBorders>
              <w:top w:val="single" w:sz="12" w:space="0" w:color="auto"/>
            </w:tcBorders>
          </w:tcPr>
          <w:p w14:paraId="59439E5A"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w:t>
            </w:r>
          </w:p>
        </w:tc>
        <w:tc>
          <w:tcPr>
            <w:tcW w:w="812" w:type="pct"/>
            <w:tcBorders>
              <w:top w:val="single" w:sz="12" w:space="0" w:color="auto"/>
            </w:tcBorders>
          </w:tcPr>
          <w:p w14:paraId="121EC454" w14:textId="77777777" w:rsidR="0087201A" w:rsidRPr="00B44B19" w:rsidRDefault="0087201A" w:rsidP="0087201A">
            <w:pPr>
              <w:tabs>
                <w:tab w:val="left" w:pos="315"/>
                <w:tab w:val="left" w:pos="457"/>
              </w:tabs>
              <w:spacing w:after="0" w:line="240" w:lineRule="auto"/>
              <w:contextualSpacing/>
              <w:jc w:val="both"/>
              <w:rPr>
                <w:rFonts w:eastAsia="Times New Roman" w:cs="Times New Roman"/>
                <w:sz w:val="16"/>
                <w:szCs w:val="16"/>
                <w:lang w:eastAsia="en-GB"/>
              </w:rPr>
            </w:pPr>
            <w:r w:rsidRPr="00B44B19">
              <w:rPr>
                <w:rFonts w:eastAsia="Times New Roman" w:cs="Times New Roman"/>
                <w:noProof/>
                <w:color w:val="000000"/>
                <w:sz w:val="16"/>
                <w:szCs w:val="16"/>
                <w:lang w:eastAsia="lt-LT"/>
              </w:rPr>
              <w:t>Naujos arba modernizuotos sveikatos priežiūros infrastruktūros talpumas</w:t>
            </w:r>
          </w:p>
        </w:tc>
        <w:tc>
          <w:tcPr>
            <w:tcW w:w="591" w:type="pct"/>
            <w:tcBorders>
              <w:top w:val="single" w:sz="12" w:space="0" w:color="auto"/>
            </w:tcBorders>
          </w:tcPr>
          <w:p w14:paraId="415E97FE"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sz w:val="16"/>
                <w:szCs w:val="16"/>
              </w:rPr>
              <w:t>Asmenys per metus</w:t>
            </w:r>
          </w:p>
        </w:tc>
        <w:tc>
          <w:tcPr>
            <w:tcW w:w="516" w:type="pct"/>
            <w:tcBorders>
              <w:top w:val="single" w:sz="12" w:space="0" w:color="auto"/>
            </w:tcBorders>
          </w:tcPr>
          <w:p w14:paraId="64F9BE11"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Borders>
              <w:top w:val="single" w:sz="12" w:space="0" w:color="auto"/>
            </w:tcBorders>
          </w:tcPr>
          <w:p w14:paraId="5BFD875D"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5 550</w:t>
            </w:r>
          </w:p>
        </w:tc>
      </w:tr>
      <w:tr w:rsidR="0087201A" w:rsidRPr="00B44B19" w14:paraId="5E0FACBB" w14:textId="77777777" w:rsidTr="003040E3">
        <w:trPr>
          <w:trHeight w:val="332"/>
        </w:trPr>
        <w:tc>
          <w:tcPr>
            <w:tcW w:w="495" w:type="pct"/>
            <w:vMerge/>
          </w:tcPr>
          <w:p w14:paraId="0DEE4A1C"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099DD1B1"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06822BA7"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4AD1498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59FFCD03"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w:t>
            </w:r>
          </w:p>
        </w:tc>
        <w:tc>
          <w:tcPr>
            <w:tcW w:w="812" w:type="pct"/>
          </w:tcPr>
          <w:p w14:paraId="4568D2AB"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en-GB"/>
              </w:rPr>
            </w:pPr>
            <w:r w:rsidRPr="00B44B19">
              <w:rPr>
                <w:rFonts w:eastAsia="Times New Roman" w:cs="Times New Roman"/>
                <w:noProof/>
                <w:color w:val="000000"/>
                <w:sz w:val="16"/>
                <w:szCs w:val="16"/>
                <w:lang w:eastAsia="lt-LT"/>
              </w:rPr>
              <w:t>Naujos arba modernizuotos sveikatos priežiūros infrastruktūros talpumas</w:t>
            </w:r>
          </w:p>
        </w:tc>
        <w:tc>
          <w:tcPr>
            <w:tcW w:w="591" w:type="pct"/>
          </w:tcPr>
          <w:p w14:paraId="6166B725"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sz w:val="16"/>
                <w:szCs w:val="16"/>
              </w:rPr>
              <w:t>Asmenys per metus</w:t>
            </w:r>
          </w:p>
        </w:tc>
        <w:tc>
          <w:tcPr>
            <w:tcW w:w="516" w:type="pct"/>
          </w:tcPr>
          <w:p w14:paraId="3C8CFC27"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Pr>
          <w:p w14:paraId="07B24BB9"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142 500</w:t>
            </w:r>
          </w:p>
        </w:tc>
      </w:tr>
      <w:tr w:rsidR="0087201A" w:rsidRPr="00B44B19" w14:paraId="5B4B847B" w14:textId="77777777" w:rsidTr="003040E3">
        <w:trPr>
          <w:trHeight w:val="332"/>
        </w:trPr>
        <w:tc>
          <w:tcPr>
            <w:tcW w:w="495" w:type="pct"/>
            <w:vMerge/>
          </w:tcPr>
          <w:p w14:paraId="1A626870"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4C4D56BF"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4E05B0DB"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4B5EA8B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0" w:type="pct"/>
          </w:tcPr>
          <w:p w14:paraId="097C12B6"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 </w:t>
            </w:r>
          </w:p>
        </w:tc>
        <w:tc>
          <w:tcPr>
            <w:tcW w:w="812" w:type="pct"/>
          </w:tcPr>
          <w:p w14:paraId="77E67E7F" w14:textId="77777777" w:rsidR="0087201A" w:rsidRPr="00B44B19" w:rsidRDefault="0087201A" w:rsidP="0087201A">
            <w:pPr>
              <w:autoSpaceDE w:val="0"/>
              <w:autoSpaceDN w:val="0"/>
              <w:adjustRightInd w:val="0"/>
              <w:spacing w:after="0" w:line="240" w:lineRule="auto"/>
              <w:jc w:val="both"/>
              <w:rPr>
                <w:rFonts w:eastAsia="Times New Roman" w:cs="Times New Roman"/>
                <w:noProof/>
                <w:color w:val="000000"/>
                <w:sz w:val="16"/>
                <w:szCs w:val="16"/>
                <w:lang w:eastAsia="lt-LT"/>
              </w:rPr>
            </w:pPr>
            <w:r w:rsidRPr="00B44B19">
              <w:rPr>
                <w:rFonts w:eastAsia="Times New Roman" w:cs="Times New Roman"/>
                <w:sz w:val="16"/>
                <w:szCs w:val="16"/>
                <w:lang w:eastAsia="en-GB"/>
              </w:rPr>
              <w:t>Investicijos į daugiakanalę perspėjimo platformą</w:t>
            </w:r>
          </w:p>
        </w:tc>
        <w:tc>
          <w:tcPr>
            <w:tcW w:w="591" w:type="pct"/>
          </w:tcPr>
          <w:p w14:paraId="608FB8AF" w14:textId="77777777" w:rsidR="0087201A" w:rsidRPr="00B44B19" w:rsidRDefault="0087201A" w:rsidP="0087201A">
            <w:pPr>
              <w:spacing w:after="0" w:line="240" w:lineRule="auto"/>
              <w:jc w:val="both"/>
              <w:rPr>
                <w:rFonts w:eastAsia="Times New Roman" w:cs="Times New Roman"/>
                <w:bCs/>
                <w:iCs/>
                <w:noProof/>
                <w:sz w:val="16"/>
                <w:szCs w:val="16"/>
              </w:rPr>
            </w:pPr>
            <w:r w:rsidRPr="00B44B19">
              <w:rPr>
                <w:rFonts w:eastAsia="Times New Roman" w:cs="Times New Roman"/>
                <w:iCs/>
                <w:sz w:val="16"/>
                <w:szCs w:val="16"/>
                <w:lang w:eastAsia="lt-LT"/>
              </w:rPr>
              <w:t>Eurai</w:t>
            </w:r>
          </w:p>
        </w:tc>
        <w:tc>
          <w:tcPr>
            <w:tcW w:w="516" w:type="pct"/>
          </w:tcPr>
          <w:p w14:paraId="04ACF6CE"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Pr>
          <w:p w14:paraId="7A84FF85"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1 603 250</w:t>
            </w:r>
          </w:p>
        </w:tc>
      </w:tr>
      <w:tr w:rsidR="0087201A" w:rsidRPr="00B44B19" w14:paraId="09515E51" w14:textId="77777777" w:rsidTr="003040E3">
        <w:trPr>
          <w:trHeight w:val="332"/>
        </w:trPr>
        <w:tc>
          <w:tcPr>
            <w:tcW w:w="495" w:type="pct"/>
            <w:vMerge/>
          </w:tcPr>
          <w:p w14:paraId="7B264390"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05FAE633"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055DE1D0"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7DAC8D4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5FB4B6C8"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 </w:t>
            </w:r>
          </w:p>
        </w:tc>
        <w:tc>
          <w:tcPr>
            <w:tcW w:w="812" w:type="pct"/>
          </w:tcPr>
          <w:p w14:paraId="32D4F657"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Investicijos į daugiakanalę perspėjimo platformą</w:t>
            </w:r>
          </w:p>
        </w:tc>
        <w:tc>
          <w:tcPr>
            <w:tcW w:w="591" w:type="pct"/>
          </w:tcPr>
          <w:p w14:paraId="2EFB3FB9"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Eurai</w:t>
            </w:r>
          </w:p>
        </w:tc>
        <w:tc>
          <w:tcPr>
            <w:tcW w:w="516" w:type="pct"/>
          </w:tcPr>
          <w:p w14:paraId="77C8670F"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Pr>
          <w:p w14:paraId="5E2695E5"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3 896 750</w:t>
            </w:r>
          </w:p>
        </w:tc>
      </w:tr>
      <w:tr w:rsidR="0087201A" w:rsidRPr="00B44B19" w14:paraId="13D7E79F" w14:textId="77777777" w:rsidTr="003040E3">
        <w:trPr>
          <w:trHeight w:val="332"/>
        </w:trPr>
        <w:tc>
          <w:tcPr>
            <w:tcW w:w="495" w:type="pct"/>
            <w:vMerge/>
          </w:tcPr>
          <w:p w14:paraId="119C0107"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28E0147B"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377E693B"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0797DF4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685CFD95"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color w:val="000000"/>
                <w:sz w:val="16"/>
                <w:szCs w:val="16"/>
              </w:rPr>
              <w:t>RCO24</w:t>
            </w:r>
          </w:p>
        </w:tc>
        <w:tc>
          <w:tcPr>
            <w:tcW w:w="812" w:type="pct"/>
          </w:tcPr>
          <w:p w14:paraId="52791AB7"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en-GB"/>
              </w:rPr>
            </w:pPr>
            <w:r w:rsidRPr="00B44B19">
              <w:rPr>
                <w:rFonts w:eastAsia="Times New Roman" w:cs="Times New Roman"/>
                <w:sz w:val="16"/>
                <w:szCs w:val="16"/>
              </w:rPr>
              <w:t xml:space="preserve">Investicijos į naujas arba atnaujintas gaivalinių nelaimių stebėsenos, pasirengimo joms, įspėjimo apie jas ir </w:t>
            </w:r>
            <w:r w:rsidRPr="00B44B19">
              <w:rPr>
                <w:rFonts w:eastAsia="Times New Roman" w:cs="Times New Roman"/>
                <w:sz w:val="16"/>
                <w:szCs w:val="16"/>
              </w:rPr>
              <w:lastRenderedPageBreak/>
              <w:t>reagavimo į jas sistemas</w:t>
            </w:r>
          </w:p>
        </w:tc>
        <w:tc>
          <w:tcPr>
            <w:tcW w:w="591" w:type="pct"/>
          </w:tcPr>
          <w:p w14:paraId="0B02B34E"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lastRenderedPageBreak/>
              <w:t>Eurai</w:t>
            </w:r>
          </w:p>
        </w:tc>
        <w:tc>
          <w:tcPr>
            <w:tcW w:w="516" w:type="pct"/>
          </w:tcPr>
          <w:p w14:paraId="01A55C21"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noProof/>
                <w:sz w:val="16"/>
                <w:szCs w:val="16"/>
              </w:rPr>
              <w:t>2 000 000</w:t>
            </w:r>
          </w:p>
        </w:tc>
        <w:tc>
          <w:tcPr>
            <w:tcW w:w="508" w:type="pct"/>
          </w:tcPr>
          <w:p w14:paraId="3FCC1895"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noProof/>
                <w:sz w:val="16"/>
                <w:szCs w:val="16"/>
                <w:lang w:val="en-US"/>
              </w:rPr>
              <w:t>12 680 000</w:t>
            </w:r>
          </w:p>
        </w:tc>
      </w:tr>
      <w:tr w:rsidR="0087201A" w:rsidRPr="00B44B19" w14:paraId="7DC84A51" w14:textId="77777777" w:rsidTr="003040E3">
        <w:trPr>
          <w:trHeight w:val="332"/>
        </w:trPr>
        <w:tc>
          <w:tcPr>
            <w:tcW w:w="495" w:type="pct"/>
            <w:vMerge/>
          </w:tcPr>
          <w:p w14:paraId="5CDD7562"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36ED1A67"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411AA72D"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368C474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0" w:type="pct"/>
          </w:tcPr>
          <w:p w14:paraId="3E9872FF" w14:textId="77777777" w:rsidR="0087201A" w:rsidRPr="00B44B19" w:rsidRDefault="0087201A" w:rsidP="0087201A">
            <w:pPr>
              <w:spacing w:after="0" w:line="240" w:lineRule="auto"/>
              <w:jc w:val="both"/>
              <w:rPr>
                <w:rFonts w:eastAsia="Times New Roman" w:cs="Times New Roman"/>
                <w:color w:val="000000"/>
                <w:sz w:val="16"/>
                <w:szCs w:val="16"/>
              </w:rPr>
            </w:pPr>
            <w:r w:rsidRPr="00B44B19">
              <w:rPr>
                <w:rFonts w:eastAsia="Times New Roman" w:cs="Times New Roman"/>
                <w:sz w:val="16"/>
                <w:szCs w:val="16"/>
                <w:lang w:eastAsia="en-GB"/>
              </w:rPr>
              <w:t>Specialusis </w:t>
            </w:r>
          </w:p>
        </w:tc>
        <w:tc>
          <w:tcPr>
            <w:tcW w:w="812" w:type="pct"/>
          </w:tcPr>
          <w:p w14:paraId="79807D8B"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rPr>
            </w:pPr>
            <w:r w:rsidRPr="00B44B19">
              <w:rPr>
                <w:rFonts w:eastAsia="Times New Roman" w:cs="Times New Roman"/>
                <w:sz w:val="16"/>
                <w:szCs w:val="16"/>
                <w:lang w:eastAsia="en-GB"/>
              </w:rPr>
              <w:t xml:space="preserve">Investicijos į viešąjį saugumą užtikrinančių institucijų parengtį </w:t>
            </w:r>
          </w:p>
        </w:tc>
        <w:tc>
          <w:tcPr>
            <w:tcW w:w="591" w:type="pct"/>
          </w:tcPr>
          <w:p w14:paraId="515D46B0"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Eurai</w:t>
            </w:r>
          </w:p>
        </w:tc>
        <w:tc>
          <w:tcPr>
            <w:tcW w:w="516" w:type="pct"/>
          </w:tcPr>
          <w:p w14:paraId="026DBE42"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bCs/>
                <w:noProof/>
                <w:sz w:val="16"/>
                <w:szCs w:val="16"/>
              </w:rPr>
              <w:t>0</w:t>
            </w:r>
          </w:p>
        </w:tc>
        <w:tc>
          <w:tcPr>
            <w:tcW w:w="508" w:type="pct"/>
          </w:tcPr>
          <w:p w14:paraId="4728A82B" w14:textId="77777777" w:rsidR="0087201A" w:rsidRPr="00B44B19" w:rsidRDefault="0087201A" w:rsidP="0087201A">
            <w:pPr>
              <w:spacing w:after="0" w:line="240" w:lineRule="auto"/>
              <w:jc w:val="center"/>
              <w:rPr>
                <w:rFonts w:eastAsia="Times New Roman" w:cs="Times New Roman"/>
                <w:noProof/>
                <w:sz w:val="16"/>
                <w:szCs w:val="16"/>
                <w:lang w:val="en-US"/>
              </w:rPr>
            </w:pPr>
            <w:r w:rsidRPr="00B44B19">
              <w:rPr>
                <w:rFonts w:eastAsia="Times New Roman" w:cs="Times New Roman"/>
                <w:noProof/>
                <w:sz w:val="16"/>
                <w:szCs w:val="16"/>
                <w:lang w:val="en-US"/>
              </w:rPr>
              <w:t>8 016 250</w:t>
            </w:r>
          </w:p>
        </w:tc>
      </w:tr>
      <w:tr w:rsidR="0087201A" w:rsidRPr="00B44B19" w14:paraId="6D91393B" w14:textId="77777777" w:rsidTr="003040E3">
        <w:trPr>
          <w:trHeight w:val="332"/>
        </w:trPr>
        <w:tc>
          <w:tcPr>
            <w:tcW w:w="495" w:type="pct"/>
            <w:vMerge/>
          </w:tcPr>
          <w:p w14:paraId="07D80E53"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06AA343D"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4AA2B079"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5E58E128"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12C29526"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 </w:t>
            </w:r>
          </w:p>
        </w:tc>
        <w:tc>
          <w:tcPr>
            <w:tcW w:w="812" w:type="pct"/>
          </w:tcPr>
          <w:p w14:paraId="4DE08F92"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Investicijos į viešąjį saugumą užtikrinančių institucijų parengtį</w:t>
            </w:r>
          </w:p>
        </w:tc>
        <w:tc>
          <w:tcPr>
            <w:tcW w:w="591" w:type="pct"/>
          </w:tcPr>
          <w:p w14:paraId="3AF0B9CB"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Eurai</w:t>
            </w:r>
          </w:p>
        </w:tc>
        <w:tc>
          <w:tcPr>
            <w:tcW w:w="516" w:type="pct"/>
          </w:tcPr>
          <w:p w14:paraId="40146DD9"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Pr>
          <w:p w14:paraId="6AC6F426" w14:textId="77777777" w:rsidR="0087201A" w:rsidRPr="00B44B19" w:rsidRDefault="0087201A" w:rsidP="0087201A">
            <w:pPr>
              <w:spacing w:after="0" w:line="240" w:lineRule="auto"/>
              <w:jc w:val="center"/>
              <w:rPr>
                <w:rFonts w:eastAsia="Times New Roman" w:cs="Times New Roman"/>
                <w:noProof/>
                <w:sz w:val="16"/>
                <w:szCs w:val="16"/>
                <w:lang w:val="en-US"/>
              </w:rPr>
            </w:pPr>
            <w:r w:rsidRPr="00B44B19">
              <w:rPr>
                <w:rFonts w:eastAsia="Times New Roman" w:cs="Times New Roman"/>
                <w:noProof/>
                <w:sz w:val="16"/>
                <w:szCs w:val="16"/>
                <w:lang w:val="en-US"/>
              </w:rPr>
              <w:t>12 305 526</w:t>
            </w:r>
          </w:p>
        </w:tc>
      </w:tr>
      <w:tr w:rsidR="0087201A" w:rsidRPr="00B44B19" w14:paraId="45722EED" w14:textId="77777777" w:rsidTr="003040E3">
        <w:trPr>
          <w:trHeight w:val="332"/>
        </w:trPr>
        <w:tc>
          <w:tcPr>
            <w:tcW w:w="495" w:type="pct"/>
            <w:vMerge/>
          </w:tcPr>
          <w:p w14:paraId="774D8E22"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7552985F"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7CAC759C"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7F28E0A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0" w:type="pct"/>
          </w:tcPr>
          <w:p w14:paraId="5E402231"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lt-LT"/>
              </w:rPr>
              <w:t>RCO80</w:t>
            </w:r>
          </w:p>
        </w:tc>
        <w:tc>
          <w:tcPr>
            <w:tcW w:w="812" w:type="pct"/>
          </w:tcPr>
          <w:p w14:paraId="5D6C8771"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en-GB"/>
              </w:rPr>
            </w:pPr>
            <w:r w:rsidRPr="00B44B19">
              <w:rPr>
                <w:rFonts w:eastAsia="Times New Roman" w:cs="Times New Roman"/>
                <w:noProof/>
                <w:sz w:val="16"/>
                <w:szCs w:val="16"/>
                <w:lang w:eastAsia="lt-LT"/>
              </w:rPr>
              <w:t>Bendruomenės inicijuotos vietos plėtros strategijos, kurioms suteikta parama</w:t>
            </w:r>
          </w:p>
        </w:tc>
        <w:tc>
          <w:tcPr>
            <w:tcW w:w="591" w:type="pct"/>
          </w:tcPr>
          <w:p w14:paraId="2794EB7E"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noProof/>
                <w:sz w:val="16"/>
                <w:szCs w:val="16"/>
              </w:rPr>
              <w:t>Strategijos</w:t>
            </w:r>
          </w:p>
        </w:tc>
        <w:tc>
          <w:tcPr>
            <w:tcW w:w="516" w:type="pct"/>
          </w:tcPr>
          <w:p w14:paraId="171B1AC4"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Pr>
          <w:p w14:paraId="05DE8A74" w14:textId="77777777" w:rsidR="0087201A" w:rsidRPr="00B44B19" w:rsidRDefault="0087201A" w:rsidP="0087201A">
            <w:pPr>
              <w:spacing w:after="0" w:line="240" w:lineRule="auto"/>
              <w:jc w:val="center"/>
              <w:rPr>
                <w:rFonts w:eastAsia="Times New Roman" w:cs="Times New Roman"/>
                <w:noProof/>
                <w:sz w:val="16"/>
                <w:szCs w:val="16"/>
                <w:lang w:val="en-US"/>
              </w:rPr>
            </w:pPr>
            <w:r w:rsidRPr="00B44B19">
              <w:rPr>
                <w:rFonts w:eastAsia="Times New Roman" w:cs="Times New Roman"/>
                <w:noProof/>
                <w:sz w:val="16"/>
                <w:szCs w:val="16"/>
                <w:lang w:val="en-US"/>
              </w:rPr>
              <w:t>5</w:t>
            </w:r>
          </w:p>
        </w:tc>
      </w:tr>
      <w:tr w:rsidR="0087201A" w:rsidRPr="00B44B19" w14:paraId="77D2BFED" w14:textId="77777777" w:rsidTr="003040E3">
        <w:trPr>
          <w:trHeight w:val="332"/>
        </w:trPr>
        <w:tc>
          <w:tcPr>
            <w:tcW w:w="495" w:type="pct"/>
            <w:vMerge/>
          </w:tcPr>
          <w:p w14:paraId="487F0912"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4C8BE29C"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2D816A2B"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58D2B1E3"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25FF2922"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RCO80</w:t>
            </w:r>
          </w:p>
        </w:tc>
        <w:tc>
          <w:tcPr>
            <w:tcW w:w="812" w:type="pct"/>
          </w:tcPr>
          <w:p w14:paraId="48D9C4C2" w14:textId="77777777" w:rsidR="0087201A" w:rsidRPr="00B44B19" w:rsidRDefault="0087201A" w:rsidP="0087201A">
            <w:pPr>
              <w:autoSpaceDE w:val="0"/>
              <w:autoSpaceDN w:val="0"/>
              <w:adjustRightInd w:val="0"/>
              <w:spacing w:after="0" w:line="240" w:lineRule="auto"/>
              <w:jc w:val="both"/>
              <w:rPr>
                <w:rFonts w:eastAsia="Times New Roman" w:cs="Times New Roman"/>
                <w:noProof/>
                <w:sz w:val="16"/>
                <w:szCs w:val="16"/>
                <w:lang w:eastAsia="lt-LT"/>
              </w:rPr>
            </w:pPr>
            <w:r w:rsidRPr="00B44B19">
              <w:rPr>
                <w:rFonts w:eastAsia="Times New Roman" w:cs="Times New Roman"/>
                <w:noProof/>
                <w:sz w:val="16"/>
                <w:szCs w:val="16"/>
                <w:lang w:eastAsia="lt-LT"/>
              </w:rPr>
              <w:t>Bendruomenės inicijuotos vietos plėtros strategijos, kurioms suteikta parama</w:t>
            </w:r>
          </w:p>
        </w:tc>
        <w:tc>
          <w:tcPr>
            <w:tcW w:w="591" w:type="pct"/>
          </w:tcPr>
          <w:p w14:paraId="655E244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iCs/>
                <w:sz w:val="16"/>
                <w:szCs w:val="16"/>
              </w:rPr>
              <w:t>Strategijos</w:t>
            </w:r>
          </w:p>
        </w:tc>
        <w:tc>
          <w:tcPr>
            <w:tcW w:w="516" w:type="pct"/>
          </w:tcPr>
          <w:p w14:paraId="67A2EE3E"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508" w:type="pct"/>
          </w:tcPr>
          <w:p w14:paraId="709AA5AD" w14:textId="77777777" w:rsidR="0087201A" w:rsidRPr="00B44B19" w:rsidRDefault="0087201A" w:rsidP="0087201A">
            <w:pPr>
              <w:spacing w:after="0" w:line="240" w:lineRule="auto"/>
              <w:jc w:val="center"/>
              <w:rPr>
                <w:rFonts w:eastAsia="Times New Roman" w:cs="Times New Roman"/>
                <w:noProof/>
                <w:sz w:val="16"/>
                <w:szCs w:val="16"/>
                <w:lang w:val="en-US"/>
              </w:rPr>
            </w:pPr>
            <w:r w:rsidRPr="00B44B19">
              <w:rPr>
                <w:rFonts w:eastAsia="Times New Roman" w:cs="Times New Roman"/>
                <w:noProof/>
                <w:sz w:val="16"/>
                <w:szCs w:val="16"/>
                <w:lang w:val="en-US"/>
              </w:rPr>
              <w:t>47</w:t>
            </w:r>
          </w:p>
        </w:tc>
      </w:tr>
      <w:tr w:rsidR="0087201A" w:rsidRPr="00B44B19" w14:paraId="348BB9CA" w14:textId="77777777" w:rsidTr="003040E3">
        <w:trPr>
          <w:trHeight w:val="332"/>
        </w:trPr>
        <w:tc>
          <w:tcPr>
            <w:tcW w:w="495" w:type="pct"/>
            <w:vMerge/>
          </w:tcPr>
          <w:p w14:paraId="6B19DE75" w14:textId="77777777" w:rsidR="0087201A" w:rsidRPr="00B44B19" w:rsidRDefault="0087201A" w:rsidP="0087201A">
            <w:pPr>
              <w:spacing w:after="0" w:line="240" w:lineRule="auto"/>
              <w:jc w:val="both"/>
              <w:rPr>
                <w:rFonts w:eastAsia="Times New Roman" w:cs="Times New Roman"/>
                <w:sz w:val="16"/>
                <w:szCs w:val="16"/>
              </w:rPr>
            </w:pPr>
          </w:p>
        </w:tc>
        <w:tc>
          <w:tcPr>
            <w:tcW w:w="503" w:type="pct"/>
            <w:vMerge/>
          </w:tcPr>
          <w:p w14:paraId="5A7815FB"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4BF0122E"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53F639F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0" w:type="pct"/>
          </w:tcPr>
          <w:p w14:paraId="2819941D"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Specialusis</w:t>
            </w:r>
          </w:p>
        </w:tc>
        <w:tc>
          <w:tcPr>
            <w:tcW w:w="812" w:type="pct"/>
          </w:tcPr>
          <w:p w14:paraId="7853F3E6" w14:textId="77777777" w:rsidR="0087201A" w:rsidRPr="00B44B19" w:rsidRDefault="0087201A" w:rsidP="0087201A">
            <w:pPr>
              <w:autoSpaceDE w:val="0"/>
              <w:autoSpaceDN w:val="0"/>
              <w:adjustRightInd w:val="0"/>
              <w:spacing w:after="0" w:line="240" w:lineRule="auto"/>
              <w:jc w:val="both"/>
              <w:rPr>
                <w:rFonts w:eastAsia="Times New Roman" w:cs="Times New Roman"/>
                <w:noProof/>
                <w:sz w:val="16"/>
                <w:szCs w:val="16"/>
                <w:lang w:eastAsia="lt-LT"/>
              </w:rPr>
            </w:pPr>
            <w:r w:rsidRPr="00B44B19">
              <w:rPr>
                <w:rFonts w:eastAsia="Times New Roman" w:cs="Times New Roman"/>
                <w:sz w:val="16"/>
                <w:szCs w:val="16"/>
                <w:lang w:eastAsia="lt-LT"/>
              </w:rPr>
              <w:t>Naujos arba modernizuotos priedangos</w:t>
            </w:r>
          </w:p>
        </w:tc>
        <w:tc>
          <w:tcPr>
            <w:tcW w:w="591" w:type="pct"/>
          </w:tcPr>
          <w:p w14:paraId="47C0B6D0" w14:textId="77777777" w:rsidR="0087201A" w:rsidRPr="00B44B19" w:rsidRDefault="0087201A" w:rsidP="0087201A">
            <w:pPr>
              <w:spacing w:after="0" w:line="240" w:lineRule="auto"/>
              <w:jc w:val="both"/>
              <w:rPr>
                <w:rFonts w:eastAsia="Times New Roman" w:cs="Times New Roman"/>
                <w:iCs/>
                <w:sz w:val="16"/>
                <w:szCs w:val="16"/>
              </w:rPr>
            </w:pPr>
            <w:r w:rsidRPr="00B44B19">
              <w:rPr>
                <w:rFonts w:eastAsia="Times New Roman" w:cs="Times New Roman"/>
                <w:noProof/>
                <w:sz w:val="16"/>
                <w:szCs w:val="16"/>
              </w:rPr>
              <w:t>Skaičius</w:t>
            </w:r>
          </w:p>
        </w:tc>
        <w:tc>
          <w:tcPr>
            <w:tcW w:w="516" w:type="pct"/>
          </w:tcPr>
          <w:p w14:paraId="473237EF"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noProof/>
                <w:sz w:val="16"/>
                <w:szCs w:val="16"/>
              </w:rPr>
              <w:t>0</w:t>
            </w:r>
          </w:p>
        </w:tc>
        <w:tc>
          <w:tcPr>
            <w:tcW w:w="508" w:type="pct"/>
          </w:tcPr>
          <w:p w14:paraId="6C9894A7" w14:textId="77777777" w:rsidR="0087201A" w:rsidRPr="00B44B19" w:rsidRDefault="0087201A" w:rsidP="0087201A">
            <w:pPr>
              <w:spacing w:after="0" w:line="240" w:lineRule="auto"/>
              <w:jc w:val="center"/>
              <w:rPr>
                <w:rFonts w:eastAsia="Times New Roman" w:cs="Times New Roman"/>
                <w:noProof/>
                <w:sz w:val="16"/>
                <w:szCs w:val="16"/>
                <w:lang w:val="en-US"/>
              </w:rPr>
            </w:pPr>
            <w:r w:rsidRPr="00B44B19">
              <w:rPr>
                <w:rFonts w:eastAsia="Times New Roman" w:cs="Times New Roman"/>
                <w:noProof/>
                <w:sz w:val="16"/>
                <w:szCs w:val="16"/>
              </w:rPr>
              <w:t>19</w:t>
            </w:r>
          </w:p>
        </w:tc>
      </w:tr>
      <w:tr w:rsidR="0087201A" w:rsidRPr="00B44B19" w14:paraId="49330E39" w14:textId="77777777" w:rsidTr="003040E3">
        <w:trPr>
          <w:trHeight w:val="332"/>
        </w:trPr>
        <w:tc>
          <w:tcPr>
            <w:tcW w:w="495" w:type="pct"/>
            <w:vMerge/>
          </w:tcPr>
          <w:p w14:paraId="6F633C3E"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4D0B09C3" w14:textId="77777777" w:rsidR="0087201A" w:rsidRPr="00B44B19" w:rsidRDefault="0087201A" w:rsidP="0087201A">
            <w:pPr>
              <w:spacing w:after="0" w:line="240" w:lineRule="auto"/>
              <w:rPr>
                <w:rFonts w:eastAsia="Times New Roman" w:cs="Times New Roman"/>
                <w:noProof/>
                <w:sz w:val="16"/>
                <w:szCs w:val="16"/>
              </w:rPr>
            </w:pPr>
          </w:p>
        </w:tc>
        <w:tc>
          <w:tcPr>
            <w:tcW w:w="432" w:type="pct"/>
            <w:vMerge/>
          </w:tcPr>
          <w:p w14:paraId="3B8265C4"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1486E793"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166E9DF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Specialusis</w:t>
            </w:r>
          </w:p>
        </w:tc>
        <w:tc>
          <w:tcPr>
            <w:tcW w:w="812" w:type="pct"/>
          </w:tcPr>
          <w:p w14:paraId="2CADC81F"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Naujos arba modernizuotos priedangos</w:t>
            </w:r>
          </w:p>
        </w:tc>
        <w:tc>
          <w:tcPr>
            <w:tcW w:w="591" w:type="pct"/>
          </w:tcPr>
          <w:p w14:paraId="21E30F2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Skaičius</w:t>
            </w:r>
          </w:p>
        </w:tc>
        <w:tc>
          <w:tcPr>
            <w:tcW w:w="516" w:type="pct"/>
          </w:tcPr>
          <w:p w14:paraId="1EC80B81"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508" w:type="pct"/>
          </w:tcPr>
          <w:p w14:paraId="7B6E1546"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79</w:t>
            </w:r>
          </w:p>
        </w:tc>
      </w:tr>
      <w:tr w:rsidR="0087201A" w:rsidRPr="00B44B19" w14:paraId="5DF17CEF" w14:textId="77777777" w:rsidTr="003040E3">
        <w:trPr>
          <w:trHeight w:val="332"/>
        </w:trPr>
        <w:tc>
          <w:tcPr>
            <w:tcW w:w="495" w:type="pct"/>
            <w:vMerge/>
          </w:tcPr>
          <w:p w14:paraId="46B57AD8"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3B369E04" w14:textId="77777777" w:rsidR="0087201A" w:rsidRPr="00B44B19" w:rsidRDefault="0087201A" w:rsidP="0087201A">
            <w:pPr>
              <w:spacing w:after="0" w:line="240" w:lineRule="auto"/>
              <w:rPr>
                <w:rFonts w:eastAsia="Times New Roman" w:cs="Times New Roman"/>
                <w:noProof/>
                <w:sz w:val="16"/>
                <w:szCs w:val="16"/>
              </w:rPr>
            </w:pPr>
          </w:p>
        </w:tc>
        <w:tc>
          <w:tcPr>
            <w:tcW w:w="432" w:type="pct"/>
            <w:vMerge/>
          </w:tcPr>
          <w:p w14:paraId="3958C85C"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1E0B412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0" w:type="pct"/>
          </w:tcPr>
          <w:p w14:paraId="30CF0C7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sz w:val="16"/>
                <w:szCs w:val="16"/>
                <w:lang w:eastAsia="lt-LT"/>
              </w:rPr>
              <w:t>RCO29</w:t>
            </w:r>
          </w:p>
        </w:tc>
        <w:tc>
          <w:tcPr>
            <w:tcW w:w="812" w:type="pct"/>
          </w:tcPr>
          <w:p w14:paraId="121E443E" w14:textId="5B2A5BE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 xml:space="preserve">Naujų ar modernizuotų </w:t>
            </w:r>
            <w:r w:rsidR="003A2FA4" w:rsidRPr="00B44B19">
              <w:rPr>
                <w:rFonts w:eastAsia="Times New Roman" w:cs="Times New Roman"/>
                <w:sz w:val="16"/>
                <w:szCs w:val="16"/>
                <w:lang w:eastAsia="lt-LT"/>
              </w:rPr>
              <w:t xml:space="preserve">daugiafunkcių </w:t>
            </w:r>
            <w:r w:rsidRPr="00B44B19">
              <w:rPr>
                <w:rFonts w:eastAsia="Times New Roman" w:cs="Times New Roman"/>
                <w:sz w:val="16"/>
                <w:szCs w:val="16"/>
                <w:lang w:eastAsia="lt-LT"/>
              </w:rPr>
              <w:t>priedangų talpumas</w:t>
            </w:r>
          </w:p>
        </w:tc>
        <w:tc>
          <w:tcPr>
            <w:tcW w:w="591" w:type="pct"/>
          </w:tcPr>
          <w:p w14:paraId="2E2CC08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516" w:type="pct"/>
          </w:tcPr>
          <w:p w14:paraId="05E32296"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508" w:type="pct"/>
          </w:tcPr>
          <w:p w14:paraId="75B28DA9"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7 473</w:t>
            </w:r>
          </w:p>
        </w:tc>
      </w:tr>
      <w:tr w:rsidR="0087201A" w:rsidRPr="00B44B19" w14:paraId="4DCF1F55" w14:textId="77777777" w:rsidTr="003040E3">
        <w:trPr>
          <w:trHeight w:val="332"/>
        </w:trPr>
        <w:tc>
          <w:tcPr>
            <w:tcW w:w="495" w:type="pct"/>
            <w:vMerge/>
          </w:tcPr>
          <w:p w14:paraId="1452D670"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48F93298" w14:textId="77777777" w:rsidR="0087201A" w:rsidRPr="00B44B19" w:rsidRDefault="0087201A" w:rsidP="0087201A">
            <w:pPr>
              <w:spacing w:after="0" w:line="240" w:lineRule="auto"/>
              <w:rPr>
                <w:rFonts w:eastAsia="Times New Roman" w:cs="Times New Roman"/>
                <w:noProof/>
                <w:sz w:val="16"/>
                <w:szCs w:val="16"/>
              </w:rPr>
            </w:pPr>
          </w:p>
        </w:tc>
        <w:tc>
          <w:tcPr>
            <w:tcW w:w="432" w:type="pct"/>
            <w:vMerge/>
          </w:tcPr>
          <w:p w14:paraId="1B16DBFF"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570272E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13FE89F2"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RCO29</w:t>
            </w:r>
          </w:p>
        </w:tc>
        <w:tc>
          <w:tcPr>
            <w:tcW w:w="812" w:type="pct"/>
          </w:tcPr>
          <w:p w14:paraId="26FEB8B8" w14:textId="2FFE5F8E"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 xml:space="preserve">Naujų ar modernizuotų </w:t>
            </w:r>
            <w:r w:rsidR="003A2FA4" w:rsidRPr="00B44B19">
              <w:rPr>
                <w:rFonts w:eastAsia="Times New Roman" w:cs="Times New Roman"/>
                <w:sz w:val="16"/>
                <w:szCs w:val="16"/>
                <w:lang w:eastAsia="lt-LT"/>
              </w:rPr>
              <w:t xml:space="preserve">daugiafunkcių </w:t>
            </w:r>
            <w:r w:rsidRPr="00B44B19">
              <w:rPr>
                <w:rFonts w:eastAsia="Times New Roman" w:cs="Times New Roman"/>
                <w:sz w:val="16"/>
                <w:szCs w:val="16"/>
                <w:lang w:eastAsia="lt-LT"/>
              </w:rPr>
              <w:t>priedangų talpumas</w:t>
            </w:r>
          </w:p>
        </w:tc>
        <w:tc>
          <w:tcPr>
            <w:tcW w:w="591" w:type="pct"/>
          </w:tcPr>
          <w:p w14:paraId="15014057"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516" w:type="pct"/>
          </w:tcPr>
          <w:p w14:paraId="6C0E06BF"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508" w:type="pct"/>
          </w:tcPr>
          <w:p w14:paraId="7125AF9D"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31 073</w:t>
            </w:r>
          </w:p>
        </w:tc>
      </w:tr>
      <w:tr w:rsidR="0087201A" w:rsidRPr="00B44B19" w14:paraId="193465C0" w14:textId="77777777" w:rsidTr="003040E3">
        <w:trPr>
          <w:trHeight w:val="332"/>
        </w:trPr>
        <w:tc>
          <w:tcPr>
            <w:tcW w:w="495" w:type="pct"/>
            <w:vMerge/>
          </w:tcPr>
          <w:p w14:paraId="1DF1DF1D"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63093034" w14:textId="77777777" w:rsidR="0087201A" w:rsidRPr="00B44B19" w:rsidRDefault="0087201A" w:rsidP="0087201A">
            <w:pPr>
              <w:spacing w:after="0" w:line="240" w:lineRule="auto"/>
              <w:rPr>
                <w:rFonts w:eastAsia="Times New Roman" w:cs="Times New Roman"/>
                <w:noProof/>
                <w:sz w:val="16"/>
                <w:szCs w:val="16"/>
              </w:rPr>
            </w:pPr>
          </w:p>
        </w:tc>
        <w:tc>
          <w:tcPr>
            <w:tcW w:w="432" w:type="pct"/>
            <w:vMerge/>
          </w:tcPr>
          <w:p w14:paraId="728B1E78"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5E1CCACB"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0" w:type="pct"/>
          </w:tcPr>
          <w:p w14:paraId="119CA87D"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Specialusis</w:t>
            </w:r>
          </w:p>
        </w:tc>
        <w:tc>
          <w:tcPr>
            <w:tcW w:w="812" w:type="pct"/>
          </w:tcPr>
          <w:p w14:paraId="41F8759D"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Modernizuoti savivaldybių ekstremaliųjų situacijų operacijų centrai</w:t>
            </w:r>
          </w:p>
        </w:tc>
        <w:tc>
          <w:tcPr>
            <w:tcW w:w="591" w:type="pct"/>
          </w:tcPr>
          <w:p w14:paraId="73C4D65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Skaičius</w:t>
            </w:r>
          </w:p>
        </w:tc>
        <w:tc>
          <w:tcPr>
            <w:tcW w:w="516" w:type="pct"/>
          </w:tcPr>
          <w:p w14:paraId="615F73F6"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508" w:type="pct"/>
          </w:tcPr>
          <w:p w14:paraId="25F09297"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38</w:t>
            </w:r>
          </w:p>
        </w:tc>
      </w:tr>
    </w:tbl>
    <w:p w14:paraId="0A3047C0" w14:textId="77777777" w:rsidR="0087201A" w:rsidRPr="00B44B19" w:rsidRDefault="0087201A" w:rsidP="0087201A">
      <w:pPr>
        <w:spacing w:after="0" w:line="240" w:lineRule="auto"/>
        <w:jc w:val="both"/>
        <w:rPr>
          <w:rFonts w:eastAsia="Times New Roman" w:cs="Times New Roman"/>
          <w:b/>
          <w:sz w:val="22"/>
        </w:rPr>
        <w:sectPr w:rsidR="0087201A" w:rsidRPr="00B44B19" w:rsidSect="0087201A">
          <w:footerReference w:type="first" r:id="rId27"/>
          <w:pgSz w:w="11906" w:h="16838"/>
          <w:pgMar w:top="1276" w:right="567" w:bottom="1134" w:left="1701" w:header="567" w:footer="567" w:gutter="0"/>
          <w:cols w:space="1296"/>
          <w:docGrid w:linePitch="360"/>
        </w:sectPr>
      </w:pPr>
    </w:p>
    <w:p w14:paraId="793D51C9" w14:textId="77777777" w:rsidR="0087201A" w:rsidRPr="00B44B19" w:rsidRDefault="0087201A" w:rsidP="0087201A">
      <w:pPr>
        <w:spacing w:after="0" w:line="240" w:lineRule="auto"/>
        <w:jc w:val="both"/>
        <w:rPr>
          <w:rFonts w:eastAsia="Times New Roman" w:cs="Times New Roman"/>
          <w:b/>
          <w:sz w:val="22"/>
        </w:rPr>
      </w:pPr>
      <w:r w:rsidRPr="00B44B19">
        <w:rPr>
          <w:rFonts w:eastAsia="Times New Roman"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6"/>
        <w:gridCol w:w="1255"/>
        <w:gridCol w:w="3903"/>
        <w:gridCol w:w="975"/>
        <w:gridCol w:w="975"/>
        <w:gridCol w:w="1195"/>
        <w:gridCol w:w="895"/>
        <w:gridCol w:w="948"/>
        <w:gridCol w:w="987"/>
      </w:tblGrid>
      <w:tr w:rsidR="0087201A" w:rsidRPr="00B44B19" w14:paraId="3644FDC2" w14:textId="77777777" w:rsidTr="003040E3">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40777F5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35CCEB3"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5A72754E"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Fondas</w:t>
            </w:r>
          </w:p>
        </w:tc>
        <w:tc>
          <w:tcPr>
            <w:tcW w:w="328" w:type="pct"/>
            <w:tcBorders>
              <w:top w:val="single" w:sz="12" w:space="0" w:color="auto"/>
              <w:left w:val="single" w:sz="12" w:space="0" w:color="auto"/>
              <w:right w:val="single" w:sz="12" w:space="0" w:color="auto"/>
            </w:tcBorders>
            <w:shd w:val="clear" w:color="auto" w:fill="DBE5F1"/>
            <w:vAlign w:val="center"/>
          </w:tcPr>
          <w:p w14:paraId="740B07BA"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663454F7"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Identifikavimo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00AC853D"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7580322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5210D67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Pradinė reikšmė arba pamatinė vertė</w:t>
            </w:r>
          </w:p>
        </w:tc>
        <w:tc>
          <w:tcPr>
            <w:tcW w:w="402" w:type="pct"/>
            <w:tcBorders>
              <w:top w:val="single" w:sz="12" w:space="0" w:color="auto"/>
              <w:left w:val="single" w:sz="12" w:space="0" w:color="auto"/>
              <w:bottom w:val="single" w:sz="12" w:space="0" w:color="auto"/>
              <w:right w:val="single" w:sz="12" w:space="0" w:color="auto"/>
            </w:tcBorders>
            <w:shd w:val="clear" w:color="auto" w:fill="DBE5F1"/>
            <w:vAlign w:val="center"/>
          </w:tcPr>
          <w:p w14:paraId="6B005F95"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Ataskaitiniai metai</w:t>
            </w:r>
          </w:p>
        </w:tc>
        <w:tc>
          <w:tcPr>
            <w:tcW w:w="301" w:type="pct"/>
            <w:tcBorders>
              <w:top w:val="single" w:sz="12" w:space="0" w:color="auto"/>
              <w:left w:val="single" w:sz="12" w:space="0" w:color="auto"/>
              <w:bottom w:val="single" w:sz="12" w:space="0" w:color="auto"/>
              <w:right w:val="single" w:sz="12" w:space="0" w:color="auto"/>
            </w:tcBorders>
            <w:shd w:val="clear" w:color="auto" w:fill="DBE5F1"/>
            <w:vAlign w:val="center"/>
          </w:tcPr>
          <w:p w14:paraId="085FB47E"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Siektina reikšmė (2029 m.)</w:t>
            </w:r>
          </w:p>
        </w:tc>
        <w:tc>
          <w:tcPr>
            <w:tcW w:w="319" w:type="pct"/>
            <w:tcBorders>
              <w:top w:val="single" w:sz="12" w:space="0" w:color="auto"/>
              <w:left w:val="single" w:sz="12" w:space="0" w:color="auto"/>
              <w:bottom w:val="single" w:sz="12" w:space="0" w:color="auto"/>
              <w:right w:val="single" w:sz="12" w:space="0" w:color="auto"/>
            </w:tcBorders>
            <w:shd w:val="clear" w:color="auto" w:fill="DBE5F1"/>
            <w:vAlign w:val="center"/>
          </w:tcPr>
          <w:p w14:paraId="5A9C05D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Duomenų šaltinis</w:t>
            </w:r>
          </w:p>
        </w:tc>
        <w:tc>
          <w:tcPr>
            <w:tcW w:w="332" w:type="pct"/>
            <w:tcBorders>
              <w:top w:val="single" w:sz="12" w:space="0" w:color="auto"/>
              <w:left w:val="single" w:sz="12" w:space="0" w:color="auto"/>
              <w:bottom w:val="single" w:sz="12" w:space="0" w:color="auto"/>
              <w:right w:val="single" w:sz="12" w:space="0" w:color="auto"/>
            </w:tcBorders>
            <w:shd w:val="clear" w:color="auto" w:fill="DBE5F1"/>
            <w:vAlign w:val="center"/>
          </w:tcPr>
          <w:p w14:paraId="2E98C832"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Pastabos</w:t>
            </w:r>
          </w:p>
        </w:tc>
      </w:tr>
      <w:tr w:rsidR="0087201A" w:rsidRPr="00B44B19" w14:paraId="7D1A8798" w14:textId="77777777" w:rsidTr="003040E3">
        <w:trPr>
          <w:trHeight w:val="286"/>
        </w:trPr>
        <w:tc>
          <w:tcPr>
            <w:tcW w:w="317" w:type="pct"/>
            <w:vMerge w:val="restart"/>
            <w:tcBorders>
              <w:top w:val="single" w:sz="12" w:space="0" w:color="auto"/>
            </w:tcBorders>
          </w:tcPr>
          <w:p w14:paraId="0FC7BBEB"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15</w:t>
            </w:r>
          </w:p>
        </w:tc>
        <w:tc>
          <w:tcPr>
            <w:tcW w:w="328" w:type="pct"/>
            <w:vMerge w:val="restart"/>
            <w:tcBorders>
              <w:top w:val="single" w:sz="12" w:space="0" w:color="auto"/>
            </w:tcBorders>
          </w:tcPr>
          <w:p w14:paraId="7C80E1F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15.1</w:t>
            </w:r>
          </w:p>
        </w:tc>
        <w:tc>
          <w:tcPr>
            <w:tcW w:w="281" w:type="pct"/>
            <w:vMerge w:val="restart"/>
            <w:tcBorders>
              <w:top w:val="single" w:sz="12" w:space="0" w:color="auto"/>
            </w:tcBorders>
          </w:tcPr>
          <w:p w14:paraId="77689D8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ERPF</w:t>
            </w:r>
          </w:p>
        </w:tc>
        <w:tc>
          <w:tcPr>
            <w:tcW w:w="328" w:type="pct"/>
          </w:tcPr>
          <w:p w14:paraId="0370799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0CF59A8F"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en-GB"/>
              </w:rPr>
              <w:t>Specialusis</w:t>
            </w:r>
          </w:p>
        </w:tc>
        <w:tc>
          <w:tcPr>
            <w:tcW w:w="1313" w:type="pct"/>
          </w:tcPr>
          <w:p w14:paraId="4537075D"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bCs/>
                <w:noProof/>
                <w:sz w:val="16"/>
                <w:szCs w:val="16"/>
              </w:rPr>
              <w:t>Naujos arba modernizuotos sveikatos priežiūros infrastruktūros naudotojų skaičius per metus</w:t>
            </w:r>
            <w:r w:rsidRPr="00B44B19" w:rsidDel="00A4692A">
              <w:rPr>
                <w:rFonts w:eastAsia="Times New Roman" w:cs="Times New Roman"/>
                <w:bCs/>
                <w:noProof/>
                <w:sz w:val="16"/>
                <w:szCs w:val="16"/>
              </w:rPr>
              <w:t xml:space="preserve"> </w:t>
            </w:r>
          </w:p>
        </w:tc>
        <w:tc>
          <w:tcPr>
            <w:tcW w:w="328" w:type="pct"/>
          </w:tcPr>
          <w:p w14:paraId="6B224317"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bCs/>
                <w:noProof/>
                <w:sz w:val="16"/>
                <w:szCs w:val="16"/>
              </w:rPr>
              <w:t>Naudotojai per metus</w:t>
            </w:r>
          </w:p>
        </w:tc>
        <w:tc>
          <w:tcPr>
            <w:tcW w:w="328" w:type="pct"/>
            <w:tcBorders>
              <w:top w:val="single" w:sz="12" w:space="0" w:color="auto"/>
            </w:tcBorders>
          </w:tcPr>
          <w:p w14:paraId="1C74AE10"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5 230</w:t>
            </w:r>
          </w:p>
        </w:tc>
        <w:tc>
          <w:tcPr>
            <w:tcW w:w="402" w:type="pct"/>
            <w:tcBorders>
              <w:top w:val="single" w:sz="12" w:space="0" w:color="auto"/>
            </w:tcBorders>
          </w:tcPr>
          <w:p w14:paraId="43465415"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2024</w:t>
            </w:r>
          </w:p>
        </w:tc>
        <w:tc>
          <w:tcPr>
            <w:tcW w:w="301" w:type="pct"/>
            <w:tcBorders>
              <w:top w:val="single" w:sz="12" w:space="0" w:color="auto"/>
            </w:tcBorders>
          </w:tcPr>
          <w:p w14:paraId="7C149346"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5 440</w:t>
            </w:r>
          </w:p>
        </w:tc>
        <w:tc>
          <w:tcPr>
            <w:tcW w:w="319" w:type="pct"/>
            <w:tcBorders>
              <w:top w:val="single" w:sz="12" w:space="0" w:color="auto"/>
            </w:tcBorders>
          </w:tcPr>
          <w:p w14:paraId="3C62E8FA" w14:textId="77777777" w:rsidR="0087201A" w:rsidRPr="00B44B19" w:rsidRDefault="0087201A" w:rsidP="0087201A">
            <w:pPr>
              <w:spacing w:after="0" w:line="240" w:lineRule="auto"/>
              <w:jc w:val="both"/>
              <w:rPr>
                <w:rFonts w:eastAsia="Times New Roman" w:cs="Times New Roman"/>
                <w:iCs/>
                <w:noProof/>
                <w:sz w:val="16"/>
                <w:szCs w:val="16"/>
              </w:rPr>
            </w:pPr>
            <w:r w:rsidRPr="00B44B19">
              <w:rPr>
                <w:rFonts w:eastAsia="Times New Roman" w:cs="Times New Roman"/>
                <w:iCs/>
                <w:noProof/>
                <w:sz w:val="16"/>
                <w:szCs w:val="16"/>
              </w:rPr>
              <w:t>Projektų duomenys</w:t>
            </w:r>
          </w:p>
        </w:tc>
        <w:tc>
          <w:tcPr>
            <w:tcW w:w="332" w:type="pct"/>
            <w:tcBorders>
              <w:top w:val="single" w:sz="12" w:space="0" w:color="auto"/>
            </w:tcBorders>
          </w:tcPr>
          <w:p w14:paraId="3990A519"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r w:rsidR="0087201A" w:rsidRPr="00B44B19" w14:paraId="33BCE041" w14:textId="77777777" w:rsidTr="003040E3">
        <w:trPr>
          <w:trHeight w:val="286"/>
        </w:trPr>
        <w:tc>
          <w:tcPr>
            <w:tcW w:w="317" w:type="pct"/>
            <w:vMerge/>
          </w:tcPr>
          <w:p w14:paraId="7DD0D869"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vMerge/>
          </w:tcPr>
          <w:p w14:paraId="500B40A2"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5ABB76DE"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64CC11B1"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03CF947D"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w:t>
            </w:r>
          </w:p>
        </w:tc>
        <w:tc>
          <w:tcPr>
            <w:tcW w:w="1313" w:type="pct"/>
          </w:tcPr>
          <w:p w14:paraId="4D802313"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bCs/>
                <w:noProof/>
                <w:sz w:val="16"/>
                <w:szCs w:val="16"/>
              </w:rPr>
              <w:t>Naujos arba modernizuotos sveikatos priežiūros infrastruktūros naudotojų skaičius per metus</w:t>
            </w:r>
            <w:r w:rsidRPr="00B44B19" w:rsidDel="00A4692A">
              <w:rPr>
                <w:rFonts w:eastAsia="Times New Roman" w:cs="Times New Roman"/>
                <w:bCs/>
                <w:noProof/>
                <w:sz w:val="16"/>
                <w:szCs w:val="16"/>
              </w:rPr>
              <w:t xml:space="preserve"> </w:t>
            </w:r>
          </w:p>
        </w:tc>
        <w:tc>
          <w:tcPr>
            <w:tcW w:w="328" w:type="pct"/>
          </w:tcPr>
          <w:p w14:paraId="47CE7B6D" w14:textId="77777777" w:rsidR="0087201A" w:rsidRPr="00B44B19" w:rsidRDefault="0087201A" w:rsidP="0087201A">
            <w:pPr>
              <w:spacing w:after="0" w:line="240" w:lineRule="auto"/>
              <w:jc w:val="both"/>
              <w:rPr>
                <w:rFonts w:eastAsia="Times New Roman" w:cs="Times New Roman"/>
                <w:color w:val="000000"/>
                <w:sz w:val="16"/>
                <w:szCs w:val="16"/>
                <w:shd w:val="clear" w:color="auto" w:fill="FFFFFF"/>
              </w:rPr>
            </w:pPr>
            <w:r w:rsidRPr="00B44B19">
              <w:rPr>
                <w:rFonts w:eastAsia="Times New Roman" w:cs="Times New Roman"/>
                <w:bCs/>
                <w:noProof/>
                <w:sz w:val="16"/>
                <w:szCs w:val="16"/>
              </w:rPr>
              <w:t>Naudotojai per metus</w:t>
            </w:r>
          </w:p>
        </w:tc>
        <w:tc>
          <w:tcPr>
            <w:tcW w:w="328" w:type="pct"/>
          </w:tcPr>
          <w:p w14:paraId="5761D12C"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402" w:type="pct"/>
          </w:tcPr>
          <w:p w14:paraId="5EA27740"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2024</w:t>
            </w:r>
          </w:p>
        </w:tc>
        <w:tc>
          <w:tcPr>
            <w:tcW w:w="301" w:type="pct"/>
          </w:tcPr>
          <w:p w14:paraId="19C5AC2B"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22 500</w:t>
            </w:r>
          </w:p>
        </w:tc>
        <w:tc>
          <w:tcPr>
            <w:tcW w:w="319" w:type="pct"/>
          </w:tcPr>
          <w:p w14:paraId="4F6A9FE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48850FD3"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r w:rsidR="0087201A" w:rsidRPr="00B44B19" w14:paraId="3819AF11" w14:textId="77777777" w:rsidTr="003040E3">
        <w:trPr>
          <w:trHeight w:val="286"/>
        </w:trPr>
        <w:tc>
          <w:tcPr>
            <w:tcW w:w="317" w:type="pct"/>
            <w:vMerge/>
          </w:tcPr>
          <w:p w14:paraId="6FF3E5D7" w14:textId="77777777" w:rsidR="0087201A" w:rsidRPr="00B44B19" w:rsidRDefault="0087201A" w:rsidP="0087201A">
            <w:pPr>
              <w:spacing w:after="0" w:line="240" w:lineRule="auto"/>
              <w:jc w:val="both"/>
              <w:rPr>
                <w:rFonts w:eastAsia="Times New Roman" w:cs="Times New Roman"/>
                <w:noProof/>
                <w:sz w:val="20"/>
                <w:szCs w:val="20"/>
              </w:rPr>
            </w:pPr>
          </w:p>
        </w:tc>
        <w:tc>
          <w:tcPr>
            <w:tcW w:w="328" w:type="pct"/>
            <w:vMerge/>
          </w:tcPr>
          <w:p w14:paraId="7AC56D33" w14:textId="77777777" w:rsidR="0087201A" w:rsidRPr="00B44B19" w:rsidRDefault="0087201A" w:rsidP="0087201A">
            <w:pPr>
              <w:spacing w:after="0" w:line="240" w:lineRule="auto"/>
              <w:jc w:val="both"/>
              <w:rPr>
                <w:rFonts w:eastAsia="Times New Roman" w:cs="Times New Roman"/>
                <w:noProof/>
                <w:sz w:val="20"/>
                <w:szCs w:val="20"/>
              </w:rPr>
            </w:pPr>
          </w:p>
        </w:tc>
        <w:tc>
          <w:tcPr>
            <w:tcW w:w="281" w:type="pct"/>
            <w:vMerge/>
          </w:tcPr>
          <w:p w14:paraId="02FB46BA" w14:textId="77777777" w:rsidR="0087201A" w:rsidRPr="00B44B19" w:rsidRDefault="0087201A" w:rsidP="0087201A">
            <w:pPr>
              <w:spacing w:after="0" w:line="240" w:lineRule="auto"/>
              <w:jc w:val="both"/>
              <w:rPr>
                <w:rFonts w:eastAsia="Times New Roman" w:cs="Times New Roman"/>
                <w:noProof/>
                <w:sz w:val="20"/>
                <w:szCs w:val="20"/>
              </w:rPr>
            </w:pPr>
          </w:p>
        </w:tc>
        <w:tc>
          <w:tcPr>
            <w:tcW w:w="328" w:type="pct"/>
          </w:tcPr>
          <w:p w14:paraId="7CD4F128" w14:textId="77777777" w:rsidR="0087201A" w:rsidRPr="00B44B19" w:rsidRDefault="0087201A" w:rsidP="0087201A">
            <w:pPr>
              <w:spacing w:after="0" w:line="240" w:lineRule="auto"/>
              <w:jc w:val="both"/>
              <w:rPr>
                <w:rFonts w:eastAsia="Times New Roman" w:cs="Times New Roman"/>
                <w:noProof/>
                <w:sz w:val="20"/>
                <w:szCs w:val="20"/>
              </w:rPr>
            </w:pPr>
            <w:r w:rsidRPr="00B44B19">
              <w:rPr>
                <w:rFonts w:eastAsia="Times New Roman" w:cs="Times New Roman"/>
                <w:noProof/>
                <w:sz w:val="16"/>
                <w:szCs w:val="16"/>
              </w:rPr>
              <w:t>Sostinės regionas</w:t>
            </w:r>
          </w:p>
        </w:tc>
        <w:tc>
          <w:tcPr>
            <w:tcW w:w="422" w:type="pct"/>
          </w:tcPr>
          <w:p w14:paraId="10349674" w14:textId="77777777" w:rsidR="0087201A" w:rsidRPr="00B44B19" w:rsidRDefault="0087201A" w:rsidP="0087201A">
            <w:pPr>
              <w:spacing w:after="0" w:line="240" w:lineRule="auto"/>
              <w:jc w:val="both"/>
              <w:rPr>
                <w:rFonts w:eastAsia="Times New Roman" w:cs="Times New Roman"/>
                <w:bCs/>
                <w:noProof/>
                <w:sz w:val="20"/>
                <w:szCs w:val="20"/>
              </w:rPr>
            </w:pPr>
            <w:r w:rsidRPr="00B44B19">
              <w:rPr>
                <w:rFonts w:eastAsia="Times New Roman" w:cs="Times New Roman"/>
                <w:sz w:val="16"/>
                <w:szCs w:val="16"/>
              </w:rPr>
              <w:t>Specialusis</w:t>
            </w:r>
          </w:p>
        </w:tc>
        <w:tc>
          <w:tcPr>
            <w:tcW w:w="1313" w:type="pct"/>
          </w:tcPr>
          <w:p w14:paraId="4C7CA18D" w14:textId="77777777" w:rsidR="0087201A" w:rsidRPr="00B44B19" w:rsidRDefault="0087201A" w:rsidP="0087201A">
            <w:pPr>
              <w:spacing w:after="0" w:line="240" w:lineRule="auto"/>
              <w:jc w:val="both"/>
              <w:rPr>
                <w:rFonts w:eastAsia="Times New Roman" w:cs="Times New Roman"/>
                <w:bCs/>
                <w:noProof/>
                <w:sz w:val="20"/>
                <w:szCs w:val="20"/>
              </w:rPr>
            </w:pPr>
            <w:r w:rsidRPr="00B44B19">
              <w:rPr>
                <w:rFonts w:eastAsia="Times New Roman" w:cs="Times New Roman"/>
                <w:sz w:val="16"/>
                <w:szCs w:val="16"/>
                <w:lang w:eastAsia="lt-LT"/>
              </w:rPr>
              <w:t>Gyventojų, grėsmės atveju perspėjamų per daugiakanalę perspėjimo platformą, dalis</w:t>
            </w:r>
          </w:p>
        </w:tc>
        <w:tc>
          <w:tcPr>
            <w:tcW w:w="328" w:type="pct"/>
          </w:tcPr>
          <w:p w14:paraId="644E8E04" w14:textId="77777777" w:rsidR="0087201A" w:rsidRPr="00B44B19" w:rsidRDefault="0087201A" w:rsidP="0087201A">
            <w:pPr>
              <w:spacing w:after="0" w:line="240" w:lineRule="auto"/>
              <w:jc w:val="both"/>
              <w:rPr>
                <w:rFonts w:eastAsia="Times New Roman" w:cs="Times New Roman"/>
                <w:bCs/>
                <w:noProof/>
                <w:sz w:val="20"/>
                <w:szCs w:val="20"/>
              </w:rPr>
            </w:pPr>
            <w:r w:rsidRPr="00B44B19">
              <w:rPr>
                <w:rFonts w:eastAsia="Times New Roman" w:cs="Times New Roman"/>
                <w:noProof/>
                <w:sz w:val="16"/>
                <w:szCs w:val="16"/>
              </w:rPr>
              <w:t>Procentai</w:t>
            </w:r>
          </w:p>
        </w:tc>
        <w:tc>
          <w:tcPr>
            <w:tcW w:w="328" w:type="pct"/>
          </w:tcPr>
          <w:p w14:paraId="34AB0998" w14:textId="77777777" w:rsidR="0087201A" w:rsidRPr="00B44B19" w:rsidRDefault="0087201A" w:rsidP="0087201A">
            <w:pPr>
              <w:spacing w:after="0" w:line="240" w:lineRule="auto"/>
              <w:jc w:val="center"/>
              <w:rPr>
                <w:rFonts w:eastAsia="Times New Roman" w:cs="Times New Roman"/>
                <w:iCs/>
                <w:noProof/>
                <w:sz w:val="20"/>
                <w:szCs w:val="20"/>
              </w:rPr>
            </w:pPr>
            <w:r w:rsidRPr="00B44B19">
              <w:rPr>
                <w:rFonts w:eastAsia="Times New Roman" w:cs="Times New Roman"/>
                <w:iCs/>
                <w:noProof/>
                <w:sz w:val="16"/>
                <w:szCs w:val="16"/>
              </w:rPr>
              <w:t>0</w:t>
            </w:r>
          </w:p>
        </w:tc>
        <w:tc>
          <w:tcPr>
            <w:tcW w:w="402" w:type="pct"/>
          </w:tcPr>
          <w:p w14:paraId="209BD367" w14:textId="77777777" w:rsidR="0087201A" w:rsidRPr="00B44B19" w:rsidRDefault="0087201A" w:rsidP="0087201A">
            <w:pPr>
              <w:spacing w:after="0" w:line="240" w:lineRule="auto"/>
              <w:jc w:val="center"/>
              <w:rPr>
                <w:rFonts w:eastAsia="Times New Roman" w:cs="Times New Roman"/>
                <w:iCs/>
                <w:noProof/>
                <w:sz w:val="20"/>
                <w:szCs w:val="20"/>
              </w:rPr>
            </w:pPr>
            <w:r w:rsidRPr="00B44B19">
              <w:rPr>
                <w:rFonts w:eastAsia="Times New Roman" w:cs="Times New Roman"/>
                <w:iCs/>
                <w:noProof/>
                <w:sz w:val="16"/>
                <w:szCs w:val="16"/>
              </w:rPr>
              <w:t>2025</w:t>
            </w:r>
          </w:p>
        </w:tc>
        <w:tc>
          <w:tcPr>
            <w:tcW w:w="301" w:type="pct"/>
          </w:tcPr>
          <w:p w14:paraId="1509DF53" w14:textId="77777777" w:rsidR="0087201A" w:rsidRPr="00B44B19" w:rsidRDefault="0087201A" w:rsidP="0087201A">
            <w:pPr>
              <w:spacing w:after="0" w:line="240" w:lineRule="auto"/>
              <w:jc w:val="center"/>
              <w:rPr>
                <w:rFonts w:eastAsia="Times New Roman" w:cs="Times New Roman"/>
                <w:iCs/>
                <w:noProof/>
                <w:sz w:val="20"/>
                <w:szCs w:val="20"/>
              </w:rPr>
            </w:pPr>
            <w:r w:rsidRPr="00B44B19">
              <w:rPr>
                <w:rFonts w:eastAsia="Times New Roman" w:cs="Times New Roman"/>
                <w:iCs/>
                <w:noProof/>
                <w:sz w:val="16"/>
                <w:szCs w:val="16"/>
              </w:rPr>
              <w:t>85</w:t>
            </w:r>
          </w:p>
        </w:tc>
        <w:tc>
          <w:tcPr>
            <w:tcW w:w="319" w:type="pct"/>
          </w:tcPr>
          <w:p w14:paraId="36C942E0" w14:textId="77777777" w:rsidR="0087201A" w:rsidRPr="00B44B19" w:rsidRDefault="0087201A" w:rsidP="0087201A">
            <w:pPr>
              <w:spacing w:after="0" w:line="240" w:lineRule="auto"/>
              <w:jc w:val="both"/>
              <w:rPr>
                <w:rFonts w:eastAsia="Times New Roman" w:cs="Times New Roman"/>
                <w:noProof/>
                <w:sz w:val="20"/>
                <w:szCs w:val="20"/>
              </w:rPr>
            </w:pPr>
            <w:r w:rsidRPr="00B44B19">
              <w:rPr>
                <w:rFonts w:eastAsia="Times New Roman" w:cs="Times New Roman"/>
                <w:noProof/>
                <w:sz w:val="16"/>
                <w:szCs w:val="16"/>
              </w:rPr>
              <w:t>Projektų duomenys</w:t>
            </w:r>
          </w:p>
        </w:tc>
        <w:tc>
          <w:tcPr>
            <w:tcW w:w="332" w:type="pct"/>
          </w:tcPr>
          <w:p w14:paraId="62176F67" w14:textId="77777777" w:rsidR="0087201A" w:rsidRPr="00B44B19" w:rsidRDefault="0087201A" w:rsidP="0087201A">
            <w:pPr>
              <w:spacing w:after="0" w:line="240" w:lineRule="auto"/>
              <w:jc w:val="both"/>
              <w:rPr>
                <w:rFonts w:eastAsia="Times New Roman" w:cs="Times New Roman"/>
                <w:i/>
                <w:noProof/>
                <w:sz w:val="20"/>
                <w:szCs w:val="20"/>
                <w:lang w:eastAsia="lt-LT"/>
              </w:rPr>
            </w:pPr>
          </w:p>
        </w:tc>
      </w:tr>
      <w:tr w:rsidR="0087201A" w:rsidRPr="00B44B19" w14:paraId="7DF2FBBC" w14:textId="77777777" w:rsidTr="003040E3">
        <w:trPr>
          <w:trHeight w:val="286"/>
        </w:trPr>
        <w:tc>
          <w:tcPr>
            <w:tcW w:w="317" w:type="pct"/>
            <w:vMerge/>
          </w:tcPr>
          <w:p w14:paraId="4C5DE130"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4894C940"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0EF97BC9"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140E983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0EF1AFA0"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68EB5175"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Gyventojų, grėsmės atveju perspėjamų per daugiakanalę perspėjimo platformą, dalis</w:t>
            </w:r>
          </w:p>
        </w:tc>
        <w:tc>
          <w:tcPr>
            <w:tcW w:w="328" w:type="pct"/>
          </w:tcPr>
          <w:p w14:paraId="26A0E88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p>
        </w:tc>
        <w:tc>
          <w:tcPr>
            <w:tcW w:w="328" w:type="pct"/>
          </w:tcPr>
          <w:p w14:paraId="06050931"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402" w:type="pct"/>
          </w:tcPr>
          <w:p w14:paraId="0A3E4C3C"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2025</w:t>
            </w:r>
          </w:p>
        </w:tc>
        <w:tc>
          <w:tcPr>
            <w:tcW w:w="301" w:type="pct"/>
          </w:tcPr>
          <w:p w14:paraId="12FF4C74"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85</w:t>
            </w:r>
          </w:p>
        </w:tc>
        <w:tc>
          <w:tcPr>
            <w:tcW w:w="319" w:type="pct"/>
          </w:tcPr>
          <w:p w14:paraId="6724A98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04885A0B" w14:textId="77777777" w:rsidR="0087201A" w:rsidRPr="00B44B19" w:rsidRDefault="0087201A" w:rsidP="0087201A">
            <w:pPr>
              <w:spacing w:after="0" w:line="240" w:lineRule="auto"/>
              <w:jc w:val="both"/>
              <w:rPr>
                <w:rFonts w:eastAsia="Times New Roman" w:cs="Times New Roman"/>
                <w:i/>
                <w:noProof/>
                <w:sz w:val="20"/>
                <w:szCs w:val="20"/>
                <w:lang w:eastAsia="lt-LT"/>
              </w:rPr>
            </w:pPr>
          </w:p>
        </w:tc>
      </w:tr>
      <w:tr w:rsidR="0087201A" w:rsidRPr="00B44B19" w14:paraId="0DA9A5FE" w14:textId="77777777" w:rsidTr="003040E3">
        <w:trPr>
          <w:trHeight w:val="286"/>
        </w:trPr>
        <w:tc>
          <w:tcPr>
            <w:tcW w:w="317" w:type="pct"/>
            <w:vMerge/>
          </w:tcPr>
          <w:p w14:paraId="6DB04DC9"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1FA506D7"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19043276"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51108FDD"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036BF791"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600526D4"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rPr>
              <w:t>Gyventojai, kuriems taikomos nuo su klimatu susijusių stichinių nelaimių ne tik pavojingose vietose apsaugos priemonės</w:t>
            </w:r>
          </w:p>
        </w:tc>
        <w:tc>
          <w:tcPr>
            <w:tcW w:w="328" w:type="pct"/>
          </w:tcPr>
          <w:p w14:paraId="40AF72D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25D5D4E3"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noProof/>
                <w:sz w:val="16"/>
                <w:szCs w:val="16"/>
              </w:rPr>
              <w:t>1 103 761</w:t>
            </w:r>
          </w:p>
        </w:tc>
        <w:tc>
          <w:tcPr>
            <w:tcW w:w="402" w:type="pct"/>
          </w:tcPr>
          <w:p w14:paraId="1754CB14"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noProof/>
                <w:sz w:val="16"/>
                <w:szCs w:val="16"/>
              </w:rPr>
              <w:t>2020</w:t>
            </w:r>
          </w:p>
        </w:tc>
        <w:tc>
          <w:tcPr>
            <w:tcW w:w="301" w:type="pct"/>
          </w:tcPr>
          <w:p w14:paraId="2AFF841A"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noProof/>
                <w:sz w:val="16"/>
                <w:szCs w:val="16"/>
              </w:rPr>
              <w:t>1 317 833</w:t>
            </w:r>
          </w:p>
        </w:tc>
        <w:tc>
          <w:tcPr>
            <w:tcW w:w="319" w:type="pct"/>
          </w:tcPr>
          <w:p w14:paraId="277B9803"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4B837844" w14:textId="77777777" w:rsidR="0087201A" w:rsidRPr="00B44B19" w:rsidRDefault="0087201A" w:rsidP="0087201A">
            <w:pPr>
              <w:spacing w:after="0" w:line="240" w:lineRule="auto"/>
              <w:jc w:val="both"/>
              <w:rPr>
                <w:rFonts w:eastAsia="Times New Roman" w:cs="Times New Roman"/>
                <w:i/>
                <w:noProof/>
                <w:sz w:val="20"/>
                <w:szCs w:val="20"/>
                <w:lang w:eastAsia="lt-LT"/>
              </w:rPr>
            </w:pPr>
            <w:r w:rsidRPr="00B44B19">
              <w:rPr>
                <w:rFonts w:eastAsia="Times New Roman" w:cs="Times New Roman"/>
                <w:noProof/>
                <w:sz w:val="16"/>
                <w:szCs w:val="16"/>
              </w:rPr>
              <w:t>Gyventojų perspėjimas sirenomis VVL regione padidės nuo 62,82 iki 75 %</w:t>
            </w:r>
          </w:p>
        </w:tc>
      </w:tr>
      <w:tr w:rsidR="0087201A" w:rsidRPr="00B44B19" w14:paraId="248216C3" w14:textId="77777777" w:rsidTr="003040E3">
        <w:trPr>
          <w:trHeight w:val="286"/>
        </w:trPr>
        <w:tc>
          <w:tcPr>
            <w:tcW w:w="317" w:type="pct"/>
            <w:vMerge/>
          </w:tcPr>
          <w:p w14:paraId="4051BA38"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1A61D1FC"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35C169A5"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57FEA227"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5E9F8962"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29665EED"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Lokalaus valdymo sirenos, kurios prijungtos prie vieningos sirenų valdymo sistemos, ne mažiau kaip</w:t>
            </w:r>
          </w:p>
        </w:tc>
        <w:tc>
          <w:tcPr>
            <w:tcW w:w="328" w:type="pct"/>
          </w:tcPr>
          <w:p w14:paraId="57547A4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Skaičius</w:t>
            </w:r>
          </w:p>
        </w:tc>
        <w:tc>
          <w:tcPr>
            <w:tcW w:w="328" w:type="pct"/>
          </w:tcPr>
          <w:p w14:paraId="5EE3908A"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402" w:type="pct"/>
          </w:tcPr>
          <w:p w14:paraId="5B2CF86A"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2025</w:t>
            </w:r>
          </w:p>
        </w:tc>
        <w:tc>
          <w:tcPr>
            <w:tcW w:w="301" w:type="pct"/>
          </w:tcPr>
          <w:p w14:paraId="6742E521"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600</w:t>
            </w:r>
          </w:p>
        </w:tc>
        <w:tc>
          <w:tcPr>
            <w:tcW w:w="319" w:type="pct"/>
          </w:tcPr>
          <w:p w14:paraId="0C5D0F0A"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6916A342"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6EF524BB" w14:textId="77777777" w:rsidTr="003040E3">
        <w:trPr>
          <w:trHeight w:val="286"/>
        </w:trPr>
        <w:tc>
          <w:tcPr>
            <w:tcW w:w="317" w:type="pct"/>
            <w:vMerge/>
          </w:tcPr>
          <w:p w14:paraId="2DAFED04"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51247271"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7E473788"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0D2A5E7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2D777B1D"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5BBAC6A0"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Valstybės saugomų kritinės infrastruktūros objektų, kurių fizinė apsauga sustiprinta, dalis</w:t>
            </w:r>
          </w:p>
        </w:tc>
        <w:tc>
          <w:tcPr>
            <w:tcW w:w="328" w:type="pct"/>
          </w:tcPr>
          <w:p w14:paraId="2762BFB8"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iCs/>
                <w:sz w:val="16"/>
                <w:szCs w:val="16"/>
              </w:rPr>
              <w:t>Procentai</w:t>
            </w:r>
          </w:p>
        </w:tc>
        <w:tc>
          <w:tcPr>
            <w:tcW w:w="328" w:type="pct"/>
          </w:tcPr>
          <w:p w14:paraId="1261B649"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iCs/>
                <w:noProof/>
                <w:sz w:val="16"/>
                <w:szCs w:val="16"/>
              </w:rPr>
              <w:t>0</w:t>
            </w:r>
          </w:p>
        </w:tc>
        <w:tc>
          <w:tcPr>
            <w:tcW w:w="402" w:type="pct"/>
          </w:tcPr>
          <w:p w14:paraId="499ACA16"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iCs/>
                <w:noProof/>
                <w:sz w:val="16"/>
                <w:szCs w:val="16"/>
              </w:rPr>
              <w:t>2025</w:t>
            </w:r>
          </w:p>
        </w:tc>
        <w:tc>
          <w:tcPr>
            <w:tcW w:w="301" w:type="pct"/>
          </w:tcPr>
          <w:p w14:paraId="52479757"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iCs/>
                <w:noProof/>
                <w:sz w:val="16"/>
                <w:szCs w:val="16"/>
              </w:rPr>
              <w:t>100</w:t>
            </w:r>
          </w:p>
        </w:tc>
        <w:tc>
          <w:tcPr>
            <w:tcW w:w="319" w:type="pct"/>
          </w:tcPr>
          <w:p w14:paraId="1F85CD48"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6B21137A"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4B9FEDC9" w14:textId="77777777" w:rsidTr="003040E3">
        <w:trPr>
          <w:trHeight w:val="286"/>
        </w:trPr>
        <w:tc>
          <w:tcPr>
            <w:tcW w:w="317" w:type="pct"/>
            <w:vMerge/>
          </w:tcPr>
          <w:p w14:paraId="4D8F0C0D"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03CE1AC7"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14E605C9"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57789A0E"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48BAE11A"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445A905D"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Valstybės saugomų kritinės infrastruktūros objektų, kurių fizinė apsauga sustiprinta, dalis</w:t>
            </w:r>
          </w:p>
        </w:tc>
        <w:tc>
          <w:tcPr>
            <w:tcW w:w="328" w:type="pct"/>
          </w:tcPr>
          <w:p w14:paraId="61612B88" w14:textId="77777777" w:rsidR="0087201A" w:rsidRPr="00B44B19" w:rsidRDefault="0087201A" w:rsidP="0087201A">
            <w:pPr>
              <w:spacing w:after="0" w:line="240" w:lineRule="auto"/>
              <w:jc w:val="both"/>
              <w:rPr>
                <w:rFonts w:eastAsia="Times New Roman" w:cs="Times New Roman"/>
                <w:iCs/>
                <w:sz w:val="16"/>
                <w:szCs w:val="16"/>
              </w:rPr>
            </w:pPr>
            <w:r w:rsidRPr="00B44B19">
              <w:rPr>
                <w:rFonts w:eastAsia="Times New Roman" w:cs="Times New Roman"/>
                <w:iCs/>
                <w:sz w:val="16"/>
                <w:szCs w:val="16"/>
              </w:rPr>
              <w:t>Procentai</w:t>
            </w:r>
          </w:p>
        </w:tc>
        <w:tc>
          <w:tcPr>
            <w:tcW w:w="328" w:type="pct"/>
          </w:tcPr>
          <w:p w14:paraId="67CFE1E3"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402" w:type="pct"/>
          </w:tcPr>
          <w:p w14:paraId="2D19A75E"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2025</w:t>
            </w:r>
          </w:p>
        </w:tc>
        <w:tc>
          <w:tcPr>
            <w:tcW w:w="301" w:type="pct"/>
          </w:tcPr>
          <w:p w14:paraId="4C369C30"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100</w:t>
            </w:r>
          </w:p>
        </w:tc>
        <w:tc>
          <w:tcPr>
            <w:tcW w:w="319" w:type="pct"/>
          </w:tcPr>
          <w:p w14:paraId="6612AB83"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754AA4C4"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5746BA3F" w14:textId="77777777" w:rsidTr="003040E3">
        <w:trPr>
          <w:trHeight w:val="286"/>
        </w:trPr>
        <w:tc>
          <w:tcPr>
            <w:tcW w:w="317" w:type="pct"/>
            <w:vMerge/>
          </w:tcPr>
          <w:p w14:paraId="51721827"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21156BBC"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4DD2BD6C"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28B9C5EE"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79EB124D"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4A2A01D1"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Valstybės sienos apsaugos tarnybos ir Viešosios saugumo tarnybos pareigūnų aprūpinimo individualiomis apsaugos priemonėmis lygis</w:t>
            </w:r>
          </w:p>
        </w:tc>
        <w:tc>
          <w:tcPr>
            <w:tcW w:w="328" w:type="pct"/>
          </w:tcPr>
          <w:p w14:paraId="489493DB" w14:textId="77777777" w:rsidR="0087201A" w:rsidRPr="00B44B19" w:rsidRDefault="0087201A" w:rsidP="0087201A">
            <w:pPr>
              <w:spacing w:after="0" w:line="240" w:lineRule="auto"/>
              <w:jc w:val="both"/>
              <w:rPr>
                <w:rFonts w:eastAsia="Times New Roman" w:cs="Times New Roman"/>
                <w:iCs/>
                <w:sz w:val="16"/>
                <w:szCs w:val="16"/>
              </w:rPr>
            </w:pPr>
            <w:r w:rsidRPr="00B44B19">
              <w:rPr>
                <w:rFonts w:eastAsia="Times New Roman" w:cs="Times New Roman"/>
                <w:iCs/>
                <w:sz w:val="16"/>
                <w:szCs w:val="16"/>
              </w:rPr>
              <w:t>Procentai</w:t>
            </w:r>
          </w:p>
        </w:tc>
        <w:tc>
          <w:tcPr>
            <w:tcW w:w="328" w:type="pct"/>
          </w:tcPr>
          <w:p w14:paraId="06F905BD"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402" w:type="pct"/>
          </w:tcPr>
          <w:p w14:paraId="1A5DDA96"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2025</w:t>
            </w:r>
          </w:p>
        </w:tc>
        <w:tc>
          <w:tcPr>
            <w:tcW w:w="301" w:type="pct"/>
          </w:tcPr>
          <w:p w14:paraId="1D976571"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75</w:t>
            </w:r>
          </w:p>
        </w:tc>
        <w:tc>
          <w:tcPr>
            <w:tcW w:w="319" w:type="pct"/>
          </w:tcPr>
          <w:p w14:paraId="541B5553"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37A5309D"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2F566FB4" w14:textId="77777777" w:rsidTr="003040E3">
        <w:trPr>
          <w:trHeight w:val="286"/>
        </w:trPr>
        <w:tc>
          <w:tcPr>
            <w:tcW w:w="317" w:type="pct"/>
            <w:vMerge/>
          </w:tcPr>
          <w:p w14:paraId="4F63DA1A"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44B301C5"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2257B2BE"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1970E42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1AECE6A3"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0D58BF7A"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Valstybės sienos apsaugos tarnybos ir Viešosios saugumo tarnybos pareigūnų aprūpinimo individualiomis apsaugos priemonėmis lygis</w:t>
            </w:r>
          </w:p>
        </w:tc>
        <w:tc>
          <w:tcPr>
            <w:tcW w:w="328" w:type="pct"/>
          </w:tcPr>
          <w:p w14:paraId="20B67102" w14:textId="77777777" w:rsidR="0087201A" w:rsidRPr="00B44B19" w:rsidRDefault="0087201A" w:rsidP="0087201A">
            <w:pPr>
              <w:spacing w:after="0" w:line="240" w:lineRule="auto"/>
              <w:jc w:val="both"/>
              <w:rPr>
                <w:rFonts w:eastAsia="Times New Roman" w:cs="Times New Roman"/>
                <w:iCs/>
                <w:sz w:val="16"/>
                <w:szCs w:val="16"/>
              </w:rPr>
            </w:pPr>
            <w:r w:rsidRPr="00B44B19">
              <w:rPr>
                <w:rFonts w:eastAsia="Times New Roman" w:cs="Times New Roman"/>
                <w:iCs/>
                <w:sz w:val="16"/>
                <w:szCs w:val="16"/>
              </w:rPr>
              <w:t>Procentai</w:t>
            </w:r>
          </w:p>
        </w:tc>
        <w:tc>
          <w:tcPr>
            <w:tcW w:w="328" w:type="pct"/>
          </w:tcPr>
          <w:p w14:paraId="121A0A5C"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402" w:type="pct"/>
          </w:tcPr>
          <w:p w14:paraId="0C0C1A7B"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2025</w:t>
            </w:r>
          </w:p>
        </w:tc>
        <w:tc>
          <w:tcPr>
            <w:tcW w:w="301" w:type="pct"/>
          </w:tcPr>
          <w:p w14:paraId="476096DB"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75</w:t>
            </w:r>
          </w:p>
        </w:tc>
        <w:tc>
          <w:tcPr>
            <w:tcW w:w="319" w:type="pct"/>
          </w:tcPr>
          <w:p w14:paraId="5F8835E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07890A22"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6B5FB7CD" w14:textId="77777777" w:rsidTr="003040E3">
        <w:trPr>
          <w:trHeight w:val="286"/>
        </w:trPr>
        <w:tc>
          <w:tcPr>
            <w:tcW w:w="317" w:type="pct"/>
            <w:vMerge/>
          </w:tcPr>
          <w:p w14:paraId="22080C75"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29D2A398"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10DAD5D0"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36494D0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351BDAEF"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08AAC5D0"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noProof/>
                <w:sz w:val="16"/>
                <w:szCs w:val="16"/>
                <w:lang w:eastAsia="lt-LT"/>
              </w:rPr>
              <w:t>Pilietinės visuomenės ir privačiojo sektoriaus subjektai, dalyvavę rengiant ir įgyvendinant BIVP strategijas</w:t>
            </w:r>
          </w:p>
        </w:tc>
        <w:tc>
          <w:tcPr>
            <w:tcW w:w="328" w:type="pct"/>
          </w:tcPr>
          <w:p w14:paraId="1A737EE0" w14:textId="77777777" w:rsidR="0087201A" w:rsidRPr="00B44B19" w:rsidRDefault="0087201A" w:rsidP="0087201A">
            <w:pPr>
              <w:spacing w:after="0" w:line="240" w:lineRule="auto"/>
              <w:jc w:val="both"/>
              <w:rPr>
                <w:rFonts w:eastAsia="Times New Roman" w:cs="Times New Roman"/>
                <w:iCs/>
                <w:sz w:val="16"/>
                <w:szCs w:val="16"/>
              </w:rPr>
            </w:pPr>
            <w:r w:rsidRPr="00B44B19">
              <w:rPr>
                <w:rFonts w:eastAsia="Times New Roman" w:cs="Times New Roman"/>
                <w:noProof/>
                <w:sz w:val="16"/>
                <w:szCs w:val="16"/>
              </w:rPr>
              <w:t>Skaičius</w:t>
            </w:r>
          </w:p>
        </w:tc>
        <w:tc>
          <w:tcPr>
            <w:tcW w:w="328" w:type="pct"/>
          </w:tcPr>
          <w:p w14:paraId="5BD727B2"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42</w:t>
            </w:r>
          </w:p>
        </w:tc>
        <w:tc>
          <w:tcPr>
            <w:tcW w:w="402" w:type="pct"/>
          </w:tcPr>
          <w:p w14:paraId="681ACD13"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2020</w:t>
            </w:r>
          </w:p>
        </w:tc>
        <w:tc>
          <w:tcPr>
            <w:tcW w:w="301" w:type="pct"/>
          </w:tcPr>
          <w:p w14:paraId="673A43F1"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lang w:val="en-US"/>
              </w:rPr>
              <w:t>128</w:t>
            </w:r>
          </w:p>
        </w:tc>
        <w:tc>
          <w:tcPr>
            <w:tcW w:w="319" w:type="pct"/>
          </w:tcPr>
          <w:p w14:paraId="414D5FE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5065C5BD"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4FFB3F8E" w14:textId="77777777" w:rsidTr="003040E3">
        <w:trPr>
          <w:trHeight w:val="286"/>
        </w:trPr>
        <w:tc>
          <w:tcPr>
            <w:tcW w:w="317" w:type="pct"/>
            <w:vMerge/>
          </w:tcPr>
          <w:p w14:paraId="521B3300"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788066D5"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70F5DF6E"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2389681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696AE7D6"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rPr>
              <w:t>Specialusis</w:t>
            </w:r>
          </w:p>
        </w:tc>
        <w:tc>
          <w:tcPr>
            <w:tcW w:w="1313" w:type="pct"/>
          </w:tcPr>
          <w:p w14:paraId="454CE066" w14:textId="77777777" w:rsidR="0087201A" w:rsidRPr="00B44B19" w:rsidRDefault="0087201A" w:rsidP="0087201A">
            <w:pPr>
              <w:spacing w:after="0" w:line="240" w:lineRule="auto"/>
              <w:jc w:val="both"/>
              <w:rPr>
                <w:rFonts w:eastAsia="Times New Roman" w:cs="Times New Roman"/>
                <w:noProof/>
                <w:sz w:val="16"/>
                <w:szCs w:val="16"/>
                <w:lang w:eastAsia="lt-LT"/>
              </w:rPr>
            </w:pPr>
            <w:r w:rsidRPr="00B44B19">
              <w:rPr>
                <w:rFonts w:eastAsia="Times New Roman" w:cs="Times New Roman"/>
                <w:noProof/>
                <w:sz w:val="16"/>
                <w:szCs w:val="16"/>
                <w:lang w:eastAsia="lt-LT"/>
              </w:rPr>
              <w:t>Pilietinės visuomenės ir privačiojo sektoriaus subjektai, dalyvavę rengiant ir įgyvendinant BIVP strategijas</w:t>
            </w:r>
          </w:p>
        </w:tc>
        <w:tc>
          <w:tcPr>
            <w:tcW w:w="328" w:type="pct"/>
          </w:tcPr>
          <w:p w14:paraId="314972D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Skaičius</w:t>
            </w:r>
          </w:p>
        </w:tc>
        <w:tc>
          <w:tcPr>
            <w:tcW w:w="328" w:type="pct"/>
          </w:tcPr>
          <w:p w14:paraId="69C83889"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373</w:t>
            </w:r>
          </w:p>
        </w:tc>
        <w:tc>
          <w:tcPr>
            <w:tcW w:w="402" w:type="pct"/>
          </w:tcPr>
          <w:p w14:paraId="412DDF13"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2020</w:t>
            </w:r>
          </w:p>
        </w:tc>
        <w:tc>
          <w:tcPr>
            <w:tcW w:w="301" w:type="pct"/>
          </w:tcPr>
          <w:p w14:paraId="17D3A6AF" w14:textId="77777777" w:rsidR="0087201A" w:rsidRPr="00B44B19" w:rsidRDefault="0087201A" w:rsidP="0087201A">
            <w:pPr>
              <w:spacing w:after="0" w:line="240" w:lineRule="auto"/>
              <w:jc w:val="center"/>
              <w:rPr>
                <w:rFonts w:eastAsia="Times New Roman" w:cs="Times New Roman"/>
                <w:iCs/>
                <w:noProof/>
                <w:sz w:val="16"/>
                <w:szCs w:val="16"/>
                <w:lang w:val="en-US"/>
              </w:rPr>
            </w:pPr>
            <w:r w:rsidRPr="00B44B19">
              <w:rPr>
                <w:rFonts w:eastAsia="Times New Roman" w:cs="Times New Roman"/>
                <w:iCs/>
                <w:noProof/>
                <w:sz w:val="16"/>
                <w:szCs w:val="16"/>
              </w:rPr>
              <w:t>688</w:t>
            </w:r>
          </w:p>
        </w:tc>
        <w:tc>
          <w:tcPr>
            <w:tcW w:w="319" w:type="pct"/>
          </w:tcPr>
          <w:p w14:paraId="2DAE45B1"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11B46109"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0386B72A" w14:textId="77777777" w:rsidTr="003040E3">
        <w:trPr>
          <w:trHeight w:val="286"/>
        </w:trPr>
        <w:tc>
          <w:tcPr>
            <w:tcW w:w="317" w:type="pct"/>
            <w:vMerge/>
          </w:tcPr>
          <w:p w14:paraId="74C207A5" w14:textId="77777777" w:rsidR="0087201A" w:rsidRPr="00B44B19" w:rsidRDefault="0087201A" w:rsidP="0087201A">
            <w:pPr>
              <w:spacing w:after="0" w:line="240" w:lineRule="auto"/>
              <w:jc w:val="both"/>
              <w:rPr>
                <w:rFonts w:eastAsia="Times New Roman" w:cs="Times New Roman"/>
                <w:sz w:val="16"/>
                <w:szCs w:val="16"/>
              </w:rPr>
            </w:pPr>
          </w:p>
        </w:tc>
        <w:tc>
          <w:tcPr>
            <w:tcW w:w="328" w:type="pct"/>
            <w:vMerge/>
          </w:tcPr>
          <w:p w14:paraId="52AC35B5"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339548D5"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0117D253"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09EC5D72"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sz w:val="16"/>
                <w:szCs w:val="16"/>
                <w:lang w:eastAsia="lt-LT"/>
              </w:rPr>
              <w:t>RCR96</w:t>
            </w:r>
          </w:p>
        </w:tc>
        <w:tc>
          <w:tcPr>
            <w:tcW w:w="1313" w:type="pct"/>
          </w:tcPr>
          <w:p w14:paraId="4BC9A718" w14:textId="77777777" w:rsidR="0087201A" w:rsidRPr="00B44B19" w:rsidRDefault="0087201A" w:rsidP="0087201A">
            <w:pPr>
              <w:spacing w:after="0" w:line="240" w:lineRule="auto"/>
              <w:jc w:val="both"/>
              <w:rPr>
                <w:rFonts w:eastAsia="Times New Roman" w:cs="Times New Roman"/>
                <w:noProof/>
                <w:sz w:val="16"/>
                <w:szCs w:val="16"/>
                <w:lang w:eastAsia="lt-LT"/>
              </w:rPr>
            </w:pPr>
            <w:r w:rsidRPr="00B44B19">
              <w:rPr>
                <w:rFonts w:eastAsia="Times New Roman" w:cs="Times New Roman"/>
                <w:sz w:val="16"/>
                <w:szCs w:val="16"/>
                <w:lang w:eastAsia="lt-LT"/>
              </w:rPr>
              <w:t>Gyventojai, galintys pasinaudoti apsaugos nuo su klimatu nesusijusios gamtinio pavojaus rizikos ir nuo su žmogaus veikla susijusios rizikos priemonėmis</w:t>
            </w:r>
          </w:p>
        </w:tc>
        <w:tc>
          <w:tcPr>
            <w:tcW w:w="328" w:type="pct"/>
          </w:tcPr>
          <w:p w14:paraId="121C3068"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5E79B822"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noProof/>
                <w:sz w:val="16"/>
                <w:szCs w:val="16"/>
              </w:rPr>
              <w:t>0</w:t>
            </w:r>
          </w:p>
        </w:tc>
        <w:tc>
          <w:tcPr>
            <w:tcW w:w="402" w:type="pct"/>
          </w:tcPr>
          <w:p w14:paraId="7E99CC96"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noProof/>
                <w:sz w:val="16"/>
                <w:szCs w:val="16"/>
              </w:rPr>
              <w:t>2024</w:t>
            </w:r>
          </w:p>
        </w:tc>
        <w:tc>
          <w:tcPr>
            <w:tcW w:w="301" w:type="pct"/>
          </w:tcPr>
          <w:p w14:paraId="6D4A8755"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noProof/>
                <w:sz w:val="16"/>
                <w:szCs w:val="16"/>
              </w:rPr>
              <w:t>7 473</w:t>
            </w:r>
          </w:p>
        </w:tc>
        <w:tc>
          <w:tcPr>
            <w:tcW w:w="319" w:type="pct"/>
          </w:tcPr>
          <w:p w14:paraId="5F36B6F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51173CDC"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10EE8F25" w14:textId="77777777" w:rsidTr="003040E3">
        <w:trPr>
          <w:trHeight w:val="286"/>
        </w:trPr>
        <w:tc>
          <w:tcPr>
            <w:tcW w:w="317" w:type="pct"/>
            <w:vMerge/>
          </w:tcPr>
          <w:p w14:paraId="622D87AB"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vMerge/>
          </w:tcPr>
          <w:p w14:paraId="07BA9AEB"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1CD5DD26"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5391C1F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19CBCFD1"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 xml:space="preserve">RCR96 </w:t>
            </w:r>
          </w:p>
        </w:tc>
        <w:tc>
          <w:tcPr>
            <w:tcW w:w="1313" w:type="pct"/>
          </w:tcPr>
          <w:p w14:paraId="3AF054A6"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Gyventojai, galintys pasinaudoti apsaugos nuo su klimatu nesusijusios gamtinio pavojaus rizikos ir nuo su žmogaus veikla susijusios rizikos priemonėmis</w:t>
            </w:r>
          </w:p>
        </w:tc>
        <w:tc>
          <w:tcPr>
            <w:tcW w:w="328" w:type="pct"/>
          </w:tcPr>
          <w:p w14:paraId="30EC485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328" w:type="pct"/>
          </w:tcPr>
          <w:p w14:paraId="739FD186"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0</w:t>
            </w:r>
          </w:p>
        </w:tc>
        <w:tc>
          <w:tcPr>
            <w:tcW w:w="402" w:type="pct"/>
          </w:tcPr>
          <w:p w14:paraId="5535EA0E"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2024</w:t>
            </w:r>
          </w:p>
        </w:tc>
        <w:tc>
          <w:tcPr>
            <w:tcW w:w="301" w:type="pct"/>
          </w:tcPr>
          <w:p w14:paraId="1060F5FA"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31 073</w:t>
            </w:r>
          </w:p>
        </w:tc>
        <w:tc>
          <w:tcPr>
            <w:tcW w:w="319" w:type="pct"/>
          </w:tcPr>
          <w:p w14:paraId="72C937F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32" w:type="pct"/>
          </w:tcPr>
          <w:p w14:paraId="2C749E6D" w14:textId="77777777" w:rsidR="0087201A" w:rsidRPr="00B44B19" w:rsidRDefault="0087201A" w:rsidP="0087201A">
            <w:pPr>
              <w:spacing w:after="0" w:line="240" w:lineRule="auto"/>
              <w:jc w:val="both"/>
              <w:rPr>
                <w:rFonts w:eastAsia="Times New Roman" w:cs="Times New Roman"/>
                <w:noProof/>
                <w:sz w:val="16"/>
                <w:szCs w:val="16"/>
              </w:rPr>
            </w:pPr>
          </w:p>
        </w:tc>
      </w:tr>
      <w:tr w:rsidR="0087201A" w:rsidRPr="00B44B19" w14:paraId="0FEBD751" w14:textId="77777777" w:rsidTr="003040E3">
        <w:trPr>
          <w:trHeight w:val="286"/>
        </w:trPr>
        <w:tc>
          <w:tcPr>
            <w:tcW w:w="317" w:type="pct"/>
            <w:vMerge/>
          </w:tcPr>
          <w:p w14:paraId="2AF64639"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vMerge/>
          </w:tcPr>
          <w:p w14:paraId="44F0D2FF" w14:textId="77777777" w:rsidR="0087201A" w:rsidRPr="00B44B19" w:rsidRDefault="0087201A" w:rsidP="0087201A">
            <w:pPr>
              <w:spacing w:after="0" w:line="240" w:lineRule="auto"/>
              <w:jc w:val="both"/>
              <w:rPr>
                <w:rFonts w:eastAsia="Times New Roman" w:cs="Times New Roman"/>
                <w:noProof/>
                <w:sz w:val="16"/>
                <w:szCs w:val="16"/>
              </w:rPr>
            </w:pPr>
          </w:p>
        </w:tc>
        <w:tc>
          <w:tcPr>
            <w:tcW w:w="281" w:type="pct"/>
            <w:vMerge/>
          </w:tcPr>
          <w:p w14:paraId="65DB55C1"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2A75B42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008C998E"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Specialusis</w:t>
            </w:r>
          </w:p>
        </w:tc>
        <w:tc>
          <w:tcPr>
            <w:tcW w:w="1313" w:type="pct"/>
          </w:tcPr>
          <w:p w14:paraId="2CEB9336"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lt-LT"/>
              </w:rPr>
              <w:t>Savivaldybių, turinčių modernizuotus ekstremaliųjų situacijų operacijų centrus, dalis</w:t>
            </w:r>
          </w:p>
        </w:tc>
        <w:tc>
          <w:tcPr>
            <w:tcW w:w="328" w:type="pct"/>
          </w:tcPr>
          <w:p w14:paraId="647B420D"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p>
        </w:tc>
        <w:tc>
          <w:tcPr>
            <w:tcW w:w="328" w:type="pct"/>
          </w:tcPr>
          <w:p w14:paraId="67A1E458"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19</w:t>
            </w:r>
          </w:p>
        </w:tc>
        <w:tc>
          <w:tcPr>
            <w:tcW w:w="402" w:type="pct"/>
          </w:tcPr>
          <w:p w14:paraId="48C1F09D"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2024</w:t>
            </w:r>
          </w:p>
        </w:tc>
        <w:tc>
          <w:tcPr>
            <w:tcW w:w="301" w:type="pct"/>
          </w:tcPr>
          <w:p w14:paraId="53389F69" w14:textId="77777777" w:rsidR="0087201A" w:rsidRPr="00B44B19" w:rsidRDefault="0087201A" w:rsidP="0087201A">
            <w:pPr>
              <w:spacing w:after="0" w:line="240" w:lineRule="auto"/>
              <w:jc w:val="center"/>
              <w:rPr>
                <w:rFonts w:eastAsia="Times New Roman" w:cs="Times New Roman"/>
                <w:noProof/>
                <w:sz w:val="16"/>
                <w:szCs w:val="16"/>
              </w:rPr>
            </w:pPr>
            <w:r w:rsidRPr="00B44B19">
              <w:rPr>
                <w:rFonts w:eastAsia="Times New Roman" w:cs="Times New Roman"/>
                <w:noProof/>
                <w:sz w:val="16"/>
                <w:szCs w:val="16"/>
              </w:rPr>
              <w:t>92</w:t>
            </w:r>
          </w:p>
        </w:tc>
        <w:tc>
          <w:tcPr>
            <w:tcW w:w="319" w:type="pct"/>
          </w:tcPr>
          <w:p w14:paraId="3E4859F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bCs/>
                <w:noProof/>
                <w:sz w:val="16"/>
                <w:szCs w:val="16"/>
              </w:rPr>
              <w:t>Projektų duomenys</w:t>
            </w:r>
          </w:p>
        </w:tc>
        <w:tc>
          <w:tcPr>
            <w:tcW w:w="332" w:type="pct"/>
          </w:tcPr>
          <w:p w14:paraId="78AFEB89" w14:textId="77777777" w:rsidR="0087201A" w:rsidRPr="00B44B19" w:rsidRDefault="0087201A" w:rsidP="0087201A">
            <w:pPr>
              <w:spacing w:after="0" w:line="240" w:lineRule="auto"/>
              <w:jc w:val="both"/>
              <w:rPr>
                <w:rFonts w:eastAsia="Times New Roman" w:cs="Times New Roman"/>
                <w:noProof/>
                <w:sz w:val="16"/>
                <w:szCs w:val="16"/>
              </w:rPr>
            </w:pPr>
          </w:p>
        </w:tc>
      </w:tr>
    </w:tbl>
    <w:p w14:paraId="28E307F9" w14:textId="77777777" w:rsidR="0087201A" w:rsidRPr="00B44B19" w:rsidRDefault="0087201A" w:rsidP="0087201A">
      <w:pPr>
        <w:spacing w:after="0" w:line="240" w:lineRule="auto"/>
        <w:jc w:val="both"/>
        <w:rPr>
          <w:rFonts w:eastAsia="Times New Roman" w:cs="Times New Roman"/>
          <w:sz w:val="16"/>
          <w:szCs w:val="16"/>
        </w:rPr>
        <w:sectPr w:rsidR="0087201A" w:rsidRPr="00B44B19" w:rsidSect="0087201A">
          <w:pgSz w:w="16838" w:h="11906" w:orient="landscape"/>
          <w:pgMar w:top="1701" w:right="1276" w:bottom="567" w:left="1134" w:header="567" w:footer="567" w:gutter="0"/>
          <w:cols w:space="1296"/>
          <w:docGrid w:linePitch="360"/>
        </w:sectPr>
      </w:pPr>
    </w:p>
    <w:p w14:paraId="28B59FDE" w14:textId="77777777" w:rsidR="0087201A" w:rsidRPr="00B44B19" w:rsidRDefault="0087201A" w:rsidP="0087201A">
      <w:pPr>
        <w:tabs>
          <w:tab w:val="center" w:pos="4819"/>
          <w:tab w:val="right" w:pos="9638"/>
        </w:tabs>
        <w:spacing w:before="120" w:after="120" w:line="240" w:lineRule="auto"/>
        <w:rPr>
          <w:rFonts w:eastAsia="Times New Roman" w:cs="Times New Roman"/>
          <w:b/>
          <w:i/>
          <w:noProof/>
          <w:color w:val="1F497D" w:themeColor="text2"/>
          <w:lang w:eastAsia="lt-LT"/>
        </w:rPr>
      </w:pPr>
      <w:r w:rsidRPr="00B44B19">
        <w:rPr>
          <w:rFonts w:eastAsia="Times New Roman" w:cs="Times New Roman"/>
          <w:b/>
          <w:i/>
          <w:noProof/>
          <w:color w:val="1F497D" w:themeColor="text2"/>
          <w:lang w:eastAsia="lt-LT"/>
        </w:rPr>
        <w:lastRenderedPageBreak/>
        <w:t>Preliminarus Programos išteklių suskirstymas pagal intervencinių priemonių rūšį</w:t>
      </w:r>
    </w:p>
    <w:tbl>
      <w:tblPr>
        <w:tblStyle w:val="Lentelstinklelis46"/>
        <w:tblW w:w="9766" w:type="dxa"/>
        <w:tblLayout w:type="fixed"/>
        <w:tblLook w:val="04A0" w:firstRow="1" w:lastRow="0" w:firstColumn="1" w:lastColumn="0" w:noHBand="0" w:noVBand="1"/>
      </w:tblPr>
      <w:tblGrid>
        <w:gridCol w:w="1140"/>
        <w:gridCol w:w="915"/>
        <w:gridCol w:w="1049"/>
        <w:gridCol w:w="1134"/>
        <w:gridCol w:w="3969"/>
        <w:gridCol w:w="1559"/>
      </w:tblGrid>
      <w:tr w:rsidR="0087201A" w:rsidRPr="00B44B19" w14:paraId="0062B4D2" w14:textId="77777777" w:rsidTr="003040E3">
        <w:trPr>
          <w:trHeight w:val="300"/>
        </w:trPr>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C2DB44" w14:textId="77777777" w:rsidR="0087201A" w:rsidRPr="00B44B19" w:rsidRDefault="0087201A" w:rsidP="0087201A">
            <w:pPr>
              <w:rPr>
                <w:rFonts w:cs="Times New Roman"/>
                <w:b/>
                <w:noProof/>
                <w:sz w:val="20"/>
                <w:szCs w:val="20"/>
              </w:rPr>
            </w:pPr>
            <w:r w:rsidRPr="00B44B19">
              <w:rPr>
                <w:rFonts w:cs="Times New Roman"/>
                <w:b/>
                <w:noProof/>
                <w:sz w:val="20"/>
                <w:szCs w:val="20"/>
              </w:rPr>
              <w:t>4 lentelė. 1 matmuo. Intervencinių priemonių sritis</w:t>
            </w:r>
          </w:p>
        </w:tc>
      </w:tr>
      <w:tr w:rsidR="0087201A" w:rsidRPr="00B44B19" w14:paraId="2A0C8FFF" w14:textId="77777777" w:rsidTr="003040E3">
        <w:trPr>
          <w:trHeight w:val="300"/>
        </w:trPr>
        <w:tc>
          <w:tcPr>
            <w:tcW w:w="11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BF8C17"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Prioriteto Nr.</w:t>
            </w:r>
          </w:p>
        </w:tc>
        <w:tc>
          <w:tcPr>
            <w:tcW w:w="9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6E4A38"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Fondas</w:t>
            </w:r>
          </w:p>
        </w:tc>
        <w:tc>
          <w:tcPr>
            <w:tcW w:w="10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21EB83"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54B7AB"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16C724"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E2921F"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Suma (EUR)</w:t>
            </w:r>
          </w:p>
        </w:tc>
      </w:tr>
      <w:tr w:rsidR="0087201A" w:rsidRPr="00B44B19" w14:paraId="0879FB7A" w14:textId="77777777" w:rsidTr="003040E3">
        <w:trPr>
          <w:trHeight w:val="300"/>
        </w:trPr>
        <w:tc>
          <w:tcPr>
            <w:tcW w:w="1140" w:type="dxa"/>
            <w:vMerge w:val="restart"/>
            <w:tcBorders>
              <w:top w:val="single" w:sz="12" w:space="0" w:color="auto"/>
              <w:left w:val="single" w:sz="2" w:space="0" w:color="auto"/>
              <w:right w:val="single" w:sz="2" w:space="0" w:color="auto"/>
            </w:tcBorders>
          </w:tcPr>
          <w:p w14:paraId="3EFCF038"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15</w:t>
            </w:r>
          </w:p>
        </w:tc>
        <w:tc>
          <w:tcPr>
            <w:tcW w:w="915" w:type="dxa"/>
            <w:vMerge w:val="restart"/>
            <w:tcBorders>
              <w:top w:val="single" w:sz="12" w:space="0" w:color="auto"/>
              <w:left w:val="single" w:sz="2" w:space="0" w:color="auto"/>
              <w:right w:val="single" w:sz="2" w:space="0" w:color="auto"/>
            </w:tcBorders>
          </w:tcPr>
          <w:p w14:paraId="0898723C"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ERPF</w:t>
            </w:r>
          </w:p>
        </w:tc>
        <w:tc>
          <w:tcPr>
            <w:tcW w:w="1049" w:type="dxa"/>
            <w:tcBorders>
              <w:top w:val="single" w:sz="12" w:space="0" w:color="auto"/>
              <w:left w:val="single" w:sz="2" w:space="0" w:color="auto"/>
              <w:bottom w:val="single" w:sz="2" w:space="0" w:color="auto"/>
              <w:right w:val="single" w:sz="2" w:space="0" w:color="auto"/>
            </w:tcBorders>
          </w:tcPr>
          <w:p w14:paraId="5B630BC3" w14:textId="77777777" w:rsidR="0087201A" w:rsidRPr="00B44B19" w:rsidRDefault="0087201A" w:rsidP="0087201A">
            <w:pPr>
              <w:rPr>
                <w:rFonts w:cs="Times New Roman"/>
                <w:noProof/>
                <w:sz w:val="16"/>
                <w:szCs w:val="16"/>
              </w:rPr>
            </w:pPr>
            <w:r w:rsidRPr="00B44B19">
              <w:rPr>
                <w:rFonts w:cs="Times New Roman"/>
                <w:noProof/>
                <w:sz w:val="16"/>
                <w:szCs w:val="16"/>
              </w:rPr>
              <w:t>Sostinės regionas</w:t>
            </w:r>
          </w:p>
        </w:tc>
        <w:tc>
          <w:tcPr>
            <w:tcW w:w="1134" w:type="dxa"/>
            <w:vMerge w:val="restart"/>
            <w:tcBorders>
              <w:top w:val="single" w:sz="12" w:space="0" w:color="auto"/>
              <w:left w:val="single" w:sz="2" w:space="0" w:color="auto"/>
              <w:right w:val="single" w:sz="2" w:space="0" w:color="auto"/>
            </w:tcBorders>
          </w:tcPr>
          <w:p w14:paraId="01C718E0"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15.1</w:t>
            </w:r>
          </w:p>
        </w:tc>
        <w:tc>
          <w:tcPr>
            <w:tcW w:w="3969" w:type="dxa"/>
            <w:vMerge w:val="restart"/>
            <w:tcBorders>
              <w:top w:val="single" w:sz="12" w:space="0" w:color="auto"/>
              <w:left w:val="single" w:sz="2" w:space="0" w:color="auto"/>
              <w:right w:val="single" w:sz="2" w:space="0" w:color="auto"/>
            </w:tcBorders>
          </w:tcPr>
          <w:p w14:paraId="4E120578" w14:textId="77777777" w:rsidR="0087201A" w:rsidRPr="00B44B19" w:rsidRDefault="0087201A" w:rsidP="0087201A">
            <w:pPr>
              <w:rPr>
                <w:rFonts w:cs="Times New Roman"/>
                <w:iCs/>
                <w:noProof/>
                <w:sz w:val="16"/>
                <w:szCs w:val="16"/>
              </w:rPr>
            </w:pPr>
            <w:r w:rsidRPr="00B44B19">
              <w:rPr>
                <w:rFonts w:cs="Times New Roman"/>
                <w:iCs/>
                <w:noProof/>
                <w:sz w:val="16"/>
                <w:szCs w:val="16"/>
              </w:rPr>
              <w:t>060 – Prisitaikymo prie klimato kaitos priemonės, su klimato kaita susijusios rizikos prevencija ir valdymas: kita, pvz. audros ir sausra (įskaitant informuotumo didinimą, civilinės saugos ir nelaimių valdymo sistemas, infrastruktūrą ir ekosistemomis grindžiamus metodus)</w:t>
            </w:r>
          </w:p>
        </w:tc>
        <w:tc>
          <w:tcPr>
            <w:tcW w:w="1559" w:type="dxa"/>
            <w:tcBorders>
              <w:top w:val="single" w:sz="12" w:space="0" w:color="auto"/>
              <w:left w:val="single" w:sz="2" w:space="0" w:color="auto"/>
              <w:bottom w:val="single" w:sz="2" w:space="0" w:color="auto"/>
              <w:right w:val="single" w:sz="2" w:space="0" w:color="auto"/>
            </w:tcBorders>
          </w:tcPr>
          <w:p w14:paraId="24689A00" w14:textId="77777777" w:rsidR="0087201A" w:rsidRPr="00B44B19" w:rsidRDefault="0087201A" w:rsidP="0087201A">
            <w:pPr>
              <w:pBdr>
                <w:bottom w:val="single" w:sz="4" w:space="1" w:color="auto"/>
              </w:pBdr>
              <w:jc w:val="right"/>
              <w:rPr>
                <w:rFonts w:cs="Times New Roman"/>
                <w:sz w:val="16"/>
                <w:szCs w:val="16"/>
                <w:lang w:val="en-US"/>
              </w:rPr>
            </w:pPr>
            <w:r w:rsidRPr="00B44B19">
              <w:rPr>
                <w:rFonts w:cs="Times New Roman"/>
                <w:sz w:val="16"/>
                <w:szCs w:val="16"/>
                <w:lang w:val="en-US"/>
              </w:rPr>
              <w:t>1 603 250,00</w:t>
            </w:r>
          </w:p>
          <w:p w14:paraId="5BE8AE77" w14:textId="77777777" w:rsidR="0087201A" w:rsidRPr="00B44B19" w:rsidRDefault="0087201A" w:rsidP="0087201A">
            <w:pPr>
              <w:pBdr>
                <w:bottom w:val="single" w:sz="4" w:space="1" w:color="auto"/>
              </w:pBdr>
              <w:jc w:val="right"/>
              <w:rPr>
                <w:rFonts w:cs="Times New Roman"/>
                <w:sz w:val="16"/>
                <w:szCs w:val="16"/>
                <w:lang w:val="en-US"/>
              </w:rPr>
            </w:pPr>
          </w:p>
        </w:tc>
      </w:tr>
      <w:tr w:rsidR="0087201A" w:rsidRPr="00B44B19" w14:paraId="3FEF7DE4" w14:textId="77777777" w:rsidTr="003040E3">
        <w:trPr>
          <w:trHeight w:val="300"/>
        </w:trPr>
        <w:tc>
          <w:tcPr>
            <w:tcW w:w="1140" w:type="dxa"/>
            <w:vMerge/>
          </w:tcPr>
          <w:p w14:paraId="4AB12E8B" w14:textId="77777777" w:rsidR="0087201A" w:rsidRPr="00B44B19" w:rsidRDefault="0087201A" w:rsidP="0087201A">
            <w:pPr>
              <w:jc w:val="center"/>
              <w:rPr>
                <w:rFonts w:cs="Times New Roman"/>
                <w:iCs/>
                <w:noProof/>
                <w:sz w:val="16"/>
                <w:szCs w:val="16"/>
              </w:rPr>
            </w:pPr>
          </w:p>
        </w:tc>
        <w:tc>
          <w:tcPr>
            <w:tcW w:w="915" w:type="dxa"/>
            <w:vMerge/>
          </w:tcPr>
          <w:p w14:paraId="0A535F52"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3B7C7194" w14:textId="77777777" w:rsidR="0087201A" w:rsidRPr="00B44B19" w:rsidRDefault="0087201A" w:rsidP="0087201A">
            <w:pPr>
              <w:rPr>
                <w:rFonts w:cs="Times New Roman"/>
                <w:noProof/>
                <w:sz w:val="16"/>
                <w:szCs w:val="16"/>
              </w:rPr>
            </w:pPr>
            <w:r w:rsidRPr="00B44B19">
              <w:rPr>
                <w:rFonts w:cs="Times New Roman"/>
                <w:noProof/>
                <w:sz w:val="16"/>
                <w:szCs w:val="16"/>
              </w:rPr>
              <w:t>VVL regionas</w:t>
            </w:r>
          </w:p>
        </w:tc>
        <w:tc>
          <w:tcPr>
            <w:tcW w:w="1134" w:type="dxa"/>
            <w:vMerge/>
          </w:tcPr>
          <w:p w14:paraId="301E1BB9" w14:textId="77777777" w:rsidR="0087201A" w:rsidRPr="00B44B19" w:rsidRDefault="0087201A" w:rsidP="0087201A">
            <w:pPr>
              <w:jc w:val="center"/>
              <w:rPr>
                <w:rFonts w:cs="Times New Roman"/>
                <w:iCs/>
                <w:noProof/>
                <w:sz w:val="16"/>
                <w:szCs w:val="16"/>
              </w:rPr>
            </w:pPr>
          </w:p>
        </w:tc>
        <w:tc>
          <w:tcPr>
            <w:tcW w:w="3969" w:type="dxa"/>
            <w:vMerge/>
          </w:tcPr>
          <w:p w14:paraId="0E1A63B3" w14:textId="77777777" w:rsidR="0087201A" w:rsidRPr="00B44B19" w:rsidRDefault="0087201A" w:rsidP="0087201A">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256F7530" w14:textId="77777777" w:rsidR="0087201A" w:rsidRPr="00B44B19" w:rsidRDefault="0087201A" w:rsidP="0087201A">
            <w:pPr>
              <w:jc w:val="right"/>
              <w:rPr>
                <w:rFonts w:cs="Times New Roman"/>
                <w:sz w:val="16"/>
                <w:szCs w:val="16"/>
                <w:lang w:val="en-US"/>
              </w:rPr>
            </w:pPr>
            <w:r w:rsidRPr="00B44B19">
              <w:rPr>
                <w:rFonts w:cs="Times New Roman"/>
                <w:sz w:val="16"/>
                <w:szCs w:val="16"/>
              </w:rPr>
              <w:t>16 576 750,00</w:t>
            </w:r>
          </w:p>
        </w:tc>
      </w:tr>
      <w:tr w:rsidR="0087201A" w:rsidRPr="00B44B19" w14:paraId="3B9EE6FF" w14:textId="77777777" w:rsidTr="003040E3">
        <w:trPr>
          <w:trHeight w:val="300"/>
        </w:trPr>
        <w:tc>
          <w:tcPr>
            <w:tcW w:w="1140" w:type="dxa"/>
            <w:vMerge/>
          </w:tcPr>
          <w:p w14:paraId="61BD6A4B" w14:textId="77777777" w:rsidR="0087201A" w:rsidRPr="00B44B19" w:rsidRDefault="0087201A" w:rsidP="0087201A">
            <w:pPr>
              <w:jc w:val="center"/>
              <w:rPr>
                <w:rFonts w:cs="Times New Roman"/>
                <w:iCs/>
                <w:noProof/>
                <w:sz w:val="16"/>
                <w:szCs w:val="16"/>
              </w:rPr>
            </w:pPr>
          </w:p>
        </w:tc>
        <w:tc>
          <w:tcPr>
            <w:tcW w:w="915" w:type="dxa"/>
            <w:vMerge/>
          </w:tcPr>
          <w:p w14:paraId="3AA3B09D"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34BB4A0F" w14:textId="77777777" w:rsidR="0087201A" w:rsidRPr="00B44B19" w:rsidRDefault="0087201A" w:rsidP="0087201A">
            <w:pPr>
              <w:rPr>
                <w:rFonts w:cs="Times New Roman"/>
                <w:noProof/>
                <w:sz w:val="16"/>
                <w:szCs w:val="16"/>
              </w:rPr>
            </w:pPr>
            <w:r w:rsidRPr="00B44B19">
              <w:rPr>
                <w:rFonts w:cs="Times New Roman"/>
                <w:noProof/>
                <w:sz w:val="16"/>
                <w:szCs w:val="16"/>
              </w:rPr>
              <w:t>Sostinės regionas</w:t>
            </w:r>
          </w:p>
        </w:tc>
        <w:tc>
          <w:tcPr>
            <w:tcW w:w="1134" w:type="dxa"/>
            <w:vMerge/>
          </w:tcPr>
          <w:p w14:paraId="1014DED2" w14:textId="77777777" w:rsidR="0087201A" w:rsidRPr="00B44B19" w:rsidRDefault="0087201A" w:rsidP="0087201A">
            <w:pPr>
              <w:jc w:val="center"/>
              <w:rPr>
                <w:rFonts w:cs="Times New Roman"/>
                <w:iCs/>
                <w:noProof/>
                <w:sz w:val="16"/>
                <w:szCs w:val="16"/>
              </w:rPr>
            </w:pPr>
          </w:p>
        </w:tc>
        <w:tc>
          <w:tcPr>
            <w:tcW w:w="3969" w:type="dxa"/>
            <w:vMerge w:val="restart"/>
            <w:tcBorders>
              <w:left w:val="single" w:sz="2" w:space="0" w:color="auto"/>
              <w:right w:val="single" w:sz="2" w:space="0" w:color="auto"/>
            </w:tcBorders>
          </w:tcPr>
          <w:p w14:paraId="0BB4C8B4" w14:textId="77777777" w:rsidR="0087201A" w:rsidRPr="00B44B19" w:rsidRDefault="0087201A" w:rsidP="0087201A">
            <w:pPr>
              <w:rPr>
                <w:rFonts w:cs="Times New Roman"/>
                <w:iCs/>
                <w:noProof/>
                <w:sz w:val="16"/>
                <w:szCs w:val="16"/>
              </w:rPr>
            </w:pPr>
            <w:r w:rsidRPr="00B44B19">
              <w:rPr>
                <w:rFonts w:cs="Times New Roman"/>
                <w:iCs/>
                <w:noProof/>
                <w:sz w:val="16"/>
                <w:szCs w:val="16"/>
              </w:rPr>
              <w:t>061 – Su klimatu nesusijusių gamtinių pavojų (pvz., žemės drebėjimų) ir su žmogaus veikla susijusios rizikos (pvz., technologinių avarijų) rizikos prevencija ir valdymas, įskaitant informuotumo didinimą, civilinės saugos ir nelaimių valdymo sistemas, infrastruktūrą ir ekosistemomis grindžiamus metodus</w:t>
            </w:r>
          </w:p>
        </w:tc>
        <w:tc>
          <w:tcPr>
            <w:tcW w:w="1559" w:type="dxa"/>
            <w:tcBorders>
              <w:top w:val="single" w:sz="12" w:space="0" w:color="auto"/>
              <w:left w:val="single" w:sz="2" w:space="0" w:color="auto"/>
              <w:bottom w:val="single" w:sz="2" w:space="0" w:color="auto"/>
              <w:right w:val="single" w:sz="2" w:space="0" w:color="auto"/>
            </w:tcBorders>
          </w:tcPr>
          <w:p w14:paraId="31844D86" w14:textId="77777777" w:rsidR="0087201A" w:rsidRPr="00B44B19" w:rsidRDefault="0087201A" w:rsidP="0087201A">
            <w:pPr>
              <w:jc w:val="right"/>
              <w:rPr>
                <w:rFonts w:cs="Times New Roman"/>
                <w:sz w:val="16"/>
                <w:szCs w:val="16"/>
              </w:rPr>
            </w:pPr>
            <w:r w:rsidRPr="00B44B19">
              <w:rPr>
                <w:rFonts w:cs="Times New Roman"/>
                <w:iCs/>
                <w:noProof/>
                <w:sz w:val="16"/>
                <w:szCs w:val="16"/>
              </w:rPr>
              <w:t>6 405 100,00</w:t>
            </w:r>
          </w:p>
        </w:tc>
      </w:tr>
      <w:tr w:rsidR="0087201A" w:rsidRPr="00B44B19" w14:paraId="497D7BDB" w14:textId="77777777" w:rsidTr="003040E3">
        <w:trPr>
          <w:trHeight w:val="300"/>
        </w:trPr>
        <w:tc>
          <w:tcPr>
            <w:tcW w:w="1140" w:type="dxa"/>
            <w:vMerge/>
          </w:tcPr>
          <w:p w14:paraId="5A108BE4" w14:textId="77777777" w:rsidR="0087201A" w:rsidRPr="00B44B19" w:rsidRDefault="0087201A" w:rsidP="0087201A">
            <w:pPr>
              <w:jc w:val="center"/>
              <w:rPr>
                <w:rFonts w:cs="Times New Roman"/>
                <w:iCs/>
                <w:noProof/>
                <w:sz w:val="16"/>
                <w:szCs w:val="16"/>
              </w:rPr>
            </w:pPr>
          </w:p>
        </w:tc>
        <w:tc>
          <w:tcPr>
            <w:tcW w:w="915" w:type="dxa"/>
            <w:vMerge/>
          </w:tcPr>
          <w:p w14:paraId="47D3A011"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1CB077C8" w14:textId="77777777" w:rsidR="0087201A" w:rsidRPr="00B44B19" w:rsidRDefault="0087201A" w:rsidP="0087201A">
            <w:pPr>
              <w:rPr>
                <w:rFonts w:cs="Times New Roman"/>
                <w:noProof/>
                <w:sz w:val="16"/>
                <w:szCs w:val="16"/>
              </w:rPr>
            </w:pPr>
            <w:r w:rsidRPr="00B44B19">
              <w:rPr>
                <w:rFonts w:cs="Times New Roman"/>
                <w:noProof/>
                <w:sz w:val="16"/>
                <w:szCs w:val="16"/>
              </w:rPr>
              <w:t>VVL regionas</w:t>
            </w:r>
          </w:p>
        </w:tc>
        <w:tc>
          <w:tcPr>
            <w:tcW w:w="1134" w:type="dxa"/>
            <w:vMerge/>
          </w:tcPr>
          <w:p w14:paraId="38EFF1B3" w14:textId="77777777" w:rsidR="0087201A" w:rsidRPr="00B44B19" w:rsidRDefault="0087201A" w:rsidP="0087201A">
            <w:pPr>
              <w:jc w:val="center"/>
              <w:rPr>
                <w:rFonts w:cs="Times New Roman"/>
                <w:iCs/>
                <w:noProof/>
                <w:sz w:val="16"/>
                <w:szCs w:val="16"/>
              </w:rPr>
            </w:pPr>
          </w:p>
        </w:tc>
        <w:tc>
          <w:tcPr>
            <w:tcW w:w="3969" w:type="dxa"/>
            <w:vMerge/>
          </w:tcPr>
          <w:p w14:paraId="681822C9" w14:textId="77777777" w:rsidR="0087201A" w:rsidRPr="00B44B19" w:rsidRDefault="0087201A" w:rsidP="0087201A">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00FB7328" w14:textId="77777777" w:rsidR="0087201A" w:rsidRPr="00B44B19" w:rsidRDefault="0087201A" w:rsidP="0087201A">
            <w:pPr>
              <w:jc w:val="right"/>
              <w:rPr>
                <w:rFonts w:cs="Times New Roman"/>
                <w:sz w:val="16"/>
                <w:szCs w:val="16"/>
              </w:rPr>
            </w:pPr>
            <w:r w:rsidRPr="00B44B19">
              <w:rPr>
                <w:rFonts w:cs="Times New Roman"/>
                <w:iCs/>
                <w:noProof/>
                <w:sz w:val="16"/>
                <w:szCs w:val="16"/>
              </w:rPr>
              <w:t>45 594 900,00</w:t>
            </w:r>
          </w:p>
        </w:tc>
      </w:tr>
      <w:tr w:rsidR="0087201A" w:rsidRPr="00B44B19" w14:paraId="56046055" w14:textId="77777777" w:rsidTr="003040E3">
        <w:trPr>
          <w:trHeight w:val="300"/>
        </w:trPr>
        <w:tc>
          <w:tcPr>
            <w:tcW w:w="1140" w:type="dxa"/>
            <w:vMerge/>
          </w:tcPr>
          <w:p w14:paraId="6E054E7C" w14:textId="77777777" w:rsidR="0087201A" w:rsidRPr="00B44B19" w:rsidRDefault="0087201A" w:rsidP="0087201A">
            <w:pPr>
              <w:jc w:val="center"/>
              <w:rPr>
                <w:rFonts w:cs="Times New Roman"/>
                <w:iCs/>
                <w:noProof/>
                <w:sz w:val="16"/>
                <w:szCs w:val="16"/>
              </w:rPr>
            </w:pPr>
          </w:p>
        </w:tc>
        <w:tc>
          <w:tcPr>
            <w:tcW w:w="915" w:type="dxa"/>
            <w:vMerge/>
          </w:tcPr>
          <w:p w14:paraId="5CA0CCC0"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1FDBDC8F" w14:textId="77777777" w:rsidR="0087201A" w:rsidRPr="00B44B19" w:rsidRDefault="0087201A" w:rsidP="0087201A">
            <w:pPr>
              <w:rPr>
                <w:rFonts w:cs="Times New Roman"/>
                <w:iCs/>
                <w:noProof/>
                <w:sz w:val="16"/>
                <w:szCs w:val="16"/>
              </w:rPr>
            </w:pPr>
            <w:r w:rsidRPr="00B44B19">
              <w:rPr>
                <w:rFonts w:cs="Times New Roman"/>
                <w:noProof/>
                <w:sz w:val="16"/>
                <w:szCs w:val="16"/>
              </w:rPr>
              <w:t>Sostinės regionas</w:t>
            </w:r>
          </w:p>
        </w:tc>
        <w:tc>
          <w:tcPr>
            <w:tcW w:w="1134" w:type="dxa"/>
            <w:vMerge/>
          </w:tcPr>
          <w:p w14:paraId="50A928A0" w14:textId="77777777" w:rsidR="0087201A" w:rsidRPr="00B44B19" w:rsidRDefault="0087201A" w:rsidP="0087201A">
            <w:pPr>
              <w:jc w:val="center"/>
              <w:rPr>
                <w:rFonts w:cs="Times New Roman"/>
                <w:iCs/>
                <w:noProof/>
                <w:sz w:val="16"/>
                <w:szCs w:val="16"/>
              </w:rPr>
            </w:pPr>
          </w:p>
        </w:tc>
        <w:tc>
          <w:tcPr>
            <w:tcW w:w="3969" w:type="dxa"/>
            <w:tcBorders>
              <w:top w:val="single" w:sz="12" w:space="0" w:color="auto"/>
              <w:left w:val="single" w:sz="2" w:space="0" w:color="auto"/>
              <w:bottom w:val="single" w:sz="2" w:space="0" w:color="auto"/>
              <w:right w:val="single" w:sz="2" w:space="0" w:color="auto"/>
            </w:tcBorders>
          </w:tcPr>
          <w:p w14:paraId="04885154" w14:textId="77777777" w:rsidR="0087201A" w:rsidRPr="00B44B19" w:rsidRDefault="0087201A" w:rsidP="0087201A">
            <w:pPr>
              <w:rPr>
                <w:rFonts w:cs="Times New Roman"/>
                <w:iCs/>
                <w:noProof/>
                <w:sz w:val="16"/>
                <w:szCs w:val="16"/>
              </w:rPr>
            </w:pPr>
            <w:r w:rsidRPr="00B44B19">
              <w:rPr>
                <w:rFonts w:cs="Times New Roman"/>
                <w:iCs/>
                <w:noProof/>
                <w:sz w:val="16"/>
                <w:szCs w:val="16"/>
              </w:rPr>
              <w:t>128 – Sveikatos infrastruktūra</w:t>
            </w:r>
          </w:p>
        </w:tc>
        <w:tc>
          <w:tcPr>
            <w:tcW w:w="1559" w:type="dxa"/>
            <w:tcBorders>
              <w:top w:val="single" w:sz="12" w:space="0" w:color="auto"/>
              <w:left w:val="single" w:sz="2" w:space="0" w:color="auto"/>
              <w:bottom w:val="single" w:sz="2" w:space="0" w:color="auto"/>
              <w:right w:val="single" w:sz="2" w:space="0" w:color="auto"/>
            </w:tcBorders>
          </w:tcPr>
          <w:p w14:paraId="7CA4B6C3" w14:textId="77777777" w:rsidR="0087201A" w:rsidRPr="00B44B19" w:rsidRDefault="0087201A" w:rsidP="0087201A">
            <w:pPr>
              <w:jc w:val="right"/>
              <w:rPr>
                <w:rFonts w:cs="Times New Roman"/>
                <w:iCs/>
                <w:noProof/>
                <w:sz w:val="16"/>
                <w:szCs w:val="16"/>
              </w:rPr>
            </w:pPr>
            <w:r w:rsidRPr="00B44B19">
              <w:rPr>
                <w:rFonts w:cs="Times New Roman"/>
                <w:sz w:val="16"/>
                <w:szCs w:val="16"/>
                <w:lang w:val="en-US"/>
              </w:rPr>
              <w:t>5 400 000,00</w:t>
            </w:r>
          </w:p>
        </w:tc>
      </w:tr>
      <w:tr w:rsidR="0087201A" w:rsidRPr="00B44B19" w14:paraId="1897BFFD" w14:textId="77777777" w:rsidTr="003040E3">
        <w:trPr>
          <w:trHeight w:val="300"/>
        </w:trPr>
        <w:tc>
          <w:tcPr>
            <w:tcW w:w="1140" w:type="dxa"/>
            <w:vMerge/>
          </w:tcPr>
          <w:p w14:paraId="00F082B6" w14:textId="77777777" w:rsidR="0087201A" w:rsidRPr="00B44B19" w:rsidRDefault="0087201A" w:rsidP="0087201A">
            <w:pPr>
              <w:jc w:val="center"/>
              <w:rPr>
                <w:rFonts w:cs="Times New Roman"/>
                <w:iCs/>
                <w:noProof/>
                <w:sz w:val="16"/>
                <w:szCs w:val="16"/>
              </w:rPr>
            </w:pPr>
          </w:p>
        </w:tc>
        <w:tc>
          <w:tcPr>
            <w:tcW w:w="915" w:type="dxa"/>
            <w:vMerge/>
          </w:tcPr>
          <w:p w14:paraId="25D32DD3"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3191C9DA" w14:textId="77777777" w:rsidR="0087201A" w:rsidRPr="00B44B19" w:rsidRDefault="0087201A" w:rsidP="0087201A">
            <w:pPr>
              <w:rPr>
                <w:rFonts w:cs="Times New Roman"/>
                <w:noProof/>
                <w:sz w:val="16"/>
                <w:szCs w:val="16"/>
              </w:rPr>
            </w:pPr>
            <w:r w:rsidRPr="00B44B19">
              <w:rPr>
                <w:rFonts w:cs="Times New Roman"/>
                <w:noProof/>
                <w:sz w:val="16"/>
                <w:szCs w:val="16"/>
              </w:rPr>
              <w:t>Sostinės regionas</w:t>
            </w:r>
          </w:p>
        </w:tc>
        <w:tc>
          <w:tcPr>
            <w:tcW w:w="1134" w:type="dxa"/>
            <w:vMerge/>
          </w:tcPr>
          <w:p w14:paraId="40F97923" w14:textId="77777777" w:rsidR="0087201A" w:rsidRPr="00B44B19" w:rsidRDefault="0087201A" w:rsidP="0087201A">
            <w:pPr>
              <w:jc w:val="center"/>
              <w:rPr>
                <w:rFonts w:cs="Times New Roman"/>
                <w:iCs/>
                <w:noProof/>
                <w:sz w:val="16"/>
                <w:szCs w:val="16"/>
              </w:rPr>
            </w:pPr>
          </w:p>
        </w:tc>
        <w:tc>
          <w:tcPr>
            <w:tcW w:w="3969" w:type="dxa"/>
            <w:vMerge w:val="restart"/>
            <w:tcBorders>
              <w:top w:val="single" w:sz="12" w:space="0" w:color="auto"/>
              <w:left w:val="single" w:sz="2" w:space="0" w:color="auto"/>
              <w:right w:val="single" w:sz="2" w:space="0" w:color="auto"/>
            </w:tcBorders>
          </w:tcPr>
          <w:p w14:paraId="3DA91A1B" w14:textId="77777777" w:rsidR="0087201A" w:rsidRPr="00B44B19" w:rsidRDefault="0087201A" w:rsidP="0087201A">
            <w:pPr>
              <w:rPr>
                <w:rFonts w:cs="Times New Roman"/>
                <w:iCs/>
                <w:noProof/>
                <w:sz w:val="16"/>
                <w:szCs w:val="16"/>
              </w:rPr>
            </w:pPr>
            <w:r w:rsidRPr="00B44B19">
              <w:rPr>
                <w:rFonts w:cs="Times New Roman"/>
                <w:iCs/>
                <w:noProof/>
                <w:sz w:val="16"/>
                <w:szCs w:val="16"/>
              </w:rPr>
              <w:t>152 – Priemonės, kuriomis skatinamos lygios galimybės ir aktyvus dalyvavimas visuomenėje</w:t>
            </w:r>
          </w:p>
        </w:tc>
        <w:tc>
          <w:tcPr>
            <w:tcW w:w="1559" w:type="dxa"/>
            <w:tcBorders>
              <w:top w:val="single" w:sz="12" w:space="0" w:color="auto"/>
              <w:left w:val="single" w:sz="2" w:space="0" w:color="auto"/>
              <w:bottom w:val="single" w:sz="2" w:space="0" w:color="auto"/>
              <w:right w:val="single" w:sz="2" w:space="0" w:color="auto"/>
            </w:tcBorders>
          </w:tcPr>
          <w:p w14:paraId="1B5B4CA3" w14:textId="77777777" w:rsidR="0087201A" w:rsidRPr="00B44B19" w:rsidRDefault="0087201A" w:rsidP="0087201A">
            <w:pPr>
              <w:jc w:val="right"/>
              <w:rPr>
                <w:rFonts w:cs="Times New Roman"/>
                <w:sz w:val="16"/>
                <w:szCs w:val="16"/>
                <w:lang w:val="en-US"/>
              </w:rPr>
            </w:pPr>
            <w:r w:rsidRPr="00B44B19">
              <w:rPr>
                <w:rFonts w:cs="Times New Roman"/>
                <w:iCs/>
                <w:noProof/>
                <w:sz w:val="16"/>
                <w:szCs w:val="16"/>
                <w:lang w:val="en-US"/>
              </w:rPr>
              <w:t>51 000,00</w:t>
            </w:r>
          </w:p>
        </w:tc>
      </w:tr>
      <w:tr w:rsidR="0087201A" w:rsidRPr="00B44B19" w14:paraId="49D4BF48" w14:textId="77777777" w:rsidTr="003040E3">
        <w:trPr>
          <w:trHeight w:val="300"/>
        </w:trPr>
        <w:tc>
          <w:tcPr>
            <w:tcW w:w="1140" w:type="dxa"/>
            <w:vMerge/>
          </w:tcPr>
          <w:p w14:paraId="10AD1E49" w14:textId="77777777" w:rsidR="0087201A" w:rsidRPr="00B44B19" w:rsidRDefault="0087201A" w:rsidP="0087201A">
            <w:pPr>
              <w:jc w:val="center"/>
              <w:rPr>
                <w:rFonts w:cs="Times New Roman"/>
                <w:iCs/>
                <w:noProof/>
                <w:sz w:val="16"/>
                <w:szCs w:val="16"/>
              </w:rPr>
            </w:pPr>
          </w:p>
        </w:tc>
        <w:tc>
          <w:tcPr>
            <w:tcW w:w="915" w:type="dxa"/>
            <w:vMerge/>
          </w:tcPr>
          <w:p w14:paraId="5C6F9409"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3F8EFBFB" w14:textId="77777777" w:rsidR="0087201A" w:rsidRPr="00B44B19" w:rsidRDefault="0087201A" w:rsidP="0087201A">
            <w:pPr>
              <w:rPr>
                <w:rFonts w:cs="Times New Roman"/>
                <w:noProof/>
                <w:sz w:val="16"/>
                <w:szCs w:val="16"/>
              </w:rPr>
            </w:pPr>
            <w:r w:rsidRPr="00B44B19">
              <w:rPr>
                <w:rFonts w:cs="Times New Roman"/>
                <w:noProof/>
                <w:sz w:val="16"/>
                <w:szCs w:val="16"/>
              </w:rPr>
              <w:t>VVL regionas</w:t>
            </w:r>
          </w:p>
        </w:tc>
        <w:tc>
          <w:tcPr>
            <w:tcW w:w="1134" w:type="dxa"/>
            <w:vMerge/>
          </w:tcPr>
          <w:p w14:paraId="6B65966F" w14:textId="77777777" w:rsidR="0087201A" w:rsidRPr="00B44B19" w:rsidRDefault="0087201A" w:rsidP="0087201A">
            <w:pPr>
              <w:jc w:val="center"/>
              <w:rPr>
                <w:rFonts w:cs="Times New Roman"/>
                <w:iCs/>
                <w:noProof/>
                <w:sz w:val="16"/>
                <w:szCs w:val="16"/>
              </w:rPr>
            </w:pPr>
          </w:p>
        </w:tc>
        <w:tc>
          <w:tcPr>
            <w:tcW w:w="3969" w:type="dxa"/>
            <w:vMerge/>
          </w:tcPr>
          <w:p w14:paraId="334920C1" w14:textId="77777777" w:rsidR="0087201A" w:rsidRPr="00B44B19" w:rsidRDefault="0087201A" w:rsidP="0087201A">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177A4C7B" w14:textId="77777777" w:rsidR="0087201A" w:rsidRPr="00B44B19" w:rsidRDefault="0087201A" w:rsidP="0087201A">
            <w:pPr>
              <w:jc w:val="right"/>
              <w:rPr>
                <w:rFonts w:cs="Times New Roman"/>
                <w:sz w:val="16"/>
                <w:szCs w:val="16"/>
                <w:lang w:val="en-US"/>
              </w:rPr>
            </w:pPr>
            <w:r w:rsidRPr="00B44B19">
              <w:rPr>
                <w:rFonts w:cs="Times New Roman"/>
                <w:iCs/>
                <w:noProof/>
                <w:sz w:val="16"/>
                <w:szCs w:val="16"/>
              </w:rPr>
              <w:t>769 000,00</w:t>
            </w:r>
          </w:p>
        </w:tc>
      </w:tr>
      <w:tr w:rsidR="0087201A" w:rsidRPr="00B44B19" w14:paraId="121FC500" w14:textId="77777777" w:rsidTr="003040E3">
        <w:trPr>
          <w:trHeight w:val="300"/>
        </w:trPr>
        <w:tc>
          <w:tcPr>
            <w:tcW w:w="1140" w:type="dxa"/>
            <w:vMerge/>
          </w:tcPr>
          <w:p w14:paraId="01BB1AA1" w14:textId="77777777" w:rsidR="0087201A" w:rsidRPr="00B44B19" w:rsidRDefault="0087201A" w:rsidP="0087201A">
            <w:pPr>
              <w:jc w:val="center"/>
              <w:rPr>
                <w:rFonts w:cs="Times New Roman"/>
                <w:iCs/>
                <w:noProof/>
                <w:sz w:val="16"/>
                <w:szCs w:val="16"/>
              </w:rPr>
            </w:pPr>
          </w:p>
        </w:tc>
        <w:tc>
          <w:tcPr>
            <w:tcW w:w="915" w:type="dxa"/>
            <w:vMerge/>
          </w:tcPr>
          <w:p w14:paraId="01F9546E"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5528AD72" w14:textId="77777777" w:rsidR="0087201A" w:rsidRPr="00B44B19" w:rsidRDefault="0087201A" w:rsidP="0087201A">
            <w:pPr>
              <w:rPr>
                <w:rFonts w:cs="Times New Roman"/>
                <w:noProof/>
                <w:sz w:val="16"/>
                <w:szCs w:val="16"/>
              </w:rPr>
            </w:pPr>
            <w:r w:rsidRPr="00B44B19">
              <w:rPr>
                <w:rFonts w:cs="Times New Roman"/>
                <w:noProof/>
                <w:sz w:val="16"/>
                <w:szCs w:val="16"/>
              </w:rPr>
              <w:t>Sostinės regionas</w:t>
            </w:r>
          </w:p>
        </w:tc>
        <w:tc>
          <w:tcPr>
            <w:tcW w:w="1134" w:type="dxa"/>
            <w:vMerge/>
          </w:tcPr>
          <w:p w14:paraId="1492C2B5" w14:textId="77777777" w:rsidR="0087201A" w:rsidRPr="00B44B19" w:rsidRDefault="0087201A" w:rsidP="0087201A">
            <w:pPr>
              <w:jc w:val="center"/>
              <w:rPr>
                <w:rFonts w:cs="Times New Roman"/>
                <w:iCs/>
                <w:noProof/>
                <w:sz w:val="16"/>
                <w:szCs w:val="16"/>
              </w:rPr>
            </w:pPr>
          </w:p>
        </w:tc>
        <w:tc>
          <w:tcPr>
            <w:tcW w:w="3969" w:type="dxa"/>
            <w:vMerge w:val="restart"/>
            <w:tcBorders>
              <w:top w:val="single" w:sz="12" w:space="0" w:color="auto"/>
              <w:left w:val="single" w:sz="2" w:space="0" w:color="auto"/>
              <w:right w:val="single" w:sz="2" w:space="0" w:color="auto"/>
            </w:tcBorders>
          </w:tcPr>
          <w:p w14:paraId="5D4452D9" w14:textId="77777777" w:rsidR="0087201A" w:rsidRPr="00B44B19" w:rsidRDefault="0087201A" w:rsidP="0087201A">
            <w:pPr>
              <w:rPr>
                <w:rFonts w:cs="Times New Roman"/>
                <w:iCs/>
                <w:noProof/>
                <w:sz w:val="16"/>
                <w:szCs w:val="16"/>
              </w:rPr>
            </w:pPr>
            <w:r w:rsidRPr="00B44B19">
              <w:rPr>
                <w:rFonts w:cs="Times New Roman"/>
                <w:iCs/>
                <w:noProof/>
                <w:sz w:val="16"/>
                <w:szCs w:val="16"/>
              </w:rPr>
              <w:t>197- Kritinės infrastruktūros apsauga</w:t>
            </w:r>
          </w:p>
        </w:tc>
        <w:tc>
          <w:tcPr>
            <w:tcW w:w="1559" w:type="dxa"/>
            <w:tcBorders>
              <w:top w:val="single" w:sz="12" w:space="0" w:color="auto"/>
              <w:left w:val="single" w:sz="2" w:space="0" w:color="auto"/>
              <w:bottom w:val="single" w:sz="2" w:space="0" w:color="auto"/>
              <w:right w:val="single" w:sz="2" w:space="0" w:color="auto"/>
            </w:tcBorders>
          </w:tcPr>
          <w:p w14:paraId="212B3868" w14:textId="77777777" w:rsidR="0087201A" w:rsidRPr="00B44B19" w:rsidRDefault="0087201A" w:rsidP="0087201A">
            <w:pPr>
              <w:jc w:val="right"/>
              <w:rPr>
                <w:rFonts w:cs="Times New Roman"/>
                <w:sz w:val="16"/>
                <w:szCs w:val="16"/>
                <w:lang w:val="en-US"/>
              </w:rPr>
            </w:pPr>
            <w:r w:rsidRPr="00B44B19">
              <w:rPr>
                <w:rFonts w:cs="Times New Roman"/>
                <w:sz w:val="16"/>
                <w:szCs w:val="16"/>
                <w:lang w:val="en-US"/>
              </w:rPr>
              <w:t>4 809 750,00</w:t>
            </w:r>
          </w:p>
        </w:tc>
      </w:tr>
      <w:tr w:rsidR="0087201A" w:rsidRPr="00B44B19" w14:paraId="2BCD4A58" w14:textId="77777777" w:rsidTr="003040E3">
        <w:trPr>
          <w:trHeight w:val="300"/>
        </w:trPr>
        <w:tc>
          <w:tcPr>
            <w:tcW w:w="1140" w:type="dxa"/>
            <w:vMerge/>
          </w:tcPr>
          <w:p w14:paraId="67D554F5" w14:textId="77777777" w:rsidR="0087201A" w:rsidRPr="00B44B19" w:rsidRDefault="0087201A" w:rsidP="0087201A">
            <w:pPr>
              <w:jc w:val="center"/>
              <w:rPr>
                <w:rFonts w:cs="Times New Roman"/>
                <w:iCs/>
                <w:noProof/>
                <w:sz w:val="16"/>
                <w:szCs w:val="16"/>
              </w:rPr>
            </w:pPr>
          </w:p>
        </w:tc>
        <w:tc>
          <w:tcPr>
            <w:tcW w:w="915" w:type="dxa"/>
            <w:vMerge/>
          </w:tcPr>
          <w:p w14:paraId="7E293189" w14:textId="77777777" w:rsidR="0087201A" w:rsidRPr="00B44B19" w:rsidRDefault="0087201A" w:rsidP="0087201A">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0D5E629D" w14:textId="77777777" w:rsidR="0087201A" w:rsidRPr="00B44B19" w:rsidRDefault="0087201A" w:rsidP="0087201A">
            <w:pPr>
              <w:rPr>
                <w:rFonts w:cs="Times New Roman"/>
                <w:noProof/>
                <w:sz w:val="16"/>
                <w:szCs w:val="16"/>
              </w:rPr>
            </w:pPr>
            <w:r w:rsidRPr="00B44B19">
              <w:rPr>
                <w:rFonts w:cs="Times New Roman"/>
                <w:noProof/>
                <w:sz w:val="16"/>
                <w:szCs w:val="16"/>
              </w:rPr>
              <w:t>VVL regionas</w:t>
            </w:r>
          </w:p>
        </w:tc>
        <w:tc>
          <w:tcPr>
            <w:tcW w:w="1134" w:type="dxa"/>
            <w:vMerge/>
          </w:tcPr>
          <w:p w14:paraId="78F9CEAA" w14:textId="77777777" w:rsidR="0087201A" w:rsidRPr="00B44B19" w:rsidRDefault="0087201A" w:rsidP="0087201A">
            <w:pPr>
              <w:jc w:val="center"/>
              <w:rPr>
                <w:rFonts w:cs="Times New Roman"/>
                <w:iCs/>
                <w:noProof/>
                <w:sz w:val="16"/>
                <w:szCs w:val="16"/>
              </w:rPr>
            </w:pPr>
          </w:p>
        </w:tc>
        <w:tc>
          <w:tcPr>
            <w:tcW w:w="3969" w:type="dxa"/>
            <w:vMerge/>
          </w:tcPr>
          <w:p w14:paraId="227A415A" w14:textId="77777777" w:rsidR="0087201A" w:rsidRPr="00B44B19" w:rsidRDefault="0087201A" w:rsidP="0087201A">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4729DB42" w14:textId="77777777" w:rsidR="0087201A" w:rsidRPr="00B44B19" w:rsidRDefault="0087201A" w:rsidP="0087201A">
            <w:pPr>
              <w:jc w:val="right"/>
              <w:rPr>
                <w:rFonts w:cs="Times New Roman"/>
                <w:sz w:val="16"/>
                <w:szCs w:val="16"/>
                <w:lang w:val="en-US"/>
              </w:rPr>
            </w:pPr>
            <w:r w:rsidRPr="00B44B19">
              <w:rPr>
                <w:rFonts w:cs="Times New Roman"/>
                <w:sz w:val="16"/>
                <w:szCs w:val="16"/>
                <w:lang w:val="en-US"/>
              </w:rPr>
              <w:t>11 690 250,00</w:t>
            </w:r>
          </w:p>
        </w:tc>
      </w:tr>
      <w:tr w:rsidR="0087201A" w:rsidRPr="00B44B19" w14:paraId="0442FF4B" w14:textId="77777777" w:rsidTr="003040E3">
        <w:trPr>
          <w:trHeight w:val="300"/>
        </w:trPr>
        <w:tc>
          <w:tcPr>
            <w:tcW w:w="1140" w:type="dxa"/>
            <w:vMerge/>
          </w:tcPr>
          <w:p w14:paraId="7DA9E3DD" w14:textId="77777777" w:rsidR="0087201A" w:rsidRPr="00B44B19" w:rsidRDefault="0087201A" w:rsidP="0087201A">
            <w:pPr>
              <w:jc w:val="center"/>
              <w:rPr>
                <w:rFonts w:cs="Times New Roman"/>
                <w:noProof/>
                <w:sz w:val="16"/>
                <w:szCs w:val="16"/>
              </w:rPr>
            </w:pPr>
          </w:p>
        </w:tc>
        <w:tc>
          <w:tcPr>
            <w:tcW w:w="915" w:type="dxa"/>
            <w:vMerge/>
          </w:tcPr>
          <w:p w14:paraId="79978394" w14:textId="77777777" w:rsidR="0087201A" w:rsidRPr="00B44B19" w:rsidRDefault="0087201A" w:rsidP="0087201A">
            <w:pPr>
              <w:jc w:val="center"/>
              <w:rPr>
                <w:rFonts w:cs="Times New Roman"/>
                <w:noProof/>
                <w:sz w:val="16"/>
                <w:szCs w:val="16"/>
              </w:rPr>
            </w:pPr>
          </w:p>
        </w:tc>
        <w:tc>
          <w:tcPr>
            <w:tcW w:w="1049" w:type="dxa"/>
            <w:tcBorders>
              <w:top w:val="single" w:sz="2" w:space="0" w:color="auto"/>
              <w:left w:val="single" w:sz="2" w:space="0" w:color="auto"/>
              <w:bottom w:val="single" w:sz="2" w:space="0" w:color="auto"/>
              <w:right w:val="single" w:sz="2" w:space="0" w:color="auto"/>
            </w:tcBorders>
          </w:tcPr>
          <w:p w14:paraId="449FACFE" w14:textId="77777777" w:rsidR="0087201A" w:rsidRPr="00B44B19" w:rsidRDefault="0087201A" w:rsidP="0087201A">
            <w:pPr>
              <w:rPr>
                <w:rFonts w:cs="Times New Roman"/>
                <w:noProof/>
                <w:sz w:val="16"/>
                <w:szCs w:val="16"/>
              </w:rPr>
            </w:pPr>
            <w:r w:rsidRPr="00B44B19">
              <w:rPr>
                <w:rFonts w:cs="Times New Roman"/>
                <w:noProof/>
                <w:sz w:val="16"/>
                <w:szCs w:val="16"/>
              </w:rPr>
              <w:t>VVL regionas</w:t>
            </w:r>
          </w:p>
        </w:tc>
        <w:tc>
          <w:tcPr>
            <w:tcW w:w="1134" w:type="dxa"/>
            <w:vMerge/>
          </w:tcPr>
          <w:p w14:paraId="3CBC593A" w14:textId="77777777" w:rsidR="0087201A" w:rsidRPr="00B44B19" w:rsidRDefault="0087201A" w:rsidP="0087201A">
            <w:pPr>
              <w:jc w:val="center"/>
              <w:rPr>
                <w:rFonts w:cs="Times New Roman"/>
                <w:noProof/>
                <w:sz w:val="16"/>
                <w:szCs w:val="16"/>
              </w:rPr>
            </w:pPr>
          </w:p>
        </w:tc>
        <w:tc>
          <w:tcPr>
            <w:tcW w:w="3969" w:type="dxa"/>
            <w:tcBorders>
              <w:top w:val="single" w:sz="2" w:space="0" w:color="auto"/>
              <w:left w:val="single" w:sz="2" w:space="0" w:color="auto"/>
              <w:bottom w:val="single" w:sz="2" w:space="0" w:color="auto"/>
              <w:right w:val="single" w:sz="2" w:space="0" w:color="auto"/>
            </w:tcBorders>
          </w:tcPr>
          <w:p w14:paraId="20B7CE74" w14:textId="77777777" w:rsidR="0087201A" w:rsidRPr="00B44B19" w:rsidDel="00AA781F" w:rsidRDefault="0087201A" w:rsidP="0087201A">
            <w:pPr>
              <w:rPr>
                <w:rFonts w:cs="Times New Roman"/>
                <w:iCs/>
                <w:noProof/>
                <w:sz w:val="16"/>
                <w:szCs w:val="16"/>
                <w:lang w:val="en-US"/>
              </w:rPr>
            </w:pPr>
            <w:r w:rsidRPr="00B44B19">
              <w:rPr>
                <w:rFonts w:cs="Times New Roman"/>
                <w:iCs/>
                <w:noProof/>
                <w:sz w:val="16"/>
                <w:szCs w:val="16"/>
                <w:lang w:val="en-US"/>
              </w:rPr>
              <w:t>198 – Gynybos infrastruktūra bei dvigubos paskirties infrastruktūros statyba ir modernizavimas, įskaitant karinį mobilumą</w:t>
            </w:r>
          </w:p>
        </w:tc>
        <w:tc>
          <w:tcPr>
            <w:tcW w:w="1559" w:type="dxa"/>
            <w:tcBorders>
              <w:top w:val="single" w:sz="2" w:space="0" w:color="auto"/>
              <w:left w:val="single" w:sz="2" w:space="0" w:color="auto"/>
              <w:bottom w:val="single" w:sz="2" w:space="0" w:color="auto"/>
              <w:right w:val="single" w:sz="2" w:space="0" w:color="auto"/>
            </w:tcBorders>
          </w:tcPr>
          <w:p w14:paraId="4677FD73" w14:textId="77777777" w:rsidR="0087201A" w:rsidRPr="00B44B19" w:rsidDel="00A949B6" w:rsidRDefault="0087201A" w:rsidP="0087201A">
            <w:pPr>
              <w:jc w:val="right"/>
              <w:rPr>
                <w:rFonts w:cs="Times New Roman"/>
                <w:iCs/>
                <w:noProof/>
                <w:sz w:val="16"/>
                <w:szCs w:val="16"/>
              </w:rPr>
            </w:pPr>
            <w:r w:rsidRPr="00B44B19">
              <w:rPr>
                <w:rFonts w:cs="Times New Roman"/>
                <w:sz w:val="16"/>
                <w:szCs w:val="16"/>
              </w:rPr>
              <w:t>44 600 000,00</w:t>
            </w:r>
          </w:p>
        </w:tc>
      </w:tr>
    </w:tbl>
    <w:p w14:paraId="1948A3E9"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46"/>
        <w:tblW w:w="9747" w:type="dxa"/>
        <w:tblLayout w:type="fixed"/>
        <w:tblLook w:val="04A0" w:firstRow="1" w:lastRow="0" w:firstColumn="1" w:lastColumn="0" w:noHBand="0" w:noVBand="1"/>
      </w:tblPr>
      <w:tblGrid>
        <w:gridCol w:w="1140"/>
        <w:gridCol w:w="891"/>
        <w:gridCol w:w="1073"/>
        <w:gridCol w:w="1115"/>
        <w:gridCol w:w="3988"/>
        <w:gridCol w:w="1540"/>
      </w:tblGrid>
      <w:tr w:rsidR="0087201A" w:rsidRPr="00B44B19" w14:paraId="24507683" w14:textId="77777777" w:rsidTr="003040E3">
        <w:trPr>
          <w:trHeight w:val="300"/>
        </w:trPr>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2C4D5F3" w14:textId="77777777" w:rsidR="0087201A" w:rsidRPr="00B44B19" w:rsidRDefault="0087201A" w:rsidP="0087201A">
            <w:pPr>
              <w:rPr>
                <w:rFonts w:cs="Times New Roman"/>
                <w:b/>
                <w:iCs/>
                <w:noProof/>
                <w:sz w:val="20"/>
                <w:szCs w:val="20"/>
              </w:rPr>
            </w:pPr>
            <w:r w:rsidRPr="00B44B19">
              <w:rPr>
                <w:rFonts w:cs="Times New Roman"/>
                <w:b/>
                <w:noProof/>
                <w:sz w:val="20"/>
                <w:szCs w:val="20"/>
              </w:rPr>
              <w:t>5 lentelė. 2 matmuo. Finansavimo forma</w:t>
            </w:r>
          </w:p>
        </w:tc>
      </w:tr>
      <w:tr w:rsidR="0087201A" w:rsidRPr="00B44B19" w14:paraId="346BD4B3" w14:textId="77777777" w:rsidTr="003040E3">
        <w:trPr>
          <w:trHeight w:val="300"/>
        </w:trPr>
        <w:tc>
          <w:tcPr>
            <w:tcW w:w="11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DF5203"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Prioriteto Nr.</w:t>
            </w:r>
          </w:p>
        </w:tc>
        <w:tc>
          <w:tcPr>
            <w:tcW w:w="8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5A0F70"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Fondas</w:t>
            </w:r>
          </w:p>
        </w:tc>
        <w:tc>
          <w:tcPr>
            <w:tcW w:w="10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0F0712"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Regiono kategorija</w:t>
            </w:r>
          </w:p>
        </w:tc>
        <w:tc>
          <w:tcPr>
            <w:tcW w:w="11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8EE6AD"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Konkretus uždavinys</w:t>
            </w:r>
          </w:p>
        </w:tc>
        <w:tc>
          <w:tcPr>
            <w:tcW w:w="39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3449F9"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Kodas</w:t>
            </w:r>
          </w:p>
        </w:tc>
        <w:tc>
          <w:tcPr>
            <w:tcW w:w="15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06A81A"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Suma (EUR)</w:t>
            </w:r>
          </w:p>
        </w:tc>
      </w:tr>
      <w:tr w:rsidR="0087201A" w:rsidRPr="00B44B19" w14:paraId="3ABCF6A1" w14:textId="77777777" w:rsidTr="003040E3">
        <w:trPr>
          <w:trHeight w:val="300"/>
        </w:trPr>
        <w:tc>
          <w:tcPr>
            <w:tcW w:w="1140" w:type="dxa"/>
            <w:vMerge w:val="restart"/>
            <w:tcBorders>
              <w:top w:val="single" w:sz="12" w:space="0" w:color="auto"/>
              <w:left w:val="single" w:sz="2" w:space="0" w:color="auto"/>
              <w:right w:val="single" w:sz="2" w:space="0" w:color="auto"/>
            </w:tcBorders>
          </w:tcPr>
          <w:p w14:paraId="27CB960B"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15</w:t>
            </w:r>
          </w:p>
        </w:tc>
        <w:tc>
          <w:tcPr>
            <w:tcW w:w="891" w:type="dxa"/>
            <w:vMerge w:val="restart"/>
            <w:tcBorders>
              <w:top w:val="single" w:sz="12" w:space="0" w:color="auto"/>
              <w:left w:val="single" w:sz="2" w:space="0" w:color="auto"/>
              <w:right w:val="single" w:sz="2" w:space="0" w:color="auto"/>
            </w:tcBorders>
          </w:tcPr>
          <w:p w14:paraId="4847F49E"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ERPF</w:t>
            </w:r>
          </w:p>
        </w:tc>
        <w:tc>
          <w:tcPr>
            <w:tcW w:w="1073" w:type="dxa"/>
            <w:tcBorders>
              <w:top w:val="single" w:sz="12" w:space="0" w:color="auto"/>
              <w:left w:val="single" w:sz="2" w:space="0" w:color="auto"/>
              <w:bottom w:val="single" w:sz="2" w:space="0" w:color="auto"/>
              <w:right w:val="single" w:sz="2" w:space="0" w:color="auto"/>
            </w:tcBorders>
          </w:tcPr>
          <w:p w14:paraId="0B803C53" w14:textId="77777777" w:rsidR="0087201A" w:rsidRPr="00B44B19" w:rsidRDefault="0087201A" w:rsidP="0087201A">
            <w:pPr>
              <w:rPr>
                <w:rFonts w:cs="Times New Roman"/>
                <w:iCs/>
                <w:noProof/>
                <w:sz w:val="16"/>
                <w:szCs w:val="16"/>
              </w:rPr>
            </w:pPr>
            <w:r w:rsidRPr="00B44B19">
              <w:rPr>
                <w:rFonts w:cs="Times New Roman"/>
                <w:noProof/>
                <w:sz w:val="16"/>
                <w:szCs w:val="16"/>
              </w:rPr>
              <w:t>Sostinės regionas</w:t>
            </w:r>
          </w:p>
        </w:tc>
        <w:tc>
          <w:tcPr>
            <w:tcW w:w="1115" w:type="dxa"/>
            <w:vMerge w:val="restart"/>
            <w:tcBorders>
              <w:top w:val="single" w:sz="12" w:space="0" w:color="auto"/>
              <w:left w:val="single" w:sz="2" w:space="0" w:color="auto"/>
              <w:right w:val="single" w:sz="2" w:space="0" w:color="auto"/>
            </w:tcBorders>
          </w:tcPr>
          <w:p w14:paraId="5196F758" w14:textId="77777777" w:rsidR="0087201A" w:rsidRPr="00B44B19" w:rsidRDefault="0087201A" w:rsidP="0087201A">
            <w:pPr>
              <w:jc w:val="center"/>
              <w:rPr>
                <w:rFonts w:cs="Times New Roman"/>
                <w:bCs/>
                <w:iCs/>
                <w:noProof/>
                <w:sz w:val="16"/>
                <w:szCs w:val="16"/>
              </w:rPr>
            </w:pPr>
            <w:r w:rsidRPr="00B44B19">
              <w:rPr>
                <w:rFonts w:cs="Times New Roman"/>
                <w:bCs/>
                <w:iCs/>
                <w:noProof/>
                <w:sz w:val="16"/>
                <w:szCs w:val="16"/>
              </w:rPr>
              <w:t>15.1</w:t>
            </w:r>
          </w:p>
        </w:tc>
        <w:tc>
          <w:tcPr>
            <w:tcW w:w="3988" w:type="dxa"/>
            <w:vMerge w:val="restart"/>
            <w:tcBorders>
              <w:top w:val="single" w:sz="12" w:space="0" w:color="auto"/>
              <w:left w:val="single" w:sz="2" w:space="0" w:color="auto"/>
              <w:right w:val="single" w:sz="2" w:space="0" w:color="auto"/>
            </w:tcBorders>
          </w:tcPr>
          <w:p w14:paraId="279BD7D7" w14:textId="77777777" w:rsidR="0087201A" w:rsidRPr="00B44B19" w:rsidRDefault="0087201A" w:rsidP="0087201A">
            <w:pPr>
              <w:rPr>
                <w:rFonts w:cs="Times New Roman"/>
                <w:bCs/>
                <w:iCs/>
                <w:noProof/>
                <w:sz w:val="16"/>
                <w:szCs w:val="16"/>
              </w:rPr>
            </w:pPr>
            <w:r w:rsidRPr="00B44B19">
              <w:rPr>
                <w:rFonts w:cs="Times New Roman"/>
                <w:iCs/>
                <w:noProof/>
                <w:sz w:val="16"/>
                <w:szCs w:val="16"/>
                <w:lang w:val="en-US"/>
              </w:rPr>
              <w:t>01 – Dotacija</w:t>
            </w:r>
          </w:p>
        </w:tc>
        <w:tc>
          <w:tcPr>
            <w:tcW w:w="1540" w:type="dxa"/>
            <w:tcBorders>
              <w:top w:val="single" w:sz="12" w:space="0" w:color="auto"/>
              <w:left w:val="single" w:sz="2" w:space="0" w:color="auto"/>
              <w:bottom w:val="single" w:sz="2" w:space="0" w:color="auto"/>
              <w:right w:val="single" w:sz="2" w:space="0" w:color="auto"/>
            </w:tcBorders>
          </w:tcPr>
          <w:p w14:paraId="20B42A06" w14:textId="77777777" w:rsidR="0087201A" w:rsidRPr="00B44B19" w:rsidRDefault="0087201A" w:rsidP="0087201A">
            <w:pPr>
              <w:jc w:val="right"/>
              <w:rPr>
                <w:rFonts w:cs="Times New Roman"/>
                <w:sz w:val="16"/>
                <w:szCs w:val="16"/>
              </w:rPr>
            </w:pPr>
            <w:r w:rsidRPr="00B44B19">
              <w:rPr>
                <w:rFonts w:cs="Times New Roman"/>
                <w:sz w:val="16"/>
                <w:szCs w:val="16"/>
                <w:lang w:val="en-US"/>
              </w:rPr>
              <w:t>18 269 100,00</w:t>
            </w:r>
          </w:p>
        </w:tc>
      </w:tr>
      <w:tr w:rsidR="0087201A" w:rsidRPr="00B44B19" w14:paraId="43E5EDBE" w14:textId="77777777" w:rsidTr="003040E3">
        <w:trPr>
          <w:trHeight w:val="300"/>
        </w:trPr>
        <w:tc>
          <w:tcPr>
            <w:tcW w:w="1140" w:type="dxa"/>
            <w:vMerge/>
          </w:tcPr>
          <w:p w14:paraId="7E4E5F24" w14:textId="77777777" w:rsidR="0087201A" w:rsidRPr="00B44B19" w:rsidRDefault="0087201A" w:rsidP="0087201A">
            <w:pPr>
              <w:jc w:val="center"/>
              <w:rPr>
                <w:rFonts w:cs="Times New Roman"/>
                <w:iCs/>
                <w:noProof/>
                <w:sz w:val="16"/>
                <w:szCs w:val="16"/>
              </w:rPr>
            </w:pPr>
          </w:p>
        </w:tc>
        <w:tc>
          <w:tcPr>
            <w:tcW w:w="891" w:type="dxa"/>
            <w:vMerge/>
          </w:tcPr>
          <w:p w14:paraId="1FA4F46C" w14:textId="77777777" w:rsidR="0087201A" w:rsidRPr="00B44B19" w:rsidRDefault="0087201A" w:rsidP="0087201A">
            <w:pPr>
              <w:jc w:val="center"/>
              <w:rPr>
                <w:rFonts w:cs="Times New Roman"/>
                <w:iCs/>
                <w:noProof/>
                <w:sz w:val="16"/>
                <w:szCs w:val="16"/>
              </w:rPr>
            </w:pPr>
          </w:p>
        </w:tc>
        <w:tc>
          <w:tcPr>
            <w:tcW w:w="1073" w:type="dxa"/>
            <w:tcBorders>
              <w:top w:val="single" w:sz="2" w:space="0" w:color="auto"/>
              <w:left w:val="single" w:sz="2" w:space="0" w:color="auto"/>
              <w:bottom w:val="single" w:sz="2" w:space="0" w:color="auto"/>
              <w:right w:val="single" w:sz="2" w:space="0" w:color="auto"/>
            </w:tcBorders>
          </w:tcPr>
          <w:p w14:paraId="16418EF5" w14:textId="77777777" w:rsidR="0087201A" w:rsidRPr="00B44B19" w:rsidRDefault="0087201A" w:rsidP="0087201A">
            <w:pPr>
              <w:rPr>
                <w:rFonts w:cs="Times New Roman"/>
                <w:iCs/>
                <w:noProof/>
                <w:sz w:val="16"/>
                <w:szCs w:val="16"/>
              </w:rPr>
            </w:pPr>
            <w:r w:rsidRPr="00B44B19">
              <w:rPr>
                <w:rFonts w:cs="Times New Roman"/>
                <w:noProof/>
                <w:sz w:val="16"/>
                <w:szCs w:val="16"/>
              </w:rPr>
              <w:t>VVL regionas</w:t>
            </w:r>
          </w:p>
        </w:tc>
        <w:tc>
          <w:tcPr>
            <w:tcW w:w="1115" w:type="dxa"/>
            <w:vMerge/>
          </w:tcPr>
          <w:p w14:paraId="6C15F790" w14:textId="77777777" w:rsidR="0087201A" w:rsidRPr="00B44B19" w:rsidRDefault="0087201A" w:rsidP="0087201A">
            <w:pPr>
              <w:jc w:val="center"/>
              <w:rPr>
                <w:rFonts w:cs="Times New Roman"/>
                <w:b/>
                <w:iCs/>
                <w:noProof/>
                <w:sz w:val="16"/>
                <w:szCs w:val="16"/>
              </w:rPr>
            </w:pPr>
          </w:p>
        </w:tc>
        <w:tc>
          <w:tcPr>
            <w:tcW w:w="3988" w:type="dxa"/>
            <w:vMerge/>
          </w:tcPr>
          <w:p w14:paraId="21C72FBF" w14:textId="77777777" w:rsidR="0087201A" w:rsidRPr="00B44B19" w:rsidRDefault="0087201A" w:rsidP="0087201A">
            <w:pPr>
              <w:jc w:val="center"/>
              <w:rPr>
                <w:rFonts w:cs="Times New Roman"/>
                <w:bCs/>
                <w:iCs/>
                <w:noProof/>
                <w:sz w:val="16"/>
                <w:szCs w:val="16"/>
              </w:rPr>
            </w:pPr>
          </w:p>
        </w:tc>
        <w:tc>
          <w:tcPr>
            <w:tcW w:w="1540" w:type="dxa"/>
            <w:tcBorders>
              <w:top w:val="single" w:sz="2" w:space="0" w:color="auto"/>
              <w:left w:val="single" w:sz="2" w:space="0" w:color="auto"/>
              <w:bottom w:val="single" w:sz="2" w:space="0" w:color="auto"/>
              <w:right w:val="single" w:sz="2" w:space="0" w:color="auto"/>
            </w:tcBorders>
          </w:tcPr>
          <w:p w14:paraId="717F8388" w14:textId="77777777" w:rsidR="0087201A" w:rsidRPr="00B44B19" w:rsidRDefault="0087201A" w:rsidP="0087201A">
            <w:pPr>
              <w:jc w:val="right"/>
              <w:rPr>
                <w:rFonts w:cs="Times New Roman"/>
                <w:sz w:val="16"/>
                <w:szCs w:val="16"/>
              </w:rPr>
            </w:pPr>
            <w:r w:rsidRPr="00B44B19">
              <w:rPr>
                <w:rFonts w:cs="Times New Roman"/>
                <w:sz w:val="16"/>
                <w:szCs w:val="16"/>
              </w:rPr>
              <w:t>119 230 900,00</w:t>
            </w:r>
          </w:p>
        </w:tc>
      </w:tr>
    </w:tbl>
    <w:p w14:paraId="66DE7D3E"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46"/>
        <w:tblW w:w="9766" w:type="dxa"/>
        <w:tblLook w:val="04A0" w:firstRow="1" w:lastRow="0" w:firstColumn="1" w:lastColumn="0" w:noHBand="0" w:noVBand="1"/>
      </w:tblPr>
      <w:tblGrid>
        <w:gridCol w:w="1089"/>
        <w:gridCol w:w="930"/>
        <w:gridCol w:w="1085"/>
        <w:gridCol w:w="1134"/>
        <w:gridCol w:w="3969"/>
        <w:gridCol w:w="1559"/>
      </w:tblGrid>
      <w:tr w:rsidR="0087201A" w:rsidRPr="00B44B19" w14:paraId="0ACC5D08" w14:textId="77777777" w:rsidTr="003040E3">
        <w:trPr>
          <w:trHeight w:val="300"/>
        </w:trPr>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77B0F5" w14:textId="77777777" w:rsidR="0087201A" w:rsidRPr="00B44B19" w:rsidRDefault="0087201A" w:rsidP="0087201A">
            <w:pPr>
              <w:rPr>
                <w:rFonts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87201A" w:rsidRPr="00B44B19" w14:paraId="101C7999" w14:textId="77777777" w:rsidTr="003040E3">
        <w:trPr>
          <w:trHeight w:val="300"/>
        </w:trPr>
        <w:tc>
          <w:tcPr>
            <w:tcW w:w="108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19ADF5"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Prioriteto Nr.</w:t>
            </w:r>
          </w:p>
        </w:tc>
        <w:tc>
          <w:tcPr>
            <w:tcW w:w="9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33823C"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Fondas</w:t>
            </w:r>
          </w:p>
        </w:tc>
        <w:tc>
          <w:tcPr>
            <w:tcW w:w="10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17FB14"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0832D0"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923BD7"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0E7E9F" w14:textId="77777777" w:rsidR="0087201A" w:rsidRPr="00B44B19" w:rsidRDefault="0087201A" w:rsidP="0087201A">
            <w:pPr>
              <w:jc w:val="center"/>
              <w:rPr>
                <w:rFonts w:cs="Times New Roman"/>
                <w:b/>
                <w:iCs/>
                <w:noProof/>
                <w:sz w:val="16"/>
                <w:szCs w:val="16"/>
              </w:rPr>
            </w:pPr>
            <w:r w:rsidRPr="00B44B19">
              <w:rPr>
                <w:rFonts w:cs="Times New Roman"/>
                <w:b/>
                <w:noProof/>
                <w:sz w:val="16"/>
                <w:szCs w:val="16"/>
              </w:rPr>
              <w:t>Suma (EUR)</w:t>
            </w:r>
          </w:p>
        </w:tc>
      </w:tr>
      <w:tr w:rsidR="0087201A" w:rsidRPr="00B44B19" w14:paraId="5FDDF8B4" w14:textId="77777777" w:rsidTr="003040E3">
        <w:trPr>
          <w:trHeight w:val="303"/>
        </w:trPr>
        <w:tc>
          <w:tcPr>
            <w:tcW w:w="1089" w:type="dxa"/>
            <w:vMerge w:val="restart"/>
            <w:tcBorders>
              <w:top w:val="single" w:sz="2" w:space="0" w:color="auto"/>
              <w:left w:val="single" w:sz="2" w:space="0" w:color="auto"/>
              <w:right w:val="single" w:sz="2" w:space="0" w:color="auto"/>
            </w:tcBorders>
          </w:tcPr>
          <w:p w14:paraId="2F71A246"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15</w:t>
            </w:r>
          </w:p>
        </w:tc>
        <w:tc>
          <w:tcPr>
            <w:tcW w:w="930" w:type="dxa"/>
            <w:vMerge w:val="restart"/>
            <w:tcBorders>
              <w:top w:val="single" w:sz="2" w:space="0" w:color="auto"/>
              <w:left w:val="single" w:sz="2" w:space="0" w:color="auto"/>
              <w:right w:val="single" w:sz="2" w:space="0" w:color="auto"/>
            </w:tcBorders>
          </w:tcPr>
          <w:p w14:paraId="356B1A0B" w14:textId="77777777" w:rsidR="0087201A" w:rsidRPr="00B44B19" w:rsidRDefault="0087201A" w:rsidP="0087201A">
            <w:pPr>
              <w:jc w:val="center"/>
              <w:rPr>
                <w:rFonts w:cs="Times New Roman"/>
                <w:iCs/>
                <w:noProof/>
                <w:sz w:val="16"/>
                <w:szCs w:val="16"/>
              </w:rPr>
            </w:pPr>
            <w:r w:rsidRPr="00B44B19">
              <w:rPr>
                <w:rFonts w:cs="Times New Roman"/>
                <w:iCs/>
                <w:noProof/>
                <w:sz w:val="16"/>
                <w:szCs w:val="16"/>
              </w:rPr>
              <w:t>ERPF</w:t>
            </w:r>
          </w:p>
        </w:tc>
        <w:tc>
          <w:tcPr>
            <w:tcW w:w="1085" w:type="dxa"/>
            <w:tcBorders>
              <w:top w:val="single" w:sz="2" w:space="0" w:color="auto"/>
              <w:left w:val="single" w:sz="2" w:space="0" w:color="auto"/>
              <w:bottom w:val="single" w:sz="2" w:space="0" w:color="auto"/>
              <w:right w:val="single" w:sz="2" w:space="0" w:color="auto"/>
            </w:tcBorders>
          </w:tcPr>
          <w:p w14:paraId="68D2DDD4" w14:textId="77777777" w:rsidR="0087201A" w:rsidRPr="00B44B19" w:rsidRDefault="0087201A" w:rsidP="0087201A">
            <w:pPr>
              <w:rPr>
                <w:rFonts w:cs="Times New Roman"/>
                <w:noProof/>
                <w:sz w:val="16"/>
                <w:szCs w:val="16"/>
              </w:rPr>
            </w:pPr>
            <w:r w:rsidRPr="00B44B19">
              <w:rPr>
                <w:rFonts w:cs="Times New Roman"/>
                <w:noProof/>
                <w:sz w:val="16"/>
                <w:szCs w:val="16"/>
              </w:rPr>
              <w:t>Sostinės regionas</w:t>
            </w:r>
          </w:p>
        </w:tc>
        <w:tc>
          <w:tcPr>
            <w:tcW w:w="1134" w:type="dxa"/>
            <w:vMerge w:val="restart"/>
          </w:tcPr>
          <w:p w14:paraId="7C94F2F1" w14:textId="77777777" w:rsidR="0087201A" w:rsidRPr="00B44B19" w:rsidRDefault="0087201A" w:rsidP="0087201A">
            <w:pPr>
              <w:jc w:val="center"/>
              <w:rPr>
                <w:rFonts w:cs="Times New Roman"/>
                <w:bCs/>
                <w:iCs/>
                <w:noProof/>
                <w:sz w:val="16"/>
                <w:szCs w:val="16"/>
              </w:rPr>
            </w:pPr>
            <w:r w:rsidRPr="00B44B19">
              <w:rPr>
                <w:rFonts w:cs="Times New Roman"/>
                <w:bCs/>
                <w:iCs/>
                <w:noProof/>
                <w:sz w:val="16"/>
                <w:szCs w:val="16"/>
              </w:rPr>
              <w:t>15.1</w:t>
            </w:r>
          </w:p>
        </w:tc>
        <w:tc>
          <w:tcPr>
            <w:tcW w:w="3969" w:type="dxa"/>
            <w:vMerge w:val="restart"/>
          </w:tcPr>
          <w:p w14:paraId="7938FB16" w14:textId="77777777" w:rsidR="0087201A" w:rsidRPr="00B44B19" w:rsidRDefault="0087201A" w:rsidP="0087201A">
            <w:pPr>
              <w:rPr>
                <w:rFonts w:cs="Times New Roman"/>
                <w:iCs/>
                <w:noProof/>
                <w:sz w:val="16"/>
                <w:szCs w:val="16"/>
                <w:lang w:val="en-US"/>
              </w:rPr>
            </w:pPr>
            <w:r w:rsidRPr="00B44B19">
              <w:rPr>
                <w:rFonts w:cs="Times New Roman"/>
                <w:iCs/>
                <w:noProof/>
                <w:sz w:val="16"/>
                <w:szCs w:val="16"/>
                <w:lang w:val="en-US"/>
              </w:rPr>
              <w:t>10 – Miestai, miesteliai ir priemiesčiai</w:t>
            </w:r>
          </w:p>
        </w:tc>
        <w:tc>
          <w:tcPr>
            <w:tcW w:w="1559" w:type="dxa"/>
            <w:tcBorders>
              <w:top w:val="single" w:sz="2" w:space="0" w:color="auto"/>
              <w:left w:val="single" w:sz="2" w:space="0" w:color="auto"/>
              <w:bottom w:val="single" w:sz="2" w:space="0" w:color="auto"/>
              <w:right w:val="single" w:sz="2" w:space="0" w:color="auto"/>
            </w:tcBorders>
          </w:tcPr>
          <w:p w14:paraId="1A057ECB" w14:textId="77777777" w:rsidR="0087201A" w:rsidRPr="00B44B19" w:rsidRDefault="0087201A" w:rsidP="0087201A">
            <w:pPr>
              <w:jc w:val="right"/>
              <w:rPr>
                <w:rFonts w:cs="Times New Roman"/>
                <w:sz w:val="16"/>
                <w:szCs w:val="16"/>
                <w:lang w:val="en-US"/>
              </w:rPr>
            </w:pPr>
            <w:r w:rsidRPr="00B44B19">
              <w:rPr>
                <w:rFonts w:cs="Times New Roman"/>
                <w:sz w:val="16"/>
                <w:szCs w:val="16"/>
                <w:lang w:val="en-US"/>
              </w:rPr>
              <w:t>51 000,00</w:t>
            </w:r>
          </w:p>
        </w:tc>
      </w:tr>
      <w:tr w:rsidR="0087201A" w:rsidRPr="00B44B19" w14:paraId="2A4C4918" w14:textId="77777777" w:rsidTr="003040E3">
        <w:trPr>
          <w:trHeight w:val="303"/>
        </w:trPr>
        <w:tc>
          <w:tcPr>
            <w:tcW w:w="1089" w:type="dxa"/>
            <w:vMerge/>
          </w:tcPr>
          <w:p w14:paraId="619AEBC1" w14:textId="77777777" w:rsidR="0087201A" w:rsidRPr="00B44B19" w:rsidRDefault="0087201A" w:rsidP="0087201A">
            <w:pPr>
              <w:jc w:val="center"/>
              <w:rPr>
                <w:rFonts w:cs="Times New Roman"/>
                <w:iCs/>
                <w:noProof/>
                <w:sz w:val="16"/>
                <w:szCs w:val="16"/>
              </w:rPr>
            </w:pPr>
          </w:p>
        </w:tc>
        <w:tc>
          <w:tcPr>
            <w:tcW w:w="930" w:type="dxa"/>
            <w:vMerge/>
          </w:tcPr>
          <w:p w14:paraId="0F532734" w14:textId="77777777" w:rsidR="0087201A" w:rsidRPr="00B44B19" w:rsidRDefault="0087201A" w:rsidP="0087201A">
            <w:pPr>
              <w:jc w:val="center"/>
              <w:rPr>
                <w:rFonts w:cs="Times New Roman"/>
                <w:iCs/>
                <w:noProof/>
                <w:sz w:val="16"/>
                <w:szCs w:val="16"/>
              </w:rPr>
            </w:pPr>
          </w:p>
        </w:tc>
        <w:tc>
          <w:tcPr>
            <w:tcW w:w="1085" w:type="dxa"/>
            <w:tcBorders>
              <w:top w:val="single" w:sz="2" w:space="0" w:color="auto"/>
              <w:left w:val="single" w:sz="2" w:space="0" w:color="auto"/>
              <w:bottom w:val="single" w:sz="2" w:space="0" w:color="auto"/>
              <w:right w:val="single" w:sz="2" w:space="0" w:color="auto"/>
            </w:tcBorders>
          </w:tcPr>
          <w:p w14:paraId="0413B270" w14:textId="77777777" w:rsidR="0087201A" w:rsidRPr="00B44B19" w:rsidRDefault="0087201A" w:rsidP="0087201A">
            <w:pPr>
              <w:rPr>
                <w:rFonts w:cs="Times New Roman"/>
                <w:noProof/>
                <w:sz w:val="16"/>
                <w:szCs w:val="16"/>
              </w:rPr>
            </w:pPr>
            <w:r w:rsidRPr="00B44B19">
              <w:rPr>
                <w:rFonts w:cs="Times New Roman"/>
                <w:noProof/>
                <w:sz w:val="16"/>
                <w:szCs w:val="16"/>
              </w:rPr>
              <w:t>VVL regionas</w:t>
            </w:r>
          </w:p>
        </w:tc>
        <w:tc>
          <w:tcPr>
            <w:tcW w:w="1134" w:type="dxa"/>
            <w:vMerge/>
          </w:tcPr>
          <w:p w14:paraId="02B11D2D" w14:textId="77777777" w:rsidR="0087201A" w:rsidRPr="00B44B19" w:rsidRDefault="0087201A" w:rsidP="0087201A">
            <w:pPr>
              <w:jc w:val="center"/>
              <w:rPr>
                <w:rFonts w:cs="Times New Roman"/>
                <w:bCs/>
                <w:iCs/>
                <w:noProof/>
                <w:sz w:val="16"/>
                <w:szCs w:val="16"/>
              </w:rPr>
            </w:pPr>
          </w:p>
        </w:tc>
        <w:tc>
          <w:tcPr>
            <w:tcW w:w="3969" w:type="dxa"/>
            <w:vMerge/>
          </w:tcPr>
          <w:p w14:paraId="5FB8FA72" w14:textId="77777777" w:rsidR="0087201A" w:rsidRPr="00B44B19" w:rsidRDefault="0087201A" w:rsidP="0087201A">
            <w:pPr>
              <w:rPr>
                <w:rFonts w:cs="Times New Roman"/>
                <w:iCs/>
                <w:noProof/>
                <w:sz w:val="16"/>
                <w:szCs w:val="16"/>
                <w:lang w:val="en-US"/>
              </w:rPr>
            </w:pPr>
          </w:p>
        </w:tc>
        <w:tc>
          <w:tcPr>
            <w:tcW w:w="1559" w:type="dxa"/>
            <w:tcBorders>
              <w:top w:val="single" w:sz="2" w:space="0" w:color="auto"/>
              <w:left w:val="single" w:sz="2" w:space="0" w:color="auto"/>
              <w:bottom w:val="single" w:sz="2" w:space="0" w:color="auto"/>
              <w:right w:val="single" w:sz="2" w:space="0" w:color="auto"/>
            </w:tcBorders>
          </w:tcPr>
          <w:p w14:paraId="566CE2F9" w14:textId="77777777" w:rsidR="0087201A" w:rsidRPr="00B44B19" w:rsidRDefault="0087201A" w:rsidP="0087201A">
            <w:pPr>
              <w:jc w:val="right"/>
              <w:rPr>
                <w:rFonts w:cs="Times New Roman"/>
                <w:sz w:val="16"/>
                <w:szCs w:val="16"/>
                <w:lang w:val="en-US"/>
              </w:rPr>
            </w:pPr>
            <w:r w:rsidRPr="00B44B19">
              <w:rPr>
                <w:rFonts w:cs="Times New Roman"/>
                <w:sz w:val="16"/>
                <w:szCs w:val="16"/>
                <w:lang w:val="en-US"/>
              </w:rPr>
              <w:t>769 000,00</w:t>
            </w:r>
          </w:p>
        </w:tc>
      </w:tr>
      <w:tr w:rsidR="0087201A" w:rsidRPr="00B44B19" w14:paraId="5F76E09C" w14:textId="77777777" w:rsidTr="003040E3">
        <w:trPr>
          <w:trHeight w:val="303"/>
        </w:trPr>
        <w:tc>
          <w:tcPr>
            <w:tcW w:w="1089" w:type="dxa"/>
            <w:vMerge/>
          </w:tcPr>
          <w:p w14:paraId="4B9CE101" w14:textId="77777777" w:rsidR="0087201A" w:rsidRPr="00B44B19" w:rsidRDefault="0087201A" w:rsidP="0087201A">
            <w:pPr>
              <w:jc w:val="center"/>
              <w:rPr>
                <w:rFonts w:cs="Times New Roman"/>
                <w:iCs/>
                <w:noProof/>
                <w:sz w:val="16"/>
                <w:szCs w:val="16"/>
              </w:rPr>
            </w:pPr>
          </w:p>
        </w:tc>
        <w:tc>
          <w:tcPr>
            <w:tcW w:w="930" w:type="dxa"/>
            <w:vMerge/>
          </w:tcPr>
          <w:p w14:paraId="5C70C18C" w14:textId="77777777" w:rsidR="0087201A" w:rsidRPr="00B44B19" w:rsidRDefault="0087201A" w:rsidP="0087201A">
            <w:pPr>
              <w:jc w:val="center"/>
              <w:rPr>
                <w:rFonts w:cs="Times New Roman"/>
                <w:iCs/>
                <w:noProof/>
                <w:sz w:val="16"/>
                <w:szCs w:val="16"/>
              </w:rPr>
            </w:pPr>
          </w:p>
        </w:tc>
        <w:tc>
          <w:tcPr>
            <w:tcW w:w="1085" w:type="dxa"/>
            <w:tcBorders>
              <w:top w:val="single" w:sz="2" w:space="0" w:color="auto"/>
              <w:left w:val="single" w:sz="2" w:space="0" w:color="auto"/>
              <w:bottom w:val="single" w:sz="2" w:space="0" w:color="auto"/>
              <w:right w:val="single" w:sz="2" w:space="0" w:color="auto"/>
            </w:tcBorders>
          </w:tcPr>
          <w:p w14:paraId="6CBDFE0F" w14:textId="77777777" w:rsidR="0087201A" w:rsidRPr="00B44B19" w:rsidRDefault="0087201A" w:rsidP="0087201A">
            <w:pPr>
              <w:rPr>
                <w:rFonts w:cs="Times New Roman"/>
                <w:iCs/>
                <w:noProof/>
                <w:sz w:val="16"/>
                <w:szCs w:val="16"/>
              </w:rPr>
            </w:pPr>
            <w:r w:rsidRPr="00B44B19">
              <w:rPr>
                <w:rFonts w:cs="Times New Roman"/>
                <w:noProof/>
                <w:sz w:val="16"/>
                <w:szCs w:val="16"/>
              </w:rPr>
              <w:t>Sostinės regionas</w:t>
            </w:r>
          </w:p>
        </w:tc>
        <w:tc>
          <w:tcPr>
            <w:tcW w:w="1134" w:type="dxa"/>
            <w:vMerge/>
          </w:tcPr>
          <w:p w14:paraId="4FC87C5C" w14:textId="77777777" w:rsidR="0087201A" w:rsidRPr="00B44B19" w:rsidRDefault="0087201A" w:rsidP="0087201A">
            <w:pPr>
              <w:jc w:val="center"/>
              <w:rPr>
                <w:rFonts w:cs="Times New Roman"/>
                <w:bCs/>
                <w:iCs/>
                <w:noProof/>
                <w:sz w:val="16"/>
                <w:szCs w:val="16"/>
              </w:rPr>
            </w:pPr>
          </w:p>
        </w:tc>
        <w:tc>
          <w:tcPr>
            <w:tcW w:w="3969" w:type="dxa"/>
            <w:vMerge w:val="restart"/>
          </w:tcPr>
          <w:p w14:paraId="5957B973" w14:textId="77777777" w:rsidR="0087201A" w:rsidRPr="00B44B19" w:rsidRDefault="0087201A" w:rsidP="0087201A">
            <w:pPr>
              <w:rPr>
                <w:rFonts w:cs="Times New Roman"/>
                <w:bCs/>
                <w:iCs/>
                <w:noProof/>
                <w:sz w:val="16"/>
                <w:szCs w:val="16"/>
              </w:rPr>
            </w:pPr>
            <w:r w:rsidRPr="00B44B19">
              <w:rPr>
                <w:rFonts w:cs="Times New Roman"/>
                <w:iCs/>
                <w:noProof/>
                <w:sz w:val="16"/>
                <w:szCs w:val="16"/>
                <w:lang w:val="en-US"/>
              </w:rPr>
              <w:t>33 – Nesiorientuojant į teritoriškumą</w:t>
            </w:r>
          </w:p>
        </w:tc>
        <w:tc>
          <w:tcPr>
            <w:tcW w:w="1559" w:type="dxa"/>
            <w:tcBorders>
              <w:top w:val="single" w:sz="2" w:space="0" w:color="auto"/>
              <w:left w:val="single" w:sz="2" w:space="0" w:color="auto"/>
              <w:bottom w:val="single" w:sz="2" w:space="0" w:color="auto"/>
              <w:right w:val="single" w:sz="2" w:space="0" w:color="auto"/>
            </w:tcBorders>
          </w:tcPr>
          <w:p w14:paraId="15725D6D" w14:textId="77777777" w:rsidR="0087201A" w:rsidRPr="00B44B19" w:rsidRDefault="0087201A" w:rsidP="0087201A">
            <w:pPr>
              <w:jc w:val="right"/>
              <w:rPr>
                <w:rFonts w:cs="Times New Roman"/>
                <w:sz w:val="16"/>
                <w:szCs w:val="16"/>
              </w:rPr>
            </w:pPr>
            <w:r w:rsidRPr="00B44B19">
              <w:rPr>
                <w:rFonts w:cs="Times New Roman"/>
                <w:sz w:val="16"/>
                <w:szCs w:val="16"/>
                <w:lang w:val="en-US"/>
              </w:rPr>
              <w:t>18 218 100,00</w:t>
            </w:r>
          </w:p>
        </w:tc>
      </w:tr>
      <w:tr w:rsidR="0087201A" w:rsidRPr="00B44B19" w14:paraId="56880849" w14:textId="77777777" w:rsidTr="003040E3">
        <w:trPr>
          <w:trHeight w:val="303"/>
        </w:trPr>
        <w:tc>
          <w:tcPr>
            <w:tcW w:w="1089" w:type="dxa"/>
            <w:vMerge/>
          </w:tcPr>
          <w:p w14:paraId="6E939B7C" w14:textId="77777777" w:rsidR="0087201A" w:rsidRPr="00B44B19" w:rsidRDefault="0087201A" w:rsidP="0087201A">
            <w:pPr>
              <w:jc w:val="center"/>
              <w:rPr>
                <w:rFonts w:cs="Times New Roman"/>
                <w:iCs/>
                <w:noProof/>
                <w:sz w:val="16"/>
                <w:szCs w:val="16"/>
              </w:rPr>
            </w:pPr>
          </w:p>
        </w:tc>
        <w:tc>
          <w:tcPr>
            <w:tcW w:w="930" w:type="dxa"/>
            <w:vMerge/>
          </w:tcPr>
          <w:p w14:paraId="2FC0C395" w14:textId="77777777" w:rsidR="0087201A" w:rsidRPr="00B44B19" w:rsidRDefault="0087201A" w:rsidP="0087201A">
            <w:pPr>
              <w:jc w:val="center"/>
              <w:rPr>
                <w:rFonts w:cs="Times New Roman"/>
                <w:iCs/>
                <w:noProof/>
                <w:sz w:val="16"/>
                <w:szCs w:val="16"/>
              </w:rPr>
            </w:pPr>
          </w:p>
        </w:tc>
        <w:tc>
          <w:tcPr>
            <w:tcW w:w="1085" w:type="dxa"/>
            <w:tcBorders>
              <w:top w:val="single" w:sz="2" w:space="0" w:color="auto"/>
              <w:left w:val="single" w:sz="2" w:space="0" w:color="auto"/>
              <w:bottom w:val="single" w:sz="2" w:space="0" w:color="auto"/>
              <w:right w:val="single" w:sz="2" w:space="0" w:color="auto"/>
            </w:tcBorders>
          </w:tcPr>
          <w:p w14:paraId="111BF563" w14:textId="77777777" w:rsidR="0087201A" w:rsidRPr="00B44B19" w:rsidRDefault="0087201A" w:rsidP="0087201A">
            <w:pPr>
              <w:rPr>
                <w:rFonts w:cs="Times New Roman"/>
                <w:iCs/>
                <w:noProof/>
                <w:sz w:val="16"/>
                <w:szCs w:val="16"/>
              </w:rPr>
            </w:pPr>
            <w:r w:rsidRPr="00B44B19">
              <w:rPr>
                <w:rFonts w:cs="Times New Roman"/>
                <w:noProof/>
                <w:sz w:val="16"/>
                <w:szCs w:val="16"/>
              </w:rPr>
              <w:t>VVL regionas</w:t>
            </w:r>
          </w:p>
        </w:tc>
        <w:tc>
          <w:tcPr>
            <w:tcW w:w="1134" w:type="dxa"/>
            <w:vMerge/>
          </w:tcPr>
          <w:p w14:paraId="78A18AAA" w14:textId="77777777" w:rsidR="0087201A" w:rsidRPr="00B44B19" w:rsidRDefault="0087201A" w:rsidP="0087201A">
            <w:pPr>
              <w:jc w:val="center"/>
              <w:rPr>
                <w:rFonts w:cs="Times New Roman"/>
                <w:b/>
                <w:iCs/>
                <w:noProof/>
                <w:sz w:val="16"/>
                <w:szCs w:val="16"/>
              </w:rPr>
            </w:pPr>
          </w:p>
        </w:tc>
        <w:tc>
          <w:tcPr>
            <w:tcW w:w="3969" w:type="dxa"/>
            <w:vMerge/>
          </w:tcPr>
          <w:p w14:paraId="68518255" w14:textId="77777777" w:rsidR="0087201A" w:rsidRPr="00B44B19" w:rsidRDefault="0087201A" w:rsidP="0087201A">
            <w:pPr>
              <w:rPr>
                <w:rFonts w:cs="Times New Roman"/>
                <w:iCs/>
                <w:noProof/>
                <w:sz w:val="16"/>
                <w:szCs w:val="16"/>
                <w:lang w:val="en-US"/>
              </w:rPr>
            </w:pPr>
          </w:p>
        </w:tc>
        <w:tc>
          <w:tcPr>
            <w:tcW w:w="1559" w:type="dxa"/>
            <w:tcBorders>
              <w:top w:val="single" w:sz="2" w:space="0" w:color="auto"/>
              <w:left w:val="single" w:sz="2" w:space="0" w:color="auto"/>
              <w:bottom w:val="single" w:sz="2" w:space="0" w:color="auto"/>
              <w:right w:val="single" w:sz="2" w:space="0" w:color="auto"/>
            </w:tcBorders>
          </w:tcPr>
          <w:p w14:paraId="1A01EA59" w14:textId="77777777" w:rsidR="0087201A" w:rsidRPr="00B44B19" w:rsidRDefault="0087201A" w:rsidP="0087201A">
            <w:pPr>
              <w:jc w:val="right"/>
              <w:rPr>
                <w:rFonts w:cs="Times New Roman"/>
                <w:sz w:val="16"/>
                <w:szCs w:val="16"/>
              </w:rPr>
            </w:pPr>
            <w:r w:rsidRPr="00B44B19">
              <w:rPr>
                <w:rFonts w:cs="Times New Roman"/>
                <w:sz w:val="16"/>
                <w:szCs w:val="16"/>
              </w:rPr>
              <w:t>118 461 900,00</w:t>
            </w:r>
          </w:p>
        </w:tc>
      </w:tr>
    </w:tbl>
    <w:p w14:paraId="3BB2BBF3" w14:textId="77777777" w:rsidR="0087201A" w:rsidRPr="00B44B19" w:rsidRDefault="0087201A" w:rsidP="0087201A">
      <w:pPr>
        <w:spacing w:after="0"/>
        <w:rPr>
          <w:rFonts w:eastAsia="Times New Roman" w:cs="Times New Roman"/>
        </w:rPr>
      </w:pPr>
    </w:p>
    <w:tbl>
      <w:tblPr>
        <w:tblStyle w:val="Lentelstinklelis30"/>
        <w:tblW w:w="9747" w:type="dxa"/>
        <w:tblLook w:val="04A0" w:firstRow="1" w:lastRow="0" w:firstColumn="1" w:lastColumn="0" w:noHBand="0" w:noVBand="1"/>
      </w:tblPr>
      <w:tblGrid>
        <w:gridCol w:w="1101"/>
        <w:gridCol w:w="915"/>
        <w:gridCol w:w="1069"/>
        <w:gridCol w:w="1134"/>
        <w:gridCol w:w="4021"/>
        <w:gridCol w:w="1507"/>
      </w:tblGrid>
      <w:tr w:rsidR="0087201A" w:rsidRPr="00B44B19" w14:paraId="24A9751D" w14:textId="77777777" w:rsidTr="003040E3">
        <w:trPr>
          <w:trHeight w:val="300"/>
        </w:trPr>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E1348A" w14:textId="77777777" w:rsidR="0087201A" w:rsidRPr="00B44B19" w:rsidRDefault="0087201A" w:rsidP="0087201A">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87201A" w:rsidRPr="00B44B19" w14:paraId="47204873" w14:textId="77777777" w:rsidTr="003040E3">
        <w:trPr>
          <w:trHeight w:val="300"/>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FEB15B" w14:textId="77777777" w:rsidR="0087201A" w:rsidRPr="00B44B19" w:rsidRDefault="0087201A" w:rsidP="0087201A">
            <w:pPr>
              <w:jc w:val="center"/>
              <w:rPr>
                <w:b/>
                <w:iCs/>
                <w:noProof/>
                <w:sz w:val="16"/>
                <w:szCs w:val="16"/>
              </w:rPr>
            </w:pPr>
            <w:r w:rsidRPr="00B44B19">
              <w:rPr>
                <w:b/>
                <w:noProof/>
                <w:sz w:val="16"/>
                <w:szCs w:val="16"/>
              </w:rPr>
              <w:t>Prioriteto Nr.</w:t>
            </w:r>
          </w:p>
        </w:tc>
        <w:tc>
          <w:tcPr>
            <w:tcW w:w="9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CE69F0A" w14:textId="77777777" w:rsidR="0087201A" w:rsidRPr="00B44B19" w:rsidRDefault="0087201A" w:rsidP="0087201A">
            <w:pPr>
              <w:jc w:val="center"/>
              <w:rPr>
                <w:b/>
                <w:iCs/>
                <w:noProof/>
                <w:sz w:val="16"/>
                <w:szCs w:val="16"/>
              </w:rPr>
            </w:pPr>
            <w:r w:rsidRPr="00B44B19">
              <w:rPr>
                <w:b/>
                <w:noProof/>
                <w:sz w:val="16"/>
                <w:szCs w:val="16"/>
              </w:rPr>
              <w:t>Fondas</w:t>
            </w:r>
          </w:p>
        </w:tc>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701834" w14:textId="77777777" w:rsidR="0087201A" w:rsidRPr="00B44B19" w:rsidRDefault="0087201A" w:rsidP="0087201A">
            <w:pPr>
              <w:jc w:val="center"/>
              <w:rPr>
                <w:b/>
                <w:iCs/>
                <w:noProof/>
                <w:sz w:val="16"/>
                <w:szCs w:val="16"/>
              </w:rPr>
            </w:pPr>
            <w:r w:rsidRPr="00B44B19">
              <w:rPr>
                <w:b/>
                <w:noProof/>
                <w:sz w:val="16"/>
                <w:szCs w:val="16"/>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5D4700" w14:textId="77777777" w:rsidR="0087201A" w:rsidRPr="00B44B19" w:rsidRDefault="0087201A" w:rsidP="0087201A">
            <w:pPr>
              <w:jc w:val="center"/>
              <w:rPr>
                <w:b/>
                <w:iCs/>
                <w:noProof/>
                <w:sz w:val="16"/>
                <w:szCs w:val="16"/>
              </w:rPr>
            </w:pPr>
            <w:r w:rsidRPr="00B44B19">
              <w:rPr>
                <w:b/>
                <w:noProof/>
                <w:sz w:val="16"/>
                <w:szCs w:val="16"/>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79A91C" w14:textId="77777777" w:rsidR="0087201A" w:rsidRPr="00B44B19" w:rsidRDefault="0087201A" w:rsidP="0087201A">
            <w:pPr>
              <w:jc w:val="center"/>
              <w:rPr>
                <w:b/>
                <w:iCs/>
                <w:noProof/>
                <w:sz w:val="16"/>
                <w:szCs w:val="16"/>
              </w:rPr>
            </w:pPr>
            <w:r w:rsidRPr="00B44B19">
              <w:rPr>
                <w:b/>
                <w:noProof/>
                <w:sz w:val="16"/>
                <w:szCs w:val="16"/>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597669" w14:textId="77777777" w:rsidR="0087201A" w:rsidRPr="00B44B19" w:rsidRDefault="0087201A" w:rsidP="0087201A">
            <w:pPr>
              <w:jc w:val="center"/>
              <w:rPr>
                <w:b/>
                <w:iCs/>
                <w:noProof/>
                <w:sz w:val="16"/>
                <w:szCs w:val="16"/>
              </w:rPr>
            </w:pPr>
            <w:r w:rsidRPr="00B44B19">
              <w:rPr>
                <w:b/>
                <w:noProof/>
                <w:sz w:val="16"/>
                <w:szCs w:val="16"/>
              </w:rPr>
              <w:t>Suma (EUR)</w:t>
            </w:r>
          </w:p>
        </w:tc>
      </w:tr>
      <w:tr w:rsidR="0087201A" w:rsidRPr="00B44B19" w14:paraId="3488CCF8" w14:textId="77777777" w:rsidTr="003040E3">
        <w:trPr>
          <w:trHeight w:val="300"/>
        </w:trPr>
        <w:tc>
          <w:tcPr>
            <w:tcW w:w="1101" w:type="dxa"/>
            <w:vMerge w:val="restart"/>
            <w:tcBorders>
              <w:top w:val="single" w:sz="12" w:space="0" w:color="auto"/>
            </w:tcBorders>
          </w:tcPr>
          <w:p w14:paraId="3C88475C" w14:textId="77777777" w:rsidR="0087201A" w:rsidRPr="00B44B19" w:rsidRDefault="0087201A" w:rsidP="0087201A">
            <w:pPr>
              <w:jc w:val="center"/>
              <w:rPr>
                <w:iCs/>
                <w:noProof/>
                <w:sz w:val="16"/>
                <w:szCs w:val="16"/>
              </w:rPr>
            </w:pPr>
            <w:r w:rsidRPr="00B44B19">
              <w:rPr>
                <w:iCs/>
                <w:noProof/>
                <w:sz w:val="16"/>
                <w:szCs w:val="16"/>
              </w:rPr>
              <w:t>15</w:t>
            </w:r>
          </w:p>
        </w:tc>
        <w:tc>
          <w:tcPr>
            <w:tcW w:w="915" w:type="dxa"/>
            <w:vMerge w:val="restart"/>
            <w:tcBorders>
              <w:top w:val="single" w:sz="12" w:space="0" w:color="auto"/>
            </w:tcBorders>
          </w:tcPr>
          <w:p w14:paraId="53265742" w14:textId="77777777" w:rsidR="0087201A" w:rsidRPr="00B44B19" w:rsidRDefault="0087201A" w:rsidP="0087201A">
            <w:pPr>
              <w:jc w:val="center"/>
              <w:rPr>
                <w:iCs/>
                <w:noProof/>
                <w:sz w:val="16"/>
                <w:szCs w:val="16"/>
              </w:rPr>
            </w:pPr>
            <w:r w:rsidRPr="00B44B19">
              <w:rPr>
                <w:iCs/>
                <w:noProof/>
                <w:sz w:val="16"/>
                <w:szCs w:val="16"/>
              </w:rPr>
              <w:t>ERPF</w:t>
            </w:r>
          </w:p>
        </w:tc>
        <w:tc>
          <w:tcPr>
            <w:tcW w:w="1069" w:type="dxa"/>
            <w:tcBorders>
              <w:top w:val="single" w:sz="2" w:space="0" w:color="auto"/>
              <w:left w:val="single" w:sz="2" w:space="0" w:color="auto"/>
              <w:bottom w:val="single" w:sz="2" w:space="0" w:color="auto"/>
              <w:right w:val="single" w:sz="2" w:space="0" w:color="auto"/>
            </w:tcBorders>
          </w:tcPr>
          <w:p w14:paraId="00EE59B8" w14:textId="77777777" w:rsidR="0087201A" w:rsidRPr="00B44B19" w:rsidRDefault="0087201A" w:rsidP="0087201A">
            <w:pPr>
              <w:rPr>
                <w:iCs/>
                <w:noProof/>
                <w:sz w:val="16"/>
                <w:szCs w:val="16"/>
              </w:rPr>
            </w:pPr>
            <w:r w:rsidRPr="00B44B19">
              <w:rPr>
                <w:noProof/>
                <w:sz w:val="16"/>
                <w:szCs w:val="16"/>
              </w:rPr>
              <w:t>Sostinės regionas</w:t>
            </w:r>
          </w:p>
        </w:tc>
        <w:tc>
          <w:tcPr>
            <w:tcW w:w="1134" w:type="dxa"/>
            <w:vMerge w:val="restart"/>
            <w:tcBorders>
              <w:top w:val="single" w:sz="12" w:space="0" w:color="auto"/>
            </w:tcBorders>
          </w:tcPr>
          <w:p w14:paraId="52F49A0B" w14:textId="77777777" w:rsidR="0087201A" w:rsidRPr="00B44B19" w:rsidRDefault="0087201A" w:rsidP="0087201A">
            <w:pPr>
              <w:jc w:val="center"/>
              <w:rPr>
                <w:iCs/>
                <w:noProof/>
                <w:sz w:val="16"/>
                <w:szCs w:val="16"/>
              </w:rPr>
            </w:pPr>
            <w:r w:rsidRPr="00B44B19">
              <w:rPr>
                <w:iCs/>
                <w:noProof/>
                <w:sz w:val="16"/>
                <w:szCs w:val="16"/>
              </w:rPr>
              <w:t>15.1</w:t>
            </w:r>
          </w:p>
        </w:tc>
        <w:tc>
          <w:tcPr>
            <w:tcW w:w="4021" w:type="dxa"/>
            <w:vMerge w:val="restart"/>
            <w:tcBorders>
              <w:top w:val="single" w:sz="12" w:space="0" w:color="auto"/>
            </w:tcBorders>
          </w:tcPr>
          <w:p w14:paraId="0CC68CAA" w14:textId="77777777" w:rsidR="0087201A" w:rsidRPr="00B44B19" w:rsidRDefault="0087201A" w:rsidP="0087201A">
            <w:pPr>
              <w:rPr>
                <w:iCs/>
                <w:noProof/>
                <w:sz w:val="16"/>
                <w:szCs w:val="16"/>
              </w:rPr>
            </w:pPr>
            <w:r w:rsidRPr="00B44B19">
              <w:rPr>
                <w:iCs/>
                <w:noProof/>
                <w:sz w:val="16"/>
                <w:szCs w:val="16"/>
              </w:rPr>
              <w:t>03 – Neutralumas lyties požiūriu</w:t>
            </w:r>
          </w:p>
        </w:tc>
        <w:tc>
          <w:tcPr>
            <w:tcW w:w="1507" w:type="dxa"/>
            <w:tcBorders>
              <w:top w:val="single" w:sz="2" w:space="0" w:color="auto"/>
              <w:left w:val="single" w:sz="2" w:space="0" w:color="auto"/>
              <w:bottom w:val="single" w:sz="2" w:space="0" w:color="auto"/>
              <w:right w:val="single" w:sz="2" w:space="0" w:color="auto"/>
            </w:tcBorders>
          </w:tcPr>
          <w:p w14:paraId="380F0D95" w14:textId="77777777" w:rsidR="0087201A" w:rsidRPr="00B44B19" w:rsidRDefault="0087201A" w:rsidP="0087201A">
            <w:pPr>
              <w:jc w:val="right"/>
              <w:rPr>
                <w:iCs/>
                <w:noProof/>
                <w:sz w:val="16"/>
                <w:szCs w:val="16"/>
              </w:rPr>
            </w:pPr>
            <w:r w:rsidRPr="00B44B19">
              <w:rPr>
                <w:sz w:val="16"/>
                <w:szCs w:val="16"/>
                <w:lang w:val="en-US"/>
              </w:rPr>
              <w:t>18 269 100,00</w:t>
            </w:r>
          </w:p>
        </w:tc>
      </w:tr>
      <w:tr w:rsidR="0087201A" w:rsidRPr="00B44B19" w14:paraId="6B73F22B" w14:textId="77777777" w:rsidTr="003040E3">
        <w:trPr>
          <w:trHeight w:val="300"/>
        </w:trPr>
        <w:tc>
          <w:tcPr>
            <w:tcW w:w="1101" w:type="dxa"/>
            <w:vMerge/>
          </w:tcPr>
          <w:p w14:paraId="7F2C16A3" w14:textId="77777777" w:rsidR="0087201A" w:rsidRPr="00B44B19" w:rsidRDefault="0087201A" w:rsidP="0087201A">
            <w:pPr>
              <w:jc w:val="center"/>
              <w:rPr>
                <w:iCs/>
                <w:noProof/>
                <w:sz w:val="16"/>
                <w:szCs w:val="16"/>
              </w:rPr>
            </w:pPr>
          </w:p>
        </w:tc>
        <w:tc>
          <w:tcPr>
            <w:tcW w:w="915" w:type="dxa"/>
            <w:vMerge/>
          </w:tcPr>
          <w:p w14:paraId="596D7588" w14:textId="77777777" w:rsidR="0087201A" w:rsidRPr="00B44B19" w:rsidRDefault="0087201A" w:rsidP="0087201A">
            <w:pPr>
              <w:jc w:val="center"/>
              <w:rPr>
                <w:iCs/>
                <w:noProof/>
                <w:sz w:val="16"/>
                <w:szCs w:val="16"/>
              </w:rPr>
            </w:pPr>
          </w:p>
        </w:tc>
        <w:tc>
          <w:tcPr>
            <w:tcW w:w="1069" w:type="dxa"/>
            <w:tcBorders>
              <w:top w:val="single" w:sz="2" w:space="0" w:color="auto"/>
              <w:bottom w:val="single" w:sz="2" w:space="0" w:color="auto"/>
            </w:tcBorders>
          </w:tcPr>
          <w:p w14:paraId="5742C83C" w14:textId="77777777" w:rsidR="0087201A" w:rsidRPr="00B44B19" w:rsidRDefault="0087201A" w:rsidP="0087201A">
            <w:pPr>
              <w:rPr>
                <w:iCs/>
                <w:noProof/>
                <w:sz w:val="16"/>
                <w:szCs w:val="16"/>
              </w:rPr>
            </w:pPr>
            <w:r w:rsidRPr="00B44B19">
              <w:rPr>
                <w:noProof/>
                <w:sz w:val="16"/>
                <w:szCs w:val="16"/>
              </w:rPr>
              <w:t>VVL regionas</w:t>
            </w:r>
          </w:p>
        </w:tc>
        <w:tc>
          <w:tcPr>
            <w:tcW w:w="1134" w:type="dxa"/>
            <w:vMerge/>
          </w:tcPr>
          <w:p w14:paraId="380879DE" w14:textId="77777777" w:rsidR="0087201A" w:rsidRPr="00B44B19" w:rsidRDefault="0087201A" w:rsidP="0087201A">
            <w:pPr>
              <w:jc w:val="center"/>
              <w:rPr>
                <w:iCs/>
                <w:noProof/>
                <w:sz w:val="16"/>
                <w:szCs w:val="16"/>
              </w:rPr>
            </w:pPr>
          </w:p>
        </w:tc>
        <w:tc>
          <w:tcPr>
            <w:tcW w:w="4021" w:type="dxa"/>
            <w:vMerge/>
          </w:tcPr>
          <w:p w14:paraId="38380BD8" w14:textId="77777777" w:rsidR="0087201A" w:rsidRPr="00B44B19" w:rsidRDefault="0087201A" w:rsidP="0087201A">
            <w:pPr>
              <w:rPr>
                <w:iCs/>
                <w:noProof/>
                <w:sz w:val="16"/>
                <w:szCs w:val="16"/>
              </w:rPr>
            </w:pPr>
          </w:p>
        </w:tc>
        <w:tc>
          <w:tcPr>
            <w:tcW w:w="1507" w:type="dxa"/>
            <w:tcBorders>
              <w:top w:val="single" w:sz="2" w:space="0" w:color="auto"/>
              <w:bottom w:val="single" w:sz="2" w:space="0" w:color="auto"/>
              <w:right w:val="single" w:sz="2" w:space="0" w:color="auto"/>
            </w:tcBorders>
          </w:tcPr>
          <w:p w14:paraId="592B4146" w14:textId="77777777" w:rsidR="0087201A" w:rsidRPr="00B44B19" w:rsidRDefault="0087201A" w:rsidP="0087201A">
            <w:pPr>
              <w:jc w:val="right"/>
              <w:rPr>
                <w:iCs/>
                <w:noProof/>
                <w:sz w:val="16"/>
                <w:szCs w:val="16"/>
              </w:rPr>
            </w:pPr>
            <w:r w:rsidRPr="00B44B19">
              <w:rPr>
                <w:sz w:val="16"/>
                <w:szCs w:val="16"/>
              </w:rPr>
              <w:t>119 230 900,00</w:t>
            </w:r>
          </w:p>
        </w:tc>
      </w:tr>
    </w:tbl>
    <w:p w14:paraId="5A1E505C" w14:textId="77777777" w:rsidR="0087201A" w:rsidRPr="00B44B19" w:rsidRDefault="0087201A" w:rsidP="0087201A">
      <w:pPr>
        <w:tabs>
          <w:tab w:val="center" w:pos="4819"/>
          <w:tab w:val="right" w:pos="9638"/>
        </w:tabs>
        <w:spacing w:before="120" w:after="120" w:line="240" w:lineRule="auto"/>
        <w:rPr>
          <w:rFonts w:eastAsia="Times New Roman" w:cs="Times New Roman"/>
        </w:rPr>
      </w:pPr>
    </w:p>
    <w:p w14:paraId="57FDB342" w14:textId="77777777" w:rsidR="0087201A" w:rsidRPr="00B44B19" w:rsidRDefault="0087201A" w:rsidP="0087201A">
      <w:pPr>
        <w:rPr>
          <w:rFonts w:eastAsia="Times New Roman" w:cs="Times New Roman"/>
        </w:rPr>
      </w:pPr>
      <w:r w:rsidRPr="00B44B19">
        <w:rPr>
          <w:rFonts w:eastAsia="Times New Roman" w:cs="Times New Roman"/>
        </w:rPr>
        <w:br w:type="page"/>
      </w:r>
    </w:p>
    <w:p w14:paraId="3AD2E303" w14:textId="77777777" w:rsidR="0087201A" w:rsidRPr="00B44B19" w:rsidRDefault="0087201A" w:rsidP="00D456C1">
      <w:pPr>
        <w:pStyle w:val="Antrat1"/>
      </w:pPr>
      <w:bookmarkStart w:id="93" w:name="_Toc223435459"/>
      <w:r w:rsidRPr="00B44B19">
        <w:lastRenderedPageBreak/>
        <w:t>16. specialus prioritetas. Civilinės parengties įgūdžių, rengiantis ekstremaliosioms situacijoms ir grėsmėms, stiprinimaS</w:t>
      </w:r>
      <w:bookmarkEnd w:id="93"/>
    </w:p>
    <w:p w14:paraId="475BC37B" w14:textId="77777777" w:rsidR="0087201A" w:rsidRPr="00B44B19" w:rsidRDefault="0087201A" w:rsidP="00D456C1">
      <w:pPr>
        <w:pStyle w:val="Antrat2"/>
        <w:rPr>
          <w:color w:val="EE0000"/>
        </w:rPr>
      </w:pPr>
      <w:bookmarkStart w:id="94" w:name="_Toc223435460"/>
      <w:r w:rsidRPr="00B44B19">
        <w:t>Konkretus uždavinys – 16.1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bookmarkEnd w:id="94"/>
    </w:p>
    <w:p w14:paraId="266713E9"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Įgyvendinamos veiklos</w:t>
      </w:r>
    </w:p>
    <w:tbl>
      <w:tblPr>
        <w:tblStyle w:val="Lentelstinklelis211"/>
        <w:tblW w:w="9634" w:type="dxa"/>
        <w:tblLook w:val="04A0" w:firstRow="1" w:lastRow="0" w:firstColumn="1" w:lastColumn="0" w:noHBand="0" w:noVBand="1"/>
      </w:tblPr>
      <w:tblGrid>
        <w:gridCol w:w="9634"/>
      </w:tblGrid>
      <w:tr w:rsidR="0087201A" w:rsidRPr="00B44B19" w14:paraId="176495B2" w14:textId="77777777" w:rsidTr="003040E3">
        <w:trPr>
          <w:trHeight w:val="283"/>
        </w:trPr>
        <w:tc>
          <w:tcPr>
            <w:tcW w:w="9634" w:type="dxa"/>
          </w:tcPr>
          <w:p w14:paraId="5B739D65"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Uždavinio veiklos orientuotos į civilinės saugos įgūdžių stiprinimą Lietuvoje, derinant sveikatos priežiūros specialistų profesinių kompetencijų didinimą ir gyventojų parengtį ekstremaliosioms situacijoms. Tokiu būdu siekiama užtikrinti, kad kilus krizėms ar konflikto grėsmėms, būtų išlaikytas sveikatos sistemos veiklos tęstinumas, o gyventojai turėtų praktinių įgūdžių savarankiškai ir koordinuotai reaguoti į įvairias grėsmes. </w:t>
            </w:r>
          </w:p>
          <w:p w14:paraId="7D6A1E07"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Ekstremaliosios situacijos, įvairių krizių ar konflikto atveju medicinos personalas susidurtų su dideliais iššūkiais atliepiant reikiamų sveikatos priežiūros paslaugų teikimo poreikį ir mastą. Trys didžiosios pastarųjų metų krizės (COVID-19 pandemija, migracijos krizė Baltarusijos pasienyje bei karas Ukrainoje) parodė medicinos personalo, gebančio operatyviai ir koordinuotai teikti asmens sveikatos priežiūros paslaugas, svarbą. Siekiant išlaikyti reikiamą sveikatos priežiūros paslaugų apimtį, kokybę, efektyvumą ir mastą, būtina planuoti ir numatyti specifinius mokymus kompetencijų ir įgūdžių didinimui. Keičiantis geopolitinei situacijai bei atsižvelgiant į Ukrainos patirtį, kritiškai svarbu tinkamai paruošti medicinos darbuotojus, gebančius operatyviai ir koordinuotai teikti asmens sveikatos priežiūros paslaugas ekstremaliosios situacijos, krizių ar konflikto atvejais. Šiuo metu sveikatos priežiūros specialistus ruošiančios universitetų programos neapima specifinių žinių, kurios yra kritinės organizuojant medicininį evakavimą, pažangų traumų valdymą ar reikiamus chirurginius įgūdžius. Ypač svarbios tampa taktinės medicinos bei šiuolaikinių pirmosios pagalbos principų mišrių traumų atveju žinios bei įgūdžiai sveikatos priežiūros specialistams. Krizių, ekstremaliosios situacijos ar konflikto metu labai svarbi savanorių pagalba teikiant pirmąją pagalbą, pirmąją psichologinę pagalbą. Todėl būtina plėtoti specialistų ir gyventojų mokymosi visą gyvenimą galimybes, siekiant atliepti naujus gebėjimų poreikius – stiprinti pasirengimą krizių grėsmėms ir kitiems pavojams.  </w:t>
            </w:r>
          </w:p>
          <w:p w14:paraId="6B0EF9C9"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Civilinės saugos įgūdžiai aktualūs visiems gyventojams, tačiau ypatingą reikšmę jie turi socialiai pažeidžiamoms ir socialinę riziką patiriančioms grupėms, kurios dažnai turi mažiau galimybių gauti tinkamą informaciją ir įgyti praktinių įgūdžių. Atsižvelgiant į tai, numatoma veikla per vietos plėtros strategijas, skirta vietos gyventojų civilinės parengties ir civilinės saugos įgūdžių stiprinimui. </w:t>
            </w:r>
          </w:p>
          <w:p w14:paraId="38918EFA"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Veiksmai, siekiant skatinti civilinės parengties įgūdžius: </w:t>
            </w:r>
          </w:p>
          <w:p w14:paraId="4326E982"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rPr>
              <w:t>Stiprinti sveikatos priežiūros ir kitų sveikatos srityje dirbančių specialistų taktinės medicinos žinias ir specialiąsias kompetencijas, didinti gyventojų sveikatos raštingumą:</w:t>
            </w:r>
            <w:r w:rsidRPr="00B44B19">
              <w:rPr>
                <w:rFonts w:ascii="Times New Roman" w:hAnsi="Times New Roman" w:cs="Times New Roman"/>
              </w:rPr>
              <w:t> sveikatos priežiūros specialistų ir kitų specialistų kvalifikacijos tobulinimas, įskaitant taktinę mediciną, siekiant paruošti specialistus operatyviai ir koordinuotai teikti sveikatos priežiūros paslaugas ekstremaliosios situacijos, krizių ar konflikto atvejais; gyventojų sveikatos raštingumo didinimo mokymai, finansuojant pirmosios pagalbos ir pirmosios psichologinės pagalbos mokymus, taip siekiant sustiprinti visuomenės pirmosios pagalbos ir pirmosios psichologinės pagalbos teikimo įgūdžius, kad jie galėtų efektyviai ir greitai reaguoti į nelaimingus atsitikimus ir mokėtų elgtis ekstremalių situacijų ir krizių metu. Ši veikla įgyvendinama visoje Lietuvoje, gali būti vykdoma ne Lietuvos Respublikoje. </w:t>
            </w:r>
          </w:p>
          <w:p w14:paraId="46D8EE27"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rPr>
              <w:t>Stiprinti vietos gyventojų pasirengimą ekstremaliosioms situacijoms ir grėsmėms: </w:t>
            </w:r>
            <w:r w:rsidRPr="00B44B19">
              <w:rPr>
                <w:rFonts w:ascii="Times New Roman" w:hAnsi="Times New Roman" w:cs="Times New Roman"/>
              </w:rPr>
              <w:t>įgyvendinant vietos plėtros strategijas bus</w:t>
            </w:r>
            <w:r w:rsidRPr="00B44B19">
              <w:rPr>
                <w:rFonts w:ascii="Times New Roman" w:hAnsi="Times New Roman" w:cs="Times New Roman"/>
                <w:b/>
                <w:bCs/>
              </w:rPr>
              <w:t> </w:t>
            </w:r>
            <w:r w:rsidRPr="00B44B19">
              <w:rPr>
                <w:rFonts w:ascii="Times New Roman" w:hAnsi="Times New Roman" w:cs="Times New Roman"/>
              </w:rPr>
              <w:t>organizuojamos įvairios edukacinės ir prevencinės programos, skirtos vykdyti gyventojų švietimą civilinės saugos klausimais bei apimančios teorinius, simuliacinius ir praktinius užsiėmimus, skirtus </w:t>
            </w:r>
            <w:r w:rsidRPr="00B44B19">
              <w:rPr>
                <w:rFonts w:ascii="Times New Roman" w:hAnsi="Times New Roman" w:cs="Times New Roman"/>
                <w:b/>
                <w:bCs/>
              </w:rPr>
              <w:t>gyventojų civilinės saugos įgūdžių stiprinimui, krizių valdymo efektyvumui ir bendruomenių atsparumui stiprinti</w:t>
            </w:r>
            <w:r w:rsidRPr="00B44B19">
              <w:rPr>
                <w:rFonts w:ascii="Times New Roman" w:hAnsi="Times New Roman" w:cs="Times New Roman"/>
              </w:rPr>
              <w:t xml:space="preserve">. Veikla orientuota į savarankiškumo ugdymą, savitarpio pagalbos skatinimą ir gyventojų pasirengimą netikėtoms situacijoms, įtraukiant socialiai </w:t>
            </w:r>
            <w:r w:rsidRPr="00B44B19">
              <w:rPr>
                <w:rFonts w:ascii="Times New Roman" w:hAnsi="Times New Roman" w:cs="Times New Roman"/>
              </w:rPr>
              <w:lastRenderedPageBreak/>
              <w:t>pažeidžiamas, socialinę riziką (atskirtį) patiriančių asmenų grupes.  Ši veikla įgyvendinama Sostinės ir VVL regionuose. </w:t>
            </w:r>
          </w:p>
          <w:p w14:paraId="0B35246A"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Uždavinio veiklos (veiksmų rūšys) įvertintos vadovaujantis EGADP NRŽ gairėmis, todėl laikoma, kad atitinka NRŽ principą. </w:t>
            </w:r>
          </w:p>
          <w:p w14:paraId="10C2AC9C" w14:textId="77777777" w:rsidR="0087201A" w:rsidRPr="00B44B19" w:rsidRDefault="0087201A" w:rsidP="002E0230">
            <w:pPr>
              <w:tabs>
                <w:tab w:val="left" w:pos="6379"/>
              </w:tabs>
              <w:spacing w:before="60" w:after="60"/>
              <w:rPr>
                <w:rFonts w:ascii="Times New Roman" w:hAnsi="Times New Roman" w:cs="Times New Roman"/>
              </w:rPr>
            </w:pPr>
          </w:p>
        </w:tc>
      </w:tr>
    </w:tbl>
    <w:p w14:paraId="08CF89E9"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lastRenderedPageBreak/>
        <w:t>Pagrindinės tikslinės grupės</w:t>
      </w:r>
    </w:p>
    <w:tbl>
      <w:tblPr>
        <w:tblStyle w:val="Lentelstinklelis211"/>
        <w:tblW w:w="9634" w:type="dxa"/>
        <w:tblLook w:val="04A0" w:firstRow="1" w:lastRow="0" w:firstColumn="1" w:lastColumn="0" w:noHBand="0" w:noVBand="1"/>
      </w:tblPr>
      <w:tblGrid>
        <w:gridCol w:w="9634"/>
      </w:tblGrid>
      <w:tr w:rsidR="0087201A" w:rsidRPr="00B44B19" w14:paraId="41AB8907" w14:textId="77777777" w:rsidTr="003040E3">
        <w:tc>
          <w:tcPr>
            <w:tcW w:w="9634" w:type="dxa"/>
          </w:tcPr>
          <w:p w14:paraId="1CEA649F" w14:textId="77777777" w:rsidR="0087201A" w:rsidRPr="00B44B19" w:rsidRDefault="0087201A" w:rsidP="002E0230">
            <w:pPr>
              <w:autoSpaceDE w:val="0"/>
              <w:autoSpaceDN w:val="0"/>
              <w:adjustRightInd w:val="0"/>
              <w:spacing w:before="60" w:after="60"/>
              <w:jc w:val="both"/>
              <w:rPr>
                <w:rFonts w:ascii="Times New Roman" w:hAnsi="Times New Roman" w:cs="Times New Roman"/>
                <w:color w:val="000000"/>
              </w:rPr>
            </w:pPr>
            <w:r w:rsidRPr="00B44B19">
              <w:rPr>
                <w:rFonts w:ascii="Times New Roman" w:hAnsi="Times New Roman" w:cs="Times New Roman"/>
                <w:b/>
                <w:bCs/>
                <w:color w:val="000000"/>
              </w:rPr>
              <w:t>Stiprinti sveikatos priežiūros ir kitų sveikatos srityje dirbančių specialistų taktinės medicinos žinias ir specialiąsias kompetencijas, didinti gyventojų sveikatos raštingumą:</w:t>
            </w:r>
            <w:r w:rsidRPr="00B44B19">
              <w:rPr>
                <w:rFonts w:ascii="Times New Roman" w:hAnsi="Times New Roman" w:cs="Times New Roman"/>
                <w:color w:val="000000"/>
              </w:rPr>
              <w:t xml:space="preserve"> sveikatos priežiūros ir kiti sveikatos srityje dirbantys specialistai, 16 metų ir vyresni gyventojai.</w:t>
            </w:r>
          </w:p>
          <w:p w14:paraId="6722EB58" w14:textId="77777777" w:rsidR="0087201A" w:rsidRPr="00B44B19" w:rsidRDefault="0087201A" w:rsidP="002E0230">
            <w:pPr>
              <w:autoSpaceDE w:val="0"/>
              <w:autoSpaceDN w:val="0"/>
              <w:adjustRightInd w:val="0"/>
              <w:spacing w:before="60" w:after="60"/>
              <w:jc w:val="both"/>
              <w:rPr>
                <w:rFonts w:ascii="Times New Roman" w:hAnsi="Times New Roman" w:cs="Times New Roman"/>
                <w:color w:val="000000"/>
              </w:rPr>
            </w:pPr>
            <w:r w:rsidRPr="00B44B19">
              <w:rPr>
                <w:rFonts w:ascii="Times New Roman" w:hAnsi="Times New Roman" w:cs="Times New Roman"/>
                <w:b/>
                <w:bCs/>
                <w:color w:val="000000" w:themeColor="text1"/>
              </w:rPr>
              <w:t xml:space="preserve">Stiprinti vietos gyventojų pasirengimą ekstremaliosioms situacijoms ir grėsmėms: </w:t>
            </w:r>
            <w:r w:rsidRPr="00B44B19">
              <w:rPr>
                <w:rFonts w:ascii="Times New Roman" w:hAnsi="Times New Roman" w:cs="Times New Roman"/>
                <w:b/>
                <w:bCs/>
                <w:noProof/>
                <w:color w:val="000000" w:themeColor="text1"/>
              </w:rPr>
              <w:t>vietos gyventojai, įskaitant ir socialinę riziką (atskirtį) patiriančių asmenų grupes</w:t>
            </w:r>
            <w:r w:rsidRPr="00B44B19">
              <w:rPr>
                <w:rFonts w:ascii="Times New Roman" w:hAnsi="Times New Roman" w:cs="Times New Roman"/>
                <w:noProof/>
                <w:color w:val="000000"/>
              </w:rPr>
              <w:t xml:space="preserve"> (asmenys, besiruošiantys išeiti ir išėję iš įkalinimo vietų; mažiau galimybių turintis jaunimas; smurtą patiriantys asmenys; socialinę riziką patiriantys suaugę asmenys, vaikai ir šeimos; asmenys su negalia; senyvo amžiaus asmenys; nepasiturintys asmenys ir šeimos; daugiavaikių šeimų nariai ir pan.)</w:t>
            </w:r>
            <w:r w:rsidRPr="00B44B19">
              <w:rPr>
                <w:rFonts w:ascii="Times New Roman" w:hAnsi="Times New Roman" w:cs="Times New Roman"/>
                <w:noProof/>
                <w:color w:val="000000"/>
                <w:lang w:eastAsia="lt-LT"/>
              </w:rPr>
              <w:t>.</w:t>
            </w:r>
          </w:p>
        </w:tc>
      </w:tr>
    </w:tbl>
    <w:p w14:paraId="6CB4A742"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lang w:eastAsia="lt-LT"/>
        </w:rPr>
      </w:pPr>
      <w:r w:rsidRPr="00B44B19">
        <w:rPr>
          <w:rFonts w:eastAsia="Times New Roman" w:cs="Times New Roman"/>
          <w:b/>
          <w:i/>
          <w:noProof/>
          <w:color w:val="1F497D" w:themeColor="text2"/>
          <w:lang w:eastAsia="lt-LT"/>
        </w:rPr>
        <w:t xml:space="preserve">Veiksmai, užtikrinantys lygybę, įtrauktį ir nediskriminavimą </w:t>
      </w:r>
    </w:p>
    <w:tbl>
      <w:tblPr>
        <w:tblStyle w:val="Lentelstinklelis47"/>
        <w:tblW w:w="9634" w:type="dxa"/>
        <w:tblLook w:val="04A0" w:firstRow="1" w:lastRow="0" w:firstColumn="1" w:lastColumn="0" w:noHBand="0" w:noVBand="1"/>
      </w:tblPr>
      <w:tblGrid>
        <w:gridCol w:w="9634"/>
      </w:tblGrid>
      <w:tr w:rsidR="0087201A" w:rsidRPr="00B44B19" w14:paraId="3FFCC93C" w14:textId="77777777" w:rsidTr="003040E3">
        <w:trPr>
          <w:trHeight w:val="82"/>
        </w:trPr>
        <w:tc>
          <w:tcPr>
            <w:tcW w:w="9634" w:type="dxa"/>
          </w:tcPr>
          <w:p w14:paraId="69818762" w14:textId="77777777" w:rsidR="0087201A" w:rsidRPr="00B44B19" w:rsidRDefault="0087201A" w:rsidP="002E0230">
            <w:pPr>
              <w:tabs>
                <w:tab w:val="center" w:pos="4819"/>
                <w:tab w:val="right" w:pos="9638"/>
              </w:tabs>
              <w:spacing w:before="60" w:after="60"/>
              <w:jc w:val="both"/>
              <w:rPr>
                <w:rFonts w:cs="Times New Roman"/>
                <w:sz w:val="22"/>
              </w:rPr>
            </w:pPr>
            <w:r w:rsidRPr="00B44B19">
              <w:rPr>
                <w:rFonts w:cs="Times New Roman"/>
                <w:sz w:val="22"/>
              </w:rPr>
              <w:t>Vykdant numatytas veiklas bus siekiama užtikrinti lygybės, įtraukties ir nediskriminavimo principus.</w:t>
            </w:r>
          </w:p>
          <w:p w14:paraId="2933B6E9" w14:textId="77777777" w:rsidR="0087201A" w:rsidRPr="00B44B19" w:rsidRDefault="0087201A" w:rsidP="002E0230">
            <w:pPr>
              <w:keepNext/>
              <w:keepLines/>
              <w:tabs>
                <w:tab w:val="left" w:pos="6379"/>
              </w:tabs>
              <w:spacing w:before="60" w:after="60"/>
              <w:jc w:val="both"/>
              <w:outlineLvl w:val="3"/>
              <w:rPr>
                <w:rFonts w:eastAsiaTheme="majorEastAsia" w:cs="Times New Roman"/>
                <w:bCs/>
                <w:iCs/>
                <w:color w:val="000000" w:themeColor="text1"/>
                <w:sz w:val="22"/>
              </w:rPr>
            </w:pPr>
            <w:r w:rsidRPr="00B44B19">
              <w:rPr>
                <w:rFonts w:eastAsiaTheme="majorEastAsia" w:cs="Times New Roman"/>
                <w:b/>
                <w:bCs/>
                <w:color w:val="000000" w:themeColor="text1"/>
                <w:sz w:val="22"/>
              </w:rPr>
              <w:t>Stiprinti vietos gyventojų pasirengimą ekstremaliosioms situacijoms ir grėsmėms:</w:t>
            </w:r>
            <w:r w:rsidRPr="00B44B19">
              <w:rPr>
                <w:rFonts w:eastAsiaTheme="majorEastAsia" w:cs="Times New Roman"/>
                <w:b/>
                <w:bCs/>
                <w:i/>
                <w:iCs/>
                <w:color w:val="000000" w:themeColor="text1"/>
                <w:sz w:val="22"/>
              </w:rPr>
              <w:t xml:space="preserve"> </w:t>
            </w:r>
            <w:r w:rsidRPr="00B44B19">
              <w:rPr>
                <w:rFonts w:eastAsiaTheme="majorEastAsia" w:cs="Times New Roman"/>
                <w:bCs/>
                <w:iCs/>
                <w:color w:val="000000" w:themeColor="text1"/>
                <w:sz w:val="22"/>
              </w:rPr>
              <w:t>vykdant veiklą užtikrinama, kad bus laikomasi lygių galimybių principo, projektų veiklos ir rezultatai bus prieinami įvairių poreikių turintiems asmenims (pvz.: projektų veiklos organizuojamos patalpose, prieinamose judėjimo, regos ar kitą negalią turintiems asmenims; vykdant projektų veiklas prireikus užtikrinamas vertimas į gestų ar kitą kalbą), o į veiklas kartu su socialinę riziką (atskirtį) patiriančiais asmenimis bus įtraukti ir kiti bendruomenės nariai. Taip sudaromos sąlygos užmegzti draugiškus ryšius su kitais bendruomenės nariais, gauti pagalbą ekstremalių situacijų ar krizių metu bei didinti informacijos prieinamumą.</w:t>
            </w:r>
          </w:p>
        </w:tc>
      </w:tr>
    </w:tbl>
    <w:p w14:paraId="5FC0CC4D"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Konkrečios tikslinės teritorijos, įskaitant planuojamą teritorinių priemonių panaudojimą</w:t>
      </w:r>
    </w:p>
    <w:tbl>
      <w:tblPr>
        <w:tblStyle w:val="Lentelstinklelis211"/>
        <w:tblW w:w="9634" w:type="dxa"/>
        <w:tblLook w:val="04A0" w:firstRow="1" w:lastRow="0" w:firstColumn="1" w:lastColumn="0" w:noHBand="0" w:noVBand="1"/>
      </w:tblPr>
      <w:tblGrid>
        <w:gridCol w:w="9634"/>
      </w:tblGrid>
      <w:tr w:rsidR="0087201A" w:rsidRPr="00B44B19" w14:paraId="10AD9696" w14:textId="77777777" w:rsidTr="003040E3">
        <w:tc>
          <w:tcPr>
            <w:tcW w:w="9634" w:type="dxa"/>
          </w:tcPr>
          <w:p w14:paraId="026A8715"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rPr>
              <w:t>Stiprinti sveikatos priežiūros ir kitų sveikatos srityje dirbančių specialistų taktinės medicinos žinias ir specialiąsias kompetencijas, didinti gyventojų sveikatos raštingumą:</w:t>
            </w:r>
            <w:r w:rsidRPr="00B44B19">
              <w:rPr>
                <w:rFonts w:ascii="Times New Roman" w:hAnsi="Times New Roman" w:cs="Times New Roman"/>
              </w:rPr>
              <w:t xml:space="preserve"> </w:t>
            </w:r>
            <w:r w:rsidRPr="00B44B19">
              <w:rPr>
                <w:rFonts w:ascii="Times New Roman" w:hAnsi="Times New Roman" w:cs="Times New Roman"/>
                <w:spacing w:val="-4"/>
              </w:rPr>
              <w:t>VVL regionas,</w:t>
            </w:r>
            <w:r w:rsidRPr="00B44B19">
              <w:rPr>
                <w:rFonts w:ascii="Times New Roman" w:hAnsi="Times New Roman" w:cs="Times New Roman"/>
              </w:rPr>
              <w:t xml:space="preserve"> </w:t>
            </w:r>
            <w:r w:rsidRPr="00B44B19">
              <w:rPr>
                <w:rFonts w:ascii="Times New Roman" w:hAnsi="Times New Roman" w:cs="Times New Roman"/>
                <w:spacing w:val="-4"/>
              </w:rPr>
              <w:t xml:space="preserve">Sostinės regionas. </w:t>
            </w:r>
            <w:r w:rsidRPr="00B44B19">
              <w:rPr>
                <w:rFonts w:ascii="Times New Roman" w:hAnsi="Times New Roman" w:cs="Times New Roman"/>
              </w:rPr>
              <w:t>Veiksmas, skirtas Lietuvos sveikatos specialistų kompetencijų ir įgūdžių stiprinimui, gali būti vykdomas ir ne Lietuvos Respublikoje.</w:t>
            </w:r>
          </w:p>
          <w:p w14:paraId="4BCCF3B0" w14:textId="77777777" w:rsidR="0087201A" w:rsidRPr="00B44B19" w:rsidRDefault="0087201A" w:rsidP="002E0230">
            <w:pPr>
              <w:spacing w:before="60" w:after="60"/>
              <w:jc w:val="both"/>
              <w:rPr>
                <w:rFonts w:ascii="Times New Roman" w:hAnsi="Times New Roman" w:cs="Times New Roman"/>
                <w:iCs/>
                <w:spacing w:val="-4"/>
              </w:rPr>
            </w:pPr>
            <w:r w:rsidRPr="00B44B19">
              <w:rPr>
                <w:rFonts w:ascii="Times New Roman" w:hAnsi="Times New Roman" w:cs="Times New Roman"/>
                <w:b/>
                <w:bCs/>
                <w:color w:val="000000" w:themeColor="text1"/>
              </w:rPr>
              <w:t>Stiprinti vietos gyventojų pasirengimą ekstremaliosioms situacijoms ir grėsmėms: </w:t>
            </w:r>
            <w:r w:rsidRPr="00B44B19">
              <w:rPr>
                <w:rFonts w:ascii="Times New Roman" w:hAnsi="Times New Roman" w:cs="Times New Roman"/>
                <w:color w:val="000000" w:themeColor="text1"/>
              </w:rPr>
              <w:t>veikla bus įgyvendinama taikant integruoto teritorijų vystymo metodo BIVP formą tikslinėse teritorijose: miestuose, kurie yra savivaldybių centrai ir (arba) kuriuose gyvena daugiau nei 6 tūkst. gyventojų, ir miesto daliai, kurioje gyvena nuo 6 iki 150 tūkstančių gyventojų. Ši veikla bus įgyvendinama abiejuose regionuose (sostinės ir VVL regionuose). </w:t>
            </w:r>
          </w:p>
        </w:tc>
      </w:tr>
    </w:tbl>
    <w:p w14:paraId="6E76B555"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Tarpregioniniai, tarp sienų ir tarpvalstybiniai veiksmai</w:t>
      </w:r>
    </w:p>
    <w:tbl>
      <w:tblPr>
        <w:tblStyle w:val="Lentelstinklelis211"/>
        <w:tblW w:w="9634" w:type="dxa"/>
        <w:tblLook w:val="04A0" w:firstRow="1" w:lastRow="0" w:firstColumn="1" w:lastColumn="0" w:noHBand="0" w:noVBand="1"/>
      </w:tblPr>
      <w:tblGrid>
        <w:gridCol w:w="9634"/>
      </w:tblGrid>
      <w:tr w:rsidR="0087201A" w:rsidRPr="00B44B19" w14:paraId="2E8660A9" w14:textId="77777777" w:rsidTr="003040E3">
        <w:tc>
          <w:tcPr>
            <w:tcW w:w="9634" w:type="dxa"/>
          </w:tcPr>
          <w:p w14:paraId="5B176A99"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rPr>
              <w:t>Numatoma sudaryti visas galimybes prireikus juos atlikti.</w:t>
            </w:r>
          </w:p>
          <w:p w14:paraId="2C615F00" w14:textId="77777777" w:rsidR="0087201A" w:rsidRPr="00B44B19" w:rsidRDefault="0087201A" w:rsidP="002E0230">
            <w:pPr>
              <w:spacing w:before="60" w:after="60"/>
              <w:jc w:val="both"/>
              <w:rPr>
                <w:rFonts w:ascii="Times New Roman" w:hAnsi="Times New Roman" w:cs="Times New Roman"/>
              </w:rPr>
            </w:pPr>
            <w:r w:rsidRPr="00B44B19">
              <w:rPr>
                <w:rFonts w:ascii="Times New Roman" w:hAnsi="Times New Roman" w:cs="Times New Roman"/>
                <w:b/>
                <w:bCs/>
                <w:color w:val="000000" w:themeColor="text1"/>
              </w:rPr>
              <w:t xml:space="preserve">Stiprinti vietos gyventojų pasirengimą ekstremaliosioms situacijoms ir grėsmėms: </w:t>
            </w:r>
            <w:r w:rsidRPr="00B44B19">
              <w:rPr>
                <w:rFonts w:ascii="Times New Roman" w:hAnsi="Times New Roman" w:cs="Times New Roman"/>
                <w:noProof/>
              </w:rPr>
              <w:t>siekiant ETBT tikslo programų ir IV prioriteto, š</w:t>
            </w:r>
            <w:r w:rsidRPr="00B44B19">
              <w:rPr>
                <w:rFonts w:ascii="Times New Roman" w:hAnsi="Times New Roman" w:cs="Times New Roman"/>
              </w:rPr>
              <w:t>alies pasienyje veikiančios VVG bus skatinamos bendradarbiauti ir perimti patirtį iš panašiuose pasienio ruožuose veikiančių miestų civilinės saugos srityje.</w:t>
            </w:r>
          </w:p>
        </w:tc>
      </w:tr>
    </w:tbl>
    <w:p w14:paraId="74370F2E" w14:textId="77777777" w:rsidR="0087201A" w:rsidRPr="00B44B19" w:rsidRDefault="0087201A" w:rsidP="0087201A">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t>Planuojamas finansinių priemonių naudojimas</w:t>
      </w:r>
    </w:p>
    <w:tbl>
      <w:tblPr>
        <w:tblStyle w:val="Lentelstinklelis211"/>
        <w:tblW w:w="9634" w:type="dxa"/>
        <w:tblLook w:val="04A0" w:firstRow="1" w:lastRow="0" w:firstColumn="1" w:lastColumn="0" w:noHBand="0" w:noVBand="1"/>
      </w:tblPr>
      <w:tblGrid>
        <w:gridCol w:w="9634"/>
      </w:tblGrid>
      <w:tr w:rsidR="0087201A" w:rsidRPr="00B44B19" w14:paraId="78BDFE23" w14:textId="77777777" w:rsidTr="003040E3">
        <w:tc>
          <w:tcPr>
            <w:tcW w:w="9634" w:type="dxa"/>
          </w:tcPr>
          <w:p w14:paraId="7F4E451A" w14:textId="77777777" w:rsidR="0087201A" w:rsidRPr="00B44B19" w:rsidRDefault="0087201A" w:rsidP="0087201A">
            <w:pPr>
              <w:spacing w:before="120" w:after="120"/>
              <w:jc w:val="both"/>
              <w:rPr>
                <w:rFonts w:ascii="Times New Roman" w:hAnsi="Times New Roman" w:cs="Times New Roman"/>
                <w:lang w:eastAsia="lt-LT"/>
              </w:rPr>
            </w:pPr>
            <w:r w:rsidRPr="00B44B19">
              <w:rPr>
                <w:rFonts w:ascii="Times New Roman" w:hAnsi="Times New Roman" w:cs="Times New Roman"/>
                <w:lang w:eastAsia="lt-LT"/>
              </w:rPr>
              <w:t>-</w:t>
            </w:r>
          </w:p>
        </w:tc>
      </w:tr>
    </w:tbl>
    <w:p w14:paraId="406A0EBC" w14:textId="77777777" w:rsidR="00D27D25" w:rsidRPr="00B44B19" w:rsidRDefault="00D27D25" w:rsidP="00D27D25">
      <w:pPr>
        <w:tabs>
          <w:tab w:val="center" w:pos="4819"/>
          <w:tab w:val="right" w:pos="9638"/>
        </w:tabs>
        <w:spacing w:before="120" w:after="120" w:line="240" w:lineRule="auto"/>
        <w:rPr>
          <w:rFonts w:eastAsia="Times New Roman" w:cs="Times New Roman"/>
          <w:b/>
          <w:i/>
          <w:color w:val="1F497D" w:themeColor="text2"/>
        </w:rPr>
      </w:pPr>
    </w:p>
    <w:p w14:paraId="61A91A30" w14:textId="77777777" w:rsidR="00D27D25" w:rsidRPr="00B44B19" w:rsidRDefault="00D27D25" w:rsidP="00D27D25">
      <w:pPr>
        <w:tabs>
          <w:tab w:val="center" w:pos="4819"/>
          <w:tab w:val="right" w:pos="9638"/>
        </w:tabs>
        <w:spacing w:before="120" w:after="120" w:line="240" w:lineRule="auto"/>
        <w:rPr>
          <w:rFonts w:eastAsia="Times New Roman" w:cs="Times New Roman"/>
          <w:b/>
          <w:i/>
          <w:color w:val="1F497D" w:themeColor="text2"/>
        </w:rPr>
      </w:pPr>
    </w:p>
    <w:p w14:paraId="57E773BB" w14:textId="77777777" w:rsidR="00D27D25" w:rsidRPr="00B44B19" w:rsidRDefault="00D27D25" w:rsidP="00D27D25">
      <w:pPr>
        <w:tabs>
          <w:tab w:val="center" w:pos="4819"/>
          <w:tab w:val="right" w:pos="9638"/>
        </w:tabs>
        <w:spacing w:before="120" w:after="120" w:line="240" w:lineRule="auto"/>
        <w:rPr>
          <w:rFonts w:eastAsia="Times New Roman" w:cs="Times New Roman"/>
          <w:b/>
          <w:i/>
          <w:color w:val="1F497D" w:themeColor="text2"/>
        </w:rPr>
      </w:pPr>
    </w:p>
    <w:p w14:paraId="3C2826D1" w14:textId="77777777" w:rsidR="00D27D25" w:rsidRPr="00B44B19" w:rsidRDefault="00D27D25" w:rsidP="00D27D25">
      <w:pPr>
        <w:tabs>
          <w:tab w:val="center" w:pos="4819"/>
          <w:tab w:val="right" w:pos="9638"/>
        </w:tabs>
        <w:spacing w:before="120" w:after="120" w:line="240" w:lineRule="auto"/>
        <w:rPr>
          <w:rFonts w:eastAsia="Times New Roman" w:cs="Times New Roman"/>
          <w:b/>
          <w:i/>
          <w:color w:val="1F497D" w:themeColor="text2"/>
        </w:rPr>
      </w:pPr>
    </w:p>
    <w:p w14:paraId="39720039" w14:textId="654FA98B" w:rsidR="0087201A" w:rsidRPr="00B44B19" w:rsidRDefault="0087201A" w:rsidP="00D27D25">
      <w:pPr>
        <w:tabs>
          <w:tab w:val="center" w:pos="4819"/>
          <w:tab w:val="right" w:pos="9638"/>
        </w:tabs>
        <w:spacing w:before="120" w:after="120" w:line="240" w:lineRule="auto"/>
        <w:rPr>
          <w:rFonts w:eastAsia="Times New Roman" w:cs="Times New Roman"/>
          <w:b/>
          <w:i/>
          <w:color w:val="1F497D" w:themeColor="text2"/>
        </w:rPr>
      </w:pPr>
      <w:r w:rsidRPr="00B44B19">
        <w:rPr>
          <w:rFonts w:eastAsia="Times New Roman" w:cs="Times New Roman"/>
          <w:b/>
          <w:i/>
          <w:color w:val="1F497D" w:themeColor="text2"/>
        </w:rPr>
        <w:lastRenderedPageBreak/>
        <w:t>Rodikliai</w:t>
      </w:r>
    </w:p>
    <w:p w14:paraId="657F5AE1" w14:textId="77777777" w:rsidR="0087201A" w:rsidRPr="00B44B19" w:rsidRDefault="0087201A" w:rsidP="0087201A">
      <w:pPr>
        <w:spacing w:before="240" w:after="0" w:line="240" w:lineRule="auto"/>
        <w:jc w:val="both"/>
        <w:rPr>
          <w:rFonts w:eastAsia="Times New Roman" w:cs="Times New Roman"/>
          <w:b/>
          <w:sz w:val="22"/>
        </w:rPr>
      </w:pPr>
      <w:r w:rsidRPr="00B44B19">
        <w:rPr>
          <w:rFonts w:eastAsia="Times New Roman"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87201A" w:rsidRPr="00B44B19" w14:paraId="70949277" w14:textId="77777777" w:rsidTr="003040E3">
        <w:trPr>
          <w:trHeight w:val="104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CE513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0E7EE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27282E"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3D3265"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C323AF"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3CC5FE"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C847DCF"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1DB548D"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4783B5"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Siektina reikšmė (2029 m.)</w:t>
            </w:r>
          </w:p>
        </w:tc>
      </w:tr>
      <w:tr w:rsidR="0087201A" w:rsidRPr="00B44B19" w14:paraId="71F7A661" w14:textId="77777777" w:rsidTr="003040E3">
        <w:trPr>
          <w:trHeight w:val="332"/>
        </w:trPr>
        <w:tc>
          <w:tcPr>
            <w:tcW w:w="497" w:type="pct"/>
            <w:vMerge w:val="restart"/>
            <w:tcBorders>
              <w:top w:val="single" w:sz="12" w:space="0" w:color="auto"/>
            </w:tcBorders>
          </w:tcPr>
          <w:p w14:paraId="0EC3C5A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16</w:t>
            </w:r>
          </w:p>
        </w:tc>
        <w:tc>
          <w:tcPr>
            <w:tcW w:w="503" w:type="pct"/>
            <w:vMerge w:val="restart"/>
            <w:tcBorders>
              <w:top w:val="single" w:sz="12" w:space="0" w:color="auto"/>
            </w:tcBorders>
          </w:tcPr>
          <w:p w14:paraId="0782A39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 xml:space="preserve">16.1 </w:t>
            </w:r>
          </w:p>
        </w:tc>
        <w:tc>
          <w:tcPr>
            <w:tcW w:w="432" w:type="pct"/>
            <w:vMerge w:val="restart"/>
            <w:tcBorders>
              <w:top w:val="single" w:sz="12" w:space="0" w:color="auto"/>
            </w:tcBorders>
          </w:tcPr>
          <w:p w14:paraId="39C98382"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ESF+</w:t>
            </w:r>
          </w:p>
        </w:tc>
        <w:tc>
          <w:tcPr>
            <w:tcW w:w="502" w:type="pct"/>
          </w:tcPr>
          <w:p w14:paraId="02C6F4E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5" w:type="pct"/>
          </w:tcPr>
          <w:p w14:paraId="25AE4A97"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noProof/>
                <w:sz w:val="16"/>
                <w:szCs w:val="16"/>
              </w:rPr>
              <w:t xml:space="preserve">Specialusis </w:t>
            </w:r>
          </w:p>
        </w:tc>
        <w:tc>
          <w:tcPr>
            <w:tcW w:w="931" w:type="pct"/>
          </w:tcPr>
          <w:p w14:paraId="2A704253" w14:textId="77777777" w:rsidR="0087201A" w:rsidRPr="00B44B19" w:rsidRDefault="0087201A" w:rsidP="0087201A">
            <w:pPr>
              <w:tabs>
                <w:tab w:val="left" w:pos="315"/>
                <w:tab w:val="left" w:pos="457"/>
              </w:tabs>
              <w:spacing w:after="0" w:line="240" w:lineRule="auto"/>
              <w:contextualSpacing/>
              <w:jc w:val="both"/>
              <w:rPr>
                <w:rFonts w:eastAsia="Times New Roman" w:cs="Times New Roman"/>
                <w:sz w:val="16"/>
                <w:szCs w:val="16"/>
                <w:lang w:eastAsia="en-GB"/>
              </w:rPr>
            </w:pPr>
            <w:r w:rsidRPr="00B44B19">
              <w:rPr>
                <w:rFonts w:eastAsia="Times New Roman" w:cs="Times New Roman"/>
                <w:sz w:val="16"/>
                <w:szCs w:val="16"/>
                <w:lang w:eastAsia="lt-LT"/>
              </w:rPr>
              <w:t>Asmenys, dalyvavę sveikatos raštingumo didinimo veiklose</w:t>
            </w:r>
          </w:p>
        </w:tc>
        <w:tc>
          <w:tcPr>
            <w:tcW w:w="507" w:type="pct"/>
          </w:tcPr>
          <w:p w14:paraId="2FAD2EDD"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noProof/>
                <w:sz w:val="16"/>
                <w:szCs w:val="16"/>
              </w:rPr>
              <w:t>Asmenys</w:t>
            </w:r>
          </w:p>
        </w:tc>
        <w:tc>
          <w:tcPr>
            <w:tcW w:w="503" w:type="pct"/>
            <w:tcBorders>
              <w:top w:val="single" w:sz="12" w:space="0" w:color="auto"/>
            </w:tcBorders>
          </w:tcPr>
          <w:p w14:paraId="21EB9D6B"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480" w:type="pct"/>
            <w:tcBorders>
              <w:top w:val="single" w:sz="12" w:space="0" w:color="auto"/>
            </w:tcBorders>
          </w:tcPr>
          <w:p w14:paraId="6702D022" w14:textId="77777777" w:rsidR="0087201A" w:rsidRPr="00B44B19" w:rsidRDefault="0087201A" w:rsidP="0087201A">
            <w:pPr>
              <w:spacing w:after="0" w:line="240" w:lineRule="auto"/>
              <w:jc w:val="center"/>
              <w:rPr>
                <w:rFonts w:eastAsia="Times New Roman" w:cs="Times New Roman"/>
                <w:bCs/>
                <w:noProof/>
                <w:color w:val="EE0000"/>
                <w:sz w:val="16"/>
                <w:szCs w:val="16"/>
              </w:rPr>
            </w:pPr>
            <w:r w:rsidRPr="00B44B19">
              <w:rPr>
                <w:rFonts w:eastAsia="Times New Roman" w:cs="Times New Roman"/>
                <w:bCs/>
                <w:noProof/>
                <w:sz w:val="16"/>
                <w:szCs w:val="16"/>
              </w:rPr>
              <w:t>2 500</w:t>
            </w:r>
          </w:p>
        </w:tc>
      </w:tr>
      <w:tr w:rsidR="0087201A" w:rsidRPr="00B44B19" w14:paraId="6E14E791" w14:textId="77777777" w:rsidTr="003040E3">
        <w:trPr>
          <w:trHeight w:val="332"/>
        </w:trPr>
        <w:tc>
          <w:tcPr>
            <w:tcW w:w="497" w:type="pct"/>
            <w:vMerge/>
          </w:tcPr>
          <w:p w14:paraId="44B6C502"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32B0BB9D"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411A405D"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272410D2"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5" w:type="pct"/>
          </w:tcPr>
          <w:p w14:paraId="2DA60462"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noProof/>
                <w:sz w:val="16"/>
                <w:szCs w:val="16"/>
              </w:rPr>
              <w:t xml:space="preserve">Specialusis </w:t>
            </w:r>
          </w:p>
        </w:tc>
        <w:tc>
          <w:tcPr>
            <w:tcW w:w="931" w:type="pct"/>
          </w:tcPr>
          <w:p w14:paraId="5502F100" w14:textId="77777777" w:rsidR="0087201A" w:rsidRPr="00B44B19" w:rsidRDefault="0087201A" w:rsidP="0087201A">
            <w:pPr>
              <w:tabs>
                <w:tab w:val="left" w:pos="315"/>
                <w:tab w:val="left" w:pos="457"/>
              </w:tabs>
              <w:spacing w:after="0" w:line="240" w:lineRule="auto"/>
              <w:contextualSpacing/>
              <w:jc w:val="both"/>
              <w:rPr>
                <w:rFonts w:eastAsia="Times New Roman" w:cs="Times New Roman"/>
                <w:sz w:val="16"/>
                <w:szCs w:val="16"/>
                <w:lang w:eastAsia="en-GB"/>
              </w:rPr>
            </w:pPr>
            <w:r w:rsidRPr="00B44B19">
              <w:rPr>
                <w:rFonts w:eastAsia="Times New Roman" w:cs="Times New Roman"/>
                <w:sz w:val="16"/>
                <w:szCs w:val="16"/>
                <w:lang w:eastAsia="lt-LT"/>
              </w:rPr>
              <w:t>Asmenys, dalyvavę sveikatos raštingumo didinimo veiklose</w:t>
            </w:r>
          </w:p>
        </w:tc>
        <w:tc>
          <w:tcPr>
            <w:tcW w:w="507" w:type="pct"/>
          </w:tcPr>
          <w:p w14:paraId="6CE47F30"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noProof/>
                <w:sz w:val="16"/>
                <w:szCs w:val="16"/>
              </w:rPr>
              <w:t>Asmenys</w:t>
            </w:r>
          </w:p>
        </w:tc>
        <w:tc>
          <w:tcPr>
            <w:tcW w:w="503" w:type="pct"/>
          </w:tcPr>
          <w:p w14:paraId="14F04DC0"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480" w:type="pct"/>
          </w:tcPr>
          <w:p w14:paraId="61E37539" w14:textId="77777777" w:rsidR="0087201A" w:rsidRPr="00B44B19" w:rsidRDefault="0087201A" w:rsidP="0087201A">
            <w:pPr>
              <w:spacing w:after="0" w:line="240" w:lineRule="auto"/>
              <w:jc w:val="center"/>
              <w:rPr>
                <w:rFonts w:eastAsia="Times New Roman" w:cs="Times New Roman"/>
                <w:bCs/>
                <w:noProof/>
                <w:color w:val="EE0000"/>
                <w:sz w:val="16"/>
                <w:szCs w:val="16"/>
              </w:rPr>
            </w:pPr>
            <w:r w:rsidRPr="00B44B19">
              <w:rPr>
                <w:rFonts w:eastAsia="Times New Roman" w:cs="Times New Roman"/>
                <w:bCs/>
                <w:noProof/>
                <w:sz w:val="16"/>
                <w:szCs w:val="16"/>
              </w:rPr>
              <w:t>16 465</w:t>
            </w:r>
          </w:p>
        </w:tc>
      </w:tr>
      <w:tr w:rsidR="0087201A" w:rsidRPr="00B44B19" w14:paraId="3B66E121" w14:textId="77777777" w:rsidTr="003040E3">
        <w:trPr>
          <w:trHeight w:val="332"/>
        </w:trPr>
        <w:tc>
          <w:tcPr>
            <w:tcW w:w="497" w:type="pct"/>
            <w:vMerge/>
          </w:tcPr>
          <w:p w14:paraId="33049A0A"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52964EEB"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6B5E6CAD"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207C2ADA"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5" w:type="pct"/>
          </w:tcPr>
          <w:p w14:paraId="5684A65D"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 xml:space="preserve">Specialusis </w:t>
            </w:r>
          </w:p>
        </w:tc>
        <w:tc>
          <w:tcPr>
            <w:tcW w:w="931" w:type="pct"/>
          </w:tcPr>
          <w:p w14:paraId="39EF2E54"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lt-LT"/>
              </w:rPr>
              <w:t>Specialistai dalyvavę kvalifikacijos tobulinimo / perkvalifikavimo veiklose</w:t>
            </w:r>
          </w:p>
        </w:tc>
        <w:tc>
          <w:tcPr>
            <w:tcW w:w="507" w:type="pct"/>
          </w:tcPr>
          <w:p w14:paraId="27D11F9D"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noProof/>
                <w:sz w:val="16"/>
                <w:szCs w:val="16"/>
              </w:rPr>
              <w:t>Asmenys</w:t>
            </w:r>
          </w:p>
        </w:tc>
        <w:tc>
          <w:tcPr>
            <w:tcW w:w="503" w:type="pct"/>
          </w:tcPr>
          <w:p w14:paraId="1CB68E5F"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480" w:type="pct"/>
          </w:tcPr>
          <w:p w14:paraId="22809F2A" w14:textId="77777777" w:rsidR="0087201A" w:rsidRPr="00B44B19" w:rsidRDefault="0087201A" w:rsidP="0087201A">
            <w:pPr>
              <w:spacing w:after="0" w:line="240" w:lineRule="auto"/>
              <w:jc w:val="center"/>
              <w:rPr>
                <w:rFonts w:eastAsia="Times New Roman" w:cs="Times New Roman"/>
                <w:bCs/>
                <w:noProof/>
                <w:color w:val="EE0000"/>
                <w:sz w:val="16"/>
                <w:szCs w:val="16"/>
              </w:rPr>
            </w:pPr>
            <w:r w:rsidRPr="00B44B19">
              <w:rPr>
                <w:rFonts w:eastAsia="Times New Roman" w:cs="Times New Roman"/>
                <w:bCs/>
                <w:noProof/>
                <w:sz w:val="16"/>
                <w:szCs w:val="16"/>
              </w:rPr>
              <w:t>3 575</w:t>
            </w:r>
          </w:p>
        </w:tc>
      </w:tr>
      <w:tr w:rsidR="0087201A" w:rsidRPr="00B44B19" w14:paraId="5858E298" w14:textId="77777777" w:rsidTr="003040E3">
        <w:trPr>
          <w:trHeight w:val="332"/>
        </w:trPr>
        <w:tc>
          <w:tcPr>
            <w:tcW w:w="497" w:type="pct"/>
            <w:vMerge/>
          </w:tcPr>
          <w:p w14:paraId="74D784C7"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0B0DC5AD"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2A65293C"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05EB9CC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645" w:type="pct"/>
          </w:tcPr>
          <w:p w14:paraId="3AEAE1DA"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 xml:space="preserve">Specialusis </w:t>
            </w:r>
          </w:p>
        </w:tc>
        <w:tc>
          <w:tcPr>
            <w:tcW w:w="931" w:type="pct"/>
          </w:tcPr>
          <w:p w14:paraId="5FE73452"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lang w:eastAsia="lt-LT"/>
              </w:rPr>
            </w:pPr>
            <w:r w:rsidRPr="00B44B19">
              <w:rPr>
                <w:rFonts w:eastAsia="Times New Roman" w:cs="Times New Roman"/>
                <w:sz w:val="16"/>
                <w:szCs w:val="16"/>
              </w:rPr>
              <w:t>BIVP projektų veiklų dalyviai (įskaitant visas tikslines grupes)</w:t>
            </w:r>
            <w:r w:rsidRPr="00B44B19">
              <w:rPr>
                <w:rFonts w:eastAsia="Times New Roman" w:cs="Times New Roman"/>
                <w:sz w:val="16"/>
                <w:szCs w:val="16"/>
                <w:lang w:eastAsia="lt-LT"/>
              </w:rPr>
              <w:t xml:space="preserve">, dalyvavę </w:t>
            </w:r>
            <w:r w:rsidRPr="00B44B19">
              <w:rPr>
                <w:rFonts w:eastAsia="Times New Roman" w:cs="Times New Roman"/>
                <w:sz w:val="16"/>
                <w:szCs w:val="16"/>
              </w:rPr>
              <w:t xml:space="preserve">gyventojų švietimo civilinės saugos klausimais </w:t>
            </w:r>
            <w:r w:rsidRPr="00B44B19">
              <w:rPr>
                <w:rFonts w:eastAsia="Times New Roman" w:cs="Times New Roman"/>
                <w:sz w:val="16"/>
                <w:szCs w:val="16"/>
                <w:lang w:eastAsia="lt-LT"/>
              </w:rPr>
              <w:t>veiklose</w:t>
            </w:r>
            <w:r w:rsidRPr="00B44B19">
              <w:rPr>
                <w:rFonts w:eastAsia="Times New Roman" w:cs="Times New Roman"/>
                <w:sz w:val="16"/>
                <w:szCs w:val="16"/>
              </w:rPr>
              <w:t xml:space="preserve"> </w:t>
            </w:r>
            <w:r w:rsidRPr="00B44B19">
              <w:rPr>
                <w:rFonts w:eastAsia="Times New Roman" w:cs="Times New Roman"/>
                <w:sz w:val="16"/>
                <w:szCs w:val="16"/>
                <w:lang w:eastAsia="lt-LT"/>
              </w:rPr>
              <w:t xml:space="preserve"> </w:t>
            </w:r>
          </w:p>
        </w:tc>
        <w:tc>
          <w:tcPr>
            <w:tcW w:w="507" w:type="pct"/>
          </w:tcPr>
          <w:p w14:paraId="43CF1C9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Asmenys</w:t>
            </w:r>
          </w:p>
        </w:tc>
        <w:tc>
          <w:tcPr>
            <w:tcW w:w="503" w:type="pct"/>
          </w:tcPr>
          <w:p w14:paraId="7B8958F2"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480" w:type="pct"/>
          </w:tcPr>
          <w:p w14:paraId="5F2638AB" w14:textId="77777777" w:rsidR="0087201A" w:rsidRPr="00B44B19" w:rsidRDefault="0087201A" w:rsidP="0087201A">
            <w:pPr>
              <w:spacing w:after="0" w:line="240" w:lineRule="auto"/>
              <w:jc w:val="center"/>
              <w:rPr>
                <w:rFonts w:eastAsia="Times New Roman" w:cs="Times New Roman"/>
                <w:bCs/>
                <w:noProof/>
                <w:color w:val="EE0000"/>
                <w:sz w:val="16"/>
                <w:szCs w:val="16"/>
              </w:rPr>
            </w:pPr>
            <w:r w:rsidRPr="00B44B19">
              <w:rPr>
                <w:rFonts w:eastAsia="Times New Roman" w:cs="Times New Roman"/>
                <w:bCs/>
                <w:noProof/>
                <w:sz w:val="16"/>
                <w:szCs w:val="16"/>
                <w:lang w:val="en-US"/>
              </w:rPr>
              <w:t>500</w:t>
            </w:r>
          </w:p>
        </w:tc>
      </w:tr>
      <w:tr w:rsidR="0087201A" w:rsidRPr="00B44B19" w14:paraId="6AF7F9F8" w14:textId="77777777" w:rsidTr="003040E3">
        <w:trPr>
          <w:trHeight w:val="332"/>
        </w:trPr>
        <w:tc>
          <w:tcPr>
            <w:tcW w:w="497" w:type="pct"/>
            <w:vMerge/>
          </w:tcPr>
          <w:p w14:paraId="64F9BF54" w14:textId="77777777" w:rsidR="0087201A" w:rsidRPr="00B44B19" w:rsidRDefault="0087201A" w:rsidP="0087201A">
            <w:pPr>
              <w:spacing w:after="0" w:line="240" w:lineRule="auto"/>
              <w:jc w:val="both"/>
              <w:rPr>
                <w:rFonts w:eastAsia="Times New Roman" w:cs="Times New Roman"/>
                <w:noProof/>
                <w:sz w:val="16"/>
                <w:szCs w:val="16"/>
              </w:rPr>
            </w:pPr>
          </w:p>
        </w:tc>
        <w:tc>
          <w:tcPr>
            <w:tcW w:w="503" w:type="pct"/>
            <w:vMerge/>
          </w:tcPr>
          <w:p w14:paraId="5C2DD8C0" w14:textId="77777777" w:rsidR="0087201A" w:rsidRPr="00B44B19" w:rsidRDefault="0087201A" w:rsidP="0087201A">
            <w:pPr>
              <w:spacing w:after="0" w:line="240" w:lineRule="auto"/>
              <w:jc w:val="both"/>
              <w:rPr>
                <w:rFonts w:eastAsia="Times New Roman" w:cs="Times New Roman"/>
                <w:noProof/>
                <w:sz w:val="16"/>
                <w:szCs w:val="16"/>
              </w:rPr>
            </w:pPr>
          </w:p>
        </w:tc>
        <w:tc>
          <w:tcPr>
            <w:tcW w:w="432" w:type="pct"/>
            <w:vMerge/>
          </w:tcPr>
          <w:p w14:paraId="65E1126B" w14:textId="77777777" w:rsidR="0087201A" w:rsidRPr="00B44B19" w:rsidRDefault="0087201A" w:rsidP="0087201A">
            <w:pPr>
              <w:spacing w:after="0" w:line="240" w:lineRule="auto"/>
              <w:jc w:val="both"/>
              <w:rPr>
                <w:rFonts w:eastAsia="Times New Roman" w:cs="Times New Roman"/>
                <w:noProof/>
                <w:sz w:val="16"/>
                <w:szCs w:val="16"/>
              </w:rPr>
            </w:pPr>
          </w:p>
        </w:tc>
        <w:tc>
          <w:tcPr>
            <w:tcW w:w="502" w:type="pct"/>
          </w:tcPr>
          <w:p w14:paraId="068C7674"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645" w:type="pct"/>
          </w:tcPr>
          <w:p w14:paraId="55A902FA"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 xml:space="preserve">Specialusis </w:t>
            </w:r>
          </w:p>
        </w:tc>
        <w:tc>
          <w:tcPr>
            <w:tcW w:w="931" w:type="pct"/>
          </w:tcPr>
          <w:p w14:paraId="4FE40B8F" w14:textId="77777777" w:rsidR="0087201A" w:rsidRPr="00B44B19" w:rsidRDefault="0087201A" w:rsidP="0087201A">
            <w:pPr>
              <w:autoSpaceDE w:val="0"/>
              <w:autoSpaceDN w:val="0"/>
              <w:adjustRightInd w:val="0"/>
              <w:spacing w:after="0" w:line="240" w:lineRule="auto"/>
              <w:jc w:val="both"/>
              <w:rPr>
                <w:rFonts w:eastAsia="Times New Roman" w:cs="Times New Roman"/>
                <w:sz w:val="16"/>
                <w:szCs w:val="16"/>
              </w:rPr>
            </w:pPr>
            <w:r w:rsidRPr="00B44B19">
              <w:rPr>
                <w:rFonts w:eastAsia="Times New Roman" w:cs="Times New Roman"/>
                <w:sz w:val="16"/>
                <w:szCs w:val="16"/>
              </w:rPr>
              <w:t>BIVP projektų veiklų dalyviai (įskaitant visas tikslines grupes)</w:t>
            </w:r>
            <w:r w:rsidRPr="00B44B19">
              <w:rPr>
                <w:rFonts w:eastAsia="Times New Roman" w:cs="Times New Roman"/>
                <w:sz w:val="16"/>
                <w:szCs w:val="16"/>
                <w:lang w:eastAsia="lt-LT"/>
              </w:rPr>
              <w:t xml:space="preserve">, dalyvavę </w:t>
            </w:r>
            <w:r w:rsidRPr="00B44B19">
              <w:rPr>
                <w:rFonts w:eastAsia="Times New Roman" w:cs="Times New Roman"/>
                <w:sz w:val="16"/>
                <w:szCs w:val="16"/>
              </w:rPr>
              <w:t xml:space="preserve">gyventojų švietimo civilinės saugos klausimais </w:t>
            </w:r>
            <w:r w:rsidRPr="00B44B19">
              <w:rPr>
                <w:rFonts w:eastAsia="Times New Roman" w:cs="Times New Roman"/>
                <w:sz w:val="16"/>
                <w:szCs w:val="16"/>
                <w:lang w:eastAsia="lt-LT"/>
              </w:rPr>
              <w:t>veiklose</w:t>
            </w:r>
          </w:p>
        </w:tc>
        <w:tc>
          <w:tcPr>
            <w:tcW w:w="507" w:type="pct"/>
          </w:tcPr>
          <w:p w14:paraId="7A9C4583"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noProof/>
                <w:sz w:val="16"/>
                <w:szCs w:val="16"/>
              </w:rPr>
              <w:t>Asmenys</w:t>
            </w:r>
          </w:p>
        </w:tc>
        <w:tc>
          <w:tcPr>
            <w:tcW w:w="503" w:type="pct"/>
          </w:tcPr>
          <w:p w14:paraId="5823A741" w14:textId="77777777" w:rsidR="0087201A" w:rsidRPr="00B44B19" w:rsidRDefault="0087201A" w:rsidP="0087201A">
            <w:pPr>
              <w:spacing w:after="0" w:line="240" w:lineRule="auto"/>
              <w:jc w:val="center"/>
              <w:rPr>
                <w:rFonts w:eastAsia="Times New Roman" w:cs="Times New Roman"/>
                <w:bCs/>
                <w:noProof/>
                <w:sz w:val="16"/>
                <w:szCs w:val="16"/>
              </w:rPr>
            </w:pPr>
            <w:r w:rsidRPr="00B44B19">
              <w:rPr>
                <w:rFonts w:eastAsia="Times New Roman" w:cs="Times New Roman"/>
                <w:bCs/>
                <w:noProof/>
                <w:sz w:val="16"/>
                <w:szCs w:val="16"/>
              </w:rPr>
              <w:t>0</w:t>
            </w:r>
          </w:p>
        </w:tc>
        <w:tc>
          <w:tcPr>
            <w:tcW w:w="480" w:type="pct"/>
          </w:tcPr>
          <w:p w14:paraId="6AD43B68" w14:textId="77777777" w:rsidR="0087201A" w:rsidRPr="00B44B19" w:rsidRDefault="0087201A" w:rsidP="0087201A">
            <w:pPr>
              <w:spacing w:after="0" w:line="240" w:lineRule="auto"/>
              <w:jc w:val="center"/>
              <w:rPr>
                <w:rFonts w:eastAsia="Times New Roman" w:cs="Times New Roman"/>
                <w:bCs/>
                <w:noProof/>
                <w:color w:val="EE0000"/>
                <w:sz w:val="16"/>
                <w:szCs w:val="16"/>
              </w:rPr>
            </w:pPr>
            <w:r w:rsidRPr="00B44B19">
              <w:rPr>
                <w:rFonts w:eastAsia="Times New Roman" w:cs="Times New Roman"/>
                <w:bCs/>
                <w:noProof/>
                <w:sz w:val="16"/>
                <w:szCs w:val="16"/>
              </w:rPr>
              <w:t xml:space="preserve">4 </w:t>
            </w:r>
            <w:r w:rsidRPr="00B44B19">
              <w:rPr>
                <w:rFonts w:eastAsia="Times New Roman" w:cs="Times New Roman"/>
                <w:bCs/>
                <w:noProof/>
                <w:sz w:val="16"/>
                <w:szCs w:val="16"/>
                <w:lang w:val="en-US"/>
              </w:rPr>
              <w:t>7</w:t>
            </w:r>
            <w:r w:rsidRPr="00B44B19">
              <w:rPr>
                <w:rFonts w:eastAsia="Times New Roman" w:cs="Times New Roman"/>
                <w:bCs/>
                <w:noProof/>
                <w:sz w:val="16"/>
                <w:szCs w:val="16"/>
              </w:rPr>
              <w:t>00</w:t>
            </w:r>
          </w:p>
        </w:tc>
      </w:tr>
    </w:tbl>
    <w:p w14:paraId="463D7C3B" w14:textId="77777777" w:rsidR="0087201A" w:rsidRPr="00B44B19" w:rsidRDefault="0087201A" w:rsidP="0087201A">
      <w:pPr>
        <w:spacing w:after="0" w:line="240" w:lineRule="auto"/>
        <w:jc w:val="both"/>
        <w:rPr>
          <w:rFonts w:eastAsia="Times New Roman" w:cs="Times New Roman"/>
          <w:b/>
          <w:sz w:val="22"/>
        </w:rPr>
        <w:sectPr w:rsidR="0087201A" w:rsidRPr="00B44B19" w:rsidSect="0087201A">
          <w:headerReference w:type="even" r:id="rId28"/>
          <w:headerReference w:type="default" r:id="rId29"/>
          <w:footerReference w:type="even" r:id="rId30"/>
          <w:footerReference w:type="default" r:id="rId31"/>
          <w:headerReference w:type="first" r:id="rId32"/>
          <w:footerReference w:type="first" r:id="rId33"/>
          <w:pgSz w:w="11906" w:h="16838"/>
          <w:pgMar w:top="1276" w:right="567" w:bottom="1134" w:left="1701" w:header="567" w:footer="567" w:gutter="0"/>
          <w:cols w:space="1296"/>
          <w:docGrid w:linePitch="360"/>
        </w:sectPr>
      </w:pPr>
    </w:p>
    <w:p w14:paraId="3FD3B4E2" w14:textId="77777777" w:rsidR="0087201A" w:rsidRPr="00B44B19" w:rsidRDefault="0087201A" w:rsidP="0087201A">
      <w:pPr>
        <w:spacing w:after="0" w:line="240" w:lineRule="auto"/>
        <w:jc w:val="both"/>
        <w:rPr>
          <w:rFonts w:eastAsia="Times New Roman" w:cs="Times New Roman"/>
          <w:b/>
          <w:sz w:val="22"/>
        </w:rPr>
      </w:pPr>
      <w:r w:rsidRPr="00B44B19">
        <w:rPr>
          <w:rFonts w:eastAsia="Times New Roman"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993"/>
        <w:gridCol w:w="785"/>
        <w:gridCol w:w="975"/>
        <w:gridCol w:w="1255"/>
        <w:gridCol w:w="3903"/>
        <w:gridCol w:w="975"/>
        <w:gridCol w:w="975"/>
        <w:gridCol w:w="1115"/>
        <w:gridCol w:w="975"/>
        <w:gridCol w:w="907"/>
        <w:gridCol w:w="1029"/>
      </w:tblGrid>
      <w:tr w:rsidR="0087201A" w:rsidRPr="00B44B19" w14:paraId="6E232D2D" w14:textId="77777777" w:rsidTr="003040E3">
        <w:trPr>
          <w:trHeight w:val="1141"/>
          <w:tblHeader/>
        </w:trPr>
        <w:tc>
          <w:tcPr>
            <w:tcW w:w="329" w:type="pct"/>
            <w:tcBorders>
              <w:top w:val="single" w:sz="12" w:space="0" w:color="auto"/>
              <w:left w:val="single" w:sz="12" w:space="0" w:color="auto"/>
              <w:bottom w:val="single" w:sz="12" w:space="0" w:color="auto"/>
              <w:right w:val="single" w:sz="12" w:space="0" w:color="auto"/>
            </w:tcBorders>
            <w:shd w:val="clear" w:color="auto" w:fill="DBE5F1"/>
            <w:vAlign w:val="center"/>
          </w:tcPr>
          <w:p w14:paraId="37CF0696"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Prioritetas</w:t>
            </w:r>
          </w:p>
        </w:tc>
        <w:tc>
          <w:tcPr>
            <w:tcW w:w="334" w:type="pct"/>
            <w:tcBorders>
              <w:top w:val="single" w:sz="12" w:space="0" w:color="auto"/>
              <w:left w:val="single" w:sz="12" w:space="0" w:color="auto"/>
              <w:bottom w:val="single" w:sz="12" w:space="0" w:color="auto"/>
              <w:right w:val="single" w:sz="12" w:space="0" w:color="auto"/>
            </w:tcBorders>
            <w:shd w:val="clear" w:color="auto" w:fill="DBE5F1"/>
            <w:vAlign w:val="center"/>
          </w:tcPr>
          <w:p w14:paraId="1C3C8315"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Konkretus uždavinys</w:t>
            </w:r>
          </w:p>
        </w:tc>
        <w:tc>
          <w:tcPr>
            <w:tcW w:w="264" w:type="pct"/>
            <w:tcBorders>
              <w:top w:val="single" w:sz="12" w:space="0" w:color="auto"/>
              <w:left w:val="single" w:sz="12" w:space="0" w:color="auto"/>
              <w:bottom w:val="single" w:sz="12" w:space="0" w:color="auto"/>
              <w:right w:val="single" w:sz="12" w:space="0" w:color="auto"/>
            </w:tcBorders>
            <w:shd w:val="clear" w:color="auto" w:fill="DBE5F1"/>
            <w:vAlign w:val="center"/>
          </w:tcPr>
          <w:p w14:paraId="587D8742"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62BAC584"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3238514A"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Identifikavimo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359352C9"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6FDBA6C2"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58995417"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0D3BDAB0"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C414DBB"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Siektina reikšmė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14:paraId="004FD6D4"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14:paraId="11F138F8" w14:textId="77777777" w:rsidR="0087201A" w:rsidRPr="00B44B19" w:rsidRDefault="0087201A" w:rsidP="0087201A">
            <w:pPr>
              <w:spacing w:after="0" w:line="240" w:lineRule="auto"/>
              <w:jc w:val="center"/>
              <w:rPr>
                <w:rFonts w:eastAsia="Times New Roman" w:cs="Times New Roman"/>
                <w:b/>
                <w:noProof/>
                <w:sz w:val="16"/>
                <w:szCs w:val="16"/>
              </w:rPr>
            </w:pPr>
            <w:r w:rsidRPr="00B44B19">
              <w:rPr>
                <w:rFonts w:eastAsia="Times New Roman" w:cs="Times New Roman"/>
                <w:b/>
                <w:noProof/>
                <w:sz w:val="16"/>
                <w:szCs w:val="16"/>
              </w:rPr>
              <w:t>Pastabos</w:t>
            </w:r>
          </w:p>
        </w:tc>
      </w:tr>
      <w:tr w:rsidR="0087201A" w:rsidRPr="00B44B19" w14:paraId="5F7EC87C" w14:textId="77777777" w:rsidTr="003040E3">
        <w:trPr>
          <w:trHeight w:val="286"/>
        </w:trPr>
        <w:tc>
          <w:tcPr>
            <w:tcW w:w="329" w:type="pct"/>
            <w:vMerge w:val="restart"/>
            <w:tcBorders>
              <w:top w:val="single" w:sz="12" w:space="0" w:color="auto"/>
            </w:tcBorders>
          </w:tcPr>
          <w:p w14:paraId="56891090"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16</w:t>
            </w:r>
          </w:p>
        </w:tc>
        <w:tc>
          <w:tcPr>
            <w:tcW w:w="334" w:type="pct"/>
            <w:vMerge w:val="restart"/>
            <w:tcBorders>
              <w:top w:val="single" w:sz="12" w:space="0" w:color="auto"/>
            </w:tcBorders>
          </w:tcPr>
          <w:p w14:paraId="634D420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16.1</w:t>
            </w:r>
          </w:p>
        </w:tc>
        <w:tc>
          <w:tcPr>
            <w:tcW w:w="264" w:type="pct"/>
            <w:vMerge w:val="restart"/>
            <w:tcBorders>
              <w:top w:val="single" w:sz="12" w:space="0" w:color="auto"/>
            </w:tcBorders>
          </w:tcPr>
          <w:p w14:paraId="25EBA91E"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ESF+</w:t>
            </w:r>
          </w:p>
        </w:tc>
        <w:tc>
          <w:tcPr>
            <w:tcW w:w="328" w:type="pct"/>
          </w:tcPr>
          <w:p w14:paraId="5CC3A6C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58E334E8"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sz w:val="16"/>
                <w:szCs w:val="16"/>
                <w:lang w:eastAsia="en-GB"/>
              </w:rPr>
              <w:t xml:space="preserve">Specialusis </w:t>
            </w:r>
          </w:p>
        </w:tc>
        <w:tc>
          <w:tcPr>
            <w:tcW w:w="1313" w:type="pct"/>
          </w:tcPr>
          <w:p w14:paraId="1F717CBA" w14:textId="77777777" w:rsidR="0087201A" w:rsidRPr="00B44B19" w:rsidRDefault="0087201A" w:rsidP="0087201A">
            <w:pPr>
              <w:spacing w:after="0" w:line="240" w:lineRule="auto"/>
              <w:jc w:val="both"/>
              <w:rPr>
                <w:rFonts w:eastAsia="Times New Roman" w:cs="Times New Roman"/>
                <w:sz w:val="16"/>
                <w:szCs w:val="16"/>
                <w:lang w:eastAsia="lt-LT"/>
              </w:rPr>
            </w:pPr>
            <w:r w:rsidRPr="00B44B19">
              <w:rPr>
                <w:rFonts w:eastAsia="Times New Roman" w:cs="Times New Roman"/>
                <w:noProof/>
                <w:sz w:val="16"/>
                <w:szCs w:val="16"/>
              </w:rPr>
              <w:t>Asmenų, po dalyvavimo veiklose, pagerinusių sveikatos raštingumo kompetenciją, dalis</w:t>
            </w:r>
          </w:p>
        </w:tc>
        <w:tc>
          <w:tcPr>
            <w:tcW w:w="328" w:type="pct"/>
          </w:tcPr>
          <w:p w14:paraId="5FCABA3E"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p>
        </w:tc>
        <w:tc>
          <w:tcPr>
            <w:tcW w:w="328" w:type="pct"/>
            <w:tcBorders>
              <w:top w:val="single" w:sz="12" w:space="0" w:color="auto"/>
            </w:tcBorders>
          </w:tcPr>
          <w:p w14:paraId="7F57D215"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375" w:type="pct"/>
            <w:tcBorders>
              <w:top w:val="single" w:sz="12" w:space="0" w:color="auto"/>
            </w:tcBorders>
          </w:tcPr>
          <w:p w14:paraId="67236F9B"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2024</w:t>
            </w:r>
          </w:p>
        </w:tc>
        <w:tc>
          <w:tcPr>
            <w:tcW w:w="328" w:type="pct"/>
            <w:tcBorders>
              <w:top w:val="single" w:sz="12" w:space="0" w:color="auto"/>
            </w:tcBorders>
          </w:tcPr>
          <w:p w14:paraId="557D7070"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80</w:t>
            </w:r>
          </w:p>
        </w:tc>
        <w:tc>
          <w:tcPr>
            <w:tcW w:w="305" w:type="pct"/>
            <w:tcBorders>
              <w:top w:val="single" w:sz="12" w:space="0" w:color="auto"/>
            </w:tcBorders>
          </w:tcPr>
          <w:p w14:paraId="484F5E71" w14:textId="77777777" w:rsidR="0087201A" w:rsidRPr="00B44B19" w:rsidRDefault="0087201A" w:rsidP="0087201A">
            <w:pPr>
              <w:spacing w:after="0" w:line="240" w:lineRule="auto"/>
              <w:jc w:val="both"/>
              <w:rPr>
                <w:rFonts w:eastAsia="Times New Roman" w:cs="Times New Roman"/>
                <w:iCs/>
                <w:noProof/>
                <w:sz w:val="16"/>
                <w:szCs w:val="16"/>
              </w:rPr>
            </w:pPr>
            <w:r w:rsidRPr="00B44B19">
              <w:rPr>
                <w:rFonts w:eastAsia="Times New Roman" w:cs="Times New Roman"/>
                <w:iCs/>
                <w:noProof/>
                <w:sz w:val="16"/>
                <w:szCs w:val="16"/>
              </w:rPr>
              <w:t>Projektų duomenys</w:t>
            </w:r>
          </w:p>
        </w:tc>
        <w:tc>
          <w:tcPr>
            <w:tcW w:w="346" w:type="pct"/>
            <w:tcBorders>
              <w:top w:val="single" w:sz="12" w:space="0" w:color="auto"/>
            </w:tcBorders>
          </w:tcPr>
          <w:p w14:paraId="27E6E227"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r w:rsidR="0087201A" w:rsidRPr="00B44B19" w14:paraId="7ABBF1E3" w14:textId="77777777" w:rsidTr="003040E3">
        <w:trPr>
          <w:trHeight w:val="286"/>
        </w:trPr>
        <w:tc>
          <w:tcPr>
            <w:tcW w:w="329" w:type="pct"/>
            <w:vMerge/>
          </w:tcPr>
          <w:p w14:paraId="1DDE207B" w14:textId="77777777" w:rsidR="0087201A" w:rsidRPr="00B44B19" w:rsidRDefault="0087201A" w:rsidP="0087201A">
            <w:pPr>
              <w:spacing w:after="0" w:line="240" w:lineRule="auto"/>
              <w:jc w:val="both"/>
              <w:rPr>
                <w:rFonts w:eastAsia="Times New Roman" w:cs="Times New Roman"/>
                <w:noProof/>
                <w:sz w:val="16"/>
                <w:szCs w:val="16"/>
              </w:rPr>
            </w:pPr>
          </w:p>
        </w:tc>
        <w:tc>
          <w:tcPr>
            <w:tcW w:w="334" w:type="pct"/>
            <w:vMerge/>
          </w:tcPr>
          <w:p w14:paraId="6D90C395" w14:textId="77777777" w:rsidR="0087201A" w:rsidRPr="00B44B19" w:rsidRDefault="0087201A" w:rsidP="0087201A">
            <w:pPr>
              <w:spacing w:after="0" w:line="240" w:lineRule="auto"/>
              <w:jc w:val="both"/>
              <w:rPr>
                <w:rFonts w:eastAsia="Times New Roman" w:cs="Times New Roman"/>
                <w:noProof/>
                <w:sz w:val="16"/>
                <w:szCs w:val="16"/>
              </w:rPr>
            </w:pPr>
          </w:p>
        </w:tc>
        <w:tc>
          <w:tcPr>
            <w:tcW w:w="264" w:type="pct"/>
            <w:vMerge/>
          </w:tcPr>
          <w:p w14:paraId="65AC0E1B"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14A62011"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4428E220"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 xml:space="preserve">Specialusis </w:t>
            </w:r>
          </w:p>
        </w:tc>
        <w:tc>
          <w:tcPr>
            <w:tcW w:w="1313" w:type="pct"/>
          </w:tcPr>
          <w:p w14:paraId="6F77B712"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noProof/>
                <w:sz w:val="16"/>
                <w:szCs w:val="16"/>
              </w:rPr>
              <w:t>Asmenų, po dalyvavimo veiklose, pagerinusių sveikatos raštingumo kompetenciją, dalis</w:t>
            </w:r>
          </w:p>
        </w:tc>
        <w:tc>
          <w:tcPr>
            <w:tcW w:w="328" w:type="pct"/>
          </w:tcPr>
          <w:p w14:paraId="5EB71863" w14:textId="77777777" w:rsidR="0087201A" w:rsidRPr="00B44B19" w:rsidRDefault="0087201A" w:rsidP="0087201A">
            <w:pPr>
              <w:spacing w:after="0" w:line="240" w:lineRule="auto"/>
              <w:jc w:val="both"/>
              <w:rPr>
                <w:rFonts w:eastAsia="Times New Roman" w:cs="Times New Roman"/>
                <w:color w:val="000000"/>
                <w:sz w:val="16"/>
                <w:szCs w:val="16"/>
                <w:shd w:val="clear" w:color="auto" w:fill="FFFFFF"/>
              </w:rPr>
            </w:pPr>
            <w:r w:rsidRPr="00B44B19">
              <w:rPr>
                <w:rFonts w:eastAsia="Times New Roman" w:cs="Times New Roman"/>
                <w:noProof/>
                <w:sz w:val="16"/>
                <w:szCs w:val="16"/>
              </w:rPr>
              <w:t>Procentai</w:t>
            </w:r>
          </w:p>
        </w:tc>
        <w:tc>
          <w:tcPr>
            <w:tcW w:w="328" w:type="pct"/>
          </w:tcPr>
          <w:p w14:paraId="312F68B4"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375" w:type="pct"/>
          </w:tcPr>
          <w:p w14:paraId="02D099F6"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2024</w:t>
            </w:r>
          </w:p>
        </w:tc>
        <w:tc>
          <w:tcPr>
            <w:tcW w:w="328" w:type="pct"/>
          </w:tcPr>
          <w:p w14:paraId="17AF1A4F"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80</w:t>
            </w:r>
          </w:p>
        </w:tc>
        <w:tc>
          <w:tcPr>
            <w:tcW w:w="305" w:type="pct"/>
          </w:tcPr>
          <w:p w14:paraId="3390F50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46" w:type="pct"/>
          </w:tcPr>
          <w:p w14:paraId="5B161F4F"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r w:rsidR="0087201A" w:rsidRPr="00B44B19" w14:paraId="2C20A545" w14:textId="77777777" w:rsidTr="003040E3">
        <w:trPr>
          <w:trHeight w:val="286"/>
        </w:trPr>
        <w:tc>
          <w:tcPr>
            <w:tcW w:w="329" w:type="pct"/>
            <w:vMerge/>
          </w:tcPr>
          <w:p w14:paraId="173B89A7" w14:textId="77777777" w:rsidR="0087201A" w:rsidRPr="00B44B19" w:rsidRDefault="0087201A" w:rsidP="0087201A">
            <w:pPr>
              <w:spacing w:after="0" w:line="240" w:lineRule="auto"/>
              <w:jc w:val="both"/>
              <w:rPr>
                <w:rFonts w:eastAsia="Times New Roman" w:cs="Times New Roman"/>
                <w:noProof/>
                <w:sz w:val="16"/>
                <w:szCs w:val="16"/>
              </w:rPr>
            </w:pPr>
          </w:p>
        </w:tc>
        <w:tc>
          <w:tcPr>
            <w:tcW w:w="334" w:type="pct"/>
            <w:vMerge/>
          </w:tcPr>
          <w:p w14:paraId="621C8CA1" w14:textId="77777777" w:rsidR="0087201A" w:rsidRPr="00B44B19" w:rsidRDefault="0087201A" w:rsidP="0087201A">
            <w:pPr>
              <w:spacing w:after="0" w:line="240" w:lineRule="auto"/>
              <w:jc w:val="both"/>
              <w:rPr>
                <w:rFonts w:eastAsia="Times New Roman" w:cs="Times New Roman"/>
                <w:noProof/>
                <w:sz w:val="16"/>
                <w:szCs w:val="16"/>
              </w:rPr>
            </w:pPr>
          </w:p>
        </w:tc>
        <w:tc>
          <w:tcPr>
            <w:tcW w:w="264" w:type="pct"/>
            <w:vMerge/>
          </w:tcPr>
          <w:p w14:paraId="7C4BE8D5"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0730263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5D3803E5"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 xml:space="preserve">Specialusis </w:t>
            </w:r>
          </w:p>
        </w:tc>
        <w:tc>
          <w:tcPr>
            <w:tcW w:w="1313" w:type="pct"/>
          </w:tcPr>
          <w:p w14:paraId="48FA4D32"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Specialistų, po dalyvavimo veiklose įgijusių / patobulinusių kvalifikaciją, dalis</w:t>
            </w:r>
          </w:p>
        </w:tc>
        <w:tc>
          <w:tcPr>
            <w:tcW w:w="328" w:type="pct"/>
          </w:tcPr>
          <w:p w14:paraId="45704B4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p>
        </w:tc>
        <w:tc>
          <w:tcPr>
            <w:tcW w:w="328" w:type="pct"/>
          </w:tcPr>
          <w:p w14:paraId="0005EEDE"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375" w:type="pct"/>
          </w:tcPr>
          <w:p w14:paraId="7EA973F7"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2024</w:t>
            </w:r>
          </w:p>
        </w:tc>
        <w:tc>
          <w:tcPr>
            <w:tcW w:w="328" w:type="pct"/>
          </w:tcPr>
          <w:p w14:paraId="45D2C936" w14:textId="77777777" w:rsidR="0087201A" w:rsidRPr="00B44B19" w:rsidRDefault="0087201A" w:rsidP="0087201A">
            <w:pPr>
              <w:spacing w:after="0" w:line="240" w:lineRule="auto"/>
              <w:jc w:val="center"/>
              <w:rPr>
                <w:rFonts w:eastAsia="Times New Roman" w:cs="Times New Roman"/>
                <w:iCs/>
                <w:noProof/>
                <w:color w:val="EE0000"/>
                <w:sz w:val="16"/>
                <w:szCs w:val="16"/>
              </w:rPr>
            </w:pPr>
            <w:r w:rsidRPr="00B44B19">
              <w:rPr>
                <w:rFonts w:eastAsia="Times New Roman" w:cs="Times New Roman"/>
                <w:iCs/>
                <w:noProof/>
                <w:sz w:val="16"/>
                <w:szCs w:val="16"/>
              </w:rPr>
              <w:t>90</w:t>
            </w:r>
          </w:p>
        </w:tc>
        <w:tc>
          <w:tcPr>
            <w:tcW w:w="305" w:type="pct"/>
          </w:tcPr>
          <w:p w14:paraId="427DF568"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46" w:type="pct"/>
          </w:tcPr>
          <w:p w14:paraId="753C79FC"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r w:rsidR="0087201A" w:rsidRPr="00B44B19" w14:paraId="010A550B" w14:textId="77777777" w:rsidTr="003040E3">
        <w:trPr>
          <w:trHeight w:val="286"/>
        </w:trPr>
        <w:tc>
          <w:tcPr>
            <w:tcW w:w="329" w:type="pct"/>
            <w:vMerge/>
          </w:tcPr>
          <w:p w14:paraId="7B71111E" w14:textId="77777777" w:rsidR="0087201A" w:rsidRPr="00B44B19" w:rsidRDefault="0087201A" w:rsidP="0087201A">
            <w:pPr>
              <w:spacing w:after="0" w:line="240" w:lineRule="auto"/>
              <w:jc w:val="both"/>
              <w:rPr>
                <w:rFonts w:eastAsia="Times New Roman" w:cs="Times New Roman"/>
                <w:noProof/>
                <w:sz w:val="16"/>
                <w:szCs w:val="16"/>
              </w:rPr>
            </w:pPr>
          </w:p>
        </w:tc>
        <w:tc>
          <w:tcPr>
            <w:tcW w:w="334" w:type="pct"/>
            <w:vMerge/>
          </w:tcPr>
          <w:p w14:paraId="3BAAAFEC" w14:textId="77777777" w:rsidR="0087201A" w:rsidRPr="00B44B19" w:rsidRDefault="0087201A" w:rsidP="0087201A">
            <w:pPr>
              <w:spacing w:after="0" w:line="240" w:lineRule="auto"/>
              <w:jc w:val="both"/>
              <w:rPr>
                <w:rFonts w:eastAsia="Times New Roman" w:cs="Times New Roman"/>
                <w:noProof/>
                <w:sz w:val="16"/>
                <w:szCs w:val="16"/>
              </w:rPr>
            </w:pPr>
          </w:p>
        </w:tc>
        <w:tc>
          <w:tcPr>
            <w:tcW w:w="264" w:type="pct"/>
            <w:vMerge/>
          </w:tcPr>
          <w:p w14:paraId="1E2BCCAC"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1157B775"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Sostinės regionas</w:t>
            </w:r>
          </w:p>
        </w:tc>
        <w:tc>
          <w:tcPr>
            <w:tcW w:w="422" w:type="pct"/>
          </w:tcPr>
          <w:p w14:paraId="6D25B63A"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w:t>
            </w:r>
          </w:p>
        </w:tc>
        <w:tc>
          <w:tcPr>
            <w:tcW w:w="1313" w:type="pct"/>
          </w:tcPr>
          <w:p w14:paraId="5ACCCE26"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bCs/>
                <w:sz w:val="16"/>
                <w:szCs w:val="16"/>
              </w:rPr>
              <w:t>BIVP projektų veiklų dalyvių (įskaitant visas tikslines grupes)</w:t>
            </w:r>
            <w:r w:rsidRPr="00B44B19">
              <w:rPr>
                <w:rFonts w:eastAsia="Times New Roman" w:cs="Times New Roman"/>
                <w:bCs/>
                <w:sz w:val="16"/>
                <w:szCs w:val="16"/>
                <w:lang w:eastAsia="lt-LT"/>
              </w:rPr>
              <w:t xml:space="preserve">, </w:t>
            </w:r>
            <w:r w:rsidRPr="00B44B19">
              <w:rPr>
                <w:rFonts w:eastAsia="Times New Roman" w:cs="Times New Roman"/>
                <w:bCs/>
                <w:sz w:val="16"/>
                <w:szCs w:val="16"/>
              </w:rPr>
              <w:t xml:space="preserve">kurie dalyvavę </w:t>
            </w:r>
            <w:r w:rsidRPr="00B44B19">
              <w:rPr>
                <w:rFonts w:eastAsia="Times New Roman" w:cs="Times New Roman"/>
                <w:sz w:val="16"/>
                <w:szCs w:val="16"/>
              </w:rPr>
              <w:t>švietimo civilinės saugos klausimais</w:t>
            </w:r>
            <w:r w:rsidRPr="00B44B19">
              <w:rPr>
                <w:rFonts w:eastAsia="Times New Roman" w:cs="Times New Roman"/>
                <w:bCs/>
                <w:sz w:val="16"/>
                <w:szCs w:val="16"/>
              </w:rPr>
              <w:t xml:space="preserve"> veiklose įgijo įgūdžius, dalis</w:t>
            </w:r>
          </w:p>
        </w:tc>
        <w:tc>
          <w:tcPr>
            <w:tcW w:w="328" w:type="pct"/>
          </w:tcPr>
          <w:p w14:paraId="7E0D640A"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Procentai</w:t>
            </w:r>
            <w:r w:rsidRPr="00B44B19" w:rsidDel="00215606">
              <w:rPr>
                <w:rFonts w:eastAsia="Times New Roman" w:cs="Times New Roman"/>
                <w:noProof/>
                <w:sz w:val="16"/>
                <w:szCs w:val="16"/>
              </w:rPr>
              <w:t xml:space="preserve"> </w:t>
            </w:r>
          </w:p>
        </w:tc>
        <w:tc>
          <w:tcPr>
            <w:tcW w:w="328" w:type="pct"/>
          </w:tcPr>
          <w:p w14:paraId="62C3C479"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375" w:type="pct"/>
          </w:tcPr>
          <w:p w14:paraId="0B554514"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lang w:val="en-US"/>
              </w:rPr>
              <w:t>2025</w:t>
            </w:r>
          </w:p>
        </w:tc>
        <w:tc>
          <w:tcPr>
            <w:tcW w:w="328" w:type="pct"/>
          </w:tcPr>
          <w:p w14:paraId="6147D20D"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95</w:t>
            </w:r>
          </w:p>
        </w:tc>
        <w:tc>
          <w:tcPr>
            <w:tcW w:w="305" w:type="pct"/>
          </w:tcPr>
          <w:p w14:paraId="1B5228FF"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46" w:type="pct"/>
          </w:tcPr>
          <w:p w14:paraId="39FB842C"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r w:rsidR="0087201A" w:rsidRPr="00B44B19" w14:paraId="7A6E0719" w14:textId="77777777" w:rsidTr="003040E3">
        <w:trPr>
          <w:trHeight w:val="286"/>
        </w:trPr>
        <w:tc>
          <w:tcPr>
            <w:tcW w:w="329" w:type="pct"/>
            <w:vMerge/>
          </w:tcPr>
          <w:p w14:paraId="046D3E4C" w14:textId="77777777" w:rsidR="0087201A" w:rsidRPr="00B44B19" w:rsidRDefault="0087201A" w:rsidP="0087201A">
            <w:pPr>
              <w:spacing w:after="0" w:line="240" w:lineRule="auto"/>
              <w:jc w:val="both"/>
              <w:rPr>
                <w:rFonts w:eastAsia="Times New Roman" w:cs="Times New Roman"/>
                <w:noProof/>
                <w:sz w:val="16"/>
                <w:szCs w:val="16"/>
              </w:rPr>
            </w:pPr>
          </w:p>
        </w:tc>
        <w:tc>
          <w:tcPr>
            <w:tcW w:w="334" w:type="pct"/>
            <w:vMerge/>
          </w:tcPr>
          <w:p w14:paraId="6DFB9F08" w14:textId="77777777" w:rsidR="0087201A" w:rsidRPr="00B44B19" w:rsidRDefault="0087201A" w:rsidP="0087201A">
            <w:pPr>
              <w:spacing w:after="0" w:line="240" w:lineRule="auto"/>
              <w:jc w:val="both"/>
              <w:rPr>
                <w:rFonts w:eastAsia="Times New Roman" w:cs="Times New Roman"/>
                <w:noProof/>
                <w:sz w:val="16"/>
                <w:szCs w:val="16"/>
              </w:rPr>
            </w:pPr>
          </w:p>
        </w:tc>
        <w:tc>
          <w:tcPr>
            <w:tcW w:w="264" w:type="pct"/>
            <w:vMerge/>
          </w:tcPr>
          <w:p w14:paraId="6910EECC" w14:textId="77777777" w:rsidR="0087201A" w:rsidRPr="00B44B19" w:rsidRDefault="0087201A" w:rsidP="0087201A">
            <w:pPr>
              <w:spacing w:after="0" w:line="240" w:lineRule="auto"/>
              <w:jc w:val="both"/>
              <w:rPr>
                <w:rFonts w:eastAsia="Times New Roman" w:cs="Times New Roman"/>
                <w:noProof/>
                <w:sz w:val="16"/>
                <w:szCs w:val="16"/>
              </w:rPr>
            </w:pPr>
          </w:p>
        </w:tc>
        <w:tc>
          <w:tcPr>
            <w:tcW w:w="328" w:type="pct"/>
          </w:tcPr>
          <w:p w14:paraId="49A5F07C"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VVL regionas</w:t>
            </w:r>
          </w:p>
        </w:tc>
        <w:tc>
          <w:tcPr>
            <w:tcW w:w="422" w:type="pct"/>
          </w:tcPr>
          <w:p w14:paraId="7E079FDB" w14:textId="77777777" w:rsidR="0087201A" w:rsidRPr="00B44B19" w:rsidRDefault="0087201A" w:rsidP="0087201A">
            <w:pPr>
              <w:spacing w:after="0" w:line="240" w:lineRule="auto"/>
              <w:jc w:val="both"/>
              <w:rPr>
                <w:rFonts w:eastAsia="Times New Roman" w:cs="Times New Roman"/>
                <w:sz w:val="16"/>
                <w:szCs w:val="16"/>
                <w:lang w:eastAsia="en-GB"/>
              </w:rPr>
            </w:pPr>
            <w:r w:rsidRPr="00B44B19">
              <w:rPr>
                <w:rFonts w:eastAsia="Times New Roman" w:cs="Times New Roman"/>
                <w:sz w:val="16"/>
                <w:szCs w:val="16"/>
                <w:lang w:eastAsia="en-GB"/>
              </w:rPr>
              <w:t>Specialusis</w:t>
            </w:r>
          </w:p>
        </w:tc>
        <w:tc>
          <w:tcPr>
            <w:tcW w:w="1313" w:type="pct"/>
          </w:tcPr>
          <w:p w14:paraId="058C9A76" w14:textId="77777777" w:rsidR="0087201A" w:rsidRPr="00B44B19" w:rsidRDefault="0087201A" w:rsidP="0087201A">
            <w:pPr>
              <w:spacing w:after="0" w:line="240" w:lineRule="auto"/>
              <w:jc w:val="both"/>
              <w:rPr>
                <w:rFonts w:eastAsia="Times New Roman" w:cs="Times New Roman"/>
                <w:sz w:val="16"/>
                <w:szCs w:val="16"/>
              </w:rPr>
            </w:pPr>
            <w:r w:rsidRPr="00B44B19">
              <w:rPr>
                <w:rFonts w:eastAsia="Times New Roman" w:cs="Times New Roman"/>
                <w:bCs/>
                <w:sz w:val="16"/>
                <w:szCs w:val="16"/>
              </w:rPr>
              <w:t>BIVP projektų veiklų dalyvių (įskaitant visas tikslines grupes)</w:t>
            </w:r>
            <w:r w:rsidRPr="00B44B19">
              <w:rPr>
                <w:rFonts w:eastAsia="Times New Roman" w:cs="Times New Roman"/>
                <w:bCs/>
                <w:sz w:val="16"/>
                <w:szCs w:val="16"/>
                <w:lang w:eastAsia="lt-LT"/>
              </w:rPr>
              <w:t xml:space="preserve">, </w:t>
            </w:r>
            <w:r w:rsidRPr="00B44B19">
              <w:rPr>
                <w:rFonts w:eastAsia="Times New Roman" w:cs="Times New Roman"/>
                <w:bCs/>
                <w:sz w:val="16"/>
                <w:szCs w:val="16"/>
              </w:rPr>
              <w:t xml:space="preserve">kurie dalyvavę </w:t>
            </w:r>
            <w:r w:rsidRPr="00B44B19">
              <w:rPr>
                <w:rFonts w:eastAsia="Times New Roman" w:cs="Times New Roman"/>
                <w:sz w:val="16"/>
                <w:szCs w:val="16"/>
              </w:rPr>
              <w:t>švietimo civilinės saugos klausimais</w:t>
            </w:r>
            <w:r w:rsidRPr="00B44B19">
              <w:rPr>
                <w:rFonts w:eastAsia="Times New Roman" w:cs="Times New Roman"/>
                <w:bCs/>
                <w:sz w:val="16"/>
                <w:szCs w:val="16"/>
              </w:rPr>
              <w:t xml:space="preserve"> veiklose įgijo įgūdžius, dalis</w:t>
            </w:r>
          </w:p>
        </w:tc>
        <w:tc>
          <w:tcPr>
            <w:tcW w:w="328" w:type="pct"/>
          </w:tcPr>
          <w:p w14:paraId="7E0E44C1" w14:textId="77777777" w:rsidR="0087201A" w:rsidRPr="00B44B19" w:rsidRDefault="0087201A" w:rsidP="0087201A">
            <w:pPr>
              <w:spacing w:after="0" w:line="240" w:lineRule="auto"/>
              <w:jc w:val="both"/>
              <w:rPr>
                <w:rFonts w:eastAsia="Times New Roman" w:cs="Times New Roman"/>
                <w:color w:val="000000"/>
                <w:sz w:val="16"/>
                <w:szCs w:val="16"/>
                <w:shd w:val="clear" w:color="auto" w:fill="FFFFFF"/>
              </w:rPr>
            </w:pPr>
            <w:r w:rsidRPr="00B44B19">
              <w:rPr>
                <w:rFonts w:eastAsia="Times New Roman" w:cs="Times New Roman"/>
                <w:noProof/>
                <w:sz w:val="16"/>
                <w:szCs w:val="16"/>
              </w:rPr>
              <w:t>Procentai</w:t>
            </w:r>
          </w:p>
        </w:tc>
        <w:tc>
          <w:tcPr>
            <w:tcW w:w="328" w:type="pct"/>
          </w:tcPr>
          <w:p w14:paraId="0470A08B"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0</w:t>
            </w:r>
          </w:p>
        </w:tc>
        <w:tc>
          <w:tcPr>
            <w:tcW w:w="375" w:type="pct"/>
          </w:tcPr>
          <w:p w14:paraId="6FCBB4DB"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2025</w:t>
            </w:r>
          </w:p>
        </w:tc>
        <w:tc>
          <w:tcPr>
            <w:tcW w:w="328" w:type="pct"/>
          </w:tcPr>
          <w:p w14:paraId="74E636E2" w14:textId="77777777" w:rsidR="0087201A" w:rsidRPr="00B44B19" w:rsidRDefault="0087201A" w:rsidP="0087201A">
            <w:pPr>
              <w:spacing w:after="0" w:line="240" w:lineRule="auto"/>
              <w:jc w:val="center"/>
              <w:rPr>
                <w:rFonts w:eastAsia="Times New Roman" w:cs="Times New Roman"/>
                <w:iCs/>
                <w:noProof/>
                <w:sz w:val="16"/>
                <w:szCs w:val="16"/>
              </w:rPr>
            </w:pPr>
            <w:r w:rsidRPr="00B44B19">
              <w:rPr>
                <w:rFonts w:eastAsia="Times New Roman" w:cs="Times New Roman"/>
                <w:iCs/>
                <w:noProof/>
                <w:sz w:val="16"/>
                <w:szCs w:val="16"/>
              </w:rPr>
              <w:t>95</w:t>
            </w:r>
          </w:p>
        </w:tc>
        <w:tc>
          <w:tcPr>
            <w:tcW w:w="305" w:type="pct"/>
          </w:tcPr>
          <w:p w14:paraId="3ED469B9" w14:textId="77777777" w:rsidR="0087201A" w:rsidRPr="00B44B19" w:rsidRDefault="0087201A" w:rsidP="0087201A">
            <w:pPr>
              <w:spacing w:after="0" w:line="240" w:lineRule="auto"/>
              <w:jc w:val="both"/>
              <w:rPr>
                <w:rFonts w:eastAsia="Times New Roman" w:cs="Times New Roman"/>
                <w:noProof/>
                <w:sz w:val="16"/>
                <w:szCs w:val="16"/>
              </w:rPr>
            </w:pPr>
            <w:r w:rsidRPr="00B44B19">
              <w:rPr>
                <w:rFonts w:eastAsia="Times New Roman" w:cs="Times New Roman"/>
                <w:noProof/>
                <w:sz w:val="16"/>
                <w:szCs w:val="16"/>
              </w:rPr>
              <w:t>Projektų duomenys</w:t>
            </w:r>
          </w:p>
        </w:tc>
        <w:tc>
          <w:tcPr>
            <w:tcW w:w="346" w:type="pct"/>
          </w:tcPr>
          <w:p w14:paraId="75E8AE27" w14:textId="77777777" w:rsidR="0087201A" w:rsidRPr="00B44B19" w:rsidRDefault="0087201A" w:rsidP="0087201A">
            <w:pPr>
              <w:spacing w:after="0" w:line="240" w:lineRule="auto"/>
              <w:jc w:val="both"/>
              <w:rPr>
                <w:rFonts w:eastAsia="Times New Roman" w:cs="Times New Roman"/>
                <w:i/>
                <w:noProof/>
                <w:sz w:val="16"/>
                <w:szCs w:val="16"/>
                <w:lang w:eastAsia="lt-LT"/>
              </w:rPr>
            </w:pPr>
          </w:p>
        </w:tc>
      </w:tr>
    </w:tbl>
    <w:p w14:paraId="6A1350E0" w14:textId="77777777" w:rsidR="0087201A" w:rsidRPr="00B44B19" w:rsidRDefault="0087201A" w:rsidP="0087201A">
      <w:pPr>
        <w:spacing w:after="0" w:line="240" w:lineRule="auto"/>
        <w:jc w:val="both"/>
        <w:rPr>
          <w:rFonts w:eastAsia="Times New Roman" w:cs="Times New Roman"/>
          <w:b/>
          <w:sz w:val="22"/>
        </w:rPr>
      </w:pPr>
    </w:p>
    <w:p w14:paraId="021298E4" w14:textId="77777777" w:rsidR="0087201A" w:rsidRPr="00B44B19" w:rsidRDefault="0087201A" w:rsidP="0087201A">
      <w:pPr>
        <w:spacing w:after="0" w:line="240" w:lineRule="auto"/>
        <w:jc w:val="both"/>
        <w:rPr>
          <w:rFonts w:eastAsia="Times New Roman" w:cs="Times New Roman"/>
          <w:sz w:val="16"/>
          <w:szCs w:val="16"/>
        </w:rPr>
        <w:sectPr w:rsidR="0087201A" w:rsidRPr="00B44B19" w:rsidSect="0087201A">
          <w:pgSz w:w="16838" w:h="11906" w:orient="landscape"/>
          <w:pgMar w:top="1701" w:right="1276" w:bottom="567" w:left="1134" w:header="567" w:footer="567" w:gutter="0"/>
          <w:cols w:space="1296"/>
          <w:docGrid w:linePitch="360"/>
        </w:sectPr>
      </w:pPr>
    </w:p>
    <w:p w14:paraId="1E800B71" w14:textId="77777777" w:rsidR="0087201A" w:rsidRPr="00B44B19" w:rsidRDefault="0087201A" w:rsidP="0087201A">
      <w:pPr>
        <w:tabs>
          <w:tab w:val="center" w:pos="4819"/>
          <w:tab w:val="right" w:pos="9638"/>
        </w:tabs>
        <w:spacing w:before="120" w:after="120" w:line="240" w:lineRule="auto"/>
        <w:rPr>
          <w:rFonts w:eastAsia="Times New Roman" w:cs="Times New Roman"/>
          <w:b/>
          <w:i/>
          <w:noProof/>
          <w:color w:val="1F497D" w:themeColor="text2"/>
          <w:sz w:val="22"/>
          <w:lang w:eastAsia="lt-LT"/>
        </w:rPr>
      </w:pPr>
      <w:r w:rsidRPr="00B44B19">
        <w:rPr>
          <w:rFonts w:eastAsia="Times New Roman" w:cs="Times New Roman"/>
          <w:b/>
          <w:i/>
          <w:noProof/>
          <w:color w:val="1F497D" w:themeColor="text2"/>
          <w:sz w:val="22"/>
          <w:lang w:eastAsia="lt-LT"/>
        </w:rPr>
        <w:lastRenderedPageBreak/>
        <w:t>Preliminarus Programos išteklių suskirstymas pagal intervencinių priemonių rūšį</w:t>
      </w:r>
    </w:p>
    <w:tbl>
      <w:tblPr>
        <w:tblStyle w:val="Lentelstinklelis48"/>
        <w:tblW w:w="9624" w:type="dxa"/>
        <w:tblLayout w:type="fixed"/>
        <w:tblLook w:val="04A0" w:firstRow="1" w:lastRow="0" w:firstColumn="1" w:lastColumn="0" w:noHBand="0" w:noVBand="1"/>
      </w:tblPr>
      <w:tblGrid>
        <w:gridCol w:w="1069"/>
        <w:gridCol w:w="901"/>
        <w:gridCol w:w="1701"/>
        <w:gridCol w:w="1143"/>
        <w:gridCol w:w="3251"/>
        <w:gridCol w:w="1559"/>
      </w:tblGrid>
      <w:tr w:rsidR="0087201A" w:rsidRPr="00B44B19" w14:paraId="0D2DC2FA"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43B2C3" w14:textId="77777777" w:rsidR="0087201A" w:rsidRPr="00B44B19" w:rsidRDefault="0087201A" w:rsidP="0087201A">
            <w:pPr>
              <w:rPr>
                <w:rFonts w:cs="Times New Roman"/>
                <w:b/>
                <w:noProof/>
                <w:sz w:val="20"/>
              </w:rPr>
            </w:pPr>
            <w:r w:rsidRPr="00B44B19">
              <w:rPr>
                <w:rFonts w:cs="Times New Roman"/>
                <w:b/>
                <w:noProof/>
                <w:sz w:val="20"/>
              </w:rPr>
              <w:t>4 lentelė. 1 matmuo. Intervencinių priemonių sritis</w:t>
            </w:r>
          </w:p>
        </w:tc>
      </w:tr>
      <w:tr w:rsidR="0087201A" w:rsidRPr="00B44B19" w14:paraId="620F1738" w14:textId="77777777" w:rsidTr="003040E3">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9DA605" w14:textId="77777777" w:rsidR="0087201A" w:rsidRPr="00B44B19" w:rsidRDefault="0087201A" w:rsidP="0087201A">
            <w:pPr>
              <w:jc w:val="center"/>
              <w:rPr>
                <w:rFonts w:cs="Times New Roman"/>
                <w:b/>
                <w:iCs/>
                <w:noProof/>
                <w:sz w:val="20"/>
              </w:rPr>
            </w:pPr>
            <w:r w:rsidRPr="00B44B19">
              <w:rPr>
                <w:rFonts w:cs="Times New Roman"/>
                <w:b/>
                <w:noProof/>
                <w:sz w:val="20"/>
              </w:rPr>
              <w:t>Prioriteto Nr.</w:t>
            </w:r>
          </w:p>
        </w:tc>
        <w:tc>
          <w:tcPr>
            <w:tcW w:w="9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F6E64E" w14:textId="77777777" w:rsidR="0087201A" w:rsidRPr="00B44B19" w:rsidRDefault="0087201A" w:rsidP="0087201A">
            <w:pPr>
              <w:jc w:val="center"/>
              <w:rPr>
                <w:rFonts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EE2C09" w14:textId="77777777" w:rsidR="0087201A" w:rsidRPr="00B44B19" w:rsidRDefault="0087201A" w:rsidP="0087201A">
            <w:pPr>
              <w:jc w:val="center"/>
              <w:rPr>
                <w:rFonts w:cs="Times New Roman"/>
                <w:b/>
                <w:iCs/>
                <w:noProof/>
                <w:sz w:val="20"/>
              </w:rPr>
            </w:pPr>
            <w:r w:rsidRPr="00B44B19">
              <w:rPr>
                <w:rFonts w:cs="Times New Roman"/>
                <w:b/>
                <w:noProof/>
                <w:sz w:val="20"/>
              </w:rPr>
              <w:t>Regiono kategorija</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1C05C0" w14:textId="77777777" w:rsidR="0087201A" w:rsidRPr="00B44B19" w:rsidRDefault="0087201A" w:rsidP="0087201A">
            <w:pPr>
              <w:jc w:val="center"/>
              <w:rPr>
                <w:rFonts w:cs="Times New Roman"/>
                <w:b/>
                <w:iCs/>
                <w:noProof/>
                <w:sz w:val="20"/>
              </w:rPr>
            </w:pPr>
            <w:r w:rsidRPr="00B44B19">
              <w:rPr>
                <w:rFonts w:cs="Times New Roman"/>
                <w:b/>
                <w:noProof/>
                <w:sz w:val="20"/>
              </w:rPr>
              <w:t>Konkretus uždavinys</w:t>
            </w:r>
          </w:p>
        </w:tc>
        <w:tc>
          <w:tcPr>
            <w:tcW w:w="32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155E3B" w14:textId="77777777" w:rsidR="0087201A" w:rsidRPr="00B44B19" w:rsidRDefault="0087201A" w:rsidP="0087201A">
            <w:pPr>
              <w:jc w:val="center"/>
              <w:rPr>
                <w:rFonts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CCE237" w14:textId="77777777" w:rsidR="0087201A" w:rsidRPr="00B44B19" w:rsidRDefault="0087201A" w:rsidP="0087201A">
            <w:pPr>
              <w:jc w:val="center"/>
              <w:rPr>
                <w:rFonts w:cs="Times New Roman"/>
                <w:b/>
                <w:iCs/>
                <w:noProof/>
                <w:sz w:val="20"/>
              </w:rPr>
            </w:pPr>
            <w:r w:rsidRPr="00B44B19">
              <w:rPr>
                <w:rFonts w:cs="Times New Roman"/>
                <w:b/>
                <w:noProof/>
                <w:sz w:val="20"/>
              </w:rPr>
              <w:t>Suma (EUR)</w:t>
            </w:r>
          </w:p>
        </w:tc>
      </w:tr>
      <w:tr w:rsidR="0087201A" w:rsidRPr="00B44B19" w14:paraId="73A3A865" w14:textId="77777777" w:rsidTr="003040E3">
        <w:trPr>
          <w:trHeight w:val="549"/>
        </w:trPr>
        <w:tc>
          <w:tcPr>
            <w:tcW w:w="1069" w:type="dxa"/>
            <w:vMerge w:val="restart"/>
            <w:tcBorders>
              <w:top w:val="single" w:sz="12" w:space="0" w:color="auto"/>
            </w:tcBorders>
          </w:tcPr>
          <w:p w14:paraId="77FAA4DE"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16</w:t>
            </w:r>
          </w:p>
        </w:tc>
        <w:tc>
          <w:tcPr>
            <w:tcW w:w="901" w:type="dxa"/>
            <w:vMerge w:val="restart"/>
            <w:tcBorders>
              <w:top w:val="single" w:sz="12" w:space="0" w:color="auto"/>
            </w:tcBorders>
          </w:tcPr>
          <w:p w14:paraId="6593DD92"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ESF+</w:t>
            </w:r>
          </w:p>
        </w:tc>
        <w:tc>
          <w:tcPr>
            <w:tcW w:w="1701" w:type="dxa"/>
            <w:tcBorders>
              <w:top w:val="single" w:sz="12" w:space="0" w:color="auto"/>
            </w:tcBorders>
          </w:tcPr>
          <w:p w14:paraId="74A80CDE" w14:textId="77777777" w:rsidR="0087201A" w:rsidRPr="00B44B19" w:rsidRDefault="0087201A" w:rsidP="0087201A">
            <w:pPr>
              <w:rPr>
                <w:rFonts w:cs="Times New Roman"/>
                <w:iCs/>
                <w:noProof/>
                <w:sz w:val="20"/>
                <w:szCs w:val="20"/>
              </w:rPr>
            </w:pPr>
            <w:r w:rsidRPr="00B44B19">
              <w:rPr>
                <w:rFonts w:cs="Times New Roman"/>
                <w:noProof/>
                <w:sz w:val="20"/>
                <w:szCs w:val="20"/>
              </w:rPr>
              <w:t>Sostinės regionas</w:t>
            </w:r>
          </w:p>
        </w:tc>
        <w:tc>
          <w:tcPr>
            <w:tcW w:w="1143" w:type="dxa"/>
            <w:vMerge w:val="restart"/>
            <w:tcBorders>
              <w:top w:val="single" w:sz="12" w:space="0" w:color="auto"/>
            </w:tcBorders>
          </w:tcPr>
          <w:p w14:paraId="6E0290E3"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16.1</w:t>
            </w:r>
          </w:p>
        </w:tc>
        <w:tc>
          <w:tcPr>
            <w:tcW w:w="3251" w:type="dxa"/>
            <w:vMerge w:val="restart"/>
            <w:tcBorders>
              <w:top w:val="single" w:sz="12" w:space="0" w:color="auto"/>
            </w:tcBorders>
          </w:tcPr>
          <w:p w14:paraId="737D5890" w14:textId="77777777" w:rsidR="0087201A" w:rsidRPr="00B44B19" w:rsidRDefault="0087201A" w:rsidP="0087201A">
            <w:pPr>
              <w:jc w:val="both"/>
              <w:rPr>
                <w:rFonts w:cs="Times New Roman"/>
                <w:iCs/>
                <w:noProof/>
                <w:sz w:val="20"/>
                <w:szCs w:val="20"/>
              </w:rPr>
            </w:pPr>
            <w:r w:rsidRPr="00B44B19">
              <w:rPr>
                <w:rFonts w:cs="Times New Roman"/>
                <w:iCs/>
                <w:noProof/>
                <w:sz w:val="20"/>
                <w:szCs w:val="20"/>
              </w:rPr>
              <w:t>160 – Priemonės, kuriomis gerinamas sveikatos priežiūros sistemų prieinamumas, efektyvumas ir atsparumas (išskyrus infrastruktūrą)</w:t>
            </w:r>
          </w:p>
        </w:tc>
        <w:tc>
          <w:tcPr>
            <w:tcW w:w="1559" w:type="dxa"/>
            <w:tcBorders>
              <w:top w:val="single" w:sz="12" w:space="0" w:color="auto"/>
            </w:tcBorders>
          </w:tcPr>
          <w:p w14:paraId="2ABB6F25" w14:textId="77777777" w:rsidR="0087201A" w:rsidRPr="00B44B19" w:rsidRDefault="0087201A" w:rsidP="0087201A">
            <w:pPr>
              <w:jc w:val="right"/>
              <w:rPr>
                <w:rFonts w:cs="Times New Roman"/>
                <w:iCs/>
                <w:noProof/>
                <w:sz w:val="20"/>
                <w:szCs w:val="20"/>
              </w:rPr>
            </w:pPr>
            <w:r w:rsidRPr="00B44B19">
              <w:rPr>
                <w:rFonts w:cs="Times New Roman"/>
                <w:iCs/>
                <w:noProof/>
                <w:sz w:val="20"/>
                <w:szCs w:val="20"/>
              </w:rPr>
              <w:t>84 000,00</w:t>
            </w:r>
          </w:p>
        </w:tc>
      </w:tr>
      <w:tr w:rsidR="0087201A" w:rsidRPr="00B44B19" w14:paraId="700DD56D" w14:textId="77777777" w:rsidTr="003040E3">
        <w:trPr>
          <w:trHeight w:val="549"/>
        </w:trPr>
        <w:tc>
          <w:tcPr>
            <w:tcW w:w="1069" w:type="dxa"/>
            <w:vMerge/>
            <w:tcBorders>
              <w:top w:val="single" w:sz="12" w:space="0" w:color="auto"/>
            </w:tcBorders>
          </w:tcPr>
          <w:p w14:paraId="68800F3E" w14:textId="77777777" w:rsidR="0087201A" w:rsidRPr="00B44B19" w:rsidRDefault="0087201A" w:rsidP="0087201A">
            <w:pPr>
              <w:jc w:val="center"/>
              <w:rPr>
                <w:rFonts w:cs="Times New Roman"/>
                <w:iCs/>
                <w:noProof/>
                <w:sz w:val="20"/>
                <w:szCs w:val="20"/>
              </w:rPr>
            </w:pPr>
          </w:p>
        </w:tc>
        <w:tc>
          <w:tcPr>
            <w:tcW w:w="901" w:type="dxa"/>
            <w:vMerge/>
            <w:tcBorders>
              <w:top w:val="single" w:sz="12" w:space="0" w:color="auto"/>
            </w:tcBorders>
          </w:tcPr>
          <w:p w14:paraId="13D5B4BD" w14:textId="77777777" w:rsidR="0087201A" w:rsidRPr="00B44B19" w:rsidRDefault="0087201A" w:rsidP="0087201A">
            <w:pPr>
              <w:jc w:val="center"/>
              <w:rPr>
                <w:rFonts w:cs="Times New Roman"/>
                <w:iCs/>
                <w:noProof/>
                <w:sz w:val="20"/>
                <w:szCs w:val="20"/>
              </w:rPr>
            </w:pPr>
          </w:p>
        </w:tc>
        <w:tc>
          <w:tcPr>
            <w:tcW w:w="1701" w:type="dxa"/>
            <w:tcBorders>
              <w:top w:val="single" w:sz="12" w:space="0" w:color="auto"/>
            </w:tcBorders>
          </w:tcPr>
          <w:p w14:paraId="088369C4" w14:textId="77777777" w:rsidR="0087201A" w:rsidRPr="00B44B19" w:rsidRDefault="0087201A" w:rsidP="0087201A">
            <w:pPr>
              <w:rPr>
                <w:rFonts w:cs="Times New Roman"/>
                <w:noProof/>
                <w:sz w:val="20"/>
                <w:szCs w:val="20"/>
              </w:rPr>
            </w:pPr>
            <w:r w:rsidRPr="00B44B19">
              <w:rPr>
                <w:rFonts w:cs="Times New Roman"/>
                <w:noProof/>
                <w:sz w:val="20"/>
                <w:szCs w:val="20"/>
              </w:rPr>
              <w:t>VVL regionas</w:t>
            </w:r>
          </w:p>
        </w:tc>
        <w:tc>
          <w:tcPr>
            <w:tcW w:w="1143" w:type="dxa"/>
            <w:vMerge/>
            <w:tcBorders>
              <w:top w:val="single" w:sz="12" w:space="0" w:color="auto"/>
            </w:tcBorders>
          </w:tcPr>
          <w:p w14:paraId="347D3309" w14:textId="77777777" w:rsidR="0087201A" w:rsidRPr="00B44B19" w:rsidRDefault="0087201A" w:rsidP="0087201A">
            <w:pPr>
              <w:jc w:val="center"/>
              <w:rPr>
                <w:rFonts w:cs="Times New Roman"/>
                <w:iCs/>
                <w:noProof/>
                <w:sz w:val="20"/>
                <w:szCs w:val="20"/>
              </w:rPr>
            </w:pPr>
          </w:p>
        </w:tc>
        <w:tc>
          <w:tcPr>
            <w:tcW w:w="3251" w:type="dxa"/>
            <w:vMerge/>
            <w:tcBorders>
              <w:top w:val="single" w:sz="12" w:space="0" w:color="auto"/>
            </w:tcBorders>
          </w:tcPr>
          <w:p w14:paraId="421BA7E7" w14:textId="77777777" w:rsidR="0087201A" w:rsidRPr="00B44B19" w:rsidRDefault="0087201A" w:rsidP="0087201A">
            <w:pPr>
              <w:jc w:val="both"/>
              <w:rPr>
                <w:rFonts w:cs="Times New Roman"/>
                <w:iCs/>
                <w:noProof/>
                <w:sz w:val="20"/>
                <w:szCs w:val="20"/>
              </w:rPr>
            </w:pPr>
          </w:p>
        </w:tc>
        <w:tc>
          <w:tcPr>
            <w:tcW w:w="1559" w:type="dxa"/>
            <w:tcBorders>
              <w:top w:val="single" w:sz="12" w:space="0" w:color="auto"/>
            </w:tcBorders>
          </w:tcPr>
          <w:p w14:paraId="3A051545" w14:textId="77777777" w:rsidR="0087201A" w:rsidRPr="00B44B19" w:rsidRDefault="0087201A" w:rsidP="0087201A">
            <w:pPr>
              <w:jc w:val="right"/>
              <w:rPr>
                <w:rFonts w:cs="Times New Roman"/>
                <w:iCs/>
                <w:noProof/>
                <w:sz w:val="20"/>
                <w:szCs w:val="20"/>
              </w:rPr>
            </w:pPr>
            <w:r w:rsidRPr="00B44B19">
              <w:rPr>
                <w:rFonts w:cs="Times New Roman"/>
                <w:iCs/>
                <w:noProof/>
                <w:sz w:val="20"/>
                <w:szCs w:val="20"/>
              </w:rPr>
              <w:t>9 216 389,00</w:t>
            </w:r>
          </w:p>
        </w:tc>
      </w:tr>
      <w:tr w:rsidR="0087201A" w:rsidRPr="00B44B19" w14:paraId="14E1CA4D" w14:textId="77777777" w:rsidTr="003040E3">
        <w:trPr>
          <w:trHeight w:val="549"/>
        </w:trPr>
        <w:tc>
          <w:tcPr>
            <w:tcW w:w="1069" w:type="dxa"/>
            <w:vMerge/>
            <w:tcBorders>
              <w:top w:val="single" w:sz="12" w:space="0" w:color="auto"/>
            </w:tcBorders>
          </w:tcPr>
          <w:p w14:paraId="5DC19CE0" w14:textId="77777777" w:rsidR="0087201A" w:rsidRPr="00B44B19" w:rsidRDefault="0087201A" w:rsidP="0087201A">
            <w:pPr>
              <w:jc w:val="center"/>
              <w:rPr>
                <w:rFonts w:cs="Times New Roman"/>
                <w:iCs/>
                <w:noProof/>
                <w:sz w:val="20"/>
                <w:szCs w:val="20"/>
              </w:rPr>
            </w:pPr>
          </w:p>
        </w:tc>
        <w:tc>
          <w:tcPr>
            <w:tcW w:w="901" w:type="dxa"/>
            <w:vMerge/>
            <w:tcBorders>
              <w:top w:val="single" w:sz="12" w:space="0" w:color="auto"/>
            </w:tcBorders>
          </w:tcPr>
          <w:p w14:paraId="67AC14F7" w14:textId="77777777" w:rsidR="0087201A" w:rsidRPr="00B44B19" w:rsidRDefault="0087201A" w:rsidP="0087201A">
            <w:pPr>
              <w:jc w:val="center"/>
              <w:rPr>
                <w:rFonts w:cs="Times New Roman"/>
                <w:iCs/>
                <w:noProof/>
                <w:sz w:val="20"/>
                <w:szCs w:val="20"/>
              </w:rPr>
            </w:pPr>
          </w:p>
        </w:tc>
        <w:tc>
          <w:tcPr>
            <w:tcW w:w="1701" w:type="dxa"/>
            <w:tcBorders>
              <w:top w:val="single" w:sz="12" w:space="0" w:color="auto"/>
            </w:tcBorders>
          </w:tcPr>
          <w:p w14:paraId="4FAD2E88" w14:textId="77777777" w:rsidR="0087201A" w:rsidRPr="00B44B19" w:rsidRDefault="0087201A" w:rsidP="0087201A">
            <w:pPr>
              <w:rPr>
                <w:rFonts w:cs="Times New Roman"/>
                <w:noProof/>
                <w:sz w:val="20"/>
                <w:szCs w:val="20"/>
              </w:rPr>
            </w:pPr>
            <w:r w:rsidRPr="00B44B19">
              <w:rPr>
                <w:rFonts w:cs="Times New Roman"/>
                <w:noProof/>
                <w:sz w:val="20"/>
                <w:szCs w:val="20"/>
              </w:rPr>
              <w:t>Sostinės regionas</w:t>
            </w:r>
          </w:p>
        </w:tc>
        <w:tc>
          <w:tcPr>
            <w:tcW w:w="1143" w:type="dxa"/>
            <w:vMerge/>
            <w:tcBorders>
              <w:top w:val="single" w:sz="12" w:space="0" w:color="auto"/>
            </w:tcBorders>
          </w:tcPr>
          <w:p w14:paraId="41DEF956" w14:textId="77777777" w:rsidR="0087201A" w:rsidRPr="00B44B19" w:rsidRDefault="0087201A" w:rsidP="0087201A">
            <w:pPr>
              <w:jc w:val="center"/>
              <w:rPr>
                <w:rFonts w:cs="Times New Roman"/>
                <w:iCs/>
                <w:noProof/>
                <w:sz w:val="20"/>
                <w:szCs w:val="20"/>
              </w:rPr>
            </w:pPr>
          </w:p>
        </w:tc>
        <w:tc>
          <w:tcPr>
            <w:tcW w:w="3251" w:type="dxa"/>
            <w:vMerge w:val="restart"/>
          </w:tcPr>
          <w:p w14:paraId="22104198" w14:textId="77777777" w:rsidR="0087201A" w:rsidRPr="00B44B19" w:rsidRDefault="0087201A" w:rsidP="0087201A">
            <w:pPr>
              <w:jc w:val="both"/>
              <w:rPr>
                <w:rFonts w:cs="Times New Roman"/>
                <w:iCs/>
                <w:noProof/>
                <w:sz w:val="20"/>
                <w:szCs w:val="20"/>
              </w:rPr>
            </w:pPr>
            <w:r w:rsidRPr="00B44B19">
              <w:rPr>
                <w:rFonts w:cs="Times New Roman"/>
                <w:iCs/>
                <w:noProof/>
                <w:sz w:val="20"/>
                <w:szCs w:val="20"/>
              </w:rPr>
              <w:t>152 – Priemonės, kuriomis skatinamos lygios galimybės ir aktyvus dalyvavimas visuomenėje</w:t>
            </w:r>
          </w:p>
          <w:p w14:paraId="64B12687" w14:textId="77777777" w:rsidR="0087201A" w:rsidRPr="00B44B19" w:rsidRDefault="0087201A" w:rsidP="0087201A">
            <w:pPr>
              <w:jc w:val="both"/>
              <w:rPr>
                <w:rFonts w:cs="Times New Roman"/>
                <w:iCs/>
                <w:noProof/>
                <w:sz w:val="20"/>
                <w:szCs w:val="20"/>
              </w:rPr>
            </w:pPr>
          </w:p>
        </w:tc>
        <w:tc>
          <w:tcPr>
            <w:tcW w:w="1559" w:type="dxa"/>
            <w:tcBorders>
              <w:top w:val="single" w:sz="12" w:space="0" w:color="auto"/>
            </w:tcBorders>
          </w:tcPr>
          <w:p w14:paraId="7B1FFFBA" w14:textId="77777777" w:rsidR="0087201A" w:rsidRPr="00B44B19" w:rsidRDefault="0087201A" w:rsidP="0087201A">
            <w:pPr>
              <w:tabs>
                <w:tab w:val="left" w:pos="6379"/>
              </w:tabs>
              <w:jc w:val="right"/>
              <w:rPr>
                <w:rFonts w:cs="Times New Roman"/>
                <w:iCs/>
                <w:noProof/>
                <w:sz w:val="20"/>
                <w:szCs w:val="20"/>
              </w:rPr>
            </w:pPr>
            <w:r w:rsidRPr="00B44B19">
              <w:rPr>
                <w:rFonts w:cs="Times New Roman"/>
                <w:iCs/>
                <w:noProof/>
                <w:sz w:val="20"/>
                <w:szCs w:val="20"/>
                <w:lang w:val="en-US"/>
              </w:rPr>
              <w:t xml:space="preserve">315 790,00 </w:t>
            </w:r>
            <w:r w:rsidRPr="00B44B19">
              <w:rPr>
                <w:rFonts w:cs="Times New Roman"/>
                <w:iCs/>
                <w:noProof/>
                <w:sz w:val="20"/>
                <w:szCs w:val="20"/>
              </w:rPr>
              <w:t xml:space="preserve"> </w:t>
            </w:r>
          </w:p>
          <w:p w14:paraId="15A277FC" w14:textId="77777777" w:rsidR="0087201A" w:rsidRPr="00B44B19" w:rsidRDefault="0087201A" w:rsidP="0087201A">
            <w:pPr>
              <w:jc w:val="right"/>
              <w:rPr>
                <w:rFonts w:cs="Times New Roman"/>
                <w:iCs/>
                <w:noProof/>
                <w:sz w:val="20"/>
                <w:szCs w:val="20"/>
              </w:rPr>
            </w:pPr>
          </w:p>
        </w:tc>
      </w:tr>
      <w:tr w:rsidR="0087201A" w:rsidRPr="00B44B19" w14:paraId="71D9A0B1" w14:textId="77777777" w:rsidTr="003040E3">
        <w:tc>
          <w:tcPr>
            <w:tcW w:w="1069" w:type="dxa"/>
            <w:vMerge/>
            <w:tcBorders>
              <w:top w:val="single" w:sz="12" w:space="0" w:color="auto"/>
            </w:tcBorders>
          </w:tcPr>
          <w:p w14:paraId="351AB7F3" w14:textId="77777777" w:rsidR="0087201A" w:rsidRPr="00B44B19" w:rsidRDefault="0087201A" w:rsidP="0087201A">
            <w:pPr>
              <w:jc w:val="center"/>
              <w:rPr>
                <w:rFonts w:cs="Times New Roman"/>
                <w:noProof/>
                <w:sz w:val="20"/>
                <w:szCs w:val="20"/>
              </w:rPr>
            </w:pPr>
          </w:p>
        </w:tc>
        <w:tc>
          <w:tcPr>
            <w:tcW w:w="901" w:type="dxa"/>
            <w:vMerge/>
            <w:tcBorders>
              <w:top w:val="single" w:sz="12" w:space="0" w:color="auto"/>
            </w:tcBorders>
          </w:tcPr>
          <w:p w14:paraId="5D0FC628" w14:textId="77777777" w:rsidR="0087201A" w:rsidRPr="00B44B19" w:rsidRDefault="0087201A" w:rsidP="0087201A">
            <w:pPr>
              <w:jc w:val="center"/>
              <w:rPr>
                <w:rFonts w:cs="Times New Roman"/>
                <w:noProof/>
                <w:sz w:val="20"/>
                <w:szCs w:val="20"/>
              </w:rPr>
            </w:pPr>
          </w:p>
        </w:tc>
        <w:tc>
          <w:tcPr>
            <w:tcW w:w="1701" w:type="dxa"/>
          </w:tcPr>
          <w:p w14:paraId="4131E76A" w14:textId="77777777" w:rsidR="0087201A" w:rsidRPr="00B44B19" w:rsidRDefault="0087201A" w:rsidP="0087201A">
            <w:pPr>
              <w:rPr>
                <w:rFonts w:cs="Times New Roman"/>
                <w:noProof/>
                <w:sz w:val="20"/>
                <w:szCs w:val="20"/>
              </w:rPr>
            </w:pPr>
            <w:r w:rsidRPr="00B44B19">
              <w:rPr>
                <w:rFonts w:cs="Times New Roman"/>
                <w:noProof/>
                <w:sz w:val="20"/>
                <w:szCs w:val="20"/>
              </w:rPr>
              <w:t>VVL regionas</w:t>
            </w:r>
          </w:p>
        </w:tc>
        <w:tc>
          <w:tcPr>
            <w:tcW w:w="1143" w:type="dxa"/>
            <w:vMerge/>
            <w:tcBorders>
              <w:top w:val="single" w:sz="12" w:space="0" w:color="auto"/>
            </w:tcBorders>
          </w:tcPr>
          <w:p w14:paraId="3287A327" w14:textId="77777777" w:rsidR="0087201A" w:rsidRPr="00B44B19" w:rsidRDefault="0087201A" w:rsidP="0087201A">
            <w:pPr>
              <w:jc w:val="center"/>
              <w:rPr>
                <w:rFonts w:cs="Times New Roman"/>
                <w:noProof/>
                <w:sz w:val="20"/>
                <w:szCs w:val="20"/>
              </w:rPr>
            </w:pPr>
          </w:p>
        </w:tc>
        <w:tc>
          <w:tcPr>
            <w:tcW w:w="3251" w:type="dxa"/>
            <w:vMerge/>
          </w:tcPr>
          <w:p w14:paraId="188ADA40" w14:textId="77777777" w:rsidR="0087201A" w:rsidRPr="00B44B19" w:rsidDel="00AA781F" w:rsidRDefault="0087201A" w:rsidP="0087201A">
            <w:pPr>
              <w:jc w:val="both"/>
              <w:rPr>
                <w:rFonts w:cs="Times New Roman"/>
                <w:iCs/>
                <w:noProof/>
                <w:sz w:val="20"/>
                <w:szCs w:val="20"/>
              </w:rPr>
            </w:pPr>
          </w:p>
        </w:tc>
        <w:tc>
          <w:tcPr>
            <w:tcW w:w="1559" w:type="dxa"/>
          </w:tcPr>
          <w:p w14:paraId="21E37CE1" w14:textId="77777777" w:rsidR="0087201A" w:rsidRPr="00B44B19" w:rsidRDefault="0087201A" w:rsidP="0087201A">
            <w:pPr>
              <w:tabs>
                <w:tab w:val="left" w:pos="6379"/>
              </w:tabs>
              <w:rPr>
                <w:rFonts w:cs="Times New Roman"/>
                <w:iCs/>
                <w:noProof/>
                <w:sz w:val="20"/>
                <w:szCs w:val="20"/>
              </w:rPr>
            </w:pPr>
          </w:p>
          <w:p w14:paraId="2F3A7CFC" w14:textId="77777777" w:rsidR="0087201A" w:rsidRPr="00B44B19" w:rsidDel="00A949B6" w:rsidRDefault="0087201A" w:rsidP="0087201A">
            <w:pPr>
              <w:jc w:val="right"/>
              <w:rPr>
                <w:rFonts w:cs="Times New Roman"/>
                <w:iCs/>
                <w:noProof/>
                <w:sz w:val="20"/>
                <w:szCs w:val="20"/>
              </w:rPr>
            </w:pPr>
            <w:r w:rsidRPr="00B44B19">
              <w:rPr>
                <w:rFonts w:cs="Times New Roman"/>
                <w:iCs/>
                <w:noProof/>
                <w:sz w:val="20"/>
                <w:szCs w:val="20"/>
              </w:rPr>
              <w:t>4 700 000,00</w:t>
            </w:r>
          </w:p>
        </w:tc>
      </w:tr>
    </w:tbl>
    <w:p w14:paraId="44F69BA3"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48"/>
        <w:tblW w:w="9624" w:type="dxa"/>
        <w:tblLayout w:type="fixed"/>
        <w:tblLook w:val="04A0" w:firstRow="1" w:lastRow="0" w:firstColumn="1" w:lastColumn="0" w:noHBand="0" w:noVBand="1"/>
      </w:tblPr>
      <w:tblGrid>
        <w:gridCol w:w="1101"/>
        <w:gridCol w:w="850"/>
        <w:gridCol w:w="1720"/>
        <w:gridCol w:w="1134"/>
        <w:gridCol w:w="3317"/>
        <w:gridCol w:w="1502"/>
      </w:tblGrid>
      <w:tr w:rsidR="0087201A" w:rsidRPr="00B44B19" w14:paraId="5DCD4AC1"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3BDA770" w14:textId="77777777" w:rsidR="0087201A" w:rsidRPr="00B44B19" w:rsidRDefault="0087201A" w:rsidP="0087201A">
            <w:pPr>
              <w:rPr>
                <w:rFonts w:cs="Times New Roman"/>
                <w:b/>
                <w:iCs/>
                <w:noProof/>
                <w:sz w:val="20"/>
              </w:rPr>
            </w:pPr>
            <w:r w:rsidRPr="00B44B19">
              <w:rPr>
                <w:rFonts w:cs="Times New Roman"/>
                <w:b/>
                <w:noProof/>
                <w:sz w:val="20"/>
              </w:rPr>
              <w:t>5 lentelė. 2 matmuo. Finansavimo forma</w:t>
            </w:r>
          </w:p>
        </w:tc>
      </w:tr>
      <w:tr w:rsidR="0087201A" w:rsidRPr="00B44B19" w14:paraId="6FF31445"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B9AA80" w14:textId="77777777" w:rsidR="0087201A" w:rsidRPr="00B44B19" w:rsidRDefault="0087201A" w:rsidP="0087201A">
            <w:pPr>
              <w:jc w:val="center"/>
              <w:rPr>
                <w:rFonts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CEC8EB" w14:textId="77777777" w:rsidR="0087201A" w:rsidRPr="00B44B19" w:rsidRDefault="0087201A" w:rsidP="0087201A">
            <w:pPr>
              <w:jc w:val="center"/>
              <w:rPr>
                <w:rFonts w:cs="Times New Roman"/>
                <w:b/>
                <w:iCs/>
                <w:noProof/>
                <w:sz w:val="20"/>
              </w:rPr>
            </w:pPr>
            <w:r w:rsidRPr="00B44B19">
              <w:rPr>
                <w:rFonts w:cs="Times New Roman"/>
                <w:b/>
                <w:noProof/>
                <w:sz w:val="20"/>
              </w:rPr>
              <w:t>Fondas</w:t>
            </w:r>
          </w:p>
        </w:tc>
        <w:tc>
          <w:tcPr>
            <w:tcW w:w="17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FE9FBC" w14:textId="77777777" w:rsidR="0087201A" w:rsidRPr="00B44B19" w:rsidRDefault="0087201A" w:rsidP="0087201A">
            <w:pPr>
              <w:jc w:val="center"/>
              <w:rPr>
                <w:rFonts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42CA42" w14:textId="77777777" w:rsidR="0087201A" w:rsidRPr="00B44B19" w:rsidRDefault="0087201A" w:rsidP="0087201A">
            <w:pPr>
              <w:jc w:val="center"/>
              <w:rPr>
                <w:rFonts w:cs="Times New Roman"/>
                <w:b/>
                <w:iCs/>
                <w:noProof/>
                <w:sz w:val="20"/>
              </w:rPr>
            </w:pPr>
            <w:r w:rsidRPr="00B44B19">
              <w:rPr>
                <w:rFonts w:cs="Times New Roman"/>
                <w:b/>
                <w:noProof/>
                <w:sz w:val="20"/>
              </w:rPr>
              <w:t>Konkretus uždavinys</w:t>
            </w:r>
          </w:p>
        </w:tc>
        <w:tc>
          <w:tcPr>
            <w:tcW w:w="33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563372" w14:textId="77777777" w:rsidR="0087201A" w:rsidRPr="00B44B19" w:rsidRDefault="0087201A" w:rsidP="0087201A">
            <w:pPr>
              <w:jc w:val="center"/>
              <w:rPr>
                <w:rFonts w:cs="Times New Roman"/>
                <w:b/>
                <w:iCs/>
                <w:noProof/>
                <w:sz w:val="20"/>
              </w:rPr>
            </w:pPr>
            <w:r w:rsidRPr="00B44B19">
              <w:rPr>
                <w:rFonts w:cs="Times New Roman"/>
                <w:b/>
                <w:noProof/>
                <w:sz w:val="20"/>
              </w:rPr>
              <w:t>Kodas</w:t>
            </w:r>
          </w:p>
        </w:tc>
        <w:tc>
          <w:tcPr>
            <w:tcW w:w="15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0084CA" w14:textId="77777777" w:rsidR="0087201A" w:rsidRPr="00B44B19" w:rsidRDefault="0087201A" w:rsidP="0087201A">
            <w:pPr>
              <w:jc w:val="center"/>
              <w:rPr>
                <w:rFonts w:cs="Times New Roman"/>
                <w:b/>
                <w:iCs/>
                <w:noProof/>
                <w:sz w:val="20"/>
              </w:rPr>
            </w:pPr>
            <w:r w:rsidRPr="00B44B19">
              <w:rPr>
                <w:rFonts w:cs="Times New Roman"/>
                <w:b/>
                <w:noProof/>
                <w:sz w:val="20"/>
              </w:rPr>
              <w:t>Suma (EUR)</w:t>
            </w:r>
          </w:p>
        </w:tc>
      </w:tr>
      <w:tr w:rsidR="0087201A" w:rsidRPr="00B44B19" w14:paraId="59079B71" w14:textId="77777777" w:rsidTr="003040E3">
        <w:tc>
          <w:tcPr>
            <w:tcW w:w="1101" w:type="dxa"/>
            <w:vMerge w:val="restart"/>
            <w:tcBorders>
              <w:top w:val="single" w:sz="12" w:space="0" w:color="auto"/>
            </w:tcBorders>
          </w:tcPr>
          <w:p w14:paraId="5B5D8191"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16</w:t>
            </w:r>
          </w:p>
        </w:tc>
        <w:tc>
          <w:tcPr>
            <w:tcW w:w="850" w:type="dxa"/>
            <w:vMerge w:val="restart"/>
            <w:tcBorders>
              <w:top w:val="single" w:sz="12" w:space="0" w:color="auto"/>
            </w:tcBorders>
          </w:tcPr>
          <w:p w14:paraId="2D408419"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ESF+</w:t>
            </w:r>
          </w:p>
        </w:tc>
        <w:tc>
          <w:tcPr>
            <w:tcW w:w="1720" w:type="dxa"/>
            <w:tcBorders>
              <w:top w:val="single" w:sz="12" w:space="0" w:color="auto"/>
            </w:tcBorders>
          </w:tcPr>
          <w:p w14:paraId="1F18868E" w14:textId="77777777" w:rsidR="0087201A" w:rsidRPr="00B44B19" w:rsidRDefault="0087201A" w:rsidP="0087201A">
            <w:pPr>
              <w:rPr>
                <w:rFonts w:cs="Times New Roman"/>
                <w:iCs/>
                <w:noProof/>
                <w:sz w:val="20"/>
                <w:szCs w:val="20"/>
              </w:rPr>
            </w:pPr>
            <w:r w:rsidRPr="00B44B19">
              <w:rPr>
                <w:rFonts w:cs="Times New Roman"/>
                <w:noProof/>
                <w:sz w:val="20"/>
                <w:szCs w:val="20"/>
              </w:rPr>
              <w:t>Sostinės regionas</w:t>
            </w:r>
          </w:p>
        </w:tc>
        <w:tc>
          <w:tcPr>
            <w:tcW w:w="1134" w:type="dxa"/>
            <w:vMerge w:val="restart"/>
            <w:tcBorders>
              <w:top w:val="single" w:sz="12" w:space="0" w:color="auto"/>
            </w:tcBorders>
          </w:tcPr>
          <w:p w14:paraId="0AEEB667" w14:textId="77777777" w:rsidR="0087201A" w:rsidRPr="00B44B19" w:rsidRDefault="0087201A" w:rsidP="0087201A">
            <w:pPr>
              <w:jc w:val="center"/>
              <w:rPr>
                <w:rFonts w:cs="Times New Roman"/>
                <w:bCs/>
                <w:iCs/>
                <w:noProof/>
                <w:sz w:val="20"/>
                <w:szCs w:val="20"/>
              </w:rPr>
            </w:pPr>
            <w:r w:rsidRPr="00B44B19">
              <w:rPr>
                <w:rFonts w:cs="Times New Roman"/>
                <w:bCs/>
                <w:iCs/>
                <w:noProof/>
                <w:sz w:val="20"/>
                <w:szCs w:val="20"/>
              </w:rPr>
              <w:t>16.1</w:t>
            </w:r>
          </w:p>
        </w:tc>
        <w:tc>
          <w:tcPr>
            <w:tcW w:w="3317" w:type="dxa"/>
            <w:vMerge w:val="restart"/>
            <w:tcBorders>
              <w:top w:val="single" w:sz="12" w:space="0" w:color="auto"/>
            </w:tcBorders>
          </w:tcPr>
          <w:p w14:paraId="02D84578" w14:textId="77777777" w:rsidR="0087201A" w:rsidRPr="00B44B19" w:rsidRDefault="0087201A" w:rsidP="0087201A">
            <w:pPr>
              <w:rPr>
                <w:rFonts w:cs="Times New Roman"/>
                <w:bCs/>
                <w:iCs/>
                <w:noProof/>
                <w:sz w:val="20"/>
                <w:szCs w:val="20"/>
              </w:rPr>
            </w:pPr>
            <w:r w:rsidRPr="00B44B19">
              <w:rPr>
                <w:rFonts w:cs="Times New Roman"/>
                <w:bCs/>
                <w:iCs/>
                <w:noProof/>
                <w:sz w:val="20"/>
                <w:szCs w:val="20"/>
              </w:rPr>
              <w:t>01 – Dotacija</w:t>
            </w:r>
          </w:p>
        </w:tc>
        <w:tc>
          <w:tcPr>
            <w:tcW w:w="1502" w:type="dxa"/>
            <w:tcBorders>
              <w:top w:val="single" w:sz="12" w:space="0" w:color="auto"/>
            </w:tcBorders>
          </w:tcPr>
          <w:p w14:paraId="3DEDBAFA" w14:textId="77777777" w:rsidR="0087201A" w:rsidRPr="00B44B19" w:rsidRDefault="0087201A" w:rsidP="0087201A">
            <w:pPr>
              <w:jc w:val="right"/>
              <w:rPr>
                <w:rFonts w:cs="Times New Roman"/>
                <w:sz w:val="20"/>
                <w:szCs w:val="20"/>
              </w:rPr>
            </w:pPr>
            <w:r w:rsidRPr="00B44B19">
              <w:rPr>
                <w:rFonts w:cs="Times New Roman"/>
                <w:sz w:val="20"/>
                <w:szCs w:val="20"/>
              </w:rPr>
              <w:t>399 790,00</w:t>
            </w:r>
          </w:p>
          <w:p w14:paraId="642ACD01" w14:textId="77777777" w:rsidR="0087201A" w:rsidRPr="00B44B19" w:rsidRDefault="0087201A" w:rsidP="0087201A">
            <w:pPr>
              <w:jc w:val="right"/>
              <w:rPr>
                <w:rFonts w:cs="Times New Roman"/>
                <w:sz w:val="20"/>
                <w:szCs w:val="20"/>
              </w:rPr>
            </w:pPr>
          </w:p>
        </w:tc>
      </w:tr>
      <w:tr w:rsidR="0087201A" w:rsidRPr="00B44B19" w14:paraId="26EC17BD" w14:textId="77777777" w:rsidTr="003040E3">
        <w:tc>
          <w:tcPr>
            <w:tcW w:w="1101" w:type="dxa"/>
            <w:vMerge/>
            <w:tcBorders>
              <w:top w:val="single" w:sz="12" w:space="0" w:color="auto"/>
            </w:tcBorders>
          </w:tcPr>
          <w:p w14:paraId="13E33677" w14:textId="77777777" w:rsidR="0087201A" w:rsidRPr="00B44B19" w:rsidRDefault="0087201A" w:rsidP="0087201A">
            <w:pPr>
              <w:jc w:val="center"/>
              <w:rPr>
                <w:rFonts w:cs="Times New Roman"/>
                <w:iCs/>
                <w:noProof/>
                <w:sz w:val="20"/>
                <w:szCs w:val="20"/>
              </w:rPr>
            </w:pPr>
          </w:p>
        </w:tc>
        <w:tc>
          <w:tcPr>
            <w:tcW w:w="850" w:type="dxa"/>
            <w:vMerge/>
            <w:tcBorders>
              <w:top w:val="single" w:sz="12" w:space="0" w:color="auto"/>
            </w:tcBorders>
          </w:tcPr>
          <w:p w14:paraId="0EAD22BD" w14:textId="77777777" w:rsidR="0087201A" w:rsidRPr="00B44B19" w:rsidRDefault="0087201A" w:rsidP="0087201A">
            <w:pPr>
              <w:jc w:val="center"/>
              <w:rPr>
                <w:rFonts w:cs="Times New Roman"/>
                <w:iCs/>
                <w:noProof/>
                <w:sz w:val="20"/>
                <w:szCs w:val="20"/>
              </w:rPr>
            </w:pPr>
          </w:p>
        </w:tc>
        <w:tc>
          <w:tcPr>
            <w:tcW w:w="1720" w:type="dxa"/>
            <w:tcBorders>
              <w:top w:val="single" w:sz="12" w:space="0" w:color="auto"/>
            </w:tcBorders>
          </w:tcPr>
          <w:p w14:paraId="231A6648" w14:textId="77777777" w:rsidR="0087201A" w:rsidRPr="00B44B19" w:rsidRDefault="0087201A" w:rsidP="0087201A">
            <w:pPr>
              <w:rPr>
                <w:rFonts w:cs="Times New Roman"/>
                <w:noProof/>
                <w:sz w:val="20"/>
                <w:szCs w:val="20"/>
              </w:rPr>
            </w:pPr>
            <w:r w:rsidRPr="00B44B19">
              <w:rPr>
                <w:rFonts w:cs="Times New Roman"/>
                <w:noProof/>
                <w:sz w:val="20"/>
                <w:szCs w:val="20"/>
              </w:rPr>
              <w:t>VVL regionas</w:t>
            </w:r>
          </w:p>
        </w:tc>
        <w:tc>
          <w:tcPr>
            <w:tcW w:w="1134" w:type="dxa"/>
            <w:vMerge/>
            <w:tcBorders>
              <w:top w:val="single" w:sz="12" w:space="0" w:color="auto"/>
            </w:tcBorders>
          </w:tcPr>
          <w:p w14:paraId="46D2A5C8" w14:textId="77777777" w:rsidR="0087201A" w:rsidRPr="00B44B19" w:rsidRDefault="0087201A" w:rsidP="0087201A">
            <w:pPr>
              <w:jc w:val="center"/>
              <w:rPr>
                <w:rFonts w:cs="Times New Roman"/>
                <w:bCs/>
                <w:iCs/>
                <w:noProof/>
                <w:sz w:val="20"/>
                <w:szCs w:val="20"/>
              </w:rPr>
            </w:pPr>
          </w:p>
        </w:tc>
        <w:tc>
          <w:tcPr>
            <w:tcW w:w="3317" w:type="dxa"/>
            <w:vMerge/>
            <w:tcBorders>
              <w:top w:val="single" w:sz="12" w:space="0" w:color="auto"/>
            </w:tcBorders>
          </w:tcPr>
          <w:p w14:paraId="1A2ECA64" w14:textId="77777777" w:rsidR="0087201A" w:rsidRPr="00B44B19" w:rsidRDefault="0087201A" w:rsidP="0087201A">
            <w:pPr>
              <w:rPr>
                <w:rFonts w:cs="Times New Roman"/>
                <w:bCs/>
                <w:iCs/>
                <w:noProof/>
                <w:sz w:val="20"/>
                <w:szCs w:val="20"/>
              </w:rPr>
            </w:pPr>
          </w:p>
        </w:tc>
        <w:tc>
          <w:tcPr>
            <w:tcW w:w="1502" w:type="dxa"/>
            <w:tcBorders>
              <w:top w:val="single" w:sz="12" w:space="0" w:color="auto"/>
            </w:tcBorders>
          </w:tcPr>
          <w:p w14:paraId="101724EA" w14:textId="77777777" w:rsidR="0087201A" w:rsidRPr="00B44B19" w:rsidRDefault="0087201A" w:rsidP="0087201A">
            <w:pPr>
              <w:jc w:val="right"/>
              <w:rPr>
                <w:rFonts w:cs="Times New Roman"/>
                <w:sz w:val="20"/>
                <w:szCs w:val="20"/>
              </w:rPr>
            </w:pPr>
            <w:r w:rsidRPr="00B44B19">
              <w:rPr>
                <w:rFonts w:cs="Times New Roman"/>
                <w:sz w:val="20"/>
                <w:szCs w:val="20"/>
              </w:rPr>
              <w:t>13 916 389,00</w:t>
            </w:r>
          </w:p>
          <w:p w14:paraId="62EFDC87" w14:textId="77777777" w:rsidR="0087201A" w:rsidRPr="00B44B19" w:rsidRDefault="0087201A" w:rsidP="0087201A">
            <w:pPr>
              <w:jc w:val="right"/>
              <w:rPr>
                <w:rFonts w:cs="Times New Roman"/>
                <w:sz w:val="20"/>
                <w:szCs w:val="20"/>
              </w:rPr>
            </w:pPr>
          </w:p>
        </w:tc>
      </w:tr>
    </w:tbl>
    <w:p w14:paraId="4A576854"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48"/>
        <w:tblW w:w="9624" w:type="dxa"/>
        <w:tblLook w:val="04A0" w:firstRow="1" w:lastRow="0" w:firstColumn="1" w:lastColumn="0" w:noHBand="0" w:noVBand="1"/>
      </w:tblPr>
      <w:tblGrid>
        <w:gridCol w:w="1090"/>
        <w:gridCol w:w="848"/>
        <w:gridCol w:w="1683"/>
        <w:gridCol w:w="1184"/>
        <w:gridCol w:w="3281"/>
        <w:gridCol w:w="1538"/>
      </w:tblGrid>
      <w:tr w:rsidR="0087201A" w:rsidRPr="00B44B19" w14:paraId="39AB5DDC"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4A40F9" w14:textId="77777777" w:rsidR="0087201A" w:rsidRPr="00B44B19" w:rsidRDefault="0087201A" w:rsidP="0087201A">
            <w:pPr>
              <w:rPr>
                <w:rFonts w:cs="Times New Roman"/>
                <w:b/>
                <w:iCs/>
                <w:noProof/>
                <w:sz w:val="20"/>
              </w:rPr>
            </w:pPr>
            <w:r w:rsidRPr="00B44B19">
              <w:rPr>
                <w:rFonts w:cs="Times New Roman"/>
                <w:b/>
                <w:noProof/>
                <w:sz w:val="20"/>
              </w:rPr>
              <w:t>6 lentelė. 3 matmuo. Teritorinis įgyvendinimo mechanizmas ir pagrindinė teritorinė sritis</w:t>
            </w:r>
          </w:p>
        </w:tc>
      </w:tr>
      <w:tr w:rsidR="0087201A" w:rsidRPr="00B44B19" w14:paraId="2A961FB8" w14:textId="77777777" w:rsidTr="003040E3">
        <w:tc>
          <w:tcPr>
            <w:tcW w:w="109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3C8CBF" w14:textId="77777777" w:rsidR="0087201A" w:rsidRPr="00B44B19" w:rsidRDefault="0087201A" w:rsidP="0087201A">
            <w:pPr>
              <w:jc w:val="center"/>
              <w:rPr>
                <w:rFonts w:cs="Times New Roman"/>
                <w:b/>
                <w:iCs/>
                <w:noProof/>
                <w:sz w:val="20"/>
              </w:rPr>
            </w:pPr>
            <w:r w:rsidRPr="00B44B19">
              <w:rPr>
                <w:rFonts w:cs="Times New Roman"/>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F074B1" w14:textId="77777777" w:rsidR="0087201A" w:rsidRPr="00B44B19" w:rsidRDefault="0087201A" w:rsidP="0087201A">
            <w:pPr>
              <w:jc w:val="center"/>
              <w:rPr>
                <w:rFonts w:cs="Times New Roman"/>
                <w:b/>
                <w:iCs/>
                <w:noProof/>
                <w:sz w:val="20"/>
              </w:rPr>
            </w:pPr>
            <w:r w:rsidRPr="00B44B19">
              <w:rPr>
                <w:rFonts w:cs="Times New Roman"/>
                <w:b/>
                <w:noProof/>
                <w:sz w:val="20"/>
              </w:rPr>
              <w:t>Fondas</w:t>
            </w:r>
          </w:p>
        </w:tc>
        <w:tc>
          <w:tcPr>
            <w:tcW w:w="16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B9AD7F" w14:textId="77777777" w:rsidR="0087201A" w:rsidRPr="00B44B19" w:rsidRDefault="0087201A" w:rsidP="0087201A">
            <w:pPr>
              <w:jc w:val="center"/>
              <w:rPr>
                <w:rFonts w:cs="Times New Roman"/>
                <w:b/>
                <w:iCs/>
                <w:noProof/>
                <w:sz w:val="20"/>
              </w:rPr>
            </w:pPr>
            <w:r w:rsidRPr="00B44B19">
              <w:rPr>
                <w:rFonts w:cs="Times New Roman"/>
                <w:b/>
                <w:noProof/>
                <w:sz w:val="20"/>
              </w:rPr>
              <w:t>Regiono kategorija</w:t>
            </w:r>
          </w:p>
        </w:tc>
        <w:tc>
          <w:tcPr>
            <w:tcW w:w="118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41E36F" w14:textId="77777777" w:rsidR="0087201A" w:rsidRPr="00B44B19" w:rsidRDefault="0087201A" w:rsidP="0087201A">
            <w:pPr>
              <w:jc w:val="center"/>
              <w:rPr>
                <w:rFonts w:cs="Times New Roman"/>
                <w:b/>
                <w:iCs/>
                <w:noProof/>
                <w:sz w:val="20"/>
              </w:rPr>
            </w:pPr>
            <w:r w:rsidRPr="00B44B19">
              <w:rPr>
                <w:rFonts w:cs="Times New Roman"/>
                <w:b/>
                <w:noProof/>
                <w:sz w:val="20"/>
              </w:rPr>
              <w:t>Konkretus uždavinys</w:t>
            </w:r>
          </w:p>
        </w:tc>
        <w:tc>
          <w:tcPr>
            <w:tcW w:w="328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BF14A8" w14:textId="77777777" w:rsidR="0087201A" w:rsidRPr="00B44B19" w:rsidRDefault="0087201A" w:rsidP="0087201A">
            <w:pPr>
              <w:jc w:val="center"/>
              <w:rPr>
                <w:rFonts w:cs="Times New Roman"/>
                <w:b/>
                <w:iCs/>
                <w:noProof/>
                <w:sz w:val="20"/>
              </w:rPr>
            </w:pPr>
            <w:r w:rsidRPr="00B44B19">
              <w:rPr>
                <w:rFonts w:cs="Times New Roman"/>
                <w:b/>
                <w:noProof/>
                <w:sz w:val="20"/>
              </w:rPr>
              <w:t>Kodas</w:t>
            </w:r>
          </w:p>
        </w:tc>
        <w:tc>
          <w:tcPr>
            <w:tcW w:w="153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884A44" w14:textId="77777777" w:rsidR="0087201A" w:rsidRPr="00B44B19" w:rsidRDefault="0087201A" w:rsidP="0087201A">
            <w:pPr>
              <w:jc w:val="center"/>
              <w:rPr>
                <w:rFonts w:cs="Times New Roman"/>
                <w:b/>
                <w:iCs/>
                <w:noProof/>
                <w:sz w:val="20"/>
              </w:rPr>
            </w:pPr>
            <w:r w:rsidRPr="00B44B19">
              <w:rPr>
                <w:rFonts w:cs="Times New Roman"/>
                <w:b/>
                <w:noProof/>
                <w:sz w:val="20"/>
              </w:rPr>
              <w:t>Suma (EUR)</w:t>
            </w:r>
          </w:p>
        </w:tc>
      </w:tr>
      <w:tr w:rsidR="0087201A" w:rsidRPr="00B44B19" w14:paraId="5D35419B" w14:textId="77777777" w:rsidTr="003040E3">
        <w:trPr>
          <w:trHeight w:val="303"/>
        </w:trPr>
        <w:tc>
          <w:tcPr>
            <w:tcW w:w="1090" w:type="dxa"/>
            <w:vMerge w:val="restart"/>
          </w:tcPr>
          <w:p w14:paraId="5C4BA9FD"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16</w:t>
            </w:r>
          </w:p>
        </w:tc>
        <w:tc>
          <w:tcPr>
            <w:tcW w:w="848" w:type="dxa"/>
            <w:vMerge w:val="restart"/>
          </w:tcPr>
          <w:p w14:paraId="5DC52813" w14:textId="77777777" w:rsidR="0087201A" w:rsidRPr="00B44B19" w:rsidRDefault="0087201A" w:rsidP="0087201A">
            <w:pPr>
              <w:jc w:val="center"/>
              <w:rPr>
                <w:rFonts w:cs="Times New Roman"/>
                <w:iCs/>
                <w:noProof/>
                <w:sz w:val="20"/>
                <w:szCs w:val="20"/>
              </w:rPr>
            </w:pPr>
            <w:r w:rsidRPr="00B44B19">
              <w:rPr>
                <w:rFonts w:cs="Times New Roman"/>
                <w:iCs/>
                <w:noProof/>
                <w:sz w:val="20"/>
                <w:szCs w:val="20"/>
              </w:rPr>
              <w:t>ESF+</w:t>
            </w:r>
          </w:p>
        </w:tc>
        <w:tc>
          <w:tcPr>
            <w:tcW w:w="1683" w:type="dxa"/>
            <w:tcBorders>
              <w:top w:val="single" w:sz="12" w:space="0" w:color="auto"/>
            </w:tcBorders>
          </w:tcPr>
          <w:p w14:paraId="6F9F4095" w14:textId="77777777" w:rsidR="0087201A" w:rsidRPr="00B44B19" w:rsidRDefault="0087201A" w:rsidP="0087201A">
            <w:pPr>
              <w:rPr>
                <w:rFonts w:cs="Times New Roman"/>
                <w:iCs/>
                <w:noProof/>
                <w:sz w:val="20"/>
                <w:szCs w:val="20"/>
              </w:rPr>
            </w:pPr>
            <w:r w:rsidRPr="00B44B19">
              <w:rPr>
                <w:rFonts w:cs="Times New Roman"/>
                <w:noProof/>
                <w:sz w:val="20"/>
                <w:szCs w:val="20"/>
              </w:rPr>
              <w:t>Sostinės regionas</w:t>
            </w:r>
          </w:p>
        </w:tc>
        <w:tc>
          <w:tcPr>
            <w:tcW w:w="1184" w:type="dxa"/>
            <w:vMerge w:val="restart"/>
          </w:tcPr>
          <w:p w14:paraId="4B7D929C" w14:textId="77777777" w:rsidR="0087201A" w:rsidRPr="00B44B19" w:rsidRDefault="0087201A" w:rsidP="0087201A">
            <w:pPr>
              <w:jc w:val="center"/>
              <w:rPr>
                <w:rFonts w:cs="Times New Roman"/>
                <w:bCs/>
                <w:iCs/>
                <w:noProof/>
                <w:sz w:val="20"/>
                <w:szCs w:val="20"/>
              </w:rPr>
            </w:pPr>
            <w:r w:rsidRPr="00B44B19">
              <w:rPr>
                <w:rFonts w:cs="Times New Roman"/>
                <w:bCs/>
                <w:iCs/>
                <w:noProof/>
                <w:sz w:val="20"/>
                <w:szCs w:val="20"/>
              </w:rPr>
              <w:t>16.1</w:t>
            </w:r>
          </w:p>
        </w:tc>
        <w:tc>
          <w:tcPr>
            <w:tcW w:w="3281" w:type="dxa"/>
            <w:vMerge w:val="restart"/>
          </w:tcPr>
          <w:p w14:paraId="2B6E3587" w14:textId="77777777" w:rsidR="0087201A" w:rsidRPr="00B44B19" w:rsidRDefault="0087201A" w:rsidP="0087201A">
            <w:pPr>
              <w:rPr>
                <w:rFonts w:cs="Times New Roman"/>
                <w:bCs/>
                <w:iCs/>
                <w:noProof/>
                <w:sz w:val="20"/>
                <w:szCs w:val="20"/>
              </w:rPr>
            </w:pPr>
            <w:r w:rsidRPr="00B44B19">
              <w:rPr>
                <w:rFonts w:cs="Times New Roman"/>
                <w:bCs/>
                <w:iCs/>
                <w:noProof/>
                <w:sz w:val="20"/>
                <w:szCs w:val="20"/>
              </w:rPr>
              <w:t>33 – Nesiorientuojant į teritoriškumą</w:t>
            </w:r>
          </w:p>
        </w:tc>
        <w:tc>
          <w:tcPr>
            <w:tcW w:w="1538" w:type="dxa"/>
            <w:tcBorders>
              <w:top w:val="single" w:sz="12" w:space="0" w:color="auto"/>
            </w:tcBorders>
          </w:tcPr>
          <w:p w14:paraId="3E084121" w14:textId="77777777" w:rsidR="0087201A" w:rsidRPr="00B44B19" w:rsidRDefault="0087201A" w:rsidP="0087201A">
            <w:pPr>
              <w:jc w:val="right"/>
              <w:rPr>
                <w:rFonts w:cs="Times New Roman"/>
                <w:sz w:val="20"/>
                <w:szCs w:val="20"/>
              </w:rPr>
            </w:pPr>
            <w:r w:rsidRPr="00B44B19">
              <w:rPr>
                <w:rFonts w:cs="Times New Roman"/>
                <w:sz w:val="20"/>
                <w:szCs w:val="20"/>
              </w:rPr>
              <w:t>84 000,00</w:t>
            </w:r>
          </w:p>
          <w:p w14:paraId="5DB75498" w14:textId="77777777" w:rsidR="0087201A" w:rsidRPr="00B44B19" w:rsidRDefault="0087201A" w:rsidP="0087201A">
            <w:pPr>
              <w:rPr>
                <w:rFonts w:cs="Times New Roman"/>
                <w:sz w:val="16"/>
                <w:szCs w:val="16"/>
              </w:rPr>
            </w:pPr>
          </w:p>
        </w:tc>
      </w:tr>
      <w:tr w:rsidR="0087201A" w:rsidRPr="00B44B19" w14:paraId="593A7B92" w14:textId="77777777" w:rsidTr="003040E3">
        <w:trPr>
          <w:trHeight w:val="303"/>
        </w:trPr>
        <w:tc>
          <w:tcPr>
            <w:tcW w:w="1090" w:type="dxa"/>
            <w:vMerge/>
          </w:tcPr>
          <w:p w14:paraId="5F22B0D9" w14:textId="77777777" w:rsidR="0087201A" w:rsidRPr="00B44B19" w:rsidRDefault="0087201A" w:rsidP="0087201A">
            <w:pPr>
              <w:jc w:val="center"/>
              <w:rPr>
                <w:rFonts w:cs="Times New Roman"/>
                <w:iCs/>
                <w:noProof/>
                <w:sz w:val="20"/>
                <w:szCs w:val="20"/>
              </w:rPr>
            </w:pPr>
          </w:p>
        </w:tc>
        <w:tc>
          <w:tcPr>
            <w:tcW w:w="848" w:type="dxa"/>
            <w:vMerge/>
          </w:tcPr>
          <w:p w14:paraId="50E750FE" w14:textId="77777777" w:rsidR="0087201A" w:rsidRPr="00B44B19" w:rsidRDefault="0087201A" w:rsidP="0087201A">
            <w:pPr>
              <w:jc w:val="center"/>
              <w:rPr>
                <w:rFonts w:cs="Times New Roman"/>
                <w:iCs/>
                <w:noProof/>
                <w:sz w:val="20"/>
                <w:szCs w:val="20"/>
              </w:rPr>
            </w:pPr>
          </w:p>
        </w:tc>
        <w:tc>
          <w:tcPr>
            <w:tcW w:w="1683" w:type="dxa"/>
            <w:tcBorders>
              <w:top w:val="single" w:sz="12" w:space="0" w:color="auto"/>
            </w:tcBorders>
          </w:tcPr>
          <w:p w14:paraId="551B0A25" w14:textId="77777777" w:rsidR="0087201A" w:rsidRPr="00B44B19" w:rsidRDefault="0087201A" w:rsidP="0087201A">
            <w:pPr>
              <w:rPr>
                <w:rFonts w:cs="Times New Roman"/>
                <w:noProof/>
                <w:sz w:val="20"/>
                <w:szCs w:val="20"/>
              </w:rPr>
            </w:pPr>
            <w:r w:rsidRPr="00B44B19">
              <w:rPr>
                <w:rFonts w:cs="Times New Roman"/>
                <w:noProof/>
                <w:sz w:val="20"/>
                <w:szCs w:val="20"/>
              </w:rPr>
              <w:t>VVL regionas</w:t>
            </w:r>
          </w:p>
        </w:tc>
        <w:tc>
          <w:tcPr>
            <w:tcW w:w="1184" w:type="dxa"/>
            <w:vMerge/>
          </w:tcPr>
          <w:p w14:paraId="09612089" w14:textId="77777777" w:rsidR="0087201A" w:rsidRPr="00B44B19" w:rsidRDefault="0087201A" w:rsidP="0087201A">
            <w:pPr>
              <w:jc w:val="center"/>
              <w:rPr>
                <w:rFonts w:cs="Times New Roman"/>
                <w:bCs/>
                <w:iCs/>
                <w:noProof/>
                <w:sz w:val="20"/>
                <w:szCs w:val="20"/>
              </w:rPr>
            </w:pPr>
          </w:p>
        </w:tc>
        <w:tc>
          <w:tcPr>
            <w:tcW w:w="3281" w:type="dxa"/>
            <w:vMerge/>
          </w:tcPr>
          <w:p w14:paraId="6E29DB3E" w14:textId="77777777" w:rsidR="0087201A" w:rsidRPr="00B44B19" w:rsidRDefault="0087201A" w:rsidP="0087201A">
            <w:pPr>
              <w:rPr>
                <w:rFonts w:cs="Times New Roman"/>
                <w:bCs/>
                <w:iCs/>
                <w:noProof/>
                <w:sz w:val="20"/>
                <w:szCs w:val="20"/>
              </w:rPr>
            </w:pPr>
          </w:p>
        </w:tc>
        <w:tc>
          <w:tcPr>
            <w:tcW w:w="1538" w:type="dxa"/>
            <w:tcBorders>
              <w:top w:val="single" w:sz="12" w:space="0" w:color="auto"/>
            </w:tcBorders>
          </w:tcPr>
          <w:p w14:paraId="56CCD18F" w14:textId="77777777" w:rsidR="0087201A" w:rsidRPr="00B44B19" w:rsidRDefault="0087201A" w:rsidP="0087201A">
            <w:pPr>
              <w:jc w:val="right"/>
              <w:rPr>
                <w:rFonts w:cs="Times New Roman"/>
                <w:sz w:val="20"/>
                <w:szCs w:val="20"/>
              </w:rPr>
            </w:pPr>
            <w:r w:rsidRPr="00B44B19">
              <w:rPr>
                <w:rFonts w:cs="Times New Roman"/>
                <w:sz w:val="20"/>
                <w:szCs w:val="20"/>
              </w:rPr>
              <w:t>9 216 389,00</w:t>
            </w:r>
          </w:p>
          <w:p w14:paraId="0A90347E" w14:textId="77777777" w:rsidR="0087201A" w:rsidRPr="00B44B19" w:rsidRDefault="0087201A" w:rsidP="0087201A">
            <w:pPr>
              <w:jc w:val="right"/>
              <w:rPr>
                <w:rFonts w:cs="Times New Roman"/>
                <w:sz w:val="20"/>
                <w:szCs w:val="20"/>
              </w:rPr>
            </w:pPr>
          </w:p>
        </w:tc>
      </w:tr>
      <w:tr w:rsidR="0087201A" w:rsidRPr="00B44B19" w14:paraId="3C9ED968" w14:textId="77777777" w:rsidTr="003040E3">
        <w:trPr>
          <w:trHeight w:val="303"/>
        </w:trPr>
        <w:tc>
          <w:tcPr>
            <w:tcW w:w="1090" w:type="dxa"/>
            <w:vMerge/>
          </w:tcPr>
          <w:p w14:paraId="33A379EA" w14:textId="77777777" w:rsidR="0087201A" w:rsidRPr="00B44B19" w:rsidRDefault="0087201A" w:rsidP="0087201A">
            <w:pPr>
              <w:jc w:val="center"/>
              <w:rPr>
                <w:rFonts w:cs="Times New Roman"/>
                <w:iCs/>
                <w:noProof/>
                <w:sz w:val="20"/>
                <w:szCs w:val="20"/>
              </w:rPr>
            </w:pPr>
          </w:p>
        </w:tc>
        <w:tc>
          <w:tcPr>
            <w:tcW w:w="848" w:type="dxa"/>
            <w:vMerge/>
          </w:tcPr>
          <w:p w14:paraId="2188D2BD" w14:textId="77777777" w:rsidR="0087201A" w:rsidRPr="00B44B19" w:rsidRDefault="0087201A" w:rsidP="0087201A">
            <w:pPr>
              <w:jc w:val="center"/>
              <w:rPr>
                <w:rFonts w:cs="Times New Roman"/>
                <w:iCs/>
                <w:noProof/>
                <w:sz w:val="20"/>
                <w:szCs w:val="20"/>
              </w:rPr>
            </w:pPr>
          </w:p>
        </w:tc>
        <w:tc>
          <w:tcPr>
            <w:tcW w:w="1683" w:type="dxa"/>
            <w:tcBorders>
              <w:top w:val="single" w:sz="12" w:space="0" w:color="auto"/>
            </w:tcBorders>
          </w:tcPr>
          <w:p w14:paraId="19095023" w14:textId="77777777" w:rsidR="0087201A" w:rsidRPr="00B44B19" w:rsidRDefault="0087201A" w:rsidP="0087201A">
            <w:pPr>
              <w:rPr>
                <w:rFonts w:cs="Times New Roman"/>
                <w:noProof/>
                <w:sz w:val="20"/>
                <w:szCs w:val="20"/>
              </w:rPr>
            </w:pPr>
            <w:r w:rsidRPr="00B44B19">
              <w:rPr>
                <w:rFonts w:cs="Times New Roman"/>
                <w:noProof/>
                <w:sz w:val="20"/>
                <w:szCs w:val="20"/>
              </w:rPr>
              <w:t>Sostinės regionas</w:t>
            </w:r>
          </w:p>
        </w:tc>
        <w:tc>
          <w:tcPr>
            <w:tcW w:w="1184" w:type="dxa"/>
            <w:vMerge/>
          </w:tcPr>
          <w:p w14:paraId="15542064" w14:textId="77777777" w:rsidR="0087201A" w:rsidRPr="00B44B19" w:rsidRDefault="0087201A" w:rsidP="0087201A">
            <w:pPr>
              <w:jc w:val="center"/>
              <w:rPr>
                <w:rFonts w:cs="Times New Roman"/>
                <w:bCs/>
                <w:iCs/>
                <w:noProof/>
                <w:sz w:val="20"/>
                <w:szCs w:val="20"/>
              </w:rPr>
            </w:pPr>
          </w:p>
        </w:tc>
        <w:tc>
          <w:tcPr>
            <w:tcW w:w="3281" w:type="dxa"/>
            <w:vMerge w:val="restart"/>
          </w:tcPr>
          <w:p w14:paraId="576B4F5A" w14:textId="77777777" w:rsidR="0087201A" w:rsidRPr="00B44B19" w:rsidRDefault="0087201A" w:rsidP="0087201A">
            <w:pPr>
              <w:rPr>
                <w:rFonts w:cs="Times New Roman"/>
                <w:bCs/>
                <w:iCs/>
                <w:noProof/>
                <w:sz w:val="20"/>
                <w:szCs w:val="20"/>
              </w:rPr>
            </w:pPr>
            <w:r w:rsidRPr="00B44B19">
              <w:rPr>
                <w:rFonts w:cs="Times New Roman"/>
                <w:bCs/>
                <w:iCs/>
                <w:noProof/>
                <w:sz w:val="20"/>
                <w:szCs w:val="20"/>
              </w:rPr>
              <w:t>10 – Miestai, miesteliai ir priemiesčiai</w:t>
            </w:r>
          </w:p>
        </w:tc>
        <w:tc>
          <w:tcPr>
            <w:tcW w:w="1538" w:type="dxa"/>
            <w:tcBorders>
              <w:top w:val="single" w:sz="12" w:space="0" w:color="auto"/>
            </w:tcBorders>
          </w:tcPr>
          <w:p w14:paraId="4AD02449" w14:textId="77777777" w:rsidR="0087201A" w:rsidRPr="00B44B19" w:rsidRDefault="0087201A" w:rsidP="0087201A">
            <w:pPr>
              <w:jc w:val="right"/>
              <w:rPr>
                <w:rFonts w:cs="Times New Roman"/>
                <w:iCs/>
                <w:sz w:val="20"/>
                <w:szCs w:val="20"/>
              </w:rPr>
            </w:pPr>
            <w:r w:rsidRPr="00B44B19">
              <w:rPr>
                <w:rFonts w:cs="Times New Roman"/>
                <w:iCs/>
                <w:sz w:val="20"/>
                <w:szCs w:val="20"/>
              </w:rPr>
              <w:t xml:space="preserve">315 790,00 </w:t>
            </w:r>
          </w:p>
          <w:p w14:paraId="2E0CD046" w14:textId="77777777" w:rsidR="0087201A" w:rsidRPr="00B44B19" w:rsidRDefault="0087201A" w:rsidP="0087201A">
            <w:pPr>
              <w:jc w:val="right"/>
              <w:rPr>
                <w:rFonts w:cs="Times New Roman"/>
                <w:iCs/>
                <w:sz w:val="20"/>
                <w:szCs w:val="20"/>
              </w:rPr>
            </w:pPr>
          </w:p>
        </w:tc>
      </w:tr>
      <w:tr w:rsidR="0087201A" w:rsidRPr="00B44B19" w14:paraId="4E983597" w14:textId="77777777" w:rsidTr="003040E3">
        <w:trPr>
          <w:trHeight w:val="303"/>
        </w:trPr>
        <w:tc>
          <w:tcPr>
            <w:tcW w:w="1090" w:type="dxa"/>
            <w:vMerge/>
          </w:tcPr>
          <w:p w14:paraId="35074BAA" w14:textId="77777777" w:rsidR="0087201A" w:rsidRPr="00B44B19" w:rsidRDefault="0087201A" w:rsidP="0087201A">
            <w:pPr>
              <w:jc w:val="center"/>
              <w:rPr>
                <w:rFonts w:cs="Times New Roman"/>
                <w:iCs/>
                <w:noProof/>
                <w:sz w:val="20"/>
                <w:szCs w:val="20"/>
              </w:rPr>
            </w:pPr>
          </w:p>
        </w:tc>
        <w:tc>
          <w:tcPr>
            <w:tcW w:w="848" w:type="dxa"/>
            <w:vMerge/>
          </w:tcPr>
          <w:p w14:paraId="73EE8D46" w14:textId="77777777" w:rsidR="0087201A" w:rsidRPr="00B44B19" w:rsidRDefault="0087201A" w:rsidP="0087201A">
            <w:pPr>
              <w:jc w:val="center"/>
              <w:rPr>
                <w:rFonts w:cs="Times New Roman"/>
                <w:iCs/>
                <w:noProof/>
                <w:sz w:val="20"/>
                <w:szCs w:val="20"/>
              </w:rPr>
            </w:pPr>
          </w:p>
        </w:tc>
        <w:tc>
          <w:tcPr>
            <w:tcW w:w="1683" w:type="dxa"/>
          </w:tcPr>
          <w:p w14:paraId="21AEB270" w14:textId="77777777" w:rsidR="0087201A" w:rsidRPr="00B44B19" w:rsidRDefault="0087201A" w:rsidP="0087201A">
            <w:pPr>
              <w:rPr>
                <w:rFonts w:cs="Times New Roman"/>
                <w:iCs/>
                <w:noProof/>
                <w:sz w:val="20"/>
                <w:szCs w:val="20"/>
              </w:rPr>
            </w:pPr>
            <w:r w:rsidRPr="00B44B19">
              <w:rPr>
                <w:rFonts w:cs="Times New Roman"/>
                <w:noProof/>
                <w:sz w:val="20"/>
                <w:szCs w:val="20"/>
              </w:rPr>
              <w:t>VVL regionas</w:t>
            </w:r>
          </w:p>
        </w:tc>
        <w:tc>
          <w:tcPr>
            <w:tcW w:w="1184" w:type="dxa"/>
            <w:vMerge/>
          </w:tcPr>
          <w:p w14:paraId="46003DD7" w14:textId="77777777" w:rsidR="0087201A" w:rsidRPr="00B44B19" w:rsidRDefault="0087201A" w:rsidP="0087201A">
            <w:pPr>
              <w:jc w:val="center"/>
              <w:rPr>
                <w:rFonts w:cs="Times New Roman"/>
                <w:b/>
                <w:iCs/>
                <w:noProof/>
                <w:sz w:val="20"/>
                <w:szCs w:val="20"/>
              </w:rPr>
            </w:pPr>
          </w:p>
        </w:tc>
        <w:tc>
          <w:tcPr>
            <w:tcW w:w="3281" w:type="dxa"/>
            <w:vMerge/>
          </w:tcPr>
          <w:p w14:paraId="12514211" w14:textId="77777777" w:rsidR="0087201A" w:rsidRPr="00B44B19" w:rsidRDefault="0087201A" w:rsidP="0087201A">
            <w:pPr>
              <w:rPr>
                <w:rFonts w:cs="Times New Roman"/>
                <w:bCs/>
                <w:iCs/>
                <w:noProof/>
                <w:sz w:val="16"/>
                <w:szCs w:val="16"/>
              </w:rPr>
            </w:pPr>
          </w:p>
        </w:tc>
        <w:tc>
          <w:tcPr>
            <w:tcW w:w="1538" w:type="dxa"/>
          </w:tcPr>
          <w:p w14:paraId="52603B4D" w14:textId="77777777" w:rsidR="0087201A" w:rsidRPr="00B44B19" w:rsidRDefault="0087201A" w:rsidP="0087201A">
            <w:pPr>
              <w:jc w:val="right"/>
              <w:rPr>
                <w:rFonts w:cs="Times New Roman"/>
                <w:sz w:val="20"/>
                <w:szCs w:val="20"/>
              </w:rPr>
            </w:pPr>
            <w:r w:rsidRPr="00B44B19">
              <w:rPr>
                <w:rFonts w:cs="Times New Roman"/>
                <w:sz w:val="20"/>
                <w:szCs w:val="20"/>
              </w:rPr>
              <w:t>4 700 000,00</w:t>
            </w:r>
          </w:p>
          <w:p w14:paraId="50CFCA7E" w14:textId="77777777" w:rsidR="0087201A" w:rsidRPr="00B44B19" w:rsidRDefault="0087201A" w:rsidP="0087201A">
            <w:pPr>
              <w:jc w:val="right"/>
              <w:rPr>
                <w:rFonts w:cs="Times New Roman"/>
                <w:sz w:val="16"/>
                <w:szCs w:val="16"/>
              </w:rPr>
            </w:pPr>
          </w:p>
        </w:tc>
      </w:tr>
    </w:tbl>
    <w:p w14:paraId="404CB853" w14:textId="77777777" w:rsidR="0087201A" w:rsidRPr="00B44B19" w:rsidRDefault="0087201A" w:rsidP="0087201A">
      <w:pPr>
        <w:spacing w:after="0"/>
        <w:rPr>
          <w:rFonts w:eastAsia="Times New Roman" w:cs="Times New Roman"/>
        </w:rPr>
      </w:pPr>
    </w:p>
    <w:tbl>
      <w:tblPr>
        <w:tblStyle w:val="Lentelstinklelis48"/>
        <w:tblW w:w="9624" w:type="dxa"/>
        <w:tblLayout w:type="fixed"/>
        <w:tblLook w:val="04A0" w:firstRow="1" w:lastRow="0" w:firstColumn="1" w:lastColumn="0" w:noHBand="0" w:noVBand="1"/>
      </w:tblPr>
      <w:tblGrid>
        <w:gridCol w:w="1101"/>
        <w:gridCol w:w="850"/>
        <w:gridCol w:w="1701"/>
        <w:gridCol w:w="1134"/>
        <w:gridCol w:w="3279"/>
        <w:gridCol w:w="1559"/>
      </w:tblGrid>
      <w:tr w:rsidR="0087201A" w:rsidRPr="00B44B19" w14:paraId="1A13B88E"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A481327" w14:textId="77777777" w:rsidR="0087201A" w:rsidRPr="00B44B19" w:rsidRDefault="0087201A" w:rsidP="0087201A">
            <w:pPr>
              <w:rPr>
                <w:rFonts w:cs="Times New Roman"/>
                <w:b/>
                <w:iCs/>
                <w:noProof/>
                <w:sz w:val="20"/>
              </w:rPr>
            </w:pPr>
            <w:r w:rsidRPr="00B44B19">
              <w:rPr>
                <w:rFonts w:cs="Times New Roman"/>
                <w:b/>
                <w:noProof/>
                <w:sz w:val="20"/>
              </w:rPr>
              <w:t>7 lentelė. 6 matmuo. ESF+ antrinės temos</w:t>
            </w:r>
          </w:p>
        </w:tc>
      </w:tr>
      <w:tr w:rsidR="0087201A" w:rsidRPr="00B44B19" w14:paraId="4626A84B"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9BDCF5" w14:textId="77777777" w:rsidR="0087201A" w:rsidRPr="00B44B19" w:rsidRDefault="0087201A" w:rsidP="0087201A">
            <w:pPr>
              <w:jc w:val="center"/>
              <w:rPr>
                <w:rFonts w:cs="Times New Roman"/>
                <w:b/>
                <w:iCs/>
                <w:noProof/>
                <w:sz w:val="20"/>
              </w:rPr>
            </w:pPr>
            <w:r w:rsidRPr="00B44B19">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3784D6A" w14:textId="77777777" w:rsidR="0087201A" w:rsidRPr="00B44B19" w:rsidRDefault="0087201A" w:rsidP="0087201A">
            <w:pPr>
              <w:jc w:val="center"/>
              <w:rPr>
                <w:rFonts w:cs="Times New Roman"/>
                <w:b/>
                <w:iCs/>
                <w:noProof/>
                <w:sz w:val="20"/>
              </w:rPr>
            </w:pPr>
            <w:r w:rsidRPr="00B44B19">
              <w:rPr>
                <w:rFonts w:cs="Times New Roman"/>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3EAE01" w14:textId="77777777" w:rsidR="0087201A" w:rsidRPr="00B44B19" w:rsidRDefault="0087201A" w:rsidP="0087201A">
            <w:pPr>
              <w:jc w:val="center"/>
              <w:rPr>
                <w:rFonts w:cs="Times New Roman"/>
                <w:b/>
                <w:iCs/>
                <w:noProof/>
                <w:sz w:val="20"/>
              </w:rPr>
            </w:pPr>
            <w:r w:rsidRPr="00B44B19">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A64125" w14:textId="77777777" w:rsidR="0087201A" w:rsidRPr="00B44B19" w:rsidRDefault="0087201A" w:rsidP="0087201A">
            <w:pPr>
              <w:jc w:val="center"/>
              <w:rPr>
                <w:rFonts w:cs="Times New Roman"/>
                <w:b/>
                <w:iCs/>
                <w:noProof/>
                <w:sz w:val="20"/>
              </w:rPr>
            </w:pPr>
            <w:r w:rsidRPr="00B44B19">
              <w:rPr>
                <w:rFonts w:cs="Times New Roman"/>
                <w:b/>
                <w:noProof/>
                <w:sz w:val="20"/>
              </w:rPr>
              <w:t>Konkretus uždavinys</w:t>
            </w:r>
          </w:p>
        </w:tc>
        <w:tc>
          <w:tcPr>
            <w:tcW w:w="32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1DE7AD" w14:textId="77777777" w:rsidR="0087201A" w:rsidRPr="00B44B19" w:rsidRDefault="0087201A" w:rsidP="0087201A">
            <w:pPr>
              <w:jc w:val="center"/>
              <w:rPr>
                <w:rFonts w:cs="Times New Roman"/>
                <w:b/>
                <w:iCs/>
                <w:noProof/>
                <w:sz w:val="20"/>
              </w:rPr>
            </w:pPr>
            <w:r w:rsidRPr="00B44B19">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4DE3BE" w14:textId="77777777" w:rsidR="0087201A" w:rsidRPr="00B44B19" w:rsidRDefault="0087201A" w:rsidP="0087201A">
            <w:pPr>
              <w:jc w:val="center"/>
              <w:rPr>
                <w:rFonts w:cs="Times New Roman"/>
                <w:b/>
                <w:iCs/>
                <w:noProof/>
                <w:sz w:val="20"/>
              </w:rPr>
            </w:pPr>
            <w:r w:rsidRPr="00B44B19">
              <w:rPr>
                <w:rFonts w:cs="Times New Roman"/>
                <w:b/>
                <w:noProof/>
                <w:sz w:val="20"/>
              </w:rPr>
              <w:t>Suma (EUR)</w:t>
            </w:r>
          </w:p>
        </w:tc>
      </w:tr>
      <w:tr w:rsidR="0087201A" w:rsidRPr="00B44B19" w14:paraId="18515B31" w14:textId="77777777" w:rsidTr="003040E3">
        <w:tc>
          <w:tcPr>
            <w:tcW w:w="1101" w:type="dxa"/>
            <w:vMerge w:val="restart"/>
            <w:tcBorders>
              <w:top w:val="single" w:sz="12" w:space="0" w:color="auto"/>
            </w:tcBorders>
          </w:tcPr>
          <w:p w14:paraId="54132EE5" w14:textId="77777777" w:rsidR="0087201A" w:rsidRPr="00B44B19" w:rsidRDefault="0087201A" w:rsidP="0087201A">
            <w:pPr>
              <w:jc w:val="center"/>
              <w:rPr>
                <w:rFonts w:cs="Times New Roman"/>
                <w:iCs/>
                <w:noProof/>
                <w:sz w:val="20"/>
              </w:rPr>
            </w:pPr>
            <w:r w:rsidRPr="00B44B19">
              <w:rPr>
                <w:rFonts w:cs="Times New Roman"/>
                <w:iCs/>
                <w:noProof/>
                <w:sz w:val="20"/>
              </w:rPr>
              <w:t>16</w:t>
            </w:r>
          </w:p>
        </w:tc>
        <w:tc>
          <w:tcPr>
            <w:tcW w:w="850" w:type="dxa"/>
            <w:vMerge w:val="restart"/>
            <w:tcBorders>
              <w:top w:val="single" w:sz="12" w:space="0" w:color="auto"/>
            </w:tcBorders>
          </w:tcPr>
          <w:p w14:paraId="7EFAE55F" w14:textId="77777777" w:rsidR="0087201A" w:rsidRPr="00B44B19" w:rsidRDefault="0087201A" w:rsidP="0087201A">
            <w:pPr>
              <w:jc w:val="center"/>
              <w:rPr>
                <w:rFonts w:cs="Times New Roman"/>
                <w:iCs/>
                <w:noProof/>
                <w:sz w:val="20"/>
              </w:rPr>
            </w:pPr>
            <w:r w:rsidRPr="00B44B19">
              <w:rPr>
                <w:rFonts w:cs="Times New Roman"/>
                <w:iCs/>
                <w:noProof/>
                <w:sz w:val="20"/>
              </w:rPr>
              <w:t>ESF+</w:t>
            </w:r>
          </w:p>
        </w:tc>
        <w:tc>
          <w:tcPr>
            <w:tcW w:w="1701" w:type="dxa"/>
            <w:tcBorders>
              <w:top w:val="single" w:sz="12" w:space="0" w:color="auto"/>
            </w:tcBorders>
          </w:tcPr>
          <w:p w14:paraId="7A3E7A13" w14:textId="77777777" w:rsidR="0087201A" w:rsidRPr="00B44B19" w:rsidRDefault="0087201A" w:rsidP="0087201A">
            <w:pPr>
              <w:jc w:val="both"/>
              <w:rPr>
                <w:rFonts w:cs="Times New Roman"/>
                <w:noProof/>
                <w:sz w:val="20"/>
                <w:szCs w:val="20"/>
              </w:rPr>
            </w:pPr>
            <w:r w:rsidRPr="00B44B19">
              <w:rPr>
                <w:rFonts w:cs="Times New Roman"/>
                <w:noProof/>
                <w:sz w:val="20"/>
                <w:szCs w:val="20"/>
              </w:rPr>
              <w:t>Sostinės regionas</w:t>
            </w:r>
          </w:p>
        </w:tc>
        <w:tc>
          <w:tcPr>
            <w:tcW w:w="1134" w:type="dxa"/>
            <w:vMerge w:val="restart"/>
            <w:tcBorders>
              <w:top w:val="single" w:sz="12" w:space="0" w:color="auto"/>
            </w:tcBorders>
          </w:tcPr>
          <w:p w14:paraId="49DE21D0" w14:textId="77777777" w:rsidR="0087201A" w:rsidRPr="00B44B19" w:rsidRDefault="0087201A" w:rsidP="0087201A">
            <w:pPr>
              <w:jc w:val="center"/>
              <w:rPr>
                <w:rFonts w:cs="Times New Roman"/>
                <w:iCs/>
                <w:noProof/>
                <w:sz w:val="20"/>
              </w:rPr>
            </w:pPr>
            <w:r w:rsidRPr="00B44B19">
              <w:rPr>
                <w:rFonts w:cs="Times New Roman"/>
                <w:iCs/>
                <w:noProof/>
                <w:sz w:val="20"/>
              </w:rPr>
              <w:t>16.1</w:t>
            </w:r>
          </w:p>
        </w:tc>
        <w:tc>
          <w:tcPr>
            <w:tcW w:w="3279" w:type="dxa"/>
            <w:vMerge w:val="restart"/>
            <w:tcBorders>
              <w:top w:val="single" w:sz="12" w:space="0" w:color="auto"/>
            </w:tcBorders>
          </w:tcPr>
          <w:p w14:paraId="69C40C97" w14:textId="77777777" w:rsidR="0087201A" w:rsidRPr="00B44B19" w:rsidRDefault="0087201A" w:rsidP="0087201A">
            <w:pPr>
              <w:rPr>
                <w:rFonts w:cs="Times New Roman"/>
                <w:iCs/>
                <w:noProof/>
                <w:sz w:val="20"/>
              </w:rPr>
            </w:pPr>
            <w:r w:rsidRPr="00B44B19">
              <w:rPr>
                <w:rFonts w:cs="Times New Roman"/>
                <w:iCs/>
                <w:noProof/>
                <w:sz w:val="20"/>
              </w:rPr>
              <w:t>09 – Netaikoma</w:t>
            </w:r>
          </w:p>
        </w:tc>
        <w:tc>
          <w:tcPr>
            <w:tcW w:w="1559" w:type="dxa"/>
            <w:tcBorders>
              <w:top w:val="single" w:sz="12" w:space="0" w:color="auto"/>
            </w:tcBorders>
          </w:tcPr>
          <w:p w14:paraId="2123E981" w14:textId="77777777" w:rsidR="0087201A" w:rsidRPr="00B44B19" w:rsidRDefault="0087201A" w:rsidP="0087201A">
            <w:pPr>
              <w:jc w:val="right"/>
              <w:rPr>
                <w:rFonts w:cs="Times New Roman"/>
                <w:sz w:val="20"/>
                <w:szCs w:val="20"/>
              </w:rPr>
            </w:pPr>
            <w:r w:rsidRPr="00B44B19">
              <w:rPr>
                <w:rFonts w:cs="Times New Roman"/>
                <w:sz w:val="20"/>
                <w:szCs w:val="20"/>
              </w:rPr>
              <w:t>399 790,00</w:t>
            </w:r>
          </w:p>
          <w:p w14:paraId="79C1BBDF" w14:textId="77777777" w:rsidR="0087201A" w:rsidRPr="00B44B19" w:rsidRDefault="0087201A" w:rsidP="0087201A">
            <w:pPr>
              <w:jc w:val="right"/>
              <w:rPr>
                <w:rFonts w:cs="Times New Roman"/>
                <w:iCs/>
                <w:noProof/>
                <w:sz w:val="20"/>
              </w:rPr>
            </w:pPr>
          </w:p>
        </w:tc>
      </w:tr>
      <w:tr w:rsidR="0087201A" w:rsidRPr="00B44B19" w14:paraId="2A16BBF6" w14:textId="77777777" w:rsidTr="003040E3">
        <w:tc>
          <w:tcPr>
            <w:tcW w:w="1101" w:type="dxa"/>
            <w:vMerge/>
          </w:tcPr>
          <w:p w14:paraId="04241FFA" w14:textId="77777777" w:rsidR="0087201A" w:rsidRPr="00B44B19" w:rsidRDefault="0087201A" w:rsidP="0087201A">
            <w:pPr>
              <w:jc w:val="center"/>
              <w:rPr>
                <w:rFonts w:cs="Times New Roman"/>
                <w:iCs/>
                <w:noProof/>
                <w:sz w:val="20"/>
              </w:rPr>
            </w:pPr>
          </w:p>
        </w:tc>
        <w:tc>
          <w:tcPr>
            <w:tcW w:w="850" w:type="dxa"/>
            <w:vMerge/>
          </w:tcPr>
          <w:p w14:paraId="78EB5DA2" w14:textId="77777777" w:rsidR="0087201A" w:rsidRPr="00B44B19" w:rsidRDefault="0087201A" w:rsidP="0087201A">
            <w:pPr>
              <w:jc w:val="center"/>
              <w:rPr>
                <w:rFonts w:cs="Times New Roman"/>
                <w:iCs/>
                <w:noProof/>
                <w:sz w:val="20"/>
              </w:rPr>
            </w:pPr>
          </w:p>
        </w:tc>
        <w:tc>
          <w:tcPr>
            <w:tcW w:w="1701" w:type="dxa"/>
          </w:tcPr>
          <w:p w14:paraId="7874094F" w14:textId="77777777" w:rsidR="0087201A" w:rsidRPr="00B44B19" w:rsidRDefault="0087201A" w:rsidP="0087201A">
            <w:pPr>
              <w:jc w:val="both"/>
              <w:rPr>
                <w:rFonts w:cs="Times New Roman"/>
                <w:noProof/>
                <w:sz w:val="20"/>
                <w:szCs w:val="20"/>
              </w:rPr>
            </w:pPr>
            <w:r w:rsidRPr="00B44B19">
              <w:rPr>
                <w:rFonts w:cs="Times New Roman"/>
                <w:noProof/>
                <w:sz w:val="20"/>
                <w:szCs w:val="20"/>
              </w:rPr>
              <w:t>VVL regionas</w:t>
            </w:r>
          </w:p>
        </w:tc>
        <w:tc>
          <w:tcPr>
            <w:tcW w:w="1134" w:type="dxa"/>
            <w:vMerge/>
          </w:tcPr>
          <w:p w14:paraId="1696067A" w14:textId="77777777" w:rsidR="0087201A" w:rsidRPr="00B44B19" w:rsidRDefault="0087201A" w:rsidP="0087201A">
            <w:pPr>
              <w:jc w:val="center"/>
              <w:rPr>
                <w:rFonts w:cs="Times New Roman"/>
                <w:iCs/>
                <w:noProof/>
                <w:sz w:val="20"/>
              </w:rPr>
            </w:pPr>
          </w:p>
        </w:tc>
        <w:tc>
          <w:tcPr>
            <w:tcW w:w="3279" w:type="dxa"/>
            <w:vMerge/>
          </w:tcPr>
          <w:p w14:paraId="148323A8" w14:textId="77777777" w:rsidR="0087201A" w:rsidRPr="00B44B19" w:rsidRDefault="0087201A" w:rsidP="0087201A">
            <w:pPr>
              <w:rPr>
                <w:rFonts w:cs="Times New Roman"/>
                <w:iCs/>
                <w:noProof/>
                <w:sz w:val="20"/>
              </w:rPr>
            </w:pPr>
          </w:p>
        </w:tc>
        <w:tc>
          <w:tcPr>
            <w:tcW w:w="1559" w:type="dxa"/>
          </w:tcPr>
          <w:p w14:paraId="05FB9364" w14:textId="77777777" w:rsidR="0087201A" w:rsidRPr="00B44B19" w:rsidRDefault="0087201A" w:rsidP="0087201A">
            <w:pPr>
              <w:jc w:val="right"/>
              <w:rPr>
                <w:rFonts w:cs="Times New Roman"/>
                <w:sz w:val="20"/>
                <w:szCs w:val="20"/>
              </w:rPr>
            </w:pPr>
            <w:r w:rsidRPr="00B44B19">
              <w:rPr>
                <w:rFonts w:cs="Times New Roman"/>
                <w:sz w:val="20"/>
                <w:szCs w:val="20"/>
              </w:rPr>
              <w:t>13 916 389,00</w:t>
            </w:r>
          </w:p>
          <w:p w14:paraId="1F520F03" w14:textId="77777777" w:rsidR="0087201A" w:rsidRPr="00B44B19" w:rsidRDefault="0087201A" w:rsidP="0087201A">
            <w:pPr>
              <w:jc w:val="right"/>
              <w:rPr>
                <w:rFonts w:cs="Times New Roman"/>
                <w:iCs/>
                <w:noProof/>
                <w:sz w:val="20"/>
              </w:rPr>
            </w:pPr>
          </w:p>
        </w:tc>
      </w:tr>
    </w:tbl>
    <w:p w14:paraId="453585FD" w14:textId="77777777" w:rsidR="0087201A" w:rsidRPr="00B44B19" w:rsidRDefault="0087201A" w:rsidP="0087201A">
      <w:pPr>
        <w:spacing w:after="0"/>
        <w:rPr>
          <w:rFonts w:eastAsia="Times New Roman" w:cs="Times New Roman"/>
        </w:rPr>
      </w:pPr>
    </w:p>
    <w:p w14:paraId="31620889" w14:textId="77777777" w:rsidR="0087201A" w:rsidRPr="00B44B19" w:rsidRDefault="0087201A" w:rsidP="0087201A">
      <w:pPr>
        <w:spacing w:after="0"/>
        <w:rPr>
          <w:rFonts w:eastAsia="Times New Roman" w:cs="Times New Roman"/>
        </w:rPr>
      </w:pPr>
    </w:p>
    <w:tbl>
      <w:tblPr>
        <w:tblStyle w:val="Lentelstinklelis30"/>
        <w:tblW w:w="9624" w:type="dxa"/>
        <w:tblLook w:val="04A0" w:firstRow="1" w:lastRow="0" w:firstColumn="1" w:lastColumn="0" w:noHBand="0" w:noVBand="1"/>
      </w:tblPr>
      <w:tblGrid>
        <w:gridCol w:w="1101"/>
        <w:gridCol w:w="850"/>
        <w:gridCol w:w="1720"/>
        <w:gridCol w:w="1134"/>
        <w:gridCol w:w="3260"/>
        <w:gridCol w:w="1559"/>
      </w:tblGrid>
      <w:tr w:rsidR="0087201A" w:rsidRPr="00B44B19" w14:paraId="09932B73" w14:textId="77777777" w:rsidTr="003040E3">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8EE5081" w14:textId="77777777" w:rsidR="0087201A" w:rsidRPr="00B44B19" w:rsidRDefault="0087201A" w:rsidP="0087201A">
            <w:pPr>
              <w:rPr>
                <w:b/>
                <w:iCs/>
                <w:noProof/>
                <w:sz w:val="20"/>
                <w:szCs w:val="20"/>
              </w:rPr>
            </w:pPr>
            <w:r w:rsidRPr="00B44B19">
              <w:rPr>
                <w:b/>
                <w:noProof/>
                <w:sz w:val="20"/>
                <w:szCs w:val="20"/>
              </w:rPr>
              <w:t xml:space="preserve">8 lentelė. 7 matmuo. </w:t>
            </w:r>
            <w:r w:rsidRPr="00B44B19">
              <w:rPr>
                <w:b/>
                <w:sz w:val="20"/>
                <w:szCs w:val="20"/>
              </w:rPr>
              <w:t>ESF+, ERPF, SaF ir TPF lyčių lygybės matmuo</w:t>
            </w:r>
          </w:p>
        </w:tc>
      </w:tr>
      <w:tr w:rsidR="0087201A" w:rsidRPr="00B44B19" w14:paraId="66A144EF"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DF6924C" w14:textId="77777777" w:rsidR="0087201A" w:rsidRPr="00B44B19" w:rsidRDefault="0087201A" w:rsidP="0087201A">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575E4E" w14:textId="77777777" w:rsidR="0087201A" w:rsidRPr="00B44B19" w:rsidRDefault="0087201A" w:rsidP="0087201A">
            <w:pPr>
              <w:jc w:val="center"/>
              <w:rPr>
                <w:b/>
                <w:iCs/>
                <w:noProof/>
                <w:sz w:val="20"/>
              </w:rPr>
            </w:pPr>
            <w:r w:rsidRPr="00B44B19">
              <w:rPr>
                <w:b/>
                <w:noProof/>
                <w:sz w:val="20"/>
              </w:rPr>
              <w:t>Fondas</w:t>
            </w:r>
          </w:p>
        </w:tc>
        <w:tc>
          <w:tcPr>
            <w:tcW w:w="17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C99101" w14:textId="77777777" w:rsidR="0087201A" w:rsidRPr="00B44B19" w:rsidRDefault="0087201A" w:rsidP="0087201A">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CCB5D2" w14:textId="77777777" w:rsidR="0087201A" w:rsidRPr="00B44B19" w:rsidRDefault="0087201A" w:rsidP="0087201A">
            <w:pPr>
              <w:jc w:val="center"/>
              <w:rPr>
                <w:b/>
                <w:iCs/>
                <w:noProof/>
                <w:sz w:val="20"/>
              </w:rPr>
            </w:pPr>
            <w:r w:rsidRPr="00B44B19">
              <w:rPr>
                <w:b/>
                <w:noProof/>
                <w:sz w:val="20"/>
              </w:rPr>
              <w:t>Konkretus uždavinys</w:t>
            </w:r>
          </w:p>
        </w:tc>
        <w:tc>
          <w:tcPr>
            <w:tcW w:w="3260" w:type="dxa"/>
            <w:tcBorders>
              <w:top w:val="single" w:sz="12" w:space="0" w:color="auto"/>
              <w:left w:val="single" w:sz="12" w:space="0" w:color="auto"/>
              <w:right w:val="single" w:sz="12" w:space="0" w:color="auto"/>
            </w:tcBorders>
            <w:shd w:val="clear" w:color="auto" w:fill="DBE5F1" w:themeFill="accent1" w:themeFillTint="33"/>
            <w:vAlign w:val="center"/>
          </w:tcPr>
          <w:p w14:paraId="006806B2" w14:textId="77777777" w:rsidR="0087201A" w:rsidRPr="00B44B19" w:rsidRDefault="0087201A" w:rsidP="0087201A">
            <w:pPr>
              <w:jc w:val="center"/>
              <w:rPr>
                <w:b/>
                <w:iCs/>
                <w:noProof/>
                <w:sz w:val="20"/>
              </w:rPr>
            </w:pPr>
            <w:r w:rsidRPr="00B44B19">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D58021" w14:textId="77777777" w:rsidR="0087201A" w:rsidRPr="00B44B19" w:rsidRDefault="0087201A" w:rsidP="0087201A">
            <w:pPr>
              <w:jc w:val="center"/>
              <w:rPr>
                <w:b/>
                <w:iCs/>
                <w:noProof/>
                <w:sz w:val="20"/>
              </w:rPr>
            </w:pPr>
            <w:r w:rsidRPr="00B44B19">
              <w:rPr>
                <w:b/>
                <w:noProof/>
                <w:sz w:val="20"/>
              </w:rPr>
              <w:t>Suma (EUR)</w:t>
            </w:r>
          </w:p>
        </w:tc>
      </w:tr>
      <w:tr w:rsidR="0087201A" w:rsidRPr="00B44B19" w14:paraId="24897097" w14:textId="77777777" w:rsidTr="003040E3">
        <w:tc>
          <w:tcPr>
            <w:tcW w:w="1101" w:type="dxa"/>
            <w:vMerge w:val="restart"/>
            <w:tcBorders>
              <w:top w:val="single" w:sz="12" w:space="0" w:color="auto"/>
            </w:tcBorders>
          </w:tcPr>
          <w:p w14:paraId="53DE6FF9" w14:textId="77777777" w:rsidR="0087201A" w:rsidRPr="00B44B19" w:rsidRDefault="0087201A" w:rsidP="0087201A">
            <w:pPr>
              <w:jc w:val="center"/>
              <w:rPr>
                <w:iCs/>
                <w:noProof/>
                <w:sz w:val="20"/>
                <w:szCs w:val="20"/>
              </w:rPr>
            </w:pPr>
            <w:r w:rsidRPr="00B44B19">
              <w:rPr>
                <w:iCs/>
                <w:noProof/>
                <w:sz w:val="20"/>
                <w:szCs w:val="20"/>
              </w:rPr>
              <w:t>16</w:t>
            </w:r>
          </w:p>
        </w:tc>
        <w:tc>
          <w:tcPr>
            <w:tcW w:w="850" w:type="dxa"/>
            <w:vMerge w:val="restart"/>
            <w:tcBorders>
              <w:top w:val="single" w:sz="12" w:space="0" w:color="auto"/>
            </w:tcBorders>
          </w:tcPr>
          <w:p w14:paraId="177A738F" w14:textId="77777777" w:rsidR="0087201A" w:rsidRPr="00B44B19" w:rsidRDefault="0087201A" w:rsidP="0087201A">
            <w:pPr>
              <w:jc w:val="center"/>
              <w:rPr>
                <w:iCs/>
                <w:noProof/>
                <w:sz w:val="20"/>
                <w:szCs w:val="20"/>
              </w:rPr>
            </w:pPr>
            <w:r w:rsidRPr="00B44B19">
              <w:rPr>
                <w:iCs/>
                <w:noProof/>
                <w:sz w:val="20"/>
                <w:szCs w:val="20"/>
              </w:rPr>
              <w:t>ESF+</w:t>
            </w:r>
          </w:p>
        </w:tc>
        <w:tc>
          <w:tcPr>
            <w:tcW w:w="1720" w:type="dxa"/>
            <w:tcBorders>
              <w:top w:val="single" w:sz="12" w:space="0" w:color="auto"/>
            </w:tcBorders>
          </w:tcPr>
          <w:p w14:paraId="4FAFEF18" w14:textId="77777777" w:rsidR="0087201A" w:rsidRPr="00B44B19" w:rsidRDefault="0087201A" w:rsidP="0087201A">
            <w:pPr>
              <w:rPr>
                <w:iCs/>
                <w:noProof/>
                <w:sz w:val="20"/>
                <w:szCs w:val="20"/>
              </w:rPr>
            </w:pPr>
            <w:r w:rsidRPr="00B44B19">
              <w:rPr>
                <w:noProof/>
                <w:sz w:val="20"/>
                <w:szCs w:val="20"/>
              </w:rPr>
              <w:t>Sostinės regionas</w:t>
            </w:r>
          </w:p>
        </w:tc>
        <w:tc>
          <w:tcPr>
            <w:tcW w:w="1134" w:type="dxa"/>
            <w:vMerge w:val="restart"/>
            <w:tcBorders>
              <w:top w:val="single" w:sz="12" w:space="0" w:color="auto"/>
            </w:tcBorders>
          </w:tcPr>
          <w:p w14:paraId="2B7443C3" w14:textId="77777777" w:rsidR="0087201A" w:rsidRPr="00B44B19" w:rsidRDefault="0087201A" w:rsidP="0087201A">
            <w:pPr>
              <w:jc w:val="center"/>
              <w:rPr>
                <w:iCs/>
                <w:noProof/>
                <w:sz w:val="20"/>
                <w:szCs w:val="20"/>
              </w:rPr>
            </w:pPr>
            <w:r w:rsidRPr="00B44B19">
              <w:rPr>
                <w:iCs/>
                <w:noProof/>
                <w:sz w:val="20"/>
                <w:szCs w:val="20"/>
              </w:rPr>
              <w:t>16.1</w:t>
            </w:r>
          </w:p>
        </w:tc>
        <w:tc>
          <w:tcPr>
            <w:tcW w:w="3260" w:type="dxa"/>
            <w:vMerge w:val="restart"/>
          </w:tcPr>
          <w:p w14:paraId="265853BA" w14:textId="77777777" w:rsidR="0087201A" w:rsidRPr="00B44B19" w:rsidRDefault="0087201A" w:rsidP="0087201A">
            <w:pPr>
              <w:rPr>
                <w:iCs/>
                <w:noProof/>
                <w:sz w:val="20"/>
                <w:szCs w:val="20"/>
              </w:rPr>
            </w:pPr>
            <w:r w:rsidRPr="00B44B19">
              <w:rPr>
                <w:iCs/>
                <w:noProof/>
                <w:sz w:val="20"/>
                <w:szCs w:val="20"/>
              </w:rPr>
              <w:t>03 – Neutralumas lyties požiūriu</w:t>
            </w:r>
          </w:p>
        </w:tc>
        <w:tc>
          <w:tcPr>
            <w:tcW w:w="1559" w:type="dxa"/>
            <w:tcBorders>
              <w:top w:val="single" w:sz="12" w:space="0" w:color="auto"/>
            </w:tcBorders>
          </w:tcPr>
          <w:p w14:paraId="2590CFC7" w14:textId="77777777" w:rsidR="0087201A" w:rsidRPr="00B44B19" w:rsidRDefault="0087201A" w:rsidP="0087201A">
            <w:pPr>
              <w:jc w:val="right"/>
              <w:rPr>
                <w:sz w:val="20"/>
                <w:szCs w:val="20"/>
              </w:rPr>
            </w:pPr>
            <w:r w:rsidRPr="00B44B19">
              <w:rPr>
                <w:sz w:val="20"/>
                <w:szCs w:val="20"/>
              </w:rPr>
              <w:t>84 000,00</w:t>
            </w:r>
          </w:p>
          <w:p w14:paraId="3F7FCA87" w14:textId="77777777" w:rsidR="0087201A" w:rsidRPr="00B44B19" w:rsidRDefault="0087201A" w:rsidP="0087201A">
            <w:pPr>
              <w:rPr>
                <w:iCs/>
                <w:noProof/>
                <w:sz w:val="20"/>
                <w:szCs w:val="20"/>
              </w:rPr>
            </w:pPr>
          </w:p>
        </w:tc>
      </w:tr>
      <w:tr w:rsidR="0087201A" w:rsidRPr="00B44B19" w14:paraId="1C3021BF" w14:textId="77777777" w:rsidTr="003040E3">
        <w:tc>
          <w:tcPr>
            <w:tcW w:w="1101" w:type="dxa"/>
            <w:vMerge/>
            <w:tcBorders>
              <w:top w:val="single" w:sz="12" w:space="0" w:color="auto"/>
            </w:tcBorders>
          </w:tcPr>
          <w:p w14:paraId="47B118A3" w14:textId="77777777" w:rsidR="0087201A" w:rsidRPr="00B44B19" w:rsidRDefault="0087201A" w:rsidP="0087201A">
            <w:pPr>
              <w:jc w:val="center"/>
              <w:rPr>
                <w:iCs/>
                <w:noProof/>
                <w:sz w:val="20"/>
                <w:szCs w:val="20"/>
              </w:rPr>
            </w:pPr>
          </w:p>
        </w:tc>
        <w:tc>
          <w:tcPr>
            <w:tcW w:w="850" w:type="dxa"/>
            <w:vMerge/>
            <w:tcBorders>
              <w:top w:val="single" w:sz="12" w:space="0" w:color="auto"/>
            </w:tcBorders>
          </w:tcPr>
          <w:p w14:paraId="700AFF80" w14:textId="77777777" w:rsidR="0087201A" w:rsidRPr="00B44B19" w:rsidRDefault="0087201A" w:rsidP="0087201A">
            <w:pPr>
              <w:jc w:val="center"/>
              <w:rPr>
                <w:iCs/>
                <w:noProof/>
                <w:sz w:val="20"/>
                <w:szCs w:val="20"/>
              </w:rPr>
            </w:pPr>
          </w:p>
        </w:tc>
        <w:tc>
          <w:tcPr>
            <w:tcW w:w="1720" w:type="dxa"/>
            <w:tcBorders>
              <w:top w:val="single" w:sz="12" w:space="0" w:color="auto"/>
            </w:tcBorders>
          </w:tcPr>
          <w:p w14:paraId="70F8CCFB" w14:textId="77777777" w:rsidR="0087201A" w:rsidRPr="00B44B19" w:rsidRDefault="0087201A" w:rsidP="0087201A">
            <w:pPr>
              <w:rPr>
                <w:noProof/>
                <w:sz w:val="20"/>
                <w:szCs w:val="20"/>
              </w:rPr>
            </w:pPr>
            <w:r w:rsidRPr="00B44B19">
              <w:rPr>
                <w:noProof/>
                <w:sz w:val="20"/>
                <w:szCs w:val="20"/>
              </w:rPr>
              <w:t>VVL regionas</w:t>
            </w:r>
          </w:p>
        </w:tc>
        <w:tc>
          <w:tcPr>
            <w:tcW w:w="1134" w:type="dxa"/>
            <w:vMerge/>
            <w:tcBorders>
              <w:top w:val="single" w:sz="12" w:space="0" w:color="auto"/>
            </w:tcBorders>
          </w:tcPr>
          <w:p w14:paraId="13DCA037" w14:textId="77777777" w:rsidR="0087201A" w:rsidRPr="00B44B19" w:rsidRDefault="0087201A" w:rsidP="0087201A">
            <w:pPr>
              <w:jc w:val="center"/>
              <w:rPr>
                <w:iCs/>
                <w:noProof/>
                <w:sz w:val="20"/>
                <w:szCs w:val="20"/>
              </w:rPr>
            </w:pPr>
          </w:p>
        </w:tc>
        <w:tc>
          <w:tcPr>
            <w:tcW w:w="3260" w:type="dxa"/>
            <w:vMerge/>
            <w:tcBorders>
              <w:top w:val="single" w:sz="12" w:space="0" w:color="auto"/>
            </w:tcBorders>
          </w:tcPr>
          <w:p w14:paraId="11FB082B" w14:textId="77777777" w:rsidR="0087201A" w:rsidRPr="00B44B19" w:rsidRDefault="0087201A" w:rsidP="0087201A">
            <w:pPr>
              <w:rPr>
                <w:iCs/>
                <w:noProof/>
                <w:sz w:val="20"/>
                <w:szCs w:val="20"/>
              </w:rPr>
            </w:pPr>
          </w:p>
        </w:tc>
        <w:tc>
          <w:tcPr>
            <w:tcW w:w="1559" w:type="dxa"/>
            <w:tcBorders>
              <w:top w:val="single" w:sz="12" w:space="0" w:color="auto"/>
            </w:tcBorders>
          </w:tcPr>
          <w:p w14:paraId="66751736" w14:textId="77777777" w:rsidR="0087201A" w:rsidRPr="00B44B19" w:rsidRDefault="0087201A" w:rsidP="0087201A">
            <w:pPr>
              <w:jc w:val="right"/>
              <w:rPr>
                <w:sz w:val="20"/>
                <w:szCs w:val="20"/>
              </w:rPr>
            </w:pPr>
            <w:r w:rsidRPr="00B44B19">
              <w:rPr>
                <w:sz w:val="20"/>
                <w:szCs w:val="20"/>
              </w:rPr>
              <w:t>9 216 389,00</w:t>
            </w:r>
          </w:p>
          <w:p w14:paraId="3508584C" w14:textId="77777777" w:rsidR="0087201A" w:rsidRPr="00B44B19" w:rsidRDefault="0087201A" w:rsidP="0087201A">
            <w:pPr>
              <w:jc w:val="right"/>
              <w:rPr>
                <w:sz w:val="20"/>
                <w:szCs w:val="20"/>
              </w:rPr>
            </w:pPr>
          </w:p>
        </w:tc>
      </w:tr>
      <w:tr w:rsidR="0087201A" w:rsidRPr="00B44B19" w14:paraId="60CCDABB" w14:textId="77777777" w:rsidTr="003040E3">
        <w:tc>
          <w:tcPr>
            <w:tcW w:w="1101" w:type="dxa"/>
            <w:vMerge/>
            <w:tcBorders>
              <w:top w:val="single" w:sz="12" w:space="0" w:color="auto"/>
            </w:tcBorders>
          </w:tcPr>
          <w:p w14:paraId="7D8B5075" w14:textId="77777777" w:rsidR="0087201A" w:rsidRPr="00B44B19" w:rsidRDefault="0087201A" w:rsidP="0087201A">
            <w:pPr>
              <w:jc w:val="center"/>
              <w:rPr>
                <w:iCs/>
                <w:noProof/>
                <w:sz w:val="20"/>
                <w:szCs w:val="20"/>
              </w:rPr>
            </w:pPr>
          </w:p>
        </w:tc>
        <w:tc>
          <w:tcPr>
            <w:tcW w:w="850" w:type="dxa"/>
            <w:vMerge/>
            <w:tcBorders>
              <w:top w:val="single" w:sz="12" w:space="0" w:color="auto"/>
            </w:tcBorders>
          </w:tcPr>
          <w:p w14:paraId="649AA1EC" w14:textId="77777777" w:rsidR="0087201A" w:rsidRPr="00B44B19" w:rsidRDefault="0087201A" w:rsidP="0087201A">
            <w:pPr>
              <w:jc w:val="center"/>
              <w:rPr>
                <w:iCs/>
                <w:noProof/>
                <w:sz w:val="20"/>
                <w:szCs w:val="20"/>
              </w:rPr>
            </w:pPr>
          </w:p>
        </w:tc>
        <w:tc>
          <w:tcPr>
            <w:tcW w:w="1720" w:type="dxa"/>
            <w:tcBorders>
              <w:top w:val="single" w:sz="12" w:space="0" w:color="auto"/>
            </w:tcBorders>
          </w:tcPr>
          <w:p w14:paraId="1B42B9AC" w14:textId="77777777" w:rsidR="0087201A" w:rsidRPr="00B44B19" w:rsidRDefault="0087201A" w:rsidP="0087201A">
            <w:pPr>
              <w:rPr>
                <w:noProof/>
                <w:sz w:val="20"/>
                <w:szCs w:val="20"/>
              </w:rPr>
            </w:pPr>
            <w:r w:rsidRPr="00B44B19">
              <w:rPr>
                <w:noProof/>
                <w:sz w:val="20"/>
                <w:szCs w:val="20"/>
              </w:rPr>
              <w:t>Sostinės regionas</w:t>
            </w:r>
          </w:p>
        </w:tc>
        <w:tc>
          <w:tcPr>
            <w:tcW w:w="1134" w:type="dxa"/>
            <w:vMerge/>
            <w:tcBorders>
              <w:top w:val="single" w:sz="12" w:space="0" w:color="auto"/>
            </w:tcBorders>
          </w:tcPr>
          <w:p w14:paraId="69D9B447" w14:textId="77777777" w:rsidR="0087201A" w:rsidRPr="00B44B19" w:rsidRDefault="0087201A" w:rsidP="0087201A">
            <w:pPr>
              <w:jc w:val="center"/>
              <w:rPr>
                <w:iCs/>
                <w:noProof/>
                <w:sz w:val="20"/>
                <w:szCs w:val="20"/>
              </w:rPr>
            </w:pPr>
          </w:p>
        </w:tc>
        <w:tc>
          <w:tcPr>
            <w:tcW w:w="3260" w:type="dxa"/>
            <w:vMerge w:val="restart"/>
          </w:tcPr>
          <w:p w14:paraId="5FE5FBDB" w14:textId="77777777" w:rsidR="0087201A" w:rsidRPr="00B44B19" w:rsidRDefault="0087201A" w:rsidP="0087201A">
            <w:pPr>
              <w:rPr>
                <w:iCs/>
                <w:noProof/>
                <w:sz w:val="20"/>
                <w:szCs w:val="20"/>
              </w:rPr>
            </w:pPr>
            <w:r w:rsidRPr="00B44B19">
              <w:rPr>
                <w:bCs/>
                <w:iCs/>
                <w:noProof/>
                <w:sz w:val="20"/>
                <w:szCs w:val="20"/>
              </w:rPr>
              <w:t>02 – Lyčių aspekto integravimas</w:t>
            </w:r>
          </w:p>
        </w:tc>
        <w:tc>
          <w:tcPr>
            <w:tcW w:w="1559" w:type="dxa"/>
            <w:tcBorders>
              <w:top w:val="single" w:sz="12" w:space="0" w:color="auto"/>
            </w:tcBorders>
          </w:tcPr>
          <w:p w14:paraId="14FBE843" w14:textId="77777777" w:rsidR="0087201A" w:rsidRPr="00B44B19" w:rsidRDefault="0087201A" w:rsidP="0087201A">
            <w:pPr>
              <w:jc w:val="right"/>
              <w:rPr>
                <w:iCs/>
                <w:sz w:val="20"/>
                <w:szCs w:val="20"/>
              </w:rPr>
            </w:pPr>
            <w:r w:rsidRPr="00B44B19">
              <w:rPr>
                <w:iCs/>
                <w:sz w:val="20"/>
                <w:szCs w:val="20"/>
              </w:rPr>
              <w:t xml:space="preserve">315 790,00 </w:t>
            </w:r>
          </w:p>
          <w:p w14:paraId="1F0A14CE" w14:textId="77777777" w:rsidR="0087201A" w:rsidRPr="00B44B19" w:rsidRDefault="0087201A" w:rsidP="0087201A">
            <w:pPr>
              <w:jc w:val="right"/>
              <w:rPr>
                <w:sz w:val="20"/>
                <w:szCs w:val="20"/>
              </w:rPr>
            </w:pPr>
          </w:p>
        </w:tc>
      </w:tr>
      <w:tr w:rsidR="0087201A" w:rsidRPr="00B44B19" w14:paraId="798ADA2D" w14:textId="77777777" w:rsidTr="003040E3">
        <w:trPr>
          <w:trHeight w:val="85"/>
        </w:trPr>
        <w:tc>
          <w:tcPr>
            <w:tcW w:w="1101" w:type="dxa"/>
            <w:vMerge/>
          </w:tcPr>
          <w:p w14:paraId="2DF0251B" w14:textId="77777777" w:rsidR="0087201A" w:rsidRPr="00B44B19" w:rsidRDefault="0087201A" w:rsidP="0087201A">
            <w:pPr>
              <w:jc w:val="center"/>
              <w:rPr>
                <w:iCs/>
                <w:noProof/>
                <w:sz w:val="20"/>
                <w:szCs w:val="20"/>
              </w:rPr>
            </w:pPr>
          </w:p>
        </w:tc>
        <w:tc>
          <w:tcPr>
            <w:tcW w:w="850" w:type="dxa"/>
            <w:vMerge/>
          </w:tcPr>
          <w:p w14:paraId="70CC493C" w14:textId="77777777" w:rsidR="0087201A" w:rsidRPr="00B44B19" w:rsidRDefault="0087201A" w:rsidP="0087201A">
            <w:pPr>
              <w:jc w:val="center"/>
              <w:rPr>
                <w:iCs/>
                <w:noProof/>
                <w:sz w:val="20"/>
                <w:szCs w:val="20"/>
              </w:rPr>
            </w:pPr>
          </w:p>
        </w:tc>
        <w:tc>
          <w:tcPr>
            <w:tcW w:w="1720" w:type="dxa"/>
          </w:tcPr>
          <w:p w14:paraId="68226720" w14:textId="77777777" w:rsidR="0087201A" w:rsidRPr="00B44B19" w:rsidRDefault="0087201A" w:rsidP="0087201A">
            <w:pPr>
              <w:rPr>
                <w:iCs/>
                <w:noProof/>
                <w:sz w:val="20"/>
                <w:szCs w:val="20"/>
              </w:rPr>
            </w:pPr>
            <w:r w:rsidRPr="00B44B19">
              <w:rPr>
                <w:noProof/>
                <w:sz w:val="20"/>
                <w:szCs w:val="20"/>
              </w:rPr>
              <w:t>VVL regionas</w:t>
            </w:r>
          </w:p>
        </w:tc>
        <w:tc>
          <w:tcPr>
            <w:tcW w:w="1134" w:type="dxa"/>
            <w:vMerge/>
          </w:tcPr>
          <w:p w14:paraId="0ADB18DC" w14:textId="77777777" w:rsidR="0087201A" w:rsidRPr="00B44B19" w:rsidRDefault="0087201A" w:rsidP="0087201A">
            <w:pPr>
              <w:jc w:val="center"/>
              <w:rPr>
                <w:iCs/>
                <w:noProof/>
                <w:sz w:val="20"/>
                <w:szCs w:val="20"/>
              </w:rPr>
            </w:pPr>
          </w:p>
        </w:tc>
        <w:tc>
          <w:tcPr>
            <w:tcW w:w="3260" w:type="dxa"/>
            <w:vMerge/>
          </w:tcPr>
          <w:p w14:paraId="1255686C" w14:textId="77777777" w:rsidR="0087201A" w:rsidRPr="00B44B19" w:rsidRDefault="0087201A" w:rsidP="0087201A">
            <w:pPr>
              <w:rPr>
                <w:iCs/>
                <w:noProof/>
                <w:sz w:val="20"/>
                <w:szCs w:val="20"/>
              </w:rPr>
            </w:pPr>
          </w:p>
        </w:tc>
        <w:tc>
          <w:tcPr>
            <w:tcW w:w="1559" w:type="dxa"/>
          </w:tcPr>
          <w:p w14:paraId="7193A90F" w14:textId="77777777" w:rsidR="0087201A" w:rsidRPr="00B44B19" w:rsidRDefault="0087201A" w:rsidP="0087201A">
            <w:pPr>
              <w:jc w:val="right"/>
              <w:rPr>
                <w:sz w:val="20"/>
                <w:szCs w:val="20"/>
              </w:rPr>
            </w:pPr>
            <w:r w:rsidRPr="00B44B19">
              <w:rPr>
                <w:sz w:val="20"/>
                <w:szCs w:val="20"/>
              </w:rPr>
              <w:t>4 700 000,00</w:t>
            </w:r>
          </w:p>
          <w:p w14:paraId="48C99CA2" w14:textId="77777777" w:rsidR="0087201A" w:rsidRPr="00B44B19" w:rsidRDefault="0087201A" w:rsidP="0087201A">
            <w:pPr>
              <w:jc w:val="right"/>
              <w:rPr>
                <w:iCs/>
                <w:noProof/>
                <w:sz w:val="20"/>
                <w:szCs w:val="20"/>
              </w:rPr>
            </w:pPr>
          </w:p>
        </w:tc>
      </w:tr>
    </w:tbl>
    <w:p w14:paraId="5EE0DCB1" w14:textId="77777777" w:rsidR="0087201A" w:rsidRPr="00B44B19" w:rsidRDefault="0087201A" w:rsidP="00D456C1">
      <w:pPr>
        <w:pStyle w:val="Antrat1"/>
      </w:pPr>
      <w:bookmarkStart w:id="95" w:name="_Toc223435461"/>
      <w:r w:rsidRPr="00B44B19">
        <w:lastRenderedPageBreak/>
        <w:t>17. specialus prioritetas. socialinio būsto fondo plėtra</w:t>
      </w:r>
      <w:bookmarkEnd w:id="95"/>
    </w:p>
    <w:p w14:paraId="737F6550" w14:textId="77777777" w:rsidR="0087201A" w:rsidRPr="00B44B19" w:rsidRDefault="0087201A" w:rsidP="00D456C1">
      <w:pPr>
        <w:pStyle w:val="Antrat2"/>
      </w:pPr>
      <w:bookmarkStart w:id="96" w:name="_Toc223435462"/>
      <w:r w:rsidRPr="00B44B19">
        <w:t>Konkretus uždavinys – 17.1. Skatinti galimybes gauti prieinamą ir tvarų būstą</w:t>
      </w:r>
      <w:bookmarkEnd w:id="96"/>
    </w:p>
    <w:p w14:paraId="795EA74B"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Įgyvendinamos veiklos</w:t>
      </w:r>
    </w:p>
    <w:tbl>
      <w:tblPr>
        <w:tblStyle w:val="Lentelstinklelis2"/>
        <w:tblW w:w="9634" w:type="dxa"/>
        <w:tblLook w:val="04A0" w:firstRow="1" w:lastRow="0" w:firstColumn="1" w:lastColumn="0" w:noHBand="0" w:noVBand="1"/>
      </w:tblPr>
      <w:tblGrid>
        <w:gridCol w:w="9634"/>
      </w:tblGrid>
      <w:tr w:rsidR="0087201A" w:rsidRPr="00B44B19" w14:paraId="0659665B" w14:textId="77777777" w:rsidTr="003040E3">
        <w:trPr>
          <w:trHeight w:val="283"/>
        </w:trPr>
        <w:tc>
          <w:tcPr>
            <w:tcW w:w="9634" w:type="dxa"/>
          </w:tcPr>
          <w:p w14:paraId="3F44E48D" w14:textId="77777777" w:rsidR="0087201A" w:rsidRPr="00B44B19" w:rsidRDefault="0087201A" w:rsidP="002E0230">
            <w:pPr>
              <w:autoSpaceDE w:val="0"/>
              <w:autoSpaceDN w:val="0"/>
              <w:adjustRightInd w:val="0"/>
              <w:spacing w:before="60" w:after="60"/>
              <w:jc w:val="both"/>
              <w:rPr>
                <w:rFonts w:ascii="Times New Roman" w:eastAsia="Calibri" w:hAnsi="Times New Roman" w:cs="Times New Roman"/>
                <w:iCs/>
              </w:rPr>
            </w:pPr>
            <w:r w:rsidRPr="00B44B19">
              <w:rPr>
                <w:rFonts w:ascii="Times New Roman" w:eastAsia="Calibri" w:hAnsi="Times New Roman" w:cs="Times New Roman"/>
                <w:iCs/>
              </w:rPr>
              <w:t>2024 m. į Asmenų ir šeimų, turinčių teisę į socialinio būsto nuomą, sąrašus buvo įrašyti 10378 asmenys (šeimos) (19036 šeimos nariai). Remiantis oficialios statistikos portalo</w:t>
            </w:r>
            <w:r w:rsidRPr="00B44B19">
              <w:rPr>
                <w:rFonts w:ascii="Times New Roman" w:eastAsia="Calibri" w:hAnsi="Times New Roman" w:cs="Times New Roman"/>
                <w:iCs/>
                <w:vertAlign w:val="superscript"/>
              </w:rPr>
              <w:footnoteReference w:id="8"/>
            </w:r>
            <w:r w:rsidRPr="00B44B19">
              <w:rPr>
                <w:rFonts w:ascii="Times New Roman" w:eastAsia="Calibri" w:hAnsi="Times New Roman" w:cs="Times New Roman"/>
                <w:iCs/>
              </w:rPr>
              <w:t xml:space="preserve"> ir savivaldybių teikiamais duomenimis į Socialinės paramos šeimai informacinę sistemą, 2024 m. socialinio būsto fondas sudarė 0,8 proc. bendro būsto fondo Lietuvoje. Tuo pačiu laikotarpiu vidutinė socialinio būsto nuomos laukimo trukmė buvo 5,63 m. (priklausomai nuo savivaldybės vidutinė socialinio būsto laukimo trukmė svyruoja nuo 2 iki 13 m.). Nors savivaldybės kasmet vykdo socialinio būsto fondo plėtrą, pagal anksčiau nurodytus duomenis </w:t>
            </w:r>
            <w:r w:rsidRPr="00B44B19">
              <w:rPr>
                <w:rFonts w:ascii="Times New Roman" w:eastAsia="Calibri" w:hAnsi="Times New Roman" w:cs="Times New Roman"/>
                <w:iCs/>
                <w:lang w:bidi="lt-LT"/>
              </w:rPr>
              <w:t>asmenų (šeimų) aprūpinimo socialiniu būstu problema išlieka vis dar aktuali.</w:t>
            </w:r>
          </w:p>
          <w:p w14:paraId="5100DC40" w14:textId="77777777" w:rsidR="0087201A" w:rsidRPr="00B44B19" w:rsidRDefault="0087201A" w:rsidP="002E0230">
            <w:pPr>
              <w:autoSpaceDE w:val="0"/>
              <w:autoSpaceDN w:val="0"/>
              <w:adjustRightInd w:val="0"/>
              <w:spacing w:before="60" w:after="60"/>
              <w:jc w:val="both"/>
              <w:rPr>
                <w:rFonts w:ascii="Times New Roman" w:eastAsia="Calibri" w:hAnsi="Times New Roman" w:cs="Times New Roman"/>
                <w:iCs/>
              </w:rPr>
            </w:pPr>
            <w:r w:rsidRPr="00B44B19">
              <w:rPr>
                <w:rFonts w:ascii="Times New Roman" w:eastAsia="Calibri" w:hAnsi="Times New Roman" w:cs="Times New Roman"/>
                <w:iCs/>
              </w:rPr>
              <w:t>Būstas yra vienas pagrindinių asmens (šeimos) poreikių, todėl būtina stiprinti priemones, siekiant didinti socialinio būsto prieinamumą labiausiai pažeidžiamiems asmenims (šeimoms). Siekiant užkirsti kelią socialinei atskirčiai ir su ja kovoti, ypač svarbu užtikrinti šeimų, auginančių vaikus, teises į tinkamą būstą, tokiu būdu prisidedant prie Vaiko garantijų sistemos įgyvendinimo. Taip pat investicijos į socialinio būsto plėtrą prisidėtų prie Europos Tarybos rekomendacijų Lietuvai, kuriomis siūloma gerinti socialinio būsto prieinamumą ir jo kokybę, įgyvendinimo.</w:t>
            </w:r>
          </w:p>
          <w:p w14:paraId="290E53BA" w14:textId="77777777" w:rsidR="0087201A" w:rsidRPr="00B44B19" w:rsidRDefault="0087201A" w:rsidP="002E0230">
            <w:pPr>
              <w:autoSpaceDE w:val="0"/>
              <w:autoSpaceDN w:val="0"/>
              <w:adjustRightInd w:val="0"/>
              <w:spacing w:before="60" w:after="60"/>
              <w:jc w:val="both"/>
              <w:rPr>
                <w:rFonts w:ascii="Times New Roman" w:eastAsia="Calibri" w:hAnsi="Times New Roman" w:cs="Times New Roman"/>
                <w:iCs/>
              </w:rPr>
            </w:pPr>
            <w:r w:rsidRPr="00B44B19">
              <w:rPr>
                <w:rFonts w:ascii="Times New Roman" w:eastAsia="Calibri" w:hAnsi="Times New Roman" w:cs="Times New Roman"/>
                <w:iCs/>
              </w:rPr>
              <w:t>Investicijos į socialinio būsto fondo plėtrą atitiks į nacionalinę teisę perkeltas Europos Parlamento ir Tarybos direktyvos (ES) 2024/1275 dėl pastatų energinio naudingumo, nuostatas.</w:t>
            </w:r>
          </w:p>
          <w:p w14:paraId="25AEBD32" w14:textId="77777777" w:rsidR="0087201A" w:rsidRPr="00B44B19" w:rsidRDefault="0087201A" w:rsidP="002E0230">
            <w:pPr>
              <w:autoSpaceDE w:val="0"/>
              <w:autoSpaceDN w:val="0"/>
              <w:adjustRightInd w:val="0"/>
              <w:spacing w:before="60" w:after="60"/>
              <w:jc w:val="both"/>
              <w:rPr>
                <w:rFonts w:ascii="Times New Roman" w:eastAsia="Calibri" w:hAnsi="Times New Roman" w:cs="Times New Roman"/>
                <w:iCs/>
              </w:rPr>
            </w:pPr>
            <w:r w:rsidRPr="00B44B19">
              <w:rPr>
                <w:rFonts w:ascii="Times New Roman" w:eastAsia="Calibri" w:hAnsi="Times New Roman" w:cs="Times New Roman"/>
                <w:iCs/>
              </w:rPr>
              <w:t>Veiksmas, kuriuo siekiama padidinti socialinio būsto prieinamumo teisę į socialinio būsto nuomą turintiems asmenims ir šeimoms:</w:t>
            </w:r>
          </w:p>
          <w:p w14:paraId="3B9CEA9A"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
              </w:rPr>
              <w:t>Plėtoti</w:t>
            </w:r>
            <w:r w:rsidRPr="00B44B19">
              <w:rPr>
                <w:rFonts w:ascii="Times New Roman" w:eastAsia="Times New Roman" w:hAnsi="Times New Roman" w:cs="Times New Roman"/>
                <w:bCs/>
              </w:rPr>
              <w:t xml:space="preserve"> </w:t>
            </w:r>
            <w:r w:rsidRPr="00B44B19">
              <w:rPr>
                <w:rFonts w:ascii="Times New Roman" w:eastAsia="Times New Roman" w:hAnsi="Times New Roman" w:cs="Times New Roman"/>
                <w:b/>
              </w:rPr>
              <w:t>socialinio būsto fondą</w:t>
            </w:r>
            <w:r w:rsidRPr="00B44B19">
              <w:rPr>
                <w:rFonts w:ascii="Times New Roman" w:eastAsia="Times New Roman" w:hAnsi="Times New Roman" w:cs="Times New Roman"/>
                <w:bCs/>
              </w:rPr>
              <w:t xml:space="preserve"> visoms</w:t>
            </w:r>
            <w:r w:rsidRPr="00B44B19">
              <w:rPr>
                <w:rFonts w:ascii="Times New Roman" w:eastAsia="Times New Roman" w:hAnsi="Times New Roman" w:cs="Times New Roman"/>
                <w:noProof/>
                <w:lang w:eastAsia="lt-LT" w:bidi="lt-LT"/>
              </w:rPr>
              <w:t xml:space="preserve"> </w:t>
            </w:r>
            <w:r w:rsidRPr="00B44B19">
              <w:rPr>
                <w:rFonts w:ascii="Times New Roman" w:eastAsia="Times New Roman" w:hAnsi="Times New Roman" w:cs="Times New Roman"/>
                <w:bCs/>
                <w:lang w:bidi="lt-LT"/>
              </w:rPr>
              <w:t>Lietuvos Respublikos paramos būstui įsigyti ar išsinuomoti įstatyme nurodytoms tikslinėms grupėms (jaunoms šeim</w:t>
            </w:r>
            <w:bookmarkStart w:id="97" w:name="part_dfaf8fb318bf4d449f1c7b4c73348551"/>
            <w:bookmarkEnd w:id="97"/>
            <w:r w:rsidRPr="00B44B19">
              <w:rPr>
                <w:rFonts w:ascii="Times New Roman" w:eastAsia="Times New Roman" w:hAnsi="Times New Roman" w:cs="Times New Roman"/>
                <w:bCs/>
                <w:lang w:bidi="lt-LT"/>
              </w:rPr>
              <w:t>oms, šeimoms, auginančioms tris ar daugiau vaikų, likusiems be tėvų globos asmenims ir jų šeimoms, asmenims su negalia ir jų šeimoms ir kt.)</w:t>
            </w:r>
            <w:r w:rsidRPr="00B44B19">
              <w:rPr>
                <w:rFonts w:ascii="Times New Roman" w:eastAsia="Times New Roman" w:hAnsi="Times New Roman" w:cs="Times New Roman"/>
                <w:bCs/>
              </w:rPr>
              <w:t>, siekiant užtikrinti vaiko / šeimos ar asmens teisę į tinkamas gyvenimo sąlygas, ir taip didinti nepalankias sąlygas turinčių asmenų ir šeimų, integraciją, taip pat, atsižvelgiant į bendruosius darnaus vystymosi principus, siekti užtikrinti galimybę naudotis įsidarbinimo, sveikatos priežiūros, švietimo, vaikų priežiūros, socialinėmis, kultūros ir kitomis asmenims (šeimoms) reikalingomis paslaugomis. Ši veikla bus įgyvendinama VVL ir Sostinės regionuose.</w:t>
            </w:r>
          </w:p>
          <w:p w14:paraId="0DE0DBB5" w14:textId="77777777" w:rsidR="0087201A" w:rsidRPr="00B44B19" w:rsidRDefault="0087201A" w:rsidP="002E0230">
            <w:pPr>
              <w:spacing w:before="60" w:after="60"/>
              <w:jc w:val="both"/>
              <w:rPr>
                <w:rFonts w:ascii="Times New Roman" w:eastAsia="Times New Roman" w:hAnsi="Times New Roman" w:cs="Times New Roman"/>
                <w:bCs/>
              </w:rPr>
            </w:pPr>
            <w:r w:rsidRPr="00B44B19">
              <w:rPr>
                <w:rFonts w:ascii="Times New Roman" w:eastAsia="Times New Roman" w:hAnsi="Times New Roman" w:cs="Times New Roman"/>
                <w:bCs/>
                <w:color w:val="000000" w:themeColor="text1"/>
              </w:rPr>
              <w:t>Uždavinio veiklos (veiksmų rūšys) įvertintos vadovaujantis EGADP NRŽ gairėmis, todėl laikoma, kad atitinka NRŽ principą.</w:t>
            </w:r>
          </w:p>
        </w:tc>
      </w:tr>
    </w:tbl>
    <w:p w14:paraId="2EB85BFE"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Pagrindinės tikslinės grupės</w:t>
      </w:r>
    </w:p>
    <w:tbl>
      <w:tblPr>
        <w:tblStyle w:val="Lentelstinklelis2"/>
        <w:tblW w:w="0" w:type="auto"/>
        <w:tblLook w:val="04A0" w:firstRow="1" w:lastRow="0" w:firstColumn="1" w:lastColumn="0" w:noHBand="0" w:noVBand="1"/>
      </w:tblPr>
      <w:tblGrid>
        <w:gridCol w:w="9628"/>
      </w:tblGrid>
      <w:tr w:rsidR="0087201A" w:rsidRPr="00B44B19" w14:paraId="3AB079E8" w14:textId="77777777" w:rsidTr="003040E3">
        <w:tc>
          <w:tcPr>
            <w:tcW w:w="9854" w:type="dxa"/>
          </w:tcPr>
          <w:p w14:paraId="71ADFC2F" w14:textId="77777777" w:rsidR="0087201A" w:rsidRPr="00B44B19" w:rsidRDefault="0087201A" w:rsidP="002E0230">
            <w:pPr>
              <w:autoSpaceDE w:val="0"/>
              <w:autoSpaceDN w:val="0"/>
              <w:adjustRightInd w:val="0"/>
              <w:spacing w:before="60" w:after="60"/>
              <w:jc w:val="both"/>
              <w:rPr>
                <w:rFonts w:ascii="Times New Roman" w:hAnsi="Times New Roman" w:cs="Times New Roman"/>
                <w:color w:val="000000"/>
              </w:rPr>
            </w:pPr>
            <w:r w:rsidRPr="00B44B19">
              <w:rPr>
                <w:rFonts w:ascii="Times New Roman" w:eastAsia="Times New Roman" w:hAnsi="Times New Roman" w:cs="Times New Roman"/>
                <w:noProof/>
                <w:lang w:eastAsia="lt-LT" w:bidi="lt-LT"/>
              </w:rPr>
              <w:t>Asmenys ir šeimos, pagal Lietuvos Respublikos paramos būstui įsigyti ar išsinuomoti įstatymą įrašyti į Asmenų ir šeimų, turinčių teisę į socialinio būsto nuomą, sąrašus.</w:t>
            </w:r>
          </w:p>
        </w:tc>
      </w:tr>
    </w:tbl>
    <w:p w14:paraId="1F41833D" w14:textId="77777777" w:rsidR="0087201A" w:rsidRPr="00B44B19" w:rsidRDefault="0087201A" w:rsidP="0087201A">
      <w:pPr>
        <w:tabs>
          <w:tab w:val="center" w:pos="4819"/>
          <w:tab w:val="right" w:pos="9638"/>
        </w:tabs>
        <w:spacing w:before="120" w:after="120" w:line="240" w:lineRule="auto"/>
        <w:rPr>
          <w:rFonts w:eastAsia="Times New Roman" w:cs="Times New Roman"/>
          <w:b/>
          <w:i/>
          <w:iCs/>
          <w:noProof/>
          <w:color w:val="1F497D" w:themeColor="text2"/>
          <w:sz w:val="22"/>
          <w:lang w:eastAsia="lt-LT" w:bidi="lt-LT"/>
        </w:rPr>
      </w:pPr>
      <w:r w:rsidRPr="00B44B19">
        <w:rPr>
          <w:rFonts w:cs="Times New Roman"/>
          <w:b/>
          <w:i/>
          <w:noProof/>
          <w:color w:val="1F497D" w:themeColor="text2"/>
          <w:sz w:val="22"/>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87201A" w:rsidRPr="00B44B19" w14:paraId="653C89C7" w14:textId="77777777" w:rsidTr="003040E3">
        <w:trPr>
          <w:trHeight w:val="82"/>
        </w:trPr>
        <w:tc>
          <w:tcPr>
            <w:tcW w:w="9854" w:type="dxa"/>
          </w:tcPr>
          <w:p w14:paraId="2F54795A" w14:textId="77777777" w:rsidR="0087201A" w:rsidRPr="00B44B19" w:rsidRDefault="0087201A" w:rsidP="002E0230">
            <w:pPr>
              <w:spacing w:before="60" w:after="60"/>
              <w:jc w:val="both"/>
              <w:rPr>
                <w:rFonts w:eastAsia="Calibri" w:cs="Times New Roman"/>
                <w:noProof/>
                <w:sz w:val="22"/>
                <w:lang w:eastAsia="lt-LT" w:bidi="lt-LT"/>
              </w:rPr>
            </w:pPr>
            <w:r w:rsidRPr="00B44B19">
              <w:rPr>
                <w:rFonts w:eastAsia="Calibri" w:cs="Times New Roman"/>
                <w:noProof/>
                <w:sz w:val="22"/>
                <w:lang w:eastAsia="lt-LT" w:bidi="lt-LT"/>
              </w:rPr>
              <w:t>Vykdant numatytas veiklas, pagal kurias investuojama į socialinio būsto fondo plėtrą,</w:t>
            </w:r>
            <w:r w:rsidRPr="00B44B19">
              <w:rPr>
                <w:rFonts w:eastAsia="Calibri" w:cs="Times New Roman"/>
                <w:b/>
                <w:bCs/>
                <w:i/>
                <w:iCs/>
                <w:noProof/>
                <w:sz w:val="22"/>
                <w:lang w:eastAsia="lt-LT" w:bidi="lt-LT"/>
              </w:rPr>
              <w:t xml:space="preserve"> </w:t>
            </w:r>
            <w:r w:rsidRPr="00B44B19">
              <w:rPr>
                <w:rFonts w:eastAsia="Calibri" w:cs="Times New Roman"/>
                <w:noProof/>
                <w:sz w:val="22"/>
                <w:lang w:eastAsia="lt-LT" w:bidi="lt-LT"/>
              </w:rPr>
              <w:t>bus įgyvendinamas nediskriminavimo dėl lyties, rasės, tautybės, pilietybės, kalbos, kilmės, socialinės padėties, tikėjimo, įsitikinimų ar pažiūrų, amžiaus, negalios, lytinės orientacijos, etninės priklausomybės, religijos ar kitų tapatybių principas – kuriama infrastruktūra, pagal poreikį, bus pritaikoma pagal universalaus dizaino principus.</w:t>
            </w:r>
          </w:p>
          <w:p w14:paraId="56C04264" w14:textId="77777777" w:rsidR="0087201A" w:rsidRPr="00B44B19" w:rsidRDefault="0087201A" w:rsidP="002E0230">
            <w:pPr>
              <w:spacing w:before="60" w:after="60"/>
              <w:jc w:val="both"/>
              <w:rPr>
                <w:rFonts w:eastAsia="Calibri" w:cs="Times New Roman"/>
                <w:bCs/>
                <w:noProof/>
                <w:sz w:val="22"/>
                <w:lang w:eastAsia="lt-LT" w:bidi="lt-LT"/>
              </w:rPr>
            </w:pPr>
            <w:r w:rsidRPr="00B44B19">
              <w:rPr>
                <w:rFonts w:eastAsia="Calibri" w:cs="Times New Roman"/>
                <w:bCs/>
                <w:noProof/>
                <w:sz w:val="22"/>
                <w:lang w:eastAsia="lt-LT" w:bidi="lt-LT"/>
              </w:rPr>
              <w:t>Vadovaujantis nacionaliniais teisės aktais, parama būstui išsinuomoti (nuomojant socialinį būstą) teikiama, be kita ko, vadovaujantis lygiateisiškumo principu – parama būstui išsinuomoti teikiama užtikrinant asmenų ir šeimų lygybę.</w:t>
            </w:r>
          </w:p>
          <w:p w14:paraId="28BFE839" w14:textId="77777777" w:rsidR="0087201A" w:rsidRPr="00B44B19" w:rsidRDefault="0087201A" w:rsidP="002E0230">
            <w:pPr>
              <w:spacing w:before="60" w:after="60"/>
              <w:jc w:val="both"/>
              <w:rPr>
                <w:rFonts w:cs="Times New Roman"/>
                <w:sz w:val="22"/>
              </w:rPr>
            </w:pPr>
            <w:r w:rsidRPr="00B44B19">
              <w:rPr>
                <w:rFonts w:cs="Times New Roman"/>
                <w:sz w:val="22"/>
              </w:rPr>
              <w:t>Vykdant socialinio būsto fondo plėtrą, bus siekiama socialinio būsto nuomos laukiančius asmenis (šeimas) aprūpinti tinkamu būstu ir sudaryti sąlygas jiems integruotis į visuomenę, skatinti socialinę įtrauktį ir socialinę sanglaudą. Vengiant segregacijos, kad socialinis būstas nebūtų statomas ar įsigyjamas izoliuotai, kad pagal namų ūkių pajamų dydį, asmenų (šeimų) priklausymą tautinėms mažumoms ar kitu pagrindu nebūtų formuojamos atskiros teritorijos.</w:t>
            </w:r>
          </w:p>
        </w:tc>
      </w:tr>
    </w:tbl>
    <w:p w14:paraId="5E7E8489"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lastRenderedPageBreak/>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87201A" w:rsidRPr="00B44B19" w14:paraId="043C9C41" w14:textId="77777777" w:rsidTr="003040E3">
        <w:tc>
          <w:tcPr>
            <w:tcW w:w="9854" w:type="dxa"/>
          </w:tcPr>
          <w:p w14:paraId="36AF7587" w14:textId="77777777" w:rsidR="0087201A" w:rsidRPr="00B44B19" w:rsidRDefault="0087201A" w:rsidP="002E0230">
            <w:pPr>
              <w:spacing w:before="60" w:after="60"/>
              <w:jc w:val="both"/>
              <w:rPr>
                <w:rFonts w:ascii="Times New Roman" w:hAnsi="Times New Roman" w:cs="Times New Roman"/>
                <w:iCs/>
                <w:spacing w:val="-4"/>
              </w:rPr>
            </w:pPr>
            <w:r w:rsidRPr="00B44B19">
              <w:rPr>
                <w:rFonts w:ascii="Times New Roman" w:eastAsia="Calibri" w:hAnsi="Times New Roman" w:cs="Times New Roman"/>
                <w:noProof/>
                <w:lang w:eastAsia="lt-LT" w:bidi="lt-LT"/>
              </w:rPr>
              <w:t>VVL regionas, Sostinės regionas</w:t>
            </w:r>
          </w:p>
        </w:tc>
      </w:tr>
    </w:tbl>
    <w:p w14:paraId="244325C8"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Tarpregioniniai, tarp sienų ir tarpvalstybiniai veiksmai</w:t>
      </w:r>
    </w:p>
    <w:tbl>
      <w:tblPr>
        <w:tblStyle w:val="Lentelstinklelis2"/>
        <w:tblW w:w="0" w:type="auto"/>
        <w:tblLook w:val="04A0" w:firstRow="1" w:lastRow="0" w:firstColumn="1" w:lastColumn="0" w:noHBand="0" w:noVBand="1"/>
      </w:tblPr>
      <w:tblGrid>
        <w:gridCol w:w="9628"/>
      </w:tblGrid>
      <w:tr w:rsidR="0087201A" w:rsidRPr="00B44B19" w14:paraId="7A115A3F" w14:textId="77777777" w:rsidTr="003040E3">
        <w:tc>
          <w:tcPr>
            <w:tcW w:w="9854" w:type="dxa"/>
          </w:tcPr>
          <w:p w14:paraId="3F0D3E07" w14:textId="77777777" w:rsidR="0087201A" w:rsidRPr="00B44B19" w:rsidRDefault="0087201A" w:rsidP="0087201A">
            <w:pPr>
              <w:spacing w:before="120" w:after="120" w:line="276" w:lineRule="auto"/>
              <w:jc w:val="both"/>
              <w:rPr>
                <w:rFonts w:ascii="Times New Roman" w:hAnsi="Times New Roman" w:cs="Times New Roman"/>
                <w:sz w:val="24"/>
              </w:rPr>
            </w:pPr>
            <w:r w:rsidRPr="00B44B19">
              <w:rPr>
                <w:rFonts w:ascii="Times New Roman" w:hAnsi="Times New Roman" w:cs="Times New Roman"/>
                <w:sz w:val="24"/>
              </w:rPr>
              <w:t>-</w:t>
            </w:r>
          </w:p>
        </w:tc>
      </w:tr>
    </w:tbl>
    <w:p w14:paraId="06C01C93"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Planuojamas finansinių priemonių naudojimas</w:t>
      </w:r>
    </w:p>
    <w:tbl>
      <w:tblPr>
        <w:tblStyle w:val="Lentelstinklelis2"/>
        <w:tblW w:w="0" w:type="auto"/>
        <w:tblLook w:val="04A0" w:firstRow="1" w:lastRow="0" w:firstColumn="1" w:lastColumn="0" w:noHBand="0" w:noVBand="1"/>
      </w:tblPr>
      <w:tblGrid>
        <w:gridCol w:w="9628"/>
      </w:tblGrid>
      <w:tr w:rsidR="0087201A" w:rsidRPr="00B44B19" w14:paraId="23D31872" w14:textId="77777777" w:rsidTr="003040E3">
        <w:tc>
          <w:tcPr>
            <w:tcW w:w="9854" w:type="dxa"/>
          </w:tcPr>
          <w:p w14:paraId="1314E648" w14:textId="77777777" w:rsidR="0087201A" w:rsidRPr="00B44B19" w:rsidRDefault="0087201A" w:rsidP="0087201A">
            <w:pPr>
              <w:spacing w:before="120" w:after="120" w:line="276" w:lineRule="auto"/>
              <w:jc w:val="both"/>
              <w:rPr>
                <w:rFonts w:ascii="Times New Roman" w:eastAsia="Calibri" w:hAnsi="Times New Roman" w:cs="Times New Roman"/>
                <w:sz w:val="24"/>
                <w:lang w:eastAsia="lt-LT"/>
              </w:rPr>
            </w:pPr>
            <w:r w:rsidRPr="00B44B19">
              <w:rPr>
                <w:rFonts w:ascii="Times New Roman" w:eastAsia="Calibri" w:hAnsi="Times New Roman" w:cs="Times New Roman"/>
                <w:sz w:val="24"/>
                <w:lang w:eastAsia="lt-LT"/>
              </w:rPr>
              <w:t>-</w:t>
            </w:r>
          </w:p>
        </w:tc>
      </w:tr>
    </w:tbl>
    <w:p w14:paraId="745DA168" w14:textId="77777777" w:rsidR="0087201A" w:rsidRPr="00B44B19" w:rsidRDefault="0087201A" w:rsidP="0087201A">
      <w:pPr>
        <w:tabs>
          <w:tab w:val="center" w:pos="4819"/>
          <w:tab w:val="right" w:pos="9638"/>
        </w:tabs>
        <w:spacing w:before="120" w:after="120" w:line="240" w:lineRule="auto"/>
        <w:rPr>
          <w:rFonts w:cs="Times New Roman"/>
          <w:b/>
          <w:i/>
          <w:color w:val="1F497D" w:themeColor="text2"/>
          <w:sz w:val="22"/>
        </w:rPr>
      </w:pPr>
      <w:r w:rsidRPr="00B44B19">
        <w:rPr>
          <w:rFonts w:cs="Times New Roman"/>
          <w:b/>
          <w:i/>
          <w:color w:val="1F497D" w:themeColor="text2"/>
          <w:sz w:val="22"/>
        </w:rPr>
        <w:t>Rodikliai</w:t>
      </w:r>
    </w:p>
    <w:p w14:paraId="4706045F" w14:textId="77777777" w:rsidR="0087201A" w:rsidRPr="00B44B19" w:rsidRDefault="0087201A" w:rsidP="0087201A">
      <w:pPr>
        <w:spacing w:before="240" w:after="0" w:line="240" w:lineRule="auto"/>
        <w:jc w:val="both"/>
        <w:rPr>
          <w:rFonts w:cs="Times New Roman"/>
          <w:b/>
          <w:sz w:val="22"/>
        </w:rPr>
      </w:pPr>
      <w:r w:rsidRPr="00B44B19">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944"/>
        <w:gridCol w:w="830"/>
        <w:gridCol w:w="965"/>
        <w:gridCol w:w="1239"/>
        <w:gridCol w:w="1789"/>
        <w:gridCol w:w="974"/>
        <w:gridCol w:w="967"/>
        <w:gridCol w:w="922"/>
      </w:tblGrid>
      <w:tr w:rsidR="0087201A" w:rsidRPr="00B44B19" w14:paraId="32D72726" w14:textId="77777777" w:rsidTr="003040E3">
        <w:trPr>
          <w:trHeight w:val="1043"/>
          <w:tblHeader/>
        </w:trPr>
        <w:tc>
          <w:tcPr>
            <w:tcW w:w="5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E29870"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Prioritetas</w:t>
            </w:r>
          </w:p>
        </w:tc>
        <w:tc>
          <w:tcPr>
            <w:tcW w:w="4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FED80E"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B362FB"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EE92579"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4FA18B"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F544CF"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5DA7F2"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0B460"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1488F6" w14:textId="77777777" w:rsidR="0087201A" w:rsidRPr="00B44B19" w:rsidRDefault="0087201A" w:rsidP="0087201A">
            <w:pPr>
              <w:spacing w:after="0" w:line="240" w:lineRule="auto"/>
              <w:jc w:val="center"/>
              <w:rPr>
                <w:rFonts w:cs="Times New Roman"/>
                <w:b/>
                <w:noProof/>
                <w:sz w:val="16"/>
                <w:szCs w:val="16"/>
              </w:rPr>
            </w:pPr>
            <w:r w:rsidRPr="00B44B19">
              <w:rPr>
                <w:rFonts w:cs="Times New Roman"/>
                <w:b/>
                <w:noProof/>
                <w:sz w:val="16"/>
                <w:szCs w:val="16"/>
              </w:rPr>
              <w:t>Siektina reikšmė (2029 m.)</w:t>
            </w:r>
          </w:p>
        </w:tc>
      </w:tr>
      <w:tr w:rsidR="0087201A" w:rsidRPr="00B44B19" w14:paraId="26548030" w14:textId="77777777" w:rsidTr="0087201A">
        <w:trPr>
          <w:trHeight w:val="990"/>
        </w:trPr>
        <w:tc>
          <w:tcPr>
            <w:tcW w:w="509" w:type="pct"/>
            <w:vMerge w:val="restart"/>
            <w:tcBorders>
              <w:top w:val="single" w:sz="12" w:space="0" w:color="auto"/>
            </w:tcBorders>
          </w:tcPr>
          <w:p w14:paraId="0305B839"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 xml:space="preserve">17. </w:t>
            </w:r>
          </w:p>
        </w:tc>
        <w:tc>
          <w:tcPr>
            <w:tcW w:w="491" w:type="pct"/>
            <w:vMerge w:val="restart"/>
            <w:tcBorders>
              <w:top w:val="single" w:sz="12" w:space="0" w:color="auto"/>
            </w:tcBorders>
          </w:tcPr>
          <w:p w14:paraId="0D7906E7"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 xml:space="preserve">17.1 </w:t>
            </w:r>
          </w:p>
        </w:tc>
        <w:tc>
          <w:tcPr>
            <w:tcW w:w="432" w:type="pct"/>
            <w:vMerge w:val="restart"/>
            <w:tcBorders>
              <w:top w:val="single" w:sz="12" w:space="0" w:color="auto"/>
            </w:tcBorders>
          </w:tcPr>
          <w:p w14:paraId="770A7521"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ERPF</w:t>
            </w:r>
          </w:p>
        </w:tc>
        <w:tc>
          <w:tcPr>
            <w:tcW w:w="502" w:type="pct"/>
            <w:tcBorders>
              <w:top w:val="single" w:sz="12" w:space="0" w:color="auto"/>
            </w:tcBorders>
          </w:tcPr>
          <w:p w14:paraId="673C6015"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Sostinės regionas</w:t>
            </w:r>
          </w:p>
        </w:tc>
        <w:tc>
          <w:tcPr>
            <w:tcW w:w="645" w:type="pct"/>
            <w:tcBorders>
              <w:top w:val="single" w:sz="12" w:space="0" w:color="auto"/>
            </w:tcBorders>
          </w:tcPr>
          <w:p w14:paraId="123EF174" w14:textId="77777777" w:rsidR="0087201A" w:rsidRPr="00B44B19" w:rsidRDefault="0087201A" w:rsidP="0087201A">
            <w:pPr>
              <w:spacing w:after="0" w:line="240" w:lineRule="auto"/>
              <w:ind w:left="69"/>
              <w:rPr>
                <w:rFonts w:eastAsia="Calibri" w:cs="Times New Roman"/>
                <w:sz w:val="16"/>
                <w:szCs w:val="16"/>
              </w:rPr>
            </w:pPr>
            <w:r w:rsidRPr="00B44B19">
              <w:rPr>
                <w:rFonts w:eastAsia="Calibri" w:cs="Times New Roman"/>
                <w:sz w:val="16"/>
                <w:szCs w:val="16"/>
              </w:rPr>
              <w:t>RCO65 </w:t>
            </w:r>
          </w:p>
          <w:p w14:paraId="13C1B13B" w14:textId="77777777" w:rsidR="0087201A" w:rsidRPr="00B44B19" w:rsidRDefault="0087201A" w:rsidP="0087201A">
            <w:pPr>
              <w:spacing w:after="0" w:line="240" w:lineRule="auto"/>
              <w:jc w:val="both"/>
              <w:rPr>
                <w:rFonts w:eastAsia="Calibri" w:cs="Times New Roman"/>
                <w:sz w:val="16"/>
                <w:szCs w:val="16"/>
                <w:lang w:eastAsia="en-GB" w:bidi="lt-LT"/>
              </w:rPr>
            </w:pPr>
          </w:p>
        </w:tc>
        <w:tc>
          <w:tcPr>
            <w:tcW w:w="931" w:type="pct"/>
            <w:tcBorders>
              <w:top w:val="single" w:sz="12" w:space="0" w:color="auto"/>
            </w:tcBorders>
          </w:tcPr>
          <w:p w14:paraId="08B8DFDB" w14:textId="77777777" w:rsidR="0087201A" w:rsidRPr="00B44B19" w:rsidRDefault="0087201A" w:rsidP="0087201A">
            <w:pPr>
              <w:tabs>
                <w:tab w:val="left" w:pos="315"/>
                <w:tab w:val="left" w:pos="457"/>
              </w:tabs>
              <w:spacing w:after="0" w:line="240" w:lineRule="auto"/>
              <w:contextualSpacing/>
              <w:rPr>
                <w:rFonts w:eastAsia="Calibri" w:cs="Times New Roman"/>
                <w:sz w:val="16"/>
                <w:szCs w:val="16"/>
                <w:lang w:eastAsia="en-GB" w:bidi="lt-LT"/>
              </w:rPr>
            </w:pPr>
            <w:r w:rsidRPr="00B44B19">
              <w:rPr>
                <w:rFonts w:eastAsia="Calibri" w:cs="Times New Roman"/>
                <w:sz w:val="16"/>
                <w:szCs w:val="16"/>
              </w:rPr>
              <w:t>Naujų arba modernizuotų prieinamų, tvarių ir socialinių būstų talpumas</w:t>
            </w:r>
          </w:p>
        </w:tc>
        <w:tc>
          <w:tcPr>
            <w:tcW w:w="507" w:type="pct"/>
            <w:tcBorders>
              <w:top w:val="single" w:sz="12" w:space="0" w:color="auto"/>
            </w:tcBorders>
          </w:tcPr>
          <w:p w14:paraId="3770899C"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Asmenys</w:t>
            </w:r>
          </w:p>
        </w:tc>
        <w:tc>
          <w:tcPr>
            <w:tcW w:w="503" w:type="pct"/>
            <w:tcBorders>
              <w:top w:val="single" w:sz="12" w:space="0" w:color="auto"/>
            </w:tcBorders>
          </w:tcPr>
          <w:p w14:paraId="735BF039"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80" w:type="pct"/>
            <w:tcBorders>
              <w:top w:val="single" w:sz="12" w:space="0" w:color="auto"/>
            </w:tcBorders>
          </w:tcPr>
          <w:p w14:paraId="291BB0A5"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822</w:t>
            </w:r>
          </w:p>
        </w:tc>
      </w:tr>
      <w:tr w:rsidR="0087201A" w:rsidRPr="00B44B19" w14:paraId="69D6B82E" w14:textId="77777777" w:rsidTr="003040E3">
        <w:trPr>
          <w:trHeight w:val="332"/>
        </w:trPr>
        <w:tc>
          <w:tcPr>
            <w:tcW w:w="509" w:type="pct"/>
            <w:vMerge/>
          </w:tcPr>
          <w:p w14:paraId="12C6678A" w14:textId="77777777" w:rsidR="0087201A" w:rsidRPr="00B44B19" w:rsidRDefault="0087201A" w:rsidP="0087201A">
            <w:pPr>
              <w:spacing w:after="0" w:line="240" w:lineRule="auto"/>
              <w:jc w:val="both"/>
              <w:rPr>
                <w:rFonts w:cs="Times New Roman"/>
                <w:noProof/>
                <w:sz w:val="20"/>
                <w:szCs w:val="20"/>
              </w:rPr>
            </w:pPr>
          </w:p>
        </w:tc>
        <w:tc>
          <w:tcPr>
            <w:tcW w:w="491" w:type="pct"/>
            <w:vMerge/>
          </w:tcPr>
          <w:p w14:paraId="607ED227" w14:textId="77777777" w:rsidR="0087201A" w:rsidRPr="00B44B19" w:rsidRDefault="0087201A" w:rsidP="0087201A">
            <w:pPr>
              <w:spacing w:after="0" w:line="240" w:lineRule="auto"/>
              <w:jc w:val="both"/>
              <w:rPr>
                <w:rFonts w:cs="Times New Roman"/>
                <w:noProof/>
                <w:sz w:val="20"/>
                <w:szCs w:val="20"/>
              </w:rPr>
            </w:pPr>
          </w:p>
        </w:tc>
        <w:tc>
          <w:tcPr>
            <w:tcW w:w="432" w:type="pct"/>
            <w:vMerge/>
          </w:tcPr>
          <w:p w14:paraId="7C5104C5" w14:textId="77777777" w:rsidR="0087201A" w:rsidRPr="00B44B19" w:rsidRDefault="0087201A" w:rsidP="0087201A">
            <w:pPr>
              <w:spacing w:after="0" w:line="240" w:lineRule="auto"/>
              <w:jc w:val="both"/>
              <w:rPr>
                <w:rFonts w:cs="Times New Roman"/>
                <w:noProof/>
                <w:sz w:val="20"/>
                <w:szCs w:val="20"/>
              </w:rPr>
            </w:pPr>
          </w:p>
        </w:tc>
        <w:tc>
          <w:tcPr>
            <w:tcW w:w="502" w:type="pct"/>
          </w:tcPr>
          <w:p w14:paraId="4B30FB44" w14:textId="77777777" w:rsidR="0087201A" w:rsidRPr="00B44B19" w:rsidRDefault="0087201A" w:rsidP="0087201A">
            <w:pPr>
              <w:spacing w:after="0" w:line="240" w:lineRule="auto"/>
              <w:jc w:val="both"/>
              <w:rPr>
                <w:rFonts w:cs="Times New Roman"/>
                <w:noProof/>
                <w:sz w:val="16"/>
                <w:szCs w:val="16"/>
              </w:rPr>
            </w:pPr>
            <w:r w:rsidRPr="00B44B19">
              <w:rPr>
                <w:rFonts w:cs="Times New Roman"/>
                <w:noProof/>
                <w:sz w:val="16"/>
                <w:szCs w:val="16"/>
              </w:rPr>
              <w:t>VVL regionas</w:t>
            </w:r>
          </w:p>
        </w:tc>
        <w:tc>
          <w:tcPr>
            <w:tcW w:w="645" w:type="pct"/>
            <w:tcBorders>
              <w:top w:val="single" w:sz="4" w:space="0" w:color="auto"/>
              <w:bottom w:val="single" w:sz="4" w:space="0" w:color="auto"/>
            </w:tcBorders>
          </w:tcPr>
          <w:p w14:paraId="312449BA" w14:textId="77777777" w:rsidR="0087201A" w:rsidRPr="00B44B19" w:rsidRDefault="0087201A" w:rsidP="0087201A">
            <w:pPr>
              <w:spacing w:after="0" w:line="240" w:lineRule="auto"/>
              <w:ind w:left="69"/>
              <w:rPr>
                <w:rFonts w:eastAsia="Calibri" w:cs="Times New Roman"/>
                <w:sz w:val="16"/>
                <w:szCs w:val="16"/>
              </w:rPr>
            </w:pPr>
            <w:r w:rsidRPr="00B44B19">
              <w:rPr>
                <w:rFonts w:eastAsia="Calibri" w:cs="Times New Roman"/>
                <w:sz w:val="16"/>
                <w:szCs w:val="16"/>
              </w:rPr>
              <w:t>RCO65 </w:t>
            </w:r>
          </w:p>
          <w:p w14:paraId="582D3F3B" w14:textId="77777777" w:rsidR="0087201A" w:rsidRPr="00B44B19" w:rsidRDefault="0087201A" w:rsidP="0087201A">
            <w:pPr>
              <w:spacing w:after="0" w:line="240" w:lineRule="auto"/>
              <w:jc w:val="both"/>
              <w:rPr>
                <w:rFonts w:eastAsia="Calibri" w:cs="Times New Roman"/>
                <w:sz w:val="16"/>
                <w:szCs w:val="16"/>
                <w:lang w:eastAsia="en-GB" w:bidi="lt-LT"/>
              </w:rPr>
            </w:pPr>
          </w:p>
        </w:tc>
        <w:tc>
          <w:tcPr>
            <w:tcW w:w="931" w:type="pct"/>
            <w:tcBorders>
              <w:top w:val="single" w:sz="4" w:space="0" w:color="auto"/>
              <w:bottom w:val="single" w:sz="4" w:space="0" w:color="auto"/>
            </w:tcBorders>
          </w:tcPr>
          <w:p w14:paraId="5ADFB264" w14:textId="77777777" w:rsidR="0087201A" w:rsidRPr="00B44B19" w:rsidRDefault="0087201A" w:rsidP="0087201A">
            <w:pPr>
              <w:autoSpaceDE w:val="0"/>
              <w:autoSpaceDN w:val="0"/>
              <w:adjustRightInd w:val="0"/>
              <w:spacing w:after="0" w:line="240" w:lineRule="auto"/>
              <w:rPr>
                <w:rFonts w:eastAsia="Calibri" w:cs="Times New Roman"/>
                <w:sz w:val="16"/>
                <w:szCs w:val="16"/>
                <w:lang w:eastAsia="en-GB" w:bidi="lt-LT"/>
              </w:rPr>
            </w:pPr>
            <w:r w:rsidRPr="00B44B19">
              <w:rPr>
                <w:rFonts w:eastAsia="Calibri" w:cs="Times New Roman"/>
                <w:sz w:val="16"/>
                <w:szCs w:val="16"/>
              </w:rPr>
              <w:t>Naujų arba modernizuotų prieinamų, tvarių ir socialinių būstų talpumas</w:t>
            </w:r>
          </w:p>
        </w:tc>
        <w:tc>
          <w:tcPr>
            <w:tcW w:w="507" w:type="pct"/>
            <w:tcBorders>
              <w:top w:val="single" w:sz="4" w:space="0" w:color="auto"/>
              <w:bottom w:val="single" w:sz="4" w:space="0" w:color="auto"/>
            </w:tcBorders>
          </w:tcPr>
          <w:p w14:paraId="52CB9F1D" w14:textId="77777777" w:rsidR="0087201A" w:rsidRPr="00B44B19" w:rsidRDefault="0087201A" w:rsidP="0087201A">
            <w:pPr>
              <w:spacing w:after="0" w:line="240" w:lineRule="auto"/>
              <w:jc w:val="both"/>
              <w:rPr>
                <w:rFonts w:eastAsia="Times New Roman" w:cs="Times New Roman"/>
                <w:iCs/>
                <w:sz w:val="16"/>
                <w:szCs w:val="16"/>
                <w:lang w:eastAsia="lt-LT"/>
              </w:rPr>
            </w:pPr>
            <w:r w:rsidRPr="00B44B19">
              <w:rPr>
                <w:rFonts w:eastAsia="Times New Roman" w:cs="Times New Roman"/>
                <w:iCs/>
                <w:sz w:val="16"/>
                <w:szCs w:val="16"/>
                <w:lang w:eastAsia="lt-LT"/>
              </w:rPr>
              <w:t>Asmenys</w:t>
            </w:r>
          </w:p>
        </w:tc>
        <w:tc>
          <w:tcPr>
            <w:tcW w:w="503" w:type="pct"/>
            <w:tcBorders>
              <w:top w:val="single" w:sz="4" w:space="0" w:color="auto"/>
              <w:bottom w:val="single" w:sz="4" w:space="0" w:color="auto"/>
            </w:tcBorders>
          </w:tcPr>
          <w:p w14:paraId="68A3EDE1"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0</w:t>
            </w:r>
          </w:p>
        </w:tc>
        <w:tc>
          <w:tcPr>
            <w:tcW w:w="480" w:type="pct"/>
            <w:tcBorders>
              <w:top w:val="single" w:sz="4" w:space="0" w:color="auto"/>
              <w:bottom w:val="single" w:sz="4" w:space="0" w:color="auto"/>
            </w:tcBorders>
          </w:tcPr>
          <w:p w14:paraId="73E9C27A" w14:textId="77777777" w:rsidR="0087201A" w:rsidRPr="00B44B19" w:rsidRDefault="0087201A" w:rsidP="0087201A">
            <w:pPr>
              <w:spacing w:after="0" w:line="240" w:lineRule="auto"/>
              <w:jc w:val="center"/>
              <w:rPr>
                <w:rFonts w:cs="Times New Roman"/>
                <w:bCs/>
                <w:noProof/>
                <w:sz w:val="16"/>
                <w:szCs w:val="16"/>
              </w:rPr>
            </w:pPr>
            <w:r w:rsidRPr="00B44B19">
              <w:rPr>
                <w:rFonts w:cs="Times New Roman"/>
                <w:bCs/>
                <w:noProof/>
                <w:sz w:val="16"/>
                <w:szCs w:val="16"/>
              </w:rPr>
              <w:t>968</w:t>
            </w:r>
          </w:p>
        </w:tc>
      </w:tr>
    </w:tbl>
    <w:p w14:paraId="6D64B245" w14:textId="77777777" w:rsidR="0087201A" w:rsidRPr="00B44B19" w:rsidRDefault="0087201A" w:rsidP="0087201A">
      <w:pPr>
        <w:spacing w:after="0" w:line="240" w:lineRule="auto"/>
        <w:jc w:val="both"/>
        <w:rPr>
          <w:rFonts w:cs="Times New Roman"/>
          <w:b/>
          <w:sz w:val="22"/>
        </w:rPr>
        <w:sectPr w:rsidR="0087201A" w:rsidRPr="00B44B19" w:rsidSect="0087201A">
          <w:footerReference w:type="first" r:id="rId34"/>
          <w:pgSz w:w="11906" w:h="16838"/>
          <w:pgMar w:top="1276" w:right="567" w:bottom="1134" w:left="1701" w:header="567" w:footer="567" w:gutter="0"/>
          <w:cols w:space="1296"/>
          <w:docGrid w:linePitch="360"/>
        </w:sectPr>
      </w:pPr>
    </w:p>
    <w:p w14:paraId="4B18010B" w14:textId="77777777" w:rsidR="0087201A" w:rsidRPr="00B44B19" w:rsidRDefault="0087201A" w:rsidP="0087201A">
      <w:pPr>
        <w:spacing w:after="0" w:line="240" w:lineRule="auto"/>
        <w:jc w:val="both"/>
        <w:rPr>
          <w:rFonts w:cs="Times New Roman"/>
          <w:b/>
          <w:sz w:val="22"/>
        </w:rPr>
      </w:pPr>
      <w:r w:rsidRPr="00B44B19">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993"/>
        <w:gridCol w:w="850"/>
        <w:gridCol w:w="993"/>
        <w:gridCol w:w="1275"/>
        <w:gridCol w:w="3404"/>
        <w:gridCol w:w="1136"/>
        <w:gridCol w:w="930"/>
        <w:gridCol w:w="1115"/>
        <w:gridCol w:w="933"/>
        <w:gridCol w:w="1133"/>
        <w:gridCol w:w="841"/>
      </w:tblGrid>
      <w:tr w:rsidR="0087201A" w:rsidRPr="00B44B19" w14:paraId="47966482" w14:textId="77777777" w:rsidTr="003040E3">
        <w:trPr>
          <w:trHeight w:val="1141"/>
          <w:tblHeader/>
        </w:trPr>
        <w:tc>
          <w:tcPr>
            <w:tcW w:w="424" w:type="pct"/>
            <w:tcBorders>
              <w:top w:val="single" w:sz="12" w:space="0" w:color="auto"/>
              <w:left w:val="single" w:sz="12" w:space="0" w:color="auto"/>
              <w:bottom w:val="single" w:sz="12" w:space="0" w:color="auto"/>
              <w:right w:val="single" w:sz="12" w:space="0" w:color="auto"/>
            </w:tcBorders>
            <w:shd w:val="clear" w:color="auto" w:fill="DBE5F1"/>
            <w:vAlign w:val="center"/>
          </w:tcPr>
          <w:p w14:paraId="72ECE620"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Prioritetas</w:t>
            </w:r>
          </w:p>
        </w:tc>
        <w:tc>
          <w:tcPr>
            <w:tcW w:w="334" w:type="pct"/>
            <w:tcBorders>
              <w:top w:val="single" w:sz="12" w:space="0" w:color="auto"/>
              <w:left w:val="single" w:sz="12" w:space="0" w:color="auto"/>
              <w:bottom w:val="single" w:sz="12" w:space="0" w:color="auto"/>
              <w:right w:val="single" w:sz="12" w:space="0" w:color="auto"/>
            </w:tcBorders>
            <w:shd w:val="clear" w:color="auto" w:fill="DBE5F1"/>
            <w:vAlign w:val="center"/>
          </w:tcPr>
          <w:p w14:paraId="05453F6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Konkretus uždavinys</w:t>
            </w:r>
          </w:p>
        </w:tc>
        <w:tc>
          <w:tcPr>
            <w:tcW w:w="286" w:type="pct"/>
            <w:tcBorders>
              <w:top w:val="single" w:sz="12" w:space="0" w:color="auto"/>
              <w:left w:val="single" w:sz="12" w:space="0" w:color="auto"/>
              <w:bottom w:val="single" w:sz="12" w:space="0" w:color="auto"/>
              <w:right w:val="single" w:sz="12" w:space="0" w:color="auto"/>
            </w:tcBorders>
            <w:shd w:val="clear" w:color="auto" w:fill="DBE5F1"/>
            <w:vAlign w:val="center"/>
          </w:tcPr>
          <w:p w14:paraId="4C9D397D"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Fondas</w:t>
            </w:r>
          </w:p>
        </w:tc>
        <w:tc>
          <w:tcPr>
            <w:tcW w:w="334" w:type="pct"/>
            <w:tcBorders>
              <w:top w:val="single" w:sz="12" w:space="0" w:color="auto"/>
              <w:left w:val="single" w:sz="12" w:space="0" w:color="auto"/>
              <w:bottom w:val="single" w:sz="12" w:space="0" w:color="auto"/>
              <w:right w:val="single" w:sz="12" w:space="0" w:color="auto"/>
            </w:tcBorders>
            <w:shd w:val="clear" w:color="auto" w:fill="DBE5F1"/>
            <w:vAlign w:val="center"/>
          </w:tcPr>
          <w:p w14:paraId="46B354AA"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Regiono kategorija</w:t>
            </w:r>
          </w:p>
        </w:tc>
        <w:tc>
          <w:tcPr>
            <w:tcW w:w="429" w:type="pct"/>
            <w:tcBorders>
              <w:top w:val="single" w:sz="12" w:space="0" w:color="auto"/>
              <w:left w:val="single" w:sz="12" w:space="0" w:color="auto"/>
              <w:bottom w:val="single" w:sz="12" w:space="0" w:color="auto"/>
              <w:right w:val="single" w:sz="12" w:space="0" w:color="auto"/>
            </w:tcBorders>
            <w:shd w:val="clear" w:color="auto" w:fill="DBE5F1"/>
            <w:vAlign w:val="center"/>
          </w:tcPr>
          <w:p w14:paraId="68C3D8F2"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Identifikavimo numeris</w:t>
            </w:r>
          </w:p>
        </w:tc>
        <w:tc>
          <w:tcPr>
            <w:tcW w:w="1145" w:type="pct"/>
            <w:tcBorders>
              <w:top w:val="single" w:sz="12" w:space="0" w:color="auto"/>
              <w:left w:val="single" w:sz="12" w:space="0" w:color="auto"/>
              <w:bottom w:val="single" w:sz="12" w:space="0" w:color="auto"/>
              <w:right w:val="single" w:sz="12" w:space="0" w:color="auto"/>
            </w:tcBorders>
            <w:shd w:val="clear" w:color="auto" w:fill="DBE5F1"/>
            <w:vAlign w:val="center"/>
          </w:tcPr>
          <w:p w14:paraId="3C6697ED"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Rodiklis</w:t>
            </w:r>
          </w:p>
        </w:tc>
        <w:tc>
          <w:tcPr>
            <w:tcW w:w="382" w:type="pct"/>
            <w:tcBorders>
              <w:top w:val="single" w:sz="12" w:space="0" w:color="auto"/>
              <w:left w:val="single" w:sz="12" w:space="0" w:color="auto"/>
              <w:bottom w:val="single" w:sz="12" w:space="0" w:color="auto"/>
              <w:right w:val="single" w:sz="12" w:space="0" w:color="auto"/>
            </w:tcBorders>
            <w:shd w:val="clear" w:color="auto" w:fill="DBE5F1"/>
            <w:vAlign w:val="center"/>
          </w:tcPr>
          <w:p w14:paraId="46DF3B09"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Matavimo vienetas</w:t>
            </w:r>
          </w:p>
        </w:tc>
        <w:tc>
          <w:tcPr>
            <w:tcW w:w="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7CE89D3C"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02E50641"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Ataskaitiniai metai</w:t>
            </w:r>
          </w:p>
        </w:tc>
        <w:tc>
          <w:tcPr>
            <w:tcW w:w="314" w:type="pct"/>
            <w:tcBorders>
              <w:top w:val="single" w:sz="12" w:space="0" w:color="auto"/>
              <w:left w:val="single" w:sz="12" w:space="0" w:color="auto"/>
              <w:bottom w:val="single" w:sz="12" w:space="0" w:color="auto"/>
              <w:right w:val="single" w:sz="12" w:space="0" w:color="auto"/>
            </w:tcBorders>
            <w:shd w:val="clear" w:color="auto" w:fill="DBE5F1"/>
            <w:vAlign w:val="center"/>
          </w:tcPr>
          <w:p w14:paraId="272D9E0B"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Siektina reikšmė (2029 m.)</w:t>
            </w:r>
          </w:p>
        </w:tc>
        <w:tc>
          <w:tcPr>
            <w:tcW w:w="381" w:type="pct"/>
            <w:tcBorders>
              <w:top w:val="single" w:sz="12" w:space="0" w:color="auto"/>
              <w:left w:val="single" w:sz="12" w:space="0" w:color="auto"/>
              <w:bottom w:val="single" w:sz="12" w:space="0" w:color="auto"/>
              <w:right w:val="single" w:sz="12" w:space="0" w:color="auto"/>
            </w:tcBorders>
            <w:shd w:val="clear" w:color="auto" w:fill="DBE5F1"/>
            <w:vAlign w:val="center"/>
          </w:tcPr>
          <w:p w14:paraId="1C14C8D8"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Duomenų šaltinis</w:t>
            </w:r>
          </w:p>
        </w:tc>
        <w:tc>
          <w:tcPr>
            <w:tcW w:w="283" w:type="pct"/>
            <w:tcBorders>
              <w:top w:val="single" w:sz="12" w:space="0" w:color="auto"/>
              <w:left w:val="single" w:sz="12" w:space="0" w:color="auto"/>
              <w:bottom w:val="single" w:sz="12" w:space="0" w:color="auto"/>
              <w:right w:val="single" w:sz="12" w:space="0" w:color="auto"/>
            </w:tcBorders>
            <w:shd w:val="clear" w:color="auto" w:fill="DBE5F1"/>
            <w:vAlign w:val="center"/>
          </w:tcPr>
          <w:p w14:paraId="6469BD77" w14:textId="77777777" w:rsidR="0087201A" w:rsidRPr="00B44B19" w:rsidRDefault="0087201A" w:rsidP="0087201A">
            <w:pPr>
              <w:spacing w:after="0" w:line="240" w:lineRule="auto"/>
              <w:jc w:val="center"/>
              <w:rPr>
                <w:rFonts w:eastAsia="Calibri" w:cs="Times New Roman"/>
                <w:b/>
                <w:noProof/>
                <w:sz w:val="16"/>
                <w:szCs w:val="16"/>
              </w:rPr>
            </w:pPr>
            <w:r w:rsidRPr="00B44B19">
              <w:rPr>
                <w:rFonts w:eastAsia="Calibri" w:cs="Times New Roman"/>
                <w:b/>
                <w:noProof/>
                <w:sz w:val="16"/>
                <w:szCs w:val="16"/>
              </w:rPr>
              <w:t>Pastabos</w:t>
            </w:r>
          </w:p>
        </w:tc>
      </w:tr>
      <w:tr w:rsidR="0087201A" w:rsidRPr="00B44B19" w14:paraId="42B41526" w14:textId="77777777" w:rsidTr="003040E3">
        <w:trPr>
          <w:trHeight w:val="676"/>
        </w:trPr>
        <w:tc>
          <w:tcPr>
            <w:tcW w:w="424" w:type="pct"/>
            <w:vMerge w:val="restart"/>
            <w:tcBorders>
              <w:top w:val="single" w:sz="12" w:space="0" w:color="auto"/>
            </w:tcBorders>
          </w:tcPr>
          <w:p w14:paraId="6F9AA6BD"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17.</w:t>
            </w:r>
          </w:p>
        </w:tc>
        <w:tc>
          <w:tcPr>
            <w:tcW w:w="334" w:type="pct"/>
            <w:vMerge w:val="restart"/>
            <w:tcBorders>
              <w:top w:val="single" w:sz="12" w:space="0" w:color="auto"/>
            </w:tcBorders>
          </w:tcPr>
          <w:p w14:paraId="1AFBA6DC" w14:textId="77777777" w:rsidR="0087201A" w:rsidRPr="00B44B19" w:rsidRDefault="0087201A" w:rsidP="0087201A">
            <w:pPr>
              <w:spacing w:after="0" w:line="240" w:lineRule="auto"/>
              <w:rPr>
                <w:rFonts w:eastAsia="Calibri" w:cs="Times New Roman"/>
                <w:noProof/>
                <w:sz w:val="16"/>
                <w:szCs w:val="16"/>
              </w:rPr>
            </w:pPr>
            <w:r w:rsidRPr="00B44B19">
              <w:rPr>
                <w:rFonts w:cs="Times New Roman"/>
                <w:noProof/>
                <w:sz w:val="16"/>
                <w:szCs w:val="16"/>
              </w:rPr>
              <w:t xml:space="preserve">17.1 </w:t>
            </w:r>
          </w:p>
        </w:tc>
        <w:tc>
          <w:tcPr>
            <w:tcW w:w="286" w:type="pct"/>
            <w:vMerge w:val="restart"/>
            <w:tcBorders>
              <w:top w:val="single" w:sz="12" w:space="0" w:color="auto"/>
            </w:tcBorders>
          </w:tcPr>
          <w:p w14:paraId="433D05B0"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ERPF</w:t>
            </w:r>
          </w:p>
        </w:tc>
        <w:tc>
          <w:tcPr>
            <w:tcW w:w="334" w:type="pct"/>
            <w:tcBorders>
              <w:top w:val="single" w:sz="12" w:space="0" w:color="auto"/>
            </w:tcBorders>
          </w:tcPr>
          <w:p w14:paraId="170FFA85"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Sostinės regionas</w:t>
            </w:r>
          </w:p>
          <w:p w14:paraId="5B0A8207" w14:textId="77777777" w:rsidR="0087201A" w:rsidRPr="00B44B19" w:rsidRDefault="0087201A" w:rsidP="0087201A">
            <w:pPr>
              <w:spacing w:after="0" w:line="240" w:lineRule="auto"/>
              <w:jc w:val="both"/>
              <w:rPr>
                <w:rFonts w:eastAsia="Calibri" w:cs="Times New Roman"/>
                <w:noProof/>
                <w:sz w:val="16"/>
                <w:szCs w:val="16"/>
              </w:rPr>
            </w:pPr>
          </w:p>
        </w:tc>
        <w:tc>
          <w:tcPr>
            <w:tcW w:w="429" w:type="pct"/>
            <w:tcBorders>
              <w:top w:val="single" w:sz="12" w:space="0" w:color="auto"/>
            </w:tcBorders>
          </w:tcPr>
          <w:p w14:paraId="3D2B2BD9"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RCR67 </w:t>
            </w:r>
          </w:p>
          <w:p w14:paraId="3C3DED7D" w14:textId="77777777" w:rsidR="0087201A" w:rsidRPr="00B44B19" w:rsidRDefault="0087201A" w:rsidP="0087201A">
            <w:pPr>
              <w:spacing w:after="0" w:line="240" w:lineRule="auto"/>
              <w:jc w:val="both"/>
              <w:rPr>
                <w:rFonts w:eastAsia="Calibri" w:cs="Times New Roman"/>
                <w:sz w:val="16"/>
                <w:szCs w:val="16"/>
                <w:lang w:eastAsia="lt-LT" w:bidi="lt-LT"/>
              </w:rPr>
            </w:pPr>
          </w:p>
        </w:tc>
        <w:tc>
          <w:tcPr>
            <w:tcW w:w="1145" w:type="pct"/>
            <w:tcBorders>
              <w:top w:val="single" w:sz="12" w:space="0" w:color="auto"/>
            </w:tcBorders>
          </w:tcPr>
          <w:p w14:paraId="2ECC9D18" w14:textId="77777777" w:rsidR="0087201A" w:rsidRPr="00B44B19" w:rsidRDefault="0087201A" w:rsidP="0087201A">
            <w:pPr>
              <w:spacing w:after="0" w:line="240" w:lineRule="auto"/>
              <w:jc w:val="both"/>
              <w:rPr>
                <w:rFonts w:eastAsia="Calibri" w:cs="Times New Roman"/>
                <w:sz w:val="16"/>
                <w:szCs w:val="16"/>
                <w:lang w:eastAsia="lt-LT" w:bidi="lt-LT"/>
              </w:rPr>
            </w:pPr>
            <w:r w:rsidRPr="00B44B19">
              <w:rPr>
                <w:rFonts w:eastAsia="Calibri" w:cs="Times New Roman"/>
                <w:sz w:val="16"/>
                <w:szCs w:val="16"/>
              </w:rPr>
              <w:t>Naujų arba modernizuotų prieinamų, tvarių ir socialinių būstų naudotojų skaičius per metus </w:t>
            </w:r>
          </w:p>
        </w:tc>
        <w:tc>
          <w:tcPr>
            <w:tcW w:w="382" w:type="pct"/>
            <w:tcBorders>
              <w:top w:val="single" w:sz="12" w:space="0" w:color="auto"/>
            </w:tcBorders>
          </w:tcPr>
          <w:p w14:paraId="7AB35C89"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Naudotojai per metus</w:t>
            </w:r>
          </w:p>
          <w:p w14:paraId="4DF1E429" w14:textId="77777777" w:rsidR="0087201A" w:rsidRPr="00B44B19" w:rsidRDefault="0087201A" w:rsidP="0087201A">
            <w:pPr>
              <w:spacing w:after="0" w:line="240" w:lineRule="auto"/>
              <w:jc w:val="both"/>
              <w:rPr>
                <w:rFonts w:eastAsia="Calibri" w:cs="Times New Roman"/>
                <w:noProof/>
                <w:sz w:val="16"/>
                <w:szCs w:val="16"/>
              </w:rPr>
            </w:pPr>
          </w:p>
        </w:tc>
        <w:tc>
          <w:tcPr>
            <w:tcW w:w="313" w:type="pct"/>
            <w:tcBorders>
              <w:top w:val="single" w:sz="12" w:space="0" w:color="auto"/>
            </w:tcBorders>
          </w:tcPr>
          <w:p w14:paraId="53CAE46A"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p w14:paraId="29A9A973" w14:textId="77777777" w:rsidR="0087201A" w:rsidRPr="00B44B19" w:rsidRDefault="0087201A" w:rsidP="0087201A">
            <w:pPr>
              <w:spacing w:after="0" w:line="240" w:lineRule="auto"/>
              <w:jc w:val="center"/>
              <w:rPr>
                <w:rFonts w:eastAsia="Calibri" w:cs="Times New Roman"/>
                <w:iCs/>
                <w:noProof/>
                <w:sz w:val="16"/>
                <w:szCs w:val="16"/>
              </w:rPr>
            </w:pPr>
          </w:p>
        </w:tc>
        <w:tc>
          <w:tcPr>
            <w:tcW w:w="375" w:type="pct"/>
            <w:tcBorders>
              <w:top w:val="single" w:sz="12" w:space="0" w:color="auto"/>
            </w:tcBorders>
          </w:tcPr>
          <w:p w14:paraId="6CD66CAD"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2025</w:t>
            </w:r>
          </w:p>
          <w:p w14:paraId="7914291F" w14:textId="77777777" w:rsidR="0087201A" w:rsidRPr="00B44B19" w:rsidRDefault="0087201A" w:rsidP="0087201A">
            <w:pPr>
              <w:spacing w:after="0" w:line="240" w:lineRule="auto"/>
              <w:jc w:val="center"/>
              <w:rPr>
                <w:rFonts w:eastAsia="Calibri" w:cs="Times New Roman"/>
                <w:iCs/>
                <w:noProof/>
                <w:sz w:val="16"/>
                <w:szCs w:val="16"/>
              </w:rPr>
            </w:pPr>
          </w:p>
        </w:tc>
        <w:tc>
          <w:tcPr>
            <w:tcW w:w="314" w:type="pct"/>
            <w:tcBorders>
              <w:top w:val="single" w:sz="12" w:space="0" w:color="auto"/>
            </w:tcBorders>
          </w:tcPr>
          <w:p w14:paraId="157A8945" w14:textId="77777777" w:rsidR="0087201A" w:rsidRPr="00B44B19" w:rsidRDefault="0087201A" w:rsidP="0087201A">
            <w:pPr>
              <w:spacing w:after="0" w:line="240" w:lineRule="auto"/>
              <w:jc w:val="center"/>
              <w:rPr>
                <w:rFonts w:eastAsia="Calibri" w:cs="Times New Roman"/>
                <w:iCs/>
                <w:noProof/>
                <w:sz w:val="16"/>
                <w:szCs w:val="16"/>
              </w:rPr>
            </w:pPr>
            <w:r w:rsidRPr="00B44B19">
              <w:rPr>
                <w:rFonts w:cs="Times New Roman"/>
                <w:iCs/>
                <w:noProof/>
                <w:sz w:val="16"/>
                <w:szCs w:val="16"/>
              </w:rPr>
              <w:t>822</w:t>
            </w:r>
          </w:p>
        </w:tc>
        <w:tc>
          <w:tcPr>
            <w:tcW w:w="381" w:type="pct"/>
            <w:tcBorders>
              <w:top w:val="single" w:sz="12" w:space="0" w:color="auto"/>
            </w:tcBorders>
          </w:tcPr>
          <w:p w14:paraId="18F0CB0D" w14:textId="77777777" w:rsidR="0087201A" w:rsidRPr="00B44B19" w:rsidRDefault="0087201A" w:rsidP="0087201A">
            <w:pPr>
              <w:spacing w:after="0" w:line="240" w:lineRule="auto"/>
              <w:jc w:val="both"/>
              <w:rPr>
                <w:rFonts w:eastAsia="Calibri" w:cs="Times New Roman"/>
                <w:iCs/>
                <w:noProof/>
                <w:sz w:val="16"/>
                <w:szCs w:val="16"/>
              </w:rPr>
            </w:pPr>
            <w:r w:rsidRPr="00B44B19">
              <w:rPr>
                <w:rFonts w:eastAsia="Calibri" w:cs="Times New Roman"/>
                <w:iCs/>
                <w:noProof/>
                <w:sz w:val="16"/>
                <w:szCs w:val="16"/>
              </w:rPr>
              <w:t>Projektų duomenys</w:t>
            </w:r>
          </w:p>
          <w:p w14:paraId="68AA60ED" w14:textId="77777777" w:rsidR="0087201A" w:rsidRPr="00B44B19" w:rsidRDefault="0087201A" w:rsidP="0087201A">
            <w:pPr>
              <w:spacing w:after="0" w:line="240" w:lineRule="auto"/>
              <w:jc w:val="both"/>
              <w:rPr>
                <w:rFonts w:eastAsia="Calibri" w:cs="Times New Roman"/>
                <w:iCs/>
                <w:noProof/>
                <w:sz w:val="16"/>
                <w:szCs w:val="16"/>
              </w:rPr>
            </w:pPr>
          </w:p>
        </w:tc>
        <w:tc>
          <w:tcPr>
            <w:tcW w:w="283" w:type="pct"/>
            <w:tcBorders>
              <w:top w:val="single" w:sz="12" w:space="0" w:color="auto"/>
            </w:tcBorders>
          </w:tcPr>
          <w:p w14:paraId="6B554E92"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r w:rsidR="0087201A" w:rsidRPr="00B44B19" w14:paraId="1E63AD98" w14:textId="77777777" w:rsidTr="003040E3">
        <w:trPr>
          <w:trHeight w:val="286"/>
        </w:trPr>
        <w:tc>
          <w:tcPr>
            <w:tcW w:w="424" w:type="pct"/>
            <w:vMerge/>
          </w:tcPr>
          <w:p w14:paraId="119C320B" w14:textId="77777777" w:rsidR="0087201A" w:rsidRPr="00B44B19" w:rsidRDefault="0087201A" w:rsidP="0087201A">
            <w:pPr>
              <w:spacing w:after="0" w:line="240" w:lineRule="auto"/>
              <w:jc w:val="both"/>
              <w:rPr>
                <w:rFonts w:eastAsia="Calibri" w:cs="Times New Roman"/>
                <w:noProof/>
                <w:sz w:val="16"/>
                <w:szCs w:val="16"/>
              </w:rPr>
            </w:pPr>
          </w:p>
        </w:tc>
        <w:tc>
          <w:tcPr>
            <w:tcW w:w="334" w:type="pct"/>
            <w:vMerge/>
          </w:tcPr>
          <w:p w14:paraId="30387E4E" w14:textId="77777777" w:rsidR="0087201A" w:rsidRPr="00B44B19" w:rsidRDefault="0087201A" w:rsidP="0087201A">
            <w:pPr>
              <w:spacing w:after="0" w:line="240" w:lineRule="auto"/>
              <w:jc w:val="both"/>
              <w:rPr>
                <w:rFonts w:eastAsia="Calibri" w:cs="Times New Roman"/>
                <w:noProof/>
                <w:sz w:val="16"/>
                <w:szCs w:val="16"/>
              </w:rPr>
            </w:pPr>
          </w:p>
        </w:tc>
        <w:tc>
          <w:tcPr>
            <w:tcW w:w="286" w:type="pct"/>
            <w:vMerge/>
          </w:tcPr>
          <w:p w14:paraId="0252338E" w14:textId="77777777" w:rsidR="0087201A" w:rsidRPr="00B44B19" w:rsidRDefault="0087201A" w:rsidP="0087201A">
            <w:pPr>
              <w:spacing w:after="0" w:line="240" w:lineRule="auto"/>
              <w:jc w:val="both"/>
              <w:rPr>
                <w:rFonts w:eastAsia="Calibri" w:cs="Times New Roman"/>
                <w:noProof/>
                <w:sz w:val="16"/>
                <w:szCs w:val="16"/>
              </w:rPr>
            </w:pPr>
          </w:p>
        </w:tc>
        <w:tc>
          <w:tcPr>
            <w:tcW w:w="334" w:type="pct"/>
          </w:tcPr>
          <w:p w14:paraId="2690916D" w14:textId="77777777" w:rsidR="0087201A" w:rsidRPr="00B44B19" w:rsidRDefault="0087201A" w:rsidP="0087201A">
            <w:pPr>
              <w:spacing w:after="0" w:line="240" w:lineRule="auto"/>
              <w:jc w:val="both"/>
              <w:rPr>
                <w:rFonts w:eastAsia="Calibri" w:cs="Times New Roman"/>
                <w:noProof/>
                <w:sz w:val="16"/>
                <w:szCs w:val="16"/>
              </w:rPr>
            </w:pPr>
            <w:r w:rsidRPr="00B44B19">
              <w:rPr>
                <w:rFonts w:cs="Times New Roman"/>
                <w:noProof/>
                <w:sz w:val="16"/>
                <w:szCs w:val="16"/>
              </w:rPr>
              <w:t>VVL regionas</w:t>
            </w:r>
          </w:p>
        </w:tc>
        <w:tc>
          <w:tcPr>
            <w:tcW w:w="429" w:type="pct"/>
          </w:tcPr>
          <w:p w14:paraId="1327B6FA" w14:textId="77777777" w:rsidR="0087201A" w:rsidRPr="00B44B19" w:rsidRDefault="0087201A" w:rsidP="0087201A">
            <w:pPr>
              <w:spacing w:after="0" w:line="240" w:lineRule="auto"/>
              <w:jc w:val="both"/>
              <w:rPr>
                <w:rFonts w:cs="Times New Roman"/>
                <w:sz w:val="16"/>
                <w:szCs w:val="16"/>
              </w:rPr>
            </w:pPr>
            <w:r w:rsidRPr="00B44B19">
              <w:rPr>
                <w:rFonts w:cs="Times New Roman"/>
                <w:sz w:val="16"/>
                <w:szCs w:val="16"/>
              </w:rPr>
              <w:t>RCR67</w:t>
            </w:r>
          </w:p>
        </w:tc>
        <w:tc>
          <w:tcPr>
            <w:tcW w:w="1145" w:type="pct"/>
          </w:tcPr>
          <w:p w14:paraId="75A35E06" w14:textId="77777777" w:rsidR="0087201A" w:rsidRPr="00B44B19" w:rsidRDefault="0087201A" w:rsidP="0087201A">
            <w:pPr>
              <w:spacing w:after="0" w:line="240" w:lineRule="auto"/>
              <w:jc w:val="both"/>
              <w:rPr>
                <w:rFonts w:eastAsia="Calibri" w:cs="Times New Roman"/>
                <w:sz w:val="16"/>
                <w:szCs w:val="16"/>
              </w:rPr>
            </w:pPr>
            <w:r w:rsidRPr="00B44B19">
              <w:rPr>
                <w:rFonts w:eastAsia="Calibri" w:cs="Times New Roman"/>
                <w:sz w:val="16"/>
                <w:szCs w:val="16"/>
              </w:rPr>
              <w:t>Naujų arba modernizuotų prieinamų, tvarių ir socialinių būstų naudotojų skaičius per metus </w:t>
            </w:r>
          </w:p>
        </w:tc>
        <w:tc>
          <w:tcPr>
            <w:tcW w:w="382" w:type="pct"/>
          </w:tcPr>
          <w:p w14:paraId="175AF7C8" w14:textId="77777777" w:rsidR="0087201A" w:rsidRPr="00B44B19" w:rsidRDefault="0087201A" w:rsidP="0087201A">
            <w:pPr>
              <w:spacing w:after="0" w:line="240" w:lineRule="auto"/>
              <w:jc w:val="both"/>
              <w:rPr>
                <w:rFonts w:eastAsia="Calibri" w:cs="Times New Roman"/>
                <w:noProof/>
                <w:sz w:val="16"/>
                <w:szCs w:val="16"/>
              </w:rPr>
            </w:pPr>
            <w:r w:rsidRPr="00B44B19">
              <w:rPr>
                <w:rFonts w:eastAsia="Calibri" w:cs="Times New Roman"/>
                <w:noProof/>
                <w:sz w:val="16"/>
                <w:szCs w:val="16"/>
              </w:rPr>
              <w:t>Naudotojai per metus</w:t>
            </w:r>
          </w:p>
        </w:tc>
        <w:tc>
          <w:tcPr>
            <w:tcW w:w="313" w:type="pct"/>
          </w:tcPr>
          <w:p w14:paraId="17E060D7"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0</w:t>
            </w:r>
          </w:p>
        </w:tc>
        <w:tc>
          <w:tcPr>
            <w:tcW w:w="375" w:type="pct"/>
          </w:tcPr>
          <w:p w14:paraId="15EFDFE4" w14:textId="77777777" w:rsidR="0087201A" w:rsidRPr="00B44B19" w:rsidRDefault="0087201A" w:rsidP="0087201A">
            <w:pPr>
              <w:spacing w:after="0" w:line="240" w:lineRule="auto"/>
              <w:jc w:val="center"/>
              <w:rPr>
                <w:rFonts w:eastAsia="Calibri" w:cs="Times New Roman"/>
                <w:iCs/>
                <w:noProof/>
                <w:sz w:val="16"/>
                <w:szCs w:val="16"/>
              </w:rPr>
            </w:pPr>
            <w:r w:rsidRPr="00B44B19">
              <w:rPr>
                <w:rFonts w:eastAsia="Calibri" w:cs="Times New Roman"/>
                <w:iCs/>
                <w:noProof/>
                <w:sz w:val="16"/>
                <w:szCs w:val="16"/>
              </w:rPr>
              <w:t>2025</w:t>
            </w:r>
          </w:p>
        </w:tc>
        <w:tc>
          <w:tcPr>
            <w:tcW w:w="314" w:type="pct"/>
          </w:tcPr>
          <w:p w14:paraId="2E6CE1C1" w14:textId="77777777" w:rsidR="0087201A" w:rsidRPr="00B44B19" w:rsidRDefault="0087201A" w:rsidP="0087201A">
            <w:pPr>
              <w:spacing w:after="0" w:line="240" w:lineRule="auto"/>
              <w:jc w:val="center"/>
              <w:rPr>
                <w:rFonts w:eastAsia="Calibri" w:cs="Times New Roman"/>
                <w:iCs/>
                <w:noProof/>
                <w:sz w:val="16"/>
                <w:szCs w:val="16"/>
              </w:rPr>
            </w:pPr>
            <w:r w:rsidRPr="00B44B19">
              <w:rPr>
                <w:rFonts w:cs="Times New Roman"/>
                <w:iCs/>
                <w:noProof/>
                <w:sz w:val="16"/>
                <w:szCs w:val="16"/>
              </w:rPr>
              <w:t>968</w:t>
            </w:r>
          </w:p>
        </w:tc>
        <w:tc>
          <w:tcPr>
            <w:tcW w:w="381" w:type="pct"/>
          </w:tcPr>
          <w:p w14:paraId="221D7E3C" w14:textId="77777777" w:rsidR="0087201A" w:rsidRPr="00B44B19" w:rsidRDefault="0087201A" w:rsidP="0087201A">
            <w:pPr>
              <w:spacing w:after="0" w:line="240" w:lineRule="auto"/>
              <w:jc w:val="both"/>
              <w:rPr>
                <w:rFonts w:eastAsia="Calibri" w:cs="Times New Roman"/>
                <w:iCs/>
                <w:noProof/>
                <w:sz w:val="16"/>
                <w:szCs w:val="16"/>
              </w:rPr>
            </w:pPr>
            <w:r w:rsidRPr="00B44B19">
              <w:rPr>
                <w:rFonts w:eastAsia="Calibri" w:cs="Times New Roman"/>
                <w:iCs/>
                <w:noProof/>
                <w:sz w:val="16"/>
                <w:szCs w:val="16"/>
              </w:rPr>
              <w:t>Projektų duomenys</w:t>
            </w:r>
          </w:p>
          <w:p w14:paraId="60808475" w14:textId="77777777" w:rsidR="0087201A" w:rsidRPr="00B44B19" w:rsidRDefault="0087201A" w:rsidP="0087201A">
            <w:pPr>
              <w:spacing w:after="0" w:line="240" w:lineRule="auto"/>
              <w:jc w:val="both"/>
              <w:rPr>
                <w:rFonts w:eastAsia="Calibri" w:cs="Times New Roman"/>
                <w:iCs/>
                <w:noProof/>
                <w:sz w:val="16"/>
                <w:szCs w:val="16"/>
              </w:rPr>
            </w:pPr>
          </w:p>
        </w:tc>
        <w:tc>
          <w:tcPr>
            <w:tcW w:w="283" w:type="pct"/>
          </w:tcPr>
          <w:p w14:paraId="3D667357" w14:textId="77777777" w:rsidR="0087201A" w:rsidRPr="00B44B19" w:rsidRDefault="0087201A" w:rsidP="0087201A">
            <w:pPr>
              <w:spacing w:after="0" w:line="240" w:lineRule="auto"/>
              <w:jc w:val="both"/>
              <w:rPr>
                <w:rFonts w:eastAsia="Calibri" w:cs="Times New Roman"/>
                <w:i/>
                <w:noProof/>
                <w:sz w:val="16"/>
                <w:szCs w:val="16"/>
                <w:lang w:eastAsia="lt-LT" w:bidi="lt-LT"/>
              </w:rPr>
            </w:pPr>
          </w:p>
        </w:tc>
      </w:tr>
    </w:tbl>
    <w:p w14:paraId="710763A7" w14:textId="77777777" w:rsidR="0087201A" w:rsidRPr="00B44B19" w:rsidRDefault="0087201A" w:rsidP="0087201A">
      <w:pPr>
        <w:spacing w:after="0" w:line="240" w:lineRule="auto"/>
        <w:jc w:val="both"/>
        <w:rPr>
          <w:rFonts w:cs="Times New Roman"/>
          <w:b/>
          <w:sz w:val="22"/>
        </w:rPr>
      </w:pPr>
    </w:p>
    <w:p w14:paraId="4386E9CA" w14:textId="77777777" w:rsidR="0087201A" w:rsidRPr="00B44B19" w:rsidRDefault="0087201A" w:rsidP="0087201A">
      <w:pPr>
        <w:spacing w:after="0" w:line="240" w:lineRule="auto"/>
        <w:jc w:val="both"/>
        <w:rPr>
          <w:rFonts w:cs="Times New Roman"/>
          <w:sz w:val="16"/>
          <w:szCs w:val="16"/>
        </w:rPr>
        <w:sectPr w:rsidR="0087201A" w:rsidRPr="00B44B19" w:rsidSect="0087201A">
          <w:pgSz w:w="16838" w:h="11906" w:orient="landscape"/>
          <w:pgMar w:top="1701" w:right="1276" w:bottom="567" w:left="1134" w:header="567" w:footer="567" w:gutter="0"/>
          <w:cols w:space="1296"/>
          <w:docGrid w:linePitch="360"/>
        </w:sectPr>
      </w:pPr>
    </w:p>
    <w:p w14:paraId="29C3C86B" w14:textId="77777777" w:rsidR="0087201A" w:rsidRPr="00B44B19" w:rsidRDefault="0087201A" w:rsidP="0087201A">
      <w:pPr>
        <w:tabs>
          <w:tab w:val="center" w:pos="4819"/>
          <w:tab w:val="right" w:pos="9638"/>
        </w:tabs>
        <w:spacing w:before="120" w:after="120" w:line="240" w:lineRule="auto"/>
        <w:rPr>
          <w:rFonts w:cs="Times New Roman"/>
          <w:b/>
          <w:i/>
          <w:noProof/>
          <w:color w:val="1F497D" w:themeColor="text2"/>
          <w:sz w:val="22"/>
          <w:lang w:eastAsia="lt-LT" w:bidi="lt-LT"/>
        </w:rPr>
      </w:pPr>
      <w:r w:rsidRPr="00B44B19">
        <w:rPr>
          <w:rFonts w:cs="Times New Roman"/>
          <w:b/>
          <w:i/>
          <w:noProof/>
          <w:color w:val="1F497D" w:themeColor="text2"/>
          <w:sz w:val="22"/>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192"/>
        <w:gridCol w:w="1134"/>
        <w:gridCol w:w="3827"/>
        <w:gridCol w:w="1701"/>
      </w:tblGrid>
      <w:tr w:rsidR="0087201A" w:rsidRPr="00B44B19" w14:paraId="4B55DC81"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EC8923" w14:textId="77777777" w:rsidR="0087201A" w:rsidRPr="00B44B19" w:rsidRDefault="0087201A" w:rsidP="0087201A">
            <w:pPr>
              <w:spacing w:after="200"/>
              <w:rPr>
                <w:rFonts w:cs="Times New Roman"/>
                <w:b/>
                <w:noProof/>
                <w:sz w:val="20"/>
                <w:szCs w:val="20"/>
              </w:rPr>
            </w:pPr>
            <w:r w:rsidRPr="00B44B19">
              <w:rPr>
                <w:rFonts w:cs="Times New Roman"/>
                <w:b/>
                <w:noProof/>
                <w:sz w:val="20"/>
                <w:szCs w:val="20"/>
              </w:rPr>
              <w:t>4 lentelė. 1 matmuo. Intervencinių priemonių sritis</w:t>
            </w:r>
          </w:p>
        </w:tc>
      </w:tr>
      <w:tr w:rsidR="0087201A" w:rsidRPr="00B44B19" w14:paraId="665DC16D" w14:textId="77777777" w:rsidTr="00220EE5">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F92412"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E98CE5"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CF1C88"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868A9D"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807097"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6C3C9B"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0D618BB7" w14:textId="77777777" w:rsidTr="00220EE5">
        <w:trPr>
          <w:trHeight w:val="598"/>
        </w:trPr>
        <w:tc>
          <w:tcPr>
            <w:tcW w:w="1069" w:type="dxa"/>
            <w:vMerge w:val="restart"/>
            <w:tcBorders>
              <w:top w:val="single" w:sz="12" w:space="0" w:color="auto"/>
            </w:tcBorders>
          </w:tcPr>
          <w:p w14:paraId="35D25880"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17</w:t>
            </w:r>
          </w:p>
        </w:tc>
        <w:tc>
          <w:tcPr>
            <w:tcW w:w="843" w:type="dxa"/>
            <w:vMerge w:val="restart"/>
            <w:tcBorders>
              <w:top w:val="single" w:sz="12" w:space="0" w:color="auto"/>
            </w:tcBorders>
          </w:tcPr>
          <w:p w14:paraId="619A0189"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192" w:type="dxa"/>
            <w:tcBorders>
              <w:top w:val="single" w:sz="12" w:space="0" w:color="auto"/>
            </w:tcBorders>
          </w:tcPr>
          <w:p w14:paraId="6C39D935"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134" w:type="dxa"/>
            <w:vMerge w:val="restart"/>
            <w:tcBorders>
              <w:top w:val="single" w:sz="12" w:space="0" w:color="auto"/>
            </w:tcBorders>
          </w:tcPr>
          <w:p w14:paraId="024EAA70"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17.1</w:t>
            </w:r>
          </w:p>
        </w:tc>
        <w:tc>
          <w:tcPr>
            <w:tcW w:w="3827" w:type="dxa"/>
            <w:vMerge w:val="restart"/>
            <w:tcBorders>
              <w:top w:val="single" w:sz="12" w:space="0" w:color="auto"/>
            </w:tcBorders>
          </w:tcPr>
          <w:p w14:paraId="1EED389F" w14:textId="77777777" w:rsidR="0087201A" w:rsidRPr="00B44B19" w:rsidRDefault="0087201A" w:rsidP="0087201A">
            <w:pPr>
              <w:spacing w:after="200"/>
              <w:jc w:val="both"/>
              <w:rPr>
                <w:rFonts w:eastAsia="Times New Roman" w:cs="Times New Roman"/>
                <w:iCs/>
                <w:noProof/>
                <w:sz w:val="20"/>
                <w:szCs w:val="20"/>
              </w:rPr>
            </w:pPr>
            <w:r w:rsidRPr="00B44B19">
              <w:rPr>
                <w:rFonts w:eastAsia="Times New Roman" w:cs="Times New Roman"/>
                <w:iCs/>
                <w:noProof/>
                <w:sz w:val="20"/>
                <w:szCs w:val="20"/>
              </w:rPr>
              <w:t>126 – Būstų infrastruktūra (kitiems asmenims nei migrantai, pabėgėliai ir asmenys, kuriems suteikta tarptautinė apsauga arba kurie prašo suteikti tarptautinę apsaugą)</w:t>
            </w:r>
          </w:p>
        </w:tc>
        <w:tc>
          <w:tcPr>
            <w:tcW w:w="1701" w:type="dxa"/>
            <w:tcBorders>
              <w:top w:val="single" w:sz="12" w:space="0" w:color="auto"/>
            </w:tcBorders>
          </w:tcPr>
          <w:p w14:paraId="17FAD8F2" w14:textId="11170265" w:rsidR="0087201A" w:rsidRPr="00B44B19" w:rsidRDefault="0087201A" w:rsidP="00220EE5">
            <w:pPr>
              <w:spacing w:after="200"/>
              <w:jc w:val="right"/>
              <w:rPr>
                <w:rFonts w:eastAsia="Times New Roman" w:cs="Times New Roman"/>
                <w:iCs/>
                <w:noProof/>
                <w:sz w:val="20"/>
                <w:szCs w:val="20"/>
              </w:rPr>
            </w:pPr>
            <w:r w:rsidRPr="00B44B19">
              <w:rPr>
                <w:rFonts w:eastAsia="Times New Roman" w:cs="Times New Roman"/>
                <w:iCs/>
                <w:noProof/>
                <w:sz w:val="20"/>
                <w:szCs w:val="20"/>
              </w:rPr>
              <w:t>18 500 000,00</w:t>
            </w:r>
          </w:p>
        </w:tc>
      </w:tr>
      <w:tr w:rsidR="0087201A" w:rsidRPr="00B44B19" w14:paraId="161458EA" w14:textId="77777777" w:rsidTr="00220EE5">
        <w:trPr>
          <w:trHeight w:val="413"/>
        </w:trPr>
        <w:tc>
          <w:tcPr>
            <w:tcW w:w="1069" w:type="dxa"/>
            <w:vMerge/>
          </w:tcPr>
          <w:p w14:paraId="7239B01D" w14:textId="77777777" w:rsidR="0087201A" w:rsidRPr="00B44B19" w:rsidRDefault="0087201A" w:rsidP="0087201A">
            <w:pPr>
              <w:spacing w:after="200"/>
              <w:jc w:val="center"/>
              <w:rPr>
                <w:rFonts w:cs="Times New Roman"/>
                <w:noProof/>
                <w:sz w:val="20"/>
                <w:szCs w:val="20"/>
              </w:rPr>
            </w:pPr>
          </w:p>
        </w:tc>
        <w:tc>
          <w:tcPr>
            <w:tcW w:w="843" w:type="dxa"/>
            <w:vMerge/>
          </w:tcPr>
          <w:p w14:paraId="2A263110" w14:textId="77777777" w:rsidR="0087201A" w:rsidRPr="00B44B19" w:rsidRDefault="0087201A" w:rsidP="0087201A">
            <w:pPr>
              <w:spacing w:after="200"/>
              <w:jc w:val="center"/>
              <w:rPr>
                <w:rFonts w:cs="Times New Roman"/>
                <w:noProof/>
                <w:sz w:val="20"/>
                <w:szCs w:val="20"/>
              </w:rPr>
            </w:pPr>
          </w:p>
        </w:tc>
        <w:tc>
          <w:tcPr>
            <w:tcW w:w="1192" w:type="dxa"/>
            <w:tcBorders>
              <w:top w:val="single" w:sz="12" w:space="0" w:color="auto"/>
            </w:tcBorders>
          </w:tcPr>
          <w:p w14:paraId="1634F547" w14:textId="77777777" w:rsidR="0087201A" w:rsidRPr="00B44B19" w:rsidRDefault="0087201A" w:rsidP="0087201A">
            <w:pPr>
              <w:spacing w:after="200"/>
              <w:rPr>
                <w:rFonts w:cs="Times New Roman"/>
                <w:noProof/>
                <w:sz w:val="20"/>
                <w:szCs w:val="20"/>
              </w:rPr>
            </w:pPr>
            <w:r w:rsidRPr="00B44B19">
              <w:rPr>
                <w:rFonts w:cs="Times New Roman"/>
                <w:noProof/>
                <w:sz w:val="20"/>
                <w:szCs w:val="20"/>
              </w:rPr>
              <w:t>VVL regionas</w:t>
            </w:r>
          </w:p>
        </w:tc>
        <w:tc>
          <w:tcPr>
            <w:tcW w:w="1134" w:type="dxa"/>
            <w:vMerge/>
          </w:tcPr>
          <w:p w14:paraId="08B25CB1" w14:textId="77777777" w:rsidR="0087201A" w:rsidRPr="00B44B19" w:rsidRDefault="0087201A" w:rsidP="0087201A">
            <w:pPr>
              <w:spacing w:after="200"/>
              <w:jc w:val="center"/>
              <w:rPr>
                <w:rFonts w:cs="Times New Roman"/>
                <w:noProof/>
                <w:sz w:val="20"/>
                <w:szCs w:val="20"/>
              </w:rPr>
            </w:pPr>
          </w:p>
        </w:tc>
        <w:tc>
          <w:tcPr>
            <w:tcW w:w="3827" w:type="dxa"/>
            <w:vMerge/>
            <w:tcBorders>
              <w:bottom w:val="single" w:sz="4" w:space="0" w:color="auto"/>
            </w:tcBorders>
          </w:tcPr>
          <w:p w14:paraId="3D9AB91C" w14:textId="77777777" w:rsidR="0087201A" w:rsidRPr="00B44B19" w:rsidDel="00AA781F" w:rsidRDefault="0087201A" w:rsidP="0087201A">
            <w:pPr>
              <w:spacing w:after="200"/>
              <w:jc w:val="both"/>
              <w:rPr>
                <w:rFonts w:eastAsia="Times New Roman" w:cs="Times New Roman"/>
                <w:iCs/>
                <w:noProof/>
                <w:sz w:val="20"/>
                <w:szCs w:val="20"/>
                <w:lang w:val="en-US"/>
              </w:rPr>
            </w:pPr>
          </w:p>
        </w:tc>
        <w:tc>
          <w:tcPr>
            <w:tcW w:w="1701" w:type="dxa"/>
            <w:tcBorders>
              <w:top w:val="single" w:sz="4" w:space="0" w:color="auto"/>
              <w:bottom w:val="single" w:sz="4" w:space="0" w:color="auto"/>
            </w:tcBorders>
          </w:tcPr>
          <w:p w14:paraId="73BC3399" w14:textId="77777777" w:rsidR="0087201A" w:rsidRPr="00B44B19" w:rsidDel="00A949B6" w:rsidRDefault="0087201A" w:rsidP="0087201A">
            <w:pPr>
              <w:spacing w:after="200"/>
              <w:jc w:val="right"/>
              <w:rPr>
                <w:rFonts w:eastAsia="Times New Roman" w:cs="Times New Roman"/>
                <w:iCs/>
                <w:noProof/>
                <w:sz w:val="20"/>
                <w:szCs w:val="20"/>
              </w:rPr>
            </w:pPr>
            <w:r w:rsidRPr="00B44B19">
              <w:rPr>
                <w:rFonts w:eastAsia="Times New Roman" w:cs="Times New Roman"/>
                <w:iCs/>
                <w:noProof/>
                <w:sz w:val="20"/>
                <w:szCs w:val="20"/>
              </w:rPr>
              <w:t>34 500 000,00</w:t>
            </w:r>
          </w:p>
        </w:tc>
      </w:tr>
    </w:tbl>
    <w:p w14:paraId="25A3C4E1"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87201A" w:rsidRPr="00B44B19" w14:paraId="10DD69FE"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6C4A43D"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5 lentelė. 2 matmuo. Finansavimo forma</w:t>
            </w:r>
          </w:p>
        </w:tc>
      </w:tr>
      <w:tr w:rsidR="0087201A" w:rsidRPr="00B44B19" w14:paraId="09787279" w14:textId="77777777" w:rsidTr="003040E3">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37E0BC"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B54D4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61C95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7541A7"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648EF7"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CD77C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5F75E49D" w14:textId="77777777" w:rsidTr="003040E3">
        <w:tc>
          <w:tcPr>
            <w:tcW w:w="1101" w:type="dxa"/>
            <w:vMerge w:val="restart"/>
            <w:tcBorders>
              <w:top w:val="single" w:sz="12" w:space="0" w:color="auto"/>
            </w:tcBorders>
          </w:tcPr>
          <w:p w14:paraId="6CCC3E88"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17</w:t>
            </w:r>
          </w:p>
        </w:tc>
        <w:tc>
          <w:tcPr>
            <w:tcW w:w="850" w:type="dxa"/>
            <w:vMerge w:val="restart"/>
            <w:tcBorders>
              <w:top w:val="single" w:sz="12" w:space="0" w:color="auto"/>
            </w:tcBorders>
          </w:tcPr>
          <w:p w14:paraId="7287D88C"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134" w:type="dxa"/>
            <w:tcBorders>
              <w:top w:val="single" w:sz="12" w:space="0" w:color="auto"/>
              <w:bottom w:val="single" w:sz="12" w:space="0" w:color="auto"/>
            </w:tcBorders>
          </w:tcPr>
          <w:p w14:paraId="608B577D"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134" w:type="dxa"/>
            <w:vMerge w:val="restart"/>
            <w:tcBorders>
              <w:top w:val="single" w:sz="12" w:space="0" w:color="auto"/>
            </w:tcBorders>
          </w:tcPr>
          <w:p w14:paraId="5CA82E26" w14:textId="77777777" w:rsidR="0087201A" w:rsidRPr="00B44B19" w:rsidRDefault="0087201A" w:rsidP="0087201A">
            <w:pPr>
              <w:spacing w:after="200"/>
              <w:jc w:val="center"/>
              <w:rPr>
                <w:rFonts w:eastAsia="Times New Roman" w:cs="Times New Roman"/>
                <w:bCs/>
                <w:iCs/>
                <w:noProof/>
                <w:sz w:val="20"/>
                <w:szCs w:val="20"/>
              </w:rPr>
            </w:pPr>
            <w:r w:rsidRPr="00B44B19">
              <w:rPr>
                <w:rFonts w:eastAsia="Times New Roman" w:cs="Times New Roman"/>
                <w:bCs/>
                <w:iCs/>
                <w:noProof/>
                <w:sz w:val="20"/>
                <w:szCs w:val="20"/>
              </w:rPr>
              <w:t>17.1</w:t>
            </w:r>
          </w:p>
        </w:tc>
        <w:tc>
          <w:tcPr>
            <w:tcW w:w="3903" w:type="dxa"/>
            <w:vMerge w:val="restart"/>
            <w:tcBorders>
              <w:top w:val="single" w:sz="12" w:space="0" w:color="auto"/>
            </w:tcBorders>
          </w:tcPr>
          <w:p w14:paraId="3AFF5C8B"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01 – Dotacija</w:t>
            </w:r>
          </w:p>
        </w:tc>
        <w:tc>
          <w:tcPr>
            <w:tcW w:w="1625" w:type="dxa"/>
            <w:tcBorders>
              <w:top w:val="single" w:sz="12" w:space="0" w:color="auto"/>
              <w:bottom w:val="single" w:sz="12" w:space="0" w:color="auto"/>
            </w:tcBorders>
          </w:tcPr>
          <w:p w14:paraId="738F672B" w14:textId="709A3962" w:rsidR="0087201A" w:rsidRPr="00B44B19" w:rsidRDefault="0087201A" w:rsidP="00220EE5">
            <w:pPr>
              <w:spacing w:after="200"/>
              <w:jc w:val="right"/>
              <w:rPr>
                <w:rFonts w:eastAsia="Times New Roman" w:cs="Times New Roman"/>
                <w:iCs/>
                <w:noProof/>
                <w:sz w:val="20"/>
                <w:szCs w:val="20"/>
              </w:rPr>
            </w:pPr>
            <w:r w:rsidRPr="00B44B19">
              <w:rPr>
                <w:rFonts w:eastAsia="Times New Roman" w:cs="Times New Roman"/>
                <w:iCs/>
                <w:noProof/>
                <w:sz w:val="20"/>
                <w:szCs w:val="20"/>
              </w:rPr>
              <w:t>18 500 000,00</w:t>
            </w:r>
          </w:p>
        </w:tc>
      </w:tr>
      <w:tr w:rsidR="0087201A" w:rsidRPr="00B44B19" w14:paraId="2D4901D6" w14:textId="77777777" w:rsidTr="003040E3">
        <w:tc>
          <w:tcPr>
            <w:tcW w:w="1101" w:type="dxa"/>
            <w:vMerge/>
            <w:tcBorders>
              <w:bottom w:val="single" w:sz="4" w:space="0" w:color="auto"/>
            </w:tcBorders>
          </w:tcPr>
          <w:p w14:paraId="48D04EF3" w14:textId="77777777" w:rsidR="0087201A" w:rsidRPr="00B44B19" w:rsidRDefault="0087201A" w:rsidP="0087201A">
            <w:pPr>
              <w:spacing w:after="200"/>
              <w:jc w:val="center"/>
              <w:rPr>
                <w:rFonts w:eastAsia="Times New Roman" w:cs="Times New Roman"/>
                <w:iCs/>
                <w:noProof/>
                <w:sz w:val="20"/>
                <w:szCs w:val="20"/>
              </w:rPr>
            </w:pPr>
          </w:p>
        </w:tc>
        <w:tc>
          <w:tcPr>
            <w:tcW w:w="850" w:type="dxa"/>
            <w:vMerge/>
            <w:tcBorders>
              <w:bottom w:val="single" w:sz="4" w:space="0" w:color="auto"/>
            </w:tcBorders>
          </w:tcPr>
          <w:p w14:paraId="7A719A0A" w14:textId="77777777" w:rsidR="0087201A" w:rsidRPr="00B44B19" w:rsidRDefault="0087201A" w:rsidP="0087201A">
            <w:pPr>
              <w:spacing w:after="200"/>
              <w:jc w:val="center"/>
              <w:rPr>
                <w:rFonts w:eastAsia="Times New Roman" w:cs="Times New Roman"/>
                <w:iCs/>
                <w:noProof/>
                <w:sz w:val="20"/>
                <w:szCs w:val="20"/>
              </w:rPr>
            </w:pPr>
          </w:p>
        </w:tc>
        <w:tc>
          <w:tcPr>
            <w:tcW w:w="1134" w:type="dxa"/>
            <w:tcBorders>
              <w:top w:val="single" w:sz="12" w:space="0" w:color="auto"/>
              <w:bottom w:val="single" w:sz="4" w:space="0" w:color="auto"/>
            </w:tcBorders>
          </w:tcPr>
          <w:p w14:paraId="732F62B2" w14:textId="77777777" w:rsidR="0087201A" w:rsidRPr="00B44B19" w:rsidRDefault="0087201A" w:rsidP="0087201A">
            <w:pPr>
              <w:spacing w:after="200"/>
              <w:rPr>
                <w:rFonts w:eastAsia="Times New Roman" w:cs="Times New Roman"/>
                <w:iCs/>
                <w:noProof/>
                <w:sz w:val="20"/>
                <w:szCs w:val="20"/>
              </w:rPr>
            </w:pPr>
            <w:r w:rsidRPr="00B44B19">
              <w:rPr>
                <w:rFonts w:cs="Times New Roman"/>
                <w:noProof/>
                <w:sz w:val="20"/>
                <w:szCs w:val="20"/>
              </w:rPr>
              <w:t>VVL regionas</w:t>
            </w:r>
          </w:p>
        </w:tc>
        <w:tc>
          <w:tcPr>
            <w:tcW w:w="1134" w:type="dxa"/>
            <w:vMerge/>
            <w:tcBorders>
              <w:bottom w:val="single" w:sz="4" w:space="0" w:color="auto"/>
            </w:tcBorders>
          </w:tcPr>
          <w:p w14:paraId="7BEA4A9C" w14:textId="77777777" w:rsidR="0087201A" w:rsidRPr="00B44B19" w:rsidRDefault="0087201A" w:rsidP="0087201A">
            <w:pPr>
              <w:spacing w:after="200"/>
              <w:jc w:val="center"/>
              <w:rPr>
                <w:rFonts w:eastAsia="Times New Roman" w:cs="Times New Roman"/>
                <w:b/>
                <w:iCs/>
                <w:noProof/>
                <w:sz w:val="20"/>
                <w:szCs w:val="20"/>
              </w:rPr>
            </w:pPr>
          </w:p>
        </w:tc>
        <w:tc>
          <w:tcPr>
            <w:tcW w:w="3903" w:type="dxa"/>
            <w:vMerge/>
            <w:tcBorders>
              <w:bottom w:val="single" w:sz="4" w:space="0" w:color="auto"/>
            </w:tcBorders>
          </w:tcPr>
          <w:p w14:paraId="663D3DED" w14:textId="77777777" w:rsidR="0087201A" w:rsidRPr="00B44B19" w:rsidRDefault="0087201A" w:rsidP="0087201A">
            <w:pPr>
              <w:spacing w:after="200"/>
              <w:rPr>
                <w:rFonts w:eastAsia="Times New Roman" w:cs="Times New Roman"/>
                <w:bCs/>
                <w:iCs/>
                <w:noProof/>
                <w:sz w:val="20"/>
                <w:szCs w:val="20"/>
              </w:rPr>
            </w:pPr>
          </w:p>
        </w:tc>
        <w:tc>
          <w:tcPr>
            <w:tcW w:w="1625" w:type="dxa"/>
            <w:tcBorders>
              <w:top w:val="single" w:sz="12" w:space="0" w:color="auto"/>
              <w:bottom w:val="single" w:sz="4" w:space="0" w:color="auto"/>
            </w:tcBorders>
          </w:tcPr>
          <w:p w14:paraId="567DA5A8" w14:textId="77777777" w:rsidR="0087201A" w:rsidRPr="00B44B19" w:rsidRDefault="0087201A" w:rsidP="0087201A">
            <w:pPr>
              <w:spacing w:after="200"/>
              <w:jc w:val="right"/>
              <w:rPr>
                <w:rFonts w:cs="Times New Roman"/>
                <w:sz w:val="20"/>
                <w:szCs w:val="20"/>
              </w:rPr>
            </w:pPr>
            <w:r w:rsidRPr="00B44B19">
              <w:rPr>
                <w:rFonts w:eastAsia="Times New Roman" w:cs="Times New Roman"/>
                <w:iCs/>
                <w:noProof/>
                <w:sz w:val="20"/>
                <w:szCs w:val="20"/>
              </w:rPr>
              <w:t>34 500 000,00</w:t>
            </w:r>
          </w:p>
        </w:tc>
      </w:tr>
    </w:tbl>
    <w:p w14:paraId="64D8467B" w14:textId="77777777" w:rsidR="0087201A" w:rsidRPr="00B44B19" w:rsidRDefault="0087201A" w:rsidP="0087201A">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82"/>
        <w:gridCol w:w="847"/>
        <w:gridCol w:w="1094"/>
        <w:gridCol w:w="1215"/>
        <w:gridCol w:w="3869"/>
        <w:gridCol w:w="1659"/>
      </w:tblGrid>
      <w:tr w:rsidR="0087201A" w:rsidRPr="00B44B19" w14:paraId="31B2F5ED" w14:textId="77777777" w:rsidTr="003040E3">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814D16C" w14:textId="77777777" w:rsidR="0087201A" w:rsidRPr="00B44B19" w:rsidRDefault="0087201A" w:rsidP="0087201A">
            <w:pPr>
              <w:spacing w:after="200"/>
              <w:rPr>
                <w:rFonts w:eastAsia="Times New Roman" w:cs="Times New Roman"/>
                <w:b/>
                <w:iCs/>
                <w:noProof/>
                <w:sz w:val="20"/>
                <w:szCs w:val="20"/>
              </w:rPr>
            </w:pPr>
            <w:r w:rsidRPr="00B44B19">
              <w:rPr>
                <w:rFonts w:cs="Times New Roman"/>
                <w:b/>
                <w:noProof/>
                <w:sz w:val="20"/>
                <w:szCs w:val="20"/>
              </w:rPr>
              <w:t>6 lentelė. 3 matmuo. Teritorinis įgyvendinimo mechanizmas ir pagrindinė teritorinė sritis</w:t>
            </w:r>
          </w:p>
        </w:tc>
      </w:tr>
      <w:tr w:rsidR="0087201A" w:rsidRPr="00B44B19" w14:paraId="25EEE01F" w14:textId="77777777" w:rsidTr="003040E3">
        <w:tc>
          <w:tcPr>
            <w:tcW w:w="10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9148D5"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A3F503"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Fondas</w:t>
            </w:r>
          </w:p>
        </w:tc>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FB4191"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Regiono kategorija</w:t>
            </w:r>
          </w:p>
        </w:tc>
        <w:tc>
          <w:tcPr>
            <w:tcW w:w="12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0F2A79"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Konkretus uždavinys</w:t>
            </w:r>
          </w:p>
        </w:tc>
        <w:tc>
          <w:tcPr>
            <w:tcW w:w="38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DD32C8"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Kodas</w:t>
            </w:r>
          </w:p>
        </w:tc>
        <w:tc>
          <w:tcPr>
            <w:tcW w:w="16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3F1FFCA" w14:textId="77777777" w:rsidR="0087201A" w:rsidRPr="00B44B19" w:rsidRDefault="0087201A" w:rsidP="0087201A">
            <w:pPr>
              <w:spacing w:after="200"/>
              <w:jc w:val="center"/>
              <w:rPr>
                <w:rFonts w:eastAsia="Times New Roman" w:cs="Times New Roman"/>
                <w:b/>
                <w:iCs/>
                <w:noProof/>
                <w:sz w:val="20"/>
                <w:szCs w:val="20"/>
              </w:rPr>
            </w:pPr>
            <w:r w:rsidRPr="00B44B19">
              <w:rPr>
                <w:rFonts w:cs="Times New Roman"/>
                <w:b/>
                <w:noProof/>
                <w:sz w:val="20"/>
                <w:szCs w:val="20"/>
              </w:rPr>
              <w:t>Suma (EUR)</w:t>
            </w:r>
          </w:p>
        </w:tc>
      </w:tr>
      <w:tr w:rsidR="0087201A" w:rsidRPr="00B44B19" w14:paraId="38CD8574" w14:textId="77777777" w:rsidTr="003040E3">
        <w:trPr>
          <w:trHeight w:val="303"/>
        </w:trPr>
        <w:tc>
          <w:tcPr>
            <w:tcW w:w="1082" w:type="dxa"/>
            <w:vMerge w:val="restart"/>
          </w:tcPr>
          <w:p w14:paraId="5818C2ED" w14:textId="77777777" w:rsidR="0087201A" w:rsidRPr="00B44B19" w:rsidRDefault="0087201A" w:rsidP="0087201A">
            <w:pPr>
              <w:spacing w:after="200"/>
              <w:jc w:val="center"/>
              <w:rPr>
                <w:rFonts w:eastAsia="Times New Roman" w:cs="Times New Roman"/>
                <w:iCs/>
                <w:noProof/>
                <w:sz w:val="20"/>
                <w:szCs w:val="20"/>
              </w:rPr>
            </w:pPr>
            <w:bookmarkStart w:id="98" w:name="_Hlk208247339"/>
            <w:r w:rsidRPr="00B44B19">
              <w:rPr>
                <w:rFonts w:eastAsia="Times New Roman" w:cs="Times New Roman"/>
                <w:iCs/>
                <w:noProof/>
                <w:sz w:val="20"/>
                <w:szCs w:val="20"/>
              </w:rPr>
              <w:t>17</w:t>
            </w:r>
          </w:p>
        </w:tc>
        <w:tc>
          <w:tcPr>
            <w:tcW w:w="847" w:type="dxa"/>
            <w:vMerge w:val="restart"/>
          </w:tcPr>
          <w:p w14:paraId="48FAEABE" w14:textId="77777777" w:rsidR="0087201A" w:rsidRPr="00B44B19" w:rsidRDefault="0087201A" w:rsidP="0087201A">
            <w:pPr>
              <w:spacing w:after="200"/>
              <w:jc w:val="center"/>
              <w:rPr>
                <w:rFonts w:eastAsia="Times New Roman" w:cs="Times New Roman"/>
                <w:iCs/>
                <w:noProof/>
                <w:sz w:val="20"/>
                <w:szCs w:val="20"/>
              </w:rPr>
            </w:pPr>
            <w:r w:rsidRPr="00B44B19">
              <w:rPr>
                <w:rFonts w:eastAsia="Times New Roman" w:cs="Times New Roman"/>
                <w:iCs/>
                <w:noProof/>
                <w:sz w:val="20"/>
                <w:szCs w:val="20"/>
              </w:rPr>
              <w:t>ERPF</w:t>
            </w:r>
          </w:p>
        </w:tc>
        <w:tc>
          <w:tcPr>
            <w:tcW w:w="1094" w:type="dxa"/>
          </w:tcPr>
          <w:p w14:paraId="5D0C6366" w14:textId="77777777" w:rsidR="0087201A" w:rsidRPr="00B44B19" w:rsidRDefault="0087201A" w:rsidP="0087201A">
            <w:pPr>
              <w:spacing w:after="200"/>
              <w:rPr>
                <w:rFonts w:eastAsia="Times New Roman" w:cs="Times New Roman"/>
                <w:iCs/>
                <w:noProof/>
                <w:sz w:val="20"/>
                <w:szCs w:val="20"/>
              </w:rPr>
            </w:pPr>
            <w:r w:rsidRPr="00B44B19">
              <w:rPr>
                <w:rFonts w:eastAsia="Times New Roman" w:cs="Times New Roman"/>
                <w:iCs/>
                <w:noProof/>
                <w:sz w:val="20"/>
                <w:szCs w:val="20"/>
              </w:rPr>
              <w:t>Sostinės regionas</w:t>
            </w:r>
          </w:p>
        </w:tc>
        <w:tc>
          <w:tcPr>
            <w:tcW w:w="1215" w:type="dxa"/>
            <w:vMerge w:val="restart"/>
          </w:tcPr>
          <w:p w14:paraId="3F4E1ADE" w14:textId="77777777" w:rsidR="0087201A" w:rsidRPr="00B44B19" w:rsidRDefault="0087201A" w:rsidP="0087201A">
            <w:pPr>
              <w:spacing w:after="200"/>
              <w:jc w:val="center"/>
              <w:rPr>
                <w:rFonts w:eastAsia="Times New Roman" w:cs="Times New Roman"/>
                <w:b/>
                <w:iCs/>
                <w:noProof/>
                <w:sz w:val="20"/>
                <w:szCs w:val="20"/>
              </w:rPr>
            </w:pPr>
            <w:r w:rsidRPr="00B44B19">
              <w:rPr>
                <w:rFonts w:eastAsia="Times New Roman" w:cs="Times New Roman"/>
                <w:bCs/>
                <w:iCs/>
                <w:noProof/>
                <w:sz w:val="20"/>
                <w:szCs w:val="20"/>
              </w:rPr>
              <w:t>17.1</w:t>
            </w:r>
          </w:p>
        </w:tc>
        <w:tc>
          <w:tcPr>
            <w:tcW w:w="3869" w:type="dxa"/>
            <w:vMerge w:val="restart"/>
          </w:tcPr>
          <w:p w14:paraId="3269962F" w14:textId="77777777" w:rsidR="0087201A" w:rsidRPr="00B44B19" w:rsidRDefault="0087201A" w:rsidP="0087201A">
            <w:pPr>
              <w:spacing w:after="200"/>
              <w:rPr>
                <w:rFonts w:eastAsia="Times New Roman" w:cs="Times New Roman"/>
                <w:bCs/>
                <w:iCs/>
                <w:noProof/>
                <w:sz w:val="20"/>
                <w:szCs w:val="20"/>
              </w:rPr>
            </w:pPr>
            <w:r w:rsidRPr="00B44B19">
              <w:rPr>
                <w:rFonts w:eastAsia="Times New Roman" w:cs="Times New Roman"/>
                <w:bCs/>
                <w:iCs/>
                <w:noProof/>
                <w:sz w:val="20"/>
                <w:szCs w:val="20"/>
              </w:rPr>
              <w:t>33 – Nesiorientuojant į teritoriškumą</w:t>
            </w:r>
          </w:p>
        </w:tc>
        <w:tc>
          <w:tcPr>
            <w:tcW w:w="1659" w:type="dxa"/>
          </w:tcPr>
          <w:p w14:paraId="558DB7B5" w14:textId="7047B4C2" w:rsidR="0087201A" w:rsidRPr="00B44B19" w:rsidRDefault="0087201A" w:rsidP="0087201A">
            <w:pPr>
              <w:spacing w:after="200"/>
              <w:jc w:val="right"/>
              <w:rPr>
                <w:rFonts w:cs="Times New Roman"/>
                <w:sz w:val="20"/>
                <w:szCs w:val="20"/>
              </w:rPr>
            </w:pPr>
            <w:r w:rsidRPr="00B44B19">
              <w:rPr>
                <w:rFonts w:eastAsia="Times New Roman" w:cs="Times New Roman"/>
                <w:iCs/>
                <w:noProof/>
                <w:sz w:val="20"/>
                <w:szCs w:val="20"/>
              </w:rPr>
              <w:t>18 500 000,00</w:t>
            </w:r>
          </w:p>
        </w:tc>
      </w:tr>
      <w:tr w:rsidR="0087201A" w:rsidRPr="00B44B19" w14:paraId="09D8F1C7" w14:textId="77777777" w:rsidTr="003040E3">
        <w:trPr>
          <w:trHeight w:val="303"/>
        </w:trPr>
        <w:tc>
          <w:tcPr>
            <w:tcW w:w="1082" w:type="dxa"/>
            <w:vMerge/>
          </w:tcPr>
          <w:p w14:paraId="3F857FCB" w14:textId="77777777" w:rsidR="0087201A" w:rsidRPr="00B44B19" w:rsidRDefault="0087201A" w:rsidP="0087201A">
            <w:pPr>
              <w:spacing w:after="200"/>
              <w:jc w:val="center"/>
              <w:rPr>
                <w:rFonts w:eastAsia="Times New Roman" w:cs="Times New Roman"/>
                <w:iCs/>
                <w:noProof/>
                <w:sz w:val="20"/>
                <w:szCs w:val="20"/>
              </w:rPr>
            </w:pPr>
          </w:p>
        </w:tc>
        <w:tc>
          <w:tcPr>
            <w:tcW w:w="847" w:type="dxa"/>
            <w:vMerge/>
          </w:tcPr>
          <w:p w14:paraId="7F84619D" w14:textId="77777777" w:rsidR="0087201A" w:rsidRPr="00B44B19" w:rsidRDefault="0087201A" w:rsidP="0087201A">
            <w:pPr>
              <w:spacing w:after="200"/>
              <w:jc w:val="center"/>
              <w:rPr>
                <w:rFonts w:eastAsia="Times New Roman" w:cs="Times New Roman"/>
                <w:iCs/>
                <w:noProof/>
                <w:sz w:val="20"/>
                <w:szCs w:val="20"/>
              </w:rPr>
            </w:pPr>
          </w:p>
        </w:tc>
        <w:tc>
          <w:tcPr>
            <w:tcW w:w="1094" w:type="dxa"/>
          </w:tcPr>
          <w:p w14:paraId="14A1C032" w14:textId="77777777" w:rsidR="0087201A" w:rsidRPr="00B44B19" w:rsidRDefault="0087201A" w:rsidP="0087201A">
            <w:pPr>
              <w:spacing w:after="200"/>
              <w:rPr>
                <w:rFonts w:eastAsia="Times New Roman" w:cs="Times New Roman"/>
                <w:iCs/>
                <w:noProof/>
                <w:sz w:val="20"/>
                <w:szCs w:val="20"/>
              </w:rPr>
            </w:pPr>
            <w:r w:rsidRPr="00B44B19">
              <w:rPr>
                <w:rFonts w:cs="Times New Roman"/>
                <w:noProof/>
                <w:sz w:val="20"/>
                <w:szCs w:val="20"/>
              </w:rPr>
              <w:t>VVL regionas</w:t>
            </w:r>
          </w:p>
        </w:tc>
        <w:tc>
          <w:tcPr>
            <w:tcW w:w="1215" w:type="dxa"/>
            <w:vMerge/>
          </w:tcPr>
          <w:p w14:paraId="1C56F0E5" w14:textId="77777777" w:rsidR="0087201A" w:rsidRPr="00B44B19" w:rsidRDefault="0087201A" w:rsidP="0087201A">
            <w:pPr>
              <w:spacing w:after="200"/>
              <w:jc w:val="center"/>
              <w:rPr>
                <w:rFonts w:eastAsia="Times New Roman" w:cs="Times New Roman"/>
                <w:b/>
                <w:iCs/>
                <w:noProof/>
                <w:sz w:val="20"/>
                <w:szCs w:val="20"/>
              </w:rPr>
            </w:pPr>
          </w:p>
        </w:tc>
        <w:tc>
          <w:tcPr>
            <w:tcW w:w="3869" w:type="dxa"/>
            <w:vMerge/>
          </w:tcPr>
          <w:p w14:paraId="4E64338B" w14:textId="77777777" w:rsidR="0087201A" w:rsidRPr="00B44B19" w:rsidRDefault="0087201A" w:rsidP="0087201A">
            <w:pPr>
              <w:spacing w:after="200"/>
              <w:rPr>
                <w:rFonts w:eastAsia="Times New Roman" w:cs="Times New Roman"/>
                <w:bCs/>
                <w:iCs/>
                <w:noProof/>
                <w:sz w:val="20"/>
                <w:szCs w:val="20"/>
              </w:rPr>
            </w:pPr>
          </w:p>
        </w:tc>
        <w:tc>
          <w:tcPr>
            <w:tcW w:w="1659" w:type="dxa"/>
          </w:tcPr>
          <w:p w14:paraId="751A37BB" w14:textId="77777777" w:rsidR="0087201A" w:rsidRPr="00B44B19" w:rsidRDefault="0087201A" w:rsidP="0087201A">
            <w:pPr>
              <w:spacing w:after="200"/>
              <w:jc w:val="right"/>
              <w:rPr>
                <w:rFonts w:cs="Times New Roman"/>
                <w:sz w:val="20"/>
                <w:szCs w:val="20"/>
              </w:rPr>
            </w:pPr>
            <w:r w:rsidRPr="00B44B19">
              <w:rPr>
                <w:rFonts w:eastAsia="Times New Roman" w:cs="Times New Roman"/>
                <w:iCs/>
                <w:noProof/>
                <w:sz w:val="20"/>
                <w:szCs w:val="20"/>
              </w:rPr>
              <w:t>34 500 000,00</w:t>
            </w:r>
          </w:p>
        </w:tc>
      </w:tr>
      <w:bookmarkEnd w:id="98"/>
    </w:tbl>
    <w:p w14:paraId="62C0280C" w14:textId="77777777" w:rsidR="0087201A" w:rsidRPr="00B44B19" w:rsidRDefault="0087201A" w:rsidP="0087201A">
      <w:pPr>
        <w:spacing w:after="0"/>
        <w:rPr>
          <w:rFonts w:cs="Times New Roman"/>
        </w:rPr>
      </w:pPr>
    </w:p>
    <w:tbl>
      <w:tblPr>
        <w:tblStyle w:val="Lentelstinklelis30"/>
        <w:tblW w:w="9747" w:type="dxa"/>
        <w:tblLook w:val="04A0" w:firstRow="1" w:lastRow="0" w:firstColumn="1" w:lastColumn="0" w:noHBand="0" w:noVBand="1"/>
      </w:tblPr>
      <w:tblGrid>
        <w:gridCol w:w="1101"/>
        <w:gridCol w:w="850"/>
        <w:gridCol w:w="1134"/>
        <w:gridCol w:w="1134"/>
        <w:gridCol w:w="3846"/>
        <w:gridCol w:w="1682"/>
      </w:tblGrid>
      <w:tr w:rsidR="0087201A" w:rsidRPr="00B44B19" w14:paraId="5C97337F" w14:textId="77777777" w:rsidTr="003040E3">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0CD3C84" w14:textId="77777777" w:rsidR="0087201A" w:rsidRPr="00B44B19" w:rsidRDefault="0087201A" w:rsidP="0087201A">
            <w:pPr>
              <w:rPr>
                <w:b/>
                <w:iCs/>
                <w:noProof/>
                <w:sz w:val="20"/>
                <w:szCs w:val="20"/>
              </w:rPr>
            </w:pPr>
            <w:r w:rsidRPr="00B44B19">
              <w:rPr>
                <w:b/>
                <w:noProof/>
                <w:sz w:val="20"/>
                <w:szCs w:val="20"/>
              </w:rPr>
              <w:t xml:space="preserve">7 lentelė. 7 matmuo. </w:t>
            </w:r>
            <w:r w:rsidRPr="00B44B19">
              <w:rPr>
                <w:b/>
                <w:sz w:val="20"/>
                <w:szCs w:val="20"/>
              </w:rPr>
              <w:t>ESF+, ERPF, SaF ir TPF lyčių lygybės matmuo</w:t>
            </w:r>
          </w:p>
        </w:tc>
      </w:tr>
      <w:tr w:rsidR="0087201A" w:rsidRPr="00B44B19" w14:paraId="19C51E5A" w14:textId="77777777" w:rsidTr="00220EE5">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F9F7B09" w14:textId="77777777" w:rsidR="0087201A" w:rsidRPr="00B44B19" w:rsidRDefault="0087201A" w:rsidP="0087201A">
            <w:pPr>
              <w:jc w:val="center"/>
              <w:rPr>
                <w:b/>
                <w:iCs/>
                <w:noProof/>
                <w:sz w:val="20"/>
              </w:rPr>
            </w:pPr>
            <w:r w:rsidRPr="00B44B19">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3FDCCB" w14:textId="77777777" w:rsidR="0087201A" w:rsidRPr="00B44B19" w:rsidRDefault="0087201A" w:rsidP="0087201A">
            <w:pPr>
              <w:jc w:val="center"/>
              <w:rPr>
                <w:b/>
                <w:iCs/>
                <w:noProof/>
                <w:sz w:val="20"/>
              </w:rPr>
            </w:pPr>
            <w:r w:rsidRPr="00B44B19">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060706" w14:textId="77777777" w:rsidR="0087201A" w:rsidRPr="00B44B19" w:rsidRDefault="0087201A" w:rsidP="0087201A">
            <w:pPr>
              <w:jc w:val="center"/>
              <w:rPr>
                <w:b/>
                <w:iCs/>
                <w:noProof/>
                <w:sz w:val="20"/>
              </w:rPr>
            </w:pPr>
            <w:r w:rsidRPr="00B44B19">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4862A0" w14:textId="77777777" w:rsidR="0087201A" w:rsidRPr="00B44B19" w:rsidRDefault="0087201A" w:rsidP="0087201A">
            <w:pPr>
              <w:jc w:val="center"/>
              <w:rPr>
                <w:b/>
                <w:iCs/>
                <w:noProof/>
                <w:sz w:val="20"/>
              </w:rPr>
            </w:pPr>
            <w:r w:rsidRPr="00B44B19">
              <w:rPr>
                <w:b/>
                <w:noProof/>
                <w:sz w:val="20"/>
              </w:rPr>
              <w:t>Konkretus uždavinys</w:t>
            </w:r>
          </w:p>
        </w:tc>
        <w:tc>
          <w:tcPr>
            <w:tcW w:w="38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FC47E6" w14:textId="77777777" w:rsidR="0087201A" w:rsidRPr="00B44B19" w:rsidRDefault="0087201A" w:rsidP="0087201A">
            <w:pPr>
              <w:jc w:val="center"/>
              <w:rPr>
                <w:b/>
                <w:iCs/>
                <w:noProof/>
                <w:sz w:val="20"/>
              </w:rPr>
            </w:pPr>
            <w:r w:rsidRPr="00B44B19">
              <w:rPr>
                <w:b/>
                <w:noProof/>
                <w:sz w:val="20"/>
              </w:rPr>
              <w:t>Kodas</w:t>
            </w:r>
          </w:p>
        </w:tc>
        <w:tc>
          <w:tcPr>
            <w:tcW w:w="16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5F3019" w14:textId="77777777" w:rsidR="0087201A" w:rsidRPr="00B44B19" w:rsidRDefault="0087201A" w:rsidP="0087201A">
            <w:pPr>
              <w:jc w:val="center"/>
              <w:rPr>
                <w:b/>
                <w:iCs/>
                <w:noProof/>
                <w:sz w:val="20"/>
              </w:rPr>
            </w:pPr>
            <w:r w:rsidRPr="00B44B19">
              <w:rPr>
                <w:b/>
                <w:noProof/>
                <w:sz w:val="20"/>
              </w:rPr>
              <w:t>Suma (EUR)</w:t>
            </w:r>
          </w:p>
        </w:tc>
      </w:tr>
      <w:tr w:rsidR="0087201A" w:rsidRPr="00B44B19" w14:paraId="1A01BF52" w14:textId="77777777" w:rsidTr="00220EE5">
        <w:tc>
          <w:tcPr>
            <w:tcW w:w="1101" w:type="dxa"/>
            <w:vMerge w:val="restart"/>
            <w:tcBorders>
              <w:top w:val="single" w:sz="12" w:space="0" w:color="auto"/>
            </w:tcBorders>
          </w:tcPr>
          <w:p w14:paraId="3A2A327F" w14:textId="77777777" w:rsidR="0087201A" w:rsidRPr="00B44B19" w:rsidRDefault="0087201A" w:rsidP="0087201A">
            <w:pPr>
              <w:jc w:val="center"/>
              <w:rPr>
                <w:iCs/>
                <w:noProof/>
                <w:sz w:val="20"/>
                <w:szCs w:val="20"/>
              </w:rPr>
            </w:pPr>
            <w:r w:rsidRPr="00B44B19">
              <w:rPr>
                <w:iCs/>
                <w:noProof/>
                <w:sz w:val="20"/>
                <w:szCs w:val="20"/>
              </w:rPr>
              <w:t>17</w:t>
            </w:r>
          </w:p>
        </w:tc>
        <w:tc>
          <w:tcPr>
            <w:tcW w:w="850" w:type="dxa"/>
            <w:vMerge w:val="restart"/>
            <w:tcBorders>
              <w:top w:val="single" w:sz="12" w:space="0" w:color="auto"/>
            </w:tcBorders>
          </w:tcPr>
          <w:p w14:paraId="7FDFF6C4" w14:textId="77777777" w:rsidR="0087201A" w:rsidRPr="00B44B19" w:rsidRDefault="0087201A" w:rsidP="0087201A">
            <w:pPr>
              <w:jc w:val="center"/>
              <w:rPr>
                <w:iCs/>
                <w:noProof/>
                <w:sz w:val="20"/>
                <w:szCs w:val="20"/>
              </w:rPr>
            </w:pPr>
            <w:r w:rsidRPr="00B44B19">
              <w:rPr>
                <w:iCs/>
                <w:noProof/>
                <w:sz w:val="20"/>
                <w:szCs w:val="20"/>
              </w:rPr>
              <w:t>ERPF</w:t>
            </w:r>
          </w:p>
        </w:tc>
        <w:tc>
          <w:tcPr>
            <w:tcW w:w="1134" w:type="dxa"/>
          </w:tcPr>
          <w:p w14:paraId="4E0ACC17" w14:textId="77777777" w:rsidR="0087201A" w:rsidRPr="00B44B19" w:rsidRDefault="0087201A" w:rsidP="0087201A">
            <w:pPr>
              <w:rPr>
                <w:iCs/>
                <w:noProof/>
                <w:sz w:val="20"/>
                <w:szCs w:val="20"/>
              </w:rPr>
            </w:pPr>
            <w:r w:rsidRPr="00B44B19">
              <w:rPr>
                <w:iCs/>
                <w:noProof/>
                <w:sz w:val="20"/>
                <w:szCs w:val="20"/>
              </w:rPr>
              <w:t>Sostinės regionas</w:t>
            </w:r>
          </w:p>
        </w:tc>
        <w:tc>
          <w:tcPr>
            <w:tcW w:w="1134" w:type="dxa"/>
            <w:vMerge w:val="restart"/>
            <w:tcBorders>
              <w:top w:val="single" w:sz="12" w:space="0" w:color="auto"/>
            </w:tcBorders>
          </w:tcPr>
          <w:p w14:paraId="0F44772F" w14:textId="77777777" w:rsidR="0087201A" w:rsidRPr="00B44B19" w:rsidRDefault="0087201A" w:rsidP="0087201A">
            <w:pPr>
              <w:jc w:val="center"/>
              <w:rPr>
                <w:iCs/>
                <w:noProof/>
                <w:sz w:val="20"/>
                <w:szCs w:val="20"/>
              </w:rPr>
            </w:pPr>
            <w:r w:rsidRPr="00B44B19">
              <w:rPr>
                <w:iCs/>
                <w:noProof/>
                <w:sz w:val="20"/>
                <w:szCs w:val="20"/>
              </w:rPr>
              <w:t>17.1</w:t>
            </w:r>
          </w:p>
        </w:tc>
        <w:tc>
          <w:tcPr>
            <w:tcW w:w="3846" w:type="dxa"/>
            <w:vMerge w:val="restart"/>
            <w:tcBorders>
              <w:top w:val="single" w:sz="12" w:space="0" w:color="auto"/>
            </w:tcBorders>
          </w:tcPr>
          <w:p w14:paraId="509CFDF8" w14:textId="77777777" w:rsidR="0087201A" w:rsidRPr="00B44B19" w:rsidRDefault="0087201A" w:rsidP="0087201A">
            <w:pPr>
              <w:rPr>
                <w:iCs/>
                <w:noProof/>
                <w:sz w:val="20"/>
                <w:szCs w:val="20"/>
              </w:rPr>
            </w:pPr>
            <w:r w:rsidRPr="00B44B19">
              <w:rPr>
                <w:iCs/>
                <w:noProof/>
                <w:sz w:val="20"/>
                <w:szCs w:val="20"/>
              </w:rPr>
              <w:t>03 – Neutralumas lyties požiūriu</w:t>
            </w:r>
          </w:p>
        </w:tc>
        <w:tc>
          <w:tcPr>
            <w:tcW w:w="1682" w:type="dxa"/>
          </w:tcPr>
          <w:p w14:paraId="31C80044" w14:textId="77777777" w:rsidR="0087201A" w:rsidRPr="00B44B19" w:rsidRDefault="0087201A" w:rsidP="0087201A">
            <w:pPr>
              <w:jc w:val="right"/>
              <w:rPr>
                <w:iCs/>
                <w:noProof/>
                <w:sz w:val="20"/>
                <w:szCs w:val="20"/>
              </w:rPr>
            </w:pPr>
            <w:r w:rsidRPr="00B44B19">
              <w:rPr>
                <w:iCs/>
                <w:noProof/>
                <w:sz w:val="20"/>
                <w:szCs w:val="20"/>
              </w:rPr>
              <w:t>18 500 000,00</w:t>
            </w:r>
          </w:p>
          <w:p w14:paraId="60BEFD21" w14:textId="77777777" w:rsidR="0087201A" w:rsidRPr="00B44B19" w:rsidRDefault="0087201A" w:rsidP="0087201A">
            <w:pPr>
              <w:jc w:val="right"/>
              <w:rPr>
                <w:iCs/>
                <w:noProof/>
                <w:sz w:val="20"/>
                <w:szCs w:val="20"/>
              </w:rPr>
            </w:pPr>
          </w:p>
        </w:tc>
      </w:tr>
      <w:tr w:rsidR="0087201A" w:rsidRPr="00B44B19" w14:paraId="5BBA69EC" w14:textId="77777777" w:rsidTr="00220EE5">
        <w:tc>
          <w:tcPr>
            <w:tcW w:w="1101" w:type="dxa"/>
            <w:vMerge/>
            <w:tcBorders>
              <w:bottom w:val="single" w:sz="4" w:space="0" w:color="auto"/>
            </w:tcBorders>
          </w:tcPr>
          <w:p w14:paraId="50156895" w14:textId="77777777" w:rsidR="0087201A" w:rsidRPr="00B44B19" w:rsidRDefault="0087201A" w:rsidP="0087201A">
            <w:pPr>
              <w:jc w:val="center"/>
              <w:rPr>
                <w:iCs/>
                <w:noProof/>
                <w:sz w:val="20"/>
                <w:szCs w:val="20"/>
              </w:rPr>
            </w:pPr>
          </w:p>
        </w:tc>
        <w:tc>
          <w:tcPr>
            <w:tcW w:w="850" w:type="dxa"/>
            <w:vMerge/>
            <w:tcBorders>
              <w:bottom w:val="single" w:sz="4" w:space="0" w:color="auto"/>
            </w:tcBorders>
          </w:tcPr>
          <w:p w14:paraId="6059F405" w14:textId="77777777" w:rsidR="0087201A" w:rsidRPr="00B44B19" w:rsidRDefault="0087201A" w:rsidP="0087201A">
            <w:pPr>
              <w:jc w:val="center"/>
              <w:rPr>
                <w:iCs/>
                <w:noProof/>
                <w:sz w:val="20"/>
                <w:szCs w:val="20"/>
              </w:rPr>
            </w:pPr>
          </w:p>
        </w:tc>
        <w:tc>
          <w:tcPr>
            <w:tcW w:w="1134" w:type="dxa"/>
          </w:tcPr>
          <w:p w14:paraId="75F34020" w14:textId="77777777" w:rsidR="0087201A" w:rsidRPr="00B44B19" w:rsidRDefault="0087201A" w:rsidP="0087201A">
            <w:pPr>
              <w:rPr>
                <w:iCs/>
                <w:noProof/>
                <w:sz w:val="20"/>
                <w:szCs w:val="20"/>
              </w:rPr>
            </w:pPr>
            <w:r w:rsidRPr="00B44B19">
              <w:rPr>
                <w:noProof/>
                <w:sz w:val="20"/>
                <w:szCs w:val="20"/>
              </w:rPr>
              <w:t>VVL regionas</w:t>
            </w:r>
          </w:p>
        </w:tc>
        <w:tc>
          <w:tcPr>
            <w:tcW w:w="1134" w:type="dxa"/>
            <w:vMerge/>
            <w:tcBorders>
              <w:bottom w:val="single" w:sz="4" w:space="0" w:color="auto"/>
            </w:tcBorders>
          </w:tcPr>
          <w:p w14:paraId="0FF00370" w14:textId="77777777" w:rsidR="0087201A" w:rsidRPr="00B44B19" w:rsidRDefault="0087201A" w:rsidP="0087201A">
            <w:pPr>
              <w:jc w:val="center"/>
              <w:rPr>
                <w:iCs/>
                <w:noProof/>
                <w:sz w:val="20"/>
                <w:szCs w:val="20"/>
              </w:rPr>
            </w:pPr>
          </w:p>
        </w:tc>
        <w:tc>
          <w:tcPr>
            <w:tcW w:w="3846" w:type="dxa"/>
            <w:vMerge/>
            <w:tcBorders>
              <w:bottom w:val="single" w:sz="4" w:space="0" w:color="auto"/>
            </w:tcBorders>
          </w:tcPr>
          <w:p w14:paraId="05C0A440" w14:textId="77777777" w:rsidR="0087201A" w:rsidRPr="00B44B19" w:rsidRDefault="0087201A" w:rsidP="0087201A">
            <w:pPr>
              <w:rPr>
                <w:iCs/>
                <w:noProof/>
                <w:sz w:val="20"/>
                <w:szCs w:val="20"/>
              </w:rPr>
            </w:pPr>
          </w:p>
        </w:tc>
        <w:tc>
          <w:tcPr>
            <w:tcW w:w="1682" w:type="dxa"/>
          </w:tcPr>
          <w:p w14:paraId="4A69E671" w14:textId="77777777" w:rsidR="0087201A" w:rsidRPr="00B44B19" w:rsidRDefault="0087201A" w:rsidP="0087201A">
            <w:pPr>
              <w:jc w:val="right"/>
              <w:rPr>
                <w:iCs/>
                <w:noProof/>
                <w:sz w:val="20"/>
                <w:szCs w:val="20"/>
              </w:rPr>
            </w:pPr>
            <w:r w:rsidRPr="00B44B19">
              <w:rPr>
                <w:iCs/>
                <w:noProof/>
                <w:sz w:val="20"/>
                <w:szCs w:val="20"/>
              </w:rPr>
              <w:t>34 500 000,00</w:t>
            </w:r>
          </w:p>
        </w:tc>
      </w:tr>
    </w:tbl>
    <w:p w14:paraId="067F58A4" w14:textId="65D6C049" w:rsidR="0087201A" w:rsidRPr="00B44B19" w:rsidRDefault="0087201A">
      <w:pPr>
        <w:rPr>
          <w:rFonts w:cs="Times New Roman"/>
          <w:sz w:val="28"/>
          <w:szCs w:val="28"/>
        </w:rPr>
      </w:pPr>
      <w:r w:rsidRPr="00B44B19">
        <w:rPr>
          <w:rFonts w:cs="Times New Roman"/>
          <w:sz w:val="28"/>
          <w:szCs w:val="28"/>
        </w:rPr>
        <w:br w:type="page"/>
      </w:r>
    </w:p>
    <w:p w14:paraId="7A9B8B8E" w14:textId="77777777" w:rsidR="0087201A" w:rsidRPr="00B44B19" w:rsidRDefault="0087201A" w:rsidP="0087201A">
      <w:pPr>
        <w:rPr>
          <w:rFonts w:cs="Times New Roman"/>
          <w:sz w:val="28"/>
          <w:szCs w:val="28"/>
        </w:rPr>
        <w:sectPr w:rsidR="0087201A" w:rsidRPr="00B44B19" w:rsidSect="00931C78">
          <w:pgSz w:w="11906" w:h="16838"/>
          <w:pgMar w:top="1276" w:right="567" w:bottom="1134" w:left="1701" w:header="567" w:footer="567" w:gutter="0"/>
          <w:cols w:space="1296"/>
          <w:docGrid w:linePitch="360"/>
        </w:sectPr>
      </w:pPr>
    </w:p>
    <w:p w14:paraId="7546CCC1" w14:textId="77777777" w:rsidR="008F2AC6" w:rsidRPr="00B44B19" w:rsidRDefault="001C6FEB" w:rsidP="00D456C1">
      <w:pPr>
        <w:pStyle w:val="Antrat1"/>
        <w:numPr>
          <w:ilvl w:val="0"/>
          <w:numId w:val="8"/>
        </w:numPr>
        <w:rPr>
          <w:rFonts w:eastAsia="Calibri"/>
          <w:noProof/>
          <w:szCs w:val="20"/>
          <w:lang w:eastAsia="lt-LT" w:bidi="lt-LT"/>
        </w:rPr>
      </w:pPr>
      <w:bookmarkStart w:id="99" w:name="_Toc223435463"/>
      <w:r w:rsidRPr="00B44B19">
        <w:rPr>
          <w:rFonts w:eastAsia="Calibri"/>
        </w:rPr>
        <w:lastRenderedPageBreak/>
        <w:t>FINANSAVIMO PLANAS</w:t>
      </w:r>
      <w:bookmarkEnd w:id="99"/>
    </w:p>
    <w:p w14:paraId="3829F150" w14:textId="77777777" w:rsidR="001C6FEB" w:rsidRPr="00B44B19" w:rsidRDefault="008F2AC6" w:rsidP="00D456C1">
      <w:pPr>
        <w:pStyle w:val="Antrat2"/>
        <w:numPr>
          <w:ilvl w:val="1"/>
          <w:numId w:val="8"/>
        </w:numPr>
        <w:rPr>
          <w:rFonts w:eastAsia="Calibri"/>
        </w:rPr>
      </w:pPr>
      <w:bookmarkStart w:id="100" w:name="_Toc223435464"/>
      <w:r w:rsidRPr="00B44B19">
        <w:rPr>
          <w:rFonts w:eastAsia="Calibri"/>
        </w:rPr>
        <w:t>Perkėlimai ir įnašai</w:t>
      </w:r>
      <w:bookmarkEnd w:id="100"/>
    </w:p>
    <w:p w14:paraId="614096CC" w14:textId="77777777" w:rsidR="00E42768" w:rsidRPr="00B44B19" w:rsidRDefault="00E42768" w:rsidP="003E01B7">
      <w:pPr>
        <w:spacing w:after="0"/>
        <w:rPr>
          <w:rFonts w:cs="Times New Roman"/>
          <w:b/>
          <w:sz w:val="22"/>
        </w:rPr>
      </w:pPr>
    </w:p>
    <w:p w14:paraId="3C1B64CD" w14:textId="3163EB24" w:rsidR="008F2A82" w:rsidRPr="00B44B19" w:rsidRDefault="00E42768" w:rsidP="003E01B7">
      <w:pPr>
        <w:spacing w:after="0"/>
        <w:rPr>
          <w:rFonts w:cs="Times New Roman"/>
          <w:b/>
          <w:sz w:val="22"/>
        </w:rPr>
      </w:pPr>
      <w:r w:rsidRPr="00B44B19">
        <w:rPr>
          <w:rFonts w:cs="Times New Roman"/>
          <w:b/>
          <w:sz w:val="22"/>
        </w:rPr>
        <w:t>1. lentelė. Perkėlimai į tiesioginio ar netiesioginio valdymo priemones (suskirstymas pagal metus)</w:t>
      </w:r>
    </w:p>
    <w:tbl>
      <w:tblPr>
        <w:tblStyle w:val="Lentelstinklelis14"/>
        <w:tblW w:w="5000" w:type="pct"/>
        <w:tblLayout w:type="fixed"/>
        <w:tblLook w:val="04A0" w:firstRow="1" w:lastRow="0" w:firstColumn="1" w:lastColumn="0" w:noHBand="0" w:noVBand="1"/>
      </w:tblPr>
      <w:tblGrid>
        <w:gridCol w:w="1113"/>
        <w:gridCol w:w="1145"/>
        <w:gridCol w:w="1859"/>
        <w:gridCol w:w="1449"/>
        <w:gridCol w:w="1449"/>
        <w:gridCol w:w="1450"/>
        <w:gridCol w:w="1449"/>
        <w:gridCol w:w="1450"/>
        <w:gridCol w:w="1449"/>
        <w:gridCol w:w="1585"/>
      </w:tblGrid>
      <w:tr w:rsidR="00E42768" w:rsidRPr="00B44B19" w14:paraId="701C7849" w14:textId="77777777" w:rsidTr="00980660">
        <w:trPr>
          <w:trHeight w:val="199"/>
          <w:tblHeader/>
        </w:trPr>
        <w:tc>
          <w:tcPr>
            <w:tcW w:w="2263" w:type="dxa"/>
            <w:gridSpan w:val="2"/>
            <w:tcBorders>
              <w:top w:val="single" w:sz="12" w:space="0" w:color="auto"/>
              <w:left w:val="single" w:sz="12" w:space="0" w:color="auto"/>
              <w:right w:val="single" w:sz="12" w:space="0" w:color="auto"/>
            </w:tcBorders>
            <w:shd w:val="clear" w:color="auto" w:fill="B8CCE4" w:themeFill="accent1" w:themeFillTint="66"/>
            <w:vAlign w:val="center"/>
          </w:tcPr>
          <w:p w14:paraId="0991484D"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Perkėlimai iš</w:t>
            </w:r>
          </w:p>
        </w:tc>
        <w:tc>
          <w:tcPr>
            <w:tcW w:w="1865" w:type="dxa"/>
            <w:tcBorders>
              <w:top w:val="single" w:sz="12" w:space="0" w:color="auto"/>
              <w:left w:val="single" w:sz="12" w:space="0" w:color="auto"/>
              <w:right w:val="single" w:sz="4" w:space="0" w:color="auto"/>
            </w:tcBorders>
            <w:shd w:val="clear" w:color="auto" w:fill="B8CCE4" w:themeFill="accent1" w:themeFillTint="66"/>
            <w:vAlign w:val="center"/>
          </w:tcPr>
          <w:p w14:paraId="258F5C75"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Perkėlimai į</w:t>
            </w:r>
          </w:p>
        </w:tc>
        <w:tc>
          <w:tcPr>
            <w:tcW w:w="10316" w:type="dxa"/>
            <w:gridSpan w:val="7"/>
            <w:tcBorders>
              <w:top w:val="single" w:sz="12" w:space="0" w:color="auto"/>
              <w:left w:val="single" w:sz="12" w:space="0" w:color="auto"/>
              <w:right w:val="single" w:sz="12" w:space="0" w:color="auto"/>
            </w:tcBorders>
            <w:shd w:val="clear" w:color="auto" w:fill="B8CCE4" w:themeFill="accent1" w:themeFillTint="66"/>
            <w:vAlign w:val="center"/>
          </w:tcPr>
          <w:p w14:paraId="07DACDF9"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Suskirstymas pagal metus</w:t>
            </w:r>
          </w:p>
        </w:tc>
      </w:tr>
      <w:tr w:rsidR="009629DB" w:rsidRPr="00B44B19" w14:paraId="1C360413" w14:textId="77777777" w:rsidTr="00980660">
        <w:trPr>
          <w:trHeight w:val="350"/>
          <w:tblHeader/>
        </w:trPr>
        <w:tc>
          <w:tcPr>
            <w:tcW w:w="111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F3F7684"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Fondas</w:t>
            </w:r>
          </w:p>
        </w:tc>
        <w:tc>
          <w:tcPr>
            <w:tcW w:w="114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0B2724F"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Regiono kategorija</w:t>
            </w:r>
          </w:p>
        </w:tc>
        <w:tc>
          <w:tcPr>
            <w:tcW w:w="186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8D7F7B3"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Priemonė</w:t>
            </w:r>
          </w:p>
        </w:tc>
        <w:tc>
          <w:tcPr>
            <w:tcW w:w="14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0464DF2"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2022 m.</w:t>
            </w:r>
          </w:p>
        </w:tc>
        <w:tc>
          <w:tcPr>
            <w:tcW w:w="14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428EE12"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2023 m.</w:t>
            </w:r>
          </w:p>
        </w:tc>
        <w:tc>
          <w:tcPr>
            <w:tcW w:w="145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141E203"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2024 m.</w:t>
            </w:r>
          </w:p>
        </w:tc>
        <w:tc>
          <w:tcPr>
            <w:tcW w:w="14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7885B2A"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2025 m.</w:t>
            </w:r>
          </w:p>
        </w:tc>
        <w:tc>
          <w:tcPr>
            <w:tcW w:w="145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51E3E6F"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2026 m.</w:t>
            </w:r>
          </w:p>
        </w:tc>
        <w:tc>
          <w:tcPr>
            <w:tcW w:w="145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44E22E9"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2027 m.</w:t>
            </w:r>
          </w:p>
        </w:tc>
        <w:tc>
          <w:tcPr>
            <w:tcW w:w="1590"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49DFE6A" w14:textId="77777777" w:rsidR="00E42768" w:rsidRPr="00B44B19" w:rsidRDefault="00E42768" w:rsidP="00E4276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Iš viso</w:t>
            </w:r>
          </w:p>
        </w:tc>
      </w:tr>
      <w:tr w:rsidR="009629DB" w:rsidRPr="00B44B19" w14:paraId="59B4C054" w14:textId="77777777" w:rsidTr="00980660">
        <w:trPr>
          <w:trHeight w:val="458"/>
        </w:trPr>
        <w:tc>
          <w:tcPr>
            <w:tcW w:w="1115" w:type="dxa"/>
            <w:vMerge w:val="restart"/>
            <w:tcBorders>
              <w:top w:val="single" w:sz="12" w:space="0" w:color="auto"/>
            </w:tcBorders>
            <w:vAlign w:val="center"/>
          </w:tcPr>
          <w:p w14:paraId="5F46FF07" w14:textId="77777777" w:rsidR="00E42768" w:rsidRPr="00B44B19" w:rsidRDefault="00E42768" w:rsidP="00E42768">
            <w:pPr>
              <w:spacing w:before="60" w:after="60" w:line="240" w:lineRule="auto"/>
              <w:jc w:val="center"/>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ERPF</w:t>
            </w:r>
          </w:p>
        </w:tc>
        <w:tc>
          <w:tcPr>
            <w:tcW w:w="1148" w:type="dxa"/>
            <w:tcBorders>
              <w:top w:val="single" w:sz="12" w:space="0" w:color="auto"/>
              <w:bottom w:val="single" w:sz="4" w:space="0" w:color="auto"/>
            </w:tcBorders>
            <w:vAlign w:val="center"/>
          </w:tcPr>
          <w:p w14:paraId="41B29D3D" w14:textId="77777777" w:rsidR="00E42768" w:rsidRPr="00B44B19" w:rsidRDefault="00E42768" w:rsidP="00E42768">
            <w:pPr>
              <w:spacing w:before="60" w:after="60" w:line="240" w:lineRule="auto"/>
              <w:jc w:val="center"/>
              <w:rPr>
                <w:rFonts w:ascii="Times New Roman" w:hAnsi="Times New Roman" w:cs="Times New Roman"/>
                <w:spacing w:val="-6"/>
                <w:sz w:val="20"/>
                <w:szCs w:val="20"/>
                <w:lang w:val="lt-LT"/>
              </w:rPr>
            </w:pPr>
            <w:r w:rsidRPr="00B44B19">
              <w:rPr>
                <w:rFonts w:ascii="Times New Roman" w:hAnsi="Times New Roman" w:cs="Times New Roman"/>
                <w:spacing w:val="-6"/>
                <w:sz w:val="20"/>
                <w:szCs w:val="20"/>
                <w:lang w:val="lt-LT"/>
              </w:rPr>
              <w:t>Sostinės regionas</w:t>
            </w:r>
          </w:p>
        </w:tc>
        <w:tc>
          <w:tcPr>
            <w:tcW w:w="1865" w:type="dxa"/>
            <w:tcBorders>
              <w:top w:val="single" w:sz="12" w:space="0" w:color="auto"/>
              <w:bottom w:val="single" w:sz="4" w:space="0" w:color="auto"/>
            </w:tcBorders>
            <w:vAlign w:val="center"/>
          </w:tcPr>
          <w:p w14:paraId="7C470400" w14:textId="4DE53ED0" w:rsidR="00E42768" w:rsidRPr="00B44B19" w:rsidRDefault="00E42768" w:rsidP="00E42768">
            <w:pPr>
              <w:spacing w:before="60" w:after="60" w:line="240" w:lineRule="auto"/>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Programa „Europos horizontas</w:t>
            </w:r>
            <w:r w:rsidR="00F006F3" w:rsidRPr="00B44B19">
              <w:rPr>
                <w:rFonts w:ascii="Times New Roman" w:hAnsi="Times New Roman" w:cs="Times New Roman"/>
                <w:sz w:val="20"/>
                <w:szCs w:val="20"/>
                <w:lang w:val="lt-LT"/>
              </w:rPr>
              <w:t>”</w:t>
            </w:r>
          </w:p>
        </w:tc>
        <w:tc>
          <w:tcPr>
            <w:tcW w:w="1454" w:type="dxa"/>
            <w:tcBorders>
              <w:top w:val="single" w:sz="12" w:space="0" w:color="auto"/>
              <w:bottom w:val="single" w:sz="4" w:space="0" w:color="auto"/>
            </w:tcBorders>
            <w:vAlign w:val="center"/>
          </w:tcPr>
          <w:p w14:paraId="4B7161D8"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w:t>
            </w:r>
          </w:p>
        </w:tc>
        <w:tc>
          <w:tcPr>
            <w:tcW w:w="1454" w:type="dxa"/>
            <w:tcBorders>
              <w:top w:val="single" w:sz="12" w:space="0" w:color="auto"/>
              <w:bottom w:val="single" w:sz="4" w:space="0" w:color="auto"/>
            </w:tcBorders>
            <w:vAlign w:val="center"/>
          </w:tcPr>
          <w:p w14:paraId="57C38065"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w:t>
            </w:r>
          </w:p>
        </w:tc>
        <w:tc>
          <w:tcPr>
            <w:tcW w:w="1455" w:type="dxa"/>
            <w:tcBorders>
              <w:top w:val="single" w:sz="12" w:space="0" w:color="auto"/>
              <w:bottom w:val="single" w:sz="4" w:space="0" w:color="auto"/>
            </w:tcBorders>
            <w:vAlign w:val="center"/>
          </w:tcPr>
          <w:p w14:paraId="0221963C" w14:textId="77777777" w:rsidR="00E42768" w:rsidRPr="00B44B19" w:rsidRDefault="00E42768" w:rsidP="00E42768">
            <w:pPr>
              <w:spacing w:after="0"/>
              <w:jc w:val="center"/>
              <w:rPr>
                <w:rFonts w:ascii="Times New Roman" w:hAnsi="Times New Roman" w:cs="Times New Roman"/>
                <w:sz w:val="20"/>
                <w:szCs w:val="20"/>
                <w:lang w:val="lt-LT"/>
              </w:rPr>
            </w:pPr>
            <w:r w:rsidRPr="00B44B19">
              <w:rPr>
                <w:rFonts w:ascii="Times New Roman" w:eastAsia="Times New Roman" w:hAnsi="Times New Roman" w:cs="Times New Roman"/>
                <w:sz w:val="20"/>
                <w:szCs w:val="20"/>
                <w:lang w:val="lt-LT"/>
              </w:rPr>
              <w:t>2 781 250,00</w:t>
            </w:r>
          </w:p>
        </w:tc>
        <w:tc>
          <w:tcPr>
            <w:tcW w:w="1454" w:type="dxa"/>
            <w:tcBorders>
              <w:top w:val="single" w:sz="12" w:space="0" w:color="auto"/>
              <w:bottom w:val="single" w:sz="4" w:space="0" w:color="auto"/>
            </w:tcBorders>
            <w:vAlign w:val="center"/>
          </w:tcPr>
          <w:p w14:paraId="5D8D32B8" w14:textId="77777777" w:rsidR="00E42768" w:rsidRPr="00B44B19" w:rsidRDefault="00E42768" w:rsidP="00E42768">
            <w:pPr>
              <w:spacing w:after="0"/>
              <w:jc w:val="center"/>
              <w:rPr>
                <w:rFonts w:ascii="Times New Roman" w:hAnsi="Times New Roman" w:cs="Times New Roman"/>
                <w:sz w:val="20"/>
                <w:szCs w:val="20"/>
                <w:lang w:val="lt-LT"/>
              </w:rPr>
            </w:pPr>
            <w:r w:rsidRPr="00B44B19">
              <w:rPr>
                <w:rFonts w:ascii="Times New Roman" w:eastAsia="Times New Roman" w:hAnsi="Times New Roman" w:cs="Times New Roman"/>
                <w:sz w:val="20"/>
                <w:szCs w:val="20"/>
                <w:lang w:val="lt-LT"/>
              </w:rPr>
              <w:t>4 333 750,00</w:t>
            </w:r>
          </w:p>
        </w:tc>
        <w:tc>
          <w:tcPr>
            <w:tcW w:w="1455" w:type="dxa"/>
            <w:tcBorders>
              <w:top w:val="single" w:sz="12" w:space="0" w:color="auto"/>
              <w:bottom w:val="single" w:sz="4" w:space="0" w:color="auto"/>
            </w:tcBorders>
            <w:vAlign w:val="center"/>
          </w:tcPr>
          <w:p w14:paraId="0CDF9C29" w14:textId="5003E21A" w:rsidR="00E42768" w:rsidRPr="00B44B19" w:rsidRDefault="00960459" w:rsidP="00960459">
            <w:pPr>
              <w:jc w:val="center"/>
              <w:rPr>
                <w:rFonts w:ascii="Times New Roman" w:hAnsi="Times New Roman" w:cs="Times New Roman"/>
                <w:sz w:val="20"/>
                <w:szCs w:val="20"/>
                <w:lang w:val="lt-LT"/>
              </w:rPr>
            </w:pPr>
            <w:r w:rsidRPr="00B44B19">
              <w:rPr>
                <w:rFonts w:ascii="Times New Roman" w:hAnsi="Times New Roman" w:cs="Times New Roman"/>
                <w:sz w:val="20"/>
                <w:szCs w:val="20"/>
              </w:rPr>
              <w:t>3 500 000,00</w:t>
            </w:r>
          </w:p>
        </w:tc>
        <w:tc>
          <w:tcPr>
            <w:tcW w:w="1454" w:type="dxa"/>
            <w:tcBorders>
              <w:top w:val="single" w:sz="12" w:space="0" w:color="auto"/>
              <w:bottom w:val="single" w:sz="4" w:space="0" w:color="auto"/>
            </w:tcBorders>
            <w:vAlign w:val="center"/>
          </w:tcPr>
          <w:p w14:paraId="797676CE" w14:textId="3AD7AEF7" w:rsidR="00E42768" w:rsidRPr="00B44B19" w:rsidRDefault="00960459"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rPr>
              <w:t>1 500 000,00</w:t>
            </w:r>
          </w:p>
        </w:tc>
        <w:tc>
          <w:tcPr>
            <w:tcW w:w="1590" w:type="dxa"/>
            <w:tcBorders>
              <w:top w:val="single" w:sz="12" w:space="0" w:color="auto"/>
              <w:bottom w:val="single" w:sz="4" w:space="0" w:color="auto"/>
            </w:tcBorders>
            <w:vAlign w:val="center"/>
          </w:tcPr>
          <w:p w14:paraId="50B8B997" w14:textId="0AB48191" w:rsidR="00E42768" w:rsidRPr="00B44B19" w:rsidRDefault="00960459" w:rsidP="00E42768">
            <w:pPr>
              <w:jc w:val="center"/>
              <w:rPr>
                <w:rFonts w:ascii="Times New Roman" w:hAnsi="Times New Roman" w:cs="Times New Roman"/>
                <w:sz w:val="20"/>
                <w:szCs w:val="20"/>
                <w:lang w:val="lt-LT"/>
              </w:rPr>
            </w:pPr>
            <w:r w:rsidRPr="00B44B19">
              <w:rPr>
                <w:rFonts w:ascii="Times New Roman" w:eastAsia="Times New Roman" w:hAnsi="Times New Roman" w:cs="Times New Roman"/>
                <w:color w:val="000000"/>
                <w:sz w:val="20"/>
                <w:szCs w:val="20"/>
                <w:lang w:val="lt-LT"/>
              </w:rPr>
              <w:t>12</w:t>
            </w:r>
            <w:r w:rsidR="00E42768" w:rsidRPr="00B44B19">
              <w:rPr>
                <w:rFonts w:ascii="Times New Roman" w:eastAsia="Times New Roman" w:hAnsi="Times New Roman" w:cs="Times New Roman"/>
                <w:color w:val="000000"/>
                <w:sz w:val="20"/>
                <w:szCs w:val="20"/>
                <w:lang w:val="lt-LT"/>
              </w:rPr>
              <w:t xml:space="preserve"> 115 000,00</w:t>
            </w:r>
          </w:p>
        </w:tc>
      </w:tr>
      <w:tr w:rsidR="009629DB" w:rsidRPr="00B44B19" w14:paraId="2689FFDE" w14:textId="77777777" w:rsidTr="00980660">
        <w:trPr>
          <w:trHeight w:val="288"/>
        </w:trPr>
        <w:tc>
          <w:tcPr>
            <w:tcW w:w="1115" w:type="dxa"/>
            <w:vMerge/>
            <w:vAlign w:val="center"/>
          </w:tcPr>
          <w:p w14:paraId="064334A1" w14:textId="77777777" w:rsidR="00E42768" w:rsidRPr="00B44B19" w:rsidRDefault="00E42768" w:rsidP="00E42768">
            <w:pPr>
              <w:spacing w:before="60" w:after="60" w:line="240" w:lineRule="auto"/>
              <w:jc w:val="center"/>
              <w:rPr>
                <w:rFonts w:ascii="Times New Roman" w:hAnsi="Times New Roman" w:cs="Times New Roman"/>
                <w:spacing w:val="-6"/>
                <w:sz w:val="20"/>
                <w:szCs w:val="20"/>
                <w:lang w:val="lt-LT"/>
              </w:rPr>
            </w:pPr>
          </w:p>
        </w:tc>
        <w:tc>
          <w:tcPr>
            <w:tcW w:w="1148" w:type="dxa"/>
            <w:tcBorders>
              <w:top w:val="single" w:sz="4" w:space="0" w:color="auto"/>
            </w:tcBorders>
            <w:vAlign w:val="center"/>
          </w:tcPr>
          <w:p w14:paraId="5B46BD5C" w14:textId="77777777" w:rsidR="00E42768" w:rsidRPr="00B44B19" w:rsidRDefault="00E42768" w:rsidP="00E42768">
            <w:pPr>
              <w:spacing w:before="60" w:after="60" w:line="240" w:lineRule="auto"/>
              <w:jc w:val="center"/>
              <w:rPr>
                <w:rFonts w:ascii="Times New Roman" w:hAnsi="Times New Roman" w:cs="Times New Roman"/>
                <w:spacing w:val="-6"/>
                <w:sz w:val="20"/>
                <w:szCs w:val="20"/>
                <w:lang w:val="lt-LT"/>
              </w:rPr>
            </w:pPr>
            <w:r w:rsidRPr="00B44B19">
              <w:rPr>
                <w:rFonts w:ascii="Times New Roman" w:hAnsi="Times New Roman" w:cs="Times New Roman"/>
                <w:spacing w:val="-6"/>
                <w:sz w:val="20"/>
                <w:szCs w:val="20"/>
                <w:lang w:val="lt-LT"/>
              </w:rPr>
              <w:t>VVL regionas</w:t>
            </w:r>
          </w:p>
        </w:tc>
        <w:tc>
          <w:tcPr>
            <w:tcW w:w="1865" w:type="dxa"/>
            <w:tcBorders>
              <w:top w:val="single" w:sz="4" w:space="0" w:color="auto"/>
            </w:tcBorders>
            <w:vAlign w:val="center"/>
          </w:tcPr>
          <w:p w14:paraId="43DB4717" w14:textId="77777777" w:rsidR="00E42768" w:rsidRPr="00B44B19" w:rsidRDefault="00E42768" w:rsidP="00E42768">
            <w:pPr>
              <w:spacing w:before="60" w:after="60" w:line="240" w:lineRule="auto"/>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Programa „Europos horizontas</w:t>
            </w:r>
          </w:p>
        </w:tc>
        <w:tc>
          <w:tcPr>
            <w:tcW w:w="1454" w:type="dxa"/>
            <w:tcBorders>
              <w:top w:val="single" w:sz="4" w:space="0" w:color="auto"/>
            </w:tcBorders>
            <w:vAlign w:val="center"/>
          </w:tcPr>
          <w:p w14:paraId="4E4320EF"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w:t>
            </w:r>
          </w:p>
        </w:tc>
        <w:tc>
          <w:tcPr>
            <w:tcW w:w="1454" w:type="dxa"/>
            <w:tcBorders>
              <w:top w:val="single" w:sz="4" w:space="0" w:color="auto"/>
            </w:tcBorders>
            <w:vAlign w:val="center"/>
          </w:tcPr>
          <w:p w14:paraId="00535A07"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w:t>
            </w:r>
          </w:p>
        </w:tc>
        <w:tc>
          <w:tcPr>
            <w:tcW w:w="1455" w:type="dxa"/>
            <w:tcBorders>
              <w:top w:val="single" w:sz="4" w:space="0" w:color="auto"/>
            </w:tcBorders>
            <w:vAlign w:val="center"/>
          </w:tcPr>
          <w:p w14:paraId="18B172EC" w14:textId="77777777" w:rsidR="00E42768" w:rsidRPr="00B44B19" w:rsidRDefault="00E42768" w:rsidP="00E42768">
            <w:pPr>
              <w:spacing w:after="0"/>
              <w:jc w:val="center"/>
              <w:rPr>
                <w:rFonts w:ascii="Times New Roman" w:hAnsi="Times New Roman" w:cs="Times New Roman"/>
                <w:sz w:val="20"/>
                <w:szCs w:val="20"/>
                <w:lang w:val="lt-LT"/>
              </w:rPr>
            </w:pPr>
            <w:r w:rsidRPr="00B44B19">
              <w:rPr>
                <w:rFonts w:ascii="Times New Roman" w:eastAsia="Times New Roman" w:hAnsi="Times New Roman" w:cs="Times New Roman"/>
                <w:sz w:val="20"/>
                <w:szCs w:val="20"/>
                <w:lang w:val="lt-LT"/>
              </w:rPr>
              <w:t>7 762 500,00</w:t>
            </w:r>
          </w:p>
        </w:tc>
        <w:tc>
          <w:tcPr>
            <w:tcW w:w="1454" w:type="dxa"/>
            <w:tcBorders>
              <w:top w:val="single" w:sz="4" w:space="0" w:color="auto"/>
            </w:tcBorders>
            <w:vAlign w:val="center"/>
          </w:tcPr>
          <w:p w14:paraId="6A9279EF" w14:textId="77777777" w:rsidR="00E42768" w:rsidRPr="00B44B19" w:rsidRDefault="00E42768" w:rsidP="00E42768">
            <w:pPr>
              <w:spacing w:after="0"/>
              <w:jc w:val="center"/>
              <w:rPr>
                <w:rFonts w:ascii="Times New Roman" w:hAnsi="Times New Roman" w:cs="Times New Roman"/>
                <w:sz w:val="20"/>
                <w:szCs w:val="20"/>
                <w:lang w:val="lt-LT"/>
              </w:rPr>
            </w:pPr>
            <w:r w:rsidRPr="00B44B19">
              <w:rPr>
                <w:rFonts w:ascii="Times New Roman" w:eastAsia="Times New Roman" w:hAnsi="Times New Roman" w:cs="Times New Roman"/>
                <w:sz w:val="20"/>
                <w:szCs w:val="20"/>
                <w:lang w:val="lt-LT"/>
              </w:rPr>
              <w:t>3 622 500,00</w:t>
            </w:r>
          </w:p>
        </w:tc>
        <w:tc>
          <w:tcPr>
            <w:tcW w:w="1455" w:type="dxa"/>
            <w:tcBorders>
              <w:top w:val="single" w:sz="4" w:space="0" w:color="auto"/>
            </w:tcBorders>
            <w:vAlign w:val="center"/>
          </w:tcPr>
          <w:p w14:paraId="105CC8DC"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w:t>
            </w:r>
          </w:p>
        </w:tc>
        <w:tc>
          <w:tcPr>
            <w:tcW w:w="1454" w:type="dxa"/>
            <w:tcBorders>
              <w:top w:val="single" w:sz="4" w:space="0" w:color="auto"/>
            </w:tcBorders>
            <w:vAlign w:val="center"/>
          </w:tcPr>
          <w:p w14:paraId="52924F5A"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w:t>
            </w:r>
          </w:p>
        </w:tc>
        <w:tc>
          <w:tcPr>
            <w:tcW w:w="1590" w:type="dxa"/>
            <w:tcBorders>
              <w:top w:val="single" w:sz="4" w:space="0" w:color="auto"/>
            </w:tcBorders>
            <w:vAlign w:val="center"/>
          </w:tcPr>
          <w:p w14:paraId="51FB08B6" w14:textId="77777777" w:rsidR="00E42768" w:rsidRPr="00B44B19" w:rsidRDefault="00E42768" w:rsidP="00E42768">
            <w:pPr>
              <w:jc w:val="center"/>
              <w:rPr>
                <w:rFonts w:ascii="Times New Roman" w:hAnsi="Times New Roman" w:cs="Times New Roman"/>
                <w:sz w:val="20"/>
                <w:szCs w:val="20"/>
                <w:lang w:val="lt-LT"/>
              </w:rPr>
            </w:pPr>
            <w:r w:rsidRPr="00B44B19">
              <w:rPr>
                <w:rFonts w:ascii="Times New Roman" w:eastAsia="Times New Roman" w:hAnsi="Times New Roman" w:cs="Times New Roman"/>
                <w:color w:val="000000"/>
                <w:sz w:val="20"/>
                <w:szCs w:val="20"/>
                <w:lang w:val="lt-LT"/>
              </w:rPr>
              <w:t>11 385 000,00</w:t>
            </w:r>
          </w:p>
        </w:tc>
      </w:tr>
    </w:tbl>
    <w:p w14:paraId="2B2CEFC0" w14:textId="77777777" w:rsidR="00E42768" w:rsidRPr="00B44B19" w:rsidRDefault="00E42768" w:rsidP="003E01B7">
      <w:pPr>
        <w:spacing w:after="0"/>
        <w:rPr>
          <w:rFonts w:cs="Times New Roman"/>
          <w:b/>
          <w:sz w:val="22"/>
        </w:rPr>
      </w:pPr>
    </w:p>
    <w:p w14:paraId="36FADBC8" w14:textId="342BEA7A" w:rsidR="00E42768" w:rsidRPr="00B44B19" w:rsidRDefault="00E42768" w:rsidP="003E01B7">
      <w:pPr>
        <w:spacing w:after="0"/>
        <w:rPr>
          <w:rFonts w:cs="Times New Roman"/>
          <w:b/>
          <w:sz w:val="22"/>
        </w:rPr>
      </w:pPr>
      <w:r w:rsidRPr="00B44B19">
        <w:rPr>
          <w:rFonts w:cs="Times New Roman"/>
          <w:b/>
          <w:sz w:val="22"/>
        </w:rPr>
        <w:t>2. lentelė. Perkėlimai į tiesioginio ar netiesioginio valdymo priemones (</w:t>
      </w:r>
      <w:r w:rsidR="00147C40" w:rsidRPr="00B44B19">
        <w:rPr>
          <w:rFonts w:cs="Times New Roman"/>
          <w:b/>
          <w:sz w:val="22"/>
        </w:rPr>
        <w:t>suvestinė</w:t>
      </w:r>
      <w:r w:rsidRPr="00B44B19">
        <w:rPr>
          <w:rFonts w:cs="Times New Roman"/>
          <w:b/>
          <w:sz w:val="22"/>
        </w:rPr>
        <w:t>)</w:t>
      </w:r>
    </w:p>
    <w:tbl>
      <w:tblPr>
        <w:tblStyle w:val="Lentelstinklelis15"/>
        <w:tblW w:w="2823" w:type="pct"/>
        <w:tblLook w:val="04A0" w:firstRow="1" w:lastRow="0" w:firstColumn="1" w:lastColumn="0" w:noHBand="0" w:noVBand="1"/>
      </w:tblPr>
      <w:tblGrid>
        <w:gridCol w:w="2422"/>
        <w:gridCol w:w="2854"/>
        <w:gridCol w:w="2853"/>
      </w:tblGrid>
      <w:tr w:rsidR="00E42768" w:rsidRPr="00B44B19" w14:paraId="215C7C76" w14:textId="77777777" w:rsidTr="009629DB">
        <w:trPr>
          <w:trHeight w:val="270"/>
        </w:trPr>
        <w:tc>
          <w:tcPr>
            <w:tcW w:w="1489" w:type="pct"/>
            <w:tcBorders>
              <w:top w:val="single" w:sz="12" w:space="0" w:color="auto"/>
              <w:left w:val="single" w:sz="12" w:space="0" w:color="auto"/>
              <w:right w:val="single" w:sz="12" w:space="0" w:color="auto"/>
              <w:tl2br w:val="nil"/>
            </w:tcBorders>
            <w:shd w:val="clear" w:color="auto" w:fill="B8CCE4" w:themeFill="accent1" w:themeFillTint="66"/>
            <w:vAlign w:val="center"/>
          </w:tcPr>
          <w:p w14:paraId="6AAF6956" w14:textId="77777777" w:rsidR="00E42768" w:rsidRPr="00B44B19" w:rsidRDefault="00E42768" w:rsidP="009629DB">
            <w:pPr>
              <w:spacing w:after="0" w:line="240" w:lineRule="auto"/>
              <w:jc w:val="center"/>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Fondas</w:t>
            </w:r>
          </w:p>
        </w:tc>
        <w:tc>
          <w:tcPr>
            <w:tcW w:w="1755"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6690705" w14:textId="77777777" w:rsidR="00E42768" w:rsidRPr="00B44B19" w:rsidRDefault="00E42768" w:rsidP="009629DB">
            <w:pPr>
              <w:spacing w:after="0" w:line="240" w:lineRule="auto"/>
              <w:jc w:val="center"/>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Regiono kategorija</w:t>
            </w:r>
          </w:p>
        </w:tc>
        <w:tc>
          <w:tcPr>
            <w:tcW w:w="1755"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63F318B" w14:textId="268E2387" w:rsidR="00E42768" w:rsidRPr="00B44B19" w:rsidRDefault="00E42768" w:rsidP="009629DB">
            <w:pPr>
              <w:spacing w:after="0" w:line="240" w:lineRule="auto"/>
              <w:jc w:val="center"/>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Programa „Europos horizontas</w:t>
            </w:r>
            <w:r w:rsidR="007D6F8A" w:rsidRPr="00B44B19">
              <w:rPr>
                <w:rFonts w:ascii="Times New Roman" w:hAnsi="Times New Roman" w:cs="Times New Roman"/>
                <w:b/>
                <w:spacing w:val="-6"/>
                <w:sz w:val="20"/>
                <w:szCs w:val="20"/>
                <w:lang w:val="lt-LT"/>
              </w:rPr>
              <w:t>”</w:t>
            </w:r>
          </w:p>
        </w:tc>
      </w:tr>
      <w:tr w:rsidR="00E42768" w:rsidRPr="00B44B19" w14:paraId="1BA13885" w14:textId="77777777" w:rsidTr="009629DB">
        <w:tc>
          <w:tcPr>
            <w:tcW w:w="1489" w:type="pct"/>
            <w:vMerge w:val="restart"/>
            <w:tcBorders>
              <w:top w:val="single" w:sz="12" w:space="0" w:color="auto"/>
              <w:left w:val="single" w:sz="12" w:space="0" w:color="auto"/>
              <w:right w:val="single" w:sz="12" w:space="0" w:color="auto"/>
            </w:tcBorders>
            <w:vAlign w:val="center"/>
          </w:tcPr>
          <w:p w14:paraId="741F81F9" w14:textId="77777777" w:rsidR="00E42768" w:rsidRPr="00B44B19" w:rsidRDefault="00E42768" w:rsidP="009629DB">
            <w:pPr>
              <w:jc w:val="center"/>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ERPF</w:t>
            </w:r>
          </w:p>
        </w:tc>
        <w:tc>
          <w:tcPr>
            <w:tcW w:w="1755" w:type="pct"/>
            <w:tcBorders>
              <w:top w:val="single" w:sz="12" w:space="0" w:color="auto"/>
              <w:left w:val="single" w:sz="12" w:space="0" w:color="auto"/>
              <w:bottom w:val="single" w:sz="4" w:space="0" w:color="auto"/>
            </w:tcBorders>
            <w:vAlign w:val="center"/>
          </w:tcPr>
          <w:p w14:paraId="77CA15C1" w14:textId="77777777" w:rsidR="00E42768" w:rsidRPr="00B44B19" w:rsidRDefault="00E42768" w:rsidP="009629DB">
            <w:pPr>
              <w:spacing w:after="0" w:line="240" w:lineRule="auto"/>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Sostinė</w:t>
            </w:r>
          </w:p>
        </w:tc>
        <w:tc>
          <w:tcPr>
            <w:tcW w:w="1755" w:type="pct"/>
            <w:tcBorders>
              <w:top w:val="single" w:sz="12" w:space="0" w:color="auto"/>
              <w:left w:val="single" w:sz="12" w:space="0" w:color="auto"/>
              <w:bottom w:val="single" w:sz="4" w:space="0" w:color="auto"/>
            </w:tcBorders>
            <w:vAlign w:val="center"/>
          </w:tcPr>
          <w:p w14:paraId="1EB18753" w14:textId="3DD1356B" w:rsidR="00E42768" w:rsidRPr="00B44B19" w:rsidRDefault="00960459" w:rsidP="009629DB">
            <w:pPr>
              <w:spacing w:after="0" w:line="240" w:lineRule="auto"/>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12</w:t>
            </w:r>
            <w:r w:rsidR="00E42768" w:rsidRPr="00B44B19">
              <w:rPr>
                <w:rFonts w:ascii="Times New Roman" w:hAnsi="Times New Roman" w:cs="Times New Roman"/>
                <w:sz w:val="20"/>
                <w:szCs w:val="20"/>
                <w:lang w:val="lt-LT"/>
              </w:rPr>
              <w:t xml:space="preserve"> 115 000</w:t>
            </w:r>
          </w:p>
        </w:tc>
      </w:tr>
      <w:tr w:rsidR="00E42768" w:rsidRPr="00B44B19" w14:paraId="303D33D9" w14:textId="77777777" w:rsidTr="009629DB">
        <w:tc>
          <w:tcPr>
            <w:tcW w:w="1489" w:type="pct"/>
            <w:vMerge/>
            <w:tcBorders>
              <w:left w:val="single" w:sz="12" w:space="0" w:color="auto"/>
              <w:bottom w:val="single" w:sz="12" w:space="0" w:color="auto"/>
              <w:right w:val="single" w:sz="12" w:space="0" w:color="auto"/>
            </w:tcBorders>
          </w:tcPr>
          <w:p w14:paraId="13021718" w14:textId="77777777" w:rsidR="00E42768" w:rsidRPr="00B44B19" w:rsidRDefault="00E42768" w:rsidP="00E42768">
            <w:pPr>
              <w:rPr>
                <w:rFonts w:ascii="Times New Roman" w:hAnsi="Times New Roman" w:cs="Times New Roman"/>
                <w:b/>
                <w:spacing w:val="-6"/>
                <w:sz w:val="20"/>
                <w:szCs w:val="20"/>
                <w:lang w:val="lt-LT"/>
              </w:rPr>
            </w:pPr>
          </w:p>
        </w:tc>
        <w:tc>
          <w:tcPr>
            <w:tcW w:w="1755" w:type="pct"/>
            <w:tcBorders>
              <w:top w:val="single" w:sz="4" w:space="0" w:color="auto"/>
              <w:left w:val="single" w:sz="12" w:space="0" w:color="auto"/>
            </w:tcBorders>
            <w:vAlign w:val="center"/>
          </w:tcPr>
          <w:p w14:paraId="523C9FDA" w14:textId="77777777" w:rsidR="00E42768" w:rsidRPr="00B44B19" w:rsidRDefault="00E42768" w:rsidP="009629DB">
            <w:pPr>
              <w:spacing w:after="0" w:line="240" w:lineRule="auto"/>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VVL regionas</w:t>
            </w:r>
          </w:p>
        </w:tc>
        <w:tc>
          <w:tcPr>
            <w:tcW w:w="1755" w:type="pct"/>
            <w:tcBorders>
              <w:top w:val="single" w:sz="4" w:space="0" w:color="auto"/>
              <w:left w:val="single" w:sz="12" w:space="0" w:color="auto"/>
            </w:tcBorders>
            <w:vAlign w:val="center"/>
          </w:tcPr>
          <w:p w14:paraId="7ACD4782" w14:textId="77777777" w:rsidR="00E42768" w:rsidRPr="00B44B19" w:rsidRDefault="00E42768" w:rsidP="009629DB">
            <w:pPr>
              <w:spacing w:after="0" w:line="240" w:lineRule="auto"/>
              <w:jc w:val="center"/>
              <w:rPr>
                <w:rFonts w:ascii="Times New Roman" w:hAnsi="Times New Roman" w:cs="Times New Roman"/>
                <w:sz w:val="20"/>
                <w:szCs w:val="20"/>
                <w:lang w:val="lt-LT"/>
              </w:rPr>
            </w:pPr>
            <w:r w:rsidRPr="00B44B19">
              <w:rPr>
                <w:rFonts w:ascii="Times New Roman" w:hAnsi="Times New Roman" w:cs="Times New Roman"/>
                <w:sz w:val="20"/>
                <w:szCs w:val="20"/>
                <w:lang w:val="lt-LT"/>
              </w:rPr>
              <w:t>11 385 000</w:t>
            </w:r>
          </w:p>
        </w:tc>
      </w:tr>
    </w:tbl>
    <w:p w14:paraId="75F66BC5" w14:textId="77777777" w:rsidR="00E42768" w:rsidRPr="00B44B19" w:rsidRDefault="00E42768" w:rsidP="003E01B7">
      <w:pPr>
        <w:spacing w:after="0"/>
        <w:rPr>
          <w:rFonts w:cs="Times New Roman"/>
          <w:b/>
          <w:sz w:val="22"/>
        </w:rPr>
      </w:pPr>
    </w:p>
    <w:tbl>
      <w:tblPr>
        <w:tblStyle w:val="Lentelstinklelis9"/>
        <w:tblW w:w="0" w:type="auto"/>
        <w:tblLook w:val="04A0" w:firstRow="1" w:lastRow="0" w:firstColumn="1" w:lastColumn="0" w:noHBand="0" w:noVBand="1"/>
      </w:tblPr>
      <w:tblGrid>
        <w:gridCol w:w="14418"/>
      </w:tblGrid>
      <w:tr w:rsidR="009629DB" w:rsidRPr="00B44B19" w14:paraId="02CCEC3F" w14:textId="77777777" w:rsidTr="0019116C">
        <w:tc>
          <w:tcPr>
            <w:tcW w:w="15559" w:type="dxa"/>
          </w:tcPr>
          <w:p w14:paraId="2531921B" w14:textId="2D2CB4C7" w:rsidR="009629DB" w:rsidRPr="00B44B19" w:rsidRDefault="009629DB" w:rsidP="0019116C">
            <w:pPr>
              <w:jc w:val="both"/>
              <w:rPr>
                <w:rFonts w:ascii="Times New Roman" w:eastAsia="Calibri" w:hAnsi="Times New Roman" w:cs="Times New Roman"/>
                <w:szCs w:val="24"/>
              </w:rPr>
            </w:pPr>
            <w:r w:rsidRPr="00B44B19">
              <w:rPr>
                <w:rFonts w:ascii="Times New Roman" w:hAnsi="Times New Roman" w:cs="Times New Roman"/>
                <w:b/>
                <w:szCs w:val="24"/>
              </w:rPr>
              <w:t>Pagrindimas.</w:t>
            </w:r>
            <w:r w:rsidRPr="00B44B19">
              <w:rPr>
                <w:rFonts w:ascii="Times New Roman" w:hAnsi="Times New Roman" w:cs="Times New Roman"/>
                <w:szCs w:val="24"/>
              </w:rPr>
              <w:t xml:space="preserve"> </w:t>
            </w:r>
            <w:r w:rsidRPr="00B44B19">
              <w:rPr>
                <w:rFonts w:ascii="Times New Roman" w:eastAsia="Calibri" w:hAnsi="Times New Roman" w:cs="Times New Roman"/>
                <w:szCs w:val="24"/>
              </w:rPr>
              <w:t>Lietuva (LT), atsižvelgdama į Europos Audito Rūmų ataskaitą</w:t>
            </w:r>
            <w:r w:rsidRPr="00B44B19">
              <w:rPr>
                <w:rFonts w:ascii="Times New Roman" w:eastAsia="Calibri" w:hAnsi="Times New Roman" w:cs="Times New Roman"/>
                <w:szCs w:val="24"/>
                <w:vertAlign w:val="superscript"/>
              </w:rPr>
              <w:footnoteReference w:id="9"/>
            </w:r>
            <w:r w:rsidRPr="00B44B19">
              <w:rPr>
                <w:rFonts w:ascii="Times New Roman" w:eastAsia="Calibri" w:hAnsi="Times New Roman" w:cs="Times New Roman"/>
                <w:szCs w:val="24"/>
              </w:rPr>
              <w:t>, EK pranešimą</w:t>
            </w:r>
            <w:r w:rsidRPr="00B44B19">
              <w:rPr>
                <w:rFonts w:ascii="Times New Roman" w:eastAsia="Calibri" w:hAnsi="Times New Roman" w:cs="Times New Roman"/>
                <w:szCs w:val="24"/>
                <w:vertAlign w:val="superscript"/>
              </w:rPr>
              <w:footnoteReference w:id="10"/>
            </w:r>
            <w:r w:rsidRPr="00B44B19">
              <w:rPr>
                <w:rFonts w:ascii="Times New Roman" w:eastAsia="Calibri" w:hAnsi="Times New Roman" w:cs="Times New Roman"/>
                <w:szCs w:val="24"/>
              </w:rPr>
              <w:t xml:space="preserve"> kur raginama aktyviau išnaudoti sinergijos galimybes tarp ES programų bei HE, </w:t>
            </w:r>
            <w:r w:rsidRPr="00B44B19">
              <w:rPr>
                <w:rFonts w:ascii="Times New Roman" w:eastAsia="Calibri" w:hAnsi="Times New Roman" w:cs="Times New Roman"/>
                <w:b/>
                <w:bCs/>
                <w:szCs w:val="24"/>
              </w:rPr>
              <w:t>siekia paskatinti mokslinių tyrimų ir inovacijų srities suinteresuotųjų subjektų kuo aktyvesnį bendradarbiavimą</w:t>
            </w:r>
            <w:r w:rsidRPr="00B44B19">
              <w:rPr>
                <w:rFonts w:ascii="Times New Roman" w:eastAsia="Calibri" w:hAnsi="Times New Roman" w:cs="Times New Roman"/>
                <w:szCs w:val="24"/>
              </w:rPr>
              <w:t xml:space="preserve"> tarptautiniu lygiu, pasinaudodama BNR</w:t>
            </w:r>
            <w:r w:rsidRPr="00B44B19">
              <w:rPr>
                <w:rFonts w:ascii="Times New Roman" w:eastAsia="Calibri" w:hAnsi="Times New Roman" w:cs="Times New Roman"/>
                <w:szCs w:val="24"/>
                <w:vertAlign w:val="superscript"/>
              </w:rPr>
              <w:footnoteReference w:id="11"/>
            </w:r>
            <w:r w:rsidRPr="00B44B19">
              <w:rPr>
                <w:rFonts w:ascii="Times New Roman" w:eastAsia="Calibri" w:hAnsi="Times New Roman" w:cs="Times New Roman"/>
                <w:szCs w:val="24"/>
              </w:rPr>
              <w:t xml:space="preserve"> 24 str. 1 d. bei 26 str. 1 d. nustatytomis galimybėmis</w:t>
            </w:r>
            <w:r w:rsidRPr="00B44B19">
              <w:rPr>
                <w:rFonts w:ascii="Times New Roman" w:eastAsia="Calibri" w:hAnsi="Times New Roman" w:cs="Times New Roman"/>
                <w:b/>
                <w:bCs/>
                <w:szCs w:val="24"/>
              </w:rPr>
              <w:t>, perkeliant dalį Programos ERPF fondo lėšų į tiesiogiai valdomą HE, įvertinus absorbcinius pajėgumus</w:t>
            </w:r>
            <w:r w:rsidRPr="00B44B19">
              <w:rPr>
                <w:rFonts w:ascii="Times New Roman" w:eastAsia="Calibri" w:hAnsi="Times New Roman" w:cs="Times New Roman"/>
                <w:szCs w:val="24"/>
              </w:rPr>
              <w:t xml:space="preserve">. Siūlomas perkėlimas atitinka ERPF ir SaF regl. 4 str. 10 d.: nepažeidžia paramos telkimo reikalavimo pagal temas (bent 25 </w:t>
            </w:r>
            <w:r w:rsidR="00AF7661" w:rsidRPr="00B44B19">
              <w:rPr>
                <w:rFonts w:ascii="Times New Roman" w:eastAsia="Calibri" w:hAnsi="Times New Roman" w:cs="Times New Roman"/>
                <w:szCs w:val="24"/>
              </w:rPr>
              <w:t>%</w:t>
            </w:r>
            <w:r w:rsidRPr="00B44B19">
              <w:rPr>
                <w:rFonts w:ascii="Times New Roman" w:eastAsia="Calibri" w:hAnsi="Times New Roman" w:cs="Times New Roman"/>
                <w:szCs w:val="24"/>
              </w:rPr>
              <w:t xml:space="preserve"> 1 Politikos tikslui) ir finansinių  įsipareigojimų klimato srities tikslams pasiekti (30 </w:t>
            </w:r>
            <w:r w:rsidR="00AF7661" w:rsidRPr="00B44B19">
              <w:rPr>
                <w:rFonts w:ascii="Times New Roman" w:eastAsia="Calibri" w:hAnsi="Times New Roman" w:cs="Times New Roman"/>
                <w:szCs w:val="24"/>
              </w:rPr>
              <w:t>%</w:t>
            </w:r>
            <w:r w:rsidRPr="00B44B19">
              <w:rPr>
                <w:rFonts w:ascii="Times New Roman" w:eastAsia="Calibri" w:hAnsi="Times New Roman" w:cs="Times New Roman"/>
                <w:szCs w:val="24"/>
              </w:rPr>
              <w:t xml:space="preserve"> ERPF) </w:t>
            </w:r>
            <w:bookmarkStart w:id="101" w:name="_Hlk126770776"/>
            <w:r w:rsidRPr="00B44B19">
              <w:rPr>
                <w:rFonts w:ascii="Times New Roman" w:eastAsia="Calibri" w:hAnsi="Times New Roman" w:cs="Times New Roman"/>
                <w:szCs w:val="24"/>
              </w:rPr>
              <w:t>ir lyčių lygybei (perkeliamos lyčių požiūriu neutralios lėšos) bei Programos intervencijų logikos</w:t>
            </w:r>
            <w:bookmarkEnd w:id="101"/>
            <w:r w:rsidRPr="00B44B19">
              <w:rPr>
                <w:rFonts w:ascii="Times New Roman" w:eastAsia="Calibri" w:hAnsi="Times New Roman" w:cs="Times New Roman"/>
                <w:szCs w:val="24"/>
              </w:rPr>
              <w:t xml:space="preserve">. </w:t>
            </w:r>
          </w:p>
          <w:p w14:paraId="79BEECA6" w14:textId="77777777" w:rsidR="009629DB" w:rsidRPr="00B44B19" w:rsidRDefault="009629DB" w:rsidP="0019116C">
            <w:pPr>
              <w:jc w:val="both"/>
              <w:rPr>
                <w:rFonts w:ascii="Times New Roman" w:eastAsia="Calibri" w:hAnsi="Times New Roman" w:cs="Times New Roman"/>
                <w:szCs w:val="24"/>
              </w:rPr>
            </w:pPr>
            <w:r w:rsidRPr="00B44B19">
              <w:rPr>
                <w:rFonts w:ascii="Times New Roman" w:eastAsia="Calibri" w:hAnsi="Times New Roman" w:cs="Times New Roman"/>
                <w:szCs w:val="24"/>
              </w:rPr>
              <w:lastRenderedPageBreak/>
              <w:t xml:space="preserve">Perkeliama </w:t>
            </w:r>
            <w:r w:rsidRPr="00B44B19">
              <w:rPr>
                <w:rFonts w:ascii="Times New Roman" w:eastAsia="Calibri" w:hAnsi="Times New Roman" w:cs="Times New Roman"/>
                <w:b/>
                <w:bCs/>
                <w:szCs w:val="24"/>
              </w:rPr>
              <w:t xml:space="preserve">18,5 mln. Eur </w:t>
            </w:r>
            <w:r w:rsidRPr="00B44B19">
              <w:rPr>
                <w:rFonts w:ascii="Times New Roman" w:eastAsia="Calibri" w:hAnsi="Times New Roman" w:cs="Times New Roman"/>
                <w:szCs w:val="24"/>
              </w:rPr>
              <w:t>iš Programos</w:t>
            </w:r>
            <w:r w:rsidRPr="00B44B19">
              <w:rPr>
                <w:rFonts w:ascii="Times New Roman" w:eastAsia="Calibri" w:hAnsi="Times New Roman" w:cs="Times New Roman"/>
                <w:b/>
                <w:bCs/>
                <w:szCs w:val="24"/>
              </w:rPr>
              <w:t xml:space="preserve"> 1 prioriteto </w:t>
            </w:r>
            <w:r w:rsidRPr="00B44B19">
              <w:rPr>
                <w:rFonts w:ascii="Times New Roman" w:eastAsia="Calibri" w:hAnsi="Times New Roman" w:cs="Times New Roman"/>
                <w:szCs w:val="24"/>
              </w:rPr>
              <w:t xml:space="preserve">„Pažangesnė Lietuva“ į HE prioritetus: </w:t>
            </w:r>
            <w:bookmarkStart w:id="102" w:name="_Hlk131496399"/>
            <w:r w:rsidRPr="00B44B19">
              <w:rPr>
                <w:rFonts w:ascii="Times New Roman" w:eastAsia="Calibri" w:hAnsi="Times New Roman" w:cs="Times New Roman"/>
                <w:szCs w:val="24"/>
              </w:rPr>
              <w:t>1 „Pažangus mokslas“, 3 „Inovatyvi Europa“ ir horizontalų prioritetą „Dalyvių skaičiaus didinimas ir Europos mokslinių tyrimų erdvės stiprinimas“. Konkrečias perkėlimo į HE detales, siekiant efektyvaus perkeltų lėšų panaudojimo, Vadovaujančioji institucija derina su EK.</w:t>
            </w:r>
          </w:p>
          <w:bookmarkEnd w:id="102"/>
          <w:p w14:paraId="2C898A27" w14:textId="77777777" w:rsidR="009629DB" w:rsidRPr="00B44B19" w:rsidRDefault="009629DB" w:rsidP="0019116C">
            <w:pPr>
              <w:jc w:val="both"/>
              <w:rPr>
                <w:rFonts w:ascii="Times New Roman" w:eastAsia="Calibri" w:hAnsi="Times New Roman" w:cs="Times New Roman"/>
                <w:szCs w:val="24"/>
              </w:rPr>
            </w:pPr>
            <w:r w:rsidRPr="00B44B19">
              <w:rPr>
                <w:rFonts w:ascii="Times New Roman" w:eastAsia="Calibri" w:hAnsi="Times New Roman" w:cs="Times New Roman"/>
                <w:szCs w:val="24"/>
              </w:rPr>
              <w:t xml:space="preserve">Programos keitimu, </w:t>
            </w:r>
            <w:r w:rsidRPr="00B44B19">
              <w:rPr>
                <w:rFonts w:ascii="Times New Roman" w:eastAsia="Calibri" w:hAnsi="Times New Roman" w:cs="Times New Roman"/>
                <w:b/>
                <w:bCs/>
                <w:szCs w:val="24"/>
              </w:rPr>
              <w:t>šalinant inovacijų sistemos fragmentaciją bei derinant įvairių finansavimo šaltinių sinergiją</w:t>
            </w:r>
            <w:r w:rsidRPr="00B44B19">
              <w:rPr>
                <w:rFonts w:ascii="Times New Roman" w:eastAsia="Calibri" w:hAnsi="Times New Roman" w:cs="Times New Roman"/>
                <w:szCs w:val="24"/>
              </w:rPr>
              <w:t>, sudaromas išbaigtas dalyvavimo galimybių tarptautiniuose projektuose ciklas. Taip siekiama padidinti MTEPI sistemos tarptautiškumą, paskatinti LT pareiškėjus aktyviau naudotis HE privalumais bei išplėsti šioje programoje dalyvaujančių ir finansavimą gaunančiųjų skaičių, kuris vis dar yra labai žemas</w:t>
            </w:r>
            <w:r w:rsidRPr="00B44B19">
              <w:rPr>
                <w:rFonts w:ascii="Times New Roman" w:eastAsia="Calibri" w:hAnsi="Times New Roman" w:cs="Times New Roman"/>
                <w:szCs w:val="24"/>
                <w:vertAlign w:val="superscript"/>
              </w:rPr>
              <w:footnoteReference w:id="12"/>
            </w:r>
            <w:r w:rsidRPr="00B44B19">
              <w:rPr>
                <w:rFonts w:ascii="Times New Roman" w:eastAsia="Calibri" w:hAnsi="Times New Roman" w:cs="Times New Roman"/>
                <w:szCs w:val="24"/>
              </w:rPr>
              <w:t>, nepaisant to, kad projektai yra įvertinti kokybiškais ir tinkamais finansuoti, tačiau finansavimo negauna dėl HE išteklių stygiaus</w:t>
            </w:r>
            <w:r w:rsidRPr="00B44B19">
              <w:rPr>
                <w:rStyle w:val="Puslapioinaosnuoroda"/>
                <w:rFonts w:ascii="Times New Roman" w:eastAsia="Calibri" w:hAnsi="Times New Roman" w:cs="Times New Roman"/>
                <w:szCs w:val="24"/>
              </w:rPr>
              <w:footnoteReference w:id="13"/>
            </w:r>
            <w:r w:rsidRPr="00B44B19">
              <w:rPr>
                <w:rFonts w:ascii="Times New Roman" w:eastAsia="Calibri" w:hAnsi="Times New Roman" w:cs="Times New Roman"/>
                <w:szCs w:val="24"/>
              </w:rPr>
              <w:t xml:space="preserve">. </w:t>
            </w:r>
          </w:p>
          <w:p w14:paraId="3385B8BC" w14:textId="27200618" w:rsidR="009629DB" w:rsidRPr="00B44B19" w:rsidRDefault="009629DB" w:rsidP="0019116C">
            <w:pPr>
              <w:jc w:val="both"/>
              <w:rPr>
                <w:rFonts w:ascii="Times New Roman" w:eastAsia="Calibri" w:hAnsi="Times New Roman" w:cs="Times New Roman"/>
                <w:szCs w:val="24"/>
              </w:rPr>
            </w:pPr>
            <w:r w:rsidRPr="00B44B19">
              <w:rPr>
                <w:rFonts w:ascii="Times New Roman" w:hAnsi="Times New Roman" w:cs="Times New Roman"/>
                <w:szCs w:val="24"/>
              </w:rPr>
              <w:t>LT konkurencingumas pagal ERKI</w:t>
            </w:r>
            <w:r w:rsidRPr="00B44B19">
              <w:rPr>
                <w:rFonts w:ascii="Times New Roman" w:hAnsi="Times New Roman" w:cs="Times New Roman"/>
                <w:szCs w:val="24"/>
                <w:vertAlign w:val="superscript"/>
              </w:rPr>
              <w:footnoteReference w:id="14"/>
            </w:r>
            <w:r w:rsidRPr="00B44B19">
              <w:rPr>
                <w:rFonts w:ascii="Times New Roman" w:hAnsi="Times New Roman" w:cs="Times New Roman"/>
                <w:szCs w:val="24"/>
              </w:rPr>
              <w:t xml:space="preserve"> atsilieka nuo ES vidurkio ir sudaro 95,4</w:t>
            </w:r>
            <w:r w:rsidR="00AF7661" w:rsidRPr="00B44B19">
              <w:rPr>
                <w:rFonts w:ascii="Times New Roman" w:hAnsi="Times New Roman" w:cs="Times New Roman"/>
                <w:szCs w:val="24"/>
              </w:rPr>
              <w:t>%</w:t>
            </w:r>
            <w:r w:rsidRPr="00B44B19">
              <w:rPr>
                <w:rFonts w:ascii="Times New Roman" w:hAnsi="Times New Roman" w:cs="Times New Roman"/>
                <w:szCs w:val="24"/>
              </w:rPr>
              <w:t>, todėl</w:t>
            </w:r>
            <w:r w:rsidRPr="00B44B19">
              <w:rPr>
                <w:rFonts w:ascii="Times New Roman" w:eastAsia="Calibri" w:hAnsi="Times New Roman" w:cs="Times New Roman"/>
                <w:szCs w:val="24"/>
              </w:rPr>
              <w:t xml:space="preserve"> jai svarbu būti matomai, o tai galima padaryti </w:t>
            </w:r>
            <w:r w:rsidRPr="00B44B19">
              <w:rPr>
                <w:rFonts w:ascii="Times New Roman" w:eastAsia="Calibri" w:hAnsi="Times New Roman" w:cs="Times New Roman"/>
                <w:b/>
                <w:bCs/>
                <w:szCs w:val="24"/>
              </w:rPr>
              <w:t>sukuriant kuo palankesnę ekosistemą skatinti tarptautinį bendradarbiavimą, atvirą mokslą bei partnerystę</w:t>
            </w:r>
            <w:r w:rsidRPr="00B44B19">
              <w:rPr>
                <w:rFonts w:ascii="Times New Roman" w:eastAsia="Calibri" w:hAnsi="Times New Roman" w:cs="Times New Roman"/>
                <w:szCs w:val="24"/>
              </w:rPr>
              <w:t xml:space="preserve">. LT </w:t>
            </w:r>
            <w:r w:rsidRPr="00B44B19">
              <w:rPr>
                <w:rFonts w:ascii="Times New Roman" w:eastAsia="Calibri" w:hAnsi="Times New Roman" w:cs="Times New Roman"/>
                <w:b/>
                <w:bCs/>
                <w:szCs w:val="24"/>
              </w:rPr>
              <w:t>verslas irgi siekia būti konkurencingu</w:t>
            </w:r>
            <w:r w:rsidRPr="00B44B19">
              <w:rPr>
                <w:rFonts w:ascii="Times New Roman" w:eastAsia="Calibri" w:hAnsi="Times New Roman" w:cs="Times New Roman"/>
                <w:szCs w:val="24"/>
              </w:rPr>
              <w:t xml:space="preserve"> tarptautinėje rinkoje, </w:t>
            </w:r>
            <w:r w:rsidRPr="00B44B19">
              <w:rPr>
                <w:rFonts w:ascii="Times New Roman" w:eastAsia="Calibri" w:hAnsi="Times New Roman" w:cs="Times New Roman"/>
                <w:b/>
                <w:bCs/>
                <w:szCs w:val="24"/>
              </w:rPr>
              <w:t>kurti aukštą pridėtinę vertę</w:t>
            </w:r>
            <w:r w:rsidRPr="00B44B19">
              <w:rPr>
                <w:rFonts w:ascii="Times New Roman" w:eastAsia="Calibri" w:hAnsi="Times New Roman" w:cs="Times New Roman"/>
                <w:szCs w:val="24"/>
              </w:rPr>
              <w:t xml:space="preserve">, </w:t>
            </w:r>
            <w:bookmarkStart w:id="104" w:name="_Hlk126770833"/>
            <w:r w:rsidRPr="00B44B19">
              <w:rPr>
                <w:rFonts w:ascii="Times New Roman" w:eastAsia="Calibri" w:hAnsi="Times New Roman" w:cs="Times New Roman"/>
                <w:szCs w:val="24"/>
              </w:rPr>
              <w:t xml:space="preserve">jo </w:t>
            </w:r>
            <w:r w:rsidRPr="00B44B19">
              <w:rPr>
                <w:rFonts w:ascii="Times New Roman" w:eastAsia="Calibri" w:hAnsi="Times New Roman" w:cs="Times New Roman"/>
                <w:b/>
                <w:bCs/>
                <w:szCs w:val="24"/>
              </w:rPr>
              <w:t>integracija į</w:t>
            </w:r>
            <w:r w:rsidRPr="00B44B19">
              <w:rPr>
                <w:rFonts w:ascii="Times New Roman" w:eastAsia="Calibri" w:hAnsi="Times New Roman" w:cs="Times New Roman"/>
                <w:szCs w:val="24"/>
              </w:rPr>
              <w:t xml:space="preserve"> tarptautines inovacijų </w:t>
            </w:r>
            <w:r w:rsidRPr="00B44B19">
              <w:rPr>
                <w:rFonts w:ascii="Times New Roman" w:eastAsia="Calibri" w:hAnsi="Times New Roman" w:cs="Times New Roman"/>
                <w:b/>
                <w:bCs/>
                <w:szCs w:val="24"/>
              </w:rPr>
              <w:t>ekosistemas skatina pajamų augimą dėl užsakymų</w:t>
            </w:r>
            <w:r w:rsidRPr="00B44B19">
              <w:rPr>
                <w:rFonts w:ascii="Times New Roman" w:eastAsia="Calibri" w:hAnsi="Times New Roman" w:cs="Times New Roman"/>
                <w:szCs w:val="24"/>
              </w:rPr>
              <w:t xml:space="preserve"> tarptautiniu mastu. </w:t>
            </w:r>
            <w:bookmarkEnd w:id="104"/>
            <w:r w:rsidRPr="00B44B19">
              <w:rPr>
                <w:rFonts w:ascii="Times New Roman" w:eastAsia="Calibri" w:hAnsi="Times New Roman" w:cs="Times New Roman"/>
                <w:szCs w:val="24"/>
              </w:rPr>
              <w:t xml:space="preserve">Sudaryta galimybė finansuoti HE projektus iš Programos perkeltų lėšų, kurios būtų naudojamos </w:t>
            </w:r>
            <w:r w:rsidRPr="00B44B19">
              <w:rPr>
                <w:rFonts w:ascii="Times New Roman" w:eastAsia="Calibri" w:hAnsi="Times New Roman" w:cs="Times New Roman"/>
                <w:b/>
                <w:bCs/>
                <w:szCs w:val="24"/>
              </w:rPr>
              <w:t>išskirtinai tik LT pareiškėjams</w:t>
            </w:r>
            <w:r w:rsidRPr="00B44B19">
              <w:rPr>
                <w:rFonts w:ascii="Times New Roman" w:eastAsia="Calibri" w:hAnsi="Times New Roman" w:cs="Times New Roman"/>
                <w:szCs w:val="24"/>
              </w:rPr>
              <w:t xml:space="preserve">, paskatins juos aktyviau dalyvauti tarptautiniuose projektuose, ugdys gebėjimus įgyvendinti bei koordinuoti EK lygu pripažintus projektus, didins LT mokslininkų, tyrėjų ir inovatorių žinomumą bei pripažinimą. Tai prisidės ir prie </w:t>
            </w:r>
            <w:r w:rsidRPr="00B44B19">
              <w:rPr>
                <w:rFonts w:ascii="Times New Roman" w:eastAsia="Calibri" w:hAnsi="Times New Roman" w:cs="Times New Roman"/>
                <w:b/>
                <w:bCs/>
                <w:szCs w:val="24"/>
              </w:rPr>
              <w:t>EBPO rekomendacijos LT tęsti reformas, skirtas gerinti verslo ir mokslinių tyrimų sektorių bendradarbiavimui inovacijų srityje</w:t>
            </w:r>
            <w:r w:rsidRPr="00B44B19">
              <w:rPr>
                <w:rFonts w:ascii="Times New Roman" w:eastAsia="Calibri" w:hAnsi="Times New Roman" w:cs="Times New Roman"/>
                <w:szCs w:val="24"/>
              </w:rPr>
              <w:t>, žinių perdavimą tam, kad LT galėtų konkuruoti tarptautinėse rinkose ir kurti didesnius inovacinius pajėgumus, o taip pat prie siekio, jog LT 2030 m. pagal Pasaulinį inovacijų indeksą užimtų 20 vietą (39 (2022 m.).</w:t>
            </w:r>
          </w:p>
          <w:p w14:paraId="0F2BC363" w14:textId="77777777" w:rsidR="009629DB" w:rsidRPr="00B44B19" w:rsidRDefault="009629DB" w:rsidP="0019116C">
            <w:pPr>
              <w:jc w:val="both"/>
              <w:rPr>
                <w:rFonts w:ascii="Times New Roman" w:eastAsia="Calibri" w:hAnsi="Times New Roman" w:cs="Times New Roman"/>
                <w:szCs w:val="24"/>
              </w:rPr>
            </w:pPr>
            <w:r w:rsidRPr="00B44B19">
              <w:rPr>
                <w:rFonts w:ascii="Times New Roman" w:eastAsia="Calibri" w:hAnsi="Times New Roman" w:cs="Times New Roman"/>
                <w:szCs w:val="24"/>
              </w:rPr>
              <w:t xml:space="preserve">Perkeldama dalį Programos lėšų </w:t>
            </w:r>
            <w:r w:rsidRPr="00B44B19">
              <w:rPr>
                <w:rFonts w:ascii="Times New Roman" w:eastAsia="Calibri" w:hAnsi="Times New Roman" w:cs="Times New Roman"/>
                <w:b/>
                <w:bCs/>
                <w:szCs w:val="24"/>
              </w:rPr>
              <w:t>Lietuva prisidėtų prie ES politikos prioriteto</w:t>
            </w:r>
            <w:r w:rsidRPr="00B44B19">
              <w:rPr>
                <w:rFonts w:ascii="Times New Roman" w:eastAsia="Calibri" w:hAnsi="Times New Roman" w:cs="Times New Roman"/>
                <w:szCs w:val="24"/>
              </w:rPr>
              <w:t xml:space="preserve"> – skatinti inovatyvią, pažangią ir tvarią ekonomikos transformaciją, skatinti mokslinius tyrimus ir inovacijas, mažinant ir įveikiant atotrūkį inovacijų srityje (ypač mažiau išsivysčiusiuose ir periferiniuose regionuose), kurie yra vienas iš pagrindinių ES socialinio bei ekonominio klestėjimo ir aplinkos tvarumo užtikrinimo veiksnių.</w:t>
            </w:r>
          </w:p>
          <w:p w14:paraId="2C0CD179" w14:textId="4C65C7C0" w:rsidR="00147C40" w:rsidRPr="00B44B19" w:rsidRDefault="00147C40" w:rsidP="0019116C">
            <w:pPr>
              <w:jc w:val="both"/>
              <w:rPr>
                <w:rFonts w:ascii="Times New Roman" w:eastAsia="Calibri" w:hAnsi="Times New Roman" w:cs="Times New Roman"/>
                <w:szCs w:val="24"/>
                <w:highlight w:val="yellow"/>
              </w:rPr>
            </w:pPr>
            <w:r w:rsidRPr="00B44B19">
              <w:rPr>
                <w:rFonts w:ascii="Times New Roman" w:eastAsia="Calibri" w:hAnsi="Times New Roman" w:cs="Times New Roman"/>
                <w:szCs w:val="24"/>
              </w:rPr>
              <w:t>Pirmasis 2023 m. atliktas perkėlimas atvėrė daugiau galimybių Lietuvos mokslininkams ir SVV įmonėms konkuruoti dėl tiesioginio EH programos finansavimo. Vertindama teigiamus pilotinio (2023 m.) lėšų į HE perkėlimo rezultatus, LT, kartu su Investicijų programos keitimu, atlieka papildomą perkėlimą. Perkeliami 5 mln. Eur 1 prioriteto „Pažangesnė Lietuva“ į tiesiogiai EK valdomą HE programą 2026 m. ir 2027 m.</w:t>
            </w:r>
          </w:p>
        </w:tc>
      </w:tr>
    </w:tbl>
    <w:p w14:paraId="05E5FE55" w14:textId="77777777" w:rsidR="00E42768" w:rsidRPr="00B44B19" w:rsidRDefault="00E42768" w:rsidP="003E01B7">
      <w:pPr>
        <w:spacing w:after="0"/>
        <w:rPr>
          <w:rFonts w:cs="Times New Roman"/>
          <w:b/>
          <w:sz w:val="22"/>
        </w:rPr>
      </w:pPr>
    </w:p>
    <w:p w14:paraId="01F6E50B" w14:textId="287E7BA2" w:rsidR="00631A38" w:rsidRPr="00B44B19" w:rsidRDefault="009629DB" w:rsidP="008F2A82">
      <w:pPr>
        <w:spacing w:after="0"/>
        <w:rPr>
          <w:rFonts w:cs="Times New Roman"/>
          <w:b/>
          <w:sz w:val="22"/>
        </w:rPr>
      </w:pPr>
      <w:r w:rsidRPr="00B44B19">
        <w:rPr>
          <w:rFonts w:cs="Times New Roman"/>
          <w:b/>
          <w:sz w:val="22"/>
        </w:rPr>
        <w:t>3</w:t>
      </w:r>
      <w:r w:rsidR="00542C71" w:rsidRPr="00B44B19">
        <w:rPr>
          <w:rFonts w:cs="Times New Roman"/>
          <w:b/>
          <w:sz w:val="22"/>
        </w:rPr>
        <w:t>. l</w:t>
      </w:r>
      <w:r w:rsidR="008F2A82" w:rsidRPr="00B44B19">
        <w:rPr>
          <w:rFonts w:cs="Times New Roman"/>
          <w:b/>
          <w:sz w:val="22"/>
        </w:rPr>
        <w:t xml:space="preserve">entelė. </w:t>
      </w:r>
      <w:r w:rsidR="00631A38" w:rsidRPr="00B44B19">
        <w:rPr>
          <w:rFonts w:cs="Times New Roman"/>
          <w:b/>
          <w:sz w:val="22"/>
        </w:rPr>
        <w:t>Lėšų perkėlima</w:t>
      </w:r>
      <w:r w:rsidR="00F30904" w:rsidRPr="00B44B19">
        <w:rPr>
          <w:rFonts w:cs="Times New Roman"/>
          <w:b/>
          <w:sz w:val="22"/>
        </w:rPr>
        <w:t>s tarp ERPF, ESF+ ir SaF</w:t>
      </w:r>
      <w:r w:rsidR="00631A38" w:rsidRPr="00B44B19">
        <w:rPr>
          <w:rFonts w:cs="Times New Roman"/>
          <w:b/>
          <w:sz w:val="22"/>
        </w:rPr>
        <w:t xml:space="preserve"> arba į kitą fondą ar fondus (suskirstymas pagal metus)</w:t>
      </w:r>
    </w:p>
    <w:tbl>
      <w:tblPr>
        <w:tblStyle w:val="Lentelstinklelis14"/>
        <w:tblW w:w="5000" w:type="pct"/>
        <w:tblLayout w:type="fixed"/>
        <w:tblLook w:val="04A0" w:firstRow="1" w:lastRow="0" w:firstColumn="1" w:lastColumn="0" w:noHBand="0" w:noVBand="1"/>
      </w:tblPr>
      <w:tblGrid>
        <w:gridCol w:w="1252"/>
        <w:gridCol w:w="1144"/>
        <w:gridCol w:w="861"/>
        <w:gridCol w:w="1715"/>
        <w:gridCol w:w="1145"/>
        <w:gridCol w:w="1288"/>
        <w:gridCol w:w="1287"/>
        <w:gridCol w:w="1145"/>
        <w:gridCol w:w="1488"/>
        <w:gridCol w:w="1418"/>
        <w:gridCol w:w="1655"/>
      </w:tblGrid>
      <w:tr w:rsidR="00AC4B3D" w:rsidRPr="00B44B19" w14:paraId="165790E8" w14:textId="77777777" w:rsidTr="00147C40">
        <w:trPr>
          <w:trHeight w:val="199"/>
          <w:tblHeader/>
        </w:trPr>
        <w:tc>
          <w:tcPr>
            <w:tcW w:w="2396" w:type="dxa"/>
            <w:gridSpan w:val="2"/>
            <w:tcBorders>
              <w:top w:val="single" w:sz="12" w:space="0" w:color="auto"/>
              <w:left w:val="single" w:sz="12" w:space="0" w:color="auto"/>
              <w:right w:val="single" w:sz="12" w:space="0" w:color="auto"/>
            </w:tcBorders>
            <w:shd w:val="clear" w:color="auto" w:fill="B8CCE4" w:themeFill="accent1" w:themeFillTint="66"/>
            <w:vAlign w:val="center"/>
          </w:tcPr>
          <w:p w14:paraId="77BD7EEE"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Perkėlimai iš</w:t>
            </w:r>
          </w:p>
        </w:tc>
        <w:tc>
          <w:tcPr>
            <w:tcW w:w="2576" w:type="dxa"/>
            <w:gridSpan w:val="2"/>
            <w:tcBorders>
              <w:top w:val="single" w:sz="12" w:space="0" w:color="auto"/>
              <w:left w:val="single" w:sz="12" w:space="0" w:color="auto"/>
              <w:right w:val="single" w:sz="12" w:space="0" w:color="auto"/>
            </w:tcBorders>
            <w:shd w:val="clear" w:color="auto" w:fill="B8CCE4" w:themeFill="accent1" w:themeFillTint="66"/>
            <w:vAlign w:val="center"/>
          </w:tcPr>
          <w:p w14:paraId="3BBB698C"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Perkėlimai į</w:t>
            </w:r>
          </w:p>
        </w:tc>
        <w:tc>
          <w:tcPr>
            <w:tcW w:w="9426" w:type="dxa"/>
            <w:gridSpan w:val="7"/>
            <w:tcBorders>
              <w:top w:val="single" w:sz="12" w:space="0" w:color="auto"/>
              <w:left w:val="single" w:sz="12" w:space="0" w:color="auto"/>
              <w:right w:val="single" w:sz="12" w:space="0" w:color="auto"/>
            </w:tcBorders>
            <w:shd w:val="clear" w:color="auto" w:fill="B8CCE4" w:themeFill="accent1" w:themeFillTint="66"/>
            <w:vAlign w:val="center"/>
          </w:tcPr>
          <w:p w14:paraId="1FCCFECC"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Suskirstymas pagal metus</w:t>
            </w:r>
          </w:p>
        </w:tc>
      </w:tr>
      <w:tr w:rsidR="00AC4B3D" w:rsidRPr="00B44B19" w14:paraId="6955A56E" w14:textId="77777777" w:rsidTr="00147C40">
        <w:trPr>
          <w:trHeight w:val="603"/>
          <w:tblHeader/>
        </w:trPr>
        <w:tc>
          <w:tcPr>
            <w:tcW w:w="125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85EE1FC"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Fondas</w:t>
            </w:r>
          </w:p>
        </w:tc>
        <w:tc>
          <w:tcPr>
            <w:tcW w:w="114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1041E3"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Regiono kategorija</w:t>
            </w:r>
          </w:p>
        </w:tc>
        <w:tc>
          <w:tcPr>
            <w:tcW w:w="86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BC63EE"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Fondas</w:t>
            </w:r>
          </w:p>
        </w:tc>
        <w:tc>
          <w:tcPr>
            <w:tcW w:w="171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B52595C"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Regiono kategorija (kai aktualu)</w:t>
            </w:r>
          </w:p>
        </w:tc>
        <w:tc>
          <w:tcPr>
            <w:tcW w:w="11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13AE53A"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2022 m.</w:t>
            </w:r>
          </w:p>
        </w:tc>
        <w:tc>
          <w:tcPr>
            <w:tcW w:w="128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B78D4DD"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2023 m.</w:t>
            </w:r>
          </w:p>
        </w:tc>
        <w:tc>
          <w:tcPr>
            <w:tcW w:w="1287"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8AE040" w14:textId="77777777" w:rsidR="00AC4B3D" w:rsidRPr="00B44B19" w:rsidRDefault="00AC4B3D" w:rsidP="00631A38">
            <w:pPr>
              <w:spacing w:before="60" w:after="60" w:line="240" w:lineRule="auto"/>
              <w:jc w:val="center"/>
              <w:rPr>
                <w:rFonts w:ascii="Times New Roman" w:hAnsi="Times New Roman" w:cs="Times New Roman"/>
                <w:b/>
                <w:sz w:val="20"/>
                <w:szCs w:val="20"/>
                <w:lang w:val="lt-LT"/>
              </w:rPr>
            </w:pPr>
            <w:r w:rsidRPr="00B44B19">
              <w:rPr>
                <w:rFonts w:ascii="Times New Roman" w:hAnsi="Times New Roman" w:cs="Times New Roman"/>
                <w:b/>
                <w:sz w:val="20"/>
                <w:szCs w:val="20"/>
                <w:lang w:val="lt-LT"/>
              </w:rPr>
              <w:t>2024 m.</w:t>
            </w:r>
          </w:p>
        </w:tc>
        <w:tc>
          <w:tcPr>
            <w:tcW w:w="11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BC9D968" w14:textId="77777777" w:rsidR="00AC4B3D" w:rsidRPr="00B44B19" w:rsidRDefault="00AC4B3D" w:rsidP="00631A38">
            <w:pPr>
              <w:spacing w:before="60" w:after="60" w:line="240" w:lineRule="auto"/>
              <w:jc w:val="center"/>
              <w:rPr>
                <w:rFonts w:ascii="Times New Roman" w:hAnsi="Times New Roman" w:cs="Times New Roman"/>
                <w:b/>
                <w:sz w:val="20"/>
                <w:szCs w:val="20"/>
              </w:rPr>
            </w:pPr>
            <w:r w:rsidRPr="00B44B19">
              <w:rPr>
                <w:rFonts w:ascii="Times New Roman" w:hAnsi="Times New Roman" w:cs="Times New Roman"/>
                <w:b/>
                <w:sz w:val="20"/>
                <w:szCs w:val="20"/>
              </w:rPr>
              <w:t>2025 m.</w:t>
            </w:r>
          </w:p>
        </w:tc>
        <w:tc>
          <w:tcPr>
            <w:tcW w:w="148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9A642AD" w14:textId="77777777" w:rsidR="00AC4B3D" w:rsidRPr="00B44B19" w:rsidRDefault="00AC4B3D" w:rsidP="00631A38">
            <w:pPr>
              <w:spacing w:before="60" w:after="60" w:line="240" w:lineRule="auto"/>
              <w:jc w:val="center"/>
              <w:rPr>
                <w:rFonts w:ascii="Times New Roman" w:hAnsi="Times New Roman" w:cs="Times New Roman"/>
                <w:b/>
                <w:sz w:val="20"/>
                <w:szCs w:val="20"/>
              </w:rPr>
            </w:pPr>
            <w:r w:rsidRPr="00B44B19">
              <w:rPr>
                <w:rFonts w:ascii="Times New Roman" w:hAnsi="Times New Roman" w:cs="Times New Roman"/>
                <w:b/>
                <w:sz w:val="20"/>
                <w:szCs w:val="20"/>
              </w:rPr>
              <w:t>2026 m.</w:t>
            </w:r>
          </w:p>
        </w:tc>
        <w:tc>
          <w:tcPr>
            <w:tcW w:w="141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A589CCC" w14:textId="77777777" w:rsidR="00AC4B3D" w:rsidRPr="00B44B19" w:rsidRDefault="00AC4B3D" w:rsidP="00631A38">
            <w:pPr>
              <w:spacing w:before="60" w:after="60" w:line="240" w:lineRule="auto"/>
              <w:jc w:val="center"/>
              <w:rPr>
                <w:rFonts w:ascii="Times New Roman" w:hAnsi="Times New Roman" w:cs="Times New Roman"/>
                <w:b/>
                <w:sz w:val="20"/>
                <w:szCs w:val="20"/>
              </w:rPr>
            </w:pPr>
            <w:r w:rsidRPr="00B44B19">
              <w:rPr>
                <w:rFonts w:ascii="Times New Roman" w:hAnsi="Times New Roman" w:cs="Times New Roman"/>
                <w:b/>
                <w:sz w:val="20"/>
                <w:szCs w:val="20"/>
              </w:rPr>
              <w:t>2027 m.</w:t>
            </w:r>
          </w:p>
        </w:tc>
        <w:tc>
          <w:tcPr>
            <w:tcW w:w="165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4840F8E" w14:textId="77777777" w:rsidR="00AC4B3D" w:rsidRPr="00B44B19" w:rsidRDefault="00AC4B3D" w:rsidP="00631A38">
            <w:pPr>
              <w:spacing w:before="60" w:after="60" w:line="240" w:lineRule="auto"/>
              <w:jc w:val="center"/>
              <w:rPr>
                <w:rFonts w:ascii="Times New Roman" w:hAnsi="Times New Roman" w:cs="Times New Roman"/>
                <w:b/>
                <w:sz w:val="20"/>
                <w:szCs w:val="20"/>
              </w:rPr>
            </w:pPr>
            <w:r w:rsidRPr="00B44B19">
              <w:rPr>
                <w:rFonts w:ascii="Times New Roman" w:hAnsi="Times New Roman" w:cs="Times New Roman"/>
                <w:b/>
                <w:sz w:val="20"/>
                <w:szCs w:val="20"/>
              </w:rPr>
              <w:t>Iš viso</w:t>
            </w:r>
          </w:p>
        </w:tc>
      </w:tr>
      <w:tr w:rsidR="00147C40" w:rsidRPr="00B44B19" w14:paraId="1045C599" w14:textId="77777777" w:rsidTr="00147C40">
        <w:trPr>
          <w:trHeight w:val="331"/>
        </w:trPr>
        <w:tc>
          <w:tcPr>
            <w:tcW w:w="1252" w:type="dxa"/>
            <w:tcBorders>
              <w:top w:val="single" w:sz="12" w:space="0" w:color="auto"/>
              <w:bottom w:val="single" w:sz="12" w:space="0" w:color="auto"/>
            </w:tcBorders>
          </w:tcPr>
          <w:p w14:paraId="15B86DEA" w14:textId="77777777" w:rsidR="00AC4B3D" w:rsidRPr="00B44B19" w:rsidRDefault="00AC4B3D" w:rsidP="00631A38">
            <w:pPr>
              <w:spacing w:before="60" w:after="60" w:line="240" w:lineRule="auto"/>
              <w:rPr>
                <w:rFonts w:ascii="Times New Roman" w:hAnsi="Times New Roman" w:cs="Times New Roman"/>
                <w:spacing w:val="-6"/>
                <w:sz w:val="20"/>
                <w:szCs w:val="20"/>
                <w:lang w:val="lt-LT"/>
              </w:rPr>
            </w:pPr>
            <w:r w:rsidRPr="00B44B19">
              <w:rPr>
                <w:rFonts w:ascii="Times New Roman" w:hAnsi="Times New Roman" w:cs="Times New Roman"/>
                <w:spacing w:val="-6"/>
                <w:sz w:val="20"/>
                <w:szCs w:val="20"/>
                <w:lang w:val="lt-LT"/>
              </w:rPr>
              <w:t>Sanglaudos fondas</w:t>
            </w:r>
          </w:p>
        </w:tc>
        <w:tc>
          <w:tcPr>
            <w:tcW w:w="1144" w:type="dxa"/>
            <w:tcBorders>
              <w:top w:val="single" w:sz="12" w:space="0" w:color="auto"/>
              <w:bottom w:val="single" w:sz="12" w:space="0" w:color="auto"/>
            </w:tcBorders>
          </w:tcPr>
          <w:p w14:paraId="5F5D74A3" w14:textId="77777777" w:rsidR="00AC4B3D" w:rsidRPr="00B44B19" w:rsidRDefault="00AC4B3D" w:rsidP="00631A38">
            <w:pPr>
              <w:spacing w:before="60" w:after="60" w:line="240" w:lineRule="auto"/>
              <w:rPr>
                <w:rFonts w:ascii="Times New Roman" w:hAnsi="Times New Roman" w:cs="Times New Roman"/>
                <w:spacing w:val="-6"/>
                <w:sz w:val="20"/>
                <w:szCs w:val="20"/>
                <w:lang w:val="lt-LT"/>
              </w:rPr>
            </w:pPr>
            <w:r w:rsidRPr="00B44B19">
              <w:rPr>
                <w:rFonts w:ascii="Times New Roman" w:hAnsi="Times New Roman" w:cs="Times New Roman"/>
                <w:spacing w:val="-6"/>
                <w:sz w:val="20"/>
                <w:szCs w:val="20"/>
                <w:lang w:val="lt-LT"/>
              </w:rPr>
              <w:t>Netaikoma</w:t>
            </w:r>
          </w:p>
        </w:tc>
        <w:tc>
          <w:tcPr>
            <w:tcW w:w="861" w:type="dxa"/>
            <w:tcBorders>
              <w:top w:val="single" w:sz="12" w:space="0" w:color="auto"/>
              <w:bottom w:val="single" w:sz="12" w:space="0" w:color="auto"/>
            </w:tcBorders>
          </w:tcPr>
          <w:p w14:paraId="1F5067C2" w14:textId="77777777" w:rsidR="00AC4B3D" w:rsidRPr="00B44B19" w:rsidRDefault="00AC4B3D" w:rsidP="00631A38">
            <w:pPr>
              <w:spacing w:before="60" w:after="60" w:line="240" w:lineRule="auto"/>
              <w:rPr>
                <w:rFonts w:ascii="Times New Roman" w:hAnsi="Times New Roman" w:cs="Times New Roman"/>
                <w:sz w:val="20"/>
                <w:szCs w:val="20"/>
                <w:lang w:val="lt-LT"/>
              </w:rPr>
            </w:pPr>
            <w:r w:rsidRPr="00B44B19">
              <w:rPr>
                <w:rFonts w:ascii="Times New Roman" w:hAnsi="Times New Roman" w:cs="Times New Roman"/>
                <w:sz w:val="20"/>
                <w:szCs w:val="20"/>
                <w:lang w:val="lt-LT"/>
              </w:rPr>
              <w:t>ERPF</w:t>
            </w:r>
          </w:p>
        </w:tc>
        <w:tc>
          <w:tcPr>
            <w:tcW w:w="1715" w:type="dxa"/>
            <w:tcBorders>
              <w:top w:val="single" w:sz="12" w:space="0" w:color="auto"/>
              <w:bottom w:val="single" w:sz="12" w:space="0" w:color="auto"/>
            </w:tcBorders>
          </w:tcPr>
          <w:p w14:paraId="6AA94F72" w14:textId="77777777" w:rsidR="00AC4B3D" w:rsidRPr="00B44B19" w:rsidRDefault="00AC4B3D" w:rsidP="00631A38">
            <w:pPr>
              <w:spacing w:before="60" w:after="60" w:line="240" w:lineRule="auto"/>
              <w:rPr>
                <w:rFonts w:ascii="Times New Roman" w:hAnsi="Times New Roman" w:cs="Times New Roman"/>
                <w:sz w:val="20"/>
                <w:szCs w:val="20"/>
                <w:lang w:val="lt-LT"/>
              </w:rPr>
            </w:pPr>
            <w:r w:rsidRPr="00B44B19">
              <w:rPr>
                <w:rFonts w:ascii="Times New Roman" w:hAnsi="Times New Roman" w:cs="Times New Roman"/>
                <w:sz w:val="20"/>
                <w:szCs w:val="20"/>
                <w:lang w:val="lt-LT"/>
              </w:rPr>
              <w:t>Sostinės regionas</w:t>
            </w:r>
          </w:p>
        </w:tc>
        <w:tc>
          <w:tcPr>
            <w:tcW w:w="1145" w:type="dxa"/>
            <w:tcBorders>
              <w:top w:val="single" w:sz="12" w:space="0" w:color="auto"/>
              <w:bottom w:val="single" w:sz="12" w:space="0" w:color="auto"/>
            </w:tcBorders>
          </w:tcPr>
          <w:p w14:paraId="7C59BDAC" w14:textId="77777777" w:rsidR="00AC4B3D" w:rsidRPr="00B44B19" w:rsidRDefault="00AC4B3D" w:rsidP="00AF4DED">
            <w:pPr>
              <w:rPr>
                <w:rFonts w:ascii="Times New Roman" w:hAnsi="Times New Roman" w:cs="Times New Roman"/>
                <w:sz w:val="20"/>
                <w:lang w:val="lt-LT"/>
              </w:rPr>
            </w:pPr>
            <w:r w:rsidRPr="00B44B19">
              <w:rPr>
                <w:rFonts w:ascii="Times New Roman" w:hAnsi="Times New Roman" w:cs="Times New Roman"/>
                <w:sz w:val="20"/>
                <w:lang w:val="lt-LT"/>
              </w:rPr>
              <w:t>28 211 929</w:t>
            </w:r>
          </w:p>
        </w:tc>
        <w:tc>
          <w:tcPr>
            <w:tcW w:w="1288" w:type="dxa"/>
            <w:tcBorders>
              <w:top w:val="single" w:sz="12" w:space="0" w:color="auto"/>
              <w:bottom w:val="single" w:sz="12" w:space="0" w:color="auto"/>
            </w:tcBorders>
          </w:tcPr>
          <w:p w14:paraId="19CE79F4" w14:textId="77777777" w:rsidR="00AC4B3D" w:rsidRPr="00B44B19" w:rsidRDefault="00AC4B3D" w:rsidP="00AF4DED">
            <w:pPr>
              <w:rPr>
                <w:rFonts w:ascii="Times New Roman" w:hAnsi="Times New Roman" w:cs="Times New Roman"/>
                <w:sz w:val="20"/>
                <w:lang w:val="lt-LT"/>
              </w:rPr>
            </w:pPr>
            <w:r w:rsidRPr="00B44B19">
              <w:rPr>
                <w:rFonts w:ascii="Times New Roman" w:hAnsi="Times New Roman" w:cs="Times New Roman"/>
                <w:sz w:val="20"/>
                <w:lang w:val="lt-LT"/>
              </w:rPr>
              <w:t>28 941 376</w:t>
            </w:r>
          </w:p>
        </w:tc>
        <w:tc>
          <w:tcPr>
            <w:tcW w:w="1287" w:type="dxa"/>
            <w:tcBorders>
              <w:top w:val="single" w:sz="12" w:space="0" w:color="auto"/>
              <w:bottom w:val="single" w:sz="12" w:space="0" w:color="auto"/>
            </w:tcBorders>
          </w:tcPr>
          <w:p w14:paraId="212952E5" w14:textId="77777777" w:rsidR="00AC4B3D" w:rsidRPr="00B44B19" w:rsidRDefault="00AC4B3D" w:rsidP="00AF4DED">
            <w:pPr>
              <w:rPr>
                <w:rFonts w:ascii="Times New Roman" w:hAnsi="Times New Roman" w:cs="Times New Roman"/>
                <w:sz w:val="20"/>
                <w:lang w:val="lt-LT"/>
              </w:rPr>
            </w:pPr>
            <w:r w:rsidRPr="00B44B19">
              <w:rPr>
                <w:rFonts w:ascii="Times New Roman" w:hAnsi="Times New Roman" w:cs="Times New Roman"/>
                <w:sz w:val="20"/>
                <w:lang w:val="lt-LT"/>
              </w:rPr>
              <w:t>29 790 772</w:t>
            </w:r>
          </w:p>
        </w:tc>
        <w:tc>
          <w:tcPr>
            <w:tcW w:w="1145" w:type="dxa"/>
            <w:tcBorders>
              <w:top w:val="single" w:sz="12" w:space="0" w:color="auto"/>
              <w:bottom w:val="single" w:sz="12" w:space="0" w:color="auto"/>
            </w:tcBorders>
          </w:tcPr>
          <w:p w14:paraId="495DD915" w14:textId="77777777" w:rsidR="00AC4B3D" w:rsidRPr="00B44B19" w:rsidRDefault="00AC4B3D" w:rsidP="00AF4DED">
            <w:pPr>
              <w:rPr>
                <w:rFonts w:ascii="Times New Roman" w:hAnsi="Times New Roman" w:cs="Times New Roman"/>
                <w:sz w:val="20"/>
              </w:rPr>
            </w:pPr>
            <w:r w:rsidRPr="00B44B19">
              <w:rPr>
                <w:rFonts w:ascii="Times New Roman" w:hAnsi="Times New Roman" w:cs="Times New Roman"/>
                <w:sz w:val="20"/>
              </w:rPr>
              <w:t>30 620 654</w:t>
            </w:r>
          </w:p>
        </w:tc>
        <w:tc>
          <w:tcPr>
            <w:tcW w:w="1488" w:type="dxa"/>
            <w:tcBorders>
              <w:top w:val="single" w:sz="12" w:space="0" w:color="auto"/>
              <w:bottom w:val="single" w:sz="12" w:space="0" w:color="auto"/>
            </w:tcBorders>
          </w:tcPr>
          <w:p w14:paraId="305DD5D1" w14:textId="77777777" w:rsidR="00AC4B3D" w:rsidRPr="00B44B19" w:rsidRDefault="00AC4B3D" w:rsidP="00AF4DED">
            <w:pPr>
              <w:rPr>
                <w:rFonts w:ascii="Times New Roman" w:hAnsi="Times New Roman" w:cs="Times New Roman"/>
                <w:sz w:val="20"/>
              </w:rPr>
            </w:pPr>
            <w:r w:rsidRPr="00B44B19">
              <w:rPr>
                <w:rFonts w:ascii="Times New Roman" w:hAnsi="Times New Roman" w:cs="Times New Roman"/>
                <w:sz w:val="20"/>
              </w:rPr>
              <w:t>25 947 926</w:t>
            </w:r>
          </w:p>
        </w:tc>
        <w:tc>
          <w:tcPr>
            <w:tcW w:w="1418" w:type="dxa"/>
            <w:tcBorders>
              <w:top w:val="single" w:sz="12" w:space="0" w:color="auto"/>
              <w:bottom w:val="single" w:sz="12" w:space="0" w:color="auto"/>
            </w:tcBorders>
          </w:tcPr>
          <w:p w14:paraId="1AE08EF1" w14:textId="77777777" w:rsidR="00AC4B3D" w:rsidRPr="00B44B19" w:rsidRDefault="00AC4B3D" w:rsidP="00AF4DED">
            <w:pPr>
              <w:rPr>
                <w:rFonts w:ascii="Times New Roman" w:hAnsi="Times New Roman" w:cs="Times New Roman"/>
                <w:sz w:val="20"/>
              </w:rPr>
            </w:pPr>
            <w:r w:rsidRPr="00B44B19">
              <w:rPr>
                <w:rFonts w:ascii="Times New Roman" w:hAnsi="Times New Roman" w:cs="Times New Roman"/>
                <w:sz w:val="20"/>
              </w:rPr>
              <w:t>26 731 310</w:t>
            </w:r>
          </w:p>
        </w:tc>
        <w:tc>
          <w:tcPr>
            <w:tcW w:w="1655" w:type="dxa"/>
            <w:tcBorders>
              <w:top w:val="single" w:sz="12" w:space="0" w:color="auto"/>
              <w:bottom w:val="single" w:sz="12" w:space="0" w:color="auto"/>
            </w:tcBorders>
          </w:tcPr>
          <w:p w14:paraId="33D86920" w14:textId="77777777" w:rsidR="00AC4B3D" w:rsidRPr="00B44B19" w:rsidRDefault="00AC4B3D" w:rsidP="00AF4DED">
            <w:pPr>
              <w:rPr>
                <w:rFonts w:ascii="Times New Roman" w:hAnsi="Times New Roman" w:cs="Times New Roman"/>
                <w:sz w:val="20"/>
              </w:rPr>
            </w:pPr>
            <w:r w:rsidRPr="00B44B19">
              <w:rPr>
                <w:rFonts w:ascii="Times New Roman" w:hAnsi="Times New Roman" w:cs="Times New Roman"/>
                <w:sz w:val="20"/>
              </w:rPr>
              <w:t>170 243 967</w:t>
            </w:r>
          </w:p>
        </w:tc>
      </w:tr>
      <w:tr w:rsidR="00147C40" w:rsidRPr="00B44B19" w14:paraId="41B78CC5" w14:textId="77777777" w:rsidTr="00147C40">
        <w:trPr>
          <w:trHeight w:val="331"/>
        </w:trPr>
        <w:tc>
          <w:tcPr>
            <w:tcW w:w="1252" w:type="dxa"/>
            <w:tcBorders>
              <w:top w:val="single" w:sz="12" w:space="0" w:color="auto"/>
              <w:bottom w:val="single" w:sz="4" w:space="0" w:color="auto"/>
            </w:tcBorders>
          </w:tcPr>
          <w:p w14:paraId="46435395" w14:textId="313F5354" w:rsidR="00147C40" w:rsidRPr="00B44B19" w:rsidRDefault="00147C40" w:rsidP="00631A38">
            <w:pPr>
              <w:spacing w:before="60" w:after="60" w:line="240" w:lineRule="auto"/>
              <w:rPr>
                <w:rFonts w:ascii="Times New Roman" w:hAnsi="Times New Roman" w:cs="Times New Roman"/>
                <w:spacing w:val="-6"/>
                <w:sz w:val="20"/>
                <w:szCs w:val="20"/>
              </w:rPr>
            </w:pPr>
            <w:r w:rsidRPr="00B44B19">
              <w:rPr>
                <w:rFonts w:ascii="Times New Roman" w:hAnsi="Times New Roman" w:cs="Times New Roman"/>
                <w:spacing w:val="-6"/>
                <w:sz w:val="20"/>
                <w:szCs w:val="20"/>
              </w:rPr>
              <w:lastRenderedPageBreak/>
              <w:t>ESF+</w:t>
            </w:r>
          </w:p>
        </w:tc>
        <w:tc>
          <w:tcPr>
            <w:tcW w:w="1144" w:type="dxa"/>
            <w:tcBorders>
              <w:top w:val="single" w:sz="12" w:space="0" w:color="auto"/>
              <w:bottom w:val="single" w:sz="4" w:space="0" w:color="auto"/>
            </w:tcBorders>
          </w:tcPr>
          <w:p w14:paraId="1FEA5D5D" w14:textId="768A0B50" w:rsidR="00147C40" w:rsidRPr="00B44B19" w:rsidRDefault="00147C40" w:rsidP="00631A38">
            <w:pPr>
              <w:spacing w:before="60" w:after="60" w:line="240" w:lineRule="auto"/>
              <w:rPr>
                <w:rFonts w:ascii="Times New Roman" w:hAnsi="Times New Roman" w:cs="Times New Roman"/>
                <w:spacing w:val="-6"/>
                <w:sz w:val="20"/>
                <w:szCs w:val="20"/>
                <w:lang w:val="lt-LT"/>
              </w:rPr>
            </w:pPr>
            <w:r w:rsidRPr="00B44B19">
              <w:rPr>
                <w:rFonts w:ascii="Times New Roman" w:hAnsi="Times New Roman" w:cs="Times New Roman"/>
                <w:spacing w:val="-6"/>
                <w:sz w:val="20"/>
                <w:szCs w:val="20"/>
                <w:lang w:val="lt-LT"/>
              </w:rPr>
              <w:t>Sostinės regionas</w:t>
            </w:r>
          </w:p>
        </w:tc>
        <w:tc>
          <w:tcPr>
            <w:tcW w:w="861" w:type="dxa"/>
            <w:tcBorders>
              <w:top w:val="single" w:sz="12" w:space="0" w:color="auto"/>
              <w:bottom w:val="single" w:sz="4" w:space="0" w:color="auto"/>
            </w:tcBorders>
          </w:tcPr>
          <w:p w14:paraId="7D0C7147" w14:textId="3767384E" w:rsidR="00147C40" w:rsidRPr="00B44B19" w:rsidRDefault="00147C40" w:rsidP="00631A38">
            <w:pPr>
              <w:spacing w:before="60" w:after="60" w:line="240" w:lineRule="auto"/>
              <w:rPr>
                <w:rFonts w:ascii="Times New Roman" w:hAnsi="Times New Roman" w:cs="Times New Roman"/>
                <w:sz w:val="20"/>
                <w:szCs w:val="20"/>
                <w:lang w:val="lt-LT"/>
              </w:rPr>
            </w:pPr>
            <w:r w:rsidRPr="00B44B19">
              <w:rPr>
                <w:rFonts w:ascii="Times New Roman" w:hAnsi="Times New Roman" w:cs="Times New Roman"/>
                <w:sz w:val="20"/>
                <w:szCs w:val="20"/>
                <w:lang w:val="lt-LT"/>
              </w:rPr>
              <w:t>ERPF</w:t>
            </w:r>
          </w:p>
        </w:tc>
        <w:tc>
          <w:tcPr>
            <w:tcW w:w="1715" w:type="dxa"/>
            <w:tcBorders>
              <w:top w:val="single" w:sz="12" w:space="0" w:color="auto"/>
              <w:bottom w:val="single" w:sz="4" w:space="0" w:color="auto"/>
            </w:tcBorders>
          </w:tcPr>
          <w:p w14:paraId="6162AF58" w14:textId="2B26A8CF" w:rsidR="00147C40" w:rsidRPr="00B44B19" w:rsidRDefault="00147C40" w:rsidP="00631A38">
            <w:pPr>
              <w:spacing w:before="60" w:after="60" w:line="240" w:lineRule="auto"/>
              <w:rPr>
                <w:rFonts w:ascii="Times New Roman" w:hAnsi="Times New Roman" w:cs="Times New Roman"/>
                <w:sz w:val="20"/>
                <w:szCs w:val="20"/>
                <w:lang w:val="lt-LT"/>
              </w:rPr>
            </w:pPr>
            <w:r w:rsidRPr="00B44B19">
              <w:rPr>
                <w:rFonts w:ascii="Times New Roman" w:hAnsi="Times New Roman" w:cs="Times New Roman"/>
                <w:sz w:val="20"/>
                <w:szCs w:val="20"/>
                <w:lang w:val="lt-LT"/>
              </w:rPr>
              <w:t>Sostinės regionas</w:t>
            </w:r>
          </w:p>
        </w:tc>
        <w:tc>
          <w:tcPr>
            <w:tcW w:w="1145" w:type="dxa"/>
            <w:tcBorders>
              <w:top w:val="single" w:sz="12" w:space="0" w:color="auto"/>
              <w:bottom w:val="single" w:sz="4" w:space="0" w:color="auto"/>
            </w:tcBorders>
          </w:tcPr>
          <w:p w14:paraId="21EDBB3B" w14:textId="77777777" w:rsidR="00147C40" w:rsidRPr="00B44B19" w:rsidRDefault="00147C40" w:rsidP="00AF4DED">
            <w:pPr>
              <w:rPr>
                <w:rFonts w:ascii="Times New Roman" w:hAnsi="Times New Roman" w:cs="Times New Roman"/>
                <w:sz w:val="20"/>
              </w:rPr>
            </w:pPr>
          </w:p>
        </w:tc>
        <w:tc>
          <w:tcPr>
            <w:tcW w:w="1288" w:type="dxa"/>
            <w:tcBorders>
              <w:top w:val="single" w:sz="12" w:space="0" w:color="auto"/>
              <w:bottom w:val="single" w:sz="4" w:space="0" w:color="auto"/>
            </w:tcBorders>
          </w:tcPr>
          <w:p w14:paraId="38348E5E" w14:textId="77777777" w:rsidR="00147C40" w:rsidRPr="00B44B19" w:rsidRDefault="00147C40" w:rsidP="00AF4DED">
            <w:pPr>
              <w:rPr>
                <w:rFonts w:ascii="Times New Roman" w:hAnsi="Times New Roman" w:cs="Times New Roman"/>
                <w:sz w:val="20"/>
              </w:rPr>
            </w:pPr>
          </w:p>
        </w:tc>
        <w:tc>
          <w:tcPr>
            <w:tcW w:w="1287" w:type="dxa"/>
            <w:tcBorders>
              <w:top w:val="single" w:sz="12" w:space="0" w:color="auto"/>
              <w:bottom w:val="single" w:sz="4" w:space="0" w:color="auto"/>
            </w:tcBorders>
          </w:tcPr>
          <w:p w14:paraId="53466E02" w14:textId="77777777" w:rsidR="00147C40" w:rsidRPr="00B44B19" w:rsidRDefault="00147C40" w:rsidP="00AF4DED">
            <w:pPr>
              <w:rPr>
                <w:rFonts w:ascii="Times New Roman" w:hAnsi="Times New Roman" w:cs="Times New Roman"/>
                <w:sz w:val="20"/>
              </w:rPr>
            </w:pPr>
          </w:p>
        </w:tc>
        <w:tc>
          <w:tcPr>
            <w:tcW w:w="1145" w:type="dxa"/>
            <w:tcBorders>
              <w:top w:val="single" w:sz="12" w:space="0" w:color="auto"/>
              <w:bottom w:val="single" w:sz="4" w:space="0" w:color="auto"/>
            </w:tcBorders>
          </w:tcPr>
          <w:p w14:paraId="4FF735F7" w14:textId="77777777" w:rsidR="00147C40" w:rsidRPr="00B44B19" w:rsidRDefault="00147C40" w:rsidP="00AF4DED">
            <w:pPr>
              <w:rPr>
                <w:rFonts w:ascii="Times New Roman" w:hAnsi="Times New Roman" w:cs="Times New Roman"/>
                <w:sz w:val="20"/>
              </w:rPr>
            </w:pPr>
          </w:p>
        </w:tc>
        <w:tc>
          <w:tcPr>
            <w:tcW w:w="1488" w:type="dxa"/>
            <w:tcBorders>
              <w:top w:val="single" w:sz="12" w:space="0" w:color="auto"/>
              <w:bottom w:val="single" w:sz="4" w:space="0" w:color="auto"/>
            </w:tcBorders>
          </w:tcPr>
          <w:p w14:paraId="59DE2C81" w14:textId="6B55CC3F" w:rsidR="00147C40" w:rsidRPr="00B44B19" w:rsidRDefault="00147C40" w:rsidP="00AF4DED">
            <w:pPr>
              <w:rPr>
                <w:rFonts w:ascii="Times New Roman" w:hAnsi="Times New Roman" w:cs="Times New Roman"/>
                <w:sz w:val="20"/>
              </w:rPr>
            </w:pPr>
            <w:r w:rsidRPr="00B44B19">
              <w:rPr>
                <w:rFonts w:ascii="Times New Roman" w:hAnsi="Times New Roman" w:cs="Times New Roman"/>
                <w:sz w:val="20"/>
              </w:rPr>
              <w:t>1 442 485</w:t>
            </w:r>
          </w:p>
        </w:tc>
        <w:tc>
          <w:tcPr>
            <w:tcW w:w="1418" w:type="dxa"/>
            <w:tcBorders>
              <w:top w:val="single" w:sz="12" w:space="0" w:color="auto"/>
              <w:bottom w:val="single" w:sz="4" w:space="0" w:color="auto"/>
            </w:tcBorders>
          </w:tcPr>
          <w:p w14:paraId="3B5E40A8" w14:textId="11A4AE7D" w:rsidR="00147C40" w:rsidRPr="00B44B19" w:rsidRDefault="00147C40" w:rsidP="00AF4DED">
            <w:pPr>
              <w:rPr>
                <w:rFonts w:ascii="Times New Roman" w:hAnsi="Times New Roman" w:cs="Times New Roman"/>
                <w:sz w:val="20"/>
              </w:rPr>
            </w:pPr>
            <w:r w:rsidRPr="00B44B19">
              <w:rPr>
                <w:rFonts w:ascii="Times New Roman" w:hAnsi="Times New Roman" w:cs="Times New Roman"/>
                <w:sz w:val="20"/>
              </w:rPr>
              <w:t>1 442 486</w:t>
            </w:r>
          </w:p>
        </w:tc>
        <w:tc>
          <w:tcPr>
            <w:tcW w:w="1655" w:type="dxa"/>
            <w:tcBorders>
              <w:top w:val="single" w:sz="12" w:space="0" w:color="auto"/>
              <w:bottom w:val="single" w:sz="4" w:space="0" w:color="auto"/>
            </w:tcBorders>
          </w:tcPr>
          <w:p w14:paraId="29E3472C" w14:textId="6BBB8DA8" w:rsidR="00147C40" w:rsidRPr="00B44B19" w:rsidRDefault="00147C40" w:rsidP="00AF4DED">
            <w:pPr>
              <w:rPr>
                <w:rFonts w:ascii="Times New Roman" w:hAnsi="Times New Roman" w:cs="Times New Roman"/>
                <w:color w:val="000000"/>
                <w:sz w:val="20"/>
                <w:szCs w:val="20"/>
              </w:rPr>
            </w:pPr>
            <w:r w:rsidRPr="00B44B19">
              <w:rPr>
                <w:rFonts w:ascii="Times New Roman" w:hAnsi="Times New Roman" w:cs="Times New Roman"/>
                <w:color w:val="000000"/>
                <w:sz w:val="20"/>
                <w:szCs w:val="20"/>
              </w:rPr>
              <w:t>2 884 971</w:t>
            </w:r>
          </w:p>
        </w:tc>
      </w:tr>
      <w:tr w:rsidR="00147C40" w:rsidRPr="00B44B19" w14:paraId="1DE91AAF" w14:textId="77777777" w:rsidTr="00147C40">
        <w:trPr>
          <w:trHeight w:val="331"/>
        </w:trPr>
        <w:tc>
          <w:tcPr>
            <w:tcW w:w="1252" w:type="dxa"/>
            <w:tcBorders>
              <w:top w:val="single" w:sz="4" w:space="0" w:color="auto"/>
            </w:tcBorders>
          </w:tcPr>
          <w:p w14:paraId="7DCB4438" w14:textId="01E5425B" w:rsidR="00147C40" w:rsidRPr="00B44B19" w:rsidRDefault="00147C40" w:rsidP="00631A38">
            <w:pPr>
              <w:spacing w:before="60" w:after="60" w:line="240" w:lineRule="auto"/>
              <w:rPr>
                <w:rFonts w:ascii="Times New Roman" w:hAnsi="Times New Roman" w:cs="Times New Roman"/>
                <w:spacing w:val="-6"/>
                <w:sz w:val="20"/>
                <w:szCs w:val="20"/>
              </w:rPr>
            </w:pPr>
            <w:r w:rsidRPr="00B44B19">
              <w:rPr>
                <w:rFonts w:ascii="Times New Roman" w:hAnsi="Times New Roman" w:cs="Times New Roman"/>
                <w:spacing w:val="-6"/>
                <w:sz w:val="20"/>
                <w:szCs w:val="20"/>
              </w:rPr>
              <w:t>ESF+</w:t>
            </w:r>
          </w:p>
        </w:tc>
        <w:tc>
          <w:tcPr>
            <w:tcW w:w="1144" w:type="dxa"/>
            <w:tcBorders>
              <w:top w:val="single" w:sz="4" w:space="0" w:color="auto"/>
            </w:tcBorders>
          </w:tcPr>
          <w:p w14:paraId="7A0504FD" w14:textId="2048FFBA" w:rsidR="00147C40" w:rsidRPr="00B44B19" w:rsidRDefault="00147C40" w:rsidP="00631A38">
            <w:pPr>
              <w:spacing w:before="60" w:after="60" w:line="240" w:lineRule="auto"/>
              <w:rPr>
                <w:rFonts w:ascii="Times New Roman" w:hAnsi="Times New Roman" w:cs="Times New Roman"/>
                <w:spacing w:val="-6"/>
                <w:sz w:val="20"/>
                <w:szCs w:val="20"/>
                <w:lang w:val="lt-LT"/>
              </w:rPr>
            </w:pPr>
            <w:r w:rsidRPr="00B44B19">
              <w:rPr>
                <w:rFonts w:ascii="Times New Roman" w:hAnsi="Times New Roman" w:cs="Times New Roman"/>
                <w:spacing w:val="-6"/>
                <w:sz w:val="20"/>
                <w:szCs w:val="20"/>
                <w:lang w:val="lt-LT"/>
              </w:rPr>
              <w:t>VVL regionas</w:t>
            </w:r>
          </w:p>
        </w:tc>
        <w:tc>
          <w:tcPr>
            <w:tcW w:w="861" w:type="dxa"/>
            <w:tcBorders>
              <w:top w:val="single" w:sz="4" w:space="0" w:color="auto"/>
            </w:tcBorders>
          </w:tcPr>
          <w:p w14:paraId="2D9D4670" w14:textId="29C24ED1" w:rsidR="00147C40" w:rsidRPr="00B44B19" w:rsidRDefault="00147C40" w:rsidP="00631A38">
            <w:pPr>
              <w:spacing w:before="60" w:after="60" w:line="240" w:lineRule="auto"/>
              <w:rPr>
                <w:rFonts w:ascii="Times New Roman" w:hAnsi="Times New Roman" w:cs="Times New Roman"/>
                <w:sz w:val="20"/>
                <w:szCs w:val="20"/>
                <w:lang w:val="lt-LT"/>
              </w:rPr>
            </w:pPr>
            <w:r w:rsidRPr="00B44B19">
              <w:rPr>
                <w:rFonts w:ascii="Times New Roman" w:hAnsi="Times New Roman" w:cs="Times New Roman"/>
                <w:sz w:val="20"/>
                <w:szCs w:val="20"/>
                <w:lang w:val="lt-LT"/>
              </w:rPr>
              <w:t>ERPF</w:t>
            </w:r>
          </w:p>
        </w:tc>
        <w:tc>
          <w:tcPr>
            <w:tcW w:w="1715" w:type="dxa"/>
            <w:tcBorders>
              <w:top w:val="single" w:sz="4" w:space="0" w:color="auto"/>
            </w:tcBorders>
          </w:tcPr>
          <w:p w14:paraId="05A3F927" w14:textId="0D113602" w:rsidR="00147C40" w:rsidRPr="00B44B19" w:rsidRDefault="00147C40" w:rsidP="00631A38">
            <w:pPr>
              <w:spacing w:before="60" w:after="60" w:line="240" w:lineRule="auto"/>
              <w:rPr>
                <w:rFonts w:ascii="Times New Roman" w:hAnsi="Times New Roman" w:cs="Times New Roman"/>
                <w:sz w:val="20"/>
                <w:szCs w:val="20"/>
                <w:lang w:val="lt-LT"/>
              </w:rPr>
            </w:pPr>
            <w:r w:rsidRPr="00B44B19">
              <w:rPr>
                <w:rFonts w:ascii="Times New Roman" w:hAnsi="Times New Roman" w:cs="Times New Roman"/>
                <w:sz w:val="20"/>
                <w:szCs w:val="20"/>
                <w:lang w:val="lt-LT"/>
              </w:rPr>
              <w:t>VVL regionas</w:t>
            </w:r>
          </w:p>
        </w:tc>
        <w:tc>
          <w:tcPr>
            <w:tcW w:w="1145" w:type="dxa"/>
            <w:tcBorders>
              <w:top w:val="single" w:sz="4" w:space="0" w:color="auto"/>
            </w:tcBorders>
          </w:tcPr>
          <w:p w14:paraId="7E9A0510" w14:textId="77777777" w:rsidR="00147C40" w:rsidRPr="00B44B19" w:rsidRDefault="00147C40" w:rsidP="00AF4DED">
            <w:pPr>
              <w:rPr>
                <w:rFonts w:ascii="Times New Roman" w:hAnsi="Times New Roman" w:cs="Times New Roman"/>
                <w:sz w:val="20"/>
              </w:rPr>
            </w:pPr>
          </w:p>
        </w:tc>
        <w:tc>
          <w:tcPr>
            <w:tcW w:w="1288" w:type="dxa"/>
            <w:tcBorders>
              <w:top w:val="single" w:sz="4" w:space="0" w:color="auto"/>
            </w:tcBorders>
          </w:tcPr>
          <w:p w14:paraId="75C123FB" w14:textId="77777777" w:rsidR="00147C40" w:rsidRPr="00B44B19" w:rsidRDefault="00147C40" w:rsidP="00AF4DED">
            <w:pPr>
              <w:rPr>
                <w:rFonts w:ascii="Times New Roman" w:hAnsi="Times New Roman" w:cs="Times New Roman"/>
                <w:sz w:val="20"/>
              </w:rPr>
            </w:pPr>
          </w:p>
        </w:tc>
        <w:tc>
          <w:tcPr>
            <w:tcW w:w="1287" w:type="dxa"/>
            <w:tcBorders>
              <w:top w:val="single" w:sz="4" w:space="0" w:color="auto"/>
            </w:tcBorders>
          </w:tcPr>
          <w:p w14:paraId="0D8E470D" w14:textId="77777777" w:rsidR="00147C40" w:rsidRPr="00B44B19" w:rsidRDefault="00147C40" w:rsidP="00AF4DED">
            <w:pPr>
              <w:rPr>
                <w:rFonts w:ascii="Times New Roman" w:hAnsi="Times New Roman" w:cs="Times New Roman"/>
                <w:sz w:val="20"/>
              </w:rPr>
            </w:pPr>
          </w:p>
        </w:tc>
        <w:tc>
          <w:tcPr>
            <w:tcW w:w="1145" w:type="dxa"/>
            <w:tcBorders>
              <w:top w:val="single" w:sz="4" w:space="0" w:color="auto"/>
            </w:tcBorders>
          </w:tcPr>
          <w:p w14:paraId="264882BC" w14:textId="77777777" w:rsidR="00147C40" w:rsidRPr="00B44B19" w:rsidRDefault="00147C40" w:rsidP="00AF4DED">
            <w:pPr>
              <w:rPr>
                <w:rFonts w:ascii="Times New Roman" w:hAnsi="Times New Roman" w:cs="Times New Roman"/>
                <w:sz w:val="20"/>
              </w:rPr>
            </w:pPr>
          </w:p>
        </w:tc>
        <w:tc>
          <w:tcPr>
            <w:tcW w:w="1488" w:type="dxa"/>
            <w:tcBorders>
              <w:top w:val="single" w:sz="4" w:space="0" w:color="auto"/>
            </w:tcBorders>
          </w:tcPr>
          <w:p w14:paraId="46CC24F0" w14:textId="3EA2C642" w:rsidR="00147C40" w:rsidRPr="00B44B19" w:rsidRDefault="00147C40" w:rsidP="00AF4DED">
            <w:pPr>
              <w:rPr>
                <w:rFonts w:ascii="Times New Roman" w:hAnsi="Times New Roman" w:cs="Times New Roman"/>
                <w:color w:val="000000"/>
                <w:sz w:val="20"/>
                <w:szCs w:val="20"/>
              </w:rPr>
            </w:pPr>
            <w:r w:rsidRPr="00B44B19">
              <w:rPr>
                <w:rFonts w:ascii="Times New Roman" w:hAnsi="Times New Roman" w:cs="Times New Roman"/>
                <w:color w:val="000000"/>
                <w:sz w:val="20"/>
                <w:szCs w:val="20"/>
              </w:rPr>
              <w:t>25 985 014</w:t>
            </w:r>
          </w:p>
        </w:tc>
        <w:tc>
          <w:tcPr>
            <w:tcW w:w="1418" w:type="dxa"/>
            <w:tcBorders>
              <w:top w:val="single" w:sz="4" w:space="0" w:color="auto"/>
            </w:tcBorders>
          </w:tcPr>
          <w:p w14:paraId="20B1DF56" w14:textId="6D75F44A" w:rsidR="00147C40" w:rsidRPr="00B44B19" w:rsidRDefault="00147C40" w:rsidP="00AF4DED">
            <w:pPr>
              <w:rPr>
                <w:rFonts w:ascii="Times New Roman" w:hAnsi="Times New Roman" w:cs="Times New Roman"/>
                <w:color w:val="000000"/>
                <w:sz w:val="20"/>
                <w:szCs w:val="20"/>
              </w:rPr>
            </w:pPr>
            <w:r w:rsidRPr="00B44B19">
              <w:rPr>
                <w:rFonts w:ascii="Times New Roman" w:hAnsi="Times New Roman" w:cs="Times New Roman"/>
                <w:color w:val="000000"/>
                <w:sz w:val="20"/>
                <w:szCs w:val="20"/>
              </w:rPr>
              <w:t>25 985 015</w:t>
            </w:r>
          </w:p>
        </w:tc>
        <w:tc>
          <w:tcPr>
            <w:tcW w:w="1655" w:type="dxa"/>
            <w:tcBorders>
              <w:top w:val="single" w:sz="4" w:space="0" w:color="auto"/>
            </w:tcBorders>
          </w:tcPr>
          <w:p w14:paraId="62D1990B" w14:textId="22DF2512" w:rsidR="00147C40" w:rsidRPr="00B44B19" w:rsidRDefault="00147C40" w:rsidP="00AF4DED">
            <w:pPr>
              <w:rPr>
                <w:rFonts w:ascii="Times New Roman" w:hAnsi="Times New Roman" w:cs="Times New Roman"/>
                <w:color w:val="000000"/>
                <w:sz w:val="20"/>
                <w:szCs w:val="20"/>
              </w:rPr>
            </w:pPr>
            <w:r w:rsidRPr="00B44B19">
              <w:rPr>
                <w:rFonts w:ascii="Times New Roman" w:hAnsi="Times New Roman" w:cs="Times New Roman"/>
                <w:color w:val="000000"/>
                <w:sz w:val="20"/>
                <w:szCs w:val="20"/>
              </w:rPr>
              <w:t>51 970 029</w:t>
            </w:r>
          </w:p>
        </w:tc>
      </w:tr>
    </w:tbl>
    <w:p w14:paraId="5FBA314F" w14:textId="77777777" w:rsidR="008F2A82" w:rsidRPr="00B44B19" w:rsidRDefault="008F2A82" w:rsidP="008F2A82">
      <w:pPr>
        <w:spacing w:after="0"/>
        <w:rPr>
          <w:rFonts w:cs="Times New Roman"/>
        </w:rPr>
      </w:pPr>
    </w:p>
    <w:p w14:paraId="3F3ABF58" w14:textId="77777777" w:rsidR="00960459" w:rsidRPr="00B44B19" w:rsidRDefault="00960459" w:rsidP="008F2A82">
      <w:pPr>
        <w:spacing w:after="0"/>
        <w:rPr>
          <w:rFonts w:eastAsia="Calibri" w:cs="Times New Roman"/>
          <w:b/>
          <w:sz w:val="22"/>
        </w:rPr>
      </w:pPr>
    </w:p>
    <w:p w14:paraId="05027C6B" w14:textId="4A266D45" w:rsidR="008F2A82" w:rsidRPr="00B44B19" w:rsidRDefault="009629DB" w:rsidP="008F2A82">
      <w:pPr>
        <w:spacing w:after="0"/>
        <w:rPr>
          <w:rFonts w:cs="Times New Roman"/>
          <w:b/>
          <w:sz w:val="22"/>
        </w:rPr>
      </w:pPr>
      <w:r w:rsidRPr="00B44B19">
        <w:rPr>
          <w:rFonts w:eastAsia="Calibri" w:cs="Times New Roman"/>
          <w:b/>
          <w:sz w:val="22"/>
        </w:rPr>
        <w:t>4</w:t>
      </w:r>
      <w:r w:rsidR="00542C71" w:rsidRPr="00B44B19">
        <w:rPr>
          <w:rFonts w:eastAsia="Calibri" w:cs="Times New Roman"/>
          <w:b/>
          <w:sz w:val="22"/>
        </w:rPr>
        <w:t xml:space="preserve">. </w:t>
      </w:r>
      <w:r w:rsidR="008F2A82" w:rsidRPr="00B44B19">
        <w:rPr>
          <w:rFonts w:eastAsia="Calibri" w:cs="Times New Roman"/>
          <w:b/>
          <w:sz w:val="22"/>
        </w:rPr>
        <w:t>lentelė. Lėšų perkėlimas tarp ERPF, ESF+ ir Sanglaudos fondo arba į kitą fondą ar fondus (suvestinė)</w:t>
      </w:r>
    </w:p>
    <w:tbl>
      <w:tblPr>
        <w:tblStyle w:val="Lentelstinklelis15"/>
        <w:tblW w:w="2823" w:type="pct"/>
        <w:tblLook w:val="04A0" w:firstRow="1" w:lastRow="0" w:firstColumn="1" w:lastColumn="0" w:noHBand="0" w:noVBand="1"/>
      </w:tblPr>
      <w:tblGrid>
        <w:gridCol w:w="2423"/>
        <w:gridCol w:w="2853"/>
        <w:gridCol w:w="2853"/>
      </w:tblGrid>
      <w:tr w:rsidR="00181D35" w:rsidRPr="00B44B19" w14:paraId="2092CC42" w14:textId="2FE655F2" w:rsidTr="00181D35">
        <w:trPr>
          <w:trHeight w:val="191"/>
        </w:trPr>
        <w:tc>
          <w:tcPr>
            <w:tcW w:w="1490" w:type="pct"/>
            <w:vMerge w:val="restart"/>
            <w:tcBorders>
              <w:top w:val="single" w:sz="12" w:space="0" w:color="auto"/>
              <w:left w:val="single" w:sz="12" w:space="0" w:color="auto"/>
              <w:right w:val="single" w:sz="12" w:space="0" w:color="auto"/>
              <w:tl2br w:val="nil"/>
            </w:tcBorders>
            <w:shd w:val="clear" w:color="auto" w:fill="B8CCE4" w:themeFill="accent1" w:themeFillTint="66"/>
          </w:tcPr>
          <w:p w14:paraId="4B6BCABF" w14:textId="77777777" w:rsidR="00181D35" w:rsidRPr="00B44B19" w:rsidRDefault="00181D35" w:rsidP="0021211C">
            <w:pPr>
              <w:spacing w:after="0" w:line="240" w:lineRule="auto"/>
              <w:rPr>
                <w:rFonts w:ascii="Times New Roman" w:hAnsi="Times New Roman" w:cs="Times New Roman"/>
                <w:spacing w:val="-6"/>
                <w:sz w:val="20"/>
                <w:szCs w:val="20"/>
                <w:lang w:val="lt-LT"/>
              </w:rPr>
            </w:pPr>
          </w:p>
        </w:tc>
        <w:tc>
          <w:tcPr>
            <w:tcW w:w="3510" w:type="pct"/>
            <w:gridSpan w:val="2"/>
            <w:tcBorders>
              <w:top w:val="single" w:sz="12" w:space="0" w:color="auto"/>
              <w:left w:val="single" w:sz="12" w:space="0" w:color="auto"/>
              <w:right w:val="single" w:sz="12" w:space="0" w:color="auto"/>
            </w:tcBorders>
            <w:shd w:val="clear" w:color="auto" w:fill="B8CCE4" w:themeFill="accent1" w:themeFillTint="66"/>
          </w:tcPr>
          <w:p w14:paraId="327BF16B" w14:textId="13CF194C" w:rsidR="00181D35" w:rsidRPr="00B44B19" w:rsidRDefault="00181D35" w:rsidP="00181D35">
            <w:pPr>
              <w:spacing w:after="0" w:line="240" w:lineRule="auto"/>
              <w:jc w:val="center"/>
              <w:rPr>
                <w:rFonts w:ascii="Times New Roman" w:hAnsi="Times New Roman" w:cs="Times New Roman"/>
                <w:b/>
                <w:spacing w:val="-6"/>
                <w:sz w:val="20"/>
                <w:szCs w:val="20"/>
              </w:rPr>
            </w:pPr>
            <w:r w:rsidRPr="00B44B19">
              <w:rPr>
                <w:rFonts w:ascii="Times New Roman" w:hAnsi="Times New Roman" w:cs="Times New Roman"/>
                <w:b/>
                <w:spacing w:val="-6"/>
                <w:sz w:val="20"/>
                <w:szCs w:val="20"/>
              </w:rPr>
              <w:t>ERPF</w:t>
            </w:r>
          </w:p>
        </w:tc>
      </w:tr>
      <w:tr w:rsidR="00181D35" w:rsidRPr="00B44B19" w14:paraId="2B456498" w14:textId="57E95ACE" w:rsidTr="00181D35">
        <w:trPr>
          <w:trHeight w:val="247"/>
        </w:trPr>
        <w:tc>
          <w:tcPr>
            <w:tcW w:w="1490" w:type="pct"/>
            <w:vMerge/>
            <w:tcBorders>
              <w:left w:val="single" w:sz="12" w:space="0" w:color="auto"/>
              <w:bottom w:val="single" w:sz="4" w:space="0" w:color="auto"/>
              <w:right w:val="single" w:sz="12" w:space="0" w:color="auto"/>
              <w:tl2br w:val="nil"/>
            </w:tcBorders>
            <w:shd w:val="clear" w:color="auto" w:fill="B8CCE4" w:themeFill="accent1" w:themeFillTint="66"/>
          </w:tcPr>
          <w:p w14:paraId="3AB2B3D4" w14:textId="77777777" w:rsidR="00181D35" w:rsidRPr="00B44B19" w:rsidRDefault="00181D35" w:rsidP="0021211C">
            <w:pPr>
              <w:spacing w:after="0" w:line="240" w:lineRule="auto"/>
              <w:rPr>
                <w:rFonts w:ascii="Times New Roman" w:hAnsi="Times New Roman" w:cs="Times New Roman"/>
                <w:spacing w:val="-6"/>
                <w:sz w:val="20"/>
                <w:szCs w:val="20"/>
              </w:rPr>
            </w:pPr>
          </w:p>
        </w:tc>
        <w:tc>
          <w:tcPr>
            <w:tcW w:w="1755" w:type="pct"/>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74A9A5AA" w14:textId="77777777" w:rsidR="00181D35" w:rsidRPr="00B44B19" w:rsidRDefault="00181D35" w:rsidP="0021211C">
            <w:pPr>
              <w:spacing w:after="0" w:line="240" w:lineRule="auto"/>
              <w:jc w:val="center"/>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Sostinės regionas</w:t>
            </w:r>
          </w:p>
        </w:tc>
        <w:tc>
          <w:tcPr>
            <w:tcW w:w="1755" w:type="pct"/>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2E4D6EDF" w14:textId="0FFF38F9" w:rsidR="00181D35" w:rsidRPr="00B44B19" w:rsidRDefault="00181D35" w:rsidP="0021211C">
            <w:pPr>
              <w:spacing w:after="0" w:line="240" w:lineRule="auto"/>
              <w:jc w:val="center"/>
              <w:rPr>
                <w:rFonts w:ascii="Times New Roman" w:hAnsi="Times New Roman" w:cs="Times New Roman"/>
                <w:b/>
                <w:spacing w:val="-6"/>
                <w:sz w:val="20"/>
                <w:szCs w:val="20"/>
              </w:rPr>
            </w:pPr>
            <w:r w:rsidRPr="00B44B19">
              <w:rPr>
                <w:rFonts w:ascii="Times New Roman" w:hAnsi="Times New Roman" w:cs="Times New Roman"/>
                <w:b/>
                <w:spacing w:val="-6"/>
                <w:sz w:val="20"/>
                <w:szCs w:val="20"/>
              </w:rPr>
              <w:t xml:space="preserve">VVL </w:t>
            </w:r>
            <w:r w:rsidRPr="00B44B19">
              <w:rPr>
                <w:rFonts w:ascii="Times New Roman" w:hAnsi="Times New Roman" w:cs="Times New Roman"/>
                <w:b/>
                <w:spacing w:val="-6"/>
                <w:sz w:val="20"/>
                <w:szCs w:val="20"/>
                <w:lang w:val="lt-LT"/>
              </w:rPr>
              <w:t>regionas</w:t>
            </w:r>
          </w:p>
        </w:tc>
      </w:tr>
      <w:tr w:rsidR="00181D35" w:rsidRPr="00B44B19" w14:paraId="5F10B4F3" w14:textId="6BA33946" w:rsidTr="00181D35">
        <w:tc>
          <w:tcPr>
            <w:tcW w:w="1490" w:type="pct"/>
            <w:tcBorders>
              <w:top w:val="single" w:sz="12" w:space="0" w:color="auto"/>
              <w:left w:val="single" w:sz="12" w:space="0" w:color="auto"/>
              <w:bottom w:val="single" w:sz="4" w:space="0" w:color="auto"/>
              <w:right w:val="single" w:sz="12" w:space="0" w:color="auto"/>
            </w:tcBorders>
            <w:shd w:val="clear" w:color="auto" w:fill="B8CCE4" w:themeFill="accent1" w:themeFillTint="66"/>
          </w:tcPr>
          <w:p w14:paraId="2030DC2F" w14:textId="77777777" w:rsidR="00181D35" w:rsidRPr="00B44B19" w:rsidRDefault="00181D35" w:rsidP="0021211C">
            <w:pPr>
              <w:spacing w:after="0" w:line="240" w:lineRule="auto"/>
              <w:rPr>
                <w:rFonts w:ascii="Times New Roman" w:hAnsi="Times New Roman" w:cs="Times New Roman"/>
                <w:b/>
                <w:spacing w:val="-6"/>
                <w:sz w:val="20"/>
                <w:szCs w:val="20"/>
                <w:lang w:val="lt-LT"/>
              </w:rPr>
            </w:pPr>
            <w:r w:rsidRPr="00B44B19">
              <w:rPr>
                <w:rFonts w:ascii="Times New Roman" w:hAnsi="Times New Roman" w:cs="Times New Roman"/>
                <w:b/>
                <w:spacing w:val="-6"/>
                <w:sz w:val="20"/>
                <w:szCs w:val="20"/>
                <w:lang w:val="lt-LT"/>
              </w:rPr>
              <w:t>Sanglaudos fondas</w:t>
            </w:r>
          </w:p>
        </w:tc>
        <w:tc>
          <w:tcPr>
            <w:tcW w:w="1755" w:type="pct"/>
            <w:tcBorders>
              <w:top w:val="single" w:sz="12" w:space="0" w:color="auto"/>
              <w:left w:val="single" w:sz="12" w:space="0" w:color="auto"/>
              <w:bottom w:val="single" w:sz="4" w:space="0" w:color="auto"/>
            </w:tcBorders>
          </w:tcPr>
          <w:p w14:paraId="0D7BBD10" w14:textId="77777777" w:rsidR="00181D35" w:rsidRPr="00B44B19" w:rsidRDefault="00181D35" w:rsidP="00676F1B">
            <w:pPr>
              <w:spacing w:after="0" w:line="240" w:lineRule="auto"/>
              <w:jc w:val="center"/>
              <w:rPr>
                <w:rFonts w:ascii="Times New Roman" w:hAnsi="Times New Roman" w:cs="Times New Roman"/>
                <w:sz w:val="20"/>
                <w:szCs w:val="20"/>
              </w:rPr>
            </w:pPr>
            <w:r w:rsidRPr="00B44B19">
              <w:rPr>
                <w:rFonts w:ascii="Times New Roman" w:hAnsi="Times New Roman" w:cs="Times New Roman"/>
                <w:sz w:val="20"/>
                <w:szCs w:val="20"/>
              </w:rPr>
              <w:t>170 243 967</w:t>
            </w:r>
          </w:p>
        </w:tc>
        <w:tc>
          <w:tcPr>
            <w:tcW w:w="1755" w:type="pct"/>
            <w:tcBorders>
              <w:top w:val="single" w:sz="12" w:space="0" w:color="auto"/>
              <w:left w:val="single" w:sz="12" w:space="0" w:color="auto"/>
              <w:bottom w:val="single" w:sz="4" w:space="0" w:color="auto"/>
            </w:tcBorders>
          </w:tcPr>
          <w:p w14:paraId="6FD93195" w14:textId="77777777" w:rsidR="00181D35" w:rsidRPr="00B44B19" w:rsidRDefault="00181D35" w:rsidP="00676F1B">
            <w:pPr>
              <w:spacing w:after="0" w:line="240" w:lineRule="auto"/>
              <w:jc w:val="center"/>
              <w:rPr>
                <w:rFonts w:ascii="Times New Roman" w:hAnsi="Times New Roman" w:cs="Times New Roman"/>
                <w:sz w:val="20"/>
                <w:szCs w:val="20"/>
              </w:rPr>
            </w:pPr>
          </w:p>
        </w:tc>
      </w:tr>
      <w:tr w:rsidR="00181D35" w:rsidRPr="00B44B19" w14:paraId="1232206A" w14:textId="7A500468" w:rsidTr="00181D35">
        <w:tc>
          <w:tcPr>
            <w:tcW w:w="149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9856BA" w14:textId="1EC7BBD7" w:rsidR="00181D35" w:rsidRPr="00B44B19" w:rsidRDefault="00181D35" w:rsidP="0021211C">
            <w:pPr>
              <w:spacing w:after="0" w:line="240" w:lineRule="auto"/>
              <w:rPr>
                <w:rFonts w:ascii="Times New Roman" w:hAnsi="Times New Roman" w:cs="Times New Roman"/>
                <w:b/>
                <w:spacing w:val="-6"/>
                <w:sz w:val="20"/>
                <w:szCs w:val="20"/>
              </w:rPr>
            </w:pPr>
            <w:r w:rsidRPr="00B44B19">
              <w:rPr>
                <w:rFonts w:ascii="Times New Roman" w:hAnsi="Times New Roman" w:cs="Times New Roman"/>
                <w:b/>
                <w:spacing w:val="-6"/>
                <w:sz w:val="20"/>
                <w:szCs w:val="20"/>
              </w:rPr>
              <w:t>ESF+</w:t>
            </w:r>
          </w:p>
        </w:tc>
        <w:tc>
          <w:tcPr>
            <w:tcW w:w="1755" w:type="pct"/>
            <w:tcBorders>
              <w:top w:val="single" w:sz="4" w:space="0" w:color="auto"/>
              <w:left w:val="single" w:sz="4" w:space="0" w:color="auto"/>
              <w:bottom w:val="single" w:sz="4" w:space="0" w:color="auto"/>
            </w:tcBorders>
          </w:tcPr>
          <w:p w14:paraId="7343FC47" w14:textId="5D84E9AD" w:rsidR="00181D35" w:rsidRPr="00B44B19" w:rsidRDefault="00181D35" w:rsidP="00181D35">
            <w:pPr>
              <w:jc w:val="center"/>
              <w:rPr>
                <w:rFonts w:ascii="Times New Roman" w:hAnsi="Times New Roman" w:cs="Times New Roman"/>
                <w:color w:val="000000"/>
                <w:sz w:val="20"/>
                <w:szCs w:val="20"/>
              </w:rPr>
            </w:pPr>
            <w:r w:rsidRPr="00B44B19">
              <w:rPr>
                <w:rFonts w:ascii="Times New Roman" w:hAnsi="Times New Roman" w:cs="Times New Roman"/>
                <w:color w:val="000000"/>
                <w:sz w:val="20"/>
                <w:szCs w:val="20"/>
              </w:rPr>
              <w:t>2 884 971</w:t>
            </w:r>
          </w:p>
        </w:tc>
        <w:tc>
          <w:tcPr>
            <w:tcW w:w="1755" w:type="pct"/>
            <w:tcBorders>
              <w:top w:val="single" w:sz="4" w:space="0" w:color="auto"/>
              <w:left w:val="single" w:sz="4" w:space="0" w:color="auto"/>
              <w:bottom w:val="single" w:sz="4" w:space="0" w:color="auto"/>
            </w:tcBorders>
          </w:tcPr>
          <w:p w14:paraId="6AC5FD8B" w14:textId="77777777" w:rsidR="00181D35" w:rsidRPr="00B44B19" w:rsidRDefault="00181D35" w:rsidP="00D10080">
            <w:pPr>
              <w:jc w:val="center"/>
              <w:rPr>
                <w:rFonts w:ascii="Times New Roman" w:hAnsi="Times New Roman" w:cs="Times New Roman"/>
                <w:color w:val="000000"/>
                <w:sz w:val="20"/>
                <w:szCs w:val="20"/>
              </w:rPr>
            </w:pPr>
          </w:p>
        </w:tc>
      </w:tr>
      <w:tr w:rsidR="00181D35" w:rsidRPr="00B44B19" w14:paraId="442191AF" w14:textId="489CAFC3" w:rsidTr="00181D35">
        <w:tc>
          <w:tcPr>
            <w:tcW w:w="149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6A5D60" w14:textId="60C8A763" w:rsidR="00181D35" w:rsidRPr="00B44B19" w:rsidRDefault="00181D35" w:rsidP="0021211C">
            <w:pPr>
              <w:spacing w:after="0" w:line="240" w:lineRule="auto"/>
              <w:rPr>
                <w:rFonts w:ascii="Times New Roman" w:hAnsi="Times New Roman" w:cs="Times New Roman"/>
                <w:b/>
                <w:spacing w:val="-6"/>
                <w:sz w:val="20"/>
                <w:szCs w:val="20"/>
              </w:rPr>
            </w:pPr>
            <w:r w:rsidRPr="00B44B19">
              <w:rPr>
                <w:rFonts w:ascii="Times New Roman" w:hAnsi="Times New Roman" w:cs="Times New Roman"/>
                <w:b/>
                <w:spacing w:val="-6"/>
                <w:sz w:val="20"/>
                <w:szCs w:val="20"/>
              </w:rPr>
              <w:t>ESF+</w:t>
            </w:r>
          </w:p>
        </w:tc>
        <w:tc>
          <w:tcPr>
            <w:tcW w:w="1755" w:type="pct"/>
            <w:tcBorders>
              <w:top w:val="single" w:sz="4" w:space="0" w:color="auto"/>
              <w:left w:val="single" w:sz="4" w:space="0" w:color="auto"/>
              <w:bottom w:val="single" w:sz="4" w:space="0" w:color="auto"/>
            </w:tcBorders>
          </w:tcPr>
          <w:p w14:paraId="128CF1B6" w14:textId="77777777" w:rsidR="00181D35" w:rsidRPr="00B44B19" w:rsidRDefault="00181D35" w:rsidP="00676F1B">
            <w:pPr>
              <w:spacing w:after="0" w:line="240" w:lineRule="auto"/>
              <w:jc w:val="center"/>
              <w:rPr>
                <w:rFonts w:ascii="Times New Roman" w:hAnsi="Times New Roman" w:cs="Times New Roman"/>
                <w:sz w:val="20"/>
                <w:szCs w:val="20"/>
              </w:rPr>
            </w:pPr>
          </w:p>
        </w:tc>
        <w:tc>
          <w:tcPr>
            <w:tcW w:w="1755" w:type="pct"/>
            <w:tcBorders>
              <w:top w:val="single" w:sz="4" w:space="0" w:color="auto"/>
              <w:left w:val="single" w:sz="4" w:space="0" w:color="auto"/>
              <w:bottom w:val="single" w:sz="4" w:space="0" w:color="auto"/>
            </w:tcBorders>
          </w:tcPr>
          <w:p w14:paraId="3E0FA5D4" w14:textId="1C24C18D" w:rsidR="00181D35" w:rsidRPr="00B44B19" w:rsidRDefault="00181D35" w:rsidP="00181D35">
            <w:pPr>
              <w:jc w:val="center"/>
              <w:rPr>
                <w:rFonts w:ascii="Times New Roman" w:hAnsi="Times New Roman" w:cs="Times New Roman"/>
                <w:color w:val="000000"/>
                <w:sz w:val="20"/>
                <w:szCs w:val="20"/>
              </w:rPr>
            </w:pPr>
            <w:r w:rsidRPr="00B44B19">
              <w:rPr>
                <w:rFonts w:ascii="Times New Roman" w:hAnsi="Times New Roman" w:cs="Times New Roman"/>
                <w:color w:val="000000"/>
                <w:sz w:val="20"/>
                <w:szCs w:val="20"/>
              </w:rPr>
              <w:t>51 970 029</w:t>
            </w:r>
          </w:p>
        </w:tc>
      </w:tr>
    </w:tbl>
    <w:p w14:paraId="1EFAB994" w14:textId="77777777" w:rsidR="008F2A82" w:rsidRPr="00B44B19" w:rsidRDefault="008F2A82" w:rsidP="003E01B7">
      <w:pPr>
        <w:spacing w:after="0"/>
        <w:rPr>
          <w:rFonts w:cs="Times New Roman"/>
        </w:rPr>
      </w:pPr>
    </w:p>
    <w:tbl>
      <w:tblPr>
        <w:tblStyle w:val="Lentelstinklelis"/>
        <w:tblW w:w="0" w:type="auto"/>
        <w:tblLook w:val="04A0" w:firstRow="1" w:lastRow="0" w:firstColumn="1" w:lastColumn="0" w:noHBand="0" w:noVBand="1"/>
      </w:tblPr>
      <w:tblGrid>
        <w:gridCol w:w="14312"/>
      </w:tblGrid>
      <w:tr w:rsidR="0021211C" w:rsidRPr="00B44B19" w14:paraId="193912F5" w14:textId="77777777" w:rsidTr="00D27D25">
        <w:tc>
          <w:tcPr>
            <w:tcW w:w="14312" w:type="dxa"/>
          </w:tcPr>
          <w:p w14:paraId="5AEBA894" w14:textId="77777777" w:rsidR="0021211C" w:rsidRPr="00B44B19" w:rsidRDefault="003E01B7" w:rsidP="00BA52CF">
            <w:pPr>
              <w:spacing w:before="120" w:after="120"/>
              <w:rPr>
                <w:rFonts w:cs="Times New Roman"/>
                <w:sz w:val="22"/>
              </w:rPr>
            </w:pPr>
            <w:r w:rsidRPr="00B44B19">
              <w:rPr>
                <w:rFonts w:cs="Times New Roman"/>
                <w:b/>
                <w:sz w:val="22"/>
              </w:rPr>
              <w:t>Pagrindimas.</w:t>
            </w:r>
            <w:r w:rsidRPr="00B44B19">
              <w:rPr>
                <w:rFonts w:cs="Times New Roman"/>
                <w:sz w:val="22"/>
              </w:rPr>
              <w:t xml:space="preserve"> ERPF ir </w:t>
            </w:r>
            <w:r w:rsidR="00BA52CF" w:rsidRPr="00B44B19">
              <w:rPr>
                <w:rFonts w:cs="Times New Roman"/>
                <w:sz w:val="22"/>
              </w:rPr>
              <w:t>SaF</w:t>
            </w:r>
            <w:r w:rsidRPr="00B44B19">
              <w:rPr>
                <w:rFonts w:cs="Times New Roman"/>
                <w:sz w:val="22"/>
              </w:rPr>
              <w:t xml:space="preserve"> reglamento 4 str. numato, kad valstybės narės turi skirti bent 25 % savo ERPF 1 politikos tikslui ir bent 30 % – 2 politikos tikslui. Todėl siekdami išlaikyti šį reglamento reikalavimą, ypač 2 politikos tikslui, bei atsižvelgiant į paskutinius reglamento pakeitimus, kad jeigu darnaus judumo veiklos būtų fin</w:t>
            </w:r>
            <w:r w:rsidR="00BA52CF" w:rsidRPr="00B44B19">
              <w:rPr>
                <w:rFonts w:cs="Times New Roman"/>
                <w:sz w:val="22"/>
              </w:rPr>
              <w:t>ansuojamos iš ERPF, tai 50 %</w:t>
            </w:r>
            <w:r w:rsidRPr="00B44B19">
              <w:rPr>
                <w:rFonts w:cs="Times New Roman"/>
                <w:sz w:val="22"/>
              </w:rPr>
              <w:t xml:space="preserve"> šių lėšų prisidėtų prie teminės koncentracijos 2 politikos tikslui, turime </w:t>
            </w:r>
            <w:r w:rsidR="008C224A" w:rsidRPr="00B44B19">
              <w:rPr>
                <w:rFonts w:cs="Times New Roman"/>
                <w:sz w:val="22"/>
              </w:rPr>
              <w:t>12</w:t>
            </w:r>
            <w:r w:rsidR="00BA52CF" w:rsidRPr="00B44B19">
              <w:rPr>
                <w:rFonts w:cs="Times New Roman"/>
                <w:sz w:val="22"/>
              </w:rPr>
              <w:t> %</w:t>
            </w:r>
            <w:r w:rsidR="006413FF" w:rsidRPr="00B44B19">
              <w:rPr>
                <w:rFonts w:cs="Times New Roman"/>
                <w:sz w:val="22"/>
              </w:rPr>
              <w:t xml:space="preserve"> </w:t>
            </w:r>
            <w:r w:rsidR="00BA52CF" w:rsidRPr="00B44B19">
              <w:rPr>
                <w:rFonts w:cs="Times New Roman"/>
                <w:sz w:val="22"/>
              </w:rPr>
              <w:t>SaF</w:t>
            </w:r>
            <w:r w:rsidR="006413FF" w:rsidRPr="00B44B19">
              <w:rPr>
                <w:rFonts w:cs="Times New Roman"/>
                <w:sz w:val="22"/>
              </w:rPr>
              <w:t xml:space="preserve"> lėšų per</w:t>
            </w:r>
            <w:r w:rsidRPr="00B44B19">
              <w:rPr>
                <w:rFonts w:cs="Times New Roman"/>
                <w:sz w:val="22"/>
              </w:rPr>
              <w:t>kelti į ERPF.</w:t>
            </w:r>
          </w:p>
          <w:p w14:paraId="46A97BC9" w14:textId="6C3D421A" w:rsidR="00AF0692" w:rsidRPr="00B44B19" w:rsidRDefault="00AF0692" w:rsidP="00AF0692">
            <w:pPr>
              <w:spacing w:before="120" w:after="120"/>
              <w:jc w:val="both"/>
              <w:rPr>
                <w:rFonts w:cs="Times New Roman"/>
                <w:sz w:val="22"/>
              </w:rPr>
            </w:pPr>
            <w:r w:rsidRPr="00B44B19">
              <w:rPr>
                <w:rFonts w:cs="Times New Roman"/>
                <w:sz w:val="22"/>
              </w:rPr>
              <w:t>Siekiant atliepti svarbiausius poreikius šalies mastu ir užtikrinti ERPF lėšų poreikį naujoms veikloms įgyvendinti, siūloma 54,9 mln. Eur ESF+ lėšų perkelti į ERPF. Svarbu pažymėti, kad nors lėšos perkeliamos tarp šių fondų, jų panaudojimas išlieka tiesiogiai orientuotas į socialinius tikslus, kadangi jos bus skirtos socialinio būsto plėtrai (17 specialusis prioritetas) – sričiai, kuri laikoma prioritetine tiek ES, tiek Lietuvos mastu.</w:t>
            </w:r>
          </w:p>
          <w:p w14:paraId="6EFEB797" w14:textId="1178DBC6" w:rsidR="00AF0692" w:rsidRPr="00B44B19" w:rsidRDefault="00AF0692" w:rsidP="00AF0692">
            <w:pPr>
              <w:spacing w:before="120" w:after="120"/>
              <w:jc w:val="both"/>
              <w:rPr>
                <w:rFonts w:cs="Times New Roman"/>
                <w:sz w:val="22"/>
              </w:rPr>
            </w:pPr>
            <w:r w:rsidRPr="00B44B19">
              <w:rPr>
                <w:rFonts w:cs="Times New Roman"/>
                <w:sz w:val="22"/>
              </w:rPr>
              <w:t>Lėšų perkėlimas iš ESF+ į ERPF 17.1 uždavinio „Skatinti galimybes gauti prieinamą ir tvarų būstą“ tikslams siekti yra itin svarbus ir reikalingas. Vilniaus regionas, lyginant su kitais šalies regionais, pasižymi mažiausiu patenkintu socialinio būsto poreikiu – 47 proc. (šalies vidurkis 54 proc., 2023 m.), labiausiai prieinamas socialinis būstas Ukmergės r. (83 proc.) ir Švenčionių r. (71 proc.) savivaldybėse, mažiausiai – Vilniaus r. (28 proc.) ir Vilniaus m. (42 proc.) savivaldybėse</w:t>
            </w:r>
            <w:r w:rsidRPr="00B44B19">
              <w:rPr>
                <w:rFonts w:cs="Times New Roman"/>
                <w:sz w:val="22"/>
                <w:vertAlign w:val="superscript"/>
              </w:rPr>
              <w:t>1</w:t>
            </w:r>
            <w:r w:rsidR="0064720F" w:rsidRPr="00B44B19">
              <w:rPr>
                <w:rFonts w:cs="Times New Roman"/>
                <w:sz w:val="22"/>
              </w:rPr>
              <w:t>.</w:t>
            </w:r>
            <w:r w:rsidRPr="00B44B19">
              <w:rPr>
                <w:rFonts w:cs="Times New Roman"/>
                <w:sz w:val="22"/>
              </w:rPr>
              <w:t xml:space="preserve"> Taip pat, kai kuriose Vilniaus regiono savivaldybėse vidutinė socialinio būsto nuomos laukimo trukmė yra apie 10 m. (2024 m. duomenimis, vidutinė socialinio būsto nuomos laukimo trukmė šalyje buvo 5,63 m.). Šie skaičiai akivaizdžiai rodo, kad sostinės regione susidariusi kritinė situacija, kuri kelia </w:t>
            </w:r>
            <w:r w:rsidRPr="00B44B19">
              <w:rPr>
                <w:rFonts w:cs="Times New Roman"/>
                <w:sz w:val="22"/>
              </w:rPr>
              <w:lastRenderedPageBreak/>
              <w:t>socialinę įtampą ir didina pažeidžiamumą. Todėl lėšų perskirstymas socialinio būsto plėtrai į šį regioną yra ne tik socialinės, bet ir strateginės svarbos sprendimas, tiesiogiai prisidedantis prie bendrų Lietuvos ir ES socialinio teisingumo bei sanglaudos politikos tikslų įgyvendinimo, atitinkančių ir Investicijų programos laikotarpio vidurio peržiūros prioritetus.</w:t>
            </w:r>
          </w:p>
          <w:p w14:paraId="13AE1A71" w14:textId="04D8187C" w:rsidR="00AF0692" w:rsidRPr="00B44B19" w:rsidRDefault="00AF0692" w:rsidP="00AF0692">
            <w:pPr>
              <w:spacing w:before="120" w:after="120"/>
              <w:rPr>
                <w:rFonts w:cs="Times New Roman"/>
                <w:sz w:val="22"/>
              </w:rPr>
            </w:pPr>
            <w:r w:rsidRPr="00B44B19">
              <w:rPr>
                <w:rFonts w:cs="Times New Roman"/>
                <w:sz w:val="22"/>
                <w:vertAlign w:val="superscript"/>
              </w:rPr>
              <w:t>1</w:t>
            </w:r>
            <w:r w:rsidRPr="00B44B19">
              <w:rPr>
                <w:rFonts w:cs="Times New Roman"/>
                <w:sz w:val="22"/>
              </w:rPr>
              <w:t>2021–2030 m. Regionų plėtros programos duomenimis.</w:t>
            </w:r>
          </w:p>
        </w:tc>
      </w:tr>
    </w:tbl>
    <w:p w14:paraId="205EB72A" w14:textId="77777777" w:rsidR="003E01B7" w:rsidRPr="00B44B19" w:rsidRDefault="003E01B7" w:rsidP="003E01B7">
      <w:pPr>
        <w:rPr>
          <w:rFonts w:cs="Times New Roman"/>
        </w:rPr>
      </w:pPr>
    </w:p>
    <w:p w14:paraId="2882F630" w14:textId="5214F669" w:rsidR="0021211C" w:rsidRPr="00B44B19" w:rsidRDefault="001C6FEB" w:rsidP="00D456C1">
      <w:pPr>
        <w:pStyle w:val="Antrat2"/>
        <w:numPr>
          <w:ilvl w:val="1"/>
          <w:numId w:val="8"/>
        </w:numPr>
      </w:pPr>
      <w:bookmarkStart w:id="105" w:name="_Toc223435465"/>
      <w:r w:rsidRPr="00B44B19">
        <w:t>Teisingos pertvarkos fondas: asignavimas programoje ir perkėlimai</w:t>
      </w:r>
      <w:bookmarkEnd w:id="105"/>
    </w:p>
    <w:p w14:paraId="432B5618" w14:textId="6C270A05" w:rsidR="0021211C" w:rsidRPr="00B44B19" w:rsidRDefault="009629DB" w:rsidP="0021211C">
      <w:pPr>
        <w:spacing w:after="0"/>
        <w:rPr>
          <w:rFonts w:cs="Times New Roman"/>
          <w:b/>
          <w:sz w:val="22"/>
        </w:rPr>
      </w:pPr>
      <w:r w:rsidRPr="00B44B19">
        <w:rPr>
          <w:rFonts w:cs="Times New Roman"/>
          <w:b/>
          <w:sz w:val="22"/>
        </w:rPr>
        <w:t>5</w:t>
      </w:r>
      <w:r w:rsidR="00542C71" w:rsidRPr="00B44B19">
        <w:rPr>
          <w:rFonts w:cs="Times New Roman"/>
          <w:b/>
          <w:sz w:val="22"/>
        </w:rPr>
        <w:t xml:space="preserve">. </w:t>
      </w:r>
      <w:r w:rsidR="0021211C" w:rsidRPr="00B44B19">
        <w:rPr>
          <w:rFonts w:cs="Times New Roman"/>
          <w:b/>
          <w:sz w:val="22"/>
        </w:rPr>
        <w:t>lentelė. TPF asignavimas programai pagal TPF reglamento 3 straipsnį prieš perkėlimus</w:t>
      </w:r>
    </w:p>
    <w:tbl>
      <w:tblPr>
        <w:tblStyle w:val="Lentelstinklelis16"/>
        <w:tblW w:w="0" w:type="auto"/>
        <w:tblLook w:val="04A0" w:firstRow="1" w:lastRow="0" w:firstColumn="1" w:lastColumn="0" w:noHBand="0" w:noVBand="1"/>
      </w:tblPr>
      <w:tblGrid>
        <w:gridCol w:w="2802"/>
        <w:gridCol w:w="5528"/>
      </w:tblGrid>
      <w:tr w:rsidR="0021211C" w:rsidRPr="00B44B19" w14:paraId="5D7A8E27" w14:textId="77777777" w:rsidTr="003E01B7">
        <w:trPr>
          <w:trHeight w:val="342"/>
        </w:trPr>
        <w:tc>
          <w:tcPr>
            <w:tcW w:w="2802" w:type="dxa"/>
          </w:tcPr>
          <w:p w14:paraId="7092BB92" w14:textId="0F4511FE" w:rsidR="0021211C" w:rsidRPr="00B44B19" w:rsidRDefault="003E52A6" w:rsidP="0021211C">
            <w:pPr>
              <w:spacing w:before="60" w:after="60" w:line="240" w:lineRule="auto"/>
              <w:rPr>
                <w:rFonts w:ascii="Times New Roman" w:hAnsi="Times New Roman" w:cs="Times New Roman"/>
                <w:b/>
                <w:sz w:val="20"/>
                <w:lang w:val="lt-LT"/>
              </w:rPr>
            </w:pPr>
            <w:r w:rsidRPr="00B44B19">
              <w:rPr>
                <w:rFonts w:ascii="Times New Roman" w:hAnsi="Times New Roman" w:cs="Times New Roman"/>
                <w:b/>
                <w:sz w:val="20"/>
                <w:lang w:val="lt-LT"/>
              </w:rPr>
              <w:t>Konkretus TPF tikslas</w:t>
            </w:r>
          </w:p>
        </w:tc>
        <w:tc>
          <w:tcPr>
            <w:tcW w:w="5528" w:type="dxa"/>
          </w:tcPr>
          <w:p w14:paraId="4832BC9C" w14:textId="77777777" w:rsidR="0021211C" w:rsidRPr="00B44B19" w:rsidRDefault="0021211C" w:rsidP="0021211C">
            <w:pPr>
              <w:spacing w:before="60" w:after="60" w:line="240" w:lineRule="auto"/>
              <w:rPr>
                <w:rFonts w:ascii="Times New Roman" w:hAnsi="Times New Roman" w:cs="Times New Roman"/>
                <w:sz w:val="20"/>
              </w:rPr>
            </w:pPr>
            <w:r w:rsidRPr="00B44B19">
              <w:rPr>
                <w:rFonts w:ascii="Times New Roman" w:hAnsi="Times New Roman" w:cs="Times New Roman"/>
                <w:sz w:val="20"/>
              </w:rPr>
              <w:t>273 259 262</w:t>
            </w:r>
          </w:p>
        </w:tc>
      </w:tr>
      <w:tr w:rsidR="0021211C" w:rsidRPr="00B44B19" w14:paraId="350928D8" w14:textId="77777777" w:rsidTr="0021211C">
        <w:tc>
          <w:tcPr>
            <w:tcW w:w="2802" w:type="dxa"/>
          </w:tcPr>
          <w:p w14:paraId="41AC5412" w14:textId="77777777" w:rsidR="0021211C" w:rsidRPr="00B44B19" w:rsidRDefault="0021211C" w:rsidP="00BE32EE">
            <w:pPr>
              <w:spacing w:before="60" w:after="60" w:line="240" w:lineRule="auto"/>
              <w:rPr>
                <w:rFonts w:ascii="Times New Roman" w:hAnsi="Times New Roman" w:cs="Times New Roman"/>
                <w:b/>
                <w:sz w:val="20"/>
                <w:lang w:val="lt-LT"/>
              </w:rPr>
            </w:pPr>
            <w:r w:rsidRPr="00B44B19">
              <w:rPr>
                <w:rFonts w:ascii="Times New Roman" w:hAnsi="Times New Roman" w:cs="Times New Roman"/>
                <w:b/>
                <w:sz w:val="20"/>
                <w:lang w:val="lt-LT"/>
              </w:rPr>
              <w:t>Iš viso</w:t>
            </w:r>
          </w:p>
        </w:tc>
        <w:tc>
          <w:tcPr>
            <w:tcW w:w="5528" w:type="dxa"/>
          </w:tcPr>
          <w:p w14:paraId="0B221195" w14:textId="77777777" w:rsidR="0021211C" w:rsidRPr="00B44B19" w:rsidRDefault="0021211C" w:rsidP="0021211C">
            <w:pPr>
              <w:spacing w:before="60" w:after="60" w:line="240" w:lineRule="auto"/>
              <w:rPr>
                <w:rFonts w:ascii="Times New Roman" w:hAnsi="Times New Roman" w:cs="Times New Roman"/>
                <w:sz w:val="20"/>
              </w:rPr>
            </w:pPr>
            <w:r w:rsidRPr="00B44B19">
              <w:rPr>
                <w:rFonts w:ascii="Times New Roman" w:hAnsi="Times New Roman" w:cs="Times New Roman"/>
                <w:sz w:val="20"/>
              </w:rPr>
              <w:t>273 259 262</w:t>
            </w:r>
          </w:p>
        </w:tc>
      </w:tr>
    </w:tbl>
    <w:p w14:paraId="3B70A449" w14:textId="77777777" w:rsidR="00282E64" w:rsidRPr="00B44B19" w:rsidRDefault="00282E64" w:rsidP="00736276">
      <w:pPr>
        <w:spacing w:after="0" w:line="240" w:lineRule="auto"/>
        <w:rPr>
          <w:rFonts w:cs="Times New Roman"/>
        </w:rPr>
      </w:pPr>
    </w:p>
    <w:p w14:paraId="5384F09D" w14:textId="333E6D1A" w:rsidR="00960459" w:rsidRPr="00B44B19" w:rsidRDefault="00282E64" w:rsidP="00D456C1">
      <w:pPr>
        <w:pStyle w:val="Antrat2"/>
        <w:numPr>
          <w:ilvl w:val="1"/>
          <w:numId w:val="8"/>
        </w:numPr>
      </w:pPr>
      <w:bookmarkStart w:id="106" w:name="_Toc223435466"/>
      <w:r w:rsidRPr="00B44B19">
        <w:t>Finansiniai asignavimai pagal metus</w:t>
      </w:r>
      <w:bookmarkEnd w:id="106"/>
    </w:p>
    <w:p w14:paraId="5AD1445A" w14:textId="77777777" w:rsidR="00960459" w:rsidRPr="00B44B19" w:rsidRDefault="00960459" w:rsidP="00960459">
      <w:pPr>
        <w:spacing w:after="0"/>
        <w:rPr>
          <w:rFonts w:eastAsia="Times New Roman" w:cs="Times New Roman"/>
          <w:b/>
          <w:iCs/>
          <w:noProof/>
          <w:szCs w:val="24"/>
          <w:lang w:eastAsia="lt-LT" w:bidi="lt-LT"/>
        </w:rPr>
      </w:pPr>
      <w:r w:rsidRPr="00B44B19">
        <w:rPr>
          <w:rFonts w:cs="Times New Roman"/>
          <w:b/>
          <w:sz w:val="22"/>
        </w:rPr>
        <w:t>6. lentelė. Finansiniai asignavimai pagal metus</w:t>
      </w:r>
    </w:p>
    <w:tbl>
      <w:tblPr>
        <w:tblStyle w:val="Lentelstinklelis8"/>
        <w:tblW w:w="14283" w:type="dxa"/>
        <w:tblLayout w:type="fixed"/>
        <w:tblLook w:val="04A0" w:firstRow="1" w:lastRow="0" w:firstColumn="1" w:lastColumn="0" w:noHBand="0" w:noVBand="1"/>
      </w:tblPr>
      <w:tblGrid>
        <w:gridCol w:w="675"/>
        <w:gridCol w:w="1134"/>
        <w:gridCol w:w="1134"/>
        <w:gridCol w:w="1276"/>
        <w:gridCol w:w="1276"/>
        <w:gridCol w:w="1276"/>
        <w:gridCol w:w="1275"/>
        <w:gridCol w:w="1276"/>
        <w:gridCol w:w="1276"/>
        <w:gridCol w:w="1276"/>
        <w:gridCol w:w="1134"/>
        <w:gridCol w:w="1275"/>
      </w:tblGrid>
      <w:tr w:rsidR="00960459" w:rsidRPr="00B44B19" w14:paraId="09207761" w14:textId="77777777" w:rsidTr="003040E3">
        <w:trPr>
          <w:tblHeader/>
        </w:trPr>
        <w:tc>
          <w:tcPr>
            <w:tcW w:w="1809" w:type="dxa"/>
            <w:gridSpan w:val="2"/>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38243D"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Fondas</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9D2EF15"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Regiono kategorija</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C2AD7F0"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2022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2AAEDD2"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2023 m.</w:t>
            </w:r>
          </w:p>
        </w:tc>
        <w:tc>
          <w:tcPr>
            <w:tcW w:w="1276"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272971D"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2024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11BF6E6"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2025 m.</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8DB9458"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2026 m.</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AD6D60D"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2027 m.</w:t>
            </w:r>
          </w:p>
        </w:tc>
        <w:tc>
          <w:tcPr>
            <w:tcW w:w="1275" w:type="dxa"/>
            <w:vMerge w:val="restar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DE81A6"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Iš viso</w:t>
            </w:r>
          </w:p>
        </w:tc>
      </w:tr>
      <w:tr w:rsidR="00960459" w:rsidRPr="00B44B19" w14:paraId="15241E97" w14:textId="77777777" w:rsidTr="003040E3">
        <w:trPr>
          <w:tblHeader/>
        </w:trPr>
        <w:tc>
          <w:tcPr>
            <w:tcW w:w="1809" w:type="dxa"/>
            <w:gridSpan w:val="2"/>
            <w:vMerge/>
            <w:tcBorders>
              <w:top w:val="single" w:sz="12" w:space="0" w:color="auto"/>
              <w:left w:val="single" w:sz="12" w:space="0" w:color="auto"/>
              <w:bottom w:val="single" w:sz="12" w:space="0" w:color="auto"/>
              <w:right w:val="nil"/>
            </w:tcBorders>
            <w:shd w:val="clear" w:color="auto" w:fill="B8CCE4" w:themeFill="accent1" w:themeFillTint="66"/>
            <w:vAlign w:val="center"/>
          </w:tcPr>
          <w:p w14:paraId="3D906EF3" w14:textId="77777777" w:rsidR="00960459" w:rsidRPr="00B44B19" w:rsidRDefault="00960459" w:rsidP="003040E3">
            <w:pPr>
              <w:jc w:val="center"/>
              <w:rPr>
                <w:rFonts w:ascii="Times New Roman" w:hAnsi="Times New Roman" w:cs="Times New Roman"/>
                <w:b/>
                <w:noProof/>
                <w:sz w:val="18"/>
                <w:szCs w:val="18"/>
              </w:rPr>
            </w:pPr>
          </w:p>
        </w:tc>
        <w:tc>
          <w:tcPr>
            <w:tcW w:w="1134" w:type="dxa"/>
            <w:vMerge/>
            <w:tcBorders>
              <w:top w:val="single" w:sz="12" w:space="0" w:color="auto"/>
              <w:left w:val="nil"/>
              <w:bottom w:val="single" w:sz="12" w:space="0" w:color="auto"/>
              <w:right w:val="nil"/>
            </w:tcBorders>
            <w:shd w:val="clear" w:color="auto" w:fill="B8CCE4" w:themeFill="accent1" w:themeFillTint="66"/>
            <w:vAlign w:val="center"/>
          </w:tcPr>
          <w:p w14:paraId="68FD2848" w14:textId="77777777" w:rsidR="00960459" w:rsidRPr="00B44B19" w:rsidRDefault="00960459" w:rsidP="003040E3">
            <w:pPr>
              <w:jc w:val="center"/>
              <w:rPr>
                <w:rFonts w:ascii="Times New Roman" w:hAnsi="Times New Roman" w:cs="Times New Roman"/>
                <w:b/>
                <w:noProof/>
                <w:sz w:val="18"/>
                <w:szCs w:val="18"/>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52FF4159" w14:textId="77777777" w:rsidR="00960459" w:rsidRPr="00B44B19" w:rsidRDefault="00960459" w:rsidP="003040E3">
            <w:pPr>
              <w:jc w:val="center"/>
              <w:rPr>
                <w:rFonts w:ascii="Times New Roman" w:hAnsi="Times New Roman" w:cs="Times New Roman"/>
                <w:b/>
                <w:noProof/>
                <w:sz w:val="18"/>
                <w:szCs w:val="18"/>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257AE274" w14:textId="77777777" w:rsidR="00960459" w:rsidRPr="00B44B19" w:rsidRDefault="00960459" w:rsidP="003040E3">
            <w:pPr>
              <w:jc w:val="center"/>
              <w:rPr>
                <w:rFonts w:ascii="Times New Roman" w:hAnsi="Times New Roman" w:cs="Times New Roman"/>
                <w:b/>
                <w:noProof/>
                <w:sz w:val="18"/>
                <w:szCs w:val="18"/>
              </w:rPr>
            </w:pPr>
          </w:p>
        </w:tc>
        <w:tc>
          <w:tcPr>
            <w:tcW w:w="1276" w:type="dxa"/>
            <w:vMerge/>
            <w:tcBorders>
              <w:top w:val="single" w:sz="12" w:space="0" w:color="auto"/>
              <w:left w:val="nil"/>
              <w:bottom w:val="single" w:sz="12" w:space="0" w:color="auto"/>
              <w:right w:val="nil"/>
            </w:tcBorders>
            <w:shd w:val="clear" w:color="auto" w:fill="B8CCE4" w:themeFill="accent1" w:themeFillTint="66"/>
            <w:vAlign w:val="center"/>
          </w:tcPr>
          <w:p w14:paraId="764E3DED" w14:textId="77777777" w:rsidR="00960459" w:rsidRPr="00B44B19" w:rsidRDefault="00960459" w:rsidP="003040E3">
            <w:pPr>
              <w:jc w:val="center"/>
              <w:rPr>
                <w:rFonts w:ascii="Times New Roman" w:hAnsi="Times New Roman" w:cs="Times New Roman"/>
                <w:b/>
                <w:noProof/>
                <w:sz w:val="18"/>
                <w:szCs w:val="18"/>
              </w:rPr>
            </w:pPr>
          </w:p>
        </w:tc>
        <w:tc>
          <w:tcPr>
            <w:tcW w:w="1275" w:type="dxa"/>
            <w:vMerge/>
            <w:tcBorders>
              <w:top w:val="single" w:sz="12" w:space="0" w:color="auto"/>
              <w:left w:val="nil"/>
              <w:bottom w:val="single" w:sz="12" w:space="0" w:color="auto"/>
              <w:right w:val="single" w:sz="12" w:space="0" w:color="auto"/>
            </w:tcBorders>
            <w:shd w:val="clear" w:color="auto" w:fill="B8CCE4" w:themeFill="accent1" w:themeFillTint="66"/>
            <w:vAlign w:val="center"/>
          </w:tcPr>
          <w:p w14:paraId="32AA995F" w14:textId="77777777" w:rsidR="00960459" w:rsidRPr="00B44B19" w:rsidRDefault="00960459" w:rsidP="003040E3">
            <w:pPr>
              <w:jc w:val="center"/>
              <w:rPr>
                <w:rFonts w:ascii="Times New Roman" w:hAnsi="Times New Roman" w:cs="Times New Roman"/>
                <w:b/>
                <w:noProof/>
                <w:sz w:val="18"/>
                <w:szCs w:val="18"/>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CA971E"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Finansinis asignavimas be lankstumo sumos</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145049"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Lankstumo suma</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58DA10"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Finansinis asignavimas be lankstumo sumos</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1B24D9C" w14:textId="77777777" w:rsidR="00960459" w:rsidRPr="00B44B19" w:rsidRDefault="00960459" w:rsidP="003040E3">
            <w:pPr>
              <w:jc w:val="center"/>
              <w:rPr>
                <w:rFonts w:ascii="Times New Roman" w:hAnsi="Times New Roman" w:cs="Times New Roman"/>
                <w:b/>
                <w:noProof/>
                <w:sz w:val="18"/>
                <w:szCs w:val="18"/>
              </w:rPr>
            </w:pPr>
            <w:r w:rsidRPr="00B44B19">
              <w:rPr>
                <w:rFonts w:ascii="Times New Roman" w:hAnsi="Times New Roman" w:cs="Times New Roman"/>
                <w:b/>
                <w:noProof/>
                <w:sz w:val="18"/>
                <w:szCs w:val="18"/>
              </w:rPr>
              <w:t>Lankstumo suma</w:t>
            </w:r>
          </w:p>
        </w:tc>
        <w:tc>
          <w:tcPr>
            <w:tcW w:w="1275" w:type="dxa"/>
            <w:vMerge/>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058438C" w14:textId="77777777" w:rsidR="00960459" w:rsidRPr="00B44B19" w:rsidRDefault="00960459" w:rsidP="003040E3">
            <w:pPr>
              <w:jc w:val="center"/>
              <w:rPr>
                <w:rFonts w:ascii="Times New Roman" w:hAnsi="Times New Roman" w:cs="Times New Roman"/>
                <w:b/>
                <w:noProof/>
                <w:sz w:val="18"/>
                <w:szCs w:val="18"/>
              </w:rPr>
            </w:pPr>
          </w:p>
        </w:tc>
      </w:tr>
      <w:tr w:rsidR="00960459" w:rsidRPr="00B44B19" w14:paraId="3D92D8B7" w14:textId="77777777" w:rsidTr="003040E3">
        <w:tc>
          <w:tcPr>
            <w:tcW w:w="1809" w:type="dxa"/>
            <w:gridSpan w:val="2"/>
            <w:vMerge w:val="restart"/>
            <w:tcBorders>
              <w:top w:val="single" w:sz="12" w:space="0" w:color="auto"/>
            </w:tcBorders>
            <w:vAlign w:val="center"/>
          </w:tcPr>
          <w:p w14:paraId="25B63A55"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ERPF</w:t>
            </w:r>
          </w:p>
        </w:tc>
        <w:tc>
          <w:tcPr>
            <w:tcW w:w="1134" w:type="dxa"/>
            <w:tcBorders>
              <w:top w:val="single" w:sz="12" w:space="0" w:color="auto"/>
            </w:tcBorders>
            <w:vAlign w:val="center"/>
          </w:tcPr>
          <w:p w14:paraId="5AE8A08D"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Sostinės regionas</w:t>
            </w:r>
          </w:p>
        </w:tc>
        <w:tc>
          <w:tcPr>
            <w:tcW w:w="1276" w:type="dxa"/>
            <w:tcBorders>
              <w:top w:val="single" w:sz="12" w:space="0" w:color="auto"/>
            </w:tcBorders>
            <w:vAlign w:val="center"/>
          </w:tcPr>
          <w:p w14:paraId="29641A9D"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80 816 667</w:t>
            </w:r>
          </w:p>
        </w:tc>
        <w:tc>
          <w:tcPr>
            <w:tcW w:w="1276" w:type="dxa"/>
            <w:tcBorders>
              <w:top w:val="single" w:sz="12" w:space="0" w:color="auto"/>
            </w:tcBorders>
            <w:vAlign w:val="center"/>
          </w:tcPr>
          <w:p w14:paraId="005DC744"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82 392 355</w:t>
            </w:r>
          </w:p>
        </w:tc>
        <w:tc>
          <w:tcPr>
            <w:tcW w:w="1276" w:type="dxa"/>
            <w:tcBorders>
              <w:top w:val="single" w:sz="12" w:space="0" w:color="auto"/>
            </w:tcBorders>
            <w:vAlign w:val="center"/>
          </w:tcPr>
          <w:p w14:paraId="28B22118"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81 323 865</w:t>
            </w:r>
          </w:p>
        </w:tc>
        <w:tc>
          <w:tcPr>
            <w:tcW w:w="1275" w:type="dxa"/>
            <w:tcBorders>
              <w:top w:val="single" w:sz="12" w:space="0" w:color="auto"/>
            </w:tcBorders>
            <w:vAlign w:val="center"/>
          </w:tcPr>
          <w:p w14:paraId="54AC61B2"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81 481 889</w:t>
            </w:r>
          </w:p>
        </w:tc>
        <w:tc>
          <w:tcPr>
            <w:tcW w:w="1276" w:type="dxa"/>
            <w:tcBorders>
              <w:top w:val="single" w:sz="12" w:space="0" w:color="auto"/>
            </w:tcBorders>
            <w:vAlign w:val="center"/>
          </w:tcPr>
          <w:p w14:paraId="742CD8EE" w14:textId="0B0A3D52"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53 266 458</w:t>
            </w:r>
          </w:p>
        </w:tc>
        <w:tc>
          <w:tcPr>
            <w:tcW w:w="1276" w:type="dxa"/>
            <w:tcBorders>
              <w:top w:val="single" w:sz="12" w:space="0" w:color="auto"/>
            </w:tcBorders>
            <w:vAlign w:val="center"/>
          </w:tcPr>
          <w:p w14:paraId="778B188B" w14:textId="22DF3BEC"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14 029 740</w:t>
            </w:r>
          </w:p>
        </w:tc>
        <w:tc>
          <w:tcPr>
            <w:tcW w:w="1276" w:type="dxa"/>
            <w:tcBorders>
              <w:top w:val="single" w:sz="12" w:space="0" w:color="auto"/>
            </w:tcBorders>
            <w:vAlign w:val="center"/>
          </w:tcPr>
          <w:p w14:paraId="2E3996E4" w14:textId="690A8AFF"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54 116 259</w:t>
            </w:r>
          </w:p>
        </w:tc>
        <w:tc>
          <w:tcPr>
            <w:tcW w:w="1134" w:type="dxa"/>
            <w:tcBorders>
              <w:top w:val="single" w:sz="12" w:space="0" w:color="auto"/>
            </w:tcBorders>
            <w:vAlign w:val="center"/>
          </w:tcPr>
          <w:p w14:paraId="725E6F2F" w14:textId="548356AA"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16 879 541</w:t>
            </w:r>
          </w:p>
        </w:tc>
        <w:tc>
          <w:tcPr>
            <w:tcW w:w="1275" w:type="dxa"/>
            <w:tcBorders>
              <w:top w:val="single" w:sz="12" w:space="0" w:color="auto"/>
            </w:tcBorders>
            <w:vAlign w:val="center"/>
          </w:tcPr>
          <w:p w14:paraId="2BDC4D6B" w14:textId="4DA0A587"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464 306 774</w:t>
            </w:r>
          </w:p>
        </w:tc>
      </w:tr>
      <w:tr w:rsidR="00960459" w:rsidRPr="00B44B19" w14:paraId="32ECA2F3" w14:textId="77777777" w:rsidTr="003040E3">
        <w:tc>
          <w:tcPr>
            <w:tcW w:w="1809" w:type="dxa"/>
            <w:gridSpan w:val="2"/>
            <w:vMerge/>
            <w:vAlign w:val="center"/>
          </w:tcPr>
          <w:p w14:paraId="4590ABF6" w14:textId="77777777" w:rsidR="00960459" w:rsidRPr="00B44B19" w:rsidRDefault="00960459" w:rsidP="003040E3">
            <w:pPr>
              <w:jc w:val="center"/>
              <w:rPr>
                <w:rFonts w:ascii="Times New Roman" w:hAnsi="Times New Roman" w:cs="Times New Roman"/>
                <w:noProof/>
                <w:sz w:val="18"/>
              </w:rPr>
            </w:pPr>
          </w:p>
        </w:tc>
        <w:tc>
          <w:tcPr>
            <w:tcW w:w="1134" w:type="dxa"/>
            <w:vAlign w:val="center"/>
          </w:tcPr>
          <w:p w14:paraId="5A21E125"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VVL regionas</w:t>
            </w:r>
          </w:p>
        </w:tc>
        <w:tc>
          <w:tcPr>
            <w:tcW w:w="1276" w:type="dxa"/>
            <w:vAlign w:val="center"/>
          </w:tcPr>
          <w:p w14:paraId="60C72E0B"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522 418 813</w:t>
            </w:r>
          </w:p>
        </w:tc>
        <w:tc>
          <w:tcPr>
            <w:tcW w:w="1276" w:type="dxa"/>
            <w:vAlign w:val="center"/>
          </w:tcPr>
          <w:p w14:paraId="543E4186"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536 143 459</w:t>
            </w:r>
          </w:p>
        </w:tc>
        <w:tc>
          <w:tcPr>
            <w:tcW w:w="1276" w:type="dxa"/>
            <w:vAlign w:val="center"/>
          </w:tcPr>
          <w:p w14:paraId="7364903D"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544 426 521</w:t>
            </w:r>
          </w:p>
        </w:tc>
        <w:tc>
          <w:tcPr>
            <w:tcW w:w="1275" w:type="dxa"/>
            <w:vAlign w:val="center"/>
          </w:tcPr>
          <w:p w14:paraId="73FE56D6"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564 205 011</w:t>
            </w:r>
          </w:p>
        </w:tc>
        <w:tc>
          <w:tcPr>
            <w:tcW w:w="1276" w:type="dxa"/>
            <w:vAlign w:val="center"/>
          </w:tcPr>
          <w:p w14:paraId="7F56587C" w14:textId="26FB09DB"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364 850 674</w:t>
            </w:r>
          </w:p>
        </w:tc>
        <w:tc>
          <w:tcPr>
            <w:tcW w:w="1276" w:type="dxa"/>
            <w:vAlign w:val="center"/>
          </w:tcPr>
          <w:p w14:paraId="2E8D79EB" w14:textId="07B5D9EC"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145 061 664</w:t>
            </w:r>
          </w:p>
        </w:tc>
        <w:tc>
          <w:tcPr>
            <w:tcW w:w="1276" w:type="dxa"/>
            <w:vAlign w:val="center"/>
          </w:tcPr>
          <w:p w14:paraId="048B035E" w14:textId="6675F186" w:rsidR="00960459" w:rsidRPr="00B44B19" w:rsidRDefault="007A72ED" w:rsidP="003040E3">
            <w:pPr>
              <w:jc w:val="center"/>
              <w:rPr>
                <w:rFonts w:ascii="Times New Roman" w:hAnsi="Times New Roman" w:cs="Times New Roman"/>
                <w:sz w:val="18"/>
                <w:szCs w:val="18"/>
              </w:rPr>
            </w:pPr>
            <w:r w:rsidRPr="00B44B19">
              <w:rPr>
                <w:rFonts w:ascii="Times New Roman" w:hAnsi="Times New Roman" w:cs="Times New Roman"/>
                <w:sz w:val="18"/>
                <w:szCs w:val="18"/>
              </w:rPr>
              <w:t>372 188 508</w:t>
            </w:r>
          </w:p>
        </w:tc>
        <w:tc>
          <w:tcPr>
            <w:tcW w:w="1134" w:type="dxa"/>
            <w:vAlign w:val="center"/>
          </w:tcPr>
          <w:p w14:paraId="640CDC34" w14:textId="55BF83C3"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152 399 496</w:t>
            </w:r>
          </w:p>
        </w:tc>
        <w:tc>
          <w:tcPr>
            <w:tcW w:w="1275" w:type="dxa"/>
            <w:vAlign w:val="center"/>
          </w:tcPr>
          <w:p w14:paraId="5C68936D" w14:textId="2F2EA0C4"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3 201 694 146</w:t>
            </w:r>
          </w:p>
        </w:tc>
      </w:tr>
      <w:tr w:rsidR="00960459" w:rsidRPr="00B44B19" w14:paraId="6FD9AD85" w14:textId="77777777" w:rsidTr="003040E3">
        <w:tc>
          <w:tcPr>
            <w:tcW w:w="2943" w:type="dxa"/>
            <w:gridSpan w:val="3"/>
            <w:vAlign w:val="center"/>
          </w:tcPr>
          <w:p w14:paraId="3B3422C3"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b/>
                <w:noProof/>
                <w:sz w:val="18"/>
              </w:rPr>
              <w:t>Iš viso</w:t>
            </w:r>
          </w:p>
        </w:tc>
        <w:tc>
          <w:tcPr>
            <w:tcW w:w="1276" w:type="dxa"/>
            <w:vAlign w:val="center"/>
          </w:tcPr>
          <w:p w14:paraId="5A266E8D" w14:textId="77777777" w:rsidR="00960459" w:rsidRPr="00B44B19" w:rsidRDefault="00960459" w:rsidP="003040E3">
            <w:pPr>
              <w:jc w:val="center"/>
              <w:rPr>
                <w:rFonts w:ascii="Times New Roman" w:hAnsi="Times New Roman" w:cs="Times New Roman"/>
                <w:b/>
                <w:bCs/>
                <w:color w:val="000000"/>
                <w:sz w:val="18"/>
                <w:szCs w:val="18"/>
              </w:rPr>
            </w:pPr>
            <w:r w:rsidRPr="00B44B19">
              <w:rPr>
                <w:rFonts w:ascii="Times New Roman" w:hAnsi="Times New Roman" w:cs="Times New Roman"/>
                <w:b/>
                <w:sz w:val="18"/>
                <w:szCs w:val="18"/>
              </w:rPr>
              <w:t>603 235 480</w:t>
            </w:r>
          </w:p>
        </w:tc>
        <w:tc>
          <w:tcPr>
            <w:tcW w:w="1276" w:type="dxa"/>
            <w:vAlign w:val="center"/>
          </w:tcPr>
          <w:p w14:paraId="0F6BFDA7"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618 535 814</w:t>
            </w:r>
          </w:p>
        </w:tc>
        <w:tc>
          <w:tcPr>
            <w:tcW w:w="1276" w:type="dxa"/>
            <w:vAlign w:val="center"/>
          </w:tcPr>
          <w:p w14:paraId="3CEEAEC2"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625 750 386</w:t>
            </w:r>
          </w:p>
        </w:tc>
        <w:tc>
          <w:tcPr>
            <w:tcW w:w="1275" w:type="dxa"/>
            <w:vAlign w:val="center"/>
          </w:tcPr>
          <w:p w14:paraId="2BB32012"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645 686 900</w:t>
            </w:r>
          </w:p>
        </w:tc>
        <w:tc>
          <w:tcPr>
            <w:tcW w:w="1276" w:type="dxa"/>
            <w:vAlign w:val="center"/>
          </w:tcPr>
          <w:p w14:paraId="11E212FB" w14:textId="2ADA3946" w:rsidR="00960459" w:rsidRPr="00B44B19" w:rsidRDefault="00AA1CA3" w:rsidP="003040E3">
            <w:pPr>
              <w:jc w:val="center"/>
              <w:rPr>
                <w:rFonts w:ascii="Times New Roman" w:hAnsi="Times New Roman" w:cs="Times New Roman"/>
                <w:b/>
                <w:sz w:val="18"/>
                <w:szCs w:val="18"/>
              </w:rPr>
            </w:pPr>
            <w:r w:rsidRPr="00B44B19">
              <w:rPr>
                <w:rFonts w:ascii="Times New Roman" w:hAnsi="Times New Roman" w:cs="Times New Roman"/>
                <w:b/>
                <w:sz w:val="18"/>
                <w:szCs w:val="18"/>
              </w:rPr>
              <w:t>418 117 132</w:t>
            </w:r>
          </w:p>
        </w:tc>
        <w:tc>
          <w:tcPr>
            <w:tcW w:w="1276" w:type="dxa"/>
            <w:vAlign w:val="center"/>
          </w:tcPr>
          <w:p w14:paraId="28FEE2C1" w14:textId="49FFA7DB" w:rsidR="00960459" w:rsidRPr="00B44B19" w:rsidRDefault="00AA1CA3"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159 091 404</w:t>
            </w:r>
          </w:p>
        </w:tc>
        <w:tc>
          <w:tcPr>
            <w:tcW w:w="1276" w:type="dxa"/>
            <w:vAlign w:val="center"/>
          </w:tcPr>
          <w:p w14:paraId="554DC919" w14:textId="6FD768D4" w:rsidR="00960459" w:rsidRPr="00B44B19" w:rsidRDefault="007A72ED" w:rsidP="003040E3">
            <w:pPr>
              <w:jc w:val="center"/>
              <w:rPr>
                <w:rFonts w:ascii="Times New Roman" w:hAnsi="Times New Roman" w:cs="Times New Roman"/>
                <w:b/>
                <w:sz w:val="18"/>
                <w:szCs w:val="18"/>
              </w:rPr>
            </w:pPr>
            <w:r w:rsidRPr="00B44B19">
              <w:rPr>
                <w:rFonts w:ascii="Times New Roman" w:hAnsi="Times New Roman" w:cs="Times New Roman"/>
                <w:b/>
                <w:sz w:val="18"/>
                <w:szCs w:val="18"/>
              </w:rPr>
              <w:t>426 304 767</w:t>
            </w:r>
          </w:p>
        </w:tc>
        <w:tc>
          <w:tcPr>
            <w:tcW w:w="1134" w:type="dxa"/>
            <w:vAlign w:val="center"/>
          </w:tcPr>
          <w:p w14:paraId="2428ACC2" w14:textId="3CC2246B" w:rsidR="00960459" w:rsidRPr="00B44B19" w:rsidRDefault="005A57A0"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169 279 037</w:t>
            </w:r>
          </w:p>
        </w:tc>
        <w:tc>
          <w:tcPr>
            <w:tcW w:w="1275" w:type="dxa"/>
            <w:vAlign w:val="center"/>
          </w:tcPr>
          <w:p w14:paraId="47785ECD" w14:textId="7EFBFE33" w:rsidR="00960459" w:rsidRPr="00B44B19" w:rsidRDefault="005A57A0" w:rsidP="003040E3">
            <w:pPr>
              <w:jc w:val="center"/>
              <w:rPr>
                <w:rFonts w:ascii="Times New Roman" w:hAnsi="Times New Roman" w:cs="Times New Roman"/>
                <w:b/>
                <w:sz w:val="18"/>
                <w:szCs w:val="18"/>
              </w:rPr>
            </w:pPr>
            <w:r w:rsidRPr="00B44B19">
              <w:rPr>
                <w:rFonts w:ascii="Times New Roman" w:hAnsi="Times New Roman" w:cs="Times New Roman"/>
                <w:b/>
                <w:sz w:val="18"/>
                <w:szCs w:val="18"/>
              </w:rPr>
              <w:t>3 666 000 920</w:t>
            </w:r>
          </w:p>
        </w:tc>
      </w:tr>
      <w:tr w:rsidR="00960459" w:rsidRPr="00B44B19" w14:paraId="77AE1A23" w14:textId="77777777" w:rsidTr="003040E3">
        <w:tc>
          <w:tcPr>
            <w:tcW w:w="1809" w:type="dxa"/>
            <w:gridSpan w:val="2"/>
            <w:vMerge w:val="restart"/>
            <w:vAlign w:val="center"/>
          </w:tcPr>
          <w:p w14:paraId="0CE2B95C"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ESF+</w:t>
            </w:r>
          </w:p>
        </w:tc>
        <w:tc>
          <w:tcPr>
            <w:tcW w:w="1134" w:type="dxa"/>
            <w:vAlign w:val="center"/>
          </w:tcPr>
          <w:p w14:paraId="70EDC394"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Sostinės regionas</w:t>
            </w:r>
          </w:p>
        </w:tc>
        <w:tc>
          <w:tcPr>
            <w:tcW w:w="1276" w:type="dxa"/>
            <w:vAlign w:val="center"/>
          </w:tcPr>
          <w:p w14:paraId="6C74F7B4"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16 181 009</w:t>
            </w:r>
          </w:p>
        </w:tc>
        <w:tc>
          <w:tcPr>
            <w:tcW w:w="1276" w:type="dxa"/>
            <w:vAlign w:val="center"/>
          </w:tcPr>
          <w:p w14:paraId="5E4FA6CE"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16 441 309</w:t>
            </w:r>
          </w:p>
        </w:tc>
        <w:tc>
          <w:tcPr>
            <w:tcW w:w="1276" w:type="dxa"/>
            <w:vAlign w:val="center"/>
          </w:tcPr>
          <w:p w14:paraId="30BF14C3"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16 706 876</w:t>
            </w:r>
          </w:p>
        </w:tc>
        <w:tc>
          <w:tcPr>
            <w:tcW w:w="1275" w:type="dxa"/>
            <w:vAlign w:val="center"/>
          </w:tcPr>
          <w:p w14:paraId="2D8C5435"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16 977 758</w:t>
            </w:r>
          </w:p>
        </w:tc>
        <w:tc>
          <w:tcPr>
            <w:tcW w:w="1276" w:type="dxa"/>
            <w:vAlign w:val="center"/>
          </w:tcPr>
          <w:p w14:paraId="7B874726" w14:textId="2453F453"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7 242 339</w:t>
            </w:r>
          </w:p>
        </w:tc>
        <w:tc>
          <w:tcPr>
            <w:tcW w:w="1276" w:type="dxa"/>
            <w:vAlign w:val="center"/>
          </w:tcPr>
          <w:p w14:paraId="0FC16B1A" w14:textId="43D0C920"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5 384 071</w:t>
            </w:r>
          </w:p>
        </w:tc>
        <w:tc>
          <w:tcPr>
            <w:tcW w:w="1276" w:type="dxa"/>
            <w:vAlign w:val="center"/>
          </w:tcPr>
          <w:p w14:paraId="0A368650" w14:textId="3BC0BA93" w:rsidR="00960459" w:rsidRPr="00B44B19" w:rsidRDefault="007A72ED" w:rsidP="003040E3">
            <w:pPr>
              <w:jc w:val="center"/>
              <w:rPr>
                <w:rFonts w:ascii="Times New Roman" w:hAnsi="Times New Roman" w:cs="Times New Roman"/>
                <w:sz w:val="18"/>
                <w:szCs w:val="18"/>
              </w:rPr>
            </w:pPr>
            <w:r w:rsidRPr="00B44B19">
              <w:rPr>
                <w:rFonts w:ascii="Times New Roman" w:hAnsi="Times New Roman" w:cs="Times New Roman"/>
                <w:sz w:val="18"/>
                <w:szCs w:val="18"/>
              </w:rPr>
              <w:t>7 383 250</w:t>
            </w:r>
          </w:p>
        </w:tc>
        <w:tc>
          <w:tcPr>
            <w:tcW w:w="1134" w:type="dxa"/>
            <w:vAlign w:val="center"/>
          </w:tcPr>
          <w:p w14:paraId="68CB5193" w14:textId="6BC26D18"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5 524 984</w:t>
            </w:r>
          </w:p>
        </w:tc>
        <w:tc>
          <w:tcPr>
            <w:tcW w:w="1275" w:type="dxa"/>
            <w:vAlign w:val="center"/>
          </w:tcPr>
          <w:p w14:paraId="5B055C2D" w14:textId="1CE02DCD"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91 841 596</w:t>
            </w:r>
          </w:p>
        </w:tc>
      </w:tr>
      <w:tr w:rsidR="00960459" w:rsidRPr="00B44B19" w14:paraId="2F285139" w14:textId="77777777" w:rsidTr="003040E3">
        <w:tc>
          <w:tcPr>
            <w:tcW w:w="1809" w:type="dxa"/>
            <w:gridSpan w:val="2"/>
            <w:vMerge/>
            <w:vAlign w:val="center"/>
          </w:tcPr>
          <w:p w14:paraId="6D2DB137" w14:textId="77777777" w:rsidR="00960459" w:rsidRPr="00B44B19" w:rsidRDefault="00960459" w:rsidP="003040E3">
            <w:pPr>
              <w:jc w:val="center"/>
              <w:rPr>
                <w:rFonts w:ascii="Times New Roman" w:hAnsi="Times New Roman" w:cs="Times New Roman"/>
                <w:noProof/>
                <w:sz w:val="18"/>
              </w:rPr>
            </w:pPr>
          </w:p>
        </w:tc>
        <w:tc>
          <w:tcPr>
            <w:tcW w:w="1134" w:type="dxa"/>
            <w:vAlign w:val="center"/>
          </w:tcPr>
          <w:p w14:paraId="0CF4789B"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VVL regionas</w:t>
            </w:r>
          </w:p>
        </w:tc>
        <w:tc>
          <w:tcPr>
            <w:tcW w:w="1276" w:type="dxa"/>
            <w:vAlign w:val="center"/>
          </w:tcPr>
          <w:p w14:paraId="19C37BE5"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164 210 845</w:t>
            </w:r>
          </w:p>
        </w:tc>
        <w:tc>
          <w:tcPr>
            <w:tcW w:w="1276" w:type="dxa"/>
            <w:vAlign w:val="center"/>
          </w:tcPr>
          <w:p w14:paraId="7B74D2C2"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162 151 138</w:t>
            </w:r>
          </w:p>
        </w:tc>
        <w:tc>
          <w:tcPr>
            <w:tcW w:w="1276" w:type="dxa"/>
            <w:vAlign w:val="center"/>
          </w:tcPr>
          <w:p w14:paraId="4BC6631F"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167 427 129</w:t>
            </w:r>
          </w:p>
        </w:tc>
        <w:tc>
          <w:tcPr>
            <w:tcW w:w="1275" w:type="dxa"/>
            <w:vAlign w:val="center"/>
          </w:tcPr>
          <w:p w14:paraId="14D585D7"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172 578 232</w:t>
            </w:r>
          </w:p>
        </w:tc>
        <w:tc>
          <w:tcPr>
            <w:tcW w:w="1276" w:type="dxa"/>
            <w:vAlign w:val="center"/>
          </w:tcPr>
          <w:p w14:paraId="5E7C39F5" w14:textId="5F49E384"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80 112 047</w:t>
            </w:r>
          </w:p>
        </w:tc>
        <w:tc>
          <w:tcPr>
            <w:tcW w:w="1276" w:type="dxa"/>
            <w:vAlign w:val="center"/>
          </w:tcPr>
          <w:p w14:paraId="5EC85653" w14:textId="30AA3B2F" w:rsidR="00960459" w:rsidRPr="00B44B19" w:rsidRDefault="00AA1CA3" w:rsidP="003040E3">
            <w:pPr>
              <w:jc w:val="center"/>
              <w:rPr>
                <w:rFonts w:ascii="Times New Roman" w:hAnsi="Times New Roman" w:cs="Times New Roman"/>
                <w:sz w:val="18"/>
                <w:szCs w:val="18"/>
              </w:rPr>
            </w:pPr>
            <w:r w:rsidRPr="00B44B19">
              <w:rPr>
                <w:rFonts w:ascii="Times New Roman" w:hAnsi="Times New Roman" w:cs="Times New Roman"/>
                <w:sz w:val="18"/>
                <w:szCs w:val="18"/>
              </w:rPr>
              <w:t>39 653 989</w:t>
            </w:r>
          </w:p>
        </w:tc>
        <w:tc>
          <w:tcPr>
            <w:tcW w:w="1276" w:type="dxa"/>
            <w:vAlign w:val="center"/>
          </w:tcPr>
          <w:p w14:paraId="46A4A4B0" w14:textId="0DAD5A10" w:rsidR="00960459" w:rsidRPr="00B44B19" w:rsidRDefault="007A72ED" w:rsidP="003040E3">
            <w:pPr>
              <w:jc w:val="center"/>
              <w:rPr>
                <w:rFonts w:ascii="Times New Roman" w:hAnsi="Times New Roman" w:cs="Times New Roman"/>
                <w:sz w:val="18"/>
                <w:szCs w:val="18"/>
              </w:rPr>
            </w:pPr>
            <w:r w:rsidRPr="00B44B19">
              <w:rPr>
                <w:rFonts w:ascii="Times New Roman" w:hAnsi="Times New Roman" w:cs="Times New Roman"/>
                <w:sz w:val="18"/>
                <w:szCs w:val="18"/>
              </w:rPr>
              <w:t>82 238 837</w:t>
            </w:r>
          </w:p>
        </w:tc>
        <w:tc>
          <w:tcPr>
            <w:tcW w:w="1134" w:type="dxa"/>
            <w:vAlign w:val="center"/>
          </w:tcPr>
          <w:p w14:paraId="354EDB6A" w14:textId="4E64BF13"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41 780 778</w:t>
            </w:r>
          </w:p>
        </w:tc>
        <w:tc>
          <w:tcPr>
            <w:tcW w:w="1275" w:type="dxa"/>
            <w:vAlign w:val="center"/>
          </w:tcPr>
          <w:p w14:paraId="2D44456E" w14:textId="0A031CA3" w:rsidR="00960459" w:rsidRPr="00B44B19" w:rsidRDefault="005A57A0" w:rsidP="003040E3">
            <w:pPr>
              <w:jc w:val="center"/>
              <w:rPr>
                <w:rFonts w:ascii="Times New Roman" w:hAnsi="Times New Roman" w:cs="Times New Roman"/>
                <w:sz w:val="18"/>
                <w:szCs w:val="18"/>
              </w:rPr>
            </w:pPr>
            <w:r w:rsidRPr="00B44B19">
              <w:rPr>
                <w:rFonts w:ascii="Times New Roman" w:hAnsi="Times New Roman" w:cs="Times New Roman"/>
                <w:sz w:val="18"/>
                <w:szCs w:val="18"/>
              </w:rPr>
              <w:t>910 152 995</w:t>
            </w:r>
          </w:p>
        </w:tc>
      </w:tr>
      <w:tr w:rsidR="00960459" w:rsidRPr="00B44B19" w14:paraId="73E15AC2" w14:textId="77777777" w:rsidTr="003040E3">
        <w:tc>
          <w:tcPr>
            <w:tcW w:w="2943" w:type="dxa"/>
            <w:gridSpan w:val="3"/>
            <w:vAlign w:val="center"/>
          </w:tcPr>
          <w:p w14:paraId="38C0BD64"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b/>
                <w:noProof/>
                <w:sz w:val="18"/>
              </w:rPr>
              <w:t>Iš viso</w:t>
            </w:r>
          </w:p>
        </w:tc>
        <w:tc>
          <w:tcPr>
            <w:tcW w:w="1276" w:type="dxa"/>
            <w:vAlign w:val="center"/>
          </w:tcPr>
          <w:p w14:paraId="552E7C52" w14:textId="77777777" w:rsidR="00960459" w:rsidRPr="00B44B19" w:rsidRDefault="00960459" w:rsidP="003040E3">
            <w:pPr>
              <w:jc w:val="center"/>
              <w:rPr>
                <w:rFonts w:ascii="Times New Roman" w:hAnsi="Times New Roman" w:cs="Times New Roman"/>
                <w:b/>
                <w:bCs/>
                <w:color w:val="000000"/>
                <w:sz w:val="18"/>
                <w:szCs w:val="18"/>
              </w:rPr>
            </w:pPr>
            <w:r w:rsidRPr="00B44B19">
              <w:rPr>
                <w:rFonts w:ascii="Times New Roman" w:hAnsi="Times New Roman" w:cs="Times New Roman"/>
                <w:b/>
                <w:sz w:val="18"/>
                <w:szCs w:val="18"/>
              </w:rPr>
              <w:t>180 391 854</w:t>
            </w:r>
          </w:p>
        </w:tc>
        <w:tc>
          <w:tcPr>
            <w:tcW w:w="1276" w:type="dxa"/>
            <w:vAlign w:val="center"/>
          </w:tcPr>
          <w:p w14:paraId="73642B34"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178 592 447</w:t>
            </w:r>
          </w:p>
        </w:tc>
        <w:tc>
          <w:tcPr>
            <w:tcW w:w="1276" w:type="dxa"/>
            <w:vAlign w:val="center"/>
          </w:tcPr>
          <w:p w14:paraId="64DA6CCA"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184 134 005</w:t>
            </w:r>
          </w:p>
        </w:tc>
        <w:tc>
          <w:tcPr>
            <w:tcW w:w="1275" w:type="dxa"/>
            <w:vAlign w:val="center"/>
          </w:tcPr>
          <w:p w14:paraId="2A8C67D0"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189 555 990</w:t>
            </w:r>
          </w:p>
        </w:tc>
        <w:tc>
          <w:tcPr>
            <w:tcW w:w="1276" w:type="dxa"/>
            <w:vAlign w:val="center"/>
          </w:tcPr>
          <w:p w14:paraId="677755A6" w14:textId="346E5FCC" w:rsidR="00960459" w:rsidRPr="00B44B19" w:rsidRDefault="00AA1CA3" w:rsidP="003040E3">
            <w:pPr>
              <w:jc w:val="center"/>
              <w:rPr>
                <w:rFonts w:ascii="Times New Roman" w:hAnsi="Times New Roman" w:cs="Times New Roman"/>
                <w:b/>
                <w:sz w:val="18"/>
                <w:szCs w:val="18"/>
              </w:rPr>
            </w:pPr>
            <w:r w:rsidRPr="00B44B19">
              <w:rPr>
                <w:rFonts w:ascii="Times New Roman" w:hAnsi="Times New Roman" w:cs="Times New Roman"/>
                <w:b/>
                <w:sz w:val="18"/>
                <w:szCs w:val="18"/>
              </w:rPr>
              <w:t>87 354 386</w:t>
            </w:r>
          </w:p>
        </w:tc>
        <w:tc>
          <w:tcPr>
            <w:tcW w:w="1276" w:type="dxa"/>
            <w:vAlign w:val="center"/>
          </w:tcPr>
          <w:p w14:paraId="681DBF42" w14:textId="095DF300" w:rsidR="00960459" w:rsidRPr="00B44B19" w:rsidRDefault="00AA1CA3" w:rsidP="003040E3">
            <w:pPr>
              <w:jc w:val="center"/>
              <w:rPr>
                <w:rFonts w:ascii="Times New Roman" w:hAnsi="Times New Roman" w:cs="Times New Roman"/>
                <w:b/>
                <w:sz w:val="18"/>
                <w:szCs w:val="18"/>
              </w:rPr>
            </w:pPr>
            <w:r w:rsidRPr="00B44B19">
              <w:rPr>
                <w:rFonts w:ascii="Times New Roman" w:hAnsi="Times New Roman" w:cs="Times New Roman"/>
                <w:b/>
                <w:sz w:val="18"/>
                <w:szCs w:val="18"/>
              </w:rPr>
              <w:t>45 038 060</w:t>
            </w:r>
          </w:p>
        </w:tc>
        <w:tc>
          <w:tcPr>
            <w:tcW w:w="1276" w:type="dxa"/>
            <w:vAlign w:val="center"/>
          </w:tcPr>
          <w:p w14:paraId="583F2DC7" w14:textId="743FEAF6" w:rsidR="00960459" w:rsidRPr="00B44B19" w:rsidRDefault="007A72ED" w:rsidP="003040E3">
            <w:pPr>
              <w:jc w:val="center"/>
              <w:rPr>
                <w:rFonts w:ascii="Times New Roman" w:hAnsi="Times New Roman" w:cs="Times New Roman"/>
                <w:b/>
                <w:sz w:val="18"/>
                <w:szCs w:val="18"/>
              </w:rPr>
            </w:pPr>
            <w:r w:rsidRPr="00B44B19">
              <w:rPr>
                <w:rFonts w:ascii="Times New Roman" w:hAnsi="Times New Roman" w:cs="Times New Roman"/>
                <w:b/>
                <w:sz w:val="18"/>
                <w:szCs w:val="18"/>
              </w:rPr>
              <w:t>89 622 087</w:t>
            </w:r>
          </w:p>
        </w:tc>
        <w:tc>
          <w:tcPr>
            <w:tcW w:w="1134" w:type="dxa"/>
            <w:vAlign w:val="center"/>
          </w:tcPr>
          <w:p w14:paraId="0ACC0D3A" w14:textId="5325E6C3" w:rsidR="00960459" w:rsidRPr="00B44B19" w:rsidRDefault="005A57A0" w:rsidP="003040E3">
            <w:pPr>
              <w:jc w:val="center"/>
              <w:rPr>
                <w:rFonts w:ascii="Times New Roman" w:hAnsi="Times New Roman" w:cs="Times New Roman"/>
                <w:b/>
                <w:sz w:val="18"/>
                <w:szCs w:val="18"/>
              </w:rPr>
            </w:pPr>
            <w:r w:rsidRPr="00B44B19">
              <w:rPr>
                <w:rFonts w:ascii="Times New Roman" w:hAnsi="Times New Roman" w:cs="Times New Roman"/>
                <w:b/>
                <w:sz w:val="18"/>
                <w:szCs w:val="18"/>
              </w:rPr>
              <w:t>47 305 762</w:t>
            </w:r>
          </w:p>
        </w:tc>
        <w:tc>
          <w:tcPr>
            <w:tcW w:w="1275" w:type="dxa"/>
            <w:vAlign w:val="center"/>
          </w:tcPr>
          <w:p w14:paraId="51242D0E" w14:textId="7012A95E" w:rsidR="00960459" w:rsidRPr="00B44B19" w:rsidRDefault="005A57A0"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1 001 994 591</w:t>
            </w:r>
          </w:p>
        </w:tc>
      </w:tr>
      <w:tr w:rsidR="00960459" w:rsidRPr="00B44B19" w14:paraId="5F453334" w14:textId="77777777" w:rsidTr="003040E3">
        <w:tc>
          <w:tcPr>
            <w:tcW w:w="1809" w:type="dxa"/>
            <w:gridSpan w:val="2"/>
            <w:vAlign w:val="center"/>
          </w:tcPr>
          <w:p w14:paraId="2763BB2A"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SaF</w:t>
            </w:r>
          </w:p>
        </w:tc>
        <w:tc>
          <w:tcPr>
            <w:tcW w:w="1134" w:type="dxa"/>
            <w:vAlign w:val="center"/>
          </w:tcPr>
          <w:p w14:paraId="3810094F"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noProof/>
                <w:sz w:val="18"/>
              </w:rPr>
              <w:t>Visa Lietuva</w:t>
            </w:r>
          </w:p>
        </w:tc>
        <w:tc>
          <w:tcPr>
            <w:tcW w:w="1276" w:type="dxa"/>
            <w:vAlign w:val="center"/>
          </w:tcPr>
          <w:p w14:paraId="5A41E760"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206 887 484</w:t>
            </w:r>
          </w:p>
        </w:tc>
        <w:tc>
          <w:tcPr>
            <w:tcW w:w="1276" w:type="dxa"/>
            <w:vAlign w:val="center"/>
          </w:tcPr>
          <w:p w14:paraId="2D563940"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212 236 759</w:t>
            </w:r>
          </w:p>
        </w:tc>
        <w:tc>
          <w:tcPr>
            <w:tcW w:w="1276" w:type="dxa"/>
            <w:vAlign w:val="center"/>
          </w:tcPr>
          <w:p w14:paraId="5FDF0AE3"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218 465 659</w:t>
            </w:r>
          </w:p>
        </w:tc>
        <w:tc>
          <w:tcPr>
            <w:tcW w:w="1275" w:type="dxa"/>
            <w:vAlign w:val="center"/>
          </w:tcPr>
          <w:p w14:paraId="0AB1A0FA"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224 551 460</w:t>
            </w:r>
          </w:p>
        </w:tc>
        <w:tc>
          <w:tcPr>
            <w:tcW w:w="1276" w:type="dxa"/>
            <w:vAlign w:val="center"/>
          </w:tcPr>
          <w:p w14:paraId="5B79499F" w14:textId="16F875E2" w:rsidR="00960459" w:rsidRPr="00B44B19" w:rsidRDefault="002D7AC5" w:rsidP="003040E3">
            <w:pPr>
              <w:jc w:val="center"/>
              <w:rPr>
                <w:rFonts w:ascii="Times New Roman" w:hAnsi="Times New Roman" w:cs="Times New Roman"/>
                <w:sz w:val="18"/>
                <w:szCs w:val="18"/>
              </w:rPr>
            </w:pPr>
            <w:r w:rsidRPr="00B44B19">
              <w:rPr>
                <w:rFonts w:ascii="Times New Roman" w:hAnsi="Times New Roman" w:cs="Times New Roman"/>
                <w:sz w:val="18"/>
                <w:szCs w:val="18"/>
              </w:rPr>
              <w:t>163 576 257</w:t>
            </w:r>
          </w:p>
        </w:tc>
        <w:tc>
          <w:tcPr>
            <w:tcW w:w="1276" w:type="dxa"/>
            <w:vAlign w:val="center"/>
          </w:tcPr>
          <w:p w14:paraId="570A3872" w14:textId="54CF26F5" w:rsidR="00960459" w:rsidRPr="00B44B19" w:rsidRDefault="002D7AC5" w:rsidP="003040E3">
            <w:pPr>
              <w:jc w:val="center"/>
              <w:rPr>
                <w:rFonts w:ascii="Times New Roman" w:hAnsi="Times New Roman" w:cs="Times New Roman"/>
                <w:sz w:val="18"/>
                <w:szCs w:val="18"/>
              </w:rPr>
            </w:pPr>
            <w:r w:rsidRPr="00B44B19">
              <w:rPr>
                <w:rFonts w:ascii="Times New Roman" w:hAnsi="Times New Roman" w:cs="Times New Roman"/>
                <w:sz w:val="18"/>
                <w:szCs w:val="18"/>
              </w:rPr>
              <w:t>26 708 531</w:t>
            </w:r>
          </w:p>
        </w:tc>
        <w:tc>
          <w:tcPr>
            <w:tcW w:w="1276" w:type="dxa"/>
            <w:vAlign w:val="center"/>
          </w:tcPr>
          <w:p w14:paraId="3E244588" w14:textId="2A166643" w:rsidR="00960459" w:rsidRPr="00B44B19" w:rsidRDefault="002D7AC5" w:rsidP="003040E3">
            <w:pPr>
              <w:jc w:val="center"/>
              <w:rPr>
                <w:rFonts w:ascii="Times New Roman" w:hAnsi="Times New Roman" w:cs="Times New Roman"/>
                <w:sz w:val="18"/>
                <w:szCs w:val="18"/>
              </w:rPr>
            </w:pPr>
            <w:r w:rsidRPr="00B44B19">
              <w:rPr>
                <w:rFonts w:ascii="Times New Roman" w:hAnsi="Times New Roman" w:cs="Times New Roman"/>
                <w:sz w:val="18"/>
                <w:szCs w:val="18"/>
              </w:rPr>
              <w:t>166 448 667</w:t>
            </w:r>
          </w:p>
        </w:tc>
        <w:tc>
          <w:tcPr>
            <w:tcW w:w="1134" w:type="dxa"/>
            <w:vAlign w:val="center"/>
          </w:tcPr>
          <w:p w14:paraId="108C3D43" w14:textId="385DE957" w:rsidR="00960459" w:rsidRPr="00B44B19" w:rsidRDefault="002D7AC5" w:rsidP="003040E3">
            <w:pPr>
              <w:jc w:val="center"/>
              <w:rPr>
                <w:rFonts w:ascii="Times New Roman" w:hAnsi="Times New Roman" w:cs="Times New Roman"/>
                <w:sz w:val="18"/>
                <w:szCs w:val="18"/>
              </w:rPr>
            </w:pPr>
            <w:r w:rsidRPr="00B44B19">
              <w:rPr>
                <w:rFonts w:ascii="Times New Roman" w:hAnsi="Times New Roman" w:cs="Times New Roman"/>
                <w:sz w:val="18"/>
                <w:szCs w:val="18"/>
              </w:rPr>
              <w:t>29 580 940</w:t>
            </w:r>
          </w:p>
        </w:tc>
        <w:tc>
          <w:tcPr>
            <w:tcW w:w="1275" w:type="dxa"/>
            <w:vAlign w:val="center"/>
          </w:tcPr>
          <w:p w14:paraId="6F16F86C" w14:textId="77777777" w:rsidR="00960459" w:rsidRPr="00B44B19" w:rsidRDefault="00960459" w:rsidP="003040E3">
            <w:pPr>
              <w:jc w:val="center"/>
              <w:rPr>
                <w:rFonts w:ascii="Times New Roman" w:hAnsi="Times New Roman" w:cs="Times New Roman"/>
                <w:sz w:val="18"/>
                <w:szCs w:val="18"/>
              </w:rPr>
            </w:pPr>
            <w:r w:rsidRPr="00B44B19">
              <w:rPr>
                <w:rFonts w:ascii="Times New Roman" w:hAnsi="Times New Roman" w:cs="Times New Roman"/>
                <w:sz w:val="18"/>
                <w:szCs w:val="18"/>
              </w:rPr>
              <w:t>1 248 455 757</w:t>
            </w:r>
          </w:p>
        </w:tc>
      </w:tr>
      <w:tr w:rsidR="00960459" w:rsidRPr="00B44B19" w14:paraId="262488E5" w14:textId="77777777" w:rsidTr="003040E3">
        <w:tc>
          <w:tcPr>
            <w:tcW w:w="675" w:type="dxa"/>
            <w:vMerge w:val="restart"/>
            <w:vAlign w:val="center"/>
          </w:tcPr>
          <w:p w14:paraId="7CCA4859" w14:textId="77777777" w:rsidR="00960459" w:rsidRPr="00B44B19" w:rsidRDefault="00960459" w:rsidP="003040E3">
            <w:pPr>
              <w:jc w:val="center"/>
              <w:rPr>
                <w:rFonts w:ascii="Times New Roman" w:eastAsia="Calibri" w:hAnsi="Times New Roman" w:cs="Times New Roman"/>
                <w:b/>
                <w:bCs/>
                <w:noProof/>
                <w:sz w:val="18"/>
              </w:rPr>
            </w:pPr>
            <w:r w:rsidRPr="00B44B19">
              <w:rPr>
                <w:rFonts w:ascii="Times New Roman" w:eastAsia="Calibri" w:hAnsi="Times New Roman" w:cs="Times New Roman"/>
                <w:b/>
                <w:bCs/>
                <w:noProof/>
                <w:sz w:val="18"/>
              </w:rPr>
              <w:t>TPF</w:t>
            </w:r>
          </w:p>
        </w:tc>
        <w:tc>
          <w:tcPr>
            <w:tcW w:w="1134" w:type="dxa"/>
            <w:vAlign w:val="center"/>
          </w:tcPr>
          <w:p w14:paraId="77468533" w14:textId="77777777" w:rsidR="00960459" w:rsidRPr="00B44B19" w:rsidRDefault="00960459" w:rsidP="003040E3">
            <w:pPr>
              <w:jc w:val="center"/>
              <w:rPr>
                <w:rFonts w:ascii="Times New Roman" w:eastAsia="Calibri" w:hAnsi="Times New Roman" w:cs="Times New Roman"/>
                <w:b/>
                <w:noProof/>
                <w:sz w:val="18"/>
              </w:rPr>
            </w:pPr>
            <w:r w:rsidRPr="00B44B19">
              <w:rPr>
                <w:rFonts w:ascii="Times New Roman" w:hAnsi="Times New Roman" w:cs="Times New Roman"/>
                <w:b/>
                <w:sz w:val="18"/>
                <w:szCs w:val="18"/>
              </w:rPr>
              <w:t xml:space="preserve">Ištekliai pagal TPF </w:t>
            </w:r>
            <w:r w:rsidRPr="00B44B19">
              <w:rPr>
                <w:rFonts w:ascii="Times New Roman" w:hAnsi="Times New Roman" w:cs="Times New Roman"/>
                <w:b/>
                <w:sz w:val="18"/>
                <w:szCs w:val="18"/>
              </w:rPr>
              <w:lastRenderedPageBreak/>
              <w:t>reglamento 3 straipsnį</w:t>
            </w:r>
          </w:p>
        </w:tc>
        <w:tc>
          <w:tcPr>
            <w:tcW w:w="1134" w:type="dxa"/>
            <w:vAlign w:val="center"/>
          </w:tcPr>
          <w:p w14:paraId="6770F3EE" w14:textId="77777777" w:rsidR="00960459" w:rsidRPr="00B44B19" w:rsidRDefault="00960459" w:rsidP="003040E3">
            <w:pPr>
              <w:jc w:val="center"/>
              <w:rPr>
                <w:rFonts w:ascii="Times New Roman" w:eastAsia="Calibri" w:hAnsi="Times New Roman" w:cs="Times New Roman"/>
                <w:b/>
                <w:noProof/>
                <w:sz w:val="18"/>
              </w:rPr>
            </w:pPr>
            <w:r w:rsidRPr="00B44B19">
              <w:rPr>
                <w:rFonts w:ascii="Times New Roman" w:hAnsi="Times New Roman" w:cs="Times New Roman"/>
                <w:b/>
                <w:color w:val="000000"/>
                <w:sz w:val="18"/>
                <w:szCs w:val="18"/>
              </w:rPr>
              <w:lastRenderedPageBreak/>
              <w:t>VVL regionas</w:t>
            </w:r>
          </w:p>
        </w:tc>
        <w:tc>
          <w:tcPr>
            <w:tcW w:w="1276" w:type="dxa"/>
            <w:vAlign w:val="center"/>
          </w:tcPr>
          <w:p w14:paraId="734ADBC8"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20 440 351</w:t>
            </w:r>
          </w:p>
        </w:tc>
        <w:tc>
          <w:tcPr>
            <w:tcW w:w="1276" w:type="dxa"/>
            <w:vAlign w:val="center"/>
          </w:tcPr>
          <w:p w14:paraId="19DE7E32"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20 768 684</w:t>
            </w:r>
          </w:p>
        </w:tc>
        <w:tc>
          <w:tcPr>
            <w:tcW w:w="1276" w:type="dxa"/>
            <w:vAlign w:val="center"/>
          </w:tcPr>
          <w:p w14:paraId="079C056E"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21 103 584</w:t>
            </w:r>
          </w:p>
        </w:tc>
        <w:tc>
          <w:tcPr>
            <w:tcW w:w="1275" w:type="dxa"/>
            <w:vAlign w:val="center"/>
          </w:tcPr>
          <w:p w14:paraId="07890875"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21 445 182</w:t>
            </w:r>
          </w:p>
        </w:tc>
        <w:tc>
          <w:tcPr>
            <w:tcW w:w="1276" w:type="dxa"/>
            <w:vAlign w:val="center"/>
          </w:tcPr>
          <w:p w14:paraId="2F162C86"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8 884 960</w:t>
            </w:r>
          </w:p>
        </w:tc>
        <w:tc>
          <w:tcPr>
            <w:tcW w:w="1276" w:type="dxa"/>
            <w:vAlign w:val="center"/>
          </w:tcPr>
          <w:p w14:paraId="00B6D71E"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8 884 960</w:t>
            </w:r>
          </w:p>
        </w:tc>
        <w:tc>
          <w:tcPr>
            <w:tcW w:w="1276" w:type="dxa"/>
            <w:vAlign w:val="center"/>
          </w:tcPr>
          <w:p w14:paraId="0167437D"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9 062 660</w:t>
            </w:r>
          </w:p>
        </w:tc>
        <w:tc>
          <w:tcPr>
            <w:tcW w:w="1134" w:type="dxa"/>
            <w:vAlign w:val="center"/>
          </w:tcPr>
          <w:p w14:paraId="7194BE9E"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9 062 659</w:t>
            </w:r>
          </w:p>
        </w:tc>
        <w:tc>
          <w:tcPr>
            <w:tcW w:w="1275" w:type="dxa"/>
            <w:vAlign w:val="center"/>
          </w:tcPr>
          <w:p w14:paraId="72619F2D"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119 653 040</w:t>
            </w:r>
          </w:p>
        </w:tc>
      </w:tr>
      <w:tr w:rsidR="00960459" w:rsidRPr="00B44B19" w14:paraId="595DBA01" w14:textId="77777777" w:rsidTr="003040E3">
        <w:tc>
          <w:tcPr>
            <w:tcW w:w="675" w:type="dxa"/>
            <w:vMerge/>
            <w:vAlign w:val="center"/>
          </w:tcPr>
          <w:p w14:paraId="62A4834B" w14:textId="77777777" w:rsidR="00960459" w:rsidRPr="00B44B19" w:rsidRDefault="00960459" w:rsidP="003040E3">
            <w:pPr>
              <w:jc w:val="center"/>
              <w:rPr>
                <w:rFonts w:ascii="Times New Roman" w:eastAsia="Calibri" w:hAnsi="Times New Roman" w:cs="Times New Roman"/>
                <w:b/>
                <w:noProof/>
                <w:sz w:val="18"/>
              </w:rPr>
            </w:pPr>
          </w:p>
        </w:tc>
        <w:tc>
          <w:tcPr>
            <w:tcW w:w="1134" w:type="dxa"/>
            <w:vAlign w:val="center"/>
          </w:tcPr>
          <w:p w14:paraId="5C4DC6BC" w14:textId="77777777" w:rsidR="00960459" w:rsidRPr="00B44B19" w:rsidRDefault="00960459" w:rsidP="003040E3">
            <w:pPr>
              <w:jc w:val="center"/>
              <w:rPr>
                <w:rFonts w:ascii="Times New Roman" w:eastAsia="Calibri" w:hAnsi="Times New Roman" w:cs="Times New Roman"/>
                <w:b/>
                <w:noProof/>
                <w:sz w:val="18"/>
              </w:rPr>
            </w:pPr>
            <w:r w:rsidRPr="00B44B19">
              <w:rPr>
                <w:rFonts w:ascii="Times New Roman" w:hAnsi="Times New Roman" w:cs="Times New Roman"/>
                <w:b/>
                <w:sz w:val="18"/>
                <w:szCs w:val="18"/>
              </w:rPr>
              <w:t>Ištekliai pagal TPF reglamento 4 straipsnį</w:t>
            </w:r>
          </w:p>
        </w:tc>
        <w:tc>
          <w:tcPr>
            <w:tcW w:w="1134" w:type="dxa"/>
            <w:vAlign w:val="center"/>
          </w:tcPr>
          <w:p w14:paraId="2ECE091E" w14:textId="77777777" w:rsidR="00960459" w:rsidRPr="00B44B19" w:rsidRDefault="00960459" w:rsidP="003040E3">
            <w:pPr>
              <w:jc w:val="center"/>
              <w:rPr>
                <w:rFonts w:ascii="Times New Roman" w:eastAsia="Calibri" w:hAnsi="Times New Roman" w:cs="Times New Roman"/>
                <w:b/>
                <w:noProof/>
                <w:sz w:val="18"/>
              </w:rPr>
            </w:pPr>
            <w:r w:rsidRPr="00B44B19">
              <w:rPr>
                <w:rFonts w:ascii="Times New Roman" w:hAnsi="Times New Roman" w:cs="Times New Roman"/>
                <w:b/>
                <w:color w:val="000000"/>
                <w:sz w:val="18"/>
                <w:szCs w:val="18"/>
              </w:rPr>
              <w:t>VVL regionas</w:t>
            </w:r>
          </w:p>
        </w:tc>
        <w:tc>
          <w:tcPr>
            <w:tcW w:w="1276" w:type="dxa"/>
            <w:vAlign w:val="center"/>
          </w:tcPr>
          <w:p w14:paraId="3140902D"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76 191 182</w:t>
            </w:r>
          </w:p>
        </w:tc>
        <w:tc>
          <w:tcPr>
            <w:tcW w:w="1276" w:type="dxa"/>
            <w:vAlign w:val="center"/>
          </w:tcPr>
          <w:p w14:paraId="14E7E4BE"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77 415 040</w:t>
            </w:r>
          </w:p>
        </w:tc>
        <w:tc>
          <w:tcPr>
            <w:tcW w:w="1276" w:type="dxa"/>
            <w:vAlign w:val="center"/>
          </w:tcPr>
          <w:p w14:paraId="1F3F1110"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w:t>
            </w:r>
          </w:p>
        </w:tc>
        <w:tc>
          <w:tcPr>
            <w:tcW w:w="1275" w:type="dxa"/>
            <w:vAlign w:val="center"/>
          </w:tcPr>
          <w:p w14:paraId="517E4397"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w:t>
            </w:r>
          </w:p>
        </w:tc>
        <w:tc>
          <w:tcPr>
            <w:tcW w:w="1276" w:type="dxa"/>
            <w:vAlign w:val="center"/>
          </w:tcPr>
          <w:p w14:paraId="73F3DB35"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w:t>
            </w:r>
          </w:p>
        </w:tc>
        <w:tc>
          <w:tcPr>
            <w:tcW w:w="1276" w:type="dxa"/>
            <w:vAlign w:val="center"/>
          </w:tcPr>
          <w:p w14:paraId="6D2D7AE9"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w:t>
            </w:r>
          </w:p>
        </w:tc>
        <w:tc>
          <w:tcPr>
            <w:tcW w:w="1276" w:type="dxa"/>
            <w:vAlign w:val="center"/>
          </w:tcPr>
          <w:p w14:paraId="04D123D3"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w:t>
            </w:r>
          </w:p>
        </w:tc>
        <w:tc>
          <w:tcPr>
            <w:tcW w:w="1134" w:type="dxa"/>
            <w:vAlign w:val="center"/>
          </w:tcPr>
          <w:p w14:paraId="66580DC6"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w:t>
            </w:r>
          </w:p>
        </w:tc>
        <w:tc>
          <w:tcPr>
            <w:tcW w:w="1275" w:type="dxa"/>
            <w:vAlign w:val="center"/>
          </w:tcPr>
          <w:p w14:paraId="5B1540A4"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153 606 222</w:t>
            </w:r>
          </w:p>
        </w:tc>
      </w:tr>
      <w:tr w:rsidR="00960459" w:rsidRPr="00B44B19" w14:paraId="529E3F8C" w14:textId="77777777" w:rsidTr="003040E3">
        <w:tc>
          <w:tcPr>
            <w:tcW w:w="2943" w:type="dxa"/>
            <w:gridSpan w:val="3"/>
            <w:vAlign w:val="center"/>
          </w:tcPr>
          <w:p w14:paraId="7BB59DD0" w14:textId="77777777" w:rsidR="00960459" w:rsidRPr="00B44B19" w:rsidRDefault="00960459" w:rsidP="003040E3">
            <w:pPr>
              <w:jc w:val="center"/>
              <w:rPr>
                <w:rFonts w:ascii="Times New Roman" w:eastAsia="Calibri" w:hAnsi="Times New Roman" w:cs="Times New Roman"/>
                <w:noProof/>
                <w:sz w:val="18"/>
              </w:rPr>
            </w:pPr>
            <w:r w:rsidRPr="00B44B19">
              <w:rPr>
                <w:rFonts w:ascii="Times New Roman" w:hAnsi="Times New Roman" w:cs="Times New Roman"/>
                <w:b/>
                <w:noProof/>
                <w:sz w:val="18"/>
              </w:rPr>
              <w:t>Iš viso</w:t>
            </w:r>
          </w:p>
        </w:tc>
        <w:tc>
          <w:tcPr>
            <w:tcW w:w="1276" w:type="dxa"/>
          </w:tcPr>
          <w:p w14:paraId="01743285"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96 631 533</w:t>
            </w:r>
          </w:p>
        </w:tc>
        <w:tc>
          <w:tcPr>
            <w:tcW w:w="1276" w:type="dxa"/>
          </w:tcPr>
          <w:p w14:paraId="61C2D8D4"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98 183 724</w:t>
            </w:r>
          </w:p>
        </w:tc>
        <w:tc>
          <w:tcPr>
            <w:tcW w:w="1276" w:type="dxa"/>
          </w:tcPr>
          <w:p w14:paraId="0B0525EC"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21 103 584</w:t>
            </w:r>
          </w:p>
        </w:tc>
        <w:tc>
          <w:tcPr>
            <w:tcW w:w="1275" w:type="dxa"/>
          </w:tcPr>
          <w:p w14:paraId="5F8C72B3"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21 445 182</w:t>
            </w:r>
          </w:p>
        </w:tc>
        <w:tc>
          <w:tcPr>
            <w:tcW w:w="1276" w:type="dxa"/>
          </w:tcPr>
          <w:p w14:paraId="2A191E10"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8 884 960</w:t>
            </w:r>
          </w:p>
        </w:tc>
        <w:tc>
          <w:tcPr>
            <w:tcW w:w="1276" w:type="dxa"/>
          </w:tcPr>
          <w:p w14:paraId="20A307E8"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8 884 960</w:t>
            </w:r>
          </w:p>
        </w:tc>
        <w:tc>
          <w:tcPr>
            <w:tcW w:w="1276" w:type="dxa"/>
          </w:tcPr>
          <w:p w14:paraId="29731CAF"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9 062 660</w:t>
            </w:r>
          </w:p>
        </w:tc>
        <w:tc>
          <w:tcPr>
            <w:tcW w:w="1134" w:type="dxa"/>
          </w:tcPr>
          <w:p w14:paraId="40203167"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9 062 659</w:t>
            </w:r>
          </w:p>
        </w:tc>
        <w:tc>
          <w:tcPr>
            <w:tcW w:w="1275" w:type="dxa"/>
          </w:tcPr>
          <w:p w14:paraId="2E140F5D"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273 259 262</w:t>
            </w:r>
          </w:p>
        </w:tc>
      </w:tr>
      <w:tr w:rsidR="00960459" w:rsidRPr="00B44B19" w14:paraId="581099D9" w14:textId="77777777" w:rsidTr="003040E3">
        <w:tc>
          <w:tcPr>
            <w:tcW w:w="2943" w:type="dxa"/>
            <w:gridSpan w:val="3"/>
            <w:vAlign w:val="center"/>
          </w:tcPr>
          <w:p w14:paraId="1BF8B2C1" w14:textId="77777777" w:rsidR="00960459" w:rsidRPr="00B44B19" w:rsidRDefault="00960459" w:rsidP="003040E3">
            <w:pPr>
              <w:jc w:val="center"/>
              <w:rPr>
                <w:rFonts w:ascii="Times New Roman" w:hAnsi="Times New Roman" w:cs="Times New Roman"/>
                <w:noProof/>
                <w:sz w:val="18"/>
              </w:rPr>
            </w:pPr>
            <w:r w:rsidRPr="00B44B19">
              <w:rPr>
                <w:rFonts w:ascii="Times New Roman" w:hAnsi="Times New Roman" w:cs="Times New Roman"/>
                <w:b/>
                <w:noProof/>
                <w:sz w:val="18"/>
              </w:rPr>
              <w:t>IŠ VISO</w:t>
            </w:r>
          </w:p>
        </w:tc>
        <w:tc>
          <w:tcPr>
            <w:tcW w:w="1276" w:type="dxa"/>
          </w:tcPr>
          <w:p w14:paraId="2EEE683C"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1 087 146 351</w:t>
            </w:r>
          </w:p>
        </w:tc>
        <w:tc>
          <w:tcPr>
            <w:tcW w:w="1276" w:type="dxa"/>
          </w:tcPr>
          <w:p w14:paraId="0B21A2A3"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1 107 548 744</w:t>
            </w:r>
          </w:p>
        </w:tc>
        <w:tc>
          <w:tcPr>
            <w:tcW w:w="1276" w:type="dxa"/>
          </w:tcPr>
          <w:p w14:paraId="2468FCB7"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1 049 453 634</w:t>
            </w:r>
          </w:p>
        </w:tc>
        <w:tc>
          <w:tcPr>
            <w:tcW w:w="1275" w:type="dxa"/>
          </w:tcPr>
          <w:p w14:paraId="6AB3C67B"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1 081 239 532</w:t>
            </w:r>
          </w:p>
        </w:tc>
        <w:tc>
          <w:tcPr>
            <w:tcW w:w="1276" w:type="dxa"/>
          </w:tcPr>
          <w:p w14:paraId="0DD239E6" w14:textId="05CD6FA6" w:rsidR="00960459" w:rsidRPr="00B44B19" w:rsidRDefault="002D7AC5" w:rsidP="003040E3">
            <w:pPr>
              <w:jc w:val="center"/>
              <w:rPr>
                <w:rFonts w:ascii="Times New Roman" w:hAnsi="Times New Roman" w:cs="Times New Roman"/>
                <w:b/>
                <w:sz w:val="18"/>
                <w:szCs w:val="18"/>
              </w:rPr>
            </w:pPr>
            <w:r w:rsidRPr="00B44B19">
              <w:rPr>
                <w:rFonts w:ascii="Times New Roman" w:hAnsi="Times New Roman" w:cs="Times New Roman"/>
                <w:b/>
                <w:sz w:val="18"/>
                <w:szCs w:val="18"/>
              </w:rPr>
              <w:t>677 932 735</w:t>
            </w:r>
          </w:p>
        </w:tc>
        <w:tc>
          <w:tcPr>
            <w:tcW w:w="1276" w:type="dxa"/>
          </w:tcPr>
          <w:p w14:paraId="5503DE88" w14:textId="401A7C83" w:rsidR="00960459" w:rsidRPr="00B44B19" w:rsidRDefault="002D7AC5"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239 722 955</w:t>
            </w:r>
          </w:p>
        </w:tc>
        <w:tc>
          <w:tcPr>
            <w:tcW w:w="1276" w:type="dxa"/>
          </w:tcPr>
          <w:p w14:paraId="107CE72B" w14:textId="53278854" w:rsidR="00960459" w:rsidRPr="00B44B19" w:rsidRDefault="002D7AC5" w:rsidP="003040E3">
            <w:pPr>
              <w:jc w:val="center"/>
              <w:rPr>
                <w:rFonts w:ascii="Times New Roman" w:hAnsi="Times New Roman" w:cs="Times New Roman"/>
                <w:b/>
                <w:sz w:val="18"/>
                <w:szCs w:val="18"/>
              </w:rPr>
            </w:pPr>
            <w:r w:rsidRPr="00B44B19">
              <w:rPr>
                <w:rFonts w:ascii="Times New Roman" w:hAnsi="Times New Roman" w:cs="Times New Roman"/>
                <w:b/>
                <w:sz w:val="18"/>
                <w:szCs w:val="18"/>
              </w:rPr>
              <w:t>691 438 181</w:t>
            </w:r>
          </w:p>
        </w:tc>
        <w:tc>
          <w:tcPr>
            <w:tcW w:w="1134" w:type="dxa"/>
          </w:tcPr>
          <w:p w14:paraId="22BD1558" w14:textId="3FF840B8" w:rsidR="00960459" w:rsidRPr="00B44B19" w:rsidRDefault="002D7AC5" w:rsidP="003040E3">
            <w:pPr>
              <w:jc w:val="center"/>
              <w:rPr>
                <w:rFonts w:ascii="Times New Roman" w:hAnsi="Times New Roman" w:cs="Times New Roman"/>
                <w:b/>
                <w:sz w:val="18"/>
                <w:szCs w:val="18"/>
              </w:rPr>
            </w:pPr>
            <w:r w:rsidRPr="00B44B19">
              <w:rPr>
                <w:rFonts w:ascii="Times New Roman" w:hAnsi="Times New Roman" w:cs="Times New Roman"/>
                <w:b/>
                <w:sz w:val="18"/>
                <w:szCs w:val="18"/>
              </w:rPr>
              <w:t>255 228 398</w:t>
            </w:r>
          </w:p>
        </w:tc>
        <w:tc>
          <w:tcPr>
            <w:tcW w:w="1275" w:type="dxa"/>
          </w:tcPr>
          <w:p w14:paraId="4AE897B3" w14:textId="77777777" w:rsidR="00960459" w:rsidRPr="00B44B19" w:rsidRDefault="00960459" w:rsidP="003040E3">
            <w:pPr>
              <w:jc w:val="center"/>
              <w:rPr>
                <w:rFonts w:ascii="Times New Roman" w:hAnsi="Times New Roman" w:cs="Times New Roman"/>
                <w:b/>
                <w:sz w:val="18"/>
                <w:szCs w:val="18"/>
              </w:rPr>
            </w:pPr>
            <w:r w:rsidRPr="00B44B19">
              <w:rPr>
                <w:rFonts w:ascii="Times New Roman" w:hAnsi="Times New Roman" w:cs="Times New Roman"/>
                <w:b/>
                <w:sz w:val="18"/>
                <w:szCs w:val="18"/>
              </w:rPr>
              <w:t>6 189 710 530</w:t>
            </w:r>
          </w:p>
        </w:tc>
      </w:tr>
    </w:tbl>
    <w:p w14:paraId="45C365F0" w14:textId="77777777" w:rsidR="00960459" w:rsidRPr="00B44B19" w:rsidRDefault="00960459" w:rsidP="00D456C1">
      <w:pPr>
        <w:pStyle w:val="Antrat2"/>
        <w:numPr>
          <w:ilvl w:val="1"/>
          <w:numId w:val="8"/>
        </w:numPr>
        <w:rPr>
          <w:rFonts w:eastAsia="Calibri"/>
          <w:noProof/>
          <w:lang w:eastAsia="lt-LT" w:bidi="lt-LT"/>
        </w:rPr>
      </w:pPr>
      <w:bookmarkStart w:id="107" w:name="_Toc223435467"/>
      <w:r w:rsidRPr="00B44B19">
        <w:rPr>
          <w:rFonts w:eastAsia="Calibri"/>
          <w:noProof/>
          <w:lang w:eastAsia="lt-LT" w:bidi="lt-LT"/>
        </w:rPr>
        <w:t>Visi finansiniai asignavimai pagal fondą ir nacionalinis bendras finansavimas</w:t>
      </w:r>
      <w:bookmarkEnd w:id="107"/>
    </w:p>
    <w:p w14:paraId="742A8399" w14:textId="77777777" w:rsidR="00960459" w:rsidRPr="00B44B19" w:rsidRDefault="00960459" w:rsidP="00960459">
      <w:pPr>
        <w:spacing w:after="0"/>
        <w:ind w:left="284"/>
        <w:rPr>
          <w:rFonts w:cs="Times New Roman"/>
          <w:lang w:eastAsia="lt-LT" w:bidi="lt-LT"/>
        </w:rPr>
      </w:pPr>
    </w:p>
    <w:p w14:paraId="1E077580" w14:textId="77777777" w:rsidR="00960459" w:rsidRPr="00B44B19" w:rsidRDefault="00960459" w:rsidP="00960459">
      <w:pPr>
        <w:spacing w:after="0"/>
        <w:ind w:left="284"/>
        <w:rPr>
          <w:rFonts w:cs="Times New Roman"/>
          <w:b/>
          <w:bCs/>
          <w:sz w:val="28"/>
          <w:szCs w:val="28"/>
        </w:rPr>
      </w:pPr>
      <w:r w:rsidRPr="00B44B19">
        <w:rPr>
          <w:rFonts w:cs="Times New Roman"/>
          <w:b/>
          <w:sz w:val="22"/>
          <w:lang w:eastAsia="lt-LT" w:bidi="lt-LT"/>
        </w:rPr>
        <w:t>7. lentelė. Visi finansiniai asignavimai pagal fondą ir nacionalinis bendras finansavimas</w:t>
      </w:r>
    </w:p>
    <w:tbl>
      <w:tblPr>
        <w:tblStyle w:val="Lentelstinklelis6"/>
        <w:tblW w:w="15877" w:type="dxa"/>
        <w:tblInd w:w="-318" w:type="dxa"/>
        <w:tblLayout w:type="fixed"/>
        <w:tblLook w:val="04A0" w:firstRow="1" w:lastRow="0" w:firstColumn="1" w:lastColumn="0" w:noHBand="0" w:noVBand="1"/>
      </w:tblPr>
      <w:tblGrid>
        <w:gridCol w:w="568"/>
        <w:gridCol w:w="851"/>
        <w:gridCol w:w="850"/>
        <w:gridCol w:w="567"/>
        <w:gridCol w:w="851"/>
        <w:gridCol w:w="992"/>
        <w:gridCol w:w="1134"/>
        <w:gridCol w:w="1276"/>
        <w:gridCol w:w="1134"/>
        <w:gridCol w:w="1134"/>
        <w:gridCol w:w="992"/>
        <w:gridCol w:w="1276"/>
        <w:gridCol w:w="1134"/>
        <w:gridCol w:w="1134"/>
        <w:gridCol w:w="1275"/>
        <w:gridCol w:w="709"/>
      </w:tblGrid>
      <w:tr w:rsidR="00960459" w:rsidRPr="00B44B19" w14:paraId="6F527EC6" w14:textId="77777777" w:rsidTr="003040E3">
        <w:trPr>
          <w:trHeight w:val="570"/>
          <w:tblHeader/>
        </w:trPr>
        <w:tc>
          <w:tcPr>
            <w:tcW w:w="568"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F337F27"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pacing w:val="-6"/>
                <w:sz w:val="16"/>
                <w:szCs w:val="16"/>
              </w:rPr>
              <w:t>Politikos tikslo / TPF konkretaus tikslo Nr.</w:t>
            </w:r>
          </w:p>
        </w:tc>
        <w:tc>
          <w:tcPr>
            <w:tcW w:w="851"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5A1B1DE"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Prioritetas</w:t>
            </w:r>
          </w:p>
        </w:tc>
        <w:tc>
          <w:tcPr>
            <w:tcW w:w="850"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77315C0D"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Sąjungos paramos (visų tinkamų finansuoti išlaidų arba viešojo įnašo) apskaičiavimo pagrindas</w:t>
            </w:r>
          </w:p>
        </w:tc>
        <w:tc>
          <w:tcPr>
            <w:tcW w:w="1418" w:type="dxa"/>
            <w:gridSpan w:val="2"/>
            <w:vMerge w:val="restart"/>
            <w:tcBorders>
              <w:top w:val="single" w:sz="12" w:space="0" w:color="auto"/>
              <w:left w:val="single" w:sz="12" w:space="0" w:color="auto"/>
              <w:right w:val="single" w:sz="12" w:space="0" w:color="auto"/>
            </w:tcBorders>
            <w:shd w:val="clear" w:color="auto" w:fill="B8CCE4" w:themeFill="accent1" w:themeFillTint="66"/>
            <w:vAlign w:val="center"/>
          </w:tcPr>
          <w:p w14:paraId="3BA546B9"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Fondas</w:t>
            </w:r>
          </w:p>
        </w:tc>
        <w:tc>
          <w:tcPr>
            <w:tcW w:w="992"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4E97058B"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Regiono kategorija</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12BC7346"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Sąjungos įnašas</w:t>
            </w:r>
          </w:p>
        </w:tc>
        <w:tc>
          <w:tcPr>
            <w:tcW w:w="4536"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29F0CBC"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Sąjungos įnašo suskirstymas</w:t>
            </w:r>
          </w:p>
        </w:tc>
        <w:tc>
          <w:tcPr>
            <w:tcW w:w="1276"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0AB86D01"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Nacionalinis įnašas</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03A77A2"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Preliminarus nacionalinio įnašo suskirstymas</w:t>
            </w:r>
          </w:p>
        </w:tc>
        <w:tc>
          <w:tcPr>
            <w:tcW w:w="1275"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3E0C6B80"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Iš viso</w:t>
            </w:r>
          </w:p>
        </w:tc>
        <w:tc>
          <w:tcPr>
            <w:tcW w:w="709"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7D84EBAE"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Bendro finansavimo norma</w:t>
            </w:r>
          </w:p>
        </w:tc>
      </w:tr>
      <w:tr w:rsidR="00960459" w:rsidRPr="00B44B19" w14:paraId="67658611" w14:textId="77777777" w:rsidTr="003040E3">
        <w:trPr>
          <w:trHeight w:val="398"/>
          <w:tblHeader/>
        </w:trPr>
        <w:tc>
          <w:tcPr>
            <w:tcW w:w="568" w:type="dxa"/>
            <w:vMerge/>
            <w:tcBorders>
              <w:left w:val="single" w:sz="12" w:space="0" w:color="auto"/>
              <w:right w:val="single" w:sz="12" w:space="0" w:color="auto"/>
            </w:tcBorders>
            <w:shd w:val="clear" w:color="auto" w:fill="B8CCE4" w:themeFill="accent1" w:themeFillTint="66"/>
            <w:vAlign w:val="center"/>
          </w:tcPr>
          <w:p w14:paraId="4AD668D7" w14:textId="77777777" w:rsidR="00960459" w:rsidRPr="00B44B19" w:rsidRDefault="00960459" w:rsidP="003040E3">
            <w:pPr>
              <w:jc w:val="center"/>
              <w:rPr>
                <w:rFonts w:ascii="Times New Roman" w:hAnsi="Times New Roman" w:cs="Times New Roman"/>
                <w:b/>
                <w:spacing w:val="-6"/>
                <w:sz w:val="16"/>
                <w:szCs w:val="16"/>
              </w:rPr>
            </w:pPr>
          </w:p>
        </w:tc>
        <w:tc>
          <w:tcPr>
            <w:tcW w:w="851" w:type="dxa"/>
            <w:vMerge/>
            <w:tcBorders>
              <w:left w:val="single" w:sz="12" w:space="0" w:color="auto"/>
              <w:right w:val="single" w:sz="12" w:space="0" w:color="auto"/>
            </w:tcBorders>
            <w:shd w:val="clear" w:color="auto" w:fill="B8CCE4" w:themeFill="accent1" w:themeFillTint="66"/>
            <w:vAlign w:val="center"/>
          </w:tcPr>
          <w:p w14:paraId="1E80E423" w14:textId="77777777" w:rsidR="00960459" w:rsidRPr="00B44B19" w:rsidRDefault="00960459" w:rsidP="003040E3">
            <w:pPr>
              <w:jc w:val="center"/>
              <w:rPr>
                <w:rFonts w:ascii="Times New Roman" w:hAnsi="Times New Roman" w:cs="Times New Roman"/>
                <w:b/>
                <w:sz w:val="16"/>
                <w:szCs w:val="16"/>
              </w:rPr>
            </w:pPr>
          </w:p>
        </w:tc>
        <w:tc>
          <w:tcPr>
            <w:tcW w:w="850" w:type="dxa"/>
            <w:vMerge/>
            <w:tcBorders>
              <w:left w:val="single" w:sz="12" w:space="0" w:color="auto"/>
              <w:right w:val="single" w:sz="12" w:space="0" w:color="auto"/>
            </w:tcBorders>
            <w:shd w:val="clear" w:color="auto" w:fill="B8CCE4" w:themeFill="accent1" w:themeFillTint="66"/>
            <w:vAlign w:val="center"/>
          </w:tcPr>
          <w:p w14:paraId="51BCD8FF" w14:textId="77777777" w:rsidR="00960459" w:rsidRPr="00B44B19" w:rsidRDefault="00960459" w:rsidP="003040E3">
            <w:pPr>
              <w:jc w:val="center"/>
              <w:rPr>
                <w:rFonts w:ascii="Times New Roman" w:hAnsi="Times New Roman" w:cs="Times New Roman"/>
                <w:b/>
                <w:sz w:val="16"/>
                <w:szCs w:val="16"/>
              </w:rPr>
            </w:pPr>
          </w:p>
        </w:tc>
        <w:tc>
          <w:tcPr>
            <w:tcW w:w="1418" w:type="dxa"/>
            <w:gridSpan w:val="2"/>
            <w:vMerge/>
            <w:tcBorders>
              <w:left w:val="single" w:sz="12" w:space="0" w:color="auto"/>
              <w:right w:val="single" w:sz="12" w:space="0" w:color="auto"/>
            </w:tcBorders>
            <w:shd w:val="clear" w:color="auto" w:fill="B8CCE4" w:themeFill="accent1" w:themeFillTint="66"/>
            <w:vAlign w:val="center"/>
          </w:tcPr>
          <w:p w14:paraId="54DD9703" w14:textId="77777777" w:rsidR="00960459" w:rsidRPr="00B44B19" w:rsidRDefault="00960459" w:rsidP="003040E3">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53F728E7" w14:textId="77777777" w:rsidR="00960459" w:rsidRPr="00B44B19" w:rsidRDefault="00960459" w:rsidP="003040E3">
            <w:pPr>
              <w:jc w:val="center"/>
              <w:rPr>
                <w:rFonts w:ascii="Times New Roman" w:hAnsi="Times New Roman" w:cs="Times New Roman"/>
                <w:b/>
                <w:sz w:val="16"/>
                <w:szCs w:val="16"/>
              </w:rPr>
            </w:pPr>
          </w:p>
        </w:tc>
        <w:tc>
          <w:tcPr>
            <w:tcW w:w="1134" w:type="dxa"/>
            <w:vMerge/>
            <w:tcBorders>
              <w:left w:val="single" w:sz="12" w:space="0" w:color="auto"/>
              <w:right w:val="single" w:sz="12" w:space="0" w:color="auto"/>
            </w:tcBorders>
            <w:shd w:val="clear" w:color="auto" w:fill="B8CCE4" w:themeFill="accent1" w:themeFillTint="66"/>
            <w:vAlign w:val="center"/>
          </w:tcPr>
          <w:p w14:paraId="4BE90573" w14:textId="77777777" w:rsidR="00960459" w:rsidRPr="00B44B19" w:rsidRDefault="00960459" w:rsidP="003040E3">
            <w:pPr>
              <w:jc w:val="center"/>
              <w:rPr>
                <w:rFonts w:ascii="Times New Roman" w:hAnsi="Times New Roman" w:cs="Times New Roman"/>
                <w:b/>
                <w:sz w:val="16"/>
                <w:szCs w:val="16"/>
              </w:rPr>
            </w:pPr>
          </w:p>
        </w:tc>
        <w:tc>
          <w:tcPr>
            <w:tcW w:w="2410"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582FD52"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Sąjungos įnašas</w:t>
            </w:r>
          </w:p>
        </w:tc>
        <w:tc>
          <w:tcPr>
            <w:tcW w:w="2126"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3D05E2"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Lankstumo suma</w:t>
            </w:r>
          </w:p>
        </w:tc>
        <w:tc>
          <w:tcPr>
            <w:tcW w:w="1276" w:type="dxa"/>
            <w:vMerge/>
            <w:tcBorders>
              <w:left w:val="single" w:sz="12" w:space="0" w:color="auto"/>
              <w:right w:val="single" w:sz="12" w:space="0" w:color="auto"/>
            </w:tcBorders>
            <w:shd w:val="clear" w:color="auto" w:fill="B8CCE4" w:themeFill="accent1" w:themeFillTint="66"/>
            <w:vAlign w:val="center"/>
          </w:tcPr>
          <w:p w14:paraId="391799CD" w14:textId="77777777" w:rsidR="00960459" w:rsidRPr="00B44B19" w:rsidRDefault="00960459" w:rsidP="003040E3">
            <w:pPr>
              <w:jc w:val="center"/>
              <w:rPr>
                <w:rFonts w:ascii="Times New Roman" w:hAnsi="Times New Roman" w:cs="Times New Roman"/>
                <w:b/>
                <w:sz w:val="16"/>
                <w:szCs w:val="16"/>
              </w:rPr>
            </w:pP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59741A20"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viešasis</w:t>
            </w:r>
          </w:p>
        </w:tc>
        <w:tc>
          <w:tcPr>
            <w:tcW w:w="1134" w:type="dxa"/>
            <w:vMerge w:val="restart"/>
            <w:tcBorders>
              <w:top w:val="single" w:sz="12" w:space="0" w:color="auto"/>
              <w:left w:val="single" w:sz="12" w:space="0" w:color="auto"/>
              <w:right w:val="single" w:sz="12" w:space="0" w:color="auto"/>
            </w:tcBorders>
            <w:shd w:val="clear" w:color="auto" w:fill="B8CCE4" w:themeFill="accent1" w:themeFillTint="66"/>
            <w:vAlign w:val="center"/>
          </w:tcPr>
          <w:p w14:paraId="561B107F"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privatus</w:t>
            </w:r>
          </w:p>
        </w:tc>
        <w:tc>
          <w:tcPr>
            <w:tcW w:w="1275" w:type="dxa"/>
            <w:vMerge/>
            <w:tcBorders>
              <w:left w:val="single" w:sz="12" w:space="0" w:color="auto"/>
              <w:right w:val="single" w:sz="12" w:space="0" w:color="auto"/>
            </w:tcBorders>
            <w:shd w:val="clear" w:color="auto" w:fill="B8CCE4" w:themeFill="accent1" w:themeFillTint="66"/>
            <w:vAlign w:val="center"/>
          </w:tcPr>
          <w:p w14:paraId="6754ADED" w14:textId="77777777" w:rsidR="00960459" w:rsidRPr="00B44B19" w:rsidRDefault="00960459" w:rsidP="003040E3">
            <w:pPr>
              <w:jc w:val="center"/>
              <w:rPr>
                <w:rFonts w:ascii="Times New Roman" w:hAnsi="Times New Roman" w:cs="Times New Roman"/>
                <w:b/>
                <w:sz w:val="16"/>
                <w:szCs w:val="16"/>
              </w:rPr>
            </w:pPr>
          </w:p>
        </w:tc>
        <w:tc>
          <w:tcPr>
            <w:tcW w:w="709" w:type="dxa"/>
            <w:vMerge/>
            <w:tcBorders>
              <w:left w:val="single" w:sz="12" w:space="0" w:color="auto"/>
              <w:right w:val="single" w:sz="12" w:space="0" w:color="auto"/>
            </w:tcBorders>
            <w:shd w:val="clear" w:color="auto" w:fill="B8CCE4" w:themeFill="accent1" w:themeFillTint="66"/>
            <w:vAlign w:val="center"/>
          </w:tcPr>
          <w:p w14:paraId="36A15C7A" w14:textId="77777777" w:rsidR="00960459" w:rsidRPr="00B44B19" w:rsidRDefault="00960459" w:rsidP="003040E3">
            <w:pPr>
              <w:jc w:val="center"/>
              <w:rPr>
                <w:rFonts w:ascii="Times New Roman" w:hAnsi="Times New Roman" w:cs="Times New Roman"/>
                <w:b/>
                <w:sz w:val="16"/>
                <w:szCs w:val="16"/>
              </w:rPr>
            </w:pPr>
          </w:p>
        </w:tc>
      </w:tr>
      <w:tr w:rsidR="00960459" w:rsidRPr="00B44B19" w14:paraId="48D98F32" w14:textId="77777777" w:rsidTr="003040E3">
        <w:trPr>
          <w:trHeight w:val="387"/>
          <w:tblHeader/>
        </w:trPr>
        <w:tc>
          <w:tcPr>
            <w:tcW w:w="568" w:type="dxa"/>
            <w:vMerge/>
            <w:tcBorders>
              <w:left w:val="single" w:sz="12" w:space="0" w:color="auto"/>
              <w:right w:val="single" w:sz="12" w:space="0" w:color="auto"/>
            </w:tcBorders>
            <w:shd w:val="clear" w:color="auto" w:fill="B8CCE4" w:themeFill="accent1" w:themeFillTint="66"/>
            <w:vAlign w:val="center"/>
          </w:tcPr>
          <w:p w14:paraId="3CD51A89" w14:textId="77777777" w:rsidR="00960459" w:rsidRPr="00B44B19" w:rsidRDefault="00960459" w:rsidP="003040E3">
            <w:pPr>
              <w:jc w:val="center"/>
              <w:rPr>
                <w:rFonts w:ascii="Times New Roman" w:hAnsi="Times New Roman" w:cs="Times New Roman"/>
                <w:b/>
                <w:spacing w:val="-6"/>
                <w:sz w:val="16"/>
                <w:szCs w:val="16"/>
              </w:rPr>
            </w:pPr>
          </w:p>
        </w:tc>
        <w:tc>
          <w:tcPr>
            <w:tcW w:w="851" w:type="dxa"/>
            <w:vMerge/>
            <w:tcBorders>
              <w:left w:val="single" w:sz="12" w:space="0" w:color="auto"/>
              <w:right w:val="single" w:sz="12" w:space="0" w:color="auto"/>
            </w:tcBorders>
            <w:shd w:val="clear" w:color="auto" w:fill="B8CCE4" w:themeFill="accent1" w:themeFillTint="66"/>
            <w:vAlign w:val="center"/>
          </w:tcPr>
          <w:p w14:paraId="5667C3DF" w14:textId="77777777" w:rsidR="00960459" w:rsidRPr="00B44B19" w:rsidRDefault="00960459" w:rsidP="003040E3">
            <w:pPr>
              <w:jc w:val="center"/>
              <w:rPr>
                <w:rFonts w:ascii="Times New Roman" w:hAnsi="Times New Roman" w:cs="Times New Roman"/>
                <w:b/>
                <w:sz w:val="16"/>
                <w:szCs w:val="16"/>
              </w:rPr>
            </w:pPr>
          </w:p>
        </w:tc>
        <w:tc>
          <w:tcPr>
            <w:tcW w:w="850" w:type="dxa"/>
            <w:vMerge/>
            <w:tcBorders>
              <w:left w:val="single" w:sz="12" w:space="0" w:color="auto"/>
              <w:right w:val="single" w:sz="12" w:space="0" w:color="auto"/>
            </w:tcBorders>
            <w:shd w:val="clear" w:color="auto" w:fill="B8CCE4" w:themeFill="accent1" w:themeFillTint="66"/>
            <w:vAlign w:val="center"/>
          </w:tcPr>
          <w:p w14:paraId="65D23480" w14:textId="77777777" w:rsidR="00960459" w:rsidRPr="00B44B19" w:rsidRDefault="00960459" w:rsidP="003040E3">
            <w:pPr>
              <w:jc w:val="center"/>
              <w:rPr>
                <w:rFonts w:ascii="Times New Roman" w:hAnsi="Times New Roman" w:cs="Times New Roman"/>
                <w:b/>
                <w:sz w:val="16"/>
                <w:szCs w:val="16"/>
              </w:rPr>
            </w:pPr>
          </w:p>
        </w:tc>
        <w:tc>
          <w:tcPr>
            <w:tcW w:w="1418" w:type="dxa"/>
            <w:gridSpan w:val="2"/>
            <w:vMerge/>
            <w:tcBorders>
              <w:left w:val="single" w:sz="12" w:space="0" w:color="auto"/>
              <w:right w:val="single" w:sz="12" w:space="0" w:color="auto"/>
            </w:tcBorders>
            <w:shd w:val="clear" w:color="auto" w:fill="B8CCE4" w:themeFill="accent1" w:themeFillTint="66"/>
            <w:vAlign w:val="center"/>
          </w:tcPr>
          <w:p w14:paraId="4C350152" w14:textId="77777777" w:rsidR="00960459" w:rsidRPr="00B44B19" w:rsidRDefault="00960459" w:rsidP="003040E3">
            <w:pPr>
              <w:jc w:val="center"/>
              <w:rPr>
                <w:rFonts w:ascii="Times New Roman" w:hAnsi="Times New Roman" w:cs="Times New Roman"/>
                <w:b/>
                <w:sz w:val="16"/>
                <w:szCs w:val="16"/>
              </w:rPr>
            </w:pPr>
          </w:p>
        </w:tc>
        <w:tc>
          <w:tcPr>
            <w:tcW w:w="992" w:type="dxa"/>
            <w:vMerge/>
            <w:tcBorders>
              <w:left w:val="single" w:sz="12" w:space="0" w:color="auto"/>
              <w:right w:val="single" w:sz="12" w:space="0" w:color="auto"/>
            </w:tcBorders>
            <w:shd w:val="clear" w:color="auto" w:fill="B8CCE4" w:themeFill="accent1" w:themeFillTint="66"/>
            <w:vAlign w:val="center"/>
          </w:tcPr>
          <w:p w14:paraId="28807311" w14:textId="77777777" w:rsidR="00960459" w:rsidRPr="00B44B19" w:rsidRDefault="00960459" w:rsidP="003040E3">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62CB2991" w14:textId="77777777" w:rsidR="00960459" w:rsidRPr="00B44B19" w:rsidRDefault="00960459" w:rsidP="003040E3">
            <w:pPr>
              <w:jc w:val="center"/>
              <w:rPr>
                <w:rFonts w:ascii="Times New Roman" w:hAnsi="Times New Roman" w:cs="Times New Roman"/>
                <w:b/>
                <w:sz w:val="16"/>
                <w:szCs w:val="16"/>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7068A13"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be techninės paramos pagal 36 straipsnio 5 dalį</w:t>
            </w:r>
          </w:p>
        </w:tc>
        <w:tc>
          <w:tcPr>
            <w:tcW w:w="1134" w:type="dxa"/>
            <w:tcBorders>
              <w:top w:val="single" w:sz="12" w:space="0" w:color="auto"/>
              <w:bottom w:val="single" w:sz="12" w:space="0" w:color="auto"/>
              <w:right w:val="single" w:sz="12" w:space="0" w:color="auto"/>
            </w:tcBorders>
            <w:shd w:val="clear" w:color="auto" w:fill="B8CCE4" w:themeFill="accent1" w:themeFillTint="66"/>
            <w:vAlign w:val="center"/>
          </w:tcPr>
          <w:p w14:paraId="40EBD20B"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techninei paramai pagal 36 straipsnio 5 dalį</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31E5D35A"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be techninės paramos pagal 36 straipsnio 5 dalį</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E9F7FD"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techninei paramai pagal 36 straipsnio 5 dalį</w:t>
            </w:r>
          </w:p>
        </w:tc>
        <w:tc>
          <w:tcPr>
            <w:tcW w:w="1276" w:type="dxa"/>
            <w:vMerge/>
            <w:tcBorders>
              <w:left w:val="single" w:sz="12" w:space="0" w:color="auto"/>
              <w:bottom w:val="single" w:sz="12" w:space="0" w:color="auto"/>
              <w:right w:val="single" w:sz="12" w:space="0" w:color="auto"/>
            </w:tcBorders>
            <w:shd w:val="clear" w:color="auto" w:fill="B8CCE4" w:themeFill="accent1" w:themeFillTint="66"/>
            <w:vAlign w:val="center"/>
          </w:tcPr>
          <w:p w14:paraId="22DB8C03" w14:textId="77777777" w:rsidR="00960459" w:rsidRPr="00B44B19" w:rsidRDefault="00960459" w:rsidP="003040E3">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5B972688" w14:textId="77777777" w:rsidR="00960459" w:rsidRPr="00B44B19" w:rsidRDefault="00960459" w:rsidP="003040E3">
            <w:pPr>
              <w:jc w:val="center"/>
              <w:rPr>
                <w:rFonts w:ascii="Times New Roman" w:hAnsi="Times New Roman" w:cs="Times New Roman"/>
                <w:b/>
                <w:sz w:val="16"/>
                <w:szCs w:val="16"/>
              </w:rPr>
            </w:pPr>
          </w:p>
        </w:tc>
        <w:tc>
          <w:tcPr>
            <w:tcW w:w="1134" w:type="dxa"/>
            <w:vMerge/>
            <w:tcBorders>
              <w:left w:val="single" w:sz="12" w:space="0" w:color="auto"/>
              <w:bottom w:val="single" w:sz="12" w:space="0" w:color="auto"/>
              <w:right w:val="single" w:sz="12" w:space="0" w:color="auto"/>
            </w:tcBorders>
            <w:shd w:val="clear" w:color="auto" w:fill="B8CCE4" w:themeFill="accent1" w:themeFillTint="66"/>
            <w:vAlign w:val="center"/>
          </w:tcPr>
          <w:p w14:paraId="50AE0845" w14:textId="77777777" w:rsidR="00960459" w:rsidRPr="00B44B19" w:rsidRDefault="00960459" w:rsidP="003040E3">
            <w:pPr>
              <w:jc w:val="center"/>
              <w:rPr>
                <w:rFonts w:ascii="Times New Roman" w:hAnsi="Times New Roman" w:cs="Times New Roman"/>
                <w:b/>
                <w:sz w:val="16"/>
                <w:szCs w:val="16"/>
              </w:rPr>
            </w:pPr>
          </w:p>
        </w:tc>
        <w:tc>
          <w:tcPr>
            <w:tcW w:w="1275" w:type="dxa"/>
            <w:vMerge/>
            <w:tcBorders>
              <w:left w:val="single" w:sz="12" w:space="0" w:color="auto"/>
              <w:bottom w:val="single" w:sz="12" w:space="0" w:color="auto"/>
              <w:right w:val="single" w:sz="12" w:space="0" w:color="auto"/>
            </w:tcBorders>
            <w:shd w:val="clear" w:color="auto" w:fill="B8CCE4" w:themeFill="accent1" w:themeFillTint="66"/>
            <w:vAlign w:val="center"/>
          </w:tcPr>
          <w:p w14:paraId="3F80293D" w14:textId="77777777" w:rsidR="00960459" w:rsidRPr="00B44B19" w:rsidRDefault="00960459" w:rsidP="003040E3">
            <w:pPr>
              <w:jc w:val="center"/>
              <w:rPr>
                <w:rFonts w:ascii="Times New Roman" w:hAnsi="Times New Roman" w:cs="Times New Roman"/>
                <w:b/>
                <w:sz w:val="16"/>
                <w:szCs w:val="16"/>
              </w:rPr>
            </w:pPr>
          </w:p>
        </w:tc>
        <w:tc>
          <w:tcPr>
            <w:tcW w:w="709" w:type="dxa"/>
            <w:vMerge/>
            <w:tcBorders>
              <w:left w:val="single" w:sz="12" w:space="0" w:color="auto"/>
              <w:bottom w:val="single" w:sz="12" w:space="0" w:color="auto"/>
              <w:right w:val="single" w:sz="12" w:space="0" w:color="auto"/>
            </w:tcBorders>
            <w:shd w:val="clear" w:color="auto" w:fill="B8CCE4" w:themeFill="accent1" w:themeFillTint="66"/>
            <w:vAlign w:val="center"/>
          </w:tcPr>
          <w:p w14:paraId="32BAF1C3" w14:textId="77777777" w:rsidR="00960459" w:rsidRPr="00B44B19" w:rsidRDefault="00960459" w:rsidP="003040E3">
            <w:pPr>
              <w:jc w:val="center"/>
              <w:rPr>
                <w:rFonts w:ascii="Times New Roman" w:hAnsi="Times New Roman" w:cs="Times New Roman"/>
                <w:b/>
                <w:sz w:val="16"/>
                <w:szCs w:val="16"/>
              </w:rPr>
            </w:pPr>
          </w:p>
        </w:tc>
      </w:tr>
      <w:tr w:rsidR="00960459" w:rsidRPr="00B44B19" w14:paraId="63208DFB" w14:textId="77777777" w:rsidTr="003040E3">
        <w:trPr>
          <w:tblHeader/>
        </w:trPr>
        <w:tc>
          <w:tcPr>
            <w:tcW w:w="568" w:type="dxa"/>
            <w:vMerge/>
            <w:tcBorders>
              <w:left w:val="single" w:sz="12" w:space="0" w:color="auto"/>
              <w:bottom w:val="single" w:sz="12" w:space="0" w:color="auto"/>
              <w:right w:val="single" w:sz="12" w:space="0" w:color="auto"/>
            </w:tcBorders>
            <w:shd w:val="clear" w:color="auto" w:fill="B8CCE4" w:themeFill="accent1" w:themeFillTint="66"/>
          </w:tcPr>
          <w:p w14:paraId="5D574455" w14:textId="77777777" w:rsidR="00960459" w:rsidRPr="00B44B19" w:rsidRDefault="00960459" w:rsidP="003040E3">
            <w:pPr>
              <w:rPr>
                <w:rFonts w:ascii="Times New Roman" w:hAnsi="Times New Roman" w:cs="Times New Roman"/>
                <w:b/>
                <w:sz w:val="16"/>
                <w:szCs w:val="16"/>
              </w:rPr>
            </w:pPr>
          </w:p>
        </w:tc>
        <w:tc>
          <w:tcPr>
            <w:tcW w:w="851" w:type="dxa"/>
            <w:vMerge/>
            <w:tcBorders>
              <w:left w:val="single" w:sz="12" w:space="0" w:color="auto"/>
              <w:bottom w:val="single" w:sz="12" w:space="0" w:color="auto"/>
              <w:right w:val="single" w:sz="12" w:space="0" w:color="auto"/>
            </w:tcBorders>
            <w:shd w:val="clear" w:color="auto" w:fill="B8CCE4" w:themeFill="accent1" w:themeFillTint="66"/>
          </w:tcPr>
          <w:p w14:paraId="77E5628B" w14:textId="77777777" w:rsidR="00960459" w:rsidRPr="00B44B19" w:rsidRDefault="00960459" w:rsidP="003040E3">
            <w:pPr>
              <w:rPr>
                <w:rFonts w:ascii="Times New Roman" w:hAnsi="Times New Roman" w:cs="Times New Roman"/>
                <w:b/>
                <w:sz w:val="16"/>
                <w:szCs w:val="16"/>
              </w:rPr>
            </w:pPr>
          </w:p>
        </w:tc>
        <w:tc>
          <w:tcPr>
            <w:tcW w:w="850" w:type="dxa"/>
            <w:vMerge/>
            <w:tcBorders>
              <w:left w:val="single" w:sz="12" w:space="0" w:color="auto"/>
              <w:bottom w:val="single" w:sz="12" w:space="0" w:color="auto"/>
              <w:right w:val="single" w:sz="12" w:space="0" w:color="auto"/>
            </w:tcBorders>
            <w:shd w:val="clear" w:color="auto" w:fill="B8CCE4" w:themeFill="accent1" w:themeFillTint="66"/>
          </w:tcPr>
          <w:p w14:paraId="36025D64" w14:textId="77777777" w:rsidR="00960459" w:rsidRPr="00B44B19" w:rsidRDefault="00960459" w:rsidP="003040E3">
            <w:pPr>
              <w:rPr>
                <w:rFonts w:ascii="Times New Roman" w:hAnsi="Times New Roman" w:cs="Times New Roman"/>
                <w:b/>
                <w:sz w:val="16"/>
                <w:szCs w:val="16"/>
              </w:rPr>
            </w:pPr>
          </w:p>
        </w:tc>
        <w:tc>
          <w:tcPr>
            <w:tcW w:w="1418" w:type="dxa"/>
            <w:gridSpan w:val="2"/>
            <w:vMerge/>
            <w:tcBorders>
              <w:left w:val="single" w:sz="12" w:space="0" w:color="auto"/>
              <w:bottom w:val="single" w:sz="12" w:space="0" w:color="auto"/>
              <w:right w:val="single" w:sz="12" w:space="0" w:color="auto"/>
            </w:tcBorders>
            <w:shd w:val="clear" w:color="auto" w:fill="B8CCE4" w:themeFill="accent1" w:themeFillTint="66"/>
          </w:tcPr>
          <w:p w14:paraId="13C59894" w14:textId="77777777" w:rsidR="00960459" w:rsidRPr="00B44B19" w:rsidRDefault="00960459" w:rsidP="003040E3">
            <w:pPr>
              <w:rPr>
                <w:rFonts w:ascii="Times New Roman" w:hAnsi="Times New Roman" w:cs="Times New Roman"/>
                <w:b/>
                <w:sz w:val="16"/>
                <w:szCs w:val="16"/>
              </w:rPr>
            </w:pPr>
          </w:p>
        </w:tc>
        <w:tc>
          <w:tcPr>
            <w:tcW w:w="992" w:type="dxa"/>
            <w:vMerge/>
            <w:tcBorders>
              <w:left w:val="single" w:sz="12" w:space="0" w:color="auto"/>
              <w:bottom w:val="single" w:sz="12" w:space="0" w:color="auto"/>
              <w:right w:val="single" w:sz="12" w:space="0" w:color="auto"/>
            </w:tcBorders>
            <w:shd w:val="clear" w:color="auto" w:fill="B8CCE4" w:themeFill="accent1" w:themeFillTint="66"/>
          </w:tcPr>
          <w:p w14:paraId="1E7B11AD" w14:textId="77777777" w:rsidR="00960459" w:rsidRPr="00B44B19" w:rsidRDefault="00960459" w:rsidP="003040E3">
            <w:pPr>
              <w:rPr>
                <w:rFonts w:ascii="Times New Roman" w:hAnsi="Times New Roman" w:cs="Times New Roman"/>
                <w:b/>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261DE41"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a=b+c+i+j</w:t>
            </w:r>
          </w:p>
        </w:tc>
        <w:tc>
          <w:tcPr>
            <w:tcW w:w="1276" w:type="dxa"/>
            <w:tcBorders>
              <w:top w:val="single" w:sz="12" w:space="0" w:color="auto"/>
              <w:left w:val="single" w:sz="12" w:space="0" w:color="auto"/>
              <w:bottom w:val="single" w:sz="12" w:space="0" w:color="auto"/>
            </w:tcBorders>
            <w:shd w:val="clear" w:color="auto" w:fill="B8CCE4" w:themeFill="accent1" w:themeFillTint="66"/>
            <w:vAlign w:val="center"/>
          </w:tcPr>
          <w:p w14:paraId="2F985D99"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b</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034B8556"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c</w:t>
            </w:r>
          </w:p>
        </w:tc>
        <w:tc>
          <w:tcPr>
            <w:tcW w:w="1134" w:type="dxa"/>
            <w:tcBorders>
              <w:top w:val="single" w:sz="12" w:space="0" w:color="auto"/>
              <w:left w:val="single" w:sz="12" w:space="0" w:color="auto"/>
              <w:bottom w:val="single" w:sz="12" w:space="0" w:color="auto"/>
            </w:tcBorders>
            <w:shd w:val="clear" w:color="auto" w:fill="B8CCE4" w:themeFill="accent1" w:themeFillTint="66"/>
            <w:vAlign w:val="center"/>
          </w:tcPr>
          <w:p w14:paraId="0346E40D"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i</w:t>
            </w:r>
          </w:p>
        </w:tc>
        <w:tc>
          <w:tcPr>
            <w:tcW w:w="99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1A775DB"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j</w:t>
            </w: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06126B3"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d=e+f</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A16728D"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e</w:t>
            </w:r>
          </w:p>
        </w:tc>
        <w:tc>
          <w:tcPr>
            <w:tcW w:w="113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A3556AD"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f</w:t>
            </w: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B4B0151"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g=a+d</w:t>
            </w:r>
          </w:p>
        </w:tc>
        <w:tc>
          <w:tcPr>
            <w:tcW w:w="70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77E4B6F" w14:textId="77777777" w:rsidR="00960459" w:rsidRPr="00B44B19" w:rsidRDefault="00960459" w:rsidP="003040E3">
            <w:pPr>
              <w:jc w:val="center"/>
              <w:rPr>
                <w:rFonts w:ascii="Times New Roman" w:hAnsi="Times New Roman" w:cs="Times New Roman"/>
                <w:b/>
                <w:sz w:val="16"/>
                <w:szCs w:val="16"/>
              </w:rPr>
            </w:pPr>
            <w:r w:rsidRPr="00B44B19">
              <w:rPr>
                <w:rFonts w:ascii="Times New Roman" w:hAnsi="Times New Roman" w:cs="Times New Roman"/>
                <w:b/>
                <w:sz w:val="16"/>
                <w:szCs w:val="16"/>
              </w:rPr>
              <w:t>h=a/g</w:t>
            </w:r>
          </w:p>
        </w:tc>
      </w:tr>
      <w:tr w:rsidR="005B635F" w:rsidRPr="00B44B19" w14:paraId="5CD757D0" w14:textId="77777777" w:rsidTr="00D27D25">
        <w:tc>
          <w:tcPr>
            <w:tcW w:w="568" w:type="dxa"/>
            <w:vMerge w:val="restart"/>
            <w:tcBorders>
              <w:top w:val="single" w:sz="12" w:space="0" w:color="auto"/>
              <w:right w:val="single" w:sz="4" w:space="0" w:color="auto"/>
            </w:tcBorders>
            <w:vAlign w:val="center"/>
          </w:tcPr>
          <w:p w14:paraId="72F3B9E9"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w:t>
            </w:r>
          </w:p>
        </w:tc>
        <w:tc>
          <w:tcPr>
            <w:tcW w:w="851" w:type="dxa"/>
            <w:vMerge w:val="restart"/>
            <w:tcBorders>
              <w:top w:val="single" w:sz="12" w:space="0" w:color="auto"/>
              <w:left w:val="single" w:sz="4" w:space="0" w:color="auto"/>
              <w:right w:val="single" w:sz="4" w:space="0" w:color="auto"/>
            </w:tcBorders>
            <w:vAlign w:val="center"/>
          </w:tcPr>
          <w:p w14:paraId="0B3016C9" w14:textId="77777777" w:rsidR="005B635F" w:rsidRPr="00B44B19" w:rsidRDefault="005B635F" w:rsidP="005B635F">
            <w:pPr>
              <w:rPr>
                <w:rFonts w:ascii="Times New Roman" w:hAnsi="Times New Roman" w:cs="Times New Roman"/>
                <w:color w:val="000000"/>
                <w:sz w:val="16"/>
                <w:szCs w:val="16"/>
              </w:rPr>
            </w:pPr>
            <w:r w:rsidRPr="00B44B19">
              <w:rPr>
                <w:rFonts w:ascii="Times New Roman" w:hAnsi="Times New Roman" w:cs="Times New Roman"/>
                <w:color w:val="000000"/>
                <w:sz w:val="16"/>
                <w:szCs w:val="16"/>
              </w:rPr>
              <w:t>1. Pažangesnė Lietuva</w:t>
            </w:r>
          </w:p>
        </w:tc>
        <w:tc>
          <w:tcPr>
            <w:tcW w:w="850" w:type="dxa"/>
            <w:vMerge w:val="restart"/>
            <w:tcBorders>
              <w:top w:val="single" w:sz="12" w:space="0" w:color="auto"/>
              <w:left w:val="single" w:sz="4" w:space="0" w:color="auto"/>
              <w:right w:val="single" w:sz="4" w:space="0" w:color="auto"/>
            </w:tcBorders>
            <w:vAlign w:val="center"/>
          </w:tcPr>
          <w:p w14:paraId="4EE6C94D" w14:textId="77777777" w:rsidR="005B635F" w:rsidRPr="00B44B19" w:rsidRDefault="005B635F" w:rsidP="005B635F">
            <w:pPr>
              <w:rPr>
                <w:rFonts w:ascii="Times New Roman" w:hAnsi="Times New Roman" w:cs="Times New Roman"/>
                <w:color w:val="000000"/>
                <w:sz w:val="16"/>
                <w:szCs w:val="16"/>
              </w:rPr>
            </w:pPr>
            <w:r w:rsidRPr="00B44B19">
              <w:rPr>
                <w:rFonts w:ascii="Times New Roman" w:hAnsi="Times New Roman" w:cs="Times New Roman"/>
                <w:color w:val="000000"/>
                <w:sz w:val="16"/>
                <w:szCs w:val="16"/>
              </w:rPr>
              <w:t>iš viso</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6C5763A" w14:textId="77777777" w:rsidR="005B635F" w:rsidRPr="00B44B19" w:rsidRDefault="005B635F" w:rsidP="005B635F">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12" w:space="0" w:color="auto"/>
              <w:left w:val="single" w:sz="4" w:space="0" w:color="auto"/>
              <w:bottom w:val="single" w:sz="4" w:space="0" w:color="auto"/>
              <w:right w:val="single" w:sz="4" w:space="0" w:color="auto"/>
            </w:tcBorders>
            <w:vAlign w:val="center"/>
          </w:tcPr>
          <w:p w14:paraId="60554E15" w14:textId="77777777" w:rsidR="005B635F" w:rsidRPr="00B44B19" w:rsidRDefault="005B635F" w:rsidP="005B635F">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12" w:space="0" w:color="auto"/>
              <w:left w:val="single" w:sz="4" w:space="0" w:color="auto"/>
              <w:bottom w:val="single" w:sz="4" w:space="0" w:color="auto"/>
              <w:right w:val="single" w:sz="4" w:space="0" w:color="auto"/>
            </w:tcBorders>
          </w:tcPr>
          <w:p w14:paraId="43A1729D" w14:textId="31D7A3D8"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194 892 120</w:t>
            </w:r>
          </w:p>
        </w:tc>
        <w:tc>
          <w:tcPr>
            <w:tcW w:w="1276" w:type="dxa"/>
            <w:tcBorders>
              <w:top w:val="single" w:sz="12" w:space="0" w:color="auto"/>
              <w:left w:val="single" w:sz="4" w:space="0" w:color="auto"/>
              <w:bottom w:val="single" w:sz="4" w:space="0" w:color="auto"/>
              <w:right w:val="single" w:sz="4" w:space="0" w:color="auto"/>
            </w:tcBorders>
          </w:tcPr>
          <w:p w14:paraId="23B6DBF6" w14:textId="38B55682"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188 301 566</w:t>
            </w:r>
          </w:p>
        </w:tc>
        <w:tc>
          <w:tcPr>
            <w:tcW w:w="1134" w:type="dxa"/>
            <w:tcBorders>
              <w:top w:val="single" w:sz="12" w:space="0" w:color="auto"/>
              <w:left w:val="single" w:sz="4" w:space="0" w:color="auto"/>
              <w:bottom w:val="single" w:sz="4" w:space="0" w:color="auto"/>
              <w:right w:val="single" w:sz="4" w:space="0" w:color="auto"/>
            </w:tcBorders>
          </w:tcPr>
          <w:p w14:paraId="39212790" w14:textId="1FC4862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6 590 554</w:t>
            </w:r>
          </w:p>
        </w:tc>
        <w:tc>
          <w:tcPr>
            <w:tcW w:w="1134" w:type="dxa"/>
            <w:tcBorders>
              <w:top w:val="single" w:sz="12" w:space="0" w:color="auto"/>
              <w:left w:val="single" w:sz="4" w:space="0" w:color="auto"/>
              <w:bottom w:val="single" w:sz="4" w:space="0" w:color="auto"/>
              <w:right w:val="single" w:sz="4" w:space="0" w:color="auto"/>
            </w:tcBorders>
          </w:tcPr>
          <w:p w14:paraId="47F785D2" w14:textId="515C5B1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992" w:type="dxa"/>
            <w:tcBorders>
              <w:top w:val="single" w:sz="12" w:space="0" w:color="auto"/>
              <w:left w:val="single" w:sz="4" w:space="0" w:color="auto"/>
              <w:bottom w:val="single" w:sz="4" w:space="0" w:color="auto"/>
              <w:right w:val="single" w:sz="4" w:space="0" w:color="auto"/>
            </w:tcBorders>
          </w:tcPr>
          <w:p w14:paraId="7DD5A034" w14:textId="5F1F6D0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6" w:type="dxa"/>
            <w:tcBorders>
              <w:top w:val="single" w:sz="12" w:space="0" w:color="auto"/>
              <w:left w:val="single" w:sz="4" w:space="0" w:color="auto"/>
              <w:bottom w:val="single" w:sz="4" w:space="0" w:color="auto"/>
              <w:right w:val="single" w:sz="4" w:space="0" w:color="auto"/>
            </w:tcBorders>
          </w:tcPr>
          <w:p w14:paraId="076FDFB5" w14:textId="53A6800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129 928 080</w:t>
            </w:r>
          </w:p>
        </w:tc>
        <w:tc>
          <w:tcPr>
            <w:tcW w:w="1134" w:type="dxa"/>
            <w:tcBorders>
              <w:top w:val="single" w:sz="12" w:space="0" w:color="auto"/>
              <w:left w:val="single" w:sz="4" w:space="0" w:color="auto"/>
              <w:bottom w:val="single" w:sz="4" w:space="0" w:color="auto"/>
              <w:right w:val="single" w:sz="4" w:space="0" w:color="auto"/>
            </w:tcBorders>
          </w:tcPr>
          <w:p w14:paraId="69E5DD1F" w14:textId="358B831C"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57 496 008</w:t>
            </w:r>
          </w:p>
        </w:tc>
        <w:tc>
          <w:tcPr>
            <w:tcW w:w="1134" w:type="dxa"/>
            <w:tcBorders>
              <w:top w:val="single" w:sz="12" w:space="0" w:color="auto"/>
              <w:left w:val="single" w:sz="4" w:space="0" w:color="auto"/>
              <w:bottom w:val="single" w:sz="4" w:space="0" w:color="auto"/>
              <w:right w:val="single" w:sz="4" w:space="0" w:color="auto"/>
            </w:tcBorders>
          </w:tcPr>
          <w:p w14:paraId="3260DB35" w14:textId="4431A3D6"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72 432 072</w:t>
            </w:r>
          </w:p>
        </w:tc>
        <w:tc>
          <w:tcPr>
            <w:tcW w:w="1275" w:type="dxa"/>
            <w:tcBorders>
              <w:top w:val="single" w:sz="12" w:space="0" w:color="auto"/>
              <w:left w:val="single" w:sz="4" w:space="0" w:color="auto"/>
              <w:bottom w:val="single" w:sz="4" w:space="0" w:color="auto"/>
              <w:right w:val="single" w:sz="4" w:space="0" w:color="auto"/>
            </w:tcBorders>
          </w:tcPr>
          <w:p w14:paraId="48C65E24" w14:textId="3F671A5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324 820 200</w:t>
            </w:r>
          </w:p>
        </w:tc>
        <w:tc>
          <w:tcPr>
            <w:tcW w:w="709" w:type="dxa"/>
            <w:tcBorders>
              <w:top w:val="single" w:sz="12" w:space="0" w:color="auto"/>
              <w:left w:val="single" w:sz="4" w:space="0" w:color="auto"/>
              <w:bottom w:val="single" w:sz="4" w:space="0" w:color="auto"/>
              <w:right w:val="single" w:sz="4" w:space="0" w:color="auto"/>
            </w:tcBorders>
          </w:tcPr>
          <w:p w14:paraId="7D165567" w14:textId="716A4E06" w:rsidR="005B635F" w:rsidRPr="00B44B19" w:rsidRDefault="005B635F" w:rsidP="005B635F">
            <w:pPr>
              <w:jc w:val="right"/>
              <w:rPr>
                <w:rFonts w:ascii="Times New Roman" w:hAnsi="Times New Roman" w:cs="Times New Roman"/>
                <w:color w:val="000000"/>
                <w:sz w:val="16"/>
                <w:szCs w:val="16"/>
              </w:rPr>
            </w:pPr>
            <w:r w:rsidRPr="00B44B19">
              <w:rPr>
                <w:rFonts w:ascii="Times New Roman" w:hAnsi="Times New Roman" w:cs="Times New Roman"/>
                <w:sz w:val="16"/>
                <w:szCs w:val="16"/>
              </w:rPr>
              <w:t>60 %</w:t>
            </w:r>
          </w:p>
        </w:tc>
      </w:tr>
      <w:tr w:rsidR="005B635F" w:rsidRPr="00B44B19" w14:paraId="238C79A3" w14:textId="77777777" w:rsidTr="00D27D25">
        <w:tc>
          <w:tcPr>
            <w:tcW w:w="568" w:type="dxa"/>
            <w:vMerge/>
            <w:tcBorders>
              <w:bottom w:val="single" w:sz="4" w:space="0" w:color="auto"/>
              <w:right w:val="single" w:sz="4" w:space="0" w:color="auto"/>
            </w:tcBorders>
          </w:tcPr>
          <w:p w14:paraId="4C50A918" w14:textId="77777777" w:rsidR="005B635F" w:rsidRPr="00B44B19" w:rsidRDefault="005B635F" w:rsidP="005B635F">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4D73D216" w14:textId="77777777" w:rsidR="005B635F" w:rsidRPr="00B44B19" w:rsidRDefault="005B635F" w:rsidP="005B635F">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6F4F840F" w14:textId="77777777" w:rsidR="005B635F" w:rsidRPr="00B44B19" w:rsidRDefault="005B635F" w:rsidP="005B635F">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8A2D22"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47F24A97" w14:textId="77777777" w:rsidR="005B635F" w:rsidRPr="00B44B19" w:rsidRDefault="005B635F" w:rsidP="005B635F">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35246982" w14:textId="164034E4"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607 218 024</w:t>
            </w:r>
          </w:p>
        </w:tc>
        <w:tc>
          <w:tcPr>
            <w:tcW w:w="1276" w:type="dxa"/>
            <w:tcBorders>
              <w:top w:val="single" w:sz="4" w:space="0" w:color="auto"/>
              <w:left w:val="single" w:sz="4" w:space="0" w:color="auto"/>
              <w:bottom w:val="single" w:sz="4" w:space="0" w:color="auto"/>
              <w:right w:val="single" w:sz="4" w:space="0" w:color="auto"/>
            </w:tcBorders>
            <w:vAlign w:val="center"/>
          </w:tcPr>
          <w:p w14:paraId="50F07438"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505 684 277</w:t>
            </w:r>
          </w:p>
        </w:tc>
        <w:tc>
          <w:tcPr>
            <w:tcW w:w="1134" w:type="dxa"/>
            <w:tcBorders>
              <w:top w:val="single" w:sz="4" w:space="0" w:color="auto"/>
              <w:left w:val="single" w:sz="4" w:space="0" w:color="auto"/>
              <w:bottom w:val="single" w:sz="4" w:space="0" w:color="auto"/>
              <w:right w:val="single" w:sz="4" w:space="0" w:color="auto"/>
            </w:tcBorders>
            <w:vAlign w:val="center"/>
          </w:tcPr>
          <w:p w14:paraId="33A779F0"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17 698 949</w:t>
            </w:r>
          </w:p>
        </w:tc>
        <w:tc>
          <w:tcPr>
            <w:tcW w:w="1134" w:type="dxa"/>
            <w:tcBorders>
              <w:top w:val="single" w:sz="4" w:space="0" w:color="auto"/>
              <w:left w:val="single" w:sz="4" w:space="0" w:color="auto"/>
              <w:bottom w:val="single" w:sz="4" w:space="0" w:color="auto"/>
              <w:right w:val="single" w:sz="4" w:space="0" w:color="auto"/>
            </w:tcBorders>
          </w:tcPr>
          <w:p w14:paraId="3AFDADC0" w14:textId="3839DA48"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80 999 805</w:t>
            </w:r>
          </w:p>
        </w:tc>
        <w:tc>
          <w:tcPr>
            <w:tcW w:w="992" w:type="dxa"/>
            <w:tcBorders>
              <w:top w:val="single" w:sz="4" w:space="0" w:color="auto"/>
              <w:left w:val="single" w:sz="4" w:space="0" w:color="auto"/>
              <w:bottom w:val="single" w:sz="4" w:space="0" w:color="auto"/>
              <w:right w:val="single" w:sz="4" w:space="0" w:color="auto"/>
            </w:tcBorders>
          </w:tcPr>
          <w:p w14:paraId="30FF761E" w14:textId="1E77D2A0"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2 834 993</w:t>
            </w:r>
          </w:p>
        </w:tc>
        <w:tc>
          <w:tcPr>
            <w:tcW w:w="1276" w:type="dxa"/>
            <w:tcBorders>
              <w:top w:val="single" w:sz="4" w:space="0" w:color="auto"/>
              <w:left w:val="single" w:sz="4" w:space="0" w:color="auto"/>
              <w:bottom w:val="single" w:sz="4" w:space="0" w:color="auto"/>
              <w:right w:val="single" w:sz="4" w:space="0" w:color="auto"/>
            </w:tcBorders>
          </w:tcPr>
          <w:p w14:paraId="53632ECB" w14:textId="75D80F20"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31 958 844</w:t>
            </w:r>
          </w:p>
        </w:tc>
        <w:tc>
          <w:tcPr>
            <w:tcW w:w="1134" w:type="dxa"/>
            <w:tcBorders>
              <w:top w:val="single" w:sz="4" w:space="0" w:color="auto"/>
              <w:left w:val="single" w:sz="4" w:space="0" w:color="auto"/>
              <w:bottom w:val="single" w:sz="4" w:space="0" w:color="auto"/>
              <w:right w:val="single" w:sz="4" w:space="0" w:color="auto"/>
            </w:tcBorders>
          </w:tcPr>
          <w:p w14:paraId="1F07100B" w14:textId="7CC93801"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907 794</w:t>
            </w:r>
          </w:p>
        </w:tc>
        <w:tc>
          <w:tcPr>
            <w:tcW w:w="1134" w:type="dxa"/>
            <w:tcBorders>
              <w:top w:val="single" w:sz="4" w:space="0" w:color="auto"/>
              <w:left w:val="single" w:sz="4" w:space="0" w:color="auto"/>
              <w:bottom w:val="single" w:sz="4" w:space="0" w:color="auto"/>
              <w:right w:val="single" w:sz="4" w:space="0" w:color="auto"/>
            </w:tcBorders>
          </w:tcPr>
          <w:p w14:paraId="6CFF37DB" w14:textId="4E768875"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31 051 050</w:t>
            </w:r>
          </w:p>
        </w:tc>
        <w:tc>
          <w:tcPr>
            <w:tcW w:w="1275" w:type="dxa"/>
            <w:tcBorders>
              <w:top w:val="single" w:sz="4" w:space="0" w:color="auto"/>
              <w:left w:val="single" w:sz="4" w:space="0" w:color="auto"/>
              <w:bottom w:val="single" w:sz="4" w:space="0" w:color="auto"/>
              <w:right w:val="single" w:sz="4" w:space="0" w:color="auto"/>
            </w:tcBorders>
          </w:tcPr>
          <w:p w14:paraId="160EBFCD" w14:textId="345DC15A"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639 176 868</w:t>
            </w:r>
          </w:p>
        </w:tc>
        <w:tc>
          <w:tcPr>
            <w:tcW w:w="709" w:type="dxa"/>
            <w:tcBorders>
              <w:top w:val="single" w:sz="4" w:space="0" w:color="auto"/>
              <w:left w:val="single" w:sz="4" w:space="0" w:color="auto"/>
              <w:bottom w:val="single" w:sz="4" w:space="0" w:color="auto"/>
              <w:right w:val="single" w:sz="4" w:space="0" w:color="auto"/>
            </w:tcBorders>
          </w:tcPr>
          <w:p w14:paraId="4EE0DD09" w14:textId="0BCF732A" w:rsidR="005B635F" w:rsidRPr="00B44B19" w:rsidRDefault="005B635F" w:rsidP="005B635F">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5B635F" w:rsidRPr="00B44B19" w14:paraId="079724A0" w14:textId="77777777" w:rsidTr="00D27D25">
        <w:tc>
          <w:tcPr>
            <w:tcW w:w="568" w:type="dxa"/>
            <w:vMerge w:val="restart"/>
            <w:tcBorders>
              <w:right w:val="single" w:sz="4" w:space="0" w:color="auto"/>
            </w:tcBorders>
            <w:vAlign w:val="center"/>
          </w:tcPr>
          <w:p w14:paraId="5F23341C"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w:t>
            </w:r>
          </w:p>
        </w:tc>
        <w:tc>
          <w:tcPr>
            <w:tcW w:w="851" w:type="dxa"/>
            <w:vMerge w:val="restart"/>
            <w:tcBorders>
              <w:left w:val="single" w:sz="4" w:space="0" w:color="auto"/>
              <w:right w:val="single" w:sz="4" w:space="0" w:color="auto"/>
            </w:tcBorders>
            <w:vAlign w:val="center"/>
          </w:tcPr>
          <w:p w14:paraId="64930477"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sz w:val="16"/>
                <w:szCs w:val="16"/>
              </w:rPr>
              <w:t>2. Žalesnė Lietuva</w:t>
            </w:r>
          </w:p>
        </w:tc>
        <w:tc>
          <w:tcPr>
            <w:tcW w:w="850" w:type="dxa"/>
            <w:vMerge w:val="restart"/>
            <w:tcBorders>
              <w:left w:val="single" w:sz="4" w:space="0" w:color="auto"/>
              <w:right w:val="single" w:sz="4" w:space="0" w:color="auto"/>
            </w:tcBorders>
            <w:vAlign w:val="center"/>
          </w:tcPr>
          <w:p w14:paraId="771F3174"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B92262"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368CB2B" w14:textId="77777777" w:rsidR="005B635F" w:rsidRPr="00B44B19" w:rsidRDefault="005B635F" w:rsidP="005B635F">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3646E1A1" w14:textId="3081C11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642 193 280</w:t>
            </w:r>
          </w:p>
        </w:tc>
        <w:tc>
          <w:tcPr>
            <w:tcW w:w="1276" w:type="dxa"/>
            <w:tcBorders>
              <w:top w:val="single" w:sz="4" w:space="0" w:color="auto"/>
              <w:left w:val="single" w:sz="4" w:space="0" w:color="auto"/>
              <w:bottom w:val="single" w:sz="4" w:space="0" w:color="auto"/>
              <w:right w:val="single" w:sz="4" w:space="0" w:color="auto"/>
            </w:tcBorders>
            <w:vAlign w:val="center"/>
          </w:tcPr>
          <w:p w14:paraId="584AA006"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605 956 150</w:t>
            </w:r>
          </w:p>
        </w:tc>
        <w:tc>
          <w:tcPr>
            <w:tcW w:w="1134" w:type="dxa"/>
            <w:tcBorders>
              <w:top w:val="single" w:sz="4" w:space="0" w:color="auto"/>
              <w:left w:val="single" w:sz="4" w:space="0" w:color="auto"/>
              <w:bottom w:val="single" w:sz="4" w:space="0" w:color="auto"/>
              <w:right w:val="single" w:sz="4" w:space="0" w:color="auto"/>
            </w:tcBorders>
            <w:vAlign w:val="center"/>
          </w:tcPr>
          <w:p w14:paraId="41E9EB68"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21 208 464</w:t>
            </w:r>
          </w:p>
        </w:tc>
        <w:tc>
          <w:tcPr>
            <w:tcW w:w="1134" w:type="dxa"/>
            <w:tcBorders>
              <w:top w:val="single" w:sz="4" w:space="0" w:color="auto"/>
              <w:left w:val="single" w:sz="4" w:space="0" w:color="auto"/>
              <w:bottom w:val="single" w:sz="4" w:space="0" w:color="auto"/>
              <w:right w:val="single" w:sz="4" w:space="0" w:color="auto"/>
            </w:tcBorders>
          </w:tcPr>
          <w:p w14:paraId="45F8DDD5" w14:textId="7CD956FC"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14 520 450</w:t>
            </w:r>
          </w:p>
        </w:tc>
        <w:tc>
          <w:tcPr>
            <w:tcW w:w="992" w:type="dxa"/>
            <w:tcBorders>
              <w:top w:val="single" w:sz="4" w:space="0" w:color="auto"/>
              <w:left w:val="single" w:sz="4" w:space="0" w:color="auto"/>
              <w:bottom w:val="single" w:sz="4" w:space="0" w:color="auto"/>
              <w:right w:val="single" w:sz="4" w:space="0" w:color="auto"/>
            </w:tcBorders>
          </w:tcPr>
          <w:p w14:paraId="7763012D" w14:textId="38EAF443"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508 216</w:t>
            </w:r>
          </w:p>
        </w:tc>
        <w:tc>
          <w:tcPr>
            <w:tcW w:w="1276" w:type="dxa"/>
            <w:tcBorders>
              <w:top w:val="single" w:sz="4" w:space="0" w:color="auto"/>
              <w:left w:val="single" w:sz="4" w:space="0" w:color="auto"/>
              <w:bottom w:val="single" w:sz="4" w:space="0" w:color="auto"/>
              <w:right w:val="single" w:sz="4" w:space="0" w:color="auto"/>
            </w:tcBorders>
          </w:tcPr>
          <w:p w14:paraId="2C312285" w14:textId="28A98BC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33 799 647</w:t>
            </w:r>
          </w:p>
        </w:tc>
        <w:tc>
          <w:tcPr>
            <w:tcW w:w="1134" w:type="dxa"/>
            <w:tcBorders>
              <w:top w:val="single" w:sz="4" w:space="0" w:color="auto"/>
              <w:left w:val="single" w:sz="4" w:space="0" w:color="auto"/>
              <w:bottom w:val="single" w:sz="4" w:space="0" w:color="auto"/>
              <w:right w:val="single" w:sz="4" w:space="0" w:color="auto"/>
            </w:tcBorders>
          </w:tcPr>
          <w:p w14:paraId="740615DD" w14:textId="0B64182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7 893 377</w:t>
            </w:r>
          </w:p>
        </w:tc>
        <w:tc>
          <w:tcPr>
            <w:tcW w:w="1134" w:type="dxa"/>
            <w:tcBorders>
              <w:top w:val="single" w:sz="4" w:space="0" w:color="auto"/>
              <w:left w:val="single" w:sz="4" w:space="0" w:color="auto"/>
              <w:bottom w:val="single" w:sz="4" w:space="0" w:color="auto"/>
              <w:right w:val="single" w:sz="4" w:space="0" w:color="auto"/>
            </w:tcBorders>
          </w:tcPr>
          <w:p w14:paraId="2881BF6A" w14:textId="1A0049BF"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25 906 270</w:t>
            </w:r>
          </w:p>
        </w:tc>
        <w:tc>
          <w:tcPr>
            <w:tcW w:w="1275" w:type="dxa"/>
            <w:tcBorders>
              <w:top w:val="single" w:sz="4" w:space="0" w:color="auto"/>
              <w:left w:val="single" w:sz="4" w:space="0" w:color="auto"/>
              <w:bottom w:val="single" w:sz="4" w:space="0" w:color="auto"/>
              <w:right w:val="single" w:sz="4" w:space="0" w:color="auto"/>
            </w:tcBorders>
          </w:tcPr>
          <w:p w14:paraId="1499105D" w14:textId="1819DE3C"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675 992 927</w:t>
            </w:r>
          </w:p>
        </w:tc>
        <w:tc>
          <w:tcPr>
            <w:tcW w:w="709" w:type="dxa"/>
            <w:tcBorders>
              <w:top w:val="single" w:sz="4" w:space="0" w:color="auto"/>
              <w:left w:val="single" w:sz="4" w:space="0" w:color="auto"/>
              <w:bottom w:val="single" w:sz="4" w:space="0" w:color="auto"/>
              <w:right w:val="single" w:sz="4" w:space="0" w:color="auto"/>
            </w:tcBorders>
          </w:tcPr>
          <w:p w14:paraId="4F1584DE" w14:textId="336F5FF7" w:rsidR="005B635F" w:rsidRPr="00B44B19" w:rsidRDefault="005B635F" w:rsidP="005B635F">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5B635F" w:rsidRPr="00B44B19" w14:paraId="6329971B" w14:textId="77777777" w:rsidTr="00D27D25">
        <w:tc>
          <w:tcPr>
            <w:tcW w:w="568" w:type="dxa"/>
            <w:vMerge/>
            <w:tcBorders>
              <w:bottom w:val="single" w:sz="4" w:space="0" w:color="auto"/>
              <w:right w:val="single" w:sz="4" w:space="0" w:color="auto"/>
            </w:tcBorders>
            <w:vAlign w:val="center"/>
          </w:tcPr>
          <w:p w14:paraId="4C64B7C9" w14:textId="77777777" w:rsidR="005B635F" w:rsidRPr="00B44B19" w:rsidRDefault="005B635F" w:rsidP="005B635F">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4EEB738F" w14:textId="77777777" w:rsidR="005B635F" w:rsidRPr="00B44B19" w:rsidRDefault="005B635F" w:rsidP="005B635F">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39BD111D" w14:textId="77777777" w:rsidR="005B635F" w:rsidRPr="00B44B19" w:rsidRDefault="005B635F" w:rsidP="005B635F">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46490C"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14:paraId="146D1E17"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9280BD5" w14:textId="52C15B19"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748 652 510</w:t>
            </w:r>
          </w:p>
        </w:tc>
        <w:tc>
          <w:tcPr>
            <w:tcW w:w="1276" w:type="dxa"/>
            <w:tcBorders>
              <w:top w:val="single" w:sz="4" w:space="0" w:color="auto"/>
              <w:left w:val="single" w:sz="4" w:space="0" w:color="auto"/>
              <w:bottom w:val="single" w:sz="4" w:space="0" w:color="auto"/>
              <w:right w:val="single" w:sz="4" w:space="0" w:color="auto"/>
            </w:tcBorders>
            <w:vAlign w:val="center"/>
          </w:tcPr>
          <w:p w14:paraId="505ABC0D"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683 211 981</w:t>
            </w:r>
          </w:p>
        </w:tc>
        <w:tc>
          <w:tcPr>
            <w:tcW w:w="1134" w:type="dxa"/>
            <w:tcBorders>
              <w:top w:val="single" w:sz="4" w:space="0" w:color="auto"/>
              <w:left w:val="single" w:sz="4" w:space="0" w:color="auto"/>
              <w:bottom w:val="single" w:sz="4" w:space="0" w:color="auto"/>
              <w:right w:val="single" w:sz="4" w:space="0" w:color="auto"/>
            </w:tcBorders>
            <w:vAlign w:val="center"/>
          </w:tcPr>
          <w:p w14:paraId="43ED181D"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17 080 299</w:t>
            </w:r>
          </w:p>
        </w:tc>
        <w:tc>
          <w:tcPr>
            <w:tcW w:w="1134" w:type="dxa"/>
            <w:tcBorders>
              <w:top w:val="single" w:sz="4" w:space="0" w:color="auto"/>
              <w:left w:val="single" w:sz="4" w:space="0" w:color="auto"/>
              <w:bottom w:val="single" w:sz="4" w:space="0" w:color="auto"/>
              <w:right w:val="single" w:sz="4" w:space="0" w:color="auto"/>
            </w:tcBorders>
          </w:tcPr>
          <w:p w14:paraId="79C2DEC2" w14:textId="5ED0BC26"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47 180 712</w:t>
            </w:r>
          </w:p>
        </w:tc>
        <w:tc>
          <w:tcPr>
            <w:tcW w:w="992" w:type="dxa"/>
            <w:tcBorders>
              <w:top w:val="single" w:sz="4" w:space="0" w:color="auto"/>
              <w:left w:val="single" w:sz="4" w:space="0" w:color="auto"/>
              <w:bottom w:val="single" w:sz="4" w:space="0" w:color="auto"/>
              <w:right w:val="single" w:sz="4" w:space="0" w:color="auto"/>
            </w:tcBorders>
          </w:tcPr>
          <w:p w14:paraId="43E8AA98" w14:textId="08CEF77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1 179 518</w:t>
            </w:r>
          </w:p>
        </w:tc>
        <w:tc>
          <w:tcPr>
            <w:tcW w:w="1276" w:type="dxa"/>
            <w:tcBorders>
              <w:top w:val="single" w:sz="4" w:space="0" w:color="auto"/>
              <w:left w:val="single" w:sz="4" w:space="0" w:color="auto"/>
              <w:bottom w:val="single" w:sz="4" w:space="0" w:color="auto"/>
              <w:right w:val="single" w:sz="4" w:space="0" w:color="auto"/>
            </w:tcBorders>
          </w:tcPr>
          <w:p w14:paraId="4FE55545" w14:textId="06F94FA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39 402 764</w:t>
            </w:r>
          </w:p>
        </w:tc>
        <w:tc>
          <w:tcPr>
            <w:tcW w:w="1134" w:type="dxa"/>
            <w:tcBorders>
              <w:top w:val="single" w:sz="4" w:space="0" w:color="auto"/>
              <w:left w:val="single" w:sz="4" w:space="0" w:color="auto"/>
              <w:bottom w:val="single" w:sz="4" w:space="0" w:color="auto"/>
              <w:right w:val="single" w:sz="4" w:space="0" w:color="auto"/>
            </w:tcBorders>
          </w:tcPr>
          <w:p w14:paraId="2C051FEB" w14:textId="257179F5"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28 173 536</w:t>
            </w:r>
          </w:p>
        </w:tc>
        <w:tc>
          <w:tcPr>
            <w:tcW w:w="1134" w:type="dxa"/>
            <w:tcBorders>
              <w:top w:val="single" w:sz="4" w:space="0" w:color="auto"/>
              <w:left w:val="single" w:sz="4" w:space="0" w:color="auto"/>
              <w:bottom w:val="single" w:sz="4" w:space="0" w:color="auto"/>
              <w:right w:val="single" w:sz="4" w:space="0" w:color="auto"/>
            </w:tcBorders>
          </w:tcPr>
          <w:p w14:paraId="5BA64AC5" w14:textId="0D608000"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11 229 228</w:t>
            </w:r>
          </w:p>
        </w:tc>
        <w:tc>
          <w:tcPr>
            <w:tcW w:w="1275" w:type="dxa"/>
            <w:tcBorders>
              <w:top w:val="single" w:sz="4" w:space="0" w:color="auto"/>
              <w:left w:val="single" w:sz="4" w:space="0" w:color="auto"/>
              <w:bottom w:val="single" w:sz="4" w:space="0" w:color="auto"/>
              <w:right w:val="single" w:sz="4" w:space="0" w:color="auto"/>
            </w:tcBorders>
          </w:tcPr>
          <w:p w14:paraId="158F3D96" w14:textId="4A1B4B3A"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788 055 274</w:t>
            </w:r>
          </w:p>
        </w:tc>
        <w:tc>
          <w:tcPr>
            <w:tcW w:w="709" w:type="dxa"/>
            <w:tcBorders>
              <w:top w:val="single" w:sz="4" w:space="0" w:color="auto"/>
              <w:left w:val="single" w:sz="4" w:space="0" w:color="auto"/>
              <w:bottom w:val="single" w:sz="4" w:space="0" w:color="auto"/>
              <w:right w:val="single" w:sz="4" w:space="0" w:color="auto"/>
            </w:tcBorders>
          </w:tcPr>
          <w:p w14:paraId="333A6B0D" w14:textId="1421D800" w:rsidR="005B635F" w:rsidRPr="00B44B19" w:rsidRDefault="005B635F" w:rsidP="005B635F">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5B635F" w:rsidRPr="00B44B19" w14:paraId="074ED7CC" w14:textId="77777777" w:rsidTr="00D27D25">
        <w:tc>
          <w:tcPr>
            <w:tcW w:w="568" w:type="dxa"/>
            <w:vMerge w:val="restart"/>
            <w:tcBorders>
              <w:top w:val="single" w:sz="4" w:space="0" w:color="auto"/>
              <w:right w:val="single" w:sz="4" w:space="0" w:color="auto"/>
            </w:tcBorders>
            <w:vAlign w:val="center"/>
          </w:tcPr>
          <w:p w14:paraId="4D96C84A" w14:textId="77777777" w:rsidR="005B635F" w:rsidRPr="00B44B19" w:rsidRDefault="005B635F" w:rsidP="005B635F">
            <w:pPr>
              <w:jc w:val="center"/>
              <w:rPr>
                <w:rFonts w:ascii="Times New Roman" w:hAnsi="Times New Roman" w:cs="Times New Roman"/>
                <w:color w:val="000000"/>
                <w:sz w:val="16"/>
                <w:szCs w:val="16"/>
              </w:rPr>
            </w:pPr>
            <w:r w:rsidRPr="00B44B19">
              <w:rPr>
                <w:rFonts w:ascii="Times New Roman" w:hAnsi="Times New Roman" w:cs="Times New Roman"/>
                <w:color w:val="000000"/>
                <w:sz w:val="16"/>
                <w:szCs w:val="16"/>
              </w:rPr>
              <w:t>3.</w:t>
            </w:r>
          </w:p>
        </w:tc>
        <w:tc>
          <w:tcPr>
            <w:tcW w:w="851" w:type="dxa"/>
            <w:vMerge w:val="restart"/>
            <w:tcBorders>
              <w:top w:val="single" w:sz="4" w:space="0" w:color="auto"/>
              <w:left w:val="single" w:sz="4" w:space="0" w:color="auto"/>
              <w:right w:val="single" w:sz="4" w:space="0" w:color="auto"/>
            </w:tcBorders>
            <w:vAlign w:val="center"/>
          </w:tcPr>
          <w:p w14:paraId="2C8EA4C9" w14:textId="77777777" w:rsidR="005B635F" w:rsidRPr="00B44B19" w:rsidRDefault="005B635F" w:rsidP="005B635F">
            <w:pPr>
              <w:rPr>
                <w:rFonts w:ascii="Times New Roman" w:hAnsi="Times New Roman" w:cs="Times New Roman"/>
                <w:color w:val="000000"/>
                <w:sz w:val="16"/>
                <w:szCs w:val="16"/>
              </w:rPr>
            </w:pPr>
            <w:r w:rsidRPr="00B44B19">
              <w:rPr>
                <w:rFonts w:ascii="Times New Roman" w:hAnsi="Times New Roman" w:cs="Times New Roman"/>
                <w:color w:val="000000"/>
                <w:sz w:val="16"/>
                <w:szCs w:val="16"/>
              </w:rPr>
              <w:t>3. Geriau sujungta Lietuva</w:t>
            </w:r>
          </w:p>
        </w:tc>
        <w:tc>
          <w:tcPr>
            <w:tcW w:w="850" w:type="dxa"/>
            <w:tcBorders>
              <w:top w:val="single" w:sz="4" w:space="0" w:color="auto"/>
              <w:left w:val="single" w:sz="4" w:space="0" w:color="auto"/>
              <w:bottom w:val="single" w:sz="4" w:space="0" w:color="auto"/>
              <w:right w:val="single" w:sz="4" w:space="0" w:color="auto"/>
            </w:tcBorders>
            <w:vAlign w:val="center"/>
          </w:tcPr>
          <w:p w14:paraId="77548E0E" w14:textId="77777777" w:rsidR="005B635F" w:rsidRPr="00B44B19" w:rsidRDefault="005B635F" w:rsidP="005B635F">
            <w:pPr>
              <w:rPr>
                <w:rFonts w:ascii="Times New Roman" w:hAnsi="Times New Roman" w:cs="Times New Roman"/>
                <w:color w:val="000000"/>
                <w:sz w:val="16"/>
                <w:szCs w:val="16"/>
              </w:rPr>
            </w:pPr>
            <w:r w:rsidRPr="00B44B19">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DAA387" w14:textId="77777777" w:rsidR="005B635F" w:rsidRPr="00B44B19" w:rsidRDefault="005B635F" w:rsidP="005B635F">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BC03002" w14:textId="77777777" w:rsidR="005B635F" w:rsidRPr="00B44B19" w:rsidRDefault="005B635F" w:rsidP="005B635F">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56FE9EE2" w14:textId="71682900"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96 776 732</w:t>
            </w:r>
          </w:p>
        </w:tc>
        <w:tc>
          <w:tcPr>
            <w:tcW w:w="1276" w:type="dxa"/>
            <w:tcBorders>
              <w:top w:val="single" w:sz="4" w:space="0" w:color="auto"/>
              <w:left w:val="single" w:sz="4" w:space="0" w:color="auto"/>
              <w:bottom w:val="single" w:sz="4" w:space="0" w:color="auto"/>
              <w:right w:val="single" w:sz="4" w:space="0" w:color="auto"/>
            </w:tcBorders>
          </w:tcPr>
          <w:p w14:paraId="01223300" w14:textId="43F9DD43"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93 504 089</w:t>
            </w:r>
          </w:p>
        </w:tc>
        <w:tc>
          <w:tcPr>
            <w:tcW w:w="1134" w:type="dxa"/>
            <w:tcBorders>
              <w:top w:val="single" w:sz="4" w:space="0" w:color="auto"/>
              <w:left w:val="single" w:sz="4" w:space="0" w:color="auto"/>
              <w:bottom w:val="single" w:sz="4" w:space="0" w:color="auto"/>
              <w:right w:val="single" w:sz="4" w:space="0" w:color="auto"/>
            </w:tcBorders>
          </w:tcPr>
          <w:p w14:paraId="180B33E3" w14:textId="63AA1B58"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3 272 643</w:t>
            </w:r>
          </w:p>
        </w:tc>
        <w:tc>
          <w:tcPr>
            <w:tcW w:w="1134" w:type="dxa"/>
            <w:tcBorders>
              <w:top w:val="single" w:sz="4" w:space="0" w:color="auto"/>
              <w:left w:val="single" w:sz="4" w:space="0" w:color="auto"/>
              <w:bottom w:val="single" w:sz="4" w:space="0" w:color="auto"/>
              <w:right w:val="single" w:sz="4" w:space="0" w:color="auto"/>
            </w:tcBorders>
          </w:tcPr>
          <w:p w14:paraId="00D23761" w14:textId="0FE7EE2A"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BA32DCA" w14:textId="4FA88A03"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5E205A4A" w14:textId="0FC37D3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5 093 513</w:t>
            </w:r>
          </w:p>
        </w:tc>
        <w:tc>
          <w:tcPr>
            <w:tcW w:w="1134" w:type="dxa"/>
            <w:tcBorders>
              <w:top w:val="single" w:sz="4" w:space="0" w:color="auto"/>
              <w:left w:val="single" w:sz="4" w:space="0" w:color="auto"/>
              <w:bottom w:val="single" w:sz="4" w:space="0" w:color="auto"/>
              <w:right w:val="single" w:sz="4" w:space="0" w:color="auto"/>
            </w:tcBorders>
          </w:tcPr>
          <w:p w14:paraId="1A34A38C" w14:textId="59A8796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5 093 513</w:t>
            </w:r>
          </w:p>
        </w:tc>
        <w:tc>
          <w:tcPr>
            <w:tcW w:w="1134" w:type="dxa"/>
            <w:tcBorders>
              <w:top w:val="single" w:sz="4" w:space="0" w:color="auto"/>
              <w:left w:val="single" w:sz="4" w:space="0" w:color="auto"/>
              <w:bottom w:val="single" w:sz="4" w:space="0" w:color="auto"/>
              <w:right w:val="single" w:sz="4" w:space="0" w:color="auto"/>
            </w:tcBorders>
          </w:tcPr>
          <w:p w14:paraId="70730374" w14:textId="49E31A0D"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075871EE" w14:textId="2F475CDC"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101 870 245</w:t>
            </w:r>
          </w:p>
        </w:tc>
        <w:tc>
          <w:tcPr>
            <w:tcW w:w="709" w:type="dxa"/>
            <w:tcBorders>
              <w:top w:val="single" w:sz="4" w:space="0" w:color="auto"/>
              <w:left w:val="single" w:sz="4" w:space="0" w:color="auto"/>
              <w:bottom w:val="single" w:sz="4" w:space="0" w:color="auto"/>
              <w:right w:val="single" w:sz="4" w:space="0" w:color="auto"/>
            </w:tcBorders>
          </w:tcPr>
          <w:p w14:paraId="67176371" w14:textId="5FC22CFA" w:rsidR="005B635F" w:rsidRPr="00B44B19" w:rsidRDefault="005B635F" w:rsidP="005B635F">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5B635F" w:rsidRPr="00B44B19" w14:paraId="1B27EA3E" w14:textId="77777777" w:rsidTr="00D27D25">
        <w:tc>
          <w:tcPr>
            <w:tcW w:w="568" w:type="dxa"/>
            <w:vMerge/>
            <w:tcBorders>
              <w:bottom w:val="single" w:sz="4" w:space="0" w:color="auto"/>
              <w:right w:val="single" w:sz="4" w:space="0" w:color="auto"/>
            </w:tcBorders>
            <w:vAlign w:val="center"/>
          </w:tcPr>
          <w:p w14:paraId="76B9563E" w14:textId="77777777" w:rsidR="005B635F" w:rsidRPr="00B44B19" w:rsidRDefault="005B635F" w:rsidP="005B635F">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3F2E7E03" w14:textId="77777777" w:rsidR="005B635F" w:rsidRPr="00B44B19" w:rsidRDefault="005B635F" w:rsidP="005B635F">
            <w:pP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5A50BBC"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C0128C" w14:textId="77777777" w:rsidR="005B635F" w:rsidRPr="00B44B19" w:rsidRDefault="005B635F" w:rsidP="005B635F">
            <w:pPr>
              <w:rPr>
                <w:rFonts w:ascii="Times New Roman" w:hAnsi="Times New Roman" w:cs="Times New Roman"/>
                <w:sz w:val="16"/>
                <w:szCs w:val="16"/>
              </w:rPr>
            </w:pPr>
            <w:r w:rsidRPr="00B44B19">
              <w:rPr>
                <w:rFonts w:ascii="Times New Roman" w:hAnsi="Times New Roman" w:cs="Times New Roman"/>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14:paraId="7E946A62" w14:textId="77777777"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EC23687" w14:textId="3744507B"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277 202 565</w:t>
            </w:r>
          </w:p>
        </w:tc>
        <w:tc>
          <w:tcPr>
            <w:tcW w:w="1276" w:type="dxa"/>
            <w:tcBorders>
              <w:top w:val="single" w:sz="4" w:space="0" w:color="auto"/>
              <w:left w:val="single" w:sz="4" w:space="0" w:color="auto"/>
              <w:bottom w:val="single" w:sz="4" w:space="0" w:color="auto"/>
              <w:right w:val="single" w:sz="4" w:space="0" w:color="auto"/>
            </w:tcBorders>
          </w:tcPr>
          <w:p w14:paraId="1BB29583" w14:textId="52D05A78"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270 441 527</w:t>
            </w:r>
          </w:p>
        </w:tc>
        <w:tc>
          <w:tcPr>
            <w:tcW w:w="1134" w:type="dxa"/>
            <w:tcBorders>
              <w:top w:val="single" w:sz="4" w:space="0" w:color="auto"/>
              <w:left w:val="single" w:sz="4" w:space="0" w:color="auto"/>
              <w:bottom w:val="single" w:sz="4" w:space="0" w:color="auto"/>
              <w:right w:val="single" w:sz="4" w:space="0" w:color="auto"/>
            </w:tcBorders>
          </w:tcPr>
          <w:p w14:paraId="2D1E8C78" w14:textId="1E2B9AFE"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6 761 038</w:t>
            </w:r>
          </w:p>
        </w:tc>
        <w:tc>
          <w:tcPr>
            <w:tcW w:w="1134" w:type="dxa"/>
            <w:tcBorders>
              <w:top w:val="single" w:sz="4" w:space="0" w:color="auto"/>
              <w:left w:val="single" w:sz="4" w:space="0" w:color="auto"/>
              <w:bottom w:val="single" w:sz="4" w:space="0" w:color="auto"/>
              <w:right w:val="single" w:sz="4" w:space="0" w:color="auto"/>
            </w:tcBorders>
          </w:tcPr>
          <w:p w14:paraId="07FFB52F" w14:textId="09E5BD3F"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7D67A87" w14:textId="4D99CB7D"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7A277E8E" w14:textId="20205DB1"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14 589 609</w:t>
            </w:r>
          </w:p>
        </w:tc>
        <w:tc>
          <w:tcPr>
            <w:tcW w:w="1134" w:type="dxa"/>
            <w:tcBorders>
              <w:top w:val="single" w:sz="4" w:space="0" w:color="auto"/>
              <w:left w:val="single" w:sz="4" w:space="0" w:color="auto"/>
              <w:bottom w:val="single" w:sz="4" w:space="0" w:color="auto"/>
              <w:right w:val="single" w:sz="4" w:space="0" w:color="auto"/>
            </w:tcBorders>
          </w:tcPr>
          <w:p w14:paraId="582F14FB" w14:textId="14B71CA1"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9 433 550</w:t>
            </w:r>
          </w:p>
        </w:tc>
        <w:tc>
          <w:tcPr>
            <w:tcW w:w="1134" w:type="dxa"/>
            <w:tcBorders>
              <w:top w:val="single" w:sz="4" w:space="0" w:color="auto"/>
              <w:left w:val="single" w:sz="4" w:space="0" w:color="auto"/>
              <w:bottom w:val="single" w:sz="4" w:space="0" w:color="auto"/>
              <w:right w:val="single" w:sz="4" w:space="0" w:color="auto"/>
            </w:tcBorders>
          </w:tcPr>
          <w:p w14:paraId="2144C3B7" w14:textId="4FD21159"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5 156 059</w:t>
            </w:r>
          </w:p>
        </w:tc>
        <w:tc>
          <w:tcPr>
            <w:tcW w:w="1275" w:type="dxa"/>
            <w:tcBorders>
              <w:top w:val="single" w:sz="4" w:space="0" w:color="auto"/>
              <w:left w:val="single" w:sz="4" w:space="0" w:color="auto"/>
              <w:bottom w:val="single" w:sz="4" w:space="0" w:color="auto"/>
              <w:right w:val="single" w:sz="4" w:space="0" w:color="auto"/>
            </w:tcBorders>
          </w:tcPr>
          <w:p w14:paraId="661517D9" w14:textId="48F05A66" w:rsidR="005B635F" w:rsidRPr="00B44B19" w:rsidRDefault="005B635F" w:rsidP="005B635F">
            <w:pPr>
              <w:jc w:val="center"/>
              <w:rPr>
                <w:rFonts w:ascii="Times New Roman" w:hAnsi="Times New Roman" w:cs="Times New Roman"/>
                <w:sz w:val="16"/>
                <w:szCs w:val="16"/>
              </w:rPr>
            </w:pPr>
            <w:r w:rsidRPr="00B44B19">
              <w:rPr>
                <w:rFonts w:ascii="Times New Roman" w:hAnsi="Times New Roman" w:cs="Times New Roman"/>
                <w:sz w:val="16"/>
                <w:szCs w:val="16"/>
              </w:rPr>
              <w:t>291 792 174</w:t>
            </w:r>
          </w:p>
        </w:tc>
        <w:tc>
          <w:tcPr>
            <w:tcW w:w="709" w:type="dxa"/>
            <w:tcBorders>
              <w:top w:val="single" w:sz="4" w:space="0" w:color="auto"/>
              <w:left w:val="single" w:sz="4" w:space="0" w:color="auto"/>
              <w:bottom w:val="single" w:sz="4" w:space="0" w:color="auto"/>
              <w:right w:val="single" w:sz="4" w:space="0" w:color="auto"/>
            </w:tcBorders>
          </w:tcPr>
          <w:p w14:paraId="5240CDE7" w14:textId="47C8D771" w:rsidR="005B635F" w:rsidRPr="00B44B19" w:rsidRDefault="005B635F" w:rsidP="005B635F">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A668F2" w:rsidRPr="00B44B19" w14:paraId="0472D76D" w14:textId="77777777" w:rsidTr="00D27D25">
        <w:tc>
          <w:tcPr>
            <w:tcW w:w="568" w:type="dxa"/>
            <w:vMerge w:val="restart"/>
            <w:tcBorders>
              <w:top w:val="single" w:sz="4" w:space="0" w:color="auto"/>
              <w:right w:val="single" w:sz="4" w:space="0" w:color="auto"/>
            </w:tcBorders>
            <w:vAlign w:val="center"/>
          </w:tcPr>
          <w:p w14:paraId="6551FF66" w14:textId="77777777" w:rsidR="00A668F2" w:rsidRPr="00B44B19" w:rsidRDefault="00A668F2" w:rsidP="00A668F2">
            <w:pPr>
              <w:jc w:val="center"/>
              <w:rPr>
                <w:rFonts w:ascii="Times New Roman" w:hAnsi="Times New Roman" w:cs="Times New Roman"/>
                <w:color w:val="000000"/>
                <w:sz w:val="16"/>
                <w:szCs w:val="16"/>
              </w:rPr>
            </w:pPr>
            <w:r w:rsidRPr="00B44B19">
              <w:rPr>
                <w:rFonts w:ascii="Times New Roman" w:hAnsi="Times New Roman" w:cs="Times New Roman"/>
                <w:color w:val="000000"/>
                <w:sz w:val="16"/>
                <w:szCs w:val="16"/>
              </w:rPr>
              <w:t xml:space="preserve">4. </w:t>
            </w:r>
          </w:p>
        </w:tc>
        <w:tc>
          <w:tcPr>
            <w:tcW w:w="851" w:type="dxa"/>
            <w:vMerge w:val="restart"/>
            <w:tcBorders>
              <w:top w:val="single" w:sz="4" w:space="0" w:color="auto"/>
              <w:left w:val="single" w:sz="4" w:space="0" w:color="auto"/>
              <w:right w:val="single" w:sz="4" w:space="0" w:color="auto"/>
            </w:tcBorders>
            <w:vAlign w:val="center"/>
          </w:tcPr>
          <w:p w14:paraId="15BFD2B6"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 xml:space="preserve">4. Socialiai </w:t>
            </w:r>
            <w:r w:rsidRPr="00B44B19">
              <w:rPr>
                <w:rFonts w:ascii="Times New Roman" w:hAnsi="Times New Roman" w:cs="Times New Roman"/>
                <w:color w:val="000000"/>
                <w:sz w:val="16"/>
                <w:szCs w:val="16"/>
              </w:rPr>
              <w:lastRenderedPageBreak/>
              <w:t>atsakinga Lietuva</w:t>
            </w:r>
          </w:p>
        </w:tc>
        <w:tc>
          <w:tcPr>
            <w:tcW w:w="850" w:type="dxa"/>
            <w:vMerge w:val="restart"/>
            <w:tcBorders>
              <w:top w:val="single" w:sz="4" w:space="0" w:color="auto"/>
              <w:left w:val="single" w:sz="4" w:space="0" w:color="auto"/>
              <w:right w:val="single" w:sz="4" w:space="0" w:color="auto"/>
            </w:tcBorders>
            <w:vAlign w:val="center"/>
          </w:tcPr>
          <w:p w14:paraId="7B033DBF"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lastRenderedPageBreak/>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664B9FA"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13F93C0"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1F13DDC1" w14:textId="7EFDE276"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103 749 485</w:t>
            </w:r>
          </w:p>
        </w:tc>
        <w:tc>
          <w:tcPr>
            <w:tcW w:w="1276" w:type="dxa"/>
            <w:tcBorders>
              <w:top w:val="single" w:sz="4" w:space="0" w:color="auto"/>
              <w:left w:val="single" w:sz="4" w:space="0" w:color="auto"/>
              <w:bottom w:val="single" w:sz="4" w:space="0" w:color="auto"/>
              <w:right w:val="single" w:sz="4" w:space="0" w:color="auto"/>
            </w:tcBorders>
            <w:vAlign w:val="center"/>
          </w:tcPr>
          <w:p w14:paraId="582F0702"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85 713 550</w:t>
            </w:r>
          </w:p>
        </w:tc>
        <w:tc>
          <w:tcPr>
            <w:tcW w:w="1134" w:type="dxa"/>
            <w:tcBorders>
              <w:top w:val="single" w:sz="4" w:space="0" w:color="auto"/>
              <w:left w:val="single" w:sz="4" w:space="0" w:color="auto"/>
              <w:bottom w:val="single" w:sz="4" w:space="0" w:color="auto"/>
              <w:right w:val="single" w:sz="4" w:space="0" w:color="auto"/>
            </w:tcBorders>
            <w:vAlign w:val="center"/>
          </w:tcPr>
          <w:p w14:paraId="1F2CC606"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2 999 974</w:t>
            </w:r>
          </w:p>
        </w:tc>
        <w:tc>
          <w:tcPr>
            <w:tcW w:w="1134" w:type="dxa"/>
            <w:tcBorders>
              <w:top w:val="single" w:sz="4" w:space="0" w:color="auto"/>
              <w:left w:val="single" w:sz="4" w:space="0" w:color="auto"/>
              <w:bottom w:val="single" w:sz="4" w:space="0" w:color="auto"/>
              <w:right w:val="single" w:sz="4" w:space="0" w:color="auto"/>
            </w:tcBorders>
          </w:tcPr>
          <w:p w14:paraId="13B5960B" w14:textId="6CE5D5F4"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14 527 499</w:t>
            </w:r>
          </w:p>
        </w:tc>
        <w:tc>
          <w:tcPr>
            <w:tcW w:w="992" w:type="dxa"/>
            <w:tcBorders>
              <w:top w:val="single" w:sz="4" w:space="0" w:color="auto"/>
              <w:left w:val="single" w:sz="4" w:space="0" w:color="auto"/>
              <w:bottom w:val="single" w:sz="4" w:space="0" w:color="auto"/>
              <w:right w:val="single" w:sz="4" w:space="0" w:color="auto"/>
            </w:tcBorders>
          </w:tcPr>
          <w:p w14:paraId="3849F0E0" w14:textId="484DF30B"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508 462</w:t>
            </w:r>
          </w:p>
        </w:tc>
        <w:tc>
          <w:tcPr>
            <w:tcW w:w="1276" w:type="dxa"/>
            <w:tcBorders>
              <w:top w:val="single" w:sz="4" w:space="0" w:color="auto"/>
              <w:left w:val="single" w:sz="4" w:space="0" w:color="auto"/>
              <w:bottom w:val="single" w:sz="4" w:space="0" w:color="auto"/>
              <w:right w:val="single" w:sz="4" w:space="0" w:color="auto"/>
            </w:tcBorders>
          </w:tcPr>
          <w:p w14:paraId="07AA82CB" w14:textId="7171BB25"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69 166 324</w:t>
            </w:r>
          </w:p>
        </w:tc>
        <w:tc>
          <w:tcPr>
            <w:tcW w:w="1134" w:type="dxa"/>
            <w:tcBorders>
              <w:top w:val="single" w:sz="4" w:space="0" w:color="auto"/>
              <w:left w:val="single" w:sz="4" w:space="0" w:color="auto"/>
              <w:bottom w:val="single" w:sz="4" w:space="0" w:color="auto"/>
              <w:right w:val="single" w:sz="4" w:space="0" w:color="auto"/>
            </w:tcBorders>
          </w:tcPr>
          <w:p w14:paraId="336848D0" w14:textId="3325659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66 666 324</w:t>
            </w:r>
          </w:p>
        </w:tc>
        <w:tc>
          <w:tcPr>
            <w:tcW w:w="1134" w:type="dxa"/>
            <w:tcBorders>
              <w:top w:val="single" w:sz="4" w:space="0" w:color="auto"/>
              <w:left w:val="single" w:sz="4" w:space="0" w:color="auto"/>
              <w:bottom w:val="single" w:sz="4" w:space="0" w:color="auto"/>
              <w:right w:val="single" w:sz="4" w:space="0" w:color="auto"/>
            </w:tcBorders>
            <w:vAlign w:val="center"/>
          </w:tcPr>
          <w:p w14:paraId="42BE2DB4"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2 500 000</w:t>
            </w:r>
          </w:p>
        </w:tc>
        <w:tc>
          <w:tcPr>
            <w:tcW w:w="1275" w:type="dxa"/>
            <w:tcBorders>
              <w:top w:val="single" w:sz="4" w:space="0" w:color="auto"/>
              <w:left w:val="single" w:sz="4" w:space="0" w:color="auto"/>
              <w:bottom w:val="single" w:sz="4" w:space="0" w:color="auto"/>
              <w:right w:val="single" w:sz="4" w:space="0" w:color="auto"/>
            </w:tcBorders>
          </w:tcPr>
          <w:p w14:paraId="14EC1993" w14:textId="3CB7221B"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172 915 809</w:t>
            </w:r>
          </w:p>
        </w:tc>
        <w:tc>
          <w:tcPr>
            <w:tcW w:w="709" w:type="dxa"/>
            <w:tcBorders>
              <w:top w:val="single" w:sz="4" w:space="0" w:color="auto"/>
              <w:left w:val="single" w:sz="4" w:space="0" w:color="auto"/>
              <w:bottom w:val="single" w:sz="4" w:space="0" w:color="auto"/>
              <w:right w:val="single" w:sz="4" w:space="0" w:color="auto"/>
            </w:tcBorders>
          </w:tcPr>
          <w:p w14:paraId="409DE54F" w14:textId="58A42DE3"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60 %</w:t>
            </w:r>
          </w:p>
        </w:tc>
      </w:tr>
      <w:tr w:rsidR="00A668F2" w:rsidRPr="00B44B19" w14:paraId="300921D4" w14:textId="77777777" w:rsidTr="00D27D25">
        <w:tc>
          <w:tcPr>
            <w:tcW w:w="568" w:type="dxa"/>
            <w:vMerge/>
            <w:tcBorders>
              <w:right w:val="single" w:sz="4" w:space="0" w:color="auto"/>
            </w:tcBorders>
            <w:vAlign w:val="center"/>
          </w:tcPr>
          <w:p w14:paraId="44BF2E44" w14:textId="77777777" w:rsidR="00A668F2" w:rsidRPr="00B44B19" w:rsidRDefault="00A668F2" w:rsidP="00A668F2">
            <w:pPr>
              <w:rPr>
                <w:rFonts w:ascii="Times New Roman" w:hAnsi="Times New Roman" w:cs="Times New Roman"/>
                <w:sz w:val="16"/>
                <w:szCs w:val="16"/>
              </w:rPr>
            </w:pPr>
          </w:p>
        </w:tc>
        <w:tc>
          <w:tcPr>
            <w:tcW w:w="851" w:type="dxa"/>
            <w:vMerge/>
            <w:tcBorders>
              <w:left w:val="single" w:sz="4" w:space="0" w:color="auto"/>
              <w:right w:val="single" w:sz="4" w:space="0" w:color="auto"/>
            </w:tcBorders>
            <w:vAlign w:val="center"/>
          </w:tcPr>
          <w:p w14:paraId="755EACFC" w14:textId="77777777" w:rsidR="00A668F2" w:rsidRPr="00B44B19" w:rsidRDefault="00A668F2" w:rsidP="00A668F2">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C1F27EC" w14:textId="77777777" w:rsidR="00A668F2" w:rsidRPr="00B44B19" w:rsidRDefault="00A668F2" w:rsidP="00A668F2">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4B639F" w14:textId="77777777" w:rsidR="00A668F2" w:rsidRPr="00B44B19" w:rsidRDefault="00A668F2" w:rsidP="00A668F2">
            <w:pPr>
              <w:rPr>
                <w:rFonts w:ascii="Times New Roman" w:hAnsi="Times New Roman" w:cs="Times New Roman"/>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0139B145"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1D5243C3" w14:textId="2D8153A1"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711 293 092</w:t>
            </w:r>
          </w:p>
        </w:tc>
        <w:tc>
          <w:tcPr>
            <w:tcW w:w="1276" w:type="dxa"/>
            <w:tcBorders>
              <w:top w:val="single" w:sz="4" w:space="0" w:color="auto"/>
              <w:left w:val="single" w:sz="4" w:space="0" w:color="auto"/>
              <w:bottom w:val="single" w:sz="4" w:space="0" w:color="auto"/>
              <w:right w:val="single" w:sz="4" w:space="0" w:color="auto"/>
            </w:tcBorders>
            <w:vAlign w:val="center"/>
          </w:tcPr>
          <w:p w14:paraId="77FE634F"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587 547 181</w:t>
            </w:r>
          </w:p>
        </w:tc>
        <w:tc>
          <w:tcPr>
            <w:tcW w:w="1134" w:type="dxa"/>
            <w:tcBorders>
              <w:top w:val="single" w:sz="4" w:space="0" w:color="auto"/>
              <w:left w:val="single" w:sz="4" w:space="0" w:color="auto"/>
              <w:bottom w:val="single" w:sz="4" w:space="0" w:color="auto"/>
              <w:right w:val="single" w:sz="4" w:space="0" w:color="auto"/>
            </w:tcBorders>
            <w:vAlign w:val="center"/>
          </w:tcPr>
          <w:p w14:paraId="7534C060"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20 564 151</w:t>
            </w:r>
          </w:p>
        </w:tc>
        <w:tc>
          <w:tcPr>
            <w:tcW w:w="1134" w:type="dxa"/>
            <w:tcBorders>
              <w:top w:val="single" w:sz="4" w:space="0" w:color="auto"/>
              <w:left w:val="single" w:sz="4" w:space="0" w:color="auto"/>
              <w:bottom w:val="single" w:sz="4" w:space="0" w:color="auto"/>
              <w:right w:val="single" w:sz="4" w:space="0" w:color="auto"/>
            </w:tcBorders>
          </w:tcPr>
          <w:p w14:paraId="03C5100D" w14:textId="55720C1F"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99 692 522</w:t>
            </w:r>
          </w:p>
        </w:tc>
        <w:tc>
          <w:tcPr>
            <w:tcW w:w="992" w:type="dxa"/>
            <w:tcBorders>
              <w:top w:val="single" w:sz="4" w:space="0" w:color="auto"/>
              <w:left w:val="single" w:sz="4" w:space="0" w:color="auto"/>
              <w:bottom w:val="single" w:sz="4" w:space="0" w:color="auto"/>
              <w:right w:val="single" w:sz="4" w:space="0" w:color="auto"/>
            </w:tcBorders>
          </w:tcPr>
          <w:p w14:paraId="3A0568DD" w14:textId="1347E9CA"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3 489 238</w:t>
            </w:r>
          </w:p>
        </w:tc>
        <w:tc>
          <w:tcPr>
            <w:tcW w:w="1276" w:type="dxa"/>
            <w:tcBorders>
              <w:top w:val="single" w:sz="4" w:space="0" w:color="auto"/>
              <w:left w:val="single" w:sz="4" w:space="0" w:color="auto"/>
              <w:bottom w:val="single" w:sz="4" w:space="0" w:color="auto"/>
              <w:right w:val="single" w:sz="4" w:space="0" w:color="auto"/>
            </w:tcBorders>
          </w:tcPr>
          <w:p w14:paraId="7C94AB37" w14:textId="48E0ACC5"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37 436 479</w:t>
            </w:r>
          </w:p>
        </w:tc>
        <w:tc>
          <w:tcPr>
            <w:tcW w:w="1134" w:type="dxa"/>
            <w:tcBorders>
              <w:top w:val="single" w:sz="4" w:space="0" w:color="auto"/>
              <w:left w:val="single" w:sz="4" w:space="0" w:color="auto"/>
              <w:bottom w:val="single" w:sz="4" w:space="0" w:color="auto"/>
              <w:right w:val="single" w:sz="4" w:space="0" w:color="auto"/>
            </w:tcBorders>
          </w:tcPr>
          <w:p w14:paraId="6E796160" w14:textId="6E50D8DB"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36 201 185</w:t>
            </w:r>
          </w:p>
        </w:tc>
        <w:tc>
          <w:tcPr>
            <w:tcW w:w="1134" w:type="dxa"/>
            <w:tcBorders>
              <w:top w:val="single" w:sz="4" w:space="0" w:color="auto"/>
              <w:left w:val="single" w:sz="4" w:space="0" w:color="auto"/>
              <w:bottom w:val="single" w:sz="4" w:space="0" w:color="auto"/>
              <w:right w:val="single" w:sz="4" w:space="0" w:color="auto"/>
            </w:tcBorders>
            <w:vAlign w:val="center"/>
          </w:tcPr>
          <w:p w14:paraId="41999E94"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1 235 294</w:t>
            </w:r>
          </w:p>
        </w:tc>
        <w:tc>
          <w:tcPr>
            <w:tcW w:w="1275" w:type="dxa"/>
            <w:tcBorders>
              <w:top w:val="single" w:sz="4" w:space="0" w:color="auto"/>
              <w:left w:val="single" w:sz="4" w:space="0" w:color="auto"/>
              <w:bottom w:val="single" w:sz="4" w:space="0" w:color="auto"/>
              <w:right w:val="single" w:sz="4" w:space="0" w:color="auto"/>
            </w:tcBorders>
          </w:tcPr>
          <w:p w14:paraId="3D657399" w14:textId="2E9C3ADA"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748 729 571</w:t>
            </w:r>
          </w:p>
        </w:tc>
        <w:tc>
          <w:tcPr>
            <w:tcW w:w="709" w:type="dxa"/>
            <w:tcBorders>
              <w:top w:val="single" w:sz="4" w:space="0" w:color="auto"/>
              <w:left w:val="single" w:sz="4" w:space="0" w:color="auto"/>
              <w:bottom w:val="single" w:sz="4" w:space="0" w:color="auto"/>
              <w:right w:val="single" w:sz="4" w:space="0" w:color="auto"/>
            </w:tcBorders>
          </w:tcPr>
          <w:p w14:paraId="78109AA2" w14:textId="3A8A8940"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A668F2" w:rsidRPr="00B44B19" w14:paraId="38CEEDED" w14:textId="77777777" w:rsidTr="00D27D25">
        <w:tc>
          <w:tcPr>
            <w:tcW w:w="568" w:type="dxa"/>
            <w:vMerge/>
            <w:tcBorders>
              <w:right w:val="single" w:sz="4" w:space="0" w:color="auto"/>
            </w:tcBorders>
            <w:vAlign w:val="center"/>
          </w:tcPr>
          <w:p w14:paraId="696387EC" w14:textId="77777777" w:rsidR="00A668F2" w:rsidRPr="00B44B19" w:rsidRDefault="00A668F2" w:rsidP="00A668F2">
            <w:pPr>
              <w:rPr>
                <w:rFonts w:ascii="Times New Roman" w:hAnsi="Times New Roman" w:cs="Times New Roman"/>
                <w:sz w:val="16"/>
                <w:szCs w:val="16"/>
              </w:rPr>
            </w:pPr>
          </w:p>
        </w:tc>
        <w:tc>
          <w:tcPr>
            <w:tcW w:w="851" w:type="dxa"/>
            <w:vMerge/>
            <w:tcBorders>
              <w:left w:val="single" w:sz="4" w:space="0" w:color="auto"/>
              <w:right w:val="single" w:sz="4" w:space="0" w:color="auto"/>
            </w:tcBorders>
            <w:vAlign w:val="center"/>
          </w:tcPr>
          <w:p w14:paraId="2A6254A2" w14:textId="77777777" w:rsidR="00A668F2" w:rsidRPr="00B44B19" w:rsidRDefault="00A668F2" w:rsidP="00A668F2">
            <w:pPr>
              <w:rPr>
                <w:rFonts w:ascii="Times New Roman" w:hAnsi="Times New Roman" w:cs="Times New Roman"/>
                <w:sz w:val="16"/>
                <w:szCs w:val="16"/>
              </w:rPr>
            </w:pPr>
          </w:p>
        </w:tc>
        <w:tc>
          <w:tcPr>
            <w:tcW w:w="850" w:type="dxa"/>
            <w:vMerge w:val="restart"/>
            <w:tcBorders>
              <w:top w:val="single" w:sz="4" w:space="0" w:color="auto"/>
              <w:left w:val="single" w:sz="4" w:space="0" w:color="auto"/>
              <w:right w:val="single" w:sz="4" w:space="0" w:color="auto"/>
            </w:tcBorders>
            <w:vAlign w:val="center"/>
          </w:tcPr>
          <w:p w14:paraId="195593E9" w14:textId="77777777" w:rsidR="00A668F2" w:rsidRPr="00B44B19" w:rsidRDefault="00A668F2" w:rsidP="00A668F2">
            <w:pPr>
              <w:rPr>
                <w:rFonts w:ascii="Times New Roman" w:hAnsi="Times New Roman" w:cs="Times New Roman"/>
                <w:sz w:val="16"/>
                <w:szCs w:val="16"/>
              </w:rPr>
            </w:pPr>
            <w:r w:rsidRPr="00B44B19">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1808F2" w14:textId="77777777" w:rsidR="00A668F2" w:rsidRPr="00B44B19" w:rsidRDefault="00A668F2" w:rsidP="00A668F2">
            <w:pPr>
              <w:rPr>
                <w:rFonts w:ascii="Times New Roman" w:hAnsi="Times New Roman" w:cs="Times New Roman"/>
                <w:sz w:val="16"/>
                <w:szCs w:val="16"/>
              </w:rPr>
            </w:pPr>
            <w:r w:rsidRPr="00B44B19">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4C1BE156"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64A08DA3" w14:textId="6FC01DBC"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85 772 301</w:t>
            </w:r>
          </w:p>
        </w:tc>
        <w:tc>
          <w:tcPr>
            <w:tcW w:w="1276" w:type="dxa"/>
            <w:tcBorders>
              <w:top w:val="single" w:sz="4" w:space="0" w:color="auto"/>
              <w:left w:val="single" w:sz="4" w:space="0" w:color="auto"/>
              <w:bottom w:val="single" w:sz="4" w:space="0" w:color="auto"/>
              <w:right w:val="single" w:sz="4" w:space="0" w:color="auto"/>
            </w:tcBorders>
            <w:vAlign w:val="center"/>
          </w:tcPr>
          <w:p w14:paraId="7E669E8C"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72 799 349</w:t>
            </w:r>
          </w:p>
        </w:tc>
        <w:tc>
          <w:tcPr>
            <w:tcW w:w="1134" w:type="dxa"/>
            <w:tcBorders>
              <w:top w:val="single" w:sz="4" w:space="0" w:color="auto"/>
              <w:left w:val="single" w:sz="4" w:space="0" w:color="auto"/>
              <w:bottom w:val="single" w:sz="4" w:space="0" w:color="auto"/>
              <w:right w:val="single" w:sz="4" w:space="0" w:color="auto"/>
            </w:tcBorders>
            <w:vAlign w:val="center"/>
          </w:tcPr>
          <w:p w14:paraId="41DD561F"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2 911 973</w:t>
            </w:r>
          </w:p>
        </w:tc>
        <w:tc>
          <w:tcPr>
            <w:tcW w:w="1134" w:type="dxa"/>
            <w:tcBorders>
              <w:top w:val="single" w:sz="4" w:space="0" w:color="auto"/>
              <w:left w:val="single" w:sz="4" w:space="0" w:color="auto"/>
              <w:bottom w:val="single" w:sz="4" w:space="0" w:color="auto"/>
              <w:right w:val="single" w:sz="4" w:space="0" w:color="auto"/>
            </w:tcBorders>
          </w:tcPr>
          <w:p w14:paraId="633DC770" w14:textId="3841AC0F"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9 674 018</w:t>
            </w:r>
          </w:p>
        </w:tc>
        <w:tc>
          <w:tcPr>
            <w:tcW w:w="992" w:type="dxa"/>
            <w:tcBorders>
              <w:top w:val="single" w:sz="4" w:space="0" w:color="auto"/>
              <w:left w:val="single" w:sz="4" w:space="0" w:color="auto"/>
              <w:bottom w:val="single" w:sz="4" w:space="0" w:color="auto"/>
              <w:right w:val="single" w:sz="4" w:space="0" w:color="auto"/>
            </w:tcBorders>
          </w:tcPr>
          <w:p w14:paraId="54190E45" w14:textId="4A72918B"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386 961</w:t>
            </w:r>
          </w:p>
        </w:tc>
        <w:tc>
          <w:tcPr>
            <w:tcW w:w="1276" w:type="dxa"/>
            <w:tcBorders>
              <w:top w:val="single" w:sz="4" w:space="0" w:color="auto"/>
              <w:left w:val="single" w:sz="4" w:space="0" w:color="auto"/>
              <w:bottom w:val="single" w:sz="4" w:space="0" w:color="auto"/>
              <w:right w:val="single" w:sz="4" w:space="0" w:color="auto"/>
            </w:tcBorders>
          </w:tcPr>
          <w:p w14:paraId="60454D33" w14:textId="28465006"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57 181 534</w:t>
            </w:r>
          </w:p>
        </w:tc>
        <w:tc>
          <w:tcPr>
            <w:tcW w:w="1134" w:type="dxa"/>
            <w:tcBorders>
              <w:top w:val="single" w:sz="4" w:space="0" w:color="auto"/>
              <w:left w:val="single" w:sz="4" w:space="0" w:color="auto"/>
              <w:bottom w:val="single" w:sz="4" w:space="0" w:color="auto"/>
              <w:right w:val="single" w:sz="4" w:space="0" w:color="auto"/>
            </w:tcBorders>
          </w:tcPr>
          <w:p w14:paraId="5DAF7917" w14:textId="2C78B772"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57 181 534</w:t>
            </w:r>
          </w:p>
        </w:tc>
        <w:tc>
          <w:tcPr>
            <w:tcW w:w="1134" w:type="dxa"/>
            <w:tcBorders>
              <w:top w:val="single" w:sz="4" w:space="0" w:color="auto"/>
              <w:left w:val="single" w:sz="4" w:space="0" w:color="auto"/>
              <w:bottom w:val="single" w:sz="4" w:space="0" w:color="auto"/>
              <w:right w:val="single" w:sz="4" w:space="0" w:color="auto"/>
            </w:tcBorders>
            <w:vAlign w:val="center"/>
          </w:tcPr>
          <w:p w14:paraId="2FC53FD9"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3D2F2F2A" w14:textId="2E224BE9"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142 953 835</w:t>
            </w:r>
          </w:p>
        </w:tc>
        <w:tc>
          <w:tcPr>
            <w:tcW w:w="709" w:type="dxa"/>
            <w:tcBorders>
              <w:top w:val="single" w:sz="4" w:space="0" w:color="auto"/>
              <w:left w:val="single" w:sz="4" w:space="0" w:color="auto"/>
              <w:bottom w:val="single" w:sz="4" w:space="0" w:color="auto"/>
              <w:right w:val="single" w:sz="4" w:space="0" w:color="auto"/>
            </w:tcBorders>
          </w:tcPr>
          <w:p w14:paraId="56313519" w14:textId="74C6E5A9"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60 %</w:t>
            </w:r>
          </w:p>
        </w:tc>
      </w:tr>
      <w:tr w:rsidR="00A668F2" w:rsidRPr="00B44B19" w14:paraId="13353211" w14:textId="77777777" w:rsidTr="00D27D25">
        <w:tc>
          <w:tcPr>
            <w:tcW w:w="568" w:type="dxa"/>
            <w:vMerge/>
            <w:tcBorders>
              <w:bottom w:val="single" w:sz="4" w:space="0" w:color="auto"/>
              <w:right w:val="single" w:sz="4" w:space="0" w:color="auto"/>
            </w:tcBorders>
            <w:vAlign w:val="center"/>
          </w:tcPr>
          <w:p w14:paraId="758A81E0" w14:textId="77777777" w:rsidR="00A668F2" w:rsidRPr="00B44B19" w:rsidRDefault="00A668F2" w:rsidP="00A668F2">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5DA553FA" w14:textId="77777777" w:rsidR="00A668F2" w:rsidRPr="00B44B19" w:rsidRDefault="00A668F2" w:rsidP="00A668F2">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A93835A" w14:textId="77777777" w:rsidR="00A668F2" w:rsidRPr="00B44B19" w:rsidRDefault="00A668F2" w:rsidP="00A668F2">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22CBE3" w14:textId="77777777" w:rsidR="00A668F2" w:rsidRPr="00B44B19" w:rsidRDefault="00A668F2" w:rsidP="00A668F2">
            <w:pPr>
              <w:rPr>
                <w:rFonts w:ascii="Times New Roman" w:hAnsi="Times New Roman" w:cs="Times New Roman"/>
                <w:sz w:val="16"/>
                <w:szCs w:val="16"/>
              </w:rPr>
            </w:pPr>
            <w:r w:rsidRPr="00B44B19">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69F4CC82"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6F56799B" w14:textId="0D657132"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847 998 427</w:t>
            </w:r>
          </w:p>
        </w:tc>
        <w:tc>
          <w:tcPr>
            <w:tcW w:w="1276" w:type="dxa"/>
            <w:tcBorders>
              <w:top w:val="single" w:sz="4" w:space="0" w:color="auto"/>
              <w:left w:val="single" w:sz="4" w:space="0" w:color="auto"/>
              <w:bottom w:val="single" w:sz="4" w:space="0" w:color="auto"/>
              <w:right w:val="single" w:sz="4" w:space="0" w:color="auto"/>
            </w:tcBorders>
            <w:vAlign w:val="center"/>
          </w:tcPr>
          <w:p w14:paraId="63841C1A"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744 127 200</w:t>
            </w:r>
          </w:p>
        </w:tc>
        <w:tc>
          <w:tcPr>
            <w:tcW w:w="1134" w:type="dxa"/>
            <w:tcBorders>
              <w:top w:val="single" w:sz="4" w:space="0" w:color="auto"/>
              <w:left w:val="single" w:sz="4" w:space="0" w:color="auto"/>
              <w:bottom w:val="single" w:sz="4" w:space="0" w:color="auto"/>
              <w:right w:val="single" w:sz="4" w:space="0" w:color="auto"/>
            </w:tcBorders>
            <w:vAlign w:val="center"/>
          </w:tcPr>
          <w:p w14:paraId="5E3707C1"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29 765 087</w:t>
            </w:r>
          </w:p>
        </w:tc>
        <w:tc>
          <w:tcPr>
            <w:tcW w:w="1134" w:type="dxa"/>
            <w:tcBorders>
              <w:top w:val="single" w:sz="4" w:space="0" w:color="auto"/>
              <w:left w:val="single" w:sz="4" w:space="0" w:color="auto"/>
              <w:bottom w:val="single" w:sz="4" w:space="0" w:color="auto"/>
              <w:right w:val="single" w:sz="4" w:space="0" w:color="auto"/>
            </w:tcBorders>
          </w:tcPr>
          <w:p w14:paraId="0031700D" w14:textId="07B434C1"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71 255 903</w:t>
            </w:r>
          </w:p>
        </w:tc>
        <w:tc>
          <w:tcPr>
            <w:tcW w:w="992" w:type="dxa"/>
            <w:tcBorders>
              <w:top w:val="single" w:sz="4" w:space="0" w:color="auto"/>
              <w:left w:val="single" w:sz="4" w:space="0" w:color="auto"/>
              <w:bottom w:val="single" w:sz="4" w:space="0" w:color="auto"/>
              <w:right w:val="single" w:sz="4" w:space="0" w:color="auto"/>
            </w:tcBorders>
          </w:tcPr>
          <w:p w14:paraId="03A45CA5" w14:textId="27587C53"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2 850 237</w:t>
            </w:r>
          </w:p>
        </w:tc>
        <w:tc>
          <w:tcPr>
            <w:tcW w:w="1276" w:type="dxa"/>
            <w:tcBorders>
              <w:top w:val="single" w:sz="4" w:space="0" w:color="auto"/>
              <w:left w:val="single" w:sz="4" w:space="0" w:color="auto"/>
              <w:bottom w:val="single" w:sz="4" w:space="0" w:color="auto"/>
              <w:right w:val="single" w:sz="4" w:space="0" w:color="auto"/>
            </w:tcBorders>
          </w:tcPr>
          <w:p w14:paraId="5382E914" w14:textId="08A63613"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44 631 497</w:t>
            </w:r>
          </w:p>
        </w:tc>
        <w:tc>
          <w:tcPr>
            <w:tcW w:w="1134" w:type="dxa"/>
            <w:tcBorders>
              <w:top w:val="single" w:sz="4" w:space="0" w:color="auto"/>
              <w:left w:val="single" w:sz="4" w:space="0" w:color="auto"/>
              <w:bottom w:val="single" w:sz="4" w:space="0" w:color="auto"/>
              <w:right w:val="single" w:sz="4" w:space="0" w:color="auto"/>
            </w:tcBorders>
          </w:tcPr>
          <w:p w14:paraId="603482E2" w14:textId="6B753A09"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44 631 497</w:t>
            </w:r>
          </w:p>
        </w:tc>
        <w:tc>
          <w:tcPr>
            <w:tcW w:w="1134" w:type="dxa"/>
            <w:tcBorders>
              <w:top w:val="single" w:sz="4" w:space="0" w:color="auto"/>
              <w:left w:val="single" w:sz="4" w:space="0" w:color="auto"/>
              <w:bottom w:val="single" w:sz="4" w:space="0" w:color="auto"/>
              <w:right w:val="single" w:sz="4" w:space="0" w:color="auto"/>
            </w:tcBorders>
            <w:vAlign w:val="center"/>
          </w:tcPr>
          <w:p w14:paraId="598E1142"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3A39062A" w14:textId="0B4061E2"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892 629 924</w:t>
            </w:r>
          </w:p>
        </w:tc>
        <w:tc>
          <w:tcPr>
            <w:tcW w:w="709" w:type="dxa"/>
            <w:tcBorders>
              <w:top w:val="single" w:sz="4" w:space="0" w:color="auto"/>
              <w:left w:val="single" w:sz="4" w:space="0" w:color="auto"/>
              <w:bottom w:val="single" w:sz="4" w:space="0" w:color="auto"/>
              <w:right w:val="single" w:sz="4" w:space="0" w:color="auto"/>
            </w:tcBorders>
          </w:tcPr>
          <w:p w14:paraId="38AE5665" w14:textId="3FF7E342"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A668F2" w:rsidRPr="00B44B19" w14:paraId="3B1F15CE" w14:textId="77777777" w:rsidTr="00D27D25">
        <w:tc>
          <w:tcPr>
            <w:tcW w:w="568" w:type="dxa"/>
            <w:vMerge w:val="restart"/>
            <w:tcBorders>
              <w:top w:val="single" w:sz="4" w:space="0" w:color="auto"/>
              <w:right w:val="single" w:sz="4" w:space="0" w:color="auto"/>
            </w:tcBorders>
            <w:vAlign w:val="center"/>
          </w:tcPr>
          <w:p w14:paraId="7ACE73B0" w14:textId="77777777" w:rsidR="00A668F2" w:rsidRPr="00B44B19" w:rsidRDefault="00A668F2" w:rsidP="00A668F2">
            <w:pPr>
              <w:jc w:val="center"/>
              <w:rPr>
                <w:rFonts w:ascii="Times New Roman" w:hAnsi="Times New Roman" w:cs="Times New Roman"/>
                <w:color w:val="000000"/>
                <w:sz w:val="16"/>
                <w:szCs w:val="16"/>
              </w:rPr>
            </w:pPr>
            <w:r w:rsidRPr="00B44B19">
              <w:rPr>
                <w:rFonts w:ascii="Times New Roman" w:hAnsi="Times New Roman" w:cs="Times New Roman"/>
                <w:color w:val="000000"/>
                <w:sz w:val="16"/>
                <w:szCs w:val="16"/>
              </w:rPr>
              <w:t>5.</w:t>
            </w:r>
          </w:p>
        </w:tc>
        <w:tc>
          <w:tcPr>
            <w:tcW w:w="851" w:type="dxa"/>
            <w:vMerge w:val="restart"/>
            <w:tcBorders>
              <w:top w:val="single" w:sz="4" w:space="0" w:color="auto"/>
              <w:left w:val="single" w:sz="4" w:space="0" w:color="auto"/>
              <w:right w:val="single" w:sz="4" w:space="0" w:color="auto"/>
            </w:tcBorders>
            <w:vAlign w:val="center"/>
          </w:tcPr>
          <w:p w14:paraId="5D392C02"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5. Piliečiams artimesnė Lietuva</w:t>
            </w:r>
          </w:p>
        </w:tc>
        <w:tc>
          <w:tcPr>
            <w:tcW w:w="850" w:type="dxa"/>
            <w:vMerge w:val="restart"/>
            <w:tcBorders>
              <w:top w:val="single" w:sz="4" w:space="0" w:color="auto"/>
              <w:left w:val="single" w:sz="4" w:space="0" w:color="auto"/>
              <w:right w:val="single" w:sz="4" w:space="0" w:color="auto"/>
            </w:tcBorders>
            <w:vAlign w:val="center"/>
          </w:tcPr>
          <w:p w14:paraId="755A3957"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56BF09"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7EB7CA3"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40192DD1"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67 304 514</w:t>
            </w:r>
          </w:p>
        </w:tc>
        <w:tc>
          <w:tcPr>
            <w:tcW w:w="1276" w:type="dxa"/>
            <w:tcBorders>
              <w:top w:val="single" w:sz="4" w:space="0" w:color="auto"/>
              <w:left w:val="single" w:sz="4" w:space="0" w:color="auto"/>
              <w:bottom w:val="single" w:sz="4" w:space="0" w:color="auto"/>
              <w:right w:val="single" w:sz="4" w:space="0" w:color="auto"/>
            </w:tcBorders>
            <w:vAlign w:val="center"/>
          </w:tcPr>
          <w:p w14:paraId="20FF7209"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55 164 676</w:t>
            </w:r>
          </w:p>
        </w:tc>
        <w:tc>
          <w:tcPr>
            <w:tcW w:w="1134" w:type="dxa"/>
            <w:tcBorders>
              <w:top w:val="single" w:sz="4" w:space="0" w:color="auto"/>
              <w:left w:val="single" w:sz="4" w:space="0" w:color="auto"/>
              <w:bottom w:val="single" w:sz="4" w:space="0" w:color="auto"/>
              <w:right w:val="single" w:sz="4" w:space="0" w:color="auto"/>
            </w:tcBorders>
            <w:vAlign w:val="center"/>
          </w:tcPr>
          <w:p w14:paraId="02C68536"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1 930 764</w:t>
            </w:r>
          </w:p>
        </w:tc>
        <w:tc>
          <w:tcPr>
            <w:tcW w:w="1134" w:type="dxa"/>
            <w:tcBorders>
              <w:top w:val="single" w:sz="4" w:space="0" w:color="auto"/>
              <w:left w:val="single" w:sz="4" w:space="0" w:color="auto"/>
              <w:bottom w:val="single" w:sz="4" w:space="0" w:color="auto"/>
              <w:right w:val="single" w:sz="4" w:space="0" w:color="auto"/>
            </w:tcBorders>
            <w:vAlign w:val="center"/>
          </w:tcPr>
          <w:p w14:paraId="14F1161A"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9 863 840</w:t>
            </w:r>
          </w:p>
        </w:tc>
        <w:tc>
          <w:tcPr>
            <w:tcW w:w="992" w:type="dxa"/>
            <w:tcBorders>
              <w:top w:val="single" w:sz="4" w:space="0" w:color="auto"/>
              <w:left w:val="single" w:sz="4" w:space="0" w:color="auto"/>
              <w:bottom w:val="single" w:sz="4" w:space="0" w:color="auto"/>
              <w:right w:val="single" w:sz="4" w:space="0" w:color="auto"/>
            </w:tcBorders>
            <w:vAlign w:val="center"/>
          </w:tcPr>
          <w:p w14:paraId="7FE9A0BC"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345 234</w:t>
            </w:r>
          </w:p>
        </w:tc>
        <w:tc>
          <w:tcPr>
            <w:tcW w:w="1276" w:type="dxa"/>
            <w:tcBorders>
              <w:top w:val="single" w:sz="4" w:space="0" w:color="auto"/>
              <w:left w:val="single" w:sz="4" w:space="0" w:color="auto"/>
              <w:bottom w:val="single" w:sz="4" w:space="0" w:color="auto"/>
              <w:right w:val="single" w:sz="4" w:space="0" w:color="auto"/>
            </w:tcBorders>
          </w:tcPr>
          <w:p w14:paraId="40C85378" w14:textId="23D631BF"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44 869 676</w:t>
            </w:r>
          </w:p>
        </w:tc>
        <w:tc>
          <w:tcPr>
            <w:tcW w:w="1134" w:type="dxa"/>
            <w:tcBorders>
              <w:top w:val="single" w:sz="4" w:space="0" w:color="auto"/>
              <w:left w:val="single" w:sz="4" w:space="0" w:color="auto"/>
              <w:bottom w:val="single" w:sz="4" w:space="0" w:color="auto"/>
              <w:right w:val="single" w:sz="4" w:space="0" w:color="auto"/>
            </w:tcBorders>
          </w:tcPr>
          <w:p w14:paraId="6036F025" w14:textId="6B3F2CE6"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44 869 676</w:t>
            </w:r>
          </w:p>
        </w:tc>
        <w:tc>
          <w:tcPr>
            <w:tcW w:w="1134" w:type="dxa"/>
            <w:tcBorders>
              <w:top w:val="single" w:sz="4" w:space="0" w:color="auto"/>
              <w:left w:val="single" w:sz="4" w:space="0" w:color="auto"/>
              <w:bottom w:val="single" w:sz="4" w:space="0" w:color="auto"/>
              <w:right w:val="single" w:sz="4" w:space="0" w:color="auto"/>
            </w:tcBorders>
          </w:tcPr>
          <w:p w14:paraId="36A79535" w14:textId="7E45B6F2"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5613DCF5" w14:textId="71AA5C74"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112 174 190</w:t>
            </w:r>
          </w:p>
        </w:tc>
        <w:tc>
          <w:tcPr>
            <w:tcW w:w="709" w:type="dxa"/>
            <w:tcBorders>
              <w:top w:val="single" w:sz="4" w:space="0" w:color="auto"/>
              <w:left w:val="single" w:sz="4" w:space="0" w:color="auto"/>
              <w:bottom w:val="single" w:sz="4" w:space="0" w:color="auto"/>
              <w:right w:val="single" w:sz="4" w:space="0" w:color="auto"/>
            </w:tcBorders>
          </w:tcPr>
          <w:p w14:paraId="53108083" w14:textId="2FA9B35F"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60 %</w:t>
            </w:r>
          </w:p>
        </w:tc>
      </w:tr>
      <w:tr w:rsidR="00A668F2" w:rsidRPr="00B44B19" w14:paraId="15EAD3BC" w14:textId="77777777" w:rsidTr="00D27D25">
        <w:tc>
          <w:tcPr>
            <w:tcW w:w="568" w:type="dxa"/>
            <w:vMerge/>
            <w:tcBorders>
              <w:bottom w:val="single" w:sz="4" w:space="0" w:color="auto"/>
              <w:right w:val="single" w:sz="4" w:space="0" w:color="auto"/>
            </w:tcBorders>
          </w:tcPr>
          <w:p w14:paraId="32944F1C" w14:textId="77777777" w:rsidR="00A668F2" w:rsidRPr="00B44B19" w:rsidRDefault="00A668F2" w:rsidP="00A668F2">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tcPr>
          <w:p w14:paraId="7EABC5C0" w14:textId="77777777" w:rsidR="00A668F2" w:rsidRPr="00B44B19" w:rsidRDefault="00A668F2" w:rsidP="00A668F2">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tcPr>
          <w:p w14:paraId="1ECE5C20" w14:textId="77777777" w:rsidR="00A668F2" w:rsidRPr="00B44B19" w:rsidRDefault="00A668F2" w:rsidP="00A668F2">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B0F763"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90F80E9"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22D12C82"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567 643 731</w:t>
            </w:r>
          </w:p>
        </w:tc>
        <w:tc>
          <w:tcPr>
            <w:tcW w:w="1276" w:type="dxa"/>
            <w:tcBorders>
              <w:top w:val="single" w:sz="4" w:space="0" w:color="auto"/>
              <w:left w:val="single" w:sz="4" w:space="0" w:color="auto"/>
              <w:bottom w:val="single" w:sz="4" w:space="0" w:color="auto"/>
              <w:right w:val="single" w:sz="4" w:space="0" w:color="auto"/>
            </w:tcBorders>
            <w:vAlign w:val="center"/>
          </w:tcPr>
          <w:p w14:paraId="4DA5441A"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463 493 532</w:t>
            </w:r>
          </w:p>
        </w:tc>
        <w:tc>
          <w:tcPr>
            <w:tcW w:w="1134" w:type="dxa"/>
            <w:tcBorders>
              <w:top w:val="single" w:sz="4" w:space="0" w:color="auto"/>
              <w:left w:val="single" w:sz="4" w:space="0" w:color="auto"/>
              <w:bottom w:val="single" w:sz="4" w:space="0" w:color="auto"/>
              <w:right w:val="single" w:sz="4" w:space="0" w:color="auto"/>
            </w:tcBorders>
            <w:vAlign w:val="center"/>
          </w:tcPr>
          <w:p w14:paraId="58328138"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16 222 273</w:t>
            </w:r>
          </w:p>
        </w:tc>
        <w:tc>
          <w:tcPr>
            <w:tcW w:w="1134" w:type="dxa"/>
            <w:tcBorders>
              <w:top w:val="single" w:sz="4" w:space="0" w:color="auto"/>
              <w:left w:val="single" w:sz="4" w:space="0" w:color="auto"/>
              <w:bottom w:val="single" w:sz="4" w:space="0" w:color="auto"/>
              <w:right w:val="single" w:sz="4" w:space="0" w:color="auto"/>
            </w:tcBorders>
            <w:vAlign w:val="center"/>
          </w:tcPr>
          <w:p w14:paraId="24943124"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84 954 518</w:t>
            </w:r>
          </w:p>
        </w:tc>
        <w:tc>
          <w:tcPr>
            <w:tcW w:w="992" w:type="dxa"/>
            <w:tcBorders>
              <w:top w:val="single" w:sz="4" w:space="0" w:color="auto"/>
              <w:left w:val="single" w:sz="4" w:space="0" w:color="auto"/>
              <w:bottom w:val="single" w:sz="4" w:space="0" w:color="auto"/>
              <w:right w:val="single" w:sz="4" w:space="0" w:color="auto"/>
            </w:tcBorders>
            <w:vAlign w:val="center"/>
          </w:tcPr>
          <w:p w14:paraId="642DE5DA"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2 973 408</w:t>
            </w:r>
          </w:p>
        </w:tc>
        <w:tc>
          <w:tcPr>
            <w:tcW w:w="1276" w:type="dxa"/>
            <w:tcBorders>
              <w:top w:val="single" w:sz="4" w:space="0" w:color="auto"/>
              <w:left w:val="single" w:sz="4" w:space="0" w:color="auto"/>
              <w:bottom w:val="single" w:sz="4" w:space="0" w:color="auto"/>
              <w:right w:val="single" w:sz="4" w:space="0" w:color="auto"/>
            </w:tcBorders>
          </w:tcPr>
          <w:p w14:paraId="4FD7C9BD" w14:textId="1C530646"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29 875 986</w:t>
            </w:r>
          </w:p>
        </w:tc>
        <w:tc>
          <w:tcPr>
            <w:tcW w:w="1134" w:type="dxa"/>
            <w:tcBorders>
              <w:top w:val="single" w:sz="4" w:space="0" w:color="auto"/>
              <w:left w:val="single" w:sz="4" w:space="0" w:color="auto"/>
              <w:bottom w:val="single" w:sz="4" w:space="0" w:color="auto"/>
              <w:right w:val="single" w:sz="4" w:space="0" w:color="auto"/>
            </w:tcBorders>
          </w:tcPr>
          <w:p w14:paraId="246346EE" w14:textId="38247F33"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29 875 986</w:t>
            </w:r>
          </w:p>
        </w:tc>
        <w:tc>
          <w:tcPr>
            <w:tcW w:w="1134" w:type="dxa"/>
            <w:tcBorders>
              <w:top w:val="single" w:sz="4" w:space="0" w:color="auto"/>
              <w:left w:val="single" w:sz="4" w:space="0" w:color="auto"/>
              <w:bottom w:val="single" w:sz="4" w:space="0" w:color="auto"/>
              <w:right w:val="single" w:sz="4" w:space="0" w:color="auto"/>
            </w:tcBorders>
          </w:tcPr>
          <w:p w14:paraId="0FA4E830" w14:textId="3DF54022"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446C371B" w14:textId="6B30A436"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597 519 717</w:t>
            </w:r>
          </w:p>
        </w:tc>
        <w:tc>
          <w:tcPr>
            <w:tcW w:w="709" w:type="dxa"/>
            <w:tcBorders>
              <w:top w:val="single" w:sz="4" w:space="0" w:color="auto"/>
              <w:left w:val="single" w:sz="4" w:space="0" w:color="auto"/>
              <w:bottom w:val="single" w:sz="4" w:space="0" w:color="auto"/>
              <w:right w:val="single" w:sz="4" w:space="0" w:color="auto"/>
            </w:tcBorders>
          </w:tcPr>
          <w:p w14:paraId="068ACD18" w14:textId="44189FE8"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A668F2" w:rsidRPr="00B44B19" w14:paraId="2C1FFF42" w14:textId="77777777" w:rsidTr="00D27D25">
        <w:tc>
          <w:tcPr>
            <w:tcW w:w="568" w:type="dxa"/>
            <w:vMerge w:val="restart"/>
            <w:tcBorders>
              <w:top w:val="single" w:sz="4" w:space="0" w:color="auto"/>
              <w:right w:val="single" w:sz="4" w:space="0" w:color="auto"/>
            </w:tcBorders>
            <w:vAlign w:val="center"/>
          </w:tcPr>
          <w:p w14:paraId="6CC987BF" w14:textId="77777777" w:rsidR="00A668F2" w:rsidRPr="00B44B19" w:rsidRDefault="00A668F2" w:rsidP="00A668F2">
            <w:pPr>
              <w:jc w:val="center"/>
              <w:rPr>
                <w:rFonts w:ascii="Times New Roman" w:hAnsi="Times New Roman" w:cs="Times New Roman"/>
                <w:color w:val="000000"/>
                <w:sz w:val="16"/>
                <w:szCs w:val="16"/>
              </w:rPr>
            </w:pPr>
            <w:r w:rsidRPr="00B44B19">
              <w:rPr>
                <w:rFonts w:ascii="Times New Roman" w:hAnsi="Times New Roman" w:cs="Times New Roman"/>
                <w:color w:val="000000"/>
                <w:sz w:val="16"/>
                <w:szCs w:val="16"/>
              </w:rPr>
              <w:t xml:space="preserve">4. </w:t>
            </w:r>
          </w:p>
        </w:tc>
        <w:tc>
          <w:tcPr>
            <w:tcW w:w="851" w:type="dxa"/>
            <w:vMerge w:val="restart"/>
            <w:tcBorders>
              <w:top w:val="single" w:sz="4" w:space="0" w:color="auto"/>
              <w:left w:val="single" w:sz="4" w:space="0" w:color="auto"/>
              <w:right w:val="single" w:sz="4" w:space="0" w:color="auto"/>
            </w:tcBorders>
            <w:vAlign w:val="center"/>
          </w:tcPr>
          <w:p w14:paraId="0A6989ED"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6. Inovatyvūs sprendimai</w:t>
            </w:r>
          </w:p>
        </w:tc>
        <w:tc>
          <w:tcPr>
            <w:tcW w:w="850" w:type="dxa"/>
            <w:vMerge w:val="restart"/>
            <w:tcBorders>
              <w:top w:val="single" w:sz="4" w:space="0" w:color="auto"/>
              <w:left w:val="single" w:sz="4" w:space="0" w:color="auto"/>
              <w:right w:val="single" w:sz="4" w:space="0" w:color="auto"/>
            </w:tcBorders>
            <w:vAlign w:val="center"/>
          </w:tcPr>
          <w:p w14:paraId="0DDCECFE" w14:textId="77777777" w:rsidR="00A668F2" w:rsidRPr="00B44B19" w:rsidRDefault="00A668F2" w:rsidP="00A668F2">
            <w:pPr>
              <w:rPr>
                <w:rFonts w:ascii="Times New Roman" w:hAnsi="Times New Roman" w:cs="Times New Roman"/>
                <w:color w:val="000000"/>
                <w:sz w:val="16"/>
                <w:szCs w:val="16"/>
              </w:rPr>
            </w:pPr>
            <w:r w:rsidRPr="00B44B19">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7C7FF9"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16465A09"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23F8D85F"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5 653 514</w:t>
            </w:r>
          </w:p>
        </w:tc>
        <w:tc>
          <w:tcPr>
            <w:tcW w:w="1276" w:type="dxa"/>
            <w:tcBorders>
              <w:top w:val="single" w:sz="4" w:space="0" w:color="auto"/>
              <w:left w:val="single" w:sz="4" w:space="0" w:color="auto"/>
              <w:bottom w:val="single" w:sz="4" w:space="0" w:color="auto"/>
              <w:right w:val="single" w:sz="4" w:space="0" w:color="auto"/>
            </w:tcBorders>
            <w:vAlign w:val="center"/>
          </w:tcPr>
          <w:p w14:paraId="1C918AD5"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4 620 614</w:t>
            </w:r>
          </w:p>
        </w:tc>
        <w:tc>
          <w:tcPr>
            <w:tcW w:w="1134" w:type="dxa"/>
            <w:tcBorders>
              <w:top w:val="single" w:sz="4" w:space="0" w:color="auto"/>
              <w:left w:val="single" w:sz="4" w:space="0" w:color="auto"/>
              <w:bottom w:val="single" w:sz="4" w:space="0" w:color="auto"/>
              <w:right w:val="single" w:sz="4" w:space="0" w:color="auto"/>
            </w:tcBorders>
            <w:vAlign w:val="center"/>
          </w:tcPr>
          <w:p w14:paraId="1687CA73"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184 824</w:t>
            </w:r>
          </w:p>
        </w:tc>
        <w:tc>
          <w:tcPr>
            <w:tcW w:w="1134" w:type="dxa"/>
            <w:tcBorders>
              <w:top w:val="single" w:sz="4" w:space="0" w:color="auto"/>
              <w:left w:val="single" w:sz="4" w:space="0" w:color="auto"/>
              <w:bottom w:val="single" w:sz="4" w:space="0" w:color="auto"/>
              <w:right w:val="single" w:sz="4" w:space="0" w:color="auto"/>
            </w:tcBorders>
            <w:vAlign w:val="center"/>
          </w:tcPr>
          <w:p w14:paraId="726E52AD"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815 458</w:t>
            </w:r>
          </w:p>
        </w:tc>
        <w:tc>
          <w:tcPr>
            <w:tcW w:w="992" w:type="dxa"/>
            <w:tcBorders>
              <w:top w:val="single" w:sz="4" w:space="0" w:color="auto"/>
              <w:left w:val="single" w:sz="4" w:space="0" w:color="auto"/>
              <w:bottom w:val="single" w:sz="4" w:space="0" w:color="auto"/>
              <w:right w:val="single" w:sz="4" w:space="0" w:color="auto"/>
            </w:tcBorders>
            <w:vAlign w:val="center"/>
          </w:tcPr>
          <w:p w14:paraId="0D6699D5"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32 618</w:t>
            </w:r>
          </w:p>
        </w:tc>
        <w:tc>
          <w:tcPr>
            <w:tcW w:w="1276" w:type="dxa"/>
            <w:tcBorders>
              <w:top w:val="single" w:sz="4" w:space="0" w:color="auto"/>
              <w:left w:val="single" w:sz="4" w:space="0" w:color="auto"/>
              <w:bottom w:val="single" w:sz="4" w:space="0" w:color="auto"/>
              <w:right w:val="single" w:sz="4" w:space="0" w:color="auto"/>
            </w:tcBorders>
          </w:tcPr>
          <w:p w14:paraId="342831E8" w14:textId="7FBB5D85"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50F6D99" w14:textId="51FFBA24"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3BEC31AB"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6F3A319A" w14:textId="5A94D69C"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5 653 514</w:t>
            </w:r>
          </w:p>
        </w:tc>
        <w:tc>
          <w:tcPr>
            <w:tcW w:w="709" w:type="dxa"/>
            <w:tcBorders>
              <w:top w:val="single" w:sz="4" w:space="0" w:color="auto"/>
              <w:left w:val="single" w:sz="4" w:space="0" w:color="auto"/>
              <w:bottom w:val="single" w:sz="4" w:space="0" w:color="auto"/>
              <w:right w:val="single" w:sz="4" w:space="0" w:color="auto"/>
            </w:tcBorders>
          </w:tcPr>
          <w:p w14:paraId="268DE1E6" w14:textId="1AFA0F37"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100 %</w:t>
            </w:r>
          </w:p>
        </w:tc>
      </w:tr>
      <w:tr w:rsidR="00A668F2" w:rsidRPr="00B44B19" w14:paraId="6E53E179" w14:textId="77777777" w:rsidTr="00D27D25">
        <w:tc>
          <w:tcPr>
            <w:tcW w:w="568" w:type="dxa"/>
            <w:vMerge/>
            <w:tcBorders>
              <w:bottom w:val="single" w:sz="4" w:space="0" w:color="auto"/>
              <w:right w:val="single" w:sz="4" w:space="0" w:color="auto"/>
            </w:tcBorders>
            <w:vAlign w:val="center"/>
          </w:tcPr>
          <w:p w14:paraId="6290647C" w14:textId="77777777" w:rsidR="00A668F2" w:rsidRPr="00B44B19" w:rsidRDefault="00A668F2" w:rsidP="00A668F2">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586BDD42" w14:textId="77777777" w:rsidR="00A668F2" w:rsidRPr="00B44B19" w:rsidRDefault="00A668F2" w:rsidP="00A668F2">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3D14229D" w14:textId="77777777" w:rsidR="00A668F2" w:rsidRPr="00B44B19" w:rsidRDefault="00A668F2" w:rsidP="00A668F2">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80C19E" w14:textId="77777777" w:rsidR="00A668F2" w:rsidRPr="00B44B19" w:rsidRDefault="00A668F2" w:rsidP="00A668F2">
            <w:pPr>
              <w:rPr>
                <w:rFonts w:ascii="Times New Roman" w:hAnsi="Times New Roman" w:cs="Times New Roman"/>
                <w:sz w:val="16"/>
                <w:szCs w:val="16"/>
              </w:rPr>
            </w:pPr>
            <w:r w:rsidRPr="00B44B19">
              <w:rPr>
                <w:rFonts w:ascii="Times New Roman" w:hAnsi="Times New Roman" w:cs="Times New Roman"/>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0E90A969" w14:textId="77777777" w:rsidR="00A668F2" w:rsidRPr="00B44B19" w:rsidRDefault="00A668F2" w:rsidP="00A668F2">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5EBFE0E8"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47 681 524</w:t>
            </w:r>
          </w:p>
        </w:tc>
        <w:tc>
          <w:tcPr>
            <w:tcW w:w="1276" w:type="dxa"/>
            <w:tcBorders>
              <w:top w:val="single" w:sz="4" w:space="0" w:color="auto"/>
              <w:left w:val="single" w:sz="4" w:space="0" w:color="auto"/>
              <w:bottom w:val="single" w:sz="4" w:space="0" w:color="auto"/>
              <w:right w:val="single" w:sz="4" w:space="0" w:color="auto"/>
            </w:tcBorders>
            <w:vAlign w:val="center"/>
          </w:tcPr>
          <w:p w14:paraId="0224143A"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38 800 863</w:t>
            </w:r>
          </w:p>
        </w:tc>
        <w:tc>
          <w:tcPr>
            <w:tcW w:w="1134" w:type="dxa"/>
            <w:tcBorders>
              <w:top w:val="single" w:sz="4" w:space="0" w:color="auto"/>
              <w:left w:val="single" w:sz="4" w:space="0" w:color="auto"/>
              <w:bottom w:val="single" w:sz="4" w:space="0" w:color="auto"/>
              <w:right w:val="single" w:sz="4" w:space="0" w:color="auto"/>
            </w:tcBorders>
            <w:vAlign w:val="center"/>
          </w:tcPr>
          <w:p w14:paraId="3D28B6C8"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1 552 034</w:t>
            </w:r>
          </w:p>
        </w:tc>
        <w:tc>
          <w:tcPr>
            <w:tcW w:w="1134" w:type="dxa"/>
            <w:tcBorders>
              <w:top w:val="single" w:sz="4" w:space="0" w:color="auto"/>
              <w:left w:val="single" w:sz="4" w:space="0" w:color="auto"/>
              <w:bottom w:val="single" w:sz="4" w:space="0" w:color="auto"/>
              <w:right w:val="single" w:sz="4" w:space="0" w:color="auto"/>
            </w:tcBorders>
            <w:vAlign w:val="center"/>
          </w:tcPr>
          <w:p w14:paraId="5DF8FBF6"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7 046 757</w:t>
            </w:r>
          </w:p>
        </w:tc>
        <w:tc>
          <w:tcPr>
            <w:tcW w:w="992" w:type="dxa"/>
            <w:tcBorders>
              <w:top w:val="single" w:sz="4" w:space="0" w:color="auto"/>
              <w:left w:val="single" w:sz="4" w:space="0" w:color="auto"/>
              <w:bottom w:val="single" w:sz="4" w:space="0" w:color="auto"/>
              <w:right w:val="single" w:sz="4" w:space="0" w:color="auto"/>
            </w:tcBorders>
            <w:vAlign w:val="center"/>
          </w:tcPr>
          <w:p w14:paraId="33E6ED07"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281 870</w:t>
            </w:r>
          </w:p>
        </w:tc>
        <w:tc>
          <w:tcPr>
            <w:tcW w:w="1276" w:type="dxa"/>
            <w:tcBorders>
              <w:top w:val="single" w:sz="4" w:space="0" w:color="auto"/>
              <w:left w:val="single" w:sz="4" w:space="0" w:color="auto"/>
              <w:bottom w:val="single" w:sz="4" w:space="0" w:color="auto"/>
              <w:right w:val="single" w:sz="4" w:space="0" w:color="auto"/>
            </w:tcBorders>
          </w:tcPr>
          <w:p w14:paraId="3D1FE528" w14:textId="06268414"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BA7118A" w14:textId="0EA5B79B"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358A517" w14:textId="77777777"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1AC2218C" w14:textId="06815B9A" w:rsidR="00A668F2" w:rsidRPr="00B44B19" w:rsidRDefault="00A668F2" w:rsidP="00A668F2">
            <w:pPr>
              <w:jc w:val="center"/>
              <w:rPr>
                <w:rFonts w:ascii="Times New Roman" w:hAnsi="Times New Roman" w:cs="Times New Roman"/>
                <w:sz w:val="16"/>
                <w:szCs w:val="16"/>
              </w:rPr>
            </w:pPr>
            <w:r w:rsidRPr="00B44B19">
              <w:rPr>
                <w:rFonts w:ascii="Times New Roman" w:hAnsi="Times New Roman" w:cs="Times New Roman"/>
                <w:sz w:val="16"/>
                <w:szCs w:val="16"/>
              </w:rPr>
              <w:t>47 681 524</w:t>
            </w:r>
          </w:p>
        </w:tc>
        <w:tc>
          <w:tcPr>
            <w:tcW w:w="709" w:type="dxa"/>
            <w:tcBorders>
              <w:top w:val="single" w:sz="4" w:space="0" w:color="auto"/>
              <w:left w:val="single" w:sz="4" w:space="0" w:color="auto"/>
              <w:bottom w:val="single" w:sz="4" w:space="0" w:color="auto"/>
              <w:right w:val="single" w:sz="4" w:space="0" w:color="auto"/>
            </w:tcBorders>
          </w:tcPr>
          <w:p w14:paraId="248DC88F" w14:textId="2BA3CF74" w:rsidR="00A668F2" w:rsidRPr="00B44B19" w:rsidRDefault="00A668F2" w:rsidP="00A668F2">
            <w:pPr>
              <w:jc w:val="right"/>
              <w:rPr>
                <w:rFonts w:ascii="Times New Roman" w:hAnsi="Times New Roman" w:cs="Times New Roman"/>
                <w:color w:val="000000"/>
                <w:sz w:val="16"/>
                <w:szCs w:val="16"/>
              </w:rPr>
            </w:pPr>
            <w:r w:rsidRPr="00B44B19">
              <w:rPr>
                <w:rFonts w:ascii="Times New Roman" w:hAnsi="Times New Roman" w:cs="Times New Roman"/>
                <w:sz w:val="16"/>
                <w:szCs w:val="16"/>
              </w:rPr>
              <w:t>100 %</w:t>
            </w:r>
          </w:p>
        </w:tc>
      </w:tr>
      <w:tr w:rsidR="002B6A7E" w:rsidRPr="00B44B19" w14:paraId="15F2D54A" w14:textId="77777777" w:rsidTr="00D27D25">
        <w:tc>
          <w:tcPr>
            <w:tcW w:w="568" w:type="dxa"/>
            <w:vMerge w:val="restart"/>
            <w:tcBorders>
              <w:top w:val="single" w:sz="4" w:space="0" w:color="auto"/>
              <w:right w:val="single" w:sz="4" w:space="0" w:color="auto"/>
            </w:tcBorders>
            <w:vAlign w:val="center"/>
          </w:tcPr>
          <w:p w14:paraId="22FDE2C2" w14:textId="77777777" w:rsidR="002B6A7E" w:rsidRPr="00B44B19" w:rsidRDefault="002B6A7E" w:rsidP="002B6A7E">
            <w:pPr>
              <w:jc w:val="center"/>
              <w:rPr>
                <w:rFonts w:ascii="Times New Roman" w:hAnsi="Times New Roman" w:cs="Times New Roman"/>
                <w:color w:val="000000"/>
                <w:sz w:val="16"/>
                <w:szCs w:val="16"/>
              </w:rPr>
            </w:pPr>
            <w:r w:rsidRPr="00B44B19">
              <w:rPr>
                <w:rFonts w:ascii="Times New Roman" w:hAnsi="Times New Roman" w:cs="Times New Roman"/>
                <w:color w:val="000000"/>
                <w:sz w:val="16"/>
                <w:szCs w:val="16"/>
              </w:rPr>
              <w:t>1.</w:t>
            </w:r>
          </w:p>
        </w:tc>
        <w:tc>
          <w:tcPr>
            <w:tcW w:w="851" w:type="dxa"/>
            <w:vMerge w:val="restart"/>
            <w:tcBorders>
              <w:top w:val="single" w:sz="4" w:space="0" w:color="auto"/>
              <w:left w:val="single" w:sz="4" w:space="0" w:color="auto"/>
              <w:right w:val="single" w:sz="4" w:space="0" w:color="auto"/>
            </w:tcBorders>
            <w:vAlign w:val="center"/>
          </w:tcPr>
          <w:p w14:paraId="00F0F370" w14:textId="77777777" w:rsidR="002B6A7E" w:rsidRPr="00B44B19" w:rsidRDefault="002B6A7E" w:rsidP="002B6A7E">
            <w:pPr>
              <w:rPr>
                <w:rFonts w:ascii="Times New Roman" w:hAnsi="Times New Roman" w:cs="Times New Roman"/>
                <w:color w:val="000000"/>
                <w:sz w:val="16"/>
                <w:szCs w:val="16"/>
              </w:rPr>
            </w:pPr>
            <w:r w:rsidRPr="00B44B19">
              <w:rPr>
                <w:rFonts w:ascii="Times New Roman" w:hAnsi="Times New Roman" w:cs="Times New Roman"/>
                <w:color w:val="000000"/>
                <w:sz w:val="16"/>
                <w:szCs w:val="16"/>
              </w:rPr>
              <w:t>7. Skaitmeninė infrastruktūra</w:t>
            </w:r>
          </w:p>
        </w:tc>
        <w:tc>
          <w:tcPr>
            <w:tcW w:w="850" w:type="dxa"/>
            <w:vMerge w:val="restart"/>
            <w:tcBorders>
              <w:top w:val="single" w:sz="4" w:space="0" w:color="auto"/>
              <w:left w:val="single" w:sz="4" w:space="0" w:color="auto"/>
              <w:right w:val="single" w:sz="4" w:space="0" w:color="auto"/>
            </w:tcBorders>
            <w:vAlign w:val="center"/>
          </w:tcPr>
          <w:p w14:paraId="36B7C3B0" w14:textId="77777777" w:rsidR="002B6A7E" w:rsidRPr="00B44B19" w:rsidRDefault="002B6A7E" w:rsidP="002B6A7E">
            <w:pPr>
              <w:rPr>
                <w:rFonts w:ascii="Times New Roman" w:hAnsi="Times New Roman" w:cs="Times New Roman"/>
                <w:color w:val="000000"/>
                <w:sz w:val="16"/>
                <w:szCs w:val="16"/>
              </w:rPr>
            </w:pPr>
            <w:r w:rsidRPr="00B44B19">
              <w:rPr>
                <w:rFonts w:ascii="Times New Roman" w:hAnsi="Times New Roman" w:cs="Times New Roman"/>
                <w:color w:val="000000"/>
                <w:sz w:val="16"/>
                <w:szCs w:val="16"/>
              </w:rPr>
              <w:t>viešasis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DB1307" w14:textId="77777777" w:rsidR="002B6A7E" w:rsidRPr="00B44B19" w:rsidRDefault="002B6A7E" w:rsidP="002B6A7E">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6975BB8C" w14:textId="77777777" w:rsidR="002B6A7E" w:rsidRPr="00B44B19" w:rsidRDefault="002B6A7E" w:rsidP="002B6A7E">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vAlign w:val="center"/>
          </w:tcPr>
          <w:p w14:paraId="64A8D90D"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1 210 847</w:t>
            </w:r>
          </w:p>
        </w:tc>
        <w:tc>
          <w:tcPr>
            <w:tcW w:w="1276" w:type="dxa"/>
            <w:tcBorders>
              <w:top w:val="single" w:sz="4" w:space="0" w:color="auto"/>
              <w:left w:val="single" w:sz="4" w:space="0" w:color="auto"/>
              <w:bottom w:val="single" w:sz="4" w:space="0" w:color="auto"/>
              <w:right w:val="single" w:sz="4" w:space="0" w:color="auto"/>
            </w:tcBorders>
            <w:vAlign w:val="center"/>
          </w:tcPr>
          <w:p w14:paraId="3C9BB6D8"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992 445</w:t>
            </w:r>
          </w:p>
        </w:tc>
        <w:tc>
          <w:tcPr>
            <w:tcW w:w="1134" w:type="dxa"/>
            <w:tcBorders>
              <w:top w:val="single" w:sz="4" w:space="0" w:color="auto"/>
              <w:left w:val="single" w:sz="4" w:space="0" w:color="auto"/>
              <w:bottom w:val="single" w:sz="4" w:space="0" w:color="auto"/>
              <w:right w:val="single" w:sz="4" w:space="0" w:color="auto"/>
            </w:tcBorders>
            <w:vAlign w:val="center"/>
          </w:tcPr>
          <w:p w14:paraId="3CC23E42"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34 735</w:t>
            </w:r>
          </w:p>
        </w:tc>
        <w:tc>
          <w:tcPr>
            <w:tcW w:w="1134" w:type="dxa"/>
            <w:tcBorders>
              <w:top w:val="single" w:sz="4" w:space="0" w:color="auto"/>
              <w:left w:val="single" w:sz="4" w:space="0" w:color="auto"/>
              <w:bottom w:val="single" w:sz="4" w:space="0" w:color="auto"/>
              <w:right w:val="single" w:sz="4" w:space="0" w:color="auto"/>
            </w:tcBorders>
            <w:vAlign w:val="center"/>
          </w:tcPr>
          <w:p w14:paraId="02DB2FE4"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177 456</w:t>
            </w:r>
          </w:p>
        </w:tc>
        <w:tc>
          <w:tcPr>
            <w:tcW w:w="992" w:type="dxa"/>
            <w:tcBorders>
              <w:top w:val="single" w:sz="4" w:space="0" w:color="auto"/>
              <w:left w:val="single" w:sz="4" w:space="0" w:color="auto"/>
              <w:bottom w:val="single" w:sz="4" w:space="0" w:color="auto"/>
              <w:right w:val="single" w:sz="4" w:space="0" w:color="auto"/>
            </w:tcBorders>
            <w:vAlign w:val="center"/>
          </w:tcPr>
          <w:p w14:paraId="2DC8DD00"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6 211</w:t>
            </w:r>
          </w:p>
        </w:tc>
        <w:tc>
          <w:tcPr>
            <w:tcW w:w="1276" w:type="dxa"/>
            <w:tcBorders>
              <w:top w:val="single" w:sz="4" w:space="0" w:color="auto"/>
              <w:left w:val="single" w:sz="4" w:space="0" w:color="auto"/>
              <w:bottom w:val="single" w:sz="4" w:space="0" w:color="auto"/>
              <w:right w:val="single" w:sz="4" w:space="0" w:color="auto"/>
            </w:tcBorders>
          </w:tcPr>
          <w:p w14:paraId="0DD31210" w14:textId="465A6AEF"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807 232</w:t>
            </w:r>
          </w:p>
        </w:tc>
        <w:tc>
          <w:tcPr>
            <w:tcW w:w="1134" w:type="dxa"/>
            <w:tcBorders>
              <w:top w:val="single" w:sz="4" w:space="0" w:color="auto"/>
              <w:left w:val="single" w:sz="4" w:space="0" w:color="auto"/>
              <w:bottom w:val="single" w:sz="4" w:space="0" w:color="auto"/>
              <w:right w:val="single" w:sz="4" w:space="0" w:color="auto"/>
            </w:tcBorders>
          </w:tcPr>
          <w:p w14:paraId="756897BF" w14:textId="15C52BD8"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807 232</w:t>
            </w:r>
          </w:p>
        </w:tc>
        <w:tc>
          <w:tcPr>
            <w:tcW w:w="1134" w:type="dxa"/>
            <w:tcBorders>
              <w:top w:val="single" w:sz="4" w:space="0" w:color="auto"/>
              <w:left w:val="single" w:sz="4" w:space="0" w:color="auto"/>
              <w:bottom w:val="single" w:sz="4" w:space="0" w:color="auto"/>
              <w:right w:val="single" w:sz="4" w:space="0" w:color="auto"/>
            </w:tcBorders>
          </w:tcPr>
          <w:p w14:paraId="48927378" w14:textId="68FC48B0"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3564B0D0" w14:textId="482FA8DA"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2 018 079</w:t>
            </w:r>
          </w:p>
        </w:tc>
        <w:tc>
          <w:tcPr>
            <w:tcW w:w="709" w:type="dxa"/>
            <w:tcBorders>
              <w:top w:val="single" w:sz="4" w:space="0" w:color="auto"/>
              <w:left w:val="single" w:sz="4" w:space="0" w:color="auto"/>
              <w:bottom w:val="single" w:sz="4" w:space="0" w:color="auto"/>
              <w:right w:val="single" w:sz="4" w:space="0" w:color="auto"/>
            </w:tcBorders>
          </w:tcPr>
          <w:p w14:paraId="72DFFCD1" w14:textId="676D938D" w:rsidR="002B6A7E" w:rsidRPr="00B44B19" w:rsidRDefault="002B6A7E" w:rsidP="002B6A7E">
            <w:pPr>
              <w:jc w:val="center"/>
              <w:rPr>
                <w:rFonts w:ascii="Times New Roman" w:hAnsi="Times New Roman" w:cs="Times New Roman"/>
                <w:color w:val="000000"/>
                <w:sz w:val="16"/>
                <w:szCs w:val="16"/>
              </w:rPr>
            </w:pPr>
            <w:r w:rsidRPr="00B44B19">
              <w:rPr>
                <w:rFonts w:ascii="Times New Roman" w:hAnsi="Times New Roman" w:cs="Times New Roman"/>
                <w:sz w:val="16"/>
                <w:szCs w:val="16"/>
              </w:rPr>
              <w:t>60 %</w:t>
            </w:r>
          </w:p>
        </w:tc>
      </w:tr>
      <w:tr w:rsidR="002B6A7E" w:rsidRPr="00B44B19" w14:paraId="7F5D17C9" w14:textId="77777777" w:rsidTr="00D27D25">
        <w:tc>
          <w:tcPr>
            <w:tcW w:w="568" w:type="dxa"/>
            <w:vMerge/>
            <w:tcBorders>
              <w:bottom w:val="single" w:sz="4" w:space="0" w:color="auto"/>
              <w:right w:val="single" w:sz="4" w:space="0" w:color="auto"/>
            </w:tcBorders>
            <w:vAlign w:val="center"/>
          </w:tcPr>
          <w:p w14:paraId="1FED38FF" w14:textId="77777777" w:rsidR="002B6A7E" w:rsidRPr="00B44B19" w:rsidRDefault="002B6A7E" w:rsidP="002B6A7E">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6AB0628E" w14:textId="77777777" w:rsidR="002B6A7E" w:rsidRPr="00B44B19" w:rsidRDefault="002B6A7E" w:rsidP="002B6A7E">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0BC1CC36" w14:textId="77777777" w:rsidR="002B6A7E" w:rsidRPr="00B44B19" w:rsidRDefault="002B6A7E" w:rsidP="002B6A7E">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C3F94D" w14:textId="77777777" w:rsidR="002B6A7E" w:rsidRPr="00B44B19" w:rsidRDefault="002B6A7E" w:rsidP="002B6A7E">
            <w:pPr>
              <w:rPr>
                <w:rFonts w:ascii="Times New Roman" w:hAnsi="Times New Roman" w:cs="Times New Roman"/>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0D3FD5F8" w14:textId="77777777" w:rsidR="002B6A7E" w:rsidRPr="00B44B19" w:rsidRDefault="002B6A7E" w:rsidP="002B6A7E">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5003A26"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24 664 154</w:t>
            </w:r>
          </w:p>
        </w:tc>
        <w:tc>
          <w:tcPr>
            <w:tcW w:w="1276" w:type="dxa"/>
            <w:tcBorders>
              <w:top w:val="single" w:sz="4" w:space="0" w:color="auto"/>
              <w:left w:val="single" w:sz="4" w:space="0" w:color="auto"/>
              <w:bottom w:val="single" w:sz="4" w:space="0" w:color="auto"/>
              <w:right w:val="single" w:sz="4" w:space="0" w:color="auto"/>
            </w:tcBorders>
            <w:vAlign w:val="center"/>
          </w:tcPr>
          <w:p w14:paraId="54C3A057"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20 138 822</w:t>
            </w:r>
          </w:p>
        </w:tc>
        <w:tc>
          <w:tcPr>
            <w:tcW w:w="1134" w:type="dxa"/>
            <w:tcBorders>
              <w:top w:val="single" w:sz="4" w:space="0" w:color="auto"/>
              <w:left w:val="single" w:sz="4" w:space="0" w:color="auto"/>
              <w:bottom w:val="single" w:sz="4" w:space="0" w:color="auto"/>
              <w:right w:val="single" w:sz="4" w:space="0" w:color="auto"/>
            </w:tcBorders>
            <w:vAlign w:val="center"/>
          </w:tcPr>
          <w:p w14:paraId="6FEB0FF4"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704 858</w:t>
            </w:r>
          </w:p>
        </w:tc>
        <w:tc>
          <w:tcPr>
            <w:tcW w:w="1134" w:type="dxa"/>
            <w:tcBorders>
              <w:top w:val="single" w:sz="4" w:space="0" w:color="auto"/>
              <w:left w:val="single" w:sz="4" w:space="0" w:color="auto"/>
              <w:bottom w:val="single" w:sz="4" w:space="0" w:color="auto"/>
              <w:right w:val="single" w:sz="4" w:space="0" w:color="auto"/>
            </w:tcBorders>
            <w:vAlign w:val="center"/>
          </w:tcPr>
          <w:p w14:paraId="27D0087E"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3 691 279</w:t>
            </w:r>
          </w:p>
        </w:tc>
        <w:tc>
          <w:tcPr>
            <w:tcW w:w="992" w:type="dxa"/>
            <w:tcBorders>
              <w:top w:val="single" w:sz="4" w:space="0" w:color="auto"/>
              <w:left w:val="single" w:sz="4" w:space="0" w:color="auto"/>
              <w:bottom w:val="single" w:sz="4" w:space="0" w:color="auto"/>
              <w:right w:val="single" w:sz="4" w:space="0" w:color="auto"/>
            </w:tcBorders>
            <w:vAlign w:val="center"/>
          </w:tcPr>
          <w:p w14:paraId="72E27F32" w14:textId="77777777"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129 195</w:t>
            </w:r>
          </w:p>
        </w:tc>
        <w:tc>
          <w:tcPr>
            <w:tcW w:w="1276" w:type="dxa"/>
            <w:tcBorders>
              <w:top w:val="single" w:sz="4" w:space="0" w:color="auto"/>
              <w:left w:val="single" w:sz="4" w:space="0" w:color="auto"/>
              <w:bottom w:val="single" w:sz="4" w:space="0" w:color="auto"/>
              <w:right w:val="single" w:sz="4" w:space="0" w:color="auto"/>
            </w:tcBorders>
          </w:tcPr>
          <w:p w14:paraId="76368E8E" w14:textId="71C278B0"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1 298 114</w:t>
            </w:r>
          </w:p>
        </w:tc>
        <w:tc>
          <w:tcPr>
            <w:tcW w:w="1134" w:type="dxa"/>
            <w:tcBorders>
              <w:top w:val="single" w:sz="4" w:space="0" w:color="auto"/>
              <w:left w:val="single" w:sz="4" w:space="0" w:color="auto"/>
              <w:bottom w:val="single" w:sz="4" w:space="0" w:color="auto"/>
              <w:right w:val="single" w:sz="4" w:space="0" w:color="auto"/>
            </w:tcBorders>
          </w:tcPr>
          <w:p w14:paraId="2607E548" w14:textId="4C9CEA6D"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1 298 114</w:t>
            </w:r>
          </w:p>
        </w:tc>
        <w:tc>
          <w:tcPr>
            <w:tcW w:w="1134" w:type="dxa"/>
            <w:tcBorders>
              <w:top w:val="single" w:sz="4" w:space="0" w:color="auto"/>
              <w:left w:val="single" w:sz="4" w:space="0" w:color="auto"/>
              <w:bottom w:val="single" w:sz="4" w:space="0" w:color="auto"/>
              <w:right w:val="single" w:sz="4" w:space="0" w:color="auto"/>
            </w:tcBorders>
          </w:tcPr>
          <w:p w14:paraId="17F3D333" w14:textId="5D4566E9"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7FFA0F69" w14:textId="3ADA466B" w:rsidR="002B6A7E" w:rsidRPr="00B44B19" w:rsidRDefault="002B6A7E" w:rsidP="002B6A7E">
            <w:pPr>
              <w:jc w:val="center"/>
              <w:rPr>
                <w:rFonts w:ascii="Times New Roman" w:hAnsi="Times New Roman" w:cs="Times New Roman"/>
                <w:sz w:val="16"/>
                <w:szCs w:val="16"/>
              </w:rPr>
            </w:pPr>
            <w:r w:rsidRPr="00B44B19">
              <w:rPr>
                <w:rFonts w:ascii="Times New Roman" w:hAnsi="Times New Roman" w:cs="Times New Roman"/>
                <w:sz w:val="16"/>
                <w:szCs w:val="16"/>
              </w:rPr>
              <w:t>25 962 268</w:t>
            </w:r>
          </w:p>
        </w:tc>
        <w:tc>
          <w:tcPr>
            <w:tcW w:w="709" w:type="dxa"/>
            <w:tcBorders>
              <w:top w:val="single" w:sz="4" w:space="0" w:color="auto"/>
              <w:left w:val="single" w:sz="4" w:space="0" w:color="auto"/>
              <w:bottom w:val="single" w:sz="4" w:space="0" w:color="auto"/>
              <w:right w:val="single" w:sz="4" w:space="0" w:color="auto"/>
            </w:tcBorders>
          </w:tcPr>
          <w:p w14:paraId="372E1EB7" w14:textId="62CC4325" w:rsidR="002B6A7E" w:rsidRPr="00B44B19" w:rsidRDefault="002B6A7E" w:rsidP="002B6A7E">
            <w:pPr>
              <w:jc w:val="center"/>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D01AB2" w:rsidRPr="00B44B19" w14:paraId="4DBD8F1F" w14:textId="77777777" w:rsidTr="003040E3">
        <w:tc>
          <w:tcPr>
            <w:tcW w:w="568" w:type="dxa"/>
            <w:vMerge w:val="restart"/>
            <w:tcBorders>
              <w:top w:val="single" w:sz="4" w:space="0" w:color="auto"/>
              <w:right w:val="single" w:sz="4" w:space="0" w:color="auto"/>
            </w:tcBorders>
            <w:vAlign w:val="center"/>
          </w:tcPr>
          <w:p w14:paraId="31667AE6" w14:textId="77777777" w:rsidR="00D01AB2" w:rsidRPr="00B44B19" w:rsidRDefault="00D01AB2" w:rsidP="008536C8">
            <w:pPr>
              <w:jc w:val="center"/>
              <w:rPr>
                <w:rFonts w:ascii="Times New Roman" w:hAnsi="Times New Roman" w:cs="Times New Roman"/>
                <w:color w:val="000000"/>
                <w:sz w:val="16"/>
                <w:szCs w:val="16"/>
              </w:rPr>
            </w:pPr>
            <w:r w:rsidRPr="00B44B19">
              <w:rPr>
                <w:rFonts w:ascii="Times New Roman" w:hAnsi="Times New Roman" w:cs="Times New Roman"/>
                <w:color w:val="000000"/>
                <w:sz w:val="16"/>
                <w:szCs w:val="16"/>
              </w:rPr>
              <w:t>2.</w:t>
            </w:r>
          </w:p>
        </w:tc>
        <w:tc>
          <w:tcPr>
            <w:tcW w:w="851" w:type="dxa"/>
            <w:vMerge w:val="restart"/>
            <w:tcBorders>
              <w:top w:val="single" w:sz="4" w:space="0" w:color="auto"/>
              <w:left w:val="single" w:sz="4" w:space="0" w:color="auto"/>
              <w:right w:val="single" w:sz="4" w:space="0" w:color="auto"/>
            </w:tcBorders>
            <w:vAlign w:val="center"/>
          </w:tcPr>
          <w:p w14:paraId="43858D37" w14:textId="77777777" w:rsidR="00D01AB2" w:rsidRPr="00B44B19" w:rsidRDefault="00D01AB2" w:rsidP="008536C8">
            <w:pPr>
              <w:rPr>
                <w:rFonts w:ascii="Times New Roman" w:hAnsi="Times New Roman" w:cs="Times New Roman"/>
                <w:color w:val="000000"/>
                <w:sz w:val="16"/>
                <w:szCs w:val="16"/>
              </w:rPr>
            </w:pPr>
            <w:r w:rsidRPr="00B44B19">
              <w:rPr>
                <w:rFonts w:ascii="Times New Roman" w:hAnsi="Times New Roman" w:cs="Times New Roman"/>
                <w:color w:val="000000"/>
                <w:sz w:val="16"/>
                <w:szCs w:val="16"/>
              </w:rPr>
              <w:t>8. Darnus judumas</w:t>
            </w:r>
          </w:p>
        </w:tc>
        <w:tc>
          <w:tcPr>
            <w:tcW w:w="850" w:type="dxa"/>
            <w:vMerge w:val="restart"/>
            <w:tcBorders>
              <w:top w:val="single" w:sz="4" w:space="0" w:color="auto"/>
              <w:left w:val="single" w:sz="4" w:space="0" w:color="auto"/>
              <w:right w:val="single" w:sz="4" w:space="0" w:color="auto"/>
            </w:tcBorders>
            <w:vAlign w:val="center"/>
          </w:tcPr>
          <w:p w14:paraId="7D256C9F" w14:textId="5138DF32" w:rsidR="00D01AB2" w:rsidRPr="00B44B19" w:rsidRDefault="00D01AB2" w:rsidP="008536C8">
            <w:pPr>
              <w:rPr>
                <w:rFonts w:ascii="Times New Roman" w:hAnsi="Times New Roman" w:cs="Times New Roman"/>
                <w:color w:val="000000"/>
                <w:sz w:val="16"/>
                <w:szCs w:val="16"/>
              </w:rPr>
            </w:pPr>
          </w:p>
          <w:p w14:paraId="758751A4" w14:textId="1FC50BC5" w:rsidR="00D01AB2" w:rsidRPr="00B44B19" w:rsidRDefault="00D01AB2" w:rsidP="008536C8">
            <w:pPr>
              <w:rPr>
                <w:rFonts w:ascii="Times New Roman" w:hAnsi="Times New Roman" w:cs="Times New Roman"/>
                <w:color w:val="000000"/>
                <w:sz w:val="16"/>
                <w:szCs w:val="16"/>
              </w:rPr>
            </w:pPr>
            <w:r w:rsidRPr="00B44B19">
              <w:rPr>
                <w:rFonts w:ascii="Times New Roman" w:hAnsi="Times New Roman" w:cs="Times New Roman"/>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6353F889" w14:textId="77777777" w:rsidR="00D01AB2" w:rsidRPr="00B44B19" w:rsidRDefault="00D01AB2" w:rsidP="008536C8">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77298A1" w14:textId="77777777" w:rsidR="00D01AB2" w:rsidRPr="00B44B19" w:rsidRDefault="00D01AB2" w:rsidP="008536C8">
            <w:pPr>
              <w:jc w:val="both"/>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725631CD" w14:textId="0DD76B91"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216 899 986</w:t>
            </w:r>
          </w:p>
        </w:tc>
        <w:tc>
          <w:tcPr>
            <w:tcW w:w="1276" w:type="dxa"/>
            <w:tcBorders>
              <w:top w:val="single" w:sz="4" w:space="0" w:color="auto"/>
              <w:left w:val="single" w:sz="4" w:space="0" w:color="auto"/>
              <w:bottom w:val="single" w:sz="4" w:space="0" w:color="auto"/>
              <w:right w:val="single" w:sz="4" w:space="0" w:color="auto"/>
            </w:tcBorders>
          </w:tcPr>
          <w:p w14:paraId="6FC17317" w14:textId="1C464A75"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209 565 204</w:t>
            </w:r>
          </w:p>
        </w:tc>
        <w:tc>
          <w:tcPr>
            <w:tcW w:w="1134" w:type="dxa"/>
            <w:tcBorders>
              <w:top w:val="single" w:sz="4" w:space="0" w:color="auto"/>
              <w:left w:val="single" w:sz="4" w:space="0" w:color="auto"/>
              <w:bottom w:val="single" w:sz="4" w:space="0" w:color="auto"/>
              <w:right w:val="single" w:sz="4" w:space="0" w:color="auto"/>
            </w:tcBorders>
          </w:tcPr>
          <w:p w14:paraId="6B692FAA" w14:textId="4FA3277F"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7 334 782</w:t>
            </w:r>
          </w:p>
        </w:tc>
        <w:tc>
          <w:tcPr>
            <w:tcW w:w="1134" w:type="dxa"/>
            <w:tcBorders>
              <w:top w:val="single" w:sz="4" w:space="0" w:color="auto"/>
              <w:left w:val="single" w:sz="4" w:space="0" w:color="auto"/>
              <w:bottom w:val="single" w:sz="4" w:space="0" w:color="auto"/>
              <w:right w:val="single" w:sz="4" w:space="0" w:color="auto"/>
            </w:tcBorders>
          </w:tcPr>
          <w:p w14:paraId="3D5685C4" w14:textId="412F076E"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B569788" w14:textId="443CEE10"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04000265" w14:textId="7085B340"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11 415 789</w:t>
            </w:r>
          </w:p>
        </w:tc>
        <w:tc>
          <w:tcPr>
            <w:tcW w:w="1134" w:type="dxa"/>
            <w:tcBorders>
              <w:top w:val="single" w:sz="4" w:space="0" w:color="auto"/>
              <w:left w:val="single" w:sz="4" w:space="0" w:color="auto"/>
              <w:bottom w:val="single" w:sz="4" w:space="0" w:color="auto"/>
              <w:right w:val="single" w:sz="4" w:space="0" w:color="auto"/>
            </w:tcBorders>
          </w:tcPr>
          <w:p w14:paraId="0F6882D5" w14:textId="543A9D7A"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11 100 789</w:t>
            </w:r>
          </w:p>
        </w:tc>
        <w:tc>
          <w:tcPr>
            <w:tcW w:w="1134" w:type="dxa"/>
            <w:tcBorders>
              <w:top w:val="single" w:sz="4" w:space="0" w:color="auto"/>
              <w:left w:val="single" w:sz="4" w:space="0" w:color="auto"/>
              <w:bottom w:val="single" w:sz="4" w:space="0" w:color="auto"/>
              <w:right w:val="single" w:sz="4" w:space="0" w:color="auto"/>
            </w:tcBorders>
          </w:tcPr>
          <w:p w14:paraId="376FEA50" w14:textId="67B83BA4"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315 000</w:t>
            </w:r>
          </w:p>
        </w:tc>
        <w:tc>
          <w:tcPr>
            <w:tcW w:w="1275" w:type="dxa"/>
            <w:tcBorders>
              <w:top w:val="single" w:sz="4" w:space="0" w:color="auto"/>
              <w:left w:val="single" w:sz="4" w:space="0" w:color="auto"/>
              <w:bottom w:val="single" w:sz="4" w:space="0" w:color="auto"/>
              <w:right w:val="single" w:sz="4" w:space="0" w:color="auto"/>
            </w:tcBorders>
          </w:tcPr>
          <w:p w14:paraId="5B7CDD19" w14:textId="21D4F91E"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228 315 775</w:t>
            </w:r>
          </w:p>
        </w:tc>
        <w:tc>
          <w:tcPr>
            <w:tcW w:w="709" w:type="dxa"/>
            <w:tcBorders>
              <w:top w:val="single" w:sz="4" w:space="0" w:color="auto"/>
              <w:left w:val="single" w:sz="4" w:space="0" w:color="auto"/>
              <w:bottom w:val="single" w:sz="4" w:space="0" w:color="auto"/>
              <w:right w:val="single" w:sz="4" w:space="0" w:color="auto"/>
            </w:tcBorders>
          </w:tcPr>
          <w:p w14:paraId="603AE059" w14:textId="0265B504" w:rsidR="00D01AB2" w:rsidRPr="00B44B19" w:rsidRDefault="00D01AB2" w:rsidP="008536C8">
            <w:pPr>
              <w:jc w:val="center"/>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D01AB2" w:rsidRPr="00B44B19" w14:paraId="30D5ABED" w14:textId="77777777" w:rsidTr="003040E3">
        <w:tc>
          <w:tcPr>
            <w:tcW w:w="568" w:type="dxa"/>
            <w:vMerge/>
            <w:tcBorders>
              <w:bottom w:val="single" w:sz="4" w:space="0" w:color="auto"/>
              <w:right w:val="single" w:sz="4" w:space="0" w:color="auto"/>
            </w:tcBorders>
            <w:vAlign w:val="center"/>
          </w:tcPr>
          <w:p w14:paraId="7C287B77" w14:textId="77777777" w:rsidR="00D01AB2" w:rsidRPr="00B44B19" w:rsidRDefault="00D01AB2" w:rsidP="008536C8">
            <w:pP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vAlign w:val="center"/>
          </w:tcPr>
          <w:p w14:paraId="381570F4" w14:textId="77777777" w:rsidR="00D01AB2" w:rsidRPr="00B44B19" w:rsidRDefault="00D01AB2" w:rsidP="008536C8">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99B09B3" w14:textId="0D93E0D8" w:rsidR="00D01AB2" w:rsidRPr="00B44B19" w:rsidRDefault="00D01AB2" w:rsidP="008536C8">
            <w:pPr>
              <w:rPr>
                <w:rFonts w:ascii="Times New Roman" w:hAnsi="Times New Roman" w:cs="Times New Roman"/>
                <w:sz w:val="16"/>
                <w:szCs w:val="16"/>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14:paraId="3BCFCF53" w14:textId="77777777" w:rsidR="00D01AB2" w:rsidRPr="00B44B19" w:rsidRDefault="00D01AB2" w:rsidP="008536C8">
            <w:pPr>
              <w:rPr>
                <w:rFonts w:ascii="Times New Roman" w:hAnsi="Times New Roman" w:cs="Times New Roman"/>
                <w:sz w:val="16"/>
                <w:szCs w:val="16"/>
              </w:rPr>
            </w:pPr>
            <w:r w:rsidRPr="00B44B19">
              <w:rPr>
                <w:rFonts w:ascii="Times New Roman" w:hAnsi="Times New Roman" w:cs="Times New Roman"/>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bottom"/>
          </w:tcPr>
          <w:p w14:paraId="2E517EF1" w14:textId="77777777" w:rsidR="00D01AB2" w:rsidRPr="00B44B19" w:rsidRDefault="00D01AB2" w:rsidP="008536C8">
            <w:pPr>
              <w:rPr>
                <w:rFonts w:ascii="Times New Roman" w:hAnsi="Times New Roman" w:cs="Times New Roman"/>
                <w:sz w:val="16"/>
                <w:szCs w:val="16"/>
              </w:rPr>
            </w:pPr>
            <w:r w:rsidRPr="00B44B19">
              <w:rPr>
                <w:rFonts w:ascii="Times New Roman" w:hAnsi="Times New Roman" w:cs="Times New Roman"/>
                <w:color w:val="000000"/>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7FAA96" w14:textId="77777777"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51 250 000</w:t>
            </w:r>
          </w:p>
        </w:tc>
        <w:tc>
          <w:tcPr>
            <w:tcW w:w="1276" w:type="dxa"/>
            <w:tcBorders>
              <w:top w:val="single" w:sz="4" w:space="0" w:color="auto"/>
              <w:left w:val="single" w:sz="4" w:space="0" w:color="auto"/>
              <w:bottom w:val="single" w:sz="4" w:space="0" w:color="auto"/>
              <w:right w:val="single" w:sz="4" w:space="0" w:color="auto"/>
            </w:tcBorders>
            <w:vAlign w:val="center"/>
          </w:tcPr>
          <w:p w14:paraId="47BFF776" w14:textId="77777777"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42 264 155</w:t>
            </w:r>
          </w:p>
        </w:tc>
        <w:tc>
          <w:tcPr>
            <w:tcW w:w="1134" w:type="dxa"/>
            <w:tcBorders>
              <w:top w:val="single" w:sz="4" w:space="0" w:color="auto"/>
              <w:left w:val="single" w:sz="4" w:space="0" w:color="auto"/>
              <w:bottom w:val="single" w:sz="4" w:space="0" w:color="auto"/>
              <w:right w:val="single" w:sz="4" w:space="0" w:color="auto"/>
            </w:tcBorders>
            <w:vAlign w:val="center"/>
          </w:tcPr>
          <w:p w14:paraId="2A8541D6" w14:textId="77777777"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1 056 604</w:t>
            </w:r>
          </w:p>
        </w:tc>
        <w:tc>
          <w:tcPr>
            <w:tcW w:w="1134" w:type="dxa"/>
            <w:tcBorders>
              <w:top w:val="single" w:sz="4" w:space="0" w:color="auto"/>
              <w:left w:val="single" w:sz="4" w:space="0" w:color="auto"/>
              <w:bottom w:val="single" w:sz="4" w:space="0" w:color="auto"/>
              <w:right w:val="single" w:sz="4" w:space="0" w:color="auto"/>
            </w:tcBorders>
            <w:vAlign w:val="center"/>
          </w:tcPr>
          <w:p w14:paraId="553B6BA8" w14:textId="77777777"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7 735 845</w:t>
            </w:r>
          </w:p>
        </w:tc>
        <w:tc>
          <w:tcPr>
            <w:tcW w:w="992" w:type="dxa"/>
            <w:tcBorders>
              <w:top w:val="single" w:sz="4" w:space="0" w:color="auto"/>
              <w:left w:val="single" w:sz="4" w:space="0" w:color="auto"/>
              <w:bottom w:val="single" w:sz="4" w:space="0" w:color="auto"/>
              <w:right w:val="single" w:sz="4" w:space="0" w:color="auto"/>
            </w:tcBorders>
            <w:vAlign w:val="center"/>
          </w:tcPr>
          <w:p w14:paraId="639DFFB8" w14:textId="77777777"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193 396</w:t>
            </w:r>
          </w:p>
        </w:tc>
        <w:tc>
          <w:tcPr>
            <w:tcW w:w="1276" w:type="dxa"/>
            <w:tcBorders>
              <w:top w:val="single" w:sz="4" w:space="0" w:color="auto"/>
              <w:left w:val="single" w:sz="4" w:space="0" w:color="auto"/>
              <w:bottom w:val="single" w:sz="4" w:space="0" w:color="auto"/>
              <w:right w:val="single" w:sz="4" w:space="0" w:color="auto"/>
            </w:tcBorders>
          </w:tcPr>
          <w:p w14:paraId="3F682111" w14:textId="12DE0803"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2 697 369</w:t>
            </w:r>
          </w:p>
        </w:tc>
        <w:tc>
          <w:tcPr>
            <w:tcW w:w="1134" w:type="dxa"/>
            <w:tcBorders>
              <w:top w:val="single" w:sz="4" w:space="0" w:color="auto"/>
              <w:left w:val="single" w:sz="4" w:space="0" w:color="auto"/>
              <w:bottom w:val="single" w:sz="4" w:space="0" w:color="auto"/>
              <w:right w:val="single" w:sz="4" w:space="0" w:color="auto"/>
            </w:tcBorders>
          </w:tcPr>
          <w:p w14:paraId="18C9603F" w14:textId="6AE61F59"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2 567 957</w:t>
            </w:r>
          </w:p>
        </w:tc>
        <w:tc>
          <w:tcPr>
            <w:tcW w:w="1134" w:type="dxa"/>
            <w:tcBorders>
              <w:top w:val="single" w:sz="4" w:space="0" w:color="auto"/>
              <w:left w:val="single" w:sz="4" w:space="0" w:color="auto"/>
              <w:bottom w:val="single" w:sz="4" w:space="0" w:color="auto"/>
              <w:right w:val="single" w:sz="4" w:space="0" w:color="auto"/>
            </w:tcBorders>
          </w:tcPr>
          <w:p w14:paraId="007E06EA" w14:textId="194D9C62"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129 412</w:t>
            </w:r>
          </w:p>
        </w:tc>
        <w:tc>
          <w:tcPr>
            <w:tcW w:w="1275" w:type="dxa"/>
            <w:tcBorders>
              <w:top w:val="single" w:sz="4" w:space="0" w:color="auto"/>
              <w:left w:val="single" w:sz="4" w:space="0" w:color="auto"/>
              <w:bottom w:val="single" w:sz="4" w:space="0" w:color="auto"/>
              <w:right w:val="single" w:sz="4" w:space="0" w:color="auto"/>
            </w:tcBorders>
          </w:tcPr>
          <w:p w14:paraId="7DDBF10E" w14:textId="5175299A" w:rsidR="00D01AB2" w:rsidRPr="00B44B19" w:rsidRDefault="00D01AB2" w:rsidP="008536C8">
            <w:pPr>
              <w:jc w:val="center"/>
              <w:rPr>
                <w:rFonts w:ascii="Times New Roman" w:hAnsi="Times New Roman" w:cs="Times New Roman"/>
                <w:sz w:val="16"/>
                <w:szCs w:val="16"/>
              </w:rPr>
            </w:pPr>
            <w:r w:rsidRPr="00B44B19">
              <w:rPr>
                <w:rFonts w:ascii="Times New Roman" w:hAnsi="Times New Roman" w:cs="Times New Roman"/>
                <w:sz w:val="16"/>
                <w:szCs w:val="16"/>
              </w:rPr>
              <w:t>53 947 369</w:t>
            </w:r>
          </w:p>
        </w:tc>
        <w:tc>
          <w:tcPr>
            <w:tcW w:w="709" w:type="dxa"/>
            <w:tcBorders>
              <w:top w:val="single" w:sz="4" w:space="0" w:color="auto"/>
              <w:left w:val="single" w:sz="4" w:space="0" w:color="auto"/>
              <w:bottom w:val="single" w:sz="4" w:space="0" w:color="auto"/>
              <w:right w:val="single" w:sz="4" w:space="0" w:color="auto"/>
            </w:tcBorders>
          </w:tcPr>
          <w:p w14:paraId="79BBB32D" w14:textId="16C9D629" w:rsidR="00D01AB2" w:rsidRPr="00B44B19" w:rsidRDefault="00D01AB2" w:rsidP="008536C8">
            <w:pPr>
              <w:jc w:val="center"/>
              <w:rPr>
                <w:rFonts w:ascii="Times New Roman" w:hAnsi="Times New Roman" w:cs="Times New Roman"/>
                <w:color w:val="000000"/>
                <w:sz w:val="16"/>
                <w:szCs w:val="16"/>
              </w:rPr>
            </w:pPr>
            <w:r w:rsidRPr="00B44B19">
              <w:rPr>
                <w:rFonts w:ascii="Times New Roman" w:hAnsi="Times New Roman" w:cs="Times New Roman"/>
                <w:sz w:val="16"/>
                <w:szCs w:val="16"/>
              </w:rPr>
              <w:t>95 %</w:t>
            </w:r>
          </w:p>
        </w:tc>
      </w:tr>
      <w:tr w:rsidR="008536C8" w:rsidRPr="00B44B19" w14:paraId="6C06BC28" w14:textId="77777777" w:rsidTr="00D27D25">
        <w:tc>
          <w:tcPr>
            <w:tcW w:w="568" w:type="dxa"/>
            <w:tcBorders>
              <w:bottom w:val="single" w:sz="4" w:space="0" w:color="auto"/>
              <w:right w:val="single" w:sz="4" w:space="0" w:color="auto"/>
            </w:tcBorders>
            <w:vAlign w:val="center"/>
          </w:tcPr>
          <w:p w14:paraId="10317034" w14:textId="77777777" w:rsidR="008536C8" w:rsidRPr="00B44B19" w:rsidRDefault="008536C8" w:rsidP="008536C8">
            <w:pPr>
              <w:rPr>
                <w:rFonts w:ascii="Times New Roman" w:hAnsi="Times New Roman" w:cs="Times New Roman"/>
                <w:b/>
                <w:sz w:val="16"/>
                <w:szCs w:val="16"/>
              </w:rPr>
            </w:pPr>
          </w:p>
        </w:tc>
        <w:tc>
          <w:tcPr>
            <w:tcW w:w="851" w:type="dxa"/>
            <w:vMerge w:val="restart"/>
            <w:tcBorders>
              <w:left w:val="single" w:sz="4" w:space="0" w:color="auto"/>
              <w:right w:val="single" w:sz="4" w:space="0" w:color="auto"/>
            </w:tcBorders>
            <w:vAlign w:val="center"/>
          </w:tcPr>
          <w:p w14:paraId="53AA2AD8" w14:textId="77777777" w:rsidR="008536C8" w:rsidRPr="00B44B19" w:rsidRDefault="008536C8" w:rsidP="008536C8">
            <w:pPr>
              <w:rPr>
                <w:rFonts w:ascii="Times New Roman" w:hAnsi="Times New Roman" w:cs="Times New Roman"/>
                <w:b/>
                <w:sz w:val="16"/>
                <w:szCs w:val="16"/>
              </w:rPr>
            </w:pPr>
            <w:r w:rsidRPr="00B44B19">
              <w:rPr>
                <w:rFonts w:ascii="Times New Roman" w:hAnsi="Times New Roman" w:cs="Times New Roman"/>
                <w:b/>
                <w:sz w:val="16"/>
                <w:szCs w:val="16"/>
              </w:rPr>
              <w:t>9. Teisingos pertvarkos fondas</w:t>
            </w:r>
          </w:p>
        </w:tc>
        <w:tc>
          <w:tcPr>
            <w:tcW w:w="850" w:type="dxa"/>
            <w:tcBorders>
              <w:left w:val="single" w:sz="4" w:space="0" w:color="auto"/>
              <w:bottom w:val="single" w:sz="4" w:space="0" w:color="auto"/>
              <w:right w:val="single" w:sz="4" w:space="0" w:color="auto"/>
            </w:tcBorders>
            <w:vAlign w:val="center"/>
          </w:tcPr>
          <w:p w14:paraId="423A83E6"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color w:val="000000"/>
                <w:sz w:val="16"/>
                <w:szCs w:val="16"/>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59E2E9D1" w14:textId="77777777" w:rsidR="008536C8" w:rsidRPr="00B44B19" w:rsidRDefault="008536C8" w:rsidP="008536C8">
            <w:pPr>
              <w:jc w:val="center"/>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TPF</w:t>
            </w:r>
          </w:p>
        </w:tc>
        <w:tc>
          <w:tcPr>
            <w:tcW w:w="851" w:type="dxa"/>
            <w:tcBorders>
              <w:top w:val="single" w:sz="4" w:space="0" w:color="auto"/>
              <w:left w:val="single" w:sz="4" w:space="0" w:color="auto"/>
              <w:bottom w:val="single" w:sz="4" w:space="0" w:color="auto"/>
              <w:right w:val="single" w:sz="4" w:space="0" w:color="auto"/>
            </w:tcBorders>
            <w:vAlign w:val="center"/>
          </w:tcPr>
          <w:p w14:paraId="7130D9E7" w14:textId="77777777" w:rsidR="008536C8" w:rsidRPr="00B44B19" w:rsidRDefault="008536C8" w:rsidP="008536C8">
            <w:pPr>
              <w:jc w:val="center"/>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Ištekliai pagal TPF reglamento 3 str.</w:t>
            </w:r>
          </w:p>
        </w:tc>
        <w:tc>
          <w:tcPr>
            <w:tcW w:w="992" w:type="dxa"/>
            <w:tcBorders>
              <w:top w:val="single" w:sz="4" w:space="0" w:color="auto"/>
              <w:left w:val="single" w:sz="4" w:space="0" w:color="auto"/>
              <w:bottom w:val="single" w:sz="4" w:space="0" w:color="auto"/>
              <w:right w:val="single" w:sz="4" w:space="0" w:color="auto"/>
            </w:tcBorders>
            <w:vAlign w:val="center"/>
          </w:tcPr>
          <w:p w14:paraId="7A247118" w14:textId="77777777" w:rsidR="008536C8" w:rsidRPr="00B44B19" w:rsidRDefault="008536C8" w:rsidP="008536C8">
            <w:pPr>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6313A16C"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119 653 040</w:t>
            </w:r>
          </w:p>
        </w:tc>
        <w:tc>
          <w:tcPr>
            <w:tcW w:w="1276" w:type="dxa"/>
            <w:tcBorders>
              <w:top w:val="single" w:sz="4" w:space="0" w:color="auto"/>
              <w:left w:val="single" w:sz="4" w:space="0" w:color="auto"/>
              <w:bottom w:val="single" w:sz="4" w:space="0" w:color="auto"/>
              <w:right w:val="single" w:sz="4" w:space="0" w:color="auto"/>
            </w:tcBorders>
            <w:vAlign w:val="center"/>
          </w:tcPr>
          <w:p w14:paraId="0324A83F"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97 793 674</w:t>
            </w:r>
          </w:p>
        </w:tc>
        <w:tc>
          <w:tcPr>
            <w:tcW w:w="1134" w:type="dxa"/>
            <w:tcBorders>
              <w:top w:val="single" w:sz="4" w:space="0" w:color="auto"/>
              <w:left w:val="single" w:sz="4" w:space="0" w:color="auto"/>
              <w:bottom w:val="single" w:sz="4" w:space="0" w:color="auto"/>
              <w:right w:val="single" w:sz="4" w:space="0" w:color="auto"/>
            </w:tcBorders>
            <w:vAlign w:val="center"/>
          </w:tcPr>
          <w:p w14:paraId="30571D9A"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3 911 747</w:t>
            </w:r>
          </w:p>
        </w:tc>
        <w:tc>
          <w:tcPr>
            <w:tcW w:w="1134" w:type="dxa"/>
            <w:tcBorders>
              <w:top w:val="single" w:sz="4" w:space="0" w:color="auto"/>
              <w:left w:val="single" w:sz="4" w:space="0" w:color="auto"/>
              <w:bottom w:val="single" w:sz="4" w:space="0" w:color="auto"/>
              <w:right w:val="single" w:sz="4" w:space="0" w:color="auto"/>
            </w:tcBorders>
            <w:vAlign w:val="center"/>
          </w:tcPr>
          <w:p w14:paraId="191776F0"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17 257 326</w:t>
            </w:r>
          </w:p>
        </w:tc>
        <w:tc>
          <w:tcPr>
            <w:tcW w:w="992" w:type="dxa"/>
            <w:tcBorders>
              <w:top w:val="single" w:sz="4" w:space="0" w:color="auto"/>
              <w:left w:val="single" w:sz="4" w:space="0" w:color="auto"/>
              <w:bottom w:val="single" w:sz="4" w:space="0" w:color="auto"/>
              <w:right w:val="single" w:sz="4" w:space="0" w:color="auto"/>
            </w:tcBorders>
            <w:vAlign w:val="center"/>
          </w:tcPr>
          <w:p w14:paraId="343AA570"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690 293</w:t>
            </w:r>
          </w:p>
        </w:tc>
        <w:tc>
          <w:tcPr>
            <w:tcW w:w="1276" w:type="dxa"/>
            <w:tcBorders>
              <w:top w:val="single" w:sz="4" w:space="0" w:color="auto"/>
              <w:left w:val="single" w:sz="4" w:space="0" w:color="auto"/>
              <w:bottom w:val="single" w:sz="4" w:space="0" w:color="auto"/>
              <w:right w:val="single" w:sz="4" w:space="0" w:color="auto"/>
            </w:tcBorders>
          </w:tcPr>
          <w:p w14:paraId="48E981C5" w14:textId="582994DF"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6 297 529</w:t>
            </w:r>
          </w:p>
        </w:tc>
        <w:tc>
          <w:tcPr>
            <w:tcW w:w="1134" w:type="dxa"/>
            <w:tcBorders>
              <w:top w:val="single" w:sz="4" w:space="0" w:color="auto"/>
              <w:left w:val="single" w:sz="4" w:space="0" w:color="auto"/>
              <w:bottom w:val="single" w:sz="4" w:space="0" w:color="auto"/>
              <w:right w:val="single" w:sz="4" w:space="0" w:color="auto"/>
            </w:tcBorders>
          </w:tcPr>
          <w:p w14:paraId="4124325E" w14:textId="4E410EC5"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1 243 198</w:t>
            </w:r>
          </w:p>
        </w:tc>
        <w:tc>
          <w:tcPr>
            <w:tcW w:w="1134" w:type="dxa"/>
            <w:tcBorders>
              <w:top w:val="single" w:sz="4" w:space="0" w:color="auto"/>
              <w:left w:val="single" w:sz="4" w:space="0" w:color="auto"/>
              <w:bottom w:val="single" w:sz="4" w:space="0" w:color="auto"/>
              <w:right w:val="single" w:sz="4" w:space="0" w:color="auto"/>
            </w:tcBorders>
          </w:tcPr>
          <w:p w14:paraId="24AD04C9" w14:textId="30E07AA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5 054 331</w:t>
            </w:r>
          </w:p>
        </w:tc>
        <w:tc>
          <w:tcPr>
            <w:tcW w:w="1275" w:type="dxa"/>
            <w:tcBorders>
              <w:top w:val="single" w:sz="4" w:space="0" w:color="auto"/>
              <w:left w:val="single" w:sz="4" w:space="0" w:color="auto"/>
              <w:bottom w:val="single" w:sz="4" w:space="0" w:color="auto"/>
              <w:right w:val="single" w:sz="4" w:space="0" w:color="auto"/>
            </w:tcBorders>
          </w:tcPr>
          <w:p w14:paraId="1C9D552F" w14:textId="2ECE1F6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125 950 569</w:t>
            </w:r>
          </w:p>
        </w:tc>
        <w:tc>
          <w:tcPr>
            <w:tcW w:w="709" w:type="dxa"/>
            <w:tcBorders>
              <w:top w:val="single" w:sz="4" w:space="0" w:color="auto"/>
              <w:left w:val="single" w:sz="4" w:space="0" w:color="auto"/>
              <w:bottom w:val="single" w:sz="4" w:space="0" w:color="auto"/>
              <w:right w:val="single" w:sz="4" w:space="0" w:color="auto"/>
            </w:tcBorders>
          </w:tcPr>
          <w:p w14:paraId="5AD9AE76" w14:textId="349777E1" w:rsidR="008536C8" w:rsidRPr="00B44B19" w:rsidRDefault="008536C8" w:rsidP="008536C8">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95 %</w:t>
            </w:r>
          </w:p>
        </w:tc>
      </w:tr>
      <w:tr w:rsidR="008536C8" w:rsidRPr="00B44B19" w14:paraId="152AFE19" w14:textId="77777777" w:rsidTr="00D27D25">
        <w:tc>
          <w:tcPr>
            <w:tcW w:w="568" w:type="dxa"/>
            <w:tcBorders>
              <w:bottom w:val="single" w:sz="4" w:space="0" w:color="auto"/>
              <w:right w:val="single" w:sz="4" w:space="0" w:color="auto"/>
            </w:tcBorders>
            <w:vAlign w:val="center"/>
          </w:tcPr>
          <w:p w14:paraId="596D3BD2" w14:textId="77777777" w:rsidR="008536C8" w:rsidRPr="00B44B19" w:rsidRDefault="008536C8" w:rsidP="008536C8">
            <w:pPr>
              <w:rPr>
                <w:rFonts w:ascii="Times New Roman" w:hAnsi="Times New Roman" w:cs="Times New Roman"/>
                <w:b/>
                <w:sz w:val="16"/>
                <w:szCs w:val="16"/>
              </w:rPr>
            </w:pPr>
          </w:p>
        </w:tc>
        <w:tc>
          <w:tcPr>
            <w:tcW w:w="851" w:type="dxa"/>
            <w:vMerge/>
            <w:tcBorders>
              <w:left w:val="single" w:sz="4" w:space="0" w:color="auto"/>
              <w:bottom w:val="single" w:sz="4" w:space="0" w:color="auto"/>
              <w:right w:val="single" w:sz="4" w:space="0" w:color="auto"/>
            </w:tcBorders>
            <w:vAlign w:val="center"/>
          </w:tcPr>
          <w:p w14:paraId="4E9CD9B4" w14:textId="77777777" w:rsidR="008536C8" w:rsidRPr="00B44B19" w:rsidRDefault="008536C8" w:rsidP="008536C8">
            <w:pPr>
              <w:rPr>
                <w:rFonts w:ascii="Times New Roman" w:hAnsi="Times New Roman" w:cs="Times New Roman"/>
                <w:b/>
                <w:sz w:val="16"/>
                <w:szCs w:val="16"/>
              </w:rPr>
            </w:pPr>
          </w:p>
        </w:tc>
        <w:tc>
          <w:tcPr>
            <w:tcW w:w="850" w:type="dxa"/>
            <w:tcBorders>
              <w:left w:val="single" w:sz="4" w:space="0" w:color="auto"/>
              <w:bottom w:val="single" w:sz="4" w:space="0" w:color="auto"/>
              <w:right w:val="single" w:sz="4" w:space="0" w:color="auto"/>
            </w:tcBorders>
            <w:vAlign w:val="center"/>
          </w:tcPr>
          <w:p w14:paraId="7258B63D"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color w:val="000000"/>
                <w:sz w:val="16"/>
                <w:szCs w:val="16"/>
              </w:rPr>
              <w:t>iš viso</w:t>
            </w:r>
          </w:p>
        </w:tc>
        <w:tc>
          <w:tcPr>
            <w:tcW w:w="567" w:type="dxa"/>
            <w:tcBorders>
              <w:top w:val="single" w:sz="4" w:space="0" w:color="auto"/>
              <w:left w:val="single" w:sz="4" w:space="0" w:color="auto"/>
              <w:bottom w:val="single" w:sz="4" w:space="0" w:color="auto"/>
              <w:right w:val="single" w:sz="4" w:space="0" w:color="auto"/>
            </w:tcBorders>
            <w:vAlign w:val="center"/>
          </w:tcPr>
          <w:p w14:paraId="505438EC" w14:textId="77777777" w:rsidR="008536C8" w:rsidRPr="00B44B19" w:rsidRDefault="008536C8" w:rsidP="008536C8">
            <w:pPr>
              <w:jc w:val="center"/>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TPF</w:t>
            </w:r>
          </w:p>
        </w:tc>
        <w:tc>
          <w:tcPr>
            <w:tcW w:w="851" w:type="dxa"/>
            <w:tcBorders>
              <w:top w:val="single" w:sz="4" w:space="0" w:color="auto"/>
              <w:left w:val="single" w:sz="4" w:space="0" w:color="auto"/>
              <w:bottom w:val="single" w:sz="4" w:space="0" w:color="auto"/>
              <w:right w:val="single" w:sz="4" w:space="0" w:color="auto"/>
            </w:tcBorders>
            <w:vAlign w:val="center"/>
          </w:tcPr>
          <w:p w14:paraId="4A188BD4" w14:textId="77777777" w:rsidR="008536C8" w:rsidRPr="00B44B19" w:rsidRDefault="008536C8" w:rsidP="008536C8">
            <w:pPr>
              <w:jc w:val="center"/>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 xml:space="preserve">Ištekliai pagal TPF </w:t>
            </w:r>
            <w:r w:rsidRPr="00B44B19">
              <w:rPr>
                <w:rFonts w:ascii="Times New Roman" w:hAnsi="Times New Roman" w:cs="Times New Roman"/>
                <w:b/>
                <w:color w:val="000000"/>
                <w:sz w:val="16"/>
                <w:szCs w:val="16"/>
              </w:rPr>
              <w:lastRenderedPageBreak/>
              <w:t>reglamento 4 str.</w:t>
            </w:r>
          </w:p>
        </w:tc>
        <w:tc>
          <w:tcPr>
            <w:tcW w:w="992" w:type="dxa"/>
            <w:tcBorders>
              <w:top w:val="single" w:sz="4" w:space="0" w:color="auto"/>
              <w:left w:val="single" w:sz="4" w:space="0" w:color="auto"/>
              <w:bottom w:val="single" w:sz="4" w:space="0" w:color="auto"/>
              <w:right w:val="single" w:sz="4" w:space="0" w:color="auto"/>
            </w:tcBorders>
            <w:vAlign w:val="center"/>
          </w:tcPr>
          <w:p w14:paraId="2AB9128B" w14:textId="77777777" w:rsidR="008536C8" w:rsidRPr="00B44B19" w:rsidRDefault="008536C8" w:rsidP="008536C8">
            <w:pPr>
              <w:rPr>
                <w:rFonts w:ascii="Times New Roman" w:hAnsi="Times New Roman" w:cs="Times New Roman"/>
                <w:b/>
                <w:color w:val="000000"/>
                <w:sz w:val="16"/>
                <w:szCs w:val="16"/>
              </w:rPr>
            </w:pPr>
            <w:r w:rsidRPr="00B44B19">
              <w:rPr>
                <w:rFonts w:ascii="Times New Roman" w:hAnsi="Times New Roman" w:cs="Times New Roman"/>
                <w:b/>
                <w:color w:val="000000"/>
                <w:sz w:val="16"/>
                <w:szCs w:val="16"/>
              </w:rPr>
              <w:lastRenderedPageBreak/>
              <w:t>VVL regionas</w:t>
            </w:r>
          </w:p>
        </w:tc>
        <w:tc>
          <w:tcPr>
            <w:tcW w:w="1134" w:type="dxa"/>
            <w:tcBorders>
              <w:top w:val="single" w:sz="4" w:space="0" w:color="auto"/>
              <w:left w:val="single" w:sz="4" w:space="0" w:color="auto"/>
              <w:bottom w:val="single" w:sz="4" w:space="0" w:color="auto"/>
              <w:right w:val="single" w:sz="4" w:space="0" w:color="auto"/>
            </w:tcBorders>
            <w:vAlign w:val="center"/>
          </w:tcPr>
          <w:p w14:paraId="19091FC3"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153 606 222</w:t>
            </w:r>
          </w:p>
        </w:tc>
        <w:tc>
          <w:tcPr>
            <w:tcW w:w="1276" w:type="dxa"/>
            <w:tcBorders>
              <w:top w:val="single" w:sz="4" w:space="0" w:color="auto"/>
              <w:left w:val="single" w:sz="4" w:space="0" w:color="auto"/>
              <w:bottom w:val="single" w:sz="4" w:space="0" w:color="auto"/>
              <w:right w:val="single" w:sz="4" w:space="0" w:color="auto"/>
            </w:tcBorders>
            <w:vAlign w:val="center"/>
          </w:tcPr>
          <w:p w14:paraId="0E143756"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147 698 291</w:t>
            </w:r>
          </w:p>
        </w:tc>
        <w:tc>
          <w:tcPr>
            <w:tcW w:w="1134" w:type="dxa"/>
            <w:tcBorders>
              <w:top w:val="single" w:sz="4" w:space="0" w:color="auto"/>
              <w:left w:val="single" w:sz="4" w:space="0" w:color="auto"/>
              <w:bottom w:val="single" w:sz="4" w:space="0" w:color="auto"/>
              <w:right w:val="single" w:sz="4" w:space="0" w:color="auto"/>
            </w:tcBorders>
            <w:vAlign w:val="center"/>
          </w:tcPr>
          <w:p w14:paraId="389B9A43"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5 907 931</w:t>
            </w:r>
          </w:p>
        </w:tc>
        <w:tc>
          <w:tcPr>
            <w:tcW w:w="1134" w:type="dxa"/>
            <w:tcBorders>
              <w:top w:val="single" w:sz="4" w:space="0" w:color="auto"/>
              <w:left w:val="single" w:sz="4" w:space="0" w:color="auto"/>
              <w:bottom w:val="single" w:sz="4" w:space="0" w:color="auto"/>
              <w:right w:val="single" w:sz="4" w:space="0" w:color="auto"/>
            </w:tcBorders>
            <w:vAlign w:val="center"/>
          </w:tcPr>
          <w:p w14:paraId="4479C2C6"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E31F5E2" w14:textId="77777777"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b/>
                <w:sz w:val="16"/>
                <w:szCs w:val="16"/>
              </w:rPr>
              <w:t>0,00</w:t>
            </w:r>
          </w:p>
        </w:tc>
        <w:tc>
          <w:tcPr>
            <w:tcW w:w="1276" w:type="dxa"/>
            <w:tcBorders>
              <w:top w:val="single" w:sz="4" w:space="0" w:color="auto"/>
              <w:left w:val="single" w:sz="4" w:space="0" w:color="auto"/>
              <w:bottom w:val="single" w:sz="4" w:space="0" w:color="auto"/>
              <w:right w:val="single" w:sz="4" w:space="0" w:color="auto"/>
            </w:tcBorders>
          </w:tcPr>
          <w:p w14:paraId="2DB28B50" w14:textId="31DEB4D4"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8 084 539</w:t>
            </w:r>
          </w:p>
        </w:tc>
        <w:tc>
          <w:tcPr>
            <w:tcW w:w="1134" w:type="dxa"/>
            <w:tcBorders>
              <w:top w:val="single" w:sz="4" w:space="0" w:color="auto"/>
              <w:left w:val="single" w:sz="4" w:space="0" w:color="auto"/>
              <w:bottom w:val="single" w:sz="4" w:space="0" w:color="auto"/>
              <w:right w:val="single" w:sz="4" w:space="0" w:color="auto"/>
            </w:tcBorders>
          </w:tcPr>
          <w:p w14:paraId="359735FC" w14:textId="47CBE46F"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84 279</w:t>
            </w:r>
          </w:p>
        </w:tc>
        <w:tc>
          <w:tcPr>
            <w:tcW w:w="1134" w:type="dxa"/>
            <w:tcBorders>
              <w:top w:val="single" w:sz="4" w:space="0" w:color="auto"/>
              <w:left w:val="single" w:sz="4" w:space="0" w:color="auto"/>
              <w:bottom w:val="single" w:sz="4" w:space="0" w:color="auto"/>
              <w:right w:val="single" w:sz="4" w:space="0" w:color="auto"/>
            </w:tcBorders>
          </w:tcPr>
          <w:p w14:paraId="04FEC7B0" w14:textId="740751BC"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8 000 260</w:t>
            </w:r>
          </w:p>
        </w:tc>
        <w:tc>
          <w:tcPr>
            <w:tcW w:w="1275" w:type="dxa"/>
            <w:tcBorders>
              <w:top w:val="single" w:sz="4" w:space="0" w:color="auto"/>
              <w:left w:val="single" w:sz="4" w:space="0" w:color="auto"/>
              <w:bottom w:val="single" w:sz="4" w:space="0" w:color="auto"/>
              <w:right w:val="single" w:sz="4" w:space="0" w:color="auto"/>
            </w:tcBorders>
          </w:tcPr>
          <w:p w14:paraId="3D3F54D3" w14:textId="57D78A36" w:rsidR="008536C8" w:rsidRPr="00B44B19" w:rsidRDefault="008536C8" w:rsidP="008536C8">
            <w:pPr>
              <w:jc w:val="center"/>
              <w:rPr>
                <w:rFonts w:ascii="Times New Roman" w:hAnsi="Times New Roman" w:cs="Times New Roman"/>
                <w:b/>
                <w:sz w:val="16"/>
                <w:szCs w:val="16"/>
              </w:rPr>
            </w:pPr>
            <w:r w:rsidRPr="00B44B19">
              <w:rPr>
                <w:rFonts w:ascii="Times New Roman" w:hAnsi="Times New Roman" w:cs="Times New Roman"/>
                <w:sz w:val="16"/>
                <w:szCs w:val="16"/>
              </w:rPr>
              <w:t>161 690 761</w:t>
            </w:r>
          </w:p>
        </w:tc>
        <w:tc>
          <w:tcPr>
            <w:tcW w:w="709" w:type="dxa"/>
            <w:tcBorders>
              <w:top w:val="single" w:sz="4" w:space="0" w:color="auto"/>
              <w:left w:val="single" w:sz="4" w:space="0" w:color="auto"/>
              <w:bottom w:val="single" w:sz="4" w:space="0" w:color="auto"/>
              <w:right w:val="single" w:sz="4" w:space="0" w:color="auto"/>
            </w:tcBorders>
          </w:tcPr>
          <w:p w14:paraId="41A5EABC" w14:textId="02DE2FA2" w:rsidR="008536C8" w:rsidRPr="00B44B19" w:rsidRDefault="008536C8" w:rsidP="008536C8">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95 %</w:t>
            </w:r>
          </w:p>
        </w:tc>
      </w:tr>
      <w:tr w:rsidR="00960459" w:rsidRPr="00B44B19" w14:paraId="76EBBBBB" w14:textId="77777777" w:rsidTr="003040E3">
        <w:trPr>
          <w:trHeight w:val="729"/>
        </w:trPr>
        <w:tc>
          <w:tcPr>
            <w:tcW w:w="568" w:type="dxa"/>
            <w:tcBorders>
              <w:bottom w:val="single" w:sz="4" w:space="0" w:color="auto"/>
              <w:right w:val="single" w:sz="4" w:space="0" w:color="auto"/>
            </w:tcBorders>
            <w:vAlign w:val="center"/>
          </w:tcPr>
          <w:p w14:paraId="2D62C9B8" w14:textId="77777777" w:rsidR="00960459" w:rsidRPr="00B44B19" w:rsidRDefault="00960459" w:rsidP="003040E3">
            <w:pPr>
              <w:rPr>
                <w:rFonts w:ascii="Times New Roman" w:hAnsi="Times New Roman" w:cs="Times New Roman"/>
                <w:b/>
                <w:sz w:val="16"/>
                <w:szCs w:val="16"/>
              </w:rPr>
            </w:pPr>
          </w:p>
        </w:tc>
        <w:tc>
          <w:tcPr>
            <w:tcW w:w="851" w:type="dxa"/>
            <w:vMerge w:val="restart"/>
            <w:tcBorders>
              <w:left w:val="single" w:sz="4" w:space="0" w:color="auto"/>
              <w:right w:val="single" w:sz="4" w:space="0" w:color="auto"/>
            </w:tcBorders>
            <w:vAlign w:val="center"/>
          </w:tcPr>
          <w:p w14:paraId="41E15A01" w14:textId="77777777" w:rsidR="00960459" w:rsidRPr="00B44B19" w:rsidRDefault="00960459" w:rsidP="003040E3">
            <w:pPr>
              <w:rPr>
                <w:rFonts w:ascii="Times New Roman" w:hAnsi="Times New Roman" w:cs="Times New Roman"/>
                <w:b/>
                <w:sz w:val="16"/>
                <w:szCs w:val="16"/>
              </w:rPr>
            </w:pPr>
            <w:r w:rsidRPr="00B44B19">
              <w:rPr>
                <w:rFonts w:ascii="Times New Roman" w:hAnsi="Times New Roman" w:cs="Times New Roman"/>
                <w:bCs/>
                <w:sz w:val="16"/>
                <w:szCs w:val="16"/>
              </w:rPr>
              <w:t>10. Europos strateginių technologijų platforma (STEP</w:t>
            </w:r>
            <w:r w:rsidRPr="00B44B19">
              <w:rPr>
                <w:rFonts w:ascii="Times New Roman" w:hAnsi="Times New Roman" w:cs="Times New Roman"/>
                <w:b/>
                <w:sz w:val="16"/>
                <w:szCs w:val="16"/>
              </w:rPr>
              <w:t>)</w:t>
            </w:r>
          </w:p>
        </w:tc>
        <w:tc>
          <w:tcPr>
            <w:tcW w:w="850" w:type="dxa"/>
            <w:tcBorders>
              <w:left w:val="single" w:sz="4" w:space="0" w:color="auto"/>
              <w:bottom w:val="single" w:sz="4" w:space="0" w:color="auto"/>
              <w:right w:val="single" w:sz="4" w:space="0" w:color="auto"/>
            </w:tcBorders>
            <w:vAlign w:val="center"/>
          </w:tcPr>
          <w:p w14:paraId="7D46C11C" w14:textId="77777777" w:rsidR="00960459" w:rsidRPr="00B44B19" w:rsidRDefault="00960459" w:rsidP="003040E3">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E6B4CD4" w14:textId="77777777" w:rsidR="00960459" w:rsidRPr="00B44B19" w:rsidRDefault="00960459" w:rsidP="003040E3">
            <w:pPr>
              <w:rPr>
                <w:rFonts w:ascii="Times New Roman" w:hAnsi="Times New Roman" w:cs="Times New Roman"/>
                <w:b/>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156F2C06" w14:textId="77777777" w:rsidR="00960459" w:rsidRPr="00B44B19" w:rsidRDefault="00960459" w:rsidP="003040E3">
            <w:pPr>
              <w:rPr>
                <w:rFonts w:ascii="Times New Roman" w:hAnsi="Times New Roman" w:cs="Times New Roman"/>
                <w:b/>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64F88ED6" w14:textId="77777777" w:rsidR="00960459" w:rsidRPr="00B44B19" w:rsidRDefault="00960459" w:rsidP="003040E3">
            <w:pPr>
              <w:jc w:val="center"/>
              <w:rPr>
                <w:rFonts w:ascii="Times New Roman" w:eastAsia="TimesNewRoman" w:hAnsi="Times New Roman" w:cs="Times New Roman"/>
                <w:color w:val="000000"/>
                <w:sz w:val="16"/>
                <w:szCs w:val="16"/>
              </w:rPr>
            </w:pPr>
          </w:p>
          <w:p w14:paraId="2E8C8B79"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35 288 790</w:t>
            </w:r>
          </w:p>
        </w:tc>
        <w:tc>
          <w:tcPr>
            <w:tcW w:w="1276" w:type="dxa"/>
            <w:tcBorders>
              <w:top w:val="single" w:sz="4" w:space="0" w:color="auto"/>
              <w:left w:val="single" w:sz="4" w:space="0" w:color="auto"/>
              <w:bottom w:val="single" w:sz="4" w:space="0" w:color="auto"/>
              <w:right w:val="single" w:sz="4" w:space="0" w:color="auto"/>
            </w:tcBorders>
          </w:tcPr>
          <w:p w14:paraId="60CF71BA" w14:textId="77777777" w:rsidR="00960459" w:rsidRPr="00B44B19" w:rsidRDefault="00960459" w:rsidP="003040E3">
            <w:pPr>
              <w:jc w:val="center"/>
              <w:rPr>
                <w:rFonts w:ascii="Times New Roman" w:eastAsia="TimesNewRoman" w:hAnsi="Times New Roman" w:cs="Times New Roman"/>
                <w:color w:val="000000"/>
                <w:sz w:val="16"/>
                <w:szCs w:val="16"/>
              </w:rPr>
            </w:pPr>
          </w:p>
          <w:p w14:paraId="114AE56F"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28 800 205</w:t>
            </w:r>
          </w:p>
        </w:tc>
        <w:tc>
          <w:tcPr>
            <w:tcW w:w="1134" w:type="dxa"/>
            <w:tcBorders>
              <w:top w:val="single" w:sz="4" w:space="0" w:color="auto"/>
              <w:left w:val="single" w:sz="4" w:space="0" w:color="auto"/>
              <w:bottom w:val="single" w:sz="4" w:space="0" w:color="auto"/>
              <w:right w:val="single" w:sz="4" w:space="0" w:color="auto"/>
            </w:tcBorders>
          </w:tcPr>
          <w:p w14:paraId="01508648" w14:textId="77777777" w:rsidR="00960459" w:rsidRPr="00B44B19" w:rsidRDefault="00960459" w:rsidP="003040E3">
            <w:pPr>
              <w:jc w:val="center"/>
              <w:rPr>
                <w:rFonts w:ascii="Times New Roman" w:eastAsia="TimesNewRoman" w:hAnsi="Times New Roman" w:cs="Times New Roman"/>
                <w:color w:val="000000"/>
                <w:sz w:val="16"/>
                <w:szCs w:val="16"/>
              </w:rPr>
            </w:pPr>
          </w:p>
          <w:p w14:paraId="093C190E"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1 008 006</w:t>
            </w:r>
          </w:p>
        </w:tc>
        <w:tc>
          <w:tcPr>
            <w:tcW w:w="1134" w:type="dxa"/>
            <w:tcBorders>
              <w:top w:val="single" w:sz="4" w:space="0" w:color="auto"/>
              <w:left w:val="single" w:sz="4" w:space="0" w:color="auto"/>
              <w:bottom w:val="single" w:sz="4" w:space="0" w:color="auto"/>
              <w:right w:val="single" w:sz="4" w:space="0" w:color="auto"/>
            </w:tcBorders>
          </w:tcPr>
          <w:p w14:paraId="6199D798" w14:textId="77777777" w:rsidR="00960459" w:rsidRPr="00B44B19" w:rsidRDefault="00960459" w:rsidP="003040E3">
            <w:pPr>
              <w:jc w:val="center"/>
              <w:rPr>
                <w:rFonts w:ascii="Times New Roman" w:eastAsia="TimesNewRoman" w:hAnsi="Times New Roman" w:cs="Times New Roman"/>
                <w:color w:val="000000"/>
                <w:sz w:val="16"/>
                <w:szCs w:val="16"/>
              </w:rPr>
            </w:pPr>
          </w:p>
          <w:p w14:paraId="65F0DFAF"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5 295 245</w:t>
            </w:r>
          </w:p>
        </w:tc>
        <w:tc>
          <w:tcPr>
            <w:tcW w:w="992" w:type="dxa"/>
            <w:tcBorders>
              <w:top w:val="single" w:sz="4" w:space="0" w:color="auto"/>
              <w:left w:val="single" w:sz="4" w:space="0" w:color="auto"/>
              <w:bottom w:val="single" w:sz="4" w:space="0" w:color="auto"/>
              <w:right w:val="single" w:sz="4" w:space="0" w:color="auto"/>
            </w:tcBorders>
          </w:tcPr>
          <w:p w14:paraId="64C22FAA" w14:textId="77777777" w:rsidR="00960459" w:rsidRPr="00B44B19" w:rsidRDefault="00960459" w:rsidP="003040E3">
            <w:pPr>
              <w:jc w:val="center"/>
              <w:rPr>
                <w:rFonts w:ascii="Times New Roman" w:eastAsia="TimesNewRoman" w:hAnsi="Times New Roman" w:cs="Times New Roman"/>
                <w:color w:val="000000"/>
                <w:sz w:val="16"/>
                <w:szCs w:val="16"/>
              </w:rPr>
            </w:pPr>
          </w:p>
          <w:p w14:paraId="08AB669A"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185 334</w:t>
            </w:r>
          </w:p>
        </w:tc>
        <w:tc>
          <w:tcPr>
            <w:tcW w:w="1276" w:type="dxa"/>
            <w:tcBorders>
              <w:top w:val="single" w:sz="4" w:space="0" w:color="auto"/>
              <w:left w:val="single" w:sz="4" w:space="0" w:color="auto"/>
              <w:bottom w:val="single" w:sz="4" w:space="0" w:color="auto"/>
              <w:right w:val="single" w:sz="4" w:space="0" w:color="auto"/>
            </w:tcBorders>
          </w:tcPr>
          <w:p w14:paraId="328BCD41" w14:textId="77777777" w:rsidR="00960459" w:rsidRPr="00B44B19" w:rsidRDefault="00960459" w:rsidP="003040E3">
            <w:pPr>
              <w:jc w:val="center"/>
              <w:rPr>
                <w:rFonts w:ascii="Times New Roman" w:eastAsia="TimesNewRoman" w:hAnsi="Times New Roman" w:cs="Times New Roman"/>
                <w:color w:val="000000"/>
                <w:sz w:val="16"/>
                <w:szCs w:val="16"/>
              </w:rPr>
            </w:pPr>
          </w:p>
          <w:p w14:paraId="384E1001"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25C8C497" w14:textId="77777777" w:rsidR="00960459" w:rsidRPr="00B44B19" w:rsidRDefault="00960459" w:rsidP="003040E3">
            <w:pPr>
              <w:jc w:val="center"/>
              <w:rPr>
                <w:rFonts w:ascii="Times New Roman" w:eastAsia="TimesNewRoman" w:hAnsi="Times New Roman" w:cs="Times New Roman"/>
                <w:color w:val="000000"/>
                <w:sz w:val="16"/>
                <w:szCs w:val="16"/>
              </w:rPr>
            </w:pPr>
          </w:p>
          <w:p w14:paraId="222AA09C"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58604CA6" w14:textId="77777777" w:rsidR="00960459" w:rsidRPr="00B44B19" w:rsidRDefault="00960459" w:rsidP="003040E3">
            <w:pPr>
              <w:jc w:val="center"/>
              <w:rPr>
                <w:rFonts w:ascii="Times New Roman" w:eastAsia="TimesNewRoman" w:hAnsi="Times New Roman" w:cs="Times New Roman"/>
                <w:color w:val="000000"/>
                <w:sz w:val="16"/>
                <w:szCs w:val="16"/>
              </w:rPr>
            </w:pPr>
          </w:p>
          <w:p w14:paraId="01695D31"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228CEF5" w14:textId="77777777" w:rsidR="00960459" w:rsidRPr="00B44B19" w:rsidRDefault="00960459" w:rsidP="003040E3">
            <w:pPr>
              <w:jc w:val="center"/>
              <w:rPr>
                <w:rFonts w:ascii="Times New Roman" w:eastAsia="TimesNewRoman" w:hAnsi="Times New Roman" w:cs="Times New Roman"/>
                <w:color w:val="000000"/>
                <w:sz w:val="16"/>
                <w:szCs w:val="16"/>
              </w:rPr>
            </w:pPr>
          </w:p>
          <w:p w14:paraId="329862A6"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35 288 790</w:t>
            </w:r>
          </w:p>
        </w:tc>
        <w:tc>
          <w:tcPr>
            <w:tcW w:w="709" w:type="dxa"/>
            <w:tcBorders>
              <w:top w:val="single" w:sz="4" w:space="0" w:color="auto"/>
              <w:left w:val="single" w:sz="4" w:space="0" w:color="auto"/>
              <w:bottom w:val="single" w:sz="4" w:space="0" w:color="auto"/>
              <w:right w:val="single" w:sz="4" w:space="0" w:color="auto"/>
            </w:tcBorders>
          </w:tcPr>
          <w:p w14:paraId="1B0D50D9" w14:textId="77777777" w:rsidR="00960459" w:rsidRPr="00B44B19" w:rsidRDefault="00960459" w:rsidP="003040E3">
            <w:pPr>
              <w:jc w:val="center"/>
              <w:rPr>
                <w:rFonts w:ascii="Times New Roman" w:eastAsia="TimesNewRoman" w:hAnsi="Times New Roman" w:cs="Times New Roman"/>
                <w:color w:val="000000"/>
                <w:sz w:val="16"/>
                <w:szCs w:val="16"/>
              </w:rPr>
            </w:pPr>
          </w:p>
          <w:p w14:paraId="68E366CD" w14:textId="77777777" w:rsidR="00960459" w:rsidRPr="00B44B19" w:rsidRDefault="00960459" w:rsidP="003040E3">
            <w:pPr>
              <w:jc w:val="center"/>
              <w:rPr>
                <w:rFonts w:ascii="Times New Roman" w:hAnsi="Times New Roman" w:cs="Times New Roman"/>
                <w:b/>
                <w:color w:val="000000"/>
                <w:sz w:val="16"/>
                <w:szCs w:val="16"/>
              </w:rPr>
            </w:pPr>
            <w:r w:rsidRPr="00B44B19">
              <w:rPr>
                <w:rFonts w:ascii="Times New Roman" w:eastAsia="TimesNewRoman" w:hAnsi="Times New Roman" w:cs="Times New Roman"/>
                <w:color w:val="000000"/>
                <w:sz w:val="16"/>
                <w:szCs w:val="16"/>
              </w:rPr>
              <w:t>100 %</w:t>
            </w:r>
          </w:p>
        </w:tc>
      </w:tr>
      <w:tr w:rsidR="00960459" w:rsidRPr="00B44B19" w14:paraId="6059CE65" w14:textId="77777777" w:rsidTr="003040E3">
        <w:tc>
          <w:tcPr>
            <w:tcW w:w="568" w:type="dxa"/>
            <w:tcBorders>
              <w:bottom w:val="single" w:sz="4" w:space="0" w:color="auto"/>
              <w:right w:val="single" w:sz="4" w:space="0" w:color="auto"/>
            </w:tcBorders>
            <w:vAlign w:val="center"/>
          </w:tcPr>
          <w:p w14:paraId="4C8DFF67" w14:textId="77777777" w:rsidR="00960459" w:rsidRPr="00B44B19" w:rsidRDefault="00960459" w:rsidP="003040E3">
            <w:pPr>
              <w:rPr>
                <w:rFonts w:ascii="Times New Roman" w:hAnsi="Times New Roman" w:cs="Times New Roman"/>
                <w:b/>
                <w:sz w:val="16"/>
                <w:szCs w:val="16"/>
              </w:rPr>
            </w:pPr>
          </w:p>
        </w:tc>
        <w:tc>
          <w:tcPr>
            <w:tcW w:w="851" w:type="dxa"/>
            <w:vMerge/>
            <w:tcBorders>
              <w:left w:val="single" w:sz="4" w:space="0" w:color="auto"/>
              <w:bottom w:val="single" w:sz="4" w:space="0" w:color="auto"/>
              <w:right w:val="single" w:sz="4" w:space="0" w:color="auto"/>
            </w:tcBorders>
            <w:vAlign w:val="center"/>
          </w:tcPr>
          <w:p w14:paraId="7E8BDFAA" w14:textId="77777777" w:rsidR="00960459" w:rsidRPr="00B44B19" w:rsidRDefault="00960459" w:rsidP="003040E3">
            <w:pPr>
              <w:rPr>
                <w:rFonts w:ascii="Times New Roman" w:hAnsi="Times New Roman" w:cs="Times New Roman"/>
                <w:bCs/>
                <w:sz w:val="16"/>
                <w:szCs w:val="16"/>
              </w:rPr>
            </w:pPr>
          </w:p>
        </w:tc>
        <w:tc>
          <w:tcPr>
            <w:tcW w:w="850" w:type="dxa"/>
            <w:tcBorders>
              <w:left w:val="single" w:sz="4" w:space="0" w:color="auto"/>
              <w:bottom w:val="single" w:sz="4" w:space="0" w:color="auto"/>
              <w:right w:val="single" w:sz="4" w:space="0" w:color="auto"/>
            </w:tcBorders>
            <w:vAlign w:val="center"/>
          </w:tcPr>
          <w:p w14:paraId="57108760" w14:textId="77777777" w:rsidR="00960459" w:rsidRPr="00B44B19" w:rsidRDefault="00960459" w:rsidP="003040E3">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iš viso</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0264937" w14:textId="77777777" w:rsidR="00960459" w:rsidRPr="00B44B19" w:rsidRDefault="00960459" w:rsidP="003040E3">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47D38691" w14:textId="77777777" w:rsidR="00960459" w:rsidRPr="00B44B19" w:rsidRDefault="00960459" w:rsidP="003040E3">
            <w:pPr>
              <w:rPr>
                <w:rFonts w:ascii="Times New Roman" w:hAnsi="Times New Roman" w:cs="Times New Roman"/>
                <w:b/>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18DE3C60" w14:textId="77777777" w:rsidR="00960459" w:rsidRPr="00B44B19" w:rsidRDefault="00960459" w:rsidP="003040E3">
            <w:pPr>
              <w:jc w:val="center"/>
              <w:rPr>
                <w:rFonts w:ascii="Times New Roman" w:eastAsia="TimesNewRoman" w:hAnsi="Times New Roman" w:cs="Times New Roman"/>
                <w:color w:val="000000"/>
                <w:sz w:val="16"/>
                <w:szCs w:val="16"/>
              </w:rPr>
            </w:pPr>
          </w:p>
          <w:p w14:paraId="20BEDE3B"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23 265 894</w:t>
            </w:r>
          </w:p>
        </w:tc>
        <w:tc>
          <w:tcPr>
            <w:tcW w:w="1276" w:type="dxa"/>
            <w:tcBorders>
              <w:top w:val="single" w:sz="4" w:space="0" w:color="auto"/>
              <w:left w:val="single" w:sz="4" w:space="0" w:color="auto"/>
              <w:bottom w:val="single" w:sz="4" w:space="0" w:color="auto"/>
              <w:right w:val="single" w:sz="4" w:space="0" w:color="auto"/>
            </w:tcBorders>
          </w:tcPr>
          <w:p w14:paraId="55604F7B" w14:textId="77777777" w:rsidR="00960459" w:rsidRPr="00B44B19" w:rsidRDefault="00960459" w:rsidP="003040E3">
            <w:pPr>
              <w:jc w:val="center"/>
              <w:rPr>
                <w:rFonts w:ascii="Times New Roman" w:eastAsia="TimesNewRoman" w:hAnsi="Times New Roman" w:cs="Times New Roman"/>
                <w:color w:val="000000"/>
                <w:sz w:val="16"/>
                <w:szCs w:val="16"/>
              </w:rPr>
            </w:pPr>
          </w:p>
          <w:p w14:paraId="6AD5F78D"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18 935 612</w:t>
            </w:r>
          </w:p>
        </w:tc>
        <w:tc>
          <w:tcPr>
            <w:tcW w:w="1134" w:type="dxa"/>
            <w:tcBorders>
              <w:top w:val="single" w:sz="4" w:space="0" w:color="auto"/>
              <w:left w:val="single" w:sz="4" w:space="0" w:color="auto"/>
              <w:bottom w:val="single" w:sz="4" w:space="0" w:color="auto"/>
              <w:right w:val="single" w:sz="4" w:space="0" w:color="auto"/>
            </w:tcBorders>
          </w:tcPr>
          <w:p w14:paraId="2D86BC35" w14:textId="77777777" w:rsidR="00960459" w:rsidRPr="00B44B19" w:rsidRDefault="00960459" w:rsidP="003040E3">
            <w:pPr>
              <w:jc w:val="center"/>
              <w:rPr>
                <w:rFonts w:ascii="Times New Roman" w:eastAsia="TimesNewRoman" w:hAnsi="Times New Roman" w:cs="Times New Roman"/>
                <w:color w:val="000000"/>
                <w:sz w:val="16"/>
                <w:szCs w:val="16"/>
              </w:rPr>
            </w:pPr>
          </w:p>
          <w:p w14:paraId="24EF0AF5"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662 746</w:t>
            </w:r>
          </w:p>
        </w:tc>
        <w:tc>
          <w:tcPr>
            <w:tcW w:w="1134" w:type="dxa"/>
            <w:tcBorders>
              <w:top w:val="single" w:sz="4" w:space="0" w:color="auto"/>
              <w:left w:val="single" w:sz="4" w:space="0" w:color="auto"/>
              <w:bottom w:val="single" w:sz="4" w:space="0" w:color="auto"/>
              <w:right w:val="single" w:sz="4" w:space="0" w:color="auto"/>
            </w:tcBorders>
          </w:tcPr>
          <w:p w14:paraId="01841A58" w14:textId="77777777" w:rsidR="00960459" w:rsidRPr="00B44B19" w:rsidRDefault="00960459" w:rsidP="003040E3">
            <w:pPr>
              <w:jc w:val="center"/>
              <w:rPr>
                <w:rFonts w:ascii="Times New Roman" w:eastAsia="TimesNewRoman" w:hAnsi="Times New Roman" w:cs="Times New Roman"/>
                <w:color w:val="000000"/>
                <w:sz w:val="16"/>
                <w:szCs w:val="16"/>
              </w:rPr>
            </w:pPr>
          </w:p>
          <w:p w14:paraId="43F3646E"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3 543 513</w:t>
            </w:r>
          </w:p>
        </w:tc>
        <w:tc>
          <w:tcPr>
            <w:tcW w:w="992" w:type="dxa"/>
            <w:tcBorders>
              <w:top w:val="single" w:sz="4" w:space="0" w:color="auto"/>
              <w:left w:val="single" w:sz="4" w:space="0" w:color="auto"/>
              <w:bottom w:val="single" w:sz="4" w:space="0" w:color="auto"/>
              <w:right w:val="single" w:sz="4" w:space="0" w:color="auto"/>
            </w:tcBorders>
          </w:tcPr>
          <w:p w14:paraId="6B60AE38" w14:textId="77777777" w:rsidR="00960459" w:rsidRPr="00B44B19" w:rsidRDefault="00960459" w:rsidP="003040E3">
            <w:pPr>
              <w:jc w:val="center"/>
              <w:rPr>
                <w:rFonts w:ascii="Times New Roman" w:eastAsia="TimesNewRoman" w:hAnsi="Times New Roman" w:cs="Times New Roman"/>
                <w:color w:val="000000"/>
                <w:sz w:val="16"/>
                <w:szCs w:val="16"/>
              </w:rPr>
            </w:pPr>
          </w:p>
          <w:p w14:paraId="770892FA"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124 023</w:t>
            </w:r>
          </w:p>
        </w:tc>
        <w:tc>
          <w:tcPr>
            <w:tcW w:w="1276" w:type="dxa"/>
            <w:tcBorders>
              <w:top w:val="single" w:sz="4" w:space="0" w:color="auto"/>
              <w:left w:val="single" w:sz="4" w:space="0" w:color="auto"/>
              <w:bottom w:val="single" w:sz="4" w:space="0" w:color="auto"/>
              <w:right w:val="single" w:sz="4" w:space="0" w:color="auto"/>
            </w:tcBorders>
          </w:tcPr>
          <w:p w14:paraId="1EFB6BBF" w14:textId="77777777" w:rsidR="00960459" w:rsidRPr="00B44B19" w:rsidRDefault="00960459" w:rsidP="003040E3">
            <w:pPr>
              <w:jc w:val="center"/>
              <w:rPr>
                <w:rFonts w:ascii="Times New Roman" w:eastAsia="TimesNewRoman" w:hAnsi="Times New Roman" w:cs="Times New Roman"/>
                <w:color w:val="000000"/>
                <w:sz w:val="16"/>
                <w:szCs w:val="16"/>
              </w:rPr>
            </w:pPr>
          </w:p>
          <w:p w14:paraId="2E6139A8"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62EDAF81" w14:textId="77777777" w:rsidR="00960459" w:rsidRPr="00B44B19" w:rsidRDefault="00960459" w:rsidP="003040E3">
            <w:pPr>
              <w:jc w:val="center"/>
              <w:rPr>
                <w:rFonts w:ascii="Times New Roman" w:eastAsia="TimesNewRoman" w:hAnsi="Times New Roman" w:cs="Times New Roman"/>
                <w:color w:val="000000"/>
                <w:sz w:val="16"/>
                <w:szCs w:val="16"/>
              </w:rPr>
            </w:pPr>
          </w:p>
          <w:p w14:paraId="5372E105"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92F7200" w14:textId="77777777" w:rsidR="00960459" w:rsidRPr="00B44B19" w:rsidRDefault="00960459" w:rsidP="003040E3">
            <w:pPr>
              <w:jc w:val="center"/>
              <w:rPr>
                <w:rFonts w:ascii="Times New Roman" w:eastAsia="TimesNewRoman" w:hAnsi="Times New Roman" w:cs="Times New Roman"/>
                <w:color w:val="000000"/>
                <w:sz w:val="16"/>
                <w:szCs w:val="16"/>
              </w:rPr>
            </w:pPr>
          </w:p>
          <w:p w14:paraId="2C356D80"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18B698F3" w14:textId="77777777" w:rsidR="00960459" w:rsidRPr="00B44B19" w:rsidRDefault="00960459" w:rsidP="003040E3">
            <w:pPr>
              <w:jc w:val="center"/>
              <w:rPr>
                <w:rFonts w:ascii="Times New Roman" w:eastAsia="TimesNewRoman" w:hAnsi="Times New Roman" w:cs="Times New Roman"/>
                <w:color w:val="000000"/>
                <w:sz w:val="16"/>
                <w:szCs w:val="16"/>
              </w:rPr>
            </w:pPr>
          </w:p>
          <w:p w14:paraId="301666C3" w14:textId="77777777" w:rsidR="00960459" w:rsidRPr="00B44B19" w:rsidRDefault="00960459" w:rsidP="003040E3">
            <w:pPr>
              <w:jc w:val="center"/>
              <w:rPr>
                <w:rFonts w:ascii="Times New Roman" w:hAnsi="Times New Roman" w:cs="Times New Roman"/>
                <w:b/>
                <w:sz w:val="16"/>
                <w:szCs w:val="16"/>
              </w:rPr>
            </w:pPr>
            <w:r w:rsidRPr="00B44B19">
              <w:rPr>
                <w:rFonts w:ascii="Times New Roman" w:eastAsia="TimesNewRoman" w:hAnsi="Times New Roman" w:cs="Times New Roman"/>
                <w:color w:val="000000"/>
                <w:sz w:val="16"/>
                <w:szCs w:val="16"/>
              </w:rPr>
              <w:t>23 265 894</w:t>
            </w:r>
          </w:p>
        </w:tc>
        <w:tc>
          <w:tcPr>
            <w:tcW w:w="709" w:type="dxa"/>
            <w:tcBorders>
              <w:top w:val="single" w:sz="4" w:space="0" w:color="auto"/>
              <w:left w:val="single" w:sz="4" w:space="0" w:color="auto"/>
              <w:bottom w:val="single" w:sz="4" w:space="0" w:color="auto"/>
              <w:right w:val="single" w:sz="4" w:space="0" w:color="auto"/>
            </w:tcBorders>
          </w:tcPr>
          <w:p w14:paraId="6671216D" w14:textId="77777777" w:rsidR="00960459" w:rsidRPr="00B44B19" w:rsidRDefault="00960459" w:rsidP="003040E3">
            <w:pPr>
              <w:jc w:val="center"/>
              <w:rPr>
                <w:rFonts w:ascii="Times New Roman" w:eastAsia="TimesNewRoman" w:hAnsi="Times New Roman" w:cs="Times New Roman"/>
                <w:color w:val="000000"/>
                <w:sz w:val="16"/>
                <w:szCs w:val="16"/>
              </w:rPr>
            </w:pPr>
          </w:p>
          <w:p w14:paraId="1D1C4398" w14:textId="77777777" w:rsidR="00960459" w:rsidRPr="00B44B19" w:rsidRDefault="00960459" w:rsidP="003040E3">
            <w:pPr>
              <w:jc w:val="center"/>
              <w:rPr>
                <w:rFonts w:ascii="Times New Roman" w:hAnsi="Times New Roman" w:cs="Times New Roman"/>
                <w:b/>
                <w:color w:val="000000"/>
                <w:sz w:val="16"/>
                <w:szCs w:val="16"/>
              </w:rPr>
            </w:pPr>
            <w:r w:rsidRPr="00B44B19">
              <w:rPr>
                <w:rFonts w:ascii="Times New Roman" w:eastAsia="TimesNewRoman" w:hAnsi="Times New Roman" w:cs="Times New Roman"/>
                <w:color w:val="000000"/>
                <w:sz w:val="16"/>
                <w:szCs w:val="16"/>
              </w:rPr>
              <w:t>100 %</w:t>
            </w:r>
          </w:p>
        </w:tc>
      </w:tr>
      <w:tr w:rsidR="00287B8E" w:rsidRPr="00B44B19" w14:paraId="40FCF7FC" w14:textId="77777777" w:rsidTr="003040E3">
        <w:tc>
          <w:tcPr>
            <w:tcW w:w="568" w:type="dxa"/>
            <w:vMerge w:val="restart"/>
            <w:tcBorders>
              <w:right w:val="single" w:sz="4" w:space="0" w:color="auto"/>
            </w:tcBorders>
            <w:vAlign w:val="center"/>
          </w:tcPr>
          <w:p w14:paraId="72A81E28" w14:textId="3D533784" w:rsidR="00287B8E" w:rsidRPr="00B44B19" w:rsidRDefault="00287B8E" w:rsidP="00287B8E">
            <w:pPr>
              <w:rPr>
                <w:rFonts w:ascii="Times New Roman" w:hAnsi="Times New Roman" w:cs="Times New Roman"/>
                <w:bCs/>
                <w:sz w:val="16"/>
                <w:szCs w:val="16"/>
              </w:rPr>
            </w:pPr>
            <w:r w:rsidRPr="00B44B19">
              <w:rPr>
                <w:rFonts w:ascii="Times New Roman" w:hAnsi="Times New Roman" w:cs="Times New Roman"/>
                <w:bCs/>
                <w:sz w:val="16"/>
                <w:szCs w:val="16"/>
              </w:rPr>
              <w:t>1.</w:t>
            </w:r>
          </w:p>
        </w:tc>
        <w:tc>
          <w:tcPr>
            <w:tcW w:w="851" w:type="dxa"/>
            <w:vMerge w:val="restart"/>
            <w:tcBorders>
              <w:left w:val="single" w:sz="4" w:space="0" w:color="auto"/>
              <w:right w:val="single" w:sz="4" w:space="0" w:color="auto"/>
            </w:tcBorders>
            <w:vAlign w:val="center"/>
          </w:tcPr>
          <w:p w14:paraId="3699E350" w14:textId="11DEC017" w:rsidR="00287B8E" w:rsidRPr="00B44B19" w:rsidRDefault="00993654" w:rsidP="00287B8E">
            <w:pPr>
              <w:rPr>
                <w:rFonts w:ascii="Times New Roman" w:hAnsi="Times New Roman" w:cs="Times New Roman"/>
                <w:bCs/>
                <w:sz w:val="16"/>
                <w:szCs w:val="16"/>
              </w:rPr>
            </w:pPr>
            <w:r w:rsidRPr="00B44B19">
              <w:rPr>
                <w:rFonts w:ascii="Times New Roman" w:hAnsi="Times New Roman" w:cs="Times New Roman"/>
                <w:bCs/>
                <w:sz w:val="16"/>
                <w:szCs w:val="16"/>
              </w:rPr>
              <w:t>11.Gynybos ir saugumo pramonės stiprinimas</w:t>
            </w:r>
          </w:p>
        </w:tc>
        <w:tc>
          <w:tcPr>
            <w:tcW w:w="850" w:type="dxa"/>
            <w:vMerge w:val="restart"/>
            <w:tcBorders>
              <w:left w:val="single" w:sz="4" w:space="0" w:color="auto"/>
              <w:right w:val="single" w:sz="4" w:space="0" w:color="auto"/>
            </w:tcBorders>
            <w:vAlign w:val="center"/>
          </w:tcPr>
          <w:p w14:paraId="48B2346D" w14:textId="717D46A1" w:rsidR="00287B8E" w:rsidRPr="00B44B19" w:rsidRDefault="009D14C5" w:rsidP="00287B8E">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i</w:t>
            </w:r>
            <w:r w:rsidR="00287B8E" w:rsidRPr="00B44B19">
              <w:rPr>
                <w:rFonts w:ascii="Times New Roman" w:hAnsi="Times New Roman" w:cs="Times New Roman"/>
                <w:bCs/>
                <w:color w:val="000000"/>
                <w:sz w:val="16"/>
                <w:szCs w:val="16"/>
              </w:rPr>
              <w:t>š viso</w:t>
            </w:r>
          </w:p>
        </w:tc>
        <w:tc>
          <w:tcPr>
            <w:tcW w:w="1418" w:type="dxa"/>
            <w:gridSpan w:val="2"/>
            <w:vMerge w:val="restart"/>
            <w:tcBorders>
              <w:top w:val="single" w:sz="4" w:space="0" w:color="auto"/>
              <w:left w:val="single" w:sz="4" w:space="0" w:color="auto"/>
              <w:right w:val="single" w:sz="4" w:space="0" w:color="auto"/>
            </w:tcBorders>
            <w:vAlign w:val="center"/>
          </w:tcPr>
          <w:p w14:paraId="7792148F" w14:textId="634F2158" w:rsidR="00287B8E" w:rsidRPr="00B44B19" w:rsidRDefault="00287B8E" w:rsidP="00287B8E">
            <w:pPr>
              <w:rPr>
                <w:rFonts w:ascii="Times New Roman" w:hAnsi="Times New Roman" w:cs="Times New Roman"/>
                <w:color w:val="000000"/>
                <w:sz w:val="16"/>
                <w:szCs w:val="16"/>
              </w:rPr>
            </w:pPr>
            <w:r w:rsidRPr="00B44B19">
              <w:rPr>
                <w:rFonts w:ascii="Times New Roman" w:hAnsi="Times New Roman" w:cs="Times New Roman"/>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3A2B9F6C" w14:textId="2B70F420" w:rsidR="00287B8E" w:rsidRPr="00B44B19" w:rsidRDefault="00287B8E" w:rsidP="00287B8E">
            <w:pPr>
              <w:rPr>
                <w:rFonts w:ascii="Times New Roman" w:hAnsi="Times New Roman" w:cs="Times New Roman"/>
                <w:color w:val="000000"/>
                <w:sz w:val="16"/>
                <w:szCs w:val="16"/>
              </w:rPr>
            </w:pPr>
            <w:r w:rsidRPr="00B44B19">
              <w:rPr>
                <w:rFonts w:ascii="Times New Roman" w:hAnsi="Times New Roman" w:cs="Times New Roman"/>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368FB43F" w14:textId="7FA05EF7"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23 805 000</w:t>
            </w:r>
          </w:p>
        </w:tc>
        <w:tc>
          <w:tcPr>
            <w:tcW w:w="1276" w:type="dxa"/>
            <w:tcBorders>
              <w:top w:val="single" w:sz="4" w:space="0" w:color="auto"/>
              <w:left w:val="single" w:sz="4" w:space="0" w:color="auto"/>
              <w:bottom w:val="single" w:sz="4" w:space="0" w:color="auto"/>
              <w:right w:val="single" w:sz="4" w:space="0" w:color="auto"/>
            </w:tcBorders>
          </w:tcPr>
          <w:p w14:paraId="4202AFB3" w14:textId="46682955"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23 000 000</w:t>
            </w:r>
          </w:p>
        </w:tc>
        <w:tc>
          <w:tcPr>
            <w:tcW w:w="1134" w:type="dxa"/>
            <w:tcBorders>
              <w:top w:val="single" w:sz="4" w:space="0" w:color="auto"/>
              <w:left w:val="single" w:sz="4" w:space="0" w:color="auto"/>
              <w:bottom w:val="single" w:sz="4" w:space="0" w:color="auto"/>
              <w:right w:val="single" w:sz="4" w:space="0" w:color="auto"/>
            </w:tcBorders>
          </w:tcPr>
          <w:p w14:paraId="7C1B458F" w14:textId="2506889C"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805 000</w:t>
            </w:r>
          </w:p>
        </w:tc>
        <w:tc>
          <w:tcPr>
            <w:tcW w:w="1134" w:type="dxa"/>
            <w:tcBorders>
              <w:top w:val="single" w:sz="4" w:space="0" w:color="auto"/>
              <w:left w:val="single" w:sz="4" w:space="0" w:color="auto"/>
              <w:bottom w:val="single" w:sz="4" w:space="0" w:color="auto"/>
              <w:right w:val="single" w:sz="4" w:space="0" w:color="auto"/>
            </w:tcBorders>
          </w:tcPr>
          <w:p w14:paraId="3D486F7E" w14:textId="68561116"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eastAsia="TimesNewRoman" w:hAnsi="Times New Roman"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EEA0805" w14:textId="2F80879E"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eastAsia="TimesNewRoman" w:hAnsi="Times New Roman" w:cs="Times New Roman"/>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13427A17" w14:textId="06B37D46"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15 870 000</w:t>
            </w:r>
          </w:p>
        </w:tc>
        <w:tc>
          <w:tcPr>
            <w:tcW w:w="1134" w:type="dxa"/>
            <w:tcBorders>
              <w:top w:val="single" w:sz="4" w:space="0" w:color="auto"/>
              <w:left w:val="single" w:sz="4" w:space="0" w:color="auto"/>
              <w:bottom w:val="single" w:sz="4" w:space="0" w:color="auto"/>
              <w:right w:val="single" w:sz="4" w:space="0" w:color="auto"/>
            </w:tcBorders>
          </w:tcPr>
          <w:p w14:paraId="785288C3" w14:textId="2ED9AD8A"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1 587 000</w:t>
            </w:r>
          </w:p>
        </w:tc>
        <w:tc>
          <w:tcPr>
            <w:tcW w:w="1134" w:type="dxa"/>
            <w:tcBorders>
              <w:top w:val="single" w:sz="4" w:space="0" w:color="auto"/>
              <w:left w:val="single" w:sz="4" w:space="0" w:color="auto"/>
              <w:bottom w:val="single" w:sz="4" w:space="0" w:color="auto"/>
              <w:right w:val="single" w:sz="4" w:space="0" w:color="auto"/>
            </w:tcBorders>
          </w:tcPr>
          <w:p w14:paraId="11559AD4" w14:textId="6FE34911"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14 283 000</w:t>
            </w:r>
          </w:p>
        </w:tc>
        <w:tc>
          <w:tcPr>
            <w:tcW w:w="1275" w:type="dxa"/>
            <w:tcBorders>
              <w:top w:val="single" w:sz="4" w:space="0" w:color="auto"/>
              <w:left w:val="single" w:sz="4" w:space="0" w:color="auto"/>
              <w:bottom w:val="single" w:sz="4" w:space="0" w:color="auto"/>
              <w:right w:val="single" w:sz="4" w:space="0" w:color="auto"/>
            </w:tcBorders>
          </w:tcPr>
          <w:p w14:paraId="1C215F68" w14:textId="7D770B61"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39 675 000</w:t>
            </w:r>
          </w:p>
        </w:tc>
        <w:tc>
          <w:tcPr>
            <w:tcW w:w="709" w:type="dxa"/>
            <w:tcBorders>
              <w:top w:val="single" w:sz="4" w:space="0" w:color="auto"/>
              <w:left w:val="single" w:sz="4" w:space="0" w:color="auto"/>
              <w:bottom w:val="single" w:sz="4" w:space="0" w:color="auto"/>
              <w:right w:val="single" w:sz="4" w:space="0" w:color="auto"/>
            </w:tcBorders>
          </w:tcPr>
          <w:p w14:paraId="4755C896" w14:textId="5AFC9254"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60 %</w:t>
            </w:r>
          </w:p>
        </w:tc>
      </w:tr>
      <w:tr w:rsidR="00287B8E" w:rsidRPr="00B44B19" w14:paraId="46F97EAE" w14:textId="77777777" w:rsidTr="003040E3">
        <w:tc>
          <w:tcPr>
            <w:tcW w:w="568" w:type="dxa"/>
            <w:vMerge/>
            <w:tcBorders>
              <w:bottom w:val="single" w:sz="4" w:space="0" w:color="auto"/>
              <w:right w:val="single" w:sz="4" w:space="0" w:color="auto"/>
            </w:tcBorders>
            <w:vAlign w:val="center"/>
          </w:tcPr>
          <w:p w14:paraId="4243EFDF" w14:textId="77777777" w:rsidR="00287B8E" w:rsidRPr="00B44B19" w:rsidRDefault="00287B8E" w:rsidP="00287B8E">
            <w:pPr>
              <w:rPr>
                <w:rFonts w:ascii="Times New Roman" w:hAnsi="Times New Roman" w:cs="Times New Roman"/>
                <w:b/>
                <w:sz w:val="16"/>
                <w:szCs w:val="16"/>
              </w:rPr>
            </w:pPr>
          </w:p>
        </w:tc>
        <w:tc>
          <w:tcPr>
            <w:tcW w:w="851" w:type="dxa"/>
            <w:vMerge/>
            <w:tcBorders>
              <w:left w:val="single" w:sz="4" w:space="0" w:color="auto"/>
              <w:bottom w:val="single" w:sz="4" w:space="0" w:color="auto"/>
              <w:right w:val="single" w:sz="4" w:space="0" w:color="auto"/>
            </w:tcBorders>
            <w:vAlign w:val="center"/>
          </w:tcPr>
          <w:p w14:paraId="4356203E" w14:textId="77777777" w:rsidR="00287B8E" w:rsidRPr="00B44B19" w:rsidRDefault="00287B8E" w:rsidP="00287B8E">
            <w:pPr>
              <w:rPr>
                <w:rFonts w:ascii="Times New Roman" w:hAnsi="Times New Roman" w:cs="Times New Roman"/>
                <w:bCs/>
                <w:sz w:val="16"/>
                <w:szCs w:val="16"/>
              </w:rPr>
            </w:pPr>
          </w:p>
        </w:tc>
        <w:tc>
          <w:tcPr>
            <w:tcW w:w="850" w:type="dxa"/>
            <w:vMerge/>
            <w:tcBorders>
              <w:left w:val="single" w:sz="4" w:space="0" w:color="auto"/>
              <w:bottom w:val="single" w:sz="4" w:space="0" w:color="auto"/>
              <w:right w:val="single" w:sz="4" w:space="0" w:color="auto"/>
            </w:tcBorders>
            <w:vAlign w:val="center"/>
          </w:tcPr>
          <w:p w14:paraId="5A1FC962" w14:textId="77777777" w:rsidR="00287B8E" w:rsidRPr="00B44B19" w:rsidRDefault="00287B8E" w:rsidP="00287B8E">
            <w:pPr>
              <w:jc w:val="center"/>
              <w:rPr>
                <w:rFonts w:ascii="Times New Roman" w:hAnsi="Times New Roman" w:cs="Times New Roman"/>
                <w:b/>
                <w:color w:val="000000"/>
                <w:sz w:val="16"/>
                <w:szCs w:val="16"/>
              </w:rPr>
            </w:pPr>
          </w:p>
        </w:tc>
        <w:tc>
          <w:tcPr>
            <w:tcW w:w="1418" w:type="dxa"/>
            <w:gridSpan w:val="2"/>
            <w:vMerge/>
            <w:tcBorders>
              <w:left w:val="single" w:sz="4" w:space="0" w:color="auto"/>
              <w:bottom w:val="single" w:sz="4" w:space="0" w:color="auto"/>
              <w:right w:val="single" w:sz="4" w:space="0" w:color="auto"/>
            </w:tcBorders>
            <w:vAlign w:val="center"/>
          </w:tcPr>
          <w:p w14:paraId="107D8CCC" w14:textId="77777777" w:rsidR="00287B8E" w:rsidRPr="00B44B19" w:rsidRDefault="00287B8E" w:rsidP="00287B8E">
            <w:pPr>
              <w:rPr>
                <w:rFonts w:ascii="Times New Roman" w:hAnsi="Times New Roman"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B8F1992" w14:textId="2FB3360B" w:rsidR="00287B8E" w:rsidRPr="00B44B19" w:rsidRDefault="00287B8E" w:rsidP="00287B8E">
            <w:pPr>
              <w:rPr>
                <w:rFonts w:ascii="Times New Roman" w:hAnsi="Times New Roman" w:cs="Times New Roman"/>
                <w:color w:val="000000"/>
                <w:sz w:val="16"/>
                <w:szCs w:val="16"/>
              </w:rPr>
            </w:pPr>
            <w:r w:rsidRPr="00B44B19">
              <w:rPr>
                <w:rFonts w:ascii="Times New Roman" w:hAnsi="Times New Roman" w:cs="Times New Roman"/>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7BD4B700" w14:textId="268697BA"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68 349 168</w:t>
            </w:r>
          </w:p>
        </w:tc>
        <w:tc>
          <w:tcPr>
            <w:tcW w:w="1276" w:type="dxa"/>
            <w:tcBorders>
              <w:top w:val="single" w:sz="4" w:space="0" w:color="auto"/>
              <w:left w:val="single" w:sz="4" w:space="0" w:color="auto"/>
              <w:bottom w:val="single" w:sz="4" w:space="0" w:color="auto"/>
              <w:right w:val="single" w:sz="4" w:space="0" w:color="auto"/>
            </w:tcBorders>
          </w:tcPr>
          <w:p w14:paraId="2A7D6759" w14:textId="1477940A"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66 037 844</w:t>
            </w:r>
          </w:p>
        </w:tc>
        <w:tc>
          <w:tcPr>
            <w:tcW w:w="1134" w:type="dxa"/>
            <w:tcBorders>
              <w:top w:val="single" w:sz="4" w:space="0" w:color="auto"/>
              <w:left w:val="single" w:sz="4" w:space="0" w:color="auto"/>
              <w:bottom w:val="single" w:sz="4" w:space="0" w:color="auto"/>
              <w:right w:val="single" w:sz="4" w:space="0" w:color="auto"/>
            </w:tcBorders>
          </w:tcPr>
          <w:p w14:paraId="27F28DFC" w14:textId="4A76F276"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2 311 324</w:t>
            </w:r>
          </w:p>
        </w:tc>
        <w:tc>
          <w:tcPr>
            <w:tcW w:w="1134" w:type="dxa"/>
            <w:tcBorders>
              <w:top w:val="single" w:sz="4" w:space="0" w:color="auto"/>
              <w:left w:val="single" w:sz="4" w:space="0" w:color="auto"/>
              <w:bottom w:val="single" w:sz="4" w:space="0" w:color="auto"/>
              <w:right w:val="single" w:sz="4" w:space="0" w:color="auto"/>
            </w:tcBorders>
          </w:tcPr>
          <w:p w14:paraId="1F3DCF6B" w14:textId="7EE02C58"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eastAsia="TimesNewRoman" w:hAnsi="Times New Roman" w:cs="Times New Roman"/>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4B11AB" w14:textId="7ECA50D0"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eastAsia="TimesNewRoman" w:hAnsi="Times New Roman" w:cs="Times New Roman"/>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57F17FC6" w14:textId="504086DC"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3 597 325</w:t>
            </w:r>
          </w:p>
        </w:tc>
        <w:tc>
          <w:tcPr>
            <w:tcW w:w="1134" w:type="dxa"/>
            <w:tcBorders>
              <w:top w:val="single" w:sz="4" w:space="0" w:color="auto"/>
              <w:left w:val="single" w:sz="4" w:space="0" w:color="auto"/>
              <w:bottom w:val="single" w:sz="4" w:space="0" w:color="auto"/>
              <w:right w:val="single" w:sz="4" w:space="0" w:color="auto"/>
            </w:tcBorders>
          </w:tcPr>
          <w:p w14:paraId="66BFA0AD" w14:textId="568298A3"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359 733</w:t>
            </w:r>
          </w:p>
        </w:tc>
        <w:tc>
          <w:tcPr>
            <w:tcW w:w="1134" w:type="dxa"/>
            <w:tcBorders>
              <w:top w:val="single" w:sz="4" w:space="0" w:color="auto"/>
              <w:left w:val="single" w:sz="4" w:space="0" w:color="auto"/>
              <w:bottom w:val="single" w:sz="4" w:space="0" w:color="auto"/>
              <w:right w:val="single" w:sz="4" w:space="0" w:color="auto"/>
            </w:tcBorders>
          </w:tcPr>
          <w:p w14:paraId="6083ED34" w14:textId="6B268293"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3 237 592</w:t>
            </w:r>
          </w:p>
        </w:tc>
        <w:tc>
          <w:tcPr>
            <w:tcW w:w="1275" w:type="dxa"/>
            <w:tcBorders>
              <w:top w:val="single" w:sz="4" w:space="0" w:color="auto"/>
              <w:left w:val="single" w:sz="4" w:space="0" w:color="auto"/>
              <w:bottom w:val="single" w:sz="4" w:space="0" w:color="auto"/>
              <w:right w:val="single" w:sz="4" w:space="0" w:color="auto"/>
            </w:tcBorders>
          </w:tcPr>
          <w:p w14:paraId="402FD45C" w14:textId="3F6C27AE"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71 946 493</w:t>
            </w:r>
          </w:p>
        </w:tc>
        <w:tc>
          <w:tcPr>
            <w:tcW w:w="709" w:type="dxa"/>
            <w:tcBorders>
              <w:top w:val="single" w:sz="4" w:space="0" w:color="auto"/>
              <w:left w:val="single" w:sz="4" w:space="0" w:color="auto"/>
              <w:bottom w:val="single" w:sz="4" w:space="0" w:color="auto"/>
              <w:right w:val="single" w:sz="4" w:space="0" w:color="auto"/>
            </w:tcBorders>
          </w:tcPr>
          <w:p w14:paraId="05F2998E" w14:textId="333B15CE" w:rsidR="00287B8E" w:rsidRPr="00B44B19" w:rsidRDefault="00287B8E" w:rsidP="00287B8E">
            <w:pPr>
              <w:jc w:val="center"/>
              <w:rPr>
                <w:rFonts w:ascii="Times New Roman" w:eastAsia="TimesNewRoman" w:hAnsi="Times New Roman" w:cs="Times New Roman"/>
                <w:color w:val="000000"/>
                <w:sz w:val="16"/>
                <w:szCs w:val="16"/>
              </w:rPr>
            </w:pPr>
            <w:r w:rsidRPr="00B44B19">
              <w:rPr>
                <w:rFonts w:ascii="Times New Roman" w:hAnsi="Times New Roman" w:cs="Times New Roman"/>
                <w:sz w:val="16"/>
                <w:szCs w:val="16"/>
              </w:rPr>
              <w:t>95 %</w:t>
            </w:r>
          </w:p>
        </w:tc>
      </w:tr>
      <w:tr w:rsidR="009D14C5" w:rsidRPr="00B44B19" w14:paraId="39851465" w14:textId="77777777" w:rsidTr="003040E3">
        <w:tc>
          <w:tcPr>
            <w:tcW w:w="568" w:type="dxa"/>
            <w:tcBorders>
              <w:bottom w:val="single" w:sz="4" w:space="0" w:color="auto"/>
              <w:right w:val="single" w:sz="4" w:space="0" w:color="auto"/>
            </w:tcBorders>
            <w:vAlign w:val="center"/>
          </w:tcPr>
          <w:p w14:paraId="0960B148" w14:textId="1126AC62" w:rsidR="009D14C5" w:rsidRPr="00B44B19" w:rsidRDefault="009D14C5" w:rsidP="009D14C5">
            <w:pPr>
              <w:rPr>
                <w:rFonts w:ascii="Times New Roman" w:hAnsi="Times New Roman" w:cs="Times New Roman"/>
                <w:bCs/>
                <w:sz w:val="16"/>
                <w:szCs w:val="16"/>
              </w:rPr>
            </w:pPr>
            <w:r w:rsidRPr="00B44B19">
              <w:rPr>
                <w:rFonts w:ascii="Times New Roman" w:hAnsi="Times New Roman" w:cs="Times New Roman"/>
                <w:bCs/>
                <w:sz w:val="16"/>
                <w:szCs w:val="16"/>
              </w:rPr>
              <w:t>2.</w:t>
            </w:r>
          </w:p>
        </w:tc>
        <w:tc>
          <w:tcPr>
            <w:tcW w:w="851" w:type="dxa"/>
            <w:tcBorders>
              <w:left w:val="single" w:sz="4" w:space="0" w:color="auto"/>
              <w:bottom w:val="single" w:sz="4" w:space="0" w:color="auto"/>
              <w:right w:val="single" w:sz="4" w:space="0" w:color="auto"/>
            </w:tcBorders>
            <w:vAlign w:val="center"/>
          </w:tcPr>
          <w:p w14:paraId="5D7DD14D" w14:textId="61E096FD" w:rsidR="009D14C5" w:rsidRPr="00B44B19" w:rsidRDefault="009D14C5" w:rsidP="009D14C5">
            <w:pPr>
              <w:rPr>
                <w:rFonts w:ascii="Times New Roman" w:hAnsi="Times New Roman" w:cs="Times New Roman"/>
                <w:bCs/>
                <w:sz w:val="16"/>
                <w:szCs w:val="16"/>
              </w:rPr>
            </w:pPr>
            <w:r w:rsidRPr="00B44B19">
              <w:rPr>
                <w:rFonts w:ascii="Times New Roman" w:hAnsi="Times New Roman" w:cs="Times New Roman"/>
                <w:sz w:val="16"/>
                <w:szCs w:val="16"/>
              </w:rPr>
              <w:t>12.Geriamojo vandens tiekimo infrastruktūros apsaugos didinimas</w:t>
            </w:r>
          </w:p>
        </w:tc>
        <w:tc>
          <w:tcPr>
            <w:tcW w:w="850" w:type="dxa"/>
            <w:tcBorders>
              <w:left w:val="single" w:sz="4" w:space="0" w:color="auto"/>
              <w:bottom w:val="single" w:sz="4" w:space="0" w:color="auto"/>
              <w:right w:val="single" w:sz="4" w:space="0" w:color="auto"/>
            </w:tcBorders>
            <w:vAlign w:val="center"/>
          </w:tcPr>
          <w:p w14:paraId="3ED34F04" w14:textId="45C1D332" w:rsidR="009D14C5" w:rsidRPr="00B44B19" w:rsidRDefault="009D14C5" w:rsidP="009D14C5">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viešasis</w:t>
            </w:r>
          </w:p>
        </w:tc>
        <w:tc>
          <w:tcPr>
            <w:tcW w:w="1418" w:type="dxa"/>
            <w:gridSpan w:val="2"/>
            <w:tcBorders>
              <w:left w:val="single" w:sz="4" w:space="0" w:color="auto"/>
              <w:bottom w:val="single" w:sz="4" w:space="0" w:color="auto"/>
              <w:right w:val="single" w:sz="4" w:space="0" w:color="auto"/>
            </w:tcBorders>
            <w:vAlign w:val="center"/>
          </w:tcPr>
          <w:p w14:paraId="4B8B1056" w14:textId="3D0B1795" w:rsidR="009D14C5" w:rsidRPr="00B44B19" w:rsidRDefault="009D14C5" w:rsidP="009D14C5">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14:paraId="30FEA2D0" w14:textId="39B9DF5C" w:rsidR="009D14C5" w:rsidRPr="00B44B19" w:rsidRDefault="009D14C5" w:rsidP="009D14C5">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3B8CACC" w14:textId="369B0CD7"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48 175 000</w:t>
            </w:r>
          </w:p>
        </w:tc>
        <w:tc>
          <w:tcPr>
            <w:tcW w:w="1276" w:type="dxa"/>
            <w:tcBorders>
              <w:top w:val="single" w:sz="4" w:space="0" w:color="auto"/>
              <w:left w:val="single" w:sz="4" w:space="0" w:color="auto"/>
              <w:bottom w:val="single" w:sz="4" w:space="0" w:color="auto"/>
              <w:right w:val="single" w:sz="4" w:space="0" w:color="auto"/>
            </w:tcBorders>
          </w:tcPr>
          <w:p w14:paraId="5348C7A7" w14:textId="75485285"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47 000 000</w:t>
            </w:r>
          </w:p>
        </w:tc>
        <w:tc>
          <w:tcPr>
            <w:tcW w:w="1134" w:type="dxa"/>
            <w:tcBorders>
              <w:top w:val="single" w:sz="4" w:space="0" w:color="auto"/>
              <w:left w:val="single" w:sz="4" w:space="0" w:color="auto"/>
              <w:bottom w:val="single" w:sz="4" w:space="0" w:color="auto"/>
              <w:right w:val="single" w:sz="4" w:space="0" w:color="auto"/>
            </w:tcBorders>
          </w:tcPr>
          <w:p w14:paraId="2A203FD0" w14:textId="72929DEB"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1 175 000</w:t>
            </w:r>
          </w:p>
        </w:tc>
        <w:tc>
          <w:tcPr>
            <w:tcW w:w="1134" w:type="dxa"/>
            <w:tcBorders>
              <w:top w:val="single" w:sz="4" w:space="0" w:color="auto"/>
              <w:left w:val="single" w:sz="4" w:space="0" w:color="auto"/>
              <w:bottom w:val="single" w:sz="4" w:space="0" w:color="auto"/>
              <w:right w:val="single" w:sz="4" w:space="0" w:color="auto"/>
            </w:tcBorders>
          </w:tcPr>
          <w:p w14:paraId="323CE8DA" w14:textId="4E5C440F" w:rsidR="009D14C5" w:rsidRPr="00B44B19" w:rsidRDefault="009D14C5" w:rsidP="009D14C5">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65BDC850" w14:textId="762F0AE6" w:rsidR="009D14C5" w:rsidRPr="00B44B19" w:rsidRDefault="009D14C5" w:rsidP="009D14C5">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CBA8C17" w14:textId="7DC125E5"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2 535 527</w:t>
            </w:r>
          </w:p>
        </w:tc>
        <w:tc>
          <w:tcPr>
            <w:tcW w:w="1134" w:type="dxa"/>
            <w:tcBorders>
              <w:top w:val="single" w:sz="4" w:space="0" w:color="auto"/>
              <w:left w:val="single" w:sz="4" w:space="0" w:color="auto"/>
              <w:bottom w:val="single" w:sz="4" w:space="0" w:color="auto"/>
              <w:right w:val="single" w:sz="4" w:space="0" w:color="auto"/>
            </w:tcBorders>
          </w:tcPr>
          <w:p w14:paraId="5B9D1ED4" w14:textId="75D7C730"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2 535 527</w:t>
            </w:r>
          </w:p>
        </w:tc>
        <w:tc>
          <w:tcPr>
            <w:tcW w:w="1134" w:type="dxa"/>
            <w:tcBorders>
              <w:top w:val="single" w:sz="4" w:space="0" w:color="auto"/>
              <w:left w:val="single" w:sz="4" w:space="0" w:color="auto"/>
              <w:bottom w:val="single" w:sz="4" w:space="0" w:color="auto"/>
              <w:right w:val="single" w:sz="4" w:space="0" w:color="auto"/>
            </w:tcBorders>
          </w:tcPr>
          <w:p w14:paraId="35B48801" w14:textId="771429AF" w:rsidR="009D14C5" w:rsidRPr="00B44B19" w:rsidRDefault="00777CD8" w:rsidP="009D14C5">
            <w:pPr>
              <w:jc w:val="center"/>
              <w:rPr>
                <w:rFonts w:ascii="Times New Roman" w:hAnsi="Times New Roman" w:cs="Times New Roman"/>
                <w:bCs/>
                <w:sz w:val="16"/>
                <w:szCs w:val="16"/>
              </w:rPr>
            </w:pPr>
            <w:r w:rsidRPr="00B44B19">
              <w:rPr>
                <w:rFonts w:ascii="Times New Roman" w:hAnsi="Times New Roman" w:cs="Times New Roman"/>
                <w:bCs/>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69D251CC" w14:textId="72016629"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50 710 527</w:t>
            </w:r>
          </w:p>
        </w:tc>
        <w:tc>
          <w:tcPr>
            <w:tcW w:w="709" w:type="dxa"/>
            <w:tcBorders>
              <w:top w:val="single" w:sz="4" w:space="0" w:color="auto"/>
              <w:left w:val="single" w:sz="4" w:space="0" w:color="auto"/>
              <w:bottom w:val="single" w:sz="4" w:space="0" w:color="auto"/>
              <w:right w:val="single" w:sz="4" w:space="0" w:color="auto"/>
            </w:tcBorders>
          </w:tcPr>
          <w:p w14:paraId="4498EB3B" w14:textId="3AB91820"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95 %</w:t>
            </w:r>
          </w:p>
        </w:tc>
      </w:tr>
      <w:tr w:rsidR="009D14C5" w:rsidRPr="00B44B19" w14:paraId="7098E50A" w14:textId="77777777" w:rsidTr="003040E3">
        <w:tc>
          <w:tcPr>
            <w:tcW w:w="568" w:type="dxa"/>
            <w:tcBorders>
              <w:bottom w:val="single" w:sz="4" w:space="0" w:color="auto"/>
              <w:right w:val="single" w:sz="4" w:space="0" w:color="auto"/>
            </w:tcBorders>
            <w:vAlign w:val="center"/>
          </w:tcPr>
          <w:p w14:paraId="2616586E" w14:textId="69E2120C" w:rsidR="009D14C5" w:rsidRPr="00B44B19" w:rsidRDefault="009D14C5" w:rsidP="009D14C5">
            <w:pPr>
              <w:rPr>
                <w:rFonts w:ascii="Times New Roman" w:hAnsi="Times New Roman" w:cs="Times New Roman"/>
                <w:bCs/>
                <w:sz w:val="16"/>
                <w:szCs w:val="16"/>
              </w:rPr>
            </w:pPr>
            <w:r w:rsidRPr="00B44B19">
              <w:rPr>
                <w:rFonts w:ascii="Times New Roman" w:hAnsi="Times New Roman" w:cs="Times New Roman"/>
                <w:bCs/>
                <w:sz w:val="16"/>
                <w:szCs w:val="16"/>
              </w:rPr>
              <w:t>2.</w:t>
            </w:r>
          </w:p>
        </w:tc>
        <w:tc>
          <w:tcPr>
            <w:tcW w:w="851" w:type="dxa"/>
            <w:tcBorders>
              <w:left w:val="single" w:sz="4" w:space="0" w:color="auto"/>
              <w:bottom w:val="single" w:sz="4" w:space="0" w:color="auto"/>
              <w:right w:val="single" w:sz="4" w:space="0" w:color="auto"/>
            </w:tcBorders>
            <w:vAlign w:val="center"/>
          </w:tcPr>
          <w:p w14:paraId="424B2989" w14:textId="000D61AC" w:rsidR="009D14C5" w:rsidRPr="00B44B19" w:rsidRDefault="009D14C5" w:rsidP="009D14C5">
            <w:pPr>
              <w:rPr>
                <w:rFonts w:ascii="Times New Roman" w:hAnsi="Times New Roman" w:cs="Times New Roman"/>
                <w:bCs/>
                <w:sz w:val="16"/>
                <w:szCs w:val="16"/>
              </w:rPr>
            </w:pPr>
            <w:r w:rsidRPr="00B44B19">
              <w:rPr>
                <w:rFonts w:ascii="Times New Roman" w:hAnsi="Times New Roman" w:cs="Times New Roman"/>
                <w:sz w:val="16"/>
                <w:szCs w:val="16"/>
              </w:rPr>
              <w:t>13.Energetinės infrastruktūros atsparumo didinimas</w:t>
            </w:r>
          </w:p>
        </w:tc>
        <w:tc>
          <w:tcPr>
            <w:tcW w:w="850" w:type="dxa"/>
            <w:tcBorders>
              <w:left w:val="single" w:sz="4" w:space="0" w:color="auto"/>
              <w:bottom w:val="single" w:sz="4" w:space="0" w:color="auto"/>
              <w:right w:val="single" w:sz="4" w:space="0" w:color="auto"/>
            </w:tcBorders>
            <w:vAlign w:val="center"/>
          </w:tcPr>
          <w:p w14:paraId="588541BD" w14:textId="4455B8EE" w:rsidR="009D14C5" w:rsidRPr="00B44B19" w:rsidRDefault="009D14C5" w:rsidP="009D14C5">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iš viso</w:t>
            </w:r>
          </w:p>
        </w:tc>
        <w:tc>
          <w:tcPr>
            <w:tcW w:w="1418" w:type="dxa"/>
            <w:gridSpan w:val="2"/>
            <w:tcBorders>
              <w:left w:val="single" w:sz="4" w:space="0" w:color="auto"/>
              <w:bottom w:val="single" w:sz="4" w:space="0" w:color="auto"/>
              <w:right w:val="single" w:sz="4" w:space="0" w:color="auto"/>
            </w:tcBorders>
            <w:vAlign w:val="center"/>
          </w:tcPr>
          <w:p w14:paraId="0B37C8C1" w14:textId="3F9E8F87" w:rsidR="009D14C5" w:rsidRPr="00B44B19" w:rsidRDefault="009D14C5" w:rsidP="009D14C5">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14:paraId="761D4676" w14:textId="03B25480" w:rsidR="009D14C5" w:rsidRPr="00B44B19" w:rsidRDefault="009D14C5" w:rsidP="009D14C5">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C251F77" w14:textId="69DF4662"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41 000 000</w:t>
            </w:r>
          </w:p>
        </w:tc>
        <w:tc>
          <w:tcPr>
            <w:tcW w:w="1276" w:type="dxa"/>
            <w:tcBorders>
              <w:top w:val="single" w:sz="4" w:space="0" w:color="auto"/>
              <w:left w:val="single" w:sz="4" w:space="0" w:color="auto"/>
              <w:bottom w:val="single" w:sz="4" w:space="0" w:color="auto"/>
              <w:right w:val="single" w:sz="4" w:space="0" w:color="auto"/>
            </w:tcBorders>
          </w:tcPr>
          <w:p w14:paraId="17350926" w14:textId="359C17BC"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40 000 000</w:t>
            </w:r>
          </w:p>
        </w:tc>
        <w:tc>
          <w:tcPr>
            <w:tcW w:w="1134" w:type="dxa"/>
            <w:tcBorders>
              <w:top w:val="single" w:sz="4" w:space="0" w:color="auto"/>
              <w:left w:val="single" w:sz="4" w:space="0" w:color="auto"/>
              <w:bottom w:val="single" w:sz="4" w:space="0" w:color="auto"/>
              <w:right w:val="single" w:sz="4" w:space="0" w:color="auto"/>
            </w:tcBorders>
          </w:tcPr>
          <w:p w14:paraId="68ACC660" w14:textId="404763FC"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1 000 000</w:t>
            </w:r>
          </w:p>
        </w:tc>
        <w:tc>
          <w:tcPr>
            <w:tcW w:w="1134" w:type="dxa"/>
            <w:tcBorders>
              <w:top w:val="single" w:sz="4" w:space="0" w:color="auto"/>
              <w:left w:val="single" w:sz="4" w:space="0" w:color="auto"/>
              <w:bottom w:val="single" w:sz="4" w:space="0" w:color="auto"/>
              <w:right w:val="single" w:sz="4" w:space="0" w:color="auto"/>
            </w:tcBorders>
          </w:tcPr>
          <w:p w14:paraId="47434D55" w14:textId="75206AB3" w:rsidR="009D14C5" w:rsidRPr="00B44B19" w:rsidRDefault="009D14C5" w:rsidP="009D14C5">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BFA8467" w14:textId="79212C8F" w:rsidR="009D14C5" w:rsidRPr="00B44B19" w:rsidRDefault="009D14C5" w:rsidP="009D14C5">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54B64B0B" w14:textId="0DD3887A"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2 157 895</w:t>
            </w:r>
          </w:p>
        </w:tc>
        <w:tc>
          <w:tcPr>
            <w:tcW w:w="1134" w:type="dxa"/>
            <w:tcBorders>
              <w:top w:val="single" w:sz="4" w:space="0" w:color="auto"/>
              <w:left w:val="single" w:sz="4" w:space="0" w:color="auto"/>
              <w:bottom w:val="single" w:sz="4" w:space="0" w:color="auto"/>
              <w:right w:val="single" w:sz="4" w:space="0" w:color="auto"/>
            </w:tcBorders>
          </w:tcPr>
          <w:p w14:paraId="7069C6ED" w14:textId="07276034"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215 790</w:t>
            </w:r>
          </w:p>
        </w:tc>
        <w:tc>
          <w:tcPr>
            <w:tcW w:w="1134" w:type="dxa"/>
            <w:tcBorders>
              <w:top w:val="single" w:sz="4" w:space="0" w:color="auto"/>
              <w:left w:val="single" w:sz="4" w:space="0" w:color="auto"/>
              <w:bottom w:val="single" w:sz="4" w:space="0" w:color="auto"/>
              <w:right w:val="single" w:sz="4" w:space="0" w:color="auto"/>
            </w:tcBorders>
          </w:tcPr>
          <w:p w14:paraId="25015B73" w14:textId="0CA260FE"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1 942 105</w:t>
            </w:r>
          </w:p>
        </w:tc>
        <w:tc>
          <w:tcPr>
            <w:tcW w:w="1275" w:type="dxa"/>
            <w:tcBorders>
              <w:top w:val="single" w:sz="4" w:space="0" w:color="auto"/>
              <w:left w:val="single" w:sz="4" w:space="0" w:color="auto"/>
              <w:bottom w:val="single" w:sz="4" w:space="0" w:color="auto"/>
              <w:right w:val="single" w:sz="4" w:space="0" w:color="auto"/>
            </w:tcBorders>
          </w:tcPr>
          <w:p w14:paraId="401E0D3D" w14:textId="4C6FA94B"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43 157 895</w:t>
            </w:r>
          </w:p>
        </w:tc>
        <w:tc>
          <w:tcPr>
            <w:tcW w:w="709" w:type="dxa"/>
            <w:tcBorders>
              <w:top w:val="single" w:sz="4" w:space="0" w:color="auto"/>
              <w:left w:val="single" w:sz="4" w:space="0" w:color="auto"/>
              <w:bottom w:val="single" w:sz="4" w:space="0" w:color="auto"/>
              <w:right w:val="single" w:sz="4" w:space="0" w:color="auto"/>
            </w:tcBorders>
          </w:tcPr>
          <w:p w14:paraId="5BEEBB6B" w14:textId="72BE84D9" w:rsidR="009D14C5" w:rsidRPr="00B44B19" w:rsidRDefault="009D14C5" w:rsidP="009D14C5">
            <w:pPr>
              <w:jc w:val="center"/>
              <w:rPr>
                <w:rFonts w:ascii="Times New Roman" w:hAnsi="Times New Roman" w:cs="Times New Roman"/>
                <w:bCs/>
                <w:sz w:val="16"/>
                <w:szCs w:val="16"/>
              </w:rPr>
            </w:pPr>
            <w:r w:rsidRPr="00B44B19">
              <w:rPr>
                <w:rFonts w:ascii="Times New Roman" w:hAnsi="Times New Roman" w:cs="Times New Roman"/>
                <w:sz w:val="16"/>
                <w:szCs w:val="16"/>
              </w:rPr>
              <w:t>95 %</w:t>
            </w:r>
          </w:p>
        </w:tc>
      </w:tr>
      <w:tr w:rsidR="00777CD8" w:rsidRPr="00B44B19" w14:paraId="23B61D8B" w14:textId="77777777" w:rsidTr="003040E3">
        <w:tc>
          <w:tcPr>
            <w:tcW w:w="568" w:type="dxa"/>
            <w:vMerge w:val="restart"/>
            <w:tcBorders>
              <w:right w:val="single" w:sz="4" w:space="0" w:color="auto"/>
            </w:tcBorders>
            <w:vAlign w:val="center"/>
          </w:tcPr>
          <w:p w14:paraId="717182FE" w14:textId="001022C1" w:rsidR="00777CD8" w:rsidRPr="00B44B19" w:rsidRDefault="00777CD8" w:rsidP="00777CD8">
            <w:pPr>
              <w:rPr>
                <w:rFonts w:ascii="Times New Roman" w:hAnsi="Times New Roman" w:cs="Times New Roman"/>
                <w:bCs/>
                <w:sz w:val="16"/>
                <w:szCs w:val="16"/>
              </w:rPr>
            </w:pPr>
            <w:r w:rsidRPr="00B44B19">
              <w:rPr>
                <w:rFonts w:ascii="Times New Roman" w:hAnsi="Times New Roman" w:cs="Times New Roman"/>
                <w:bCs/>
                <w:sz w:val="16"/>
                <w:szCs w:val="16"/>
              </w:rPr>
              <w:t>3.</w:t>
            </w:r>
          </w:p>
        </w:tc>
        <w:tc>
          <w:tcPr>
            <w:tcW w:w="851" w:type="dxa"/>
            <w:vMerge w:val="restart"/>
            <w:tcBorders>
              <w:left w:val="single" w:sz="4" w:space="0" w:color="auto"/>
              <w:right w:val="single" w:sz="4" w:space="0" w:color="auto"/>
            </w:tcBorders>
            <w:vAlign w:val="center"/>
          </w:tcPr>
          <w:p w14:paraId="2ABB3E7D" w14:textId="1E6FF847" w:rsidR="00777CD8" w:rsidRPr="00B44B19" w:rsidRDefault="00777CD8" w:rsidP="00777CD8">
            <w:pPr>
              <w:rPr>
                <w:rFonts w:ascii="Times New Roman" w:hAnsi="Times New Roman" w:cs="Times New Roman"/>
                <w:sz w:val="16"/>
                <w:szCs w:val="16"/>
              </w:rPr>
            </w:pPr>
            <w:r w:rsidRPr="00B44B19">
              <w:rPr>
                <w:rFonts w:ascii="Times New Roman" w:hAnsi="Times New Roman" w:cs="Times New Roman"/>
                <w:sz w:val="16"/>
                <w:szCs w:val="16"/>
              </w:rPr>
              <w:t xml:space="preserve">14.Karinio </w:t>
            </w:r>
            <w:r w:rsidRPr="00B44B19">
              <w:rPr>
                <w:rFonts w:ascii="Times New Roman" w:hAnsi="Times New Roman" w:cs="Times New Roman"/>
                <w:sz w:val="16"/>
                <w:szCs w:val="16"/>
              </w:rPr>
              <w:lastRenderedPageBreak/>
              <w:t>mobilumo stiprinimas</w:t>
            </w:r>
          </w:p>
        </w:tc>
        <w:tc>
          <w:tcPr>
            <w:tcW w:w="850" w:type="dxa"/>
            <w:vMerge w:val="restart"/>
            <w:tcBorders>
              <w:left w:val="single" w:sz="4" w:space="0" w:color="auto"/>
              <w:right w:val="single" w:sz="4" w:space="0" w:color="auto"/>
            </w:tcBorders>
            <w:vAlign w:val="center"/>
          </w:tcPr>
          <w:p w14:paraId="6C5910C2" w14:textId="19E590EF" w:rsidR="00777CD8" w:rsidRPr="00B44B19" w:rsidRDefault="00777CD8" w:rsidP="00777CD8">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lastRenderedPageBreak/>
              <w:t>viešasis</w:t>
            </w:r>
          </w:p>
        </w:tc>
        <w:tc>
          <w:tcPr>
            <w:tcW w:w="1418" w:type="dxa"/>
            <w:gridSpan w:val="2"/>
            <w:tcBorders>
              <w:left w:val="single" w:sz="4" w:space="0" w:color="auto"/>
              <w:bottom w:val="single" w:sz="4" w:space="0" w:color="auto"/>
              <w:right w:val="single" w:sz="4" w:space="0" w:color="auto"/>
            </w:tcBorders>
            <w:vAlign w:val="center"/>
          </w:tcPr>
          <w:p w14:paraId="2FE4CA07" w14:textId="5EBCB50A" w:rsidR="00777CD8" w:rsidRPr="00B44B19" w:rsidRDefault="00777CD8" w:rsidP="00777CD8">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77274994" w14:textId="77C6EB10" w:rsidR="00777CD8" w:rsidRPr="00B44B19" w:rsidRDefault="00777CD8" w:rsidP="00777CD8">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393EA734" w14:textId="748793A7"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84 278 604</w:t>
            </w:r>
          </w:p>
        </w:tc>
        <w:tc>
          <w:tcPr>
            <w:tcW w:w="1276" w:type="dxa"/>
            <w:tcBorders>
              <w:top w:val="single" w:sz="4" w:space="0" w:color="auto"/>
              <w:left w:val="single" w:sz="4" w:space="0" w:color="auto"/>
              <w:bottom w:val="single" w:sz="4" w:space="0" w:color="auto"/>
              <w:right w:val="single" w:sz="4" w:space="0" w:color="auto"/>
            </w:tcBorders>
          </w:tcPr>
          <w:p w14:paraId="33A15A38" w14:textId="10386196"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81 428 603</w:t>
            </w:r>
          </w:p>
        </w:tc>
        <w:tc>
          <w:tcPr>
            <w:tcW w:w="1134" w:type="dxa"/>
            <w:tcBorders>
              <w:top w:val="single" w:sz="4" w:space="0" w:color="auto"/>
              <w:left w:val="single" w:sz="4" w:space="0" w:color="auto"/>
              <w:bottom w:val="single" w:sz="4" w:space="0" w:color="auto"/>
              <w:right w:val="single" w:sz="4" w:space="0" w:color="auto"/>
            </w:tcBorders>
          </w:tcPr>
          <w:p w14:paraId="500EF880" w14:textId="5E046AF7"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2 850 001</w:t>
            </w:r>
          </w:p>
        </w:tc>
        <w:tc>
          <w:tcPr>
            <w:tcW w:w="1134" w:type="dxa"/>
            <w:tcBorders>
              <w:top w:val="single" w:sz="4" w:space="0" w:color="auto"/>
              <w:left w:val="single" w:sz="4" w:space="0" w:color="auto"/>
              <w:bottom w:val="single" w:sz="4" w:space="0" w:color="auto"/>
              <w:right w:val="single" w:sz="4" w:space="0" w:color="auto"/>
            </w:tcBorders>
          </w:tcPr>
          <w:p w14:paraId="69601E64" w14:textId="155113A7" w:rsidR="00777CD8" w:rsidRPr="00B44B19" w:rsidRDefault="00777CD8" w:rsidP="00777CD8">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77ABEA4" w14:textId="3EF54766" w:rsidR="00777CD8" w:rsidRPr="00B44B19" w:rsidRDefault="00777CD8" w:rsidP="00777CD8">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2AF06B07" w14:textId="6A887DC3"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4 435 716</w:t>
            </w:r>
          </w:p>
        </w:tc>
        <w:tc>
          <w:tcPr>
            <w:tcW w:w="1134" w:type="dxa"/>
            <w:tcBorders>
              <w:top w:val="single" w:sz="4" w:space="0" w:color="auto"/>
              <w:left w:val="single" w:sz="4" w:space="0" w:color="auto"/>
              <w:bottom w:val="single" w:sz="4" w:space="0" w:color="auto"/>
              <w:right w:val="single" w:sz="4" w:space="0" w:color="auto"/>
            </w:tcBorders>
          </w:tcPr>
          <w:p w14:paraId="6446B007" w14:textId="114DA199"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4 435 716</w:t>
            </w:r>
          </w:p>
        </w:tc>
        <w:tc>
          <w:tcPr>
            <w:tcW w:w="1134" w:type="dxa"/>
            <w:tcBorders>
              <w:top w:val="single" w:sz="4" w:space="0" w:color="auto"/>
              <w:left w:val="single" w:sz="4" w:space="0" w:color="auto"/>
              <w:bottom w:val="single" w:sz="4" w:space="0" w:color="auto"/>
              <w:right w:val="single" w:sz="4" w:space="0" w:color="auto"/>
            </w:tcBorders>
          </w:tcPr>
          <w:p w14:paraId="06DBD723" w14:textId="4F4BC634"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3AD8FDFB" w14:textId="6A3D1271"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88 714 320</w:t>
            </w:r>
          </w:p>
        </w:tc>
        <w:tc>
          <w:tcPr>
            <w:tcW w:w="709" w:type="dxa"/>
            <w:tcBorders>
              <w:top w:val="single" w:sz="4" w:space="0" w:color="auto"/>
              <w:left w:val="single" w:sz="4" w:space="0" w:color="auto"/>
              <w:bottom w:val="single" w:sz="4" w:space="0" w:color="auto"/>
              <w:right w:val="single" w:sz="4" w:space="0" w:color="auto"/>
            </w:tcBorders>
          </w:tcPr>
          <w:p w14:paraId="31945CBA" w14:textId="43F96B2B"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95 %</w:t>
            </w:r>
          </w:p>
        </w:tc>
      </w:tr>
      <w:tr w:rsidR="00777CD8" w:rsidRPr="00B44B19" w14:paraId="3F29CBF0" w14:textId="77777777" w:rsidTr="003040E3">
        <w:tc>
          <w:tcPr>
            <w:tcW w:w="568" w:type="dxa"/>
            <w:vMerge/>
            <w:tcBorders>
              <w:bottom w:val="single" w:sz="4" w:space="0" w:color="auto"/>
              <w:right w:val="single" w:sz="4" w:space="0" w:color="auto"/>
            </w:tcBorders>
            <w:vAlign w:val="center"/>
          </w:tcPr>
          <w:p w14:paraId="3137BC8B" w14:textId="77777777" w:rsidR="00777CD8" w:rsidRPr="00B44B19" w:rsidRDefault="00777CD8" w:rsidP="00777CD8">
            <w:pPr>
              <w:rPr>
                <w:rFonts w:ascii="Times New Roman" w:hAnsi="Times New Roman" w:cs="Times New Roman"/>
                <w:bCs/>
                <w:sz w:val="16"/>
                <w:szCs w:val="16"/>
              </w:rPr>
            </w:pPr>
          </w:p>
        </w:tc>
        <w:tc>
          <w:tcPr>
            <w:tcW w:w="851" w:type="dxa"/>
            <w:vMerge/>
            <w:tcBorders>
              <w:left w:val="single" w:sz="4" w:space="0" w:color="auto"/>
              <w:bottom w:val="single" w:sz="4" w:space="0" w:color="auto"/>
              <w:right w:val="single" w:sz="4" w:space="0" w:color="auto"/>
            </w:tcBorders>
            <w:vAlign w:val="center"/>
          </w:tcPr>
          <w:p w14:paraId="4248F34B" w14:textId="77777777" w:rsidR="00777CD8" w:rsidRPr="00B44B19" w:rsidRDefault="00777CD8" w:rsidP="00777CD8">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03AA5313" w14:textId="77777777" w:rsidR="00777CD8" w:rsidRPr="00B44B19" w:rsidRDefault="00777CD8" w:rsidP="00777CD8">
            <w:pPr>
              <w:jc w:val="center"/>
              <w:rPr>
                <w:rFonts w:ascii="Times New Roman" w:hAnsi="Times New Roman" w:cs="Times New Roman"/>
                <w:bCs/>
                <w:color w:val="000000"/>
                <w:sz w:val="16"/>
                <w:szCs w:val="16"/>
              </w:rPr>
            </w:pPr>
          </w:p>
        </w:tc>
        <w:tc>
          <w:tcPr>
            <w:tcW w:w="1418" w:type="dxa"/>
            <w:gridSpan w:val="2"/>
            <w:tcBorders>
              <w:left w:val="single" w:sz="4" w:space="0" w:color="auto"/>
              <w:bottom w:val="single" w:sz="4" w:space="0" w:color="auto"/>
              <w:right w:val="single" w:sz="4" w:space="0" w:color="auto"/>
            </w:tcBorders>
            <w:vAlign w:val="center"/>
          </w:tcPr>
          <w:p w14:paraId="3841B6AD" w14:textId="1172277C" w:rsidR="00777CD8" w:rsidRPr="00B44B19" w:rsidRDefault="00777CD8" w:rsidP="00777CD8">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SaF</w:t>
            </w:r>
          </w:p>
        </w:tc>
        <w:tc>
          <w:tcPr>
            <w:tcW w:w="992" w:type="dxa"/>
            <w:tcBorders>
              <w:top w:val="single" w:sz="4" w:space="0" w:color="auto"/>
              <w:left w:val="single" w:sz="4" w:space="0" w:color="auto"/>
              <w:bottom w:val="single" w:sz="4" w:space="0" w:color="auto"/>
              <w:right w:val="single" w:sz="4" w:space="0" w:color="auto"/>
            </w:tcBorders>
            <w:vAlign w:val="center"/>
          </w:tcPr>
          <w:p w14:paraId="4C09DC38" w14:textId="6E0DAD15" w:rsidR="00777CD8" w:rsidRPr="00B44B19" w:rsidRDefault="00777CD8" w:rsidP="00777CD8">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1523439" w14:textId="52911C99"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82 175 682</w:t>
            </w:r>
          </w:p>
        </w:tc>
        <w:tc>
          <w:tcPr>
            <w:tcW w:w="1276" w:type="dxa"/>
            <w:tcBorders>
              <w:top w:val="single" w:sz="4" w:space="0" w:color="auto"/>
              <w:left w:val="single" w:sz="4" w:space="0" w:color="auto"/>
              <w:bottom w:val="single" w:sz="4" w:space="0" w:color="auto"/>
              <w:right w:val="single" w:sz="4" w:space="0" w:color="auto"/>
            </w:tcBorders>
          </w:tcPr>
          <w:p w14:paraId="39AA4D6B" w14:textId="2402FA77"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80 171 398</w:t>
            </w:r>
          </w:p>
        </w:tc>
        <w:tc>
          <w:tcPr>
            <w:tcW w:w="1134" w:type="dxa"/>
            <w:tcBorders>
              <w:top w:val="single" w:sz="4" w:space="0" w:color="auto"/>
              <w:left w:val="single" w:sz="4" w:space="0" w:color="auto"/>
              <w:bottom w:val="single" w:sz="4" w:space="0" w:color="auto"/>
              <w:right w:val="single" w:sz="4" w:space="0" w:color="auto"/>
            </w:tcBorders>
          </w:tcPr>
          <w:p w14:paraId="5568CC20" w14:textId="214F7BC0"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2 004 284</w:t>
            </w:r>
          </w:p>
        </w:tc>
        <w:tc>
          <w:tcPr>
            <w:tcW w:w="1134" w:type="dxa"/>
            <w:tcBorders>
              <w:top w:val="single" w:sz="4" w:space="0" w:color="auto"/>
              <w:left w:val="single" w:sz="4" w:space="0" w:color="auto"/>
              <w:bottom w:val="single" w:sz="4" w:space="0" w:color="auto"/>
              <w:right w:val="single" w:sz="4" w:space="0" w:color="auto"/>
            </w:tcBorders>
          </w:tcPr>
          <w:p w14:paraId="306BC1B1" w14:textId="0BA92F11" w:rsidR="00777CD8" w:rsidRPr="00B44B19" w:rsidRDefault="00777CD8" w:rsidP="00777CD8">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0F26384" w14:textId="52139CEC" w:rsidR="00777CD8" w:rsidRPr="00B44B19" w:rsidRDefault="00777CD8" w:rsidP="00777CD8">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5DE08BFA" w14:textId="014B4A66"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4 325 036</w:t>
            </w:r>
          </w:p>
        </w:tc>
        <w:tc>
          <w:tcPr>
            <w:tcW w:w="1134" w:type="dxa"/>
            <w:tcBorders>
              <w:top w:val="single" w:sz="4" w:space="0" w:color="auto"/>
              <w:left w:val="single" w:sz="4" w:space="0" w:color="auto"/>
              <w:bottom w:val="single" w:sz="4" w:space="0" w:color="auto"/>
              <w:right w:val="single" w:sz="4" w:space="0" w:color="auto"/>
            </w:tcBorders>
          </w:tcPr>
          <w:p w14:paraId="0A66EB89" w14:textId="4071CFC5"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4 325 036</w:t>
            </w:r>
          </w:p>
        </w:tc>
        <w:tc>
          <w:tcPr>
            <w:tcW w:w="1134" w:type="dxa"/>
            <w:tcBorders>
              <w:top w:val="single" w:sz="4" w:space="0" w:color="auto"/>
              <w:left w:val="single" w:sz="4" w:space="0" w:color="auto"/>
              <w:bottom w:val="single" w:sz="4" w:space="0" w:color="auto"/>
              <w:right w:val="single" w:sz="4" w:space="0" w:color="auto"/>
            </w:tcBorders>
          </w:tcPr>
          <w:p w14:paraId="2966A7F5" w14:textId="71523E74"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62463CE4" w14:textId="693C928E"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86 500 718</w:t>
            </w:r>
          </w:p>
        </w:tc>
        <w:tc>
          <w:tcPr>
            <w:tcW w:w="709" w:type="dxa"/>
            <w:tcBorders>
              <w:top w:val="single" w:sz="4" w:space="0" w:color="auto"/>
              <w:left w:val="single" w:sz="4" w:space="0" w:color="auto"/>
              <w:bottom w:val="single" w:sz="4" w:space="0" w:color="auto"/>
              <w:right w:val="single" w:sz="4" w:space="0" w:color="auto"/>
            </w:tcBorders>
          </w:tcPr>
          <w:p w14:paraId="3B9ADD55" w14:textId="53CF3CA8" w:rsidR="00777CD8" w:rsidRPr="00B44B19" w:rsidRDefault="00777CD8" w:rsidP="00777CD8">
            <w:pPr>
              <w:jc w:val="center"/>
              <w:rPr>
                <w:rFonts w:ascii="Times New Roman" w:hAnsi="Times New Roman" w:cs="Times New Roman"/>
                <w:sz w:val="16"/>
                <w:szCs w:val="16"/>
              </w:rPr>
            </w:pPr>
            <w:r w:rsidRPr="00B44B19">
              <w:rPr>
                <w:rFonts w:ascii="Times New Roman" w:hAnsi="Times New Roman" w:cs="Times New Roman"/>
                <w:sz w:val="16"/>
                <w:szCs w:val="16"/>
              </w:rPr>
              <w:t>95 %</w:t>
            </w:r>
          </w:p>
        </w:tc>
      </w:tr>
      <w:tr w:rsidR="00295282" w:rsidRPr="00B44B19" w14:paraId="63BE3CDC" w14:textId="77777777" w:rsidTr="003040E3">
        <w:tc>
          <w:tcPr>
            <w:tcW w:w="568" w:type="dxa"/>
            <w:vMerge w:val="restart"/>
            <w:tcBorders>
              <w:right w:val="single" w:sz="4" w:space="0" w:color="auto"/>
            </w:tcBorders>
            <w:vAlign w:val="center"/>
          </w:tcPr>
          <w:p w14:paraId="6F89CF45" w14:textId="1FCD6690" w:rsidR="00295282" w:rsidRPr="00B44B19" w:rsidRDefault="00295282" w:rsidP="00295282">
            <w:pPr>
              <w:rPr>
                <w:rFonts w:ascii="Times New Roman" w:hAnsi="Times New Roman" w:cs="Times New Roman"/>
                <w:bCs/>
                <w:sz w:val="16"/>
                <w:szCs w:val="16"/>
              </w:rPr>
            </w:pPr>
            <w:r w:rsidRPr="00B44B19">
              <w:rPr>
                <w:rFonts w:ascii="Times New Roman" w:hAnsi="Times New Roman" w:cs="Times New Roman"/>
                <w:bCs/>
                <w:sz w:val="16"/>
                <w:szCs w:val="16"/>
              </w:rPr>
              <w:t>3.</w:t>
            </w:r>
          </w:p>
        </w:tc>
        <w:tc>
          <w:tcPr>
            <w:tcW w:w="851" w:type="dxa"/>
            <w:vMerge w:val="restart"/>
            <w:tcBorders>
              <w:left w:val="single" w:sz="4" w:space="0" w:color="auto"/>
              <w:right w:val="single" w:sz="4" w:space="0" w:color="auto"/>
            </w:tcBorders>
            <w:vAlign w:val="center"/>
          </w:tcPr>
          <w:p w14:paraId="14E18B3F" w14:textId="1B7B040D" w:rsidR="00295282" w:rsidRPr="00B44B19" w:rsidRDefault="00295282" w:rsidP="00295282">
            <w:pPr>
              <w:rPr>
                <w:rFonts w:ascii="Times New Roman" w:hAnsi="Times New Roman" w:cs="Times New Roman"/>
                <w:sz w:val="16"/>
                <w:szCs w:val="16"/>
              </w:rPr>
            </w:pPr>
            <w:r w:rsidRPr="00B44B19">
              <w:rPr>
                <w:rFonts w:ascii="Times New Roman" w:hAnsi="Times New Roman" w:cs="Times New Roman"/>
                <w:sz w:val="16"/>
                <w:szCs w:val="16"/>
              </w:rPr>
              <w:t>15.Gynybos infrastruktūros atsparumo ir civilinės parengties stiprinimas</w:t>
            </w:r>
          </w:p>
        </w:tc>
        <w:tc>
          <w:tcPr>
            <w:tcW w:w="850" w:type="dxa"/>
            <w:vMerge w:val="restart"/>
            <w:tcBorders>
              <w:left w:val="single" w:sz="4" w:space="0" w:color="auto"/>
              <w:right w:val="single" w:sz="4" w:space="0" w:color="auto"/>
            </w:tcBorders>
            <w:vAlign w:val="center"/>
          </w:tcPr>
          <w:p w14:paraId="2BA7A90F" w14:textId="4E407C2B" w:rsidR="00295282" w:rsidRPr="00B44B19" w:rsidRDefault="00295282" w:rsidP="00295282">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viešasis</w:t>
            </w:r>
          </w:p>
        </w:tc>
        <w:tc>
          <w:tcPr>
            <w:tcW w:w="1418" w:type="dxa"/>
            <w:gridSpan w:val="2"/>
            <w:vMerge w:val="restart"/>
            <w:tcBorders>
              <w:left w:val="single" w:sz="4" w:space="0" w:color="auto"/>
              <w:right w:val="single" w:sz="4" w:space="0" w:color="auto"/>
            </w:tcBorders>
            <w:vAlign w:val="center"/>
          </w:tcPr>
          <w:p w14:paraId="5A0D6EA1" w14:textId="45190EE9" w:rsidR="00295282" w:rsidRPr="00B44B19" w:rsidRDefault="00295282" w:rsidP="00295282">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5059E995" w14:textId="591AF750" w:rsidR="00295282" w:rsidRPr="00B44B19" w:rsidRDefault="00295282" w:rsidP="00295282">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2462E3D4" w14:textId="342E031C"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18 908 518</w:t>
            </w:r>
          </w:p>
        </w:tc>
        <w:tc>
          <w:tcPr>
            <w:tcW w:w="1276" w:type="dxa"/>
            <w:tcBorders>
              <w:top w:val="single" w:sz="4" w:space="0" w:color="auto"/>
              <w:left w:val="single" w:sz="4" w:space="0" w:color="auto"/>
              <w:bottom w:val="single" w:sz="4" w:space="0" w:color="auto"/>
              <w:right w:val="single" w:sz="4" w:space="0" w:color="auto"/>
            </w:tcBorders>
          </w:tcPr>
          <w:p w14:paraId="00CB08AC" w14:textId="643A25DC"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18 269 100</w:t>
            </w:r>
          </w:p>
        </w:tc>
        <w:tc>
          <w:tcPr>
            <w:tcW w:w="1134" w:type="dxa"/>
            <w:tcBorders>
              <w:top w:val="single" w:sz="4" w:space="0" w:color="auto"/>
              <w:left w:val="single" w:sz="4" w:space="0" w:color="auto"/>
              <w:bottom w:val="single" w:sz="4" w:space="0" w:color="auto"/>
              <w:right w:val="single" w:sz="4" w:space="0" w:color="auto"/>
            </w:tcBorders>
          </w:tcPr>
          <w:p w14:paraId="08185AFF" w14:textId="25CB4DDA"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639 418</w:t>
            </w:r>
          </w:p>
        </w:tc>
        <w:tc>
          <w:tcPr>
            <w:tcW w:w="1134" w:type="dxa"/>
            <w:tcBorders>
              <w:top w:val="single" w:sz="4" w:space="0" w:color="auto"/>
              <w:left w:val="single" w:sz="4" w:space="0" w:color="auto"/>
              <w:bottom w:val="single" w:sz="4" w:space="0" w:color="auto"/>
              <w:right w:val="single" w:sz="4" w:space="0" w:color="auto"/>
            </w:tcBorders>
          </w:tcPr>
          <w:p w14:paraId="29679812" w14:textId="08669A7B" w:rsidR="00295282" w:rsidRPr="00B44B19" w:rsidRDefault="000903E6" w:rsidP="00295282">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641A8B2" w14:textId="1A8CD616" w:rsidR="00295282" w:rsidRPr="00B44B19" w:rsidRDefault="000903E6" w:rsidP="00295282">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1FF16EB3" w14:textId="03767160"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12 605 679</w:t>
            </w:r>
          </w:p>
        </w:tc>
        <w:tc>
          <w:tcPr>
            <w:tcW w:w="1134" w:type="dxa"/>
            <w:tcBorders>
              <w:top w:val="single" w:sz="4" w:space="0" w:color="auto"/>
              <w:left w:val="single" w:sz="4" w:space="0" w:color="auto"/>
              <w:bottom w:val="single" w:sz="4" w:space="0" w:color="auto"/>
              <w:right w:val="single" w:sz="4" w:space="0" w:color="auto"/>
            </w:tcBorders>
          </w:tcPr>
          <w:p w14:paraId="0C308370" w14:textId="71E826CB"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12 605 679</w:t>
            </w:r>
          </w:p>
        </w:tc>
        <w:tc>
          <w:tcPr>
            <w:tcW w:w="1134" w:type="dxa"/>
            <w:tcBorders>
              <w:top w:val="single" w:sz="4" w:space="0" w:color="auto"/>
              <w:left w:val="single" w:sz="4" w:space="0" w:color="auto"/>
              <w:bottom w:val="single" w:sz="4" w:space="0" w:color="auto"/>
              <w:right w:val="single" w:sz="4" w:space="0" w:color="auto"/>
            </w:tcBorders>
          </w:tcPr>
          <w:p w14:paraId="3C2F1693" w14:textId="5C20DDC9" w:rsidR="00295282" w:rsidRPr="00B44B19" w:rsidRDefault="000903E6" w:rsidP="0029528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7581CE0B" w14:textId="72253F6A"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31 514 197</w:t>
            </w:r>
          </w:p>
        </w:tc>
        <w:tc>
          <w:tcPr>
            <w:tcW w:w="709" w:type="dxa"/>
            <w:tcBorders>
              <w:top w:val="single" w:sz="4" w:space="0" w:color="auto"/>
              <w:left w:val="single" w:sz="4" w:space="0" w:color="auto"/>
              <w:bottom w:val="single" w:sz="4" w:space="0" w:color="auto"/>
              <w:right w:val="single" w:sz="4" w:space="0" w:color="auto"/>
            </w:tcBorders>
          </w:tcPr>
          <w:p w14:paraId="0FCA6CD7" w14:textId="19FEC783"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60 %</w:t>
            </w:r>
          </w:p>
        </w:tc>
      </w:tr>
      <w:tr w:rsidR="00295282" w:rsidRPr="00B44B19" w14:paraId="313B26C5" w14:textId="77777777" w:rsidTr="003040E3">
        <w:tc>
          <w:tcPr>
            <w:tcW w:w="568" w:type="dxa"/>
            <w:vMerge/>
            <w:tcBorders>
              <w:bottom w:val="single" w:sz="4" w:space="0" w:color="auto"/>
              <w:right w:val="single" w:sz="4" w:space="0" w:color="auto"/>
            </w:tcBorders>
            <w:vAlign w:val="center"/>
          </w:tcPr>
          <w:p w14:paraId="16E45552" w14:textId="77777777" w:rsidR="00295282" w:rsidRPr="00B44B19" w:rsidRDefault="00295282" w:rsidP="00295282">
            <w:pPr>
              <w:rPr>
                <w:rFonts w:ascii="Times New Roman" w:hAnsi="Times New Roman" w:cs="Times New Roman"/>
                <w:bCs/>
                <w:sz w:val="16"/>
                <w:szCs w:val="16"/>
              </w:rPr>
            </w:pPr>
          </w:p>
        </w:tc>
        <w:tc>
          <w:tcPr>
            <w:tcW w:w="851" w:type="dxa"/>
            <w:vMerge/>
            <w:tcBorders>
              <w:left w:val="single" w:sz="4" w:space="0" w:color="auto"/>
              <w:bottom w:val="single" w:sz="4" w:space="0" w:color="auto"/>
              <w:right w:val="single" w:sz="4" w:space="0" w:color="auto"/>
            </w:tcBorders>
            <w:vAlign w:val="center"/>
          </w:tcPr>
          <w:p w14:paraId="50A9DEA4" w14:textId="77777777" w:rsidR="00295282" w:rsidRPr="00B44B19" w:rsidRDefault="00295282" w:rsidP="00295282">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1FCF07BB" w14:textId="77777777" w:rsidR="00295282" w:rsidRPr="00B44B19" w:rsidRDefault="00295282" w:rsidP="00295282">
            <w:pPr>
              <w:jc w:val="center"/>
              <w:rPr>
                <w:rFonts w:ascii="Times New Roman" w:hAnsi="Times New Roman" w:cs="Times New Roman"/>
                <w:bCs/>
                <w:color w:val="000000"/>
                <w:sz w:val="16"/>
                <w:szCs w:val="16"/>
              </w:rPr>
            </w:pPr>
          </w:p>
        </w:tc>
        <w:tc>
          <w:tcPr>
            <w:tcW w:w="1418" w:type="dxa"/>
            <w:gridSpan w:val="2"/>
            <w:vMerge/>
            <w:tcBorders>
              <w:left w:val="single" w:sz="4" w:space="0" w:color="auto"/>
              <w:bottom w:val="single" w:sz="4" w:space="0" w:color="auto"/>
              <w:right w:val="single" w:sz="4" w:space="0" w:color="auto"/>
            </w:tcBorders>
            <w:vAlign w:val="center"/>
          </w:tcPr>
          <w:p w14:paraId="646855B7" w14:textId="77777777" w:rsidR="00295282" w:rsidRPr="00B44B19" w:rsidRDefault="00295282" w:rsidP="00295282">
            <w:pPr>
              <w:rPr>
                <w:rFonts w:ascii="Times New Roman" w:hAnsi="Times New Roman" w:cs="Times New Roman"/>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AD43F2" w14:textId="4F5F8538" w:rsidR="00295282" w:rsidRPr="00B44B19" w:rsidRDefault="00295282" w:rsidP="00295282">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3F14550F" w14:textId="5E38A5C2"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123 403 981</w:t>
            </w:r>
          </w:p>
        </w:tc>
        <w:tc>
          <w:tcPr>
            <w:tcW w:w="1276" w:type="dxa"/>
            <w:tcBorders>
              <w:top w:val="single" w:sz="4" w:space="0" w:color="auto"/>
              <w:left w:val="single" w:sz="4" w:space="0" w:color="auto"/>
              <w:bottom w:val="single" w:sz="4" w:space="0" w:color="auto"/>
              <w:right w:val="single" w:sz="4" w:space="0" w:color="auto"/>
            </w:tcBorders>
          </w:tcPr>
          <w:p w14:paraId="0A0FF87E" w14:textId="3E3BF405"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119 230 900</w:t>
            </w:r>
          </w:p>
        </w:tc>
        <w:tc>
          <w:tcPr>
            <w:tcW w:w="1134" w:type="dxa"/>
            <w:tcBorders>
              <w:top w:val="single" w:sz="4" w:space="0" w:color="auto"/>
              <w:left w:val="single" w:sz="4" w:space="0" w:color="auto"/>
              <w:bottom w:val="single" w:sz="4" w:space="0" w:color="auto"/>
              <w:right w:val="single" w:sz="4" w:space="0" w:color="auto"/>
            </w:tcBorders>
          </w:tcPr>
          <w:p w14:paraId="21BCBDA9" w14:textId="1D0D36EA"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4 173 081</w:t>
            </w:r>
          </w:p>
        </w:tc>
        <w:tc>
          <w:tcPr>
            <w:tcW w:w="1134" w:type="dxa"/>
            <w:tcBorders>
              <w:top w:val="single" w:sz="4" w:space="0" w:color="auto"/>
              <w:left w:val="single" w:sz="4" w:space="0" w:color="auto"/>
              <w:bottom w:val="single" w:sz="4" w:space="0" w:color="auto"/>
              <w:right w:val="single" w:sz="4" w:space="0" w:color="auto"/>
            </w:tcBorders>
          </w:tcPr>
          <w:p w14:paraId="60C4C599" w14:textId="337E3D19" w:rsidR="00295282" w:rsidRPr="00B44B19" w:rsidRDefault="000903E6" w:rsidP="00295282">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7DD6A2D" w14:textId="2D956F51" w:rsidR="00295282" w:rsidRPr="00B44B19" w:rsidRDefault="000903E6" w:rsidP="00295282">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043F3A43" w14:textId="1F007358"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6 494 947</w:t>
            </w:r>
          </w:p>
        </w:tc>
        <w:tc>
          <w:tcPr>
            <w:tcW w:w="1134" w:type="dxa"/>
            <w:tcBorders>
              <w:top w:val="single" w:sz="4" w:space="0" w:color="auto"/>
              <w:left w:val="single" w:sz="4" w:space="0" w:color="auto"/>
              <w:bottom w:val="single" w:sz="4" w:space="0" w:color="auto"/>
              <w:right w:val="single" w:sz="4" w:space="0" w:color="auto"/>
            </w:tcBorders>
          </w:tcPr>
          <w:p w14:paraId="08AABDD6" w14:textId="6F55C39E"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6 494 947</w:t>
            </w:r>
          </w:p>
        </w:tc>
        <w:tc>
          <w:tcPr>
            <w:tcW w:w="1134" w:type="dxa"/>
            <w:tcBorders>
              <w:top w:val="single" w:sz="4" w:space="0" w:color="auto"/>
              <w:left w:val="single" w:sz="4" w:space="0" w:color="auto"/>
              <w:bottom w:val="single" w:sz="4" w:space="0" w:color="auto"/>
              <w:right w:val="single" w:sz="4" w:space="0" w:color="auto"/>
            </w:tcBorders>
          </w:tcPr>
          <w:p w14:paraId="194175A3" w14:textId="254C2EDC" w:rsidR="00295282" w:rsidRPr="00B44B19" w:rsidRDefault="000903E6" w:rsidP="00295282">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7F4ABF35" w14:textId="483E7DA2"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129 898 928</w:t>
            </w:r>
          </w:p>
        </w:tc>
        <w:tc>
          <w:tcPr>
            <w:tcW w:w="709" w:type="dxa"/>
            <w:tcBorders>
              <w:top w:val="single" w:sz="4" w:space="0" w:color="auto"/>
              <w:left w:val="single" w:sz="4" w:space="0" w:color="auto"/>
              <w:bottom w:val="single" w:sz="4" w:space="0" w:color="auto"/>
              <w:right w:val="single" w:sz="4" w:space="0" w:color="auto"/>
            </w:tcBorders>
          </w:tcPr>
          <w:p w14:paraId="71966204" w14:textId="206685CC" w:rsidR="00295282" w:rsidRPr="00B44B19" w:rsidRDefault="00295282" w:rsidP="00295282">
            <w:pPr>
              <w:jc w:val="center"/>
              <w:rPr>
                <w:rFonts w:ascii="Times New Roman" w:hAnsi="Times New Roman" w:cs="Times New Roman"/>
                <w:sz w:val="16"/>
                <w:szCs w:val="16"/>
              </w:rPr>
            </w:pPr>
            <w:r w:rsidRPr="00B44B19">
              <w:rPr>
                <w:rFonts w:ascii="Times New Roman" w:hAnsi="Times New Roman" w:cs="Times New Roman"/>
                <w:sz w:val="16"/>
                <w:szCs w:val="16"/>
              </w:rPr>
              <w:t>95 %</w:t>
            </w:r>
          </w:p>
        </w:tc>
      </w:tr>
      <w:tr w:rsidR="000E121C" w:rsidRPr="00B44B19" w14:paraId="1E3A367B" w14:textId="77777777" w:rsidTr="003040E3">
        <w:tc>
          <w:tcPr>
            <w:tcW w:w="568" w:type="dxa"/>
            <w:vMerge w:val="restart"/>
            <w:tcBorders>
              <w:right w:val="single" w:sz="4" w:space="0" w:color="auto"/>
            </w:tcBorders>
            <w:vAlign w:val="center"/>
          </w:tcPr>
          <w:p w14:paraId="21CA05BD" w14:textId="1339ED82" w:rsidR="000E121C" w:rsidRPr="00B44B19" w:rsidRDefault="000E121C" w:rsidP="000E121C">
            <w:pPr>
              <w:rPr>
                <w:rFonts w:ascii="Times New Roman" w:hAnsi="Times New Roman" w:cs="Times New Roman"/>
                <w:bCs/>
                <w:sz w:val="16"/>
                <w:szCs w:val="16"/>
              </w:rPr>
            </w:pPr>
            <w:r w:rsidRPr="00B44B19">
              <w:rPr>
                <w:rFonts w:ascii="Times New Roman" w:hAnsi="Times New Roman" w:cs="Times New Roman"/>
                <w:bCs/>
                <w:sz w:val="16"/>
                <w:szCs w:val="16"/>
              </w:rPr>
              <w:t>4.</w:t>
            </w:r>
          </w:p>
        </w:tc>
        <w:tc>
          <w:tcPr>
            <w:tcW w:w="851" w:type="dxa"/>
            <w:vMerge w:val="restart"/>
            <w:tcBorders>
              <w:left w:val="single" w:sz="4" w:space="0" w:color="auto"/>
              <w:right w:val="single" w:sz="4" w:space="0" w:color="auto"/>
            </w:tcBorders>
            <w:vAlign w:val="center"/>
          </w:tcPr>
          <w:p w14:paraId="5E4AF33C" w14:textId="5E021FBE" w:rsidR="000E121C" w:rsidRPr="00B44B19" w:rsidRDefault="000E121C" w:rsidP="000E121C">
            <w:pPr>
              <w:rPr>
                <w:rFonts w:ascii="Times New Roman" w:hAnsi="Times New Roman" w:cs="Times New Roman"/>
                <w:sz w:val="16"/>
                <w:szCs w:val="16"/>
              </w:rPr>
            </w:pPr>
            <w:r w:rsidRPr="00B44B19">
              <w:rPr>
                <w:rFonts w:ascii="Times New Roman" w:hAnsi="Times New Roman" w:cs="Times New Roman"/>
                <w:sz w:val="16"/>
                <w:szCs w:val="16"/>
              </w:rPr>
              <w:t>16.Civilinės parengties įgūdžių skatinimas</w:t>
            </w:r>
          </w:p>
        </w:tc>
        <w:tc>
          <w:tcPr>
            <w:tcW w:w="850" w:type="dxa"/>
            <w:vMerge w:val="restart"/>
            <w:tcBorders>
              <w:left w:val="single" w:sz="4" w:space="0" w:color="auto"/>
              <w:right w:val="single" w:sz="4" w:space="0" w:color="auto"/>
            </w:tcBorders>
            <w:vAlign w:val="center"/>
          </w:tcPr>
          <w:p w14:paraId="7C621AE3" w14:textId="15095D4A" w:rsidR="000E121C" w:rsidRPr="00B44B19" w:rsidRDefault="000E121C" w:rsidP="000E121C">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viešasis</w:t>
            </w:r>
          </w:p>
        </w:tc>
        <w:tc>
          <w:tcPr>
            <w:tcW w:w="1418" w:type="dxa"/>
            <w:gridSpan w:val="2"/>
            <w:vMerge w:val="restart"/>
            <w:tcBorders>
              <w:left w:val="single" w:sz="4" w:space="0" w:color="auto"/>
              <w:right w:val="single" w:sz="4" w:space="0" w:color="auto"/>
            </w:tcBorders>
            <w:vAlign w:val="center"/>
          </w:tcPr>
          <w:p w14:paraId="5AAE6B5A" w14:textId="7BBB8291" w:rsidR="000E121C" w:rsidRPr="00B44B19" w:rsidRDefault="000E121C" w:rsidP="000E121C">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ESF+</w:t>
            </w:r>
          </w:p>
        </w:tc>
        <w:tc>
          <w:tcPr>
            <w:tcW w:w="992" w:type="dxa"/>
            <w:tcBorders>
              <w:top w:val="single" w:sz="4" w:space="0" w:color="auto"/>
              <w:left w:val="single" w:sz="4" w:space="0" w:color="auto"/>
              <w:bottom w:val="single" w:sz="4" w:space="0" w:color="auto"/>
              <w:right w:val="single" w:sz="4" w:space="0" w:color="auto"/>
            </w:tcBorders>
            <w:vAlign w:val="center"/>
          </w:tcPr>
          <w:p w14:paraId="70594352" w14:textId="1C1EBC36" w:rsidR="000E121C" w:rsidRPr="00B44B19" w:rsidRDefault="000E121C" w:rsidP="000E121C">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2B7882A6" w14:textId="22FD52CD"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415 781</w:t>
            </w:r>
          </w:p>
        </w:tc>
        <w:tc>
          <w:tcPr>
            <w:tcW w:w="1276" w:type="dxa"/>
            <w:tcBorders>
              <w:top w:val="single" w:sz="4" w:space="0" w:color="auto"/>
              <w:left w:val="single" w:sz="4" w:space="0" w:color="auto"/>
              <w:bottom w:val="single" w:sz="4" w:space="0" w:color="auto"/>
              <w:right w:val="single" w:sz="4" w:space="0" w:color="auto"/>
            </w:tcBorders>
          </w:tcPr>
          <w:p w14:paraId="4938D679" w14:textId="6B5E5378"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399 790</w:t>
            </w:r>
          </w:p>
        </w:tc>
        <w:tc>
          <w:tcPr>
            <w:tcW w:w="1134" w:type="dxa"/>
            <w:tcBorders>
              <w:top w:val="single" w:sz="4" w:space="0" w:color="auto"/>
              <w:left w:val="single" w:sz="4" w:space="0" w:color="auto"/>
              <w:bottom w:val="single" w:sz="4" w:space="0" w:color="auto"/>
              <w:right w:val="single" w:sz="4" w:space="0" w:color="auto"/>
            </w:tcBorders>
          </w:tcPr>
          <w:p w14:paraId="2488B454" w14:textId="1CB509FF"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15 991</w:t>
            </w:r>
          </w:p>
        </w:tc>
        <w:tc>
          <w:tcPr>
            <w:tcW w:w="1134" w:type="dxa"/>
            <w:tcBorders>
              <w:top w:val="single" w:sz="4" w:space="0" w:color="auto"/>
              <w:left w:val="single" w:sz="4" w:space="0" w:color="auto"/>
              <w:bottom w:val="single" w:sz="4" w:space="0" w:color="auto"/>
              <w:right w:val="single" w:sz="4" w:space="0" w:color="auto"/>
            </w:tcBorders>
          </w:tcPr>
          <w:p w14:paraId="2B7AC239" w14:textId="16A20AC9"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F79D808" w14:textId="2E422DE5"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20615DC9" w14:textId="684D4896"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277 188</w:t>
            </w:r>
          </w:p>
        </w:tc>
        <w:tc>
          <w:tcPr>
            <w:tcW w:w="1134" w:type="dxa"/>
            <w:tcBorders>
              <w:top w:val="single" w:sz="4" w:space="0" w:color="auto"/>
              <w:left w:val="single" w:sz="4" w:space="0" w:color="auto"/>
              <w:bottom w:val="single" w:sz="4" w:space="0" w:color="auto"/>
              <w:right w:val="single" w:sz="4" w:space="0" w:color="auto"/>
            </w:tcBorders>
          </w:tcPr>
          <w:p w14:paraId="5257A84F" w14:textId="77E6913C"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277 188</w:t>
            </w:r>
          </w:p>
        </w:tc>
        <w:tc>
          <w:tcPr>
            <w:tcW w:w="1134" w:type="dxa"/>
            <w:tcBorders>
              <w:top w:val="single" w:sz="4" w:space="0" w:color="auto"/>
              <w:left w:val="single" w:sz="4" w:space="0" w:color="auto"/>
              <w:bottom w:val="single" w:sz="4" w:space="0" w:color="auto"/>
              <w:right w:val="single" w:sz="4" w:space="0" w:color="auto"/>
            </w:tcBorders>
          </w:tcPr>
          <w:p w14:paraId="07E0B2B3" w14:textId="3F923C3D" w:rsidR="000E121C" w:rsidRPr="00B44B19" w:rsidRDefault="000903E6" w:rsidP="000E121C">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523421E4" w14:textId="635E9678"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692 969</w:t>
            </w:r>
          </w:p>
        </w:tc>
        <w:tc>
          <w:tcPr>
            <w:tcW w:w="709" w:type="dxa"/>
            <w:tcBorders>
              <w:top w:val="single" w:sz="4" w:space="0" w:color="auto"/>
              <w:left w:val="single" w:sz="4" w:space="0" w:color="auto"/>
              <w:bottom w:val="single" w:sz="4" w:space="0" w:color="auto"/>
              <w:right w:val="single" w:sz="4" w:space="0" w:color="auto"/>
            </w:tcBorders>
          </w:tcPr>
          <w:p w14:paraId="35050FC1" w14:textId="3EBF542F"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60 %</w:t>
            </w:r>
          </w:p>
        </w:tc>
      </w:tr>
      <w:tr w:rsidR="000E121C" w:rsidRPr="00B44B19" w14:paraId="474EEBB2" w14:textId="77777777" w:rsidTr="003040E3">
        <w:tc>
          <w:tcPr>
            <w:tcW w:w="568" w:type="dxa"/>
            <w:vMerge/>
            <w:tcBorders>
              <w:bottom w:val="single" w:sz="4" w:space="0" w:color="auto"/>
              <w:right w:val="single" w:sz="4" w:space="0" w:color="auto"/>
            </w:tcBorders>
            <w:vAlign w:val="center"/>
          </w:tcPr>
          <w:p w14:paraId="213D1753" w14:textId="77777777" w:rsidR="000E121C" w:rsidRPr="00B44B19" w:rsidRDefault="000E121C" w:rsidP="000E121C">
            <w:pPr>
              <w:rPr>
                <w:rFonts w:ascii="Times New Roman" w:hAnsi="Times New Roman" w:cs="Times New Roman"/>
                <w:bCs/>
                <w:sz w:val="16"/>
                <w:szCs w:val="16"/>
              </w:rPr>
            </w:pPr>
          </w:p>
        </w:tc>
        <w:tc>
          <w:tcPr>
            <w:tcW w:w="851" w:type="dxa"/>
            <w:vMerge/>
            <w:tcBorders>
              <w:left w:val="single" w:sz="4" w:space="0" w:color="auto"/>
              <w:bottom w:val="single" w:sz="4" w:space="0" w:color="auto"/>
              <w:right w:val="single" w:sz="4" w:space="0" w:color="auto"/>
            </w:tcBorders>
            <w:vAlign w:val="center"/>
          </w:tcPr>
          <w:p w14:paraId="3FB48D50" w14:textId="77777777" w:rsidR="000E121C" w:rsidRPr="00B44B19" w:rsidRDefault="000E121C" w:rsidP="000E121C">
            <w:pPr>
              <w:rPr>
                <w:rFonts w:ascii="Times New Roman" w:hAnsi="Times New Roman"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0C9E1ED1" w14:textId="77777777" w:rsidR="000E121C" w:rsidRPr="00B44B19" w:rsidRDefault="000E121C" w:rsidP="000E121C">
            <w:pPr>
              <w:jc w:val="center"/>
              <w:rPr>
                <w:rFonts w:ascii="Times New Roman" w:hAnsi="Times New Roman" w:cs="Times New Roman"/>
                <w:bCs/>
                <w:color w:val="000000"/>
                <w:sz w:val="16"/>
                <w:szCs w:val="16"/>
              </w:rPr>
            </w:pPr>
          </w:p>
        </w:tc>
        <w:tc>
          <w:tcPr>
            <w:tcW w:w="1418" w:type="dxa"/>
            <w:gridSpan w:val="2"/>
            <w:vMerge/>
            <w:tcBorders>
              <w:left w:val="single" w:sz="4" w:space="0" w:color="auto"/>
              <w:bottom w:val="single" w:sz="4" w:space="0" w:color="auto"/>
              <w:right w:val="single" w:sz="4" w:space="0" w:color="auto"/>
            </w:tcBorders>
            <w:vAlign w:val="center"/>
          </w:tcPr>
          <w:p w14:paraId="2910E8DB" w14:textId="77777777" w:rsidR="000E121C" w:rsidRPr="00B44B19" w:rsidRDefault="000E121C" w:rsidP="000E121C">
            <w:pPr>
              <w:rPr>
                <w:rFonts w:ascii="Times New Roman" w:hAnsi="Times New Roman" w:cs="Times New Roman"/>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8C1E47E" w14:textId="62271B4A" w:rsidR="000E121C" w:rsidRPr="00B44B19" w:rsidRDefault="000E121C" w:rsidP="000E121C">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11675B77" w14:textId="4D0D59B4"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14 473 044</w:t>
            </w:r>
          </w:p>
        </w:tc>
        <w:tc>
          <w:tcPr>
            <w:tcW w:w="1276" w:type="dxa"/>
            <w:tcBorders>
              <w:top w:val="single" w:sz="4" w:space="0" w:color="auto"/>
              <w:left w:val="single" w:sz="4" w:space="0" w:color="auto"/>
              <w:bottom w:val="single" w:sz="4" w:space="0" w:color="auto"/>
              <w:right w:val="single" w:sz="4" w:space="0" w:color="auto"/>
            </w:tcBorders>
          </w:tcPr>
          <w:p w14:paraId="452CA5B8" w14:textId="143724F0"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13 916 389</w:t>
            </w:r>
          </w:p>
        </w:tc>
        <w:tc>
          <w:tcPr>
            <w:tcW w:w="1134" w:type="dxa"/>
            <w:tcBorders>
              <w:top w:val="single" w:sz="4" w:space="0" w:color="auto"/>
              <w:left w:val="single" w:sz="4" w:space="0" w:color="auto"/>
              <w:bottom w:val="single" w:sz="4" w:space="0" w:color="auto"/>
              <w:right w:val="single" w:sz="4" w:space="0" w:color="auto"/>
            </w:tcBorders>
          </w:tcPr>
          <w:p w14:paraId="5CDE543E" w14:textId="2290B6CC"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556 655</w:t>
            </w:r>
          </w:p>
        </w:tc>
        <w:tc>
          <w:tcPr>
            <w:tcW w:w="1134" w:type="dxa"/>
            <w:tcBorders>
              <w:top w:val="single" w:sz="4" w:space="0" w:color="auto"/>
              <w:left w:val="single" w:sz="4" w:space="0" w:color="auto"/>
              <w:bottom w:val="single" w:sz="4" w:space="0" w:color="auto"/>
              <w:right w:val="single" w:sz="4" w:space="0" w:color="auto"/>
            </w:tcBorders>
          </w:tcPr>
          <w:p w14:paraId="5852A48A" w14:textId="46B80611"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57F300D" w14:textId="5D47E1CC"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2B634E79" w14:textId="24C17F03"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761 740</w:t>
            </w:r>
          </w:p>
        </w:tc>
        <w:tc>
          <w:tcPr>
            <w:tcW w:w="1134" w:type="dxa"/>
            <w:tcBorders>
              <w:top w:val="single" w:sz="4" w:space="0" w:color="auto"/>
              <w:left w:val="single" w:sz="4" w:space="0" w:color="auto"/>
              <w:bottom w:val="single" w:sz="4" w:space="0" w:color="auto"/>
              <w:right w:val="single" w:sz="4" w:space="0" w:color="auto"/>
            </w:tcBorders>
          </w:tcPr>
          <w:p w14:paraId="1BC6333A" w14:textId="2E3253D5"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761 740</w:t>
            </w:r>
          </w:p>
        </w:tc>
        <w:tc>
          <w:tcPr>
            <w:tcW w:w="1134" w:type="dxa"/>
            <w:tcBorders>
              <w:top w:val="single" w:sz="4" w:space="0" w:color="auto"/>
              <w:left w:val="single" w:sz="4" w:space="0" w:color="auto"/>
              <w:bottom w:val="single" w:sz="4" w:space="0" w:color="auto"/>
              <w:right w:val="single" w:sz="4" w:space="0" w:color="auto"/>
            </w:tcBorders>
          </w:tcPr>
          <w:p w14:paraId="1DA8058C" w14:textId="733FDF72" w:rsidR="000E121C" w:rsidRPr="00B44B19" w:rsidRDefault="000903E6" w:rsidP="000E121C">
            <w:pPr>
              <w:jc w:val="center"/>
              <w:rPr>
                <w:rFonts w:ascii="Times New Roman" w:hAnsi="Times New Roman" w:cs="Times New Roman"/>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51E99EA8" w14:textId="5BC6DFA1"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15 234 784</w:t>
            </w:r>
          </w:p>
        </w:tc>
        <w:tc>
          <w:tcPr>
            <w:tcW w:w="709" w:type="dxa"/>
            <w:tcBorders>
              <w:top w:val="single" w:sz="4" w:space="0" w:color="auto"/>
              <w:left w:val="single" w:sz="4" w:space="0" w:color="auto"/>
              <w:bottom w:val="single" w:sz="4" w:space="0" w:color="auto"/>
              <w:right w:val="single" w:sz="4" w:space="0" w:color="auto"/>
            </w:tcBorders>
          </w:tcPr>
          <w:p w14:paraId="0A7861DC" w14:textId="777E07BD"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95 %</w:t>
            </w:r>
          </w:p>
        </w:tc>
      </w:tr>
      <w:tr w:rsidR="000E121C" w:rsidRPr="00B44B19" w14:paraId="4E40892C" w14:textId="77777777" w:rsidTr="003040E3">
        <w:tc>
          <w:tcPr>
            <w:tcW w:w="568" w:type="dxa"/>
            <w:vMerge w:val="restart"/>
            <w:tcBorders>
              <w:right w:val="single" w:sz="4" w:space="0" w:color="auto"/>
            </w:tcBorders>
            <w:vAlign w:val="center"/>
          </w:tcPr>
          <w:p w14:paraId="63841F8B" w14:textId="4D82FF9F" w:rsidR="000E121C" w:rsidRPr="00B44B19" w:rsidRDefault="000E121C" w:rsidP="000E121C">
            <w:pPr>
              <w:rPr>
                <w:rFonts w:ascii="Times New Roman" w:hAnsi="Times New Roman" w:cs="Times New Roman"/>
                <w:bCs/>
                <w:sz w:val="16"/>
                <w:szCs w:val="16"/>
              </w:rPr>
            </w:pPr>
            <w:r w:rsidRPr="00B44B19">
              <w:rPr>
                <w:rFonts w:ascii="Times New Roman" w:hAnsi="Times New Roman" w:cs="Times New Roman"/>
                <w:bCs/>
                <w:sz w:val="16"/>
                <w:szCs w:val="16"/>
              </w:rPr>
              <w:t>4.</w:t>
            </w:r>
          </w:p>
        </w:tc>
        <w:tc>
          <w:tcPr>
            <w:tcW w:w="851" w:type="dxa"/>
            <w:vMerge w:val="restart"/>
            <w:tcBorders>
              <w:left w:val="single" w:sz="4" w:space="0" w:color="auto"/>
              <w:right w:val="single" w:sz="4" w:space="0" w:color="auto"/>
            </w:tcBorders>
            <w:vAlign w:val="center"/>
          </w:tcPr>
          <w:p w14:paraId="5EBAF142" w14:textId="57B239AC" w:rsidR="000E121C" w:rsidRPr="00B44B19" w:rsidRDefault="000E121C" w:rsidP="000E121C">
            <w:pPr>
              <w:rPr>
                <w:rFonts w:ascii="Times New Roman" w:hAnsi="Times New Roman" w:cs="Times New Roman"/>
                <w:sz w:val="16"/>
                <w:szCs w:val="16"/>
              </w:rPr>
            </w:pPr>
            <w:r w:rsidRPr="00B44B19">
              <w:rPr>
                <w:rFonts w:ascii="Times New Roman" w:hAnsi="Times New Roman" w:cs="Times New Roman"/>
                <w:sz w:val="16"/>
                <w:szCs w:val="16"/>
              </w:rPr>
              <w:t>17.Socialinio būsto plėtra</w:t>
            </w:r>
          </w:p>
        </w:tc>
        <w:tc>
          <w:tcPr>
            <w:tcW w:w="850" w:type="dxa"/>
            <w:vMerge w:val="restart"/>
            <w:tcBorders>
              <w:left w:val="single" w:sz="4" w:space="0" w:color="auto"/>
              <w:right w:val="single" w:sz="4" w:space="0" w:color="auto"/>
            </w:tcBorders>
            <w:vAlign w:val="center"/>
          </w:tcPr>
          <w:p w14:paraId="44C6620B" w14:textId="009AF3AA" w:rsidR="000E121C" w:rsidRPr="00B44B19" w:rsidRDefault="000E121C" w:rsidP="000E121C">
            <w:pPr>
              <w:jc w:val="cente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Iš viso</w:t>
            </w:r>
          </w:p>
        </w:tc>
        <w:tc>
          <w:tcPr>
            <w:tcW w:w="1418" w:type="dxa"/>
            <w:gridSpan w:val="2"/>
            <w:vMerge w:val="restart"/>
            <w:tcBorders>
              <w:left w:val="single" w:sz="4" w:space="0" w:color="auto"/>
              <w:right w:val="single" w:sz="4" w:space="0" w:color="auto"/>
            </w:tcBorders>
            <w:vAlign w:val="center"/>
          </w:tcPr>
          <w:p w14:paraId="09AC1D83" w14:textId="130079D4" w:rsidR="000E121C" w:rsidRPr="00B44B19" w:rsidRDefault="000E121C" w:rsidP="000E121C">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ERPF</w:t>
            </w:r>
          </w:p>
        </w:tc>
        <w:tc>
          <w:tcPr>
            <w:tcW w:w="992" w:type="dxa"/>
            <w:tcBorders>
              <w:top w:val="single" w:sz="4" w:space="0" w:color="auto"/>
              <w:left w:val="single" w:sz="4" w:space="0" w:color="auto"/>
              <w:bottom w:val="single" w:sz="4" w:space="0" w:color="auto"/>
              <w:right w:val="single" w:sz="4" w:space="0" w:color="auto"/>
            </w:tcBorders>
            <w:vAlign w:val="center"/>
          </w:tcPr>
          <w:p w14:paraId="2AF4D214" w14:textId="1A11E022" w:rsidR="000E121C" w:rsidRPr="00B44B19" w:rsidRDefault="000E121C" w:rsidP="000E121C">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0D2C188B" w14:textId="38FBDF36"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19 147 500</w:t>
            </w:r>
          </w:p>
        </w:tc>
        <w:tc>
          <w:tcPr>
            <w:tcW w:w="1276" w:type="dxa"/>
            <w:tcBorders>
              <w:top w:val="single" w:sz="4" w:space="0" w:color="auto"/>
              <w:left w:val="single" w:sz="4" w:space="0" w:color="auto"/>
              <w:bottom w:val="single" w:sz="4" w:space="0" w:color="auto"/>
              <w:right w:val="single" w:sz="4" w:space="0" w:color="auto"/>
            </w:tcBorders>
          </w:tcPr>
          <w:p w14:paraId="6FB646B6" w14:textId="31AEF6B5"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18 500 000</w:t>
            </w:r>
          </w:p>
        </w:tc>
        <w:tc>
          <w:tcPr>
            <w:tcW w:w="1134" w:type="dxa"/>
            <w:tcBorders>
              <w:top w:val="single" w:sz="4" w:space="0" w:color="auto"/>
              <w:left w:val="single" w:sz="4" w:space="0" w:color="auto"/>
              <w:bottom w:val="single" w:sz="4" w:space="0" w:color="auto"/>
              <w:right w:val="single" w:sz="4" w:space="0" w:color="auto"/>
            </w:tcBorders>
          </w:tcPr>
          <w:p w14:paraId="3EC3B97D" w14:textId="203B3A4C"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647 500</w:t>
            </w:r>
          </w:p>
        </w:tc>
        <w:tc>
          <w:tcPr>
            <w:tcW w:w="1134" w:type="dxa"/>
            <w:tcBorders>
              <w:top w:val="single" w:sz="4" w:space="0" w:color="auto"/>
              <w:left w:val="single" w:sz="4" w:space="0" w:color="auto"/>
              <w:bottom w:val="single" w:sz="4" w:space="0" w:color="auto"/>
              <w:right w:val="single" w:sz="4" w:space="0" w:color="auto"/>
            </w:tcBorders>
          </w:tcPr>
          <w:p w14:paraId="75AFD689" w14:textId="36F6DFBB"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5C635B6" w14:textId="3DFCA3E4"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50076F57" w14:textId="1B384676"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12 765 000</w:t>
            </w:r>
          </w:p>
        </w:tc>
        <w:tc>
          <w:tcPr>
            <w:tcW w:w="1134" w:type="dxa"/>
            <w:tcBorders>
              <w:top w:val="single" w:sz="4" w:space="0" w:color="auto"/>
              <w:left w:val="single" w:sz="4" w:space="0" w:color="auto"/>
              <w:bottom w:val="single" w:sz="4" w:space="0" w:color="auto"/>
              <w:right w:val="single" w:sz="4" w:space="0" w:color="auto"/>
            </w:tcBorders>
          </w:tcPr>
          <w:p w14:paraId="48474FEC" w14:textId="58F3CFF8"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11 488 500</w:t>
            </w:r>
          </w:p>
        </w:tc>
        <w:tc>
          <w:tcPr>
            <w:tcW w:w="1134" w:type="dxa"/>
            <w:tcBorders>
              <w:top w:val="single" w:sz="4" w:space="0" w:color="auto"/>
              <w:left w:val="single" w:sz="4" w:space="0" w:color="auto"/>
              <w:bottom w:val="single" w:sz="4" w:space="0" w:color="auto"/>
              <w:right w:val="single" w:sz="4" w:space="0" w:color="auto"/>
            </w:tcBorders>
          </w:tcPr>
          <w:p w14:paraId="72D1D91D" w14:textId="1C7E324A"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1 276 500</w:t>
            </w:r>
          </w:p>
        </w:tc>
        <w:tc>
          <w:tcPr>
            <w:tcW w:w="1275" w:type="dxa"/>
            <w:tcBorders>
              <w:top w:val="single" w:sz="4" w:space="0" w:color="auto"/>
              <w:left w:val="single" w:sz="4" w:space="0" w:color="auto"/>
              <w:bottom w:val="single" w:sz="4" w:space="0" w:color="auto"/>
              <w:right w:val="single" w:sz="4" w:space="0" w:color="auto"/>
            </w:tcBorders>
          </w:tcPr>
          <w:p w14:paraId="77831934" w14:textId="305C0884"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31 912 500</w:t>
            </w:r>
          </w:p>
        </w:tc>
        <w:tc>
          <w:tcPr>
            <w:tcW w:w="709" w:type="dxa"/>
            <w:tcBorders>
              <w:top w:val="single" w:sz="4" w:space="0" w:color="auto"/>
              <w:left w:val="single" w:sz="4" w:space="0" w:color="auto"/>
              <w:bottom w:val="single" w:sz="4" w:space="0" w:color="auto"/>
              <w:right w:val="single" w:sz="4" w:space="0" w:color="auto"/>
            </w:tcBorders>
          </w:tcPr>
          <w:p w14:paraId="7B6AE0D7" w14:textId="55BF7C4E"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60 %</w:t>
            </w:r>
          </w:p>
        </w:tc>
      </w:tr>
      <w:tr w:rsidR="000E121C" w:rsidRPr="00B44B19" w14:paraId="6CE29A2A" w14:textId="77777777" w:rsidTr="003040E3">
        <w:tc>
          <w:tcPr>
            <w:tcW w:w="568" w:type="dxa"/>
            <w:vMerge/>
            <w:tcBorders>
              <w:bottom w:val="single" w:sz="4" w:space="0" w:color="auto"/>
              <w:right w:val="single" w:sz="4" w:space="0" w:color="auto"/>
            </w:tcBorders>
            <w:vAlign w:val="center"/>
          </w:tcPr>
          <w:p w14:paraId="20B9943E" w14:textId="77777777" w:rsidR="000E121C" w:rsidRPr="00B44B19" w:rsidRDefault="000E121C" w:rsidP="000E121C">
            <w:pPr>
              <w:rPr>
                <w:rFonts w:ascii="Times New Roman" w:hAnsi="Times New Roman" w:cs="Times New Roman"/>
                <w:bCs/>
                <w:sz w:val="16"/>
                <w:szCs w:val="16"/>
              </w:rPr>
            </w:pPr>
          </w:p>
        </w:tc>
        <w:tc>
          <w:tcPr>
            <w:tcW w:w="851" w:type="dxa"/>
            <w:vMerge/>
            <w:tcBorders>
              <w:left w:val="single" w:sz="4" w:space="0" w:color="auto"/>
              <w:bottom w:val="single" w:sz="4" w:space="0" w:color="auto"/>
              <w:right w:val="single" w:sz="4" w:space="0" w:color="auto"/>
            </w:tcBorders>
            <w:vAlign w:val="center"/>
          </w:tcPr>
          <w:p w14:paraId="0A78DA5B" w14:textId="77777777" w:rsidR="000E121C" w:rsidRPr="00B44B19" w:rsidRDefault="000E121C" w:rsidP="000E121C">
            <w:pPr>
              <w:rPr>
                <w:rFonts w:ascii="Times New Roman" w:hAnsi="Times New Roman" w:cs="Times New Roman"/>
                <w:color w:val="FF0000"/>
                <w:sz w:val="16"/>
                <w:szCs w:val="16"/>
              </w:rPr>
            </w:pPr>
          </w:p>
        </w:tc>
        <w:tc>
          <w:tcPr>
            <w:tcW w:w="850" w:type="dxa"/>
            <w:vMerge/>
            <w:tcBorders>
              <w:left w:val="single" w:sz="4" w:space="0" w:color="auto"/>
              <w:bottom w:val="single" w:sz="4" w:space="0" w:color="auto"/>
              <w:right w:val="single" w:sz="4" w:space="0" w:color="auto"/>
            </w:tcBorders>
            <w:vAlign w:val="center"/>
          </w:tcPr>
          <w:p w14:paraId="595D81A4" w14:textId="77777777" w:rsidR="000E121C" w:rsidRPr="00B44B19" w:rsidRDefault="000E121C" w:rsidP="000E121C">
            <w:pPr>
              <w:jc w:val="center"/>
              <w:rPr>
                <w:rFonts w:ascii="Times New Roman" w:hAnsi="Times New Roman" w:cs="Times New Roman"/>
                <w:bCs/>
                <w:color w:val="000000"/>
                <w:sz w:val="16"/>
                <w:szCs w:val="16"/>
              </w:rPr>
            </w:pPr>
          </w:p>
        </w:tc>
        <w:tc>
          <w:tcPr>
            <w:tcW w:w="1418" w:type="dxa"/>
            <w:gridSpan w:val="2"/>
            <w:vMerge/>
            <w:tcBorders>
              <w:left w:val="single" w:sz="4" w:space="0" w:color="auto"/>
              <w:bottom w:val="single" w:sz="4" w:space="0" w:color="auto"/>
              <w:right w:val="single" w:sz="4" w:space="0" w:color="auto"/>
            </w:tcBorders>
            <w:vAlign w:val="center"/>
          </w:tcPr>
          <w:p w14:paraId="73434D56" w14:textId="77777777" w:rsidR="000E121C" w:rsidRPr="00B44B19" w:rsidRDefault="000E121C" w:rsidP="000E121C">
            <w:pPr>
              <w:rPr>
                <w:rFonts w:ascii="Times New Roman" w:hAnsi="Times New Roman" w:cs="Times New Roman"/>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7FAD77F" w14:textId="3AD03CE7" w:rsidR="000E121C" w:rsidRPr="00B44B19" w:rsidRDefault="000E121C" w:rsidP="000E121C">
            <w:pPr>
              <w:rPr>
                <w:rFonts w:ascii="Times New Roman" w:hAnsi="Times New Roman" w:cs="Times New Roman"/>
                <w:bCs/>
                <w:color w:val="000000"/>
                <w:sz w:val="16"/>
                <w:szCs w:val="16"/>
              </w:rPr>
            </w:pPr>
            <w:r w:rsidRPr="00B44B19">
              <w:rPr>
                <w:rFonts w:ascii="Times New Roman" w:hAnsi="Times New Roman" w:cs="Times New Roman"/>
                <w:bCs/>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6D2A1BB2" w14:textId="2E1099B3"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35 707 500</w:t>
            </w:r>
          </w:p>
        </w:tc>
        <w:tc>
          <w:tcPr>
            <w:tcW w:w="1276" w:type="dxa"/>
            <w:tcBorders>
              <w:top w:val="single" w:sz="4" w:space="0" w:color="auto"/>
              <w:left w:val="single" w:sz="4" w:space="0" w:color="auto"/>
              <w:bottom w:val="single" w:sz="4" w:space="0" w:color="auto"/>
              <w:right w:val="single" w:sz="4" w:space="0" w:color="auto"/>
            </w:tcBorders>
          </w:tcPr>
          <w:p w14:paraId="03755F8C" w14:textId="4DE527F1"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34 500 000</w:t>
            </w:r>
          </w:p>
        </w:tc>
        <w:tc>
          <w:tcPr>
            <w:tcW w:w="1134" w:type="dxa"/>
            <w:tcBorders>
              <w:top w:val="single" w:sz="4" w:space="0" w:color="auto"/>
              <w:left w:val="single" w:sz="4" w:space="0" w:color="auto"/>
              <w:bottom w:val="single" w:sz="4" w:space="0" w:color="auto"/>
              <w:right w:val="single" w:sz="4" w:space="0" w:color="auto"/>
            </w:tcBorders>
          </w:tcPr>
          <w:p w14:paraId="48DF3648" w14:textId="6B3A2011"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1 207 500</w:t>
            </w:r>
          </w:p>
        </w:tc>
        <w:tc>
          <w:tcPr>
            <w:tcW w:w="1134" w:type="dxa"/>
            <w:tcBorders>
              <w:top w:val="single" w:sz="4" w:space="0" w:color="auto"/>
              <w:left w:val="single" w:sz="4" w:space="0" w:color="auto"/>
              <w:bottom w:val="single" w:sz="4" w:space="0" w:color="auto"/>
              <w:right w:val="single" w:sz="4" w:space="0" w:color="auto"/>
            </w:tcBorders>
          </w:tcPr>
          <w:p w14:paraId="36323961" w14:textId="6F89940A"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FD0142E" w14:textId="1A1C450A" w:rsidR="000E121C" w:rsidRPr="00B44B19" w:rsidRDefault="000903E6" w:rsidP="000E121C">
            <w:pPr>
              <w:jc w:val="center"/>
              <w:rPr>
                <w:rFonts w:ascii="Times New Roman" w:eastAsia="TimesNewRoman" w:hAnsi="Times New Roman" w:cs="Times New Roman"/>
                <w:bCs/>
                <w:color w:val="000000"/>
                <w:sz w:val="16"/>
                <w:szCs w:val="16"/>
              </w:rPr>
            </w:pPr>
            <w:r w:rsidRPr="00B44B19">
              <w:rPr>
                <w:rFonts w:ascii="Times New Roman" w:eastAsia="TimesNewRoman" w:hAnsi="Times New Roman" w:cs="Times New Roman"/>
                <w:bCs/>
                <w:color w:val="000000"/>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2CA30FAA" w14:textId="2FED0C03"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1 879 343</w:t>
            </w:r>
          </w:p>
        </w:tc>
        <w:tc>
          <w:tcPr>
            <w:tcW w:w="1134" w:type="dxa"/>
            <w:tcBorders>
              <w:top w:val="single" w:sz="4" w:space="0" w:color="auto"/>
              <w:left w:val="single" w:sz="4" w:space="0" w:color="auto"/>
              <w:bottom w:val="single" w:sz="4" w:space="0" w:color="auto"/>
              <w:right w:val="single" w:sz="4" w:space="0" w:color="auto"/>
            </w:tcBorders>
          </w:tcPr>
          <w:p w14:paraId="069CB644" w14:textId="33F28EDB"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1 691 408</w:t>
            </w:r>
          </w:p>
        </w:tc>
        <w:tc>
          <w:tcPr>
            <w:tcW w:w="1134" w:type="dxa"/>
            <w:tcBorders>
              <w:top w:val="single" w:sz="4" w:space="0" w:color="auto"/>
              <w:left w:val="single" w:sz="4" w:space="0" w:color="auto"/>
              <w:bottom w:val="single" w:sz="4" w:space="0" w:color="auto"/>
              <w:right w:val="single" w:sz="4" w:space="0" w:color="auto"/>
            </w:tcBorders>
          </w:tcPr>
          <w:p w14:paraId="45090972" w14:textId="7B5F3123"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187 935</w:t>
            </w:r>
          </w:p>
        </w:tc>
        <w:tc>
          <w:tcPr>
            <w:tcW w:w="1275" w:type="dxa"/>
            <w:tcBorders>
              <w:top w:val="single" w:sz="4" w:space="0" w:color="auto"/>
              <w:left w:val="single" w:sz="4" w:space="0" w:color="auto"/>
              <w:bottom w:val="single" w:sz="4" w:space="0" w:color="auto"/>
              <w:right w:val="single" w:sz="4" w:space="0" w:color="auto"/>
            </w:tcBorders>
          </w:tcPr>
          <w:p w14:paraId="06BC43D8" w14:textId="0DECF3CB"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37 586 843</w:t>
            </w:r>
          </w:p>
        </w:tc>
        <w:tc>
          <w:tcPr>
            <w:tcW w:w="709" w:type="dxa"/>
            <w:tcBorders>
              <w:top w:val="single" w:sz="4" w:space="0" w:color="auto"/>
              <w:left w:val="single" w:sz="4" w:space="0" w:color="auto"/>
              <w:bottom w:val="single" w:sz="4" w:space="0" w:color="auto"/>
              <w:right w:val="single" w:sz="4" w:space="0" w:color="auto"/>
            </w:tcBorders>
          </w:tcPr>
          <w:p w14:paraId="7F835862" w14:textId="565171C2" w:rsidR="000E121C" w:rsidRPr="00B44B19" w:rsidRDefault="000E121C" w:rsidP="000E121C">
            <w:pPr>
              <w:jc w:val="center"/>
              <w:rPr>
                <w:rFonts w:ascii="Times New Roman" w:hAnsi="Times New Roman" w:cs="Times New Roman"/>
                <w:sz w:val="16"/>
                <w:szCs w:val="16"/>
              </w:rPr>
            </w:pPr>
            <w:r w:rsidRPr="00B44B19">
              <w:rPr>
                <w:rFonts w:ascii="Times New Roman" w:hAnsi="Times New Roman" w:cs="Times New Roman"/>
                <w:sz w:val="16"/>
                <w:szCs w:val="16"/>
              </w:rPr>
              <w:t>95 %</w:t>
            </w:r>
          </w:p>
        </w:tc>
      </w:tr>
      <w:tr w:rsidR="00C352C2" w:rsidRPr="00B44B19" w14:paraId="0F2E12C4" w14:textId="77777777" w:rsidTr="00D27D25">
        <w:tc>
          <w:tcPr>
            <w:tcW w:w="3687" w:type="dxa"/>
            <w:gridSpan w:val="5"/>
            <w:vMerge w:val="restart"/>
            <w:tcBorders>
              <w:top w:val="single" w:sz="4" w:space="0" w:color="auto"/>
              <w:right w:val="single" w:sz="4" w:space="0" w:color="auto"/>
            </w:tcBorders>
            <w:vAlign w:val="center"/>
          </w:tcPr>
          <w:p w14:paraId="704FF106" w14:textId="77777777" w:rsidR="00C352C2" w:rsidRPr="00B44B19" w:rsidRDefault="00C352C2" w:rsidP="00C352C2">
            <w:pPr>
              <w:rPr>
                <w:rFonts w:ascii="Times New Roman" w:hAnsi="Times New Roman" w:cs="Times New Roman"/>
                <w:b/>
                <w:sz w:val="16"/>
                <w:szCs w:val="16"/>
              </w:rPr>
            </w:pPr>
            <w:r w:rsidRPr="00B44B19">
              <w:rPr>
                <w:rFonts w:ascii="Times New Roman" w:hAnsi="Times New Roman" w:cs="Times New Roman"/>
                <w:b/>
                <w:color w:val="000000"/>
                <w:sz w:val="16"/>
                <w:szCs w:val="16"/>
              </w:rPr>
              <w:t>Iš viso iš ERPF</w:t>
            </w:r>
          </w:p>
        </w:tc>
        <w:tc>
          <w:tcPr>
            <w:tcW w:w="992" w:type="dxa"/>
            <w:tcBorders>
              <w:top w:val="single" w:sz="4" w:space="0" w:color="auto"/>
              <w:left w:val="single" w:sz="4" w:space="0" w:color="auto"/>
              <w:bottom w:val="single" w:sz="4" w:space="0" w:color="auto"/>
              <w:right w:val="single" w:sz="4" w:space="0" w:color="auto"/>
            </w:tcBorders>
            <w:vAlign w:val="center"/>
          </w:tcPr>
          <w:p w14:paraId="45DE6871" w14:textId="77777777" w:rsidR="00C352C2" w:rsidRPr="00B44B19" w:rsidRDefault="00C352C2" w:rsidP="00C352C2">
            <w:pPr>
              <w:jc w:val="both"/>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00599B3C" w14:textId="20D6108D"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464 306 774</w:t>
            </w:r>
          </w:p>
        </w:tc>
        <w:tc>
          <w:tcPr>
            <w:tcW w:w="1276" w:type="dxa"/>
            <w:tcBorders>
              <w:top w:val="single" w:sz="4" w:space="0" w:color="auto"/>
              <w:left w:val="single" w:sz="4" w:space="0" w:color="auto"/>
              <w:bottom w:val="single" w:sz="4" w:space="0" w:color="auto"/>
              <w:right w:val="single" w:sz="4" w:space="0" w:color="auto"/>
            </w:tcBorders>
          </w:tcPr>
          <w:p w14:paraId="08A4FAA8" w14:textId="4F45BBA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418 741 542</w:t>
            </w:r>
          </w:p>
        </w:tc>
        <w:tc>
          <w:tcPr>
            <w:tcW w:w="1134" w:type="dxa"/>
            <w:tcBorders>
              <w:top w:val="single" w:sz="4" w:space="0" w:color="auto"/>
              <w:left w:val="single" w:sz="4" w:space="0" w:color="auto"/>
              <w:bottom w:val="single" w:sz="4" w:space="0" w:color="auto"/>
              <w:right w:val="single" w:sz="4" w:space="0" w:color="auto"/>
            </w:tcBorders>
          </w:tcPr>
          <w:p w14:paraId="3C30B8CE" w14:textId="413BE82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14 655 951</w:t>
            </w:r>
          </w:p>
        </w:tc>
        <w:tc>
          <w:tcPr>
            <w:tcW w:w="1134" w:type="dxa"/>
            <w:tcBorders>
              <w:top w:val="single" w:sz="4" w:space="0" w:color="auto"/>
              <w:left w:val="single" w:sz="4" w:space="0" w:color="auto"/>
              <w:bottom w:val="single" w:sz="4" w:space="0" w:color="auto"/>
              <w:right w:val="single" w:sz="4" w:space="0" w:color="auto"/>
            </w:tcBorders>
          </w:tcPr>
          <w:p w14:paraId="342E7A6A" w14:textId="32450F42"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29 864 040</w:t>
            </w:r>
          </w:p>
        </w:tc>
        <w:tc>
          <w:tcPr>
            <w:tcW w:w="992" w:type="dxa"/>
            <w:tcBorders>
              <w:top w:val="single" w:sz="4" w:space="0" w:color="auto"/>
              <w:left w:val="single" w:sz="4" w:space="0" w:color="auto"/>
              <w:bottom w:val="single" w:sz="4" w:space="0" w:color="auto"/>
              <w:right w:val="single" w:sz="4" w:space="0" w:color="auto"/>
            </w:tcBorders>
          </w:tcPr>
          <w:p w14:paraId="761AF8EA" w14:textId="1E672594"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1 045 241</w:t>
            </w:r>
          </w:p>
        </w:tc>
        <w:tc>
          <w:tcPr>
            <w:tcW w:w="1276" w:type="dxa"/>
            <w:tcBorders>
              <w:top w:val="single" w:sz="4" w:space="0" w:color="auto"/>
              <w:left w:val="single" w:sz="4" w:space="0" w:color="auto"/>
              <w:bottom w:val="single" w:sz="4" w:space="0" w:color="auto"/>
              <w:right w:val="single" w:sz="4" w:space="0" w:color="auto"/>
            </w:tcBorders>
          </w:tcPr>
          <w:p w14:paraId="03CC22FF" w14:textId="761966FE"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286 011 991</w:t>
            </w:r>
          </w:p>
        </w:tc>
        <w:tc>
          <w:tcPr>
            <w:tcW w:w="1134" w:type="dxa"/>
            <w:tcBorders>
              <w:top w:val="single" w:sz="4" w:space="0" w:color="auto"/>
              <w:left w:val="single" w:sz="4" w:space="0" w:color="auto"/>
              <w:bottom w:val="single" w:sz="4" w:space="0" w:color="auto"/>
              <w:right w:val="single" w:sz="4" w:space="0" w:color="auto"/>
            </w:tcBorders>
          </w:tcPr>
          <w:p w14:paraId="49673906" w14:textId="4791225F"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195 520 419</w:t>
            </w:r>
          </w:p>
        </w:tc>
        <w:tc>
          <w:tcPr>
            <w:tcW w:w="1134" w:type="dxa"/>
            <w:tcBorders>
              <w:top w:val="single" w:sz="4" w:space="0" w:color="auto"/>
              <w:left w:val="single" w:sz="4" w:space="0" w:color="auto"/>
              <w:bottom w:val="single" w:sz="4" w:space="0" w:color="auto"/>
              <w:right w:val="single" w:sz="4" w:space="0" w:color="auto"/>
            </w:tcBorders>
          </w:tcPr>
          <w:p w14:paraId="1803715A" w14:textId="25E07958"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90 491 572</w:t>
            </w:r>
          </w:p>
        </w:tc>
        <w:tc>
          <w:tcPr>
            <w:tcW w:w="1275" w:type="dxa"/>
            <w:tcBorders>
              <w:top w:val="single" w:sz="4" w:space="0" w:color="auto"/>
              <w:left w:val="single" w:sz="4" w:space="0" w:color="auto"/>
              <w:bottom w:val="single" w:sz="4" w:space="0" w:color="auto"/>
              <w:right w:val="single" w:sz="4" w:space="0" w:color="auto"/>
            </w:tcBorders>
          </w:tcPr>
          <w:p w14:paraId="572038D3" w14:textId="2F9BEED9"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750 318 765</w:t>
            </w:r>
          </w:p>
        </w:tc>
        <w:tc>
          <w:tcPr>
            <w:tcW w:w="709" w:type="dxa"/>
            <w:tcBorders>
              <w:top w:val="single" w:sz="4" w:space="0" w:color="auto"/>
              <w:left w:val="single" w:sz="4" w:space="0" w:color="auto"/>
              <w:bottom w:val="single" w:sz="4" w:space="0" w:color="auto"/>
              <w:right w:val="single" w:sz="4" w:space="0" w:color="auto"/>
            </w:tcBorders>
          </w:tcPr>
          <w:p w14:paraId="0A30DA29" w14:textId="0C26D86C"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61,88 %</w:t>
            </w:r>
          </w:p>
        </w:tc>
      </w:tr>
      <w:tr w:rsidR="00C352C2" w:rsidRPr="00B44B19" w14:paraId="1BAB9BD3" w14:textId="77777777" w:rsidTr="00D27D25">
        <w:tc>
          <w:tcPr>
            <w:tcW w:w="3687" w:type="dxa"/>
            <w:gridSpan w:val="5"/>
            <w:vMerge/>
            <w:tcBorders>
              <w:bottom w:val="single" w:sz="4" w:space="0" w:color="auto"/>
              <w:right w:val="single" w:sz="4" w:space="0" w:color="auto"/>
            </w:tcBorders>
            <w:vAlign w:val="center"/>
          </w:tcPr>
          <w:p w14:paraId="7592A1B2" w14:textId="77777777" w:rsidR="00C352C2" w:rsidRPr="00B44B19" w:rsidRDefault="00C352C2" w:rsidP="00C352C2">
            <w:pP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5522839" w14:textId="77777777" w:rsidR="00C352C2" w:rsidRPr="00B44B19" w:rsidRDefault="00C352C2" w:rsidP="00C352C2">
            <w:pPr>
              <w:jc w:val="both"/>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0BDDBE3E" w14:textId="494955B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3 201 694 146</w:t>
            </w:r>
          </w:p>
        </w:tc>
        <w:tc>
          <w:tcPr>
            <w:tcW w:w="1276" w:type="dxa"/>
            <w:tcBorders>
              <w:top w:val="single" w:sz="4" w:space="0" w:color="auto"/>
              <w:left w:val="single" w:sz="4" w:space="0" w:color="auto"/>
              <w:bottom w:val="single" w:sz="4" w:space="0" w:color="auto"/>
              <w:right w:val="single" w:sz="4" w:space="0" w:color="auto"/>
            </w:tcBorders>
          </w:tcPr>
          <w:p w14:paraId="54D81874" w14:textId="1D693275"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2 806 022 214</w:t>
            </w:r>
          </w:p>
        </w:tc>
        <w:tc>
          <w:tcPr>
            <w:tcW w:w="1134" w:type="dxa"/>
            <w:tcBorders>
              <w:top w:val="single" w:sz="4" w:space="0" w:color="auto"/>
              <w:left w:val="single" w:sz="4" w:space="0" w:color="auto"/>
              <w:bottom w:val="single" w:sz="4" w:space="0" w:color="auto"/>
              <w:right w:val="single" w:sz="4" w:space="0" w:color="auto"/>
            </w:tcBorders>
          </w:tcPr>
          <w:p w14:paraId="012F025F" w14:textId="67C16D19"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98 210 772</w:t>
            </w:r>
          </w:p>
        </w:tc>
        <w:tc>
          <w:tcPr>
            <w:tcW w:w="1134" w:type="dxa"/>
            <w:tcBorders>
              <w:top w:val="single" w:sz="4" w:space="0" w:color="auto"/>
              <w:left w:val="single" w:sz="4" w:space="0" w:color="auto"/>
              <w:bottom w:val="single" w:sz="4" w:space="0" w:color="auto"/>
              <w:right w:val="single" w:sz="4" w:space="0" w:color="auto"/>
            </w:tcBorders>
          </w:tcPr>
          <w:p w14:paraId="037A9D07" w14:textId="02833393"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287 402 087</w:t>
            </w:r>
          </w:p>
        </w:tc>
        <w:tc>
          <w:tcPr>
            <w:tcW w:w="992" w:type="dxa"/>
            <w:tcBorders>
              <w:top w:val="single" w:sz="4" w:space="0" w:color="auto"/>
              <w:left w:val="single" w:sz="4" w:space="0" w:color="auto"/>
              <w:bottom w:val="single" w:sz="4" w:space="0" w:color="auto"/>
              <w:right w:val="single" w:sz="4" w:space="0" w:color="auto"/>
            </w:tcBorders>
          </w:tcPr>
          <w:p w14:paraId="11E6D6F6" w14:textId="7E5E398F"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10 059 073</w:t>
            </w:r>
          </w:p>
        </w:tc>
        <w:tc>
          <w:tcPr>
            <w:tcW w:w="1276" w:type="dxa"/>
            <w:tcBorders>
              <w:top w:val="single" w:sz="4" w:space="0" w:color="auto"/>
              <w:left w:val="single" w:sz="4" w:space="0" w:color="auto"/>
              <w:bottom w:val="single" w:sz="4" w:space="0" w:color="auto"/>
              <w:right w:val="single" w:sz="4" w:space="0" w:color="auto"/>
            </w:tcBorders>
          </w:tcPr>
          <w:p w14:paraId="5FD149EE" w14:textId="7FD314C4"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167 285 703</w:t>
            </w:r>
          </w:p>
        </w:tc>
        <w:tc>
          <w:tcPr>
            <w:tcW w:w="1134" w:type="dxa"/>
            <w:tcBorders>
              <w:top w:val="single" w:sz="4" w:space="0" w:color="auto"/>
              <w:left w:val="single" w:sz="4" w:space="0" w:color="auto"/>
              <w:bottom w:val="single" w:sz="4" w:space="0" w:color="auto"/>
              <w:right w:val="single" w:sz="4" w:space="0" w:color="auto"/>
            </w:tcBorders>
          </w:tcPr>
          <w:p w14:paraId="7B0E109F" w14:textId="5FD090AC"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105 352 562</w:t>
            </w:r>
          </w:p>
        </w:tc>
        <w:tc>
          <w:tcPr>
            <w:tcW w:w="1134" w:type="dxa"/>
            <w:tcBorders>
              <w:top w:val="single" w:sz="4" w:space="0" w:color="auto"/>
              <w:left w:val="single" w:sz="4" w:space="0" w:color="auto"/>
              <w:bottom w:val="single" w:sz="4" w:space="0" w:color="auto"/>
              <w:right w:val="single" w:sz="4" w:space="0" w:color="auto"/>
            </w:tcBorders>
          </w:tcPr>
          <w:p w14:paraId="65A09C05" w14:textId="5F4AFEDC"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61 933 141</w:t>
            </w:r>
          </w:p>
        </w:tc>
        <w:tc>
          <w:tcPr>
            <w:tcW w:w="1275" w:type="dxa"/>
            <w:tcBorders>
              <w:top w:val="single" w:sz="4" w:space="0" w:color="auto"/>
              <w:left w:val="single" w:sz="4" w:space="0" w:color="auto"/>
              <w:bottom w:val="single" w:sz="4" w:space="0" w:color="auto"/>
              <w:right w:val="single" w:sz="4" w:space="0" w:color="auto"/>
            </w:tcBorders>
          </w:tcPr>
          <w:p w14:paraId="5D8E5A2F" w14:textId="5B2018BC"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3 368 979 849</w:t>
            </w:r>
          </w:p>
        </w:tc>
        <w:tc>
          <w:tcPr>
            <w:tcW w:w="709" w:type="dxa"/>
            <w:tcBorders>
              <w:top w:val="single" w:sz="4" w:space="0" w:color="auto"/>
              <w:left w:val="single" w:sz="4" w:space="0" w:color="auto"/>
              <w:bottom w:val="single" w:sz="4" w:space="0" w:color="auto"/>
              <w:right w:val="single" w:sz="4" w:space="0" w:color="auto"/>
            </w:tcBorders>
          </w:tcPr>
          <w:p w14:paraId="3926AC45" w14:textId="7961C3D4"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95,03 %</w:t>
            </w:r>
          </w:p>
        </w:tc>
      </w:tr>
      <w:tr w:rsidR="00C352C2" w:rsidRPr="00B44B19" w14:paraId="4BC09B19" w14:textId="77777777" w:rsidTr="00D27D25">
        <w:tc>
          <w:tcPr>
            <w:tcW w:w="3687" w:type="dxa"/>
            <w:gridSpan w:val="5"/>
            <w:vMerge w:val="restart"/>
            <w:tcBorders>
              <w:top w:val="single" w:sz="4" w:space="0" w:color="auto"/>
              <w:right w:val="single" w:sz="4" w:space="0" w:color="auto"/>
            </w:tcBorders>
            <w:vAlign w:val="center"/>
          </w:tcPr>
          <w:p w14:paraId="2185AF71" w14:textId="77777777" w:rsidR="00C352C2" w:rsidRPr="00B44B19" w:rsidRDefault="00C352C2" w:rsidP="00C352C2">
            <w:pPr>
              <w:rPr>
                <w:rFonts w:ascii="Times New Roman" w:hAnsi="Times New Roman" w:cs="Times New Roman"/>
                <w:b/>
                <w:sz w:val="16"/>
                <w:szCs w:val="16"/>
              </w:rPr>
            </w:pPr>
            <w:r w:rsidRPr="00B44B19">
              <w:rPr>
                <w:rFonts w:ascii="Times New Roman" w:hAnsi="Times New Roman" w:cs="Times New Roman"/>
                <w:b/>
                <w:color w:val="000000"/>
                <w:sz w:val="16"/>
                <w:szCs w:val="16"/>
              </w:rPr>
              <w:t>Iš viso iš ESF+</w:t>
            </w:r>
          </w:p>
        </w:tc>
        <w:tc>
          <w:tcPr>
            <w:tcW w:w="992" w:type="dxa"/>
            <w:tcBorders>
              <w:top w:val="single" w:sz="4" w:space="0" w:color="auto"/>
              <w:left w:val="single" w:sz="4" w:space="0" w:color="auto"/>
              <w:bottom w:val="single" w:sz="4" w:space="0" w:color="auto"/>
              <w:right w:val="single" w:sz="4" w:space="0" w:color="auto"/>
            </w:tcBorders>
            <w:vAlign w:val="center"/>
          </w:tcPr>
          <w:p w14:paraId="20A847F6" w14:textId="77777777" w:rsidR="00C352C2" w:rsidRPr="00B44B19" w:rsidRDefault="00C352C2" w:rsidP="00C352C2">
            <w:pPr>
              <w:jc w:val="both"/>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Sostinės regionas</w:t>
            </w:r>
          </w:p>
        </w:tc>
        <w:tc>
          <w:tcPr>
            <w:tcW w:w="1134" w:type="dxa"/>
            <w:tcBorders>
              <w:top w:val="single" w:sz="4" w:space="0" w:color="auto"/>
              <w:left w:val="single" w:sz="4" w:space="0" w:color="auto"/>
              <w:bottom w:val="single" w:sz="4" w:space="0" w:color="auto"/>
              <w:right w:val="single" w:sz="4" w:space="0" w:color="auto"/>
            </w:tcBorders>
          </w:tcPr>
          <w:p w14:paraId="72DD6DE6" w14:textId="36A28C8F"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91 841 596</w:t>
            </w:r>
          </w:p>
        </w:tc>
        <w:tc>
          <w:tcPr>
            <w:tcW w:w="1276" w:type="dxa"/>
            <w:tcBorders>
              <w:top w:val="single" w:sz="4" w:space="0" w:color="auto"/>
              <w:left w:val="single" w:sz="4" w:space="0" w:color="auto"/>
              <w:bottom w:val="single" w:sz="4" w:space="0" w:color="auto"/>
              <w:right w:val="single" w:sz="4" w:space="0" w:color="auto"/>
            </w:tcBorders>
          </w:tcPr>
          <w:p w14:paraId="33CDFFF9" w14:textId="14F71D33"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77 819 753</w:t>
            </w:r>
          </w:p>
        </w:tc>
        <w:tc>
          <w:tcPr>
            <w:tcW w:w="1134" w:type="dxa"/>
            <w:tcBorders>
              <w:top w:val="single" w:sz="4" w:space="0" w:color="auto"/>
              <w:left w:val="single" w:sz="4" w:space="0" w:color="auto"/>
              <w:bottom w:val="single" w:sz="4" w:space="0" w:color="auto"/>
              <w:right w:val="single" w:sz="4" w:space="0" w:color="auto"/>
            </w:tcBorders>
          </w:tcPr>
          <w:p w14:paraId="00E1D132" w14:textId="6727D96F"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3 112 788</w:t>
            </w:r>
          </w:p>
        </w:tc>
        <w:tc>
          <w:tcPr>
            <w:tcW w:w="1134" w:type="dxa"/>
            <w:tcBorders>
              <w:top w:val="single" w:sz="4" w:space="0" w:color="auto"/>
              <w:left w:val="single" w:sz="4" w:space="0" w:color="auto"/>
              <w:bottom w:val="single" w:sz="4" w:space="0" w:color="auto"/>
              <w:right w:val="single" w:sz="4" w:space="0" w:color="auto"/>
            </w:tcBorders>
          </w:tcPr>
          <w:p w14:paraId="7223278E" w14:textId="7ECD6218"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10 489 476</w:t>
            </w:r>
          </w:p>
        </w:tc>
        <w:tc>
          <w:tcPr>
            <w:tcW w:w="992" w:type="dxa"/>
            <w:tcBorders>
              <w:top w:val="single" w:sz="4" w:space="0" w:color="auto"/>
              <w:left w:val="single" w:sz="4" w:space="0" w:color="auto"/>
              <w:bottom w:val="single" w:sz="4" w:space="0" w:color="auto"/>
              <w:right w:val="single" w:sz="4" w:space="0" w:color="auto"/>
            </w:tcBorders>
          </w:tcPr>
          <w:p w14:paraId="49B15BDC" w14:textId="28392CB4"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419 579</w:t>
            </w:r>
          </w:p>
        </w:tc>
        <w:tc>
          <w:tcPr>
            <w:tcW w:w="1276" w:type="dxa"/>
            <w:tcBorders>
              <w:top w:val="single" w:sz="4" w:space="0" w:color="auto"/>
              <w:left w:val="single" w:sz="4" w:space="0" w:color="auto"/>
              <w:bottom w:val="single" w:sz="4" w:space="0" w:color="auto"/>
              <w:right w:val="single" w:sz="4" w:space="0" w:color="auto"/>
            </w:tcBorders>
          </w:tcPr>
          <w:p w14:paraId="341DF43E" w14:textId="3474C424"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57 458 722</w:t>
            </w:r>
          </w:p>
        </w:tc>
        <w:tc>
          <w:tcPr>
            <w:tcW w:w="1134" w:type="dxa"/>
            <w:tcBorders>
              <w:top w:val="single" w:sz="4" w:space="0" w:color="auto"/>
              <w:left w:val="single" w:sz="4" w:space="0" w:color="auto"/>
              <w:bottom w:val="single" w:sz="4" w:space="0" w:color="auto"/>
              <w:right w:val="single" w:sz="4" w:space="0" w:color="auto"/>
            </w:tcBorders>
          </w:tcPr>
          <w:p w14:paraId="7C2FC8E2" w14:textId="7E956F3E"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57 458 722</w:t>
            </w:r>
          </w:p>
        </w:tc>
        <w:tc>
          <w:tcPr>
            <w:tcW w:w="1134" w:type="dxa"/>
            <w:tcBorders>
              <w:top w:val="single" w:sz="4" w:space="0" w:color="auto"/>
              <w:left w:val="single" w:sz="4" w:space="0" w:color="auto"/>
              <w:bottom w:val="single" w:sz="4" w:space="0" w:color="auto"/>
              <w:right w:val="single" w:sz="4" w:space="0" w:color="auto"/>
            </w:tcBorders>
          </w:tcPr>
          <w:p w14:paraId="503A888D" w14:textId="45D9996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70956C33" w14:textId="47DE01D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149 300 318</w:t>
            </w:r>
          </w:p>
        </w:tc>
        <w:tc>
          <w:tcPr>
            <w:tcW w:w="709" w:type="dxa"/>
            <w:tcBorders>
              <w:top w:val="single" w:sz="4" w:space="0" w:color="auto"/>
              <w:left w:val="single" w:sz="4" w:space="0" w:color="auto"/>
              <w:bottom w:val="single" w:sz="4" w:space="0" w:color="auto"/>
              <w:right w:val="single" w:sz="4" w:space="0" w:color="auto"/>
            </w:tcBorders>
          </w:tcPr>
          <w:p w14:paraId="2F64DEB5" w14:textId="2AF89820"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61,51 %</w:t>
            </w:r>
          </w:p>
        </w:tc>
      </w:tr>
      <w:tr w:rsidR="00C352C2" w:rsidRPr="00B44B19" w14:paraId="666F6F97" w14:textId="77777777" w:rsidTr="00D27D25">
        <w:tc>
          <w:tcPr>
            <w:tcW w:w="3687" w:type="dxa"/>
            <w:gridSpan w:val="5"/>
            <w:vMerge/>
            <w:tcBorders>
              <w:bottom w:val="single" w:sz="4" w:space="0" w:color="auto"/>
              <w:right w:val="single" w:sz="4" w:space="0" w:color="auto"/>
            </w:tcBorders>
          </w:tcPr>
          <w:p w14:paraId="370AE3A7" w14:textId="77777777" w:rsidR="00C352C2" w:rsidRPr="00B44B19" w:rsidRDefault="00C352C2" w:rsidP="00C352C2">
            <w:pP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7CC41C7" w14:textId="77777777" w:rsidR="00C352C2" w:rsidRPr="00B44B19" w:rsidRDefault="00C352C2" w:rsidP="00C352C2">
            <w:pPr>
              <w:jc w:val="both"/>
              <w:rPr>
                <w:rFonts w:ascii="Times New Roman" w:hAnsi="Times New Roman" w:cs="Times New Roman"/>
                <w:b/>
                <w:color w:val="000000"/>
                <w:sz w:val="16"/>
                <w:szCs w:val="16"/>
              </w:rPr>
            </w:pPr>
            <w:r w:rsidRPr="00B44B19">
              <w:rPr>
                <w:rFonts w:ascii="Times New Roman" w:hAnsi="Times New Roman" w:cs="Times New Roman"/>
                <w:b/>
                <w:color w:val="000000"/>
                <w:sz w:val="16"/>
                <w:szCs w:val="16"/>
              </w:rPr>
              <w:t>VVL regionas</w:t>
            </w:r>
          </w:p>
        </w:tc>
        <w:tc>
          <w:tcPr>
            <w:tcW w:w="1134" w:type="dxa"/>
            <w:tcBorders>
              <w:top w:val="single" w:sz="4" w:space="0" w:color="auto"/>
              <w:left w:val="single" w:sz="4" w:space="0" w:color="auto"/>
              <w:bottom w:val="single" w:sz="4" w:space="0" w:color="auto"/>
              <w:right w:val="single" w:sz="4" w:space="0" w:color="auto"/>
            </w:tcBorders>
          </w:tcPr>
          <w:p w14:paraId="32044D67" w14:textId="1DF0DE5E"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910 152 995</w:t>
            </w:r>
          </w:p>
        </w:tc>
        <w:tc>
          <w:tcPr>
            <w:tcW w:w="1276" w:type="dxa"/>
            <w:tcBorders>
              <w:top w:val="single" w:sz="4" w:space="0" w:color="auto"/>
              <w:left w:val="single" w:sz="4" w:space="0" w:color="auto"/>
              <w:bottom w:val="single" w:sz="4" w:space="0" w:color="auto"/>
              <w:right w:val="single" w:sz="4" w:space="0" w:color="auto"/>
            </w:tcBorders>
          </w:tcPr>
          <w:p w14:paraId="6A1A47A6" w14:textId="3C8F6E5A"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796 844 452</w:t>
            </w:r>
          </w:p>
        </w:tc>
        <w:tc>
          <w:tcPr>
            <w:tcW w:w="1134" w:type="dxa"/>
            <w:tcBorders>
              <w:top w:val="single" w:sz="4" w:space="0" w:color="auto"/>
              <w:left w:val="single" w:sz="4" w:space="0" w:color="auto"/>
              <w:bottom w:val="single" w:sz="4" w:space="0" w:color="auto"/>
              <w:right w:val="single" w:sz="4" w:space="0" w:color="auto"/>
            </w:tcBorders>
          </w:tcPr>
          <w:p w14:paraId="0D3BA657" w14:textId="658940FE"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31 873 776</w:t>
            </w:r>
          </w:p>
        </w:tc>
        <w:tc>
          <w:tcPr>
            <w:tcW w:w="1134" w:type="dxa"/>
            <w:tcBorders>
              <w:top w:val="single" w:sz="4" w:space="0" w:color="auto"/>
              <w:left w:val="single" w:sz="4" w:space="0" w:color="auto"/>
              <w:bottom w:val="single" w:sz="4" w:space="0" w:color="auto"/>
              <w:right w:val="single" w:sz="4" w:space="0" w:color="auto"/>
            </w:tcBorders>
          </w:tcPr>
          <w:p w14:paraId="446914D2" w14:textId="5D8F495B"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78 302 660</w:t>
            </w:r>
          </w:p>
        </w:tc>
        <w:tc>
          <w:tcPr>
            <w:tcW w:w="992" w:type="dxa"/>
            <w:tcBorders>
              <w:top w:val="single" w:sz="4" w:space="0" w:color="auto"/>
              <w:left w:val="single" w:sz="4" w:space="0" w:color="auto"/>
              <w:bottom w:val="single" w:sz="4" w:space="0" w:color="auto"/>
              <w:right w:val="single" w:sz="4" w:space="0" w:color="auto"/>
            </w:tcBorders>
          </w:tcPr>
          <w:p w14:paraId="0E50A57E" w14:textId="5CFE164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3 132 107</w:t>
            </w:r>
          </w:p>
        </w:tc>
        <w:tc>
          <w:tcPr>
            <w:tcW w:w="1276" w:type="dxa"/>
            <w:tcBorders>
              <w:top w:val="single" w:sz="4" w:space="0" w:color="auto"/>
              <w:left w:val="single" w:sz="4" w:space="0" w:color="auto"/>
              <w:bottom w:val="single" w:sz="4" w:space="0" w:color="auto"/>
              <w:right w:val="single" w:sz="4" w:space="0" w:color="auto"/>
            </w:tcBorders>
          </w:tcPr>
          <w:p w14:paraId="46E98726" w14:textId="1AA9830D"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45 393 237</w:t>
            </w:r>
          </w:p>
        </w:tc>
        <w:tc>
          <w:tcPr>
            <w:tcW w:w="1134" w:type="dxa"/>
            <w:tcBorders>
              <w:top w:val="single" w:sz="4" w:space="0" w:color="auto"/>
              <w:left w:val="single" w:sz="4" w:space="0" w:color="auto"/>
              <w:bottom w:val="single" w:sz="4" w:space="0" w:color="auto"/>
              <w:right w:val="single" w:sz="4" w:space="0" w:color="auto"/>
            </w:tcBorders>
          </w:tcPr>
          <w:p w14:paraId="07F29560" w14:textId="74155AB8"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45 393 237</w:t>
            </w:r>
          </w:p>
        </w:tc>
        <w:tc>
          <w:tcPr>
            <w:tcW w:w="1134" w:type="dxa"/>
            <w:tcBorders>
              <w:top w:val="single" w:sz="4" w:space="0" w:color="auto"/>
              <w:left w:val="single" w:sz="4" w:space="0" w:color="auto"/>
              <w:bottom w:val="single" w:sz="4" w:space="0" w:color="auto"/>
              <w:right w:val="single" w:sz="4" w:space="0" w:color="auto"/>
            </w:tcBorders>
          </w:tcPr>
          <w:p w14:paraId="00592BD1" w14:textId="72462C3E"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0</w:t>
            </w:r>
          </w:p>
        </w:tc>
        <w:tc>
          <w:tcPr>
            <w:tcW w:w="1275" w:type="dxa"/>
            <w:tcBorders>
              <w:top w:val="single" w:sz="4" w:space="0" w:color="auto"/>
              <w:left w:val="single" w:sz="4" w:space="0" w:color="auto"/>
              <w:bottom w:val="single" w:sz="4" w:space="0" w:color="auto"/>
              <w:right w:val="single" w:sz="4" w:space="0" w:color="auto"/>
            </w:tcBorders>
          </w:tcPr>
          <w:p w14:paraId="77F29D48" w14:textId="091C39D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955 546 232</w:t>
            </w:r>
          </w:p>
        </w:tc>
        <w:tc>
          <w:tcPr>
            <w:tcW w:w="709" w:type="dxa"/>
            <w:tcBorders>
              <w:top w:val="single" w:sz="4" w:space="0" w:color="auto"/>
              <w:left w:val="single" w:sz="4" w:space="0" w:color="auto"/>
              <w:bottom w:val="single" w:sz="4" w:space="0" w:color="auto"/>
              <w:right w:val="single" w:sz="4" w:space="0" w:color="auto"/>
            </w:tcBorders>
          </w:tcPr>
          <w:p w14:paraId="3188C161" w14:textId="1AE3B590"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95,25 %</w:t>
            </w:r>
          </w:p>
        </w:tc>
      </w:tr>
      <w:tr w:rsidR="00C352C2" w:rsidRPr="00B44B19" w14:paraId="1476C914" w14:textId="77777777" w:rsidTr="00D27D25">
        <w:tc>
          <w:tcPr>
            <w:tcW w:w="3687" w:type="dxa"/>
            <w:gridSpan w:val="5"/>
            <w:tcBorders>
              <w:top w:val="single" w:sz="4" w:space="0" w:color="auto"/>
              <w:bottom w:val="single" w:sz="4" w:space="0" w:color="auto"/>
              <w:right w:val="single" w:sz="4" w:space="0" w:color="auto"/>
            </w:tcBorders>
            <w:vAlign w:val="center"/>
          </w:tcPr>
          <w:p w14:paraId="5C18ED63" w14:textId="77777777" w:rsidR="00C352C2" w:rsidRPr="00B44B19" w:rsidRDefault="00C352C2" w:rsidP="00C352C2">
            <w:pPr>
              <w:rPr>
                <w:rFonts w:ascii="Times New Roman" w:hAnsi="Times New Roman" w:cs="Times New Roman"/>
                <w:b/>
                <w:sz w:val="16"/>
                <w:szCs w:val="16"/>
              </w:rPr>
            </w:pPr>
            <w:r w:rsidRPr="00B44B19">
              <w:rPr>
                <w:rFonts w:ascii="Times New Roman" w:hAnsi="Times New Roman" w:cs="Times New Roman"/>
                <w:b/>
                <w:color w:val="000000"/>
                <w:sz w:val="16"/>
                <w:szCs w:val="16"/>
              </w:rPr>
              <w:lastRenderedPageBreak/>
              <w:t>Iš viso SF</w:t>
            </w:r>
          </w:p>
        </w:tc>
        <w:tc>
          <w:tcPr>
            <w:tcW w:w="992" w:type="dxa"/>
            <w:tcBorders>
              <w:top w:val="single" w:sz="4" w:space="0" w:color="auto"/>
              <w:left w:val="single" w:sz="4" w:space="0" w:color="auto"/>
              <w:bottom w:val="single" w:sz="4" w:space="0" w:color="auto"/>
              <w:right w:val="single" w:sz="4" w:space="0" w:color="auto"/>
            </w:tcBorders>
          </w:tcPr>
          <w:p w14:paraId="4357E0A2" w14:textId="77777777" w:rsidR="00C352C2" w:rsidRPr="00B44B19" w:rsidRDefault="00C352C2" w:rsidP="00C352C2">
            <w:pP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516F62"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1 248 455 757</w:t>
            </w:r>
          </w:p>
        </w:tc>
        <w:tc>
          <w:tcPr>
            <w:tcW w:w="1276" w:type="dxa"/>
            <w:tcBorders>
              <w:top w:val="single" w:sz="4" w:space="0" w:color="auto"/>
              <w:left w:val="single" w:sz="4" w:space="0" w:color="auto"/>
              <w:bottom w:val="single" w:sz="4" w:space="0" w:color="auto"/>
              <w:right w:val="single" w:sz="4" w:space="0" w:color="auto"/>
            </w:tcBorders>
          </w:tcPr>
          <w:p w14:paraId="582AD5D9" w14:textId="2CB9219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1 163 089 061</w:t>
            </w:r>
          </w:p>
        </w:tc>
        <w:tc>
          <w:tcPr>
            <w:tcW w:w="1134" w:type="dxa"/>
            <w:tcBorders>
              <w:top w:val="single" w:sz="4" w:space="0" w:color="auto"/>
              <w:left w:val="single" w:sz="4" w:space="0" w:color="auto"/>
              <w:bottom w:val="single" w:sz="4" w:space="0" w:color="auto"/>
              <w:right w:val="single" w:sz="4" w:space="0" w:color="auto"/>
            </w:tcBorders>
          </w:tcPr>
          <w:p w14:paraId="7E5AB81A" w14:textId="554A743F"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29 077 225</w:t>
            </w:r>
          </w:p>
        </w:tc>
        <w:tc>
          <w:tcPr>
            <w:tcW w:w="1134" w:type="dxa"/>
            <w:tcBorders>
              <w:top w:val="single" w:sz="4" w:space="0" w:color="auto"/>
              <w:left w:val="single" w:sz="4" w:space="0" w:color="auto"/>
              <w:bottom w:val="single" w:sz="4" w:space="0" w:color="auto"/>
              <w:right w:val="single" w:sz="4" w:space="0" w:color="auto"/>
            </w:tcBorders>
          </w:tcPr>
          <w:p w14:paraId="7955A837" w14:textId="245A7F49"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54 916 557</w:t>
            </w:r>
          </w:p>
        </w:tc>
        <w:tc>
          <w:tcPr>
            <w:tcW w:w="992" w:type="dxa"/>
            <w:tcBorders>
              <w:top w:val="single" w:sz="4" w:space="0" w:color="auto"/>
              <w:left w:val="single" w:sz="4" w:space="0" w:color="auto"/>
              <w:bottom w:val="single" w:sz="4" w:space="0" w:color="auto"/>
              <w:right w:val="single" w:sz="4" w:space="0" w:color="auto"/>
            </w:tcBorders>
          </w:tcPr>
          <w:p w14:paraId="66234009" w14:textId="3ED1EAA9"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1 372 914</w:t>
            </w:r>
          </w:p>
        </w:tc>
        <w:tc>
          <w:tcPr>
            <w:tcW w:w="1276" w:type="dxa"/>
            <w:tcBorders>
              <w:top w:val="single" w:sz="4" w:space="0" w:color="auto"/>
              <w:left w:val="single" w:sz="4" w:space="0" w:color="auto"/>
              <w:bottom w:val="single" w:sz="4" w:space="0" w:color="auto"/>
              <w:right w:val="single" w:sz="4" w:space="0" w:color="auto"/>
            </w:tcBorders>
          </w:tcPr>
          <w:p w14:paraId="715C956C" w14:textId="162438C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65 708 200</w:t>
            </w:r>
          </w:p>
        </w:tc>
        <w:tc>
          <w:tcPr>
            <w:tcW w:w="1134" w:type="dxa"/>
            <w:tcBorders>
              <w:top w:val="single" w:sz="4" w:space="0" w:color="auto"/>
              <w:left w:val="single" w:sz="4" w:space="0" w:color="auto"/>
              <w:bottom w:val="single" w:sz="4" w:space="0" w:color="auto"/>
              <w:right w:val="single" w:sz="4" w:space="0" w:color="auto"/>
            </w:tcBorders>
          </w:tcPr>
          <w:p w14:paraId="07DD4F9E" w14:textId="06A1F20C"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47 251 396</w:t>
            </w:r>
          </w:p>
        </w:tc>
        <w:tc>
          <w:tcPr>
            <w:tcW w:w="1134" w:type="dxa"/>
            <w:tcBorders>
              <w:top w:val="single" w:sz="4" w:space="0" w:color="auto"/>
              <w:left w:val="single" w:sz="4" w:space="0" w:color="auto"/>
              <w:bottom w:val="single" w:sz="4" w:space="0" w:color="auto"/>
              <w:right w:val="single" w:sz="4" w:space="0" w:color="auto"/>
            </w:tcBorders>
          </w:tcPr>
          <w:p w14:paraId="50440BC8" w14:textId="0DCF771A"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18 456 804</w:t>
            </w:r>
          </w:p>
        </w:tc>
        <w:tc>
          <w:tcPr>
            <w:tcW w:w="1275" w:type="dxa"/>
            <w:tcBorders>
              <w:top w:val="single" w:sz="4" w:space="0" w:color="auto"/>
              <w:left w:val="single" w:sz="4" w:space="0" w:color="auto"/>
              <w:bottom w:val="single" w:sz="4" w:space="0" w:color="auto"/>
              <w:right w:val="single" w:sz="4" w:space="0" w:color="auto"/>
            </w:tcBorders>
          </w:tcPr>
          <w:p w14:paraId="5D84D803" w14:textId="6B18D185"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1 314 163 957</w:t>
            </w:r>
          </w:p>
        </w:tc>
        <w:tc>
          <w:tcPr>
            <w:tcW w:w="709" w:type="dxa"/>
            <w:tcBorders>
              <w:top w:val="single" w:sz="4" w:space="0" w:color="auto"/>
              <w:left w:val="single" w:sz="4" w:space="0" w:color="auto"/>
              <w:bottom w:val="single" w:sz="4" w:space="0" w:color="auto"/>
              <w:right w:val="single" w:sz="4" w:space="0" w:color="auto"/>
            </w:tcBorders>
          </w:tcPr>
          <w:p w14:paraId="4C5FDB8F" w14:textId="322ADA8C"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95,00 %</w:t>
            </w:r>
          </w:p>
        </w:tc>
      </w:tr>
      <w:tr w:rsidR="00C352C2" w:rsidRPr="00B44B19" w14:paraId="1DE71998" w14:textId="77777777" w:rsidTr="00D27D25">
        <w:tc>
          <w:tcPr>
            <w:tcW w:w="3687" w:type="dxa"/>
            <w:gridSpan w:val="5"/>
            <w:tcBorders>
              <w:top w:val="single" w:sz="4" w:space="0" w:color="auto"/>
              <w:bottom w:val="single" w:sz="4" w:space="0" w:color="auto"/>
              <w:right w:val="single" w:sz="4" w:space="0" w:color="auto"/>
            </w:tcBorders>
            <w:vAlign w:val="center"/>
          </w:tcPr>
          <w:p w14:paraId="2C0CCCB9" w14:textId="77777777" w:rsidR="00C352C2" w:rsidRPr="00B44B19" w:rsidRDefault="00C352C2" w:rsidP="00C352C2">
            <w:pPr>
              <w:rPr>
                <w:rFonts w:ascii="Times New Roman" w:hAnsi="Times New Roman" w:cs="Times New Roman"/>
                <w:b/>
                <w:sz w:val="16"/>
                <w:szCs w:val="16"/>
              </w:rPr>
            </w:pPr>
            <w:r w:rsidRPr="00B44B19">
              <w:rPr>
                <w:rFonts w:ascii="Times New Roman" w:hAnsi="Times New Roman" w:cs="Times New Roman"/>
                <w:b/>
                <w:color w:val="000000"/>
                <w:sz w:val="16"/>
                <w:szCs w:val="16"/>
              </w:rPr>
              <w:t>Iš viso TPF</w:t>
            </w:r>
          </w:p>
        </w:tc>
        <w:tc>
          <w:tcPr>
            <w:tcW w:w="992" w:type="dxa"/>
            <w:tcBorders>
              <w:top w:val="single" w:sz="4" w:space="0" w:color="auto"/>
              <w:bottom w:val="single" w:sz="4" w:space="0" w:color="auto"/>
              <w:right w:val="single" w:sz="4" w:space="0" w:color="auto"/>
            </w:tcBorders>
            <w:vAlign w:val="center"/>
          </w:tcPr>
          <w:p w14:paraId="0216A17D" w14:textId="77777777" w:rsidR="00C352C2" w:rsidRPr="00B44B19" w:rsidRDefault="00C352C2" w:rsidP="00C352C2">
            <w:pPr>
              <w:jc w:val="center"/>
              <w:rPr>
                <w:rFonts w:ascii="Times New Roman" w:hAnsi="Times New Roman" w:cs="Times New Roman"/>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3DE871"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273 259 262</w:t>
            </w:r>
          </w:p>
        </w:tc>
        <w:tc>
          <w:tcPr>
            <w:tcW w:w="1276" w:type="dxa"/>
            <w:tcBorders>
              <w:top w:val="single" w:sz="4" w:space="0" w:color="auto"/>
              <w:left w:val="single" w:sz="4" w:space="0" w:color="auto"/>
              <w:bottom w:val="single" w:sz="4" w:space="0" w:color="auto"/>
              <w:right w:val="single" w:sz="4" w:space="0" w:color="auto"/>
            </w:tcBorders>
            <w:vAlign w:val="center"/>
          </w:tcPr>
          <w:p w14:paraId="170AFB17"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245 491 965</w:t>
            </w:r>
          </w:p>
        </w:tc>
        <w:tc>
          <w:tcPr>
            <w:tcW w:w="1134" w:type="dxa"/>
            <w:tcBorders>
              <w:top w:val="single" w:sz="4" w:space="0" w:color="auto"/>
              <w:left w:val="single" w:sz="4" w:space="0" w:color="auto"/>
              <w:bottom w:val="single" w:sz="4" w:space="0" w:color="auto"/>
              <w:right w:val="single" w:sz="4" w:space="0" w:color="auto"/>
            </w:tcBorders>
            <w:vAlign w:val="center"/>
          </w:tcPr>
          <w:p w14:paraId="1B4F6924"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9 819 678</w:t>
            </w:r>
          </w:p>
        </w:tc>
        <w:tc>
          <w:tcPr>
            <w:tcW w:w="1134" w:type="dxa"/>
            <w:tcBorders>
              <w:top w:val="single" w:sz="4" w:space="0" w:color="auto"/>
              <w:left w:val="single" w:sz="4" w:space="0" w:color="auto"/>
              <w:bottom w:val="single" w:sz="4" w:space="0" w:color="auto"/>
              <w:right w:val="single" w:sz="4" w:space="0" w:color="auto"/>
            </w:tcBorders>
            <w:vAlign w:val="center"/>
          </w:tcPr>
          <w:p w14:paraId="50813E01"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17 257 326</w:t>
            </w:r>
          </w:p>
        </w:tc>
        <w:tc>
          <w:tcPr>
            <w:tcW w:w="992" w:type="dxa"/>
            <w:tcBorders>
              <w:top w:val="single" w:sz="4" w:space="0" w:color="auto"/>
              <w:left w:val="single" w:sz="4" w:space="0" w:color="auto"/>
              <w:bottom w:val="single" w:sz="4" w:space="0" w:color="auto"/>
              <w:right w:val="single" w:sz="4" w:space="0" w:color="auto"/>
            </w:tcBorders>
            <w:vAlign w:val="center"/>
          </w:tcPr>
          <w:p w14:paraId="0934817C"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690 293</w:t>
            </w:r>
          </w:p>
        </w:tc>
        <w:tc>
          <w:tcPr>
            <w:tcW w:w="1276" w:type="dxa"/>
            <w:tcBorders>
              <w:top w:val="single" w:sz="4" w:space="0" w:color="auto"/>
              <w:left w:val="single" w:sz="4" w:space="0" w:color="auto"/>
              <w:bottom w:val="single" w:sz="4" w:space="0" w:color="auto"/>
              <w:right w:val="single" w:sz="4" w:space="0" w:color="auto"/>
            </w:tcBorders>
          </w:tcPr>
          <w:p w14:paraId="3E5832B6" w14:textId="310EF0D2"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14 382 068</w:t>
            </w:r>
          </w:p>
        </w:tc>
        <w:tc>
          <w:tcPr>
            <w:tcW w:w="1134" w:type="dxa"/>
            <w:tcBorders>
              <w:top w:val="single" w:sz="4" w:space="0" w:color="auto"/>
              <w:left w:val="single" w:sz="4" w:space="0" w:color="auto"/>
              <w:bottom w:val="single" w:sz="4" w:space="0" w:color="auto"/>
              <w:right w:val="single" w:sz="4" w:space="0" w:color="auto"/>
            </w:tcBorders>
          </w:tcPr>
          <w:p w14:paraId="589E4097" w14:textId="253978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1 327 477</w:t>
            </w:r>
          </w:p>
        </w:tc>
        <w:tc>
          <w:tcPr>
            <w:tcW w:w="1134" w:type="dxa"/>
            <w:tcBorders>
              <w:top w:val="single" w:sz="4" w:space="0" w:color="auto"/>
              <w:left w:val="single" w:sz="4" w:space="0" w:color="auto"/>
              <w:bottom w:val="single" w:sz="4" w:space="0" w:color="auto"/>
              <w:right w:val="single" w:sz="4" w:space="0" w:color="auto"/>
            </w:tcBorders>
          </w:tcPr>
          <w:p w14:paraId="4A20BDD7" w14:textId="28CF2E58"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13 054 591</w:t>
            </w:r>
          </w:p>
        </w:tc>
        <w:tc>
          <w:tcPr>
            <w:tcW w:w="1275" w:type="dxa"/>
            <w:tcBorders>
              <w:top w:val="single" w:sz="4" w:space="0" w:color="auto"/>
              <w:left w:val="single" w:sz="4" w:space="0" w:color="auto"/>
              <w:bottom w:val="single" w:sz="4" w:space="0" w:color="auto"/>
              <w:right w:val="single" w:sz="4" w:space="0" w:color="auto"/>
            </w:tcBorders>
          </w:tcPr>
          <w:p w14:paraId="651FCAE7" w14:textId="2F31B9E4"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287 641 330</w:t>
            </w:r>
          </w:p>
        </w:tc>
        <w:tc>
          <w:tcPr>
            <w:tcW w:w="709" w:type="dxa"/>
            <w:tcBorders>
              <w:top w:val="single" w:sz="4" w:space="0" w:color="auto"/>
              <w:left w:val="single" w:sz="4" w:space="0" w:color="auto"/>
              <w:bottom w:val="single" w:sz="4" w:space="0" w:color="auto"/>
              <w:right w:val="single" w:sz="4" w:space="0" w:color="auto"/>
            </w:tcBorders>
          </w:tcPr>
          <w:p w14:paraId="0FB7EC0B" w14:textId="21B52417"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95 %</w:t>
            </w:r>
          </w:p>
        </w:tc>
      </w:tr>
      <w:tr w:rsidR="00C352C2" w:rsidRPr="00B44B19" w14:paraId="4D7B6005" w14:textId="77777777" w:rsidTr="00D27D25">
        <w:tc>
          <w:tcPr>
            <w:tcW w:w="4679" w:type="dxa"/>
            <w:gridSpan w:val="6"/>
            <w:tcBorders>
              <w:top w:val="single" w:sz="4" w:space="0" w:color="auto"/>
              <w:bottom w:val="single" w:sz="4" w:space="0" w:color="auto"/>
              <w:right w:val="single" w:sz="4" w:space="0" w:color="auto"/>
            </w:tcBorders>
            <w:vAlign w:val="center"/>
          </w:tcPr>
          <w:p w14:paraId="45CDAD84"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color w:val="000000"/>
                <w:sz w:val="16"/>
                <w:szCs w:val="16"/>
              </w:rPr>
              <w:t>Bendra suma</w:t>
            </w:r>
          </w:p>
        </w:tc>
        <w:tc>
          <w:tcPr>
            <w:tcW w:w="1134" w:type="dxa"/>
            <w:tcBorders>
              <w:top w:val="single" w:sz="4" w:space="0" w:color="auto"/>
              <w:left w:val="single" w:sz="4" w:space="0" w:color="auto"/>
              <w:bottom w:val="single" w:sz="4" w:space="0" w:color="auto"/>
              <w:right w:val="single" w:sz="4" w:space="0" w:color="auto"/>
            </w:tcBorders>
            <w:vAlign w:val="center"/>
          </w:tcPr>
          <w:p w14:paraId="7E867DDC" w14:textId="77777777"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b/>
                <w:sz w:val="16"/>
                <w:szCs w:val="16"/>
              </w:rPr>
              <w:t>6 189 710 530</w:t>
            </w:r>
          </w:p>
        </w:tc>
        <w:tc>
          <w:tcPr>
            <w:tcW w:w="1276" w:type="dxa"/>
            <w:tcBorders>
              <w:top w:val="single" w:sz="4" w:space="0" w:color="auto"/>
              <w:left w:val="single" w:sz="4" w:space="0" w:color="auto"/>
              <w:bottom w:val="single" w:sz="4" w:space="0" w:color="auto"/>
              <w:right w:val="single" w:sz="4" w:space="0" w:color="auto"/>
            </w:tcBorders>
          </w:tcPr>
          <w:p w14:paraId="08976A1F" w14:textId="3D364C0A"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5 508 008 987</w:t>
            </w:r>
          </w:p>
        </w:tc>
        <w:tc>
          <w:tcPr>
            <w:tcW w:w="1134" w:type="dxa"/>
            <w:tcBorders>
              <w:top w:val="single" w:sz="4" w:space="0" w:color="auto"/>
              <w:left w:val="single" w:sz="4" w:space="0" w:color="auto"/>
              <w:bottom w:val="single" w:sz="4" w:space="0" w:color="auto"/>
              <w:right w:val="single" w:sz="4" w:space="0" w:color="auto"/>
            </w:tcBorders>
          </w:tcPr>
          <w:p w14:paraId="33CECADB" w14:textId="670FF29F"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186 750 190</w:t>
            </w:r>
          </w:p>
        </w:tc>
        <w:tc>
          <w:tcPr>
            <w:tcW w:w="1134" w:type="dxa"/>
            <w:tcBorders>
              <w:top w:val="single" w:sz="4" w:space="0" w:color="auto"/>
              <w:left w:val="single" w:sz="4" w:space="0" w:color="auto"/>
              <w:bottom w:val="single" w:sz="4" w:space="0" w:color="auto"/>
              <w:right w:val="single" w:sz="4" w:space="0" w:color="auto"/>
            </w:tcBorders>
          </w:tcPr>
          <w:p w14:paraId="1F48F1C0" w14:textId="69DBB98B"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478 232 146</w:t>
            </w:r>
          </w:p>
        </w:tc>
        <w:tc>
          <w:tcPr>
            <w:tcW w:w="992" w:type="dxa"/>
            <w:tcBorders>
              <w:top w:val="single" w:sz="4" w:space="0" w:color="auto"/>
              <w:left w:val="single" w:sz="4" w:space="0" w:color="auto"/>
              <w:bottom w:val="single" w:sz="4" w:space="0" w:color="auto"/>
              <w:right w:val="single" w:sz="4" w:space="0" w:color="auto"/>
            </w:tcBorders>
          </w:tcPr>
          <w:p w14:paraId="4C6F2373" w14:textId="2D69E609"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16 719 207</w:t>
            </w:r>
          </w:p>
        </w:tc>
        <w:tc>
          <w:tcPr>
            <w:tcW w:w="1276" w:type="dxa"/>
            <w:tcBorders>
              <w:top w:val="single" w:sz="4" w:space="0" w:color="auto"/>
              <w:left w:val="single" w:sz="4" w:space="0" w:color="auto"/>
              <w:bottom w:val="single" w:sz="4" w:space="0" w:color="auto"/>
              <w:right w:val="single" w:sz="4" w:space="0" w:color="auto"/>
            </w:tcBorders>
          </w:tcPr>
          <w:p w14:paraId="5EAFBE4E" w14:textId="52AAA742"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636 239 921</w:t>
            </w:r>
          </w:p>
        </w:tc>
        <w:tc>
          <w:tcPr>
            <w:tcW w:w="1134" w:type="dxa"/>
            <w:tcBorders>
              <w:top w:val="single" w:sz="4" w:space="0" w:color="auto"/>
              <w:left w:val="single" w:sz="4" w:space="0" w:color="auto"/>
              <w:bottom w:val="single" w:sz="4" w:space="0" w:color="auto"/>
              <w:right w:val="single" w:sz="4" w:space="0" w:color="auto"/>
            </w:tcBorders>
          </w:tcPr>
          <w:p w14:paraId="172493C6" w14:textId="77DF6D75"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452 303 813</w:t>
            </w:r>
          </w:p>
        </w:tc>
        <w:tc>
          <w:tcPr>
            <w:tcW w:w="1134" w:type="dxa"/>
            <w:tcBorders>
              <w:top w:val="single" w:sz="4" w:space="0" w:color="auto"/>
              <w:left w:val="single" w:sz="4" w:space="0" w:color="auto"/>
              <w:bottom w:val="single" w:sz="4" w:space="0" w:color="auto"/>
              <w:right w:val="single" w:sz="4" w:space="0" w:color="auto"/>
            </w:tcBorders>
          </w:tcPr>
          <w:p w14:paraId="7145D9CF" w14:textId="51772394"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183 936 108</w:t>
            </w:r>
          </w:p>
        </w:tc>
        <w:tc>
          <w:tcPr>
            <w:tcW w:w="1275" w:type="dxa"/>
            <w:tcBorders>
              <w:top w:val="single" w:sz="4" w:space="0" w:color="auto"/>
              <w:left w:val="single" w:sz="4" w:space="0" w:color="auto"/>
              <w:bottom w:val="single" w:sz="4" w:space="0" w:color="auto"/>
              <w:right w:val="single" w:sz="4" w:space="0" w:color="auto"/>
            </w:tcBorders>
          </w:tcPr>
          <w:p w14:paraId="1FC1D3F6" w14:textId="629CCB31" w:rsidR="00C352C2" w:rsidRPr="00B44B19" w:rsidRDefault="00C352C2" w:rsidP="00C352C2">
            <w:pPr>
              <w:jc w:val="center"/>
              <w:rPr>
                <w:rFonts w:ascii="Times New Roman" w:hAnsi="Times New Roman" w:cs="Times New Roman"/>
                <w:b/>
                <w:sz w:val="16"/>
                <w:szCs w:val="16"/>
              </w:rPr>
            </w:pPr>
            <w:r w:rsidRPr="00B44B19">
              <w:rPr>
                <w:rFonts w:ascii="Times New Roman" w:hAnsi="Times New Roman" w:cs="Times New Roman"/>
                <w:sz w:val="16"/>
                <w:szCs w:val="16"/>
              </w:rPr>
              <w:t>6 825 950 451</w:t>
            </w:r>
          </w:p>
        </w:tc>
        <w:tc>
          <w:tcPr>
            <w:tcW w:w="709" w:type="dxa"/>
            <w:tcBorders>
              <w:top w:val="single" w:sz="4" w:space="0" w:color="auto"/>
              <w:left w:val="single" w:sz="4" w:space="0" w:color="auto"/>
              <w:bottom w:val="single" w:sz="4" w:space="0" w:color="auto"/>
              <w:right w:val="single" w:sz="4" w:space="0" w:color="auto"/>
            </w:tcBorders>
          </w:tcPr>
          <w:p w14:paraId="69ED3E49" w14:textId="342BFC41" w:rsidR="00C352C2" w:rsidRPr="00B44B19" w:rsidRDefault="00C352C2" w:rsidP="00C352C2">
            <w:pPr>
              <w:jc w:val="center"/>
              <w:rPr>
                <w:rFonts w:ascii="Times New Roman" w:hAnsi="Times New Roman" w:cs="Times New Roman"/>
                <w:b/>
                <w:color w:val="000000"/>
                <w:sz w:val="16"/>
                <w:szCs w:val="16"/>
              </w:rPr>
            </w:pPr>
            <w:r w:rsidRPr="00B44B19">
              <w:rPr>
                <w:rFonts w:ascii="Times New Roman" w:hAnsi="Times New Roman" w:cs="Times New Roman"/>
                <w:sz w:val="16"/>
                <w:szCs w:val="16"/>
              </w:rPr>
              <w:t>90,68 %</w:t>
            </w:r>
          </w:p>
        </w:tc>
      </w:tr>
    </w:tbl>
    <w:p w14:paraId="111F7011" w14:textId="77777777" w:rsidR="00960459" w:rsidRPr="00B44B19" w:rsidRDefault="00960459" w:rsidP="00960459">
      <w:pPr>
        <w:rPr>
          <w:rFonts w:cs="Times New Roman"/>
          <w:b/>
          <w:bCs/>
          <w:sz w:val="28"/>
          <w:szCs w:val="28"/>
        </w:rPr>
        <w:sectPr w:rsidR="00960459" w:rsidRPr="00B44B19" w:rsidSect="00960459">
          <w:headerReference w:type="even" r:id="rId35"/>
          <w:headerReference w:type="default" r:id="rId36"/>
          <w:footerReference w:type="even" r:id="rId37"/>
          <w:footerReference w:type="default" r:id="rId38"/>
          <w:headerReference w:type="first" r:id="rId39"/>
          <w:pgSz w:w="16838" w:h="11906" w:orient="landscape"/>
          <w:pgMar w:top="1701" w:right="1276" w:bottom="567" w:left="1134" w:header="567" w:footer="567" w:gutter="0"/>
          <w:cols w:space="1296"/>
          <w:docGrid w:linePitch="360"/>
        </w:sectPr>
      </w:pPr>
    </w:p>
    <w:p w14:paraId="2A682ACB" w14:textId="77777777" w:rsidR="0021211C" w:rsidRPr="00B44B19" w:rsidRDefault="0021211C" w:rsidP="0021211C">
      <w:pPr>
        <w:spacing w:after="0"/>
        <w:rPr>
          <w:rFonts w:cs="Times New Roman"/>
          <w:b/>
          <w:sz w:val="22"/>
        </w:rPr>
      </w:pPr>
    </w:p>
    <w:p w14:paraId="688F0402" w14:textId="77777777" w:rsidR="00282E64" w:rsidRPr="00B44B19" w:rsidRDefault="00282E64" w:rsidP="00D456C1">
      <w:pPr>
        <w:pStyle w:val="Antrat1"/>
        <w:numPr>
          <w:ilvl w:val="0"/>
          <w:numId w:val="8"/>
        </w:numPr>
      </w:pPr>
      <w:bookmarkStart w:id="108" w:name="_Toc223435468"/>
      <w:r w:rsidRPr="00B44B19">
        <w:t>Programos institucijos</w:t>
      </w:r>
      <w:bookmarkStart w:id="109" w:name="_Toc390787064"/>
      <w:bookmarkEnd w:id="108"/>
    </w:p>
    <w:tbl>
      <w:tblPr>
        <w:tblStyle w:val="Lentelstinklelis12"/>
        <w:tblW w:w="5000" w:type="pct"/>
        <w:tblLook w:val="04A0" w:firstRow="1" w:lastRow="0" w:firstColumn="1" w:lastColumn="0" w:noHBand="0" w:noVBand="1"/>
      </w:tblPr>
      <w:tblGrid>
        <w:gridCol w:w="2733"/>
        <w:gridCol w:w="1520"/>
        <w:gridCol w:w="2267"/>
        <w:gridCol w:w="3088"/>
      </w:tblGrid>
      <w:tr w:rsidR="00AF2E4D" w:rsidRPr="00B44B19" w14:paraId="7B447F37" w14:textId="77777777" w:rsidTr="00AF2E4D">
        <w:tc>
          <w:tcPr>
            <w:tcW w:w="1422"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05D28F" w14:textId="77777777" w:rsidR="00AF2E4D" w:rsidRPr="00B44B19" w:rsidRDefault="00AF2E4D" w:rsidP="005C1263">
            <w:pPr>
              <w:spacing w:before="60" w:after="60"/>
              <w:jc w:val="center"/>
              <w:rPr>
                <w:rFonts w:ascii="Times New Roman" w:hAnsi="Times New Roman" w:cs="Times New Roman"/>
                <w:b/>
              </w:rPr>
            </w:pPr>
            <w:r w:rsidRPr="00B44B19">
              <w:rPr>
                <w:rFonts w:ascii="Times New Roman" w:hAnsi="Times New Roman" w:cs="Times New Roman"/>
                <w:b/>
              </w:rPr>
              <w:t>Programos institucijos</w:t>
            </w:r>
          </w:p>
        </w:tc>
        <w:tc>
          <w:tcPr>
            <w:tcW w:w="791"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F6B7E15" w14:textId="04AE91A4" w:rsidR="00AF2E4D" w:rsidRPr="00B44B19" w:rsidRDefault="00AF2E4D" w:rsidP="005C1263">
            <w:pPr>
              <w:spacing w:before="60" w:after="60"/>
              <w:jc w:val="center"/>
              <w:rPr>
                <w:rFonts w:ascii="Times New Roman" w:hAnsi="Times New Roman" w:cs="Times New Roman"/>
                <w:b/>
              </w:rPr>
            </w:pPr>
            <w:r w:rsidRPr="00B44B19">
              <w:rPr>
                <w:rFonts w:ascii="Times New Roman" w:hAnsi="Times New Roman" w:cs="Times New Roman"/>
                <w:b/>
              </w:rPr>
              <w:t>Institucijos pavadinimas</w:t>
            </w:r>
          </w:p>
        </w:tc>
        <w:tc>
          <w:tcPr>
            <w:tcW w:w="1180"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9D0C611" w14:textId="77777777" w:rsidR="00AF2E4D" w:rsidRPr="00B44B19" w:rsidRDefault="00AF2E4D" w:rsidP="005C1263">
            <w:pPr>
              <w:spacing w:before="60" w:after="60"/>
              <w:jc w:val="center"/>
              <w:rPr>
                <w:rFonts w:ascii="Times New Roman" w:hAnsi="Times New Roman" w:cs="Times New Roman"/>
                <w:b/>
              </w:rPr>
            </w:pPr>
            <w:r w:rsidRPr="00B44B19">
              <w:rPr>
                <w:rFonts w:ascii="Times New Roman" w:hAnsi="Times New Roman" w:cs="Times New Roman"/>
                <w:b/>
              </w:rPr>
              <w:t xml:space="preserve">Kontaktinis asmuo </w:t>
            </w:r>
          </w:p>
        </w:tc>
        <w:tc>
          <w:tcPr>
            <w:tcW w:w="1607" w:type="pct"/>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94B5D3C" w14:textId="77777777" w:rsidR="00AF2E4D" w:rsidRPr="00B44B19" w:rsidRDefault="00AF2E4D" w:rsidP="005C1263">
            <w:pPr>
              <w:spacing w:before="60" w:after="60"/>
              <w:jc w:val="center"/>
              <w:rPr>
                <w:rFonts w:ascii="Times New Roman" w:hAnsi="Times New Roman" w:cs="Times New Roman"/>
                <w:b/>
              </w:rPr>
            </w:pPr>
            <w:r w:rsidRPr="00B44B19">
              <w:rPr>
                <w:rFonts w:ascii="Times New Roman" w:hAnsi="Times New Roman" w:cs="Times New Roman"/>
                <w:b/>
              </w:rPr>
              <w:t xml:space="preserve">E. paštas </w:t>
            </w:r>
          </w:p>
        </w:tc>
      </w:tr>
      <w:tr w:rsidR="00AF2E4D" w:rsidRPr="00B44B19" w14:paraId="4B546F89" w14:textId="77777777" w:rsidTr="00AF2E4D">
        <w:tc>
          <w:tcPr>
            <w:tcW w:w="1422" w:type="pct"/>
            <w:tcBorders>
              <w:top w:val="single" w:sz="12" w:space="0" w:color="auto"/>
            </w:tcBorders>
          </w:tcPr>
          <w:p w14:paraId="0DD15892"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Vadovaujančioji institucija</w:t>
            </w:r>
          </w:p>
        </w:tc>
        <w:tc>
          <w:tcPr>
            <w:tcW w:w="791" w:type="pct"/>
            <w:tcBorders>
              <w:top w:val="single" w:sz="12" w:space="0" w:color="auto"/>
            </w:tcBorders>
            <w:vAlign w:val="center"/>
          </w:tcPr>
          <w:p w14:paraId="333F889F"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Finansų ministerija</w:t>
            </w:r>
          </w:p>
        </w:tc>
        <w:tc>
          <w:tcPr>
            <w:tcW w:w="1180" w:type="pct"/>
            <w:tcBorders>
              <w:top w:val="single" w:sz="12" w:space="0" w:color="auto"/>
            </w:tcBorders>
            <w:vAlign w:val="center"/>
          </w:tcPr>
          <w:p w14:paraId="01A5D234" w14:textId="0E9ABBA3" w:rsidR="00AF2E4D" w:rsidRPr="00B44B19" w:rsidRDefault="00410479" w:rsidP="005C1263">
            <w:pPr>
              <w:jc w:val="center"/>
              <w:rPr>
                <w:rFonts w:ascii="Times New Roman" w:hAnsi="Times New Roman" w:cs="Times New Roman"/>
                <w:bCs/>
              </w:rPr>
            </w:pPr>
            <w:r w:rsidRPr="00B44B19">
              <w:rPr>
                <w:rFonts w:ascii="Times New Roman" w:hAnsi="Times New Roman" w:cs="Times New Roman"/>
                <w:bCs/>
              </w:rPr>
              <w:t>Vaida Žukauskaitė</w:t>
            </w:r>
          </w:p>
        </w:tc>
        <w:tc>
          <w:tcPr>
            <w:tcW w:w="1607" w:type="pct"/>
            <w:tcBorders>
              <w:top w:val="single" w:sz="12" w:space="0" w:color="auto"/>
            </w:tcBorders>
            <w:vAlign w:val="center"/>
          </w:tcPr>
          <w:p w14:paraId="62936346" w14:textId="1B10C228" w:rsidR="00410479" w:rsidRPr="00B44B19" w:rsidRDefault="00410479" w:rsidP="005C1263">
            <w:pPr>
              <w:jc w:val="center"/>
              <w:rPr>
                <w:rFonts w:ascii="Times New Roman" w:hAnsi="Times New Roman" w:cs="Times New Roman"/>
                <w:bCs/>
              </w:rPr>
            </w:pPr>
            <w:r w:rsidRPr="00B44B19">
              <w:rPr>
                <w:rFonts w:ascii="Times New Roman" w:hAnsi="Times New Roman" w:cs="Times New Roman"/>
                <w:bCs/>
              </w:rPr>
              <w:t>vaida.zukauskaite@finmin.lt</w:t>
            </w:r>
          </w:p>
        </w:tc>
      </w:tr>
      <w:tr w:rsidR="00AF2E4D" w:rsidRPr="00B44B19" w14:paraId="4EDCED8E" w14:textId="77777777" w:rsidTr="00AF2E4D">
        <w:tc>
          <w:tcPr>
            <w:tcW w:w="1422" w:type="pct"/>
          </w:tcPr>
          <w:p w14:paraId="0147C552"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Audito institucija</w:t>
            </w:r>
          </w:p>
        </w:tc>
        <w:tc>
          <w:tcPr>
            <w:tcW w:w="791" w:type="pct"/>
            <w:vAlign w:val="center"/>
          </w:tcPr>
          <w:p w14:paraId="39699981"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Finansų ministerija</w:t>
            </w:r>
          </w:p>
        </w:tc>
        <w:tc>
          <w:tcPr>
            <w:tcW w:w="1180" w:type="pct"/>
            <w:vAlign w:val="center"/>
          </w:tcPr>
          <w:p w14:paraId="2332C4FB" w14:textId="77777777" w:rsidR="00AF2E4D" w:rsidRPr="00B44B19" w:rsidRDefault="00AF2E4D" w:rsidP="005C1263">
            <w:pPr>
              <w:jc w:val="center"/>
              <w:rPr>
                <w:rFonts w:ascii="Times New Roman" w:hAnsi="Times New Roman" w:cs="Times New Roman"/>
              </w:rPr>
            </w:pPr>
            <w:r w:rsidRPr="00B44B19">
              <w:rPr>
                <w:rFonts w:ascii="Times New Roman" w:hAnsi="Times New Roman" w:cs="Times New Roman"/>
              </w:rPr>
              <w:t>Rolandas Pauža</w:t>
            </w:r>
          </w:p>
        </w:tc>
        <w:tc>
          <w:tcPr>
            <w:tcW w:w="1607" w:type="pct"/>
            <w:vAlign w:val="center"/>
          </w:tcPr>
          <w:p w14:paraId="6DBB8B53" w14:textId="77777777" w:rsidR="00AF2E4D" w:rsidRPr="00B44B19" w:rsidRDefault="00AF2E4D" w:rsidP="005C1263">
            <w:pPr>
              <w:jc w:val="center"/>
              <w:rPr>
                <w:rFonts w:ascii="Times New Roman" w:hAnsi="Times New Roman" w:cs="Times New Roman"/>
              </w:rPr>
            </w:pPr>
            <w:r w:rsidRPr="00B44B19">
              <w:rPr>
                <w:rFonts w:ascii="Times New Roman" w:hAnsi="Times New Roman" w:cs="Times New Roman"/>
              </w:rPr>
              <w:t>rolandas.pauza@finmin.lt</w:t>
            </w:r>
          </w:p>
        </w:tc>
      </w:tr>
      <w:tr w:rsidR="00AF2E4D" w:rsidRPr="00B44B19" w14:paraId="2790F1DE" w14:textId="77777777" w:rsidTr="00AF2E4D">
        <w:tc>
          <w:tcPr>
            <w:tcW w:w="1422" w:type="pct"/>
          </w:tcPr>
          <w:p w14:paraId="0C924AEA"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Komisijos išmokas gaunantis subjektas</w:t>
            </w:r>
          </w:p>
        </w:tc>
        <w:tc>
          <w:tcPr>
            <w:tcW w:w="791" w:type="pct"/>
            <w:vAlign w:val="center"/>
          </w:tcPr>
          <w:p w14:paraId="63509CD1"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Finansų ministerija</w:t>
            </w:r>
          </w:p>
        </w:tc>
        <w:tc>
          <w:tcPr>
            <w:tcW w:w="1180" w:type="pct"/>
            <w:vAlign w:val="center"/>
          </w:tcPr>
          <w:p w14:paraId="269CE567" w14:textId="77777777" w:rsidR="00AF2E4D" w:rsidRPr="00B44B19" w:rsidRDefault="00AF2E4D" w:rsidP="005C1263">
            <w:pPr>
              <w:autoSpaceDE w:val="0"/>
              <w:autoSpaceDN w:val="0"/>
              <w:adjustRightInd w:val="0"/>
              <w:jc w:val="center"/>
              <w:rPr>
                <w:rFonts w:ascii="Times New Roman" w:hAnsi="Times New Roman" w:cs="Times New Roman"/>
                <w:bCs/>
                <w:szCs w:val="24"/>
              </w:rPr>
            </w:pPr>
            <w:r w:rsidRPr="00B44B19">
              <w:rPr>
                <w:rFonts w:ascii="Times New Roman" w:hAnsi="Times New Roman" w:cs="Times New Roman"/>
                <w:bCs/>
                <w:color w:val="000000"/>
                <w:szCs w:val="24"/>
              </w:rPr>
              <w:t>Rasa Kavolytė</w:t>
            </w:r>
          </w:p>
        </w:tc>
        <w:tc>
          <w:tcPr>
            <w:tcW w:w="1607" w:type="pct"/>
            <w:vAlign w:val="center"/>
          </w:tcPr>
          <w:p w14:paraId="6C197456" w14:textId="77777777" w:rsidR="00AF2E4D" w:rsidRPr="00B44B19" w:rsidRDefault="00AF2E4D" w:rsidP="005C1263">
            <w:pPr>
              <w:autoSpaceDE w:val="0"/>
              <w:autoSpaceDN w:val="0"/>
              <w:adjustRightInd w:val="0"/>
              <w:jc w:val="center"/>
              <w:rPr>
                <w:rFonts w:ascii="Times New Roman" w:hAnsi="Times New Roman" w:cs="Times New Roman"/>
                <w:bCs/>
                <w:szCs w:val="24"/>
              </w:rPr>
            </w:pPr>
            <w:r w:rsidRPr="00B44B19">
              <w:rPr>
                <w:rFonts w:ascii="Times New Roman" w:hAnsi="Times New Roman" w:cs="Times New Roman"/>
                <w:bCs/>
                <w:szCs w:val="24"/>
              </w:rPr>
              <w:t>rasa.kavolyte@finmin.lt</w:t>
            </w:r>
          </w:p>
        </w:tc>
      </w:tr>
      <w:tr w:rsidR="00AF2E4D" w:rsidRPr="00B44B19" w14:paraId="71B5F7A3" w14:textId="77777777" w:rsidTr="00AF2E4D">
        <w:tc>
          <w:tcPr>
            <w:tcW w:w="1422" w:type="pct"/>
          </w:tcPr>
          <w:p w14:paraId="7E9B9767"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Kai taikytina, subjektas ar subjektai, kurie gauna Komisijos išmokas tais atvejais, kai teikiama techninė parama pagal 36 straipsnio 5 dalį</w:t>
            </w:r>
          </w:p>
        </w:tc>
        <w:tc>
          <w:tcPr>
            <w:tcW w:w="791" w:type="pct"/>
            <w:vAlign w:val="center"/>
          </w:tcPr>
          <w:p w14:paraId="320C4EBE" w14:textId="77777777" w:rsidR="00AF2E4D" w:rsidRPr="00B44B19" w:rsidRDefault="00AF2E4D" w:rsidP="005C1263">
            <w:pPr>
              <w:spacing w:before="60" w:after="60"/>
              <w:rPr>
                <w:rFonts w:ascii="Times New Roman" w:hAnsi="Times New Roman" w:cs="Times New Roman"/>
              </w:rPr>
            </w:pPr>
            <w:r w:rsidRPr="00B44B19">
              <w:rPr>
                <w:rFonts w:ascii="Times New Roman" w:hAnsi="Times New Roman" w:cs="Times New Roman"/>
              </w:rPr>
              <w:t>Finansų ministerija</w:t>
            </w:r>
          </w:p>
        </w:tc>
        <w:tc>
          <w:tcPr>
            <w:tcW w:w="1180" w:type="pct"/>
            <w:vAlign w:val="center"/>
          </w:tcPr>
          <w:p w14:paraId="1D35A079" w14:textId="77777777" w:rsidR="00AF2E4D" w:rsidRPr="00B44B19" w:rsidRDefault="00AF2E4D" w:rsidP="005C1263">
            <w:pPr>
              <w:jc w:val="center"/>
              <w:rPr>
                <w:rFonts w:ascii="Times New Roman" w:hAnsi="Times New Roman" w:cs="Times New Roman"/>
                <w:bCs/>
              </w:rPr>
            </w:pPr>
            <w:r w:rsidRPr="00B44B19">
              <w:rPr>
                <w:rFonts w:ascii="Times New Roman" w:hAnsi="Times New Roman" w:cs="Times New Roman"/>
                <w:bCs/>
                <w:color w:val="000000"/>
                <w:szCs w:val="24"/>
              </w:rPr>
              <w:t>Rasa Kavolytė</w:t>
            </w:r>
          </w:p>
        </w:tc>
        <w:tc>
          <w:tcPr>
            <w:tcW w:w="1607" w:type="pct"/>
            <w:vAlign w:val="center"/>
          </w:tcPr>
          <w:p w14:paraId="2D5A0671" w14:textId="77777777" w:rsidR="00AF2E4D" w:rsidRPr="00B44B19" w:rsidRDefault="00AF2E4D" w:rsidP="005C1263">
            <w:pPr>
              <w:jc w:val="center"/>
              <w:rPr>
                <w:rFonts w:ascii="Times New Roman" w:hAnsi="Times New Roman" w:cs="Times New Roman"/>
                <w:bCs/>
              </w:rPr>
            </w:pPr>
            <w:r w:rsidRPr="00B44B19">
              <w:rPr>
                <w:rFonts w:ascii="Times New Roman" w:hAnsi="Times New Roman" w:cs="Times New Roman"/>
                <w:bCs/>
              </w:rPr>
              <w:t>rasa.kavolyte@finmin.lt</w:t>
            </w:r>
          </w:p>
        </w:tc>
      </w:tr>
      <w:tr w:rsidR="00980660" w:rsidRPr="00B44B19" w14:paraId="3960DCE9" w14:textId="77777777" w:rsidTr="00AF2E4D">
        <w:tc>
          <w:tcPr>
            <w:tcW w:w="1422" w:type="pct"/>
          </w:tcPr>
          <w:p w14:paraId="6CEA1934" w14:textId="77777777" w:rsidR="00980660" w:rsidRPr="00B44B19" w:rsidRDefault="00980660" w:rsidP="00980660">
            <w:pPr>
              <w:spacing w:before="60" w:after="60"/>
              <w:rPr>
                <w:rFonts w:ascii="Times New Roman" w:hAnsi="Times New Roman" w:cs="Times New Roman"/>
              </w:rPr>
            </w:pPr>
            <w:r w:rsidRPr="00B44B19">
              <w:rPr>
                <w:rFonts w:ascii="Times New Roman" w:hAnsi="Times New Roman" w:cs="Times New Roman"/>
                <w:color w:val="000000"/>
                <w:szCs w:val="24"/>
              </w:rPr>
              <w:t>Apskaitos funkcijos vykdytojas tais atvejais, kai ši funkcija patikima ne vadovaujančiajai institucijai, o kitam subjektui</w:t>
            </w:r>
          </w:p>
        </w:tc>
        <w:tc>
          <w:tcPr>
            <w:tcW w:w="791" w:type="pct"/>
            <w:vAlign w:val="center"/>
          </w:tcPr>
          <w:p w14:paraId="6BD5DCCB" w14:textId="77777777" w:rsidR="00980660" w:rsidRPr="00B44B19" w:rsidRDefault="00980660" w:rsidP="00980660">
            <w:pPr>
              <w:spacing w:before="60" w:after="60"/>
              <w:rPr>
                <w:rFonts w:ascii="Times New Roman" w:hAnsi="Times New Roman" w:cs="Times New Roman"/>
              </w:rPr>
            </w:pPr>
            <w:r w:rsidRPr="00B44B19">
              <w:rPr>
                <w:rFonts w:ascii="Times New Roman" w:hAnsi="Times New Roman" w:cs="Times New Roman"/>
              </w:rPr>
              <w:t>Centrinė projektų valdymo agentūra</w:t>
            </w:r>
          </w:p>
        </w:tc>
        <w:tc>
          <w:tcPr>
            <w:tcW w:w="1180" w:type="pct"/>
            <w:vAlign w:val="center"/>
          </w:tcPr>
          <w:p w14:paraId="06845029" w14:textId="16792135" w:rsidR="00980660" w:rsidRPr="00B44B19" w:rsidRDefault="00980660" w:rsidP="00980660">
            <w:pPr>
              <w:jc w:val="center"/>
              <w:rPr>
                <w:rFonts w:ascii="Times New Roman" w:hAnsi="Times New Roman" w:cs="Times New Roman"/>
                <w:color w:val="000000" w:themeColor="text1"/>
                <w:szCs w:val="24"/>
              </w:rPr>
            </w:pPr>
            <w:r w:rsidRPr="00B44B19">
              <w:rPr>
                <w:rFonts w:ascii="Times New Roman" w:hAnsi="Times New Roman" w:cs="Times New Roman"/>
                <w:color w:val="000000" w:themeColor="text1"/>
                <w:szCs w:val="24"/>
              </w:rPr>
              <w:t>Indrė Šuolienė</w:t>
            </w:r>
          </w:p>
        </w:tc>
        <w:tc>
          <w:tcPr>
            <w:tcW w:w="1607" w:type="pct"/>
            <w:vAlign w:val="center"/>
          </w:tcPr>
          <w:p w14:paraId="1D03E47A" w14:textId="3FFBAEB1" w:rsidR="00980660" w:rsidRPr="00B44B19" w:rsidRDefault="00980660" w:rsidP="00980660">
            <w:pPr>
              <w:jc w:val="center"/>
              <w:rPr>
                <w:rFonts w:ascii="Times New Roman" w:hAnsi="Times New Roman" w:cs="Times New Roman"/>
                <w:color w:val="000000" w:themeColor="text1"/>
              </w:rPr>
            </w:pPr>
            <w:r w:rsidRPr="00B44B19">
              <w:rPr>
                <w:rFonts w:ascii="Times New Roman" w:hAnsi="Times New Roman" w:cs="Times New Roman"/>
                <w:color w:val="000000" w:themeColor="text1"/>
              </w:rPr>
              <w:t>i.suoliene@cpva.lt</w:t>
            </w:r>
          </w:p>
        </w:tc>
      </w:tr>
    </w:tbl>
    <w:p w14:paraId="2FFDB8AE" w14:textId="77777777" w:rsidR="00362FF3" w:rsidRPr="00B44B19" w:rsidRDefault="009952B9" w:rsidP="00D456C1">
      <w:pPr>
        <w:pStyle w:val="Antrat1"/>
        <w:numPr>
          <w:ilvl w:val="0"/>
          <w:numId w:val="8"/>
        </w:numPr>
      </w:pPr>
      <w:bookmarkStart w:id="110" w:name="_Toc223435469"/>
      <w:r w:rsidRPr="00B44B19">
        <w:t>Partnerystė</w:t>
      </w:r>
      <w:bookmarkEnd w:id="109"/>
      <w:bookmarkEnd w:id="110"/>
    </w:p>
    <w:p w14:paraId="33A2B4B7"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Partnerystė yra vienas svarbiausių ES sanglaudos politikos įgyvendinimo principų, kuriam skiriamas ypatingas dėmesys tiek ES, tiek nacionaliniu lygiu.</w:t>
      </w:r>
    </w:p>
    <w:p w14:paraId="03FBB197"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Planuojant, įgyvendinant, stebint ir vertinant Programos įgyvendinimą, partnerystė grindžiama šiais principais:</w:t>
      </w:r>
    </w:p>
    <w:p w14:paraId="69D8B0EA" w14:textId="77777777" w:rsidR="00362FF3" w:rsidRPr="00B44B19"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sidRPr="00B44B19">
        <w:rPr>
          <w:rFonts w:cs="Times New Roman"/>
          <w:b/>
          <w:bCs/>
          <w:sz w:val="22"/>
        </w:rPr>
        <w:t>a</w:t>
      </w:r>
      <w:r w:rsidR="00362FF3" w:rsidRPr="00B44B19">
        <w:rPr>
          <w:rFonts w:cs="Times New Roman"/>
          <w:b/>
          <w:bCs/>
          <w:sz w:val="22"/>
        </w:rPr>
        <w:t xml:space="preserve">tvirumo </w:t>
      </w:r>
      <w:r w:rsidR="00362FF3" w:rsidRPr="00B44B19">
        <w:rPr>
          <w:rFonts w:cs="Times New Roman"/>
          <w:sz w:val="22"/>
        </w:rPr>
        <w:t>– gali dalyvauti visų institucinių lygių ar visuomenės grupių atstovai;</w:t>
      </w:r>
    </w:p>
    <w:p w14:paraId="3907F0A7" w14:textId="77777777" w:rsidR="00362FF3" w:rsidRPr="00B44B19"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sidRPr="00B44B19">
        <w:rPr>
          <w:rFonts w:cs="Times New Roman"/>
          <w:b/>
          <w:bCs/>
          <w:sz w:val="22"/>
        </w:rPr>
        <w:t>į</w:t>
      </w:r>
      <w:r w:rsidR="00362FF3" w:rsidRPr="00B44B19">
        <w:rPr>
          <w:rFonts w:cs="Times New Roman"/>
          <w:b/>
          <w:bCs/>
          <w:sz w:val="22"/>
        </w:rPr>
        <w:t xml:space="preserve">traukimo </w:t>
      </w:r>
      <w:r w:rsidR="00362FF3" w:rsidRPr="00B44B19">
        <w:rPr>
          <w:rFonts w:cs="Times New Roman"/>
          <w:sz w:val="22"/>
        </w:rPr>
        <w:t>– partneriai įtraukiami į visus Programos įgyvendinimo etapus;</w:t>
      </w:r>
    </w:p>
    <w:p w14:paraId="00A802E0" w14:textId="77777777" w:rsidR="00362FF3" w:rsidRPr="00B44B19"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sidRPr="00B44B19">
        <w:rPr>
          <w:rFonts w:cs="Times New Roman"/>
          <w:b/>
          <w:bCs/>
          <w:sz w:val="22"/>
        </w:rPr>
        <w:t>s</w:t>
      </w:r>
      <w:r w:rsidR="00362FF3" w:rsidRPr="00B44B19">
        <w:rPr>
          <w:rFonts w:cs="Times New Roman"/>
          <w:b/>
          <w:bCs/>
          <w:sz w:val="22"/>
        </w:rPr>
        <w:t xml:space="preserve">kaidrumo </w:t>
      </w:r>
      <w:r w:rsidR="00362FF3" w:rsidRPr="00B44B19">
        <w:rPr>
          <w:rFonts w:cs="Times New Roman"/>
          <w:sz w:val="22"/>
        </w:rPr>
        <w:t>– partneriams pateikiama visa reikalinga informacija;</w:t>
      </w:r>
    </w:p>
    <w:p w14:paraId="4882F46F" w14:textId="77777777" w:rsidR="00362FF3" w:rsidRPr="00B44B19"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sidRPr="00B44B19">
        <w:rPr>
          <w:rFonts w:cs="Times New Roman"/>
          <w:b/>
          <w:bCs/>
          <w:sz w:val="22"/>
        </w:rPr>
        <w:t>e</w:t>
      </w:r>
      <w:r w:rsidR="00362FF3" w:rsidRPr="00B44B19">
        <w:rPr>
          <w:rFonts w:cs="Times New Roman"/>
          <w:b/>
          <w:bCs/>
          <w:sz w:val="22"/>
        </w:rPr>
        <w:t xml:space="preserve">fektyvumo </w:t>
      </w:r>
      <w:r w:rsidR="00362FF3" w:rsidRPr="00B44B19">
        <w:rPr>
          <w:rFonts w:cs="Times New Roman"/>
          <w:sz w:val="22"/>
        </w:rPr>
        <w:t>– partneriai į Programos įgyvendinimą įtraukiami pagal savo kompetencijas, laiku, jiems tinkamomis formomis ir dėl esminių klausimų;</w:t>
      </w:r>
    </w:p>
    <w:p w14:paraId="62E834D8" w14:textId="77777777" w:rsidR="00362FF3" w:rsidRPr="00B44B19" w:rsidRDefault="00180860" w:rsidP="00E67E5C">
      <w:pPr>
        <w:numPr>
          <w:ilvl w:val="0"/>
          <w:numId w:val="2"/>
        </w:numPr>
        <w:tabs>
          <w:tab w:val="left" w:pos="851"/>
        </w:tabs>
        <w:autoSpaceDE w:val="0"/>
        <w:autoSpaceDN w:val="0"/>
        <w:adjustRightInd w:val="0"/>
        <w:spacing w:before="60" w:after="60" w:line="240" w:lineRule="auto"/>
        <w:ind w:left="567" w:firstLine="0"/>
        <w:jc w:val="both"/>
        <w:rPr>
          <w:rFonts w:cs="Times New Roman"/>
          <w:sz w:val="22"/>
        </w:rPr>
      </w:pPr>
      <w:r w:rsidRPr="00B44B19">
        <w:rPr>
          <w:rFonts w:cs="Times New Roman"/>
          <w:b/>
          <w:bCs/>
          <w:sz w:val="22"/>
        </w:rPr>
        <w:t>t</w:t>
      </w:r>
      <w:r w:rsidR="00362FF3" w:rsidRPr="00B44B19">
        <w:rPr>
          <w:rFonts w:cs="Times New Roman"/>
          <w:b/>
          <w:bCs/>
          <w:sz w:val="22"/>
        </w:rPr>
        <w:t xml:space="preserve">arpusavio atsakomybės </w:t>
      </w:r>
      <w:r w:rsidR="00362FF3" w:rsidRPr="00B44B19">
        <w:rPr>
          <w:rFonts w:cs="Times New Roman"/>
          <w:sz w:val="22"/>
        </w:rPr>
        <w:t xml:space="preserve">– partnerystė grindžiama abipusiu pasitikėjimu ir įsipareigojimu </w:t>
      </w:r>
      <w:r w:rsidRPr="00B44B19">
        <w:rPr>
          <w:rFonts w:cs="Times New Roman"/>
          <w:sz w:val="22"/>
        </w:rPr>
        <w:t xml:space="preserve">dėl </w:t>
      </w:r>
      <w:r w:rsidR="00362FF3" w:rsidRPr="00B44B19">
        <w:rPr>
          <w:rFonts w:cs="Times New Roman"/>
          <w:sz w:val="22"/>
        </w:rPr>
        <w:t>maksimaliai efektyvaus ES struktūrinių fondų lėšų panaudojimo.</w:t>
      </w:r>
    </w:p>
    <w:p w14:paraId="014024B4"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Partnerystės principas, kitaip nei kiti horizontal</w:t>
      </w:r>
      <w:r w:rsidR="00180860" w:rsidRPr="00B44B19">
        <w:rPr>
          <w:rFonts w:eastAsia="Calibri" w:cs="Times New Roman"/>
          <w:sz w:val="22"/>
        </w:rPr>
        <w:t>ieji</w:t>
      </w:r>
      <w:r w:rsidRPr="00B44B19">
        <w:rPr>
          <w:rFonts w:eastAsia="Calibri" w:cs="Times New Roman"/>
          <w:sz w:val="22"/>
        </w:rPr>
        <w:t xml:space="preserve"> principai, nėra sukoncentruotas į tam tikrų tematinių iššūkių sukeliamų problemų sprendimą. Tai veikiau yra būdas pasiekti geresnio Programos įgyvendinimo proceso ir rezultatų tri</w:t>
      </w:r>
      <w:r w:rsidR="00180860" w:rsidRPr="00B44B19">
        <w:rPr>
          <w:rFonts w:eastAsia="Calibri" w:cs="Times New Roman"/>
          <w:sz w:val="22"/>
        </w:rPr>
        <w:t>mis</w:t>
      </w:r>
      <w:r w:rsidRPr="00B44B19">
        <w:rPr>
          <w:rFonts w:eastAsia="Calibri" w:cs="Times New Roman"/>
          <w:sz w:val="22"/>
        </w:rPr>
        <w:t xml:space="preserve"> lygmen</w:t>
      </w:r>
      <w:r w:rsidR="00180860" w:rsidRPr="00B44B19">
        <w:rPr>
          <w:rFonts w:eastAsia="Calibri" w:cs="Times New Roman"/>
          <w:sz w:val="22"/>
        </w:rPr>
        <w:t>imis</w:t>
      </w:r>
      <w:r w:rsidRPr="00B44B19">
        <w:rPr>
          <w:rFonts w:eastAsia="Calibri" w:cs="Times New Roman"/>
          <w:sz w:val="22"/>
        </w:rPr>
        <w:t>:</w:t>
      </w:r>
    </w:p>
    <w:p w14:paraId="14CCC5E4" w14:textId="77777777" w:rsidR="00180860" w:rsidRPr="00B44B19" w:rsidRDefault="00A63545"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 </w:t>
      </w:r>
      <w:r w:rsidR="00180860" w:rsidRPr="00B44B19">
        <w:rPr>
          <w:rFonts w:eastAsia="Calibri" w:cs="Times New Roman"/>
          <w:b/>
          <w:sz w:val="22"/>
        </w:rPr>
        <w:t xml:space="preserve">sisteminiu </w:t>
      </w:r>
      <w:r w:rsidR="00180860" w:rsidRPr="00B44B19">
        <w:rPr>
          <w:rFonts w:eastAsia="Calibri" w:cs="Times New Roman"/>
          <w:sz w:val="22"/>
        </w:rPr>
        <w:t>‒ praskaidrinamas ir palengvinamas sprendimų priėmimo procesas; sustiprinami institucijų administraciniai gebėjimai, tarpinstitucinis koordinavimas ir bendradarbiavimas;</w:t>
      </w:r>
    </w:p>
    <w:p w14:paraId="0ED06DA9" w14:textId="77777777" w:rsidR="00180860" w:rsidRPr="00B44B19" w:rsidRDefault="00180860"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 </w:t>
      </w:r>
      <w:r w:rsidRPr="00B44B19">
        <w:rPr>
          <w:rFonts w:eastAsia="Calibri" w:cs="Times New Roman"/>
          <w:b/>
          <w:sz w:val="22"/>
        </w:rPr>
        <w:t xml:space="preserve">programiniu </w:t>
      </w:r>
      <w:r w:rsidRPr="00B44B19">
        <w:rPr>
          <w:rFonts w:eastAsia="Calibri" w:cs="Times New Roman"/>
          <w:sz w:val="22"/>
        </w:rPr>
        <w:t>‒ padidinamas Programos efektyvumas, stebėsena ir vertinimas; įgyvendinimo etape atsiranda galimybė greičiau priimti kokybiškus sprendimus;</w:t>
      </w:r>
    </w:p>
    <w:p w14:paraId="6D0BA35A" w14:textId="77777777" w:rsidR="00362FF3" w:rsidRPr="00B44B19" w:rsidRDefault="00180860"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 </w:t>
      </w:r>
      <w:r w:rsidRPr="00B44B19">
        <w:rPr>
          <w:rFonts w:eastAsia="Calibri" w:cs="Times New Roman"/>
          <w:b/>
          <w:sz w:val="22"/>
        </w:rPr>
        <w:t xml:space="preserve">projektų </w:t>
      </w:r>
      <w:r w:rsidRPr="00B44B19">
        <w:rPr>
          <w:rFonts w:eastAsia="Calibri" w:cs="Times New Roman"/>
          <w:sz w:val="22"/>
        </w:rPr>
        <w:t>‒ išlaikomas tęstinis projektų aktualumas, sąsajos su nacionalinėmis ir ES politikomis, formuojami formalūs ir neformalūs tinklai keistis informacija, įdedama daugiau pastangų dėl projektų sėkmės.</w:t>
      </w:r>
    </w:p>
    <w:p w14:paraId="7286A9AB"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lastRenderedPageBreak/>
        <w:t xml:space="preserve">Partnerystės principo įgyvendinimas organizuojamas vadovaujantis 2014 m. sausio 7 </w:t>
      </w:r>
      <w:r w:rsidR="00180860" w:rsidRPr="00B44B19">
        <w:rPr>
          <w:rFonts w:eastAsia="Calibri" w:cs="Times New Roman"/>
          <w:sz w:val="22"/>
        </w:rPr>
        <w:t>d. Europos Komisijos deleguotuoju</w:t>
      </w:r>
      <w:r w:rsidRPr="00B44B19">
        <w:rPr>
          <w:rFonts w:eastAsia="Calibri" w:cs="Times New Roman"/>
          <w:sz w:val="22"/>
        </w:rPr>
        <w:t xml:space="preserve"> reglamentu (ES) Nr. 240/2014 „Dėl Europos struktūrinių ir investicinių fondų Europos partnerystės elgesio kodekso“ per visą Programos ciklą, t. y. rengiant, įgyvendinant, stebint ir vertinant Programą.</w:t>
      </w:r>
    </w:p>
    <w:p w14:paraId="3327F1FE"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Remiantis Europos partnerystės elgesio kodo nuostatomis ir įgyvendinant partnerystės principą </w:t>
      </w:r>
      <w:r w:rsidR="00477C11" w:rsidRPr="00B44B19">
        <w:rPr>
          <w:rFonts w:eastAsia="Calibri" w:cs="Times New Roman"/>
          <w:sz w:val="22"/>
        </w:rPr>
        <w:t xml:space="preserve">patvirtintos </w:t>
      </w:r>
      <w:r w:rsidRPr="00B44B19">
        <w:rPr>
          <w:rFonts w:eastAsia="Calibri" w:cs="Times New Roman"/>
          <w:sz w:val="22"/>
        </w:rPr>
        <w:t>Atsakomybės ir funkcijų pasiskirstymo tarp institucijų taisyklės, kuriomis įtvirtinamas partnerių įtraukimas į visus Programos etapus.</w:t>
      </w:r>
    </w:p>
    <w:p w14:paraId="1E7B7444"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Siekiant kuo geresnio ir efektyvesnio valdžios institucijų ir partnerių bendradarbiavimo </w:t>
      </w:r>
      <w:r w:rsidR="00477C11" w:rsidRPr="00B44B19">
        <w:rPr>
          <w:rFonts w:eastAsia="Calibri" w:cs="Times New Roman"/>
          <w:sz w:val="22"/>
        </w:rPr>
        <w:t xml:space="preserve">ir </w:t>
      </w:r>
      <w:r w:rsidRPr="00B44B19">
        <w:rPr>
          <w:rFonts w:eastAsia="Calibri" w:cs="Times New Roman"/>
          <w:sz w:val="22"/>
        </w:rPr>
        <w:t xml:space="preserve">partnerystės principo įgyvendinimo, sudarytos mokymų programos „Partnerių dalyvavimo galimybės ES investicijų administravimo procese“ </w:t>
      </w:r>
      <w:r w:rsidR="00477C11" w:rsidRPr="00B44B19">
        <w:rPr>
          <w:rFonts w:eastAsia="Calibri" w:cs="Times New Roman"/>
          <w:sz w:val="22"/>
        </w:rPr>
        <w:t>pritaikytos</w:t>
      </w:r>
      <w:r w:rsidRPr="00B44B19">
        <w:rPr>
          <w:rFonts w:eastAsia="Calibri" w:cs="Times New Roman"/>
          <w:sz w:val="22"/>
        </w:rPr>
        <w:t xml:space="preserve"> skirtingoms tikslinėms grupėms: NVO, verslui ir profsąjungoms, savivaldybėms. Šiuose mokymuose 2018–2019 m. dalyvavo apie 150 partnerių.</w:t>
      </w:r>
    </w:p>
    <w:p w14:paraId="01282A20"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Pradedant planuoti </w:t>
      </w:r>
      <w:r w:rsidR="00833F7B" w:rsidRPr="00B44B19">
        <w:rPr>
          <w:rFonts w:eastAsia="Calibri" w:cs="Times New Roman"/>
          <w:sz w:val="22"/>
        </w:rPr>
        <w:t>2021</w:t>
      </w:r>
      <w:r w:rsidR="00E243BA" w:rsidRPr="00B44B19">
        <w:rPr>
          <w:rFonts w:eastAsia="Calibri" w:cs="Times New Roman"/>
          <w:sz w:val="22"/>
        </w:rPr>
        <w:t>–</w:t>
      </w:r>
      <w:r w:rsidR="00833F7B" w:rsidRPr="00B44B19">
        <w:rPr>
          <w:rFonts w:eastAsia="Calibri" w:cs="Times New Roman"/>
          <w:sz w:val="22"/>
        </w:rPr>
        <w:t xml:space="preserve">2027 m. </w:t>
      </w:r>
      <w:r w:rsidRPr="00B44B19">
        <w:rPr>
          <w:rFonts w:eastAsia="Calibri" w:cs="Times New Roman"/>
          <w:sz w:val="22"/>
        </w:rPr>
        <w:t xml:space="preserve">laikotarpio ES fondų investicijas, partneriai buvo įtraukti į parengiamuosius programavimo darbus. 2018 m. atliktas </w:t>
      </w:r>
      <w:r w:rsidRPr="00B44B19">
        <w:rPr>
          <w:rFonts w:eastAsia="Calibri" w:cs="Times New Roman"/>
          <w:i/>
          <w:sz w:val="22"/>
        </w:rPr>
        <w:t xml:space="preserve">Lietuvos ūkio sektorių finansavimo po 2020 m. </w:t>
      </w:r>
      <w:r w:rsidRPr="00B44B19">
        <w:rPr>
          <w:rFonts w:eastAsia="Calibri" w:cs="Times New Roman"/>
          <w:sz w:val="22"/>
        </w:rPr>
        <w:t>vertinimas, kuriuo buvo siekiama optimizuoti valstybės intervencijas, siekiant tvaraus visuomenės gyvenimo kokybės užtikrinimo vidutiniu ir ilguoju laikotarpi</w:t>
      </w:r>
      <w:r w:rsidR="00477C11" w:rsidRPr="00B44B19">
        <w:rPr>
          <w:rFonts w:eastAsia="Calibri" w:cs="Times New Roman"/>
          <w:sz w:val="22"/>
        </w:rPr>
        <w:t>ais</w:t>
      </w:r>
      <w:r w:rsidRPr="00B44B19">
        <w:rPr>
          <w:rFonts w:eastAsia="Calibri" w:cs="Times New Roman"/>
          <w:sz w:val="22"/>
        </w:rPr>
        <w:t xml:space="preserve">. </w:t>
      </w:r>
      <w:r w:rsidR="00B10AE4" w:rsidRPr="00B44B19">
        <w:rPr>
          <w:rFonts w:eastAsia="Calibri" w:cs="Times New Roman"/>
          <w:sz w:val="22"/>
        </w:rPr>
        <w:t>Vyko</w:t>
      </w:r>
      <w:r w:rsidRPr="00B44B19">
        <w:rPr>
          <w:rFonts w:eastAsia="Calibri" w:cs="Times New Roman"/>
          <w:sz w:val="22"/>
        </w:rPr>
        <w:t xml:space="preserve"> 14 parengiamųjų susitikimų ir į 16 apibendrintų diskusijų </w:t>
      </w:r>
      <w:r w:rsidR="00477C11" w:rsidRPr="00B44B19">
        <w:rPr>
          <w:rFonts w:eastAsia="Calibri" w:cs="Times New Roman"/>
          <w:sz w:val="22"/>
        </w:rPr>
        <w:t xml:space="preserve">pagal </w:t>
      </w:r>
      <w:r w:rsidRPr="00B44B19">
        <w:rPr>
          <w:rFonts w:eastAsia="Calibri" w:cs="Times New Roman"/>
          <w:sz w:val="22"/>
        </w:rPr>
        <w:t>kiekvien</w:t>
      </w:r>
      <w:r w:rsidR="00477C11" w:rsidRPr="00B44B19">
        <w:rPr>
          <w:rFonts w:eastAsia="Calibri" w:cs="Times New Roman"/>
          <w:sz w:val="22"/>
        </w:rPr>
        <w:t>ą</w:t>
      </w:r>
      <w:r w:rsidRPr="00B44B19">
        <w:rPr>
          <w:rFonts w:eastAsia="Calibri" w:cs="Times New Roman"/>
          <w:sz w:val="22"/>
        </w:rPr>
        <w:t xml:space="preserve"> ūkio sri</w:t>
      </w:r>
      <w:r w:rsidR="00477C11" w:rsidRPr="00B44B19">
        <w:rPr>
          <w:rFonts w:eastAsia="Calibri" w:cs="Times New Roman"/>
          <w:sz w:val="22"/>
        </w:rPr>
        <w:t>tį</w:t>
      </w:r>
      <w:r w:rsidRPr="00B44B19">
        <w:rPr>
          <w:rFonts w:eastAsia="Calibri" w:cs="Times New Roman"/>
          <w:sz w:val="22"/>
        </w:rPr>
        <w:t>. Juose buvo tariamasi dėl būsimų investicinių prioritetų ir krypčių bei dėl valstybės intervencijų optimizavimo svarbiausiose viešosios politikos srityse.</w:t>
      </w:r>
    </w:p>
    <w:p w14:paraId="7CE4C3CB" w14:textId="77777777" w:rsidR="00362FF3" w:rsidRPr="00B44B19" w:rsidRDefault="00362FF3"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Įvertinus tai, kad </w:t>
      </w:r>
      <w:r w:rsidR="00477C11" w:rsidRPr="00B44B19">
        <w:rPr>
          <w:rFonts w:eastAsia="Calibri" w:cs="Times New Roman"/>
          <w:sz w:val="22"/>
        </w:rPr>
        <w:t>įgyvendinant V</w:t>
      </w:r>
      <w:r w:rsidRPr="00B44B19">
        <w:rPr>
          <w:rFonts w:eastAsia="Calibri" w:cs="Times New Roman"/>
          <w:sz w:val="22"/>
        </w:rPr>
        <w:t>eiksmų program</w:t>
      </w:r>
      <w:r w:rsidR="00477C11" w:rsidRPr="00B44B19">
        <w:rPr>
          <w:rFonts w:eastAsia="Calibri" w:cs="Times New Roman"/>
          <w:sz w:val="22"/>
        </w:rPr>
        <w:t>ą</w:t>
      </w:r>
      <w:r w:rsidRPr="00B44B19">
        <w:rPr>
          <w:rFonts w:eastAsia="Calibri" w:cs="Times New Roman"/>
          <w:sz w:val="22"/>
        </w:rPr>
        <w:t xml:space="preserve"> ir</w:t>
      </w:r>
      <w:r w:rsidR="00477C11" w:rsidRPr="00B44B19">
        <w:rPr>
          <w:rFonts w:eastAsia="Calibri" w:cs="Times New Roman"/>
          <w:sz w:val="22"/>
        </w:rPr>
        <w:t xml:space="preserve"> rengiant</w:t>
      </w:r>
      <w:r w:rsidRPr="00B44B19">
        <w:rPr>
          <w:rFonts w:eastAsia="Calibri" w:cs="Times New Roman"/>
          <w:sz w:val="22"/>
        </w:rPr>
        <w:t xml:space="preserve"> Program</w:t>
      </w:r>
      <w:r w:rsidR="00477C11" w:rsidRPr="00B44B19">
        <w:rPr>
          <w:rFonts w:eastAsia="Calibri" w:cs="Times New Roman"/>
          <w:sz w:val="22"/>
        </w:rPr>
        <w:t>ą</w:t>
      </w:r>
      <w:r w:rsidRPr="00B44B19">
        <w:rPr>
          <w:rFonts w:eastAsia="Calibri" w:cs="Times New Roman"/>
          <w:sz w:val="22"/>
        </w:rPr>
        <w:t xml:space="preserve"> dalyvauja tie patys partneriai, nutarta ne</w:t>
      </w:r>
      <w:r w:rsidR="00477C11" w:rsidRPr="00B44B19">
        <w:rPr>
          <w:rFonts w:eastAsia="Calibri" w:cs="Times New Roman"/>
          <w:sz w:val="22"/>
        </w:rPr>
        <w:t>sudaryti</w:t>
      </w:r>
      <w:r w:rsidRPr="00B44B19">
        <w:rPr>
          <w:rFonts w:eastAsia="Calibri" w:cs="Times New Roman"/>
          <w:sz w:val="22"/>
        </w:rPr>
        <w:t xml:space="preserve"> Programos rengimo komisijos, taip nedidina</w:t>
      </w:r>
      <w:r w:rsidR="00477C11" w:rsidRPr="00B44B19">
        <w:rPr>
          <w:rFonts w:eastAsia="Calibri" w:cs="Times New Roman"/>
          <w:sz w:val="22"/>
        </w:rPr>
        <w:t>n</w:t>
      </w:r>
      <w:r w:rsidRPr="00B44B19">
        <w:rPr>
          <w:rFonts w:eastAsia="Calibri" w:cs="Times New Roman"/>
          <w:sz w:val="22"/>
        </w:rPr>
        <w:t xml:space="preserve">t administracinės naštos. </w:t>
      </w:r>
      <w:r w:rsidR="00465D84" w:rsidRPr="00B44B19">
        <w:rPr>
          <w:rFonts w:eastAsia="Calibri" w:cs="Times New Roman"/>
          <w:sz w:val="22"/>
        </w:rPr>
        <w:t>P</w:t>
      </w:r>
      <w:r w:rsidRPr="00B44B19">
        <w:rPr>
          <w:rFonts w:eastAsia="Calibri" w:cs="Times New Roman"/>
          <w:sz w:val="22"/>
        </w:rPr>
        <w:t>rogramos investicinės kry</w:t>
      </w:r>
      <w:r w:rsidR="00477C11" w:rsidRPr="00B44B19">
        <w:rPr>
          <w:rFonts w:eastAsia="Calibri" w:cs="Times New Roman"/>
          <w:sz w:val="22"/>
        </w:rPr>
        <w:t>p</w:t>
      </w:r>
      <w:r w:rsidRPr="00B44B19">
        <w:rPr>
          <w:rFonts w:eastAsia="Calibri" w:cs="Times New Roman"/>
          <w:sz w:val="22"/>
        </w:rPr>
        <w:t>tys pagal viešosios politikos sritis buvo pristatomos partneriams specialiuose Veiksmų programos stebėsenos komiteto posėdžiuose. 2019 m. pristatyti ir aptarti 5 Programos prioritetai.</w:t>
      </w:r>
    </w:p>
    <w:p w14:paraId="6F384F76" w14:textId="77777777" w:rsidR="00362FF3" w:rsidRPr="00B44B19" w:rsidRDefault="00362FF3" w:rsidP="00E67E5C">
      <w:pPr>
        <w:tabs>
          <w:tab w:val="left" w:pos="1134"/>
        </w:tabs>
        <w:spacing w:before="60" w:after="60" w:line="240" w:lineRule="auto"/>
        <w:ind w:firstLine="567"/>
        <w:jc w:val="both"/>
        <w:rPr>
          <w:rFonts w:cs="Times New Roman"/>
          <w:sz w:val="22"/>
        </w:rPr>
      </w:pPr>
      <w:r w:rsidRPr="00B44B19">
        <w:rPr>
          <w:rFonts w:cs="Times New Roman"/>
          <w:sz w:val="22"/>
        </w:rPr>
        <w:t xml:space="preserve">2020 m. pasikeitus situacijai dėl karantino sukeltų apribojimų, planuotos apskritojo stalo diskusijos su partneriais rugpjūčio–rugsėjo mėn. buvo organizuotos nuotoliniu būdu: įvyko 10 teminių diskusijų. Tuo pačiu metu platformoje </w:t>
      </w:r>
      <w:r w:rsidR="00781DD4" w:rsidRPr="00B44B19">
        <w:rPr>
          <w:rFonts w:cs="Times New Roman"/>
          <w:sz w:val="22"/>
        </w:rPr>
        <w:t>„</w:t>
      </w:r>
      <w:r w:rsidRPr="00B44B19">
        <w:rPr>
          <w:rFonts w:cs="Times New Roman"/>
          <w:sz w:val="22"/>
        </w:rPr>
        <w:t>e. pilietis</w:t>
      </w:r>
      <w:r w:rsidR="00781DD4" w:rsidRPr="00B44B19">
        <w:rPr>
          <w:rFonts w:cs="Times New Roman"/>
          <w:sz w:val="22"/>
        </w:rPr>
        <w:t>“</w:t>
      </w:r>
      <w:r w:rsidRPr="00B44B19">
        <w:rPr>
          <w:rFonts w:cs="Times New Roman"/>
          <w:sz w:val="22"/>
        </w:rPr>
        <w:t xml:space="preserve"> buvo organizuotos ir rašytinės tikslinės konsultacijos (visuomenės apklausa).</w:t>
      </w:r>
    </w:p>
    <w:p w14:paraId="5E4D4BE4" w14:textId="77777777" w:rsidR="00362FF3" w:rsidRPr="00B44B19" w:rsidRDefault="00781DD4" w:rsidP="00E67E5C">
      <w:pPr>
        <w:tabs>
          <w:tab w:val="left" w:pos="1134"/>
        </w:tabs>
        <w:spacing w:before="60" w:after="60" w:line="240" w:lineRule="auto"/>
        <w:ind w:firstLine="567"/>
        <w:jc w:val="both"/>
        <w:rPr>
          <w:rFonts w:cs="Times New Roman"/>
          <w:sz w:val="22"/>
        </w:rPr>
      </w:pPr>
      <w:r w:rsidRPr="00B44B19">
        <w:rPr>
          <w:rFonts w:cs="Times New Roman"/>
          <w:sz w:val="22"/>
        </w:rPr>
        <w:t>Viešosiose diskusijoje iš viso dalyvavo apie 200 skirtingų institucijų atstovų, ekspertų, suinteresuotų šalių atstovų. Daugiausia siūlymų pateikta dėl prioritetų, kurių uždavinių skaičius didžiausias: „Socialiai atsakingesnė Lietuva“ (118 siūlymų) ir „Žalesnė Lietuva“ (65 siūlymai). Siekiant taiklesnio ir tvaresnio investicijų planavimo ir jų suderinamumo viešųjų diskusijų metu išsakytos pastabos ir siūlymai įvertinti ministerijų bei ekspertų ir pagal juos atitinkamai tobulinami Programos prioritetų aprašymai.</w:t>
      </w:r>
    </w:p>
    <w:p w14:paraId="56654491" w14:textId="77777777" w:rsidR="00362FF3" w:rsidRPr="00B44B19" w:rsidRDefault="00781DD4" w:rsidP="00E67E5C">
      <w:pPr>
        <w:tabs>
          <w:tab w:val="left" w:pos="1134"/>
        </w:tabs>
        <w:spacing w:before="60" w:after="60" w:line="240" w:lineRule="auto"/>
        <w:ind w:firstLine="567"/>
        <w:jc w:val="both"/>
        <w:rPr>
          <w:rFonts w:cs="Times New Roman"/>
          <w:sz w:val="22"/>
        </w:rPr>
      </w:pPr>
      <w:r w:rsidRPr="00B44B19">
        <w:rPr>
          <w:rFonts w:cs="Times New Roman"/>
          <w:sz w:val="22"/>
        </w:rPr>
        <w:t xml:space="preserve">Viešųjų diskusijų dalyvių nuomone, mokslo ir verslo pasitikėjimas ir bendradarbiavimas yra būtina sąlyga siekiant proveržio MTEP srityje. Pabrėžta ekonomikos atsparumui skirtų priemonių svarba. </w:t>
      </w:r>
      <w:r w:rsidR="00D66C3E" w:rsidRPr="00B44B19">
        <w:rPr>
          <w:rFonts w:cs="Times New Roman"/>
          <w:sz w:val="22"/>
        </w:rPr>
        <w:t>P</w:t>
      </w:r>
      <w:r w:rsidRPr="00B44B19">
        <w:rPr>
          <w:rFonts w:cs="Times New Roman"/>
          <w:sz w:val="22"/>
        </w:rPr>
        <w:t xml:space="preserve">artneriai priimdami inovatyvius technologinius sprendimus yra motyvuoti siekti </w:t>
      </w:r>
      <w:r w:rsidR="00B86786" w:rsidRPr="00B44B19">
        <w:rPr>
          <w:rFonts w:cs="Times New Roman"/>
          <w:sz w:val="22"/>
        </w:rPr>
        <w:t>EVE</w:t>
      </w:r>
      <w:r w:rsidRPr="00B44B19">
        <w:rPr>
          <w:rFonts w:cs="Times New Roman"/>
          <w:sz w:val="22"/>
        </w:rPr>
        <w:t xml:space="preserve"> ir atsinaujinančios energijos naudojimo. Vis didesnį dėmesį skiriant klimato kaitos klausimams, siūloma nustatyti daugiau reguliacinių (ribojimo) priemonių ir jas derinti su investicinėmis, kad būtų gerinama gyvenamosios aplinkos kokybė bei mažinama miestų ir regionų tarša. Planuojant investicijas vandens telkinių būklei gerinti, siūlyta jas derinti su kitų finansavimo šaltinių (pvz., EUŽFKP) priemonėmis. Žiedinės ekonomikos srityje partneriai atkreipė dėmesį, kad per daug dėmesio skiriama atliekoms ir per mažai ekonomikai. Junglumą gerinti padėtų magistralinių šviesolaidžių tinklų plėtra, skirtingų transporto rūšių integravimas. Socialinės apsaugos srityje rekomenduota nesusitelkti tik į fizinio darbo vietų saugumo užtikrinimą, taip pat rekomenduojama gerinti teisinę bazę socialiniam verslui. Švietimo srityje pabrėžta socialinių kompetencijų, holistinio švietimo svarba. Sveikatos srities intervencijas socialiniai parteriai siūlo derinti su intervencijomis kitose viešosios politikos srityse, siekiant skatinti sveikatos srities inovacijas, diegti daugiau skaitmeninių sprendimų, plėtoti telemediciną. Socialiniai partneriai regioninių intervencijų srityje baiminasi, kad nebūtų koncentruojamasi tik į potencialą turinčius regionus, nes investicijų koncentravimas gali sukelti socialines, paslaugų neprieinamumo, ekologines ir kt. problemas. Viešosiose diskusijose pageidauta platesnio regioninių intervencijų ir administravimo modelio pristatymo regionų plėtros tarybose.</w:t>
      </w:r>
    </w:p>
    <w:p w14:paraId="0604473F" w14:textId="77777777" w:rsidR="00781DD4" w:rsidRPr="00B44B19" w:rsidRDefault="00781DD4" w:rsidP="00E67E5C">
      <w:pPr>
        <w:tabs>
          <w:tab w:val="left" w:pos="1134"/>
        </w:tabs>
        <w:spacing w:before="60" w:after="60" w:line="240" w:lineRule="auto"/>
        <w:ind w:firstLine="567"/>
        <w:jc w:val="both"/>
        <w:rPr>
          <w:rFonts w:cs="Times New Roman"/>
          <w:sz w:val="22"/>
        </w:rPr>
      </w:pPr>
      <w:r w:rsidRPr="00B44B19">
        <w:rPr>
          <w:rFonts w:cs="Times New Roman"/>
          <w:sz w:val="22"/>
        </w:rPr>
        <w:t xml:space="preserve">Po visuomenės apklausos ir diskusijų su partneriais parengti susitikimų apibendrinimai ir pateiktos konkrečios rekomendacijos atitinkamiems Programos prioritetams. Visa informacija apie iniciatyvos rezultatus paskelbta ES investicijų tinklalapyje: </w:t>
      </w:r>
      <w:hyperlink r:id="rId40" w:history="1">
        <w:r w:rsidR="00C91ED2" w:rsidRPr="00B44B19">
          <w:rPr>
            <w:rStyle w:val="Hipersaitas"/>
            <w:rFonts w:cs="Times New Roman"/>
            <w:sz w:val="22"/>
          </w:rPr>
          <w:t>https://www.esinvesticijos.lt/lt//pasirengimas-2021-2027/2021-2027-m-es-fondu-investavimo-krypciu-aptarimai-su-partneriais/10-teminiu-diskusiju-ir-visuomenes-apklausa-del-2021-2027-m-es-fondu-investavimo-krypciu</w:t>
        </w:r>
      </w:hyperlink>
      <w:r w:rsidRPr="00B44B19">
        <w:rPr>
          <w:rFonts w:cs="Times New Roman"/>
          <w:sz w:val="22"/>
        </w:rPr>
        <w:t>.</w:t>
      </w:r>
    </w:p>
    <w:p w14:paraId="6D2DE3D2" w14:textId="77777777" w:rsidR="00C91ED2" w:rsidRPr="00B44B19" w:rsidRDefault="00C91ED2" w:rsidP="00E67E5C">
      <w:pPr>
        <w:tabs>
          <w:tab w:val="left" w:pos="1134"/>
        </w:tabs>
        <w:spacing w:before="60" w:after="60" w:line="240" w:lineRule="auto"/>
        <w:ind w:firstLine="567"/>
        <w:jc w:val="both"/>
        <w:rPr>
          <w:rFonts w:cs="Times New Roman"/>
          <w:sz w:val="22"/>
        </w:rPr>
      </w:pPr>
      <w:r w:rsidRPr="00B44B19">
        <w:rPr>
          <w:rFonts w:cs="Times New Roman"/>
          <w:sz w:val="22"/>
        </w:rPr>
        <w:t xml:space="preserve">2021–2027 m. Stebėsenos komitetą sudaro du trečdaliai narių, atstovaujančių ekonominius ir socialinius partnerius, pilietinės visuomenės ir nevyriausybines organizacijas, įstaigas, atsakingas už moterų ir vyrų </w:t>
      </w:r>
      <w:r w:rsidRPr="00B44B19">
        <w:rPr>
          <w:rFonts w:cs="Times New Roman"/>
          <w:sz w:val="22"/>
        </w:rPr>
        <w:lastRenderedPageBreak/>
        <w:t xml:space="preserve">lygybės ir nediskriminavimo skatinimą bei nariai iš nacionalinių ir regioninių institucijų. Partneriai gali teikti siūlymus dėl ES investicijų programos įgyvendinimo pažangos, strateginės svarbos projektų įgyvendinimo, reikiamų sąlygų vykdymo, administracinių gebėjimų stiprinimo, užtikrinti ES investicijų matomumą ir komunikaciją. Taip pat Stebėsenos komitete bus aptariama kaip laikomasi Pagrindinių teisių Chartijos ir </w:t>
      </w:r>
      <w:r w:rsidR="00E243BA" w:rsidRPr="00B44B19">
        <w:rPr>
          <w:rFonts w:cs="Times New Roman"/>
          <w:sz w:val="22"/>
        </w:rPr>
        <w:t>JTNTK</w:t>
      </w:r>
      <w:r w:rsidRPr="00B44B19">
        <w:rPr>
          <w:rFonts w:cs="Times New Roman"/>
          <w:sz w:val="22"/>
        </w:rPr>
        <w:t xml:space="preserve"> nuostatų, kiek tai susiję su Programos įgyvendinimu.</w:t>
      </w:r>
    </w:p>
    <w:p w14:paraId="1489E860" w14:textId="77777777" w:rsidR="00781DD4" w:rsidRPr="00B44B19" w:rsidRDefault="00781DD4" w:rsidP="00E67E5C">
      <w:pPr>
        <w:tabs>
          <w:tab w:val="left" w:pos="1134"/>
        </w:tabs>
        <w:spacing w:before="60" w:after="60" w:line="240" w:lineRule="auto"/>
        <w:ind w:firstLine="567"/>
        <w:jc w:val="both"/>
        <w:rPr>
          <w:rFonts w:eastAsia="Calibri" w:cs="Times New Roman"/>
          <w:sz w:val="22"/>
        </w:rPr>
      </w:pPr>
      <w:r w:rsidRPr="00B44B19">
        <w:rPr>
          <w:rFonts w:eastAsia="Calibri" w:cs="Times New Roman"/>
          <w:sz w:val="22"/>
        </w:rPr>
        <w:t xml:space="preserve">Partnerystei skatinti ateityje numatoma įgyvendinti šias </w:t>
      </w:r>
      <w:r w:rsidRPr="00B44B19">
        <w:rPr>
          <w:rFonts w:eastAsia="Calibri" w:cs="Times New Roman"/>
          <w:iCs/>
          <w:sz w:val="22"/>
          <w:lang w:eastAsia="lt-LT"/>
        </w:rPr>
        <w:t>vadovaujančiosios institucijos</w:t>
      </w:r>
      <w:r w:rsidRPr="00B44B19">
        <w:rPr>
          <w:rFonts w:eastAsia="Calibri" w:cs="Times New Roman"/>
          <w:sz w:val="22"/>
        </w:rPr>
        <w:t xml:space="preserve"> iniciatyvas:</w:t>
      </w:r>
    </w:p>
    <w:p w14:paraId="09A472BC" w14:textId="77777777" w:rsidR="00781DD4" w:rsidRPr="00B44B19" w:rsidRDefault="00781DD4" w:rsidP="00E67E5C">
      <w:pPr>
        <w:numPr>
          <w:ilvl w:val="0"/>
          <w:numId w:val="3"/>
        </w:numPr>
        <w:tabs>
          <w:tab w:val="left" w:pos="851"/>
        </w:tabs>
        <w:autoSpaceDE w:val="0"/>
        <w:autoSpaceDN w:val="0"/>
        <w:adjustRightInd w:val="0"/>
        <w:spacing w:before="60" w:after="60" w:line="240" w:lineRule="auto"/>
        <w:ind w:hanging="11"/>
        <w:jc w:val="both"/>
        <w:rPr>
          <w:rFonts w:cs="Times New Roman"/>
          <w:sz w:val="22"/>
          <w:lang w:eastAsia="lt-LT"/>
        </w:rPr>
      </w:pPr>
      <w:r w:rsidRPr="00B44B19">
        <w:rPr>
          <w:rFonts w:eastAsia="Calibri" w:cs="Times New Roman"/>
          <w:sz w:val="22"/>
          <w:lang w:eastAsia="lt-LT"/>
        </w:rPr>
        <w:t xml:space="preserve">nuolat bus papildoma ES investicijų interneto svetainėje </w:t>
      </w:r>
      <w:r w:rsidRPr="00B44B19">
        <w:rPr>
          <w:rFonts w:cs="Times New Roman"/>
          <w:sz w:val="22"/>
        </w:rPr>
        <w:t xml:space="preserve">https://www.esinvesticijos.lt/ </w:t>
      </w:r>
      <w:r w:rsidRPr="00B44B19">
        <w:rPr>
          <w:rFonts w:eastAsia="Calibri" w:cs="Times New Roman"/>
          <w:sz w:val="22"/>
          <w:lang w:eastAsia="lt-LT"/>
        </w:rPr>
        <w:t>įdiegta partneriams skirta atskira skiltis, kurioje skelbiama jiems aktuali informacija (metodinės gairės, informacija apie renginius, teisės aktų projektai, teikiami pastaboms gauti);</w:t>
      </w:r>
    </w:p>
    <w:p w14:paraId="04D25132" w14:textId="77777777" w:rsidR="00781DD4" w:rsidRPr="00B44B19" w:rsidRDefault="00781DD4" w:rsidP="00E67E5C">
      <w:pPr>
        <w:numPr>
          <w:ilvl w:val="0"/>
          <w:numId w:val="3"/>
        </w:numPr>
        <w:tabs>
          <w:tab w:val="left" w:pos="851"/>
        </w:tabs>
        <w:autoSpaceDE w:val="0"/>
        <w:autoSpaceDN w:val="0"/>
        <w:adjustRightInd w:val="0"/>
        <w:spacing w:before="60" w:after="60" w:line="240" w:lineRule="auto"/>
        <w:ind w:hanging="11"/>
        <w:jc w:val="both"/>
        <w:rPr>
          <w:rFonts w:cs="Times New Roman"/>
          <w:sz w:val="22"/>
          <w:lang w:eastAsia="lt-LT"/>
        </w:rPr>
      </w:pPr>
      <w:r w:rsidRPr="00B44B19">
        <w:rPr>
          <w:rFonts w:cs="Times New Roman"/>
          <w:sz w:val="22"/>
          <w:lang w:eastAsia="lt-LT"/>
        </w:rPr>
        <w:t>bus stiprinami partnerių administraciniai gebėjimai;</w:t>
      </w:r>
    </w:p>
    <w:p w14:paraId="138195CD" w14:textId="77777777" w:rsidR="00362FF3" w:rsidRPr="00B44B19" w:rsidRDefault="00781DD4" w:rsidP="00E67E5C">
      <w:pPr>
        <w:numPr>
          <w:ilvl w:val="0"/>
          <w:numId w:val="3"/>
        </w:numPr>
        <w:tabs>
          <w:tab w:val="left" w:pos="851"/>
        </w:tabs>
        <w:autoSpaceDE w:val="0"/>
        <w:autoSpaceDN w:val="0"/>
        <w:adjustRightInd w:val="0"/>
        <w:spacing w:before="60" w:after="60" w:line="240" w:lineRule="auto"/>
        <w:ind w:hanging="11"/>
        <w:jc w:val="both"/>
        <w:rPr>
          <w:rFonts w:cs="Times New Roman"/>
          <w:sz w:val="22"/>
          <w:lang w:eastAsia="lt-LT"/>
        </w:rPr>
      </w:pPr>
      <w:r w:rsidRPr="00B44B19">
        <w:rPr>
          <w:rFonts w:cs="Times New Roman"/>
          <w:sz w:val="22"/>
          <w:lang w:eastAsia="lt-LT"/>
        </w:rPr>
        <w:t>bus sudaryta galimybė partneriams patiems inicijuoti ir organizuoti susirinkimus, diskusijas ir posėdžius, prisidėsiančius prie geresnio Programos įgyvendinimo, taip pat organizuoti mokymus iš techninės paramos lėšų.</w:t>
      </w:r>
    </w:p>
    <w:p w14:paraId="6D5C9A82" w14:textId="77777777" w:rsidR="009952B9" w:rsidRPr="00B44B19" w:rsidRDefault="00362FF3" w:rsidP="00E67E5C">
      <w:pPr>
        <w:tabs>
          <w:tab w:val="left" w:pos="1134"/>
        </w:tabs>
        <w:spacing w:before="60" w:after="60" w:line="240" w:lineRule="auto"/>
        <w:ind w:firstLine="567"/>
        <w:jc w:val="both"/>
        <w:rPr>
          <w:rFonts w:cs="Times New Roman"/>
          <w:sz w:val="22"/>
        </w:rPr>
      </w:pPr>
      <w:r w:rsidRPr="00B44B19">
        <w:rPr>
          <w:rFonts w:cs="Times New Roman"/>
          <w:sz w:val="22"/>
        </w:rPr>
        <w:t>Tikimasi, kad šios iniciatyvos padės užtikrinti glaudesnį bendradarbiavimą su partneriais.</w:t>
      </w:r>
    </w:p>
    <w:p w14:paraId="14A0608B" w14:textId="77777777" w:rsidR="00192446" w:rsidRPr="00B44B19" w:rsidRDefault="00192446" w:rsidP="00D456C1">
      <w:pPr>
        <w:pStyle w:val="Antrat1"/>
        <w:numPr>
          <w:ilvl w:val="0"/>
          <w:numId w:val="8"/>
        </w:numPr>
      </w:pPr>
      <w:bookmarkStart w:id="111" w:name="_Toc223435470"/>
      <w:r w:rsidRPr="00B44B19">
        <w:t>Komunikacija ir matomumas</w:t>
      </w:r>
      <w:bookmarkEnd w:id="111"/>
    </w:p>
    <w:p w14:paraId="67A47CF3" w14:textId="77777777" w:rsidR="00F63D51" w:rsidRPr="00B44B19" w:rsidRDefault="00BA0409" w:rsidP="00E67E5C">
      <w:pPr>
        <w:autoSpaceDE w:val="0"/>
        <w:autoSpaceDN w:val="0"/>
        <w:adjustRightInd w:val="0"/>
        <w:spacing w:before="60" w:after="60" w:line="240" w:lineRule="auto"/>
        <w:ind w:firstLine="567"/>
        <w:jc w:val="both"/>
        <w:rPr>
          <w:rFonts w:cs="Times New Roman"/>
          <w:sz w:val="22"/>
        </w:rPr>
      </w:pPr>
      <w:r w:rsidRPr="00B44B19">
        <w:rPr>
          <w:rFonts w:eastAsia="Calibri" w:cs="Times New Roman"/>
          <w:sz w:val="22"/>
          <w:lang w:eastAsia="lt-LT" w:bidi="lt-LT"/>
        </w:rPr>
        <w:t xml:space="preserve">Komunikavimą naudojant kryptingai, daugelis siekiamų finansavimo tikslų lengviau pasiekiami, palankiau vertinami ir leidžia </w:t>
      </w:r>
      <w:r w:rsidRPr="00B44B19">
        <w:rPr>
          <w:rFonts w:cs="Times New Roman"/>
          <w:sz w:val="22"/>
        </w:rPr>
        <w:t>užtikrinti maksimalius rezultatus bei kryptingą jų poveikį.</w:t>
      </w:r>
    </w:p>
    <w:p w14:paraId="2C5A68EB" w14:textId="77777777" w:rsidR="00D410FB" w:rsidRPr="00B44B19" w:rsidRDefault="00D410FB" w:rsidP="00E67E5C">
      <w:pPr>
        <w:autoSpaceDE w:val="0"/>
        <w:autoSpaceDN w:val="0"/>
        <w:adjustRightInd w:val="0"/>
        <w:spacing w:before="60" w:after="60" w:line="240" w:lineRule="auto"/>
        <w:ind w:firstLine="567"/>
        <w:jc w:val="both"/>
        <w:rPr>
          <w:rFonts w:cs="Times New Roman"/>
          <w:sz w:val="22"/>
        </w:rPr>
      </w:pPr>
      <w:r w:rsidRPr="00B44B19">
        <w:rPr>
          <w:rFonts w:eastAsia="Calibri" w:cs="Times New Roman"/>
          <w:bCs/>
          <w:sz w:val="22"/>
          <w:lang w:eastAsia="lt-LT" w:bidi="lt-LT"/>
        </w:rPr>
        <w:t xml:space="preserve">Stiprinant komunikacijos vaidmenį sprendžiant finansavimo krypčių problemas išskiriamos dvi komunikacijos veiklų įgyvendinimo kryptys: </w:t>
      </w:r>
      <w:r w:rsidR="002E254F" w:rsidRPr="00B44B19">
        <w:rPr>
          <w:rFonts w:eastAsia="Calibri" w:cs="Times New Roman"/>
          <w:bCs/>
          <w:sz w:val="22"/>
          <w:lang w:eastAsia="lt-LT" w:bidi="lt-LT"/>
        </w:rPr>
        <w:t xml:space="preserve">horizontali </w:t>
      </w:r>
      <w:r w:rsidR="00F63D51" w:rsidRPr="00B44B19">
        <w:rPr>
          <w:rFonts w:eastAsia="Calibri" w:cs="Times New Roman"/>
          <w:bCs/>
          <w:sz w:val="22"/>
          <w:lang w:eastAsia="lt-LT" w:bidi="lt-LT"/>
        </w:rPr>
        <w:t>–</w:t>
      </w:r>
      <w:r w:rsidR="002E254F" w:rsidRPr="00B44B19">
        <w:rPr>
          <w:rFonts w:eastAsia="Calibri" w:cs="Times New Roman"/>
          <w:bCs/>
          <w:sz w:val="22"/>
          <w:lang w:eastAsia="lt-LT" w:bidi="lt-LT"/>
        </w:rPr>
        <w:t xml:space="preserve"> </w:t>
      </w:r>
      <w:r w:rsidRPr="00B44B19">
        <w:rPr>
          <w:rFonts w:eastAsia="Calibri" w:cs="Times New Roman"/>
          <w:b/>
          <w:bCs/>
          <w:sz w:val="22"/>
          <w:lang w:eastAsia="lt-LT" w:bidi="lt-LT"/>
        </w:rPr>
        <w:t>matomumo ir skaidrumo didinimo bei</w:t>
      </w:r>
      <w:r w:rsidRPr="00B44B19">
        <w:rPr>
          <w:rFonts w:eastAsia="Calibri" w:cs="Times New Roman"/>
          <w:sz w:val="22"/>
          <w:lang w:eastAsia="lt-LT" w:bidi="lt-LT"/>
        </w:rPr>
        <w:t xml:space="preserve"> </w:t>
      </w:r>
      <w:r w:rsidR="002E254F" w:rsidRPr="00B44B19">
        <w:rPr>
          <w:rFonts w:eastAsia="Calibri" w:cs="Times New Roman"/>
          <w:sz w:val="22"/>
          <w:lang w:eastAsia="lt-LT" w:bidi="lt-LT"/>
        </w:rPr>
        <w:t xml:space="preserve">vertikali </w:t>
      </w:r>
      <w:r w:rsidR="00F63D51" w:rsidRPr="00B44B19">
        <w:rPr>
          <w:rFonts w:eastAsia="Calibri" w:cs="Times New Roman"/>
          <w:sz w:val="22"/>
          <w:lang w:eastAsia="lt-LT" w:bidi="lt-LT"/>
        </w:rPr>
        <w:t>–</w:t>
      </w:r>
      <w:r w:rsidR="002E254F" w:rsidRPr="00B44B19">
        <w:rPr>
          <w:rFonts w:eastAsia="Calibri" w:cs="Times New Roman"/>
          <w:sz w:val="22"/>
          <w:lang w:eastAsia="lt-LT" w:bidi="lt-LT"/>
        </w:rPr>
        <w:t xml:space="preserve"> </w:t>
      </w:r>
      <w:r w:rsidRPr="00B44B19">
        <w:rPr>
          <w:rFonts w:eastAsia="Calibri" w:cs="Times New Roman"/>
          <w:b/>
          <w:bCs/>
          <w:sz w:val="22"/>
          <w:lang w:eastAsia="lt-LT" w:bidi="lt-LT"/>
        </w:rPr>
        <w:t>investicijų poveikio stiprinimo</w:t>
      </w:r>
      <w:r w:rsidRPr="00B44B19">
        <w:rPr>
          <w:rFonts w:eastAsia="Calibri" w:cs="Times New Roman"/>
          <w:sz w:val="22"/>
          <w:lang w:eastAsia="lt-LT" w:bidi="lt-LT"/>
        </w:rPr>
        <w:t>.</w:t>
      </w:r>
      <w:r w:rsidR="002E254F" w:rsidRPr="00B44B19">
        <w:rPr>
          <w:rFonts w:cs="Times New Roman"/>
          <w:color w:val="000000" w:themeColor="text1"/>
          <w:sz w:val="22"/>
        </w:rPr>
        <w:t xml:space="preserve"> </w:t>
      </w:r>
    </w:p>
    <w:p w14:paraId="2377D5C4" w14:textId="77777777" w:rsidR="00116189" w:rsidRPr="00B44B19" w:rsidRDefault="00D410FB" w:rsidP="00E67E5C">
      <w:pPr>
        <w:autoSpaceDE w:val="0"/>
        <w:autoSpaceDN w:val="0"/>
        <w:adjustRightInd w:val="0"/>
        <w:spacing w:before="60" w:after="60" w:line="240" w:lineRule="auto"/>
        <w:ind w:firstLine="567"/>
        <w:jc w:val="both"/>
        <w:rPr>
          <w:rFonts w:eastAsia="Calibri" w:cs="Times New Roman"/>
          <w:sz w:val="22"/>
          <w:lang w:eastAsia="lt-LT" w:bidi="lt-LT"/>
        </w:rPr>
      </w:pPr>
      <w:r w:rsidRPr="00B44B19">
        <w:rPr>
          <w:rFonts w:eastAsia="Calibri" w:cs="Times New Roman"/>
          <w:b/>
          <w:bCs/>
          <w:sz w:val="22"/>
          <w:lang w:eastAsia="lt-LT" w:bidi="lt-LT"/>
        </w:rPr>
        <w:t xml:space="preserve">Tikslas ‒ </w:t>
      </w:r>
      <w:r w:rsidRPr="00B44B19">
        <w:rPr>
          <w:rFonts w:eastAsia="Calibri" w:cs="Times New Roman"/>
          <w:bCs/>
          <w:sz w:val="22"/>
          <w:lang w:eastAsia="lt-LT" w:bidi="lt-LT"/>
        </w:rPr>
        <w:t>u</w:t>
      </w:r>
      <w:r w:rsidRPr="00B44B19">
        <w:rPr>
          <w:rFonts w:eastAsia="Calibri" w:cs="Times New Roman"/>
          <w:sz w:val="22"/>
          <w:lang w:eastAsia="lt-LT" w:bidi="lt-LT"/>
        </w:rPr>
        <w:t>žtikrinti ES fondų investicijų matomumą ir skaidrumą ir prisidėti prie numatytų socialinių ir ekonominių pokyčių</w:t>
      </w:r>
      <w:r w:rsidR="00D63F3C" w:rsidRPr="00B44B19">
        <w:rPr>
          <w:rFonts w:eastAsia="Calibri" w:cs="Times New Roman"/>
          <w:sz w:val="22"/>
          <w:lang w:eastAsia="lt-LT" w:bidi="lt-LT"/>
        </w:rPr>
        <w:t>.</w:t>
      </w:r>
    </w:p>
    <w:p w14:paraId="4750843D" w14:textId="77777777" w:rsidR="00116189" w:rsidRPr="00B44B19" w:rsidRDefault="00116189" w:rsidP="00E67E5C">
      <w:pPr>
        <w:autoSpaceDE w:val="0"/>
        <w:autoSpaceDN w:val="0"/>
        <w:adjustRightInd w:val="0"/>
        <w:spacing w:before="60" w:after="60" w:line="240" w:lineRule="auto"/>
        <w:ind w:firstLine="567"/>
        <w:jc w:val="both"/>
        <w:rPr>
          <w:rFonts w:eastAsia="Calibri" w:cs="Times New Roman"/>
          <w:i/>
          <w:iCs/>
          <w:sz w:val="22"/>
          <w:lang w:eastAsia="lt-LT" w:bidi="lt-LT"/>
        </w:rPr>
      </w:pPr>
      <w:r w:rsidRPr="00B44B19">
        <w:rPr>
          <w:rFonts w:eastAsia="Calibri" w:cs="Times New Roman"/>
          <w:b/>
          <w:sz w:val="22"/>
          <w:lang w:eastAsia="lt-LT" w:bidi="lt-LT"/>
        </w:rPr>
        <w:t xml:space="preserve">Uždaviniai: </w:t>
      </w:r>
      <w:r w:rsidRPr="00B44B19">
        <w:rPr>
          <w:rFonts w:eastAsia="Calibri" w:cs="Times New Roman"/>
          <w:sz w:val="22"/>
          <w:lang w:eastAsia="lt-LT" w:bidi="lt-LT"/>
        </w:rPr>
        <w:t>pareiškėjams teikti tikslią</w:t>
      </w:r>
      <w:r w:rsidR="00833F7B" w:rsidRPr="00B44B19">
        <w:rPr>
          <w:rFonts w:eastAsia="Calibri" w:cs="Times New Roman"/>
          <w:sz w:val="22"/>
          <w:lang w:eastAsia="lt-LT" w:bidi="lt-LT"/>
        </w:rPr>
        <w:t xml:space="preserve"> </w:t>
      </w:r>
      <w:r w:rsidRPr="00B44B19">
        <w:rPr>
          <w:rFonts w:eastAsia="Calibri" w:cs="Times New Roman"/>
          <w:sz w:val="22"/>
          <w:lang w:eastAsia="lt-LT" w:bidi="lt-LT"/>
        </w:rPr>
        <w:t>ir aktualią informaciją apie galimybes pasinaudoti ESI fondų lėšomis; stiprinti projektų vykdytojų kompetenciją, susijusią su komunikacijos veikl</w:t>
      </w:r>
      <w:r w:rsidR="00D63F3C" w:rsidRPr="00B44B19">
        <w:rPr>
          <w:rFonts w:eastAsia="Calibri" w:cs="Times New Roman"/>
          <w:sz w:val="22"/>
          <w:lang w:eastAsia="lt-LT" w:bidi="lt-LT"/>
        </w:rPr>
        <w:t>omis;</w:t>
      </w:r>
      <w:r w:rsidRPr="00B44B19">
        <w:rPr>
          <w:rFonts w:eastAsia="Calibri" w:cs="Times New Roman"/>
          <w:sz w:val="22"/>
          <w:lang w:eastAsia="lt-LT" w:bidi="lt-LT"/>
        </w:rPr>
        <w:t xml:space="preserve"> teikti pagalbą projektų vykdytojams dėl jų vykdomų projektų viešinimo; informuoti visuomenę apie ES investicijomis sprendžiamas problemas, vykdomas pagrindines veiklas ir ES pridėtinę vertę</w:t>
      </w:r>
      <w:r w:rsidR="005504EA" w:rsidRPr="00B44B19">
        <w:rPr>
          <w:rFonts w:eastAsia="Calibri" w:cs="Times New Roman"/>
          <w:sz w:val="22"/>
          <w:lang w:eastAsia="lt-LT" w:bidi="lt-LT"/>
        </w:rPr>
        <w:t>, išskiriant strateginės svarbos projektų reikšmę</w:t>
      </w:r>
      <w:r w:rsidRPr="00B44B19">
        <w:rPr>
          <w:rFonts w:eastAsia="Calibri" w:cs="Times New Roman"/>
          <w:sz w:val="22"/>
          <w:lang w:eastAsia="lt-LT" w:bidi="lt-LT"/>
        </w:rPr>
        <w:t>; skatinti tikslinių grupių nuomonės ir elgsenos pokyčius.</w:t>
      </w:r>
    </w:p>
    <w:p w14:paraId="76EDEF4C" w14:textId="77777777" w:rsidR="00116189" w:rsidRPr="00B44B19" w:rsidRDefault="00116189" w:rsidP="00E67E5C">
      <w:pPr>
        <w:spacing w:before="60" w:after="60" w:line="240" w:lineRule="auto"/>
        <w:ind w:firstLine="567"/>
        <w:jc w:val="both"/>
        <w:rPr>
          <w:rFonts w:eastAsia="Times New Roman" w:cs="Times New Roman"/>
          <w:b/>
          <w:sz w:val="22"/>
          <w:lang w:eastAsia="lt-LT" w:bidi="lt-LT"/>
        </w:rPr>
      </w:pPr>
      <w:r w:rsidRPr="00B44B19">
        <w:rPr>
          <w:rFonts w:eastAsia="Times New Roman" w:cs="Times New Roman"/>
          <w:b/>
          <w:sz w:val="22"/>
          <w:lang w:eastAsia="lt-LT"/>
        </w:rPr>
        <w:t>Tikslinė auditorija:</w:t>
      </w:r>
    </w:p>
    <w:p w14:paraId="21024054" w14:textId="77777777" w:rsidR="00116189" w:rsidRPr="00B44B19" w:rsidRDefault="00116189"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B44B19">
        <w:rPr>
          <w:rFonts w:eastAsia="Times New Roman" w:cs="Times New Roman"/>
          <w:b/>
          <w:bCs/>
          <w:sz w:val="22"/>
          <w:lang w:eastAsia="lt-LT"/>
        </w:rPr>
        <w:t>visuomenė</w:t>
      </w:r>
      <w:r w:rsidRPr="00B44B19">
        <w:rPr>
          <w:rFonts w:eastAsia="Times New Roman" w:cs="Times New Roman"/>
          <w:bCs/>
          <w:sz w:val="22"/>
          <w:lang w:eastAsia="lt-LT"/>
        </w:rPr>
        <w:t>, kuri</w:t>
      </w:r>
      <w:r w:rsidRPr="00B44B19">
        <w:rPr>
          <w:rFonts w:eastAsia="Times New Roman" w:cs="Times New Roman"/>
          <w:sz w:val="22"/>
          <w:lang w:eastAsia="lt-LT"/>
        </w:rPr>
        <w:t xml:space="preserve"> yra pagrindinis naudos gavėjas; </w:t>
      </w:r>
    </w:p>
    <w:p w14:paraId="6E6AAAF5" w14:textId="77777777" w:rsidR="00116189" w:rsidRPr="00B44B19" w:rsidRDefault="00116189"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B44B19">
        <w:rPr>
          <w:rFonts w:eastAsia="Times New Roman" w:cs="Times New Roman"/>
          <w:b/>
          <w:bCs/>
          <w:sz w:val="22"/>
          <w:lang w:eastAsia="lt-LT"/>
        </w:rPr>
        <w:t>partneriai</w:t>
      </w:r>
      <w:r w:rsidRPr="00B44B19">
        <w:rPr>
          <w:rFonts w:eastAsia="Times New Roman" w:cs="Times New Roman"/>
          <w:bCs/>
          <w:sz w:val="22"/>
          <w:lang w:eastAsia="lt-LT"/>
        </w:rPr>
        <w:t>, kurie</w:t>
      </w:r>
      <w:r w:rsidRPr="00B44B19">
        <w:rPr>
          <w:rFonts w:eastAsia="Times New Roman" w:cs="Times New Roman"/>
          <w:sz w:val="22"/>
          <w:lang w:eastAsia="lt-LT"/>
        </w:rPr>
        <w:t xml:space="preserve"> yra suinteresuoti rezultatų pasiekimu;</w:t>
      </w:r>
    </w:p>
    <w:p w14:paraId="0D2D6E0C" w14:textId="77777777" w:rsidR="00D410FB" w:rsidRPr="00B44B19"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B44B19">
        <w:rPr>
          <w:rFonts w:eastAsia="Times New Roman" w:cs="Times New Roman"/>
          <w:b/>
          <w:bCs/>
          <w:sz w:val="22"/>
          <w:lang w:eastAsia="lt-LT"/>
        </w:rPr>
        <w:t xml:space="preserve">pareiškėjai, </w:t>
      </w:r>
      <w:r w:rsidRPr="00B44B19">
        <w:rPr>
          <w:rFonts w:eastAsia="Times New Roman" w:cs="Times New Roman"/>
          <w:bCs/>
          <w:sz w:val="22"/>
          <w:lang w:eastAsia="lt-LT"/>
        </w:rPr>
        <w:t>kuriems svarbu būti tinkamai informuotiems ir užtikrintiems dėl</w:t>
      </w:r>
      <w:r w:rsidRPr="00B44B19">
        <w:rPr>
          <w:rFonts w:eastAsia="Times New Roman" w:cs="Times New Roman"/>
          <w:b/>
          <w:bCs/>
          <w:sz w:val="22"/>
          <w:lang w:eastAsia="lt-LT"/>
        </w:rPr>
        <w:t xml:space="preserve"> </w:t>
      </w:r>
      <w:r w:rsidRPr="00B44B19">
        <w:rPr>
          <w:rFonts w:eastAsia="Times New Roman" w:cs="Times New Roman"/>
          <w:sz w:val="22"/>
          <w:lang w:eastAsia="lt-LT"/>
        </w:rPr>
        <w:t>galimybės paraiškas pateikti be trikdžių;</w:t>
      </w:r>
    </w:p>
    <w:p w14:paraId="22E36B59" w14:textId="77777777" w:rsidR="00D410FB" w:rsidRPr="00B44B19"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sz w:val="22"/>
          <w:lang w:eastAsia="lt-LT"/>
        </w:rPr>
      </w:pPr>
      <w:r w:rsidRPr="00B44B19">
        <w:rPr>
          <w:rFonts w:eastAsia="Times New Roman" w:cs="Times New Roman"/>
          <w:b/>
          <w:bCs/>
          <w:sz w:val="22"/>
          <w:lang w:eastAsia="lt-LT"/>
        </w:rPr>
        <w:t>paramos gavėjai</w:t>
      </w:r>
      <w:r w:rsidRPr="00B44B19">
        <w:rPr>
          <w:rFonts w:eastAsia="Times New Roman" w:cs="Times New Roman"/>
          <w:bCs/>
          <w:sz w:val="22"/>
          <w:lang w:eastAsia="lt-LT"/>
        </w:rPr>
        <w:t>, kuriems</w:t>
      </w:r>
      <w:r w:rsidRPr="00B44B19">
        <w:rPr>
          <w:rFonts w:eastAsia="Times New Roman" w:cs="Times New Roman"/>
          <w:b/>
          <w:bCs/>
          <w:sz w:val="22"/>
          <w:lang w:eastAsia="lt-LT"/>
        </w:rPr>
        <w:t xml:space="preserve"> </w:t>
      </w:r>
      <w:r w:rsidRPr="00B44B19">
        <w:rPr>
          <w:rFonts w:eastAsia="Times New Roman" w:cs="Times New Roman"/>
          <w:sz w:val="22"/>
          <w:lang w:eastAsia="lt-LT"/>
        </w:rPr>
        <w:t>svarbu žinoti visus reikalavimus;</w:t>
      </w:r>
    </w:p>
    <w:p w14:paraId="0999F686" w14:textId="77777777" w:rsidR="00116189" w:rsidRPr="00B44B19" w:rsidRDefault="00D410FB" w:rsidP="00E67E5C">
      <w:pPr>
        <w:widowControl w:val="0"/>
        <w:numPr>
          <w:ilvl w:val="0"/>
          <w:numId w:val="4"/>
        </w:numPr>
        <w:tabs>
          <w:tab w:val="left" w:pos="851"/>
        </w:tabs>
        <w:spacing w:before="60" w:after="60" w:line="240" w:lineRule="auto"/>
        <w:ind w:left="0" w:firstLine="567"/>
        <w:jc w:val="both"/>
        <w:rPr>
          <w:rFonts w:eastAsia="Times New Roman" w:cs="Times New Roman"/>
          <w:b/>
          <w:iCs/>
          <w:sz w:val="22"/>
          <w:lang w:eastAsia="lt-LT" w:bidi="lt-LT"/>
        </w:rPr>
      </w:pPr>
      <w:r w:rsidRPr="00B44B19">
        <w:rPr>
          <w:rFonts w:eastAsia="Times New Roman" w:cs="Times New Roman"/>
          <w:b/>
          <w:bCs/>
          <w:sz w:val="22"/>
          <w:lang w:eastAsia="lt-LT"/>
        </w:rPr>
        <w:t>žiniasklaida</w:t>
      </w:r>
      <w:r w:rsidRPr="00B44B19">
        <w:rPr>
          <w:rFonts w:eastAsia="Times New Roman" w:cs="Times New Roman"/>
          <w:bCs/>
          <w:sz w:val="22"/>
          <w:lang w:eastAsia="lt-LT"/>
        </w:rPr>
        <w:t xml:space="preserve">, </w:t>
      </w:r>
      <w:r w:rsidRPr="00B44B19">
        <w:rPr>
          <w:rFonts w:eastAsia="Times New Roman" w:cs="Times New Roman"/>
          <w:b/>
          <w:bCs/>
          <w:sz w:val="22"/>
          <w:lang w:eastAsia="lt-LT"/>
        </w:rPr>
        <w:t xml:space="preserve">nuomonę formuojantys vieši asmenys ir atitinkamų sričių ekspertai, </w:t>
      </w:r>
      <w:r w:rsidRPr="00B44B19">
        <w:rPr>
          <w:rFonts w:eastAsia="Times New Roman" w:cs="Times New Roman"/>
          <w:bCs/>
          <w:sz w:val="22"/>
          <w:lang w:eastAsia="lt-LT"/>
        </w:rPr>
        <w:t xml:space="preserve">kurių įžvalgos ir patarimai naudingi </w:t>
      </w:r>
      <w:r w:rsidRPr="00B44B19">
        <w:rPr>
          <w:rFonts w:eastAsia="Times New Roman" w:cs="Times New Roman"/>
          <w:sz w:val="22"/>
          <w:lang w:eastAsia="lt-LT"/>
        </w:rPr>
        <w:t>tiek informuojant, tiek aktyviau įtraukiant visuomenę.</w:t>
      </w:r>
    </w:p>
    <w:p w14:paraId="72932734" w14:textId="77777777" w:rsidR="00116189" w:rsidRPr="00B44B19" w:rsidRDefault="00116189" w:rsidP="00E67E5C">
      <w:pPr>
        <w:spacing w:before="60" w:after="60" w:line="240" w:lineRule="auto"/>
        <w:ind w:firstLine="567"/>
        <w:jc w:val="both"/>
        <w:rPr>
          <w:rFonts w:eastAsia="Times New Roman" w:cs="Times New Roman"/>
          <w:sz w:val="22"/>
          <w:lang w:eastAsia="lt-LT"/>
        </w:rPr>
      </w:pPr>
      <w:r w:rsidRPr="00B44B19">
        <w:rPr>
          <w:rFonts w:eastAsia="Times New Roman" w:cs="Times New Roman"/>
          <w:b/>
          <w:iCs/>
          <w:sz w:val="22"/>
          <w:lang w:eastAsia="lt-LT" w:bidi="lt-LT"/>
        </w:rPr>
        <w:t xml:space="preserve">Komunikavimo kanalai. </w:t>
      </w:r>
      <w:r w:rsidRPr="00B44B19">
        <w:rPr>
          <w:rFonts w:eastAsia="Times New Roman" w:cs="Times New Roman"/>
          <w:sz w:val="22"/>
          <w:lang w:eastAsia="lt-LT"/>
        </w:rPr>
        <w:t>Komunikacijos priemonių ir kanalų parinkimas priklauso nuo konkrečios komunikacijos kampanijos tikslo ir tikslinės auditorijos. Vykdant komunikacijos veiklas siektina kuo plačiau bendradarbiauti su ES informacijos tinklais</w:t>
      </w:r>
      <w:r w:rsidRPr="00B44B19">
        <w:rPr>
          <w:rFonts w:eastAsia="Times New Roman" w:cs="Times New Roman"/>
          <w:sz w:val="22"/>
          <w:lang w:bidi="lt-LT"/>
        </w:rPr>
        <w:t>, „Europe Direct“ centrais, Jaunimo Europos komanda, įtraukti mokyklas, švietimo ir mokslinių tyrimų institucijas</w:t>
      </w:r>
      <w:r w:rsidR="002E254F" w:rsidRPr="00B44B19">
        <w:rPr>
          <w:rFonts w:eastAsia="Times New Roman" w:cs="Times New Roman"/>
          <w:sz w:val="22"/>
          <w:lang w:bidi="lt-LT"/>
        </w:rPr>
        <w:t>, partnerius</w:t>
      </w:r>
      <w:r w:rsidRPr="00B44B19">
        <w:rPr>
          <w:rFonts w:eastAsia="Times New Roman" w:cs="Times New Roman"/>
          <w:sz w:val="22"/>
          <w:lang w:bidi="lt-LT"/>
        </w:rPr>
        <w:t>.</w:t>
      </w:r>
    </w:p>
    <w:p w14:paraId="1253DC65" w14:textId="77777777" w:rsidR="00D410FB" w:rsidRPr="00B44B19" w:rsidRDefault="00D410FB" w:rsidP="00E67E5C">
      <w:pPr>
        <w:spacing w:before="60" w:after="60" w:line="240" w:lineRule="auto"/>
        <w:ind w:firstLine="567"/>
        <w:jc w:val="both"/>
        <w:rPr>
          <w:rFonts w:eastAsia="Times New Roman" w:cs="Times New Roman"/>
          <w:sz w:val="22"/>
          <w:lang w:eastAsia="lt-LT"/>
        </w:rPr>
      </w:pPr>
      <w:r w:rsidRPr="00B44B19">
        <w:rPr>
          <w:rFonts w:eastAsia="Times New Roman" w:cs="Times New Roman"/>
          <w:sz w:val="22"/>
          <w:lang w:eastAsia="lt-LT"/>
        </w:rPr>
        <w:t xml:space="preserve">Pagrindiniai komunikacijos priemonių kanalai: </w:t>
      </w:r>
      <w:r w:rsidRPr="00B44B19">
        <w:rPr>
          <w:rFonts w:eastAsia="Times New Roman" w:cs="Times New Roman"/>
          <w:b/>
          <w:sz w:val="22"/>
          <w:lang w:eastAsia="lt-LT"/>
        </w:rPr>
        <w:t>tradiciniai</w:t>
      </w:r>
      <w:r w:rsidRPr="00B44B19">
        <w:rPr>
          <w:rFonts w:eastAsia="Times New Roman" w:cs="Times New Roman"/>
          <w:sz w:val="22"/>
          <w:lang w:eastAsia="lt-LT"/>
        </w:rPr>
        <w:t xml:space="preserve"> (renginiai, naujienų portalai, fiziniai stendai, televizija ir radijas) ir </w:t>
      </w:r>
      <w:r w:rsidRPr="00B44B19">
        <w:rPr>
          <w:rFonts w:eastAsia="Times New Roman" w:cs="Times New Roman"/>
          <w:b/>
          <w:sz w:val="22"/>
          <w:lang w:eastAsia="lt-LT"/>
        </w:rPr>
        <w:t>skaitmeniniai</w:t>
      </w:r>
      <w:r w:rsidRPr="00B44B19">
        <w:rPr>
          <w:rFonts w:eastAsia="Times New Roman" w:cs="Times New Roman"/>
          <w:sz w:val="22"/>
          <w:lang w:eastAsia="lt-LT"/>
        </w:rPr>
        <w:t xml:space="preserve"> (interneto tinklalapiai, el. paštas, socialinės medijos). </w:t>
      </w:r>
    </w:p>
    <w:p w14:paraId="363AD4C0" w14:textId="77777777" w:rsidR="00D410FB" w:rsidRPr="00B44B19" w:rsidRDefault="00D410FB" w:rsidP="00E67E5C">
      <w:pPr>
        <w:spacing w:before="60" w:after="60" w:line="240" w:lineRule="auto"/>
        <w:ind w:firstLine="567"/>
        <w:jc w:val="both"/>
        <w:rPr>
          <w:rFonts w:eastAsia="Times New Roman" w:cs="Times New Roman"/>
          <w:iCs/>
          <w:sz w:val="22"/>
          <w:lang w:eastAsia="lt-LT" w:bidi="lt-LT"/>
        </w:rPr>
      </w:pPr>
      <w:r w:rsidRPr="00B44B19">
        <w:rPr>
          <w:rFonts w:eastAsia="Times New Roman" w:cs="Times New Roman"/>
          <w:b/>
          <w:iCs/>
          <w:sz w:val="22"/>
          <w:lang w:eastAsia="lt-LT" w:bidi="lt-LT"/>
        </w:rPr>
        <w:t>Pagrindinis informacijos sklaidos kanalas</w:t>
      </w:r>
      <w:r w:rsidRPr="00B44B19">
        <w:rPr>
          <w:rFonts w:eastAsia="Times New Roman" w:cs="Times New Roman"/>
          <w:iCs/>
          <w:sz w:val="22"/>
          <w:lang w:eastAsia="lt-LT" w:bidi="lt-LT"/>
        </w:rPr>
        <w:t xml:space="preserve"> – centralizuota ES investicijų </w:t>
      </w:r>
      <w:r w:rsidR="00C25179" w:rsidRPr="00B44B19">
        <w:rPr>
          <w:rFonts w:eastAsia="Times New Roman" w:cs="Times New Roman"/>
          <w:iCs/>
          <w:sz w:val="22"/>
          <w:lang w:eastAsia="lt-LT" w:bidi="lt-LT"/>
        </w:rPr>
        <w:t xml:space="preserve">svetainė </w:t>
      </w:r>
      <w:r w:rsidR="002E254F" w:rsidRPr="00B44B19">
        <w:rPr>
          <w:rFonts w:eastAsia="Times New Roman" w:cs="Times New Roman"/>
          <w:iCs/>
          <w:sz w:val="22"/>
          <w:lang w:eastAsia="lt-LT" w:bidi="lt-LT"/>
        </w:rPr>
        <w:t>esinvesticijos.lt</w:t>
      </w:r>
      <w:r w:rsidRPr="00B44B19">
        <w:rPr>
          <w:rFonts w:eastAsia="Times New Roman" w:cs="Times New Roman"/>
          <w:iCs/>
          <w:sz w:val="22"/>
          <w:lang w:eastAsia="lt-LT" w:bidi="lt-LT"/>
        </w:rPr>
        <w:t xml:space="preserve">, skirta informacijai, susijusiai su Programa, nuolatos skelbti, o socialinės medijos naudojamos kaip palaikomasis kanalas, skleidžiantis aktualias žinutes. </w:t>
      </w:r>
      <w:r w:rsidR="00692C6B" w:rsidRPr="00B44B19">
        <w:rPr>
          <w:rFonts w:eastAsia="Times New Roman" w:cs="Times New Roman"/>
          <w:iCs/>
          <w:sz w:val="22"/>
          <w:lang w:eastAsia="lt-LT" w:bidi="lt-LT"/>
        </w:rPr>
        <w:t>L</w:t>
      </w:r>
      <w:r w:rsidRPr="00B44B19">
        <w:rPr>
          <w:rFonts w:eastAsia="Times New Roman" w:cs="Times New Roman"/>
          <w:iCs/>
          <w:sz w:val="22"/>
          <w:lang w:eastAsia="lt-LT" w:bidi="lt-LT"/>
        </w:rPr>
        <w:t>abiausiai naudotini „Facebook“ ir „Instagram“ socialinių medijų kanalai.</w:t>
      </w:r>
    </w:p>
    <w:p w14:paraId="0A009D39" w14:textId="77777777" w:rsidR="00D410FB" w:rsidRPr="00B44B19" w:rsidRDefault="00D410FB" w:rsidP="00E67E5C">
      <w:pPr>
        <w:spacing w:before="60" w:after="60" w:line="240" w:lineRule="auto"/>
        <w:ind w:firstLine="567"/>
        <w:jc w:val="both"/>
        <w:rPr>
          <w:rFonts w:eastAsia="Times New Roman" w:cs="Times New Roman"/>
          <w:iCs/>
          <w:sz w:val="22"/>
          <w:lang w:eastAsia="lt-LT" w:bidi="lt-LT"/>
        </w:rPr>
      </w:pPr>
      <w:r w:rsidRPr="00B44B19">
        <w:rPr>
          <w:rFonts w:eastAsia="Times New Roman" w:cs="Times New Roman"/>
          <w:iCs/>
          <w:sz w:val="22"/>
          <w:lang w:eastAsia="lt-LT" w:bidi="lt-LT"/>
        </w:rPr>
        <w:t xml:space="preserve">Dirbant su socialinės medijos platformomis, reikėtų nuosekliai naudoti su ES investicijų politika susijusias grotažymes, jas papildant Lietuvos komunikacijos siekius atspindinčiomis grotažymėmis. </w:t>
      </w:r>
    </w:p>
    <w:p w14:paraId="549C5485" w14:textId="77777777" w:rsidR="00D410FB" w:rsidRPr="00B44B19" w:rsidRDefault="00DF7D06" w:rsidP="00E67E5C">
      <w:pPr>
        <w:spacing w:before="60" w:after="60" w:line="240" w:lineRule="auto"/>
        <w:ind w:firstLine="567"/>
        <w:jc w:val="both"/>
        <w:rPr>
          <w:rFonts w:eastAsia="Times New Roman" w:cs="Times New Roman"/>
          <w:iCs/>
          <w:sz w:val="22"/>
          <w:lang w:eastAsia="lt-LT" w:bidi="lt-LT"/>
        </w:rPr>
      </w:pPr>
      <w:r w:rsidRPr="00B44B19">
        <w:rPr>
          <w:rFonts w:eastAsia="Times New Roman" w:cs="Times New Roman"/>
          <w:iCs/>
          <w:sz w:val="22"/>
          <w:lang w:eastAsia="lt-LT" w:bidi="lt-LT"/>
        </w:rPr>
        <w:lastRenderedPageBreak/>
        <w:t>Horizontaliai k</w:t>
      </w:r>
      <w:r w:rsidR="00D410FB" w:rsidRPr="00B44B19">
        <w:rPr>
          <w:rFonts w:eastAsia="Times New Roman" w:cs="Times New Roman"/>
          <w:iCs/>
          <w:sz w:val="22"/>
          <w:lang w:eastAsia="lt-LT" w:bidi="lt-LT"/>
        </w:rPr>
        <w:t>omunikacijos ir matomumo veiklai administruoti paskiriamas Programos komunikacijos pareigūnas</w:t>
      </w:r>
      <w:r w:rsidR="002E254F" w:rsidRPr="00B44B19">
        <w:rPr>
          <w:rFonts w:eastAsia="Times New Roman" w:cs="Times New Roman"/>
          <w:iCs/>
          <w:sz w:val="22"/>
          <w:lang w:eastAsia="lt-LT" w:bidi="lt-LT"/>
        </w:rPr>
        <w:t xml:space="preserve">, kuris dalyvauja nacionalinio komunikacijos </w:t>
      </w:r>
      <w:r w:rsidR="00830290" w:rsidRPr="00B44B19">
        <w:rPr>
          <w:rFonts w:eastAsia="Times New Roman" w:cs="Times New Roman"/>
          <w:iCs/>
          <w:sz w:val="22"/>
          <w:lang w:eastAsia="lt-LT" w:bidi="lt-LT"/>
        </w:rPr>
        <w:t xml:space="preserve">veiklos </w:t>
      </w:r>
      <w:r w:rsidR="002E254F" w:rsidRPr="00B44B19">
        <w:rPr>
          <w:rFonts w:eastAsia="Times New Roman" w:cs="Times New Roman"/>
          <w:iCs/>
          <w:sz w:val="22"/>
          <w:lang w:eastAsia="lt-LT" w:bidi="lt-LT"/>
        </w:rPr>
        <w:t xml:space="preserve">koordinatoriaus </w:t>
      </w:r>
      <w:r w:rsidR="00830290" w:rsidRPr="00B44B19">
        <w:rPr>
          <w:rFonts w:eastAsia="Times New Roman" w:cs="Times New Roman"/>
          <w:iCs/>
          <w:sz w:val="22"/>
          <w:lang w:eastAsia="lt-LT" w:bidi="lt-LT"/>
        </w:rPr>
        <w:t>suburtoje darbo grupės veikloje</w:t>
      </w:r>
      <w:r w:rsidR="0026447D" w:rsidRPr="00B44B19">
        <w:rPr>
          <w:rFonts w:eastAsia="Times New Roman" w:cs="Times New Roman"/>
          <w:iCs/>
          <w:sz w:val="22"/>
          <w:lang w:eastAsia="lt-LT" w:bidi="lt-LT"/>
        </w:rPr>
        <w:t>,</w:t>
      </w:r>
      <w:r w:rsidR="00830290" w:rsidRPr="00B44B19">
        <w:rPr>
          <w:rFonts w:eastAsia="Times New Roman" w:cs="Times New Roman"/>
          <w:iCs/>
          <w:sz w:val="22"/>
          <w:lang w:eastAsia="lt-LT" w:bidi="lt-LT"/>
        </w:rPr>
        <w:t xml:space="preserve"> teik</w:t>
      </w:r>
      <w:r w:rsidR="0026447D" w:rsidRPr="00B44B19">
        <w:rPr>
          <w:rFonts w:eastAsia="Times New Roman" w:cs="Times New Roman"/>
          <w:iCs/>
          <w:sz w:val="22"/>
          <w:lang w:eastAsia="lt-LT" w:bidi="lt-LT"/>
        </w:rPr>
        <w:t>ia</w:t>
      </w:r>
      <w:r w:rsidR="00830290" w:rsidRPr="00B44B19">
        <w:rPr>
          <w:rFonts w:eastAsia="Times New Roman" w:cs="Times New Roman"/>
          <w:iCs/>
          <w:sz w:val="22"/>
          <w:lang w:eastAsia="lt-LT" w:bidi="lt-LT"/>
        </w:rPr>
        <w:t xml:space="preserve"> pasiūlymus dėl bendrų </w:t>
      </w:r>
      <w:r w:rsidR="0026447D" w:rsidRPr="00B44B19">
        <w:rPr>
          <w:rFonts w:eastAsia="Times New Roman" w:cs="Times New Roman"/>
          <w:iCs/>
          <w:sz w:val="22"/>
          <w:lang w:eastAsia="lt-LT" w:bidi="lt-LT"/>
        </w:rPr>
        <w:t xml:space="preserve">su ES investicijų </w:t>
      </w:r>
      <w:r w:rsidR="000F7A36" w:rsidRPr="00B44B19">
        <w:rPr>
          <w:rFonts w:eastAsia="Times New Roman" w:cs="Times New Roman"/>
          <w:iCs/>
          <w:sz w:val="22"/>
          <w:lang w:eastAsia="lt-LT" w:bidi="lt-LT"/>
        </w:rPr>
        <w:t>matomumu</w:t>
      </w:r>
      <w:r w:rsidR="0026447D" w:rsidRPr="00B44B19">
        <w:rPr>
          <w:rFonts w:eastAsia="Times New Roman" w:cs="Times New Roman"/>
          <w:iCs/>
          <w:sz w:val="22"/>
          <w:lang w:eastAsia="lt-LT" w:bidi="lt-LT"/>
        </w:rPr>
        <w:t xml:space="preserve"> susijusių </w:t>
      </w:r>
      <w:r w:rsidR="00830290" w:rsidRPr="00B44B19">
        <w:rPr>
          <w:rFonts w:eastAsia="Times New Roman" w:cs="Times New Roman"/>
          <w:iCs/>
          <w:sz w:val="22"/>
          <w:lang w:eastAsia="lt-LT" w:bidi="lt-LT"/>
        </w:rPr>
        <w:t>komunikacijos v</w:t>
      </w:r>
      <w:r w:rsidR="0026447D" w:rsidRPr="00B44B19">
        <w:rPr>
          <w:rFonts w:eastAsia="Times New Roman" w:cs="Times New Roman"/>
          <w:iCs/>
          <w:sz w:val="22"/>
          <w:lang w:eastAsia="lt-LT" w:bidi="lt-LT"/>
        </w:rPr>
        <w:t>eiklų planavimo ir įgyvendinimo</w:t>
      </w:r>
      <w:r w:rsidR="00583B6D" w:rsidRPr="00B44B19">
        <w:rPr>
          <w:rFonts w:eastAsia="Times New Roman" w:cs="Times New Roman"/>
          <w:iCs/>
          <w:sz w:val="22"/>
          <w:lang w:eastAsia="lt-LT" w:bidi="lt-LT"/>
        </w:rPr>
        <w:t>, pristato</w:t>
      </w:r>
      <w:r w:rsidR="0026447D" w:rsidRPr="00B44B19">
        <w:rPr>
          <w:rFonts w:eastAsia="Times New Roman" w:cs="Times New Roman"/>
          <w:iCs/>
          <w:sz w:val="22"/>
          <w:lang w:eastAsia="lt-LT" w:bidi="lt-LT"/>
        </w:rPr>
        <w:t xml:space="preserve"> Programos komunikacijos kampanijų planus ir </w:t>
      </w:r>
      <w:r w:rsidR="00583B6D" w:rsidRPr="00B44B19">
        <w:rPr>
          <w:rFonts w:eastAsia="Times New Roman" w:cs="Times New Roman"/>
          <w:iCs/>
          <w:sz w:val="22"/>
          <w:lang w:eastAsia="lt-LT" w:bidi="lt-LT"/>
        </w:rPr>
        <w:t xml:space="preserve">atsiskaito už </w:t>
      </w:r>
      <w:r w:rsidR="0026447D" w:rsidRPr="00B44B19">
        <w:rPr>
          <w:rFonts w:eastAsia="Times New Roman" w:cs="Times New Roman"/>
          <w:iCs/>
          <w:sz w:val="22"/>
          <w:lang w:eastAsia="lt-LT" w:bidi="lt-LT"/>
        </w:rPr>
        <w:t>jų pažangą.</w:t>
      </w:r>
      <w:r w:rsidR="000F7A36" w:rsidRPr="00B44B19">
        <w:rPr>
          <w:rFonts w:eastAsia="Times New Roman" w:cs="Times New Roman"/>
          <w:iCs/>
          <w:sz w:val="22"/>
          <w:lang w:eastAsia="lt-LT" w:bidi="lt-LT"/>
        </w:rPr>
        <w:t xml:space="preserve"> </w:t>
      </w:r>
      <w:r w:rsidR="00A007FE" w:rsidRPr="00B44B19">
        <w:rPr>
          <w:rFonts w:eastAsia="Times New Roman" w:cs="Times New Roman"/>
          <w:iCs/>
          <w:sz w:val="22"/>
          <w:lang w:eastAsia="lt-LT" w:bidi="lt-LT"/>
        </w:rPr>
        <w:t>Minėtas</w:t>
      </w:r>
      <w:r w:rsidR="000F7A36" w:rsidRPr="00B44B19">
        <w:rPr>
          <w:rFonts w:eastAsia="Times New Roman" w:cs="Times New Roman"/>
          <w:iCs/>
          <w:sz w:val="22"/>
          <w:lang w:eastAsia="lt-LT" w:bidi="lt-LT"/>
        </w:rPr>
        <w:t xml:space="preserve"> pareigūnas koordinuoja Programos komunikacijos darbo grupės veiklą</w:t>
      </w:r>
      <w:r w:rsidR="00A007FE" w:rsidRPr="00B44B19">
        <w:rPr>
          <w:rFonts w:eastAsia="Times New Roman" w:cs="Times New Roman"/>
          <w:iCs/>
          <w:sz w:val="22"/>
          <w:lang w:eastAsia="lt-LT" w:bidi="lt-LT"/>
        </w:rPr>
        <w:t xml:space="preserve"> ir</w:t>
      </w:r>
      <w:r w:rsidR="00AE068A" w:rsidRPr="00B44B19">
        <w:rPr>
          <w:rFonts w:eastAsia="Times New Roman" w:cs="Times New Roman"/>
          <w:iCs/>
          <w:sz w:val="22"/>
          <w:lang w:eastAsia="lt-LT" w:bidi="lt-LT"/>
        </w:rPr>
        <w:t xml:space="preserve"> </w:t>
      </w:r>
      <w:r w:rsidR="000F7A36" w:rsidRPr="00B44B19">
        <w:rPr>
          <w:rFonts w:eastAsia="Times New Roman" w:cs="Times New Roman"/>
          <w:iCs/>
          <w:sz w:val="22"/>
          <w:lang w:eastAsia="lt-LT" w:bidi="lt-LT"/>
        </w:rPr>
        <w:t xml:space="preserve">kasmet </w:t>
      </w:r>
      <w:r w:rsidR="00A007FE" w:rsidRPr="00B44B19">
        <w:rPr>
          <w:rFonts w:eastAsia="Times New Roman" w:cs="Times New Roman"/>
          <w:iCs/>
          <w:sz w:val="22"/>
          <w:lang w:eastAsia="lt-LT" w:bidi="lt-LT"/>
        </w:rPr>
        <w:t xml:space="preserve">sudaromą metinį </w:t>
      </w:r>
      <w:r w:rsidR="000F7A36" w:rsidRPr="00B44B19">
        <w:rPr>
          <w:rFonts w:eastAsia="Times New Roman" w:cs="Times New Roman"/>
          <w:iCs/>
          <w:sz w:val="22"/>
          <w:lang w:eastAsia="lt-LT" w:bidi="lt-LT"/>
        </w:rPr>
        <w:t>horizontalių komunikacijos kampanijų plan</w:t>
      </w:r>
      <w:r w:rsidR="00CF0549" w:rsidRPr="00B44B19">
        <w:rPr>
          <w:rFonts w:eastAsia="Times New Roman" w:cs="Times New Roman"/>
          <w:iCs/>
          <w:sz w:val="22"/>
          <w:lang w:eastAsia="lt-LT" w:bidi="lt-LT"/>
        </w:rPr>
        <w:t>ą</w:t>
      </w:r>
      <w:r w:rsidR="001370A7" w:rsidRPr="00B44B19">
        <w:rPr>
          <w:rFonts w:eastAsia="Times New Roman" w:cs="Times New Roman"/>
          <w:iCs/>
          <w:sz w:val="22"/>
          <w:lang w:eastAsia="lt-LT" w:bidi="lt-LT"/>
        </w:rPr>
        <w:t xml:space="preserve"> </w:t>
      </w:r>
      <w:r w:rsidR="000F7A36" w:rsidRPr="00B44B19">
        <w:rPr>
          <w:rFonts w:eastAsia="Times New Roman" w:cs="Times New Roman"/>
          <w:iCs/>
          <w:sz w:val="22"/>
          <w:lang w:eastAsia="lt-LT" w:bidi="lt-LT"/>
        </w:rPr>
        <w:t xml:space="preserve">bei organizuoja </w:t>
      </w:r>
      <w:r w:rsidR="00CF0549" w:rsidRPr="00B44B19">
        <w:rPr>
          <w:rFonts w:eastAsia="Times New Roman" w:cs="Times New Roman"/>
          <w:iCs/>
          <w:sz w:val="22"/>
          <w:lang w:eastAsia="lt-LT" w:bidi="lt-LT"/>
        </w:rPr>
        <w:t xml:space="preserve">šio </w:t>
      </w:r>
      <w:r w:rsidR="00126BF8" w:rsidRPr="00B44B19">
        <w:rPr>
          <w:rFonts w:eastAsia="Times New Roman" w:cs="Times New Roman"/>
          <w:iCs/>
          <w:sz w:val="22"/>
          <w:lang w:eastAsia="lt-LT" w:bidi="lt-LT"/>
        </w:rPr>
        <w:t xml:space="preserve">plano įgyvendinimo </w:t>
      </w:r>
      <w:r w:rsidR="004165F7" w:rsidRPr="00B44B19">
        <w:rPr>
          <w:rFonts w:eastAsia="Times New Roman" w:cs="Times New Roman"/>
          <w:iCs/>
          <w:sz w:val="22"/>
          <w:lang w:eastAsia="lt-LT" w:bidi="lt-LT"/>
        </w:rPr>
        <w:t>vertinimą</w:t>
      </w:r>
      <w:r w:rsidR="00B92CE9" w:rsidRPr="00B44B19">
        <w:rPr>
          <w:rFonts w:eastAsia="Times New Roman" w:cs="Times New Roman"/>
          <w:iCs/>
          <w:sz w:val="22"/>
          <w:lang w:eastAsia="lt-LT" w:bidi="lt-LT"/>
        </w:rPr>
        <w:t>.</w:t>
      </w:r>
      <w:r w:rsidR="00126BF8" w:rsidRPr="00B44B19">
        <w:rPr>
          <w:rFonts w:eastAsia="Times New Roman" w:cs="Times New Roman"/>
          <w:iCs/>
          <w:sz w:val="22"/>
          <w:lang w:eastAsia="lt-LT" w:bidi="lt-LT"/>
        </w:rPr>
        <w:t xml:space="preserve"> </w:t>
      </w:r>
    </w:p>
    <w:p w14:paraId="0C6350BB" w14:textId="77777777" w:rsidR="00DF7D06" w:rsidRPr="00B44B19" w:rsidRDefault="00DF7D06" w:rsidP="00E67E5C">
      <w:pPr>
        <w:spacing w:before="60" w:after="60" w:line="240" w:lineRule="auto"/>
        <w:ind w:firstLine="567"/>
        <w:jc w:val="both"/>
        <w:rPr>
          <w:rFonts w:eastAsia="Times New Roman" w:cs="Times New Roman"/>
          <w:iCs/>
          <w:sz w:val="22"/>
          <w:lang w:eastAsia="lt-LT" w:bidi="lt-LT"/>
        </w:rPr>
      </w:pPr>
      <w:r w:rsidRPr="00B44B19">
        <w:rPr>
          <w:rFonts w:eastAsia="Times New Roman" w:cs="Times New Roman"/>
          <w:iCs/>
          <w:sz w:val="22"/>
          <w:lang w:eastAsia="lt-LT" w:bidi="lt-LT"/>
        </w:rPr>
        <w:t>Strateginės svarbos projekta</w:t>
      </w:r>
      <w:r w:rsidR="003767E7" w:rsidRPr="00B44B19">
        <w:rPr>
          <w:rFonts w:eastAsia="Times New Roman" w:cs="Times New Roman"/>
          <w:iCs/>
          <w:sz w:val="22"/>
          <w:lang w:eastAsia="lt-LT" w:bidi="lt-LT"/>
        </w:rPr>
        <w:t xml:space="preserve">i – tai didelę pridėtinę reikšmę Programos tikslų pasiekimui turintys projektai, kurie be bendrųjų komunikacijos priemonių </w:t>
      </w:r>
      <w:r w:rsidR="00BA5906" w:rsidRPr="00B44B19">
        <w:rPr>
          <w:rFonts w:eastAsia="Times New Roman" w:cs="Times New Roman"/>
          <w:iCs/>
          <w:sz w:val="22"/>
          <w:lang w:eastAsia="lt-LT" w:bidi="lt-LT"/>
        </w:rPr>
        <w:t>organizuoja papildomą komunikacinę veiklą</w:t>
      </w:r>
      <w:r w:rsidR="003767E7" w:rsidRPr="00B44B19">
        <w:rPr>
          <w:rFonts w:eastAsia="Times New Roman" w:cs="Times New Roman"/>
          <w:iCs/>
          <w:sz w:val="22"/>
          <w:lang w:eastAsia="lt-LT" w:bidi="lt-LT"/>
        </w:rPr>
        <w:t xml:space="preserve">, įtraukiant Programos vadovaujančiosios institucijos ir </w:t>
      </w:r>
      <w:r w:rsidR="00E047C6" w:rsidRPr="00B44B19">
        <w:rPr>
          <w:rFonts w:eastAsia="Times New Roman" w:cs="Times New Roman"/>
          <w:iCs/>
          <w:sz w:val="22"/>
          <w:lang w:eastAsia="lt-LT" w:bidi="lt-LT"/>
        </w:rPr>
        <w:t>EK</w:t>
      </w:r>
      <w:r w:rsidR="003767E7" w:rsidRPr="00B44B19">
        <w:rPr>
          <w:rFonts w:eastAsia="Times New Roman" w:cs="Times New Roman"/>
          <w:iCs/>
          <w:sz w:val="22"/>
          <w:lang w:eastAsia="lt-LT" w:bidi="lt-LT"/>
        </w:rPr>
        <w:t xml:space="preserve"> atstovus</w:t>
      </w:r>
      <w:r w:rsidR="00BA5906" w:rsidRPr="00B44B19">
        <w:rPr>
          <w:rFonts w:eastAsia="Times New Roman" w:cs="Times New Roman"/>
          <w:iCs/>
          <w:sz w:val="22"/>
          <w:lang w:eastAsia="lt-LT" w:bidi="lt-LT"/>
        </w:rPr>
        <w:t xml:space="preserve"> ir taip užtikrinant didesnį ES investicijų matomumą ir skaidrumą. </w:t>
      </w:r>
      <w:r w:rsidR="00995C6E" w:rsidRPr="00B44B19">
        <w:rPr>
          <w:rFonts w:eastAsia="Times New Roman" w:cs="Times New Roman"/>
          <w:iCs/>
          <w:sz w:val="22"/>
          <w:lang w:eastAsia="lt-LT" w:bidi="lt-LT"/>
        </w:rPr>
        <w:t>S</w:t>
      </w:r>
      <w:r w:rsidR="00BA5906" w:rsidRPr="00B44B19">
        <w:rPr>
          <w:rFonts w:eastAsia="Times New Roman" w:cs="Times New Roman"/>
          <w:iCs/>
          <w:sz w:val="22"/>
          <w:lang w:eastAsia="lt-LT" w:bidi="lt-LT"/>
        </w:rPr>
        <w:t>vetainėje esinvesticijos.lt numatyta</w:t>
      </w:r>
      <w:r w:rsidR="00995C6E" w:rsidRPr="00B44B19">
        <w:rPr>
          <w:rFonts w:eastAsia="Times New Roman" w:cs="Times New Roman"/>
          <w:iCs/>
          <w:sz w:val="22"/>
          <w:lang w:eastAsia="lt-LT" w:bidi="lt-LT"/>
        </w:rPr>
        <w:t>s</w:t>
      </w:r>
      <w:r w:rsidR="00BA5906" w:rsidRPr="00B44B19">
        <w:rPr>
          <w:rFonts w:eastAsia="Times New Roman" w:cs="Times New Roman"/>
          <w:iCs/>
          <w:sz w:val="22"/>
          <w:lang w:eastAsia="lt-LT" w:bidi="lt-LT"/>
        </w:rPr>
        <w:t xml:space="preserve"> ypatinga</w:t>
      </w:r>
      <w:r w:rsidR="00995C6E" w:rsidRPr="00B44B19">
        <w:rPr>
          <w:rFonts w:eastAsia="Times New Roman" w:cs="Times New Roman"/>
          <w:iCs/>
          <w:sz w:val="22"/>
          <w:lang w:eastAsia="lt-LT" w:bidi="lt-LT"/>
        </w:rPr>
        <w:t>s</w:t>
      </w:r>
      <w:r w:rsidR="00BA5906" w:rsidRPr="00B44B19">
        <w:rPr>
          <w:rFonts w:eastAsia="Times New Roman" w:cs="Times New Roman"/>
          <w:iCs/>
          <w:sz w:val="22"/>
          <w:lang w:eastAsia="lt-LT" w:bidi="lt-LT"/>
        </w:rPr>
        <w:t xml:space="preserve"> dėmesys informacijos skelbimui apie šių projektų pažangą; visuomenei pasiekti platinami pranešimai spaudai, talpinama informacija socialiniuose tinkluose; renginiai transliuojami tiesiogiai</w:t>
      </w:r>
      <w:r w:rsidR="00995C6E" w:rsidRPr="00B44B19">
        <w:rPr>
          <w:rFonts w:eastAsia="Times New Roman" w:cs="Times New Roman"/>
          <w:iCs/>
          <w:sz w:val="22"/>
          <w:lang w:eastAsia="lt-LT" w:bidi="lt-LT"/>
        </w:rPr>
        <w:t>. Vadovaujančioji institucija papildomai organizuoja šių projektų pristatomąsias komunikacijos veiklas: kuria reportažus ir juos platina socialiniuose tinkluose</w:t>
      </w:r>
      <w:r w:rsidR="006A5362" w:rsidRPr="00B44B19">
        <w:rPr>
          <w:rFonts w:eastAsia="Times New Roman" w:cs="Times New Roman"/>
          <w:iCs/>
          <w:sz w:val="22"/>
          <w:lang w:eastAsia="lt-LT" w:bidi="lt-LT"/>
        </w:rPr>
        <w:t>/svetainėje/renginiuose</w:t>
      </w:r>
      <w:r w:rsidR="00995C6E" w:rsidRPr="00B44B19">
        <w:rPr>
          <w:rFonts w:eastAsia="Times New Roman" w:cs="Times New Roman"/>
          <w:iCs/>
          <w:sz w:val="22"/>
          <w:lang w:eastAsia="lt-LT" w:bidi="lt-LT"/>
        </w:rPr>
        <w:t>.</w:t>
      </w:r>
    </w:p>
    <w:p w14:paraId="591CC450" w14:textId="77777777" w:rsidR="00D410FB" w:rsidRPr="00B44B19" w:rsidRDefault="00D410FB" w:rsidP="00E67E5C">
      <w:pPr>
        <w:autoSpaceDE w:val="0"/>
        <w:autoSpaceDN w:val="0"/>
        <w:adjustRightInd w:val="0"/>
        <w:spacing w:before="60" w:after="60" w:line="240" w:lineRule="auto"/>
        <w:ind w:firstLine="567"/>
        <w:rPr>
          <w:rFonts w:eastAsia="Calibri" w:cs="Times New Roman"/>
          <w:sz w:val="22"/>
          <w:lang w:eastAsia="lt-LT" w:bidi="lt-LT"/>
        </w:rPr>
      </w:pPr>
      <w:r w:rsidRPr="00B44B19">
        <w:rPr>
          <w:rFonts w:cs="Times New Roman"/>
          <w:b/>
          <w:sz w:val="22"/>
        </w:rPr>
        <w:t xml:space="preserve">Biudžetas </w:t>
      </w:r>
      <w:r w:rsidRPr="00B44B19">
        <w:rPr>
          <w:rFonts w:cs="Times New Roman"/>
          <w:sz w:val="22"/>
        </w:rPr>
        <w:t>‒</w:t>
      </w:r>
      <w:r w:rsidRPr="00B44B19">
        <w:rPr>
          <w:rFonts w:cs="Times New Roman"/>
          <w:b/>
          <w:sz w:val="22"/>
        </w:rPr>
        <w:t xml:space="preserve"> </w:t>
      </w:r>
      <w:r w:rsidRPr="00B44B19">
        <w:rPr>
          <w:rFonts w:eastAsia="Calibri" w:cs="Times New Roman"/>
          <w:sz w:val="22"/>
          <w:lang w:eastAsia="lt-LT" w:bidi="lt-LT"/>
        </w:rPr>
        <w:t>ne mažiau kaip 0,3 % viso ES fondų finansavimo.</w:t>
      </w:r>
    </w:p>
    <w:p w14:paraId="1A24DD51" w14:textId="134B3509" w:rsidR="00EB3133" w:rsidRPr="00B44B19" w:rsidRDefault="00116189" w:rsidP="00EB3133">
      <w:pPr>
        <w:spacing w:before="60" w:after="60" w:line="240" w:lineRule="auto"/>
        <w:ind w:firstLine="567"/>
        <w:jc w:val="both"/>
        <w:rPr>
          <w:rFonts w:cs="Times New Roman"/>
          <w:sz w:val="22"/>
          <w:lang w:eastAsia="lt-LT" w:bidi="lt-LT"/>
        </w:rPr>
      </w:pPr>
      <w:r w:rsidRPr="00B44B19">
        <w:rPr>
          <w:rFonts w:eastAsia="Times New Roman" w:cs="Times New Roman"/>
          <w:b/>
          <w:sz w:val="22"/>
          <w:lang w:eastAsia="lt-LT"/>
        </w:rPr>
        <w:t xml:space="preserve">Vertinimo ir stebėsenos rodikliai. </w:t>
      </w:r>
      <w:r w:rsidR="00FD472A" w:rsidRPr="00B44B19">
        <w:rPr>
          <w:rFonts w:eastAsia="Times New Roman" w:cs="Times New Roman"/>
          <w:sz w:val="22"/>
          <w:lang w:eastAsia="lt-LT"/>
        </w:rPr>
        <w:t>Programos k</w:t>
      </w:r>
      <w:r w:rsidR="007A54CA" w:rsidRPr="00B44B19">
        <w:rPr>
          <w:rFonts w:eastAsia="Times New Roman" w:cs="Times New Roman"/>
          <w:sz w:val="22"/>
          <w:lang w:eastAsia="lt-LT"/>
        </w:rPr>
        <w:t xml:space="preserve">omunikacijos kampanija – tai </w:t>
      </w:r>
      <w:r w:rsidR="006C5945" w:rsidRPr="00B44B19">
        <w:rPr>
          <w:rFonts w:eastAsia="Times New Roman" w:cs="Times New Roman"/>
          <w:sz w:val="22"/>
          <w:lang w:eastAsia="lt-LT"/>
        </w:rPr>
        <w:t>iš anksto suplanuotas</w:t>
      </w:r>
      <w:r w:rsidR="00FD472A" w:rsidRPr="00B44B19">
        <w:rPr>
          <w:rFonts w:eastAsia="Times New Roman" w:cs="Times New Roman"/>
          <w:sz w:val="22"/>
          <w:lang w:eastAsia="lt-LT"/>
        </w:rPr>
        <w:t xml:space="preserve"> </w:t>
      </w:r>
      <w:r w:rsidR="006C5945" w:rsidRPr="00B44B19">
        <w:rPr>
          <w:rFonts w:eastAsia="Times New Roman" w:cs="Times New Roman"/>
          <w:sz w:val="22"/>
          <w:lang w:eastAsia="lt-LT"/>
        </w:rPr>
        <w:t>žiniasklaidos priemonių</w:t>
      </w:r>
      <w:r w:rsidR="00FF03EC" w:rsidRPr="00B44B19">
        <w:rPr>
          <w:rFonts w:eastAsia="Times New Roman" w:cs="Times New Roman"/>
          <w:sz w:val="22"/>
          <w:lang w:eastAsia="lt-LT"/>
        </w:rPr>
        <w:t>/komunikacijos veiklų</w:t>
      </w:r>
      <w:r w:rsidR="00FD472A" w:rsidRPr="00B44B19">
        <w:rPr>
          <w:rFonts w:eastAsia="Times New Roman" w:cs="Times New Roman"/>
          <w:sz w:val="22"/>
          <w:lang w:eastAsia="lt-LT"/>
        </w:rPr>
        <w:t xml:space="preserve"> rinkinys, užtikrinantis konkrečios tikslinės auditorijos pasiekiamumą</w:t>
      </w:r>
      <w:r w:rsidR="00C33D25" w:rsidRPr="00B44B19">
        <w:rPr>
          <w:rFonts w:eastAsia="Times New Roman" w:cs="Times New Roman"/>
          <w:sz w:val="22"/>
          <w:lang w:eastAsia="lt-LT"/>
        </w:rPr>
        <w:t>,</w:t>
      </w:r>
      <w:r w:rsidR="00FD472A" w:rsidRPr="00B44B19">
        <w:rPr>
          <w:rFonts w:eastAsia="Times New Roman" w:cs="Times New Roman"/>
          <w:sz w:val="22"/>
          <w:lang w:eastAsia="lt-LT"/>
        </w:rPr>
        <w:t xml:space="preserve"> siekiant paskleisti su Programos tikslais, uždaviniais bei Programos matomumu, skaidrumu ir tiksline komunikacija </w:t>
      </w:r>
      <w:r w:rsidR="006C5945" w:rsidRPr="00B44B19">
        <w:rPr>
          <w:rFonts w:eastAsia="Times New Roman" w:cs="Times New Roman"/>
          <w:sz w:val="22"/>
          <w:lang w:eastAsia="lt-LT"/>
        </w:rPr>
        <w:t xml:space="preserve">susijusią </w:t>
      </w:r>
      <w:r w:rsidR="00FD472A" w:rsidRPr="00B44B19">
        <w:rPr>
          <w:rFonts w:eastAsia="Times New Roman" w:cs="Times New Roman"/>
          <w:sz w:val="22"/>
          <w:lang w:eastAsia="lt-LT"/>
        </w:rPr>
        <w:t>žinutę</w:t>
      </w:r>
      <w:r w:rsidR="00C33D25" w:rsidRPr="00B44B19">
        <w:rPr>
          <w:rFonts w:eastAsia="Times New Roman" w:cs="Times New Roman"/>
          <w:sz w:val="22"/>
          <w:lang w:eastAsia="lt-LT"/>
        </w:rPr>
        <w:t>,</w:t>
      </w:r>
      <w:r w:rsidR="006C5945" w:rsidRPr="00B44B19">
        <w:rPr>
          <w:rFonts w:eastAsia="Times New Roman" w:cs="Times New Roman"/>
          <w:sz w:val="22"/>
          <w:lang w:eastAsia="lt-LT"/>
        </w:rPr>
        <w:t xml:space="preserve"> ir siekiant užtikrinti prisidėjimą prie Programos stebėsenos rodiklių pažangos</w:t>
      </w:r>
      <w:r w:rsidR="00FD472A" w:rsidRPr="00B44B19">
        <w:rPr>
          <w:rFonts w:eastAsia="Times New Roman" w:cs="Times New Roman"/>
          <w:sz w:val="22"/>
          <w:lang w:eastAsia="lt-LT"/>
        </w:rPr>
        <w:t>.</w:t>
      </w:r>
      <w:r w:rsidR="00FD472A" w:rsidRPr="00B44B19">
        <w:rPr>
          <w:rFonts w:eastAsia="Times New Roman" w:cs="Times New Roman"/>
          <w:b/>
          <w:sz w:val="22"/>
          <w:lang w:eastAsia="lt-LT"/>
        </w:rPr>
        <w:t xml:space="preserve"> </w:t>
      </w:r>
      <w:r w:rsidR="00FF03EC" w:rsidRPr="00B44B19">
        <w:rPr>
          <w:rFonts w:eastAsia="Times New Roman" w:cs="Times New Roman"/>
          <w:sz w:val="22"/>
          <w:lang w:eastAsia="lt-LT"/>
        </w:rPr>
        <w:t>Programos įgyvendinimo metu planuojama įgyvendinti ne mažiau kaip 25 horizontalias su Programos matomumu, skaidrumu ir komunikacija susijusias komunikacijos kampanijas, kurių dalis gali būti tęstinės ir trukti keletą metų.</w:t>
      </w:r>
      <w:r w:rsidR="00FF03EC" w:rsidRPr="00B44B19">
        <w:rPr>
          <w:rFonts w:eastAsia="Times New Roman" w:cs="Times New Roman"/>
          <w:b/>
          <w:sz w:val="22"/>
          <w:lang w:eastAsia="lt-LT"/>
        </w:rPr>
        <w:t xml:space="preserve"> </w:t>
      </w:r>
      <w:r w:rsidRPr="00B44B19">
        <w:rPr>
          <w:rFonts w:eastAsia="Times New Roman" w:cs="Times New Roman"/>
          <w:sz w:val="22"/>
          <w:lang w:eastAsia="lt-LT"/>
        </w:rPr>
        <w:t xml:space="preserve">Įgyvendinant komunikacijos kampanijas taikomi proceso, produkto ir rezultato rodikliai. Visose komunikacijos kampanijose gali būti nustatyti </w:t>
      </w:r>
      <w:r w:rsidRPr="00B44B19">
        <w:rPr>
          <w:rFonts w:eastAsia="Times New Roman" w:cs="Times New Roman"/>
          <w:iCs/>
          <w:sz w:val="22"/>
          <w:lang w:eastAsia="lt-LT"/>
        </w:rPr>
        <w:t>proceso</w:t>
      </w:r>
      <w:r w:rsidRPr="00B44B19">
        <w:rPr>
          <w:rFonts w:eastAsia="Times New Roman" w:cs="Times New Roman"/>
          <w:sz w:val="22"/>
          <w:lang w:eastAsia="lt-LT"/>
        </w:rPr>
        <w:t xml:space="preserve"> rodikliai. ES investicijų poveikio stiprinimo komunikacijoje papildomai nustatomi </w:t>
      </w:r>
      <w:r w:rsidRPr="00B44B19">
        <w:rPr>
          <w:rFonts w:eastAsia="Times New Roman" w:cs="Times New Roman"/>
          <w:iCs/>
          <w:sz w:val="22"/>
          <w:lang w:eastAsia="lt-LT"/>
        </w:rPr>
        <w:t>poveikio</w:t>
      </w:r>
      <w:r w:rsidRPr="00B44B19">
        <w:rPr>
          <w:rFonts w:eastAsia="Times New Roman" w:cs="Times New Roman"/>
          <w:sz w:val="22"/>
          <w:lang w:eastAsia="lt-LT"/>
        </w:rPr>
        <w:t xml:space="preserve"> rodikliai, atspindintys siekiamą tikslinės grupės nuomonės ar elgsenos pokytį.</w:t>
      </w:r>
      <w:r w:rsidR="007A54CA" w:rsidRPr="00B44B19">
        <w:rPr>
          <w:rFonts w:cs="Times New Roman"/>
          <w:sz w:val="22"/>
          <w:lang w:eastAsia="lt-LT" w:bidi="lt-LT"/>
        </w:rPr>
        <w:t xml:space="preserve"> </w:t>
      </w:r>
    </w:p>
    <w:p w14:paraId="1E5CE4DD" w14:textId="77777777" w:rsidR="007A2014" w:rsidRPr="00B44B19" w:rsidRDefault="007A2014" w:rsidP="007A2014">
      <w:pPr>
        <w:spacing w:after="0" w:line="240" w:lineRule="auto"/>
        <w:jc w:val="both"/>
        <w:rPr>
          <w:rFonts w:eastAsia="Times New Roman" w:cs="Times New Roman"/>
          <w:b/>
          <w:bCs/>
          <w:sz w:val="22"/>
        </w:rPr>
      </w:pPr>
      <w:r w:rsidRPr="00B44B19">
        <w:rPr>
          <w:rFonts w:eastAsia="Times New Roman" w:cs="Times New Roman"/>
          <w:b/>
          <w:bCs/>
          <w:sz w:val="22"/>
          <w:lang w:eastAsia="lt-LT"/>
        </w:rPr>
        <w:t xml:space="preserve">Lentelė. </w:t>
      </w:r>
      <w:r w:rsidRPr="00B44B19">
        <w:rPr>
          <w:rFonts w:eastAsia="Times New Roman" w:cs="Times New Roman"/>
          <w:b/>
          <w:bCs/>
          <w:i/>
          <w:sz w:val="22"/>
          <w:lang w:eastAsia="lt-LT"/>
        </w:rPr>
        <w:t>ES fondų matomumo, skaidrumo ir komunikacijos stebėsenos rodikliai.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992"/>
        <w:gridCol w:w="1134"/>
        <w:gridCol w:w="992"/>
        <w:gridCol w:w="2127"/>
      </w:tblGrid>
      <w:tr w:rsidR="007A2014" w:rsidRPr="00B44B19" w14:paraId="05969C3A" w14:textId="77777777" w:rsidTr="007A2014">
        <w:trPr>
          <w:trHeight w:val="774"/>
          <w:tblHeader/>
        </w:trPr>
        <w:tc>
          <w:tcPr>
            <w:tcW w:w="2977" w:type="dxa"/>
            <w:shd w:val="clear" w:color="auto" w:fill="DBE5F1" w:themeFill="accent1" w:themeFillTint="33"/>
            <w:vAlign w:val="center"/>
          </w:tcPr>
          <w:p w14:paraId="6CC4C754" w14:textId="77777777" w:rsidR="007A2014" w:rsidRPr="00B44B19" w:rsidRDefault="007A2014" w:rsidP="007A2014">
            <w:pPr>
              <w:spacing w:after="0" w:line="240" w:lineRule="auto"/>
              <w:jc w:val="center"/>
              <w:rPr>
                <w:rFonts w:eastAsia="Times New Roman" w:cs="Times New Roman"/>
                <w:b/>
                <w:bCs/>
                <w:iCs/>
                <w:sz w:val="22"/>
                <w:lang w:eastAsia="lt-LT"/>
              </w:rPr>
            </w:pPr>
            <w:r w:rsidRPr="00B44B19">
              <w:rPr>
                <w:rFonts w:eastAsia="Times New Roman" w:cs="Times New Roman"/>
                <w:b/>
                <w:bCs/>
                <w:iCs/>
                <w:sz w:val="22"/>
                <w:lang w:eastAsia="lt-LT"/>
              </w:rPr>
              <w:t>Rodiklio pavadinimas</w:t>
            </w:r>
          </w:p>
        </w:tc>
        <w:tc>
          <w:tcPr>
            <w:tcW w:w="1276" w:type="dxa"/>
            <w:shd w:val="clear" w:color="auto" w:fill="DBE5F1" w:themeFill="accent1" w:themeFillTint="33"/>
            <w:vAlign w:val="center"/>
          </w:tcPr>
          <w:p w14:paraId="541FC193" w14:textId="77777777" w:rsidR="007A2014" w:rsidRPr="00B44B19" w:rsidRDefault="007A2014" w:rsidP="007A2014">
            <w:pPr>
              <w:spacing w:after="0" w:line="240" w:lineRule="auto"/>
              <w:jc w:val="center"/>
              <w:rPr>
                <w:rFonts w:eastAsia="Times New Roman" w:cs="Times New Roman"/>
                <w:b/>
                <w:bCs/>
                <w:iCs/>
                <w:sz w:val="22"/>
                <w:lang w:eastAsia="lt-LT"/>
              </w:rPr>
            </w:pPr>
            <w:r w:rsidRPr="00B44B19">
              <w:rPr>
                <w:rFonts w:eastAsia="Times New Roman" w:cs="Times New Roman"/>
                <w:b/>
                <w:bCs/>
                <w:iCs/>
                <w:sz w:val="22"/>
                <w:lang w:eastAsia="lt-LT"/>
              </w:rPr>
              <w:t>Matavimo vienetas</w:t>
            </w:r>
          </w:p>
        </w:tc>
        <w:tc>
          <w:tcPr>
            <w:tcW w:w="992" w:type="dxa"/>
            <w:shd w:val="clear" w:color="auto" w:fill="DBE5F1" w:themeFill="accent1" w:themeFillTint="33"/>
            <w:vAlign w:val="center"/>
          </w:tcPr>
          <w:p w14:paraId="6151F925" w14:textId="77777777" w:rsidR="007A2014" w:rsidRPr="00B44B19" w:rsidRDefault="007A2014" w:rsidP="007A2014">
            <w:pPr>
              <w:spacing w:after="0" w:line="240" w:lineRule="auto"/>
              <w:jc w:val="center"/>
              <w:rPr>
                <w:rFonts w:eastAsia="Times New Roman" w:cs="Times New Roman"/>
                <w:b/>
                <w:bCs/>
                <w:iCs/>
                <w:sz w:val="22"/>
                <w:lang w:eastAsia="lt-LT"/>
              </w:rPr>
            </w:pPr>
            <w:r w:rsidRPr="00B44B19">
              <w:rPr>
                <w:rFonts w:eastAsia="Times New Roman" w:cs="Times New Roman"/>
                <w:b/>
                <w:bCs/>
                <w:iCs/>
                <w:sz w:val="22"/>
                <w:lang w:eastAsia="lt-LT"/>
              </w:rPr>
              <w:t>Pradinė reikšmė</w:t>
            </w:r>
          </w:p>
        </w:tc>
        <w:tc>
          <w:tcPr>
            <w:tcW w:w="1134" w:type="dxa"/>
            <w:shd w:val="clear" w:color="auto" w:fill="DBE5F1" w:themeFill="accent1" w:themeFillTint="33"/>
            <w:vAlign w:val="center"/>
          </w:tcPr>
          <w:p w14:paraId="20CFEAFE" w14:textId="77777777" w:rsidR="007A2014" w:rsidRPr="00B44B19" w:rsidRDefault="007A2014" w:rsidP="007A2014">
            <w:pPr>
              <w:spacing w:after="0" w:line="240" w:lineRule="auto"/>
              <w:jc w:val="center"/>
              <w:rPr>
                <w:rFonts w:eastAsia="Times New Roman" w:cs="Times New Roman"/>
                <w:b/>
                <w:bCs/>
                <w:iCs/>
                <w:sz w:val="22"/>
                <w:lang w:eastAsia="lt-LT"/>
              </w:rPr>
            </w:pPr>
            <w:r w:rsidRPr="00B44B19">
              <w:rPr>
                <w:rFonts w:eastAsia="Times New Roman" w:cs="Times New Roman"/>
                <w:b/>
                <w:bCs/>
                <w:iCs/>
                <w:sz w:val="22"/>
                <w:lang w:eastAsia="lt-LT"/>
              </w:rPr>
              <w:t>Pradinės reikšmės metai</w:t>
            </w:r>
          </w:p>
        </w:tc>
        <w:tc>
          <w:tcPr>
            <w:tcW w:w="992" w:type="dxa"/>
            <w:shd w:val="clear" w:color="auto" w:fill="DBE5F1" w:themeFill="accent1" w:themeFillTint="33"/>
            <w:vAlign w:val="center"/>
          </w:tcPr>
          <w:p w14:paraId="6376D0FD" w14:textId="77777777" w:rsidR="007A2014" w:rsidRPr="00B44B19" w:rsidRDefault="007A2014" w:rsidP="007A2014">
            <w:pPr>
              <w:spacing w:after="0" w:line="240" w:lineRule="auto"/>
              <w:jc w:val="center"/>
              <w:rPr>
                <w:rFonts w:eastAsia="Times New Roman" w:cs="Times New Roman"/>
                <w:b/>
                <w:bCs/>
                <w:iCs/>
                <w:sz w:val="22"/>
                <w:lang w:eastAsia="lt-LT"/>
              </w:rPr>
            </w:pPr>
            <w:r w:rsidRPr="00B44B19">
              <w:rPr>
                <w:rFonts w:eastAsia="Times New Roman" w:cs="Times New Roman"/>
                <w:b/>
                <w:bCs/>
                <w:iCs/>
                <w:sz w:val="22"/>
                <w:lang w:eastAsia="lt-LT"/>
              </w:rPr>
              <w:t>Siektina reikšmė (2030)</w:t>
            </w:r>
          </w:p>
        </w:tc>
        <w:tc>
          <w:tcPr>
            <w:tcW w:w="2127" w:type="dxa"/>
            <w:shd w:val="clear" w:color="auto" w:fill="DBE5F1" w:themeFill="accent1" w:themeFillTint="33"/>
            <w:vAlign w:val="center"/>
          </w:tcPr>
          <w:p w14:paraId="603C5505" w14:textId="77777777" w:rsidR="007A2014" w:rsidRPr="00B44B19" w:rsidRDefault="007A2014" w:rsidP="007A2014">
            <w:pPr>
              <w:spacing w:after="0" w:line="240" w:lineRule="auto"/>
              <w:jc w:val="center"/>
              <w:rPr>
                <w:rFonts w:eastAsia="Times New Roman" w:cs="Times New Roman"/>
                <w:b/>
                <w:bCs/>
                <w:iCs/>
                <w:sz w:val="22"/>
                <w:lang w:eastAsia="lt-LT"/>
              </w:rPr>
            </w:pPr>
            <w:r w:rsidRPr="00B44B19">
              <w:rPr>
                <w:rFonts w:eastAsia="Times New Roman" w:cs="Times New Roman"/>
                <w:b/>
                <w:bCs/>
                <w:iCs/>
                <w:sz w:val="22"/>
                <w:lang w:eastAsia="lt-LT"/>
              </w:rPr>
              <w:t>Šaltinis</w:t>
            </w:r>
          </w:p>
        </w:tc>
      </w:tr>
      <w:tr w:rsidR="007A2014" w:rsidRPr="00B44B19" w14:paraId="3FF53BCC" w14:textId="77777777" w:rsidTr="007A2014">
        <w:trPr>
          <w:trHeight w:val="197"/>
        </w:trPr>
        <w:tc>
          <w:tcPr>
            <w:tcW w:w="7371" w:type="dxa"/>
            <w:gridSpan w:val="5"/>
            <w:shd w:val="clear" w:color="auto" w:fill="F2F2F2" w:themeFill="background1" w:themeFillShade="F2"/>
            <w:vAlign w:val="center"/>
          </w:tcPr>
          <w:p w14:paraId="7DF416C3" w14:textId="77777777" w:rsidR="007A2014" w:rsidRPr="00B44B19" w:rsidRDefault="007A2014" w:rsidP="007A2014">
            <w:pPr>
              <w:spacing w:after="0" w:line="240" w:lineRule="auto"/>
              <w:jc w:val="both"/>
              <w:rPr>
                <w:rFonts w:eastAsia="Times New Roman" w:cs="Times New Roman"/>
                <w:b/>
                <w:bCs/>
                <w:iCs/>
                <w:sz w:val="22"/>
                <w:lang w:eastAsia="lt-LT"/>
              </w:rPr>
            </w:pPr>
            <w:r w:rsidRPr="00B44B19">
              <w:rPr>
                <w:rFonts w:eastAsia="Times New Roman" w:cs="Times New Roman"/>
                <w:b/>
                <w:bCs/>
                <w:iCs/>
                <w:sz w:val="22"/>
                <w:lang w:eastAsia="lt-LT"/>
              </w:rPr>
              <w:t>Produkto rodiklis</w:t>
            </w:r>
          </w:p>
        </w:tc>
        <w:tc>
          <w:tcPr>
            <w:tcW w:w="2127" w:type="dxa"/>
            <w:shd w:val="clear" w:color="auto" w:fill="F2F2F2" w:themeFill="background1" w:themeFillShade="F2"/>
          </w:tcPr>
          <w:p w14:paraId="181A31CD" w14:textId="77777777" w:rsidR="007A2014" w:rsidRPr="00B44B19" w:rsidRDefault="007A2014" w:rsidP="007A2014">
            <w:pPr>
              <w:spacing w:after="0" w:line="240" w:lineRule="auto"/>
              <w:jc w:val="both"/>
              <w:rPr>
                <w:rFonts w:eastAsia="Times New Roman" w:cs="Times New Roman"/>
                <w:b/>
                <w:bCs/>
                <w:iCs/>
                <w:sz w:val="22"/>
                <w:lang w:eastAsia="lt-LT"/>
              </w:rPr>
            </w:pPr>
          </w:p>
        </w:tc>
      </w:tr>
      <w:tr w:rsidR="007A2014" w:rsidRPr="00B44B19" w14:paraId="3CBAEB4F" w14:textId="77777777" w:rsidTr="007A2014">
        <w:trPr>
          <w:trHeight w:val="253"/>
        </w:trPr>
        <w:tc>
          <w:tcPr>
            <w:tcW w:w="2977" w:type="dxa"/>
            <w:vAlign w:val="center"/>
          </w:tcPr>
          <w:p w14:paraId="3E03CF09"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Įgyvendintos horizontalios matomumo, skaidrumo ir komunikacijos kampanijos</w:t>
            </w:r>
          </w:p>
        </w:tc>
        <w:tc>
          <w:tcPr>
            <w:tcW w:w="1276" w:type="dxa"/>
            <w:vAlign w:val="center"/>
          </w:tcPr>
          <w:p w14:paraId="332A6283" w14:textId="77777777" w:rsidR="007A2014" w:rsidRPr="00B44B19" w:rsidRDefault="007A2014" w:rsidP="00E67E5C">
            <w:pPr>
              <w:spacing w:after="0" w:line="240" w:lineRule="auto"/>
              <w:jc w:val="both"/>
              <w:rPr>
                <w:rFonts w:eastAsia="Times New Roman" w:cs="Times New Roman"/>
                <w:bCs/>
                <w:sz w:val="20"/>
                <w:szCs w:val="20"/>
                <w:lang w:eastAsia="lt-LT"/>
              </w:rPr>
            </w:pPr>
            <w:r w:rsidRPr="00B44B19">
              <w:rPr>
                <w:rFonts w:eastAsia="Times New Roman" w:cs="Times New Roman"/>
                <w:bCs/>
                <w:sz w:val="20"/>
                <w:szCs w:val="20"/>
                <w:lang w:eastAsia="lt-LT"/>
              </w:rPr>
              <w:t>skaičius</w:t>
            </w:r>
          </w:p>
        </w:tc>
        <w:tc>
          <w:tcPr>
            <w:tcW w:w="992" w:type="dxa"/>
            <w:vAlign w:val="center"/>
          </w:tcPr>
          <w:p w14:paraId="7C12180C"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w:t>
            </w:r>
          </w:p>
        </w:tc>
        <w:tc>
          <w:tcPr>
            <w:tcW w:w="1134" w:type="dxa"/>
            <w:vAlign w:val="center"/>
          </w:tcPr>
          <w:p w14:paraId="5D318A1B"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2021</w:t>
            </w:r>
          </w:p>
        </w:tc>
        <w:tc>
          <w:tcPr>
            <w:tcW w:w="992" w:type="dxa"/>
            <w:vAlign w:val="center"/>
          </w:tcPr>
          <w:p w14:paraId="508C107D"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25</w:t>
            </w:r>
          </w:p>
        </w:tc>
        <w:tc>
          <w:tcPr>
            <w:tcW w:w="2127" w:type="dxa"/>
          </w:tcPr>
          <w:p w14:paraId="28616DB8"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Metinio komunikacijos plano įgyvendinimo ataskaita</w:t>
            </w:r>
          </w:p>
        </w:tc>
      </w:tr>
      <w:tr w:rsidR="007A2014" w:rsidRPr="00B44B19" w14:paraId="7C93C8A4" w14:textId="77777777" w:rsidTr="007A2014">
        <w:trPr>
          <w:trHeight w:val="47"/>
        </w:trPr>
        <w:tc>
          <w:tcPr>
            <w:tcW w:w="7371" w:type="dxa"/>
            <w:gridSpan w:val="5"/>
            <w:shd w:val="clear" w:color="auto" w:fill="F2F2F2" w:themeFill="background1" w:themeFillShade="F2"/>
            <w:vAlign w:val="center"/>
          </w:tcPr>
          <w:p w14:paraId="69E209C4" w14:textId="77777777" w:rsidR="007A2014" w:rsidRPr="00B44B19" w:rsidRDefault="007A2014" w:rsidP="00E67E5C">
            <w:pPr>
              <w:spacing w:after="0" w:line="240" w:lineRule="auto"/>
              <w:jc w:val="both"/>
              <w:rPr>
                <w:rFonts w:eastAsia="Times New Roman" w:cs="Times New Roman"/>
                <w:bCs/>
                <w:iCs/>
                <w:sz w:val="22"/>
                <w:lang w:eastAsia="lt-LT"/>
              </w:rPr>
            </w:pPr>
            <w:r w:rsidRPr="00B44B19">
              <w:rPr>
                <w:rFonts w:eastAsia="Times New Roman" w:cs="Times New Roman"/>
                <w:b/>
                <w:bCs/>
                <w:iCs/>
                <w:sz w:val="22"/>
                <w:lang w:eastAsia="lt-LT"/>
              </w:rPr>
              <w:t>Rezultato rodikliai</w:t>
            </w:r>
          </w:p>
        </w:tc>
        <w:tc>
          <w:tcPr>
            <w:tcW w:w="2127" w:type="dxa"/>
            <w:shd w:val="clear" w:color="auto" w:fill="F2F2F2" w:themeFill="background1" w:themeFillShade="F2"/>
          </w:tcPr>
          <w:p w14:paraId="1F9D9CC4" w14:textId="77777777" w:rsidR="007A2014" w:rsidRPr="00B44B19" w:rsidRDefault="007A2014" w:rsidP="00E67E5C">
            <w:pPr>
              <w:spacing w:after="0" w:line="240" w:lineRule="auto"/>
              <w:rPr>
                <w:rFonts w:eastAsia="Times New Roman" w:cs="Times New Roman"/>
                <w:b/>
                <w:bCs/>
                <w:iCs/>
                <w:sz w:val="22"/>
                <w:lang w:eastAsia="lt-LT"/>
              </w:rPr>
            </w:pPr>
          </w:p>
        </w:tc>
      </w:tr>
      <w:tr w:rsidR="007A2014" w:rsidRPr="00B44B19" w14:paraId="26719D5C" w14:textId="77777777" w:rsidTr="007A2014">
        <w:trPr>
          <w:trHeight w:val="299"/>
        </w:trPr>
        <w:tc>
          <w:tcPr>
            <w:tcW w:w="2977" w:type="dxa"/>
          </w:tcPr>
          <w:p w14:paraId="4C8539AF"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Potencialių pareiškėjų, žinančių centralizuotą ES investicijų tinklalapį kaip pagrindinį informacijos apie ES investicijas Lietuvoje šaltinį, dalis</w:t>
            </w:r>
          </w:p>
        </w:tc>
        <w:tc>
          <w:tcPr>
            <w:tcW w:w="1276" w:type="dxa"/>
            <w:vAlign w:val="center"/>
          </w:tcPr>
          <w:p w14:paraId="2E02BD07" w14:textId="77777777" w:rsidR="007A2014" w:rsidRPr="00B44B19" w:rsidRDefault="007A2014" w:rsidP="00E67E5C">
            <w:pPr>
              <w:spacing w:after="0" w:line="240" w:lineRule="auto"/>
              <w:jc w:val="both"/>
              <w:rPr>
                <w:rFonts w:eastAsia="Times New Roman" w:cs="Times New Roman"/>
                <w:bCs/>
                <w:sz w:val="20"/>
                <w:szCs w:val="20"/>
                <w:lang w:eastAsia="lt-LT"/>
              </w:rPr>
            </w:pPr>
            <w:r w:rsidRPr="00B44B19">
              <w:rPr>
                <w:rFonts w:eastAsia="Times New Roman" w:cs="Times New Roman"/>
                <w:bCs/>
                <w:sz w:val="20"/>
                <w:szCs w:val="20"/>
                <w:lang w:eastAsia="lt-LT"/>
              </w:rPr>
              <w:t>proc.</w:t>
            </w:r>
          </w:p>
        </w:tc>
        <w:tc>
          <w:tcPr>
            <w:tcW w:w="992" w:type="dxa"/>
            <w:vAlign w:val="center"/>
          </w:tcPr>
          <w:p w14:paraId="3A1A6FD6"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70*</w:t>
            </w:r>
          </w:p>
        </w:tc>
        <w:tc>
          <w:tcPr>
            <w:tcW w:w="1134" w:type="dxa"/>
            <w:vAlign w:val="center"/>
          </w:tcPr>
          <w:p w14:paraId="23414AB9"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2021</w:t>
            </w:r>
          </w:p>
        </w:tc>
        <w:tc>
          <w:tcPr>
            <w:tcW w:w="992" w:type="dxa"/>
            <w:vAlign w:val="center"/>
          </w:tcPr>
          <w:p w14:paraId="1ADC56DA"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74*</w:t>
            </w:r>
          </w:p>
        </w:tc>
        <w:tc>
          <w:tcPr>
            <w:tcW w:w="2127" w:type="dxa"/>
          </w:tcPr>
          <w:p w14:paraId="11FCB327"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 xml:space="preserve">Potencialių pareiškėjų nuomonės tyrimas </w:t>
            </w:r>
          </w:p>
        </w:tc>
      </w:tr>
      <w:tr w:rsidR="007A2014" w:rsidRPr="00B44B19" w14:paraId="3AC3B7F2" w14:textId="77777777" w:rsidTr="007A2014">
        <w:trPr>
          <w:trHeight w:val="367"/>
        </w:trPr>
        <w:tc>
          <w:tcPr>
            <w:tcW w:w="2977" w:type="dxa"/>
          </w:tcPr>
          <w:p w14:paraId="6FAEA31E"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Projektų vykdytojų, kuriems pakanka informacijos, kaip tinkamai įgyvendinti projektą, dalis</w:t>
            </w:r>
          </w:p>
        </w:tc>
        <w:tc>
          <w:tcPr>
            <w:tcW w:w="1276" w:type="dxa"/>
            <w:vAlign w:val="center"/>
          </w:tcPr>
          <w:p w14:paraId="19B4A7CB" w14:textId="77777777" w:rsidR="007A2014" w:rsidRPr="00B44B19" w:rsidRDefault="007A2014" w:rsidP="00E67E5C">
            <w:pPr>
              <w:spacing w:after="0" w:line="240" w:lineRule="auto"/>
              <w:jc w:val="both"/>
              <w:rPr>
                <w:rFonts w:eastAsia="Times New Roman" w:cs="Times New Roman"/>
                <w:bCs/>
                <w:sz w:val="20"/>
                <w:szCs w:val="20"/>
                <w:lang w:eastAsia="lt-LT"/>
              </w:rPr>
            </w:pPr>
            <w:r w:rsidRPr="00B44B19">
              <w:rPr>
                <w:rFonts w:eastAsia="Times New Roman" w:cs="Times New Roman"/>
                <w:bCs/>
                <w:sz w:val="20"/>
                <w:szCs w:val="20"/>
                <w:lang w:eastAsia="lt-LT"/>
              </w:rPr>
              <w:t>proc.</w:t>
            </w:r>
          </w:p>
        </w:tc>
        <w:tc>
          <w:tcPr>
            <w:tcW w:w="992" w:type="dxa"/>
            <w:vAlign w:val="center"/>
          </w:tcPr>
          <w:p w14:paraId="4295CDD2"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86**</w:t>
            </w:r>
          </w:p>
        </w:tc>
        <w:tc>
          <w:tcPr>
            <w:tcW w:w="1134" w:type="dxa"/>
            <w:vAlign w:val="center"/>
          </w:tcPr>
          <w:p w14:paraId="0805B82D"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2021</w:t>
            </w:r>
          </w:p>
        </w:tc>
        <w:tc>
          <w:tcPr>
            <w:tcW w:w="992" w:type="dxa"/>
            <w:vAlign w:val="center"/>
          </w:tcPr>
          <w:p w14:paraId="5E774361"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88**</w:t>
            </w:r>
          </w:p>
        </w:tc>
        <w:tc>
          <w:tcPr>
            <w:tcW w:w="2127" w:type="dxa"/>
          </w:tcPr>
          <w:p w14:paraId="2060C073"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 xml:space="preserve">Projektų vykdytojų nuomonės tyrimas </w:t>
            </w:r>
          </w:p>
        </w:tc>
      </w:tr>
      <w:tr w:rsidR="007A2014" w:rsidRPr="00B44B19" w14:paraId="1795370C" w14:textId="77777777" w:rsidTr="007A2014">
        <w:trPr>
          <w:trHeight w:val="558"/>
        </w:trPr>
        <w:tc>
          <w:tcPr>
            <w:tcW w:w="2977" w:type="dxa"/>
          </w:tcPr>
          <w:p w14:paraId="0174934A"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Gyventojų, girdėjusių apie ES teikiamą finansinę paramą regionams ir miestams, dalis</w:t>
            </w:r>
          </w:p>
        </w:tc>
        <w:tc>
          <w:tcPr>
            <w:tcW w:w="1276" w:type="dxa"/>
            <w:vAlign w:val="center"/>
          </w:tcPr>
          <w:p w14:paraId="70431F39" w14:textId="77777777" w:rsidR="007A2014" w:rsidRPr="00B44B19" w:rsidRDefault="007A2014" w:rsidP="00E67E5C">
            <w:pPr>
              <w:spacing w:after="0" w:line="240" w:lineRule="auto"/>
              <w:jc w:val="both"/>
              <w:rPr>
                <w:rFonts w:eastAsia="Times New Roman" w:cs="Times New Roman"/>
                <w:bCs/>
                <w:sz w:val="20"/>
                <w:szCs w:val="20"/>
                <w:lang w:eastAsia="lt-LT"/>
              </w:rPr>
            </w:pPr>
            <w:r w:rsidRPr="00B44B19">
              <w:rPr>
                <w:rFonts w:eastAsia="Times New Roman" w:cs="Times New Roman"/>
                <w:bCs/>
                <w:sz w:val="20"/>
                <w:szCs w:val="20"/>
                <w:lang w:eastAsia="lt-LT"/>
              </w:rPr>
              <w:t>proc.</w:t>
            </w:r>
          </w:p>
        </w:tc>
        <w:tc>
          <w:tcPr>
            <w:tcW w:w="992" w:type="dxa"/>
            <w:vAlign w:val="center"/>
          </w:tcPr>
          <w:p w14:paraId="5A11C764"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61</w:t>
            </w:r>
          </w:p>
        </w:tc>
        <w:tc>
          <w:tcPr>
            <w:tcW w:w="1134" w:type="dxa"/>
            <w:vAlign w:val="center"/>
          </w:tcPr>
          <w:p w14:paraId="771B2C1B"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2019</w:t>
            </w:r>
          </w:p>
        </w:tc>
        <w:tc>
          <w:tcPr>
            <w:tcW w:w="992" w:type="dxa"/>
            <w:vAlign w:val="center"/>
          </w:tcPr>
          <w:p w14:paraId="6877ED69"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65</w:t>
            </w:r>
          </w:p>
        </w:tc>
        <w:tc>
          <w:tcPr>
            <w:tcW w:w="2127" w:type="dxa"/>
          </w:tcPr>
          <w:p w14:paraId="5BDBBAAC"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 xml:space="preserve">Eurobarometro tyrimas „Piliečių žinojimas ir supratimas apie ES regioninę politiką“ </w:t>
            </w:r>
          </w:p>
        </w:tc>
      </w:tr>
      <w:tr w:rsidR="007A2014" w:rsidRPr="00B44B19" w14:paraId="4110795F" w14:textId="77777777" w:rsidTr="007A2014">
        <w:trPr>
          <w:trHeight w:val="254"/>
        </w:trPr>
        <w:tc>
          <w:tcPr>
            <w:tcW w:w="2977" w:type="dxa"/>
          </w:tcPr>
          <w:p w14:paraId="526D83AD" w14:textId="77777777" w:rsidR="007A2014" w:rsidRPr="00B44B19" w:rsidRDefault="007A2014" w:rsidP="00E67E5C">
            <w:pPr>
              <w:spacing w:after="0" w:line="240" w:lineRule="auto"/>
              <w:rPr>
                <w:rFonts w:eastAsia="Times New Roman" w:cs="Times New Roman"/>
                <w:sz w:val="20"/>
                <w:szCs w:val="20"/>
                <w:lang w:eastAsia="lt-LT"/>
              </w:rPr>
            </w:pPr>
            <w:r w:rsidRPr="00B44B19">
              <w:rPr>
                <w:rFonts w:eastAsia="Times New Roman" w:cs="Times New Roman"/>
                <w:sz w:val="20"/>
                <w:szCs w:val="20"/>
                <w:lang w:eastAsia="lt-LT"/>
              </w:rPr>
              <w:t xml:space="preserve">Gyventojų, kurie asmeniškai pajuto ES investicijų naudą, dalis </w:t>
            </w:r>
          </w:p>
        </w:tc>
        <w:tc>
          <w:tcPr>
            <w:tcW w:w="1276" w:type="dxa"/>
            <w:vAlign w:val="center"/>
          </w:tcPr>
          <w:p w14:paraId="4E616627" w14:textId="77777777" w:rsidR="007A2014" w:rsidRPr="00B44B19" w:rsidRDefault="007A2014" w:rsidP="00E67E5C">
            <w:pPr>
              <w:spacing w:after="0" w:line="240" w:lineRule="auto"/>
              <w:jc w:val="both"/>
              <w:rPr>
                <w:rFonts w:eastAsia="Times New Roman" w:cs="Times New Roman"/>
                <w:bCs/>
                <w:sz w:val="20"/>
                <w:szCs w:val="20"/>
                <w:lang w:eastAsia="lt-LT"/>
              </w:rPr>
            </w:pPr>
            <w:r w:rsidRPr="00B44B19">
              <w:rPr>
                <w:rFonts w:eastAsia="Times New Roman" w:cs="Times New Roman"/>
                <w:bCs/>
                <w:sz w:val="20"/>
                <w:szCs w:val="20"/>
                <w:lang w:eastAsia="lt-LT"/>
              </w:rPr>
              <w:t xml:space="preserve">proc. </w:t>
            </w:r>
          </w:p>
        </w:tc>
        <w:tc>
          <w:tcPr>
            <w:tcW w:w="992" w:type="dxa"/>
            <w:vAlign w:val="center"/>
          </w:tcPr>
          <w:p w14:paraId="0998CC00" w14:textId="77777777" w:rsidR="007A2014" w:rsidRPr="00B44B19" w:rsidRDefault="007A2014" w:rsidP="00E67E5C">
            <w:pPr>
              <w:spacing w:after="0" w:line="240" w:lineRule="auto"/>
              <w:jc w:val="center"/>
              <w:rPr>
                <w:rFonts w:eastAsia="Times New Roman" w:cs="Times New Roman"/>
                <w:bCs/>
                <w:sz w:val="20"/>
                <w:szCs w:val="20"/>
                <w:lang w:val="en-GB" w:eastAsia="lt-LT"/>
              </w:rPr>
            </w:pPr>
            <w:r w:rsidRPr="00B44B19">
              <w:rPr>
                <w:rFonts w:eastAsia="Times New Roman" w:cs="Times New Roman"/>
                <w:bCs/>
                <w:sz w:val="20"/>
                <w:szCs w:val="20"/>
                <w:lang w:eastAsia="lt-LT"/>
              </w:rPr>
              <w:t>64</w:t>
            </w:r>
            <w:r w:rsidRPr="00B44B19">
              <w:rPr>
                <w:rFonts w:eastAsia="Times New Roman" w:cs="Times New Roman"/>
                <w:bCs/>
                <w:sz w:val="20"/>
                <w:szCs w:val="20"/>
                <w:lang w:val="en-GB" w:eastAsia="lt-LT"/>
              </w:rPr>
              <w:t>***</w:t>
            </w:r>
          </w:p>
        </w:tc>
        <w:tc>
          <w:tcPr>
            <w:tcW w:w="1134" w:type="dxa"/>
            <w:vAlign w:val="center"/>
          </w:tcPr>
          <w:p w14:paraId="45D6C9B5"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2021</w:t>
            </w:r>
          </w:p>
        </w:tc>
        <w:tc>
          <w:tcPr>
            <w:tcW w:w="992" w:type="dxa"/>
            <w:vAlign w:val="center"/>
          </w:tcPr>
          <w:p w14:paraId="5C04F6F3"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68***</w:t>
            </w:r>
          </w:p>
        </w:tc>
        <w:tc>
          <w:tcPr>
            <w:tcW w:w="2127" w:type="dxa"/>
          </w:tcPr>
          <w:p w14:paraId="4582AC15"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 xml:space="preserve">Visuomenės nuomonės tyrimas </w:t>
            </w:r>
          </w:p>
        </w:tc>
      </w:tr>
      <w:tr w:rsidR="007A2014" w:rsidRPr="00B44B19" w14:paraId="04AD6C68" w14:textId="77777777" w:rsidTr="007A2014">
        <w:trPr>
          <w:trHeight w:val="255"/>
        </w:trPr>
        <w:tc>
          <w:tcPr>
            <w:tcW w:w="2977" w:type="dxa"/>
          </w:tcPr>
          <w:p w14:paraId="300CFFE3"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Gyventojų, pritariančių, kad ES investicijos prisideda prie teigiamų gyvenimo kokybės pokyčių Lietuvoje, dalis</w:t>
            </w:r>
          </w:p>
        </w:tc>
        <w:tc>
          <w:tcPr>
            <w:tcW w:w="1276" w:type="dxa"/>
            <w:vAlign w:val="center"/>
          </w:tcPr>
          <w:p w14:paraId="7DC18127" w14:textId="77777777" w:rsidR="007A2014" w:rsidRPr="00B44B19" w:rsidRDefault="007A2014" w:rsidP="00E67E5C">
            <w:pPr>
              <w:spacing w:after="0" w:line="240" w:lineRule="auto"/>
              <w:jc w:val="both"/>
              <w:rPr>
                <w:rFonts w:eastAsia="Times New Roman" w:cs="Times New Roman"/>
                <w:bCs/>
                <w:sz w:val="20"/>
                <w:szCs w:val="20"/>
                <w:lang w:eastAsia="lt-LT"/>
              </w:rPr>
            </w:pPr>
            <w:r w:rsidRPr="00B44B19">
              <w:rPr>
                <w:rFonts w:eastAsia="Times New Roman" w:cs="Times New Roman"/>
                <w:bCs/>
                <w:sz w:val="20"/>
                <w:szCs w:val="20"/>
                <w:lang w:eastAsia="lt-LT"/>
              </w:rPr>
              <w:t xml:space="preserve">proc. </w:t>
            </w:r>
          </w:p>
        </w:tc>
        <w:tc>
          <w:tcPr>
            <w:tcW w:w="992" w:type="dxa"/>
            <w:vAlign w:val="center"/>
          </w:tcPr>
          <w:p w14:paraId="03849F45"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72*</w:t>
            </w:r>
          </w:p>
        </w:tc>
        <w:tc>
          <w:tcPr>
            <w:tcW w:w="1134" w:type="dxa"/>
            <w:vAlign w:val="center"/>
          </w:tcPr>
          <w:p w14:paraId="11DED556"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2021</w:t>
            </w:r>
          </w:p>
        </w:tc>
        <w:tc>
          <w:tcPr>
            <w:tcW w:w="992" w:type="dxa"/>
            <w:vAlign w:val="center"/>
          </w:tcPr>
          <w:p w14:paraId="2CAB11B8" w14:textId="77777777" w:rsidR="007A2014" w:rsidRPr="00B44B19" w:rsidRDefault="007A2014" w:rsidP="00E67E5C">
            <w:pPr>
              <w:spacing w:after="0" w:line="240" w:lineRule="auto"/>
              <w:jc w:val="center"/>
              <w:rPr>
                <w:rFonts w:eastAsia="Times New Roman" w:cs="Times New Roman"/>
                <w:bCs/>
                <w:sz w:val="20"/>
                <w:szCs w:val="20"/>
                <w:lang w:eastAsia="lt-LT"/>
              </w:rPr>
            </w:pPr>
            <w:r w:rsidRPr="00B44B19">
              <w:rPr>
                <w:rFonts w:eastAsia="Times New Roman" w:cs="Times New Roman"/>
                <w:bCs/>
                <w:sz w:val="20"/>
                <w:szCs w:val="20"/>
                <w:lang w:eastAsia="lt-LT"/>
              </w:rPr>
              <w:t>76*</w:t>
            </w:r>
          </w:p>
        </w:tc>
        <w:tc>
          <w:tcPr>
            <w:tcW w:w="2127" w:type="dxa"/>
          </w:tcPr>
          <w:p w14:paraId="39D392A4" w14:textId="77777777" w:rsidR="007A2014" w:rsidRPr="00B44B19" w:rsidRDefault="007A2014" w:rsidP="00E67E5C">
            <w:pPr>
              <w:spacing w:after="0" w:line="240" w:lineRule="auto"/>
              <w:rPr>
                <w:rFonts w:eastAsia="Times New Roman" w:cs="Times New Roman"/>
                <w:bCs/>
                <w:sz w:val="20"/>
                <w:szCs w:val="20"/>
                <w:lang w:eastAsia="lt-LT"/>
              </w:rPr>
            </w:pPr>
            <w:r w:rsidRPr="00B44B19">
              <w:rPr>
                <w:rFonts w:eastAsia="Times New Roman" w:cs="Times New Roman"/>
                <w:bCs/>
                <w:sz w:val="20"/>
                <w:szCs w:val="20"/>
                <w:lang w:eastAsia="lt-LT"/>
              </w:rPr>
              <w:t xml:space="preserve">Visuomenės nuomonės tyrimas </w:t>
            </w:r>
          </w:p>
        </w:tc>
      </w:tr>
    </w:tbl>
    <w:p w14:paraId="0C24888F" w14:textId="77777777" w:rsidR="007A2014" w:rsidRPr="00B44B19" w:rsidRDefault="007A2014" w:rsidP="007A2014">
      <w:pPr>
        <w:spacing w:after="0" w:line="240" w:lineRule="auto"/>
        <w:jc w:val="both"/>
        <w:rPr>
          <w:rFonts w:eastAsia="Calibri" w:cs="Times New Roman"/>
          <w:sz w:val="22"/>
          <w:lang w:eastAsia="lt-LT" w:bidi="lt-LT"/>
        </w:rPr>
      </w:pPr>
      <w:r w:rsidRPr="00B44B19">
        <w:rPr>
          <w:rFonts w:eastAsia="Calibri" w:cs="Times New Roman"/>
          <w:sz w:val="22"/>
          <w:lang w:eastAsia="lt-LT" w:bidi="lt-LT"/>
        </w:rPr>
        <w:t xml:space="preserve">   * skaičiuojami „visiškai sutinku+greičiau sutinku“ atsakymai </w:t>
      </w:r>
    </w:p>
    <w:p w14:paraId="709780F5" w14:textId="77777777" w:rsidR="007A2014" w:rsidRPr="00B44B19" w:rsidRDefault="007A2014" w:rsidP="007A2014">
      <w:pPr>
        <w:spacing w:after="0" w:line="240" w:lineRule="auto"/>
        <w:jc w:val="both"/>
        <w:rPr>
          <w:rFonts w:eastAsia="Calibri" w:cs="Times New Roman"/>
          <w:sz w:val="22"/>
          <w:lang w:eastAsia="lt-LT" w:bidi="lt-LT"/>
        </w:rPr>
      </w:pPr>
      <w:r w:rsidRPr="00B44B19">
        <w:rPr>
          <w:rFonts w:eastAsia="Calibri" w:cs="Times New Roman"/>
          <w:sz w:val="22"/>
          <w:lang w:eastAsia="lt-LT" w:bidi="lt-LT"/>
        </w:rPr>
        <w:t xml:space="preserve"> ** skaičiuojami „sutinku+visiškai sutinku“ atsakymai</w:t>
      </w:r>
    </w:p>
    <w:p w14:paraId="19832EE3" w14:textId="316DBFC5" w:rsidR="00192446" w:rsidRPr="00B44B19" w:rsidRDefault="007A2014" w:rsidP="00192446">
      <w:pPr>
        <w:spacing w:after="0" w:line="240" w:lineRule="auto"/>
        <w:jc w:val="both"/>
        <w:rPr>
          <w:rFonts w:eastAsia="Calibri" w:cs="Times New Roman"/>
          <w:sz w:val="22"/>
          <w:lang w:eastAsia="lt-LT" w:bidi="lt-LT"/>
        </w:rPr>
      </w:pPr>
      <w:r w:rsidRPr="00B44B19">
        <w:rPr>
          <w:rFonts w:eastAsia="Calibri" w:cs="Times New Roman"/>
          <w:sz w:val="22"/>
          <w:lang w:eastAsia="lt-LT" w:bidi="lt-LT"/>
        </w:rPr>
        <w:t>***skaičiuojami „pajutau+greičiau pajutau“ atsakymai</w:t>
      </w:r>
    </w:p>
    <w:sectPr w:rsidR="00192446" w:rsidRPr="00B44B19" w:rsidSect="00931C78">
      <w:headerReference w:type="even" r:id="rId41"/>
      <w:headerReference w:type="default" r:id="rId42"/>
      <w:footerReference w:type="even" r:id="rId43"/>
      <w:footerReference w:type="default" r:id="rId44"/>
      <w:headerReference w:type="first" r:id="rId4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F277" w14:textId="77777777" w:rsidR="0057790B" w:rsidRDefault="0057790B" w:rsidP="00BF3725">
      <w:pPr>
        <w:spacing w:after="0" w:line="240" w:lineRule="auto"/>
      </w:pPr>
      <w:r>
        <w:separator/>
      </w:r>
    </w:p>
  </w:endnote>
  <w:endnote w:type="continuationSeparator" w:id="0">
    <w:p w14:paraId="79A61E61" w14:textId="77777777" w:rsidR="0057790B" w:rsidRDefault="0057790B" w:rsidP="00BF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87451"/>
      <w:docPartObj>
        <w:docPartGallery w:val="Page Numbers (Bottom of Page)"/>
        <w:docPartUnique/>
      </w:docPartObj>
    </w:sdtPr>
    <w:sdtEndPr/>
    <w:sdtContent>
      <w:p w14:paraId="76FC1D70" w14:textId="77777777" w:rsidR="0019116C" w:rsidRDefault="0019116C" w:rsidP="00F538D0">
        <w:pPr>
          <w:pStyle w:val="Porat"/>
          <w:jc w:val="center"/>
        </w:pPr>
        <w:r>
          <w:fldChar w:fldCharType="begin"/>
        </w:r>
        <w:r>
          <w:instrText>PAGE   \* MERGEFORMAT</w:instrText>
        </w:r>
        <w:r>
          <w:fldChar w:fldCharType="separate"/>
        </w:r>
        <w:r w:rsidR="00EF7F7D">
          <w:rPr>
            <w:noProof/>
          </w:rPr>
          <w:t>189</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2414" w14:textId="77777777" w:rsidR="0087201A" w:rsidRDefault="0087201A">
    <w:pPr>
      <w:pStyle w:val="Porat"/>
      <w:jc w:val="center"/>
    </w:pPr>
    <w:r>
      <w:fldChar w:fldCharType="begin"/>
    </w:r>
    <w:r>
      <w:instrText xml:space="preserve"> PAGE   \* MERGEFORMAT </w:instrText>
    </w:r>
    <w:r>
      <w:fldChar w:fldCharType="separate"/>
    </w:r>
    <w:r>
      <w:rPr>
        <w:noProof/>
      </w:rPr>
      <w:t>5</w:t>
    </w:r>
    <w:r>
      <w:fldChar w:fldCharType="end"/>
    </w:r>
  </w:p>
  <w:p w14:paraId="00F3FF3E" w14:textId="77777777" w:rsidR="0087201A" w:rsidRDefault="0087201A">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543D" w14:textId="77777777" w:rsidR="0087201A" w:rsidRDefault="0087201A">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1C3A" w14:textId="77777777" w:rsidR="0087201A" w:rsidRDefault="0087201A">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DAFC" w14:textId="77777777" w:rsidR="0087201A" w:rsidRDefault="0087201A">
    <w:pPr>
      <w:pStyle w:val="Porat"/>
      <w:jc w:val="center"/>
    </w:pPr>
    <w:r>
      <w:fldChar w:fldCharType="begin"/>
    </w:r>
    <w:r>
      <w:instrText xml:space="preserve"> PAGE   \* MERGEFORMAT </w:instrText>
    </w:r>
    <w:r>
      <w:fldChar w:fldCharType="separate"/>
    </w:r>
    <w:r>
      <w:rPr>
        <w:noProof/>
      </w:rPr>
      <w:t>5</w:t>
    </w:r>
    <w:r>
      <w:fldChar w:fldCharType="end"/>
    </w:r>
  </w:p>
  <w:p w14:paraId="3B42A67A" w14:textId="77777777" w:rsidR="0087201A" w:rsidRDefault="0087201A">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052691"/>
      <w:docPartObj>
        <w:docPartGallery w:val="Page Numbers (Bottom of Page)"/>
        <w:docPartUnique/>
      </w:docPartObj>
    </w:sdtPr>
    <w:sdtEndPr>
      <w:rPr>
        <w:noProof/>
      </w:rPr>
    </w:sdtEndPr>
    <w:sdtContent>
      <w:p w14:paraId="2814A04E" w14:textId="77777777" w:rsidR="0087201A" w:rsidRDefault="0087201A">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3A5691D3" w14:textId="77777777" w:rsidR="0087201A" w:rsidRDefault="0087201A">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CB45" w14:textId="77777777" w:rsidR="00960459" w:rsidRDefault="00960459">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22864"/>
      <w:docPartObj>
        <w:docPartGallery w:val="Page Numbers (Bottom of Page)"/>
        <w:docPartUnique/>
      </w:docPartObj>
    </w:sdtPr>
    <w:sdtEndPr>
      <w:rPr>
        <w:noProof/>
      </w:rPr>
    </w:sdtEndPr>
    <w:sdtContent>
      <w:p w14:paraId="708541EA" w14:textId="77777777" w:rsidR="00960459" w:rsidRDefault="00960459">
        <w:pPr>
          <w:pStyle w:val="Porat"/>
          <w:jc w:val="center"/>
        </w:pPr>
        <w:r>
          <w:fldChar w:fldCharType="begin"/>
        </w:r>
        <w:r>
          <w:instrText xml:space="preserve"> PAGE   \* MERGEFORMAT </w:instrText>
        </w:r>
        <w:r>
          <w:fldChar w:fldCharType="separate"/>
        </w:r>
        <w:r>
          <w:rPr>
            <w:noProof/>
          </w:rPr>
          <w:t>199</w:t>
        </w:r>
        <w:r>
          <w:rPr>
            <w:noProof/>
          </w:rPr>
          <w:fldChar w:fldCharType="end"/>
        </w:r>
      </w:p>
    </w:sdtContent>
  </w:sdt>
  <w:p w14:paraId="433E9509" w14:textId="77777777" w:rsidR="00960459" w:rsidRDefault="00960459">
    <w:pPr>
      <w:pStyle w:val="Porat"/>
      <w:pBdr>
        <w:top w:val="single" w:sz="4" w:space="1" w:color="808080"/>
      </w:pBdr>
      <w:jc w:val="right"/>
      <w:rPr>
        <w:rStyle w:val="Puslapionumeris"/>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F7C5" w14:textId="77777777" w:rsidR="0019116C" w:rsidRDefault="0019116C">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6367"/>
      <w:docPartObj>
        <w:docPartGallery w:val="Page Numbers (Bottom of Page)"/>
        <w:docPartUnique/>
      </w:docPartObj>
    </w:sdtPr>
    <w:sdtEndPr>
      <w:rPr>
        <w:noProof/>
      </w:rPr>
    </w:sdtEndPr>
    <w:sdtContent>
      <w:p w14:paraId="5F21D036" w14:textId="77777777" w:rsidR="0019116C" w:rsidRDefault="0019116C">
        <w:pPr>
          <w:pStyle w:val="Porat"/>
          <w:jc w:val="center"/>
        </w:pPr>
        <w:r>
          <w:fldChar w:fldCharType="begin"/>
        </w:r>
        <w:r>
          <w:instrText xml:space="preserve"> PAGE   \* MERGEFORMAT </w:instrText>
        </w:r>
        <w:r>
          <w:fldChar w:fldCharType="separate"/>
        </w:r>
        <w:r w:rsidR="00EF7F7D">
          <w:rPr>
            <w:noProof/>
          </w:rPr>
          <w:t>199</w:t>
        </w:r>
        <w:r>
          <w:rPr>
            <w:noProof/>
          </w:rPr>
          <w:fldChar w:fldCharType="end"/>
        </w:r>
      </w:p>
    </w:sdtContent>
  </w:sdt>
  <w:p w14:paraId="2F3D9CBB" w14:textId="77777777" w:rsidR="0019116C" w:rsidRDefault="0019116C">
    <w:pPr>
      <w:pStyle w:val="Porat"/>
      <w:pBdr>
        <w:top w:val="single" w:sz="4" w:space="1" w:color="808080"/>
      </w:pBdr>
      <w:jc w:val="right"/>
      <w:rPr>
        <w:rStyle w:val="Puslapionumer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65378"/>
      <w:docPartObj>
        <w:docPartGallery w:val="Page Numbers (Bottom of Page)"/>
        <w:docPartUnique/>
      </w:docPartObj>
    </w:sdtPr>
    <w:sdtEndPr/>
    <w:sdtContent>
      <w:p w14:paraId="0FA7F99D" w14:textId="77777777" w:rsidR="0019116C" w:rsidRDefault="0019116C">
        <w:pPr>
          <w:pStyle w:val="Porat"/>
          <w:jc w:val="center"/>
        </w:pPr>
        <w:r>
          <w:fldChar w:fldCharType="begin"/>
        </w:r>
        <w:r>
          <w:instrText>PAGE   \* MERGEFORMAT</w:instrText>
        </w:r>
        <w:r>
          <w:fldChar w:fldCharType="separate"/>
        </w:r>
        <w:r w:rsidR="00EF7F7D">
          <w:rPr>
            <w:noProof/>
          </w:rPr>
          <w:t>1</w:t>
        </w:r>
        <w:r>
          <w:fldChar w:fldCharType="end"/>
        </w:r>
      </w:p>
    </w:sdtContent>
  </w:sdt>
  <w:p w14:paraId="3A1FC252" w14:textId="77777777" w:rsidR="0019116C" w:rsidRDefault="001911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77577"/>
      <w:docPartObj>
        <w:docPartGallery w:val="Page Numbers (Bottom of Page)"/>
        <w:docPartUnique/>
      </w:docPartObj>
    </w:sdtPr>
    <w:sdtEndPr>
      <w:rPr>
        <w:noProof/>
      </w:rPr>
    </w:sdtEndPr>
    <w:sdtContent>
      <w:p w14:paraId="7E0FE448" w14:textId="77777777" w:rsidR="0019116C" w:rsidRDefault="0019116C">
        <w:pPr>
          <w:pStyle w:val="Porat"/>
          <w:jc w:val="center"/>
        </w:pPr>
        <w:r>
          <w:fldChar w:fldCharType="begin"/>
        </w:r>
        <w:r>
          <w:instrText xml:space="preserve"> PAGE   \* MERGEFORMAT </w:instrText>
        </w:r>
        <w:r>
          <w:fldChar w:fldCharType="separate"/>
        </w:r>
        <w:r>
          <w:rPr>
            <w:noProof/>
          </w:rPr>
          <w:t>188</w:t>
        </w:r>
        <w:r>
          <w:rPr>
            <w:noProof/>
          </w:rPr>
          <w:fldChar w:fldCharType="end"/>
        </w:r>
      </w:p>
    </w:sdtContent>
  </w:sdt>
  <w:p w14:paraId="42B5A40E" w14:textId="77777777" w:rsidR="0019116C" w:rsidRDefault="0019116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53622"/>
      <w:docPartObj>
        <w:docPartGallery w:val="Page Numbers (Bottom of Page)"/>
        <w:docPartUnique/>
      </w:docPartObj>
    </w:sdtPr>
    <w:sdtEndPr>
      <w:rPr>
        <w:noProof/>
      </w:rPr>
    </w:sdtEndPr>
    <w:sdtContent>
      <w:p w14:paraId="4935A0F5" w14:textId="77777777" w:rsidR="0019116C" w:rsidRDefault="0019116C">
        <w:pPr>
          <w:pStyle w:val="Porat"/>
          <w:jc w:val="center"/>
        </w:pPr>
        <w:r>
          <w:fldChar w:fldCharType="begin"/>
        </w:r>
        <w:r>
          <w:instrText xml:space="preserve"> PAGE   \* MERGEFORMAT </w:instrText>
        </w:r>
        <w:r>
          <w:fldChar w:fldCharType="separate"/>
        </w:r>
        <w:r w:rsidR="00EF7F7D">
          <w:rPr>
            <w:noProof/>
          </w:rPr>
          <w:t>190</w:t>
        </w:r>
        <w:r>
          <w:rPr>
            <w:noProof/>
          </w:rPr>
          <w:fldChar w:fldCharType="end"/>
        </w:r>
      </w:p>
    </w:sdtContent>
  </w:sdt>
  <w:p w14:paraId="296CB856" w14:textId="77777777" w:rsidR="0019116C" w:rsidRDefault="0019116C">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24F7" w14:textId="77777777" w:rsidR="00B233AD" w:rsidRDefault="00B233AD">
    <w:pPr>
      <w:pStyle w:val="Porat"/>
      <w:jc w:val="center"/>
    </w:pPr>
  </w:p>
  <w:p w14:paraId="42A7F8D6" w14:textId="77777777" w:rsidR="00B233AD" w:rsidRDefault="00B233A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647755"/>
      <w:docPartObj>
        <w:docPartGallery w:val="Page Numbers (Bottom of Page)"/>
        <w:docPartUnique/>
      </w:docPartObj>
    </w:sdtPr>
    <w:sdtEndPr>
      <w:rPr>
        <w:noProof/>
      </w:rPr>
    </w:sdtEndPr>
    <w:sdtContent>
      <w:p w14:paraId="31E25637" w14:textId="77777777" w:rsidR="0087201A" w:rsidRDefault="0087201A">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531239B8" w14:textId="77777777" w:rsidR="0087201A" w:rsidRDefault="0087201A">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685"/>
      <w:docPartObj>
        <w:docPartGallery w:val="Page Numbers (Bottom of Page)"/>
        <w:docPartUnique/>
      </w:docPartObj>
    </w:sdtPr>
    <w:sdtEndPr>
      <w:rPr>
        <w:noProof/>
      </w:rPr>
    </w:sdtEndPr>
    <w:sdtContent>
      <w:p w14:paraId="707E2182" w14:textId="77777777" w:rsidR="0087201A" w:rsidRDefault="0087201A">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31D87249" w14:textId="77777777" w:rsidR="0087201A" w:rsidRDefault="0087201A">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16730"/>
      <w:docPartObj>
        <w:docPartGallery w:val="Page Numbers (Bottom of Page)"/>
        <w:docPartUnique/>
      </w:docPartObj>
    </w:sdtPr>
    <w:sdtEndPr>
      <w:rPr>
        <w:noProof/>
      </w:rPr>
    </w:sdtEndPr>
    <w:sdtContent>
      <w:p w14:paraId="773B4613" w14:textId="77777777" w:rsidR="0087201A" w:rsidRDefault="0087201A">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37FC3F03" w14:textId="77777777" w:rsidR="0087201A" w:rsidRDefault="0087201A">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249372"/>
      <w:docPartObj>
        <w:docPartGallery w:val="Page Numbers (Bottom of Page)"/>
        <w:docPartUnique/>
      </w:docPartObj>
    </w:sdtPr>
    <w:sdtEndPr>
      <w:rPr>
        <w:noProof/>
      </w:rPr>
    </w:sdtEndPr>
    <w:sdtContent>
      <w:p w14:paraId="0637AD19" w14:textId="77777777" w:rsidR="0087201A" w:rsidRDefault="0087201A">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20F83A7A" w14:textId="77777777" w:rsidR="0087201A" w:rsidRDefault="008720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C9B0" w14:textId="77777777" w:rsidR="0057790B" w:rsidRDefault="0057790B" w:rsidP="00BF3725">
      <w:pPr>
        <w:spacing w:after="0" w:line="240" w:lineRule="auto"/>
      </w:pPr>
      <w:r>
        <w:separator/>
      </w:r>
    </w:p>
  </w:footnote>
  <w:footnote w:type="continuationSeparator" w:id="0">
    <w:p w14:paraId="32CCA990" w14:textId="77777777" w:rsidR="0057790B" w:rsidRDefault="0057790B" w:rsidP="00BF3725">
      <w:pPr>
        <w:spacing w:after="0" w:line="240" w:lineRule="auto"/>
      </w:pPr>
      <w:r>
        <w:continuationSeparator/>
      </w:r>
    </w:p>
  </w:footnote>
  <w:footnote w:id="1">
    <w:p w14:paraId="5CD68798" w14:textId="77777777" w:rsidR="0019116C" w:rsidRDefault="0019116C" w:rsidP="00C92BB5">
      <w:pPr>
        <w:pStyle w:val="Puslapioinaostekstas"/>
      </w:pPr>
      <w:r w:rsidRPr="0095093F">
        <w:rPr>
          <w:rStyle w:val="Puslapioinaosnuoroda"/>
        </w:rPr>
        <w:footnoteRef/>
      </w:r>
      <w:r w:rsidRPr="0095093F">
        <w:t xml:space="preserve"> </w:t>
      </w:r>
      <w:hyperlink r:id="rId1" w:history="1">
        <w:r w:rsidRPr="0095093F">
          <w:rPr>
            <w:rStyle w:val="Hipersaitas"/>
          </w:rPr>
          <w:t>https://am.lrv.lt/uploads/am/documents/files/PAF%202022%2003%2015-galutinis%20PDF(1).pdf</w:t>
        </w:r>
      </w:hyperlink>
    </w:p>
  </w:footnote>
  <w:footnote w:id="2">
    <w:p w14:paraId="2D1CBAE5" w14:textId="77777777" w:rsidR="0019116C" w:rsidRDefault="0019116C" w:rsidP="00A2580C">
      <w:pPr>
        <w:pStyle w:val="Puslapioinaostekstas"/>
      </w:pPr>
      <w:r>
        <w:rPr>
          <w:rStyle w:val="Puslapioinaosnuoroda"/>
        </w:rPr>
        <w:footnoteRef/>
      </w:r>
      <w:r>
        <w:t xml:space="preserve"> Planuojama sukurti vieną nacionalinį savanoriškos veiklos modelį, kuris bus taikomas Sostinės ir VVL regionuose.</w:t>
      </w:r>
    </w:p>
  </w:footnote>
  <w:footnote w:id="3">
    <w:p w14:paraId="4CAE6CF1" w14:textId="77777777" w:rsidR="0019116C" w:rsidRPr="00417E37" w:rsidRDefault="0019116C" w:rsidP="00051BD4">
      <w:pPr>
        <w:pStyle w:val="Puslapioinaostekstas"/>
        <w:jc w:val="both"/>
        <w:rPr>
          <w:rFonts w:cs="Times New Roman"/>
        </w:rPr>
      </w:pPr>
      <w:r w:rsidRPr="00B82433">
        <w:rPr>
          <w:rStyle w:val="Puslapioinaosnuoroda"/>
          <w:rFonts w:cs="Times New Roman"/>
        </w:rPr>
        <w:footnoteRef/>
      </w:r>
      <w:r w:rsidRPr="00B82433">
        <w:rPr>
          <w:rFonts w:cs="Times New Roman"/>
        </w:rPr>
        <w:t xml:space="preserve"> </w:t>
      </w:r>
      <w:r w:rsidRPr="00B82433">
        <w:rPr>
          <w:rFonts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 w:id="4">
    <w:p w14:paraId="4856A18E" w14:textId="77777777" w:rsidR="0087201A" w:rsidRPr="00570E13" w:rsidRDefault="0087201A" w:rsidP="0087201A">
      <w:pPr>
        <w:pStyle w:val="Puslapioinaostekstas"/>
        <w:rPr>
          <w:rFonts w:cs="Times New Roman"/>
        </w:rPr>
      </w:pPr>
      <w:r w:rsidRPr="00570E13">
        <w:rPr>
          <w:rStyle w:val="Puslapioinaosnuoroda"/>
          <w:rFonts w:cs="Times New Roman"/>
        </w:rPr>
        <w:footnoteRef/>
      </w:r>
      <w:r w:rsidRPr="00570E13">
        <w:rPr>
          <w:rFonts w:cs="Times New Roman"/>
        </w:rPr>
        <w:t xml:space="preserve"> 2022 m. gruodžio 14 d. Europos Parlamento ir Tarybos direktyva (ES) 2022/2557 dėl ypatingos svarbos subjektų atsparumo, kuria panaikinama Tarybos direktyva 2008/114/EB;</w:t>
      </w:r>
    </w:p>
  </w:footnote>
  <w:footnote w:id="5">
    <w:p w14:paraId="3E80AA90" w14:textId="77777777" w:rsidR="0087201A" w:rsidRPr="00570E13" w:rsidRDefault="0087201A" w:rsidP="0087201A">
      <w:pPr>
        <w:pStyle w:val="Puslapioinaostekstas"/>
        <w:rPr>
          <w:rFonts w:cs="Times New Roman"/>
        </w:rPr>
      </w:pPr>
      <w:r w:rsidRPr="00570E13">
        <w:rPr>
          <w:rStyle w:val="Puslapioinaosnuoroda"/>
          <w:rFonts w:cs="Times New Roman"/>
        </w:rPr>
        <w:footnoteRef/>
      </w:r>
      <w:r w:rsidRPr="00570E13">
        <w:rPr>
          <w:rFonts w:cs="Times New Roman"/>
        </w:rPr>
        <w:t xml:space="preserve"> 2022 m. gruodžio 14 d. Europos Parlamento ir Tarybos direktyva (ES) 2022/2555 dėl priemonių aukštam bendram kibernetinio saugumo lygiui visoje Sąjungoje užtikrinti, kuria iš dalies keičiamas Reglamentas (ES) Nr. 910/2014 ir Direktyva (ES) 2018/1972 ir panaikinama Direktyva (ES) 2016/1148 (TIS 2 direktyva);</w:t>
      </w:r>
    </w:p>
  </w:footnote>
  <w:footnote w:id="6">
    <w:p w14:paraId="691C3851" w14:textId="77777777" w:rsidR="0087201A" w:rsidRPr="00570E13" w:rsidRDefault="0087201A" w:rsidP="0087201A">
      <w:pPr>
        <w:pStyle w:val="Puslapioinaostekstas"/>
        <w:rPr>
          <w:rFonts w:cs="Times New Roman"/>
        </w:rPr>
      </w:pPr>
      <w:r w:rsidRPr="00570E13">
        <w:rPr>
          <w:rStyle w:val="Puslapioinaosnuoroda"/>
          <w:rFonts w:cs="Times New Roman"/>
        </w:rPr>
        <w:footnoteRef/>
      </w:r>
      <w:r w:rsidRPr="00570E13">
        <w:rPr>
          <w:rFonts w:cs="Times New Roman"/>
        </w:rPr>
        <w:t xml:space="preserve"> 2018 m. birželio 6 d. LRV nutarimas Nr. 558 dėl Konkrečių nacionaliniam saugumui užtikrinti svarbių įrenginių ir turto sąrašo patvirtinimo;</w:t>
      </w:r>
    </w:p>
  </w:footnote>
  <w:footnote w:id="7">
    <w:p w14:paraId="7AA96BBD" w14:textId="77777777" w:rsidR="0087201A" w:rsidRPr="00570E13" w:rsidRDefault="0087201A" w:rsidP="0087201A">
      <w:pPr>
        <w:pStyle w:val="Puslapioinaostekstas"/>
        <w:rPr>
          <w:rFonts w:cs="Times New Roman"/>
        </w:rPr>
      </w:pPr>
      <w:r w:rsidRPr="00570E13">
        <w:rPr>
          <w:rStyle w:val="Puslapioinaosnuoroda"/>
          <w:rFonts w:cs="Times New Roman"/>
        </w:rPr>
        <w:footnoteRef/>
      </w:r>
      <w:r w:rsidRPr="00570E13">
        <w:rPr>
          <w:rFonts w:cs="Times New Roman"/>
        </w:rPr>
        <w:t xml:space="preserve"> </w:t>
      </w:r>
      <w:r w:rsidRPr="00570E13">
        <w:rPr>
          <w:rFonts w:cs="Times New Roman"/>
          <w:lang w:val="lt"/>
        </w:rPr>
        <w:t>Nacionaliniam saugumui užtikrinti svarbių įmonių saugumo planas privalo būti suderintas su Viešojo saugumo tarnyba prie Vidaus reikalų ministerijos, Lietuvos Respublikos krašto apsaugos ministerija, Lietuvos Respublikos aplinkos ministerija, Lietuvos policija;</w:t>
      </w:r>
    </w:p>
  </w:footnote>
  <w:footnote w:id="8">
    <w:p w14:paraId="50973C94" w14:textId="77777777" w:rsidR="0087201A" w:rsidRPr="00570E13" w:rsidRDefault="0087201A" w:rsidP="0087201A">
      <w:pPr>
        <w:pStyle w:val="Puslapioinaostekstas"/>
        <w:rPr>
          <w:rFonts w:cs="Times New Roman"/>
        </w:rPr>
      </w:pPr>
      <w:r w:rsidRPr="00570E13">
        <w:rPr>
          <w:rStyle w:val="Puslapioinaosnuoroda"/>
          <w:rFonts w:cs="Times New Roman"/>
        </w:rPr>
        <w:footnoteRef/>
      </w:r>
      <w:r w:rsidRPr="00570E13">
        <w:rPr>
          <w:rFonts w:cs="Times New Roman"/>
        </w:rPr>
        <w:t xml:space="preserve"> </w:t>
      </w:r>
      <w:hyperlink r:id="rId2" w:anchor="/" w:history="1">
        <w:r w:rsidRPr="00570E13">
          <w:rPr>
            <w:rStyle w:val="cf01"/>
            <w:rFonts w:ascii="Times New Roman" w:hAnsi="Times New Roman" w:cs="Times New Roman"/>
            <w:color w:val="0000FF"/>
            <w:u w:val="single"/>
          </w:rPr>
          <w:t>Oficialios statistikos portalo duomenys</w:t>
        </w:r>
      </w:hyperlink>
    </w:p>
  </w:footnote>
  <w:footnote w:id="9">
    <w:p w14:paraId="0A8FE5D6" w14:textId="77777777" w:rsidR="0019116C" w:rsidRPr="00417E37" w:rsidRDefault="0019116C" w:rsidP="009629DB">
      <w:pPr>
        <w:pStyle w:val="Puslapioinaostekstas"/>
        <w:jc w:val="both"/>
        <w:rPr>
          <w:sz w:val="18"/>
          <w:szCs w:val="18"/>
        </w:rPr>
      </w:pPr>
      <w:r w:rsidRPr="009629DB">
        <w:rPr>
          <w:rStyle w:val="Puslapioinaosnuoroda"/>
          <w:sz w:val="18"/>
          <w:szCs w:val="18"/>
        </w:rPr>
        <w:footnoteRef/>
      </w:r>
      <w:r w:rsidRPr="00417E37">
        <w:rPr>
          <w:sz w:val="18"/>
          <w:szCs w:val="18"/>
        </w:rPr>
        <w:t xml:space="preserve"> </w:t>
      </w:r>
      <w:hyperlink r:id="rId3" w:history="1">
        <w:r w:rsidRPr="00417E37">
          <w:rPr>
            <w:rStyle w:val="Hipersaitas"/>
            <w:sz w:val="18"/>
            <w:szCs w:val="18"/>
          </w:rPr>
          <w:t>Specialioji ataskaita 23/2022: Programos „Horizontas 2020“ ir Europos struktūrinių ir investicijų fondų sinergija - Išnaudojamos ne visos galimybės</w:t>
        </w:r>
      </w:hyperlink>
      <w:r w:rsidRPr="00417E37">
        <w:rPr>
          <w:rStyle w:val="Hipersaitas"/>
          <w:sz w:val="18"/>
          <w:szCs w:val="18"/>
        </w:rPr>
        <w:t>.</w:t>
      </w:r>
    </w:p>
  </w:footnote>
  <w:footnote w:id="10">
    <w:p w14:paraId="4D70F805" w14:textId="77777777" w:rsidR="0019116C" w:rsidRPr="009629DB" w:rsidRDefault="0019116C" w:rsidP="009629DB">
      <w:pPr>
        <w:autoSpaceDE w:val="0"/>
        <w:autoSpaceDN w:val="0"/>
        <w:adjustRightInd w:val="0"/>
        <w:spacing w:after="0" w:line="240" w:lineRule="auto"/>
        <w:jc w:val="both"/>
        <w:rPr>
          <w:sz w:val="18"/>
          <w:szCs w:val="18"/>
        </w:rPr>
      </w:pPr>
      <w:r w:rsidRPr="009629DB">
        <w:rPr>
          <w:rStyle w:val="Puslapioinaosnuoroda"/>
          <w:sz w:val="18"/>
          <w:szCs w:val="18"/>
        </w:rPr>
        <w:footnoteRef/>
      </w:r>
      <w:r w:rsidRPr="009629DB">
        <w:rPr>
          <w:sz w:val="18"/>
          <w:szCs w:val="18"/>
        </w:rPr>
        <w:t xml:space="preserve"> </w:t>
      </w:r>
      <w:hyperlink r:id="rId4" w:history="1">
        <w:r w:rsidRPr="009629DB">
          <w:rPr>
            <w:color w:val="0000FF"/>
            <w:sz w:val="18"/>
            <w:szCs w:val="18"/>
          </w:rPr>
          <w:t>Europos Komisijos 2022 m. lapkričio 4 d. pranešimas Nr. 2022/C 421/03 Dėl Programos „Europos horizontas“ ir ERPF programų sinergijos</w:t>
        </w:r>
      </w:hyperlink>
      <w:r w:rsidRPr="009629DB">
        <w:rPr>
          <w:color w:val="0000FF"/>
          <w:sz w:val="18"/>
          <w:szCs w:val="18"/>
        </w:rPr>
        <w:t>.</w:t>
      </w:r>
    </w:p>
  </w:footnote>
  <w:footnote w:id="11">
    <w:p w14:paraId="01E7A7E9" w14:textId="77777777" w:rsidR="0019116C" w:rsidRPr="009629DB" w:rsidRDefault="0019116C" w:rsidP="009629DB">
      <w:pPr>
        <w:pStyle w:val="Puslapioinaostekstas"/>
        <w:jc w:val="both"/>
        <w:rPr>
          <w:sz w:val="18"/>
          <w:szCs w:val="18"/>
        </w:rPr>
      </w:pPr>
      <w:r w:rsidRPr="009629DB">
        <w:rPr>
          <w:rStyle w:val="Puslapioinaosnuoroda"/>
          <w:sz w:val="18"/>
          <w:szCs w:val="18"/>
        </w:rPr>
        <w:footnoteRef/>
      </w:r>
      <w:r w:rsidRPr="009629DB">
        <w:rPr>
          <w:sz w:val="18"/>
          <w:szCs w:val="18"/>
        </w:rPr>
        <w:t>2021 m. birželio 24 d. Europos Parlamento ir Tarybos reglamentas (ES) Nr. 2021/1060..</w:t>
      </w:r>
    </w:p>
  </w:footnote>
  <w:footnote w:id="12">
    <w:p w14:paraId="2F214081" w14:textId="77777777" w:rsidR="0019116C" w:rsidRPr="009629DB" w:rsidRDefault="0019116C" w:rsidP="009629DB">
      <w:pPr>
        <w:pStyle w:val="Puslapioinaostekstas"/>
        <w:jc w:val="both"/>
        <w:rPr>
          <w:sz w:val="18"/>
          <w:szCs w:val="18"/>
        </w:rPr>
      </w:pPr>
      <w:r w:rsidRPr="009629DB">
        <w:rPr>
          <w:rStyle w:val="Puslapioinaosnuoroda"/>
          <w:sz w:val="18"/>
          <w:szCs w:val="18"/>
        </w:rPr>
        <w:footnoteRef/>
      </w:r>
      <w:r w:rsidRPr="009629DB">
        <w:rPr>
          <w:sz w:val="18"/>
          <w:szCs w:val="18"/>
        </w:rPr>
        <w:t xml:space="preserve"> </w:t>
      </w:r>
      <w:hyperlink r:id="rId5" w:history="1">
        <w:r w:rsidRPr="009629DB">
          <w:rPr>
            <w:rStyle w:val="Hipersaitas"/>
            <w:sz w:val="18"/>
            <w:szCs w:val="18"/>
          </w:rPr>
          <w:t>Horizon</w:t>
        </w:r>
      </w:hyperlink>
      <w:hyperlink r:id="rId6" w:history="1">
        <w:r w:rsidRPr="009629DB">
          <w:rPr>
            <w:rStyle w:val="Hipersaitas"/>
            <w:sz w:val="18"/>
            <w:szCs w:val="18"/>
          </w:rPr>
          <w:t xml:space="preserve"> </w:t>
        </w:r>
      </w:hyperlink>
      <w:hyperlink r:id="rId7" w:history="1">
        <w:r w:rsidRPr="009629DB">
          <w:rPr>
            <w:rStyle w:val="Hipersaitas"/>
            <w:sz w:val="18"/>
            <w:szCs w:val="18"/>
          </w:rPr>
          <w:t>Dashboard</w:t>
        </w:r>
      </w:hyperlink>
      <w:hyperlink r:id="rId8" w:history="1">
        <w:r w:rsidRPr="009629DB">
          <w:rPr>
            <w:rStyle w:val="Hipersaitas"/>
            <w:sz w:val="18"/>
            <w:szCs w:val="18"/>
          </w:rPr>
          <w:t xml:space="preserve"> </w:t>
        </w:r>
      </w:hyperlink>
      <w:r w:rsidRPr="009629DB">
        <w:rPr>
          <w:sz w:val="18"/>
          <w:szCs w:val="18"/>
        </w:rPr>
        <w:t xml:space="preserve"> duomenimis Lietuva užima 23 vietą iš 27 šalių dalyvaujančių šioje programoje (tikrinta 2023-03-06).</w:t>
      </w:r>
    </w:p>
  </w:footnote>
  <w:footnote w:id="13">
    <w:p w14:paraId="29B46ACF" w14:textId="77777777" w:rsidR="0019116C" w:rsidRPr="009629DB" w:rsidRDefault="0019116C" w:rsidP="009629DB">
      <w:pPr>
        <w:pStyle w:val="Puslapioinaostekstas"/>
        <w:rPr>
          <w:sz w:val="18"/>
          <w:szCs w:val="18"/>
        </w:rPr>
      </w:pPr>
      <w:r w:rsidRPr="009629DB">
        <w:rPr>
          <w:rStyle w:val="Puslapioinaosnuoroda"/>
          <w:sz w:val="18"/>
          <w:szCs w:val="18"/>
        </w:rPr>
        <w:footnoteRef/>
      </w:r>
      <w:r w:rsidRPr="009629DB">
        <w:rPr>
          <w:sz w:val="18"/>
          <w:szCs w:val="18"/>
        </w:rPr>
        <w:t xml:space="preserve">2023 m. kovo mėn. duomenimis, HE jau nefinansuota 17 kokybiškų projektų, kuriems galėjo būti skirtos perkeltos ERPF lėšos (apie 18 mln. </w:t>
      </w:r>
      <w:r w:rsidRPr="009629DB">
        <w:rPr>
          <w:sz w:val="18"/>
          <w:szCs w:val="18"/>
          <w:lang w:val="fr-BE"/>
        </w:rPr>
        <w:t>Eur).</w:t>
      </w:r>
    </w:p>
  </w:footnote>
  <w:footnote w:id="14">
    <w:p w14:paraId="09725ECB" w14:textId="77777777" w:rsidR="0019116C" w:rsidRPr="009629DB" w:rsidRDefault="0019116C" w:rsidP="009629DB">
      <w:pPr>
        <w:pStyle w:val="Puslapioinaostekstas"/>
        <w:rPr>
          <w:sz w:val="18"/>
          <w:szCs w:val="18"/>
        </w:rPr>
      </w:pPr>
      <w:r w:rsidRPr="009629DB">
        <w:rPr>
          <w:rStyle w:val="Puslapioinaosnuoroda"/>
          <w:sz w:val="18"/>
          <w:szCs w:val="18"/>
        </w:rPr>
        <w:footnoteRef/>
      </w:r>
      <w:r w:rsidRPr="009629DB">
        <w:rPr>
          <w:sz w:val="18"/>
          <w:szCs w:val="18"/>
        </w:rPr>
        <w:t xml:space="preserve"> </w:t>
      </w:r>
      <w:bookmarkStart w:id="103" w:name="_Hlk131496869"/>
      <w:r w:rsidRPr="009629DB">
        <w:rPr>
          <w:sz w:val="18"/>
          <w:szCs w:val="18"/>
        </w:rPr>
        <w:t xml:space="preserve">ERKI - Europos regioninio konkurencingumo indeksas: </w:t>
      </w:r>
      <w:hyperlink r:id="rId9" w:anchor="/LT" w:history="1">
        <w:r w:rsidRPr="009629DB">
          <w:rPr>
            <w:color w:val="0000FF"/>
            <w:sz w:val="18"/>
            <w:szCs w:val="18"/>
            <w:u w:val="single"/>
          </w:rPr>
          <w:t>EU Regional Competitiveness Index 2.0 - 2022 edition (europa.eu)</w:t>
        </w:r>
      </w:hyperlink>
      <w:r w:rsidRPr="009629DB">
        <w:rPr>
          <w:sz w:val="18"/>
          <w:szCs w:val="18"/>
        </w:rPr>
        <w:t>.</w:t>
      </w:r>
      <w:bookmarkEnd w:id="10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3343" w14:textId="02362C99" w:rsidR="0019116C" w:rsidRDefault="0019116C" w:rsidP="00F52EB5">
    <w:pPr>
      <w:pStyle w:val="Antrats"/>
      <w:pBdr>
        <w:between w:val="single" w:sz="4" w:space="1" w:color="4F81BD" w:themeColor="accent1"/>
      </w:pBdr>
      <w:spacing w:line="276" w:lineRule="auto"/>
      <w:jc w:val="right"/>
    </w:pPr>
    <w:r>
      <w:t>2021–2027 metų Europos Sąjungos fondų investicijų programa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C201" w14:textId="77777777" w:rsidR="00960459" w:rsidRDefault="00960459">
    <w:pPr>
      <w:pStyle w:val="Porat"/>
      <w:pBdr>
        <w:bottom w:val="single" w:sz="4" w:space="1" w:color="7B6F46"/>
      </w:pBdr>
      <w:tabs>
        <w:tab w:val="right" w:pos="8820"/>
      </w:tabs>
      <w:ind w:right="3027"/>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17E2" w14:textId="77777777" w:rsidR="00960459" w:rsidRDefault="00960459">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1EAA" w14:textId="77777777" w:rsidR="0019116C" w:rsidRDefault="0019116C">
    <w:pPr>
      <w:pStyle w:val="Antrat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DC21" w14:textId="77777777" w:rsidR="0019116C" w:rsidRDefault="0019116C">
    <w:pPr>
      <w:pStyle w:val="Porat"/>
      <w:pBdr>
        <w:bottom w:val="single" w:sz="4" w:space="1" w:color="7B6F46"/>
      </w:pBdr>
      <w:tabs>
        <w:tab w:val="right" w:pos="8820"/>
      </w:tabs>
      <w:ind w:right="3027"/>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22F1" w14:textId="77777777" w:rsidR="0019116C" w:rsidRDefault="001911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1694"/>
      <w:docPartObj>
        <w:docPartGallery w:val="Page Numbers (Top of Page)"/>
        <w:docPartUnique/>
      </w:docPartObj>
    </w:sdtPr>
    <w:sdtEndPr/>
    <w:sdtContent>
      <w:p w14:paraId="3D88AF85" w14:textId="77777777" w:rsidR="00B233AD" w:rsidRDefault="00B233AD">
        <w:pPr>
          <w:pStyle w:val="Antrats"/>
          <w:jc w:val="center"/>
        </w:pPr>
        <w:r>
          <w:fldChar w:fldCharType="begin"/>
        </w:r>
        <w:r>
          <w:instrText>PAGE   \* MERGEFORMAT</w:instrText>
        </w:r>
        <w:r>
          <w:fldChar w:fldCharType="separate"/>
        </w:r>
        <w:r>
          <w:t>2</w:t>
        </w:r>
        <w:r>
          <w:fldChar w:fldCharType="end"/>
        </w:r>
      </w:p>
    </w:sdtContent>
  </w:sdt>
  <w:p w14:paraId="3FC25742" w14:textId="77777777" w:rsidR="00B233AD" w:rsidRDefault="00B233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CA9D" w14:textId="77777777" w:rsidR="0087201A" w:rsidRPr="008A1BC9" w:rsidRDefault="0087201A" w:rsidP="003040E3">
    <w:pPr>
      <w:pStyle w:val="Antrats"/>
      <w:spacing w:before="0" w:after="0"/>
      <w:jc w:val="right"/>
      <w:rPr>
        <w:sz w:val="19"/>
        <w:szCs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DBC2" w14:textId="77777777" w:rsidR="0087201A" w:rsidRPr="008C74E2" w:rsidRDefault="0087201A" w:rsidP="003040E3">
    <w:pPr>
      <w:pStyle w:val="Antrats"/>
      <w:jc w:val="right"/>
    </w:pPr>
    <w:r w:rsidRPr="007B5701">
      <w:t>2021–2027 metų Europos Sąjungos fondų investicijų programos keitimo pasiūlym</w:t>
    </w:r>
    <w:r>
      <w:t>o projektas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83C1" w14:textId="77777777" w:rsidR="0087201A" w:rsidRDefault="0087201A" w:rsidP="003040E3">
    <w:pPr>
      <w:pStyle w:val="Antrats"/>
      <w:jc w:val="right"/>
    </w:pPr>
    <w:r w:rsidRPr="007B5701">
      <w:t>2021–2027 metų Europos Sąjungos fondų investicijų programos keitimo pasiūlym</w:t>
    </w:r>
    <w:r>
      <w:t xml:space="preserve">o projektas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9F7C" w14:textId="77777777" w:rsidR="0087201A" w:rsidRDefault="0087201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E26E" w14:textId="77777777" w:rsidR="0087201A" w:rsidRDefault="0087201A" w:rsidP="003040E3">
    <w:pPr>
      <w:pStyle w:val="Antrats"/>
      <w:spacing w:before="0" w:after="0"/>
      <w:jc w:val="right"/>
    </w:pPr>
    <w:r w:rsidRPr="007B5701">
      <w:t>2021–2027 metų Europos Sąjungos fondų investicijų programos keitimo pasiūlym</w:t>
    </w:r>
    <w:r>
      <w:t>o projektas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ABA6" w14:textId="77777777" w:rsidR="0087201A" w:rsidRDefault="0087201A">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0441" w14:textId="77777777" w:rsidR="00960459" w:rsidRDefault="009604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102"/>
    <w:multiLevelType w:val="multilevel"/>
    <w:tmpl w:val="D9AE7AF0"/>
    <w:name w:val="Heading__8"/>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 w15:restartNumberingAfterBreak="0">
    <w:nsid w:val="07725BE5"/>
    <w:multiLevelType w:val="hybridMultilevel"/>
    <w:tmpl w:val="4FF6F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F3C6C"/>
    <w:multiLevelType w:val="hybridMultilevel"/>
    <w:tmpl w:val="71880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C726D18"/>
    <w:multiLevelType w:val="hybridMultilevel"/>
    <w:tmpl w:val="23B66858"/>
    <w:lvl w:ilvl="0" w:tplc="6E7AB924">
      <w:start w:val="1"/>
      <w:numFmt w:val="decimal"/>
      <w:lvlText w:val="%1)"/>
      <w:lvlJc w:val="left"/>
      <w:pPr>
        <w:ind w:left="1020" w:hanging="360"/>
      </w:pPr>
    </w:lvl>
    <w:lvl w:ilvl="1" w:tplc="2388A56C">
      <w:start w:val="1"/>
      <w:numFmt w:val="decimal"/>
      <w:lvlText w:val="%2)"/>
      <w:lvlJc w:val="left"/>
      <w:pPr>
        <w:ind w:left="1020" w:hanging="360"/>
      </w:pPr>
    </w:lvl>
    <w:lvl w:ilvl="2" w:tplc="9A80C094">
      <w:start w:val="1"/>
      <w:numFmt w:val="decimal"/>
      <w:lvlText w:val="%3)"/>
      <w:lvlJc w:val="left"/>
      <w:pPr>
        <w:ind w:left="1020" w:hanging="360"/>
      </w:pPr>
    </w:lvl>
    <w:lvl w:ilvl="3" w:tplc="9A5C6A06">
      <w:start w:val="1"/>
      <w:numFmt w:val="decimal"/>
      <w:lvlText w:val="%4)"/>
      <w:lvlJc w:val="left"/>
      <w:pPr>
        <w:ind w:left="1020" w:hanging="360"/>
      </w:pPr>
    </w:lvl>
    <w:lvl w:ilvl="4" w:tplc="F32204DE">
      <w:start w:val="1"/>
      <w:numFmt w:val="decimal"/>
      <w:lvlText w:val="%5)"/>
      <w:lvlJc w:val="left"/>
      <w:pPr>
        <w:ind w:left="1020" w:hanging="360"/>
      </w:pPr>
    </w:lvl>
    <w:lvl w:ilvl="5" w:tplc="FDD09F70">
      <w:start w:val="1"/>
      <w:numFmt w:val="decimal"/>
      <w:lvlText w:val="%6)"/>
      <w:lvlJc w:val="left"/>
      <w:pPr>
        <w:ind w:left="1020" w:hanging="360"/>
      </w:pPr>
    </w:lvl>
    <w:lvl w:ilvl="6" w:tplc="FA505446">
      <w:start w:val="1"/>
      <w:numFmt w:val="decimal"/>
      <w:lvlText w:val="%7)"/>
      <w:lvlJc w:val="left"/>
      <w:pPr>
        <w:ind w:left="1020" w:hanging="360"/>
      </w:pPr>
    </w:lvl>
    <w:lvl w:ilvl="7" w:tplc="97F86C52">
      <w:start w:val="1"/>
      <w:numFmt w:val="decimal"/>
      <w:lvlText w:val="%8)"/>
      <w:lvlJc w:val="left"/>
      <w:pPr>
        <w:ind w:left="1020" w:hanging="360"/>
      </w:pPr>
    </w:lvl>
    <w:lvl w:ilvl="8" w:tplc="2146CF1C">
      <w:start w:val="1"/>
      <w:numFmt w:val="decimal"/>
      <w:lvlText w:val="%9)"/>
      <w:lvlJc w:val="left"/>
      <w:pPr>
        <w:ind w:left="1020" w:hanging="360"/>
      </w:pPr>
    </w:lvl>
  </w:abstractNum>
  <w:abstractNum w:abstractNumId="5" w15:restartNumberingAfterBreak="0">
    <w:nsid w:val="1CCF651A"/>
    <w:multiLevelType w:val="hybridMultilevel"/>
    <w:tmpl w:val="AC388466"/>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9566E"/>
    <w:multiLevelType w:val="hybridMultilevel"/>
    <w:tmpl w:val="F2F442B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B777A"/>
    <w:multiLevelType w:val="hybridMultilevel"/>
    <w:tmpl w:val="B3F69556"/>
    <w:lvl w:ilvl="0" w:tplc="2AF41D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5856D6"/>
    <w:multiLevelType w:val="hybridMultilevel"/>
    <w:tmpl w:val="B852A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E7D60"/>
    <w:multiLevelType w:val="hybridMultilevel"/>
    <w:tmpl w:val="5F34A6EE"/>
    <w:lvl w:ilvl="0" w:tplc="9306DF7A">
      <w:start w:val="1"/>
      <w:numFmt w:val="decimal"/>
      <w:lvlText w:val="%1."/>
      <w:lvlJc w:val="left"/>
      <w:pPr>
        <w:ind w:left="1020" w:hanging="360"/>
      </w:pPr>
    </w:lvl>
    <w:lvl w:ilvl="1" w:tplc="D50A8AA8">
      <w:start w:val="1"/>
      <w:numFmt w:val="decimal"/>
      <w:lvlText w:val="%2."/>
      <w:lvlJc w:val="left"/>
      <w:pPr>
        <w:ind w:left="1020" w:hanging="360"/>
      </w:pPr>
    </w:lvl>
    <w:lvl w:ilvl="2" w:tplc="AF7E11C8">
      <w:start w:val="1"/>
      <w:numFmt w:val="decimal"/>
      <w:lvlText w:val="%3."/>
      <w:lvlJc w:val="left"/>
      <w:pPr>
        <w:ind w:left="1020" w:hanging="360"/>
      </w:pPr>
    </w:lvl>
    <w:lvl w:ilvl="3" w:tplc="87F89600">
      <w:start w:val="1"/>
      <w:numFmt w:val="decimal"/>
      <w:lvlText w:val="%4."/>
      <w:lvlJc w:val="left"/>
      <w:pPr>
        <w:ind w:left="1020" w:hanging="360"/>
      </w:pPr>
    </w:lvl>
    <w:lvl w:ilvl="4" w:tplc="E376C128">
      <w:start w:val="1"/>
      <w:numFmt w:val="decimal"/>
      <w:lvlText w:val="%5."/>
      <w:lvlJc w:val="left"/>
      <w:pPr>
        <w:ind w:left="1020" w:hanging="360"/>
      </w:pPr>
    </w:lvl>
    <w:lvl w:ilvl="5" w:tplc="C302B784">
      <w:start w:val="1"/>
      <w:numFmt w:val="decimal"/>
      <w:lvlText w:val="%6."/>
      <w:lvlJc w:val="left"/>
      <w:pPr>
        <w:ind w:left="1020" w:hanging="360"/>
      </w:pPr>
    </w:lvl>
    <w:lvl w:ilvl="6" w:tplc="F4A85954">
      <w:start w:val="1"/>
      <w:numFmt w:val="decimal"/>
      <w:lvlText w:val="%7."/>
      <w:lvlJc w:val="left"/>
      <w:pPr>
        <w:ind w:left="1020" w:hanging="360"/>
      </w:pPr>
    </w:lvl>
    <w:lvl w:ilvl="7" w:tplc="84B8219E">
      <w:start w:val="1"/>
      <w:numFmt w:val="decimal"/>
      <w:lvlText w:val="%8."/>
      <w:lvlJc w:val="left"/>
      <w:pPr>
        <w:ind w:left="1020" w:hanging="360"/>
      </w:pPr>
    </w:lvl>
    <w:lvl w:ilvl="8" w:tplc="34B22062">
      <w:start w:val="1"/>
      <w:numFmt w:val="decimal"/>
      <w:lvlText w:val="%9."/>
      <w:lvlJc w:val="left"/>
      <w:pPr>
        <w:ind w:left="1020" w:hanging="360"/>
      </w:pPr>
    </w:lvl>
  </w:abstractNum>
  <w:abstractNum w:abstractNumId="10" w15:restartNumberingAfterBreak="0">
    <w:nsid w:val="32AB7CD0"/>
    <w:multiLevelType w:val="hybridMultilevel"/>
    <w:tmpl w:val="23E42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86672D"/>
    <w:multiLevelType w:val="hybridMultilevel"/>
    <w:tmpl w:val="E3CEF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FC5138"/>
    <w:multiLevelType w:val="hybridMultilevel"/>
    <w:tmpl w:val="1B667AC0"/>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500CC"/>
    <w:multiLevelType w:val="hybridMultilevel"/>
    <w:tmpl w:val="95543E42"/>
    <w:lvl w:ilvl="0" w:tplc="EB581114">
      <w:start w:val="1"/>
      <w:numFmt w:val="decimal"/>
      <w:lvlText w:val="%1)"/>
      <w:lvlJc w:val="left"/>
      <w:pPr>
        <w:ind w:left="1020" w:hanging="360"/>
      </w:pPr>
    </w:lvl>
    <w:lvl w:ilvl="1" w:tplc="A87E55B8">
      <w:start w:val="1"/>
      <w:numFmt w:val="decimal"/>
      <w:lvlText w:val="%2)"/>
      <w:lvlJc w:val="left"/>
      <w:pPr>
        <w:ind w:left="1020" w:hanging="360"/>
      </w:pPr>
    </w:lvl>
    <w:lvl w:ilvl="2" w:tplc="EC807B32">
      <w:start w:val="1"/>
      <w:numFmt w:val="decimal"/>
      <w:lvlText w:val="%3)"/>
      <w:lvlJc w:val="left"/>
      <w:pPr>
        <w:ind w:left="1020" w:hanging="360"/>
      </w:pPr>
    </w:lvl>
    <w:lvl w:ilvl="3" w:tplc="8F0C5DE2">
      <w:start w:val="1"/>
      <w:numFmt w:val="decimal"/>
      <w:lvlText w:val="%4)"/>
      <w:lvlJc w:val="left"/>
      <w:pPr>
        <w:ind w:left="1020" w:hanging="360"/>
      </w:pPr>
    </w:lvl>
    <w:lvl w:ilvl="4" w:tplc="3FDC5364">
      <w:start w:val="1"/>
      <w:numFmt w:val="decimal"/>
      <w:lvlText w:val="%5)"/>
      <w:lvlJc w:val="left"/>
      <w:pPr>
        <w:ind w:left="1020" w:hanging="360"/>
      </w:pPr>
    </w:lvl>
    <w:lvl w:ilvl="5" w:tplc="7FDCB438">
      <w:start w:val="1"/>
      <w:numFmt w:val="decimal"/>
      <w:lvlText w:val="%6)"/>
      <w:lvlJc w:val="left"/>
      <w:pPr>
        <w:ind w:left="1020" w:hanging="360"/>
      </w:pPr>
    </w:lvl>
    <w:lvl w:ilvl="6" w:tplc="5B4C03BC">
      <w:start w:val="1"/>
      <w:numFmt w:val="decimal"/>
      <w:lvlText w:val="%7)"/>
      <w:lvlJc w:val="left"/>
      <w:pPr>
        <w:ind w:left="1020" w:hanging="360"/>
      </w:pPr>
    </w:lvl>
    <w:lvl w:ilvl="7" w:tplc="BB703532">
      <w:start w:val="1"/>
      <w:numFmt w:val="decimal"/>
      <w:lvlText w:val="%8)"/>
      <w:lvlJc w:val="left"/>
      <w:pPr>
        <w:ind w:left="1020" w:hanging="360"/>
      </w:pPr>
    </w:lvl>
    <w:lvl w:ilvl="8" w:tplc="2884D8B8">
      <w:start w:val="1"/>
      <w:numFmt w:val="decimal"/>
      <w:lvlText w:val="%9)"/>
      <w:lvlJc w:val="left"/>
      <w:pPr>
        <w:ind w:left="1020" w:hanging="360"/>
      </w:pPr>
    </w:lvl>
  </w:abstractNum>
  <w:abstractNum w:abstractNumId="16" w15:restartNumberingAfterBreak="0">
    <w:nsid w:val="40DB4E18"/>
    <w:multiLevelType w:val="multilevel"/>
    <w:tmpl w:val="48F07426"/>
    <w:lvl w:ilvl="0">
      <w:start w:val="1"/>
      <w:numFmt w:val="decimal"/>
      <w:lvlText w:val="%1."/>
      <w:lvlJc w:val="left"/>
      <w:pPr>
        <w:ind w:left="153"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27"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17" w15:restartNumberingAfterBreak="0">
    <w:nsid w:val="4827521E"/>
    <w:multiLevelType w:val="hybridMultilevel"/>
    <w:tmpl w:val="4530BE0E"/>
    <w:lvl w:ilvl="0" w:tplc="71C87AFE">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8453E3"/>
    <w:multiLevelType w:val="multilevel"/>
    <w:tmpl w:val="FD7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C446C1"/>
    <w:multiLevelType w:val="hybridMultilevel"/>
    <w:tmpl w:val="6C92A99C"/>
    <w:lvl w:ilvl="0" w:tplc="08C6178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646A49"/>
    <w:multiLevelType w:val="hybridMultilevel"/>
    <w:tmpl w:val="5B1CA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845ED1"/>
    <w:multiLevelType w:val="hybridMultilevel"/>
    <w:tmpl w:val="7834E312"/>
    <w:lvl w:ilvl="0" w:tplc="A36E2088">
      <w:start w:val="1"/>
      <w:numFmt w:val="bullet"/>
      <w:lvlText w:val="-"/>
      <w:lvlJc w:val="left"/>
      <w:pPr>
        <w:ind w:left="1080" w:hanging="360"/>
      </w:pPr>
      <w:rPr>
        <w:rFonts w:ascii="Cambria" w:eastAsia="Times New Roman"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81B4DA2"/>
    <w:multiLevelType w:val="hybridMultilevel"/>
    <w:tmpl w:val="FA38F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BD3B9E"/>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2C7DFE"/>
    <w:multiLevelType w:val="hybridMultilevel"/>
    <w:tmpl w:val="BB564DDA"/>
    <w:lvl w:ilvl="0" w:tplc="3174AFCC">
      <w:start w:val="1"/>
      <w:numFmt w:val="decimal"/>
      <w:lvlText w:val="%1)"/>
      <w:lvlJc w:val="left"/>
      <w:pPr>
        <w:ind w:left="1020" w:hanging="360"/>
      </w:pPr>
    </w:lvl>
    <w:lvl w:ilvl="1" w:tplc="9CF282E6">
      <w:start w:val="1"/>
      <w:numFmt w:val="decimal"/>
      <w:lvlText w:val="%2)"/>
      <w:lvlJc w:val="left"/>
      <w:pPr>
        <w:ind w:left="1020" w:hanging="360"/>
      </w:pPr>
    </w:lvl>
    <w:lvl w:ilvl="2" w:tplc="2AB01150">
      <w:start w:val="1"/>
      <w:numFmt w:val="decimal"/>
      <w:lvlText w:val="%3)"/>
      <w:lvlJc w:val="left"/>
      <w:pPr>
        <w:ind w:left="1020" w:hanging="360"/>
      </w:pPr>
    </w:lvl>
    <w:lvl w:ilvl="3" w:tplc="A5F09302">
      <w:start w:val="1"/>
      <w:numFmt w:val="decimal"/>
      <w:lvlText w:val="%4)"/>
      <w:lvlJc w:val="left"/>
      <w:pPr>
        <w:ind w:left="1020" w:hanging="360"/>
      </w:pPr>
    </w:lvl>
    <w:lvl w:ilvl="4" w:tplc="5CBE73F0">
      <w:start w:val="1"/>
      <w:numFmt w:val="decimal"/>
      <w:lvlText w:val="%5)"/>
      <w:lvlJc w:val="left"/>
      <w:pPr>
        <w:ind w:left="1020" w:hanging="360"/>
      </w:pPr>
    </w:lvl>
    <w:lvl w:ilvl="5" w:tplc="46BE61A6">
      <w:start w:val="1"/>
      <w:numFmt w:val="decimal"/>
      <w:lvlText w:val="%6)"/>
      <w:lvlJc w:val="left"/>
      <w:pPr>
        <w:ind w:left="1020" w:hanging="360"/>
      </w:pPr>
    </w:lvl>
    <w:lvl w:ilvl="6" w:tplc="90246172">
      <w:start w:val="1"/>
      <w:numFmt w:val="decimal"/>
      <w:lvlText w:val="%7)"/>
      <w:lvlJc w:val="left"/>
      <w:pPr>
        <w:ind w:left="1020" w:hanging="360"/>
      </w:pPr>
    </w:lvl>
    <w:lvl w:ilvl="7" w:tplc="BD6EAC06">
      <w:start w:val="1"/>
      <w:numFmt w:val="decimal"/>
      <w:lvlText w:val="%8)"/>
      <w:lvlJc w:val="left"/>
      <w:pPr>
        <w:ind w:left="1020" w:hanging="360"/>
      </w:pPr>
    </w:lvl>
    <w:lvl w:ilvl="8" w:tplc="E5044562">
      <w:start w:val="1"/>
      <w:numFmt w:val="decimal"/>
      <w:lvlText w:val="%9)"/>
      <w:lvlJc w:val="left"/>
      <w:pPr>
        <w:ind w:left="1020" w:hanging="360"/>
      </w:pPr>
    </w:lvl>
  </w:abstractNum>
  <w:abstractNum w:abstractNumId="26" w15:restartNumberingAfterBreak="0">
    <w:nsid w:val="69441475"/>
    <w:multiLevelType w:val="hybridMultilevel"/>
    <w:tmpl w:val="B5BECED2"/>
    <w:lvl w:ilvl="0" w:tplc="1A02FCEC">
      <w:start w:val="1"/>
      <w:numFmt w:val="decimal"/>
      <w:lvlText w:val="%1."/>
      <w:lvlJc w:val="left"/>
      <w:pPr>
        <w:ind w:left="1660" w:hanging="13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BF0F74"/>
    <w:multiLevelType w:val="hybridMultilevel"/>
    <w:tmpl w:val="3292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97EE8"/>
    <w:multiLevelType w:val="hybridMultilevel"/>
    <w:tmpl w:val="4D08AC1E"/>
    <w:lvl w:ilvl="0" w:tplc="62C6B3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55794E"/>
    <w:multiLevelType w:val="hybridMultilevel"/>
    <w:tmpl w:val="ED9C154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74435B2"/>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065D2F"/>
    <w:multiLevelType w:val="hybridMultilevel"/>
    <w:tmpl w:val="48CE6740"/>
    <w:lvl w:ilvl="0" w:tplc="89BC5A86">
      <w:start w:val="1"/>
      <w:numFmt w:val="decimal"/>
      <w:lvlText w:val="%1)"/>
      <w:lvlJc w:val="left"/>
      <w:pPr>
        <w:ind w:left="1020" w:hanging="360"/>
      </w:pPr>
    </w:lvl>
    <w:lvl w:ilvl="1" w:tplc="37D0A91C">
      <w:start w:val="1"/>
      <w:numFmt w:val="decimal"/>
      <w:lvlText w:val="%2)"/>
      <w:lvlJc w:val="left"/>
      <w:pPr>
        <w:ind w:left="1020" w:hanging="360"/>
      </w:pPr>
    </w:lvl>
    <w:lvl w:ilvl="2" w:tplc="1BB8B37C">
      <w:start w:val="1"/>
      <w:numFmt w:val="decimal"/>
      <w:lvlText w:val="%3)"/>
      <w:lvlJc w:val="left"/>
      <w:pPr>
        <w:ind w:left="1020" w:hanging="360"/>
      </w:pPr>
    </w:lvl>
    <w:lvl w:ilvl="3" w:tplc="0D8E4B3E">
      <w:start w:val="1"/>
      <w:numFmt w:val="decimal"/>
      <w:lvlText w:val="%4)"/>
      <w:lvlJc w:val="left"/>
      <w:pPr>
        <w:ind w:left="1020" w:hanging="360"/>
      </w:pPr>
    </w:lvl>
    <w:lvl w:ilvl="4" w:tplc="0720C900">
      <w:start w:val="1"/>
      <w:numFmt w:val="decimal"/>
      <w:lvlText w:val="%5)"/>
      <w:lvlJc w:val="left"/>
      <w:pPr>
        <w:ind w:left="1020" w:hanging="360"/>
      </w:pPr>
    </w:lvl>
    <w:lvl w:ilvl="5" w:tplc="83D022BA">
      <w:start w:val="1"/>
      <w:numFmt w:val="decimal"/>
      <w:lvlText w:val="%6)"/>
      <w:lvlJc w:val="left"/>
      <w:pPr>
        <w:ind w:left="1020" w:hanging="360"/>
      </w:pPr>
    </w:lvl>
    <w:lvl w:ilvl="6" w:tplc="9C0626BE">
      <w:start w:val="1"/>
      <w:numFmt w:val="decimal"/>
      <w:lvlText w:val="%7)"/>
      <w:lvlJc w:val="left"/>
      <w:pPr>
        <w:ind w:left="1020" w:hanging="360"/>
      </w:pPr>
    </w:lvl>
    <w:lvl w:ilvl="7" w:tplc="A470D38A">
      <w:start w:val="1"/>
      <w:numFmt w:val="decimal"/>
      <w:lvlText w:val="%8)"/>
      <w:lvlJc w:val="left"/>
      <w:pPr>
        <w:ind w:left="1020" w:hanging="360"/>
      </w:pPr>
    </w:lvl>
    <w:lvl w:ilvl="8" w:tplc="E71E093A">
      <w:start w:val="1"/>
      <w:numFmt w:val="decimal"/>
      <w:lvlText w:val="%9)"/>
      <w:lvlJc w:val="left"/>
      <w:pPr>
        <w:ind w:left="1020" w:hanging="360"/>
      </w:pPr>
    </w:lvl>
  </w:abstractNum>
  <w:num w:numId="1" w16cid:durableId="1273394958">
    <w:abstractNumId w:val="3"/>
  </w:num>
  <w:num w:numId="2" w16cid:durableId="748886284">
    <w:abstractNumId w:val="21"/>
  </w:num>
  <w:num w:numId="3" w16cid:durableId="223833844">
    <w:abstractNumId w:val="10"/>
  </w:num>
  <w:num w:numId="4" w16cid:durableId="6954273">
    <w:abstractNumId w:val="28"/>
  </w:num>
  <w:num w:numId="5" w16cid:durableId="1706248136">
    <w:abstractNumId w:val="13"/>
  </w:num>
  <w:num w:numId="6" w16cid:durableId="387799724">
    <w:abstractNumId w:val="5"/>
  </w:num>
  <w:num w:numId="7" w16cid:durableId="1730303872">
    <w:abstractNumId w:val="27"/>
  </w:num>
  <w:num w:numId="8" w16cid:durableId="1492326735">
    <w:abstractNumId w:val="30"/>
  </w:num>
  <w:num w:numId="9" w16cid:durableId="411778563">
    <w:abstractNumId w:val="12"/>
  </w:num>
  <w:num w:numId="10" w16cid:durableId="360784225">
    <w:abstractNumId w:val="8"/>
  </w:num>
  <w:num w:numId="11" w16cid:durableId="421881217">
    <w:abstractNumId w:val="29"/>
  </w:num>
  <w:num w:numId="12" w16cid:durableId="1472097789">
    <w:abstractNumId w:val="20"/>
  </w:num>
  <w:num w:numId="13" w16cid:durableId="1704211030">
    <w:abstractNumId w:val="6"/>
  </w:num>
  <w:num w:numId="14" w16cid:durableId="591595580">
    <w:abstractNumId w:val="17"/>
  </w:num>
  <w:num w:numId="15" w16cid:durableId="1174106680">
    <w:abstractNumId w:val="1"/>
  </w:num>
  <w:num w:numId="16" w16cid:durableId="1133865591">
    <w:abstractNumId w:val="14"/>
  </w:num>
  <w:num w:numId="17" w16cid:durableId="1184906147">
    <w:abstractNumId w:val="7"/>
  </w:num>
  <w:num w:numId="18" w16cid:durableId="1904293125">
    <w:abstractNumId w:val="11"/>
  </w:num>
  <w:num w:numId="19" w16cid:durableId="100076253">
    <w:abstractNumId w:val="22"/>
  </w:num>
  <w:num w:numId="20" w16cid:durableId="1364132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759599">
    <w:abstractNumId w:val="26"/>
  </w:num>
  <w:num w:numId="22" w16cid:durableId="346450402">
    <w:abstractNumId w:val="23"/>
  </w:num>
  <w:num w:numId="23" w16cid:durableId="1591964161">
    <w:abstractNumId w:val="24"/>
  </w:num>
  <w:num w:numId="24" w16cid:durableId="1476487503">
    <w:abstractNumId w:val="18"/>
  </w:num>
  <w:num w:numId="25" w16cid:durableId="670186233">
    <w:abstractNumId w:val="16"/>
  </w:num>
  <w:num w:numId="26" w16cid:durableId="306134116">
    <w:abstractNumId w:val="2"/>
  </w:num>
  <w:num w:numId="27" w16cid:durableId="220294682">
    <w:abstractNumId w:val="25"/>
  </w:num>
  <w:num w:numId="28" w16cid:durableId="1252006911">
    <w:abstractNumId w:val="15"/>
  </w:num>
  <w:num w:numId="29" w16cid:durableId="1903367905">
    <w:abstractNumId w:val="4"/>
  </w:num>
  <w:num w:numId="30" w16cid:durableId="1311599675">
    <w:abstractNumId w:val="9"/>
  </w:num>
  <w:num w:numId="31" w16cid:durableId="894858508">
    <w:abstractNumId w:val="31"/>
  </w:num>
  <w:num w:numId="32" w16cid:durableId="6765475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65"/>
    <w:rsid w:val="000004C1"/>
    <w:rsid w:val="00000BD4"/>
    <w:rsid w:val="00000C17"/>
    <w:rsid w:val="000010A2"/>
    <w:rsid w:val="00001BBC"/>
    <w:rsid w:val="0000346C"/>
    <w:rsid w:val="0000450B"/>
    <w:rsid w:val="000052C0"/>
    <w:rsid w:val="00005FFE"/>
    <w:rsid w:val="00006C3E"/>
    <w:rsid w:val="000074B9"/>
    <w:rsid w:val="0000751F"/>
    <w:rsid w:val="00007592"/>
    <w:rsid w:val="00007DD9"/>
    <w:rsid w:val="00010600"/>
    <w:rsid w:val="00011A9A"/>
    <w:rsid w:val="0001300B"/>
    <w:rsid w:val="000139A2"/>
    <w:rsid w:val="00013A2B"/>
    <w:rsid w:val="00013EAF"/>
    <w:rsid w:val="00014007"/>
    <w:rsid w:val="000147D3"/>
    <w:rsid w:val="00014C4D"/>
    <w:rsid w:val="00015A7B"/>
    <w:rsid w:val="0001616E"/>
    <w:rsid w:val="00016367"/>
    <w:rsid w:val="000165AA"/>
    <w:rsid w:val="00016855"/>
    <w:rsid w:val="0001725A"/>
    <w:rsid w:val="0001727A"/>
    <w:rsid w:val="00017D0D"/>
    <w:rsid w:val="00017ED5"/>
    <w:rsid w:val="0002099C"/>
    <w:rsid w:val="00020A05"/>
    <w:rsid w:val="00021039"/>
    <w:rsid w:val="00021327"/>
    <w:rsid w:val="000229C3"/>
    <w:rsid w:val="0002351C"/>
    <w:rsid w:val="000235C0"/>
    <w:rsid w:val="000239B4"/>
    <w:rsid w:val="00023A6D"/>
    <w:rsid w:val="000244FE"/>
    <w:rsid w:val="0002506B"/>
    <w:rsid w:val="00025474"/>
    <w:rsid w:val="00025CAA"/>
    <w:rsid w:val="00025FED"/>
    <w:rsid w:val="00026A7F"/>
    <w:rsid w:val="0002726A"/>
    <w:rsid w:val="0002743E"/>
    <w:rsid w:val="000277ED"/>
    <w:rsid w:val="00027DB8"/>
    <w:rsid w:val="00030428"/>
    <w:rsid w:val="000305EC"/>
    <w:rsid w:val="00030B76"/>
    <w:rsid w:val="000313C0"/>
    <w:rsid w:val="0003180E"/>
    <w:rsid w:val="00031E60"/>
    <w:rsid w:val="00032358"/>
    <w:rsid w:val="00032F02"/>
    <w:rsid w:val="000332F5"/>
    <w:rsid w:val="0003340D"/>
    <w:rsid w:val="0003392A"/>
    <w:rsid w:val="00033ADE"/>
    <w:rsid w:val="00034301"/>
    <w:rsid w:val="00035E44"/>
    <w:rsid w:val="0003692E"/>
    <w:rsid w:val="00037194"/>
    <w:rsid w:val="000400D7"/>
    <w:rsid w:val="00040174"/>
    <w:rsid w:val="00040C36"/>
    <w:rsid w:val="00040FD7"/>
    <w:rsid w:val="00040FEB"/>
    <w:rsid w:val="000410A8"/>
    <w:rsid w:val="00041626"/>
    <w:rsid w:val="0004189D"/>
    <w:rsid w:val="00041C9E"/>
    <w:rsid w:val="00041CBD"/>
    <w:rsid w:val="00042271"/>
    <w:rsid w:val="000422E2"/>
    <w:rsid w:val="0004234E"/>
    <w:rsid w:val="00042357"/>
    <w:rsid w:val="00044527"/>
    <w:rsid w:val="00045DD1"/>
    <w:rsid w:val="000468AB"/>
    <w:rsid w:val="000469BC"/>
    <w:rsid w:val="00047082"/>
    <w:rsid w:val="000470FA"/>
    <w:rsid w:val="000476F6"/>
    <w:rsid w:val="00047712"/>
    <w:rsid w:val="00050095"/>
    <w:rsid w:val="0005072D"/>
    <w:rsid w:val="00050A2E"/>
    <w:rsid w:val="00050BB6"/>
    <w:rsid w:val="00051BD4"/>
    <w:rsid w:val="00052295"/>
    <w:rsid w:val="00052319"/>
    <w:rsid w:val="00052852"/>
    <w:rsid w:val="00052FB3"/>
    <w:rsid w:val="0005320A"/>
    <w:rsid w:val="000536BE"/>
    <w:rsid w:val="00054321"/>
    <w:rsid w:val="000550C8"/>
    <w:rsid w:val="00055543"/>
    <w:rsid w:val="00055771"/>
    <w:rsid w:val="00055C93"/>
    <w:rsid w:val="00055F15"/>
    <w:rsid w:val="00056957"/>
    <w:rsid w:val="00056EF1"/>
    <w:rsid w:val="00056FBA"/>
    <w:rsid w:val="000572E8"/>
    <w:rsid w:val="00057F4E"/>
    <w:rsid w:val="00060F69"/>
    <w:rsid w:val="00061D19"/>
    <w:rsid w:val="00061DB9"/>
    <w:rsid w:val="00061E8A"/>
    <w:rsid w:val="0006233D"/>
    <w:rsid w:val="00062FED"/>
    <w:rsid w:val="00063B28"/>
    <w:rsid w:val="00064A64"/>
    <w:rsid w:val="00064E93"/>
    <w:rsid w:val="00065348"/>
    <w:rsid w:val="00065816"/>
    <w:rsid w:val="0006629E"/>
    <w:rsid w:val="000662C3"/>
    <w:rsid w:val="0006634B"/>
    <w:rsid w:val="00066DA2"/>
    <w:rsid w:val="000701C4"/>
    <w:rsid w:val="000708B3"/>
    <w:rsid w:val="00070C9F"/>
    <w:rsid w:val="00070E82"/>
    <w:rsid w:val="000713CA"/>
    <w:rsid w:val="00071BC7"/>
    <w:rsid w:val="000731A9"/>
    <w:rsid w:val="0007399D"/>
    <w:rsid w:val="00075420"/>
    <w:rsid w:val="00075B2B"/>
    <w:rsid w:val="0007617D"/>
    <w:rsid w:val="00076D4B"/>
    <w:rsid w:val="00076F56"/>
    <w:rsid w:val="0007702A"/>
    <w:rsid w:val="00077151"/>
    <w:rsid w:val="0008019E"/>
    <w:rsid w:val="0008030E"/>
    <w:rsid w:val="00080572"/>
    <w:rsid w:val="00080AF8"/>
    <w:rsid w:val="00080B1F"/>
    <w:rsid w:val="0008189A"/>
    <w:rsid w:val="0008219C"/>
    <w:rsid w:val="000827DA"/>
    <w:rsid w:val="0008291F"/>
    <w:rsid w:val="00082EAB"/>
    <w:rsid w:val="000851B3"/>
    <w:rsid w:val="00085B9C"/>
    <w:rsid w:val="00085D01"/>
    <w:rsid w:val="00085EB6"/>
    <w:rsid w:val="0008692A"/>
    <w:rsid w:val="000871A1"/>
    <w:rsid w:val="00087852"/>
    <w:rsid w:val="0008790D"/>
    <w:rsid w:val="000903E6"/>
    <w:rsid w:val="00090CFD"/>
    <w:rsid w:val="00090D0F"/>
    <w:rsid w:val="00090FB8"/>
    <w:rsid w:val="000914C5"/>
    <w:rsid w:val="00092410"/>
    <w:rsid w:val="00092715"/>
    <w:rsid w:val="000929C6"/>
    <w:rsid w:val="00092E62"/>
    <w:rsid w:val="00092ECD"/>
    <w:rsid w:val="000930D6"/>
    <w:rsid w:val="0009392D"/>
    <w:rsid w:val="000939D0"/>
    <w:rsid w:val="00093FA7"/>
    <w:rsid w:val="00094622"/>
    <w:rsid w:val="0009483A"/>
    <w:rsid w:val="00094C5A"/>
    <w:rsid w:val="00094FD1"/>
    <w:rsid w:val="00095039"/>
    <w:rsid w:val="0009520A"/>
    <w:rsid w:val="000958FE"/>
    <w:rsid w:val="0009598E"/>
    <w:rsid w:val="00095ED5"/>
    <w:rsid w:val="00096177"/>
    <w:rsid w:val="00097354"/>
    <w:rsid w:val="00097C2D"/>
    <w:rsid w:val="00097E97"/>
    <w:rsid w:val="000A0814"/>
    <w:rsid w:val="000A0920"/>
    <w:rsid w:val="000A093E"/>
    <w:rsid w:val="000A17B1"/>
    <w:rsid w:val="000A249E"/>
    <w:rsid w:val="000A2DEB"/>
    <w:rsid w:val="000A3120"/>
    <w:rsid w:val="000A37FF"/>
    <w:rsid w:val="000A38C9"/>
    <w:rsid w:val="000A3A70"/>
    <w:rsid w:val="000A4251"/>
    <w:rsid w:val="000A49EE"/>
    <w:rsid w:val="000A4C22"/>
    <w:rsid w:val="000A5615"/>
    <w:rsid w:val="000A5778"/>
    <w:rsid w:val="000A57DD"/>
    <w:rsid w:val="000A6627"/>
    <w:rsid w:val="000A6E4C"/>
    <w:rsid w:val="000B0819"/>
    <w:rsid w:val="000B0A4A"/>
    <w:rsid w:val="000B0EB0"/>
    <w:rsid w:val="000B2300"/>
    <w:rsid w:val="000B2D94"/>
    <w:rsid w:val="000B2DEE"/>
    <w:rsid w:val="000B327B"/>
    <w:rsid w:val="000B4816"/>
    <w:rsid w:val="000B4840"/>
    <w:rsid w:val="000B49DA"/>
    <w:rsid w:val="000B511F"/>
    <w:rsid w:val="000B59AC"/>
    <w:rsid w:val="000B678E"/>
    <w:rsid w:val="000B70C9"/>
    <w:rsid w:val="000B70FA"/>
    <w:rsid w:val="000B7997"/>
    <w:rsid w:val="000B7D44"/>
    <w:rsid w:val="000C0CE9"/>
    <w:rsid w:val="000C0FD1"/>
    <w:rsid w:val="000C1260"/>
    <w:rsid w:val="000C23F3"/>
    <w:rsid w:val="000C2BAC"/>
    <w:rsid w:val="000C2E74"/>
    <w:rsid w:val="000C44A0"/>
    <w:rsid w:val="000C58EE"/>
    <w:rsid w:val="000C599C"/>
    <w:rsid w:val="000C5D1D"/>
    <w:rsid w:val="000C5E31"/>
    <w:rsid w:val="000C61A7"/>
    <w:rsid w:val="000C6244"/>
    <w:rsid w:val="000C711E"/>
    <w:rsid w:val="000D16BF"/>
    <w:rsid w:val="000D1C77"/>
    <w:rsid w:val="000D24D5"/>
    <w:rsid w:val="000D25CD"/>
    <w:rsid w:val="000D274F"/>
    <w:rsid w:val="000D3627"/>
    <w:rsid w:val="000D3C0B"/>
    <w:rsid w:val="000D4869"/>
    <w:rsid w:val="000D529E"/>
    <w:rsid w:val="000D5AED"/>
    <w:rsid w:val="000D6C0B"/>
    <w:rsid w:val="000D7BED"/>
    <w:rsid w:val="000E04BB"/>
    <w:rsid w:val="000E0556"/>
    <w:rsid w:val="000E083C"/>
    <w:rsid w:val="000E089B"/>
    <w:rsid w:val="000E097C"/>
    <w:rsid w:val="000E0B69"/>
    <w:rsid w:val="000E121C"/>
    <w:rsid w:val="000E214E"/>
    <w:rsid w:val="000E2A9C"/>
    <w:rsid w:val="000E2C4D"/>
    <w:rsid w:val="000E3316"/>
    <w:rsid w:val="000E3528"/>
    <w:rsid w:val="000E380D"/>
    <w:rsid w:val="000E3A30"/>
    <w:rsid w:val="000E3E2E"/>
    <w:rsid w:val="000E64FC"/>
    <w:rsid w:val="000E6933"/>
    <w:rsid w:val="000E6E03"/>
    <w:rsid w:val="000E7397"/>
    <w:rsid w:val="000E7414"/>
    <w:rsid w:val="000E74BB"/>
    <w:rsid w:val="000E7D56"/>
    <w:rsid w:val="000F179C"/>
    <w:rsid w:val="000F22FE"/>
    <w:rsid w:val="000F24B5"/>
    <w:rsid w:val="000F265D"/>
    <w:rsid w:val="000F2691"/>
    <w:rsid w:val="000F3B3A"/>
    <w:rsid w:val="000F3C4D"/>
    <w:rsid w:val="000F4375"/>
    <w:rsid w:val="000F56FE"/>
    <w:rsid w:val="000F7A36"/>
    <w:rsid w:val="00101D06"/>
    <w:rsid w:val="00102148"/>
    <w:rsid w:val="00102511"/>
    <w:rsid w:val="001026B8"/>
    <w:rsid w:val="00102840"/>
    <w:rsid w:val="00102BF7"/>
    <w:rsid w:val="00102FF6"/>
    <w:rsid w:val="001038D5"/>
    <w:rsid w:val="00103E26"/>
    <w:rsid w:val="001041F6"/>
    <w:rsid w:val="00104BDA"/>
    <w:rsid w:val="00106063"/>
    <w:rsid w:val="001067D9"/>
    <w:rsid w:val="00107A41"/>
    <w:rsid w:val="00107BB3"/>
    <w:rsid w:val="001102B2"/>
    <w:rsid w:val="001104B4"/>
    <w:rsid w:val="00110C6F"/>
    <w:rsid w:val="001111FE"/>
    <w:rsid w:val="00111803"/>
    <w:rsid w:val="00112141"/>
    <w:rsid w:val="0011222B"/>
    <w:rsid w:val="00112323"/>
    <w:rsid w:val="00112FD3"/>
    <w:rsid w:val="0011314E"/>
    <w:rsid w:val="00113CB0"/>
    <w:rsid w:val="00114217"/>
    <w:rsid w:val="001153D2"/>
    <w:rsid w:val="00115C36"/>
    <w:rsid w:val="00116189"/>
    <w:rsid w:val="0011627E"/>
    <w:rsid w:val="0011690C"/>
    <w:rsid w:val="00116C5C"/>
    <w:rsid w:val="001176F6"/>
    <w:rsid w:val="00120842"/>
    <w:rsid w:val="0012101C"/>
    <w:rsid w:val="001213E2"/>
    <w:rsid w:val="00122134"/>
    <w:rsid w:val="00122448"/>
    <w:rsid w:val="001224B3"/>
    <w:rsid w:val="00122628"/>
    <w:rsid w:val="00122DC3"/>
    <w:rsid w:val="00122E47"/>
    <w:rsid w:val="00122F91"/>
    <w:rsid w:val="00123155"/>
    <w:rsid w:val="00123712"/>
    <w:rsid w:val="00123AAB"/>
    <w:rsid w:val="00123B07"/>
    <w:rsid w:val="00123CB1"/>
    <w:rsid w:val="0012401E"/>
    <w:rsid w:val="001242C4"/>
    <w:rsid w:val="00124440"/>
    <w:rsid w:val="00124BC4"/>
    <w:rsid w:val="001256CF"/>
    <w:rsid w:val="00125B96"/>
    <w:rsid w:val="001267A1"/>
    <w:rsid w:val="001267F5"/>
    <w:rsid w:val="00126B1A"/>
    <w:rsid w:val="00126BF8"/>
    <w:rsid w:val="00126DE3"/>
    <w:rsid w:val="001305CD"/>
    <w:rsid w:val="00130C04"/>
    <w:rsid w:val="001314CD"/>
    <w:rsid w:val="00131795"/>
    <w:rsid w:val="00132D02"/>
    <w:rsid w:val="00132D25"/>
    <w:rsid w:val="00132D93"/>
    <w:rsid w:val="0013390F"/>
    <w:rsid w:val="00133942"/>
    <w:rsid w:val="00133AA7"/>
    <w:rsid w:val="00134A7A"/>
    <w:rsid w:val="00134B78"/>
    <w:rsid w:val="00134C75"/>
    <w:rsid w:val="00135A20"/>
    <w:rsid w:val="00136F63"/>
    <w:rsid w:val="001370A7"/>
    <w:rsid w:val="00137CFE"/>
    <w:rsid w:val="0014006F"/>
    <w:rsid w:val="001405C2"/>
    <w:rsid w:val="0014079B"/>
    <w:rsid w:val="0014124D"/>
    <w:rsid w:val="001412AC"/>
    <w:rsid w:val="00141C67"/>
    <w:rsid w:val="001423EB"/>
    <w:rsid w:val="00143185"/>
    <w:rsid w:val="0014339B"/>
    <w:rsid w:val="00143A22"/>
    <w:rsid w:val="00143A73"/>
    <w:rsid w:val="00143D60"/>
    <w:rsid w:val="00144056"/>
    <w:rsid w:val="001442B9"/>
    <w:rsid w:val="00144D62"/>
    <w:rsid w:val="00145626"/>
    <w:rsid w:val="00146E5C"/>
    <w:rsid w:val="00147370"/>
    <w:rsid w:val="0014794B"/>
    <w:rsid w:val="00147C40"/>
    <w:rsid w:val="0015015F"/>
    <w:rsid w:val="0015025E"/>
    <w:rsid w:val="00150440"/>
    <w:rsid w:val="001509CD"/>
    <w:rsid w:val="00150CF7"/>
    <w:rsid w:val="001512E4"/>
    <w:rsid w:val="001517E2"/>
    <w:rsid w:val="00152044"/>
    <w:rsid w:val="001525F6"/>
    <w:rsid w:val="001526B2"/>
    <w:rsid w:val="001538CD"/>
    <w:rsid w:val="00153C86"/>
    <w:rsid w:val="00153D45"/>
    <w:rsid w:val="00153EEB"/>
    <w:rsid w:val="00153FB5"/>
    <w:rsid w:val="00154658"/>
    <w:rsid w:val="00154715"/>
    <w:rsid w:val="00154B52"/>
    <w:rsid w:val="001564A3"/>
    <w:rsid w:val="001569EA"/>
    <w:rsid w:val="0015773B"/>
    <w:rsid w:val="00157C73"/>
    <w:rsid w:val="00157E09"/>
    <w:rsid w:val="00157F61"/>
    <w:rsid w:val="00160126"/>
    <w:rsid w:val="00160172"/>
    <w:rsid w:val="00160909"/>
    <w:rsid w:val="00161756"/>
    <w:rsid w:val="00163A9E"/>
    <w:rsid w:val="00163D35"/>
    <w:rsid w:val="00164369"/>
    <w:rsid w:val="001647C5"/>
    <w:rsid w:val="00164CFA"/>
    <w:rsid w:val="001662AE"/>
    <w:rsid w:val="00166DEF"/>
    <w:rsid w:val="00166EC1"/>
    <w:rsid w:val="001674D6"/>
    <w:rsid w:val="0016782C"/>
    <w:rsid w:val="00167E6C"/>
    <w:rsid w:val="00170B44"/>
    <w:rsid w:val="00170FD8"/>
    <w:rsid w:val="00171164"/>
    <w:rsid w:val="00172F2A"/>
    <w:rsid w:val="00173164"/>
    <w:rsid w:val="00173243"/>
    <w:rsid w:val="0017363D"/>
    <w:rsid w:val="00174343"/>
    <w:rsid w:val="00175016"/>
    <w:rsid w:val="001776AF"/>
    <w:rsid w:val="001778C2"/>
    <w:rsid w:val="00177C24"/>
    <w:rsid w:val="00180527"/>
    <w:rsid w:val="001805AA"/>
    <w:rsid w:val="00180860"/>
    <w:rsid w:val="00180D4E"/>
    <w:rsid w:val="001811B8"/>
    <w:rsid w:val="00181705"/>
    <w:rsid w:val="0018199E"/>
    <w:rsid w:val="00181CC1"/>
    <w:rsid w:val="00181D35"/>
    <w:rsid w:val="0018272A"/>
    <w:rsid w:val="00182C0B"/>
    <w:rsid w:val="00183710"/>
    <w:rsid w:val="00183823"/>
    <w:rsid w:val="001839DC"/>
    <w:rsid w:val="00185033"/>
    <w:rsid w:val="0018518F"/>
    <w:rsid w:val="0018544F"/>
    <w:rsid w:val="001859F2"/>
    <w:rsid w:val="00185D39"/>
    <w:rsid w:val="00185E56"/>
    <w:rsid w:val="00185F5D"/>
    <w:rsid w:val="0018604F"/>
    <w:rsid w:val="00186FB8"/>
    <w:rsid w:val="001870A7"/>
    <w:rsid w:val="00187303"/>
    <w:rsid w:val="00187C26"/>
    <w:rsid w:val="0019035A"/>
    <w:rsid w:val="001905F4"/>
    <w:rsid w:val="00190FD9"/>
    <w:rsid w:val="0019116C"/>
    <w:rsid w:val="00191B1F"/>
    <w:rsid w:val="00192446"/>
    <w:rsid w:val="00192628"/>
    <w:rsid w:val="00192ED8"/>
    <w:rsid w:val="00192EDD"/>
    <w:rsid w:val="00192F79"/>
    <w:rsid w:val="001932FE"/>
    <w:rsid w:val="00193865"/>
    <w:rsid w:val="00193AB8"/>
    <w:rsid w:val="00195241"/>
    <w:rsid w:val="00195304"/>
    <w:rsid w:val="00195551"/>
    <w:rsid w:val="00196AD4"/>
    <w:rsid w:val="00197115"/>
    <w:rsid w:val="001A02AD"/>
    <w:rsid w:val="001A04BA"/>
    <w:rsid w:val="001A07D4"/>
    <w:rsid w:val="001A0AAD"/>
    <w:rsid w:val="001A0CCB"/>
    <w:rsid w:val="001A0E27"/>
    <w:rsid w:val="001A0E9D"/>
    <w:rsid w:val="001A0FA9"/>
    <w:rsid w:val="001A170F"/>
    <w:rsid w:val="001A1E58"/>
    <w:rsid w:val="001A35D3"/>
    <w:rsid w:val="001A38B3"/>
    <w:rsid w:val="001A413C"/>
    <w:rsid w:val="001A47D7"/>
    <w:rsid w:val="001A5215"/>
    <w:rsid w:val="001A5F6C"/>
    <w:rsid w:val="001A6813"/>
    <w:rsid w:val="001A6B3F"/>
    <w:rsid w:val="001A74B8"/>
    <w:rsid w:val="001A78D8"/>
    <w:rsid w:val="001A7F92"/>
    <w:rsid w:val="001B0906"/>
    <w:rsid w:val="001B0CD8"/>
    <w:rsid w:val="001B0EFE"/>
    <w:rsid w:val="001B1FE1"/>
    <w:rsid w:val="001B21F3"/>
    <w:rsid w:val="001B2E75"/>
    <w:rsid w:val="001B3DAE"/>
    <w:rsid w:val="001B467A"/>
    <w:rsid w:val="001B4E21"/>
    <w:rsid w:val="001B51B8"/>
    <w:rsid w:val="001B59EF"/>
    <w:rsid w:val="001B5EAC"/>
    <w:rsid w:val="001B6142"/>
    <w:rsid w:val="001B653D"/>
    <w:rsid w:val="001B71A8"/>
    <w:rsid w:val="001B7D58"/>
    <w:rsid w:val="001C0AF1"/>
    <w:rsid w:val="001C19CF"/>
    <w:rsid w:val="001C1A23"/>
    <w:rsid w:val="001C205A"/>
    <w:rsid w:val="001C2837"/>
    <w:rsid w:val="001C2983"/>
    <w:rsid w:val="001C2B45"/>
    <w:rsid w:val="001C36E7"/>
    <w:rsid w:val="001C3C47"/>
    <w:rsid w:val="001C3C9A"/>
    <w:rsid w:val="001C3D2F"/>
    <w:rsid w:val="001C4777"/>
    <w:rsid w:val="001C5974"/>
    <w:rsid w:val="001C6298"/>
    <w:rsid w:val="001C6FEB"/>
    <w:rsid w:val="001C7776"/>
    <w:rsid w:val="001C7D77"/>
    <w:rsid w:val="001C7DD4"/>
    <w:rsid w:val="001D066F"/>
    <w:rsid w:val="001D2E48"/>
    <w:rsid w:val="001D30D8"/>
    <w:rsid w:val="001D33CA"/>
    <w:rsid w:val="001D3731"/>
    <w:rsid w:val="001D392A"/>
    <w:rsid w:val="001D3F00"/>
    <w:rsid w:val="001D4710"/>
    <w:rsid w:val="001D5605"/>
    <w:rsid w:val="001D5B51"/>
    <w:rsid w:val="001D6253"/>
    <w:rsid w:val="001D66A7"/>
    <w:rsid w:val="001D6983"/>
    <w:rsid w:val="001D6C05"/>
    <w:rsid w:val="001D73A3"/>
    <w:rsid w:val="001D79EE"/>
    <w:rsid w:val="001D7AAE"/>
    <w:rsid w:val="001D7B61"/>
    <w:rsid w:val="001E0092"/>
    <w:rsid w:val="001E0B3B"/>
    <w:rsid w:val="001E1995"/>
    <w:rsid w:val="001E2424"/>
    <w:rsid w:val="001E36B3"/>
    <w:rsid w:val="001E46B0"/>
    <w:rsid w:val="001E46F0"/>
    <w:rsid w:val="001E4D00"/>
    <w:rsid w:val="001E4F6A"/>
    <w:rsid w:val="001E5B12"/>
    <w:rsid w:val="001E60B7"/>
    <w:rsid w:val="001E6827"/>
    <w:rsid w:val="001E68A2"/>
    <w:rsid w:val="001E69B4"/>
    <w:rsid w:val="001E6A6F"/>
    <w:rsid w:val="001E6C3B"/>
    <w:rsid w:val="001E71F9"/>
    <w:rsid w:val="001E7CA5"/>
    <w:rsid w:val="001E7CD2"/>
    <w:rsid w:val="001F0DE6"/>
    <w:rsid w:val="001F286F"/>
    <w:rsid w:val="001F294C"/>
    <w:rsid w:val="001F2987"/>
    <w:rsid w:val="001F29F2"/>
    <w:rsid w:val="001F2E7C"/>
    <w:rsid w:val="001F36D6"/>
    <w:rsid w:val="001F3724"/>
    <w:rsid w:val="001F4128"/>
    <w:rsid w:val="001F44B8"/>
    <w:rsid w:val="001F4AD1"/>
    <w:rsid w:val="001F4C82"/>
    <w:rsid w:val="001F4E94"/>
    <w:rsid w:val="001F56EE"/>
    <w:rsid w:val="001F5CA6"/>
    <w:rsid w:val="001F6E55"/>
    <w:rsid w:val="001F7355"/>
    <w:rsid w:val="002000C3"/>
    <w:rsid w:val="00200711"/>
    <w:rsid w:val="002007ED"/>
    <w:rsid w:val="00200DA2"/>
    <w:rsid w:val="00200E19"/>
    <w:rsid w:val="00201ECA"/>
    <w:rsid w:val="002053AA"/>
    <w:rsid w:val="0020542B"/>
    <w:rsid w:val="00205700"/>
    <w:rsid w:val="002073A6"/>
    <w:rsid w:val="0021004C"/>
    <w:rsid w:val="0021047B"/>
    <w:rsid w:val="0021206E"/>
    <w:rsid w:val="0021211C"/>
    <w:rsid w:val="00212267"/>
    <w:rsid w:val="00212A92"/>
    <w:rsid w:val="00213201"/>
    <w:rsid w:val="00214188"/>
    <w:rsid w:val="00214DB2"/>
    <w:rsid w:val="002159ED"/>
    <w:rsid w:val="00215DD6"/>
    <w:rsid w:val="00215F5B"/>
    <w:rsid w:val="002170B5"/>
    <w:rsid w:val="00217B08"/>
    <w:rsid w:val="00220AAD"/>
    <w:rsid w:val="00220EE5"/>
    <w:rsid w:val="00220EE8"/>
    <w:rsid w:val="00220FD5"/>
    <w:rsid w:val="002213DA"/>
    <w:rsid w:val="002218E9"/>
    <w:rsid w:val="0022295D"/>
    <w:rsid w:val="002243FC"/>
    <w:rsid w:val="00224C32"/>
    <w:rsid w:val="002254B6"/>
    <w:rsid w:val="002255F0"/>
    <w:rsid w:val="00225691"/>
    <w:rsid w:val="00225AC2"/>
    <w:rsid w:val="002271B2"/>
    <w:rsid w:val="002271FF"/>
    <w:rsid w:val="00227CDF"/>
    <w:rsid w:val="00227EB9"/>
    <w:rsid w:val="00227FD6"/>
    <w:rsid w:val="00230234"/>
    <w:rsid w:val="002302BC"/>
    <w:rsid w:val="002302BF"/>
    <w:rsid w:val="00230894"/>
    <w:rsid w:val="002316A6"/>
    <w:rsid w:val="00232404"/>
    <w:rsid w:val="00232A76"/>
    <w:rsid w:val="00232C86"/>
    <w:rsid w:val="00233958"/>
    <w:rsid w:val="00234AA9"/>
    <w:rsid w:val="00234D13"/>
    <w:rsid w:val="00234EE8"/>
    <w:rsid w:val="0023525F"/>
    <w:rsid w:val="002354ED"/>
    <w:rsid w:val="00235800"/>
    <w:rsid w:val="00235E8E"/>
    <w:rsid w:val="002372E0"/>
    <w:rsid w:val="00237B61"/>
    <w:rsid w:val="00237E99"/>
    <w:rsid w:val="0024055B"/>
    <w:rsid w:val="00240EC4"/>
    <w:rsid w:val="002410CE"/>
    <w:rsid w:val="00241178"/>
    <w:rsid w:val="002411CB"/>
    <w:rsid w:val="002419DB"/>
    <w:rsid w:val="002422CF"/>
    <w:rsid w:val="0024244C"/>
    <w:rsid w:val="00242BC8"/>
    <w:rsid w:val="002437AF"/>
    <w:rsid w:val="00243B20"/>
    <w:rsid w:val="00243BAF"/>
    <w:rsid w:val="00244116"/>
    <w:rsid w:val="0024446C"/>
    <w:rsid w:val="00244C11"/>
    <w:rsid w:val="00245348"/>
    <w:rsid w:val="00245A04"/>
    <w:rsid w:val="00245A71"/>
    <w:rsid w:val="00245B32"/>
    <w:rsid w:val="00245DA3"/>
    <w:rsid w:val="00245FB1"/>
    <w:rsid w:val="0024632D"/>
    <w:rsid w:val="002463E2"/>
    <w:rsid w:val="002469E8"/>
    <w:rsid w:val="00246C52"/>
    <w:rsid w:val="00246FAC"/>
    <w:rsid w:val="002479CC"/>
    <w:rsid w:val="00247DE7"/>
    <w:rsid w:val="00247EEE"/>
    <w:rsid w:val="002501CF"/>
    <w:rsid w:val="0025136F"/>
    <w:rsid w:val="00251C89"/>
    <w:rsid w:val="00251F76"/>
    <w:rsid w:val="002520C6"/>
    <w:rsid w:val="002526CB"/>
    <w:rsid w:val="002528B7"/>
    <w:rsid w:val="002546B6"/>
    <w:rsid w:val="002548C3"/>
    <w:rsid w:val="00254C79"/>
    <w:rsid w:val="002571F3"/>
    <w:rsid w:val="00257329"/>
    <w:rsid w:val="00257358"/>
    <w:rsid w:val="002575FB"/>
    <w:rsid w:val="00260465"/>
    <w:rsid w:val="00260902"/>
    <w:rsid w:val="00260A74"/>
    <w:rsid w:val="00260E33"/>
    <w:rsid w:val="0026189E"/>
    <w:rsid w:val="00261A74"/>
    <w:rsid w:val="00261A8E"/>
    <w:rsid w:val="002635AC"/>
    <w:rsid w:val="00263B8F"/>
    <w:rsid w:val="002643B0"/>
    <w:rsid w:val="0026447D"/>
    <w:rsid w:val="00264E8F"/>
    <w:rsid w:val="00264FD4"/>
    <w:rsid w:val="002654AE"/>
    <w:rsid w:val="0026559A"/>
    <w:rsid w:val="00265813"/>
    <w:rsid w:val="00265B36"/>
    <w:rsid w:val="00265D7E"/>
    <w:rsid w:val="002661A7"/>
    <w:rsid w:val="0026621E"/>
    <w:rsid w:val="002664C7"/>
    <w:rsid w:val="00267416"/>
    <w:rsid w:val="00267609"/>
    <w:rsid w:val="002702D7"/>
    <w:rsid w:val="00270CA5"/>
    <w:rsid w:val="00270FBB"/>
    <w:rsid w:val="0027189B"/>
    <w:rsid w:val="002737E0"/>
    <w:rsid w:val="00274553"/>
    <w:rsid w:val="00274756"/>
    <w:rsid w:val="002747BD"/>
    <w:rsid w:val="002747E1"/>
    <w:rsid w:val="00274B44"/>
    <w:rsid w:val="00274E72"/>
    <w:rsid w:val="00275DFD"/>
    <w:rsid w:val="002760E3"/>
    <w:rsid w:val="00276408"/>
    <w:rsid w:val="00276F25"/>
    <w:rsid w:val="00276FB2"/>
    <w:rsid w:val="00277908"/>
    <w:rsid w:val="002804DD"/>
    <w:rsid w:val="00280861"/>
    <w:rsid w:val="002817CC"/>
    <w:rsid w:val="00281CD2"/>
    <w:rsid w:val="00281F2E"/>
    <w:rsid w:val="00282AEC"/>
    <w:rsid w:val="00282E64"/>
    <w:rsid w:val="002831CE"/>
    <w:rsid w:val="00284635"/>
    <w:rsid w:val="0028475B"/>
    <w:rsid w:val="0028495E"/>
    <w:rsid w:val="00284A0B"/>
    <w:rsid w:val="002856B4"/>
    <w:rsid w:val="00286AD7"/>
    <w:rsid w:val="00287035"/>
    <w:rsid w:val="00287B8E"/>
    <w:rsid w:val="002906C5"/>
    <w:rsid w:val="00290FEE"/>
    <w:rsid w:val="0029120A"/>
    <w:rsid w:val="002921F3"/>
    <w:rsid w:val="002922F5"/>
    <w:rsid w:val="0029294E"/>
    <w:rsid w:val="00292B4E"/>
    <w:rsid w:val="00292C3D"/>
    <w:rsid w:val="0029304E"/>
    <w:rsid w:val="00293AD5"/>
    <w:rsid w:val="00293EB3"/>
    <w:rsid w:val="0029422B"/>
    <w:rsid w:val="00294434"/>
    <w:rsid w:val="0029456D"/>
    <w:rsid w:val="00295282"/>
    <w:rsid w:val="002953B2"/>
    <w:rsid w:val="00295AE3"/>
    <w:rsid w:val="00296189"/>
    <w:rsid w:val="00296C1E"/>
    <w:rsid w:val="00297251"/>
    <w:rsid w:val="00297A07"/>
    <w:rsid w:val="00297D68"/>
    <w:rsid w:val="002A03EE"/>
    <w:rsid w:val="002A0978"/>
    <w:rsid w:val="002A0DF7"/>
    <w:rsid w:val="002A105E"/>
    <w:rsid w:val="002A126F"/>
    <w:rsid w:val="002A18FD"/>
    <w:rsid w:val="002A1B90"/>
    <w:rsid w:val="002A2827"/>
    <w:rsid w:val="002A29B3"/>
    <w:rsid w:val="002A2E48"/>
    <w:rsid w:val="002A2E99"/>
    <w:rsid w:val="002A3DF2"/>
    <w:rsid w:val="002A3F1E"/>
    <w:rsid w:val="002A3FCE"/>
    <w:rsid w:val="002A40CB"/>
    <w:rsid w:val="002A4BA8"/>
    <w:rsid w:val="002A5510"/>
    <w:rsid w:val="002A56F2"/>
    <w:rsid w:val="002A787C"/>
    <w:rsid w:val="002A7D91"/>
    <w:rsid w:val="002B066B"/>
    <w:rsid w:val="002B1044"/>
    <w:rsid w:val="002B13A9"/>
    <w:rsid w:val="002B180E"/>
    <w:rsid w:val="002B1AE9"/>
    <w:rsid w:val="002B22DC"/>
    <w:rsid w:val="002B2482"/>
    <w:rsid w:val="002B2A4E"/>
    <w:rsid w:val="002B4214"/>
    <w:rsid w:val="002B441C"/>
    <w:rsid w:val="002B4432"/>
    <w:rsid w:val="002B4B15"/>
    <w:rsid w:val="002B56AC"/>
    <w:rsid w:val="002B5AF3"/>
    <w:rsid w:val="002B61A9"/>
    <w:rsid w:val="002B6576"/>
    <w:rsid w:val="002B6A7E"/>
    <w:rsid w:val="002B7C75"/>
    <w:rsid w:val="002C1924"/>
    <w:rsid w:val="002C1A04"/>
    <w:rsid w:val="002C233B"/>
    <w:rsid w:val="002C23AB"/>
    <w:rsid w:val="002C28E5"/>
    <w:rsid w:val="002C2E64"/>
    <w:rsid w:val="002C44F3"/>
    <w:rsid w:val="002C4639"/>
    <w:rsid w:val="002C4C89"/>
    <w:rsid w:val="002C4EF3"/>
    <w:rsid w:val="002C5529"/>
    <w:rsid w:val="002C5593"/>
    <w:rsid w:val="002C5857"/>
    <w:rsid w:val="002C65EA"/>
    <w:rsid w:val="002C66CF"/>
    <w:rsid w:val="002C6AAC"/>
    <w:rsid w:val="002C7E36"/>
    <w:rsid w:val="002D036A"/>
    <w:rsid w:val="002D0396"/>
    <w:rsid w:val="002D06CC"/>
    <w:rsid w:val="002D087B"/>
    <w:rsid w:val="002D2139"/>
    <w:rsid w:val="002D2DAD"/>
    <w:rsid w:val="002D37CD"/>
    <w:rsid w:val="002D43E3"/>
    <w:rsid w:val="002D4C4E"/>
    <w:rsid w:val="002D4E54"/>
    <w:rsid w:val="002D52D1"/>
    <w:rsid w:val="002D6630"/>
    <w:rsid w:val="002D7143"/>
    <w:rsid w:val="002D749C"/>
    <w:rsid w:val="002D7A13"/>
    <w:rsid w:val="002D7A41"/>
    <w:rsid w:val="002D7AC5"/>
    <w:rsid w:val="002E01E6"/>
    <w:rsid w:val="002E0230"/>
    <w:rsid w:val="002E0C35"/>
    <w:rsid w:val="002E0C6A"/>
    <w:rsid w:val="002E10D1"/>
    <w:rsid w:val="002E1861"/>
    <w:rsid w:val="002E1B03"/>
    <w:rsid w:val="002E254F"/>
    <w:rsid w:val="002E261E"/>
    <w:rsid w:val="002E27DD"/>
    <w:rsid w:val="002E3EDE"/>
    <w:rsid w:val="002E5A09"/>
    <w:rsid w:val="002F0349"/>
    <w:rsid w:val="002F03A2"/>
    <w:rsid w:val="002F0AD5"/>
    <w:rsid w:val="002F1224"/>
    <w:rsid w:val="002F1C1D"/>
    <w:rsid w:val="002F2396"/>
    <w:rsid w:val="002F277F"/>
    <w:rsid w:val="002F291D"/>
    <w:rsid w:val="002F4119"/>
    <w:rsid w:val="002F5142"/>
    <w:rsid w:val="002F5370"/>
    <w:rsid w:val="002F5B81"/>
    <w:rsid w:val="002F5D56"/>
    <w:rsid w:val="002F632C"/>
    <w:rsid w:val="002F6415"/>
    <w:rsid w:val="002F6EC0"/>
    <w:rsid w:val="002F7612"/>
    <w:rsid w:val="002F76B5"/>
    <w:rsid w:val="002F78A6"/>
    <w:rsid w:val="002F7BD6"/>
    <w:rsid w:val="0030037A"/>
    <w:rsid w:val="00301C93"/>
    <w:rsid w:val="00302496"/>
    <w:rsid w:val="00302CD0"/>
    <w:rsid w:val="003040E3"/>
    <w:rsid w:val="00304636"/>
    <w:rsid w:val="00306CD6"/>
    <w:rsid w:val="00306EA5"/>
    <w:rsid w:val="00307123"/>
    <w:rsid w:val="003075E8"/>
    <w:rsid w:val="00307883"/>
    <w:rsid w:val="00307A1E"/>
    <w:rsid w:val="00307E16"/>
    <w:rsid w:val="00307F9E"/>
    <w:rsid w:val="003107A0"/>
    <w:rsid w:val="00310D50"/>
    <w:rsid w:val="00310D7A"/>
    <w:rsid w:val="00310DEF"/>
    <w:rsid w:val="0031135B"/>
    <w:rsid w:val="00312A11"/>
    <w:rsid w:val="0031314D"/>
    <w:rsid w:val="0031328B"/>
    <w:rsid w:val="003132F3"/>
    <w:rsid w:val="00313783"/>
    <w:rsid w:val="00313F22"/>
    <w:rsid w:val="003153D8"/>
    <w:rsid w:val="00315D40"/>
    <w:rsid w:val="00315EB2"/>
    <w:rsid w:val="00315FE5"/>
    <w:rsid w:val="0031600C"/>
    <w:rsid w:val="00316179"/>
    <w:rsid w:val="00316CC5"/>
    <w:rsid w:val="0031714F"/>
    <w:rsid w:val="003176D2"/>
    <w:rsid w:val="00317A3C"/>
    <w:rsid w:val="003200EF"/>
    <w:rsid w:val="00320738"/>
    <w:rsid w:val="003207F4"/>
    <w:rsid w:val="00320B6B"/>
    <w:rsid w:val="00320D6D"/>
    <w:rsid w:val="0032111C"/>
    <w:rsid w:val="00321AA4"/>
    <w:rsid w:val="00321C23"/>
    <w:rsid w:val="003223D1"/>
    <w:rsid w:val="00323549"/>
    <w:rsid w:val="00323879"/>
    <w:rsid w:val="00324455"/>
    <w:rsid w:val="00324CA9"/>
    <w:rsid w:val="00325162"/>
    <w:rsid w:val="00325BF0"/>
    <w:rsid w:val="00326EB5"/>
    <w:rsid w:val="00326F43"/>
    <w:rsid w:val="003273DF"/>
    <w:rsid w:val="00327CD4"/>
    <w:rsid w:val="00327EAB"/>
    <w:rsid w:val="00330EB5"/>
    <w:rsid w:val="00331EB4"/>
    <w:rsid w:val="003323A8"/>
    <w:rsid w:val="00332671"/>
    <w:rsid w:val="003326B6"/>
    <w:rsid w:val="00333159"/>
    <w:rsid w:val="00333415"/>
    <w:rsid w:val="00333BF3"/>
    <w:rsid w:val="003343F1"/>
    <w:rsid w:val="003344B3"/>
    <w:rsid w:val="00334B0C"/>
    <w:rsid w:val="00334ED1"/>
    <w:rsid w:val="0033553F"/>
    <w:rsid w:val="00335E1D"/>
    <w:rsid w:val="00335EDB"/>
    <w:rsid w:val="00336526"/>
    <w:rsid w:val="003366FC"/>
    <w:rsid w:val="00336DFA"/>
    <w:rsid w:val="00340B0C"/>
    <w:rsid w:val="00340CB1"/>
    <w:rsid w:val="003412E7"/>
    <w:rsid w:val="00341A0A"/>
    <w:rsid w:val="0034239F"/>
    <w:rsid w:val="0034297F"/>
    <w:rsid w:val="0034312A"/>
    <w:rsid w:val="0034330C"/>
    <w:rsid w:val="00344476"/>
    <w:rsid w:val="00344597"/>
    <w:rsid w:val="0034640E"/>
    <w:rsid w:val="00346F55"/>
    <w:rsid w:val="00347AB0"/>
    <w:rsid w:val="00351518"/>
    <w:rsid w:val="00351582"/>
    <w:rsid w:val="00352597"/>
    <w:rsid w:val="00352D2A"/>
    <w:rsid w:val="003535F1"/>
    <w:rsid w:val="00353F7D"/>
    <w:rsid w:val="003541EE"/>
    <w:rsid w:val="00354358"/>
    <w:rsid w:val="00354424"/>
    <w:rsid w:val="00354A8B"/>
    <w:rsid w:val="00354CB6"/>
    <w:rsid w:val="0035509D"/>
    <w:rsid w:val="003558D4"/>
    <w:rsid w:val="00356FD9"/>
    <w:rsid w:val="0035764C"/>
    <w:rsid w:val="0035793D"/>
    <w:rsid w:val="00357A2B"/>
    <w:rsid w:val="00360153"/>
    <w:rsid w:val="00360CCF"/>
    <w:rsid w:val="00360CED"/>
    <w:rsid w:val="003613F6"/>
    <w:rsid w:val="003616B2"/>
    <w:rsid w:val="003617C9"/>
    <w:rsid w:val="00362A2C"/>
    <w:rsid w:val="00362FF3"/>
    <w:rsid w:val="00363F41"/>
    <w:rsid w:val="00364026"/>
    <w:rsid w:val="0036466B"/>
    <w:rsid w:val="00364C46"/>
    <w:rsid w:val="00365143"/>
    <w:rsid w:val="003654EF"/>
    <w:rsid w:val="003667D1"/>
    <w:rsid w:val="00366D36"/>
    <w:rsid w:val="0036732B"/>
    <w:rsid w:val="00367964"/>
    <w:rsid w:val="0037014A"/>
    <w:rsid w:val="003707F1"/>
    <w:rsid w:val="00370BEA"/>
    <w:rsid w:val="00371DA5"/>
    <w:rsid w:val="00372040"/>
    <w:rsid w:val="003726E5"/>
    <w:rsid w:val="0037282C"/>
    <w:rsid w:val="0037286A"/>
    <w:rsid w:val="0037314A"/>
    <w:rsid w:val="00373177"/>
    <w:rsid w:val="003733DA"/>
    <w:rsid w:val="00373CD9"/>
    <w:rsid w:val="00373F89"/>
    <w:rsid w:val="0037675F"/>
    <w:rsid w:val="003767E7"/>
    <w:rsid w:val="0037685A"/>
    <w:rsid w:val="00376B80"/>
    <w:rsid w:val="003774A7"/>
    <w:rsid w:val="00377A4C"/>
    <w:rsid w:val="00380913"/>
    <w:rsid w:val="00380A2E"/>
    <w:rsid w:val="00380EC6"/>
    <w:rsid w:val="003811EC"/>
    <w:rsid w:val="00381A44"/>
    <w:rsid w:val="00381E61"/>
    <w:rsid w:val="00382085"/>
    <w:rsid w:val="003823EA"/>
    <w:rsid w:val="0038255B"/>
    <w:rsid w:val="00382A6D"/>
    <w:rsid w:val="003832C0"/>
    <w:rsid w:val="003832E5"/>
    <w:rsid w:val="00384036"/>
    <w:rsid w:val="003840FA"/>
    <w:rsid w:val="00384417"/>
    <w:rsid w:val="00384CEB"/>
    <w:rsid w:val="00384F59"/>
    <w:rsid w:val="00384FB9"/>
    <w:rsid w:val="00385134"/>
    <w:rsid w:val="0038516A"/>
    <w:rsid w:val="00385681"/>
    <w:rsid w:val="003863F4"/>
    <w:rsid w:val="00386895"/>
    <w:rsid w:val="003870C2"/>
    <w:rsid w:val="0039026B"/>
    <w:rsid w:val="00390851"/>
    <w:rsid w:val="003914C6"/>
    <w:rsid w:val="00391AB1"/>
    <w:rsid w:val="00391EB0"/>
    <w:rsid w:val="003922D4"/>
    <w:rsid w:val="00392B5E"/>
    <w:rsid w:val="003943D8"/>
    <w:rsid w:val="0039443C"/>
    <w:rsid w:val="0039467C"/>
    <w:rsid w:val="00394B55"/>
    <w:rsid w:val="003959DA"/>
    <w:rsid w:val="00395A17"/>
    <w:rsid w:val="00395C82"/>
    <w:rsid w:val="00395F92"/>
    <w:rsid w:val="00396C1C"/>
    <w:rsid w:val="00396D2E"/>
    <w:rsid w:val="003973B0"/>
    <w:rsid w:val="003A092A"/>
    <w:rsid w:val="003A10F5"/>
    <w:rsid w:val="003A1708"/>
    <w:rsid w:val="003A1FD8"/>
    <w:rsid w:val="003A2162"/>
    <w:rsid w:val="003A2D26"/>
    <w:rsid w:val="003A2FA4"/>
    <w:rsid w:val="003A3191"/>
    <w:rsid w:val="003A4148"/>
    <w:rsid w:val="003A45B2"/>
    <w:rsid w:val="003A660F"/>
    <w:rsid w:val="003A669D"/>
    <w:rsid w:val="003A6F9E"/>
    <w:rsid w:val="003A774B"/>
    <w:rsid w:val="003B0E39"/>
    <w:rsid w:val="003B113E"/>
    <w:rsid w:val="003B115C"/>
    <w:rsid w:val="003B2631"/>
    <w:rsid w:val="003B2B34"/>
    <w:rsid w:val="003B2F5D"/>
    <w:rsid w:val="003B3AF4"/>
    <w:rsid w:val="003B3CBF"/>
    <w:rsid w:val="003B4607"/>
    <w:rsid w:val="003B561A"/>
    <w:rsid w:val="003B5704"/>
    <w:rsid w:val="003B5729"/>
    <w:rsid w:val="003B5AB5"/>
    <w:rsid w:val="003B5BEC"/>
    <w:rsid w:val="003B6D2A"/>
    <w:rsid w:val="003B798B"/>
    <w:rsid w:val="003C201A"/>
    <w:rsid w:val="003C353E"/>
    <w:rsid w:val="003C35B6"/>
    <w:rsid w:val="003C3611"/>
    <w:rsid w:val="003C42E2"/>
    <w:rsid w:val="003C463E"/>
    <w:rsid w:val="003C4DE7"/>
    <w:rsid w:val="003C4EDA"/>
    <w:rsid w:val="003C5C7B"/>
    <w:rsid w:val="003C606E"/>
    <w:rsid w:val="003C74B0"/>
    <w:rsid w:val="003D1DCB"/>
    <w:rsid w:val="003D1E1F"/>
    <w:rsid w:val="003D1F06"/>
    <w:rsid w:val="003D23EF"/>
    <w:rsid w:val="003D2835"/>
    <w:rsid w:val="003D2857"/>
    <w:rsid w:val="003D3016"/>
    <w:rsid w:val="003D3298"/>
    <w:rsid w:val="003D338E"/>
    <w:rsid w:val="003D3550"/>
    <w:rsid w:val="003D3CB2"/>
    <w:rsid w:val="003D4B07"/>
    <w:rsid w:val="003D4D4D"/>
    <w:rsid w:val="003D59AF"/>
    <w:rsid w:val="003D6A98"/>
    <w:rsid w:val="003D6FE2"/>
    <w:rsid w:val="003D72ED"/>
    <w:rsid w:val="003D77B6"/>
    <w:rsid w:val="003D7EBB"/>
    <w:rsid w:val="003E01B7"/>
    <w:rsid w:val="003E01E3"/>
    <w:rsid w:val="003E066A"/>
    <w:rsid w:val="003E13AA"/>
    <w:rsid w:val="003E14AC"/>
    <w:rsid w:val="003E15D6"/>
    <w:rsid w:val="003E16A9"/>
    <w:rsid w:val="003E24A1"/>
    <w:rsid w:val="003E2776"/>
    <w:rsid w:val="003E3282"/>
    <w:rsid w:val="003E34FD"/>
    <w:rsid w:val="003E3982"/>
    <w:rsid w:val="003E3AAE"/>
    <w:rsid w:val="003E4A17"/>
    <w:rsid w:val="003E5225"/>
    <w:rsid w:val="003E52A6"/>
    <w:rsid w:val="003E54DA"/>
    <w:rsid w:val="003E671F"/>
    <w:rsid w:val="003E6DA7"/>
    <w:rsid w:val="003E729E"/>
    <w:rsid w:val="003E7C64"/>
    <w:rsid w:val="003E7CFD"/>
    <w:rsid w:val="003E7F58"/>
    <w:rsid w:val="003F05BC"/>
    <w:rsid w:val="003F0D9F"/>
    <w:rsid w:val="003F0EA6"/>
    <w:rsid w:val="003F100C"/>
    <w:rsid w:val="003F1040"/>
    <w:rsid w:val="003F1297"/>
    <w:rsid w:val="003F2BD2"/>
    <w:rsid w:val="003F31B6"/>
    <w:rsid w:val="003F3963"/>
    <w:rsid w:val="003F39B6"/>
    <w:rsid w:val="003F3E30"/>
    <w:rsid w:val="003F5982"/>
    <w:rsid w:val="003F643D"/>
    <w:rsid w:val="003F66AF"/>
    <w:rsid w:val="003F7123"/>
    <w:rsid w:val="003F7372"/>
    <w:rsid w:val="003F7D24"/>
    <w:rsid w:val="00400124"/>
    <w:rsid w:val="004003AA"/>
    <w:rsid w:val="0040114D"/>
    <w:rsid w:val="0040118F"/>
    <w:rsid w:val="00401218"/>
    <w:rsid w:val="00401413"/>
    <w:rsid w:val="00401887"/>
    <w:rsid w:val="0040279A"/>
    <w:rsid w:val="0040282B"/>
    <w:rsid w:val="00402BDA"/>
    <w:rsid w:val="00402E9B"/>
    <w:rsid w:val="00402FD5"/>
    <w:rsid w:val="004032AA"/>
    <w:rsid w:val="00403454"/>
    <w:rsid w:val="00403D52"/>
    <w:rsid w:val="00403FF5"/>
    <w:rsid w:val="004040FF"/>
    <w:rsid w:val="00404851"/>
    <w:rsid w:val="00404ABE"/>
    <w:rsid w:val="00404F15"/>
    <w:rsid w:val="0040561A"/>
    <w:rsid w:val="0040642D"/>
    <w:rsid w:val="00406BD0"/>
    <w:rsid w:val="00406FF1"/>
    <w:rsid w:val="004075EB"/>
    <w:rsid w:val="00410479"/>
    <w:rsid w:val="004107DF"/>
    <w:rsid w:val="00412377"/>
    <w:rsid w:val="004125F6"/>
    <w:rsid w:val="00412B59"/>
    <w:rsid w:val="00413971"/>
    <w:rsid w:val="00414AFB"/>
    <w:rsid w:val="00415694"/>
    <w:rsid w:val="00415DF1"/>
    <w:rsid w:val="004165F7"/>
    <w:rsid w:val="004168C9"/>
    <w:rsid w:val="004172BE"/>
    <w:rsid w:val="00417303"/>
    <w:rsid w:val="00417353"/>
    <w:rsid w:val="00417519"/>
    <w:rsid w:val="00417BE0"/>
    <w:rsid w:val="00417E37"/>
    <w:rsid w:val="00421842"/>
    <w:rsid w:val="004218CF"/>
    <w:rsid w:val="00421E10"/>
    <w:rsid w:val="00423975"/>
    <w:rsid w:val="00423E07"/>
    <w:rsid w:val="00423E48"/>
    <w:rsid w:val="00423EC0"/>
    <w:rsid w:val="00424077"/>
    <w:rsid w:val="00424127"/>
    <w:rsid w:val="00424290"/>
    <w:rsid w:val="004242A1"/>
    <w:rsid w:val="004253D0"/>
    <w:rsid w:val="004264C4"/>
    <w:rsid w:val="00426CE3"/>
    <w:rsid w:val="00426E78"/>
    <w:rsid w:val="00430DC3"/>
    <w:rsid w:val="00431BCE"/>
    <w:rsid w:val="00432B4A"/>
    <w:rsid w:val="00432C8E"/>
    <w:rsid w:val="0043332D"/>
    <w:rsid w:val="0043388E"/>
    <w:rsid w:val="004338B2"/>
    <w:rsid w:val="00433BF7"/>
    <w:rsid w:val="00433D74"/>
    <w:rsid w:val="004344ED"/>
    <w:rsid w:val="00434889"/>
    <w:rsid w:val="00434E5A"/>
    <w:rsid w:val="00435181"/>
    <w:rsid w:val="00435474"/>
    <w:rsid w:val="00435D82"/>
    <w:rsid w:val="00435F9B"/>
    <w:rsid w:val="0043624A"/>
    <w:rsid w:val="004363FC"/>
    <w:rsid w:val="00436421"/>
    <w:rsid w:val="00436F94"/>
    <w:rsid w:val="0043716D"/>
    <w:rsid w:val="00437FF2"/>
    <w:rsid w:val="00440ECD"/>
    <w:rsid w:val="004415D4"/>
    <w:rsid w:val="004429BC"/>
    <w:rsid w:val="00442B92"/>
    <w:rsid w:val="00442D45"/>
    <w:rsid w:val="004436E1"/>
    <w:rsid w:val="0044397C"/>
    <w:rsid w:val="0044416B"/>
    <w:rsid w:val="00444522"/>
    <w:rsid w:val="00444FAE"/>
    <w:rsid w:val="00445105"/>
    <w:rsid w:val="00445449"/>
    <w:rsid w:val="00445AE0"/>
    <w:rsid w:val="00445E19"/>
    <w:rsid w:val="004467F2"/>
    <w:rsid w:val="00447566"/>
    <w:rsid w:val="00447739"/>
    <w:rsid w:val="00447A3A"/>
    <w:rsid w:val="00447F60"/>
    <w:rsid w:val="004502B6"/>
    <w:rsid w:val="00450C18"/>
    <w:rsid w:val="00450C7D"/>
    <w:rsid w:val="00450D74"/>
    <w:rsid w:val="00450E81"/>
    <w:rsid w:val="00451033"/>
    <w:rsid w:val="004513A1"/>
    <w:rsid w:val="004515B1"/>
    <w:rsid w:val="00451F65"/>
    <w:rsid w:val="004523D3"/>
    <w:rsid w:val="00452890"/>
    <w:rsid w:val="00452E31"/>
    <w:rsid w:val="00453577"/>
    <w:rsid w:val="004540BB"/>
    <w:rsid w:val="0045447F"/>
    <w:rsid w:val="00454B20"/>
    <w:rsid w:val="00454B8B"/>
    <w:rsid w:val="00455AAD"/>
    <w:rsid w:val="00456435"/>
    <w:rsid w:val="00456B41"/>
    <w:rsid w:val="00456C6A"/>
    <w:rsid w:val="004572AB"/>
    <w:rsid w:val="004572D9"/>
    <w:rsid w:val="00457B42"/>
    <w:rsid w:val="0046096B"/>
    <w:rsid w:val="004609A0"/>
    <w:rsid w:val="00460E46"/>
    <w:rsid w:val="00461B7C"/>
    <w:rsid w:val="00461B80"/>
    <w:rsid w:val="00461D02"/>
    <w:rsid w:val="00462F0E"/>
    <w:rsid w:val="00463247"/>
    <w:rsid w:val="00464ACE"/>
    <w:rsid w:val="0046516D"/>
    <w:rsid w:val="00465D84"/>
    <w:rsid w:val="00467A17"/>
    <w:rsid w:val="00467AB0"/>
    <w:rsid w:val="00467B2A"/>
    <w:rsid w:val="00470715"/>
    <w:rsid w:val="00470825"/>
    <w:rsid w:val="0047092A"/>
    <w:rsid w:val="004711F0"/>
    <w:rsid w:val="00471A41"/>
    <w:rsid w:val="00472632"/>
    <w:rsid w:val="00473AA3"/>
    <w:rsid w:val="004746F9"/>
    <w:rsid w:val="00474B9B"/>
    <w:rsid w:val="00474FC1"/>
    <w:rsid w:val="00475496"/>
    <w:rsid w:val="00475D28"/>
    <w:rsid w:val="00476205"/>
    <w:rsid w:val="00476320"/>
    <w:rsid w:val="004767AF"/>
    <w:rsid w:val="00476AD0"/>
    <w:rsid w:val="0047791A"/>
    <w:rsid w:val="00477B51"/>
    <w:rsid w:val="00477C11"/>
    <w:rsid w:val="00480328"/>
    <w:rsid w:val="00481FFB"/>
    <w:rsid w:val="004823CC"/>
    <w:rsid w:val="0048329A"/>
    <w:rsid w:val="00483986"/>
    <w:rsid w:val="00483BB6"/>
    <w:rsid w:val="00483CEC"/>
    <w:rsid w:val="00483D2C"/>
    <w:rsid w:val="00483E9C"/>
    <w:rsid w:val="004855DF"/>
    <w:rsid w:val="0048561A"/>
    <w:rsid w:val="004856FD"/>
    <w:rsid w:val="004864B3"/>
    <w:rsid w:val="00486F6E"/>
    <w:rsid w:val="00487201"/>
    <w:rsid w:val="0048744A"/>
    <w:rsid w:val="0048765D"/>
    <w:rsid w:val="004879AE"/>
    <w:rsid w:val="00487CE8"/>
    <w:rsid w:val="004900C2"/>
    <w:rsid w:val="00490A0D"/>
    <w:rsid w:val="00490E93"/>
    <w:rsid w:val="00490F4C"/>
    <w:rsid w:val="0049122F"/>
    <w:rsid w:val="0049178B"/>
    <w:rsid w:val="00491CF8"/>
    <w:rsid w:val="00491ED6"/>
    <w:rsid w:val="00491F0B"/>
    <w:rsid w:val="00492B83"/>
    <w:rsid w:val="004938B7"/>
    <w:rsid w:val="0049394D"/>
    <w:rsid w:val="004939F6"/>
    <w:rsid w:val="00493EF2"/>
    <w:rsid w:val="00494435"/>
    <w:rsid w:val="00494DE0"/>
    <w:rsid w:val="004952F4"/>
    <w:rsid w:val="00495308"/>
    <w:rsid w:val="00495663"/>
    <w:rsid w:val="00495787"/>
    <w:rsid w:val="0049648E"/>
    <w:rsid w:val="00496ABD"/>
    <w:rsid w:val="00496EDB"/>
    <w:rsid w:val="004975DB"/>
    <w:rsid w:val="0049775D"/>
    <w:rsid w:val="00497D49"/>
    <w:rsid w:val="004A13B3"/>
    <w:rsid w:val="004A1770"/>
    <w:rsid w:val="004A2AFB"/>
    <w:rsid w:val="004A2F3C"/>
    <w:rsid w:val="004A3859"/>
    <w:rsid w:val="004A45F3"/>
    <w:rsid w:val="004A468C"/>
    <w:rsid w:val="004A46DC"/>
    <w:rsid w:val="004A497A"/>
    <w:rsid w:val="004A4F70"/>
    <w:rsid w:val="004A4FBA"/>
    <w:rsid w:val="004A538D"/>
    <w:rsid w:val="004A55D4"/>
    <w:rsid w:val="004A5CBC"/>
    <w:rsid w:val="004A5DD3"/>
    <w:rsid w:val="004A6075"/>
    <w:rsid w:val="004A664D"/>
    <w:rsid w:val="004A67E7"/>
    <w:rsid w:val="004A6976"/>
    <w:rsid w:val="004A6AB5"/>
    <w:rsid w:val="004A73D7"/>
    <w:rsid w:val="004A7504"/>
    <w:rsid w:val="004B2853"/>
    <w:rsid w:val="004B3048"/>
    <w:rsid w:val="004B3337"/>
    <w:rsid w:val="004B3833"/>
    <w:rsid w:val="004B40D9"/>
    <w:rsid w:val="004B4604"/>
    <w:rsid w:val="004B4884"/>
    <w:rsid w:val="004B4EEA"/>
    <w:rsid w:val="004B52AF"/>
    <w:rsid w:val="004B5432"/>
    <w:rsid w:val="004B5C48"/>
    <w:rsid w:val="004B6340"/>
    <w:rsid w:val="004B635A"/>
    <w:rsid w:val="004B6804"/>
    <w:rsid w:val="004B69FD"/>
    <w:rsid w:val="004B6ADD"/>
    <w:rsid w:val="004B6C99"/>
    <w:rsid w:val="004B7769"/>
    <w:rsid w:val="004B7AB3"/>
    <w:rsid w:val="004C0285"/>
    <w:rsid w:val="004C12BB"/>
    <w:rsid w:val="004C1B72"/>
    <w:rsid w:val="004C2FDD"/>
    <w:rsid w:val="004C333C"/>
    <w:rsid w:val="004C4353"/>
    <w:rsid w:val="004C4EE8"/>
    <w:rsid w:val="004C5118"/>
    <w:rsid w:val="004C54F5"/>
    <w:rsid w:val="004C758A"/>
    <w:rsid w:val="004C76B0"/>
    <w:rsid w:val="004C7D4B"/>
    <w:rsid w:val="004D01F2"/>
    <w:rsid w:val="004D0424"/>
    <w:rsid w:val="004D09FB"/>
    <w:rsid w:val="004D11F7"/>
    <w:rsid w:val="004D209E"/>
    <w:rsid w:val="004D231C"/>
    <w:rsid w:val="004D23AD"/>
    <w:rsid w:val="004D23FF"/>
    <w:rsid w:val="004D24B2"/>
    <w:rsid w:val="004D3F1C"/>
    <w:rsid w:val="004D4B8F"/>
    <w:rsid w:val="004D69CE"/>
    <w:rsid w:val="004D6A4F"/>
    <w:rsid w:val="004D7510"/>
    <w:rsid w:val="004D75AD"/>
    <w:rsid w:val="004D7727"/>
    <w:rsid w:val="004D7C7E"/>
    <w:rsid w:val="004E1900"/>
    <w:rsid w:val="004E250D"/>
    <w:rsid w:val="004E25F8"/>
    <w:rsid w:val="004E2B91"/>
    <w:rsid w:val="004E32FB"/>
    <w:rsid w:val="004E342C"/>
    <w:rsid w:val="004E36A7"/>
    <w:rsid w:val="004E4C77"/>
    <w:rsid w:val="004E51DE"/>
    <w:rsid w:val="004E5216"/>
    <w:rsid w:val="004E5304"/>
    <w:rsid w:val="004E536D"/>
    <w:rsid w:val="004E5EF0"/>
    <w:rsid w:val="004E6024"/>
    <w:rsid w:val="004E679F"/>
    <w:rsid w:val="004E6948"/>
    <w:rsid w:val="004E6A6E"/>
    <w:rsid w:val="004E6FA3"/>
    <w:rsid w:val="004E7043"/>
    <w:rsid w:val="004E7994"/>
    <w:rsid w:val="004E79D1"/>
    <w:rsid w:val="004F0650"/>
    <w:rsid w:val="004F0861"/>
    <w:rsid w:val="004F0B9F"/>
    <w:rsid w:val="004F0F8E"/>
    <w:rsid w:val="004F1553"/>
    <w:rsid w:val="004F1E17"/>
    <w:rsid w:val="004F20EF"/>
    <w:rsid w:val="004F2296"/>
    <w:rsid w:val="004F2DB9"/>
    <w:rsid w:val="004F36EF"/>
    <w:rsid w:val="004F3C65"/>
    <w:rsid w:val="004F44DC"/>
    <w:rsid w:val="004F4DAD"/>
    <w:rsid w:val="004F505C"/>
    <w:rsid w:val="004F54C6"/>
    <w:rsid w:val="004F54DA"/>
    <w:rsid w:val="004F5778"/>
    <w:rsid w:val="004F6571"/>
    <w:rsid w:val="004F74A1"/>
    <w:rsid w:val="004F7750"/>
    <w:rsid w:val="004F77A7"/>
    <w:rsid w:val="004F7EDD"/>
    <w:rsid w:val="0050004A"/>
    <w:rsid w:val="005000C6"/>
    <w:rsid w:val="00502680"/>
    <w:rsid w:val="00502F1E"/>
    <w:rsid w:val="00503322"/>
    <w:rsid w:val="00503407"/>
    <w:rsid w:val="00503B63"/>
    <w:rsid w:val="00503C6D"/>
    <w:rsid w:val="005043C0"/>
    <w:rsid w:val="005046D0"/>
    <w:rsid w:val="005058DA"/>
    <w:rsid w:val="00505B7C"/>
    <w:rsid w:val="00506603"/>
    <w:rsid w:val="005100B6"/>
    <w:rsid w:val="005127BB"/>
    <w:rsid w:val="00512EB5"/>
    <w:rsid w:val="0051342E"/>
    <w:rsid w:val="00513E72"/>
    <w:rsid w:val="00514098"/>
    <w:rsid w:val="00514480"/>
    <w:rsid w:val="00514D03"/>
    <w:rsid w:val="0051545B"/>
    <w:rsid w:val="005159A1"/>
    <w:rsid w:val="00515AC9"/>
    <w:rsid w:val="00515DCC"/>
    <w:rsid w:val="00516AE1"/>
    <w:rsid w:val="00517001"/>
    <w:rsid w:val="00517368"/>
    <w:rsid w:val="00517381"/>
    <w:rsid w:val="00517CE2"/>
    <w:rsid w:val="00520211"/>
    <w:rsid w:val="005206B7"/>
    <w:rsid w:val="0052130F"/>
    <w:rsid w:val="005216EA"/>
    <w:rsid w:val="005222EB"/>
    <w:rsid w:val="005225A1"/>
    <w:rsid w:val="00522A79"/>
    <w:rsid w:val="00522DE6"/>
    <w:rsid w:val="005230FC"/>
    <w:rsid w:val="00523268"/>
    <w:rsid w:val="00523B83"/>
    <w:rsid w:val="00523D20"/>
    <w:rsid w:val="00524933"/>
    <w:rsid w:val="00524DD8"/>
    <w:rsid w:val="005255E0"/>
    <w:rsid w:val="005259AB"/>
    <w:rsid w:val="00525EB9"/>
    <w:rsid w:val="00526B47"/>
    <w:rsid w:val="00527264"/>
    <w:rsid w:val="005276DA"/>
    <w:rsid w:val="00530D28"/>
    <w:rsid w:val="0053107A"/>
    <w:rsid w:val="00531A79"/>
    <w:rsid w:val="00532309"/>
    <w:rsid w:val="005326C0"/>
    <w:rsid w:val="00533028"/>
    <w:rsid w:val="005338C3"/>
    <w:rsid w:val="00534959"/>
    <w:rsid w:val="0053503F"/>
    <w:rsid w:val="005359DA"/>
    <w:rsid w:val="00536BC0"/>
    <w:rsid w:val="00536D2D"/>
    <w:rsid w:val="00536E08"/>
    <w:rsid w:val="00536F01"/>
    <w:rsid w:val="00536F80"/>
    <w:rsid w:val="00536FCB"/>
    <w:rsid w:val="00540079"/>
    <w:rsid w:val="00540871"/>
    <w:rsid w:val="00541146"/>
    <w:rsid w:val="005411D8"/>
    <w:rsid w:val="00541E5F"/>
    <w:rsid w:val="00542971"/>
    <w:rsid w:val="00542C71"/>
    <w:rsid w:val="00542FB7"/>
    <w:rsid w:val="005435A3"/>
    <w:rsid w:val="00543783"/>
    <w:rsid w:val="00543D74"/>
    <w:rsid w:val="005445FF"/>
    <w:rsid w:val="00545923"/>
    <w:rsid w:val="00546008"/>
    <w:rsid w:val="0054691F"/>
    <w:rsid w:val="00547824"/>
    <w:rsid w:val="00547870"/>
    <w:rsid w:val="005478E3"/>
    <w:rsid w:val="00547B01"/>
    <w:rsid w:val="00547D17"/>
    <w:rsid w:val="00547E92"/>
    <w:rsid w:val="00550243"/>
    <w:rsid w:val="005504EA"/>
    <w:rsid w:val="00550769"/>
    <w:rsid w:val="00550B26"/>
    <w:rsid w:val="00550C39"/>
    <w:rsid w:val="005511A8"/>
    <w:rsid w:val="005517AE"/>
    <w:rsid w:val="005519EC"/>
    <w:rsid w:val="00551C15"/>
    <w:rsid w:val="0055220F"/>
    <w:rsid w:val="00552224"/>
    <w:rsid w:val="005532A9"/>
    <w:rsid w:val="0055348A"/>
    <w:rsid w:val="005539D7"/>
    <w:rsid w:val="00553C5D"/>
    <w:rsid w:val="005553E6"/>
    <w:rsid w:val="00555495"/>
    <w:rsid w:val="00555820"/>
    <w:rsid w:val="005562DA"/>
    <w:rsid w:val="00556447"/>
    <w:rsid w:val="00556B0C"/>
    <w:rsid w:val="005603BB"/>
    <w:rsid w:val="005605CF"/>
    <w:rsid w:val="005607B8"/>
    <w:rsid w:val="00560BC3"/>
    <w:rsid w:val="0056150C"/>
    <w:rsid w:val="0056163A"/>
    <w:rsid w:val="00561880"/>
    <w:rsid w:val="005618F1"/>
    <w:rsid w:val="00562116"/>
    <w:rsid w:val="005621C9"/>
    <w:rsid w:val="005629BC"/>
    <w:rsid w:val="00562DF1"/>
    <w:rsid w:val="00563411"/>
    <w:rsid w:val="00563643"/>
    <w:rsid w:val="0056380F"/>
    <w:rsid w:val="005643B9"/>
    <w:rsid w:val="0056465F"/>
    <w:rsid w:val="0056557F"/>
    <w:rsid w:val="0056686E"/>
    <w:rsid w:val="0056704D"/>
    <w:rsid w:val="00571606"/>
    <w:rsid w:val="00571BE9"/>
    <w:rsid w:val="005720EF"/>
    <w:rsid w:val="0057228E"/>
    <w:rsid w:val="0057331B"/>
    <w:rsid w:val="005733C2"/>
    <w:rsid w:val="005734EB"/>
    <w:rsid w:val="00573DF8"/>
    <w:rsid w:val="00574C0F"/>
    <w:rsid w:val="00574D38"/>
    <w:rsid w:val="00574F2C"/>
    <w:rsid w:val="00574FD5"/>
    <w:rsid w:val="005752D1"/>
    <w:rsid w:val="005764A0"/>
    <w:rsid w:val="005773FA"/>
    <w:rsid w:val="00577515"/>
    <w:rsid w:val="0057790B"/>
    <w:rsid w:val="00577E6B"/>
    <w:rsid w:val="00577E8F"/>
    <w:rsid w:val="0058035F"/>
    <w:rsid w:val="00580FCA"/>
    <w:rsid w:val="00580FDE"/>
    <w:rsid w:val="00581D4D"/>
    <w:rsid w:val="00581FA8"/>
    <w:rsid w:val="005820D7"/>
    <w:rsid w:val="00582768"/>
    <w:rsid w:val="005827F6"/>
    <w:rsid w:val="00583AEC"/>
    <w:rsid w:val="00583B6D"/>
    <w:rsid w:val="00583E21"/>
    <w:rsid w:val="00583EB0"/>
    <w:rsid w:val="00584035"/>
    <w:rsid w:val="0058408B"/>
    <w:rsid w:val="005841A0"/>
    <w:rsid w:val="0058424D"/>
    <w:rsid w:val="005845D5"/>
    <w:rsid w:val="00584954"/>
    <w:rsid w:val="00585A80"/>
    <w:rsid w:val="0058601B"/>
    <w:rsid w:val="00586844"/>
    <w:rsid w:val="005871AD"/>
    <w:rsid w:val="005873C4"/>
    <w:rsid w:val="005877C4"/>
    <w:rsid w:val="00587EFA"/>
    <w:rsid w:val="00590442"/>
    <w:rsid w:val="0059129E"/>
    <w:rsid w:val="005912FC"/>
    <w:rsid w:val="00591A5F"/>
    <w:rsid w:val="00591B81"/>
    <w:rsid w:val="0059213B"/>
    <w:rsid w:val="005921C1"/>
    <w:rsid w:val="005924F5"/>
    <w:rsid w:val="0059279F"/>
    <w:rsid w:val="00592B05"/>
    <w:rsid w:val="00593465"/>
    <w:rsid w:val="0059348C"/>
    <w:rsid w:val="00593538"/>
    <w:rsid w:val="005952BB"/>
    <w:rsid w:val="005957AE"/>
    <w:rsid w:val="00595B07"/>
    <w:rsid w:val="00595C25"/>
    <w:rsid w:val="00596A88"/>
    <w:rsid w:val="00597086"/>
    <w:rsid w:val="005971D2"/>
    <w:rsid w:val="00597BAD"/>
    <w:rsid w:val="005A0F58"/>
    <w:rsid w:val="005A1B87"/>
    <w:rsid w:val="005A1D5F"/>
    <w:rsid w:val="005A1D66"/>
    <w:rsid w:val="005A24F1"/>
    <w:rsid w:val="005A2653"/>
    <w:rsid w:val="005A26C9"/>
    <w:rsid w:val="005A2A65"/>
    <w:rsid w:val="005A2C9E"/>
    <w:rsid w:val="005A3AFB"/>
    <w:rsid w:val="005A412C"/>
    <w:rsid w:val="005A4A86"/>
    <w:rsid w:val="005A57A0"/>
    <w:rsid w:val="005A5AE8"/>
    <w:rsid w:val="005A66CE"/>
    <w:rsid w:val="005A6973"/>
    <w:rsid w:val="005A6CE6"/>
    <w:rsid w:val="005A71B3"/>
    <w:rsid w:val="005A71CF"/>
    <w:rsid w:val="005A7794"/>
    <w:rsid w:val="005A7863"/>
    <w:rsid w:val="005A7DE3"/>
    <w:rsid w:val="005B0024"/>
    <w:rsid w:val="005B1D50"/>
    <w:rsid w:val="005B22D5"/>
    <w:rsid w:val="005B368E"/>
    <w:rsid w:val="005B3E94"/>
    <w:rsid w:val="005B4A31"/>
    <w:rsid w:val="005B4AE7"/>
    <w:rsid w:val="005B4BB6"/>
    <w:rsid w:val="005B5089"/>
    <w:rsid w:val="005B5422"/>
    <w:rsid w:val="005B56EF"/>
    <w:rsid w:val="005B5892"/>
    <w:rsid w:val="005B62FA"/>
    <w:rsid w:val="005B635F"/>
    <w:rsid w:val="005B66F2"/>
    <w:rsid w:val="005B7833"/>
    <w:rsid w:val="005C0126"/>
    <w:rsid w:val="005C01BE"/>
    <w:rsid w:val="005C1263"/>
    <w:rsid w:val="005C12F3"/>
    <w:rsid w:val="005C1FE8"/>
    <w:rsid w:val="005C2192"/>
    <w:rsid w:val="005C2639"/>
    <w:rsid w:val="005C3941"/>
    <w:rsid w:val="005C3A1B"/>
    <w:rsid w:val="005C3AF8"/>
    <w:rsid w:val="005C3FAC"/>
    <w:rsid w:val="005C4155"/>
    <w:rsid w:val="005C455E"/>
    <w:rsid w:val="005C475A"/>
    <w:rsid w:val="005C4DB8"/>
    <w:rsid w:val="005C4DCD"/>
    <w:rsid w:val="005C4FBE"/>
    <w:rsid w:val="005C6A3C"/>
    <w:rsid w:val="005C6EA4"/>
    <w:rsid w:val="005C7396"/>
    <w:rsid w:val="005C7813"/>
    <w:rsid w:val="005D02EB"/>
    <w:rsid w:val="005D05F6"/>
    <w:rsid w:val="005D0EC8"/>
    <w:rsid w:val="005D12E0"/>
    <w:rsid w:val="005D1EA8"/>
    <w:rsid w:val="005D25AF"/>
    <w:rsid w:val="005D28CC"/>
    <w:rsid w:val="005D4863"/>
    <w:rsid w:val="005D4C01"/>
    <w:rsid w:val="005D4C49"/>
    <w:rsid w:val="005D520F"/>
    <w:rsid w:val="005D53AF"/>
    <w:rsid w:val="005D597F"/>
    <w:rsid w:val="005D5D13"/>
    <w:rsid w:val="005D619B"/>
    <w:rsid w:val="005D6827"/>
    <w:rsid w:val="005D6B51"/>
    <w:rsid w:val="005D6B67"/>
    <w:rsid w:val="005D6FCB"/>
    <w:rsid w:val="005D76A4"/>
    <w:rsid w:val="005D76BC"/>
    <w:rsid w:val="005D7AA4"/>
    <w:rsid w:val="005E0E60"/>
    <w:rsid w:val="005E0F6C"/>
    <w:rsid w:val="005E1521"/>
    <w:rsid w:val="005E17B4"/>
    <w:rsid w:val="005E1DB5"/>
    <w:rsid w:val="005E28BF"/>
    <w:rsid w:val="005E2C3E"/>
    <w:rsid w:val="005E3340"/>
    <w:rsid w:val="005E3652"/>
    <w:rsid w:val="005E3C5D"/>
    <w:rsid w:val="005E3F43"/>
    <w:rsid w:val="005E401A"/>
    <w:rsid w:val="005E44B6"/>
    <w:rsid w:val="005E5B42"/>
    <w:rsid w:val="005E6576"/>
    <w:rsid w:val="005E69E4"/>
    <w:rsid w:val="005E6B22"/>
    <w:rsid w:val="005E6DC7"/>
    <w:rsid w:val="005E7445"/>
    <w:rsid w:val="005E7457"/>
    <w:rsid w:val="005E7FCE"/>
    <w:rsid w:val="005F0142"/>
    <w:rsid w:val="005F0198"/>
    <w:rsid w:val="005F036B"/>
    <w:rsid w:val="005F086F"/>
    <w:rsid w:val="005F08D3"/>
    <w:rsid w:val="005F0BE2"/>
    <w:rsid w:val="005F0D95"/>
    <w:rsid w:val="005F0F10"/>
    <w:rsid w:val="005F10B9"/>
    <w:rsid w:val="005F135B"/>
    <w:rsid w:val="005F15FB"/>
    <w:rsid w:val="005F197E"/>
    <w:rsid w:val="005F225E"/>
    <w:rsid w:val="005F237B"/>
    <w:rsid w:val="005F29ED"/>
    <w:rsid w:val="005F2CA2"/>
    <w:rsid w:val="005F460E"/>
    <w:rsid w:val="005F4891"/>
    <w:rsid w:val="005F4AE7"/>
    <w:rsid w:val="005F5CC3"/>
    <w:rsid w:val="005F6D13"/>
    <w:rsid w:val="005F6D47"/>
    <w:rsid w:val="005F6DC6"/>
    <w:rsid w:val="005F7046"/>
    <w:rsid w:val="005F79CA"/>
    <w:rsid w:val="005F7B0B"/>
    <w:rsid w:val="005F7F7B"/>
    <w:rsid w:val="0060013F"/>
    <w:rsid w:val="00600197"/>
    <w:rsid w:val="0060051F"/>
    <w:rsid w:val="00600CFE"/>
    <w:rsid w:val="00600D38"/>
    <w:rsid w:val="00601ADC"/>
    <w:rsid w:val="00602AE9"/>
    <w:rsid w:val="00602B58"/>
    <w:rsid w:val="00603716"/>
    <w:rsid w:val="006038F7"/>
    <w:rsid w:val="00603ED4"/>
    <w:rsid w:val="0060492F"/>
    <w:rsid w:val="00604AFF"/>
    <w:rsid w:val="006055E4"/>
    <w:rsid w:val="00605ED3"/>
    <w:rsid w:val="00605FE0"/>
    <w:rsid w:val="0060607F"/>
    <w:rsid w:val="006060F2"/>
    <w:rsid w:val="00606E0C"/>
    <w:rsid w:val="006070B6"/>
    <w:rsid w:val="00607297"/>
    <w:rsid w:val="00607389"/>
    <w:rsid w:val="0060795E"/>
    <w:rsid w:val="00607B03"/>
    <w:rsid w:val="00610090"/>
    <w:rsid w:val="0061053B"/>
    <w:rsid w:val="00611164"/>
    <w:rsid w:val="00611281"/>
    <w:rsid w:val="006124D3"/>
    <w:rsid w:val="0061274F"/>
    <w:rsid w:val="006132D7"/>
    <w:rsid w:val="00613E99"/>
    <w:rsid w:val="00615044"/>
    <w:rsid w:val="00615324"/>
    <w:rsid w:val="0061553D"/>
    <w:rsid w:val="00615EEA"/>
    <w:rsid w:val="0061603F"/>
    <w:rsid w:val="006178C1"/>
    <w:rsid w:val="006202A9"/>
    <w:rsid w:val="00620539"/>
    <w:rsid w:val="00620847"/>
    <w:rsid w:val="00621779"/>
    <w:rsid w:val="006217E0"/>
    <w:rsid w:val="006224F1"/>
    <w:rsid w:val="00624293"/>
    <w:rsid w:val="006242C5"/>
    <w:rsid w:val="006258C4"/>
    <w:rsid w:val="00626CD1"/>
    <w:rsid w:val="00626D86"/>
    <w:rsid w:val="00626DB1"/>
    <w:rsid w:val="00627780"/>
    <w:rsid w:val="006277DE"/>
    <w:rsid w:val="00627B7C"/>
    <w:rsid w:val="00627E7E"/>
    <w:rsid w:val="006300AA"/>
    <w:rsid w:val="00631A38"/>
    <w:rsid w:val="006324DC"/>
    <w:rsid w:val="006330A1"/>
    <w:rsid w:val="0063443A"/>
    <w:rsid w:val="00634946"/>
    <w:rsid w:val="00634F24"/>
    <w:rsid w:val="006356E5"/>
    <w:rsid w:val="006360AF"/>
    <w:rsid w:val="00636181"/>
    <w:rsid w:val="0063670C"/>
    <w:rsid w:val="006368E3"/>
    <w:rsid w:val="00636A11"/>
    <w:rsid w:val="00636EB2"/>
    <w:rsid w:val="006373B5"/>
    <w:rsid w:val="00637BA8"/>
    <w:rsid w:val="00640CBB"/>
    <w:rsid w:val="00640FCB"/>
    <w:rsid w:val="006413FF"/>
    <w:rsid w:val="00642001"/>
    <w:rsid w:val="00642083"/>
    <w:rsid w:val="0064230A"/>
    <w:rsid w:val="006434EF"/>
    <w:rsid w:val="00643DFD"/>
    <w:rsid w:val="006446A0"/>
    <w:rsid w:val="00644A68"/>
    <w:rsid w:val="00644CB8"/>
    <w:rsid w:val="00645592"/>
    <w:rsid w:val="006460C2"/>
    <w:rsid w:val="00646C5F"/>
    <w:rsid w:val="0064720F"/>
    <w:rsid w:val="00647580"/>
    <w:rsid w:val="006476C2"/>
    <w:rsid w:val="00647CDE"/>
    <w:rsid w:val="006502FA"/>
    <w:rsid w:val="0065159D"/>
    <w:rsid w:val="00651B40"/>
    <w:rsid w:val="00651B84"/>
    <w:rsid w:val="006523B4"/>
    <w:rsid w:val="00652AC9"/>
    <w:rsid w:val="00652CD5"/>
    <w:rsid w:val="0065311E"/>
    <w:rsid w:val="0065317F"/>
    <w:rsid w:val="00653837"/>
    <w:rsid w:val="00653FEE"/>
    <w:rsid w:val="00655720"/>
    <w:rsid w:val="006559B7"/>
    <w:rsid w:val="006600EE"/>
    <w:rsid w:val="00660876"/>
    <w:rsid w:val="00661418"/>
    <w:rsid w:val="00661F67"/>
    <w:rsid w:val="00663523"/>
    <w:rsid w:val="0066383D"/>
    <w:rsid w:val="00663F37"/>
    <w:rsid w:val="006642C2"/>
    <w:rsid w:val="00664929"/>
    <w:rsid w:val="006649D1"/>
    <w:rsid w:val="00665638"/>
    <w:rsid w:val="00665E0A"/>
    <w:rsid w:val="006663A7"/>
    <w:rsid w:val="00666506"/>
    <w:rsid w:val="006669F5"/>
    <w:rsid w:val="00666CEE"/>
    <w:rsid w:val="0067005A"/>
    <w:rsid w:val="006700BD"/>
    <w:rsid w:val="00670479"/>
    <w:rsid w:val="006708E9"/>
    <w:rsid w:val="00670D1E"/>
    <w:rsid w:val="00671855"/>
    <w:rsid w:val="00671C02"/>
    <w:rsid w:val="00671FFE"/>
    <w:rsid w:val="00672233"/>
    <w:rsid w:val="006731FA"/>
    <w:rsid w:val="0067361E"/>
    <w:rsid w:val="00674829"/>
    <w:rsid w:val="00676390"/>
    <w:rsid w:val="00676615"/>
    <w:rsid w:val="00676F1B"/>
    <w:rsid w:val="00676F63"/>
    <w:rsid w:val="00677177"/>
    <w:rsid w:val="0067765E"/>
    <w:rsid w:val="0068066B"/>
    <w:rsid w:val="006810FB"/>
    <w:rsid w:val="00681418"/>
    <w:rsid w:val="00682891"/>
    <w:rsid w:val="00683AFC"/>
    <w:rsid w:val="00683FC1"/>
    <w:rsid w:val="00684855"/>
    <w:rsid w:val="006851ED"/>
    <w:rsid w:val="00685490"/>
    <w:rsid w:val="00686762"/>
    <w:rsid w:val="00686BE0"/>
    <w:rsid w:val="00687EC9"/>
    <w:rsid w:val="00690204"/>
    <w:rsid w:val="00690324"/>
    <w:rsid w:val="006904D6"/>
    <w:rsid w:val="00691690"/>
    <w:rsid w:val="00692C6B"/>
    <w:rsid w:val="00692DCB"/>
    <w:rsid w:val="00693A09"/>
    <w:rsid w:val="00693E60"/>
    <w:rsid w:val="0069488F"/>
    <w:rsid w:val="00694D3E"/>
    <w:rsid w:val="00694F40"/>
    <w:rsid w:val="00695561"/>
    <w:rsid w:val="006955CA"/>
    <w:rsid w:val="00696255"/>
    <w:rsid w:val="00696863"/>
    <w:rsid w:val="00696DF7"/>
    <w:rsid w:val="006A0FCF"/>
    <w:rsid w:val="006A1580"/>
    <w:rsid w:val="006A186A"/>
    <w:rsid w:val="006A188E"/>
    <w:rsid w:val="006A198B"/>
    <w:rsid w:val="006A1C51"/>
    <w:rsid w:val="006A21FA"/>
    <w:rsid w:val="006A29F9"/>
    <w:rsid w:val="006A3770"/>
    <w:rsid w:val="006A38A0"/>
    <w:rsid w:val="006A5226"/>
    <w:rsid w:val="006A528B"/>
    <w:rsid w:val="006A5362"/>
    <w:rsid w:val="006A54A6"/>
    <w:rsid w:val="006A6C72"/>
    <w:rsid w:val="006A6E15"/>
    <w:rsid w:val="006A7754"/>
    <w:rsid w:val="006B08A8"/>
    <w:rsid w:val="006B0A85"/>
    <w:rsid w:val="006B0D64"/>
    <w:rsid w:val="006B123F"/>
    <w:rsid w:val="006B1567"/>
    <w:rsid w:val="006B185C"/>
    <w:rsid w:val="006B1BAB"/>
    <w:rsid w:val="006B256F"/>
    <w:rsid w:val="006B2E5C"/>
    <w:rsid w:val="006B315C"/>
    <w:rsid w:val="006B44FD"/>
    <w:rsid w:val="006B4CBB"/>
    <w:rsid w:val="006B5099"/>
    <w:rsid w:val="006B52BC"/>
    <w:rsid w:val="006B5D31"/>
    <w:rsid w:val="006B6B00"/>
    <w:rsid w:val="006B7097"/>
    <w:rsid w:val="006B787E"/>
    <w:rsid w:val="006B795D"/>
    <w:rsid w:val="006B7DED"/>
    <w:rsid w:val="006C0812"/>
    <w:rsid w:val="006C0D76"/>
    <w:rsid w:val="006C157E"/>
    <w:rsid w:val="006C16AF"/>
    <w:rsid w:val="006C1EB4"/>
    <w:rsid w:val="006C231E"/>
    <w:rsid w:val="006C416C"/>
    <w:rsid w:val="006C45DD"/>
    <w:rsid w:val="006C471F"/>
    <w:rsid w:val="006C4B9A"/>
    <w:rsid w:val="006C5945"/>
    <w:rsid w:val="006C5F87"/>
    <w:rsid w:val="006C6280"/>
    <w:rsid w:val="006C65AE"/>
    <w:rsid w:val="006C75F5"/>
    <w:rsid w:val="006C78D3"/>
    <w:rsid w:val="006C7D3D"/>
    <w:rsid w:val="006D020B"/>
    <w:rsid w:val="006D04CA"/>
    <w:rsid w:val="006D0779"/>
    <w:rsid w:val="006D1D8A"/>
    <w:rsid w:val="006D1E9D"/>
    <w:rsid w:val="006D235C"/>
    <w:rsid w:val="006D24DF"/>
    <w:rsid w:val="006D2701"/>
    <w:rsid w:val="006D29AF"/>
    <w:rsid w:val="006D2BE0"/>
    <w:rsid w:val="006D2C55"/>
    <w:rsid w:val="006D2D34"/>
    <w:rsid w:val="006D2FC0"/>
    <w:rsid w:val="006D35B3"/>
    <w:rsid w:val="006D411F"/>
    <w:rsid w:val="006D483A"/>
    <w:rsid w:val="006D49AC"/>
    <w:rsid w:val="006D4E33"/>
    <w:rsid w:val="006D4F0E"/>
    <w:rsid w:val="006D5013"/>
    <w:rsid w:val="006D5191"/>
    <w:rsid w:val="006D56AC"/>
    <w:rsid w:val="006D5A95"/>
    <w:rsid w:val="006D61A5"/>
    <w:rsid w:val="006D667E"/>
    <w:rsid w:val="006D6B3E"/>
    <w:rsid w:val="006D6C89"/>
    <w:rsid w:val="006D77C0"/>
    <w:rsid w:val="006D7B40"/>
    <w:rsid w:val="006D7EA2"/>
    <w:rsid w:val="006E009F"/>
    <w:rsid w:val="006E0438"/>
    <w:rsid w:val="006E0996"/>
    <w:rsid w:val="006E2EE4"/>
    <w:rsid w:val="006E2FB8"/>
    <w:rsid w:val="006E3A1A"/>
    <w:rsid w:val="006E40D9"/>
    <w:rsid w:val="006E4167"/>
    <w:rsid w:val="006E6211"/>
    <w:rsid w:val="006E6458"/>
    <w:rsid w:val="006E7DE1"/>
    <w:rsid w:val="006F05BC"/>
    <w:rsid w:val="006F0AB1"/>
    <w:rsid w:val="006F12FA"/>
    <w:rsid w:val="006F151F"/>
    <w:rsid w:val="006F2ADD"/>
    <w:rsid w:val="006F2B69"/>
    <w:rsid w:val="006F2D77"/>
    <w:rsid w:val="006F33E8"/>
    <w:rsid w:val="006F3AE9"/>
    <w:rsid w:val="006F56FA"/>
    <w:rsid w:val="006F59D5"/>
    <w:rsid w:val="006F5A0C"/>
    <w:rsid w:val="00700ADE"/>
    <w:rsid w:val="00701966"/>
    <w:rsid w:val="00701A1F"/>
    <w:rsid w:val="0070277B"/>
    <w:rsid w:val="00702A92"/>
    <w:rsid w:val="00702B1D"/>
    <w:rsid w:val="0070369F"/>
    <w:rsid w:val="00703F17"/>
    <w:rsid w:val="007046A2"/>
    <w:rsid w:val="00704D24"/>
    <w:rsid w:val="00704E99"/>
    <w:rsid w:val="00705139"/>
    <w:rsid w:val="007059D7"/>
    <w:rsid w:val="00705DAD"/>
    <w:rsid w:val="0070633A"/>
    <w:rsid w:val="007067DD"/>
    <w:rsid w:val="00706BC4"/>
    <w:rsid w:val="00707C15"/>
    <w:rsid w:val="0071086D"/>
    <w:rsid w:val="00710EAA"/>
    <w:rsid w:val="007119B9"/>
    <w:rsid w:val="00711A73"/>
    <w:rsid w:val="007123BB"/>
    <w:rsid w:val="007125AF"/>
    <w:rsid w:val="00712A03"/>
    <w:rsid w:val="0071305D"/>
    <w:rsid w:val="00713082"/>
    <w:rsid w:val="007141C1"/>
    <w:rsid w:val="007142F4"/>
    <w:rsid w:val="00714D8E"/>
    <w:rsid w:val="007167BE"/>
    <w:rsid w:val="00716D1E"/>
    <w:rsid w:val="0072018B"/>
    <w:rsid w:val="00720FC0"/>
    <w:rsid w:val="00721469"/>
    <w:rsid w:val="00721DED"/>
    <w:rsid w:val="00721E1F"/>
    <w:rsid w:val="00722599"/>
    <w:rsid w:val="00722A24"/>
    <w:rsid w:val="0072431B"/>
    <w:rsid w:val="00724D41"/>
    <w:rsid w:val="007261FF"/>
    <w:rsid w:val="007265E0"/>
    <w:rsid w:val="007266FA"/>
    <w:rsid w:val="00726C4D"/>
    <w:rsid w:val="00726EAB"/>
    <w:rsid w:val="00730D12"/>
    <w:rsid w:val="00730D5F"/>
    <w:rsid w:val="00731858"/>
    <w:rsid w:val="00731A9F"/>
    <w:rsid w:val="00732175"/>
    <w:rsid w:val="0073259E"/>
    <w:rsid w:val="00732E32"/>
    <w:rsid w:val="007336D6"/>
    <w:rsid w:val="00734154"/>
    <w:rsid w:val="0073450E"/>
    <w:rsid w:val="00734512"/>
    <w:rsid w:val="00734839"/>
    <w:rsid w:val="00735523"/>
    <w:rsid w:val="00735841"/>
    <w:rsid w:val="00735B65"/>
    <w:rsid w:val="00736276"/>
    <w:rsid w:val="0073689C"/>
    <w:rsid w:val="00736A59"/>
    <w:rsid w:val="00736BB0"/>
    <w:rsid w:val="00736F6D"/>
    <w:rsid w:val="0073708D"/>
    <w:rsid w:val="007370A6"/>
    <w:rsid w:val="007370AD"/>
    <w:rsid w:val="007371FE"/>
    <w:rsid w:val="007372F1"/>
    <w:rsid w:val="0074012F"/>
    <w:rsid w:val="007406DE"/>
    <w:rsid w:val="00740C8B"/>
    <w:rsid w:val="00742D18"/>
    <w:rsid w:val="0074332A"/>
    <w:rsid w:val="00743681"/>
    <w:rsid w:val="00743A53"/>
    <w:rsid w:val="00745CBE"/>
    <w:rsid w:val="00745CFC"/>
    <w:rsid w:val="00745EF3"/>
    <w:rsid w:val="0074654D"/>
    <w:rsid w:val="00746759"/>
    <w:rsid w:val="00746825"/>
    <w:rsid w:val="00746A55"/>
    <w:rsid w:val="00746AA9"/>
    <w:rsid w:val="00746F41"/>
    <w:rsid w:val="00746F51"/>
    <w:rsid w:val="00746FF8"/>
    <w:rsid w:val="00747258"/>
    <w:rsid w:val="00747741"/>
    <w:rsid w:val="0074794D"/>
    <w:rsid w:val="00747C70"/>
    <w:rsid w:val="00747FEB"/>
    <w:rsid w:val="00750671"/>
    <w:rsid w:val="00750EAA"/>
    <w:rsid w:val="007535D7"/>
    <w:rsid w:val="007536AB"/>
    <w:rsid w:val="00754AAE"/>
    <w:rsid w:val="00754CAE"/>
    <w:rsid w:val="00754EE8"/>
    <w:rsid w:val="00755582"/>
    <w:rsid w:val="00755AF3"/>
    <w:rsid w:val="00756144"/>
    <w:rsid w:val="007562CE"/>
    <w:rsid w:val="00756437"/>
    <w:rsid w:val="00756732"/>
    <w:rsid w:val="007574AE"/>
    <w:rsid w:val="0075777E"/>
    <w:rsid w:val="00760F92"/>
    <w:rsid w:val="0076116B"/>
    <w:rsid w:val="007618E4"/>
    <w:rsid w:val="00761E25"/>
    <w:rsid w:val="00761EA1"/>
    <w:rsid w:val="0076227C"/>
    <w:rsid w:val="007633AE"/>
    <w:rsid w:val="007641AC"/>
    <w:rsid w:val="007649DC"/>
    <w:rsid w:val="00764AC5"/>
    <w:rsid w:val="00764E86"/>
    <w:rsid w:val="0076506D"/>
    <w:rsid w:val="0076551B"/>
    <w:rsid w:val="00766206"/>
    <w:rsid w:val="00766D17"/>
    <w:rsid w:val="00766F14"/>
    <w:rsid w:val="00767828"/>
    <w:rsid w:val="00767901"/>
    <w:rsid w:val="00767B7E"/>
    <w:rsid w:val="007702D8"/>
    <w:rsid w:val="00770E64"/>
    <w:rsid w:val="0077315E"/>
    <w:rsid w:val="007739F5"/>
    <w:rsid w:val="00774479"/>
    <w:rsid w:val="00774786"/>
    <w:rsid w:val="00774DED"/>
    <w:rsid w:val="00774E52"/>
    <w:rsid w:val="007752C3"/>
    <w:rsid w:val="007766BB"/>
    <w:rsid w:val="00776703"/>
    <w:rsid w:val="007772C3"/>
    <w:rsid w:val="00777CD8"/>
    <w:rsid w:val="00777E3A"/>
    <w:rsid w:val="007801F7"/>
    <w:rsid w:val="0078060E"/>
    <w:rsid w:val="00780BBF"/>
    <w:rsid w:val="00780FA7"/>
    <w:rsid w:val="007815BC"/>
    <w:rsid w:val="007816FB"/>
    <w:rsid w:val="00781B7F"/>
    <w:rsid w:val="00781DD4"/>
    <w:rsid w:val="00782E17"/>
    <w:rsid w:val="00783835"/>
    <w:rsid w:val="00783D09"/>
    <w:rsid w:val="007851C6"/>
    <w:rsid w:val="00785465"/>
    <w:rsid w:val="00785BB1"/>
    <w:rsid w:val="007861D7"/>
    <w:rsid w:val="00786759"/>
    <w:rsid w:val="00786B14"/>
    <w:rsid w:val="00786CD2"/>
    <w:rsid w:val="00786F49"/>
    <w:rsid w:val="007876A6"/>
    <w:rsid w:val="007878B9"/>
    <w:rsid w:val="007905B8"/>
    <w:rsid w:val="00790698"/>
    <w:rsid w:val="0079209D"/>
    <w:rsid w:val="00793255"/>
    <w:rsid w:val="007939C6"/>
    <w:rsid w:val="00793D4D"/>
    <w:rsid w:val="00793E42"/>
    <w:rsid w:val="0079434F"/>
    <w:rsid w:val="007943CE"/>
    <w:rsid w:val="00794836"/>
    <w:rsid w:val="00794DCF"/>
    <w:rsid w:val="00795030"/>
    <w:rsid w:val="00795F68"/>
    <w:rsid w:val="00796382"/>
    <w:rsid w:val="00796586"/>
    <w:rsid w:val="00797526"/>
    <w:rsid w:val="007977BB"/>
    <w:rsid w:val="007978FF"/>
    <w:rsid w:val="00797AC1"/>
    <w:rsid w:val="007A01DE"/>
    <w:rsid w:val="007A0221"/>
    <w:rsid w:val="007A2014"/>
    <w:rsid w:val="007A2CD5"/>
    <w:rsid w:val="007A3AFD"/>
    <w:rsid w:val="007A3BB4"/>
    <w:rsid w:val="007A466C"/>
    <w:rsid w:val="007A4D30"/>
    <w:rsid w:val="007A54CA"/>
    <w:rsid w:val="007A54F4"/>
    <w:rsid w:val="007A56FD"/>
    <w:rsid w:val="007A5A2A"/>
    <w:rsid w:val="007A677D"/>
    <w:rsid w:val="007A6E38"/>
    <w:rsid w:val="007A72ED"/>
    <w:rsid w:val="007B05A8"/>
    <w:rsid w:val="007B06FA"/>
    <w:rsid w:val="007B0F82"/>
    <w:rsid w:val="007B190D"/>
    <w:rsid w:val="007B1FB2"/>
    <w:rsid w:val="007B243A"/>
    <w:rsid w:val="007B2ECC"/>
    <w:rsid w:val="007B3703"/>
    <w:rsid w:val="007B43A9"/>
    <w:rsid w:val="007B442F"/>
    <w:rsid w:val="007B4BB2"/>
    <w:rsid w:val="007B5397"/>
    <w:rsid w:val="007B5D55"/>
    <w:rsid w:val="007B6165"/>
    <w:rsid w:val="007B6C1E"/>
    <w:rsid w:val="007B700D"/>
    <w:rsid w:val="007B7B7F"/>
    <w:rsid w:val="007C0361"/>
    <w:rsid w:val="007C0A1B"/>
    <w:rsid w:val="007C1013"/>
    <w:rsid w:val="007C1383"/>
    <w:rsid w:val="007C169D"/>
    <w:rsid w:val="007C183A"/>
    <w:rsid w:val="007C1851"/>
    <w:rsid w:val="007C1B6D"/>
    <w:rsid w:val="007C1C66"/>
    <w:rsid w:val="007C2077"/>
    <w:rsid w:val="007C24B7"/>
    <w:rsid w:val="007C35A6"/>
    <w:rsid w:val="007C4D57"/>
    <w:rsid w:val="007C5779"/>
    <w:rsid w:val="007C5B53"/>
    <w:rsid w:val="007C5DA1"/>
    <w:rsid w:val="007C630A"/>
    <w:rsid w:val="007C6E02"/>
    <w:rsid w:val="007C6E16"/>
    <w:rsid w:val="007C6E20"/>
    <w:rsid w:val="007D01FD"/>
    <w:rsid w:val="007D0221"/>
    <w:rsid w:val="007D0527"/>
    <w:rsid w:val="007D0A20"/>
    <w:rsid w:val="007D1F57"/>
    <w:rsid w:val="007D268A"/>
    <w:rsid w:val="007D2C86"/>
    <w:rsid w:val="007D320F"/>
    <w:rsid w:val="007D3641"/>
    <w:rsid w:val="007D3CFC"/>
    <w:rsid w:val="007D3D16"/>
    <w:rsid w:val="007D45D5"/>
    <w:rsid w:val="007D4FEF"/>
    <w:rsid w:val="007D5ABE"/>
    <w:rsid w:val="007D5F50"/>
    <w:rsid w:val="007D6D84"/>
    <w:rsid w:val="007D6F8A"/>
    <w:rsid w:val="007D7718"/>
    <w:rsid w:val="007D7AC9"/>
    <w:rsid w:val="007D7B2B"/>
    <w:rsid w:val="007E00FD"/>
    <w:rsid w:val="007E029E"/>
    <w:rsid w:val="007E0A20"/>
    <w:rsid w:val="007E0C6F"/>
    <w:rsid w:val="007E0F8D"/>
    <w:rsid w:val="007E1679"/>
    <w:rsid w:val="007E2C67"/>
    <w:rsid w:val="007E360F"/>
    <w:rsid w:val="007E44A8"/>
    <w:rsid w:val="007E4586"/>
    <w:rsid w:val="007E467F"/>
    <w:rsid w:val="007E47F3"/>
    <w:rsid w:val="007E4FE3"/>
    <w:rsid w:val="007E5039"/>
    <w:rsid w:val="007E5292"/>
    <w:rsid w:val="007E5886"/>
    <w:rsid w:val="007E6591"/>
    <w:rsid w:val="007E6622"/>
    <w:rsid w:val="007E69E3"/>
    <w:rsid w:val="007E6A16"/>
    <w:rsid w:val="007E6B38"/>
    <w:rsid w:val="007E6C9E"/>
    <w:rsid w:val="007E775F"/>
    <w:rsid w:val="007E7CE0"/>
    <w:rsid w:val="007F073F"/>
    <w:rsid w:val="007F0B41"/>
    <w:rsid w:val="007F1085"/>
    <w:rsid w:val="007F14A7"/>
    <w:rsid w:val="007F207B"/>
    <w:rsid w:val="007F3170"/>
    <w:rsid w:val="007F35A0"/>
    <w:rsid w:val="007F3A0C"/>
    <w:rsid w:val="007F3EBB"/>
    <w:rsid w:val="007F46D4"/>
    <w:rsid w:val="007F4828"/>
    <w:rsid w:val="007F5087"/>
    <w:rsid w:val="007F518C"/>
    <w:rsid w:val="007F57A6"/>
    <w:rsid w:val="007F5EC2"/>
    <w:rsid w:val="007F63EB"/>
    <w:rsid w:val="007F6814"/>
    <w:rsid w:val="007F6A49"/>
    <w:rsid w:val="007F6FC3"/>
    <w:rsid w:val="007F7F03"/>
    <w:rsid w:val="00800EA1"/>
    <w:rsid w:val="00802051"/>
    <w:rsid w:val="008024ED"/>
    <w:rsid w:val="00802586"/>
    <w:rsid w:val="00803200"/>
    <w:rsid w:val="00803699"/>
    <w:rsid w:val="0080479A"/>
    <w:rsid w:val="0080488F"/>
    <w:rsid w:val="008059FE"/>
    <w:rsid w:val="008062B2"/>
    <w:rsid w:val="00806824"/>
    <w:rsid w:val="00806FE3"/>
    <w:rsid w:val="0080732B"/>
    <w:rsid w:val="008077D6"/>
    <w:rsid w:val="00810313"/>
    <w:rsid w:val="008106E1"/>
    <w:rsid w:val="008109BE"/>
    <w:rsid w:val="008111DF"/>
    <w:rsid w:val="008112E1"/>
    <w:rsid w:val="00811505"/>
    <w:rsid w:val="00811C6A"/>
    <w:rsid w:val="008124FC"/>
    <w:rsid w:val="008151C2"/>
    <w:rsid w:val="00815CC2"/>
    <w:rsid w:val="00816250"/>
    <w:rsid w:val="00816F51"/>
    <w:rsid w:val="00817F9E"/>
    <w:rsid w:val="0082031A"/>
    <w:rsid w:val="008206EC"/>
    <w:rsid w:val="00820F2B"/>
    <w:rsid w:val="00821D6E"/>
    <w:rsid w:val="00821DB2"/>
    <w:rsid w:val="00823E56"/>
    <w:rsid w:val="00823F78"/>
    <w:rsid w:val="00824F22"/>
    <w:rsid w:val="00824FA9"/>
    <w:rsid w:val="00824FD4"/>
    <w:rsid w:val="00825532"/>
    <w:rsid w:val="008259A7"/>
    <w:rsid w:val="008267B8"/>
    <w:rsid w:val="008271C0"/>
    <w:rsid w:val="00827306"/>
    <w:rsid w:val="008277A5"/>
    <w:rsid w:val="00830290"/>
    <w:rsid w:val="00830FA9"/>
    <w:rsid w:val="008310CF"/>
    <w:rsid w:val="00831553"/>
    <w:rsid w:val="00831A40"/>
    <w:rsid w:val="0083261F"/>
    <w:rsid w:val="00832732"/>
    <w:rsid w:val="008327AE"/>
    <w:rsid w:val="00833290"/>
    <w:rsid w:val="00833871"/>
    <w:rsid w:val="00833899"/>
    <w:rsid w:val="00833F7B"/>
    <w:rsid w:val="0083408B"/>
    <w:rsid w:val="008347D6"/>
    <w:rsid w:val="00834A6D"/>
    <w:rsid w:val="00834B44"/>
    <w:rsid w:val="00834BFB"/>
    <w:rsid w:val="00834F28"/>
    <w:rsid w:val="00835DEA"/>
    <w:rsid w:val="00840751"/>
    <w:rsid w:val="00840915"/>
    <w:rsid w:val="00840B60"/>
    <w:rsid w:val="008410BC"/>
    <w:rsid w:val="008415FC"/>
    <w:rsid w:val="0084202E"/>
    <w:rsid w:val="00842182"/>
    <w:rsid w:val="00842572"/>
    <w:rsid w:val="008430BC"/>
    <w:rsid w:val="00843C64"/>
    <w:rsid w:val="00843F85"/>
    <w:rsid w:val="00844080"/>
    <w:rsid w:val="00844610"/>
    <w:rsid w:val="00844936"/>
    <w:rsid w:val="0084516E"/>
    <w:rsid w:val="00846119"/>
    <w:rsid w:val="00846300"/>
    <w:rsid w:val="0084688E"/>
    <w:rsid w:val="00846BC2"/>
    <w:rsid w:val="00847284"/>
    <w:rsid w:val="008477B8"/>
    <w:rsid w:val="00847C09"/>
    <w:rsid w:val="00850640"/>
    <w:rsid w:val="0085066B"/>
    <w:rsid w:val="00850BEF"/>
    <w:rsid w:val="00851158"/>
    <w:rsid w:val="00851312"/>
    <w:rsid w:val="0085134D"/>
    <w:rsid w:val="0085176C"/>
    <w:rsid w:val="0085186F"/>
    <w:rsid w:val="008519F0"/>
    <w:rsid w:val="00851BB9"/>
    <w:rsid w:val="0085210F"/>
    <w:rsid w:val="0085364F"/>
    <w:rsid w:val="008536C8"/>
    <w:rsid w:val="00853B4B"/>
    <w:rsid w:val="008551B9"/>
    <w:rsid w:val="00855276"/>
    <w:rsid w:val="0085587E"/>
    <w:rsid w:val="00855C38"/>
    <w:rsid w:val="0085688F"/>
    <w:rsid w:val="00857716"/>
    <w:rsid w:val="00857E56"/>
    <w:rsid w:val="00857F72"/>
    <w:rsid w:val="0086013D"/>
    <w:rsid w:val="00860C59"/>
    <w:rsid w:val="00861319"/>
    <w:rsid w:val="0086169D"/>
    <w:rsid w:val="00861E34"/>
    <w:rsid w:val="00861E94"/>
    <w:rsid w:val="00861ECD"/>
    <w:rsid w:val="00861F64"/>
    <w:rsid w:val="00861FB0"/>
    <w:rsid w:val="00861FDC"/>
    <w:rsid w:val="008626C9"/>
    <w:rsid w:val="008629DA"/>
    <w:rsid w:val="00862C1B"/>
    <w:rsid w:val="008635CD"/>
    <w:rsid w:val="00863980"/>
    <w:rsid w:val="00863AE6"/>
    <w:rsid w:val="00863CEA"/>
    <w:rsid w:val="00864526"/>
    <w:rsid w:val="00864B96"/>
    <w:rsid w:val="00864C22"/>
    <w:rsid w:val="00864D98"/>
    <w:rsid w:val="00866688"/>
    <w:rsid w:val="0086695C"/>
    <w:rsid w:val="00866E00"/>
    <w:rsid w:val="008674D1"/>
    <w:rsid w:val="00867505"/>
    <w:rsid w:val="008704C3"/>
    <w:rsid w:val="008713A6"/>
    <w:rsid w:val="008715BE"/>
    <w:rsid w:val="008716E6"/>
    <w:rsid w:val="00871A74"/>
    <w:rsid w:val="0087201A"/>
    <w:rsid w:val="0087288C"/>
    <w:rsid w:val="00872FEE"/>
    <w:rsid w:val="00874126"/>
    <w:rsid w:val="00875B65"/>
    <w:rsid w:val="0087602F"/>
    <w:rsid w:val="0087646A"/>
    <w:rsid w:val="0087660D"/>
    <w:rsid w:val="008776AC"/>
    <w:rsid w:val="0087785F"/>
    <w:rsid w:val="00877C9E"/>
    <w:rsid w:val="0088005B"/>
    <w:rsid w:val="0088033A"/>
    <w:rsid w:val="00881199"/>
    <w:rsid w:val="00881FA1"/>
    <w:rsid w:val="00882D81"/>
    <w:rsid w:val="00882E0C"/>
    <w:rsid w:val="0088338B"/>
    <w:rsid w:val="008834F1"/>
    <w:rsid w:val="0088351B"/>
    <w:rsid w:val="00883C90"/>
    <w:rsid w:val="00883E38"/>
    <w:rsid w:val="0088407F"/>
    <w:rsid w:val="008849FA"/>
    <w:rsid w:val="008869A1"/>
    <w:rsid w:val="00886A04"/>
    <w:rsid w:val="00887AC5"/>
    <w:rsid w:val="008903EB"/>
    <w:rsid w:val="00890FC0"/>
    <w:rsid w:val="00891298"/>
    <w:rsid w:val="00891568"/>
    <w:rsid w:val="0089183D"/>
    <w:rsid w:val="00891C75"/>
    <w:rsid w:val="00891CA2"/>
    <w:rsid w:val="00893029"/>
    <w:rsid w:val="00893262"/>
    <w:rsid w:val="008932B6"/>
    <w:rsid w:val="0089392C"/>
    <w:rsid w:val="00895372"/>
    <w:rsid w:val="00895AF8"/>
    <w:rsid w:val="00895B18"/>
    <w:rsid w:val="00895CAF"/>
    <w:rsid w:val="00896EFF"/>
    <w:rsid w:val="00896F0E"/>
    <w:rsid w:val="008977BA"/>
    <w:rsid w:val="00897A1B"/>
    <w:rsid w:val="00897CCA"/>
    <w:rsid w:val="008A0965"/>
    <w:rsid w:val="008A0CE0"/>
    <w:rsid w:val="008A129B"/>
    <w:rsid w:val="008A1384"/>
    <w:rsid w:val="008A1513"/>
    <w:rsid w:val="008A17C1"/>
    <w:rsid w:val="008A1CD6"/>
    <w:rsid w:val="008A208F"/>
    <w:rsid w:val="008A20C4"/>
    <w:rsid w:val="008A2DD7"/>
    <w:rsid w:val="008A35C6"/>
    <w:rsid w:val="008A3626"/>
    <w:rsid w:val="008A39AE"/>
    <w:rsid w:val="008A3B63"/>
    <w:rsid w:val="008A4063"/>
    <w:rsid w:val="008A4488"/>
    <w:rsid w:val="008A510C"/>
    <w:rsid w:val="008A54FE"/>
    <w:rsid w:val="008A5F6A"/>
    <w:rsid w:val="008A640D"/>
    <w:rsid w:val="008A669E"/>
    <w:rsid w:val="008A71A1"/>
    <w:rsid w:val="008A720E"/>
    <w:rsid w:val="008A7397"/>
    <w:rsid w:val="008A7B56"/>
    <w:rsid w:val="008A7D57"/>
    <w:rsid w:val="008A7E1D"/>
    <w:rsid w:val="008A7FF7"/>
    <w:rsid w:val="008B0912"/>
    <w:rsid w:val="008B0B44"/>
    <w:rsid w:val="008B14EA"/>
    <w:rsid w:val="008B1602"/>
    <w:rsid w:val="008B1B9B"/>
    <w:rsid w:val="008B213F"/>
    <w:rsid w:val="008B30E0"/>
    <w:rsid w:val="008B3B20"/>
    <w:rsid w:val="008B443B"/>
    <w:rsid w:val="008B48E8"/>
    <w:rsid w:val="008B52FD"/>
    <w:rsid w:val="008B5C23"/>
    <w:rsid w:val="008B7309"/>
    <w:rsid w:val="008C0087"/>
    <w:rsid w:val="008C0ADC"/>
    <w:rsid w:val="008C1660"/>
    <w:rsid w:val="008C17DB"/>
    <w:rsid w:val="008C224A"/>
    <w:rsid w:val="008C301C"/>
    <w:rsid w:val="008C3B2F"/>
    <w:rsid w:val="008C414B"/>
    <w:rsid w:val="008C48AE"/>
    <w:rsid w:val="008C4CF8"/>
    <w:rsid w:val="008C50C7"/>
    <w:rsid w:val="008C6C3D"/>
    <w:rsid w:val="008C7241"/>
    <w:rsid w:val="008C7D61"/>
    <w:rsid w:val="008C7FFC"/>
    <w:rsid w:val="008D0093"/>
    <w:rsid w:val="008D0710"/>
    <w:rsid w:val="008D1E62"/>
    <w:rsid w:val="008D29D5"/>
    <w:rsid w:val="008D2CC6"/>
    <w:rsid w:val="008D33FD"/>
    <w:rsid w:val="008D3982"/>
    <w:rsid w:val="008D4DE7"/>
    <w:rsid w:val="008D592A"/>
    <w:rsid w:val="008D5DB2"/>
    <w:rsid w:val="008D6A02"/>
    <w:rsid w:val="008D6ABD"/>
    <w:rsid w:val="008D6ECE"/>
    <w:rsid w:val="008D6EEA"/>
    <w:rsid w:val="008D6F04"/>
    <w:rsid w:val="008D7673"/>
    <w:rsid w:val="008D783C"/>
    <w:rsid w:val="008E01CB"/>
    <w:rsid w:val="008E0204"/>
    <w:rsid w:val="008E10FC"/>
    <w:rsid w:val="008E1D84"/>
    <w:rsid w:val="008E25B4"/>
    <w:rsid w:val="008E2B46"/>
    <w:rsid w:val="008E2C5D"/>
    <w:rsid w:val="008E2EF8"/>
    <w:rsid w:val="008E4BC2"/>
    <w:rsid w:val="008E4BE7"/>
    <w:rsid w:val="008E50BF"/>
    <w:rsid w:val="008E5C74"/>
    <w:rsid w:val="008E5E50"/>
    <w:rsid w:val="008E6492"/>
    <w:rsid w:val="008E6517"/>
    <w:rsid w:val="008E67CC"/>
    <w:rsid w:val="008E726D"/>
    <w:rsid w:val="008E75B3"/>
    <w:rsid w:val="008F1B0B"/>
    <w:rsid w:val="008F2A82"/>
    <w:rsid w:val="008F2AC6"/>
    <w:rsid w:val="008F2DF7"/>
    <w:rsid w:val="008F31B0"/>
    <w:rsid w:val="008F33A0"/>
    <w:rsid w:val="008F3966"/>
    <w:rsid w:val="008F3EFF"/>
    <w:rsid w:val="008F4204"/>
    <w:rsid w:val="008F42CD"/>
    <w:rsid w:val="008F4837"/>
    <w:rsid w:val="008F54F5"/>
    <w:rsid w:val="008F5745"/>
    <w:rsid w:val="008F5B8D"/>
    <w:rsid w:val="008F65A3"/>
    <w:rsid w:val="008F68E8"/>
    <w:rsid w:val="008F72BC"/>
    <w:rsid w:val="008F7BAD"/>
    <w:rsid w:val="008F7BBA"/>
    <w:rsid w:val="00900035"/>
    <w:rsid w:val="009000DC"/>
    <w:rsid w:val="0090057E"/>
    <w:rsid w:val="00900C09"/>
    <w:rsid w:val="00900D46"/>
    <w:rsid w:val="00900F08"/>
    <w:rsid w:val="0090101B"/>
    <w:rsid w:val="00901200"/>
    <w:rsid w:val="00902983"/>
    <w:rsid w:val="0090312D"/>
    <w:rsid w:val="0090328B"/>
    <w:rsid w:val="0090331A"/>
    <w:rsid w:val="0090338E"/>
    <w:rsid w:val="009038B5"/>
    <w:rsid w:val="00904BCB"/>
    <w:rsid w:val="00904DE0"/>
    <w:rsid w:val="009051A1"/>
    <w:rsid w:val="009053D6"/>
    <w:rsid w:val="00905CAE"/>
    <w:rsid w:val="00906790"/>
    <w:rsid w:val="00906807"/>
    <w:rsid w:val="00906F7F"/>
    <w:rsid w:val="00907136"/>
    <w:rsid w:val="00910470"/>
    <w:rsid w:val="00910BA2"/>
    <w:rsid w:val="00911074"/>
    <w:rsid w:val="009110F9"/>
    <w:rsid w:val="00911CC9"/>
    <w:rsid w:val="00913048"/>
    <w:rsid w:val="00913252"/>
    <w:rsid w:val="00913456"/>
    <w:rsid w:val="00914B67"/>
    <w:rsid w:val="00915323"/>
    <w:rsid w:val="00916133"/>
    <w:rsid w:val="00917482"/>
    <w:rsid w:val="009177FF"/>
    <w:rsid w:val="0092003D"/>
    <w:rsid w:val="0092034B"/>
    <w:rsid w:val="0092097E"/>
    <w:rsid w:val="0092136E"/>
    <w:rsid w:val="00921D9A"/>
    <w:rsid w:val="00922EE2"/>
    <w:rsid w:val="0092310B"/>
    <w:rsid w:val="0092324D"/>
    <w:rsid w:val="00923E59"/>
    <w:rsid w:val="00924365"/>
    <w:rsid w:val="00925228"/>
    <w:rsid w:val="009255E9"/>
    <w:rsid w:val="00925AC1"/>
    <w:rsid w:val="00925BB2"/>
    <w:rsid w:val="00925C37"/>
    <w:rsid w:val="00925F25"/>
    <w:rsid w:val="009260AE"/>
    <w:rsid w:val="00926465"/>
    <w:rsid w:val="009264B6"/>
    <w:rsid w:val="00926741"/>
    <w:rsid w:val="009274AA"/>
    <w:rsid w:val="00930464"/>
    <w:rsid w:val="00930CAB"/>
    <w:rsid w:val="0093143A"/>
    <w:rsid w:val="00931C78"/>
    <w:rsid w:val="009323E8"/>
    <w:rsid w:val="00933628"/>
    <w:rsid w:val="00933695"/>
    <w:rsid w:val="00934E54"/>
    <w:rsid w:val="009351A6"/>
    <w:rsid w:val="009351C0"/>
    <w:rsid w:val="009351E6"/>
    <w:rsid w:val="00935436"/>
    <w:rsid w:val="00935ADA"/>
    <w:rsid w:val="00936143"/>
    <w:rsid w:val="00937378"/>
    <w:rsid w:val="00937C7A"/>
    <w:rsid w:val="00937F01"/>
    <w:rsid w:val="00940B74"/>
    <w:rsid w:val="00940D9C"/>
    <w:rsid w:val="00940EDA"/>
    <w:rsid w:val="00941382"/>
    <w:rsid w:val="00941402"/>
    <w:rsid w:val="0094144A"/>
    <w:rsid w:val="00942309"/>
    <w:rsid w:val="00942465"/>
    <w:rsid w:val="00942639"/>
    <w:rsid w:val="00942DFB"/>
    <w:rsid w:val="009430A3"/>
    <w:rsid w:val="009430D8"/>
    <w:rsid w:val="00944D99"/>
    <w:rsid w:val="0094514A"/>
    <w:rsid w:val="0094532D"/>
    <w:rsid w:val="00945769"/>
    <w:rsid w:val="0094613A"/>
    <w:rsid w:val="009462EF"/>
    <w:rsid w:val="0094684F"/>
    <w:rsid w:val="009473EF"/>
    <w:rsid w:val="00947624"/>
    <w:rsid w:val="00947A7E"/>
    <w:rsid w:val="0095093F"/>
    <w:rsid w:val="00951957"/>
    <w:rsid w:val="00951F07"/>
    <w:rsid w:val="0095215F"/>
    <w:rsid w:val="009525A5"/>
    <w:rsid w:val="009525B5"/>
    <w:rsid w:val="00952B3B"/>
    <w:rsid w:val="00952CB2"/>
    <w:rsid w:val="00952EA4"/>
    <w:rsid w:val="00952F72"/>
    <w:rsid w:val="00953113"/>
    <w:rsid w:val="009531DB"/>
    <w:rsid w:val="009538C3"/>
    <w:rsid w:val="00953BD0"/>
    <w:rsid w:val="009541DC"/>
    <w:rsid w:val="009548E2"/>
    <w:rsid w:val="00954954"/>
    <w:rsid w:val="00955E0D"/>
    <w:rsid w:val="00955F1C"/>
    <w:rsid w:val="00956930"/>
    <w:rsid w:val="00956E04"/>
    <w:rsid w:val="00957225"/>
    <w:rsid w:val="00957D6F"/>
    <w:rsid w:val="00957EA0"/>
    <w:rsid w:val="00960459"/>
    <w:rsid w:val="009605B9"/>
    <w:rsid w:val="00960998"/>
    <w:rsid w:val="00962545"/>
    <w:rsid w:val="009626A6"/>
    <w:rsid w:val="009629DB"/>
    <w:rsid w:val="009631B3"/>
    <w:rsid w:val="0096445F"/>
    <w:rsid w:val="00964CDB"/>
    <w:rsid w:val="009657DB"/>
    <w:rsid w:val="0096595F"/>
    <w:rsid w:val="00965A12"/>
    <w:rsid w:val="00966138"/>
    <w:rsid w:val="0096642F"/>
    <w:rsid w:val="00967005"/>
    <w:rsid w:val="00967442"/>
    <w:rsid w:val="00967BF4"/>
    <w:rsid w:val="00970104"/>
    <w:rsid w:val="00970327"/>
    <w:rsid w:val="00970FCC"/>
    <w:rsid w:val="00971A89"/>
    <w:rsid w:val="00971C34"/>
    <w:rsid w:val="00972929"/>
    <w:rsid w:val="0097349B"/>
    <w:rsid w:val="009738C3"/>
    <w:rsid w:val="0097424C"/>
    <w:rsid w:val="00974603"/>
    <w:rsid w:val="00974948"/>
    <w:rsid w:val="00974B55"/>
    <w:rsid w:val="00974F1C"/>
    <w:rsid w:val="009750A4"/>
    <w:rsid w:val="009752E6"/>
    <w:rsid w:val="00975898"/>
    <w:rsid w:val="00976275"/>
    <w:rsid w:val="009763DB"/>
    <w:rsid w:val="009763E8"/>
    <w:rsid w:val="00976A77"/>
    <w:rsid w:val="00976D3B"/>
    <w:rsid w:val="009773DC"/>
    <w:rsid w:val="00977581"/>
    <w:rsid w:val="00977AB2"/>
    <w:rsid w:val="00977B9B"/>
    <w:rsid w:val="00977FD6"/>
    <w:rsid w:val="00980357"/>
    <w:rsid w:val="00980541"/>
    <w:rsid w:val="00980660"/>
    <w:rsid w:val="0098177A"/>
    <w:rsid w:val="009817C0"/>
    <w:rsid w:val="00982BA7"/>
    <w:rsid w:val="00983620"/>
    <w:rsid w:val="009845FE"/>
    <w:rsid w:val="009846A4"/>
    <w:rsid w:val="00984D4A"/>
    <w:rsid w:val="00984F48"/>
    <w:rsid w:val="0098616B"/>
    <w:rsid w:val="00986E78"/>
    <w:rsid w:val="0098703D"/>
    <w:rsid w:val="00987130"/>
    <w:rsid w:val="009873ED"/>
    <w:rsid w:val="009900AE"/>
    <w:rsid w:val="009900FA"/>
    <w:rsid w:val="0099021F"/>
    <w:rsid w:val="00990887"/>
    <w:rsid w:val="00990FDE"/>
    <w:rsid w:val="00991912"/>
    <w:rsid w:val="0099199B"/>
    <w:rsid w:val="00991AB5"/>
    <w:rsid w:val="00992515"/>
    <w:rsid w:val="009926B4"/>
    <w:rsid w:val="00992F4A"/>
    <w:rsid w:val="00993654"/>
    <w:rsid w:val="009937D4"/>
    <w:rsid w:val="00993B5D"/>
    <w:rsid w:val="00993C1C"/>
    <w:rsid w:val="00993C21"/>
    <w:rsid w:val="009949A9"/>
    <w:rsid w:val="00994A30"/>
    <w:rsid w:val="009952AB"/>
    <w:rsid w:val="009952B9"/>
    <w:rsid w:val="00995A18"/>
    <w:rsid w:val="00995B5A"/>
    <w:rsid w:val="00995C6E"/>
    <w:rsid w:val="00995F65"/>
    <w:rsid w:val="00996103"/>
    <w:rsid w:val="0099638D"/>
    <w:rsid w:val="0099704A"/>
    <w:rsid w:val="0099711F"/>
    <w:rsid w:val="0099722A"/>
    <w:rsid w:val="00997A66"/>
    <w:rsid w:val="009A04B2"/>
    <w:rsid w:val="009A0B7B"/>
    <w:rsid w:val="009A10AD"/>
    <w:rsid w:val="009A1A71"/>
    <w:rsid w:val="009A1F75"/>
    <w:rsid w:val="009A23AF"/>
    <w:rsid w:val="009A301C"/>
    <w:rsid w:val="009A3484"/>
    <w:rsid w:val="009A40AC"/>
    <w:rsid w:val="009A49B0"/>
    <w:rsid w:val="009A4F91"/>
    <w:rsid w:val="009A543F"/>
    <w:rsid w:val="009A56BD"/>
    <w:rsid w:val="009A5A4A"/>
    <w:rsid w:val="009A5D98"/>
    <w:rsid w:val="009A61F6"/>
    <w:rsid w:val="009A6535"/>
    <w:rsid w:val="009A6DBB"/>
    <w:rsid w:val="009A736D"/>
    <w:rsid w:val="009A73A9"/>
    <w:rsid w:val="009A73CD"/>
    <w:rsid w:val="009A78EF"/>
    <w:rsid w:val="009A7F92"/>
    <w:rsid w:val="009B0FE9"/>
    <w:rsid w:val="009B15FD"/>
    <w:rsid w:val="009B1E55"/>
    <w:rsid w:val="009B2430"/>
    <w:rsid w:val="009B27D1"/>
    <w:rsid w:val="009B2A43"/>
    <w:rsid w:val="009B2E58"/>
    <w:rsid w:val="009B3E9E"/>
    <w:rsid w:val="009B40A3"/>
    <w:rsid w:val="009B4679"/>
    <w:rsid w:val="009B47B8"/>
    <w:rsid w:val="009B508F"/>
    <w:rsid w:val="009B5726"/>
    <w:rsid w:val="009B678D"/>
    <w:rsid w:val="009B69DE"/>
    <w:rsid w:val="009B75BC"/>
    <w:rsid w:val="009B7725"/>
    <w:rsid w:val="009C074A"/>
    <w:rsid w:val="009C0B4F"/>
    <w:rsid w:val="009C0CB7"/>
    <w:rsid w:val="009C1020"/>
    <w:rsid w:val="009C11BC"/>
    <w:rsid w:val="009C1666"/>
    <w:rsid w:val="009C1877"/>
    <w:rsid w:val="009C1B39"/>
    <w:rsid w:val="009C25EF"/>
    <w:rsid w:val="009C2EF1"/>
    <w:rsid w:val="009C31AA"/>
    <w:rsid w:val="009C33A5"/>
    <w:rsid w:val="009C36F8"/>
    <w:rsid w:val="009C487E"/>
    <w:rsid w:val="009C4EB1"/>
    <w:rsid w:val="009C51E0"/>
    <w:rsid w:val="009C5AE7"/>
    <w:rsid w:val="009C612E"/>
    <w:rsid w:val="009C6543"/>
    <w:rsid w:val="009C66BD"/>
    <w:rsid w:val="009C6DA1"/>
    <w:rsid w:val="009C7378"/>
    <w:rsid w:val="009C7558"/>
    <w:rsid w:val="009C7A1E"/>
    <w:rsid w:val="009D0895"/>
    <w:rsid w:val="009D13CD"/>
    <w:rsid w:val="009D14C5"/>
    <w:rsid w:val="009D1A14"/>
    <w:rsid w:val="009D1DD9"/>
    <w:rsid w:val="009D2B10"/>
    <w:rsid w:val="009D4862"/>
    <w:rsid w:val="009D4C9D"/>
    <w:rsid w:val="009D4CCE"/>
    <w:rsid w:val="009D5172"/>
    <w:rsid w:val="009D6A95"/>
    <w:rsid w:val="009D7307"/>
    <w:rsid w:val="009E00CB"/>
    <w:rsid w:val="009E0512"/>
    <w:rsid w:val="009E0BEC"/>
    <w:rsid w:val="009E0DAD"/>
    <w:rsid w:val="009E1F2B"/>
    <w:rsid w:val="009E21DD"/>
    <w:rsid w:val="009E29A7"/>
    <w:rsid w:val="009E2C0D"/>
    <w:rsid w:val="009E397C"/>
    <w:rsid w:val="009E54C2"/>
    <w:rsid w:val="009E5BFD"/>
    <w:rsid w:val="009E6326"/>
    <w:rsid w:val="009E6435"/>
    <w:rsid w:val="009E6604"/>
    <w:rsid w:val="009E6BF4"/>
    <w:rsid w:val="009E6C8D"/>
    <w:rsid w:val="009E7668"/>
    <w:rsid w:val="009E7817"/>
    <w:rsid w:val="009E7863"/>
    <w:rsid w:val="009E7BA5"/>
    <w:rsid w:val="009E7C00"/>
    <w:rsid w:val="009E7E03"/>
    <w:rsid w:val="009F066C"/>
    <w:rsid w:val="009F0D85"/>
    <w:rsid w:val="009F1AA5"/>
    <w:rsid w:val="009F26D1"/>
    <w:rsid w:val="009F2B7D"/>
    <w:rsid w:val="009F4658"/>
    <w:rsid w:val="009F490C"/>
    <w:rsid w:val="009F4993"/>
    <w:rsid w:val="009F4AEE"/>
    <w:rsid w:val="009F56C3"/>
    <w:rsid w:val="009F5834"/>
    <w:rsid w:val="009F6648"/>
    <w:rsid w:val="009F6D32"/>
    <w:rsid w:val="009F783B"/>
    <w:rsid w:val="00A00283"/>
    <w:rsid w:val="00A0031F"/>
    <w:rsid w:val="00A0079D"/>
    <w:rsid w:val="00A007FE"/>
    <w:rsid w:val="00A0205A"/>
    <w:rsid w:val="00A02329"/>
    <w:rsid w:val="00A02CB5"/>
    <w:rsid w:val="00A03560"/>
    <w:rsid w:val="00A0415D"/>
    <w:rsid w:val="00A044D2"/>
    <w:rsid w:val="00A04701"/>
    <w:rsid w:val="00A04BCA"/>
    <w:rsid w:val="00A04F11"/>
    <w:rsid w:val="00A055BA"/>
    <w:rsid w:val="00A05EAE"/>
    <w:rsid w:val="00A06311"/>
    <w:rsid w:val="00A069A3"/>
    <w:rsid w:val="00A069AD"/>
    <w:rsid w:val="00A06D27"/>
    <w:rsid w:val="00A07A5C"/>
    <w:rsid w:val="00A10980"/>
    <w:rsid w:val="00A10FA9"/>
    <w:rsid w:val="00A1163D"/>
    <w:rsid w:val="00A11B9A"/>
    <w:rsid w:val="00A11FE9"/>
    <w:rsid w:val="00A123D7"/>
    <w:rsid w:val="00A130E7"/>
    <w:rsid w:val="00A1389C"/>
    <w:rsid w:val="00A13B21"/>
    <w:rsid w:val="00A145C4"/>
    <w:rsid w:val="00A14C19"/>
    <w:rsid w:val="00A15076"/>
    <w:rsid w:val="00A15692"/>
    <w:rsid w:val="00A1676A"/>
    <w:rsid w:val="00A16936"/>
    <w:rsid w:val="00A16A93"/>
    <w:rsid w:val="00A17C84"/>
    <w:rsid w:val="00A20696"/>
    <w:rsid w:val="00A20759"/>
    <w:rsid w:val="00A2171F"/>
    <w:rsid w:val="00A21811"/>
    <w:rsid w:val="00A21C73"/>
    <w:rsid w:val="00A21F7C"/>
    <w:rsid w:val="00A21FBB"/>
    <w:rsid w:val="00A22016"/>
    <w:rsid w:val="00A2235D"/>
    <w:rsid w:val="00A22F7A"/>
    <w:rsid w:val="00A22FD8"/>
    <w:rsid w:val="00A23619"/>
    <w:rsid w:val="00A23D4D"/>
    <w:rsid w:val="00A25074"/>
    <w:rsid w:val="00A25297"/>
    <w:rsid w:val="00A2580C"/>
    <w:rsid w:val="00A26788"/>
    <w:rsid w:val="00A26E70"/>
    <w:rsid w:val="00A27016"/>
    <w:rsid w:val="00A27249"/>
    <w:rsid w:val="00A273B7"/>
    <w:rsid w:val="00A2775D"/>
    <w:rsid w:val="00A279CF"/>
    <w:rsid w:val="00A3002D"/>
    <w:rsid w:val="00A30213"/>
    <w:rsid w:val="00A302E4"/>
    <w:rsid w:val="00A31069"/>
    <w:rsid w:val="00A32770"/>
    <w:rsid w:val="00A32A73"/>
    <w:rsid w:val="00A32E3B"/>
    <w:rsid w:val="00A34580"/>
    <w:rsid w:val="00A350AB"/>
    <w:rsid w:val="00A35C9D"/>
    <w:rsid w:val="00A36810"/>
    <w:rsid w:val="00A36BCF"/>
    <w:rsid w:val="00A36D2A"/>
    <w:rsid w:val="00A370C6"/>
    <w:rsid w:val="00A3738A"/>
    <w:rsid w:val="00A377A1"/>
    <w:rsid w:val="00A41482"/>
    <w:rsid w:val="00A4270D"/>
    <w:rsid w:val="00A42AA9"/>
    <w:rsid w:val="00A42C0C"/>
    <w:rsid w:val="00A4305F"/>
    <w:rsid w:val="00A437AD"/>
    <w:rsid w:val="00A44246"/>
    <w:rsid w:val="00A443B1"/>
    <w:rsid w:val="00A44644"/>
    <w:rsid w:val="00A44FAA"/>
    <w:rsid w:val="00A460A1"/>
    <w:rsid w:val="00A46350"/>
    <w:rsid w:val="00A46658"/>
    <w:rsid w:val="00A4692A"/>
    <w:rsid w:val="00A46DB9"/>
    <w:rsid w:val="00A47EE6"/>
    <w:rsid w:val="00A47EFF"/>
    <w:rsid w:val="00A5048A"/>
    <w:rsid w:val="00A510E7"/>
    <w:rsid w:val="00A51A9E"/>
    <w:rsid w:val="00A520A0"/>
    <w:rsid w:val="00A522E9"/>
    <w:rsid w:val="00A52773"/>
    <w:rsid w:val="00A52FFB"/>
    <w:rsid w:val="00A53B90"/>
    <w:rsid w:val="00A54510"/>
    <w:rsid w:val="00A552EE"/>
    <w:rsid w:val="00A55A3C"/>
    <w:rsid w:val="00A55ED5"/>
    <w:rsid w:val="00A56A0B"/>
    <w:rsid w:val="00A5707F"/>
    <w:rsid w:val="00A5731A"/>
    <w:rsid w:val="00A574F0"/>
    <w:rsid w:val="00A5787C"/>
    <w:rsid w:val="00A57AEE"/>
    <w:rsid w:val="00A57CAB"/>
    <w:rsid w:val="00A605D3"/>
    <w:rsid w:val="00A606DC"/>
    <w:rsid w:val="00A61752"/>
    <w:rsid w:val="00A61C46"/>
    <w:rsid w:val="00A61C7F"/>
    <w:rsid w:val="00A621FC"/>
    <w:rsid w:val="00A62417"/>
    <w:rsid w:val="00A62BFC"/>
    <w:rsid w:val="00A62FFF"/>
    <w:rsid w:val="00A63545"/>
    <w:rsid w:val="00A638F6"/>
    <w:rsid w:val="00A63B60"/>
    <w:rsid w:val="00A63FAD"/>
    <w:rsid w:val="00A66380"/>
    <w:rsid w:val="00A666E5"/>
    <w:rsid w:val="00A668F2"/>
    <w:rsid w:val="00A7035D"/>
    <w:rsid w:val="00A70421"/>
    <w:rsid w:val="00A70720"/>
    <w:rsid w:val="00A71282"/>
    <w:rsid w:val="00A71656"/>
    <w:rsid w:val="00A72AA2"/>
    <w:rsid w:val="00A72AC5"/>
    <w:rsid w:val="00A731C3"/>
    <w:rsid w:val="00A73B47"/>
    <w:rsid w:val="00A74AFA"/>
    <w:rsid w:val="00A7507D"/>
    <w:rsid w:val="00A7532B"/>
    <w:rsid w:val="00A75A45"/>
    <w:rsid w:val="00A76140"/>
    <w:rsid w:val="00A7672B"/>
    <w:rsid w:val="00A76D71"/>
    <w:rsid w:val="00A770D9"/>
    <w:rsid w:val="00A8091B"/>
    <w:rsid w:val="00A80CEA"/>
    <w:rsid w:val="00A80D66"/>
    <w:rsid w:val="00A81781"/>
    <w:rsid w:val="00A817C1"/>
    <w:rsid w:val="00A818F4"/>
    <w:rsid w:val="00A81BE4"/>
    <w:rsid w:val="00A82375"/>
    <w:rsid w:val="00A82891"/>
    <w:rsid w:val="00A82D4A"/>
    <w:rsid w:val="00A84B9F"/>
    <w:rsid w:val="00A85357"/>
    <w:rsid w:val="00A856A2"/>
    <w:rsid w:val="00A856F4"/>
    <w:rsid w:val="00A85A53"/>
    <w:rsid w:val="00A86786"/>
    <w:rsid w:val="00A86A7B"/>
    <w:rsid w:val="00A87284"/>
    <w:rsid w:val="00A87AEE"/>
    <w:rsid w:val="00A9186D"/>
    <w:rsid w:val="00A92484"/>
    <w:rsid w:val="00A928F8"/>
    <w:rsid w:val="00A93955"/>
    <w:rsid w:val="00A9571D"/>
    <w:rsid w:val="00A95770"/>
    <w:rsid w:val="00A95C34"/>
    <w:rsid w:val="00A962AA"/>
    <w:rsid w:val="00A96334"/>
    <w:rsid w:val="00A966E5"/>
    <w:rsid w:val="00A96CF6"/>
    <w:rsid w:val="00AA0148"/>
    <w:rsid w:val="00AA0E2C"/>
    <w:rsid w:val="00AA1617"/>
    <w:rsid w:val="00AA1CA3"/>
    <w:rsid w:val="00AA1EEC"/>
    <w:rsid w:val="00AA3921"/>
    <w:rsid w:val="00AA3A96"/>
    <w:rsid w:val="00AA3EA5"/>
    <w:rsid w:val="00AA4501"/>
    <w:rsid w:val="00AA5FA0"/>
    <w:rsid w:val="00AA63DC"/>
    <w:rsid w:val="00AA6FA2"/>
    <w:rsid w:val="00AA78F4"/>
    <w:rsid w:val="00AA7B2B"/>
    <w:rsid w:val="00AB0F14"/>
    <w:rsid w:val="00AB14B6"/>
    <w:rsid w:val="00AB14BD"/>
    <w:rsid w:val="00AB25FD"/>
    <w:rsid w:val="00AB32F7"/>
    <w:rsid w:val="00AB34DE"/>
    <w:rsid w:val="00AB37FC"/>
    <w:rsid w:val="00AB3CC9"/>
    <w:rsid w:val="00AB423B"/>
    <w:rsid w:val="00AB4687"/>
    <w:rsid w:val="00AB475E"/>
    <w:rsid w:val="00AB4FB5"/>
    <w:rsid w:val="00AB5288"/>
    <w:rsid w:val="00AB52CC"/>
    <w:rsid w:val="00AB5572"/>
    <w:rsid w:val="00AB5B00"/>
    <w:rsid w:val="00AB60E1"/>
    <w:rsid w:val="00AB66ED"/>
    <w:rsid w:val="00AB6D07"/>
    <w:rsid w:val="00AB72E6"/>
    <w:rsid w:val="00AB7D3A"/>
    <w:rsid w:val="00AC088F"/>
    <w:rsid w:val="00AC0D7E"/>
    <w:rsid w:val="00AC100D"/>
    <w:rsid w:val="00AC143A"/>
    <w:rsid w:val="00AC1E5B"/>
    <w:rsid w:val="00AC27F6"/>
    <w:rsid w:val="00AC3C79"/>
    <w:rsid w:val="00AC3E19"/>
    <w:rsid w:val="00AC3FC5"/>
    <w:rsid w:val="00AC4B3D"/>
    <w:rsid w:val="00AC5103"/>
    <w:rsid w:val="00AC6057"/>
    <w:rsid w:val="00AC6395"/>
    <w:rsid w:val="00AC6618"/>
    <w:rsid w:val="00AC7167"/>
    <w:rsid w:val="00AC7470"/>
    <w:rsid w:val="00AC783C"/>
    <w:rsid w:val="00AC7FE3"/>
    <w:rsid w:val="00AD0083"/>
    <w:rsid w:val="00AD084E"/>
    <w:rsid w:val="00AD09B3"/>
    <w:rsid w:val="00AD0D35"/>
    <w:rsid w:val="00AD1269"/>
    <w:rsid w:val="00AD13F3"/>
    <w:rsid w:val="00AD149C"/>
    <w:rsid w:val="00AD1B33"/>
    <w:rsid w:val="00AD280A"/>
    <w:rsid w:val="00AD2D0E"/>
    <w:rsid w:val="00AD3E21"/>
    <w:rsid w:val="00AD4400"/>
    <w:rsid w:val="00AD475E"/>
    <w:rsid w:val="00AD4AB0"/>
    <w:rsid w:val="00AD4E54"/>
    <w:rsid w:val="00AD50AF"/>
    <w:rsid w:val="00AD5339"/>
    <w:rsid w:val="00AD5AA0"/>
    <w:rsid w:val="00AD5D75"/>
    <w:rsid w:val="00AD62E0"/>
    <w:rsid w:val="00AD66B4"/>
    <w:rsid w:val="00AD6710"/>
    <w:rsid w:val="00AD67B5"/>
    <w:rsid w:val="00AD6ED8"/>
    <w:rsid w:val="00AD6F91"/>
    <w:rsid w:val="00AD7308"/>
    <w:rsid w:val="00AD7419"/>
    <w:rsid w:val="00AD7563"/>
    <w:rsid w:val="00AD759B"/>
    <w:rsid w:val="00AD7C1D"/>
    <w:rsid w:val="00AE05AB"/>
    <w:rsid w:val="00AE068A"/>
    <w:rsid w:val="00AE0D3A"/>
    <w:rsid w:val="00AE1320"/>
    <w:rsid w:val="00AE149A"/>
    <w:rsid w:val="00AE27C7"/>
    <w:rsid w:val="00AE2F65"/>
    <w:rsid w:val="00AE37BC"/>
    <w:rsid w:val="00AE43EF"/>
    <w:rsid w:val="00AE4434"/>
    <w:rsid w:val="00AE47EF"/>
    <w:rsid w:val="00AE4D40"/>
    <w:rsid w:val="00AE5165"/>
    <w:rsid w:val="00AE5943"/>
    <w:rsid w:val="00AE6385"/>
    <w:rsid w:val="00AE6895"/>
    <w:rsid w:val="00AE6914"/>
    <w:rsid w:val="00AE73CC"/>
    <w:rsid w:val="00AE7C55"/>
    <w:rsid w:val="00AF0208"/>
    <w:rsid w:val="00AF0430"/>
    <w:rsid w:val="00AF0692"/>
    <w:rsid w:val="00AF1086"/>
    <w:rsid w:val="00AF1C14"/>
    <w:rsid w:val="00AF1CDD"/>
    <w:rsid w:val="00AF2751"/>
    <w:rsid w:val="00AF2E4D"/>
    <w:rsid w:val="00AF42B6"/>
    <w:rsid w:val="00AF4450"/>
    <w:rsid w:val="00AF49FD"/>
    <w:rsid w:val="00AF4D6B"/>
    <w:rsid w:val="00AF4DED"/>
    <w:rsid w:val="00AF5476"/>
    <w:rsid w:val="00AF56B7"/>
    <w:rsid w:val="00AF5F0B"/>
    <w:rsid w:val="00AF5FD9"/>
    <w:rsid w:val="00AF6259"/>
    <w:rsid w:val="00AF67C4"/>
    <w:rsid w:val="00AF6F0F"/>
    <w:rsid w:val="00AF73E4"/>
    <w:rsid w:val="00AF7661"/>
    <w:rsid w:val="00AF7A52"/>
    <w:rsid w:val="00AF7EB9"/>
    <w:rsid w:val="00B00948"/>
    <w:rsid w:val="00B00CB9"/>
    <w:rsid w:val="00B011D6"/>
    <w:rsid w:val="00B01454"/>
    <w:rsid w:val="00B01A00"/>
    <w:rsid w:val="00B02BE0"/>
    <w:rsid w:val="00B0328D"/>
    <w:rsid w:val="00B03AAE"/>
    <w:rsid w:val="00B03F4A"/>
    <w:rsid w:val="00B0410E"/>
    <w:rsid w:val="00B049A1"/>
    <w:rsid w:val="00B04B53"/>
    <w:rsid w:val="00B050A4"/>
    <w:rsid w:val="00B059CA"/>
    <w:rsid w:val="00B05ED9"/>
    <w:rsid w:val="00B06069"/>
    <w:rsid w:val="00B0663E"/>
    <w:rsid w:val="00B06CF9"/>
    <w:rsid w:val="00B06EFE"/>
    <w:rsid w:val="00B0715B"/>
    <w:rsid w:val="00B10447"/>
    <w:rsid w:val="00B1046C"/>
    <w:rsid w:val="00B108E3"/>
    <w:rsid w:val="00B10A46"/>
    <w:rsid w:val="00B10AE4"/>
    <w:rsid w:val="00B10C8E"/>
    <w:rsid w:val="00B10D8F"/>
    <w:rsid w:val="00B10E80"/>
    <w:rsid w:val="00B115AC"/>
    <w:rsid w:val="00B11E48"/>
    <w:rsid w:val="00B1249E"/>
    <w:rsid w:val="00B133AE"/>
    <w:rsid w:val="00B138E0"/>
    <w:rsid w:val="00B14080"/>
    <w:rsid w:val="00B14803"/>
    <w:rsid w:val="00B16FE0"/>
    <w:rsid w:val="00B17B0F"/>
    <w:rsid w:val="00B20BC7"/>
    <w:rsid w:val="00B20E1B"/>
    <w:rsid w:val="00B20FB3"/>
    <w:rsid w:val="00B20FF1"/>
    <w:rsid w:val="00B22095"/>
    <w:rsid w:val="00B22871"/>
    <w:rsid w:val="00B229DC"/>
    <w:rsid w:val="00B22EE1"/>
    <w:rsid w:val="00B232EA"/>
    <w:rsid w:val="00B233AD"/>
    <w:rsid w:val="00B237E4"/>
    <w:rsid w:val="00B24741"/>
    <w:rsid w:val="00B2490B"/>
    <w:rsid w:val="00B24A0F"/>
    <w:rsid w:val="00B2500A"/>
    <w:rsid w:val="00B25354"/>
    <w:rsid w:val="00B2585A"/>
    <w:rsid w:val="00B25BF4"/>
    <w:rsid w:val="00B26A08"/>
    <w:rsid w:val="00B26A67"/>
    <w:rsid w:val="00B276A3"/>
    <w:rsid w:val="00B276F8"/>
    <w:rsid w:val="00B27F74"/>
    <w:rsid w:val="00B32655"/>
    <w:rsid w:val="00B326A5"/>
    <w:rsid w:val="00B32797"/>
    <w:rsid w:val="00B32CC1"/>
    <w:rsid w:val="00B332D7"/>
    <w:rsid w:val="00B34120"/>
    <w:rsid w:val="00B34556"/>
    <w:rsid w:val="00B345F5"/>
    <w:rsid w:val="00B34DED"/>
    <w:rsid w:val="00B34E97"/>
    <w:rsid w:val="00B353B4"/>
    <w:rsid w:val="00B35CCB"/>
    <w:rsid w:val="00B3650B"/>
    <w:rsid w:val="00B3661C"/>
    <w:rsid w:val="00B366B4"/>
    <w:rsid w:val="00B376AD"/>
    <w:rsid w:val="00B41F2A"/>
    <w:rsid w:val="00B42AA3"/>
    <w:rsid w:val="00B42AF5"/>
    <w:rsid w:val="00B43A24"/>
    <w:rsid w:val="00B43C57"/>
    <w:rsid w:val="00B44B19"/>
    <w:rsid w:val="00B4552A"/>
    <w:rsid w:val="00B456F4"/>
    <w:rsid w:val="00B4575C"/>
    <w:rsid w:val="00B45B28"/>
    <w:rsid w:val="00B46E78"/>
    <w:rsid w:val="00B47181"/>
    <w:rsid w:val="00B47339"/>
    <w:rsid w:val="00B479B8"/>
    <w:rsid w:val="00B47DBB"/>
    <w:rsid w:val="00B47DCB"/>
    <w:rsid w:val="00B501B7"/>
    <w:rsid w:val="00B50272"/>
    <w:rsid w:val="00B51423"/>
    <w:rsid w:val="00B516EF"/>
    <w:rsid w:val="00B51947"/>
    <w:rsid w:val="00B51A61"/>
    <w:rsid w:val="00B520E6"/>
    <w:rsid w:val="00B521C6"/>
    <w:rsid w:val="00B52DA7"/>
    <w:rsid w:val="00B52E7E"/>
    <w:rsid w:val="00B53139"/>
    <w:rsid w:val="00B533DF"/>
    <w:rsid w:val="00B535FA"/>
    <w:rsid w:val="00B53652"/>
    <w:rsid w:val="00B53DCF"/>
    <w:rsid w:val="00B54A3F"/>
    <w:rsid w:val="00B54E86"/>
    <w:rsid w:val="00B5567A"/>
    <w:rsid w:val="00B55F9D"/>
    <w:rsid w:val="00B5627E"/>
    <w:rsid w:val="00B56717"/>
    <w:rsid w:val="00B56A44"/>
    <w:rsid w:val="00B56B42"/>
    <w:rsid w:val="00B57843"/>
    <w:rsid w:val="00B57B27"/>
    <w:rsid w:val="00B60BC7"/>
    <w:rsid w:val="00B60ECC"/>
    <w:rsid w:val="00B611E4"/>
    <w:rsid w:val="00B61686"/>
    <w:rsid w:val="00B61AAD"/>
    <w:rsid w:val="00B620A8"/>
    <w:rsid w:val="00B620CB"/>
    <w:rsid w:val="00B62BBA"/>
    <w:rsid w:val="00B63C5D"/>
    <w:rsid w:val="00B6449C"/>
    <w:rsid w:val="00B647E6"/>
    <w:rsid w:val="00B6573F"/>
    <w:rsid w:val="00B6594F"/>
    <w:rsid w:val="00B65EC1"/>
    <w:rsid w:val="00B66058"/>
    <w:rsid w:val="00B664DA"/>
    <w:rsid w:val="00B6733E"/>
    <w:rsid w:val="00B676AD"/>
    <w:rsid w:val="00B676D8"/>
    <w:rsid w:val="00B67714"/>
    <w:rsid w:val="00B67845"/>
    <w:rsid w:val="00B705A9"/>
    <w:rsid w:val="00B70642"/>
    <w:rsid w:val="00B71320"/>
    <w:rsid w:val="00B71443"/>
    <w:rsid w:val="00B72222"/>
    <w:rsid w:val="00B72E48"/>
    <w:rsid w:val="00B72FAE"/>
    <w:rsid w:val="00B73261"/>
    <w:rsid w:val="00B74169"/>
    <w:rsid w:val="00B74951"/>
    <w:rsid w:val="00B74ABD"/>
    <w:rsid w:val="00B74BD4"/>
    <w:rsid w:val="00B754F8"/>
    <w:rsid w:val="00B76D8E"/>
    <w:rsid w:val="00B76EFF"/>
    <w:rsid w:val="00B776F6"/>
    <w:rsid w:val="00B80489"/>
    <w:rsid w:val="00B80A81"/>
    <w:rsid w:val="00B80D38"/>
    <w:rsid w:val="00B81002"/>
    <w:rsid w:val="00B810F8"/>
    <w:rsid w:val="00B81845"/>
    <w:rsid w:val="00B818ED"/>
    <w:rsid w:val="00B81F57"/>
    <w:rsid w:val="00B839FC"/>
    <w:rsid w:val="00B83AF1"/>
    <w:rsid w:val="00B83B47"/>
    <w:rsid w:val="00B83CDA"/>
    <w:rsid w:val="00B8412C"/>
    <w:rsid w:val="00B84183"/>
    <w:rsid w:val="00B84260"/>
    <w:rsid w:val="00B84851"/>
    <w:rsid w:val="00B86786"/>
    <w:rsid w:val="00B869CF"/>
    <w:rsid w:val="00B86DEC"/>
    <w:rsid w:val="00B86E92"/>
    <w:rsid w:val="00B87627"/>
    <w:rsid w:val="00B87EEA"/>
    <w:rsid w:val="00B87F2A"/>
    <w:rsid w:val="00B900F8"/>
    <w:rsid w:val="00B90153"/>
    <w:rsid w:val="00B90231"/>
    <w:rsid w:val="00B91F86"/>
    <w:rsid w:val="00B9244C"/>
    <w:rsid w:val="00B927F2"/>
    <w:rsid w:val="00B92CE9"/>
    <w:rsid w:val="00B938A7"/>
    <w:rsid w:val="00B93A17"/>
    <w:rsid w:val="00B9409E"/>
    <w:rsid w:val="00B94D8D"/>
    <w:rsid w:val="00B94DA0"/>
    <w:rsid w:val="00B96622"/>
    <w:rsid w:val="00B97119"/>
    <w:rsid w:val="00B97A01"/>
    <w:rsid w:val="00BA0409"/>
    <w:rsid w:val="00BA067F"/>
    <w:rsid w:val="00BA0DE0"/>
    <w:rsid w:val="00BA0F12"/>
    <w:rsid w:val="00BA10C8"/>
    <w:rsid w:val="00BA3229"/>
    <w:rsid w:val="00BA358E"/>
    <w:rsid w:val="00BA52AC"/>
    <w:rsid w:val="00BA52CF"/>
    <w:rsid w:val="00BA535F"/>
    <w:rsid w:val="00BA56A5"/>
    <w:rsid w:val="00BA57A3"/>
    <w:rsid w:val="00BA5906"/>
    <w:rsid w:val="00BA75CE"/>
    <w:rsid w:val="00BA77C9"/>
    <w:rsid w:val="00BA7CFE"/>
    <w:rsid w:val="00BB0721"/>
    <w:rsid w:val="00BB0B15"/>
    <w:rsid w:val="00BB0D1D"/>
    <w:rsid w:val="00BB0D9B"/>
    <w:rsid w:val="00BB1767"/>
    <w:rsid w:val="00BB1A1E"/>
    <w:rsid w:val="00BB1A6D"/>
    <w:rsid w:val="00BB1F3D"/>
    <w:rsid w:val="00BB220A"/>
    <w:rsid w:val="00BB2736"/>
    <w:rsid w:val="00BB2954"/>
    <w:rsid w:val="00BB38DD"/>
    <w:rsid w:val="00BB39EB"/>
    <w:rsid w:val="00BB4111"/>
    <w:rsid w:val="00BB4192"/>
    <w:rsid w:val="00BB4593"/>
    <w:rsid w:val="00BB4657"/>
    <w:rsid w:val="00BB502B"/>
    <w:rsid w:val="00BB5588"/>
    <w:rsid w:val="00BB5659"/>
    <w:rsid w:val="00BB59DF"/>
    <w:rsid w:val="00BB7C84"/>
    <w:rsid w:val="00BC0F7C"/>
    <w:rsid w:val="00BC2185"/>
    <w:rsid w:val="00BC2234"/>
    <w:rsid w:val="00BC2626"/>
    <w:rsid w:val="00BC30BF"/>
    <w:rsid w:val="00BC3AA5"/>
    <w:rsid w:val="00BC3D55"/>
    <w:rsid w:val="00BC445A"/>
    <w:rsid w:val="00BC4895"/>
    <w:rsid w:val="00BC49B0"/>
    <w:rsid w:val="00BC4C57"/>
    <w:rsid w:val="00BC4C9E"/>
    <w:rsid w:val="00BC4ECE"/>
    <w:rsid w:val="00BC5310"/>
    <w:rsid w:val="00BC5430"/>
    <w:rsid w:val="00BC556D"/>
    <w:rsid w:val="00BC56AA"/>
    <w:rsid w:val="00BC59A2"/>
    <w:rsid w:val="00BC5AF5"/>
    <w:rsid w:val="00BC5B9E"/>
    <w:rsid w:val="00BC62ED"/>
    <w:rsid w:val="00BC633F"/>
    <w:rsid w:val="00BC6C1A"/>
    <w:rsid w:val="00BD01A3"/>
    <w:rsid w:val="00BD0FB6"/>
    <w:rsid w:val="00BD2406"/>
    <w:rsid w:val="00BD3386"/>
    <w:rsid w:val="00BD402B"/>
    <w:rsid w:val="00BD4772"/>
    <w:rsid w:val="00BD4921"/>
    <w:rsid w:val="00BD4A5C"/>
    <w:rsid w:val="00BD4ADA"/>
    <w:rsid w:val="00BD4BF6"/>
    <w:rsid w:val="00BD4DF6"/>
    <w:rsid w:val="00BD509C"/>
    <w:rsid w:val="00BD593F"/>
    <w:rsid w:val="00BD5E86"/>
    <w:rsid w:val="00BD639C"/>
    <w:rsid w:val="00BD7E49"/>
    <w:rsid w:val="00BE040E"/>
    <w:rsid w:val="00BE04C6"/>
    <w:rsid w:val="00BE09DE"/>
    <w:rsid w:val="00BE1006"/>
    <w:rsid w:val="00BE17AB"/>
    <w:rsid w:val="00BE17C2"/>
    <w:rsid w:val="00BE26E1"/>
    <w:rsid w:val="00BE32EE"/>
    <w:rsid w:val="00BE386A"/>
    <w:rsid w:val="00BE3C83"/>
    <w:rsid w:val="00BE444E"/>
    <w:rsid w:val="00BE4E41"/>
    <w:rsid w:val="00BE4FDA"/>
    <w:rsid w:val="00BE5816"/>
    <w:rsid w:val="00BE64E4"/>
    <w:rsid w:val="00BE6E6C"/>
    <w:rsid w:val="00BE7067"/>
    <w:rsid w:val="00BE731B"/>
    <w:rsid w:val="00BE7488"/>
    <w:rsid w:val="00BE77C8"/>
    <w:rsid w:val="00BF05CA"/>
    <w:rsid w:val="00BF0698"/>
    <w:rsid w:val="00BF0B5E"/>
    <w:rsid w:val="00BF147C"/>
    <w:rsid w:val="00BF18E1"/>
    <w:rsid w:val="00BF20CA"/>
    <w:rsid w:val="00BF2DD2"/>
    <w:rsid w:val="00BF3025"/>
    <w:rsid w:val="00BF3725"/>
    <w:rsid w:val="00BF56CE"/>
    <w:rsid w:val="00BF576F"/>
    <w:rsid w:val="00BF5C17"/>
    <w:rsid w:val="00BF5FE5"/>
    <w:rsid w:val="00BF62F0"/>
    <w:rsid w:val="00C004FC"/>
    <w:rsid w:val="00C016B8"/>
    <w:rsid w:val="00C019B3"/>
    <w:rsid w:val="00C020ED"/>
    <w:rsid w:val="00C028AD"/>
    <w:rsid w:val="00C02A4C"/>
    <w:rsid w:val="00C02C0D"/>
    <w:rsid w:val="00C0302E"/>
    <w:rsid w:val="00C03AC4"/>
    <w:rsid w:val="00C03D01"/>
    <w:rsid w:val="00C03DC4"/>
    <w:rsid w:val="00C04AF3"/>
    <w:rsid w:val="00C0509A"/>
    <w:rsid w:val="00C058C6"/>
    <w:rsid w:val="00C05B1B"/>
    <w:rsid w:val="00C05CD7"/>
    <w:rsid w:val="00C05D44"/>
    <w:rsid w:val="00C06E6B"/>
    <w:rsid w:val="00C07A62"/>
    <w:rsid w:val="00C07E58"/>
    <w:rsid w:val="00C100C7"/>
    <w:rsid w:val="00C107F0"/>
    <w:rsid w:val="00C109C5"/>
    <w:rsid w:val="00C109C7"/>
    <w:rsid w:val="00C10C8C"/>
    <w:rsid w:val="00C10D28"/>
    <w:rsid w:val="00C1161C"/>
    <w:rsid w:val="00C1252F"/>
    <w:rsid w:val="00C12F5A"/>
    <w:rsid w:val="00C13256"/>
    <w:rsid w:val="00C13FD7"/>
    <w:rsid w:val="00C14840"/>
    <w:rsid w:val="00C14EA4"/>
    <w:rsid w:val="00C15605"/>
    <w:rsid w:val="00C1632D"/>
    <w:rsid w:val="00C16649"/>
    <w:rsid w:val="00C16BDD"/>
    <w:rsid w:val="00C16BFD"/>
    <w:rsid w:val="00C16D49"/>
    <w:rsid w:val="00C17C81"/>
    <w:rsid w:val="00C20268"/>
    <w:rsid w:val="00C2049C"/>
    <w:rsid w:val="00C2089C"/>
    <w:rsid w:val="00C21208"/>
    <w:rsid w:val="00C22213"/>
    <w:rsid w:val="00C230BC"/>
    <w:rsid w:val="00C24373"/>
    <w:rsid w:val="00C24BAB"/>
    <w:rsid w:val="00C250BC"/>
    <w:rsid w:val="00C25179"/>
    <w:rsid w:val="00C25622"/>
    <w:rsid w:val="00C2602F"/>
    <w:rsid w:val="00C267DB"/>
    <w:rsid w:val="00C2783E"/>
    <w:rsid w:val="00C27AA0"/>
    <w:rsid w:val="00C27BEE"/>
    <w:rsid w:val="00C30389"/>
    <w:rsid w:val="00C304A3"/>
    <w:rsid w:val="00C3054B"/>
    <w:rsid w:val="00C3087B"/>
    <w:rsid w:val="00C30B3A"/>
    <w:rsid w:val="00C30BDD"/>
    <w:rsid w:val="00C31392"/>
    <w:rsid w:val="00C3196F"/>
    <w:rsid w:val="00C31DC9"/>
    <w:rsid w:val="00C328F1"/>
    <w:rsid w:val="00C3328E"/>
    <w:rsid w:val="00C33D25"/>
    <w:rsid w:val="00C34645"/>
    <w:rsid w:val="00C352C2"/>
    <w:rsid w:val="00C366B4"/>
    <w:rsid w:val="00C36E16"/>
    <w:rsid w:val="00C376B3"/>
    <w:rsid w:val="00C407E2"/>
    <w:rsid w:val="00C409CF"/>
    <w:rsid w:val="00C4147D"/>
    <w:rsid w:val="00C41BAA"/>
    <w:rsid w:val="00C41C07"/>
    <w:rsid w:val="00C424FA"/>
    <w:rsid w:val="00C426D8"/>
    <w:rsid w:val="00C432CA"/>
    <w:rsid w:val="00C435FF"/>
    <w:rsid w:val="00C43642"/>
    <w:rsid w:val="00C43C7B"/>
    <w:rsid w:val="00C43D5D"/>
    <w:rsid w:val="00C43E15"/>
    <w:rsid w:val="00C44375"/>
    <w:rsid w:val="00C446E4"/>
    <w:rsid w:val="00C4496A"/>
    <w:rsid w:val="00C44E49"/>
    <w:rsid w:val="00C45045"/>
    <w:rsid w:val="00C45A4E"/>
    <w:rsid w:val="00C47333"/>
    <w:rsid w:val="00C50068"/>
    <w:rsid w:val="00C50ACA"/>
    <w:rsid w:val="00C50CB6"/>
    <w:rsid w:val="00C52031"/>
    <w:rsid w:val="00C52155"/>
    <w:rsid w:val="00C5262E"/>
    <w:rsid w:val="00C5316B"/>
    <w:rsid w:val="00C538F1"/>
    <w:rsid w:val="00C54CAD"/>
    <w:rsid w:val="00C555C8"/>
    <w:rsid w:val="00C5597A"/>
    <w:rsid w:val="00C56B9C"/>
    <w:rsid w:val="00C56DB4"/>
    <w:rsid w:val="00C6015F"/>
    <w:rsid w:val="00C609EB"/>
    <w:rsid w:val="00C60A41"/>
    <w:rsid w:val="00C61544"/>
    <w:rsid w:val="00C61569"/>
    <w:rsid w:val="00C61692"/>
    <w:rsid w:val="00C61B4D"/>
    <w:rsid w:val="00C61D3D"/>
    <w:rsid w:val="00C61E5F"/>
    <w:rsid w:val="00C62E1D"/>
    <w:rsid w:val="00C63A28"/>
    <w:rsid w:val="00C63DCA"/>
    <w:rsid w:val="00C64305"/>
    <w:rsid w:val="00C64771"/>
    <w:rsid w:val="00C6490C"/>
    <w:rsid w:val="00C65153"/>
    <w:rsid w:val="00C659A3"/>
    <w:rsid w:val="00C67011"/>
    <w:rsid w:val="00C67ECE"/>
    <w:rsid w:val="00C7079F"/>
    <w:rsid w:val="00C70EC5"/>
    <w:rsid w:val="00C70FEA"/>
    <w:rsid w:val="00C7184F"/>
    <w:rsid w:val="00C72294"/>
    <w:rsid w:val="00C725C6"/>
    <w:rsid w:val="00C728A3"/>
    <w:rsid w:val="00C731F4"/>
    <w:rsid w:val="00C737C5"/>
    <w:rsid w:val="00C73AE6"/>
    <w:rsid w:val="00C74600"/>
    <w:rsid w:val="00C74C40"/>
    <w:rsid w:val="00C74DBF"/>
    <w:rsid w:val="00C75119"/>
    <w:rsid w:val="00C7521A"/>
    <w:rsid w:val="00C75297"/>
    <w:rsid w:val="00C754E1"/>
    <w:rsid w:val="00C757A9"/>
    <w:rsid w:val="00C757B6"/>
    <w:rsid w:val="00C758AB"/>
    <w:rsid w:val="00C766F6"/>
    <w:rsid w:val="00C76C4A"/>
    <w:rsid w:val="00C7705B"/>
    <w:rsid w:val="00C77A01"/>
    <w:rsid w:val="00C800DC"/>
    <w:rsid w:val="00C80D76"/>
    <w:rsid w:val="00C81975"/>
    <w:rsid w:val="00C81A69"/>
    <w:rsid w:val="00C81C86"/>
    <w:rsid w:val="00C82A55"/>
    <w:rsid w:val="00C82D11"/>
    <w:rsid w:val="00C82D2E"/>
    <w:rsid w:val="00C82E32"/>
    <w:rsid w:val="00C82E3B"/>
    <w:rsid w:val="00C83AAA"/>
    <w:rsid w:val="00C84E7B"/>
    <w:rsid w:val="00C853F7"/>
    <w:rsid w:val="00C873E5"/>
    <w:rsid w:val="00C875C7"/>
    <w:rsid w:val="00C877F5"/>
    <w:rsid w:val="00C87B30"/>
    <w:rsid w:val="00C87EA0"/>
    <w:rsid w:val="00C9027D"/>
    <w:rsid w:val="00C90555"/>
    <w:rsid w:val="00C90AAC"/>
    <w:rsid w:val="00C90F5A"/>
    <w:rsid w:val="00C91458"/>
    <w:rsid w:val="00C91ED2"/>
    <w:rsid w:val="00C92248"/>
    <w:rsid w:val="00C92BB5"/>
    <w:rsid w:val="00C92BE3"/>
    <w:rsid w:val="00C9330C"/>
    <w:rsid w:val="00C93877"/>
    <w:rsid w:val="00C93D8C"/>
    <w:rsid w:val="00C941FB"/>
    <w:rsid w:val="00C9421F"/>
    <w:rsid w:val="00C945C4"/>
    <w:rsid w:val="00C948A4"/>
    <w:rsid w:val="00C94FE9"/>
    <w:rsid w:val="00C94FEF"/>
    <w:rsid w:val="00C9518B"/>
    <w:rsid w:val="00C96C84"/>
    <w:rsid w:val="00C96FF9"/>
    <w:rsid w:val="00C97506"/>
    <w:rsid w:val="00C97EEF"/>
    <w:rsid w:val="00CA01A8"/>
    <w:rsid w:val="00CA0665"/>
    <w:rsid w:val="00CA06CA"/>
    <w:rsid w:val="00CA0A09"/>
    <w:rsid w:val="00CA144F"/>
    <w:rsid w:val="00CA3974"/>
    <w:rsid w:val="00CA5318"/>
    <w:rsid w:val="00CA5BD3"/>
    <w:rsid w:val="00CA5C6B"/>
    <w:rsid w:val="00CA6325"/>
    <w:rsid w:val="00CA7E49"/>
    <w:rsid w:val="00CB07C4"/>
    <w:rsid w:val="00CB1105"/>
    <w:rsid w:val="00CB16B5"/>
    <w:rsid w:val="00CB16C1"/>
    <w:rsid w:val="00CB26C9"/>
    <w:rsid w:val="00CB26CF"/>
    <w:rsid w:val="00CB2739"/>
    <w:rsid w:val="00CB2ADF"/>
    <w:rsid w:val="00CB2C40"/>
    <w:rsid w:val="00CB2C86"/>
    <w:rsid w:val="00CB46C7"/>
    <w:rsid w:val="00CB48FE"/>
    <w:rsid w:val="00CB4989"/>
    <w:rsid w:val="00CB51A9"/>
    <w:rsid w:val="00CB5774"/>
    <w:rsid w:val="00CB66FA"/>
    <w:rsid w:val="00CB7A56"/>
    <w:rsid w:val="00CB7B49"/>
    <w:rsid w:val="00CB7C71"/>
    <w:rsid w:val="00CC057F"/>
    <w:rsid w:val="00CC0819"/>
    <w:rsid w:val="00CC09C1"/>
    <w:rsid w:val="00CC0CBA"/>
    <w:rsid w:val="00CC268B"/>
    <w:rsid w:val="00CC2709"/>
    <w:rsid w:val="00CC2A82"/>
    <w:rsid w:val="00CC2BF6"/>
    <w:rsid w:val="00CC2D40"/>
    <w:rsid w:val="00CC2DC9"/>
    <w:rsid w:val="00CC3D7B"/>
    <w:rsid w:val="00CC3DEB"/>
    <w:rsid w:val="00CC4693"/>
    <w:rsid w:val="00CC52F8"/>
    <w:rsid w:val="00CC5543"/>
    <w:rsid w:val="00CC6647"/>
    <w:rsid w:val="00CC6689"/>
    <w:rsid w:val="00CC7F04"/>
    <w:rsid w:val="00CD0168"/>
    <w:rsid w:val="00CD171F"/>
    <w:rsid w:val="00CD187F"/>
    <w:rsid w:val="00CD1AD0"/>
    <w:rsid w:val="00CD1B3A"/>
    <w:rsid w:val="00CD294C"/>
    <w:rsid w:val="00CD3A8D"/>
    <w:rsid w:val="00CD3F7E"/>
    <w:rsid w:val="00CD4BF6"/>
    <w:rsid w:val="00CD6E50"/>
    <w:rsid w:val="00CD7455"/>
    <w:rsid w:val="00CD76A6"/>
    <w:rsid w:val="00CD7BEC"/>
    <w:rsid w:val="00CD7FBA"/>
    <w:rsid w:val="00CE0289"/>
    <w:rsid w:val="00CE15A6"/>
    <w:rsid w:val="00CE1852"/>
    <w:rsid w:val="00CE1C50"/>
    <w:rsid w:val="00CE1CD8"/>
    <w:rsid w:val="00CE1E7A"/>
    <w:rsid w:val="00CE27A8"/>
    <w:rsid w:val="00CE29B2"/>
    <w:rsid w:val="00CE30E9"/>
    <w:rsid w:val="00CE3167"/>
    <w:rsid w:val="00CE3565"/>
    <w:rsid w:val="00CE5156"/>
    <w:rsid w:val="00CE6D1C"/>
    <w:rsid w:val="00CE7086"/>
    <w:rsid w:val="00CE7475"/>
    <w:rsid w:val="00CE7836"/>
    <w:rsid w:val="00CE7B7A"/>
    <w:rsid w:val="00CF0549"/>
    <w:rsid w:val="00CF13DF"/>
    <w:rsid w:val="00CF15C2"/>
    <w:rsid w:val="00CF160E"/>
    <w:rsid w:val="00CF165E"/>
    <w:rsid w:val="00CF2096"/>
    <w:rsid w:val="00CF2B70"/>
    <w:rsid w:val="00CF3A6D"/>
    <w:rsid w:val="00CF3BC3"/>
    <w:rsid w:val="00CF3C6B"/>
    <w:rsid w:val="00CF4519"/>
    <w:rsid w:val="00CF48E0"/>
    <w:rsid w:val="00CF59C7"/>
    <w:rsid w:val="00CF61CC"/>
    <w:rsid w:val="00CF65A3"/>
    <w:rsid w:val="00CF684C"/>
    <w:rsid w:val="00CF6D8F"/>
    <w:rsid w:val="00CF752A"/>
    <w:rsid w:val="00D001AE"/>
    <w:rsid w:val="00D004D1"/>
    <w:rsid w:val="00D00F27"/>
    <w:rsid w:val="00D0143B"/>
    <w:rsid w:val="00D01AB2"/>
    <w:rsid w:val="00D01FAB"/>
    <w:rsid w:val="00D024FE"/>
    <w:rsid w:val="00D026F4"/>
    <w:rsid w:val="00D028BE"/>
    <w:rsid w:val="00D0504E"/>
    <w:rsid w:val="00D053CB"/>
    <w:rsid w:val="00D05F3A"/>
    <w:rsid w:val="00D06FAF"/>
    <w:rsid w:val="00D10080"/>
    <w:rsid w:val="00D10D27"/>
    <w:rsid w:val="00D1123F"/>
    <w:rsid w:val="00D118A5"/>
    <w:rsid w:val="00D11CC2"/>
    <w:rsid w:val="00D125FC"/>
    <w:rsid w:val="00D12FC3"/>
    <w:rsid w:val="00D135FC"/>
    <w:rsid w:val="00D138DC"/>
    <w:rsid w:val="00D13B0B"/>
    <w:rsid w:val="00D13EE9"/>
    <w:rsid w:val="00D13F2A"/>
    <w:rsid w:val="00D13F80"/>
    <w:rsid w:val="00D1466B"/>
    <w:rsid w:val="00D14688"/>
    <w:rsid w:val="00D147CC"/>
    <w:rsid w:val="00D14A07"/>
    <w:rsid w:val="00D15253"/>
    <w:rsid w:val="00D15461"/>
    <w:rsid w:val="00D15BDE"/>
    <w:rsid w:val="00D16129"/>
    <w:rsid w:val="00D163D4"/>
    <w:rsid w:val="00D167BE"/>
    <w:rsid w:val="00D17438"/>
    <w:rsid w:val="00D17E62"/>
    <w:rsid w:val="00D20003"/>
    <w:rsid w:val="00D20B7E"/>
    <w:rsid w:val="00D20F07"/>
    <w:rsid w:val="00D21E9A"/>
    <w:rsid w:val="00D222C5"/>
    <w:rsid w:val="00D23ACE"/>
    <w:rsid w:val="00D243A7"/>
    <w:rsid w:val="00D25234"/>
    <w:rsid w:val="00D25B0B"/>
    <w:rsid w:val="00D27042"/>
    <w:rsid w:val="00D2737E"/>
    <w:rsid w:val="00D27593"/>
    <w:rsid w:val="00D27D25"/>
    <w:rsid w:val="00D27F70"/>
    <w:rsid w:val="00D31335"/>
    <w:rsid w:val="00D316FC"/>
    <w:rsid w:val="00D31E34"/>
    <w:rsid w:val="00D31F0D"/>
    <w:rsid w:val="00D324AA"/>
    <w:rsid w:val="00D32DD7"/>
    <w:rsid w:val="00D343CF"/>
    <w:rsid w:val="00D347E2"/>
    <w:rsid w:val="00D3486C"/>
    <w:rsid w:val="00D34C35"/>
    <w:rsid w:val="00D35E19"/>
    <w:rsid w:val="00D363C8"/>
    <w:rsid w:val="00D36496"/>
    <w:rsid w:val="00D3697D"/>
    <w:rsid w:val="00D36D3A"/>
    <w:rsid w:val="00D37010"/>
    <w:rsid w:val="00D400EA"/>
    <w:rsid w:val="00D402C7"/>
    <w:rsid w:val="00D403EF"/>
    <w:rsid w:val="00D40C46"/>
    <w:rsid w:val="00D40C75"/>
    <w:rsid w:val="00D410FB"/>
    <w:rsid w:val="00D41A21"/>
    <w:rsid w:val="00D42024"/>
    <w:rsid w:val="00D42181"/>
    <w:rsid w:val="00D43079"/>
    <w:rsid w:val="00D43304"/>
    <w:rsid w:val="00D43A78"/>
    <w:rsid w:val="00D43F38"/>
    <w:rsid w:val="00D44880"/>
    <w:rsid w:val="00D456BF"/>
    <w:rsid w:val="00D456C1"/>
    <w:rsid w:val="00D45E43"/>
    <w:rsid w:val="00D4658B"/>
    <w:rsid w:val="00D46D92"/>
    <w:rsid w:val="00D471D4"/>
    <w:rsid w:val="00D4751D"/>
    <w:rsid w:val="00D501B3"/>
    <w:rsid w:val="00D5068A"/>
    <w:rsid w:val="00D50880"/>
    <w:rsid w:val="00D512F8"/>
    <w:rsid w:val="00D5150E"/>
    <w:rsid w:val="00D52228"/>
    <w:rsid w:val="00D523DC"/>
    <w:rsid w:val="00D525C1"/>
    <w:rsid w:val="00D52FA7"/>
    <w:rsid w:val="00D5397E"/>
    <w:rsid w:val="00D5412C"/>
    <w:rsid w:val="00D543AC"/>
    <w:rsid w:val="00D54986"/>
    <w:rsid w:val="00D54F21"/>
    <w:rsid w:val="00D5502E"/>
    <w:rsid w:val="00D55D11"/>
    <w:rsid w:val="00D5643E"/>
    <w:rsid w:val="00D5655C"/>
    <w:rsid w:val="00D5699F"/>
    <w:rsid w:val="00D56C14"/>
    <w:rsid w:val="00D56FF3"/>
    <w:rsid w:val="00D572B3"/>
    <w:rsid w:val="00D574DE"/>
    <w:rsid w:val="00D5751C"/>
    <w:rsid w:val="00D575F6"/>
    <w:rsid w:val="00D577D3"/>
    <w:rsid w:val="00D60494"/>
    <w:rsid w:val="00D6111D"/>
    <w:rsid w:val="00D61F07"/>
    <w:rsid w:val="00D62616"/>
    <w:rsid w:val="00D62D95"/>
    <w:rsid w:val="00D62DC8"/>
    <w:rsid w:val="00D6315B"/>
    <w:rsid w:val="00D632AD"/>
    <w:rsid w:val="00D63615"/>
    <w:rsid w:val="00D63F3C"/>
    <w:rsid w:val="00D649C3"/>
    <w:rsid w:val="00D653A2"/>
    <w:rsid w:val="00D65887"/>
    <w:rsid w:val="00D65A7D"/>
    <w:rsid w:val="00D65F88"/>
    <w:rsid w:val="00D6658F"/>
    <w:rsid w:val="00D66C3E"/>
    <w:rsid w:val="00D66FA3"/>
    <w:rsid w:val="00D67016"/>
    <w:rsid w:val="00D673A6"/>
    <w:rsid w:val="00D67C8E"/>
    <w:rsid w:val="00D67EDB"/>
    <w:rsid w:val="00D70A46"/>
    <w:rsid w:val="00D70CB5"/>
    <w:rsid w:val="00D70D18"/>
    <w:rsid w:val="00D70DD7"/>
    <w:rsid w:val="00D716A9"/>
    <w:rsid w:val="00D717B8"/>
    <w:rsid w:val="00D71B87"/>
    <w:rsid w:val="00D71C0B"/>
    <w:rsid w:val="00D72457"/>
    <w:rsid w:val="00D725C1"/>
    <w:rsid w:val="00D72707"/>
    <w:rsid w:val="00D72C8C"/>
    <w:rsid w:val="00D7316D"/>
    <w:rsid w:val="00D7406E"/>
    <w:rsid w:val="00D74165"/>
    <w:rsid w:val="00D74235"/>
    <w:rsid w:val="00D74ABD"/>
    <w:rsid w:val="00D74FF1"/>
    <w:rsid w:val="00D753F5"/>
    <w:rsid w:val="00D75685"/>
    <w:rsid w:val="00D75B77"/>
    <w:rsid w:val="00D76923"/>
    <w:rsid w:val="00D76C3B"/>
    <w:rsid w:val="00D76F61"/>
    <w:rsid w:val="00D77220"/>
    <w:rsid w:val="00D77360"/>
    <w:rsid w:val="00D77A59"/>
    <w:rsid w:val="00D77F74"/>
    <w:rsid w:val="00D8062E"/>
    <w:rsid w:val="00D8069F"/>
    <w:rsid w:val="00D80982"/>
    <w:rsid w:val="00D8247A"/>
    <w:rsid w:val="00D826EF"/>
    <w:rsid w:val="00D82DB8"/>
    <w:rsid w:val="00D82F0E"/>
    <w:rsid w:val="00D83345"/>
    <w:rsid w:val="00D8342A"/>
    <w:rsid w:val="00D84372"/>
    <w:rsid w:val="00D85B6F"/>
    <w:rsid w:val="00D8675C"/>
    <w:rsid w:val="00D86AD4"/>
    <w:rsid w:val="00D90203"/>
    <w:rsid w:val="00D90880"/>
    <w:rsid w:val="00D90980"/>
    <w:rsid w:val="00D90E65"/>
    <w:rsid w:val="00D91AE9"/>
    <w:rsid w:val="00D91CAB"/>
    <w:rsid w:val="00D920C5"/>
    <w:rsid w:val="00D93002"/>
    <w:rsid w:val="00D93375"/>
    <w:rsid w:val="00D9347C"/>
    <w:rsid w:val="00D945B2"/>
    <w:rsid w:val="00D9467D"/>
    <w:rsid w:val="00D95AF3"/>
    <w:rsid w:val="00D970FC"/>
    <w:rsid w:val="00D97297"/>
    <w:rsid w:val="00D973F5"/>
    <w:rsid w:val="00D97628"/>
    <w:rsid w:val="00D977C7"/>
    <w:rsid w:val="00D978EA"/>
    <w:rsid w:val="00D97995"/>
    <w:rsid w:val="00D97AC5"/>
    <w:rsid w:val="00D97B1B"/>
    <w:rsid w:val="00DA10BF"/>
    <w:rsid w:val="00DA128D"/>
    <w:rsid w:val="00DA2B21"/>
    <w:rsid w:val="00DA3820"/>
    <w:rsid w:val="00DA388C"/>
    <w:rsid w:val="00DA3B11"/>
    <w:rsid w:val="00DA3E5F"/>
    <w:rsid w:val="00DA3E62"/>
    <w:rsid w:val="00DA3E76"/>
    <w:rsid w:val="00DA3E8A"/>
    <w:rsid w:val="00DA3FF0"/>
    <w:rsid w:val="00DA4342"/>
    <w:rsid w:val="00DA49C9"/>
    <w:rsid w:val="00DA4F85"/>
    <w:rsid w:val="00DA61A6"/>
    <w:rsid w:val="00DA6E4B"/>
    <w:rsid w:val="00DA704B"/>
    <w:rsid w:val="00DA7421"/>
    <w:rsid w:val="00DA76F7"/>
    <w:rsid w:val="00DA7B46"/>
    <w:rsid w:val="00DB0936"/>
    <w:rsid w:val="00DB1478"/>
    <w:rsid w:val="00DB261A"/>
    <w:rsid w:val="00DB28CD"/>
    <w:rsid w:val="00DB46DB"/>
    <w:rsid w:val="00DB4805"/>
    <w:rsid w:val="00DB5C3C"/>
    <w:rsid w:val="00DB666B"/>
    <w:rsid w:val="00DB6731"/>
    <w:rsid w:val="00DB6EB5"/>
    <w:rsid w:val="00DB6ED9"/>
    <w:rsid w:val="00DB7157"/>
    <w:rsid w:val="00DB7672"/>
    <w:rsid w:val="00DB7981"/>
    <w:rsid w:val="00DC0156"/>
    <w:rsid w:val="00DC065D"/>
    <w:rsid w:val="00DC069B"/>
    <w:rsid w:val="00DC0738"/>
    <w:rsid w:val="00DC0EDE"/>
    <w:rsid w:val="00DC13A3"/>
    <w:rsid w:val="00DC1476"/>
    <w:rsid w:val="00DC17C1"/>
    <w:rsid w:val="00DC186F"/>
    <w:rsid w:val="00DC18A7"/>
    <w:rsid w:val="00DC24EA"/>
    <w:rsid w:val="00DC2873"/>
    <w:rsid w:val="00DC2CB2"/>
    <w:rsid w:val="00DC5283"/>
    <w:rsid w:val="00DC5F4B"/>
    <w:rsid w:val="00DC5FE0"/>
    <w:rsid w:val="00DC6CA2"/>
    <w:rsid w:val="00DC6D55"/>
    <w:rsid w:val="00DC7257"/>
    <w:rsid w:val="00DC78B9"/>
    <w:rsid w:val="00DC7B23"/>
    <w:rsid w:val="00DC7B9B"/>
    <w:rsid w:val="00DD03B4"/>
    <w:rsid w:val="00DD09F6"/>
    <w:rsid w:val="00DD0EE4"/>
    <w:rsid w:val="00DD16C9"/>
    <w:rsid w:val="00DD1B02"/>
    <w:rsid w:val="00DD1FF9"/>
    <w:rsid w:val="00DD29BA"/>
    <w:rsid w:val="00DD2F1D"/>
    <w:rsid w:val="00DD30AA"/>
    <w:rsid w:val="00DD3E90"/>
    <w:rsid w:val="00DD4344"/>
    <w:rsid w:val="00DD48B8"/>
    <w:rsid w:val="00DD50E5"/>
    <w:rsid w:val="00DD5B8F"/>
    <w:rsid w:val="00DD5D93"/>
    <w:rsid w:val="00DD627E"/>
    <w:rsid w:val="00DD63BA"/>
    <w:rsid w:val="00DD6632"/>
    <w:rsid w:val="00DD6980"/>
    <w:rsid w:val="00DD6CD9"/>
    <w:rsid w:val="00DD7106"/>
    <w:rsid w:val="00DD735F"/>
    <w:rsid w:val="00DD74DA"/>
    <w:rsid w:val="00DD7ADC"/>
    <w:rsid w:val="00DE0348"/>
    <w:rsid w:val="00DE0AF6"/>
    <w:rsid w:val="00DE0F4C"/>
    <w:rsid w:val="00DE130E"/>
    <w:rsid w:val="00DE1621"/>
    <w:rsid w:val="00DE169C"/>
    <w:rsid w:val="00DE233B"/>
    <w:rsid w:val="00DE2EA2"/>
    <w:rsid w:val="00DE3436"/>
    <w:rsid w:val="00DE3C8C"/>
    <w:rsid w:val="00DE4810"/>
    <w:rsid w:val="00DE4B12"/>
    <w:rsid w:val="00DE5153"/>
    <w:rsid w:val="00DE5551"/>
    <w:rsid w:val="00DE5824"/>
    <w:rsid w:val="00DE5943"/>
    <w:rsid w:val="00DE5A2E"/>
    <w:rsid w:val="00DE6D36"/>
    <w:rsid w:val="00DE737D"/>
    <w:rsid w:val="00DE7D55"/>
    <w:rsid w:val="00DF0095"/>
    <w:rsid w:val="00DF01E2"/>
    <w:rsid w:val="00DF0BC9"/>
    <w:rsid w:val="00DF0C67"/>
    <w:rsid w:val="00DF0E1A"/>
    <w:rsid w:val="00DF3129"/>
    <w:rsid w:val="00DF3589"/>
    <w:rsid w:val="00DF405F"/>
    <w:rsid w:val="00DF500B"/>
    <w:rsid w:val="00DF5EF1"/>
    <w:rsid w:val="00DF6282"/>
    <w:rsid w:val="00DF6D93"/>
    <w:rsid w:val="00DF6F45"/>
    <w:rsid w:val="00DF7D06"/>
    <w:rsid w:val="00DF7D50"/>
    <w:rsid w:val="00E00382"/>
    <w:rsid w:val="00E0074E"/>
    <w:rsid w:val="00E00FC6"/>
    <w:rsid w:val="00E013A3"/>
    <w:rsid w:val="00E0173A"/>
    <w:rsid w:val="00E019A4"/>
    <w:rsid w:val="00E02384"/>
    <w:rsid w:val="00E02F8E"/>
    <w:rsid w:val="00E03293"/>
    <w:rsid w:val="00E03842"/>
    <w:rsid w:val="00E04127"/>
    <w:rsid w:val="00E04130"/>
    <w:rsid w:val="00E047C6"/>
    <w:rsid w:val="00E04A7D"/>
    <w:rsid w:val="00E05039"/>
    <w:rsid w:val="00E05232"/>
    <w:rsid w:val="00E053E4"/>
    <w:rsid w:val="00E05A49"/>
    <w:rsid w:val="00E061DB"/>
    <w:rsid w:val="00E06A82"/>
    <w:rsid w:val="00E06B48"/>
    <w:rsid w:val="00E06C71"/>
    <w:rsid w:val="00E07B99"/>
    <w:rsid w:val="00E07EBB"/>
    <w:rsid w:val="00E10239"/>
    <w:rsid w:val="00E1145D"/>
    <w:rsid w:val="00E1208F"/>
    <w:rsid w:val="00E12142"/>
    <w:rsid w:val="00E121DA"/>
    <w:rsid w:val="00E13B01"/>
    <w:rsid w:val="00E13E2F"/>
    <w:rsid w:val="00E140AC"/>
    <w:rsid w:val="00E14633"/>
    <w:rsid w:val="00E14BC6"/>
    <w:rsid w:val="00E14D00"/>
    <w:rsid w:val="00E14D1A"/>
    <w:rsid w:val="00E153B1"/>
    <w:rsid w:val="00E1682F"/>
    <w:rsid w:val="00E16B76"/>
    <w:rsid w:val="00E173BB"/>
    <w:rsid w:val="00E17FD3"/>
    <w:rsid w:val="00E20D38"/>
    <w:rsid w:val="00E20E46"/>
    <w:rsid w:val="00E20F93"/>
    <w:rsid w:val="00E21541"/>
    <w:rsid w:val="00E21A88"/>
    <w:rsid w:val="00E21B2C"/>
    <w:rsid w:val="00E21C18"/>
    <w:rsid w:val="00E21F7D"/>
    <w:rsid w:val="00E2236F"/>
    <w:rsid w:val="00E234BD"/>
    <w:rsid w:val="00E23BAD"/>
    <w:rsid w:val="00E243BA"/>
    <w:rsid w:val="00E24631"/>
    <w:rsid w:val="00E255A6"/>
    <w:rsid w:val="00E265B7"/>
    <w:rsid w:val="00E2664D"/>
    <w:rsid w:val="00E2782D"/>
    <w:rsid w:val="00E300EC"/>
    <w:rsid w:val="00E30265"/>
    <w:rsid w:val="00E32116"/>
    <w:rsid w:val="00E327DC"/>
    <w:rsid w:val="00E33A60"/>
    <w:rsid w:val="00E34836"/>
    <w:rsid w:val="00E34A1C"/>
    <w:rsid w:val="00E34C7B"/>
    <w:rsid w:val="00E353EF"/>
    <w:rsid w:val="00E358D0"/>
    <w:rsid w:val="00E35978"/>
    <w:rsid w:val="00E36829"/>
    <w:rsid w:val="00E36B34"/>
    <w:rsid w:val="00E36D7B"/>
    <w:rsid w:val="00E37417"/>
    <w:rsid w:val="00E4009A"/>
    <w:rsid w:val="00E404DF"/>
    <w:rsid w:val="00E41525"/>
    <w:rsid w:val="00E41FEF"/>
    <w:rsid w:val="00E42768"/>
    <w:rsid w:val="00E42A86"/>
    <w:rsid w:val="00E4354D"/>
    <w:rsid w:val="00E438B8"/>
    <w:rsid w:val="00E43919"/>
    <w:rsid w:val="00E439C7"/>
    <w:rsid w:val="00E43BDE"/>
    <w:rsid w:val="00E43F16"/>
    <w:rsid w:val="00E44177"/>
    <w:rsid w:val="00E4429F"/>
    <w:rsid w:val="00E44F71"/>
    <w:rsid w:val="00E4571D"/>
    <w:rsid w:val="00E467A1"/>
    <w:rsid w:val="00E46C39"/>
    <w:rsid w:val="00E46C9C"/>
    <w:rsid w:val="00E473FC"/>
    <w:rsid w:val="00E47413"/>
    <w:rsid w:val="00E5053B"/>
    <w:rsid w:val="00E50656"/>
    <w:rsid w:val="00E50EE2"/>
    <w:rsid w:val="00E51485"/>
    <w:rsid w:val="00E51C01"/>
    <w:rsid w:val="00E53434"/>
    <w:rsid w:val="00E559C2"/>
    <w:rsid w:val="00E55E4F"/>
    <w:rsid w:val="00E56B3B"/>
    <w:rsid w:val="00E57027"/>
    <w:rsid w:val="00E57031"/>
    <w:rsid w:val="00E5709F"/>
    <w:rsid w:val="00E577AE"/>
    <w:rsid w:val="00E57B37"/>
    <w:rsid w:val="00E57C07"/>
    <w:rsid w:val="00E60023"/>
    <w:rsid w:val="00E61F7C"/>
    <w:rsid w:val="00E62772"/>
    <w:rsid w:val="00E62C66"/>
    <w:rsid w:val="00E6319A"/>
    <w:rsid w:val="00E6338C"/>
    <w:rsid w:val="00E64265"/>
    <w:rsid w:val="00E6445F"/>
    <w:rsid w:val="00E648BD"/>
    <w:rsid w:val="00E64DAB"/>
    <w:rsid w:val="00E65905"/>
    <w:rsid w:val="00E65DA0"/>
    <w:rsid w:val="00E65E15"/>
    <w:rsid w:val="00E65EDF"/>
    <w:rsid w:val="00E66DA4"/>
    <w:rsid w:val="00E66E25"/>
    <w:rsid w:val="00E67E5C"/>
    <w:rsid w:val="00E70413"/>
    <w:rsid w:val="00E711E3"/>
    <w:rsid w:val="00E74408"/>
    <w:rsid w:val="00E744FF"/>
    <w:rsid w:val="00E74FF6"/>
    <w:rsid w:val="00E75376"/>
    <w:rsid w:val="00E75D43"/>
    <w:rsid w:val="00E760E2"/>
    <w:rsid w:val="00E7632C"/>
    <w:rsid w:val="00E76990"/>
    <w:rsid w:val="00E76E9F"/>
    <w:rsid w:val="00E81275"/>
    <w:rsid w:val="00E82663"/>
    <w:rsid w:val="00E83ECD"/>
    <w:rsid w:val="00E84809"/>
    <w:rsid w:val="00E8544F"/>
    <w:rsid w:val="00E863BA"/>
    <w:rsid w:val="00E865CC"/>
    <w:rsid w:val="00E8749B"/>
    <w:rsid w:val="00E8766B"/>
    <w:rsid w:val="00E90C3F"/>
    <w:rsid w:val="00E916CE"/>
    <w:rsid w:val="00E91C09"/>
    <w:rsid w:val="00E91DC4"/>
    <w:rsid w:val="00E9212D"/>
    <w:rsid w:val="00E92198"/>
    <w:rsid w:val="00E92B19"/>
    <w:rsid w:val="00E92BFA"/>
    <w:rsid w:val="00E92CDE"/>
    <w:rsid w:val="00E93947"/>
    <w:rsid w:val="00E93C03"/>
    <w:rsid w:val="00E94425"/>
    <w:rsid w:val="00E9491F"/>
    <w:rsid w:val="00E95393"/>
    <w:rsid w:val="00E96021"/>
    <w:rsid w:val="00E9789A"/>
    <w:rsid w:val="00E97F22"/>
    <w:rsid w:val="00EA04AC"/>
    <w:rsid w:val="00EA0DC5"/>
    <w:rsid w:val="00EA19CD"/>
    <w:rsid w:val="00EA19E7"/>
    <w:rsid w:val="00EA212E"/>
    <w:rsid w:val="00EA2A8A"/>
    <w:rsid w:val="00EA2C76"/>
    <w:rsid w:val="00EA2E59"/>
    <w:rsid w:val="00EA3E60"/>
    <w:rsid w:val="00EA3EA0"/>
    <w:rsid w:val="00EA436E"/>
    <w:rsid w:val="00EA4705"/>
    <w:rsid w:val="00EA4DA1"/>
    <w:rsid w:val="00EA57D7"/>
    <w:rsid w:val="00EA5C3D"/>
    <w:rsid w:val="00EA626A"/>
    <w:rsid w:val="00EA6626"/>
    <w:rsid w:val="00EA76EE"/>
    <w:rsid w:val="00EA78C5"/>
    <w:rsid w:val="00EA7E1E"/>
    <w:rsid w:val="00EB0007"/>
    <w:rsid w:val="00EB167A"/>
    <w:rsid w:val="00EB18FF"/>
    <w:rsid w:val="00EB1B9C"/>
    <w:rsid w:val="00EB3133"/>
    <w:rsid w:val="00EB3164"/>
    <w:rsid w:val="00EB402A"/>
    <w:rsid w:val="00EB4531"/>
    <w:rsid w:val="00EB4CC6"/>
    <w:rsid w:val="00EB4DB2"/>
    <w:rsid w:val="00EB54F2"/>
    <w:rsid w:val="00EB5A1D"/>
    <w:rsid w:val="00EB6093"/>
    <w:rsid w:val="00EB621E"/>
    <w:rsid w:val="00EB6A54"/>
    <w:rsid w:val="00EB70C3"/>
    <w:rsid w:val="00EB763B"/>
    <w:rsid w:val="00EC1663"/>
    <w:rsid w:val="00EC16A2"/>
    <w:rsid w:val="00EC1EBF"/>
    <w:rsid w:val="00EC21D6"/>
    <w:rsid w:val="00EC242A"/>
    <w:rsid w:val="00EC2F5D"/>
    <w:rsid w:val="00EC33FD"/>
    <w:rsid w:val="00EC3528"/>
    <w:rsid w:val="00EC4943"/>
    <w:rsid w:val="00EC5354"/>
    <w:rsid w:val="00EC6C11"/>
    <w:rsid w:val="00EC6F2A"/>
    <w:rsid w:val="00EC72B7"/>
    <w:rsid w:val="00EC788E"/>
    <w:rsid w:val="00EC7D81"/>
    <w:rsid w:val="00ED05C0"/>
    <w:rsid w:val="00ED0867"/>
    <w:rsid w:val="00ED10F6"/>
    <w:rsid w:val="00ED25BF"/>
    <w:rsid w:val="00ED312D"/>
    <w:rsid w:val="00ED338F"/>
    <w:rsid w:val="00ED3538"/>
    <w:rsid w:val="00ED4042"/>
    <w:rsid w:val="00ED4973"/>
    <w:rsid w:val="00ED5D0F"/>
    <w:rsid w:val="00ED6FA2"/>
    <w:rsid w:val="00ED7069"/>
    <w:rsid w:val="00ED751D"/>
    <w:rsid w:val="00ED786D"/>
    <w:rsid w:val="00ED7CE0"/>
    <w:rsid w:val="00ED7E41"/>
    <w:rsid w:val="00ED7E86"/>
    <w:rsid w:val="00EE031B"/>
    <w:rsid w:val="00EE043C"/>
    <w:rsid w:val="00EE1083"/>
    <w:rsid w:val="00EE1BDB"/>
    <w:rsid w:val="00EE2F78"/>
    <w:rsid w:val="00EE3280"/>
    <w:rsid w:val="00EE3496"/>
    <w:rsid w:val="00EE3E39"/>
    <w:rsid w:val="00EE40C2"/>
    <w:rsid w:val="00EE4A60"/>
    <w:rsid w:val="00EE4B13"/>
    <w:rsid w:val="00EE62ED"/>
    <w:rsid w:val="00EE6BA4"/>
    <w:rsid w:val="00EE7656"/>
    <w:rsid w:val="00EF043B"/>
    <w:rsid w:val="00EF0AE7"/>
    <w:rsid w:val="00EF1CB8"/>
    <w:rsid w:val="00EF1DC8"/>
    <w:rsid w:val="00EF2241"/>
    <w:rsid w:val="00EF290C"/>
    <w:rsid w:val="00EF291A"/>
    <w:rsid w:val="00EF34C9"/>
    <w:rsid w:val="00EF37C7"/>
    <w:rsid w:val="00EF38FC"/>
    <w:rsid w:val="00EF43A0"/>
    <w:rsid w:val="00EF486D"/>
    <w:rsid w:val="00EF4881"/>
    <w:rsid w:val="00EF493E"/>
    <w:rsid w:val="00EF4AEE"/>
    <w:rsid w:val="00EF503F"/>
    <w:rsid w:val="00EF5117"/>
    <w:rsid w:val="00EF5981"/>
    <w:rsid w:val="00EF6116"/>
    <w:rsid w:val="00EF6F53"/>
    <w:rsid w:val="00EF74EE"/>
    <w:rsid w:val="00EF76E6"/>
    <w:rsid w:val="00EF7F09"/>
    <w:rsid w:val="00EF7F7D"/>
    <w:rsid w:val="00F00306"/>
    <w:rsid w:val="00F006F3"/>
    <w:rsid w:val="00F0112E"/>
    <w:rsid w:val="00F01EC2"/>
    <w:rsid w:val="00F02255"/>
    <w:rsid w:val="00F029E2"/>
    <w:rsid w:val="00F041DB"/>
    <w:rsid w:val="00F04BC5"/>
    <w:rsid w:val="00F04DAA"/>
    <w:rsid w:val="00F04E0C"/>
    <w:rsid w:val="00F053BC"/>
    <w:rsid w:val="00F0599F"/>
    <w:rsid w:val="00F05F29"/>
    <w:rsid w:val="00F06A10"/>
    <w:rsid w:val="00F07AEE"/>
    <w:rsid w:val="00F101E2"/>
    <w:rsid w:val="00F1041C"/>
    <w:rsid w:val="00F1092B"/>
    <w:rsid w:val="00F12F97"/>
    <w:rsid w:val="00F12FAC"/>
    <w:rsid w:val="00F1331D"/>
    <w:rsid w:val="00F140A8"/>
    <w:rsid w:val="00F144FA"/>
    <w:rsid w:val="00F14537"/>
    <w:rsid w:val="00F14BA3"/>
    <w:rsid w:val="00F1511F"/>
    <w:rsid w:val="00F15D4F"/>
    <w:rsid w:val="00F1619C"/>
    <w:rsid w:val="00F16F78"/>
    <w:rsid w:val="00F17879"/>
    <w:rsid w:val="00F17AE2"/>
    <w:rsid w:val="00F20642"/>
    <w:rsid w:val="00F208A0"/>
    <w:rsid w:val="00F21756"/>
    <w:rsid w:val="00F23096"/>
    <w:rsid w:val="00F239D6"/>
    <w:rsid w:val="00F23FC9"/>
    <w:rsid w:val="00F246EE"/>
    <w:rsid w:val="00F24ED6"/>
    <w:rsid w:val="00F2589F"/>
    <w:rsid w:val="00F25910"/>
    <w:rsid w:val="00F25B10"/>
    <w:rsid w:val="00F2622B"/>
    <w:rsid w:val="00F26EDA"/>
    <w:rsid w:val="00F26FA5"/>
    <w:rsid w:val="00F27591"/>
    <w:rsid w:val="00F30405"/>
    <w:rsid w:val="00F30904"/>
    <w:rsid w:val="00F30AFA"/>
    <w:rsid w:val="00F311CC"/>
    <w:rsid w:val="00F317B4"/>
    <w:rsid w:val="00F31841"/>
    <w:rsid w:val="00F31DF6"/>
    <w:rsid w:val="00F34506"/>
    <w:rsid w:val="00F3457B"/>
    <w:rsid w:val="00F36141"/>
    <w:rsid w:val="00F36310"/>
    <w:rsid w:val="00F3722B"/>
    <w:rsid w:val="00F37474"/>
    <w:rsid w:val="00F403C6"/>
    <w:rsid w:val="00F4103C"/>
    <w:rsid w:val="00F4144F"/>
    <w:rsid w:val="00F414ED"/>
    <w:rsid w:val="00F41970"/>
    <w:rsid w:val="00F41A30"/>
    <w:rsid w:val="00F42800"/>
    <w:rsid w:val="00F445D9"/>
    <w:rsid w:val="00F44C60"/>
    <w:rsid w:val="00F44EAA"/>
    <w:rsid w:val="00F4518B"/>
    <w:rsid w:val="00F45CB0"/>
    <w:rsid w:val="00F45E63"/>
    <w:rsid w:val="00F4606C"/>
    <w:rsid w:val="00F47D0F"/>
    <w:rsid w:val="00F47FEC"/>
    <w:rsid w:val="00F504D2"/>
    <w:rsid w:val="00F50CD3"/>
    <w:rsid w:val="00F51358"/>
    <w:rsid w:val="00F514F2"/>
    <w:rsid w:val="00F51EFD"/>
    <w:rsid w:val="00F526DE"/>
    <w:rsid w:val="00F52CE6"/>
    <w:rsid w:val="00F52EB5"/>
    <w:rsid w:val="00F538D0"/>
    <w:rsid w:val="00F54943"/>
    <w:rsid w:val="00F54F89"/>
    <w:rsid w:val="00F55BF6"/>
    <w:rsid w:val="00F56010"/>
    <w:rsid w:val="00F566AF"/>
    <w:rsid w:val="00F56881"/>
    <w:rsid w:val="00F5792E"/>
    <w:rsid w:val="00F57B10"/>
    <w:rsid w:val="00F61E84"/>
    <w:rsid w:val="00F62353"/>
    <w:rsid w:val="00F62A1A"/>
    <w:rsid w:val="00F63837"/>
    <w:rsid w:val="00F63BE9"/>
    <w:rsid w:val="00F63D51"/>
    <w:rsid w:val="00F6437F"/>
    <w:rsid w:val="00F6469F"/>
    <w:rsid w:val="00F64D52"/>
    <w:rsid w:val="00F6540A"/>
    <w:rsid w:val="00F65785"/>
    <w:rsid w:val="00F65EA9"/>
    <w:rsid w:val="00F66349"/>
    <w:rsid w:val="00F66BF3"/>
    <w:rsid w:val="00F66FCD"/>
    <w:rsid w:val="00F67241"/>
    <w:rsid w:val="00F67248"/>
    <w:rsid w:val="00F67364"/>
    <w:rsid w:val="00F67E01"/>
    <w:rsid w:val="00F67FC4"/>
    <w:rsid w:val="00F707DE"/>
    <w:rsid w:val="00F7096E"/>
    <w:rsid w:val="00F71CDA"/>
    <w:rsid w:val="00F71E11"/>
    <w:rsid w:val="00F71FA0"/>
    <w:rsid w:val="00F72E74"/>
    <w:rsid w:val="00F738D9"/>
    <w:rsid w:val="00F73D5F"/>
    <w:rsid w:val="00F75618"/>
    <w:rsid w:val="00F75745"/>
    <w:rsid w:val="00F7692D"/>
    <w:rsid w:val="00F774EC"/>
    <w:rsid w:val="00F7781F"/>
    <w:rsid w:val="00F8022E"/>
    <w:rsid w:val="00F803B8"/>
    <w:rsid w:val="00F804C9"/>
    <w:rsid w:val="00F811D9"/>
    <w:rsid w:val="00F815B9"/>
    <w:rsid w:val="00F8240C"/>
    <w:rsid w:val="00F826AD"/>
    <w:rsid w:val="00F8289F"/>
    <w:rsid w:val="00F82919"/>
    <w:rsid w:val="00F82AD1"/>
    <w:rsid w:val="00F82B90"/>
    <w:rsid w:val="00F82F4E"/>
    <w:rsid w:val="00F83079"/>
    <w:rsid w:val="00F83190"/>
    <w:rsid w:val="00F831E1"/>
    <w:rsid w:val="00F83D1E"/>
    <w:rsid w:val="00F841D0"/>
    <w:rsid w:val="00F848D9"/>
    <w:rsid w:val="00F85422"/>
    <w:rsid w:val="00F854CE"/>
    <w:rsid w:val="00F85535"/>
    <w:rsid w:val="00F85F49"/>
    <w:rsid w:val="00F872B4"/>
    <w:rsid w:val="00F87579"/>
    <w:rsid w:val="00F8763F"/>
    <w:rsid w:val="00F87F0A"/>
    <w:rsid w:val="00F90360"/>
    <w:rsid w:val="00F903B1"/>
    <w:rsid w:val="00F90496"/>
    <w:rsid w:val="00F90D0F"/>
    <w:rsid w:val="00F90D7A"/>
    <w:rsid w:val="00F91EAE"/>
    <w:rsid w:val="00F91F4A"/>
    <w:rsid w:val="00F93319"/>
    <w:rsid w:val="00F934E3"/>
    <w:rsid w:val="00F94402"/>
    <w:rsid w:val="00F9449B"/>
    <w:rsid w:val="00F94B5D"/>
    <w:rsid w:val="00F959D8"/>
    <w:rsid w:val="00F95B41"/>
    <w:rsid w:val="00F95E58"/>
    <w:rsid w:val="00F96F82"/>
    <w:rsid w:val="00F97857"/>
    <w:rsid w:val="00FA0C86"/>
    <w:rsid w:val="00FA17FA"/>
    <w:rsid w:val="00FA222E"/>
    <w:rsid w:val="00FA33FF"/>
    <w:rsid w:val="00FA4661"/>
    <w:rsid w:val="00FA4D12"/>
    <w:rsid w:val="00FA56E6"/>
    <w:rsid w:val="00FA57DC"/>
    <w:rsid w:val="00FA654E"/>
    <w:rsid w:val="00FA68FC"/>
    <w:rsid w:val="00FA69D3"/>
    <w:rsid w:val="00FA6A41"/>
    <w:rsid w:val="00FA768F"/>
    <w:rsid w:val="00FB0000"/>
    <w:rsid w:val="00FB012A"/>
    <w:rsid w:val="00FB029F"/>
    <w:rsid w:val="00FB0CF7"/>
    <w:rsid w:val="00FB1B3B"/>
    <w:rsid w:val="00FB2EC7"/>
    <w:rsid w:val="00FB3050"/>
    <w:rsid w:val="00FB415E"/>
    <w:rsid w:val="00FB541D"/>
    <w:rsid w:val="00FB5585"/>
    <w:rsid w:val="00FB5B20"/>
    <w:rsid w:val="00FB699C"/>
    <w:rsid w:val="00FB74DE"/>
    <w:rsid w:val="00FC000B"/>
    <w:rsid w:val="00FC06CE"/>
    <w:rsid w:val="00FC0738"/>
    <w:rsid w:val="00FC0B79"/>
    <w:rsid w:val="00FC1672"/>
    <w:rsid w:val="00FC2055"/>
    <w:rsid w:val="00FC21EE"/>
    <w:rsid w:val="00FC35D5"/>
    <w:rsid w:val="00FC3814"/>
    <w:rsid w:val="00FC38FF"/>
    <w:rsid w:val="00FC3900"/>
    <w:rsid w:val="00FC3B80"/>
    <w:rsid w:val="00FC3DF4"/>
    <w:rsid w:val="00FC439A"/>
    <w:rsid w:val="00FC4732"/>
    <w:rsid w:val="00FC4B2F"/>
    <w:rsid w:val="00FC53A4"/>
    <w:rsid w:val="00FC54C2"/>
    <w:rsid w:val="00FC6014"/>
    <w:rsid w:val="00FD076C"/>
    <w:rsid w:val="00FD0B75"/>
    <w:rsid w:val="00FD1291"/>
    <w:rsid w:val="00FD1A02"/>
    <w:rsid w:val="00FD283F"/>
    <w:rsid w:val="00FD3727"/>
    <w:rsid w:val="00FD3B5B"/>
    <w:rsid w:val="00FD43DF"/>
    <w:rsid w:val="00FD4638"/>
    <w:rsid w:val="00FD472A"/>
    <w:rsid w:val="00FD4C27"/>
    <w:rsid w:val="00FD4E97"/>
    <w:rsid w:val="00FD508E"/>
    <w:rsid w:val="00FD5919"/>
    <w:rsid w:val="00FD6387"/>
    <w:rsid w:val="00FD6696"/>
    <w:rsid w:val="00FE0568"/>
    <w:rsid w:val="00FE07C3"/>
    <w:rsid w:val="00FE0FF4"/>
    <w:rsid w:val="00FE1A20"/>
    <w:rsid w:val="00FE1C0D"/>
    <w:rsid w:val="00FE2852"/>
    <w:rsid w:val="00FE2F18"/>
    <w:rsid w:val="00FE35DE"/>
    <w:rsid w:val="00FE3775"/>
    <w:rsid w:val="00FE39BC"/>
    <w:rsid w:val="00FE3B19"/>
    <w:rsid w:val="00FE3F5C"/>
    <w:rsid w:val="00FE46D3"/>
    <w:rsid w:val="00FE4E04"/>
    <w:rsid w:val="00FE4EC8"/>
    <w:rsid w:val="00FE5B86"/>
    <w:rsid w:val="00FE65EB"/>
    <w:rsid w:val="00FE6D05"/>
    <w:rsid w:val="00FF03EC"/>
    <w:rsid w:val="00FF0CA4"/>
    <w:rsid w:val="00FF10A8"/>
    <w:rsid w:val="00FF1518"/>
    <w:rsid w:val="00FF31C7"/>
    <w:rsid w:val="00FF3EFD"/>
    <w:rsid w:val="00FF40A5"/>
    <w:rsid w:val="00FF52C6"/>
    <w:rsid w:val="00FF5D0B"/>
    <w:rsid w:val="00FF63A3"/>
    <w:rsid w:val="00FF6453"/>
    <w:rsid w:val="00FF6528"/>
    <w:rsid w:val="00FF65D6"/>
    <w:rsid w:val="00FF6887"/>
    <w:rsid w:val="00FF6AD0"/>
    <w:rsid w:val="00FF6F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B580B"/>
  <w15:docId w15:val="{9897A301-84EE-47C8-9012-5CE9EF10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AC9"/>
  </w:style>
  <w:style w:type="paragraph" w:styleId="Antrat1">
    <w:name w:val="heading 1"/>
    <w:basedOn w:val="prastasis"/>
    <w:next w:val="prastasis"/>
    <w:link w:val="Antrat1Diagrama"/>
    <w:autoRedefine/>
    <w:uiPriority w:val="9"/>
    <w:qFormat/>
    <w:rsid w:val="00D456C1"/>
    <w:pPr>
      <w:keepNext/>
      <w:keepLines/>
      <w:spacing w:before="480" w:after="0"/>
      <w:outlineLvl w:val="0"/>
    </w:pPr>
    <w:rPr>
      <w:rFonts w:asciiTheme="majorHAnsi" w:eastAsiaTheme="majorEastAsia" w:hAnsiTheme="majorHAnsi" w:cs="Times New Roman"/>
      <w:b/>
      <w:bCs/>
      <w:caps/>
      <w:color w:val="365F91" w:themeColor="accent1" w:themeShade="BF"/>
      <w:sz w:val="28"/>
      <w:szCs w:val="28"/>
    </w:rPr>
  </w:style>
  <w:style w:type="paragraph" w:styleId="Antrat2">
    <w:name w:val="heading 2"/>
    <w:basedOn w:val="prastasis"/>
    <w:next w:val="prastasis"/>
    <w:link w:val="Antrat2Diagrama"/>
    <w:autoRedefine/>
    <w:uiPriority w:val="9"/>
    <w:unhideWhenUsed/>
    <w:qFormat/>
    <w:rsid w:val="00D456C1"/>
    <w:pPr>
      <w:keepNext/>
      <w:keepLines/>
      <w:spacing w:before="200" w:after="0"/>
      <w:outlineLvl w:val="1"/>
    </w:pPr>
    <w:rPr>
      <w:rFonts w:asciiTheme="majorHAnsi" w:eastAsiaTheme="majorEastAsia" w:hAnsiTheme="majorHAnsi" w:cs="Times New Roman"/>
      <w:b/>
      <w:bCs/>
      <w:color w:val="4F81BD" w:themeColor="accent1"/>
      <w:sz w:val="26"/>
      <w:szCs w:val="26"/>
    </w:rPr>
  </w:style>
  <w:style w:type="paragraph" w:styleId="Antrat3">
    <w:name w:val="heading 3"/>
    <w:basedOn w:val="prastasis"/>
    <w:next w:val="prastasis"/>
    <w:link w:val="Antrat3Diagrama"/>
    <w:uiPriority w:val="9"/>
    <w:unhideWhenUsed/>
    <w:qFormat/>
    <w:rsid w:val="00FA6A4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660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E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EE1"/>
    <w:rPr>
      <w:rFonts w:ascii="Tahoma" w:hAnsi="Tahoma" w:cs="Tahoma"/>
      <w:sz w:val="16"/>
      <w:szCs w:val="16"/>
    </w:rPr>
  </w:style>
  <w:style w:type="paragraph" w:styleId="Antrats">
    <w:name w:val="header"/>
    <w:basedOn w:val="prastasis"/>
    <w:next w:val="Antrat4"/>
    <w:link w:val="AntratsDiagrama"/>
    <w:uiPriority w:val="99"/>
    <w:unhideWhenUsed/>
    <w:rsid w:val="00C81A69"/>
    <w:pPr>
      <w:tabs>
        <w:tab w:val="center" w:pos="4819"/>
        <w:tab w:val="right" w:pos="9638"/>
      </w:tabs>
      <w:spacing w:before="120" w:after="120" w:line="240" w:lineRule="auto"/>
    </w:pPr>
    <w:rPr>
      <w:i/>
      <w:color w:val="1F497D" w:themeColor="text2"/>
      <w:sz w:val="22"/>
    </w:rPr>
  </w:style>
  <w:style w:type="character" w:customStyle="1" w:styleId="AntratsDiagrama">
    <w:name w:val="Antraštės Diagrama"/>
    <w:basedOn w:val="Numatytasispastraiposriftas"/>
    <w:link w:val="Antrats"/>
    <w:uiPriority w:val="99"/>
    <w:rsid w:val="00C81A69"/>
    <w:rPr>
      <w:i/>
      <w:color w:val="1F497D" w:themeColor="text2"/>
      <w:sz w:val="22"/>
    </w:rPr>
  </w:style>
  <w:style w:type="paragraph" w:styleId="Porat">
    <w:name w:val="footer"/>
    <w:basedOn w:val="prastasis"/>
    <w:link w:val="PoratDiagrama"/>
    <w:uiPriority w:val="99"/>
    <w:unhideWhenUsed/>
    <w:rsid w:val="006600EE"/>
    <w:pPr>
      <w:tabs>
        <w:tab w:val="center" w:pos="4819"/>
        <w:tab w:val="right" w:pos="9638"/>
      </w:tabs>
      <w:spacing w:before="120" w:after="120" w:line="240" w:lineRule="auto"/>
    </w:pPr>
    <w:rPr>
      <w:color w:val="1F497D" w:themeColor="text2"/>
      <w:sz w:val="22"/>
    </w:rPr>
  </w:style>
  <w:style w:type="character" w:customStyle="1" w:styleId="PoratDiagrama">
    <w:name w:val="Poraštė Diagrama"/>
    <w:basedOn w:val="Numatytasispastraiposriftas"/>
    <w:link w:val="Porat"/>
    <w:uiPriority w:val="99"/>
    <w:rsid w:val="006600EE"/>
    <w:rPr>
      <w:color w:val="1F497D" w:themeColor="text2"/>
      <w:sz w:val="22"/>
    </w:rPr>
  </w:style>
  <w:style w:type="character" w:styleId="Komentaronuoroda">
    <w:name w:val="annotation reference"/>
    <w:basedOn w:val="Numatytasispastraiposriftas"/>
    <w:unhideWhenUsed/>
    <w:rsid w:val="00F848D9"/>
    <w:rPr>
      <w:sz w:val="16"/>
      <w:szCs w:val="16"/>
    </w:rPr>
  </w:style>
  <w:style w:type="paragraph" w:styleId="Komentarotekstas">
    <w:name w:val="annotation text"/>
    <w:basedOn w:val="prastasis"/>
    <w:link w:val="KomentarotekstasDiagrama"/>
    <w:unhideWhenUsed/>
    <w:rsid w:val="00F848D9"/>
    <w:pPr>
      <w:spacing w:line="240" w:lineRule="auto"/>
    </w:pPr>
    <w:rPr>
      <w:sz w:val="20"/>
      <w:szCs w:val="20"/>
    </w:rPr>
  </w:style>
  <w:style w:type="character" w:customStyle="1" w:styleId="KomentarotekstasDiagrama">
    <w:name w:val="Komentaro tekstas Diagrama"/>
    <w:basedOn w:val="Numatytasispastraiposriftas"/>
    <w:link w:val="Komentarotekstas"/>
    <w:rsid w:val="00F848D9"/>
    <w:rPr>
      <w:sz w:val="20"/>
      <w:szCs w:val="20"/>
    </w:rPr>
  </w:style>
  <w:style w:type="paragraph" w:styleId="Komentarotema">
    <w:name w:val="annotation subject"/>
    <w:basedOn w:val="Komentarotekstas"/>
    <w:next w:val="Komentarotekstas"/>
    <w:link w:val="KomentarotemaDiagrama"/>
    <w:uiPriority w:val="99"/>
    <w:semiHidden/>
    <w:unhideWhenUsed/>
    <w:rsid w:val="00F848D9"/>
    <w:rPr>
      <w:b/>
      <w:bCs/>
    </w:rPr>
  </w:style>
  <w:style w:type="character" w:customStyle="1" w:styleId="KomentarotemaDiagrama">
    <w:name w:val="Komentaro tema Diagrama"/>
    <w:basedOn w:val="KomentarotekstasDiagrama"/>
    <w:link w:val="Komentarotema"/>
    <w:uiPriority w:val="99"/>
    <w:semiHidden/>
    <w:rsid w:val="00F848D9"/>
    <w:rPr>
      <w:b/>
      <w:bCs/>
      <w:sz w:val="20"/>
      <w:szCs w:val="20"/>
    </w:rPr>
  </w:style>
  <w:style w:type="table" w:styleId="Lentelstinklelis">
    <w:name w:val="Table Grid"/>
    <w:basedOn w:val="prastojilentel"/>
    <w:uiPriority w:val="59"/>
    <w:rsid w:val="0035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356FD9"/>
    <w:pPr>
      <w:ind w:left="720"/>
      <w:contextualSpacing/>
    </w:p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0C61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0C61A7"/>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C61A7"/>
    <w:rPr>
      <w:vertAlign w:val="superscript"/>
    </w:rPr>
  </w:style>
  <w:style w:type="table" w:customStyle="1" w:styleId="Lentelstinklelis1">
    <w:name w:val="Lentelės tinklelis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21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E21B2C"/>
    <w:pPr>
      <w:spacing w:after="160" w:line="240" w:lineRule="exact"/>
    </w:pPr>
    <w:rPr>
      <w:vertAlign w:val="superscript"/>
    </w:rPr>
  </w:style>
  <w:style w:type="table" w:customStyle="1" w:styleId="Lentelstinklelis4">
    <w:name w:val="Lentelės tinklelis4"/>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unhideWhenUsed/>
    <w:rsid w:val="00747258"/>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unhideWhenUsed/>
    <w:rsid w:val="00476AD0"/>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A3002D"/>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3002D"/>
  </w:style>
  <w:style w:type="table" w:customStyle="1" w:styleId="Lentelstinklelis8">
    <w:name w:val="Lentelės tinklelis8"/>
    <w:basedOn w:val="prastojilentel"/>
    <w:next w:val="Lentelstinklelis"/>
    <w:uiPriority w:val="59"/>
    <w:unhideWhenUsed/>
    <w:rsid w:val="00522DE6"/>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unhideWhenUsed/>
    <w:rsid w:val="00173243"/>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prastasis"/>
    <w:rsid w:val="00AD6ED8"/>
    <w:pPr>
      <w:tabs>
        <w:tab w:val="center" w:pos="7285"/>
        <w:tab w:val="right" w:pos="14003"/>
      </w:tabs>
      <w:spacing w:after="120" w:line="240" w:lineRule="auto"/>
      <w:jc w:val="both"/>
    </w:pPr>
    <w:rPr>
      <w:rFonts w:cs="Times New Roman"/>
      <w:lang w:eastAsia="lt-LT" w:bidi="lt-LT"/>
    </w:rPr>
  </w:style>
  <w:style w:type="paragraph" w:customStyle="1" w:styleId="Point0">
    <w:name w:val="Point 0"/>
    <w:basedOn w:val="prastasis"/>
    <w:rsid w:val="00B72E48"/>
    <w:pPr>
      <w:spacing w:before="120" w:after="120" w:line="240" w:lineRule="auto"/>
      <w:ind w:left="850" w:hanging="850"/>
      <w:jc w:val="both"/>
    </w:pPr>
    <w:rPr>
      <w:rFonts w:cs="Times New Roman"/>
      <w:lang w:eastAsia="lt-LT" w:bidi="lt-LT"/>
    </w:rPr>
  </w:style>
  <w:style w:type="paragraph" w:customStyle="1" w:styleId="Point0number">
    <w:name w:val="Point 0 (number)"/>
    <w:basedOn w:val="prastasis"/>
    <w:rsid w:val="00336526"/>
    <w:pPr>
      <w:numPr>
        <w:numId w:val="1"/>
      </w:numPr>
      <w:spacing w:before="120" w:after="120" w:line="240" w:lineRule="auto"/>
      <w:jc w:val="both"/>
    </w:pPr>
    <w:rPr>
      <w:rFonts w:cs="Times New Roman"/>
      <w:lang w:eastAsia="lt-LT" w:bidi="lt-LT"/>
    </w:rPr>
  </w:style>
  <w:style w:type="paragraph" w:customStyle="1" w:styleId="Point1number">
    <w:name w:val="Point 1 (number)"/>
    <w:basedOn w:val="prastasis"/>
    <w:rsid w:val="00336526"/>
    <w:pPr>
      <w:numPr>
        <w:ilvl w:val="2"/>
        <w:numId w:val="1"/>
      </w:numPr>
      <w:spacing w:before="120" w:after="120" w:line="240" w:lineRule="auto"/>
      <w:jc w:val="both"/>
    </w:pPr>
    <w:rPr>
      <w:rFonts w:cs="Times New Roman"/>
      <w:lang w:eastAsia="lt-LT" w:bidi="lt-LT"/>
    </w:rPr>
  </w:style>
  <w:style w:type="paragraph" w:customStyle="1" w:styleId="Point2number">
    <w:name w:val="Point 2 (number)"/>
    <w:basedOn w:val="prastasis"/>
    <w:rsid w:val="00336526"/>
    <w:pPr>
      <w:numPr>
        <w:ilvl w:val="4"/>
        <w:numId w:val="1"/>
      </w:numPr>
      <w:spacing w:before="120" w:after="120" w:line="240" w:lineRule="auto"/>
      <w:jc w:val="both"/>
    </w:pPr>
    <w:rPr>
      <w:rFonts w:cs="Times New Roman"/>
      <w:lang w:eastAsia="lt-LT" w:bidi="lt-LT"/>
    </w:rPr>
  </w:style>
  <w:style w:type="paragraph" w:customStyle="1" w:styleId="Point3number">
    <w:name w:val="Point 3 (number)"/>
    <w:basedOn w:val="prastasis"/>
    <w:rsid w:val="00336526"/>
    <w:pPr>
      <w:numPr>
        <w:ilvl w:val="6"/>
        <w:numId w:val="1"/>
      </w:numPr>
      <w:spacing w:before="120" w:after="120" w:line="240" w:lineRule="auto"/>
      <w:jc w:val="both"/>
    </w:pPr>
    <w:rPr>
      <w:rFonts w:cs="Times New Roman"/>
      <w:lang w:eastAsia="lt-LT" w:bidi="lt-LT"/>
    </w:rPr>
  </w:style>
  <w:style w:type="paragraph" w:customStyle="1" w:styleId="Point0letter">
    <w:name w:val="Point 0 (letter)"/>
    <w:basedOn w:val="prastasis"/>
    <w:rsid w:val="00336526"/>
    <w:pPr>
      <w:numPr>
        <w:ilvl w:val="1"/>
        <w:numId w:val="1"/>
      </w:numPr>
      <w:spacing w:before="120" w:after="120" w:line="240" w:lineRule="auto"/>
      <w:jc w:val="both"/>
    </w:pPr>
    <w:rPr>
      <w:rFonts w:cs="Times New Roman"/>
      <w:lang w:eastAsia="lt-LT" w:bidi="lt-LT"/>
    </w:rPr>
  </w:style>
  <w:style w:type="paragraph" w:customStyle="1" w:styleId="Point1letter">
    <w:name w:val="Point 1 (letter)"/>
    <w:basedOn w:val="prastasis"/>
    <w:rsid w:val="00336526"/>
    <w:pPr>
      <w:numPr>
        <w:ilvl w:val="3"/>
        <w:numId w:val="1"/>
      </w:numPr>
      <w:tabs>
        <w:tab w:val="clear" w:pos="567"/>
        <w:tab w:val="num" w:pos="1417"/>
      </w:tabs>
      <w:spacing w:before="120" w:after="120" w:line="240" w:lineRule="auto"/>
      <w:ind w:left="1417"/>
      <w:jc w:val="both"/>
    </w:pPr>
    <w:rPr>
      <w:rFonts w:cs="Times New Roman"/>
      <w:lang w:eastAsia="lt-LT" w:bidi="lt-LT"/>
    </w:rPr>
  </w:style>
  <w:style w:type="paragraph" w:customStyle="1" w:styleId="Point2letter">
    <w:name w:val="Point 2 (letter)"/>
    <w:basedOn w:val="prastasis"/>
    <w:rsid w:val="00336526"/>
    <w:pPr>
      <w:numPr>
        <w:ilvl w:val="5"/>
        <w:numId w:val="1"/>
      </w:numPr>
      <w:spacing w:before="120" w:after="120" w:line="240" w:lineRule="auto"/>
      <w:jc w:val="both"/>
    </w:pPr>
    <w:rPr>
      <w:rFonts w:cs="Times New Roman"/>
      <w:lang w:eastAsia="lt-LT" w:bidi="lt-LT"/>
    </w:rPr>
  </w:style>
  <w:style w:type="paragraph" w:customStyle="1" w:styleId="Point3letter">
    <w:name w:val="Point 3 (letter)"/>
    <w:basedOn w:val="prastasis"/>
    <w:rsid w:val="00336526"/>
    <w:pPr>
      <w:numPr>
        <w:ilvl w:val="7"/>
        <w:numId w:val="1"/>
      </w:numPr>
      <w:spacing w:before="120" w:after="120" w:line="240" w:lineRule="auto"/>
      <w:jc w:val="both"/>
    </w:pPr>
    <w:rPr>
      <w:rFonts w:cs="Times New Roman"/>
      <w:lang w:eastAsia="lt-LT" w:bidi="lt-LT"/>
    </w:rPr>
  </w:style>
  <w:style w:type="paragraph" w:customStyle="1" w:styleId="Point4letter">
    <w:name w:val="Point 4 (letter)"/>
    <w:basedOn w:val="prastasis"/>
    <w:rsid w:val="00336526"/>
    <w:pPr>
      <w:numPr>
        <w:ilvl w:val="8"/>
        <w:numId w:val="1"/>
      </w:numPr>
      <w:spacing w:before="120" w:after="120" w:line="240" w:lineRule="auto"/>
      <w:jc w:val="both"/>
    </w:pPr>
    <w:rPr>
      <w:rFonts w:cs="Times New Roman"/>
      <w:lang w:eastAsia="lt-LT" w:bidi="lt-LT"/>
    </w:rPr>
  </w:style>
  <w:style w:type="paragraph" w:customStyle="1" w:styleId="Default">
    <w:name w:val="Default"/>
    <w:rsid w:val="00CF684C"/>
    <w:pPr>
      <w:autoSpaceDE w:val="0"/>
      <w:autoSpaceDN w:val="0"/>
      <w:adjustRightInd w:val="0"/>
      <w:spacing w:after="0" w:line="240" w:lineRule="auto"/>
    </w:pPr>
    <w:rPr>
      <w:rFonts w:cs="Times New Roman"/>
      <w:color w:val="000000"/>
      <w:szCs w:val="24"/>
    </w:rPr>
  </w:style>
  <w:style w:type="paragraph" w:styleId="prastasiniatinklio">
    <w:name w:val="Normal (Web)"/>
    <w:basedOn w:val="prastasis"/>
    <w:uiPriority w:val="99"/>
    <w:unhideWhenUsed/>
    <w:rsid w:val="006C416C"/>
    <w:pPr>
      <w:spacing w:before="100" w:beforeAutospacing="1" w:after="100" w:afterAutospacing="1" w:line="240" w:lineRule="auto"/>
    </w:pPr>
    <w:rPr>
      <w:rFonts w:eastAsia="Times New Roman" w:cs="Times New Roman"/>
      <w:szCs w:val="24"/>
      <w:lang w:eastAsia="lt-LT"/>
    </w:rPr>
  </w:style>
  <w:style w:type="paragraph" w:customStyle="1" w:styleId="ManualNumPar1">
    <w:name w:val="Manual NumPar 1"/>
    <w:basedOn w:val="prastasis"/>
    <w:next w:val="prastasis"/>
    <w:rsid w:val="00991AB5"/>
    <w:pPr>
      <w:spacing w:before="120" w:after="120" w:line="240" w:lineRule="auto"/>
      <w:ind w:left="850" w:hanging="850"/>
      <w:jc w:val="both"/>
    </w:pPr>
    <w:rPr>
      <w:rFonts w:cs="Times New Roman"/>
      <w:lang w:eastAsia="lt-LT" w:bidi="lt-LT"/>
    </w:rPr>
  </w:style>
  <w:style w:type="paragraph" w:customStyle="1" w:styleId="Pagrindinispaprastastekstas">
    <w:name w:val="• Pagrindinis paprastas tekstas"/>
    <w:basedOn w:val="prastasis"/>
    <w:qFormat/>
    <w:rsid w:val="00192446"/>
    <w:pPr>
      <w:spacing w:after="0" w:line="240" w:lineRule="auto"/>
      <w:jc w:val="both"/>
    </w:pPr>
    <w:rPr>
      <w:rFonts w:asciiTheme="majorHAnsi" w:eastAsia="Times New Roman" w:hAnsiTheme="majorHAnsi" w:cs="Times New Roman"/>
      <w:sz w:val="22"/>
      <w:szCs w:val="24"/>
    </w:rPr>
  </w:style>
  <w:style w:type="character" w:customStyle="1" w:styleId="st">
    <w:name w:val="st"/>
    <w:basedOn w:val="Numatytasispastraiposriftas"/>
    <w:rsid w:val="008124FC"/>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2F0AD5"/>
  </w:style>
  <w:style w:type="character" w:customStyle="1" w:styleId="Antrat1Diagrama">
    <w:name w:val="Antraštė 1 Diagrama"/>
    <w:basedOn w:val="Numatytasispastraiposriftas"/>
    <w:link w:val="Antrat1"/>
    <w:uiPriority w:val="9"/>
    <w:rsid w:val="00D456C1"/>
    <w:rPr>
      <w:rFonts w:asciiTheme="majorHAnsi" w:eastAsiaTheme="majorEastAsia" w:hAnsiTheme="majorHAnsi" w:cs="Times New Roman"/>
      <w:b/>
      <w:bCs/>
      <w:caps/>
      <w:color w:val="365F91" w:themeColor="accent1" w:themeShade="BF"/>
      <w:sz w:val="28"/>
      <w:szCs w:val="28"/>
    </w:rPr>
  </w:style>
  <w:style w:type="character" w:styleId="Hipersaitas">
    <w:name w:val="Hyperlink"/>
    <w:basedOn w:val="Numatytasispastraiposriftas"/>
    <w:uiPriority w:val="99"/>
    <w:unhideWhenUsed/>
    <w:rsid w:val="00FE2852"/>
    <w:rPr>
      <w:color w:val="0000FF" w:themeColor="hyperlink"/>
      <w:u w:val="single"/>
    </w:rPr>
  </w:style>
  <w:style w:type="character" w:customStyle="1" w:styleId="PuslapioinaostekstasDiagrama1">
    <w:name w:val="Puslapio išnašos tekstas Diagrama1"/>
    <w:basedOn w:val="Numatytasispastraiposriftas"/>
    <w:uiPriority w:val="99"/>
    <w:semiHidden/>
    <w:rsid w:val="00FE2852"/>
    <w:rPr>
      <w:rFonts w:ascii="Times New Roman" w:hAnsi="Times New Roman"/>
      <w:sz w:val="20"/>
      <w:szCs w:val="20"/>
    </w:rPr>
  </w:style>
  <w:style w:type="paragraph" w:styleId="HTMLiankstoformatuotas">
    <w:name w:val="HTML Preformatted"/>
    <w:basedOn w:val="prastasis"/>
    <w:link w:val="HTMLiankstoformatuotasDiagrama"/>
    <w:uiPriority w:val="99"/>
    <w:semiHidden/>
    <w:unhideWhenUsed/>
    <w:rsid w:val="00FE2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2852"/>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FE2852"/>
  </w:style>
  <w:style w:type="table" w:customStyle="1" w:styleId="Lentelstinklelis10">
    <w:name w:val="Lentelės tinklelis10"/>
    <w:basedOn w:val="prastojilentel"/>
    <w:next w:val="Lentelstinklelis"/>
    <w:uiPriority w:val="59"/>
    <w:rsid w:val="00035E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D456C1"/>
    <w:rPr>
      <w:rFonts w:asciiTheme="majorHAnsi" w:eastAsiaTheme="majorEastAsia" w:hAnsiTheme="majorHAnsi" w:cs="Times New Roman"/>
      <w:b/>
      <w:bCs/>
      <w:color w:val="4F81BD" w:themeColor="accent1"/>
      <w:sz w:val="26"/>
      <w:szCs w:val="26"/>
    </w:rPr>
  </w:style>
  <w:style w:type="paragraph" w:styleId="Turinioantrat">
    <w:name w:val="TOC Heading"/>
    <w:basedOn w:val="Antrat1"/>
    <w:next w:val="prastasis"/>
    <w:uiPriority w:val="39"/>
    <w:unhideWhenUsed/>
    <w:qFormat/>
    <w:rsid w:val="00636181"/>
    <w:pPr>
      <w:outlineLvl w:val="9"/>
    </w:pPr>
    <w:rPr>
      <w:lang w:eastAsia="lt-LT"/>
    </w:rPr>
  </w:style>
  <w:style w:type="paragraph" w:styleId="Turinys1">
    <w:name w:val="toc 1"/>
    <w:basedOn w:val="prastasis"/>
    <w:next w:val="prastasis"/>
    <w:autoRedefine/>
    <w:uiPriority w:val="39"/>
    <w:unhideWhenUsed/>
    <w:rsid w:val="00942309"/>
    <w:pPr>
      <w:tabs>
        <w:tab w:val="left" w:pos="440"/>
        <w:tab w:val="right" w:leader="dot" w:pos="9628"/>
      </w:tabs>
      <w:spacing w:after="0" w:line="240" w:lineRule="auto"/>
    </w:pPr>
    <w:rPr>
      <w:rFonts w:eastAsia="Times New Roman" w:cs="Times New Roman"/>
      <w:noProof/>
      <w:sz w:val="22"/>
    </w:rPr>
  </w:style>
  <w:style w:type="paragraph" w:styleId="Turinys2">
    <w:name w:val="toc 2"/>
    <w:basedOn w:val="prastasis"/>
    <w:next w:val="prastasis"/>
    <w:autoRedefine/>
    <w:uiPriority w:val="39"/>
    <w:unhideWhenUsed/>
    <w:rsid w:val="008E01CB"/>
    <w:pPr>
      <w:tabs>
        <w:tab w:val="right" w:leader="dot" w:pos="9628"/>
      </w:tabs>
      <w:spacing w:after="100"/>
      <w:ind w:left="240"/>
    </w:pPr>
    <w:rPr>
      <w:noProof/>
      <w:sz w:val="20"/>
      <w:szCs w:val="20"/>
    </w:rPr>
  </w:style>
  <w:style w:type="character" w:customStyle="1" w:styleId="normaltextrun">
    <w:name w:val="normaltextrun"/>
    <w:basedOn w:val="Numatytasispastraiposriftas"/>
    <w:rsid w:val="00040FD7"/>
  </w:style>
  <w:style w:type="character" w:customStyle="1" w:styleId="eop">
    <w:name w:val="eop"/>
    <w:basedOn w:val="Numatytasispastraiposriftas"/>
    <w:rsid w:val="00040FD7"/>
  </w:style>
  <w:style w:type="table" w:customStyle="1" w:styleId="Lentelstinklelis12">
    <w:name w:val="Lentelės tinklelis12"/>
    <w:basedOn w:val="prastojilentel"/>
    <w:next w:val="Lentelstinklelis"/>
    <w:uiPriority w:val="59"/>
    <w:rsid w:val="00C7460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6600EE"/>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6600EE"/>
    <w:rPr>
      <w:rFonts w:asciiTheme="majorHAnsi" w:eastAsiaTheme="majorEastAsia" w:hAnsiTheme="majorHAnsi" w:cstheme="majorBidi"/>
      <w:i/>
      <w:iCs/>
      <w:color w:val="4F81BD" w:themeColor="accent1"/>
      <w:spacing w:val="15"/>
      <w:szCs w:val="24"/>
    </w:rPr>
  </w:style>
  <w:style w:type="character" w:customStyle="1" w:styleId="Antrat4Diagrama">
    <w:name w:val="Antraštė 4 Diagrama"/>
    <w:basedOn w:val="Numatytasispastraiposriftas"/>
    <w:link w:val="Antrat4"/>
    <w:uiPriority w:val="9"/>
    <w:rsid w:val="006600EE"/>
    <w:rPr>
      <w:rFonts w:asciiTheme="majorHAnsi" w:eastAsiaTheme="majorEastAsia" w:hAnsiTheme="majorHAnsi" w:cstheme="majorBidi"/>
      <w:b/>
      <w:bCs/>
      <w:i/>
      <w:iCs/>
      <w:color w:val="4F81BD" w:themeColor="accent1"/>
    </w:rPr>
  </w:style>
  <w:style w:type="character" w:styleId="Rykuspabraukimas">
    <w:name w:val="Intense Emphasis"/>
    <w:basedOn w:val="Numatytasispastraiposriftas"/>
    <w:uiPriority w:val="21"/>
    <w:qFormat/>
    <w:rsid w:val="00C81A69"/>
    <w:rPr>
      <w:b/>
      <w:bCs/>
      <w:color w:val="1F497D" w:themeColor="text2"/>
    </w:rPr>
  </w:style>
  <w:style w:type="paragraph" w:customStyle="1" w:styleId="Stilius1">
    <w:name w:val="Stilius1"/>
    <w:basedOn w:val="Antrats"/>
    <w:next w:val="Antrat4"/>
    <w:link w:val="Stilius1Diagrama"/>
    <w:qFormat/>
    <w:rsid w:val="00F538D0"/>
    <w:rPr>
      <w:b/>
      <w:sz w:val="24"/>
    </w:rPr>
  </w:style>
  <w:style w:type="paragraph" w:customStyle="1" w:styleId="FourierSeries">
    <w:name w:val="Fourier Series"/>
    <w:rsid w:val="00F538D0"/>
    <w:rPr>
      <w:rFonts w:asciiTheme="minorHAnsi" w:eastAsiaTheme="minorEastAsia" w:hAnsiTheme="minorHAnsi"/>
      <w:sz w:val="22"/>
      <w:lang w:eastAsia="lt-LT"/>
    </w:rPr>
  </w:style>
  <w:style w:type="character" w:customStyle="1" w:styleId="Stilius1Diagrama">
    <w:name w:val="Stilius1 Diagrama"/>
    <w:basedOn w:val="AntratsDiagrama"/>
    <w:link w:val="Stilius1"/>
    <w:rsid w:val="00F538D0"/>
    <w:rPr>
      <w:b/>
      <w:i/>
      <w:color w:val="1F497D" w:themeColor="text2"/>
      <w:sz w:val="22"/>
    </w:rPr>
  </w:style>
  <w:style w:type="table" w:customStyle="1" w:styleId="Lentelstinklelis13">
    <w:name w:val="Lentelės tinklelis13"/>
    <w:basedOn w:val="prastojilentel"/>
    <w:next w:val="Lentelstinklelis"/>
    <w:uiPriority w:val="59"/>
    <w:rsid w:val="007F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631A38"/>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8F2A82"/>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21211C"/>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9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B680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2F7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4540B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4C2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166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F011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F101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6955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C92B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E053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59"/>
    <w:rsid w:val="008203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59"/>
    <w:rsid w:val="00041C9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59"/>
    <w:rsid w:val="006242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34F2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59"/>
    <w:rsid w:val="00F053B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59"/>
    <w:rsid w:val="00E441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uiPriority w:val="59"/>
    <w:rsid w:val="00592B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uiPriority w:val="59"/>
    <w:rsid w:val="00696D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uiPriority w:val="59"/>
    <w:rsid w:val="0035259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uiPriority w:val="59"/>
    <w:rsid w:val="004B6A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D06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59"/>
    <w:rsid w:val="006368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59"/>
    <w:rsid w:val="008800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uiPriority w:val="59"/>
    <w:rsid w:val="00600D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46F9"/>
    <w:rPr>
      <w:color w:val="800080" w:themeColor="followedHyperlink"/>
      <w:u w:val="single"/>
    </w:rPr>
  </w:style>
  <w:style w:type="character" w:customStyle="1" w:styleId="msoins0">
    <w:name w:val="msoins"/>
    <w:basedOn w:val="Numatytasispastraiposriftas"/>
    <w:rsid w:val="00C731F4"/>
  </w:style>
  <w:style w:type="character" w:customStyle="1" w:styleId="Antrat3Diagrama">
    <w:name w:val="Antraštė 3 Diagrama"/>
    <w:basedOn w:val="Numatytasispastraiposriftas"/>
    <w:link w:val="Antrat3"/>
    <w:uiPriority w:val="9"/>
    <w:rsid w:val="00FA6A41"/>
    <w:rPr>
      <w:rFonts w:asciiTheme="majorHAnsi" w:eastAsiaTheme="majorEastAsia" w:hAnsiTheme="majorHAnsi" w:cstheme="majorBidi"/>
      <w:color w:val="243F60" w:themeColor="accent1" w:themeShade="7F"/>
      <w:szCs w:val="24"/>
    </w:rPr>
  </w:style>
  <w:style w:type="paragraph" w:styleId="Pataisymai">
    <w:name w:val="Revision"/>
    <w:hidden/>
    <w:uiPriority w:val="99"/>
    <w:semiHidden/>
    <w:rsid w:val="00B90153"/>
    <w:pPr>
      <w:spacing w:after="0" w:line="240" w:lineRule="auto"/>
    </w:pPr>
  </w:style>
  <w:style w:type="character" w:customStyle="1" w:styleId="markedcontent">
    <w:name w:val="markedcontent"/>
    <w:basedOn w:val="Numatytasispastraiposriftas"/>
    <w:rsid w:val="009C33A5"/>
    <w:rPr>
      <w:rFonts w:cs="Times New Roman"/>
    </w:rPr>
  </w:style>
  <w:style w:type="character" w:customStyle="1" w:styleId="muxgbd">
    <w:name w:val="muxgbd"/>
    <w:basedOn w:val="Numatytasispastraiposriftas"/>
    <w:rsid w:val="005A7794"/>
  </w:style>
  <w:style w:type="character" w:customStyle="1" w:styleId="Bodytext1">
    <w:name w:val="Body text|1_"/>
    <w:basedOn w:val="Numatytasispastraiposriftas"/>
    <w:link w:val="Bodytext10"/>
    <w:rsid w:val="00C6015F"/>
  </w:style>
  <w:style w:type="paragraph" w:customStyle="1" w:styleId="Bodytext10">
    <w:name w:val="Body text|1"/>
    <w:basedOn w:val="prastasis"/>
    <w:link w:val="Bodytext1"/>
    <w:rsid w:val="00C6015F"/>
    <w:pPr>
      <w:widowControl w:val="0"/>
      <w:spacing w:line="240" w:lineRule="auto"/>
    </w:pPr>
  </w:style>
  <w:style w:type="character" w:customStyle="1" w:styleId="Stilius1Char">
    <w:name w:val="Stilius1 Char"/>
    <w:rsid w:val="00051BD4"/>
    <w:rPr>
      <w:rFonts w:ascii="Arial" w:hAnsi="Arial" w:cs="Arial"/>
      <w:lang w:eastAsia="en-US" w:bidi="ar-SA"/>
    </w:rPr>
  </w:style>
  <w:style w:type="character" w:styleId="Neapdorotaspaminjimas">
    <w:name w:val="Unresolved Mention"/>
    <w:basedOn w:val="Numatytasispastraiposriftas"/>
    <w:uiPriority w:val="99"/>
    <w:semiHidden/>
    <w:unhideWhenUsed/>
    <w:rsid w:val="00102FF6"/>
    <w:rPr>
      <w:color w:val="605E5C"/>
      <w:shd w:val="clear" w:color="auto" w:fill="E1DFDD"/>
    </w:rPr>
  </w:style>
  <w:style w:type="paragraph" w:styleId="Pagrindinistekstas">
    <w:name w:val="Body Text"/>
    <w:basedOn w:val="prastasis"/>
    <w:link w:val="PagrindinistekstasDiagrama"/>
    <w:uiPriority w:val="99"/>
    <w:qFormat/>
    <w:rsid w:val="0087201A"/>
    <w:pPr>
      <w:widowControl w:val="0"/>
      <w:autoSpaceDE w:val="0"/>
      <w:autoSpaceDN w:val="0"/>
      <w:spacing w:after="0" w:line="240" w:lineRule="auto"/>
    </w:pPr>
    <w:rPr>
      <w:rFonts w:ascii="Cambria" w:eastAsia="Cambria" w:hAnsi="Cambria" w:cs="Cambria"/>
      <w:sz w:val="19"/>
      <w:szCs w:val="19"/>
    </w:rPr>
  </w:style>
  <w:style w:type="character" w:customStyle="1" w:styleId="PagrindinistekstasDiagrama">
    <w:name w:val="Pagrindinis tekstas Diagrama"/>
    <w:basedOn w:val="Numatytasispastraiposriftas"/>
    <w:link w:val="Pagrindinistekstas"/>
    <w:uiPriority w:val="99"/>
    <w:rsid w:val="0087201A"/>
    <w:rPr>
      <w:rFonts w:ascii="Cambria" w:eastAsia="Cambria" w:hAnsi="Cambria" w:cs="Cambria"/>
      <w:sz w:val="19"/>
      <w:szCs w:val="19"/>
    </w:rPr>
  </w:style>
  <w:style w:type="character" w:customStyle="1" w:styleId="UnresolvedMention1">
    <w:name w:val="Unresolved Mention1"/>
    <w:basedOn w:val="Numatytasispastraiposriftas"/>
    <w:uiPriority w:val="99"/>
    <w:semiHidden/>
    <w:unhideWhenUsed/>
    <w:rsid w:val="0087201A"/>
    <w:rPr>
      <w:color w:val="605E5C"/>
      <w:shd w:val="clear" w:color="auto" w:fill="E1DFDD"/>
    </w:rPr>
  </w:style>
  <w:style w:type="table" w:customStyle="1" w:styleId="Lentelstinklelis45">
    <w:name w:val="Lentelės tinklelis45"/>
    <w:basedOn w:val="prastojilentel"/>
    <w:next w:val="Lentelstinklelis"/>
    <w:uiPriority w:val="59"/>
    <w:rsid w:val="0087201A"/>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uiPriority w:val="59"/>
    <w:rsid w:val="0087201A"/>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6">
    <w:name w:val="Lentelės tinklelis46"/>
    <w:basedOn w:val="prastojilentel"/>
    <w:next w:val="Lentelstinklelis"/>
    <w:uiPriority w:val="59"/>
    <w:rsid w:val="0087201A"/>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7">
    <w:name w:val="Lentelės tinklelis47"/>
    <w:basedOn w:val="prastojilentel"/>
    <w:next w:val="Lentelstinklelis"/>
    <w:uiPriority w:val="59"/>
    <w:rsid w:val="0087201A"/>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87201A"/>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8">
    <w:name w:val="Lentelės tinklelis48"/>
    <w:basedOn w:val="prastojilentel"/>
    <w:next w:val="Lentelstinklelis"/>
    <w:uiPriority w:val="59"/>
    <w:rsid w:val="0087201A"/>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720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6797">
      <w:bodyDiv w:val="1"/>
      <w:marLeft w:val="0"/>
      <w:marRight w:val="0"/>
      <w:marTop w:val="0"/>
      <w:marBottom w:val="0"/>
      <w:divBdr>
        <w:top w:val="none" w:sz="0" w:space="0" w:color="auto"/>
        <w:left w:val="none" w:sz="0" w:space="0" w:color="auto"/>
        <w:bottom w:val="none" w:sz="0" w:space="0" w:color="auto"/>
        <w:right w:val="none" w:sz="0" w:space="0" w:color="auto"/>
      </w:divBdr>
    </w:div>
    <w:div w:id="70198976">
      <w:bodyDiv w:val="1"/>
      <w:marLeft w:val="0"/>
      <w:marRight w:val="0"/>
      <w:marTop w:val="0"/>
      <w:marBottom w:val="0"/>
      <w:divBdr>
        <w:top w:val="none" w:sz="0" w:space="0" w:color="auto"/>
        <w:left w:val="none" w:sz="0" w:space="0" w:color="auto"/>
        <w:bottom w:val="none" w:sz="0" w:space="0" w:color="auto"/>
        <w:right w:val="none" w:sz="0" w:space="0" w:color="auto"/>
      </w:divBdr>
    </w:div>
    <w:div w:id="71321589">
      <w:bodyDiv w:val="1"/>
      <w:marLeft w:val="0"/>
      <w:marRight w:val="0"/>
      <w:marTop w:val="0"/>
      <w:marBottom w:val="0"/>
      <w:divBdr>
        <w:top w:val="none" w:sz="0" w:space="0" w:color="auto"/>
        <w:left w:val="none" w:sz="0" w:space="0" w:color="auto"/>
        <w:bottom w:val="none" w:sz="0" w:space="0" w:color="auto"/>
        <w:right w:val="none" w:sz="0" w:space="0" w:color="auto"/>
      </w:divBdr>
    </w:div>
    <w:div w:id="121192172">
      <w:bodyDiv w:val="1"/>
      <w:marLeft w:val="0"/>
      <w:marRight w:val="0"/>
      <w:marTop w:val="0"/>
      <w:marBottom w:val="0"/>
      <w:divBdr>
        <w:top w:val="none" w:sz="0" w:space="0" w:color="auto"/>
        <w:left w:val="none" w:sz="0" w:space="0" w:color="auto"/>
        <w:bottom w:val="none" w:sz="0" w:space="0" w:color="auto"/>
        <w:right w:val="none" w:sz="0" w:space="0" w:color="auto"/>
      </w:divBdr>
    </w:div>
    <w:div w:id="125513839">
      <w:bodyDiv w:val="1"/>
      <w:marLeft w:val="0"/>
      <w:marRight w:val="0"/>
      <w:marTop w:val="0"/>
      <w:marBottom w:val="0"/>
      <w:divBdr>
        <w:top w:val="none" w:sz="0" w:space="0" w:color="auto"/>
        <w:left w:val="none" w:sz="0" w:space="0" w:color="auto"/>
        <w:bottom w:val="none" w:sz="0" w:space="0" w:color="auto"/>
        <w:right w:val="none" w:sz="0" w:space="0" w:color="auto"/>
      </w:divBdr>
    </w:div>
    <w:div w:id="143470944">
      <w:bodyDiv w:val="1"/>
      <w:marLeft w:val="0"/>
      <w:marRight w:val="0"/>
      <w:marTop w:val="0"/>
      <w:marBottom w:val="0"/>
      <w:divBdr>
        <w:top w:val="none" w:sz="0" w:space="0" w:color="auto"/>
        <w:left w:val="none" w:sz="0" w:space="0" w:color="auto"/>
        <w:bottom w:val="none" w:sz="0" w:space="0" w:color="auto"/>
        <w:right w:val="none" w:sz="0" w:space="0" w:color="auto"/>
      </w:divBdr>
    </w:div>
    <w:div w:id="151723361">
      <w:bodyDiv w:val="1"/>
      <w:marLeft w:val="0"/>
      <w:marRight w:val="0"/>
      <w:marTop w:val="0"/>
      <w:marBottom w:val="0"/>
      <w:divBdr>
        <w:top w:val="none" w:sz="0" w:space="0" w:color="auto"/>
        <w:left w:val="none" w:sz="0" w:space="0" w:color="auto"/>
        <w:bottom w:val="none" w:sz="0" w:space="0" w:color="auto"/>
        <w:right w:val="none" w:sz="0" w:space="0" w:color="auto"/>
      </w:divBdr>
    </w:div>
    <w:div w:id="167256842">
      <w:bodyDiv w:val="1"/>
      <w:marLeft w:val="0"/>
      <w:marRight w:val="0"/>
      <w:marTop w:val="0"/>
      <w:marBottom w:val="0"/>
      <w:divBdr>
        <w:top w:val="none" w:sz="0" w:space="0" w:color="auto"/>
        <w:left w:val="none" w:sz="0" w:space="0" w:color="auto"/>
        <w:bottom w:val="none" w:sz="0" w:space="0" w:color="auto"/>
        <w:right w:val="none" w:sz="0" w:space="0" w:color="auto"/>
      </w:divBdr>
    </w:div>
    <w:div w:id="183205476">
      <w:bodyDiv w:val="1"/>
      <w:marLeft w:val="0"/>
      <w:marRight w:val="0"/>
      <w:marTop w:val="0"/>
      <w:marBottom w:val="0"/>
      <w:divBdr>
        <w:top w:val="none" w:sz="0" w:space="0" w:color="auto"/>
        <w:left w:val="none" w:sz="0" w:space="0" w:color="auto"/>
        <w:bottom w:val="none" w:sz="0" w:space="0" w:color="auto"/>
        <w:right w:val="none" w:sz="0" w:space="0" w:color="auto"/>
      </w:divBdr>
    </w:div>
    <w:div w:id="184712391">
      <w:bodyDiv w:val="1"/>
      <w:marLeft w:val="0"/>
      <w:marRight w:val="0"/>
      <w:marTop w:val="0"/>
      <w:marBottom w:val="0"/>
      <w:divBdr>
        <w:top w:val="none" w:sz="0" w:space="0" w:color="auto"/>
        <w:left w:val="none" w:sz="0" w:space="0" w:color="auto"/>
        <w:bottom w:val="none" w:sz="0" w:space="0" w:color="auto"/>
        <w:right w:val="none" w:sz="0" w:space="0" w:color="auto"/>
      </w:divBdr>
    </w:div>
    <w:div w:id="200018045">
      <w:bodyDiv w:val="1"/>
      <w:marLeft w:val="0"/>
      <w:marRight w:val="0"/>
      <w:marTop w:val="0"/>
      <w:marBottom w:val="0"/>
      <w:divBdr>
        <w:top w:val="none" w:sz="0" w:space="0" w:color="auto"/>
        <w:left w:val="none" w:sz="0" w:space="0" w:color="auto"/>
        <w:bottom w:val="none" w:sz="0" w:space="0" w:color="auto"/>
        <w:right w:val="none" w:sz="0" w:space="0" w:color="auto"/>
      </w:divBdr>
    </w:div>
    <w:div w:id="214633450">
      <w:bodyDiv w:val="1"/>
      <w:marLeft w:val="0"/>
      <w:marRight w:val="0"/>
      <w:marTop w:val="0"/>
      <w:marBottom w:val="0"/>
      <w:divBdr>
        <w:top w:val="none" w:sz="0" w:space="0" w:color="auto"/>
        <w:left w:val="none" w:sz="0" w:space="0" w:color="auto"/>
        <w:bottom w:val="none" w:sz="0" w:space="0" w:color="auto"/>
        <w:right w:val="none" w:sz="0" w:space="0" w:color="auto"/>
      </w:divBdr>
    </w:div>
    <w:div w:id="223680825">
      <w:bodyDiv w:val="1"/>
      <w:marLeft w:val="0"/>
      <w:marRight w:val="0"/>
      <w:marTop w:val="0"/>
      <w:marBottom w:val="0"/>
      <w:divBdr>
        <w:top w:val="none" w:sz="0" w:space="0" w:color="auto"/>
        <w:left w:val="none" w:sz="0" w:space="0" w:color="auto"/>
        <w:bottom w:val="none" w:sz="0" w:space="0" w:color="auto"/>
        <w:right w:val="none" w:sz="0" w:space="0" w:color="auto"/>
      </w:divBdr>
    </w:div>
    <w:div w:id="229269303">
      <w:bodyDiv w:val="1"/>
      <w:marLeft w:val="0"/>
      <w:marRight w:val="0"/>
      <w:marTop w:val="0"/>
      <w:marBottom w:val="0"/>
      <w:divBdr>
        <w:top w:val="none" w:sz="0" w:space="0" w:color="auto"/>
        <w:left w:val="none" w:sz="0" w:space="0" w:color="auto"/>
        <w:bottom w:val="none" w:sz="0" w:space="0" w:color="auto"/>
        <w:right w:val="none" w:sz="0" w:space="0" w:color="auto"/>
      </w:divBdr>
    </w:div>
    <w:div w:id="237600492">
      <w:bodyDiv w:val="1"/>
      <w:marLeft w:val="0"/>
      <w:marRight w:val="0"/>
      <w:marTop w:val="0"/>
      <w:marBottom w:val="0"/>
      <w:divBdr>
        <w:top w:val="none" w:sz="0" w:space="0" w:color="auto"/>
        <w:left w:val="none" w:sz="0" w:space="0" w:color="auto"/>
        <w:bottom w:val="none" w:sz="0" w:space="0" w:color="auto"/>
        <w:right w:val="none" w:sz="0" w:space="0" w:color="auto"/>
      </w:divBdr>
    </w:div>
    <w:div w:id="240068898">
      <w:bodyDiv w:val="1"/>
      <w:marLeft w:val="0"/>
      <w:marRight w:val="0"/>
      <w:marTop w:val="0"/>
      <w:marBottom w:val="0"/>
      <w:divBdr>
        <w:top w:val="none" w:sz="0" w:space="0" w:color="auto"/>
        <w:left w:val="none" w:sz="0" w:space="0" w:color="auto"/>
        <w:bottom w:val="none" w:sz="0" w:space="0" w:color="auto"/>
        <w:right w:val="none" w:sz="0" w:space="0" w:color="auto"/>
      </w:divBdr>
    </w:div>
    <w:div w:id="287779704">
      <w:bodyDiv w:val="1"/>
      <w:marLeft w:val="0"/>
      <w:marRight w:val="0"/>
      <w:marTop w:val="0"/>
      <w:marBottom w:val="0"/>
      <w:divBdr>
        <w:top w:val="none" w:sz="0" w:space="0" w:color="auto"/>
        <w:left w:val="none" w:sz="0" w:space="0" w:color="auto"/>
        <w:bottom w:val="none" w:sz="0" w:space="0" w:color="auto"/>
        <w:right w:val="none" w:sz="0" w:space="0" w:color="auto"/>
      </w:divBdr>
    </w:div>
    <w:div w:id="291711465">
      <w:bodyDiv w:val="1"/>
      <w:marLeft w:val="0"/>
      <w:marRight w:val="0"/>
      <w:marTop w:val="0"/>
      <w:marBottom w:val="0"/>
      <w:divBdr>
        <w:top w:val="none" w:sz="0" w:space="0" w:color="auto"/>
        <w:left w:val="none" w:sz="0" w:space="0" w:color="auto"/>
        <w:bottom w:val="none" w:sz="0" w:space="0" w:color="auto"/>
        <w:right w:val="none" w:sz="0" w:space="0" w:color="auto"/>
      </w:divBdr>
    </w:div>
    <w:div w:id="291790062">
      <w:bodyDiv w:val="1"/>
      <w:marLeft w:val="0"/>
      <w:marRight w:val="0"/>
      <w:marTop w:val="0"/>
      <w:marBottom w:val="0"/>
      <w:divBdr>
        <w:top w:val="none" w:sz="0" w:space="0" w:color="auto"/>
        <w:left w:val="none" w:sz="0" w:space="0" w:color="auto"/>
        <w:bottom w:val="none" w:sz="0" w:space="0" w:color="auto"/>
        <w:right w:val="none" w:sz="0" w:space="0" w:color="auto"/>
      </w:divBdr>
    </w:div>
    <w:div w:id="294681264">
      <w:bodyDiv w:val="1"/>
      <w:marLeft w:val="0"/>
      <w:marRight w:val="0"/>
      <w:marTop w:val="0"/>
      <w:marBottom w:val="0"/>
      <w:divBdr>
        <w:top w:val="none" w:sz="0" w:space="0" w:color="auto"/>
        <w:left w:val="none" w:sz="0" w:space="0" w:color="auto"/>
        <w:bottom w:val="none" w:sz="0" w:space="0" w:color="auto"/>
        <w:right w:val="none" w:sz="0" w:space="0" w:color="auto"/>
      </w:divBdr>
    </w:div>
    <w:div w:id="295717210">
      <w:bodyDiv w:val="1"/>
      <w:marLeft w:val="0"/>
      <w:marRight w:val="0"/>
      <w:marTop w:val="0"/>
      <w:marBottom w:val="0"/>
      <w:divBdr>
        <w:top w:val="none" w:sz="0" w:space="0" w:color="auto"/>
        <w:left w:val="none" w:sz="0" w:space="0" w:color="auto"/>
        <w:bottom w:val="none" w:sz="0" w:space="0" w:color="auto"/>
        <w:right w:val="none" w:sz="0" w:space="0" w:color="auto"/>
      </w:divBdr>
    </w:div>
    <w:div w:id="301423749">
      <w:bodyDiv w:val="1"/>
      <w:marLeft w:val="0"/>
      <w:marRight w:val="0"/>
      <w:marTop w:val="0"/>
      <w:marBottom w:val="0"/>
      <w:divBdr>
        <w:top w:val="none" w:sz="0" w:space="0" w:color="auto"/>
        <w:left w:val="none" w:sz="0" w:space="0" w:color="auto"/>
        <w:bottom w:val="none" w:sz="0" w:space="0" w:color="auto"/>
        <w:right w:val="none" w:sz="0" w:space="0" w:color="auto"/>
      </w:divBdr>
    </w:div>
    <w:div w:id="301886997">
      <w:bodyDiv w:val="1"/>
      <w:marLeft w:val="0"/>
      <w:marRight w:val="0"/>
      <w:marTop w:val="0"/>
      <w:marBottom w:val="0"/>
      <w:divBdr>
        <w:top w:val="none" w:sz="0" w:space="0" w:color="auto"/>
        <w:left w:val="none" w:sz="0" w:space="0" w:color="auto"/>
        <w:bottom w:val="none" w:sz="0" w:space="0" w:color="auto"/>
        <w:right w:val="none" w:sz="0" w:space="0" w:color="auto"/>
      </w:divBdr>
    </w:div>
    <w:div w:id="318657611">
      <w:bodyDiv w:val="1"/>
      <w:marLeft w:val="0"/>
      <w:marRight w:val="0"/>
      <w:marTop w:val="0"/>
      <w:marBottom w:val="0"/>
      <w:divBdr>
        <w:top w:val="none" w:sz="0" w:space="0" w:color="auto"/>
        <w:left w:val="none" w:sz="0" w:space="0" w:color="auto"/>
        <w:bottom w:val="none" w:sz="0" w:space="0" w:color="auto"/>
        <w:right w:val="none" w:sz="0" w:space="0" w:color="auto"/>
      </w:divBdr>
    </w:div>
    <w:div w:id="338628910">
      <w:bodyDiv w:val="1"/>
      <w:marLeft w:val="0"/>
      <w:marRight w:val="0"/>
      <w:marTop w:val="0"/>
      <w:marBottom w:val="0"/>
      <w:divBdr>
        <w:top w:val="none" w:sz="0" w:space="0" w:color="auto"/>
        <w:left w:val="none" w:sz="0" w:space="0" w:color="auto"/>
        <w:bottom w:val="none" w:sz="0" w:space="0" w:color="auto"/>
        <w:right w:val="none" w:sz="0" w:space="0" w:color="auto"/>
      </w:divBdr>
    </w:div>
    <w:div w:id="339549370">
      <w:bodyDiv w:val="1"/>
      <w:marLeft w:val="0"/>
      <w:marRight w:val="0"/>
      <w:marTop w:val="0"/>
      <w:marBottom w:val="0"/>
      <w:divBdr>
        <w:top w:val="none" w:sz="0" w:space="0" w:color="auto"/>
        <w:left w:val="none" w:sz="0" w:space="0" w:color="auto"/>
        <w:bottom w:val="none" w:sz="0" w:space="0" w:color="auto"/>
        <w:right w:val="none" w:sz="0" w:space="0" w:color="auto"/>
      </w:divBdr>
    </w:div>
    <w:div w:id="359596569">
      <w:bodyDiv w:val="1"/>
      <w:marLeft w:val="0"/>
      <w:marRight w:val="0"/>
      <w:marTop w:val="0"/>
      <w:marBottom w:val="0"/>
      <w:divBdr>
        <w:top w:val="none" w:sz="0" w:space="0" w:color="auto"/>
        <w:left w:val="none" w:sz="0" w:space="0" w:color="auto"/>
        <w:bottom w:val="none" w:sz="0" w:space="0" w:color="auto"/>
        <w:right w:val="none" w:sz="0" w:space="0" w:color="auto"/>
      </w:divBdr>
    </w:div>
    <w:div w:id="360982792">
      <w:bodyDiv w:val="1"/>
      <w:marLeft w:val="0"/>
      <w:marRight w:val="0"/>
      <w:marTop w:val="0"/>
      <w:marBottom w:val="0"/>
      <w:divBdr>
        <w:top w:val="none" w:sz="0" w:space="0" w:color="auto"/>
        <w:left w:val="none" w:sz="0" w:space="0" w:color="auto"/>
        <w:bottom w:val="none" w:sz="0" w:space="0" w:color="auto"/>
        <w:right w:val="none" w:sz="0" w:space="0" w:color="auto"/>
      </w:divBdr>
    </w:div>
    <w:div w:id="375005960">
      <w:bodyDiv w:val="1"/>
      <w:marLeft w:val="0"/>
      <w:marRight w:val="0"/>
      <w:marTop w:val="0"/>
      <w:marBottom w:val="0"/>
      <w:divBdr>
        <w:top w:val="none" w:sz="0" w:space="0" w:color="auto"/>
        <w:left w:val="none" w:sz="0" w:space="0" w:color="auto"/>
        <w:bottom w:val="none" w:sz="0" w:space="0" w:color="auto"/>
        <w:right w:val="none" w:sz="0" w:space="0" w:color="auto"/>
      </w:divBdr>
    </w:div>
    <w:div w:id="383719370">
      <w:bodyDiv w:val="1"/>
      <w:marLeft w:val="0"/>
      <w:marRight w:val="0"/>
      <w:marTop w:val="0"/>
      <w:marBottom w:val="0"/>
      <w:divBdr>
        <w:top w:val="none" w:sz="0" w:space="0" w:color="auto"/>
        <w:left w:val="none" w:sz="0" w:space="0" w:color="auto"/>
        <w:bottom w:val="none" w:sz="0" w:space="0" w:color="auto"/>
        <w:right w:val="none" w:sz="0" w:space="0" w:color="auto"/>
      </w:divBdr>
    </w:div>
    <w:div w:id="391389681">
      <w:bodyDiv w:val="1"/>
      <w:marLeft w:val="0"/>
      <w:marRight w:val="0"/>
      <w:marTop w:val="0"/>
      <w:marBottom w:val="0"/>
      <w:divBdr>
        <w:top w:val="none" w:sz="0" w:space="0" w:color="auto"/>
        <w:left w:val="none" w:sz="0" w:space="0" w:color="auto"/>
        <w:bottom w:val="none" w:sz="0" w:space="0" w:color="auto"/>
        <w:right w:val="none" w:sz="0" w:space="0" w:color="auto"/>
      </w:divBdr>
    </w:div>
    <w:div w:id="397555844">
      <w:bodyDiv w:val="1"/>
      <w:marLeft w:val="0"/>
      <w:marRight w:val="0"/>
      <w:marTop w:val="0"/>
      <w:marBottom w:val="0"/>
      <w:divBdr>
        <w:top w:val="none" w:sz="0" w:space="0" w:color="auto"/>
        <w:left w:val="none" w:sz="0" w:space="0" w:color="auto"/>
        <w:bottom w:val="none" w:sz="0" w:space="0" w:color="auto"/>
        <w:right w:val="none" w:sz="0" w:space="0" w:color="auto"/>
      </w:divBdr>
    </w:div>
    <w:div w:id="415438780">
      <w:bodyDiv w:val="1"/>
      <w:marLeft w:val="0"/>
      <w:marRight w:val="0"/>
      <w:marTop w:val="0"/>
      <w:marBottom w:val="0"/>
      <w:divBdr>
        <w:top w:val="none" w:sz="0" w:space="0" w:color="auto"/>
        <w:left w:val="none" w:sz="0" w:space="0" w:color="auto"/>
        <w:bottom w:val="none" w:sz="0" w:space="0" w:color="auto"/>
        <w:right w:val="none" w:sz="0" w:space="0" w:color="auto"/>
      </w:divBdr>
    </w:div>
    <w:div w:id="423458821">
      <w:bodyDiv w:val="1"/>
      <w:marLeft w:val="0"/>
      <w:marRight w:val="0"/>
      <w:marTop w:val="0"/>
      <w:marBottom w:val="0"/>
      <w:divBdr>
        <w:top w:val="none" w:sz="0" w:space="0" w:color="auto"/>
        <w:left w:val="none" w:sz="0" w:space="0" w:color="auto"/>
        <w:bottom w:val="none" w:sz="0" w:space="0" w:color="auto"/>
        <w:right w:val="none" w:sz="0" w:space="0" w:color="auto"/>
      </w:divBdr>
    </w:div>
    <w:div w:id="454715609">
      <w:bodyDiv w:val="1"/>
      <w:marLeft w:val="0"/>
      <w:marRight w:val="0"/>
      <w:marTop w:val="0"/>
      <w:marBottom w:val="0"/>
      <w:divBdr>
        <w:top w:val="none" w:sz="0" w:space="0" w:color="auto"/>
        <w:left w:val="none" w:sz="0" w:space="0" w:color="auto"/>
        <w:bottom w:val="none" w:sz="0" w:space="0" w:color="auto"/>
        <w:right w:val="none" w:sz="0" w:space="0" w:color="auto"/>
      </w:divBdr>
    </w:div>
    <w:div w:id="485784423">
      <w:bodyDiv w:val="1"/>
      <w:marLeft w:val="0"/>
      <w:marRight w:val="0"/>
      <w:marTop w:val="0"/>
      <w:marBottom w:val="0"/>
      <w:divBdr>
        <w:top w:val="none" w:sz="0" w:space="0" w:color="auto"/>
        <w:left w:val="none" w:sz="0" w:space="0" w:color="auto"/>
        <w:bottom w:val="none" w:sz="0" w:space="0" w:color="auto"/>
        <w:right w:val="none" w:sz="0" w:space="0" w:color="auto"/>
      </w:divBdr>
    </w:div>
    <w:div w:id="499925427">
      <w:bodyDiv w:val="1"/>
      <w:marLeft w:val="0"/>
      <w:marRight w:val="0"/>
      <w:marTop w:val="0"/>
      <w:marBottom w:val="0"/>
      <w:divBdr>
        <w:top w:val="none" w:sz="0" w:space="0" w:color="auto"/>
        <w:left w:val="none" w:sz="0" w:space="0" w:color="auto"/>
        <w:bottom w:val="none" w:sz="0" w:space="0" w:color="auto"/>
        <w:right w:val="none" w:sz="0" w:space="0" w:color="auto"/>
      </w:divBdr>
    </w:div>
    <w:div w:id="512766863">
      <w:bodyDiv w:val="1"/>
      <w:marLeft w:val="0"/>
      <w:marRight w:val="0"/>
      <w:marTop w:val="0"/>
      <w:marBottom w:val="0"/>
      <w:divBdr>
        <w:top w:val="none" w:sz="0" w:space="0" w:color="auto"/>
        <w:left w:val="none" w:sz="0" w:space="0" w:color="auto"/>
        <w:bottom w:val="none" w:sz="0" w:space="0" w:color="auto"/>
        <w:right w:val="none" w:sz="0" w:space="0" w:color="auto"/>
      </w:divBdr>
    </w:div>
    <w:div w:id="523206064">
      <w:bodyDiv w:val="1"/>
      <w:marLeft w:val="0"/>
      <w:marRight w:val="0"/>
      <w:marTop w:val="0"/>
      <w:marBottom w:val="0"/>
      <w:divBdr>
        <w:top w:val="none" w:sz="0" w:space="0" w:color="auto"/>
        <w:left w:val="none" w:sz="0" w:space="0" w:color="auto"/>
        <w:bottom w:val="none" w:sz="0" w:space="0" w:color="auto"/>
        <w:right w:val="none" w:sz="0" w:space="0" w:color="auto"/>
      </w:divBdr>
    </w:div>
    <w:div w:id="548104859">
      <w:bodyDiv w:val="1"/>
      <w:marLeft w:val="0"/>
      <w:marRight w:val="0"/>
      <w:marTop w:val="0"/>
      <w:marBottom w:val="0"/>
      <w:divBdr>
        <w:top w:val="none" w:sz="0" w:space="0" w:color="auto"/>
        <w:left w:val="none" w:sz="0" w:space="0" w:color="auto"/>
        <w:bottom w:val="none" w:sz="0" w:space="0" w:color="auto"/>
        <w:right w:val="none" w:sz="0" w:space="0" w:color="auto"/>
      </w:divBdr>
    </w:div>
    <w:div w:id="551885100">
      <w:bodyDiv w:val="1"/>
      <w:marLeft w:val="0"/>
      <w:marRight w:val="0"/>
      <w:marTop w:val="0"/>
      <w:marBottom w:val="0"/>
      <w:divBdr>
        <w:top w:val="none" w:sz="0" w:space="0" w:color="auto"/>
        <w:left w:val="none" w:sz="0" w:space="0" w:color="auto"/>
        <w:bottom w:val="none" w:sz="0" w:space="0" w:color="auto"/>
        <w:right w:val="none" w:sz="0" w:space="0" w:color="auto"/>
      </w:divBdr>
    </w:div>
    <w:div w:id="557397956">
      <w:bodyDiv w:val="1"/>
      <w:marLeft w:val="0"/>
      <w:marRight w:val="0"/>
      <w:marTop w:val="0"/>
      <w:marBottom w:val="0"/>
      <w:divBdr>
        <w:top w:val="none" w:sz="0" w:space="0" w:color="auto"/>
        <w:left w:val="none" w:sz="0" w:space="0" w:color="auto"/>
        <w:bottom w:val="none" w:sz="0" w:space="0" w:color="auto"/>
        <w:right w:val="none" w:sz="0" w:space="0" w:color="auto"/>
      </w:divBdr>
    </w:div>
    <w:div w:id="560561099">
      <w:bodyDiv w:val="1"/>
      <w:marLeft w:val="0"/>
      <w:marRight w:val="0"/>
      <w:marTop w:val="0"/>
      <w:marBottom w:val="0"/>
      <w:divBdr>
        <w:top w:val="none" w:sz="0" w:space="0" w:color="auto"/>
        <w:left w:val="none" w:sz="0" w:space="0" w:color="auto"/>
        <w:bottom w:val="none" w:sz="0" w:space="0" w:color="auto"/>
        <w:right w:val="none" w:sz="0" w:space="0" w:color="auto"/>
      </w:divBdr>
    </w:div>
    <w:div w:id="573972418">
      <w:bodyDiv w:val="1"/>
      <w:marLeft w:val="0"/>
      <w:marRight w:val="0"/>
      <w:marTop w:val="0"/>
      <w:marBottom w:val="0"/>
      <w:divBdr>
        <w:top w:val="none" w:sz="0" w:space="0" w:color="auto"/>
        <w:left w:val="none" w:sz="0" w:space="0" w:color="auto"/>
        <w:bottom w:val="none" w:sz="0" w:space="0" w:color="auto"/>
        <w:right w:val="none" w:sz="0" w:space="0" w:color="auto"/>
      </w:divBdr>
    </w:div>
    <w:div w:id="574559673">
      <w:bodyDiv w:val="1"/>
      <w:marLeft w:val="0"/>
      <w:marRight w:val="0"/>
      <w:marTop w:val="0"/>
      <w:marBottom w:val="0"/>
      <w:divBdr>
        <w:top w:val="none" w:sz="0" w:space="0" w:color="auto"/>
        <w:left w:val="none" w:sz="0" w:space="0" w:color="auto"/>
        <w:bottom w:val="none" w:sz="0" w:space="0" w:color="auto"/>
        <w:right w:val="none" w:sz="0" w:space="0" w:color="auto"/>
      </w:divBdr>
    </w:div>
    <w:div w:id="624892932">
      <w:bodyDiv w:val="1"/>
      <w:marLeft w:val="0"/>
      <w:marRight w:val="0"/>
      <w:marTop w:val="0"/>
      <w:marBottom w:val="0"/>
      <w:divBdr>
        <w:top w:val="none" w:sz="0" w:space="0" w:color="auto"/>
        <w:left w:val="none" w:sz="0" w:space="0" w:color="auto"/>
        <w:bottom w:val="none" w:sz="0" w:space="0" w:color="auto"/>
        <w:right w:val="none" w:sz="0" w:space="0" w:color="auto"/>
      </w:divBdr>
    </w:div>
    <w:div w:id="639185846">
      <w:bodyDiv w:val="1"/>
      <w:marLeft w:val="0"/>
      <w:marRight w:val="0"/>
      <w:marTop w:val="0"/>
      <w:marBottom w:val="0"/>
      <w:divBdr>
        <w:top w:val="none" w:sz="0" w:space="0" w:color="auto"/>
        <w:left w:val="none" w:sz="0" w:space="0" w:color="auto"/>
        <w:bottom w:val="none" w:sz="0" w:space="0" w:color="auto"/>
        <w:right w:val="none" w:sz="0" w:space="0" w:color="auto"/>
      </w:divBdr>
    </w:div>
    <w:div w:id="645090889">
      <w:bodyDiv w:val="1"/>
      <w:marLeft w:val="0"/>
      <w:marRight w:val="0"/>
      <w:marTop w:val="0"/>
      <w:marBottom w:val="0"/>
      <w:divBdr>
        <w:top w:val="none" w:sz="0" w:space="0" w:color="auto"/>
        <w:left w:val="none" w:sz="0" w:space="0" w:color="auto"/>
        <w:bottom w:val="none" w:sz="0" w:space="0" w:color="auto"/>
        <w:right w:val="none" w:sz="0" w:space="0" w:color="auto"/>
      </w:divBdr>
    </w:div>
    <w:div w:id="657391866">
      <w:bodyDiv w:val="1"/>
      <w:marLeft w:val="0"/>
      <w:marRight w:val="0"/>
      <w:marTop w:val="0"/>
      <w:marBottom w:val="0"/>
      <w:divBdr>
        <w:top w:val="none" w:sz="0" w:space="0" w:color="auto"/>
        <w:left w:val="none" w:sz="0" w:space="0" w:color="auto"/>
        <w:bottom w:val="none" w:sz="0" w:space="0" w:color="auto"/>
        <w:right w:val="none" w:sz="0" w:space="0" w:color="auto"/>
      </w:divBdr>
    </w:div>
    <w:div w:id="687373435">
      <w:bodyDiv w:val="1"/>
      <w:marLeft w:val="0"/>
      <w:marRight w:val="0"/>
      <w:marTop w:val="0"/>
      <w:marBottom w:val="0"/>
      <w:divBdr>
        <w:top w:val="none" w:sz="0" w:space="0" w:color="auto"/>
        <w:left w:val="none" w:sz="0" w:space="0" w:color="auto"/>
        <w:bottom w:val="none" w:sz="0" w:space="0" w:color="auto"/>
        <w:right w:val="none" w:sz="0" w:space="0" w:color="auto"/>
      </w:divBdr>
    </w:div>
    <w:div w:id="703554635">
      <w:bodyDiv w:val="1"/>
      <w:marLeft w:val="0"/>
      <w:marRight w:val="0"/>
      <w:marTop w:val="0"/>
      <w:marBottom w:val="0"/>
      <w:divBdr>
        <w:top w:val="none" w:sz="0" w:space="0" w:color="auto"/>
        <w:left w:val="none" w:sz="0" w:space="0" w:color="auto"/>
        <w:bottom w:val="none" w:sz="0" w:space="0" w:color="auto"/>
        <w:right w:val="none" w:sz="0" w:space="0" w:color="auto"/>
      </w:divBdr>
    </w:div>
    <w:div w:id="717166307">
      <w:bodyDiv w:val="1"/>
      <w:marLeft w:val="0"/>
      <w:marRight w:val="0"/>
      <w:marTop w:val="0"/>
      <w:marBottom w:val="0"/>
      <w:divBdr>
        <w:top w:val="none" w:sz="0" w:space="0" w:color="auto"/>
        <w:left w:val="none" w:sz="0" w:space="0" w:color="auto"/>
        <w:bottom w:val="none" w:sz="0" w:space="0" w:color="auto"/>
        <w:right w:val="none" w:sz="0" w:space="0" w:color="auto"/>
      </w:divBdr>
    </w:div>
    <w:div w:id="745226116">
      <w:bodyDiv w:val="1"/>
      <w:marLeft w:val="0"/>
      <w:marRight w:val="0"/>
      <w:marTop w:val="0"/>
      <w:marBottom w:val="0"/>
      <w:divBdr>
        <w:top w:val="none" w:sz="0" w:space="0" w:color="auto"/>
        <w:left w:val="none" w:sz="0" w:space="0" w:color="auto"/>
        <w:bottom w:val="none" w:sz="0" w:space="0" w:color="auto"/>
        <w:right w:val="none" w:sz="0" w:space="0" w:color="auto"/>
      </w:divBdr>
    </w:div>
    <w:div w:id="745343131">
      <w:bodyDiv w:val="1"/>
      <w:marLeft w:val="0"/>
      <w:marRight w:val="0"/>
      <w:marTop w:val="0"/>
      <w:marBottom w:val="0"/>
      <w:divBdr>
        <w:top w:val="none" w:sz="0" w:space="0" w:color="auto"/>
        <w:left w:val="none" w:sz="0" w:space="0" w:color="auto"/>
        <w:bottom w:val="none" w:sz="0" w:space="0" w:color="auto"/>
        <w:right w:val="none" w:sz="0" w:space="0" w:color="auto"/>
      </w:divBdr>
    </w:div>
    <w:div w:id="761141419">
      <w:bodyDiv w:val="1"/>
      <w:marLeft w:val="0"/>
      <w:marRight w:val="0"/>
      <w:marTop w:val="0"/>
      <w:marBottom w:val="0"/>
      <w:divBdr>
        <w:top w:val="none" w:sz="0" w:space="0" w:color="auto"/>
        <w:left w:val="none" w:sz="0" w:space="0" w:color="auto"/>
        <w:bottom w:val="none" w:sz="0" w:space="0" w:color="auto"/>
        <w:right w:val="none" w:sz="0" w:space="0" w:color="auto"/>
      </w:divBdr>
    </w:div>
    <w:div w:id="763647822">
      <w:bodyDiv w:val="1"/>
      <w:marLeft w:val="0"/>
      <w:marRight w:val="0"/>
      <w:marTop w:val="0"/>
      <w:marBottom w:val="0"/>
      <w:divBdr>
        <w:top w:val="none" w:sz="0" w:space="0" w:color="auto"/>
        <w:left w:val="none" w:sz="0" w:space="0" w:color="auto"/>
        <w:bottom w:val="none" w:sz="0" w:space="0" w:color="auto"/>
        <w:right w:val="none" w:sz="0" w:space="0" w:color="auto"/>
      </w:divBdr>
    </w:div>
    <w:div w:id="770979453">
      <w:bodyDiv w:val="1"/>
      <w:marLeft w:val="0"/>
      <w:marRight w:val="0"/>
      <w:marTop w:val="0"/>
      <w:marBottom w:val="0"/>
      <w:divBdr>
        <w:top w:val="none" w:sz="0" w:space="0" w:color="auto"/>
        <w:left w:val="none" w:sz="0" w:space="0" w:color="auto"/>
        <w:bottom w:val="none" w:sz="0" w:space="0" w:color="auto"/>
        <w:right w:val="none" w:sz="0" w:space="0" w:color="auto"/>
      </w:divBdr>
    </w:div>
    <w:div w:id="772480918">
      <w:bodyDiv w:val="1"/>
      <w:marLeft w:val="0"/>
      <w:marRight w:val="0"/>
      <w:marTop w:val="0"/>
      <w:marBottom w:val="0"/>
      <w:divBdr>
        <w:top w:val="none" w:sz="0" w:space="0" w:color="auto"/>
        <w:left w:val="none" w:sz="0" w:space="0" w:color="auto"/>
        <w:bottom w:val="none" w:sz="0" w:space="0" w:color="auto"/>
        <w:right w:val="none" w:sz="0" w:space="0" w:color="auto"/>
      </w:divBdr>
    </w:div>
    <w:div w:id="777026446">
      <w:bodyDiv w:val="1"/>
      <w:marLeft w:val="0"/>
      <w:marRight w:val="0"/>
      <w:marTop w:val="0"/>
      <w:marBottom w:val="0"/>
      <w:divBdr>
        <w:top w:val="none" w:sz="0" w:space="0" w:color="auto"/>
        <w:left w:val="none" w:sz="0" w:space="0" w:color="auto"/>
        <w:bottom w:val="none" w:sz="0" w:space="0" w:color="auto"/>
        <w:right w:val="none" w:sz="0" w:space="0" w:color="auto"/>
      </w:divBdr>
    </w:div>
    <w:div w:id="777991952">
      <w:bodyDiv w:val="1"/>
      <w:marLeft w:val="0"/>
      <w:marRight w:val="0"/>
      <w:marTop w:val="0"/>
      <w:marBottom w:val="0"/>
      <w:divBdr>
        <w:top w:val="none" w:sz="0" w:space="0" w:color="auto"/>
        <w:left w:val="none" w:sz="0" w:space="0" w:color="auto"/>
        <w:bottom w:val="none" w:sz="0" w:space="0" w:color="auto"/>
        <w:right w:val="none" w:sz="0" w:space="0" w:color="auto"/>
      </w:divBdr>
    </w:div>
    <w:div w:id="790053259">
      <w:bodyDiv w:val="1"/>
      <w:marLeft w:val="0"/>
      <w:marRight w:val="0"/>
      <w:marTop w:val="0"/>
      <w:marBottom w:val="0"/>
      <w:divBdr>
        <w:top w:val="none" w:sz="0" w:space="0" w:color="auto"/>
        <w:left w:val="none" w:sz="0" w:space="0" w:color="auto"/>
        <w:bottom w:val="none" w:sz="0" w:space="0" w:color="auto"/>
        <w:right w:val="none" w:sz="0" w:space="0" w:color="auto"/>
      </w:divBdr>
    </w:div>
    <w:div w:id="794837042">
      <w:bodyDiv w:val="1"/>
      <w:marLeft w:val="0"/>
      <w:marRight w:val="0"/>
      <w:marTop w:val="0"/>
      <w:marBottom w:val="0"/>
      <w:divBdr>
        <w:top w:val="none" w:sz="0" w:space="0" w:color="auto"/>
        <w:left w:val="none" w:sz="0" w:space="0" w:color="auto"/>
        <w:bottom w:val="none" w:sz="0" w:space="0" w:color="auto"/>
        <w:right w:val="none" w:sz="0" w:space="0" w:color="auto"/>
      </w:divBdr>
    </w:div>
    <w:div w:id="798648689">
      <w:bodyDiv w:val="1"/>
      <w:marLeft w:val="0"/>
      <w:marRight w:val="0"/>
      <w:marTop w:val="0"/>
      <w:marBottom w:val="0"/>
      <w:divBdr>
        <w:top w:val="none" w:sz="0" w:space="0" w:color="auto"/>
        <w:left w:val="none" w:sz="0" w:space="0" w:color="auto"/>
        <w:bottom w:val="none" w:sz="0" w:space="0" w:color="auto"/>
        <w:right w:val="none" w:sz="0" w:space="0" w:color="auto"/>
      </w:divBdr>
    </w:div>
    <w:div w:id="803617897">
      <w:bodyDiv w:val="1"/>
      <w:marLeft w:val="0"/>
      <w:marRight w:val="0"/>
      <w:marTop w:val="0"/>
      <w:marBottom w:val="0"/>
      <w:divBdr>
        <w:top w:val="none" w:sz="0" w:space="0" w:color="auto"/>
        <w:left w:val="none" w:sz="0" w:space="0" w:color="auto"/>
        <w:bottom w:val="none" w:sz="0" w:space="0" w:color="auto"/>
        <w:right w:val="none" w:sz="0" w:space="0" w:color="auto"/>
      </w:divBdr>
    </w:div>
    <w:div w:id="810948314">
      <w:bodyDiv w:val="1"/>
      <w:marLeft w:val="0"/>
      <w:marRight w:val="0"/>
      <w:marTop w:val="0"/>
      <w:marBottom w:val="0"/>
      <w:divBdr>
        <w:top w:val="none" w:sz="0" w:space="0" w:color="auto"/>
        <w:left w:val="none" w:sz="0" w:space="0" w:color="auto"/>
        <w:bottom w:val="none" w:sz="0" w:space="0" w:color="auto"/>
        <w:right w:val="none" w:sz="0" w:space="0" w:color="auto"/>
      </w:divBdr>
    </w:div>
    <w:div w:id="833029885">
      <w:bodyDiv w:val="1"/>
      <w:marLeft w:val="0"/>
      <w:marRight w:val="0"/>
      <w:marTop w:val="0"/>
      <w:marBottom w:val="0"/>
      <w:divBdr>
        <w:top w:val="none" w:sz="0" w:space="0" w:color="auto"/>
        <w:left w:val="none" w:sz="0" w:space="0" w:color="auto"/>
        <w:bottom w:val="none" w:sz="0" w:space="0" w:color="auto"/>
        <w:right w:val="none" w:sz="0" w:space="0" w:color="auto"/>
      </w:divBdr>
    </w:div>
    <w:div w:id="851381414">
      <w:bodyDiv w:val="1"/>
      <w:marLeft w:val="0"/>
      <w:marRight w:val="0"/>
      <w:marTop w:val="0"/>
      <w:marBottom w:val="0"/>
      <w:divBdr>
        <w:top w:val="none" w:sz="0" w:space="0" w:color="auto"/>
        <w:left w:val="none" w:sz="0" w:space="0" w:color="auto"/>
        <w:bottom w:val="none" w:sz="0" w:space="0" w:color="auto"/>
        <w:right w:val="none" w:sz="0" w:space="0" w:color="auto"/>
      </w:divBdr>
    </w:div>
    <w:div w:id="855386712">
      <w:bodyDiv w:val="1"/>
      <w:marLeft w:val="0"/>
      <w:marRight w:val="0"/>
      <w:marTop w:val="0"/>
      <w:marBottom w:val="0"/>
      <w:divBdr>
        <w:top w:val="none" w:sz="0" w:space="0" w:color="auto"/>
        <w:left w:val="none" w:sz="0" w:space="0" w:color="auto"/>
        <w:bottom w:val="none" w:sz="0" w:space="0" w:color="auto"/>
        <w:right w:val="none" w:sz="0" w:space="0" w:color="auto"/>
      </w:divBdr>
    </w:div>
    <w:div w:id="867335105">
      <w:bodyDiv w:val="1"/>
      <w:marLeft w:val="0"/>
      <w:marRight w:val="0"/>
      <w:marTop w:val="0"/>
      <w:marBottom w:val="0"/>
      <w:divBdr>
        <w:top w:val="none" w:sz="0" w:space="0" w:color="auto"/>
        <w:left w:val="none" w:sz="0" w:space="0" w:color="auto"/>
        <w:bottom w:val="none" w:sz="0" w:space="0" w:color="auto"/>
        <w:right w:val="none" w:sz="0" w:space="0" w:color="auto"/>
      </w:divBdr>
    </w:div>
    <w:div w:id="868685846">
      <w:bodyDiv w:val="1"/>
      <w:marLeft w:val="0"/>
      <w:marRight w:val="0"/>
      <w:marTop w:val="0"/>
      <w:marBottom w:val="0"/>
      <w:divBdr>
        <w:top w:val="none" w:sz="0" w:space="0" w:color="auto"/>
        <w:left w:val="none" w:sz="0" w:space="0" w:color="auto"/>
        <w:bottom w:val="none" w:sz="0" w:space="0" w:color="auto"/>
        <w:right w:val="none" w:sz="0" w:space="0" w:color="auto"/>
      </w:divBdr>
    </w:div>
    <w:div w:id="914512801">
      <w:bodyDiv w:val="1"/>
      <w:marLeft w:val="0"/>
      <w:marRight w:val="0"/>
      <w:marTop w:val="0"/>
      <w:marBottom w:val="0"/>
      <w:divBdr>
        <w:top w:val="none" w:sz="0" w:space="0" w:color="auto"/>
        <w:left w:val="none" w:sz="0" w:space="0" w:color="auto"/>
        <w:bottom w:val="none" w:sz="0" w:space="0" w:color="auto"/>
        <w:right w:val="none" w:sz="0" w:space="0" w:color="auto"/>
      </w:divBdr>
    </w:div>
    <w:div w:id="942147172">
      <w:bodyDiv w:val="1"/>
      <w:marLeft w:val="0"/>
      <w:marRight w:val="0"/>
      <w:marTop w:val="0"/>
      <w:marBottom w:val="0"/>
      <w:divBdr>
        <w:top w:val="none" w:sz="0" w:space="0" w:color="auto"/>
        <w:left w:val="none" w:sz="0" w:space="0" w:color="auto"/>
        <w:bottom w:val="none" w:sz="0" w:space="0" w:color="auto"/>
        <w:right w:val="none" w:sz="0" w:space="0" w:color="auto"/>
      </w:divBdr>
    </w:div>
    <w:div w:id="947934865">
      <w:bodyDiv w:val="1"/>
      <w:marLeft w:val="0"/>
      <w:marRight w:val="0"/>
      <w:marTop w:val="0"/>
      <w:marBottom w:val="0"/>
      <w:divBdr>
        <w:top w:val="none" w:sz="0" w:space="0" w:color="auto"/>
        <w:left w:val="none" w:sz="0" w:space="0" w:color="auto"/>
        <w:bottom w:val="none" w:sz="0" w:space="0" w:color="auto"/>
        <w:right w:val="none" w:sz="0" w:space="0" w:color="auto"/>
      </w:divBdr>
    </w:div>
    <w:div w:id="952059124">
      <w:bodyDiv w:val="1"/>
      <w:marLeft w:val="0"/>
      <w:marRight w:val="0"/>
      <w:marTop w:val="0"/>
      <w:marBottom w:val="0"/>
      <w:divBdr>
        <w:top w:val="none" w:sz="0" w:space="0" w:color="auto"/>
        <w:left w:val="none" w:sz="0" w:space="0" w:color="auto"/>
        <w:bottom w:val="none" w:sz="0" w:space="0" w:color="auto"/>
        <w:right w:val="none" w:sz="0" w:space="0" w:color="auto"/>
      </w:divBdr>
    </w:div>
    <w:div w:id="984510406">
      <w:bodyDiv w:val="1"/>
      <w:marLeft w:val="0"/>
      <w:marRight w:val="0"/>
      <w:marTop w:val="0"/>
      <w:marBottom w:val="0"/>
      <w:divBdr>
        <w:top w:val="none" w:sz="0" w:space="0" w:color="auto"/>
        <w:left w:val="none" w:sz="0" w:space="0" w:color="auto"/>
        <w:bottom w:val="none" w:sz="0" w:space="0" w:color="auto"/>
        <w:right w:val="none" w:sz="0" w:space="0" w:color="auto"/>
      </w:divBdr>
    </w:div>
    <w:div w:id="1029332251">
      <w:bodyDiv w:val="1"/>
      <w:marLeft w:val="0"/>
      <w:marRight w:val="0"/>
      <w:marTop w:val="0"/>
      <w:marBottom w:val="0"/>
      <w:divBdr>
        <w:top w:val="none" w:sz="0" w:space="0" w:color="auto"/>
        <w:left w:val="none" w:sz="0" w:space="0" w:color="auto"/>
        <w:bottom w:val="none" w:sz="0" w:space="0" w:color="auto"/>
        <w:right w:val="none" w:sz="0" w:space="0" w:color="auto"/>
      </w:divBdr>
    </w:div>
    <w:div w:id="1030181914">
      <w:bodyDiv w:val="1"/>
      <w:marLeft w:val="0"/>
      <w:marRight w:val="0"/>
      <w:marTop w:val="0"/>
      <w:marBottom w:val="0"/>
      <w:divBdr>
        <w:top w:val="none" w:sz="0" w:space="0" w:color="auto"/>
        <w:left w:val="none" w:sz="0" w:space="0" w:color="auto"/>
        <w:bottom w:val="none" w:sz="0" w:space="0" w:color="auto"/>
        <w:right w:val="none" w:sz="0" w:space="0" w:color="auto"/>
      </w:divBdr>
    </w:div>
    <w:div w:id="1030298872">
      <w:bodyDiv w:val="1"/>
      <w:marLeft w:val="0"/>
      <w:marRight w:val="0"/>
      <w:marTop w:val="0"/>
      <w:marBottom w:val="0"/>
      <w:divBdr>
        <w:top w:val="none" w:sz="0" w:space="0" w:color="auto"/>
        <w:left w:val="none" w:sz="0" w:space="0" w:color="auto"/>
        <w:bottom w:val="none" w:sz="0" w:space="0" w:color="auto"/>
        <w:right w:val="none" w:sz="0" w:space="0" w:color="auto"/>
      </w:divBdr>
    </w:div>
    <w:div w:id="1030447546">
      <w:bodyDiv w:val="1"/>
      <w:marLeft w:val="0"/>
      <w:marRight w:val="0"/>
      <w:marTop w:val="0"/>
      <w:marBottom w:val="0"/>
      <w:divBdr>
        <w:top w:val="none" w:sz="0" w:space="0" w:color="auto"/>
        <w:left w:val="none" w:sz="0" w:space="0" w:color="auto"/>
        <w:bottom w:val="none" w:sz="0" w:space="0" w:color="auto"/>
        <w:right w:val="none" w:sz="0" w:space="0" w:color="auto"/>
      </w:divBdr>
    </w:div>
    <w:div w:id="1036351289">
      <w:bodyDiv w:val="1"/>
      <w:marLeft w:val="0"/>
      <w:marRight w:val="0"/>
      <w:marTop w:val="0"/>
      <w:marBottom w:val="0"/>
      <w:divBdr>
        <w:top w:val="none" w:sz="0" w:space="0" w:color="auto"/>
        <w:left w:val="none" w:sz="0" w:space="0" w:color="auto"/>
        <w:bottom w:val="none" w:sz="0" w:space="0" w:color="auto"/>
        <w:right w:val="none" w:sz="0" w:space="0" w:color="auto"/>
      </w:divBdr>
    </w:div>
    <w:div w:id="1038629729">
      <w:bodyDiv w:val="1"/>
      <w:marLeft w:val="0"/>
      <w:marRight w:val="0"/>
      <w:marTop w:val="0"/>
      <w:marBottom w:val="0"/>
      <w:divBdr>
        <w:top w:val="none" w:sz="0" w:space="0" w:color="auto"/>
        <w:left w:val="none" w:sz="0" w:space="0" w:color="auto"/>
        <w:bottom w:val="none" w:sz="0" w:space="0" w:color="auto"/>
        <w:right w:val="none" w:sz="0" w:space="0" w:color="auto"/>
      </w:divBdr>
    </w:div>
    <w:div w:id="1056977100">
      <w:bodyDiv w:val="1"/>
      <w:marLeft w:val="0"/>
      <w:marRight w:val="0"/>
      <w:marTop w:val="0"/>
      <w:marBottom w:val="0"/>
      <w:divBdr>
        <w:top w:val="none" w:sz="0" w:space="0" w:color="auto"/>
        <w:left w:val="none" w:sz="0" w:space="0" w:color="auto"/>
        <w:bottom w:val="none" w:sz="0" w:space="0" w:color="auto"/>
        <w:right w:val="none" w:sz="0" w:space="0" w:color="auto"/>
      </w:divBdr>
    </w:div>
    <w:div w:id="1060518187">
      <w:bodyDiv w:val="1"/>
      <w:marLeft w:val="0"/>
      <w:marRight w:val="0"/>
      <w:marTop w:val="0"/>
      <w:marBottom w:val="0"/>
      <w:divBdr>
        <w:top w:val="none" w:sz="0" w:space="0" w:color="auto"/>
        <w:left w:val="none" w:sz="0" w:space="0" w:color="auto"/>
        <w:bottom w:val="none" w:sz="0" w:space="0" w:color="auto"/>
        <w:right w:val="none" w:sz="0" w:space="0" w:color="auto"/>
      </w:divBdr>
    </w:div>
    <w:div w:id="1065643576">
      <w:bodyDiv w:val="1"/>
      <w:marLeft w:val="0"/>
      <w:marRight w:val="0"/>
      <w:marTop w:val="0"/>
      <w:marBottom w:val="0"/>
      <w:divBdr>
        <w:top w:val="none" w:sz="0" w:space="0" w:color="auto"/>
        <w:left w:val="none" w:sz="0" w:space="0" w:color="auto"/>
        <w:bottom w:val="none" w:sz="0" w:space="0" w:color="auto"/>
        <w:right w:val="none" w:sz="0" w:space="0" w:color="auto"/>
      </w:divBdr>
    </w:div>
    <w:div w:id="1086731685">
      <w:bodyDiv w:val="1"/>
      <w:marLeft w:val="0"/>
      <w:marRight w:val="0"/>
      <w:marTop w:val="0"/>
      <w:marBottom w:val="0"/>
      <w:divBdr>
        <w:top w:val="none" w:sz="0" w:space="0" w:color="auto"/>
        <w:left w:val="none" w:sz="0" w:space="0" w:color="auto"/>
        <w:bottom w:val="none" w:sz="0" w:space="0" w:color="auto"/>
        <w:right w:val="none" w:sz="0" w:space="0" w:color="auto"/>
      </w:divBdr>
    </w:div>
    <w:div w:id="1091122151">
      <w:bodyDiv w:val="1"/>
      <w:marLeft w:val="0"/>
      <w:marRight w:val="0"/>
      <w:marTop w:val="0"/>
      <w:marBottom w:val="0"/>
      <w:divBdr>
        <w:top w:val="none" w:sz="0" w:space="0" w:color="auto"/>
        <w:left w:val="none" w:sz="0" w:space="0" w:color="auto"/>
        <w:bottom w:val="none" w:sz="0" w:space="0" w:color="auto"/>
        <w:right w:val="none" w:sz="0" w:space="0" w:color="auto"/>
      </w:divBdr>
    </w:div>
    <w:div w:id="1091706985">
      <w:bodyDiv w:val="1"/>
      <w:marLeft w:val="0"/>
      <w:marRight w:val="0"/>
      <w:marTop w:val="0"/>
      <w:marBottom w:val="0"/>
      <w:divBdr>
        <w:top w:val="none" w:sz="0" w:space="0" w:color="auto"/>
        <w:left w:val="none" w:sz="0" w:space="0" w:color="auto"/>
        <w:bottom w:val="none" w:sz="0" w:space="0" w:color="auto"/>
        <w:right w:val="none" w:sz="0" w:space="0" w:color="auto"/>
      </w:divBdr>
    </w:div>
    <w:div w:id="1101149519">
      <w:bodyDiv w:val="1"/>
      <w:marLeft w:val="0"/>
      <w:marRight w:val="0"/>
      <w:marTop w:val="0"/>
      <w:marBottom w:val="0"/>
      <w:divBdr>
        <w:top w:val="none" w:sz="0" w:space="0" w:color="auto"/>
        <w:left w:val="none" w:sz="0" w:space="0" w:color="auto"/>
        <w:bottom w:val="none" w:sz="0" w:space="0" w:color="auto"/>
        <w:right w:val="none" w:sz="0" w:space="0" w:color="auto"/>
      </w:divBdr>
    </w:div>
    <w:div w:id="1106779186">
      <w:bodyDiv w:val="1"/>
      <w:marLeft w:val="0"/>
      <w:marRight w:val="0"/>
      <w:marTop w:val="0"/>
      <w:marBottom w:val="0"/>
      <w:divBdr>
        <w:top w:val="none" w:sz="0" w:space="0" w:color="auto"/>
        <w:left w:val="none" w:sz="0" w:space="0" w:color="auto"/>
        <w:bottom w:val="none" w:sz="0" w:space="0" w:color="auto"/>
        <w:right w:val="none" w:sz="0" w:space="0" w:color="auto"/>
      </w:divBdr>
    </w:div>
    <w:div w:id="1106803702">
      <w:bodyDiv w:val="1"/>
      <w:marLeft w:val="0"/>
      <w:marRight w:val="0"/>
      <w:marTop w:val="0"/>
      <w:marBottom w:val="0"/>
      <w:divBdr>
        <w:top w:val="none" w:sz="0" w:space="0" w:color="auto"/>
        <w:left w:val="none" w:sz="0" w:space="0" w:color="auto"/>
        <w:bottom w:val="none" w:sz="0" w:space="0" w:color="auto"/>
        <w:right w:val="none" w:sz="0" w:space="0" w:color="auto"/>
      </w:divBdr>
    </w:div>
    <w:div w:id="1110472142">
      <w:bodyDiv w:val="1"/>
      <w:marLeft w:val="0"/>
      <w:marRight w:val="0"/>
      <w:marTop w:val="0"/>
      <w:marBottom w:val="0"/>
      <w:divBdr>
        <w:top w:val="none" w:sz="0" w:space="0" w:color="auto"/>
        <w:left w:val="none" w:sz="0" w:space="0" w:color="auto"/>
        <w:bottom w:val="none" w:sz="0" w:space="0" w:color="auto"/>
        <w:right w:val="none" w:sz="0" w:space="0" w:color="auto"/>
      </w:divBdr>
    </w:div>
    <w:div w:id="1111826141">
      <w:bodyDiv w:val="1"/>
      <w:marLeft w:val="0"/>
      <w:marRight w:val="0"/>
      <w:marTop w:val="0"/>
      <w:marBottom w:val="0"/>
      <w:divBdr>
        <w:top w:val="none" w:sz="0" w:space="0" w:color="auto"/>
        <w:left w:val="none" w:sz="0" w:space="0" w:color="auto"/>
        <w:bottom w:val="none" w:sz="0" w:space="0" w:color="auto"/>
        <w:right w:val="none" w:sz="0" w:space="0" w:color="auto"/>
      </w:divBdr>
    </w:div>
    <w:div w:id="1122042685">
      <w:bodyDiv w:val="1"/>
      <w:marLeft w:val="0"/>
      <w:marRight w:val="0"/>
      <w:marTop w:val="0"/>
      <w:marBottom w:val="0"/>
      <w:divBdr>
        <w:top w:val="none" w:sz="0" w:space="0" w:color="auto"/>
        <w:left w:val="none" w:sz="0" w:space="0" w:color="auto"/>
        <w:bottom w:val="none" w:sz="0" w:space="0" w:color="auto"/>
        <w:right w:val="none" w:sz="0" w:space="0" w:color="auto"/>
      </w:divBdr>
    </w:div>
    <w:div w:id="1130395720">
      <w:bodyDiv w:val="1"/>
      <w:marLeft w:val="0"/>
      <w:marRight w:val="0"/>
      <w:marTop w:val="0"/>
      <w:marBottom w:val="0"/>
      <w:divBdr>
        <w:top w:val="none" w:sz="0" w:space="0" w:color="auto"/>
        <w:left w:val="none" w:sz="0" w:space="0" w:color="auto"/>
        <w:bottom w:val="none" w:sz="0" w:space="0" w:color="auto"/>
        <w:right w:val="none" w:sz="0" w:space="0" w:color="auto"/>
      </w:divBdr>
    </w:div>
    <w:div w:id="1139032418">
      <w:bodyDiv w:val="1"/>
      <w:marLeft w:val="0"/>
      <w:marRight w:val="0"/>
      <w:marTop w:val="0"/>
      <w:marBottom w:val="0"/>
      <w:divBdr>
        <w:top w:val="none" w:sz="0" w:space="0" w:color="auto"/>
        <w:left w:val="none" w:sz="0" w:space="0" w:color="auto"/>
        <w:bottom w:val="none" w:sz="0" w:space="0" w:color="auto"/>
        <w:right w:val="none" w:sz="0" w:space="0" w:color="auto"/>
      </w:divBdr>
    </w:div>
    <w:div w:id="1158692292">
      <w:bodyDiv w:val="1"/>
      <w:marLeft w:val="0"/>
      <w:marRight w:val="0"/>
      <w:marTop w:val="0"/>
      <w:marBottom w:val="0"/>
      <w:divBdr>
        <w:top w:val="none" w:sz="0" w:space="0" w:color="auto"/>
        <w:left w:val="none" w:sz="0" w:space="0" w:color="auto"/>
        <w:bottom w:val="none" w:sz="0" w:space="0" w:color="auto"/>
        <w:right w:val="none" w:sz="0" w:space="0" w:color="auto"/>
      </w:divBdr>
    </w:div>
    <w:div w:id="1159885646">
      <w:bodyDiv w:val="1"/>
      <w:marLeft w:val="0"/>
      <w:marRight w:val="0"/>
      <w:marTop w:val="0"/>
      <w:marBottom w:val="0"/>
      <w:divBdr>
        <w:top w:val="none" w:sz="0" w:space="0" w:color="auto"/>
        <w:left w:val="none" w:sz="0" w:space="0" w:color="auto"/>
        <w:bottom w:val="none" w:sz="0" w:space="0" w:color="auto"/>
        <w:right w:val="none" w:sz="0" w:space="0" w:color="auto"/>
      </w:divBdr>
    </w:div>
    <w:div w:id="1168136721">
      <w:bodyDiv w:val="1"/>
      <w:marLeft w:val="0"/>
      <w:marRight w:val="0"/>
      <w:marTop w:val="0"/>
      <w:marBottom w:val="0"/>
      <w:divBdr>
        <w:top w:val="none" w:sz="0" w:space="0" w:color="auto"/>
        <w:left w:val="none" w:sz="0" w:space="0" w:color="auto"/>
        <w:bottom w:val="none" w:sz="0" w:space="0" w:color="auto"/>
        <w:right w:val="none" w:sz="0" w:space="0" w:color="auto"/>
      </w:divBdr>
    </w:div>
    <w:div w:id="1168865385">
      <w:bodyDiv w:val="1"/>
      <w:marLeft w:val="0"/>
      <w:marRight w:val="0"/>
      <w:marTop w:val="0"/>
      <w:marBottom w:val="0"/>
      <w:divBdr>
        <w:top w:val="none" w:sz="0" w:space="0" w:color="auto"/>
        <w:left w:val="none" w:sz="0" w:space="0" w:color="auto"/>
        <w:bottom w:val="none" w:sz="0" w:space="0" w:color="auto"/>
        <w:right w:val="none" w:sz="0" w:space="0" w:color="auto"/>
      </w:divBdr>
    </w:div>
    <w:div w:id="1179731533">
      <w:bodyDiv w:val="1"/>
      <w:marLeft w:val="0"/>
      <w:marRight w:val="0"/>
      <w:marTop w:val="0"/>
      <w:marBottom w:val="0"/>
      <w:divBdr>
        <w:top w:val="none" w:sz="0" w:space="0" w:color="auto"/>
        <w:left w:val="none" w:sz="0" w:space="0" w:color="auto"/>
        <w:bottom w:val="none" w:sz="0" w:space="0" w:color="auto"/>
        <w:right w:val="none" w:sz="0" w:space="0" w:color="auto"/>
      </w:divBdr>
    </w:div>
    <w:div w:id="1199048245">
      <w:bodyDiv w:val="1"/>
      <w:marLeft w:val="0"/>
      <w:marRight w:val="0"/>
      <w:marTop w:val="0"/>
      <w:marBottom w:val="0"/>
      <w:divBdr>
        <w:top w:val="none" w:sz="0" w:space="0" w:color="auto"/>
        <w:left w:val="none" w:sz="0" w:space="0" w:color="auto"/>
        <w:bottom w:val="none" w:sz="0" w:space="0" w:color="auto"/>
        <w:right w:val="none" w:sz="0" w:space="0" w:color="auto"/>
      </w:divBdr>
    </w:div>
    <w:div w:id="1205287541">
      <w:bodyDiv w:val="1"/>
      <w:marLeft w:val="0"/>
      <w:marRight w:val="0"/>
      <w:marTop w:val="0"/>
      <w:marBottom w:val="0"/>
      <w:divBdr>
        <w:top w:val="none" w:sz="0" w:space="0" w:color="auto"/>
        <w:left w:val="none" w:sz="0" w:space="0" w:color="auto"/>
        <w:bottom w:val="none" w:sz="0" w:space="0" w:color="auto"/>
        <w:right w:val="none" w:sz="0" w:space="0" w:color="auto"/>
      </w:divBdr>
    </w:div>
    <w:div w:id="1222135936">
      <w:bodyDiv w:val="1"/>
      <w:marLeft w:val="0"/>
      <w:marRight w:val="0"/>
      <w:marTop w:val="0"/>
      <w:marBottom w:val="0"/>
      <w:divBdr>
        <w:top w:val="none" w:sz="0" w:space="0" w:color="auto"/>
        <w:left w:val="none" w:sz="0" w:space="0" w:color="auto"/>
        <w:bottom w:val="none" w:sz="0" w:space="0" w:color="auto"/>
        <w:right w:val="none" w:sz="0" w:space="0" w:color="auto"/>
      </w:divBdr>
    </w:div>
    <w:div w:id="1229000713">
      <w:bodyDiv w:val="1"/>
      <w:marLeft w:val="0"/>
      <w:marRight w:val="0"/>
      <w:marTop w:val="0"/>
      <w:marBottom w:val="0"/>
      <w:divBdr>
        <w:top w:val="none" w:sz="0" w:space="0" w:color="auto"/>
        <w:left w:val="none" w:sz="0" w:space="0" w:color="auto"/>
        <w:bottom w:val="none" w:sz="0" w:space="0" w:color="auto"/>
        <w:right w:val="none" w:sz="0" w:space="0" w:color="auto"/>
      </w:divBdr>
    </w:div>
    <w:div w:id="1248727207">
      <w:bodyDiv w:val="1"/>
      <w:marLeft w:val="0"/>
      <w:marRight w:val="0"/>
      <w:marTop w:val="0"/>
      <w:marBottom w:val="0"/>
      <w:divBdr>
        <w:top w:val="none" w:sz="0" w:space="0" w:color="auto"/>
        <w:left w:val="none" w:sz="0" w:space="0" w:color="auto"/>
        <w:bottom w:val="none" w:sz="0" w:space="0" w:color="auto"/>
        <w:right w:val="none" w:sz="0" w:space="0" w:color="auto"/>
      </w:divBdr>
    </w:div>
    <w:div w:id="1263995039">
      <w:bodyDiv w:val="1"/>
      <w:marLeft w:val="0"/>
      <w:marRight w:val="0"/>
      <w:marTop w:val="0"/>
      <w:marBottom w:val="0"/>
      <w:divBdr>
        <w:top w:val="none" w:sz="0" w:space="0" w:color="auto"/>
        <w:left w:val="none" w:sz="0" w:space="0" w:color="auto"/>
        <w:bottom w:val="none" w:sz="0" w:space="0" w:color="auto"/>
        <w:right w:val="none" w:sz="0" w:space="0" w:color="auto"/>
      </w:divBdr>
    </w:div>
    <w:div w:id="1267731228">
      <w:bodyDiv w:val="1"/>
      <w:marLeft w:val="0"/>
      <w:marRight w:val="0"/>
      <w:marTop w:val="0"/>
      <w:marBottom w:val="0"/>
      <w:divBdr>
        <w:top w:val="none" w:sz="0" w:space="0" w:color="auto"/>
        <w:left w:val="none" w:sz="0" w:space="0" w:color="auto"/>
        <w:bottom w:val="none" w:sz="0" w:space="0" w:color="auto"/>
        <w:right w:val="none" w:sz="0" w:space="0" w:color="auto"/>
      </w:divBdr>
    </w:div>
    <w:div w:id="1289820741">
      <w:bodyDiv w:val="1"/>
      <w:marLeft w:val="0"/>
      <w:marRight w:val="0"/>
      <w:marTop w:val="0"/>
      <w:marBottom w:val="0"/>
      <w:divBdr>
        <w:top w:val="none" w:sz="0" w:space="0" w:color="auto"/>
        <w:left w:val="none" w:sz="0" w:space="0" w:color="auto"/>
        <w:bottom w:val="none" w:sz="0" w:space="0" w:color="auto"/>
        <w:right w:val="none" w:sz="0" w:space="0" w:color="auto"/>
      </w:divBdr>
    </w:div>
    <w:div w:id="1307054247">
      <w:bodyDiv w:val="1"/>
      <w:marLeft w:val="0"/>
      <w:marRight w:val="0"/>
      <w:marTop w:val="0"/>
      <w:marBottom w:val="0"/>
      <w:divBdr>
        <w:top w:val="none" w:sz="0" w:space="0" w:color="auto"/>
        <w:left w:val="none" w:sz="0" w:space="0" w:color="auto"/>
        <w:bottom w:val="none" w:sz="0" w:space="0" w:color="auto"/>
        <w:right w:val="none" w:sz="0" w:space="0" w:color="auto"/>
      </w:divBdr>
    </w:div>
    <w:div w:id="1318270522">
      <w:bodyDiv w:val="1"/>
      <w:marLeft w:val="0"/>
      <w:marRight w:val="0"/>
      <w:marTop w:val="0"/>
      <w:marBottom w:val="0"/>
      <w:divBdr>
        <w:top w:val="none" w:sz="0" w:space="0" w:color="auto"/>
        <w:left w:val="none" w:sz="0" w:space="0" w:color="auto"/>
        <w:bottom w:val="none" w:sz="0" w:space="0" w:color="auto"/>
        <w:right w:val="none" w:sz="0" w:space="0" w:color="auto"/>
      </w:divBdr>
    </w:div>
    <w:div w:id="1330519202">
      <w:bodyDiv w:val="1"/>
      <w:marLeft w:val="0"/>
      <w:marRight w:val="0"/>
      <w:marTop w:val="0"/>
      <w:marBottom w:val="0"/>
      <w:divBdr>
        <w:top w:val="none" w:sz="0" w:space="0" w:color="auto"/>
        <w:left w:val="none" w:sz="0" w:space="0" w:color="auto"/>
        <w:bottom w:val="none" w:sz="0" w:space="0" w:color="auto"/>
        <w:right w:val="none" w:sz="0" w:space="0" w:color="auto"/>
      </w:divBdr>
    </w:div>
    <w:div w:id="1332634972">
      <w:bodyDiv w:val="1"/>
      <w:marLeft w:val="0"/>
      <w:marRight w:val="0"/>
      <w:marTop w:val="0"/>
      <w:marBottom w:val="0"/>
      <w:divBdr>
        <w:top w:val="none" w:sz="0" w:space="0" w:color="auto"/>
        <w:left w:val="none" w:sz="0" w:space="0" w:color="auto"/>
        <w:bottom w:val="none" w:sz="0" w:space="0" w:color="auto"/>
        <w:right w:val="none" w:sz="0" w:space="0" w:color="auto"/>
      </w:divBdr>
    </w:div>
    <w:div w:id="1334449977">
      <w:bodyDiv w:val="1"/>
      <w:marLeft w:val="0"/>
      <w:marRight w:val="0"/>
      <w:marTop w:val="0"/>
      <w:marBottom w:val="0"/>
      <w:divBdr>
        <w:top w:val="none" w:sz="0" w:space="0" w:color="auto"/>
        <w:left w:val="none" w:sz="0" w:space="0" w:color="auto"/>
        <w:bottom w:val="none" w:sz="0" w:space="0" w:color="auto"/>
        <w:right w:val="none" w:sz="0" w:space="0" w:color="auto"/>
      </w:divBdr>
    </w:div>
    <w:div w:id="1335452980">
      <w:bodyDiv w:val="1"/>
      <w:marLeft w:val="0"/>
      <w:marRight w:val="0"/>
      <w:marTop w:val="0"/>
      <w:marBottom w:val="0"/>
      <w:divBdr>
        <w:top w:val="none" w:sz="0" w:space="0" w:color="auto"/>
        <w:left w:val="none" w:sz="0" w:space="0" w:color="auto"/>
        <w:bottom w:val="none" w:sz="0" w:space="0" w:color="auto"/>
        <w:right w:val="none" w:sz="0" w:space="0" w:color="auto"/>
      </w:divBdr>
    </w:div>
    <w:div w:id="1338998025">
      <w:bodyDiv w:val="1"/>
      <w:marLeft w:val="0"/>
      <w:marRight w:val="0"/>
      <w:marTop w:val="0"/>
      <w:marBottom w:val="0"/>
      <w:divBdr>
        <w:top w:val="none" w:sz="0" w:space="0" w:color="auto"/>
        <w:left w:val="none" w:sz="0" w:space="0" w:color="auto"/>
        <w:bottom w:val="none" w:sz="0" w:space="0" w:color="auto"/>
        <w:right w:val="none" w:sz="0" w:space="0" w:color="auto"/>
      </w:divBdr>
    </w:div>
    <w:div w:id="1340229986">
      <w:bodyDiv w:val="1"/>
      <w:marLeft w:val="0"/>
      <w:marRight w:val="0"/>
      <w:marTop w:val="0"/>
      <w:marBottom w:val="0"/>
      <w:divBdr>
        <w:top w:val="none" w:sz="0" w:space="0" w:color="auto"/>
        <w:left w:val="none" w:sz="0" w:space="0" w:color="auto"/>
        <w:bottom w:val="none" w:sz="0" w:space="0" w:color="auto"/>
        <w:right w:val="none" w:sz="0" w:space="0" w:color="auto"/>
      </w:divBdr>
    </w:div>
    <w:div w:id="1342513464">
      <w:bodyDiv w:val="1"/>
      <w:marLeft w:val="0"/>
      <w:marRight w:val="0"/>
      <w:marTop w:val="0"/>
      <w:marBottom w:val="0"/>
      <w:divBdr>
        <w:top w:val="none" w:sz="0" w:space="0" w:color="auto"/>
        <w:left w:val="none" w:sz="0" w:space="0" w:color="auto"/>
        <w:bottom w:val="none" w:sz="0" w:space="0" w:color="auto"/>
        <w:right w:val="none" w:sz="0" w:space="0" w:color="auto"/>
      </w:divBdr>
    </w:div>
    <w:div w:id="1357076230">
      <w:bodyDiv w:val="1"/>
      <w:marLeft w:val="0"/>
      <w:marRight w:val="0"/>
      <w:marTop w:val="0"/>
      <w:marBottom w:val="0"/>
      <w:divBdr>
        <w:top w:val="none" w:sz="0" w:space="0" w:color="auto"/>
        <w:left w:val="none" w:sz="0" w:space="0" w:color="auto"/>
        <w:bottom w:val="none" w:sz="0" w:space="0" w:color="auto"/>
        <w:right w:val="none" w:sz="0" w:space="0" w:color="auto"/>
      </w:divBdr>
    </w:div>
    <w:div w:id="1369647030">
      <w:bodyDiv w:val="1"/>
      <w:marLeft w:val="0"/>
      <w:marRight w:val="0"/>
      <w:marTop w:val="0"/>
      <w:marBottom w:val="0"/>
      <w:divBdr>
        <w:top w:val="none" w:sz="0" w:space="0" w:color="auto"/>
        <w:left w:val="none" w:sz="0" w:space="0" w:color="auto"/>
        <w:bottom w:val="none" w:sz="0" w:space="0" w:color="auto"/>
        <w:right w:val="none" w:sz="0" w:space="0" w:color="auto"/>
      </w:divBdr>
    </w:div>
    <w:div w:id="1387485101">
      <w:bodyDiv w:val="1"/>
      <w:marLeft w:val="0"/>
      <w:marRight w:val="0"/>
      <w:marTop w:val="0"/>
      <w:marBottom w:val="0"/>
      <w:divBdr>
        <w:top w:val="none" w:sz="0" w:space="0" w:color="auto"/>
        <w:left w:val="none" w:sz="0" w:space="0" w:color="auto"/>
        <w:bottom w:val="none" w:sz="0" w:space="0" w:color="auto"/>
        <w:right w:val="none" w:sz="0" w:space="0" w:color="auto"/>
      </w:divBdr>
    </w:div>
    <w:div w:id="1390420361">
      <w:bodyDiv w:val="1"/>
      <w:marLeft w:val="0"/>
      <w:marRight w:val="0"/>
      <w:marTop w:val="0"/>
      <w:marBottom w:val="0"/>
      <w:divBdr>
        <w:top w:val="none" w:sz="0" w:space="0" w:color="auto"/>
        <w:left w:val="none" w:sz="0" w:space="0" w:color="auto"/>
        <w:bottom w:val="none" w:sz="0" w:space="0" w:color="auto"/>
        <w:right w:val="none" w:sz="0" w:space="0" w:color="auto"/>
      </w:divBdr>
    </w:div>
    <w:div w:id="1402094180">
      <w:bodyDiv w:val="1"/>
      <w:marLeft w:val="0"/>
      <w:marRight w:val="0"/>
      <w:marTop w:val="0"/>
      <w:marBottom w:val="0"/>
      <w:divBdr>
        <w:top w:val="none" w:sz="0" w:space="0" w:color="auto"/>
        <w:left w:val="none" w:sz="0" w:space="0" w:color="auto"/>
        <w:bottom w:val="none" w:sz="0" w:space="0" w:color="auto"/>
        <w:right w:val="none" w:sz="0" w:space="0" w:color="auto"/>
      </w:divBdr>
    </w:div>
    <w:div w:id="1410080586">
      <w:bodyDiv w:val="1"/>
      <w:marLeft w:val="0"/>
      <w:marRight w:val="0"/>
      <w:marTop w:val="0"/>
      <w:marBottom w:val="0"/>
      <w:divBdr>
        <w:top w:val="none" w:sz="0" w:space="0" w:color="auto"/>
        <w:left w:val="none" w:sz="0" w:space="0" w:color="auto"/>
        <w:bottom w:val="none" w:sz="0" w:space="0" w:color="auto"/>
        <w:right w:val="none" w:sz="0" w:space="0" w:color="auto"/>
      </w:divBdr>
    </w:div>
    <w:div w:id="1413694194">
      <w:bodyDiv w:val="1"/>
      <w:marLeft w:val="0"/>
      <w:marRight w:val="0"/>
      <w:marTop w:val="0"/>
      <w:marBottom w:val="0"/>
      <w:divBdr>
        <w:top w:val="none" w:sz="0" w:space="0" w:color="auto"/>
        <w:left w:val="none" w:sz="0" w:space="0" w:color="auto"/>
        <w:bottom w:val="none" w:sz="0" w:space="0" w:color="auto"/>
        <w:right w:val="none" w:sz="0" w:space="0" w:color="auto"/>
      </w:divBdr>
    </w:div>
    <w:div w:id="1416169406">
      <w:bodyDiv w:val="1"/>
      <w:marLeft w:val="0"/>
      <w:marRight w:val="0"/>
      <w:marTop w:val="0"/>
      <w:marBottom w:val="0"/>
      <w:divBdr>
        <w:top w:val="none" w:sz="0" w:space="0" w:color="auto"/>
        <w:left w:val="none" w:sz="0" w:space="0" w:color="auto"/>
        <w:bottom w:val="none" w:sz="0" w:space="0" w:color="auto"/>
        <w:right w:val="none" w:sz="0" w:space="0" w:color="auto"/>
      </w:divBdr>
    </w:div>
    <w:div w:id="1419402941">
      <w:bodyDiv w:val="1"/>
      <w:marLeft w:val="0"/>
      <w:marRight w:val="0"/>
      <w:marTop w:val="0"/>
      <w:marBottom w:val="0"/>
      <w:divBdr>
        <w:top w:val="none" w:sz="0" w:space="0" w:color="auto"/>
        <w:left w:val="none" w:sz="0" w:space="0" w:color="auto"/>
        <w:bottom w:val="none" w:sz="0" w:space="0" w:color="auto"/>
        <w:right w:val="none" w:sz="0" w:space="0" w:color="auto"/>
      </w:divBdr>
    </w:div>
    <w:div w:id="1447457935">
      <w:bodyDiv w:val="1"/>
      <w:marLeft w:val="0"/>
      <w:marRight w:val="0"/>
      <w:marTop w:val="0"/>
      <w:marBottom w:val="0"/>
      <w:divBdr>
        <w:top w:val="none" w:sz="0" w:space="0" w:color="auto"/>
        <w:left w:val="none" w:sz="0" w:space="0" w:color="auto"/>
        <w:bottom w:val="none" w:sz="0" w:space="0" w:color="auto"/>
        <w:right w:val="none" w:sz="0" w:space="0" w:color="auto"/>
      </w:divBdr>
    </w:div>
    <w:div w:id="1448504547">
      <w:bodyDiv w:val="1"/>
      <w:marLeft w:val="0"/>
      <w:marRight w:val="0"/>
      <w:marTop w:val="0"/>
      <w:marBottom w:val="0"/>
      <w:divBdr>
        <w:top w:val="none" w:sz="0" w:space="0" w:color="auto"/>
        <w:left w:val="none" w:sz="0" w:space="0" w:color="auto"/>
        <w:bottom w:val="none" w:sz="0" w:space="0" w:color="auto"/>
        <w:right w:val="none" w:sz="0" w:space="0" w:color="auto"/>
      </w:divBdr>
    </w:div>
    <w:div w:id="1455633818">
      <w:bodyDiv w:val="1"/>
      <w:marLeft w:val="0"/>
      <w:marRight w:val="0"/>
      <w:marTop w:val="0"/>
      <w:marBottom w:val="0"/>
      <w:divBdr>
        <w:top w:val="none" w:sz="0" w:space="0" w:color="auto"/>
        <w:left w:val="none" w:sz="0" w:space="0" w:color="auto"/>
        <w:bottom w:val="none" w:sz="0" w:space="0" w:color="auto"/>
        <w:right w:val="none" w:sz="0" w:space="0" w:color="auto"/>
      </w:divBdr>
    </w:div>
    <w:div w:id="1474785147">
      <w:bodyDiv w:val="1"/>
      <w:marLeft w:val="0"/>
      <w:marRight w:val="0"/>
      <w:marTop w:val="0"/>
      <w:marBottom w:val="0"/>
      <w:divBdr>
        <w:top w:val="none" w:sz="0" w:space="0" w:color="auto"/>
        <w:left w:val="none" w:sz="0" w:space="0" w:color="auto"/>
        <w:bottom w:val="none" w:sz="0" w:space="0" w:color="auto"/>
        <w:right w:val="none" w:sz="0" w:space="0" w:color="auto"/>
      </w:divBdr>
    </w:div>
    <w:div w:id="1477799880">
      <w:bodyDiv w:val="1"/>
      <w:marLeft w:val="0"/>
      <w:marRight w:val="0"/>
      <w:marTop w:val="0"/>
      <w:marBottom w:val="0"/>
      <w:divBdr>
        <w:top w:val="none" w:sz="0" w:space="0" w:color="auto"/>
        <w:left w:val="none" w:sz="0" w:space="0" w:color="auto"/>
        <w:bottom w:val="none" w:sz="0" w:space="0" w:color="auto"/>
        <w:right w:val="none" w:sz="0" w:space="0" w:color="auto"/>
      </w:divBdr>
    </w:div>
    <w:div w:id="1488090564">
      <w:bodyDiv w:val="1"/>
      <w:marLeft w:val="0"/>
      <w:marRight w:val="0"/>
      <w:marTop w:val="0"/>
      <w:marBottom w:val="0"/>
      <w:divBdr>
        <w:top w:val="none" w:sz="0" w:space="0" w:color="auto"/>
        <w:left w:val="none" w:sz="0" w:space="0" w:color="auto"/>
        <w:bottom w:val="none" w:sz="0" w:space="0" w:color="auto"/>
        <w:right w:val="none" w:sz="0" w:space="0" w:color="auto"/>
      </w:divBdr>
    </w:div>
    <w:div w:id="1506017466">
      <w:bodyDiv w:val="1"/>
      <w:marLeft w:val="0"/>
      <w:marRight w:val="0"/>
      <w:marTop w:val="0"/>
      <w:marBottom w:val="0"/>
      <w:divBdr>
        <w:top w:val="none" w:sz="0" w:space="0" w:color="auto"/>
        <w:left w:val="none" w:sz="0" w:space="0" w:color="auto"/>
        <w:bottom w:val="none" w:sz="0" w:space="0" w:color="auto"/>
        <w:right w:val="none" w:sz="0" w:space="0" w:color="auto"/>
      </w:divBdr>
    </w:div>
    <w:div w:id="1507750263">
      <w:bodyDiv w:val="1"/>
      <w:marLeft w:val="0"/>
      <w:marRight w:val="0"/>
      <w:marTop w:val="0"/>
      <w:marBottom w:val="0"/>
      <w:divBdr>
        <w:top w:val="none" w:sz="0" w:space="0" w:color="auto"/>
        <w:left w:val="none" w:sz="0" w:space="0" w:color="auto"/>
        <w:bottom w:val="none" w:sz="0" w:space="0" w:color="auto"/>
        <w:right w:val="none" w:sz="0" w:space="0" w:color="auto"/>
      </w:divBdr>
    </w:div>
    <w:div w:id="1517428086">
      <w:bodyDiv w:val="1"/>
      <w:marLeft w:val="0"/>
      <w:marRight w:val="0"/>
      <w:marTop w:val="0"/>
      <w:marBottom w:val="0"/>
      <w:divBdr>
        <w:top w:val="none" w:sz="0" w:space="0" w:color="auto"/>
        <w:left w:val="none" w:sz="0" w:space="0" w:color="auto"/>
        <w:bottom w:val="none" w:sz="0" w:space="0" w:color="auto"/>
        <w:right w:val="none" w:sz="0" w:space="0" w:color="auto"/>
      </w:divBdr>
    </w:div>
    <w:div w:id="1532568724">
      <w:bodyDiv w:val="1"/>
      <w:marLeft w:val="0"/>
      <w:marRight w:val="0"/>
      <w:marTop w:val="0"/>
      <w:marBottom w:val="0"/>
      <w:divBdr>
        <w:top w:val="none" w:sz="0" w:space="0" w:color="auto"/>
        <w:left w:val="none" w:sz="0" w:space="0" w:color="auto"/>
        <w:bottom w:val="none" w:sz="0" w:space="0" w:color="auto"/>
        <w:right w:val="none" w:sz="0" w:space="0" w:color="auto"/>
      </w:divBdr>
    </w:div>
    <w:div w:id="1564750487">
      <w:bodyDiv w:val="1"/>
      <w:marLeft w:val="0"/>
      <w:marRight w:val="0"/>
      <w:marTop w:val="0"/>
      <w:marBottom w:val="0"/>
      <w:divBdr>
        <w:top w:val="none" w:sz="0" w:space="0" w:color="auto"/>
        <w:left w:val="none" w:sz="0" w:space="0" w:color="auto"/>
        <w:bottom w:val="none" w:sz="0" w:space="0" w:color="auto"/>
        <w:right w:val="none" w:sz="0" w:space="0" w:color="auto"/>
      </w:divBdr>
    </w:div>
    <w:div w:id="1594783081">
      <w:bodyDiv w:val="1"/>
      <w:marLeft w:val="0"/>
      <w:marRight w:val="0"/>
      <w:marTop w:val="0"/>
      <w:marBottom w:val="0"/>
      <w:divBdr>
        <w:top w:val="none" w:sz="0" w:space="0" w:color="auto"/>
        <w:left w:val="none" w:sz="0" w:space="0" w:color="auto"/>
        <w:bottom w:val="none" w:sz="0" w:space="0" w:color="auto"/>
        <w:right w:val="none" w:sz="0" w:space="0" w:color="auto"/>
      </w:divBdr>
    </w:div>
    <w:div w:id="1612013590">
      <w:bodyDiv w:val="1"/>
      <w:marLeft w:val="0"/>
      <w:marRight w:val="0"/>
      <w:marTop w:val="0"/>
      <w:marBottom w:val="0"/>
      <w:divBdr>
        <w:top w:val="none" w:sz="0" w:space="0" w:color="auto"/>
        <w:left w:val="none" w:sz="0" w:space="0" w:color="auto"/>
        <w:bottom w:val="none" w:sz="0" w:space="0" w:color="auto"/>
        <w:right w:val="none" w:sz="0" w:space="0" w:color="auto"/>
      </w:divBdr>
    </w:div>
    <w:div w:id="1634825249">
      <w:bodyDiv w:val="1"/>
      <w:marLeft w:val="0"/>
      <w:marRight w:val="0"/>
      <w:marTop w:val="0"/>
      <w:marBottom w:val="0"/>
      <w:divBdr>
        <w:top w:val="none" w:sz="0" w:space="0" w:color="auto"/>
        <w:left w:val="none" w:sz="0" w:space="0" w:color="auto"/>
        <w:bottom w:val="none" w:sz="0" w:space="0" w:color="auto"/>
        <w:right w:val="none" w:sz="0" w:space="0" w:color="auto"/>
      </w:divBdr>
    </w:div>
    <w:div w:id="1657148150">
      <w:bodyDiv w:val="1"/>
      <w:marLeft w:val="0"/>
      <w:marRight w:val="0"/>
      <w:marTop w:val="0"/>
      <w:marBottom w:val="0"/>
      <w:divBdr>
        <w:top w:val="none" w:sz="0" w:space="0" w:color="auto"/>
        <w:left w:val="none" w:sz="0" w:space="0" w:color="auto"/>
        <w:bottom w:val="none" w:sz="0" w:space="0" w:color="auto"/>
        <w:right w:val="none" w:sz="0" w:space="0" w:color="auto"/>
      </w:divBdr>
    </w:div>
    <w:div w:id="1657760097">
      <w:bodyDiv w:val="1"/>
      <w:marLeft w:val="0"/>
      <w:marRight w:val="0"/>
      <w:marTop w:val="0"/>
      <w:marBottom w:val="0"/>
      <w:divBdr>
        <w:top w:val="none" w:sz="0" w:space="0" w:color="auto"/>
        <w:left w:val="none" w:sz="0" w:space="0" w:color="auto"/>
        <w:bottom w:val="none" w:sz="0" w:space="0" w:color="auto"/>
        <w:right w:val="none" w:sz="0" w:space="0" w:color="auto"/>
      </w:divBdr>
    </w:div>
    <w:div w:id="1682052914">
      <w:bodyDiv w:val="1"/>
      <w:marLeft w:val="0"/>
      <w:marRight w:val="0"/>
      <w:marTop w:val="0"/>
      <w:marBottom w:val="0"/>
      <w:divBdr>
        <w:top w:val="none" w:sz="0" w:space="0" w:color="auto"/>
        <w:left w:val="none" w:sz="0" w:space="0" w:color="auto"/>
        <w:bottom w:val="none" w:sz="0" w:space="0" w:color="auto"/>
        <w:right w:val="none" w:sz="0" w:space="0" w:color="auto"/>
      </w:divBdr>
    </w:div>
    <w:div w:id="1683818596">
      <w:bodyDiv w:val="1"/>
      <w:marLeft w:val="0"/>
      <w:marRight w:val="0"/>
      <w:marTop w:val="0"/>
      <w:marBottom w:val="0"/>
      <w:divBdr>
        <w:top w:val="none" w:sz="0" w:space="0" w:color="auto"/>
        <w:left w:val="none" w:sz="0" w:space="0" w:color="auto"/>
        <w:bottom w:val="none" w:sz="0" w:space="0" w:color="auto"/>
        <w:right w:val="none" w:sz="0" w:space="0" w:color="auto"/>
      </w:divBdr>
    </w:div>
    <w:div w:id="1688435699">
      <w:bodyDiv w:val="1"/>
      <w:marLeft w:val="0"/>
      <w:marRight w:val="0"/>
      <w:marTop w:val="0"/>
      <w:marBottom w:val="0"/>
      <w:divBdr>
        <w:top w:val="none" w:sz="0" w:space="0" w:color="auto"/>
        <w:left w:val="none" w:sz="0" w:space="0" w:color="auto"/>
        <w:bottom w:val="none" w:sz="0" w:space="0" w:color="auto"/>
        <w:right w:val="none" w:sz="0" w:space="0" w:color="auto"/>
      </w:divBdr>
    </w:div>
    <w:div w:id="1707947720">
      <w:bodyDiv w:val="1"/>
      <w:marLeft w:val="0"/>
      <w:marRight w:val="0"/>
      <w:marTop w:val="0"/>
      <w:marBottom w:val="0"/>
      <w:divBdr>
        <w:top w:val="none" w:sz="0" w:space="0" w:color="auto"/>
        <w:left w:val="none" w:sz="0" w:space="0" w:color="auto"/>
        <w:bottom w:val="none" w:sz="0" w:space="0" w:color="auto"/>
        <w:right w:val="none" w:sz="0" w:space="0" w:color="auto"/>
      </w:divBdr>
    </w:div>
    <w:div w:id="1712000711">
      <w:bodyDiv w:val="1"/>
      <w:marLeft w:val="0"/>
      <w:marRight w:val="0"/>
      <w:marTop w:val="0"/>
      <w:marBottom w:val="0"/>
      <w:divBdr>
        <w:top w:val="none" w:sz="0" w:space="0" w:color="auto"/>
        <w:left w:val="none" w:sz="0" w:space="0" w:color="auto"/>
        <w:bottom w:val="none" w:sz="0" w:space="0" w:color="auto"/>
        <w:right w:val="none" w:sz="0" w:space="0" w:color="auto"/>
      </w:divBdr>
    </w:div>
    <w:div w:id="1717004316">
      <w:bodyDiv w:val="1"/>
      <w:marLeft w:val="0"/>
      <w:marRight w:val="0"/>
      <w:marTop w:val="0"/>
      <w:marBottom w:val="0"/>
      <w:divBdr>
        <w:top w:val="none" w:sz="0" w:space="0" w:color="auto"/>
        <w:left w:val="none" w:sz="0" w:space="0" w:color="auto"/>
        <w:bottom w:val="none" w:sz="0" w:space="0" w:color="auto"/>
        <w:right w:val="none" w:sz="0" w:space="0" w:color="auto"/>
      </w:divBdr>
    </w:div>
    <w:div w:id="1718167181">
      <w:bodyDiv w:val="1"/>
      <w:marLeft w:val="0"/>
      <w:marRight w:val="0"/>
      <w:marTop w:val="0"/>
      <w:marBottom w:val="0"/>
      <w:divBdr>
        <w:top w:val="none" w:sz="0" w:space="0" w:color="auto"/>
        <w:left w:val="none" w:sz="0" w:space="0" w:color="auto"/>
        <w:bottom w:val="none" w:sz="0" w:space="0" w:color="auto"/>
        <w:right w:val="none" w:sz="0" w:space="0" w:color="auto"/>
      </w:divBdr>
    </w:div>
    <w:div w:id="1739590149">
      <w:bodyDiv w:val="1"/>
      <w:marLeft w:val="0"/>
      <w:marRight w:val="0"/>
      <w:marTop w:val="0"/>
      <w:marBottom w:val="0"/>
      <w:divBdr>
        <w:top w:val="none" w:sz="0" w:space="0" w:color="auto"/>
        <w:left w:val="none" w:sz="0" w:space="0" w:color="auto"/>
        <w:bottom w:val="none" w:sz="0" w:space="0" w:color="auto"/>
        <w:right w:val="none" w:sz="0" w:space="0" w:color="auto"/>
      </w:divBdr>
    </w:div>
    <w:div w:id="1745951928">
      <w:bodyDiv w:val="1"/>
      <w:marLeft w:val="0"/>
      <w:marRight w:val="0"/>
      <w:marTop w:val="0"/>
      <w:marBottom w:val="0"/>
      <w:divBdr>
        <w:top w:val="none" w:sz="0" w:space="0" w:color="auto"/>
        <w:left w:val="none" w:sz="0" w:space="0" w:color="auto"/>
        <w:bottom w:val="none" w:sz="0" w:space="0" w:color="auto"/>
        <w:right w:val="none" w:sz="0" w:space="0" w:color="auto"/>
      </w:divBdr>
    </w:div>
    <w:div w:id="1746338588">
      <w:bodyDiv w:val="1"/>
      <w:marLeft w:val="0"/>
      <w:marRight w:val="0"/>
      <w:marTop w:val="0"/>
      <w:marBottom w:val="0"/>
      <w:divBdr>
        <w:top w:val="none" w:sz="0" w:space="0" w:color="auto"/>
        <w:left w:val="none" w:sz="0" w:space="0" w:color="auto"/>
        <w:bottom w:val="none" w:sz="0" w:space="0" w:color="auto"/>
        <w:right w:val="none" w:sz="0" w:space="0" w:color="auto"/>
      </w:divBdr>
    </w:div>
    <w:div w:id="1751078120">
      <w:bodyDiv w:val="1"/>
      <w:marLeft w:val="0"/>
      <w:marRight w:val="0"/>
      <w:marTop w:val="0"/>
      <w:marBottom w:val="0"/>
      <w:divBdr>
        <w:top w:val="none" w:sz="0" w:space="0" w:color="auto"/>
        <w:left w:val="none" w:sz="0" w:space="0" w:color="auto"/>
        <w:bottom w:val="none" w:sz="0" w:space="0" w:color="auto"/>
        <w:right w:val="none" w:sz="0" w:space="0" w:color="auto"/>
      </w:divBdr>
    </w:div>
    <w:div w:id="1759710381">
      <w:bodyDiv w:val="1"/>
      <w:marLeft w:val="0"/>
      <w:marRight w:val="0"/>
      <w:marTop w:val="0"/>
      <w:marBottom w:val="0"/>
      <w:divBdr>
        <w:top w:val="none" w:sz="0" w:space="0" w:color="auto"/>
        <w:left w:val="none" w:sz="0" w:space="0" w:color="auto"/>
        <w:bottom w:val="none" w:sz="0" w:space="0" w:color="auto"/>
        <w:right w:val="none" w:sz="0" w:space="0" w:color="auto"/>
      </w:divBdr>
    </w:div>
    <w:div w:id="1762607215">
      <w:bodyDiv w:val="1"/>
      <w:marLeft w:val="0"/>
      <w:marRight w:val="0"/>
      <w:marTop w:val="0"/>
      <w:marBottom w:val="0"/>
      <w:divBdr>
        <w:top w:val="none" w:sz="0" w:space="0" w:color="auto"/>
        <w:left w:val="none" w:sz="0" w:space="0" w:color="auto"/>
        <w:bottom w:val="none" w:sz="0" w:space="0" w:color="auto"/>
        <w:right w:val="none" w:sz="0" w:space="0" w:color="auto"/>
      </w:divBdr>
    </w:div>
    <w:div w:id="1774205199">
      <w:bodyDiv w:val="1"/>
      <w:marLeft w:val="0"/>
      <w:marRight w:val="0"/>
      <w:marTop w:val="0"/>
      <w:marBottom w:val="0"/>
      <w:divBdr>
        <w:top w:val="none" w:sz="0" w:space="0" w:color="auto"/>
        <w:left w:val="none" w:sz="0" w:space="0" w:color="auto"/>
        <w:bottom w:val="none" w:sz="0" w:space="0" w:color="auto"/>
        <w:right w:val="none" w:sz="0" w:space="0" w:color="auto"/>
      </w:divBdr>
    </w:div>
    <w:div w:id="1774667810">
      <w:bodyDiv w:val="1"/>
      <w:marLeft w:val="0"/>
      <w:marRight w:val="0"/>
      <w:marTop w:val="0"/>
      <w:marBottom w:val="0"/>
      <w:divBdr>
        <w:top w:val="none" w:sz="0" w:space="0" w:color="auto"/>
        <w:left w:val="none" w:sz="0" w:space="0" w:color="auto"/>
        <w:bottom w:val="none" w:sz="0" w:space="0" w:color="auto"/>
        <w:right w:val="none" w:sz="0" w:space="0" w:color="auto"/>
      </w:divBdr>
    </w:div>
    <w:div w:id="1782073037">
      <w:bodyDiv w:val="1"/>
      <w:marLeft w:val="0"/>
      <w:marRight w:val="0"/>
      <w:marTop w:val="0"/>
      <w:marBottom w:val="0"/>
      <w:divBdr>
        <w:top w:val="none" w:sz="0" w:space="0" w:color="auto"/>
        <w:left w:val="none" w:sz="0" w:space="0" w:color="auto"/>
        <w:bottom w:val="none" w:sz="0" w:space="0" w:color="auto"/>
        <w:right w:val="none" w:sz="0" w:space="0" w:color="auto"/>
      </w:divBdr>
    </w:div>
    <w:div w:id="1786265502">
      <w:bodyDiv w:val="1"/>
      <w:marLeft w:val="0"/>
      <w:marRight w:val="0"/>
      <w:marTop w:val="0"/>
      <w:marBottom w:val="0"/>
      <w:divBdr>
        <w:top w:val="none" w:sz="0" w:space="0" w:color="auto"/>
        <w:left w:val="none" w:sz="0" w:space="0" w:color="auto"/>
        <w:bottom w:val="none" w:sz="0" w:space="0" w:color="auto"/>
        <w:right w:val="none" w:sz="0" w:space="0" w:color="auto"/>
      </w:divBdr>
    </w:div>
    <w:div w:id="1802189182">
      <w:bodyDiv w:val="1"/>
      <w:marLeft w:val="0"/>
      <w:marRight w:val="0"/>
      <w:marTop w:val="0"/>
      <w:marBottom w:val="0"/>
      <w:divBdr>
        <w:top w:val="none" w:sz="0" w:space="0" w:color="auto"/>
        <w:left w:val="none" w:sz="0" w:space="0" w:color="auto"/>
        <w:bottom w:val="none" w:sz="0" w:space="0" w:color="auto"/>
        <w:right w:val="none" w:sz="0" w:space="0" w:color="auto"/>
      </w:divBdr>
    </w:div>
    <w:div w:id="1816793054">
      <w:bodyDiv w:val="1"/>
      <w:marLeft w:val="0"/>
      <w:marRight w:val="0"/>
      <w:marTop w:val="0"/>
      <w:marBottom w:val="0"/>
      <w:divBdr>
        <w:top w:val="none" w:sz="0" w:space="0" w:color="auto"/>
        <w:left w:val="none" w:sz="0" w:space="0" w:color="auto"/>
        <w:bottom w:val="none" w:sz="0" w:space="0" w:color="auto"/>
        <w:right w:val="none" w:sz="0" w:space="0" w:color="auto"/>
      </w:divBdr>
    </w:div>
    <w:div w:id="1819301555">
      <w:bodyDiv w:val="1"/>
      <w:marLeft w:val="0"/>
      <w:marRight w:val="0"/>
      <w:marTop w:val="0"/>
      <w:marBottom w:val="0"/>
      <w:divBdr>
        <w:top w:val="none" w:sz="0" w:space="0" w:color="auto"/>
        <w:left w:val="none" w:sz="0" w:space="0" w:color="auto"/>
        <w:bottom w:val="none" w:sz="0" w:space="0" w:color="auto"/>
        <w:right w:val="none" w:sz="0" w:space="0" w:color="auto"/>
      </w:divBdr>
    </w:div>
    <w:div w:id="1822501065">
      <w:bodyDiv w:val="1"/>
      <w:marLeft w:val="0"/>
      <w:marRight w:val="0"/>
      <w:marTop w:val="0"/>
      <w:marBottom w:val="0"/>
      <w:divBdr>
        <w:top w:val="none" w:sz="0" w:space="0" w:color="auto"/>
        <w:left w:val="none" w:sz="0" w:space="0" w:color="auto"/>
        <w:bottom w:val="none" w:sz="0" w:space="0" w:color="auto"/>
        <w:right w:val="none" w:sz="0" w:space="0" w:color="auto"/>
      </w:divBdr>
    </w:div>
    <w:div w:id="1825849654">
      <w:bodyDiv w:val="1"/>
      <w:marLeft w:val="0"/>
      <w:marRight w:val="0"/>
      <w:marTop w:val="0"/>
      <w:marBottom w:val="0"/>
      <w:divBdr>
        <w:top w:val="none" w:sz="0" w:space="0" w:color="auto"/>
        <w:left w:val="none" w:sz="0" w:space="0" w:color="auto"/>
        <w:bottom w:val="none" w:sz="0" w:space="0" w:color="auto"/>
        <w:right w:val="none" w:sz="0" w:space="0" w:color="auto"/>
      </w:divBdr>
    </w:div>
    <w:div w:id="1833719705">
      <w:bodyDiv w:val="1"/>
      <w:marLeft w:val="0"/>
      <w:marRight w:val="0"/>
      <w:marTop w:val="0"/>
      <w:marBottom w:val="0"/>
      <w:divBdr>
        <w:top w:val="none" w:sz="0" w:space="0" w:color="auto"/>
        <w:left w:val="none" w:sz="0" w:space="0" w:color="auto"/>
        <w:bottom w:val="none" w:sz="0" w:space="0" w:color="auto"/>
        <w:right w:val="none" w:sz="0" w:space="0" w:color="auto"/>
      </w:divBdr>
    </w:div>
    <w:div w:id="1858810614">
      <w:bodyDiv w:val="1"/>
      <w:marLeft w:val="0"/>
      <w:marRight w:val="0"/>
      <w:marTop w:val="0"/>
      <w:marBottom w:val="0"/>
      <w:divBdr>
        <w:top w:val="none" w:sz="0" w:space="0" w:color="auto"/>
        <w:left w:val="none" w:sz="0" w:space="0" w:color="auto"/>
        <w:bottom w:val="none" w:sz="0" w:space="0" w:color="auto"/>
        <w:right w:val="none" w:sz="0" w:space="0" w:color="auto"/>
      </w:divBdr>
    </w:div>
    <w:div w:id="1864630537">
      <w:bodyDiv w:val="1"/>
      <w:marLeft w:val="0"/>
      <w:marRight w:val="0"/>
      <w:marTop w:val="0"/>
      <w:marBottom w:val="0"/>
      <w:divBdr>
        <w:top w:val="none" w:sz="0" w:space="0" w:color="auto"/>
        <w:left w:val="none" w:sz="0" w:space="0" w:color="auto"/>
        <w:bottom w:val="none" w:sz="0" w:space="0" w:color="auto"/>
        <w:right w:val="none" w:sz="0" w:space="0" w:color="auto"/>
      </w:divBdr>
    </w:div>
    <w:div w:id="1869754534">
      <w:bodyDiv w:val="1"/>
      <w:marLeft w:val="0"/>
      <w:marRight w:val="0"/>
      <w:marTop w:val="0"/>
      <w:marBottom w:val="0"/>
      <w:divBdr>
        <w:top w:val="none" w:sz="0" w:space="0" w:color="auto"/>
        <w:left w:val="none" w:sz="0" w:space="0" w:color="auto"/>
        <w:bottom w:val="none" w:sz="0" w:space="0" w:color="auto"/>
        <w:right w:val="none" w:sz="0" w:space="0" w:color="auto"/>
      </w:divBdr>
    </w:div>
    <w:div w:id="1882744179">
      <w:bodyDiv w:val="1"/>
      <w:marLeft w:val="0"/>
      <w:marRight w:val="0"/>
      <w:marTop w:val="0"/>
      <w:marBottom w:val="0"/>
      <w:divBdr>
        <w:top w:val="none" w:sz="0" w:space="0" w:color="auto"/>
        <w:left w:val="none" w:sz="0" w:space="0" w:color="auto"/>
        <w:bottom w:val="none" w:sz="0" w:space="0" w:color="auto"/>
        <w:right w:val="none" w:sz="0" w:space="0" w:color="auto"/>
      </w:divBdr>
    </w:div>
    <w:div w:id="1885175764">
      <w:bodyDiv w:val="1"/>
      <w:marLeft w:val="0"/>
      <w:marRight w:val="0"/>
      <w:marTop w:val="0"/>
      <w:marBottom w:val="0"/>
      <w:divBdr>
        <w:top w:val="none" w:sz="0" w:space="0" w:color="auto"/>
        <w:left w:val="none" w:sz="0" w:space="0" w:color="auto"/>
        <w:bottom w:val="none" w:sz="0" w:space="0" w:color="auto"/>
        <w:right w:val="none" w:sz="0" w:space="0" w:color="auto"/>
      </w:divBdr>
    </w:div>
    <w:div w:id="1889218488">
      <w:bodyDiv w:val="1"/>
      <w:marLeft w:val="0"/>
      <w:marRight w:val="0"/>
      <w:marTop w:val="0"/>
      <w:marBottom w:val="0"/>
      <w:divBdr>
        <w:top w:val="none" w:sz="0" w:space="0" w:color="auto"/>
        <w:left w:val="none" w:sz="0" w:space="0" w:color="auto"/>
        <w:bottom w:val="none" w:sz="0" w:space="0" w:color="auto"/>
        <w:right w:val="none" w:sz="0" w:space="0" w:color="auto"/>
      </w:divBdr>
    </w:div>
    <w:div w:id="1892766830">
      <w:bodyDiv w:val="1"/>
      <w:marLeft w:val="0"/>
      <w:marRight w:val="0"/>
      <w:marTop w:val="0"/>
      <w:marBottom w:val="0"/>
      <w:divBdr>
        <w:top w:val="none" w:sz="0" w:space="0" w:color="auto"/>
        <w:left w:val="none" w:sz="0" w:space="0" w:color="auto"/>
        <w:bottom w:val="none" w:sz="0" w:space="0" w:color="auto"/>
        <w:right w:val="none" w:sz="0" w:space="0" w:color="auto"/>
      </w:divBdr>
    </w:div>
    <w:div w:id="1893299374">
      <w:bodyDiv w:val="1"/>
      <w:marLeft w:val="0"/>
      <w:marRight w:val="0"/>
      <w:marTop w:val="0"/>
      <w:marBottom w:val="0"/>
      <w:divBdr>
        <w:top w:val="none" w:sz="0" w:space="0" w:color="auto"/>
        <w:left w:val="none" w:sz="0" w:space="0" w:color="auto"/>
        <w:bottom w:val="none" w:sz="0" w:space="0" w:color="auto"/>
        <w:right w:val="none" w:sz="0" w:space="0" w:color="auto"/>
      </w:divBdr>
    </w:div>
    <w:div w:id="1900550923">
      <w:bodyDiv w:val="1"/>
      <w:marLeft w:val="0"/>
      <w:marRight w:val="0"/>
      <w:marTop w:val="0"/>
      <w:marBottom w:val="0"/>
      <w:divBdr>
        <w:top w:val="none" w:sz="0" w:space="0" w:color="auto"/>
        <w:left w:val="none" w:sz="0" w:space="0" w:color="auto"/>
        <w:bottom w:val="none" w:sz="0" w:space="0" w:color="auto"/>
        <w:right w:val="none" w:sz="0" w:space="0" w:color="auto"/>
      </w:divBdr>
    </w:div>
    <w:div w:id="1907297859">
      <w:bodyDiv w:val="1"/>
      <w:marLeft w:val="0"/>
      <w:marRight w:val="0"/>
      <w:marTop w:val="0"/>
      <w:marBottom w:val="0"/>
      <w:divBdr>
        <w:top w:val="none" w:sz="0" w:space="0" w:color="auto"/>
        <w:left w:val="none" w:sz="0" w:space="0" w:color="auto"/>
        <w:bottom w:val="none" w:sz="0" w:space="0" w:color="auto"/>
        <w:right w:val="none" w:sz="0" w:space="0" w:color="auto"/>
      </w:divBdr>
    </w:div>
    <w:div w:id="1920409982">
      <w:bodyDiv w:val="1"/>
      <w:marLeft w:val="0"/>
      <w:marRight w:val="0"/>
      <w:marTop w:val="0"/>
      <w:marBottom w:val="0"/>
      <w:divBdr>
        <w:top w:val="none" w:sz="0" w:space="0" w:color="auto"/>
        <w:left w:val="none" w:sz="0" w:space="0" w:color="auto"/>
        <w:bottom w:val="none" w:sz="0" w:space="0" w:color="auto"/>
        <w:right w:val="none" w:sz="0" w:space="0" w:color="auto"/>
      </w:divBdr>
    </w:div>
    <w:div w:id="1935363323">
      <w:bodyDiv w:val="1"/>
      <w:marLeft w:val="0"/>
      <w:marRight w:val="0"/>
      <w:marTop w:val="0"/>
      <w:marBottom w:val="0"/>
      <w:divBdr>
        <w:top w:val="none" w:sz="0" w:space="0" w:color="auto"/>
        <w:left w:val="none" w:sz="0" w:space="0" w:color="auto"/>
        <w:bottom w:val="none" w:sz="0" w:space="0" w:color="auto"/>
        <w:right w:val="none" w:sz="0" w:space="0" w:color="auto"/>
      </w:divBdr>
    </w:div>
    <w:div w:id="1935553905">
      <w:bodyDiv w:val="1"/>
      <w:marLeft w:val="0"/>
      <w:marRight w:val="0"/>
      <w:marTop w:val="0"/>
      <w:marBottom w:val="0"/>
      <w:divBdr>
        <w:top w:val="none" w:sz="0" w:space="0" w:color="auto"/>
        <w:left w:val="none" w:sz="0" w:space="0" w:color="auto"/>
        <w:bottom w:val="none" w:sz="0" w:space="0" w:color="auto"/>
        <w:right w:val="none" w:sz="0" w:space="0" w:color="auto"/>
      </w:divBdr>
    </w:div>
    <w:div w:id="1936938592">
      <w:bodyDiv w:val="1"/>
      <w:marLeft w:val="0"/>
      <w:marRight w:val="0"/>
      <w:marTop w:val="0"/>
      <w:marBottom w:val="0"/>
      <w:divBdr>
        <w:top w:val="none" w:sz="0" w:space="0" w:color="auto"/>
        <w:left w:val="none" w:sz="0" w:space="0" w:color="auto"/>
        <w:bottom w:val="none" w:sz="0" w:space="0" w:color="auto"/>
        <w:right w:val="none" w:sz="0" w:space="0" w:color="auto"/>
      </w:divBdr>
      <w:divsChild>
        <w:div w:id="150875325">
          <w:marLeft w:val="0"/>
          <w:marRight w:val="0"/>
          <w:marTop w:val="0"/>
          <w:marBottom w:val="0"/>
          <w:divBdr>
            <w:top w:val="none" w:sz="0" w:space="0" w:color="auto"/>
            <w:left w:val="none" w:sz="0" w:space="0" w:color="auto"/>
            <w:bottom w:val="none" w:sz="0" w:space="0" w:color="auto"/>
            <w:right w:val="none" w:sz="0" w:space="0" w:color="auto"/>
          </w:divBdr>
        </w:div>
      </w:divsChild>
    </w:div>
    <w:div w:id="1955209658">
      <w:bodyDiv w:val="1"/>
      <w:marLeft w:val="0"/>
      <w:marRight w:val="0"/>
      <w:marTop w:val="0"/>
      <w:marBottom w:val="0"/>
      <w:divBdr>
        <w:top w:val="none" w:sz="0" w:space="0" w:color="auto"/>
        <w:left w:val="none" w:sz="0" w:space="0" w:color="auto"/>
        <w:bottom w:val="none" w:sz="0" w:space="0" w:color="auto"/>
        <w:right w:val="none" w:sz="0" w:space="0" w:color="auto"/>
      </w:divBdr>
    </w:div>
    <w:div w:id="19611859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046">
          <w:marLeft w:val="0"/>
          <w:marRight w:val="0"/>
          <w:marTop w:val="0"/>
          <w:marBottom w:val="0"/>
          <w:divBdr>
            <w:top w:val="none" w:sz="0" w:space="0" w:color="auto"/>
            <w:left w:val="none" w:sz="0" w:space="0" w:color="auto"/>
            <w:bottom w:val="none" w:sz="0" w:space="0" w:color="auto"/>
            <w:right w:val="none" w:sz="0" w:space="0" w:color="auto"/>
          </w:divBdr>
          <w:divsChild>
            <w:div w:id="1998151241">
              <w:marLeft w:val="0"/>
              <w:marRight w:val="0"/>
              <w:marTop w:val="0"/>
              <w:marBottom w:val="0"/>
              <w:divBdr>
                <w:top w:val="none" w:sz="0" w:space="0" w:color="auto"/>
                <w:left w:val="none" w:sz="0" w:space="0" w:color="auto"/>
                <w:bottom w:val="none" w:sz="0" w:space="0" w:color="auto"/>
                <w:right w:val="none" w:sz="0" w:space="0" w:color="auto"/>
              </w:divBdr>
              <w:divsChild>
                <w:div w:id="132916153">
                  <w:marLeft w:val="0"/>
                  <w:marRight w:val="0"/>
                  <w:marTop w:val="0"/>
                  <w:marBottom w:val="0"/>
                  <w:divBdr>
                    <w:top w:val="none" w:sz="0" w:space="0" w:color="auto"/>
                    <w:left w:val="none" w:sz="0" w:space="0" w:color="auto"/>
                    <w:bottom w:val="none" w:sz="0" w:space="0" w:color="auto"/>
                    <w:right w:val="none" w:sz="0" w:space="0" w:color="auto"/>
                  </w:divBdr>
                  <w:divsChild>
                    <w:div w:id="929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892">
      <w:bodyDiv w:val="1"/>
      <w:marLeft w:val="0"/>
      <w:marRight w:val="0"/>
      <w:marTop w:val="0"/>
      <w:marBottom w:val="0"/>
      <w:divBdr>
        <w:top w:val="none" w:sz="0" w:space="0" w:color="auto"/>
        <w:left w:val="none" w:sz="0" w:space="0" w:color="auto"/>
        <w:bottom w:val="none" w:sz="0" w:space="0" w:color="auto"/>
        <w:right w:val="none" w:sz="0" w:space="0" w:color="auto"/>
      </w:divBdr>
    </w:div>
    <w:div w:id="2005667055">
      <w:bodyDiv w:val="1"/>
      <w:marLeft w:val="0"/>
      <w:marRight w:val="0"/>
      <w:marTop w:val="0"/>
      <w:marBottom w:val="0"/>
      <w:divBdr>
        <w:top w:val="none" w:sz="0" w:space="0" w:color="auto"/>
        <w:left w:val="none" w:sz="0" w:space="0" w:color="auto"/>
        <w:bottom w:val="none" w:sz="0" w:space="0" w:color="auto"/>
        <w:right w:val="none" w:sz="0" w:space="0" w:color="auto"/>
      </w:divBdr>
    </w:div>
    <w:div w:id="2010718227">
      <w:bodyDiv w:val="1"/>
      <w:marLeft w:val="0"/>
      <w:marRight w:val="0"/>
      <w:marTop w:val="0"/>
      <w:marBottom w:val="0"/>
      <w:divBdr>
        <w:top w:val="none" w:sz="0" w:space="0" w:color="auto"/>
        <w:left w:val="none" w:sz="0" w:space="0" w:color="auto"/>
        <w:bottom w:val="none" w:sz="0" w:space="0" w:color="auto"/>
        <w:right w:val="none" w:sz="0" w:space="0" w:color="auto"/>
      </w:divBdr>
    </w:div>
    <w:div w:id="2017341287">
      <w:bodyDiv w:val="1"/>
      <w:marLeft w:val="0"/>
      <w:marRight w:val="0"/>
      <w:marTop w:val="0"/>
      <w:marBottom w:val="0"/>
      <w:divBdr>
        <w:top w:val="none" w:sz="0" w:space="0" w:color="auto"/>
        <w:left w:val="none" w:sz="0" w:space="0" w:color="auto"/>
        <w:bottom w:val="none" w:sz="0" w:space="0" w:color="auto"/>
        <w:right w:val="none" w:sz="0" w:space="0" w:color="auto"/>
      </w:divBdr>
    </w:div>
    <w:div w:id="2044821489">
      <w:bodyDiv w:val="1"/>
      <w:marLeft w:val="0"/>
      <w:marRight w:val="0"/>
      <w:marTop w:val="0"/>
      <w:marBottom w:val="0"/>
      <w:divBdr>
        <w:top w:val="none" w:sz="0" w:space="0" w:color="auto"/>
        <w:left w:val="none" w:sz="0" w:space="0" w:color="auto"/>
        <w:bottom w:val="none" w:sz="0" w:space="0" w:color="auto"/>
        <w:right w:val="none" w:sz="0" w:space="0" w:color="auto"/>
      </w:divBdr>
    </w:div>
    <w:div w:id="2060543809">
      <w:bodyDiv w:val="1"/>
      <w:marLeft w:val="0"/>
      <w:marRight w:val="0"/>
      <w:marTop w:val="0"/>
      <w:marBottom w:val="0"/>
      <w:divBdr>
        <w:top w:val="none" w:sz="0" w:space="0" w:color="auto"/>
        <w:left w:val="none" w:sz="0" w:space="0" w:color="auto"/>
        <w:bottom w:val="none" w:sz="0" w:space="0" w:color="auto"/>
        <w:right w:val="none" w:sz="0" w:space="0" w:color="auto"/>
      </w:divBdr>
    </w:div>
    <w:div w:id="2064600782">
      <w:bodyDiv w:val="1"/>
      <w:marLeft w:val="0"/>
      <w:marRight w:val="0"/>
      <w:marTop w:val="0"/>
      <w:marBottom w:val="0"/>
      <w:divBdr>
        <w:top w:val="none" w:sz="0" w:space="0" w:color="auto"/>
        <w:left w:val="none" w:sz="0" w:space="0" w:color="auto"/>
        <w:bottom w:val="none" w:sz="0" w:space="0" w:color="auto"/>
        <w:right w:val="none" w:sz="0" w:space="0" w:color="auto"/>
      </w:divBdr>
    </w:div>
    <w:div w:id="2073188079">
      <w:bodyDiv w:val="1"/>
      <w:marLeft w:val="0"/>
      <w:marRight w:val="0"/>
      <w:marTop w:val="0"/>
      <w:marBottom w:val="0"/>
      <w:divBdr>
        <w:top w:val="none" w:sz="0" w:space="0" w:color="auto"/>
        <w:left w:val="none" w:sz="0" w:space="0" w:color="auto"/>
        <w:bottom w:val="none" w:sz="0" w:space="0" w:color="auto"/>
        <w:right w:val="none" w:sz="0" w:space="0" w:color="auto"/>
      </w:divBdr>
    </w:div>
    <w:div w:id="2079135840">
      <w:bodyDiv w:val="1"/>
      <w:marLeft w:val="0"/>
      <w:marRight w:val="0"/>
      <w:marTop w:val="0"/>
      <w:marBottom w:val="0"/>
      <w:divBdr>
        <w:top w:val="none" w:sz="0" w:space="0" w:color="auto"/>
        <w:left w:val="none" w:sz="0" w:space="0" w:color="auto"/>
        <w:bottom w:val="none" w:sz="0" w:space="0" w:color="auto"/>
        <w:right w:val="none" w:sz="0" w:space="0" w:color="auto"/>
      </w:divBdr>
    </w:div>
    <w:div w:id="2085374757">
      <w:bodyDiv w:val="1"/>
      <w:marLeft w:val="0"/>
      <w:marRight w:val="0"/>
      <w:marTop w:val="0"/>
      <w:marBottom w:val="0"/>
      <w:divBdr>
        <w:top w:val="none" w:sz="0" w:space="0" w:color="auto"/>
        <w:left w:val="none" w:sz="0" w:space="0" w:color="auto"/>
        <w:bottom w:val="none" w:sz="0" w:space="0" w:color="auto"/>
        <w:right w:val="none" w:sz="0" w:space="0" w:color="auto"/>
      </w:divBdr>
    </w:div>
    <w:div w:id="2108035983">
      <w:bodyDiv w:val="1"/>
      <w:marLeft w:val="0"/>
      <w:marRight w:val="0"/>
      <w:marTop w:val="0"/>
      <w:marBottom w:val="0"/>
      <w:divBdr>
        <w:top w:val="none" w:sz="0" w:space="0" w:color="auto"/>
        <w:left w:val="none" w:sz="0" w:space="0" w:color="auto"/>
        <w:bottom w:val="none" w:sz="0" w:space="0" w:color="auto"/>
        <w:right w:val="none" w:sz="0" w:space="0" w:color="auto"/>
      </w:divBdr>
    </w:div>
    <w:div w:id="2111196656">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 w:id="2130774976">
      <w:bodyDiv w:val="1"/>
      <w:marLeft w:val="0"/>
      <w:marRight w:val="0"/>
      <w:marTop w:val="0"/>
      <w:marBottom w:val="0"/>
      <w:divBdr>
        <w:top w:val="none" w:sz="0" w:space="0" w:color="auto"/>
        <w:left w:val="none" w:sz="0" w:space="0" w:color="auto"/>
        <w:bottom w:val="none" w:sz="0" w:space="0" w:color="auto"/>
        <w:right w:val="none" w:sz="0" w:space="0" w:color="auto"/>
      </w:divBdr>
    </w:div>
    <w:div w:id="2137218805">
      <w:bodyDiv w:val="1"/>
      <w:marLeft w:val="0"/>
      <w:marRight w:val="0"/>
      <w:marTop w:val="0"/>
      <w:marBottom w:val="0"/>
      <w:divBdr>
        <w:top w:val="none" w:sz="0" w:space="0" w:color="auto"/>
        <w:left w:val="none" w:sz="0" w:space="0" w:color="auto"/>
        <w:bottom w:val="none" w:sz="0" w:space="0" w:color="auto"/>
        <w:right w:val="none" w:sz="0" w:space="0" w:color="auto"/>
      </w:divBdr>
    </w:div>
    <w:div w:id="21448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PDF/?uri=OJ:L_202401689" TargetMode="External"/><Relationship Id="rId18" Type="http://schemas.openxmlformats.org/officeDocument/2006/relationships/header" Target="header2.xml"/><Relationship Id="rId26" Type="http://schemas.openxmlformats.org/officeDocument/2006/relationships/footer" Target="footer9.xml"/><Relationship Id="rId39" Type="http://schemas.openxmlformats.org/officeDocument/2006/relationships/header" Target="header11.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footer" Target="footer15.xml"/><Relationship Id="rId40" Type="http://schemas.openxmlformats.org/officeDocument/2006/relationships/hyperlink" Target="https://www.esinvesticijos.lt/lt//pasirengimas-2021-2027/2021-2027-m-es-fondu-investavimo-krypciu-aptarimai-su-partneriais/10-teminiu-diskusiju-ir-visuomenes-apklausa-del-2021-2027-m-es-fondu-investavimo-krypciu" TargetMode="Externa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s://eur-lex.europa.eu/legal-content/EN/TXT/?uri=CELEX%3A32020R0852&amp;qid=1649941819892" TargetMode="Externa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2.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s://eur-lex.europa.eu/legal-content/LT/TXT/?uri=CELEX:52020DC0515"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9.xml"/><Relationship Id="rId43" Type="http://schemas.openxmlformats.org/officeDocument/2006/relationships/footer" Target="footer17.xml"/><Relationship Id="rId8" Type="http://schemas.openxmlformats.org/officeDocument/2006/relationships/hyperlink" Target="http://publications.europa.eu/resource/cellar/8f1e3309-cffc-11e9-b4bf-01aa75ed71a1.0014.03/DOC_1"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ur-lex.europa.eu/legal-content/LT/TXT/?uri=CELEX:32021R1056&amp;qid=1641542918198" TargetMode="External"/><Relationship Id="rId25" Type="http://schemas.openxmlformats.org/officeDocument/2006/relationships/header" Target="header5.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dashboard/hub/stream/aaec8d41-5201-43ab-809f-3063750dfafd" TargetMode="External"/><Relationship Id="rId3" Type="http://schemas.openxmlformats.org/officeDocument/2006/relationships/hyperlink" Target="https://www.eca.europa.eu/Lists/ECADocuments/SR22_23/SR_H2020_and_ESI_Funds_LT.pdf" TargetMode="External"/><Relationship Id="rId7" Type="http://schemas.openxmlformats.org/officeDocument/2006/relationships/hyperlink" Target="https://webgate.ec.europa.eu/dashboard/hub/stream/aaec8d41-5201-43ab-809f-3063750dfafd" TargetMode="External"/><Relationship Id="rId2" Type="http://schemas.openxmlformats.org/officeDocument/2006/relationships/hyperlink" Target="https://osp.stat.gov.lt/statistiniu-rodikliu-analize?indicator=S3R131" TargetMode="External"/><Relationship Id="rId1" Type="http://schemas.openxmlformats.org/officeDocument/2006/relationships/hyperlink" Target="https://am.lrv.lt/uploads/am/documents/files/PAF%202022%2003%2015-galutinis%20PDF(1).pdf" TargetMode="External"/><Relationship Id="rId6" Type="http://schemas.openxmlformats.org/officeDocument/2006/relationships/hyperlink" Target="https://webgate.ec.europa.eu/dashboard/hub/stream/aaec8d41-5201-43ab-809f-3063750dfafd" TargetMode="External"/><Relationship Id="rId5" Type="http://schemas.openxmlformats.org/officeDocument/2006/relationships/hyperlink" Target="https://webgate.ec.europa.eu/dashboard/hub/stream/aaec8d41-5201-43ab-809f-3063750dfafd" TargetMode="External"/><Relationship Id="rId4" Type="http://schemas.openxmlformats.org/officeDocument/2006/relationships/hyperlink" Target="https://eur-lex.europa.eu/legal-content/LT/TXT/?uri=uriserv%3AOJ.C_.2022.421.01.0007.01.LIT&amp;toc=OJ%3AC%3A2022%3A421%3ATOC" TargetMode="External"/><Relationship Id="rId9" Type="http://schemas.openxmlformats.org/officeDocument/2006/relationships/hyperlink" Target="https://ec.europa.eu/regional_policy/assets/regional-competitiveness/index.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AC53-EF7D-4A86-BB51-7AB49BF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246</Pages>
  <Words>411412</Words>
  <Characters>234505</Characters>
  <Application>Microsoft Office Word</Application>
  <DocSecurity>0</DocSecurity>
  <Lines>1954</Lines>
  <Paragraphs>1289</Paragraphs>
  <ScaleCrop>false</ScaleCrop>
  <Company/>
  <LinksUpToDate>false</LinksUpToDate>
  <CharactersWithSpaces>644628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Milda Kuzmaitė</cp:lastModifiedBy>
  <cp:revision>2</cp:revision>
  <dcterms:created xsi:type="dcterms:W3CDTF">2026-03-03T12:15:00Z</dcterms:created>
  <dcterms:modified xsi:type="dcterms:W3CDTF">2026-03-09T11:47:00Z</dcterms:modified>
</cp:coreProperties>
</file>